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5.xml" ContentType="application/vnd.openxmlformats-officedocument.wordprocessingml.header+xml"/>
  <Override PartName="/word/footer17.xml" ContentType="application/vnd.openxmlformats-officedocument.wordprocessingml.footer+xml"/>
  <Override PartName="/word/header6.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header7.xml" ContentType="application/vnd.openxmlformats-officedocument.wordprocessingml.header+xml"/>
  <Override PartName="/word/footer66.xml" ContentType="application/vnd.openxmlformats-officedocument.wordprocessingml.footer+xml"/>
  <Override PartName="/word/header8.xml" ContentType="application/vnd.openxmlformats-officedocument.wordprocessingml.head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header9.xml" ContentType="application/vnd.openxmlformats-officedocument.wordprocessingml.header+xml"/>
  <Override PartName="/word/footer75.xml" ContentType="application/vnd.openxmlformats-officedocument.wordprocessingml.footer+xml"/>
  <Override PartName="/word/header10.xml" ContentType="application/vnd.openxmlformats-officedocument.wordprocessingml.head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header11.xml" ContentType="application/vnd.openxmlformats-officedocument.wordprocessingml.header+xml"/>
  <Override PartName="/word/footer83.xml" ContentType="application/vnd.openxmlformats-officedocument.wordprocessingml.footer+xml"/>
  <Override PartName="/word/header12.xml" ContentType="application/vnd.openxmlformats-officedocument.wordprocessingml.head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header13.xml" ContentType="application/vnd.openxmlformats-officedocument.wordprocessingml.header+xml"/>
  <Override PartName="/word/footer101.xml" ContentType="application/vnd.openxmlformats-officedocument.wordprocessingml.footer+xml"/>
  <Override PartName="/word/header14.xml" ContentType="application/vnd.openxmlformats-officedocument.wordprocessingml.head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header15.xml" ContentType="application/vnd.openxmlformats-officedocument.wordprocessingml.header+xml"/>
  <Override PartName="/word/footer107.xml" ContentType="application/vnd.openxmlformats-officedocument.wordprocessingml.footer+xml"/>
  <Override PartName="/word/header16.xml" ContentType="application/vnd.openxmlformats-officedocument.wordprocessingml.head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header17.xml" ContentType="application/vnd.openxmlformats-officedocument.wordprocessingml.header+xml"/>
  <Override PartName="/word/footer116.xml" ContentType="application/vnd.openxmlformats-officedocument.wordprocessingml.footer+xml"/>
  <Override PartName="/word/header18.xml" ContentType="application/vnd.openxmlformats-officedocument.wordprocessingml.head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header19.xml" ContentType="application/vnd.openxmlformats-officedocument.wordprocessingml.header+xml"/>
  <Override PartName="/word/footer135.xml" ContentType="application/vnd.openxmlformats-officedocument.wordprocessingml.footer+xml"/>
  <Override PartName="/word/header20.xml" ContentType="application/vnd.openxmlformats-officedocument.wordprocessingml.head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header21.xml" ContentType="application/vnd.openxmlformats-officedocument.wordprocessingml.header+xml"/>
  <Override PartName="/word/footer144.xml" ContentType="application/vnd.openxmlformats-officedocument.wordprocessingml.footer+xml"/>
  <Override PartName="/word/header22.xml" ContentType="application/vnd.openxmlformats-officedocument.wordprocessingml.head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header23.xml" ContentType="application/vnd.openxmlformats-officedocument.wordprocessingml.header+xml"/>
  <Override PartName="/word/footer159.xml" ContentType="application/vnd.openxmlformats-officedocument.wordprocessingml.footer+xml"/>
  <Override PartName="/word/header24.xml" ContentType="application/vnd.openxmlformats-officedocument.wordprocessingml.head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header25.xml" ContentType="application/vnd.openxmlformats-officedocument.wordprocessingml.header+xml"/>
  <Override PartName="/word/footer184.xml" ContentType="application/vnd.openxmlformats-officedocument.wordprocessingml.footer+xml"/>
  <Override PartName="/word/header26.xml" ContentType="application/vnd.openxmlformats-officedocument.wordprocessingml.head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header27.xml" ContentType="application/vnd.openxmlformats-officedocument.wordprocessingml.header+xml"/>
  <Override PartName="/word/footer215.xml" ContentType="application/vnd.openxmlformats-officedocument.wordprocessingml.footer+xml"/>
  <Override PartName="/word/header28.xml" ContentType="application/vnd.openxmlformats-officedocument.wordprocessingml.head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header29.xml" ContentType="application/vnd.openxmlformats-officedocument.wordprocessingml.header+xml"/>
  <Override PartName="/word/footer222.xml" ContentType="application/vnd.openxmlformats-officedocument.wordprocessingml.footer+xml"/>
  <Override PartName="/word/header30.xml" ContentType="application/vnd.openxmlformats-officedocument.wordprocessingml.head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header31.xml" ContentType="application/vnd.openxmlformats-officedocument.wordprocessingml.header+xml"/>
  <Override PartName="/word/footer226.xml" ContentType="application/vnd.openxmlformats-officedocument.wordprocessingml.footer+xml"/>
  <Override PartName="/word/header32.xml" ContentType="application/vnd.openxmlformats-officedocument.wordprocessingml.header+xml"/>
  <Override PartName="/word/footer227.xml" ContentType="application/vnd.openxmlformats-officedocument.wordprocessingml.footer+xml"/>
  <Override PartName="/word/footer228.xml" ContentType="application/vnd.openxmlformats-officedocument.wordprocessingml.footer+xml"/>
  <Override PartName="/word/header33.xml" ContentType="application/vnd.openxmlformats-officedocument.wordprocessingml.header+xml"/>
  <Override PartName="/word/footer229.xml" ContentType="application/vnd.openxmlformats-officedocument.wordprocessingml.footer+xml"/>
  <Override PartName="/word/header34.xml" ContentType="application/vnd.openxmlformats-officedocument.wordprocessingml.header+xml"/>
  <Override PartName="/word/footer230.xml" ContentType="application/vnd.openxmlformats-officedocument.wordprocessingml.footer+xml"/>
  <Override PartName="/word/header35.xml" ContentType="application/vnd.openxmlformats-officedocument.wordprocessingml.header+xml"/>
  <Override PartName="/word/footer231.xml" ContentType="application/vnd.openxmlformats-officedocument.wordprocessingml.footer+xml"/>
  <Override PartName="/word/header36.xml" ContentType="application/vnd.openxmlformats-officedocument.wordprocessingml.head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header37.xml" ContentType="application/vnd.openxmlformats-officedocument.wordprocessingml.header+xml"/>
  <Override PartName="/word/footer25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Pr>
          <w:rFonts w:ascii="Times New Roman"/>
        </w:rPr>
      </w:pPr>
      <w:r>
        <w:rPr>
          <w:rFonts w:ascii="Times New Roman"/>
        </w:rPr>
        <w:drawing>
          <wp:inline distT="0" distB="0" distL="0" distR="0">
            <wp:extent cx="5909474" cy="731824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909474" cy="7318248"/>
                    </a:xfrm>
                    <a:prstGeom prst="rect">
                      <a:avLst/>
                    </a:prstGeom>
                  </pic:spPr>
                </pic:pic>
              </a:graphicData>
            </a:graphic>
          </wp:inline>
        </w:drawing>
      </w:r>
      <w:r>
        <w:rPr>
          <w:rFonts w:ascii="Times New Roman"/>
        </w:rPr>
      </w:r>
    </w:p>
    <w:p>
      <w:pPr>
        <w:spacing w:after="0"/>
        <w:rPr>
          <w:rFonts w:ascii="Times New Roman"/>
        </w:rPr>
        <w:sectPr>
          <w:type w:val="continuous"/>
          <w:pgSz w:w="12240" w:h="15840"/>
          <w:pgMar w:top="1420" w:bottom="280" w:left="1600" w:right="1100"/>
        </w:sectPr>
      </w:pPr>
    </w:p>
    <w:p>
      <w:pPr>
        <w:pStyle w:val="BodyText"/>
        <w:spacing w:before="4"/>
        <w:rPr>
          <w:rFonts w:ascii="Times New Roman"/>
          <w:sz w:val="17"/>
        </w:rPr>
      </w:pPr>
    </w:p>
    <w:p>
      <w:pPr>
        <w:spacing w:after="0"/>
        <w:rPr>
          <w:rFonts w:ascii="Times New Roman"/>
          <w:sz w:val="17"/>
        </w:rPr>
        <w:sectPr>
          <w:pgSz w:w="9420" w:h="12760"/>
          <w:pgMar w:top="1180" w:bottom="280" w:left="1300" w:right="130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5"/>
        <w:rPr>
          <w:rFonts w:ascii="Times New Roman"/>
          <w:sz w:val="26"/>
        </w:rPr>
      </w:pPr>
    </w:p>
    <w:p>
      <w:pPr>
        <w:spacing w:line="268" w:lineRule="auto" w:before="32"/>
        <w:ind w:left="8238" w:right="76" w:firstLine="0"/>
        <w:jc w:val="center"/>
        <w:rPr>
          <w:b/>
          <w:sz w:val="56"/>
        </w:rPr>
      </w:pPr>
      <w:r>
        <w:rPr>
          <w:b/>
          <w:sz w:val="56"/>
        </w:rPr>
        <w:t>Vulnerabilidad territorial ante la</w:t>
      </w:r>
    </w:p>
    <w:p>
      <w:pPr>
        <w:spacing w:before="1"/>
        <w:ind w:left="8235" w:right="76" w:firstLine="0"/>
        <w:jc w:val="center"/>
        <w:rPr>
          <w:b/>
          <w:sz w:val="56"/>
        </w:rPr>
      </w:pPr>
      <w:r>
        <w:rPr>
          <w:b/>
          <w:sz w:val="56"/>
        </w:rPr>
        <w:t>expansión urbana</w:t>
      </w:r>
    </w:p>
    <w:p>
      <w:pPr>
        <w:spacing w:after="0"/>
        <w:jc w:val="center"/>
        <w:rPr>
          <w:sz w:val="56"/>
        </w:rPr>
        <w:sectPr>
          <w:pgSz w:w="18830" w:h="12760" w:orient="landscape"/>
          <w:pgMar w:top="1180" w:bottom="280" w:left="2720" w:right="1300"/>
        </w:sectPr>
      </w:pPr>
    </w:p>
    <w:p>
      <w:pPr>
        <w:pStyle w:val="BodyText"/>
        <w:rPr>
          <w:b/>
        </w:rPr>
      </w:pPr>
    </w:p>
    <w:p>
      <w:pPr>
        <w:pStyle w:val="BodyText"/>
        <w:rPr>
          <w:b/>
        </w:rPr>
      </w:pPr>
    </w:p>
    <w:p>
      <w:pPr>
        <w:pStyle w:val="BodyText"/>
        <w:rPr>
          <w:b/>
        </w:rPr>
      </w:pPr>
    </w:p>
    <w:p>
      <w:pPr>
        <w:spacing w:after="0"/>
        <w:sectPr>
          <w:pgSz w:w="18830" w:h="12760" w:orient="landscape"/>
          <w:pgMar w:top="1180" w:bottom="280" w:left="740" w:right="820"/>
        </w:sectPr>
      </w:pPr>
    </w:p>
    <w:p>
      <w:pPr>
        <w:pStyle w:val="BodyText"/>
        <w:rPr>
          <w:b/>
        </w:rPr>
      </w:pPr>
    </w:p>
    <w:p>
      <w:pPr>
        <w:pStyle w:val="BodyText"/>
        <w:rPr>
          <w:b/>
        </w:rPr>
      </w:pPr>
    </w:p>
    <w:p>
      <w:pPr>
        <w:pStyle w:val="BodyText"/>
        <w:spacing w:before="1"/>
        <w:rPr>
          <w:b/>
          <w:sz w:val="28"/>
        </w:rPr>
      </w:pPr>
    </w:p>
    <w:p>
      <w:pPr>
        <w:pStyle w:val="BodyText"/>
        <w:spacing w:line="249" w:lineRule="auto" w:before="1"/>
        <w:ind w:left="110" w:right="10" w:firstLine="170"/>
      </w:pPr>
      <w:r>
        <w:rPr/>
        <w:t>Este libro fue positivamente dictaminado conforme a los lineamientos editoriales de la Secretaria de Investigación y Estudios Avanzados, UAEM</w:t>
      </w:r>
    </w:p>
    <w:p>
      <w:pPr>
        <w:pStyle w:val="BodyText"/>
      </w:pPr>
    </w:p>
    <w:p>
      <w:pPr>
        <w:spacing w:line="312" w:lineRule="auto" w:before="138"/>
        <w:ind w:left="280" w:right="2855" w:firstLine="0"/>
        <w:jc w:val="left"/>
        <w:rPr>
          <w:b/>
          <w:sz w:val="32"/>
        </w:rPr>
      </w:pPr>
      <w:r>
        <w:rPr>
          <w:b/>
          <w:sz w:val="32"/>
        </w:rPr>
        <w:t>Vulnerabilidad territorial ante la expansión urbana</w:t>
      </w:r>
    </w:p>
    <w:p>
      <w:pPr>
        <w:pStyle w:val="BodyText"/>
        <w:spacing w:before="117"/>
        <w:ind w:left="280" w:right="10"/>
      </w:pPr>
      <w:r>
        <w:rPr/>
        <w:t>1ª edición 2016</w:t>
      </w:r>
    </w:p>
    <w:p>
      <w:pPr>
        <w:pStyle w:val="BodyText"/>
        <w:spacing w:before="8"/>
        <w:rPr>
          <w:sz w:val="21"/>
        </w:rPr>
      </w:pPr>
    </w:p>
    <w:p>
      <w:pPr>
        <w:pStyle w:val="BodyText"/>
        <w:spacing w:line="249" w:lineRule="auto"/>
        <w:ind w:left="280" w:right="2855"/>
      </w:pPr>
      <w:r>
        <w:rPr/>
        <w:t>D.R. © Universidad Autónoma del Estado de México Instituto Literario núm. 100 ote.</w:t>
      </w:r>
    </w:p>
    <w:p>
      <w:pPr>
        <w:pStyle w:val="BodyText"/>
        <w:spacing w:line="249" w:lineRule="auto" w:before="1"/>
        <w:ind w:left="280" w:right="3088"/>
      </w:pPr>
      <w:r>
        <w:rPr/>
        <w:t>C.P. 50000, Toluca, México </w:t>
      </w:r>
      <w:hyperlink r:id="rId6">
        <w:r>
          <w:rPr/>
          <w:t>http://www.uaemex.mx</w:t>
        </w:r>
      </w:hyperlink>
    </w:p>
    <w:p>
      <w:pPr>
        <w:pStyle w:val="BodyText"/>
        <w:rPr>
          <w:sz w:val="19"/>
        </w:rPr>
      </w:pPr>
    </w:p>
    <w:p>
      <w:pPr>
        <w:spacing w:line="265" w:lineRule="exact" w:before="0"/>
        <w:ind w:left="280" w:right="10" w:firstLine="0"/>
        <w:jc w:val="left"/>
        <w:rPr>
          <w:rFonts w:ascii="Calibri"/>
          <w:b/>
          <w:sz w:val="22"/>
        </w:rPr>
      </w:pPr>
      <w:r>
        <w:rPr>
          <w:b/>
          <w:sz w:val="20"/>
        </w:rPr>
        <w:t>ISBN: </w:t>
      </w:r>
      <w:r>
        <w:rPr>
          <w:rFonts w:ascii="Calibri"/>
          <w:b/>
          <w:sz w:val="22"/>
        </w:rPr>
        <w:t>978 - 607 - 422 -704 -8</w:t>
      </w:r>
    </w:p>
    <w:p>
      <w:pPr>
        <w:pStyle w:val="BodyText"/>
        <w:spacing w:line="227" w:lineRule="exact"/>
        <w:ind w:left="280" w:right="10"/>
      </w:pPr>
      <w:r>
        <w:rPr/>
        <w:t>Impreso y hecho en México</w:t>
      </w:r>
    </w:p>
    <w:p>
      <w:pPr>
        <w:spacing w:before="10"/>
        <w:ind w:left="280" w:right="10" w:firstLine="0"/>
        <w:jc w:val="left"/>
        <w:rPr>
          <w:i/>
          <w:sz w:val="20"/>
        </w:rPr>
      </w:pPr>
      <w:r>
        <w:rPr>
          <w:i/>
          <w:sz w:val="20"/>
        </w:rPr>
        <w:t>Printed and made in México</w:t>
      </w:r>
    </w:p>
    <w:p>
      <w:pPr>
        <w:pStyle w:val="BodyText"/>
        <w:spacing w:before="8"/>
        <w:rPr>
          <w:i/>
          <w:sz w:val="21"/>
        </w:rPr>
      </w:pPr>
    </w:p>
    <w:p>
      <w:pPr>
        <w:pStyle w:val="BodyText"/>
        <w:ind w:left="280" w:right="10"/>
      </w:pPr>
      <w:r>
        <w:rPr/>
        <w:t>El contenido de esta publicación es responsabilidad de los  autores.</w:t>
      </w:r>
    </w:p>
    <w:p>
      <w:pPr>
        <w:pStyle w:val="BodyText"/>
        <w:spacing w:before="8"/>
        <w:rPr>
          <w:sz w:val="21"/>
        </w:rPr>
      </w:pPr>
    </w:p>
    <w:p>
      <w:pPr>
        <w:pStyle w:val="BodyText"/>
        <w:spacing w:line="249" w:lineRule="auto"/>
        <w:ind w:left="110" w:firstLine="170"/>
        <w:jc w:val="both"/>
      </w:pPr>
      <w:r>
        <w:rPr/>
        <w:pict>
          <v:group style="position:absolute;margin-left:831.669006pt;margin-top:109.952972pt;width:3.3pt;height:2.75pt;mso-position-horizontal-relative:page;mso-position-vertical-relative:paragraph;z-index:-651688" coordorigin="16633,2199" coordsize="66,55">
            <v:shape style="position:absolute;left:16653;top:2214;width:26;height:26" coordorigin="16653,2214" coordsize="26,26" path="m16673,2214l16659,2214,16653,2219,16653,2234,16659,2239,16673,2239,16679,2234,16679,2219,16673,2214xe" filled="true" fillcolor="#000000" stroked="false">
              <v:path arrowok="t"/>
              <v:fill type="solid"/>
            </v:shape>
            <v:line style="position:absolute" from="16661,2227" to="16671,2227" stroked="true" strokeweight="2.732pt" strokecolor="#000000"/>
            <v:line style="position:absolute" from="16639,2227" to="16693,2227" stroked="true" strokeweight=".502pt" strokecolor="#000000"/>
            <w10:wrap type="none"/>
          </v:group>
        </w:pict>
      </w:r>
      <w:r>
        <w:rPr/>
        <w:pict>
          <v:group style="position:absolute;margin-left:879.88501pt;margin-top:109.952972pt;width:3.3pt;height:2.75pt;mso-position-horizontal-relative:page;mso-position-vertical-relative:paragraph;z-index:-651664" coordorigin="17598,2199" coordsize="66,55">
            <v:shape style="position:absolute;left:17618;top:2214;width:26;height:26" coordorigin="17618,2214" coordsize="26,26" path="m17638,2214l17623,2214,17618,2219,17618,2234,17623,2239,17638,2239,17643,2234,17643,2219,17638,2214xe" filled="true" fillcolor="#000000" stroked="false">
              <v:path arrowok="t"/>
              <v:fill type="solid"/>
            </v:shape>
            <v:line style="position:absolute" from="17625,2227" to="17636,2227" stroked="true" strokeweight="2.732pt" strokecolor="#000000"/>
            <v:line style="position:absolute" from="17603,2227" to="17658,2227" stroked="true" strokeweight=".502pt" strokecolor="#000000"/>
            <w10:wrap type="none"/>
          </v:group>
        </w:pict>
      </w:r>
      <w:r>
        <w:rPr/>
        <w:t>Queda prohibida la reproducción parcial o total del contenido de la presente obra,  sin contar previamente con la autorización por escrito del editor en términos de la Ley Federal del Derecho de Autor y en su caso de los tratados internacionales</w:t>
      </w:r>
      <w:r>
        <w:rPr>
          <w:spacing w:val="44"/>
        </w:rPr>
        <w:t> </w:t>
      </w:r>
      <w:r>
        <w:rPr/>
        <w:t>aplicables</w:t>
      </w:r>
    </w:p>
    <w:p>
      <w:pPr>
        <w:pStyle w:val="Heading1"/>
        <w:spacing w:line="357" w:lineRule="auto" w:before="185"/>
        <w:ind w:left="1832" w:hanging="1638"/>
        <w:rPr>
          <w:sz w:val="28"/>
        </w:rPr>
      </w:pPr>
      <w:r>
        <w:rPr>
          <w:b w:val="0"/>
        </w:rPr>
        <w:br w:type="column"/>
      </w:r>
      <w:r>
        <w:rPr>
          <w:sz w:val="28"/>
        </w:rPr>
        <w:t>R</w:t>
      </w:r>
      <w:r>
        <w:rPr/>
        <w:t>ed </w:t>
      </w:r>
      <w:r>
        <w:rPr>
          <w:sz w:val="28"/>
        </w:rPr>
        <w:t>I</w:t>
      </w:r>
      <w:r>
        <w:rPr/>
        <w:t>nternacional de </w:t>
      </w:r>
      <w:r>
        <w:rPr>
          <w:sz w:val="28"/>
        </w:rPr>
        <w:t>T</w:t>
      </w:r>
      <w:r>
        <w:rPr/>
        <w:t>erritorios, </w:t>
      </w:r>
      <w:r>
        <w:rPr>
          <w:sz w:val="28"/>
        </w:rPr>
        <w:t>S</w:t>
      </w:r>
      <w:r>
        <w:rPr/>
        <w:t>ustentabilidad y </w:t>
      </w:r>
      <w:r>
        <w:rPr>
          <w:sz w:val="28"/>
        </w:rPr>
        <w:t>G</w:t>
      </w:r>
      <w:r>
        <w:rPr/>
        <w:t>obernanza en </w:t>
      </w:r>
      <w:r>
        <w:rPr>
          <w:sz w:val="28"/>
        </w:rPr>
        <w:t>M</w:t>
      </w:r>
      <w:r>
        <w:rPr>
          <w:sz w:val="20"/>
        </w:rPr>
        <w:t>é</w:t>
      </w:r>
      <w:r>
        <w:rPr/>
        <w:t>xico y </w:t>
      </w:r>
      <w:r>
        <w:rPr>
          <w:sz w:val="28"/>
        </w:rPr>
        <w:t>P</w:t>
      </w:r>
      <w:r>
        <w:rPr/>
        <w:t>olonia </w:t>
      </w:r>
      <w:r>
        <w:rPr>
          <w:sz w:val="28"/>
        </w:rPr>
        <w:t>(RETESYG)</w:t>
      </w:r>
    </w:p>
    <w:p>
      <w:pPr>
        <w:spacing w:before="244"/>
        <w:ind w:left="922" w:right="0" w:firstLine="0"/>
        <w:jc w:val="left"/>
        <w:rPr>
          <w:b/>
          <w:sz w:val="24"/>
        </w:rPr>
      </w:pPr>
      <w:r>
        <w:rPr>
          <w:b/>
          <w:sz w:val="28"/>
        </w:rPr>
        <w:t>V</w:t>
      </w:r>
      <w:r>
        <w:rPr>
          <w:b/>
          <w:sz w:val="24"/>
        </w:rPr>
        <w:t>ulnerabilidad </w:t>
      </w:r>
      <w:r>
        <w:rPr>
          <w:b/>
          <w:sz w:val="28"/>
        </w:rPr>
        <w:t>T</w:t>
      </w:r>
      <w:r>
        <w:rPr>
          <w:b/>
          <w:sz w:val="24"/>
        </w:rPr>
        <w:t>erritorial ante la </w:t>
      </w:r>
      <w:r>
        <w:rPr>
          <w:b/>
          <w:sz w:val="28"/>
        </w:rPr>
        <w:t>E</w:t>
      </w:r>
      <w:r>
        <w:rPr>
          <w:b/>
          <w:sz w:val="24"/>
        </w:rPr>
        <w:t>xpansión </w:t>
      </w:r>
      <w:r>
        <w:rPr>
          <w:b/>
          <w:sz w:val="28"/>
        </w:rPr>
        <w:t>U</w:t>
      </w:r>
      <w:r>
        <w:rPr>
          <w:b/>
          <w:sz w:val="24"/>
        </w:rPr>
        <w:t>rbana</w:t>
      </w:r>
    </w:p>
    <w:p>
      <w:pPr>
        <w:pStyle w:val="BodyText"/>
        <w:spacing w:before="10"/>
        <w:rPr>
          <w:b/>
          <w:sz w:val="37"/>
        </w:rPr>
      </w:pPr>
    </w:p>
    <w:p>
      <w:pPr>
        <w:spacing w:line="258" w:lineRule="exact" w:before="0"/>
        <w:ind w:left="110" w:right="0" w:firstLine="0"/>
        <w:jc w:val="left"/>
        <w:rPr>
          <w:sz w:val="24"/>
        </w:rPr>
      </w:pPr>
      <w:r>
        <w:rPr>
          <w:sz w:val="24"/>
        </w:rPr>
        <w:t>Coordinadores:</w:t>
      </w:r>
    </w:p>
    <w:p>
      <w:pPr>
        <w:spacing w:line="258" w:lineRule="exact" w:before="0"/>
        <w:ind w:left="2045" w:right="2134" w:firstLine="0"/>
        <w:jc w:val="center"/>
        <w:rPr>
          <w:sz w:val="24"/>
        </w:rPr>
      </w:pPr>
      <w:r>
        <w:rPr>
          <w:sz w:val="24"/>
        </w:rPr>
        <w:t>Marcela Virginia Santana Júarez</w:t>
      </w:r>
    </w:p>
    <w:p>
      <w:pPr>
        <w:spacing w:line="417" w:lineRule="auto" w:before="204"/>
        <w:ind w:left="2197" w:right="2285" w:hanging="1"/>
        <w:jc w:val="center"/>
        <w:rPr>
          <w:sz w:val="24"/>
        </w:rPr>
      </w:pPr>
      <w:r>
        <w:rPr>
          <w:sz w:val="24"/>
        </w:rPr>
        <w:t>Guadalupe Hoyos Castillo Giovanna Santana</w:t>
      </w:r>
      <w:r>
        <w:rPr>
          <w:spacing w:val="-19"/>
          <w:sz w:val="24"/>
        </w:rPr>
        <w:t> </w:t>
      </w:r>
      <w:r>
        <w:rPr>
          <w:sz w:val="24"/>
        </w:rPr>
        <w:t>Castañeda Noel Bonfilio Pineda Jaimes Héctor Campos</w:t>
      </w:r>
      <w:r>
        <w:rPr>
          <w:spacing w:val="21"/>
          <w:sz w:val="24"/>
        </w:rPr>
        <w:t> </w:t>
      </w:r>
      <w:r>
        <w:rPr>
          <w:sz w:val="24"/>
        </w:rPr>
        <w:t>Alanis</w:t>
      </w:r>
    </w:p>
    <w:p>
      <w:pPr>
        <w:spacing w:after="0" w:line="417" w:lineRule="auto"/>
        <w:jc w:val="center"/>
        <w:rPr>
          <w:sz w:val="24"/>
        </w:rPr>
        <w:sectPr>
          <w:type w:val="continuous"/>
          <w:pgSz w:w="18830" w:h="12760" w:orient="landscape"/>
          <w:pgMar w:top="1420" w:bottom="280" w:left="740" w:right="820"/>
          <w:cols w:num="2" w:equalWidth="0">
            <w:col w:w="7828" w:space="1753"/>
            <w:col w:w="7689"/>
          </w:cols>
        </w:sectPr>
      </w:pPr>
    </w:p>
    <w:p>
      <w:pPr>
        <w:pStyle w:val="BodyText"/>
      </w:pPr>
    </w:p>
    <w:p>
      <w:pPr>
        <w:pStyle w:val="BodyText"/>
      </w:pPr>
    </w:p>
    <w:p>
      <w:pPr>
        <w:pStyle w:val="BodyText"/>
        <w:spacing w:before="2"/>
      </w:pPr>
    </w:p>
    <w:p>
      <w:pPr>
        <w:pStyle w:val="BodyText"/>
        <w:tabs>
          <w:tab w:pos="11491" w:val="left" w:leader="none"/>
          <w:tab w:pos="13178" w:val="left" w:leader="none"/>
          <w:tab w:pos="14413" w:val="left" w:leader="none"/>
          <w:tab w:pos="15824" w:val="left" w:leader="none"/>
        </w:tabs>
        <w:ind w:left="9804"/>
      </w:pPr>
      <w:r>
        <w:rPr>
          <w:position w:val="1"/>
        </w:rPr>
        <w:pict>
          <v:group style="width:64.4pt;height:56.8pt;mso-position-horizontal-relative:char;mso-position-vertical-relative:line" coordorigin="0,0" coordsize="1288,1136">
            <v:shape style="position:absolute;left:350;top:300;width:592;height:587" type="#_x0000_t75" stroked="false">
              <v:imagedata r:id="rId7" o:title=""/>
            </v:shape>
            <v:shape style="position:absolute;left:415;top:728;width:457;height:136" type="#_x0000_t75" stroked="false">
              <v:imagedata r:id="rId8" o:title=""/>
            </v:shape>
            <v:shape style="position:absolute;left:86;top:28;width:1115;height:177" type="#_x0000_t75" stroked="false">
              <v:imagedata r:id="rId9" o:title=""/>
            </v:shape>
            <v:shape style="position:absolute;left:0;top:0;width:1288;height:1136" type="#_x0000_t75" stroked="false">
              <v:imagedata r:id="rId10" o:title=""/>
            </v:shape>
          </v:group>
        </w:pict>
      </w:r>
      <w:r>
        <w:rPr>
          <w:position w:val="1"/>
        </w:rPr>
      </w:r>
      <w:r>
        <w:rPr>
          <w:position w:val="1"/>
        </w:rPr>
        <w:tab/>
      </w:r>
      <w:r>
        <w:rPr/>
        <w:pict>
          <v:group style="width:64.3500pt;height:56.75pt;mso-position-horizontal-relative:char;mso-position-vertical-relative:line" coordorigin="0,0" coordsize="1287,1135">
            <v:shape style="position:absolute;left:341;top:301;width:600;height:595" coordorigin="341,301" coordsize="600,595" path="m629,301l625,302,545,321,476,353,420,397,378,452,351,519,341,596,341,602,351,680,382,750,429,810,490,856,561,885,640,896,709,888,733,879,640,879,566,869,498,841,441,798,396,742,367,676,357,602,357,597,367,523,392,460,432,408,485,367,550,337,628,318,632,317,635,313,634,309,634,304,629,301xm887,438l883,441,879,443,878,448,881,452,900,485,913,520,921,557,924,596,924,597,913,671,885,739,841,796,783,841,716,869,640,879,733,879,772,865,828,830,874,784,910,728,932,665,940,597,940,596,937,555,929,515,914,477,894,443,892,439,887,438xe" filled="true" fillcolor="#000000" stroked="false">
              <v:path arrowok="t"/>
              <v:fill type="solid"/>
            </v:shape>
            <v:line style="position:absolute" from="646,306" to="646,897" stroked="true" strokeweight="2.766pt" strokecolor="#000000"/>
            <v:line style="position:absolute" from="345,598" to="940,598" stroked="true" strokeweight="2.883pt" strokecolor="#000000"/>
            <v:shape style="position:absolute;left:376;top:678;width:548;height:57" coordorigin="376,678" coordsize="548,57" path="m919,678l379,719,376,723,377,732,380,735,385,735,916,695,920,695,924,691,923,686,923,682,919,678xe" filled="true" fillcolor="#000000" stroked="false">
              <v:path arrowok="t"/>
              <v:fill type="solid"/>
            </v:shape>
            <v:shape style="position:absolute;left:470;top:803;width:376;height:44" coordorigin="470,803" coordsize="376,44" path="m841,803l477,830,473,830,470,834,470,843,474,846,479,846,837,819,842,819,845,815,845,811,845,806,841,803xe" filled="true" fillcolor="#000000" stroked="false">
              <v:path arrowok="t"/>
              <v:fill type="solid"/>
            </v:shape>
            <v:shape style="position:absolute;left:673;top:412;width:205;height:483" coordorigin="673,412" coordsize="205,483" path="m830,412l826,414,822,416,821,421,823,425,829,437,842,472,855,525,861,590,856,646,839,706,806,766,754,824,679,879,675,881,673,886,676,890,677,893,680,894,684,894,765,836,819,775,854,712,872,649,877,590,871,521,857,467,843,430,837,417,835,413,830,412xe" filled="true" fillcolor="#000000" stroked="false">
              <v:path arrowok="t"/>
              <v:fill type="solid"/>
            </v:shape>
            <v:shape style="position:absolute;left:349;top:439;width:498;height:256" coordorigin="349,439" coordsize="498,256" path="m356,644l351,646,350,650,349,654,351,659,355,660,407,676,455,686,500,693,541,695,646,678,541,678,501,676,458,670,411,660,360,645,356,644xm816,527l798,527,764,580,712,628,639,664,541,678,646,678,651,677,731,634,786,577,816,527xm389,449l384,450,382,454,380,458,381,463,385,465,475,515,553,548,620,567,676,572,716,569,749,559,756,556,676,556,623,550,559,533,482,501,393,451,389,449xm830,439l825,457,804,497,757,538,676,556,756,556,777,545,798,527,816,527,821,518,839,470,846,443,846,442,846,442,846,442,830,439xe" filled="true" fillcolor="#000000" stroked="false">
              <v:path arrowok="t"/>
              <v:fill type="solid"/>
            </v:shape>
            <v:shape style="position:absolute;left:407;top:314;width:388;height:567" type="#_x0000_t75" stroked="false">
              <v:imagedata r:id="rId11" o:title=""/>
            </v:shape>
            <v:shape style="position:absolute;left:476;top:375;width:368;height:476" coordorigin="476,375" coordsize="368,476" path="m813,392l775,392,784,394,794,398,799,402,810,411,821,421,824,428,824,430,826,444,827,459,827,461,827,480,825,521,817,571,800,625,771,679,728,730,668,776,587,811,484,834,479,835,476,839,476,843,477,847,480,850,486,850,593,827,676,790,739,742,785,688,815,631,833,575,842,523,844,483,844,468,843,461,842,446,841,436,841,430,841,430,841,429,841,428,833,411,820,397,813,392xm777,375l766,375,742,380,721,393,706,413,699,441,699,450,703,474,715,494,734,508,760,514,763,514,785,509,800,498,760,498,741,493,727,483,718,468,716,450,716,443,721,420,732,404,748,395,766,392,813,392,807,388,801,383,789,378,777,375xm806,418l769,418,782,421,793,428,801,438,804,451,804,453,800,470,791,484,778,494,763,498,800,498,803,495,815,476,820,453,820,451,816,432,806,418xm769,402l767,402,752,406,739,415,730,428,727,443,727,446,730,459,738,470,749,477,762,480,763,480,775,477,784,470,790,461,791,459,772,459,772,455,746,455,745,452,743,449,743,446,743,430,754,419,768,418,769,418,806,418,805,416,789,406,769,402xm792,437l767,437,767,440,772,440,776,444,776,453,775,457,772,459,791,459,792,450,792,440,792,437xm781,424l765,424,754,424,745,434,745,450,745,453,746,455,772,455,772,453,769,449,762,449,761,448,761,446,756,446,761,446,761,443,763,441,767,440,767,437,792,437,792,435,781,424xe" filled="true" fillcolor="#000000" stroked="false">
              <v:path arrowok="t"/>
              <v:fill type="solid"/>
            </v:shape>
            <v:shape style="position:absolute;left:670;top:354;width:227;height:178" type="#_x0000_t75" stroked="false">
              <v:imagedata r:id="rId12" o:title=""/>
            </v:shape>
            <v:shape style="position:absolute;left:0;top:0;width:1287;height:581" type="#_x0000_t75" stroked="false">
              <v:imagedata r:id="rId13" o:title=""/>
            </v:shape>
            <v:shape style="position:absolute;left:440;top:29;width:762;height:175" type="#_x0000_t75" stroked="false">
              <v:imagedata r:id="rId14" o:title=""/>
            </v:shape>
            <v:shape style="position:absolute;left:88;top:45;width:320;height:138" type="#_x0000_t75" stroked="false">
              <v:imagedata r:id="rId15" o:title=""/>
            </v:shape>
            <v:shape style="position:absolute;left:19;top:141;width:1217;height:994" type="#_x0000_t75" stroked="false">
              <v:imagedata r:id="rId16" o:title=""/>
            </v:shape>
          </v:group>
        </w:pict>
      </w:r>
      <w:r>
        <w:rPr/>
      </w:r>
      <w:r>
        <w:rPr/>
        <w:tab/>
      </w:r>
      <w:r>
        <w:rPr/>
        <w:drawing>
          <wp:inline distT="0" distB="0" distL="0" distR="0">
            <wp:extent cx="532021" cy="719137"/>
            <wp:effectExtent l="0" t="0" r="0" b="0"/>
            <wp:docPr id="3" name="image12.png" descr=""/>
            <wp:cNvGraphicFramePr>
              <a:graphicFrameLocks noChangeAspect="1"/>
            </wp:cNvGraphicFramePr>
            <a:graphic>
              <a:graphicData uri="http://schemas.openxmlformats.org/drawingml/2006/picture">
                <pic:pic>
                  <pic:nvPicPr>
                    <pic:cNvPr id="4" name="image12.png"/>
                    <pic:cNvPicPr/>
                  </pic:nvPicPr>
                  <pic:blipFill>
                    <a:blip r:embed="rId17" cstate="print"/>
                    <a:stretch>
                      <a:fillRect/>
                    </a:stretch>
                  </pic:blipFill>
                  <pic:spPr>
                    <a:xfrm>
                      <a:off x="0" y="0"/>
                      <a:ext cx="532021" cy="719137"/>
                    </a:xfrm>
                    <a:prstGeom prst="rect">
                      <a:avLst/>
                    </a:prstGeom>
                  </pic:spPr>
                </pic:pic>
              </a:graphicData>
            </a:graphic>
          </wp:inline>
        </w:drawing>
      </w:r>
      <w:r>
        <w:rPr/>
      </w:r>
      <w:r>
        <w:rPr/>
        <w:tab/>
      </w:r>
      <w:r>
        <w:rPr>
          <w:position w:val="1"/>
        </w:rPr>
        <w:drawing>
          <wp:inline distT="0" distB="0" distL="0" distR="0">
            <wp:extent cx="639852" cy="723900"/>
            <wp:effectExtent l="0" t="0" r="0" b="0"/>
            <wp:docPr id="5" name="image13.png" descr=""/>
            <wp:cNvGraphicFramePr>
              <a:graphicFrameLocks noChangeAspect="1"/>
            </wp:cNvGraphicFramePr>
            <a:graphic>
              <a:graphicData uri="http://schemas.openxmlformats.org/drawingml/2006/picture">
                <pic:pic>
                  <pic:nvPicPr>
                    <pic:cNvPr id="6" name="image13.png"/>
                    <pic:cNvPicPr/>
                  </pic:nvPicPr>
                  <pic:blipFill>
                    <a:blip r:embed="rId18" cstate="print"/>
                    <a:stretch>
                      <a:fillRect/>
                    </a:stretch>
                  </pic:blipFill>
                  <pic:spPr>
                    <a:xfrm>
                      <a:off x="0" y="0"/>
                      <a:ext cx="639852" cy="723900"/>
                    </a:xfrm>
                    <a:prstGeom prst="rect">
                      <a:avLst/>
                    </a:prstGeom>
                  </pic:spPr>
                </pic:pic>
              </a:graphicData>
            </a:graphic>
          </wp:inline>
        </w:drawing>
      </w:r>
      <w:r>
        <w:rPr>
          <w:position w:val="1"/>
        </w:rPr>
      </w:r>
      <w:r>
        <w:rPr>
          <w:position w:val="1"/>
        </w:rPr>
        <w:tab/>
      </w:r>
      <w:r>
        <w:rPr>
          <w:position w:val="1"/>
        </w:rPr>
        <w:pict>
          <v:group style="width:57.65pt;height:57.1pt;mso-position-horizontal-relative:char;mso-position-vertical-relative:line" coordorigin="0,0" coordsize="1153,1142">
            <v:shape style="position:absolute;left:10;top:649;width:102;height:65" coordorigin="10,649" coordsize="102,65" path="m40,649l22,653,16,657,13,663,10,668,10,678,13,689,18,714,91,699,25,699,22,683,22,677,23,673,25,669,29,666,41,664,64,664,63,662,49,651,40,649xm64,664l41,664,47,665,56,672,59,678,60,686,61,691,25,699,91,699,112,694,110,689,72,689,68,671,64,664xm109,681l72,689,110,689,109,681xe" filled="true" fillcolor="#000000" stroked="false">
              <v:path arrowok="t"/>
              <v:fill type="solid"/>
            </v:shape>
            <v:shape style="position:absolute;left:0;top:569;width:99;height:62" coordorigin="0,569" coordsize="99,62" path="m10,577l0,578,3,631,99,625,98,617,13,617,10,577xm51,581l41,582,43,615,13,617,98,617,98,614,53,614,51,581xm96,569l85,570,88,612,53,614,98,614,96,569xe" filled="true" fillcolor="#000000" stroked="false">
              <v:path arrowok="t"/>
              <v:fill type="solid"/>
            </v:shape>
            <v:shape style="position:absolute;left:0;top:471;width:101;height:87" coordorigin="0,471" coordsize="101,87" path="m41,471l30,473,22,479,16,482,12,487,9,493,7,498,6,498,5,506,4,515,0,547,95,557,97,543,87,543,12,534,14,514,15,507,19,498,22,495,34,487,43,485,87,485,82,479,70,474,54,472,41,471xm87,485l43,485,66,488,75,492,88,504,90,513,89,525,87,543,97,543,101,510,97,498,87,485xe" filled="true" fillcolor="#000000" stroked="false">
              <v:path arrowok="t"/>
              <v:fill type="solid"/>
            </v:shape>
            <v:shape style="position:absolute;left:24;top:390;width:107;height:85" coordorigin="24,390" coordsize="107,85" path="m130,390l28,397,24,410,104,474,108,463,86,445,88,438,77,438,43,410,87,407,97,407,98,406,126,404,130,390xm97,407l87,407,77,438,88,438,97,407xe" filled="true" fillcolor="#000000" stroked="false">
              <v:path arrowok="t"/>
              <v:fill type="solid"/>
            </v:shape>
            <v:shape style="position:absolute;left:59;top:274;width:108;height:98" coordorigin="59,274" coordsize="108,98" path="m85,274l78,282,72,290,67,299,60,312,59,324,63,338,67,347,76,357,90,364,100,369,110,371,120,372,128,371,140,367,149,359,118,359,108,357,85,345,78,338,71,322,71,313,79,297,86,289,96,280,85,274xm132,298l125,310,153,325,152,330,150,335,143,349,136,355,127,357,118,359,149,359,160,338,164,328,166,316,132,298xe" filled="true" fillcolor="#000000" stroked="false">
              <v:path arrowok="t"/>
              <v:fill type="solid"/>
            </v:shape>
            <v:shape style="position:absolute;left:115;top:191;width:102;height:98" coordorigin="115,191" coordsize="102,98" path="m170,191l146,193,136,198,119,219,115,231,117,243,119,255,126,266,150,285,162,289,186,288,197,283,202,277,184,277,166,276,157,272,137,256,131,248,127,231,129,223,135,215,141,208,148,204,193,204,182,196,170,191xm193,204l148,204,166,205,175,209,195,225,201,233,205,250,203,258,191,273,184,277,202,277,214,262,217,250,215,238,213,226,206,215,193,204xe" filled="true" fillcolor="#000000" stroked="false">
              <v:path arrowok="t"/>
              <v:fill type="solid"/>
            </v:shape>
            <v:shape style="position:absolute;left:193;top:108;width:104;height:108" coordorigin="193,108" coordsize="104,108" path="m238,108l228,112,219,118,200,133,194,144,194,157,193,168,198,180,218,205,229,212,253,215,264,211,275,202,254,202,236,199,227,193,211,174,207,164,206,146,210,138,218,132,224,127,233,122,246,117,238,108xm272,148l261,157,281,181,278,185,275,189,271,192,263,199,254,202,275,202,283,196,290,188,296,178,272,148xe" filled="true" fillcolor="#000000" stroked="false">
              <v:path arrowok="t"/>
              <v:fill type="solid"/>
            </v:shape>
            <v:shape style="position:absolute;left:265;top:81;width:63;height:89" coordorigin="265,81" coordsize="63,89" path="m277,81l265,88,316,169,328,162,277,81xe" filled="true" fillcolor="#000000" stroked="false">
              <v:path arrowok="t"/>
              <v:fill type="solid"/>
            </v:shape>
            <v:shape style="position:absolute;left:315;top:35;width:95;height:108" coordorigin="315,35" coordsize="95,108" path="m372,35l360,37,351,40,329,50,321,59,317,70,315,79,315,89,317,99,321,109,328,124,336,133,358,142,371,142,394,131,396,130,363,130,346,122,339,114,329,92,327,81,332,64,338,57,353,50,364,48,377,46,372,35xm405,105l397,115,390,121,372,129,363,130,396,130,403,124,409,116,405,105xe" filled="true" fillcolor="#000000" stroked="false">
              <v:path arrowok="t"/>
              <v:fill type="solid"/>
            </v:shape>
            <v:shape style="position:absolute;left:415;top:13;width:87;height:106" coordorigin="415,13" coordsize="87,106" path="m441,13l428,16,415,118,427,115,431,87,470,77,487,77,487,76,432,76,438,32,455,32,441,13xm487,77l470,77,487,100,501,97,487,77xm455,32l438,32,464,68,432,76,487,76,455,32xe" filled="true" fillcolor="#000000" stroked="false">
              <v:path arrowok="t"/>
              <v:fill type="solid"/>
            </v:shape>
            <v:shape style="position:absolute;left:503;top:0;width:65;height:97" coordorigin="503,0" coordsize="65,97" path="m517,0l503,1,512,97,568,92,568,85,524,85,517,0xm567,82l524,85,568,85,567,82xe" filled="true" fillcolor="#000000" stroked="false">
              <v:path arrowok="t"/>
              <v:fill type="solid"/>
            </v:shape>
            <v:shape style="position:absolute;left:663;top:6;width:85;height:107" coordorigin="663,6" coordsize="85,107" path="m681,6l663,77,664,87,672,101,680,106,703,112,712,111,718,107,725,102,725,102,702,102,695,100,687,98,682,94,680,89,677,84,677,77,680,68,694,9,681,6xm736,19l719,88,716,94,712,98,708,101,702,102,725,102,730,94,748,22,736,19xe" filled="true" fillcolor="#000000" stroked="false">
              <v:path arrowok="t"/>
              <v:fill type="solid"/>
            </v:shape>
            <v:shape style="position:absolute;left:743;top:34;width:107;height:118" coordorigin="743,34" coordsize="107,118" path="m798,59l785,59,798,147,810,152,821,127,808,127,798,59xm839,60l808,127,821,127,850,65,839,60xm784,34l743,121,754,126,785,59,798,59,796,40,784,34xe" filled="true" fillcolor="#000000" stroked="false">
              <v:path arrowok="t"/>
              <v:fill type="solid"/>
            </v:shape>
            <v:shape style="position:absolute;left:828;top:83;width:63;height:89" coordorigin="828,83" coordsize="63,89" path="m879,83l828,164,839,172,891,91,879,83xe" filled="true" fillcolor="#000000" stroked="false">
              <v:path arrowok="t"/>
              <v:fill type="solid"/>
            </v:shape>
            <v:shape style="position:absolute;left:877;top:102;width:98;height:106" coordorigin="877,102" coordsize="98,106" path="m910,102l877,199,887,207,914,192,893,192,921,111,910,102xm966,148l893,192,914,192,975,156,966,148xe" filled="true" fillcolor="#000000" stroked="false">
              <v:path arrowok="t"/>
              <v:fill type="solid"/>
            </v:shape>
            <v:shape style="position:absolute;left:920;top:174;width:108;height:106" coordorigin="920,174" coordsize="108,106" path="m992,174l920,238,958,280,965,273,937,241,963,218,976,218,970,212,994,191,1007,191,992,174xm976,218l963,218,985,243,993,237,976,218xm1007,191l994,191,1020,221,1028,215,1007,191xe" filled="true" fillcolor="#000000" stroked="false">
              <v:path arrowok="t"/>
              <v:fill type="solid"/>
            </v:shape>
            <v:shape style="position:absolute;left:965;top:238;width:104;height:111" coordorigin="965,238" coordsize="104,111" path="m1018,279l1006,279,1013,290,1013,290,993,335,1002,349,1023,298,1059,298,1062,296,1037,296,1026,292,1018,279xm1059,298l1023,298,1035,306,1046,306,1059,298xm1045,238l965,290,972,301,1006,279,1018,279,1015,274,1044,255,1056,255,1045,238xm1056,255l1044,255,1049,262,1056,274,1056,278,1056,283,1037,296,1062,296,1063,295,1067,290,1068,278,1066,271,1061,263,1056,255xe" filled="true" fillcolor="#000000" stroked="false">
              <v:path arrowok="t"/>
              <v:fill type="solid"/>
            </v:shape>
            <v:shape style="position:absolute;left:1005;top:322;width:106;height:79" coordorigin="1005,322" coordsize="106,79" path="m1018,347l1005,353,1007,363,1009,371,1015,386,1021,393,1035,400,1043,400,1056,394,1060,391,1062,387,1039,387,1035,387,1027,383,1024,380,1019,368,1018,359,1018,347xm1077,322l1066,327,1062,330,1057,340,1055,347,1054,356,1053,370,1052,375,1050,378,1049,381,1046,383,1043,385,1039,387,1062,387,1065,381,1066,374,1069,350,1070,345,1071,342,1073,339,1075,337,1078,336,1081,334,1103,334,1102,333,1097,328,1084,322,1077,322xm1103,334l1081,334,1085,334,1088,336,1092,338,1094,341,1096,345,1098,350,1100,358,1100,368,1111,363,1110,355,1108,347,1105,341,1103,334xe" filled="true" fillcolor="#000000" stroked="false">
              <v:path arrowok="t"/>
              <v:fill type="solid"/>
            </v:shape>
            <v:shape style="position:absolute;left:1032;top:394;width:96;height:42" coordorigin="1032,394" coordsize="96,42" path="m1123,394l1032,423,1036,436,1127,407,1123,394xe" filled="true" fillcolor="#000000" stroked="false">
              <v:path arrowok="t"/>
              <v:fill type="solid"/>
            </v:shape>
            <v:shape style="position:absolute;left:1046;top:428;width:103;height:79" coordorigin="1046,428" coordsize="103,79" path="m1143,475l1133,475,1139,506,1149,504,1143,475xm1134,428l1124,430,1130,461,1046,477,1049,490,1133,475,1143,475,1134,428xe" filled="true" fillcolor="#000000" stroked="false">
              <v:path arrowok="t"/>
              <v:fill type="solid"/>
            </v:shape>
            <v:shape style="position:absolute;left:1055;top:518;width:97;height:80" coordorigin="1055,518" coordsize="97,80" path="m1117,565l1096,565,1152,598,1152,585,1117,565xm1150,518l1095,552,1055,552,1056,566,1096,565,1117,565,1108,560,1151,534,1150,518xe" filled="true" fillcolor="#000000" stroked="false">
              <v:path arrowok="t"/>
              <v:fill type="solid"/>
            </v:shape>
            <v:shape style="position:absolute;left:433;top:199;width:291;height:170" coordorigin="433,199" coordsize="291,170" path="m433,202l437,237,447,292,449,305,453,341,485,351,517,358,578,368,608,363,638,358,669,352,700,344,707,297,683,297,675,295,468,295,466,278,466,278,469,271,475,267,479,262,474,242,461,229,445,218,433,202xm723,205l707,220,688,233,673,247,671,262,671,263,676,270,682,278,686,286,686,287,683,297,707,297,712,265,717,239,723,205xm503,263l501,277,493,286,482,292,468,295,675,295,670,292,666,289,558,289,546,286,534,285,523,285,514,283,509,278,513,263,503,263xm575,199l567,213,555,226,543,240,537,258,542,266,550,270,556,276,558,289,666,289,665,288,605,288,596,286,599,275,606,269,613,265,616,258,611,244,599,229,585,214,575,199xm648,260l638,268,645,278,639,283,629,285,617,287,605,288,665,288,660,284,653,273,648,260xe" filled="true" fillcolor="#000000" stroked="false">
              <v:path arrowok="t"/>
              <v:fill type="solid"/>
            </v:shape>
            <v:shape style="position:absolute;left:195;top:934;width:172;height:138" type="#_x0000_t75" stroked="false">
              <v:imagedata r:id="rId19" o:title=""/>
            </v:shape>
            <v:shape style="position:absolute;left:436;top:901;width:544;height:240" type="#_x0000_t75" stroked="false">
              <v:imagedata r:id="rId20" o:title=""/>
            </v:shape>
            <v:shape style="position:absolute;left:324;top:373;width:493;height:549" coordorigin="324,373" coordsize="493,549" path="m817,373l326,373,326,390,326,446,325,530,324,636,326,727,353,783,404,823,527,884,572,921,618,882,680,849,732,823,561,823,503,798,433,777,372,749,339,703,338,661,339,573,340,481,340,390,817,390,817,373xm802,390l340,390,363,400,486,446,522,462,552,481,564,503,563,576,561,660,560,727,560,749,561,823,581,823,579,745,577,653,576,556,580,501,595,481,624,465,657,451,685,440,718,426,749,414,776,402,802,390xm817,390l802,390,801,597,801,634,801,673,802,707,802,721,793,731,787,737,769,752,746,764,722,774,669,794,639,804,581,823,732,823,743,817,793,779,814,729,816,634,817,556,817,390xe" filled="true" fillcolor="#000000" stroked="false">
              <v:path arrowok="t"/>
              <v:fill type="solid"/>
            </v:shape>
            <v:shape style="position:absolute;left:342;top:486;width:216;height:264" type="#_x0000_t75" stroked="false">
              <v:imagedata r:id="rId21" o:title=""/>
            </v:shape>
            <v:shape style="position:absolute;left:598;top:475;width:180;height:272" type="#_x0000_t75" stroked="false">
              <v:imagedata r:id="rId22" o:title=""/>
            </v:shape>
          </v:group>
        </w:pict>
      </w:r>
      <w:r>
        <w:rPr>
          <w:position w:val="1"/>
        </w:rPr>
      </w:r>
    </w:p>
    <w:p>
      <w:pPr>
        <w:spacing w:after="0"/>
        <w:sectPr>
          <w:type w:val="continuous"/>
          <w:pgSz w:w="18830" w:h="12760" w:orient="landscape"/>
          <w:pgMar w:top="1420" w:bottom="280" w:left="740" w:right="820"/>
        </w:sectPr>
      </w:pPr>
    </w:p>
    <w:p>
      <w:pPr>
        <w:pStyle w:val="Heading1"/>
        <w:spacing w:before="53"/>
        <w:ind w:left="7732"/>
      </w:pPr>
      <w:r>
        <w:rPr/>
        <w:t>UNIVERSIDAD AUTÓNOMA DEL ESTADO DE MÉXICO</w:t>
      </w:r>
    </w:p>
    <w:p>
      <w:pPr>
        <w:pStyle w:val="BodyText"/>
        <w:spacing w:before="7"/>
        <w:rPr>
          <w:b/>
          <w:sz w:val="22"/>
        </w:rPr>
      </w:pPr>
    </w:p>
    <w:p>
      <w:pPr>
        <w:spacing w:line="278" w:lineRule="auto" w:before="0"/>
        <w:ind w:left="7732" w:right="4096" w:firstLine="0"/>
        <w:jc w:val="left"/>
        <w:rPr>
          <w:sz w:val="18"/>
        </w:rPr>
      </w:pPr>
      <w:r>
        <w:rPr>
          <w:sz w:val="18"/>
        </w:rPr>
        <w:t>Dr. en D. Jorge Olvera García Rector</w:t>
      </w:r>
    </w:p>
    <w:p>
      <w:pPr>
        <w:pStyle w:val="BodyText"/>
        <w:spacing w:before="10"/>
      </w:pPr>
    </w:p>
    <w:p>
      <w:pPr>
        <w:spacing w:line="278" w:lineRule="auto" w:before="1"/>
        <w:ind w:left="7732" w:right="4096" w:firstLine="0"/>
        <w:jc w:val="left"/>
        <w:rPr>
          <w:sz w:val="18"/>
        </w:rPr>
      </w:pPr>
      <w:r>
        <w:rPr>
          <w:sz w:val="18"/>
        </w:rPr>
        <w:t>Dr. en Ed. Alfredo Barrera Baca Secretario de Docencia</w:t>
      </w:r>
    </w:p>
    <w:p>
      <w:pPr>
        <w:pStyle w:val="BodyText"/>
        <w:spacing w:before="10"/>
      </w:pPr>
    </w:p>
    <w:p>
      <w:pPr>
        <w:spacing w:line="278" w:lineRule="auto" w:before="1"/>
        <w:ind w:left="7732" w:right="1495" w:firstLine="0"/>
        <w:jc w:val="left"/>
        <w:rPr>
          <w:sz w:val="18"/>
        </w:rPr>
      </w:pPr>
      <w:r>
        <w:rPr>
          <w:sz w:val="18"/>
        </w:rPr>
        <w:t>Dra. en Est. Lat. Ángeles Ma. del Rosario Pérez Bernal Secretaria de Investigación y Estudios Avanzados</w:t>
      </w:r>
    </w:p>
    <w:p>
      <w:pPr>
        <w:pStyle w:val="BodyText"/>
        <w:spacing w:before="10"/>
      </w:pPr>
    </w:p>
    <w:p>
      <w:pPr>
        <w:spacing w:line="278" w:lineRule="auto" w:before="1"/>
        <w:ind w:left="7732" w:right="3246" w:firstLine="0"/>
        <w:jc w:val="left"/>
        <w:rPr>
          <w:sz w:val="18"/>
        </w:rPr>
      </w:pPr>
      <w:r>
        <w:rPr>
          <w:sz w:val="18"/>
        </w:rPr>
        <w:t>Dr. en D. Hiram Raúl Piña Libien Secretario de Rectoría</w:t>
      </w:r>
    </w:p>
    <w:p>
      <w:pPr>
        <w:pStyle w:val="BodyText"/>
        <w:spacing w:before="10"/>
      </w:pPr>
    </w:p>
    <w:p>
      <w:pPr>
        <w:spacing w:line="278" w:lineRule="auto" w:before="1"/>
        <w:ind w:left="7732" w:right="3246" w:firstLine="0"/>
        <w:jc w:val="left"/>
        <w:rPr>
          <w:sz w:val="18"/>
        </w:rPr>
      </w:pPr>
      <w:r>
        <w:rPr>
          <w:sz w:val="18"/>
        </w:rPr>
        <w:t>M. en E. P. y D. Ivett Tinoco García Secretaria de Difusión Cultural</w:t>
      </w:r>
    </w:p>
    <w:p>
      <w:pPr>
        <w:pStyle w:val="BodyText"/>
        <w:spacing w:before="10"/>
      </w:pPr>
    </w:p>
    <w:p>
      <w:pPr>
        <w:spacing w:line="278" w:lineRule="auto" w:before="1"/>
        <w:ind w:left="7732" w:right="1495" w:firstLine="0"/>
        <w:jc w:val="left"/>
        <w:rPr>
          <w:sz w:val="18"/>
        </w:rPr>
      </w:pPr>
      <w:r>
        <w:rPr>
          <w:sz w:val="18"/>
        </w:rPr>
        <w:t>M. en C. Ed. Fam. María de los Angeles Bernal García Secretaria de Extensión y Vinculación</w:t>
      </w:r>
    </w:p>
    <w:p>
      <w:pPr>
        <w:pStyle w:val="BodyText"/>
        <w:spacing w:before="10"/>
      </w:pPr>
    </w:p>
    <w:p>
      <w:pPr>
        <w:spacing w:line="278" w:lineRule="auto" w:before="1"/>
        <w:ind w:left="7732" w:right="3246" w:firstLine="0"/>
        <w:jc w:val="left"/>
        <w:rPr>
          <w:sz w:val="18"/>
        </w:rPr>
      </w:pPr>
      <w:r>
        <w:rPr>
          <w:sz w:val="18"/>
        </w:rPr>
        <w:t>M. en E. Javier González Martínez Secretario de Administración</w:t>
      </w:r>
    </w:p>
    <w:p>
      <w:pPr>
        <w:pStyle w:val="BodyText"/>
        <w:spacing w:before="10"/>
      </w:pPr>
    </w:p>
    <w:p>
      <w:pPr>
        <w:spacing w:before="1"/>
        <w:ind w:left="7782" w:right="0" w:firstLine="0"/>
        <w:jc w:val="left"/>
        <w:rPr>
          <w:sz w:val="18"/>
        </w:rPr>
      </w:pPr>
      <w:r>
        <w:rPr>
          <w:sz w:val="18"/>
        </w:rPr>
        <w:t>Dr. en C. Pol. Manuel Hernández Luna</w:t>
      </w:r>
    </w:p>
    <w:p>
      <w:pPr>
        <w:spacing w:before="33"/>
        <w:ind w:left="7732" w:right="0" w:firstLine="0"/>
        <w:jc w:val="left"/>
        <w:rPr>
          <w:sz w:val="18"/>
        </w:rPr>
      </w:pPr>
      <w:r>
        <w:rPr>
          <w:sz w:val="18"/>
        </w:rPr>
        <w:t>Secretario de Planeación y Desarrollo Institucional</w:t>
      </w:r>
    </w:p>
    <w:p>
      <w:pPr>
        <w:pStyle w:val="BodyText"/>
        <w:spacing w:before="8"/>
        <w:rPr>
          <w:sz w:val="23"/>
        </w:rPr>
      </w:pPr>
    </w:p>
    <w:p>
      <w:pPr>
        <w:spacing w:line="278" w:lineRule="auto" w:before="0"/>
        <w:ind w:left="7732" w:right="2335" w:firstLine="0"/>
        <w:jc w:val="left"/>
        <w:rPr>
          <w:sz w:val="18"/>
        </w:rPr>
      </w:pPr>
      <w:r>
        <w:rPr>
          <w:sz w:val="18"/>
        </w:rPr>
        <w:t>M. en A. Ed. Yolanda E. Ballesteros Sentíes Secretaria de Cooperación Internacional</w:t>
      </w:r>
    </w:p>
    <w:p>
      <w:pPr>
        <w:pStyle w:val="BodyText"/>
        <w:spacing w:before="10"/>
      </w:pPr>
    </w:p>
    <w:p>
      <w:pPr>
        <w:spacing w:line="278" w:lineRule="auto" w:before="1"/>
        <w:ind w:left="7732" w:right="3246" w:firstLine="0"/>
        <w:jc w:val="left"/>
        <w:rPr>
          <w:sz w:val="18"/>
        </w:rPr>
      </w:pPr>
      <w:r>
        <w:rPr>
          <w:sz w:val="18"/>
        </w:rPr>
        <w:t>M. en D. José Benjamín Bernal Suárez Abogado General</w:t>
      </w:r>
    </w:p>
    <w:p>
      <w:pPr>
        <w:pStyle w:val="BodyText"/>
        <w:spacing w:before="10"/>
      </w:pPr>
    </w:p>
    <w:p>
      <w:pPr>
        <w:spacing w:before="1"/>
        <w:ind w:left="7732" w:right="0" w:firstLine="0"/>
        <w:jc w:val="left"/>
        <w:rPr>
          <w:sz w:val="18"/>
        </w:rPr>
      </w:pPr>
      <w:r>
        <w:rPr>
          <w:sz w:val="18"/>
        </w:rPr>
        <w:t>Lic. en Com. Juan Portilla Estrada</w:t>
      </w:r>
    </w:p>
    <w:p>
      <w:pPr>
        <w:spacing w:before="33"/>
        <w:ind w:left="7732" w:right="0" w:firstLine="0"/>
        <w:jc w:val="left"/>
        <w:rPr>
          <w:sz w:val="18"/>
        </w:rPr>
      </w:pPr>
      <w:r>
        <w:rPr>
          <w:sz w:val="18"/>
        </w:rPr>
        <w:t>Director General de Comunicación Universitaria</w:t>
      </w:r>
    </w:p>
    <w:p>
      <w:pPr>
        <w:pStyle w:val="BodyText"/>
        <w:spacing w:before="8"/>
        <w:rPr>
          <w:sz w:val="23"/>
        </w:rPr>
      </w:pPr>
    </w:p>
    <w:p>
      <w:pPr>
        <w:spacing w:line="278" w:lineRule="auto" w:before="0"/>
        <w:ind w:left="7732" w:right="3966" w:firstLine="0"/>
        <w:jc w:val="left"/>
        <w:rPr>
          <w:sz w:val="18"/>
        </w:rPr>
      </w:pPr>
      <w:r>
        <w:rPr>
          <w:sz w:val="18"/>
        </w:rPr>
        <w:t>Lic. Jorge Bernáldez García Secretario Técnico de la Rectoría</w:t>
      </w:r>
    </w:p>
    <w:p>
      <w:pPr>
        <w:pStyle w:val="BodyText"/>
        <w:spacing w:before="10"/>
      </w:pPr>
    </w:p>
    <w:p>
      <w:pPr>
        <w:spacing w:before="1"/>
        <w:ind w:left="7732" w:right="0" w:firstLine="0"/>
        <w:jc w:val="left"/>
        <w:rPr>
          <w:sz w:val="18"/>
        </w:rPr>
      </w:pPr>
      <w:r>
        <w:rPr>
          <w:sz w:val="18"/>
        </w:rPr>
        <w:t>M. en A. Emilio Tovar Pérez</w:t>
      </w:r>
    </w:p>
    <w:p>
      <w:pPr>
        <w:spacing w:before="33"/>
        <w:ind w:left="7732" w:right="0" w:firstLine="0"/>
        <w:jc w:val="left"/>
        <w:rPr>
          <w:sz w:val="18"/>
        </w:rPr>
      </w:pPr>
      <w:r>
        <w:rPr>
          <w:sz w:val="18"/>
        </w:rPr>
        <w:t>Director General de Centros Universitarios y Unidades Académicas Profesionales</w:t>
      </w:r>
    </w:p>
    <w:p>
      <w:pPr>
        <w:pStyle w:val="BodyText"/>
        <w:spacing w:before="8"/>
        <w:rPr>
          <w:sz w:val="23"/>
        </w:rPr>
      </w:pPr>
    </w:p>
    <w:p>
      <w:pPr>
        <w:pStyle w:val="ListParagraph"/>
        <w:numPr>
          <w:ilvl w:val="0"/>
          <w:numId w:val="1"/>
        </w:numPr>
        <w:tabs>
          <w:tab w:pos="7990" w:val="left" w:leader="none"/>
        </w:tabs>
        <w:spacing w:line="278" w:lineRule="auto" w:before="0" w:after="0"/>
        <w:ind w:left="7732" w:right="3970" w:firstLine="0"/>
        <w:jc w:val="left"/>
        <w:rPr>
          <w:sz w:val="18"/>
        </w:rPr>
      </w:pPr>
      <w:r>
        <w:rPr>
          <w:sz w:val="18"/>
        </w:rPr>
        <w:t>en A. Ignacio Gutiérrez</w:t>
      </w:r>
      <w:r>
        <w:rPr>
          <w:spacing w:val="-12"/>
          <w:sz w:val="18"/>
        </w:rPr>
        <w:t> </w:t>
      </w:r>
      <w:r>
        <w:rPr>
          <w:sz w:val="18"/>
        </w:rPr>
        <w:t>Padilla Contralor</w:t>
      </w:r>
      <w:r>
        <w:rPr>
          <w:spacing w:val="12"/>
          <w:sz w:val="18"/>
        </w:rPr>
        <w:t> </w:t>
      </w:r>
      <w:r>
        <w:rPr>
          <w:sz w:val="18"/>
        </w:rPr>
        <w:t>Universitario</w:t>
      </w:r>
    </w:p>
    <w:p>
      <w:pPr>
        <w:spacing w:after="0" w:line="278" w:lineRule="auto"/>
        <w:jc w:val="left"/>
        <w:rPr>
          <w:sz w:val="18"/>
        </w:rPr>
        <w:sectPr>
          <w:pgSz w:w="18830" w:h="12760" w:orient="landscape"/>
          <w:pgMar w:top="840" w:bottom="280" w:left="2720" w:right="1720"/>
        </w:sectPr>
      </w:pPr>
    </w:p>
    <w:p>
      <w:pPr>
        <w:pStyle w:val="BodyText"/>
      </w:pPr>
    </w:p>
    <w:p>
      <w:pPr>
        <w:pStyle w:val="BodyText"/>
      </w:pPr>
    </w:p>
    <w:p>
      <w:pPr>
        <w:pStyle w:val="Heading1"/>
        <w:spacing w:before="213"/>
        <w:ind w:left="7732" w:right="1925"/>
      </w:pPr>
      <w:r>
        <w:rPr/>
        <w:t>FACULTAD DE GEOGRAFÍA</w:t>
      </w:r>
    </w:p>
    <w:p>
      <w:pPr>
        <w:pStyle w:val="BodyText"/>
        <w:spacing w:before="7"/>
        <w:rPr>
          <w:b/>
          <w:sz w:val="22"/>
        </w:rPr>
      </w:pPr>
    </w:p>
    <w:p>
      <w:pPr>
        <w:spacing w:line="278" w:lineRule="auto" w:before="0"/>
        <w:ind w:left="7732" w:right="3186" w:firstLine="0"/>
        <w:jc w:val="left"/>
        <w:rPr>
          <w:sz w:val="18"/>
        </w:rPr>
      </w:pPr>
      <w:r>
        <w:rPr>
          <w:sz w:val="18"/>
        </w:rPr>
        <w:t>Francisco Zepeda Mondragón Director</w:t>
      </w:r>
    </w:p>
    <w:p>
      <w:pPr>
        <w:pStyle w:val="BodyText"/>
        <w:spacing w:before="10"/>
      </w:pPr>
    </w:p>
    <w:p>
      <w:pPr>
        <w:spacing w:line="278" w:lineRule="auto" w:before="1"/>
        <w:ind w:left="7732" w:right="3186" w:firstLine="0"/>
        <w:jc w:val="left"/>
        <w:rPr>
          <w:sz w:val="18"/>
        </w:rPr>
      </w:pPr>
      <w:r>
        <w:rPr>
          <w:sz w:val="18"/>
        </w:rPr>
        <w:t>Arturo Barreto Estrada Subdirector Académico</w:t>
      </w:r>
    </w:p>
    <w:p>
      <w:pPr>
        <w:pStyle w:val="BodyText"/>
        <w:spacing w:before="10"/>
      </w:pPr>
    </w:p>
    <w:p>
      <w:pPr>
        <w:spacing w:line="278" w:lineRule="auto" w:before="1"/>
        <w:ind w:left="7732" w:right="3186" w:firstLine="0"/>
        <w:jc w:val="left"/>
        <w:rPr>
          <w:sz w:val="18"/>
        </w:rPr>
      </w:pPr>
      <w:r>
        <w:rPr>
          <w:sz w:val="18"/>
        </w:rPr>
        <w:t>Rubén Ochoa Mora Subdirector Administrativo</w:t>
      </w:r>
    </w:p>
    <w:p>
      <w:pPr>
        <w:pStyle w:val="BodyText"/>
        <w:spacing w:before="10"/>
      </w:pPr>
    </w:p>
    <w:p>
      <w:pPr>
        <w:spacing w:before="1"/>
        <w:ind w:left="7732" w:right="1925" w:firstLine="0"/>
        <w:jc w:val="left"/>
        <w:rPr>
          <w:sz w:val="18"/>
        </w:rPr>
      </w:pPr>
      <w:r>
        <w:rPr>
          <w:sz w:val="18"/>
        </w:rPr>
        <w:t>Xanat Antonio Némiga</w:t>
      </w:r>
    </w:p>
    <w:p>
      <w:pPr>
        <w:spacing w:before="33"/>
        <w:ind w:left="7732" w:right="1925" w:firstLine="0"/>
        <w:jc w:val="left"/>
        <w:rPr>
          <w:sz w:val="18"/>
        </w:rPr>
      </w:pPr>
      <w:r>
        <w:rPr>
          <w:sz w:val="18"/>
        </w:rPr>
        <w:t>Coordinadora de Investigación y Posgrado</w:t>
      </w:r>
    </w:p>
    <w:p>
      <w:pPr>
        <w:pStyle w:val="BodyText"/>
        <w:spacing w:before="8"/>
        <w:rPr>
          <w:sz w:val="23"/>
        </w:rPr>
      </w:pPr>
    </w:p>
    <w:p>
      <w:pPr>
        <w:spacing w:line="278" w:lineRule="auto" w:before="0"/>
        <w:ind w:left="7732" w:right="2266" w:firstLine="0"/>
        <w:jc w:val="left"/>
        <w:rPr>
          <w:sz w:val="18"/>
        </w:rPr>
      </w:pPr>
      <w:r>
        <w:rPr>
          <w:sz w:val="18"/>
        </w:rPr>
        <w:t>Miguel Eduardo García Reyna Coordinador de Difusión Cultural</w:t>
      </w:r>
    </w:p>
    <w:p>
      <w:pPr>
        <w:pStyle w:val="BodyText"/>
        <w:spacing w:before="10"/>
      </w:pPr>
    </w:p>
    <w:p>
      <w:pPr>
        <w:spacing w:line="278" w:lineRule="auto" w:before="1"/>
        <w:ind w:left="7732" w:right="1925" w:firstLine="0"/>
        <w:jc w:val="left"/>
        <w:rPr>
          <w:sz w:val="18"/>
        </w:rPr>
      </w:pPr>
      <w:r>
        <w:rPr>
          <w:sz w:val="18"/>
        </w:rPr>
        <w:t>Lidia Alejandra González Becerril Coordinadora de Extensión y Vinculación</w:t>
      </w:r>
    </w:p>
    <w:p>
      <w:pPr>
        <w:pStyle w:val="BodyText"/>
        <w:spacing w:before="10"/>
      </w:pPr>
    </w:p>
    <w:p>
      <w:pPr>
        <w:spacing w:line="278" w:lineRule="auto" w:before="1"/>
        <w:ind w:left="7732" w:right="3186" w:firstLine="0"/>
        <w:jc w:val="left"/>
        <w:rPr>
          <w:sz w:val="18"/>
        </w:rPr>
      </w:pPr>
      <w:r>
        <w:rPr>
          <w:sz w:val="18"/>
        </w:rPr>
        <w:t>Nancy Sierra López Coordinadora de Planeación</w:t>
      </w:r>
    </w:p>
    <w:p>
      <w:pPr>
        <w:pStyle w:val="BodyText"/>
        <w:spacing w:before="10"/>
      </w:pPr>
    </w:p>
    <w:p>
      <w:pPr>
        <w:spacing w:before="1"/>
        <w:ind w:left="7732" w:right="1925" w:firstLine="0"/>
        <w:jc w:val="left"/>
        <w:rPr>
          <w:sz w:val="18"/>
        </w:rPr>
      </w:pPr>
      <w:r>
        <w:rPr>
          <w:sz w:val="18"/>
        </w:rPr>
        <w:t>Elsa Mireya Rosales Estrada</w:t>
      </w:r>
    </w:p>
    <w:p>
      <w:pPr>
        <w:spacing w:before="33"/>
        <w:ind w:left="7732" w:right="1925" w:firstLine="0"/>
        <w:jc w:val="left"/>
        <w:rPr>
          <w:sz w:val="18"/>
        </w:rPr>
      </w:pPr>
      <w:r>
        <w:rPr>
          <w:sz w:val="18"/>
        </w:rPr>
        <w:t>Coordinadora de Cooperación Internacional</w:t>
      </w:r>
    </w:p>
    <w:p>
      <w:pPr>
        <w:pStyle w:val="BodyText"/>
        <w:spacing w:before="8"/>
        <w:rPr>
          <w:sz w:val="23"/>
        </w:rPr>
      </w:pPr>
    </w:p>
    <w:p>
      <w:pPr>
        <w:spacing w:before="0"/>
        <w:ind w:left="7732" w:right="1925" w:firstLine="0"/>
        <w:jc w:val="left"/>
        <w:rPr>
          <w:sz w:val="18"/>
        </w:rPr>
      </w:pPr>
      <w:r>
        <w:rPr>
          <w:sz w:val="18"/>
        </w:rPr>
        <w:t>Patricia Flores Olvera</w:t>
      </w:r>
    </w:p>
    <w:p>
      <w:pPr>
        <w:spacing w:before="33"/>
        <w:ind w:left="7732" w:right="1925" w:firstLine="0"/>
        <w:jc w:val="left"/>
        <w:rPr>
          <w:sz w:val="18"/>
        </w:rPr>
      </w:pPr>
      <w:r>
        <w:rPr>
          <w:sz w:val="18"/>
        </w:rPr>
        <w:t>Coordinadora de la Licenciatura en Geografía</w:t>
      </w:r>
    </w:p>
    <w:p>
      <w:pPr>
        <w:pStyle w:val="BodyText"/>
        <w:spacing w:before="8"/>
        <w:rPr>
          <w:sz w:val="23"/>
        </w:rPr>
      </w:pPr>
    </w:p>
    <w:p>
      <w:pPr>
        <w:spacing w:before="0"/>
        <w:ind w:left="7732" w:right="1925" w:firstLine="0"/>
        <w:jc w:val="left"/>
        <w:rPr>
          <w:sz w:val="18"/>
        </w:rPr>
      </w:pPr>
      <w:r>
        <w:rPr>
          <w:sz w:val="18"/>
        </w:rPr>
        <w:t>Esperanza Palma Salgado</w:t>
      </w:r>
    </w:p>
    <w:p>
      <w:pPr>
        <w:spacing w:before="33"/>
        <w:ind w:left="7732" w:right="1255" w:firstLine="0"/>
        <w:jc w:val="left"/>
        <w:rPr>
          <w:sz w:val="18"/>
        </w:rPr>
      </w:pPr>
      <w:r>
        <w:rPr>
          <w:sz w:val="18"/>
        </w:rPr>
        <w:t>Coordinadora de la Licenciatura en Geoinformática</w:t>
      </w:r>
    </w:p>
    <w:p>
      <w:pPr>
        <w:pStyle w:val="BodyText"/>
        <w:spacing w:before="8"/>
        <w:rPr>
          <w:sz w:val="23"/>
        </w:rPr>
      </w:pPr>
    </w:p>
    <w:p>
      <w:pPr>
        <w:spacing w:before="0"/>
        <w:ind w:left="7732" w:right="1925" w:firstLine="0"/>
        <w:jc w:val="left"/>
        <w:rPr>
          <w:sz w:val="18"/>
        </w:rPr>
      </w:pPr>
      <w:r>
        <w:rPr>
          <w:sz w:val="18"/>
        </w:rPr>
        <w:t>Agustín Olmos Cruz</w:t>
      </w:r>
    </w:p>
    <w:p>
      <w:pPr>
        <w:spacing w:line="278" w:lineRule="auto" w:before="33"/>
        <w:ind w:left="7732" w:right="1255" w:firstLine="0"/>
        <w:jc w:val="left"/>
        <w:rPr>
          <w:sz w:val="18"/>
        </w:rPr>
      </w:pPr>
      <w:r>
        <w:rPr>
          <w:sz w:val="18"/>
        </w:rPr>
        <w:t>Coordinador de la Licenciatura en Geología Ambiental y Recursos Hídricos</w:t>
      </w:r>
    </w:p>
    <w:p>
      <w:pPr>
        <w:spacing w:after="0" w:line="278" w:lineRule="auto"/>
        <w:jc w:val="left"/>
        <w:rPr>
          <w:sz w:val="18"/>
        </w:rPr>
        <w:sectPr>
          <w:pgSz w:w="18830" w:h="12760" w:orient="landscape"/>
          <w:pgMar w:top="1180" w:bottom="280" w:left="2720" w:right="27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6"/>
        </w:rPr>
      </w:pPr>
    </w:p>
    <w:p>
      <w:pPr>
        <w:pStyle w:val="Heading1"/>
        <w:spacing w:before="72"/>
        <w:ind w:left="7718"/>
      </w:pPr>
      <w:r>
        <w:rPr/>
        <w:t>FACULTAD DE PLANEACION URBANA Y REGIONAL</w:t>
      </w:r>
    </w:p>
    <w:p>
      <w:pPr>
        <w:pStyle w:val="BodyText"/>
        <w:spacing w:before="7"/>
        <w:rPr>
          <w:b/>
          <w:sz w:val="22"/>
        </w:rPr>
      </w:pPr>
    </w:p>
    <w:p>
      <w:pPr>
        <w:spacing w:line="278" w:lineRule="auto" w:before="0"/>
        <w:ind w:left="7718" w:right="3570" w:firstLine="0"/>
        <w:jc w:val="left"/>
        <w:rPr>
          <w:sz w:val="18"/>
        </w:rPr>
      </w:pPr>
      <w:r>
        <w:rPr>
          <w:sz w:val="18"/>
        </w:rPr>
        <w:t>Juan Roberto Calderon Maya Director</w:t>
      </w:r>
    </w:p>
    <w:p>
      <w:pPr>
        <w:pStyle w:val="BodyText"/>
        <w:spacing w:before="10"/>
      </w:pPr>
    </w:p>
    <w:p>
      <w:pPr>
        <w:spacing w:line="278" w:lineRule="auto" w:before="1"/>
        <w:ind w:left="7718" w:right="3570" w:firstLine="0"/>
        <w:jc w:val="left"/>
        <w:rPr>
          <w:sz w:val="18"/>
        </w:rPr>
      </w:pPr>
      <w:r>
        <w:rPr>
          <w:sz w:val="18"/>
        </w:rPr>
        <w:t>Isidro Rogel Fajardo Subdirector Academico</w:t>
      </w:r>
    </w:p>
    <w:p>
      <w:pPr>
        <w:pStyle w:val="BodyText"/>
        <w:spacing w:before="10"/>
      </w:pPr>
    </w:p>
    <w:p>
      <w:pPr>
        <w:spacing w:line="278" w:lineRule="auto" w:before="1"/>
        <w:ind w:left="7718" w:right="3570" w:firstLine="0"/>
        <w:jc w:val="left"/>
        <w:rPr>
          <w:sz w:val="18"/>
        </w:rPr>
      </w:pPr>
      <w:r>
        <w:rPr>
          <w:sz w:val="18"/>
        </w:rPr>
        <w:t>Sergio Rivera Morales Subdirectora Administrativa</w:t>
      </w:r>
    </w:p>
    <w:p>
      <w:pPr>
        <w:pStyle w:val="BodyText"/>
        <w:spacing w:before="10"/>
      </w:pPr>
    </w:p>
    <w:p>
      <w:pPr>
        <w:spacing w:line="278" w:lineRule="auto" w:before="1"/>
        <w:ind w:left="7718" w:right="3570" w:firstLine="0"/>
        <w:jc w:val="left"/>
        <w:rPr>
          <w:sz w:val="18"/>
        </w:rPr>
      </w:pPr>
      <w:r>
        <w:rPr>
          <w:sz w:val="18"/>
        </w:rPr>
        <w:t>Yadira Contreras Juárez Coordinadora del Posgrado</w:t>
      </w:r>
    </w:p>
    <w:p>
      <w:pPr>
        <w:pStyle w:val="BodyText"/>
        <w:spacing w:before="10"/>
      </w:pPr>
    </w:p>
    <w:p>
      <w:pPr>
        <w:spacing w:before="1"/>
        <w:ind w:left="7718" w:right="0" w:firstLine="0"/>
        <w:jc w:val="left"/>
        <w:rPr>
          <w:sz w:val="18"/>
        </w:rPr>
      </w:pPr>
      <w:r>
        <w:rPr>
          <w:sz w:val="18"/>
        </w:rPr>
        <w:t>Carlos Alberto Pérez Ramírez</w:t>
      </w:r>
    </w:p>
    <w:p>
      <w:pPr>
        <w:spacing w:line="278" w:lineRule="auto" w:before="33"/>
        <w:ind w:left="7718" w:right="1018" w:firstLine="0"/>
        <w:jc w:val="left"/>
        <w:rPr>
          <w:sz w:val="18"/>
        </w:rPr>
      </w:pPr>
      <w:r>
        <w:rPr>
          <w:sz w:val="18"/>
        </w:rPr>
        <w:t>Coordinadora del Centro de Investigacion y Estudios Avanzados en Planeación Territorial (CEPLAT)</w:t>
      </w:r>
    </w:p>
    <w:p>
      <w:pPr>
        <w:pStyle w:val="BodyText"/>
        <w:spacing w:before="10"/>
      </w:pPr>
    </w:p>
    <w:p>
      <w:pPr>
        <w:spacing w:line="278" w:lineRule="auto" w:before="1"/>
        <w:ind w:left="7718" w:right="2499" w:firstLine="0"/>
        <w:jc w:val="left"/>
        <w:rPr>
          <w:sz w:val="18"/>
        </w:rPr>
      </w:pPr>
      <w:r>
        <w:rPr>
          <w:sz w:val="18"/>
        </w:rPr>
        <w:t>Rubén Amado Serrano Gonzaga Coordinador de Difusión Cultural</w:t>
      </w:r>
    </w:p>
    <w:p>
      <w:pPr>
        <w:pStyle w:val="BodyText"/>
        <w:spacing w:before="10"/>
      </w:pPr>
    </w:p>
    <w:p>
      <w:pPr>
        <w:spacing w:before="1"/>
        <w:ind w:left="7718" w:right="0" w:firstLine="0"/>
        <w:jc w:val="left"/>
        <w:rPr>
          <w:sz w:val="18"/>
        </w:rPr>
      </w:pPr>
      <w:r>
        <w:rPr>
          <w:sz w:val="18"/>
        </w:rPr>
        <w:t>Benigno González García</w:t>
      </w:r>
    </w:p>
    <w:p>
      <w:pPr>
        <w:spacing w:before="33"/>
        <w:ind w:left="7718" w:right="0" w:firstLine="0"/>
        <w:jc w:val="left"/>
        <w:rPr>
          <w:sz w:val="18"/>
        </w:rPr>
      </w:pPr>
      <w:r>
        <w:rPr>
          <w:sz w:val="18"/>
        </w:rPr>
        <w:t>Coordinador de la Licenciatura en Planeación Territorial</w:t>
      </w:r>
    </w:p>
    <w:p>
      <w:pPr>
        <w:pStyle w:val="BodyText"/>
        <w:spacing w:before="8"/>
        <w:rPr>
          <w:sz w:val="23"/>
        </w:rPr>
      </w:pPr>
    </w:p>
    <w:p>
      <w:pPr>
        <w:spacing w:before="0"/>
        <w:ind w:left="7718" w:right="0" w:firstLine="0"/>
        <w:jc w:val="left"/>
        <w:rPr>
          <w:sz w:val="18"/>
        </w:rPr>
      </w:pPr>
      <w:r>
        <w:rPr>
          <w:sz w:val="18"/>
        </w:rPr>
        <w:t>Tómas Ángel Bernal Dávila</w:t>
      </w:r>
    </w:p>
    <w:p>
      <w:pPr>
        <w:spacing w:before="33"/>
        <w:ind w:left="7718" w:right="0" w:firstLine="0"/>
        <w:jc w:val="left"/>
        <w:rPr>
          <w:sz w:val="18"/>
        </w:rPr>
      </w:pPr>
      <w:r>
        <w:rPr>
          <w:sz w:val="18"/>
        </w:rPr>
        <w:t>Coordinador de la Licenciatura en Ciencias Ambientales</w:t>
      </w:r>
    </w:p>
    <w:p>
      <w:pPr>
        <w:spacing w:after="0"/>
        <w:jc w:val="left"/>
        <w:rPr>
          <w:sz w:val="18"/>
        </w:rPr>
        <w:sectPr>
          <w:pgSz w:w="18830" w:h="12760" w:orient="landscape"/>
          <w:pgMar w:top="1180" w:bottom="280" w:left="2720" w:right="2300"/>
        </w:sectPr>
      </w:pPr>
    </w:p>
    <w:p>
      <w:pPr>
        <w:pStyle w:val="BodyText"/>
      </w:pPr>
    </w:p>
    <w:p>
      <w:pPr>
        <w:pStyle w:val="BodyText"/>
      </w:pPr>
    </w:p>
    <w:p>
      <w:pPr>
        <w:pStyle w:val="BodyText"/>
        <w:spacing w:before="8"/>
        <w:rPr>
          <w:sz w:val="21"/>
        </w:rPr>
      </w:pPr>
    </w:p>
    <w:p>
      <w:pPr>
        <w:pStyle w:val="Heading3"/>
        <w:spacing w:line="249" w:lineRule="auto" w:before="1"/>
        <w:ind w:left="7732" w:right="479"/>
      </w:pPr>
      <w:r>
        <w:rPr/>
        <w:t>Red “Internacional de territorios, sustentabilidad y gobernanza en México y Polonia (RETESyG)”</w:t>
      </w:r>
    </w:p>
    <w:p>
      <w:pPr>
        <w:pStyle w:val="BodyText"/>
        <w:rPr>
          <w:b/>
        </w:rPr>
      </w:pPr>
    </w:p>
    <w:p>
      <w:pPr>
        <w:pStyle w:val="BodyText"/>
        <w:rPr>
          <w:b/>
        </w:rPr>
      </w:pPr>
    </w:p>
    <w:p>
      <w:pPr>
        <w:pStyle w:val="BodyText"/>
        <w:spacing w:before="8"/>
        <w:rPr>
          <w:b/>
          <w:sz w:val="22"/>
        </w:rPr>
      </w:pPr>
    </w:p>
    <w:p>
      <w:pPr>
        <w:pStyle w:val="ListParagraph"/>
        <w:numPr>
          <w:ilvl w:val="1"/>
          <w:numId w:val="1"/>
        </w:numPr>
        <w:tabs>
          <w:tab w:pos="7956" w:val="left" w:leader="none"/>
        </w:tabs>
        <w:spacing w:line="240" w:lineRule="auto" w:before="0" w:after="0"/>
        <w:ind w:left="113" w:right="0" w:firstLine="7619"/>
        <w:jc w:val="left"/>
        <w:rPr>
          <w:b/>
          <w:sz w:val="20"/>
        </w:rPr>
      </w:pPr>
      <w:r>
        <w:rPr>
          <w:b/>
          <w:sz w:val="20"/>
        </w:rPr>
        <w:t>C.A. en Geografía, ordenación y gestión sustentable del</w:t>
      </w:r>
      <w:r>
        <w:rPr>
          <w:b/>
          <w:spacing w:val="-10"/>
          <w:sz w:val="20"/>
        </w:rPr>
        <w:t> </w:t>
      </w:r>
      <w:r>
        <w:rPr>
          <w:b/>
          <w:sz w:val="20"/>
        </w:rPr>
        <w:t>territorio</w:t>
      </w:r>
    </w:p>
    <w:p>
      <w:pPr>
        <w:pStyle w:val="BodyText"/>
        <w:spacing w:line="249" w:lineRule="auto" w:before="10"/>
        <w:ind w:left="7732" w:right="3863"/>
      </w:pPr>
      <w:r>
        <w:rPr/>
        <w:t>Marcela Virginia Santana Juárez Elsa Mireya Rosales Estrada Luis Ricardo Manzano Solís</w:t>
      </w:r>
    </w:p>
    <w:p>
      <w:pPr>
        <w:pStyle w:val="BodyText"/>
        <w:spacing w:before="11"/>
      </w:pPr>
    </w:p>
    <w:p>
      <w:pPr>
        <w:pStyle w:val="Heading3"/>
        <w:numPr>
          <w:ilvl w:val="1"/>
          <w:numId w:val="1"/>
        </w:numPr>
        <w:tabs>
          <w:tab w:pos="7956" w:val="left" w:leader="none"/>
        </w:tabs>
        <w:spacing w:line="240" w:lineRule="auto" w:before="0" w:after="0"/>
        <w:ind w:left="7955" w:right="0" w:hanging="223"/>
        <w:jc w:val="left"/>
      </w:pPr>
      <w:r>
        <w:rPr/>
        <w:t>C.A. Relaciones Metrópoli –</w:t>
      </w:r>
      <w:r>
        <w:rPr>
          <w:spacing w:val="-3"/>
        </w:rPr>
        <w:t> </w:t>
      </w:r>
      <w:r>
        <w:rPr/>
        <w:t>Ambiente</w:t>
      </w:r>
    </w:p>
    <w:p>
      <w:pPr>
        <w:pStyle w:val="BodyText"/>
        <w:spacing w:line="249" w:lineRule="auto" w:before="10"/>
        <w:ind w:left="7732" w:right="4063"/>
      </w:pPr>
      <w:r>
        <w:rPr/>
        <w:t>Guadalupe Hoyos Castillo Eduardo Campos Medina Rosa María Sánchez Nájera Salvador Adame Martínez</w:t>
      </w:r>
    </w:p>
    <w:p>
      <w:pPr>
        <w:pStyle w:val="BodyText"/>
        <w:spacing w:before="11"/>
      </w:pPr>
    </w:p>
    <w:p>
      <w:pPr>
        <w:pStyle w:val="Heading3"/>
        <w:numPr>
          <w:ilvl w:val="1"/>
          <w:numId w:val="1"/>
        </w:numPr>
        <w:tabs>
          <w:tab w:pos="7956" w:val="left" w:leader="none"/>
        </w:tabs>
        <w:spacing w:line="240" w:lineRule="auto" w:before="0" w:after="0"/>
        <w:ind w:left="7955" w:right="0" w:hanging="223"/>
        <w:jc w:val="left"/>
      </w:pPr>
      <w:r>
        <w:rPr/>
        <w:t>C.A. en Desarrollo, ambiente y procesos de configuración territorial</w:t>
      </w:r>
    </w:p>
    <w:p>
      <w:pPr>
        <w:pStyle w:val="BodyText"/>
        <w:spacing w:before="10"/>
        <w:ind w:left="7732" w:right="479"/>
      </w:pPr>
      <w:r>
        <w:rPr/>
        <w:t>Elizabeth Díaz Cuenca</w:t>
      </w:r>
    </w:p>
    <w:p>
      <w:pPr>
        <w:pStyle w:val="BodyText"/>
        <w:spacing w:before="10"/>
        <w:ind w:left="7732" w:right="479"/>
      </w:pPr>
      <w:r>
        <w:rPr/>
        <w:t>Alejandro Rafael Alvarado Granados</w:t>
      </w:r>
    </w:p>
    <w:p>
      <w:pPr>
        <w:pStyle w:val="BodyText"/>
        <w:spacing w:before="8"/>
        <w:rPr>
          <w:sz w:val="21"/>
        </w:rPr>
      </w:pPr>
    </w:p>
    <w:p>
      <w:pPr>
        <w:pStyle w:val="Heading3"/>
        <w:numPr>
          <w:ilvl w:val="1"/>
          <w:numId w:val="1"/>
        </w:numPr>
        <w:tabs>
          <w:tab w:pos="7956" w:val="left" w:leader="none"/>
        </w:tabs>
        <w:spacing w:line="240" w:lineRule="auto" w:before="0" w:after="0"/>
        <w:ind w:left="7955" w:right="0" w:hanging="223"/>
        <w:jc w:val="left"/>
      </w:pPr>
      <w:r>
        <w:rPr/>
        <w:t>C.A. en Procesos socioeconómicos y</w:t>
      </w:r>
      <w:r>
        <w:rPr>
          <w:spacing w:val="-11"/>
        </w:rPr>
        <w:t> </w:t>
      </w:r>
      <w:r>
        <w:rPr/>
        <w:t>espaciales</w:t>
      </w:r>
    </w:p>
    <w:p>
      <w:pPr>
        <w:pStyle w:val="BodyText"/>
        <w:spacing w:before="10"/>
        <w:ind w:left="7732" w:right="479"/>
      </w:pPr>
      <w:r>
        <w:rPr/>
        <w:t>Edel Gilberto Cadena Vargas</w:t>
      </w:r>
    </w:p>
    <w:p>
      <w:pPr>
        <w:pStyle w:val="BodyText"/>
        <w:spacing w:before="8"/>
        <w:rPr>
          <w:sz w:val="21"/>
        </w:rPr>
      </w:pPr>
    </w:p>
    <w:p>
      <w:pPr>
        <w:pStyle w:val="Heading3"/>
        <w:numPr>
          <w:ilvl w:val="1"/>
          <w:numId w:val="1"/>
        </w:numPr>
        <w:tabs>
          <w:tab w:pos="7956" w:val="left" w:leader="none"/>
        </w:tabs>
        <w:spacing w:line="240" w:lineRule="auto" w:before="0" w:after="0"/>
        <w:ind w:left="7955" w:right="0" w:hanging="223"/>
        <w:jc w:val="left"/>
      </w:pPr>
      <w:r>
        <w:rPr/>
        <w:t>C.A. en Análisis geográfico</w:t>
      </w:r>
      <w:r>
        <w:rPr>
          <w:spacing w:val="-25"/>
        </w:rPr>
        <w:t> </w:t>
      </w:r>
      <w:r>
        <w:rPr/>
        <w:t>regional</w:t>
      </w:r>
    </w:p>
    <w:p>
      <w:pPr>
        <w:pStyle w:val="BodyText"/>
        <w:spacing w:line="249" w:lineRule="auto" w:before="10"/>
        <w:ind w:left="7732" w:right="3990"/>
      </w:pPr>
      <w:r>
        <w:rPr/>
        <w:t>Noel Bonfilio Pineda Jaimes Georgina Sierra Domínguez Jesús Gastón Gutiérrez Cedillo Xanat Antonio Némiga</w:t>
      </w:r>
    </w:p>
    <w:p>
      <w:pPr>
        <w:pStyle w:val="BodyText"/>
        <w:spacing w:before="1"/>
        <w:ind w:left="7732" w:right="479"/>
      </w:pPr>
      <w:r>
        <w:rPr/>
        <w:t>Lidia Alejandra González Becerril</w:t>
      </w:r>
    </w:p>
    <w:p>
      <w:pPr>
        <w:pStyle w:val="BodyText"/>
        <w:spacing w:before="8"/>
        <w:rPr>
          <w:sz w:val="21"/>
        </w:rPr>
      </w:pPr>
    </w:p>
    <w:p>
      <w:pPr>
        <w:pStyle w:val="Heading3"/>
        <w:numPr>
          <w:ilvl w:val="1"/>
          <w:numId w:val="1"/>
        </w:numPr>
        <w:tabs>
          <w:tab w:pos="7956" w:val="left" w:leader="none"/>
        </w:tabs>
        <w:spacing w:line="240" w:lineRule="auto" w:before="0" w:after="0"/>
        <w:ind w:left="7955" w:right="0" w:hanging="223"/>
        <w:jc w:val="left"/>
      </w:pPr>
      <w:r>
        <w:rPr/>
        <w:t>C.A. Planeación, Urbanismo y Medio</w:t>
      </w:r>
      <w:r>
        <w:rPr>
          <w:spacing w:val="1"/>
        </w:rPr>
        <w:t> </w:t>
      </w:r>
      <w:r>
        <w:rPr/>
        <w:t>Ambiente</w:t>
      </w:r>
    </w:p>
    <w:p>
      <w:pPr>
        <w:pStyle w:val="BodyText"/>
        <w:spacing w:line="249" w:lineRule="auto" w:before="10"/>
        <w:ind w:left="7732" w:right="3689"/>
      </w:pPr>
      <w:r>
        <w:rPr/>
        <w:t>Pedro Leobardo Jiménez Sánchez Juan Roberto Calderón Maya Héctor Campos Alanís</w:t>
      </w:r>
    </w:p>
    <w:p>
      <w:pPr>
        <w:spacing w:after="0" w:line="249" w:lineRule="auto"/>
        <w:sectPr>
          <w:pgSz w:w="18830" w:h="12760" w:orient="landscape"/>
          <w:pgMar w:top="1180" w:bottom="280" w:left="2720" w:right="1600"/>
        </w:sectPr>
      </w:pPr>
    </w:p>
    <w:p>
      <w:pPr>
        <w:pStyle w:val="Heading3"/>
        <w:numPr>
          <w:ilvl w:val="1"/>
          <w:numId w:val="1"/>
        </w:numPr>
        <w:tabs>
          <w:tab w:pos="337" w:val="left" w:leader="none"/>
        </w:tabs>
        <w:spacing w:line="240" w:lineRule="auto" w:before="90" w:after="0"/>
        <w:ind w:left="336" w:right="0" w:hanging="223"/>
        <w:jc w:val="left"/>
      </w:pPr>
      <w:r>
        <w:rPr/>
        <w:t>Grupo de Investigación de la Facultad de Geografía,</w:t>
      </w:r>
      <w:r>
        <w:rPr>
          <w:spacing w:val="8"/>
        </w:rPr>
        <w:t> </w:t>
      </w:r>
      <w:r>
        <w:rPr/>
        <w:t>UAEM</w:t>
      </w:r>
    </w:p>
    <w:p>
      <w:pPr>
        <w:pStyle w:val="BodyText"/>
        <w:spacing w:before="10"/>
        <w:ind w:left="113" w:right="3136"/>
      </w:pPr>
      <w:r>
        <w:rPr/>
        <w:t>Agustín Olmos Cruz</w:t>
      </w:r>
    </w:p>
    <w:p>
      <w:pPr>
        <w:pStyle w:val="BodyText"/>
        <w:spacing w:line="249" w:lineRule="auto" w:before="10"/>
        <w:ind w:left="113" w:right="3136"/>
      </w:pPr>
      <w:r>
        <w:rPr/>
        <w:t>Rebeca Angélica Serrano Barquín Renata Juilliani Ruiz Gutiérrez Giovanna Santana Castañeda</w:t>
      </w:r>
    </w:p>
    <w:p>
      <w:pPr>
        <w:pStyle w:val="BodyText"/>
        <w:spacing w:before="11"/>
      </w:pPr>
    </w:p>
    <w:p>
      <w:pPr>
        <w:pStyle w:val="Heading3"/>
        <w:numPr>
          <w:ilvl w:val="1"/>
          <w:numId w:val="1"/>
        </w:numPr>
        <w:tabs>
          <w:tab w:pos="337" w:val="left" w:leader="none"/>
        </w:tabs>
        <w:spacing w:line="240" w:lineRule="auto" w:before="0" w:after="0"/>
        <w:ind w:left="336" w:right="0" w:hanging="223"/>
        <w:jc w:val="left"/>
      </w:pPr>
      <w:r>
        <w:rPr/>
        <w:t>Grupo</w:t>
      </w:r>
      <w:r>
        <w:rPr>
          <w:spacing w:val="-5"/>
        </w:rPr>
        <w:t> </w:t>
      </w:r>
      <w:r>
        <w:rPr/>
        <w:t>de</w:t>
      </w:r>
      <w:r>
        <w:rPr>
          <w:spacing w:val="-5"/>
        </w:rPr>
        <w:t> </w:t>
      </w:r>
      <w:r>
        <w:rPr/>
        <w:t>Investigación</w:t>
      </w:r>
      <w:r>
        <w:rPr>
          <w:spacing w:val="-5"/>
        </w:rPr>
        <w:t> </w:t>
      </w:r>
      <w:r>
        <w:rPr/>
        <w:t>de</w:t>
      </w:r>
      <w:r>
        <w:rPr>
          <w:spacing w:val="-5"/>
        </w:rPr>
        <w:t> </w:t>
      </w:r>
      <w:r>
        <w:rPr/>
        <w:t>la</w:t>
      </w:r>
      <w:r>
        <w:rPr>
          <w:spacing w:val="-5"/>
        </w:rPr>
        <w:t> </w:t>
      </w:r>
      <w:r>
        <w:rPr/>
        <w:t>Universidad</w:t>
      </w:r>
      <w:r>
        <w:rPr>
          <w:spacing w:val="-5"/>
        </w:rPr>
        <w:t> </w:t>
      </w:r>
      <w:r>
        <w:rPr/>
        <w:t>de</w:t>
      </w:r>
      <w:r>
        <w:rPr>
          <w:spacing w:val="-5"/>
        </w:rPr>
        <w:t> </w:t>
      </w:r>
      <w:r>
        <w:rPr/>
        <w:t>Varsovia</w:t>
      </w:r>
      <w:r>
        <w:rPr>
          <w:spacing w:val="-5"/>
        </w:rPr>
        <w:t> </w:t>
      </w:r>
      <w:r>
        <w:rPr/>
        <w:t>Polonia.</w:t>
      </w:r>
    </w:p>
    <w:p>
      <w:pPr>
        <w:pStyle w:val="BodyText"/>
        <w:spacing w:line="249" w:lineRule="auto" w:before="10"/>
        <w:ind w:left="113" w:right="5053"/>
      </w:pPr>
      <w:r>
        <w:rPr/>
        <w:t>Miroslawa Czerny Jerzy Makowski</w:t>
      </w:r>
    </w:p>
    <w:p>
      <w:pPr>
        <w:pStyle w:val="BodyText"/>
        <w:spacing w:before="11"/>
      </w:pPr>
    </w:p>
    <w:p>
      <w:pPr>
        <w:pStyle w:val="Heading3"/>
        <w:numPr>
          <w:ilvl w:val="1"/>
          <w:numId w:val="1"/>
        </w:numPr>
        <w:tabs>
          <w:tab w:pos="337" w:val="left" w:leader="none"/>
        </w:tabs>
        <w:spacing w:line="249" w:lineRule="auto" w:before="0" w:after="0"/>
        <w:ind w:left="113" w:right="0" w:firstLine="0"/>
        <w:jc w:val="left"/>
      </w:pPr>
      <w:r>
        <w:rPr/>
        <w:t>Grupo de investigación de la Universidad Pedagógica</w:t>
      </w:r>
      <w:r>
        <w:rPr>
          <w:spacing w:val="-26"/>
        </w:rPr>
        <w:t> </w:t>
      </w:r>
      <w:r>
        <w:rPr/>
        <w:t>“Comisión</w:t>
      </w:r>
      <w:r>
        <w:rPr>
          <w:spacing w:val="-4"/>
        </w:rPr>
        <w:t> </w:t>
      </w:r>
      <w:r>
        <w:rPr/>
        <w:t>de</w:t>
      </w:r>
      <w:r>
        <w:rPr>
          <w:w w:val="101"/>
        </w:rPr>
        <w:t> </w:t>
      </w:r>
      <w:r>
        <w:rPr/>
        <w:t>Educación Nacional”  de</w:t>
      </w:r>
      <w:r>
        <w:rPr>
          <w:spacing w:val="-2"/>
        </w:rPr>
        <w:t> </w:t>
      </w:r>
      <w:r>
        <w:rPr/>
        <w:t>Cracovia.</w:t>
      </w:r>
    </w:p>
    <w:p>
      <w:pPr>
        <w:pStyle w:val="BodyText"/>
        <w:spacing w:line="249" w:lineRule="auto" w:before="1"/>
        <w:ind w:left="113" w:right="4293"/>
      </w:pPr>
      <w:r>
        <w:rPr/>
        <w:t>Anna Winiarczyk-Razniak Miroslaw Wójtowicz Renata Rettinger Agnieszka Kwiatek- Soltys</w:t>
      </w:r>
    </w:p>
    <w:p>
      <w:pPr>
        <w:pStyle w:val="Heading1"/>
        <w:spacing w:before="53"/>
        <w:ind w:left="113"/>
        <w:jc w:val="both"/>
      </w:pPr>
      <w:r>
        <w:rPr>
          <w:b w:val="0"/>
        </w:rPr>
        <w:br w:type="column"/>
      </w:r>
      <w:r>
        <w:rPr/>
        <w:t>INDICE</w:t>
      </w:r>
    </w:p>
    <w:p>
      <w:pPr>
        <w:pStyle w:val="BodyText"/>
        <w:rPr>
          <w:b/>
          <w:sz w:val="24"/>
        </w:rPr>
      </w:pPr>
    </w:p>
    <w:p>
      <w:pPr>
        <w:pStyle w:val="BodyText"/>
        <w:spacing w:before="5"/>
        <w:rPr>
          <w:b/>
          <w:sz w:val="19"/>
        </w:rPr>
      </w:pPr>
    </w:p>
    <w:p>
      <w:pPr>
        <w:spacing w:line="278" w:lineRule="auto" w:before="1"/>
        <w:ind w:left="113" w:right="0" w:firstLine="0"/>
        <w:jc w:val="left"/>
        <w:rPr>
          <w:b/>
          <w:sz w:val="18"/>
        </w:rPr>
      </w:pPr>
      <w:r>
        <w:rPr>
          <w:b/>
          <w:sz w:val="18"/>
        </w:rPr>
        <w:t>Vulnerabilidad del territorio frente a los procesos de la expansión urbana</w:t>
      </w:r>
    </w:p>
    <w:p>
      <w:pPr>
        <w:spacing w:line="184" w:lineRule="exact" w:before="0"/>
        <w:ind w:left="113" w:right="0" w:firstLine="0"/>
        <w:jc w:val="both"/>
        <w:rPr>
          <w:sz w:val="16"/>
        </w:rPr>
      </w:pPr>
      <w:r>
        <w:rPr>
          <w:color w:val="6D6E71"/>
          <w:sz w:val="16"/>
        </w:rPr>
        <w:t>Mirosława Czerny</w:t>
      </w:r>
    </w:p>
    <w:p>
      <w:pPr>
        <w:pStyle w:val="BodyText"/>
        <w:rPr>
          <w:sz w:val="16"/>
        </w:rPr>
      </w:pPr>
    </w:p>
    <w:p>
      <w:pPr>
        <w:pStyle w:val="BodyText"/>
        <w:rPr>
          <w:sz w:val="16"/>
        </w:rPr>
      </w:pPr>
    </w:p>
    <w:p>
      <w:pPr>
        <w:pStyle w:val="BodyText"/>
        <w:spacing w:before="8"/>
        <w:rPr>
          <w:sz w:val="14"/>
        </w:rPr>
      </w:pPr>
    </w:p>
    <w:p>
      <w:pPr>
        <w:spacing w:line="278" w:lineRule="auto" w:before="0"/>
        <w:ind w:left="113" w:right="0" w:firstLine="0"/>
        <w:jc w:val="left"/>
        <w:rPr>
          <w:b/>
          <w:sz w:val="18"/>
        </w:rPr>
      </w:pPr>
      <w:r>
        <w:rPr>
          <w:b/>
          <w:sz w:val="18"/>
        </w:rPr>
        <w:t>Apuntes y reflexiones teóricas para la comprensión de la periferia en el contexto metropolitano</w:t>
      </w:r>
    </w:p>
    <w:p>
      <w:pPr>
        <w:spacing w:line="288" w:lineRule="auto" w:before="0"/>
        <w:ind w:left="113" w:right="2423" w:firstLine="0"/>
        <w:jc w:val="left"/>
        <w:rPr>
          <w:sz w:val="16"/>
        </w:rPr>
      </w:pPr>
      <w:r>
        <w:rPr>
          <w:color w:val="6D6E71"/>
          <w:sz w:val="16"/>
        </w:rPr>
        <w:t>Pedro Leobardo Jiménez Sánchez, Juan Roberto Calderón Maya y Héctor Campos Alanís</w:t>
      </w:r>
    </w:p>
    <w:p>
      <w:pPr>
        <w:pStyle w:val="BodyText"/>
        <w:rPr>
          <w:sz w:val="16"/>
        </w:rPr>
      </w:pPr>
    </w:p>
    <w:p>
      <w:pPr>
        <w:pStyle w:val="BodyText"/>
        <w:rPr>
          <w:sz w:val="16"/>
        </w:rPr>
      </w:pPr>
    </w:p>
    <w:p>
      <w:pPr>
        <w:pStyle w:val="BodyText"/>
        <w:spacing w:before="4"/>
        <w:rPr>
          <w:sz w:val="13"/>
        </w:rPr>
      </w:pPr>
    </w:p>
    <w:p>
      <w:pPr>
        <w:spacing w:line="278" w:lineRule="auto" w:before="0"/>
        <w:ind w:left="113" w:right="0" w:firstLine="0"/>
        <w:jc w:val="left"/>
        <w:rPr>
          <w:b/>
          <w:sz w:val="18"/>
        </w:rPr>
      </w:pPr>
      <w:r>
        <w:rPr>
          <w:b/>
          <w:sz w:val="18"/>
        </w:rPr>
        <w:t>¿La planeación estratégica una alternativa de gobernanza para enfrentar la expansión urbana del territorio?</w:t>
      </w:r>
    </w:p>
    <w:p>
      <w:pPr>
        <w:spacing w:line="164" w:lineRule="exact" w:before="0"/>
        <w:ind w:left="113" w:right="0" w:firstLine="0"/>
        <w:jc w:val="both"/>
        <w:rPr>
          <w:sz w:val="16"/>
        </w:rPr>
      </w:pPr>
      <w:r>
        <w:rPr>
          <w:color w:val="6D6E71"/>
          <w:sz w:val="16"/>
        </w:rPr>
        <w:t>Elsa Mireya Rosales Estrada, Marcela Virginia Santana Juárez y Giovanna</w:t>
      </w:r>
      <w:r>
        <w:rPr>
          <w:color w:val="6D6E71"/>
          <w:spacing w:val="-7"/>
          <w:sz w:val="16"/>
        </w:rPr>
        <w:t> </w:t>
      </w:r>
      <w:r>
        <w:rPr>
          <w:color w:val="6D6E71"/>
          <w:sz w:val="16"/>
        </w:rPr>
        <w:t>Santana</w:t>
      </w:r>
    </w:p>
    <w:p>
      <w:pPr>
        <w:spacing w:before="16"/>
        <w:ind w:left="113" w:right="0" w:firstLine="0"/>
        <w:jc w:val="both"/>
        <w:rPr>
          <w:sz w:val="16"/>
        </w:rPr>
      </w:pPr>
      <w:r>
        <w:rPr>
          <w:color w:val="6D6E71"/>
          <w:sz w:val="16"/>
        </w:rPr>
        <w:t>Castañeda</w:t>
      </w:r>
    </w:p>
    <w:p>
      <w:pPr>
        <w:pStyle w:val="BodyText"/>
        <w:rPr>
          <w:sz w:val="16"/>
        </w:rPr>
      </w:pPr>
    </w:p>
    <w:p>
      <w:pPr>
        <w:pStyle w:val="BodyText"/>
        <w:rPr>
          <w:sz w:val="15"/>
        </w:rPr>
      </w:pPr>
    </w:p>
    <w:p>
      <w:pPr>
        <w:spacing w:before="0"/>
        <w:ind w:left="113" w:right="0" w:firstLine="0"/>
        <w:jc w:val="both"/>
        <w:rPr>
          <w:b/>
          <w:sz w:val="18"/>
        </w:rPr>
      </w:pPr>
      <w:r>
        <w:rPr>
          <w:b/>
          <w:sz w:val="18"/>
        </w:rPr>
        <w:t>Gobernanza territorial: bases teórico-conceptuales</w:t>
      </w:r>
    </w:p>
    <w:p>
      <w:pPr>
        <w:spacing w:before="31"/>
        <w:ind w:left="113" w:right="0" w:firstLine="0"/>
        <w:jc w:val="both"/>
        <w:rPr>
          <w:sz w:val="16"/>
        </w:rPr>
      </w:pPr>
      <w:r>
        <w:rPr>
          <w:color w:val="6D6E71"/>
          <w:sz w:val="16"/>
        </w:rPr>
        <w:t>Viridiana Rodríguez Sánchez y Francisco Javier Rosas Ferrusca</w:t>
      </w:r>
    </w:p>
    <w:p>
      <w:pPr>
        <w:pStyle w:val="BodyText"/>
        <w:rPr>
          <w:sz w:val="16"/>
        </w:rPr>
      </w:pPr>
    </w:p>
    <w:p>
      <w:pPr>
        <w:pStyle w:val="BodyText"/>
        <w:rPr>
          <w:sz w:val="16"/>
        </w:rPr>
      </w:pPr>
    </w:p>
    <w:p>
      <w:pPr>
        <w:pStyle w:val="BodyText"/>
        <w:spacing w:before="8"/>
        <w:rPr>
          <w:sz w:val="14"/>
        </w:rPr>
      </w:pPr>
    </w:p>
    <w:p>
      <w:pPr>
        <w:spacing w:line="278" w:lineRule="auto" w:before="0"/>
        <w:ind w:left="113" w:right="0" w:firstLine="0"/>
        <w:jc w:val="left"/>
        <w:rPr>
          <w:b/>
          <w:sz w:val="18"/>
        </w:rPr>
      </w:pPr>
      <w:r>
        <w:rPr>
          <w:b/>
          <w:sz w:val="18"/>
        </w:rPr>
        <w:t>Sustentabilidad y manejo de recursos naturales: un referente en construcción desde lo local</w:t>
      </w:r>
    </w:p>
    <w:p>
      <w:pPr>
        <w:spacing w:line="288" w:lineRule="auto" w:before="0"/>
        <w:ind w:left="113" w:right="1138" w:firstLine="0"/>
        <w:jc w:val="left"/>
        <w:rPr>
          <w:sz w:val="16"/>
        </w:rPr>
      </w:pPr>
      <w:r>
        <w:rPr>
          <w:color w:val="6D6E71"/>
          <w:sz w:val="16"/>
        </w:rPr>
        <w:t>Elizabeth Díaz Cuenca, Alejandro Rafael Alvarado Granados, Carlos Pérez-Ramírez y Emma González Carmona</w:t>
      </w:r>
    </w:p>
    <w:p>
      <w:pPr>
        <w:pStyle w:val="BodyText"/>
        <w:rPr>
          <w:sz w:val="16"/>
        </w:rPr>
      </w:pPr>
    </w:p>
    <w:p>
      <w:pPr>
        <w:pStyle w:val="BodyText"/>
        <w:rPr>
          <w:sz w:val="16"/>
        </w:rPr>
      </w:pPr>
    </w:p>
    <w:p>
      <w:pPr>
        <w:pStyle w:val="BodyText"/>
        <w:spacing w:before="4"/>
        <w:rPr>
          <w:sz w:val="13"/>
        </w:rPr>
      </w:pPr>
    </w:p>
    <w:p>
      <w:pPr>
        <w:spacing w:line="278" w:lineRule="auto" w:before="0"/>
        <w:ind w:left="113" w:right="0" w:firstLine="0"/>
        <w:jc w:val="both"/>
        <w:rPr>
          <w:b/>
          <w:sz w:val="18"/>
        </w:rPr>
      </w:pPr>
      <w:r>
        <w:rPr>
          <w:b/>
          <w:sz w:val="18"/>
        </w:rPr>
        <w:t>Aproximación a la vulnerabilidad estructural y socioeconómica en el marco de un estudio de riesgo sísmico en la Zona Urbana de Tijuana, Baja California</w:t>
      </w:r>
    </w:p>
    <w:p>
      <w:pPr>
        <w:spacing w:line="164" w:lineRule="exact" w:before="0"/>
        <w:ind w:left="113" w:right="0" w:firstLine="0"/>
        <w:jc w:val="both"/>
        <w:rPr>
          <w:sz w:val="16"/>
        </w:rPr>
      </w:pPr>
      <w:r>
        <w:rPr>
          <w:color w:val="6D6E71"/>
          <w:sz w:val="16"/>
        </w:rPr>
        <w:t>Juan Carlos Garatachia Ramírez, José Emilio Baró Suárez, Carlos Isidro Huerta</w:t>
      </w:r>
    </w:p>
    <w:p>
      <w:pPr>
        <w:spacing w:before="16"/>
        <w:ind w:left="113" w:right="0" w:firstLine="0"/>
        <w:jc w:val="both"/>
        <w:rPr>
          <w:sz w:val="16"/>
        </w:rPr>
      </w:pPr>
      <w:r>
        <w:rPr>
          <w:color w:val="6D6E71"/>
          <w:sz w:val="16"/>
        </w:rPr>
        <w:t>López</w:t>
      </w:r>
    </w:p>
    <w:p>
      <w:pPr>
        <w:pStyle w:val="BodyText"/>
        <w:rPr>
          <w:sz w:val="16"/>
        </w:rPr>
      </w:pPr>
    </w:p>
    <w:p>
      <w:pPr>
        <w:pStyle w:val="BodyText"/>
        <w:rPr>
          <w:sz w:val="15"/>
        </w:rPr>
      </w:pPr>
    </w:p>
    <w:p>
      <w:pPr>
        <w:spacing w:line="278" w:lineRule="auto" w:before="0"/>
        <w:ind w:left="113" w:right="0" w:firstLine="0"/>
        <w:jc w:val="both"/>
        <w:rPr>
          <w:b/>
          <w:sz w:val="18"/>
        </w:rPr>
      </w:pPr>
      <w:r>
        <w:rPr>
          <w:b/>
          <w:sz w:val="18"/>
        </w:rPr>
        <w:t>Riesgos</w:t>
      </w:r>
      <w:r>
        <w:rPr>
          <w:b/>
          <w:spacing w:val="-10"/>
          <w:sz w:val="18"/>
        </w:rPr>
        <w:t> </w:t>
      </w:r>
      <w:r>
        <w:rPr>
          <w:b/>
          <w:sz w:val="18"/>
        </w:rPr>
        <w:t>geomorfológicos</w:t>
      </w:r>
      <w:r>
        <w:rPr>
          <w:b/>
          <w:spacing w:val="-10"/>
          <w:sz w:val="18"/>
        </w:rPr>
        <w:t> </w:t>
      </w:r>
      <w:r>
        <w:rPr>
          <w:b/>
          <w:sz w:val="18"/>
        </w:rPr>
        <w:t>y</w:t>
      </w:r>
      <w:r>
        <w:rPr>
          <w:b/>
          <w:spacing w:val="-10"/>
          <w:sz w:val="18"/>
        </w:rPr>
        <w:t> </w:t>
      </w:r>
      <w:r>
        <w:rPr>
          <w:b/>
          <w:sz w:val="18"/>
        </w:rPr>
        <w:t>vulnerabilidad</w:t>
      </w:r>
      <w:r>
        <w:rPr>
          <w:b/>
          <w:spacing w:val="-10"/>
          <w:sz w:val="18"/>
        </w:rPr>
        <w:t> </w:t>
      </w:r>
      <w:r>
        <w:rPr>
          <w:b/>
          <w:sz w:val="18"/>
        </w:rPr>
        <w:t>territorial</w:t>
      </w:r>
      <w:r>
        <w:rPr>
          <w:b/>
          <w:spacing w:val="-10"/>
          <w:sz w:val="18"/>
        </w:rPr>
        <w:t> </w:t>
      </w:r>
      <w:r>
        <w:rPr>
          <w:b/>
          <w:sz w:val="18"/>
        </w:rPr>
        <w:t>ante</w:t>
      </w:r>
      <w:r>
        <w:rPr>
          <w:b/>
          <w:spacing w:val="-10"/>
          <w:sz w:val="18"/>
        </w:rPr>
        <w:t> </w:t>
      </w:r>
      <w:r>
        <w:rPr>
          <w:b/>
          <w:sz w:val="18"/>
        </w:rPr>
        <w:t>el</w:t>
      </w:r>
      <w:r>
        <w:rPr>
          <w:b/>
          <w:spacing w:val="-10"/>
          <w:sz w:val="18"/>
        </w:rPr>
        <w:t> </w:t>
      </w:r>
      <w:r>
        <w:rPr>
          <w:b/>
          <w:sz w:val="18"/>
        </w:rPr>
        <w:t>desarrollo y expansión urbana: el caso de Toluca de San José en el centro de México</w:t>
      </w:r>
    </w:p>
    <w:p>
      <w:pPr>
        <w:spacing w:line="164" w:lineRule="exact" w:before="0"/>
        <w:ind w:left="113" w:right="0" w:firstLine="0"/>
        <w:jc w:val="both"/>
        <w:rPr>
          <w:sz w:val="16"/>
        </w:rPr>
      </w:pPr>
      <w:r>
        <w:rPr>
          <w:color w:val="6D6E71"/>
          <w:sz w:val="16"/>
        </w:rPr>
        <w:t>Luis Miguel Espinosa Rodríguez</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1"/>
        <w:rPr>
          <w:sz w:val="18"/>
        </w:rPr>
      </w:pPr>
    </w:p>
    <w:p>
      <w:pPr>
        <w:spacing w:before="0"/>
        <w:ind w:left="113" w:right="0" w:firstLine="0"/>
        <w:jc w:val="left"/>
        <w:rPr>
          <w:b/>
          <w:sz w:val="18"/>
        </w:rPr>
      </w:pPr>
      <w:r>
        <w:rPr>
          <w:b/>
          <w:sz w:val="18"/>
        </w:rPr>
        <w:t>21</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4"/>
        <w:rPr>
          <w:b/>
          <w:sz w:val="14"/>
        </w:rPr>
      </w:pPr>
    </w:p>
    <w:p>
      <w:pPr>
        <w:spacing w:before="0"/>
        <w:ind w:left="113" w:right="0" w:firstLine="0"/>
        <w:jc w:val="left"/>
        <w:rPr>
          <w:b/>
          <w:sz w:val="18"/>
        </w:rPr>
      </w:pPr>
      <w:r>
        <w:rPr>
          <w:b/>
          <w:sz w:val="18"/>
        </w:rPr>
        <w:t>33</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2"/>
        <w:rPr>
          <w:b/>
          <w:sz w:val="17"/>
        </w:rPr>
      </w:pPr>
    </w:p>
    <w:p>
      <w:pPr>
        <w:spacing w:before="0"/>
        <w:ind w:left="113" w:right="0" w:firstLine="0"/>
        <w:jc w:val="left"/>
        <w:rPr>
          <w:b/>
          <w:sz w:val="18"/>
        </w:rPr>
      </w:pPr>
      <w:r>
        <w:rPr>
          <w:b/>
          <w:sz w:val="18"/>
        </w:rPr>
        <w:t>55</w:t>
      </w:r>
    </w:p>
    <w:p>
      <w:pPr>
        <w:pStyle w:val="BodyText"/>
        <w:rPr>
          <w:b/>
          <w:sz w:val="18"/>
        </w:rPr>
      </w:pPr>
    </w:p>
    <w:p>
      <w:pPr>
        <w:pStyle w:val="BodyText"/>
        <w:rPr>
          <w:b/>
          <w:sz w:val="18"/>
        </w:rPr>
      </w:pPr>
    </w:p>
    <w:p>
      <w:pPr>
        <w:pStyle w:val="BodyText"/>
        <w:rPr>
          <w:b/>
          <w:sz w:val="18"/>
        </w:rPr>
      </w:pPr>
    </w:p>
    <w:p>
      <w:pPr>
        <w:spacing w:before="132"/>
        <w:ind w:left="113" w:right="0" w:firstLine="0"/>
        <w:jc w:val="left"/>
        <w:rPr>
          <w:b/>
          <w:sz w:val="18"/>
        </w:rPr>
      </w:pPr>
      <w:r>
        <w:rPr>
          <w:b/>
          <w:sz w:val="18"/>
        </w:rPr>
        <w:t>77</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4"/>
        <w:rPr>
          <w:b/>
          <w:sz w:val="14"/>
        </w:rPr>
      </w:pPr>
    </w:p>
    <w:p>
      <w:pPr>
        <w:spacing w:before="0"/>
        <w:ind w:left="113" w:right="0" w:firstLine="0"/>
        <w:jc w:val="left"/>
        <w:rPr>
          <w:b/>
          <w:sz w:val="18"/>
        </w:rPr>
      </w:pPr>
      <w:r>
        <w:rPr>
          <w:b/>
          <w:sz w:val="18"/>
        </w:rPr>
        <w:t>105</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2"/>
        <w:rPr>
          <w:b/>
          <w:sz w:val="17"/>
        </w:rPr>
      </w:pPr>
    </w:p>
    <w:p>
      <w:pPr>
        <w:spacing w:before="0"/>
        <w:ind w:left="113" w:right="0" w:firstLine="0"/>
        <w:jc w:val="left"/>
        <w:rPr>
          <w:b/>
          <w:sz w:val="18"/>
        </w:rPr>
      </w:pPr>
      <w:r>
        <w:rPr>
          <w:b/>
          <w:sz w:val="18"/>
        </w:rPr>
        <w:t>125</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2"/>
        <w:rPr>
          <w:b/>
          <w:sz w:val="17"/>
        </w:rPr>
      </w:pPr>
    </w:p>
    <w:p>
      <w:pPr>
        <w:spacing w:before="0"/>
        <w:ind w:left="113" w:right="0" w:firstLine="0"/>
        <w:jc w:val="left"/>
        <w:rPr>
          <w:b/>
          <w:sz w:val="18"/>
        </w:rPr>
      </w:pPr>
      <w:r>
        <w:rPr>
          <w:b/>
          <w:sz w:val="18"/>
        </w:rPr>
        <w:t>145</w:t>
      </w:r>
    </w:p>
    <w:p>
      <w:pPr>
        <w:spacing w:after="0"/>
        <w:jc w:val="left"/>
        <w:rPr>
          <w:sz w:val="18"/>
        </w:rPr>
        <w:sectPr>
          <w:pgSz w:w="18830" w:h="12760" w:orient="landscape"/>
          <w:pgMar w:top="1080" w:bottom="280" w:left="920" w:right="1580"/>
          <w:cols w:num="3" w:equalWidth="0">
            <w:col w:w="6776" w:space="2445"/>
            <w:col w:w="6061" w:space="523"/>
            <w:col w:w="525"/>
          </w:cols>
        </w:sect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57"/>
        <w:gridCol w:w="1908"/>
        <w:gridCol w:w="7539"/>
        <w:gridCol w:w="654"/>
      </w:tblGrid>
      <w:tr>
        <w:trPr>
          <w:trHeight w:val="548" w:hRule="exact"/>
        </w:trPr>
        <w:tc>
          <w:tcPr>
            <w:tcW w:w="6257" w:type="dxa"/>
          </w:tcPr>
          <w:p>
            <w:pPr>
              <w:pStyle w:val="TableParagraph"/>
              <w:spacing w:line="278" w:lineRule="auto" w:before="78"/>
              <w:ind w:left="35" w:right="240"/>
              <w:rPr>
                <w:b/>
                <w:sz w:val="18"/>
              </w:rPr>
            </w:pPr>
            <w:r>
              <w:rPr>
                <w:b/>
                <w:sz w:val="18"/>
              </w:rPr>
              <w:t>Erosión laminar como factor de vulnerabilidad territorial, antecedente local para ciudad universitaria Estado de México</w:t>
            </w:r>
          </w:p>
        </w:tc>
        <w:tc>
          <w:tcPr>
            <w:tcW w:w="1908" w:type="dxa"/>
          </w:tcPr>
          <w:p>
            <w:pPr>
              <w:pStyle w:val="TableParagraph"/>
              <w:spacing w:before="91"/>
              <w:ind w:left="326"/>
              <w:rPr>
                <w:b/>
                <w:sz w:val="18"/>
              </w:rPr>
            </w:pPr>
            <w:r>
              <w:rPr>
                <w:b/>
                <w:sz w:val="18"/>
              </w:rPr>
              <w:t>171</w:t>
            </w:r>
          </w:p>
        </w:tc>
        <w:tc>
          <w:tcPr>
            <w:tcW w:w="7539" w:type="dxa"/>
          </w:tcPr>
          <w:p>
            <w:pPr>
              <w:pStyle w:val="TableParagraph"/>
              <w:spacing w:line="278" w:lineRule="auto" w:before="78"/>
              <w:ind w:left="1281" w:right="227"/>
              <w:rPr>
                <w:b/>
                <w:sz w:val="18"/>
              </w:rPr>
            </w:pPr>
            <w:r>
              <w:rPr>
                <w:b/>
                <w:sz w:val="18"/>
              </w:rPr>
              <w:t>Vulnerabilidad territorial en salud en México: un enfoque multinivel de la distribución de Mortalidad por diabetes mellitus, 2010</w:t>
            </w:r>
          </w:p>
        </w:tc>
        <w:tc>
          <w:tcPr>
            <w:tcW w:w="654" w:type="dxa"/>
          </w:tcPr>
          <w:p>
            <w:pPr>
              <w:pStyle w:val="TableParagraph"/>
              <w:spacing w:before="90"/>
              <w:ind w:right="33"/>
              <w:jc w:val="right"/>
              <w:rPr>
                <w:b/>
                <w:sz w:val="18"/>
              </w:rPr>
            </w:pPr>
            <w:r>
              <w:rPr>
                <w:b/>
                <w:w w:val="95"/>
                <w:sz w:val="18"/>
              </w:rPr>
              <w:t>363</w:t>
            </w:r>
          </w:p>
        </w:tc>
      </w:tr>
      <w:tr>
        <w:trPr>
          <w:trHeight w:val="866" w:hRule="exact"/>
        </w:trPr>
        <w:tc>
          <w:tcPr>
            <w:tcW w:w="6257" w:type="dxa"/>
          </w:tcPr>
          <w:p>
            <w:pPr>
              <w:pStyle w:val="TableParagraph"/>
              <w:spacing w:line="288" w:lineRule="auto" w:before="9"/>
              <w:ind w:left="35" w:right="1946"/>
              <w:rPr>
                <w:sz w:val="16"/>
              </w:rPr>
            </w:pPr>
            <w:r>
              <w:rPr>
                <w:color w:val="6D6E71"/>
                <w:sz w:val="16"/>
              </w:rPr>
              <w:t>Rebeca Angélica Serrano Barquín, Roque Ortega</w:t>
            </w:r>
            <w:r>
              <w:rPr>
                <w:color w:val="6D6E71"/>
                <w:spacing w:val="-15"/>
                <w:sz w:val="16"/>
              </w:rPr>
              <w:t> </w:t>
            </w:r>
            <w:r>
              <w:rPr>
                <w:color w:val="6D6E71"/>
                <w:sz w:val="16"/>
              </w:rPr>
              <w:t>Alcántara, Marcela Virginia Santana Juárez, Rocío del Carmen Serrano Barquín y Giovanna Santana</w:t>
            </w:r>
            <w:r>
              <w:rPr>
                <w:color w:val="6D6E71"/>
                <w:spacing w:val="-23"/>
                <w:sz w:val="16"/>
              </w:rPr>
              <w:t> </w:t>
            </w:r>
            <w:r>
              <w:rPr>
                <w:color w:val="6D6E71"/>
                <w:sz w:val="16"/>
              </w:rPr>
              <w:t>Castañeda</w:t>
            </w:r>
          </w:p>
        </w:tc>
        <w:tc>
          <w:tcPr>
            <w:tcW w:w="1908" w:type="dxa"/>
          </w:tcPr>
          <w:p>
            <w:pPr/>
          </w:p>
        </w:tc>
        <w:tc>
          <w:tcPr>
            <w:tcW w:w="7539" w:type="dxa"/>
          </w:tcPr>
          <w:p>
            <w:pPr>
              <w:pStyle w:val="TableParagraph"/>
              <w:spacing w:line="288" w:lineRule="auto" w:before="9"/>
              <w:ind w:left="1281" w:right="735"/>
              <w:jc w:val="both"/>
              <w:rPr>
                <w:sz w:val="16"/>
              </w:rPr>
            </w:pPr>
            <w:r>
              <w:rPr>
                <w:color w:val="6D6E71"/>
                <w:sz w:val="16"/>
              </w:rPr>
              <w:t>Marcela Virginia Santana Juárez, Giovanna Santana Castañeda, Luis</w:t>
            </w:r>
            <w:r>
              <w:rPr>
                <w:color w:val="6D6E71"/>
                <w:spacing w:val="-25"/>
                <w:sz w:val="16"/>
              </w:rPr>
              <w:t> </w:t>
            </w:r>
            <w:r>
              <w:rPr>
                <w:color w:val="6D6E71"/>
                <w:sz w:val="16"/>
              </w:rPr>
              <w:t>Ricardo Manzano</w:t>
            </w:r>
            <w:r>
              <w:rPr>
                <w:color w:val="6D6E71"/>
                <w:spacing w:val="-6"/>
                <w:sz w:val="16"/>
              </w:rPr>
              <w:t> </w:t>
            </w:r>
            <w:r>
              <w:rPr>
                <w:color w:val="6D6E71"/>
                <w:sz w:val="16"/>
              </w:rPr>
              <w:t>Solís,</w:t>
            </w:r>
            <w:r>
              <w:rPr>
                <w:color w:val="6D6E71"/>
                <w:spacing w:val="-6"/>
                <w:sz w:val="16"/>
              </w:rPr>
              <w:t> </w:t>
            </w:r>
            <w:r>
              <w:rPr>
                <w:color w:val="6D6E71"/>
                <w:sz w:val="16"/>
              </w:rPr>
              <w:t>Jesús</w:t>
            </w:r>
            <w:r>
              <w:rPr>
                <w:color w:val="6D6E71"/>
                <w:spacing w:val="-6"/>
                <w:sz w:val="16"/>
              </w:rPr>
              <w:t> </w:t>
            </w:r>
            <w:r>
              <w:rPr>
                <w:color w:val="6D6E71"/>
                <w:sz w:val="16"/>
              </w:rPr>
              <w:t>Emilio</w:t>
            </w:r>
            <w:r>
              <w:rPr>
                <w:color w:val="6D6E71"/>
                <w:spacing w:val="-6"/>
                <w:sz w:val="16"/>
              </w:rPr>
              <w:t> </w:t>
            </w:r>
            <w:r>
              <w:rPr>
                <w:color w:val="6D6E71"/>
                <w:sz w:val="16"/>
              </w:rPr>
              <w:t>Hernández</w:t>
            </w:r>
            <w:r>
              <w:rPr>
                <w:color w:val="6D6E71"/>
                <w:spacing w:val="-6"/>
                <w:sz w:val="16"/>
              </w:rPr>
              <w:t> </w:t>
            </w:r>
            <w:r>
              <w:rPr>
                <w:color w:val="6D6E71"/>
                <w:sz w:val="16"/>
              </w:rPr>
              <w:t>Bernal,</w:t>
            </w:r>
            <w:r>
              <w:rPr>
                <w:color w:val="6D6E71"/>
                <w:spacing w:val="-6"/>
                <w:sz w:val="16"/>
              </w:rPr>
              <w:t> </w:t>
            </w:r>
            <w:r>
              <w:rPr>
                <w:color w:val="6D6E71"/>
                <w:sz w:val="16"/>
              </w:rPr>
              <w:t>Elsa</w:t>
            </w:r>
            <w:r>
              <w:rPr>
                <w:color w:val="6D6E71"/>
                <w:spacing w:val="-6"/>
                <w:sz w:val="16"/>
              </w:rPr>
              <w:t> </w:t>
            </w:r>
            <w:r>
              <w:rPr>
                <w:color w:val="6D6E71"/>
                <w:sz w:val="16"/>
              </w:rPr>
              <w:t>Mireya</w:t>
            </w:r>
            <w:r>
              <w:rPr>
                <w:color w:val="6D6E71"/>
                <w:spacing w:val="-6"/>
                <w:sz w:val="16"/>
              </w:rPr>
              <w:t> </w:t>
            </w:r>
            <w:r>
              <w:rPr>
                <w:color w:val="6D6E71"/>
                <w:sz w:val="16"/>
              </w:rPr>
              <w:t>Rosales</w:t>
            </w:r>
            <w:r>
              <w:rPr>
                <w:color w:val="6D6E71"/>
                <w:spacing w:val="-6"/>
                <w:sz w:val="16"/>
              </w:rPr>
              <w:t> </w:t>
            </w:r>
            <w:r>
              <w:rPr>
                <w:color w:val="6D6E71"/>
                <w:sz w:val="16"/>
              </w:rPr>
              <w:t>Estrada, Alfredo Estrada Ramírez, Rebeca Serrano Barquín y Gustavo Avila</w:t>
            </w:r>
            <w:r>
              <w:rPr>
                <w:color w:val="6D6E71"/>
                <w:spacing w:val="-30"/>
                <w:sz w:val="16"/>
              </w:rPr>
              <w:t> </w:t>
            </w:r>
            <w:r>
              <w:rPr>
                <w:color w:val="6D6E71"/>
                <w:sz w:val="16"/>
              </w:rPr>
              <w:t>Navidad</w:t>
            </w:r>
          </w:p>
        </w:tc>
        <w:tc>
          <w:tcPr>
            <w:tcW w:w="654" w:type="dxa"/>
          </w:tcPr>
          <w:p>
            <w:pPr/>
          </w:p>
        </w:tc>
      </w:tr>
      <w:tr>
        <w:trPr>
          <w:trHeight w:val="1114" w:hRule="exact"/>
        </w:trPr>
        <w:tc>
          <w:tcPr>
            <w:tcW w:w="6257" w:type="dxa"/>
          </w:tcPr>
          <w:p>
            <w:pPr>
              <w:pStyle w:val="TableParagraph"/>
              <w:spacing w:before="8"/>
              <w:rPr>
                <w:b/>
                <w:sz w:val="18"/>
              </w:rPr>
            </w:pPr>
          </w:p>
          <w:p>
            <w:pPr>
              <w:pStyle w:val="TableParagraph"/>
              <w:spacing w:line="278" w:lineRule="auto" w:before="1"/>
              <w:ind w:left="35" w:right="329"/>
              <w:rPr>
                <w:b/>
                <w:sz w:val="18"/>
              </w:rPr>
            </w:pPr>
            <w:r>
              <w:rPr>
                <w:b/>
                <w:sz w:val="18"/>
              </w:rPr>
              <w:t>Estrategia agroecológica comunitaria para prevenir la vulnerabilidad ambiental y social: Los huertos familiares</w:t>
            </w:r>
          </w:p>
          <w:p>
            <w:pPr>
              <w:pStyle w:val="TableParagraph"/>
              <w:spacing w:line="288" w:lineRule="auto"/>
              <w:ind w:left="35" w:right="759"/>
              <w:rPr>
                <w:sz w:val="16"/>
              </w:rPr>
            </w:pPr>
            <w:r>
              <w:rPr>
                <w:color w:val="6D6E71"/>
                <w:sz w:val="16"/>
              </w:rPr>
              <w:t>Jesús Gastón Gutiérrez Cedillo, Xanat Antonio Némiga, Miguel Ángel Balderas Plata Carlos Constantino Morales Méndez, Maria Raimunda Araujo</w:t>
            </w:r>
          </w:p>
        </w:tc>
        <w:tc>
          <w:tcPr>
            <w:tcW w:w="1908" w:type="dxa"/>
          </w:tcPr>
          <w:p>
            <w:pPr>
              <w:pStyle w:val="TableParagraph"/>
              <w:spacing w:before="8"/>
              <w:rPr>
                <w:b/>
                <w:sz w:val="18"/>
              </w:rPr>
            </w:pPr>
          </w:p>
          <w:p>
            <w:pPr>
              <w:pStyle w:val="TableParagraph"/>
              <w:ind w:left="326"/>
              <w:rPr>
                <w:b/>
                <w:sz w:val="18"/>
              </w:rPr>
            </w:pPr>
            <w:r>
              <w:rPr>
                <w:b/>
                <w:sz w:val="18"/>
              </w:rPr>
              <w:t>187</w:t>
            </w:r>
          </w:p>
        </w:tc>
        <w:tc>
          <w:tcPr>
            <w:tcW w:w="7539" w:type="dxa"/>
          </w:tcPr>
          <w:p>
            <w:pPr>
              <w:pStyle w:val="TableParagraph"/>
              <w:spacing w:before="8"/>
              <w:rPr>
                <w:b/>
                <w:sz w:val="18"/>
              </w:rPr>
            </w:pPr>
          </w:p>
          <w:p>
            <w:pPr>
              <w:pStyle w:val="TableParagraph"/>
              <w:spacing w:line="278" w:lineRule="auto" w:before="1"/>
              <w:ind w:left="1281" w:right="227"/>
              <w:rPr>
                <w:b/>
                <w:sz w:val="18"/>
              </w:rPr>
            </w:pPr>
            <w:r>
              <w:rPr>
                <w:b/>
                <w:sz w:val="18"/>
              </w:rPr>
              <w:t>Metodologias para evaluación de impactos de la expansión metropolitana</w:t>
            </w:r>
          </w:p>
          <w:p>
            <w:pPr>
              <w:pStyle w:val="TableParagraph"/>
              <w:spacing w:line="184" w:lineRule="exact"/>
              <w:ind w:left="1281" w:right="227"/>
              <w:rPr>
                <w:sz w:val="16"/>
              </w:rPr>
            </w:pPr>
            <w:r>
              <w:rPr>
                <w:color w:val="6D6E71"/>
                <w:sz w:val="16"/>
              </w:rPr>
              <w:t>Rosa María Sánchez Nájera, Guadalupe Hoyos Castillo y Salvador Adame Martínez</w:t>
            </w:r>
          </w:p>
        </w:tc>
        <w:tc>
          <w:tcPr>
            <w:tcW w:w="654" w:type="dxa"/>
          </w:tcPr>
          <w:p>
            <w:pPr>
              <w:pStyle w:val="TableParagraph"/>
              <w:spacing w:before="8"/>
              <w:rPr>
                <w:b/>
                <w:sz w:val="18"/>
              </w:rPr>
            </w:pPr>
          </w:p>
          <w:p>
            <w:pPr>
              <w:pStyle w:val="TableParagraph"/>
              <w:ind w:right="33"/>
              <w:jc w:val="right"/>
              <w:rPr>
                <w:b/>
                <w:sz w:val="18"/>
              </w:rPr>
            </w:pPr>
            <w:r>
              <w:rPr>
                <w:b/>
                <w:w w:val="95"/>
                <w:sz w:val="18"/>
              </w:rPr>
              <w:t>389</w:t>
            </w:r>
          </w:p>
        </w:tc>
      </w:tr>
    </w:tbl>
    <w:p>
      <w:pPr>
        <w:spacing w:after="0"/>
        <w:jc w:val="right"/>
        <w:rPr>
          <w:sz w:val="18"/>
        </w:rPr>
        <w:sectPr>
          <w:pgSz w:w="18830" w:h="12760" w:orient="landscape"/>
          <w:pgMar w:top="1000" w:bottom="280" w:left="700" w:right="1540"/>
        </w:sectPr>
      </w:pPr>
    </w:p>
    <w:p>
      <w:pPr>
        <w:spacing w:line="288" w:lineRule="auto" w:before="20"/>
        <w:ind w:left="150" w:right="12" w:firstLine="0"/>
        <w:jc w:val="left"/>
        <w:rPr>
          <w:sz w:val="16"/>
        </w:rPr>
      </w:pPr>
      <w:r>
        <w:rPr>
          <w:color w:val="6D6E71"/>
          <w:sz w:val="16"/>
        </w:rPr>
        <w:t>Santana, Laura White Olascoga, María Cristina Chávez Mejía, José Emilio Baró Suárez, José Carmen García Flores y Alba Karla González Jiménez</w:t>
      </w:r>
    </w:p>
    <w:p>
      <w:pPr>
        <w:pStyle w:val="BodyText"/>
        <w:rPr>
          <w:sz w:val="16"/>
        </w:rPr>
      </w:pPr>
    </w:p>
    <w:p>
      <w:pPr>
        <w:pStyle w:val="BodyText"/>
        <w:spacing w:before="1"/>
        <w:rPr>
          <w:sz w:val="13"/>
        </w:rPr>
      </w:pPr>
    </w:p>
    <w:p>
      <w:pPr>
        <w:spacing w:line="278" w:lineRule="auto" w:before="0"/>
        <w:ind w:left="150" w:right="-19" w:firstLine="0"/>
        <w:jc w:val="left"/>
        <w:rPr>
          <w:b/>
          <w:sz w:val="18"/>
        </w:rPr>
      </w:pPr>
      <w:r>
        <w:rPr>
          <w:b/>
          <w:sz w:val="18"/>
        </w:rPr>
        <w:t>Distribución espacial de los huertos familiares y características geográficas en Malinalco, Tenancingo y Villa Guerrero. Estrategia comunitaria para conservar la biodiversidad y la seguridad alimentaria rural</w:t>
      </w:r>
    </w:p>
    <w:p>
      <w:pPr>
        <w:pStyle w:val="BodyText"/>
        <w:rPr>
          <w:b/>
          <w:sz w:val="18"/>
        </w:rPr>
      </w:pPr>
      <w:r>
        <w:rPr/>
        <w:br w:type="column"/>
      </w:r>
      <w:r>
        <w:rPr>
          <w:b/>
          <w:sz w:val="18"/>
        </w:rPr>
      </w:r>
    </w:p>
    <w:p>
      <w:pPr>
        <w:pStyle w:val="BodyText"/>
        <w:rPr>
          <w:b/>
          <w:sz w:val="18"/>
        </w:rPr>
      </w:pPr>
    </w:p>
    <w:p>
      <w:pPr>
        <w:pStyle w:val="BodyText"/>
        <w:rPr>
          <w:b/>
          <w:sz w:val="18"/>
        </w:rPr>
      </w:pPr>
    </w:p>
    <w:p>
      <w:pPr>
        <w:spacing w:before="160"/>
        <w:ind w:left="150" w:right="-20" w:firstLine="0"/>
        <w:jc w:val="left"/>
        <w:rPr>
          <w:b/>
          <w:sz w:val="18"/>
        </w:rPr>
      </w:pPr>
      <w:r>
        <w:rPr>
          <w:b/>
          <w:sz w:val="18"/>
        </w:rPr>
        <w:t>223</w:t>
      </w:r>
    </w:p>
    <w:p>
      <w:pPr>
        <w:spacing w:line="278" w:lineRule="auto" w:before="134"/>
        <w:ind w:left="150" w:right="0" w:firstLine="0"/>
        <w:jc w:val="both"/>
        <w:rPr>
          <w:b/>
          <w:sz w:val="18"/>
        </w:rPr>
      </w:pPr>
      <w:r>
        <w:rPr/>
        <w:br w:type="column"/>
      </w:r>
      <w:r>
        <w:rPr>
          <w:b/>
          <w:sz w:val="18"/>
        </w:rPr>
        <w:t>Evaluación a la contribución  de  la  sustentabilidad  ambiental  en  los instrumentos de planeación del sector público en la Zona Metropolitana de</w:t>
      </w:r>
      <w:r>
        <w:rPr>
          <w:b/>
          <w:spacing w:val="22"/>
          <w:sz w:val="18"/>
        </w:rPr>
        <w:t> </w:t>
      </w:r>
      <w:r>
        <w:rPr>
          <w:b/>
          <w:sz w:val="18"/>
        </w:rPr>
        <w:t>Toluca</w:t>
      </w:r>
    </w:p>
    <w:p>
      <w:pPr>
        <w:spacing w:line="184" w:lineRule="exact" w:before="0"/>
        <w:ind w:left="150" w:right="0" w:firstLine="0"/>
        <w:jc w:val="both"/>
        <w:rPr>
          <w:sz w:val="16"/>
        </w:rPr>
      </w:pPr>
      <w:r>
        <w:rPr>
          <w:color w:val="6D6E71"/>
          <w:sz w:val="16"/>
        </w:rPr>
        <w:t>Angélica Valencia Torres, Guadalupe Hoyos Castillo y Salvador Adame Martínez</w:t>
      </w:r>
    </w:p>
    <w:p>
      <w:pPr>
        <w:pStyle w:val="BodyText"/>
        <w:rPr>
          <w:sz w:val="16"/>
        </w:rPr>
      </w:pPr>
    </w:p>
    <w:p>
      <w:pPr>
        <w:pStyle w:val="BodyText"/>
        <w:rPr>
          <w:sz w:val="16"/>
        </w:rPr>
      </w:pPr>
    </w:p>
    <w:p>
      <w:pPr>
        <w:spacing w:before="96"/>
        <w:ind w:left="150" w:right="0" w:firstLine="0"/>
        <w:jc w:val="both"/>
        <w:rPr>
          <w:b/>
          <w:sz w:val="18"/>
        </w:rPr>
      </w:pPr>
      <w:r>
        <w:rPr>
          <w:b/>
          <w:sz w:val="18"/>
        </w:rPr>
        <w:t>Gobernanza      metropolitana.Evaluacion      de      la      coordinación</w:t>
      </w:r>
    </w:p>
    <w:p>
      <w:pPr>
        <w:spacing w:before="61"/>
        <w:ind w:left="150" w:right="0" w:firstLine="0"/>
        <w:jc w:val="left"/>
        <w:rPr>
          <w:b/>
          <w:sz w:val="18"/>
        </w:rPr>
      </w:pPr>
      <w:r>
        <w:rPr/>
        <w:br w:type="column"/>
      </w:r>
      <w:r>
        <w:rPr>
          <w:b/>
          <w:sz w:val="18"/>
        </w:rPr>
        <w:t>407</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2"/>
        <w:rPr>
          <w:b/>
          <w:sz w:val="17"/>
        </w:rPr>
      </w:pPr>
    </w:p>
    <w:p>
      <w:pPr>
        <w:spacing w:before="0"/>
        <w:ind w:left="150" w:right="0" w:firstLine="0"/>
        <w:jc w:val="left"/>
        <w:rPr>
          <w:b/>
          <w:sz w:val="18"/>
        </w:rPr>
      </w:pPr>
      <w:r>
        <w:rPr>
          <w:b/>
          <w:sz w:val="18"/>
        </w:rPr>
        <w:t>429</w:t>
      </w:r>
    </w:p>
    <w:p>
      <w:pPr>
        <w:spacing w:after="0"/>
        <w:jc w:val="left"/>
        <w:rPr>
          <w:sz w:val="18"/>
        </w:rPr>
        <w:sectPr>
          <w:type w:val="continuous"/>
          <w:pgSz w:w="18830" w:h="12760" w:orient="landscape"/>
          <w:pgMar w:top="1420" w:bottom="280" w:left="700" w:right="1540"/>
          <w:cols w:num="4" w:equalWidth="0">
            <w:col w:w="5763" w:space="785"/>
            <w:col w:w="451" w:space="2412"/>
            <w:col w:w="6090" w:space="487"/>
            <w:col w:w="602"/>
          </w:cols>
        </w:sect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57"/>
        <w:gridCol w:w="9446"/>
        <w:gridCol w:w="654"/>
      </w:tblGrid>
      <w:tr>
        <w:trPr>
          <w:trHeight w:val="647" w:hRule="exact"/>
        </w:trPr>
        <w:tc>
          <w:tcPr>
            <w:tcW w:w="6257" w:type="dxa"/>
          </w:tcPr>
          <w:p>
            <w:pPr>
              <w:pStyle w:val="TableParagraph"/>
              <w:spacing w:line="288" w:lineRule="auto"/>
              <w:ind w:left="35" w:right="388"/>
              <w:rPr>
                <w:sz w:val="16"/>
              </w:rPr>
            </w:pPr>
            <w:r>
              <w:rPr>
                <w:color w:val="6D6E71"/>
                <w:sz w:val="16"/>
              </w:rPr>
              <w:t>Jesús Gastón Gutiérrez Cedillo, Xanat Antonio Némiga, Miguel Ángel Balderas Plata, Carlos Constantino Morales Méndez, Maria Raimunda Araujo Santana, José</w:t>
            </w:r>
            <w:r>
              <w:rPr>
                <w:color w:val="6D6E71"/>
                <w:spacing w:val="-4"/>
                <w:sz w:val="16"/>
              </w:rPr>
              <w:t> </w:t>
            </w:r>
            <w:r>
              <w:rPr>
                <w:color w:val="6D6E71"/>
                <w:sz w:val="16"/>
              </w:rPr>
              <w:t>Isabel</w:t>
            </w:r>
            <w:r>
              <w:rPr>
                <w:color w:val="6D6E71"/>
                <w:spacing w:val="-4"/>
                <w:sz w:val="16"/>
              </w:rPr>
              <w:t> </w:t>
            </w:r>
            <w:r>
              <w:rPr>
                <w:color w:val="6D6E71"/>
                <w:sz w:val="16"/>
              </w:rPr>
              <w:t>Juan</w:t>
            </w:r>
            <w:r>
              <w:rPr>
                <w:color w:val="6D6E71"/>
                <w:spacing w:val="-4"/>
                <w:sz w:val="16"/>
              </w:rPr>
              <w:t> </w:t>
            </w:r>
            <w:r>
              <w:rPr>
                <w:color w:val="6D6E71"/>
                <w:sz w:val="16"/>
              </w:rPr>
              <w:t>Pérez,</w:t>
            </w:r>
            <w:r>
              <w:rPr>
                <w:color w:val="6D6E71"/>
                <w:spacing w:val="-4"/>
                <w:sz w:val="16"/>
              </w:rPr>
              <w:t> </w:t>
            </w:r>
            <w:r>
              <w:rPr>
                <w:color w:val="6D6E71"/>
                <w:sz w:val="16"/>
              </w:rPr>
              <w:t>Laura</w:t>
            </w:r>
            <w:r>
              <w:rPr>
                <w:color w:val="6D6E71"/>
                <w:spacing w:val="-4"/>
                <w:sz w:val="16"/>
              </w:rPr>
              <w:t> </w:t>
            </w:r>
            <w:r>
              <w:rPr>
                <w:color w:val="6D6E71"/>
                <w:sz w:val="16"/>
              </w:rPr>
              <w:t>White</w:t>
            </w:r>
            <w:r>
              <w:rPr>
                <w:color w:val="6D6E71"/>
                <w:spacing w:val="-4"/>
                <w:sz w:val="16"/>
              </w:rPr>
              <w:t> </w:t>
            </w:r>
            <w:r>
              <w:rPr>
                <w:color w:val="6D6E71"/>
                <w:sz w:val="16"/>
              </w:rPr>
              <w:t>Olascoga,</w:t>
            </w:r>
            <w:r>
              <w:rPr>
                <w:color w:val="6D6E71"/>
                <w:spacing w:val="-4"/>
                <w:sz w:val="16"/>
              </w:rPr>
              <w:t> </w:t>
            </w:r>
            <w:r>
              <w:rPr>
                <w:color w:val="6D6E71"/>
                <w:sz w:val="16"/>
              </w:rPr>
              <w:t>María</w:t>
            </w:r>
            <w:r>
              <w:rPr>
                <w:color w:val="6D6E71"/>
                <w:spacing w:val="-4"/>
                <w:sz w:val="16"/>
              </w:rPr>
              <w:t> </w:t>
            </w:r>
            <w:r>
              <w:rPr>
                <w:color w:val="6D6E71"/>
                <w:sz w:val="16"/>
              </w:rPr>
              <w:t>Cristina</w:t>
            </w:r>
            <w:r>
              <w:rPr>
                <w:color w:val="6D6E71"/>
                <w:spacing w:val="-4"/>
                <w:sz w:val="16"/>
              </w:rPr>
              <w:t> </w:t>
            </w:r>
            <w:r>
              <w:rPr>
                <w:color w:val="6D6E71"/>
                <w:sz w:val="16"/>
              </w:rPr>
              <w:t>Chávez</w:t>
            </w:r>
            <w:r>
              <w:rPr>
                <w:color w:val="6D6E71"/>
                <w:spacing w:val="-4"/>
                <w:sz w:val="16"/>
              </w:rPr>
              <w:t> </w:t>
            </w:r>
            <w:r>
              <w:rPr>
                <w:color w:val="6D6E71"/>
                <w:sz w:val="16"/>
              </w:rPr>
              <w:t>Mejía,</w:t>
            </w:r>
            <w:r>
              <w:rPr>
                <w:color w:val="6D6E71"/>
                <w:spacing w:val="-4"/>
                <w:sz w:val="16"/>
              </w:rPr>
              <w:t> </w:t>
            </w:r>
            <w:r>
              <w:rPr>
                <w:color w:val="6D6E71"/>
                <w:sz w:val="16"/>
              </w:rPr>
              <w:t>José</w:t>
            </w:r>
          </w:p>
        </w:tc>
        <w:tc>
          <w:tcPr>
            <w:tcW w:w="9446" w:type="dxa"/>
          </w:tcPr>
          <w:p>
            <w:pPr>
              <w:pStyle w:val="TableParagraph"/>
              <w:spacing w:line="192" w:lineRule="exact"/>
              <w:ind w:left="3174" w:right="4151"/>
              <w:jc w:val="center"/>
              <w:rPr>
                <w:b/>
                <w:sz w:val="18"/>
              </w:rPr>
            </w:pPr>
            <w:r>
              <w:rPr>
                <w:b/>
                <w:sz w:val="18"/>
              </w:rPr>
              <w:t>metropolitana en Toluca</w:t>
            </w:r>
          </w:p>
          <w:p>
            <w:pPr>
              <w:pStyle w:val="TableParagraph"/>
              <w:spacing w:before="32"/>
              <w:ind w:left="3188"/>
              <w:rPr>
                <w:sz w:val="16"/>
              </w:rPr>
            </w:pPr>
            <w:r>
              <w:rPr>
                <w:color w:val="6D6E71"/>
                <w:sz w:val="16"/>
              </w:rPr>
              <w:t>Guadalupe Hoyos Castillo, Rosa María Sánchez Nájera y Salvador Adame Martínez</w:t>
            </w:r>
          </w:p>
        </w:tc>
        <w:tc>
          <w:tcPr>
            <w:tcW w:w="654" w:type="dxa"/>
            <w:vMerge w:val="restart"/>
          </w:tcPr>
          <w:p>
            <w:pPr/>
          </w:p>
        </w:tc>
      </w:tr>
      <w:tr>
        <w:trPr>
          <w:trHeight w:val="255" w:hRule="exact"/>
        </w:trPr>
        <w:tc>
          <w:tcPr>
            <w:tcW w:w="6257" w:type="dxa"/>
          </w:tcPr>
          <w:p>
            <w:pPr>
              <w:pStyle w:val="TableParagraph"/>
              <w:spacing w:before="10"/>
              <w:ind w:left="35"/>
              <w:rPr>
                <w:sz w:val="16"/>
              </w:rPr>
            </w:pPr>
            <w:r>
              <w:rPr>
                <w:color w:val="6D6E71"/>
                <w:sz w:val="16"/>
              </w:rPr>
              <w:t>Emilio Baró Suárez, José Carmen García Flores y Alba Karla González Jiménez</w:t>
            </w:r>
          </w:p>
        </w:tc>
        <w:tc>
          <w:tcPr>
            <w:tcW w:w="9446" w:type="dxa"/>
          </w:tcPr>
          <w:p>
            <w:pPr/>
          </w:p>
        </w:tc>
        <w:tc>
          <w:tcPr>
            <w:tcW w:w="654" w:type="dxa"/>
            <w:vMerge/>
          </w:tcPr>
          <w:p>
            <w:pPr/>
          </w:p>
        </w:tc>
      </w:tr>
      <w:tr>
        <w:trPr>
          <w:trHeight w:val="275" w:hRule="exact"/>
        </w:trPr>
        <w:tc>
          <w:tcPr>
            <w:tcW w:w="6257" w:type="dxa"/>
          </w:tcPr>
          <w:p>
            <w:pPr/>
          </w:p>
        </w:tc>
        <w:tc>
          <w:tcPr>
            <w:tcW w:w="9446" w:type="dxa"/>
          </w:tcPr>
          <w:p>
            <w:pPr>
              <w:pStyle w:val="TableParagraph"/>
              <w:spacing w:before="43"/>
              <w:ind w:left="3188"/>
              <w:rPr>
                <w:b/>
                <w:sz w:val="18"/>
              </w:rPr>
            </w:pPr>
            <w:r>
              <w:rPr>
                <w:b/>
                <w:sz w:val="18"/>
              </w:rPr>
              <w:t>Análisis  de  la  vulnerabilidad  del  desarrollo  de  conjuntos urbanos</w:t>
            </w:r>
          </w:p>
        </w:tc>
        <w:tc>
          <w:tcPr>
            <w:tcW w:w="654" w:type="dxa"/>
          </w:tcPr>
          <w:p>
            <w:pPr>
              <w:pStyle w:val="TableParagraph"/>
              <w:spacing w:before="43"/>
              <w:ind w:right="33"/>
              <w:jc w:val="right"/>
              <w:rPr>
                <w:b/>
                <w:sz w:val="18"/>
              </w:rPr>
            </w:pPr>
            <w:r>
              <w:rPr>
                <w:b/>
                <w:w w:val="95"/>
                <w:sz w:val="18"/>
              </w:rPr>
              <w:t>451</w:t>
            </w:r>
          </w:p>
        </w:tc>
      </w:tr>
      <w:tr>
        <w:trPr>
          <w:trHeight w:val="238" w:hRule="exact"/>
        </w:trPr>
        <w:tc>
          <w:tcPr>
            <w:tcW w:w="6257" w:type="dxa"/>
          </w:tcPr>
          <w:p>
            <w:pPr>
              <w:pStyle w:val="TableParagraph"/>
              <w:spacing w:before="8"/>
              <w:ind w:left="35"/>
              <w:rPr>
                <w:b/>
                <w:sz w:val="18"/>
              </w:rPr>
            </w:pPr>
            <w:r>
              <w:rPr>
                <w:b/>
                <w:sz w:val="18"/>
              </w:rPr>
              <w:t>Análisis de los impactos territoriales de la expansión urbana sobre los</w:t>
            </w:r>
          </w:p>
        </w:tc>
        <w:tc>
          <w:tcPr>
            <w:tcW w:w="9446" w:type="dxa"/>
          </w:tcPr>
          <w:p>
            <w:pPr>
              <w:pStyle w:val="TableParagraph"/>
              <w:tabs>
                <w:tab w:pos="3188" w:val="left" w:leader="none"/>
              </w:tabs>
              <w:spacing w:before="8"/>
              <w:ind w:left="325"/>
              <w:rPr>
                <w:b/>
                <w:sz w:val="18"/>
              </w:rPr>
            </w:pPr>
            <w:r>
              <w:rPr>
                <w:b/>
                <w:sz w:val="18"/>
              </w:rPr>
              <w:t>253</w:t>
              <w:tab/>
              <w:t>habitacionales en el contexto</w:t>
            </w:r>
            <w:r>
              <w:rPr>
                <w:b/>
                <w:spacing w:val="11"/>
                <w:sz w:val="18"/>
              </w:rPr>
              <w:t> </w:t>
            </w:r>
            <w:r>
              <w:rPr>
                <w:b/>
                <w:sz w:val="18"/>
              </w:rPr>
              <w:t>metropolitano</w:t>
            </w:r>
          </w:p>
        </w:tc>
        <w:tc>
          <w:tcPr>
            <w:tcW w:w="654" w:type="dxa"/>
          </w:tcPr>
          <w:p>
            <w:pPr/>
          </w:p>
        </w:tc>
      </w:tr>
      <w:tr>
        <w:trPr>
          <w:trHeight w:val="230" w:hRule="exact"/>
        </w:trPr>
        <w:tc>
          <w:tcPr>
            <w:tcW w:w="6257" w:type="dxa"/>
          </w:tcPr>
          <w:p>
            <w:pPr>
              <w:pStyle w:val="TableParagraph"/>
              <w:spacing w:before="10"/>
              <w:ind w:left="35"/>
              <w:rPr>
                <w:b/>
                <w:sz w:val="18"/>
              </w:rPr>
            </w:pPr>
            <w:r>
              <w:rPr>
                <w:b/>
                <w:sz w:val="18"/>
              </w:rPr>
              <w:t>sistemas productivos de la subcuenca del rio Chalma: una propuesta</w:t>
            </w:r>
          </w:p>
        </w:tc>
        <w:tc>
          <w:tcPr>
            <w:tcW w:w="9446" w:type="dxa"/>
          </w:tcPr>
          <w:p>
            <w:pPr>
              <w:pStyle w:val="TableParagraph"/>
              <w:spacing w:before="8"/>
              <w:ind w:left="3188"/>
              <w:rPr>
                <w:sz w:val="16"/>
              </w:rPr>
            </w:pPr>
            <w:r>
              <w:rPr>
                <w:color w:val="6D6E71"/>
                <w:sz w:val="16"/>
              </w:rPr>
              <w:t>Pedro Leobardo Jiménez Sánchez, Juan Roberto Calderón Maya,</w:t>
            </w:r>
          </w:p>
        </w:tc>
        <w:tc>
          <w:tcPr>
            <w:tcW w:w="654" w:type="dxa"/>
          </w:tcPr>
          <w:p>
            <w:pPr/>
          </w:p>
        </w:tc>
      </w:tr>
      <w:tr>
        <w:trPr>
          <w:trHeight w:val="468" w:hRule="exact"/>
        </w:trPr>
        <w:tc>
          <w:tcPr>
            <w:tcW w:w="6257" w:type="dxa"/>
          </w:tcPr>
          <w:p>
            <w:pPr>
              <w:pStyle w:val="TableParagraph"/>
              <w:spacing w:before="20"/>
              <w:ind w:left="35"/>
              <w:rPr>
                <w:b/>
                <w:sz w:val="18"/>
              </w:rPr>
            </w:pPr>
            <w:r>
              <w:rPr>
                <w:b/>
                <w:sz w:val="18"/>
              </w:rPr>
              <w:t>metodológica</w:t>
            </w:r>
          </w:p>
          <w:p>
            <w:pPr>
              <w:pStyle w:val="TableParagraph"/>
              <w:spacing w:before="32"/>
              <w:ind w:left="35"/>
              <w:rPr>
                <w:sz w:val="16"/>
              </w:rPr>
            </w:pPr>
            <w:r>
              <w:rPr>
                <w:color w:val="6D6E71"/>
                <w:sz w:val="16"/>
              </w:rPr>
              <w:t>Jesús Gastón Gutiérrez Cedillo, Alejandro Rafael Alvarado Granados, Xanat</w:t>
            </w:r>
          </w:p>
        </w:tc>
        <w:tc>
          <w:tcPr>
            <w:tcW w:w="9446" w:type="dxa"/>
          </w:tcPr>
          <w:p>
            <w:pPr>
              <w:pStyle w:val="TableParagraph"/>
              <w:spacing w:line="288" w:lineRule="auto"/>
              <w:ind w:left="3188" w:right="1316"/>
              <w:rPr>
                <w:sz w:val="16"/>
              </w:rPr>
            </w:pPr>
            <w:r>
              <w:rPr>
                <w:color w:val="6D6E71"/>
                <w:sz w:val="16"/>
              </w:rPr>
              <w:t>Verónica Miranda Rosales, Agustín Olmos Cruz, Juan Campos Alanís, Guadalupe Hoyos Castillo y Héctor Campos Alanís</w:t>
            </w:r>
          </w:p>
        </w:tc>
        <w:tc>
          <w:tcPr>
            <w:tcW w:w="654" w:type="dxa"/>
          </w:tcPr>
          <w:p>
            <w:pPr/>
          </w:p>
        </w:tc>
      </w:tr>
      <w:tr>
        <w:trPr>
          <w:trHeight w:val="234" w:hRule="exact"/>
        </w:trPr>
        <w:tc>
          <w:tcPr>
            <w:tcW w:w="6257" w:type="dxa"/>
          </w:tcPr>
          <w:p>
            <w:pPr>
              <w:pStyle w:val="TableParagraph"/>
              <w:spacing w:before="10"/>
              <w:ind w:left="35"/>
              <w:rPr>
                <w:sz w:val="16"/>
              </w:rPr>
            </w:pPr>
            <w:r>
              <w:rPr>
                <w:color w:val="6D6E71"/>
                <w:sz w:val="16"/>
              </w:rPr>
              <w:t>Antonio Némiga, Jerzy Makowski, Elizabeth Díaz Cuenca, Miguel Ángel Balderas</w:t>
            </w:r>
          </w:p>
        </w:tc>
        <w:tc>
          <w:tcPr>
            <w:tcW w:w="9446" w:type="dxa"/>
          </w:tcPr>
          <w:p>
            <w:pPr/>
          </w:p>
        </w:tc>
        <w:tc>
          <w:tcPr>
            <w:tcW w:w="654" w:type="dxa"/>
          </w:tcPr>
          <w:p>
            <w:pPr>
              <w:pStyle w:val="TableParagraph"/>
              <w:spacing w:before="32"/>
              <w:ind w:right="33"/>
              <w:jc w:val="right"/>
              <w:rPr>
                <w:b/>
                <w:sz w:val="18"/>
              </w:rPr>
            </w:pPr>
            <w:r>
              <w:rPr>
                <w:b/>
                <w:w w:val="95"/>
                <w:sz w:val="18"/>
              </w:rPr>
              <w:t>465</w:t>
            </w:r>
          </w:p>
        </w:tc>
      </w:tr>
    </w:tbl>
    <w:p>
      <w:pPr>
        <w:spacing w:after="0"/>
        <w:jc w:val="right"/>
        <w:rPr>
          <w:sz w:val="18"/>
        </w:rPr>
        <w:sectPr>
          <w:type w:val="continuous"/>
          <w:pgSz w:w="18830" w:h="12760" w:orient="landscape"/>
          <w:pgMar w:top="1420" w:bottom="280" w:left="700" w:right="1540"/>
        </w:sectPr>
      </w:pPr>
    </w:p>
    <w:p>
      <w:pPr>
        <w:spacing w:line="184" w:lineRule="exact" w:before="0"/>
        <w:ind w:left="150" w:right="0" w:firstLine="0"/>
        <w:jc w:val="left"/>
        <w:rPr>
          <w:sz w:val="16"/>
        </w:rPr>
      </w:pPr>
      <w:r>
        <w:rPr>
          <w:color w:val="6D6E71"/>
          <w:sz w:val="16"/>
        </w:rPr>
        <w:t>Plata, Carlos Alberto Pérez Ramírez y Carlos Constantino Morales Méndez</w:t>
      </w:r>
    </w:p>
    <w:p>
      <w:pPr>
        <w:pStyle w:val="BodyText"/>
        <w:rPr>
          <w:sz w:val="16"/>
        </w:rPr>
      </w:pPr>
    </w:p>
    <w:p>
      <w:pPr>
        <w:pStyle w:val="BodyText"/>
        <w:spacing w:before="2"/>
        <w:rPr>
          <w:sz w:val="16"/>
        </w:rPr>
      </w:pPr>
    </w:p>
    <w:p>
      <w:pPr>
        <w:spacing w:line="278" w:lineRule="auto" w:before="0"/>
        <w:ind w:left="150" w:right="0" w:firstLine="0"/>
        <w:jc w:val="left"/>
        <w:rPr>
          <w:b/>
          <w:sz w:val="18"/>
        </w:rPr>
      </w:pPr>
      <w:r>
        <w:rPr>
          <w:b/>
          <w:sz w:val="18"/>
        </w:rPr>
        <w:t>Crecimiento urbano y conservación de Áreas Naturales Protegidas en el municipio de Toluca</w:t>
      </w:r>
    </w:p>
    <w:p>
      <w:pPr>
        <w:spacing w:line="288" w:lineRule="auto" w:before="0"/>
        <w:ind w:left="150" w:right="1106" w:firstLine="0"/>
        <w:jc w:val="left"/>
        <w:rPr>
          <w:sz w:val="16"/>
        </w:rPr>
      </w:pPr>
      <w:r>
        <w:rPr>
          <w:color w:val="6D6E71"/>
          <w:sz w:val="16"/>
        </w:rPr>
        <w:t>Norma Hernández Ramírez, Lilia Angélica Madrigal García, Graciela M. Suárez Díaz, Leopoldo Islas Flores</w:t>
      </w:r>
    </w:p>
    <w:p>
      <w:pPr>
        <w:pStyle w:val="BodyText"/>
        <w:rPr>
          <w:sz w:val="16"/>
        </w:rPr>
      </w:pPr>
    </w:p>
    <w:p>
      <w:pPr>
        <w:pStyle w:val="BodyText"/>
        <w:rPr>
          <w:sz w:val="16"/>
        </w:rPr>
      </w:pPr>
    </w:p>
    <w:p>
      <w:pPr>
        <w:spacing w:line="278" w:lineRule="auto" w:before="120"/>
        <w:ind w:left="150" w:right="0" w:firstLine="0"/>
        <w:jc w:val="left"/>
        <w:rPr>
          <w:b/>
          <w:sz w:val="18"/>
        </w:rPr>
      </w:pPr>
      <w:r>
        <w:rPr>
          <w:b/>
          <w:sz w:val="18"/>
        </w:rPr>
        <w:t>Proceso de suburbanización y las migraciones en la Zona Metropolitana de Cracovia (ZMC) entre los siglos XX y XXI</w:t>
      </w:r>
    </w:p>
    <w:p>
      <w:pPr>
        <w:spacing w:line="184" w:lineRule="exact" w:before="0"/>
        <w:ind w:left="150" w:right="0" w:firstLine="0"/>
        <w:jc w:val="left"/>
        <w:rPr>
          <w:sz w:val="16"/>
        </w:rPr>
      </w:pPr>
      <w:r>
        <w:rPr>
          <w:color w:val="6D6E71"/>
          <w:sz w:val="16"/>
        </w:rPr>
        <w:t>Mirosław Wójtowicz, Sławomir Kurek y Jadwiga Gałka</w:t>
      </w:r>
    </w:p>
    <w:p>
      <w:pPr>
        <w:pStyle w:val="BodyText"/>
        <w:rPr>
          <w:sz w:val="16"/>
        </w:rPr>
      </w:pPr>
    </w:p>
    <w:p>
      <w:pPr>
        <w:pStyle w:val="BodyText"/>
        <w:rPr>
          <w:sz w:val="16"/>
        </w:rPr>
      </w:pPr>
    </w:p>
    <w:p>
      <w:pPr>
        <w:pStyle w:val="BodyText"/>
        <w:spacing w:before="8"/>
        <w:rPr>
          <w:sz w:val="14"/>
        </w:rPr>
      </w:pPr>
    </w:p>
    <w:p>
      <w:pPr>
        <w:spacing w:line="278" w:lineRule="auto" w:before="0"/>
        <w:ind w:left="150" w:right="0" w:firstLine="0"/>
        <w:jc w:val="left"/>
        <w:rPr>
          <w:b/>
          <w:sz w:val="18"/>
        </w:rPr>
      </w:pPr>
      <w:r>
        <w:rPr>
          <w:b/>
          <w:sz w:val="18"/>
        </w:rPr>
        <w:t>Expansión urbana, poblamiento y política territorial en la región centro de México</w:t>
      </w:r>
    </w:p>
    <w:p>
      <w:pPr>
        <w:spacing w:line="184" w:lineRule="exact" w:before="0"/>
        <w:ind w:left="150" w:right="0" w:firstLine="0"/>
        <w:jc w:val="left"/>
        <w:rPr>
          <w:sz w:val="16"/>
        </w:rPr>
      </w:pPr>
      <w:r>
        <w:rPr>
          <w:color w:val="6D6E71"/>
          <w:sz w:val="16"/>
        </w:rPr>
        <w:t>Israel Vázquez Moran y Guadalupe Hoyos Castillo</w:t>
      </w:r>
    </w:p>
    <w:p>
      <w:pPr>
        <w:pStyle w:val="BodyText"/>
        <w:rPr>
          <w:sz w:val="18"/>
        </w:rPr>
      </w:pPr>
      <w:r>
        <w:rPr/>
        <w:br w:type="column"/>
      </w:r>
      <w:r>
        <w:rPr>
          <w:sz w:val="18"/>
        </w:rPr>
      </w:r>
    </w:p>
    <w:p>
      <w:pPr>
        <w:pStyle w:val="BodyText"/>
        <w:rPr>
          <w:sz w:val="18"/>
        </w:rPr>
      </w:pPr>
    </w:p>
    <w:p>
      <w:pPr>
        <w:spacing w:before="106"/>
        <w:ind w:left="150" w:right="-19" w:firstLine="0"/>
        <w:jc w:val="left"/>
        <w:rPr>
          <w:b/>
          <w:sz w:val="18"/>
        </w:rPr>
      </w:pPr>
      <w:r>
        <w:rPr>
          <w:b/>
          <w:sz w:val="18"/>
        </w:rPr>
        <w:t>291</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2"/>
        <w:rPr>
          <w:b/>
          <w:sz w:val="17"/>
        </w:rPr>
      </w:pPr>
    </w:p>
    <w:p>
      <w:pPr>
        <w:spacing w:before="0"/>
        <w:ind w:left="180" w:right="-19" w:firstLine="0"/>
        <w:jc w:val="left"/>
        <w:rPr>
          <w:b/>
          <w:sz w:val="18"/>
        </w:rPr>
      </w:pPr>
      <w:r>
        <w:rPr>
          <w:b/>
          <w:sz w:val="18"/>
        </w:rPr>
        <w:t>309</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4"/>
        <w:rPr>
          <w:b/>
          <w:sz w:val="14"/>
        </w:rPr>
      </w:pPr>
    </w:p>
    <w:p>
      <w:pPr>
        <w:spacing w:before="0"/>
        <w:ind w:left="180" w:right="-19" w:firstLine="0"/>
        <w:jc w:val="left"/>
        <w:rPr>
          <w:b/>
          <w:sz w:val="18"/>
        </w:rPr>
      </w:pPr>
      <w:r>
        <w:rPr>
          <w:b/>
          <w:sz w:val="18"/>
        </w:rPr>
        <w:t>339</w:t>
      </w:r>
    </w:p>
    <w:p>
      <w:pPr>
        <w:spacing w:line="278" w:lineRule="auto" w:before="41"/>
        <w:ind w:left="150" w:right="-13" w:firstLine="0"/>
        <w:jc w:val="left"/>
        <w:rPr>
          <w:b/>
          <w:sz w:val="18"/>
        </w:rPr>
      </w:pPr>
      <w:r>
        <w:rPr/>
        <w:br w:type="column"/>
      </w:r>
      <w:r>
        <w:rPr>
          <w:b/>
          <w:sz w:val="18"/>
        </w:rPr>
        <w:t>Vulnerabilidad física estructural en zonas habitacionales colindantes</w:t>
      </w:r>
      <w:r>
        <w:rPr>
          <w:b/>
          <w:w w:val="99"/>
          <w:sz w:val="18"/>
        </w:rPr>
        <w:t> </w:t>
      </w:r>
      <w:r>
        <w:rPr>
          <w:b/>
          <w:sz w:val="18"/>
        </w:rPr>
        <w:t>con las minas, en el Municipio de Calimaya</w:t>
      </w:r>
    </w:p>
    <w:p>
      <w:pPr>
        <w:spacing w:line="184" w:lineRule="exact" w:before="0"/>
        <w:ind w:left="150" w:right="-13" w:firstLine="0"/>
        <w:jc w:val="left"/>
        <w:rPr>
          <w:sz w:val="16"/>
        </w:rPr>
      </w:pPr>
      <w:r>
        <w:rPr>
          <w:color w:val="6D6E71"/>
          <w:sz w:val="16"/>
        </w:rPr>
        <w:t>Lidia</w:t>
      </w:r>
      <w:r>
        <w:rPr>
          <w:color w:val="6D6E71"/>
          <w:spacing w:val="-4"/>
          <w:sz w:val="16"/>
        </w:rPr>
        <w:t> </w:t>
      </w:r>
      <w:r>
        <w:rPr>
          <w:color w:val="6D6E71"/>
          <w:sz w:val="16"/>
        </w:rPr>
        <w:t>Alejandra</w:t>
      </w:r>
      <w:r>
        <w:rPr>
          <w:color w:val="6D6E71"/>
          <w:spacing w:val="-4"/>
          <w:sz w:val="16"/>
        </w:rPr>
        <w:t> </w:t>
      </w:r>
      <w:r>
        <w:rPr>
          <w:color w:val="6D6E71"/>
          <w:sz w:val="16"/>
        </w:rPr>
        <w:t>González</w:t>
      </w:r>
      <w:r>
        <w:rPr>
          <w:color w:val="6D6E71"/>
          <w:spacing w:val="-4"/>
          <w:sz w:val="16"/>
        </w:rPr>
        <w:t> </w:t>
      </w:r>
      <w:r>
        <w:rPr>
          <w:color w:val="6D6E71"/>
          <w:sz w:val="16"/>
        </w:rPr>
        <w:t>Becerril,</w:t>
      </w:r>
      <w:r>
        <w:rPr>
          <w:color w:val="6D6E71"/>
          <w:spacing w:val="-4"/>
          <w:sz w:val="16"/>
        </w:rPr>
        <w:t> </w:t>
      </w:r>
      <w:r>
        <w:rPr>
          <w:color w:val="6D6E71"/>
          <w:sz w:val="16"/>
        </w:rPr>
        <w:t>Noel</w:t>
      </w:r>
      <w:r>
        <w:rPr>
          <w:color w:val="6D6E71"/>
          <w:spacing w:val="-4"/>
          <w:sz w:val="16"/>
        </w:rPr>
        <w:t> </w:t>
      </w:r>
      <w:r>
        <w:rPr>
          <w:color w:val="6D6E71"/>
          <w:sz w:val="16"/>
        </w:rPr>
        <w:t>Bonfilio</w:t>
      </w:r>
      <w:r>
        <w:rPr>
          <w:color w:val="6D6E71"/>
          <w:spacing w:val="-4"/>
          <w:sz w:val="16"/>
        </w:rPr>
        <w:t> </w:t>
      </w:r>
      <w:r>
        <w:rPr>
          <w:color w:val="6D6E71"/>
          <w:sz w:val="16"/>
        </w:rPr>
        <w:t>Pineda</w:t>
      </w:r>
      <w:r>
        <w:rPr>
          <w:color w:val="6D6E71"/>
          <w:spacing w:val="-4"/>
          <w:sz w:val="16"/>
        </w:rPr>
        <w:t> </w:t>
      </w:r>
      <w:r>
        <w:rPr>
          <w:color w:val="6D6E71"/>
          <w:sz w:val="16"/>
        </w:rPr>
        <w:t>Jaime</w:t>
      </w:r>
      <w:r>
        <w:rPr>
          <w:color w:val="6D6E71"/>
          <w:spacing w:val="-4"/>
          <w:sz w:val="16"/>
        </w:rPr>
        <w:t> </w:t>
      </w:r>
      <w:r>
        <w:rPr>
          <w:color w:val="6D6E71"/>
          <w:sz w:val="16"/>
        </w:rPr>
        <w:t>y</w:t>
      </w:r>
      <w:r>
        <w:rPr>
          <w:color w:val="6D6E71"/>
          <w:spacing w:val="-4"/>
          <w:sz w:val="16"/>
        </w:rPr>
        <w:t> </w:t>
      </w:r>
      <w:r>
        <w:rPr>
          <w:color w:val="6D6E71"/>
          <w:sz w:val="16"/>
        </w:rPr>
        <w:t>Naxhelli</w:t>
      </w:r>
      <w:r>
        <w:rPr>
          <w:color w:val="6D6E71"/>
          <w:spacing w:val="-4"/>
          <w:sz w:val="16"/>
        </w:rPr>
        <w:t> </w:t>
      </w:r>
      <w:r>
        <w:rPr>
          <w:color w:val="6D6E71"/>
          <w:sz w:val="16"/>
        </w:rPr>
        <w:t>Ruiz</w:t>
      </w:r>
      <w:r>
        <w:rPr>
          <w:color w:val="6D6E71"/>
          <w:spacing w:val="-4"/>
          <w:sz w:val="16"/>
        </w:rPr>
        <w:t> </w:t>
      </w:r>
      <w:r>
        <w:rPr>
          <w:color w:val="6D6E71"/>
          <w:sz w:val="16"/>
        </w:rPr>
        <w:t>Rivera</w:t>
      </w:r>
    </w:p>
    <w:p>
      <w:pPr>
        <w:pStyle w:val="BodyText"/>
        <w:rPr>
          <w:sz w:val="16"/>
        </w:rPr>
      </w:pPr>
    </w:p>
    <w:p>
      <w:pPr>
        <w:pStyle w:val="BodyText"/>
        <w:rPr>
          <w:sz w:val="16"/>
        </w:rPr>
      </w:pPr>
    </w:p>
    <w:p>
      <w:pPr>
        <w:pStyle w:val="BodyText"/>
        <w:spacing w:before="8"/>
        <w:rPr>
          <w:sz w:val="14"/>
        </w:rPr>
      </w:pPr>
    </w:p>
    <w:p>
      <w:pPr>
        <w:spacing w:line="278" w:lineRule="auto" w:before="0"/>
        <w:ind w:left="150" w:right="-13" w:firstLine="0"/>
        <w:jc w:val="left"/>
        <w:rPr>
          <w:b/>
          <w:sz w:val="18"/>
        </w:rPr>
      </w:pPr>
      <w:r>
        <w:rPr>
          <w:b/>
          <w:sz w:val="18"/>
        </w:rPr>
        <w:t>Expansión espacial y el desarrollo social y económico de la Megalópolis Brasileña entre Río de Janeiro y São Paulo</w:t>
      </w:r>
    </w:p>
    <w:p>
      <w:pPr>
        <w:spacing w:line="184" w:lineRule="exact" w:before="0"/>
        <w:ind w:left="150" w:right="-13" w:firstLine="0"/>
        <w:jc w:val="left"/>
        <w:rPr>
          <w:sz w:val="16"/>
        </w:rPr>
      </w:pPr>
      <w:r>
        <w:rPr>
          <w:color w:val="6D6E71"/>
          <w:sz w:val="16"/>
        </w:rPr>
        <w:t>Mirosław Wójtowicz</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17"/>
        </w:rPr>
      </w:pPr>
    </w:p>
    <w:p>
      <w:pPr>
        <w:spacing w:before="0"/>
        <w:ind w:left="150" w:right="0" w:firstLine="0"/>
        <w:jc w:val="left"/>
        <w:rPr>
          <w:b/>
          <w:sz w:val="18"/>
        </w:rPr>
      </w:pPr>
      <w:r>
        <w:rPr>
          <w:b/>
          <w:sz w:val="18"/>
        </w:rPr>
        <w:t>501</w:t>
      </w:r>
    </w:p>
    <w:p>
      <w:pPr>
        <w:spacing w:after="0"/>
        <w:jc w:val="left"/>
        <w:rPr>
          <w:sz w:val="18"/>
        </w:rPr>
        <w:sectPr>
          <w:type w:val="continuous"/>
          <w:pgSz w:w="18830" w:h="12760" w:orient="landscape"/>
          <w:pgMar w:top="1420" w:bottom="280" w:left="700" w:right="1540"/>
          <w:cols w:num="4" w:equalWidth="0">
            <w:col w:w="6047" w:space="501"/>
            <w:col w:w="482" w:space="2381"/>
            <w:col w:w="6090" w:space="487"/>
            <w:col w:w="602"/>
          </w:cols>
        </w:sectPr>
      </w:pPr>
    </w:p>
    <w:p>
      <w:pPr>
        <w:spacing w:before="27"/>
        <w:ind w:left="7710" w:right="0" w:firstLine="0"/>
        <w:jc w:val="left"/>
        <w:rPr>
          <w:b/>
          <w:sz w:val="48"/>
        </w:rPr>
      </w:pPr>
      <w:r>
        <w:rPr>
          <w:b/>
          <w:sz w:val="48"/>
        </w:rPr>
        <w:t>Presentación</w:t>
      </w:r>
    </w:p>
    <w:p>
      <w:pPr>
        <w:pStyle w:val="BodyText"/>
        <w:spacing w:before="408"/>
        <w:ind w:left="7539" w:right="109" w:firstLine="170"/>
        <w:jc w:val="both"/>
      </w:pPr>
      <w:r>
        <w:rPr>
          <w:b/>
          <w:w w:val="97"/>
          <w:sz w:val="48"/>
        </w:rPr>
        <w:t>E</w:t>
      </w:r>
      <w:r>
        <w:rPr>
          <w:w w:val="99"/>
        </w:rPr>
        <w:t>n</w:t>
      </w:r>
      <w:r>
        <w:rPr/>
        <w:t> </w:t>
      </w:r>
      <w:r>
        <w:rPr>
          <w:w w:val="102"/>
        </w:rPr>
        <w:t>México</w:t>
      </w:r>
      <w:r>
        <w:rPr/>
        <w:t> </w:t>
      </w:r>
      <w:r>
        <w:rPr>
          <w:w w:val="99"/>
        </w:rPr>
        <w:t>según</w:t>
      </w:r>
      <w:r>
        <w:rPr/>
        <w:t> </w:t>
      </w:r>
      <w:r>
        <w:rPr>
          <w:w w:val="97"/>
        </w:rPr>
        <w:t>el</w:t>
      </w:r>
      <w:r>
        <w:rPr/>
        <w:t> </w:t>
      </w:r>
      <w:r>
        <w:rPr>
          <w:w w:val="95"/>
        </w:rPr>
        <w:t>INEGI</w:t>
      </w:r>
      <w:r>
        <w:rPr/>
        <w:t> </w:t>
      </w:r>
      <w:r>
        <w:rPr>
          <w:w w:val="99"/>
        </w:rPr>
        <w:t>para</w:t>
      </w:r>
      <w:r>
        <w:rPr/>
        <w:t> </w:t>
      </w:r>
      <w:r>
        <w:rPr>
          <w:w w:val="97"/>
        </w:rPr>
        <w:t>el</w:t>
      </w:r>
      <w:r>
        <w:rPr/>
        <w:t> </w:t>
      </w:r>
      <w:r>
        <w:rPr>
          <w:w w:val="99"/>
        </w:rPr>
        <w:t>2010</w:t>
      </w:r>
      <w:r>
        <w:rPr/>
        <w:t> </w:t>
      </w:r>
      <w:r>
        <w:rPr>
          <w:w w:val="97"/>
        </w:rPr>
        <w:t>la</w:t>
      </w:r>
      <w:r>
        <w:rPr/>
        <w:t> </w:t>
      </w:r>
      <w:r>
        <w:rPr>
          <w:w w:val="102"/>
        </w:rPr>
        <w:t>población</w:t>
      </w:r>
      <w:r>
        <w:rPr/>
        <w:t> </w:t>
      </w:r>
      <w:r>
        <w:rPr>
          <w:w w:val="99"/>
        </w:rPr>
        <w:t>urbana</w:t>
      </w:r>
      <w:r>
        <w:rPr/>
        <w:t> </w:t>
      </w:r>
      <w:r>
        <w:rPr>
          <w:w w:val="99"/>
        </w:rPr>
        <w:t>fue</w:t>
      </w:r>
      <w:r>
        <w:rPr/>
        <w:t> </w:t>
      </w:r>
      <w:r>
        <w:rPr>
          <w:w w:val="101"/>
        </w:rPr>
        <w:t>del</w:t>
      </w:r>
      <w:r>
        <w:rPr/>
        <w:t> </w:t>
      </w:r>
      <w:r>
        <w:rPr>
          <w:w w:val="103"/>
        </w:rPr>
        <w:t>77.8%,</w:t>
      </w:r>
      <w:r>
        <w:rPr/>
        <w:t> </w:t>
      </w:r>
      <w:r>
        <w:rPr>
          <w:w w:val="102"/>
        </w:rPr>
        <w:t>lo</w:t>
      </w:r>
      <w:r>
        <w:rPr/>
        <w:t> </w:t>
      </w:r>
      <w:r>
        <w:rPr>
          <w:w w:val="101"/>
        </w:rPr>
        <w:t>que </w:t>
      </w:r>
      <w:r>
        <w:rPr/>
        <w:t>significa que un porcentaje importante de la población vive en localidades mayores a los 2500 habitantes. Las cuales tienen sus propios ritmos de crecimiento, funciones, especialización, cambios de usos del suelo y problemáticas específicas. Las ciudades principales se han expandido, en las últimas décadas, con escasa acción planificadora y bajos resultados en el ordenamiento territorial. Ello ha configurado crecimientos físicos dispersos y fragmentados con importantes efectos  ambientales.</w:t>
      </w:r>
    </w:p>
    <w:p>
      <w:pPr>
        <w:pStyle w:val="BodyText"/>
        <w:spacing w:before="8"/>
        <w:rPr>
          <w:sz w:val="21"/>
        </w:rPr>
      </w:pPr>
    </w:p>
    <w:p>
      <w:pPr>
        <w:pStyle w:val="BodyText"/>
        <w:spacing w:line="249" w:lineRule="auto"/>
        <w:ind w:left="7539" w:right="108" w:firstLine="170"/>
        <w:jc w:val="both"/>
      </w:pPr>
      <w:r>
        <w:rPr/>
        <w:t>En</w:t>
      </w:r>
      <w:r>
        <w:rPr>
          <w:spacing w:val="-15"/>
        </w:rPr>
        <w:t> </w:t>
      </w:r>
      <w:r>
        <w:rPr/>
        <w:t>México,</w:t>
      </w:r>
      <w:r>
        <w:rPr>
          <w:spacing w:val="-15"/>
        </w:rPr>
        <w:t> </w:t>
      </w:r>
      <w:r>
        <w:rPr/>
        <w:t>la</w:t>
      </w:r>
      <w:r>
        <w:rPr>
          <w:spacing w:val="-15"/>
        </w:rPr>
        <w:t> </w:t>
      </w:r>
      <w:r>
        <w:rPr/>
        <w:t>dispersión</w:t>
      </w:r>
      <w:r>
        <w:rPr>
          <w:spacing w:val="-15"/>
        </w:rPr>
        <w:t> </w:t>
      </w:r>
      <w:r>
        <w:rPr/>
        <w:t>urbana</w:t>
      </w:r>
      <w:r>
        <w:rPr>
          <w:spacing w:val="-15"/>
        </w:rPr>
        <w:t> </w:t>
      </w:r>
      <w:r>
        <w:rPr/>
        <w:t>genera</w:t>
      </w:r>
      <w:r>
        <w:rPr>
          <w:spacing w:val="-15"/>
        </w:rPr>
        <w:t> </w:t>
      </w:r>
      <w:r>
        <w:rPr/>
        <w:t>ocupación</w:t>
      </w:r>
      <w:r>
        <w:rPr>
          <w:spacing w:val="-15"/>
        </w:rPr>
        <w:t> </w:t>
      </w:r>
      <w:r>
        <w:rPr/>
        <w:t>del</w:t>
      </w:r>
      <w:r>
        <w:rPr>
          <w:spacing w:val="-15"/>
        </w:rPr>
        <w:t> </w:t>
      </w:r>
      <w:r>
        <w:rPr/>
        <w:t>territorio</w:t>
      </w:r>
      <w:r>
        <w:rPr>
          <w:spacing w:val="-15"/>
        </w:rPr>
        <w:t> </w:t>
      </w:r>
      <w:r>
        <w:rPr/>
        <w:t>en</w:t>
      </w:r>
      <w:r>
        <w:rPr>
          <w:spacing w:val="-15"/>
        </w:rPr>
        <w:t> </w:t>
      </w:r>
      <w:r>
        <w:rPr/>
        <w:t>riesgos,</w:t>
      </w:r>
      <w:r>
        <w:rPr>
          <w:spacing w:val="-15"/>
        </w:rPr>
        <w:t> </w:t>
      </w:r>
      <w:r>
        <w:rPr/>
        <w:t>situaciones de vulnerabilidad con inexistencia de acciones públicas, porque se encuentra en pendientes</w:t>
      </w:r>
      <w:r>
        <w:rPr>
          <w:spacing w:val="-12"/>
        </w:rPr>
        <w:t> </w:t>
      </w:r>
      <w:r>
        <w:rPr/>
        <w:t>abruptas,</w:t>
      </w:r>
      <w:r>
        <w:rPr>
          <w:spacing w:val="-12"/>
        </w:rPr>
        <w:t> </w:t>
      </w:r>
      <w:r>
        <w:rPr/>
        <w:t>lugares</w:t>
      </w:r>
      <w:r>
        <w:rPr>
          <w:spacing w:val="-12"/>
        </w:rPr>
        <w:t> </w:t>
      </w:r>
      <w:r>
        <w:rPr/>
        <w:t>que</w:t>
      </w:r>
      <w:r>
        <w:rPr>
          <w:spacing w:val="-12"/>
        </w:rPr>
        <w:t> </w:t>
      </w:r>
      <w:r>
        <w:rPr/>
        <w:t>se</w:t>
      </w:r>
      <w:r>
        <w:rPr>
          <w:spacing w:val="-12"/>
        </w:rPr>
        <w:t> </w:t>
      </w:r>
      <w:r>
        <w:rPr/>
        <w:t>inundan,</w:t>
      </w:r>
      <w:r>
        <w:rPr>
          <w:spacing w:val="-12"/>
        </w:rPr>
        <w:t> </w:t>
      </w:r>
      <w:r>
        <w:rPr/>
        <w:t>en</w:t>
      </w:r>
      <w:r>
        <w:rPr>
          <w:spacing w:val="-12"/>
        </w:rPr>
        <w:t> </w:t>
      </w:r>
      <w:r>
        <w:rPr/>
        <w:t>áreas</w:t>
      </w:r>
      <w:r>
        <w:rPr>
          <w:spacing w:val="-12"/>
        </w:rPr>
        <w:t> </w:t>
      </w:r>
      <w:r>
        <w:rPr/>
        <w:t>naturales</w:t>
      </w:r>
      <w:r>
        <w:rPr>
          <w:spacing w:val="-12"/>
        </w:rPr>
        <w:t> </w:t>
      </w:r>
      <w:r>
        <w:rPr/>
        <w:t>protegidas,</w:t>
      </w:r>
      <w:r>
        <w:rPr>
          <w:spacing w:val="-12"/>
        </w:rPr>
        <w:t> </w:t>
      </w:r>
      <w:r>
        <w:rPr/>
        <w:t>entre</w:t>
      </w:r>
      <w:r>
        <w:rPr>
          <w:spacing w:val="-12"/>
        </w:rPr>
        <w:t> </w:t>
      </w:r>
      <w:r>
        <w:rPr/>
        <w:t>otras formas, genera tejido construido en áreas no óptimas para el desarrollo urbano, todo ello impacta negativamente al medio ambiente y la calidad de vida de la </w:t>
      </w:r>
      <w:r>
        <w:rPr>
          <w:spacing w:val="22"/>
        </w:rPr>
        <w:t> </w:t>
      </w:r>
      <w:r>
        <w:rPr/>
        <w:t>población.</w:t>
      </w:r>
    </w:p>
    <w:p>
      <w:pPr>
        <w:pStyle w:val="BodyText"/>
        <w:spacing w:before="11"/>
      </w:pPr>
    </w:p>
    <w:p>
      <w:pPr>
        <w:pStyle w:val="BodyText"/>
        <w:spacing w:line="249" w:lineRule="auto"/>
        <w:ind w:left="7539" w:right="109" w:firstLine="170"/>
        <w:jc w:val="both"/>
      </w:pPr>
      <w:r>
        <w:rPr/>
        <w:t>El crecimiento urbano continuará porque en las ciudades se genera la riqueza del país, en ellas se encuentran las oportunidades y soluciones. La urbanización es el modelo para conseguir el desarrollo de la sociedad. En dicho desarrollo se aspira el crecimiento sustentable y armonioso con el ambiente. Se espera cambios regulatorios para</w:t>
      </w:r>
      <w:r>
        <w:rPr>
          <w:spacing w:val="-7"/>
        </w:rPr>
        <w:t> </w:t>
      </w:r>
      <w:r>
        <w:rPr/>
        <w:t>revertir</w:t>
      </w:r>
      <w:r>
        <w:rPr>
          <w:spacing w:val="-7"/>
        </w:rPr>
        <w:t> </w:t>
      </w:r>
      <w:r>
        <w:rPr/>
        <w:t>los</w:t>
      </w:r>
      <w:r>
        <w:rPr>
          <w:spacing w:val="-7"/>
        </w:rPr>
        <w:t> </w:t>
      </w:r>
      <w:r>
        <w:rPr/>
        <w:t>efectos</w:t>
      </w:r>
      <w:r>
        <w:rPr>
          <w:spacing w:val="-7"/>
        </w:rPr>
        <w:t> </w:t>
      </w:r>
      <w:r>
        <w:rPr/>
        <w:t>negativos</w:t>
      </w:r>
      <w:r>
        <w:rPr>
          <w:spacing w:val="-7"/>
        </w:rPr>
        <w:t> </w:t>
      </w:r>
      <w:r>
        <w:rPr/>
        <w:t>generados</w:t>
      </w:r>
      <w:r>
        <w:rPr>
          <w:spacing w:val="-7"/>
        </w:rPr>
        <w:t> </w:t>
      </w:r>
      <w:r>
        <w:rPr/>
        <w:t>durante</w:t>
      </w:r>
      <w:r>
        <w:rPr>
          <w:spacing w:val="-7"/>
        </w:rPr>
        <w:t> </w:t>
      </w:r>
      <w:r>
        <w:rPr/>
        <w:t>décadas</w:t>
      </w:r>
      <w:r>
        <w:rPr>
          <w:spacing w:val="-7"/>
        </w:rPr>
        <w:t> </w:t>
      </w:r>
      <w:r>
        <w:rPr/>
        <w:t>con</w:t>
      </w:r>
      <w:r>
        <w:rPr>
          <w:spacing w:val="-7"/>
        </w:rPr>
        <w:t> </w:t>
      </w:r>
      <w:r>
        <w:rPr/>
        <w:t>la</w:t>
      </w:r>
      <w:r>
        <w:rPr>
          <w:spacing w:val="-7"/>
        </w:rPr>
        <w:t> </w:t>
      </w:r>
      <w:r>
        <w:rPr/>
        <w:t>expansión</w:t>
      </w:r>
      <w:r>
        <w:rPr>
          <w:spacing w:val="-7"/>
        </w:rPr>
        <w:t> </w:t>
      </w:r>
      <w:r>
        <w:rPr/>
        <w:t>urbana consumidora de recursos naturales, energía y recursos</w:t>
      </w:r>
      <w:r>
        <w:rPr>
          <w:spacing w:val="23"/>
        </w:rPr>
        <w:t> </w:t>
      </w:r>
      <w:r>
        <w:rPr/>
        <w:t>financieros.</w:t>
      </w:r>
    </w:p>
    <w:p>
      <w:pPr>
        <w:pStyle w:val="BodyText"/>
        <w:spacing w:before="11"/>
      </w:pPr>
    </w:p>
    <w:p>
      <w:pPr>
        <w:pStyle w:val="BodyText"/>
        <w:spacing w:line="249" w:lineRule="auto"/>
        <w:ind w:left="7539" w:right="109" w:firstLine="170"/>
        <w:jc w:val="both"/>
      </w:pPr>
      <w:r>
        <w:rPr/>
        <w:t>En este marco problemático se integra el libro “Vulnerabilidad territorial ante la expansión urbana”, es producto de las actividades científicas –foro y congreso realizados</w:t>
      </w:r>
      <w:r>
        <w:rPr>
          <w:spacing w:val="-4"/>
        </w:rPr>
        <w:t> </w:t>
      </w:r>
      <w:r>
        <w:rPr/>
        <w:t>en</w:t>
      </w:r>
      <w:r>
        <w:rPr>
          <w:spacing w:val="-4"/>
        </w:rPr>
        <w:t> </w:t>
      </w:r>
      <w:r>
        <w:rPr/>
        <w:t>2015-</w:t>
      </w:r>
      <w:r>
        <w:rPr>
          <w:spacing w:val="-4"/>
        </w:rPr>
        <w:t> </w:t>
      </w:r>
      <w:r>
        <w:rPr/>
        <w:t>de</w:t>
      </w:r>
      <w:r>
        <w:rPr>
          <w:spacing w:val="-4"/>
        </w:rPr>
        <w:t> </w:t>
      </w:r>
      <w:r>
        <w:rPr/>
        <w:t>la</w:t>
      </w:r>
      <w:r>
        <w:rPr>
          <w:spacing w:val="-4"/>
        </w:rPr>
        <w:t> </w:t>
      </w:r>
      <w:r>
        <w:rPr/>
        <w:t>Red</w:t>
      </w:r>
      <w:r>
        <w:rPr>
          <w:spacing w:val="-4"/>
        </w:rPr>
        <w:t> </w:t>
      </w:r>
      <w:r>
        <w:rPr/>
        <w:t>internacional</w:t>
      </w:r>
      <w:r>
        <w:rPr>
          <w:spacing w:val="-4"/>
        </w:rPr>
        <w:t> </w:t>
      </w:r>
      <w:r>
        <w:rPr/>
        <w:t>de</w:t>
      </w:r>
      <w:r>
        <w:rPr>
          <w:spacing w:val="-4"/>
        </w:rPr>
        <w:t> </w:t>
      </w:r>
      <w:r>
        <w:rPr/>
        <w:t>territorios,</w:t>
      </w:r>
      <w:r>
        <w:rPr>
          <w:spacing w:val="-4"/>
        </w:rPr>
        <w:t> </w:t>
      </w:r>
      <w:r>
        <w:rPr/>
        <w:t>sustentabilidad</w:t>
      </w:r>
      <w:r>
        <w:rPr>
          <w:spacing w:val="-4"/>
        </w:rPr>
        <w:t> </w:t>
      </w:r>
      <w:r>
        <w:rPr/>
        <w:t>y</w:t>
      </w:r>
      <w:r>
        <w:rPr>
          <w:spacing w:val="-4"/>
        </w:rPr>
        <w:t> </w:t>
      </w:r>
      <w:r>
        <w:rPr/>
        <w:t>gobernanza en México y Polonia (RETESYG) de la Facultad de Geografía, Facultad de Planeación Urbana y Regional de la Universidad Autónoma del Estado de México (UAEM), así como</w:t>
      </w:r>
      <w:r>
        <w:rPr>
          <w:spacing w:val="-5"/>
        </w:rPr>
        <w:t> </w:t>
      </w:r>
      <w:r>
        <w:rPr/>
        <w:t>de</w:t>
      </w:r>
      <w:r>
        <w:rPr>
          <w:spacing w:val="-5"/>
        </w:rPr>
        <w:t> </w:t>
      </w:r>
      <w:r>
        <w:rPr/>
        <w:t>la</w:t>
      </w:r>
      <w:r>
        <w:rPr>
          <w:spacing w:val="-5"/>
        </w:rPr>
        <w:t> </w:t>
      </w:r>
      <w:r>
        <w:rPr/>
        <w:t>Facultad</w:t>
      </w:r>
      <w:r>
        <w:rPr>
          <w:spacing w:val="-5"/>
        </w:rPr>
        <w:t> </w:t>
      </w:r>
      <w:r>
        <w:rPr/>
        <w:t>de</w:t>
      </w:r>
      <w:r>
        <w:rPr>
          <w:spacing w:val="-5"/>
        </w:rPr>
        <w:t> </w:t>
      </w:r>
      <w:r>
        <w:rPr/>
        <w:t>Geografía</w:t>
      </w:r>
      <w:r>
        <w:rPr>
          <w:spacing w:val="-5"/>
        </w:rPr>
        <w:t> </w:t>
      </w:r>
      <w:r>
        <w:rPr/>
        <w:t>y</w:t>
      </w:r>
      <w:r>
        <w:rPr>
          <w:spacing w:val="-5"/>
        </w:rPr>
        <w:t> </w:t>
      </w:r>
      <w:r>
        <w:rPr/>
        <w:t>Estudios</w:t>
      </w:r>
      <w:r>
        <w:rPr>
          <w:spacing w:val="-5"/>
        </w:rPr>
        <w:t> </w:t>
      </w:r>
      <w:r>
        <w:rPr/>
        <w:t>Regionales</w:t>
      </w:r>
      <w:r>
        <w:rPr>
          <w:spacing w:val="-5"/>
        </w:rPr>
        <w:t> </w:t>
      </w:r>
      <w:r>
        <w:rPr/>
        <w:t>de</w:t>
      </w:r>
      <w:r>
        <w:rPr>
          <w:spacing w:val="-5"/>
        </w:rPr>
        <w:t> </w:t>
      </w:r>
      <w:r>
        <w:rPr/>
        <w:t>la</w:t>
      </w:r>
      <w:r>
        <w:rPr>
          <w:spacing w:val="-5"/>
        </w:rPr>
        <w:t> </w:t>
      </w:r>
      <w:r>
        <w:rPr/>
        <w:t>Universidad</w:t>
      </w:r>
      <w:r>
        <w:rPr>
          <w:spacing w:val="-5"/>
        </w:rPr>
        <w:t> </w:t>
      </w:r>
      <w:r>
        <w:rPr/>
        <w:t>de</w:t>
      </w:r>
      <w:r>
        <w:rPr>
          <w:spacing w:val="-5"/>
        </w:rPr>
        <w:t> </w:t>
      </w:r>
      <w:r>
        <w:rPr/>
        <w:t>Varsovia (UV) y la Facultad de Geografía y Biología de la Universidad Pedagógica “Comisión de Educación Nacional” de</w:t>
      </w:r>
      <w:r>
        <w:rPr>
          <w:spacing w:val="39"/>
        </w:rPr>
        <w:t> </w:t>
      </w:r>
      <w:r>
        <w:rPr/>
        <w:t>Cracovia.</w:t>
      </w:r>
    </w:p>
    <w:p>
      <w:pPr>
        <w:pStyle w:val="BodyText"/>
        <w:spacing w:before="11"/>
      </w:pPr>
    </w:p>
    <w:p>
      <w:pPr>
        <w:pStyle w:val="BodyText"/>
        <w:spacing w:line="249" w:lineRule="auto"/>
        <w:ind w:left="7539" w:right="109" w:firstLine="170"/>
        <w:jc w:val="both"/>
      </w:pPr>
      <w:r>
        <w:rPr/>
        <w:t>El libro tiene una visión integral de la vulnerabilidad territorial ante la expansión urbana, considera los enfoques de la geografía, de la planeación y del ordenamiento territorial</w:t>
      </w:r>
      <w:r>
        <w:rPr>
          <w:spacing w:val="-5"/>
        </w:rPr>
        <w:t> </w:t>
      </w:r>
      <w:r>
        <w:rPr/>
        <w:t>para</w:t>
      </w:r>
      <w:r>
        <w:rPr>
          <w:spacing w:val="-5"/>
        </w:rPr>
        <w:t> </w:t>
      </w:r>
      <w:r>
        <w:rPr/>
        <w:t>abordar</w:t>
      </w:r>
      <w:r>
        <w:rPr>
          <w:spacing w:val="-5"/>
        </w:rPr>
        <w:t> </w:t>
      </w:r>
      <w:r>
        <w:rPr/>
        <w:t>las</w:t>
      </w:r>
      <w:r>
        <w:rPr>
          <w:spacing w:val="-5"/>
        </w:rPr>
        <w:t> </w:t>
      </w:r>
      <w:r>
        <w:rPr/>
        <w:t>problemáticas</w:t>
      </w:r>
      <w:r>
        <w:rPr>
          <w:spacing w:val="-5"/>
        </w:rPr>
        <w:t> </w:t>
      </w:r>
      <w:r>
        <w:rPr/>
        <w:t>ambiental</w:t>
      </w:r>
      <w:r>
        <w:rPr>
          <w:spacing w:val="-5"/>
        </w:rPr>
        <w:t> </w:t>
      </w:r>
      <w:r>
        <w:rPr/>
        <w:t>y</w:t>
      </w:r>
      <w:r>
        <w:rPr>
          <w:spacing w:val="-5"/>
        </w:rPr>
        <w:t> </w:t>
      </w:r>
      <w:r>
        <w:rPr/>
        <w:t>social.</w:t>
      </w:r>
      <w:r>
        <w:rPr>
          <w:spacing w:val="-5"/>
        </w:rPr>
        <w:t> </w:t>
      </w:r>
      <w:r>
        <w:rPr/>
        <w:t>Presenta</w:t>
      </w:r>
      <w:r>
        <w:rPr>
          <w:spacing w:val="-5"/>
        </w:rPr>
        <w:t> </w:t>
      </w:r>
      <w:r>
        <w:rPr/>
        <w:t>una</w:t>
      </w:r>
      <w:r>
        <w:rPr>
          <w:spacing w:val="-5"/>
        </w:rPr>
        <w:t> </w:t>
      </w:r>
      <w:r>
        <w:rPr/>
        <w:t>visión</w:t>
      </w:r>
      <w:r>
        <w:rPr>
          <w:spacing w:val="-5"/>
        </w:rPr>
        <w:t> </w:t>
      </w:r>
      <w:r>
        <w:rPr/>
        <w:t>amplia y de síntesis sobre vulnerabilidad del territorio y de las ciudades, en él se integran los saberes</w:t>
      </w:r>
      <w:r>
        <w:rPr>
          <w:spacing w:val="-14"/>
        </w:rPr>
        <w:t> </w:t>
      </w:r>
      <w:r>
        <w:rPr/>
        <w:t>de</w:t>
      </w:r>
      <w:r>
        <w:rPr>
          <w:spacing w:val="-14"/>
        </w:rPr>
        <w:t> </w:t>
      </w:r>
      <w:r>
        <w:rPr/>
        <w:t>la</w:t>
      </w:r>
      <w:r>
        <w:rPr>
          <w:spacing w:val="-14"/>
        </w:rPr>
        <w:t> </w:t>
      </w:r>
      <w:r>
        <w:rPr/>
        <w:t>Geografía</w:t>
      </w:r>
      <w:r>
        <w:rPr>
          <w:spacing w:val="-14"/>
        </w:rPr>
        <w:t> </w:t>
      </w:r>
      <w:r>
        <w:rPr/>
        <w:t>y</w:t>
      </w:r>
      <w:r>
        <w:rPr>
          <w:spacing w:val="-14"/>
        </w:rPr>
        <w:t> </w:t>
      </w:r>
      <w:r>
        <w:rPr/>
        <w:t>de</w:t>
      </w:r>
      <w:r>
        <w:rPr>
          <w:spacing w:val="-14"/>
        </w:rPr>
        <w:t> </w:t>
      </w:r>
      <w:r>
        <w:rPr/>
        <w:t>la</w:t>
      </w:r>
      <w:r>
        <w:rPr>
          <w:spacing w:val="-14"/>
        </w:rPr>
        <w:t> </w:t>
      </w:r>
      <w:r>
        <w:rPr/>
        <w:t>Planeación</w:t>
      </w:r>
      <w:r>
        <w:rPr>
          <w:spacing w:val="-14"/>
        </w:rPr>
        <w:t> </w:t>
      </w:r>
      <w:r>
        <w:rPr/>
        <w:t>Territorial.</w:t>
      </w:r>
      <w:r>
        <w:rPr>
          <w:spacing w:val="-14"/>
        </w:rPr>
        <w:t> </w:t>
      </w:r>
      <w:r>
        <w:rPr/>
        <w:t>Destaca</w:t>
      </w:r>
      <w:r>
        <w:rPr>
          <w:spacing w:val="-14"/>
        </w:rPr>
        <w:t> </w:t>
      </w:r>
      <w:r>
        <w:rPr/>
        <w:t>la</w:t>
      </w:r>
      <w:r>
        <w:rPr>
          <w:spacing w:val="-14"/>
        </w:rPr>
        <w:t> </w:t>
      </w:r>
      <w:r>
        <w:rPr/>
        <w:t>necesidad</w:t>
      </w:r>
      <w:r>
        <w:rPr>
          <w:spacing w:val="-14"/>
        </w:rPr>
        <w:t> </w:t>
      </w:r>
      <w:r>
        <w:rPr/>
        <w:t>de</w:t>
      </w:r>
      <w:r>
        <w:rPr>
          <w:spacing w:val="-14"/>
        </w:rPr>
        <w:t> </w:t>
      </w:r>
      <w:r>
        <w:rPr/>
        <w:t>controlar el crecimiento anárquico y desordenado, las desigualdades sociales, los riesgos, los problemas</w:t>
      </w:r>
      <w:r>
        <w:rPr>
          <w:spacing w:val="-10"/>
        </w:rPr>
        <w:t> </w:t>
      </w:r>
      <w:r>
        <w:rPr/>
        <w:t>ambientales,</w:t>
      </w:r>
      <w:r>
        <w:rPr>
          <w:spacing w:val="-10"/>
        </w:rPr>
        <w:t> </w:t>
      </w:r>
      <w:r>
        <w:rPr/>
        <w:t>la</w:t>
      </w:r>
      <w:r>
        <w:rPr>
          <w:spacing w:val="-10"/>
        </w:rPr>
        <w:t> </w:t>
      </w:r>
      <w:r>
        <w:rPr/>
        <w:t>falta</w:t>
      </w:r>
      <w:r>
        <w:rPr>
          <w:spacing w:val="-10"/>
        </w:rPr>
        <w:t> </w:t>
      </w:r>
      <w:r>
        <w:rPr/>
        <w:t>de</w:t>
      </w:r>
      <w:r>
        <w:rPr>
          <w:spacing w:val="-10"/>
        </w:rPr>
        <w:t> </w:t>
      </w:r>
      <w:r>
        <w:rPr/>
        <w:t>bases</w:t>
      </w:r>
      <w:r>
        <w:rPr>
          <w:spacing w:val="-10"/>
        </w:rPr>
        <w:t> </w:t>
      </w:r>
      <w:r>
        <w:rPr/>
        <w:t>de</w:t>
      </w:r>
      <w:r>
        <w:rPr>
          <w:spacing w:val="-10"/>
        </w:rPr>
        <w:t> </w:t>
      </w:r>
      <w:r>
        <w:rPr/>
        <w:t>datos</w:t>
      </w:r>
      <w:r>
        <w:rPr>
          <w:spacing w:val="-10"/>
        </w:rPr>
        <w:t> </w:t>
      </w:r>
      <w:r>
        <w:rPr/>
        <w:t>geoespaciales</w:t>
      </w:r>
      <w:r>
        <w:rPr>
          <w:spacing w:val="-10"/>
        </w:rPr>
        <w:t> </w:t>
      </w:r>
      <w:r>
        <w:rPr/>
        <w:t>dinámicas,</w:t>
      </w:r>
      <w:r>
        <w:rPr>
          <w:spacing w:val="-10"/>
        </w:rPr>
        <w:t> </w:t>
      </w:r>
      <w:r>
        <w:rPr/>
        <w:t>entre</w:t>
      </w:r>
      <w:r>
        <w:rPr>
          <w:spacing w:val="-10"/>
        </w:rPr>
        <w:t> </w:t>
      </w:r>
      <w:r>
        <w:rPr/>
        <w:t>otros</w:t>
      </w:r>
    </w:p>
    <w:p>
      <w:pPr>
        <w:spacing w:after="0" w:line="249" w:lineRule="auto"/>
        <w:jc w:val="both"/>
        <w:sectPr>
          <w:pgSz w:w="18830" w:h="12760" w:orient="landscape"/>
          <w:pgMar w:top="1120" w:bottom="280" w:left="2720" w:right="740"/>
        </w:sectPr>
      </w:pPr>
    </w:p>
    <w:p>
      <w:pPr>
        <w:pStyle w:val="BodyText"/>
        <w:spacing w:before="10"/>
        <w:rPr>
          <w:sz w:val="11"/>
        </w:rPr>
      </w:pPr>
    </w:p>
    <w:p>
      <w:pPr>
        <w:pStyle w:val="BodyText"/>
        <w:spacing w:line="20" w:lineRule="exact"/>
        <w:ind w:left="951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spacing w:after="0"/>
        <w:sectPr>
          <w:headerReference w:type="default" r:id="rId23"/>
          <w:pgSz w:w="18830" w:h="12760" w:orient="landscape"/>
          <w:pgMar w:header="482" w:footer="0" w:top="680" w:bottom="0" w:left="740" w:right="720"/>
        </w:sectPr>
      </w:pPr>
    </w:p>
    <w:p>
      <w:pPr>
        <w:pStyle w:val="BodyText"/>
        <w:spacing w:line="249" w:lineRule="auto" w:before="109"/>
        <w:ind w:left="110"/>
      </w:pPr>
      <w:r>
        <w:rPr/>
        <w:t>aspectos. Los resultados de las investigaciones apuntan hacia el desarrollo territorial sustentable.</w:t>
      </w:r>
    </w:p>
    <w:p>
      <w:pPr>
        <w:pStyle w:val="BodyText"/>
        <w:spacing w:before="11"/>
      </w:pPr>
    </w:p>
    <w:p>
      <w:pPr>
        <w:pStyle w:val="BodyText"/>
        <w:spacing w:line="249" w:lineRule="auto"/>
        <w:ind w:left="110" w:firstLine="170"/>
        <w:jc w:val="both"/>
      </w:pPr>
      <w:r>
        <w:rPr/>
        <w:t>El</w:t>
      </w:r>
      <w:r>
        <w:rPr>
          <w:spacing w:val="-16"/>
        </w:rPr>
        <w:t> </w:t>
      </w:r>
      <w:r>
        <w:rPr/>
        <w:t>libro</w:t>
      </w:r>
      <w:r>
        <w:rPr>
          <w:spacing w:val="-16"/>
        </w:rPr>
        <w:t> </w:t>
      </w:r>
      <w:r>
        <w:rPr/>
        <w:t>se</w:t>
      </w:r>
      <w:r>
        <w:rPr>
          <w:spacing w:val="-16"/>
        </w:rPr>
        <w:t> </w:t>
      </w:r>
      <w:r>
        <w:rPr/>
        <w:t>conforma</w:t>
      </w:r>
      <w:r>
        <w:rPr>
          <w:spacing w:val="-16"/>
        </w:rPr>
        <w:t> </w:t>
      </w:r>
      <w:r>
        <w:rPr/>
        <w:t>de</w:t>
      </w:r>
      <w:r>
        <w:rPr>
          <w:spacing w:val="-16"/>
        </w:rPr>
        <w:t> </w:t>
      </w:r>
      <w:r>
        <w:rPr/>
        <w:t>dos</w:t>
      </w:r>
      <w:r>
        <w:rPr>
          <w:spacing w:val="-16"/>
        </w:rPr>
        <w:t> </w:t>
      </w:r>
      <w:r>
        <w:rPr/>
        <w:t>partes,</w:t>
      </w:r>
      <w:r>
        <w:rPr>
          <w:spacing w:val="-16"/>
        </w:rPr>
        <w:t> </w:t>
      </w:r>
      <w:r>
        <w:rPr/>
        <w:t>la</w:t>
      </w:r>
      <w:r>
        <w:rPr>
          <w:spacing w:val="-16"/>
        </w:rPr>
        <w:t> </w:t>
      </w:r>
      <w:r>
        <w:rPr/>
        <w:t>primera</w:t>
      </w:r>
      <w:r>
        <w:rPr>
          <w:spacing w:val="-16"/>
        </w:rPr>
        <w:t> </w:t>
      </w:r>
      <w:r>
        <w:rPr/>
        <w:t>presenta</w:t>
      </w:r>
      <w:r>
        <w:rPr>
          <w:spacing w:val="-16"/>
        </w:rPr>
        <w:t> </w:t>
      </w:r>
      <w:r>
        <w:rPr/>
        <w:t>aspectos</w:t>
      </w:r>
      <w:r>
        <w:rPr>
          <w:spacing w:val="-16"/>
        </w:rPr>
        <w:t> </w:t>
      </w:r>
      <w:r>
        <w:rPr/>
        <w:t>teóricos</w:t>
      </w:r>
      <w:r>
        <w:rPr>
          <w:spacing w:val="-16"/>
        </w:rPr>
        <w:t> </w:t>
      </w:r>
      <w:r>
        <w:rPr/>
        <w:t>conceptuales y metodológicos de la vulnerabilidad territorial, estructural, física, ambiental y socioeconómica, los riesgos geomorfológicos, la sustentabilidad y manejo de recursos naturales, áreas naturales protegidas, metodologías para la evaluación de los</w:t>
      </w:r>
      <w:r>
        <w:rPr>
          <w:spacing w:val="-37"/>
        </w:rPr>
        <w:t> </w:t>
      </w:r>
      <w:r>
        <w:rPr/>
        <w:t>impactos de</w:t>
      </w:r>
      <w:r>
        <w:rPr>
          <w:spacing w:val="28"/>
        </w:rPr>
        <w:t> </w:t>
      </w:r>
      <w:r>
        <w:rPr/>
        <w:t>la</w:t>
      </w:r>
      <w:r>
        <w:rPr>
          <w:spacing w:val="28"/>
        </w:rPr>
        <w:t> </w:t>
      </w:r>
      <w:r>
        <w:rPr/>
        <w:t>expansión</w:t>
      </w:r>
      <w:r>
        <w:rPr>
          <w:spacing w:val="28"/>
        </w:rPr>
        <w:t> </w:t>
      </w:r>
      <w:r>
        <w:rPr/>
        <w:t>metropolitana</w:t>
      </w:r>
      <w:r>
        <w:rPr>
          <w:spacing w:val="28"/>
        </w:rPr>
        <w:t> </w:t>
      </w:r>
      <w:r>
        <w:rPr/>
        <w:t>y</w:t>
      </w:r>
      <w:r>
        <w:rPr>
          <w:spacing w:val="28"/>
        </w:rPr>
        <w:t> </w:t>
      </w:r>
      <w:r>
        <w:rPr/>
        <w:t>gobernanza</w:t>
      </w:r>
      <w:r>
        <w:rPr>
          <w:spacing w:val="28"/>
        </w:rPr>
        <w:t> </w:t>
      </w:r>
      <w:r>
        <w:rPr/>
        <w:t>territorial.</w:t>
      </w:r>
      <w:r>
        <w:rPr>
          <w:spacing w:val="28"/>
        </w:rPr>
        <w:t> </w:t>
      </w:r>
      <w:r>
        <w:rPr/>
        <w:t>La</w:t>
      </w:r>
      <w:r>
        <w:rPr>
          <w:spacing w:val="28"/>
        </w:rPr>
        <w:t> </w:t>
      </w:r>
      <w:r>
        <w:rPr/>
        <w:t>segunda</w:t>
      </w:r>
      <w:r>
        <w:rPr>
          <w:spacing w:val="28"/>
        </w:rPr>
        <w:t> </w:t>
      </w:r>
      <w:r>
        <w:rPr/>
        <w:t>parte,</w:t>
      </w:r>
      <w:r>
        <w:rPr>
          <w:spacing w:val="28"/>
        </w:rPr>
        <w:t> </w:t>
      </w:r>
      <w:r>
        <w:rPr/>
        <w:t>desarrolla</w:t>
      </w:r>
      <w:r>
        <w:rPr>
          <w:w w:val="99"/>
        </w:rPr>
        <w:t> </w:t>
      </w:r>
      <w:r>
        <w:rPr/>
        <w:t>estudios de caso, a distintas escalas: desde huertos familiares, subcuencas, ciudad, municipio,</w:t>
      </w:r>
      <w:r>
        <w:rPr>
          <w:spacing w:val="-5"/>
        </w:rPr>
        <w:t> </w:t>
      </w:r>
      <w:r>
        <w:rPr/>
        <w:t>zona</w:t>
      </w:r>
      <w:r>
        <w:rPr>
          <w:spacing w:val="-5"/>
        </w:rPr>
        <w:t> </w:t>
      </w:r>
      <w:r>
        <w:rPr/>
        <w:t>metropolitanas,</w:t>
      </w:r>
      <w:r>
        <w:rPr>
          <w:spacing w:val="-5"/>
        </w:rPr>
        <w:t> </w:t>
      </w:r>
      <w:r>
        <w:rPr/>
        <w:t>megalópolis,</w:t>
      </w:r>
      <w:r>
        <w:rPr>
          <w:spacing w:val="-5"/>
        </w:rPr>
        <w:t> </w:t>
      </w:r>
      <w:r>
        <w:rPr/>
        <w:t>regiones</w:t>
      </w:r>
      <w:r>
        <w:rPr>
          <w:spacing w:val="-5"/>
        </w:rPr>
        <w:t> </w:t>
      </w:r>
      <w:r>
        <w:rPr/>
        <w:t>y</w:t>
      </w:r>
      <w:r>
        <w:rPr>
          <w:spacing w:val="-5"/>
        </w:rPr>
        <w:t> </w:t>
      </w:r>
      <w:r>
        <w:rPr/>
        <w:t>país.</w:t>
      </w:r>
      <w:r>
        <w:rPr>
          <w:spacing w:val="-5"/>
        </w:rPr>
        <w:t> </w:t>
      </w:r>
      <w:r>
        <w:rPr/>
        <w:t>En</w:t>
      </w:r>
      <w:r>
        <w:rPr>
          <w:spacing w:val="-5"/>
        </w:rPr>
        <w:t> </w:t>
      </w:r>
      <w:r>
        <w:rPr/>
        <w:t>cada</w:t>
      </w:r>
      <w:r>
        <w:rPr>
          <w:spacing w:val="-5"/>
        </w:rPr>
        <w:t> </w:t>
      </w:r>
      <w:r>
        <w:rPr/>
        <w:t>capítulo</w:t>
      </w:r>
      <w:r>
        <w:rPr>
          <w:spacing w:val="-5"/>
        </w:rPr>
        <w:t> </w:t>
      </w:r>
      <w:r>
        <w:rPr/>
        <w:t>del</w:t>
      </w:r>
      <w:r>
        <w:rPr>
          <w:spacing w:val="-5"/>
        </w:rPr>
        <w:t> </w:t>
      </w:r>
      <w:r>
        <w:rPr/>
        <w:t>libro se</w:t>
      </w:r>
      <w:r>
        <w:rPr>
          <w:spacing w:val="-7"/>
        </w:rPr>
        <w:t> </w:t>
      </w:r>
      <w:r>
        <w:rPr/>
        <w:t>presenta</w:t>
      </w:r>
      <w:r>
        <w:rPr>
          <w:spacing w:val="-7"/>
        </w:rPr>
        <w:t> </w:t>
      </w:r>
      <w:r>
        <w:rPr/>
        <w:t>bibliografía</w:t>
      </w:r>
      <w:r>
        <w:rPr>
          <w:spacing w:val="-7"/>
        </w:rPr>
        <w:t> </w:t>
      </w:r>
      <w:r>
        <w:rPr/>
        <w:t>extensa,</w:t>
      </w:r>
      <w:r>
        <w:rPr>
          <w:spacing w:val="-7"/>
        </w:rPr>
        <w:t> </w:t>
      </w:r>
      <w:r>
        <w:rPr/>
        <w:t>diversificada</w:t>
      </w:r>
      <w:r>
        <w:rPr>
          <w:spacing w:val="-7"/>
        </w:rPr>
        <w:t> </w:t>
      </w:r>
      <w:r>
        <w:rPr/>
        <w:t>y</w:t>
      </w:r>
      <w:r>
        <w:rPr>
          <w:spacing w:val="-7"/>
        </w:rPr>
        <w:t> </w:t>
      </w:r>
      <w:r>
        <w:rPr/>
        <w:t>actualizada,</w:t>
      </w:r>
      <w:r>
        <w:rPr>
          <w:spacing w:val="-7"/>
        </w:rPr>
        <w:t> </w:t>
      </w:r>
      <w:r>
        <w:rPr/>
        <w:t>que</w:t>
      </w:r>
      <w:r>
        <w:rPr>
          <w:spacing w:val="-7"/>
        </w:rPr>
        <w:t> </w:t>
      </w:r>
      <w:r>
        <w:rPr/>
        <w:t>aportan</w:t>
      </w:r>
      <w:r>
        <w:rPr>
          <w:spacing w:val="-7"/>
        </w:rPr>
        <w:t> </w:t>
      </w:r>
      <w:r>
        <w:rPr/>
        <w:t>al</w:t>
      </w:r>
      <w:r>
        <w:rPr>
          <w:spacing w:val="-7"/>
        </w:rPr>
        <w:t> </w:t>
      </w:r>
      <w:r>
        <w:rPr/>
        <w:t>lector</w:t>
      </w:r>
      <w:r>
        <w:rPr>
          <w:spacing w:val="-7"/>
        </w:rPr>
        <w:t> </w:t>
      </w:r>
      <w:r>
        <w:rPr/>
        <w:t>sobre el estado del arte de la vulnerabilidad</w:t>
      </w:r>
      <w:r>
        <w:rPr>
          <w:spacing w:val="30"/>
        </w:rPr>
        <w:t> </w:t>
      </w:r>
      <w:r>
        <w:rPr/>
        <w:t>territorial.</w:t>
      </w:r>
    </w:p>
    <w:p>
      <w:pPr>
        <w:pStyle w:val="BodyText"/>
        <w:spacing w:before="11"/>
      </w:pPr>
    </w:p>
    <w:p>
      <w:pPr>
        <w:pStyle w:val="BodyText"/>
        <w:spacing w:line="249" w:lineRule="auto"/>
        <w:ind w:left="280" w:right="4487"/>
      </w:pPr>
      <w:r>
        <w:rPr>
          <w:w w:val="105"/>
        </w:rPr>
        <w:t>Marcela Virginia Santana Juárez Guadalupe Hoyos Castillo Giovana Santana Castañeda Noel Bonfilio Pineda Jaimes Héctor Campos Alanis</w:t>
      </w:r>
    </w:p>
    <w:p>
      <w:pPr>
        <w:pStyle w:val="Heading1"/>
        <w:spacing w:line="417" w:lineRule="auto" w:before="71"/>
        <w:ind w:left="2812" w:right="827" w:hanging="1822"/>
      </w:pPr>
      <w:r>
        <w:rPr>
          <w:b w:val="0"/>
        </w:rPr>
        <w:br w:type="column"/>
      </w:r>
      <w:r>
        <w:rPr/>
        <w:t>Vulnerabilidad del territorio frente a los procesos de la expansión urbana</w:t>
      </w:r>
    </w:p>
    <w:p>
      <w:pPr>
        <w:pStyle w:val="BodyText"/>
        <w:spacing w:before="10"/>
        <w:rPr>
          <w:b/>
          <w:sz w:val="27"/>
        </w:rPr>
      </w:pPr>
    </w:p>
    <w:p>
      <w:pPr>
        <w:spacing w:line="312" w:lineRule="auto" w:before="0"/>
        <w:ind w:left="4608" w:right="128" w:firstLine="1938"/>
        <w:jc w:val="right"/>
        <w:rPr>
          <w:sz w:val="16"/>
        </w:rPr>
      </w:pPr>
      <w:r>
        <w:rPr>
          <w:sz w:val="16"/>
        </w:rPr>
        <w:t>Miroslawa Czerny</w:t>
      </w:r>
      <w:r>
        <w:rPr>
          <w:w w:val="98"/>
          <w:sz w:val="16"/>
        </w:rPr>
        <w:t> </w:t>
      </w:r>
      <w:r>
        <w:rPr>
          <w:sz w:val="16"/>
        </w:rPr>
        <w:t>Facultad de Geografía y Estudios Regionales</w:t>
      </w:r>
    </w:p>
    <w:p>
      <w:pPr>
        <w:spacing w:line="312" w:lineRule="auto" w:before="2"/>
        <w:ind w:left="6385" w:right="128" w:hanging="296"/>
        <w:jc w:val="right"/>
        <w:rPr>
          <w:sz w:val="16"/>
        </w:rPr>
      </w:pPr>
      <w:r>
        <w:rPr>
          <w:sz w:val="16"/>
        </w:rPr>
        <w:t>Universidad de Varsovia</w:t>
      </w:r>
      <w:r>
        <w:rPr>
          <w:w w:val="98"/>
          <w:sz w:val="16"/>
        </w:rPr>
        <w:t> </w:t>
      </w:r>
      <w:hyperlink r:id="rId24">
        <w:r>
          <w:rPr>
            <w:color w:val="0077CA"/>
            <w:w w:val="95"/>
            <w:sz w:val="16"/>
            <w:u w:val="single" w:color="0077CA"/>
          </w:rPr>
          <w:t>mczerny@uw.edu.p</w:t>
        </w:r>
        <w:r>
          <w:rPr>
            <w:color w:val="0077CA"/>
            <w:w w:val="95"/>
            <w:sz w:val="16"/>
          </w:rPr>
          <w:t>l</w:t>
        </w:r>
      </w:hyperlink>
    </w:p>
    <w:p>
      <w:pPr>
        <w:pStyle w:val="BodyText"/>
        <w:rPr>
          <w:sz w:val="16"/>
        </w:rPr>
      </w:pPr>
    </w:p>
    <w:p>
      <w:pPr>
        <w:pStyle w:val="BodyText"/>
        <w:spacing w:before="4"/>
        <w:rPr>
          <w:sz w:val="19"/>
        </w:rPr>
      </w:pPr>
    </w:p>
    <w:p>
      <w:pPr>
        <w:pStyle w:val="Heading1"/>
        <w:spacing w:before="1"/>
        <w:ind w:left="280" w:right="827"/>
      </w:pPr>
      <w:r>
        <w:rPr/>
        <w:t>Introducción</w:t>
      </w:r>
    </w:p>
    <w:p>
      <w:pPr>
        <w:pStyle w:val="BodyText"/>
        <w:rPr>
          <w:b/>
          <w:sz w:val="24"/>
        </w:rPr>
      </w:pPr>
    </w:p>
    <w:p>
      <w:pPr>
        <w:pStyle w:val="BodyText"/>
        <w:spacing w:line="249" w:lineRule="auto" w:before="205"/>
        <w:ind w:left="110" w:right="127" w:firstLine="170"/>
        <w:jc w:val="both"/>
      </w:pPr>
      <w:r>
        <w:rPr/>
        <w:t>La ciudades por ser los elementos ajenos a la naturaleza y creados por el hombre  en ciertas condiciones culturales y políticas siempre están sometidas a los fenómenos de la presión desde diferentes fuentes y direcciones. Son vulnerables por constituir el espacio de la concentración – de la gente, de edificios, del movimiento de todo tipo,     y de otros dispositivos muy limitado. Las ciudades están localizadas en los áreas y condiciones naturales muy variadas. No hay un modelo de la localización perfecto, aunque históricamente fueron situados a las orillas de los ríos del mar – por las facilidades de la comunicación y del transporte que dichos lugares ofrecían. Tanto las actividades económicas de los habitantes de las ciudades, las creación de condiciones para satisfacer sus necesidades, como las cambiantes condiciones medioambiental de un lugar concreto hacen que la sociedad está expuesta al estrés y a las fluctuaciones en cuanto al nivel y a las condiciones de vida y a las posibilidades de actuar</w:t>
      </w:r>
      <w:r>
        <w:rPr>
          <w:spacing w:val="-18"/>
        </w:rPr>
        <w:t> </w:t>
      </w:r>
      <w:r>
        <w:rPr/>
        <w:t>libremente dentro del área asignada para su vida y para el trabajo. Dichas relaciones aumentan   el nivel de la vulnerabilidad social y disminuyen el potencial económico de la región urbana.</w:t>
      </w:r>
    </w:p>
    <w:p>
      <w:pPr>
        <w:pStyle w:val="BodyText"/>
        <w:spacing w:before="8"/>
        <w:rPr>
          <w:sz w:val="17"/>
        </w:rPr>
      </w:pPr>
    </w:p>
    <w:p>
      <w:pPr>
        <w:pStyle w:val="Heading1"/>
        <w:ind w:left="280" w:right="827"/>
      </w:pPr>
      <w:r>
        <w:rPr/>
        <w:t>Vulnerabilidad socio-territorial</w:t>
      </w:r>
    </w:p>
    <w:p>
      <w:pPr>
        <w:pStyle w:val="BodyText"/>
        <w:rPr>
          <w:b/>
          <w:sz w:val="24"/>
        </w:rPr>
      </w:pPr>
    </w:p>
    <w:p>
      <w:pPr>
        <w:pStyle w:val="BodyText"/>
        <w:spacing w:line="249" w:lineRule="auto" w:before="205"/>
        <w:ind w:left="110" w:right="127" w:firstLine="170"/>
        <w:jc w:val="both"/>
      </w:pPr>
      <w:r>
        <w:rPr/>
        <w:pict>
          <v:group style="position:absolute;margin-left:696.401978pt;margin-top:130.937286pt;width:18.850pt;height:61.8pt;mso-position-horizontal-relative:page;mso-position-vertical-relative:paragraph;z-index:1192" coordorigin="13928,2619" coordsize="377,1236">
            <v:rect style="position:absolute;left:13928;top:2619;width:377;height:1236" filled="true" fillcolor="#c7c8ca" stroked="false">
              <v:fill type="solid"/>
            </v:rect>
            <v:shape style="position:absolute;left:13928;top:2619;width:377;height:1236" type="#_x0000_t202" filled="false" stroked="false">
              <v:textbox inset="0,0,0,0">
                <w:txbxContent>
                  <w:p>
                    <w:pPr>
                      <w:spacing w:line="240" w:lineRule="auto" w:before="8"/>
                      <w:rPr>
                        <w:sz w:val="13"/>
                      </w:rPr>
                    </w:pPr>
                  </w:p>
                  <w:p>
                    <w:pPr>
                      <w:spacing w:before="1"/>
                      <w:ind w:left="98" w:right="0" w:firstLine="0"/>
                      <w:jc w:val="left"/>
                      <w:rPr>
                        <w:sz w:val="16"/>
                      </w:rPr>
                    </w:pPr>
                    <w:r>
                      <w:rPr>
                        <w:sz w:val="16"/>
                      </w:rPr>
                      <w:t>21</w:t>
                    </w:r>
                  </w:p>
                </w:txbxContent>
              </v:textbox>
              <w10:wrap type="none"/>
            </v:shape>
            <w10:wrap type="none"/>
          </v:group>
        </w:pict>
      </w:r>
      <w:r>
        <w:rPr/>
        <w:t>Según</w:t>
      </w:r>
      <w:r>
        <w:rPr>
          <w:spacing w:val="-10"/>
        </w:rPr>
        <w:t> </w:t>
      </w:r>
      <w:r>
        <w:rPr/>
        <w:t>el</w:t>
      </w:r>
      <w:r>
        <w:rPr>
          <w:spacing w:val="-10"/>
        </w:rPr>
        <w:t> </w:t>
      </w:r>
      <w:r>
        <w:rPr/>
        <w:t>concepto</w:t>
      </w:r>
      <w:r>
        <w:rPr>
          <w:spacing w:val="-10"/>
        </w:rPr>
        <w:t> </w:t>
      </w:r>
      <w:r>
        <w:rPr/>
        <w:t>de</w:t>
      </w:r>
      <w:r>
        <w:rPr>
          <w:spacing w:val="-10"/>
        </w:rPr>
        <w:t> </w:t>
      </w:r>
      <w:r>
        <w:rPr/>
        <w:t>la</w:t>
      </w:r>
      <w:r>
        <w:rPr>
          <w:spacing w:val="-10"/>
        </w:rPr>
        <w:t> </w:t>
      </w:r>
      <w:r>
        <w:rPr/>
        <w:t>vulnerabilidad</w:t>
      </w:r>
      <w:r>
        <w:rPr>
          <w:spacing w:val="-10"/>
        </w:rPr>
        <w:t> </w:t>
      </w:r>
      <w:r>
        <w:rPr/>
        <w:t>el</w:t>
      </w:r>
      <w:r>
        <w:rPr>
          <w:spacing w:val="-10"/>
        </w:rPr>
        <w:t> </w:t>
      </w:r>
      <w:r>
        <w:rPr/>
        <w:t>grado</w:t>
      </w:r>
      <w:r>
        <w:rPr>
          <w:spacing w:val="-10"/>
        </w:rPr>
        <w:t> </w:t>
      </w:r>
      <w:r>
        <w:rPr/>
        <w:t>y</w:t>
      </w:r>
      <w:r>
        <w:rPr>
          <w:spacing w:val="-10"/>
        </w:rPr>
        <w:t> </w:t>
      </w:r>
      <w:r>
        <w:rPr/>
        <w:t>el</w:t>
      </w:r>
      <w:r>
        <w:rPr>
          <w:spacing w:val="-10"/>
        </w:rPr>
        <w:t> </w:t>
      </w:r>
      <w:r>
        <w:rPr/>
        <w:t>impacto</w:t>
      </w:r>
      <w:r>
        <w:rPr>
          <w:spacing w:val="-10"/>
        </w:rPr>
        <w:t> </w:t>
      </w:r>
      <w:r>
        <w:rPr/>
        <w:t>de</w:t>
      </w:r>
      <w:r>
        <w:rPr>
          <w:spacing w:val="-10"/>
        </w:rPr>
        <w:t> </w:t>
      </w:r>
      <w:r>
        <w:rPr/>
        <w:t>dicho</w:t>
      </w:r>
      <w:r>
        <w:rPr>
          <w:spacing w:val="-10"/>
        </w:rPr>
        <w:t> </w:t>
      </w:r>
      <w:r>
        <w:rPr/>
        <w:t>fenómeno</w:t>
      </w:r>
      <w:r>
        <w:rPr>
          <w:spacing w:val="-10"/>
        </w:rPr>
        <w:t> </w:t>
      </w:r>
      <w:r>
        <w:rPr/>
        <w:t>en</w:t>
      </w:r>
      <w:r>
        <w:rPr>
          <w:spacing w:val="-10"/>
        </w:rPr>
        <w:t> </w:t>
      </w:r>
      <w:r>
        <w:rPr/>
        <w:t>los procesos del desarrollo regional, local y urbano puede tener diferentes características. Depende mucho de las actitudes y comportamientos específicos de  la  sociedad  local, la cual usando sus potencial y capital humano puede suavizar su impacto o al contrario, agravar la situación. El concepto de vulnerabilidad social está presente en los estudios sobre el desarrollo desde hace más de tres décadas y desde varios años también</w:t>
      </w:r>
      <w:r>
        <w:rPr>
          <w:spacing w:val="-5"/>
        </w:rPr>
        <w:t> </w:t>
      </w:r>
      <w:r>
        <w:rPr/>
        <w:t>en</w:t>
      </w:r>
      <w:r>
        <w:rPr>
          <w:spacing w:val="-5"/>
        </w:rPr>
        <w:t> </w:t>
      </w:r>
      <w:r>
        <w:rPr/>
        <w:t>los</w:t>
      </w:r>
      <w:r>
        <w:rPr>
          <w:spacing w:val="-5"/>
        </w:rPr>
        <w:t> </w:t>
      </w:r>
      <w:r>
        <w:rPr/>
        <w:t>análisis</w:t>
      </w:r>
      <w:r>
        <w:rPr>
          <w:spacing w:val="-5"/>
        </w:rPr>
        <w:t> </w:t>
      </w:r>
      <w:r>
        <w:rPr/>
        <w:t>geográficos</w:t>
      </w:r>
      <w:r>
        <w:rPr>
          <w:spacing w:val="-5"/>
        </w:rPr>
        <w:t> </w:t>
      </w:r>
      <w:r>
        <w:rPr/>
        <w:t>sobre</w:t>
      </w:r>
      <w:r>
        <w:rPr>
          <w:spacing w:val="-5"/>
        </w:rPr>
        <w:t> </w:t>
      </w:r>
      <w:r>
        <w:rPr/>
        <w:t>los</w:t>
      </w:r>
      <w:r>
        <w:rPr>
          <w:spacing w:val="-5"/>
        </w:rPr>
        <w:t> </w:t>
      </w:r>
      <w:r>
        <w:rPr/>
        <w:t>espacios</w:t>
      </w:r>
      <w:r>
        <w:rPr>
          <w:spacing w:val="-5"/>
        </w:rPr>
        <w:t> </w:t>
      </w:r>
      <w:r>
        <w:rPr/>
        <w:t>urbanos</w:t>
      </w:r>
      <w:r>
        <w:rPr>
          <w:spacing w:val="-5"/>
        </w:rPr>
        <w:t> </w:t>
      </w:r>
      <w:r>
        <w:rPr/>
        <w:t>(Czerny</w:t>
      </w:r>
      <w:r>
        <w:rPr>
          <w:spacing w:val="-5"/>
        </w:rPr>
        <w:t> </w:t>
      </w:r>
      <w:r>
        <w:rPr/>
        <w:t>2014).</w:t>
      </w:r>
      <w:r>
        <w:rPr>
          <w:spacing w:val="-5"/>
        </w:rPr>
        <w:t> </w:t>
      </w:r>
      <w:r>
        <w:rPr/>
        <w:t>Ante</w:t>
      </w:r>
      <w:r>
        <w:rPr>
          <w:spacing w:val="-5"/>
        </w:rPr>
        <w:t> </w:t>
      </w:r>
      <w:r>
        <w:rPr/>
        <w:t>los cambios ambientales y los fenómenos sociales, económicos y políticos desfavorables observados</w:t>
      </w:r>
      <w:r>
        <w:rPr>
          <w:spacing w:val="39"/>
        </w:rPr>
        <w:t> </w:t>
      </w:r>
      <w:r>
        <w:rPr/>
        <w:t>dentro</w:t>
      </w:r>
      <w:r>
        <w:rPr>
          <w:spacing w:val="39"/>
        </w:rPr>
        <w:t> </w:t>
      </w:r>
      <w:r>
        <w:rPr/>
        <w:t>de</w:t>
      </w:r>
      <w:r>
        <w:rPr>
          <w:spacing w:val="39"/>
        </w:rPr>
        <w:t> </w:t>
      </w:r>
      <w:r>
        <w:rPr/>
        <w:t>muchas</w:t>
      </w:r>
      <w:r>
        <w:rPr>
          <w:spacing w:val="39"/>
        </w:rPr>
        <w:t> </w:t>
      </w:r>
      <w:r>
        <w:rPr/>
        <w:t>zonas</w:t>
      </w:r>
      <w:r>
        <w:rPr>
          <w:spacing w:val="39"/>
        </w:rPr>
        <w:t> </w:t>
      </w:r>
      <w:r>
        <w:rPr/>
        <w:t>urbanas</w:t>
      </w:r>
      <w:r>
        <w:rPr>
          <w:spacing w:val="39"/>
        </w:rPr>
        <w:t> </w:t>
      </w:r>
      <w:r>
        <w:rPr/>
        <w:t>en</w:t>
      </w:r>
      <w:r>
        <w:rPr>
          <w:spacing w:val="39"/>
        </w:rPr>
        <w:t> </w:t>
      </w:r>
      <w:r>
        <w:rPr/>
        <w:t>varios</w:t>
      </w:r>
      <w:r>
        <w:rPr>
          <w:spacing w:val="39"/>
        </w:rPr>
        <w:t> </w:t>
      </w:r>
      <w:r>
        <w:rPr/>
        <w:t>países</w:t>
      </w:r>
      <w:r>
        <w:rPr>
          <w:spacing w:val="39"/>
        </w:rPr>
        <w:t> </w:t>
      </w:r>
      <w:r>
        <w:rPr/>
        <w:t>la</w:t>
      </w:r>
      <w:r>
        <w:rPr>
          <w:spacing w:val="39"/>
        </w:rPr>
        <w:t> </w:t>
      </w:r>
      <w:r>
        <w:rPr/>
        <w:t>investigación</w:t>
      </w:r>
      <w:r>
        <w:rPr>
          <w:spacing w:val="39"/>
        </w:rPr>
        <w:t> </w:t>
      </w:r>
      <w:r>
        <w:rPr/>
        <w:t>de</w:t>
      </w:r>
    </w:p>
    <w:p>
      <w:pPr>
        <w:spacing w:after="0" w:line="249" w:lineRule="auto"/>
        <w:jc w:val="both"/>
        <w:sectPr>
          <w:type w:val="continuous"/>
          <w:pgSz w:w="18830" w:h="12760" w:orient="landscape"/>
          <w:pgMar w:top="1420" w:bottom="280" w:left="740" w:right="720"/>
          <w:cols w:num="2" w:equalWidth="0">
            <w:col w:w="7822" w:space="1589"/>
            <w:col w:w="7959"/>
          </w:cols>
        </w:sectPr>
      </w:pPr>
    </w:p>
    <w:p>
      <w:pPr>
        <w:spacing w:after="0" w:line="249" w:lineRule="auto"/>
        <w:jc w:val="both"/>
        <w:sectPr>
          <w:type w:val="continuous"/>
          <w:pgSz w:w="18830" w:h="12760" w:orient="landscape"/>
          <w:pgMar w:top="1420" w:bottom="280" w:left="740" w:right="720"/>
        </w:sectPr>
      </w:pPr>
    </w:p>
    <w:p>
      <w:pPr>
        <w:pStyle w:val="BodyText"/>
        <w:spacing w:before="6"/>
        <w:rPr>
          <w:sz w:val="23"/>
        </w:rPr>
      </w:pPr>
    </w:p>
    <w:p>
      <w:pPr>
        <w:spacing w:after="0"/>
        <w:rPr>
          <w:sz w:val="23"/>
        </w:rPr>
        <w:sectPr>
          <w:headerReference w:type="default" r:id="rId25"/>
          <w:footerReference w:type="default" r:id="rId26"/>
          <w:pgSz w:w="18830" w:h="12760" w:orient="landscape"/>
          <w:pgMar w:header="522" w:footer="1036" w:top="820" w:bottom="1220" w:left="720" w:right="720"/>
        </w:sectPr>
      </w:pPr>
    </w:p>
    <w:p>
      <w:pPr>
        <w:pStyle w:val="BodyText"/>
        <w:spacing w:line="249" w:lineRule="auto" w:before="76"/>
        <w:ind w:left="135"/>
        <w:jc w:val="both"/>
      </w:pPr>
      <w:r>
        <w:rPr>
          <w:w w:val="105"/>
        </w:rPr>
        <w:t>la vulnerabilidad social frente dichas condiciones cambiantes permite identificar</w:t>
      </w:r>
      <w:r>
        <w:rPr>
          <w:spacing w:val="-7"/>
          <w:w w:val="105"/>
        </w:rPr>
        <w:t> </w:t>
      </w:r>
      <w:r>
        <w:rPr>
          <w:w w:val="105"/>
        </w:rPr>
        <w:t>las relaciones</w:t>
      </w:r>
      <w:r>
        <w:rPr>
          <w:spacing w:val="-8"/>
          <w:w w:val="105"/>
        </w:rPr>
        <w:t> </w:t>
      </w:r>
      <w:r>
        <w:rPr>
          <w:w w:val="105"/>
        </w:rPr>
        <w:t>y</w:t>
      </w:r>
      <w:r>
        <w:rPr>
          <w:spacing w:val="-8"/>
          <w:w w:val="105"/>
        </w:rPr>
        <w:t> </w:t>
      </w:r>
      <w:r>
        <w:rPr>
          <w:w w:val="105"/>
        </w:rPr>
        <w:t>a</w:t>
      </w:r>
      <w:r>
        <w:rPr>
          <w:spacing w:val="-8"/>
          <w:w w:val="105"/>
        </w:rPr>
        <w:t> </w:t>
      </w:r>
      <w:r>
        <w:rPr>
          <w:w w:val="105"/>
        </w:rPr>
        <w:t>los</w:t>
      </w:r>
      <w:r>
        <w:rPr>
          <w:spacing w:val="-8"/>
          <w:w w:val="105"/>
        </w:rPr>
        <w:t> </w:t>
      </w:r>
      <w:r>
        <w:rPr>
          <w:w w:val="105"/>
        </w:rPr>
        <w:t>actores</w:t>
      </w:r>
      <w:r>
        <w:rPr>
          <w:spacing w:val="-8"/>
          <w:w w:val="105"/>
        </w:rPr>
        <w:t> </w:t>
      </w:r>
      <w:r>
        <w:rPr>
          <w:w w:val="105"/>
        </w:rPr>
        <w:t>particulares,</w:t>
      </w:r>
      <w:r>
        <w:rPr>
          <w:spacing w:val="-8"/>
          <w:w w:val="105"/>
        </w:rPr>
        <w:t> </w:t>
      </w:r>
      <w:r>
        <w:rPr>
          <w:w w:val="105"/>
        </w:rPr>
        <w:t>únicas</w:t>
      </w:r>
      <w:r>
        <w:rPr>
          <w:spacing w:val="-8"/>
          <w:w w:val="105"/>
        </w:rPr>
        <w:t> </w:t>
      </w:r>
      <w:r>
        <w:rPr>
          <w:w w:val="105"/>
        </w:rPr>
        <w:t>que</w:t>
      </w:r>
      <w:r>
        <w:rPr>
          <w:spacing w:val="-8"/>
          <w:w w:val="105"/>
        </w:rPr>
        <w:t> </w:t>
      </w:r>
      <w:r>
        <w:rPr>
          <w:w w:val="105"/>
        </w:rPr>
        <w:t>conforman</w:t>
      </w:r>
      <w:r>
        <w:rPr>
          <w:spacing w:val="-8"/>
          <w:w w:val="105"/>
        </w:rPr>
        <w:t> </w:t>
      </w:r>
      <w:r>
        <w:rPr>
          <w:w w:val="105"/>
        </w:rPr>
        <w:t>el</w:t>
      </w:r>
      <w:r>
        <w:rPr>
          <w:spacing w:val="-8"/>
          <w:w w:val="105"/>
        </w:rPr>
        <w:t> </w:t>
      </w:r>
      <w:r>
        <w:rPr>
          <w:w w:val="105"/>
        </w:rPr>
        <w:t>espacio</w:t>
      </w:r>
      <w:r>
        <w:rPr>
          <w:spacing w:val="-8"/>
          <w:w w:val="105"/>
        </w:rPr>
        <w:t> </w:t>
      </w:r>
      <w:r>
        <w:rPr>
          <w:w w:val="105"/>
        </w:rPr>
        <w:t>vulnerable. En</w:t>
      </w:r>
      <w:r>
        <w:rPr>
          <w:spacing w:val="-21"/>
          <w:w w:val="105"/>
        </w:rPr>
        <w:t> </w:t>
      </w:r>
      <w:r>
        <w:rPr>
          <w:w w:val="105"/>
        </w:rPr>
        <w:t>otras</w:t>
      </w:r>
      <w:r>
        <w:rPr>
          <w:spacing w:val="-21"/>
          <w:w w:val="105"/>
        </w:rPr>
        <w:t> </w:t>
      </w:r>
      <w:r>
        <w:rPr>
          <w:w w:val="105"/>
        </w:rPr>
        <w:t>palabras,</w:t>
      </w:r>
      <w:r>
        <w:rPr>
          <w:spacing w:val="-21"/>
          <w:w w:val="105"/>
        </w:rPr>
        <w:t> </w:t>
      </w:r>
      <w:r>
        <w:rPr>
          <w:w w:val="105"/>
        </w:rPr>
        <w:t>la</w:t>
      </w:r>
      <w:r>
        <w:rPr>
          <w:spacing w:val="-21"/>
          <w:w w:val="105"/>
        </w:rPr>
        <w:t> </w:t>
      </w:r>
      <w:r>
        <w:rPr>
          <w:w w:val="105"/>
        </w:rPr>
        <w:t>vulnerabilidad</w:t>
      </w:r>
      <w:r>
        <w:rPr>
          <w:spacing w:val="-21"/>
          <w:w w:val="105"/>
        </w:rPr>
        <w:t> </w:t>
      </w:r>
      <w:r>
        <w:rPr>
          <w:w w:val="105"/>
        </w:rPr>
        <w:t>se</w:t>
      </w:r>
      <w:r>
        <w:rPr>
          <w:spacing w:val="-21"/>
          <w:w w:val="105"/>
        </w:rPr>
        <w:t> </w:t>
      </w:r>
      <w:r>
        <w:rPr>
          <w:w w:val="105"/>
        </w:rPr>
        <w:t>caracteriza</w:t>
      </w:r>
      <w:r>
        <w:rPr>
          <w:spacing w:val="-21"/>
          <w:w w:val="105"/>
        </w:rPr>
        <w:t> </w:t>
      </w:r>
      <w:r>
        <w:rPr>
          <w:w w:val="105"/>
        </w:rPr>
        <w:t>por</w:t>
      </w:r>
      <w:r>
        <w:rPr>
          <w:spacing w:val="-21"/>
          <w:w w:val="105"/>
        </w:rPr>
        <w:t> </w:t>
      </w:r>
      <w:r>
        <w:rPr>
          <w:w w:val="105"/>
        </w:rPr>
        <w:t>la</w:t>
      </w:r>
      <w:r>
        <w:rPr>
          <w:spacing w:val="-21"/>
          <w:w w:val="105"/>
        </w:rPr>
        <w:t> </w:t>
      </w:r>
      <w:r>
        <w:rPr>
          <w:w w:val="105"/>
        </w:rPr>
        <w:t>tensión</w:t>
      </w:r>
      <w:r>
        <w:rPr>
          <w:spacing w:val="-21"/>
          <w:w w:val="105"/>
        </w:rPr>
        <w:t> </w:t>
      </w:r>
      <w:r>
        <w:rPr>
          <w:w w:val="105"/>
        </w:rPr>
        <w:t>(estrés)</w:t>
      </w:r>
      <w:r>
        <w:rPr>
          <w:spacing w:val="-21"/>
          <w:w w:val="105"/>
        </w:rPr>
        <w:t> </w:t>
      </w:r>
      <w:r>
        <w:rPr>
          <w:w w:val="105"/>
        </w:rPr>
        <w:t>a</w:t>
      </w:r>
      <w:r>
        <w:rPr>
          <w:spacing w:val="-21"/>
          <w:w w:val="105"/>
        </w:rPr>
        <w:t> </w:t>
      </w:r>
      <w:r>
        <w:rPr>
          <w:w w:val="105"/>
        </w:rPr>
        <w:t>la</w:t>
      </w:r>
      <w:r>
        <w:rPr>
          <w:spacing w:val="-21"/>
          <w:w w:val="105"/>
        </w:rPr>
        <w:t> </w:t>
      </w:r>
      <w:r>
        <w:rPr>
          <w:w w:val="105"/>
        </w:rPr>
        <w:t>que</w:t>
      </w:r>
      <w:r>
        <w:rPr>
          <w:spacing w:val="-21"/>
          <w:w w:val="105"/>
        </w:rPr>
        <w:t> </w:t>
      </w:r>
      <w:r>
        <w:rPr>
          <w:w w:val="105"/>
        </w:rPr>
        <w:t>está expuesto</w:t>
      </w:r>
      <w:r>
        <w:rPr>
          <w:spacing w:val="-37"/>
          <w:w w:val="105"/>
        </w:rPr>
        <w:t> </w:t>
      </w:r>
      <w:r>
        <w:rPr>
          <w:w w:val="105"/>
        </w:rPr>
        <w:t>el</w:t>
      </w:r>
      <w:r>
        <w:rPr>
          <w:spacing w:val="-37"/>
          <w:w w:val="105"/>
        </w:rPr>
        <w:t> </w:t>
      </w:r>
      <w:r>
        <w:rPr>
          <w:w w:val="105"/>
        </w:rPr>
        <w:t>sistema</w:t>
      </w:r>
      <w:r>
        <w:rPr>
          <w:spacing w:val="-37"/>
          <w:w w:val="105"/>
        </w:rPr>
        <w:t> </w:t>
      </w:r>
      <w:r>
        <w:rPr>
          <w:w w:val="105"/>
        </w:rPr>
        <w:t>socio-ecológico,</w:t>
      </w:r>
      <w:r>
        <w:rPr>
          <w:spacing w:val="-37"/>
          <w:w w:val="105"/>
        </w:rPr>
        <w:t> </w:t>
      </w:r>
      <w:r>
        <w:rPr>
          <w:w w:val="105"/>
        </w:rPr>
        <w:t>su</w:t>
      </w:r>
      <w:r>
        <w:rPr>
          <w:spacing w:val="-37"/>
          <w:w w:val="105"/>
        </w:rPr>
        <w:t> </w:t>
      </w:r>
      <w:r>
        <w:rPr>
          <w:w w:val="105"/>
        </w:rPr>
        <w:t>sumisión</w:t>
      </w:r>
      <w:r>
        <w:rPr>
          <w:spacing w:val="-37"/>
          <w:w w:val="105"/>
        </w:rPr>
        <w:t> </w:t>
      </w:r>
      <w:r>
        <w:rPr>
          <w:w w:val="105"/>
        </w:rPr>
        <w:t>a</w:t>
      </w:r>
      <w:r>
        <w:rPr>
          <w:spacing w:val="-37"/>
          <w:w w:val="105"/>
        </w:rPr>
        <w:t> </w:t>
      </w:r>
      <w:r>
        <w:rPr>
          <w:w w:val="105"/>
        </w:rPr>
        <w:t>la</w:t>
      </w:r>
      <w:r>
        <w:rPr>
          <w:spacing w:val="-37"/>
          <w:w w:val="105"/>
        </w:rPr>
        <w:t> </w:t>
      </w:r>
      <w:r>
        <w:rPr>
          <w:w w:val="105"/>
        </w:rPr>
        <w:t>carga</w:t>
      </w:r>
      <w:r>
        <w:rPr>
          <w:spacing w:val="-37"/>
          <w:w w:val="105"/>
        </w:rPr>
        <w:t> </w:t>
      </w:r>
      <w:r>
        <w:rPr>
          <w:w w:val="105"/>
        </w:rPr>
        <w:t>y</w:t>
      </w:r>
      <w:r>
        <w:rPr>
          <w:spacing w:val="-37"/>
          <w:w w:val="105"/>
        </w:rPr>
        <w:t> </w:t>
      </w:r>
      <w:r>
        <w:rPr>
          <w:w w:val="105"/>
        </w:rPr>
        <w:t>su</w:t>
      </w:r>
      <w:r>
        <w:rPr>
          <w:spacing w:val="-37"/>
          <w:w w:val="105"/>
        </w:rPr>
        <w:t> </w:t>
      </w:r>
      <w:r>
        <w:rPr>
          <w:w w:val="105"/>
        </w:rPr>
        <w:t>respuesta</w:t>
      </w:r>
      <w:r>
        <w:rPr>
          <w:spacing w:val="-37"/>
          <w:w w:val="105"/>
        </w:rPr>
        <w:t> </w:t>
      </w:r>
      <w:r>
        <w:rPr>
          <w:w w:val="105"/>
        </w:rPr>
        <w:t>-</w:t>
      </w:r>
      <w:r>
        <w:rPr>
          <w:spacing w:val="-37"/>
          <w:w w:val="105"/>
        </w:rPr>
        <w:t> </w:t>
      </w:r>
      <w:r>
        <w:rPr>
          <w:w w:val="105"/>
        </w:rPr>
        <w:t>incluyendo adaptabilidad</w:t>
      </w:r>
      <w:r>
        <w:rPr>
          <w:spacing w:val="-30"/>
          <w:w w:val="105"/>
        </w:rPr>
        <w:t> </w:t>
      </w:r>
      <w:r>
        <w:rPr>
          <w:w w:val="105"/>
        </w:rPr>
        <w:t>del</w:t>
      </w:r>
      <w:r>
        <w:rPr>
          <w:spacing w:val="-30"/>
          <w:w w:val="105"/>
        </w:rPr>
        <w:t> </w:t>
      </w:r>
      <w:r>
        <w:rPr>
          <w:w w:val="105"/>
        </w:rPr>
        <w:t>hombre</w:t>
      </w:r>
      <w:r>
        <w:rPr>
          <w:spacing w:val="-30"/>
          <w:w w:val="105"/>
        </w:rPr>
        <w:t> </w:t>
      </w:r>
      <w:r>
        <w:rPr>
          <w:w w:val="105"/>
        </w:rPr>
        <w:t>a</w:t>
      </w:r>
      <w:r>
        <w:rPr>
          <w:spacing w:val="-30"/>
          <w:w w:val="105"/>
        </w:rPr>
        <w:t> </w:t>
      </w:r>
      <w:r>
        <w:rPr>
          <w:w w:val="105"/>
        </w:rPr>
        <w:t>otras,</w:t>
      </w:r>
      <w:r>
        <w:rPr>
          <w:spacing w:val="-30"/>
          <w:w w:val="105"/>
        </w:rPr>
        <w:t> </w:t>
      </w:r>
      <w:r>
        <w:rPr>
          <w:w w:val="105"/>
        </w:rPr>
        <w:t>nuevas</w:t>
      </w:r>
      <w:r>
        <w:rPr>
          <w:spacing w:val="-30"/>
          <w:w w:val="105"/>
        </w:rPr>
        <w:t> </w:t>
      </w:r>
      <w:r>
        <w:rPr>
          <w:w w:val="105"/>
        </w:rPr>
        <w:t>condiciones.</w:t>
      </w:r>
    </w:p>
    <w:p>
      <w:pPr>
        <w:pStyle w:val="BodyText"/>
        <w:spacing w:before="11"/>
      </w:pPr>
    </w:p>
    <w:p>
      <w:pPr>
        <w:pStyle w:val="BodyText"/>
        <w:spacing w:line="249" w:lineRule="auto"/>
        <w:ind w:left="135" w:firstLine="170"/>
        <w:jc w:val="both"/>
      </w:pPr>
      <w:r>
        <w:rPr/>
        <w:t>La investigación sobre la vulnerabilidad social se refieren sobre todo a la situación    y relaciones internas (y externas) reciprocas conducentes a la vulnerabilidad en las regiones periféricas. Son áreas afectadas por una permanente escasez, crisis y amenazadas por catástrofes ambientales. En este caso, puesto que</w:t>
      </w:r>
      <w:r>
        <w:rPr>
          <w:spacing w:val="-6"/>
        </w:rPr>
        <w:t> </w:t>
      </w:r>
      <w:r>
        <w:rPr/>
        <w:t>las</w:t>
      </w:r>
      <w:r>
        <w:rPr>
          <w:spacing w:val="-1"/>
        </w:rPr>
        <w:t> </w:t>
      </w:r>
      <w:r>
        <w:rPr/>
        <w:t>consecuencias</w:t>
      </w:r>
      <w:r>
        <w:rPr>
          <w:w w:val="101"/>
        </w:rPr>
        <w:t> </w:t>
      </w:r>
      <w:r>
        <w:rPr/>
        <w:t>de los problemas globales influyen también directamente al nivel de vida de los habitantes a escala local entonces ¿puede ser también la vulnerabilidad social que influye</w:t>
      </w:r>
      <w:r>
        <w:rPr>
          <w:spacing w:val="-8"/>
        </w:rPr>
        <w:t> </w:t>
      </w:r>
      <w:r>
        <w:rPr/>
        <w:t>al</w:t>
      </w:r>
      <w:r>
        <w:rPr>
          <w:spacing w:val="-8"/>
        </w:rPr>
        <w:t> </w:t>
      </w:r>
      <w:r>
        <w:rPr/>
        <w:t>desarrollo</w:t>
      </w:r>
      <w:r>
        <w:rPr>
          <w:spacing w:val="-8"/>
        </w:rPr>
        <w:t> </w:t>
      </w:r>
      <w:r>
        <w:rPr/>
        <w:t>económico</w:t>
      </w:r>
      <w:r>
        <w:rPr>
          <w:spacing w:val="-8"/>
        </w:rPr>
        <w:t> </w:t>
      </w:r>
      <w:r>
        <w:rPr/>
        <w:t>de</w:t>
      </w:r>
      <w:r>
        <w:rPr>
          <w:spacing w:val="-8"/>
        </w:rPr>
        <w:t> </w:t>
      </w:r>
      <w:r>
        <w:rPr/>
        <w:t>la</w:t>
      </w:r>
      <w:r>
        <w:rPr>
          <w:spacing w:val="-8"/>
        </w:rPr>
        <w:t> </w:t>
      </w:r>
      <w:r>
        <w:rPr/>
        <w:t>zona?</w:t>
      </w:r>
      <w:r>
        <w:rPr>
          <w:spacing w:val="-8"/>
        </w:rPr>
        <w:t> </w:t>
      </w:r>
      <w:r>
        <w:rPr/>
        <w:t>Parece</w:t>
      </w:r>
      <w:r>
        <w:rPr>
          <w:spacing w:val="-8"/>
        </w:rPr>
        <w:t> </w:t>
      </w:r>
      <w:r>
        <w:rPr/>
        <w:t>que</w:t>
      </w:r>
      <w:r>
        <w:rPr>
          <w:spacing w:val="-8"/>
        </w:rPr>
        <w:t> </w:t>
      </w:r>
      <w:r>
        <w:rPr/>
        <w:t>sí,</w:t>
      </w:r>
      <w:r>
        <w:rPr>
          <w:spacing w:val="-8"/>
        </w:rPr>
        <w:t> </w:t>
      </w:r>
      <w:r>
        <w:rPr/>
        <w:t>porque</w:t>
      </w:r>
      <w:r>
        <w:rPr>
          <w:spacing w:val="-8"/>
        </w:rPr>
        <w:t> </w:t>
      </w:r>
      <w:r>
        <w:rPr/>
        <w:t>junto</w:t>
      </w:r>
      <w:r>
        <w:rPr>
          <w:spacing w:val="-8"/>
        </w:rPr>
        <w:t> </w:t>
      </w:r>
      <w:r>
        <w:rPr/>
        <w:t>con</w:t>
      </w:r>
      <w:r>
        <w:rPr>
          <w:spacing w:val="-8"/>
        </w:rPr>
        <w:t> </w:t>
      </w:r>
      <w:r>
        <w:rPr/>
        <w:t>la</w:t>
      </w:r>
      <w:r>
        <w:rPr>
          <w:spacing w:val="-8"/>
        </w:rPr>
        <w:t> </w:t>
      </w:r>
      <w:r>
        <w:rPr/>
        <w:t>aparición del riesgo o amenaza,  las  sociedades  locales  conforman  sus  propias  estrategias de adaptación y de defensas los cuales si son efectivos pueden conducir hasta el crecimiento del ritmo de desarrollo. Además, una situación inestable determina un proceso de reestablecer a los lazos sociales locales que apoyan a la sociedad</w:t>
      </w:r>
      <w:r>
        <w:rPr>
          <w:spacing w:val="3"/>
        </w:rPr>
        <w:t> </w:t>
      </w:r>
      <w:r>
        <w:rPr/>
        <w:t>en</w:t>
      </w:r>
      <w:r>
        <w:rPr>
          <w:spacing w:val="13"/>
        </w:rPr>
        <w:t> </w:t>
      </w:r>
      <w:r>
        <w:rPr/>
        <w:t>los</w:t>
      </w:r>
      <w:r>
        <w:rPr>
          <w:w w:val="101"/>
        </w:rPr>
        <w:t> </w:t>
      </w:r>
      <w:r>
        <w:rPr/>
        <w:t>momentos</w:t>
      </w:r>
      <w:r>
        <w:rPr>
          <w:spacing w:val="22"/>
        </w:rPr>
        <w:t> </w:t>
      </w:r>
      <w:r>
        <w:rPr/>
        <w:t>difíciles.</w:t>
      </w:r>
    </w:p>
    <w:p>
      <w:pPr>
        <w:pStyle w:val="BodyText"/>
        <w:spacing w:before="11"/>
      </w:pPr>
    </w:p>
    <w:p>
      <w:pPr>
        <w:pStyle w:val="BodyText"/>
        <w:spacing w:line="249" w:lineRule="auto"/>
        <w:ind w:left="135" w:firstLine="170"/>
        <w:jc w:val="both"/>
      </w:pPr>
      <w:r>
        <w:rPr/>
        <w:t>El concepto general de la vulnerabilidad social contiene el análisis de la influencia   de dos factores sobre el nivel de dicho fenómeno. Primero, es la exposición de la región dada a lo riesgo relacionado con la presencia de los catástrofes ecológicos        ( de inundaciones, sequias, terremotos, huracanaos, erupciones  de  los  volcanes, etc.) y también con las crisis políticas (por ejemplo de guerras civiles, el fenómeno    del desplazamiento, las operaciones de narcotráfico, etc.). Segundo, es importante     el análisis del grado de la intensidad de dichos fenómenos. La vulnerabilidad es  mayor, cuanto mayor es la probabilidad de que aparece el fenómeno relacionado con la amenaza y cuanto menor es la posibilidad de superar la amenaza por parte de la sociedad</w:t>
      </w:r>
      <w:r>
        <w:rPr>
          <w:spacing w:val="-4"/>
        </w:rPr>
        <w:t> </w:t>
      </w:r>
      <w:r>
        <w:rPr/>
        <w:t>o</w:t>
      </w:r>
      <w:r>
        <w:rPr>
          <w:spacing w:val="-4"/>
        </w:rPr>
        <w:t> </w:t>
      </w:r>
      <w:r>
        <w:rPr/>
        <w:t>de</w:t>
      </w:r>
      <w:r>
        <w:rPr>
          <w:spacing w:val="-4"/>
        </w:rPr>
        <w:t> </w:t>
      </w:r>
      <w:r>
        <w:rPr/>
        <w:t>adaptación</w:t>
      </w:r>
      <w:r>
        <w:rPr>
          <w:spacing w:val="-4"/>
        </w:rPr>
        <w:t> </w:t>
      </w:r>
      <w:r>
        <w:rPr/>
        <w:t>para</w:t>
      </w:r>
      <w:r>
        <w:rPr>
          <w:spacing w:val="-4"/>
        </w:rPr>
        <w:t> </w:t>
      </w:r>
      <w:r>
        <w:rPr/>
        <w:t>nuevas</w:t>
      </w:r>
      <w:r>
        <w:rPr>
          <w:spacing w:val="-4"/>
        </w:rPr>
        <w:t> </w:t>
      </w:r>
      <w:r>
        <w:rPr/>
        <w:t>condiciones.</w:t>
      </w:r>
      <w:r>
        <w:rPr>
          <w:spacing w:val="-4"/>
        </w:rPr>
        <w:t> </w:t>
      </w:r>
      <w:r>
        <w:rPr/>
        <w:t>Mientras</w:t>
      </w:r>
      <w:r>
        <w:rPr>
          <w:spacing w:val="-4"/>
        </w:rPr>
        <w:t> </w:t>
      </w:r>
      <w:r>
        <w:rPr/>
        <w:t>que</w:t>
      </w:r>
      <w:r>
        <w:rPr>
          <w:spacing w:val="-4"/>
        </w:rPr>
        <w:t> </w:t>
      </w:r>
      <w:r>
        <w:rPr/>
        <w:t>la</w:t>
      </w:r>
      <w:r>
        <w:rPr>
          <w:spacing w:val="-4"/>
        </w:rPr>
        <w:t> </w:t>
      </w:r>
      <w:r>
        <w:rPr/>
        <w:t>baja</w:t>
      </w:r>
      <w:r>
        <w:rPr>
          <w:spacing w:val="-4"/>
        </w:rPr>
        <w:t> </w:t>
      </w:r>
      <w:r>
        <w:rPr/>
        <w:t>vulnerabilidad social</w:t>
      </w:r>
      <w:r>
        <w:rPr>
          <w:spacing w:val="32"/>
        </w:rPr>
        <w:t> </w:t>
      </w:r>
      <w:r>
        <w:rPr/>
        <w:t>está</w:t>
      </w:r>
      <w:r>
        <w:rPr>
          <w:spacing w:val="32"/>
        </w:rPr>
        <w:t> </w:t>
      </w:r>
      <w:r>
        <w:rPr/>
        <w:t>presente</w:t>
      </w:r>
      <w:r>
        <w:rPr>
          <w:spacing w:val="32"/>
        </w:rPr>
        <w:t> </w:t>
      </w:r>
      <w:r>
        <w:rPr/>
        <w:t>junto</w:t>
      </w:r>
      <w:r>
        <w:rPr>
          <w:spacing w:val="32"/>
        </w:rPr>
        <w:t> </w:t>
      </w:r>
      <w:r>
        <w:rPr/>
        <w:t>con</w:t>
      </w:r>
      <w:r>
        <w:rPr>
          <w:spacing w:val="32"/>
        </w:rPr>
        <w:t> </w:t>
      </w:r>
      <w:r>
        <w:rPr/>
        <w:t>las</w:t>
      </w:r>
      <w:r>
        <w:rPr>
          <w:spacing w:val="32"/>
        </w:rPr>
        <w:t> </w:t>
      </w:r>
      <w:r>
        <w:rPr/>
        <w:t>limitadas</w:t>
      </w:r>
      <w:r>
        <w:rPr>
          <w:spacing w:val="32"/>
        </w:rPr>
        <w:t> </w:t>
      </w:r>
      <w:r>
        <w:rPr/>
        <w:t>posibilidades</w:t>
      </w:r>
      <w:r>
        <w:rPr>
          <w:spacing w:val="32"/>
        </w:rPr>
        <w:t> </w:t>
      </w:r>
      <w:r>
        <w:rPr/>
        <w:t>de</w:t>
      </w:r>
      <w:r>
        <w:rPr>
          <w:spacing w:val="32"/>
        </w:rPr>
        <w:t> </w:t>
      </w:r>
      <w:r>
        <w:rPr/>
        <w:t>la</w:t>
      </w:r>
      <w:r>
        <w:rPr>
          <w:spacing w:val="32"/>
        </w:rPr>
        <w:t> </w:t>
      </w:r>
      <w:r>
        <w:rPr/>
        <w:t>amenaza</w:t>
      </w:r>
      <w:r>
        <w:rPr>
          <w:spacing w:val="32"/>
        </w:rPr>
        <w:t> </w:t>
      </w:r>
      <w:r>
        <w:rPr/>
        <w:t>y</w:t>
      </w:r>
      <w:r>
        <w:rPr>
          <w:spacing w:val="32"/>
        </w:rPr>
        <w:t> </w:t>
      </w:r>
      <w:r>
        <w:rPr/>
        <w:t>grandes</w:t>
      </w:r>
      <w:r>
        <w:rPr>
          <w:w w:val="100"/>
        </w:rPr>
        <w:t> </w:t>
      </w:r>
      <w:r>
        <w:rPr/>
        <w:t>posibilidades de la adaptación a ellas por parte de la </w:t>
      </w:r>
      <w:r>
        <w:rPr>
          <w:spacing w:val="15"/>
        </w:rPr>
        <w:t> </w:t>
      </w:r>
      <w:r>
        <w:rPr/>
        <w:t>sociedad.</w:t>
      </w:r>
    </w:p>
    <w:p>
      <w:pPr>
        <w:pStyle w:val="BodyText"/>
        <w:spacing w:before="11"/>
      </w:pPr>
    </w:p>
    <w:p>
      <w:pPr>
        <w:pStyle w:val="BodyText"/>
        <w:spacing w:line="249" w:lineRule="auto"/>
        <w:ind w:left="135" w:firstLine="170"/>
        <w:jc w:val="both"/>
      </w:pPr>
      <w:r>
        <w:rPr/>
        <w:t>Entre los fenómenos globales, o por lo menos supranacionales que afectan a la sociedad</w:t>
      </w:r>
      <w:r>
        <w:rPr>
          <w:spacing w:val="13"/>
        </w:rPr>
        <w:t> </w:t>
      </w:r>
      <w:r>
        <w:rPr/>
        <w:t>local</w:t>
      </w:r>
      <w:r>
        <w:rPr>
          <w:spacing w:val="13"/>
        </w:rPr>
        <w:t> </w:t>
      </w:r>
      <w:r>
        <w:rPr/>
        <w:t>(rural</w:t>
      </w:r>
      <w:r>
        <w:rPr>
          <w:spacing w:val="13"/>
        </w:rPr>
        <w:t> </w:t>
      </w:r>
      <w:r>
        <w:rPr/>
        <w:t>y</w:t>
      </w:r>
      <w:r>
        <w:rPr>
          <w:spacing w:val="13"/>
        </w:rPr>
        <w:t> </w:t>
      </w:r>
      <w:r>
        <w:rPr/>
        <w:t>urbana)</w:t>
      </w:r>
      <w:r>
        <w:rPr>
          <w:spacing w:val="13"/>
        </w:rPr>
        <w:t> </w:t>
      </w:r>
      <w:r>
        <w:rPr/>
        <w:t>se</w:t>
      </w:r>
      <w:r>
        <w:rPr>
          <w:spacing w:val="13"/>
        </w:rPr>
        <w:t> </w:t>
      </w:r>
      <w:r>
        <w:rPr/>
        <w:t>encuentran</w:t>
      </w:r>
      <w:r>
        <w:rPr>
          <w:spacing w:val="13"/>
        </w:rPr>
        <w:t> </w:t>
      </w:r>
      <w:r>
        <w:rPr/>
        <w:t>los</w:t>
      </w:r>
      <w:r>
        <w:rPr>
          <w:spacing w:val="13"/>
        </w:rPr>
        <w:t> </w:t>
      </w:r>
      <w:r>
        <w:rPr/>
        <w:t>cambios</w:t>
      </w:r>
      <w:r>
        <w:rPr>
          <w:spacing w:val="13"/>
        </w:rPr>
        <w:t> </w:t>
      </w:r>
      <w:r>
        <w:rPr/>
        <w:t>climáticos,</w:t>
      </w:r>
      <w:r>
        <w:rPr>
          <w:spacing w:val="13"/>
        </w:rPr>
        <w:t> </w:t>
      </w:r>
      <w:r>
        <w:rPr/>
        <w:t>y</w:t>
      </w:r>
      <w:r>
        <w:rPr>
          <w:spacing w:val="13"/>
        </w:rPr>
        <w:t> </w:t>
      </w:r>
      <w:r>
        <w:rPr/>
        <w:t>en</w:t>
      </w:r>
      <w:r>
        <w:rPr>
          <w:spacing w:val="13"/>
        </w:rPr>
        <w:t> </w:t>
      </w:r>
      <w:r>
        <w:rPr/>
        <w:t>el</w:t>
      </w:r>
      <w:r>
        <w:rPr>
          <w:spacing w:val="13"/>
        </w:rPr>
        <w:t> </w:t>
      </w:r>
      <w:r>
        <w:rPr/>
        <w:t>caso</w:t>
      </w:r>
      <w:r>
        <w:rPr>
          <w:spacing w:val="13"/>
        </w:rPr>
        <w:t> </w:t>
      </w:r>
      <w:r>
        <w:rPr/>
        <w:t>de</w:t>
      </w:r>
      <w:r>
        <w:rPr>
          <w:w w:val="101"/>
        </w:rPr>
        <w:t> </w:t>
      </w:r>
      <w:r>
        <w:rPr/>
        <w:t>América Latina: el fenómeno del Niño, los huracanes, terremotos e inundaciones (con frecuencia la consecuencia del fenómeno del Niño). Fuertemente afectadas zonas poblacionales, especialmente las habitadas por clase media baja y popular exigen a la inmediata intervención de parte del gobierno local y nacional. El modo de actuar por las</w:t>
      </w:r>
      <w:r>
        <w:rPr>
          <w:spacing w:val="-5"/>
        </w:rPr>
        <w:t> </w:t>
      </w:r>
      <w:r>
        <w:rPr/>
        <w:t>autoridades</w:t>
      </w:r>
      <w:r>
        <w:rPr>
          <w:spacing w:val="-5"/>
        </w:rPr>
        <w:t> </w:t>
      </w:r>
      <w:r>
        <w:rPr/>
        <w:t>nos</w:t>
      </w:r>
      <w:r>
        <w:rPr>
          <w:spacing w:val="-5"/>
        </w:rPr>
        <w:t> </w:t>
      </w:r>
      <w:r>
        <w:rPr/>
        <w:t>dice</w:t>
      </w:r>
      <w:r>
        <w:rPr>
          <w:spacing w:val="-5"/>
        </w:rPr>
        <w:t> </w:t>
      </w:r>
      <w:r>
        <w:rPr/>
        <w:t>mucho</w:t>
      </w:r>
      <w:r>
        <w:rPr>
          <w:spacing w:val="-5"/>
        </w:rPr>
        <w:t> </w:t>
      </w:r>
      <w:r>
        <w:rPr/>
        <w:t>sobre</w:t>
      </w:r>
      <w:r>
        <w:rPr>
          <w:spacing w:val="-5"/>
        </w:rPr>
        <w:t> </w:t>
      </w:r>
      <w:r>
        <w:rPr/>
        <w:t>la</w:t>
      </w:r>
      <w:r>
        <w:rPr>
          <w:spacing w:val="-5"/>
        </w:rPr>
        <w:t> </w:t>
      </w:r>
      <w:r>
        <w:rPr/>
        <w:t>organización</w:t>
      </w:r>
      <w:r>
        <w:rPr>
          <w:spacing w:val="-5"/>
        </w:rPr>
        <w:t> </w:t>
      </w:r>
      <w:r>
        <w:rPr/>
        <w:t>del</w:t>
      </w:r>
      <w:r>
        <w:rPr>
          <w:spacing w:val="-5"/>
        </w:rPr>
        <w:t> </w:t>
      </w:r>
      <w:r>
        <w:rPr/>
        <w:t>estado</w:t>
      </w:r>
      <w:r>
        <w:rPr>
          <w:spacing w:val="-5"/>
        </w:rPr>
        <w:t> </w:t>
      </w:r>
      <w:r>
        <w:rPr/>
        <w:t>y</w:t>
      </w:r>
      <w:r>
        <w:rPr>
          <w:spacing w:val="-5"/>
        </w:rPr>
        <w:t> </w:t>
      </w:r>
      <w:r>
        <w:rPr/>
        <w:t>de</w:t>
      </w:r>
      <w:r>
        <w:rPr>
          <w:spacing w:val="-5"/>
        </w:rPr>
        <w:t> </w:t>
      </w:r>
      <w:r>
        <w:rPr/>
        <w:t>sus</w:t>
      </w:r>
      <w:r>
        <w:rPr>
          <w:spacing w:val="-5"/>
        </w:rPr>
        <w:t> </w:t>
      </w:r>
      <w:r>
        <w:rPr/>
        <w:t>instituciones. Al mismo tiempo el modo de reaccionar por parte de la sociedad también nos puede ensenar</w:t>
      </w:r>
      <w:r>
        <w:rPr>
          <w:spacing w:val="-5"/>
        </w:rPr>
        <w:t> </w:t>
      </w:r>
      <w:r>
        <w:rPr/>
        <w:t>el</w:t>
      </w:r>
      <w:r>
        <w:rPr>
          <w:spacing w:val="-5"/>
        </w:rPr>
        <w:t> </w:t>
      </w:r>
      <w:r>
        <w:rPr/>
        <w:t>avance</w:t>
      </w:r>
      <w:r>
        <w:rPr>
          <w:spacing w:val="-5"/>
        </w:rPr>
        <w:t> </w:t>
      </w:r>
      <w:r>
        <w:rPr/>
        <w:t>de</w:t>
      </w:r>
      <w:r>
        <w:rPr>
          <w:spacing w:val="-5"/>
        </w:rPr>
        <w:t> </w:t>
      </w:r>
      <w:r>
        <w:rPr/>
        <w:t>la</w:t>
      </w:r>
      <w:r>
        <w:rPr>
          <w:spacing w:val="-5"/>
        </w:rPr>
        <w:t> </w:t>
      </w:r>
      <w:r>
        <w:rPr/>
        <w:t>integración</w:t>
      </w:r>
      <w:r>
        <w:rPr>
          <w:spacing w:val="-5"/>
        </w:rPr>
        <w:t> </w:t>
      </w:r>
      <w:r>
        <w:rPr/>
        <w:t>social</w:t>
      </w:r>
      <w:r>
        <w:rPr>
          <w:spacing w:val="-5"/>
        </w:rPr>
        <w:t> </w:t>
      </w:r>
      <w:r>
        <w:rPr/>
        <w:t>y</w:t>
      </w:r>
      <w:r>
        <w:rPr>
          <w:spacing w:val="-5"/>
        </w:rPr>
        <w:t> </w:t>
      </w:r>
      <w:r>
        <w:rPr/>
        <w:t>la</w:t>
      </w:r>
      <w:r>
        <w:rPr>
          <w:spacing w:val="-5"/>
        </w:rPr>
        <w:t> </w:t>
      </w:r>
      <w:r>
        <w:rPr/>
        <w:t>efectividad</w:t>
      </w:r>
      <w:r>
        <w:rPr>
          <w:spacing w:val="-5"/>
        </w:rPr>
        <w:t> </w:t>
      </w:r>
      <w:r>
        <w:rPr/>
        <w:t>de</w:t>
      </w:r>
      <w:r>
        <w:rPr>
          <w:spacing w:val="-5"/>
        </w:rPr>
        <w:t> </w:t>
      </w:r>
      <w:r>
        <w:rPr/>
        <w:t>la</w:t>
      </w:r>
      <w:r>
        <w:rPr>
          <w:spacing w:val="-5"/>
        </w:rPr>
        <w:t> </w:t>
      </w:r>
      <w:r>
        <w:rPr/>
        <w:t>organización</w:t>
      </w:r>
      <w:r>
        <w:rPr>
          <w:spacing w:val="-5"/>
        </w:rPr>
        <w:t> </w:t>
      </w:r>
      <w:r>
        <w:rPr/>
        <w:t>social.</w:t>
      </w:r>
      <w:r>
        <w:rPr>
          <w:spacing w:val="-5"/>
        </w:rPr>
        <w:t> </w:t>
      </w:r>
      <w:r>
        <w:rPr/>
        <w:t>Por ejemplo</w:t>
      </w:r>
      <w:r>
        <w:rPr>
          <w:spacing w:val="-4"/>
        </w:rPr>
        <w:t> </w:t>
      </w:r>
      <w:r>
        <w:rPr/>
        <w:t>la</w:t>
      </w:r>
      <w:r>
        <w:rPr>
          <w:spacing w:val="-4"/>
        </w:rPr>
        <w:t> </w:t>
      </w:r>
      <w:r>
        <w:rPr/>
        <w:t>situación</w:t>
      </w:r>
      <w:r>
        <w:rPr>
          <w:spacing w:val="-4"/>
        </w:rPr>
        <w:t> </w:t>
      </w:r>
      <w:r>
        <w:rPr/>
        <w:t>en</w:t>
      </w:r>
      <w:r>
        <w:rPr>
          <w:spacing w:val="-4"/>
        </w:rPr>
        <w:t> </w:t>
      </w:r>
      <w:r>
        <w:rPr/>
        <w:t>la</w:t>
      </w:r>
      <w:r>
        <w:rPr>
          <w:spacing w:val="-4"/>
        </w:rPr>
        <w:t> </w:t>
      </w:r>
      <w:r>
        <w:rPr/>
        <w:t>costa</w:t>
      </w:r>
      <w:r>
        <w:rPr>
          <w:spacing w:val="-4"/>
        </w:rPr>
        <w:t> </w:t>
      </w:r>
      <w:r>
        <w:rPr/>
        <w:t>peruana</w:t>
      </w:r>
      <w:r>
        <w:rPr>
          <w:spacing w:val="-4"/>
        </w:rPr>
        <w:t> </w:t>
      </w:r>
      <w:r>
        <w:rPr/>
        <w:t>después</w:t>
      </w:r>
      <w:r>
        <w:rPr>
          <w:spacing w:val="-4"/>
        </w:rPr>
        <w:t> </w:t>
      </w:r>
      <w:r>
        <w:rPr/>
        <w:t>de</w:t>
      </w:r>
      <w:r>
        <w:rPr>
          <w:spacing w:val="-4"/>
        </w:rPr>
        <w:t> </w:t>
      </w:r>
      <w:r>
        <w:rPr/>
        <w:t>los</w:t>
      </w:r>
      <w:r>
        <w:rPr>
          <w:spacing w:val="-4"/>
        </w:rPr>
        <w:t> </w:t>
      </w:r>
      <w:r>
        <w:rPr/>
        <w:t>últimos</w:t>
      </w:r>
      <w:r>
        <w:rPr>
          <w:spacing w:val="-4"/>
        </w:rPr>
        <w:t> </w:t>
      </w:r>
      <w:r>
        <w:rPr/>
        <w:t>sismos</w:t>
      </w:r>
      <w:r>
        <w:rPr>
          <w:spacing w:val="-4"/>
        </w:rPr>
        <w:t> </w:t>
      </w:r>
      <w:r>
        <w:rPr/>
        <w:t>ocurridos</w:t>
      </w:r>
      <w:r>
        <w:rPr>
          <w:spacing w:val="-4"/>
        </w:rPr>
        <w:t> </w:t>
      </w:r>
      <w:r>
        <w:rPr/>
        <w:t>ya</w:t>
      </w:r>
      <w:r>
        <w:rPr>
          <w:spacing w:val="-4"/>
        </w:rPr>
        <w:t> </w:t>
      </w:r>
      <w:r>
        <w:rPr/>
        <w:t>en</w:t>
      </w:r>
    </w:p>
    <w:p>
      <w:pPr>
        <w:pStyle w:val="BodyText"/>
        <w:spacing w:line="249" w:lineRule="auto" w:before="76"/>
        <w:ind w:right="127"/>
        <w:jc w:val="right"/>
      </w:pPr>
      <w:r>
        <w:rPr/>
        <w:br w:type="column"/>
      </w:r>
      <w:r>
        <w:rPr/>
        <w:t>el siglo XXI nos muestran un paisaje de caos, falta del apoyo a los afectados por parte</w:t>
      </w:r>
      <w:r>
        <w:rPr>
          <w:w w:val="101"/>
        </w:rPr>
        <w:t> </w:t>
      </w:r>
      <w:r>
        <w:rPr/>
        <w:t>del gobierno, falta de la organización social. La exposición de la región al riesgo natural</w:t>
      </w:r>
      <w:r>
        <w:rPr>
          <w:w w:val="99"/>
        </w:rPr>
        <w:t> </w:t>
      </w:r>
      <w:r>
        <w:rPr/>
        <w:t>no ha formado la causa de la mejora de la organización social o del apoyo institucional.</w:t>
      </w:r>
    </w:p>
    <w:p>
      <w:pPr>
        <w:pStyle w:val="BodyText"/>
        <w:spacing w:before="11"/>
      </w:pPr>
    </w:p>
    <w:p>
      <w:pPr>
        <w:pStyle w:val="BodyText"/>
        <w:spacing w:line="249" w:lineRule="auto"/>
        <w:ind w:left="135" w:right="127" w:firstLine="170"/>
        <w:jc w:val="both"/>
      </w:pPr>
      <w:r>
        <w:rPr/>
        <w:t>El mejor método para proteger la sociedad local de parte del gobierno local es su apoyo</w:t>
      </w:r>
      <w:r>
        <w:rPr>
          <w:spacing w:val="-5"/>
        </w:rPr>
        <w:t> </w:t>
      </w:r>
      <w:r>
        <w:rPr/>
        <w:t>institucional,</w:t>
      </w:r>
      <w:r>
        <w:rPr>
          <w:spacing w:val="-5"/>
        </w:rPr>
        <w:t> </w:t>
      </w:r>
      <w:r>
        <w:rPr/>
        <w:t>político</w:t>
      </w:r>
      <w:r>
        <w:rPr>
          <w:spacing w:val="-5"/>
        </w:rPr>
        <w:t> </w:t>
      </w:r>
      <w:r>
        <w:rPr/>
        <w:t>y</w:t>
      </w:r>
      <w:r>
        <w:rPr>
          <w:spacing w:val="-5"/>
        </w:rPr>
        <w:t> </w:t>
      </w:r>
      <w:r>
        <w:rPr/>
        <w:t>económico</w:t>
      </w:r>
      <w:r>
        <w:rPr>
          <w:spacing w:val="-5"/>
        </w:rPr>
        <w:t> </w:t>
      </w:r>
      <w:r>
        <w:rPr/>
        <w:t>en</w:t>
      </w:r>
      <w:r>
        <w:rPr>
          <w:spacing w:val="-5"/>
        </w:rPr>
        <w:t> </w:t>
      </w:r>
      <w:r>
        <w:rPr/>
        <w:t>la</w:t>
      </w:r>
      <w:r>
        <w:rPr>
          <w:spacing w:val="-5"/>
        </w:rPr>
        <w:t> </w:t>
      </w:r>
      <w:r>
        <w:rPr/>
        <w:t>esfera</w:t>
      </w:r>
      <w:r>
        <w:rPr>
          <w:spacing w:val="-5"/>
        </w:rPr>
        <w:t> </w:t>
      </w:r>
      <w:r>
        <w:rPr/>
        <w:t>del</w:t>
      </w:r>
      <w:r>
        <w:rPr>
          <w:spacing w:val="-5"/>
        </w:rPr>
        <w:t> </w:t>
      </w:r>
      <w:r>
        <w:rPr/>
        <w:t>desarrollo</w:t>
      </w:r>
      <w:r>
        <w:rPr>
          <w:spacing w:val="-5"/>
        </w:rPr>
        <w:t> </w:t>
      </w:r>
      <w:r>
        <w:rPr/>
        <w:t>de</w:t>
      </w:r>
      <w:r>
        <w:rPr>
          <w:spacing w:val="-5"/>
        </w:rPr>
        <w:t> </w:t>
      </w:r>
      <w:r>
        <w:rPr/>
        <w:t>la</w:t>
      </w:r>
      <w:r>
        <w:rPr>
          <w:spacing w:val="-5"/>
        </w:rPr>
        <w:t> </w:t>
      </w:r>
      <w:r>
        <w:rPr/>
        <w:t>infraestructura técnica y social. En cada caso la dotación de dicha infraestructura aumenta el capital social y humano de la población y esto a su vez aumenta mejora sus condiciones de vida</w:t>
      </w:r>
      <w:r>
        <w:rPr>
          <w:spacing w:val="-11"/>
        </w:rPr>
        <w:t> </w:t>
      </w:r>
      <w:r>
        <w:rPr/>
        <w:t>en</w:t>
      </w:r>
      <w:r>
        <w:rPr>
          <w:spacing w:val="-11"/>
        </w:rPr>
        <w:t> </w:t>
      </w:r>
      <w:r>
        <w:rPr/>
        <w:t>el</w:t>
      </w:r>
      <w:r>
        <w:rPr>
          <w:spacing w:val="-11"/>
        </w:rPr>
        <w:t> </w:t>
      </w:r>
      <w:r>
        <w:rPr/>
        <w:t>lugar.</w:t>
      </w:r>
      <w:r>
        <w:rPr>
          <w:spacing w:val="-11"/>
        </w:rPr>
        <w:t> </w:t>
      </w:r>
      <w:r>
        <w:rPr/>
        <w:t>Por</w:t>
      </w:r>
      <w:r>
        <w:rPr>
          <w:spacing w:val="-11"/>
        </w:rPr>
        <w:t> </w:t>
      </w:r>
      <w:r>
        <w:rPr/>
        <w:t>otra</w:t>
      </w:r>
      <w:r>
        <w:rPr>
          <w:spacing w:val="-11"/>
        </w:rPr>
        <w:t> </w:t>
      </w:r>
      <w:r>
        <w:rPr/>
        <w:t>parte,</w:t>
      </w:r>
      <w:r>
        <w:rPr>
          <w:spacing w:val="-11"/>
        </w:rPr>
        <w:t> </w:t>
      </w:r>
      <w:r>
        <w:rPr/>
        <w:t>los</w:t>
      </w:r>
      <w:r>
        <w:rPr>
          <w:spacing w:val="-11"/>
        </w:rPr>
        <w:t> </w:t>
      </w:r>
      <w:r>
        <w:rPr/>
        <w:t>fenómenos</w:t>
      </w:r>
      <w:r>
        <w:rPr>
          <w:spacing w:val="-11"/>
        </w:rPr>
        <w:t> </w:t>
      </w:r>
      <w:r>
        <w:rPr/>
        <w:t>presentes</w:t>
      </w:r>
      <w:r>
        <w:rPr>
          <w:spacing w:val="-11"/>
        </w:rPr>
        <w:t> </w:t>
      </w:r>
      <w:r>
        <w:rPr/>
        <w:t>a</w:t>
      </w:r>
      <w:r>
        <w:rPr>
          <w:spacing w:val="-11"/>
        </w:rPr>
        <w:t> </w:t>
      </w:r>
      <w:r>
        <w:rPr/>
        <w:t>escala</w:t>
      </w:r>
      <w:r>
        <w:rPr>
          <w:spacing w:val="-11"/>
        </w:rPr>
        <w:t> </w:t>
      </w:r>
      <w:r>
        <w:rPr/>
        <w:t>local</w:t>
      </w:r>
      <w:r>
        <w:rPr>
          <w:spacing w:val="-11"/>
        </w:rPr>
        <w:t> </w:t>
      </w:r>
      <w:r>
        <w:rPr/>
        <w:t>(como</w:t>
      </w:r>
      <w:r>
        <w:rPr>
          <w:spacing w:val="-11"/>
        </w:rPr>
        <w:t> </w:t>
      </w:r>
      <w:r>
        <w:rPr/>
        <w:t>es</w:t>
      </w:r>
      <w:r>
        <w:rPr>
          <w:spacing w:val="-11"/>
        </w:rPr>
        <w:t> </w:t>
      </w:r>
      <w:r>
        <w:rPr/>
        <w:t>el</w:t>
      </w:r>
      <w:r>
        <w:rPr>
          <w:spacing w:val="-11"/>
        </w:rPr>
        <w:t> </w:t>
      </w:r>
      <w:r>
        <w:rPr/>
        <w:t>caso por ejemplo de los habitantes de los barrios periféricos urbanos) no están atractivos para los políticos regionales y nacionales los cuales dejan este nivel de desarrollo a</w:t>
      </w:r>
      <w:r>
        <w:rPr>
          <w:spacing w:val="-18"/>
        </w:rPr>
        <w:t> </w:t>
      </w:r>
      <w:r>
        <w:rPr/>
        <w:t>los políticos locales. Estas a su vez piensan sobre su carrera y no se ocupan por resolver problemas cotidianos de los habitantes. Por esta razón han crecido en el poder varios tipos de organizaciones no-gubernamentales, religiosos y de autogestión que tratan resolver por lo menos los problemas más urgentes de los habitantes. Para sobrevivir en las difíciles condiciones del ambiente de la vida – climáticos, geomorfológicos, de  la falta de recursos y las herramientas técnicas hay que buscar diferentes y variados fuentes</w:t>
      </w:r>
      <w:r>
        <w:rPr>
          <w:spacing w:val="-9"/>
        </w:rPr>
        <w:t> </w:t>
      </w:r>
      <w:r>
        <w:rPr/>
        <w:t>del</w:t>
      </w:r>
      <w:r>
        <w:rPr>
          <w:spacing w:val="-9"/>
        </w:rPr>
        <w:t> </w:t>
      </w:r>
      <w:r>
        <w:rPr/>
        <w:t>trabajo,</w:t>
      </w:r>
      <w:r>
        <w:rPr>
          <w:spacing w:val="-9"/>
        </w:rPr>
        <w:t> </w:t>
      </w:r>
      <w:r>
        <w:rPr/>
        <w:t>trabajar</w:t>
      </w:r>
      <w:r>
        <w:rPr>
          <w:spacing w:val="-9"/>
        </w:rPr>
        <w:t> </w:t>
      </w:r>
      <w:r>
        <w:rPr/>
        <w:t>durante</w:t>
      </w:r>
      <w:r>
        <w:rPr>
          <w:spacing w:val="-9"/>
        </w:rPr>
        <w:t> </w:t>
      </w:r>
      <w:r>
        <w:rPr/>
        <w:t>los</w:t>
      </w:r>
      <w:r>
        <w:rPr>
          <w:spacing w:val="-9"/>
        </w:rPr>
        <w:t> </w:t>
      </w:r>
      <w:r>
        <w:rPr/>
        <w:t>días</w:t>
      </w:r>
      <w:r>
        <w:rPr>
          <w:spacing w:val="-9"/>
        </w:rPr>
        <w:t> </w:t>
      </w:r>
      <w:r>
        <w:rPr/>
        <w:t>festivos,</w:t>
      </w:r>
      <w:r>
        <w:rPr>
          <w:spacing w:val="-9"/>
        </w:rPr>
        <w:t> </w:t>
      </w:r>
      <w:r>
        <w:rPr/>
        <w:t>trasladarse</w:t>
      </w:r>
      <w:r>
        <w:rPr>
          <w:spacing w:val="-9"/>
        </w:rPr>
        <w:t> </w:t>
      </w:r>
      <w:r>
        <w:rPr/>
        <w:t>a</w:t>
      </w:r>
      <w:r>
        <w:rPr>
          <w:spacing w:val="-9"/>
        </w:rPr>
        <w:t> </w:t>
      </w:r>
      <w:r>
        <w:rPr/>
        <w:t>largas</w:t>
      </w:r>
      <w:r>
        <w:rPr>
          <w:spacing w:val="-9"/>
        </w:rPr>
        <w:t> </w:t>
      </w:r>
      <w:r>
        <w:rPr/>
        <w:t>distancias</w:t>
      </w:r>
      <w:r>
        <w:rPr>
          <w:spacing w:val="-9"/>
        </w:rPr>
        <w:t> </w:t>
      </w:r>
      <w:r>
        <w:rPr/>
        <w:t>por la zona metropolitana, pasar muchas horas en el transporte público, tratar de formar comunidades de auto apoyo y de la integración </w:t>
      </w:r>
      <w:r>
        <w:rPr>
          <w:spacing w:val="1"/>
        </w:rPr>
        <w:t> </w:t>
      </w:r>
      <w:r>
        <w:rPr/>
        <w:t>vecinal.</w:t>
      </w:r>
    </w:p>
    <w:p>
      <w:pPr>
        <w:pStyle w:val="BodyText"/>
        <w:spacing w:before="2"/>
        <w:rPr>
          <w:sz w:val="24"/>
        </w:rPr>
      </w:pPr>
    </w:p>
    <w:p>
      <w:pPr>
        <w:spacing w:line="312" w:lineRule="auto" w:before="0"/>
        <w:ind w:left="249" w:right="241" w:firstLine="0"/>
        <w:jc w:val="center"/>
        <w:rPr>
          <w:sz w:val="16"/>
        </w:rPr>
      </w:pPr>
      <w:r>
        <w:rPr/>
        <w:drawing>
          <wp:anchor distT="0" distB="0" distL="0" distR="0" allowOverlap="1" layoutInCell="1" locked="0" behindDoc="0" simplePos="0" relativeHeight="1216">
            <wp:simplePos x="0" y="0"/>
            <wp:positionH relativeFrom="page">
              <wp:posOffset>6530847</wp:posOffset>
            </wp:positionH>
            <wp:positionV relativeFrom="paragraph">
              <wp:posOffset>564912</wp:posOffset>
            </wp:positionV>
            <wp:extent cx="4866311" cy="2572588"/>
            <wp:effectExtent l="0" t="0" r="0" b="0"/>
            <wp:wrapNone/>
            <wp:docPr id="7" name="image18.jpeg" descr=""/>
            <wp:cNvGraphicFramePr>
              <a:graphicFrameLocks noChangeAspect="1"/>
            </wp:cNvGraphicFramePr>
            <a:graphic>
              <a:graphicData uri="http://schemas.openxmlformats.org/drawingml/2006/picture">
                <pic:pic>
                  <pic:nvPicPr>
                    <pic:cNvPr id="8" name="image18.jpeg"/>
                    <pic:cNvPicPr/>
                  </pic:nvPicPr>
                  <pic:blipFill>
                    <a:blip r:embed="rId27" cstate="print"/>
                    <a:stretch>
                      <a:fillRect/>
                    </a:stretch>
                  </pic:blipFill>
                  <pic:spPr>
                    <a:xfrm>
                      <a:off x="0" y="0"/>
                      <a:ext cx="4866311" cy="2572588"/>
                    </a:xfrm>
                    <a:prstGeom prst="rect">
                      <a:avLst/>
                    </a:prstGeom>
                  </pic:spPr>
                </pic:pic>
              </a:graphicData>
            </a:graphic>
          </wp:anchor>
        </w:drawing>
      </w:r>
      <w:r>
        <w:rPr>
          <w:color w:val="6D6E71"/>
          <w:sz w:val="16"/>
        </w:rPr>
        <w:t>Ilustración 1. Fotografías de los barrios periféricos de Lima (municipio Callao) de donde la gente viaja al centro de la ciudad en busca del trabajo, pasando hasta 3 horas de ida y tres de vuelta en los medios del transporte precarios e insuficientes.</w:t>
      </w:r>
    </w:p>
    <w:p>
      <w:pPr>
        <w:spacing w:after="0" w:line="312" w:lineRule="auto"/>
        <w:jc w:val="center"/>
        <w:rPr>
          <w:sz w:val="16"/>
        </w:rPr>
        <w:sectPr>
          <w:type w:val="continuous"/>
          <w:pgSz w:w="18830" w:h="12760" w:orient="landscape"/>
          <w:pgMar w:top="1420" w:bottom="280" w:left="720" w:right="720"/>
          <w:cols w:num="2" w:equalWidth="0">
            <w:col w:w="7847" w:space="1558"/>
            <w:col w:w="7985"/>
          </w:cols>
        </w:sectPr>
      </w:pPr>
    </w:p>
    <w:p>
      <w:pPr>
        <w:pStyle w:val="BodyText"/>
        <w:spacing w:before="6"/>
        <w:rPr>
          <w:sz w:val="23"/>
        </w:rPr>
      </w:pPr>
    </w:p>
    <w:p>
      <w:pPr>
        <w:spacing w:after="0"/>
        <w:rPr>
          <w:sz w:val="23"/>
        </w:rPr>
        <w:sectPr>
          <w:footerReference w:type="default" r:id="rId28"/>
          <w:pgSz w:w="18830" w:h="12760" w:orient="landscape"/>
          <w:pgMar w:footer="1036" w:header="522" w:top="820" w:bottom="1220" w:left="720" w:right="720"/>
        </w:sectPr>
      </w:pPr>
    </w:p>
    <w:p>
      <w:pPr>
        <w:pStyle w:val="BodyText"/>
        <w:spacing w:line="249" w:lineRule="auto" w:before="76"/>
        <w:ind w:left="119" w:firstLine="170"/>
        <w:jc w:val="both"/>
      </w:pPr>
      <w:r>
        <w:rPr/>
        <w:t>Para que la vulnerabilidad social podría promover o por lo menos empujar el proceso de desarrollo económico el problema tiene que ser amplio, multifacético e involucrar    a un amplio grupo social. Su solución debe implicar un gasto relativamente grande de recursos financieros, materiales y</w:t>
      </w:r>
      <w:r>
        <w:rPr>
          <w:spacing w:val="13"/>
        </w:rPr>
        <w:t> </w:t>
      </w:r>
      <w:r>
        <w:rPr/>
        <w:t>humanos.</w:t>
      </w:r>
    </w:p>
    <w:p>
      <w:pPr>
        <w:pStyle w:val="BodyText"/>
        <w:spacing w:before="11"/>
      </w:pPr>
    </w:p>
    <w:p>
      <w:pPr>
        <w:pStyle w:val="BodyText"/>
        <w:spacing w:line="249" w:lineRule="auto"/>
        <w:ind w:left="119" w:firstLine="170"/>
        <w:jc w:val="both"/>
      </w:pPr>
      <w:r>
        <w:rPr/>
        <w:t>Una alta vulnerabilidad es una barrera para el desarrollo, ya que se asocia con una baja capacidad de la sociedad para adaptarse a funcionar en las condiciones de</w:t>
      </w:r>
      <w:r>
        <w:rPr>
          <w:spacing w:val="-12"/>
        </w:rPr>
        <w:t> </w:t>
      </w:r>
      <w:r>
        <w:rPr/>
        <w:t>riesgo y alta vulnerabilidad a sucumbir a un estado de ánimo destructivo. A su vez, la baja vulnerabilidad puede convertirse en un estímulo para el cambio económico positivo    en la región. Dentro de dicho contexto la vulnerabilidad social se relaciona con las condiciones para el desarrollo económico y se refleja</w:t>
      </w:r>
      <w:r>
        <w:rPr>
          <w:spacing w:val="37"/>
        </w:rPr>
        <w:t> </w:t>
      </w:r>
      <w:r>
        <w:rPr/>
        <w:t>en:</w:t>
      </w:r>
    </w:p>
    <w:p>
      <w:pPr>
        <w:pStyle w:val="BodyText"/>
        <w:spacing w:before="11"/>
      </w:pPr>
    </w:p>
    <w:p>
      <w:pPr>
        <w:pStyle w:val="ListParagraph"/>
        <w:numPr>
          <w:ilvl w:val="2"/>
          <w:numId w:val="1"/>
        </w:numPr>
        <w:tabs>
          <w:tab w:pos="650" w:val="left" w:leader="none"/>
        </w:tabs>
        <w:spacing w:line="249" w:lineRule="auto" w:before="0" w:after="0"/>
        <w:ind w:left="649" w:right="0" w:hanging="360"/>
        <w:jc w:val="both"/>
        <w:rPr>
          <w:sz w:val="20"/>
        </w:rPr>
      </w:pPr>
      <w:r>
        <w:rPr>
          <w:sz w:val="20"/>
        </w:rPr>
        <w:t>El desarrollo externo (interregional) de las conexiones y vínculos comerciales resultantes de la necesidad de satisfacer estas necesidades que no pueden ser realizadas dentro del espacio</w:t>
      </w:r>
      <w:r>
        <w:rPr>
          <w:spacing w:val="23"/>
          <w:sz w:val="20"/>
        </w:rPr>
        <w:t> </w:t>
      </w:r>
      <w:r>
        <w:rPr>
          <w:sz w:val="20"/>
        </w:rPr>
        <w:t>local.</w:t>
      </w:r>
    </w:p>
    <w:p>
      <w:pPr>
        <w:pStyle w:val="BodyText"/>
        <w:spacing w:before="11"/>
      </w:pPr>
    </w:p>
    <w:p>
      <w:pPr>
        <w:pStyle w:val="ListParagraph"/>
        <w:numPr>
          <w:ilvl w:val="2"/>
          <w:numId w:val="1"/>
        </w:numPr>
        <w:tabs>
          <w:tab w:pos="650" w:val="left" w:leader="none"/>
        </w:tabs>
        <w:spacing w:line="249" w:lineRule="auto" w:before="0" w:after="0"/>
        <w:ind w:left="649" w:right="0" w:hanging="360"/>
        <w:jc w:val="both"/>
        <w:rPr>
          <w:sz w:val="20"/>
        </w:rPr>
      </w:pPr>
      <w:r>
        <w:rPr>
          <w:sz w:val="20"/>
        </w:rPr>
        <w:t>Una mayor movilidad de los habitantes los cuales están que están dispuestos     a realizar salidas periódicas en busca del trabajo. Dicha actividad les permite mejorar el ingreso de la familia y aumentar sus habilidades del consumo que a  la vez puede ser un estimulante del desarrollo económico local. A su vez, una mayor movilidad dentro de la región facilita la movilización de los trabajadores</w:t>
      </w:r>
      <w:r>
        <w:rPr>
          <w:spacing w:val="-14"/>
          <w:sz w:val="20"/>
        </w:rPr>
        <w:t> </w:t>
      </w:r>
      <w:r>
        <w:rPr>
          <w:sz w:val="20"/>
        </w:rPr>
        <w:t>en los lugares convenientes para la realización de proyectos de inversión y esto se traduce en el aumento de la atracción de inversión de la</w:t>
      </w:r>
      <w:r>
        <w:rPr>
          <w:spacing w:val="37"/>
          <w:sz w:val="20"/>
        </w:rPr>
        <w:t> </w:t>
      </w:r>
      <w:r>
        <w:rPr>
          <w:sz w:val="20"/>
        </w:rPr>
        <w:t>región.</w:t>
      </w:r>
    </w:p>
    <w:p>
      <w:pPr>
        <w:pStyle w:val="BodyText"/>
        <w:spacing w:before="11"/>
      </w:pPr>
    </w:p>
    <w:p>
      <w:pPr>
        <w:pStyle w:val="ListParagraph"/>
        <w:numPr>
          <w:ilvl w:val="2"/>
          <w:numId w:val="1"/>
        </w:numPr>
        <w:tabs>
          <w:tab w:pos="650" w:val="left" w:leader="none"/>
        </w:tabs>
        <w:spacing w:line="249" w:lineRule="auto" w:before="0" w:after="0"/>
        <w:ind w:left="649" w:right="0" w:hanging="360"/>
        <w:jc w:val="both"/>
        <w:rPr>
          <w:sz w:val="20"/>
        </w:rPr>
      </w:pPr>
      <w:r>
        <w:rPr>
          <w:sz w:val="20"/>
        </w:rPr>
        <w:t>Los costes de mano de obra inferiores, ya que el problema de la relación entre  la vulnerabilidad del desarrollo social y económico se refiere principalmente a las regiones</w:t>
      </w:r>
      <w:r>
        <w:rPr>
          <w:spacing w:val="-7"/>
          <w:sz w:val="20"/>
        </w:rPr>
        <w:t> </w:t>
      </w:r>
      <w:r>
        <w:rPr>
          <w:sz w:val="20"/>
        </w:rPr>
        <w:t>económicamente</w:t>
      </w:r>
      <w:r>
        <w:rPr>
          <w:spacing w:val="-7"/>
          <w:sz w:val="20"/>
        </w:rPr>
        <w:t> </w:t>
      </w:r>
      <w:r>
        <w:rPr>
          <w:sz w:val="20"/>
        </w:rPr>
        <w:t>subdesarrolladas</w:t>
      </w:r>
      <w:r>
        <w:rPr>
          <w:spacing w:val="-7"/>
          <w:sz w:val="20"/>
        </w:rPr>
        <w:t> </w:t>
      </w:r>
      <w:r>
        <w:rPr>
          <w:sz w:val="20"/>
        </w:rPr>
        <w:t>y</w:t>
      </w:r>
      <w:r>
        <w:rPr>
          <w:spacing w:val="-7"/>
          <w:sz w:val="20"/>
        </w:rPr>
        <w:t> </w:t>
      </w:r>
      <w:r>
        <w:rPr>
          <w:sz w:val="20"/>
        </w:rPr>
        <w:t>de</w:t>
      </w:r>
      <w:r>
        <w:rPr>
          <w:spacing w:val="-7"/>
          <w:sz w:val="20"/>
        </w:rPr>
        <w:t> </w:t>
      </w:r>
      <w:r>
        <w:rPr>
          <w:sz w:val="20"/>
        </w:rPr>
        <w:t>bajos</w:t>
      </w:r>
      <w:r>
        <w:rPr>
          <w:spacing w:val="-7"/>
          <w:sz w:val="20"/>
        </w:rPr>
        <w:t> </w:t>
      </w:r>
      <w:r>
        <w:rPr>
          <w:sz w:val="20"/>
        </w:rPr>
        <w:t>ingresos.</w:t>
      </w:r>
      <w:r>
        <w:rPr>
          <w:spacing w:val="-7"/>
          <w:sz w:val="20"/>
        </w:rPr>
        <w:t> </w:t>
      </w:r>
      <w:r>
        <w:rPr>
          <w:sz w:val="20"/>
        </w:rPr>
        <w:t>Como</w:t>
      </w:r>
      <w:r>
        <w:rPr>
          <w:spacing w:val="-7"/>
          <w:sz w:val="20"/>
        </w:rPr>
        <w:t> </w:t>
      </w:r>
      <w:r>
        <w:rPr>
          <w:sz w:val="20"/>
        </w:rPr>
        <w:t>resultado de ello, es una mayor aceptación de los puestos de trabajo en condiciones relativamente bajos de empleo, así como reducidas expectativas de parte de los empleadores.</w:t>
      </w:r>
    </w:p>
    <w:p>
      <w:pPr>
        <w:pStyle w:val="BodyText"/>
        <w:spacing w:before="11"/>
      </w:pPr>
    </w:p>
    <w:p>
      <w:pPr>
        <w:pStyle w:val="ListParagraph"/>
        <w:numPr>
          <w:ilvl w:val="2"/>
          <w:numId w:val="1"/>
        </w:numPr>
        <w:tabs>
          <w:tab w:pos="650" w:val="left" w:leader="none"/>
        </w:tabs>
        <w:spacing w:line="249" w:lineRule="auto" w:before="0" w:after="0"/>
        <w:ind w:left="649" w:right="0" w:hanging="360"/>
        <w:jc w:val="both"/>
        <w:rPr>
          <w:sz w:val="20"/>
        </w:rPr>
      </w:pPr>
      <w:r>
        <w:rPr>
          <w:sz w:val="20"/>
        </w:rPr>
        <w:t>La sociedad está determinada de mejorar sus condiciones de vida que se</w:t>
      </w:r>
      <w:r>
        <w:rPr>
          <w:spacing w:val="-9"/>
          <w:sz w:val="20"/>
        </w:rPr>
        <w:t> </w:t>
      </w:r>
      <w:r>
        <w:rPr>
          <w:sz w:val="20"/>
        </w:rPr>
        <w:t>refleja, entre otros, en dar mayor peso a las habilidades y la ética de trabajo, y por lo tanto a los factores que determinan el atractivo de la región para los  inversores.</w:t>
      </w:r>
    </w:p>
    <w:p>
      <w:pPr>
        <w:pStyle w:val="BodyText"/>
        <w:spacing w:before="11"/>
      </w:pPr>
    </w:p>
    <w:p>
      <w:pPr>
        <w:pStyle w:val="ListParagraph"/>
        <w:numPr>
          <w:ilvl w:val="2"/>
          <w:numId w:val="1"/>
        </w:numPr>
        <w:tabs>
          <w:tab w:pos="650" w:val="left" w:leader="none"/>
        </w:tabs>
        <w:spacing w:line="249" w:lineRule="auto" w:before="0" w:after="0"/>
        <w:ind w:left="649" w:right="0" w:hanging="360"/>
        <w:jc w:val="both"/>
        <w:rPr>
          <w:sz w:val="20"/>
        </w:rPr>
      </w:pPr>
      <w:r>
        <w:rPr>
          <w:sz w:val="20"/>
        </w:rPr>
        <w:t>Mayor espíritu empresarial como un fenómeno necesario para asegurar la supervivencia de las duras condiciones naturales, además acompañados de grave subdesarrollo de la</w:t>
      </w:r>
      <w:r>
        <w:rPr>
          <w:spacing w:val="12"/>
          <w:sz w:val="20"/>
        </w:rPr>
        <w:t> </w:t>
      </w:r>
      <w:r>
        <w:rPr>
          <w:sz w:val="20"/>
        </w:rPr>
        <w:t>región.</w:t>
      </w:r>
    </w:p>
    <w:p>
      <w:pPr>
        <w:pStyle w:val="BodyText"/>
        <w:spacing w:before="11"/>
      </w:pPr>
    </w:p>
    <w:p>
      <w:pPr>
        <w:pStyle w:val="ListParagraph"/>
        <w:numPr>
          <w:ilvl w:val="2"/>
          <w:numId w:val="1"/>
        </w:numPr>
        <w:tabs>
          <w:tab w:pos="650" w:val="left" w:leader="none"/>
        </w:tabs>
        <w:spacing w:line="249" w:lineRule="auto" w:before="0" w:after="0"/>
        <w:ind w:left="649" w:right="0" w:hanging="360"/>
        <w:jc w:val="both"/>
        <w:rPr>
          <w:sz w:val="20"/>
        </w:rPr>
      </w:pPr>
      <w:r>
        <w:rPr>
          <w:sz w:val="20"/>
        </w:rPr>
        <w:t>Mayor capacidad de crear una variedad de relaciones entre los miembros y     los grupos sociales. Relaciones de este tipo contribuyen a la lucha contra los fenómenos negativos económico, social o como resultado de entorno</w:t>
      </w:r>
      <w:r>
        <w:rPr>
          <w:spacing w:val="14"/>
          <w:sz w:val="20"/>
        </w:rPr>
        <w:t> </w:t>
      </w:r>
      <w:r>
        <w:rPr>
          <w:sz w:val="20"/>
        </w:rPr>
        <w:t>específico.</w:t>
      </w:r>
    </w:p>
    <w:p>
      <w:pPr>
        <w:pStyle w:val="BodyText"/>
        <w:spacing w:line="249" w:lineRule="auto" w:before="76"/>
        <w:ind w:left="649" w:right="113"/>
      </w:pPr>
      <w:r>
        <w:rPr/>
        <w:br w:type="column"/>
      </w:r>
      <w:r>
        <w:rPr/>
        <w:t>La</w:t>
      </w:r>
      <w:r>
        <w:rPr>
          <w:spacing w:val="-8"/>
        </w:rPr>
        <w:t> </w:t>
      </w:r>
      <w:r>
        <w:rPr/>
        <w:t>naturaleza</w:t>
      </w:r>
      <w:r>
        <w:rPr>
          <w:spacing w:val="-8"/>
        </w:rPr>
        <w:t> </w:t>
      </w:r>
      <w:r>
        <w:rPr/>
        <w:t>de</w:t>
      </w:r>
      <w:r>
        <w:rPr>
          <w:spacing w:val="-8"/>
        </w:rPr>
        <w:t> </w:t>
      </w:r>
      <w:r>
        <w:rPr/>
        <w:t>estas</w:t>
      </w:r>
      <w:r>
        <w:rPr>
          <w:spacing w:val="-8"/>
        </w:rPr>
        <w:t> </w:t>
      </w:r>
      <w:r>
        <w:rPr/>
        <w:t>relaciones</w:t>
      </w:r>
      <w:r>
        <w:rPr>
          <w:spacing w:val="-8"/>
        </w:rPr>
        <w:t> </w:t>
      </w:r>
      <w:r>
        <w:rPr/>
        <w:t>y</w:t>
      </w:r>
      <w:r>
        <w:rPr>
          <w:spacing w:val="-8"/>
        </w:rPr>
        <w:t> </w:t>
      </w:r>
      <w:r>
        <w:rPr/>
        <w:t>el</w:t>
      </w:r>
      <w:r>
        <w:rPr>
          <w:spacing w:val="-8"/>
        </w:rPr>
        <w:t> </w:t>
      </w:r>
      <w:r>
        <w:rPr/>
        <w:t>nivel</w:t>
      </w:r>
      <w:r>
        <w:rPr>
          <w:spacing w:val="-8"/>
        </w:rPr>
        <w:t> </w:t>
      </w:r>
      <w:r>
        <w:rPr/>
        <w:t>de</w:t>
      </w:r>
      <w:r>
        <w:rPr>
          <w:spacing w:val="-8"/>
        </w:rPr>
        <w:t> </w:t>
      </w:r>
      <w:r>
        <w:rPr/>
        <w:t>capacidad</w:t>
      </w:r>
      <w:r>
        <w:rPr>
          <w:spacing w:val="-8"/>
        </w:rPr>
        <w:t> </w:t>
      </w:r>
      <w:r>
        <w:rPr/>
        <w:t>de</w:t>
      </w:r>
      <w:r>
        <w:rPr>
          <w:spacing w:val="-8"/>
        </w:rPr>
        <w:t> </w:t>
      </w:r>
      <w:r>
        <w:rPr/>
        <w:t>crearlas</w:t>
      </w:r>
      <w:r>
        <w:rPr>
          <w:spacing w:val="-8"/>
        </w:rPr>
        <w:t> </w:t>
      </w:r>
      <w:r>
        <w:rPr/>
        <w:t>es</w:t>
      </w:r>
      <w:r>
        <w:rPr>
          <w:spacing w:val="-8"/>
        </w:rPr>
        <w:t> </w:t>
      </w:r>
      <w:r>
        <w:rPr/>
        <w:t>una</w:t>
      </w:r>
      <w:r>
        <w:rPr>
          <w:spacing w:val="-8"/>
        </w:rPr>
        <w:t> </w:t>
      </w:r>
      <w:r>
        <w:rPr/>
        <w:t>parte importante de la evaluación del capital</w:t>
      </w:r>
      <w:r>
        <w:rPr>
          <w:spacing w:val="46"/>
        </w:rPr>
        <w:t> </w:t>
      </w:r>
      <w:r>
        <w:rPr/>
        <w:t>social.</w:t>
      </w:r>
    </w:p>
    <w:p>
      <w:pPr>
        <w:pStyle w:val="BodyText"/>
      </w:pPr>
    </w:p>
    <w:p>
      <w:pPr>
        <w:pStyle w:val="BodyText"/>
        <w:spacing w:before="9"/>
        <w:rPr>
          <w:sz w:val="21"/>
        </w:rPr>
      </w:pPr>
    </w:p>
    <w:p>
      <w:pPr>
        <w:pStyle w:val="Heading3"/>
        <w:ind w:left="289" w:right="113"/>
      </w:pPr>
      <w:r>
        <w:rPr/>
        <w:t>Vulnerabilidad de las zonas periféricas urbanas</w:t>
      </w:r>
    </w:p>
    <w:p>
      <w:pPr>
        <w:pStyle w:val="BodyText"/>
        <w:rPr>
          <w:b/>
        </w:rPr>
      </w:pPr>
    </w:p>
    <w:p>
      <w:pPr>
        <w:pStyle w:val="BodyText"/>
        <w:spacing w:before="7"/>
        <w:rPr>
          <w:b/>
          <w:sz w:val="22"/>
        </w:rPr>
      </w:pPr>
    </w:p>
    <w:p>
      <w:pPr>
        <w:pStyle w:val="BodyText"/>
        <w:spacing w:line="249" w:lineRule="auto"/>
        <w:ind w:left="119" w:right="127" w:firstLine="170"/>
        <w:jc w:val="both"/>
      </w:pPr>
      <w:r>
        <w:rPr/>
        <w:t>En el caso de las zonas periféricas urbanas varias son génesis y características      de la vulnerabilidad territorial y social. Algunos fenómenos tienen una larga historia      y están relacionados con el creciente número de los habitantes lo que resulta de las migraciones desde el campo hacia la ciudad, con la mayor presión a la tierra urbana, con el creciente número de la oferta del trabajo en la mayoría de grandes ciudades latinoamericanas en la última década. Todos estos fenómenos contribuyen a la mayor expansión de las áreas urbanas y a la creciente ocupaciones de ares protegidas o     no aptas para sostener una invasión urbana intensa. Aparecen entonces problemas físicos y medioambientales, como deslizamientos de tierra, procesos de forestación   en las zonas andinas, desertificaciones de los terrenos desprovistas de vegetación,    la erosión, la contaminación del agua, la urbanización de las zonas de pantanales, los problemas con el depósito de basuras, </w:t>
      </w:r>
      <w:r>
        <w:rPr>
          <w:spacing w:val="5"/>
        </w:rPr>
        <w:t> </w:t>
      </w:r>
      <w:r>
        <w:rPr/>
        <w:t>etc.</w:t>
      </w:r>
    </w:p>
    <w:p>
      <w:pPr>
        <w:pStyle w:val="BodyText"/>
        <w:spacing w:before="11"/>
      </w:pPr>
    </w:p>
    <w:p>
      <w:pPr>
        <w:pStyle w:val="BodyText"/>
        <w:spacing w:line="249" w:lineRule="auto"/>
        <w:ind w:left="119" w:right="127" w:firstLine="170"/>
        <w:jc w:val="both"/>
      </w:pPr>
      <w:r>
        <w:rPr/>
        <w:t>Mencionados fenómenos y procesos medioambientales constituyen  solo  un  aspecto de la vulnerabilidad social y territorial – pues, de la naturaleza. El otro son las relaciones socio-culturales, políticas y económicas que aumentan la vulnerabilidad de los habitantes urbanos, especialmente de los grupos más pobres y afectados por las crisis</w:t>
      </w:r>
      <w:r>
        <w:rPr>
          <w:spacing w:val="-6"/>
        </w:rPr>
        <w:t> </w:t>
      </w:r>
      <w:r>
        <w:rPr/>
        <w:t>y</w:t>
      </w:r>
      <w:r>
        <w:rPr>
          <w:spacing w:val="-6"/>
        </w:rPr>
        <w:t> </w:t>
      </w:r>
      <w:r>
        <w:rPr/>
        <w:t>riesgos</w:t>
      </w:r>
      <w:r>
        <w:rPr>
          <w:spacing w:val="-6"/>
        </w:rPr>
        <w:t> </w:t>
      </w:r>
      <w:r>
        <w:rPr/>
        <w:t>en</w:t>
      </w:r>
      <w:r>
        <w:rPr>
          <w:spacing w:val="-6"/>
        </w:rPr>
        <w:t> </w:t>
      </w:r>
      <w:r>
        <w:rPr/>
        <w:t>los</w:t>
      </w:r>
      <w:r>
        <w:rPr>
          <w:spacing w:val="-6"/>
        </w:rPr>
        <w:t> </w:t>
      </w:r>
      <w:r>
        <w:rPr/>
        <w:t>lugares</w:t>
      </w:r>
      <w:r>
        <w:rPr>
          <w:spacing w:val="-6"/>
        </w:rPr>
        <w:t> </w:t>
      </w:r>
      <w:r>
        <w:rPr/>
        <w:t>de</w:t>
      </w:r>
      <w:r>
        <w:rPr>
          <w:spacing w:val="-6"/>
        </w:rPr>
        <w:t> </w:t>
      </w:r>
      <w:r>
        <w:rPr/>
        <w:t>proveniencia.</w:t>
      </w:r>
      <w:r>
        <w:rPr>
          <w:spacing w:val="-6"/>
        </w:rPr>
        <w:t> </w:t>
      </w:r>
      <w:r>
        <w:rPr/>
        <w:t>Si</w:t>
      </w:r>
      <w:r>
        <w:rPr>
          <w:spacing w:val="-6"/>
        </w:rPr>
        <w:t> </w:t>
      </w:r>
      <w:r>
        <w:rPr/>
        <w:t>entonces</w:t>
      </w:r>
      <w:r>
        <w:rPr>
          <w:spacing w:val="-6"/>
        </w:rPr>
        <w:t> </w:t>
      </w:r>
      <w:r>
        <w:rPr/>
        <w:t>un</w:t>
      </w:r>
      <w:r>
        <w:rPr>
          <w:spacing w:val="-6"/>
        </w:rPr>
        <w:t> </w:t>
      </w:r>
      <w:r>
        <w:rPr/>
        <w:t>migrante</w:t>
      </w:r>
      <w:r>
        <w:rPr>
          <w:spacing w:val="-6"/>
        </w:rPr>
        <w:t> </w:t>
      </w:r>
      <w:r>
        <w:rPr/>
        <w:t>desplazado</w:t>
      </w:r>
      <w:r>
        <w:rPr>
          <w:spacing w:val="-6"/>
        </w:rPr>
        <w:t> </w:t>
      </w:r>
      <w:r>
        <w:rPr/>
        <w:t>por ejemplo, de las tierras tropicales busca el refugio en la zona andina de Bogotá en los Cerros</w:t>
      </w:r>
      <w:r>
        <w:rPr>
          <w:spacing w:val="-7"/>
        </w:rPr>
        <w:t> </w:t>
      </w:r>
      <w:r>
        <w:rPr/>
        <w:t>Orientales</w:t>
      </w:r>
      <w:r>
        <w:rPr>
          <w:spacing w:val="-7"/>
        </w:rPr>
        <w:t> </w:t>
      </w:r>
      <w:r>
        <w:rPr/>
        <w:t>donde</w:t>
      </w:r>
      <w:r>
        <w:rPr>
          <w:spacing w:val="-7"/>
        </w:rPr>
        <w:t> </w:t>
      </w:r>
      <w:r>
        <w:rPr/>
        <w:t>la</w:t>
      </w:r>
      <w:r>
        <w:rPr>
          <w:spacing w:val="-7"/>
        </w:rPr>
        <w:t> </w:t>
      </w:r>
      <w:r>
        <w:rPr/>
        <w:t>altitud</w:t>
      </w:r>
      <w:r>
        <w:rPr>
          <w:spacing w:val="-7"/>
        </w:rPr>
        <w:t> </w:t>
      </w:r>
      <w:r>
        <w:rPr/>
        <w:t>es</w:t>
      </w:r>
      <w:r>
        <w:rPr>
          <w:spacing w:val="-7"/>
        </w:rPr>
        <w:t> </w:t>
      </w:r>
      <w:r>
        <w:rPr/>
        <w:t>de</w:t>
      </w:r>
      <w:r>
        <w:rPr>
          <w:spacing w:val="-7"/>
        </w:rPr>
        <w:t> </w:t>
      </w:r>
      <w:r>
        <w:rPr/>
        <w:t>2600</w:t>
      </w:r>
      <w:r>
        <w:rPr>
          <w:spacing w:val="-7"/>
        </w:rPr>
        <w:t> </w:t>
      </w:r>
      <w:r>
        <w:rPr/>
        <w:t>m</w:t>
      </w:r>
      <w:r>
        <w:rPr>
          <w:spacing w:val="-7"/>
        </w:rPr>
        <w:t> </w:t>
      </w:r>
      <w:r>
        <w:rPr/>
        <w:t>sobre</w:t>
      </w:r>
      <w:r>
        <w:rPr>
          <w:spacing w:val="-7"/>
        </w:rPr>
        <w:t> </w:t>
      </w:r>
      <w:r>
        <w:rPr/>
        <w:t>el</w:t>
      </w:r>
      <w:r>
        <w:rPr>
          <w:spacing w:val="-7"/>
        </w:rPr>
        <w:t> </w:t>
      </w:r>
      <w:r>
        <w:rPr/>
        <w:t>nivel</w:t>
      </w:r>
      <w:r>
        <w:rPr>
          <w:spacing w:val="-7"/>
        </w:rPr>
        <w:t> </w:t>
      </w:r>
      <w:r>
        <w:rPr/>
        <w:t>del</w:t>
      </w:r>
      <w:r>
        <w:rPr>
          <w:spacing w:val="-7"/>
        </w:rPr>
        <w:t> </w:t>
      </w:r>
      <w:r>
        <w:rPr/>
        <w:t>mar</w:t>
      </w:r>
      <w:r>
        <w:rPr>
          <w:spacing w:val="-7"/>
        </w:rPr>
        <w:t> </w:t>
      </w:r>
      <w:r>
        <w:rPr/>
        <w:t>por</w:t>
      </w:r>
      <w:r>
        <w:rPr>
          <w:spacing w:val="-7"/>
        </w:rPr>
        <w:t> </w:t>
      </w:r>
      <w:r>
        <w:rPr/>
        <w:t>supuesto</w:t>
      </w:r>
      <w:r>
        <w:rPr>
          <w:spacing w:val="-7"/>
        </w:rPr>
        <w:t> </w:t>
      </w:r>
      <w:r>
        <w:rPr/>
        <w:t>que su vulnerabilidad a todo el ambiente que lo rodea es</w:t>
      </w:r>
      <w:r>
        <w:rPr>
          <w:spacing w:val="41"/>
        </w:rPr>
        <w:t> </w:t>
      </w:r>
      <w:r>
        <w:rPr/>
        <w:t>extrema.</w:t>
      </w:r>
    </w:p>
    <w:p>
      <w:pPr>
        <w:pStyle w:val="BodyText"/>
        <w:spacing w:before="11"/>
      </w:pPr>
    </w:p>
    <w:p>
      <w:pPr>
        <w:pStyle w:val="BodyText"/>
        <w:spacing w:line="249" w:lineRule="auto"/>
        <w:ind w:left="119" w:right="127" w:firstLine="170"/>
        <w:jc w:val="both"/>
      </w:pPr>
      <w:r>
        <w:rPr/>
        <w:t>Pero dentro del contexto de estudios urbanos la vulnerabilidad  parece  algo  contrario a los procesos globales caracterizados por una acelerada urbanización y la búsqueda, por porte de la mayoría de los habitantes del Globo a una vida urbana. La ciudad se ha convertido en el ambiente de la vida de la mayoría de los habitantes y especialmente en América Latina donde los índices de la urbanización pertenecen a los mayores en el mundo. Ciudades grandes en todas partes del mundo son vistos como más importantes áreas de las actividades económicas y los puntos centrales de los procesos de globalización. Allí se concentran las empresas más importantes para la economía nacional (e internacional en muchos casos). Se considera en la literatura que son los centros de la concentración del trabajo tanto calificado como no calificado y muy barato. Lo ha permitido ofrecer varias posibilidades del empleo y diversificar     la economía urbana. A pesar del tamaño de las ciudades latinoamericanas (que hay muchas</w:t>
      </w:r>
      <w:r>
        <w:rPr>
          <w:spacing w:val="18"/>
        </w:rPr>
        <w:t> </w:t>
      </w:r>
      <w:r>
        <w:rPr/>
        <w:t>ciudades</w:t>
      </w:r>
      <w:r>
        <w:rPr>
          <w:spacing w:val="18"/>
        </w:rPr>
        <w:t> </w:t>
      </w:r>
      <w:r>
        <w:rPr/>
        <w:t>grandes)</w:t>
      </w:r>
      <w:r>
        <w:rPr>
          <w:spacing w:val="18"/>
        </w:rPr>
        <w:t> </w:t>
      </w:r>
      <w:r>
        <w:rPr/>
        <w:t>y</w:t>
      </w:r>
      <w:r>
        <w:rPr>
          <w:spacing w:val="18"/>
        </w:rPr>
        <w:t> </w:t>
      </w:r>
      <w:r>
        <w:rPr/>
        <w:t>su</w:t>
      </w:r>
      <w:r>
        <w:rPr>
          <w:spacing w:val="18"/>
        </w:rPr>
        <w:t> </w:t>
      </w:r>
      <w:r>
        <w:rPr/>
        <w:t>primacía</w:t>
      </w:r>
      <w:r>
        <w:rPr>
          <w:spacing w:val="18"/>
        </w:rPr>
        <w:t> </w:t>
      </w:r>
      <w:r>
        <w:rPr/>
        <w:t>urbana</w:t>
      </w:r>
      <w:r>
        <w:rPr>
          <w:spacing w:val="18"/>
        </w:rPr>
        <w:t> </w:t>
      </w:r>
      <w:r>
        <w:rPr/>
        <w:t>dentro</w:t>
      </w:r>
      <w:r>
        <w:rPr>
          <w:spacing w:val="18"/>
        </w:rPr>
        <w:t> </w:t>
      </w:r>
      <w:r>
        <w:rPr/>
        <w:t>de</w:t>
      </w:r>
      <w:r>
        <w:rPr>
          <w:spacing w:val="18"/>
        </w:rPr>
        <w:t> </w:t>
      </w:r>
      <w:r>
        <w:rPr/>
        <w:t>la</w:t>
      </w:r>
      <w:r>
        <w:rPr>
          <w:spacing w:val="18"/>
        </w:rPr>
        <w:t> </w:t>
      </w:r>
      <w:r>
        <w:rPr/>
        <w:t>red</w:t>
      </w:r>
      <w:r>
        <w:rPr>
          <w:spacing w:val="18"/>
        </w:rPr>
        <w:t> </w:t>
      </w:r>
      <w:r>
        <w:rPr/>
        <w:t>urbana</w:t>
      </w:r>
      <w:r>
        <w:rPr>
          <w:spacing w:val="18"/>
        </w:rPr>
        <w:t> </w:t>
      </w:r>
      <w:r>
        <w:rPr/>
        <w:t>nacional</w:t>
      </w:r>
      <w:r>
        <w:rPr>
          <w:spacing w:val="18"/>
        </w:rPr>
        <w:t> </w:t>
      </w:r>
      <w:r>
        <w:rPr/>
        <w:t>la</w:t>
      </w:r>
    </w:p>
    <w:p>
      <w:pPr>
        <w:spacing w:after="0" w:line="249" w:lineRule="auto"/>
        <w:jc w:val="both"/>
        <w:sectPr>
          <w:type w:val="continuous"/>
          <w:pgSz w:w="18830" w:h="12760" w:orient="landscape"/>
          <w:pgMar w:top="1420" w:bottom="280" w:left="720" w:right="720"/>
          <w:cols w:num="2" w:equalWidth="0">
            <w:col w:w="7832" w:space="1590"/>
            <w:col w:w="7968"/>
          </w:cols>
        </w:sectPr>
      </w:pPr>
    </w:p>
    <w:p>
      <w:pPr>
        <w:pStyle w:val="BodyText"/>
        <w:spacing w:before="6"/>
        <w:rPr>
          <w:sz w:val="23"/>
        </w:rPr>
      </w:pPr>
    </w:p>
    <w:p>
      <w:pPr>
        <w:spacing w:after="0"/>
        <w:rPr>
          <w:sz w:val="23"/>
        </w:rPr>
        <w:sectPr>
          <w:footerReference w:type="default" r:id="rId29"/>
          <w:pgSz w:w="18830" w:h="12760" w:orient="landscape"/>
          <w:pgMar w:footer="1036" w:header="522" w:top="820" w:bottom="1220" w:left="720" w:right="720"/>
        </w:sectPr>
      </w:pPr>
    </w:p>
    <w:p>
      <w:pPr>
        <w:pStyle w:val="BodyText"/>
        <w:spacing w:line="249" w:lineRule="auto" w:before="76"/>
        <w:ind w:left="130"/>
        <w:jc w:val="both"/>
      </w:pPr>
      <w:r>
        <w:rPr/>
        <w:t>estructura social de la población y del empleo ubica dichas ciudades debajo de los primeros centros urbanos globales y regionales (Bronger 1997, 2004)). Las ciudades latinoamericanas a pesar de los cambios de imagen y de la estructura ocupacional    en los últimos anos siguen siendo los centros de la concentración de la población de clase media baja, del empleo poco calificado y del sector informal. Todo esto hace de ellas los espacios vulnerables y sensibles a las fluctuaciones de la situación política y económica.</w:t>
      </w:r>
    </w:p>
    <w:p>
      <w:pPr>
        <w:pStyle w:val="BodyText"/>
        <w:spacing w:before="11"/>
      </w:pPr>
    </w:p>
    <w:p>
      <w:pPr>
        <w:pStyle w:val="BodyText"/>
        <w:spacing w:line="249" w:lineRule="auto"/>
        <w:ind w:left="130" w:firstLine="170"/>
        <w:jc w:val="both"/>
      </w:pPr>
      <w:r>
        <w:rPr/>
        <w:t>Las</w:t>
      </w:r>
      <w:r>
        <w:rPr>
          <w:spacing w:val="-8"/>
        </w:rPr>
        <w:t> </w:t>
      </w:r>
      <w:r>
        <w:rPr/>
        <w:t>ciudades</w:t>
      </w:r>
      <w:r>
        <w:rPr>
          <w:spacing w:val="-8"/>
        </w:rPr>
        <w:t> </w:t>
      </w:r>
      <w:r>
        <w:rPr/>
        <w:t>latinoamericanas</w:t>
      </w:r>
      <w:r>
        <w:rPr>
          <w:spacing w:val="-8"/>
        </w:rPr>
        <w:t> </w:t>
      </w:r>
      <w:r>
        <w:rPr/>
        <w:t>ya</w:t>
      </w:r>
      <w:r>
        <w:rPr>
          <w:spacing w:val="-8"/>
        </w:rPr>
        <w:t> </w:t>
      </w:r>
      <w:r>
        <w:rPr/>
        <w:t>desde</w:t>
      </w:r>
      <w:r>
        <w:rPr>
          <w:spacing w:val="-8"/>
        </w:rPr>
        <w:t> </w:t>
      </w:r>
      <w:r>
        <w:rPr/>
        <w:t>los</w:t>
      </w:r>
      <w:r>
        <w:rPr>
          <w:spacing w:val="-8"/>
        </w:rPr>
        <w:t> </w:t>
      </w:r>
      <w:r>
        <w:rPr/>
        <w:t>años</w:t>
      </w:r>
      <w:r>
        <w:rPr>
          <w:spacing w:val="-8"/>
        </w:rPr>
        <w:t> </w:t>
      </w:r>
      <w:r>
        <w:rPr/>
        <w:t>30.</w:t>
      </w:r>
      <w:r>
        <w:rPr>
          <w:spacing w:val="-8"/>
        </w:rPr>
        <w:t> </w:t>
      </w:r>
      <w:r>
        <w:rPr/>
        <w:t>del</w:t>
      </w:r>
      <w:r>
        <w:rPr>
          <w:spacing w:val="-8"/>
        </w:rPr>
        <w:t> </w:t>
      </w:r>
      <w:r>
        <w:rPr/>
        <w:t>siglo</w:t>
      </w:r>
      <w:r>
        <w:rPr>
          <w:spacing w:val="-8"/>
        </w:rPr>
        <w:t> </w:t>
      </w:r>
      <w:r>
        <w:rPr/>
        <w:t>pasado</w:t>
      </w:r>
      <w:r>
        <w:rPr>
          <w:spacing w:val="-8"/>
        </w:rPr>
        <w:t> </w:t>
      </w:r>
      <w:r>
        <w:rPr/>
        <w:t>han</w:t>
      </w:r>
      <w:r>
        <w:rPr>
          <w:spacing w:val="-8"/>
        </w:rPr>
        <w:t> </w:t>
      </w:r>
      <w:r>
        <w:rPr/>
        <w:t>empezado a atraer las inversiones industriales, y junto con esto a la población inmigrante de las áreas rurales para garantizar la mano de obra barata. Para los habitantes de zonas rurales las posibilidades de mejorar sus condiciones de vida e ingresos y las mejores perspectivas para sus hijos han sido elementos importantes en la toma de decisión para venir a la ciudad. Las ciudades conforman también un mosaico de los “mundos  de vida”. Sus estructuras, dinámicas, estrategias de manejo dependen de los sistemas socio-políticos y socio-culturales. También se basan en los sistemas económicos y tecnológicos y generalmente en el nivel del desarrollo (de civilización) de cada país.  La diferenciación y el aumento de la distancia uno del otro centro urbano en cuanto a su dinámica de los cambios es un hecho. Por esto la discusión académica sobre las causa, las formas y los efectos espaciales del desarrollo incontrolado, fragmentado      y caótico de las ciudades (sobre todo de las ciudades grandes) tiene que tomar en cuento un amplio espectro de los actores políticos, económicos, sociales, culturales e ideológico-culturales para explicar los fenómenos sucedidos y para encontrar y definir los elementos de la</w:t>
      </w:r>
      <w:r>
        <w:rPr>
          <w:spacing w:val="17"/>
        </w:rPr>
        <w:t> </w:t>
      </w:r>
      <w:r>
        <w:rPr/>
        <w:t>vulnerabilidad.</w:t>
      </w:r>
    </w:p>
    <w:p>
      <w:pPr>
        <w:pStyle w:val="BodyText"/>
        <w:spacing w:before="11"/>
      </w:pPr>
    </w:p>
    <w:p>
      <w:pPr>
        <w:pStyle w:val="BodyText"/>
        <w:spacing w:line="249" w:lineRule="auto"/>
        <w:ind w:left="130" w:firstLine="170"/>
        <w:jc w:val="both"/>
      </w:pPr>
      <w:r>
        <w:rPr/>
        <w:t>Observamos entonces el fenómeno de la estructuración masiva de las ciudades junto con la descomposición de sus estructuras espacial como lo ha sido mostrado      y</w:t>
      </w:r>
      <w:r>
        <w:rPr>
          <w:spacing w:val="40"/>
        </w:rPr>
        <w:t> </w:t>
      </w:r>
      <w:r>
        <w:rPr/>
        <w:t>analizado</w:t>
      </w:r>
      <w:r>
        <w:rPr>
          <w:spacing w:val="40"/>
        </w:rPr>
        <w:t> </w:t>
      </w:r>
      <w:r>
        <w:rPr/>
        <w:t>durante</w:t>
      </w:r>
      <w:r>
        <w:rPr>
          <w:spacing w:val="40"/>
        </w:rPr>
        <w:t> </w:t>
      </w:r>
      <w:r>
        <w:rPr/>
        <w:t>varias</w:t>
      </w:r>
      <w:r>
        <w:rPr>
          <w:spacing w:val="40"/>
        </w:rPr>
        <w:t> </w:t>
      </w:r>
      <w:r>
        <w:rPr/>
        <w:t>décadas</w:t>
      </w:r>
      <w:r>
        <w:rPr>
          <w:spacing w:val="40"/>
        </w:rPr>
        <w:t> </w:t>
      </w:r>
      <w:r>
        <w:rPr/>
        <w:t>por</w:t>
      </w:r>
      <w:r>
        <w:rPr>
          <w:spacing w:val="40"/>
        </w:rPr>
        <w:t> </w:t>
      </w:r>
      <w:r>
        <w:rPr/>
        <w:t>los</w:t>
      </w:r>
      <w:r>
        <w:rPr>
          <w:spacing w:val="40"/>
        </w:rPr>
        <w:t> </w:t>
      </w:r>
      <w:r>
        <w:rPr/>
        <w:t>modelos</w:t>
      </w:r>
      <w:r>
        <w:rPr>
          <w:spacing w:val="40"/>
        </w:rPr>
        <w:t> </w:t>
      </w:r>
      <w:r>
        <w:rPr/>
        <w:t>estructurales</w:t>
      </w:r>
      <w:r>
        <w:rPr>
          <w:spacing w:val="40"/>
        </w:rPr>
        <w:t> </w:t>
      </w:r>
      <w:r>
        <w:rPr/>
        <w:t>de</w:t>
      </w:r>
      <w:r>
        <w:rPr>
          <w:spacing w:val="40"/>
        </w:rPr>
        <w:t> </w:t>
      </w:r>
      <w:r>
        <w:rPr/>
        <w:t>las</w:t>
      </w:r>
      <w:r>
        <w:rPr>
          <w:spacing w:val="40"/>
        </w:rPr>
        <w:t> </w:t>
      </w:r>
      <w:r>
        <w:rPr/>
        <w:t>ciudades</w:t>
      </w:r>
      <w:r>
        <w:rPr>
          <w:w w:val="101"/>
        </w:rPr>
        <w:t> </w:t>
      </w:r>
      <w:r>
        <w:rPr/>
        <w:t>(Bähr 1978, Bähr , Mertins 1981, Gormsen 1981, Mertins 2003, Kraas 2007). La</w:t>
      </w:r>
      <w:r>
        <w:rPr>
          <w:spacing w:val="-28"/>
        </w:rPr>
        <w:t> </w:t>
      </w:r>
      <w:r>
        <w:rPr/>
        <w:t>ciudad ha dejado de tener un carácter de la organización espacial homogéneo, gana a los subcentros dispersos, que se convierten en un lugar tan fuerte como para atraer a los actores urbanos, que socavan el papel tradicional del centro, a veces conduciendo      a</w:t>
      </w:r>
      <w:r>
        <w:rPr>
          <w:spacing w:val="34"/>
        </w:rPr>
        <w:t> </w:t>
      </w:r>
      <w:r>
        <w:rPr/>
        <w:t>su</w:t>
      </w:r>
      <w:r>
        <w:rPr>
          <w:spacing w:val="34"/>
        </w:rPr>
        <w:t> </w:t>
      </w:r>
      <w:r>
        <w:rPr/>
        <w:t>degradación.</w:t>
      </w:r>
      <w:r>
        <w:rPr>
          <w:spacing w:val="34"/>
        </w:rPr>
        <w:t> </w:t>
      </w:r>
      <w:r>
        <w:rPr/>
        <w:t>El</w:t>
      </w:r>
      <w:r>
        <w:rPr>
          <w:spacing w:val="34"/>
        </w:rPr>
        <w:t> </w:t>
      </w:r>
      <w:r>
        <w:rPr/>
        <w:t>aumento</w:t>
      </w:r>
      <w:r>
        <w:rPr>
          <w:spacing w:val="34"/>
        </w:rPr>
        <w:t> </w:t>
      </w:r>
      <w:r>
        <w:rPr/>
        <w:t>territorial,</w:t>
      </w:r>
      <w:r>
        <w:rPr>
          <w:spacing w:val="34"/>
        </w:rPr>
        <w:t> </w:t>
      </w:r>
      <w:r>
        <w:rPr/>
        <w:t>la</w:t>
      </w:r>
      <w:r>
        <w:rPr>
          <w:spacing w:val="34"/>
        </w:rPr>
        <w:t> </w:t>
      </w:r>
      <w:r>
        <w:rPr/>
        <w:t>descentralización</w:t>
      </w:r>
      <w:r>
        <w:rPr>
          <w:spacing w:val="34"/>
        </w:rPr>
        <w:t> </w:t>
      </w:r>
      <w:r>
        <w:rPr/>
        <w:t>del</w:t>
      </w:r>
      <w:r>
        <w:rPr>
          <w:spacing w:val="34"/>
        </w:rPr>
        <w:t> </w:t>
      </w:r>
      <w:r>
        <w:rPr/>
        <w:t>poder,</w:t>
      </w:r>
      <w:r>
        <w:rPr>
          <w:spacing w:val="34"/>
        </w:rPr>
        <w:t> </w:t>
      </w:r>
      <w:r>
        <w:rPr/>
        <w:t>las</w:t>
      </w:r>
      <w:r>
        <w:rPr>
          <w:spacing w:val="34"/>
        </w:rPr>
        <w:t> </w:t>
      </w:r>
      <w:r>
        <w:rPr/>
        <w:t>fuerzas</w:t>
      </w:r>
      <w:r>
        <w:rPr>
          <w:w w:val="98"/>
        </w:rPr>
        <w:t> </w:t>
      </w:r>
      <w:r>
        <w:rPr/>
        <w:t>centrífugas estimuladas por los desarrolladores y agencias inmobiliarias (controlantes de la demanda), a su vez, dan lugar a la desorganización espacial. El resultado de la desorganización es la fragmentación de socio-espacial – la fuga de los residentes a</w:t>
      </w:r>
      <w:r>
        <w:rPr>
          <w:spacing w:val="-29"/>
        </w:rPr>
        <w:t> </w:t>
      </w:r>
      <w:r>
        <w:rPr/>
        <w:t>los “pequeños territorios de la vida cotidiana”, lejos de representantes de otros estratos sociales.</w:t>
      </w:r>
    </w:p>
    <w:p>
      <w:pPr>
        <w:pStyle w:val="BodyText"/>
        <w:spacing w:before="11"/>
      </w:pPr>
    </w:p>
    <w:p>
      <w:pPr>
        <w:pStyle w:val="BodyText"/>
        <w:spacing w:line="249" w:lineRule="auto"/>
        <w:ind w:left="130" w:firstLine="170"/>
        <w:jc w:val="both"/>
      </w:pPr>
      <w:r>
        <w:rPr/>
        <w:t>Especialmente las grandes ciudades se caracterizan por una alta sensibilidad a   todo tipo de amenazas y crisis, conflictos potenciales y amenazas con consecuencias globales.       </w:t>
      </w:r>
      <w:r>
        <w:rPr>
          <w:spacing w:val="3"/>
        </w:rPr>
        <w:t> </w:t>
      </w:r>
      <w:r>
        <w:rPr/>
        <w:t>En un pequeño espacio es difícil de enfocar los problemas ecológicos de</w:t>
      </w:r>
    </w:p>
    <w:p>
      <w:pPr>
        <w:pStyle w:val="BodyText"/>
        <w:spacing w:line="249" w:lineRule="auto" w:before="76"/>
        <w:ind w:left="130" w:right="127"/>
        <w:jc w:val="both"/>
      </w:pPr>
      <w:r>
        <w:rPr/>
        <w:br w:type="column"/>
      </w:r>
      <w:r>
        <w:rPr/>
        <w:t>reacción inmediata - por ejemplo la contaminación del aire, agua, suelo, recolección  de residuos y sustancias nocivas en el agua y en el suelo. El buen funcionamiento de una gran ciudad también se asocia con la buena gestión, la distribución de materias primas necesarias (por ejemplo. de la energía y del agua). Las grandes ciudades de América</w:t>
      </w:r>
      <w:r>
        <w:rPr>
          <w:spacing w:val="-12"/>
        </w:rPr>
        <w:t> </w:t>
      </w:r>
      <w:r>
        <w:rPr/>
        <w:t>Latina</w:t>
      </w:r>
      <w:r>
        <w:rPr>
          <w:spacing w:val="-12"/>
        </w:rPr>
        <w:t> </w:t>
      </w:r>
      <w:r>
        <w:rPr/>
        <w:t>son</w:t>
      </w:r>
      <w:r>
        <w:rPr>
          <w:spacing w:val="-12"/>
        </w:rPr>
        <w:t> </w:t>
      </w:r>
      <w:r>
        <w:rPr/>
        <w:t>particularmente</w:t>
      </w:r>
      <w:r>
        <w:rPr>
          <w:spacing w:val="-12"/>
        </w:rPr>
        <w:t> </w:t>
      </w:r>
      <w:r>
        <w:rPr/>
        <w:t>vulnerables</w:t>
      </w:r>
      <w:r>
        <w:rPr>
          <w:spacing w:val="-12"/>
        </w:rPr>
        <w:t> </w:t>
      </w:r>
      <w:r>
        <w:rPr/>
        <w:t>a</w:t>
      </w:r>
      <w:r>
        <w:rPr>
          <w:spacing w:val="-12"/>
        </w:rPr>
        <w:t> </w:t>
      </w:r>
      <w:r>
        <w:rPr/>
        <w:t>los</w:t>
      </w:r>
      <w:r>
        <w:rPr>
          <w:spacing w:val="-12"/>
        </w:rPr>
        <w:t> </w:t>
      </w:r>
      <w:r>
        <w:rPr/>
        <w:t>desastres</w:t>
      </w:r>
      <w:r>
        <w:rPr>
          <w:spacing w:val="-12"/>
        </w:rPr>
        <w:t> </w:t>
      </w:r>
      <w:r>
        <w:rPr/>
        <w:t>naturales</w:t>
      </w:r>
      <w:r>
        <w:rPr>
          <w:spacing w:val="-12"/>
        </w:rPr>
        <w:t> </w:t>
      </w:r>
      <w:r>
        <w:rPr/>
        <w:t>y</w:t>
      </w:r>
      <w:r>
        <w:rPr>
          <w:spacing w:val="-12"/>
        </w:rPr>
        <w:t> </w:t>
      </w:r>
      <w:r>
        <w:rPr/>
        <w:t>a</w:t>
      </w:r>
      <w:r>
        <w:rPr>
          <w:spacing w:val="-12"/>
        </w:rPr>
        <w:t> </w:t>
      </w:r>
      <w:r>
        <w:rPr/>
        <w:t>los</w:t>
      </w:r>
      <w:r>
        <w:rPr>
          <w:spacing w:val="-12"/>
        </w:rPr>
        <w:t> </w:t>
      </w:r>
      <w:r>
        <w:rPr/>
        <w:t>riesgos derivados</w:t>
      </w:r>
      <w:r>
        <w:rPr>
          <w:spacing w:val="-6"/>
        </w:rPr>
        <w:t> </w:t>
      </w:r>
      <w:r>
        <w:rPr/>
        <w:t>de</w:t>
      </w:r>
      <w:r>
        <w:rPr>
          <w:spacing w:val="-6"/>
        </w:rPr>
        <w:t> </w:t>
      </w:r>
      <w:r>
        <w:rPr/>
        <w:t>las</w:t>
      </w:r>
      <w:r>
        <w:rPr>
          <w:spacing w:val="-6"/>
        </w:rPr>
        <w:t> </w:t>
      </w:r>
      <w:r>
        <w:rPr/>
        <w:t>condiciones</w:t>
      </w:r>
      <w:r>
        <w:rPr>
          <w:spacing w:val="-6"/>
        </w:rPr>
        <w:t> </w:t>
      </w:r>
      <w:r>
        <w:rPr/>
        <w:t>geológicas</w:t>
      </w:r>
      <w:r>
        <w:rPr>
          <w:spacing w:val="-6"/>
        </w:rPr>
        <w:t> </w:t>
      </w:r>
      <w:r>
        <w:rPr/>
        <w:t>y</w:t>
      </w:r>
      <w:r>
        <w:rPr>
          <w:spacing w:val="-6"/>
        </w:rPr>
        <w:t> </w:t>
      </w:r>
      <w:r>
        <w:rPr/>
        <w:t>del</w:t>
      </w:r>
      <w:r>
        <w:rPr>
          <w:spacing w:val="-6"/>
        </w:rPr>
        <w:t> </w:t>
      </w:r>
      <w:r>
        <w:rPr/>
        <w:t>relieve</w:t>
      </w:r>
      <w:r>
        <w:rPr>
          <w:spacing w:val="-6"/>
        </w:rPr>
        <w:t> </w:t>
      </w:r>
      <w:r>
        <w:rPr/>
        <w:t>son</w:t>
      </w:r>
      <w:r>
        <w:rPr>
          <w:spacing w:val="-6"/>
        </w:rPr>
        <w:t> </w:t>
      </w:r>
      <w:r>
        <w:rPr/>
        <w:t>particularmente</w:t>
      </w:r>
      <w:r>
        <w:rPr>
          <w:spacing w:val="-6"/>
        </w:rPr>
        <w:t> </w:t>
      </w:r>
      <w:r>
        <w:rPr/>
        <w:t>grandes.</w:t>
      </w:r>
      <w:r>
        <w:rPr>
          <w:spacing w:val="-6"/>
        </w:rPr>
        <w:t> </w:t>
      </w:r>
      <w:r>
        <w:rPr/>
        <w:t>Son frecuentes los sismos y terremotos, huracanes, inundaciones, aumento del nivel del mar global y deslizamientos de tierra debido a las fuertes lluvias también. Estos son  los actores importantes en la conformación del espacio urbano (por cierto siempre han sido a lo largo de la historia) (Czerny</w:t>
      </w:r>
      <w:r>
        <w:rPr>
          <w:spacing w:val="-32"/>
        </w:rPr>
        <w:t> </w:t>
      </w:r>
      <w:r>
        <w:rPr/>
        <w:t>2014).</w:t>
      </w:r>
    </w:p>
    <w:p>
      <w:pPr>
        <w:pStyle w:val="BodyText"/>
        <w:spacing w:before="11"/>
      </w:pPr>
    </w:p>
    <w:p>
      <w:pPr>
        <w:pStyle w:val="BodyText"/>
        <w:spacing w:line="249" w:lineRule="auto"/>
        <w:ind w:left="130" w:right="128" w:firstLine="170"/>
        <w:jc w:val="both"/>
      </w:pPr>
      <w:r>
        <w:rPr/>
        <w:t>Como hemos mencionado arriba el nivel de vulnerabilidad social en las grandes ciudades de América Latina también se deriva de la situación social y política en   estos países. Allá, donde hay guerras civiles o güerillas (por ejemplo en Colombia) la población rural está huyendo de sus lugares y busca el refugio en grandes ciudades, Debido a su situación personal, la falta de medios de subsistencia, extrañeza en un nuevo</w:t>
      </w:r>
      <w:r>
        <w:rPr>
          <w:spacing w:val="-9"/>
        </w:rPr>
        <w:t> </w:t>
      </w:r>
      <w:r>
        <w:rPr/>
        <w:t>entorno,</w:t>
      </w:r>
      <w:r>
        <w:rPr>
          <w:spacing w:val="-9"/>
        </w:rPr>
        <w:t> </w:t>
      </w:r>
      <w:r>
        <w:rPr/>
        <w:t>el</w:t>
      </w:r>
      <w:r>
        <w:rPr>
          <w:spacing w:val="-9"/>
        </w:rPr>
        <w:t> </w:t>
      </w:r>
      <w:r>
        <w:rPr/>
        <w:t>miedo</w:t>
      </w:r>
      <w:r>
        <w:rPr>
          <w:spacing w:val="-9"/>
        </w:rPr>
        <w:t> </w:t>
      </w:r>
      <w:r>
        <w:rPr/>
        <w:t>a</w:t>
      </w:r>
      <w:r>
        <w:rPr>
          <w:spacing w:val="-9"/>
        </w:rPr>
        <w:t> </w:t>
      </w:r>
      <w:r>
        <w:rPr/>
        <w:t>la</w:t>
      </w:r>
      <w:r>
        <w:rPr>
          <w:spacing w:val="-9"/>
        </w:rPr>
        <w:t> </w:t>
      </w:r>
      <w:r>
        <w:rPr/>
        <w:t>violencia</w:t>
      </w:r>
      <w:r>
        <w:rPr>
          <w:spacing w:val="-9"/>
        </w:rPr>
        <w:t> </w:t>
      </w:r>
      <w:r>
        <w:rPr/>
        <w:t>hacen</w:t>
      </w:r>
      <w:r>
        <w:rPr>
          <w:spacing w:val="-9"/>
        </w:rPr>
        <w:t> </w:t>
      </w:r>
      <w:r>
        <w:rPr/>
        <w:t>que</w:t>
      </w:r>
      <w:r>
        <w:rPr>
          <w:spacing w:val="-9"/>
        </w:rPr>
        <w:t> </w:t>
      </w:r>
      <w:r>
        <w:rPr/>
        <w:t>su</w:t>
      </w:r>
      <w:r>
        <w:rPr>
          <w:spacing w:val="-9"/>
        </w:rPr>
        <w:t> </w:t>
      </w:r>
      <w:r>
        <w:rPr/>
        <w:t>asimilación</w:t>
      </w:r>
      <w:r>
        <w:rPr>
          <w:spacing w:val="-9"/>
        </w:rPr>
        <w:t> </w:t>
      </w:r>
      <w:r>
        <w:rPr/>
        <w:t>en</w:t>
      </w:r>
      <w:r>
        <w:rPr>
          <w:spacing w:val="-9"/>
        </w:rPr>
        <w:t> </w:t>
      </w:r>
      <w:r>
        <w:rPr/>
        <w:t>el</w:t>
      </w:r>
      <w:r>
        <w:rPr>
          <w:spacing w:val="-9"/>
        </w:rPr>
        <w:t> </w:t>
      </w:r>
      <w:r>
        <w:rPr/>
        <w:t>entorno</w:t>
      </w:r>
      <w:r>
        <w:rPr>
          <w:spacing w:val="-9"/>
        </w:rPr>
        <w:t> </w:t>
      </w:r>
      <w:r>
        <w:rPr/>
        <w:t>urbano</w:t>
      </w:r>
      <w:r>
        <w:rPr>
          <w:spacing w:val="-9"/>
        </w:rPr>
        <w:t> </w:t>
      </w:r>
      <w:r>
        <w:rPr/>
        <w:t>es lento y se enfrenta a grandes dificultades. Además, esta población no está cubierta por la asistencia compleja e integral y el apoyo de parte de las autoridades. Las acciones de las organizaciones no gubernamentales no son suficientes y no cubren todas las necesidades de dicha población. A menudo a esta situación de la falta de soluciones adecuadas</w:t>
      </w:r>
      <w:r>
        <w:rPr>
          <w:spacing w:val="-4"/>
        </w:rPr>
        <w:t> </w:t>
      </w:r>
      <w:r>
        <w:rPr/>
        <w:t>de</w:t>
      </w:r>
      <w:r>
        <w:rPr>
          <w:spacing w:val="-4"/>
        </w:rPr>
        <w:t> </w:t>
      </w:r>
      <w:r>
        <w:rPr/>
        <w:t>parte</w:t>
      </w:r>
      <w:r>
        <w:rPr>
          <w:spacing w:val="-4"/>
        </w:rPr>
        <w:t> </w:t>
      </w:r>
      <w:r>
        <w:rPr/>
        <w:t>de</w:t>
      </w:r>
      <w:r>
        <w:rPr>
          <w:spacing w:val="-4"/>
        </w:rPr>
        <w:t> </w:t>
      </w:r>
      <w:r>
        <w:rPr/>
        <w:t>los</w:t>
      </w:r>
      <w:r>
        <w:rPr>
          <w:spacing w:val="-4"/>
        </w:rPr>
        <w:t> </w:t>
      </w:r>
      <w:r>
        <w:rPr/>
        <w:t>diferentes</w:t>
      </w:r>
      <w:r>
        <w:rPr>
          <w:spacing w:val="-4"/>
        </w:rPr>
        <w:t> </w:t>
      </w:r>
      <w:r>
        <w:rPr/>
        <w:t>niveles</w:t>
      </w:r>
      <w:r>
        <w:rPr>
          <w:spacing w:val="-4"/>
        </w:rPr>
        <w:t> </w:t>
      </w:r>
      <w:r>
        <w:rPr/>
        <w:t>de</w:t>
      </w:r>
      <w:r>
        <w:rPr>
          <w:spacing w:val="-4"/>
        </w:rPr>
        <w:t> </w:t>
      </w:r>
      <w:r>
        <w:rPr/>
        <w:t>gobierno</w:t>
      </w:r>
      <w:r>
        <w:rPr>
          <w:spacing w:val="-4"/>
        </w:rPr>
        <w:t> </w:t>
      </w:r>
      <w:r>
        <w:rPr/>
        <w:t>se</w:t>
      </w:r>
      <w:r>
        <w:rPr>
          <w:spacing w:val="-4"/>
        </w:rPr>
        <w:t> </w:t>
      </w:r>
      <w:r>
        <w:rPr/>
        <w:t>une</w:t>
      </w:r>
      <w:r>
        <w:rPr>
          <w:spacing w:val="-4"/>
        </w:rPr>
        <w:t> </w:t>
      </w:r>
      <w:r>
        <w:rPr/>
        <w:t>el</w:t>
      </w:r>
      <w:r>
        <w:rPr>
          <w:spacing w:val="-4"/>
        </w:rPr>
        <w:t> </w:t>
      </w:r>
      <w:r>
        <w:rPr/>
        <w:t>problema</w:t>
      </w:r>
      <w:r>
        <w:rPr>
          <w:spacing w:val="-4"/>
        </w:rPr>
        <w:t> </w:t>
      </w:r>
      <w:r>
        <w:rPr/>
        <w:t>de</w:t>
      </w:r>
      <w:r>
        <w:rPr>
          <w:spacing w:val="-4"/>
        </w:rPr>
        <w:t> </w:t>
      </w:r>
      <w:r>
        <w:rPr/>
        <w:t>la</w:t>
      </w:r>
      <w:r>
        <w:rPr>
          <w:spacing w:val="-4"/>
        </w:rPr>
        <w:t> </w:t>
      </w:r>
      <w:r>
        <w:rPr/>
        <w:t>falta de un programa de compensación y de la seguridad social (especialmente en el caso de desastres y crisis</w:t>
      </w:r>
      <w:r>
        <w:rPr>
          <w:spacing w:val="6"/>
        </w:rPr>
        <w:t> </w:t>
      </w:r>
      <w:r>
        <w:rPr/>
        <w:t>globales).</w:t>
      </w:r>
    </w:p>
    <w:p>
      <w:pPr>
        <w:pStyle w:val="BodyText"/>
        <w:spacing w:before="8"/>
        <w:rPr>
          <w:sz w:val="17"/>
        </w:rPr>
      </w:pPr>
    </w:p>
    <w:p>
      <w:pPr>
        <w:pStyle w:val="Heading1"/>
        <w:ind w:right="-10"/>
      </w:pPr>
      <w:r>
        <w:rPr/>
        <w:t>Problemas que aumentan la vulnerabilidad en los centros urbanos</w:t>
      </w:r>
    </w:p>
    <w:p>
      <w:pPr>
        <w:pStyle w:val="BodyText"/>
        <w:rPr>
          <w:b/>
          <w:sz w:val="24"/>
        </w:rPr>
      </w:pPr>
    </w:p>
    <w:p>
      <w:pPr>
        <w:pStyle w:val="BodyText"/>
        <w:spacing w:line="249" w:lineRule="auto" w:before="205"/>
        <w:ind w:left="130" w:right="127" w:firstLine="170"/>
        <w:jc w:val="both"/>
      </w:pPr>
      <w:r>
        <w:rPr/>
        <w:t>Hay una serie de problemas del distinto índole que provocan el crecimiento del</w:t>
      </w:r>
      <w:r>
        <w:rPr>
          <w:spacing w:val="-24"/>
        </w:rPr>
        <w:t> </w:t>
      </w:r>
      <w:r>
        <w:rPr/>
        <w:t>grado de la vulnerabilidad en las ciudades/ Por supuesto unos operan en el nivel local otros en el nivel superior (nacional o global). Tambien unos se puede suavizar relativamente fácil y otros</w:t>
      </w:r>
      <w:r>
        <w:rPr>
          <w:spacing w:val="25"/>
        </w:rPr>
        <w:t> </w:t>
      </w:r>
      <w:r>
        <w:rPr/>
        <w:t>no.</w:t>
      </w:r>
    </w:p>
    <w:p>
      <w:pPr>
        <w:pStyle w:val="BodyText"/>
        <w:spacing w:before="11"/>
      </w:pPr>
    </w:p>
    <w:p>
      <w:pPr>
        <w:pStyle w:val="ListParagraph"/>
        <w:numPr>
          <w:ilvl w:val="0"/>
          <w:numId w:val="2"/>
        </w:numPr>
        <w:tabs>
          <w:tab w:pos="611" w:val="left" w:leader="none"/>
        </w:tabs>
        <w:spacing w:line="249" w:lineRule="auto" w:before="0" w:after="0"/>
        <w:ind w:left="130" w:right="127" w:firstLine="170"/>
        <w:jc w:val="both"/>
        <w:rPr>
          <w:sz w:val="20"/>
        </w:rPr>
      </w:pPr>
      <w:r>
        <w:rPr>
          <w:sz w:val="20"/>
        </w:rPr>
        <w:t>Coy y F. Krass en un artículo publicado en 2003 han enumerado una serie de problemas que enfrentan las ciudades Coy, Krass 2003). Pero del punto de vista        de dicho texto no todos influyan a la vulnerabilidad. Según mi opinión solo algunos,   de un espectro de cuestiones demográficas, económicas, ecológica, sociales y administrativas se puede evaluar como importantes para el fenómeno de la aparición de la</w:t>
      </w:r>
      <w:r>
        <w:rPr>
          <w:spacing w:val="10"/>
          <w:sz w:val="20"/>
        </w:rPr>
        <w:t> </w:t>
      </w:r>
      <w:r>
        <w:rPr>
          <w:sz w:val="20"/>
        </w:rPr>
        <w:t>vulnerabilidad.</w:t>
      </w:r>
    </w:p>
    <w:p>
      <w:pPr>
        <w:spacing w:after="0" w:line="249" w:lineRule="auto"/>
        <w:jc w:val="both"/>
        <w:rPr>
          <w:sz w:val="20"/>
        </w:rPr>
        <w:sectPr>
          <w:type w:val="continuous"/>
          <w:pgSz w:w="18830" w:h="12760" w:orient="landscape"/>
          <w:pgMar w:top="1420" w:bottom="280" w:left="720" w:right="720"/>
          <w:cols w:num="2" w:equalWidth="0">
            <w:col w:w="7842" w:space="1569"/>
            <w:col w:w="7979"/>
          </w:cols>
        </w:sectPr>
      </w:pPr>
    </w:p>
    <w:p>
      <w:pPr>
        <w:pStyle w:val="BodyText"/>
        <w:spacing w:before="5"/>
        <w:rPr>
          <w:sz w:val="26"/>
        </w:rPr>
      </w:pPr>
    </w:p>
    <w:p>
      <w:pPr>
        <w:spacing w:before="80"/>
        <w:ind w:left="2669" w:right="0" w:firstLine="0"/>
        <w:jc w:val="left"/>
        <w:rPr>
          <w:sz w:val="16"/>
        </w:rPr>
      </w:pPr>
      <w:r>
        <w:rPr/>
        <w:pict>
          <v:group style="position:absolute;margin-left:513.070923pt;margin-top:-.496077pt;width:384.55pt;height:319.350pt;mso-position-horizontal-relative:page;mso-position-vertical-relative:paragraph;z-index:1480" coordorigin="10261,-10" coordsize="7691,6387">
            <v:line style="position:absolute" from="10332,0" to="12358,0" stroked="true" strokeweight="1pt" strokecolor="#929292">
              <v:stroke dashstyle="dash"/>
            </v:line>
            <v:shape style="position:absolute;left:0;top:11612;width:2117;height:2" coordorigin="0,11612" coordsize="2117,0" path="m10271,0l10271,0m12388,0l12388,0e" filled="false" stroked="true" strokeweight="1pt" strokecolor="#929292">
              <v:path arrowok="t"/>
            </v:shape>
            <v:line style="position:absolute" from="12448,0" to="17912,0" stroked="true" strokeweight="1pt" strokecolor="#929292">
              <v:stroke dashstyle="dash"/>
            </v:line>
            <v:shape style="position:absolute;left:0;top:11612;width:5554;height:2" coordorigin="0,11612" coordsize="5554,0" path="m12388,0l12388,0m17942,0l17942,0e" filled="false" stroked="true" strokeweight="1pt" strokecolor="#929292">
              <v:path arrowok="t"/>
            </v:shape>
            <v:line style="position:absolute" from="12388,4612" to="12388,30" stroked="true" strokeweight="1pt" strokecolor="#929292">
              <v:stroke dashstyle="dash"/>
            </v:line>
            <v:shape style="position:absolute;left:0;top:6940;width:2;height:4672" coordorigin="0,6940" coordsize="0,4672" path="m12388,4672l12388,4672m12388,0l12388,0e" filled="false" stroked="true" strokeweight="1pt" strokecolor="#929292">
              <v:path arrowok="t"/>
            </v:shape>
            <v:line style="position:absolute" from="12388,6306" to="12388,4702" stroked="true" strokeweight="1pt" strokecolor="#929292">
              <v:stroke dashstyle="dash"/>
            </v:line>
            <v:shape style="position:absolute;left:0;top:9918;width:2;height:1695" coordorigin="0,9918" coordsize="0,1695" path="m12388,6366l12388,6366m12388,4672l12388,4672e" filled="false" stroked="true" strokeweight="1pt" strokecolor="#929292">
              <v:path arrowok="t"/>
            </v:shape>
            <v:line style="position:absolute" from="10332,4672" to="12358,4672" stroked="true" strokeweight="1pt" strokecolor="#929292">
              <v:stroke dashstyle="dash"/>
            </v:line>
            <v:shape style="position:absolute;left:0;top:11612;width:2117;height:2" coordorigin="0,11612" coordsize="2117,0" path="m10271,4672l10271,4672m12388,4672l12388,4672e" filled="false" stroked="true" strokeweight="1pt" strokecolor="#929292">
              <v:path arrowok="t"/>
            </v:shape>
            <v:line style="position:absolute" from="12448,4672" to="17912,4672" stroked="true" strokeweight="1pt" strokecolor="#929292">
              <v:stroke dashstyle="dash"/>
            </v:line>
            <v:shape style="position:absolute;left:0;top:11612;width:5554;height:2" coordorigin="0,11612" coordsize="5554,0" path="m12388,4672l12388,4672m17942,4672l17942,4672e" filled="false" stroked="true" strokeweight="1pt" strokecolor="#929292">
              <v:path arrowok="t"/>
            </v:shape>
            <v:shape style="position:absolute;left:12639;top:2136;width:4199;height:2390" type="#_x0000_t75" stroked="false">
              <v:imagedata r:id="rId31" o:title=""/>
            </v:shape>
            <v:shape style="position:absolute;left:10511;top:133;width:1238;height:200" type="#_x0000_t202" filled="false" stroked="false">
              <v:textbox inset="0,0,0,0">
                <w:txbxContent>
                  <w:p>
                    <w:pPr>
                      <w:spacing w:line="200" w:lineRule="exact" w:before="0"/>
                      <w:ind w:left="0" w:right="0" w:firstLine="0"/>
                      <w:jc w:val="left"/>
                      <w:rPr>
                        <w:sz w:val="20"/>
                      </w:rPr>
                    </w:pPr>
                    <w:r>
                      <w:rPr>
                        <w:sz w:val="20"/>
                      </w:rPr>
                      <w:t>4.   Ecológica</w:t>
                    </w:r>
                  </w:p>
                </w:txbxContent>
              </v:textbox>
              <w10:wrap type="none"/>
            </v:shape>
            <v:shape style="position:absolute;left:12468;top:133;width:5404;height:1880" type="#_x0000_t202" filled="false" stroked="false">
              <v:textbox inset="0,0,0,0">
                <w:txbxContent>
                  <w:p>
                    <w:pPr>
                      <w:spacing w:line="206" w:lineRule="exact" w:before="0"/>
                      <w:ind w:left="0" w:right="0" w:firstLine="170"/>
                      <w:jc w:val="left"/>
                      <w:rPr>
                        <w:sz w:val="20"/>
                      </w:rPr>
                    </w:pPr>
                    <w:r>
                      <w:rPr>
                        <w:sz w:val="20"/>
                      </w:rPr>
                      <w:t>El  creciente  área  de  la  zona  urbanizada  aumenta     el</w:t>
                    </w:r>
                  </w:p>
                  <w:p>
                    <w:pPr>
                      <w:spacing w:line="249" w:lineRule="auto" w:before="10"/>
                      <w:ind w:left="0" w:right="0" w:firstLine="0"/>
                      <w:jc w:val="both"/>
                      <w:rPr>
                        <w:sz w:val="20"/>
                      </w:rPr>
                    </w:pPr>
                    <w:r>
                      <w:rPr>
                        <w:sz w:val="20"/>
                      </w:rPr>
                      <w:t>proceso de la perdida de terrenos. También contribuye</w:t>
                    </w:r>
                    <w:r>
                      <w:rPr>
                        <w:spacing w:val="36"/>
                        <w:sz w:val="20"/>
                      </w:rPr>
                      <w:t> </w:t>
                    </w:r>
                    <w:r>
                      <w:rPr>
                        <w:sz w:val="20"/>
                      </w:rPr>
                      <w:t>a</w:t>
                    </w:r>
                    <w:r>
                      <w:rPr>
                        <w:spacing w:val="18"/>
                        <w:sz w:val="20"/>
                      </w:rPr>
                      <w:t> </w:t>
                    </w:r>
                    <w:r>
                      <w:rPr>
                        <w:sz w:val="20"/>
                      </w:rPr>
                      <w:t>la</w:t>
                    </w:r>
                    <w:r>
                      <w:rPr>
                        <w:w w:val="97"/>
                        <w:sz w:val="20"/>
                      </w:rPr>
                      <w:t> </w:t>
                    </w:r>
                    <w:r>
                      <w:rPr>
                        <w:sz w:val="20"/>
                      </w:rPr>
                      <w:t>contaminación del medio ambiente.  Aparecen  problemas  en el suministro de agua y de los terrenos adecuados, la deforestación, la desertificación, los problemas de salud relacionados con la vida en el ambiente inadecuado. Ilustración 3. Fotografía de los barrios periféricos (en el desierto) en</w:t>
                    </w:r>
                    <w:r>
                      <w:rPr>
                        <w:spacing w:val="-8"/>
                        <w:sz w:val="20"/>
                      </w:rPr>
                      <w:t> </w:t>
                    </w:r>
                    <w:r>
                      <w:rPr>
                        <w:sz w:val="20"/>
                      </w:rPr>
                      <w:t>Lima</w:t>
                    </w:r>
                  </w:p>
                </w:txbxContent>
              </v:textbox>
              <w10:wrap type="none"/>
            </v:shape>
            <v:shape style="position:absolute;left:10511;top:4933;width:7361;height:1400" type="#_x0000_t202" filled="false" stroked="false">
              <v:textbox inset="0,0,0,0">
                <w:txbxContent>
                  <w:p>
                    <w:pPr>
                      <w:tabs>
                        <w:tab w:pos="2126" w:val="left" w:leader="none"/>
                      </w:tabs>
                      <w:spacing w:line="206" w:lineRule="exact" w:before="0"/>
                      <w:ind w:left="360" w:right="0" w:hanging="360"/>
                      <w:jc w:val="left"/>
                      <w:rPr>
                        <w:sz w:val="20"/>
                      </w:rPr>
                    </w:pPr>
                    <w:r>
                      <w:rPr>
                        <w:sz w:val="20"/>
                      </w:rPr>
                      <w:t>5.  </w:t>
                    </w:r>
                    <w:r>
                      <w:rPr>
                        <w:spacing w:val="33"/>
                        <w:sz w:val="20"/>
                      </w:rPr>
                      <w:t> </w:t>
                    </w:r>
                    <w:r>
                      <w:rPr>
                        <w:sz w:val="20"/>
                      </w:rPr>
                      <w:t>Administrativa</w:t>
                    </w:r>
                    <w:r>
                      <w:rPr>
                        <w:spacing w:val="12"/>
                        <w:sz w:val="20"/>
                      </w:rPr>
                      <w:t> </w:t>
                    </w:r>
                    <w:r>
                      <w:rPr>
                        <w:sz w:val="20"/>
                      </w:rPr>
                      <w:t>y</w:t>
                      <w:tab/>
                      <w:t>Los   habitantes   de   clase   media   baja   y   popular </w:t>
                    </w:r>
                    <w:r>
                      <w:rPr>
                        <w:spacing w:val="5"/>
                        <w:sz w:val="20"/>
                      </w:rPr>
                      <w:t> </w:t>
                    </w:r>
                    <w:r>
                      <w:rPr>
                        <w:sz w:val="20"/>
                      </w:rPr>
                      <w:t>con</w:t>
                    </w:r>
                  </w:p>
                  <w:p>
                    <w:pPr>
                      <w:tabs>
                        <w:tab w:pos="1956" w:val="left" w:leader="none"/>
                      </w:tabs>
                      <w:spacing w:line="249" w:lineRule="auto" w:before="10"/>
                      <w:ind w:left="1957" w:right="0" w:hanging="1597"/>
                      <w:jc w:val="both"/>
                      <w:rPr>
                        <w:sz w:val="20"/>
                      </w:rPr>
                    </w:pPr>
                    <w:r>
                      <w:rPr>
                        <w:sz w:val="20"/>
                      </w:rPr>
                      <w:t>política</w:t>
                      <w:tab/>
                      <w:t>frecuencia</w:t>
                    </w:r>
                    <w:r>
                      <w:rPr>
                        <w:spacing w:val="30"/>
                        <w:sz w:val="20"/>
                      </w:rPr>
                      <w:t> </w:t>
                    </w:r>
                    <w:r>
                      <w:rPr>
                        <w:sz w:val="20"/>
                      </w:rPr>
                      <w:t>no</w:t>
                    </w:r>
                    <w:r>
                      <w:rPr>
                        <w:spacing w:val="30"/>
                        <w:sz w:val="20"/>
                      </w:rPr>
                      <w:t> </w:t>
                    </w:r>
                    <w:r>
                      <w:rPr>
                        <w:sz w:val="20"/>
                      </w:rPr>
                      <w:t>participan</w:t>
                    </w:r>
                    <w:r>
                      <w:rPr>
                        <w:spacing w:val="30"/>
                        <w:sz w:val="20"/>
                      </w:rPr>
                      <w:t> </w:t>
                    </w:r>
                    <w:r>
                      <w:rPr>
                        <w:sz w:val="20"/>
                      </w:rPr>
                      <w:t>en</w:t>
                    </w:r>
                    <w:r>
                      <w:rPr>
                        <w:spacing w:val="30"/>
                        <w:sz w:val="20"/>
                      </w:rPr>
                      <w:t> </w:t>
                    </w:r>
                    <w:r>
                      <w:rPr>
                        <w:sz w:val="20"/>
                      </w:rPr>
                      <w:t>la</w:t>
                    </w:r>
                    <w:r>
                      <w:rPr>
                        <w:spacing w:val="30"/>
                        <w:sz w:val="20"/>
                      </w:rPr>
                      <w:t> </w:t>
                    </w:r>
                    <w:r>
                      <w:rPr>
                        <w:sz w:val="20"/>
                      </w:rPr>
                      <w:t>toma</w:t>
                    </w:r>
                    <w:r>
                      <w:rPr>
                        <w:spacing w:val="30"/>
                        <w:sz w:val="20"/>
                      </w:rPr>
                      <w:t> </w:t>
                    </w:r>
                    <w:r>
                      <w:rPr>
                        <w:sz w:val="20"/>
                      </w:rPr>
                      <w:t>de</w:t>
                    </w:r>
                    <w:r>
                      <w:rPr>
                        <w:spacing w:val="30"/>
                        <w:sz w:val="20"/>
                      </w:rPr>
                      <w:t> </w:t>
                    </w:r>
                    <w:r>
                      <w:rPr>
                        <w:sz w:val="20"/>
                      </w:rPr>
                      <w:t>decisión</w:t>
                    </w:r>
                    <w:r>
                      <w:rPr>
                        <w:spacing w:val="30"/>
                        <w:sz w:val="20"/>
                      </w:rPr>
                      <w:t> </w:t>
                    </w:r>
                    <w:r>
                      <w:rPr>
                        <w:sz w:val="20"/>
                      </w:rPr>
                      <w:t>lo</w:t>
                    </w:r>
                    <w:r>
                      <w:rPr>
                        <w:spacing w:val="30"/>
                        <w:sz w:val="20"/>
                      </w:rPr>
                      <w:t> </w:t>
                    </w:r>
                    <w:r>
                      <w:rPr>
                        <w:sz w:val="20"/>
                      </w:rPr>
                      <w:t>que</w:t>
                    </w:r>
                    <w:r>
                      <w:rPr>
                        <w:spacing w:val="30"/>
                        <w:sz w:val="20"/>
                      </w:rPr>
                      <w:t> </w:t>
                    </w:r>
                    <w:r>
                      <w:rPr>
                        <w:sz w:val="20"/>
                      </w:rPr>
                      <w:t>les</w:t>
                    </w:r>
                    <w:r>
                      <w:rPr>
                        <w:w w:val="98"/>
                        <w:sz w:val="20"/>
                      </w:rPr>
                      <w:t> </w:t>
                    </w:r>
                    <w:r>
                      <w:rPr>
                        <w:sz w:val="20"/>
                      </w:rPr>
                      <w:t>dificulta provocar los cambios de la vida en los barrios. Sin embargo se observa la activación de la población de los barrios periféricos y su influencia en las políticas locales y</w:t>
                    </w:r>
                    <w:r>
                      <w:rPr>
                        <w:spacing w:val="-4"/>
                        <w:sz w:val="20"/>
                      </w:rPr>
                      <w:t> </w:t>
                    </w:r>
                    <w:r>
                      <w:rPr>
                        <w:sz w:val="20"/>
                      </w:rPr>
                      <w:t>en las actividades que mejoran las posibilidades</w:t>
                    </w:r>
                    <w:r>
                      <w:rPr>
                        <w:spacing w:val="38"/>
                        <w:sz w:val="20"/>
                      </w:rPr>
                      <w:t> </w:t>
                    </w:r>
                    <w:r>
                      <w:rPr>
                        <w:sz w:val="20"/>
                      </w:rPr>
                      <w:t>laborales.</w:t>
                    </w:r>
                  </w:p>
                </w:txbxContent>
              </v:textbox>
              <w10:wrap type="none"/>
            </v:shape>
            <w10:wrap type="none"/>
          </v:group>
        </w:pict>
      </w:r>
      <w:r>
        <w:rPr>
          <w:color w:val="6D6E71"/>
          <w:sz w:val="16"/>
        </w:rPr>
        <w:t>Tab. 1. Tipos de las vulnerabilidades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pPr>
    </w:p>
    <w:p>
      <w:pPr>
        <w:spacing w:before="80"/>
        <w:ind w:left="0" w:right="2780" w:firstLine="0"/>
        <w:jc w:val="right"/>
        <w:rPr>
          <w:sz w:val="16"/>
        </w:rPr>
      </w:pPr>
      <w:r>
        <w:rPr/>
        <w:pict>
          <v:group style="position:absolute;margin-left:42.0098pt;margin-top:-305.661102pt;width:384.55pt;height:437pt;mso-position-horizontal-relative:page;mso-position-vertical-relative:paragraph;z-index:1384" coordorigin="840,-6113" coordsize="7691,8740">
            <v:line style="position:absolute" from="2967,-1280" to="2967,-6073" stroked="true" strokeweight="1pt" strokecolor="#929292">
              <v:stroke dashstyle="dash"/>
            </v:line>
            <v:shape style="position:absolute;left:0;top:249;width:2;height:4884" coordorigin="0,249" coordsize="0,4884" path="m2967,-1220l2967,-1220m2967,-6103l2967,-6103e" filled="false" stroked="true" strokeweight="1pt" strokecolor="#929292">
              <v:path arrowok="t"/>
            </v:shape>
            <v:line style="position:absolute" from="911,-1220" to="2937,-1220" stroked="true" strokeweight="1pt" strokecolor="#929292">
              <v:stroke dashstyle="dash"/>
            </v:line>
            <v:shape style="position:absolute;left:0;top:5132;width:2117;height:2" coordorigin="0,5132" coordsize="2117,0" path="m850,-1220l850,-1220m2967,-1220l2967,-1220e" filled="false" stroked="true" strokeweight="1pt" strokecolor="#929292">
              <v:path arrowok="t"/>
            </v:shape>
            <v:line style="position:absolute" from="3027,-1220" to="8491,-1220" stroked="true" strokeweight="1pt" strokecolor="#929292">
              <v:stroke dashstyle="dash"/>
            </v:line>
            <v:shape style="position:absolute;left:0;top:5132;width:5554;height:2" coordorigin="0,5132" coordsize="5554,0" path="m2967,-1220l2967,-1220m8520,-1220l8520,-1220e" filled="false" stroked="true" strokeweight="1pt" strokecolor="#929292">
              <v:path arrowok="t"/>
            </v:shape>
            <v:line style="position:absolute" from="2967,880" to="2967,-1190" stroked="true" strokeweight="1pt" strokecolor="#929292">
              <v:stroke dashstyle="dash"/>
            </v:line>
            <v:shape style="position:absolute;left:0;top:2972;width:2;height:2160" coordorigin="0,2972" coordsize="0,2160" path="m2967,940l2967,940m2967,-1220l2967,-1220e" filled="false" stroked="true" strokeweight="1pt" strokecolor="#929292">
              <v:path arrowok="t"/>
            </v:shape>
            <v:line style="position:absolute" from="911,940" to="2937,940" stroked="true" strokeweight="1pt" strokecolor="#929292">
              <v:stroke dashstyle="dash"/>
            </v:line>
            <v:shape style="position:absolute;left:0;top:5132;width:2117;height:2" coordorigin="0,5132" coordsize="2117,0" path="m850,940l850,940m2967,940l2967,940e" filled="false" stroked="true" strokeweight="1pt" strokecolor="#929292">
              <v:path arrowok="t"/>
            </v:shape>
            <v:line style="position:absolute" from="3027,940" to="8491,940" stroked="true" strokeweight="1pt" strokecolor="#929292">
              <v:stroke dashstyle="dash"/>
            </v:line>
            <v:shape style="position:absolute;left:0;top:5132;width:5554;height:2" coordorigin="0,5132" coordsize="5554,0" path="m2967,940l2967,940m8520,940l8520,940e" filled="false" stroked="true" strokeweight="1pt" strokecolor="#929292">
              <v:path arrowok="t"/>
            </v:shape>
            <v:line style="position:absolute" from="2967,2556" to="2967,970" stroked="true" strokeweight="1pt" strokecolor="#929292">
              <v:stroke dashstyle="dash"/>
            </v:line>
            <v:shape style="position:absolute;left:0;top:3456;width:2;height:1677" coordorigin="0,3456" coordsize="0,1677" path="m2967,2616l2967,2616m2967,940l2967,940e" filled="false" stroked="true" strokeweight="1pt" strokecolor="#929292">
              <v:path arrowok="t"/>
            </v:shape>
            <v:line style="position:absolute" from="911,2616" to="2937,2616" stroked="true" strokeweight="1pt" strokecolor="#929292">
              <v:stroke dashstyle="dash"/>
            </v:line>
            <v:shape style="position:absolute;left:0;top:5132;width:2117;height:2" coordorigin="0,5132" coordsize="2117,0" path="m850,2616l850,2616m2967,2616l2967,2616e" filled="false" stroked="true" strokeweight="1pt" strokecolor="#929292">
              <v:path arrowok="t"/>
            </v:shape>
            <v:line style="position:absolute" from="3027,2616" to="8491,2616" stroked="true" strokeweight="1pt" strokecolor="#929292">
              <v:stroke dashstyle="dash"/>
            </v:line>
            <v:shape style="position:absolute;left:0;top:5132;width:5554;height:2" coordorigin="0,5132" coordsize="5554,0" path="m2967,2616l2967,2616m8520,2616l8520,2616e" filled="false" stroked="true" strokeweight="1pt" strokecolor="#929292">
              <v:path arrowok="t"/>
            </v:shape>
            <v:shape style="position:absolute;left:3217;top:-3733;width:4199;height:2149" type="#_x0000_t75" stroked="false">
              <v:imagedata r:id="rId32" o:title=""/>
            </v:shape>
            <v:shape style="position:absolute;left:1090;top:-6054;width:1501;height:200" type="#_x0000_t202" filled="false" stroked="false">
              <v:textbox inset="0,0,0,0">
                <w:txbxContent>
                  <w:p>
                    <w:pPr>
                      <w:spacing w:line="200" w:lineRule="exact" w:before="0"/>
                      <w:ind w:left="0" w:right="0" w:firstLine="0"/>
                      <w:jc w:val="left"/>
                      <w:rPr>
                        <w:sz w:val="20"/>
                      </w:rPr>
                    </w:pPr>
                    <w:r>
                      <w:rPr>
                        <w:sz w:val="20"/>
                      </w:rPr>
                      <w:t>1.   Demográfica</w:t>
                    </w:r>
                  </w:p>
                </w:txbxContent>
              </v:textbox>
              <w10:wrap type="none"/>
            </v:shape>
            <v:shape style="position:absolute;left:3047;top:-6054;width:5404;height:2120" type="#_x0000_t202" filled="false" stroked="false">
              <v:textbox inset="0,0,0,0">
                <w:txbxContent>
                  <w:p>
                    <w:pPr>
                      <w:spacing w:line="206" w:lineRule="exact" w:before="0"/>
                      <w:ind w:left="0" w:right="0" w:firstLine="0"/>
                      <w:jc w:val="both"/>
                      <w:rPr>
                        <w:sz w:val="20"/>
                      </w:rPr>
                    </w:pPr>
                    <w:r>
                      <w:rPr>
                        <w:sz w:val="20"/>
                      </w:rPr>
                      <w:t>La   concentración   de   la   población   en   un   lugar, sobre</w:t>
                    </w:r>
                  </w:p>
                  <w:p>
                    <w:pPr>
                      <w:spacing w:line="249" w:lineRule="auto" w:before="10"/>
                      <w:ind w:left="0" w:right="0" w:firstLine="0"/>
                      <w:jc w:val="both"/>
                      <w:rPr>
                        <w:sz w:val="20"/>
                      </w:rPr>
                    </w:pPr>
                    <w:r>
                      <w:rPr>
                        <w:sz w:val="20"/>
                      </w:rPr>
                      <w:t>todo inadecuado del punto de vista de las condiciones medioambientales aumenta la vulnerabilidad tanto de los habitantes como del terreno (se pueden</w:t>
                    </w:r>
                    <w:r>
                      <w:rPr>
                        <w:spacing w:val="2"/>
                        <w:sz w:val="20"/>
                      </w:rPr>
                      <w:t> </w:t>
                    </w:r>
                    <w:r>
                      <w:rPr>
                        <w:sz w:val="20"/>
                      </w:rPr>
                      <w:t>empeorar</w:t>
                    </w:r>
                    <w:r>
                      <w:rPr>
                        <w:spacing w:val="19"/>
                        <w:sz w:val="20"/>
                      </w:rPr>
                      <w:t> </w:t>
                    </w:r>
                    <w:r>
                      <w:rPr>
                        <w:sz w:val="20"/>
                      </w:rPr>
                      <w:t>más</w:t>
                    </w:r>
                    <w:r>
                      <w:rPr>
                        <w:w w:val="100"/>
                        <w:sz w:val="20"/>
                      </w:rPr>
                      <w:t> </w:t>
                    </w:r>
                    <w:r>
                      <w:rPr>
                        <w:sz w:val="20"/>
                      </w:rPr>
                      <w:t>condiciones). Por ejemplo esto se puede notar en el caso   de nuevas invasiones hasta los Cerros Orientales</w:t>
                    </w:r>
                    <w:r>
                      <w:rPr>
                        <w:spacing w:val="28"/>
                        <w:sz w:val="20"/>
                      </w:rPr>
                      <w:t> </w:t>
                    </w:r>
                    <w:r>
                      <w:rPr>
                        <w:sz w:val="20"/>
                      </w:rPr>
                      <w:t>en</w:t>
                    </w:r>
                    <w:r>
                      <w:rPr>
                        <w:spacing w:val="4"/>
                        <w:sz w:val="20"/>
                      </w:rPr>
                      <w:t> </w:t>
                    </w:r>
                    <w:r>
                      <w:rPr>
                        <w:sz w:val="20"/>
                      </w:rPr>
                      <w:t>Bogotá</w:t>
                    </w:r>
                    <w:r>
                      <w:rPr>
                        <w:w w:val="102"/>
                        <w:sz w:val="20"/>
                      </w:rPr>
                      <w:t> </w:t>
                    </w:r>
                    <w:r>
                      <w:rPr>
                        <w:sz w:val="20"/>
                      </w:rPr>
                      <w:t>donde tanto la población está afectada por el frio como el terreno por la deforestación (Czerny 2011). Ilustración 2. Fotografías de los barrios en los Cerros</w:t>
                    </w:r>
                    <w:r>
                      <w:rPr>
                        <w:spacing w:val="1"/>
                        <w:sz w:val="20"/>
                      </w:rPr>
                      <w:t> </w:t>
                    </w:r>
                    <w:r>
                      <w:rPr>
                        <w:sz w:val="20"/>
                      </w:rPr>
                      <w:t>Orientales.</w:t>
                    </w:r>
                  </w:p>
                </w:txbxContent>
              </v:textbox>
              <w10:wrap type="none"/>
            </v:shape>
            <v:shape style="position:absolute;left:1090;top:-1160;width:1605;height:200" type="#_x0000_t202" filled="false" stroked="false">
              <v:textbox inset="0,0,0,0">
                <w:txbxContent>
                  <w:p>
                    <w:pPr>
                      <w:spacing w:line="200" w:lineRule="exact" w:before="0"/>
                      <w:ind w:left="0" w:right="-16" w:firstLine="0"/>
                      <w:jc w:val="left"/>
                      <w:rPr>
                        <w:sz w:val="20"/>
                      </w:rPr>
                    </w:pPr>
                    <w:r>
                      <w:rPr>
                        <w:sz w:val="20"/>
                      </w:rPr>
                      <w:t>2.    Socio-cultural</w:t>
                    </w:r>
                  </w:p>
                </w:txbxContent>
              </v:textbox>
              <w10:wrap type="none"/>
            </v:shape>
            <v:shape style="position:absolute;left:3047;top:-1067;width:5404;height:1640" type="#_x0000_t202" filled="false" stroked="false">
              <v:textbox inset="0,0,0,0">
                <w:txbxContent>
                  <w:p>
                    <w:pPr>
                      <w:spacing w:line="206" w:lineRule="exact" w:before="0"/>
                      <w:ind w:left="0" w:right="0" w:firstLine="0"/>
                      <w:jc w:val="both"/>
                      <w:rPr>
                        <w:sz w:val="20"/>
                      </w:rPr>
                    </w:pPr>
                    <w:r>
                      <w:rPr>
                        <w:sz w:val="20"/>
                      </w:rPr>
                      <w:t>Los</w:t>
                    </w:r>
                    <w:r>
                      <w:rPr>
                        <w:spacing w:val="-22"/>
                        <w:sz w:val="20"/>
                      </w:rPr>
                      <w:t> </w:t>
                    </w:r>
                    <w:r>
                      <w:rPr>
                        <w:sz w:val="20"/>
                      </w:rPr>
                      <w:t>habitantes</w:t>
                    </w:r>
                    <w:r>
                      <w:rPr>
                        <w:spacing w:val="-22"/>
                        <w:sz w:val="20"/>
                      </w:rPr>
                      <w:t> </w:t>
                    </w:r>
                    <w:r>
                      <w:rPr>
                        <w:sz w:val="20"/>
                      </w:rPr>
                      <w:t>de</w:t>
                    </w:r>
                    <w:r>
                      <w:rPr>
                        <w:spacing w:val="-22"/>
                        <w:sz w:val="20"/>
                      </w:rPr>
                      <w:t> </w:t>
                    </w:r>
                    <w:r>
                      <w:rPr>
                        <w:sz w:val="20"/>
                      </w:rPr>
                      <w:t>las</w:t>
                    </w:r>
                    <w:r>
                      <w:rPr>
                        <w:spacing w:val="-22"/>
                        <w:sz w:val="20"/>
                      </w:rPr>
                      <w:t> </w:t>
                    </w:r>
                    <w:r>
                      <w:rPr>
                        <w:sz w:val="20"/>
                      </w:rPr>
                      <w:t>ciudades,</w:t>
                    </w:r>
                    <w:r>
                      <w:rPr>
                        <w:spacing w:val="-22"/>
                        <w:sz w:val="20"/>
                      </w:rPr>
                      <w:t> </w:t>
                    </w:r>
                    <w:r>
                      <w:rPr>
                        <w:sz w:val="20"/>
                      </w:rPr>
                      <w:t>especialmente</w:t>
                    </w:r>
                    <w:r>
                      <w:rPr>
                        <w:spacing w:val="-22"/>
                        <w:sz w:val="20"/>
                      </w:rPr>
                      <w:t> </w:t>
                    </w:r>
                    <w:r>
                      <w:rPr>
                        <w:sz w:val="20"/>
                      </w:rPr>
                      <w:t>los</w:t>
                    </w:r>
                    <w:r>
                      <w:rPr>
                        <w:spacing w:val="-22"/>
                        <w:sz w:val="20"/>
                      </w:rPr>
                      <w:t> </w:t>
                    </w:r>
                    <w:r>
                      <w:rPr>
                        <w:sz w:val="20"/>
                      </w:rPr>
                      <w:t>inmigrantes</w:t>
                    </w:r>
                  </w:p>
                  <w:p>
                    <w:pPr>
                      <w:spacing w:line="249" w:lineRule="auto" w:before="10"/>
                      <w:ind w:left="0" w:right="0" w:firstLine="0"/>
                      <w:jc w:val="both"/>
                      <w:rPr>
                        <w:sz w:val="20"/>
                      </w:rPr>
                    </w:pPr>
                    <w:r>
                      <w:rPr>
                        <w:sz w:val="20"/>
                      </w:rPr>
                      <w:t>del campo recién venidos están sometidos a los procesos de</w:t>
                    </w:r>
                    <w:r>
                      <w:rPr>
                        <w:w w:val="101"/>
                        <w:sz w:val="20"/>
                      </w:rPr>
                      <w:t> </w:t>
                    </w:r>
                    <w:r>
                      <w:rPr>
                        <w:sz w:val="20"/>
                      </w:rPr>
                      <w:t>segregación, marginalización y exclusión. Esto no apoya al salir adelante en la ciudad y al desarrollo en general.</w:t>
                    </w:r>
                  </w:p>
                  <w:p>
                    <w:pPr>
                      <w:spacing w:line="249" w:lineRule="auto" w:before="1"/>
                      <w:ind w:left="0" w:right="0" w:firstLine="0"/>
                      <w:jc w:val="both"/>
                      <w:rPr>
                        <w:sz w:val="20"/>
                      </w:rPr>
                    </w:pPr>
                    <w:r>
                      <w:rPr>
                        <w:sz w:val="20"/>
                      </w:rPr>
                      <w:t>La división cultural entre el campo y la ciudad y entre los grupos autóctonas y los Mestizos profundiza el aislamiento social y físico.</w:t>
                    </w:r>
                  </w:p>
                </w:txbxContent>
              </v:textbox>
              <w10:wrap type="none"/>
            </v:shape>
            <v:shape style="position:absolute;left:1090;top:1000;width:1361;height:200" type="#_x0000_t202" filled="false" stroked="false">
              <v:textbox inset="0,0,0,0">
                <w:txbxContent>
                  <w:p>
                    <w:pPr>
                      <w:spacing w:line="200" w:lineRule="exact" w:before="0"/>
                      <w:ind w:left="0" w:right="0" w:firstLine="0"/>
                      <w:jc w:val="left"/>
                      <w:rPr>
                        <w:sz w:val="20"/>
                      </w:rPr>
                    </w:pPr>
                    <w:r>
                      <w:rPr>
                        <w:sz w:val="20"/>
                      </w:rPr>
                      <w:t>3.   Económica</w:t>
                    </w:r>
                  </w:p>
                </w:txbxContent>
              </v:textbox>
              <w10:wrap type="none"/>
            </v:shape>
            <v:shape style="position:absolute;left:3047;top:1093;width:5404;height:1400" type="#_x0000_t202" filled="false" stroked="false">
              <v:textbox inset="0,0,0,0">
                <w:txbxContent>
                  <w:p>
                    <w:pPr>
                      <w:spacing w:line="206" w:lineRule="exact" w:before="0"/>
                      <w:ind w:left="0" w:right="0" w:firstLine="56"/>
                      <w:jc w:val="both"/>
                      <w:rPr>
                        <w:sz w:val="20"/>
                      </w:rPr>
                    </w:pPr>
                    <w:r>
                      <w:rPr>
                        <w:sz w:val="20"/>
                      </w:rPr>
                      <w:t>La</w:t>
                    </w:r>
                    <w:r>
                      <w:rPr>
                        <w:spacing w:val="-12"/>
                        <w:sz w:val="20"/>
                      </w:rPr>
                      <w:t> </w:t>
                    </w:r>
                    <w:r>
                      <w:rPr>
                        <w:sz w:val="20"/>
                      </w:rPr>
                      <w:t>gente</w:t>
                    </w:r>
                    <w:r>
                      <w:rPr>
                        <w:spacing w:val="-12"/>
                        <w:sz w:val="20"/>
                      </w:rPr>
                      <w:t> </w:t>
                    </w:r>
                    <w:r>
                      <w:rPr>
                        <w:sz w:val="20"/>
                      </w:rPr>
                      <w:t>pobre</w:t>
                    </w:r>
                    <w:r>
                      <w:rPr>
                        <w:spacing w:val="-12"/>
                        <w:sz w:val="20"/>
                      </w:rPr>
                      <w:t> </w:t>
                    </w:r>
                    <w:r>
                      <w:rPr>
                        <w:sz w:val="20"/>
                      </w:rPr>
                      <w:t>está</w:t>
                    </w:r>
                    <w:r>
                      <w:rPr>
                        <w:spacing w:val="-12"/>
                        <w:sz w:val="20"/>
                      </w:rPr>
                      <w:t> </w:t>
                    </w:r>
                    <w:r>
                      <w:rPr>
                        <w:sz w:val="20"/>
                      </w:rPr>
                      <w:t>más</w:t>
                    </w:r>
                    <w:r>
                      <w:rPr>
                        <w:spacing w:val="-12"/>
                        <w:sz w:val="20"/>
                      </w:rPr>
                      <w:t> </w:t>
                    </w:r>
                    <w:r>
                      <w:rPr>
                        <w:sz w:val="20"/>
                      </w:rPr>
                      <w:t>vulnerable</w:t>
                    </w:r>
                    <w:r>
                      <w:rPr>
                        <w:spacing w:val="-12"/>
                        <w:sz w:val="20"/>
                      </w:rPr>
                      <w:t> </w:t>
                    </w:r>
                    <w:r>
                      <w:rPr>
                        <w:sz w:val="20"/>
                      </w:rPr>
                      <w:t>a</w:t>
                    </w:r>
                    <w:r>
                      <w:rPr>
                        <w:spacing w:val="-12"/>
                        <w:sz w:val="20"/>
                      </w:rPr>
                      <w:t> </w:t>
                    </w:r>
                    <w:r>
                      <w:rPr>
                        <w:sz w:val="20"/>
                      </w:rPr>
                      <w:t>las</w:t>
                    </w:r>
                    <w:r>
                      <w:rPr>
                        <w:spacing w:val="-12"/>
                        <w:sz w:val="20"/>
                      </w:rPr>
                      <w:t> </w:t>
                    </w:r>
                    <w:r>
                      <w:rPr>
                        <w:sz w:val="20"/>
                      </w:rPr>
                      <w:t>crisis</w:t>
                    </w:r>
                    <w:r>
                      <w:rPr>
                        <w:spacing w:val="-12"/>
                        <w:sz w:val="20"/>
                      </w:rPr>
                      <w:t> </w:t>
                    </w:r>
                    <w:r>
                      <w:rPr>
                        <w:sz w:val="20"/>
                      </w:rPr>
                      <w:t>económicos</w:t>
                    </w:r>
                    <w:r>
                      <w:rPr>
                        <w:spacing w:val="-12"/>
                        <w:sz w:val="20"/>
                      </w:rPr>
                      <w:t> </w:t>
                    </w:r>
                    <w:r>
                      <w:rPr>
                        <w:sz w:val="20"/>
                      </w:rPr>
                      <w:t>y</w:t>
                    </w:r>
                  </w:p>
                  <w:p>
                    <w:pPr>
                      <w:spacing w:line="249" w:lineRule="auto" w:before="10"/>
                      <w:ind w:left="0" w:right="0" w:firstLine="0"/>
                      <w:jc w:val="both"/>
                      <w:rPr>
                        <w:sz w:val="20"/>
                      </w:rPr>
                    </w:pPr>
                    <w:r>
                      <w:rPr>
                        <w:sz w:val="20"/>
                      </w:rPr>
                      <w:t>fluctuaciones</w:t>
                    </w:r>
                    <w:r>
                      <w:rPr>
                        <w:spacing w:val="-10"/>
                        <w:sz w:val="20"/>
                      </w:rPr>
                      <w:t> </w:t>
                    </w:r>
                    <w:r>
                      <w:rPr>
                        <w:sz w:val="20"/>
                      </w:rPr>
                      <w:t>en</w:t>
                    </w:r>
                    <w:r>
                      <w:rPr>
                        <w:spacing w:val="-10"/>
                        <w:sz w:val="20"/>
                      </w:rPr>
                      <w:t> </w:t>
                    </w:r>
                    <w:r>
                      <w:rPr>
                        <w:sz w:val="20"/>
                      </w:rPr>
                      <w:t>el</w:t>
                    </w:r>
                    <w:r>
                      <w:rPr>
                        <w:spacing w:val="-10"/>
                        <w:sz w:val="20"/>
                      </w:rPr>
                      <w:t> </w:t>
                    </w:r>
                    <w:r>
                      <w:rPr>
                        <w:sz w:val="20"/>
                      </w:rPr>
                      <w:t>mercado</w:t>
                    </w:r>
                    <w:r>
                      <w:rPr>
                        <w:spacing w:val="-10"/>
                        <w:sz w:val="20"/>
                      </w:rPr>
                      <w:t> </w:t>
                    </w:r>
                    <w:r>
                      <w:rPr>
                        <w:sz w:val="20"/>
                      </w:rPr>
                      <w:t>de</w:t>
                    </w:r>
                    <w:r>
                      <w:rPr>
                        <w:spacing w:val="-10"/>
                        <w:sz w:val="20"/>
                      </w:rPr>
                      <w:t> </w:t>
                    </w:r>
                    <w:r>
                      <w:rPr>
                        <w:sz w:val="20"/>
                      </w:rPr>
                      <w:t>trabajo.</w:t>
                    </w:r>
                    <w:r>
                      <w:rPr>
                        <w:spacing w:val="-10"/>
                        <w:sz w:val="20"/>
                      </w:rPr>
                      <w:t> </w:t>
                    </w:r>
                    <w:r>
                      <w:rPr>
                        <w:sz w:val="20"/>
                      </w:rPr>
                      <w:t>Además,</w:t>
                    </w:r>
                    <w:r>
                      <w:rPr>
                        <w:spacing w:val="-10"/>
                        <w:sz w:val="20"/>
                      </w:rPr>
                      <w:t> </w:t>
                    </w:r>
                    <w:r>
                      <w:rPr>
                        <w:sz w:val="20"/>
                      </w:rPr>
                      <w:t>como</w:t>
                    </w:r>
                    <w:r>
                      <w:rPr>
                        <w:spacing w:val="-10"/>
                        <w:sz w:val="20"/>
                      </w:rPr>
                      <w:t> </w:t>
                    </w:r>
                    <w:r>
                      <w:rPr>
                        <w:sz w:val="20"/>
                      </w:rPr>
                      <w:t>busca el empleo en el sector informal, este está más vulnerable</w:t>
                    </w:r>
                    <w:r>
                      <w:rPr>
                        <w:spacing w:val="-7"/>
                        <w:sz w:val="20"/>
                      </w:rPr>
                      <w:t> </w:t>
                    </w:r>
                    <w:r>
                      <w:rPr>
                        <w:sz w:val="20"/>
                      </w:rPr>
                      <w:t>por las amenazas de parte tanto de las instituciones estatales del trabajo como de la competencia entre las empresas que emplean o controlan el sector</w:t>
                    </w:r>
                    <w:r>
                      <w:rPr>
                        <w:spacing w:val="39"/>
                        <w:sz w:val="20"/>
                      </w:rPr>
                      <w:t> </w:t>
                    </w:r>
                    <w:r>
                      <w:rPr>
                        <w:sz w:val="20"/>
                      </w:rPr>
                      <w:t>informal.</w:t>
                    </w:r>
                  </w:p>
                </w:txbxContent>
              </v:textbox>
              <w10:wrap type="none"/>
            </v:shape>
            <w10:wrap type="none"/>
          </v:group>
        </w:pict>
      </w:r>
      <w:r>
        <w:rPr>
          <w:color w:val="6D6E71"/>
          <w:sz w:val="16"/>
        </w:rPr>
        <w:t>Fuente: elaboración propia, 2016.</w:t>
      </w:r>
    </w:p>
    <w:p>
      <w:pPr>
        <w:spacing w:after="0"/>
        <w:jc w:val="right"/>
        <w:rPr>
          <w:sz w:val="16"/>
        </w:rPr>
        <w:sectPr>
          <w:footerReference w:type="default" r:id="rId30"/>
          <w:pgSz w:w="18830" w:h="12760" w:orient="landscape"/>
          <w:pgMar w:footer="1036" w:header="522" w:top="820" w:bottom="1220" w:left="720" w:right="720"/>
        </w:sectPr>
      </w:pPr>
    </w:p>
    <w:p>
      <w:pPr>
        <w:pStyle w:val="BodyText"/>
        <w:spacing w:before="8"/>
      </w:pPr>
    </w:p>
    <w:p>
      <w:pPr>
        <w:spacing w:after="0"/>
        <w:sectPr>
          <w:footerReference w:type="default" r:id="rId33"/>
          <w:pgSz w:w="18830" w:h="12760" w:orient="landscape"/>
          <w:pgMar w:footer="1036" w:header="522" w:top="820" w:bottom="1220" w:left="720" w:right="720"/>
        </w:sectPr>
      </w:pPr>
    </w:p>
    <w:p>
      <w:pPr>
        <w:pStyle w:val="Heading1"/>
        <w:spacing w:before="71"/>
        <w:ind w:left="308"/>
      </w:pPr>
      <w:r>
        <w:rPr/>
        <w:t>Conclusiones</w:t>
      </w:r>
    </w:p>
    <w:p>
      <w:pPr>
        <w:pStyle w:val="BodyText"/>
        <w:rPr>
          <w:b/>
          <w:sz w:val="24"/>
        </w:rPr>
      </w:pPr>
    </w:p>
    <w:p>
      <w:pPr>
        <w:pStyle w:val="BodyText"/>
        <w:spacing w:line="249" w:lineRule="auto" w:before="205"/>
        <w:ind w:left="138" w:firstLine="170"/>
        <w:jc w:val="both"/>
      </w:pPr>
      <w:r>
        <w:rPr/>
        <w:t>Como resultado de la profundización del proceso de exclusión y de las divisiones sociales también sucede la fragmentación del espacio urbano. La imagen de este fenómeno son, por un lado, zonas residenciales ricas y excelentes en cuanto a la arquitectura y la ubicación de los centros comerciales y de oficinas y como el contraste extensas áreas de los sectores informales y populares con un nivel muy bajo de la vivienda. Según Mertins (2003) estos procesos ya se han producido antes en las ciudades de América Latina. Sin embargo las diferencias consisten en:</w:t>
      </w:r>
    </w:p>
    <w:p>
      <w:pPr>
        <w:pStyle w:val="BodyText"/>
        <w:spacing w:before="11"/>
      </w:pPr>
    </w:p>
    <w:p>
      <w:pPr>
        <w:pStyle w:val="ListParagraph"/>
        <w:numPr>
          <w:ilvl w:val="0"/>
          <w:numId w:val="3"/>
        </w:numPr>
        <w:tabs>
          <w:tab w:pos="669" w:val="left" w:leader="none"/>
        </w:tabs>
        <w:spacing w:line="249" w:lineRule="auto" w:before="0" w:after="0"/>
        <w:ind w:left="668" w:right="1" w:hanging="360"/>
        <w:jc w:val="both"/>
        <w:rPr>
          <w:sz w:val="20"/>
        </w:rPr>
      </w:pPr>
      <w:r>
        <w:rPr>
          <w:sz w:val="20"/>
        </w:rPr>
        <w:t>La velocidad o aceleración de cambio y de los movimientos de población dentro de una zona</w:t>
      </w:r>
      <w:r>
        <w:rPr>
          <w:spacing w:val="-6"/>
          <w:sz w:val="20"/>
        </w:rPr>
        <w:t> </w:t>
      </w:r>
      <w:r>
        <w:rPr>
          <w:sz w:val="20"/>
        </w:rPr>
        <w:t>urbanizada;</w:t>
      </w:r>
    </w:p>
    <w:p>
      <w:pPr>
        <w:pStyle w:val="ListParagraph"/>
        <w:numPr>
          <w:ilvl w:val="0"/>
          <w:numId w:val="3"/>
        </w:numPr>
        <w:tabs>
          <w:tab w:pos="669" w:val="left" w:leader="none"/>
        </w:tabs>
        <w:spacing w:line="249" w:lineRule="auto" w:before="1" w:after="0"/>
        <w:ind w:left="668" w:right="0" w:hanging="360"/>
        <w:jc w:val="both"/>
        <w:rPr>
          <w:sz w:val="20"/>
        </w:rPr>
      </w:pPr>
      <w:r>
        <w:rPr>
          <w:sz w:val="20"/>
        </w:rPr>
        <w:t>Rigidez</w:t>
      </w:r>
      <w:r>
        <w:rPr>
          <w:spacing w:val="-26"/>
          <w:sz w:val="20"/>
        </w:rPr>
        <w:t> </w:t>
      </w:r>
      <w:r>
        <w:rPr>
          <w:sz w:val="20"/>
        </w:rPr>
        <w:t>(durabilidad)</w:t>
      </w:r>
      <w:r>
        <w:rPr>
          <w:spacing w:val="-26"/>
          <w:sz w:val="20"/>
        </w:rPr>
        <w:t> </w:t>
      </w:r>
      <w:r>
        <w:rPr>
          <w:sz w:val="20"/>
        </w:rPr>
        <w:t>de</w:t>
      </w:r>
      <w:r>
        <w:rPr>
          <w:spacing w:val="-26"/>
          <w:sz w:val="20"/>
        </w:rPr>
        <w:t> </w:t>
      </w:r>
      <w:r>
        <w:rPr>
          <w:sz w:val="20"/>
        </w:rPr>
        <w:t>divisiones</w:t>
      </w:r>
      <w:r>
        <w:rPr>
          <w:spacing w:val="-26"/>
          <w:sz w:val="20"/>
        </w:rPr>
        <w:t> </w:t>
      </w:r>
      <w:r>
        <w:rPr>
          <w:sz w:val="20"/>
        </w:rPr>
        <w:t>sociales</w:t>
      </w:r>
      <w:r>
        <w:rPr>
          <w:spacing w:val="-26"/>
          <w:sz w:val="20"/>
        </w:rPr>
        <w:t> </w:t>
      </w:r>
      <w:r>
        <w:rPr>
          <w:sz w:val="20"/>
        </w:rPr>
        <w:t>y</w:t>
      </w:r>
      <w:r>
        <w:rPr>
          <w:spacing w:val="-26"/>
          <w:sz w:val="20"/>
        </w:rPr>
        <w:t> </w:t>
      </w:r>
      <w:r>
        <w:rPr>
          <w:sz w:val="20"/>
        </w:rPr>
        <w:t>de</w:t>
      </w:r>
      <w:r>
        <w:rPr>
          <w:spacing w:val="-26"/>
          <w:sz w:val="20"/>
        </w:rPr>
        <w:t> </w:t>
      </w:r>
      <w:r>
        <w:rPr>
          <w:sz w:val="20"/>
        </w:rPr>
        <w:t>sus</w:t>
      </w:r>
      <w:r>
        <w:rPr>
          <w:spacing w:val="-26"/>
          <w:sz w:val="20"/>
        </w:rPr>
        <w:t> </w:t>
      </w:r>
      <w:r>
        <w:rPr>
          <w:sz w:val="20"/>
        </w:rPr>
        <w:t>consecuencias,</w:t>
      </w:r>
      <w:r>
        <w:rPr>
          <w:spacing w:val="-26"/>
          <w:sz w:val="20"/>
        </w:rPr>
        <w:t> </w:t>
      </w:r>
      <w:r>
        <w:rPr>
          <w:sz w:val="20"/>
        </w:rPr>
        <w:t>especialmente para las capas medias y</w:t>
      </w:r>
      <w:r>
        <w:rPr>
          <w:spacing w:val="6"/>
          <w:sz w:val="20"/>
        </w:rPr>
        <w:t> </w:t>
      </w:r>
      <w:r>
        <w:rPr>
          <w:sz w:val="20"/>
        </w:rPr>
        <w:t>bajas;</w:t>
      </w:r>
    </w:p>
    <w:p>
      <w:pPr>
        <w:pStyle w:val="ListParagraph"/>
        <w:numPr>
          <w:ilvl w:val="0"/>
          <w:numId w:val="3"/>
        </w:numPr>
        <w:tabs>
          <w:tab w:pos="669" w:val="left" w:leader="none"/>
        </w:tabs>
        <w:spacing w:line="249" w:lineRule="auto" w:before="1" w:after="0"/>
        <w:ind w:left="668" w:right="0" w:hanging="360"/>
        <w:jc w:val="both"/>
        <w:rPr>
          <w:sz w:val="20"/>
        </w:rPr>
      </w:pPr>
      <w:r>
        <w:rPr>
          <w:sz w:val="20"/>
        </w:rPr>
        <w:t>El tamaño de algunos fenómenos espaciales característicos para el proceso de polarización (incluyendo la expansión de las comunidades cerradas, que Mertins llama urbanizaciones</w:t>
      </w:r>
      <w:r>
        <w:rPr>
          <w:spacing w:val="-9"/>
          <w:sz w:val="20"/>
        </w:rPr>
        <w:t> </w:t>
      </w:r>
      <w:r>
        <w:rPr>
          <w:sz w:val="20"/>
        </w:rPr>
        <w:t>privadas).</w:t>
      </w:r>
    </w:p>
    <w:p>
      <w:pPr>
        <w:pStyle w:val="BodyText"/>
        <w:spacing w:before="11"/>
      </w:pPr>
    </w:p>
    <w:p>
      <w:pPr>
        <w:pStyle w:val="BodyText"/>
        <w:spacing w:line="249" w:lineRule="auto"/>
        <w:ind w:left="138" w:firstLine="170"/>
        <w:jc w:val="both"/>
      </w:pPr>
      <w:r>
        <w:rPr/>
        <w:t>Los</w:t>
      </w:r>
      <w:r>
        <w:rPr>
          <w:spacing w:val="-8"/>
        </w:rPr>
        <w:t> </w:t>
      </w:r>
      <w:r>
        <w:rPr/>
        <w:t>procesos</w:t>
      </w:r>
      <w:r>
        <w:rPr>
          <w:spacing w:val="-8"/>
        </w:rPr>
        <w:t> </w:t>
      </w:r>
      <w:r>
        <w:rPr/>
        <w:t>y</w:t>
      </w:r>
      <w:r>
        <w:rPr>
          <w:spacing w:val="-8"/>
        </w:rPr>
        <w:t> </w:t>
      </w:r>
      <w:r>
        <w:rPr/>
        <w:t>los</w:t>
      </w:r>
      <w:r>
        <w:rPr>
          <w:spacing w:val="-8"/>
        </w:rPr>
        <w:t> </w:t>
      </w:r>
      <w:r>
        <w:rPr/>
        <w:t>fenómenos</w:t>
      </w:r>
      <w:r>
        <w:rPr>
          <w:spacing w:val="-8"/>
        </w:rPr>
        <w:t> </w:t>
      </w:r>
      <w:r>
        <w:rPr/>
        <w:t>antes</w:t>
      </w:r>
      <w:r>
        <w:rPr>
          <w:spacing w:val="-8"/>
        </w:rPr>
        <w:t> </w:t>
      </w:r>
      <w:r>
        <w:rPr/>
        <w:t>mencionados,</w:t>
      </w:r>
      <w:r>
        <w:rPr>
          <w:spacing w:val="-8"/>
        </w:rPr>
        <w:t> </w:t>
      </w:r>
      <w:r>
        <w:rPr/>
        <w:t>especialmente</w:t>
      </w:r>
      <w:r>
        <w:rPr>
          <w:spacing w:val="-8"/>
        </w:rPr>
        <w:t> </w:t>
      </w:r>
      <w:r>
        <w:rPr/>
        <w:t>desde</w:t>
      </w:r>
      <w:r>
        <w:rPr>
          <w:spacing w:val="-8"/>
        </w:rPr>
        <w:t> </w:t>
      </w:r>
      <w:r>
        <w:rPr/>
        <w:t>los</w:t>
      </w:r>
      <w:r>
        <w:rPr>
          <w:spacing w:val="-8"/>
        </w:rPr>
        <w:t> </w:t>
      </w:r>
      <w:r>
        <w:rPr/>
        <w:t>años</w:t>
      </w:r>
      <w:r>
        <w:rPr>
          <w:spacing w:val="-8"/>
        </w:rPr>
        <w:t> </w:t>
      </w:r>
      <w:r>
        <w:rPr/>
        <w:t>90. Han</w:t>
      </w:r>
      <w:r>
        <w:rPr>
          <w:spacing w:val="-5"/>
        </w:rPr>
        <w:t> </w:t>
      </w:r>
      <w:r>
        <w:rPr/>
        <w:t>contribuido</w:t>
      </w:r>
      <w:r>
        <w:rPr>
          <w:spacing w:val="-5"/>
        </w:rPr>
        <w:t> </w:t>
      </w:r>
      <w:r>
        <w:rPr/>
        <w:t>a</w:t>
      </w:r>
      <w:r>
        <w:rPr>
          <w:spacing w:val="-5"/>
        </w:rPr>
        <w:t> </w:t>
      </w:r>
      <w:r>
        <w:rPr/>
        <w:t>la</w:t>
      </w:r>
      <w:r>
        <w:rPr>
          <w:spacing w:val="-5"/>
        </w:rPr>
        <w:t> </w:t>
      </w:r>
      <w:r>
        <w:rPr/>
        <w:t>fragmentación</w:t>
      </w:r>
      <w:r>
        <w:rPr>
          <w:spacing w:val="-5"/>
        </w:rPr>
        <w:t> </w:t>
      </w:r>
      <w:r>
        <w:rPr/>
        <w:t>de</w:t>
      </w:r>
      <w:r>
        <w:rPr>
          <w:spacing w:val="-5"/>
        </w:rPr>
        <w:t> </w:t>
      </w:r>
      <w:r>
        <w:rPr/>
        <w:t>las</w:t>
      </w:r>
      <w:r>
        <w:rPr>
          <w:spacing w:val="-5"/>
        </w:rPr>
        <w:t> </w:t>
      </w:r>
      <w:r>
        <w:rPr/>
        <w:t>metrópolis</w:t>
      </w:r>
      <w:r>
        <w:rPr>
          <w:spacing w:val="-5"/>
        </w:rPr>
        <w:t> </w:t>
      </w:r>
      <w:r>
        <w:rPr/>
        <w:t>de</w:t>
      </w:r>
      <w:r>
        <w:rPr>
          <w:spacing w:val="-5"/>
        </w:rPr>
        <w:t> </w:t>
      </w:r>
      <w:r>
        <w:rPr/>
        <w:t>América</w:t>
      </w:r>
      <w:r>
        <w:rPr>
          <w:spacing w:val="-5"/>
        </w:rPr>
        <w:t> </w:t>
      </w:r>
      <w:r>
        <w:rPr/>
        <w:t>Latina.</w:t>
      </w:r>
      <w:r>
        <w:rPr>
          <w:spacing w:val="-5"/>
        </w:rPr>
        <w:t> </w:t>
      </w:r>
      <w:r>
        <w:rPr/>
        <w:t>Coy</w:t>
      </w:r>
      <w:r>
        <w:rPr>
          <w:spacing w:val="-5"/>
        </w:rPr>
        <w:t> </w:t>
      </w:r>
      <w:r>
        <w:rPr/>
        <w:t>(2002:</w:t>
      </w:r>
      <w:r>
        <w:rPr>
          <w:spacing w:val="-5"/>
        </w:rPr>
        <w:t> </w:t>
      </w:r>
      <w:r>
        <w:rPr/>
        <w:t>14) afirma</w:t>
      </w:r>
      <w:r>
        <w:rPr>
          <w:spacing w:val="-9"/>
        </w:rPr>
        <w:t> </w:t>
      </w:r>
      <w:r>
        <w:rPr/>
        <w:t>incluso</w:t>
      </w:r>
      <w:r>
        <w:rPr>
          <w:spacing w:val="-9"/>
        </w:rPr>
        <w:t> </w:t>
      </w:r>
      <w:r>
        <w:rPr/>
        <w:t>que</w:t>
      </w:r>
      <w:r>
        <w:rPr>
          <w:spacing w:val="-9"/>
        </w:rPr>
        <w:t> </w:t>
      </w:r>
      <w:r>
        <w:rPr/>
        <w:t>se</w:t>
      </w:r>
      <w:r>
        <w:rPr>
          <w:spacing w:val="-9"/>
        </w:rPr>
        <w:t> </w:t>
      </w:r>
      <w:r>
        <w:rPr/>
        <w:t>caracterizan</w:t>
      </w:r>
      <w:r>
        <w:rPr>
          <w:spacing w:val="-9"/>
        </w:rPr>
        <w:t> </w:t>
      </w:r>
      <w:r>
        <w:rPr/>
        <w:t>por</w:t>
      </w:r>
      <w:r>
        <w:rPr>
          <w:spacing w:val="-9"/>
        </w:rPr>
        <w:t> </w:t>
      </w:r>
      <w:r>
        <w:rPr/>
        <w:t>“la</w:t>
      </w:r>
      <w:r>
        <w:rPr>
          <w:spacing w:val="-9"/>
        </w:rPr>
        <w:t> </w:t>
      </w:r>
      <w:r>
        <w:rPr/>
        <w:t>estructura</w:t>
      </w:r>
      <w:r>
        <w:rPr>
          <w:spacing w:val="-9"/>
        </w:rPr>
        <w:t> </w:t>
      </w:r>
      <w:r>
        <w:rPr/>
        <w:t>de</w:t>
      </w:r>
      <w:r>
        <w:rPr>
          <w:spacing w:val="-9"/>
        </w:rPr>
        <w:t> </w:t>
      </w:r>
      <w:r>
        <w:rPr/>
        <w:t>las</w:t>
      </w:r>
      <w:r>
        <w:rPr>
          <w:spacing w:val="-9"/>
        </w:rPr>
        <w:t> </w:t>
      </w:r>
      <w:r>
        <w:rPr/>
        <w:t>fortificaciones</w:t>
      </w:r>
      <w:r>
        <w:rPr>
          <w:spacing w:val="-9"/>
        </w:rPr>
        <w:t> </w:t>
      </w:r>
      <w:r>
        <w:rPr/>
        <w:t>y</w:t>
      </w:r>
      <w:r>
        <w:rPr>
          <w:spacing w:val="-9"/>
        </w:rPr>
        <w:t> </w:t>
      </w:r>
      <w:r>
        <w:rPr/>
        <w:t>guetización”, que hoy en día es una característica reconocible de municipios de la región del</w:t>
      </w:r>
      <w:r>
        <w:rPr>
          <w:spacing w:val="-18"/>
        </w:rPr>
        <w:t> </w:t>
      </w:r>
      <w:r>
        <w:rPr/>
        <w:t>mundo. Al mismo tiempo, se puede ver que la creciente diversidad de los procesos urbanos- estructurales y de desarrollo, son la expresión de una profunda transformación de los socio-espaciales y funcionales (Mertins 2003: 2). El fortalecimiento de dichos procesos aumenta a la vulnerabilidad social</w:t>
      </w:r>
      <w:r>
        <w:rPr>
          <w:spacing w:val="9"/>
        </w:rPr>
        <w:t> </w:t>
      </w:r>
      <w:r>
        <w:rPr/>
        <w:t>urbana.</w:t>
      </w:r>
    </w:p>
    <w:p>
      <w:pPr>
        <w:pStyle w:val="Heading1"/>
        <w:spacing w:before="71"/>
        <w:ind w:left="308"/>
      </w:pPr>
      <w:r>
        <w:rPr>
          <w:b w:val="0"/>
        </w:rPr>
        <w:br w:type="column"/>
      </w:r>
      <w:r>
        <w:rPr/>
        <w:t>Referencias bibliográficas</w:t>
      </w:r>
    </w:p>
    <w:p>
      <w:pPr>
        <w:pStyle w:val="BodyText"/>
        <w:rPr>
          <w:b/>
          <w:sz w:val="21"/>
        </w:rPr>
      </w:pPr>
    </w:p>
    <w:p>
      <w:pPr>
        <w:pStyle w:val="BodyText"/>
        <w:spacing w:line="249" w:lineRule="auto"/>
        <w:ind w:left="762" w:right="128" w:hanging="624"/>
        <w:jc w:val="both"/>
      </w:pPr>
      <w:r>
        <w:rPr/>
        <w:t>Bähr J. 1978. Santiago de Chile. Eine faktorenanalytische Untersuchung zur inneren Differenzierung</w:t>
      </w:r>
      <w:r>
        <w:rPr>
          <w:spacing w:val="-9"/>
        </w:rPr>
        <w:t> </w:t>
      </w:r>
      <w:r>
        <w:rPr/>
        <w:t>einer</w:t>
      </w:r>
      <w:r>
        <w:rPr>
          <w:spacing w:val="-9"/>
        </w:rPr>
        <w:t> </w:t>
      </w:r>
      <w:r>
        <w:rPr/>
        <w:t>lateinamerikanischen</w:t>
      </w:r>
      <w:r>
        <w:rPr>
          <w:spacing w:val="-9"/>
        </w:rPr>
        <w:t> </w:t>
      </w:r>
      <w:r>
        <w:rPr/>
        <w:t>Millionenstadt.</w:t>
      </w:r>
      <w:r>
        <w:rPr>
          <w:spacing w:val="-9"/>
        </w:rPr>
        <w:t> </w:t>
      </w:r>
      <w:r>
        <w:rPr/>
        <w:t>Mannheimer</w:t>
      </w:r>
      <w:r>
        <w:rPr>
          <w:spacing w:val="-9"/>
        </w:rPr>
        <w:t> </w:t>
      </w:r>
      <w:r>
        <w:rPr/>
        <w:t>Geograf. Arb. 4. Mannheim.Bronger</w:t>
      </w:r>
      <w:r>
        <w:rPr>
          <w:spacing w:val="14"/>
        </w:rPr>
        <w:t> </w:t>
      </w:r>
      <w:r>
        <w:rPr/>
        <w:t>2004</w:t>
      </w:r>
    </w:p>
    <w:p>
      <w:pPr>
        <w:pStyle w:val="BodyText"/>
        <w:spacing w:before="11"/>
      </w:pPr>
    </w:p>
    <w:p>
      <w:pPr>
        <w:pStyle w:val="BodyText"/>
        <w:spacing w:line="249" w:lineRule="auto"/>
        <w:ind w:left="762" w:right="128" w:hanging="624"/>
        <w:jc w:val="both"/>
      </w:pPr>
      <w:r>
        <w:rPr/>
        <w:t>Bähr J., Mertins G. 1981. Idealschema der sozialräumlichen Differenzierung lateinamerikanischer Großstädte. </w:t>
      </w:r>
      <w:r>
        <w:rPr>
          <w:i/>
        </w:rPr>
        <w:t>Geographische Zeitung</w:t>
      </w:r>
      <w:r>
        <w:rPr/>
        <w:t>, Nr. 69 (1): 1-33.</w:t>
      </w:r>
    </w:p>
    <w:p>
      <w:pPr>
        <w:pStyle w:val="BodyText"/>
        <w:spacing w:before="11"/>
      </w:pPr>
    </w:p>
    <w:p>
      <w:pPr>
        <w:pStyle w:val="BodyText"/>
        <w:spacing w:line="249" w:lineRule="auto"/>
        <w:ind w:left="762" w:right="128" w:hanging="624"/>
        <w:jc w:val="both"/>
      </w:pPr>
      <w:r>
        <w:rPr/>
        <w:t>Bronger D. 2004. Metropolen, Megastädte, Globale Cities. Die Metropolisierung der Erde. Wissenschaftliches Buchgesellschaft. Darmstadt.</w:t>
      </w:r>
    </w:p>
    <w:p>
      <w:pPr>
        <w:pStyle w:val="BodyText"/>
        <w:spacing w:before="11"/>
      </w:pPr>
    </w:p>
    <w:p>
      <w:pPr>
        <w:pStyle w:val="BodyText"/>
        <w:spacing w:line="249" w:lineRule="auto"/>
        <w:ind w:left="762" w:right="127" w:hanging="624"/>
        <w:jc w:val="both"/>
      </w:pPr>
      <w:r>
        <w:rPr/>
        <w:t>Bronger D. 1997. Megastädte – Global Cities. Fünf Thesen. En: P. Feldbauer et. Al (red.).: Mega-Cities. Die Metropolen des Südens zwischen Globalisierung und Fragmentierung. Frankfurt.</w:t>
      </w:r>
    </w:p>
    <w:p>
      <w:pPr>
        <w:pStyle w:val="BodyText"/>
        <w:spacing w:before="11"/>
      </w:pPr>
    </w:p>
    <w:p>
      <w:pPr>
        <w:pStyle w:val="BodyText"/>
        <w:tabs>
          <w:tab w:pos="823" w:val="left" w:leader="none"/>
          <w:tab w:pos="1323" w:val="left" w:leader="none"/>
          <w:tab w:pos="2094" w:val="left" w:leader="none"/>
          <w:tab w:pos="3483" w:val="left" w:leader="none"/>
          <w:tab w:pos="4105" w:val="left" w:leader="none"/>
          <w:tab w:pos="4882" w:val="left" w:leader="none"/>
          <w:tab w:pos="5423" w:val="left" w:leader="none"/>
          <w:tab w:pos="6882" w:val="left" w:leader="none"/>
        </w:tabs>
        <w:ind w:left="138"/>
      </w:pPr>
      <w:r>
        <w:rPr/>
        <w:t>Coy,</w:t>
        <w:tab/>
        <w:t>M.</w:t>
        <w:tab/>
        <w:t>2002.</w:t>
        <w:tab/>
        <w:t>Megastädte:</w:t>
        <w:tab/>
        <w:t>São</w:t>
        <w:tab/>
        <w:t>Paulo</w:t>
        <w:tab/>
        <w:t>die</w:t>
        <w:tab/>
        <w:t>fragmentierte</w:t>
        <w:tab/>
        <w:t>Metropole.</w:t>
      </w:r>
    </w:p>
    <w:p>
      <w:pPr>
        <w:spacing w:before="10"/>
        <w:ind w:left="762" w:right="0" w:firstLine="0"/>
        <w:jc w:val="left"/>
        <w:rPr>
          <w:sz w:val="20"/>
        </w:rPr>
      </w:pPr>
      <w:r>
        <w:rPr>
          <w:i/>
          <w:sz w:val="20"/>
        </w:rPr>
        <w:t>Petermanns Geographische Mitteilungen</w:t>
      </w:r>
      <w:r>
        <w:rPr>
          <w:sz w:val="20"/>
        </w:rPr>
        <w:t>, 146, 6: 86-87.</w:t>
      </w:r>
    </w:p>
    <w:p>
      <w:pPr>
        <w:pStyle w:val="BodyText"/>
        <w:spacing w:before="8"/>
        <w:rPr>
          <w:sz w:val="21"/>
        </w:rPr>
      </w:pPr>
    </w:p>
    <w:p>
      <w:pPr>
        <w:pStyle w:val="BodyText"/>
        <w:ind w:left="138"/>
      </w:pPr>
      <w:r>
        <w:rPr/>
        <w:t>Coy, M., F. Kraas. 2003. Probleme der Urbanisierung in den Entwicklungsländern.</w:t>
      </w:r>
    </w:p>
    <w:p>
      <w:pPr>
        <w:pStyle w:val="BodyText"/>
        <w:spacing w:before="10"/>
        <w:ind w:left="762"/>
      </w:pPr>
      <w:r>
        <w:rPr/>
        <w:t>Petermanns Geographische Mitteilungen 147 (1): 32-41</w:t>
      </w:r>
    </w:p>
    <w:p>
      <w:pPr>
        <w:pStyle w:val="BodyText"/>
        <w:spacing w:before="8"/>
        <w:rPr>
          <w:sz w:val="21"/>
        </w:rPr>
      </w:pPr>
    </w:p>
    <w:p>
      <w:pPr>
        <w:pStyle w:val="BodyText"/>
        <w:ind w:right="127"/>
        <w:jc w:val="right"/>
      </w:pPr>
      <w:r>
        <w:rPr/>
        <w:t>Czerny M. 2014. Stare i nowe w przestrzeni miast Ameryki Lacinskiej. WUW, Warszawa.</w:t>
      </w:r>
    </w:p>
    <w:p>
      <w:pPr>
        <w:pStyle w:val="BodyText"/>
        <w:spacing w:before="8"/>
        <w:rPr>
          <w:sz w:val="21"/>
        </w:rPr>
      </w:pPr>
    </w:p>
    <w:p>
      <w:pPr>
        <w:pStyle w:val="BodyText"/>
        <w:spacing w:line="249" w:lineRule="auto"/>
        <w:ind w:left="43" w:right="127"/>
        <w:jc w:val="right"/>
      </w:pPr>
      <w:r>
        <w:rPr/>
        <w:t>Czerny M. 2011. The permanence of socio-economically marginal structures within</w:t>
      </w:r>
      <w:r>
        <w:rPr>
          <w:w w:val="102"/>
        </w:rPr>
        <w:t> </w:t>
      </w:r>
      <w:r>
        <w:rPr/>
        <w:t>urban space: The example of Bogotá. </w:t>
      </w:r>
      <w:r>
        <w:rPr>
          <w:i/>
        </w:rPr>
        <w:t>Quaestiones Geographicae, </w:t>
      </w:r>
      <w:r>
        <w:rPr/>
        <w:t>30 (4): 47-54.</w:t>
      </w:r>
    </w:p>
    <w:p>
      <w:pPr>
        <w:pStyle w:val="BodyText"/>
        <w:spacing w:before="11"/>
      </w:pPr>
    </w:p>
    <w:p>
      <w:pPr>
        <w:pStyle w:val="BodyText"/>
        <w:spacing w:line="249" w:lineRule="auto"/>
        <w:ind w:left="762" w:right="128" w:hanging="624"/>
        <w:jc w:val="both"/>
      </w:pPr>
      <w:r>
        <w:rPr/>
        <w:t>Gormsen E. 1981. Die Städte im spanischen Amerika. Ein zeit-räumliches Entwicklungsmodell der letzten hundert Jahre. </w:t>
      </w:r>
      <w:r>
        <w:rPr>
          <w:i/>
        </w:rPr>
        <w:t>Erdkunde</w:t>
      </w:r>
      <w:r>
        <w:rPr/>
        <w:t>, 35 (4), 290-303.</w:t>
      </w:r>
    </w:p>
    <w:p>
      <w:pPr>
        <w:pStyle w:val="BodyText"/>
        <w:spacing w:before="11"/>
      </w:pPr>
    </w:p>
    <w:p>
      <w:pPr>
        <w:pStyle w:val="BodyText"/>
        <w:spacing w:line="249" w:lineRule="auto"/>
        <w:ind w:left="762" w:right="128" w:hanging="624"/>
        <w:jc w:val="both"/>
      </w:pPr>
      <w:r>
        <w:rPr/>
        <w:t>Kraas F. 2007. Weltweite Urbanisierungsprozesse und aktuelle Entwicklungsdynamik in  den  Städten,  Metropolen  und  Megastädten  der  Entwicklungsländern.</w:t>
      </w:r>
      <w:r>
        <w:rPr>
          <w:spacing w:val="46"/>
        </w:rPr>
        <w:t> </w:t>
      </w:r>
      <w:r>
        <w:rPr/>
        <w:t>En:</w:t>
      </w:r>
    </w:p>
    <w:p>
      <w:pPr>
        <w:pStyle w:val="BodyText"/>
        <w:spacing w:line="249" w:lineRule="auto" w:before="1"/>
        <w:ind w:left="762"/>
      </w:pPr>
      <w:r>
        <w:rPr/>
        <w:t>D. Böhn, E. Rothfuß (red.): Handbuch des Geographie-Unterrichts. Band 8/I Entwicklungsländern I. AULIS VERLAG DEUBNER, KÖLN.</w:t>
      </w:r>
    </w:p>
    <w:p>
      <w:pPr>
        <w:pStyle w:val="BodyText"/>
        <w:spacing w:before="11"/>
      </w:pPr>
    </w:p>
    <w:p>
      <w:pPr>
        <w:pStyle w:val="BodyText"/>
        <w:spacing w:line="249" w:lineRule="auto"/>
        <w:ind w:left="762" w:right="128" w:hanging="624"/>
        <w:jc w:val="both"/>
      </w:pPr>
      <w:r>
        <w:rPr/>
        <w:t>Mertins G. 2003. Transformaciones recientes en las metrópolis latinoamericanas y repercusiones espaciales. En: J. L. Luzón Benedicto, Ch. Stadel, C. Borges (red.): Transformaciones regionales y Urbana en Europa y America Latina. Universitat de Barcelona.</w:t>
      </w:r>
    </w:p>
    <w:p>
      <w:pPr>
        <w:spacing w:after="0" w:line="249" w:lineRule="auto"/>
        <w:jc w:val="both"/>
        <w:sectPr>
          <w:type w:val="continuous"/>
          <w:pgSz w:w="18830" w:h="12760" w:orient="landscape"/>
          <w:pgMar w:top="1420" w:bottom="280" w:left="720" w:right="720"/>
          <w:cols w:num="2" w:equalWidth="0">
            <w:col w:w="7850" w:space="1553"/>
            <w:col w:w="7987"/>
          </w:cols>
        </w:sectPr>
      </w:pPr>
    </w:p>
    <w:p>
      <w:pPr>
        <w:pStyle w:val="BodyText"/>
        <w:spacing w:before="10"/>
        <w:rPr>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7694" w:right="281"/>
        <w:jc w:val="center"/>
      </w:pPr>
      <w:r>
        <w:rPr/>
        <w:t>Apuntes y reflexiones teóricas para la comprensión de la periferia en el contexto metropolitano</w:t>
      </w:r>
    </w:p>
    <w:p>
      <w:pPr>
        <w:pStyle w:val="BodyText"/>
        <w:spacing w:before="10"/>
        <w:rPr>
          <w:b/>
        </w:rPr>
      </w:pPr>
    </w:p>
    <w:p>
      <w:pPr>
        <w:pStyle w:val="Heading2"/>
        <w:spacing w:line="240" w:lineRule="exact"/>
        <w:ind w:left="7694" w:right="281"/>
        <w:jc w:val="center"/>
      </w:pPr>
      <w:r>
        <w:rPr>
          <w:i/>
        </w:rPr>
        <w:t>Notes and reflections theoretical for the understanding of the </w:t>
      </w:r>
      <w:r>
        <w:rPr/>
        <w:t>periphery in the metropolitan context</w:t>
      </w:r>
    </w:p>
    <w:p>
      <w:pPr>
        <w:pStyle w:val="BodyText"/>
        <w:spacing w:before="5"/>
        <w:rPr>
          <w:b/>
          <w:i/>
          <w:sz w:val="24"/>
        </w:rPr>
      </w:pPr>
    </w:p>
    <w:p>
      <w:pPr>
        <w:spacing w:line="312" w:lineRule="auto" w:before="1"/>
        <w:ind w:left="13150" w:right="128" w:hanging="359"/>
        <w:jc w:val="right"/>
        <w:rPr>
          <w:sz w:val="16"/>
        </w:rPr>
      </w:pPr>
      <w:r>
        <w:rPr>
          <w:sz w:val="16"/>
        </w:rPr>
        <w:t>Pedro Leobardo Jiménez Sánchez</w:t>
      </w:r>
      <w:r>
        <w:rPr>
          <w:w w:val="98"/>
          <w:sz w:val="16"/>
        </w:rPr>
        <w:t> </w:t>
      </w:r>
      <w:r>
        <w:rPr>
          <w:sz w:val="16"/>
        </w:rPr>
        <w:t>Juan Roberto Calderón Maya</w:t>
      </w:r>
      <w:r>
        <w:rPr>
          <w:w w:val="99"/>
          <w:sz w:val="16"/>
        </w:rPr>
        <w:t> </w:t>
      </w:r>
      <w:r>
        <w:rPr>
          <w:sz w:val="16"/>
        </w:rPr>
        <w:t>Héctor Campos Alanís</w:t>
      </w:r>
    </w:p>
    <w:p>
      <w:pPr>
        <w:spacing w:line="312" w:lineRule="auto" w:before="2"/>
        <w:ind w:left="11976" w:right="128" w:firstLine="189"/>
        <w:jc w:val="right"/>
        <w:rPr>
          <w:sz w:val="16"/>
        </w:rPr>
      </w:pPr>
      <w:r>
        <w:rPr>
          <w:sz w:val="16"/>
        </w:rPr>
        <w:t>Facultad de Planeación Urbana y Regional.</w:t>
      </w:r>
      <w:r>
        <w:rPr>
          <w:w w:val="99"/>
          <w:sz w:val="16"/>
        </w:rPr>
        <w:t> </w:t>
      </w:r>
      <w:r>
        <w:rPr>
          <w:sz w:val="16"/>
        </w:rPr>
        <w:t>Universidad Autónoma del Estado de México.</w:t>
      </w:r>
    </w:p>
    <w:p>
      <w:pPr>
        <w:spacing w:before="2"/>
        <w:ind w:left="0" w:right="128" w:firstLine="0"/>
        <w:jc w:val="right"/>
        <w:rPr>
          <w:sz w:val="16"/>
        </w:rPr>
      </w:pPr>
      <w:hyperlink r:id="rId36">
        <w:r>
          <w:rPr>
            <w:w w:val="95"/>
            <w:sz w:val="16"/>
          </w:rPr>
          <w:t>pl_jse@hotmail.com</w:t>
        </w:r>
      </w:hyperlink>
    </w:p>
    <w:p>
      <w:pPr>
        <w:pStyle w:val="BodyText"/>
        <w:spacing w:before="2"/>
        <w:rPr>
          <w:sz w:val="19"/>
        </w:rPr>
      </w:pPr>
    </w:p>
    <w:p>
      <w:pPr>
        <w:pStyle w:val="Heading2"/>
        <w:ind w:left="1599" w:right="474"/>
        <w:jc w:val="center"/>
        <w:rPr>
          <w:i/>
        </w:rPr>
      </w:pPr>
      <w:r>
        <w:rPr>
          <w:i/>
        </w:rPr>
        <w:t>Resumen</w:t>
      </w:r>
    </w:p>
    <w:p>
      <w:pPr>
        <w:pStyle w:val="BodyText"/>
        <w:rPr>
          <w:b/>
          <w:i/>
          <w:sz w:val="21"/>
        </w:rPr>
      </w:pPr>
    </w:p>
    <w:p>
      <w:pPr>
        <w:pStyle w:val="BodyText"/>
        <w:spacing w:line="249" w:lineRule="auto"/>
        <w:ind w:left="7541" w:right="127" w:firstLine="170"/>
        <w:jc w:val="both"/>
      </w:pPr>
      <w:r>
        <w:rPr/>
        <w:t>El</w:t>
      </w:r>
      <w:r>
        <w:rPr>
          <w:spacing w:val="-14"/>
        </w:rPr>
        <w:t> </w:t>
      </w:r>
      <w:r>
        <w:rPr/>
        <w:t>trabajo</w:t>
      </w:r>
      <w:r>
        <w:rPr>
          <w:spacing w:val="-14"/>
        </w:rPr>
        <w:t> </w:t>
      </w:r>
      <w:r>
        <w:rPr/>
        <w:t>tiene</w:t>
      </w:r>
      <w:r>
        <w:rPr>
          <w:spacing w:val="-14"/>
        </w:rPr>
        <w:t> </w:t>
      </w:r>
      <w:r>
        <w:rPr/>
        <w:t>como</w:t>
      </w:r>
      <w:r>
        <w:rPr>
          <w:spacing w:val="-14"/>
        </w:rPr>
        <w:t> </w:t>
      </w:r>
      <w:r>
        <w:rPr/>
        <w:t>objetivo</w:t>
      </w:r>
      <w:r>
        <w:rPr>
          <w:spacing w:val="-14"/>
        </w:rPr>
        <w:t> </w:t>
      </w:r>
      <w:r>
        <w:rPr/>
        <w:t>abordar</w:t>
      </w:r>
      <w:r>
        <w:rPr>
          <w:spacing w:val="-14"/>
        </w:rPr>
        <w:t> </w:t>
      </w:r>
      <w:r>
        <w:rPr/>
        <w:t>los</w:t>
      </w:r>
      <w:r>
        <w:rPr>
          <w:spacing w:val="-14"/>
        </w:rPr>
        <w:t> </w:t>
      </w:r>
      <w:r>
        <w:rPr/>
        <w:t>diversos</w:t>
      </w:r>
      <w:r>
        <w:rPr>
          <w:spacing w:val="-14"/>
        </w:rPr>
        <w:t> </w:t>
      </w:r>
      <w:r>
        <w:rPr/>
        <w:t>planteamientos</w:t>
      </w:r>
      <w:r>
        <w:rPr>
          <w:spacing w:val="-14"/>
        </w:rPr>
        <w:t> </w:t>
      </w:r>
      <w:r>
        <w:rPr/>
        <w:t>y</w:t>
      </w:r>
      <w:r>
        <w:rPr>
          <w:spacing w:val="-14"/>
        </w:rPr>
        <w:t> </w:t>
      </w:r>
      <w:r>
        <w:rPr/>
        <w:t>enfoques</w:t>
      </w:r>
      <w:r>
        <w:rPr>
          <w:spacing w:val="-14"/>
        </w:rPr>
        <w:t> </w:t>
      </w:r>
      <w:r>
        <w:rPr/>
        <w:t>teóricos que, sobre la periferia de una zona metropolitana, se han desarrollado para explicar su naturaleza, características de los procesos urbanos en el territorio. La periferia se ha vuelto</w:t>
      </w:r>
      <w:r>
        <w:rPr>
          <w:spacing w:val="-9"/>
        </w:rPr>
        <w:t> </w:t>
      </w:r>
      <w:r>
        <w:rPr/>
        <w:t>un</w:t>
      </w:r>
      <w:r>
        <w:rPr>
          <w:spacing w:val="-9"/>
        </w:rPr>
        <w:t> </w:t>
      </w:r>
      <w:r>
        <w:rPr/>
        <w:t>objeto</w:t>
      </w:r>
      <w:r>
        <w:rPr>
          <w:spacing w:val="-9"/>
        </w:rPr>
        <w:t> </w:t>
      </w:r>
      <w:r>
        <w:rPr/>
        <w:t>de</w:t>
      </w:r>
      <w:r>
        <w:rPr>
          <w:spacing w:val="-9"/>
        </w:rPr>
        <w:t> </w:t>
      </w:r>
      <w:r>
        <w:rPr/>
        <w:t>estudio</w:t>
      </w:r>
      <w:r>
        <w:rPr>
          <w:spacing w:val="-9"/>
        </w:rPr>
        <w:t> </w:t>
      </w:r>
      <w:r>
        <w:rPr/>
        <w:t>espacial</w:t>
      </w:r>
      <w:r>
        <w:rPr>
          <w:spacing w:val="-9"/>
        </w:rPr>
        <w:t> </w:t>
      </w:r>
      <w:r>
        <w:rPr/>
        <w:t>en</w:t>
      </w:r>
      <w:r>
        <w:rPr>
          <w:spacing w:val="-9"/>
        </w:rPr>
        <w:t> </w:t>
      </w:r>
      <w:r>
        <w:rPr/>
        <w:t>el</w:t>
      </w:r>
      <w:r>
        <w:rPr>
          <w:spacing w:val="-9"/>
        </w:rPr>
        <w:t> </w:t>
      </w:r>
      <w:r>
        <w:rPr/>
        <w:t>que</w:t>
      </w:r>
      <w:r>
        <w:rPr>
          <w:spacing w:val="-9"/>
        </w:rPr>
        <w:t> </w:t>
      </w:r>
      <w:r>
        <w:rPr/>
        <w:t>se</w:t>
      </w:r>
      <w:r>
        <w:rPr>
          <w:spacing w:val="-9"/>
        </w:rPr>
        <w:t> </w:t>
      </w:r>
      <w:r>
        <w:rPr/>
        <w:t>desenvuelven</w:t>
      </w:r>
      <w:r>
        <w:rPr>
          <w:spacing w:val="-9"/>
        </w:rPr>
        <w:t> </w:t>
      </w:r>
      <w:r>
        <w:rPr/>
        <w:t>las</w:t>
      </w:r>
      <w:r>
        <w:rPr>
          <w:spacing w:val="-9"/>
        </w:rPr>
        <w:t> </w:t>
      </w:r>
      <w:r>
        <w:rPr/>
        <w:t>más</w:t>
      </w:r>
      <w:r>
        <w:rPr>
          <w:spacing w:val="-9"/>
        </w:rPr>
        <w:t> </w:t>
      </w:r>
      <w:r>
        <w:rPr/>
        <w:t>diversas</w:t>
      </w:r>
      <w:r>
        <w:rPr>
          <w:spacing w:val="-9"/>
        </w:rPr>
        <w:t> </w:t>
      </w:r>
      <w:r>
        <w:rPr/>
        <w:t>formas de</w:t>
      </w:r>
      <w:r>
        <w:rPr>
          <w:spacing w:val="-5"/>
        </w:rPr>
        <w:t> </w:t>
      </w:r>
      <w:r>
        <w:rPr/>
        <w:t>apropiación,</w:t>
      </w:r>
      <w:r>
        <w:rPr>
          <w:spacing w:val="-5"/>
        </w:rPr>
        <w:t> </w:t>
      </w:r>
      <w:r>
        <w:rPr/>
        <w:t>para</w:t>
      </w:r>
      <w:r>
        <w:rPr>
          <w:spacing w:val="-5"/>
        </w:rPr>
        <w:t> </w:t>
      </w:r>
      <w:r>
        <w:rPr/>
        <w:t>desarrollar</w:t>
      </w:r>
      <w:r>
        <w:rPr>
          <w:spacing w:val="-5"/>
        </w:rPr>
        <w:t> </w:t>
      </w:r>
      <w:r>
        <w:rPr/>
        <w:t>acciones</w:t>
      </w:r>
      <w:r>
        <w:rPr>
          <w:spacing w:val="-5"/>
        </w:rPr>
        <w:t> </w:t>
      </w:r>
      <w:r>
        <w:rPr/>
        <w:t>sociales</w:t>
      </w:r>
      <w:r>
        <w:rPr>
          <w:spacing w:val="-5"/>
        </w:rPr>
        <w:t> </w:t>
      </w:r>
      <w:r>
        <w:rPr/>
        <w:t>de</w:t>
      </w:r>
      <w:r>
        <w:rPr>
          <w:spacing w:val="-5"/>
        </w:rPr>
        <w:t> </w:t>
      </w:r>
      <w:r>
        <w:rPr/>
        <w:t>la</w:t>
      </w:r>
      <w:r>
        <w:rPr>
          <w:spacing w:val="-5"/>
        </w:rPr>
        <w:t> </w:t>
      </w:r>
      <w:r>
        <w:rPr/>
        <w:t>población</w:t>
      </w:r>
      <w:r>
        <w:rPr>
          <w:spacing w:val="-5"/>
        </w:rPr>
        <w:t> </w:t>
      </w:r>
      <w:r>
        <w:rPr/>
        <w:t>como</w:t>
      </w:r>
      <w:r>
        <w:rPr>
          <w:spacing w:val="-5"/>
        </w:rPr>
        <w:t> </w:t>
      </w:r>
      <w:r>
        <w:rPr/>
        <w:t>de</w:t>
      </w:r>
      <w:r>
        <w:rPr>
          <w:spacing w:val="-5"/>
        </w:rPr>
        <w:t> </w:t>
      </w:r>
      <w:r>
        <w:rPr/>
        <w:t>los</w:t>
      </w:r>
      <w:r>
        <w:rPr>
          <w:spacing w:val="-5"/>
        </w:rPr>
        <w:t> </w:t>
      </w:r>
      <w:r>
        <w:rPr/>
        <w:t>grandes inversionistas capitalistas. Se abordan cuatro enfoques dirigidos al entendimiento de la ciudad</w:t>
      </w:r>
      <w:r>
        <w:rPr>
          <w:spacing w:val="-6"/>
        </w:rPr>
        <w:t> </w:t>
      </w:r>
      <w:r>
        <w:rPr/>
        <w:t>y</w:t>
      </w:r>
      <w:r>
        <w:rPr>
          <w:spacing w:val="-6"/>
        </w:rPr>
        <w:t> </w:t>
      </w:r>
      <w:r>
        <w:rPr/>
        <w:t>su</w:t>
      </w:r>
      <w:r>
        <w:rPr>
          <w:spacing w:val="-6"/>
        </w:rPr>
        <w:t> </w:t>
      </w:r>
      <w:r>
        <w:rPr/>
        <w:t>evolución</w:t>
      </w:r>
      <w:r>
        <w:rPr>
          <w:spacing w:val="-6"/>
        </w:rPr>
        <w:t> </w:t>
      </w:r>
      <w:r>
        <w:rPr/>
        <w:t>física:</w:t>
      </w:r>
      <w:r>
        <w:rPr>
          <w:spacing w:val="-6"/>
        </w:rPr>
        <w:t> </w:t>
      </w:r>
      <w:r>
        <w:rPr/>
        <w:t>urbanización,</w:t>
      </w:r>
      <w:r>
        <w:rPr>
          <w:spacing w:val="-6"/>
        </w:rPr>
        <w:t> </w:t>
      </w:r>
      <w:r>
        <w:rPr/>
        <w:t>expansión,</w:t>
      </w:r>
      <w:r>
        <w:rPr>
          <w:spacing w:val="-6"/>
        </w:rPr>
        <w:t> </w:t>
      </w:r>
      <w:r>
        <w:rPr/>
        <w:t>fragmentación</w:t>
      </w:r>
      <w:r>
        <w:rPr>
          <w:spacing w:val="-6"/>
        </w:rPr>
        <w:t> </w:t>
      </w:r>
      <w:r>
        <w:rPr/>
        <w:t>y</w:t>
      </w:r>
      <w:r>
        <w:rPr>
          <w:spacing w:val="-6"/>
        </w:rPr>
        <w:t> </w:t>
      </w:r>
      <w:r>
        <w:rPr/>
        <w:t>metropolización. Los resultados muestran que los enfoques contemporáneos sobre la periferia son menos apegados a la realidad que los planteamientos</w:t>
      </w:r>
      <w:r>
        <w:rPr>
          <w:spacing w:val="45"/>
        </w:rPr>
        <w:t> </w:t>
      </w:r>
      <w:r>
        <w:rPr/>
        <w:t>modernos</w:t>
      </w:r>
    </w:p>
    <w:p>
      <w:pPr>
        <w:pStyle w:val="BodyText"/>
        <w:spacing w:before="11"/>
      </w:pPr>
    </w:p>
    <w:p>
      <w:pPr>
        <w:spacing w:before="0"/>
        <w:ind w:left="7711" w:right="156" w:firstLine="0"/>
        <w:jc w:val="left"/>
        <w:rPr>
          <w:sz w:val="20"/>
        </w:rPr>
      </w:pPr>
      <w:r>
        <w:rPr>
          <w:b/>
          <w:i/>
          <w:sz w:val="20"/>
        </w:rPr>
        <w:t>Palabras clave</w:t>
      </w:r>
      <w:r>
        <w:rPr>
          <w:sz w:val="20"/>
        </w:rPr>
        <w:t>: ciudad, periferia, fragmentación,  metropolización.</w:t>
      </w:r>
    </w:p>
    <w:p>
      <w:pPr>
        <w:pStyle w:val="BodyText"/>
      </w:pPr>
    </w:p>
    <w:p>
      <w:pPr>
        <w:pStyle w:val="BodyText"/>
        <w:spacing w:before="7"/>
        <w:rPr>
          <w:sz w:val="22"/>
        </w:rPr>
      </w:pPr>
    </w:p>
    <w:p>
      <w:pPr>
        <w:pStyle w:val="Heading3"/>
        <w:ind w:left="1259" w:right="474"/>
        <w:jc w:val="center"/>
      </w:pPr>
      <w:r>
        <w:rPr/>
        <w:t>Abstrac</w:t>
      </w:r>
    </w:p>
    <w:p>
      <w:pPr>
        <w:pStyle w:val="BodyText"/>
        <w:spacing w:before="8"/>
        <w:rPr>
          <w:b/>
          <w:sz w:val="21"/>
        </w:rPr>
      </w:pPr>
    </w:p>
    <w:p>
      <w:pPr>
        <w:pStyle w:val="BodyText"/>
        <w:spacing w:line="249" w:lineRule="auto"/>
        <w:ind w:left="7541" w:right="127" w:firstLine="170"/>
        <w:jc w:val="both"/>
      </w:pPr>
      <w:r>
        <w:rPr/>
        <w:t>The work aims to address the various approaches and theoretical approaches that have been developed to explain its nature, characteristics of urban processes in the territory on the periphery of a metropolitan area. The periphery has become an object of study space he faced various forms of appropriation, to develop social actions of the population</w:t>
      </w:r>
      <w:r>
        <w:rPr>
          <w:spacing w:val="-5"/>
        </w:rPr>
        <w:t> </w:t>
      </w:r>
      <w:r>
        <w:rPr/>
        <w:t>as</w:t>
      </w:r>
      <w:r>
        <w:rPr>
          <w:spacing w:val="-5"/>
        </w:rPr>
        <w:t> </w:t>
      </w:r>
      <w:r>
        <w:rPr/>
        <w:t>large</w:t>
      </w:r>
      <w:r>
        <w:rPr>
          <w:spacing w:val="-5"/>
        </w:rPr>
        <w:t> </w:t>
      </w:r>
      <w:r>
        <w:rPr/>
        <w:t>capitalist</w:t>
      </w:r>
      <w:r>
        <w:rPr>
          <w:spacing w:val="-5"/>
        </w:rPr>
        <w:t> </w:t>
      </w:r>
      <w:r>
        <w:rPr/>
        <w:t>investors.</w:t>
      </w:r>
      <w:r>
        <w:rPr>
          <w:spacing w:val="-5"/>
        </w:rPr>
        <w:t> </w:t>
      </w:r>
      <w:r>
        <w:rPr/>
        <w:t>Dealt</w:t>
      </w:r>
      <w:r>
        <w:rPr>
          <w:spacing w:val="-5"/>
        </w:rPr>
        <w:t> </w:t>
      </w:r>
      <w:r>
        <w:rPr/>
        <w:t>with</w:t>
      </w:r>
      <w:r>
        <w:rPr>
          <w:spacing w:val="-5"/>
        </w:rPr>
        <w:t> </w:t>
      </w:r>
      <w:r>
        <w:rPr/>
        <w:t>four</w:t>
      </w:r>
      <w:r>
        <w:rPr>
          <w:spacing w:val="-5"/>
        </w:rPr>
        <w:t> </w:t>
      </w:r>
      <w:r>
        <w:rPr/>
        <w:t>approaches</w:t>
      </w:r>
      <w:r>
        <w:rPr>
          <w:spacing w:val="-5"/>
        </w:rPr>
        <w:t> </w:t>
      </w:r>
      <w:r>
        <w:rPr/>
        <w:t>to</w:t>
      </w:r>
      <w:r>
        <w:rPr>
          <w:spacing w:val="-5"/>
        </w:rPr>
        <w:t> </w:t>
      </w:r>
      <w:r>
        <w:rPr/>
        <w:t>the</w:t>
      </w:r>
      <w:r>
        <w:rPr>
          <w:spacing w:val="-5"/>
        </w:rPr>
        <w:t> </w:t>
      </w:r>
      <w:r>
        <w:rPr/>
        <w:t>understanding of the city and its physical development: urbanization, expansion, fragmentation and urbanization.</w:t>
      </w:r>
      <w:r>
        <w:rPr>
          <w:spacing w:val="-4"/>
        </w:rPr>
        <w:t> </w:t>
      </w:r>
      <w:r>
        <w:rPr/>
        <w:t>The</w:t>
      </w:r>
      <w:r>
        <w:rPr>
          <w:spacing w:val="-4"/>
        </w:rPr>
        <w:t> </w:t>
      </w:r>
      <w:r>
        <w:rPr/>
        <w:t>results</w:t>
      </w:r>
      <w:r>
        <w:rPr>
          <w:spacing w:val="-4"/>
        </w:rPr>
        <w:t> </w:t>
      </w:r>
      <w:r>
        <w:rPr/>
        <w:t>show</w:t>
      </w:r>
      <w:r>
        <w:rPr>
          <w:spacing w:val="-4"/>
        </w:rPr>
        <w:t> </w:t>
      </w:r>
      <w:r>
        <w:rPr/>
        <w:t>that</w:t>
      </w:r>
      <w:r>
        <w:rPr>
          <w:spacing w:val="-4"/>
        </w:rPr>
        <w:t> </w:t>
      </w:r>
      <w:r>
        <w:rPr/>
        <w:t>contemporary</w:t>
      </w:r>
      <w:r>
        <w:rPr>
          <w:spacing w:val="-4"/>
        </w:rPr>
        <w:t> </w:t>
      </w:r>
      <w:r>
        <w:rPr/>
        <w:t>approaches</w:t>
      </w:r>
      <w:r>
        <w:rPr>
          <w:spacing w:val="-4"/>
        </w:rPr>
        <w:t> </w:t>
      </w:r>
      <w:r>
        <w:rPr/>
        <w:t>on</w:t>
      </w:r>
      <w:r>
        <w:rPr>
          <w:spacing w:val="-4"/>
        </w:rPr>
        <w:t> </w:t>
      </w:r>
      <w:r>
        <w:rPr/>
        <w:t>the</w:t>
      </w:r>
      <w:r>
        <w:rPr>
          <w:spacing w:val="-4"/>
        </w:rPr>
        <w:t> </w:t>
      </w:r>
      <w:r>
        <w:rPr/>
        <w:t>periphery</w:t>
      </w:r>
      <w:r>
        <w:rPr>
          <w:spacing w:val="-4"/>
        </w:rPr>
        <w:t> </w:t>
      </w:r>
      <w:r>
        <w:rPr/>
        <w:t>are</w:t>
      </w:r>
      <w:r>
        <w:rPr>
          <w:spacing w:val="-4"/>
        </w:rPr>
        <w:t> </w:t>
      </w:r>
      <w:r>
        <w:rPr/>
        <w:t>less attached to the reality that modern </w:t>
      </w:r>
      <w:r>
        <w:rPr>
          <w:spacing w:val="13"/>
        </w:rPr>
        <w:t> </w:t>
      </w:r>
      <w:r>
        <w:rPr/>
        <w:t>approaches</w:t>
      </w:r>
    </w:p>
    <w:p>
      <w:pPr>
        <w:pStyle w:val="BodyText"/>
        <w:spacing w:before="11"/>
      </w:pPr>
    </w:p>
    <w:p>
      <w:pPr>
        <w:pStyle w:val="BodyText"/>
        <w:ind w:left="7711" w:right="156"/>
      </w:pPr>
      <w:r>
        <w:rPr/>
        <w:pict>
          <v:group style="position:absolute;margin-left:696.401978pt;margin-top:48.687286pt;width:18.850pt;height:61.8pt;mso-position-horizontal-relative:page;mso-position-vertical-relative:paragraph;z-index:1552" coordorigin="13928,974" coordsize="377,1236">
            <v:rect style="position:absolute;left:13928;top:974;width:377;height:1236" filled="true" fillcolor="#c7c8ca" stroked="false">
              <v:fill type="solid"/>
            </v:rect>
            <v:shape style="position:absolute;left:13928;top:974;width:377;height:1236" type="#_x0000_t202" filled="false" stroked="false">
              <v:textbox inset="0,0,0,0">
                <w:txbxContent>
                  <w:p>
                    <w:pPr>
                      <w:spacing w:line="240" w:lineRule="auto" w:before="8"/>
                      <w:rPr>
                        <w:sz w:val="13"/>
                      </w:rPr>
                    </w:pPr>
                  </w:p>
                  <w:p>
                    <w:pPr>
                      <w:spacing w:before="1"/>
                      <w:ind w:left="98" w:right="0" w:firstLine="0"/>
                      <w:jc w:val="left"/>
                      <w:rPr>
                        <w:sz w:val="16"/>
                      </w:rPr>
                    </w:pPr>
                    <w:r>
                      <w:rPr>
                        <w:sz w:val="16"/>
                      </w:rPr>
                      <w:t>33</w:t>
                    </w:r>
                  </w:p>
                </w:txbxContent>
              </v:textbox>
              <w10:wrap type="none"/>
            </v:shape>
            <w10:wrap type="none"/>
          </v:group>
        </w:pict>
      </w:r>
      <w:r>
        <w:rPr>
          <w:b/>
          <w:i/>
        </w:rPr>
        <w:t>Keywords: </w:t>
      </w:r>
      <w:r>
        <w:rPr/>
        <w:t>City, periphery, fragmentation and urbanization.</w:t>
      </w:r>
    </w:p>
    <w:p>
      <w:pPr>
        <w:spacing w:after="0"/>
        <w:sectPr>
          <w:headerReference w:type="default" r:id="rId34"/>
          <w:footerReference w:type="default" r:id="rId35"/>
          <w:pgSz w:w="18830" w:h="12760" w:orient="landscape"/>
          <w:pgMar w:header="482" w:footer="0" w:top="680" w:bottom="0" w:left="2720" w:right="720"/>
        </w:sectPr>
      </w:pPr>
    </w:p>
    <w:p>
      <w:pPr>
        <w:pStyle w:val="BodyText"/>
        <w:spacing w:before="8"/>
      </w:pPr>
    </w:p>
    <w:p>
      <w:pPr>
        <w:spacing w:after="0"/>
        <w:sectPr>
          <w:headerReference w:type="default" r:id="rId37"/>
          <w:footerReference w:type="default" r:id="rId38"/>
          <w:pgSz w:w="18830" w:h="12760" w:orient="landscape"/>
          <w:pgMar w:header="522" w:footer="1036" w:top="820" w:bottom="1220" w:left="720" w:right="720"/>
        </w:sectPr>
      </w:pPr>
    </w:p>
    <w:p>
      <w:pPr>
        <w:pStyle w:val="Heading1"/>
        <w:spacing w:before="71"/>
        <w:ind w:right="-7"/>
      </w:pPr>
      <w:r>
        <w:rPr/>
        <w:t>Introducción</w:t>
      </w:r>
    </w:p>
    <w:p>
      <w:pPr>
        <w:pStyle w:val="BodyText"/>
        <w:rPr>
          <w:b/>
          <w:sz w:val="24"/>
        </w:rPr>
      </w:pPr>
    </w:p>
    <w:p>
      <w:pPr>
        <w:pStyle w:val="BodyText"/>
        <w:spacing w:line="249" w:lineRule="auto" w:before="205"/>
        <w:ind w:left="130" w:firstLine="170"/>
        <w:jc w:val="both"/>
      </w:pPr>
      <w:r>
        <w:rPr/>
        <w:t>Las principales ciudades del mundo han sufrido fenómenos territoriales que se expresan en el desarrollo físico de las ciudades. Procesos como la migración de         la población que vive en el campo a las ciudades, hacia las ciudades en busca de mejores oportunidades, determinan la concentración de la población en unas cuantas ciudades.  En consecuencia, esta población genera mayores demandas en materia   de empleo, vivienda, salud, educación, cultura, ocio y entretenimiento, entre otras. El resultado</w:t>
      </w:r>
      <w:r>
        <w:rPr>
          <w:spacing w:val="-4"/>
        </w:rPr>
        <w:t> </w:t>
      </w:r>
      <w:r>
        <w:rPr/>
        <w:t>es</w:t>
      </w:r>
      <w:r>
        <w:rPr>
          <w:spacing w:val="-4"/>
        </w:rPr>
        <w:t> </w:t>
      </w:r>
      <w:r>
        <w:rPr/>
        <w:t>la</w:t>
      </w:r>
      <w:r>
        <w:rPr>
          <w:spacing w:val="-4"/>
        </w:rPr>
        <w:t> </w:t>
      </w:r>
      <w:r>
        <w:rPr/>
        <w:t>ocupación</w:t>
      </w:r>
      <w:r>
        <w:rPr>
          <w:spacing w:val="-4"/>
        </w:rPr>
        <w:t> </w:t>
      </w:r>
      <w:r>
        <w:rPr/>
        <w:t>del</w:t>
      </w:r>
      <w:r>
        <w:rPr>
          <w:spacing w:val="-4"/>
        </w:rPr>
        <w:t> </w:t>
      </w:r>
      <w:r>
        <w:rPr/>
        <w:t>espacio</w:t>
      </w:r>
      <w:r>
        <w:rPr>
          <w:spacing w:val="-4"/>
        </w:rPr>
        <w:t> </w:t>
      </w:r>
      <w:r>
        <w:rPr/>
        <w:t>en</w:t>
      </w:r>
      <w:r>
        <w:rPr>
          <w:spacing w:val="-4"/>
        </w:rPr>
        <w:t> </w:t>
      </w:r>
      <w:r>
        <w:rPr/>
        <w:t>el</w:t>
      </w:r>
      <w:r>
        <w:rPr>
          <w:spacing w:val="-4"/>
        </w:rPr>
        <w:t> </w:t>
      </w:r>
      <w:r>
        <w:rPr/>
        <w:t>territorio</w:t>
      </w:r>
      <w:r>
        <w:rPr>
          <w:spacing w:val="-4"/>
        </w:rPr>
        <w:t> </w:t>
      </w:r>
      <w:r>
        <w:rPr/>
        <w:t>genera</w:t>
      </w:r>
      <w:r>
        <w:rPr>
          <w:spacing w:val="-4"/>
        </w:rPr>
        <w:t> </w:t>
      </w:r>
      <w:r>
        <w:rPr/>
        <w:t>una</w:t>
      </w:r>
      <w:r>
        <w:rPr>
          <w:spacing w:val="-4"/>
        </w:rPr>
        <w:t> </w:t>
      </w:r>
      <w:r>
        <w:rPr/>
        <w:t>urbanización</w:t>
      </w:r>
      <w:r>
        <w:rPr>
          <w:spacing w:val="-4"/>
        </w:rPr>
        <w:t> </w:t>
      </w:r>
      <w:r>
        <w:rPr/>
        <w:t>creciente y, en los últimos años, una expansión en la periferia de las</w:t>
      </w:r>
      <w:r>
        <w:rPr>
          <w:spacing w:val="23"/>
        </w:rPr>
        <w:t> </w:t>
      </w:r>
      <w:r>
        <w:rPr/>
        <w:t>ciudades.</w:t>
      </w:r>
    </w:p>
    <w:p>
      <w:pPr>
        <w:pStyle w:val="BodyText"/>
        <w:spacing w:before="11"/>
      </w:pPr>
    </w:p>
    <w:p>
      <w:pPr>
        <w:pStyle w:val="BodyText"/>
        <w:spacing w:line="249" w:lineRule="auto"/>
        <w:ind w:left="130" w:firstLine="170"/>
        <w:jc w:val="both"/>
      </w:pPr>
      <w:r>
        <w:rPr/>
        <w:t>En el caso de México, las ciudades, y su crecimiento demográfico, es una preocupación de primer orden, en virtud de que cinco ciudades importantes</w:t>
      </w:r>
      <w:r>
        <w:rPr>
          <w:spacing w:val="-33"/>
        </w:rPr>
        <w:t> </w:t>
      </w:r>
      <w:r>
        <w:rPr/>
        <w:t>concentran la mayoría de la población urbana: ciudad de México, Monterrey, Guadalajara, Puebla y Toluca, además de concentrar buena parte de la actividad económica. En la última década se ha incrementado el número y tamaño de las ciudades del país: el 77% de la población</w:t>
      </w:r>
      <w:r>
        <w:rPr>
          <w:spacing w:val="-6"/>
        </w:rPr>
        <w:t> </w:t>
      </w:r>
      <w:r>
        <w:rPr/>
        <w:t>es</w:t>
      </w:r>
      <w:r>
        <w:rPr>
          <w:spacing w:val="-6"/>
        </w:rPr>
        <w:t> </w:t>
      </w:r>
      <w:r>
        <w:rPr/>
        <w:t>urbana</w:t>
      </w:r>
      <w:r>
        <w:rPr>
          <w:spacing w:val="-6"/>
        </w:rPr>
        <w:t> </w:t>
      </w:r>
      <w:r>
        <w:rPr/>
        <w:t>(86</w:t>
      </w:r>
      <w:r>
        <w:rPr>
          <w:spacing w:val="-6"/>
        </w:rPr>
        <w:t> </w:t>
      </w:r>
      <w:r>
        <w:rPr/>
        <w:t>millones</w:t>
      </w:r>
      <w:r>
        <w:rPr>
          <w:spacing w:val="-6"/>
        </w:rPr>
        <w:t> </w:t>
      </w:r>
      <w:r>
        <w:rPr/>
        <w:t>de</w:t>
      </w:r>
      <w:r>
        <w:rPr>
          <w:spacing w:val="-6"/>
        </w:rPr>
        <w:t> </w:t>
      </w:r>
      <w:r>
        <w:rPr/>
        <w:t>personas).</w:t>
      </w:r>
      <w:r>
        <w:rPr>
          <w:spacing w:val="-6"/>
        </w:rPr>
        <w:t> </w:t>
      </w:r>
      <w:r>
        <w:rPr/>
        <w:t>Las</w:t>
      </w:r>
      <w:r>
        <w:rPr>
          <w:spacing w:val="-6"/>
        </w:rPr>
        <w:t> </w:t>
      </w:r>
      <w:r>
        <w:rPr/>
        <w:t>estimaciones</w:t>
      </w:r>
      <w:r>
        <w:rPr>
          <w:spacing w:val="-6"/>
        </w:rPr>
        <w:t> </w:t>
      </w:r>
      <w:r>
        <w:rPr/>
        <w:t>del</w:t>
      </w:r>
      <w:r>
        <w:rPr>
          <w:spacing w:val="-6"/>
        </w:rPr>
        <w:t> </w:t>
      </w:r>
      <w:r>
        <w:rPr/>
        <w:t>Consejo</w:t>
      </w:r>
      <w:r>
        <w:rPr>
          <w:spacing w:val="-6"/>
        </w:rPr>
        <w:t> </w:t>
      </w:r>
      <w:r>
        <w:rPr/>
        <w:t>Nacional de Población (CONAPO) señalan que para el 2030, el 81% de la población vivirá en ciudades (ITDP,</w:t>
      </w:r>
      <w:r>
        <w:rPr>
          <w:spacing w:val="-34"/>
        </w:rPr>
        <w:t> </w:t>
      </w:r>
      <w:r>
        <w:rPr/>
        <w:t>2012).</w:t>
      </w:r>
    </w:p>
    <w:p>
      <w:pPr>
        <w:pStyle w:val="BodyText"/>
        <w:spacing w:before="11"/>
      </w:pPr>
    </w:p>
    <w:p>
      <w:pPr>
        <w:pStyle w:val="BodyText"/>
        <w:spacing w:line="249" w:lineRule="auto"/>
        <w:ind w:left="130" w:firstLine="170"/>
        <w:jc w:val="both"/>
      </w:pPr>
      <w:r>
        <w:rPr/>
        <w:t>Este proceso de concentración demográfica ha sido motivo de investigación para los especialistas en el análisis y diseño de las ciudades, buscando las mejores</w:t>
      </w:r>
      <w:r>
        <w:rPr>
          <w:spacing w:val="-31"/>
        </w:rPr>
        <w:t> </w:t>
      </w:r>
      <w:r>
        <w:rPr/>
        <w:t>alternativas de desarrollo, regulación, ordenación y control del crecimiento del territorio. Si bien     el Estado ha establecido políticas de ordenamiento para disminuir las desigualdades territoriales y económicas entre las ciudades que conforman el territorio mexicano,      el resultado ha sido parcial, en virtud de que no se han logrado disminuir dichas desigualdades, al contrario éstas se han acrecentado y extendido hacia la periferia de las principales ciudades y zonas metropolitanas del</w:t>
      </w:r>
      <w:r>
        <w:rPr>
          <w:spacing w:val="38"/>
        </w:rPr>
        <w:t> </w:t>
      </w:r>
      <w:r>
        <w:rPr/>
        <w:t>país.</w:t>
      </w:r>
    </w:p>
    <w:p>
      <w:pPr>
        <w:pStyle w:val="BodyText"/>
        <w:spacing w:before="11"/>
      </w:pPr>
    </w:p>
    <w:p>
      <w:pPr>
        <w:pStyle w:val="BodyText"/>
        <w:spacing w:line="249" w:lineRule="auto"/>
        <w:ind w:left="130" w:firstLine="170"/>
        <w:jc w:val="right"/>
      </w:pPr>
      <w:r>
        <w:rPr/>
        <w:t>El análisis de la periferia merece mayor atención e interés particular; si</w:t>
      </w:r>
      <w:r>
        <w:rPr>
          <w:spacing w:val="19"/>
        </w:rPr>
        <w:t> </w:t>
      </w:r>
      <w:r>
        <w:rPr/>
        <w:t>bien</w:t>
      </w:r>
      <w:r>
        <w:rPr>
          <w:spacing w:val="10"/>
        </w:rPr>
        <w:t> </w:t>
      </w:r>
      <w:r>
        <w:rPr/>
        <w:t>existen</w:t>
      </w:r>
      <w:r>
        <w:rPr>
          <w:w w:val="100"/>
        </w:rPr>
        <w:t> </w:t>
      </w:r>
      <w:r>
        <w:rPr/>
        <w:t>diversos</w:t>
      </w:r>
      <w:r>
        <w:rPr>
          <w:spacing w:val="-6"/>
        </w:rPr>
        <w:t> </w:t>
      </w:r>
      <w:r>
        <w:rPr/>
        <w:t>planteamientos</w:t>
      </w:r>
      <w:r>
        <w:rPr>
          <w:spacing w:val="-6"/>
        </w:rPr>
        <w:t> </w:t>
      </w:r>
      <w:r>
        <w:rPr/>
        <w:t>teóricos</w:t>
      </w:r>
      <w:r>
        <w:rPr>
          <w:spacing w:val="-6"/>
        </w:rPr>
        <w:t> </w:t>
      </w:r>
      <w:r>
        <w:rPr/>
        <w:t>y</w:t>
      </w:r>
      <w:r>
        <w:rPr>
          <w:spacing w:val="-6"/>
        </w:rPr>
        <w:t> </w:t>
      </w:r>
      <w:r>
        <w:rPr/>
        <w:t>estudios</w:t>
      </w:r>
      <w:r>
        <w:rPr>
          <w:spacing w:val="-6"/>
        </w:rPr>
        <w:t> </w:t>
      </w:r>
      <w:r>
        <w:rPr/>
        <w:t>dirigidos</w:t>
      </w:r>
      <w:r>
        <w:rPr>
          <w:spacing w:val="-6"/>
        </w:rPr>
        <w:t> </w:t>
      </w:r>
      <w:r>
        <w:rPr/>
        <w:t>al</w:t>
      </w:r>
      <w:r>
        <w:rPr>
          <w:spacing w:val="-6"/>
        </w:rPr>
        <w:t> </w:t>
      </w:r>
      <w:r>
        <w:rPr/>
        <w:t>análisis</w:t>
      </w:r>
      <w:r>
        <w:rPr>
          <w:spacing w:val="-6"/>
        </w:rPr>
        <w:t> </w:t>
      </w:r>
      <w:r>
        <w:rPr/>
        <w:t>de</w:t>
      </w:r>
      <w:r>
        <w:rPr>
          <w:spacing w:val="-6"/>
        </w:rPr>
        <w:t> </w:t>
      </w:r>
      <w:r>
        <w:rPr/>
        <w:t>la</w:t>
      </w:r>
      <w:r>
        <w:rPr>
          <w:spacing w:val="-6"/>
        </w:rPr>
        <w:t> </w:t>
      </w:r>
      <w:r>
        <w:rPr/>
        <w:t>misma,</w:t>
      </w:r>
      <w:r>
        <w:rPr>
          <w:spacing w:val="-6"/>
        </w:rPr>
        <w:t> </w:t>
      </w:r>
      <w:r>
        <w:rPr/>
        <w:t>la</w:t>
      </w:r>
      <w:r>
        <w:rPr>
          <w:spacing w:val="-6"/>
        </w:rPr>
        <w:t> </w:t>
      </w:r>
      <w:r>
        <w:rPr/>
        <w:t>realidad</w:t>
      </w:r>
      <w:r>
        <w:rPr>
          <w:w w:val="100"/>
        </w:rPr>
        <w:t> </w:t>
      </w:r>
      <w:r>
        <w:rPr/>
        <w:t>nos</w:t>
      </w:r>
      <w:r>
        <w:rPr>
          <w:spacing w:val="-8"/>
        </w:rPr>
        <w:t> </w:t>
      </w:r>
      <w:r>
        <w:rPr/>
        <w:t>indica</w:t>
      </w:r>
      <w:r>
        <w:rPr>
          <w:spacing w:val="-8"/>
        </w:rPr>
        <w:t> </w:t>
      </w:r>
      <w:r>
        <w:rPr/>
        <w:t>que</w:t>
      </w:r>
      <w:r>
        <w:rPr>
          <w:spacing w:val="-8"/>
        </w:rPr>
        <w:t> </w:t>
      </w:r>
      <w:r>
        <w:rPr/>
        <w:t>no</w:t>
      </w:r>
      <w:r>
        <w:rPr>
          <w:spacing w:val="-8"/>
        </w:rPr>
        <w:t> </w:t>
      </w:r>
      <w:r>
        <w:rPr/>
        <w:t>existen</w:t>
      </w:r>
      <w:r>
        <w:rPr>
          <w:spacing w:val="-8"/>
        </w:rPr>
        <w:t> </w:t>
      </w:r>
      <w:r>
        <w:rPr/>
        <w:t>enfoques</w:t>
      </w:r>
      <w:r>
        <w:rPr>
          <w:spacing w:val="-8"/>
        </w:rPr>
        <w:t> </w:t>
      </w:r>
      <w:r>
        <w:rPr/>
        <w:t>únicos</w:t>
      </w:r>
      <w:r>
        <w:rPr>
          <w:spacing w:val="-8"/>
        </w:rPr>
        <w:t> </w:t>
      </w:r>
      <w:r>
        <w:rPr/>
        <w:t>en</w:t>
      </w:r>
      <w:r>
        <w:rPr>
          <w:spacing w:val="-8"/>
        </w:rPr>
        <w:t> </w:t>
      </w:r>
      <w:r>
        <w:rPr/>
        <w:t>torno</w:t>
      </w:r>
      <w:r>
        <w:rPr>
          <w:spacing w:val="-8"/>
        </w:rPr>
        <w:t> </w:t>
      </w:r>
      <w:r>
        <w:rPr/>
        <w:t>a</w:t>
      </w:r>
      <w:r>
        <w:rPr>
          <w:spacing w:val="-8"/>
        </w:rPr>
        <w:t> </w:t>
      </w:r>
      <w:r>
        <w:rPr/>
        <w:t>ello,</w:t>
      </w:r>
      <w:r>
        <w:rPr>
          <w:spacing w:val="-8"/>
        </w:rPr>
        <w:t> </w:t>
      </w:r>
      <w:r>
        <w:rPr/>
        <w:t>o</w:t>
      </w:r>
      <w:r>
        <w:rPr>
          <w:spacing w:val="-8"/>
        </w:rPr>
        <w:t> </w:t>
      </w:r>
      <w:r>
        <w:rPr/>
        <w:t>que</w:t>
      </w:r>
      <w:r>
        <w:rPr>
          <w:spacing w:val="-8"/>
        </w:rPr>
        <w:t> </w:t>
      </w:r>
      <w:r>
        <w:rPr/>
        <w:t>la</w:t>
      </w:r>
      <w:r>
        <w:rPr>
          <w:spacing w:val="-8"/>
        </w:rPr>
        <w:t> </w:t>
      </w:r>
      <w:r>
        <w:rPr/>
        <w:t>realidad</w:t>
      </w:r>
      <w:r>
        <w:rPr>
          <w:spacing w:val="-8"/>
        </w:rPr>
        <w:t> </w:t>
      </w:r>
      <w:r>
        <w:rPr/>
        <w:t>nos</w:t>
      </w:r>
      <w:r>
        <w:rPr>
          <w:spacing w:val="-8"/>
        </w:rPr>
        <w:t> </w:t>
      </w:r>
      <w:r>
        <w:rPr/>
        <w:t>expresa</w:t>
      </w:r>
      <w:r>
        <w:rPr>
          <w:w w:val="99"/>
        </w:rPr>
        <w:t> </w:t>
      </w:r>
      <w:r>
        <w:rPr/>
        <w:t>una</w:t>
      </w:r>
      <w:r>
        <w:rPr>
          <w:spacing w:val="29"/>
        </w:rPr>
        <w:t> </w:t>
      </w:r>
      <w:r>
        <w:rPr/>
        <w:t>sola</w:t>
      </w:r>
      <w:r>
        <w:rPr>
          <w:spacing w:val="29"/>
        </w:rPr>
        <w:t> </w:t>
      </w:r>
      <w:r>
        <w:rPr/>
        <w:t>forma</w:t>
      </w:r>
      <w:r>
        <w:rPr>
          <w:spacing w:val="29"/>
        </w:rPr>
        <w:t> </w:t>
      </w:r>
      <w:r>
        <w:rPr/>
        <w:t>de</w:t>
      </w:r>
      <w:r>
        <w:rPr>
          <w:spacing w:val="29"/>
        </w:rPr>
        <w:t> </w:t>
      </w:r>
      <w:r>
        <w:rPr/>
        <w:t>ocupación</w:t>
      </w:r>
      <w:r>
        <w:rPr>
          <w:spacing w:val="29"/>
        </w:rPr>
        <w:t> </w:t>
      </w:r>
      <w:r>
        <w:rPr/>
        <w:t>en</w:t>
      </w:r>
      <w:r>
        <w:rPr>
          <w:spacing w:val="29"/>
        </w:rPr>
        <w:t> </w:t>
      </w:r>
      <w:r>
        <w:rPr/>
        <w:t>la</w:t>
      </w:r>
      <w:r>
        <w:rPr>
          <w:spacing w:val="29"/>
        </w:rPr>
        <w:t> </w:t>
      </w:r>
      <w:r>
        <w:rPr/>
        <w:t>periferia,</w:t>
      </w:r>
      <w:r>
        <w:rPr>
          <w:spacing w:val="29"/>
        </w:rPr>
        <w:t> </w:t>
      </w:r>
      <w:r>
        <w:rPr/>
        <w:t>no</w:t>
      </w:r>
      <w:r>
        <w:rPr>
          <w:spacing w:val="29"/>
        </w:rPr>
        <w:t> </w:t>
      </w:r>
      <w:r>
        <w:rPr/>
        <w:t>obstante</w:t>
      </w:r>
      <w:r>
        <w:rPr>
          <w:spacing w:val="29"/>
        </w:rPr>
        <w:t> </w:t>
      </w:r>
      <w:r>
        <w:rPr/>
        <w:t>existen</w:t>
      </w:r>
      <w:r>
        <w:rPr>
          <w:spacing w:val="29"/>
        </w:rPr>
        <w:t> </w:t>
      </w:r>
      <w:r>
        <w:rPr/>
        <w:t>una</w:t>
      </w:r>
      <w:r>
        <w:rPr>
          <w:spacing w:val="29"/>
        </w:rPr>
        <w:t> </w:t>
      </w:r>
      <w:r>
        <w:rPr/>
        <w:t>diversidad</w:t>
      </w:r>
      <w:r>
        <w:rPr>
          <w:spacing w:val="29"/>
        </w:rPr>
        <w:t> </w:t>
      </w:r>
      <w:r>
        <w:rPr/>
        <w:t>de</w:t>
      </w:r>
      <w:r>
        <w:rPr>
          <w:w w:val="101"/>
        </w:rPr>
        <w:t> </w:t>
      </w:r>
      <w:r>
        <w:rPr/>
        <w:t>fenómenos</w:t>
      </w:r>
      <w:r>
        <w:rPr>
          <w:spacing w:val="-13"/>
        </w:rPr>
        <w:t> </w:t>
      </w:r>
      <w:r>
        <w:rPr/>
        <w:t>que</w:t>
      </w:r>
      <w:r>
        <w:rPr>
          <w:spacing w:val="-13"/>
        </w:rPr>
        <w:t> </w:t>
      </w:r>
      <w:r>
        <w:rPr/>
        <w:t>se</w:t>
      </w:r>
      <w:r>
        <w:rPr>
          <w:spacing w:val="-13"/>
        </w:rPr>
        <w:t> </w:t>
      </w:r>
      <w:r>
        <w:rPr/>
        <w:t>desenvuelven</w:t>
      </w:r>
      <w:r>
        <w:rPr>
          <w:spacing w:val="-13"/>
        </w:rPr>
        <w:t> </w:t>
      </w:r>
      <w:r>
        <w:rPr/>
        <w:t>y</w:t>
      </w:r>
      <w:r>
        <w:rPr>
          <w:spacing w:val="-13"/>
        </w:rPr>
        <w:t> </w:t>
      </w:r>
      <w:r>
        <w:rPr/>
        <w:t>que</w:t>
      </w:r>
      <w:r>
        <w:rPr>
          <w:spacing w:val="-13"/>
        </w:rPr>
        <w:t> </w:t>
      </w:r>
      <w:r>
        <w:rPr/>
        <w:t>la</w:t>
      </w:r>
      <w:r>
        <w:rPr>
          <w:spacing w:val="-13"/>
        </w:rPr>
        <w:t> </w:t>
      </w:r>
      <w:r>
        <w:rPr/>
        <w:t>hacen</w:t>
      </w:r>
      <w:r>
        <w:rPr>
          <w:spacing w:val="-13"/>
        </w:rPr>
        <w:t> </w:t>
      </w:r>
      <w:r>
        <w:rPr/>
        <w:t>diversa.</w:t>
      </w:r>
      <w:r>
        <w:rPr>
          <w:spacing w:val="-13"/>
        </w:rPr>
        <w:t> </w:t>
      </w:r>
      <w:r>
        <w:rPr/>
        <w:t>Antes</w:t>
      </w:r>
      <w:r>
        <w:rPr>
          <w:spacing w:val="-13"/>
        </w:rPr>
        <w:t> </w:t>
      </w:r>
      <w:r>
        <w:rPr/>
        <w:t>de</w:t>
      </w:r>
      <w:r>
        <w:rPr>
          <w:spacing w:val="-13"/>
        </w:rPr>
        <w:t> </w:t>
      </w:r>
      <w:r>
        <w:rPr/>
        <w:t>concebir</w:t>
      </w:r>
      <w:r>
        <w:rPr>
          <w:spacing w:val="-13"/>
        </w:rPr>
        <w:t> </w:t>
      </w:r>
      <w:r>
        <w:rPr/>
        <w:t>una</w:t>
      </w:r>
      <w:r>
        <w:rPr>
          <w:spacing w:val="-13"/>
        </w:rPr>
        <w:t> </w:t>
      </w:r>
      <w:r>
        <w:rPr/>
        <w:t>realidad</w:t>
      </w:r>
      <w:r>
        <w:rPr>
          <w:w w:val="100"/>
        </w:rPr>
        <w:t> </w:t>
      </w:r>
      <w:r>
        <w:rPr/>
        <w:t>latente en nuestras ciudades, nos parece necesario primero</w:t>
      </w:r>
      <w:r>
        <w:rPr>
          <w:spacing w:val="51"/>
        </w:rPr>
        <w:t> </w:t>
      </w:r>
      <w:r>
        <w:rPr/>
        <w:t>comprender</w:t>
      </w:r>
      <w:r>
        <w:rPr>
          <w:spacing w:val="6"/>
        </w:rPr>
        <w:t> </w:t>
      </w:r>
      <w:r>
        <w:rPr/>
        <w:t>teóricamente</w:t>
      </w:r>
      <w:r>
        <w:rPr>
          <w:w w:val="101"/>
        </w:rPr>
        <w:t> </w:t>
      </w:r>
      <w:r>
        <w:rPr/>
        <w:t>el concepto de periferia y, a su vez, los enfoques clásicos y modernos que</w:t>
      </w:r>
      <w:r>
        <w:rPr>
          <w:spacing w:val="41"/>
        </w:rPr>
        <w:t> </w:t>
      </w:r>
      <w:r>
        <w:rPr/>
        <w:t>la</w:t>
      </w:r>
      <w:r>
        <w:rPr>
          <w:spacing w:val="2"/>
        </w:rPr>
        <w:t> </w:t>
      </w:r>
      <w:r>
        <w:rPr/>
        <w:t>analizan.</w:t>
      </w:r>
      <w:r>
        <w:rPr>
          <w:w w:val="98"/>
        </w:rPr>
        <w:t> </w:t>
      </w:r>
      <w:r>
        <w:rPr/>
        <w:t>Conforme a lo anterior, el presente trabajo muestra un esfuerzo para</w:t>
      </w:r>
      <w:r>
        <w:rPr>
          <w:spacing w:val="17"/>
        </w:rPr>
        <w:t> </w:t>
      </w:r>
      <w:r>
        <w:rPr/>
        <w:t>delimitar</w:t>
      </w:r>
      <w:r>
        <w:rPr>
          <w:spacing w:val="16"/>
        </w:rPr>
        <w:t> </w:t>
      </w:r>
      <w:r>
        <w:rPr/>
        <w:t>este</w:t>
      </w:r>
      <w:r>
        <w:rPr>
          <w:w w:val="99"/>
        </w:rPr>
        <w:t> </w:t>
      </w:r>
      <w:r>
        <w:rPr/>
        <w:t>proceso, teniendo como objetivo abordar los diversos planteamientos</w:t>
      </w:r>
      <w:r>
        <w:rPr>
          <w:spacing w:val="23"/>
        </w:rPr>
        <w:t> </w:t>
      </w:r>
      <w:r>
        <w:rPr/>
        <w:t>y</w:t>
      </w:r>
      <w:r>
        <w:rPr>
          <w:spacing w:val="3"/>
        </w:rPr>
        <w:t> </w:t>
      </w:r>
      <w:r>
        <w:rPr/>
        <w:t>enfoques</w:t>
      </w:r>
      <w:r>
        <w:rPr>
          <w:w w:val="100"/>
        </w:rPr>
        <w:t> </w:t>
      </w:r>
      <w:r>
        <w:rPr/>
        <w:t>teóricos  que  sobre  la  periferia  se  han  desarrollado  para  explicar  su  naturaleza</w:t>
      </w:r>
      <w:r>
        <w:rPr>
          <w:spacing w:val="32"/>
        </w:rPr>
        <w:t> </w:t>
      </w:r>
      <w:r>
        <w:rPr/>
        <w:t>y</w:t>
      </w:r>
    </w:p>
    <w:p>
      <w:pPr>
        <w:pStyle w:val="BodyText"/>
        <w:spacing w:before="1"/>
        <w:ind w:left="130" w:right="-7"/>
      </w:pPr>
      <w:r>
        <w:rPr/>
        <w:t>características ,  frente a los nuevos procesos sociales y territoriales.</w:t>
      </w:r>
    </w:p>
    <w:p>
      <w:pPr>
        <w:pStyle w:val="BodyText"/>
        <w:spacing w:line="249" w:lineRule="auto" w:before="109"/>
        <w:ind w:left="130" w:right="127" w:firstLine="170"/>
        <w:jc w:val="both"/>
      </w:pPr>
      <w:r>
        <w:rPr/>
        <w:br w:type="column"/>
      </w:r>
      <w:r>
        <w:rPr>
          <w:spacing w:val="2"/>
        </w:rPr>
        <w:t>Elestudioseestructura endosanálisis:</w:t>
      </w:r>
      <w:r>
        <w:rPr>
          <w:spacing w:val="-29"/>
        </w:rPr>
        <w:t> </w:t>
      </w:r>
      <w:r>
        <w:rPr>
          <w:spacing w:val="3"/>
        </w:rPr>
        <w:t>elprimerodeellosserefierealacontextualización </w:t>
      </w:r>
      <w:r>
        <w:rPr/>
        <w:t>teórica del proceso de metropolización, en el que se delimitan los procesos  urbanos   y las formas sociales de ocupación del espacio, tomando como referente espacial la periferia; el segundo análisis aborda los diversos aspectos conceptuales para entender la</w:t>
      </w:r>
      <w:r>
        <w:rPr>
          <w:spacing w:val="-4"/>
        </w:rPr>
        <w:t> </w:t>
      </w:r>
      <w:r>
        <w:rPr/>
        <w:t>periferia</w:t>
      </w:r>
      <w:r>
        <w:rPr>
          <w:spacing w:val="-4"/>
        </w:rPr>
        <w:t> </w:t>
      </w:r>
      <w:r>
        <w:rPr/>
        <w:t>retomando</w:t>
      </w:r>
      <w:r>
        <w:rPr>
          <w:spacing w:val="-4"/>
        </w:rPr>
        <w:t> </w:t>
      </w:r>
      <w:r>
        <w:rPr/>
        <w:t>los</w:t>
      </w:r>
      <w:r>
        <w:rPr>
          <w:spacing w:val="-4"/>
        </w:rPr>
        <w:t> </w:t>
      </w:r>
      <w:r>
        <w:rPr/>
        <w:t>enfoques</w:t>
      </w:r>
      <w:r>
        <w:rPr>
          <w:spacing w:val="-4"/>
        </w:rPr>
        <w:t> </w:t>
      </w:r>
      <w:r>
        <w:rPr/>
        <w:t>clásicos</w:t>
      </w:r>
      <w:r>
        <w:rPr>
          <w:spacing w:val="-4"/>
        </w:rPr>
        <w:t> </w:t>
      </w:r>
      <w:r>
        <w:rPr/>
        <w:t>y</w:t>
      </w:r>
      <w:r>
        <w:rPr>
          <w:spacing w:val="-4"/>
        </w:rPr>
        <w:t> </w:t>
      </w:r>
      <w:r>
        <w:rPr/>
        <w:t>modernos,</w:t>
      </w:r>
      <w:r>
        <w:rPr>
          <w:spacing w:val="-4"/>
        </w:rPr>
        <w:t> </w:t>
      </w:r>
      <w:r>
        <w:rPr/>
        <w:t>a</w:t>
      </w:r>
      <w:r>
        <w:rPr>
          <w:spacing w:val="-4"/>
        </w:rPr>
        <w:t> </w:t>
      </w:r>
      <w:r>
        <w:rPr/>
        <w:t>fin</w:t>
      </w:r>
      <w:r>
        <w:rPr>
          <w:spacing w:val="-4"/>
        </w:rPr>
        <w:t> </w:t>
      </w:r>
      <w:r>
        <w:rPr/>
        <w:t>de</w:t>
      </w:r>
      <w:r>
        <w:rPr>
          <w:spacing w:val="-4"/>
        </w:rPr>
        <w:t> </w:t>
      </w:r>
      <w:r>
        <w:rPr/>
        <w:t>entender</w:t>
      </w:r>
      <w:r>
        <w:rPr>
          <w:spacing w:val="-4"/>
        </w:rPr>
        <w:t> </w:t>
      </w:r>
      <w:r>
        <w:rPr/>
        <w:t>la</w:t>
      </w:r>
      <w:r>
        <w:rPr>
          <w:spacing w:val="-4"/>
        </w:rPr>
        <w:t> </w:t>
      </w:r>
      <w:r>
        <w:rPr/>
        <w:t>diferencia entre estas dos posturas en torno a la ocupación del espacio. Los resultados</w:t>
      </w:r>
      <w:r>
        <w:rPr>
          <w:spacing w:val="-27"/>
        </w:rPr>
        <w:t> </w:t>
      </w:r>
      <w:r>
        <w:rPr/>
        <w:t>obtenidos muestran que las dos posturas lejos de ser antagónicos, se complementan uno con el otro, en un proceso de inclusión y </w:t>
      </w:r>
      <w:r>
        <w:rPr>
          <w:spacing w:val="20"/>
        </w:rPr>
        <w:t> </w:t>
      </w:r>
      <w:r>
        <w:rPr/>
        <w:t>complementación.</w:t>
      </w:r>
    </w:p>
    <w:p>
      <w:pPr>
        <w:pStyle w:val="BodyText"/>
        <w:spacing w:before="8"/>
        <w:rPr>
          <w:sz w:val="17"/>
        </w:rPr>
      </w:pPr>
    </w:p>
    <w:p>
      <w:pPr>
        <w:pStyle w:val="Heading1"/>
        <w:ind w:right="-10"/>
      </w:pPr>
      <w:r>
        <w:rPr/>
        <w:t>El fenómeno metropolitano</w:t>
      </w:r>
    </w:p>
    <w:p>
      <w:pPr>
        <w:pStyle w:val="BodyText"/>
        <w:rPr>
          <w:b/>
          <w:sz w:val="21"/>
        </w:rPr>
      </w:pPr>
    </w:p>
    <w:p>
      <w:pPr>
        <w:pStyle w:val="BodyText"/>
        <w:spacing w:line="249" w:lineRule="auto"/>
        <w:ind w:left="130" w:right="127" w:firstLine="170"/>
        <w:jc w:val="both"/>
      </w:pPr>
      <w:r>
        <w:rPr/>
        <w:t>Uno de los primeros estudiosos que explica el concepto de metrópoli es Mackenzie (citado en Lezama, 2002: 25), quien lo reconoce como un mosaico con funciones especializadas,</w:t>
      </w:r>
      <w:r>
        <w:rPr>
          <w:spacing w:val="-16"/>
        </w:rPr>
        <w:t> </w:t>
      </w:r>
      <w:r>
        <w:rPr/>
        <w:t>integrado</w:t>
      </w:r>
      <w:r>
        <w:rPr>
          <w:spacing w:val="-16"/>
        </w:rPr>
        <w:t> </w:t>
      </w:r>
      <w:r>
        <w:rPr/>
        <w:t>de</w:t>
      </w:r>
      <w:r>
        <w:rPr>
          <w:spacing w:val="-16"/>
        </w:rPr>
        <w:t> </w:t>
      </w:r>
      <w:r>
        <w:rPr/>
        <w:t>sub</w:t>
      </w:r>
      <w:r>
        <w:rPr>
          <w:spacing w:val="-16"/>
        </w:rPr>
        <w:t> </w:t>
      </w:r>
      <w:r>
        <w:rPr/>
        <w:t>áreas</w:t>
      </w:r>
      <w:r>
        <w:rPr>
          <w:spacing w:val="-16"/>
        </w:rPr>
        <w:t> </w:t>
      </w:r>
      <w:r>
        <w:rPr/>
        <w:t>de</w:t>
      </w:r>
      <w:r>
        <w:rPr>
          <w:spacing w:val="-16"/>
        </w:rPr>
        <w:t> </w:t>
      </w:r>
      <w:r>
        <w:rPr/>
        <w:t>cuya</w:t>
      </w:r>
      <w:r>
        <w:rPr>
          <w:spacing w:val="-16"/>
        </w:rPr>
        <w:t> </w:t>
      </w:r>
      <w:r>
        <w:rPr/>
        <w:t>unión</w:t>
      </w:r>
      <w:r>
        <w:rPr>
          <w:spacing w:val="-16"/>
        </w:rPr>
        <w:t> </w:t>
      </w:r>
      <w:r>
        <w:rPr/>
        <w:t>surge</w:t>
      </w:r>
      <w:r>
        <w:rPr>
          <w:spacing w:val="-16"/>
        </w:rPr>
        <w:t> </w:t>
      </w:r>
      <w:r>
        <w:rPr/>
        <w:t>una</w:t>
      </w:r>
      <w:r>
        <w:rPr>
          <w:spacing w:val="-16"/>
        </w:rPr>
        <w:t> </w:t>
      </w:r>
      <w:r>
        <w:rPr/>
        <w:t>nueva</w:t>
      </w:r>
      <w:r>
        <w:rPr>
          <w:spacing w:val="-16"/>
        </w:rPr>
        <w:t> </w:t>
      </w:r>
      <w:r>
        <w:rPr/>
        <w:t>entidad</w:t>
      </w:r>
      <w:r>
        <w:rPr>
          <w:spacing w:val="-16"/>
        </w:rPr>
        <w:t> </w:t>
      </w:r>
      <w:r>
        <w:rPr/>
        <w:t>funcional que crece a partir de un centro dominante hacia su área de influencia. Mackenzie da cuenta de la importancia de las comunidades de menor tamaño, ya que al estudiar la organización</w:t>
      </w:r>
      <w:r>
        <w:rPr>
          <w:spacing w:val="-13"/>
        </w:rPr>
        <w:t> </w:t>
      </w:r>
      <w:r>
        <w:rPr/>
        <w:t>urbana</w:t>
      </w:r>
      <w:r>
        <w:rPr>
          <w:spacing w:val="-13"/>
        </w:rPr>
        <w:t> </w:t>
      </w:r>
      <w:r>
        <w:rPr/>
        <w:t>a</w:t>
      </w:r>
      <w:r>
        <w:rPr>
          <w:spacing w:val="-13"/>
        </w:rPr>
        <w:t> </w:t>
      </w:r>
      <w:r>
        <w:rPr/>
        <w:t>nivel</w:t>
      </w:r>
      <w:r>
        <w:rPr>
          <w:spacing w:val="-13"/>
        </w:rPr>
        <w:t> </w:t>
      </w:r>
      <w:r>
        <w:rPr/>
        <w:t>regional</w:t>
      </w:r>
      <w:r>
        <w:rPr>
          <w:spacing w:val="-13"/>
        </w:rPr>
        <w:t> </w:t>
      </w:r>
      <w:r>
        <w:rPr/>
        <w:t>(metrópoli)</w:t>
      </w:r>
      <w:r>
        <w:rPr>
          <w:spacing w:val="-13"/>
        </w:rPr>
        <w:t> </w:t>
      </w:r>
      <w:r>
        <w:rPr/>
        <w:t>era</w:t>
      </w:r>
      <w:r>
        <w:rPr>
          <w:spacing w:val="-13"/>
        </w:rPr>
        <w:t> </w:t>
      </w:r>
      <w:r>
        <w:rPr/>
        <w:t>necesario</w:t>
      </w:r>
      <w:r>
        <w:rPr>
          <w:spacing w:val="-13"/>
        </w:rPr>
        <w:t> </w:t>
      </w:r>
      <w:r>
        <w:rPr/>
        <w:t>analizar</w:t>
      </w:r>
      <w:r>
        <w:rPr>
          <w:spacing w:val="-13"/>
        </w:rPr>
        <w:t> </w:t>
      </w:r>
      <w:r>
        <w:rPr/>
        <w:t>también</w:t>
      </w:r>
      <w:r>
        <w:rPr>
          <w:spacing w:val="-13"/>
        </w:rPr>
        <w:t> </w:t>
      </w:r>
      <w:r>
        <w:rPr/>
        <w:t>el</w:t>
      </w:r>
      <w:r>
        <w:rPr>
          <w:spacing w:val="-13"/>
        </w:rPr>
        <w:t> </w:t>
      </w:r>
      <w:r>
        <w:rPr/>
        <w:t>centro y la comunidad local, señalando de esta forma que existe una interdependencia entre áreas distantes y diferentes, entre centro y</w:t>
      </w:r>
      <w:r>
        <w:rPr>
          <w:spacing w:val="23"/>
        </w:rPr>
        <w:t> </w:t>
      </w:r>
      <w:r>
        <w:rPr/>
        <w:t>periferia.</w:t>
      </w:r>
    </w:p>
    <w:p>
      <w:pPr>
        <w:pStyle w:val="BodyText"/>
        <w:spacing w:before="11"/>
      </w:pPr>
    </w:p>
    <w:p>
      <w:pPr>
        <w:pStyle w:val="BodyText"/>
        <w:spacing w:line="249" w:lineRule="auto"/>
        <w:ind w:left="130" w:right="127" w:firstLine="170"/>
        <w:jc w:val="both"/>
      </w:pPr>
      <w:r>
        <w:rPr/>
        <w:t>Mackenzie manifiesta que la expansión física de las ciudades ha experimentado un fenómeno acelerado y particular sin precedentes, su característica es un crecimiento físico desproporcionado, que no puede  ser  explicado  únicamente  como  producto del crecimiento demográfico sino por diferentes factores. Los efectos territoriales, asociados con  el  crecimiento  y  expansión  física,  la  restructuración  del  territorio,  la nueva y compleja relación entre las áreas centrales, subcentros y la aparición de nuevas</w:t>
      </w:r>
      <w:r>
        <w:rPr>
          <w:spacing w:val="-9"/>
        </w:rPr>
        <w:t> </w:t>
      </w:r>
      <w:r>
        <w:rPr/>
        <w:t>periferias,</w:t>
      </w:r>
      <w:r>
        <w:rPr>
          <w:spacing w:val="-9"/>
        </w:rPr>
        <w:t> </w:t>
      </w:r>
      <w:r>
        <w:rPr/>
        <w:t>caracterizan</w:t>
      </w:r>
      <w:r>
        <w:rPr>
          <w:spacing w:val="-9"/>
        </w:rPr>
        <w:t> </w:t>
      </w:r>
      <w:r>
        <w:rPr/>
        <w:t>la</w:t>
      </w:r>
      <w:r>
        <w:rPr>
          <w:spacing w:val="-9"/>
        </w:rPr>
        <w:t> </w:t>
      </w:r>
      <w:r>
        <w:rPr/>
        <w:t>estructura</w:t>
      </w:r>
      <w:r>
        <w:rPr>
          <w:spacing w:val="-9"/>
        </w:rPr>
        <w:t> </w:t>
      </w:r>
      <w:r>
        <w:rPr/>
        <w:t>urbana</w:t>
      </w:r>
      <w:r>
        <w:rPr>
          <w:spacing w:val="-9"/>
        </w:rPr>
        <w:t> </w:t>
      </w:r>
      <w:r>
        <w:rPr/>
        <w:t>actual,</w:t>
      </w:r>
      <w:r>
        <w:rPr>
          <w:spacing w:val="-9"/>
        </w:rPr>
        <w:t> </w:t>
      </w:r>
      <w:r>
        <w:rPr/>
        <w:t>particularmente</w:t>
      </w:r>
      <w:r>
        <w:rPr>
          <w:spacing w:val="-9"/>
        </w:rPr>
        <w:t> </w:t>
      </w:r>
      <w:r>
        <w:rPr/>
        <w:t>en</w:t>
      </w:r>
      <w:r>
        <w:rPr>
          <w:spacing w:val="-9"/>
        </w:rPr>
        <w:t> </w:t>
      </w:r>
      <w:r>
        <w:rPr/>
        <w:t>procesos de ocupación del espacio, donde el fenómeno metropolitano es el proceso espacial que lo contiene, favoreciendo la expansión y dispersión de las áreas metropolitanas y conformado nuevas</w:t>
      </w:r>
      <w:r>
        <w:rPr>
          <w:spacing w:val="21"/>
        </w:rPr>
        <w:t> </w:t>
      </w:r>
      <w:r>
        <w:rPr/>
        <w:t>periferias.</w:t>
      </w:r>
    </w:p>
    <w:p>
      <w:pPr>
        <w:pStyle w:val="BodyText"/>
        <w:spacing w:before="11"/>
      </w:pPr>
    </w:p>
    <w:p>
      <w:pPr>
        <w:pStyle w:val="BodyText"/>
        <w:spacing w:line="249" w:lineRule="auto"/>
        <w:ind w:left="130" w:right="127" w:firstLine="170"/>
        <w:jc w:val="both"/>
      </w:pPr>
      <w:r>
        <w:rPr/>
        <w:t>El proceso de metropolización y la larga trayectoria de urbanización inician con        la revolución industrial en el siglo XIX, sin embargo, su dimensión y comprensión administrativa y su cuantificación, se concretan en el siglo XX. La Oficina del Censo de Estados Unidos, ante la necesidad de estudiar las ciudades juntamente con sus áreas suburbanas, se reconocen distritos metropolitanos a partir del censo de 1910 (Frick, 1994 citado en Capel, 2003:</w:t>
      </w:r>
      <w:r>
        <w:rPr>
          <w:spacing w:val="2"/>
        </w:rPr>
        <w:t> </w:t>
      </w:r>
      <w:r>
        <w:rPr/>
        <w:t>201).</w:t>
      </w:r>
    </w:p>
    <w:p>
      <w:pPr>
        <w:pStyle w:val="BodyText"/>
        <w:spacing w:before="11"/>
      </w:pPr>
    </w:p>
    <w:p>
      <w:pPr>
        <w:pStyle w:val="BodyText"/>
        <w:spacing w:line="249" w:lineRule="auto"/>
        <w:ind w:left="130" w:right="128" w:firstLine="170"/>
        <w:jc w:val="both"/>
      </w:pPr>
      <w:r>
        <w:rPr/>
        <w:t>A nivel mundial se han desarrollado discusiones en torno al estudio de los procesos metropolitanos, su origen, naturaleza y evolución. Por ejemplo, en América Latina, Rodríguez y Oviedo (2001: 8) argumentan que el término de área metropolitana surge cuando</w:t>
      </w:r>
      <w:r>
        <w:rPr>
          <w:spacing w:val="-16"/>
        </w:rPr>
        <w:t> </w:t>
      </w:r>
      <w:r>
        <w:rPr/>
        <w:t>el</w:t>
      </w:r>
      <w:r>
        <w:rPr>
          <w:spacing w:val="-16"/>
        </w:rPr>
        <w:t> </w:t>
      </w:r>
      <w:r>
        <w:rPr/>
        <w:t>término</w:t>
      </w:r>
      <w:r>
        <w:rPr>
          <w:spacing w:val="-16"/>
        </w:rPr>
        <w:t> </w:t>
      </w:r>
      <w:r>
        <w:rPr/>
        <w:t>de</w:t>
      </w:r>
      <w:r>
        <w:rPr>
          <w:spacing w:val="-16"/>
        </w:rPr>
        <w:t> </w:t>
      </w:r>
      <w:r>
        <w:rPr/>
        <w:t>ciudad</w:t>
      </w:r>
      <w:r>
        <w:rPr>
          <w:spacing w:val="-16"/>
        </w:rPr>
        <w:t> </w:t>
      </w:r>
      <w:r>
        <w:rPr/>
        <w:t>dejó</w:t>
      </w:r>
      <w:r>
        <w:rPr>
          <w:spacing w:val="-16"/>
        </w:rPr>
        <w:t> </w:t>
      </w:r>
      <w:r>
        <w:rPr/>
        <w:t>de</w:t>
      </w:r>
      <w:r>
        <w:rPr>
          <w:spacing w:val="-16"/>
        </w:rPr>
        <w:t> </w:t>
      </w:r>
      <w:r>
        <w:rPr/>
        <w:t>ser</w:t>
      </w:r>
      <w:r>
        <w:rPr>
          <w:spacing w:val="-16"/>
        </w:rPr>
        <w:t> </w:t>
      </w:r>
      <w:r>
        <w:rPr/>
        <w:t>lo</w:t>
      </w:r>
      <w:r>
        <w:rPr>
          <w:spacing w:val="-16"/>
        </w:rPr>
        <w:t> </w:t>
      </w:r>
      <w:r>
        <w:rPr/>
        <w:t>equivalente</w:t>
      </w:r>
      <w:r>
        <w:rPr>
          <w:spacing w:val="-16"/>
        </w:rPr>
        <w:t> </w:t>
      </w:r>
      <w:r>
        <w:rPr/>
        <w:t>a</w:t>
      </w:r>
      <w:r>
        <w:rPr>
          <w:spacing w:val="-16"/>
        </w:rPr>
        <w:t> </w:t>
      </w:r>
      <w:r>
        <w:rPr/>
        <w:t>urbano,</w:t>
      </w:r>
      <w:r>
        <w:rPr>
          <w:spacing w:val="-16"/>
        </w:rPr>
        <w:t> </w:t>
      </w:r>
      <w:r>
        <w:rPr/>
        <w:t>por</w:t>
      </w:r>
      <w:r>
        <w:rPr>
          <w:spacing w:val="-16"/>
        </w:rPr>
        <w:t> </w:t>
      </w:r>
      <w:r>
        <w:rPr/>
        <w:t>lo</w:t>
      </w:r>
      <w:r>
        <w:rPr>
          <w:spacing w:val="-16"/>
        </w:rPr>
        <w:t> </w:t>
      </w:r>
      <w:r>
        <w:rPr/>
        <w:t>que</w:t>
      </w:r>
      <w:r>
        <w:rPr>
          <w:spacing w:val="-16"/>
        </w:rPr>
        <w:t> </w:t>
      </w:r>
      <w:r>
        <w:rPr/>
        <w:t>fue</w:t>
      </w:r>
      <w:r>
        <w:rPr>
          <w:spacing w:val="-16"/>
        </w:rPr>
        <w:t> </w:t>
      </w:r>
      <w:r>
        <w:rPr/>
        <w:t>necesario</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39"/>
          <w:pgSz w:w="18830" w:h="12760" w:orient="landscape"/>
          <w:pgMar w:footer="1036" w:header="522" w:top="820" w:bottom="1220" w:left="720" w:right="720"/>
        </w:sectPr>
      </w:pPr>
    </w:p>
    <w:p>
      <w:pPr>
        <w:pStyle w:val="BodyText"/>
        <w:spacing w:line="249" w:lineRule="auto" w:before="76"/>
        <w:ind w:left="130"/>
        <w:jc w:val="both"/>
      </w:pPr>
      <w:r>
        <w:rPr/>
        <w:t>contar con un nuevo término que diera cuenta de las áreas urbanas en torno a la ciudad central. Bazán (1991), determina que el Estado incurre en la conformación de</w:t>
      </w:r>
      <w:r>
        <w:rPr>
          <w:spacing w:val="-30"/>
        </w:rPr>
        <w:t> </w:t>
      </w:r>
      <w:r>
        <w:rPr/>
        <w:t>la estructura urbana a través de instrumentos jurídicos, políticos e ideológicos que, junto a la planeación, determina la configuración del espacio urbano, donde las necesidades colectivas son un factor determinante en el ordenamiento territorial, lo cual propicia la incapacidad de la planeación para controlar la estructura urbana (Bazán,</w:t>
      </w:r>
      <w:r>
        <w:rPr>
          <w:spacing w:val="22"/>
        </w:rPr>
        <w:t> </w:t>
      </w:r>
      <w:r>
        <w:rPr/>
        <w:t>1991).</w:t>
      </w:r>
    </w:p>
    <w:p>
      <w:pPr>
        <w:pStyle w:val="BodyText"/>
        <w:spacing w:before="11"/>
      </w:pPr>
    </w:p>
    <w:p>
      <w:pPr>
        <w:pStyle w:val="BodyText"/>
        <w:spacing w:line="249" w:lineRule="auto"/>
        <w:ind w:left="130" w:firstLine="170"/>
        <w:jc w:val="both"/>
      </w:pPr>
      <w:r>
        <w:rPr/>
        <w:t>De acuerdo con Kilnk (2005: 128, 130), “las ciudades metropolitanas se caracterizan principalmente por tener intensas interdependencias y factores externos/efectos secundarios entre los territorios locales, mientras que el conjunto de esos territorios tiene características comunes funcionales socioeconómicas, políticas  e  históricas  que le otorgan una identidad colectiva”. En el contexto económico global, las “áreas metropolitanas cumplen nuevas funciones dentro de la comunidad internacional”, elementos como la nueva función territorial y competitiva en la economía global, en la cual la ciudad ha sufrido una reestructuración económica, generando así la creación  de más áreas metropolitanas, las cuales buscan desarrollar las tan afamadas ventajas competitivas, con la delegación de nuevas funciones a las áreas  metropolitanas.</w:t>
      </w:r>
    </w:p>
    <w:p>
      <w:pPr>
        <w:pStyle w:val="BodyText"/>
        <w:spacing w:before="11"/>
      </w:pPr>
    </w:p>
    <w:p>
      <w:pPr>
        <w:pStyle w:val="BodyText"/>
        <w:spacing w:line="249" w:lineRule="auto"/>
        <w:ind w:left="130" w:firstLine="170"/>
        <w:jc w:val="both"/>
      </w:pPr>
      <w:r>
        <w:rPr/>
        <w:t>Para Bettin (1982: 94) el “crecimiento metropolitano consiste en la redistribución     de la población de un determinado país alrededor de las ciudades dominantes. Esta redistribución causada en primer lugar por el desarrollo industrial y, en una segunda fase, por el desarrollo del sector terciario se realiza gracias a los modernos medios    de comunicación”; menciona que “la ciudad tiene tendencia a desarrollarse a través   de un proceso de centralización creciente a la que más tarde seguirá un proceso       de descentralización” (1982: 93); en un primer momento existe una especialización, para después desplazase a las áreas de influencia, principalmente por el aumento poblacional de las actividades y casas habitación que se expanden en dirección contraria al centro (Lezama,</w:t>
      </w:r>
      <w:r>
        <w:rPr>
          <w:spacing w:val="-20"/>
        </w:rPr>
        <w:t> </w:t>
      </w:r>
      <w:r>
        <w:rPr/>
        <w:t>2005).</w:t>
      </w: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357" w:lineRule="auto" w:before="127"/>
        <w:ind w:left="187" w:right="1" w:hanging="57"/>
        <w:jc w:val="both"/>
        <w:rPr>
          <w:sz w:val="14"/>
        </w:rPr>
      </w:pPr>
      <w:r>
        <w:rPr/>
        <w:pict>
          <v:line style="position:absolute;mso-position-horizontal-relative:page;mso-position-vertical-relative:paragraph;z-index:1576" from="42.519699pt,-11.083281pt" to="428.031699pt,-11.083281pt" stroked="true" strokeweight=".5pt" strokecolor="#6d6e71">
            <w10:wrap type="none"/>
          </v:line>
        </w:pict>
      </w:r>
      <w:r>
        <w:rPr>
          <w:color w:val="6D6E71"/>
          <w:position w:val="5"/>
          <w:sz w:val="8"/>
        </w:rPr>
        <w:t>1. </w:t>
      </w:r>
      <w:r>
        <w:rPr>
          <w:color w:val="6D6E71"/>
          <w:sz w:val="14"/>
        </w:rPr>
        <w:t>Que alude a la estructura urbana que se extiende en el territorio de dos o más municipios con usos el suelo de naturaleza no agrícola y que, partiendo del núcleo o centro comercial y de negocios, presenta continuidad física en todas direcciones hasta que se interrumpe en forma notoria por terrenos de uso no urbano como bosques, sembradíos, o cuerpos de agua</w:t>
      </w:r>
    </w:p>
    <w:p>
      <w:pPr>
        <w:pStyle w:val="BodyText"/>
        <w:rPr>
          <w:sz w:val="14"/>
        </w:rPr>
      </w:pPr>
    </w:p>
    <w:p>
      <w:pPr>
        <w:spacing w:line="357" w:lineRule="auto" w:before="81"/>
        <w:ind w:left="187" w:right="0" w:hanging="57"/>
        <w:jc w:val="both"/>
        <w:rPr>
          <w:sz w:val="14"/>
        </w:rPr>
      </w:pPr>
      <w:r>
        <w:rPr>
          <w:color w:val="6D6E71"/>
          <w:position w:val="5"/>
          <w:sz w:val="8"/>
        </w:rPr>
        <w:t>2.</w:t>
      </w:r>
      <w:r>
        <w:rPr>
          <w:color w:val="6D6E71"/>
          <w:spacing w:val="-2"/>
          <w:position w:val="5"/>
          <w:sz w:val="8"/>
        </w:rPr>
        <w:t> </w:t>
      </w:r>
      <w:r>
        <w:rPr>
          <w:color w:val="6D6E71"/>
          <w:sz w:val="14"/>
        </w:rPr>
        <w:t>Que</w:t>
      </w:r>
      <w:r>
        <w:rPr>
          <w:color w:val="6D6E71"/>
          <w:spacing w:val="-3"/>
          <w:sz w:val="14"/>
        </w:rPr>
        <w:t> </w:t>
      </w:r>
      <w:r>
        <w:rPr>
          <w:color w:val="6D6E71"/>
          <w:sz w:val="14"/>
        </w:rPr>
        <w:t>se</w:t>
      </w:r>
      <w:r>
        <w:rPr>
          <w:color w:val="6D6E71"/>
          <w:spacing w:val="-3"/>
          <w:sz w:val="14"/>
        </w:rPr>
        <w:t> </w:t>
      </w:r>
      <w:r>
        <w:rPr>
          <w:color w:val="6D6E71"/>
          <w:sz w:val="14"/>
        </w:rPr>
        <w:t>distingue</w:t>
      </w:r>
      <w:r>
        <w:rPr>
          <w:color w:val="6D6E71"/>
          <w:spacing w:val="-2"/>
          <w:sz w:val="14"/>
        </w:rPr>
        <w:t> </w:t>
      </w:r>
      <w:r>
        <w:rPr>
          <w:color w:val="6D6E71"/>
          <w:sz w:val="14"/>
        </w:rPr>
        <w:t>del</w:t>
      </w:r>
      <w:r>
        <w:rPr>
          <w:color w:val="6D6E71"/>
          <w:spacing w:val="-3"/>
          <w:sz w:val="14"/>
        </w:rPr>
        <w:t> </w:t>
      </w:r>
      <w:r>
        <w:rPr>
          <w:color w:val="6D6E71"/>
          <w:sz w:val="14"/>
        </w:rPr>
        <w:t>Área</w:t>
      </w:r>
      <w:r>
        <w:rPr>
          <w:color w:val="6D6E71"/>
          <w:spacing w:val="-3"/>
          <w:sz w:val="14"/>
        </w:rPr>
        <w:t> </w:t>
      </w:r>
      <w:r>
        <w:rPr>
          <w:color w:val="6D6E71"/>
          <w:sz w:val="14"/>
        </w:rPr>
        <w:t>Metropolitana</w:t>
      </w:r>
      <w:r>
        <w:rPr>
          <w:color w:val="6D6E71"/>
          <w:spacing w:val="-3"/>
          <w:sz w:val="14"/>
        </w:rPr>
        <w:t> </w:t>
      </w:r>
      <w:r>
        <w:rPr>
          <w:color w:val="6D6E71"/>
          <w:sz w:val="14"/>
        </w:rPr>
        <w:t>porque</w:t>
      </w:r>
      <w:r>
        <w:rPr>
          <w:color w:val="6D6E71"/>
          <w:spacing w:val="-3"/>
          <w:sz w:val="14"/>
        </w:rPr>
        <w:t> </w:t>
      </w:r>
      <w:r>
        <w:rPr>
          <w:color w:val="6D6E71"/>
          <w:sz w:val="14"/>
        </w:rPr>
        <w:t>su</w:t>
      </w:r>
      <w:r>
        <w:rPr>
          <w:color w:val="6D6E71"/>
          <w:spacing w:val="-3"/>
          <w:sz w:val="14"/>
        </w:rPr>
        <w:t> </w:t>
      </w:r>
      <w:r>
        <w:rPr>
          <w:color w:val="6D6E71"/>
          <w:sz w:val="14"/>
        </w:rPr>
        <w:t>límite</w:t>
      </w:r>
      <w:r>
        <w:rPr>
          <w:color w:val="6D6E71"/>
          <w:spacing w:val="-3"/>
          <w:sz w:val="14"/>
        </w:rPr>
        <w:t> </w:t>
      </w:r>
      <w:r>
        <w:rPr>
          <w:color w:val="6D6E71"/>
          <w:sz w:val="14"/>
        </w:rPr>
        <w:t>constituye</w:t>
      </w:r>
      <w:r>
        <w:rPr>
          <w:color w:val="6D6E71"/>
          <w:spacing w:val="-3"/>
          <w:sz w:val="14"/>
        </w:rPr>
        <w:t> </w:t>
      </w:r>
      <w:r>
        <w:rPr>
          <w:color w:val="6D6E71"/>
          <w:sz w:val="14"/>
        </w:rPr>
        <w:t>un</w:t>
      </w:r>
      <w:r>
        <w:rPr>
          <w:color w:val="6D6E71"/>
          <w:spacing w:val="-3"/>
          <w:sz w:val="14"/>
        </w:rPr>
        <w:t> </w:t>
      </w:r>
      <w:r>
        <w:rPr>
          <w:color w:val="6D6E71"/>
          <w:sz w:val="14"/>
        </w:rPr>
        <w:t>envolvente</w:t>
      </w:r>
      <w:r>
        <w:rPr>
          <w:color w:val="6D6E71"/>
          <w:spacing w:val="-2"/>
          <w:sz w:val="14"/>
        </w:rPr>
        <w:t> </w:t>
      </w:r>
      <w:r>
        <w:rPr>
          <w:color w:val="6D6E71"/>
          <w:sz w:val="14"/>
        </w:rPr>
        <w:t>de</w:t>
      </w:r>
      <w:r>
        <w:rPr>
          <w:color w:val="6D6E71"/>
          <w:spacing w:val="-3"/>
          <w:sz w:val="14"/>
        </w:rPr>
        <w:t> </w:t>
      </w:r>
      <w:r>
        <w:rPr>
          <w:color w:val="6D6E71"/>
          <w:sz w:val="14"/>
        </w:rPr>
        <w:t>la</w:t>
      </w:r>
      <w:r>
        <w:rPr>
          <w:color w:val="6D6E71"/>
          <w:spacing w:val="-3"/>
          <w:sz w:val="14"/>
        </w:rPr>
        <w:t> </w:t>
      </w:r>
      <w:r>
        <w:rPr>
          <w:color w:val="6D6E71"/>
          <w:sz w:val="14"/>
        </w:rPr>
        <w:t>primera</w:t>
      </w:r>
      <w:r>
        <w:rPr>
          <w:color w:val="6D6E71"/>
          <w:spacing w:val="-3"/>
          <w:sz w:val="14"/>
        </w:rPr>
        <w:t> </w:t>
      </w:r>
      <w:r>
        <w:rPr>
          <w:color w:val="6D6E71"/>
          <w:sz w:val="14"/>
        </w:rPr>
        <w:t>y</w:t>
      </w:r>
      <w:r>
        <w:rPr>
          <w:color w:val="6D6E71"/>
          <w:spacing w:val="-3"/>
          <w:sz w:val="14"/>
        </w:rPr>
        <w:t> </w:t>
      </w:r>
      <w:r>
        <w:rPr>
          <w:color w:val="6D6E71"/>
          <w:sz w:val="14"/>
        </w:rPr>
        <w:t>su</w:t>
      </w:r>
      <w:r>
        <w:rPr>
          <w:color w:val="6D6E71"/>
          <w:spacing w:val="-3"/>
          <w:sz w:val="14"/>
        </w:rPr>
        <w:t> </w:t>
      </w:r>
      <w:r>
        <w:rPr>
          <w:color w:val="6D6E71"/>
          <w:sz w:val="14"/>
        </w:rPr>
        <w:t>forma</w:t>
      </w:r>
      <w:r>
        <w:rPr>
          <w:color w:val="6D6E71"/>
          <w:spacing w:val="-3"/>
          <w:sz w:val="14"/>
        </w:rPr>
        <w:t> </w:t>
      </w:r>
      <w:r>
        <w:rPr>
          <w:color w:val="6D6E71"/>
          <w:sz w:val="14"/>
        </w:rPr>
        <w:t>es</w:t>
      </w:r>
      <w:r>
        <w:rPr>
          <w:color w:val="6D6E71"/>
          <w:spacing w:val="-3"/>
          <w:sz w:val="14"/>
        </w:rPr>
        <w:t> </w:t>
      </w:r>
      <w:r>
        <w:rPr>
          <w:color w:val="6D6E71"/>
          <w:sz w:val="14"/>
        </w:rPr>
        <w:t>más</w:t>
      </w:r>
      <w:r>
        <w:rPr>
          <w:color w:val="6D6E71"/>
          <w:spacing w:val="-3"/>
          <w:sz w:val="14"/>
        </w:rPr>
        <w:t> </w:t>
      </w:r>
      <w:r>
        <w:rPr>
          <w:color w:val="6D6E71"/>
          <w:sz w:val="14"/>
        </w:rPr>
        <w:t>regular porque</w:t>
      </w:r>
      <w:r>
        <w:rPr>
          <w:color w:val="6D6E71"/>
          <w:spacing w:val="-5"/>
          <w:sz w:val="14"/>
        </w:rPr>
        <w:t> </w:t>
      </w:r>
      <w:r>
        <w:rPr>
          <w:color w:val="6D6E71"/>
          <w:sz w:val="14"/>
        </w:rPr>
        <w:t>incluye</w:t>
      </w:r>
      <w:r>
        <w:rPr>
          <w:color w:val="6D6E71"/>
          <w:spacing w:val="-5"/>
          <w:sz w:val="14"/>
        </w:rPr>
        <w:t> </w:t>
      </w:r>
      <w:r>
        <w:rPr>
          <w:color w:val="6D6E71"/>
          <w:sz w:val="14"/>
        </w:rPr>
        <w:t>los</w:t>
      </w:r>
      <w:r>
        <w:rPr>
          <w:color w:val="6D6E71"/>
          <w:spacing w:val="-6"/>
          <w:sz w:val="14"/>
        </w:rPr>
        <w:t> </w:t>
      </w:r>
      <w:r>
        <w:rPr>
          <w:color w:val="6D6E71"/>
          <w:sz w:val="14"/>
        </w:rPr>
        <w:t>límites</w:t>
      </w:r>
      <w:r>
        <w:rPr>
          <w:color w:val="6D6E71"/>
          <w:spacing w:val="-5"/>
          <w:sz w:val="14"/>
        </w:rPr>
        <w:t> </w:t>
      </w:r>
      <w:r>
        <w:rPr>
          <w:color w:val="6D6E71"/>
          <w:sz w:val="14"/>
        </w:rPr>
        <w:t>de</w:t>
      </w:r>
      <w:r>
        <w:rPr>
          <w:color w:val="6D6E71"/>
          <w:spacing w:val="-6"/>
          <w:sz w:val="14"/>
        </w:rPr>
        <w:t> </w:t>
      </w:r>
      <w:r>
        <w:rPr>
          <w:color w:val="6D6E71"/>
          <w:sz w:val="14"/>
        </w:rPr>
        <w:t>las</w:t>
      </w:r>
      <w:r>
        <w:rPr>
          <w:color w:val="6D6E71"/>
          <w:spacing w:val="-6"/>
          <w:sz w:val="14"/>
        </w:rPr>
        <w:t> </w:t>
      </w:r>
      <w:r>
        <w:rPr>
          <w:color w:val="6D6E71"/>
          <w:sz w:val="14"/>
        </w:rPr>
        <w:t>unidades</w:t>
      </w:r>
      <w:r>
        <w:rPr>
          <w:color w:val="6D6E71"/>
          <w:spacing w:val="-5"/>
          <w:sz w:val="14"/>
        </w:rPr>
        <w:t> </w:t>
      </w:r>
      <w:r>
        <w:rPr>
          <w:color w:val="6D6E71"/>
          <w:sz w:val="14"/>
        </w:rPr>
        <w:t>políticas</w:t>
      </w:r>
      <w:r>
        <w:rPr>
          <w:color w:val="6D6E71"/>
          <w:spacing w:val="-5"/>
          <w:sz w:val="14"/>
        </w:rPr>
        <w:t> </w:t>
      </w:r>
      <w:r>
        <w:rPr>
          <w:color w:val="6D6E71"/>
          <w:sz w:val="14"/>
        </w:rPr>
        <w:t>administrativos</w:t>
      </w:r>
      <w:r>
        <w:rPr>
          <w:color w:val="6D6E71"/>
          <w:spacing w:val="-5"/>
          <w:sz w:val="14"/>
        </w:rPr>
        <w:t> </w:t>
      </w:r>
      <w:r>
        <w:rPr>
          <w:color w:val="6D6E71"/>
          <w:sz w:val="14"/>
        </w:rPr>
        <w:t>menores,</w:t>
      </w:r>
      <w:r>
        <w:rPr>
          <w:color w:val="6D6E71"/>
          <w:spacing w:val="-6"/>
          <w:sz w:val="14"/>
        </w:rPr>
        <w:t> </w:t>
      </w:r>
      <w:r>
        <w:rPr>
          <w:color w:val="6D6E71"/>
          <w:sz w:val="14"/>
        </w:rPr>
        <w:t>que</w:t>
      </w:r>
      <w:r>
        <w:rPr>
          <w:color w:val="6D6E71"/>
          <w:spacing w:val="-6"/>
          <w:sz w:val="14"/>
        </w:rPr>
        <w:t> </w:t>
      </w:r>
      <w:r>
        <w:rPr>
          <w:color w:val="6D6E71"/>
          <w:sz w:val="14"/>
        </w:rPr>
        <w:t>para</w:t>
      </w:r>
      <w:r>
        <w:rPr>
          <w:color w:val="6D6E71"/>
          <w:spacing w:val="-6"/>
          <w:sz w:val="14"/>
        </w:rPr>
        <w:t> </w:t>
      </w:r>
      <w:r>
        <w:rPr>
          <w:color w:val="6D6E71"/>
          <w:sz w:val="14"/>
        </w:rPr>
        <w:t>el</w:t>
      </w:r>
      <w:r>
        <w:rPr>
          <w:color w:val="6D6E71"/>
          <w:spacing w:val="-6"/>
          <w:sz w:val="14"/>
        </w:rPr>
        <w:t> </w:t>
      </w:r>
      <w:r>
        <w:rPr>
          <w:color w:val="6D6E71"/>
          <w:sz w:val="14"/>
        </w:rPr>
        <w:t>caos</w:t>
      </w:r>
      <w:r>
        <w:rPr>
          <w:color w:val="6D6E71"/>
          <w:spacing w:val="-6"/>
          <w:sz w:val="14"/>
        </w:rPr>
        <w:t> </w:t>
      </w:r>
      <w:r>
        <w:rPr>
          <w:color w:val="6D6E71"/>
          <w:sz w:val="14"/>
        </w:rPr>
        <w:t>mexicano</w:t>
      </w:r>
      <w:r>
        <w:rPr>
          <w:color w:val="6D6E71"/>
          <w:spacing w:val="-6"/>
          <w:sz w:val="14"/>
        </w:rPr>
        <w:t> </w:t>
      </w:r>
      <w:r>
        <w:rPr>
          <w:color w:val="6D6E71"/>
          <w:sz w:val="14"/>
        </w:rPr>
        <w:t>son</w:t>
      </w:r>
      <w:r>
        <w:rPr>
          <w:color w:val="6D6E71"/>
          <w:spacing w:val="-6"/>
          <w:sz w:val="14"/>
        </w:rPr>
        <w:t> </w:t>
      </w:r>
      <w:r>
        <w:rPr>
          <w:color w:val="6D6E71"/>
          <w:sz w:val="14"/>
        </w:rPr>
        <w:t>los</w:t>
      </w:r>
      <w:r>
        <w:rPr>
          <w:color w:val="6D6E71"/>
          <w:spacing w:val="-6"/>
          <w:sz w:val="14"/>
        </w:rPr>
        <w:t> </w:t>
      </w:r>
      <w:r>
        <w:rPr>
          <w:color w:val="6D6E71"/>
          <w:sz w:val="14"/>
        </w:rPr>
        <w:t>municipios.</w:t>
      </w:r>
    </w:p>
    <w:p>
      <w:pPr>
        <w:pStyle w:val="BodyText"/>
        <w:spacing w:line="249" w:lineRule="auto" w:before="76"/>
        <w:ind w:left="130" w:right="129" w:firstLine="170"/>
        <w:jc w:val="both"/>
      </w:pPr>
      <w:r>
        <w:rPr/>
        <w:br w:type="column"/>
      </w:r>
      <w:r>
        <w:rPr/>
        <w:t>Los conceptos de Área metropolitana y Zona Metropolitana, referidas por Sobrino (2003: 183), dan cuenta teórica del fenómeno metropolitano, mientras que el nivel de metropolización lo relaciona con el patrón de distribución intraurbana de la población   y de las actividades económicas, en términos del tamaño de la ciudad central y su periferia metropolitana. Sobrino  asocia  la  metropolización  con  la  suburbanización. A su vez, metropolización está conformado por cuatro procesos de urbanización intrametropolitana en los que transcurre la dinámica de crecimiento de las distintas partes de una ciudad, que se inicia con el desplazamiento de la población y sigue posteriormente con las actividades económicas del centro hacia la </w:t>
      </w:r>
      <w:r>
        <w:rPr>
          <w:spacing w:val="22"/>
        </w:rPr>
        <w:t> </w:t>
      </w:r>
      <w:r>
        <w:rPr/>
        <w:t>periferia.</w:t>
      </w:r>
    </w:p>
    <w:p>
      <w:pPr>
        <w:pStyle w:val="BodyText"/>
        <w:spacing w:before="11"/>
      </w:pPr>
    </w:p>
    <w:p>
      <w:pPr>
        <w:pStyle w:val="BodyText"/>
        <w:spacing w:line="249" w:lineRule="auto"/>
        <w:ind w:left="130" w:right="130" w:firstLine="170"/>
        <w:jc w:val="both"/>
      </w:pPr>
      <w:r>
        <w:rPr/>
        <w:t>En el proceso de metropolización se desarrollan fenómenos territoriales que se vinculan con la suburbanización, en el que influyen determinados aspectos de índole demográfico y económico, que se traducen y reflejan físicamente en la forma de cómo se desarrollan y distribuyen en el territorio. Aspectos como ocupación del espacio, producción de la  vivienda,  infraestructura  y  servicios,  son  las  manifestaciones  de la expansión física de las ciudades en la periferia de las metrópolis. Pacione (2005) establece que la suburbanización pasa por distintas etapas, reconocido un cambio    en la incidencia de fuerte crecimiento de población fuera de las grandes ciudades en un sistema urbano nacional. Una característica del proceso de suburbanización es   que se manifiesta en el crecimiento y expansión física de las ciudades. El proceso     de suburbanización se da cuando los núcleos centrales de las ciudades comienzan     a perder población y se traslada a la periferia y se agrava cuando este fenómeno se desarrolla sobre los municipios de menor importancia en una zona metropolitana. La población busca y ocupa espacios en la periferia para aprovecharlos con fines urbanos y con usos habitacionales. La ocupación del espacio en la periferia es el resultado de cambios y modificaciones en su aprovechamiento, transformando la estructura urbana y física de las</w:t>
      </w:r>
      <w:r>
        <w:rPr>
          <w:spacing w:val="10"/>
        </w:rPr>
        <w:t> </w:t>
      </w:r>
      <w:r>
        <w:rPr/>
        <w:t>ciudades.</w:t>
      </w:r>
    </w:p>
    <w:p>
      <w:pPr>
        <w:pStyle w:val="BodyText"/>
        <w:spacing w:before="11"/>
      </w:pPr>
    </w:p>
    <w:p>
      <w:pPr>
        <w:pStyle w:val="BodyText"/>
        <w:spacing w:line="249" w:lineRule="auto"/>
        <w:ind w:left="130" w:right="131" w:firstLine="170"/>
        <w:jc w:val="both"/>
      </w:pPr>
      <w:r>
        <w:rPr/>
        <w:t>Para Montejano (2010: 65), la metropolización del territorio sería la tendencia a la integración de varios conjuntos urbanos e incluso de los territorios de urbanización difusa. Es una integración completa que incluye las actividades económicas, las relaciones sociales, las actividades relacionadas con la vida cotidiana y la cultura,  entre otros. Montejano (2010: 16), identifica una fractura en las metrópolis, explica   que comenzó con la separación entre la ciudad vieja y la ciudad nueva mediante la dispersión de desarrollos  residenciales  promovidos  en  la  postguerra,  posibilitando la descentralización del comercio y de  cuarteles  suburbanos  de  empresas  y  en  una segunda etapa, la masiva expansión industrial posibilitada por la red carretera, generando un efecto multiplicador de expulsión de los centros </w:t>
      </w:r>
      <w:r>
        <w:rPr>
          <w:spacing w:val="37"/>
        </w:rPr>
        <w:t> </w:t>
      </w:r>
      <w:r>
        <w:rPr/>
        <w:t>urbanos.</w:t>
      </w:r>
    </w:p>
    <w:p>
      <w:pPr>
        <w:spacing w:after="0" w:line="249" w:lineRule="auto"/>
        <w:jc w:val="both"/>
        <w:sectPr>
          <w:type w:val="continuous"/>
          <w:pgSz w:w="18830" w:h="12760" w:orient="landscape"/>
          <w:pgMar w:top="1420" w:bottom="280" w:left="720" w:right="720"/>
          <w:cols w:num="2" w:equalWidth="0">
            <w:col w:w="7842" w:space="1567"/>
            <w:col w:w="7981"/>
          </w:cols>
        </w:sectPr>
      </w:pPr>
    </w:p>
    <w:p>
      <w:pPr>
        <w:pStyle w:val="BodyText"/>
        <w:spacing w:before="6"/>
        <w:rPr>
          <w:sz w:val="23"/>
        </w:rPr>
      </w:pPr>
    </w:p>
    <w:p>
      <w:pPr>
        <w:spacing w:after="0"/>
        <w:rPr>
          <w:sz w:val="23"/>
        </w:rPr>
        <w:sectPr>
          <w:footerReference w:type="default" r:id="rId40"/>
          <w:pgSz w:w="18830" w:h="12760" w:orient="landscape"/>
          <w:pgMar w:footer="1036" w:header="522" w:top="820" w:bottom="1220" w:left="720" w:right="720"/>
        </w:sectPr>
      </w:pPr>
    </w:p>
    <w:p>
      <w:pPr>
        <w:pStyle w:val="BodyText"/>
        <w:spacing w:line="249" w:lineRule="auto" w:before="76"/>
        <w:ind w:left="130" w:firstLine="170"/>
        <w:jc w:val="both"/>
      </w:pPr>
      <w:r>
        <w:rPr/>
        <w:t>Para Sobrino (2003: 183-184), el fenómeno metropolitano se entiende ocurre</w:t>
      </w:r>
      <w:r>
        <w:rPr>
          <w:spacing w:val="-17"/>
        </w:rPr>
        <w:t> </w:t>
      </w:r>
      <w:r>
        <w:rPr/>
        <w:t>cuando una ciudad, independientemente de su tamaño, rebasa su límite político-administrativo territorial,</w:t>
      </w:r>
      <w:r>
        <w:rPr>
          <w:spacing w:val="-14"/>
        </w:rPr>
        <w:t> </w:t>
      </w:r>
      <w:r>
        <w:rPr/>
        <w:t>para</w:t>
      </w:r>
      <w:r>
        <w:rPr>
          <w:spacing w:val="-14"/>
        </w:rPr>
        <w:t> </w:t>
      </w:r>
      <w:r>
        <w:rPr/>
        <w:t>conformar</w:t>
      </w:r>
      <w:r>
        <w:rPr>
          <w:spacing w:val="-14"/>
        </w:rPr>
        <w:t> </w:t>
      </w:r>
      <w:r>
        <w:rPr/>
        <w:t>un</w:t>
      </w:r>
      <w:r>
        <w:rPr>
          <w:spacing w:val="-14"/>
        </w:rPr>
        <w:t> </w:t>
      </w:r>
      <w:r>
        <w:rPr/>
        <w:t>área</w:t>
      </w:r>
      <w:r>
        <w:rPr>
          <w:spacing w:val="-14"/>
        </w:rPr>
        <w:t> </w:t>
      </w:r>
      <w:r>
        <w:rPr/>
        <w:t>urbana</w:t>
      </w:r>
      <w:r>
        <w:rPr>
          <w:spacing w:val="-14"/>
        </w:rPr>
        <w:t> </w:t>
      </w:r>
      <w:r>
        <w:rPr/>
        <w:t>ubicada</w:t>
      </w:r>
      <w:r>
        <w:rPr>
          <w:spacing w:val="-14"/>
        </w:rPr>
        <w:t> </w:t>
      </w:r>
      <w:r>
        <w:rPr/>
        <w:t>en</w:t>
      </w:r>
      <w:r>
        <w:rPr>
          <w:spacing w:val="-14"/>
        </w:rPr>
        <w:t> </w:t>
      </w:r>
      <w:r>
        <w:rPr/>
        <w:t>dos</w:t>
      </w:r>
      <w:r>
        <w:rPr>
          <w:spacing w:val="-14"/>
        </w:rPr>
        <w:t> </w:t>
      </w:r>
      <w:r>
        <w:rPr/>
        <w:t>o</w:t>
      </w:r>
      <w:r>
        <w:rPr>
          <w:spacing w:val="-14"/>
        </w:rPr>
        <w:t> </w:t>
      </w:r>
      <w:r>
        <w:rPr/>
        <w:t>más</w:t>
      </w:r>
      <w:r>
        <w:rPr>
          <w:spacing w:val="-14"/>
        </w:rPr>
        <w:t> </w:t>
      </w:r>
      <w:r>
        <w:rPr/>
        <w:t>municipios;</w:t>
      </w:r>
      <w:r>
        <w:rPr>
          <w:spacing w:val="-14"/>
        </w:rPr>
        <w:t> </w:t>
      </w:r>
      <w:r>
        <w:rPr/>
        <w:t>el</w:t>
      </w:r>
      <w:r>
        <w:rPr>
          <w:spacing w:val="-14"/>
        </w:rPr>
        <w:t> </w:t>
      </w:r>
      <w:r>
        <w:rPr/>
        <w:t>fenómeno metropolitano conjuga al menos tres</w:t>
      </w:r>
      <w:r>
        <w:rPr>
          <w:spacing w:val="46"/>
        </w:rPr>
        <w:t> </w:t>
      </w:r>
      <w:r>
        <w:rPr/>
        <w:t>elementos:</w:t>
      </w:r>
    </w:p>
    <w:p>
      <w:pPr>
        <w:pStyle w:val="BodyText"/>
        <w:spacing w:before="11"/>
      </w:pPr>
    </w:p>
    <w:p>
      <w:pPr>
        <w:pStyle w:val="BodyText"/>
        <w:spacing w:line="249" w:lineRule="auto"/>
        <w:ind w:left="130" w:firstLine="170"/>
        <w:jc w:val="both"/>
      </w:pPr>
      <w:r>
        <w:rPr>
          <w:i/>
        </w:rPr>
        <w:t>Componente demográfico, </w:t>
      </w:r>
      <w:r>
        <w:rPr/>
        <w:t>que tiene que ver con el crecimiento de la población, los movimientos intraurbanos del tipo centro-periferia y la creación de nuevas  familias.</w:t>
      </w:r>
    </w:p>
    <w:p>
      <w:pPr>
        <w:pStyle w:val="BodyText"/>
        <w:spacing w:before="11"/>
      </w:pPr>
    </w:p>
    <w:p>
      <w:pPr>
        <w:pStyle w:val="BodyText"/>
        <w:spacing w:line="249" w:lineRule="auto"/>
        <w:ind w:left="130" w:firstLine="170"/>
        <w:jc w:val="both"/>
      </w:pPr>
      <w:r>
        <w:rPr>
          <w:i/>
        </w:rPr>
        <w:t>Distribución del empleo, </w:t>
      </w:r>
      <w:r>
        <w:rPr/>
        <w:t>en cuanto a la marcha de la economía urbana, los ritmos de desconcentración del empleo, las tasas de crecimiento por tipo de actividad</w:t>
      </w:r>
      <w:r>
        <w:rPr>
          <w:spacing w:val="-17"/>
        </w:rPr>
        <w:t> </w:t>
      </w:r>
      <w:r>
        <w:rPr/>
        <w:t>económica y los patrones de relocalización espacial para cada sector </w:t>
      </w:r>
      <w:r>
        <w:rPr>
          <w:spacing w:val="18"/>
        </w:rPr>
        <w:t> </w:t>
      </w:r>
      <w:r>
        <w:rPr/>
        <w:t>económico.</w:t>
      </w:r>
    </w:p>
    <w:p>
      <w:pPr>
        <w:pStyle w:val="BodyText"/>
        <w:spacing w:before="11"/>
      </w:pPr>
    </w:p>
    <w:p>
      <w:pPr>
        <w:pStyle w:val="BodyText"/>
        <w:spacing w:line="249" w:lineRule="auto"/>
        <w:ind w:left="130" w:right="1" w:firstLine="170"/>
        <w:jc w:val="both"/>
      </w:pPr>
      <w:r>
        <w:rPr>
          <w:i/>
        </w:rPr>
        <w:t>Territorial, </w:t>
      </w:r>
      <w:r>
        <w:rPr/>
        <w:t>determinado por el grado de fragmentación de las entidades federativas y de los municipios</w:t>
      </w:r>
    </w:p>
    <w:p>
      <w:pPr>
        <w:pStyle w:val="BodyText"/>
      </w:pPr>
    </w:p>
    <w:p>
      <w:pPr>
        <w:pStyle w:val="BodyText"/>
        <w:spacing w:before="9"/>
        <w:rPr>
          <w:sz w:val="21"/>
        </w:rPr>
      </w:pPr>
    </w:p>
    <w:p>
      <w:pPr>
        <w:pStyle w:val="BodyText"/>
        <w:spacing w:line="249" w:lineRule="auto"/>
        <w:ind w:left="130" w:firstLine="170"/>
        <w:jc w:val="both"/>
      </w:pPr>
      <w:r>
        <w:rPr/>
        <w:t>El</w:t>
      </w:r>
      <w:r>
        <w:rPr>
          <w:spacing w:val="-7"/>
        </w:rPr>
        <w:t> </w:t>
      </w:r>
      <w:r>
        <w:rPr/>
        <w:t>proceso</w:t>
      </w:r>
      <w:r>
        <w:rPr>
          <w:spacing w:val="-7"/>
        </w:rPr>
        <w:t> </w:t>
      </w:r>
      <w:r>
        <w:rPr/>
        <w:t>de</w:t>
      </w:r>
      <w:r>
        <w:rPr>
          <w:spacing w:val="-7"/>
        </w:rPr>
        <w:t> </w:t>
      </w:r>
      <w:r>
        <w:rPr/>
        <w:t>metropolización,</w:t>
      </w:r>
      <w:r>
        <w:rPr>
          <w:spacing w:val="-7"/>
        </w:rPr>
        <w:t> </w:t>
      </w:r>
      <w:r>
        <w:rPr/>
        <w:t>según</w:t>
      </w:r>
      <w:r>
        <w:rPr>
          <w:spacing w:val="-7"/>
        </w:rPr>
        <w:t> </w:t>
      </w:r>
      <w:r>
        <w:rPr/>
        <w:t>Klink</w:t>
      </w:r>
      <w:r>
        <w:rPr>
          <w:spacing w:val="-7"/>
        </w:rPr>
        <w:t> </w:t>
      </w:r>
      <w:r>
        <w:rPr/>
        <w:t>(2005:</w:t>
      </w:r>
      <w:r>
        <w:rPr>
          <w:spacing w:val="-7"/>
        </w:rPr>
        <w:t> </w:t>
      </w:r>
      <w:r>
        <w:rPr/>
        <w:t>127)</w:t>
      </w:r>
      <w:r>
        <w:rPr>
          <w:spacing w:val="-7"/>
        </w:rPr>
        <w:t> </w:t>
      </w:r>
      <w:r>
        <w:rPr/>
        <w:t>tiene</w:t>
      </w:r>
      <w:r>
        <w:rPr>
          <w:spacing w:val="-7"/>
        </w:rPr>
        <w:t> </w:t>
      </w:r>
      <w:r>
        <w:rPr/>
        <w:t>un</w:t>
      </w:r>
      <w:r>
        <w:rPr>
          <w:spacing w:val="-7"/>
        </w:rPr>
        <w:t> </w:t>
      </w:r>
      <w:r>
        <w:rPr/>
        <w:t>denominador</w:t>
      </w:r>
      <w:r>
        <w:rPr>
          <w:spacing w:val="-7"/>
        </w:rPr>
        <w:t> </w:t>
      </w:r>
      <w:r>
        <w:rPr/>
        <w:t>común: el hecho de que las ciudades centrales crezcan más allá de sus límites originales y    se transformen en complejos sistemas basados en interdependencias sociales, económicas, ambientales y político-administrativas entre las urbes que forman parte del conglomerado global. Este concepto es reforzado por Sobrino (2003), al referirse que las zonas metropolitanas se conforman cuando una ciudad, independientemente de su tamaño, rebasa su límite territorial político administrativo para conformar un   área urbana ubicada en dos o más municipios; la metropolización de una ciudad tiene lugar cuando, en un proceso de expansión, utiliza para el desarrollo urbano suelo que pertenece a uno o más municipios en los cuales se ubica la ciudad </w:t>
      </w:r>
      <w:r>
        <w:rPr>
          <w:spacing w:val="4"/>
        </w:rPr>
        <w:t> </w:t>
      </w:r>
      <w:r>
        <w:rPr/>
        <w:t>central.</w:t>
      </w:r>
    </w:p>
    <w:p>
      <w:pPr>
        <w:pStyle w:val="BodyText"/>
        <w:spacing w:before="11"/>
      </w:pPr>
    </w:p>
    <w:p>
      <w:pPr>
        <w:pStyle w:val="BodyText"/>
        <w:spacing w:line="249" w:lineRule="auto"/>
        <w:ind w:left="130" w:firstLine="170"/>
        <w:jc w:val="both"/>
      </w:pPr>
      <w:r>
        <w:rPr/>
        <w:t>Uno de los conceptos oficiales reconocidos por la Secretaría de Desarrollo Social, el Consejo Nacional de población y el Instituto Nacional de Estadística y Geografía sobre zona</w:t>
      </w:r>
      <w:r>
        <w:rPr>
          <w:spacing w:val="-9"/>
        </w:rPr>
        <w:t> </w:t>
      </w:r>
      <w:r>
        <w:rPr/>
        <w:t>metropolitana,</w:t>
      </w:r>
      <w:r>
        <w:rPr>
          <w:spacing w:val="-9"/>
        </w:rPr>
        <w:t> </w:t>
      </w:r>
      <w:r>
        <w:rPr/>
        <w:t>es</w:t>
      </w:r>
      <w:r>
        <w:rPr>
          <w:spacing w:val="-9"/>
        </w:rPr>
        <w:t> </w:t>
      </w:r>
      <w:r>
        <w:rPr/>
        <w:t>el</w:t>
      </w:r>
      <w:r>
        <w:rPr>
          <w:spacing w:val="-9"/>
        </w:rPr>
        <w:t> </w:t>
      </w:r>
      <w:r>
        <w:rPr/>
        <w:t>que</w:t>
      </w:r>
      <w:r>
        <w:rPr>
          <w:spacing w:val="-9"/>
        </w:rPr>
        <w:t> </w:t>
      </w:r>
      <w:r>
        <w:rPr/>
        <w:t>se</w:t>
      </w:r>
      <w:r>
        <w:rPr>
          <w:spacing w:val="-9"/>
        </w:rPr>
        <w:t> </w:t>
      </w:r>
      <w:r>
        <w:rPr/>
        <w:t>encuentra</w:t>
      </w:r>
      <w:r>
        <w:rPr>
          <w:spacing w:val="-9"/>
        </w:rPr>
        <w:t> </w:t>
      </w:r>
      <w:r>
        <w:rPr/>
        <w:t>determinado</w:t>
      </w:r>
      <w:r>
        <w:rPr>
          <w:spacing w:val="-9"/>
        </w:rPr>
        <w:t> </w:t>
      </w:r>
      <w:r>
        <w:rPr/>
        <w:t>como</w:t>
      </w:r>
      <w:r>
        <w:rPr>
          <w:spacing w:val="-9"/>
        </w:rPr>
        <w:t> </w:t>
      </w:r>
      <w:r>
        <w:rPr/>
        <w:t>el</w:t>
      </w:r>
      <w:r>
        <w:rPr>
          <w:spacing w:val="-9"/>
        </w:rPr>
        <w:t> </w:t>
      </w:r>
      <w:r>
        <w:rPr/>
        <w:t>conjunto</w:t>
      </w:r>
      <w:r>
        <w:rPr>
          <w:spacing w:val="-9"/>
        </w:rPr>
        <w:t> </w:t>
      </w:r>
      <w:r>
        <w:rPr/>
        <w:t>de</w:t>
      </w:r>
      <w:r>
        <w:rPr>
          <w:spacing w:val="-9"/>
        </w:rPr>
        <w:t> </w:t>
      </w:r>
      <w:r>
        <w:rPr/>
        <w:t>dos</w:t>
      </w:r>
      <w:r>
        <w:rPr>
          <w:spacing w:val="-9"/>
        </w:rPr>
        <w:t> </w:t>
      </w:r>
      <w:r>
        <w:rPr/>
        <w:t>o</w:t>
      </w:r>
      <w:r>
        <w:rPr>
          <w:spacing w:val="-9"/>
        </w:rPr>
        <w:t> </w:t>
      </w:r>
      <w:r>
        <w:rPr/>
        <w:t>más municipios,</w:t>
      </w:r>
      <w:r>
        <w:rPr>
          <w:spacing w:val="-7"/>
        </w:rPr>
        <w:t> </w:t>
      </w:r>
      <w:r>
        <w:rPr/>
        <w:t>donde</w:t>
      </w:r>
      <w:r>
        <w:rPr>
          <w:spacing w:val="-7"/>
        </w:rPr>
        <w:t> </w:t>
      </w:r>
      <w:r>
        <w:rPr/>
        <w:t>se</w:t>
      </w:r>
      <w:r>
        <w:rPr>
          <w:spacing w:val="-7"/>
        </w:rPr>
        <w:t> </w:t>
      </w:r>
      <w:r>
        <w:rPr/>
        <w:t>localiza</w:t>
      </w:r>
      <w:r>
        <w:rPr>
          <w:spacing w:val="-7"/>
        </w:rPr>
        <w:t> </w:t>
      </w:r>
      <w:r>
        <w:rPr/>
        <w:t>una</w:t>
      </w:r>
      <w:r>
        <w:rPr>
          <w:spacing w:val="-7"/>
        </w:rPr>
        <w:t> </w:t>
      </w:r>
      <w:r>
        <w:rPr/>
        <w:t>ciudad</w:t>
      </w:r>
      <w:r>
        <w:rPr>
          <w:spacing w:val="-7"/>
        </w:rPr>
        <w:t> </w:t>
      </w:r>
      <w:r>
        <w:rPr/>
        <w:t>de</w:t>
      </w:r>
      <w:r>
        <w:rPr>
          <w:spacing w:val="-7"/>
        </w:rPr>
        <w:t> </w:t>
      </w:r>
      <w:r>
        <w:rPr/>
        <w:t>50</w:t>
      </w:r>
      <w:r>
        <w:rPr>
          <w:spacing w:val="-7"/>
        </w:rPr>
        <w:t> </w:t>
      </w:r>
      <w:r>
        <w:rPr/>
        <w:t>mil</w:t>
      </w:r>
      <w:r>
        <w:rPr>
          <w:spacing w:val="-7"/>
        </w:rPr>
        <w:t> </w:t>
      </w:r>
      <w:r>
        <w:rPr/>
        <w:t>o</w:t>
      </w:r>
      <w:r>
        <w:rPr>
          <w:spacing w:val="-7"/>
        </w:rPr>
        <w:t> </w:t>
      </w:r>
      <w:r>
        <w:rPr/>
        <w:t>mil</w:t>
      </w:r>
      <w:r>
        <w:rPr>
          <w:spacing w:val="-7"/>
        </w:rPr>
        <w:t> </w:t>
      </w:r>
      <w:r>
        <w:rPr/>
        <w:t>habitantes,</w:t>
      </w:r>
      <w:r>
        <w:rPr>
          <w:spacing w:val="-7"/>
        </w:rPr>
        <w:t> </w:t>
      </w:r>
      <w:r>
        <w:rPr/>
        <w:t>presentan</w:t>
      </w:r>
      <w:r>
        <w:rPr>
          <w:spacing w:val="-7"/>
        </w:rPr>
        <w:t> </w:t>
      </w:r>
      <w:r>
        <w:rPr/>
        <w:t>una</w:t>
      </w:r>
      <w:r>
        <w:rPr>
          <w:spacing w:val="-7"/>
        </w:rPr>
        <w:t> </w:t>
      </w:r>
      <w:r>
        <w:rPr/>
        <w:t>área</w:t>
      </w:r>
      <w:r>
        <w:rPr>
          <w:w w:val="97"/>
        </w:rPr>
        <w:t> </w:t>
      </w:r>
      <w:r>
        <w:rPr/>
        <w:t>urbana, funciones y actividades que rebasan el límite del municipio que originalmente la contenía, incorporando como parte de sí misma o de su área de influencia directa a municipios vecinos, predominantemente urbanos, con los que mantiene un alto grado de integración socioeconómica; se incluye además a aquellos municipios que por    sus características particulares son relevantes para la planeación y política urbanas </w:t>
      </w:r>
      <w:r>
        <w:rPr>
          <w:w w:val="95"/>
        </w:rPr>
        <w:t>(SEDESOL-CONAPO-INEGI, </w:t>
      </w:r>
      <w:r>
        <w:rPr>
          <w:spacing w:val="27"/>
          <w:w w:val="95"/>
        </w:rPr>
        <w:t> </w:t>
      </w:r>
      <w:r>
        <w:rPr>
          <w:w w:val="95"/>
        </w:rPr>
        <w:t>2005).</w:t>
      </w:r>
    </w:p>
    <w:p>
      <w:pPr>
        <w:pStyle w:val="BodyText"/>
        <w:spacing w:before="11"/>
      </w:pPr>
    </w:p>
    <w:p>
      <w:pPr>
        <w:pStyle w:val="BodyText"/>
        <w:spacing w:line="249" w:lineRule="auto"/>
        <w:ind w:left="130" w:firstLine="170"/>
        <w:jc w:val="both"/>
      </w:pPr>
      <w:r>
        <w:rPr/>
        <w:t>Conforme a lo anterior, podemos señalar que el proceso de metropolización que se ha desarrollado en las últimas décadas explica la expansión urbana y el movimiento</w:t>
      </w:r>
      <w:r>
        <w:rPr>
          <w:spacing w:val="-17"/>
        </w:rPr>
        <w:t> </w:t>
      </w:r>
      <w:r>
        <w:rPr/>
        <w:t>de la</w:t>
      </w:r>
      <w:r>
        <w:rPr>
          <w:spacing w:val="-9"/>
        </w:rPr>
        <w:t> </w:t>
      </w:r>
      <w:r>
        <w:rPr/>
        <w:t>población</w:t>
      </w:r>
      <w:r>
        <w:rPr>
          <w:spacing w:val="-9"/>
        </w:rPr>
        <w:t> </w:t>
      </w:r>
      <w:r>
        <w:rPr/>
        <w:t>en</w:t>
      </w:r>
      <w:r>
        <w:rPr>
          <w:spacing w:val="-9"/>
        </w:rPr>
        <w:t> </w:t>
      </w:r>
      <w:r>
        <w:rPr/>
        <w:t>el</w:t>
      </w:r>
      <w:r>
        <w:rPr>
          <w:spacing w:val="-9"/>
        </w:rPr>
        <w:t> </w:t>
      </w:r>
      <w:r>
        <w:rPr/>
        <w:t>territorio,</w:t>
      </w:r>
      <w:r>
        <w:rPr>
          <w:spacing w:val="-9"/>
        </w:rPr>
        <w:t> </w:t>
      </w:r>
      <w:r>
        <w:rPr/>
        <w:t>determinando</w:t>
      </w:r>
      <w:r>
        <w:rPr>
          <w:spacing w:val="-9"/>
        </w:rPr>
        <w:t> </w:t>
      </w:r>
      <w:r>
        <w:rPr/>
        <w:t>la</w:t>
      </w:r>
      <w:r>
        <w:rPr>
          <w:spacing w:val="-9"/>
        </w:rPr>
        <w:t> </w:t>
      </w:r>
      <w:r>
        <w:rPr/>
        <w:t>ocupación</w:t>
      </w:r>
      <w:r>
        <w:rPr>
          <w:spacing w:val="-9"/>
        </w:rPr>
        <w:t> </w:t>
      </w:r>
      <w:r>
        <w:rPr/>
        <w:t>espacial</w:t>
      </w:r>
      <w:r>
        <w:rPr>
          <w:spacing w:val="-9"/>
        </w:rPr>
        <w:t> </w:t>
      </w:r>
      <w:r>
        <w:rPr/>
        <w:t>de</w:t>
      </w:r>
      <w:r>
        <w:rPr>
          <w:spacing w:val="-9"/>
        </w:rPr>
        <w:t> </w:t>
      </w:r>
      <w:r>
        <w:rPr/>
        <w:t>las</w:t>
      </w:r>
      <w:r>
        <w:rPr>
          <w:spacing w:val="-9"/>
        </w:rPr>
        <w:t> </w:t>
      </w:r>
      <w:r>
        <w:rPr/>
        <w:t>zonas</w:t>
      </w:r>
      <w:r>
        <w:rPr>
          <w:spacing w:val="-9"/>
        </w:rPr>
        <w:t> </w:t>
      </w:r>
      <w:r>
        <w:rPr/>
        <w:t>periféricas de</w:t>
      </w:r>
      <w:r>
        <w:rPr>
          <w:spacing w:val="45"/>
        </w:rPr>
        <w:t> </w:t>
      </w:r>
      <w:r>
        <w:rPr/>
        <w:t>las</w:t>
      </w:r>
      <w:r>
        <w:rPr>
          <w:spacing w:val="45"/>
        </w:rPr>
        <w:t> </w:t>
      </w:r>
      <w:r>
        <w:rPr/>
        <w:t>zonas</w:t>
      </w:r>
      <w:r>
        <w:rPr>
          <w:spacing w:val="45"/>
        </w:rPr>
        <w:t> </w:t>
      </w:r>
      <w:r>
        <w:rPr/>
        <w:t>metropolitanas,</w:t>
      </w:r>
      <w:r>
        <w:rPr>
          <w:spacing w:val="45"/>
        </w:rPr>
        <w:t> </w:t>
      </w:r>
      <w:r>
        <w:rPr/>
        <w:t>de</w:t>
      </w:r>
      <w:r>
        <w:rPr>
          <w:spacing w:val="45"/>
        </w:rPr>
        <w:t> </w:t>
      </w:r>
      <w:r>
        <w:rPr/>
        <w:t>manera</w:t>
      </w:r>
      <w:r>
        <w:rPr>
          <w:spacing w:val="45"/>
        </w:rPr>
        <w:t> </w:t>
      </w:r>
      <w:r>
        <w:rPr/>
        <w:t>difusa</w:t>
      </w:r>
      <w:r>
        <w:rPr>
          <w:spacing w:val="45"/>
        </w:rPr>
        <w:t> </w:t>
      </w:r>
      <w:r>
        <w:rPr/>
        <w:t>y</w:t>
      </w:r>
      <w:r>
        <w:rPr>
          <w:spacing w:val="45"/>
        </w:rPr>
        <w:t> </w:t>
      </w:r>
      <w:r>
        <w:rPr/>
        <w:t>segregada.</w:t>
      </w:r>
      <w:r>
        <w:rPr>
          <w:spacing w:val="45"/>
        </w:rPr>
        <w:t> </w:t>
      </w:r>
      <w:r>
        <w:rPr/>
        <w:t>Así</w:t>
      </w:r>
      <w:r>
        <w:rPr>
          <w:spacing w:val="45"/>
        </w:rPr>
        <w:t> </w:t>
      </w:r>
      <w:r>
        <w:rPr/>
        <w:t>la</w:t>
      </w:r>
      <w:r>
        <w:rPr>
          <w:spacing w:val="45"/>
        </w:rPr>
        <w:t> </w:t>
      </w:r>
      <w:r>
        <w:rPr/>
        <w:t>ocupación</w:t>
      </w:r>
      <w:r>
        <w:rPr>
          <w:spacing w:val="45"/>
        </w:rPr>
        <w:t> </w:t>
      </w:r>
      <w:r>
        <w:rPr/>
        <w:t>de</w:t>
      </w:r>
    </w:p>
    <w:p>
      <w:pPr>
        <w:pStyle w:val="BodyText"/>
        <w:spacing w:line="249" w:lineRule="auto" w:before="76"/>
        <w:ind w:left="130" w:right="128"/>
        <w:jc w:val="both"/>
      </w:pPr>
      <w:r>
        <w:rPr/>
        <w:br w:type="column"/>
      </w:r>
      <w:r>
        <w:rPr/>
        <w:t>la periferia es el objeto final de los procesos sociales y se manifiesta en el territorio mediante procesos de ocupación espacial. En tal sentido, es necesario abordar y tener claro lo que se entiende por periferia desde diversos puntos de  vista.</w:t>
      </w:r>
    </w:p>
    <w:p>
      <w:pPr>
        <w:pStyle w:val="BodyText"/>
      </w:pPr>
    </w:p>
    <w:p>
      <w:pPr>
        <w:pStyle w:val="BodyText"/>
        <w:spacing w:before="9"/>
        <w:rPr>
          <w:sz w:val="21"/>
        </w:rPr>
      </w:pPr>
    </w:p>
    <w:p>
      <w:pPr>
        <w:spacing w:before="0"/>
        <w:ind w:left="356" w:right="-10" w:firstLine="0"/>
        <w:jc w:val="left"/>
        <w:rPr>
          <w:i/>
          <w:sz w:val="20"/>
        </w:rPr>
      </w:pPr>
      <w:r>
        <w:rPr>
          <w:i/>
          <w:sz w:val="20"/>
        </w:rPr>
        <w:t>Enfoques teóricos en torno a la periferia</w:t>
      </w:r>
    </w:p>
    <w:p>
      <w:pPr>
        <w:pStyle w:val="BodyText"/>
        <w:rPr>
          <w:i/>
        </w:rPr>
      </w:pPr>
    </w:p>
    <w:p>
      <w:pPr>
        <w:pStyle w:val="BodyText"/>
        <w:spacing w:before="7"/>
        <w:rPr>
          <w:i/>
          <w:sz w:val="22"/>
        </w:rPr>
      </w:pPr>
    </w:p>
    <w:p>
      <w:pPr>
        <w:pStyle w:val="BodyText"/>
        <w:spacing w:line="249" w:lineRule="auto"/>
        <w:ind w:left="130" w:right="128" w:firstLine="170"/>
        <w:jc w:val="both"/>
      </w:pPr>
      <w:r>
        <w:rPr/>
        <w:t>En</w:t>
      </w:r>
      <w:r>
        <w:rPr>
          <w:spacing w:val="-7"/>
        </w:rPr>
        <w:t> </w:t>
      </w:r>
      <w:r>
        <w:rPr/>
        <w:t>un</w:t>
      </w:r>
      <w:r>
        <w:rPr>
          <w:spacing w:val="-7"/>
        </w:rPr>
        <w:t> </w:t>
      </w:r>
      <w:r>
        <w:rPr/>
        <w:t>orden</w:t>
      </w:r>
      <w:r>
        <w:rPr>
          <w:spacing w:val="-7"/>
        </w:rPr>
        <w:t> </w:t>
      </w:r>
      <w:r>
        <w:rPr/>
        <w:t>internacional,</w:t>
      </w:r>
      <w:r>
        <w:rPr>
          <w:spacing w:val="-7"/>
        </w:rPr>
        <w:t> </w:t>
      </w:r>
      <w:r>
        <w:rPr/>
        <w:t>en</w:t>
      </w:r>
      <w:r>
        <w:rPr>
          <w:spacing w:val="-7"/>
        </w:rPr>
        <w:t> </w:t>
      </w:r>
      <w:r>
        <w:rPr/>
        <w:t>países</w:t>
      </w:r>
      <w:r>
        <w:rPr>
          <w:spacing w:val="-7"/>
        </w:rPr>
        <w:t> </w:t>
      </w:r>
      <w:r>
        <w:rPr/>
        <w:t>europeos,</w:t>
      </w:r>
      <w:r>
        <w:rPr>
          <w:spacing w:val="-7"/>
        </w:rPr>
        <w:t> </w:t>
      </w:r>
      <w:r>
        <w:rPr/>
        <w:t>el</w:t>
      </w:r>
      <w:r>
        <w:rPr>
          <w:spacing w:val="-7"/>
        </w:rPr>
        <w:t> </w:t>
      </w:r>
      <w:r>
        <w:rPr/>
        <w:t>análisis</w:t>
      </w:r>
      <w:r>
        <w:rPr>
          <w:spacing w:val="-7"/>
        </w:rPr>
        <w:t> </w:t>
      </w:r>
      <w:r>
        <w:rPr/>
        <w:t>de</w:t>
      </w:r>
      <w:r>
        <w:rPr>
          <w:spacing w:val="-7"/>
        </w:rPr>
        <w:t> </w:t>
      </w:r>
      <w:r>
        <w:rPr/>
        <w:t>la</w:t>
      </w:r>
      <w:r>
        <w:rPr>
          <w:spacing w:val="-7"/>
        </w:rPr>
        <w:t> </w:t>
      </w:r>
      <w:r>
        <w:rPr/>
        <w:t>periferia</w:t>
      </w:r>
      <w:r>
        <w:rPr>
          <w:spacing w:val="-7"/>
        </w:rPr>
        <w:t> </w:t>
      </w:r>
      <w:r>
        <w:rPr/>
        <w:t>se</w:t>
      </w:r>
      <w:r>
        <w:rPr>
          <w:spacing w:val="-7"/>
        </w:rPr>
        <w:t> </w:t>
      </w:r>
      <w:r>
        <w:rPr/>
        <w:t>remonta</w:t>
      </w:r>
      <w:r>
        <w:rPr>
          <w:spacing w:val="-7"/>
        </w:rPr>
        <w:t> </w:t>
      </w:r>
      <w:r>
        <w:rPr/>
        <w:t>a las</w:t>
      </w:r>
      <w:r>
        <w:rPr>
          <w:spacing w:val="-15"/>
        </w:rPr>
        <w:t> </w:t>
      </w:r>
      <w:r>
        <w:rPr/>
        <w:t>clases</w:t>
      </w:r>
      <w:r>
        <w:rPr>
          <w:spacing w:val="-15"/>
        </w:rPr>
        <w:t> </w:t>
      </w:r>
      <w:r>
        <w:rPr/>
        <w:t>altas</w:t>
      </w:r>
      <w:r>
        <w:rPr>
          <w:spacing w:val="-15"/>
        </w:rPr>
        <w:t> </w:t>
      </w:r>
      <w:r>
        <w:rPr/>
        <w:t>urbanas</w:t>
      </w:r>
      <w:r>
        <w:rPr>
          <w:spacing w:val="-15"/>
        </w:rPr>
        <w:t> </w:t>
      </w:r>
      <w:r>
        <w:rPr/>
        <w:t>de</w:t>
      </w:r>
      <w:r>
        <w:rPr>
          <w:spacing w:val="-15"/>
        </w:rPr>
        <w:t> </w:t>
      </w:r>
      <w:r>
        <w:rPr/>
        <w:t>mediados</w:t>
      </w:r>
      <w:r>
        <w:rPr>
          <w:spacing w:val="-15"/>
        </w:rPr>
        <w:t> </w:t>
      </w:r>
      <w:r>
        <w:rPr/>
        <w:t>del</w:t>
      </w:r>
      <w:r>
        <w:rPr>
          <w:spacing w:val="-15"/>
        </w:rPr>
        <w:t> </w:t>
      </w:r>
      <w:r>
        <w:rPr/>
        <w:t>siglo</w:t>
      </w:r>
      <w:r>
        <w:rPr>
          <w:spacing w:val="-15"/>
        </w:rPr>
        <w:t> </w:t>
      </w:r>
      <w:r>
        <w:rPr/>
        <w:t>XVIII,</w:t>
      </w:r>
      <w:r>
        <w:rPr>
          <w:spacing w:val="-15"/>
        </w:rPr>
        <w:t> </w:t>
      </w:r>
      <w:r>
        <w:rPr/>
        <w:t>bajo</w:t>
      </w:r>
      <w:r>
        <w:rPr>
          <w:spacing w:val="-15"/>
        </w:rPr>
        <w:t> </w:t>
      </w:r>
      <w:r>
        <w:rPr/>
        <w:t>formas</w:t>
      </w:r>
      <w:r>
        <w:rPr>
          <w:spacing w:val="-15"/>
        </w:rPr>
        <w:t> </w:t>
      </w:r>
      <w:r>
        <w:rPr/>
        <w:t>distintas</w:t>
      </w:r>
      <w:r>
        <w:rPr>
          <w:spacing w:val="-15"/>
        </w:rPr>
        <w:t> </w:t>
      </w:r>
      <w:r>
        <w:rPr/>
        <w:t>y</w:t>
      </w:r>
      <w:r>
        <w:rPr>
          <w:spacing w:val="-15"/>
        </w:rPr>
        <w:t> </w:t>
      </w:r>
      <w:r>
        <w:rPr/>
        <w:t>dimensiones múltiples. Arteaga, 2005: 100-101), aporta algunos puntos de vista relacionados con la periferia,</w:t>
      </w:r>
      <w:r>
        <w:rPr>
          <w:spacing w:val="-14"/>
        </w:rPr>
        <w:t> </w:t>
      </w:r>
      <w:r>
        <w:rPr/>
        <w:t>aunque</w:t>
      </w:r>
      <w:r>
        <w:rPr>
          <w:spacing w:val="-14"/>
        </w:rPr>
        <w:t> </w:t>
      </w:r>
      <w:r>
        <w:rPr/>
        <w:t>estos</w:t>
      </w:r>
      <w:r>
        <w:rPr>
          <w:spacing w:val="-14"/>
        </w:rPr>
        <w:t> </w:t>
      </w:r>
      <w:r>
        <w:rPr/>
        <w:t>se</w:t>
      </w:r>
      <w:r>
        <w:rPr>
          <w:spacing w:val="-14"/>
        </w:rPr>
        <w:t> </w:t>
      </w:r>
      <w:r>
        <w:rPr/>
        <w:t>han</w:t>
      </w:r>
      <w:r>
        <w:rPr>
          <w:spacing w:val="-14"/>
        </w:rPr>
        <w:t> </w:t>
      </w:r>
      <w:r>
        <w:rPr/>
        <w:t>abordado</w:t>
      </w:r>
      <w:r>
        <w:rPr>
          <w:spacing w:val="-14"/>
        </w:rPr>
        <w:t> </w:t>
      </w:r>
      <w:r>
        <w:rPr/>
        <w:t>sólo</w:t>
      </w:r>
      <w:r>
        <w:rPr>
          <w:spacing w:val="-14"/>
        </w:rPr>
        <w:t> </w:t>
      </w:r>
      <w:r>
        <w:rPr/>
        <w:t>en</w:t>
      </w:r>
      <w:r>
        <w:rPr>
          <w:spacing w:val="-14"/>
        </w:rPr>
        <w:t> </w:t>
      </w:r>
      <w:r>
        <w:rPr/>
        <w:t>términos</w:t>
      </w:r>
      <w:r>
        <w:rPr>
          <w:spacing w:val="-14"/>
        </w:rPr>
        <w:t> </w:t>
      </w:r>
      <w:r>
        <w:rPr/>
        <w:t>de</w:t>
      </w:r>
      <w:r>
        <w:rPr>
          <w:spacing w:val="-14"/>
        </w:rPr>
        <w:t> </w:t>
      </w:r>
      <w:r>
        <w:rPr>
          <w:i/>
        </w:rPr>
        <w:t>distancia</w:t>
      </w:r>
      <w:r>
        <w:rPr/>
        <w:t>:</w:t>
      </w:r>
      <w:r>
        <w:rPr>
          <w:spacing w:val="-14"/>
        </w:rPr>
        <w:t> </w:t>
      </w:r>
      <w:r>
        <w:rPr>
          <w:i/>
        </w:rPr>
        <w:t>peripheria</w:t>
      </w:r>
      <w:r>
        <w:rPr>
          <w:i/>
          <w:spacing w:val="-13"/>
        </w:rPr>
        <w:t> </w:t>
      </w:r>
      <w:r>
        <w:rPr/>
        <w:t>-llevar alrededor- para referirse al contorno geométrico. En el siglo XIX la palabra periferia se utilizaba</w:t>
      </w:r>
      <w:r>
        <w:rPr>
          <w:spacing w:val="-7"/>
        </w:rPr>
        <w:t> </w:t>
      </w:r>
      <w:r>
        <w:rPr/>
        <w:t>para</w:t>
      </w:r>
      <w:r>
        <w:rPr>
          <w:spacing w:val="-7"/>
        </w:rPr>
        <w:t> </w:t>
      </w:r>
      <w:r>
        <w:rPr/>
        <w:t>señalar</w:t>
      </w:r>
      <w:r>
        <w:rPr>
          <w:spacing w:val="-7"/>
        </w:rPr>
        <w:t> </w:t>
      </w:r>
      <w:r>
        <w:rPr/>
        <w:t>espacios</w:t>
      </w:r>
      <w:r>
        <w:rPr>
          <w:spacing w:val="-7"/>
        </w:rPr>
        <w:t> </w:t>
      </w:r>
      <w:r>
        <w:rPr/>
        <w:t>distantes</w:t>
      </w:r>
      <w:r>
        <w:rPr>
          <w:spacing w:val="-7"/>
        </w:rPr>
        <w:t> </w:t>
      </w:r>
      <w:r>
        <w:rPr/>
        <w:t>del</w:t>
      </w:r>
      <w:r>
        <w:rPr>
          <w:spacing w:val="-7"/>
        </w:rPr>
        <w:t> </w:t>
      </w:r>
      <w:r>
        <w:rPr/>
        <w:t>centro,</w:t>
      </w:r>
      <w:r>
        <w:rPr>
          <w:spacing w:val="-7"/>
        </w:rPr>
        <w:t> </w:t>
      </w:r>
      <w:r>
        <w:rPr/>
        <w:t>es</w:t>
      </w:r>
      <w:r>
        <w:rPr>
          <w:spacing w:val="-7"/>
        </w:rPr>
        <w:t> </w:t>
      </w:r>
      <w:r>
        <w:rPr/>
        <w:t>decir,</w:t>
      </w:r>
      <w:r>
        <w:rPr>
          <w:spacing w:val="-7"/>
        </w:rPr>
        <w:t> </w:t>
      </w:r>
      <w:r>
        <w:rPr/>
        <w:t>la</w:t>
      </w:r>
      <w:r>
        <w:rPr>
          <w:spacing w:val="-7"/>
        </w:rPr>
        <w:t> </w:t>
      </w:r>
      <w:r>
        <w:rPr/>
        <w:t>periferia</w:t>
      </w:r>
      <w:r>
        <w:rPr>
          <w:spacing w:val="-7"/>
        </w:rPr>
        <w:t> </w:t>
      </w:r>
      <w:r>
        <w:rPr/>
        <w:t>era</w:t>
      </w:r>
      <w:r>
        <w:rPr>
          <w:spacing w:val="-7"/>
        </w:rPr>
        <w:t> </w:t>
      </w:r>
      <w:r>
        <w:rPr/>
        <w:t>el</w:t>
      </w:r>
      <w:r>
        <w:rPr>
          <w:spacing w:val="-7"/>
        </w:rPr>
        <w:t> </w:t>
      </w:r>
      <w:r>
        <w:rPr/>
        <w:t>contorno de la ciudad, “lo que estaba afuera”, que se caracterizaba por la pauperización de su población. La distancia alejada y perimetral con relación a un centro es el concepto básico del cual se parte para definir este nuevo proceso en la ciudad: el espacio urbano construido de forma dispersa más allá de las murallas. De acuerdo a Merlin     y Choay (1988), por periferia se entiende a los extremos o márgenes de cualquier entidad geográfica, en contraposición al centro; se define como el territorio externo de la ciudad formado por una franja en mayor o menor grado urbanizada, cuyas partes están localizadas a cierta distancia del centro y a las cuales éste extiende su</w:t>
      </w:r>
      <w:r>
        <w:rPr>
          <w:spacing w:val="51"/>
        </w:rPr>
        <w:t> </w:t>
      </w:r>
      <w:r>
        <w:rPr/>
        <w:t>acción.</w:t>
      </w:r>
    </w:p>
    <w:p>
      <w:pPr>
        <w:pStyle w:val="BodyText"/>
        <w:spacing w:before="11"/>
      </w:pPr>
    </w:p>
    <w:p>
      <w:pPr>
        <w:pStyle w:val="BodyText"/>
        <w:spacing w:line="249" w:lineRule="auto"/>
        <w:ind w:left="130" w:right="127" w:firstLine="170"/>
        <w:jc w:val="both"/>
      </w:pPr>
      <w:r>
        <w:rPr/>
        <w:t>Hiernaux</w:t>
      </w:r>
      <w:r>
        <w:rPr>
          <w:spacing w:val="-12"/>
        </w:rPr>
        <w:t> </w:t>
      </w:r>
      <w:r>
        <w:rPr/>
        <w:t>y</w:t>
      </w:r>
      <w:r>
        <w:rPr>
          <w:spacing w:val="-12"/>
        </w:rPr>
        <w:t> </w:t>
      </w:r>
      <w:r>
        <w:rPr/>
        <w:t>Lindón</w:t>
      </w:r>
      <w:r>
        <w:rPr>
          <w:spacing w:val="-12"/>
        </w:rPr>
        <w:t> </w:t>
      </w:r>
      <w:r>
        <w:rPr/>
        <w:t>(2004:</w:t>
      </w:r>
      <w:r>
        <w:rPr>
          <w:spacing w:val="-12"/>
        </w:rPr>
        <w:t> </w:t>
      </w:r>
      <w:r>
        <w:rPr/>
        <w:t>414),</w:t>
      </w:r>
      <w:r>
        <w:rPr>
          <w:spacing w:val="-12"/>
        </w:rPr>
        <w:t> </w:t>
      </w:r>
      <w:r>
        <w:rPr/>
        <w:t>describen</w:t>
      </w:r>
      <w:r>
        <w:rPr>
          <w:spacing w:val="-12"/>
        </w:rPr>
        <w:t> </w:t>
      </w:r>
      <w:r>
        <w:rPr/>
        <w:t>que</w:t>
      </w:r>
      <w:r>
        <w:rPr>
          <w:spacing w:val="-12"/>
        </w:rPr>
        <w:t> </w:t>
      </w:r>
      <w:r>
        <w:rPr/>
        <w:t>la</w:t>
      </w:r>
      <w:r>
        <w:rPr>
          <w:spacing w:val="-12"/>
        </w:rPr>
        <w:t> </w:t>
      </w:r>
      <w:r>
        <w:rPr/>
        <w:t>palabra</w:t>
      </w:r>
      <w:r>
        <w:rPr>
          <w:spacing w:val="-12"/>
        </w:rPr>
        <w:t> </w:t>
      </w:r>
      <w:r>
        <w:rPr/>
        <w:t>periferia</w:t>
      </w:r>
      <w:r>
        <w:rPr>
          <w:spacing w:val="-12"/>
        </w:rPr>
        <w:t> </w:t>
      </w:r>
      <w:r>
        <w:rPr/>
        <w:t>está</w:t>
      </w:r>
      <w:r>
        <w:rPr>
          <w:spacing w:val="-12"/>
        </w:rPr>
        <w:t> </w:t>
      </w:r>
      <w:r>
        <w:rPr/>
        <w:t>relacionada</w:t>
      </w:r>
      <w:r>
        <w:rPr>
          <w:spacing w:val="-12"/>
        </w:rPr>
        <w:t> </w:t>
      </w:r>
      <w:r>
        <w:rPr/>
        <w:t>con las de “arrabal” y “suburbio”. La primera de estas fue usada en América Latina hasta inicios</w:t>
      </w:r>
      <w:r>
        <w:rPr>
          <w:spacing w:val="-6"/>
        </w:rPr>
        <w:t> </w:t>
      </w:r>
      <w:r>
        <w:rPr/>
        <w:t>del</w:t>
      </w:r>
      <w:r>
        <w:rPr>
          <w:spacing w:val="-6"/>
        </w:rPr>
        <w:t> </w:t>
      </w:r>
      <w:r>
        <w:rPr/>
        <w:t>siglo</w:t>
      </w:r>
      <w:r>
        <w:rPr>
          <w:spacing w:val="-6"/>
        </w:rPr>
        <w:t> </w:t>
      </w:r>
      <w:r>
        <w:rPr/>
        <w:t>XX,</w:t>
      </w:r>
      <w:r>
        <w:rPr>
          <w:spacing w:val="-6"/>
        </w:rPr>
        <w:t> </w:t>
      </w:r>
      <w:r>
        <w:rPr/>
        <w:t>y</w:t>
      </w:r>
      <w:r>
        <w:rPr>
          <w:spacing w:val="-6"/>
        </w:rPr>
        <w:t> </w:t>
      </w:r>
      <w:r>
        <w:rPr/>
        <w:t>posteriormente</w:t>
      </w:r>
      <w:r>
        <w:rPr>
          <w:spacing w:val="-6"/>
        </w:rPr>
        <w:t> </w:t>
      </w:r>
      <w:r>
        <w:rPr/>
        <w:t>se</w:t>
      </w:r>
      <w:r>
        <w:rPr>
          <w:spacing w:val="-6"/>
        </w:rPr>
        <w:t> </w:t>
      </w:r>
      <w:r>
        <w:rPr/>
        <w:t>paso</w:t>
      </w:r>
      <w:r>
        <w:rPr>
          <w:spacing w:val="-6"/>
        </w:rPr>
        <w:t> </w:t>
      </w:r>
      <w:r>
        <w:rPr/>
        <w:t>a</w:t>
      </w:r>
      <w:r>
        <w:rPr>
          <w:spacing w:val="-6"/>
        </w:rPr>
        <w:t> </w:t>
      </w:r>
      <w:r>
        <w:rPr/>
        <w:t>la</w:t>
      </w:r>
      <w:r>
        <w:rPr>
          <w:spacing w:val="-6"/>
        </w:rPr>
        <w:t> </w:t>
      </w:r>
      <w:r>
        <w:rPr/>
        <w:t>utilización</w:t>
      </w:r>
      <w:r>
        <w:rPr>
          <w:spacing w:val="-6"/>
        </w:rPr>
        <w:t> </w:t>
      </w:r>
      <w:r>
        <w:rPr/>
        <w:t>de</w:t>
      </w:r>
      <w:r>
        <w:rPr>
          <w:spacing w:val="-6"/>
        </w:rPr>
        <w:t> </w:t>
      </w:r>
      <w:r>
        <w:rPr/>
        <w:t>suburbio</w:t>
      </w:r>
      <w:r>
        <w:rPr>
          <w:spacing w:val="-6"/>
        </w:rPr>
        <w:t> </w:t>
      </w:r>
      <w:r>
        <w:rPr/>
        <w:t>hasta</w:t>
      </w:r>
      <w:r>
        <w:rPr>
          <w:spacing w:val="-6"/>
        </w:rPr>
        <w:t> </w:t>
      </w:r>
      <w:r>
        <w:rPr/>
        <w:t>los</w:t>
      </w:r>
      <w:r>
        <w:rPr>
          <w:spacing w:val="-6"/>
        </w:rPr>
        <w:t> </w:t>
      </w:r>
      <w:r>
        <w:rPr/>
        <w:t>años setenta, a partir de los cuales se usa la palabra </w:t>
      </w:r>
      <w:r>
        <w:rPr>
          <w:i/>
        </w:rPr>
        <w:t>periferia</w:t>
      </w:r>
      <w:r>
        <w:rPr/>
        <w:t>. Etimológicamente, arrabal hace referencia a lo que está “</w:t>
      </w:r>
      <w:r>
        <w:rPr>
          <w:i/>
        </w:rPr>
        <w:t>afuera </w:t>
      </w:r>
      <w:r>
        <w:rPr/>
        <w:t>de la ciudad”, mientras que el suburbio “es lo que está </w:t>
      </w:r>
      <w:r>
        <w:rPr>
          <w:i/>
        </w:rPr>
        <w:t>cerca </w:t>
      </w:r>
      <w:r>
        <w:rPr/>
        <w:t>de la ciudad”. El vocablo </w:t>
      </w:r>
      <w:r>
        <w:rPr>
          <w:i/>
        </w:rPr>
        <w:t>arrabal, </w:t>
      </w:r>
      <w:r>
        <w:rPr/>
        <w:t>proviene del árabe, que representaba a los barrios peligrosos localizados fuera de la ciudad, explican que “la palabra arrabal conlleva una dimensión despectiva, ligada al miedo y al rechazo de la diferencia, aun dentro del marco de una visión ecléctica de la vida </w:t>
      </w:r>
      <w:r>
        <w:rPr>
          <w:spacing w:val="16"/>
        </w:rPr>
        <w:t> </w:t>
      </w:r>
      <w:r>
        <w:rPr/>
        <w:t>urbana”.</w:t>
      </w:r>
    </w:p>
    <w:p>
      <w:pPr>
        <w:pStyle w:val="BodyText"/>
        <w:spacing w:before="11"/>
      </w:pPr>
    </w:p>
    <w:p>
      <w:pPr>
        <w:pStyle w:val="BodyText"/>
        <w:spacing w:line="249" w:lineRule="auto"/>
        <w:ind w:left="130" w:right="128" w:firstLine="170"/>
        <w:jc w:val="both"/>
      </w:pPr>
      <w:r>
        <w:rPr/>
        <w:t>Es a principios del siglo XX que aparecen estudios sobre el análisis de la periferia y del proceso de crecimiento y expansión de la ciudad, vistos en términos geográficos y urbanos, derivado del desarrollo del capitalismo industrial y el crecimiento demográfico urbano,</w:t>
      </w:r>
      <w:r>
        <w:rPr>
          <w:spacing w:val="-4"/>
        </w:rPr>
        <w:t> </w:t>
      </w:r>
      <w:r>
        <w:rPr/>
        <w:t>donde</w:t>
      </w:r>
      <w:r>
        <w:rPr>
          <w:spacing w:val="-4"/>
        </w:rPr>
        <w:t> </w:t>
      </w:r>
      <w:r>
        <w:rPr/>
        <w:t>la</w:t>
      </w:r>
      <w:r>
        <w:rPr>
          <w:spacing w:val="-4"/>
        </w:rPr>
        <w:t> </w:t>
      </w:r>
      <w:r>
        <w:rPr/>
        <w:t>ciudad</w:t>
      </w:r>
      <w:r>
        <w:rPr>
          <w:spacing w:val="-4"/>
        </w:rPr>
        <w:t> </w:t>
      </w:r>
      <w:r>
        <w:rPr/>
        <w:t>y</w:t>
      </w:r>
      <w:r>
        <w:rPr>
          <w:spacing w:val="-4"/>
        </w:rPr>
        <w:t> </w:t>
      </w:r>
      <w:r>
        <w:rPr/>
        <w:t>su</w:t>
      </w:r>
      <w:r>
        <w:rPr>
          <w:spacing w:val="-4"/>
        </w:rPr>
        <w:t> </w:t>
      </w:r>
      <w:r>
        <w:rPr/>
        <w:t>planificación</w:t>
      </w:r>
      <w:r>
        <w:rPr>
          <w:spacing w:val="-4"/>
        </w:rPr>
        <w:t> </w:t>
      </w:r>
      <w:r>
        <w:rPr/>
        <w:t>se</w:t>
      </w:r>
      <w:r>
        <w:rPr>
          <w:spacing w:val="-4"/>
        </w:rPr>
        <w:t> </w:t>
      </w:r>
      <w:r>
        <w:rPr/>
        <w:t>constituyó</w:t>
      </w:r>
      <w:r>
        <w:rPr>
          <w:spacing w:val="-4"/>
        </w:rPr>
        <w:t> </w:t>
      </w:r>
      <w:r>
        <w:rPr/>
        <w:t>como</w:t>
      </w:r>
      <w:r>
        <w:rPr>
          <w:spacing w:val="-4"/>
        </w:rPr>
        <w:t> </w:t>
      </w:r>
      <w:r>
        <w:rPr/>
        <w:t>una</w:t>
      </w:r>
      <w:r>
        <w:rPr>
          <w:spacing w:val="-4"/>
        </w:rPr>
        <w:t> </w:t>
      </w:r>
      <w:r>
        <w:rPr/>
        <w:t>cuestión</w:t>
      </w:r>
      <w:r>
        <w:rPr>
          <w:spacing w:val="-4"/>
        </w:rPr>
        <w:t> </w:t>
      </w:r>
      <w:r>
        <w:rPr/>
        <w:t>del</w:t>
      </w:r>
      <w:r>
        <w:rPr>
          <w:spacing w:val="-4"/>
        </w:rPr>
        <w:t> </w:t>
      </w:r>
      <w:r>
        <w:rPr/>
        <w:t>Estado, motivo de análisis por parte de diversas escuelas de</w:t>
      </w:r>
      <w:r>
        <w:rPr>
          <w:spacing w:val="45"/>
        </w:rPr>
        <w:t> </w:t>
      </w:r>
      <w:r>
        <w:rPr/>
        <w:t>pensamiento.</w:t>
      </w:r>
    </w:p>
    <w:p>
      <w:pPr>
        <w:pStyle w:val="BodyText"/>
        <w:spacing w:before="11"/>
      </w:pPr>
    </w:p>
    <w:p>
      <w:pPr>
        <w:pStyle w:val="BodyText"/>
        <w:spacing w:line="249" w:lineRule="auto"/>
        <w:ind w:left="130" w:right="128" w:firstLine="170"/>
        <w:jc w:val="both"/>
      </w:pPr>
      <w:r>
        <w:rPr/>
        <w:t>Una de las primeras escuelas que desarrollaron temáticas en torno al desarrollo de  la ciudad, su expansión y la ocupación de la periferia, es la Escuela Ecologista de Sociología</w:t>
      </w:r>
      <w:r>
        <w:rPr>
          <w:spacing w:val="33"/>
        </w:rPr>
        <w:t> </w:t>
      </w:r>
      <w:r>
        <w:rPr/>
        <w:t>Urbana</w:t>
      </w:r>
      <w:r>
        <w:rPr>
          <w:spacing w:val="33"/>
        </w:rPr>
        <w:t> </w:t>
      </w:r>
      <w:r>
        <w:rPr/>
        <w:t>de</w:t>
      </w:r>
      <w:r>
        <w:rPr>
          <w:spacing w:val="33"/>
        </w:rPr>
        <w:t> </w:t>
      </w:r>
      <w:r>
        <w:rPr/>
        <w:t>Chicago,</w:t>
      </w:r>
      <w:r>
        <w:rPr>
          <w:spacing w:val="33"/>
        </w:rPr>
        <w:t> </w:t>
      </w:r>
      <w:r>
        <w:rPr/>
        <w:t>donde</w:t>
      </w:r>
      <w:r>
        <w:rPr>
          <w:spacing w:val="33"/>
        </w:rPr>
        <w:t> </w:t>
      </w:r>
      <w:r>
        <w:rPr/>
        <w:t>la</w:t>
      </w:r>
      <w:r>
        <w:rPr>
          <w:spacing w:val="33"/>
        </w:rPr>
        <w:t> </w:t>
      </w:r>
      <w:r>
        <w:rPr/>
        <w:t>ciudad</w:t>
      </w:r>
      <w:r>
        <w:rPr>
          <w:spacing w:val="33"/>
        </w:rPr>
        <w:t> </w:t>
      </w:r>
      <w:r>
        <w:rPr/>
        <w:t>ya</w:t>
      </w:r>
      <w:r>
        <w:rPr>
          <w:spacing w:val="33"/>
        </w:rPr>
        <w:t> </w:t>
      </w:r>
      <w:r>
        <w:rPr/>
        <w:t>no</w:t>
      </w:r>
      <w:r>
        <w:rPr>
          <w:spacing w:val="33"/>
        </w:rPr>
        <w:t> </w:t>
      </w:r>
      <w:r>
        <w:rPr/>
        <w:t>sólo</w:t>
      </w:r>
      <w:r>
        <w:rPr>
          <w:spacing w:val="33"/>
        </w:rPr>
        <w:t> </w:t>
      </w:r>
      <w:r>
        <w:rPr/>
        <w:t>es</w:t>
      </w:r>
      <w:r>
        <w:rPr>
          <w:spacing w:val="33"/>
        </w:rPr>
        <w:t> </w:t>
      </w:r>
      <w:r>
        <w:rPr/>
        <w:t>observada</w:t>
      </w:r>
      <w:r>
        <w:rPr>
          <w:spacing w:val="33"/>
        </w:rPr>
        <w:t> </w:t>
      </w:r>
      <w:r>
        <w:rPr/>
        <w:t>desde</w:t>
      </w:r>
      <w:r>
        <w:rPr>
          <w:spacing w:val="33"/>
        </w:rPr>
        <w:t> </w:t>
      </w:r>
      <w:r>
        <w:rPr/>
        <w:t>el</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41"/>
          <w:pgSz w:w="18830" w:h="12760" w:orient="landscape"/>
          <w:pgMar w:footer="1036" w:header="522" w:top="820" w:bottom="1220" w:left="720" w:right="720"/>
        </w:sectPr>
      </w:pPr>
    </w:p>
    <w:p>
      <w:pPr>
        <w:pStyle w:val="BodyText"/>
        <w:spacing w:line="249" w:lineRule="auto" w:before="76"/>
        <w:ind w:left="130"/>
        <w:jc w:val="both"/>
      </w:pPr>
      <w:r>
        <w:rPr/>
        <w:t>ámbito territorial sino como un organismo social con una estructura física; el estudio  de la ciudad y su compleja problemática brindó a esta escuela el escenario para la elaboración de una escuela de pensamiento social y urbano, cuyos investigadores, estudiantes y maestros, tomaron como campo de investigación la ciudad de Chicago en auge de plenas transformaciones territoriales entre 1915 y 1949 (Brigitte,</w:t>
      </w:r>
      <w:r>
        <w:rPr>
          <w:spacing w:val="8"/>
        </w:rPr>
        <w:t> </w:t>
      </w:r>
      <w:r>
        <w:rPr/>
        <w:t>2006).</w:t>
      </w:r>
    </w:p>
    <w:p>
      <w:pPr>
        <w:pStyle w:val="BodyText"/>
        <w:spacing w:before="11"/>
      </w:pPr>
    </w:p>
    <w:p>
      <w:pPr>
        <w:pStyle w:val="BodyText"/>
        <w:spacing w:line="249" w:lineRule="auto"/>
        <w:ind w:left="130" w:firstLine="170"/>
        <w:jc w:val="both"/>
      </w:pPr>
      <w:r>
        <w:rPr/>
        <w:t>Los nuevos procesos sociales y el estudio de la ciudad, retoman a la ecología como eje rector, aplicando una ciencia natural a la organización social urbana; recoge una diversidad</w:t>
      </w:r>
      <w:r>
        <w:rPr>
          <w:spacing w:val="-23"/>
        </w:rPr>
        <w:t> </w:t>
      </w:r>
      <w:r>
        <w:rPr/>
        <w:t>de</w:t>
      </w:r>
      <w:r>
        <w:rPr>
          <w:spacing w:val="-23"/>
        </w:rPr>
        <w:t> </w:t>
      </w:r>
      <w:r>
        <w:rPr/>
        <w:t>teorías</w:t>
      </w:r>
      <w:r>
        <w:rPr>
          <w:spacing w:val="-23"/>
        </w:rPr>
        <w:t> </w:t>
      </w:r>
      <w:r>
        <w:rPr/>
        <w:t>de</w:t>
      </w:r>
      <w:r>
        <w:rPr>
          <w:spacing w:val="-23"/>
        </w:rPr>
        <w:t> </w:t>
      </w:r>
      <w:r>
        <w:rPr/>
        <w:t>investigación</w:t>
      </w:r>
      <w:r>
        <w:rPr>
          <w:spacing w:val="-23"/>
        </w:rPr>
        <w:t> </w:t>
      </w:r>
      <w:r>
        <w:rPr/>
        <w:t>urbana,</w:t>
      </w:r>
      <w:r>
        <w:rPr>
          <w:spacing w:val="-23"/>
        </w:rPr>
        <w:t> </w:t>
      </w:r>
      <w:r>
        <w:rPr/>
        <w:t>una</w:t>
      </w:r>
      <w:r>
        <w:rPr>
          <w:spacing w:val="-23"/>
        </w:rPr>
        <w:t> </w:t>
      </w:r>
      <w:r>
        <w:rPr/>
        <w:t>serie</w:t>
      </w:r>
      <w:r>
        <w:rPr>
          <w:spacing w:val="-23"/>
        </w:rPr>
        <w:t> </w:t>
      </w:r>
      <w:r>
        <w:rPr/>
        <w:t>de</w:t>
      </w:r>
      <w:r>
        <w:rPr>
          <w:spacing w:val="-23"/>
        </w:rPr>
        <w:t> </w:t>
      </w:r>
      <w:r>
        <w:rPr/>
        <w:t>ideas,</w:t>
      </w:r>
      <w:r>
        <w:rPr>
          <w:spacing w:val="-23"/>
        </w:rPr>
        <w:t> </w:t>
      </w:r>
      <w:r>
        <w:rPr/>
        <w:t>lecturas</w:t>
      </w:r>
      <w:r>
        <w:rPr>
          <w:spacing w:val="-23"/>
        </w:rPr>
        <w:t> </w:t>
      </w:r>
      <w:r>
        <w:rPr/>
        <w:t>e</w:t>
      </w:r>
      <w:r>
        <w:rPr>
          <w:spacing w:val="-23"/>
        </w:rPr>
        <w:t> </w:t>
      </w:r>
      <w:r>
        <w:rPr/>
        <w:t>interacciones </w:t>
      </w:r>
      <w:r>
        <w:rPr>
          <w:spacing w:val="3"/>
        </w:rPr>
        <w:t>públicassobrela</w:t>
      </w:r>
      <w:r>
        <w:rPr>
          <w:spacing w:val="-9"/>
        </w:rPr>
        <w:t> </w:t>
      </w:r>
      <w:r>
        <w:rPr/>
        <w:t>ciudad,</w:t>
      </w:r>
      <w:r>
        <w:rPr>
          <w:spacing w:val="-9"/>
        </w:rPr>
        <w:t> </w:t>
      </w:r>
      <w:r>
        <w:rPr/>
        <w:t>constituyendoun</w:t>
      </w:r>
      <w:r>
        <w:rPr>
          <w:spacing w:val="-9"/>
        </w:rPr>
        <w:t> </w:t>
      </w:r>
      <w:r>
        <w:rPr>
          <w:spacing w:val="3"/>
        </w:rPr>
        <w:t>influjoa</w:t>
      </w:r>
      <w:r>
        <w:rPr>
          <w:spacing w:val="-9"/>
        </w:rPr>
        <w:t> </w:t>
      </w:r>
      <w:r>
        <w:rPr/>
        <w:t>la</w:t>
      </w:r>
      <w:r>
        <w:rPr>
          <w:spacing w:val="-9"/>
        </w:rPr>
        <w:t> </w:t>
      </w:r>
      <w:r>
        <w:rPr/>
        <w:t>sociología</w:t>
      </w:r>
      <w:r>
        <w:rPr>
          <w:spacing w:val="-9"/>
        </w:rPr>
        <w:t> </w:t>
      </w:r>
      <w:r>
        <w:rPr/>
        <w:t>norteamericana”(Llanos, 2004:</w:t>
      </w:r>
      <w:r>
        <w:rPr>
          <w:spacing w:val="-5"/>
        </w:rPr>
        <w:t> </w:t>
      </w:r>
      <w:r>
        <w:rPr/>
        <w:t>4).</w:t>
      </w:r>
      <w:r>
        <w:rPr>
          <w:spacing w:val="-5"/>
        </w:rPr>
        <w:t> </w:t>
      </w:r>
      <w:r>
        <w:rPr/>
        <w:t>Las</w:t>
      </w:r>
      <w:r>
        <w:rPr>
          <w:spacing w:val="-5"/>
        </w:rPr>
        <w:t> </w:t>
      </w:r>
      <w:r>
        <w:rPr/>
        <w:t>aportaciones</w:t>
      </w:r>
      <w:r>
        <w:rPr>
          <w:spacing w:val="-5"/>
        </w:rPr>
        <w:t> </w:t>
      </w:r>
      <w:r>
        <w:rPr/>
        <w:t>teóricas</w:t>
      </w:r>
      <w:r>
        <w:rPr>
          <w:spacing w:val="-5"/>
        </w:rPr>
        <w:t> </w:t>
      </w:r>
      <w:r>
        <w:rPr/>
        <w:t>más</w:t>
      </w:r>
      <w:r>
        <w:rPr>
          <w:spacing w:val="-5"/>
        </w:rPr>
        <w:t> </w:t>
      </w:r>
      <w:r>
        <w:rPr/>
        <w:t>sobresalientes</w:t>
      </w:r>
      <w:r>
        <w:rPr>
          <w:spacing w:val="-5"/>
        </w:rPr>
        <w:t> </w:t>
      </w:r>
      <w:r>
        <w:rPr/>
        <w:t>de</w:t>
      </w:r>
      <w:r>
        <w:rPr>
          <w:spacing w:val="-5"/>
        </w:rPr>
        <w:t> </w:t>
      </w:r>
      <w:r>
        <w:rPr/>
        <w:t>la</w:t>
      </w:r>
      <w:r>
        <w:rPr>
          <w:spacing w:val="-5"/>
        </w:rPr>
        <w:t> </w:t>
      </w:r>
      <w:r>
        <w:rPr/>
        <w:t>Escuela</w:t>
      </w:r>
      <w:r>
        <w:rPr>
          <w:spacing w:val="-5"/>
        </w:rPr>
        <w:t> </w:t>
      </w:r>
      <w:r>
        <w:rPr/>
        <w:t>Ecologista</w:t>
      </w:r>
      <w:r>
        <w:rPr>
          <w:spacing w:val="-5"/>
        </w:rPr>
        <w:t> </w:t>
      </w:r>
      <w:r>
        <w:rPr/>
        <w:t>fueron las realizadas por Burgess, Hoyt, Harris y Ullman y Mackenzie, quienes analizaron los efectos sociales de la urbanización desde un punto de vista biológico, constituyendo, como</w:t>
      </w:r>
      <w:r>
        <w:rPr>
          <w:spacing w:val="-4"/>
        </w:rPr>
        <w:t> </w:t>
      </w:r>
      <w:r>
        <w:rPr/>
        <w:t>lo</w:t>
      </w:r>
      <w:r>
        <w:rPr>
          <w:spacing w:val="-4"/>
        </w:rPr>
        <w:t> </w:t>
      </w:r>
      <w:r>
        <w:rPr/>
        <w:t>señala</w:t>
      </w:r>
      <w:r>
        <w:rPr>
          <w:spacing w:val="-4"/>
        </w:rPr>
        <w:t> </w:t>
      </w:r>
      <w:r>
        <w:rPr/>
        <w:t>Lezama</w:t>
      </w:r>
      <w:r>
        <w:rPr>
          <w:spacing w:val="-4"/>
        </w:rPr>
        <w:t> </w:t>
      </w:r>
      <w:r>
        <w:rPr/>
        <w:t>(2002:</w:t>
      </w:r>
      <w:r>
        <w:rPr>
          <w:spacing w:val="-4"/>
        </w:rPr>
        <w:t> </w:t>
      </w:r>
      <w:r>
        <w:rPr/>
        <w:t>183),</w:t>
      </w:r>
      <w:r>
        <w:rPr>
          <w:spacing w:val="-4"/>
        </w:rPr>
        <w:t> </w:t>
      </w:r>
      <w:r>
        <w:rPr/>
        <w:t>“el</w:t>
      </w:r>
      <w:r>
        <w:rPr>
          <w:spacing w:val="-4"/>
        </w:rPr>
        <w:t> </w:t>
      </w:r>
      <w:r>
        <w:rPr/>
        <w:t>primer</w:t>
      </w:r>
      <w:r>
        <w:rPr>
          <w:spacing w:val="-4"/>
        </w:rPr>
        <w:t> </w:t>
      </w:r>
      <w:r>
        <w:rPr/>
        <w:t>esfuerzo</w:t>
      </w:r>
      <w:r>
        <w:rPr>
          <w:spacing w:val="-4"/>
        </w:rPr>
        <w:t> </w:t>
      </w:r>
      <w:r>
        <w:rPr/>
        <w:t>teórico</w:t>
      </w:r>
      <w:r>
        <w:rPr>
          <w:spacing w:val="-4"/>
        </w:rPr>
        <w:t> </w:t>
      </w:r>
      <w:r>
        <w:rPr/>
        <w:t>riguroso</w:t>
      </w:r>
      <w:r>
        <w:rPr>
          <w:spacing w:val="-4"/>
        </w:rPr>
        <w:t> </w:t>
      </w:r>
      <w:r>
        <w:rPr/>
        <w:t>por</w:t>
      </w:r>
      <w:r>
        <w:rPr>
          <w:spacing w:val="-4"/>
        </w:rPr>
        <w:t> </w:t>
      </w:r>
      <w:r>
        <w:rPr/>
        <w:t>entender</w:t>
      </w:r>
      <w:r>
        <w:rPr>
          <w:spacing w:val="-4"/>
        </w:rPr>
        <w:t> </w:t>
      </w:r>
      <w:r>
        <w:rPr/>
        <w:t>y explicar los efectos sociológicos del proceso de urbanización capitalista, en un periodo de cambios profundos a nivel internacional”, y cuyos trabajos se enfocan a realizar</w:t>
      </w:r>
      <w:r>
        <w:rPr>
          <w:spacing w:val="-13"/>
        </w:rPr>
        <w:t> </w:t>
      </w:r>
      <w:r>
        <w:rPr/>
        <w:t>una crítica de la ciudad y de su</w:t>
      </w:r>
      <w:r>
        <w:rPr>
          <w:spacing w:val="46"/>
        </w:rPr>
        <w:t> </w:t>
      </w:r>
      <w:r>
        <w:rPr/>
        <w:t>sociedad.</w:t>
      </w:r>
    </w:p>
    <w:p>
      <w:pPr>
        <w:pStyle w:val="BodyText"/>
        <w:spacing w:before="11"/>
      </w:pPr>
    </w:p>
    <w:p>
      <w:pPr>
        <w:pStyle w:val="BodyText"/>
        <w:spacing w:line="249" w:lineRule="auto"/>
        <w:ind w:left="130" w:firstLine="170"/>
        <w:jc w:val="both"/>
      </w:pPr>
      <w:r>
        <w:rPr/>
        <w:t>De esta manera, los resultados en torno al análisis de la ciudad y, particularmente,  la periferia, lo muestra el modelo de </w:t>
      </w:r>
      <w:r>
        <w:rPr>
          <w:i/>
        </w:rPr>
        <w:t>zonas concéntricas </w:t>
      </w:r>
      <w:r>
        <w:rPr/>
        <w:t>de Burgess (Lezama, 2002),  al plantear que la ciudad crece de forma concéntrica desde el centro, y la industria se asienta</w:t>
      </w:r>
      <w:r>
        <w:rPr>
          <w:spacing w:val="-6"/>
        </w:rPr>
        <w:t> </w:t>
      </w:r>
      <w:r>
        <w:rPr/>
        <w:t>en</w:t>
      </w:r>
      <w:r>
        <w:rPr>
          <w:spacing w:val="-6"/>
        </w:rPr>
        <w:t> </w:t>
      </w:r>
      <w:r>
        <w:rPr/>
        <w:t>una</w:t>
      </w:r>
      <w:r>
        <w:rPr>
          <w:spacing w:val="-6"/>
        </w:rPr>
        <w:t> </w:t>
      </w:r>
      <w:r>
        <w:rPr/>
        <w:t>zona</w:t>
      </w:r>
      <w:r>
        <w:rPr>
          <w:spacing w:val="-6"/>
        </w:rPr>
        <w:t> </w:t>
      </w:r>
      <w:r>
        <w:rPr/>
        <w:t>de</w:t>
      </w:r>
      <w:r>
        <w:rPr>
          <w:spacing w:val="-6"/>
        </w:rPr>
        <w:t> </w:t>
      </w:r>
      <w:r>
        <w:rPr/>
        <w:t>transición</w:t>
      </w:r>
      <w:r>
        <w:rPr>
          <w:spacing w:val="-6"/>
        </w:rPr>
        <w:t> </w:t>
      </w:r>
      <w:r>
        <w:rPr/>
        <w:t>alrededor</w:t>
      </w:r>
      <w:r>
        <w:rPr>
          <w:spacing w:val="-6"/>
        </w:rPr>
        <w:t> </w:t>
      </w:r>
      <w:r>
        <w:rPr/>
        <w:t>de</w:t>
      </w:r>
      <w:r>
        <w:rPr>
          <w:spacing w:val="-6"/>
        </w:rPr>
        <w:t> </w:t>
      </w:r>
      <w:r>
        <w:rPr/>
        <w:t>éste;</w:t>
      </w:r>
      <w:r>
        <w:rPr>
          <w:spacing w:val="-6"/>
        </w:rPr>
        <w:t> </w:t>
      </w:r>
      <w:r>
        <w:rPr/>
        <w:t>a</w:t>
      </w:r>
      <w:r>
        <w:rPr>
          <w:spacing w:val="-6"/>
        </w:rPr>
        <w:t> </w:t>
      </w:r>
      <w:r>
        <w:rPr/>
        <w:t>partir</w:t>
      </w:r>
      <w:r>
        <w:rPr>
          <w:spacing w:val="-6"/>
        </w:rPr>
        <w:t> </w:t>
      </w:r>
      <w:r>
        <w:rPr/>
        <w:t>de</w:t>
      </w:r>
      <w:r>
        <w:rPr>
          <w:spacing w:val="-6"/>
        </w:rPr>
        <w:t> </w:t>
      </w:r>
      <w:r>
        <w:rPr/>
        <w:t>ahí</w:t>
      </w:r>
      <w:r>
        <w:rPr>
          <w:spacing w:val="-6"/>
        </w:rPr>
        <w:t> </w:t>
      </w:r>
      <w:r>
        <w:rPr/>
        <w:t>aparecen</w:t>
      </w:r>
      <w:r>
        <w:rPr>
          <w:spacing w:val="-6"/>
        </w:rPr>
        <w:t> </w:t>
      </w:r>
      <w:r>
        <w:rPr/>
        <w:t>diferentes círculos de residencias de clases sociales, desde las más humildes, en el interior, a</w:t>
      </w:r>
      <w:r>
        <w:rPr>
          <w:spacing w:val="-6"/>
        </w:rPr>
        <w:t> </w:t>
      </w:r>
      <w:r>
        <w:rPr/>
        <w:t>las más acomodadas, en las periferias. Este modelo está basado en la hipótesis ecológica de que la comunidad se organiza en función de un centro dominante, buscando explicar cómo se conformaba la estructura intra-urbana de la ciudad a partir de un proceso ecológico de crecimiento, partiendo de dos criterios: uno de expansión y    otro de sucesión (tendencia de cada zona interior a extender su zona mediante una invasión en la zona exterior inmediata); se lleva a cabo un proceso de concentración- descentralización, donde ciertos grupos entran en competición para ocupar los lugares centrales, mientras que los menos favorecidos se ven relegados a las</w:t>
      </w:r>
      <w:r>
        <w:rPr>
          <w:spacing w:val="22"/>
        </w:rPr>
        <w:t> </w:t>
      </w:r>
      <w:r>
        <w:rPr/>
        <w:t>periferias.</w:t>
      </w:r>
    </w:p>
    <w:p>
      <w:pPr>
        <w:pStyle w:val="BodyText"/>
        <w:spacing w:before="11"/>
      </w:pPr>
    </w:p>
    <w:p>
      <w:pPr>
        <w:pStyle w:val="BodyText"/>
        <w:spacing w:line="249" w:lineRule="auto"/>
        <w:ind w:left="130" w:firstLine="170"/>
        <w:jc w:val="both"/>
      </w:pPr>
      <w:r>
        <w:rPr/>
        <w:t>Burgess</w:t>
      </w:r>
      <w:r>
        <w:rPr>
          <w:spacing w:val="-8"/>
        </w:rPr>
        <w:t> </w:t>
      </w:r>
      <w:r>
        <w:rPr/>
        <w:t>(citado</w:t>
      </w:r>
      <w:r>
        <w:rPr>
          <w:spacing w:val="-8"/>
        </w:rPr>
        <w:t> </w:t>
      </w:r>
      <w:r>
        <w:rPr/>
        <w:t>en</w:t>
      </w:r>
      <w:r>
        <w:rPr>
          <w:spacing w:val="-8"/>
        </w:rPr>
        <w:t> </w:t>
      </w:r>
      <w:r>
        <w:rPr/>
        <w:t>Lezama,</w:t>
      </w:r>
      <w:r>
        <w:rPr>
          <w:spacing w:val="-8"/>
        </w:rPr>
        <w:t> </w:t>
      </w:r>
      <w:r>
        <w:rPr/>
        <w:t>2002),</w:t>
      </w:r>
      <w:r>
        <w:rPr>
          <w:spacing w:val="-8"/>
        </w:rPr>
        <w:t> </w:t>
      </w:r>
      <w:r>
        <w:rPr/>
        <w:t>promulga</w:t>
      </w:r>
      <w:r>
        <w:rPr>
          <w:spacing w:val="-8"/>
        </w:rPr>
        <w:t> </w:t>
      </w:r>
      <w:r>
        <w:rPr/>
        <w:t>su</w:t>
      </w:r>
      <w:r>
        <w:rPr>
          <w:spacing w:val="-8"/>
        </w:rPr>
        <w:t> </w:t>
      </w:r>
      <w:r>
        <w:rPr/>
        <w:t>teoría</w:t>
      </w:r>
      <w:r>
        <w:rPr>
          <w:spacing w:val="-8"/>
        </w:rPr>
        <w:t> </w:t>
      </w:r>
      <w:r>
        <w:rPr/>
        <w:t>de</w:t>
      </w:r>
      <w:r>
        <w:rPr>
          <w:spacing w:val="-8"/>
        </w:rPr>
        <w:t> </w:t>
      </w:r>
      <w:r>
        <w:rPr/>
        <w:t>las</w:t>
      </w:r>
      <w:r>
        <w:rPr>
          <w:spacing w:val="-8"/>
        </w:rPr>
        <w:t> </w:t>
      </w:r>
      <w:r>
        <w:rPr/>
        <w:t>zonas</w:t>
      </w:r>
      <w:r>
        <w:rPr>
          <w:spacing w:val="-8"/>
        </w:rPr>
        <w:t> </w:t>
      </w:r>
      <w:r>
        <w:rPr/>
        <w:t>concéntricas,</w:t>
      </w:r>
      <w:r>
        <w:rPr>
          <w:spacing w:val="-8"/>
        </w:rPr>
        <w:t> </w:t>
      </w:r>
      <w:r>
        <w:rPr/>
        <w:t>con la</w:t>
      </w:r>
      <w:r>
        <w:rPr>
          <w:spacing w:val="-8"/>
        </w:rPr>
        <w:t> </w:t>
      </w:r>
      <w:r>
        <w:rPr/>
        <w:t>que</w:t>
      </w:r>
      <w:r>
        <w:rPr>
          <w:spacing w:val="-8"/>
        </w:rPr>
        <w:t> </w:t>
      </w:r>
      <w:r>
        <w:rPr/>
        <w:t>explica</w:t>
      </w:r>
      <w:r>
        <w:rPr>
          <w:spacing w:val="-8"/>
        </w:rPr>
        <w:t> </w:t>
      </w:r>
      <w:r>
        <w:rPr/>
        <w:t>la</w:t>
      </w:r>
      <w:r>
        <w:rPr>
          <w:spacing w:val="-8"/>
        </w:rPr>
        <w:t> </w:t>
      </w:r>
      <w:r>
        <w:rPr/>
        <w:t>expansión</w:t>
      </w:r>
      <w:r>
        <w:rPr>
          <w:spacing w:val="-8"/>
        </w:rPr>
        <w:t> </w:t>
      </w:r>
      <w:r>
        <w:rPr/>
        <w:t>de</w:t>
      </w:r>
      <w:r>
        <w:rPr>
          <w:spacing w:val="-8"/>
        </w:rPr>
        <w:t> </w:t>
      </w:r>
      <w:r>
        <w:rPr/>
        <w:t>la</w:t>
      </w:r>
      <w:r>
        <w:rPr>
          <w:spacing w:val="-8"/>
        </w:rPr>
        <w:t> </w:t>
      </w:r>
      <w:r>
        <w:rPr/>
        <w:t>ciudad</w:t>
      </w:r>
      <w:r>
        <w:rPr>
          <w:spacing w:val="-8"/>
        </w:rPr>
        <w:t> </w:t>
      </w:r>
      <w:r>
        <w:rPr/>
        <w:t>a</w:t>
      </w:r>
      <w:r>
        <w:rPr>
          <w:spacing w:val="-8"/>
        </w:rPr>
        <w:t> </w:t>
      </w:r>
      <w:r>
        <w:rPr/>
        <w:t>través</w:t>
      </w:r>
      <w:r>
        <w:rPr>
          <w:spacing w:val="-8"/>
        </w:rPr>
        <w:t> </w:t>
      </w:r>
      <w:r>
        <w:rPr/>
        <w:t>de</w:t>
      </w:r>
      <w:r>
        <w:rPr>
          <w:spacing w:val="-8"/>
        </w:rPr>
        <w:t> </w:t>
      </w:r>
      <w:r>
        <w:rPr/>
        <w:t>varias</w:t>
      </w:r>
      <w:r>
        <w:rPr>
          <w:spacing w:val="-8"/>
        </w:rPr>
        <w:t> </w:t>
      </w:r>
      <w:r>
        <w:rPr/>
        <w:t>etapas,</w:t>
      </w:r>
      <w:r>
        <w:rPr>
          <w:spacing w:val="-8"/>
        </w:rPr>
        <w:t> </w:t>
      </w:r>
      <w:r>
        <w:rPr/>
        <w:t>modelo</w:t>
      </w:r>
      <w:r>
        <w:rPr>
          <w:spacing w:val="-8"/>
        </w:rPr>
        <w:t> </w:t>
      </w:r>
      <w:r>
        <w:rPr/>
        <w:t>que</w:t>
      </w:r>
      <w:r>
        <w:rPr>
          <w:spacing w:val="-8"/>
        </w:rPr>
        <w:t> </w:t>
      </w:r>
      <w:r>
        <w:rPr/>
        <w:t>consistía en cinco círculos concéntricos (ver figura 1.) y representa gráficamente la expansión  de un territorio: la primer zona es el centro comercial y de negocios; la segunda es la llamado zona de transición; la tercera corresponde a los barrios de obreros; la cuarta zona es la zona residencial de clase medias y altas; y la quinta zona es la llamada “Commuter´s Zone” es decir, la zona de las personas que viven en los alrededores y van diariamente a la ciudad (Chueca, 1998:</w:t>
      </w:r>
      <w:r>
        <w:rPr>
          <w:spacing w:val="-21"/>
        </w:rPr>
        <w:t> </w:t>
      </w:r>
      <w:r>
        <w:rPr/>
        <w:t>224).</w:t>
      </w:r>
    </w:p>
    <w:p>
      <w:pPr>
        <w:pStyle w:val="BodyText"/>
        <w:spacing w:line="249" w:lineRule="auto" w:before="76"/>
        <w:ind w:left="130" w:right="127" w:firstLine="170"/>
        <w:jc w:val="both"/>
      </w:pPr>
      <w:r>
        <w:rPr/>
        <w:br w:type="column"/>
      </w:r>
      <w:r>
        <w:rPr/>
        <w:t>Otro modelo identificado en esta escuela de pensamiento lo representa el modelo   de </w:t>
      </w:r>
      <w:r>
        <w:rPr>
          <w:i/>
        </w:rPr>
        <w:t>sectores radiantes</w:t>
      </w:r>
      <w:r>
        <w:rPr/>
        <w:t>, desarrollado por Hoyt (citado en Lezama, 2002), que sostiene que “la estructura residencial de la ciudad agrupa viviendas de calidades y valores diferentes, segregadas en sectores radiales a lo largo de las principales carreteras, partiendo del Distrito Central de Negocios (CBD). Las clases altas ocupan los sectores más deseables que normalmente tenían entornos físicos más atractivos; y los grupos de rentas más bajas se encontraban ocupando el suelo contiguo a los principales distritos industriales” (Ramírez,</w:t>
      </w:r>
      <w:r>
        <w:rPr>
          <w:spacing w:val="-5"/>
        </w:rPr>
        <w:t> </w:t>
      </w:r>
      <w:r>
        <w:rPr/>
        <w:t>2003).</w:t>
      </w:r>
    </w:p>
    <w:p>
      <w:pPr>
        <w:pStyle w:val="BodyText"/>
        <w:spacing w:before="11"/>
      </w:pPr>
    </w:p>
    <w:p>
      <w:pPr>
        <w:pStyle w:val="BodyText"/>
        <w:spacing w:line="249" w:lineRule="auto"/>
        <w:ind w:left="130" w:right="127" w:firstLine="170"/>
        <w:jc w:val="both"/>
      </w:pPr>
      <w:r>
        <w:rPr/>
        <w:t>La aportación del modelo de Hoyt (ver figura 1), fue introducir el valor del suelo como un elemento fundamental en la distribución de los usos del suelo y reconocer que no son</w:t>
      </w:r>
      <w:r>
        <w:rPr>
          <w:spacing w:val="-11"/>
        </w:rPr>
        <w:t> </w:t>
      </w:r>
      <w:r>
        <w:rPr/>
        <w:t>aleatorios,</w:t>
      </w:r>
      <w:r>
        <w:rPr>
          <w:spacing w:val="-11"/>
        </w:rPr>
        <w:t> </w:t>
      </w:r>
      <w:r>
        <w:rPr/>
        <w:t>sino</w:t>
      </w:r>
      <w:r>
        <w:rPr>
          <w:spacing w:val="-11"/>
        </w:rPr>
        <w:t> </w:t>
      </w:r>
      <w:r>
        <w:rPr/>
        <w:t>que</w:t>
      </w:r>
      <w:r>
        <w:rPr>
          <w:spacing w:val="-11"/>
        </w:rPr>
        <w:t> </w:t>
      </w:r>
      <w:r>
        <w:rPr/>
        <w:t>responden</w:t>
      </w:r>
      <w:r>
        <w:rPr>
          <w:spacing w:val="-11"/>
        </w:rPr>
        <w:t> </w:t>
      </w:r>
      <w:r>
        <w:rPr/>
        <w:t>a</w:t>
      </w:r>
      <w:r>
        <w:rPr>
          <w:spacing w:val="-11"/>
        </w:rPr>
        <w:t> </w:t>
      </w:r>
      <w:r>
        <w:rPr/>
        <w:t>una</w:t>
      </w:r>
      <w:r>
        <w:rPr>
          <w:spacing w:val="-11"/>
        </w:rPr>
        <w:t> </w:t>
      </w:r>
      <w:r>
        <w:rPr/>
        <w:t>lógica</w:t>
      </w:r>
      <w:r>
        <w:rPr>
          <w:spacing w:val="-11"/>
        </w:rPr>
        <w:t> </w:t>
      </w:r>
      <w:r>
        <w:rPr/>
        <w:t>de</w:t>
      </w:r>
      <w:r>
        <w:rPr>
          <w:spacing w:val="-11"/>
        </w:rPr>
        <w:t> </w:t>
      </w:r>
      <w:r>
        <w:rPr/>
        <w:t>precio</w:t>
      </w:r>
      <w:r>
        <w:rPr>
          <w:spacing w:val="-11"/>
        </w:rPr>
        <w:t> </w:t>
      </w:r>
      <w:r>
        <w:rPr/>
        <w:t>y</w:t>
      </w:r>
      <w:r>
        <w:rPr>
          <w:spacing w:val="-11"/>
        </w:rPr>
        <w:t> </w:t>
      </w:r>
      <w:r>
        <w:rPr/>
        <w:t>se</w:t>
      </w:r>
      <w:r>
        <w:rPr>
          <w:spacing w:val="-11"/>
        </w:rPr>
        <w:t> </w:t>
      </w:r>
      <w:r>
        <w:rPr/>
        <w:t>encuentran</w:t>
      </w:r>
      <w:r>
        <w:rPr>
          <w:spacing w:val="-11"/>
        </w:rPr>
        <w:t> </w:t>
      </w:r>
      <w:r>
        <w:rPr/>
        <w:t>relacionados, entre otros factores, con las vías de comunicación y transporte, equipamiento e infraestructura urbana, elementos que estructuran y amplían el espacio urbano, pero,</w:t>
      </w:r>
      <w:r>
        <w:rPr>
          <w:spacing w:val="-23"/>
        </w:rPr>
        <w:t> </w:t>
      </w:r>
      <w:r>
        <w:rPr/>
        <w:t>a la vez, modifican la funcionalidad de los mismos (Alvarado, 2007) Este modelo concibe el concepto de una ciudad plenamente planificada y seccionada, tal como sucede en algunos sectores de la ciudad actual, sobre todo en las periferias modernas donde se prevé una serie de factores para su buen funcionamiento; pero en general la</w:t>
      </w:r>
      <w:r>
        <w:rPr>
          <w:spacing w:val="-30"/>
        </w:rPr>
        <w:t> </w:t>
      </w:r>
      <w:r>
        <w:rPr/>
        <w:t>estructura urbana de las ciudades son una mezcolanza de funciones que reflejan un territorio heterogéneo, característico de la ciudad postmoderna (Chavelas y Soria y,</w:t>
      </w:r>
      <w:r>
        <w:rPr>
          <w:spacing w:val="18"/>
        </w:rPr>
        <w:t> </w:t>
      </w:r>
      <w:r>
        <w:rPr/>
        <w:t>2011).</w:t>
      </w:r>
    </w:p>
    <w:p>
      <w:pPr>
        <w:pStyle w:val="BodyText"/>
        <w:spacing w:before="11"/>
      </w:pPr>
    </w:p>
    <w:p>
      <w:pPr>
        <w:pStyle w:val="BodyText"/>
        <w:spacing w:line="249" w:lineRule="auto"/>
        <w:ind w:left="130" w:right="127" w:firstLine="170"/>
        <w:jc w:val="both"/>
      </w:pPr>
      <w:r>
        <w:rPr/>
        <w:t>Por su parte, el modelo de </w:t>
      </w:r>
      <w:r>
        <w:rPr>
          <w:i/>
        </w:rPr>
        <w:t>núcleos múltiples </w:t>
      </w:r>
      <w:r>
        <w:rPr/>
        <w:t>que Harris y Ullman (ver figura 1), combina características de los modelos de Burgess y Hoyt, explican que las ciudades estaban desarrollando áreas de tamaño significativo que no se ligaban directamente con el centro de negocios principal sino con centros más pequeños, ubicados en la periferia urbana, donde subyacen usos de suelo individuales, creando núcleos que    en la medida que se desarrollan se especializan y diferencian creando una especie    de fragmentos en la estructura urbana de la ciudad. Este modelo representa un acercamiento al proceso de metropolización ante el planteamiento de una estructura urbana polinuclear o policéntrica, la cual esta predispuesta con base a los diferentes usos</w:t>
      </w:r>
      <w:r>
        <w:rPr>
          <w:spacing w:val="-5"/>
        </w:rPr>
        <w:t> </w:t>
      </w:r>
      <w:r>
        <w:rPr/>
        <w:t>de</w:t>
      </w:r>
      <w:r>
        <w:rPr>
          <w:spacing w:val="-5"/>
        </w:rPr>
        <w:t> </w:t>
      </w:r>
      <w:r>
        <w:rPr/>
        <w:t>suelo,</w:t>
      </w:r>
      <w:r>
        <w:rPr>
          <w:spacing w:val="-5"/>
        </w:rPr>
        <w:t> </w:t>
      </w:r>
      <w:r>
        <w:rPr/>
        <w:t>que</w:t>
      </w:r>
      <w:r>
        <w:rPr>
          <w:spacing w:val="-5"/>
        </w:rPr>
        <w:t> </w:t>
      </w:r>
      <w:r>
        <w:rPr/>
        <w:t>mantienen</w:t>
      </w:r>
      <w:r>
        <w:rPr>
          <w:spacing w:val="-5"/>
        </w:rPr>
        <w:t> </w:t>
      </w:r>
      <w:r>
        <w:rPr/>
        <w:t>las</w:t>
      </w:r>
      <w:r>
        <w:rPr>
          <w:spacing w:val="-5"/>
        </w:rPr>
        <w:t> </w:t>
      </w:r>
      <w:r>
        <w:rPr/>
        <w:t>exigencias</w:t>
      </w:r>
      <w:r>
        <w:rPr>
          <w:spacing w:val="-5"/>
        </w:rPr>
        <w:t> </w:t>
      </w:r>
      <w:r>
        <w:rPr/>
        <w:t>de</w:t>
      </w:r>
      <w:r>
        <w:rPr>
          <w:spacing w:val="-5"/>
        </w:rPr>
        <w:t> </w:t>
      </w:r>
      <w:r>
        <w:rPr/>
        <w:t>las</w:t>
      </w:r>
      <w:r>
        <w:rPr>
          <w:spacing w:val="-5"/>
        </w:rPr>
        <w:t> </w:t>
      </w:r>
      <w:r>
        <w:rPr/>
        <w:t>actividades</w:t>
      </w:r>
      <w:r>
        <w:rPr>
          <w:spacing w:val="-5"/>
        </w:rPr>
        <w:t> </w:t>
      </w:r>
      <w:r>
        <w:rPr/>
        <w:t>que</w:t>
      </w:r>
      <w:r>
        <w:rPr>
          <w:spacing w:val="-5"/>
        </w:rPr>
        <w:t> </w:t>
      </w:r>
      <w:r>
        <w:rPr/>
        <w:t>se</w:t>
      </w:r>
      <w:r>
        <w:rPr>
          <w:spacing w:val="-5"/>
        </w:rPr>
        <w:t> </w:t>
      </w:r>
      <w:r>
        <w:rPr/>
        <w:t>desarrollan</w:t>
      </w:r>
      <w:r>
        <w:rPr>
          <w:spacing w:val="-5"/>
        </w:rPr>
        <w:t> </w:t>
      </w:r>
      <w:r>
        <w:rPr/>
        <w:t>bajo criterios de</w:t>
      </w:r>
      <w:r>
        <w:rPr>
          <w:spacing w:val="28"/>
        </w:rPr>
        <w:t> </w:t>
      </w:r>
      <w:r>
        <w:rPr/>
        <w:t>localización.</w:t>
      </w:r>
    </w:p>
    <w:p>
      <w:pPr>
        <w:pStyle w:val="BodyText"/>
        <w:spacing w:before="11"/>
      </w:pPr>
    </w:p>
    <w:p>
      <w:pPr>
        <w:pStyle w:val="BodyText"/>
        <w:spacing w:line="249" w:lineRule="auto"/>
        <w:ind w:left="130" w:right="127" w:firstLine="170"/>
        <w:jc w:val="both"/>
      </w:pPr>
      <w:r>
        <w:rPr/>
        <w:t>Finalmente, los planteamientos de Mackenzie (citado en Lezama, 2002: 25) generan aportaciones al estudio del crecimiento de la ciudad desde un perspectiva social y territorial, da cuenta de un proceso de diferenciación socio-espacial, en el que lo urbano se establece como fenómeno social y la ciudad como la estructura física   donde desarrollan todos estos procesos. La conformación de la ciudad se inicia de procesos simples y evoluciona hacia otros cada vez más complejos, que definen la complejización de la vida cotidiana. La contribución más importante de Mackenzie fue el estudio de la expansión metropolitana, mediante el enfoque “modelo</w:t>
      </w:r>
      <w:r>
        <w:rPr>
          <w:spacing w:val="30"/>
        </w:rPr>
        <w:t> </w:t>
      </w:r>
      <w:r>
        <w:rPr/>
        <w:t>metropolitano”,</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42"/>
          <w:pgSz w:w="18830" w:h="12760" w:orient="landscape"/>
          <w:pgMar w:footer="1036" w:header="522" w:top="820" w:bottom="1220" w:left="720" w:right="720"/>
        </w:sectPr>
      </w:pPr>
    </w:p>
    <w:p>
      <w:pPr>
        <w:pStyle w:val="BodyText"/>
        <w:spacing w:line="249" w:lineRule="auto" w:before="76"/>
        <w:ind w:left="130"/>
        <w:jc w:val="both"/>
      </w:pPr>
      <w:r>
        <w:rPr/>
        <w:t>con el que estudia el proceso de conurbación de los núcleos urbanos, centrándose    en la organización social del espacio urbano y la nueva dimensión territorial de la organización</w:t>
      </w:r>
      <w:r>
        <w:rPr>
          <w:spacing w:val="6"/>
        </w:rPr>
        <w:t> </w:t>
      </w:r>
      <w:r>
        <w:rPr/>
        <w:t>urbana.</w:t>
      </w:r>
    </w:p>
    <w:p>
      <w:pPr>
        <w:pStyle w:val="BodyText"/>
        <w:spacing w:before="2"/>
        <w:rPr>
          <w:sz w:val="24"/>
        </w:rPr>
      </w:pPr>
    </w:p>
    <w:p>
      <w:pPr>
        <w:spacing w:before="0"/>
        <w:ind w:left="2014" w:right="-7" w:firstLine="0"/>
        <w:jc w:val="left"/>
        <w:rPr>
          <w:sz w:val="16"/>
        </w:rPr>
      </w:pPr>
      <w:r>
        <w:rPr/>
        <w:pict>
          <v:group style="position:absolute;margin-left:49.090683pt;margin-top:9.495667pt;width:381.2pt;height:215.5pt;mso-position-horizontal-relative:page;mso-position-vertical-relative:paragraph;z-index:1624" coordorigin="982,190" coordsize="7624,4310">
            <v:shape style="position:absolute;left:982;top:190;width:7624;height:4310" type="#_x0000_t75" stroked="false">
              <v:imagedata r:id="rId43" o:title=""/>
            </v:shape>
            <v:shape style="position:absolute;left:2357;top:4339;width:4698;height:160" type="#_x0000_t202" filled="false" stroked="false">
              <v:textbox inset="0,0,0,0">
                <w:txbxContent>
                  <w:p>
                    <w:pPr>
                      <w:spacing w:line="160" w:lineRule="exact" w:before="0"/>
                      <w:ind w:left="0" w:right="-19" w:firstLine="0"/>
                      <w:jc w:val="left"/>
                      <w:rPr>
                        <w:sz w:val="16"/>
                      </w:rPr>
                    </w:pPr>
                    <w:r>
                      <w:rPr>
                        <w:color w:val="6D6E71"/>
                        <w:sz w:val="16"/>
                      </w:rPr>
                      <w:t>Fuente: Burgess, Hoyt, Harris y Ullman (citados en Lezama,</w:t>
                    </w:r>
                    <w:r>
                      <w:rPr>
                        <w:color w:val="6D6E71"/>
                        <w:spacing w:val="-17"/>
                        <w:sz w:val="16"/>
                      </w:rPr>
                      <w:t> </w:t>
                    </w:r>
                    <w:r>
                      <w:rPr>
                        <w:color w:val="6D6E71"/>
                        <w:sz w:val="16"/>
                      </w:rPr>
                      <w:t>2002)</w:t>
                    </w:r>
                  </w:p>
                </w:txbxContent>
              </v:textbox>
              <w10:wrap type="none"/>
            </v:shape>
            <w10:wrap type="none"/>
          </v:group>
        </w:pict>
      </w:r>
      <w:r>
        <w:rPr>
          <w:color w:val="6D6E71"/>
          <w:sz w:val="16"/>
        </w:rPr>
        <w:t>Figura 1. Modelos clásicos de crecimiento de la  ciudad</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9"/>
        </w:rPr>
      </w:pPr>
    </w:p>
    <w:p>
      <w:pPr>
        <w:pStyle w:val="BodyText"/>
        <w:spacing w:line="249" w:lineRule="auto"/>
        <w:ind w:left="130" w:firstLine="170"/>
        <w:jc w:val="both"/>
      </w:pPr>
      <w:r>
        <w:rPr/>
        <w:t>La aportación de los modelos de Burgess, Hoyt, Harris y Ullman y Mackenzie, es desarrollar</w:t>
      </w:r>
      <w:r>
        <w:rPr>
          <w:spacing w:val="-13"/>
        </w:rPr>
        <w:t> </w:t>
      </w:r>
      <w:r>
        <w:rPr/>
        <w:t>una</w:t>
      </w:r>
      <w:r>
        <w:rPr>
          <w:spacing w:val="-13"/>
        </w:rPr>
        <w:t> </w:t>
      </w:r>
      <w:r>
        <w:rPr/>
        <w:t>relación</w:t>
      </w:r>
      <w:r>
        <w:rPr>
          <w:spacing w:val="-13"/>
        </w:rPr>
        <w:t> </w:t>
      </w:r>
      <w:r>
        <w:rPr/>
        <w:t>centro-periferia,</w:t>
      </w:r>
      <w:r>
        <w:rPr>
          <w:spacing w:val="-13"/>
        </w:rPr>
        <w:t> </w:t>
      </w:r>
      <w:r>
        <w:rPr/>
        <w:t>como</w:t>
      </w:r>
      <w:r>
        <w:rPr>
          <w:spacing w:val="-13"/>
        </w:rPr>
        <w:t> </w:t>
      </w:r>
      <w:r>
        <w:rPr/>
        <w:t>tema</w:t>
      </w:r>
      <w:r>
        <w:rPr>
          <w:spacing w:val="-13"/>
        </w:rPr>
        <w:t> </w:t>
      </w:r>
      <w:r>
        <w:rPr/>
        <w:t>central</w:t>
      </w:r>
      <w:r>
        <w:rPr>
          <w:spacing w:val="-13"/>
        </w:rPr>
        <w:t> </w:t>
      </w:r>
      <w:r>
        <w:rPr/>
        <w:t>en</w:t>
      </w:r>
      <w:r>
        <w:rPr>
          <w:spacing w:val="-13"/>
        </w:rPr>
        <w:t> </w:t>
      </w:r>
      <w:r>
        <w:rPr/>
        <w:t>el</w:t>
      </w:r>
      <w:r>
        <w:rPr>
          <w:spacing w:val="-13"/>
        </w:rPr>
        <w:t> </w:t>
      </w:r>
      <w:r>
        <w:rPr/>
        <w:t>estudio</w:t>
      </w:r>
      <w:r>
        <w:rPr>
          <w:spacing w:val="-13"/>
        </w:rPr>
        <w:t> </w:t>
      </w:r>
      <w:r>
        <w:rPr/>
        <w:t>del</w:t>
      </w:r>
      <w:r>
        <w:rPr>
          <w:spacing w:val="-13"/>
        </w:rPr>
        <w:t> </w:t>
      </w:r>
      <w:r>
        <w:rPr/>
        <w:t>crecimiento de las ciudades, donde resalta la relación de continuidad entre los espacios centrales  y periféricos, cuya expansión ha alcanzado a los espacios rurales y propiciado nuevos vínculos</w:t>
      </w:r>
      <w:r>
        <w:rPr>
          <w:spacing w:val="-13"/>
        </w:rPr>
        <w:t> </w:t>
      </w:r>
      <w:r>
        <w:rPr/>
        <w:t>entre</w:t>
      </w:r>
      <w:r>
        <w:rPr>
          <w:spacing w:val="-13"/>
        </w:rPr>
        <w:t> </w:t>
      </w:r>
      <w:r>
        <w:rPr/>
        <w:t>los</w:t>
      </w:r>
      <w:r>
        <w:rPr>
          <w:spacing w:val="-13"/>
        </w:rPr>
        <w:t> </w:t>
      </w:r>
      <w:r>
        <w:rPr/>
        <w:t>núcleos</w:t>
      </w:r>
      <w:r>
        <w:rPr>
          <w:spacing w:val="-13"/>
        </w:rPr>
        <w:t> </w:t>
      </w:r>
      <w:r>
        <w:rPr/>
        <w:t>urbanos</w:t>
      </w:r>
      <w:r>
        <w:rPr>
          <w:spacing w:val="-13"/>
        </w:rPr>
        <w:t> </w:t>
      </w:r>
      <w:r>
        <w:rPr/>
        <w:t>con</w:t>
      </w:r>
      <w:r>
        <w:rPr>
          <w:spacing w:val="-13"/>
        </w:rPr>
        <w:t> </w:t>
      </w:r>
      <w:r>
        <w:rPr/>
        <w:t>su</w:t>
      </w:r>
      <w:r>
        <w:rPr>
          <w:spacing w:val="-13"/>
        </w:rPr>
        <w:t> </w:t>
      </w:r>
      <w:r>
        <w:rPr/>
        <w:t>área</w:t>
      </w:r>
      <w:r>
        <w:rPr>
          <w:spacing w:val="-13"/>
        </w:rPr>
        <w:t> </w:t>
      </w:r>
      <w:r>
        <w:rPr/>
        <w:t>de</w:t>
      </w:r>
      <w:r>
        <w:rPr>
          <w:spacing w:val="-13"/>
        </w:rPr>
        <w:t> </w:t>
      </w:r>
      <w:r>
        <w:rPr/>
        <w:t>influencia,</w:t>
      </w:r>
      <w:r>
        <w:rPr>
          <w:spacing w:val="-13"/>
        </w:rPr>
        <w:t> </w:t>
      </w:r>
      <w:r>
        <w:rPr/>
        <w:t>a</w:t>
      </w:r>
      <w:r>
        <w:rPr>
          <w:spacing w:val="-13"/>
        </w:rPr>
        <w:t> </w:t>
      </w:r>
      <w:r>
        <w:rPr/>
        <w:t>la</w:t>
      </w:r>
      <w:r>
        <w:rPr>
          <w:spacing w:val="-13"/>
        </w:rPr>
        <w:t> </w:t>
      </w:r>
      <w:r>
        <w:rPr/>
        <w:t>que</w:t>
      </w:r>
      <w:r>
        <w:rPr>
          <w:spacing w:val="-13"/>
        </w:rPr>
        <w:t> </w:t>
      </w:r>
      <w:r>
        <w:rPr/>
        <w:t>se</w:t>
      </w:r>
      <w:r>
        <w:rPr>
          <w:spacing w:val="-13"/>
        </w:rPr>
        <w:t> </w:t>
      </w:r>
      <w:r>
        <w:rPr/>
        <w:t>ha</w:t>
      </w:r>
      <w:r>
        <w:rPr>
          <w:spacing w:val="-13"/>
        </w:rPr>
        <w:t> </w:t>
      </w:r>
      <w:r>
        <w:rPr/>
        <w:t>denominado periferia. </w:t>
      </w:r>
      <w:r>
        <w:rPr>
          <w:spacing w:val="3"/>
        </w:rPr>
        <w:t>Estosprocesosurbanosqueestándeterminadosporlaocupacióndelaperiferia, </w:t>
      </w:r>
      <w:r>
        <w:rPr/>
        <w:t>representan nuevas formas de ocupación del territorio. Para Coraggio y Geisse (1970, citados por Hiernaux y Lindón, 2004: 416), “los suburbios y las periferias comienzan a perfilarse como una expresión de los procesos de concentración territorial”. Hiernaux   y Lindón (2004: 416- 417) manifiestan que esta nueva expresión espacial “trajo una nueva lectura de la dualidad entre espacios centrales y espacios distantes, a través de la imposición de la antinomia “centro-periferia” como eje principal de análisis”, dicha dicotomía caracteriza el “orden” tanto social como territorial del modelo capitalista,       y en el cual la periferia albergaba a los grupos populares subyugados; “además de carecer de calidad, la periferia es el espacio de la miseria, que permea el vocabulario cotidiano para describir todo o parte de la  </w:t>
      </w:r>
      <w:r>
        <w:rPr>
          <w:spacing w:val="1"/>
        </w:rPr>
        <w:t> </w:t>
      </w:r>
      <w:r>
        <w:rPr/>
        <w:t>ciudad”.</w:t>
      </w:r>
    </w:p>
    <w:p>
      <w:pPr>
        <w:pStyle w:val="BodyText"/>
        <w:spacing w:line="249" w:lineRule="auto" w:before="76"/>
        <w:ind w:left="130" w:right="131" w:firstLine="170"/>
        <w:jc w:val="both"/>
      </w:pPr>
      <w:r>
        <w:rPr/>
        <w:br w:type="column"/>
      </w:r>
      <w:r>
        <w:rPr/>
        <w:t>En los casos latino y anglosajón europeo, los estudios de conformación de las periferias, reconocen dos procesos, el de suburbanización y el de periurbanización (Dematties, 1998:17), que surge de la revolución industrial y hasta la década de 1960.</w:t>
      </w:r>
    </w:p>
    <w:p>
      <w:pPr>
        <w:pStyle w:val="BodyText"/>
        <w:spacing w:before="11"/>
      </w:pPr>
    </w:p>
    <w:p>
      <w:pPr>
        <w:pStyle w:val="BodyText"/>
        <w:spacing w:line="249" w:lineRule="auto"/>
        <w:ind w:left="130" w:right="131" w:firstLine="170"/>
        <w:jc w:val="both"/>
      </w:pPr>
      <w:r>
        <w:rPr/>
        <w:t>En los casos de España e Italia Giampino (2010:12), identifica tres “principales categorías</w:t>
      </w:r>
      <w:r>
        <w:rPr>
          <w:spacing w:val="-9"/>
        </w:rPr>
        <w:t> </w:t>
      </w:r>
      <w:r>
        <w:rPr/>
        <w:t>de</w:t>
      </w:r>
      <w:r>
        <w:rPr>
          <w:spacing w:val="-9"/>
        </w:rPr>
        <w:t> </w:t>
      </w:r>
      <w:r>
        <w:rPr/>
        <w:t>consumo</w:t>
      </w:r>
      <w:r>
        <w:rPr>
          <w:spacing w:val="-9"/>
        </w:rPr>
        <w:t> </w:t>
      </w:r>
      <w:r>
        <w:rPr/>
        <w:t>del</w:t>
      </w:r>
      <w:r>
        <w:rPr>
          <w:spacing w:val="-9"/>
        </w:rPr>
        <w:t> </w:t>
      </w:r>
      <w:r>
        <w:rPr/>
        <w:t>suelo”:</w:t>
      </w:r>
      <w:r>
        <w:rPr>
          <w:spacing w:val="-9"/>
        </w:rPr>
        <w:t> </w:t>
      </w:r>
      <w:r>
        <w:rPr/>
        <w:t>el</w:t>
      </w:r>
      <w:r>
        <w:rPr>
          <w:spacing w:val="-9"/>
        </w:rPr>
        <w:t> </w:t>
      </w:r>
      <w:r>
        <w:rPr/>
        <w:t>ligado</w:t>
      </w:r>
      <w:r>
        <w:rPr>
          <w:spacing w:val="-9"/>
        </w:rPr>
        <w:t> </w:t>
      </w:r>
      <w:r>
        <w:rPr/>
        <w:t>a</w:t>
      </w:r>
      <w:r>
        <w:rPr>
          <w:spacing w:val="-9"/>
        </w:rPr>
        <w:t> </w:t>
      </w:r>
      <w:r>
        <w:rPr/>
        <w:t>la</w:t>
      </w:r>
      <w:r>
        <w:rPr>
          <w:spacing w:val="-9"/>
        </w:rPr>
        <w:t> </w:t>
      </w:r>
      <w:r>
        <w:rPr/>
        <w:t>edificación</w:t>
      </w:r>
      <w:r>
        <w:rPr>
          <w:spacing w:val="-9"/>
        </w:rPr>
        <w:t> </w:t>
      </w:r>
      <w:r>
        <w:rPr/>
        <w:t>de</w:t>
      </w:r>
      <w:r>
        <w:rPr>
          <w:spacing w:val="-9"/>
        </w:rPr>
        <w:t> </w:t>
      </w:r>
      <w:r>
        <w:rPr/>
        <w:t>instalaciones</w:t>
      </w:r>
      <w:r>
        <w:rPr>
          <w:spacing w:val="-9"/>
        </w:rPr>
        <w:t> </w:t>
      </w:r>
      <w:r>
        <w:rPr/>
        <w:t>productivas e industriales; el ligado a la construcción de núcleos residenciales y; el ligado a la construcción de núcleos mixtos en áreas periurbanas de contextos  </w:t>
      </w:r>
      <w:r>
        <w:rPr>
          <w:spacing w:val="4"/>
        </w:rPr>
        <w:t> </w:t>
      </w:r>
      <w:r>
        <w:rPr/>
        <w:t>metropolitanos.</w:t>
      </w:r>
    </w:p>
    <w:p>
      <w:pPr>
        <w:pStyle w:val="BodyText"/>
        <w:spacing w:before="11"/>
      </w:pPr>
    </w:p>
    <w:p>
      <w:pPr>
        <w:pStyle w:val="BodyText"/>
        <w:spacing w:line="249" w:lineRule="auto"/>
        <w:ind w:left="130" w:right="131" w:firstLine="170"/>
        <w:jc w:val="both"/>
      </w:pPr>
      <w:r>
        <w:rPr/>
        <w:t>Conforme a estos enfoques, existen características de la periferia en el proceso de crecimiento y expansión de la ciudad que, desde el punto de vista espacial, determina las nuevas formas de ocupación del espacio, tomando en consideración dos enfoques: los contemporáneos y los modernos, los cuales es necesario caracterizarlos y, a su vez, determinar sus vulnerabilidades ante los nuevos procesos territoriales.</w:t>
      </w:r>
    </w:p>
    <w:p>
      <w:pPr>
        <w:pStyle w:val="BodyText"/>
        <w:spacing w:before="11"/>
      </w:pPr>
    </w:p>
    <w:p>
      <w:pPr>
        <w:pStyle w:val="BodyText"/>
        <w:spacing w:line="249" w:lineRule="auto"/>
        <w:ind w:left="130" w:right="131" w:firstLine="170"/>
        <w:jc w:val="both"/>
      </w:pPr>
      <w:r>
        <w:rPr/>
        <w:t>Sin embargo, como podemos observar, existe una diversidad de enfoques para abordar el concepto de periferia, razón por la cual se considera que es necesario replantear un análisis retrospectivo e identificar las formas de como se ha abordado     y desarrollado en el territorio, por lo cual en el siguiente apartado identificaremos dos posturas: los enfoque clásicos y los modernos, a fin de determinar en el tiempo y en territorio la forma de analizarse la periferia, como objeto de estudio espacial en un contexto </w:t>
      </w:r>
      <w:r>
        <w:rPr>
          <w:spacing w:val="2"/>
        </w:rPr>
        <w:t> </w:t>
      </w:r>
      <w:r>
        <w:rPr/>
        <w:t>metropolitano.</w:t>
      </w:r>
    </w:p>
    <w:p>
      <w:pPr>
        <w:pStyle w:val="BodyText"/>
      </w:pPr>
    </w:p>
    <w:p>
      <w:pPr>
        <w:pStyle w:val="BodyText"/>
        <w:spacing w:before="6"/>
        <w:rPr>
          <w:sz w:val="18"/>
        </w:rPr>
      </w:pPr>
    </w:p>
    <w:p>
      <w:pPr>
        <w:pStyle w:val="Heading2"/>
        <w:rPr>
          <w:i/>
        </w:rPr>
      </w:pPr>
      <w:r>
        <w:rPr>
          <w:i/>
        </w:rPr>
        <w:t>Periferia urbana: enfoques clásicos</w:t>
      </w:r>
    </w:p>
    <w:p>
      <w:pPr>
        <w:pStyle w:val="BodyText"/>
        <w:rPr>
          <w:b/>
          <w:i/>
          <w:sz w:val="21"/>
        </w:rPr>
      </w:pPr>
    </w:p>
    <w:p>
      <w:pPr>
        <w:pStyle w:val="BodyText"/>
        <w:spacing w:line="249" w:lineRule="auto"/>
        <w:ind w:left="130" w:right="131" w:firstLine="170"/>
        <w:jc w:val="both"/>
      </w:pPr>
      <w:r>
        <w:rPr/>
        <w:t>Un planteamiento clásico para explicar la periferia es que nace y se establece como un fenómeno típico de la ciudad contemporánea, cuando las ciudades comienzan a expandirse más allá del perímetro de sus límites político-administrativos de forma acelerada y el territorio se empieza a urbanizar por partes, alrededor de la ciudad consolidada, sosteniendo aún una fuerte relación de dependencia con el centro  urbano: primero, porque allí se ubican vivienda (en busca de terrenos menos</w:t>
      </w:r>
      <w:r>
        <w:rPr>
          <w:spacing w:val="-24"/>
        </w:rPr>
        <w:t> </w:t>
      </w:r>
      <w:r>
        <w:rPr/>
        <w:t>costosos) e industria (buscando suficiente espacio para su localización), sin otras actividades complementarias a la vida urbana tradicional; segundo, porque se conforma un medio urbano incompleto donde no existen suficientes servicios y equipamientos y las actividades son poco diversificadas, obligando a sus residentes a estar en constante relación con la ciudad</w:t>
      </w:r>
      <w:r>
        <w:rPr>
          <w:spacing w:val="35"/>
        </w:rPr>
        <w:t> </w:t>
      </w:r>
      <w:r>
        <w:rPr/>
        <w:t>central.</w:t>
      </w:r>
    </w:p>
    <w:p>
      <w:pPr>
        <w:pStyle w:val="BodyText"/>
        <w:spacing w:before="11"/>
      </w:pPr>
    </w:p>
    <w:p>
      <w:pPr>
        <w:pStyle w:val="BodyText"/>
        <w:spacing w:line="249" w:lineRule="auto"/>
        <w:ind w:left="130" w:right="132" w:firstLine="170"/>
        <w:jc w:val="both"/>
      </w:pPr>
      <w:r>
        <w:rPr/>
        <w:t>Hiernaux</w:t>
      </w:r>
      <w:r>
        <w:rPr>
          <w:spacing w:val="-9"/>
        </w:rPr>
        <w:t> </w:t>
      </w:r>
      <w:r>
        <w:rPr/>
        <w:t>(1995)</w:t>
      </w:r>
      <w:r>
        <w:rPr>
          <w:spacing w:val="-9"/>
        </w:rPr>
        <w:t> </w:t>
      </w:r>
      <w:r>
        <w:rPr/>
        <w:t>argumenta</w:t>
      </w:r>
      <w:r>
        <w:rPr>
          <w:spacing w:val="-9"/>
        </w:rPr>
        <w:t> </w:t>
      </w:r>
      <w:r>
        <w:rPr/>
        <w:t>que</w:t>
      </w:r>
      <w:r>
        <w:rPr>
          <w:spacing w:val="-9"/>
        </w:rPr>
        <w:t> </w:t>
      </w:r>
      <w:r>
        <w:rPr/>
        <w:t>para</w:t>
      </w:r>
      <w:r>
        <w:rPr>
          <w:spacing w:val="-9"/>
        </w:rPr>
        <w:t> </w:t>
      </w:r>
      <w:r>
        <w:rPr/>
        <w:t>explicar</w:t>
      </w:r>
      <w:r>
        <w:rPr>
          <w:spacing w:val="-9"/>
        </w:rPr>
        <w:t> </w:t>
      </w:r>
      <w:r>
        <w:rPr/>
        <w:t>el</w:t>
      </w:r>
      <w:r>
        <w:rPr>
          <w:spacing w:val="-9"/>
        </w:rPr>
        <w:t> </w:t>
      </w:r>
      <w:r>
        <w:rPr/>
        <w:t>proceso</w:t>
      </w:r>
      <w:r>
        <w:rPr>
          <w:spacing w:val="-9"/>
        </w:rPr>
        <w:t> </w:t>
      </w:r>
      <w:r>
        <w:rPr/>
        <w:t>de</w:t>
      </w:r>
      <w:r>
        <w:rPr>
          <w:spacing w:val="-9"/>
        </w:rPr>
        <w:t> </w:t>
      </w:r>
      <w:r>
        <w:rPr/>
        <w:t>crecimiento</w:t>
      </w:r>
      <w:r>
        <w:rPr>
          <w:spacing w:val="-9"/>
        </w:rPr>
        <w:t> </w:t>
      </w:r>
      <w:r>
        <w:rPr/>
        <w:t>de</w:t>
      </w:r>
      <w:r>
        <w:rPr>
          <w:spacing w:val="-9"/>
        </w:rPr>
        <w:t> </w:t>
      </w:r>
      <w:r>
        <w:rPr/>
        <w:t>la</w:t>
      </w:r>
      <w:r>
        <w:rPr>
          <w:spacing w:val="-9"/>
        </w:rPr>
        <w:t> </w:t>
      </w:r>
      <w:r>
        <w:rPr/>
        <w:t>periferia el</w:t>
      </w:r>
      <w:r>
        <w:rPr>
          <w:spacing w:val="-13"/>
        </w:rPr>
        <w:t> </w:t>
      </w:r>
      <w:r>
        <w:rPr/>
        <w:t>aspecto</w:t>
      </w:r>
      <w:r>
        <w:rPr>
          <w:spacing w:val="-13"/>
        </w:rPr>
        <w:t> </w:t>
      </w:r>
      <w:r>
        <w:rPr/>
        <w:t>demográfico</w:t>
      </w:r>
      <w:r>
        <w:rPr>
          <w:spacing w:val="-13"/>
        </w:rPr>
        <w:t> </w:t>
      </w:r>
      <w:r>
        <w:rPr/>
        <w:t>es</w:t>
      </w:r>
      <w:r>
        <w:rPr>
          <w:spacing w:val="-13"/>
        </w:rPr>
        <w:t> </w:t>
      </w:r>
      <w:r>
        <w:rPr/>
        <w:t>un</w:t>
      </w:r>
      <w:r>
        <w:rPr>
          <w:spacing w:val="-13"/>
        </w:rPr>
        <w:t> </w:t>
      </w:r>
      <w:r>
        <w:rPr/>
        <w:t>parte</w:t>
      </w:r>
      <w:r>
        <w:rPr>
          <w:spacing w:val="-13"/>
        </w:rPr>
        <w:t> </w:t>
      </w:r>
      <w:r>
        <w:rPr/>
        <w:t>central;</w:t>
      </w:r>
      <w:r>
        <w:rPr>
          <w:spacing w:val="-13"/>
        </w:rPr>
        <w:t> </w:t>
      </w:r>
      <w:r>
        <w:rPr/>
        <w:t>en</w:t>
      </w:r>
      <w:r>
        <w:rPr>
          <w:spacing w:val="-13"/>
        </w:rPr>
        <w:t> </w:t>
      </w:r>
      <w:r>
        <w:rPr/>
        <w:t>un</w:t>
      </w:r>
      <w:r>
        <w:rPr>
          <w:spacing w:val="-13"/>
        </w:rPr>
        <w:t> </w:t>
      </w:r>
      <w:r>
        <w:rPr/>
        <w:t>primer</w:t>
      </w:r>
      <w:r>
        <w:rPr>
          <w:spacing w:val="-13"/>
        </w:rPr>
        <w:t> </w:t>
      </w:r>
      <w:r>
        <w:rPr/>
        <w:t>momento</w:t>
      </w:r>
      <w:r>
        <w:rPr>
          <w:spacing w:val="-13"/>
        </w:rPr>
        <w:t> </w:t>
      </w:r>
      <w:r>
        <w:rPr/>
        <w:t>la</w:t>
      </w:r>
      <w:r>
        <w:rPr>
          <w:spacing w:val="-13"/>
        </w:rPr>
        <w:t> </w:t>
      </w:r>
      <w:r>
        <w:rPr/>
        <w:t>población</w:t>
      </w:r>
      <w:r>
        <w:rPr>
          <w:spacing w:val="-13"/>
        </w:rPr>
        <w:t> </w:t>
      </w:r>
      <w:r>
        <w:rPr/>
        <w:t>migrante se</w:t>
      </w:r>
      <w:r>
        <w:rPr>
          <w:spacing w:val="-7"/>
        </w:rPr>
        <w:t> </w:t>
      </w:r>
      <w:r>
        <w:rPr/>
        <w:t>integra</w:t>
      </w:r>
      <w:r>
        <w:rPr>
          <w:spacing w:val="-7"/>
        </w:rPr>
        <w:t> </w:t>
      </w:r>
      <w:r>
        <w:rPr/>
        <w:t>a</w:t>
      </w:r>
      <w:r>
        <w:rPr>
          <w:spacing w:val="-7"/>
        </w:rPr>
        <w:t> </w:t>
      </w:r>
      <w:r>
        <w:rPr/>
        <w:t>la</w:t>
      </w:r>
      <w:r>
        <w:rPr>
          <w:spacing w:val="-7"/>
        </w:rPr>
        <w:t> </w:t>
      </w:r>
      <w:r>
        <w:rPr/>
        <w:t>ciudad,</w:t>
      </w:r>
      <w:r>
        <w:rPr>
          <w:spacing w:val="-7"/>
        </w:rPr>
        <w:t> </w:t>
      </w:r>
      <w:r>
        <w:rPr/>
        <w:t>pero</w:t>
      </w:r>
      <w:r>
        <w:rPr>
          <w:spacing w:val="-7"/>
        </w:rPr>
        <w:t> </w:t>
      </w:r>
      <w:r>
        <w:rPr/>
        <w:t>debido</w:t>
      </w:r>
      <w:r>
        <w:rPr>
          <w:spacing w:val="-7"/>
        </w:rPr>
        <w:t> </w:t>
      </w:r>
      <w:r>
        <w:rPr/>
        <w:t>a</w:t>
      </w:r>
      <w:r>
        <w:rPr>
          <w:spacing w:val="-7"/>
        </w:rPr>
        <w:t> </w:t>
      </w:r>
      <w:r>
        <w:rPr/>
        <w:t>factores</w:t>
      </w:r>
      <w:r>
        <w:rPr>
          <w:spacing w:val="-7"/>
        </w:rPr>
        <w:t> </w:t>
      </w:r>
      <w:r>
        <w:rPr/>
        <w:t>como</w:t>
      </w:r>
      <w:r>
        <w:rPr>
          <w:spacing w:val="-7"/>
        </w:rPr>
        <w:t> </w:t>
      </w:r>
      <w:r>
        <w:rPr/>
        <w:t>el</w:t>
      </w:r>
      <w:r>
        <w:rPr>
          <w:spacing w:val="-7"/>
        </w:rPr>
        <w:t> </w:t>
      </w:r>
      <w:r>
        <w:rPr/>
        <w:t>aumento</w:t>
      </w:r>
      <w:r>
        <w:rPr>
          <w:spacing w:val="-7"/>
        </w:rPr>
        <w:t> </w:t>
      </w:r>
      <w:r>
        <w:rPr/>
        <w:t>de</w:t>
      </w:r>
      <w:r>
        <w:rPr>
          <w:spacing w:val="-7"/>
        </w:rPr>
        <w:t> </w:t>
      </w:r>
      <w:r>
        <w:rPr/>
        <w:t>los</w:t>
      </w:r>
      <w:r>
        <w:rPr>
          <w:spacing w:val="-7"/>
        </w:rPr>
        <w:t> </w:t>
      </w:r>
      <w:r>
        <w:rPr/>
        <w:t>precios</w:t>
      </w:r>
      <w:r>
        <w:rPr>
          <w:spacing w:val="-7"/>
        </w:rPr>
        <w:t> </w:t>
      </w:r>
      <w:r>
        <w:rPr/>
        <w:t>del</w:t>
      </w:r>
      <w:r>
        <w:rPr>
          <w:spacing w:val="-7"/>
        </w:rPr>
        <w:t> </w:t>
      </w:r>
      <w:r>
        <w:rPr/>
        <w:t>suelo, el</w:t>
      </w:r>
      <w:r>
        <w:rPr>
          <w:spacing w:val="14"/>
        </w:rPr>
        <w:t> </w:t>
      </w:r>
      <w:r>
        <w:rPr/>
        <w:t>incremento</w:t>
      </w:r>
      <w:r>
        <w:rPr>
          <w:spacing w:val="14"/>
        </w:rPr>
        <w:t> </w:t>
      </w:r>
      <w:r>
        <w:rPr/>
        <w:t>de</w:t>
      </w:r>
      <w:r>
        <w:rPr>
          <w:spacing w:val="14"/>
        </w:rPr>
        <w:t> </w:t>
      </w:r>
      <w:r>
        <w:rPr/>
        <w:t>los</w:t>
      </w:r>
      <w:r>
        <w:rPr>
          <w:spacing w:val="14"/>
        </w:rPr>
        <w:t> </w:t>
      </w:r>
      <w:r>
        <w:rPr/>
        <w:t>impuestos</w:t>
      </w:r>
      <w:r>
        <w:rPr>
          <w:spacing w:val="14"/>
        </w:rPr>
        <w:t> </w:t>
      </w:r>
      <w:r>
        <w:rPr/>
        <w:t>y</w:t>
      </w:r>
      <w:r>
        <w:rPr>
          <w:spacing w:val="14"/>
        </w:rPr>
        <w:t> </w:t>
      </w:r>
      <w:r>
        <w:rPr/>
        <w:t>en</w:t>
      </w:r>
      <w:r>
        <w:rPr>
          <w:spacing w:val="14"/>
        </w:rPr>
        <w:t> </w:t>
      </w:r>
      <w:r>
        <w:rPr/>
        <w:t>general</w:t>
      </w:r>
      <w:r>
        <w:rPr>
          <w:spacing w:val="14"/>
        </w:rPr>
        <w:t> </w:t>
      </w:r>
      <w:r>
        <w:rPr/>
        <w:t>el</w:t>
      </w:r>
      <w:r>
        <w:rPr>
          <w:spacing w:val="14"/>
        </w:rPr>
        <w:t> </w:t>
      </w:r>
      <w:r>
        <w:rPr/>
        <w:t>encarecimiento</w:t>
      </w:r>
      <w:r>
        <w:rPr>
          <w:spacing w:val="14"/>
        </w:rPr>
        <w:t> </w:t>
      </w:r>
      <w:r>
        <w:rPr/>
        <w:t>de</w:t>
      </w:r>
      <w:r>
        <w:rPr>
          <w:spacing w:val="14"/>
        </w:rPr>
        <w:t> </w:t>
      </w:r>
      <w:r>
        <w:rPr/>
        <w:t>las</w:t>
      </w:r>
      <w:r>
        <w:rPr>
          <w:spacing w:val="14"/>
        </w:rPr>
        <w:t> </w:t>
      </w:r>
      <w:r>
        <w:rPr/>
        <w:t>condiciones</w:t>
      </w:r>
      <w:r>
        <w:rPr>
          <w:spacing w:val="14"/>
        </w:rPr>
        <w:t> </w:t>
      </w:r>
      <w:r>
        <w:rPr/>
        <w:t>de</w:t>
      </w:r>
    </w:p>
    <w:p>
      <w:pPr>
        <w:spacing w:after="0" w:line="249" w:lineRule="auto"/>
        <w:jc w:val="both"/>
        <w:sectPr>
          <w:type w:val="continuous"/>
          <w:pgSz w:w="18830" w:h="12760" w:orient="landscape"/>
          <w:pgMar w:top="1420" w:bottom="280" w:left="720" w:right="720"/>
          <w:cols w:num="2" w:equalWidth="0">
            <w:col w:w="7842" w:space="1565"/>
            <w:col w:w="7983"/>
          </w:cols>
        </w:sectPr>
      </w:pPr>
    </w:p>
    <w:p>
      <w:pPr>
        <w:pStyle w:val="BodyText"/>
        <w:spacing w:before="8"/>
      </w:pPr>
    </w:p>
    <w:p>
      <w:pPr>
        <w:spacing w:after="0"/>
        <w:sectPr>
          <w:footerReference w:type="default" r:id="rId44"/>
          <w:pgSz w:w="18830" w:h="12760" w:orient="landscape"/>
          <w:pgMar w:footer="1036" w:header="522" w:top="820" w:bottom="1220" w:left="720" w:right="720"/>
        </w:sectPr>
      </w:pPr>
    </w:p>
    <w:p>
      <w:pPr>
        <w:pStyle w:val="BodyText"/>
        <w:spacing w:line="249" w:lineRule="auto" w:before="109"/>
        <w:ind w:left="130" w:right="1"/>
        <w:jc w:val="both"/>
      </w:pPr>
      <w:r>
        <w:rPr/>
        <w:t>vida en las ciudades, se traslada a la periferia en busca de áreas donde es posible adquirir tierras a un bajo costo. En la mayor parte de las ciudades industrializadas se entiende como el área donde se resuelve el problema de la vivienda para las clases</w:t>
      </w:r>
      <w:r>
        <w:rPr>
          <w:spacing w:val="-16"/>
        </w:rPr>
        <w:t> </w:t>
      </w:r>
      <w:r>
        <w:rPr/>
        <w:t>de menos recursos económicos pero, al mismo tiempo, donde las condiciones de vida urbana están por debajo del nivel que existe en la ciudad </w:t>
      </w:r>
      <w:r>
        <w:rPr>
          <w:spacing w:val="3"/>
        </w:rPr>
        <w:t> </w:t>
      </w:r>
      <w:r>
        <w:rPr/>
        <w:t>consolidada.</w:t>
      </w:r>
    </w:p>
    <w:p>
      <w:pPr>
        <w:pStyle w:val="BodyText"/>
        <w:spacing w:before="11"/>
      </w:pPr>
    </w:p>
    <w:p>
      <w:pPr>
        <w:pStyle w:val="BodyText"/>
        <w:spacing w:line="249" w:lineRule="auto"/>
        <w:ind w:left="130" w:firstLine="170"/>
        <w:jc w:val="both"/>
      </w:pPr>
      <w:r>
        <w:rPr/>
        <w:t>Para Bazant (2001: 51) la periferia se conforma por la concentración de factores de producción y de inversiones en infraestructura: en un principio la población es atraída hacia la zona central de la gran ciudad, pero debido a la saturación del espacio la población se desplaza, durante este proceso, desarrollando anillos o contornos intermedios</w:t>
      </w:r>
      <w:r>
        <w:rPr>
          <w:spacing w:val="-13"/>
        </w:rPr>
        <w:t> </w:t>
      </w:r>
      <w:r>
        <w:rPr/>
        <w:t>que</w:t>
      </w:r>
      <w:r>
        <w:rPr>
          <w:spacing w:val="-13"/>
        </w:rPr>
        <w:t> </w:t>
      </w:r>
      <w:r>
        <w:rPr/>
        <w:t>conformaran</w:t>
      </w:r>
      <w:r>
        <w:rPr>
          <w:spacing w:val="-13"/>
        </w:rPr>
        <w:t> </w:t>
      </w:r>
      <w:r>
        <w:rPr/>
        <w:t>la</w:t>
      </w:r>
      <w:r>
        <w:rPr>
          <w:spacing w:val="-13"/>
        </w:rPr>
        <w:t> </w:t>
      </w:r>
      <w:r>
        <w:rPr/>
        <w:t>periferia.</w:t>
      </w:r>
      <w:r>
        <w:rPr>
          <w:spacing w:val="-13"/>
        </w:rPr>
        <w:t> </w:t>
      </w:r>
      <w:r>
        <w:rPr/>
        <w:t>Así,</w:t>
      </w:r>
      <w:r>
        <w:rPr>
          <w:spacing w:val="-13"/>
        </w:rPr>
        <w:t> </w:t>
      </w:r>
      <w:r>
        <w:rPr/>
        <w:t>las</w:t>
      </w:r>
      <w:r>
        <w:rPr>
          <w:spacing w:val="-13"/>
        </w:rPr>
        <w:t> </w:t>
      </w:r>
      <w:r>
        <w:rPr/>
        <w:t>periferias</w:t>
      </w:r>
      <w:r>
        <w:rPr>
          <w:spacing w:val="-13"/>
        </w:rPr>
        <w:t> </w:t>
      </w:r>
      <w:r>
        <w:rPr/>
        <w:t>se</w:t>
      </w:r>
      <w:r>
        <w:rPr>
          <w:spacing w:val="-13"/>
        </w:rPr>
        <w:t> </w:t>
      </w:r>
      <w:r>
        <w:rPr/>
        <w:t>definen</w:t>
      </w:r>
      <w:r>
        <w:rPr>
          <w:spacing w:val="-13"/>
        </w:rPr>
        <w:t> </w:t>
      </w:r>
      <w:r>
        <w:rPr/>
        <w:t>como</w:t>
      </w:r>
      <w:r>
        <w:rPr>
          <w:spacing w:val="-13"/>
        </w:rPr>
        <w:t> </w:t>
      </w:r>
      <w:r>
        <w:rPr/>
        <w:t>los</w:t>
      </w:r>
      <w:r>
        <w:rPr>
          <w:spacing w:val="-13"/>
        </w:rPr>
        <w:t> </w:t>
      </w:r>
      <w:r>
        <w:rPr/>
        <w:t>“lugares que la gente habita por necesidad, al no tener la posibilidad de vivir en otro lugar; al considerar luego la vivencia cotidiana se han relacionado como lugares donde o no se vive</w:t>
      </w:r>
      <w:r>
        <w:rPr>
          <w:spacing w:val="-3"/>
        </w:rPr>
        <w:t> </w:t>
      </w:r>
      <w:r>
        <w:rPr/>
        <w:t>o</w:t>
      </w:r>
      <w:r>
        <w:rPr>
          <w:spacing w:val="-3"/>
        </w:rPr>
        <w:t> </w:t>
      </w:r>
      <w:r>
        <w:rPr/>
        <w:t>se</w:t>
      </w:r>
      <w:r>
        <w:rPr>
          <w:spacing w:val="-3"/>
        </w:rPr>
        <w:t> </w:t>
      </w:r>
      <w:r>
        <w:rPr/>
        <w:t>vive</w:t>
      </w:r>
      <w:r>
        <w:rPr>
          <w:spacing w:val="-3"/>
        </w:rPr>
        <w:t> </w:t>
      </w:r>
      <w:r>
        <w:rPr/>
        <w:t>una</w:t>
      </w:r>
      <w:r>
        <w:rPr>
          <w:spacing w:val="-3"/>
        </w:rPr>
        <w:t> </w:t>
      </w:r>
      <w:r>
        <w:rPr/>
        <w:t>vida</w:t>
      </w:r>
      <w:r>
        <w:rPr>
          <w:spacing w:val="-3"/>
        </w:rPr>
        <w:t> </w:t>
      </w:r>
      <w:r>
        <w:rPr/>
        <w:t>alienada,</w:t>
      </w:r>
      <w:r>
        <w:rPr>
          <w:spacing w:val="-3"/>
        </w:rPr>
        <w:t> </w:t>
      </w:r>
      <w:r>
        <w:rPr/>
        <w:t>es</w:t>
      </w:r>
      <w:r>
        <w:rPr>
          <w:spacing w:val="-3"/>
        </w:rPr>
        <w:t> </w:t>
      </w:r>
      <w:r>
        <w:rPr/>
        <w:t>decir,</w:t>
      </w:r>
      <w:r>
        <w:rPr>
          <w:spacing w:val="-3"/>
        </w:rPr>
        <w:t> </w:t>
      </w:r>
      <w:r>
        <w:rPr/>
        <w:t>lugares</w:t>
      </w:r>
      <w:r>
        <w:rPr>
          <w:spacing w:val="-3"/>
        </w:rPr>
        <w:t> </w:t>
      </w:r>
      <w:r>
        <w:rPr/>
        <w:t>donde</w:t>
      </w:r>
      <w:r>
        <w:rPr>
          <w:spacing w:val="-3"/>
        </w:rPr>
        <w:t> </w:t>
      </w:r>
      <w:r>
        <w:rPr/>
        <w:t>sólo</w:t>
      </w:r>
      <w:r>
        <w:rPr>
          <w:spacing w:val="-3"/>
        </w:rPr>
        <w:t> </w:t>
      </w:r>
      <w:r>
        <w:rPr/>
        <w:t>se</w:t>
      </w:r>
      <w:r>
        <w:rPr>
          <w:spacing w:val="-3"/>
        </w:rPr>
        <w:t> </w:t>
      </w:r>
      <w:r>
        <w:rPr/>
        <w:t>duerme,</w:t>
      </w:r>
      <w:r>
        <w:rPr>
          <w:spacing w:val="-3"/>
        </w:rPr>
        <w:t> </w:t>
      </w:r>
      <w:r>
        <w:rPr/>
        <w:t>se</w:t>
      </w:r>
      <w:r>
        <w:rPr>
          <w:spacing w:val="-3"/>
        </w:rPr>
        <w:t> </w:t>
      </w:r>
      <w:r>
        <w:rPr/>
        <w:t>trabaja,</w:t>
      </w:r>
      <w:r>
        <w:rPr>
          <w:spacing w:val="-3"/>
        </w:rPr>
        <w:t> </w:t>
      </w:r>
      <w:r>
        <w:rPr/>
        <w:t>se pasa (yendo y viniendo del centro o al salir de la</w:t>
      </w:r>
      <w:r>
        <w:rPr>
          <w:spacing w:val="15"/>
        </w:rPr>
        <w:t> </w:t>
      </w:r>
      <w:r>
        <w:rPr/>
        <w:t>ciudad).</w:t>
      </w:r>
    </w:p>
    <w:p>
      <w:pPr>
        <w:pStyle w:val="BodyText"/>
        <w:spacing w:before="11"/>
      </w:pPr>
    </w:p>
    <w:p>
      <w:pPr>
        <w:pStyle w:val="BodyText"/>
        <w:spacing w:line="249" w:lineRule="auto"/>
        <w:ind w:left="130" w:firstLine="170"/>
        <w:jc w:val="both"/>
      </w:pPr>
      <w:r>
        <w:rPr/>
        <w:t>La</w:t>
      </w:r>
      <w:r>
        <w:rPr>
          <w:spacing w:val="-3"/>
        </w:rPr>
        <w:t> </w:t>
      </w:r>
      <w:r>
        <w:rPr/>
        <w:t>palabra</w:t>
      </w:r>
      <w:r>
        <w:rPr>
          <w:spacing w:val="-3"/>
        </w:rPr>
        <w:t> </w:t>
      </w:r>
      <w:r>
        <w:rPr/>
        <w:t>periferia</w:t>
      </w:r>
      <w:r>
        <w:rPr>
          <w:spacing w:val="-3"/>
        </w:rPr>
        <w:t> </w:t>
      </w:r>
      <w:r>
        <w:rPr/>
        <w:t>no</w:t>
      </w:r>
      <w:r>
        <w:rPr>
          <w:spacing w:val="-3"/>
        </w:rPr>
        <w:t> </w:t>
      </w:r>
      <w:r>
        <w:rPr/>
        <w:t>solo</w:t>
      </w:r>
      <w:r>
        <w:rPr>
          <w:spacing w:val="-3"/>
        </w:rPr>
        <w:t> </w:t>
      </w:r>
      <w:r>
        <w:rPr/>
        <w:t>se</w:t>
      </w:r>
      <w:r>
        <w:rPr>
          <w:spacing w:val="-3"/>
        </w:rPr>
        <w:t> </w:t>
      </w:r>
      <w:r>
        <w:rPr/>
        <w:t>utiliza</w:t>
      </w:r>
      <w:r>
        <w:rPr>
          <w:spacing w:val="-3"/>
        </w:rPr>
        <w:t> </w:t>
      </w:r>
      <w:r>
        <w:rPr/>
        <w:t>para</w:t>
      </w:r>
      <w:r>
        <w:rPr>
          <w:spacing w:val="-3"/>
        </w:rPr>
        <w:t> </w:t>
      </w:r>
      <w:r>
        <w:rPr/>
        <w:t>designar</w:t>
      </w:r>
      <w:r>
        <w:rPr>
          <w:spacing w:val="-3"/>
        </w:rPr>
        <w:t> </w:t>
      </w:r>
      <w:r>
        <w:rPr/>
        <w:t>los</w:t>
      </w:r>
      <w:r>
        <w:rPr>
          <w:spacing w:val="-3"/>
        </w:rPr>
        <w:t> </w:t>
      </w:r>
      <w:r>
        <w:rPr/>
        <w:t>espacios</w:t>
      </w:r>
      <w:r>
        <w:rPr>
          <w:spacing w:val="-3"/>
        </w:rPr>
        <w:t> </w:t>
      </w:r>
      <w:r>
        <w:rPr/>
        <w:t>de</w:t>
      </w:r>
      <w:r>
        <w:rPr>
          <w:spacing w:val="-3"/>
        </w:rPr>
        <w:t> </w:t>
      </w:r>
      <w:r>
        <w:rPr/>
        <w:t>la</w:t>
      </w:r>
      <w:r>
        <w:rPr>
          <w:spacing w:val="-3"/>
        </w:rPr>
        <w:t> </w:t>
      </w:r>
      <w:r>
        <w:rPr/>
        <w:t>corona</w:t>
      </w:r>
      <w:r>
        <w:rPr>
          <w:spacing w:val="-3"/>
        </w:rPr>
        <w:t> </w:t>
      </w:r>
      <w:r>
        <w:rPr/>
        <w:t>externa a</w:t>
      </w:r>
      <w:r>
        <w:rPr>
          <w:spacing w:val="-3"/>
        </w:rPr>
        <w:t> </w:t>
      </w:r>
      <w:r>
        <w:rPr/>
        <w:t>la</w:t>
      </w:r>
      <w:r>
        <w:rPr>
          <w:spacing w:val="-3"/>
        </w:rPr>
        <w:t> </w:t>
      </w:r>
      <w:r>
        <w:rPr/>
        <w:t>ciudad</w:t>
      </w:r>
      <w:r>
        <w:rPr>
          <w:spacing w:val="-3"/>
        </w:rPr>
        <w:t> </w:t>
      </w:r>
      <w:r>
        <w:rPr/>
        <w:t>en</w:t>
      </w:r>
      <w:r>
        <w:rPr>
          <w:spacing w:val="-3"/>
        </w:rPr>
        <w:t> </w:t>
      </w:r>
      <w:r>
        <w:rPr/>
        <w:t>términos</w:t>
      </w:r>
      <w:r>
        <w:rPr>
          <w:spacing w:val="-3"/>
        </w:rPr>
        <w:t> </w:t>
      </w:r>
      <w:r>
        <w:rPr/>
        <w:t>de</w:t>
      </w:r>
      <w:r>
        <w:rPr>
          <w:spacing w:val="-3"/>
        </w:rPr>
        <w:t> </w:t>
      </w:r>
      <w:r>
        <w:rPr/>
        <w:t>distancia,</w:t>
      </w:r>
      <w:r>
        <w:rPr>
          <w:spacing w:val="-3"/>
        </w:rPr>
        <w:t> </w:t>
      </w:r>
      <w:r>
        <w:rPr/>
        <w:t>sino</w:t>
      </w:r>
      <w:r>
        <w:rPr>
          <w:spacing w:val="-3"/>
        </w:rPr>
        <w:t> </w:t>
      </w:r>
      <w:r>
        <w:rPr/>
        <w:t>que</w:t>
      </w:r>
      <w:r>
        <w:rPr>
          <w:spacing w:val="-3"/>
        </w:rPr>
        <w:t> </w:t>
      </w:r>
      <w:r>
        <w:rPr/>
        <w:t>además</w:t>
      </w:r>
      <w:r>
        <w:rPr>
          <w:spacing w:val="-3"/>
        </w:rPr>
        <w:t> </w:t>
      </w:r>
      <w:r>
        <w:rPr/>
        <w:t>se</w:t>
      </w:r>
      <w:r>
        <w:rPr>
          <w:spacing w:val="-3"/>
        </w:rPr>
        <w:t> </w:t>
      </w:r>
      <w:r>
        <w:rPr/>
        <w:t>usa</w:t>
      </w:r>
      <w:r>
        <w:rPr>
          <w:spacing w:val="-3"/>
        </w:rPr>
        <w:t> </w:t>
      </w:r>
      <w:r>
        <w:rPr/>
        <w:t>para</w:t>
      </w:r>
      <w:r>
        <w:rPr>
          <w:spacing w:val="-3"/>
        </w:rPr>
        <w:t> </w:t>
      </w:r>
      <w:r>
        <w:rPr/>
        <w:t>determinar</w:t>
      </w:r>
      <w:r>
        <w:rPr>
          <w:spacing w:val="-3"/>
        </w:rPr>
        <w:t> </w:t>
      </w:r>
      <w:r>
        <w:rPr/>
        <w:t>aquellos espacios con características de desorden, degradación y baja calidad de vida urbana. En este sentido, la variable </w:t>
      </w:r>
      <w:r>
        <w:rPr>
          <w:i/>
        </w:rPr>
        <w:t>periferia urbana </w:t>
      </w:r>
      <w:r>
        <w:rPr/>
        <w:t>se aplica a zonas con escaso valor de centralidad, que están poco integradas y dependen de otras áreas dominantes dentro del sistema urbano, a lo cual se agrega el bajo nivel de accesibilidad urbana; se identifica como una parte negativa de la </w:t>
      </w:r>
      <w:r>
        <w:rPr>
          <w:spacing w:val="1"/>
        </w:rPr>
        <w:t> </w:t>
      </w:r>
      <w:r>
        <w:rPr/>
        <w:t>ciudad.</w:t>
      </w:r>
    </w:p>
    <w:p>
      <w:pPr>
        <w:pStyle w:val="BodyText"/>
        <w:spacing w:before="11"/>
      </w:pPr>
    </w:p>
    <w:p>
      <w:pPr>
        <w:pStyle w:val="BodyText"/>
        <w:spacing w:line="249" w:lineRule="auto"/>
        <w:ind w:left="130" w:firstLine="170"/>
        <w:jc w:val="both"/>
      </w:pPr>
      <w:r>
        <w:rPr/>
        <w:t>Podemos entonces percibir a la periferia como un problema (social, económico y urbano) que surge, entre otros temas, de la especulación del suelo central, de la falta de viviendas en comparación con el crecimiento demográfico. Al mismo tiempo se relaciona con el déficit en el espacio habitable y en la infraestructura, la carencia de espacios sociales, y la falta de continuidad espacial y funcional con la ciudad  central.</w:t>
      </w:r>
    </w:p>
    <w:p>
      <w:pPr>
        <w:pStyle w:val="BodyText"/>
        <w:spacing w:before="11"/>
      </w:pPr>
    </w:p>
    <w:p>
      <w:pPr>
        <w:pStyle w:val="BodyText"/>
        <w:spacing w:line="249" w:lineRule="auto"/>
        <w:ind w:left="130" w:firstLine="170"/>
        <w:jc w:val="both"/>
      </w:pPr>
      <w:r>
        <w:rPr/>
        <w:t>Sin</w:t>
      </w:r>
      <w:r>
        <w:rPr>
          <w:spacing w:val="-10"/>
        </w:rPr>
        <w:t> </w:t>
      </w:r>
      <w:r>
        <w:rPr/>
        <w:t>embargo,</w:t>
      </w:r>
      <w:r>
        <w:rPr>
          <w:spacing w:val="-10"/>
        </w:rPr>
        <w:t> </w:t>
      </w:r>
      <w:r>
        <w:rPr/>
        <w:t>la</w:t>
      </w:r>
      <w:r>
        <w:rPr>
          <w:spacing w:val="-10"/>
        </w:rPr>
        <w:t> </w:t>
      </w:r>
      <w:r>
        <w:rPr/>
        <w:t>periferia</w:t>
      </w:r>
      <w:r>
        <w:rPr>
          <w:spacing w:val="-10"/>
        </w:rPr>
        <w:t> </w:t>
      </w:r>
      <w:r>
        <w:rPr/>
        <w:t>urbana</w:t>
      </w:r>
      <w:r>
        <w:rPr>
          <w:spacing w:val="-10"/>
        </w:rPr>
        <w:t> </w:t>
      </w:r>
      <w:r>
        <w:rPr/>
        <w:t>no</w:t>
      </w:r>
      <w:r>
        <w:rPr>
          <w:spacing w:val="-10"/>
        </w:rPr>
        <w:t> </w:t>
      </w:r>
      <w:r>
        <w:rPr/>
        <w:t>puede</w:t>
      </w:r>
      <w:r>
        <w:rPr>
          <w:spacing w:val="-10"/>
        </w:rPr>
        <w:t> </w:t>
      </w:r>
      <w:r>
        <w:rPr/>
        <w:t>ser</w:t>
      </w:r>
      <w:r>
        <w:rPr>
          <w:spacing w:val="-10"/>
        </w:rPr>
        <w:t> </w:t>
      </w:r>
      <w:r>
        <w:rPr/>
        <w:t>calificada</w:t>
      </w:r>
      <w:r>
        <w:rPr>
          <w:spacing w:val="-10"/>
        </w:rPr>
        <w:t> </w:t>
      </w:r>
      <w:r>
        <w:rPr/>
        <w:t>de</w:t>
      </w:r>
      <w:r>
        <w:rPr>
          <w:spacing w:val="-10"/>
        </w:rPr>
        <w:t> </w:t>
      </w:r>
      <w:r>
        <w:rPr/>
        <w:t>manera</w:t>
      </w:r>
      <w:r>
        <w:rPr>
          <w:spacing w:val="-10"/>
        </w:rPr>
        <w:t> </w:t>
      </w:r>
      <w:r>
        <w:rPr/>
        <w:t>permanente</w:t>
      </w:r>
      <w:r>
        <w:rPr>
          <w:spacing w:val="-10"/>
        </w:rPr>
        <w:t> </w:t>
      </w:r>
      <w:r>
        <w:rPr/>
        <w:t>como un problema. En las últimas décadas los enfoques teóricos modernos han evolución,</w:t>
      </w:r>
      <w:r>
        <w:rPr>
          <w:spacing w:val="-21"/>
        </w:rPr>
        <w:t> </w:t>
      </w:r>
      <w:r>
        <w:rPr/>
        <w:t>al reconocer que este espacio debe ser el lugar donde se debe construir (y reconstruir) la ciudad actual. Las grandes áreas vacías, los intersticios entre tejidos consolidados, la capacidad de transformación del espacio construido, los usos obsoletos o</w:t>
      </w:r>
      <w:r>
        <w:rPr>
          <w:spacing w:val="-17"/>
        </w:rPr>
        <w:t> </w:t>
      </w:r>
      <w:r>
        <w:rPr/>
        <w:t>desplazados hacia la periferia dispersa, la identificación de una lógica propia y de una diversidad espacial, se han convertido en las oportunidades de la periferia para repensarla y transformarla.</w:t>
      </w:r>
    </w:p>
    <w:p>
      <w:pPr>
        <w:pStyle w:val="Heading2"/>
        <w:spacing w:before="71"/>
        <w:rPr>
          <w:i/>
        </w:rPr>
      </w:pPr>
      <w:r>
        <w:rPr>
          <w:b w:val="0"/>
          <w:i w:val="0"/>
        </w:rPr>
        <w:br w:type="column"/>
      </w:r>
      <w:r>
        <w:rPr>
          <w:i/>
        </w:rPr>
        <w:t>Enfoques modernos: replanteamiento de la periferia urbana</w:t>
      </w:r>
    </w:p>
    <w:p>
      <w:pPr>
        <w:pStyle w:val="BodyText"/>
        <w:rPr>
          <w:b/>
          <w:i/>
          <w:sz w:val="21"/>
        </w:rPr>
      </w:pPr>
    </w:p>
    <w:p>
      <w:pPr>
        <w:pStyle w:val="BodyText"/>
        <w:spacing w:line="249" w:lineRule="auto"/>
        <w:ind w:left="130" w:right="135" w:firstLine="170"/>
        <w:jc w:val="both"/>
      </w:pPr>
      <w:r>
        <w:rPr/>
        <w:t>Retomando el análisis de los enfoques clásicos, podemos concebir que la ciudad  que se reconoce al iniciar el siglo XXI ya no se puede explicar a partir de la tradicional relación de dependencia centro-periferia: primero, porque las ciudades hoy se entienden en un marco territorial más amplio que aquél definido por los límites urbanos propios y, en este ámbito, la ciudad ya no tiene un centro ni una periferia, ni existe una relación</w:t>
      </w:r>
      <w:r>
        <w:rPr>
          <w:spacing w:val="-6"/>
        </w:rPr>
        <w:t> </w:t>
      </w:r>
      <w:r>
        <w:rPr/>
        <w:t>de</w:t>
      </w:r>
      <w:r>
        <w:rPr>
          <w:spacing w:val="-5"/>
        </w:rPr>
        <w:t> </w:t>
      </w:r>
      <w:r>
        <w:rPr/>
        <w:t>dependencia</w:t>
      </w:r>
      <w:r>
        <w:rPr>
          <w:spacing w:val="-6"/>
        </w:rPr>
        <w:t> </w:t>
      </w:r>
      <w:r>
        <w:rPr/>
        <w:t>de</w:t>
      </w:r>
      <w:r>
        <w:rPr>
          <w:spacing w:val="-5"/>
        </w:rPr>
        <w:t> </w:t>
      </w:r>
      <w:r>
        <w:rPr/>
        <w:t>una</w:t>
      </w:r>
      <w:r>
        <w:rPr>
          <w:spacing w:val="-6"/>
        </w:rPr>
        <w:t> </w:t>
      </w:r>
      <w:r>
        <w:rPr/>
        <w:t>con</w:t>
      </w:r>
      <w:r>
        <w:rPr>
          <w:spacing w:val="-5"/>
        </w:rPr>
        <w:t> </w:t>
      </w:r>
      <w:r>
        <w:rPr/>
        <w:t>la</w:t>
      </w:r>
      <w:r>
        <w:rPr>
          <w:spacing w:val="-6"/>
        </w:rPr>
        <w:t> </w:t>
      </w:r>
      <w:r>
        <w:rPr/>
        <w:t>otra;</w:t>
      </w:r>
      <w:r>
        <w:rPr>
          <w:spacing w:val="-5"/>
        </w:rPr>
        <w:t> </w:t>
      </w:r>
      <w:r>
        <w:rPr/>
        <w:t>segundo,</w:t>
      </w:r>
      <w:r>
        <w:rPr>
          <w:spacing w:val="-6"/>
        </w:rPr>
        <w:t> </w:t>
      </w:r>
      <w:r>
        <w:rPr/>
        <w:t>porque</w:t>
      </w:r>
      <w:r>
        <w:rPr>
          <w:spacing w:val="-6"/>
        </w:rPr>
        <w:t> </w:t>
      </w:r>
      <w:r>
        <w:rPr/>
        <w:t>si</w:t>
      </w:r>
      <w:r>
        <w:rPr>
          <w:spacing w:val="-5"/>
        </w:rPr>
        <w:t> </w:t>
      </w:r>
      <w:r>
        <w:rPr/>
        <w:t>se</w:t>
      </w:r>
      <w:r>
        <w:rPr>
          <w:spacing w:val="-5"/>
        </w:rPr>
        <w:t> </w:t>
      </w:r>
      <w:r>
        <w:rPr/>
        <w:t>piensa</w:t>
      </w:r>
      <w:r>
        <w:rPr>
          <w:spacing w:val="-6"/>
        </w:rPr>
        <w:t> </w:t>
      </w:r>
      <w:r>
        <w:rPr/>
        <w:t>en</w:t>
      </w:r>
      <w:r>
        <w:rPr>
          <w:spacing w:val="-5"/>
        </w:rPr>
        <w:t> </w:t>
      </w:r>
      <w:r>
        <w:rPr/>
        <w:t>el</w:t>
      </w:r>
      <w:r>
        <w:rPr>
          <w:spacing w:val="-6"/>
        </w:rPr>
        <w:t> </w:t>
      </w:r>
      <w:r>
        <w:rPr/>
        <w:t>término periferia al interior de la disciplina del urbanismo, la idea teórica y espacial de lo que  se reconocía hacía unos años ha cambiado radicalmente. La fuerte influencia de la globalización económica en el cambio de modelo urbano ha derivado en el desarrollo de</w:t>
      </w:r>
      <w:r>
        <w:rPr>
          <w:spacing w:val="-6"/>
        </w:rPr>
        <w:t> </w:t>
      </w:r>
      <w:r>
        <w:rPr/>
        <w:t>periferias</w:t>
      </w:r>
      <w:r>
        <w:rPr>
          <w:spacing w:val="-6"/>
        </w:rPr>
        <w:t> </w:t>
      </w:r>
      <w:r>
        <w:rPr/>
        <w:t>urbanas</w:t>
      </w:r>
      <w:r>
        <w:rPr>
          <w:spacing w:val="-6"/>
        </w:rPr>
        <w:t> </w:t>
      </w:r>
      <w:r>
        <w:rPr/>
        <w:t>muy</w:t>
      </w:r>
      <w:r>
        <w:rPr>
          <w:spacing w:val="-6"/>
        </w:rPr>
        <w:t> </w:t>
      </w:r>
      <w:r>
        <w:rPr/>
        <w:t>diferentes.</w:t>
      </w:r>
      <w:r>
        <w:rPr>
          <w:spacing w:val="-6"/>
        </w:rPr>
        <w:t> </w:t>
      </w:r>
      <w:r>
        <w:rPr/>
        <w:t>Según</w:t>
      </w:r>
      <w:r>
        <w:rPr>
          <w:spacing w:val="-6"/>
        </w:rPr>
        <w:t> </w:t>
      </w:r>
      <w:r>
        <w:rPr/>
        <w:t>Dematteis</w:t>
      </w:r>
      <w:r>
        <w:rPr>
          <w:spacing w:val="-6"/>
        </w:rPr>
        <w:t> </w:t>
      </w:r>
      <w:r>
        <w:rPr/>
        <w:t>(1998),</w:t>
      </w:r>
      <w:r>
        <w:rPr>
          <w:spacing w:val="-6"/>
        </w:rPr>
        <w:t> </w:t>
      </w:r>
      <w:r>
        <w:rPr/>
        <w:t>“estas</w:t>
      </w:r>
      <w:r>
        <w:rPr>
          <w:spacing w:val="-6"/>
        </w:rPr>
        <w:t> </w:t>
      </w:r>
      <w:r>
        <w:rPr/>
        <w:t>nuevas</w:t>
      </w:r>
      <w:r>
        <w:rPr>
          <w:spacing w:val="-6"/>
        </w:rPr>
        <w:t> </w:t>
      </w:r>
      <w:r>
        <w:rPr/>
        <w:t>periferias son el resultado de profundos cambios en las estructuras territoriales urbanas, en las tecnologías de la comunicación y la información, y en la organización y la regulación social</w:t>
      </w:r>
      <w:r>
        <w:rPr>
          <w:spacing w:val="-4"/>
        </w:rPr>
        <w:t> </w:t>
      </w:r>
      <w:r>
        <w:rPr/>
        <w:t>(...)”</w:t>
      </w:r>
    </w:p>
    <w:p>
      <w:pPr>
        <w:pStyle w:val="BodyText"/>
        <w:spacing w:before="11"/>
      </w:pPr>
    </w:p>
    <w:p>
      <w:pPr>
        <w:pStyle w:val="BodyText"/>
        <w:spacing w:line="249" w:lineRule="auto"/>
        <w:ind w:left="130" w:right="135" w:firstLine="170"/>
        <w:jc w:val="both"/>
      </w:pPr>
      <w:r>
        <w:rPr/>
        <w:t>La constante transformación del espacio periférico en relación con las fases de crecimiento no permite que hoy se pueda establecer un concepto único para definir    la periferia. La identificación de varias periferias en el sistema urbano permite hablar  de una diversidad de conflictos, formas e intervenciones con relación a estas áreas, y debe repensarse el término de periferia en este ámbito. Las periferias están sufriendo cambios en el ámbito social como espacial, las nuevas y complejas relaciones que han dado en torno en ellas nos hacen replantear la forma de</w:t>
      </w:r>
      <w:r>
        <w:rPr>
          <w:spacing w:val="41"/>
        </w:rPr>
        <w:t> </w:t>
      </w:r>
      <w:r>
        <w:rPr/>
        <w:t>concebirlas.</w:t>
      </w:r>
    </w:p>
    <w:p>
      <w:pPr>
        <w:pStyle w:val="BodyText"/>
        <w:spacing w:before="11"/>
      </w:pPr>
    </w:p>
    <w:p>
      <w:pPr>
        <w:pStyle w:val="BodyText"/>
        <w:spacing w:line="249" w:lineRule="auto"/>
        <w:ind w:left="130" w:right="135" w:firstLine="170"/>
        <w:jc w:val="both"/>
      </w:pPr>
      <w:r>
        <w:rPr/>
        <w:t>En los últimos años las nuevas periferias ya no se definen en relación con el centro ni como un espacio negativo. Tiene una identidad propia basada en la identificación   de sus cualidades formales, que no depende de las áreas centrales, donde la distancia se reduce por los avances en la movilidad: cualidad (en términos de medio ambiente)  y autonomía (en términos de no dependencia del centro) son los caracteres positivos más determinantes (Dematteis,</w:t>
      </w:r>
      <w:r>
        <w:rPr>
          <w:spacing w:val="-15"/>
        </w:rPr>
        <w:t> </w:t>
      </w:r>
      <w:r>
        <w:rPr/>
        <w:t>1998).</w:t>
      </w:r>
    </w:p>
    <w:p>
      <w:pPr>
        <w:pStyle w:val="BodyText"/>
        <w:spacing w:before="11"/>
      </w:pPr>
    </w:p>
    <w:p>
      <w:pPr>
        <w:pStyle w:val="BodyText"/>
        <w:spacing w:line="249" w:lineRule="auto"/>
        <w:ind w:left="130" w:right="136" w:firstLine="170"/>
        <w:jc w:val="both"/>
      </w:pPr>
      <w:r>
        <w:rPr/>
        <w:t>De</w:t>
      </w:r>
      <w:r>
        <w:rPr>
          <w:spacing w:val="-21"/>
        </w:rPr>
        <w:t> </w:t>
      </w:r>
      <w:r>
        <w:rPr/>
        <w:t>acuerdo</w:t>
      </w:r>
      <w:r>
        <w:rPr>
          <w:spacing w:val="-21"/>
        </w:rPr>
        <w:t> </w:t>
      </w:r>
      <w:r>
        <w:rPr/>
        <w:t>a</w:t>
      </w:r>
      <w:r>
        <w:rPr>
          <w:spacing w:val="-21"/>
        </w:rPr>
        <w:t> </w:t>
      </w:r>
      <w:r>
        <w:rPr/>
        <w:t>Sola-Morales</w:t>
      </w:r>
      <w:r>
        <w:rPr>
          <w:spacing w:val="-21"/>
        </w:rPr>
        <w:t> </w:t>
      </w:r>
      <w:r>
        <w:rPr/>
        <w:t>(1971),</w:t>
      </w:r>
      <w:r>
        <w:rPr>
          <w:spacing w:val="-21"/>
        </w:rPr>
        <w:t> </w:t>
      </w:r>
      <w:r>
        <w:rPr/>
        <w:t>la</w:t>
      </w:r>
      <w:r>
        <w:rPr>
          <w:spacing w:val="-21"/>
        </w:rPr>
        <w:t> </w:t>
      </w:r>
      <w:r>
        <w:rPr/>
        <w:t>periferia</w:t>
      </w:r>
      <w:r>
        <w:rPr>
          <w:spacing w:val="-21"/>
        </w:rPr>
        <w:t> </w:t>
      </w:r>
      <w:r>
        <w:rPr/>
        <w:t>ha</w:t>
      </w:r>
      <w:r>
        <w:rPr>
          <w:spacing w:val="-21"/>
        </w:rPr>
        <w:t> </w:t>
      </w:r>
      <w:r>
        <w:rPr/>
        <w:t>pasado</w:t>
      </w:r>
      <w:r>
        <w:rPr>
          <w:spacing w:val="-21"/>
        </w:rPr>
        <w:t> </w:t>
      </w:r>
      <w:r>
        <w:rPr/>
        <w:t>de</w:t>
      </w:r>
      <w:r>
        <w:rPr>
          <w:spacing w:val="-21"/>
        </w:rPr>
        <w:t> </w:t>
      </w:r>
      <w:r>
        <w:rPr/>
        <w:t>ser</w:t>
      </w:r>
      <w:r>
        <w:rPr>
          <w:spacing w:val="-21"/>
        </w:rPr>
        <w:t> </w:t>
      </w:r>
      <w:r>
        <w:rPr/>
        <w:t>un</w:t>
      </w:r>
      <w:r>
        <w:rPr>
          <w:spacing w:val="-21"/>
        </w:rPr>
        <w:t> </w:t>
      </w:r>
      <w:r>
        <w:rPr/>
        <w:t>espacio</w:t>
      </w:r>
      <w:r>
        <w:rPr>
          <w:spacing w:val="-21"/>
        </w:rPr>
        <w:t> </w:t>
      </w:r>
      <w:r>
        <w:rPr/>
        <w:t>sin</w:t>
      </w:r>
      <w:r>
        <w:rPr>
          <w:spacing w:val="-21"/>
        </w:rPr>
        <w:t> </w:t>
      </w:r>
      <w:r>
        <w:rPr/>
        <w:t>“sentido del lugar” cuya carencia de historia conduce a una carencia de identidad espacial, a ser el espacio con un nuevo sentido del lugar, donde la fuerza de los espacios vacíos contrasta con la debilidad de las actividades y de la edificación, donde el aparente desorden</w:t>
      </w:r>
      <w:r>
        <w:rPr>
          <w:spacing w:val="-8"/>
        </w:rPr>
        <w:t> </w:t>
      </w:r>
      <w:r>
        <w:rPr/>
        <w:t>espontáneo</w:t>
      </w:r>
      <w:r>
        <w:rPr>
          <w:spacing w:val="-8"/>
        </w:rPr>
        <w:t> </w:t>
      </w:r>
      <w:r>
        <w:rPr/>
        <w:t>se</w:t>
      </w:r>
      <w:r>
        <w:rPr>
          <w:spacing w:val="-8"/>
        </w:rPr>
        <w:t> </w:t>
      </w:r>
      <w:r>
        <w:rPr/>
        <w:t>convierte</w:t>
      </w:r>
      <w:r>
        <w:rPr>
          <w:spacing w:val="-8"/>
        </w:rPr>
        <w:t> </w:t>
      </w:r>
      <w:r>
        <w:rPr/>
        <w:t>en</w:t>
      </w:r>
      <w:r>
        <w:rPr>
          <w:spacing w:val="-8"/>
        </w:rPr>
        <w:t> </w:t>
      </w:r>
      <w:r>
        <w:rPr/>
        <w:t>la</w:t>
      </w:r>
      <w:r>
        <w:rPr>
          <w:spacing w:val="-8"/>
        </w:rPr>
        <w:t> </w:t>
      </w:r>
      <w:r>
        <w:rPr/>
        <w:t>fuerza,</w:t>
      </w:r>
      <w:r>
        <w:rPr>
          <w:spacing w:val="-8"/>
        </w:rPr>
        <w:t> </w:t>
      </w:r>
      <w:r>
        <w:rPr/>
        <w:t>la</w:t>
      </w:r>
      <w:r>
        <w:rPr>
          <w:spacing w:val="-8"/>
        </w:rPr>
        <w:t> </w:t>
      </w:r>
      <w:r>
        <w:rPr/>
        <w:t>identidad</w:t>
      </w:r>
      <w:r>
        <w:rPr>
          <w:spacing w:val="-8"/>
        </w:rPr>
        <w:t> </w:t>
      </w:r>
      <w:r>
        <w:rPr/>
        <w:t>y</w:t>
      </w:r>
      <w:r>
        <w:rPr>
          <w:spacing w:val="-8"/>
        </w:rPr>
        <w:t> </w:t>
      </w:r>
      <w:r>
        <w:rPr/>
        <w:t>la</w:t>
      </w:r>
      <w:r>
        <w:rPr>
          <w:spacing w:val="-8"/>
        </w:rPr>
        <w:t> </w:t>
      </w:r>
      <w:r>
        <w:rPr/>
        <w:t>característica</w:t>
      </w:r>
      <w:r>
        <w:rPr>
          <w:spacing w:val="-8"/>
        </w:rPr>
        <w:t> </w:t>
      </w:r>
      <w:r>
        <w:rPr/>
        <w:t>del</w:t>
      </w:r>
      <w:r>
        <w:rPr>
          <w:spacing w:val="-8"/>
        </w:rPr>
        <w:t> </w:t>
      </w:r>
      <w:r>
        <w:rPr/>
        <w:t>lugar. De</w:t>
      </w:r>
      <w:r>
        <w:rPr>
          <w:spacing w:val="-7"/>
        </w:rPr>
        <w:t> </w:t>
      </w:r>
      <w:r>
        <w:rPr/>
        <w:t>periferia</w:t>
      </w:r>
      <w:r>
        <w:rPr>
          <w:spacing w:val="-7"/>
        </w:rPr>
        <w:t> </w:t>
      </w:r>
      <w:r>
        <w:rPr/>
        <w:t>negativa</w:t>
      </w:r>
      <w:r>
        <w:rPr>
          <w:spacing w:val="-7"/>
        </w:rPr>
        <w:t> </w:t>
      </w:r>
      <w:r>
        <w:rPr/>
        <w:t>o</w:t>
      </w:r>
      <w:r>
        <w:rPr>
          <w:spacing w:val="-7"/>
        </w:rPr>
        <w:t> </w:t>
      </w:r>
      <w:r>
        <w:rPr/>
        <w:t>“vil”</w:t>
      </w:r>
      <w:r>
        <w:rPr>
          <w:spacing w:val="-7"/>
        </w:rPr>
        <w:t> </w:t>
      </w:r>
      <w:r>
        <w:rPr/>
        <w:t>pasa</w:t>
      </w:r>
      <w:r>
        <w:rPr>
          <w:spacing w:val="-7"/>
        </w:rPr>
        <w:t> </w:t>
      </w:r>
      <w:r>
        <w:rPr/>
        <w:t>a</w:t>
      </w:r>
      <w:r>
        <w:rPr>
          <w:spacing w:val="-7"/>
        </w:rPr>
        <w:t> </w:t>
      </w:r>
      <w:r>
        <w:rPr/>
        <w:t>ser</w:t>
      </w:r>
      <w:r>
        <w:rPr>
          <w:spacing w:val="-7"/>
        </w:rPr>
        <w:t> </w:t>
      </w:r>
      <w:r>
        <w:rPr/>
        <w:t>la</w:t>
      </w:r>
      <w:r>
        <w:rPr>
          <w:spacing w:val="-7"/>
        </w:rPr>
        <w:t> </w:t>
      </w:r>
      <w:r>
        <w:rPr/>
        <w:t>periferia</w:t>
      </w:r>
      <w:r>
        <w:rPr>
          <w:spacing w:val="-7"/>
        </w:rPr>
        <w:t> </w:t>
      </w:r>
      <w:r>
        <w:rPr/>
        <w:t>positiva</w:t>
      </w:r>
      <w:r>
        <w:rPr>
          <w:spacing w:val="-7"/>
        </w:rPr>
        <w:t> </w:t>
      </w:r>
      <w:r>
        <w:rPr/>
        <w:t>o</w:t>
      </w:r>
      <w:r>
        <w:rPr>
          <w:spacing w:val="-7"/>
        </w:rPr>
        <w:t> </w:t>
      </w:r>
      <w:r>
        <w:rPr/>
        <w:t>“espléndida”,</w:t>
      </w:r>
      <w:r>
        <w:rPr>
          <w:spacing w:val="-7"/>
        </w:rPr>
        <w:t> </w:t>
      </w:r>
      <w:r>
        <w:rPr/>
        <w:t>aquella</w:t>
      </w:r>
      <w:r>
        <w:rPr>
          <w:spacing w:val="-7"/>
        </w:rPr>
        <w:t> </w:t>
      </w:r>
      <w:r>
        <w:rPr/>
        <w:t>donde se presenta la oportunidad de pensar y construir la ciudad </w:t>
      </w:r>
      <w:r>
        <w:rPr>
          <w:spacing w:val="1"/>
        </w:rPr>
        <w:t> </w:t>
      </w:r>
      <w:r>
        <w:rPr/>
        <w:t>actual).</w:t>
      </w:r>
    </w:p>
    <w:p>
      <w:pPr>
        <w:pStyle w:val="BodyText"/>
        <w:spacing w:before="11"/>
      </w:pPr>
    </w:p>
    <w:p>
      <w:pPr>
        <w:pStyle w:val="BodyText"/>
        <w:spacing w:line="249" w:lineRule="auto"/>
        <w:ind w:left="130" w:right="135" w:firstLine="170"/>
        <w:jc w:val="both"/>
      </w:pPr>
      <w:r>
        <w:rPr/>
        <w:t>Para Aranda (2002: 35) “la periferia de la ciudad, son aquellas áreas de transición alejadas momentáneamente de la estructura urbana, definiendo así la expansión urbana actual”, lo que podemos considerar el primer paso para la integración del</w:t>
      </w:r>
    </w:p>
    <w:p>
      <w:pPr>
        <w:spacing w:after="0" w:line="249" w:lineRule="auto"/>
        <w:jc w:val="both"/>
        <w:sectPr>
          <w:type w:val="continuous"/>
          <w:pgSz w:w="18830" w:h="12760" w:orient="landscape"/>
          <w:pgMar w:top="1420" w:bottom="280" w:left="720" w:right="720"/>
          <w:cols w:num="2" w:equalWidth="0">
            <w:col w:w="7842" w:space="1561"/>
            <w:col w:w="7987"/>
          </w:cols>
        </w:sectPr>
      </w:pPr>
    </w:p>
    <w:p>
      <w:pPr>
        <w:pStyle w:val="BodyText"/>
        <w:spacing w:before="6"/>
        <w:rPr>
          <w:sz w:val="23"/>
        </w:rPr>
      </w:pPr>
    </w:p>
    <w:p>
      <w:pPr>
        <w:spacing w:after="0"/>
        <w:rPr>
          <w:sz w:val="23"/>
        </w:rPr>
        <w:sectPr>
          <w:footerReference w:type="default" r:id="rId45"/>
          <w:pgSz w:w="18830" w:h="12760" w:orient="landscape"/>
          <w:pgMar w:footer="1036" w:header="522" w:top="820" w:bottom="1220" w:left="720" w:right="720"/>
        </w:sectPr>
      </w:pPr>
    </w:p>
    <w:p>
      <w:pPr>
        <w:pStyle w:val="BodyText"/>
        <w:spacing w:line="249" w:lineRule="auto" w:before="76"/>
        <w:ind w:left="13"/>
        <w:jc w:val="right"/>
      </w:pPr>
      <w:r>
        <w:rPr/>
        <w:t>tejido urbano construido y la pérdida de los límites político administrativos, creando un</w:t>
      </w:r>
      <w:r>
        <w:rPr>
          <w:w w:val="99"/>
        </w:rPr>
        <w:t> </w:t>
      </w:r>
      <w:r>
        <w:rPr/>
        <w:t>patrón de redes y con fronteras menos precisas de definir. Pierluigi Nicolin (citado en</w:t>
      </w:r>
      <w:r>
        <w:rPr>
          <w:w w:val="98"/>
        </w:rPr>
        <w:t> </w:t>
      </w:r>
      <w:r>
        <w:rPr/>
        <w:t>Carrasco, 2000) entiende a la periferia “... como lugar representativo por excelencia de</w:t>
      </w:r>
      <w:r>
        <w:rPr>
          <w:w w:val="101"/>
        </w:rPr>
        <w:t> </w:t>
      </w:r>
      <w:r>
        <w:rPr/>
        <w:t>la modernidad, representa la experiencia de lo moderno como experiencia del cambio”.</w:t>
      </w:r>
    </w:p>
    <w:p>
      <w:pPr>
        <w:pStyle w:val="BodyText"/>
        <w:spacing w:before="11"/>
      </w:pPr>
    </w:p>
    <w:p>
      <w:pPr>
        <w:pStyle w:val="BodyText"/>
        <w:spacing w:line="249" w:lineRule="auto"/>
        <w:ind w:left="130" w:firstLine="170"/>
        <w:jc w:val="both"/>
      </w:pPr>
      <w:r>
        <w:rPr/>
        <w:t>La periferia como </w:t>
      </w:r>
      <w:r>
        <w:rPr>
          <w:i/>
        </w:rPr>
        <w:t>espacio </w:t>
      </w:r>
      <w:r>
        <w:rPr/>
        <w:t>es sinónimo de complejidad y heterogeneidad. En las aglomeraciones urbanas se pueden reconocer varias periferias con características físicas</w:t>
      </w:r>
      <w:r>
        <w:rPr>
          <w:spacing w:val="-17"/>
        </w:rPr>
        <w:t> </w:t>
      </w:r>
      <w:r>
        <w:rPr/>
        <w:t>de</w:t>
      </w:r>
      <w:r>
        <w:rPr>
          <w:spacing w:val="-17"/>
        </w:rPr>
        <w:t> </w:t>
      </w:r>
      <w:r>
        <w:rPr/>
        <w:t>crecimiento</w:t>
      </w:r>
      <w:r>
        <w:rPr>
          <w:spacing w:val="-17"/>
        </w:rPr>
        <w:t> </w:t>
      </w:r>
      <w:r>
        <w:rPr/>
        <w:t>y</w:t>
      </w:r>
      <w:r>
        <w:rPr>
          <w:spacing w:val="-17"/>
        </w:rPr>
        <w:t> </w:t>
      </w:r>
      <w:r>
        <w:rPr/>
        <w:t>espacialidad</w:t>
      </w:r>
      <w:r>
        <w:rPr>
          <w:spacing w:val="-17"/>
        </w:rPr>
        <w:t> </w:t>
      </w:r>
      <w:r>
        <w:rPr/>
        <w:t>diferentes</w:t>
      </w:r>
      <w:r>
        <w:rPr>
          <w:spacing w:val="-17"/>
        </w:rPr>
        <w:t> </w:t>
      </w:r>
      <w:r>
        <w:rPr/>
        <w:t>unas</w:t>
      </w:r>
      <w:r>
        <w:rPr>
          <w:spacing w:val="-17"/>
        </w:rPr>
        <w:t> </w:t>
      </w:r>
      <w:r>
        <w:rPr/>
        <w:t>de</w:t>
      </w:r>
      <w:r>
        <w:rPr>
          <w:spacing w:val="-17"/>
        </w:rPr>
        <w:t> </w:t>
      </w:r>
      <w:r>
        <w:rPr/>
        <w:t>otras.</w:t>
      </w:r>
      <w:r>
        <w:rPr>
          <w:spacing w:val="-17"/>
        </w:rPr>
        <w:t> </w:t>
      </w:r>
      <w:r>
        <w:rPr/>
        <w:t>Estas</w:t>
      </w:r>
      <w:r>
        <w:rPr>
          <w:spacing w:val="-17"/>
        </w:rPr>
        <w:t> </w:t>
      </w:r>
      <w:r>
        <w:rPr/>
        <w:t>nuevas</w:t>
      </w:r>
      <w:r>
        <w:rPr>
          <w:spacing w:val="-17"/>
        </w:rPr>
        <w:t> </w:t>
      </w:r>
      <w:r>
        <w:rPr/>
        <w:t>periferias</w:t>
      </w:r>
      <w:r>
        <w:rPr>
          <w:spacing w:val="-17"/>
        </w:rPr>
        <w:t> </w:t>
      </w:r>
      <w:r>
        <w:rPr/>
        <w:t>se destacan por la diversidad, los valores ambientales, la calidad de vida y las cualidades formales del espacio construido, en contraposición a las periferias del expansionismo residencial. Actualmente se pueden identificar tres tipos de periferias -superando las especificidades- a través de la forma sucesiva de ocupar el espacio en torno al centro y de los períodos temporales en que se construyeron, tal y como lo señalan Busquets (1985)</w:t>
      </w:r>
      <w:r>
        <w:rPr>
          <w:spacing w:val="-14"/>
        </w:rPr>
        <w:t> </w:t>
      </w:r>
      <w:r>
        <w:rPr/>
        <w:t>y</w:t>
      </w:r>
      <w:r>
        <w:rPr>
          <w:spacing w:val="-14"/>
        </w:rPr>
        <w:t> </w:t>
      </w:r>
      <w:r>
        <w:rPr/>
        <w:t>Arteaga</w:t>
      </w:r>
      <w:r>
        <w:rPr>
          <w:spacing w:val="-14"/>
        </w:rPr>
        <w:t> </w:t>
      </w:r>
      <w:r>
        <w:rPr/>
        <w:t>(2001:</w:t>
      </w:r>
      <w:r>
        <w:rPr>
          <w:spacing w:val="-14"/>
        </w:rPr>
        <w:t> </w:t>
      </w:r>
      <w:r>
        <w:rPr/>
        <w:t>102-103):</w:t>
      </w:r>
    </w:p>
    <w:p>
      <w:pPr>
        <w:pStyle w:val="BodyText"/>
      </w:pPr>
    </w:p>
    <w:p>
      <w:pPr>
        <w:pStyle w:val="BodyText"/>
        <w:spacing w:before="9"/>
        <w:rPr>
          <w:sz w:val="21"/>
        </w:rPr>
      </w:pPr>
    </w:p>
    <w:p>
      <w:pPr>
        <w:pStyle w:val="BodyText"/>
        <w:ind w:left="300" w:right="-7"/>
      </w:pPr>
      <w:r>
        <w:rPr/>
        <w:t>La periferia industrial.</w:t>
      </w:r>
    </w:p>
    <w:p>
      <w:pPr>
        <w:pStyle w:val="BodyText"/>
      </w:pPr>
    </w:p>
    <w:p>
      <w:pPr>
        <w:pStyle w:val="BodyText"/>
        <w:spacing w:before="7"/>
        <w:rPr>
          <w:sz w:val="22"/>
        </w:rPr>
      </w:pPr>
    </w:p>
    <w:p>
      <w:pPr>
        <w:pStyle w:val="BodyText"/>
        <w:spacing w:line="249" w:lineRule="auto"/>
        <w:ind w:left="130" w:firstLine="170"/>
        <w:jc w:val="both"/>
      </w:pPr>
      <w:r>
        <w:rPr/>
        <w:t>Es</w:t>
      </w:r>
      <w:r>
        <w:rPr>
          <w:spacing w:val="-11"/>
        </w:rPr>
        <w:t> </w:t>
      </w:r>
      <w:r>
        <w:rPr/>
        <w:t>la</w:t>
      </w:r>
      <w:r>
        <w:rPr>
          <w:spacing w:val="-11"/>
        </w:rPr>
        <w:t> </w:t>
      </w:r>
      <w:r>
        <w:rPr/>
        <w:t>primera</w:t>
      </w:r>
      <w:r>
        <w:rPr>
          <w:spacing w:val="-11"/>
        </w:rPr>
        <w:t> </w:t>
      </w:r>
      <w:r>
        <w:rPr/>
        <w:t>corona</w:t>
      </w:r>
      <w:r>
        <w:rPr>
          <w:spacing w:val="-11"/>
        </w:rPr>
        <w:t> </w:t>
      </w:r>
      <w:r>
        <w:rPr/>
        <w:t>perimetral</w:t>
      </w:r>
      <w:r>
        <w:rPr>
          <w:spacing w:val="-11"/>
        </w:rPr>
        <w:t> </w:t>
      </w:r>
      <w:r>
        <w:rPr/>
        <w:t>al</w:t>
      </w:r>
      <w:r>
        <w:rPr>
          <w:spacing w:val="-11"/>
        </w:rPr>
        <w:t> </w:t>
      </w:r>
      <w:r>
        <w:rPr/>
        <w:t>centro,</w:t>
      </w:r>
      <w:r>
        <w:rPr>
          <w:spacing w:val="-11"/>
        </w:rPr>
        <w:t> </w:t>
      </w:r>
      <w:r>
        <w:rPr/>
        <w:t>que</w:t>
      </w:r>
      <w:r>
        <w:rPr>
          <w:spacing w:val="-11"/>
        </w:rPr>
        <w:t> </w:t>
      </w:r>
      <w:r>
        <w:rPr/>
        <w:t>surge</w:t>
      </w:r>
      <w:r>
        <w:rPr>
          <w:spacing w:val="-11"/>
        </w:rPr>
        <w:t> </w:t>
      </w:r>
      <w:r>
        <w:rPr/>
        <w:t>con</w:t>
      </w:r>
      <w:r>
        <w:rPr>
          <w:spacing w:val="-11"/>
        </w:rPr>
        <w:t> </w:t>
      </w:r>
      <w:r>
        <w:rPr/>
        <w:t>el</w:t>
      </w:r>
      <w:r>
        <w:rPr>
          <w:spacing w:val="-11"/>
        </w:rPr>
        <w:t> </w:t>
      </w:r>
      <w:r>
        <w:rPr/>
        <w:t>inicio</w:t>
      </w:r>
      <w:r>
        <w:rPr>
          <w:spacing w:val="-11"/>
        </w:rPr>
        <w:t> </w:t>
      </w:r>
      <w:r>
        <w:rPr/>
        <w:t>de</w:t>
      </w:r>
      <w:r>
        <w:rPr>
          <w:spacing w:val="-11"/>
        </w:rPr>
        <w:t> </w:t>
      </w:r>
      <w:r>
        <w:rPr/>
        <w:t>la</w:t>
      </w:r>
      <w:r>
        <w:rPr>
          <w:spacing w:val="-11"/>
        </w:rPr>
        <w:t> </w:t>
      </w:r>
      <w:r>
        <w:rPr/>
        <w:t>industrialización urbana. Está área supera las barreras tradicionales (murallas, límites geográficos etc.) y configura una zona a medio urbanizar entre campos agrícolas y antiguos poblados alrededor de los núcleos urbanos tradicionales, cuya característica principal es la formación de emplazamientos residenciales que encuentran su lógica de organización en torno a la industria y a unas estructuras de comunicación </w:t>
      </w:r>
      <w:r>
        <w:rPr>
          <w:spacing w:val="8"/>
        </w:rPr>
        <w:t> </w:t>
      </w:r>
      <w:r>
        <w:rPr/>
        <w:t>preexistentes.</w:t>
      </w:r>
    </w:p>
    <w:p>
      <w:pPr>
        <w:pStyle w:val="BodyText"/>
      </w:pPr>
    </w:p>
    <w:p>
      <w:pPr>
        <w:pStyle w:val="BodyText"/>
        <w:spacing w:before="9"/>
        <w:rPr>
          <w:sz w:val="21"/>
        </w:rPr>
      </w:pPr>
    </w:p>
    <w:p>
      <w:pPr>
        <w:pStyle w:val="BodyText"/>
        <w:ind w:left="300" w:right="-7"/>
      </w:pPr>
      <w:r>
        <w:rPr/>
        <w:t>La periferia residencial.</w:t>
      </w:r>
    </w:p>
    <w:p>
      <w:pPr>
        <w:pStyle w:val="BodyText"/>
      </w:pPr>
    </w:p>
    <w:p>
      <w:pPr>
        <w:pStyle w:val="BodyText"/>
        <w:spacing w:before="7"/>
        <w:rPr>
          <w:sz w:val="22"/>
        </w:rPr>
      </w:pPr>
    </w:p>
    <w:p>
      <w:pPr>
        <w:pStyle w:val="BodyText"/>
        <w:spacing w:line="249" w:lineRule="auto"/>
        <w:ind w:left="130" w:firstLine="170"/>
        <w:jc w:val="both"/>
      </w:pPr>
      <w:r>
        <w:rPr/>
        <w:t>Se caracteriza por la segregación social, las graves deficiencias de accesibilidad, servicios y urbanización de la nueva residencia masiva, construida entre la ilegalidad   y la legalidad, tanto por el sector público como el privado en medio de una fuerte especulación del suelo. Se define a la periferia urbana -desligada del concepto de distancia- considerándose como un espacio incompleto por falta de servicios, de centralidad y/o simbolismo e imagen (Busquets,</w:t>
      </w:r>
      <w:r>
        <w:rPr>
          <w:spacing w:val="35"/>
        </w:rPr>
        <w:t> </w:t>
      </w:r>
      <w:r>
        <w:rPr/>
        <w:t>1985)</w:t>
      </w:r>
    </w:p>
    <w:p>
      <w:pPr>
        <w:pStyle w:val="BodyText"/>
        <w:spacing w:before="76"/>
        <w:ind w:left="300"/>
      </w:pPr>
      <w:r>
        <w:rPr/>
        <w:br w:type="column"/>
      </w:r>
      <w:r>
        <w:rPr/>
        <w:t>La periferia dispersa.</w:t>
      </w:r>
    </w:p>
    <w:p>
      <w:pPr>
        <w:pStyle w:val="BodyText"/>
        <w:spacing w:before="8"/>
        <w:rPr>
          <w:sz w:val="21"/>
        </w:rPr>
      </w:pPr>
    </w:p>
    <w:p>
      <w:pPr>
        <w:pStyle w:val="BodyText"/>
        <w:spacing w:line="249" w:lineRule="auto"/>
        <w:ind w:left="130" w:right="139" w:firstLine="170"/>
        <w:jc w:val="both"/>
      </w:pPr>
      <w:r>
        <w:rPr/>
        <w:t>Es la tercera corona de expansión urbana sobre extensos territorios cuando las principales ciudades pierden población y el crecimiento de los centros urbanos  satélites se amplía. Se reconoce la incidencia en esta etapa de la reestructuración económica a escala global y los avances tecnológicos en la industria y los sistemas   de comunicación, permitiendo la generación de formas de urbanización dispersa y polarizada que el proceso adquiere. Esta periferia ya no se define negativamente pues se elige por las cualidades medioambientales que el centro ya no posee, y la relación de dependencia desaparece por la difusión de los lugares de trabajo y de los servicios cualificados sobre el</w:t>
      </w:r>
      <w:r>
        <w:rPr>
          <w:spacing w:val="42"/>
        </w:rPr>
        <w:t> </w:t>
      </w:r>
      <w:r>
        <w:rPr/>
        <w:t>territorio.</w:t>
      </w:r>
    </w:p>
    <w:p>
      <w:pPr>
        <w:pStyle w:val="BodyText"/>
        <w:spacing w:before="11"/>
      </w:pPr>
    </w:p>
    <w:p>
      <w:pPr>
        <w:pStyle w:val="BodyText"/>
        <w:spacing w:line="249" w:lineRule="auto"/>
        <w:ind w:left="130" w:right="140" w:firstLine="170"/>
        <w:jc w:val="both"/>
      </w:pPr>
      <w:r>
        <w:rPr/>
        <w:t>Como</w:t>
      </w:r>
      <w:r>
        <w:rPr>
          <w:spacing w:val="-22"/>
        </w:rPr>
        <w:t> </w:t>
      </w:r>
      <w:r>
        <w:rPr/>
        <w:t>puede</w:t>
      </w:r>
      <w:r>
        <w:rPr>
          <w:spacing w:val="-22"/>
        </w:rPr>
        <w:t> </w:t>
      </w:r>
      <w:r>
        <w:rPr/>
        <w:t>observarse,</w:t>
      </w:r>
      <w:r>
        <w:rPr>
          <w:spacing w:val="-22"/>
        </w:rPr>
        <w:t> </w:t>
      </w:r>
      <w:r>
        <w:rPr/>
        <w:t>el</w:t>
      </w:r>
      <w:r>
        <w:rPr>
          <w:spacing w:val="-22"/>
        </w:rPr>
        <w:t> </w:t>
      </w:r>
      <w:r>
        <w:rPr/>
        <w:t>crecimiento</w:t>
      </w:r>
      <w:r>
        <w:rPr>
          <w:spacing w:val="-22"/>
        </w:rPr>
        <w:t> </w:t>
      </w:r>
      <w:r>
        <w:rPr/>
        <w:t>de</w:t>
      </w:r>
      <w:r>
        <w:rPr>
          <w:spacing w:val="-22"/>
        </w:rPr>
        <w:t> </w:t>
      </w:r>
      <w:r>
        <w:rPr/>
        <w:t>las</w:t>
      </w:r>
      <w:r>
        <w:rPr>
          <w:spacing w:val="-22"/>
        </w:rPr>
        <w:t> </w:t>
      </w:r>
      <w:r>
        <w:rPr/>
        <w:t>ciudades,</w:t>
      </w:r>
      <w:r>
        <w:rPr>
          <w:spacing w:val="-22"/>
        </w:rPr>
        <w:t> </w:t>
      </w:r>
      <w:r>
        <w:rPr/>
        <w:t>su</w:t>
      </w:r>
      <w:r>
        <w:rPr>
          <w:spacing w:val="-22"/>
        </w:rPr>
        <w:t> </w:t>
      </w:r>
      <w:r>
        <w:rPr/>
        <w:t>expansión</w:t>
      </w:r>
      <w:r>
        <w:rPr>
          <w:spacing w:val="-22"/>
        </w:rPr>
        <w:t> </w:t>
      </w:r>
      <w:r>
        <w:rPr/>
        <w:t>y</w:t>
      </w:r>
      <w:r>
        <w:rPr>
          <w:spacing w:val="-22"/>
        </w:rPr>
        <w:t> </w:t>
      </w:r>
      <w:r>
        <w:rPr/>
        <w:t>nuevas</w:t>
      </w:r>
      <w:r>
        <w:rPr>
          <w:spacing w:val="-22"/>
        </w:rPr>
        <w:t> </w:t>
      </w:r>
      <w:r>
        <w:rPr/>
        <w:t>formas de ocupación, han dado paso a nuevas periferias, derivando territorios articulados y vinculados con la ciudad central. En la periferia de las zonas metropolitanas se están conformando, integralmente, espacios habitacionales y comerciales, entre otros, que cuentan con servicios básicos, infraestructura y equipamientos. Por ello, es menester entender la diferencia entre estos dos enfoque (clásico y moderno) respecto a la periferia.</w:t>
      </w:r>
    </w:p>
    <w:p>
      <w:pPr>
        <w:pStyle w:val="BodyText"/>
      </w:pPr>
    </w:p>
    <w:p>
      <w:pPr>
        <w:pStyle w:val="BodyText"/>
        <w:spacing w:before="6"/>
        <w:rPr>
          <w:sz w:val="18"/>
        </w:rPr>
      </w:pPr>
    </w:p>
    <w:p>
      <w:pPr>
        <w:pStyle w:val="Heading1"/>
      </w:pPr>
      <w:r>
        <w:rPr/>
        <w:t>Periferia clásica y moderna</w:t>
      </w:r>
    </w:p>
    <w:p>
      <w:pPr>
        <w:pStyle w:val="BodyText"/>
        <w:rPr>
          <w:b/>
          <w:sz w:val="24"/>
        </w:rPr>
      </w:pPr>
    </w:p>
    <w:p>
      <w:pPr>
        <w:pStyle w:val="BodyText"/>
        <w:rPr>
          <w:b/>
          <w:sz w:val="24"/>
        </w:rPr>
      </w:pPr>
    </w:p>
    <w:p>
      <w:pPr>
        <w:pStyle w:val="BodyText"/>
        <w:spacing w:line="249" w:lineRule="auto" w:before="169"/>
        <w:ind w:left="130" w:right="139" w:firstLine="170"/>
        <w:jc w:val="both"/>
      </w:pPr>
      <w:r>
        <w:rPr/>
        <w:t>A</w:t>
      </w:r>
      <w:r>
        <w:rPr>
          <w:spacing w:val="-11"/>
        </w:rPr>
        <w:t> </w:t>
      </w:r>
      <w:r>
        <w:rPr/>
        <w:t>pesar</w:t>
      </w:r>
      <w:r>
        <w:rPr>
          <w:spacing w:val="-11"/>
        </w:rPr>
        <w:t> </w:t>
      </w:r>
      <w:r>
        <w:rPr/>
        <w:t>del</w:t>
      </w:r>
      <w:r>
        <w:rPr>
          <w:spacing w:val="-11"/>
        </w:rPr>
        <w:t> </w:t>
      </w:r>
      <w:r>
        <w:rPr/>
        <w:t>reconocimiento</w:t>
      </w:r>
      <w:r>
        <w:rPr>
          <w:spacing w:val="-11"/>
        </w:rPr>
        <w:t> </w:t>
      </w:r>
      <w:r>
        <w:rPr/>
        <w:t>de</w:t>
      </w:r>
      <w:r>
        <w:rPr>
          <w:spacing w:val="-11"/>
        </w:rPr>
        <w:t> </w:t>
      </w:r>
      <w:r>
        <w:rPr/>
        <w:t>dos</w:t>
      </w:r>
      <w:r>
        <w:rPr>
          <w:spacing w:val="-11"/>
        </w:rPr>
        <w:t> </w:t>
      </w:r>
      <w:r>
        <w:rPr/>
        <w:t>enfoques</w:t>
      </w:r>
      <w:r>
        <w:rPr>
          <w:spacing w:val="-11"/>
        </w:rPr>
        <w:t> </w:t>
      </w:r>
      <w:r>
        <w:rPr/>
        <w:t>en</w:t>
      </w:r>
      <w:r>
        <w:rPr>
          <w:spacing w:val="-11"/>
        </w:rPr>
        <w:t> </w:t>
      </w:r>
      <w:r>
        <w:rPr/>
        <w:t>torno</w:t>
      </w:r>
      <w:r>
        <w:rPr>
          <w:spacing w:val="-11"/>
        </w:rPr>
        <w:t> </w:t>
      </w:r>
      <w:r>
        <w:rPr/>
        <w:t>a</w:t>
      </w:r>
      <w:r>
        <w:rPr>
          <w:spacing w:val="-11"/>
        </w:rPr>
        <w:t> </w:t>
      </w:r>
      <w:r>
        <w:rPr/>
        <w:t>la</w:t>
      </w:r>
      <w:r>
        <w:rPr>
          <w:spacing w:val="-11"/>
        </w:rPr>
        <w:t> </w:t>
      </w:r>
      <w:r>
        <w:rPr/>
        <w:t>periferia:</w:t>
      </w:r>
      <w:r>
        <w:rPr>
          <w:spacing w:val="-11"/>
        </w:rPr>
        <w:t> </w:t>
      </w:r>
      <w:r>
        <w:rPr/>
        <w:t>clásica</w:t>
      </w:r>
      <w:r>
        <w:rPr>
          <w:spacing w:val="-11"/>
        </w:rPr>
        <w:t> </w:t>
      </w:r>
      <w:r>
        <w:rPr/>
        <w:t>y</w:t>
      </w:r>
      <w:r>
        <w:rPr>
          <w:spacing w:val="-11"/>
        </w:rPr>
        <w:t> </w:t>
      </w:r>
      <w:r>
        <w:rPr/>
        <w:t>moderna, existen algunos aspectos en común: como lugar inestable y de rápidos cambios de   los usos del suelo y del espacio edificado, que la diferencia de las áreas centrales, tradicionales o consolidadas. Por su parte, los  procesos metropolitanos contienen   dos formas de desarrollo de la periferia, en los que deja de ser motivo de procesos de ocupación</w:t>
      </w:r>
      <w:r>
        <w:rPr>
          <w:spacing w:val="-10"/>
        </w:rPr>
        <w:t> </w:t>
      </w:r>
      <w:r>
        <w:rPr/>
        <w:t>ilegal</w:t>
      </w:r>
      <w:r>
        <w:rPr>
          <w:spacing w:val="-10"/>
        </w:rPr>
        <w:t> </w:t>
      </w:r>
      <w:r>
        <w:rPr/>
        <w:t>a</w:t>
      </w:r>
      <w:r>
        <w:rPr>
          <w:spacing w:val="-10"/>
        </w:rPr>
        <w:t> </w:t>
      </w:r>
      <w:r>
        <w:rPr/>
        <w:t>uno</w:t>
      </w:r>
      <w:r>
        <w:rPr>
          <w:spacing w:val="-10"/>
        </w:rPr>
        <w:t> </w:t>
      </w:r>
      <w:r>
        <w:rPr/>
        <w:t>completamente</w:t>
      </w:r>
      <w:r>
        <w:rPr>
          <w:spacing w:val="-10"/>
        </w:rPr>
        <w:t> </w:t>
      </w:r>
      <w:r>
        <w:rPr/>
        <w:t>legal,</w:t>
      </w:r>
      <w:r>
        <w:rPr>
          <w:spacing w:val="-10"/>
        </w:rPr>
        <w:t> </w:t>
      </w:r>
      <w:r>
        <w:rPr/>
        <w:t>en</w:t>
      </w:r>
      <w:r>
        <w:rPr>
          <w:spacing w:val="-10"/>
        </w:rPr>
        <w:t> </w:t>
      </w:r>
      <w:r>
        <w:rPr/>
        <w:t>virtud</w:t>
      </w:r>
      <w:r>
        <w:rPr>
          <w:spacing w:val="-10"/>
        </w:rPr>
        <w:t> </w:t>
      </w:r>
      <w:r>
        <w:rPr/>
        <w:t>de</w:t>
      </w:r>
      <w:r>
        <w:rPr>
          <w:spacing w:val="-10"/>
        </w:rPr>
        <w:t> </w:t>
      </w:r>
      <w:r>
        <w:rPr/>
        <w:t>que</w:t>
      </w:r>
      <w:r>
        <w:rPr>
          <w:spacing w:val="-10"/>
        </w:rPr>
        <w:t> </w:t>
      </w:r>
      <w:r>
        <w:rPr/>
        <w:t>la</w:t>
      </w:r>
      <w:r>
        <w:rPr>
          <w:spacing w:val="-10"/>
        </w:rPr>
        <w:t> </w:t>
      </w:r>
      <w:r>
        <w:rPr/>
        <w:t>participación</w:t>
      </w:r>
      <w:r>
        <w:rPr>
          <w:spacing w:val="-10"/>
        </w:rPr>
        <w:t> </w:t>
      </w:r>
      <w:r>
        <w:rPr/>
        <w:t>del</w:t>
      </w:r>
      <w:r>
        <w:rPr>
          <w:spacing w:val="-10"/>
        </w:rPr>
        <w:t> </w:t>
      </w:r>
      <w:r>
        <w:rPr/>
        <w:t>Estado determina</w:t>
      </w:r>
      <w:r>
        <w:rPr>
          <w:spacing w:val="-8"/>
        </w:rPr>
        <w:t> </w:t>
      </w:r>
      <w:r>
        <w:rPr/>
        <w:t>esta</w:t>
      </w:r>
      <w:r>
        <w:rPr>
          <w:spacing w:val="-8"/>
        </w:rPr>
        <w:t> </w:t>
      </w:r>
      <w:r>
        <w:rPr/>
        <w:t>nueva</w:t>
      </w:r>
      <w:r>
        <w:rPr>
          <w:spacing w:val="-8"/>
        </w:rPr>
        <w:t> </w:t>
      </w:r>
      <w:r>
        <w:rPr/>
        <w:t>forma</w:t>
      </w:r>
      <w:r>
        <w:rPr>
          <w:spacing w:val="-8"/>
        </w:rPr>
        <w:t> </w:t>
      </w:r>
      <w:r>
        <w:rPr/>
        <w:t>de</w:t>
      </w:r>
      <w:r>
        <w:rPr>
          <w:spacing w:val="-8"/>
        </w:rPr>
        <w:t> </w:t>
      </w:r>
      <w:r>
        <w:rPr/>
        <w:t>ocupación.</w:t>
      </w:r>
      <w:r>
        <w:rPr>
          <w:spacing w:val="-8"/>
        </w:rPr>
        <w:t> </w:t>
      </w:r>
      <w:r>
        <w:rPr/>
        <w:t>Sin</w:t>
      </w:r>
      <w:r>
        <w:rPr>
          <w:spacing w:val="-8"/>
        </w:rPr>
        <w:t> </w:t>
      </w:r>
      <w:r>
        <w:rPr/>
        <w:t>embargo,</w:t>
      </w:r>
      <w:r>
        <w:rPr>
          <w:spacing w:val="-8"/>
        </w:rPr>
        <w:t> </w:t>
      </w:r>
      <w:r>
        <w:rPr/>
        <w:t>a</w:t>
      </w:r>
      <w:r>
        <w:rPr>
          <w:spacing w:val="-8"/>
        </w:rPr>
        <w:t> </w:t>
      </w:r>
      <w:r>
        <w:rPr/>
        <w:t>pesar</w:t>
      </w:r>
      <w:r>
        <w:rPr>
          <w:spacing w:val="-8"/>
        </w:rPr>
        <w:t> </w:t>
      </w:r>
      <w:r>
        <w:rPr/>
        <w:t>de</w:t>
      </w:r>
      <w:r>
        <w:rPr>
          <w:spacing w:val="-8"/>
        </w:rPr>
        <w:t> </w:t>
      </w:r>
      <w:r>
        <w:rPr/>
        <w:t>existir</w:t>
      </w:r>
      <w:r>
        <w:rPr>
          <w:spacing w:val="-8"/>
        </w:rPr>
        <w:t> </w:t>
      </w:r>
      <w:r>
        <w:rPr/>
        <w:t>mecanismos que determinan un desarrollo controlado y regulado, continúa prevaleciendo el desarrollo de la periferia mediante procesos vinculados con los enfoques clásicos. La figura 2 muestra un análisis comparativo derivado de los dos planteamientos: clásicos y modernos, con la finalidad de establecer los principales indicadores de análisis de la periferia.</w:t>
      </w:r>
    </w:p>
    <w:p>
      <w:pPr>
        <w:pStyle w:val="BodyText"/>
        <w:spacing w:before="11"/>
      </w:pPr>
    </w:p>
    <w:p>
      <w:pPr>
        <w:pStyle w:val="BodyText"/>
        <w:spacing w:line="249" w:lineRule="auto"/>
        <w:ind w:left="130" w:right="140" w:firstLine="170"/>
        <w:jc w:val="both"/>
      </w:pPr>
      <w:r>
        <w:rPr/>
        <w:t>Como se puede observar, los enfoques clásicos y modernos muestran diferencias  en</w:t>
      </w:r>
      <w:r>
        <w:rPr>
          <w:spacing w:val="18"/>
        </w:rPr>
        <w:t> </w:t>
      </w:r>
      <w:r>
        <w:rPr/>
        <w:t>torno</w:t>
      </w:r>
      <w:r>
        <w:rPr>
          <w:spacing w:val="18"/>
        </w:rPr>
        <w:t> </w:t>
      </w:r>
      <w:r>
        <w:rPr/>
        <w:t>a</w:t>
      </w:r>
      <w:r>
        <w:rPr>
          <w:spacing w:val="18"/>
        </w:rPr>
        <w:t> </w:t>
      </w:r>
      <w:r>
        <w:rPr/>
        <w:t>la</w:t>
      </w:r>
      <w:r>
        <w:rPr>
          <w:spacing w:val="18"/>
        </w:rPr>
        <w:t> </w:t>
      </w:r>
      <w:r>
        <w:rPr/>
        <w:t>periferia,</w:t>
      </w:r>
      <w:r>
        <w:rPr>
          <w:spacing w:val="18"/>
        </w:rPr>
        <w:t> </w:t>
      </w:r>
      <w:r>
        <w:rPr/>
        <w:t>que</w:t>
      </w:r>
      <w:r>
        <w:rPr>
          <w:spacing w:val="18"/>
        </w:rPr>
        <w:t> </w:t>
      </w:r>
      <w:r>
        <w:rPr/>
        <w:t>contrastan</w:t>
      </w:r>
      <w:r>
        <w:rPr>
          <w:spacing w:val="18"/>
        </w:rPr>
        <w:t> </w:t>
      </w:r>
      <w:r>
        <w:rPr/>
        <w:t>notablemente.</w:t>
      </w:r>
      <w:r>
        <w:rPr>
          <w:spacing w:val="18"/>
        </w:rPr>
        <w:t> </w:t>
      </w:r>
      <w:r>
        <w:rPr/>
        <w:t>Al</w:t>
      </w:r>
      <w:r>
        <w:rPr>
          <w:spacing w:val="18"/>
        </w:rPr>
        <w:t> </w:t>
      </w:r>
      <w:r>
        <w:rPr/>
        <w:t>respecto,</w:t>
      </w:r>
      <w:r>
        <w:rPr>
          <w:spacing w:val="18"/>
        </w:rPr>
        <w:t> </w:t>
      </w:r>
      <w:r>
        <w:rPr/>
        <w:t>queda</w:t>
      </w:r>
      <w:r>
        <w:rPr>
          <w:spacing w:val="18"/>
        </w:rPr>
        <w:t> </w:t>
      </w:r>
      <w:r>
        <w:rPr/>
        <w:t>la</w:t>
      </w:r>
      <w:r>
        <w:rPr>
          <w:spacing w:val="18"/>
        </w:rPr>
        <w:t> </w:t>
      </w:r>
      <w:r>
        <w:rPr/>
        <w:t>pregunta:</w:t>
      </w:r>
    </w:p>
    <w:p>
      <w:pPr>
        <w:pStyle w:val="BodyText"/>
        <w:spacing w:line="249" w:lineRule="auto" w:before="1"/>
        <w:ind w:left="130"/>
      </w:pPr>
      <w:r>
        <w:rPr/>
        <w:t>¿Debemos dejar atrás los enfoques clásicos para limitarnos únicamente a los enfoques modernos? La respuesta, sin embargo, parece que debe ser contestada conforme a</w:t>
      </w:r>
    </w:p>
    <w:p>
      <w:pPr>
        <w:spacing w:after="0" w:line="249" w:lineRule="auto"/>
        <w:sectPr>
          <w:type w:val="continuous"/>
          <w:pgSz w:w="18830" w:h="12760" w:orient="landscape"/>
          <w:pgMar w:top="1420" w:bottom="280" w:left="720" w:right="720"/>
          <w:cols w:num="2" w:equalWidth="0">
            <w:col w:w="7842" w:space="1557"/>
            <w:col w:w="7991"/>
          </w:cols>
        </w:sectPr>
      </w:pPr>
    </w:p>
    <w:p>
      <w:pPr>
        <w:pStyle w:val="BodyText"/>
        <w:spacing w:before="8"/>
      </w:pPr>
    </w:p>
    <w:p>
      <w:pPr>
        <w:spacing w:after="0"/>
        <w:sectPr>
          <w:footerReference w:type="default" r:id="rId46"/>
          <w:pgSz w:w="18830" w:h="12760" w:orient="landscape"/>
          <w:pgMar w:footer="1036" w:header="522" w:top="820" w:bottom="1220" w:left="720" w:right="720"/>
        </w:sectPr>
      </w:pPr>
    </w:p>
    <w:p>
      <w:pPr>
        <w:pStyle w:val="BodyText"/>
        <w:spacing w:line="249" w:lineRule="auto" w:before="109"/>
        <w:ind w:left="130"/>
        <w:jc w:val="both"/>
      </w:pPr>
      <w:r>
        <w:rPr/>
        <w:t>los</w:t>
      </w:r>
      <w:r>
        <w:rPr>
          <w:spacing w:val="16"/>
        </w:rPr>
        <w:t> </w:t>
      </w:r>
      <w:r>
        <w:rPr/>
        <w:t>requerimientos</w:t>
      </w:r>
      <w:r>
        <w:rPr>
          <w:spacing w:val="16"/>
        </w:rPr>
        <w:t> </w:t>
      </w:r>
      <w:r>
        <w:rPr/>
        <w:t>de</w:t>
      </w:r>
      <w:r>
        <w:rPr>
          <w:spacing w:val="16"/>
        </w:rPr>
        <w:t> </w:t>
      </w:r>
      <w:r>
        <w:rPr/>
        <w:t>análisis</w:t>
      </w:r>
      <w:r>
        <w:rPr>
          <w:spacing w:val="16"/>
        </w:rPr>
        <w:t> </w:t>
      </w:r>
      <w:r>
        <w:rPr/>
        <w:t>del</w:t>
      </w:r>
      <w:r>
        <w:rPr>
          <w:spacing w:val="16"/>
        </w:rPr>
        <w:t> </w:t>
      </w:r>
      <w:r>
        <w:rPr/>
        <w:t>territorio</w:t>
      </w:r>
      <w:r>
        <w:rPr>
          <w:spacing w:val="16"/>
        </w:rPr>
        <w:t> </w:t>
      </w:r>
      <w:r>
        <w:rPr/>
        <w:t>y</w:t>
      </w:r>
      <w:r>
        <w:rPr>
          <w:spacing w:val="16"/>
        </w:rPr>
        <w:t> </w:t>
      </w:r>
      <w:r>
        <w:rPr/>
        <w:t>su</w:t>
      </w:r>
      <w:r>
        <w:rPr>
          <w:spacing w:val="16"/>
        </w:rPr>
        <w:t> </w:t>
      </w:r>
      <w:r>
        <w:rPr/>
        <w:t>proceso</w:t>
      </w:r>
      <w:r>
        <w:rPr>
          <w:spacing w:val="16"/>
        </w:rPr>
        <w:t> </w:t>
      </w:r>
      <w:r>
        <w:rPr/>
        <w:t>urbano</w:t>
      </w:r>
      <w:r>
        <w:rPr>
          <w:spacing w:val="16"/>
        </w:rPr>
        <w:t> </w:t>
      </w:r>
      <w:r>
        <w:rPr/>
        <w:t>de</w:t>
      </w:r>
      <w:r>
        <w:rPr>
          <w:spacing w:val="16"/>
        </w:rPr>
        <w:t> </w:t>
      </w:r>
      <w:r>
        <w:rPr/>
        <w:t>que</w:t>
      </w:r>
      <w:r>
        <w:rPr>
          <w:spacing w:val="16"/>
        </w:rPr>
        <w:t> </w:t>
      </w:r>
      <w:r>
        <w:rPr/>
        <w:t>es</w:t>
      </w:r>
      <w:r>
        <w:rPr>
          <w:spacing w:val="16"/>
        </w:rPr>
        <w:t> </w:t>
      </w:r>
      <w:r>
        <w:rPr/>
        <w:t>objeto.</w:t>
      </w:r>
      <w:r>
        <w:rPr>
          <w:spacing w:val="16"/>
        </w:rPr>
        <w:t> </w:t>
      </w:r>
      <w:r>
        <w:rPr/>
        <w:t>La</w:t>
      </w:r>
      <w:r>
        <w:rPr>
          <w:w w:val="98"/>
        </w:rPr>
        <w:t> </w:t>
      </w:r>
      <w:r>
        <w:rPr/>
        <w:t>realidad nos obliga a abordar los enfoques modernos a partir del análisis previo de   los planteamientos clásicos, a fin de entender su origen, su evolución y las formas de abordar y entender  la</w:t>
      </w:r>
      <w:r>
        <w:rPr>
          <w:spacing w:val="9"/>
        </w:rPr>
        <w:t> </w:t>
      </w:r>
      <w:r>
        <w:rPr/>
        <w:t>periferia.</w:t>
      </w:r>
    </w:p>
    <w:p>
      <w:pPr>
        <w:pStyle w:val="BodyText"/>
        <w:spacing w:before="2"/>
        <w:rPr>
          <w:sz w:val="24"/>
        </w:rPr>
      </w:pPr>
    </w:p>
    <w:p>
      <w:pPr>
        <w:spacing w:before="0"/>
        <w:ind w:left="129" w:right="0" w:firstLine="0"/>
        <w:jc w:val="center"/>
        <w:rPr>
          <w:sz w:val="16"/>
        </w:rPr>
      </w:pPr>
      <w:r>
        <w:rPr>
          <w:color w:val="6D6E71"/>
          <w:sz w:val="16"/>
        </w:rPr>
        <w:t>Figura 2 Caracterización de la periferia urbana clásica y moderna</w:t>
      </w:r>
    </w:p>
    <w:p>
      <w:pPr>
        <w:pStyle w:val="BodyText"/>
        <w:spacing w:before="10"/>
        <w:rPr>
          <w:sz w:val="8"/>
        </w:rPr>
      </w:pPr>
    </w:p>
    <w:tbl>
      <w:tblPr>
        <w:tblW w:w="0" w:type="auto"/>
        <w:jc w:val="left"/>
        <w:tblInd w:w="420" w:type="dxa"/>
        <w:tblBorders>
          <w:top w:val="dotted" w:sz="4" w:space="0" w:color="B5B5B5"/>
          <w:left w:val="dotted" w:sz="4" w:space="0" w:color="B5B5B5"/>
          <w:bottom w:val="dotted" w:sz="4" w:space="0" w:color="B5B5B5"/>
          <w:right w:val="dotted" w:sz="4" w:space="0" w:color="B5B5B5"/>
          <w:insideH w:val="dotted" w:sz="4" w:space="0" w:color="B5B5B5"/>
          <w:insideV w:val="dotted" w:sz="4" w:space="0" w:color="B5B5B5"/>
        </w:tblBorders>
        <w:tblLayout w:type="fixed"/>
        <w:tblCellMar>
          <w:top w:w="0" w:type="dxa"/>
          <w:left w:w="0" w:type="dxa"/>
          <w:bottom w:w="0" w:type="dxa"/>
          <w:right w:w="0" w:type="dxa"/>
        </w:tblCellMar>
        <w:tblLook w:val="01E0"/>
      </w:tblPr>
      <w:tblGrid>
        <w:gridCol w:w="3375"/>
        <w:gridCol w:w="3754"/>
      </w:tblGrid>
      <w:tr>
        <w:trPr>
          <w:trHeight w:val="343" w:hRule="exact"/>
        </w:trPr>
        <w:tc>
          <w:tcPr>
            <w:tcW w:w="7130" w:type="dxa"/>
            <w:gridSpan w:val="2"/>
            <w:tcBorders>
              <w:top w:val="nil"/>
              <w:left w:val="nil"/>
              <w:bottom w:val="nil"/>
              <w:right w:val="nil"/>
            </w:tcBorders>
            <w:shd w:val="clear" w:color="auto" w:fill="BCBEC0"/>
          </w:tcPr>
          <w:p>
            <w:pPr>
              <w:pStyle w:val="TableParagraph"/>
              <w:tabs>
                <w:tab w:pos="3545" w:val="left" w:leader="none"/>
              </w:tabs>
              <w:ind w:left="170"/>
              <w:rPr>
                <w:sz w:val="18"/>
              </w:rPr>
            </w:pPr>
            <w:r>
              <w:rPr>
                <w:sz w:val="18"/>
              </w:rPr>
              <w:t>Enfoques</w:t>
            </w:r>
            <w:r>
              <w:rPr>
                <w:spacing w:val="4"/>
                <w:sz w:val="18"/>
              </w:rPr>
              <w:t> </w:t>
            </w:r>
            <w:r>
              <w:rPr>
                <w:sz w:val="18"/>
              </w:rPr>
              <w:t>clásicos.</w:t>
              <w:tab/>
              <w:t>Enfoques</w:t>
            </w:r>
            <w:r>
              <w:rPr>
                <w:spacing w:val="12"/>
                <w:sz w:val="18"/>
              </w:rPr>
              <w:t> </w:t>
            </w:r>
            <w:r>
              <w:rPr>
                <w:sz w:val="18"/>
              </w:rPr>
              <w:t>modernos</w:t>
            </w:r>
          </w:p>
        </w:tc>
      </w:tr>
      <w:tr>
        <w:trPr>
          <w:trHeight w:val="642" w:hRule="exact"/>
        </w:trPr>
        <w:tc>
          <w:tcPr>
            <w:tcW w:w="3375" w:type="dxa"/>
            <w:tcBorders>
              <w:top w:val="nil"/>
              <w:left w:val="nil"/>
            </w:tcBorders>
          </w:tcPr>
          <w:p>
            <w:pPr>
              <w:pStyle w:val="TableParagraph"/>
              <w:spacing w:line="163" w:lineRule="exact"/>
              <w:ind w:left="170" w:right="282"/>
              <w:rPr>
                <w:sz w:val="18"/>
              </w:rPr>
            </w:pPr>
            <w:r>
              <w:rPr>
                <w:sz w:val="18"/>
              </w:rPr>
              <w:t>1. Proceso espontáneo y</w:t>
            </w:r>
          </w:p>
          <w:p>
            <w:pPr>
              <w:pStyle w:val="TableParagraph"/>
              <w:spacing w:line="200" w:lineRule="exact" w:before="5"/>
              <w:ind w:left="396" w:right="282"/>
              <w:rPr>
                <w:sz w:val="18"/>
              </w:rPr>
            </w:pPr>
            <w:r>
              <w:rPr>
                <w:sz w:val="18"/>
              </w:rPr>
              <w:t>desbordado de la ciudad, derivado de la industrialización.</w:t>
            </w:r>
          </w:p>
        </w:tc>
        <w:tc>
          <w:tcPr>
            <w:tcW w:w="3754" w:type="dxa"/>
            <w:tcBorders>
              <w:top w:val="nil"/>
              <w:right w:val="nil"/>
            </w:tcBorders>
          </w:tcPr>
          <w:p>
            <w:pPr>
              <w:pStyle w:val="TableParagraph"/>
              <w:spacing w:before="159"/>
              <w:ind w:left="165"/>
              <w:rPr>
                <w:sz w:val="18"/>
              </w:rPr>
            </w:pPr>
            <w:r>
              <w:rPr>
                <w:sz w:val="18"/>
              </w:rPr>
              <w:t>1. Espacio elegido para habitar</w:t>
            </w:r>
          </w:p>
        </w:tc>
      </w:tr>
      <w:tr>
        <w:trPr>
          <w:trHeight w:val="573" w:hRule="exact"/>
        </w:trPr>
        <w:tc>
          <w:tcPr>
            <w:tcW w:w="3375" w:type="dxa"/>
            <w:tcBorders>
              <w:left w:val="nil"/>
            </w:tcBorders>
          </w:tcPr>
          <w:p>
            <w:pPr>
              <w:pStyle w:val="TableParagraph"/>
              <w:spacing w:line="200" w:lineRule="exact" w:before="31"/>
              <w:ind w:left="396" w:right="829" w:hanging="227"/>
              <w:rPr>
                <w:sz w:val="18"/>
              </w:rPr>
            </w:pPr>
            <w:r>
              <w:rPr>
                <w:sz w:val="18"/>
              </w:rPr>
              <w:t>2. Presenta una dependencia con el centro.</w:t>
            </w:r>
          </w:p>
        </w:tc>
        <w:tc>
          <w:tcPr>
            <w:tcW w:w="3754" w:type="dxa"/>
            <w:tcBorders>
              <w:right w:val="nil"/>
            </w:tcBorders>
          </w:tcPr>
          <w:p>
            <w:pPr>
              <w:pStyle w:val="TableParagraph"/>
              <w:spacing w:before="122"/>
              <w:ind w:left="165"/>
              <w:rPr>
                <w:sz w:val="18"/>
              </w:rPr>
            </w:pPr>
            <w:r>
              <w:rPr>
                <w:sz w:val="18"/>
              </w:rPr>
              <w:t>2. Identidad propia</w:t>
            </w:r>
          </w:p>
        </w:tc>
      </w:tr>
      <w:tr>
        <w:trPr>
          <w:trHeight w:val="447" w:hRule="exact"/>
        </w:trPr>
        <w:tc>
          <w:tcPr>
            <w:tcW w:w="3375" w:type="dxa"/>
            <w:tcBorders>
              <w:left w:val="nil"/>
            </w:tcBorders>
          </w:tcPr>
          <w:p>
            <w:pPr>
              <w:pStyle w:val="TableParagraph"/>
              <w:spacing w:line="163" w:lineRule="exact"/>
              <w:ind w:left="170" w:right="282"/>
              <w:rPr>
                <w:sz w:val="18"/>
              </w:rPr>
            </w:pPr>
            <w:r>
              <w:rPr>
                <w:sz w:val="18"/>
              </w:rPr>
              <w:t>3. Presenta problemas de</w:t>
            </w:r>
          </w:p>
          <w:p>
            <w:pPr>
              <w:pStyle w:val="TableParagraph"/>
              <w:spacing w:line="203" w:lineRule="exact"/>
              <w:ind w:left="396" w:right="282"/>
              <w:rPr>
                <w:sz w:val="18"/>
              </w:rPr>
            </w:pPr>
            <w:r>
              <w:rPr>
                <w:sz w:val="18"/>
              </w:rPr>
              <w:t>distancia y accesibilidad</w:t>
            </w:r>
          </w:p>
        </w:tc>
        <w:tc>
          <w:tcPr>
            <w:tcW w:w="3754" w:type="dxa"/>
            <w:tcBorders>
              <w:right w:val="nil"/>
            </w:tcBorders>
          </w:tcPr>
          <w:p>
            <w:pPr>
              <w:pStyle w:val="TableParagraph"/>
              <w:spacing w:before="59"/>
              <w:ind w:left="165"/>
              <w:rPr>
                <w:sz w:val="18"/>
              </w:rPr>
            </w:pPr>
            <w:r>
              <w:rPr>
                <w:sz w:val="18"/>
              </w:rPr>
              <w:t>3. Reducción de distancia</w:t>
            </w:r>
          </w:p>
        </w:tc>
      </w:tr>
      <w:tr>
        <w:trPr>
          <w:trHeight w:val="447" w:hRule="exact"/>
        </w:trPr>
        <w:tc>
          <w:tcPr>
            <w:tcW w:w="3375" w:type="dxa"/>
            <w:tcBorders>
              <w:left w:val="nil"/>
            </w:tcBorders>
          </w:tcPr>
          <w:p>
            <w:pPr>
              <w:pStyle w:val="TableParagraph"/>
              <w:spacing w:line="163" w:lineRule="exact"/>
              <w:ind w:left="170" w:right="282"/>
              <w:rPr>
                <w:sz w:val="18"/>
              </w:rPr>
            </w:pPr>
            <w:r>
              <w:rPr>
                <w:sz w:val="18"/>
              </w:rPr>
              <w:t>4. Desorden, degradación y</w:t>
            </w:r>
          </w:p>
          <w:p>
            <w:pPr>
              <w:pStyle w:val="TableParagraph"/>
              <w:spacing w:line="203" w:lineRule="exact"/>
              <w:ind w:left="396" w:right="282"/>
              <w:rPr>
                <w:sz w:val="18"/>
              </w:rPr>
            </w:pPr>
            <w:r>
              <w:rPr>
                <w:sz w:val="18"/>
              </w:rPr>
              <w:t>baja calidad humana</w:t>
            </w:r>
          </w:p>
        </w:tc>
        <w:tc>
          <w:tcPr>
            <w:tcW w:w="3754" w:type="dxa"/>
            <w:tcBorders>
              <w:right w:val="nil"/>
            </w:tcBorders>
          </w:tcPr>
          <w:p>
            <w:pPr>
              <w:pStyle w:val="TableParagraph"/>
              <w:spacing w:before="59"/>
              <w:ind w:left="165"/>
              <w:rPr>
                <w:sz w:val="18"/>
              </w:rPr>
            </w:pPr>
            <w:r>
              <w:rPr>
                <w:sz w:val="18"/>
              </w:rPr>
              <w:t>4. Nuevo sentido del lugar</w:t>
            </w:r>
          </w:p>
        </w:tc>
      </w:tr>
      <w:tr>
        <w:trPr>
          <w:trHeight w:val="247" w:hRule="exact"/>
        </w:trPr>
        <w:tc>
          <w:tcPr>
            <w:tcW w:w="3375" w:type="dxa"/>
            <w:tcBorders>
              <w:left w:val="nil"/>
            </w:tcBorders>
          </w:tcPr>
          <w:p>
            <w:pPr>
              <w:pStyle w:val="TableParagraph"/>
              <w:spacing w:line="166" w:lineRule="exact"/>
              <w:ind w:left="170" w:right="282"/>
              <w:rPr>
                <w:sz w:val="18"/>
              </w:rPr>
            </w:pPr>
            <w:r>
              <w:rPr>
                <w:sz w:val="18"/>
              </w:rPr>
              <w:t>5. Negativa y problemática</w:t>
            </w:r>
          </w:p>
        </w:tc>
        <w:tc>
          <w:tcPr>
            <w:tcW w:w="3754" w:type="dxa"/>
            <w:tcBorders>
              <w:right w:val="nil"/>
            </w:tcBorders>
          </w:tcPr>
          <w:p>
            <w:pPr>
              <w:pStyle w:val="TableParagraph"/>
              <w:spacing w:line="166" w:lineRule="exact"/>
              <w:ind w:left="165"/>
              <w:rPr>
                <w:sz w:val="18"/>
              </w:rPr>
            </w:pPr>
            <w:r>
              <w:rPr>
                <w:sz w:val="18"/>
              </w:rPr>
              <w:t>5. Positiva y espléndida</w:t>
            </w:r>
          </w:p>
        </w:tc>
      </w:tr>
      <w:tr>
        <w:trPr>
          <w:trHeight w:val="447" w:hRule="exact"/>
        </w:trPr>
        <w:tc>
          <w:tcPr>
            <w:tcW w:w="3375" w:type="dxa"/>
            <w:tcBorders>
              <w:left w:val="nil"/>
            </w:tcBorders>
          </w:tcPr>
          <w:p>
            <w:pPr>
              <w:pStyle w:val="TableParagraph"/>
              <w:spacing w:before="59"/>
              <w:ind w:left="170" w:right="282"/>
              <w:rPr>
                <w:sz w:val="18"/>
              </w:rPr>
            </w:pPr>
            <w:r>
              <w:rPr>
                <w:sz w:val="18"/>
              </w:rPr>
              <w:t>6. Deficiente conexión entre partes.</w:t>
            </w:r>
          </w:p>
        </w:tc>
        <w:tc>
          <w:tcPr>
            <w:tcW w:w="3754" w:type="dxa"/>
            <w:tcBorders>
              <w:right w:val="nil"/>
            </w:tcBorders>
          </w:tcPr>
          <w:p>
            <w:pPr>
              <w:pStyle w:val="TableParagraph"/>
              <w:spacing w:line="163" w:lineRule="exact"/>
              <w:ind w:left="165"/>
              <w:rPr>
                <w:sz w:val="18"/>
              </w:rPr>
            </w:pPr>
            <w:r>
              <w:rPr>
                <w:sz w:val="18"/>
              </w:rPr>
              <w:t>6. Integración de nuevos territorios</w:t>
            </w:r>
          </w:p>
          <w:p>
            <w:pPr>
              <w:pStyle w:val="TableParagraph"/>
              <w:spacing w:line="203" w:lineRule="exact"/>
              <w:ind w:left="391"/>
              <w:rPr>
                <w:sz w:val="18"/>
              </w:rPr>
            </w:pPr>
            <w:r>
              <w:rPr>
                <w:sz w:val="18"/>
              </w:rPr>
              <w:t>articulados y vinculados</w:t>
            </w:r>
          </w:p>
        </w:tc>
      </w:tr>
      <w:tr>
        <w:trPr>
          <w:trHeight w:val="447" w:hRule="exact"/>
        </w:trPr>
        <w:tc>
          <w:tcPr>
            <w:tcW w:w="3375" w:type="dxa"/>
            <w:tcBorders>
              <w:left w:val="nil"/>
            </w:tcBorders>
          </w:tcPr>
          <w:p>
            <w:pPr>
              <w:pStyle w:val="TableParagraph"/>
              <w:spacing w:line="163" w:lineRule="exact"/>
              <w:ind w:left="170" w:right="282"/>
              <w:rPr>
                <w:sz w:val="18"/>
              </w:rPr>
            </w:pPr>
            <w:r>
              <w:rPr>
                <w:sz w:val="18"/>
              </w:rPr>
              <w:t>7. Manchas y áreas aisladas</w:t>
            </w:r>
          </w:p>
          <w:p>
            <w:pPr>
              <w:pStyle w:val="TableParagraph"/>
              <w:spacing w:line="203" w:lineRule="exact"/>
              <w:ind w:left="396" w:right="282"/>
              <w:rPr>
                <w:sz w:val="18"/>
              </w:rPr>
            </w:pPr>
            <w:r>
              <w:rPr>
                <w:sz w:val="18"/>
              </w:rPr>
              <w:t>o dispersas</w:t>
            </w:r>
          </w:p>
        </w:tc>
        <w:tc>
          <w:tcPr>
            <w:tcW w:w="3754" w:type="dxa"/>
            <w:tcBorders>
              <w:right w:val="nil"/>
            </w:tcBorders>
          </w:tcPr>
          <w:p>
            <w:pPr>
              <w:pStyle w:val="TableParagraph"/>
              <w:spacing w:before="59"/>
              <w:ind w:left="165"/>
              <w:rPr>
                <w:sz w:val="18"/>
              </w:rPr>
            </w:pPr>
            <w:r>
              <w:rPr>
                <w:sz w:val="18"/>
              </w:rPr>
              <w:t>7. Áreas integradas a la ciudad</w:t>
            </w:r>
          </w:p>
        </w:tc>
      </w:tr>
      <w:tr>
        <w:trPr>
          <w:trHeight w:val="447" w:hRule="exact"/>
        </w:trPr>
        <w:tc>
          <w:tcPr>
            <w:tcW w:w="3375" w:type="dxa"/>
            <w:tcBorders>
              <w:left w:val="nil"/>
            </w:tcBorders>
          </w:tcPr>
          <w:p>
            <w:pPr>
              <w:pStyle w:val="TableParagraph"/>
              <w:spacing w:before="59"/>
              <w:ind w:left="170" w:right="282"/>
              <w:rPr>
                <w:sz w:val="18"/>
              </w:rPr>
            </w:pPr>
            <w:r>
              <w:rPr>
                <w:sz w:val="18"/>
              </w:rPr>
              <w:t>8. Características homogéneas.</w:t>
            </w:r>
          </w:p>
        </w:tc>
        <w:tc>
          <w:tcPr>
            <w:tcW w:w="3754" w:type="dxa"/>
            <w:tcBorders>
              <w:right w:val="nil"/>
            </w:tcBorders>
          </w:tcPr>
          <w:p>
            <w:pPr>
              <w:pStyle w:val="TableParagraph"/>
              <w:spacing w:line="163" w:lineRule="exact"/>
              <w:ind w:left="165"/>
              <w:rPr>
                <w:sz w:val="18"/>
              </w:rPr>
            </w:pPr>
            <w:r>
              <w:rPr>
                <w:sz w:val="18"/>
              </w:rPr>
              <w:t>8. Sinónimo de complejidad</w:t>
            </w:r>
          </w:p>
          <w:p>
            <w:pPr>
              <w:pStyle w:val="TableParagraph"/>
              <w:spacing w:line="203" w:lineRule="exact"/>
              <w:ind w:left="391"/>
              <w:rPr>
                <w:sz w:val="18"/>
              </w:rPr>
            </w:pPr>
            <w:r>
              <w:rPr>
                <w:sz w:val="18"/>
              </w:rPr>
              <w:t>y heterogeneidad</w:t>
            </w:r>
          </w:p>
        </w:tc>
      </w:tr>
      <w:tr>
        <w:trPr>
          <w:trHeight w:val="647" w:hRule="exact"/>
        </w:trPr>
        <w:tc>
          <w:tcPr>
            <w:tcW w:w="3375" w:type="dxa"/>
            <w:tcBorders>
              <w:left w:val="nil"/>
            </w:tcBorders>
          </w:tcPr>
          <w:p>
            <w:pPr>
              <w:pStyle w:val="TableParagraph"/>
              <w:spacing w:line="163" w:lineRule="exact"/>
              <w:ind w:left="170" w:right="282"/>
              <w:rPr>
                <w:sz w:val="18"/>
              </w:rPr>
            </w:pPr>
            <w:r>
              <w:rPr>
                <w:sz w:val="18"/>
              </w:rPr>
              <w:t>9. Carece de servicios básicos</w:t>
            </w:r>
          </w:p>
          <w:p>
            <w:pPr>
              <w:pStyle w:val="TableParagraph"/>
              <w:spacing w:line="200" w:lineRule="exact" w:before="5"/>
              <w:ind w:left="396" w:right="423"/>
              <w:rPr>
                <w:sz w:val="18"/>
              </w:rPr>
            </w:pPr>
            <w:r>
              <w:rPr>
                <w:sz w:val="18"/>
              </w:rPr>
              <w:t>o, en su caso, su introducción es lenta y conflictiva.</w:t>
            </w:r>
          </w:p>
        </w:tc>
        <w:tc>
          <w:tcPr>
            <w:tcW w:w="3754" w:type="dxa"/>
            <w:tcBorders>
              <w:right w:val="nil"/>
            </w:tcBorders>
          </w:tcPr>
          <w:p>
            <w:pPr>
              <w:pStyle w:val="TableParagraph"/>
              <w:spacing w:before="159"/>
              <w:ind w:left="165"/>
              <w:rPr>
                <w:sz w:val="18"/>
              </w:rPr>
            </w:pPr>
            <w:r>
              <w:rPr>
                <w:sz w:val="18"/>
              </w:rPr>
              <w:t>9. Cuenta con servicios básicos</w:t>
            </w:r>
          </w:p>
        </w:tc>
      </w:tr>
      <w:tr>
        <w:trPr>
          <w:trHeight w:val="247" w:hRule="exact"/>
        </w:trPr>
        <w:tc>
          <w:tcPr>
            <w:tcW w:w="3375" w:type="dxa"/>
            <w:tcBorders>
              <w:left w:val="nil"/>
            </w:tcBorders>
          </w:tcPr>
          <w:p>
            <w:pPr>
              <w:pStyle w:val="TableParagraph"/>
              <w:spacing w:line="166" w:lineRule="exact"/>
              <w:ind w:left="170" w:right="282"/>
              <w:rPr>
                <w:sz w:val="18"/>
              </w:rPr>
            </w:pPr>
            <w:r>
              <w:rPr>
                <w:sz w:val="18"/>
              </w:rPr>
              <w:t>10. Carece de infraestructura.</w:t>
            </w:r>
          </w:p>
        </w:tc>
        <w:tc>
          <w:tcPr>
            <w:tcW w:w="3754" w:type="dxa"/>
            <w:tcBorders>
              <w:right w:val="nil"/>
            </w:tcBorders>
          </w:tcPr>
          <w:p>
            <w:pPr>
              <w:pStyle w:val="TableParagraph"/>
              <w:spacing w:line="166" w:lineRule="exact"/>
              <w:ind w:left="165"/>
              <w:rPr>
                <w:sz w:val="18"/>
              </w:rPr>
            </w:pPr>
            <w:r>
              <w:rPr>
                <w:sz w:val="18"/>
              </w:rPr>
              <w:t>10. Cuenta con infraestructura.</w:t>
            </w:r>
          </w:p>
        </w:tc>
      </w:tr>
      <w:tr>
        <w:trPr>
          <w:trHeight w:val="212" w:hRule="exact"/>
        </w:trPr>
        <w:tc>
          <w:tcPr>
            <w:tcW w:w="3375" w:type="dxa"/>
            <w:tcBorders>
              <w:left w:val="nil"/>
              <w:bottom w:val="nil"/>
            </w:tcBorders>
          </w:tcPr>
          <w:p>
            <w:pPr>
              <w:pStyle w:val="TableParagraph"/>
              <w:spacing w:line="166" w:lineRule="exact"/>
              <w:ind w:left="170" w:right="282"/>
              <w:rPr>
                <w:sz w:val="18"/>
              </w:rPr>
            </w:pPr>
            <w:r>
              <w:rPr>
                <w:sz w:val="18"/>
              </w:rPr>
              <w:t>11. No presenta equipamiento.</w:t>
            </w:r>
          </w:p>
        </w:tc>
        <w:tc>
          <w:tcPr>
            <w:tcW w:w="3754" w:type="dxa"/>
            <w:tcBorders>
              <w:bottom w:val="nil"/>
              <w:right w:val="nil"/>
            </w:tcBorders>
          </w:tcPr>
          <w:p>
            <w:pPr>
              <w:pStyle w:val="TableParagraph"/>
              <w:spacing w:line="166" w:lineRule="exact"/>
              <w:ind w:left="165"/>
              <w:rPr>
                <w:sz w:val="18"/>
              </w:rPr>
            </w:pPr>
            <w:r>
              <w:rPr>
                <w:sz w:val="18"/>
              </w:rPr>
              <w:t>11. Cuenta con equipamiento.</w:t>
            </w:r>
          </w:p>
        </w:tc>
      </w:tr>
    </w:tbl>
    <w:p>
      <w:pPr>
        <w:pStyle w:val="BodyText"/>
        <w:rPr>
          <w:sz w:val="16"/>
        </w:rPr>
      </w:pPr>
    </w:p>
    <w:p>
      <w:pPr>
        <w:pStyle w:val="BodyText"/>
        <w:spacing w:before="6"/>
        <w:rPr>
          <w:sz w:val="12"/>
        </w:rPr>
      </w:pPr>
    </w:p>
    <w:p>
      <w:pPr>
        <w:spacing w:line="312" w:lineRule="auto" w:before="0"/>
        <w:ind w:left="132" w:right="0" w:firstLine="0"/>
        <w:jc w:val="center"/>
        <w:rPr>
          <w:sz w:val="16"/>
        </w:rPr>
      </w:pPr>
      <w:r>
        <w:rPr>
          <w:color w:val="6D6E71"/>
          <w:sz w:val="16"/>
        </w:rPr>
        <w:t>Fuente: Elaboración propia con base en Dematteis (1998), Hiernaux (1995) Bazant (2001: 51) Sola-Morales</w:t>
      </w:r>
      <w:r>
        <w:rPr>
          <w:color w:val="6D6E71"/>
          <w:w w:val="100"/>
          <w:sz w:val="16"/>
        </w:rPr>
        <w:t> </w:t>
      </w:r>
      <w:r>
        <w:rPr>
          <w:color w:val="6D6E71"/>
          <w:sz w:val="16"/>
        </w:rPr>
        <w:t>(1971), Busquets (1985) y Arteaga (2001: 102-103):</w:t>
      </w:r>
    </w:p>
    <w:p>
      <w:pPr>
        <w:pStyle w:val="Heading1"/>
        <w:spacing w:before="71"/>
        <w:ind w:right="-10"/>
      </w:pPr>
      <w:r>
        <w:rPr>
          <w:b w:val="0"/>
        </w:rPr>
        <w:br w:type="column"/>
      </w:r>
      <w:r>
        <w:rPr/>
        <w:t>Conclusiones</w:t>
      </w:r>
    </w:p>
    <w:p>
      <w:pPr>
        <w:pStyle w:val="BodyText"/>
        <w:rPr>
          <w:b/>
          <w:sz w:val="21"/>
        </w:rPr>
      </w:pPr>
    </w:p>
    <w:p>
      <w:pPr>
        <w:pStyle w:val="BodyText"/>
        <w:spacing w:line="249" w:lineRule="auto"/>
        <w:ind w:left="130" w:right="127" w:firstLine="170"/>
        <w:jc w:val="right"/>
      </w:pPr>
      <w:r>
        <w:rPr/>
        <w:t>Sin</w:t>
      </w:r>
      <w:r>
        <w:rPr>
          <w:spacing w:val="32"/>
        </w:rPr>
        <w:t> </w:t>
      </w:r>
      <w:r>
        <w:rPr/>
        <w:t>duda,</w:t>
      </w:r>
      <w:r>
        <w:rPr>
          <w:spacing w:val="32"/>
        </w:rPr>
        <w:t> </w:t>
      </w:r>
      <w:r>
        <w:rPr/>
        <w:t>el</w:t>
      </w:r>
      <w:r>
        <w:rPr>
          <w:spacing w:val="32"/>
        </w:rPr>
        <w:t> </w:t>
      </w:r>
      <w:r>
        <w:rPr/>
        <w:t>análisis</w:t>
      </w:r>
      <w:r>
        <w:rPr>
          <w:spacing w:val="32"/>
        </w:rPr>
        <w:t> </w:t>
      </w:r>
      <w:r>
        <w:rPr/>
        <w:t>de</w:t>
      </w:r>
      <w:r>
        <w:rPr>
          <w:spacing w:val="32"/>
        </w:rPr>
        <w:t> </w:t>
      </w:r>
      <w:r>
        <w:rPr/>
        <w:t>los</w:t>
      </w:r>
      <w:r>
        <w:rPr>
          <w:spacing w:val="32"/>
        </w:rPr>
        <w:t> </w:t>
      </w:r>
      <w:r>
        <w:rPr/>
        <w:t>enfoques</w:t>
      </w:r>
      <w:r>
        <w:rPr>
          <w:spacing w:val="32"/>
        </w:rPr>
        <w:t> </w:t>
      </w:r>
      <w:r>
        <w:rPr/>
        <w:t>clásicos</w:t>
      </w:r>
      <w:r>
        <w:rPr>
          <w:spacing w:val="32"/>
        </w:rPr>
        <w:t> </w:t>
      </w:r>
      <w:r>
        <w:rPr/>
        <w:t>y</w:t>
      </w:r>
      <w:r>
        <w:rPr>
          <w:spacing w:val="32"/>
        </w:rPr>
        <w:t> </w:t>
      </w:r>
      <w:r>
        <w:rPr/>
        <w:t>modernos</w:t>
      </w:r>
      <w:r>
        <w:rPr>
          <w:spacing w:val="32"/>
        </w:rPr>
        <w:t> </w:t>
      </w:r>
      <w:r>
        <w:rPr/>
        <w:t>en</w:t>
      </w:r>
      <w:r>
        <w:rPr>
          <w:spacing w:val="32"/>
        </w:rPr>
        <w:t> </w:t>
      </w:r>
      <w:r>
        <w:rPr/>
        <w:t>torno</w:t>
      </w:r>
      <w:r>
        <w:rPr>
          <w:spacing w:val="32"/>
        </w:rPr>
        <w:t> </w:t>
      </w:r>
      <w:r>
        <w:rPr/>
        <w:t>a</w:t>
      </w:r>
      <w:r>
        <w:rPr>
          <w:spacing w:val="32"/>
        </w:rPr>
        <w:t> </w:t>
      </w:r>
      <w:r>
        <w:rPr/>
        <w:t>los</w:t>
      </w:r>
      <w:r>
        <w:rPr>
          <w:spacing w:val="32"/>
        </w:rPr>
        <w:t> </w:t>
      </w:r>
      <w:r>
        <w:rPr/>
        <w:t>nuevos</w:t>
      </w:r>
      <w:r>
        <w:rPr>
          <w:w w:val="99"/>
        </w:rPr>
        <w:t> </w:t>
      </w:r>
      <w:r>
        <w:rPr/>
        <w:t>procesos</w:t>
      </w:r>
      <w:r>
        <w:rPr>
          <w:spacing w:val="-12"/>
        </w:rPr>
        <w:t> </w:t>
      </w:r>
      <w:r>
        <w:rPr/>
        <w:t>y</w:t>
      </w:r>
      <w:r>
        <w:rPr>
          <w:spacing w:val="-11"/>
        </w:rPr>
        <w:t> </w:t>
      </w:r>
      <w:r>
        <w:rPr/>
        <w:t>fenómenos</w:t>
      </w:r>
      <w:r>
        <w:rPr>
          <w:spacing w:val="-12"/>
        </w:rPr>
        <w:t> </w:t>
      </w:r>
      <w:r>
        <w:rPr/>
        <w:t>territoriales</w:t>
      </w:r>
      <w:r>
        <w:rPr>
          <w:spacing w:val="-12"/>
        </w:rPr>
        <w:t> </w:t>
      </w:r>
      <w:r>
        <w:rPr/>
        <w:t>son</w:t>
      </w:r>
      <w:r>
        <w:rPr>
          <w:spacing w:val="-11"/>
        </w:rPr>
        <w:t> </w:t>
      </w:r>
      <w:r>
        <w:rPr/>
        <w:t>muy</w:t>
      </w:r>
      <w:r>
        <w:rPr>
          <w:spacing w:val="-11"/>
        </w:rPr>
        <w:t> </w:t>
      </w:r>
      <w:r>
        <w:rPr/>
        <w:t>complejos</w:t>
      </w:r>
      <w:r>
        <w:rPr>
          <w:spacing w:val="-11"/>
        </w:rPr>
        <w:t> </w:t>
      </w:r>
      <w:r>
        <w:rPr/>
        <w:t>para</w:t>
      </w:r>
      <w:r>
        <w:rPr>
          <w:spacing w:val="-11"/>
        </w:rPr>
        <w:t> </w:t>
      </w:r>
      <w:r>
        <w:rPr/>
        <w:t>mostrar</w:t>
      </w:r>
      <w:r>
        <w:rPr>
          <w:spacing w:val="-11"/>
        </w:rPr>
        <w:t> </w:t>
      </w:r>
      <w:r>
        <w:rPr/>
        <w:t>cuando</w:t>
      </w:r>
      <w:r>
        <w:rPr>
          <w:spacing w:val="-11"/>
        </w:rPr>
        <w:t> </w:t>
      </w:r>
      <w:r>
        <w:rPr/>
        <w:t>se</w:t>
      </w:r>
      <w:r>
        <w:rPr>
          <w:spacing w:val="-11"/>
        </w:rPr>
        <w:t> </w:t>
      </w:r>
      <w:r>
        <w:rPr/>
        <w:t>depende</w:t>
      </w:r>
      <w:r>
        <w:rPr>
          <w:w w:val="101"/>
        </w:rPr>
        <w:t> </w:t>
      </w:r>
      <w:r>
        <w:rPr/>
        <w:t>diversas</w:t>
      </w:r>
      <w:r>
        <w:rPr>
          <w:spacing w:val="-5"/>
        </w:rPr>
        <w:t> </w:t>
      </w:r>
      <w:r>
        <w:rPr/>
        <w:t>formas</w:t>
      </w:r>
      <w:r>
        <w:rPr>
          <w:spacing w:val="-5"/>
        </w:rPr>
        <w:t> </w:t>
      </w:r>
      <w:r>
        <w:rPr/>
        <w:t>de</w:t>
      </w:r>
      <w:r>
        <w:rPr>
          <w:spacing w:val="-5"/>
        </w:rPr>
        <w:t> </w:t>
      </w:r>
      <w:r>
        <w:rPr/>
        <w:t>abordar</w:t>
      </w:r>
      <w:r>
        <w:rPr>
          <w:spacing w:val="-5"/>
        </w:rPr>
        <w:t> </w:t>
      </w:r>
      <w:r>
        <w:rPr/>
        <w:t>el</w:t>
      </w:r>
      <w:r>
        <w:rPr>
          <w:spacing w:val="-5"/>
        </w:rPr>
        <w:t> </w:t>
      </w:r>
      <w:r>
        <w:rPr/>
        <w:t>territorio</w:t>
      </w:r>
      <w:r>
        <w:rPr>
          <w:spacing w:val="-5"/>
        </w:rPr>
        <w:t> </w:t>
      </w:r>
      <w:r>
        <w:rPr/>
        <w:t>y,</w:t>
      </w:r>
      <w:r>
        <w:rPr>
          <w:spacing w:val="-5"/>
        </w:rPr>
        <w:t> </w:t>
      </w:r>
      <w:r>
        <w:rPr/>
        <w:t>a</w:t>
      </w:r>
      <w:r>
        <w:rPr>
          <w:spacing w:val="-5"/>
        </w:rPr>
        <w:t> </w:t>
      </w:r>
      <w:r>
        <w:rPr/>
        <w:t>su</w:t>
      </w:r>
      <w:r>
        <w:rPr>
          <w:spacing w:val="-5"/>
        </w:rPr>
        <w:t> </w:t>
      </w:r>
      <w:r>
        <w:rPr/>
        <w:t>vez,</w:t>
      </w:r>
      <w:r>
        <w:rPr>
          <w:spacing w:val="-5"/>
        </w:rPr>
        <w:t> </w:t>
      </w:r>
      <w:r>
        <w:rPr/>
        <w:t>de</w:t>
      </w:r>
      <w:r>
        <w:rPr>
          <w:spacing w:val="-5"/>
        </w:rPr>
        <w:t> </w:t>
      </w:r>
      <w:r>
        <w:rPr/>
        <w:t>los</w:t>
      </w:r>
      <w:r>
        <w:rPr>
          <w:spacing w:val="-5"/>
        </w:rPr>
        <w:t> </w:t>
      </w:r>
      <w:r>
        <w:rPr/>
        <w:t>procesos</w:t>
      </w:r>
      <w:r>
        <w:rPr>
          <w:spacing w:val="-5"/>
        </w:rPr>
        <w:t> </w:t>
      </w:r>
      <w:r>
        <w:rPr/>
        <w:t>urbanos</w:t>
      </w:r>
      <w:r>
        <w:rPr>
          <w:spacing w:val="-5"/>
        </w:rPr>
        <w:t> </w:t>
      </w:r>
      <w:r>
        <w:rPr/>
        <w:t>de</w:t>
      </w:r>
      <w:r>
        <w:rPr>
          <w:spacing w:val="-5"/>
        </w:rPr>
        <w:t> </w:t>
      </w:r>
      <w:r>
        <w:rPr/>
        <w:t>que</w:t>
      </w:r>
      <w:r>
        <w:rPr>
          <w:spacing w:val="-5"/>
        </w:rPr>
        <w:t> </w:t>
      </w:r>
      <w:r>
        <w:rPr/>
        <w:t>son</w:t>
      </w:r>
      <w:r>
        <w:rPr>
          <w:w w:val="101"/>
        </w:rPr>
        <w:t> </w:t>
      </w:r>
      <w:r>
        <w:rPr/>
        <w:t>objeto las realidades metropolitanas.. El análisis muestra la posibilidad</w:t>
      </w:r>
      <w:r>
        <w:rPr>
          <w:spacing w:val="40"/>
        </w:rPr>
        <w:t> </w:t>
      </w:r>
      <w:r>
        <w:rPr/>
        <w:t>de</w:t>
      </w:r>
      <w:r>
        <w:rPr>
          <w:spacing w:val="16"/>
        </w:rPr>
        <w:t> </w:t>
      </w:r>
      <w:r>
        <w:rPr/>
        <w:t>desarrollar</w:t>
      </w:r>
      <w:r>
        <w:rPr>
          <w:w w:val="99"/>
        </w:rPr>
        <w:t> </w:t>
      </w:r>
      <w:r>
        <w:rPr/>
        <w:t>nuevos puntos de vista en torno al estudio del territorio, en un intento por</w:t>
      </w:r>
      <w:r>
        <w:rPr>
          <w:spacing w:val="45"/>
        </w:rPr>
        <w:t> </w:t>
      </w:r>
      <w:r>
        <w:rPr/>
        <w:t>identificar</w:t>
      </w:r>
      <w:r>
        <w:rPr>
          <w:spacing w:val="11"/>
        </w:rPr>
        <w:t> </w:t>
      </w:r>
      <w:r>
        <w:rPr/>
        <w:t>y analizar las diferencias entre los enfoques clásicos y modernos, en torno a la</w:t>
      </w:r>
      <w:r>
        <w:rPr>
          <w:spacing w:val="29"/>
        </w:rPr>
        <w:t> </w:t>
      </w:r>
      <w:r>
        <w:rPr/>
        <w:t>periferia.</w:t>
      </w:r>
    </w:p>
    <w:p>
      <w:pPr>
        <w:pStyle w:val="BodyText"/>
        <w:spacing w:before="11"/>
      </w:pPr>
    </w:p>
    <w:p>
      <w:pPr>
        <w:pStyle w:val="BodyText"/>
        <w:spacing w:line="249" w:lineRule="auto"/>
        <w:ind w:left="130" w:right="127" w:firstLine="170"/>
        <w:jc w:val="both"/>
      </w:pPr>
      <w:r>
        <w:rPr/>
        <w:t>En primer lugar, es necesario concebir que el análisis del territorio nos da la pauta</w:t>
      </w:r>
      <w:r>
        <w:rPr>
          <w:spacing w:val="-20"/>
        </w:rPr>
        <w:t> </w:t>
      </w:r>
      <w:r>
        <w:rPr/>
        <w:t>de abordarse de diversa maneras. Los enfoques referidos en el presente trabajo</w:t>
      </w:r>
      <w:r>
        <w:rPr>
          <w:spacing w:val="-38"/>
        </w:rPr>
        <w:t> </w:t>
      </w:r>
      <w:r>
        <w:rPr/>
        <w:t>muestran la diversidad de formas de cómo se han analizado los fenómenos territoriales, que van de la mano y acompañados de procesos políticos, económicos y sociales en torno a   la ocupación del suelo en la periferia de las zonas metropolitanas. Conceptos como el de urbanización, expansión, metropolización y periferia, nos permiten concluir que los fenómenos en torno al territorio son diversos y presentan una evolución y cambio en  su</w:t>
      </w:r>
      <w:r>
        <w:rPr>
          <w:spacing w:val="6"/>
        </w:rPr>
        <w:t> </w:t>
      </w:r>
      <w:r>
        <w:rPr/>
        <w:t>enfoque.</w:t>
      </w:r>
    </w:p>
    <w:p>
      <w:pPr>
        <w:pStyle w:val="BodyText"/>
        <w:spacing w:before="11"/>
      </w:pPr>
    </w:p>
    <w:p>
      <w:pPr>
        <w:pStyle w:val="BodyText"/>
        <w:spacing w:line="249" w:lineRule="auto"/>
        <w:ind w:left="130" w:right="127" w:firstLine="170"/>
        <w:jc w:val="both"/>
      </w:pPr>
      <w:r>
        <w:rPr/>
        <w:t>Estos nuevos procesos son determinados por la concentración demográfica en diversos entornos espaciales, cuyo comportamiento deriva fenómenos urbanos en      el territorio, sustentados en los procesos de ocupación del espacio, comportamiento que resulta en las nuevas formas de habitar en las zonas metropolitanas. Hablar de urbanización, como el proceso de concentración de la población, y suburbanización, reflejo de la movilidad de la población de la ciudad central a municipios intermedios, confirman que el desplazamiento de la población es importante en los procesos territoriales, por supuesto, resultado de las nuevas formas de planeación urbana, menor concentración de la población en el centro y mayor desarrollo en la </w:t>
      </w:r>
      <w:r>
        <w:rPr>
          <w:spacing w:val="11"/>
        </w:rPr>
        <w:t> </w:t>
      </w:r>
      <w:r>
        <w:rPr/>
        <w:t>periferia.</w:t>
      </w:r>
    </w:p>
    <w:p>
      <w:pPr>
        <w:pStyle w:val="BodyText"/>
        <w:spacing w:before="11"/>
      </w:pPr>
    </w:p>
    <w:p>
      <w:pPr>
        <w:pStyle w:val="BodyText"/>
        <w:spacing w:line="249" w:lineRule="auto"/>
        <w:ind w:left="130" w:right="127" w:firstLine="170"/>
        <w:jc w:val="both"/>
      </w:pPr>
      <w:r>
        <w:rPr/>
        <w:t>El proceso de metropolización,  cuyas  tendencias  de  crecimiento  de  la  periferia en relación al centro, en materia demográfica, para satisfacer sus necesidades habitacionales, conllevan a la creación de zonas periféricas en los principales centros de población. La población busca la opción de la periferia para determinar nuevas formas de ocupación del suelo, de forma barata, fácil y con sus propios recursos.       La cuestión metropolitana ha tenido gran auge en los últimos años, por lo cual los enfoques teóricos determinan que los procesos sociales recaen en la ocupación de la periferia, que va de la mano con los intereses políticos y </w:t>
      </w:r>
      <w:r>
        <w:rPr>
          <w:spacing w:val="1"/>
        </w:rPr>
        <w:t> </w:t>
      </w:r>
      <w:r>
        <w:rPr/>
        <w:t>económicos.</w:t>
      </w:r>
    </w:p>
    <w:p>
      <w:pPr>
        <w:pStyle w:val="BodyText"/>
        <w:spacing w:before="11"/>
      </w:pPr>
    </w:p>
    <w:p>
      <w:pPr>
        <w:pStyle w:val="BodyText"/>
        <w:spacing w:line="249" w:lineRule="auto"/>
        <w:ind w:left="130" w:right="127" w:firstLine="170"/>
        <w:jc w:val="both"/>
      </w:pPr>
      <w:r>
        <w:rPr/>
        <w:t>Los</w:t>
      </w:r>
      <w:r>
        <w:rPr>
          <w:spacing w:val="-12"/>
        </w:rPr>
        <w:t> </w:t>
      </w:r>
      <w:r>
        <w:rPr/>
        <w:t>enfoques</w:t>
      </w:r>
      <w:r>
        <w:rPr>
          <w:spacing w:val="-12"/>
        </w:rPr>
        <w:t> </w:t>
      </w:r>
      <w:r>
        <w:rPr/>
        <w:t>clásicos</w:t>
      </w:r>
      <w:r>
        <w:rPr>
          <w:spacing w:val="-12"/>
        </w:rPr>
        <w:t> </w:t>
      </w:r>
      <w:r>
        <w:rPr/>
        <w:t>siguen</w:t>
      </w:r>
      <w:r>
        <w:rPr>
          <w:spacing w:val="-12"/>
        </w:rPr>
        <w:t> </w:t>
      </w:r>
      <w:r>
        <w:rPr/>
        <w:t>teniendo</w:t>
      </w:r>
      <w:r>
        <w:rPr>
          <w:spacing w:val="-12"/>
        </w:rPr>
        <w:t> </w:t>
      </w:r>
      <w:r>
        <w:rPr/>
        <w:t>una</w:t>
      </w:r>
      <w:r>
        <w:rPr>
          <w:spacing w:val="-12"/>
        </w:rPr>
        <w:t> </w:t>
      </w:r>
      <w:r>
        <w:rPr/>
        <w:t>participación</w:t>
      </w:r>
      <w:r>
        <w:rPr>
          <w:spacing w:val="-12"/>
        </w:rPr>
        <w:t> </w:t>
      </w:r>
      <w:r>
        <w:rPr/>
        <w:t>latente,</w:t>
      </w:r>
      <w:r>
        <w:rPr>
          <w:spacing w:val="-12"/>
        </w:rPr>
        <w:t> </w:t>
      </w:r>
      <w:r>
        <w:rPr/>
        <w:t>al</w:t>
      </w:r>
      <w:r>
        <w:rPr>
          <w:spacing w:val="-12"/>
        </w:rPr>
        <w:t> </w:t>
      </w:r>
      <w:r>
        <w:rPr/>
        <w:t>hablar</w:t>
      </w:r>
      <w:r>
        <w:rPr>
          <w:spacing w:val="-12"/>
        </w:rPr>
        <w:t> </w:t>
      </w:r>
      <w:r>
        <w:rPr/>
        <w:t>de</w:t>
      </w:r>
      <w:r>
        <w:rPr>
          <w:spacing w:val="-12"/>
        </w:rPr>
        <w:t> </w:t>
      </w:r>
      <w:r>
        <w:rPr/>
        <w:t>escuelas de pensamiento pioneras en el estudio de la ciudad, al considerar que la periferia</w:t>
      </w:r>
      <w:r>
        <w:rPr>
          <w:spacing w:val="-38"/>
        </w:rPr>
        <w:t> </w:t>
      </w:r>
      <w:r>
        <w:rPr/>
        <w:t>sigue siendo parte de las áreas que se desarrollan de manera desordenada, sin control u ordenación alguna, donde el Estado no tiene injerencia para su regulación. Esto es propicio si consideramos que en el territorio existen aún formas de ocupación del</w:t>
      </w:r>
      <w:r>
        <w:rPr>
          <w:spacing w:val="-17"/>
        </w:rPr>
        <w:t> </w:t>
      </w:r>
      <w:r>
        <w:rPr/>
        <w:t>suelo</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47"/>
          <w:pgSz w:w="18830" w:h="12760" w:orient="landscape"/>
          <w:pgMar w:footer="1036" w:header="522" w:top="820" w:bottom="1220" w:left="720" w:right="720"/>
        </w:sectPr>
      </w:pPr>
    </w:p>
    <w:p>
      <w:pPr>
        <w:pStyle w:val="BodyText"/>
        <w:spacing w:line="249" w:lineRule="auto" w:before="109"/>
        <w:ind w:left="130"/>
        <w:jc w:val="both"/>
      </w:pPr>
      <w:r>
        <w:rPr/>
        <w:t>donde no intervienen diversa formas políticas o de gobierno que dirijan y orienten la ocupación del suelo; los enfoques contemporáneos todavía tienen una incidencia importante en los estudios que sustentan estos paradigma en torno a las zonas que se están desarrollando en la periferia de las principales zonas metropolitanas del país, sin ningún orden y control.</w:t>
      </w:r>
    </w:p>
    <w:p>
      <w:pPr>
        <w:pStyle w:val="BodyText"/>
        <w:spacing w:before="11"/>
      </w:pPr>
    </w:p>
    <w:p>
      <w:pPr>
        <w:pStyle w:val="BodyText"/>
        <w:spacing w:line="249" w:lineRule="auto"/>
        <w:ind w:left="130" w:firstLine="170"/>
        <w:jc w:val="both"/>
      </w:pPr>
      <w:r>
        <w:rPr/>
        <w:t>Por su parte, los enfoque modernos determinan las nuevas formas de hacer ciudad, nuevos procesos territoriales y sociales que se integran a fenómenos espaciales, nuevos y diversos. Estos nuevos enfoques van de la mano con procesos clásicos, como son el crecimiento demográfico, la  urbanización  y  la  expansión  urbana,  temas que trilladamente han sido abordados durante los dos últimos siglos, y que representan los nuevos enfoques respecto a la nueva periferia. Esta nueva periferia   se dirige a considerar que es motivo de orden, control y riqueza, bajo el mandato y orden establecido por las acciones del gobierno, regulados por el Estado a través de instrumentos de jurídicos y de</w:t>
      </w:r>
      <w:r>
        <w:rPr>
          <w:spacing w:val="39"/>
        </w:rPr>
        <w:t> </w:t>
      </w:r>
      <w:r>
        <w:rPr/>
        <w:t>planeación.</w:t>
      </w:r>
    </w:p>
    <w:p>
      <w:pPr>
        <w:pStyle w:val="BodyText"/>
        <w:spacing w:before="11"/>
      </w:pPr>
    </w:p>
    <w:p>
      <w:pPr>
        <w:pStyle w:val="BodyText"/>
        <w:spacing w:line="249" w:lineRule="auto"/>
        <w:ind w:left="130" w:firstLine="170"/>
        <w:jc w:val="both"/>
      </w:pPr>
      <w:r>
        <w:rPr/>
        <w:t>Finalmente, los planteamientos clásicos y modernos van de la mano, encajan perfectamente en un proceso contradictorio, se cambian las nuevas formas de observar los indicadores para medir la periferia clásica y la moderna, no obstante,</w:t>
      </w:r>
      <w:r>
        <w:rPr>
          <w:spacing w:val="-19"/>
        </w:rPr>
        <w:t> </w:t>
      </w:r>
      <w:r>
        <w:rPr/>
        <w:t>lejos de analizarse de manera independiente, resulta confortable que van de la mano, es decir no son antagónicas sino que no puede abordarse cada una de ellas sin referirse a la</w:t>
      </w:r>
      <w:r>
        <w:rPr>
          <w:spacing w:val="-1"/>
        </w:rPr>
        <w:t> </w:t>
      </w:r>
      <w:r>
        <w:rPr/>
        <w:t>otra.</w:t>
      </w:r>
    </w:p>
    <w:p>
      <w:pPr>
        <w:pStyle w:val="Heading1"/>
        <w:spacing w:before="71"/>
        <w:ind w:right="-10"/>
      </w:pPr>
      <w:r>
        <w:rPr>
          <w:b w:val="0"/>
        </w:rPr>
        <w:br w:type="column"/>
      </w:r>
      <w:r>
        <w:rPr/>
        <w:t>Referencias bibliográficas</w:t>
      </w:r>
    </w:p>
    <w:p>
      <w:pPr>
        <w:pStyle w:val="BodyText"/>
        <w:rPr>
          <w:b/>
          <w:sz w:val="21"/>
        </w:rPr>
      </w:pPr>
    </w:p>
    <w:p>
      <w:pPr>
        <w:spacing w:line="249" w:lineRule="auto" w:before="0"/>
        <w:ind w:left="753" w:right="126" w:hanging="624"/>
        <w:jc w:val="both"/>
        <w:rPr>
          <w:sz w:val="20"/>
        </w:rPr>
      </w:pPr>
      <w:r>
        <w:rPr>
          <w:sz w:val="20"/>
        </w:rPr>
        <w:t>Alvarado, C.; Vieyra, A. y Hernández J., 2007: “</w:t>
      </w:r>
      <w:r>
        <w:rPr>
          <w:i/>
          <w:sz w:val="20"/>
        </w:rPr>
        <w:t>Diferenciación residencial en el Área </w:t>
      </w:r>
      <w:r>
        <w:rPr>
          <w:i/>
          <w:sz w:val="20"/>
        </w:rPr>
        <w:t>Urbana de la Ciudad de Cuernavaca, Morelos</w:t>
      </w:r>
      <w:r>
        <w:rPr>
          <w:sz w:val="20"/>
        </w:rPr>
        <w:t>”. En Revista Investigaciones Geográficas, 135-152.</w:t>
      </w:r>
    </w:p>
    <w:p>
      <w:pPr>
        <w:pStyle w:val="BodyText"/>
        <w:spacing w:before="11"/>
      </w:pPr>
    </w:p>
    <w:p>
      <w:pPr>
        <w:pStyle w:val="BodyText"/>
        <w:spacing w:line="249" w:lineRule="auto"/>
        <w:ind w:left="753" w:right="127" w:hanging="624"/>
        <w:jc w:val="both"/>
      </w:pPr>
      <w:r>
        <w:rPr/>
        <w:t>Aranda, J., 2002: “ El Crecimiento Urbano y su Impacto en las Periferias Urbanas de una Ciudad Media: Caso Chilpancingo, Gro.”, Toluca, Méx. UAEM Esc. de Planeación Urbana Y Regional.</w:t>
      </w:r>
    </w:p>
    <w:p>
      <w:pPr>
        <w:pStyle w:val="BodyText"/>
        <w:spacing w:before="11"/>
      </w:pPr>
    </w:p>
    <w:p>
      <w:pPr>
        <w:pStyle w:val="BodyText"/>
        <w:spacing w:line="249" w:lineRule="auto"/>
        <w:ind w:left="753" w:right="126" w:hanging="624"/>
        <w:jc w:val="both"/>
      </w:pPr>
      <w:r>
        <w:rPr/>
        <w:t>Arteaga,</w:t>
      </w:r>
      <w:r>
        <w:rPr>
          <w:spacing w:val="-5"/>
        </w:rPr>
        <w:t> </w:t>
      </w:r>
      <w:r>
        <w:rPr/>
        <w:t>I.,</w:t>
      </w:r>
      <w:r>
        <w:rPr>
          <w:spacing w:val="-5"/>
        </w:rPr>
        <w:t> </w:t>
      </w:r>
      <w:r>
        <w:rPr/>
        <w:t>2005:</w:t>
      </w:r>
      <w:r>
        <w:rPr>
          <w:spacing w:val="-5"/>
        </w:rPr>
        <w:t> </w:t>
      </w:r>
      <w:r>
        <w:rPr/>
        <w:t>“De</w:t>
      </w:r>
      <w:r>
        <w:rPr>
          <w:spacing w:val="-5"/>
        </w:rPr>
        <w:t> </w:t>
      </w:r>
      <w:r>
        <w:rPr/>
        <w:t>periferia</w:t>
      </w:r>
      <w:r>
        <w:rPr>
          <w:spacing w:val="-5"/>
        </w:rPr>
        <w:t> </w:t>
      </w:r>
      <w:r>
        <w:rPr/>
        <w:t>a</w:t>
      </w:r>
      <w:r>
        <w:rPr>
          <w:spacing w:val="-5"/>
        </w:rPr>
        <w:t> </w:t>
      </w:r>
      <w:r>
        <w:rPr/>
        <w:t>ciudad</w:t>
      </w:r>
      <w:r>
        <w:rPr>
          <w:spacing w:val="-5"/>
        </w:rPr>
        <w:t> </w:t>
      </w:r>
      <w:r>
        <w:rPr/>
        <w:t>consolidada:</w:t>
      </w:r>
      <w:r>
        <w:rPr>
          <w:spacing w:val="-5"/>
        </w:rPr>
        <w:t> </w:t>
      </w:r>
      <w:r>
        <w:rPr/>
        <w:t>estrategias</w:t>
      </w:r>
      <w:r>
        <w:rPr>
          <w:spacing w:val="-5"/>
        </w:rPr>
        <w:t> </w:t>
      </w:r>
      <w:r>
        <w:rPr/>
        <w:t>para</w:t>
      </w:r>
      <w:r>
        <w:rPr>
          <w:spacing w:val="-5"/>
        </w:rPr>
        <w:t> </w:t>
      </w:r>
      <w:r>
        <w:rPr/>
        <w:t>la</w:t>
      </w:r>
      <w:r>
        <w:rPr>
          <w:spacing w:val="-5"/>
        </w:rPr>
        <w:t> </w:t>
      </w:r>
      <w:r>
        <w:rPr/>
        <w:t>transformación de</w:t>
      </w:r>
      <w:r>
        <w:rPr>
          <w:spacing w:val="-16"/>
        </w:rPr>
        <w:t> </w:t>
      </w:r>
      <w:r>
        <w:rPr/>
        <w:t>zonas</w:t>
      </w:r>
      <w:r>
        <w:rPr>
          <w:spacing w:val="-16"/>
        </w:rPr>
        <w:t> </w:t>
      </w:r>
      <w:r>
        <w:rPr/>
        <w:t>urbanas</w:t>
      </w:r>
      <w:r>
        <w:rPr>
          <w:spacing w:val="-16"/>
        </w:rPr>
        <w:t> </w:t>
      </w:r>
      <w:r>
        <w:rPr/>
        <w:t>marginales”</w:t>
      </w:r>
      <w:r>
        <w:rPr>
          <w:spacing w:val="-16"/>
        </w:rPr>
        <w:t> </w:t>
      </w:r>
      <w:r>
        <w:rPr/>
        <w:t>en</w:t>
      </w:r>
      <w:r>
        <w:rPr>
          <w:spacing w:val="-16"/>
        </w:rPr>
        <w:t> </w:t>
      </w:r>
      <w:r>
        <w:rPr>
          <w:i/>
        </w:rPr>
        <w:t>Revista</w:t>
      </w:r>
      <w:r>
        <w:rPr>
          <w:i/>
          <w:spacing w:val="-16"/>
        </w:rPr>
        <w:t> </w:t>
      </w:r>
      <w:r>
        <w:rPr>
          <w:i/>
        </w:rPr>
        <w:t>Bitácora</w:t>
      </w:r>
      <w:r>
        <w:rPr>
          <w:i/>
          <w:spacing w:val="-16"/>
        </w:rPr>
        <w:t> </w:t>
      </w:r>
      <w:r>
        <w:rPr/>
        <w:t>Urbano</w:t>
      </w:r>
      <w:r>
        <w:rPr>
          <w:spacing w:val="-16"/>
        </w:rPr>
        <w:t> </w:t>
      </w:r>
      <w:r>
        <w:rPr/>
        <w:t>Territorial</w:t>
      </w:r>
      <w:r>
        <w:rPr>
          <w:spacing w:val="-16"/>
        </w:rPr>
        <w:t> </w:t>
      </w:r>
      <w:r>
        <w:rPr/>
        <w:t>1-9,</w:t>
      </w:r>
      <w:r>
        <w:rPr>
          <w:spacing w:val="-16"/>
        </w:rPr>
        <w:t> </w:t>
      </w:r>
      <w:r>
        <w:rPr/>
        <w:t>Bogotá, Colombia: Universidad Autónoma de</w:t>
      </w:r>
      <w:r>
        <w:rPr>
          <w:spacing w:val="50"/>
        </w:rPr>
        <w:t> </w:t>
      </w:r>
      <w:r>
        <w:rPr/>
        <w:t>Colombia.</w:t>
      </w:r>
    </w:p>
    <w:p>
      <w:pPr>
        <w:pStyle w:val="BodyText"/>
        <w:spacing w:before="11"/>
      </w:pPr>
    </w:p>
    <w:p>
      <w:pPr>
        <w:spacing w:line="249" w:lineRule="auto" w:before="0"/>
        <w:ind w:left="753" w:right="128" w:hanging="624"/>
        <w:jc w:val="both"/>
        <w:rPr>
          <w:sz w:val="20"/>
        </w:rPr>
      </w:pPr>
      <w:r>
        <w:rPr>
          <w:sz w:val="20"/>
        </w:rPr>
        <w:t>Bazán, L., 1991, </w:t>
      </w:r>
      <w:r>
        <w:rPr>
          <w:i/>
          <w:sz w:val="20"/>
        </w:rPr>
        <w:t>Vivienda para los obreros. Reproducción de clase y condiciones </w:t>
      </w:r>
      <w:r>
        <w:rPr>
          <w:i/>
          <w:sz w:val="20"/>
        </w:rPr>
        <w:t>urbanas</w:t>
      </w:r>
      <w:r>
        <w:rPr>
          <w:sz w:val="20"/>
        </w:rPr>
        <w:t>, México, Edit. CIESAS, México.</w:t>
      </w:r>
    </w:p>
    <w:p>
      <w:pPr>
        <w:pStyle w:val="BodyText"/>
        <w:spacing w:before="11"/>
      </w:pPr>
    </w:p>
    <w:p>
      <w:pPr>
        <w:pStyle w:val="BodyText"/>
        <w:spacing w:line="249" w:lineRule="auto"/>
        <w:ind w:left="753" w:right="127" w:hanging="624"/>
        <w:jc w:val="both"/>
      </w:pPr>
      <w:r>
        <w:rPr/>
        <w:t>Bazant, Jan 2001: “Periferias Urbanas Expansión Incontrolada de Bajos Ingresos y su Impacto en el Medio Ambiente, México, D.F., Tillas.</w:t>
      </w:r>
    </w:p>
    <w:p>
      <w:pPr>
        <w:pStyle w:val="BodyText"/>
        <w:spacing w:line="480" w:lineRule="exact" w:before="44"/>
        <w:ind w:left="130" w:right="127"/>
        <w:rPr>
          <w:i/>
        </w:rPr>
      </w:pPr>
      <w:r>
        <w:rPr/>
        <w:t>Bettin, G., 1982: “Los Sociólogos de la Ciudad” Barcelona: G. Gilli (Ht151 B47). Brigitte, 2006: “Sociología Urbana O Sociología De Lo Urbano”. </w:t>
      </w:r>
      <w:r>
        <w:rPr>
          <w:i/>
        </w:rPr>
        <w:t>Estudios</w:t>
      </w:r>
      <w:r>
        <w:rPr>
          <w:i/>
          <w:spacing w:val="-33"/>
        </w:rPr>
        <w:t> </w:t>
      </w:r>
      <w:r>
        <w:rPr>
          <w:i/>
        </w:rPr>
        <w:t>Demográficos</w:t>
      </w:r>
    </w:p>
    <w:p>
      <w:pPr>
        <w:spacing w:line="186" w:lineRule="exact" w:before="0"/>
        <w:ind w:left="754" w:right="-10" w:firstLine="0"/>
        <w:jc w:val="left"/>
        <w:rPr>
          <w:sz w:val="20"/>
        </w:rPr>
      </w:pPr>
      <w:r>
        <w:rPr>
          <w:i/>
          <w:sz w:val="20"/>
        </w:rPr>
        <w:t>Y Urbanos</w:t>
      </w:r>
      <w:r>
        <w:rPr>
          <w:sz w:val="20"/>
        </w:rPr>
        <w:t>, Núm. Enero-Abril, Pp. 211-225.</w:t>
      </w:r>
    </w:p>
    <w:p>
      <w:pPr>
        <w:pStyle w:val="BodyText"/>
        <w:spacing w:before="8"/>
        <w:rPr>
          <w:sz w:val="21"/>
        </w:rPr>
      </w:pPr>
    </w:p>
    <w:p>
      <w:pPr>
        <w:pStyle w:val="BodyText"/>
        <w:spacing w:line="249" w:lineRule="auto"/>
        <w:ind w:left="754" w:right="127" w:hanging="624"/>
        <w:jc w:val="both"/>
      </w:pPr>
      <w:r>
        <w:rPr/>
        <w:t>Busquets,</w:t>
      </w:r>
      <w:r>
        <w:rPr>
          <w:spacing w:val="-22"/>
        </w:rPr>
        <w:t> </w:t>
      </w:r>
      <w:r>
        <w:rPr/>
        <w:t>J,</w:t>
      </w:r>
      <w:r>
        <w:rPr>
          <w:spacing w:val="-22"/>
        </w:rPr>
        <w:t> </w:t>
      </w:r>
      <w:r>
        <w:rPr/>
        <w:t>Ferrer,</w:t>
      </w:r>
      <w:r>
        <w:rPr>
          <w:spacing w:val="-22"/>
        </w:rPr>
        <w:t> </w:t>
      </w:r>
      <w:r>
        <w:rPr/>
        <w:t>A,</w:t>
      </w:r>
      <w:r>
        <w:rPr>
          <w:spacing w:val="-22"/>
        </w:rPr>
        <w:t> </w:t>
      </w:r>
      <w:r>
        <w:rPr/>
        <w:t>Calvet,</w:t>
      </w:r>
      <w:r>
        <w:rPr>
          <w:spacing w:val="-22"/>
        </w:rPr>
        <w:t> </w:t>
      </w:r>
      <w:r>
        <w:rPr/>
        <w:t>L.</w:t>
      </w:r>
      <w:r>
        <w:rPr>
          <w:spacing w:val="-22"/>
        </w:rPr>
        <w:t> </w:t>
      </w:r>
      <w:r>
        <w:rPr/>
        <w:t>(1985).</w:t>
      </w:r>
      <w:r>
        <w:rPr>
          <w:spacing w:val="-22"/>
        </w:rPr>
        <w:t> </w:t>
      </w:r>
      <w:r>
        <w:rPr/>
        <w:t>Evaluación</w:t>
      </w:r>
      <w:r>
        <w:rPr>
          <w:spacing w:val="-22"/>
        </w:rPr>
        <w:t> </w:t>
      </w:r>
      <w:r>
        <w:rPr/>
        <w:t>de</w:t>
      </w:r>
      <w:r>
        <w:rPr>
          <w:spacing w:val="-22"/>
        </w:rPr>
        <w:t> </w:t>
      </w:r>
      <w:r>
        <w:rPr/>
        <w:t>las</w:t>
      </w:r>
      <w:r>
        <w:rPr>
          <w:spacing w:val="-22"/>
        </w:rPr>
        <w:t> </w:t>
      </w:r>
      <w:r>
        <w:rPr/>
        <w:t>necesidades</w:t>
      </w:r>
      <w:r>
        <w:rPr>
          <w:spacing w:val="-22"/>
        </w:rPr>
        <w:t> </w:t>
      </w:r>
      <w:r>
        <w:rPr/>
        <w:t>de</w:t>
      </w:r>
      <w:r>
        <w:rPr>
          <w:spacing w:val="-22"/>
        </w:rPr>
        <w:t> </w:t>
      </w:r>
      <w:r>
        <w:rPr/>
        <w:t>rehabilitación. mopu.</w:t>
      </w:r>
      <w:r>
        <w:rPr>
          <w:spacing w:val="33"/>
        </w:rPr>
        <w:t> </w:t>
      </w:r>
      <w:r>
        <w:rPr/>
        <w:t>Madrid.</w:t>
      </w:r>
    </w:p>
    <w:p>
      <w:pPr>
        <w:pStyle w:val="BodyText"/>
        <w:spacing w:before="11"/>
      </w:pPr>
    </w:p>
    <w:p>
      <w:pPr>
        <w:spacing w:line="249" w:lineRule="auto" w:before="0"/>
        <w:ind w:left="754" w:right="127" w:hanging="624"/>
        <w:jc w:val="both"/>
        <w:rPr>
          <w:sz w:val="20"/>
        </w:rPr>
      </w:pPr>
      <w:r>
        <w:rPr>
          <w:sz w:val="20"/>
        </w:rPr>
        <w:t>Capel, H., 2003: “Redes, chabolas y rascacielos. Las transformaciones físicas y planificación en áreas metropolitanas” </w:t>
      </w:r>
      <w:r>
        <w:rPr>
          <w:i/>
          <w:sz w:val="20"/>
        </w:rPr>
        <w:t>en Colección Mediterráneo Económico: </w:t>
      </w:r>
      <w:r>
        <w:rPr>
          <w:i/>
          <w:sz w:val="20"/>
        </w:rPr>
        <w:t>Ciudades, arquitectura y espacio urbano </w:t>
      </w:r>
      <w:r>
        <w:rPr>
          <w:sz w:val="20"/>
        </w:rPr>
        <w:t>3-1, Barcelona: Instituto de Estudios Socioeconómicos de Cajamar.</w:t>
      </w:r>
    </w:p>
    <w:p>
      <w:pPr>
        <w:pStyle w:val="BodyText"/>
        <w:spacing w:before="11"/>
      </w:pPr>
    </w:p>
    <w:p>
      <w:pPr>
        <w:pStyle w:val="BodyText"/>
        <w:spacing w:line="249" w:lineRule="auto"/>
        <w:ind w:left="754" w:right="127" w:hanging="624"/>
        <w:jc w:val="both"/>
      </w:pPr>
      <w:r>
        <w:rPr/>
        <w:t>Carrasco, R., 2000: Ciudad, Periferia Urbana y Capital en http://www.ambiente- ecologico.com/ediciones/071-06-2000/071-roquecarrascoaquino.html</w:t>
      </w:r>
    </w:p>
    <w:p>
      <w:pPr>
        <w:pStyle w:val="BodyText"/>
        <w:spacing w:before="11"/>
      </w:pPr>
    </w:p>
    <w:p>
      <w:pPr>
        <w:spacing w:line="249" w:lineRule="auto" w:before="0"/>
        <w:ind w:left="754" w:right="127" w:hanging="624"/>
        <w:jc w:val="both"/>
        <w:rPr>
          <w:sz w:val="20"/>
        </w:rPr>
      </w:pPr>
      <w:r>
        <w:rPr>
          <w:sz w:val="20"/>
        </w:rPr>
        <w:t>Chavelas, E. y Soria, M., (2011). </w:t>
      </w:r>
      <w:r>
        <w:rPr>
          <w:i/>
          <w:sz w:val="20"/>
        </w:rPr>
        <w:t>La periferia urbana de Chilpancingo. </w:t>
      </w:r>
      <w:r>
        <w:rPr>
          <w:sz w:val="20"/>
        </w:rPr>
        <w:t>Chilpancingo, Guerrero: Universidad Autónoma de Guerrero.</w:t>
      </w:r>
    </w:p>
    <w:p>
      <w:pPr>
        <w:pStyle w:val="BodyText"/>
        <w:spacing w:before="11"/>
      </w:pPr>
    </w:p>
    <w:p>
      <w:pPr>
        <w:spacing w:line="249" w:lineRule="auto" w:before="0"/>
        <w:ind w:left="754" w:right="127" w:hanging="624"/>
        <w:jc w:val="both"/>
        <w:rPr>
          <w:sz w:val="20"/>
        </w:rPr>
      </w:pPr>
      <w:r>
        <w:rPr>
          <w:sz w:val="20"/>
        </w:rPr>
        <w:t>MERLIN, P. y CHOAY, F., 1988: </w:t>
      </w:r>
      <w:r>
        <w:rPr>
          <w:i/>
          <w:sz w:val="20"/>
        </w:rPr>
        <w:t>Dictionnaire De L’Urbanisme Et De L’Aménagement</w:t>
      </w:r>
      <w:r>
        <w:rPr>
          <w:sz w:val="20"/>
        </w:rPr>
        <w:t>., Paris, Universitaires de France.</w:t>
      </w:r>
    </w:p>
    <w:p>
      <w:pPr>
        <w:spacing w:after="0" w:line="249" w:lineRule="auto"/>
        <w:jc w:val="both"/>
        <w:rPr>
          <w:sz w:val="20"/>
        </w:rPr>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48"/>
          <w:pgSz w:w="18830" w:h="12760" w:orient="landscape"/>
          <w:pgMar w:footer="1036" w:header="522" w:top="820" w:bottom="1220" w:left="720" w:right="720"/>
        </w:sectPr>
      </w:pPr>
    </w:p>
    <w:p>
      <w:pPr>
        <w:pStyle w:val="BodyText"/>
        <w:spacing w:before="76"/>
        <w:ind w:left="130" w:right="-7"/>
      </w:pPr>
      <w:r>
        <w:rPr/>
        <w:t>Chueca, F., 1998: “Breve Historia Del Urbanismo” Madrid: Alianza.</w:t>
      </w:r>
    </w:p>
    <w:p>
      <w:pPr>
        <w:pStyle w:val="BodyText"/>
        <w:spacing w:before="8"/>
        <w:rPr>
          <w:sz w:val="21"/>
        </w:rPr>
      </w:pPr>
    </w:p>
    <w:p>
      <w:pPr>
        <w:pStyle w:val="BodyText"/>
        <w:spacing w:line="249" w:lineRule="auto"/>
        <w:ind w:left="753" w:right="1" w:hanging="624"/>
        <w:jc w:val="both"/>
      </w:pPr>
      <w:r>
        <w:rPr/>
        <w:t>CONAPO,</w:t>
      </w:r>
      <w:r>
        <w:rPr>
          <w:spacing w:val="-17"/>
        </w:rPr>
        <w:t> </w:t>
      </w:r>
      <w:r>
        <w:rPr/>
        <w:t>SEDESOL,</w:t>
      </w:r>
      <w:r>
        <w:rPr>
          <w:spacing w:val="-17"/>
        </w:rPr>
        <w:t> </w:t>
      </w:r>
      <w:r>
        <w:rPr/>
        <w:t>INEGI,</w:t>
      </w:r>
      <w:r>
        <w:rPr>
          <w:spacing w:val="-17"/>
        </w:rPr>
        <w:t> </w:t>
      </w:r>
      <w:r>
        <w:rPr/>
        <w:t>2005:</w:t>
      </w:r>
      <w:r>
        <w:rPr>
          <w:spacing w:val="-17"/>
        </w:rPr>
        <w:t> </w:t>
      </w:r>
      <w:r>
        <w:rPr/>
        <w:t>Delimitación</w:t>
      </w:r>
      <w:r>
        <w:rPr>
          <w:spacing w:val="-17"/>
        </w:rPr>
        <w:t> </w:t>
      </w:r>
      <w:r>
        <w:rPr/>
        <w:t>de</w:t>
      </w:r>
      <w:r>
        <w:rPr>
          <w:spacing w:val="-17"/>
        </w:rPr>
        <w:t> </w:t>
      </w:r>
      <w:r>
        <w:rPr/>
        <w:t>las</w:t>
      </w:r>
      <w:r>
        <w:rPr>
          <w:spacing w:val="-17"/>
        </w:rPr>
        <w:t> </w:t>
      </w:r>
      <w:r>
        <w:rPr/>
        <w:t>Zonas</w:t>
      </w:r>
      <w:r>
        <w:rPr>
          <w:spacing w:val="-17"/>
        </w:rPr>
        <w:t> </w:t>
      </w:r>
      <w:r>
        <w:rPr/>
        <w:t>Metropolitanas</w:t>
      </w:r>
      <w:r>
        <w:rPr>
          <w:spacing w:val="-17"/>
        </w:rPr>
        <w:t> </w:t>
      </w:r>
      <w:r>
        <w:rPr/>
        <w:t>de</w:t>
      </w:r>
      <w:r>
        <w:rPr>
          <w:spacing w:val="-17"/>
        </w:rPr>
        <w:t> </w:t>
      </w:r>
      <w:r>
        <w:rPr/>
        <w:t>México 2005,</w:t>
      </w:r>
      <w:r>
        <w:rPr>
          <w:spacing w:val="-25"/>
        </w:rPr>
        <w:t> </w:t>
      </w:r>
      <w:r>
        <w:rPr/>
        <w:t>CONAPO,</w:t>
      </w:r>
      <w:r>
        <w:rPr>
          <w:spacing w:val="-25"/>
        </w:rPr>
        <w:t> </w:t>
      </w:r>
      <w:r>
        <w:rPr/>
        <w:t>SEDESOL,</w:t>
      </w:r>
      <w:r>
        <w:rPr>
          <w:spacing w:val="-25"/>
        </w:rPr>
        <w:t> </w:t>
      </w:r>
      <w:r>
        <w:rPr/>
        <w:t>INEGI.</w:t>
      </w:r>
    </w:p>
    <w:p>
      <w:pPr>
        <w:pStyle w:val="BodyText"/>
        <w:spacing w:before="11"/>
      </w:pPr>
    </w:p>
    <w:p>
      <w:pPr>
        <w:pStyle w:val="BodyText"/>
        <w:spacing w:line="249" w:lineRule="auto"/>
        <w:ind w:left="753" w:hanging="624"/>
        <w:jc w:val="both"/>
      </w:pPr>
      <w:r>
        <w:rPr/>
        <w:t>Dematteis, G.,  1998:  suburbanización  y  periurbanización.  Ciudades  anglosajonas  y ciudades latinas” en Monclús, Francisco Javier, Urbanismo e Historia I. La ciudad dispersa suburbanización y nuevas periferias, Barcelona, Ed., Centro de Cultura</w:t>
      </w:r>
      <w:r>
        <w:rPr>
          <w:spacing w:val="14"/>
        </w:rPr>
        <w:t> </w:t>
      </w:r>
      <w:r>
        <w:rPr/>
        <w:t>Contemporánea.</w:t>
      </w:r>
    </w:p>
    <w:p>
      <w:pPr>
        <w:pStyle w:val="BodyText"/>
        <w:spacing w:before="11"/>
      </w:pPr>
    </w:p>
    <w:p>
      <w:pPr>
        <w:spacing w:before="0"/>
        <w:ind w:left="130" w:right="-7" w:firstLine="0"/>
        <w:jc w:val="left"/>
        <w:rPr>
          <w:i/>
          <w:sz w:val="20"/>
        </w:rPr>
      </w:pPr>
      <w:r>
        <w:rPr>
          <w:sz w:val="20"/>
        </w:rPr>
        <w:t>Giampino,</w:t>
      </w:r>
      <w:r>
        <w:rPr>
          <w:spacing w:val="-12"/>
          <w:sz w:val="20"/>
        </w:rPr>
        <w:t> </w:t>
      </w:r>
      <w:r>
        <w:rPr>
          <w:sz w:val="20"/>
        </w:rPr>
        <w:t>A.,</w:t>
      </w:r>
      <w:r>
        <w:rPr>
          <w:spacing w:val="-12"/>
          <w:sz w:val="20"/>
        </w:rPr>
        <w:t> </w:t>
      </w:r>
      <w:r>
        <w:rPr>
          <w:sz w:val="20"/>
        </w:rPr>
        <w:t>2010:</w:t>
      </w:r>
      <w:r>
        <w:rPr>
          <w:spacing w:val="-12"/>
          <w:sz w:val="20"/>
        </w:rPr>
        <w:t> </w:t>
      </w:r>
      <w:r>
        <w:rPr>
          <w:sz w:val="20"/>
        </w:rPr>
        <w:t>“¿Metrópolis</w:t>
      </w:r>
      <w:r>
        <w:rPr>
          <w:spacing w:val="-12"/>
          <w:sz w:val="20"/>
        </w:rPr>
        <w:t> </w:t>
      </w:r>
      <w:r>
        <w:rPr>
          <w:sz w:val="20"/>
        </w:rPr>
        <w:t>dispersas?”</w:t>
      </w:r>
      <w:r>
        <w:rPr>
          <w:spacing w:val="-12"/>
          <w:sz w:val="20"/>
        </w:rPr>
        <w:t> </w:t>
      </w:r>
      <w:r>
        <w:rPr>
          <w:i/>
          <w:sz w:val="20"/>
        </w:rPr>
        <w:t>en</w:t>
      </w:r>
      <w:r>
        <w:rPr>
          <w:i/>
          <w:spacing w:val="-10"/>
          <w:sz w:val="20"/>
        </w:rPr>
        <w:t> </w:t>
      </w:r>
      <w:r>
        <w:rPr>
          <w:i/>
          <w:sz w:val="20"/>
        </w:rPr>
        <w:t>Cuaderno</w:t>
      </w:r>
      <w:r>
        <w:rPr>
          <w:i/>
          <w:spacing w:val="-12"/>
          <w:sz w:val="20"/>
        </w:rPr>
        <w:t> </w:t>
      </w:r>
      <w:r>
        <w:rPr>
          <w:i/>
          <w:sz w:val="20"/>
        </w:rPr>
        <w:t>de</w:t>
      </w:r>
      <w:r>
        <w:rPr>
          <w:i/>
          <w:spacing w:val="-12"/>
          <w:sz w:val="20"/>
        </w:rPr>
        <w:t> </w:t>
      </w:r>
      <w:r>
        <w:rPr>
          <w:i/>
          <w:sz w:val="20"/>
        </w:rPr>
        <w:t>Investigación</w:t>
      </w:r>
      <w:r>
        <w:rPr>
          <w:i/>
          <w:spacing w:val="-12"/>
          <w:sz w:val="20"/>
        </w:rPr>
        <w:t> </w:t>
      </w:r>
      <w:r>
        <w:rPr>
          <w:i/>
          <w:sz w:val="20"/>
        </w:rPr>
        <w:t>Urbanística</w:t>
      </w:r>
    </w:p>
    <w:p>
      <w:pPr>
        <w:pStyle w:val="BodyText"/>
        <w:spacing w:before="10"/>
        <w:ind w:left="754" w:right="-7"/>
      </w:pPr>
      <w:r>
        <w:rPr/>
        <w:t>2010-72, Madrid: Instituto Juan de Herrera.</w:t>
      </w:r>
    </w:p>
    <w:p>
      <w:pPr>
        <w:pStyle w:val="BodyText"/>
        <w:spacing w:before="8"/>
        <w:rPr>
          <w:sz w:val="21"/>
        </w:rPr>
      </w:pPr>
    </w:p>
    <w:p>
      <w:pPr>
        <w:pStyle w:val="BodyText"/>
        <w:spacing w:line="249" w:lineRule="auto"/>
        <w:ind w:left="754" w:right="1" w:hanging="624"/>
        <w:jc w:val="both"/>
      </w:pPr>
      <w:r>
        <w:rPr/>
        <w:t>Hiernaux, D., 1995: “Nueva Periferia, Vieja Metrópoli: El Valle de Chalco, Ciudad de México”,   México, U.A.M. Xochimilco.</w:t>
      </w:r>
    </w:p>
    <w:p>
      <w:pPr>
        <w:pStyle w:val="BodyText"/>
        <w:spacing w:before="11"/>
      </w:pPr>
    </w:p>
    <w:p>
      <w:pPr>
        <w:spacing w:line="249" w:lineRule="auto" w:before="0"/>
        <w:ind w:left="754" w:right="0" w:hanging="624"/>
        <w:jc w:val="both"/>
        <w:rPr>
          <w:sz w:val="20"/>
        </w:rPr>
      </w:pPr>
      <w:r>
        <w:rPr>
          <w:sz w:val="20"/>
        </w:rPr>
        <w:t>Hiernaux, D. y Lindón, A., 2004: “Repensar la periferia: de la voz a las visiones exo y egocéntricas” en Aguilar, Adrián Guillermo, </w:t>
      </w:r>
      <w:r>
        <w:rPr>
          <w:i/>
          <w:sz w:val="20"/>
        </w:rPr>
        <w:t>Procesos metropolitanos y grandes </w:t>
      </w:r>
      <w:r>
        <w:rPr>
          <w:i/>
          <w:sz w:val="20"/>
        </w:rPr>
        <w:t>ciudades. Dinámicas recientes en México y otros países, </w:t>
      </w:r>
      <w:r>
        <w:rPr>
          <w:sz w:val="20"/>
        </w:rPr>
        <w:t>México: Ed. Miguel Ángel Porrúa.</w:t>
      </w:r>
    </w:p>
    <w:p>
      <w:pPr>
        <w:pStyle w:val="BodyText"/>
        <w:spacing w:before="11"/>
      </w:pPr>
    </w:p>
    <w:p>
      <w:pPr>
        <w:spacing w:line="249" w:lineRule="auto" w:before="0"/>
        <w:ind w:left="754" w:right="0" w:hanging="624"/>
        <w:jc w:val="both"/>
        <w:rPr>
          <w:sz w:val="20"/>
        </w:rPr>
      </w:pPr>
      <w:r>
        <w:rPr>
          <w:sz w:val="20"/>
        </w:rPr>
        <w:t>ITDP y Centro EURE, (2012). </w:t>
      </w:r>
      <w:r>
        <w:rPr>
          <w:i/>
          <w:sz w:val="20"/>
        </w:rPr>
        <w:t>Planes Integrales de Movilidad: lineamientos para una </w:t>
      </w:r>
      <w:r>
        <w:rPr>
          <w:i/>
          <w:sz w:val="20"/>
        </w:rPr>
        <w:t>movilidad urbana sustentable</w:t>
      </w:r>
      <w:r>
        <w:rPr>
          <w:sz w:val="20"/>
        </w:rPr>
        <w:t>. México, D.F.: ITDP.</w:t>
      </w:r>
    </w:p>
    <w:p>
      <w:pPr>
        <w:pStyle w:val="BodyText"/>
        <w:spacing w:before="11"/>
      </w:pPr>
    </w:p>
    <w:p>
      <w:pPr>
        <w:pStyle w:val="BodyText"/>
        <w:spacing w:line="249" w:lineRule="auto"/>
        <w:ind w:left="754" w:hanging="624"/>
        <w:jc w:val="both"/>
      </w:pPr>
      <w:r>
        <w:rPr/>
        <w:t>Klink, J., 2005: “Perspectivas recientes sobre la organización metropolitana. Funciones y</w:t>
      </w:r>
      <w:r>
        <w:rPr>
          <w:spacing w:val="-19"/>
        </w:rPr>
        <w:t> </w:t>
      </w:r>
      <w:r>
        <w:rPr/>
        <w:t>gobernabilidad”</w:t>
      </w:r>
      <w:r>
        <w:rPr>
          <w:spacing w:val="-19"/>
        </w:rPr>
        <w:t> </w:t>
      </w:r>
      <w:r>
        <w:rPr/>
        <w:t>en</w:t>
      </w:r>
      <w:r>
        <w:rPr>
          <w:spacing w:val="-19"/>
        </w:rPr>
        <w:t> </w:t>
      </w:r>
      <w:r>
        <w:rPr/>
        <w:t>Rojas,</w:t>
      </w:r>
      <w:r>
        <w:rPr>
          <w:spacing w:val="-19"/>
        </w:rPr>
        <w:t> </w:t>
      </w:r>
      <w:r>
        <w:rPr/>
        <w:t>Cuadrado</w:t>
      </w:r>
      <w:r>
        <w:rPr>
          <w:spacing w:val="-19"/>
        </w:rPr>
        <w:t> </w:t>
      </w:r>
      <w:r>
        <w:rPr/>
        <w:t>J.</w:t>
      </w:r>
      <w:r>
        <w:rPr>
          <w:spacing w:val="-19"/>
        </w:rPr>
        <w:t> </w:t>
      </w:r>
      <w:r>
        <w:rPr/>
        <w:t>R.</w:t>
      </w:r>
      <w:r>
        <w:rPr>
          <w:spacing w:val="-19"/>
        </w:rPr>
        <w:t> </w:t>
      </w:r>
      <w:r>
        <w:rPr/>
        <w:t>y</w:t>
      </w:r>
      <w:r>
        <w:rPr>
          <w:spacing w:val="-19"/>
        </w:rPr>
        <w:t> </w:t>
      </w:r>
      <w:r>
        <w:rPr/>
        <w:t>J.</w:t>
      </w:r>
      <w:r>
        <w:rPr>
          <w:spacing w:val="-18"/>
        </w:rPr>
        <w:t> </w:t>
      </w:r>
      <w:r>
        <w:rPr/>
        <w:t>M.</w:t>
      </w:r>
      <w:r>
        <w:rPr>
          <w:spacing w:val="-19"/>
        </w:rPr>
        <w:t> </w:t>
      </w:r>
      <w:r>
        <w:rPr/>
        <w:t>Fernández,</w:t>
      </w:r>
      <w:r>
        <w:rPr>
          <w:spacing w:val="-19"/>
        </w:rPr>
        <w:t> </w:t>
      </w:r>
      <w:r>
        <w:rPr/>
        <w:t>2005:</w:t>
      </w:r>
      <w:r>
        <w:rPr>
          <w:spacing w:val="-18"/>
        </w:rPr>
        <w:t> </w:t>
      </w:r>
      <w:r>
        <w:rPr>
          <w:i/>
        </w:rPr>
        <w:t>Gobernar</w:t>
      </w:r>
      <w:r>
        <w:rPr>
          <w:i/>
          <w:spacing w:val="-19"/>
        </w:rPr>
        <w:t> </w:t>
      </w:r>
      <w:r>
        <w:rPr>
          <w:i/>
        </w:rPr>
        <w:t>las </w:t>
      </w:r>
      <w:r>
        <w:rPr>
          <w:i/>
        </w:rPr>
        <w:t>metrópolis, </w:t>
      </w:r>
      <w:r>
        <w:rPr/>
        <w:t>Washintong, D.C.: BID- Universidad Alcalá de Henares, [Disponible en </w:t>
      </w:r>
      <w:r>
        <w:rPr>
          <w:spacing w:val="2"/>
        </w:rPr>
        <w:t> </w:t>
      </w:r>
      <w:hyperlink r:id="rId49">
        <w:r>
          <w:rPr>
            <w:color w:val="0077CA"/>
            <w:u w:val="single" w:color="0077CA"/>
          </w:rPr>
          <w:t>www.iadb.org/pub</w:t>
        </w:r>
      </w:hyperlink>
      <w:r>
        <w:rPr/>
        <w:t>]</w:t>
      </w:r>
    </w:p>
    <w:p>
      <w:pPr>
        <w:spacing w:line="480" w:lineRule="exact" w:before="44"/>
        <w:ind w:left="130" w:right="-18" w:firstLine="0"/>
        <w:jc w:val="left"/>
        <w:rPr>
          <w:sz w:val="20"/>
        </w:rPr>
      </w:pPr>
      <w:r>
        <w:rPr>
          <w:sz w:val="20"/>
        </w:rPr>
        <w:t>Lezama, J., 2002: </w:t>
      </w:r>
      <w:r>
        <w:rPr>
          <w:i/>
          <w:sz w:val="20"/>
        </w:rPr>
        <w:t>Teoría social, espacio y ciudad</w:t>
      </w:r>
      <w:r>
        <w:rPr>
          <w:sz w:val="20"/>
        </w:rPr>
        <w:t>, México: El Colegio de México. Lezama, J., (2005). </w:t>
      </w:r>
      <w:r>
        <w:rPr>
          <w:i/>
          <w:sz w:val="20"/>
        </w:rPr>
        <w:t>La teoría del espacio y ciudad. México, </w:t>
      </w:r>
      <w:r>
        <w:rPr>
          <w:sz w:val="20"/>
        </w:rPr>
        <w:t>D.F.: El Colegio de</w:t>
      </w:r>
      <w:r>
        <w:rPr>
          <w:spacing w:val="-11"/>
          <w:sz w:val="20"/>
        </w:rPr>
        <w:t> </w:t>
      </w:r>
      <w:r>
        <w:rPr>
          <w:sz w:val="20"/>
        </w:rPr>
        <w:t>México. Llanos, J., 2004: “Reflexiones sobre la ciudad del capitalismo tardío”. Diseño Urbano</w:t>
      </w:r>
      <w:r>
        <w:rPr>
          <w:spacing w:val="50"/>
          <w:sz w:val="20"/>
        </w:rPr>
        <w:t> </w:t>
      </w:r>
      <w:r>
        <w:rPr>
          <w:sz w:val="20"/>
        </w:rPr>
        <w:t>y</w:t>
      </w:r>
    </w:p>
    <w:p>
      <w:pPr>
        <w:pStyle w:val="BodyText"/>
        <w:spacing w:line="186" w:lineRule="exact"/>
        <w:ind w:left="754" w:right="-7"/>
      </w:pPr>
      <w:r>
        <w:rPr/>
        <w:t>Paisaje Volumen I N°2. Julio, Pp. 1 – 56.</w:t>
      </w:r>
    </w:p>
    <w:p>
      <w:pPr>
        <w:pStyle w:val="BodyText"/>
        <w:spacing w:before="8"/>
        <w:rPr>
          <w:sz w:val="21"/>
        </w:rPr>
      </w:pPr>
    </w:p>
    <w:p>
      <w:pPr>
        <w:pStyle w:val="BodyText"/>
        <w:spacing w:line="249" w:lineRule="auto"/>
        <w:ind w:left="754" w:hanging="624"/>
        <w:jc w:val="both"/>
      </w:pPr>
      <w:r>
        <w:rPr/>
        <w:t>Montejano, J., 2010: Metropolización del territorio y Regiones Urbanas intermedias. El caso del ámbito central del Camp de Tarragona 1977/2008, Barcelona: Tesis doctoral, por la Universitat Politécnica de</w:t>
      </w:r>
      <w:r>
        <w:rPr>
          <w:spacing w:val="53"/>
        </w:rPr>
        <w:t> </w:t>
      </w:r>
      <w:r>
        <w:rPr/>
        <w:t>Catalunya.</w:t>
      </w:r>
    </w:p>
    <w:p>
      <w:pPr>
        <w:pStyle w:val="BodyText"/>
        <w:spacing w:before="11"/>
      </w:pPr>
    </w:p>
    <w:p>
      <w:pPr>
        <w:spacing w:line="249" w:lineRule="auto" w:before="0"/>
        <w:ind w:left="754" w:right="0" w:hanging="624"/>
        <w:jc w:val="both"/>
        <w:rPr>
          <w:sz w:val="20"/>
        </w:rPr>
      </w:pPr>
      <w:r>
        <w:rPr>
          <w:sz w:val="20"/>
        </w:rPr>
        <w:t>Pacione, M., 2005: </w:t>
      </w:r>
      <w:r>
        <w:rPr>
          <w:i/>
          <w:sz w:val="20"/>
        </w:rPr>
        <w:t>Urban Geography. A Global Perspective</w:t>
      </w:r>
      <w:r>
        <w:rPr>
          <w:sz w:val="20"/>
        </w:rPr>
        <w:t>, New York: Routledge, (Segunda edición).</w:t>
      </w:r>
    </w:p>
    <w:p>
      <w:pPr>
        <w:spacing w:line="249" w:lineRule="auto" w:before="76"/>
        <w:ind w:left="753" w:right="127" w:hanging="624"/>
        <w:jc w:val="both"/>
        <w:rPr>
          <w:sz w:val="20"/>
        </w:rPr>
      </w:pPr>
      <w:r>
        <w:rPr/>
        <w:br w:type="column"/>
      </w:r>
      <w:r>
        <w:rPr>
          <w:sz w:val="20"/>
        </w:rPr>
        <w:t>Ramírez,</w:t>
      </w:r>
      <w:r>
        <w:rPr>
          <w:spacing w:val="-15"/>
          <w:sz w:val="20"/>
        </w:rPr>
        <w:t> </w:t>
      </w:r>
      <w:r>
        <w:rPr>
          <w:sz w:val="20"/>
        </w:rPr>
        <w:t>F.,</w:t>
      </w:r>
      <w:r>
        <w:rPr>
          <w:spacing w:val="-15"/>
          <w:sz w:val="20"/>
        </w:rPr>
        <w:t> </w:t>
      </w:r>
      <w:r>
        <w:rPr>
          <w:sz w:val="20"/>
        </w:rPr>
        <w:t>(2003).</w:t>
      </w:r>
      <w:r>
        <w:rPr>
          <w:spacing w:val="-15"/>
          <w:sz w:val="20"/>
        </w:rPr>
        <w:t> </w:t>
      </w:r>
      <w:r>
        <w:rPr>
          <w:i/>
          <w:sz w:val="20"/>
        </w:rPr>
        <w:t>“Valoración</w:t>
      </w:r>
      <w:r>
        <w:rPr>
          <w:i/>
          <w:spacing w:val="-15"/>
          <w:sz w:val="20"/>
        </w:rPr>
        <w:t> </w:t>
      </w:r>
      <w:r>
        <w:rPr>
          <w:i/>
          <w:sz w:val="20"/>
        </w:rPr>
        <w:t>de</w:t>
      </w:r>
      <w:r>
        <w:rPr>
          <w:i/>
          <w:spacing w:val="-15"/>
          <w:sz w:val="20"/>
        </w:rPr>
        <w:t> </w:t>
      </w:r>
      <w:r>
        <w:rPr>
          <w:i/>
          <w:sz w:val="20"/>
        </w:rPr>
        <w:t>la</w:t>
      </w:r>
      <w:r>
        <w:rPr>
          <w:i/>
          <w:spacing w:val="-15"/>
          <w:sz w:val="20"/>
        </w:rPr>
        <w:t> </w:t>
      </w:r>
      <w:r>
        <w:rPr>
          <w:i/>
          <w:sz w:val="20"/>
        </w:rPr>
        <w:t>congruencia</w:t>
      </w:r>
      <w:r>
        <w:rPr>
          <w:i/>
          <w:spacing w:val="-15"/>
          <w:sz w:val="20"/>
        </w:rPr>
        <w:t> </w:t>
      </w:r>
      <w:r>
        <w:rPr>
          <w:i/>
          <w:sz w:val="20"/>
        </w:rPr>
        <w:t>espacial</w:t>
      </w:r>
      <w:r>
        <w:rPr>
          <w:i/>
          <w:spacing w:val="-15"/>
          <w:sz w:val="20"/>
        </w:rPr>
        <w:t> </w:t>
      </w:r>
      <w:r>
        <w:rPr>
          <w:i/>
          <w:sz w:val="20"/>
        </w:rPr>
        <w:t>entre</w:t>
      </w:r>
      <w:r>
        <w:rPr>
          <w:i/>
          <w:spacing w:val="-15"/>
          <w:sz w:val="20"/>
        </w:rPr>
        <w:t> </w:t>
      </w:r>
      <w:r>
        <w:rPr>
          <w:i/>
          <w:sz w:val="20"/>
        </w:rPr>
        <w:t>la</w:t>
      </w:r>
      <w:r>
        <w:rPr>
          <w:i/>
          <w:spacing w:val="-15"/>
          <w:sz w:val="20"/>
        </w:rPr>
        <w:t> </w:t>
      </w:r>
      <w:r>
        <w:rPr>
          <w:i/>
          <w:sz w:val="20"/>
        </w:rPr>
        <w:t>actividad</w:t>
      </w:r>
      <w:r>
        <w:rPr>
          <w:i/>
          <w:spacing w:val="-15"/>
          <w:sz w:val="20"/>
        </w:rPr>
        <w:t> </w:t>
      </w:r>
      <w:r>
        <w:rPr>
          <w:i/>
          <w:sz w:val="20"/>
        </w:rPr>
        <w:t>residencial </w:t>
      </w:r>
      <w:r>
        <w:rPr>
          <w:i/>
          <w:sz w:val="20"/>
        </w:rPr>
        <w:t>y</w:t>
      </w:r>
      <w:r>
        <w:rPr>
          <w:i/>
          <w:spacing w:val="-7"/>
          <w:sz w:val="20"/>
        </w:rPr>
        <w:t> </w:t>
      </w:r>
      <w:r>
        <w:rPr>
          <w:i/>
          <w:sz w:val="20"/>
        </w:rPr>
        <w:t>terciaria</w:t>
      </w:r>
      <w:r>
        <w:rPr>
          <w:i/>
          <w:spacing w:val="-7"/>
          <w:sz w:val="20"/>
        </w:rPr>
        <w:t> </w:t>
      </w:r>
      <w:r>
        <w:rPr>
          <w:i/>
          <w:sz w:val="20"/>
        </w:rPr>
        <w:t>en</w:t>
      </w:r>
      <w:r>
        <w:rPr>
          <w:i/>
          <w:spacing w:val="-7"/>
          <w:sz w:val="20"/>
        </w:rPr>
        <w:t> </w:t>
      </w:r>
      <w:r>
        <w:rPr>
          <w:i/>
          <w:sz w:val="20"/>
        </w:rPr>
        <w:t>el</w:t>
      </w:r>
      <w:r>
        <w:rPr>
          <w:i/>
          <w:spacing w:val="-7"/>
          <w:sz w:val="20"/>
        </w:rPr>
        <w:t> </w:t>
      </w:r>
      <w:r>
        <w:rPr>
          <w:i/>
          <w:sz w:val="20"/>
        </w:rPr>
        <w:t>centro</w:t>
      </w:r>
      <w:r>
        <w:rPr>
          <w:i/>
          <w:spacing w:val="-7"/>
          <w:sz w:val="20"/>
        </w:rPr>
        <w:t> </w:t>
      </w:r>
      <w:r>
        <w:rPr>
          <w:i/>
          <w:sz w:val="20"/>
        </w:rPr>
        <w:t>urbano</w:t>
      </w:r>
      <w:r>
        <w:rPr>
          <w:i/>
          <w:spacing w:val="-7"/>
          <w:sz w:val="20"/>
        </w:rPr>
        <w:t> </w:t>
      </w:r>
      <w:r>
        <w:rPr>
          <w:i/>
          <w:sz w:val="20"/>
        </w:rPr>
        <w:t>de</w:t>
      </w:r>
      <w:r>
        <w:rPr>
          <w:i/>
          <w:spacing w:val="-7"/>
          <w:sz w:val="20"/>
        </w:rPr>
        <w:t> </w:t>
      </w:r>
      <w:r>
        <w:rPr>
          <w:i/>
          <w:sz w:val="20"/>
        </w:rPr>
        <w:t>Barcelona”,</w:t>
      </w:r>
      <w:r>
        <w:rPr>
          <w:i/>
          <w:spacing w:val="-7"/>
          <w:sz w:val="20"/>
        </w:rPr>
        <w:t> </w:t>
      </w:r>
      <w:r>
        <w:rPr>
          <w:sz w:val="20"/>
        </w:rPr>
        <w:t>Barcelona,</w:t>
      </w:r>
      <w:r>
        <w:rPr>
          <w:spacing w:val="-7"/>
          <w:sz w:val="20"/>
        </w:rPr>
        <w:t> </w:t>
      </w:r>
      <w:r>
        <w:rPr>
          <w:sz w:val="20"/>
        </w:rPr>
        <w:t>España,</w:t>
      </w:r>
      <w:r>
        <w:rPr>
          <w:spacing w:val="-7"/>
          <w:sz w:val="20"/>
        </w:rPr>
        <w:t> </w:t>
      </w:r>
      <w:r>
        <w:rPr>
          <w:sz w:val="20"/>
        </w:rPr>
        <w:t>Tesis</w:t>
      </w:r>
      <w:r>
        <w:rPr>
          <w:spacing w:val="-7"/>
          <w:sz w:val="20"/>
        </w:rPr>
        <w:t> </w:t>
      </w:r>
      <w:r>
        <w:rPr>
          <w:sz w:val="20"/>
        </w:rPr>
        <w:t>doctoral, Universidad  Politécnica de</w:t>
      </w:r>
      <w:r>
        <w:rPr>
          <w:spacing w:val="20"/>
          <w:sz w:val="20"/>
        </w:rPr>
        <w:t> </w:t>
      </w:r>
      <w:r>
        <w:rPr>
          <w:sz w:val="20"/>
        </w:rPr>
        <w:t>Catalunya.</w:t>
      </w:r>
    </w:p>
    <w:p>
      <w:pPr>
        <w:pStyle w:val="BodyText"/>
        <w:spacing w:before="11"/>
      </w:pPr>
    </w:p>
    <w:p>
      <w:pPr>
        <w:spacing w:line="249" w:lineRule="auto" w:before="0"/>
        <w:ind w:left="753" w:right="128" w:hanging="624"/>
        <w:jc w:val="both"/>
        <w:rPr>
          <w:sz w:val="20"/>
        </w:rPr>
      </w:pPr>
      <w:r>
        <w:rPr>
          <w:sz w:val="20"/>
        </w:rPr>
        <w:t>Rodríguez, A. y Oviedo, E., 2001: “Gestión urbana y gobierno de áreas</w:t>
      </w:r>
      <w:r>
        <w:rPr>
          <w:spacing w:val="-29"/>
          <w:sz w:val="20"/>
        </w:rPr>
        <w:t> </w:t>
      </w:r>
      <w:r>
        <w:rPr>
          <w:sz w:val="20"/>
        </w:rPr>
        <w:t>metropolitanas” </w:t>
      </w:r>
      <w:r>
        <w:rPr>
          <w:i/>
          <w:sz w:val="20"/>
        </w:rPr>
        <w:t>en Medio ambiente y desarrollo CEPAL </w:t>
      </w:r>
      <w:r>
        <w:rPr>
          <w:sz w:val="20"/>
        </w:rPr>
        <w:t>2001-34, Santiago de Chile: Naciones Unidas.</w:t>
      </w:r>
    </w:p>
    <w:p>
      <w:pPr>
        <w:pStyle w:val="BodyText"/>
        <w:spacing w:before="11"/>
      </w:pPr>
    </w:p>
    <w:p>
      <w:pPr>
        <w:pStyle w:val="BodyText"/>
        <w:spacing w:line="249" w:lineRule="auto"/>
        <w:ind w:left="753" w:right="127" w:hanging="624"/>
        <w:jc w:val="both"/>
      </w:pPr>
      <w:r>
        <w:rPr/>
        <w:t>Sobrino, J., 2003: “Zona Metropolitanas de México en 2000: Conformación territorial y movilidad de la población ocupada” </w:t>
      </w:r>
      <w:r>
        <w:rPr>
          <w:i/>
        </w:rPr>
        <w:t>en Estudios Demográficos y Urbanos </w:t>
      </w:r>
      <w:r>
        <w:rPr/>
        <w:t>2003- 54, Distrito Federal, México: El Colegio de México, A. C.</w:t>
      </w:r>
    </w:p>
    <w:p>
      <w:pPr>
        <w:pStyle w:val="BodyText"/>
        <w:spacing w:before="11"/>
      </w:pPr>
    </w:p>
    <w:p>
      <w:pPr>
        <w:pStyle w:val="BodyText"/>
        <w:spacing w:line="249" w:lineRule="auto"/>
        <w:ind w:left="754" w:right="127" w:hanging="624"/>
        <w:jc w:val="both"/>
      </w:pPr>
      <w:r>
        <w:rPr/>
        <w:t>Sola-Morales, M., 1971: Notas sobre la marginalidad urbanística. En: Cuadernos de Arquitectura y Urbanismo N2 86, COAC. Barcelona.</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10"/>
        <w:rPr>
          <w:sz w:val="11"/>
        </w:rPr>
      </w:pPr>
      <w:r>
        <w:rPr/>
        <w:pict>
          <v:group style="position:absolute;margin-left:696.401978pt;margin-top:576pt;width:18.850pt;height:61.8pt;mso-position-horizontal-relative:page;mso-position-vertical-relative:page;z-index:1720" coordorigin="13928,11520" coordsize="377,1236">
            <v:rect style="position:absolute;left:13928;top:11520;width:377;height:1236" filled="true" fillcolor="#c7c8ca" stroked="false">
              <v:fill type="solid"/>
            </v:rect>
            <v:shape style="position:absolute;left:13928;top:11520;width:377;height:1236" type="#_x0000_t202" filled="false" stroked="false">
              <v:textbox inset="0,0,0,0">
                <w:txbxContent>
                  <w:p>
                    <w:pPr>
                      <w:spacing w:line="240" w:lineRule="auto" w:before="8"/>
                      <w:rPr>
                        <w:sz w:val="13"/>
                      </w:rPr>
                    </w:pPr>
                  </w:p>
                  <w:p>
                    <w:pPr>
                      <w:spacing w:before="1"/>
                      <w:ind w:left="98" w:right="0" w:firstLine="0"/>
                      <w:jc w:val="left"/>
                      <w:rPr>
                        <w:sz w:val="16"/>
                      </w:rPr>
                    </w:pPr>
                    <w:r>
                      <w:rPr>
                        <w:sz w:val="16"/>
                      </w:rPr>
                      <w:t>55</w:t>
                    </w:r>
                  </w:p>
                </w:txbxContent>
              </v:textbox>
              <w10:wrap type="none"/>
            </v:shape>
            <w10:wrap type="none"/>
          </v:group>
        </w:pict>
      </w: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417" w:lineRule="auto" w:before="71"/>
        <w:ind w:left="8910" w:right="156" w:hanging="1116"/>
      </w:pPr>
      <w:r>
        <w:rPr/>
        <w:t>¿La planeación estratégica una alternativa de gobernanza para enfrentar la expansión urbana del territorio?</w:t>
      </w:r>
    </w:p>
    <w:p>
      <w:pPr>
        <w:spacing w:line="312" w:lineRule="auto" w:before="80"/>
        <w:ind w:left="12911" w:right="128" w:firstLine="263"/>
        <w:jc w:val="right"/>
        <w:rPr>
          <w:sz w:val="16"/>
        </w:rPr>
      </w:pPr>
      <w:r>
        <w:rPr>
          <w:sz w:val="16"/>
        </w:rPr>
        <w:t>Elsa Mireya Rosales Estrada</w:t>
      </w:r>
      <w:r>
        <w:rPr>
          <w:w w:val="99"/>
          <w:sz w:val="16"/>
        </w:rPr>
        <w:t> </w:t>
      </w:r>
      <w:r>
        <w:rPr>
          <w:sz w:val="16"/>
        </w:rPr>
        <w:t>Marcela Virginia Santana Juárez</w:t>
      </w:r>
      <w:r>
        <w:rPr>
          <w:w w:val="98"/>
          <w:sz w:val="16"/>
        </w:rPr>
        <w:t> </w:t>
      </w:r>
      <w:r>
        <w:rPr>
          <w:sz w:val="16"/>
        </w:rPr>
        <w:t>Giovanna Santana Castañeda</w:t>
      </w:r>
      <w:r>
        <w:rPr>
          <w:w w:val="99"/>
          <w:sz w:val="16"/>
        </w:rPr>
        <w:t> </w:t>
      </w:r>
      <w:r>
        <w:rPr>
          <w:sz w:val="16"/>
        </w:rPr>
        <w:t>Facultad de Geografía.</w:t>
      </w:r>
    </w:p>
    <w:p>
      <w:pPr>
        <w:spacing w:before="2"/>
        <w:ind w:left="0" w:right="128" w:firstLine="0"/>
        <w:jc w:val="right"/>
        <w:rPr>
          <w:sz w:val="16"/>
        </w:rPr>
      </w:pPr>
      <w:r>
        <w:rPr>
          <w:sz w:val="16"/>
        </w:rPr>
        <w:t>Universidad Autónoma del Estado de México.</w:t>
      </w:r>
    </w:p>
    <w:p>
      <w:pPr>
        <w:spacing w:before="56"/>
        <w:ind w:left="0" w:right="128" w:firstLine="0"/>
        <w:jc w:val="right"/>
        <w:rPr>
          <w:sz w:val="16"/>
        </w:rPr>
      </w:pPr>
      <w:hyperlink r:id="rId52">
        <w:r>
          <w:rPr>
            <w:w w:val="95"/>
            <w:sz w:val="16"/>
          </w:rPr>
          <w:t>emre2000@hotmail.com</w:t>
        </w:r>
      </w:hyperlink>
    </w:p>
    <w:p>
      <w:pPr>
        <w:pStyle w:val="BodyText"/>
        <w:spacing w:before="2"/>
        <w:rPr>
          <w:sz w:val="19"/>
        </w:rPr>
      </w:pPr>
    </w:p>
    <w:p>
      <w:pPr>
        <w:pStyle w:val="Heading1"/>
        <w:ind w:left="1967" w:right="474"/>
        <w:jc w:val="center"/>
      </w:pPr>
      <w:r>
        <w:rPr/>
        <w:t>Introducción</w:t>
      </w:r>
    </w:p>
    <w:p>
      <w:pPr>
        <w:pStyle w:val="BodyText"/>
        <w:rPr>
          <w:b/>
          <w:sz w:val="21"/>
        </w:rPr>
      </w:pPr>
    </w:p>
    <w:p>
      <w:pPr>
        <w:pStyle w:val="BodyText"/>
        <w:spacing w:line="249" w:lineRule="auto"/>
        <w:ind w:left="7541" w:right="127" w:firstLine="170"/>
        <w:jc w:val="both"/>
      </w:pPr>
      <w:r>
        <w:rPr/>
        <w:t>En este capítulo se aborda un análisis teórico reflexivo de la importancia de la planeación estratégica aplicada  principalmente  al  territorio  que  permita  reconducir la evolución dentro un lugar determinado hacia un modelo deseable de territorio, consensuado con los habitantes y con el gobierno; con el propósito como dice Gómez Orea (2001) “evitar los efectos negativos en esa evolución sin dirección del territorio”. Al mismo tiempo se aborda el concepto de “gobernanza”, término fundamental hoy    en día que va centrada en la forma en que administran y dirigen las autoridades en  sus diferentes ámbitos de gobierno, binomio importante dentro de la ordenación del territorio.</w:t>
      </w:r>
    </w:p>
    <w:p>
      <w:pPr>
        <w:pStyle w:val="BodyText"/>
        <w:spacing w:before="11"/>
      </w:pPr>
    </w:p>
    <w:p>
      <w:pPr>
        <w:pStyle w:val="BodyText"/>
        <w:spacing w:line="249" w:lineRule="auto"/>
        <w:ind w:left="7541" w:right="127" w:firstLine="170"/>
        <w:jc w:val="both"/>
      </w:pPr>
      <w:r>
        <w:rPr/>
        <w:t>Se</w:t>
      </w:r>
      <w:r>
        <w:rPr>
          <w:spacing w:val="-10"/>
        </w:rPr>
        <w:t> </w:t>
      </w:r>
      <w:r>
        <w:rPr/>
        <w:t>analiza</w:t>
      </w:r>
      <w:r>
        <w:rPr>
          <w:spacing w:val="-10"/>
        </w:rPr>
        <w:t> </w:t>
      </w:r>
      <w:r>
        <w:rPr/>
        <w:t>así</w:t>
      </w:r>
      <w:r>
        <w:rPr>
          <w:spacing w:val="-10"/>
        </w:rPr>
        <w:t> </w:t>
      </w:r>
      <w:r>
        <w:rPr/>
        <w:t>mismo,</w:t>
      </w:r>
      <w:r>
        <w:rPr>
          <w:spacing w:val="-10"/>
        </w:rPr>
        <w:t> </w:t>
      </w:r>
      <w:r>
        <w:rPr/>
        <w:t>el</w:t>
      </w:r>
      <w:r>
        <w:rPr>
          <w:spacing w:val="-10"/>
        </w:rPr>
        <w:t> </w:t>
      </w:r>
      <w:r>
        <w:rPr/>
        <w:t>caso</w:t>
      </w:r>
      <w:r>
        <w:rPr>
          <w:spacing w:val="-10"/>
        </w:rPr>
        <w:t> </w:t>
      </w:r>
      <w:r>
        <w:rPr/>
        <w:t>de</w:t>
      </w:r>
      <w:r>
        <w:rPr>
          <w:spacing w:val="-10"/>
        </w:rPr>
        <w:t> </w:t>
      </w:r>
      <w:r>
        <w:rPr/>
        <w:t>la</w:t>
      </w:r>
      <w:r>
        <w:rPr>
          <w:spacing w:val="-10"/>
        </w:rPr>
        <w:t> </w:t>
      </w:r>
      <w:r>
        <w:rPr/>
        <w:t>Red</w:t>
      </w:r>
      <w:r>
        <w:rPr>
          <w:spacing w:val="-10"/>
        </w:rPr>
        <w:t> </w:t>
      </w:r>
      <w:r>
        <w:rPr/>
        <w:t>México</w:t>
      </w:r>
      <w:r>
        <w:rPr>
          <w:spacing w:val="-10"/>
        </w:rPr>
        <w:t> </w:t>
      </w:r>
      <w:r>
        <w:rPr/>
        <w:t>de</w:t>
      </w:r>
      <w:r>
        <w:rPr>
          <w:spacing w:val="-10"/>
        </w:rPr>
        <w:t> </w:t>
      </w:r>
      <w:r>
        <w:rPr/>
        <w:t>ciudades</w:t>
      </w:r>
      <w:r>
        <w:rPr>
          <w:spacing w:val="-10"/>
        </w:rPr>
        <w:t> </w:t>
      </w:r>
      <w:r>
        <w:rPr/>
        <w:t>que</w:t>
      </w:r>
      <w:r>
        <w:rPr>
          <w:spacing w:val="-10"/>
        </w:rPr>
        <w:t> </w:t>
      </w:r>
      <w:r>
        <w:rPr/>
        <w:t>han</w:t>
      </w:r>
      <w:r>
        <w:rPr>
          <w:spacing w:val="-10"/>
        </w:rPr>
        <w:t> </w:t>
      </w:r>
      <w:r>
        <w:rPr/>
        <w:t>considerado</w:t>
      </w:r>
      <w:r>
        <w:rPr>
          <w:spacing w:val="-10"/>
        </w:rPr>
        <w:t> </w:t>
      </w:r>
      <w:r>
        <w:rPr/>
        <w:t>a</w:t>
      </w:r>
      <w:r>
        <w:rPr>
          <w:spacing w:val="-10"/>
        </w:rPr>
        <w:t> </w:t>
      </w:r>
      <w:r>
        <w:rPr/>
        <w:t>la planeación estratégica como una herramienta bajo modelos estructurados, por lo que es importante mencionar los antecedentes de ésta, que surge en un principio dentro del sector privado, con la finalidad de atender las necesidades de las organizaciones referente al cumplimiento de su visión, posteriormente se retoma la importancia de la planeación estratégica en el sector</w:t>
      </w:r>
      <w:r>
        <w:rPr>
          <w:spacing w:val="49"/>
        </w:rPr>
        <w:t> </w:t>
      </w:r>
      <w:r>
        <w:rPr/>
        <w:t>público.</w:t>
      </w:r>
    </w:p>
    <w:p>
      <w:pPr>
        <w:pStyle w:val="BodyText"/>
      </w:pPr>
    </w:p>
    <w:p>
      <w:pPr>
        <w:pStyle w:val="BodyText"/>
        <w:spacing w:before="1"/>
        <w:rPr>
          <w:sz w:val="13"/>
        </w:rPr>
      </w:pPr>
      <w:r>
        <w:rPr/>
        <w:pict>
          <v:line style="position:absolute;mso-position-horizontal-relative:page;mso-position-vertical-relative:paragraph;z-index:1672;mso-wrap-distance-left:0;mso-wrap-distance-right:0" from="513.070923pt,9.732662pt" to="898.582923pt,9.732662pt" stroked="true" strokeweight=".5pt" strokecolor="#6d6e71">
            <w10:wrap type="topAndBottom"/>
          </v:line>
        </w:pict>
      </w:r>
    </w:p>
    <w:p>
      <w:pPr>
        <w:spacing w:line="357" w:lineRule="auto" w:before="78"/>
        <w:ind w:left="7596" w:right="127" w:hanging="57"/>
        <w:jc w:val="both"/>
        <w:rPr>
          <w:sz w:val="14"/>
        </w:rPr>
      </w:pPr>
      <w:r>
        <w:rPr>
          <w:color w:val="6D6E71"/>
          <w:position w:val="5"/>
          <w:sz w:val="8"/>
        </w:rPr>
        <w:t>3. </w:t>
      </w:r>
      <w:r>
        <w:rPr>
          <w:color w:val="6D6E71"/>
          <w:sz w:val="14"/>
        </w:rPr>
        <w:t>Expresión de Peter Drucker en 1998 Recibió la Medalla Presidencial de la Libertad, uno de los máximos galardones civiles en los Estados Unidos, en 2002. Fue el presidente honorario de la fundación sin fines de lucro Peter </w:t>
      </w:r>
      <w:r>
        <w:rPr>
          <w:color w:val="6D6E71"/>
          <w:spacing w:val="-8"/>
          <w:sz w:val="14"/>
        </w:rPr>
        <w:t>F. </w:t>
      </w:r>
      <w:r>
        <w:rPr>
          <w:color w:val="6D6E71"/>
          <w:sz w:val="14"/>
        </w:rPr>
        <w:t>Drucker para el Management,</w:t>
      </w:r>
      <w:r>
        <w:rPr>
          <w:color w:val="6D6E71"/>
          <w:spacing w:val="-5"/>
          <w:sz w:val="14"/>
        </w:rPr>
        <w:t> </w:t>
      </w:r>
      <w:r>
        <w:rPr>
          <w:color w:val="6D6E71"/>
          <w:sz w:val="14"/>
        </w:rPr>
        <w:t>conocida</w:t>
      </w:r>
      <w:r>
        <w:rPr>
          <w:color w:val="6D6E71"/>
          <w:spacing w:val="-5"/>
          <w:sz w:val="14"/>
        </w:rPr>
        <w:t> </w:t>
      </w:r>
      <w:r>
        <w:rPr>
          <w:color w:val="6D6E71"/>
          <w:sz w:val="14"/>
        </w:rPr>
        <w:t>actualmente</w:t>
      </w:r>
      <w:r>
        <w:rPr>
          <w:color w:val="6D6E71"/>
          <w:spacing w:val="-4"/>
          <w:sz w:val="14"/>
        </w:rPr>
        <w:t> </w:t>
      </w:r>
      <w:r>
        <w:rPr>
          <w:color w:val="6D6E71"/>
          <w:sz w:val="14"/>
        </w:rPr>
        <w:t>como</w:t>
      </w:r>
      <w:r>
        <w:rPr>
          <w:color w:val="6D6E71"/>
          <w:spacing w:val="-5"/>
          <w:sz w:val="14"/>
        </w:rPr>
        <w:t> </w:t>
      </w:r>
      <w:r>
        <w:rPr>
          <w:color w:val="6D6E71"/>
          <w:sz w:val="14"/>
        </w:rPr>
        <w:t>el</w:t>
      </w:r>
      <w:r>
        <w:rPr>
          <w:color w:val="6D6E71"/>
          <w:spacing w:val="-5"/>
          <w:sz w:val="14"/>
        </w:rPr>
        <w:t> </w:t>
      </w:r>
      <w:r>
        <w:rPr>
          <w:color w:val="6D6E71"/>
          <w:sz w:val="14"/>
        </w:rPr>
        <w:t>Leader</w:t>
      </w:r>
      <w:r>
        <w:rPr>
          <w:color w:val="6D6E71"/>
          <w:spacing w:val="-4"/>
          <w:sz w:val="14"/>
        </w:rPr>
        <w:t> </w:t>
      </w:r>
      <w:r>
        <w:rPr>
          <w:color w:val="6D6E71"/>
          <w:sz w:val="14"/>
        </w:rPr>
        <w:t>to</w:t>
      </w:r>
      <w:r>
        <w:rPr>
          <w:color w:val="6D6E71"/>
          <w:spacing w:val="-5"/>
          <w:sz w:val="14"/>
        </w:rPr>
        <w:t> </w:t>
      </w:r>
      <w:r>
        <w:rPr>
          <w:color w:val="6D6E71"/>
          <w:sz w:val="14"/>
        </w:rPr>
        <w:t>Leader</w:t>
      </w:r>
      <w:r>
        <w:rPr>
          <w:color w:val="6D6E71"/>
          <w:spacing w:val="-4"/>
          <w:sz w:val="14"/>
        </w:rPr>
        <w:t> </w:t>
      </w:r>
      <w:r>
        <w:rPr>
          <w:color w:val="6D6E71"/>
          <w:sz w:val="14"/>
        </w:rPr>
        <w:t>Institute</w:t>
      </w:r>
      <w:r>
        <w:rPr>
          <w:color w:val="6D6E71"/>
          <w:spacing w:val="-5"/>
          <w:sz w:val="14"/>
        </w:rPr>
        <w:t> </w:t>
      </w:r>
      <w:r>
        <w:rPr>
          <w:color w:val="6D6E71"/>
          <w:sz w:val="14"/>
        </w:rPr>
        <w:t>desde</w:t>
      </w:r>
      <w:r>
        <w:rPr>
          <w:color w:val="6D6E71"/>
          <w:spacing w:val="-4"/>
          <w:sz w:val="14"/>
        </w:rPr>
        <w:t> </w:t>
      </w:r>
      <w:r>
        <w:rPr>
          <w:color w:val="6D6E71"/>
          <w:sz w:val="14"/>
        </w:rPr>
        <w:t>1990</w:t>
      </w:r>
      <w:r>
        <w:rPr>
          <w:color w:val="6D6E71"/>
          <w:spacing w:val="-5"/>
          <w:sz w:val="14"/>
        </w:rPr>
        <w:t> </w:t>
      </w:r>
      <w:r>
        <w:rPr>
          <w:color w:val="6D6E71"/>
          <w:sz w:val="14"/>
        </w:rPr>
        <w:t>hasta</w:t>
      </w:r>
      <w:r>
        <w:rPr>
          <w:color w:val="6D6E71"/>
          <w:spacing w:val="-4"/>
          <w:sz w:val="14"/>
        </w:rPr>
        <w:t> </w:t>
      </w:r>
      <w:r>
        <w:rPr>
          <w:color w:val="6D6E71"/>
          <w:sz w:val="14"/>
        </w:rPr>
        <w:t>su</w:t>
      </w:r>
      <w:r>
        <w:rPr>
          <w:color w:val="6D6E71"/>
          <w:spacing w:val="-5"/>
          <w:sz w:val="14"/>
        </w:rPr>
        <w:t> </w:t>
      </w:r>
      <w:r>
        <w:rPr>
          <w:color w:val="6D6E71"/>
          <w:sz w:val="14"/>
        </w:rPr>
        <w:t>muerte.</w:t>
      </w:r>
      <w:r>
        <w:rPr>
          <w:color w:val="6D6E71"/>
          <w:spacing w:val="-5"/>
          <w:sz w:val="14"/>
        </w:rPr>
        <w:t> </w:t>
      </w:r>
      <w:r>
        <w:rPr>
          <w:color w:val="6D6E71"/>
          <w:sz w:val="14"/>
        </w:rPr>
        <w:t>Fue</w:t>
      </w:r>
      <w:r>
        <w:rPr>
          <w:color w:val="6D6E71"/>
          <w:spacing w:val="-5"/>
          <w:sz w:val="14"/>
        </w:rPr>
        <w:t> </w:t>
      </w:r>
      <w:r>
        <w:rPr>
          <w:color w:val="6D6E71"/>
          <w:sz w:val="14"/>
        </w:rPr>
        <w:t>nombrado</w:t>
      </w:r>
      <w:r>
        <w:rPr>
          <w:color w:val="6D6E71"/>
          <w:spacing w:val="-4"/>
          <w:sz w:val="14"/>
        </w:rPr>
        <w:t> </w:t>
      </w:r>
      <w:r>
        <w:rPr>
          <w:color w:val="6D6E71"/>
          <w:sz w:val="14"/>
        </w:rPr>
        <w:t>Doctor Honoris Causa en muy diversas universidades de EEUU, Bélgica, Japón, España, Suiza y Reino Unido. Curiosamente siempre se menciona a Drucker como investigador y autor sobre el tema del liderazgo, pero de alguna manera también se lo podría considerar como uno de los líderes más influyentes del siglo XX, ya que definió cierta cosmovisión de todos los administradores de empresas, administradores públicos, administradores de organizaciones sin ánimo de lucro y de todos los</w:t>
      </w:r>
      <w:r>
        <w:rPr>
          <w:color w:val="6D6E71"/>
          <w:spacing w:val="-9"/>
          <w:sz w:val="14"/>
        </w:rPr>
        <w:t> </w:t>
      </w:r>
      <w:r>
        <w:rPr>
          <w:color w:val="6D6E71"/>
          <w:sz w:val="14"/>
        </w:rPr>
        <w:t>ejecutivos</w:t>
      </w:r>
      <w:r>
        <w:rPr>
          <w:color w:val="6D6E71"/>
          <w:spacing w:val="-9"/>
          <w:sz w:val="14"/>
        </w:rPr>
        <w:t> </w:t>
      </w:r>
      <w:r>
        <w:rPr>
          <w:color w:val="6D6E71"/>
          <w:sz w:val="14"/>
        </w:rPr>
        <w:t>de</w:t>
      </w:r>
      <w:r>
        <w:rPr>
          <w:color w:val="6D6E71"/>
          <w:spacing w:val="-9"/>
          <w:sz w:val="14"/>
        </w:rPr>
        <w:t> </w:t>
      </w:r>
      <w:r>
        <w:rPr>
          <w:color w:val="6D6E71"/>
          <w:sz w:val="14"/>
        </w:rPr>
        <w:t>marketing</w:t>
      </w:r>
      <w:r>
        <w:rPr>
          <w:color w:val="6D6E71"/>
          <w:spacing w:val="-9"/>
          <w:sz w:val="14"/>
        </w:rPr>
        <w:t> </w:t>
      </w:r>
      <w:r>
        <w:rPr>
          <w:color w:val="6D6E71"/>
          <w:sz w:val="14"/>
        </w:rPr>
        <w:t>del</w:t>
      </w:r>
      <w:r>
        <w:rPr>
          <w:color w:val="6D6E71"/>
          <w:spacing w:val="-9"/>
          <w:sz w:val="14"/>
        </w:rPr>
        <w:t> </w:t>
      </w:r>
      <w:r>
        <w:rPr>
          <w:color w:val="6D6E71"/>
          <w:sz w:val="14"/>
        </w:rPr>
        <w:t>mundo</w:t>
      </w:r>
      <w:r>
        <w:rPr>
          <w:color w:val="6D6E71"/>
          <w:spacing w:val="-9"/>
          <w:sz w:val="14"/>
        </w:rPr>
        <w:t> </w:t>
      </w:r>
      <w:r>
        <w:rPr>
          <w:color w:val="6D6E71"/>
          <w:sz w:val="14"/>
        </w:rPr>
        <w:t>entero.</w:t>
      </w:r>
      <w:r>
        <w:rPr>
          <w:color w:val="6D6E71"/>
          <w:spacing w:val="-9"/>
          <w:sz w:val="14"/>
        </w:rPr>
        <w:t> </w:t>
      </w:r>
      <w:r>
        <w:rPr>
          <w:color w:val="6D6E71"/>
          <w:sz w:val="14"/>
        </w:rPr>
        <w:t>Conceptos</w:t>
      </w:r>
      <w:r>
        <w:rPr>
          <w:color w:val="6D6E71"/>
          <w:spacing w:val="-9"/>
          <w:sz w:val="14"/>
        </w:rPr>
        <w:t> </w:t>
      </w:r>
      <w:r>
        <w:rPr>
          <w:color w:val="6D6E71"/>
          <w:sz w:val="14"/>
        </w:rPr>
        <w:t>desarrollados</w:t>
      </w:r>
      <w:r>
        <w:rPr>
          <w:color w:val="6D6E71"/>
          <w:spacing w:val="-9"/>
          <w:sz w:val="14"/>
        </w:rPr>
        <w:t> </w:t>
      </w:r>
      <w:r>
        <w:rPr>
          <w:color w:val="6D6E71"/>
          <w:sz w:val="14"/>
        </w:rPr>
        <w:t>por</w:t>
      </w:r>
      <w:r>
        <w:rPr>
          <w:color w:val="6D6E71"/>
          <w:spacing w:val="-9"/>
          <w:sz w:val="14"/>
        </w:rPr>
        <w:t> </w:t>
      </w:r>
      <w:r>
        <w:rPr>
          <w:color w:val="6D6E71"/>
          <w:sz w:val="14"/>
        </w:rPr>
        <w:t>Drucker</w:t>
      </w:r>
      <w:r>
        <w:rPr>
          <w:color w:val="6D6E71"/>
          <w:spacing w:val="-9"/>
          <w:sz w:val="14"/>
        </w:rPr>
        <w:t> </w:t>
      </w:r>
      <w:r>
        <w:rPr>
          <w:color w:val="6D6E71"/>
          <w:sz w:val="14"/>
        </w:rPr>
        <w:t>como</w:t>
      </w:r>
      <w:r>
        <w:rPr>
          <w:color w:val="6D6E71"/>
          <w:spacing w:val="-9"/>
          <w:sz w:val="14"/>
        </w:rPr>
        <w:t> </w:t>
      </w:r>
      <w:r>
        <w:rPr>
          <w:color w:val="6D6E71"/>
          <w:sz w:val="14"/>
        </w:rPr>
        <w:t>“privatización”,</w:t>
      </w:r>
      <w:r>
        <w:rPr>
          <w:color w:val="6D6E71"/>
          <w:spacing w:val="-9"/>
          <w:sz w:val="14"/>
        </w:rPr>
        <w:t> </w:t>
      </w:r>
      <w:r>
        <w:rPr>
          <w:color w:val="6D6E71"/>
          <w:sz w:val="14"/>
        </w:rPr>
        <w:t>“emprendimiento”, “dirección por objetivos”,”sociedad del conocimiento” o “postmodernidad”, son hoy en día términos globalmente aceptados. En</w:t>
      </w:r>
      <w:r>
        <w:rPr>
          <w:color w:val="6D6E71"/>
          <w:spacing w:val="-5"/>
          <w:sz w:val="14"/>
        </w:rPr>
        <w:t> </w:t>
      </w:r>
      <w:r>
        <w:rPr>
          <w:color w:val="6D6E71"/>
          <w:sz w:val="14"/>
        </w:rPr>
        <w:t>su</w:t>
      </w:r>
      <w:r>
        <w:rPr>
          <w:color w:val="6D6E71"/>
          <w:spacing w:val="-5"/>
          <w:sz w:val="14"/>
        </w:rPr>
        <w:t> </w:t>
      </w:r>
      <w:r>
        <w:rPr>
          <w:color w:val="6D6E71"/>
          <w:sz w:val="14"/>
        </w:rPr>
        <w:t>obra</w:t>
      </w:r>
      <w:r>
        <w:rPr>
          <w:color w:val="6D6E71"/>
          <w:spacing w:val="-5"/>
          <w:sz w:val="14"/>
        </w:rPr>
        <w:t> </w:t>
      </w:r>
      <w:r>
        <w:rPr>
          <w:color w:val="6D6E71"/>
          <w:sz w:val="14"/>
        </w:rPr>
        <w:t>Las</w:t>
      </w:r>
      <w:r>
        <w:rPr>
          <w:color w:val="6D6E71"/>
          <w:spacing w:val="-5"/>
          <w:sz w:val="14"/>
        </w:rPr>
        <w:t> </w:t>
      </w:r>
      <w:r>
        <w:rPr>
          <w:color w:val="6D6E71"/>
          <w:sz w:val="14"/>
        </w:rPr>
        <w:t>nuevas</w:t>
      </w:r>
      <w:r>
        <w:rPr>
          <w:color w:val="6D6E71"/>
          <w:spacing w:val="-5"/>
          <w:sz w:val="14"/>
        </w:rPr>
        <w:t> </w:t>
      </w:r>
      <w:r>
        <w:rPr>
          <w:color w:val="6D6E71"/>
          <w:sz w:val="14"/>
        </w:rPr>
        <w:t>realidades,</w:t>
      </w:r>
      <w:r>
        <w:rPr>
          <w:color w:val="6D6E71"/>
          <w:spacing w:val="-5"/>
          <w:sz w:val="14"/>
        </w:rPr>
        <w:t> </w:t>
      </w:r>
      <w:r>
        <w:rPr>
          <w:color w:val="6D6E71"/>
          <w:sz w:val="14"/>
        </w:rPr>
        <w:t>pone</w:t>
      </w:r>
      <w:r>
        <w:rPr>
          <w:color w:val="6D6E71"/>
          <w:spacing w:val="-5"/>
          <w:sz w:val="14"/>
        </w:rPr>
        <w:t> </w:t>
      </w:r>
      <w:r>
        <w:rPr>
          <w:color w:val="6D6E71"/>
          <w:sz w:val="14"/>
        </w:rPr>
        <w:t>de</w:t>
      </w:r>
      <w:r>
        <w:rPr>
          <w:color w:val="6D6E71"/>
          <w:spacing w:val="-5"/>
          <w:sz w:val="14"/>
        </w:rPr>
        <w:t> </w:t>
      </w:r>
      <w:r>
        <w:rPr>
          <w:color w:val="6D6E71"/>
          <w:sz w:val="14"/>
        </w:rPr>
        <w:t>relieve</w:t>
      </w:r>
      <w:r>
        <w:rPr>
          <w:color w:val="6D6E71"/>
          <w:spacing w:val="-5"/>
          <w:sz w:val="14"/>
        </w:rPr>
        <w:t> </w:t>
      </w:r>
      <w:r>
        <w:rPr>
          <w:color w:val="6D6E71"/>
          <w:sz w:val="14"/>
        </w:rPr>
        <w:t>la</w:t>
      </w:r>
      <w:r>
        <w:rPr>
          <w:color w:val="6D6E71"/>
          <w:spacing w:val="-5"/>
          <w:sz w:val="14"/>
        </w:rPr>
        <w:t> </w:t>
      </w:r>
      <w:r>
        <w:rPr>
          <w:color w:val="6D6E71"/>
          <w:sz w:val="14"/>
        </w:rPr>
        <w:t>insuficiencia</w:t>
      </w:r>
      <w:r>
        <w:rPr>
          <w:color w:val="6D6E71"/>
          <w:spacing w:val="-5"/>
          <w:sz w:val="14"/>
        </w:rPr>
        <w:t> </w:t>
      </w:r>
      <w:r>
        <w:rPr>
          <w:color w:val="6D6E71"/>
          <w:sz w:val="14"/>
        </w:rPr>
        <w:t>del</w:t>
      </w:r>
      <w:r>
        <w:rPr>
          <w:color w:val="6D6E71"/>
          <w:spacing w:val="-5"/>
          <w:sz w:val="14"/>
        </w:rPr>
        <w:t> </w:t>
      </w:r>
      <w:r>
        <w:rPr>
          <w:color w:val="6D6E71"/>
          <w:sz w:val="14"/>
        </w:rPr>
        <w:t>Estado</w:t>
      </w:r>
      <w:r>
        <w:rPr>
          <w:color w:val="6D6E71"/>
          <w:spacing w:val="-5"/>
          <w:sz w:val="14"/>
        </w:rPr>
        <w:t> </w:t>
      </w:r>
      <w:r>
        <w:rPr>
          <w:color w:val="6D6E71"/>
          <w:sz w:val="14"/>
        </w:rPr>
        <w:t>como</w:t>
      </w:r>
      <w:r>
        <w:rPr>
          <w:color w:val="6D6E71"/>
          <w:spacing w:val="-5"/>
          <w:sz w:val="14"/>
        </w:rPr>
        <w:t> </w:t>
      </w:r>
      <w:r>
        <w:rPr>
          <w:color w:val="6D6E71"/>
          <w:sz w:val="14"/>
        </w:rPr>
        <w:t>agente</w:t>
      </w:r>
      <w:r>
        <w:rPr>
          <w:color w:val="6D6E71"/>
          <w:spacing w:val="-5"/>
          <w:sz w:val="14"/>
        </w:rPr>
        <w:t> </w:t>
      </w:r>
      <w:r>
        <w:rPr>
          <w:color w:val="6D6E71"/>
          <w:sz w:val="14"/>
        </w:rPr>
        <w:t>de</w:t>
      </w:r>
      <w:r>
        <w:rPr>
          <w:color w:val="6D6E71"/>
          <w:spacing w:val="-5"/>
          <w:sz w:val="14"/>
        </w:rPr>
        <w:t> </w:t>
      </w:r>
      <w:r>
        <w:rPr>
          <w:color w:val="6D6E71"/>
          <w:sz w:val="14"/>
        </w:rPr>
        <w:t>“redención</w:t>
      </w:r>
      <w:r>
        <w:rPr>
          <w:color w:val="6D6E71"/>
          <w:spacing w:val="-5"/>
          <w:sz w:val="14"/>
        </w:rPr>
        <w:t> </w:t>
      </w:r>
      <w:r>
        <w:rPr>
          <w:color w:val="6D6E71"/>
          <w:sz w:val="14"/>
        </w:rPr>
        <w:t>social”</w:t>
      </w:r>
      <w:r>
        <w:rPr>
          <w:color w:val="6D6E71"/>
          <w:spacing w:val="-5"/>
          <w:sz w:val="14"/>
        </w:rPr>
        <w:t> </w:t>
      </w:r>
      <w:r>
        <w:rPr>
          <w:color w:val="6D6E71"/>
          <w:sz w:val="14"/>
        </w:rPr>
        <w:t>y</w:t>
      </w:r>
      <w:r>
        <w:rPr>
          <w:color w:val="6D6E71"/>
          <w:spacing w:val="-5"/>
          <w:sz w:val="14"/>
        </w:rPr>
        <w:t> </w:t>
      </w:r>
      <w:r>
        <w:rPr>
          <w:color w:val="6D6E71"/>
          <w:sz w:val="14"/>
        </w:rPr>
        <w:t>evidencia que</w:t>
      </w:r>
      <w:r>
        <w:rPr>
          <w:color w:val="6D6E71"/>
          <w:spacing w:val="-5"/>
          <w:sz w:val="14"/>
        </w:rPr>
        <w:t> </w:t>
      </w:r>
      <w:r>
        <w:rPr>
          <w:color w:val="6D6E71"/>
          <w:sz w:val="14"/>
        </w:rPr>
        <w:t>sólo</w:t>
      </w:r>
      <w:r>
        <w:rPr>
          <w:color w:val="6D6E71"/>
          <w:spacing w:val="-6"/>
          <w:sz w:val="14"/>
        </w:rPr>
        <w:t> </w:t>
      </w:r>
      <w:r>
        <w:rPr>
          <w:color w:val="6D6E71"/>
          <w:sz w:val="14"/>
        </w:rPr>
        <w:t>la</w:t>
      </w:r>
      <w:r>
        <w:rPr>
          <w:color w:val="6D6E71"/>
          <w:spacing w:val="-5"/>
          <w:sz w:val="14"/>
        </w:rPr>
        <w:t> </w:t>
      </w:r>
      <w:r>
        <w:rPr>
          <w:color w:val="6D6E71"/>
          <w:sz w:val="14"/>
        </w:rPr>
        <w:t>productividad</w:t>
      </w:r>
      <w:r>
        <w:rPr>
          <w:color w:val="6D6E71"/>
          <w:spacing w:val="-5"/>
          <w:sz w:val="14"/>
        </w:rPr>
        <w:t> </w:t>
      </w:r>
      <w:r>
        <w:rPr>
          <w:color w:val="6D6E71"/>
          <w:sz w:val="14"/>
        </w:rPr>
        <w:t>de</w:t>
      </w:r>
      <w:r>
        <w:rPr>
          <w:color w:val="6D6E71"/>
          <w:spacing w:val="-5"/>
          <w:sz w:val="14"/>
        </w:rPr>
        <w:t> </w:t>
      </w:r>
      <w:r>
        <w:rPr>
          <w:color w:val="6D6E71"/>
          <w:sz w:val="14"/>
        </w:rPr>
        <w:t>una</w:t>
      </w:r>
      <w:r>
        <w:rPr>
          <w:color w:val="6D6E71"/>
          <w:spacing w:val="-5"/>
          <w:sz w:val="14"/>
        </w:rPr>
        <w:t> </w:t>
      </w:r>
      <w:r>
        <w:rPr>
          <w:color w:val="6D6E71"/>
          <w:sz w:val="14"/>
        </w:rPr>
        <w:t>nación</w:t>
      </w:r>
      <w:r>
        <w:rPr>
          <w:color w:val="6D6E71"/>
          <w:spacing w:val="-5"/>
          <w:sz w:val="14"/>
        </w:rPr>
        <w:t> </w:t>
      </w:r>
      <w:r>
        <w:rPr>
          <w:color w:val="6D6E71"/>
          <w:sz w:val="14"/>
        </w:rPr>
        <w:t>puede</w:t>
      </w:r>
      <w:r>
        <w:rPr>
          <w:color w:val="6D6E71"/>
          <w:spacing w:val="-5"/>
          <w:sz w:val="14"/>
        </w:rPr>
        <w:t> </w:t>
      </w:r>
      <w:r>
        <w:rPr>
          <w:color w:val="6D6E71"/>
          <w:sz w:val="14"/>
        </w:rPr>
        <w:t>generar</w:t>
      </w:r>
      <w:r>
        <w:rPr>
          <w:color w:val="6D6E71"/>
          <w:spacing w:val="-5"/>
          <w:sz w:val="14"/>
        </w:rPr>
        <w:t> </w:t>
      </w:r>
      <w:r>
        <w:rPr>
          <w:color w:val="6D6E71"/>
          <w:sz w:val="14"/>
        </w:rPr>
        <w:t>equidad</w:t>
      </w:r>
      <w:r>
        <w:rPr>
          <w:color w:val="6D6E71"/>
          <w:spacing w:val="-5"/>
          <w:sz w:val="14"/>
        </w:rPr>
        <w:t> </w:t>
      </w:r>
      <w:r>
        <w:rPr>
          <w:color w:val="6D6E71"/>
          <w:sz w:val="14"/>
        </w:rPr>
        <w:t>entre</w:t>
      </w:r>
      <w:r>
        <w:rPr>
          <w:color w:val="6D6E71"/>
          <w:spacing w:val="-5"/>
          <w:sz w:val="14"/>
        </w:rPr>
        <w:t> </w:t>
      </w:r>
      <w:r>
        <w:rPr>
          <w:color w:val="6D6E71"/>
          <w:sz w:val="14"/>
        </w:rPr>
        <w:t>su</w:t>
      </w:r>
      <w:r>
        <w:rPr>
          <w:color w:val="6D6E71"/>
          <w:spacing w:val="-5"/>
          <w:sz w:val="14"/>
        </w:rPr>
        <w:t> </w:t>
      </w:r>
      <w:r>
        <w:rPr>
          <w:color w:val="6D6E71"/>
          <w:sz w:val="14"/>
        </w:rPr>
        <w:t>pueblo.</w:t>
      </w:r>
    </w:p>
    <w:p>
      <w:pPr>
        <w:spacing w:after="0" w:line="357" w:lineRule="auto"/>
        <w:jc w:val="both"/>
        <w:rPr>
          <w:sz w:val="14"/>
        </w:rPr>
        <w:sectPr>
          <w:headerReference w:type="default" r:id="rId50"/>
          <w:footerReference w:type="default" r:id="rId51"/>
          <w:pgSz w:w="18830" w:h="12760" w:orient="landscape"/>
          <w:pgMar w:header="482" w:footer="0" w:top="680" w:bottom="0" w:left="2720" w:right="720"/>
        </w:sectPr>
      </w:pPr>
    </w:p>
    <w:p>
      <w:pPr>
        <w:pStyle w:val="BodyText"/>
        <w:spacing w:before="6"/>
        <w:rPr>
          <w:sz w:val="23"/>
        </w:rPr>
      </w:pPr>
    </w:p>
    <w:p>
      <w:pPr>
        <w:spacing w:after="0"/>
        <w:rPr>
          <w:sz w:val="23"/>
        </w:rPr>
        <w:sectPr>
          <w:headerReference w:type="default" r:id="rId53"/>
          <w:footerReference w:type="default" r:id="rId54"/>
          <w:pgSz w:w="18830" w:h="12760" w:orient="landscape"/>
          <w:pgMar w:header="522" w:footer="1036" w:top="820" w:bottom="1220" w:left="720" w:right="720"/>
        </w:sectPr>
      </w:pPr>
    </w:p>
    <w:p>
      <w:pPr>
        <w:pStyle w:val="BodyText"/>
        <w:spacing w:line="249" w:lineRule="auto" w:before="76"/>
        <w:ind w:left="130" w:firstLine="170"/>
        <w:jc w:val="both"/>
      </w:pPr>
      <w:r>
        <w:rPr/>
        <w:t>La</w:t>
      </w:r>
      <w:r>
        <w:rPr>
          <w:spacing w:val="25"/>
        </w:rPr>
        <w:t> </w:t>
      </w:r>
      <w:r>
        <w:rPr/>
        <w:t>planeación</w:t>
      </w:r>
      <w:r>
        <w:rPr>
          <w:spacing w:val="25"/>
        </w:rPr>
        <w:t> </w:t>
      </w:r>
      <w:r>
        <w:rPr/>
        <w:t>estratégica</w:t>
      </w:r>
      <w:r>
        <w:rPr>
          <w:spacing w:val="25"/>
        </w:rPr>
        <w:t> </w:t>
      </w:r>
      <w:r>
        <w:rPr/>
        <w:t>es</w:t>
      </w:r>
      <w:r>
        <w:rPr>
          <w:spacing w:val="25"/>
        </w:rPr>
        <w:t> </w:t>
      </w:r>
      <w:r>
        <w:rPr/>
        <w:t>un</w:t>
      </w:r>
      <w:r>
        <w:rPr>
          <w:spacing w:val="25"/>
        </w:rPr>
        <w:t> </w:t>
      </w:r>
      <w:r>
        <w:rPr/>
        <w:t>concepto</w:t>
      </w:r>
      <w:r>
        <w:rPr>
          <w:spacing w:val="25"/>
        </w:rPr>
        <w:t> </w:t>
      </w:r>
      <w:r>
        <w:rPr/>
        <w:t>que</w:t>
      </w:r>
      <w:r>
        <w:rPr>
          <w:spacing w:val="25"/>
        </w:rPr>
        <w:t> </w:t>
      </w:r>
      <w:r>
        <w:rPr/>
        <w:t>se</w:t>
      </w:r>
      <w:r>
        <w:rPr>
          <w:spacing w:val="25"/>
        </w:rPr>
        <w:t> </w:t>
      </w:r>
      <w:r>
        <w:rPr/>
        <w:t>aborda</w:t>
      </w:r>
      <w:r>
        <w:rPr>
          <w:spacing w:val="25"/>
        </w:rPr>
        <w:t> </w:t>
      </w:r>
      <w:r>
        <w:rPr/>
        <w:t>mucho,</w:t>
      </w:r>
      <w:r>
        <w:rPr>
          <w:spacing w:val="25"/>
        </w:rPr>
        <w:t> </w:t>
      </w:r>
      <w:r>
        <w:rPr/>
        <w:t>pero</w:t>
      </w:r>
      <w:r>
        <w:rPr>
          <w:spacing w:val="25"/>
        </w:rPr>
        <w:t> </w:t>
      </w:r>
      <w:r>
        <w:rPr/>
        <w:t>en</w:t>
      </w:r>
      <w:r>
        <w:rPr>
          <w:spacing w:val="25"/>
        </w:rPr>
        <w:t> </w:t>
      </w:r>
      <w:r>
        <w:rPr/>
        <w:t>realidad</w:t>
      </w:r>
      <w:r>
        <w:rPr>
          <w:w w:val="100"/>
        </w:rPr>
        <w:t> </w:t>
      </w:r>
      <w:r>
        <w:rPr/>
        <w:t>se comprende poco de acuerdo a lo que menciona Chiarrela (2005); es importante señalar el fundamento epistemológico desde el punto de vista de las teorías de la Administración,</w:t>
      </w:r>
      <w:r>
        <w:rPr>
          <w:spacing w:val="-5"/>
        </w:rPr>
        <w:t> </w:t>
      </w:r>
      <w:r>
        <w:rPr/>
        <w:t>que</w:t>
      </w:r>
      <w:r>
        <w:rPr>
          <w:spacing w:val="-5"/>
        </w:rPr>
        <w:t> </w:t>
      </w:r>
      <w:r>
        <w:rPr/>
        <w:t>han</w:t>
      </w:r>
      <w:r>
        <w:rPr>
          <w:spacing w:val="-5"/>
        </w:rPr>
        <w:t> </w:t>
      </w:r>
      <w:r>
        <w:rPr/>
        <w:t>sido</w:t>
      </w:r>
      <w:r>
        <w:rPr>
          <w:spacing w:val="-5"/>
        </w:rPr>
        <w:t> </w:t>
      </w:r>
      <w:r>
        <w:rPr/>
        <w:t>vinculadas</w:t>
      </w:r>
      <w:r>
        <w:rPr>
          <w:spacing w:val="-5"/>
        </w:rPr>
        <w:t> </w:t>
      </w:r>
      <w:r>
        <w:rPr/>
        <w:t>también</w:t>
      </w:r>
      <w:r>
        <w:rPr>
          <w:spacing w:val="-5"/>
        </w:rPr>
        <w:t> </w:t>
      </w:r>
      <w:r>
        <w:rPr/>
        <w:t>con</w:t>
      </w:r>
      <w:r>
        <w:rPr>
          <w:spacing w:val="-5"/>
        </w:rPr>
        <w:t> </w:t>
      </w:r>
      <w:r>
        <w:rPr/>
        <w:t>otras</w:t>
      </w:r>
      <w:r>
        <w:rPr>
          <w:spacing w:val="-5"/>
        </w:rPr>
        <w:t> </w:t>
      </w:r>
      <w:r>
        <w:rPr/>
        <w:t>ciencias</w:t>
      </w:r>
      <w:r>
        <w:rPr>
          <w:spacing w:val="-5"/>
        </w:rPr>
        <w:t> </w:t>
      </w:r>
      <w:r>
        <w:rPr/>
        <w:t>como</w:t>
      </w:r>
      <w:r>
        <w:rPr>
          <w:spacing w:val="-5"/>
        </w:rPr>
        <w:t> </w:t>
      </w:r>
      <w:r>
        <w:rPr/>
        <w:t>la</w:t>
      </w:r>
      <w:r>
        <w:rPr>
          <w:spacing w:val="-5"/>
        </w:rPr>
        <w:t> </w:t>
      </w:r>
      <w:r>
        <w:rPr/>
        <w:t>Economía,</w:t>
      </w:r>
      <w:r>
        <w:rPr>
          <w:w w:val="99"/>
        </w:rPr>
        <w:t> </w:t>
      </w:r>
      <w:r>
        <w:rPr/>
        <w:t>Geografía o Sociología, de modelos desarrollados en las organizaciones, según Peter Drucker ( 1998 ), “ La administración estratégica, es “…hacer bien lo que se debe hacer, pues no hay nada más frustrante para el ser humano que hacer bien lo que no sirve para</w:t>
      </w:r>
      <w:r>
        <w:rPr>
          <w:spacing w:val="2"/>
        </w:rPr>
        <w:t> </w:t>
      </w:r>
      <w:r>
        <w:rPr/>
        <w:t>nada”.X</w:t>
      </w:r>
    </w:p>
    <w:p>
      <w:pPr>
        <w:pStyle w:val="BodyText"/>
        <w:spacing w:before="11"/>
      </w:pPr>
    </w:p>
    <w:p>
      <w:pPr>
        <w:pStyle w:val="BodyText"/>
        <w:spacing w:line="249" w:lineRule="auto"/>
        <w:ind w:left="130" w:firstLine="170"/>
        <w:jc w:val="both"/>
      </w:pPr>
      <w:r>
        <w:rPr/>
        <w:t>Sin lugar a dudas la planeación estratégica es y ha sido un instrumento importante que ha crecido y madurado como   un instrumento valioso para los gobiernos locales   y la ciudadanía en general, siendo en aplicada al territorio, responde  a la necesidad  de ver con mayor claridad y menos dudas el futuro de cada población que enfrentan una gran incertidumbre territorial y en donde los efectos de esta visión territorial de futuro constituyen casi un mal endémico (Fernández, 2006). De ahí la importancia de proyectar ciudades comprometidos a llevar a la práctica los principios estratégicos que lleve a cada ciudad a un desarrollo no tan solo sustentable sino saludable. (Gabiña, 1998).</w:t>
      </w:r>
    </w:p>
    <w:p>
      <w:pPr>
        <w:pStyle w:val="BodyText"/>
        <w:spacing w:before="11"/>
      </w:pPr>
    </w:p>
    <w:p>
      <w:pPr>
        <w:pStyle w:val="BodyText"/>
        <w:spacing w:line="249" w:lineRule="auto"/>
        <w:ind w:left="130" w:firstLine="170"/>
        <w:jc w:val="both"/>
      </w:pPr>
      <w:r>
        <w:rPr/>
        <w:t>Se observan solo algunos de los modelos desarrollados por estudiosos y</w:t>
      </w:r>
      <w:r>
        <w:rPr>
          <w:spacing w:val="-29"/>
        </w:rPr>
        <w:t> </w:t>
      </w:r>
      <w:r>
        <w:rPr/>
        <w:t>expertos</w:t>
      </w:r>
      <w:r>
        <w:rPr>
          <w:spacing w:val="-3"/>
        </w:rPr>
        <w:t> </w:t>
      </w:r>
      <w:r>
        <w:rPr/>
        <w:t>en</w:t>
      </w:r>
      <w:r>
        <w:rPr>
          <w:w w:val="98"/>
        </w:rPr>
        <w:t> </w:t>
      </w:r>
      <w:r>
        <w:rPr/>
        <w:t>la administración de las organizaciones como : El Modelo PEST ( political, economic, social and technological factors) de Alan Chapman; el Modelo de Análisis del Entorno Externo de Michael Porter ; el Modelo del Océano Azul de Chan Kim y Maugborgne; otro modelo mejor conocido como FODA ( Fortalezas, Oportunidades, Debilidades y Amenazas</w:t>
      </w:r>
      <w:r>
        <w:rPr>
          <w:spacing w:val="-17"/>
        </w:rPr>
        <w:t> </w:t>
      </w:r>
      <w:r>
        <w:rPr/>
        <w:t>)</w:t>
      </w:r>
      <w:r>
        <w:rPr>
          <w:spacing w:val="-17"/>
        </w:rPr>
        <w:t> </w:t>
      </w:r>
      <w:r>
        <w:rPr/>
        <w:t>que</w:t>
      </w:r>
      <w:r>
        <w:rPr>
          <w:spacing w:val="-17"/>
        </w:rPr>
        <w:t> </w:t>
      </w:r>
      <w:r>
        <w:rPr/>
        <w:t>es</w:t>
      </w:r>
      <w:r>
        <w:rPr>
          <w:spacing w:val="20"/>
        </w:rPr>
        <w:t> </w:t>
      </w:r>
      <w:r>
        <w:rPr/>
        <w:t>uno</w:t>
      </w:r>
      <w:r>
        <w:rPr>
          <w:spacing w:val="-17"/>
        </w:rPr>
        <w:t> </w:t>
      </w:r>
      <w:r>
        <w:rPr/>
        <w:t>de</w:t>
      </w:r>
      <w:r>
        <w:rPr>
          <w:spacing w:val="-17"/>
        </w:rPr>
        <w:t> </w:t>
      </w:r>
      <w:r>
        <w:rPr/>
        <w:t>los</w:t>
      </w:r>
      <w:r>
        <w:rPr>
          <w:spacing w:val="-17"/>
        </w:rPr>
        <w:t> </w:t>
      </w:r>
      <w:r>
        <w:rPr/>
        <w:t>modelos</w:t>
      </w:r>
      <w:r>
        <w:rPr>
          <w:spacing w:val="-17"/>
        </w:rPr>
        <w:t> </w:t>
      </w:r>
      <w:r>
        <w:rPr/>
        <w:t>más</w:t>
      </w:r>
      <w:r>
        <w:rPr>
          <w:spacing w:val="-17"/>
        </w:rPr>
        <w:t> </w:t>
      </w:r>
      <w:r>
        <w:rPr/>
        <w:t>aplicados</w:t>
      </w:r>
      <w:r>
        <w:rPr>
          <w:spacing w:val="-17"/>
        </w:rPr>
        <w:t> </w:t>
      </w:r>
      <w:r>
        <w:rPr/>
        <w:t>en</w:t>
      </w:r>
      <w:r>
        <w:rPr>
          <w:spacing w:val="20"/>
        </w:rPr>
        <w:t> </w:t>
      </w:r>
      <w:r>
        <w:rPr/>
        <w:t>la</w:t>
      </w:r>
      <w:r>
        <w:rPr>
          <w:spacing w:val="-17"/>
        </w:rPr>
        <w:t> </w:t>
      </w:r>
      <w:r>
        <w:rPr/>
        <w:t>elaboración</w:t>
      </w:r>
      <w:r>
        <w:rPr>
          <w:spacing w:val="-17"/>
        </w:rPr>
        <w:t> </w:t>
      </w:r>
      <w:r>
        <w:rPr/>
        <w:t>de</w:t>
      </w:r>
      <w:r>
        <w:rPr>
          <w:spacing w:val="-17"/>
        </w:rPr>
        <w:t> </w:t>
      </w:r>
      <w:r>
        <w:rPr/>
        <w:t>diagnósticos organizacionales y que también es conocido como SWOT ( Strenghts, Weaknesses, Opportinities , and Threats) por sus siglas en inglés, desarrollado por Dosher, Benepe, Humphrey, Stewart y</w:t>
      </w:r>
      <w:r>
        <w:rPr>
          <w:spacing w:val="14"/>
        </w:rPr>
        <w:t> </w:t>
      </w:r>
      <w:r>
        <w:rPr/>
        <w:t>Lie.</w:t>
      </w:r>
    </w:p>
    <w:p>
      <w:pPr>
        <w:pStyle w:val="BodyText"/>
        <w:spacing w:before="11"/>
      </w:pPr>
    </w:p>
    <w:p>
      <w:pPr>
        <w:pStyle w:val="BodyText"/>
        <w:spacing w:line="249" w:lineRule="auto"/>
        <w:ind w:left="130" w:firstLine="170"/>
        <w:jc w:val="right"/>
      </w:pPr>
      <w:r>
        <w:rPr/>
        <w:t>The</w:t>
      </w:r>
      <w:r>
        <w:rPr>
          <w:spacing w:val="26"/>
        </w:rPr>
        <w:t> </w:t>
      </w:r>
      <w:r>
        <w:rPr/>
        <w:t>Balanced</w:t>
      </w:r>
      <w:r>
        <w:rPr>
          <w:spacing w:val="26"/>
        </w:rPr>
        <w:t> </w:t>
      </w:r>
      <w:r>
        <w:rPr/>
        <w:t>Scorecard</w:t>
      </w:r>
      <w:r>
        <w:rPr>
          <w:spacing w:val="26"/>
        </w:rPr>
        <w:t> </w:t>
      </w:r>
      <w:r>
        <w:rPr/>
        <w:t>de</w:t>
      </w:r>
      <w:r>
        <w:rPr>
          <w:spacing w:val="26"/>
        </w:rPr>
        <w:t> </w:t>
      </w:r>
      <w:r>
        <w:rPr/>
        <w:t>Kaplan</w:t>
      </w:r>
      <w:r>
        <w:rPr>
          <w:spacing w:val="26"/>
        </w:rPr>
        <w:t> </w:t>
      </w:r>
      <w:r>
        <w:rPr/>
        <w:t>y</w:t>
      </w:r>
      <w:r>
        <w:rPr>
          <w:spacing w:val="26"/>
        </w:rPr>
        <w:t> </w:t>
      </w:r>
      <w:r>
        <w:rPr/>
        <w:t>Norton</w:t>
      </w:r>
      <w:r>
        <w:rPr>
          <w:spacing w:val="26"/>
        </w:rPr>
        <w:t> </w:t>
      </w:r>
      <w:r>
        <w:rPr/>
        <w:t>es</w:t>
      </w:r>
      <w:r>
        <w:rPr>
          <w:spacing w:val="26"/>
        </w:rPr>
        <w:t> </w:t>
      </w:r>
      <w:r>
        <w:rPr/>
        <w:t>otro</w:t>
      </w:r>
      <w:r>
        <w:rPr>
          <w:spacing w:val="26"/>
        </w:rPr>
        <w:t> </w:t>
      </w:r>
      <w:r>
        <w:rPr/>
        <w:t>modelo</w:t>
      </w:r>
      <w:r>
        <w:rPr>
          <w:spacing w:val="26"/>
        </w:rPr>
        <w:t> </w:t>
      </w:r>
      <w:r>
        <w:rPr/>
        <w:t>estratégico</w:t>
      </w:r>
      <w:r>
        <w:rPr>
          <w:spacing w:val="26"/>
        </w:rPr>
        <w:t> </w:t>
      </w:r>
      <w:r>
        <w:rPr/>
        <w:t>que</w:t>
      </w:r>
      <w:r>
        <w:rPr>
          <w:spacing w:val="26"/>
        </w:rPr>
        <w:t> </w:t>
      </w:r>
      <w:r>
        <w:rPr/>
        <w:t>gran</w:t>
      </w:r>
      <w:r>
        <w:rPr>
          <w:w w:val="99"/>
        </w:rPr>
        <w:t> </w:t>
      </w:r>
      <w:r>
        <w:rPr/>
        <w:t>parte de las empresas norteamericanas ha adoptado hoy en día; existen</w:t>
      </w:r>
      <w:r>
        <w:rPr>
          <w:spacing w:val="-34"/>
        </w:rPr>
        <w:t> </w:t>
      </w:r>
      <w:r>
        <w:rPr/>
        <w:t>otros</w:t>
      </w:r>
      <w:r>
        <w:rPr>
          <w:spacing w:val="-4"/>
        </w:rPr>
        <w:t> </w:t>
      </w:r>
      <w:r>
        <w:rPr/>
        <w:t>modelos</w:t>
      </w:r>
      <w:r>
        <w:rPr>
          <w:w w:val="101"/>
        </w:rPr>
        <w:t> </w:t>
      </w:r>
      <w:r>
        <w:rPr/>
        <w:t>de planeación estratégica como el de Steiner o Ackoff que han sido de</w:t>
      </w:r>
      <w:r>
        <w:rPr>
          <w:spacing w:val="19"/>
        </w:rPr>
        <w:t> </w:t>
      </w:r>
      <w:r>
        <w:rPr/>
        <w:t>gran</w:t>
      </w:r>
      <w:r>
        <w:rPr>
          <w:spacing w:val="1"/>
        </w:rPr>
        <w:t> </w:t>
      </w:r>
      <w:r>
        <w:rPr/>
        <w:t>relevancia</w:t>
      </w:r>
      <w:r>
        <w:rPr>
          <w:w w:val="99"/>
        </w:rPr>
        <w:t> </w:t>
      </w:r>
      <w:r>
        <w:rPr/>
        <w:t>para</w:t>
      </w:r>
      <w:r>
        <w:rPr>
          <w:spacing w:val="-23"/>
        </w:rPr>
        <w:t> </w:t>
      </w:r>
      <w:r>
        <w:rPr/>
        <w:t>el</w:t>
      </w:r>
      <w:r>
        <w:rPr>
          <w:spacing w:val="-23"/>
        </w:rPr>
        <w:t> </w:t>
      </w:r>
      <w:r>
        <w:rPr/>
        <w:t>logro</w:t>
      </w:r>
      <w:r>
        <w:rPr>
          <w:spacing w:val="-23"/>
        </w:rPr>
        <w:t> </w:t>
      </w:r>
      <w:r>
        <w:rPr/>
        <w:t>de</w:t>
      </w:r>
      <w:r>
        <w:rPr>
          <w:spacing w:val="-23"/>
        </w:rPr>
        <w:t> </w:t>
      </w:r>
      <w:r>
        <w:rPr/>
        <w:t>los</w:t>
      </w:r>
      <w:r>
        <w:rPr>
          <w:spacing w:val="-23"/>
        </w:rPr>
        <w:t> </w:t>
      </w:r>
      <w:r>
        <w:rPr/>
        <w:t>objetivos</w:t>
      </w:r>
      <w:r>
        <w:rPr>
          <w:spacing w:val="-23"/>
        </w:rPr>
        <w:t> </w:t>
      </w:r>
      <w:r>
        <w:rPr/>
        <w:t>de</w:t>
      </w:r>
      <w:r>
        <w:rPr>
          <w:spacing w:val="-23"/>
        </w:rPr>
        <w:t> </w:t>
      </w:r>
      <w:r>
        <w:rPr/>
        <w:t>las</w:t>
      </w:r>
      <w:r>
        <w:rPr>
          <w:spacing w:val="-23"/>
        </w:rPr>
        <w:t> </w:t>
      </w:r>
      <w:r>
        <w:rPr/>
        <w:t>organizaciones.</w:t>
      </w:r>
      <w:r>
        <w:rPr>
          <w:spacing w:val="-23"/>
        </w:rPr>
        <w:t> </w:t>
      </w:r>
      <w:r>
        <w:rPr/>
        <w:t>Para</w:t>
      </w:r>
      <w:r>
        <w:rPr>
          <w:spacing w:val="-23"/>
        </w:rPr>
        <w:t> </w:t>
      </w:r>
      <w:r>
        <w:rPr/>
        <w:t>efecto</w:t>
      </w:r>
      <w:r>
        <w:rPr>
          <w:spacing w:val="-23"/>
        </w:rPr>
        <w:t> </w:t>
      </w:r>
      <w:r>
        <w:rPr/>
        <w:t>de</w:t>
      </w:r>
      <w:r>
        <w:rPr>
          <w:spacing w:val="-23"/>
        </w:rPr>
        <w:t> </w:t>
      </w:r>
      <w:r>
        <w:rPr/>
        <w:t>este</w:t>
      </w:r>
      <w:r>
        <w:rPr>
          <w:spacing w:val="-23"/>
        </w:rPr>
        <w:t> </w:t>
      </w:r>
      <w:r>
        <w:rPr/>
        <w:t>estudio</w:t>
      </w:r>
      <w:r>
        <w:rPr>
          <w:spacing w:val="-23"/>
        </w:rPr>
        <w:t> </w:t>
      </w:r>
      <w:r>
        <w:rPr/>
        <w:t>se</w:t>
      </w:r>
      <w:r>
        <w:rPr>
          <w:spacing w:val="-23"/>
        </w:rPr>
        <w:t> </w:t>
      </w:r>
      <w:r>
        <w:rPr/>
        <w:t>analiza</w:t>
      </w:r>
      <w:r>
        <w:rPr>
          <w:w w:val="97"/>
        </w:rPr>
        <w:t> </w:t>
      </w:r>
      <w:r>
        <w:rPr/>
        <w:t>y compara un modelo de organizaciones privadas con un modelo</w:t>
      </w:r>
      <w:r>
        <w:rPr>
          <w:spacing w:val="9"/>
        </w:rPr>
        <w:t> </w:t>
      </w:r>
      <w:r>
        <w:rPr/>
        <w:t>de</w:t>
      </w:r>
      <w:r>
        <w:rPr>
          <w:spacing w:val="11"/>
        </w:rPr>
        <w:t> </w:t>
      </w:r>
      <w:r>
        <w:rPr/>
        <w:t>organizaciones</w:t>
      </w:r>
      <w:r>
        <w:rPr>
          <w:w w:val="100"/>
        </w:rPr>
        <w:t> </w:t>
      </w:r>
      <w:r>
        <w:rPr/>
        <w:t>públicas que han dado importantes resultados dentro del ordenamiento</w:t>
      </w:r>
      <w:r>
        <w:rPr>
          <w:spacing w:val="37"/>
        </w:rPr>
        <w:t> </w:t>
      </w:r>
      <w:r>
        <w:rPr/>
        <w:t>del</w:t>
      </w:r>
      <w:r>
        <w:rPr>
          <w:spacing w:val="14"/>
        </w:rPr>
        <w:t> </w:t>
      </w:r>
      <w:r>
        <w:rPr/>
        <w:t>territorio,</w:t>
      </w:r>
      <w:r>
        <w:rPr>
          <w:w w:val="102"/>
        </w:rPr>
        <w:t> </w:t>
      </w:r>
      <w:r>
        <w:rPr/>
        <w:t>siendo estos referentes importantes dentro de la gobernanza de las ciudades</w:t>
      </w:r>
      <w:r>
        <w:rPr>
          <w:spacing w:val="52"/>
        </w:rPr>
        <w:t> </w:t>
      </w:r>
      <w:r>
        <w:rPr/>
        <w:t>mismas.</w:t>
      </w:r>
    </w:p>
    <w:p>
      <w:pPr>
        <w:pStyle w:val="BodyText"/>
        <w:spacing w:before="11"/>
      </w:pPr>
    </w:p>
    <w:p>
      <w:pPr>
        <w:pStyle w:val="BodyText"/>
        <w:spacing w:line="249" w:lineRule="auto"/>
        <w:ind w:left="130" w:firstLine="170"/>
        <w:jc w:val="both"/>
      </w:pPr>
      <w:r>
        <w:rPr/>
        <w:t>La</w:t>
      </w:r>
      <w:r>
        <w:rPr>
          <w:spacing w:val="-5"/>
        </w:rPr>
        <w:t> </w:t>
      </w:r>
      <w:r>
        <w:rPr/>
        <w:t>gobernanza</w:t>
      </w:r>
      <w:r>
        <w:rPr>
          <w:spacing w:val="-5"/>
        </w:rPr>
        <w:t> </w:t>
      </w:r>
      <w:r>
        <w:rPr/>
        <w:t>es</w:t>
      </w:r>
      <w:r>
        <w:rPr>
          <w:spacing w:val="-5"/>
        </w:rPr>
        <w:t> </w:t>
      </w:r>
      <w:r>
        <w:rPr/>
        <w:t>el</w:t>
      </w:r>
      <w:r>
        <w:rPr>
          <w:spacing w:val="-5"/>
        </w:rPr>
        <w:t> </w:t>
      </w:r>
      <w:r>
        <w:rPr/>
        <w:t>resultado</w:t>
      </w:r>
      <w:r>
        <w:rPr>
          <w:spacing w:val="-5"/>
        </w:rPr>
        <w:t> </w:t>
      </w:r>
      <w:r>
        <w:rPr/>
        <w:t>de</w:t>
      </w:r>
      <w:r>
        <w:rPr>
          <w:spacing w:val="-5"/>
        </w:rPr>
        <w:t> </w:t>
      </w:r>
      <w:r>
        <w:rPr/>
        <w:t>una</w:t>
      </w:r>
      <w:r>
        <w:rPr>
          <w:spacing w:val="-5"/>
        </w:rPr>
        <w:t> </w:t>
      </w:r>
      <w:r>
        <w:rPr/>
        <w:t>nueva</w:t>
      </w:r>
      <w:r>
        <w:rPr>
          <w:spacing w:val="-5"/>
        </w:rPr>
        <w:t> </w:t>
      </w:r>
      <w:r>
        <w:rPr/>
        <w:t>forma</w:t>
      </w:r>
      <w:r>
        <w:rPr>
          <w:spacing w:val="-5"/>
        </w:rPr>
        <w:t> </w:t>
      </w:r>
      <w:r>
        <w:rPr/>
        <w:t>de</w:t>
      </w:r>
      <w:r>
        <w:rPr>
          <w:spacing w:val="-5"/>
        </w:rPr>
        <w:t> </w:t>
      </w:r>
      <w:r>
        <w:rPr/>
        <w:t>pensar</w:t>
      </w:r>
      <w:r>
        <w:rPr>
          <w:spacing w:val="-5"/>
        </w:rPr>
        <w:t> </w:t>
      </w:r>
      <w:r>
        <w:rPr/>
        <w:t>(una</w:t>
      </w:r>
      <w:r>
        <w:rPr>
          <w:spacing w:val="-5"/>
        </w:rPr>
        <w:t> </w:t>
      </w:r>
      <w:r>
        <w:rPr/>
        <w:t>nueva</w:t>
      </w:r>
      <w:r>
        <w:rPr>
          <w:spacing w:val="-5"/>
        </w:rPr>
        <w:t> </w:t>
      </w:r>
      <w:r>
        <w:rPr/>
        <w:t>visión),</w:t>
      </w:r>
      <w:r>
        <w:rPr>
          <w:spacing w:val="-5"/>
        </w:rPr>
        <w:t> </w:t>
      </w:r>
      <w:r>
        <w:rPr>
          <w:spacing w:val="-2"/>
        </w:rPr>
        <w:t>que </w:t>
      </w:r>
      <w:r>
        <w:rPr/>
        <w:t>se enfrenta hoy en día a través de todos los diferentes contextos políticos y sociales, derivado lo anterior en una transformación económica mundial que exige </w:t>
      </w:r>
      <w:r>
        <w:rPr>
          <w:spacing w:val="-2"/>
        </w:rPr>
        <w:t>nuevos </w:t>
      </w:r>
      <w:r>
        <w:rPr/>
        <w:t>cambios</w:t>
      </w:r>
      <w:r>
        <w:rPr>
          <w:spacing w:val="-9"/>
        </w:rPr>
        <w:t> </w:t>
      </w:r>
      <w:r>
        <w:rPr/>
        <w:t>de</w:t>
      </w:r>
      <w:r>
        <w:rPr>
          <w:spacing w:val="-9"/>
        </w:rPr>
        <w:t> </w:t>
      </w:r>
      <w:r>
        <w:rPr/>
        <w:t>gobierno</w:t>
      </w:r>
      <w:r>
        <w:rPr>
          <w:spacing w:val="-9"/>
        </w:rPr>
        <w:t> </w:t>
      </w:r>
      <w:r>
        <w:rPr/>
        <w:t>y</w:t>
      </w:r>
      <w:r>
        <w:rPr>
          <w:spacing w:val="-9"/>
        </w:rPr>
        <w:t> </w:t>
      </w:r>
      <w:r>
        <w:rPr/>
        <w:t>una</w:t>
      </w:r>
      <w:r>
        <w:rPr>
          <w:spacing w:val="-9"/>
        </w:rPr>
        <w:t> </w:t>
      </w:r>
      <w:r>
        <w:rPr/>
        <w:t>atención</w:t>
      </w:r>
      <w:r>
        <w:rPr>
          <w:spacing w:val="-9"/>
        </w:rPr>
        <w:t> </w:t>
      </w:r>
      <w:r>
        <w:rPr/>
        <w:t>y</w:t>
      </w:r>
      <w:r>
        <w:rPr>
          <w:spacing w:val="-9"/>
        </w:rPr>
        <w:t> </w:t>
      </w:r>
      <w:r>
        <w:rPr/>
        <w:t>participación</w:t>
      </w:r>
      <w:r>
        <w:rPr>
          <w:spacing w:val="-9"/>
        </w:rPr>
        <w:t> </w:t>
      </w:r>
      <w:r>
        <w:rPr/>
        <w:t>de</w:t>
      </w:r>
      <w:r>
        <w:rPr>
          <w:spacing w:val="-9"/>
        </w:rPr>
        <w:t> </w:t>
      </w:r>
      <w:r>
        <w:rPr/>
        <w:t>todos</w:t>
      </w:r>
      <w:r>
        <w:rPr>
          <w:spacing w:val="-9"/>
        </w:rPr>
        <w:t> </w:t>
      </w:r>
      <w:r>
        <w:rPr/>
        <w:t>los</w:t>
      </w:r>
      <w:r>
        <w:rPr>
          <w:spacing w:val="-9"/>
        </w:rPr>
        <w:t> </w:t>
      </w:r>
      <w:r>
        <w:rPr/>
        <w:t>actores</w:t>
      </w:r>
      <w:r>
        <w:rPr>
          <w:spacing w:val="-9"/>
        </w:rPr>
        <w:t> </w:t>
      </w:r>
      <w:r>
        <w:rPr/>
        <w:t>que</w:t>
      </w:r>
      <w:r>
        <w:rPr>
          <w:spacing w:val="-9"/>
        </w:rPr>
        <w:t> </w:t>
      </w:r>
      <w:r>
        <w:rPr/>
        <w:t>intervienen en</w:t>
      </w:r>
      <w:r>
        <w:rPr>
          <w:spacing w:val="-11"/>
        </w:rPr>
        <w:t> </w:t>
      </w:r>
      <w:r>
        <w:rPr/>
        <w:t>un</w:t>
      </w:r>
      <w:r>
        <w:rPr>
          <w:spacing w:val="-11"/>
        </w:rPr>
        <w:t> </w:t>
      </w:r>
      <w:r>
        <w:rPr/>
        <w:t>estado:</w:t>
      </w:r>
      <w:r>
        <w:rPr>
          <w:spacing w:val="-11"/>
        </w:rPr>
        <w:t> </w:t>
      </w:r>
      <w:r>
        <w:rPr/>
        <w:t>el</w:t>
      </w:r>
      <w:r>
        <w:rPr>
          <w:spacing w:val="-11"/>
        </w:rPr>
        <w:t> </w:t>
      </w:r>
      <w:r>
        <w:rPr/>
        <w:t>gobierno,</w:t>
      </w:r>
      <w:r>
        <w:rPr>
          <w:spacing w:val="-11"/>
        </w:rPr>
        <w:t> </w:t>
      </w:r>
      <w:r>
        <w:rPr/>
        <w:t>el</w:t>
      </w:r>
      <w:r>
        <w:rPr>
          <w:spacing w:val="-11"/>
        </w:rPr>
        <w:t> </w:t>
      </w:r>
      <w:r>
        <w:rPr/>
        <w:t>territorio,</w:t>
      </w:r>
      <w:r>
        <w:rPr>
          <w:spacing w:val="-11"/>
        </w:rPr>
        <w:t> </w:t>
      </w:r>
      <w:r>
        <w:rPr/>
        <w:t>y</w:t>
      </w:r>
      <w:r>
        <w:rPr>
          <w:spacing w:val="-11"/>
        </w:rPr>
        <w:t> </w:t>
      </w:r>
      <w:r>
        <w:rPr/>
        <w:t>la</w:t>
      </w:r>
      <w:r>
        <w:rPr>
          <w:spacing w:val="-11"/>
        </w:rPr>
        <w:t> </w:t>
      </w:r>
      <w:r>
        <w:rPr/>
        <w:t>población.</w:t>
      </w:r>
      <w:r>
        <w:rPr>
          <w:spacing w:val="-11"/>
        </w:rPr>
        <w:t> </w:t>
      </w:r>
      <w:r>
        <w:rPr/>
        <w:t>(Charles-Philippe,</w:t>
      </w:r>
      <w:r>
        <w:rPr>
          <w:spacing w:val="-11"/>
        </w:rPr>
        <w:t> </w:t>
      </w:r>
      <w:r>
        <w:rPr>
          <w:spacing w:val="-2"/>
        </w:rPr>
        <w:t>2008).</w:t>
      </w:r>
    </w:p>
    <w:p>
      <w:pPr>
        <w:pStyle w:val="BodyText"/>
        <w:spacing w:line="249" w:lineRule="auto" w:before="76"/>
        <w:ind w:left="130" w:right="127" w:firstLine="170"/>
        <w:jc w:val="both"/>
      </w:pPr>
      <w:r>
        <w:rPr/>
        <w:br w:type="column"/>
      </w:r>
      <w:r>
        <w:rPr/>
        <w:t>Dentro de la evolución de la “gobernanza”, sin lugar a dudas enfrentamos nuevos retos a partir de la desaparición del sistema comunista considerado como un sistema antagónico a la democracia de libre comercio, unido a la revolución tecnológica. Pareciera según prólogo de Felipe González en Berggruen, Gardels (2012) cuando menciona que “el occidente cede poder ante el oriente, es decir el mundo desarrollado cede poder ante un mundo</w:t>
      </w:r>
      <w:r>
        <w:rPr>
          <w:spacing w:val="54"/>
        </w:rPr>
        <w:t> </w:t>
      </w:r>
      <w:r>
        <w:rPr/>
        <w:t>emergente”.</w:t>
      </w:r>
    </w:p>
    <w:p>
      <w:pPr>
        <w:pStyle w:val="BodyText"/>
        <w:spacing w:before="11"/>
      </w:pPr>
    </w:p>
    <w:p>
      <w:pPr>
        <w:pStyle w:val="BodyText"/>
        <w:spacing w:line="249" w:lineRule="auto"/>
        <w:ind w:left="130" w:right="127" w:firstLine="170"/>
        <w:jc w:val="both"/>
      </w:pPr>
      <w:r>
        <w:rPr/>
        <w:t>Así mismo en este mismo texto se menciona que “La aparición de las redes sociales ha cambiado las reglas de juego de la gobernanza. Tanto para Estados Unidos como para China, la evolución de la democracia también supone forzosamente averiguar cómo equilibrar el robusto poder de participación de las redes sociales con la</w:t>
      </w:r>
      <w:r>
        <w:rPr>
          <w:spacing w:val="-25"/>
        </w:rPr>
        <w:t> </w:t>
      </w:r>
      <w:r>
        <w:rPr/>
        <w:t>autoridad de gobierno legítima que se requiere para ocuparse del bien común y de los intereses de la comunidad largo plazo (ídem. pág. </w:t>
      </w:r>
      <w:r>
        <w:rPr>
          <w:spacing w:val="24"/>
        </w:rPr>
        <w:t> </w:t>
      </w:r>
      <w:r>
        <w:rPr/>
        <w:t>125)”.</w:t>
      </w:r>
    </w:p>
    <w:p>
      <w:pPr>
        <w:pStyle w:val="BodyText"/>
        <w:spacing w:before="11"/>
      </w:pPr>
    </w:p>
    <w:p>
      <w:pPr>
        <w:pStyle w:val="BodyText"/>
        <w:spacing w:line="249" w:lineRule="auto"/>
        <w:ind w:left="130" w:right="128" w:firstLine="170"/>
        <w:jc w:val="both"/>
      </w:pPr>
      <w:r>
        <w:rPr/>
        <w:t>Todo esto ha dado como manifiesto una nueva reconfiguración mundial en la que   se ha colocado en una situación compleja las diferentes formas de gobernar, es decir la gobernanza adquiere nuevas dimensiones hoy en día, que hace clara y evidente la necesidad de analizar la situación que enfrenta cada uno de los países en su forma de gobernar siendo esto cada día más complejo, considerando que estamos ante una crisis sistémica en donde por un lado tenemos una democracia representativa y una economía de mercado pero sin alternativa de sistema que marca la necesidad de las nuevas formas de gobierno, es decir la participación activa del ciudadano tanto en   sus derechos como obligaciones, así como el respeto a sus garantías por quien los representa y</w:t>
      </w:r>
      <w:r>
        <w:rPr>
          <w:spacing w:val="6"/>
        </w:rPr>
        <w:t> </w:t>
      </w:r>
      <w:r>
        <w:rPr/>
        <w:t>gobierna.</w:t>
      </w:r>
    </w:p>
    <w:p>
      <w:pPr>
        <w:pStyle w:val="BodyText"/>
        <w:spacing w:before="11"/>
      </w:pPr>
    </w:p>
    <w:p>
      <w:pPr>
        <w:pStyle w:val="BodyText"/>
        <w:spacing w:line="249" w:lineRule="auto"/>
        <w:ind w:left="130" w:right="127" w:firstLine="170"/>
        <w:jc w:val="both"/>
      </w:pPr>
      <w:r>
        <w:rPr/>
        <w:t>Como un análisis de caso, se aborda a la Red México de ciudades estratégicas, se presentan las ciudades que en este país han considerado a la planeación estratégica como una herramienta fundamental en el desarrollo de sus planes de desarrollo dentro diferentes ámbitos como: movilidad; sostenibilidad; espacio público; gobernanza, transparencia y participación; promoción económica y empleo; innovación; cohesión social; educación cultura cambio cultural; identidad marca urbana y pensamiento estratégico.</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55"/>
          <w:pgSz w:w="18830" w:h="12760" w:orient="landscape"/>
          <w:pgMar w:footer="1036" w:header="522" w:top="820" w:bottom="1220" w:left="720" w:right="720"/>
        </w:sectPr>
      </w:pPr>
    </w:p>
    <w:p>
      <w:pPr>
        <w:pStyle w:val="Heading1"/>
        <w:spacing w:before="71"/>
        <w:ind w:right="-7"/>
      </w:pPr>
      <w:r>
        <w:rPr/>
        <w:t>Planes de ordenamiento del Territorio</w:t>
      </w:r>
    </w:p>
    <w:p>
      <w:pPr>
        <w:pStyle w:val="BodyText"/>
        <w:rPr>
          <w:b/>
          <w:sz w:val="24"/>
        </w:rPr>
      </w:pPr>
    </w:p>
    <w:p>
      <w:pPr>
        <w:pStyle w:val="BodyText"/>
        <w:spacing w:line="249" w:lineRule="auto" w:before="205"/>
        <w:ind w:left="130" w:firstLine="170"/>
        <w:jc w:val="both"/>
      </w:pPr>
      <w:r>
        <w:rPr/>
        <w:t>De acuerdo con Massiris (2012) es evidente que en estas últimas décadas ha</w:t>
      </w:r>
      <w:r>
        <w:rPr>
          <w:spacing w:val="-11"/>
        </w:rPr>
        <w:t> </w:t>
      </w:r>
      <w:r>
        <w:rPr/>
        <w:t>habido transformaciones y cambios en las políticas de desarrollo y ordenamiento territorial de América Latina, como consecuencia de los problemas de desigualdad en respuesta a la concentración de la riqueza en un grupo reducido de personas, así como el</w:t>
      </w:r>
      <w:r>
        <w:rPr>
          <w:spacing w:val="-18"/>
        </w:rPr>
        <w:t> </w:t>
      </w:r>
      <w:r>
        <w:rPr/>
        <w:t>aumento en la pobreza, otro problema latente es la exclusión social, el deterioro del medio ambiente,</w:t>
      </w:r>
      <w:r>
        <w:rPr>
          <w:spacing w:val="45"/>
        </w:rPr>
        <w:t> </w:t>
      </w:r>
      <w:r>
        <w:rPr/>
        <w:t>la</w:t>
      </w:r>
      <w:r>
        <w:rPr>
          <w:spacing w:val="45"/>
        </w:rPr>
        <w:t> </w:t>
      </w:r>
      <w:r>
        <w:rPr/>
        <w:t>corrupción</w:t>
      </w:r>
      <w:r>
        <w:rPr>
          <w:spacing w:val="45"/>
        </w:rPr>
        <w:t> </w:t>
      </w:r>
      <w:r>
        <w:rPr/>
        <w:t>derivada</w:t>
      </w:r>
      <w:r>
        <w:rPr>
          <w:spacing w:val="45"/>
        </w:rPr>
        <w:t> </w:t>
      </w:r>
      <w:r>
        <w:rPr/>
        <w:t>de</w:t>
      </w:r>
      <w:r>
        <w:rPr>
          <w:spacing w:val="45"/>
        </w:rPr>
        <w:t> </w:t>
      </w:r>
      <w:r>
        <w:rPr/>
        <w:t>la</w:t>
      </w:r>
      <w:r>
        <w:rPr>
          <w:spacing w:val="45"/>
        </w:rPr>
        <w:t> </w:t>
      </w:r>
      <w:r>
        <w:rPr/>
        <w:t>destrucción</w:t>
      </w:r>
      <w:r>
        <w:rPr>
          <w:spacing w:val="45"/>
        </w:rPr>
        <w:t> </w:t>
      </w:r>
      <w:r>
        <w:rPr/>
        <w:t>de</w:t>
      </w:r>
      <w:r>
        <w:rPr>
          <w:spacing w:val="45"/>
        </w:rPr>
        <w:t> </w:t>
      </w:r>
      <w:r>
        <w:rPr/>
        <w:t>los</w:t>
      </w:r>
      <w:r>
        <w:rPr>
          <w:spacing w:val="45"/>
        </w:rPr>
        <w:t> </w:t>
      </w:r>
      <w:r>
        <w:rPr/>
        <w:t>valores</w:t>
      </w:r>
      <w:r>
        <w:rPr>
          <w:spacing w:val="45"/>
        </w:rPr>
        <w:t> </w:t>
      </w:r>
      <w:r>
        <w:rPr/>
        <w:t>éticos,</w:t>
      </w:r>
      <w:r>
        <w:rPr>
          <w:spacing w:val="45"/>
        </w:rPr>
        <w:t> </w:t>
      </w:r>
      <w:r>
        <w:rPr/>
        <w:t>morales,</w:t>
      </w:r>
      <w:r>
        <w:rPr>
          <w:w w:val="99"/>
        </w:rPr>
        <w:t> </w:t>
      </w:r>
      <w:r>
        <w:rPr/>
        <w:t>sociales y políticos, que han traído como consecuencia un deterioro y destrucción del tejido</w:t>
      </w:r>
      <w:r>
        <w:rPr>
          <w:spacing w:val="21"/>
        </w:rPr>
        <w:t> </w:t>
      </w:r>
      <w:r>
        <w:rPr/>
        <w:t>social.</w:t>
      </w:r>
    </w:p>
    <w:p>
      <w:pPr>
        <w:pStyle w:val="BodyText"/>
        <w:spacing w:before="11"/>
      </w:pPr>
    </w:p>
    <w:p>
      <w:pPr>
        <w:pStyle w:val="BodyText"/>
        <w:spacing w:line="249" w:lineRule="auto"/>
        <w:ind w:left="130" w:firstLine="170"/>
        <w:jc w:val="both"/>
      </w:pPr>
      <w:r>
        <w:rPr/>
        <w:t>Para adoptar una concepción sectorial más sistémica, en la que las políticas económicas, sociales, ambientales y territoriales se integren a partir del territorio como elemento articulador y agente activo, guiado por principios de desarrollo humano sostenible,</w:t>
      </w:r>
      <w:r>
        <w:rPr>
          <w:spacing w:val="-6"/>
        </w:rPr>
        <w:t> </w:t>
      </w:r>
      <w:r>
        <w:rPr/>
        <w:t>inclusión</w:t>
      </w:r>
      <w:r>
        <w:rPr>
          <w:spacing w:val="-6"/>
        </w:rPr>
        <w:t> </w:t>
      </w:r>
      <w:r>
        <w:rPr/>
        <w:t>social,</w:t>
      </w:r>
      <w:r>
        <w:rPr>
          <w:spacing w:val="-6"/>
        </w:rPr>
        <w:t> </w:t>
      </w:r>
      <w:r>
        <w:rPr/>
        <w:t>equidad</w:t>
      </w:r>
      <w:r>
        <w:rPr>
          <w:spacing w:val="-6"/>
        </w:rPr>
        <w:t> </w:t>
      </w:r>
      <w:r>
        <w:rPr/>
        <w:t>territorial,</w:t>
      </w:r>
      <w:r>
        <w:rPr>
          <w:spacing w:val="-6"/>
        </w:rPr>
        <w:t> </w:t>
      </w:r>
      <w:r>
        <w:rPr/>
        <w:t>gobernanza</w:t>
      </w:r>
      <w:r>
        <w:rPr>
          <w:spacing w:val="-6"/>
        </w:rPr>
        <w:t> </w:t>
      </w:r>
      <w:r>
        <w:rPr/>
        <w:t>democrática</w:t>
      </w:r>
      <w:r>
        <w:rPr>
          <w:spacing w:val="-6"/>
        </w:rPr>
        <w:t> </w:t>
      </w:r>
      <w:r>
        <w:rPr/>
        <w:t>y</w:t>
      </w:r>
      <w:r>
        <w:rPr>
          <w:spacing w:val="-6"/>
        </w:rPr>
        <w:t> </w:t>
      </w:r>
      <w:r>
        <w:rPr/>
        <w:t>sostenibilidad ambiental. ( Massiris ,</w:t>
      </w:r>
      <w:r>
        <w:rPr>
          <w:spacing w:val="-19"/>
        </w:rPr>
        <w:t> </w:t>
      </w:r>
      <w:r>
        <w:rPr/>
        <w:t>2012).</w:t>
      </w:r>
    </w:p>
    <w:p>
      <w:pPr>
        <w:pStyle w:val="BodyText"/>
        <w:spacing w:before="11"/>
      </w:pPr>
    </w:p>
    <w:p>
      <w:pPr>
        <w:pStyle w:val="BodyText"/>
        <w:spacing w:line="249" w:lineRule="auto"/>
        <w:ind w:left="130" w:firstLine="170"/>
        <w:jc w:val="both"/>
      </w:pPr>
      <w:r>
        <w:rPr/>
        <w:t>A partir de lo anterior los     planes de ordenamiento territorial se caracterizan en      la actualidad como componentes estratégicos y flexibles integrados a una base estructural heredada de la planificación tradicional. La eficiencia como componente de operatividad de la flexibilidad, se traduce básicamente en la adopción de un régimen de prioridades que se manifiesta preferentemente en los instrumentos de</w:t>
      </w:r>
      <w:r>
        <w:rPr>
          <w:spacing w:val="-31"/>
        </w:rPr>
        <w:t> </w:t>
      </w:r>
      <w:r>
        <w:rPr/>
        <w:t>planeamiento y ejecución del</w:t>
      </w:r>
      <w:r>
        <w:rPr>
          <w:spacing w:val="17"/>
        </w:rPr>
        <w:t> </w:t>
      </w:r>
      <w:r>
        <w:rPr/>
        <w:t>plan.</w:t>
      </w:r>
    </w:p>
    <w:p>
      <w:pPr>
        <w:pStyle w:val="BodyText"/>
        <w:spacing w:before="11"/>
      </w:pPr>
    </w:p>
    <w:p>
      <w:pPr>
        <w:pStyle w:val="BodyText"/>
        <w:spacing w:line="249" w:lineRule="auto"/>
        <w:ind w:left="130" w:firstLine="170"/>
        <w:jc w:val="both"/>
      </w:pPr>
      <w:r>
        <w:rPr/>
        <w:t>El</w:t>
      </w:r>
      <w:r>
        <w:rPr>
          <w:spacing w:val="-10"/>
        </w:rPr>
        <w:t> </w:t>
      </w:r>
      <w:r>
        <w:rPr/>
        <w:t>ordenamiento</w:t>
      </w:r>
      <w:r>
        <w:rPr>
          <w:spacing w:val="-10"/>
        </w:rPr>
        <w:t> </w:t>
      </w:r>
      <w:r>
        <w:rPr/>
        <w:t>territorial</w:t>
      </w:r>
      <w:r>
        <w:rPr>
          <w:spacing w:val="-10"/>
        </w:rPr>
        <w:t> </w:t>
      </w:r>
      <w:r>
        <w:rPr/>
        <w:t>tiene</w:t>
      </w:r>
      <w:r>
        <w:rPr>
          <w:spacing w:val="-10"/>
        </w:rPr>
        <w:t> </w:t>
      </w:r>
      <w:r>
        <w:rPr/>
        <w:t>un</w:t>
      </w:r>
      <w:r>
        <w:rPr>
          <w:spacing w:val="-10"/>
        </w:rPr>
        <w:t> </w:t>
      </w:r>
      <w:r>
        <w:rPr/>
        <w:t>valor</w:t>
      </w:r>
      <w:r>
        <w:rPr>
          <w:spacing w:val="-10"/>
        </w:rPr>
        <w:t> </w:t>
      </w:r>
      <w:r>
        <w:rPr/>
        <w:t>estratégico</w:t>
      </w:r>
      <w:r>
        <w:rPr>
          <w:spacing w:val="-10"/>
        </w:rPr>
        <w:t> </w:t>
      </w:r>
      <w:r>
        <w:rPr/>
        <w:t>para</w:t>
      </w:r>
      <w:r>
        <w:rPr>
          <w:spacing w:val="-10"/>
        </w:rPr>
        <w:t> </w:t>
      </w:r>
      <w:r>
        <w:rPr/>
        <w:t>la</w:t>
      </w:r>
      <w:r>
        <w:rPr>
          <w:spacing w:val="-10"/>
        </w:rPr>
        <w:t> </w:t>
      </w:r>
      <w:r>
        <w:rPr/>
        <w:t>planificación</w:t>
      </w:r>
      <w:r>
        <w:rPr>
          <w:spacing w:val="36"/>
        </w:rPr>
        <w:t> </w:t>
      </w:r>
      <w:r>
        <w:rPr/>
        <w:t>de</w:t>
      </w:r>
      <w:r>
        <w:rPr>
          <w:spacing w:val="-10"/>
        </w:rPr>
        <w:t> </w:t>
      </w:r>
      <w:r>
        <w:rPr/>
        <w:t>ciudades. Se</w:t>
      </w:r>
      <w:r>
        <w:rPr>
          <w:spacing w:val="-3"/>
        </w:rPr>
        <w:t> </w:t>
      </w:r>
      <w:r>
        <w:rPr/>
        <w:t>puede</w:t>
      </w:r>
      <w:r>
        <w:rPr>
          <w:spacing w:val="-3"/>
        </w:rPr>
        <w:t> </w:t>
      </w:r>
      <w:r>
        <w:rPr/>
        <w:t>proyectar</w:t>
      </w:r>
      <w:r>
        <w:rPr>
          <w:spacing w:val="-3"/>
        </w:rPr>
        <w:t> </w:t>
      </w:r>
      <w:r>
        <w:rPr/>
        <w:t>la</w:t>
      </w:r>
      <w:r>
        <w:rPr>
          <w:spacing w:val="-3"/>
        </w:rPr>
        <w:t> </w:t>
      </w:r>
      <w:r>
        <w:rPr/>
        <w:t>utilización</w:t>
      </w:r>
      <w:r>
        <w:rPr>
          <w:spacing w:val="-3"/>
        </w:rPr>
        <w:t> </w:t>
      </w:r>
      <w:r>
        <w:rPr/>
        <w:t>del</w:t>
      </w:r>
      <w:r>
        <w:rPr>
          <w:spacing w:val="-3"/>
        </w:rPr>
        <w:t> </w:t>
      </w:r>
      <w:r>
        <w:rPr/>
        <w:t>territorio</w:t>
      </w:r>
      <w:r>
        <w:rPr>
          <w:spacing w:val="-3"/>
        </w:rPr>
        <w:t> </w:t>
      </w:r>
      <w:r>
        <w:rPr/>
        <w:t>de</w:t>
      </w:r>
      <w:r>
        <w:rPr>
          <w:spacing w:val="-3"/>
        </w:rPr>
        <w:t> </w:t>
      </w:r>
      <w:r>
        <w:rPr/>
        <w:t>tal</w:t>
      </w:r>
      <w:r>
        <w:rPr>
          <w:spacing w:val="-3"/>
        </w:rPr>
        <w:t> </w:t>
      </w:r>
      <w:r>
        <w:rPr/>
        <w:t>manera</w:t>
      </w:r>
      <w:r>
        <w:rPr>
          <w:spacing w:val="-3"/>
        </w:rPr>
        <w:t> </w:t>
      </w:r>
      <w:r>
        <w:rPr/>
        <w:t>que</w:t>
      </w:r>
      <w:r>
        <w:rPr>
          <w:spacing w:val="-3"/>
        </w:rPr>
        <w:t> </w:t>
      </w:r>
      <w:r>
        <w:rPr/>
        <w:t>se</w:t>
      </w:r>
      <w:r>
        <w:rPr>
          <w:spacing w:val="-3"/>
        </w:rPr>
        <w:t> </w:t>
      </w:r>
      <w:r>
        <w:rPr/>
        <w:t>prevean</w:t>
      </w:r>
      <w:r>
        <w:rPr>
          <w:spacing w:val="-3"/>
        </w:rPr>
        <w:t> </w:t>
      </w:r>
      <w:r>
        <w:rPr/>
        <w:t>y</w:t>
      </w:r>
      <w:r>
        <w:rPr>
          <w:spacing w:val="-3"/>
        </w:rPr>
        <w:t> </w:t>
      </w:r>
      <w:r>
        <w:rPr/>
        <w:t>reduzcan los problemas que se presentan en el uso inadecuado del territorio como sucede dentro de las diferentes actividades productivas, residenciales o comerciales o en el uso de preservación, conservación y recuperación ambiental. De ahí la importancia de un seguimiento y control de actividades que permita verificar el cumplimiento de los objetivos establecidos o en su caso la reorientación de éstas para llegar al objetivo deseado.</w:t>
      </w:r>
    </w:p>
    <w:p>
      <w:pPr>
        <w:pStyle w:val="BodyText"/>
        <w:spacing w:before="11"/>
      </w:pPr>
    </w:p>
    <w:p>
      <w:pPr>
        <w:pStyle w:val="BodyText"/>
        <w:spacing w:line="249" w:lineRule="auto"/>
        <w:ind w:left="130" w:firstLine="170"/>
        <w:jc w:val="both"/>
      </w:pPr>
      <w:r>
        <w:rPr/>
        <w:t>Es de señalar que los planes estratégicos de ordenamiento, aportan una visión prospectiva mediante la cual es posible considerar el desarrollo territorial a largo   plazo como parte de la construcción de una nueva ciudad a través del cambio hacia una cultura de la gestión territorial del desarrollo, coadyuvando a la cohesión social      y territorial y a la gobernabilidad democrática en tanto dichos planes se formulen, adopten y ejecuten con una participación efectiva e informada de los actores  </w:t>
      </w:r>
      <w:r>
        <w:rPr>
          <w:spacing w:val="20"/>
        </w:rPr>
        <w:t> </w:t>
      </w:r>
      <w:r>
        <w:rPr/>
        <w:t>sociales</w:t>
      </w:r>
    </w:p>
    <w:p>
      <w:pPr>
        <w:pStyle w:val="BodyText"/>
        <w:spacing w:line="249" w:lineRule="auto" w:before="109"/>
        <w:ind w:left="130" w:right="128"/>
        <w:jc w:val="both"/>
      </w:pPr>
      <w:r>
        <w:rPr/>
        <w:br w:type="column"/>
      </w:r>
      <w:r>
        <w:rPr/>
        <w:t>en las decisiones de desarrollo territorial y estén guiadas por principios de equidad e inclusión social, sostenibilidad ambiental y pluri- culturalidad. (Pascual, y J;Pascual G.J(2009)</w:t>
      </w:r>
    </w:p>
    <w:p>
      <w:pPr>
        <w:pStyle w:val="BodyText"/>
        <w:spacing w:before="11"/>
      </w:pPr>
    </w:p>
    <w:p>
      <w:pPr>
        <w:pStyle w:val="BodyText"/>
        <w:spacing w:line="249" w:lineRule="auto"/>
        <w:ind w:left="130" w:right="127" w:firstLine="170"/>
        <w:jc w:val="both"/>
      </w:pPr>
      <w:r>
        <w:rPr/>
        <w:t>La gestión del territorio requiere de instrumentos concretos y analíticos que nos den una</w:t>
      </w:r>
      <w:r>
        <w:rPr>
          <w:spacing w:val="-4"/>
        </w:rPr>
        <w:t> </w:t>
      </w:r>
      <w:r>
        <w:rPr/>
        <w:t>aproximación</w:t>
      </w:r>
      <w:r>
        <w:rPr>
          <w:spacing w:val="-4"/>
        </w:rPr>
        <w:t> </w:t>
      </w:r>
      <w:r>
        <w:rPr/>
        <w:t>de</w:t>
      </w:r>
      <w:r>
        <w:rPr>
          <w:spacing w:val="-4"/>
        </w:rPr>
        <w:t> </w:t>
      </w:r>
      <w:r>
        <w:rPr/>
        <w:t>la</w:t>
      </w:r>
      <w:r>
        <w:rPr>
          <w:spacing w:val="-4"/>
        </w:rPr>
        <w:t> </w:t>
      </w:r>
      <w:r>
        <w:rPr/>
        <w:t>realidad</w:t>
      </w:r>
      <w:r>
        <w:rPr>
          <w:spacing w:val="-4"/>
        </w:rPr>
        <w:t> </w:t>
      </w:r>
      <w:r>
        <w:rPr/>
        <w:t>en</w:t>
      </w:r>
      <w:r>
        <w:rPr>
          <w:spacing w:val="-4"/>
        </w:rPr>
        <w:t> </w:t>
      </w:r>
      <w:r>
        <w:rPr/>
        <w:t>el</w:t>
      </w:r>
      <w:r>
        <w:rPr>
          <w:spacing w:val="-4"/>
        </w:rPr>
        <w:t> </w:t>
      </w:r>
      <w:r>
        <w:rPr/>
        <w:t>ámbito</w:t>
      </w:r>
      <w:r>
        <w:rPr>
          <w:spacing w:val="-4"/>
        </w:rPr>
        <w:t> </w:t>
      </w:r>
      <w:r>
        <w:rPr/>
        <w:t>en</w:t>
      </w:r>
      <w:r>
        <w:rPr>
          <w:spacing w:val="-4"/>
        </w:rPr>
        <w:t> </w:t>
      </w:r>
      <w:r>
        <w:rPr/>
        <w:t>el</w:t>
      </w:r>
      <w:r>
        <w:rPr>
          <w:spacing w:val="-4"/>
        </w:rPr>
        <w:t> </w:t>
      </w:r>
      <w:r>
        <w:rPr/>
        <w:t>cual</w:t>
      </w:r>
      <w:r>
        <w:rPr>
          <w:spacing w:val="-4"/>
        </w:rPr>
        <w:t> </w:t>
      </w:r>
      <w:r>
        <w:rPr/>
        <w:t>se</w:t>
      </w:r>
      <w:r>
        <w:rPr>
          <w:spacing w:val="-4"/>
        </w:rPr>
        <w:t> </w:t>
      </w:r>
      <w:r>
        <w:rPr/>
        <w:t>pretende</w:t>
      </w:r>
      <w:r>
        <w:rPr>
          <w:spacing w:val="-4"/>
        </w:rPr>
        <w:t> </w:t>
      </w:r>
      <w:r>
        <w:rPr/>
        <w:t>intervenir,</w:t>
      </w:r>
      <w:r>
        <w:rPr>
          <w:spacing w:val="-4"/>
        </w:rPr>
        <w:t> </w:t>
      </w:r>
      <w:r>
        <w:rPr/>
        <w:t>tal</w:t>
      </w:r>
      <w:r>
        <w:rPr>
          <w:spacing w:val="-4"/>
        </w:rPr>
        <w:t> </w:t>
      </w:r>
      <w:r>
        <w:rPr/>
        <w:t>como se puede considerar en los modelos económicos, sociales y espaciales no se utilizan herramientas adecuadas para lograr tener esa perspectiva de los acontecimientos   que se pudieran presentar a futuro, lo que deriva como resultado una falta de visión   en la forma de abordar los problemas existentes en el territorio que debiera buscar esencialmente la reducción de las desigualdades, así como elevar la calidad de vida de la</w:t>
      </w:r>
      <w:r>
        <w:rPr>
          <w:spacing w:val="17"/>
        </w:rPr>
        <w:t> </w:t>
      </w:r>
      <w:r>
        <w:rPr/>
        <w:t>sociedad.</w:t>
      </w:r>
    </w:p>
    <w:p>
      <w:pPr>
        <w:pStyle w:val="BodyText"/>
        <w:spacing w:before="11"/>
      </w:pPr>
    </w:p>
    <w:p>
      <w:pPr>
        <w:pStyle w:val="BodyText"/>
        <w:spacing w:line="249" w:lineRule="auto"/>
        <w:ind w:left="130" w:right="127" w:firstLine="170"/>
        <w:jc w:val="both"/>
      </w:pPr>
      <w:r>
        <w:rPr/>
        <w:t>Ante</w:t>
      </w:r>
      <w:r>
        <w:rPr>
          <w:spacing w:val="-6"/>
        </w:rPr>
        <w:t> </w:t>
      </w:r>
      <w:r>
        <w:rPr/>
        <w:t>un</w:t>
      </w:r>
      <w:r>
        <w:rPr>
          <w:spacing w:val="-6"/>
        </w:rPr>
        <w:t> </w:t>
      </w:r>
      <w:r>
        <w:rPr/>
        <w:t>crecimiento</w:t>
      </w:r>
      <w:r>
        <w:rPr>
          <w:spacing w:val="-6"/>
        </w:rPr>
        <w:t> </w:t>
      </w:r>
      <w:r>
        <w:rPr/>
        <w:t>tan</w:t>
      </w:r>
      <w:r>
        <w:rPr>
          <w:spacing w:val="-6"/>
        </w:rPr>
        <w:t> </w:t>
      </w:r>
      <w:r>
        <w:rPr/>
        <w:t>veloz</w:t>
      </w:r>
      <w:r>
        <w:rPr>
          <w:spacing w:val="-6"/>
        </w:rPr>
        <w:t> </w:t>
      </w:r>
      <w:r>
        <w:rPr/>
        <w:t>como</w:t>
      </w:r>
      <w:r>
        <w:rPr>
          <w:spacing w:val="-6"/>
        </w:rPr>
        <w:t> </w:t>
      </w:r>
      <w:r>
        <w:rPr/>
        <w:t>el</w:t>
      </w:r>
      <w:r>
        <w:rPr>
          <w:spacing w:val="-6"/>
        </w:rPr>
        <w:t> </w:t>
      </w:r>
      <w:r>
        <w:rPr/>
        <w:t>que</w:t>
      </w:r>
      <w:r>
        <w:rPr>
          <w:spacing w:val="-6"/>
        </w:rPr>
        <w:t> </w:t>
      </w:r>
      <w:r>
        <w:rPr/>
        <w:t>se</w:t>
      </w:r>
      <w:r>
        <w:rPr>
          <w:spacing w:val="-6"/>
        </w:rPr>
        <w:t> </w:t>
      </w:r>
      <w:r>
        <w:rPr/>
        <w:t>presenta</w:t>
      </w:r>
      <w:r>
        <w:rPr>
          <w:spacing w:val="-6"/>
        </w:rPr>
        <w:t> </w:t>
      </w:r>
      <w:r>
        <w:rPr/>
        <w:t>hoy</w:t>
      </w:r>
      <w:r>
        <w:rPr>
          <w:spacing w:val="-6"/>
        </w:rPr>
        <w:t> </w:t>
      </w:r>
      <w:r>
        <w:rPr/>
        <w:t>en</w:t>
      </w:r>
      <w:r>
        <w:rPr>
          <w:spacing w:val="-6"/>
        </w:rPr>
        <w:t> </w:t>
      </w:r>
      <w:r>
        <w:rPr/>
        <w:t>día,</w:t>
      </w:r>
      <w:r>
        <w:rPr>
          <w:spacing w:val="-6"/>
        </w:rPr>
        <w:t> </w:t>
      </w:r>
      <w:r>
        <w:rPr/>
        <w:t>y</w:t>
      </w:r>
      <w:r>
        <w:rPr>
          <w:spacing w:val="-6"/>
        </w:rPr>
        <w:t> </w:t>
      </w:r>
      <w:r>
        <w:rPr/>
        <w:t>que</w:t>
      </w:r>
      <w:r>
        <w:rPr>
          <w:spacing w:val="-6"/>
        </w:rPr>
        <w:t> </w:t>
      </w:r>
      <w:r>
        <w:rPr/>
        <w:t>ha</w:t>
      </w:r>
      <w:r>
        <w:rPr>
          <w:spacing w:val="-6"/>
        </w:rPr>
        <w:t> </w:t>
      </w:r>
      <w:r>
        <w:rPr/>
        <w:t>rebasado de  manera  impresionante  nuestra  capacidad  de  dar  una  respuesta  inmediata  a la problemática actual que enfrentan las ciudades y los gobernantes en materia de ordenamiento del territorio pareciera que es inminente y fundamental establecer medidas preventivas y correctivas que se anticipen a las evoluciones y crecimiento del futuro (Rosales, Santana, Manzano, 2014). Antes de introducirnos hacia la planeación estratégica de ciudades situemos a la administración estratégica en el ámbito privado que</w:t>
      </w:r>
      <w:r>
        <w:rPr>
          <w:spacing w:val="-3"/>
        </w:rPr>
        <w:t> </w:t>
      </w:r>
      <w:r>
        <w:rPr/>
        <w:t>es</w:t>
      </w:r>
      <w:r>
        <w:rPr>
          <w:spacing w:val="-4"/>
        </w:rPr>
        <w:t> </w:t>
      </w:r>
      <w:r>
        <w:rPr/>
        <w:t>el</w:t>
      </w:r>
      <w:r>
        <w:rPr>
          <w:spacing w:val="-3"/>
        </w:rPr>
        <w:t> </w:t>
      </w:r>
      <w:r>
        <w:rPr/>
        <w:t>referente</w:t>
      </w:r>
      <w:r>
        <w:rPr>
          <w:spacing w:val="-4"/>
        </w:rPr>
        <w:t> </w:t>
      </w:r>
      <w:r>
        <w:rPr/>
        <w:t>como</w:t>
      </w:r>
      <w:r>
        <w:rPr>
          <w:spacing w:val="-4"/>
        </w:rPr>
        <w:t> </w:t>
      </w:r>
      <w:r>
        <w:rPr/>
        <w:t>se</w:t>
      </w:r>
      <w:r>
        <w:rPr>
          <w:spacing w:val="-3"/>
        </w:rPr>
        <w:t> </w:t>
      </w:r>
      <w:r>
        <w:rPr/>
        <w:t>menciona</w:t>
      </w:r>
      <w:r>
        <w:rPr>
          <w:spacing w:val="-4"/>
        </w:rPr>
        <w:t> </w:t>
      </w:r>
      <w:r>
        <w:rPr/>
        <w:t>en</w:t>
      </w:r>
      <w:r>
        <w:rPr>
          <w:spacing w:val="-3"/>
        </w:rPr>
        <w:t> </w:t>
      </w:r>
      <w:r>
        <w:rPr/>
        <w:t>este</w:t>
      </w:r>
      <w:r>
        <w:rPr>
          <w:spacing w:val="-3"/>
        </w:rPr>
        <w:t> </w:t>
      </w:r>
      <w:r>
        <w:rPr/>
        <w:t>capítulo</w:t>
      </w:r>
      <w:r>
        <w:rPr>
          <w:spacing w:val="-4"/>
        </w:rPr>
        <w:t> </w:t>
      </w:r>
      <w:r>
        <w:rPr/>
        <w:t>del</w:t>
      </w:r>
      <w:r>
        <w:rPr>
          <w:spacing w:val="-3"/>
        </w:rPr>
        <w:t> </w:t>
      </w:r>
      <w:r>
        <w:rPr/>
        <w:t>uso</w:t>
      </w:r>
      <w:r>
        <w:rPr>
          <w:spacing w:val="-3"/>
        </w:rPr>
        <w:t> </w:t>
      </w:r>
      <w:r>
        <w:rPr/>
        <w:t>y</w:t>
      </w:r>
      <w:r>
        <w:rPr>
          <w:spacing w:val="-3"/>
        </w:rPr>
        <w:t> </w:t>
      </w:r>
      <w:r>
        <w:rPr/>
        <w:t>desarrollo</w:t>
      </w:r>
      <w:r>
        <w:rPr>
          <w:spacing w:val="-4"/>
        </w:rPr>
        <w:t> </w:t>
      </w:r>
      <w:r>
        <w:rPr/>
        <w:t>de</w:t>
      </w:r>
      <w:r>
        <w:rPr>
          <w:spacing w:val="-4"/>
        </w:rPr>
        <w:t> </w:t>
      </w:r>
      <w:r>
        <w:rPr/>
        <w:t>modelos estratégicos para el</w:t>
      </w:r>
      <w:r>
        <w:rPr>
          <w:spacing w:val="31"/>
        </w:rPr>
        <w:t> </w:t>
      </w:r>
      <w:r>
        <w:rPr/>
        <w:t>territorio.</w:t>
      </w:r>
    </w:p>
    <w:p>
      <w:pPr>
        <w:pStyle w:val="BodyText"/>
        <w:spacing w:before="11"/>
      </w:pPr>
    </w:p>
    <w:p>
      <w:pPr>
        <w:pStyle w:val="BodyText"/>
        <w:spacing w:line="249" w:lineRule="auto"/>
        <w:ind w:left="130" w:right="127" w:firstLine="170"/>
        <w:jc w:val="both"/>
      </w:pPr>
      <w:r>
        <w:rPr/>
        <w:t>Se puede definir a la administración estratégica empresarial como: “El modo sistemático de gestionar el cambio en la empresa con el propósito de competir ventajosamente en el mercado, adaptarse al entorno, redefinir los productos y maximizar los beneficios”.</w:t>
      </w:r>
    </w:p>
    <w:p>
      <w:pPr>
        <w:pStyle w:val="BodyText"/>
        <w:spacing w:before="11"/>
      </w:pPr>
    </w:p>
    <w:p>
      <w:pPr>
        <w:pStyle w:val="BodyText"/>
        <w:spacing w:line="249" w:lineRule="auto"/>
        <w:ind w:left="130" w:right="127" w:firstLine="170"/>
        <w:jc w:val="both"/>
      </w:pPr>
      <w:r>
        <w:rPr/>
        <w:t>Dentro</w:t>
      </w:r>
      <w:r>
        <w:rPr>
          <w:spacing w:val="-14"/>
        </w:rPr>
        <w:t> </w:t>
      </w:r>
      <w:r>
        <w:rPr/>
        <w:t>de</w:t>
      </w:r>
      <w:r>
        <w:rPr>
          <w:spacing w:val="-14"/>
        </w:rPr>
        <w:t> </w:t>
      </w:r>
      <w:r>
        <w:rPr/>
        <w:t>éste</w:t>
      </w:r>
      <w:r>
        <w:rPr>
          <w:spacing w:val="-14"/>
        </w:rPr>
        <w:t> </w:t>
      </w:r>
      <w:r>
        <w:rPr/>
        <w:t>proceso</w:t>
      </w:r>
      <w:r>
        <w:rPr>
          <w:spacing w:val="-14"/>
        </w:rPr>
        <w:t> </w:t>
      </w:r>
      <w:r>
        <w:rPr/>
        <w:t>estratégico</w:t>
      </w:r>
      <w:r>
        <w:rPr>
          <w:spacing w:val="-14"/>
        </w:rPr>
        <w:t> </w:t>
      </w:r>
      <w:r>
        <w:rPr/>
        <w:t>y</w:t>
      </w:r>
      <w:r>
        <w:rPr>
          <w:spacing w:val="-14"/>
        </w:rPr>
        <w:t> </w:t>
      </w:r>
      <w:r>
        <w:rPr/>
        <w:t>para</w:t>
      </w:r>
      <w:r>
        <w:rPr>
          <w:spacing w:val="-14"/>
        </w:rPr>
        <w:t> </w:t>
      </w:r>
      <w:r>
        <w:rPr/>
        <w:t>dar</w:t>
      </w:r>
      <w:r>
        <w:rPr>
          <w:spacing w:val="-14"/>
        </w:rPr>
        <w:t> </w:t>
      </w:r>
      <w:r>
        <w:rPr/>
        <w:t>mayor</w:t>
      </w:r>
      <w:r>
        <w:rPr>
          <w:spacing w:val="-14"/>
        </w:rPr>
        <w:t> </w:t>
      </w:r>
      <w:r>
        <w:rPr/>
        <w:t>claridad</w:t>
      </w:r>
      <w:r>
        <w:rPr>
          <w:spacing w:val="-14"/>
        </w:rPr>
        <w:t> </w:t>
      </w:r>
      <w:r>
        <w:rPr/>
        <w:t>del</w:t>
      </w:r>
      <w:r>
        <w:rPr>
          <w:spacing w:val="-14"/>
        </w:rPr>
        <w:t> </w:t>
      </w:r>
      <w:r>
        <w:rPr/>
        <w:t>enfoque</w:t>
      </w:r>
      <w:r>
        <w:rPr>
          <w:spacing w:val="-14"/>
        </w:rPr>
        <w:t> </w:t>
      </w:r>
      <w:r>
        <w:rPr/>
        <w:t>empresarial, se presenta un modelo de planeación estratégica desarrollado por David,F (2003)    (Ver figura 1. ) en el cual enfoca una serie de pasos y el uso de herramientas para la planeación, formulación e implementación de estrategias que lleven a los directivos de la empresa a toma de decisiones asertivas orientadas al cumplimiento de los objetivos y fines de la</w:t>
      </w:r>
      <w:r>
        <w:rPr>
          <w:spacing w:val="3"/>
        </w:rPr>
        <w:t> </w:t>
      </w:r>
      <w:r>
        <w:rPr/>
        <w:t>misma.</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56"/>
          <w:pgSz w:w="18830" w:h="12760" w:orient="landscape"/>
          <w:pgMar w:footer="1036" w:header="522" w:top="820" w:bottom="1220" w:left="480" w:right="720"/>
        </w:sectPr>
      </w:pPr>
    </w:p>
    <w:p>
      <w:pPr>
        <w:spacing w:before="114"/>
        <w:ind w:left="1916" w:right="1976" w:firstLine="0"/>
        <w:jc w:val="center"/>
        <w:rPr>
          <w:sz w:val="16"/>
        </w:rPr>
      </w:pPr>
      <w:r>
        <w:rPr/>
        <w:drawing>
          <wp:anchor distT="0" distB="0" distL="0" distR="0" allowOverlap="1" layoutInCell="1" locked="0" behindDoc="0" simplePos="0" relativeHeight="1744">
            <wp:simplePos x="0" y="0"/>
            <wp:positionH relativeFrom="page">
              <wp:posOffset>373270</wp:posOffset>
            </wp:positionH>
            <wp:positionV relativeFrom="paragraph">
              <wp:posOffset>246435</wp:posOffset>
            </wp:positionV>
            <wp:extent cx="5341578" cy="3721608"/>
            <wp:effectExtent l="0" t="0" r="0" b="0"/>
            <wp:wrapNone/>
            <wp:docPr id="9" name="image22.jpeg" descr=""/>
            <wp:cNvGraphicFramePr>
              <a:graphicFrameLocks noChangeAspect="1"/>
            </wp:cNvGraphicFramePr>
            <a:graphic>
              <a:graphicData uri="http://schemas.openxmlformats.org/drawingml/2006/picture">
                <pic:pic>
                  <pic:nvPicPr>
                    <pic:cNvPr id="10" name="image22.jpeg"/>
                    <pic:cNvPicPr/>
                  </pic:nvPicPr>
                  <pic:blipFill>
                    <a:blip r:embed="rId57" cstate="print"/>
                    <a:stretch>
                      <a:fillRect/>
                    </a:stretch>
                  </pic:blipFill>
                  <pic:spPr>
                    <a:xfrm>
                      <a:off x="0" y="0"/>
                      <a:ext cx="5341578" cy="3721608"/>
                    </a:xfrm>
                    <a:prstGeom prst="rect">
                      <a:avLst/>
                    </a:prstGeom>
                  </pic:spPr>
                </pic:pic>
              </a:graphicData>
            </a:graphic>
          </wp:anchor>
        </w:drawing>
      </w:r>
      <w:r>
        <w:rPr>
          <w:color w:val="6D6E71"/>
          <w:sz w:val="16"/>
        </w:rPr>
        <w:t>Figura 1. Modelo Integral de Planeación Estratégica Empresarial</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4"/>
        </w:rPr>
      </w:pPr>
    </w:p>
    <w:p>
      <w:pPr>
        <w:spacing w:before="0"/>
        <w:ind w:left="1916" w:right="1976" w:firstLine="0"/>
        <w:jc w:val="center"/>
        <w:rPr>
          <w:sz w:val="16"/>
        </w:rPr>
      </w:pPr>
      <w:r>
        <w:rPr>
          <w:color w:val="6D6E71"/>
          <w:sz w:val="16"/>
        </w:rPr>
        <w:t>Fuente: Elaboración propia basado en Fred R. David (1988)</w:t>
      </w:r>
    </w:p>
    <w:p>
      <w:pPr>
        <w:pStyle w:val="BodyText"/>
        <w:spacing w:before="5"/>
        <w:rPr>
          <w:sz w:val="22"/>
        </w:rPr>
      </w:pPr>
    </w:p>
    <w:p>
      <w:pPr>
        <w:pStyle w:val="BodyText"/>
        <w:spacing w:line="249" w:lineRule="auto"/>
        <w:ind w:left="370" w:right="429" w:firstLine="170"/>
        <w:jc w:val="both"/>
      </w:pPr>
      <w:r>
        <w:rPr/>
        <w:t>David, F (2003) refiere a la “ Administración  estratégica” como el arte y la ciencia   de formular, implementar y evaluar las decisiones inter- funcionales que permitan a la organización alcanzar sus objetivos, lo cual implica que la administración estratégica integra</w:t>
      </w:r>
      <w:r>
        <w:rPr>
          <w:spacing w:val="-12"/>
        </w:rPr>
        <w:t> </w:t>
      </w:r>
      <w:r>
        <w:rPr/>
        <w:t>al</w:t>
      </w:r>
      <w:r>
        <w:rPr>
          <w:spacing w:val="-12"/>
        </w:rPr>
        <w:t> </w:t>
      </w:r>
      <w:r>
        <w:rPr/>
        <w:t>proceso</w:t>
      </w:r>
      <w:r>
        <w:rPr>
          <w:spacing w:val="-12"/>
        </w:rPr>
        <w:t> </w:t>
      </w:r>
      <w:r>
        <w:rPr/>
        <w:t>administrativo</w:t>
      </w:r>
      <w:r>
        <w:rPr>
          <w:spacing w:val="-12"/>
        </w:rPr>
        <w:t> </w:t>
      </w:r>
      <w:r>
        <w:rPr/>
        <w:t>tradicional,</w:t>
      </w:r>
      <w:r>
        <w:rPr>
          <w:spacing w:val="-12"/>
        </w:rPr>
        <w:t> </w:t>
      </w:r>
      <w:r>
        <w:rPr/>
        <w:t>las</w:t>
      </w:r>
      <w:r>
        <w:rPr>
          <w:spacing w:val="-12"/>
        </w:rPr>
        <w:t> </w:t>
      </w:r>
      <w:r>
        <w:rPr/>
        <w:t>áreas</w:t>
      </w:r>
      <w:r>
        <w:rPr>
          <w:spacing w:val="-12"/>
        </w:rPr>
        <w:t> </w:t>
      </w:r>
      <w:r>
        <w:rPr/>
        <w:t>funcionales</w:t>
      </w:r>
      <w:r>
        <w:rPr>
          <w:spacing w:val="-12"/>
        </w:rPr>
        <w:t> </w:t>
      </w:r>
      <w:r>
        <w:rPr/>
        <w:t>de</w:t>
      </w:r>
      <w:r>
        <w:rPr>
          <w:spacing w:val="-12"/>
        </w:rPr>
        <w:t> </w:t>
      </w:r>
      <w:r>
        <w:rPr/>
        <w:t>las</w:t>
      </w:r>
      <w:r>
        <w:rPr>
          <w:spacing w:val="-12"/>
        </w:rPr>
        <w:t> </w:t>
      </w:r>
      <w:r>
        <w:rPr/>
        <w:t>organizaciones como: mercadotecnia; finanzas y contabilidad; producción y las operaciones; investigación &amp; desarrollo; y los sistemas computarizados de información para lograr los objetivos establecidos por las organizaciones. Aguilar V. A. (2003) se refiere a la administración estratégica como el “conjunto de técnicas y corrientes administrativas de actualidad que promueven con sus fundamentos y metodologías, la proyección de lo estratégico hacia el futuro”. Koontz y O’Donnell (1991) refieren que “planeación” es decir en forma anticipada qué hacer, como hacerlo y quien lo </w:t>
      </w:r>
      <w:r>
        <w:rPr>
          <w:spacing w:val="6"/>
        </w:rPr>
        <w:t>vaa </w:t>
      </w:r>
      <w:r>
        <w:rPr/>
        <w:t>hacer”. El concepto de “planeación estratégica” es definido por Ackoff como “el diseño del futuro deseado  y la manera efectiva para</w:t>
      </w:r>
      <w:r>
        <w:rPr>
          <w:spacing w:val="9"/>
        </w:rPr>
        <w:t> </w:t>
      </w:r>
      <w:r>
        <w:rPr/>
        <w:t>alcanzarlo”.</w:t>
      </w:r>
    </w:p>
    <w:p>
      <w:pPr>
        <w:pStyle w:val="BodyText"/>
        <w:spacing w:line="249" w:lineRule="auto" w:before="76"/>
        <w:ind w:left="107" w:right="127" w:firstLine="224"/>
        <w:jc w:val="both"/>
      </w:pPr>
      <w:r>
        <w:rPr/>
        <w:br w:type="column"/>
      </w:r>
      <w:r>
        <w:rPr/>
        <w:t>Con fundamento en lo anterior es importante señalar que la planeación estratégica, es una etapa   de la administración estratégica y que corresponde a la “formulación   de estrategias”, siendo la “implementación de estrategias” la segunda etapa, algunos autores como David,F (2003) le llaman también “Dirección Estratégica y la última</w:t>
      </w:r>
      <w:r>
        <w:rPr>
          <w:spacing w:val="-34"/>
        </w:rPr>
        <w:t> </w:t>
      </w:r>
      <w:r>
        <w:rPr/>
        <w:t>etapa corresponde al “seguimiento y evaluación de </w:t>
      </w:r>
      <w:r>
        <w:rPr>
          <w:spacing w:val="16"/>
        </w:rPr>
        <w:t> </w:t>
      </w:r>
      <w:r>
        <w:rPr/>
        <w:t>estrategias”.</w:t>
      </w:r>
    </w:p>
    <w:p>
      <w:pPr>
        <w:pStyle w:val="BodyText"/>
        <w:spacing w:before="11"/>
      </w:pPr>
    </w:p>
    <w:p>
      <w:pPr>
        <w:pStyle w:val="BodyText"/>
        <w:spacing w:line="249" w:lineRule="auto"/>
        <w:ind w:left="107" w:right="127" w:firstLine="170"/>
        <w:jc w:val="both"/>
      </w:pPr>
      <w:r>
        <w:rPr/>
        <w:t>La planeación estratégica se refiere a las acciones a largo plazo, no se pueden confrontar estos dos conceptos de Administración y Planeación estratégica más bien son incluyentes; por consiguiente no se puede administrar una empresa sin antes haber marcado el camino a seguir, es decir, la planeación de las acciones. A esto se le agrega lo “estratégico”, es decir, el tomar en consideración el entorno interno y externo de la empresa para definir las estrategias en base a la situación actual y futura de la empresa.</w:t>
      </w:r>
    </w:p>
    <w:p>
      <w:pPr>
        <w:pStyle w:val="BodyText"/>
        <w:spacing w:before="11"/>
      </w:pPr>
    </w:p>
    <w:p>
      <w:pPr>
        <w:pStyle w:val="BodyText"/>
        <w:spacing w:line="249" w:lineRule="auto"/>
        <w:ind w:left="107" w:right="127" w:firstLine="170"/>
        <w:jc w:val="both"/>
      </w:pPr>
      <w:r>
        <w:rPr/>
        <w:t>De acuerdo a Stoner (1996) la planeación estratégica es “El proceso de establecer metas</w:t>
      </w:r>
      <w:r>
        <w:rPr>
          <w:spacing w:val="-4"/>
        </w:rPr>
        <w:t> </w:t>
      </w:r>
      <w:r>
        <w:rPr/>
        <w:t>y</w:t>
      </w:r>
      <w:r>
        <w:rPr>
          <w:spacing w:val="-4"/>
        </w:rPr>
        <w:t> </w:t>
      </w:r>
      <w:r>
        <w:rPr/>
        <w:t>elegir</w:t>
      </w:r>
      <w:r>
        <w:rPr>
          <w:spacing w:val="-4"/>
        </w:rPr>
        <w:t> </w:t>
      </w:r>
      <w:r>
        <w:rPr/>
        <w:t>medios</w:t>
      </w:r>
      <w:r>
        <w:rPr>
          <w:spacing w:val="-4"/>
        </w:rPr>
        <w:t> </w:t>
      </w:r>
      <w:r>
        <w:rPr/>
        <w:t>para</w:t>
      </w:r>
      <w:r>
        <w:rPr>
          <w:spacing w:val="-4"/>
        </w:rPr>
        <w:t> </w:t>
      </w:r>
      <w:r>
        <w:rPr/>
        <w:t>alcanzar</w:t>
      </w:r>
      <w:r>
        <w:rPr>
          <w:spacing w:val="-4"/>
        </w:rPr>
        <w:t> </w:t>
      </w:r>
      <w:r>
        <w:rPr/>
        <w:t>dichas</w:t>
      </w:r>
      <w:r>
        <w:rPr>
          <w:spacing w:val="-4"/>
        </w:rPr>
        <w:t> </w:t>
      </w:r>
      <w:r>
        <w:rPr/>
        <w:t>metas”,</w:t>
      </w:r>
      <w:r>
        <w:rPr>
          <w:spacing w:val="-4"/>
        </w:rPr>
        <w:t> </w:t>
      </w:r>
      <w:r>
        <w:rPr/>
        <w:t>es</w:t>
      </w:r>
      <w:r>
        <w:rPr>
          <w:spacing w:val="-4"/>
        </w:rPr>
        <w:t> </w:t>
      </w:r>
      <w:r>
        <w:rPr/>
        <w:t>el</w:t>
      </w:r>
      <w:r>
        <w:rPr>
          <w:spacing w:val="-4"/>
        </w:rPr>
        <w:t> </w:t>
      </w:r>
      <w:r>
        <w:rPr/>
        <w:t>proceso</w:t>
      </w:r>
      <w:r>
        <w:rPr>
          <w:spacing w:val="-4"/>
        </w:rPr>
        <w:t> </w:t>
      </w:r>
      <w:r>
        <w:rPr/>
        <w:t>que</w:t>
      </w:r>
      <w:r>
        <w:rPr>
          <w:spacing w:val="-4"/>
        </w:rPr>
        <w:t> </w:t>
      </w:r>
      <w:r>
        <w:rPr/>
        <w:t>promueve</w:t>
      </w:r>
      <w:r>
        <w:rPr>
          <w:spacing w:val="-4"/>
        </w:rPr>
        <w:t> </w:t>
      </w:r>
      <w:r>
        <w:rPr/>
        <w:t>que</w:t>
      </w:r>
      <w:r>
        <w:rPr>
          <w:spacing w:val="-4"/>
        </w:rPr>
        <w:t> </w:t>
      </w:r>
      <w:r>
        <w:rPr/>
        <w:t>la organización prepare planes estratégicos y, después actúe conforme a ellos”, consiste en fijar objetivos, metas y acciones a seguir, así mismo, se establecen políticas y procedimientos para orientar mejor su curso, considerando la secuencia de las operaciones, tiempos y en general los recursos necesarios para su logro. Para Stoner (1996), planificar es La Planeación Estratégica es según Acle Tomasini (1990), “Un conjunto</w:t>
      </w:r>
      <w:r>
        <w:rPr>
          <w:spacing w:val="-13"/>
        </w:rPr>
        <w:t> </w:t>
      </w:r>
      <w:r>
        <w:rPr/>
        <w:t>de</w:t>
      </w:r>
      <w:r>
        <w:rPr>
          <w:spacing w:val="-13"/>
        </w:rPr>
        <w:t> </w:t>
      </w:r>
      <w:r>
        <w:rPr/>
        <w:t>acciones</w:t>
      </w:r>
      <w:r>
        <w:rPr>
          <w:spacing w:val="-13"/>
        </w:rPr>
        <w:t> </w:t>
      </w:r>
      <w:r>
        <w:rPr/>
        <w:t>que</w:t>
      </w:r>
      <w:r>
        <w:rPr>
          <w:spacing w:val="-13"/>
        </w:rPr>
        <w:t> </w:t>
      </w:r>
      <w:r>
        <w:rPr/>
        <w:t>deben</w:t>
      </w:r>
      <w:r>
        <w:rPr>
          <w:spacing w:val="-13"/>
        </w:rPr>
        <w:t> </w:t>
      </w:r>
      <w:r>
        <w:rPr/>
        <w:t>ser</w:t>
      </w:r>
      <w:r>
        <w:rPr>
          <w:spacing w:val="-13"/>
        </w:rPr>
        <w:t> </w:t>
      </w:r>
      <w:r>
        <w:rPr/>
        <w:t>desarrolladas</w:t>
      </w:r>
      <w:r>
        <w:rPr>
          <w:spacing w:val="-13"/>
        </w:rPr>
        <w:t> </w:t>
      </w:r>
      <w:r>
        <w:rPr/>
        <w:t>para</w:t>
      </w:r>
      <w:r>
        <w:rPr>
          <w:spacing w:val="-13"/>
        </w:rPr>
        <w:t> </w:t>
      </w:r>
      <w:r>
        <w:rPr/>
        <w:t>lograr</w:t>
      </w:r>
      <w:r>
        <w:rPr>
          <w:spacing w:val="-13"/>
        </w:rPr>
        <w:t> </w:t>
      </w:r>
      <w:r>
        <w:rPr/>
        <w:t>los</w:t>
      </w:r>
      <w:r>
        <w:rPr>
          <w:spacing w:val="-13"/>
        </w:rPr>
        <w:t> </w:t>
      </w:r>
      <w:r>
        <w:rPr/>
        <w:t>objetivos</w:t>
      </w:r>
      <w:r>
        <w:rPr>
          <w:spacing w:val="-13"/>
        </w:rPr>
        <w:t> </w:t>
      </w:r>
      <w:r>
        <w:rPr/>
        <w:t>estratégicos, lo</w:t>
      </w:r>
      <w:r>
        <w:rPr>
          <w:spacing w:val="-16"/>
        </w:rPr>
        <w:t> </w:t>
      </w:r>
      <w:r>
        <w:rPr/>
        <w:t>que</w:t>
      </w:r>
      <w:r>
        <w:rPr>
          <w:spacing w:val="-16"/>
        </w:rPr>
        <w:t> </w:t>
      </w:r>
      <w:r>
        <w:rPr/>
        <w:t>implica</w:t>
      </w:r>
      <w:r>
        <w:rPr>
          <w:spacing w:val="-16"/>
        </w:rPr>
        <w:t> </w:t>
      </w:r>
      <w:r>
        <w:rPr/>
        <w:t>definir</w:t>
      </w:r>
      <w:r>
        <w:rPr>
          <w:spacing w:val="-16"/>
        </w:rPr>
        <w:t> </w:t>
      </w:r>
      <w:r>
        <w:rPr/>
        <w:t>y</w:t>
      </w:r>
      <w:r>
        <w:rPr>
          <w:spacing w:val="-16"/>
        </w:rPr>
        <w:t> </w:t>
      </w:r>
      <w:r>
        <w:rPr/>
        <w:t>priorizar</w:t>
      </w:r>
      <w:r>
        <w:rPr>
          <w:spacing w:val="-16"/>
        </w:rPr>
        <w:t> </w:t>
      </w:r>
      <w:r>
        <w:rPr/>
        <w:t>los</w:t>
      </w:r>
      <w:r>
        <w:rPr>
          <w:spacing w:val="-16"/>
        </w:rPr>
        <w:t> </w:t>
      </w:r>
      <w:r>
        <w:rPr/>
        <w:t>problemas</w:t>
      </w:r>
      <w:r>
        <w:rPr>
          <w:spacing w:val="-16"/>
        </w:rPr>
        <w:t> </w:t>
      </w:r>
      <w:r>
        <w:rPr/>
        <w:t>a</w:t>
      </w:r>
      <w:r>
        <w:rPr>
          <w:spacing w:val="-16"/>
        </w:rPr>
        <w:t> </w:t>
      </w:r>
      <w:r>
        <w:rPr/>
        <w:t>resolver,</w:t>
      </w:r>
      <w:r>
        <w:rPr>
          <w:spacing w:val="-16"/>
        </w:rPr>
        <w:t> </w:t>
      </w:r>
      <w:r>
        <w:rPr/>
        <w:t>plantear</w:t>
      </w:r>
      <w:r>
        <w:rPr>
          <w:spacing w:val="-16"/>
        </w:rPr>
        <w:t> </w:t>
      </w:r>
      <w:r>
        <w:rPr/>
        <w:t>soluciones,</w:t>
      </w:r>
      <w:r>
        <w:rPr>
          <w:spacing w:val="-16"/>
        </w:rPr>
        <w:t> </w:t>
      </w:r>
      <w:r>
        <w:rPr/>
        <w:t>determinar los</w:t>
      </w:r>
      <w:r>
        <w:rPr>
          <w:spacing w:val="-5"/>
        </w:rPr>
        <w:t> </w:t>
      </w:r>
      <w:r>
        <w:rPr/>
        <w:t>responsables</w:t>
      </w:r>
      <w:r>
        <w:rPr>
          <w:spacing w:val="-5"/>
        </w:rPr>
        <w:t> </w:t>
      </w:r>
      <w:r>
        <w:rPr/>
        <w:t>para</w:t>
      </w:r>
      <w:r>
        <w:rPr>
          <w:spacing w:val="-5"/>
        </w:rPr>
        <w:t> </w:t>
      </w:r>
      <w:r>
        <w:rPr/>
        <w:t>realizarlos,</w:t>
      </w:r>
      <w:r>
        <w:rPr>
          <w:spacing w:val="-5"/>
        </w:rPr>
        <w:t> </w:t>
      </w:r>
      <w:r>
        <w:rPr/>
        <w:t>asignar</w:t>
      </w:r>
      <w:r>
        <w:rPr>
          <w:spacing w:val="-5"/>
        </w:rPr>
        <w:t> </w:t>
      </w:r>
      <w:r>
        <w:rPr/>
        <w:t>recursos</w:t>
      </w:r>
      <w:r>
        <w:rPr>
          <w:spacing w:val="-5"/>
        </w:rPr>
        <w:t> </w:t>
      </w:r>
      <w:r>
        <w:rPr/>
        <w:t>para</w:t>
      </w:r>
      <w:r>
        <w:rPr>
          <w:spacing w:val="-5"/>
        </w:rPr>
        <w:t> </w:t>
      </w:r>
      <w:r>
        <w:rPr/>
        <w:t>llevarlos</w:t>
      </w:r>
      <w:r>
        <w:rPr>
          <w:spacing w:val="-5"/>
        </w:rPr>
        <w:t> </w:t>
      </w:r>
      <w:r>
        <w:rPr/>
        <w:t>a</w:t>
      </w:r>
      <w:r>
        <w:rPr>
          <w:spacing w:val="-5"/>
        </w:rPr>
        <w:t> </w:t>
      </w:r>
      <w:r>
        <w:rPr/>
        <w:t>cabo</w:t>
      </w:r>
      <w:r>
        <w:rPr>
          <w:spacing w:val="-5"/>
        </w:rPr>
        <w:t> </w:t>
      </w:r>
      <w:r>
        <w:rPr/>
        <w:t>y</w:t>
      </w:r>
      <w:r>
        <w:rPr>
          <w:spacing w:val="-5"/>
        </w:rPr>
        <w:t> </w:t>
      </w:r>
      <w:r>
        <w:rPr/>
        <w:t>establecer</w:t>
      </w:r>
      <w:r>
        <w:rPr>
          <w:spacing w:val="-5"/>
        </w:rPr>
        <w:t> </w:t>
      </w:r>
      <w:r>
        <w:rPr/>
        <w:t>la forma y periodicidad para medir los </w:t>
      </w:r>
      <w:r>
        <w:rPr>
          <w:spacing w:val="9"/>
        </w:rPr>
        <w:t> </w:t>
      </w:r>
      <w:r>
        <w:rPr/>
        <w:t>avances”.</w:t>
      </w:r>
    </w:p>
    <w:p>
      <w:pPr>
        <w:pStyle w:val="BodyText"/>
        <w:spacing w:before="11"/>
      </w:pPr>
    </w:p>
    <w:p>
      <w:pPr>
        <w:pStyle w:val="BodyText"/>
        <w:spacing w:line="249" w:lineRule="auto"/>
        <w:ind w:left="107" w:right="127" w:firstLine="170"/>
        <w:jc w:val="both"/>
      </w:pPr>
      <w:r>
        <w:rPr/>
        <w:t>Otro concepto importante es el planificar: De acuerdo a Noguera (2003) significa seleccionar entre diferentes posibilidades que se abren para el futuro teniendo en cuenta los objetivos que se persiguen, el nivel de probabilidad y el valor final de cada opción y, en función de la selección realizada, asegurar su posterior implementación mediante la provisión de los recursos necesarios para ello.</w:t>
      </w:r>
    </w:p>
    <w:p>
      <w:pPr>
        <w:pStyle w:val="BodyText"/>
        <w:spacing w:before="11"/>
      </w:pPr>
    </w:p>
    <w:p>
      <w:pPr>
        <w:pStyle w:val="BodyText"/>
        <w:spacing w:line="249" w:lineRule="auto"/>
        <w:ind w:left="107" w:right="127" w:firstLine="170"/>
        <w:jc w:val="both"/>
      </w:pPr>
      <w:r>
        <w:rPr/>
        <w:t>Ackoff (1981) por su parte dice que, la “planificación” se anticipa a la toma de decisiones. Es un proceso de decidir antes de que se requiera la acción. Planificar     es hoy en día una de las actividades prioritarias del mundo contemporáneo y global que nos ha tocado vivir, derivado de la creciente interdependencia de los fenómenos   a los que nos enfrentamos día a día, ya sea económico, político, financiero, social, tecnológico y desde luego territorial. Lo anterior ha traído como consecuencia que    los gobiernos y organizaciones destinen recursos para la planificación a futuro de sus actividades,</w:t>
      </w:r>
      <w:r>
        <w:rPr>
          <w:spacing w:val="-6"/>
        </w:rPr>
        <w:t> </w:t>
      </w:r>
      <w:r>
        <w:rPr/>
        <w:t>entendiendo</w:t>
      </w:r>
      <w:r>
        <w:rPr>
          <w:spacing w:val="-6"/>
        </w:rPr>
        <w:t> </w:t>
      </w:r>
      <w:r>
        <w:rPr/>
        <w:t>la</w:t>
      </w:r>
      <w:r>
        <w:rPr>
          <w:spacing w:val="-6"/>
        </w:rPr>
        <w:t> </w:t>
      </w:r>
      <w:r>
        <w:rPr/>
        <w:t>realidad</w:t>
      </w:r>
      <w:r>
        <w:rPr>
          <w:spacing w:val="-6"/>
        </w:rPr>
        <w:t> </w:t>
      </w:r>
      <w:r>
        <w:rPr/>
        <w:t>que</w:t>
      </w:r>
      <w:r>
        <w:rPr>
          <w:spacing w:val="-6"/>
        </w:rPr>
        <w:t> </w:t>
      </w:r>
      <w:r>
        <w:rPr/>
        <w:t>viven</w:t>
      </w:r>
      <w:r>
        <w:rPr>
          <w:spacing w:val="-6"/>
        </w:rPr>
        <w:t> </w:t>
      </w:r>
      <w:r>
        <w:rPr/>
        <w:t>para</w:t>
      </w:r>
      <w:r>
        <w:rPr>
          <w:spacing w:val="-6"/>
        </w:rPr>
        <w:t> </w:t>
      </w:r>
      <w:r>
        <w:rPr/>
        <w:t>después</w:t>
      </w:r>
      <w:r>
        <w:rPr>
          <w:spacing w:val="-6"/>
        </w:rPr>
        <w:t> </w:t>
      </w:r>
      <w:r>
        <w:rPr/>
        <w:t>poder</w:t>
      </w:r>
      <w:r>
        <w:rPr>
          <w:spacing w:val="-6"/>
        </w:rPr>
        <w:t> </w:t>
      </w:r>
      <w:r>
        <w:rPr/>
        <w:t>proyectarla</w:t>
      </w:r>
      <w:r>
        <w:rPr>
          <w:spacing w:val="-6"/>
        </w:rPr>
        <w:t> </w:t>
      </w:r>
      <w:r>
        <w:rPr/>
        <w:t>a</w:t>
      </w:r>
      <w:r>
        <w:rPr>
          <w:spacing w:val="-6"/>
        </w:rPr>
        <w:t> </w:t>
      </w:r>
      <w:r>
        <w:rPr/>
        <w:t>futuro.</w:t>
      </w:r>
    </w:p>
    <w:p>
      <w:pPr>
        <w:spacing w:after="0" w:line="249" w:lineRule="auto"/>
        <w:jc w:val="both"/>
        <w:sectPr>
          <w:type w:val="continuous"/>
          <w:pgSz w:w="18830" w:h="12760" w:orient="landscape"/>
          <w:pgMar w:top="1420" w:bottom="280" w:left="480" w:right="720"/>
          <w:cols w:num="2" w:equalWidth="0">
            <w:col w:w="8514" w:space="1160"/>
            <w:col w:w="7956"/>
          </w:cols>
        </w:sectPr>
      </w:pPr>
    </w:p>
    <w:p>
      <w:pPr>
        <w:pStyle w:val="BodyText"/>
        <w:spacing w:before="8"/>
      </w:pPr>
    </w:p>
    <w:p>
      <w:pPr>
        <w:spacing w:after="0"/>
        <w:sectPr>
          <w:footerReference w:type="default" r:id="rId58"/>
          <w:pgSz w:w="18830" w:h="12760" w:orient="landscape"/>
          <w:pgMar w:footer="1036" w:header="522" w:top="820" w:bottom="1220" w:left="720" w:right="720"/>
        </w:sectPr>
      </w:pPr>
    </w:p>
    <w:p>
      <w:pPr>
        <w:pStyle w:val="Heading1"/>
        <w:spacing w:before="71"/>
        <w:ind w:right="-7"/>
      </w:pPr>
      <w:r>
        <w:rPr/>
        <w:t>Planeación Estratégica de Ciudades</w:t>
      </w:r>
    </w:p>
    <w:p>
      <w:pPr>
        <w:pStyle w:val="BodyText"/>
        <w:rPr>
          <w:b/>
          <w:sz w:val="21"/>
        </w:rPr>
      </w:pPr>
    </w:p>
    <w:p>
      <w:pPr>
        <w:pStyle w:val="BodyText"/>
        <w:spacing w:line="249" w:lineRule="auto"/>
        <w:ind w:left="130" w:firstLine="170"/>
        <w:jc w:val="both"/>
      </w:pPr>
      <w:r>
        <w:rPr/>
        <w:t>Como un breve antecedente la planeación estratégica de ciudades toma gran auge en el periodo de los años 80’s y 90’s no como una obra de la casualidad o de moda entre los administradores y políticos, sino más bien por la necesidad emergente  de  las comunidades urbanas que ya habían sido superadas para atender los nuevos</w:t>
      </w:r>
      <w:r>
        <w:rPr>
          <w:spacing w:val="-15"/>
        </w:rPr>
        <w:t> </w:t>
      </w:r>
      <w:r>
        <w:rPr/>
        <w:t>retos demandados en esa época en carácter de agilidad, participación, y transparencia de los</w:t>
      </w:r>
      <w:r>
        <w:rPr>
          <w:spacing w:val="-13"/>
        </w:rPr>
        <w:t> </w:t>
      </w:r>
      <w:r>
        <w:rPr/>
        <w:t>procesos</w:t>
      </w:r>
      <w:r>
        <w:rPr>
          <w:spacing w:val="-13"/>
        </w:rPr>
        <w:t> </w:t>
      </w:r>
      <w:r>
        <w:rPr/>
        <w:t>de</w:t>
      </w:r>
      <w:r>
        <w:rPr>
          <w:spacing w:val="-13"/>
        </w:rPr>
        <w:t> </w:t>
      </w:r>
      <w:r>
        <w:rPr/>
        <w:t>planeación</w:t>
      </w:r>
      <w:r>
        <w:rPr>
          <w:spacing w:val="-13"/>
        </w:rPr>
        <w:t> </w:t>
      </w:r>
      <w:r>
        <w:rPr/>
        <w:t>(Fernández,</w:t>
      </w:r>
      <w:r>
        <w:rPr>
          <w:spacing w:val="-13"/>
        </w:rPr>
        <w:t> </w:t>
      </w:r>
      <w:r>
        <w:rPr/>
        <w:t>2006),</w:t>
      </w:r>
      <w:r>
        <w:rPr>
          <w:spacing w:val="-13"/>
        </w:rPr>
        <w:t> </w:t>
      </w:r>
      <w:r>
        <w:rPr/>
        <w:t>por</w:t>
      </w:r>
      <w:r>
        <w:rPr>
          <w:spacing w:val="-13"/>
        </w:rPr>
        <w:t> </w:t>
      </w:r>
      <w:r>
        <w:rPr/>
        <w:t>lo</w:t>
      </w:r>
      <w:r>
        <w:rPr>
          <w:spacing w:val="-13"/>
        </w:rPr>
        <w:t> </w:t>
      </w:r>
      <w:r>
        <w:rPr/>
        <w:t>que</w:t>
      </w:r>
      <w:r>
        <w:rPr>
          <w:spacing w:val="-13"/>
        </w:rPr>
        <w:t> </w:t>
      </w:r>
      <w:r>
        <w:rPr/>
        <w:t>fue</w:t>
      </w:r>
      <w:r>
        <w:rPr>
          <w:spacing w:val="-13"/>
        </w:rPr>
        <w:t> </w:t>
      </w:r>
      <w:r>
        <w:rPr/>
        <w:t>imperante</w:t>
      </w:r>
      <w:r>
        <w:rPr>
          <w:spacing w:val="-13"/>
        </w:rPr>
        <w:t> </w:t>
      </w:r>
      <w:r>
        <w:rPr/>
        <w:t>la</w:t>
      </w:r>
      <w:r>
        <w:rPr>
          <w:spacing w:val="-13"/>
        </w:rPr>
        <w:t> </w:t>
      </w:r>
      <w:r>
        <w:rPr/>
        <w:t>necesidad</w:t>
      </w:r>
      <w:r>
        <w:rPr>
          <w:spacing w:val="-13"/>
        </w:rPr>
        <w:t> </w:t>
      </w:r>
      <w:r>
        <w:rPr/>
        <w:t>de integrar un proceso de planificación con una mirada al futuro en aspectos, económico, social y espacial con el firme propósito de evitar la fragmentación y descoordinación  de los planes sectoriales tradicionales, ante esta situación se tuvo que recurrir a herramientas que en otros sectores como el privado habían sido utilizados en los últimos años en forma</w:t>
      </w:r>
      <w:r>
        <w:rPr>
          <w:spacing w:val="25"/>
        </w:rPr>
        <w:t> </w:t>
      </w:r>
      <w:r>
        <w:rPr/>
        <w:t>exitosa.</w:t>
      </w:r>
    </w:p>
    <w:p>
      <w:pPr>
        <w:pStyle w:val="BodyText"/>
        <w:spacing w:before="11"/>
      </w:pPr>
    </w:p>
    <w:p>
      <w:pPr>
        <w:pStyle w:val="BodyText"/>
        <w:spacing w:line="249" w:lineRule="auto"/>
        <w:ind w:left="130" w:firstLine="170"/>
        <w:jc w:val="both"/>
      </w:pPr>
      <w:r>
        <w:rPr/>
        <w:t>En</w:t>
      </w:r>
      <w:r>
        <w:rPr>
          <w:spacing w:val="-11"/>
        </w:rPr>
        <w:t> </w:t>
      </w:r>
      <w:r>
        <w:rPr/>
        <w:t>este</w:t>
      </w:r>
      <w:r>
        <w:rPr>
          <w:spacing w:val="-11"/>
        </w:rPr>
        <w:t> </w:t>
      </w:r>
      <w:r>
        <w:rPr/>
        <w:t>sentido</w:t>
      </w:r>
      <w:r>
        <w:rPr>
          <w:spacing w:val="-11"/>
        </w:rPr>
        <w:t> </w:t>
      </w:r>
      <w:r>
        <w:rPr/>
        <w:t>La</w:t>
      </w:r>
      <w:r>
        <w:rPr>
          <w:spacing w:val="-11"/>
        </w:rPr>
        <w:t> </w:t>
      </w:r>
      <w:r>
        <w:rPr/>
        <w:t>planeación</w:t>
      </w:r>
      <w:r>
        <w:rPr>
          <w:spacing w:val="36"/>
        </w:rPr>
        <w:t> </w:t>
      </w:r>
      <w:r>
        <w:rPr/>
        <w:t>estratégica</w:t>
      </w:r>
      <w:r>
        <w:rPr>
          <w:spacing w:val="-11"/>
        </w:rPr>
        <w:t> </w:t>
      </w:r>
      <w:r>
        <w:rPr/>
        <w:t>de</w:t>
      </w:r>
      <w:r>
        <w:rPr>
          <w:spacing w:val="-11"/>
        </w:rPr>
        <w:t> </w:t>
      </w:r>
      <w:r>
        <w:rPr/>
        <w:t>ciudades</w:t>
      </w:r>
      <w:r>
        <w:rPr>
          <w:spacing w:val="-11"/>
        </w:rPr>
        <w:t> </w:t>
      </w:r>
      <w:r>
        <w:rPr/>
        <w:t>adquiere</w:t>
      </w:r>
      <w:r>
        <w:rPr>
          <w:spacing w:val="-11"/>
        </w:rPr>
        <w:t> </w:t>
      </w:r>
      <w:r>
        <w:rPr/>
        <w:t>relevancia</w:t>
      </w:r>
      <w:r>
        <w:rPr>
          <w:spacing w:val="-11"/>
        </w:rPr>
        <w:t> </w:t>
      </w:r>
      <w:r>
        <w:rPr/>
        <w:t>dentro</w:t>
      </w:r>
      <w:r>
        <w:rPr>
          <w:spacing w:val="-11"/>
        </w:rPr>
        <w:t> </w:t>
      </w:r>
      <w:r>
        <w:rPr/>
        <w:t>del contexto global, actualmente es considerada como un proceso derivado de diversas metodologías que han sido utilizadas como herramientas para la toma de decisiones bajo una perspectiva de un futuro a largo plazo, que permita trazar los ejes de acción para el desarrollo territorial, bajo políticas, normas, programas, objetivos y metas que sustenten un futuro prometedor de desarrollo territorial local, es decir, que cada una  de las ciudades tenga ese eje conductor a largo plazo para el desarrollo económico, político, social, tecnológico, demográfico, de educación, urbanas, medio ambiente,       y la gobernabilidad sobre todo que comprometa una mejor calidad de vida para la población.</w:t>
      </w:r>
    </w:p>
    <w:p>
      <w:pPr>
        <w:pStyle w:val="BodyText"/>
        <w:spacing w:before="11"/>
      </w:pPr>
    </w:p>
    <w:p>
      <w:pPr>
        <w:pStyle w:val="BodyText"/>
        <w:spacing w:line="249" w:lineRule="auto"/>
        <w:ind w:left="130" w:firstLine="170"/>
        <w:jc w:val="both"/>
      </w:pPr>
      <w:r>
        <w:rPr/>
        <w:t>Dentro de algunos Antecedentes Históricos de la planeación estratégica de Ciudades (ver figura 2) encontramos que es San Francisco la ciudad pionera de los Estados Unidos que aplica los procesos de planeación estratégica, es en el año 1981 en el que algunos empresarios tuvieron el acierto de emplear esta herramienta</w:t>
      </w:r>
      <w:r>
        <w:rPr>
          <w:spacing w:val="7"/>
        </w:rPr>
        <w:t> </w:t>
      </w:r>
      <w:r>
        <w:rPr/>
        <w:t>a</w:t>
      </w:r>
      <w:r>
        <w:rPr>
          <w:spacing w:val="9"/>
        </w:rPr>
        <w:t> </w:t>
      </w:r>
      <w:r>
        <w:rPr/>
        <w:t>ésta</w:t>
      </w:r>
      <w:r>
        <w:rPr>
          <w:w w:val="99"/>
        </w:rPr>
        <w:t> </w:t>
      </w:r>
      <w:r>
        <w:rPr/>
        <w:t>ciudad que en esos momentos atravesaba por una crisis económica y de un elevado déficit público. Este esfuerzo dio como resultado el primer plan estratégico de una  gran ciudad resultado del esfuerzo de la comunidad empresarial y de las autoridades locales. De ahí se derivaron otros planes estratégicos en diversas ciudades de los Estados Unidos dando resultados de su  recuperación </w:t>
      </w:r>
      <w:r>
        <w:rPr>
          <w:spacing w:val="19"/>
        </w:rPr>
        <w:t> </w:t>
      </w:r>
      <w:r>
        <w:rPr/>
        <w:t>económica.</w:t>
      </w:r>
    </w:p>
    <w:p>
      <w:pPr>
        <w:pStyle w:val="BodyText"/>
        <w:spacing w:before="8"/>
        <w:rPr>
          <w:sz w:val="12"/>
        </w:rPr>
      </w:pPr>
      <w:r>
        <w:rPr/>
        <w:br w:type="column"/>
      </w:r>
      <w:r>
        <w:rPr>
          <w:sz w:val="12"/>
        </w:rPr>
      </w:r>
    </w:p>
    <w:p>
      <w:pPr>
        <w:spacing w:before="0"/>
        <w:ind w:left="1962" w:right="0" w:hanging="22"/>
        <w:jc w:val="left"/>
        <w:rPr>
          <w:sz w:val="16"/>
        </w:rPr>
      </w:pPr>
      <w:r>
        <w:rPr>
          <w:color w:val="6D6E71"/>
          <w:sz w:val="16"/>
        </w:rPr>
        <w:t>Figura 2. Evolución histórica de la Planeación Estratégica</w:t>
      </w:r>
    </w:p>
    <w:p>
      <w:pPr>
        <w:pStyle w:val="BodyText"/>
        <w:rPr>
          <w:sz w:val="13"/>
        </w:rPr>
      </w:pPr>
      <w:r>
        <w:rPr/>
        <w:drawing>
          <wp:anchor distT="0" distB="0" distL="0" distR="0" allowOverlap="1" layoutInCell="1" locked="0" behindDoc="0" simplePos="0" relativeHeight="1768">
            <wp:simplePos x="0" y="0"/>
            <wp:positionH relativeFrom="page">
              <wp:posOffset>7114537</wp:posOffset>
            </wp:positionH>
            <wp:positionV relativeFrom="paragraph">
              <wp:posOffset>119985</wp:posOffset>
            </wp:positionV>
            <wp:extent cx="3786473" cy="1728216"/>
            <wp:effectExtent l="0" t="0" r="0" b="0"/>
            <wp:wrapTopAndBottom/>
            <wp:docPr id="11" name="image23.png" descr=""/>
            <wp:cNvGraphicFramePr>
              <a:graphicFrameLocks noChangeAspect="1"/>
            </wp:cNvGraphicFramePr>
            <a:graphic>
              <a:graphicData uri="http://schemas.openxmlformats.org/drawingml/2006/picture">
                <pic:pic>
                  <pic:nvPicPr>
                    <pic:cNvPr id="12" name="image23.png"/>
                    <pic:cNvPicPr/>
                  </pic:nvPicPr>
                  <pic:blipFill>
                    <a:blip r:embed="rId59" cstate="print"/>
                    <a:stretch>
                      <a:fillRect/>
                    </a:stretch>
                  </pic:blipFill>
                  <pic:spPr>
                    <a:xfrm>
                      <a:off x="0" y="0"/>
                      <a:ext cx="3786473" cy="1728216"/>
                    </a:xfrm>
                    <a:prstGeom prst="rect">
                      <a:avLst/>
                    </a:prstGeom>
                  </pic:spPr>
                </pic:pic>
              </a:graphicData>
            </a:graphic>
          </wp:anchor>
        </w:drawing>
      </w:r>
    </w:p>
    <w:p>
      <w:pPr>
        <w:pStyle w:val="BodyText"/>
        <w:spacing w:before="6"/>
      </w:pPr>
    </w:p>
    <w:p>
      <w:pPr>
        <w:spacing w:before="0"/>
        <w:ind w:left="1962" w:right="0" w:firstLine="0"/>
        <w:jc w:val="left"/>
        <w:rPr>
          <w:sz w:val="16"/>
        </w:rPr>
      </w:pPr>
      <w:r>
        <w:rPr>
          <w:color w:val="6D6E71"/>
          <w:sz w:val="16"/>
        </w:rPr>
        <w:t>Fuente: Elaboración propia basada en (Fernández, 2006)</w:t>
      </w:r>
    </w:p>
    <w:p>
      <w:pPr>
        <w:pStyle w:val="BodyText"/>
        <w:spacing w:before="5"/>
        <w:rPr>
          <w:sz w:val="22"/>
        </w:rPr>
      </w:pPr>
    </w:p>
    <w:p>
      <w:pPr>
        <w:pStyle w:val="BodyText"/>
        <w:spacing w:line="249" w:lineRule="auto"/>
        <w:ind w:left="130" w:right="129" w:firstLine="170"/>
        <w:jc w:val="right"/>
      </w:pPr>
      <w:r>
        <w:rPr/>
        <w:t>De acuerdo a Fernández (2006), en el caso de España, los más</w:t>
      </w:r>
      <w:r>
        <w:rPr>
          <w:spacing w:val="9"/>
        </w:rPr>
        <w:t> </w:t>
      </w:r>
      <w:r>
        <w:rPr/>
        <w:t>importantes</w:t>
      </w:r>
      <w:r>
        <w:rPr>
          <w:spacing w:val="10"/>
        </w:rPr>
        <w:t> </w:t>
      </w:r>
      <w:r>
        <w:rPr/>
        <w:t>fueron</w:t>
      </w:r>
      <w:r>
        <w:rPr>
          <w:w w:val="100"/>
        </w:rPr>
        <w:t> </w:t>
      </w:r>
      <w:r>
        <w:rPr/>
        <w:t>los de las ciudades de Barcelona, Madrid y Bilbao y de ahí siguieron</w:t>
      </w:r>
      <w:r>
        <w:rPr>
          <w:spacing w:val="49"/>
        </w:rPr>
        <w:t> </w:t>
      </w:r>
      <w:r>
        <w:rPr/>
        <w:t>otras</w:t>
      </w:r>
      <w:r>
        <w:rPr>
          <w:spacing w:val="15"/>
        </w:rPr>
        <w:t> </w:t>
      </w:r>
      <w:r>
        <w:rPr/>
        <w:t>ciudades</w:t>
      </w:r>
      <w:r>
        <w:rPr>
          <w:w w:val="101"/>
        </w:rPr>
        <w:t> </w:t>
      </w:r>
      <w:r>
        <w:rPr/>
        <w:t>importantes</w:t>
      </w:r>
      <w:r>
        <w:rPr>
          <w:spacing w:val="-12"/>
        </w:rPr>
        <w:t> </w:t>
      </w:r>
      <w:r>
        <w:rPr/>
        <w:t>de</w:t>
      </w:r>
      <w:r>
        <w:rPr>
          <w:spacing w:val="-12"/>
        </w:rPr>
        <w:t> </w:t>
      </w:r>
      <w:r>
        <w:rPr/>
        <w:t>los</w:t>
      </w:r>
      <w:r>
        <w:rPr>
          <w:spacing w:val="-12"/>
        </w:rPr>
        <w:t> </w:t>
      </w:r>
      <w:r>
        <w:rPr/>
        <w:t>algunos</w:t>
      </w:r>
      <w:r>
        <w:rPr>
          <w:spacing w:val="-12"/>
        </w:rPr>
        <w:t> </w:t>
      </w:r>
      <w:r>
        <w:rPr/>
        <w:t>países</w:t>
      </w:r>
      <w:r>
        <w:rPr>
          <w:spacing w:val="-12"/>
        </w:rPr>
        <w:t> </w:t>
      </w:r>
      <w:r>
        <w:rPr/>
        <w:t>de</w:t>
      </w:r>
      <w:r>
        <w:rPr>
          <w:spacing w:val="-12"/>
        </w:rPr>
        <w:t> </w:t>
      </w:r>
      <w:r>
        <w:rPr/>
        <w:t>Europa,</w:t>
      </w:r>
      <w:r>
        <w:rPr>
          <w:spacing w:val="-12"/>
        </w:rPr>
        <w:t> </w:t>
      </w:r>
      <w:r>
        <w:rPr/>
        <w:t>como</w:t>
      </w:r>
      <w:r>
        <w:rPr>
          <w:spacing w:val="-12"/>
        </w:rPr>
        <w:t> </w:t>
      </w:r>
      <w:r>
        <w:rPr/>
        <w:t>Portugal,</w:t>
      </w:r>
      <w:r>
        <w:rPr>
          <w:spacing w:val="-12"/>
        </w:rPr>
        <w:t> </w:t>
      </w:r>
      <w:r>
        <w:rPr/>
        <w:t>Francia,</w:t>
      </w:r>
      <w:r>
        <w:rPr>
          <w:spacing w:val="-12"/>
        </w:rPr>
        <w:t> </w:t>
      </w:r>
      <w:r>
        <w:rPr/>
        <w:t>Italia</w:t>
      </w:r>
      <w:r>
        <w:rPr>
          <w:spacing w:val="-12"/>
        </w:rPr>
        <w:t> </w:t>
      </w:r>
      <w:r>
        <w:rPr/>
        <w:t>y</w:t>
      </w:r>
      <w:r>
        <w:rPr>
          <w:spacing w:val="-12"/>
        </w:rPr>
        <w:t> </w:t>
      </w:r>
      <w:r>
        <w:rPr/>
        <w:t>los</w:t>
      </w:r>
      <w:r>
        <w:rPr>
          <w:spacing w:val="-12"/>
        </w:rPr>
        <w:t> </w:t>
      </w:r>
      <w:r>
        <w:rPr/>
        <w:t>Países</w:t>
      </w:r>
      <w:r>
        <w:rPr>
          <w:w w:val="96"/>
        </w:rPr>
        <w:t> </w:t>
      </w:r>
      <w:r>
        <w:rPr/>
        <w:t>Bajos. Posteriormente en 1990 se da una influencia en Latinoamérica,</w:t>
      </w:r>
      <w:r>
        <w:rPr>
          <w:spacing w:val="54"/>
        </w:rPr>
        <w:t> </w:t>
      </w:r>
      <w:r>
        <w:rPr/>
        <w:t>quizá</w:t>
      </w:r>
      <w:r>
        <w:rPr>
          <w:spacing w:val="11"/>
        </w:rPr>
        <w:t> </w:t>
      </w:r>
      <w:r>
        <w:rPr/>
        <w:t>derivado</w:t>
      </w:r>
      <w:r>
        <w:rPr>
          <w:w w:val="101"/>
        </w:rPr>
        <w:t> </w:t>
      </w:r>
      <w:r>
        <w:rPr/>
        <w:t>de la afinidad histórica con estos países en los cuales se estuvo trabajando</w:t>
      </w:r>
      <w:r>
        <w:rPr>
          <w:spacing w:val="53"/>
        </w:rPr>
        <w:t> </w:t>
      </w:r>
      <w:r>
        <w:rPr/>
        <w:t>en</w:t>
      </w:r>
      <w:r>
        <w:rPr>
          <w:spacing w:val="12"/>
        </w:rPr>
        <w:t> </w:t>
      </w:r>
      <w:r>
        <w:rPr/>
        <w:t>forma</w:t>
      </w:r>
      <w:r>
        <w:rPr>
          <w:w w:val="101"/>
        </w:rPr>
        <w:t> </w:t>
      </w:r>
      <w:r>
        <w:rPr/>
        <w:t>muy</w:t>
      </w:r>
      <w:r>
        <w:rPr>
          <w:spacing w:val="39"/>
        </w:rPr>
        <w:t> </w:t>
      </w:r>
      <w:r>
        <w:rPr/>
        <w:t>cercana</w:t>
      </w:r>
      <w:r>
        <w:rPr>
          <w:spacing w:val="39"/>
        </w:rPr>
        <w:t> </w:t>
      </w:r>
      <w:r>
        <w:rPr/>
        <w:t>influenciados</w:t>
      </w:r>
      <w:r>
        <w:rPr>
          <w:spacing w:val="39"/>
        </w:rPr>
        <w:t> </w:t>
      </w:r>
      <w:r>
        <w:rPr/>
        <w:t>por</w:t>
      </w:r>
      <w:r>
        <w:rPr>
          <w:spacing w:val="39"/>
        </w:rPr>
        <w:t> </w:t>
      </w:r>
      <w:r>
        <w:rPr/>
        <w:t>España</w:t>
      </w:r>
      <w:r>
        <w:rPr>
          <w:spacing w:val="39"/>
        </w:rPr>
        <w:t> </w:t>
      </w:r>
      <w:r>
        <w:rPr/>
        <w:t>principalmente</w:t>
      </w:r>
      <w:r>
        <w:rPr>
          <w:spacing w:val="39"/>
        </w:rPr>
        <w:t> </w:t>
      </w:r>
      <w:r>
        <w:rPr/>
        <w:t>en</w:t>
      </w:r>
      <w:r>
        <w:rPr>
          <w:spacing w:val="39"/>
        </w:rPr>
        <w:t> </w:t>
      </w:r>
      <w:r>
        <w:rPr/>
        <w:t>una</w:t>
      </w:r>
      <w:r>
        <w:rPr>
          <w:spacing w:val="39"/>
        </w:rPr>
        <w:t> </w:t>
      </w:r>
      <w:r>
        <w:rPr/>
        <w:t>colaboración</w:t>
      </w:r>
      <w:r>
        <w:rPr>
          <w:spacing w:val="39"/>
        </w:rPr>
        <w:t> </w:t>
      </w:r>
      <w:r>
        <w:rPr/>
        <w:t>técnica</w:t>
      </w:r>
      <w:r>
        <w:rPr>
          <w:w w:val="102"/>
        </w:rPr>
        <w:t> </w:t>
      </w:r>
      <w:r>
        <w:rPr/>
        <w:t>estrecha entre organismos españoles e iberoamericanos, interesados en</w:t>
      </w:r>
      <w:r>
        <w:rPr>
          <w:spacing w:val="41"/>
        </w:rPr>
        <w:t> </w:t>
      </w:r>
      <w:r>
        <w:rPr/>
        <w:t>reforzar</w:t>
      </w:r>
      <w:r>
        <w:rPr>
          <w:spacing w:val="26"/>
        </w:rPr>
        <w:t> </w:t>
      </w:r>
      <w:r>
        <w:rPr/>
        <w:t>su</w:t>
      </w:r>
      <w:r>
        <w:rPr>
          <w:w w:val="99"/>
        </w:rPr>
        <w:t> </w:t>
      </w:r>
      <w:r>
        <w:rPr/>
        <w:t>posición</w:t>
      </w:r>
      <w:r>
        <w:rPr>
          <w:spacing w:val="26"/>
        </w:rPr>
        <w:t> </w:t>
      </w:r>
      <w:r>
        <w:rPr/>
        <w:t>en</w:t>
      </w:r>
      <w:r>
        <w:rPr>
          <w:spacing w:val="26"/>
        </w:rPr>
        <w:t> </w:t>
      </w:r>
      <w:r>
        <w:rPr/>
        <w:t>la</w:t>
      </w:r>
      <w:r>
        <w:rPr>
          <w:spacing w:val="26"/>
        </w:rPr>
        <w:t> </w:t>
      </w:r>
      <w:r>
        <w:rPr/>
        <w:t>red</w:t>
      </w:r>
      <w:r>
        <w:rPr>
          <w:spacing w:val="26"/>
        </w:rPr>
        <w:t> </w:t>
      </w:r>
      <w:r>
        <w:rPr/>
        <w:t>de</w:t>
      </w:r>
      <w:r>
        <w:rPr>
          <w:spacing w:val="26"/>
        </w:rPr>
        <w:t> </w:t>
      </w:r>
      <w:r>
        <w:rPr/>
        <w:t>ciudades</w:t>
      </w:r>
      <w:r>
        <w:rPr>
          <w:spacing w:val="26"/>
        </w:rPr>
        <w:t> </w:t>
      </w:r>
      <w:r>
        <w:rPr/>
        <w:t>globales</w:t>
      </w:r>
      <w:r>
        <w:rPr>
          <w:spacing w:val="26"/>
        </w:rPr>
        <w:t> </w:t>
      </w:r>
      <w:r>
        <w:rPr/>
        <w:t>y</w:t>
      </w:r>
      <w:r>
        <w:rPr>
          <w:spacing w:val="26"/>
        </w:rPr>
        <w:t> </w:t>
      </w:r>
      <w:r>
        <w:rPr/>
        <w:t>por</w:t>
      </w:r>
      <w:r>
        <w:rPr>
          <w:spacing w:val="26"/>
        </w:rPr>
        <w:t> </w:t>
      </w:r>
      <w:r>
        <w:rPr/>
        <w:t>el</w:t>
      </w:r>
      <w:r>
        <w:rPr>
          <w:spacing w:val="26"/>
        </w:rPr>
        <w:t> </w:t>
      </w:r>
      <w:r>
        <w:rPr/>
        <w:t>otro</w:t>
      </w:r>
      <w:r>
        <w:rPr>
          <w:spacing w:val="26"/>
        </w:rPr>
        <w:t> </w:t>
      </w:r>
      <w:r>
        <w:rPr/>
        <w:t>lado</w:t>
      </w:r>
      <w:r>
        <w:rPr>
          <w:spacing w:val="26"/>
        </w:rPr>
        <w:t> </w:t>
      </w:r>
      <w:r>
        <w:rPr/>
        <w:t>fortificar</w:t>
      </w:r>
      <w:r>
        <w:rPr>
          <w:spacing w:val="26"/>
        </w:rPr>
        <w:t> </w:t>
      </w:r>
      <w:r>
        <w:rPr/>
        <w:t>no</w:t>
      </w:r>
      <w:r>
        <w:rPr>
          <w:spacing w:val="26"/>
        </w:rPr>
        <w:t> </w:t>
      </w:r>
      <w:r>
        <w:rPr/>
        <w:t>nada</w:t>
      </w:r>
      <w:r>
        <w:rPr>
          <w:spacing w:val="26"/>
        </w:rPr>
        <w:t> </w:t>
      </w:r>
      <w:r>
        <w:rPr/>
        <w:t>más</w:t>
      </w:r>
      <w:r>
        <w:rPr>
          <w:spacing w:val="26"/>
        </w:rPr>
        <w:t> </w:t>
      </w:r>
      <w:r>
        <w:rPr/>
        <w:t>su</w:t>
      </w:r>
      <w:r>
        <w:rPr>
          <w:w w:val="99"/>
        </w:rPr>
        <w:t> </w:t>
      </w:r>
      <w:r>
        <w:rPr/>
        <w:t>economía, sino las infraestructuras básicas, así como el reforzamiento el tejido</w:t>
      </w:r>
      <w:r>
        <w:rPr>
          <w:spacing w:val="44"/>
        </w:rPr>
        <w:t> </w:t>
      </w:r>
      <w:r>
        <w:rPr/>
        <w:t>social.</w:t>
      </w:r>
    </w:p>
    <w:p>
      <w:pPr>
        <w:pStyle w:val="BodyText"/>
        <w:spacing w:before="11"/>
      </w:pPr>
    </w:p>
    <w:p>
      <w:pPr>
        <w:pStyle w:val="BodyText"/>
        <w:spacing w:line="249" w:lineRule="auto"/>
        <w:ind w:left="130" w:right="129" w:firstLine="170"/>
        <w:jc w:val="both"/>
      </w:pPr>
      <w:r>
        <w:rPr/>
        <w:t>En los años 90’s se elaboraron planes estratégicos en grandes metrópolis como: Santiago de Chile, Chile; Río de Janeiro, Brasil; Cartagena de Indias, Colombia: Montevideo, Uruguay; la Habana, Cuba; Bogotá, Colombia, otras ciudades intermedias como Mérida y Tijuana en México; Medellín y Bucaramanga, Colombia; San Pedro Sula, Honduras;  y Santiago de los Caballeros, Republica Dominicana.</w:t>
      </w:r>
    </w:p>
    <w:p>
      <w:pPr>
        <w:pStyle w:val="BodyText"/>
        <w:spacing w:before="11"/>
      </w:pPr>
    </w:p>
    <w:p>
      <w:pPr>
        <w:pStyle w:val="BodyText"/>
        <w:spacing w:line="249" w:lineRule="auto"/>
        <w:ind w:left="130" w:right="128" w:firstLine="170"/>
        <w:jc w:val="both"/>
      </w:pPr>
      <w:r>
        <w:rPr/>
        <w:t>Los efectos de la globalización se ven reflejados no tan solo en la economía, sino   en la movilidad demográfica, el desarrollo de la tecnología, nuevos estilos de vida, así como hábitos de consumo marcaron una fuerte transición entre el uso del tiempo y del espacio (patrones de consumo de suelo y uso del territorio). Lo cual lleva a considerar el desarrollo de una nueva etapa de planes estratégicos en Europa, que marca una necesidad y relevancia en el desarrollo de estos, en ámbitos territoriales altamente complejos, lo que considera un valor agregado a los planes tradicionales, lo que da mayor fortaleza al ordenamiento territorial (Fernández,</w:t>
      </w:r>
      <w:r>
        <w:rPr>
          <w:spacing w:val="-22"/>
        </w:rPr>
        <w:t> </w:t>
      </w:r>
      <w:r>
        <w:rPr/>
        <w:t>2006).</w:t>
      </w:r>
    </w:p>
    <w:p>
      <w:pPr>
        <w:spacing w:after="0" w:line="249" w:lineRule="auto"/>
        <w:jc w:val="both"/>
        <w:sectPr>
          <w:type w:val="continuous"/>
          <w:pgSz w:w="18830" w:h="12760" w:orient="landscape"/>
          <w:pgMar w:top="1420" w:bottom="280" w:left="720" w:right="720"/>
          <w:cols w:num="2" w:equalWidth="0">
            <w:col w:w="7842" w:space="1567"/>
            <w:col w:w="7981"/>
          </w:cols>
        </w:sectPr>
      </w:pPr>
    </w:p>
    <w:p>
      <w:pPr>
        <w:pStyle w:val="BodyText"/>
        <w:spacing w:before="6"/>
        <w:rPr>
          <w:sz w:val="23"/>
        </w:rPr>
      </w:pPr>
    </w:p>
    <w:p>
      <w:pPr>
        <w:spacing w:after="0"/>
        <w:rPr>
          <w:sz w:val="23"/>
        </w:rPr>
        <w:sectPr>
          <w:footerReference w:type="default" r:id="rId60"/>
          <w:pgSz w:w="18830" w:h="12760" w:orient="landscape"/>
          <w:pgMar w:footer="1036" w:header="522" w:top="820" w:bottom="1220" w:left="520" w:right="720"/>
        </w:sectPr>
      </w:pPr>
    </w:p>
    <w:p>
      <w:pPr>
        <w:pStyle w:val="BodyText"/>
        <w:spacing w:line="249" w:lineRule="auto" w:before="76"/>
        <w:ind w:left="330" w:right="219" w:firstLine="170"/>
        <w:jc w:val="both"/>
      </w:pPr>
      <w:r>
        <w:rPr/>
        <w:t>Ante esta necesidad se desarrollan modelos estratégicos para el sector público  como se menciona anteriormente, como es el caso del modelo de Jhon M. Bryson. Strategyc Planning for public and non profit organizations (1988) (ver figura 3), que considera elementos importantes de los modelos estratégicos de las organizaciones privadas, sin embargo la negociación del acuerdo inicial, así como los mandatos y los temas estratégicos prioritarios hacen la diferencia con el sector privado, ya que esto refiere a la forma de gobernar por parte de las autoridades de los diferentes niveles de éste sector</w:t>
      </w:r>
      <w:r>
        <w:rPr>
          <w:spacing w:val="40"/>
        </w:rPr>
        <w:t> </w:t>
      </w:r>
      <w:r>
        <w:rPr/>
        <w:t>público.</w:t>
      </w:r>
    </w:p>
    <w:p>
      <w:pPr>
        <w:pStyle w:val="BodyText"/>
        <w:spacing w:before="2"/>
        <w:rPr>
          <w:sz w:val="24"/>
        </w:rPr>
      </w:pPr>
    </w:p>
    <w:p>
      <w:pPr>
        <w:spacing w:before="0"/>
        <w:ind w:left="1847" w:right="1258" w:firstLine="0"/>
        <w:jc w:val="left"/>
        <w:rPr>
          <w:sz w:val="16"/>
        </w:rPr>
      </w:pPr>
      <w:r>
        <w:rPr/>
        <w:drawing>
          <wp:anchor distT="0" distB="0" distL="0" distR="0" allowOverlap="1" layoutInCell="1" locked="0" behindDoc="0" simplePos="0" relativeHeight="1792">
            <wp:simplePos x="0" y="0"/>
            <wp:positionH relativeFrom="page">
              <wp:posOffset>399103</wp:posOffset>
            </wp:positionH>
            <wp:positionV relativeFrom="paragraph">
              <wp:posOffset>253779</wp:posOffset>
            </wp:positionV>
            <wp:extent cx="5181084" cy="3794760"/>
            <wp:effectExtent l="0" t="0" r="0" b="0"/>
            <wp:wrapNone/>
            <wp:docPr id="13" name="image24.jpeg" descr=""/>
            <wp:cNvGraphicFramePr>
              <a:graphicFrameLocks noChangeAspect="1"/>
            </wp:cNvGraphicFramePr>
            <a:graphic>
              <a:graphicData uri="http://schemas.openxmlformats.org/drawingml/2006/picture">
                <pic:pic>
                  <pic:nvPicPr>
                    <pic:cNvPr id="14" name="image24.jpeg"/>
                    <pic:cNvPicPr/>
                  </pic:nvPicPr>
                  <pic:blipFill>
                    <a:blip r:embed="rId61" cstate="print"/>
                    <a:stretch>
                      <a:fillRect/>
                    </a:stretch>
                  </pic:blipFill>
                  <pic:spPr>
                    <a:xfrm>
                      <a:off x="0" y="0"/>
                      <a:ext cx="5181084" cy="3794760"/>
                    </a:xfrm>
                    <a:prstGeom prst="rect">
                      <a:avLst/>
                    </a:prstGeom>
                  </pic:spPr>
                </pic:pic>
              </a:graphicData>
            </a:graphic>
          </wp:anchor>
        </w:drawing>
      </w:r>
      <w:r>
        <w:rPr>
          <w:color w:val="6D6E71"/>
          <w:sz w:val="16"/>
        </w:rPr>
        <w:t>Figura # 3. Modelo de planeación estratégica en el sector  público</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line="312" w:lineRule="auto" w:before="96"/>
        <w:ind w:left="2583" w:right="1258" w:hanging="1091"/>
        <w:jc w:val="left"/>
        <w:rPr>
          <w:sz w:val="16"/>
        </w:rPr>
      </w:pPr>
      <w:r>
        <w:rPr>
          <w:color w:val="6D6E71"/>
          <w:sz w:val="16"/>
        </w:rPr>
        <w:t>Fuente: Elaboración propia, basado en Jhon M. Bryson. Strategyc Planning for public and non profit organizations(1988).</w:t>
      </w:r>
    </w:p>
    <w:p>
      <w:pPr>
        <w:pStyle w:val="BodyText"/>
        <w:spacing w:line="249" w:lineRule="auto" w:before="76"/>
        <w:ind w:left="108" w:right="127" w:firstLine="170"/>
        <w:jc w:val="both"/>
      </w:pPr>
      <w:r>
        <w:rPr/>
        <w:br w:type="column"/>
      </w:r>
      <w:r>
        <w:rPr/>
        <w:t>Los</w:t>
      </w:r>
      <w:r>
        <w:rPr>
          <w:spacing w:val="-17"/>
        </w:rPr>
        <w:t> </w:t>
      </w:r>
      <w:r>
        <w:rPr/>
        <w:t>planes</w:t>
      </w:r>
      <w:r>
        <w:rPr>
          <w:spacing w:val="-17"/>
        </w:rPr>
        <w:t> </w:t>
      </w:r>
      <w:r>
        <w:rPr/>
        <w:t>estratégicos</w:t>
      </w:r>
      <w:r>
        <w:rPr>
          <w:spacing w:val="-17"/>
        </w:rPr>
        <w:t> </w:t>
      </w:r>
      <w:r>
        <w:rPr/>
        <w:t>han</w:t>
      </w:r>
      <w:r>
        <w:rPr>
          <w:spacing w:val="-17"/>
        </w:rPr>
        <w:t> </w:t>
      </w:r>
      <w:r>
        <w:rPr/>
        <w:t>sido</w:t>
      </w:r>
      <w:r>
        <w:rPr>
          <w:spacing w:val="-17"/>
        </w:rPr>
        <w:t> </w:t>
      </w:r>
      <w:r>
        <w:rPr/>
        <w:t>elaborados</w:t>
      </w:r>
      <w:r>
        <w:rPr>
          <w:spacing w:val="-17"/>
        </w:rPr>
        <w:t> </w:t>
      </w:r>
      <w:r>
        <w:rPr/>
        <w:t>y</w:t>
      </w:r>
      <w:r>
        <w:rPr>
          <w:spacing w:val="-17"/>
        </w:rPr>
        <w:t> </w:t>
      </w:r>
      <w:r>
        <w:rPr/>
        <w:t>utilizados</w:t>
      </w:r>
      <w:r>
        <w:rPr>
          <w:spacing w:val="-17"/>
        </w:rPr>
        <w:t> </w:t>
      </w:r>
      <w:r>
        <w:rPr/>
        <w:t>como</w:t>
      </w:r>
      <w:r>
        <w:rPr>
          <w:spacing w:val="-17"/>
        </w:rPr>
        <w:t> </w:t>
      </w:r>
      <w:r>
        <w:rPr/>
        <w:t>medios</w:t>
      </w:r>
      <w:r>
        <w:rPr>
          <w:spacing w:val="-17"/>
        </w:rPr>
        <w:t> </w:t>
      </w:r>
      <w:r>
        <w:rPr/>
        <w:t>de</w:t>
      </w:r>
      <w:r>
        <w:rPr>
          <w:spacing w:val="-17"/>
        </w:rPr>
        <w:t> </w:t>
      </w:r>
      <w:r>
        <w:rPr/>
        <w:t>concertación pública y privada, de coordinación al interior de las diferentes instituciones, como instrumentos de seguimiento y evaluación de las acciones establecidas a largo plazo en las diferentes transiciones políticas. Después de lo anteriormente expuesto sería interesante preguntarse ¿Cuál es el futuro de la planeación estratégica de ciudades?, es posible que se pudiera considerar que los planes estratégicos de las ciudades es  un referente futurista para los planes sectoriales, que pueden alcanzar un rango legal  y vinculante si esta da respuesta a los problemas de gobernabilidad que se presentan en las</w:t>
      </w:r>
      <w:r>
        <w:rPr>
          <w:spacing w:val="6"/>
        </w:rPr>
        <w:t> </w:t>
      </w:r>
      <w:r>
        <w:rPr/>
        <w:t>ciudades.</w:t>
      </w:r>
    </w:p>
    <w:p>
      <w:pPr>
        <w:pStyle w:val="BodyText"/>
        <w:spacing w:before="11"/>
      </w:pPr>
    </w:p>
    <w:p>
      <w:pPr>
        <w:pStyle w:val="BodyText"/>
        <w:spacing w:line="249" w:lineRule="auto"/>
        <w:ind w:left="108" w:right="127" w:firstLine="170"/>
        <w:jc w:val="both"/>
      </w:pPr>
      <w:r>
        <w:rPr/>
        <w:t>Por otro lado la planeación estratégica se asume como una parte integral de los planes de ordenación del territorio, al aportar objetivos, misión, visión y estrategias que permiten direccionar las acciones hacia la formulación, implementación y seguimientos de</w:t>
      </w:r>
      <w:r>
        <w:rPr>
          <w:spacing w:val="-4"/>
        </w:rPr>
        <w:t> </w:t>
      </w:r>
      <w:r>
        <w:rPr/>
        <w:t>estrategias,</w:t>
      </w:r>
      <w:r>
        <w:rPr>
          <w:spacing w:val="-4"/>
        </w:rPr>
        <w:t> </w:t>
      </w:r>
      <w:r>
        <w:rPr/>
        <w:t>que</w:t>
      </w:r>
      <w:r>
        <w:rPr>
          <w:spacing w:val="-4"/>
        </w:rPr>
        <w:t> </w:t>
      </w:r>
      <w:r>
        <w:rPr/>
        <w:t>permitan</w:t>
      </w:r>
      <w:r>
        <w:rPr>
          <w:spacing w:val="-4"/>
        </w:rPr>
        <w:t> </w:t>
      </w:r>
      <w:r>
        <w:rPr/>
        <w:t>a</w:t>
      </w:r>
      <w:r>
        <w:rPr>
          <w:spacing w:val="-4"/>
        </w:rPr>
        <w:t> </w:t>
      </w:r>
      <w:r>
        <w:rPr/>
        <w:t>las</w:t>
      </w:r>
      <w:r>
        <w:rPr>
          <w:spacing w:val="-4"/>
        </w:rPr>
        <w:t> </w:t>
      </w:r>
      <w:r>
        <w:rPr/>
        <w:t>autoridades</w:t>
      </w:r>
      <w:r>
        <w:rPr>
          <w:spacing w:val="-4"/>
        </w:rPr>
        <w:t> </w:t>
      </w:r>
      <w:r>
        <w:rPr/>
        <w:t>correspondientes</w:t>
      </w:r>
      <w:r>
        <w:rPr>
          <w:spacing w:val="-4"/>
        </w:rPr>
        <w:t> </w:t>
      </w:r>
      <w:r>
        <w:rPr/>
        <w:t>el</w:t>
      </w:r>
      <w:r>
        <w:rPr>
          <w:spacing w:val="-4"/>
        </w:rPr>
        <w:t> </w:t>
      </w:r>
      <w:r>
        <w:rPr/>
        <w:t>cumplimiento</w:t>
      </w:r>
      <w:r>
        <w:rPr>
          <w:spacing w:val="-4"/>
        </w:rPr>
        <w:t> </w:t>
      </w:r>
      <w:r>
        <w:rPr/>
        <w:t>de</w:t>
      </w:r>
      <w:r>
        <w:rPr>
          <w:spacing w:val="-4"/>
        </w:rPr>
        <w:t> </w:t>
      </w:r>
      <w:r>
        <w:rPr/>
        <w:t>los objetivos y metas en materia de ordenamiento</w:t>
      </w:r>
      <w:r>
        <w:rPr>
          <w:spacing w:val="46"/>
        </w:rPr>
        <w:t> </w:t>
      </w:r>
      <w:r>
        <w:rPr/>
        <w:t>territorial.</w:t>
      </w:r>
    </w:p>
    <w:p>
      <w:pPr>
        <w:pStyle w:val="BodyText"/>
        <w:spacing w:before="11"/>
      </w:pPr>
    </w:p>
    <w:p>
      <w:pPr>
        <w:pStyle w:val="BodyText"/>
        <w:spacing w:line="249" w:lineRule="auto"/>
        <w:ind w:left="108" w:right="127" w:firstLine="170"/>
        <w:jc w:val="both"/>
      </w:pPr>
      <w:r>
        <w:rPr/>
        <w:t>Los cambios territoriales no pueden ser la excepción de los cambios científico tecnológicos que vivimos en la actualidad en el mundo entero; la distancia, el espacio, son términos que han sido rebasados por los grandes avances Técnico-científicos     en los cuales podemos hablar de robótica, localizaciones, satelitales, telecarreteras, telepuertos, entre otros. (Méndez,Lloret,2006). Rolando I Gioja (1972) define a la planificación como: “Planificación  es una actividad gracias a la cual el hombre que  vive en sociedad se esfuerza para dominarse debidamente hacia su futuro colectivo por medio del poder de la razón. Estos son los únicos que se postulan en torno al planeamiento o la planificación, pero pueden orientarnos en relación a dos campos    de actividad; más en lo territorial uno, más en lo social otro, pero son totalmente complementarios.</w:t>
      </w:r>
    </w:p>
    <w:p>
      <w:pPr>
        <w:pStyle w:val="BodyText"/>
      </w:pPr>
    </w:p>
    <w:p>
      <w:pPr>
        <w:pStyle w:val="BodyText"/>
        <w:spacing w:before="6"/>
        <w:rPr>
          <w:sz w:val="18"/>
        </w:rPr>
      </w:pPr>
    </w:p>
    <w:p>
      <w:pPr>
        <w:pStyle w:val="Heading1"/>
        <w:ind w:left="278"/>
      </w:pPr>
      <w:r>
        <w:rPr/>
        <w:t>Caso de Estudio Red México del CIDEU</w:t>
      </w:r>
    </w:p>
    <w:p>
      <w:pPr>
        <w:pStyle w:val="BodyText"/>
        <w:rPr>
          <w:b/>
          <w:sz w:val="24"/>
        </w:rPr>
      </w:pPr>
    </w:p>
    <w:p>
      <w:pPr>
        <w:pStyle w:val="BodyText"/>
        <w:spacing w:line="249" w:lineRule="auto" w:before="205"/>
        <w:ind w:left="108" w:right="127" w:firstLine="170"/>
        <w:jc w:val="both"/>
      </w:pPr>
      <w:r>
        <w:rPr/>
        <w:t>Un referente importante para este estudio caso es en la actualidad el Centro Iberoamericano de Desarrollo Estratégico Urbano (CIDEU) que cuenta con 141 miembros de 21 países Iberoamericanos. (117 ciudades, 22 miembros colaboradores  y 2 socios de honor: AECID y SEGIB).La misión de CIDEU es promover la manera estratégica de pensar en los procesos de diseño y gestión de proyectos urbanos     para lograr el desarrollo sostenible de las ciudades iberoamericanas a través de la planificación estratégica. Actualmente tiene registrados 507 proyectos estratégicos entre las ciudades miembros de éste centro. Lo anterior es una instancia que sirve de referente sobre la importancia de considerar a la planeación estratégica como </w:t>
      </w:r>
      <w:r>
        <w:rPr>
          <w:spacing w:val="3"/>
        </w:rPr>
        <w:t> </w:t>
      </w:r>
      <w:r>
        <w:rPr/>
        <w:t>una</w:t>
      </w:r>
    </w:p>
    <w:p>
      <w:pPr>
        <w:spacing w:after="0" w:line="249" w:lineRule="auto"/>
        <w:jc w:val="both"/>
        <w:sectPr>
          <w:type w:val="continuous"/>
          <w:pgSz w:w="18830" w:h="12760" w:orient="landscape"/>
          <w:pgMar w:top="1420" w:bottom="280" w:left="520" w:right="720"/>
          <w:cols w:num="2" w:equalWidth="0">
            <w:col w:w="8263" w:space="1370"/>
            <w:col w:w="7957"/>
          </w:cols>
        </w:sectPr>
      </w:pPr>
    </w:p>
    <w:p>
      <w:pPr>
        <w:pStyle w:val="BodyText"/>
        <w:spacing w:before="6"/>
        <w:rPr>
          <w:sz w:val="23"/>
        </w:rPr>
      </w:pPr>
    </w:p>
    <w:p>
      <w:pPr>
        <w:spacing w:after="0"/>
        <w:rPr>
          <w:sz w:val="23"/>
        </w:rPr>
        <w:sectPr>
          <w:footerReference w:type="default" r:id="rId62"/>
          <w:pgSz w:w="18830" w:h="12760" w:orient="landscape"/>
          <w:pgMar w:footer="1036" w:header="522" w:top="820" w:bottom="1220" w:left="720" w:right="720"/>
        </w:sectPr>
      </w:pPr>
    </w:p>
    <w:p>
      <w:pPr>
        <w:pStyle w:val="BodyText"/>
        <w:spacing w:line="249" w:lineRule="auto" w:before="76"/>
        <w:ind w:left="140" w:firstLine="170"/>
        <w:jc w:val="both"/>
      </w:pPr>
      <w:r>
        <w:rPr/>
        <w:t>Para tal efecto se considera la Red México que consta de 23 ciudades (como se puede observar en el cuadro1) que han asumido el compromiso en el impulso de planes estratégicos para el desarrollo de sus ciudades, considerando como se ve más adelante la participación activa y colaborativa de autoridades y la sociedad en general.</w:t>
      </w:r>
    </w:p>
    <w:p>
      <w:pPr>
        <w:pStyle w:val="BodyText"/>
        <w:spacing w:before="2"/>
        <w:rPr>
          <w:sz w:val="24"/>
        </w:rPr>
      </w:pPr>
    </w:p>
    <w:p>
      <w:pPr>
        <w:spacing w:line="312" w:lineRule="auto" w:before="0"/>
        <w:ind w:left="2118" w:right="1042" w:hanging="269"/>
        <w:jc w:val="left"/>
        <w:rPr>
          <w:sz w:val="16"/>
        </w:rPr>
      </w:pPr>
      <w:r>
        <w:rPr>
          <w:color w:val="6D6E71"/>
          <w:sz w:val="16"/>
        </w:rPr>
        <w:t>Cuadro 1. Ciudades miembro del Centro Iberoamericano de Desarrollo Estratégico Urbano (CIDEU) . Red México</w:t>
      </w:r>
    </w:p>
    <w:p>
      <w:pPr>
        <w:pStyle w:val="BodyText"/>
        <w:spacing w:line="249" w:lineRule="auto" w:before="76"/>
        <w:ind w:left="140" w:right="127" w:firstLine="170"/>
        <w:jc w:val="both"/>
      </w:pPr>
      <w:r>
        <w:rPr/>
        <w:br w:type="column"/>
      </w:r>
      <w:r>
        <w:rPr/>
        <w:t>Las ciudades de la Red México se encuentran localizadas geográficamente en 15 diferentes estados de la República Mexicana, mismos que se pueden apreciar en </w:t>
      </w:r>
      <w:r>
        <w:rPr>
          <w:w w:val="95"/>
        </w:rPr>
        <w:t>(Figura 4).</w:t>
      </w:r>
    </w:p>
    <w:p>
      <w:pPr>
        <w:pStyle w:val="BodyText"/>
        <w:spacing w:before="11"/>
      </w:pPr>
    </w:p>
    <w:p>
      <w:pPr>
        <w:pStyle w:val="BodyText"/>
        <w:spacing w:line="249" w:lineRule="auto"/>
        <w:ind w:left="140" w:right="127" w:firstLine="170"/>
        <w:jc w:val="both"/>
      </w:pPr>
      <w:r>
        <w:rPr/>
        <w:t>Hay estados con dos o más ciudades como es el caso de: Nuevo León con tres ciudades,</w:t>
      </w:r>
      <w:r>
        <w:rPr>
          <w:spacing w:val="-17"/>
        </w:rPr>
        <w:t> </w:t>
      </w:r>
      <w:r>
        <w:rPr/>
        <w:t>General</w:t>
      </w:r>
      <w:r>
        <w:rPr>
          <w:spacing w:val="-17"/>
        </w:rPr>
        <w:t> </w:t>
      </w:r>
      <w:r>
        <w:rPr/>
        <w:t>Escobedo,</w:t>
      </w:r>
      <w:r>
        <w:rPr>
          <w:spacing w:val="-17"/>
        </w:rPr>
        <w:t> </w:t>
      </w:r>
      <w:r>
        <w:rPr/>
        <w:t>Monterrey,</w:t>
      </w:r>
      <w:r>
        <w:rPr>
          <w:spacing w:val="-17"/>
        </w:rPr>
        <w:t> </w:t>
      </w:r>
      <w:r>
        <w:rPr/>
        <w:t>San</w:t>
      </w:r>
      <w:r>
        <w:rPr>
          <w:spacing w:val="-17"/>
        </w:rPr>
        <w:t> </w:t>
      </w:r>
      <w:r>
        <w:rPr/>
        <w:t>Pedro</w:t>
      </w:r>
      <w:r>
        <w:rPr>
          <w:spacing w:val="-17"/>
        </w:rPr>
        <w:t> </w:t>
      </w:r>
      <w:r>
        <w:rPr/>
        <w:t>Garza</w:t>
      </w:r>
      <w:r>
        <w:rPr>
          <w:spacing w:val="-17"/>
        </w:rPr>
        <w:t> </w:t>
      </w:r>
      <w:r>
        <w:rPr/>
        <w:t>García,</w:t>
      </w:r>
      <w:r>
        <w:rPr>
          <w:spacing w:val="-17"/>
        </w:rPr>
        <w:t> </w:t>
      </w:r>
      <w:r>
        <w:rPr/>
        <w:t>o</w:t>
      </w:r>
      <w:r>
        <w:rPr>
          <w:spacing w:val="-17"/>
        </w:rPr>
        <w:t> </w:t>
      </w:r>
      <w:r>
        <w:rPr/>
        <w:t>dos</w:t>
      </w:r>
      <w:r>
        <w:rPr>
          <w:spacing w:val="-17"/>
        </w:rPr>
        <w:t> </w:t>
      </w:r>
      <w:r>
        <w:rPr/>
        <w:t>ciudades</w:t>
      </w:r>
      <w:r>
        <w:rPr>
          <w:spacing w:val="-17"/>
        </w:rPr>
        <w:t> </w:t>
      </w:r>
      <w:r>
        <w:rPr/>
        <w:t>como es el caso de Chihuahua, con Parral e Implan Chihuahua; San Luis Potosí, y Ciudad Valles en el estado de San Luis Potosí; San Pedro Cholula y Puebla de Zaragoza en el estado de Puebla; Ensenada y Tijuana en Baja California Norte y las demás ciudades que corresponden a un solo estado. ( Figura</w:t>
      </w:r>
      <w:r>
        <w:rPr>
          <w:spacing w:val="1"/>
        </w:rPr>
        <w:t> </w:t>
      </w:r>
      <w:r>
        <w:rPr/>
        <w:t>5).</w:t>
      </w:r>
    </w:p>
    <w:p>
      <w:pPr>
        <w:pStyle w:val="BodyText"/>
      </w:pPr>
    </w:p>
    <w:p>
      <w:pPr>
        <w:pStyle w:val="BodyText"/>
        <w:spacing w:before="1"/>
        <w:rPr>
          <w:sz w:val="25"/>
        </w:rPr>
      </w:pPr>
    </w:p>
    <w:p>
      <w:pPr>
        <w:spacing w:before="0"/>
        <w:ind w:left="1053" w:right="0" w:firstLine="0"/>
        <w:jc w:val="left"/>
        <w:rPr>
          <w:sz w:val="16"/>
        </w:rPr>
      </w:pPr>
      <w:r>
        <w:rPr>
          <w:color w:val="6D6E71"/>
          <w:sz w:val="16"/>
        </w:rPr>
        <w:t>Figura 4. Localización geográfica de las Ciudades pertenecientes a la RED México</w:t>
      </w:r>
    </w:p>
    <w:p>
      <w:pPr>
        <w:spacing w:after="0"/>
        <w:jc w:val="left"/>
        <w:rPr>
          <w:sz w:val="16"/>
        </w:rPr>
        <w:sectPr>
          <w:type w:val="continuous"/>
          <w:pgSz w:w="18830" w:h="12760" w:orient="landscape"/>
          <w:pgMar w:top="1420" w:bottom="280" w:left="720" w:right="720"/>
          <w:cols w:num="2" w:equalWidth="0">
            <w:col w:w="7852" w:space="1549"/>
            <w:col w:w="7989"/>
          </w:cols>
        </w:sectPr>
      </w:pPr>
    </w:p>
    <w:p>
      <w:pPr>
        <w:pStyle w:val="BodyText"/>
      </w:pPr>
    </w:p>
    <w:p>
      <w:pPr>
        <w:pStyle w:val="BodyText"/>
        <w:spacing w:before="9"/>
        <w:rPr>
          <w:sz w:val="18"/>
        </w:rPr>
      </w:pPr>
    </w:p>
    <w:p>
      <w:pPr>
        <w:pStyle w:val="BodyText"/>
        <w:ind w:left="9528"/>
      </w:pPr>
      <w:r>
        <w:rPr/>
        <w:drawing>
          <wp:inline distT="0" distB="0" distL="0" distR="0">
            <wp:extent cx="4919047" cy="2441448"/>
            <wp:effectExtent l="0" t="0" r="0" b="0"/>
            <wp:docPr id="15" name="image25.jpeg" descr=""/>
            <wp:cNvGraphicFramePr>
              <a:graphicFrameLocks noChangeAspect="1"/>
            </wp:cNvGraphicFramePr>
            <a:graphic>
              <a:graphicData uri="http://schemas.openxmlformats.org/drawingml/2006/picture">
                <pic:pic>
                  <pic:nvPicPr>
                    <pic:cNvPr id="16" name="image25.jpeg"/>
                    <pic:cNvPicPr/>
                  </pic:nvPicPr>
                  <pic:blipFill>
                    <a:blip r:embed="rId63" cstate="print"/>
                    <a:stretch>
                      <a:fillRect/>
                    </a:stretch>
                  </pic:blipFill>
                  <pic:spPr>
                    <a:xfrm>
                      <a:off x="0" y="0"/>
                      <a:ext cx="4919047" cy="2441448"/>
                    </a:xfrm>
                    <a:prstGeom prst="rect">
                      <a:avLst/>
                    </a:prstGeom>
                  </pic:spPr>
                </pic:pic>
              </a:graphicData>
            </a:graphic>
          </wp:inline>
        </w:drawing>
      </w:r>
      <w:r>
        <w:rPr/>
      </w:r>
    </w:p>
    <w:p>
      <w:pPr>
        <w:pStyle w:val="BodyText"/>
        <w:spacing w:before="2"/>
        <w:rPr>
          <w:sz w:val="21"/>
        </w:rPr>
      </w:pPr>
    </w:p>
    <w:p>
      <w:pPr>
        <w:spacing w:before="81"/>
        <w:ind w:left="0" w:right="3229" w:firstLine="0"/>
        <w:jc w:val="right"/>
        <w:rPr>
          <w:sz w:val="16"/>
        </w:rPr>
      </w:pPr>
      <w:r>
        <w:rPr/>
        <w:pict>
          <v:shape style="position:absolute;margin-left:51.3106pt;margin-top:-295.40799pt;width:368.85pt;height:361.4pt;mso-position-horizontal-relative:page;mso-position-vertical-relative:paragraph;z-index:1816" type="#_x0000_t202" filled="false" stroked="false">
            <v:textbox inset="0,0,0,0">
              <w:txbxContent>
                <w:tbl>
                  <w:tblPr>
                    <w:tblW w:w="0" w:type="auto"/>
                    <w:jc w:val="left"/>
                    <w:tblBorders>
                      <w:top w:val="dotted" w:sz="4" w:space="0" w:color="6D6E71"/>
                      <w:left w:val="dotted" w:sz="4" w:space="0" w:color="6D6E71"/>
                      <w:bottom w:val="dotted" w:sz="4" w:space="0" w:color="6D6E71"/>
                      <w:right w:val="dotted" w:sz="4" w:space="0" w:color="6D6E71"/>
                      <w:insideH w:val="dotted" w:sz="4" w:space="0" w:color="6D6E71"/>
                      <w:insideV w:val="dotted" w:sz="4" w:space="0" w:color="6D6E71"/>
                    </w:tblBorders>
                    <w:tblLayout w:type="fixed"/>
                    <w:tblCellMar>
                      <w:top w:w="0" w:type="dxa"/>
                      <w:left w:w="0" w:type="dxa"/>
                      <w:bottom w:w="0" w:type="dxa"/>
                      <w:right w:w="0" w:type="dxa"/>
                    </w:tblCellMar>
                    <w:tblLook w:val="01E0"/>
                  </w:tblPr>
                  <w:tblGrid>
                    <w:gridCol w:w="647"/>
                    <w:gridCol w:w="1349"/>
                    <w:gridCol w:w="1431"/>
                    <w:gridCol w:w="834"/>
                    <w:gridCol w:w="1814"/>
                    <w:gridCol w:w="1301"/>
                  </w:tblGrid>
                  <w:tr>
                    <w:trPr>
                      <w:trHeight w:val="299" w:hRule="exact"/>
                    </w:trPr>
                    <w:tc>
                      <w:tcPr>
                        <w:tcW w:w="647" w:type="dxa"/>
                        <w:tcBorders>
                          <w:top w:val="nil"/>
                          <w:left w:val="nil"/>
                        </w:tcBorders>
                      </w:tcPr>
                      <w:p>
                        <w:pPr>
                          <w:pStyle w:val="TableParagraph"/>
                          <w:spacing w:before="17"/>
                          <w:ind w:left="62"/>
                          <w:rPr>
                            <w:b/>
                            <w:sz w:val="20"/>
                          </w:rPr>
                        </w:pPr>
                        <w:r>
                          <w:rPr>
                            <w:b/>
                            <w:sz w:val="20"/>
                          </w:rPr>
                          <w:t>Núm.</w:t>
                        </w:r>
                      </w:p>
                    </w:tc>
                    <w:tc>
                      <w:tcPr>
                        <w:tcW w:w="1349" w:type="dxa"/>
                        <w:tcBorders>
                          <w:top w:val="nil"/>
                        </w:tcBorders>
                      </w:tcPr>
                      <w:p>
                        <w:pPr>
                          <w:pStyle w:val="TableParagraph"/>
                          <w:spacing w:before="17"/>
                          <w:ind w:left="74" w:right="69"/>
                          <w:rPr>
                            <w:b/>
                            <w:sz w:val="20"/>
                          </w:rPr>
                        </w:pPr>
                        <w:r>
                          <w:rPr>
                            <w:b/>
                            <w:sz w:val="20"/>
                          </w:rPr>
                          <w:t>Ciudad</w:t>
                        </w:r>
                      </w:p>
                    </w:tc>
                    <w:tc>
                      <w:tcPr>
                        <w:tcW w:w="1431" w:type="dxa"/>
                        <w:tcBorders>
                          <w:top w:val="nil"/>
                        </w:tcBorders>
                      </w:tcPr>
                      <w:p>
                        <w:pPr>
                          <w:pStyle w:val="TableParagraph"/>
                          <w:spacing w:before="17"/>
                          <w:ind w:left="74"/>
                          <w:rPr>
                            <w:b/>
                            <w:sz w:val="20"/>
                          </w:rPr>
                        </w:pPr>
                        <w:r>
                          <w:rPr>
                            <w:b/>
                            <w:sz w:val="20"/>
                          </w:rPr>
                          <w:t>Estado</w:t>
                        </w:r>
                      </w:p>
                    </w:tc>
                    <w:tc>
                      <w:tcPr>
                        <w:tcW w:w="834" w:type="dxa"/>
                        <w:tcBorders>
                          <w:top w:val="nil"/>
                        </w:tcBorders>
                      </w:tcPr>
                      <w:p>
                        <w:pPr>
                          <w:pStyle w:val="TableParagraph"/>
                          <w:spacing w:before="17"/>
                          <w:ind w:left="74"/>
                          <w:rPr>
                            <w:b/>
                            <w:sz w:val="20"/>
                          </w:rPr>
                        </w:pPr>
                        <w:r>
                          <w:rPr>
                            <w:b/>
                            <w:sz w:val="20"/>
                          </w:rPr>
                          <w:t>Núm.</w:t>
                        </w:r>
                      </w:p>
                    </w:tc>
                    <w:tc>
                      <w:tcPr>
                        <w:tcW w:w="1814" w:type="dxa"/>
                        <w:tcBorders>
                          <w:top w:val="nil"/>
                        </w:tcBorders>
                      </w:tcPr>
                      <w:p>
                        <w:pPr>
                          <w:pStyle w:val="TableParagraph"/>
                          <w:spacing w:before="17"/>
                          <w:ind w:left="74" w:right="32"/>
                          <w:rPr>
                            <w:b/>
                            <w:sz w:val="20"/>
                          </w:rPr>
                        </w:pPr>
                        <w:r>
                          <w:rPr>
                            <w:b/>
                            <w:sz w:val="20"/>
                          </w:rPr>
                          <w:t>Ciudad</w:t>
                        </w:r>
                      </w:p>
                    </w:tc>
                    <w:tc>
                      <w:tcPr>
                        <w:tcW w:w="1301" w:type="dxa"/>
                        <w:tcBorders>
                          <w:top w:val="nil"/>
                          <w:right w:val="nil"/>
                        </w:tcBorders>
                      </w:tcPr>
                      <w:p>
                        <w:pPr>
                          <w:pStyle w:val="TableParagraph"/>
                          <w:spacing w:before="17"/>
                          <w:ind w:left="74"/>
                          <w:rPr>
                            <w:b/>
                            <w:sz w:val="20"/>
                          </w:rPr>
                        </w:pPr>
                        <w:r>
                          <w:rPr>
                            <w:b/>
                            <w:sz w:val="20"/>
                          </w:rPr>
                          <w:t>Estado</w:t>
                        </w:r>
                      </w:p>
                    </w:tc>
                  </w:tr>
                  <w:tr>
                    <w:trPr>
                      <w:trHeight w:val="520" w:hRule="exact"/>
                    </w:trPr>
                    <w:tc>
                      <w:tcPr>
                        <w:tcW w:w="647" w:type="dxa"/>
                        <w:tcBorders>
                          <w:left w:val="nil"/>
                        </w:tcBorders>
                      </w:tcPr>
                      <w:p>
                        <w:pPr>
                          <w:pStyle w:val="TableParagraph"/>
                          <w:spacing w:before="1"/>
                          <w:rPr>
                            <w:sz w:val="20"/>
                          </w:rPr>
                        </w:pPr>
                      </w:p>
                      <w:p>
                        <w:pPr>
                          <w:pStyle w:val="TableParagraph"/>
                          <w:ind w:left="62"/>
                          <w:rPr>
                            <w:sz w:val="16"/>
                          </w:rPr>
                        </w:pPr>
                        <w:r>
                          <w:rPr>
                            <w:sz w:val="16"/>
                          </w:rPr>
                          <w:t>1.</w:t>
                        </w:r>
                      </w:p>
                    </w:tc>
                    <w:tc>
                      <w:tcPr>
                        <w:tcW w:w="1349" w:type="dxa"/>
                      </w:tcPr>
                      <w:p>
                        <w:pPr>
                          <w:pStyle w:val="TableParagraph"/>
                          <w:spacing w:before="1"/>
                          <w:rPr>
                            <w:sz w:val="20"/>
                          </w:rPr>
                        </w:pPr>
                      </w:p>
                      <w:p>
                        <w:pPr>
                          <w:pStyle w:val="TableParagraph"/>
                          <w:ind w:left="74" w:right="69"/>
                          <w:rPr>
                            <w:sz w:val="16"/>
                          </w:rPr>
                        </w:pPr>
                        <w:r>
                          <w:rPr>
                            <w:sz w:val="16"/>
                          </w:rPr>
                          <w:t>Aguascalientes</w:t>
                        </w:r>
                      </w:p>
                    </w:tc>
                    <w:tc>
                      <w:tcPr>
                        <w:tcW w:w="1431" w:type="dxa"/>
                      </w:tcPr>
                      <w:p>
                        <w:pPr>
                          <w:pStyle w:val="TableParagraph"/>
                          <w:spacing w:before="1"/>
                          <w:rPr>
                            <w:sz w:val="20"/>
                          </w:rPr>
                        </w:pPr>
                      </w:p>
                      <w:p>
                        <w:pPr>
                          <w:pStyle w:val="TableParagraph"/>
                          <w:ind w:left="74"/>
                          <w:rPr>
                            <w:sz w:val="16"/>
                          </w:rPr>
                        </w:pPr>
                        <w:r>
                          <w:rPr>
                            <w:sz w:val="16"/>
                          </w:rPr>
                          <w:t>Aguascalientes</w:t>
                        </w:r>
                      </w:p>
                    </w:tc>
                    <w:tc>
                      <w:tcPr>
                        <w:tcW w:w="834" w:type="dxa"/>
                      </w:tcPr>
                      <w:p>
                        <w:pPr>
                          <w:pStyle w:val="TableParagraph"/>
                          <w:spacing w:before="1"/>
                          <w:rPr>
                            <w:sz w:val="20"/>
                          </w:rPr>
                        </w:pPr>
                      </w:p>
                      <w:p>
                        <w:pPr>
                          <w:pStyle w:val="TableParagraph"/>
                          <w:ind w:left="74"/>
                          <w:rPr>
                            <w:sz w:val="16"/>
                          </w:rPr>
                        </w:pPr>
                        <w:r>
                          <w:rPr>
                            <w:sz w:val="16"/>
                          </w:rPr>
                          <w:t>12.</w:t>
                        </w:r>
                      </w:p>
                    </w:tc>
                    <w:tc>
                      <w:tcPr>
                        <w:tcW w:w="1814" w:type="dxa"/>
                      </w:tcPr>
                      <w:p>
                        <w:pPr>
                          <w:pStyle w:val="TableParagraph"/>
                          <w:spacing w:before="1"/>
                          <w:rPr>
                            <w:sz w:val="20"/>
                          </w:rPr>
                        </w:pPr>
                      </w:p>
                      <w:p>
                        <w:pPr>
                          <w:pStyle w:val="TableParagraph"/>
                          <w:ind w:left="75" w:right="32"/>
                          <w:rPr>
                            <w:sz w:val="16"/>
                          </w:rPr>
                        </w:pPr>
                        <w:r>
                          <w:rPr>
                            <w:sz w:val="16"/>
                          </w:rPr>
                          <w:t>Monterrey</w:t>
                        </w:r>
                      </w:p>
                    </w:tc>
                    <w:tc>
                      <w:tcPr>
                        <w:tcW w:w="1301" w:type="dxa"/>
                        <w:tcBorders>
                          <w:right w:val="nil"/>
                        </w:tcBorders>
                      </w:tcPr>
                      <w:p>
                        <w:pPr>
                          <w:pStyle w:val="TableParagraph"/>
                          <w:spacing w:before="1"/>
                          <w:rPr>
                            <w:sz w:val="20"/>
                          </w:rPr>
                        </w:pPr>
                      </w:p>
                      <w:p>
                        <w:pPr>
                          <w:pStyle w:val="TableParagraph"/>
                          <w:ind w:left="75"/>
                          <w:rPr>
                            <w:sz w:val="16"/>
                          </w:rPr>
                        </w:pPr>
                        <w:r>
                          <w:rPr>
                            <w:sz w:val="16"/>
                          </w:rPr>
                          <w:t>Nuevo León</w:t>
                        </w:r>
                      </w:p>
                    </w:tc>
                  </w:tr>
                  <w:tr>
                    <w:trPr>
                      <w:trHeight w:val="426" w:hRule="exact"/>
                    </w:trPr>
                    <w:tc>
                      <w:tcPr>
                        <w:tcW w:w="647" w:type="dxa"/>
                        <w:tcBorders>
                          <w:left w:val="nil"/>
                        </w:tcBorders>
                      </w:tcPr>
                      <w:p>
                        <w:pPr>
                          <w:pStyle w:val="TableParagraph"/>
                          <w:spacing w:before="7"/>
                          <w:rPr>
                            <w:sz w:val="16"/>
                          </w:rPr>
                        </w:pPr>
                      </w:p>
                      <w:p>
                        <w:pPr>
                          <w:pStyle w:val="TableParagraph"/>
                          <w:ind w:left="62"/>
                          <w:rPr>
                            <w:sz w:val="16"/>
                          </w:rPr>
                        </w:pPr>
                        <w:r>
                          <w:rPr>
                            <w:sz w:val="16"/>
                          </w:rPr>
                          <w:t>2.</w:t>
                        </w:r>
                      </w:p>
                    </w:tc>
                    <w:tc>
                      <w:tcPr>
                        <w:tcW w:w="1349" w:type="dxa"/>
                      </w:tcPr>
                      <w:p>
                        <w:pPr>
                          <w:pStyle w:val="TableParagraph"/>
                          <w:spacing w:before="7"/>
                          <w:rPr>
                            <w:sz w:val="16"/>
                          </w:rPr>
                        </w:pPr>
                      </w:p>
                      <w:p>
                        <w:pPr>
                          <w:pStyle w:val="TableParagraph"/>
                          <w:ind w:left="74" w:right="69"/>
                          <w:rPr>
                            <w:sz w:val="16"/>
                          </w:rPr>
                        </w:pPr>
                        <w:r>
                          <w:rPr>
                            <w:sz w:val="16"/>
                          </w:rPr>
                          <w:t>Ciudad Valles</w:t>
                        </w:r>
                      </w:p>
                    </w:tc>
                    <w:tc>
                      <w:tcPr>
                        <w:tcW w:w="1431" w:type="dxa"/>
                      </w:tcPr>
                      <w:p>
                        <w:pPr>
                          <w:pStyle w:val="TableParagraph"/>
                          <w:spacing w:before="7"/>
                          <w:rPr>
                            <w:sz w:val="16"/>
                          </w:rPr>
                        </w:pPr>
                      </w:p>
                      <w:p>
                        <w:pPr>
                          <w:pStyle w:val="TableParagraph"/>
                          <w:ind w:left="74"/>
                          <w:rPr>
                            <w:sz w:val="16"/>
                          </w:rPr>
                        </w:pPr>
                        <w:r>
                          <w:rPr>
                            <w:sz w:val="16"/>
                          </w:rPr>
                          <w:t>San Luis Potosí</w:t>
                        </w:r>
                      </w:p>
                    </w:tc>
                    <w:tc>
                      <w:tcPr>
                        <w:tcW w:w="834" w:type="dxa"/>
                      </w:tcPr>
                      <w:p>
                        <w:pPr>
                          <w:pStyle w:val="TableParagraph"/>
                          <w:spacing w:before="7"/>
                          <w:rPr>
                            <w:sz w:val="16"/>
                          </w:rPr>
                        </w:pPr>
                      </w:p>
                      <w:p>
                        <w:pPr>
                          <w:pStyle w:val="TableParagraph"/>
                          <w:ind w:left="74"/>
                          <w:rPr>
                            <w:sz w:val="16"/>
                          </w:rPr>
                        </w:pPr>
                        <w:r>
                          <w:rPr>
                            <w:sz w:val="16"/>
                          </w:rPr>
                          <w:t>13.</w:t>
                        </w:r>
                      </w:p>
                    </w:tc>
                    <w:tc>
                      <w:tcPr>
                        <w:tcW w:w="1814" w:type="dxa"/>
                      </w:tcPr>
                      <w:p>
                        <w:pPr>
                          <w:pStyle w:val="TableParagraph"/>
                          <w:spacing w:before="7"/>
                          <w:rPr>
                            <w:sz w:val="16"/>
                          </w:rPr>
                        </w:pPr>
                      </w:p>
                      <w:p>
                        <w:pPr>
                          <w:pStyle w:val="TableParagraph"/>
                          <w:ind w:left="75" w:right="32"/>
                          <w:rPr>
                            <w:sz w:val="16"/>
                          </w:rPr>
                        </w:pPr>
                        <w:r>
                          <w:rPr>
                            <w:sz w:val="16"/>
                          </w:rPr>
                          <w:t>Oaxaca</w:t>
                        </w:r>
                      </w:p>
                    </w:tc>
                    <w:tc>
                      <w:tcPr>
                        <w:tcW w:w="1301" w:type="dxa"/>
                        <w:tcBorders>
                          <w:right w:val="nil"/>
                        </w:tcBorders>
                      </w:tcPr>
                      <w:p>
                        <w:pPr>
                          <w:pStyle w:val="TableParagraph"/>
                          <w:spacing w:before="7"/>
                          <w:rPr>
                            <w:sz w:val="16"/>
                          </w:rPr>
                        </w:pPr>
                      </w:p>
                      <w:p>
                        <w:pPr>
                          <w:pStyle w:val="TableParagraph"/>
                          <w:ind w:left="75"/>
                          <w:rPr>
                            <w:sz w:val="16"/>
                          </w:rPr>
                        </w:pPr>
                        <w:r>
                          <w:rPr>
                            <w:sz w:val="16"/>
                          </w:rPr>
                          <w:t>Oaxaca</w:t>
                        </w:r>
                      </w:p>
                    </w:tc>
                  </w:tr>
                  <w:tr>
                    <w:trPr>
                      <w:trHeight w:val="480" w:hRule="exact"/>
                    </w:trPr>
                    <w:tc>
                      <w:tcPr>
                        <w:tcW w:w="647" w:type="dxa"/>
                        <w:tcBorders>
                          <w:left w:val="nil"/>
                        </w:tcBorders>
                      </w:tcPr>
                      <w:p>
                        <w:pPr>
                          <w:pStyle w:val="TableParagraph"/>
                          <w:spacing w:before="3"/>
                          <w:rPr>
                            <w:sz w:val="21"/>
                          </w:rPr>
                        </w:pPr>
                      </w:p>
                      <w:p>
                        <w:pPr>
                          <w:pStyle w:val="TableParagraph"/>
                          <w:ind w:left="62"/>
                          <w:rPr>
                            <w:sz w:val="16"/>
                          </w:rPr>
                        </w:pPr>
                        <w:r>
                          <w:rPr>
                            <w:sz w:val="16"/>
                          </w:rPr>
                          <w:t>3.</w:t>
                        </w:r>
                      </w:p>
                    </w:tc>
                    <w:tc>
                      <w:tcPr>
                        <w:tcW w:w="1349" w:type="dxa"/>
                      </w:tcPr>
                      <w:p>
                        <w:pPr>
                          <w:pStyle w:val="TableParagraph"/>
                          <w:spacing w:before="3"/>
                          <w:rPr>
                            <w:sz w:val="21"/>
                          </w:rPr>
                        </w:pPr>
                      </w:p>
                      <w:p>
                        <w:pPr>
                          <w:pStyle w:val="TableParagraph"/>
                          <w:ind w:left="74" w:right="69"/>
                          <w:rPr>
                            <w:sz w:val="16"/>
                          </w:rPr>
                        </w:pPr>
                        <w:r>
                          <w:rPr>
                            <w:sz w:val="16"/>
                          </w:rPr>
                          <w:t>Culiacán</w:t>
                        </w:r>
                      </w:p>
                    </w:tc>
                    <w:tc>
                      <w:tcPr>
                        <w:tcW w:w="1431" w:type="dxa"/>
                      </w:tcPr>
                      <w:p>
                        <w:pPr>
                          <w:pStyle w:val="TableParagraph"/>
                          <w:spacing w:before="3"/>
                          <w:rPr>
                            <w:sz w:val="21"/>
                          </w:rPr>
                        </w:pPr>
                      </w:p>
                      <w:p>
                        <w:pPr>
                          <w:pStyle w:val="TableParagraph"/>
                          <w:ind w:left="74"/>
                          <w:rPr>
                            <w:sz w:val="16"/>
                          </w:rPr>
                        </w:pPr>
                        <w:r>
                          <w:rPr>
                            <w:sz w:val="16"/>
                          </w:rPr>
                          <w:t>Sinaloa</w:t>
                        </w:r>
                      </w:p>
                    </w:tc>
                    <w:tc>
                      <w:tcPr>
                        <w:tcW w:w="834" w:type="dxa"/>
                      </w:tcPr>
                      <w:p>
                        <w:pPr>
                          <w:pStyle w:val="TableParagraph"/>
                          <w:spacing w:before="3"/>
                          <w:rPr>
                            <w:sz w:val="21"/>
                          </w:rPr>
                        </w:pPr>
                      </w:p>
                      <w:p>
                        <w:pPr>
                          <w:pStyle w:val="TableParagraph"/>
                          <w:ind w:left="74"/>
                          <w:rPr>
                            <w:sz w:val="16"/>
                          </w:rPr>
                        </w:pPr>
                        <w:r>
                          <w:rPr>
                            <w:sz w:val="16"/>
                          </w:rPr>
                          <w:t>14.</w:t>
                        </w:r>
                      </w:p>
                    </w:tc>
                    <w:tc>
                      <w:tcPr>
                        <w:tcW w:w="1814" w:type="dxa"/>
                      </w:tcPr>
                      <w:p>
                        <w:pPr>
                          <w:pStyle w:val="TableParagraph"/>
                          <w:spacing w:before="3"/>
                          <w:rPr>
                            <w:sz w:val="21"/>
                          </w:rPr>
                        </w:pPr>
                      </w:p>
                      <w:p>
                        <w:pPr>
                          <w:pStyle w:val="TableParagraph"/>
                          <w:ind w:left="75" w:right="32"/>
                          <w:rPr>
                            <w:sz w:val="16"/>
                          </w:rPr>
                        </w:pPr>
                        <w:r>
                          <w:rPr>
                            <w:sz w:val="16"/>
                          </w:rPr>
                          <w:t>Pachuca de Soto</w:t>
                        </w:r>
                      </w:p>
                    </w:tc>
                    <w:tc>
                      <w:tcPr>
                        <w:tcW w:w="1301" w:type="dxa"/>
                        <w:tcBorders>
                          <w:right w:val="nil"/>
                        </w:tcBorders>
                      </w:tcPr>
                      <w:p>
                        <w:pPr>
                          <w:pStyle w:val="TableParagraph"/>
                          <w:spacing w:before="3"/>
                          <w:rPr>
                            <w:sz w:val="21"/>
                          </w:rPr>
                        </w:pPr>
                      </w:p>
                      <w:p>
                        <w:pPr>
                          <w:pStyle w:val="TableParagraph"/>
                          <w:ind w:left="75"/>
                          <w:rPr>
                            <w:sz w:val="16"/>
                          </w:rPr>
                        </w:pPr>
                        <w:r>
                          <w:rPr>
                            <w:sz w:val="16"/>
                          </w:rPr>
                          <w:t>Hidalgo</w:t>
                        </w:r>
                      </w:p>
                    </w:tc>
                  </w:tr>
                  <w:tr>
                    <w:trPr>
                      <w:trHeight w:val="480" w:hRule="exact"/>
                    </w:trPr>
                    <w:tc>
                      <w:tcPr>
                        <w:tcW w:w="647" w:type="dxa"/>
                        <w:tcBorders>
                          <w:left w:val="nil"/>
                        </w:tcBorders>
                      </w:tcPr>
                      <w:p>
                        <w:pPr>
                          <w:pStyle w:val="TableParagraph"/>
                          <w:spacing w:before="3"/>
                          <w:rPr>
                            <w:sz w:val="21"/>
                          </w:rPr>
                        </w:pPr>
                      </w:p>
                      <w:p>
                        <w:pPr>
                          <w:pStyle w:val="TableParagraph"/>
                          <w:ind w:left="62"/>
                          <w:rPr>
                            <w:sz w:val="16"/>
                          </w:rPr>
                        </w:pPr>
                        <w:r>
                          <w:rPr>
                            <w:sz w:val="16"/>
                          </w:rPr>
                          <w:t>4.</w:t>
                        </w:r>
                      </w:p>
                    </w:tc>
                    <w:tc>
                      <w:tcPr>
                        <w:tcW w:w="1349" w:type="dxa"/>
                      </w:tcPr>
                      <w:p>
                        <w:pPr>
                          <w:pStyle w:val="TableParagraph"/>
                          <w:spacing w:before="3"/>
                          <w:rPr>
                            <w:sz w:val="21"/>
                          </w:rPr>
                        </w:pPr>
                      </w:p>
                      <w:p>
                        <w:pPr>
                          <w:pStyle w:val="TableParagraph"/>
                          <w:ind w:left="74" w:right="69"/>
                          <w:rPr>
                            <w:sz w:val="16"/>
                          </w:rPr>
                        </w:pPr>
                        <w:r>
                          <w:rPr>
                            <w:sz w:val="16"/>
                          </w:rPr>
                          <w:t>Durango</w:t>
                        </w:r>
                      </w:p>
                    </w:tc>
                    <w:tc>
                      <w:tcPr>
                        <w:tcW w:w="1431" w:type="dxa"/>
                      </w:tcPr>
                      <w:p>
                        <w:pPr>
                          <w:pStyle w:val="TableParagraph"/>
                          <w:spacing w:before="3"/>
                          <w:rPr>
                            <w:sz w:val="21"/>
                          </w:rPr>
                        </w:pPr>
                      </w:p>
                      <w:p>
                        <w:pPr>
                          <w:pStyle w:val="TableParagraph"/>
                          <w:ind w:left="74"/>
                          <w:rPr>
                            <w:sz w:val="16"/>
                          </w:rPr>
                        </w:pPr>
                        <w:r>
                          <w:rPr>
                            <w:sz w:val="16"/>
                          </w:rPr>
                          <w:t>Durango</w:t>
                        </w:r>
                      </w:p>
                    </w:tc>
                    <w:tc>
                      <w:tcPr>
                        <w:tcW w:w="834" w:type="dxa"/>
                      </w:tcPr>
                      <w:p>
                        <w:pPr>
                          <w:pStyle w:val="TableParagraph"/>
                          <w:spacing w:before="3"/>
                          <w:rPr>
                            <w:sz w:val="21"/>
                          </w:rPr>
                        </w:pPr>
                      </w:p>
                      <w:p>
                        <w:pPr>
                          <w:pStyle w:val="TableParagraph"/>
                          <w:ind w:left="74"/>
                          <w:rPr>
                            <w:sz w:val="16"/>
                          </w:rPr>
                        </w:pPr>
                        <w:r>
                          <w:rPr>
                            <w:sz w:val="16"/>
                          </w:rPr>
                          <w:t>15.</w:t>
                        </w:r>
                      </w:p>
                    </w:tc>
                    <w:tc>
                      <w:tcPr>
                        <w:tcW w:w="1814" w:type="dxa"/>
                      </w:tcPr>
                      <w:p>
                        <w:pPr>
                          <w:pStyle w:val="TableParagraph"/>
                          <w:spacing w:before="3"/>
                          <w:rPr>
                            <w:sz w:val="21"/>
                          </w:rPr>
                        </w:pPr>
                      </w:p>
                      <w:p>
                        <w:pPr>
                          <w:pStyle w:val="TableParagraph"/>
                          <w:ind w:left="75" w:right="32"/>
                          <w:rPr>
                            <w:sz w:val="16"/>
                          </w:rPr>
                        </w:pPr>
                        <w:r>
                          <w:rPr>
                            <w:sz w:val="16"/>
                          </w:rPr>
                          <w:t>Parral</w:t>
                        </w:r>
                      </w:p>
                    </w:tc>
                    <w:tc>
                      <w:tcPr>
                        <w:tcW w:w="1301" w:type="dxa"/>
                        <w:tcBorders>
                          <w:right w:val="nil"/>
                        </w:tcBorders>
                      </w:tcPr>
                      <w:p>
                        <w:pPr>
                          <w:pStyle w:val="TableParagraph"/>
                          <w:spacing w:before="3"/>
                          <w:rPr>
                            <w:sz w:val="21"/>
                          </w:rPr>
                        </w:pPr>
                      </w:p>
                      <w:p>
                        <w:pPr>
                          <w:pStyle w:val="TableParagraph"/>
                          <w:ind w:left="75"/>
                          <w:rPr>
                            <w:sz w:val="16"/>
                          </w:rPr>
                        </w:pPr>
                        <w:r>
                          <w:rPr>
                            <w:sz w:val="16"/>
                          </w:rPr>
                          <w:t>Chihuahua</w:t>
                        </w:r>
                      </w:p>
                    </w:tc>
                  </w:tr>
                  <w:tr>
                    <w:trPr>
                      <w:trHeight w:val="720" w:hRule="exact"/>
                    </w:trPr>
                    <w:tc>
                      <w:tcPr>
                        <w:tcW w:w="647" w:type="dxa"/>
                        <w:tcBorders>
                          <w:left w:val="nil"/>
                        </w:tcBorders>
                      </w:tcPr>
                      <w:p>
                        <w:pPr>
                          <w:pStyle w:val="TableParagraph"/>
                          <w:spacing w:before="3"/>
                          <w:rPr>
                            <w:sz w:val="21"/>
                          </w:rPr>
                        </w:pPr>
                      </w:p>
                      <w:p>
                        <w:pPr>
                          <w:pStyle w:val="TableParagraph"/>
                          <w:ind w:left="62"/>
                          <w:rPr>
                            <w:sz w:val="16"/>
                          </w:rPr>
                        </w:pPr>
                        <w:r>
                          <w:rPr>
                            <w:sz w:val="16"/>
                          </w:rPr>
                          <w:t>5.</w:t>
                        </w:r>
                      </w:p>
                    </w:tc>
                    <w:tc>
                      <w:tcPr>
                        <w:tcW w:w="1349" w:type="dxa"/>
                      </w:tcPr>
                      <w:p>
                        <w:pPr>
                          <w:pStyle w:val="TableParagraph"/>
                          <w:spacing w:before="3"/>
                          <w:rPr>
                            <w:sz w:val="21"/>
                          </w:rPr>
                        </w:pPr>
                      </w:p>
                      <w:p>
                        <w:pPr>
                          <w:pStyle w:val="TableParagraph"/>
                          <w:ind w:left="74" w:right="69"/>
                          <w:rPr>
                            <w:sz w:val="16"/>
                          </w:rPr>
                        </w:pPr>
                        <w:r>
                          <w:rPr>
                            <w:sz w:val="16"/>
                          </w:rPr>
                          <w:t>Ensenada</w:t>
                        </w:r>
                      </w:p>
                    </w:tc>
                    <w:tc>
                      <w:tcPr>
                        <w:tcW w:w="1431" w:type="dxa"/>
                      </w:tcPr>
                      <w:p>
                        <w:pPr>
                          <w:pStyle w:val="TableParagraph"/>
                          <w:spacing w:before="3"/>
                          <w:rPr>
                            <w:sz w:val="21"/>
                          </w:rPr>
                        </w:pPr>
                      </w:p>
                      <w:p>
                        <w:pPr>
                          <w:pStyle w:val="TableParagraph"/>
                          <w:spacing w:line="312" w:lineRule="auto"/>
                          <w:ind w:left="74"/>
                          <w:rPr>
                            <w:sz w:val="16"/>
                          </w:rPr>
                        </w:pPr>
                        <w:r>
                          <w:rPr>
                            <w:sz w:val="16"/>
                          </w:rPr>
                          <w:t>Baja California Norte</w:t>
                        </w:r>
                      </w:p>
                    </w:tc>
                    <w:tc>
                      <w:tcPr>
                        <w:tcW w:w="834" w:type="dxa"/>
                      </w:tcPr>
                      <w:p>
                        <w:pPr>
                          <w:pStyle w:val="TableParagraph"/>
                          <w:spacing w:before="3"/>
                          <w:rPr>
                            <w:sz w:val="21"/>
                          </w:rPr>
                        </w:pPr>
                      </w:p>
                      <w:p>
                        <w:pPr>
                          <w:pStyle w:val="TableParagraph"/>
                          <w:ind w:left="74"/>
                          <w:rPr>
                            <w:sz w:val="16"/>
                          </w:rPr>
                        </w:pPr>
                        <w:r>
                          <w:rPr>
                            <w:sz w:val="16"/>
                          </w:rPr>
                          <w:t>16.</w:t>
                        </w:r>
                      </w:p>
                    </w:tc>
                    <w:tc>
                      <w:tcPr>
                        <w:tcW w:w="1814" w:type="dxa"/>
                      </w:tcPr>
                      <w:p>
                        <w:pPr>
                          <w:pStyle w:val="TableParagraph"/>
                          <w:spacing w:before="3"/>
                          <w:rPr>
                            <w:sz w:val="21"/>
                          </w:rPr>
                        </w:pPr>
                      </w:p>
                      <w:p>
                        <w:pPr>
                          <w:pStyle w:val="TableParagraph"/>
                          <w:ind w:left="75" w:right="32"/>
                          <w:rPr>
                            <w:sz w:val="16"/>
                          </w:rPr>
                        </w:pPr>
                        <w:r>
                          <w:rPr>
                            <w:sz w:val="16"/>
                          </w:rPr>
                          <w:t>Puebla de Zaragoza</w:t>
                        </w:r>
                      </w:p>
                    </w:tc>
                    <w:tc>
                      <w:tcPr>
                        <w:tcW w:w="1301" w:type="dxa"/>
                        <w:tcBorders>
                          <w:right w:val="nil"/>
                        </w:tcBorders>
                      </w:tcPr>
                      <w:p>
                        <w:pPr>
                          <w:pStyle w:val="TableParagraph"/>
                          <w:spacing w:before="3"/>
                          <w:rPr>
                            <w:sz w:val="21"/>
                          </w:rPr>
                        </w:pPr>
                      </w:p>
                      <w:p>
                        <w:pPr>
                          <w:pStyle w:val="TableParagraph"/>
                          <w:ind w:left="75"/>
                          <w:rPr>
                            <w:sz w:val="16"/>
                          </w:rPr>
                        </w:pPr>
                        <w:r>
                          <w:rPr>
                            <w:sz w:val="16"/>
                          </w:rPr>
                          <w:t>Puebla</w:t>
                        </w:r>
                      </w:p>
                    </w:tc>
                  </w:tr>
                  <w:tr>
                    <w:trPr>
                      <w:trHeight w:val="720" w:hRule="exact"/>
                    </w:trPr>
                    <w:tc>
                      <w:tcPr>
                        <w:tcW w:w="647" w:type="dxa"/>
                        <w:tcBorders>
                          <w:left w:val="nil"/>
                        </w:tcBorders>
                      </w:tcPr>
                      <w:p>
                        <w:pPr>
                          <w:pStyle w:val="TableParagraph"/>
                          <w:spacing w:before="3"/>
                          <w:rPr>
                            <w:sz w:val="21"/>
                          </w:rPr>
                        </w:pPr>
                      </w:p>
                      <w:p>
                        <w:pPr>
                          <w:pStyle w:val="TableParagraph"/>
                          <w:ind w:left="62"/>
                          <w:rPr>
                            <w:sz w:val="16"/>
                          </w:rPr>
                        </w:pPr>
                        <w:r>
                          <w:rPr>
                            <w:sz w:val="16"/>
                          </w:rPr>
                          <w:t>6.</w:t>
                        </w:r>
                      </w:p>
                    </w:tc>
                    <w:tc>
                      <w:tcPr>
                        <w:tcW w:w="1349" w:type="dxa"/>
                      </w:tcPr>
                      <w:p>
                        <w:pPr>
                          <w:pStyle w:val="TableParagraph"/>
                          <w:spacing w:before="3"/>
                          <w:rPr>
                            <w:sz w:val="21"/>
                          </w:rPr>
                        </w:pPr>
                      </w:p>
                      <w:p>
                        <w:pPr>
                          <w:pStyle w:val="TableParagraph"/>
                          <w:spacing w:line="312" w:lineRule="auto"/>
                          <w:ind w:left="74" w:right="533"/>
                          <w:rPr>
                            <w:sz w:val="16"/>
                          </w:rPr>
                        </w:pPr>
                        <w:r>
                          <w:rPr>
                            <w:sz w:val="16"/>
                          </w:rPr>
                          <w:t>General Escobedo</w:t>
                        </w:r>
                      </w:p>
                    </w:tc>
                    <w:tc>
                      <w:tcPr>
                        <w:tcW w:w="1431" w:type="dxa"/>
                      </w:tcPr>
                      <w:p>
                        <w:pPr>
                          <w:pStyle w:val="TableParagraph"/>
                          <w:spacing w:before="3"/>
                          <w:rPr>
                            <w:sz w:val="21"/>
                          </w:rPr>
                        </w:pPr>
                      </w:p>
                      <w:p>
                        <w:pPr>
                          <w:pStyle w:val="TableParagraph"/>
                          <w:ind w:left="74"/>
                          <w:rPr>
                            <w:sz w:val="16"/>
                          </w:rPr>
                        </w:pPr>
                        <w:r>
                          <w:rPr>
                            <w:sz w:val="16"/>
                          </w:rPr>
                          <w:t>Nuevo León</w:t>
                        </w:r>
                      </w:p>
                    </w:tc>
                    <w:tc>
                      <w:tcPr>
                        <w:tcW w:w="834" w:type="dxa"/>
                      </w:tcPr>
                      <w:p>
                        <w:pPr>
                          <w:pStyle w:val="TableParagraph"/>
                          <w:spacing w:before="3"/>
                          <w:rPr>
                            <w:sz w:val="21"/>
                          </w:rPr>
                        </w:pPr>
                      </w:p>
                      <w:p>
                        <w:pPr>
                          <w:pStyle w:val="TableParagraph"/>
                          <w:ind w:left="74"/>
                          <w:rPr>
                            <w:sz w:val="16"/>
                          </w:rPr>
                        </w:pPr>
                        <w:r>
                          <w:rPr>
                            <w:sz w:val="16"/>
                          </w:rPr>
                          <w:t>17.</w:t>
                        </w:r>
                      </w:p>
                    </w:tc>
                    <w:tc>
                      <w:tcPr>
                        <w:tcW w:w="1814" w:type="dxa"/>
                      </w:tcPr>
                      <w:p>
                        <w:pPr>
                          <w:pStyle w:val="TableParagraph"/>
                          <w:spacing w:before="3"/>
                          <w:rPr>
                            <w:sz w:val="21"/>
                          </w:rPr>
                        </w:pPr>
                      </w:p>
                      <w:p>
                        <w:pPr>
                          <w:pStyle w:val="TableParagraph"/>
                          <w:ind w:left="75" w:right="32"/>
                          <w:rPr>
                            <w:sz w:val="16"/>
                          </w:rPr>
                        </w:pPr>
                        <w:r>
                          <w:rPr>
                            <w:sz w:val="16"/>
                          </w:rPr>
                          <w:t>Salamanca</w:t>
                        </w:r>
                      </w:p>
                    </w:tc>
                    <w:tc>
                      <w:tcPr>
                        <w:tcW w:w="1301" w:type="dxa"/>
                        <w:tcBorders>
                          <w:right w:val="nil"/>
                        </w:tcBorders>
                      </w:tcPr>
                      <w:p>
                        <w:pPr>
                          <w:pStyle w:val="TableParagraph"/>
                          <w:spacing w:before="3"/>
                          <w:rPr>
                            <w:sz w:val="21"/>
                          </w:rPr>
                        </w:pPr>
                      </w:p>
                      <w:p>
                        <w:pPr>
                          <w:pStyle w:val="TableParagraph"/>
                          <w:ind w:left="75"/>
                          <w:rPr>
                            <w:sz w:val="16"/>
                          </w:rPr>
                        </w:pPr>
                        <w:r>
                          <w:rPr>
                            <w:sz w:val="16"/>
                          </w:rPr>
                          <w:t>Guanajuato</w:t>
                        </w:r>
                      </w:p>
                    </w:tc>
                  </w:tr>
                  <w:tr>
                    <w:trPr>
                      <w:trHeight w:val="480" w:hRule="exact"/>
                    </w:trPr>
                    <w:tc>
                      <w:tcPr>
                        <w:tcW w:w="647" w:type="dxa"/>
                        <w:tcBorders>
                          <w:left w:val="nil"/>
                        </w:tcBorders>
                      </w:tcPr>
                      <w:p>
                        <w:pPr>
                          <w:pStyle w:val="TableParagraph"/>
                          <w:spacing w:before="3"/>
                          <w:rPr>
                            <w:sz w:val="21"/>
                          </w:rPr>
                        </w:pPr>
                      </w:p>
                      <w:p>
                        <w:pPr>
                          <w:pStyle w:val="TableParagraph"/>
                          <w:ind w:left="62"/>
                          <w:rPr>
                            <w:sz w:val="16"/>
                          </w:rPr>
                        </w:pPr>
                        <w:r>
                          <w:rPr>
                            <w:sz w:val="16"/>
                          </w:rPr>
                          <w:t>7.</w:t>
                        </w:r>
                      </w:p>
                    </w:tc>
                    <w:tc>
                      <w:tcPr>
                        <w:tcW w:w="1349" w:type="dxa"/>
                      </w:tcPr>
                      <w:p>
                        <w:pPr>
                          <w:pStyle w:val="TableParagraph"/>
                          <w:spacing w:before="3"/>
                          <w:rPr>
                            <w:sz w:val="21"/>
                          </w:rPr>
                        </w:pPr>
                      </w:p>
                      <w:p>
                        <w:pPr>
                          <w:pStyle w:val="TableParagraph"/>
                          <w:ind w:left="74" w:right="69"/>
                          <w:rPr>
                            <w:sz w:val="16"/>
                          </w:rPr>
                        </w:pPr>
                        <w:r>
                          <w:rPr>
                            <w:sz w:val="16"/>
                          </w:rPr>
                          <w:t>Guadalajara</w:t>
                        </w:r>
                      </w:p>
                    </w:tc>
                    <w:tc>
                      <w:tcPr>
                        <w:tcW w:w="1431" w:type="dxa"/>
                      </w:tcPr>
                      <w:p>
                        <w:pPr>
                          <w:pStyle w:val="TableParagraph"/>
                          <w:spacing w:before="3"/>
                          <w:rPr>
                            <w:sz w:val="21"/>
                          </w:rPr>
                        </w:pPr>
                      </w:p>
                      <w:p>
                        <w:pPr>
                          <w:pStyle w:val="TableParagraph"/>
                          <w:ind w:left="74"/>
                          <w:rPr>
                            <w:sz w:val="16"/>
                          </w:rPr>
                        </w:pPr>
                        <w:r>
                          <w:rPr>
                            <w:sz w:val="16"/>
                          </w:rPr>
                          <w:t>Jalisco</w:t>
                        </w:r>
                      </w:p>
                    </w:tc>
                    <w:tc>
                      <w:tcPr>
                        <w:tcW w:w="834" w:type="dxa"/>
                      </w:tcPr>
                      <w:p>
                        <w:pPr>
                          <w:pStyle w:val="TableParagraph"/>
                          <w:spacing w:before="3"/>
                          <w:rPr>
                            <w:sz w:val="21"/>
                          </w:rPr>
                        </w:pPr>
                      </w:p>
                      <w:p>
                        <w:pPr>
                          <w:pStyle w:val="TableParagraph"/>
                          <w:ind w:left="74"/>
                          <w:rPr>
                            <w:sz w:val="16"/>
                          </w:rPr>
                        </w:pPr>
                        <w:r>
                          <w:rPr>
                            <w:sz w:val="16"/>
                          </w:rPr>
                          <w:t>18.</w:t>
                        </w:r>
                      </w:p>
                    </w:tc>
                    <w:tc>
                      <w:tcPr>
                        <w:tcW w:w="1814" w:type="dxa"/>
                      </w:tcPr>
                      <w:p>
                        <w:pPr>
                          <w:pStyle w:val="TableParagraph"/>
                          <w:spacing w:before="3"/>
                          <w:rPr>
                            <w:sz w:val="21"/>
                          </w:rPr>
                        </w:pPr>
                      </w:p>
                      <w:p>
                        <w:pPr>
                          <w:pStyle w:val="TableParagraph"/>
                          <w:ind w:left="75" w:right="32"/>
                          <w:rPr>
                            <w:sz w:val="16"/>
                          </w:rPr>
                        </w:pPr>
                        <w:r>
                          <w:rPr>
                            <w:sz w:val="16"/>
                          </w:rPr>
                          <w:t>San Luís Potosí</w:t>
                        </w:r>
                      </w:p>
                    </w:tc>
                    <w:tc>
                      <w:tcPr>
                        <w:tcW w:w="1301" w:type="dxa"/>
                        <w:tcBorders>
                          <w:right w:val="nil"/>
                        </w:tcBorders>
                      </w:tcPr>
                      <w:p>
                        <w:pPr>
                          <w:pStyle w:val="TableParagraph"/>
                          <w:spacing w:before="3"/>
                          <w:rPr>
                            <w:sz w:val="21"/>
                          </w:rPr>
                        </w:pPr>
                      </w:p>
                      <w:p>
                        <w:pPr>
                          <w:pStyle w:val="TableParagraph"/>
                          <w:ind w:left="75"/>
                          <w:rPr>
                            <w:sz w:val="16"/>
                          </w:rPr>
                        </w:pPr>
                        <w:r>
                          <w:rPr>
                            <w:sz w:val="16"/>
                          </w:rPr>
                          <w:t>San Luís Potosí</w:t>
                        </w:r>
                      </w:p>
                    </w:tc>
                  </w:tr>
                  <w:tr>
                    <w:trPr>
                      <w:trHeight w:val="720" w:hRule="exact"/>
                    </w:trPr>
                    <w:tc>
                      <w:tcPr>
                        <w:tcW w:w="647" w:type="dxa"/>
                        <w:tcBorders>
                          <w:left w:val="nil"/>
                        </w:tcBorders>
                      </w:tcPr>
                      <w:p>
                        <w:pPr>
                          <w:pStyle w:val="TableParagraph"/>
                          <w:spacing w:before="3"/>
                          <w:rPr>
                            <w:sz w:val="21"/>
                          </w:rPr>
                        </w:pPr>
                      </w:p>
                      <w:p>
                        <w:pPr>
                          <w:pStyle w:val="TableParagraph"/>
                          <w:ind w:left="62"/>
                          <w:rPr>
                            <w:sz w:val="16"/>
                          </w:rPr>
                        </w:pPr>
                        <w:r>
                          <w:rPr>
                            <w:sz w:val="16"/>
                          </w:rPr>
                          <w:t>8.</w:t>
                        </w:r>
                      </w:p>
                    </w:tc>
                    <w:tc>
                      <w:tcPr>
                        <w:tcW w:w="1349" w:type="dxa"/>
                      </w:tcPr>
                      <w:p>
                        <w:pPr>
                          <w:pStyle w:val="TableParagraph"/>
                          <w:spacing w:before="3"/>
                          <w:rPr>
                            <w:sz w:val="21"/>
                          </w:rPr>
                        </w:pPr>
                      </w:p>
                      <w:p>
                        <w:pPr>
                          <w:pStyle w:val="TableParagraph"/>
                          <w:ind w:left="74" w:right="69"/>
                          <w:rPr>
                            <w:sz w:val="16"/>
                          </w:rPr>
                        </w:pPr>
                        <w:r>
                          <w:rPr>
                            <w:sz w:val="16"/>
                          </w:rPr>
                          <w:t>Huixquilucan</w:t>
                        </w:r>
                      </w:p>
                    </w:tc>
                    <w:tc>
                      <w:tcPr>
                        <w:tcW w:w="1431" w:type="dxa"/>
                      </w:tcPr>
                      <w:p>
                        <w:pPr>
                          <w:pStyle w:val="TableParagraph"/>
                          <w:spacing w:before="3"/>
                          <w:rPr>
                            <w:sz w:val="21"/>
                          </w:rPr>
                        </w:pPr>
                      </w:p>
                      <w:p>
                        <w:pPr>
                          <w:pStyle w:val="TableParagraph"/>
                          <w:spacing w:line="312" w:lineRule="auto"/>
                          <w:ind w:left="74" w:right="606"/>
                          <w:rPr>
                            <w:sz w:val="16"/>
                          </w:rPr>
                        </w:pPr>
                        <w:r>
                          <w:rPr>
                            <w:sz w:val="16"/>
                          </w:rPr>
                          <w:t>Estado de México</w:t>
                        </w:r>
                      </w:p>
                    </w:tc>
                    <w:tc>
                      <w:tcPr>
                        <w:tcW w:w="834" w:type="dxa"/>
                      </w:tcPr>
                      <w:p>
                        <w:pPr>
                          <w:pStyle w:val="TableParagraph"/>
                          <w:spacing w:before="3"/>
                          <w:rPr>
                            <w:sz w:val="21"/>
                          </w:rPr>
                        </w:pPr>
                      </w:p>
                      <w:p>
                        <w:pPr>
                          <w:pStyle w:val="TableParagraph"/>
                          <w:ind w:left="74"/>
                          <w:rPr>
                            <w:sz w:val="16"/>
                          </w:rPr>
                        </w:pPr>
                        <w:r>
                          <w:rPr>
                            <w:sz w:val="16"/>
                          </w:rPr>
                          <w:t>19.</w:t>
                        </w:r>
                      </w:p>
                    </w:tc>
                    <w:tc>
                      <w:tcPr>
                        <w:tcW w:w="1814" w:type="dxa"/>
                      </w:tcPr>
                      <w:p>
                        <w:pPr>
                          <w:pStyle w:val="TableParagraph"/>
                          <w:spacing w:before="3"/>
                          <w:rPr>
                            <w:sz w:val="21"/>
                          </w:rPr>
                        </w:pPr>
                      </w:p>
                      <w:p>
                        <w:pPr>
                          <w:pStyle w:val="TableParagraph"/>
                          <w:ind w:left="75" w:right="32"/>
                          <w:rPr>
                            <w:sz w:val="16"/>
                          </w:rPr>
                        </w:pPr>
                        <w:r>
                          <w:rPr>
                            <w:sz w:val="16"/>
                          </w:rPr>
                          <w:t>San Pedro Cholula</w:t>
                        </w:r>
                      </w:p>
                    </w:tc>
                    <w:tc>
                      <w:tcPr>
                        <w:tcW w:w="1301" w:type="dxa"/>
                        <w:tcBorders>
                          <w:right w:val="nil"/>
                        </w:tcBorders>
                      </w:tcPr>
                      <w:p>
                        <w:pPr>
                          <w:pStyle w:val="TableParagraph"/>
                          <w:spacing w:before="3"/>
                          <w:rPr>
                            <w:sz w:val="21"/>
                          </w:rPr>
                        </w:pPr>
                      </w:p>
                      <w:p>
                        <w:pPr>
                          <w:pStyle w:val="TableParagraph"/>
                          <w:ind w:left="75"/>
                          <w:rPr>
                            <w:sz w:val="16"/>
                          </w:rPr>
                        </w:pPr>
                        <w:r>
                          <w:rPr>
                            <w:sz w:val="16"/>
                          </w:rPr>
                          <w:t>Puebla</w:t>
                        </w:r>
                      </w:p>
                    </w:tc>
                  </w:tr>
                  <w:tr>
                    <w:trPr>
                      <w:trHeight w:val="720" w:hRule="exact"/>
                    </w:trPr>
                    <w:tc>
                      <w:tcPr>
                        <w:tcW w:w="647" w:type="dxa"/>
                        <w:tcBorders>
                          <w:left w:val="nil"/>
                        </w:tcBorders>
                      </w:tcPr>
                      <w:p>
                        <w:pPr>
                          <w:pStyle w:val="TableParagraph"/>
                          <w:spacing w:before="3"/>
                          <w:rPr>
                            <w:sz w:val="21"/>
                          </w:rPr>
                        </w:pPr>
                      </w:p>
                      <w:p>
                        <w:pPr>
                          <w:pStyle w:val="TableParagraph"/>
                          <w:ind w:left="62"/>
                          <w:rPr>
                            <w:sz w:val="16"/>
                          </w:rPr>
                        </w:pPr>
                        <w:r>
                          <w:rPr>
                            <w:sz w:val="16"/>
                          </w:rPr>
                          <w:t>9.</w:t>
                        </w:r>
                      </w:p>
                    </w:tc>
                    <w:tc>
                      <w:tcPr>
                        <w:tcW w:w="1349" w:type="dxa"/>
                      </w:tcPr>
                      <w:p>
                        <w:pPr>
                          <w:pStyle w:val="TableParagraph"/>
                          <w:spacing w:before="3"/>
                          <w:rPr>
                            <w:sz w:val="21"/>
                          </w:rPr>
                        </w:pPr>
                      </w:p>
                      <w:p>
                        <w:pPr>
                          <w:pStyle w:val="TableParagraph"/>
                          <w:spacing w:line="312" w:lineRule="auto"/>
                          <w:ind w:left="74" w:right="69"/>
                          <w:rPr>
                            <w:sz w:val="16"/>
                          </w:rPr>
                        </w:pPr>
                        <w:r>
                          <w:rPr>
                            <w:sz w:val="16"/>
                          </w:rPr>
                          <w:t>Implan </w:t>
                        </w:r>
                        <w:r>
                          <w:rPr>
                            <w:w w:val="95"/>
                            <w:sz w:val="16"/>
                          </w:rPr>
                          <w:t>Chihuahua</w:t>
                        </w:r>
                      </w:p>
                    </w:tc>
                    <w:tc>
                      <w:tcPr>
                        <w:tcW w:w="1431" w:type="dxa"/>
                      </w:tcPr>
                      <w:p>
                        <w:pPr>
                          <w:pStyle w:val="TableParagraph"/>
                          <w:spacing w:before="3"/>
                          <w:rPr>
                            <w:sz w:val="21"/>
                          </w:rPr>
                        </w:pPr>
                      </w:p>
                      <w:p>
                        <w:pPr>
                          <w:pStyle w:val="TableParagraph"/>
                          <w:ind w:left="74"/>
                          <w:rPr>
                            <w:sz w:val="16"/>
                          </w:rPr>
                        </w:pPr>
                        <w:r>
                          <w:rPr>
                            <w:sz w:val="16"/>
                          </w:rPr>
                          <w:t>Chihuahua</w:t>
                        </w:r>
                      </w:p>
                    </w:tc>
                    <w:tc>
                      <w:tcPr>
                        <w:tcW w:w="834" w:type="dxa"/>
                      </w:tcPr>
                      <w:p>
                        <w:pPr>
                          <w:pStyle w:val="TableParagraph"/>
                          <w:spacing w:before="3"/>
                          <w:rPr>
                            <w:sz w:val="21"/>
                          </w:rPr>
                        </w:pPr>
                      </w:p>
                      <w:p>
                        <w:pPr>
                          <w:pStyle w:val="TableParagraph"/>
                          <w:ind w:left="74"/>
                          <w:rPr>
                            <w:sz w:val="16"/>
                          </w:rPr>
                        </w:pPr>
                        <w:r>
                          <w:rPr>
                            <w:sz w:val="16"/>
                          </w:rPr>
                          <w:t>20.</w:t>
                        </w:r>
                      </w:p>
                    </w:tc>
                    <w:tc>
                      <w:tcPr>
                        <w:tcW w:w="1814" w:type="dxa"/>
                      </w:tcPr>
                      <w:p>
                        <w:pPr>
                          <w:pStyle w:val="TableParagraph"/>
                          <w:spacing w:before="3"/>
                          <w:rPr>
                            <w:sz w:val="21"/>
                          </w:rPr>
                        </w:pPr>
                      </w:p>
                      <w:p>
                        <w:pPr>
                          <w:pStyle w:val="TableParagraph"/>
                          <w:spacing w:line="312" w:lineRule="auto"/>
                          <w:ind w:left="75" w:right="32"/>
                          <w:rPr>
                            <w:sz w:val="16"/>
                          </w:rPr>
                        </w:pPr>
                        <w:r>
                          <w:rPr>
                            <w:sz w:val="16"/>
                          </w:rPr>
                          <w:t>San Pedro Garza</w:t>
                        </w:r>
                        <w:r>
                          <w:rPr>
                            <w:w w:val="97"/>
                            <w:sz w:val="16"/>
                          </w:rPr>
                          <w:t> </w:t>
                        </w:r>
                        <w:r>
                          <w:rPr>
                            <w:sz w:val="16"/>
                          </w:rPr>
                          <w:t>García</w:t>
                        </w:r>
                      </w:p>
                    </w:tc>
                    <w:tc>
                      <w:tcPr>
                        <w:tcW w:w="1301" w:type="dxa"/>
                        <w:tcBorders>
                          <w:right w:val="nil"/>
                        </w:tcBorders>
                      </w:tcPr>
                      <w:p>
                        <w:pPr>
                          <w:pStyle w:val="TableParagraph"/>
                          <w:spacing w:before="3"/>
                          <w:rPr>
                            <w:sz w:val="21"/>
                          </w:rPr>
                        </w:pPr>
                      </w:p>
                      <w:p>
                        <w:pPr>
                          <w:pStyle w:val="TableParagraph"/>
                          <w:ind w:left="75"/>
                          <w:rPr>
                            <w:sz w:val="16"/>
                          </w:rPr>
                        </w:pPr>
                        <w:r>
                          <w:rPr>
                            <w:sz w:val="16"/>
                          </w:rPr>
                          <w:t>Nuevo León</w:t>
                        </w:r>
                      </w:p>
                    </w:tc>
                  </w:tr>
                  <w:tr>
                    <w:trPr>
                      <w:trHeight w:val="500" w:hRule="exact"/>
                    </w:trPr>
                    <w:tc>
                      <w:tcPr>
                        <w:tcW w:w="647" w:type="dxa"/>
                        <w:tcBorders>
                          <w:left w:val="nil"/>
                        </w:tcBorders>
                      </w:tcPr>
                      <w:p>
                        <w:pPr>
                          <w:pStyle w:val="TableParagraph"/>
                          <w:spacing w:before="3"/>
                          <w:rPr>
                            <w:sz w:val="21"/>
                          </w:rPr>
                        </w:pPr>
                      </w:p>
                      <w:p>
                        <w:pPr>
                          <w:pStyle w:val="TableParagraph"/>
                          <w:ind w:left="62"/>
                          <w:rPr>
                            <w:sz w:val="16"/>
                          </w:rPr>
                        </w:pPr>
                        <w:r>
                          <w:rPr>
                            <w:sz w:val="16"/>
                          </w:rPr>
                          <w:t>10.</w:t>
                        </w:r>
                      </w:p>
                    </w:tc>
                    <w:tc>
                      <w:tcPr>
                        <w:tcW w:w="1349" w:type="dxa"/>
                      </w:tcPr>
                      <w:p>
                        <w:pPr>
                          <w:pStyle w:val="TableParagraph"/>
                          <w:spacing w:before="3"/>
                          <w:rPr>
                            <w:sz w:val="21"/>
                          </w:rPr>
                        </w:pPr>
                      </w:p>
                      <w:p>
                        <w:pPr>
                          <w:pStyle w:val="TableParagraph"/>
                          <w:ind w:left="74" w:right="69"/>
                          <w:rPr>
                            <w:sz w:val="16"/>
                          </w:rPr>
                        </w:pPr>
                        <w:r>
                          <w:rPr>
                            <w:sz w:val="16"/>
                          </w:rPr>
                          <w:t>Manzanillo</w:t>
                        </w:r>
                      </w:p>
                    </w:tc>
                    <w:tc>
                      <w:tcPr>
                        <w:tcW w:w="1431" w:type="dxa"/>
                      </w:tcPr>
                      <w:p>
                        <w:pPr>
                          <w:pStyle w:val="TableParagraph"/>
                          <w:spacing w:before="3"/>
                          <w:rPr>
                            <w:sz w:val="21"/>
                          </w:rPr>
                        </w:pPr>
                      </w:p>
                      <w:p>
                        <w:pPr>
                          <w:pStyle w:val="TableParagraph"/>
                          <w:ind w:left="74"/>
                          <w:rPr>
                            <w:sz w:val="16"/>
                          </w:rPr>
                        </w:pPr>
                        <w:r>
                          <w:rPr>
                            <w:sz w:val="16"/>
                          </w:rPr>
                          <w:t>Colima</w:t>
                        </w:r>
                      </w:p>
                    </w:tc>
                    <w:tc>
                      <w:tcPr>
                        <w:tcW w:w="834" w:type="dxa"/>
                      </w:tcPr>
                      <w:p>
                        <w:pPr>
                          <w:pStyle w:val="TableParagraph"/>
                          <w:spacing w:before="3"/>
                          <w:rPr>
                            <w:sz w:val="21"/>
                          </w:rPr>
                        </w:pPr>
                      </w:p>
                      <w:p>
                        <w:pPr>
                          <w:pStyle w:val="TableParagraph"/>
                          <w:ind w:left="74"/>
                          <w:rPr>
                            <w:sz w:val="16"/>
                          </w:rPr>
                        </w:pPr>
                        <w:r>
                          <w:rPr>
                            <w:sz w:val="16"/>
                          </w:rPr>
                          <w:t>21.</w:t>
                        </w:r>
                      </w:p>
                    </w:tc>
                    <w:tc>
                      <w:tcPr>
                        <w:tcW w:w="1814" w:type="dxa"/>
                      </w:tcPr>
                      <w:p>
                        <w:pPr>
                          <w:pStyle w:val="TableParagraph"/>
                          <w:spacing w:before="3"/>
                          <w:rPr>
                            <w:sz w:val="21"/>
                          </w:rPr>
                        </w:pPr>
                      </w:p>
                      <w:p>
                        <w:pPr>
                          <w:pStyle w:val="TableParagraph"/>
                          <w:ind w:left="75" w:right="32"/>
                          <w:rPr>
                            <w:sz w:val="16"/>
                          </w:rPr>
                        </w:pPr>
                        <w:r>
                          <w:rPr>
                            <w:sz w:val="16"/>
                          </w:rPr>
                          <w:t>Santiago de Querétaro</w:t>
                        </w:r>
                      </w:p>
                    </w:tc>
                    <w:tc>
                      <w:tcPr>
                        <w:tcW w:w="1301" w:type="dxa"/>
                        <w:tcBorders>
                          <w:right w:val="nil"/>
                        </w:tcBorders>
                      </w:tcPr>
                      <w:p>
                        <w:pPr>
                          <w:pStyle w:val="TableParagraph"/>
                          <w:spacing w:before="3"/>
                          <w:rPr>
                            <w:sz w:val="21"/>
                          </w:rPr>
                        </w:pPr>
                      </w:p>
                      <w:p>
                        <w:pPr>
                          <w:pStyle w:val="TableParagraph"/>
                          <w:ind w:left="75"/>
                          <w:rPr>
                            <w:sz w:val="16"/>
                          </w:rPr>
                        </w:pPr>
                        <w:r>
                          <w:rPr>
                            <w:sz w:val="16"/>
                          </w:rPr>
                          <w:t>Querétaro</w:t>
                        </w:r>
                      </w:p>
                    </w:tc>
                  </w:tr>
                  <w:tr>
                    <w:trPr>
                      <w:trHeight w:val="700" w:hRule="exact"/>
                    </w:trPr>
                    <w:tc>
                      <w:tcPr>
                        <w:tcW w:w="647" w:type="dxa"/>
                        <w:tcBorders>
                          <w:left w:val="nil"/>
                          <w:bottom w:val="dotted" w:sz="2" w:space="0" w:color="6D6E71"/>
                        </w:tcBorders>
                      </w:tcPr>
                      <w:p>
                        <w:pPr>
                          <w:pStyle w:val="TableParagraph"/>
                          <w:spacing w:before="6"/>
                          <w:rPr>
                            <w:sz w:val="19"/>
                          </w:rPr>
                        </w:pPr>
                      </w:p>
                      <w:p>
                        <w:pPr>
                          <w:pStyle w:val="TableParagraph"/>
                          <w:ind w:left="62"/>
                          <w:rPr>
                            <w:sz w:val="16"/>
                          </w:rPr>
                        </w:pPr>
                        <w:r>
                          <w:rPr>
                            <w:sz w:val="16"/>
                          </w:rPr>
                          <w:t>11.</w:t>
                        </w:r>
                      </w:p>
                    </w:tc>
                    <w:tc>
                      <w:tcPr>
                        <w:tcW w:w="1349" w:type="dxa"/>
                        <w:tcBorders>
                          <w:bottom w:val="dotted" w:sz="2" w:space="0" w:color="6D6E71"/>
                        </w:tcBorders>
                      </w:tcPr>
                      <w:p>
                        <w:pPr>
                          <w:pStyle w:val="TableParagraph"/>
                          <w:spacing w:before="6"/>
                          <w:rPr>
                            <w:sz w:val="19"/>
                          </w:rPr>
                        </w:pPr>
                      </w:p>
                      <w:p>
                        <w:pPr>
                          <w:pStyle w:val="TableParagraph"/>
                          <w:ind w:left="74" w:right="69"/>
                          <w:rPr>
                            <w:sz w:val="16"/>
                          </w:rPr>
                        </w:pPr>
                        <w:r>
                          <w:rPr>
                            <w:sz w:val="16"/>
                          </w:rPr>
                          <w:t>Mérida</w:t>
                        </w:r>
                      </w:p>
                    </w:tc>
                    <w:tc>
                      <w:tcPr>
                        <w:tcW w:w="1431" w:type="dxa"/>
                        <w:tcBorders>
                          <w:bottom w:val="dotted" w:sz="2" w:space="0" w:color="6D6E71"/>
                        </w:tcBorders>
                      </w:tcPr>
                      <w:p>
                        <w:pPr>
                          <w:pStyle w:val="TableParagraph"/>
                          <w:spacing w:before="6"/>
                          <w:rPr>
                            <w:sz w:val="19"/>
                          </w:rPr>
                        </w:pPr>
                      </w:p>
                      <w:p>
                        <w:pPr>
                          <w:pStyle w:val="TableParagraph"/>
                          <w:ind w:left="74"/>
                          <w:rPr>
                            <w:sz w:val="16"/>
                          </w:rPr>
                        </w:pPr>
                        <w:r>
                          <w:rPr>
                            <w:sz w:val="16"/>
                          </w:rPr>
                          <w:t>Yucatán</w:t>
                        </w:r>
                      </w:p>
                    </w:tc>
                    <w:tc>
                      <w:tcPr>
                        <w:tcW w:w="834" w:type="dxa"/>
                      </w:tcPr>
                      <w:p>
                        <w:pPr>
                          <w:pStyle w:val="TableParagraph"/>
                          <w:spacing w:before="6"/>
                          <w:rPr>
                            <w:sz w:val="19"/>
                          </w:rPr>
                        </w:pPr>
                      </w:p>
                      <w:p>
                        <w:pPr>
                          <w:pStyle w:val="TableParagraph"/>
                          <w:ind w:left="74"/>
                          <w:rPr>
                            <w:sz w:val="16"/>
                          </w:rPr>
                        </w:pPr>
                        <w:r>
                          <w:rPr>
                            <w:sz w:val="16"/>
                          </w:rPr>
                          <w:t>22.</w:t>
                        </w:r>
                      </w:p>
                    </w:tc>
                    <w:tc>
                      <w:tcPr>
                        <w:tcW w:w="1814" w:type="dxa"/>
                      </w:tcPr>
                      <w:p>
                        <w:pPr>
                          <w:pStyle w:val="TableParagraph"/>
                          <w:spacing w:before="6"/>
                          <w:rPr>
                            <w:sz w:val="19"/>
                          </w:rPr>
                        </w:pPr>
                      </w:p>
                      <w:p>
                        <w:pPr>
                          <w:pStyle w:val="TableParagraph"/>
                          <w:ind w:left="75" w:right="32"/>
                          <w:rPr>
                            <w:sz w:val="16"/>
                          </w:rPr>
                        </w:pPr>
                        <w:r>
                          <w:rPr>
                            <w:sz w:val="16"/>
                          </w:rPr>
                          <w:t>Tijuana</w:t>
                        </w:r>
                      </w:p>
                    </w:tc>
                    <w:tc>
                      <w:tcPr>
                        <w:tcW w:w="1301" w:type="dxa"/>
                        <w:tcBorders>
                          <w:right w:val="nil"/>
                        </w:tcBorders>
                      </w:tcPr>
                      <w:p>
                        <w:pPr>
                          <w:pStyle w:val="TableParagraph"/>
                          <w:spacing w:before="6"/>
                          <w:rPr>
                            <w:sz w:val="19"/>
                          </w:rPr>
                        </w:pPr>
                      </w:p>
                      <w:p>
                        <w:pPr>
                          <w:pStyle w:val="TableParagraph"/>
                          <w:spacing w:line="312" w:lineRule="auto"/>
                          <w:ind w:left="75"/>
                          <w:rPr>
                            <w:sz w:val="16"/>
                          </w:rPr>
                        </w:pPr>
                        <w:r>
                          <w:rPr>
                            <w:sz w:val="16"/>
                          </w:rPr>
                          <w:t>Baja California Norte</w:t>
                        </w:r>
                      </w:p>
                    </w:tc>
                  </w:tr>
                  <w:tr>
                    <w:trPr>
                      <w:trHeight w:val="462" w:hRule="exact"/>
                    </w:trPr>
                    <w:tc>
                      <w:tcPr>
                        <w:tcW w:w="3428" w:type="dxa"/>
                        <w:gridSpan w:val="3"/>
                        <w:tcBorders>
                          <w:top w:val="dotted" w:sz="2" w:space="0" w:color="6D6E71"/>
                          <w:left w:val="nil"/>
                          <w:bottom w:val="nil"/>
                          <w:right w:val="dotted" w:sz="2" w:space="0" w:color="28211F"/>
                        </w:tcBorders>
                      </w:tcPr>
                      <w:p>
                        <w:pPr/>
                      </w:p>
                    </w:tc>
                    <w:tc>
                      <w:tcPr>
                        <w:tcW w:w="834" w:type="dxa"/>
                        <w:tcBorders>
                          <w:left w:val="dotted" w:sz="2" w:space="0" w:color="28211F"/>
                          <w:bottom w:val="nil"/>
                        </w:tcBorders>
                      </w:tcPr>
                      <w:p>
                        <w:pPr>
                          <w:pStyle w:val="TableParagraph"/>
                          <w:spacing w:before="3"/>
                          <w:rPr>
                            <w:sz w:val="21"/>
                          </w:rPr>
                        </w:pPr>
                      </w:p>
                      <w:p>
                        <w:pPr>
                          <w:pStyle w:val="TableParagraph"/>
                          <w:ind w:left="77"/>
                          <w:rPr>
                            <w:sz w:val="16"/>
                          </w:rPr>
                        </w:pPr>
                        <w:r>
                          <w:rPr>
                            <w:sz w:val="16"/>
                          </w:rPr>
                          <w:t>23.</w:t>
                        </w:r>
                      </w:p>
                    </w:tc>
                    <w:tc>
                      <w:tcPr>
                        <w:tcW w:w="1814" w:type="dxa"/>
                        <w:tcBorders>
                          <w:bottom w:val="nil"/>
                        </w:tcBorders>
                      </w:tcPr>
                      <w:p>
                        <w:pPr>
                          <w:pStyle w:val="TableParagraph"/>
                          <w:spacing w:before="3"/>
                          <w:rPr>
                            <w:sz w:val="21"/>
                          </w:rPr>
                        </w:pPr>
                      </w:p>
                      <w:p>
                        <w:pPr>
                          <w:pStyle w:val="TableParagraph"/>
                          <w:ind w:left="75" w:right="32"/>
                          <w:rPr>
                            <w:sz w:val="16"/>
                          </w:rPr>
                        </w:pPr>
                        <w:r>
                          <w:rPr>
                            <w:sz w:val="16"/>
                          </w:rPr>
                          <w:t>Zapopan</w:t>
                        </w:r>
                      </w:p>
                    </w:tc>
                    <w:tc>
                      <w:tcPr>
                        <w:tcW w:w="1301" w:type="dxa"/>
                        <w:tcBorders>
                          <w:bottom w:val="nil"/>
                          <w:right w:val="nil"/>
                        </w:tcBorders>
                      </w:tcPr>
                      <w:p>
                        <w:pPr>
                          <w:pStyle w:val="TableParagraph"/>
                          <w:spacing w:before="3"/>
                          <w:rPr>
                            <w:sz w:val="21"/>
                          </w:rPr>
                        </w:pPr>
                      </w:p>
                      <w:p>
                        <w:pPr>
                          <w:pStyle w:val="TableParagraph"/>
                          <w:ind w:left="75"/>
                          <w:rPr>
                            <w:sz w:val="16"/>
                          </w:rPr>
                        </w:pPr>
                        <w:r>
                          <w:rPr>
                            <w:sz w:val="16"/>
                          </w:rPr>
                          <w:t>Jalisco</w:t>
                        </w:r>
                      </w:p>
                    </w:tc>
                  </w:tr>
                </w:tbl>
                <w:p>
                  <w:pPr>
                    <w:pStyle w:val="BodyText"/>
                  </w:pPr>
                </w:p>
              </w:txbxContent>
            </v:textbox>
            <w10:wrap type="none"/>
          </v:shape>
        </w:pict>
      </w:r>
      <w:r>
        <w:rPr>
          <w:color w:val="6D6E71"/>
          <w:sz w:val="16"/>
        </w:rPr>
        <w:t>Fuente: CIDEU, 2015</w:t>
      </w:r>
    </w:p>
    <w:p>
      <w:pPr>
        <w:pStyle w:val="BodyText"/>
      </w:pPr>
    </w:p>
    <w:p>
      <w:pPr>
        <w:pStyle w:val="BodyText"/>
      </w:pPr>
    </w:p>
    <w:p>
      <w:pPr>
        <w:pStyle w:val="BodyText"/>
      </w:pPr>
    </w:p>
    <w:p>
      <w:pPr>
        <w:pStyle w:val="BodyText"/>
      </w:pPr>
    </w:p>
    <w:p>
      <w:pPr>
        <w:pStyle w:val="BodyText"/>
        <w:spacing w:before="2"/>
        <w:rPr>
          <w:sz w:val="22"/>
        </w:rPr>
      </w:pPr>
    </w:p>
    <w:p>
      <w:pPr>
        <w:spacing w:before="81"/>
        <w:ind w:left="1859" w:right="0" w:firstLine="0"/>
        <w:jc w:val="left"/>
        <w:rPr>
          <w:sz w:val="16"/>
        </w:rPr>
      </w:pPr>
      <w:r>
        <w:rPr>
          <w:color w:val="6D6E71"/>
          <w:sz w:val="16"/>
        </w:rPr>
        <w:t>Fuente: Elaboración propia basado en datos del CIDEU 2015</w:t>
      </w:r>
    </w:p>
    <w:p>
      <w:pPr>
        <w:spacing w:after="0"/>
        <w:jc w:val="left"/>
        <w:rPr>
          <w:sz w:val="16"/>
        </w:rPr>
        <w:sectPr>
          <w:type w:val="continuous"/>
          <w:pgSz w:w="18830" w:h="12760" w:orient="landscape"/>
          <w:pgMar w:top="1420" w:bottom="280" w:left="720" w:right="720"/>
        </w:sectPr>
      </w:pPr>
    </w:p>
    <w:p>
      <w:pPr>
        <w:pStyle w:val="BodyText"/>
        <w:spacing w:before="5"/>
        <w:rPr>
          <w:sz w:val="26"/>
        </w:rPr>
      </w:pPr>
    </w:p>
    <w:p>
      <w:pPr>
        <w:spacing w:after="0"/>
        <w:rPr>
          <w:sz w:val="26"/>
        </w:rPr>
        <w:sectPr>
          <w:footerReference w:type="default" r:id="rId64"/>
          <w:pgSz w:w="18830" w:h="12760" w:orient="landscape"/>
          <w:pgMar w:footer="1036" w:header="522" w:top="820" w:bottom="1220" w:left="720" w:right="720"/>
          <w:pgNumType w:start="6"/>
        </w:sectPr>
      </w:pPr>
    </w:p>
    <w:p>
      <w:pPr>
        <w:spacing w:before="80"/>
        <w:ind w:left="961" w:right="842" w:firstLine="0"/>
        <w:jc w:val="center"/>
        <w:rPr>
          <w:sz w:val="16"/>
        </w:rPr>
      </w:pPr>
      <w:r>
        <w:rPr/>
        <w:drawing>
          <wp:anchor distT="0" distB="0" distL="0" distR="0" allowOverlap="1" layoutInCell="1" locked="0" behindDoc="0" simplePos="0" relativeHeight="1840">
            <wp:simplePos x="0" y="0"/>
            <wp:positionH relativeFrom="page">
              <wp:posOffset>540004</wp:posOffset>
            </wp:positionH>
            <wp:positionV relativeFrom="paragraph">
              <wp:posOffset>317913</wp:posOffset>
            </wp:positionV>
            <wp:extent cx="4936172" cy="2393823"/>
            <wp:effectExtent l="0" t="0" r="0" b="0"/>
            <wp:wrapNone/>
            <wp:docPr id="17" name="image26.jpeg" descr=""/>
            <wp:cNvGraphicFramePr>
              <a:graphicFrameLocks noChangeAspect="1"/>
            </wp:cNvGraphicFramePr>
            <a:graphic>
              <a:graphicData uri="http://schemas.openxmlformats.org/drawingml/2006/picture">
                <pic:pic>
                  <pic:nvPicPr>
                    <pic:cNvPr id="18" name="image26.jpeg"/>
                    <pic:cNvPicPr/>
                  </pic:nvPicPr>
                  <pic:blipFill>
                    <a:blip r:embed="rId65" cstate="print"/>
                    <a:stretch>
                      <a:fillRect/>
                    </a:stretch>
                  </pic:blipFill>
                  <pic:spPr>
                    <a:xfrm>
                      <a:off x="0" y="0"/>
                      <a:ext cx="4936172" cy="2393823"/>
                    </a:xfrm>
                    <a:prstGeom prst="rect">
                      <a:avLst/>
                    </a:prstGeom>
                  </pic:spPr>
                </pic:pic>
              </a:graphicData>
            </a:graphic>
          </wp:anchor>
        </w:drawing>
      </w:r>
      <w:r>
        <w:rPr/>
        <w:pict>
          <v:line style="position:absolute;mso-position-horizontal-relative:page;mso-position-vertical-relative:page;z-index:1864" from="576pt,91.777679pt" to="576pt,91.777679pt" stroked="true" strokeweight=".5pt" strokecolor="#6d6e71">
            <w10:wrap type="none"/>
          </v:line>
        </w:pict>
      </w:r>
      <w:r>
        <w:rPr/>
        <w:pict>
          <v:line style="position:absolute;mso-position-horizontal-relative:page;mso-position-vertical-relative:page;z-index:1888" from="745.450012pt,91.777679pt" to="745.450012pt,91.777679pt" stroked="true" strokeweight=".5pt" strokecolor="#6d6e71">
            <w10:wrap type="none"/>
          </v:line>
        </w:pict>
      </w:r>
      <w:r>
        <w:rPr/>
        <w:pict>
          <v:line style="position:absolute;mso-position-horizontal-relative:page;mso-position-vertical-relative:page;z-index:1912" from="513.820923pt,108.24968pt" to="513.820923pt,108.24968pt" stroked="true" strokeweight=".5pt" strokecolor="#6d6e71">
            <w10:wrap type="none"/>
          </v:line>
        </w:pict>
      </w:r>
      <w:r>
        <w:rPr/>
        <w:pict>
          <v:line style="position:absolute;mso-position-horizontal-relative:page;mso-position-vertical-relative:page;z-index:1936" from="897.833008pt,108.24968pt" to="897.833008pt,108.24968pt" stroked="true" strokeweight=".5pt" strokecolor="#6d6e71">
            <w10:wrap type="none"/>
          </v:line>
        </w:pict>
      </w:r>
      <w:r>
        <w:rPr/>
        <w:pict>
          <v:line style="position:absolute;mso-position-horizontal-relative:page;mso-position-vertical-relative:page;z-index:1960" from="513.820923pt,122.24968pt" to="513.820923pt,122.24968pt" stroked="true" strokeweight=".5pt" strokecolor="#6d6e71">
            <w10:wrap type="none"/>
          </v:line>
        </w:pict>
      </w:r>
      <w:r>
        <w:rPr/>
        <w:pict>
          <v:line style="position:absolute;mso-position-horizontal-relative:page;mso-position-vertical-relative:page;z-index:1984" from="897.833008pt,122.24968pt" to="897.833008pt,122.24968pt" stroked="true" strokeweight=".5pt" strokecolor="#6d6e71">
            <w10:wrap type="none"/>
          </v:line>
        </w:pict>
      </w:r>
      <w:r>
        <w:rPr/>
        <w:pict>
          <v:line style="position:absolute;mso-position-horizontal-relative:page;mso-position-vertical-relative:page;z-index:2008" from="513.820923pt,216.24968pt" to="513.820923pt,216.24968pt" stroked="true" strokeweight=".5pt" strokecolor="#6d6e71">
            <w10:wrap type="none"/>
          </v:line>
        </w:pict>
      </w:r>
      <w:r>
        <w:rPr/>
        <w:pict>
          <v:line style="position:absolute;mso-position-horizontal-relative:page;mso-position-vertical-relative:page;z-index:2032" from="897.833008pt,216.24968pt" to="897.833008pt,216.24968pt" stroked="true" strokeweight=".5pt" strokecolor="#6d6e71">
            <w10:wrap type="none"/>
          </v:line>
        </w:pict>
      </w:r>
      <w:r>
        <w:rPr/>
        <w:pict>
          <v:line style="position:absolute;mso-position-horizontal-relative:page;mso-position-vertical-relative:page;z-index:2056" from="513.820923pt,240.449677pt" to="513.820923pt,240.449677pt" stroked="true" strokeweight=".5pt" strokecolor="#6d6e71">
            <w10:wrap type="none"/>
          </v:line>
        </w:pict>
      </w:r>
      <w:r>
        <w:rPr/>
        <w:pict>
          <v:line style="position:absolute;mso-position-horizontal-relative:page;mso-position-vertical-relative:page;z-index:2080" from="897.833008pt,240.449677pt" to="897.833008pt,240.449677pt" stroked="true" strokeweight=".5pt" strokecolor="#6d6e71">
            <w10:wrap type="none"/>
          </v:line>
        </w:pict>
      </w:r>
      <w:r>
        <w:rPr/>
        <w:pict>
          <v:line style="position:absolute;mso-position-horizontal-relative:page;mso-position-vertical-relative:page;z-index:2104" from="513.820923pt,264.249695pt" to="513.820923pt,264.249695pt" stroked="true" strokeweight=".5pt" strokecolor="#6d6e71">
            <w10:wrap type="none"/>
          </v:line>
        </w:pict>
      </w:r>
      <w:r>
        <w:rPr/>
        <w:pict>
          <v:line style="position:absolute;mso-position-horizontal-relative:page;mso-position-vertical-relative:page;z-index:2128" from="897.833008pt,264.249695pt" to="897.833008pt,264.249695pt" stroked="true" strokeweight=".5pt" strokecolor="#6d6e71">
            <w10:wrap type="none"/>
          </v:line>
        </w:pict>
      </w:r>
      <w:r>
        <w:rPr/>
        <w:pict>
          <v:line style="position:absolute;mso-position-horizontal-relative:page;mso-position-vertical-relative:page;z-index:2152" from="513.820923pt,278.249695pt" to="513.820923pt,278.249695pt" stroked="true" strokeweight=".5pt" strokecolor="#6d6e71">
            <w10:wrap type="none"/>
          </v:line>
        </w:pict>
      </w:r>
      <w:r>
        <w:rPr/>
        <w:pict>
          <v:line style="position:absolute;mso-position-horizontal-relative:page;mso-position-vertical-relative:page;z-index:2176" from="897.833008pt,278.249695pt" to="897.833008pt,278.249695pt" stroked="true" strokeweight=".5pt" strokecolor="#6d6e71">
            <w10:wrap type="none"/>
          </v:line>
        </w:pict>
      </w:r>
      <w:r>
        <w:rPr/>
        <w:pict>
          <v:line style="position:absolute;mso-position-horizontal-relative:page;mso-position-vertical-relative:page;z-index:2224" from="897.833008pt,300.249695pt" to="897.833008pt,300.249695pt" stroked="true" strokeweight=".5pt" strokecolor="#6d6e71">
            <w10:wrap type="none"/>
          </v:line>
        </w:pict>
      </w:r>
      <w:r>
        <w:rPr/>
        <w:pict>
          <v:line style="position:absolute;mso-position-horizontal-relative:page;mso-position-vertical-relative:page;z-index:2272" from="897.833008pt,314.249695pt" to="897.833008pt,314.249695pt" stroked="true" strokeweight=".5pt" strokecolor="#6d6e71">
            <w10:wrap type="none"/>
          </v:line>
        </w:pict>
      </w:r>
      <w:r>
        <w:rPr/>
        <w:pict>
          <v:line style="position:absolute;mso-position-horizontal-relative:page;mso-position-vertical-relative:page;z-index:2320" from="897.833008pt,348.249695pt" to="897.833008pt,348.249695pt" stroked="true" strokeweight=".5pt" strokecolor="#6d6e71">
            <w10:wrap type="none"/>
          </v:line>
        </w:pict>
      </w:r>
      <w:r>
        <w:rPr/>
        <w:pict>
          <v:line style="position:absolute;mso-position-horizontal-relative:page;mso-position-vertical-relative:page;z-index:2368" from="897.833008pt,362.249695pt" to="897.833008pt,362.249695pt" stroked="true" strokeweight=".5pt" strokecolor="#6d6e71">
            <w10:wrap type="none"/>
          </v:line>
        </w:pict>
      </w:r>
      <w:r>
        <w:rPr/>
        <w:pict>
          <v:line style="position:absolute;mso-position-horizontal-relative:page;mso-position-vertical-relative:page;z-index:2416" from="897.833008pt,420.249695pt" to="897.833008pt,420.249695pt" stroked="true" strokeweight=".5pt" strokecolor="#6d6e71">
            <w10:wrap type="none"/>
          </v:line>
        </w:pict>
      </w:r>
      <w:r>
        <w:rPr/>
        <w:pict>
          <v:line style="position:absolute;mso-position-horizontal-relative:page;mso-position-vertical-relative:page;z-index:2464" from="897.833008pt,444.249695pt" to="897.833008pt,444.249695pt" stroked="true" strokeweight=".5pt" strokecolor="#6d6e71">
            <w10:wrap type="none"/>
          </v:line>
        </w:pict>
      </w:r>
      <w:r>
        <w:rPr/>
        <w:pict>
          <v:line style="position:absolute;mso-position-horizontal-relative:page;mso-position-vertical-relative:page;z-index:2512" from="897.833008pt,504.249695pt" to="897.833008pt,504.249695pt" stroked="true" strokeweight=".5pt" strokecolor="#6d6e71">
            <w10:wrap type="none"/>
          </v:line>
        </w:pict>
      </w:r>
      <w:r>
        <w:rPr/>
        <w:pict>
          <v:shape style="position:absolute;margin-left:513.570984pt;margin-top:75.526985pt;width:384.55pt;height:464.95pt;mso-position-horizontal-relative:page;mso-position-vertical-relative:page;z-index:2536" type="#_x0000_t202" filled="false" stroked="false">
            <v:textbox inset="0,0,0,0">
              <w:txbxContent>
                <w:tbl>
                  <w:tblPr>
                    <w:tblW w:w="0" w:type="auto"/>
                    <w:jc w:val="left"/>
                    <w:tblBorders>
                      <w:top w:val="dotted" w:sz="4" w:space="0" w:color="6D6E71"/>
                      <w:left w:val="dotted" w:sz="4" w:space="0" w:color="6D6E71"/>
                      <w:bottom w:val="dotted" w:sz="4" w:space="0" w:color="6D6E71"/>
                      <w:right w:val="dotted" w:sz="4" w:space="0" w:color="6D6E71"/>
                      <w:insideH w:val="dotted" w:sz="4" w:space="0" w:color="6D6E71"/>
                      <w:insideV w:val="dotted" w:sz="4" w:space="0" w:color="6D6E71"/>
                    </w:tblBorders>
                    <w:tblLayout w:type="fixed"/>
                    <w:tblCellMar>
                      <w:top w:w="0" w:type="dxa"/>
                      <w:left w:w="0" w:type="dxa"/>
                      <w:bottom w:w="0" w:type="dxa"/>
                      <w:right w:w="0" w:type="dxa"/>
                    </w:tblCellMar>
                    <w:tblLook w:val="01E0"/>
                  </w:tblPr>
                  <w:tblGrid>
                    <w:gridCol w:w="1249"/>
                    <w:gridCol w:w="3389"/>
                    <w:gridCol w:w="3053"/>
                  </w:tblGrid>
                  <w:tr>
                    <w:trPr>
                      <w:trHeight w:val="320" w:hRule="exact"/>
                    </w:trPr>
                    <w:tc>
                      <w:tcPr>
                        <w:tcW w:w="7690" w:type="dxa"/>
                        <w:gridSpan w:val="3"/>
                        <w:tcBorders>
                          <w:top w:val="nil"/>
                          <w:left w:val="nil"/>
                          <w:bottom w:val="nil"/>
                          <w:right w:val="nil"/>
                        </w:tcBorders>
                        <w:shd w:val="clear" w:color="auto" w:fill="A9A3A1"/>
                      </w:tcPr>
                      <w:p>
                        <w:pPr>
                          <w:pStyle w:val="TableParagraph"/>
                          <w:tabs>
                            <w:tab w:pos="1361" w:val="left" w:leader="none"/>
                            <w:tab w:pos="4750" w:val="left" w:leader="none"/>
                          </w:tabs>
                          <w:spacing w:before="19"/>
                          <w:ind w:left="113"/>
                          <w:rPr>
                            <w:sz w:val="16"/>
                          </w:rPr>
                        </w:pPr>
                        <w:r>
                          <w:rPr>
                            <w:sz w:val="16"/>
                          </w:rPr>
                          <w:t>Ciudad</w:t>
                          <w:tab/>
                          <w:t>Nombre</w:t>
                        </w:r>
                        <w:r>
                          <w:rPr>
                            <w:spacing w:val="-10"/>
                            <w:sz w:val="16"/>
                          </w:rPr>
                          <w:t> </w:t>
                        </w:r>
                        <w:r>
                          <w:rPr>
                            <w:sz w:val="16"/>
                          </w:rPr>
                          <w:t>Plan(es)</w:t>
                        </w:r>
                        <w:r>
                          <w:rPr>
                            <w:spacing w:val="-10"/>
                            <w:sz w:val="16"/>
                          </w:rPr>
                          <w:t> </w:t>
                        </w:r>
                        <w:r>
                          <w:rPr>
                            <w:sz w:val="16"/>
                          </w:rPr>
                          <w:t>Estratégico(s)</w:t>
                          <w:tab/>
                          <w:t>Ámbito(s)  de</w:t>
                        </w:r>
                        <w:r>
                          <w:rPr>
                            <w:spacing w:val="5"/>
                            <w:sz w:val="16"/>
                          </w:rPr>
                          <w:t> </w:t>
                        </w:r>
                        <w:r>
                          <w:rPr>
                            <w:sz w:val="16"/>
                          </w:rPr>
                          <w:t>Acción</w:t>
                        </w:r>
                      </w:p>
                    </w:tc>
                  </w:tr>
                  <w:tr>
                    <w:trPr>
                      <w:trHeight w:val="894" w:hRule="exact"/>
                    </w:trPr>
                    <w:tc>
                      <w:tcPr>
                        <w:tcW w:w="1249" w:type="dxa"/>
                        <w:tcBorders>
                          <w:top w:val="nil"/>
                          <w:left w:val="nil"/>
                        </w:tcBorders>
                      </w:tcPr>
                      <w:p>
                        <w:pPr>
                          <w:pStyle w:val="TableParagraph"/>
                          <w:spacing w:before="6"/>
                          <w:rPr>
                            <w:sz w:val="15"/>
                          </w:rPr>
                        </w:pPr>
                      </w:p>
                      <w:p>
                        <w:pPr>
                          <w:pStyle w:val="TableParagraph"/>
                          <w:spacing w:before="1"/>
                          <w:ind w:left="35"/>
                          <w:rPr>
                            <w:sz w:val="16"/>
                          </w:rPr>
                        </w:pPr>
                        <w:r>
                          <w:rPr>
                            <w:w w:val="100"/>
                            <w:sz w:val="16"/>
                            <w:u w:val="dotted" w:color="6D6E71"/>
                          </w:rPr>
                          <w:t> </w:t>
                        </w:r>
                        <w:r>
                          <w:rPr>
                            <w:sz w:val="16"/>
                            <w:u w:val="dotted" w:color="6D6E71"/>
                          </w:rPr>
                          <w:t> Aguascalientes</w:t>
                        </w:r>
                      </w:p>
                      <w:p>
                        <w:pPr>
                          <w:pStyle w:val="TableParagraph"/>
                          <w:tabs>
                            <w:tab w:pos="1233" w:val="left" w:leader="none"/>
                          </w:tabs>
                          <w:spacing w:line="312" w:lineRule="auto" w:before="56"/>
                          <w:ind w:left="113" w:right="8" w:hanging="79"/>
                          <w:rPr>
                            <w:sz w:val="16"/>
                          </w:rPr>
                        </w:pPr>
                        <w:r>
                          <w:rPr>
                            <w:w w:val="100"/>
                            <w:sz w:val="16"/>
                            <w:u w:val="dotted" w:color="6D6E71"/>
                          </w:rPr>
                          <w:t> </w:t>
                        </w:r>
                        <w:r>
                          <w:rPr>
                            <w:spacing w:val="-11"/>
                            <w:sz w:val="16"/>
                            <w:u w:val="dotted" w:color="6D6E71"/>
                          </w:rPr>
                          <w:t> </w:t>
                        </w:r>
                        <w:r>
                          <w:rPr>
                            <w:sz w:val="16"/>
                            <w:u w:val="dotted" w:color="6D6E71"/>
                          </w:rPr>
                          <w:t>Culiacán</w:t>
                          <w:tab/>
                        </w:r>
                        <w:r>
                          <w:rPr>
                            <w:sz w:val="16"/>
                          </w:rPr>
                          <w:t> Culiacán</w:t>
                        </w:r>
                      </w:p>
                    </w:tc>
                    <w:tc>
                      <w:tcPr>
                        <w:tcW w:w="3389" w:type="dxa"/>
                        <w:tcBorders>
                          <w:top w:val="nil"/>
                        </w:tcBorders>
                      </w:tcPr>
                      <w:p>
                        <w:pPr>
                          <w:pStyle w:val="TableParagraph"/>
                          <w:spacing w:before="6"/>
                          <w:rPr>
                            <w:sz w:val="15"/>
                          </w:rPr>
                        </w:pPr>
                      </w:p>
                      <w:p>
                        <w:pPr>
                          <w:pStyle w:val="TableParagraph"/>
                          <w:tabs>
                            <w:tab w:pos="3368" w:val="left" w:leader="none"/>
                          </w:tabs>
                          <w:spacing w:before="1"/>
                          <w:ind w:left="24"/>
                          <w:rPr>
                            <w:sz w:val="16"/>
                          </w:rPr>
                        </w:pPr>
                        <w:r>
                          <w:rPr>
                            <w:w w:val="100"/>
                            <w:sz w:val="16"/>
                            <w:u w:val="dotted" w:color="6D6E71"/>
                          </w:rPr>
                          <w:t> </w:t>
                        </w:r>
                        <w:r>
                          <w:rPr>
                            <w:sz w:val="16"/>
                            <w:u w:val="dotted" w:color="6D6E71"/>
                          </w:rPr>
                          <w:t> </w:t>
                        </w:r>
                        <w:r>
                          <w:rPr>
                            <w:spacing w:val="-6"/>
                            <w:sz w:val="16"/>
                            <w:u w:val="dotted" w:color="6D6E71"/>
                          </w:rPr>
                          <w:t> </w:t>
                        </w:r>
                        <w:r>
                          <w:rPr>
                            <w:sz w:val="16"/>
                            <w:u w:val="dotted" w:color="6D6E71"/>
                          </w:rPr>
                          <w:t>Línea</w:t>
                        </w:r>
                        <w:r>
                          <w:rPr>
                            <w:spacing w:val="-25"/>
                            <w:sz w:val="16"/>
                            <w:u w:val="dotted" w:color="6D6E71"/>
                          </w:rPr>
                          <w:t> </w:t>
                        </w:r>
                        <w:r>
                          <w:rPr>
                            <w:sz w:val="16"/>
                            <w:u w:val="dotted" w:color="6D6E71"/>
                          </w:rPr>
                          <w:t>Verde.</w:t>
                          <w:tab/>
                        </w:r>
                      </w:p>
                      <w:p>
                        <w:pPr>
                          <w:pStyle w:val="TableParagraph"/>
                          <w:tabs>
                            <w:tab w:pos="3368" w:val="left" w:leader="none"/>
                          </w:tabs>
                          <w:spacing w:line="312" w:lineRule="auto" w:before="56"/>
                          <w:ind w:left="108" w:right="9" w:hanging="84"/>
                          <w:rPr>
                            <w:sz w:val="16"/>
                          </w:rPr>
                        </w:pPr>
                        <w:r>
                          <w:rPr>
                            <w:w w:val="100"/>
                            <w:sz w:val="16"/>
                            <w:u w:val="dotted" w:color="6D6E71"/>
                          </w:rPr>
                          <w:t> </w:t>
                        </w:r>
                        <w:r>
                          <w:rPr>
                            <w:spacing w:val="-6"/>
                            <w:sz w:val="16"/>
                            <w:u w:val="dotted" w:color="6D6E71"/>
                          </w:rPr>
                          <w:t> </w:t>
                        </w:r>
                        <w:r>
                          <w:rPr>
                            <w:sz w:val="16"/>
                            <w:u w:val="dotted" w:color="6D6E71"/>
                          </w:rPr>
                          <w:t>Parque</w:t>
                        </w:r>
                        <w:r>
                          <w:rPr>
                            <w:spacing w:val="-7"/>
                            <w:sz w:val="16"/>
                            <w:u w:val="dotted" w:color="6D6E71"/>
                          </w:rPr>
                          <w:t> </w:t>
                        </w:r>
                        <w:r>
                          <w:rPr>
                            <w:sz w:val="16"/>
                            <w:u w:val="dotted" w:color="6D6E71"/>
                          </w:rPr>
                          <w:t>las</w:t>
                        </w:r>
                        <w:r>
                          <w:rPr>
                            <w:spacing w:val="-7"/>
                            <w:sz w:val="16"/>
                            <w:u w:val="dotted" w:color="6D6E71"/>
                          </w:rPr>
                          <w:t> </w:t>
                        </w:r>
                        <w:r>
                          <w:rPr>
                            <w:sz w:val="16"/>
                            <w:u w:val="dotted" w:color="6D6E71"/>
                          </w:rPr>
                          <w:t>Riberas.</w:t>
                          <w:tab/>
                        </w:r>
                        <w:r>
                          <w:rPr>
                            <w:sz w:val="16"/>
                          </w:rPr>
                          <w:t> Plan de</w:t>
                        </w:r>
                        <w:r>
                          <w:rPr>
                            <w:spacing w:val="14"/>
                            <w:sz w:val="16"/>
                          </w:rPr>
                          <w:t> </w:t>
                        </w:r>
                        <w:r>
                          <w:rPr>
                            <w:sz w:val="16"/>
                          </w:rPr>
                          <w:t>Movilidad.</w:t>
                        </w:r>
                      </w:p>
                    </w:tc>
                    <w:tc>
                      <w:tcPr>
                        <w:tcW w:w="3053" w:type="dxa"/>
                        <w:tcBorders>
                          <w:top w:val="nil"/>
                          <w:right w:val="nil"/>
                        </w:tcBorders>
                      </w:tcPr>
                      <w:p>
                        <w:pPr>
                          <w:pStyle w:val="TableParagraph"/>
                          <w:spacing w:before="6"/>
                          <w:rPr>
                            <w:sz w:val="15"/>
                          </w:rPr>
                        </w:pPr>
                      </w:p>
                      <w:p>
                        <w:pPr>
                          <w:pStyle w:val="TableParagraph"/>
                          <w:tabs>
                            <w:tab w:pos="3027" w:val="left" w:leader="none"/>
                          </w:tabs>
                          <w:spacing w:before="1"/>
                          <w:ind w:left="24"/>
                          <w:rPr>
                            <w:sz w:val="16"/>
                          </w:rPr>
                        </w:pPr>
                        <w:r>
                          <w:rPr>
                            <w:w w:val="100"/>
                            <w:sz w:val="16"/>
                            <w:u w:val="dotted" w:color="6D6E71"/>
                          </w:rPr>
                          <w:t> </w:t>
                        </w:r>
                        <w:r>
                          <w:rPr>
                            <w:spacing w:val="-6"/>
                            <w:sz w:val="16"/>
                            <w:u w:val="dotted" w:color="6D6E71"/>
                          </w:rPr>
                          <w:t> </w:t>
                        </w:r>
                        <w:r>
                          <w:rPr>
                            <w:sz w:val="16"/>
                            <w:u w:val="dotted" w:color="6D6E71"/>
                          </w:rPr>
                          <w:t>Cohesión social, Espacio</w:t>
                        </w:r>
                        <w:r>
                          <w:rPr>
                            <w:spacing w:val="22"/>
                            <w:sz w:val="16"/>
                            <w:u w:val="dotted" w:color="6D6E71"/>
                          </w:rPr>
                          <w:t> </w:t>
                        </w:r>
                        <w:r>
                          <w:rPr>
                            <w:sz w:val="16"/>
                            <w:u w:val="dotted" w:color="6D6E71"/>
                          </w:rPr>
                          <w:t>Público</w:t>
                          <w:tab/>
                        </w:r>
                      </w:p>
                      <w:p>
                        <w:pPr>
                          <w:pStyle w:val="TableParagraph"/>
                          <w:tabs>
                            <w:tab w:pos="3027" w:val="left" w:leader="none"/>
                          </w:tabs>
                          <w:spacing w:line="312" w:lineRule="auto" w:before="56"/>
                          <w:ind w:left="108" w:right="17" w:hanging="84"/>
                          <w:rPr>
                            <w:sz w:val="16"/>
                          </w:rPr>
                        </w:pPr>
                        <w:r>
                          <w:rPr>
                            <w:w w:val="100"/>
                            <w:sz w:val="16"/>
                            <w:u w:val="dotted" w:color="6D6E71"/>
                          </w:rPr>
                          <w:t> </w:t>
                        </w:r>
                        <w:r>
                          <w:rPr>
                            <w:spacing w:val="-6"/>
                            <w:sz w:val="16"/>
                            <w:u w:val="dotted" w:color="6D6E71"/>
                          </w:rPr>
                          <w:t> </w:t>
                        </w:r>
                        <w:r>
                          <w:rPr>
                            <w:sz w:val="16"/>
                            <w:u w:val="dotted" w:color="6D6E71"/>
                          </w:rPr>
                          <w:t>Espacio</w:t>
                        </w:r>
                        <w:r>
                          <w:rPr>
                            <w:spacing w:val="14"/>
                            <w:sz w:val="16"/>
                            <w:u w:val="dotted" w:color="6D6E71"/>
                          </w:rPr>
                          <w:t> </w:t>
                        </w:r>
                        <w:r>
                          <w:rPr>
                            <w:sz w:val="16"/>
                            <w:u w:val="dotted" w:color="6D6E71"/>
                          </w:rPr>
                          <w:t>Público</w:t>
                          <w:tab/>
                        </w:r>
                        <w:r>
                          <w:rPr>
                            <w:sz w:val="16"/>
                          </w:rPr>
                          <w:t> Movilidad, Pensamiento</w:t>
                        </w:r>
                        <w:r>
                          <w:rPr>
                            <w:spacing w:val="31"/>
                            <w:sz w:val="16"/>
                          </w:rPr>
                          <w:t> </w:t>
                        </w:r>
                        <w:r>
                          <w:rPr>
                            <w:sz w:val="16"/>
                          </w:rPr>
                          <w:t>estratégico</w:t>
                        </w:r>
                      </w:p>
                    </w:tc>
                  </w:tr>
                  <w:tr>
                    <w:trPr>
                      <w:trHeight w:val="400" w:hRule="exact"/>
                    </w:trPr>
                    <w:tc>
                      <w:tcPr>
                        <w:tcW w:w="1249" w:type="dxa"/>
                        <w:tcBorders>
                          <w:left w:val="nil"/>
                        </w:tcBorders>
                      </w:tcPr>
                      <w:p>
                        <w:pPr>
                          <w:pStyle w:val="TableParagraph"/>
                          <w:ind w:left="113"/>
                          <w:rPr>
                            <w:sz w:val="16"/>
                          </w:rPr>
                        </w:pPr>
                        <w:r>
                          <w:rPr>
                            <w:sz w:val="16"/>
                          </w:rPr>
                          <w:t>Culiacán</w:t>
                        </w:r>
                      </w:p>
                    </w:tc>
                    <w:tc>
                      <w:tcPr>
                        <w:tcW w:w="3389" w:type="dxa"/>
                      </w:tcPr>
                      <w:p>
                        <w:pPr>
                          <w:pStyle w:val="TableParagraph"/>
                          <w:ind w:left="108"/>
                          <w:rPr>
                            <w:sz w:val="16"/>
                          </w:rPr>
                        </w:pPr>
                        <w:r>
                          <w:rPr>
                            <w:sz w:val="16"/>
                          </w:rPr>
                          <w:t>Programa de Valores Éticos.</w:t>
                        </w:r>
                      </w:p>
                    </w:tc>
                    <w:tc>
                      <w:tcPr>
                        <w:tcW w:w="3053" w:type="dxa"/>
                        <w:tcBorders>
                          <w:right w:val="nil"/>
                        </w:tcBorders>
                      </w:tcPr>
                      <w:p>
                        <w:pPr>
                          <w:pStyle w:val="TableParagraph"/>
                          <w:ind w:left="108"/>
                          <w:rPr>
                            <w:sz w:val="16"/>
                          </w:rPr>
                        </w:pPr>
                        <w:r>
                          <w:rPr>
                            <w:sz w:val="16"/>
                          </w:rPr>
                          <w:t>Cohesión social</w:t>
                        </w:r>
                      </w:p>
                    </w:tc>
                  </w:tr>
                  <w:tr>
                    <w:trPr>
                      <w:trHeight w:val="280" w:hRule="exact"/>
                    </w:trPr>
                    <w:tc>
                      <w:tcPr>
                        <w:tcW w:w="1249" w:type="dxa"/>
                        <w:tcBorders>
                          <w:left w:val="nil"/>
                        </w:tcBorders>
                      </w:tcPr>
                      <w:p>
                        <w:pPr>
                          <w:pStyle w:val="TableParagraph"/>
                          <w:spacing w:before="80"/>
                          <w:ind w:left="113"/>
                          <w:rPr>
                            <w:sz w:val="16"/>
                          </w:rPr>
                        </w:pPr>
                        <w:r>
                          <w:rPr>
                            <w:sz w:val="16"/>
                          </w:rPr>
                          <w:t>Durango</w:t>
                        </w:r>
                      </w:p>
                    </w:tc>
                    <w:tc>
                      <w:tcPr>
                        <w:tcW w:w="3389" w:type="dxa"/>
                      </w:tcPr>
                      <w:p>
                        <w:pPr>
                          <w:pStyle w:val="TableParagraph"/>
                          <w:spacing w:before="80"/>
                          <w:ind w:left="108"/>
                          <w:rPr>
                            <w:sz w:val="16"/>
                          </w:rPr>
                        </w:pPr>
                        <w:r>
                          <w:rPr>
                            <w:sz w:val="16"/>
                          </w:rPr>
                          <w:t>Casa de la Plata.</w:t>
                        </w:r>
                      </w:p>
                    </w:tc>
                    <w:tc>
                      <w:tcPr>
                        <w:tcW w:w="3053" w:type="dxa"/>
                        <w:tcBorders>
                          <w:right w:val="nil"/>
                        </w:tcBorders>
                      </w:tcPr>
                      <w:p>
                        <w:pPr>
                          <w:pStyle w:val="TableParagraph"/>
                          <w:spacing w:before="80"/>
                          <w:ind w:left="108"/>
                          <w:rPr>
                            <w:sz w:val="16"/>
                          </w:rPr>
                        </w:pPr>
                        <w:r>
                          <w:rPr>
                            <w:sz w:val="16"/>
                          </w:rPr>
                          <w:t>Promoción económica y empleo</w:t>
                        </w:r>
                      </w:p>
                    </w:tc>
                  </w:tr>
                  <w:tr>
                    <w:trPr>
                      <w:trHeight w:val="322" w:hRule="exact"/>
                    </w:trPr>
                    <w:tc>
                      <w:tcPr>
                        <w:tcW w:w="1249" w:type="dxa"/>
                        <w:tcBorders>
                          <w:left w:val="nil"/>
                        </w:tcBorders>
                      </w:tcPr>
                      <w:p>
                        <w:pPr>
                          <w:pStyle w:val="TableParagraph"/>
                          <w:spacing w:before="40"/>
                          <w:ind w:left="113"/>
                          <w:rPr>
                            <w:sz w:val="16"/>
                          </w:rPr>
                        </w:pPr>
                        <w:r>
                          <w:rPr>
                            <w:sz w:val="16"/>
                          </w:rPr>
                          <w:t>Durango</w:t>
                        </w:r>
                      </w:p>
                    </w:tc>
                    <w:tc>
                      <w:tcPr>
                        <w:tcW w:w="3389" w:type="dxa"/>
                      </w:tcPr>
                      <w:p>
                        <w:pPr>
                          <w:pStyle w:val="TableParagraph"/>
                          <w:spacing w:before="40"/>
                          <w:ind w:left="108"/>
                          <w:rPr>
                            <w:sz w:val="16"/>
                          </w:rPr>
                        </w:pPr>
                        <w:r>
                          <w:rPr>
                            <w:sz w:val="16"/>
                          </w:rPr>
                          <w:t>Consulta Ciudadana Digital. Glocalidad -</w:t>
                        </w:r>
                      </w:p>
                    </w:tc>
                    <w:tc>
                      <w:tcPr>
                        <w:tcW w:w="3053" w:type="dxa"/>
                        <w:tcBorders>
                          <w:right w:val="nil"/>
                        </w:tcBorders>
                      </w:tcPr>
                      <w:p>
                        <w:pPr>
                          <w:pStyle w:val="TableParagraph"/>
                          <w:spacing w:before="40"/>
                          <w:ind w:left="108"/>
                          <w:rPr>
                            <w:sz w:val="16"/>
                          </w:rPr>
                        </w:pPr>
                        <w:r>
                          <w:rPr>
                            <w:sz w:val="16"/>
                          </w:rPr>
                          <w:t>Innovación, Gobernanza Transparencia.</w:t>
                        </w:r>
                      </w:p>
                    </w:tc>
                  </w:tr>
                  <w:tr>
                    <w:trPr>
                      <w:trHeight w:val="922" w:hRule="exact"/>
                    </w:trPr>
                    <w:tc>
                      <w:tcPr>
                        <w:tcW w:w="1249" w:type="dxa"/>
                        <w:tcBorders>
                          <w:left w:val="nil"/>
                        </w:tcBorders>
                      </w:tcPr>
                      <w:p>
                        <w:pPr>
                          <w:pStyle w:val="TableParagraph"/>
                          <w:spacing w:before="2"/>
                          <w:rPr>
                            <w:sz w:val="17"/>
                          </w:rPr>
                        </w:pPr>
                      </w:p>
                      <w:p>
                        <w:pPr>
                          <w:pStyle w:val="TableParagraph"/>
                          <w:ind w:left="113"/>
                          <w:rPr>
                            <w:sz w:val="16"/>
                          </w:rPr>
                        </w:pPr>
                        <w:r>
                          <w:rPr>
                            <w:sz w:val="16"/>
                          </w:rPr>
                          <w:t>Durango</w:t>
                        </w:r>
                      </w:p>
                      <w:p>
                        <w:pPr>
                          <w:pStyle w:val="TableParagraph"/>
                          <w:tabs>
                            <w:tab w:pos="1233" w:val="left" w:leader="none"/>
                          </w:tabs>
                          <w:spacing w:line="312" w:lineRule="auto" w:before="56"/>
                          <w:ind w:left="113" w:right="8" w:hanging="79"/>
                          <w:rPr>
                            <w:sz w:val="16"/>
                          </w:rPr>
                        </w:pPr>
                        <w:r>
                          <w:rPr>
                            <w:w w:val="100"/>
                            <w:sz w:val="16"/>
                            <w:u w:val="dotted" w:color="6D6E71"/>
                          </w:rPr>
                          <w:t> </w:t>
                        </w:r>
                        <w:r>
                          <w:rPr>
                            <w:sz w:val="16"/>
                            <w:u w:val="dotted" w:color="6D6E71"/>
                          </w:rPr>
                          <w:tab/>
                          <w:tab/>
                        </w:r>
                        <w:r>
                          <w:rPr>
                            <w:sz w:val="16"/>
                          </w:rPr>
                          <w:t> </w:t>
                        </w:r>
                        <w:r>
                          <w:rPr>
                            <w:w w:val="99"/>
                            <w:sz w:val="16"/>
                          </w:rPr>
                          <w:t>Durango</w:t>
                        </w:r>
                      </w:p>
                    </w:tc>
                    <w:tc>
                      <w:tcPr>
                        <w:tcW w:w="3389" w:type="dxa"/>
                      </w:tcPr>
                      <w:p>
                        <w:pPr>
                          <w:pStyle w:val="TableParagraph"/>
                          <w:spacing w:before="2"/>
                          <w:rPr>
                            <w:sz w:val="17"/>
                          </w:rPr>
                        </w:pPr>
                      </w:p>
                      <w:p>
                        <w:pPr>
                          <w:pStyle w:val="TableParagraph"/>
                          <w:ind w:left="108"/>
                          <w:rPr>
                            <w:sz w:val="16"/>
                          </w:rPr>
                        </w:pPr>
                        <w:r>
                          <w:rPr>
                            <w:sz w:val="16"/>
                          </w:rPr>
                          <w:t>Elaboración del Segundo Plan Estratégico de</w:t>
                        </w:r>
                      </w:p>
                      <w:p>
                        <w:pPr>
                          <w:pStyle w:val="TableParagraph"/>
                          <w:tabs>
                            <w:tab w:pos="3368" w:val="left" w:leader="none"/>
                          </w:tabs>
                          <w:spacing w:line="312" w:lineRule="auto" w:before="56"/>
                          <w:ind w:left="108" w:right="9" w:hanging="84"/>
                          <w:rPr>
                            <w:sz w:val="16"/>
                          </w:rPr>
                        </w:pPr>
                        <w:r>
                          <w:rPr>
                            <w:w w:val="100"/>
                            <w:sz w:val="16"/>
                            <w:u w:val="dotted" w:color="6D6E71"/>
                          </w:rPr>
                          <w:t> </w:t>
                        </w:r>
                        <w:r>
                          <w:rPr>
                            <w:spacing w:val="-6"/>
                            <w:sz w:val="16"/>
                            <w:u w:val="dotted" w:color="6D6E71"/>
                          </w:rPr>
                          <w:t> </w:t>
                        </w:r>
                        <w:r>
                          <w:rPr>
                            <w:sz w:val="16"/>
                            <w:u w:val="dotted" w:color="6D6E71"/>
                          </w:rPr>
                          <w:t>la Ciudad</w:t>
                        </w:r>
                        <w:r>
                          <w:rPr>
                            <w:spacing w:val="5"/>
                            <w:sz w:val="16"/>
                            <w:u w:val="dotted" w:color="6D6E71"/>
                          </w:rPr>
                          <w:t> </w:t>
                        </w:r>
                        <w:r>
                          <w:rPr>
                            <w:sz w:val="16"/>
                            <w:u w:val="dotted" w:color="6D6E71"/>
                          </w:rPr>
                          <w:t>de</w:t>
                        </w:r>
                        <w:r>
                          <w:rPr>
                            <w:spacing w:val="2"/>
                            <w:sz w:val="16"/>
                            <w:u w:val="dotted" w:color="6D6E71"/>
                          </w:rPr>
                          <w:t> </w:t>
                        </w:r>
                        <w:r>
                          <w:rPr>
                            <w:sz w:val="16"/>
                            <w:u w:val="dotted" w:color="6D6E71"/>
                          </w:rPr>
                          <w:t>Durango.</w:t>
                          <w:tab/>
                        </w:r>
                        <w:r>
                          <w:rPr>
                            <w:sz w:val="16"/>
                          </w:rPr>
                          <w:t> Ladrilleras.</w:t>
                        </w:r>
                      </w:p>
                    </w:tc>
                    <w:tc>
                      <w:tcPr>
                        <w:tcW w:w="3053" w:type="dxa"/>
                        <w:tcBorders>
                          <w:right w:val="nil"/>
                        </w:tcBorders>
                      </w:tcPr>
                      <w:p>
                        <w:pPr>
                          <w:pStyle w:val="TableParagraph"/>
                          <w:spacing w:before="2"/>
                          <w:rPr>
                            <w:sz w:val="17"/>
                          </w:rPr>
                        </w:pPr>
                      </w:p>
                      <w:p>
                        <w:pPr>
                          <w:pStyle w:val="TableParagraph"/>
                          <w:ind w:left="108"/>
                          <w:rPr>
                            <w:sz w:val="16"/>
                          </w:rPr>
                        </w:pPr>
                        <w:r>
                          <w:rPr>
                            <w:sz w:val="16"/>
                          </w:rPr>
                          <w:t>Gobernanza Transparencia</w:t>
                        </w:r>
                      </w:p>
                      <w:p>
                        <w:pPr>
                          <w:pStyle w:val="TableParagraph"/>
                          <w:spacing w:line="312" w:lineRule="auto" w:before="56"/>
                          <w:ind w:left="108" w:hanging="84"/>
                          <w:rPr>
                            <w:sz w:val="16"/>
                          </w:rPr>
                        </w:pPr>
                        <w:r>
                          <w:rPr>
                            <w:w w:val="100"/>
                            <w:sz w:val="16"/>
                            <w:u w:val="dotted" w:color="6D6E71"/>
                          </w:rPr>
                          <w:t> </w:t>
                        </w:r>
                        <w:r>
                          <w:rPr>
                            <w:sz w:val="16"/>
                            <w:u w:val="dotted" w:color="6D6E71"/>
                          </w:rPr>
                          <w:t> Participación, Pensamiento estratégico </w:t>
                        </w:r>
                        <w:r>
                          <w:rPr>
                            <w:sz w:val="16"/>
                          </w:rPr>
                          <w:t>Sostenibilidad</w:t>
                        </w:r>
                      </w:p>
                    </w:tc>
                  </w:tr>
                  <w:tr>
                    <w:trPr>
                      <w:trHeight w:val="1916" w:hRule="exact"/>
                    </w:trPr>
                    <w:tc>
                      <w:tcPr>
                        <w:tcW w:w="1249" w:type="dxa"/>
                        <w:tcBorders>
                          <w:left w:val="nil"/>
                        </w:tcBorders>
                      </w:tcPr>
                      <w:p>
                        <w:pPr>
                          <w:pStyle w:val="TableParagraph"/>
                          <w:tabs>
                            <w:tab w:pos="1233" w:val="left" w:leader="none"/>
                          </w:tabs>
                          <w:spacing w:line="312" w:lineRule="auto"/>
                          <w:ind w:left="113" w:right="8" w:hanging="79"/>
                          <w:rPr>
                            <w:sz w:val="16"/>
                          </w:rPr>
                        </w:pPr>
                        <w:r>
                          <w:rPr>
                            <w:w w:val="100"/>
                            <w:sz w:val="16"/>
                            <w:u w:val="dotted" w:color="6D6E71"/>
                          </w:rPr>
                          <w:t> </w:t>
                        </w:r>
                        <w:r>
                          <w:rPr>
                            <w:spacing w:val="-11"/>
                            <w:sz w:val="16"/>
                            <w:u w:val="dotted" w:color="6D6E71"/>
                          </w:rPr>
                          <w:t> </w:t>
                        </w:r>
                        <w:r>
                          <w:rPr>
                            <w:sz w:val="16"/>
                            <w:u w:val="dotted" w:color="6D6E71"/>
                          </w:rPr>
                          <w:t>Durango</w:t>
                          <w:tab/>
                        </w:r>
                        <w:r>
                          <w:rPr>
                            <w:sz w:val="16"/>
                          </w:rPr>
                          <w:t> Durango</w:t>
                        </w:r>
                      </w:p>
                      <w:p>
                        <w:pPr>
                          <w:pStyle w:val="TableParagraph"/>
                          <w:tabs>
                            <w:tab w:pos="1233" w:val="left" w:leader="none"/>
                          </w:tabs>
                          <w:spacing w:before="2"/>
                          <w:ind w:left="35"/>
                          <w:rPr>
                            <w:sz w:val="16"/>
                          </w:rPr>
                        </w:pPr>
                        <w:r>
                          <w:rPr>
                            <w:w w:val="100"/>
                            <w:sz w:val="16"/>
                            <w:u w:val="dotted" w:color="6D6E71"/>
                          </w:rPr>
                          <w:t> </w:t>
                        </w:r>
                        <w:r>
                          <w:rPr>
                            <w:sz w:val="16"/>
                            <w:u w:val="dotted" w:color="6D6E71"/>
                          </w:rPr>
                          <w:tab/>
                        </w:r>
                      </w:p>
                      <w:p>
                        <w:pPr>
                          <w:pStyle w:val="TableParagraph"/>
                          <w:tabs>
                            <w:tab w:pos="1233" w:val="left" w:leader="none"/>
                          </w:tabs>
                          <w:spacing w:line="312" w:lineRule="auto" w:before="56"/>
                          <w:ind w:left="113" w:right="8" w:hanging="79"/>
                          <w:rPr>
                            <w:sz w:val="16"/>
                          </w:rPr>
                        </w:pPr>
                        <w:r>
                          <w:rPr>
                            <w:w w:val="100"/>
                            <w:sz w:val="16"/>
                            <w:u w:val="dotted" w:color="6D6E71"/>
                          </w:rPr>
                          <w:t> </w:t>
                        </w:r>
                        <w:r>
                          <w:rPr>
                            <w:spacing w:val="-11"/>
                            <w:sz w:val="16"/>
                            <w:u w:val="dotted" w:color="6D6E71"/>
                          </w:rPr>
                          <w:t> </w:t>
                        </w:r>
                        <w:r>
                          <w:rPr>
                            <w:sz w:val="16"/>
                            <w:u w:val="dotted" w:color="6D6E71"/>
                          </w:rPr>
                          <w:t>Guadalajara</w:t>
                          <w:tab/>
                        </w:r>
                        <w:r>
                          <w:rPr>
                            <w:sz w:val="16"/>
                          </w:rPr>
                          <w:t> Guadalajara</w:t>
                        </w:r>
                      </w:p>
                      <w:p>
                        <w:pPr>
                          <w:pStyle w:val="TableParagraph"/>
                          <w:tabs>
                            <w:tab w:pos="1233" w:val="left" w:leader="none"/>
                          </w:tabs>
                          <w:spacing w:before="2"/>
                          <w:ind w:left="35"/>
                          <w:rPr>
                            <w:sz w:val="16"/>
                          </w:rPr>
                        </w:pPr>
                        <w:r>
                          <w:rPr>
                            <w:w w:val="100"/>
                            <w:sz w:val="16"/>
                            <w:u w:val="dotted" w:color="6D6E71"/>
                          </w:rPr>
                          <w:t> </w:t>
                        </w:r>
                        <w:r>
                          <w:rPr>
                            <w:sz w:val="16"/>
                            <w:u w:val="dotted" w:color="6D6E71"/>
                          </w:rPr>
                          <w:tab/>
                        </w:r>
                      </w:p>
                      <w:p>
                        <w:pPr>
                          <w:pStyle w:val="TableParagraph"/>
                          <w:tabs>
                            <w:tab w:pos="1233" w:val="left" w:leader="none"/>
                          </w:tabs>
                          <w:spacing w:line="312" w:lineRule="auto" w:before="56"/>
                          <w:ind w:left="113" w:right="8" w:hanging="79"/>
                          <w:rPr>
                            <w:sz w:val="16"/>
                          </w:rPr>
                        </w:pPr>
                        <w:r>
                          <w:rPr>
                            <w:w w:val="100"/>
                            <w:sz w:val="16"/>
                            <w:u w:val="dotted" w:color="6D6E71"/>
                          </w:rPr>
                          <w:t> </w:t>
                        </w:r>
                        <w:r>
                          <w:rPr>
                            <w:spacing w:val="-11"/>
                            <w:sz w:val="16"/>
                            <w:u w:val="dotted" w:color="6D6E71"/>
                          </w:rPr>
                          <w:t> </w:t>
                        </w:r>
                        <w:r>
                          <w:rPr>
                            <w:sz w:val="16"/>
                            <w:u w:val="dotted" w:color="6D6E71"/>
                          </w:rPr>
                          <w:t>Guadalajara</w:t>
                          <w:tab/>
                        </w:r>
                        <w:r>
                          <w:rPr>
                            <w:sz w:val="16"/>
                          </w:rPr>
                          <w:t> Guadalajara</w:t>
                        </w:r>
                      </w:p>
                    </w:tc>
                    <w:tc>
                      <w:tcPr>
                        <w:tcW w:w="3389" w:type="dxa"/>
                      </w:tcPr>
                      <w:p>
                        <w:pPr>
                          <w:pStyle w:val="TableParagraph"/>
                          <w:spacing w:line="312" w:lineRule="auto"/>
                          <w:ind w:left="108" w:hanging="84"/>
                          <w:rPr>
                            <w:sz w:val="16"/>
                          </w:rPr>
                        </w:pPr>
                        <w:r>
                          <w:rPr>
                            <w:w w:val="100"/>
                            <w:sz w:val="16"/>
                            <w:u w:val="dotted" w:color="6D6E71"/>
                          </w:rPr>
                          <w:t> </w:t>
                        </w:r>
                        <w:r>
                          <w:rPr>
                            <w:sz w:val="16"/>
                            <w:u w:val="dotted" w:color="6D6E71"/>
                          </w:rPr>
                          <w:t> Parques Urbanos, Programa de Integración. </w:t>
                        </w:r>
                        <w:r>
                          <w:rPr>
                            <w:sz w:val="16"/>
                          </w:rPr>
                          <w:t>Plan de Desarrollo Municipal de Turismo</w:t>
                        </w:r>
                      </w:p>
                      <w:p>
                        <w:pPr>
                          <w:pStyle w:val="TableParagraph"/>
                          <w:tabs>
                            <w:tab w:pos="3368" w:val="left" w:leader="none"/>
                          </w:tabs>
                          <w:spacing w:before="2"/>
                          <w:ind w:left="24"/>
                          <w:rPr>
                            <w:sz w:val="16"/>
                          </w:rPr>
                        </w:pPr>
                        <w:r>
                          <w:rPr>
                            <w:w w:val="100"/>
                            <w:sz w:val="16"/>
                            <w:u w:val="dotted" w:color="6D6E71"/>
                          </w:rPr>
                          <w:t> </w:t>
                        </w:r>
                        <w:r>
                          <w:rPr>
                            <w:spacing w:val="-6"/>
                            <w:sz w:val="16"/>
                            <w:u w:val="dotted" w:color="6D6E71"/>
                          </w:rPr>
                          <w:t> </w:t>
                        </w:r>
                        <w:r>
                          <w:rPr>
                            <w:sz w:val="16"/>
                            <w:u w:val="dotted" w:color="6D6E71"/>
                          </w:rPr>
                          <w:t>2003</w:t>
                          <w:tab/>
                        </w:r>
                      </w:p>
                      <w:p>
                        <w:pPr>
                          <w:pStyle w:val="TableParagraph"/>
                          <w:tabs>
                            <w:tab w:pos="3368" w:val="left" w:leader="none"/>
                          </w:tabs>
                          <w:spacing w:line="312" w:lineRule="auto" w:before="56"/>
                          <w:ind w:left="108" w:right="9" w:hanging="84"/>
                          <w:rPr>
                            <w:sz w:val="16"/>
                          </w:rPr>
                        </w:pPr>
                        <w:r>
                          <w:rPr>
                            <w:w w:val="100"/>
                            <w:sz w:val="16"/>
                            <w:u w:val="dotted" w:color="6D6E71"/>
                          </w:rPr>
                          <w:t> </w:t>
                        </w:r>
                        <w:r>
                          <w:rPr>
                            <w:spacing w:val="-6"/>
                            <w:sz w:val="16"/>
                            <w:u w:val="dotted" w:color="6D6E71"/>
                          </w:rPr>
                          <w:t> </w:t>
                        </w:r>
                        <w:r>
                          <w:rPr>
                            <w:sz w:val="16"/>
                            <w:u w:val="dotted" w:color="6D6E71"/>
                          </w:rPr>
                          <w:t>Corredor</w:t>
                        </w:r>
                        <w:r>
                          <w:rPr>
                            <w:spacing w:val="9"/>
                            <w:sz w:val="16"/>
                            <w:u w:val="dotted" w:color="6D6E71"/>
                          </w:rPr>
                          <w:t> </w:t>
                        </w:r>
                        <w:r>
                          <w:rPr>
                            <w:sz w:val="16"/>
                            <w:u w:val="dotted" w:color="6D6E71"/>
                          </w:rPr>
                          <w:t>Urbano</w:t>
                        </w:r>
                        <w:r>
                          <w:rPr>
                            <w:spacing w:val="9"/>
                            <w:sz w:val="16"/>
                            <w:u w:val="dotted" w:color="6D6E71"/>
                          </w:rPr>
                          <w:t> </w:t>
                        </w:r>
                        <w:r>
                          <w:rPr>
                            <w:sz w:val="16"/>
                            <w:u w:val="dotted" w:color="6D6E71"/>
                          </w:rPr>
                          <w:t>Colon.</w:t>
                          <w:tab/>
                        </w:r>
                        <w:r>
                          <w:rPr>
                            <w:sz w:val="16"/>
                          </w:rPr>
                          <w:t> Infraestructura urbana para</w:t>
                        </w:r>
                        <w:r>
                          <w:rPr>
                            <w:spacing w:val="13"/>
                            <w:sz w:val="16"/>
                          </w:rPr>
                          <w:t> </w:t>
                        </w:r>
                        <w:r>
                          <w:rPr>
                            <w:sz w:val="16"/>
                          </w:rPr>
                          <w:t>Juegos</w:t>
                        </w:r>
                      </w:p>
                      <w:p>
                        <w:pPr>
                          <w:pStyle w:val="TableParagraph"/>
                          <w:tabs>
                            <w:tab w:pos="3368" w:val="left" w:leader="none"/>
                          </w:tabs>
                          <w:spacing w:before="2"/>
                          <w:ind w:left="24"/>
                          <w:rPr>
                            <w:sz w:val="16"/>
                          </w:rPr>
                        </w:pPr>
                        <w:r>
                          <w:rPr>
                            <w:w w:val="100"/>
                            <w:sz w:val="16"/>
                            <w:u w:val="dotted" w:color="6D6E71"/>
                          </w:rPr>
                          <w:t> </w:t>
                        </w:r>
                        <w:r>
                          <w:rPr>
                            <w:spacing w:val="-6"/>
                            <w:sz w:val="16"/>
                            <w:u w:val="dotted" w:color="6D6E71"/>
                          </w:rPr>
                          <w:t> </w:t>
                        </w:r>
                        <w:r>
                          <w:rPr>
                            <w:sz w:val="16"/>
                            <w:u w:val="dotted" w:color="6D6E71"/>
                          </w:rPr>
                          <w:t>Panamericanos.</w:t>
                          <w:tab/>
                        </w:r>
                      </w:p>
                      <w:p>
                        <w:pPr>
                          <w:pStyle w:val="TableParagraph"/>
                          <w:tabs>
                            <w:tab w:pos="3368" w:val="left" w:leader="none"/>
                          </w:tabs>
                          <w:spacing w:line="312" w:lineRule="auto" w:before="56"/>
                          <w:ind w:left="108" w:right="9" w:hanging="84"/>
                          <w:rPr>
                            <w:sz w:val="16"/>
                          </w:rPr>
                        </w:pPr>
                        <w:r>
                          <w:rPr>
                            <w:w w:val="100"/>
                            <w:sz w:val="16"/>
                            <w:u w:val="dotted" w:color="6D6E71"/>
                          </w:rPr>
                          <w:t> </w:t>
                        </w:r>
                        <w:r>
                          <w:rPr>
                            <w:spacing w:val="-6"/>
                            <w:sz w:val="16"/>
                            <w:u w:val="dotted" w:color="6D6E71"/>
                          </w:rPr>
                          <w:t> </w:t>
                        </w:r>
                        <w:r>
                          <w:rPr>
                            <w:sz w:val="16"/>
                            <w:u w:val="dotted" w:color="6D6E71"/>
                          </w:rPr>
                          <w:t>Macrobús.</w:t>
                          <w:tab/>
                        </w:r>
                        <w:r>
                          <w:rPr>
                            <w:sz w:val="16"/>
                          </w:rPr>
                          <w:t> Plan de Movilidad No</w:t>
                        </w:r>
                        <w:r>
                          <w:rPr>
                            <w:spacing w:val="31"/>
                            <w:sz w:val="16"/>
                          </w:rPr>
                          <w:t> </w:t>
                        </w:r>
                        <w:r>
                          <w:rPr>
                            <w:sz w:val="16"/>
                          </w:rPr>
                          <w:t>Motorizada.</w:t>
                        </w:r>
                      </w:p>
                    </w:tc>
                    <w:tc>
                      <w:tcPr>
                        <w:tcW w:w="3053" w:type="dxa"/>
                        <w:tcBorders>
                          <w:right w:val="nil"/>
                        </w:tcBorders>
                      </w:tcPr>
                      <w:p>
                        <w:pPr>
                          <w:pStyle w:val="TableParagraph"/>
                          <w:tabs>
                            <w:tab w:pos="3027" w:val="left" w:leader="none"/>
                          </w:tabs>
                          <w:spacing w:line="312" w:lineRule="auto"/>
                          <w:ind w:left="108" w:right="17" w:hanging="84"/>
                          <w:rPr>
                            <w:sz w:val="16"/>
                          </w:rPr>
                        </w:pPr>
                        <w:r>
                          <w:rPr>
                            <w:w w:val="100"/>
                            <w:sz w:val="16"/>
                            <w:u w:val="dotted" w:color="6D6E71"/>
                          </w:rPr>
                          <w:t> </w:t>
                        </w:r>
                        <w:r>
                          <w:rPr>
                            <w:spacing w:val="-6"/>
                            <w:sz w:val="16"/>
                            <w:u w:val="dotted" w:color="6D6E71"/>
                          </w:rPr>
                          <w:t> </w:t>
                        </w:r>
                        <w:r>
                          <w:rPr>
                            <w:sz w:val="16"/>
                            <w:u w:val="dotted" w:color="6D6E71"/>
                          </w:rPr>
                          <w:t>Sostenibilidad</w:t>
                          <w:tab/>
                        </w:r>
                        <w:r>
                          <w:rPr>
                            <w:sz w:val="16"/>
                          </w:rPr>
                          <w:t> Identidad Marca</w:t>
                        </w:r>
                        <w:r>
                          <w:rPr>
                            <w:spacing w:val="20"/>
                            <w:sz w:val="16"/>
                          </w:rPr>
                          <w:t> </w:t>
                        </w:r>
                        <w:r>
                          <w:rPr>
                            <w:sz w:val="16"/>
                          </w:rPr>
                          <w:t>urbana</w:t>
                        </w:r>
                      </w:p>
                      <w:p>
                        <w:pPr>
                          <w:pStyle w:val="TableParagraph"/>
                          <w:tabs>
                            <w:tab w:pos="3027" w:val="left" w:leader="none"/>
                          </w:tabs>
                          <w:spacing w:before="2"/>
                          <w:ind w:left="24"/>
                          <w:rPr>
                            <w:sz w:val="16"/>
                          </w:rPr>
                        </w:pPr>
                        <w:r>
                          <w:rPr>
                            <w:w w:val="100"/>
                            <w:sz w:val="16"/>
                            <w:u w:val="dotted" w:color="6D6E71"/>
                          </w:rPr>
                          <w:t> </w:t>
                        </w:r>
                        <w:r>
                          <w:rPr>
                            <w:sz w:val="16"/>
                            <w:u w:val="dotted" w:color="6D6E71"/>
                          </w:rPr>
                          <w:tab/>
                        </w:r>
                      </w:p>
                      <w:p>
                        <w:pPr>
                          <w:pStyle w:val="TableParagraph"/>
                          <w:tabs>
                            <w:tab w:pos="3027" w:val="left" w:leader="none"/>
                          </w:tabs>
                          <w:spacing w:line="312" w:lineRule="auto" w:before="56"/>
                          <w:ind w:left="108" w:right="17" w:hanging="84"/>
                          <w:rPr>
                            <w:sz w:val="16"/>
                          </w:rPr>
                        </w:pPr>
                        <w:r>
                          <w:rPr>
                            <w:w w:val="100"/>
                            <w:sz w:val="16"/>
                            <w:u w:val="dotted" w:color="6D6E71"/>
                          </w:rPr>
                          <w:t> </w:t>
                        </w:r>
                        <w:r>
                          <w:rPr>
                            <w:spacing w:val="-6"/>
                            <w:sz w:val="16"/>
                            <w:u w:val="dotted" w:color="6D6E71"/>
                          </w:rPr>
                          <w:t> </w:t>
                        </w:r>
                        <w:r>
                          <w:rPr>
                            <w:sz w:val="16"/>
                            <w:u w:val="dotted" w:color="6D6E71"/>
                          </w:rPr>
                          <w:t>Espacio</w:t>
                        </w:r>
                        <w:r>
                          <w:rPr>
                            <w:spacing w:val="14"/>
                            <w:sz w:val="16"/>
                            <w:u w:val="dotted" w:color="6D6E71"/>
                          </w:rPr>
                          <w:t> </w:t>
                        </w:r>
                        <w:r>
                          <w:rPr>
                            <w:sz w:val="16"/>
                            <w:u w:val="dotted" w:color="6D6E71"/>
                          </w:rPr>
                          <w:t>Público</w:t>
                          <w:tab/>
                        </w:r>
                        <w:r>
                          <w:rPr>
                            <w:sz w:val="16"/>
                          </w:rPr>
                          <w:t> Identidad Marca</w:t>
                        </w:r>
                        <w:r>
                          <w:rPr>
                            <w:spacing w:val="28"/>
                            <w:sz w:val="16"/>
                          </w:rPr>
                          <w:t> </w:t>
                        </w:r>
                        <w:r>
                          <w:rPr>
                            <w:sz w:val="16"/>
                          </w:rPr>
                          <w:t>urbana,Urbanismo</w:t>
                        </w:r>
                      </w:p>
                      <w:p>
                        <w:pPr>
                          <w:pStyle w:val="TableParagraph"/>
                          <w:tabs>
                            <w:tab w:pos="3027" w:val="left" w:leader="none"/>
                          </w:tabs>
                          <w:spacing w:before="2"/>
                          <w:ind w:left="24"/>
                          <w:rPr>
                            <w:sz w:val="16"/>
                          </w:rPr>
                        </w:pPr>
                        <w:r>
                          <w:rPr>
                            <w:w w:val="100"/>
                            <w:sz w:val="16"/>
                            <w:u w:val="dotted" w:color="6D6E71"/>
                          </w:rPr>
                          <w:t> </w:t>
                        </w:r>
                        <w:r>
                          <w:rPr>
                            <w:sz w:val="16"/>
                            <w:u w:val="dotted" w:color="6D6E71"/>
                          </w:rPr>
                          <w:tab/>
                        </w:r>
                      </w:p>
                      <w:p>
                        <w:pPr>
                          <w:pStyle w:val="TableParagraph"/>
                          <w:tabs>
                            <w:tab w:pos="3027" w:val="left" w:leader="none"/>
                          </w:tabs>
                          <w:spacing w:line="312" w:lineRule="auto" w:before="56"/>
                          <w:ind w:left="108" w:right="17" w:hanging="84"/>
                          <w:rPr>
                            <w:sz w:val="16"/>
                          </w:rPr>
                        </w:pPr>
                        <w:r>
                          <w:rPr>
                            <w:w w:val="100"/>
                            <w:sz w:val="16"/>
                            <w:u w:val="dotted" w:color="6D6E71"/>
                          </w:rPr>
                          <w:t> </w:t>
                        </w:r>
                        <w:r>
                          <w:rPr>
                            <w:sz w:val="16"/>
                            <w:u w:val="dotted" w:color="6D6E71"/>
                          </w:rPr>
                          <w:t> </w:t>
                        </w:r>
                        <w:r>
                          <w:rPr>
                            <w:spacing w:val="-6"/>
                            <w:sz w:val="16"/>
                            <w:u w:val="dotted" w:color="6D6E71"/>
                          </w:rPr>
                          <w:t> </w:t>
                        </w:r>
                        <w:r>
                          <w:rPr>
                            <w:sz w:val="16"/>
                            <w:u w:val="dotted" w:color="6D6E71"/>
                          </w:rPr>
                          <w:t>Movilidad</w:t>
                          <w:tab/>
                        </w:r>
                        <w:r>
                          <w:rPr>
                            <w:sz w:val="16"/>
                          </w:rPr>
                          <w:t> Movilidad,Pensamiento</w:t>
                        </w:r>
                        <w:r>
                          <w:rPr>
                            <w:spacing w:val="31"/>
                            <w:sz w:val="16"/>
                          </w:rPr>
                          <w:t> </w:t>
                        </w:r>
                        <w:r>
                          <w:rPr>
                            <w:sz w:val="16"/>
                          </w:rPr>
                          <w:t>estratégico</w:t>
                        </w:r>
                      </w:p>
                    </w:tc>
                  </w:tr>
                  <w:tr>
                    <w:trPr>
                      <w:trHeight w:val="960" w:hRule="exact"/>
                    </w:trPr>
                    <w:tc>
                      <w:tcPr>
                        <w:tcW w:w="1249" w:type="dxa"/>
                        <w:tcBorders>
                          <w:left w:val="nil"/>
                        </w:tcBorders>
                      </w:tcPr>
                      <w:p>
                        <w:pPr>
                          <w:pStyle w:val="TableParagraph"/>
                          <w:spacing w:line="160" w:lineRule="exact"/>
                          <w:ind w:left="113"/>
                          <w:rPr>
                            <w:sz w:val="16"/>
                          </w:rPr>
                        </w:pPr>
                        <w:r>
                          <w:rPr>
                            <w:sz w:val="16"/>
                          </w:rPr>
                          <w:t>Manzanillo</w:t>
                        </w:r>
                      </w:p>
                      <w:p>
                        <w:pPr>
                          <w:pStyle w:val="TableParagraph"/>
                          <w:tabs>
                            <w:tab w:pos="1233" w:val="left" w:leader="none"/>
                          </w:tabs>
                          <w:spacing w:line="206" w:lineRule="exact"/>
                          <w:ind w:left="35"/>
                          <w:rPr>
                            <w:sz w:val="20"/>
                          </w:rPr>
                        </w:pPr>
                        <w:r>
                          <w:rPr>
                            <w:w w:val="100"/>
                            <w:sz w:val="20"/>
                            <w:u w:val="dotted" w:color="6D6E71"/>
                          </w:rPr>
                          <w:t> </w:t>
                        </w:r>
                        <w:r>
                          <w:rPr>
                            <w:sz w:val="20"/>
                            <w:u w:val="dotted" w:color="6D6E71"/>
                          </w:rPr>
                          <w:tab/>
                        </w:r>
                      </w:p>
                      <w:p>
                        <w:pPr>
                          <w:pStyle w:val="TableParagraph"/>
                          <w:tabs>
                            <w:tab w:pos="1233" w:val="left" w:leader="none"/>
                          </w:tabs>
                          <w:spacing w:line="312" w:lineRule="auto" w:before="113"/>
                          <w:ind w:left="113" w:right="8" w:hanging="79"/>
                          <w:rPr>
                            <w:sz w:val="16"/>
                          </w:rPr>
                        </w:pPr>
                        <w:r>
                          <w:rPr>
                            <w:w w:val="100"/>
                            <w:sz w:val="16"/>
                            <w:u w:val="dotted" w:color="6D6E71"/>
                          </w:rPr>
                          <w:t> </w:t>
                        </w:r>
                        <w:r>
                          <w:rPr>
                            <w:spacing w:val="-11"/>
                            <w:sz w:val="16"/>
                            <w:u w:val="dotted" w:color="6D6E71"/>
                          </w:rPr>
                          <w:t> </w:t>
                        </w:r>
                        <w:r>
                          <w:rPr>
                            <w:sz w:val="16"/>
                            <w:u w:val="dotted" w:color="6D6E71"/>
                          </w:rPr>
                          <w:t>Mérida</w:t>
                          <w:tab/>
                        </w:r>
                        <w:r>
                          <w:rPr>
                            <w:sz w:val="16"/>
                          </w:rPr>
                          <w:t> Mérida</w:t>
                        </w:r>
                      </w:p>
                    </w:tc>
                    <w:tc>
                      <w:tcPr>
                        <w:tcW w:w="3389" w:type="dxa"/>
                      </w:tcPr>
                      <w:p>
                        <w:pPr>
                          <w:pStyle w:val="TableParagraph"/>
                          <w:ind w:left="108"/>
                          <w:rPr>
                            <w:sz w:val="16"/>
                          </w:rPr>
                        </w:pPr>
                        <w:r>
                          <w:rPr>
                            <w:sz w:val="16"/>
                          </w:rPr>
                          <w:t>Parque Metropolitano Estero las Garzas en</w:t>
                        </w:r>
                      </w:p>
                      <w:p>
                        <w:pPr>
                          <w:pStyle w:val="TableParagraph"/>
                          <w:tabs>
                            <w:tab w:pos="3368" w:val="left" w:leader="none"/>
                          </w:tabs>
                          <w:spacing w:before="56"/>
                          <w:ind w:left="24"/>
                          <w:rPr>
                            <w:sz w:val="16"/>
                          </w:rPr>
                        </w:pPr>
                        <w:r>
                          <w:rPr>
                            <w:w w:val="100"/>
                            <w:sz w:val="16"/>
                            <w:u w:val="dotted" w:color="6D6E71"/>
                          </w:rPr>
                          <w:t> </w:t>
                        </w:r>
                        <w:r>
                          <w:rPr>
                            <w:spacing w:val="-6"/>
                            <w:sz w:val="16"/>
                            <w:u w:val="dotted" w:color="6D6E71"/>
                          </w:rPr>
                          <w:t> </w:t>
                        </w:r>
                        <w:r>
                          <w:rPr>
                            <w:sz w:val="16"/>
                            <w:u w:val="dotted" w:color="6D6E71"/>
                          </w:rPr>
                          <w:t>Manzanillo.</w:t>
                          <w:tab/>
                        </w:r>
                      </w:p>
                      <w:p>
                        <w:pPr>
                          <w:pStyle w:val="TableParagraph"/>
                          <w:tabs>
                            <w:tab w:pos="3368" w:val="left" w:leader="none"/>
                          </w:tabs>
                          <w:spacing w:line="312" w:lineRule="auto" w:before="56"/>
                          <w:ind w:left="108" w:right="9" w:hanging="84"/>
                          <w:rPr>
                            <w:sz w:val="16"/>
                          </w:rPr>
                        </w:pPr>
                        <w:r>
                          <w:rPr>
                            <w:w w:val="100"/>
                            <w:sz w:val="16"/>
                            <w:u w:val="dotted" w:color="6D6E71"/>
                          </w:rPr>
                          <w:t> </w:t>
                        </w:r>
                        <w:r>
                          <w:rPr>
                            <w:spacing w:val="-6"/>
                            <w:sz w:val="16"/>
                            <w:u w:val="dotted" w:color="6D6E71"/>
                          </w:rPr>
                          <w:t> </w:t>
                        </w:r>
                        <w:r>
                          <w:rPr>
                            <w:sz w:val="16"/>
                            <w:u w:val="dotted" w:color="6D6E71"/>
                          </w:rPr>
                          <w:t>Anillo Periférico</w:t>
                        </w:r>
                        <w:r>
                          <w:rPr>
                            <w:spacing w:val="7"/>
                            <w:sz w:val="16"/>
                            <w:u w:val="dotted" w:color="6D6E71"/>
                          </w:rPr>
                          <w:t> </w:t>
                        </w:r>
                        <w:r>
                          <w:rPr>
                            <w:sz w:val="16"/>
                            <w:u w:val="dotted" w:color="6D6E71"/>
                          </w:rPr>
                          <w:t>de</w:t>
                        </w:r>
                        <w:r>
                          <w:rPr>
                            <w:spacing w:val="3"/>
                            <w:sz w:val="16"/>
                            <w:u w:val="dotted" w:color="6D6E71"/>
                          </w:rPr>
                          <w:t> </w:t>
                        </w:r>
                        <w:r>
                          <w:rPr>
                            <w:sz w:val="16"/>
                            <w:u w:val="dotted" w:color="6D6E71"/>
                          </w:rPr>
                          <w:t>Mérida.</w:t>
                          <w:tab/>
                        </w:r>
                        <w:r>
                          <w:rPr>
                            <w:sz w:val="16"/>
                          </w:rPr>
                          <w:t> Biodigestión</w:t>
                        </w:r>
                        <w:r>
                          <w:rPr>
                            <w:spacing w:val="16"/>
                            <w:sz w:val="16"/>
                          </w:rPr>
                          <w:t> </w:t>
                        </w:r>
                        <w:r>
                          <w:rPr>
                            <w:sz w:val="16"/>
                          </w:rPr>
                          <w:t>Anaerobia.</w:t>
                        </w:r>
                      </w:p>
                    </w:tc>
                    <w:tc>
                      <w:tcPr>
                        <w:tcW w:w="3053" w:type="dxa"/>
                        <w:tcBorders>
                          <w:right w:val="nil"/>
                        </w:tcBorders>
                      </w:tcPr>
                      <w:p>
                        <w:pPr>
                          <w:pStyle w:val="TableParagraph"/>
                          <w:ind w:left="108"/>
                          <w:rPr>
                            <w:sz w:val="16"/>
                          </w:rPr>
                        </w:pPr>
                        <w:r>
                          <w:rPr>
                            <w:sz w:val="16"/>
                          </w:rPr>
                          <w:t>Sostenibilidad</w:t>
                        </w:r>
                      </w:p>
                      <w:p>
                        <w:pPr>
                          <w:pStyle w:val="TableParagraph"/>
                          <w:tabs>
                            <w:tab w:pos="3027" w:val="left" w:leader="none"/>
                          </w:tabs>
                          <w:spacing w:before="56"/>
                          <w:ind w:left="24"/>
                          <w:rPr>
                            <w:sz w:val="16"/>
                          </w:rPr>
                        </w:pPr>
                        <w:r>
                          <w:rPr>
                            <w:w w:val="100"/>
                            <w:sz w:val="16"/>
                            <w:u w:val="dotted" w:color="6D6E71"/>
                          </w:rPr>
                          <w:t> </w:t>
                        </w:r>
                        <w:r>
                          <w:rPr>
                            <w:sz w:val="16"/>
                            <w:u w:val="dotted" w:color="6D6E71"/>
                          </w:rPr>
                          <w:tab/>
                        </w:r>
                      </w:p>
                      <w:p>
                        <w:pPr>
                          <w:pStyle w:val="TableParagraph"/>
                          <w:tabs>
                            <w:tab w:pos="3027" w:val="left" w:leader="none"/>
                          </w:tabs>
                          <w:spacing w:line="312" w:lineRule="auto" w:before="56"/>
                          <w:ind w:left="108" w:right="17" w:hanging="84"/>
                          <w:rPr>
                            <w:sz w:val="16"/>
                          </w:rPr>
                        </w:pPr>
                        <w:r>
                          <w:rPr>
                            <w:w w:val="100"/>
                            <w:sz w:val="16"/>
                            <w:u w:val="dotted" w:color="6D6E71"/>
                          </w:rPr>
                          <w:t> </w:t>
                        </w:r>
                        <w:r>
                          <w:rPr>
                            <w:spacing w:val="-6"/>
                            <w:sz w:val="16"/>
                            <w:u w:val="dotted" w:color="6D6E71"/>
                          </w:rPr>
                          <w:t> </w:t>
                        </w:r>
                        <w:r>
                          <w:rPr>
                            <w:sz w:val="16"/>
                            <w:u w:val="dotted" w:color="6D6E71"/>
                          </w:rPr>
                          <w:t>Movilidad</w:t>
                          <w:tab/>
                        </w:r>
                        <w:r>
                          <w:rPr>
                            <w:sz w:val="16"/>
                          </w:rPr>
                          <w:t> Sostenibilidad</w:t>
                        </w:r>
                      </w:p>
                    </w:tc>
                  </w:tr>
                  <w:tr>
                    <w:trPr>
                      <w:trHeight w:val="280" w:hRule="exact"/>
                    </w:trPr>
                    <w:tc>
                      <w:tcPr>
                        <w:tcW w:w="1249" w:type="dxa"/>
                        <w:tcBorders>
                          <w:left w:val="nil"/>
                        </w:tcBorders>
                      </w:tcPr>
                      <w:p>
                        <w:pPr>
                          <w:pStyle w:val="TableParagraph"/>
                          <w:ind w:left="113"/>
                          <w:rPr>
                            <w:sz w:val="16"/>
                          </w:rPr>
                        </w:pPr>
                        <w:r>
                          <w:rPr>
                            <w:sz w:val="16"/>
                          </w:rPr>
                          <w:t>Mérida</w:t>
                        </w:r>
                      </w:p>
                    </w:tc>
                    <w:tc>
                      <w:tcPr>
                        <w:tcW w:w="3389" w:type="dxa"/>
                      </w:tcPr>
                      <w:p>
                        <w:pPr>
                          <w:pStyle w:val="TableParagraph"/>
                          <w:ind w:left="108"/>
                          <w:rPr>
                            <w:sz w:val="16"/>
                          </w:rPr>
                        </w:pPr>
                        <w:r>
                          <w:rPr>
                            <w:sz w:val="16"/>
                          </w:rPr>
                          <w:t>Calidad Municipal.</w:t>
                        </w:r>
                      </w:p>
                    </w:tc>
                    <w:tc>
                      <w:tcPr>
                        <w:tcW w:w="3053" w:type="dxa"/>
                        <w:tcBorders>
                          <w:right w:val="nil"/>
                        </w:tcBorders>
                      </w:tcPr>
                      <w:p>
                        <w:pPr>
                          <w:pStyle w:val="TableParagraph"/>
                          <w:ind w:left="108"/>
                          <w:rPr>
                            <w:sz w:val="16"/>
                          </w:rPr>
                        </w:pPr>
                        <w:r>
                          <w:rPr>
                            <w:sz w:val="16"/>
                          </w:rPr>
                          <w:t>Gobernanza Transparencia Participac.</w:t>
                        </w:r>
                      </w:p>
                    </w:tc>
                  </w:tr>
                  <w:tr>
                    <w:trPr>
                      <w:trHeight w:val="1640" w:hRule="exact"/>
                    </w:trPr>
                    <w:tc>
                      <w:tcPr>
                        <w:tcW w:w="1249" w:type="dxa"/>
                        <w:tcBorders>
                          <w:left w:val="nil"/>
                        </w:tcBorders>
                      </w:tcPr>
                      <w:p>
                        <w:pPr>
                          <w:pStyle w:val="TableParagraph"/>
                          <w:spacing w:before="4"/>
                          <w:rPr>
                            <w:sz w:val="17"/>
                          </w:rPr>
                        </w:pPr>
                      </w:p>
                      <w:p>
                        <w:pPr>
                          <w:pStyle w:val="TableParagraph"/>
                          <w:spacing w:line="160" w:lineRule="exact"/>
                          <w:ind w:left="113"/>
                          <w:rPr>
                            <w:sz w:val="16"/>
                          </w:rPr>
                        </w:pPr>
                        <w:r>
                          <w:rPr>
                            <w:sz w:val="16"/>
                          </w:rPr>
                          <w:t>Mérida</w:t>
                        </w:r>
                      </w:p>
                      <w:p>
                        <w:pPr>
                          <w:pStyle w:val="TableParagraph"/>
                          <w:tabs>
                            <w:tab w:pos="1233" w:val="left" w:leader="none"/>
                          </w:tabs>
                          <w:spacing w:line="206" w:lineRule="exact"/>
                          <w:ind w:left="35"/>
                          <w:rPr>
                            <w:sz w:val="20"/>
                          </w:rPr>
                        </w:pPr>
                        <w:r>
                          <w:rPr>
                            <w:w w:val="100"/>
                            <w:sz w:val="20"/>
                            <w:u w:val="dotted" w:color="6D6E71"/>
                          </w:rPr>
                          <w:t> </w:t>
                        </w:r>
                        <w:r>
                          <w:rPr>
                            <w:sz w:val="20"/>
                            <w:u w:val="dotted" w:color="6D6E71"/>
                          </w:rPr>
                          <w:tab/>
                        </w:r>
                      </w:p>
                      <w:p>
                        <w:pPr>
                          <w:pStyle w:val="TableParagraph"/>
                          <w:spacing w:line="160" w:lineRule="exact" w:before="113"/>
                          <w:ind w:left="113"/>
                          <w:rPr>
                            <w:sz w:val="16"/>
                          </w:rPr>
                        </w:pPr>
                        <w:r>
                          <w:rPr>
                            <w:sz w:val="16"/>
                          </w:rPr>
                          <w:t>Mérida</w:t>
                        </w:r>
                      </w:p>
                      <w:p>
                        <w:pPr>
                          <w:pStyle w:val="TableParagraph"/>
                          <w:tabs>
                            <w:tab w:pos="1233" w:val="left" w:leader="none"/>
                          </w:tabs>
                          <w:spacing w:line="206" w:lineRule="exact"/>
                          <w:ind w:left="35"/>
                          <w:rPr>
                            <w:sz w:val="20"/>
                          </w:rPr>
                        </w:pPr>
                        <w:r>
                          <w:rPr>
                            <w:w w:val="100"/>
                            <w:sz w:val="20"/>
                            <w:u w:val="dotted" w:color="6D6E71"/>
                          </w:rPr>
                          <w:t> </w:t>
                        </w:r>
                        <w:r>
                          <w:rPr>
                            <w:sz w:val="20"/>
                            <w:u w:val="dotted" w:color="6D6E71"/>
                          </w:rPr>
                          <w:tab/>
                        </w:r>
                      </w:p>
                      <w:p>
                        <w:pPr>
                          <w:pStyle w:val="TableParagraph"/>
                          <w:tabs>
                            <w:tab w:pos="1233" w:val="left" w:leader="none"/>
                          </w:tabs>
                          <w:spacing w:line="312" w:lineRule="auto" w:before="113"/>
                          <w:ind w:left="113" w:right="8" w:hanging="79"/>
                          <w:rPr>
                            <w:sz w:val="16"/>
                          </w:rPr>
                        </w:pPr>
                        <w:r>
                          <w:rPr>
                            <w:w w:val="100"/>
                            <w:sz w:val="16"/>
                            <w:u w:val="dotted" w:color="6D6E71"/>
                          </w:rPr>
                          <w:t> </w:t>
                        </w:r>
                        <w:r>
                          <w:rPr>
                            <w:spacing w:val="-11"/>
                            <w:sz w:val="16"/>
                            <w:u w:val="dotted" w:color="6D6E71"/>
                          </w:rPr>
                          <w:t> </w:t>
                        </w:r>
                        <w:r>
                          <w:rPr>
                            <w:sz w:val="16"/>
                            <w:u w:val="dotted" w:color="6D6E71"/>
                          </w:rPr>
                          <w:t>Mérida</w:t>
                          <w:tab/>
                        </w:r>
                        <w:r>
                          <w:rPr>
                            <w:sz w:val="16"/>
                          </w:rPr>
                          <w:t> Mérida</w:t>
                        </w:r>
                      </w:p>
                    </w:tc>
                    <w:tc>
                      <w:tcPr>
                        <w:tcW w:w="3389" w:type="dxa"/>
                      </w:tcPr>
                      <w:p>
                        <w:pPr>
                          <w:pStyle w:val="TableParagraph"/>
                          <w:spacing w:before="4"/>
                          <w:rPr>
                            <w:sz w:val="17"/>
                          </w:rPr>
                        </w:pPr>
                      </w:p>
                      <w:p>
                        <w:pPr>
                          <w:pStyle w:val="TableParagraph"/>
                          <w:ind w:left="108"/>
                          <w:rPr>
                            <w:sz w:val="16"/>
                          </w:rPr>
                        </w:pPr>
                        <w:r>
                          <w:rPr>
                            <w:sz w:val="16"/>
                          </w:rPr>
                          <w:t>Formalización Comercio Ambulante Centro</w:t>
                        </w:r>
                      </w:p>
                      <w:p>
                        <w:pPr>
                          <w:pStyle w:val="TableParagraph"/>
                          <w:tabs>
                            <w:tab w:pos="3368" w:val="left" w:leader="none"/>
                          </w:tabs>
                          <w:spacing w:line="240" w:lineRule="atLeast"/>
                          <w:ind w:left="108" w:right="9" w:hanging="84"/>
                          <w:rPr>
                            <w:sz w:val="16"/>
                          </w:rPr>
                        </w:pPr>
                        <w:r>
                          <w:rPr>
                            <w:w w:val="100"/>
                            <w:sz w:val="16"/>
                            <w:u w:val="dotted" w:color="6D6E71"/>
                          </w:rPr>
                          <w:t> </w:t>
                        </w:r>
                        <w:r>
                          <w:rPr>
                            <w:spacing w:val="-6"/>
                            <w:sz w:val="16"/>
                            <w:u w:val="dotted" w:color="6D6E71"/>
                          </w:rPr>
                          <w:t> </w:t>
                        </w:r>
                        <w:r>
                          <w:rPr>
                            <w:sz w:val="16"/>
                            <w:u w:val="dotted" w:color="6D6E71"/>
                          </w:rPr>
                          <w:t>Histórico</w:t>
                        </w:r>
                        <w:r>
                          <w:rPr>
                            <w:spacing w:val="13"/>
                            <w:sz w:val="16"/>
                            <w:u w:val="dotted" w:color="6D6E71"/>
                          </w:rPr>
                          <w:t> </w:t>
                        </w:r>
                        <w:r>
                          <w:rPr>
                            <w:sz w:val="16"/>
                            <w:u w:val="dotted" w:color="6D6E71"/>
                          </w:rPr>
                          <w:t>de</w:t>
                        </w:r>
                        <w:r>
                          <w:rPr>
                            <w:spacing w:val="13"/>
                            <w:sz w:val="16"/>
                            <w:u w:val="dotted" w:color="6D6E71"/>
                          </w:rPr>
                          <w:t> </w:t>
                        </w:r>
                        <w:r>
                          <w:rPr>
                            <w:sz w:val="16"/>
                            <w:u w:val="dotted" w:color="6D6E71"/>
                          </w:rPr>
                          <w:t>Mérida.</w:t>
                          <w:tab/>
                        </w:r>
                        <w:r>
                          <w:rPr>
                            <w:sz w:val="16"/>
                          </w:rPr>
                          <w:t> Grupo de Impulsión del Sur -</w:t>
                        </w:r>
                        <w:r>
                          <w:rPr>
                            <w:spacing w:val="17"/>
                            <w:sz w:val="16"/>
                          </w:rPr>
                          <w:t> </w:t>
                        </w:r>
                        <w:r>
                          <w:rPr>
                            <w:sz w:val="16"/>
                          </w:rPr>
                          <w:t>GIS</w:t>
                        </w:r>
                      </w:p>
                      <w:p>
                        <w:pPr>
                          <w:pStyle w:val="TableParagraph"/>
                          <w:tabs>
                            <w:tab w:pos="3368" w:val="left" w:leader="none"/>
                          </w:tabs>
                          <w:spacing w:line="182" w:lineRule="exact"/>
                          <w:ind w:left="24"/>
                          <w:rPr>
                            <w:sz w:val="20"/>
                          </w:rPr>
                        </w:pPr>
                        <w:r>
                          <w:rPr>
                            <w:w w:val="100"/>
                            <w:sz w:val="20"/>
                            <w:u w:val="dotted" w:color="6D6E71"/>
                          </w:rPr>
                          <w:t> </w:t>
                        </w:r>
                        <w:r>
                          <w:rPr>
                            <w:sz w:val="20"/>
                            <w:u w:val="dotted" w:color="6D6E71"/>
                          </w:rPr>
                          <w:tab/>
                        </w:r>
                      </w:p>
                      <w:p>
                        <w:pPr>
                          <w:pStyle w:val="TableParagraph"/>
                          <w:tabs>
                            <w:tab w:pos="3368" w:val="left" w:leader="none"/>
                          </w:tabs>
                          <w:spacing w:line="312" w:lineRule="auto" w:before="113"/>
                          <w:ind w:left="108" w:right="9" w:hanging="84"/>
                          <w:rPr>
                            <w:sz w:val="16"/>
                          </w:rPr>
                        </w:pPr>
                        <w:r>
                          <w:rPr>
                            <w:w w:val="100"/>
                            <w:sz w:val="16"/>
                            <w:u w:val="dotted" w:color="6D6E71"/>
                          </w:rPr>
                          <w:t> </w:t>
                        </w:r>
                        <w:r>
                          <w:rPr>
                            <w:spacing w:val="-6"/>
                            <w:sz w:val="16"/>
                            <w:u w:val="dotted" w:color="6D6E71"/>
                          </w:rPr>
                          <w:t> </w:t>
                        </w:r>
                        <w:r>
                          <w:rPr>
                            <w:sz w:val="16"/>
                            <w:u w:val="dotted" w:color="6D6E71"/>
                          </w:rPr>
                          <w:t>Mejora Regulatoria</w:t>
                        </w:r>
                        <w:r>
                          <w:rPr>
                            <w:spacing w:val="19"/>
                            <w:sz w:val="16"/>
                            <w:u w:val="dotted" w:color="6D6E71"/>
                          </w:rPr>
                          <w:t> </w:t>
                        </w:r>
                        <w:r>
                          <w:rPr>
                            <w:sz w:val="16"/>
                            <w:u w:val="dotted" w:color="6D6E71"/>
                          </w:rPr>
                          <w:t>y</w:t>
                        </w:r>
                        <w:r>
                          <w:rPr>
                            <w:spacing w:val="9"/>
                            <w:sz w:val="16"/>
                            <w:u w:val="dotted" w:color="6D6E71"/>
                          </w:rPr>
                          <w:t> </w:t>
                        </w:r>
                        <w:r>
                          <w:rPr>
                            <w:sz w:val="16"/>
                            <w:u w:val="dotted" w:color="6D6E71"/>
                          </w:rPr>
                          <w:t>Competitividad.</w:t>
                          <w:tab/>
                        </w:r>
                        <w:r>
                          <w:rPr>
                            <w:sz w:val="16"/>
                          </w:rPr>
                          <w:t> Metrópolisur</w:t>
                        </w:r>
                        <w:r>
                          <w:rPr>
                            <w:spacing w:val="20"/>
                            <w:sz w:val="16"/>
                          </w:rPr>
                          <w:t> </w:t>
                        </w:r>
                        <w:r>
                          <w:rPr>
                            <w:sz w:val="16"/>
                          </w:rPr>
                          <w:t>.</w:t>
                        </w:r>
                      </w:p>
                    </w:tc>
                    <w:tc>
                      <w:tcPr>
                        <w:tcW w:w="3053" w:type="dxa"/>
                        <w:tcBorders>
                          <w:right w:val="nil"/>
                        </w:tcBorders>
                      </w:tcPr>
                      <w:p>
                        <w:pPr>
                          <w:pStyle w:val="TableParagraph"/>
                          <w:spacing w:before="4"/>
                          <w:rPr>
                            <w:sz w:val="17"/>
                          </w:rPr>
                        </w:pPr>
                      </w:p>
                      <w:p>
                        <w:pPr>
                          <w:pStyle w:val="TableParagraph"/>
                          <w:ind w:left="108"/>
                          <w:rPr>
                            <w:sz w:val="16"/>
                          </w:rPr>
                        </w:pPr>
                        <w:r>
                          <w:rPr>
                            <w:sz w:val="16"/>
                          </w:rPr>
                          <w:t>Espacio Público</w:t>
                        </w:r>
                      </w:p>
                      <w:p>
                        <w:pPr>
                          <w:pStyle w:val="TableParagraph"/>
                          <w:tabs>
                            <w:tab w:pos="3027" w:val="left" w:leader="none"/>
                          </w:tabs>
                          <w:spacing w:line="312" w:lineRule="auto" w:before="56"/>
                          <w:ind w:left="108" w:right="17" w:hanging="84"/>
                          <w:rPr>
                            <w:sz w:val="16"/>
                          </w:rPr>
                        </w:pPr>
                        <w:r>
                          <w:rPr>
                            <w:w w:val="100"/>
                            <w:sz w:val="16"/>
                            <w:u w:val="dotted" w:color="6D6E71"/>
                          </w:rPr>
                          <w:t> </w:t>
                        </w:r>
                        <w:r>
                          <w:rPr>
                            <w:sz w:val="16"/>
                            <w:u w:val="dotted" w:color="6D6E71"/>
                          </w:rPr>
                          <w:tab/>
                          <w:tab/>
                        </w:r>
                        <w:r>
                          <w:rPr>
                            <w:sz w:val="16"/>
                          </w:rPr>
                          <w:t> </w:t>
                        </w:r>
                        <w:r>
                          <w:rPr>
                            <w:w w:val="100"/>
                            <w:sz w:val="16"/>
                          </w:rPr>
                          <w:t>Cohesión</w:t>
                        </w:r>
                        <w:r>
                          <w:rPr>
                            <w:sz w:val="16"/>
                          </w:rPr>
                          <w:t> </w:t>
                        </w:r>
                        <w:r>
                          <w:rPr>
                            <w:w w:val="99"/>
                            <w:sz w:val="16"/>
                          </w:rPr>
                          <w:t>social,Gobernanza</w:t>
                        </w:r>
                      </w:p>
                      <w:p>
                        <w:pPr>
                          <w:pStyle w:val="TableParagraph"/>
                          <w:tabs>
                            <w:tab w:pos="3027" w:val="left" w:leader="none"/>
                          </w:tabs>
                          <w:spacing w:before="2"/>
                          <w:ind w:left="24"/>
                          <w:rPr>
                            <w:sz w:val="16"/>
                          </w:rPr>
                        </w:pPr>
                        <w:r>
                          <w:rPr>
                            <w:w w:val="100"/>
                            <w:sz w:val="16"/>
                            <w:u w:val="dotted" w:color="6D6E71"/>
                          </w:rPr>
                          <w:t> </w:t>
                        </w:r>
                        <w:r>
                          <w:rPr>
                            <w:spacing w:val="-6"/>
                            <w:sz w:val="16"/>
                            <w:u w:val="dotted" w:color="6D6E71"/>
                          </w:rPr>
                          <w:t> </w:t>
                        </w:r>
                        <w:r>
                          <w:rPr>
                            <w:sz w:val="16"/>
                            <w:u w:val="dotted" w:color="6D6E71"/>
                          </w:rPr>
                          <w:t>Transparencia</w:t>
                          <w:tab/>
                        </w:r>
                      </w:p>
                      <w:p>
                        <w:pPr>
                          <w:pStyle w:val="TableParagraph"/>
                          <w:tabs>
                            <w:tab w:pos="3027" w:val="left" w:leader="none"/>
                          </w:tabs>
                          <w:spacing w:line="312" w:lineRule="auto" w:before="56"/>
                          <w:ind w:left="108" w:right="17" w:hanging="84"/>
                          <w:rPr>
                            <w:sz w:val="16"/>
                          </w:rPr>
                        </w:pPr>
                        <w:r>
                          <w:rPr>
                            <w:w w:val="100"/>
                            <w:sz w:val="16"/>
                            <w:u w:val="dotted" w:color="6D6E71"/>
                          </w:rPr>
                          <w:t> </w:t>
                        </w:r>
                        <w:r>
                          <w:rPr>
                            <w:spacing w:val="-6"/>
                            <w:sz w:val="16"/>
                            <w:u w:val="dotted" w:color="6D6E71"/>
                          </w:rPr>
                          <w:t> </w:t>
                        </w:r>
                        <w:r>
                          <w:rPr>
                            <w:sz w:val="16"/>
                            <w:u w:val="dotted" w:color="6D6E71"/>
                          </w:rPr>
                          <w:t>Innovación</w:t>
                          <w:tab/>
                        </w:r>
                        <w:r>
                          <w:rPr>
                            <w:sz w:val="16"/>
                          </w:rPr>
                          <w:t> Cohesión social,Espacio</w:t>
                        </w:r>
                        <w:r>
                          <w:rPr>
                            <w:spacing w:val="22"/>
                            <w:sz w:val="16"/>
                          </w:rPr>
                          <w:t> </w:t>
                        </w:r>
                        <w:r>
                          <w:rPr>
                            <w:sz w:val="16"/>
                          </w:rPr>
                          <w:t>Público</w:t>
                        </w:r>
                      </w:p>
                    </w:tc>
                  </w:tr>
                  <w:tr>
                    <w:trPr>
                      <w:trHeight w:val="280" w:hRule="exact"/>
                    </w:trPr>
                    <w:tc>
                      <w:tcPr>
                        <w:tcW w:w="1249" w:type="dxa"/>
                        <w:tcBorders>
                          <w:left w:val="nil"/>
                        </w:tcBorders>
                      </w:tcPr>
                      <w:p>
                        <w:pPr>
                          <w:pStyle w:val="TableParagraph"/>
                          <w:ind w:left="113"/>
                          <w:rPr>
                            <w:sz w:val="16"/>
                          </w:rPr>
                        </w:pPr>
                        <w:r>
                          <w:rPr>
                            <w:sz w:val="16"/>
                          </w:rPr>
                          <w:t>Mérida</w:t>
                        </w:r>
                      </w:p>
                    </w:tc>
                    <w:tc>
                      <w:tcPr>
                        <w:tcW w:w="3389" w:type="dxa"/>
                      </w:tcPr>
                      <w:p>
                        <w:pPr>
                          <w:pStyle w:val="TableParagraph"/>
                          <w:ind w:left="108"/>
                          <w:rPr>
                            <w:sz w:val="16"/>
                          </w:rPr>
                        </w:pPr>
                        <w:r>
                          <w:rPr>
                            <w:sz w:val="16"/>
                          </w:rPr>
                          <w:t>Modernización del Sistema de Transporte.</w:t>
                        </w:r>
                      </w:p>
                    </w:tc>
                    <w:tc>
                      <w:tcPr>
                        <w:tcW w:w="3053" w:type="dxa"/>
                        <w:tcBorders>
                          <w:right w:val="nil"/>
                        </w:tcBorders>
                      </w:tcPr>
                      <w:p>
                        <w:pPr>
                          <w:pStyle w:val="TableParagraph"/>
                          <w:ind w:left="108"/>
                          <w:rPr>
                            <w:sz w:val="16"/>
                          </w:rPr>
                        </w:pPr>
                        <w:r>
                          <w:rPr>
                            <w:w w:val="105"/>
                            <w:sz w:val="16"/>
                          </w:rPr>
                          <w:t>Movilidad</w:t>
                        </w:r>
                      </w:p>
                    </w:tc>
                  </w:tr>
                  <w:tr>
                    <w:trPr>
                      <w:trHeight w:val="1084" w:hRule="exact"/>
                    </w:trPr>
                    <w:tc>
                      <w:tcPr>
                        <w:tcW w:w="1249" w:type="dxa"/>
                        <w:tcBorders>
                          <w:left w:val="nil"/>
                          <w:bottom w:val="nil"/>
                        </w:tcBorders>
                      </w:tcPr>
                      <w:p>
                        <w:pPr>
                          <w:pStyle w:val="TableParagraph"/>
                          <w:spacing w:before="4"/>
                          <w:rPr>
                            <w:sz w:val="17"/>
                          </w:rPr>
                        </w:pPr>
                      </w:p>
                      <w:p>
                        <w:pPr>
                          <w:pStyle w:val="TableParagraph"/>
                          <w:tabs>
                            <w:tab w:pos="1233" w:val="left" w:leader="none"/>
                          </w:tabs>
                          <w:spacing w:line="312" w:lineRule="auto"/>
                          <w:ind w:left="113" w:right="8" w:hanging="79"/>
                          <w:rPr>
                            <w:sz w:val="16"/>
                          </w:rPr>
                        </w:pPr>
                        <w:r>
                          <w:rPr>
                            <w:w w:val="100"/>
                            <w:sz w:val="16"/>
                            <w:u w:val="dotted" w:color="6D6E71"/>
                          </w:rPr>
                          <w:t> </w:t>
                        </w:r>
                        <w:r>
                          <w:rPr>
                            <w:spacing w:val="-11"/>
                            <w:sz w:val="16"/>
                            <w:u w:val="dotted" w:color="6D6E71"/>
                          </w:rPr>
                          <w:t> </w:t>
                        </w:r>
                        <w:r>
                          <w:rPr>
                            <w:sz w:val="16"/>
                            <w:u w:val="dotted" w:color="6D6E71"/>
                          </w:rPr>
                          <w:t>Mérida</w:t>
                          <w:tab/>
                        </w:r>
                        <w:r>
                          <w:rPr>
                            <w:sz w:val="16"/>
                          </w:rPr>
                          <w:t> Mérida</w:t>
                        </w:r>
                      </w:p>
                      <w:p>
                        <w:pPr>
                          <w:pStyle w:val="TableParagraph"/>
                          <w:rPr>
                            <w:sz w:val="21"/>
                          </w:rPr>
                        </w:pPr>
                      </w:p>
                      <w:p>
                        <w:pPr>
                          <w:pStyle w:val="TableParagraph"/>
                          <w:tabs>
                            <w:tab w:pos="1233" w:val="left" w:leader="none"/>
                          </w:tabs>
                          <w:spacing w:before="1"/>
                          <w:ind w:left="35"/>
                          <w:rPr>
                            <w:sz w:val="16"/>
                          </w:rPr>
                        </w:pPr>
                        <w:r>
                          <w:rPr>
                            <w:w w:val="100"/>
                            <w:sz w:val="16"/>
                            <w:u w:val="dotted" w:color="6D6E71"/>
                          </w:rPr>
                          <w:t> </w:t>
                        </w:r>
                        <w:r>
                          <w:rPr>
                            <w:spacing w:val="-11"/>
                            <w:sz w:val="16"/>
                            <w:u w:val="dotted" w:color="6D6E71"/>
                          </w:rPr>
                          <w:t> </w:t>
                        </w:r>
                        <w:r>
                          <w:rPr>
                            <w:sz w:val="16"/>
                            <w:u w:val="dotted" w:color="6D6E71"/>
                          </w:rPr>
                          <w:t>Mérida</w:t>
                          <w:tab/>
                        </w:r>
                      </w:p>
                    </w:tc>
                    <w:tc>
                      <w:tcPr>
                        <w:tcW w:w="3389" w:type="dxa"/>
                        <w:tcBorders>
                          <w:bottom w:val="nil"/>
                        </w:tcBorders>
                      </w:tcPr>
                      <w:p>
                        <w:pPr>
                          <w:pStyle w:val="TableParagraph"/>
                          <w:spacing w:before="4"/>
                          <w:rPr>
                            <w:sz w:val="17"/>
                          </w:rPr>
                        </w:pPr>
                      </w:p>
                      <w:p>
                        <w:pPr>
                          <w:pStyle w:val="TableParagraph"/>
                          <w:tabs>
                            <w:tab w:pos="3368" w:val="left" w:leader="none"/>
                          </w:tabs>
                          <w:spacing w:line="312" w:lineRule="auto"/>
                          <w:ind w:left="108" w:right="9" w:hanging="84"/>
                          <w:rPr>
                            <w:sz w:val="16"/>
                          </w:rPr>
                        </w:pPr>
                        <w:r>
                          <w:rPr>
                            <w:w w:val="100"/>
                            <w:sz w:val="16"/>
                            <w:u w:val="dotted" w:color="6D6E71"/>
                          </w:rPr>
                          <w:t> </w:t>
                        </w:r>
                        <w:r>
                          <w:rPr>
                            <w:spacing w:val="-6"/>
                            <w:sz w:val="16"/>
                            <w:u w:val="dotted" w:color="6D6E71"/>
                          </w:rPr>
                          <w:t> </w:t>
                        </w:r>
                        <w:r>
                          <w:rPr>
                            <w:sz w:val="16"/>
                            <w:u w:val="dotted" w:color="6D6E71"/>
                          </w:rPr>
                          <w:t>Noche</w:t>
                        </w:r>
                        <w:r>
                          <w:rPr>
                            <w:spacing w:val="7"/>
                            <w:sz w:val="16"/>
                            <w:u w:val="dotted" w:color="6D6E71"/>
                          </w:rPr>
                          <w:t> </w:t>
                        </w:r>
                        <w:r>
                          <w:rPr>
                            <w:sz w:val="16"/>
                            <w:u w:val="dotted" w:color="6D6E71"/>
                          </w:rPr>
                          <w:t>Blanca,</w:t>
                        </w:r>
                        <w:r>
                          <w:rPr>
                            <w:spacing w:val="7"/>
                            <w:sz w:val="16"/>
                            <w:u w:val="dotted" w:color="6D6E71"/>
                          </w:rPr>
                          <w:t> </w:t>
                        </w:r>
                        <w:r>
                          <w:rPr>
                            <w:sz w:val="16"/>
                            <w:u w:val="dotted" w:color="6D6E71"/>
                          </w:rPr>
                          <w:t>Mérida.</w:t>
                          <w:tab/>
                        </w:r>
                        <w:r>
                          <w:rPr>
                            <w:sz w:val="16"/>
                          </w:rPr>
                          <w:t> Plan Estratégico - Mérida,</w:t>
                        </w:r>
                        <w:r>
                          <w:rPr>
                            <w:spacing w:val="22"/>
                            <w:sz w:val="16"/>
                          </w:rPr>
                          <w:t> </w:t>
                        </w:r>
                        <w:r>
                          <w:rPr>
                            <w:sz w:val="16"/>
                          </w:rPr>
                          <w:t>Ciudad</w:t>
                        </w:r>
                        <w:r>
                          <w:rPr>
                            <w:spacing w:val="5"/>
                            <w:sz w:val="16"/>
                          </w:rPr>
                          <w:t> </w:t>
                        </w:r>
                        <w:r>
                          <w:rPr>
                            <w:sz w:val="16"/>
                          </w:rPr>
                          <w:t>del</w:t>
                        </w:r>
                        <w:r>
                          <w:rPr>
                            <w:w w:val="101"/>
                            <w:sz w:val="16"/>
                          </w:rPr>
                          <w:t> </w:t>
                        </w:r>
                        <w:r>
                          <w:rPr>
                            <w:sz w:val="16"/>
                          </w:rPr>
                          <w:t>Conocimiento.</w:t>
                        </w:r>
                      </w:p>
                      <w:p>
                        <w:pPr>
                          <w:pStyle w:val="TableParagraph"/>
                          <w:tabs>
                            <w:tab w:pos="3368" w:val="left" w:leader="none"/>
                          </w:tabs>
                          <w:spacing w:before="2"/>
                          <w:ind w:left="24"/>
                          <w:rPr>
                            <w:sz w:val="16"/>
                          </w:rPr>
                        </w:pPr>
                        <w:r>
                          <w:rPr>
                            <w:w w:val="100"/>
                            <w:sz w:val="16"/>
                            <w:u w:val="dotted" w:color="6D6E71"/>
                          </w:rPr>
                          <w:t> </w:t>
                        </w:r>
                        <w:r>
                          <w:rPr>
                            <w:spacing w:val="-6"/>
                            <w:sz w:val="16"/>
                            <w:u w:val="dotted" w:color="6D6E71"/>
                          </w:rPr>
                          <w:t> </w:t>
                        </w:r>
                        <w:r>
                          <w:rPr>
                            <w:sz w:val="16"/>
                            <w:u w:val="dotted" w:color="6D6E71"/>
                          </w:rPr>
                          <w:t>Plan Estratégico de</w:t>
                        </w:r>
                        <w:r>
                          <w:rPr>
                            <w:spacing w:val="10"/>
                            <w:sz w:val="16"/>
                            <w:u w:val="dotted" w:color="6D6E71"/>
                          </w:rPr>
                          <w:t> </w:t>
                        </w:r>
                        <w:r>
                          <w:rPr>
                            <w:sz w:val="16"/>
                            <w:u w:val="dotted" w:color="6D6E71"/>
                          </w:rPr>
                          <w:t>Mérida.</w:t>
                          <w:tab/>
                        </w:r>
                      </w:p>
                    </w:tc>
                    <w:tc>
                      <w:tcPr>
                        <w:tcW w:w="3053" w:type="dxa"/>
                        <w:tcBorders>
                          <w:bottom w:val="nil"/>
                          <w:right w:val="nil"/>
                        </w:tcBorders>
                      </w:tcPr>
                      <w:p>
                        <w:pPr>
                          <w:pStyle w:val="TableParagraph"/>
                          <w:spacing w:before="4"/>
                          <w:rPr>
                            <w:sz w:val="17"/>
                          </w:rPr>
                        </w:pPr>
                      </w:p>
                      <w:p>
                        <w:pPr>
                          <w:pStyle w:val="TableParagraph"/>
                          <w:tabs>
                            <w:tab w:pos="3027" w:val="left" w:leader="none"/>
                          </w:tabs>
                          <w:spacing w:line="312" w:lineRule="auto"/>
                          <w:ind w:left="108" w:right="17" w:hanging="84"/>
                          <w:rPr>
                            <w:sz w:val="16"/>
                          </w:rPr>
                        </w:pPr>
                        <w:r>
                          <w:rPr>
                            <w:w w:val="100"/>
                            <w:sz w:val="16"/>
                            <w:u w:val="dotted" w:color="6D6E71"/>
                          </w:rPr>
                          <w:t> </w:t>
                        </w:r>
                        <w:r>
                          <w:rPr>
                            <w:spacing w:val="-6"/>
                            <w:sz w:val="16"/>
                            <w:u w:val="dotted" w:color="6D6E71"/>
                          </w:rPr>
                          <w:t> </w:t>
                        </w:r>
                        <w:r>
                          <w:rPr>
                            <w:sz w:val="16"/>
                            <w:u w:val="dotted" w:color="6D6E71"/>
                          </w:rPr>
                          <w:t>Espacio</w:t>
                        </w:r>
                        <w:r>
                          <w:rPr>
                            <w:spacing w:val="14"/>
                            <w:sz w:val="16"/>
                            <w:u w:val="dotted" w:color="6D6E71"/>
                          </w:rPr>
                          <w:t> </w:t>
                        </w:r>
                        <w:r>
                          <w:rPr>
                            <w:sz w:val="16"/>
                            <w:u w:val="dotted" w:color="6D6E71"/>
                          </w:rPr>
                          <w:t>Público</w:t>
                          <w:tab/>
                        </w:r>
                        <w:r>
                          <w:rPr>
                            <w:sz w:val="16"/>
                          </w:rPr>
                          <w:t> Educación Cultura</w:t>
                        </w:r>
                        <w:r>
                          <w:rPr>
                            <w:spacing w:val="19"/>
                            <w:sz w:val="16"/>
                          </w:rPr>
                          <w:t> </w:t>
                        </w:r>
                        <w:r>
                          <w:rPr>
                            <w:sz w:val="16"/>
                          </w:rPr>
                          <w:t>Cambio</w:t>
                        </w:r>
                        <w:r>
                          <w:rPr>
                            <w:spacing w:val="9"/>
                            <w:sz w:val="16"/>
                          </w:rPr>
                          <w:t> </w:t>
                        </w:r>
                        <w:r>
                          <w:rPr>
                            <w:sz w:val="16"/>
                          </w:rPr>
                          <w:t>cultural,</w:t>
                        </w:r>
                        <w:r>
                          <w:rPr>
                            <w:w w:val="101"/>
                            <w:sz w:val="16"/>
                          </w:rPr>
                          <w:t> </w:t>
                        </w:r>
                        <w:r>
                          <w:rPr>
                            <w:sz w:val="16"/>
                          </w:rPr>
                          <w:t>Pensamiento</w:t>
                        </w:r>
                        <w:r>
                          <w:rPr>
                            <w:spacing w:val="14"/>
                            <w:sz w:val="16"/>
                          </w:rPr>
                          <w:t> </w:t>
                        </w:r>
                        <w:r>
                          <w:rPr>
                            <w:sz w:val="16"/>
                          </w:rPr>
                          <w:t>estratégico</w:t>
                        </w:r>
                      </w:p>
                      <w:p>
                        <w:pPr>
                          <w:pStyle w:val="TableParagraph"/>
                          <w:tabs>
                            <w:tab w:pos="3027" w:val="left" w:leader="none"/>
                          </w:tabs>
                          <w:spacing w:before="2"/>
                          <w:ind w:left="24"/>
                          <w:rPr>
                            <w:sz w:val="16"/>
                          </w:rPr>
                        </w:pPr>
                        <w:r>
                          <w:rPr>
                            <w:w w:val="100"/>
                            <w:sz w:val="16"/>
                            <w:u w:val="dotted" w:color="6D6E71"/>
                          </w:rPr>
                          <w:t> </w:t>
                        </w:r>
                        <w:r>
                          <w:rPr>
                            <w:spacing w:val="-6"/>
                            <w:sz w:val="16"/>
                            <w:u w:val="dotted" w:color="6D6E71"/>
                          </w:rPr>
                          <w:t> </w:t>
                        </w:r>
                        <w:r>
                          <w:rPr>
                            <w:sz w:val="16"/>
                            <w:u w:val="dotted" w:color="6D6E71"/>
                          </w:rPr>
                          <w:t>Pensamiento</w:t>
                        </w:r>
                        <w:r>
                          <w:rPr>
                            <w:spacing w:val="14"/>
                            <w:sz w:val="16"/>
                            <w:u w:val="dotted" w:color="6D6E71"/>
                          </w:rPr>
                          <w:t> </w:t>
                        </w:r>
                        <w:r>
                          <w:rPr>
                            <w:sz w:val="16"/>
                            <w:u w:val="dotted" w:color="6D6E71"/>
                          </w:rPr>
                          <w:t>estratégico</w:t>
                          <w:tab/>
                        </w:r>
                      </w:p>
                    </w:tc>
                  </w:tr>
                </w:tbl>
                <w:p>
                  <w:pPr>
                    <w:pStyle w:val="BodyText"/>
                  </w:pPr>
                </w:p>
              </w:txbxContent>
            </v:textbox>
            <w10:wrap type="none"/>
          </v:shape>
        </w:pict>
      </w:r>
      <w:r>
        <w:rPr>
          <w:color w:val="6D6E71"/>
          <w:sz w:val="16"/>
        </w:rPr>
        <w:t>Figura 5. Número de planes estratégicos ciudades Red México</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23"/>
        </w:rPr>
      </w:pPr>
    </w:p>
    <w:p>
      <w:pPr>
        <w:spacing w:before="1"/>
        <w:ind w:left="961" w:right="842" w:firstLine="0"/>
        <w:jc w:val="center"/>
        <w:rPr>
          <w:sz w:val="16"/>
        </w:rPr>
      </w:pPr>
      <w:r>
        <w:rPr>
          <w:color w:val="6D6E71"/>
          <w:sz w:val="16"/>
        </w:rPr>
        <w:t>Fuente: Elaboración propia con datos de CIDEU,2015</w:t>
      </w:r>
    </w:p>
    <w:p>
      <w:pPr>
        <w:pStyle w:val="BodyText"/>
        <w:spacing w:before="5"/>
        <w:rPr>
          <w:sz w:val="22"/>
        </w:rPr>
      </w:pPr>
    </w:p>
    <w:p>
      <w:pPr>
        <w:pStyle w:val="BodyText"/>
        <w:spacing w:line="249" w:lineRule="auto"/>
        <w:ind w:left="130" w:right="8" w:firstLine="170"/>
        <w:jc w:val="both"/>
      </w:pPr>
      <w:r>
        <w:rPr/>
        <w:pict>
          <v:line style="position:absolute;mso-position-horizontal-relative:page;mso-position-vertical-relative:paragraph;z-index:2200" from="513.820923pt,.936969pt" to="513.820923pt,.936969pt" stroked="true" strokeweight=".5pt" strokecolor="#6d6e71">
            <w10:wrap type="none"/>
          </v:line>
        </w:pict>
      </w:r>
      <w:r>
        <w:rPr/>
        <w:pict>
          <v:line style="position:absolute;mso-position-horizontal-relative:page;mso-position-vertical-relative:paragraph;z-index:2248" from="513.820923pt,14.93697pt" to="513.820923pt,14.93697pt" stroked="true" strokeweight=".5pt" strokecolor="#6d6e71">
            <w10:wrap type="none"/>
          </v:line>
        </w:pict>
      </w:r>
      <w:r>
        <w:rPr/>
        <w:pict>
          <v:line style="position:absolute;mso-position-horizontal-relative:page;mso-position-vertical-relative:paragraph;z-index:2296" from="513.820923pt,48.93697pt" to="513.820923pt,48.93697pt" stroked="true" strokeweight=".5pt" strokecolor="#6d6e71">
            <w10:wrap type="none"/>
          </v:line>
        </w:pict>
      </w:r>
      <w:r>
        <w:rPr/>
        <w:pict>
          <v:line style="position:absolute;mso-position-horizontal-relative:page;mso-position-vertical-relative:paragraph;z-index:2344" from="513.820923pt,62.93697pt" to="513.820923pt,62.93697pt" stroked="true" strokeweight=".5pt" strokecolor="#6d6e71">
            <w10:wrap type="none"/>
          </v:line>
        </w:pict>
      </w:r>
      <w:r>
        <w:rPr/>
        <w:t>De acuerdo a los datos obtenidos (CIDEU,2015) , hay ciudades como Mérida, Zapopan Durango, Guadalajara, Culiacán, San Luis Potosí y Aguascalientes, que han desarrollado</w:t>
      </w:r>
      <w:r>
        <w:rPr>
          <w:spacing w:val="-8"/>
        </w:rPr>
        <w:t> </w:t>
      </w:r>
      <w:r>
        <w:rPr/>
        <w:t>planes</w:t>
      </w:r>
      <w:r>
        <w:rPr>
          <w:spacing w:val="-8"/>
        </w:rPr>
        <w:t> </w:t>
      </w:r>
      <w:r>
        <w:rPr/>
        <w:t>estratégicos</w:t>
      </w:r>
      <w:r>
        <w:rPr>
          <w:spacing w:val="-8"/>
        </w:rPr>
        <w:t> </w:t>
      </w:r>
      <w:r>
        <w:rPr/>
        <w:t>en</w:t>
      </w:r>
      <w:r>
        <w:rPr>
          <w:spacing w:val="-8"/>
        </w:rPr>
        <w:t> </w:t>
      </w:r>
      <w:r>
        <w:rPr/>
        <w:t>busca</w:t>
      </w:r>
      <w:r>
        <w:rPr>
          <w:spacing w:val="-8"/>
        </w:rPr>
        <w:t> </w:t>
      </w:r>
      <w:r>
        <w:rPr/>
        <w:t>de</w:t>
      </w:r>
      <w:r>
        <w:rPr>
          <w:spacing w:val="-8"/>
        </w:rPr>
        <w:t> </w:t>
      </w:r>
      <w:r>
        <w:rPr/>
        <w:t>progreso,</w:t>
      </w:r>
      <w:r>
        <w:rPr>
          <w:spacing w:val="-8"/>
        </w:rPr>
        <w:t> </w:t>
      </w:r>
      <w:r>
        <w:rPr/>
        <w:t>bajo</w:t>
      </w:r>
      <w:r>
        <w:rPr>
          <w:spacing w:val="-8"/>
        </w:rPr>
        <w:t> </w:t>
      </w:r>
      <w:r>
        <w:rPr/>
        <w:t>un</w:t>
      </w:r>
      <w:r>
        <w:rPr>
          <w:spacing w:val="-8"/>
        </w:rPr>
        <w:t> </w:t>
      </w:r>
      <w:r>
        <w:rPr/>
        <w:t>eje</w:t>
      </w:r>
      <w:r>
        <w:rPr>
          <w:spacing w:val="-8"/>
        </w:rPr>
        <w:t> </w:t>
      </w:r>
      <w:r>
        <w:rPr/>
        <w:t>conductor</w:t>
      </w:r>
      <w:r>
        <w:rPr>
          <w:spacing w:val="-8"/>
        </w:rPr>
        <w:t> </w:t>
      </w:r>
      <w:r>
        <w:rPr/>
        <w:t>visionario a largo plazo que permita mantener dirección y ruta en las acciones a desarrollar. Es importante señalar la voluntad y coordinación de las autoridades con la ciudadanía a  la que gobiernan bajo un esquema de trabajo que se podría llamar de “colaboración    y cooperación”, así mismo de todos los actores involucrados en un ordenamiento territorial y</w:t>
      </w:r>
      <w:r>
        <w:rPr>
          <w:spacing w:val="17"/>
        </w:rPr>
        <w:t> </w:t>
      </w:r>
      <w:r>
        <w:rPr/>
        <w:t>ambiental.</w:t>
      </w:r>
    </w:p>
    <w:p>
      <w:pPr>
        <w:pStyle w:val="BodyText"/>
        <w:spacing w:before="11"/>
      </w:pPr>
    </w:p>
    <w:p>
      <w:pPr>
        <w:pStyle w:val="BodyText"/>
        <w:spacing w:line="249" w:lineRule="auto"/>
        <w:ind w:left="130" w:right="7" w:firstLine="170"/>
        <w:jc w:val="both"/>
      </w:pPr>
      <w:r>
        <w:rPr/>
        <w:pict>
          <v:line style="position:absolute;mso-position-horizontal-relative:page;mso-position-vertical-relative:paragraph;z-index:2392" from="513.820923pt,12.936985pt" to="513.820923pt,12.936985pt" stroked="true" strokeweight=".5pt" strokecolor="#6d6e71">
            <w10:wrap type="none"/>
          </v:line>
        </w:pict>
      </w:r>
      <w:r>
        <w:rPr/>
        <w:pict>
          <v:line style="position:absolute;mso-position-horizontal-relative:page;mso-position-vertical-relative:paragraph;z-index:2440" from="513.820923pt,36.936985pt" to="513.820923pt,36.936985pt" stroked="true" strokeweight=".5pt" strokecolor="#6d6e71">
            <w10:wrap type="none"/>
          </v:line>
        </w:pict>
      </w:r>
      <w:r>
        <w:rPr/>
        <w:t>Los ámbitos de acción de las ciudades marcan la intención y naturaleza del plan estratégico de las ciudades, como: la sostenibilidad o la gobernanza, transparencia y participación que vincula el tema en estudio, así como algunos otros que promueven</w:t>
      </w:r>
      <w:r>
        <w:rPr>
          <w:spacing w:val="-14"/>
        </w:rPr>
        <w:t> </w:t>
      </w:r>
      <w:r>
        <w:rPr/>
        <w:t>la visión de futuro de estas ciudades como lo es el pensamiento estratégico, o aquellos planes</w:t>
      </w:r>
      <w:r>
        <w:rPr>
          <w:spacing w:val="-12"/>
        </w:rPr>
        <w:t> </w:t>
      </w:r>
      <w:r>
        <w:rPr/>
        <w:t>enfocados</w:t>
      </w:r>
      <w:r>
        <w:rPr>
          <w:spacing w:val="-12"/>
        </w:rPr>
        <w:t> </w:t>
      </w:r>
      <w:r>
        <w:rPr/>
        <w:t>a</w:t>
      </w:r>
      <w:r>
        <w:rPr>
          <w:spacing w:val="-12"/>
        </w:rPr>
        <w:t> </w:t>
      </w:r>
      <w:r>
        <w:rPr/>
        <w:t>estudios</w:t>
      </w:r>
      <w:r>
        <w:rPr>
          <w:spacing w:val="-12"/>
        </w:rPr>
        <w:t> </w:t>
      </w:r>
      <w:r>
        <w:rPr/>
        <w:t>territoriales</w:t>
      </w:r>
      <w:r>
        <w:rPr>
          <w:spacing w:val="-12"/>
        </w:rPr>
        <w:t> </w:t>
      </w:r>
      <w:r>
        <w:rPr/>
        <w:t>como:</w:t>
      </w:r>
      <w:r>
        <w:rPr>
          <w:spacing w:val="-12"/>
        </w:rPr>
        <w:t> </w:t>
      </w:r>
      <w:r>
        <w:rPr/>
        <w:t>el</w:t>
      </w:r>
      <w:r>
        <w:rPr>
          <w:spacing w:val="-12"/>
        </w:rPr>
        <w:t> </w:t>
      </w:r>
      <w:r>
        <w:rPr/>
        <w:t>espacio</w:t>
      </w:r>
      <w:r>
        <w:rPr>
          <w:spacing w:val="-12"/>
        </w:rPr>
        <w:t> </w:t>
      </w:r>
      <w:r>
        <w:rPr/>
        <w:t>público,</w:t>
      </w:r>
      <w:r>
        <w:rPr>
          <w:spacing w:val="-12"/>
        </w:rPr>
        <w:t> </w:t>
      </w:r>
      <w:r>
        <w:rPr/>
        <w:t>identidad</w:t>
      </w:r>
      <w:r>
        <w:rPr>
          <w:spacing w:val="-12"/>
        </w:rPr>
        <w:t> </w:t>
      </w:r>
      <w:r>
        <w:rPr/>
        <w:t>de</w:t>
      </w:r>
      <w:r>
        <w:rPr>
          <w:spacing w:val="-12"/>
        </w:rPr>
        <w:t> </w:t>
      </w:r>
      <w:r>
        <w:rPr/>
        <w:t>la</w:t>
      </w:r>
      <w:r>
        <w:rPr>
          <w:spacing w:val="-12"/>
        </w:rPr>
        <w:t> </w:t>
      </w:r>
      <w:r>
        <w:rPr/>
        <w:t>marca urbana, movilidad; el enfoque social con la cohesión social no pasa desapercibido como es el caso de Culiacán, Sinaloa que desarrolla un plan estratégico denominado “Programa</w:t>
      </w:r>
      <w:r>
        <w:rPr>
          <w:spacing w:val="18"/>
        </w:rPr>
        <w:t> </w:t>
      </w:r>
      <w:r>
        <w:rPr/>
        <w:t>de</w:t>
      </w:r>
      <w:r>
        <w:rPr>
          <w:spacing w:val="18"/>
        </w:rPr>
        <w:t> </w:t>
      </w:r>
      <w:r>
        <w:rPr/>
        <w:t>valores</w:t>
      </w:r>
      <w:r>
        <w:rPr>
          <w:spacing w:val="18"/>
        </w:rPr>
        <w:t> </w:t>
      </w:r>
      <w:r>
        <w:rPr/>
        <w:t>éticos”</w:t>
      </w:r>
      <w:r>
        <w:rPr>
          <w:spacing w:val="18"/>
        </w:rPr>
        <w:t> </w:t>
      </w:r>
      <w:r>
        <w:rPr/>
        <w:t>que</w:t>
      </w:r>
      <w:r>
        <w:rPr>
          <w:spacing w:val="18"/>
        </w:rPr>
        <w:t> </w:t>
      </w:r>
      <w:r>
        <w:rPr/>
        <w:t>viene</w:t>
      </w:r>
      <w:r>
        <w:rPr>
          <w:spacing w:val="18"/>
        </w:rPr>
        <w:t> </w:t>
      </w:r>
      <w:r>
        <w:rPr/>
        <w:t>de</w:t>
      </w:r>
      <w:r>
        <w:rPr>
          <w:spacing w:val="18"/>
        </w:rPr>
        <w:t> </w:t>
      </w:r>
      <w:r>
        <w:rPr/>
        <w:t>la</w:t>
      </w:r>
      <w:r>
        <w:rPr>
          <w:spacing w:val="18"/>
        </w:rPr>
        <w:t> </w:t>
      </w:r>
      <w:r>
        <w:rPr/>
        <w:t>mano</w:t>
      </w:r>
      <w:r>
        <w:rPr>
          <w:spacing w:val="18"/>
        </w:rPr>
        <w:t> </w:t>
      </w:r>
      <w:r>
        <w:rPr/>
        <w:t>del</w:t>
      </w:r>
      <w:r>
        <w:rPr>
          <w:spacing w:val="18"/>
        </w:rPr>
        <w:t> </w:t>
      </w:r>
      <w:r>
        <w:rPr/>
        <w:t>ámbito</w:t>
      </w:r>
      <w:r>
        <w:rPr>
          <w:spacing w:val="18"/>
        </w:rPr>
        <w:t> </w:t>
      </w:r>
      <w:r>
        <w:rPr/>
        <w:t>de</w:t>
      </w:r>
      <w:r>
        <w:rPr>
          <w:spacing w:val="18"/>
        </w:rPr>
        <w:t> </w:t>
      </w:r>
      <w:r>
        <w:rPr/>
        <w:t>educación,</w:t>
      </w:r>
      <w:r>
        <w:rPr>
          <w:spacing w:val="18"/>
        </w:rPr>
        <w:t> </w:t>
      </w:r>
      <w:r>
        <w:rPr/>
        <w:t>cultura</w:t>
      </w:r>
    </w:p>
    <w:p>
      <w:pPr>
        <w:pStyle w:val="BodyText"/>
        <w:spacing w:line="249" w:lineRule="auto" w:before="1"/>
        <w:ind w:left="130" w:right="8"/>
        <w:jc w:val="both"/>
      </w:pPr>
      <w:r>
        <w:rPr/>
        <w:pict>
          <v:line style="position:absolute;mso-position-horizontal-relative:page;mso-position-vertical-relative:paragraph;z-index:2488" from="513.820923pt,.986985pt" to="513.820923pt,.986985pt" stroked="true" strokeweight=".5pt" strokecolor="#6d6e71">
            <w10:wrap type="none"/>
          </v:line>
        </w:pict>
      </w:r>
      <w:r>
        <w:rPr/>
        <w:t>,cambio cultural; la innovación es un espacio temático impórtate hoy en día proyectos como “ Consulta ciudadana Digital. Glocalidad” manifiesta el interés de innovar, el desarrollo y la búsqueda de nuevos conocimientos , que permita ir a la vanguardia tecnológica para el servicio de la sociedad.</w:t>
      </w:r>
    </w:p>
    <w:p>
      <w:pPr>
        <w:spacing w:before="80"/>
        <w:ind w:left="130" w:right="0" w:firstLine="0"/>
        <w:jc w:val="left"/>
        <w:rPr>
          <w:sz w:val="16"/>
        </w:rPr>
      </w:pPr>
      <w:r>
        <w:rPr/>
        <w:br w:type="column"/>
      </w:r>
      <w:r>
        <w:rPr>
          <w:color w:val="6D6E71"/>
          <w:sz w:val="16"/>
        </w:rPr>
        <w:t>Cuadro 2. Planes Estratégicos y ámbitos de acción en las ciudades de la RED México</w:t>
      </w:r>
    </w:p>
    <w:p>
      <w:pPr>
        <w:spacing w:after="0"/>
        <w:jc w:val="left"/>
        <w:rPr>
          <w:sz w:val="16"/>
        </w:rPr>
        <w:sectPr>
          <w:type w:val="continuous"/>
          <w:pgSz w:w="18830" w:h="12760" w:orient="landscape"/>
          <w:pgMar w:top="1420" w:bottom="280" w:left="720" w:right="720"/>
          <w:cols w:num="2" w:equalWidth="0">
            <w:col w:w="7852" w:space="2345"/>
            <w:col w:w="7193"/>
          </w:cols>
        </w:sectPr>
      </w:pPr>
    </w:p>
    <w:p>
      <w:pPr>
        <w:pStyle w:val="BodyText"/>
        <w:spacing w:before="6"/>
        <w:rPr>
          <w:sz w:val="23"/>
        </w:rPr>
      </w:pPr>
    </w:p>
    <w:p>
      <w:pPr>
        <w:spacing w:after="0"/>
        <w:rPr>
          <w:sz w:val="23"/>
        </w:rPr>
        <w:sectPr>
          <w:footerReference w:type="default" r:id="rId66"/>
          <w:pgSz w:w="18830" w:h="12760" w:orient="landscape"/>
          <w:pgMar w:footer="1965" w:header="522" w:top="820" w:bottom="2160" w:left="720" w:right="720"/>
          <w:pgNumType w:start="7"/>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pPr>
    </w:p>
    <w:p>
      <w:pPr>
        <w:spacing w:before="1"/>
        <w:ind w:left="1395" w:right="-16" w:firstLine="0"/>
        <w:jc w:val="left"/>
        <w:rPr>
          <w:sz w:val="16"/>
        </w:rPr>
      </w:pPr>
      <w:r>
        <w:rPr/>
        <w:pict>
          <v:group style="position:absolute;margin-left:43.019699pt;margin-top:-423.872192pt;width:384.55pt;height:412.2pt;mso-position-horizontal-relative:page;mso-position-vertical-relative:paragraph;z-index:2728" coordorigin="860,-8477" coordsize="7691,8244">
            <v:line style="position:absolute" from="896,-8472" to="2094,-8472" stroked="true" strokeweight=".5pt" strokecolor="#6d6e71">
              <v:stroke dashstyle="dash"/>
            </v:line>
            <v:shape style="position:absolute;left:0;top:3133;width:1244;height:2" coordorigin="0,3133" coordsize="1244,0" path="m865,-8472l865,-8472m2109,-8472l2109,-8472e" filled="false" stroked="true" strokeweight=".5pt" strokecolor="#6d6e71">
              <v:path arrowok="t"/>
            </v:shape>
            <v:line style="position:absolute" from="2139,-8472" to="5483,-8472" stroked="true" strokeweight=".5pt" strokecolor="#6d6e71">
              <v:stroke dashstyle="dash"/>
            </v:line>
            <v:shape style="position:absolute;left:0;top:3133;width:3389;height:2" coordorigin="0,3133" coordsize="3389,0" path="m2109,-8472l2109,-8472m5498,-8472l5498,-8472e" filled="false" stroked="true" strokeweight=".5pt" strokecolor="#6d6e71">
              <v:path arrowok="t"/>
            </v:shape>
            <v:line style="position:absolute" from="2109,-7752" to="2109,-8457" stroked="true" strokeweight=".5pt" strokecolor="#6d6e71">
              <v:stroke dashstyle="dash"/>
            </v:line>
            <v:shape style="position:absolute;left:0;top:2383;width:2;height:750" coordorigin="0,2383" coordsize="0,750" path="m2109,-7722l2109,-7722m2109,-8472l2109,-8472e" filled="false" stroked="true" strokeweight=".5pt" strokecolor="#6d6e71">
              <v:path arrowok="t"/>
            </v:shape>
            <v:line style="position:absolute" from="5528,-8472" to="8531,-8472" stroked="true" strokeweight=".5pt" strokecolor="#6d6e71">
              <v:stroke dashstyle="dash"/>
            </v:line>
            <v:shape style="position:absolute;left:0;top:3133;width:3048;height:2" coordorigin="0,3133" coordsize="3048,0" path="m5498,-8472l5498,-8472m8546,-8472l8546,-8472e" filled="false" stroked="true" strokeweight=".5pt" strokecolor="#6d6e71">
              <v:path arrowok="t"/>
            </v:shape>
            <v:line style="position:absolute" from="5498,-7752" to="5498,-8457" stroked="true" strokeweight=".5pt" strokecolor="#6d6e71">
              <v:stroke dashstyle="dash"/>
            </v:line>
            <v:shape style="position:absolute;left:0;top:2383;width:2;height:750" coordorigin="0,2383" coordsize="0,750" path="m5498,-7722l5498,-7722m5498,-8472l5498,-8472e" filled="false" stroked="true" strokeweight=".5pt" strokecolor="#6d6e71">
              <v:path arrowok="t"/>
            </v:shape>
            <v:line style="position:absolute" from="896,-7722" to="2094,-7722" stroked="true" strokeweight=".5pt" strokecolor="#6d6e71">
              <v:stroke dashstyle="dash"/>
            </v:line>
            <v:shape style="position:absolute;left:0;top:3133;width:1244;height:2" coordorigin="0,3133" coordsize="1244,0" path="m865,-7722l865,-7722m2109,-7722l2109,-7722e" filled="false" stroked="true" strokeweight=".5pt" strokecolor="#6d6e71">
              <v:path arrowok="t"/>
            </v:shape>
            <v:line style="position:absolute" from="2139,-7722" to="5483,-7722" stroked="true" strokeweight=".5pt" strokecolor="#6d6e71">
              <v:stroke dashstyle="dash"/>
            </v:line>
            <v:shape style="position:absolute;left:0;top:3133;width:3389;height:2" coordorigin="0,3133" coordsize="3389,0" path="m2109,-7722l2109,-7722m5498,-7722l5498,-7722e" filled="false" stroked="true" strokeweight=".5pt" strokecolor="#6d6e71">
              <v:path arrowok="t"/>
            </v:shape>
            <v:line style="position:absolute" from="2109,-7248" to="2109,-7708" stroked="true" strokeweight=".5pt" strokecolor="#6d6e71">
              <v:stroke dashstyle="dash"/>
            </v:line>
            <v:shape style="position:absolute;left:0;top:2628;width:2;height:505" coordorigin="0,2628" coordsize="0,505" path="m2109,-7218l2109,-7218m2109,-7722l2109,-7722e" filled="false" stroked="true" strokeweight=".5pt" strokecolor="#6d6e71">
              <v:path arrowok="t"/>
            </v:shape>
            <v:line style="position:absolute" from="5528,-7722" to="8531,-7722" stroked="true" strokeweight=".5pt" strokecolor="#6d6e71">
              <v:stroke dashstyle="dash"/>
            </v:line>
            <v:shape style="position:absolute;left:0;top:3133;width:3048;height:2" coordorigin="0,3133" coordsize="3048,0" path="m5498,-7722l5498,-7722m8546,-7722l8546,-7722e" filled="false" stroked="true" strokeweight=".5pt" strokecolor="#6d6e71">
              <v:path arrowok="t"/>
            </v:shape>
            <v:line style="position:absolute" from="5498,-7248" to="5498,-7708" stroked="true" strokeweight=".5pt" strokecolor="#6d6e71">
              <v:stroke dashstyle="dash"/>
            </v:line>
            <v:shape style="position:absolute;left:0;top:2628;width:2;height:505" coordorigin="0,2628" coordsize="0,505" path="m5498,-7218l5498,-7218m5498,-7722l5498,-7722e" filled="false" stroked="true" strokeweight=".5pt" strokecolor="#6d6e71">
              <v:path arrowok="t"/>
            </v:shape>
            <v:line style="position:absolute" from="896,-7218" to="2094,-7218" stroked="true" strokeweight=".5pt" strokecolor="#6d6e71">
              <v:stroke dashstyle="dash"/>
            </v:line>
            <v:shape style="position:absolute;left:0;top:3133;width:1244;height:2" coordorigin="0,3133" coordsize="1244,0" path="m865,-7218l865,-7218m2109,-7218l2109,-7218e" filled="false" stroked="true" strokeweight=".5pt" strokecolor="#6d6e71">
              <v:path arrowok="t"/>
            </v:shape>
            <v:shape style="position:absolute;left:0;top:3133;width:3389;height:2" coordorigin="0,3133" coordsize="3389,0" path="m2109,-7218l2109,-7218m5498,-7218l5498,-7218e" filled="false" stroked="true" strokeweight=".5pt" strokecolor="#6d6e71">
              <v:path arrowok="t"/>
            </v:shape>
            <v:line style="position:absolute" from="2109,-6768" to="2109,-7203" stroked="true" strokeweight=".5pt" strokecolor="#6d6e71">
              <v:stroke dashstyle="dash"/>
            </v:line>
            <v:shape style="position:absolute;left:0;top:2653;width:2;height:480" coordorigin="0,2653" coordsize="0,480" path="m2109,-6738l2109,-6738m2109,-7218l2109,-7218e" filled="false" stroked="true" strokeweight=".5pt" strokecolor="#6d6e71">
              <v:path arrowok="t"/>
            </v:shape>
            <v:shape style="position:absolute;left:0;top:3133;width:3048;height:2" coordorigin="0,3133" coordsize="3048,0" path="m5498,-7218l5498,-7218m8546,-7218l8546,-7218e" filled="false" stroked="true" strokeweight=".5pt" strokecolor="#6d6e71">
              <v:path arrowok="t"/>
            </v:shape>
            <v:line style="position:absolute" from="5498,-6768" to="5498,-7203" stroked="true" strokeweight=".5pt" strokecolor="#6d6e71">
              <v:stroke dashstyle="dash"/>
            </v:line>
            <v:shape style="position:absolute;left:0;top:2653;width:2;height:480" coordorigin="0,2653" coordsize="0,480" path="m5498,-6738l5498,-6738m5498,-7218l5498,-7218e" filled="false" stroked="true" strokeweight=".5pt" strokecolor="#6d6e71">
              <v:path arrowok="t"/>
            </v:shape>
            <v:shape style="position:absolute;left:0;top:3133;width:1244;height:2" coordorigin="0,3133" coordsize="1244,0" path="m865,-6738l865,-6738m2109,-6738l2109,-6738e" filled="false" stroked="true" strokeweight=".5pt" strokecolor="#6d6e71">
              <v:path arrowok="t"/>
            </v:shape>
            <v:shape style="position:absolute;left:0;top:3133;width:3389;height:2" coordorigin="0,3133" coordsize="3389,0" path="m2109,-6738l2109,-6738m5498,-6738l5498,-6738e" filled="false" stroked="true" strokeweight=".5pt" strokecolor="#6d6e71">
              <v:path arrowok="t"/>
            </v:shape>
            <v:line style="position:absolute" from="2109,-6288" to="2109,-6723" stroked="true" strokeweight=".5pt" strokecolor="#6d6e71">
              <v:stroke dashstyle="dash"/>
            </v:line>
            <v:shape style="position:absolute;left:0;top:2653;width:2;height:480" coordorigin="0,2653" coordsize="0,480" path="m2109,-6258l2109,-6258m2109,-6738l2109,-6738e" filled="false" stroked="true" strokeweight=".5pt" strokecolor="#6d6e71">
              <v:path arrowok="t"/>
            </v:shape>
            <v:shape style="position:absolute;left:0;top:3133;width:3048;height:2" coordorigin="0,3133" coordsize="3048,0" path="m5498,-6738l5498,-6738m8546,-6738l8546,-6738e" filled="false" stroked="true" strokeweight=".5pt" strokecolor="#6d6e71">
              <v:path arrowok="t"/>
            </v:shape>
            <v:line style="position:absolute" from="5498,-6288" to="5498,-6723" stroked="true" strokeweight=".5pt" strokecolor="#6d6e71">
              <v:stroke dashstyle="dash"/>
            </v:line>
            <v:shape style="position:absolute;left:0;top:2653;width:2;height:480" coordorigin="0,2653" coordsize="0,480" path="m5498,-6258l5498,-6258m5498,-6738l5498,-6738e" filled="false" stroked="true" strokeweight=".5pt" strokecolor="#6d6e71">
              <v:path arrowok="t"/>
            </v:shape>
            <v:line style="position:absolute" from="896,-6258" to="2094,-6258" stroked="true" strokeweight=".5pt" strokecolor="#6d6e71">
              <v:stroke dashstyle="dash"/>
            </v:line>
            <v:shape style="position:absolute;left:0;top:3133;width:1244;height:2" coordorigin="0,3133" coordsize="1244,0" path="m865,-6258l865,-6258m2109,-6258l2109,-6258e" filled="false" stroked="true" strokeweight=".5pt" strokecolor="#6d6e71">
              <v:path arrowok="t"/>
            </v:shape>
            <v:shape style="position:absolute;left:0;top:3133;width:3389;height:2" coordorigin="0,3133" coordsize="3389,0" path="m2109,-6258l2109,-6258m5498,-6258l5498,-6258e" filled="false" stroked="true" strokeweight=".5pt" strokecolor="#6d6e71">
              <v:path arrowok="t"/>
            </v:shape>
            <v:line style="position:absolute" from="2109,-5808" to="2109,-6243" stroked="true" strokeweight=".5pt" strokecolor="#6d6e71">
              <v:stroke dashstyle="dash"/>
            </v:line>
            <v:shape style="position:absolute;left:0;top:2653;width:2;height:480" coordorigin="0,2653" coordsize="0,480" path="m2109,-5778l2109,-5778m2109,-6258l2109,-6258e" filled="false" stroked="true" strokeweight=".5pt" strokecolor="#6d6e71">
              <v:path arrowok="t"/>
            </v:shape>
            <v:shape style="position:absolute;left:0;top:3133;width:3048;height:2" coordorigin="0,3133" coordsize="3048,0" path="m5498,-6258l5498,-6258m8546,-6258l8546,-6258e" filled="false" stroked="true" strokeweight=".5pt" strokecolor="#6d6e71">
              <v:path arrowok="t"/>
            </v:shape>
            <v:line style="position:absolute" from="5498,-5808" to="5498,-6243" stroked="true" strokeweight=".5pt" strokecolor="#6d6e71">
              <v:stroke dashstyle="dash"/>
            </v:line>
            <v:shape style="position:absolute;left:0;top:2653;width:2;height:480" coordorigin="0,2653" coordsize="0,480" path="m5498,-5778l5498,-5778m5498,-6258l5498,-6258e" filled="false" stroked="true" strokeweight=".5pt" strokecolor="#6d6e71">
              <v:path arrowok="t"/>
            </v:shape>
            <v:shape style="position:absolute;left:0;top:3133;width:1244;height:2" coordorigin="0,3133" coordsize="1244,0" path="m865,-5778l865,-5778m2109,-5778l2109,-5778e" filled="false" stroked="true" strokeweight=".5pt" strokecolor="#6d6e71">
              <v:path arrowok="t"/>
            </v:shape>
            <v:shape style="position:absolute;left:0;top:3133;width:3389;height:2" coordorigin="0,3133" coordsize="3389,0" path="m2109,-5778l2109,-5778m5498,-5778l5498,-5778e" filled="false" stroked="true" strokeweight=".5pt" strokecolor="#6d6e71">
              <v:path arrowok="t"/>
            </v:shape>
            <v:line style="position:absolute" from="2109,-5529" to="2109,-5762" stroked="true" strokeweight=".5pt" strokecolor="#6d6e71">
              <v:stroke dashstyle="dash"/>
            </v:line>
            <v:shape style="position:absolute;left:0;top:2853;width:2;height:280" coordorigin="0,2853" coordsize="0,280" path="m2109,-5498l2109,-5498m2109,-5778l2109,-5778e" filled="false" stroked="true" strokeweight=".5pt" strokecolor="#6d6e71">
              <v:path arrowok="t"/>
            </v:shape>
            <v:shape style="position:absolute;left:0;top:3133;width:3048;height:2" coordorigin="0,3133" coordsize="3048,0" path="m5498,-5778l5498,-5778m8546,-5778l8546,-5778e" filled="false" stroked="true" strokeweight=".5pt" strokecolor="#6d6e71">
              <v:path arrowok="t"/>
            </v:shape>
            <v:line style="position:absolute" from="5498,-5529" to="5498,-5762" stroked="true" strokeweight=".5pt" strokecolor="#6d6e71">
              <v:stroke dashstyle="dash"/>
            </v:line>
            <v:shape style="position:absolute;left:0;top:2853;width:2;height:280" coordorigin="0,2853" coordsize="0,280" path="m5498,-5498l5498,-5498m5498,-5778l5498,-5778e" filled="false" stroked="true" strokeweight=".5pt" strokecolor="#6d6e71">
              <v:path arrowok="t"/>
            </v:shape>
            <v:shape style="position:absolute;left:0;top:3133;width:1244;height:2" coordorigin="0,3133" coordsize="1244,0" path="m865,-5498l865,-5498m2109,-5498l2109,-5498e" filled="false" stroked="true" strokeweight=".5pt" strokecolor="#6d6e71">
              <v:path arrowok="t"/>
            </v:shape>
            <v:shape style="position:absolute;left:0;top:3133;width:3389;height:2" coordorigin="0,3133" coordsize="3389,0" path="m2109,-5498l2109,-5498m5498,-5498l5498,-5498e" filled="false" stroked="true" strokeweight=".5pt" strokecolor="#6d6e71">
              <v:path arrowok="t"/>
            </v:shape>
            <v:line style="position:absolute" from="2109,-5087" to="2109,-5483" stroked="true" strokeweight=".5pt" strokecolor="#6d6e71">
              <v:stroke dashstyle="dash"/>
            </v:line>
            <v:shape style="position:absolute;left:0;top:2693;width:2;height:440" coordorigin="0,2693" coordsize="0,440" path="m2109,-5058l2109,-5058m2109,-5498l2109,-5498e" filled="false" stroked="true" strokeweight=".5pt" strokecolor="#6d6e71">
              <v:path arrowok="t"/>
            </v:shape>
            <v:shape style="position:absolute;left:0;top:3133;width:3048;height:2" coordorigin="0,3133" coordsize="3048,0" path="m5498,-5498l5498,-5498m8546,-5498l8546,-5498e" filled="false" stroked="true" strokeweight=".5pt" strokecolor="#6d6e71">
              <v:path arrowok="t"/>
            </v:shape>
            <v:line style="position:absolute" from="5498,-5087" to="5498,-5483" stroked="true" strokeweight=".5pt" strokecolor="#6d6e71">
              <v:stroke dashstyle="dash"/>
            </v:line>
            <v:shape style="position:absolute;left:0;top:2693;width:2;height:440" coordorigin="0,2693" coordsize="0,440" path="m5498,-5058l5498,-5058m5498,-5498l5498,-5498e" filled="false" stroked="true" strokeweight=".5pt" strokecolor="#6d6e71">
              <v:path arrowok="t"/>
            </v:shape>
            <v:shape style="position:absolute;left:0;top:3133;width:1244;height:2" coordorigin="0,3133" coordsize="1244,0" path="m865,-5058l865,-5058m2109,-5058l2109,-5058e" filled="false" stroked="true" strokeweight=".5pt" strokecolor="#6d6e71">
              <v:path arrowok="t"/>
            </v:shape>
            <v:shape style="position:absolute;left:0;top:3133;width:3389;height:2" coordorigin="0,3133" coordsize="3389,0" path="m2109,-5058l2109,-5058m5498,-5058l5498,-5058e" filled="false" stroked="true" strokeweight=".5pt" strokecolor="#6d6e71">
              <v:path arrowok="t"/>
            </v:shape>
            <v:line style="position:absolute" from="2109,-4809" to="2109,-5042" stroked="true" strokeweight=".5pt" strokecolor="#6d6e71">
              <v:stroke dashstyle="dash"/>
            </v:line>
            <v:shape style="position:absolute;left:0;top:2853;width:2;height:280" coordorigin="0,2853" coordsize="0,280" path="m2109,-4778l2109,-4778m2109,-5058l2109,-5058e" filled="false" stroked="true" strokeweight=".5pt" strokecolor="#6d6e71">
              <v:path arrowok="t"/>
            </v:shape>
            <v:shape style="position:absolute;left:0;top:3133;width:3048;height:2" coordorigin="0,3133" coordsize="3048,0" path="m5498,-5058l5498,-5058m8546,-5058l8546,-5058e" filled="false" stroked="true" strokeweight=".5pt" strokecolor="#6d6e71">
              <v:path arrowok="t"/>
            </v:shape>
            <v:line style="position:absolute" from="5498,-4809" to="5498,-5042" stroked="true" strokeweight=".5pt" strokecolor="#6d6e71">
              <v:stroke dashstyle="dash"/>
            </v:line>
            <v:shape style="position:absolute;left:0;top:2853;width:2;height:280" coordorigin="0,2853" coordsize="0,280" path="m5498,-4778l5498,-4778m5498,-5058l5498,-5058e" filled="false" stroked="true" strokeweight=".5pt" strokecolor="#6d6e71">
              <v:path arrowok="t"/>
            </v:shape>
            <v:shape style="position:absolute;left:0;top:3133;width:1244;height:2" coordorigin="0,3133" coordsize="1244,0" path="m865,-4778l865,-4778m2109,-4778l2109,-4778e" filled="false" stroked="true" strokeweight=".5pt" strokecolor="#6d6e71">
              <v:path arrowok="t"/>
            </v:shape>
            <v:shape style="position:absolute;left:0;top:3133;width:3389;height:2" coordorigin="0,3133" coordsize="3389,0" path="m2109,-4778l2109,-4778m5498,-4778l5498,-4778e" filled="false" stroked="true" strokeweight=".5pt" strokecolor="#6d6e71">
              <v:path arrowok="t"/>
            </v:shape>
            <v:line style="position:absolute" from="2109,-4529" to="2109,-4762" stroked="true" strokeweight=".5pt" strokecolor="#6d6e71">
              <v:stroke dashstyle="dash"/>
            </v:line>
            <v:shape style="position:absolute;left:0;top:2853;width:2;height:280" coordorigin="0,2853" coordsize="0,280" path="m2109,-4498l2109,-4498m2109,-4778l2109,-4778e" filled="false" stroked="true" strokeweight=".5pt" strokecolor="#6d6e71">
              <v:path arrowok="t"/>
            </v:shape>
            <v:shape style="position:absolute;left:0;top:3133;width:3048;height:2" coordorigin="0,3133" coordsize="3048,0" path="m5498,-4778l5498,-4778m8546,-4778l8546,-4778e" filled="false" stroked="true" strokeweight=".5pt" strokecolor="#6d6e71">
              <v:path arrowok="t"/>
            </v:shape>
            <v:line style="position:absolute" from="5498,-4529" to="5498,-4762" stroked="true" strokeweight=".5pt" strokecolor="#6d6e71">
              <v:stroke dashstyle="dash"/>
            </v:line>
            <v:shape style="position:absolute;left:0;top:2853;width:2;height:280" coordorigin="0,2853" coordsize="0,280" path="m5498,-4498l5498,-4498m5498,-4778l5498,-4778e" filled="false" stroked="true" strokeweight=".5pt" strokecolor="#6d6e71">
              <v:path arrowok="t"/>
            </v:shape>
            <v:line style="position:absolute" from="896,-4498" to="2094,-4498" stroked="true" strokeweight=".5pt" strokecolor="#6d6e71">
              <v:stroke dashstyle="dash"/>
            </v:line>
            <v:shape style="position:absolute;left:0;top:3133;width:1244;height:2" coordorigin="0,3133" coordsize="1244,0" path="m865,-4498l865,-4498m2109,-4498l2109,-4498e" filled="false" stroked="true" strokeweight=".5pt" strokecolor="#6d6e71">
              <v:path arrowok="t"/>
            </v:shape>
            <v:line style="position:absolute" from="2139,-4498" to="5483,-4498" stroked="true" strokeweight=".5pt" strokecolor="#6d6e71">
              <v:stroke dashstyle="dash"/>
            </v:line>
            <v:shape style="position:absolute;left:0;top:3133;width:3389;height:2" coordorigin="0,3133" coordsize="3389,0" path="m2109,-4498l2109,-4498m5498,-4498l5498,-4498e" filled="false" stroked="true" strokeweight=".5pt" strokecolor="#6d6e71">
              <v:path arrowok="t"/>
            </v:shape>
            <v:line style="position:absolute" from="2109,-4249" to="2109,-4482" stroked="true" strokeweight=".5pt" strokecolor="#6d6e71">
              <v:stroke dashstyle="dash"/>
            </v:line>
            <v:shape style="position:absolute;left:0;top:2853;width:2;height:280" coordorigin="0,2853" coordsize="0,280" path="m2109,-4218l2109,-4218m2109,-4498l2109,-4498e" filled="false" stroked="true" strokeweight=".5pt" strokecolor="#6d6e71">
              <v:path arrowok="t"/>
            </v:shape>
            <v:line style="position:absolute" from="5528,-4498" to="8531,-4498" stroked="true" strokeweight=".5pt" strokecolor="#6d6e71">
              <v:stroke dashstyle="dash"/>
            </v:line>
            <v:shape style="position:absolute;left:0;top:3133;width:3048;height:2" coordorigin="0,3133" coordsize="3048,0" path="m5498,-4498l5498,-4498m8546,-4498l8546,-4498e" filled="false" stroked="true" strokeweight=".5pt" strokecolor="#6d6e71">
              <v:path arrowok="t"/>
            </v:shape>
            <v:line style="position:absolute" from="5498,-4249" to="5498,-4482" stroked="true" strokeweight=".5pt" strokecolor="#6d6e71">
              <v:stroke dashstyle="dash"/>
            </v:line>
            <v:shape style="position:absolute;left:0;top:2853;width:2;height:280" coordorigin="0,2853" coordsize="0,280" path="m5498,-4218l5498,-4218m5498,-4498l5498,-4498e" filled="false" stroked="true" strokeweight=".5pt" strokecolor="#6d6e71">
              <v:path arrowok="t"/>
            </v:shape>
            <v:line style="position:absolute" from="896,-4218" to="2094,-4218" stroked="true" strokeweight=".5pt" strokecolor="#6d6e71">
              <v:stroke dashstyle="dash"/>
            </v:line>
            <v:shape style="position:absolute;left:0;top:3133;width:1244;height:2" coordorigin="0,3133" coordsize="1244,0" path="m865,-4218l865,-4218m2109,-4218l2109,-4218e" filled="false" stroked="true" strokeweight=".5pt" strokecolor="#6d6e71">
              <v:path arrowok="t"/>
            </v:shape>
            <v:line style="position:absolute" from="2139,-4218" to="5483,-4218" stroked="true" strokeweight=".5pt" strokecolor="#6d6e71">
              <v:stroke dashstyle="dash"/>
            </v:line>
            <v:shape style="position:absolute;left:0;top:3133;width:3389;height:2" coordorigin="0,3133" coordsize="3389,0" path="m2109,-4218l2109,-4218m5498,-4218l5498,-4218e" filled="false" stroked="true" strokeweight=".5pt" strokecolor="#6d6e71">
              <v:path arrowok="t"/>
            </v:shape>
            <v:line style="position:absolute" from="2109,-3888" to="2109,-4203" stroked="true" strokeweight=".5pt" strokecolor="#6d6e71">
              <v:stroke dashstyle="dash"/>
            </v:line>
            <v:shape style="position:absolute;left:0;top:2773;width:2;height:360" coordorigin="0,2773" coordsize="0,360" path="m2109,-3858l2109,-3858m2109,-4218l2109,-4218e" filled="false" stroked="true" strokeweight=".5pt" strokecolor="#6d6e71">
              <v:path arrowok="t"/>
            </v:shape>
            <v:line style="position:absolute" from="5528,-4218" to="8531,-4218" stroked="true" strokeweight=".5pt" strokecolor="#6d6e71">
              <v:stroke dashstyle="dash"/>
            </v:line>
            <v:shape style="position:absolute;left:0;top:3133;width:3048;height:2" coordorigin="0,3133" coordsize="3048,0" path="m5498,-4218l5498,-4218m8546,-4218l8546,-4218e" filled="false" stroked="true" strokeweight=".5pt" strokecolor="#6d6e71">
              <v:path arrowok="t"/>
            </v:shape>
            <v:line style="position:absolute" from="5498,-3888" to="5498,-4203" stroked="true" strokeweight=".5pt" strokecolor="#6d6e71">
              <v:stroke dashstyle="dash"/>
            </v:line>
            <v:shape style="position:absolute;left:0;top:2773;width:2;height:360" coordorigin="0,2773" coordsize="0,360" path="m5498,-3858l5498,-3858m5498,-4218l5498,-4218e" filled="false" stroked="true" strokeweight=".5pt" strokecolor="#6d6e71">
              <v:path arrowok="t"/>
            </v:shape>
            <v:shape style="position:absolute;left:0;top:3133;width:1244;height:2" coordorigin="0,3133" coordsize="1244,0" path="m865,-3858l865,-3858m2109,-3858l2109,-3858e" filled="false" stroked="true" strokeweight=".5pt" strokecolor="#6d6e71">
              <v:path arrowok="t"/>
            </v:shape>
            <v:shape style="position:absolute;left:0;top:3133;width:3389;height:2" coordorigin="0,3133" coordsize="3389,0" path="m2109,-3858l2109,-3858m5498,-3858l5498,-3858e" filled="false" stroked="true" strokeweight=".5pt" strokecolor="#6d6e71">
              <v:path arrowok="t"/>
            </v:shape>
            <v:line style="position:absolute" from="2109,-3408" to="2109,-3843" stroked="true" strokeweight=".5pt" strokecolor="#6d6e71">
              <v:stroke dashstyle="dash"/>
            </v:line>
            <v:shape style="position:absolute;left:0;top:2653;width:2;height:480" coordorigin="0,2653" coordsize="0,480" path="m2109,-3378l2109,-3378m2109,-3858l2109,-3858e" filled="false" stroked="true" strokeweight=".5pt" strokecolor="#6d6e71">
              <v:path arrowok="t"/>
            </v:shape>
            <v:shape style="position:absolute;left:0;top:3133;width:3048;height:2" coordorigin="0,3133" coordsize="3048,0" path="m5498,-3858l5498,-3858m8546,-3858l8546,-3858e" filled="false" stroked="true" strokeweight=".5pt" strokecolor="#6d6e71">
              <v:path arrowok="t"/>
            </v:shape>
            <v:line style="position:absolute" from="5498,-3408" to="5498,-3843" stroked="true" strokeweight=".5pt" strokecolor="#6d6e71">
              <v:stroke dashstyle="dash"/>
            </v:line>
            <v:shape style="position:absolute;left:0;top:2653;width:2;height:480" coordorigin="0,2653" coordsize="0,480" path="m5498,-3378l5498,-3378m5498,-3858l5498,-3858e" filled="false" stroked="true" strokeweight=".5pt" strokecolor="#6d6e71">
              <v:path arrowok="t"/>
            </v:shape>
            <v:line style="position:absolute" from="896,-3378" to="2094,-3378" stroked="true" strokeweight=".5pt" strokecolor="#6d6e71">
              <v:stroke dashstyle="dash"/>
            </v:line>
            <v:shape style="position:absolute;left:0;top:3133;width:1244;height:2" coordorigin="0,3133" coordsize="1244,0" path="m865,-3378l865,-3378m2109,-3378l2109,-3378e" filled="false" stroked="true" strokeweight=".5pt" strokecolor="#6d6e71">
              <v:path arrowok="t"/>
            </v:shape>
            <v:shape style="position:absolute;left:0;top:3133;width:3389;height:2" coordorigin="0,3133" coordsize="3389,0" path="m2109,-3378l2109,-3378m5498,-3378l5498,-3378e" filled="false" stroked="true" strokeweight=".5pt" strokecolor="#6d6e71">
              <v:path arrowok="t"/>
            </v:shape>
            <v:line style="position:absolute" from="2109,-2928" to="2109,-3363" stroked="true" strokeweight=".5pt" strokecolor="#6d6e71">
              <v:stroke dashstyle="dash"/>
            </v:line>
            <v:shape style="position:absolute;left:0;top:2653;width:2;height:480" coordorigin="0,2653" coordsize="0,480" path="m2109,-2898l2109,-2898m2109,-3378l2109,-3378e" filled="false" stroked="true" strokeweight=".5pt" strokecolor="#6d6e71">
              <v:path arrowok="t"/>
            </v:shape>
            <v:shape style="position:absolute;left:0;top:3133;width:3048;height:2" coordorigin="0,3133" coordsize="3048,0" path="m5498,-3378l5498,-3378m8546,-3378l8546,-3378e" filled="false" stroked="true" strokeweight=".5pt" strokecolor="#6d6e71">
              <v:path arrowok="t"/>
            </v:shape>
            <v:line style="position:absolute" from="5498,-2928" to="5498,-3363" stroked="true" strokeweight=".5pt" strokecolor="#6d6e71">
              <v:stroke dashstyle="dash"/>
            </v:line>
            <v:shape style="position:absolute;left:0;top:2653;width:2;height:480" coordorigin="0,2653" coordsize="0,480" path="m5498,-2898l5498,-2898m5498,-3378l5498,-3378e" filled="false" stroked="true" strokeweight=".5pt" strokecolor="#6d6e71">
              <v:path arrowok="t"/>
            </v:shape>
            <v:shape style="position:absolute;left:0;top:3133;width:1244;height:2" coordorigin="0,3133" coordsize="1244,0" path="m865,-2898l865,-2898m2109,-2898l2109,-2898e" filled="false" stroked="true" strokeweight=".5pt" strokecolor="#6d6e71">
              <v:path arrowok="t"/>
            </v:shape>
            <v:shape style="position:absolute;left:0;top:3133;width:3389;height:2" coordorigin="0,3133" coordsize="3389,0" path="m2109,-2898l2109,-2898m5498,-2898l5498,-2898e" filled="false" stroked="true" strokeweight=".5pt" strokecolor="#6d6e71">
              <v:path arrowok="t"/>
            </v:shape>
            <v:line style="position:absolute" from="2109,-2448" to="2109,-2883" stroked="true" strokeweight=".5pt" strokecolor="#6d6e71">
              <v:stroke dashstyle="dash"/>
            </v:line>
            <v:shape style="position:absolute;left:0;top:2653;width:2;height:480" coordorigin="0,2653" coordsize="0,480" path="m2109,-2418l2109,-2418m2109,-2898l2109,-2898e" filled="false" stroked="true" strokeweight=".5pt" strokecolor="#6d6e71">
              <v:path arrowok="t"/>
            </v:shape>
            <v:shape style="position:absolute;left:0;top:3133;width:3048;height:2" coordorigin="0,3133" coordsize="3048,0" path="m5498,-2898l5498,-2898m8546,-2898l8546,-2898e" filled="false" stroked="true" strokeweight=".5pt" strokecolor="#6d6e71">
              <v:path arrowok="t"/>
            </v:shape>
            <v:line style="position:absolute" from="5498,-2448" to="5498,-2883" stroked="true" strokeweight=".5pt" strokecolor="#6d6e71">
              <v:stroke dashstyle="dash"/>
            </v:line>
            <v:shape style="position:absolute;left:0;top:2653;width:2;height:480" coordorigin="0,2653" coordsize="0,480" path="m5498,-2418l5498,-2418m5498,-2898l5498,-2898e" filled="false" stroked="true" strokeweight=".5pt" strokecolor="#6d6e71">
              <v:path arrowok="t"/>
            </v:shape>
            <v:line style="position:absolute" from="896,-2418" to="2094,-2418" stroked="true" strokeweight=".5pt" strokecolor="#6d6e71">
              <v:stroke dashstyle="dash"/>
            </v:line>
            <v:shape style="position:absolute;left:0;top:3133;width:1244;height:2" coordorigin="0,3133" coordsize="1244,0" path="m865,-2418l865,-2418m2109,-2418l2109,-2418e" filled="false" stroked="true" strokeweight=".5pt" strokecolor="#6d6e71">
              <v:path arrowok="t"/>
            </v:shape>
            <v:shape style="position:absolute;left:0;top:3133;width:3389;height:2" coordorigin="0,3133" coordsize="3389,0" path="m2109,-2418l2109,-2418m5498,-2418l5498,-2418e" filled="false" stroked="true" strokeweight=".5pt" strokecolor="#6d6e71">
              <v:path arrowok="t"/>
            </v:shape>
            <v:line style="position:absolute" from="2109,-2169" to="2109,-2402" stroked="true" strokeweight=".5pt" strokecolor="#6d6e71">
              <v:stroke dashstyle="dash"/>
            </v:line>
            <v:shape style="position:absolute;left:0;top:2853;width:2;height:280" coordorigin="0,2853" coordsize="0,280" path="m2109,-2138l2109,-2138m2109,-2418l2109,-2418e" filled="false" stroked="true" strokeweight=".5pt" strokecolor="#6d6e71">
              <v:path arrowok="t"/>
            </v:shape>
            <v:shape style="position:absolute;left:0;top:3133;width:3048;height:2" coordorigin="0,3133" coordsize="3048,0" path="m5498,-2418l5498,-2418m8546,-2418l8546,-2418e" filled="false" stroked="true" strokeweight=".5pt" strokecolor="#6d6e71">
              <v:path arrowok="t"/>
            </v:shape>
            <v:line style="position:absolute" from="5498,-2169" to="5498,-2402" stroked="true" strokeweight=".5pt" strokecolor="#6d6e71">
              <v:stroke dashstyle="dash"/>
            </v:line>
            <v:shape style="position:absolute;left:0;top:2853;width:2;height:280" coordorigin="0,2853" coordsize="0,280" path="m5498,-2138l5498,-2138m5498,-2418l5498,-2418e" filled="false" stroked="true" strokeweight=".5pt" strokecolor="#6d6e71">
              <v:path arrowok="t"/>
            </v:shape>
            <v:shape style="position:absolute;left:0;top:3133;width:1244;height:2" coordorigin="0,3133" coordsize="1244,0" path="m865,-2138l865,-2138m2109,-2138l2109,-2138e" filled="false" stroked="true" strokeweight=".5pt" strokecolor="#6d6e71">
              <v:path arrowok="t"/>
            </v:shape>
            <v:shape style="position:absolute;left:0;top:3133;width:3389;height:2" coordorigin="0,3133" coordsize="3389,0" path="m2109,-2138l2109,-2138m5498,-2138l5498,-2138e" filled="false" stroked="true" strokeweight=".5pt" strokecolor="#6d6e71">
              <v:path arrowok="t"/>
            </v:shape>
            <v:line style="position:absolute" from="2109,-1727" to="2109,-2123" stroked="true" strokeweight=".5pt" strokecolor="#6d6e71">
              <v:stroke dashstyle="dash"/>
            </v:line>
            <v:shape style="position:absolute;left:0;top:2693;width:2;height:440" coordorigin="0,2693" coordsize="0,440" path="m2109,-1698l2109,-1698m2109,-2138l2109,-2138e" filled="false" stroked="true" strokeweight=".5pt" strokecolor="#6d6e71">
              <v:path arrowok="t"/>
            </v:shape>
            <v:shape style="position:absolute;left:0;top:3133;width:3048;height:2" coordorigin="0,3133" coordsize="3048,0" path="m5498,-2138l5498,-2138m8546,-2138l8546,-2138e" filled="false" stroked="true" strokeweight=".5pt" strokecolor="#6d6e71">
              <v:path arrowok="t"/>
            </v:shape>
            <v:line style="position:absolute" from="5498,-1727" to="5498,-2123" stroked="true" strokeweight=".5pt" strokecolor="#6d6e71">
              <v:stroke dashstyle="dash"/>
            </v:line>
            <v:shape style="position:absolute;left:0;top:2693;width:2;height:440" coordorigin="0,2693" coordsize="0,440" path="m5498,-1698l5498,-1698m5498,-2138l5498,-2138e" filled="false" stroked="true" strokeweight=".5pt" strokecolor="#6d6e71">
              <v:path arrowok="t"/>
            </v:shape>
            <v:line style="position:absolute" from="896,-1698" to="2094,-1698" stroked="true" strokeweight=".5pt" strokecolor="#6d6e71">
              <v:stroke dashstyle="dash"/>
            </v:line>
            <v:shape style="position:absolute;left:0;top:3133;width:1244;height:2" coordorigin="0,3133" coordsize="1244,0" path="m865,-1698l865,-1698m2109,-1698l2109,-1698e" filled="false" stroked="true" strokeweight=".5pt" strokecolor="#6d6e71">
              <v:path arrowok="t"/>
            </v:shape>
            <v:shape style="position:absolute;left:0;top:3133;width:3389;height:2" coordorigin="0,3133" coordsize="3389,0" path="m2109,-1698l2109,-1698m5498,-1698l5498,-1698e" filled="false" stroked="true" strokeweight=".5pt" strokecolor="#6d6e71">
              <v:path arrowok="t"/>
            </v:shape>
            <v:line style="position:absolute" from="2109,-1449" to="2109,-1682" stroked="true" strokeweight=".5pt" strokecolor="#6d6e71">
              <v:stroke dashstyle="dash"/>
            </v:line>
            <v:shape style="position:absolute;left:0;top:2853;width:2;height:280" coordorigin="0,2853" coordsize="0,280" path="m2109,-1418l2109,-1418m2109,-1698l2109,-1698e" filled="false" stroked="true" strokeweight=".5pt" strokecolor="#6d6e71">
              <v:path arrowok="t"/>
            </v:shape>
            <v:shape style="position:absolute;left:0;top:3133;width:3048;height:2" coordorigin="0,3133" coordsize="3048,0" path="m5498,-1698l5498,-1698m8546,-1698l8546,-1698e" filled="false" stroked="true" strokeweight=".5pt" strokecolor="#6d6e71">
              <v:path arrowok="t"/>
            </v:shape>
            <v:line style="position:absolute" from="5498,-1449" to="5498,-1682" stroked="true" strokeweight=".5pt" strokecolor="#6d6e71">
              <v:stroke dashstyle="dash"/>
            </v:line>
            <v:shape style="position:absolute;left:0;top:2853;width:2;height:280" coordorigin="0,2853" coordsize="0,280" path="m5498,-1418l5498,-1418m5498,-1698l5498,-1698e" filled="false" stroked="true" strokeweight=".5pt" strokecolor="#6d6e71">
              <v:path arrowok="t"/>
            </v:shape>
            <v:shape style="position:absolute;left:0;top:3133;width:1244;height:2" coordorigin="0,3133" coordsize="1244,0" path="m865,-1418l865,-1418m2109,-1418l2109,-1418e" filled="false" stroked="true" strokeweight=".5pt" strokecolor="#6d6e71">
              <v:path arrowok="t"/>
            </v:shape>
            <v:shape style="position:absolute;left:0;top:3133;width:3389;height:2" coordorigin="0,3133" coordsize="3389,0" path="m2109,-1418l2109,-1418m5498,-1418l5498,-1418e" filled="false" stroked="true" strokeweight=".5pt" strokecolor="#6d6e71">
              <v:path arrowok="t"/>
            </v:shape>
            <v:line style="position:absolute" from="2109,-1169" to="2109,-1402" stroked="true" strokeweight=".5pt" strokecolor="#6d6e71">
              <v:stroke dashstyle="dash"/>
            </v:line>
            <v:shape style="position:absolute;left:0;top:2853;width:2;height:280" coordorigin="0,2853" coordsize="0,280" path="m2109,-1138l2109,-1138m2109,-1418l2109,-1418e" filled="false" stroked="true" strokeweight=".5pt" strokecolor="#6d6e71">
              <v:path arrowok="t"/>
            </v:shape>
            <v:shape style="position:absolute;left:0;top:3133;width:3048;height:2" coordorigin="0,3133" coordsize="3048,0" path="m5498,-1418l5498,-1418m8546,-1418l8546,-1418e" filled="false" stroked="true" strokeweight=".5pt" strokecolor="#6d6e71">
              <v:path arrowok="t"/>
            </v:shape>
            <v:line style="position:absolute" from="5498,-1169" to="5498,-1402" stroked="true" strokeweight=".5pt" strokecolor="#6d6e71">
              <v:stroke dashstyle="dash"/>
            </v:line>
            <v:shape style="position:absolute;left:0;top:2853;width:2;height:280" coordorigin="0,2853" coordsize="0,280" path="m5498,-1138l5498,-1138m5498,-1418l5498,-1418e" filled="false" stroked="true" strokeweight=".5pt" strokecolor="#6d6e71">
              <v:path arrowok="t"/>
            </v:shape>
            <v:line style="position:absolute" from="896,-1138" to="2094,-1138" stroked="true" strokeweight=".5pt" strokecolor="#6d6e71">
              <v:stroke dashstyle="dash"/>
            </v:line>
            <v:shape style="position:absolute;left:0;top:3133;width:1244;height:2" coordorigin="0,3133" coordsize="1244,0" path="m865,-1138l865,-1138m2109,-1138l2109,-1138e" filled="false" stroked="true" strokeweight=".5pt" strokecolor="#6d6e71">
              <v:path arrowok="t"/>
            </v:shape>
            <v:line style="position:absolute" from="2139,-1138" to="5483,-1138" stroked="true" strokeweight=".5pt" strokecolor="#6d6e71">
              <v:stroke dashstyle="dash"/>
            </v:line>
            <v:shape style="position:absolute;left:0;top:3133;width:3389;height:2" coordorigin="0,3133" coordsize="3389,0" path="m2109,-1138l2109,-1138m5498,-1138l5498,-1138e" filled="false" stroked="true" strokeweight=".5pt" strokecolor="#6d6e71">
              <v:path arrowok="t"/>
            </v:shape>
            <v:line style="position:absolute" from="2109,-889" to="2109,-1122" stroked="true" strokeweight=".5pt" strokecolor="#6d6e71">
              <v:stroke dashstyle="dash"/>
            </v:line>
            <v:shape style="position:absolute;left:0;top:2853;width:2;height:280" coordorigin="0,2853" coordsize="0,280" path="m2109,-858l2109,-858m2109,-1138l2109,-1138e" filled="false" stroked="true" strokeweight=".5pt" strokecolor="#6d6e71">
              <v:path arrowok="t"/>
            </v:shape>
            <v:line style="position:absolute" from="5528,-1138" to="8531,-1138" stroked="true" strokeweight=".5pt" strokecolor="#6d6e71">
              <v:stroke dashstyle="dash"/>
            </v:line>
            <v:shape style="position:absolute;left:0;top:3133;width:3048;height:2" coordorigin="0,3133" coordsize="3048,0" path="m5498,-1138l5498,-1138m8546,-1138l8546,-1138e" filled="false" stroked="true" strokeweight=".5pt" strokecolor="#6d6e71">
              <v:path arrowok="t"/>
            </v:shape>
            <v:line style="position:absolute" from="5498,-889" to="5498,-1122" stroked="true" strokeweight=".5pt" strokecolor="#6d6e71">
              <v:stroke dashstyle="dash"/>
            </v:line>
            <v:shape style="position:absolute;left:0;top:2853;width:2;height:280" coordorigin="0,2853" coordsize="0,280" path="m5498,-858l5498,-858m5498,-1138l5498,-1138e" filled="false" stroked="true" strokeweight=".5pt" strokecolor="#6d6e71">
              <v:path arrowok="t"/>
            </v:shape>
            <v:line style="position:absolute" from="896,-858" to="2094,-858" stroked="true" strokeweight=".5pt" strokecolor="#6d6e71">
              <v:stroke dashstyle="dash"/>
            </v:line>
            <v:shape style="position:absolute;left:0;top:3133;width:1244;height:2" coordorigin="0,3133" coordsize="1244,0" path="m865,-858l865,-858m2109,-858l2109,-858e" filled="false" stroked="true" strokeweight=".5pt" strokecolor="#6d6e71">
              <v:path arrowok="t"/>
            </v:shape>
            <v:line style="position:absolute" from="2139,-858" to="5483,-858" stroked="true" strokeweight=".5pt" strokecolor="#6d6e71">
              <v:stroke dashstyle="dash"/>
            </v:line>
            <v:shape style="position:absolute;left:0;top:3133;width:3389;height:2" coordorigin="0,3133" coordsize="3389,0" path="m2109,-858l2109,-858m5498,-858l5498,-858e" filled="false" stroked="true" strokeweight=".5pt" strokecolor="#6d6e71">
              <v:path arrowok="t"/>
            </v:shape>
            <v:line style="position:absolute" from="2109,-528" to="2109,-843" stroked="true" strokeweight=".5pt" strokecolor="#6d6e71">
              <v:stroke dashstyle="dash"/>
            </v:line>
            <v:shape style="position:absolute;left:0;top:2773;width:2;height:360" coordorigin="0,2773" coordsize="0,360" path="m2109,-498l2109,-498m2109,-858l2109,-858e" filled="false" stroked="true" strokeweight=".5pt" strokecolor="#6d6e71">
              <v:path arrowok="t"/>
            </v:shape>
            <v:line style="position:absolute" from="5528,-858" to="8531,-858" stroked="true" strokeweight=".5pt" strokecolor="#6d6e71">
              <v:stroke dashstyle="dash"/>
            </v:line>
            <v:shape style="position:absolute;left:0;top:3133;width:3048;height:2" coordorigin="0,3133" coordsize="3048,0" path="m5498,-858l5498,-858m8546,-858l8546,-858e" filled="false" stroked="true" strokeweight=".5pt" strokecolor="#6d6e71">
              <v:path arrowok="t"/>
            </v:shape>
            <v:line style="position:absolute" from="5498,-528" to="5498,-843" stroked="true" strokeweight=".5pt" strokecolor="#6d6e71">
              <v:stroke dashstyle="dash"/>
            </v:line>
            <v:shape style="position:absolute;left:0;top:2773;width:2;height:360" coordorigin="0,2773" coordsize="0,360" path="m5498,-498l5498,-498m5498,-858l5498,-858e" filled="false" stroked="true" strokeweight=".5pt" strokecolor="#6d6e71">
              <v:path arrowok="t"/>
            </v:shape>
            <v:line style="position:absolute" from="2109,-253" to="2109,-483" stroked="true" strokeweight=".5pt" strokecolor="#6d6e71">
              <v:stroke dashstyle="dash"/>
            </v:line>
            <v:line style="position:absolute" from="2109,-498" to="2109,-498" stroked="true" strokeweight=".5pt" strokecolor="#6d6e71"/>
            <v:line style="position:absolute" from="5498,-253" to="5498,-483" stroked="true" strokeweight=".5pt" strokecolor="#6d6e71">
              <v:stroke dashstyle="dash"/>
            </v:line>
            <v:line style="position:absolute" from="5498,-498" to="5498,-498" stroked="true" strokeweight=".5pt" strokecolor="#6d6e71"/>
            <v:shape style="position:absolute;left:0;top:3133;width:1244;height:2" coordorigin="0,3133" coordsize="1244,0" path="m865,-498l865,-498m2109,-498l2109,-498e" filled="false" stroked="true" strokeweight=".5pt" strokecolor="#6d6e71">
              <v:path arrowok="t"/>
            </v:shape>
            <v:shape style="position:absolute;left:0;top:3133;width:3389;height:2" coordorigin="0,3133" coordsize="3389,0" path="m2109,-498l2109,-498m5498,-498l5498,-498e" filled="false" stroked="true" strokeweight=".5pt" strokecolor="#6d6e71">
              <v:path arrowok="t"/>
            </v:shape>
            <v:shape style="position:absolute;left:0;top:3133;width:3048;height:2" coordorigin="0,3133" coordsize="3048,0" path="m5498,-498l5498,-498m8546,-498l8546,-498e" filled="false" stroked="true" strokeweight=".5pt" strokecolor="#6d6e71">
              <v:path arrowok="t"/>
            </v:shape>
            <v:shape style="position:absolute;left:974;top:-8313;width:495;height:160" type="#_x0000_t202" filled="false" stroked="false">
              <v:textbox inset="0,0,0,0">
                <w:txbxContent>
                  <w:p>
                    <w:pPr>
                      <w:spacing w:line="160" w:lineRule="exact" w:before="0"/>
                      <w:ind w:left="0" w:right="-15" w:firstLine="0"/>
                      <w:jc w:val="left"/>
                      <w:rPr>
                        <w:sz w:val="16"/>
                      </w:rPr>
                    </w:pPr>
                    <w:r>
                      <w:rPr>
                        <w:sz w:val="16"/>
                      </w:rPr>
                      <w:t>Mérida</w:t>
                    </w:r>
                  </w:p>
                </w:txbxContent>
              </v:textbox>
              <w10:wrap type="none"/>
            </v:shape>
            <v:shape style="position:absolute;left:2222;top:-8313;width:2748;height:400" type="#_x0000_t202" filled="false" stroked="false">
              <v:textbox inset="0,0,0,0">
                <w:txbxContent>
                  <w:p>
                    <w:pPr>
                      <w:spacing w:line="165" w:lineRule="exact" w:before="0"/>
                      <w:ind w:left="0" w:right="-19" w:firstLine="0"/>
                      <w:jc w:val="left"/>
                      <w:rPr>
                        <w:sz w:val="16"/>
                      </w:rPr>
                    </w:pPr>
                    <w:r>
                      <w:rPr>
                        <w:sz w:val="16"/>
                      </w:rPr>
                      <w:t>Plan Integral para el Ordenamiento</w:t>
                    </w:r>
                    <w:r>
                      <w:rPr>
                        <w:spacing w:val="-2"/>
                        <w:sz w:val="16"/>
                      </w:rPr>
                      <w:t> </w:t>
                    </w:r>
                    <w:r>
                      <w:rPr>
                        <w:sz w:val="16"/>
                      </w:rPr>
                      <w:t>del</w:t>
                    </w:r>
                  </w:p>
                  <w:p>
                    <w:pPr>
                      <w:spacing w:line="179" w:lineRule="exact" w:before="56"/>
                      <w:ind w:left="0" w:right="-19" w:firstLine="0"/>
                      <w:jc w:val="left"/>
                      <w:rPr>
                        <w:sz w:val="16"/>
                      </w:rPr>
                    </w:pPr>
                    <w:r>
                      <w:rPr>
                        <w:sz w:val="16"/>
                      </w:rPr>
                      <w:t>Comercio en Mérida.</w:t>
                    </w:r>
                  </w:p>
                </w:txbxContent>
              </v:textbox>
              <w10:wrap type="none"/>
            </v:shape>
            <v:shape style="position:absolute;left:5611;top:-8313;width:2312;height:160" type="#_x0000_t202" filled="false" stroked="false">
              <v:textbox inset="0,0,0,0">
                <w:txbxContent>
                  <w:p>
                    <w:pPr>
                      <w:spacing w:line="160" w:lineRule="exact" w:before="0"/>
                      <w:ind w:left="0" w:right="0" w:firstLine="0"/>
                      <w:jc w:val="left"/>
                      <w:rPr>
                        <w:sz w:val="16"/>
                      </w:rPr>
                    </w:pPr>
                    <w:r>
                      <w:rPr>
                        <w:sz w:val="16"/>
                      </w:rPr>
                      <w:t>Promoción económica y empleo</w:t>
                    </w:r>
                  </w:p>
                </w:txbxContent>
              </v:textbox>
              <w10:wrap type="none"/>
            </v:shape>
            <v:shape style="position:absolute;left:974;top:-7593;width:495;height:160" type="#_x0000_t202" filled="false" stroked="false">
              <v:textbox inset="0,0,0,0">
                <w:txbxContent>
                  <w:p>
                    <w:pPr>
                      <w:spacing w:line="160" w:lineRule="exact" w:before="0"/>
                      <w:ind w:left="0" w:right="-15" w:firstLine="0"/>
                      <w:jc w:val="left"/>
                      <w:rPr>
                        <w:sz w:val="16"/>
                      </w:rPr>
                    </w:pPr>
                    <w:r>
                      <w:rPr>
                        <w:sz w:val="16"/>
                      </w:rPr>
                      <w:t>Mérida</w:t>
                    </w:r>
                  </w:p>
                </w:txbxContent>
              </v:textbox>
              <w10:wrap type="none"/>
            </v:shape>
            <v:shape style="position:absolute;left:2222;top:-7593;width:2987;height:160" type="#_x0000_t202" filled="false" stroked="false">
              <v:textbox inset="0,0,0,0">
                <w:txbxContent>
                  <w:p>
                    <w:pPr>
                      <w:spacing w:line="160" w:lineRule="exact" w:before="0"/>
                      <w:ind w:left="0" w:right="-20" w:firstLine="0"/>
                      <w:jc w:val="left"/>
                      <w:rPr>
                        <w:sz w:val="16"/>
                      </w:rPr>
                    </w:pPr>
                    <w:r>
                      <w:rPr>
                        <w:sz w:val="16"/>
                      </w:rPr>
                      <w:t>Programa Metropolitano Integral</w:t>
                    </w:r>
                    <w:r>
                      <w:rPr>
                        <w:spacing w:val="-10"/>
                        <w:sz w:val="16"/>
                      </w:rPr>
                      <w:t> </w:t>
                    </w:r>
                    <w:r>
                      <w:rPr>
                        <w:sz w:val="16"/>
                      </w:rPr>
                      <w:t>(PIDEM).</w:t>
                    </w:r>
                  </w:p>
                </w:txbxContent>
              </v:textbox>
              <w10:wrap type="none"/>
            </v:shape>
            <v:shape style="position:absolute;left:5611;top:-7593;width:1935;height:160" type="#_x0000_t202" filled="false" stroked="false">
              <v:textbox inset="0,0,0,0">
                <w:txbxContent>
                  <w:p>
                    <w:pPr>
                      <w:spacing w:line="160" w:lineRule="exact" w:before="0"/>
                      <w:ind w:left="0" w:right="-19" w:firstLine="0"/>
                      <w:jc w:val="left"/>
                      <w:rPr>
                        <w:sz w:val="16"/>
                      </w:rPr>
                    </w:pPr>
                    <w:r>
                      <w:rPr>
                        <w:sz w:val="16"/>
                      </w:rPr>
                      <w:t>Gobernanza</w:t>
                    </w:r>
                    <w:r>
                      <w:rPr>
                        <w:spacing w:val="-14"/>
                        <w:sz w:val="16"/>
                      </w:rPr>
                      <w:t> </w:t>
                    </w:r>
                    <w:r>
                      <w:rPr>
                        <w:sz w:val="16"/>
                      </w:rPr>
                      <w:t>Transparencia</w:t>
                    </w:r>
                  </w:p>
                </w:txbxContent>
              </v:textbox>
              <w10:wrap type="none"/>
            </v:shape>
            <v:shape style="position:absolute;left:896;top:-7353;width:7635;height:7120" type="#_x0000_t202" filled="false" stroked="false">
              <v:textbox inset="0,0,0,0">
                <w:txbxContent>
                  <w:p>
                    <w:pPr>
                      <w:tabs>
                        <w:tab w:pos="4587" w:val="left" w:leader="none"/>
                        <w:tab w:pos="7634" w:val="left" w:leader="none"/>
                      </w:tabs>
                      <w:spacing w:line="165" w:lineRule="exact" w:before="0"/>
                      <w:ind w:left="1243" w:right="0" w:firstLine="0"/>
                      <w:jc w:val="left"/>
                      <w:rPr>
                        <w:sz w:val="16"/>
                      </w:rPr>
                    </w:pPr>
                    <w:r>
                      <w:rPr>
                        <w:w w:val="100"/>
                        <w:sz w:val="16"/>
                        <w:u w:val="dotted" w:color="6D6E71"/>
                      </w:rPr>
                      <w:t> </w:t>
                    </w:r>
                    <w:r>
                      <w:rPr>
                        <w:sz w:val="16"/>
                        <w:u w:val="dotted" w:color="6D6E71"/>
                      </w:rPr>
                      <w:tab/>
                    </w:r>
                    <w:r>
                      <w:rPr>
                        <w:sz w:val="16"/>
                      </w:rPr>
                      <w:t> </w:t>
                    </w:r>
                    <w:r>
                      <w:rPr>
                        <w:w w:val="100"/>
                        <w:sz w:val="16"/>
                        <w:u w:val="dotted" w:color="6D6E71"/>
                      </w:rPr>
                      <w:t> </w:t>
                    </w:r>
                    <w:r>
                      <w:rPr>
                        <w:spacing w:val="-6"/>
                        <w:sz w:val="16"/>
                        <w:u w:val="dotted" w:color="6D6E71"/>
                      </w:rPr>
                      <w:t> </w:t>
                    </w:r>
                    <w:r>
                      <w:rPr>
                        <w:sz w:val="16"/>
                        <w:u w:val="dotted" w:color="6D6E71"/>
                      </w:rPr>
                      <w:t>Participac.,Pensamiento</w:t>
                    </w:r>
                    <w:r>
                      <w:rPr>
                        <w:spacing w:val="28"/>
                        <w:sz w:val="16"/>
                        <w:u w:val="dotted" w:color="6D6E71"/>
                      </w:rPr>
                      <w:t> </w:t>
                    </w:r>
                    <w:r>
                      <w:rPr>
                        <w:sz w:val="16"/>
                        <w:u w:val="dotted" w:color="6D6E71"/>
                      </w:rPr>
                      <w:t>estratégico</w:t>
                      <w:tab/>
                    </w:r>
                  </w:p>
                  <w:p>
                    <w:pPr>
                      <w:tabs>
                        <w:tab w:pos="1326" w:val="left" w:leader="none"/>
                        <w:tab w:pos="4715" w:val="left" w:leader="none"/>
                      </w:tabs>
                      <w:spacing w:before="56"/>
                      <w:ind w:left="78" w:right="0" w:firstLine="0"/>
                      <w:jc w:val="left"/>
                      <w:rPr>
                        <w:sz w:val="16"/>
                      </w:rPr>
                    </w:pPr>
                    <w:r>
                      <w:rPr>
                        <w:sz w:val="16"/>
                      </w:rPr>
                      <w:t>Mérida</w:t>
                      <w:tab/>
                      <w:t>Sistema de impulsion para la</w:t>
                    </w:r>
                    <w:r>
                      <w:rPr>
                        <w:spacing w:val="14"/>
                        <w:sz w:val="16"/>
                      </w:rPr>
                      <w:t> </w:t>
                    </w:r>
                    <w:r>
                      <w:rPr>
                        <w:sz w:val="16"/>
                      </w:rPr>
                      <w:t>micro</w:t>
                    </w:r>
                    <w:r>
                      <w:rPr>
                        <w:spacing w:val="2"/>
                        <w:sz w:val="16"/>
                      </w:rPr>
                      <w:t> </w:t>
                    </w:r>
                    <w:r>
                      <w:rPr>
                        <w:sz w:val="16"/>
                      </w:rPr>
                      <w:t>y</w:t>
                      <w:tab/>
                      <w:t>Promoción económica y</w:t>
                    </w:r>
                    <w:r>
                      <w:rPr>
                        <w:spacing w:val="34"/>
                        <w:sz w:val="16"/>
                      </w:rPr>
                      <w:t> </w:t>
                    </w:r>
                    <w:r>
                      <w:rPr>
                        <w:sz w:val="16"/>
                      </w:rPr>
                      <w:t>empleo</w:t>
                    </w:r>
                  </w:p>
                  <w:p>
                    <w:pPr>
                      <w:tabs>
                        <w:tab w:pos="1198" w:val="left" w:leader="none"/>
                        <w:tab w:pos="4587" w:val="left" w:leader="none"/>
                        <w:tab w:pos="4715" w:val="left" w:leader="none"/>
                        <w:tab w:pos="7634" w:val="left" w:leader="none"/>
                      </w:tabs>
                      <w:spacing w:line="312" w:lineRule="auto" w:before="56"/>
                      <w:ind w:left="78" w:right="0" w:hanging="79"/>
                      <w:jc w:val="left"/>
                      <w:rPr>
                        <w:sz w:val="16"/>
                      </w:rPr>
                    </w:pPr>
                    <w:r>
                      <w:rPr>
                        <w:w w:val="100"/>
                        <w:sz w:val="16"/>
                        <w:u w:val="dotted" w:color="6D6E71"/>
                      </w:rPr>
                      <w:t> </w:t>
                    </w:r>
                    <w:r>
                      <w:rPr>
                        <w:sz w:val="16"/>
                        <w:u w:val="dotted" w:color="6D6E71"/>
                      </w:rPr>
                      <w:tab/>
                      <w:tab/>
                    </w:r>
                    <w:r>
                      <w:rPr>
                        <w:sz w:val="16"/>
                      </w:rPr>
                      <w:t> </w:t>
                    </w:r>
                    <w:r>
                      <w:rPr>
                        <w:w w:val="100"/>
                        <w:sz w:val="16"/>
                        <w:u w:val="dotted" w:color="6D6E71"/>
                      </w:rPr>
                      <w:t> </w:t>
                    </w:r>
                    <w:r>
                      <w:rPr>
                        <w:spacing w:val="-6"/>
                        <w:sz w:val="16"/>
                        <w:u w:val="dotted" w:color="6D6E71"/>
                      </w:rPr>
                      <w:t> </w:t>
                    </w:r>
                    <w:r>
                      <w:rPr>
                        <w:sz w:val="16"/>
                        <w:u w:val="dotted" w:color="6D6E71"/>
                      </w:rPr>
                      <w:t>pequeña</w:t>
                    </w:r>
                    <w:r>
                      <w:rPr>
                        <w:spacing w:val="-5"/>
                        <w:sz w:val="16"/>
                        <w:u w:val="dotted" w:color="6D6E71"/>
                      </w:rPr>
                      <w:t> </w:t>
                    </w:r>
                    <w:r>
                      <w:rPr>
                        <w:sz w:val="16"/>
                        <w:u w:val="dotted" w:color="6D6E71"/>
                      </w:rPr>
                      <w:t>empresa.</w:t>
                    </w:r>
                    <w:r>
                      <w:rPr>
                        <w:spacing w:val="-5"/>
                        <w:sz w:val="16"/>
                        <w:u w:val="dotted" w:color="6D6E71"/>
                      </w:rPr>
                      <w:t> </w:t>
                    </w:r>
                    <w:r>
                      <w:rPr>
                        <w:sz w:val="16"/>
                        <w:u w:val="dotted" w:color="6D6E71"/>
                      </w:rPr>
                      <w:t>SIMPE.</w:t>
                      <w:tab/>
                    </w:r>
                    <w:r>
                      <w:rPr>
                        <w:sz w:val="16"/>
                      </w:rPr>
                      <w:t> </w:t>
                    </w:r>
                    <w:r>
                      <w:rPr>
                        <w:w w:val="100"/>
                        <w:sz w:val="16"/>
                        <w:u w:val="dotted" w:color="6D6E71"/>
                      </w:rPr>
                      <w:t> </w:t>
                    </w:r>
                    <w:r>
                      <w:rPr>
                        <w:sz w:val="16"/>
                        <w:u w:val="dotted" w:color="6D6E71"/>
                      </w:rPr>
                      <w:tab/>
                      <w:tab/>
                    </w:r>
                    <w:r>
                      <w:rPr>
                        <w:sz w:val="16"/>
                      </w:rPr>
                      <w:t> San Luís Potosí   Centro</w:t>
                    </w:r>
                    <w:r>
                      <w:rPr>
                        <w:spacing w:val="12"/>
                        <w:sz w:val="16"/>
                      </w:rPr>
                      <w:t> </w:t>
                    </w:r>
                    <w:r>
                      <w:rPr>
                        <w:sz w:val="16"/>
                      </w:rPr>
                      <w:t>Histórico,</w:t>
                    </w:r>
                    <w:r>
                      <w:rPr>
                        <w:spacing w:val="1"/>
                        <w:sz w:val="16"/>
                      </w:rPr>
                      <w:t> </w:t>
                    </w:r>
                    <w:r>
                      <w:rPr>
                        <w:sz w:val="16"/>
                      </w:rPr>
                      <w:t>núcleo urbano</w:t>
                    </w:r>
                    <w:r>
                      <w:rPr>
                        <w:spacing w:val="13"/>
                        <w:sz w:val="16"/>
                      </w:rPr>
                      <w:t> </w:t>
                    </w:r>
                    <w:r>
                      <w:rPr>
                        <w:sz w:val="16"/>
                      </w:rPr>
                      <w:t>de</w:t>
                    </w:r>
                    <w:r>
                      <w:rPr>
                        <w:spacing w:val="13"/>
                        <w:sz w:val="16"/>
                      </w:rPr>
                      <w:t> </w:t>
                    </w:r>
                    <w:r>
                      <w:rPr>
                        <w:sz w:val="16"/>
                      </w:rPr>
                      <w:t>todos.</w:t>
                      <w:tab/>
                      <w:tab/>
                      <w:t>Gobernanza</w:t>
                    </w:r>
                    <w:r>
                      <w:rPr>
                        <w:spacing w:val="-14"/>
                        <w:sz w:val="16"/>
                      </w:rPr>
                      <w:t> </w:t>
                    </w:r>
                    <w:r>
                      <w:rPr>
                        <w:sz w:val="16"/>
                      </w:rPr>
                      <w:t>Transparencia</w:t>
                    </w:r>
                  </w:p>
                  <w:p>
                    <w:pPr>
                      <w:tabs>
                        <w:tab w:pos="4587" w:val="left" w:leader="none"/>
                        <w:tab w:pos="7634" w:val="left" w:leader="none"/>
                      </w:tabs>
                      <w:spacing w:before="2"/>
                      <w:ind w:left="1243" w:right="0" w:firstLine="0"/>
                      <w:jc w:val="left"/>
                      <w:rPr>
                        <w:sz w:val="16"/>
                      </w:rPr>
                    </w:pPr>
                    <w:r>
                      <w:rPr>
                        <w:w w:val="100"/>
                        <w:sz w:val="16"/>
                        <w:u w:val="dotted" w:color="6D6E71"/>
                      </w:rPr>
                      <w:t> </w:t>
                    </w:r>
                    <w:r>
                      <w:rPr>
                        <w:sz w:val="16"/>
                        <w:u w:val="dotted" w:color="6D6E71"/>
                      </w:rPr>
                      <w:tab/>
                    </w:r>
                    <w:r>
                      <w:rPr>
                        <w:sz w:val="16"/>
                      </w:rPr>
                      <w:t> </w:t>
                    </w:r>
                    <w:r>
                      <w:rPr>
                        <w:w w:val="100"/>
                        <w:sz w:val="16"/>
                        <w:u w:val="dotted" w:color="6D6E71"/>
                      </w:rPr>
                      <w:t> </w:t>
                    </w:r>
                    <w:r>
                      <w:rPr>
                        <w:spacing w:val="-6"/>
                        <w:sz w:val="16"/>
                        <w:u w:val="dotted" w:color="6D6E71"/>
                      </w:rPr>
                      <w:t> </w:t>
                    </w:r>
                    <w:r>
                      <w:rPr>
                        <w:sz w:val="16"/>
                        <w:u w:val="dotted" w:color="6D6E71"/>
                      </w:rPr>
                      <w:t>Participacion.</w:t>
                      <w:tab/>
                    </w:r>
                  </w:p>
                  <w:p>
                    <w:pPr>
                      <w:spacing w:before="56"/>
                      <w:ind w:left="78" w:right="0" w:firstLine="0"/>
                      <w:jc w:val="left"/>
                      <w:rPr>
                        <w:sz w:val="16"/>
                      </w:rPr>
                    </w:pPr>
                    <w:r>
                      <w:rPr>
                        <w:sz w:val="16"/>
                      </w:rPr>
                      <w:t>San Luís Potosí   Plan de reordenamiento del equipamiento de    Pensamiento estratégico</w:t>
                    </w:r>
                  </w:p>
                  <w:p>
                    <w:pPr>
                      <w:tabs>
                        <w:tab w:pos="1198" w:val="left" w:leader="none"/>
                        <w:tab w:pos="4587" w:val="left" w:leader="none"/>
                        <w:tab w:pos="7634" w:val="left" w:leader="none"/>
                      </w:tabs>
                      <w:spacing w:before="56"/>
                      <w:ind w:left="0" w:right="0" w:firstLine="0"/>
                      <w:jc w:val="left"/>
                      <w:rPr>
                        <w:sz w:val="16"/>
                      </w:rPr>
                    </w:pPr>
                    <w:r>
                      <w:rPr>
                        <w:w w:val="100"/>
                        <w:sz w:val="16"/>
                        <w:u w:val="dotted" w:color="6D6E71"/>
                      </w:rPr>
                      <w:t> </w:t>
                    </w:r>
                    <w:r>
                      <w:rPr>
                        <w:sz w:val="16"/>
                        <w:u w:val="dotted" w:color="6D6E71"/>
                      </w:rPr>
                      <w:tab/>
                    </w:r>
                    <w:r>
                      <w:rPr>
                        <w:sz w:val="16"/>
                      </w:rPr>
                      <w:t> </w:t>
                    </w:r>
                    <w:r>
                      <w:rPr>
                        <w:w w:val="100"/>
                        <w:sz w:val="16"/>
                        <w:u w:val="dotted" w:color="6D6E71"/>
                      </w:rPr>
                      <w:t> </w:t>
                    </w:r>
                    <w:r>
                      <w:rPr>
                        <w:spacing w:val="-6"/>
                        <w:sz w:val="16"/>
                        <w:u w:val="dotted" w:color="6D6E71"/>
                      </w:rPr>
                      <w:t> </w:t>
                    </w:r>
                    <w:r>
                      <w:rPr>
                        <w:sz w:val="16"/>
                        <w:u w:val="dotted" w:color="6D6E71"/>
                      </w:rPr>
                      <w:t>educación</w:t>
                    </w:r>
                    <w:r>
                      <w:rPr>
                        <w:spacing w:val="20"/>
                        <w:sz w:val="16"/>
                        <w:u w:val="dotted" w:color="6D6E71"/>
                      </w:rPr>
                      <w:t> </w:t>
                    </w:r>
                    <w:r>
                      <w:rPr>
                        <w:sz w:val="16"/>
                        <w:u w:val="dotted" w:color="6D6E71"/>
                      </w:rPr>
                      <w:t>básica.</w:t>
                      <w:tab/>
                    </w:r>
                    <w:r>
                      <w:rPr>
                        <w:sz w:val="16"/>
                      </w:rPr>
                      <w:t> </w:t>
                    </w:r>
                    <w:r>
                      <w:rPr>
                        <w:w w:val="100"/>
                        <w:sz w:val="16"/>
                        <w:u w:val="dotted" w:color="6D6E71"/>
                      </w:rPr>
                      <w:t> </w:t>
                    </w:r>
                    <w:r>
                      <w:rPr>
                        <w:sz w:val="16"/>
                        <w:u w:val="dotted" w:color="6D6E71"/>
                      </w:rPr>
                      <w:tab/>
                    </w:r>
                  </w:p>
                  <w:p>
                    <w:pPr>
                      <w:tabs>
                        <w:tab w:pos="1198" w:val="left" w:leader="none"/>
                        <w:tab w:pos="1326" w:val="left" w:leader="none"/>
                        <w:tab w:pos="4587" w:val="left" w:leader="none"/>
                        <w:tab w:pos="4715" w:val="left" w:leader="none"/>
                        <w:tab w:pos="7634" w:val="left" w:leader="none"/>
                      </w:tabs>
                      <w:spacing w:line="312" w:lineRule="auto" w:before="56"/>
                      <w:ind w:left="78" w:right="0" w:hanging="79"/>
                      <w:jc w:val="left"/>
                      <w:rPr>
                        <w:sz w:val="16"/>
                      </w:rPr>
                    </w:pPr>
                    <w:r>
                      <w:rPr>
                        <w:w w:val="100"/>
                        <w:sz w:val="16"/>
                        <w:u w:val="dotted" w:color="6D6E71"/>
                      </w:rPr>
                      <w:t> </w:t>
                    </w:r>
                    <w:r>
                      <w:rPr>
                        <w:spacing w:val="-11"/>
                        <w:sz w:val="16"/>
                        <w:u w:val="dotted" w:color="6D6E71"/>
                      </w:rPr>
                      <w:t> </w:t>
                    </w:r>
                    <w:r>
                      <w:rPr>
                        <w:sz w:val="16"/>
                        <w:u w:val="dotted" w:color="6D6E71"/>
                      </w:rPr>
                      <w:t>Tijuana</w:t>
                      <w:tab/>
                    </w:r>
                    <w:r>
                      <w:rPr>
                        <w:sz w:val="16"/>
                        <w:u w:val="dotted" w:color="6D6E71"/>
                      </w:rPr>
                      <w:t> Centro Desarrollo</w:t>
                    </w:r>
                    <w:r>
                      <w:rPr>
                        <w:spacing w:val="-7"/>
                        <w:sz w:val="16"/>
                        <w:u w:val="dotted" w:color="6D6E71"/>
                      </w:rPr>
                      <w:t> </w:t>
                    </w:r>
                    <w:r>
                      <w:rPr>
                        <w:sz w:val="16"/>
                        <w:u w:val="dotted" w:color="6D6E71"/>
                      </w:rPr>
                      <w:t>Alamar,</w:t>
                    </w:r>
                    <w:r>
                      <w:rPr>
                        <w:spacing w:val="-4"/>
                        <w:sz w:val="16"/>
                        <w:u w:val="dotted" w:color="6D6E71"/>
                      </w:rPr>
                      <w:t> </w:t>
                    </w:r>
                    <w:r>
                      <w:rPr>
                        <w:sz w:val="16"/>
                        <w:u w:val="dotted" w:color="6D6E71"/>
                      </w:rPr>
                      <w:t>Tijuana.</w:t>
                      <w:tab/>
                    </w:r>
                    <w:r>
                      <w:rPr>
                        <w:sz w:val="16"/>
                        <w:u w:val="dotted" w:color="6D6E71"/>
                      </w:rPr>
                      <w:t> Promoción económica</w:t>
                    </w:r>
                    <w:r>
                      <w:rPr>
                        <w:spacing w:val="23"/>
                        <w:sz w:val="16"/>
                        <w:u w:val="dotted" w:color="6D6E71"/>
                      </w:rPr>
                      <w:t> </w:t>
                    </w:r>
                    <w:r>
                      <w:rPr>
                        <w:sz w:val="16"/>
                        <w:u w:val="dotted" w:color="6D6E71"/>
                      </w:rPr>
                      <w:t>y</w:t>
                    </w:r>
                    <w:r>
                      <w:rPr>
                        <w:spacing w:val="11"/>
                        <w:sz w:val="16"/>
                        <w:u w:val="dotted" w:color="6D6E71"/>
                      </w:rPr>
                      <w:t> </w:t>
                    </w:r>
                    <w:r>
                      <w:rPr>
                        <w:sz w:val="16"/>
                        <w:u w:val="dotted" w:color="6D6E71"/>
                      </w:rPr>
                      <w:t>empleo</w:t>
                      <w:tab/>
                    </w:r>
                    <w:r>
                      <w:rPr>
                        <w:sz w:val="16"/>
                      </w:rPr>
                      <w:t> Tijuana</w:t>
                      <w:tab/>
                      <w:tab/>
                      <w:t>Espacios para persona de la</w:t>
                    </w:r>
                    <w:r>
                      <w:rPr>
                        <w:spacing w:val="7"/>
                        <w:sz w:val="16"/>
                      </w:rPr>
                      <w:t> </w:t>
                    </w:r>
                    <w:r>
                      <w:rPr>
                        <w:sz w:val="16"/>
                      </w:rPr>
                      <w:t>3ª</w:t>
                    </w:r>
                    <w:r>
                      <w:rPr>
                        <w:spacing w:val="1"/>
                        <w:sz w:val="16"/>
                      </w:rPr>
                      <w:t> </w:t>
                    </w:r>
                    <w:r>
                      <w:rPr>
                        <w:sz w:val="16"/>
                      </w:rPr>
                      <w:t>edad,</w:t>
                      <w:tab/>
                      <w:tab/>
                      <w:t>Cohesión social, Espacio</w:t>
                    </w:r>
                    <w:r>
                      <w:rPr>
                        <w:spacing w:val="22"/>
                        <w:sz w:val="16"/>
                      </w:rPr>
                      <w:t> </w:t>
                    </w:r>
                    <w:r>
                      <w:rPr>
                        <w:sz w:val="16"/>
                      </w:rPr>
                      <w:t>Público</w:t>
                    </w:r>
                  </w:p>
                  <w:p>
                    <w:pPr>
                      <w:tabs>
                        <w:tab w:pos="1198" w:val="left" w:leader="none"/>
                        <w:tab w:pos="4587" w:val="left" w:leader="none"/>
                        <w:tab w:pos="7634" w:val="left" w:leader="none"/>
                      </w:tabs>
                      <w:spacing w:before="2"/>
                      <w:ind w:left="0" w:right="0" w:firstLine="0"/>
                      <w:jc w:val="left"/>
                      <w:rPr>
                        <w:sz w:val="16"/>
                      </w:rPr>
                    </w:pPr>
                    <w:r>
                      <w:rPr>
                        <w:w w:val="100"/>
                        <w:sz w:val="16"/>
                        <w:u w:val="dotted" w:color="6D6E71"/>
                      </w:rPr>
                      <w:t> </w:t>
                    </w:r>
                    <w:r>
                      <w:rPr>
                        <w:sz w:val="16"/>
                        <w:u w:val="dotted" w:color="6D6E71"/>
                      </w:rPr>
                      <w:tab/>
                    </w:r>
                    <w:r>
                      <w:rPr>
                        <w:sz w:val="16"/>
                      </w:rPr>
                      <w:t> </w:t>
                    </w:r>
                    <w:r>
                      <w:rPr>
                        <w:w w:val="100"/>
                        <w:sz w:val="16"/>
                        <w:u w:val="dotted" w:color="6D6E71"/>
                      </w:rPr>
                      <w:t> </w:t>
                    </w:r>
                    <w:r>
                      <w:rPr>
                        <w:spacing w:val="-6"/>
                        <w:sz w:val="16"/>
                        <w:u w:val="dotted" w:color="6D6E71"/>
                      </w:rPr>
                      <w:t> </w:t>
                    </w:r>
                    <w:r>
                      <w:rPr>
                        <w:sz w:val="16"/>
                        <w:u w:val="dotted" w:color="6D6E71"/>
                      </w:rPr>
                      <w:t>Tijuana.</w:t>
                      <w:tab/>
                    </w:r>
                    <w:r>
                      <w:rPr>
                        <w:sz w:val="16"/>
                      </w:rPr>
                      <w:t> </w:t>
                    </w:r>
                    <w:r>
                      <w:rPr>
                        <w:w w:val="100"/>
                        <w:sz w:val="16"/>
                        <w:u w:val="dotted" w:color="6D6E71"/>
                      </w:rPr>
                      <w:t> </w:t>
                    </w:r>
                    <w:r>
                      <w:rPr>
                        <w:sz w:val="16"/>
                        <w:u w:val="dotted" w:color="6D6E71"/>
                      </w:rPr>
                      <w:tab/>
                    </w:r>
                  </w:p>
                  <w:p>
                    <w:pPr>
                      <w:tabs>
                        <w:tab w:pos="1198" w:val="left" w:leader="none"/>
                        <w:tab w:pos="1326" w:val="left" w:leader="none"/>
                        <w:tab w:pos="4587" w:val="left" w:leader="none"/>
                        <w:tab w:pos="4715" w:val="left" w:leader="none"/>
                        <w:tab w:pos="7634" w:val="left" w:leader="none"/>
                      </w:tabs>
                      <w:spacing w:line="312" w:lineRule="auto" w:before="56"/>
                      <w:ind w:left="78" w:right="0" w:hanging="79"/>
                      <w:jc w:val="left"/>
                      <w:rPr>
                        <w:sz w:val="16"/>
                      </w:rPr>
                    </w:pPr>
                    <w:r>
                      <w:rPr>
                        <w:w w:val="100"/>
                        <w:sz w:val="16"/>
                        <w:u w:val="dotted" w:color="6D6E71"/>
                      </w:rPr>
                      <w:t> </w:t>
                    </w:r>
                    <w:r>
                      <w:rPr>
                        <w:spacing w:val="-11"/>
                        <w:sz w:val="16"/>
                        <w:u w:val="dotted" w:color="6D6E71"/>
                      </w:rPr>
                      <w:t> </w:t>
                    </w:r>
                    <w:r>
                      <w:rPr>
                        <w:sz w:val="16"/>
                        <w:u w:val="dotted" w:color="6D6E71"/>
                      </w:rPr>
                      <w:t>Tijuana</w:t>
                      <w:tab/>
                    </w:r>
                    <w:r>
                      <w:rPr>
                        <w:sz w:val="16"/>
                        <w:u w:val="dotted" w:color="6D6E71"/>
                      </w:rPr>
                      <w:t> Parque San</w:t>
                    </w:r>
                    <w:r>
                      <w:rPr>
                        <w:spacing w:val="-6"/>
                        <w:sz w:val="16"/>
                        <w:u w:val="dotted" w:color="6D6E71"/>
                      </w:rPr>
                      <w:t> </w:t>
                    </w:r>
                    <w:r>
                      <w:rPr>
                        <w:sz w:val="16"/>
                        <w:u w:val="dotted" w:color="6D6E71"/>
                      </w:rPr>
                      <w:t>Antonio,</w:t>
                    </w:r>
                    <w:r>
                      <w:rPr>
                        <w:spacing w:val="-3"/>
                        <w:sz w:val="16"/>
                        <w:u w:val="dotted" w:color="6D6E71"/>
                      </w:rPr>
                      <w:t> </w:t>
                    </w:r>
                    <w:r>
                      <w:rPr>
                        <w:sz w:val="16"/>
                        <w:u w:val="dotted" w:color="6D6E71"/>
                      </w:rPr>
                      <w:t>Tijuana.</w:t>
                      <w:tab/>
                    </w:r>
                    <w:r>
                      <w:rPr>
                        <w:sz w:val="16"/>
                        <w:u w:val="dotted" w:color="6D6E71"/>
                      </w:rPr>
                      <w:t> Espacio</w:t>
                    </w:r>
                    <w:r>
                      <w:rPr>
                        <w:spacing w:val="15"/>
                        <w:sz w:val="16"/>
                        <w:u w:val="dotted" w:color="6D6E71"/>
                      </w:rPr>
                      <w:t> </w:t>
                    </w:r>
                    <w:r>
                      <w:rPr>
                        <w:sz w:val="16"/>
                        <w:u w:val="dotted" w:color="6D6E71"/>
                      </w:rPr>
                      <w:t>Público,</w:t>
                    </w:r>
                    <w:r>
                      <w:rPr>
                        <w:spacing w:val="15"/>
                        <w:sz w:val="16"/>
                        <w:u w:val="dotted" w:color="6D6E71"/>
                      </w:rPr>
                      <w:t> </w:t>
                    </w:r>
                    <w:r>
                      <w:rPr>
                        <w:sz w:val="16"/>
                        <w:u w:val="dotted" w:color="6D6E71"/>
                      </w:rPr>
                      <w:t>Sostenibilidad</w:t>
                      <w:tab/>
                    </w:r>
                    <w:r>
                      <w:rPr>
                        <w:sz w:val="16"/>
                      </w:rPr>
                      <w:t> Tijuana</w:t>
                      <w:tab/>
                      <w:tab/>
                      <w:t>Valle de Las</w:t>
                    </w:r>
                    <w:r>
                      <w:rPr>
                        <w:spacing w:val="-29"/>
                        <w:sz w:val="16"/>
                      </w:rPr>
                      <w:t> </w:t>
                    </w:r>
                    <w:r>
                      <w:rPr>
                        <w:sz w:val="16"/>
                      </w:rPr>
                      <w:t>Palmas</w:t>
                    </w:r>
                    <w:r>
                      <w:rPr>
                        <w:spacing w:val="-10"/>
                        <w:sz w:val="16"/>
                      </w:rPr>
                      <w:t> </w:t>
                    </w:r>
                    <w:r>
                      <w:rPr>
                        <w:sz w:val="16"/>
                      </w:rPr>
                      <w:t>(Tijuana).</w:t>
                      <w:tab/>
                      <w:tab/>
                      <w:t>Cohesión</w:t>
                    </w:r>
                    <w:r>
                      <w:rPr>
                        <w:spacing w:val="8"/>
                        <w:sz w:val="16"/>
                      </w:rPr>
                      <w:t> </w:t>
                    </w:r>
                    <w:r>
                      <w:rPr>
                        <w:sz w:val="16"/>
                      </w:rPr>
                      <w:t>social</w:t>
                    </w:r>
                  </w:p>
                  <w:p>
                    <w:pPr>
                      <w:tabs>
                        <w:tab w:pos="1326" w:val="left" w:leader="none"/>
                        <w:tab w:pos="4715" w:val="left" w:leader="none"/>
                      </w:tabs>
                      <w:spacing w:before="2"/>
                      <w:ind w:left="78" w:right="0" w:firstLine="0"/>
                      <w:jc w:val="left"/>
                      <w:rPr>
                        <w:sz w:val="16"/>
                      </w:rPr>
                    </w:pPr>
                    <w:r>
                      <w:rPr>
                        <w:sz w:val="16"/>
                      </w:rPr>
                      <w:t>Zapopan</w:t>
                      <w:tab/>
                      <w:t>Bosque Pedagógico del</w:t>
                    </w:r>
                    <w:r>
                      <w:rPr>
                        <w:spacing w:val="15"/>
                        <w:sz w:val="16"/>
                      </w:rPr>
                      <w:t> </w:t>
                    </w:r>
                    <w:r>
                      <w:rPr>
                        <w:sz w:val="16"/>
                      </w:rPr>
                      <w:t>Agua,</w:t>
                    </w:r>
                    <w:r>
                      <w:rPr>
                        <w:spacing w:val="5"/>
                        <w:sz w:val="16"/>
                      </w:rPr>
                      <w:t> </w:t>
                    </w:r>
                    <w:r>
                      <w:rPr>
                        <w:sz w:val="16"/>
                      </w:rPr>
                      <w:t>Zapopan.</w:t>
                      <w:tab/>
                      <w:t>Espacio Público,</w:t>
                    </w:r>
                    <w:r>
                      <w:rPr>
                        <w:spacing w:val="31"/>
                        <w:sz w:val="16"/>
                      </w:rPr>
                      <w:t> </w:t>
                    </w:r>
                    <w:r>
                      <w:rPr>
                        <w:sz w:val="16"/>
                      </w:rPr>
                      <w:t>Sostenibilidad</w:t>
                    </w:r>
                  </w:p>
                  <w:p>
                    <w:pPr>
                      <w:spacing w:line="240" w:lineRule="auto" w:before="0"/>
                      <w:rPr>
                        <w:sz w:val="16"/>
                      </w:rPr>
                    </w:pPr>
                  </w:p>
                  <w:p>
                    <w:pPr>
                      <w:tabs>
                        <w:tab w:pos="1198" w:val="left" w:leader="none"/>
                        <w:tab w:pos="1326" w:val="left" w:leader="none"/>
                        <w:tab w:pos="4587" w:val="left" w:leader="none"/>
                        <w:tab w:pos="4715" w:val="left" w:leader="none"/>
                      </w:tabs>
                      <w:spacing w:line="312" w:lineRule="auto" w:before="112"/>
                      <w:ind w:left="78" w:right="4" w:hanging="79"/>
                      <w:jc w:val="left"/>
                      <w:rPr>
                        <w:sz w:val="16"/>
                      </w:rPr>
                    </w:pPr>
                    <w:r>
                      <w:rPr>
                        <w:w w:val="100"/>
                        <w:sz w:val="16"/>
                        <w:u w:val="dotted" w:color="6D6E71"/>
                      </w:rPr>
                      <w:t> </w:t>
                    </w:r>
                    <w:r>
                      <w:rPr>
                        <w:spacing w:val="-11"/>
                        <w:sz w:val="16"/>
                        <w:u w:val="dotted" w:color="6D6E71"/>
                      </w:rPr>
                      <w:t> </w:t>
                    </w:r>
                    <w:r>
                      <w:rPr>
                        <w:sz w:val="16"/>
                        <w:u w:val="dotted" w:color="6D6E71"/>
                      </w:rPr>
                      <w:t>Zapopan</w:t>
                      <w:tab/>
                    </w:r>
                    <w:r>
                      <w:rPr>
                        <w:sz w:val="16"/>
                        <w:u w:val="dotted" w:color="6D6E71"/>
                      </w:rPr>
                      <w:t> Consulta Ciudadana Zapopan</w:t>
                    </w:r>
                    <w:r>
                      <w:rPr>
                        <w:spacing w:val="12"/>
                        <w:sz w:val="16"/>
                        <w:u w:val="dotted" w:color="6D6E71"/>
                      </w:rPr>
                      <w:t> </w:t>
                    </w:r>
                    <w:r>
                      <w:rPr>
                        <w:sz w:val="16"/>
                        <w:u w:val="dotted" w:color="6D6E71"/>
                      </w:rPr>
                      <w:t>2011</w:t>
                    </w:r>
                    <w:r>
                      <w:rPr>
                        <w:spacing w:val="4"/>
                        <w:sz w:val="16"/>
                        <w:u w:val="dotted" w:color="6D6E71"/>
                      </w:rPr>
                      <w:t> </w:t>
                    </w:r>
                    <w:r>
                      <w:rPr>
                        <w:sz w:val="16"/>
                        <w:u w:val="dotted" w:color="6D6E71"/>
                      </w:rPr>
                      <w:t>.</w:t>
                      <w:tab/>
                    </w:r>
                    <w:r>
                      <w:rPr>
                        <w:sz w:val="16"/>
                        <w:u w:val="dotted" w:color="6D6E71"/>
                      </w:rPr>
                      <w:t> Gobernanza</w:t>
                    </w:r>
                    <w:r>
                      <w:rPr>
                        <w:spacing w:val="2"/>
                        <w:sz w:val="16"/>
                        <w:u w:val="dotted" w:color="6D6E71"/>
                      </w:rPr>
                      <w:t> </w:t>
                    </w:r>
                    <w:r>
                      <w:rPr>
                        <w:sz w:val="16"/>
                        <w:u w:val="dotted" w:color="6D6E71"/>
                      </w:rPr>
                      <w:t>Transparencia</w:t>
                    </w:r>
                    <w:r>
                      <w:rPr>
                        <w:spacing w:val="2"/>
                        <w:sz w:val="16"/>
                        <w:u w:val="dotted" w:color="6D6E71"/>
                      </w:rPr>
                      <w:t> </w:t>
                    </w:r>
                    <w:r>
                      <w:rPr>
                        <w:sz w:val="16"/>
                        <w:u w:val="dotted" w:color="6D6E71"/>
                      </w:rPr>
                      <w:t>Participación</w:t>
                    </w:r>
                    <w:r>
                      <w:rPr>
                        <w:w w:val="101"/>
                        <w:sz w:val="16"/>
                      </w:rPr>
                      <w:t> </w:t>
                    </w:r>
                    <w:r>
                      <w:rPr>
                        <w:sz w:val="16"/>
                      </w:rPr>
                      <w:t>Zapopan</w:t>
                      <w:tab/>
                      <w:tab/>
                      <w:t>Convivencia Escolar</w:t>
                    </w:r>
                    <w:r>
                      <w:rPr>
                        <w:spacing w:val="-4"/>
                        <w:sz w:val="16"/>
                      </w:rPr>
                      <w:t> </w:t>
                    </w:r>
                    <w:r>
                      <w:rPr>
                        <w:sz w:val="16"/>
                      </w:rPr>
                      <w:t>ANTI-BULLYING</w:t>
                    </w:r>
                    <w:r>
                      <w:rPr>
                        <w:spacing w:val="-2"/>
                        <w:sz w:val="16"/>
                      </w:rPr>
                      <w:t> </w:t>
                    </w:r>
                    <w:r>
                      <w:rPr>
                        <w:sz w:val="16"/>
                      </w:rPr>
                      <w:t>.</w:t>
                      <w:tab/>
                      <w:tab/>
                      <w:t>Cohesión social, Educación</w:t>
                    </w:r>
                    <w:r>
                      <w:rPr>
                        <w:spacing w:val="19"/>
                        <w:sz w:val="16"/>
                      </w:rPr>
                      <w:t> </w:t>
                    </w:r>
                    <w:r>
                      <w:rPr>
                        <w:sz w:val="16"/>
                      </w:rPr>
                      <w:t>Cultura</w:t>
                    </w:r>
                  </w:p>
                  <w:p>
                    <w:pPr>
                      <w:tabs>
                        <w:tab w:pos="1326" w:val="left" w:leader="none"/>
                        <w:tab w:pos="4587" w:val="left" w:leader="none"/>
                        <w:tab w:pos="4715" w:val="left" w:leader="none"/>
                        <w:tab w:pos="7634" w:val="left" w:leader="none"/>
                      </w:tabs>
                      <w:spacing w:line="312" w:lineRule="auto" w:before="2"/>
                      <w:ind w:left="78" w:right="0" w:firstLine="1165"/>
                      <w:jc w:val="left"/>
                      <w:rPr>
                        <w:sz w:val="16"/>
                      </w:rPr>
                    </w:pPr>
                    <w:r>
                      <w:rPr>
                        <w:w w:val="100"/>
                        <w:sz w:val="16"/>
                        <w:u w:val="dotted" w:color="6D6E71"/>
                      </w:rPr>
                      <w:t> </w:t>
                    </w:r>
                    <w:r>
                      <w:rPr>
                        <w:sz w:val="16"/>
                        <w:u w:val="dotted" w:color="6D6E71"/>
                      </w:rPr>
                      <w:tab/>
                      <w:tab/>
                    </w:r>
                    <w:r>
                      <w:rPr>
                        <w:sz w:val="16"/>
                      </w:rPr>
                      <w:t> </w:t>
                    </w:r>
                    <w:r>
                      <w:rPr>
                        <w:w w:val="100"/>
                        <w:sz w:val="16"/>
                        <w:u w:val="dotted" w:color="6D6E71"/>
                      </w:rPr>
                      <w:t> </w:t>
                    </w:r>
                    <w:r>
                      <w:rPr>
                        <w:spacing w:val="-6"/>
                        <w:sz w:val="16"/>
                        <w:u w:val="dotted" w:color="6D6E71"/>
                      </w:rPr>
                      <w:t> </w:t>
                    </w:r>
                    <w:r>
                      <w:rPr>
                        <w:sz w:val="16"/>
                        <w:u w:val="dotted" w:color="6D6E71"/>
                      </w:rPr>
                      <w:t>Cambio</w:t>
                    </w:r>
                    <w:r>
                      <w:rPr>
                        <w:spacing w:val="17"/>
                        <w:sz w:val="16"/>
                        <w:u w:val="dotted" w:color="6D6E71"/>
                      </w:rPr>
                      <w:t> </w:t>
                    </w:r>
                    <w:r>
                      <w:rPr>
                        <w:sz w:val="16"/>
                        <w:u w:val="dotted" w:color="6D6E71"/>
                      </w:rPr>
                      <w:t>cultural</w:t>
                      <w:tab/>
                    </w:r>
                    <w:r>
                      <w:rPr>
                        <w:sz w:val="16"/>
                      </w:rPr>
                      <w:t> Zapopan</w:t>
                      <w:tab/>
                      <w:t>Corredor Multimodal</w:t>
                    </w:r>
                    <w:r>
                      <w:rPr>
                        <w:spacing w:val="12"/>
                        <w:sz w:val="16"/>
                      </w:rPr>
                      <w:t> </w:t>
                    </w:r>
                    <w:r>
                      <w:rPr>
                        <w:sz w:val="16"/>
                      </w:rPr>
                      <w:t>Santa</w:t>
                    </w:r>
                    <w:r>
                      <w:rPr>
                        <w:spacing w:val="6"/>
                        <w:sz w:val="16"/>
                      </w:rPr>
                      <w:t> </w:t>
                    </w:r>
                    <w:r>
                      <w:rPr>
                        <w:sz w:val="16"/>
                      </w:rPr>
                      <w:t>Margarita</w:t>
                      <w:tab/>
                      <w:tab/>
                      <w:t>Espacio Público,</w:t>
                    </w:r>
                    <w:r>
                      <w:rPr>
                        <w:spacing w:val="31"/>
                        <w:sz w:val="16"/>
                      </w:rPr>
                      <w:t> </w:t>
                    </w:r>
                    <w:r>
                      <w:rPr>
                        <w:sz w:val="16"/>
                      </w:rPr>
                      <w:t>Movilidad</w:t>
                    </w:r>
                  </w:p>
                  <w:p>
                    <w:pPr>
                      <w:tabs>
                        <w:tab w:pos="1198" w:val="left" w:leader="none"/>
                        <w:tab w:pos="1326" w:val="left" w:leader="none"/>
                        <w:tab w:pos="4587" w:val="left" w:leader="none"/>
                        <w:tab w:pos="4715" w:val="left" w:leader="none"/>
                        <w:tab w:pos="7634" w:val="left" w:leader="none"/>
                      </w:tabs>
                      <w:spacing w:line="312" w:lineRule="auto" w:before="2"/>
                      <w:ind w:left="78" w:right="0" w:hanging="79"/>
                      <w:jc w:val="left"/>
                      <w:rPr>
                        <w:sz w:val="16"/>
                      </w:rPr>
                    </w:pPr>
                    <w:r>
                      <w:rPr>
                        <w:w w:val="100"/>
                        <w:sz w:val="16"/>
                        <w:u w:val="dotted" w:color="6D6E71"/>
                      </w:rPr>
                      <w:t> </w:t>
                    </w:r>
                    <w:r>
                      <w:rPr>
                        <w:sz w:val="16"/>
                        <w:u w:val="dotted" w:color="6D6E71"/>
                      </w:rPr>
                      <w:tab/>
                      <w:tab/>
                    </w:r>
                    <w:r>
                      <w:rPr>
                        <w:sz w:val="16"/>
                      </w:rPr>
                      <w:t> </w:t>
                    </w:r>
                    <w:r>
                      <w:rPr>
                        <w:w w:val="100"/>
                        <w:sz w:val="16"/>
                        <w:u w:val="dotted" w:color="6D6E71"/>
                      </w:rPr>
                      <w:t> </w:t>
                    </w:r>
                    <w:r>
                      <w:rPr>
                        <w:spacing w:val="-6"/>
                        <w:sz w:val="16"/>
                        <w:u w:val="dotted" w:color="6D6E71"/>
                      </w:rPr>
                      <w:t> </w:t>
                    </w:r>
                    <w:r>
                      <w:rPr>
                        <w:sz w:val="16"/>
                        <w:u w:val="dotted" w:color="6D6E71"/>
                      </w:rPr>
                      <w:t>-Zapopan.</w:t>
                      <w:tab/>
                    </w:r>
                    <w:r>
                      <w:rPr>
                        <w:sz w:val="16"/>
                        <w:u w:val="dotted" w:color="6D6E71"/>
                      </w:rPr>
                      <w:tab/>
                      <w:tab/>
                    </w:r>
                    <w:r>
                      <w:rPr>
                        <w:sz w:val="16"/>
                      </w:rPr>
                      <w:t> Zapopan</w:t>
                      <w:tab/>
                      <w:tab/>
                      <w:t>Distrito Cultural</w:t>
                    </w:r>
                    <w:r>
                      <w:rPr>
                        <w:spacing w:val="10"/>
                        <w:sz w:val="16"/>
                      </w:rPr>
                      <w:t> </w:t>
                    </w:r>
                    <w:r>
                      <w:rPr>
                        <w:sz w:val="16"/>
                      </w:rPr>
                      <w:t>Universitario,</w:t>
                    </w:r>
                    <w:r>
                      <w:rPr>
                        <w:spacing w:val="5"/>
                        <w:sz w:val="16"/>
                      </w:rPr>
                      <w:t> </w:t>
                    </w:r>
                    <w:r>
                      <w:rPr>
                        <w:sz w:val="16"/>
                      </w:rPr>
                      <w:t>Zapopan.</w:t>
                      <w:tab/>
                      <w:tab/>
                      <w:t>Educación Cultura Cambio</w:t>
                    </w:r>
                    <w:r>
                      <w:rPr>
                        <w:spacing w:val="28"/>
                        <w:sz w:val="16"/>
                      </w:rPr>
                      <w:t> </w:t>
                    </w:r>
                    <w:r>
                      <w:rPr>
                        <w:sz w:val="16"/>
                      </w:rPr>
                      <w:t>cultural,</w:t>
                    </w:r>
                  </w:p>
                  <w:p>
                    <w:pPr>
                      <w:tabs>
                        <w:tab w:pos="4587" w:val="left" w:leader="none"/>
                        <w:tab w:pos="7634" w:val="left" w:leader="none"/>
                      </w:tabs>
                      <w:spacing w:before="2"/>
                      <w:ind w:left="1243" w:right="0" w:firstLine="0"/>
                      <w:jc w:val="left"/>
                      <w:rPr>
                        <w:sz w:val="16"/>
                      </w:rPr>
                    </w:pPr>
                    <w:r>
                      <w:rPr>
                        <w:w w:val="100"/>
                        <w:sz w:val="16"/>
                        <w:u w:val="dotted" w:color="6D6E71"/>
                      </w:rPr>
                      <w:t> </w:t>
                    </w:r>
                    <w:r>
                      <w:rPr>
                        <w:sz w:val="16"/>
                        <w:u w:val="dotted" w:color="6D6E71"/>
                      </w:rPr>
                      <w:tab/>
                    </w:r>
                    <w:r>
                      <w:rPr>
                        <w:sz w:val="16"/>
                      </w:rPr>
                      <w:t> </w:t>
                    </w:r>
                    <w:r>
                      <w:rPr>
                        <w:w w:val="100"/>
                        <w:sz w:val="16"/>
                        <w:u w:val="dotted" w:color="6D6E71"/>
                      </w:rPr>
                      <w:t> </w:t>
                    </w:r>
                    <w:r>
                      <w:rPr>
                        <w:spacing w:val="-6"/>
                        <w:sz w:val="16"/>
                        <w:u w:val="dotted" w:color="6D6E71"/>
                      </w:rPr>
                      <w:t> </w:t>
                    </w:r>
                    <w:r>
                      <w:rPr>
                        <w:sz w:val="16"/>
                        <w:u w:val="dotted" w:color="6D6E71"/>
                      </w:rPr>
                      <w:t>Urbanismo</w:t>
                      <w:tab/>
                    </w:r>
                  </w:p>
                  <w:p>
                    <w:pPr>
                      <w:tabs>
                        <w:tab w:pos="1198" w:val="left" w:leader="none"/>
                        <w:tab w:pos="1326" w:val="left" w:leader="none"/>
                        <w:tab w:pos="4587" w:val="left" w:leader="none"/>
                        <w:tab w:pos="4715" w:val="left" w:leader="none"/>
                        <w:tab w:pos="7634" w:val="left" w:leader="none"/>
                      </w:tabs>
                      <w:spacing w:line="312" w:lineRule="auto" w:before="56"/>
                      <w:ind w:left="78" w:right="0" w:hanging="79"/>
                      <w:jc w:val="left"/>
                      <w:rPr>
                        <w:sz w:val="16"/>
                      </w:rPr>
                    </w:pPr>
                    <w:r>
                      <w:rPr>
                        <w:w w:val="100"/>
                        <w:sz w:val="16"/>
                        <w:u w:val="dotted" w:color="6D6E71"/>
                      </w:rPr>
                      <w:t> </w:t>
                    </w:r>
                    <w:r>
                      <w:rPr>
                        <w:spacing w:val="-11"/>
                        <w:sz w:val="16"/>
                        <w:u w:val="dotted" w:color="6D6E71"/>
                      </w:rPr>
                      <w:t> </w:t>
                    </w:r>
                    <w:r>
                      <w:rPr>
                        <w:sz w:val="16"/>
                        <w:u w:val="dotted" w:color="6D6E71"/>
                      </w:rPr>
                      <w:t>Zapopan</w:t>
                      <w:tab/>
                    </w:r>
                    <w:r>
                      <w:rPr>
                        <w:sz w:val="16"/>
                        <w:u w:val="dotted" w:color="6D6E71"/>
                      </w:rPr>
                      <w:t> Incuba tu</w:t>
                    </w:r>
                    <w:r>
                      <w:rPr>
                        <w:spacing w:val="18"/>
                        <w:sz w:val="16"/>
                        <w:u w:val="dotted" w:color="6D6E71"/>
                      </w:rPr>
                      <w:t> </w:t>
                    </w:r>
                    <w:r>
                      <w:rPr>
                        <w:sz w:val="16"/>
                        <w:u w:val="dotted" w:color="6D6E71"/>
                      </w:rPr>
                      <w:t>Proyecto</w:t>
                    </w:r>
                    <w:r>
                      <w:rPr>
                        <w:spacing w:val="9"/>
                        <w:sz w:val="16"/>
                        <w:u w:val="dotted" w:color="6D6E71"/>
                      </w:rPr>
                      <w:t> </w:t>
                    </w:r>
                    <w:r>
                      <w:rPr>
                        <w:sz w:val="16"/>
                        <w:u w:val="dotted" w:color="6D6E71"/>
                      </w:rPr>
                      <w:t>Social.</w:t>
                      <w:tab/>
                    </w:r>
                    <w:r>
                      <w:rPr>
                        <w:sz w:val="16"/>
                        <w:u w:val="dotted" w:color="6D6E71"/>
                      </w:rPr>
                      <w:t> Cohesión</w:t>
                    </w:r>
                    <w:r>
                      <w:rPr>
                        <w:spacing w:val="8"/>
                        <w:sz w:val="16"/>
                        <w:u w:val="dotted" w:color="6D6E71"/>
                      </w:rPr>
                      <w:t> </w:t>
                    </w:r>
                    <w:r>
                      <w:rPr>
                        <w:sz w:val="16"/>
                        <w:u w:val="dotted" w:color="6D6E71"/>
                      </w:rPr>
                      <w:t>social</w:t>
                      <w:tab/>
                    </w:r>
                    <w:r>
                      <w:rPr>
                        <w:sz w:val="16"/>
                      </w:rPr>
                      <w:t> Zapopan</w:t>
                      <w:tab/>
                      <w:tab/>
                      <w:t>Programa</w:t>
                    </w:r>
                    <w:r>
                      <w:rPr>
                        <w:spacing w:val="1"/>
                        <w:sz w:val="16"/>
                      </w:rPr>
                      <w:t> </w:t>
                    </w:r>
                    <w:r>
                      <w:rPr>
                        <w:sz w:val="16"/>
                      </w:rPr>
                      <w:t>de</w:t>
                    </w:r>
                    <w:r>
                      <w:rPr>
                        <w:spacing w:val="1"/>
                        <w:sz w:val="16"/>
                      </w:rPr>
                      <w:t> </w:t>
                    </w:r>
                    <w:r>
                      <w:rPr>
                        <w:sz w:val="16"/>
                      </w:rPr>
                      <w:t>Internacionalización.</w:t>
                      <w:tab/>
                      <w:tab/>
                      <w:t>Gobernanza</w:t>
                    </w:r>
                    <w:r>
                      <w:rPr>
                        <w:spacing w:val="-14"/>
                        <w:sz w:val="16"/>
                      </w:rPr>
                      <w:t> </w:t>
                    </w:r>
                    <w:r>
                      <w:rPr>
                        <w:sz w:val="16"/>
                      </w:rPr>
                      <w:t>Transparencia</w:t>
                    </w:r>
                  </w:p>
                  <w:p>
                    <w:pPr>
                      <w:tabs>
                        <w:tab w:pos="4587" w:val="left" w:leader="none"/>
                      </w:tabs>
                      <w:spacing w:before="2"/>
                      <w:ind w:left="1243" w:right="0" w:firstLine="0"/>
                      <w:jc w:val="left"/>
                      <w:rPr>
                        <w:sz w:val="16"/>
                      </w:rPr>
                    </w:pPr>
                    <w:r>
                      <w:rPr>
                        <w:w w:val="100"/>
                        <w:sz w:val="16"/>
                        <w:u w:val="dotted" w:color="6D6E71"/>
                      </w:rPr>
                      <w:t> </w:t>
                    </w:r>
                    <w:r>
                      <w:rPr>
                        <w:sz w:val="16"/>
                        <w:u w:val="dotted" w:color="6D6E71"/>
                      </w:rPr>
                      <w:tab/>
                    </w:r>
                    <w:r>
                      <w:rPr>
                        <w:sz w:val="16"/>
                      </w:rPr>
                      <w:t> </w:t>
                    </w:r>
                    <w:r>
                      <w:rPr>
                        <w:w w:val="100"/>
                        <w:sz w:val="16"/>
                        <w:u w:val="dotted" w:color="6D6E71"/>
                      </w:rPr>
                      <w:t> </w:t>
                    </w:r>
                    <w:r>
                      <w:rPr>
                        <w:spacing w:val="-6"/>
                        <w:sz w:val="16"/>
                        <w:u w:val="dotted" w:color="6D6E71"/>
                      </w:rPr>
                      <w:t> </w:t>
                    </w:r>
                    <w:r>
                      <w:rPr>
                        <w:sz w:val="16"/>
                        <w:u w:val="dotted" w:color="6D6E71"/>
                      </w:rPr>
                      <w:t>Participación, Identidad Marca</w:t>
                    </w:r>
                    <w:r>
                      <w:rPr>
                        <w:spacing w:val="37"/>
                        <w:sz w:val="16"/>
                        <w:u w:val="dotted" w:color="6D6E71"/>
                      </w:rPr>
                      <w:t> </w:t>
                    </w:r>
                    <w:r>
                      <w:rPr>
                        <w:sz w:val="16"/>
                        <w:u w:val="dotted" w:color="6D6E71"/>
                      </w:rPr>
                      <w:t>urbana</w:t>
                    </w:r>
                    <w:r>
                      <w:rPr>
                        <w:spacing w:val="9"/>
                        <w:sz w:val="16"/>
                        <w:u w:val="dotted" w:color="6D6E71"/>
                      </w:rPr>
                      <w:t> </w:t>
                    </w:r>
                  </w:p>
                  <w:p>
                    <w:pPr>
                      <w:tabs>
                        <w:tab w:pos="1198" w:val="left" w:leader="none"/>
                        <w:tab w:pos="1326" w:val="left" w:leader="none"/>
                        <w:tab w:pos="4587" w:val="left" w:leader="none"/>
                        <w:tab w:pos="4715" w:val="left" w:leader="none"/>
                        <w:tab w:pos="7634" w:val="left" w:leader="none"/>
                      </w:tabs>
                      <w:spacing w:line="312" w:lineRule="auto" w:before="56"/>
                      <w:ind w:left="78" w:right="0" w:hanging="79"/>
                      <w:jc w:val="left"/>
                      <w:rPr>
                        <w:sz w:val="16"/>
                      </w:rPr>
                    </w:pPr>
                    <w:r>
                      <w:rPr>
                        <w:w w:val="100"/>
                        <w:sz w:val="16"/>
                        <w:u w:val="dotted" w:color="6D6E71"/>
                      </w:rPr>
                      <w:t> </w:t>
                    </w:r>
                    <w:r>
                      <w:rPr>
                        <w:spacing w:val="-11"/>
                        <w:sz w:val="16"/>
                        <w:u w:val="dotted" w:color="6D6E71"/>
                      </w:rPr>
                      <w:t> </w:t>
                    </w:r>
                    <w:r>
                      <w:rPr>
                        <w:sz w:val="16"/>
                        <w:u w:val="dotted" w:color="6D6E71"/>
                      </w:rPr>
                      <w:t>Zapopan</w:t>
                      <w:tab/>
                    </w:r>
                    <w:r>
                      <w:rPr>
                        <w:sz w:val="16"/>
                        <w:u w:val="dotted" w:color="6D6E71"/>
                      </w:rPr>
                      <w:t> Reingeniería de la</w:t>
                    </w:r>
                    <w:r>
                      <w:rPr>
                        <w:spacing w:val="-1"/>
                        <w:sz w:val="16"/>
                        <w:u w:val="dotted" w:color="6D6E71"/>
                      </w:rPr>
                      <w:t> </w:t>
                    </w:r>
                    <w:r>
                      <w:rPr>
                        <w:sz w:val="16"/>
                        <w:u w:val="dotted" w:color="6D6E71"/>
                      </w:rPr>
                      <w:t>Administración</w:t>
                    </w:r>
                    <w:r>
                      <w:rPr>
                        <w:spacing w:val="-1"/>
                        <w:sz w:val="16"/>
                        <w:u w:val="dotted" w:color="6D6E71"/>
                      </w:rPr>
                      <w:t> </w:t>
                    </w:r>
                    <w:r>
                      <w:rPr>
                        <w:sz w:val="16"/>
                        <w:u w:val="dotted" w:color="6D6E71"/>
                      </w:rPr>
                      <w:t>Pública.</w:t>
                      <w:tab/>
                    </w:r>
                    <w:r>
                      <w:rPr>
                        <w:sz w:val="16"/>
                        <w:u w:val="dotted" w:color="6D6E71"/>
                      </w:rPr>
                      <w:t> Innovación</w:t>
                      <w:tab/>
                    </w:r>
                    <w:r>
                      <w:rPr>
                        <w:sz w:val="16"/>
                      </w:rPr>
                      <w:t> Zapopan</w:t>
                      <w:tab/>
                      <w:tab/>
                      <w:t>Sistema de</w:t>
                    </w:r>
                    <w:r>
                      <w:rPr>
                        <w:spacing w:val="4"/>
                        <w:sz w:val="16"/>
                      </w:rPr>
                      <w:t> </w:t>
                    </w:r>
                    <w:r>
                      <w:rPr>
                        <w:sz w:val="16"/>
                      </w:rPr>
                      <w:t>Transporte</w:t>
                    </w:r>
                    <w:r>
                      <w:rPr>
                        <w:spacing w:val="2"/>
                        <w:sz w:val="16"/>
                      </w:rPr>
                      <w:t> </w:t>
                    </w:r>
                    <w:r>
                      <w:rPr>
                        <w:sz w:val="16"/>
                      </w:rPr>
                      <w:t>Urbano.</w:t>
                      <w:tab/>
                      <w:tab/>
                      <w:t>Movilidad</w:t>
                    </w:r>
                  </w:p>
                  <w:p>
                    <w:pPr>
                      <w:tabs>
                        <w:tab w:pos="1326" w:val="left" w:leader="none"/>
                        <w:tab w:pos="4715" w:val="left" w:leader="none"/>
                      </w:tabs>
                      <w:spacing w:before="2"/>
                      <w:ind w:left="78" w:right="0" w:firstLine="0"/>
                      <w:jc w:val="left"/>
                      <w:rPr>
                        <w:sz w:val="16"/>
                      </w:rPr>
                    </w:pPr>
                    <w:r>
                      <w:rPr>
                        <w:sz w:val="16"/>
                      </w:rPr>
                      <w:t>Zapopan</w:t>
                      <w:tab/>
                      <w:t>ZAP y Zona</w:t>
                    </w:r>
                    <w:r>
                      <w:rPr>
                        <w:spacing w:val="1"/>
                        <w:sz w:val="16"/>
                      </w:rPr>
                      <w:t> </w:t>
                    </w:r>
                    <w:r>
                      <w:rPr>
                        <w:sz w:val="16"/>
                      </w:rPr>
                      <w:t>30, Zapopan.</w:t>
                      <w:tab/>
                      <w:t>Espacio</w:t>
                    </w:r>
                    <w:r>
                      <w:rPr>
                        <w:spacing w:val="14"/>
                        <w:sz w:val="16"/>
                      </w:rPr>
                      <w:t> </w:t>
                    </w:r>
                    <w:r>
                      <w:rPr>
                        <w:sz w:val="16"/>
                      </w:rPr>
                      <w:t>Público</w:t>
                    </w:r>
                  </w:p>
                  <w:p>
                    <w:pPr>
                      <w:spacing w:line="240" w:lineRule="auto" w:before="10"/>
                      <w:rPr>
                        <w:sz w:val="20"/>
                      </w:rPr>
                    </w:pPr>
                  </w:p>
                  <w:p>
                    <w:pPr>
                      <w:tabs>
                        <w:tab w:pos="1198" w:val="left" w:leader="none"/>
                        <w:tab w:pos="1371" w:val="left" w:leader="none"/>
                        <w:tab w:pos="4587" w:val="left" w:leader="none"/>
                        <w:tab w:pos="4760" w:val="left" w:leader="none"/>
                        <w:tab w:pos="7634" w:val="left" w:leader="none"/>
                      </w:tabs>
                      <w:spacing w:line="240" w:lineRule="atLeast" w:before="0"/>
                      <w:ind w:left="78" w:right="0" w:hanging="79"/>
                      <w:jc w:val="left"/>
                      <w:rPr>
                        <w:sz w:val="16"/>
                      </w:rPr>
                    </w:pPr>
                    <w:r>
                      <w:rPr>
                        <w:w w:val="100"/>
                        <w:sz w:val="16"/>
                        <w:u w:val="dotted" w:color="6D6E71"/>
                      </w:rPr>
                      <w:t> </w:t>
                    </w:r>
                    <w:r>
                      <w:rPr>
                        <w:spacing w:val="-11"/>
                        <w:sz w:val="16"/>
                        <w:u w:val="dotted" w:color="6D6E71"/>
                      </w:rPr>
                      <w:t> </w:t>
                    </w:r>
                    <w:r>
                      <w:rPr>
                        <w:sz w:val="16"/>
                        <w:u w:val="dotted" w:color="6D6E71"/>
                      </w:rPr>
                      <w:t>Zapopan</w:t>
                      <w:tab/>
                    </w:r>
                    <w:r>
                      <w:rPr>
                        <w:sz w:val="16"/>
                        <w:u w:val="dotted" w:color="6D6E71"/>
                      </w:rPr>
                      <w:t> Zapopan</w:t>
                    </w:r>
                    <w:r>
                      <w:rPr>
                        <w:spacing w:val="11"/>
                        <w:sz w:val="16"/>
                        <w:u w:val="dotted" w:color="6D6E71"/>
                      </w:rPr>
                      <w:t> </w:t>
                    </w:r>
                    <w:r>
                      <w:rPr>
                        <w:sz w:val="16"/>
                        <w:u w:val="dotted" w:color="6D6E71"/>
                      </w:rPr>
                      <w:t>Ciudad</w:t>
                    </w:r>
                    <w:r>
                      <w:rPr>
                        <w:spacing w:val="11"/>
                        <w:sz w:val="16"/>
                        <w:u w:val="dotted" w:color="6D6E71"/>
                      </w:rPr>
                      <w:t> </w:t>
                    </w:r>
                    <w:r>
                      <w:rPr>
                        <w:sz w:val="16"/>
                        <w:u w:val="dotted" w:color="6D6E71"/>
                      </w:rPr>
                      <w:t>inteligente.</w:t>
                      <w:tab/>
                    </w:r>
                    <w:r>
                      <w:rPr>
                        <w:sz w:val="16"/>
                        <w:u w:val="dotted" w:color="6D6E71"/>
                      </w:rPr>
                      <w:t> Innovación</w:t>
                      <w:tab/>
                    </w:r>
                    <w:r>
                      <w:rPr>
                        <w:sz w:val="16"/>
                      </w:rPr>
                      <w:t> Zapopan</w:t>
                      <w:tab/>
                      <w:tab/>
                      <w:t>Zapopan:</w:t>
                    </w:r>
                    <w:r>
                      <w:rPr>
                        <w:spacing w:val="4"/>
                        <w:sz w:val="16"/>
                      </w:rPr>
                      <w:t> </w:t>
                    </w:r>
                    <w:r>
                      <w:rPr>
                        <w:sz w:val="16"/>
                      </w:rPr>
                      <w:t>Ciudad</w:t>
                    </w:r>
                    <w:r>
                      <w:rPr>
                        <w:spacing w:val="4"/>
                        <w:sz w:val="16"/>
                      </w:rPr>
                      <w:t> </w:t>
                    </w:r>
                    <w:r>
                      <w:rPr>
                        <w:sz w:val="16"/>
                      </w:rPr>
                      <w:t>Digital.</w:t>
                      <w:tab/>
                      <w:tab/>
                      <w:t>Innovación</w:t>
                    </w:r>
                  </w:p>
                </w:txbxContent>
              </v:textbox>
              <w10:wrap type="none"/>
            </v:shape>
            <w10:wrap type="none"/>
          </v:group>
        </w:pict>
      </w:r>
      <w:r>
        <w:rPr>
          <w:color w:val="6D6E71"/>
          <w:sz w:val="16"/>
        </w:rPr>
        <w:t>Fuente: Elaboración propia con base en las estadísticas del CIDEU,2015</w:t>
      </w:r>
    </w:p>
    <w:p>
      <w:pPr>
        <w:pStyle w:val="BodyText"/>
        <w:spacing w:line="249" w:lineRule="auto" w:before="76"/>
        <w:ind w:left="1395" w:right="128" w:firstLine="170"/>
        <w:jc w:val="both"/>
        <w:rPr>
          <w:i/>
        </w:rPr>
      </w:pPr>
      <w:r>
        <w:rPr/>
        <w:br w:type="column"/>
      </w:r>
      <w:r>
        <w:rPr/>
        <w:t>Ante estos datos de los planes estratégicos de las ciudades de la RED México, por demás importantes, se confirma por un lado la importancia del uso de herramientas     y modelos de  planeación estratégica y por el otro la forma de gobernar dentro de  cada una de estas ciudades, lo que permite dirigir las acciones y objetivos hacia una </w:t>
      </w:r>
      <w:r>
        <w:rPr>
          <w:i/>
        </w:rPr>
        <w:t>“visión de</w:t>
      </w:r>
      <w:r>
        <w:rPr>
          <w:i/>
          <w:spacing w:val="-2"/>
        </w:rPr>
        <w:t> </w:t>
      </w:r>
      <w:r>
        <w:rPr>
          <w:i/>
        </w:rPr>
        <w:t>futuro”.</w:t>
      </w:r>
    </w:p>
    <w:p>
      <w:pPr>
        <w:pStyle w:val="BodyText"/>
        <w:spacing w:before="11"/>
        <w:rPr>
          <w:i/>
        </w:rPr>
      </w:pPr>
    </w:p>
    <w:p>
      <w:pPr>
        <w:pStyle w:val="BodyText"/>
        <w:spacing w:line="249" w:lineRule="auto"/>
        <w:ind w:left="1395" w:right="127" w:firstLine="170"/>
      </w:pPr>
      <w:r>
        <w:rPr/>
        <w:t>Analicemos</w:t>
      </w:r>
      <w:r>
        <w:rPr>
          <w:spacing w:val="-14"/>
        </w:rPr>
        <w:t> </w:t>
      </w:r>
      <w:r>
        <w:rPr/>
        <w:t>detalladamente</w:t>
      </w:r>
      <w:r>
        <w:rPr>
          <w:spacing w:val="-14"/>
        </w:rPr>
        <w:t> </w:t>
      </w:r>
      <w:r>
        <w:rPr/>
        <w:t>el</w:t>
      </w:r>
      <w:r>
        <w:rPr>
          <w:spacing w:val="-14"/>
        </w:rPr>
        <w:t> </w:t>
      </w:r>
      <w:r>
        <w:rPr/>
        <w:t>caso</w:t>
      </w:r>
      <w:r>
        <w:rPr>
          <w:spacing w:val="-14"/>
        </w:rPr>
        <w:t> </w:t>
      </w:r>
      <w:r>
        <w:rPr/>
        <w:t>de</w:t>
      </w:r>
      <w:r>
        <w:rPr>
          <w:spacing w:val="-14"/>
        </w:rPr>
        <w:t> </w:t>
      </w:r>
      <w:r>
        <w:rPr/>
        <w:t>Mérida,</w:t>
      </w:r>
      <w:r>
        <w:rPr>
          <w:spacing w:val="-14"/>
        </w:rPr>
        <w:t> </w:t>
      </w:r>
      <w:r>
        <w:rPr/>
        <w:t>Yucatán</w:t>
      </w:r>
      <w:r>
        <w:rPr>
          <w:spacing w:val="-14"/>
        </w:rPr>
        <w:t> </w:t>
      </w:r>
      <w:r>
        <w:rPr/>
        <w:t>que</w:t>
      </w:r>
      <w:r>
        <w:rPr>
          <w:spacing w:val="-14"/>
        </w:rPr>
        <w:t> </w:t>
      </w:r>
      <w:r>
        <w:rPr/>
        <w:t>ha</w:t>
      </w:r>
      <w:r>
        <w:rPr>
          <w:spacing w:val="-14"/>
        </w:rPr>
        <w:t> </w:t>
      </w:r>
      <w:r>
        <w:rPr/>
        <w:t>desarrollado</w:t>
      </w:r>
      <w:r>
        <w:rPr>
          <w:spacing w:val="-14"/>
        </w:rPr>
        <w:t> </w:t>
      </w:r>
      <w:r>
        <w:rPr/>
        <w:t>14</w:t>
      </w:r>
      <w:r>
        <w:rPr>
          <w:spacing w:val="-14"/>
        </w:rPr>
        <w:t> </w:t>
      </w:r>
      <w:r>
        <w:rPr/>
        <w:t>planes estratégicos. Mérida es una ciudad que tiene el privilegio de combinar la modernidad con un pasado cultural muy rico,  es una ciudad moderna que se ha consolidado   como el centro educativo, comercial y de servicios del sureste Mexicano con una gran proyección hacia el sureste de los Estados Unidos de América, Centroamérica y el Caribe. La ciudad de Mérida cuenta con más de 830 732 habitantes (INEGI,2010) .    La ciudad de Mérida, se encuentra ubicada al noroeste de la península de Yucatán, </w:t>
      </w:r>
      <w:r>
        <w:rPr>
          <w:w w:val="96"/>
        </w:rPr>
        <w:t>a</w:t>
      </w:r>
      <w:r>
        <w:rPr>
          <w:spacing w:val="10"/>
        </w:rPr>
        <w:t> </w:t>
      </w:r>
      <w:r>
        <w:rPr>
          <w:w w:val="100"/>
        </w:rPr>
        <w:t>menos</w:t>
      </w:r>
      <w:r>
        <w:rPr>
          <w:spacing w:val="10"/>
        </w:rPr>
        <w:t> </w:t>
      </w:r>
      <w:r>
        <w:rPr>
          <w:w w:val="101"/>
        </w:rPr>
        <w:t>de</w:t>
      </w:r>
      <w:r>
        <w:rPr>
          <w:spacing w:val="10"/>
        </w:rPr>
        <w:t> </w:t>
      </w:r>
      <w:r>
        <w:rPr>
          <w:w w:val="99"/>
        </w:rPr>
        <w:t>50</w:t>
      </w:r>
      <w:r>
        <w:rPr>
          <w:spacing w:val="10"/>
        </w:rPr>
        <w:t> </w:t>
      </w:r>
      <w:r>
        <w:rPr>
          <w:w w:val="102"/>
        </w:rPr>
        <w:t>kilómetros</w:t>
      </w:r>
      <w:r>
        <w:rPr>
          <w:spacing w:val="10"/>
        </w:rPr>
        <w:t> </w:t>
      </w:r>
      <w:r>
        <w:rPr>
          <w:w w:val="101"/>
        </w:rPr>
        <w:t>del</w:t>
      </w:r>
      <w:r>
        <w:rPr>
          <w:spacing w:val="10"/>
        </w:rPr>
        <w:t> </w:t>
      </w:r>
      <w:r>
        <w:rPr>
          <w:w w:val="101"/>
        </w:rPr>
        <w:t>Golfo</w:t>
      </w:r>
      <w:r>
        <w:rPr>
          <w:spacing w:val="10"/>
        </w:rPr>
        <w:t> </w:t>
      </w:r>
      <w:r>
        <w:rPr>
          <w:w w:val="101"/>
        </w:rPr>
        <w:t>de</w:t>
      </w:r>
      <w:r>
        <w:rPr>
          <w:spacing w:val="10"/>
        </w:rPr>
        <w:t> </w:t>
      </w:r>
      <w:r>
        <w:rPr>
          <w:w w:val="102"/>
        </w:rPr>
        <w:t>México,</w:t>
      </w:r>
      <w:r>
        <w:rPr>
          <w:spacing w:val="10"/>
        </w:rPr>
        <w:t> </w:t>
      </w:r>
      <w:r>
        <w:rPr>
          <w:w w:val="99"/>
        </w:rPr>
        <w:t>entre</w:t>
      </w:r>
      <w:r>
        <w:rPr>
          <w:spacing w:val="10"/>
        </w:rPr>
        <w:t> </w:t>
      </w:r>
      <w:r>
        <w:rPr>
          <w:w w:val="101"/>
        </w:rPr>
        <w:t>los</w:t>
      </w:r>
      <w:r>
        <w:rPr>
          <w:spacing w:val="10"/>
        </w:rPr>
        <w:t> </w:t>
      </w:r>
      <w:r>
        <w:rPr>
          <w:w w:val="99"/>
        </w:rPr>
        <w:t>paralelos</w:t>
      </w:r>
      <w:r>
        <w:rPr>
          <w:spacing w:val="10"/>
        </w:rPr>
        <w:t> </w:t>
      </w:r>
      <w:r>
        <w:rPr>
          <w:w w:val="101"/>
        </w:rPr>
        <w:t>20o</w:t>
      </w:r>
      <w:r>
        <w:rPr>
          <w:spacing w:val="10"/>
        </w:rPr>
        <w:t> </w:t>
      </w:r>
      <w:r>
        <w:rPr>
          <w:w w:val="99"/>
        </w:rPr>
        <w:t>45</w:t>
      </w:r>
      <w:r>
        <w:rPr>
          <w:spacing w:val="10"/>
        </w:rPr>
        <w:t> </w:t>
      </w:r>
      <w:r>
        <w:rPr/>
        <w:t>́</w:t>
      </w:r>
      <w:r>
        <w:rPr>
          <w:spacing w:val="10"/>
        </w:rPr>
        <w:t> </w:t>
      </w:r>
      <w:r>
        <w:rPr/>
        <w:t>y</w:t>
      </w:r>
      <w:r>
        <w:rPr>
          <w:spacing w:val="10"/>
        </w:rPr>
        <w:t> </w:t>
      </w:r>
      <w:r>
        <w:rPr>
          <w:w w:val="101"/>
        </w:rPr>
        <w:t>21o</w:t>
      </w:r>
      <w:r>
        <w:rPr>
          <w:spacing w:val="10"/>
        </w:rPr>
        <w:t> </w:t>
      </w:r>
      <w:r>
        <w:rPr>
          <w:w w:val="99"/>
        </w:rPr>
        <w:t>15 </w:t>
      </w:r>
      <w:r>
        <w:rPr>
          <w:w w:val="103"/>
        </w:rPr>
        <w:t>latitud</w:t>
      </w:r>
      <w:r>
        <w:rPr/>
        <w:t> </w:t>
      </w:r>
      <w:r>
        <w:rPr>
          <w:w w:val="101"/>
        </w:rPr>
        <w:t>norte</w:t>
      </w:r>
      <w:r>
        <w:rPr/>
        <w:t> y </w:t>
      </w:r>
      <w:r>
        <w:rPr>
          <w:w w:val="101"/>
        </w:rPr>
        <w:t>los</w:t>
      </w:r>
      <w:r>
        <w:rPr/>
        <w:t> </w:t>
      </w:r>
      <w:r>
        <w:rPr>
          <w:w w:val="100"/>
        </w:rPr>
        <w:t>meridianos</w:t>
      </w:r>
      <w:r>
        <w:rPr/>
        <w:t> </w:t>
      </w:r>
      <w:r>
        <w:rPr>
          <w:w w:val="101"/>
        </w:rPr>
        <w:t>89o</w:t>
      </w:r>
      <w:r>
        <w:rPr/>
        <w:t> </w:t>
      </w:r>
      <w:r>
        <w:rPr>
          <w:w w:val="99"/>
        </w:rPr>
        <w:t>30</w:t>
      </w:r>
      <w:r>
        <w:rPr/>
        <w:t> </w:t>
      </w:r>
      <w:r>
        <w:rPr>
          <w:rFonts w:ascii="Tahoma" w:hAnsi="Tahoma"/>
        </w:rPr>
        <w:t>́</w:t>
      </w:r>
      <w:r>
        <w:rPr>
          <w:rFonts w:ascii="Tahoma" w:hAnsi="Tahoma"/>
          <w:spacing w:val="-7"/>
        </w:rPr>
        <w:t> </w:t>
      </w:r>
      <w:r>
        <w:rPr/>
        <w:t>y </w:t>
      </w:r>
      <w:r>
        <w:rPr>
          <w:w w:val="101"/>
        </w:rPr>
        <w:t>89o</w:t>
      </w:r>
      <w:r>
        <w:rPr/>
        <w:t> </w:t>
      </w:r>
      <w:r>
        <w:rPr>
          <w:w w:val="99"/>
        </w:rPr>
        <w:t>45</w:t>
      </w:r>
      <w:r>
        <w:rPr/>
        <w:t> ́ </w:t>
      </w:r>
      <w:r>
        <w:rPr>
          <w:w w:val="101"/>
        </w:rPr>
        <w:t>de</w:t>
      </w:r>
      <w:r>
        <w:rPr/>
        <w:t> </w:t>
      </w:r>
      <w:r>
        <w:rPr>
          <w:w w:val="103"/>
        </w:rPr>
        <w:t>longitud</w:t>
      </w:r>
      <w:r>
        <w:rPr/>
        <w:t> </w:t>
      </w:r>
      <w:r>
        <w:rPr>
          <w:w w:val="100"/>
        </w:rPr>
        <w:t>oeste.</w:t>
      </w:r>
      <w:r>
        <w:rPr/>
        <w:t> </w:t>
      </w:r>
      <w:r>
        <w:rPr>
          <w:w w:val="96"/>
        </w:rPr>
        <w:t>Tiene</w:t>
      </w:r>
      <w:r>
        <w:rPr/>
        <w:t> </w:t>
      </w:r>
      <w:r>
        <w:rPr>
          <w:w w:val="98"/>
        </w:rPr>
        <w:t>una</w:t>
      </w:r>
      <w:r>
        <w:rPr/>
        <w:t> </w:t>
      </w:r>
      <w:r>
        <w:rPr>
          <w:w w:val="101"/>
        </w:rPr>
        <w:t>superficie </w:t>
      </w:r>
      <w:r>
        <w:rPr/>
        <w:t>de 858.41 kilómetros cuadrados (equivalente al 2.18 % de la superficie de todo el estado y al 0.04% del territorio nacional) y limita al norte con Progreso y Chicxulub Pueblo; al sur con Tecoh, Abalá y Timucuy; al este con Conkal, Kanasín y Tixpéhual, y al oeste con Ucú y Umán.</w:t>
      </w:r>
      <w:r>
        <w:rPr>
          <w:spacing w:val="-31"/>
        </w:rPr>
        <w:t> </w:t>
      </w:r>
      <w:r>
        <w:rPr/>
        <w:t>(CIDEU,2015).</w:t>
      </w:r>
    </w:p>
    <w:p>
      <w:pPr>
        <w:pStyle w:val="BodyText"/>
        <w:spacing w:before="11"/>
      </w:pPr>
    </w:p>
    <w:p>
      <w:pPr>
        <w:pStyle w:val="BodyText"/>
        <w:spacing w:line="249" w:lineRule="auto"/>
        <w:ind w:left="1395" w:right="127" w:firstLine="170"/>
        <w:jc w:val="both"/>
      </w:pPr>
      <w:r>
        <w:rPr/>
        <w:t>Es miembro de la RED México, desde el mes de mayo de1995, sus 14 Planes estratégicos abordan todos los ámbitos antes mencionados como la sostenibilidad       o la gobernanza, transparencia y participación entre otros; lo que permite considerar   la importancia que se le ha dado en materia de voluntad política y social a la lucha conjunta de un desarrollo visionario de ciudad de</w:t>
      </w:r>
      <w:r>
        <w:rPr>
          <w:spacing w:val="52"/>
        </w:rPr>
        <w:t> </w:t>
      </w:r>
      <w:r>
        <w:rPr/>
        <w:t>altura.</w:t>
      </w:r>
    </w:p>
    <w:p>
      <w:pPr>
        <w:pStyle w:val="BodyText"/>
        <w:spacing w:before="1"/>
      </w:pPr>
    </w:p>
    <w:p>
      <w:pPr>
        <w:pStyle w:val="BodyText"/>
        <w:spacing w:line="240" w:lineRule="atLeast"/>
        <w:ind w:left="1395" w:right="127" w:firstLine="170"/>
        <w:jc w:val="both"/>
      </w:pPr>
      <w:r>
        <w:rPr>
          <w:w w:val="105"/>
        </w:rPr>
        <w:t>La participación de la sociedad y la forma de gobernar es muy importante para la realización de los proyectos estratégicos que tiene como: Noche Blanca, Mérida; Formalización</w:t>
      </w:r>
      <w:r>
        <w:rPr>
          <w:spacing w:val="-43"/>
          <w:w w:val="105"/>
        </w:rPr>
        <w:t> </w:t>
      </w:r>
      <w:r>
        <w:rPr>
          <w:w w:val="105"/>
        </w:rPr>
        <w:t>Comercio</w:t>
      </w:r>
      <w:r>
        <w:rPr>
          <w:spacing w:val="-43"/>
          <w:w w:val="105"/>
        </w:rPr>
        <w:t> </w:t>
      </w:r>
      <w:r>
        <w:rPr>
          <w:w w:val="105"/>
        </w:rPr>
        <w:t>Ambulante</w:t>
      </w:r>
      <w:r>
        <w:rPr>
          <w:spacing w:val="-43"/>
          <w:w w:val="105"/>
        </w:rPr>
        <w:t> </w:t>
      </w:r>
      <w:r>
        <w:rPr>
          <w:w w:val="105"/>
        </w:rPr>
        <w:t>Centro</w:t>
      </w:r>
      <w:r>
        <w:rPr>
          <w:spacing w:val="-43"/>
          <w:w w:val="105"/>
        </w:rPr>
        <w:t> </w:t>
      </w:r>
      <w:r>
        <w:rPr>
          <w:w w:val="105"/>
        </w:rPr>
        <w:t>Histórico</w:t>
      </w:r>
      <w:r>
        <w:rPr>
          <w:spacing w:val="-43"/>
          <w:w w:val="105"/>
        </w:rPr>
        <w:t> </w:t>
      </w:r>
      <w:r>
        <w:rPr>
          <w:w w:val="105"/>
        </w:rPr>
        <w:t>de</w:t>
      </w:r>
      <w:r>
        <w:rPr>
          <w:spacing w:val="-43"/>
          <w:w w:val="105"/>
        </w:rPr>
        <w:t> </w:t>
      </w:r>
      <w:r>
        <w:rPr>
          <w:w w:val="105"/>
        </w:rPr>
        <w:t>Mérida,</w:t>
      </w:r>
      <w:r>
        <w:rPr>
          <w:spacing w:val="-43"/>
          <w:w w:val="105"/>
        </w:rPr>
        <w:t> </w:t>
      </w:r>
      <w:r>
        <w:rPr>
          <w:color w:val="323232"/>
          <w:w w:val="105"/>
        </w:rPr>
        <w:t>proyecto</w:t>
      </w:r>
      <w:r>
        <w:rPr>
          <w:color w:val="323232"/>
          <w:spacing w:val="-43"/>
          <w:w w:val="105"/>
        </w:rPr>
        <w:t> </w:t>
      </w:r>
      <w:r>
        <w:rPr>
          <w:color w:val="323232"/>
          <w:w w:val="105"/>
        </w:rPr>
        <w:t>para</w:t>
      </w:r>
      <w:r>
        <w:rPr>
          <w:color w:val="323232"/>
          <w:spacing w:val="-43"/>
          <w:w w:val="105"/>
        </w:rPr>
        <w:t> </w:t>
      </w:r>
      <w:r>
        <w:rPr>
          <w:color w:val="323232"/>
          <w:w w:val="105"/>
        </w:rPr>
        <w:t>reubicar al</w:t>
      </w:r>
      <w:r>
        <w:rPr>
          <w:color w:val="323232"/>
          <w:spacing w:val="-23"/>
          <w:w w:val="105"/>
        </w:rPr>
        <w:t> </w:t>
      </w:r>
      <w:r>
        <w:rPr>
          <w:color w:val="323232"/>
          <w:w w:val="105"/>
        </w:rPr>
        <w:t>comercio</w:t>
      </w:r>
      <w:r>
        <w:rPr>
          <w:color w:val="323232"/>
          <w:spacing w:val="-23"/>
          <w:w w:val="105"/>
        </w:rPr>
        <w:t> </w:t>
      </w:r>
      <w:r>
        <w:rPr>
          <w:color w:val="323232"/>
          <w:w w:val="105"/>
        </w:rPr>
        <w:t>informal</w:t>
      </w:r>
      <w:r>
        <w:rPr>
          <w:color w:val="323232"/>
          <w:spacing w:val="-23"/>
          <w:w w:val="105"/>
        </w:rPr>
        <w:t> </w:t>
      </w:r>
      <w:r>
        <w:rPr>
          <w:color w:val="323232"/>
          <w:w w:val="105"/>
        </w:rPr>
        <w:t>del</w:t>
      </w:r>
      <w:r>
        <w:rPr>
          <w:color w:val="323232"/>
          <w:spacing w:val="-23"/>
          <w:w w:val="105"/>
        </w:rPr>
        <w:t> </w:t>
      </w:r>
      <w:r>
        <w:rPr>
          <w:color w:val="323232"/>
          <w:w w:val="105"/>
        </w:rPr>
        <w:t>centro</w:t>
      </w:r>
      <w:r>
        <w:rPr>
          <w:color w:val="323232"/>
          <w:spacing w:val="-23"/>
          <w:w w:val="105"/>
        </w:rPr>
        <w:t> </w:t>
      </w:r>
      <w:r>
        <w:rPr>
          <w:color w:val="323232"/>
          <w:w w:val="105"/>
        </w:rPr>
        <w:t>histórico</w:t>
      </w:r>
      <w:r>
        <w:rPr>
          <w:color w:val="323232"/>
          <w:spacing w:val="-23"/>
          <w:w w:val="105"/>
        </w:rPr>
        <w:t> </w:t>
      </w:r>
      <w:r>
        <w:rPr>
          <w:color w:val="323232"/>
          <w:w w:val="105"/>
        </w:rPr>
        <w:t>en</w:t>
      </w:r>
      <w:r>
        <w:rPr>
          <w:color w:val="323232"/>
          <w:spacing w:val="-23"/>
          <w:w w:val="105"/>
        </w:rPr>
        <w:t> </w:t>
      </w:r>
      <w:r>
        <w:rPr>
          <w:color w:val="323232"/>
          <w:w w:val="105"/>
        </w:rPr>
        <w:t>otros</w:t>
      </w:r>
      <w:r>
        <w:rPr>
          <w:color w:val="323232"/>
          <w:spacing w:val="-23"/>
          <w:w w:val="105"/>
        </w:rPr>
        <w:t> </w:t>
      </w:r>
      <w:r>
        <w:rPr>
          <w:color w:val="323232"/>
          <w:w w:val="105"/>
        </w:rPr>
        <w:t>espacios</w:t>
      </w:r>
      <w:r>
        <w:rPr>
          <w:color w:val="323232"/>
          <w:spacing w:val="-23"/>
          <w:w w:val="105"/>
        </w:rPr>
        <w:t> </w:t>
      </w:r>
      <w:r>
        <w:rPr>
          <w:color w:val="323232"/>
          <w:w w:val="105"/>
        </w:rPr>
        <w:t>recuperando</w:t>
      </w:r>
      <w:r>
        <w:rPr>
          <w:color w:val="323232"/>
          <w:spacing w:val="-23"/>
          <w:w w:val="105"/>
        </w:rPr>
        <w:t> </w:t>
      </w:r>
      <w:r>
        <w:rPr>
          <w:color w:val="323232"/>
          <w:w w:val="105"/>
        </w:rPr>
        <w:t>así</w:t>
      </w:r>
      <w:r>
        <w:rPr>
          <w:color w:val="323232"/>
          <w:spacing w:val="-23"/>
          <w:w w:val="105"/>
        </w:rPr>
        <w:t> </w:t>
      </w:r>
      <w:r>
        <w:rPr>
          <w:color w:val="323232"/>
          <w:w w:val="105"/>
        </w:rPr>
        <w:t>el</w:t>
      </w:r>
      <w:r>
        <w:rPr>
          <w:color w:val="323232"/>
          <w:spacing w:val="-23"/>
          <w:w w:val="105"/>
        </w:rPr>
        <w:t> </w:t>
      </w:r>
      <w:r>
        <w:rPr>
          <w:color w:val="323232"/>
          <w:w w:val="105"/>
        </w:rPr>
        <w:t>espacio público;</w:t>
      </w:r>
      <w:r>
        <w:rPr>
          <w:color w:val="323232"/>
          <w:spacing w:val="-12"/>
          <w:w w:val="105"/>
        </w:rPr>
        <w:t> </w:t>
      </w:r>
      <w:r>
        <w:rPr>
          <w:color w:val="323232"/>
          <w:w w:val="105"/>
        </w:rPr>
        <w:t>Calidad</w:t>
      </w:r>
      <w:r>
        <w:rPr>
          <w:color w:val="323232"/>
          <w:spacing w:val="-12"/>
          <w:w w:val="105"/>
        </w:rPr>
        <w:t> </w:t>
      </w:r>
      <w:r>
        <w:rPr>
          <w:color w:val="323232"/>
          <w:w w:val="105"/>
        </w:rPr>
        <w:t>Municipal</w:t>
      </w:r>
      <w:r>
        <w:rPr>
          <w:color w:val="323232"/>
          <w:spacing w:val="-12"/>
          <w:w w:val="105"/>
        </w:rPr>
        <w:t> </w:t>
      </w:r>
      <w:r>
        <w:rPr>
          <w:w w:val="105"/>
        </w:rPr>
        <w:t>proyecto</w:t>
      </w:r>
      <w:r>
        <w:rPr>
          <w:spacing w:val="-12"/>
          <w:w w:val="105"/>
        </w:rPr>
        <w:t> </w:t>
      </w:r>
      <w:r>
        <w:rPr>
          <w:w w:val="105"/>
        </w:rPr>
        <w:t>para</w:t>
      </w:r>
      <w:r>
        <w:rPr>
          <w:spacing w:val="-12"/>
          <w:w w:val="105"/>
        </w:rPr>
        <w:t> </w:t>
      </w:r>
      <w:r>
        <w:rPr>
          <w:color w:val="323232"/>
          <w:w w:val="105"/>
        </w:rPr>
        <w:t>Innovar,</w:t>
      </w:r>
      <w:r>
        <w:rPr>
          <w:color w:val="323232"/>
          <w:spacing w:val="-12"/>
          <w:w w:val="105"/>
        </w:rPr>
        <w:t> </w:t>
      </w:r>
      <w:r>
        <w:rPr>
          <w:color w:val="323232"/>
          <w:w w:val="105"/>
        </w:rPr>
        <w:t>mejorar</w:t>
      </w:r>
      <w:r>
        <w:rPr>
          <w:color w:val="323232"/>
          <w:spacing w:val="-12"/>
          <w:w w:val="105"/>
        </w:rPr>
        <w:t> </w:t>
      </w:r>
      <w:r>
        <w:rPr>
          <w:color w:val="323232"/>
          <w:w w:val="105"/>
        </w:rPr>
        <w:t>y</w:t>
      </w:r>
      <w:r>
        <w:rPr>
          <w:color w:val="323232"/>
          <w:spacing w:val="-12"/>
          <w:w w:val="105"/>
        </w:rPr>
        <w:t> </w:t>
      </w:r>
      <w:r>
        <w:rPr>
          <w:color w:val="323232"/>
          <w:w w:val="105"/>
        </w:rPr>
        <w:t>hacer</w:t>
      </w:r>
      <w:r>
        <w:rPr>
          <w:color w:val="323232"/>
          <w:spacing w:val="-12"/>
          <w:w w:val="105"/>
        </w:rPr>
        <w:t> </w:t>
      </w:r>
      <w:r>
        <w:rPr>
          <w:color w:val="323232"/>
          <w:w w:val="105"/>
        </w:rPr>
        <w:t>más</w:t>
      </w:r>
      <w:r>
        <w:rPr>
          <w:color w:val="323232"/>
          <w:spacing w:val="-12"/>
          <w:w w:val="105"/>
        </w:rPr>
        <w:t> </w:t>
      </w:r>
      <w:r>
        <w:rPr>
          <w:color w:val="323232"/>
          <w:w w:val="105"/>
        </w:rPr>
        <w:t>eficientes</w:t>
      </w:r>
      <w:r>
        <w:rPr>
          <w:color w:val="323232"/>
          <w:spacing w:val="-12"/>
          <w:w w:val="105"/>
        </w:rPr>
        <w:t> </w:t>
      </w:r>
      <w:r>
        <w:rPr>
          <w:color w:val="323232"/>
          <w:w w:val="105"/>
        </w:rPr>
        <w:t>los servicios que ofrece el gobierno municipal a la ciudadanía; Biodigestión</w:t>
      </w:r>
      <w:r>
        <w:rPr>
          <w:color w:val="323232"/>
          <w:spacing w:val="-21"/>
          <w:w w:val="105"/>
        </w:rPr>
        <w:t> </w:t>
      </w:r>
      <w:r>
        <w:rPr>
          <w:color w:val="323232"/>
          <w:w w:val="105"/>
        </w:rPr>
        <w:t>Anaerobia, </w:t>
      </w:r>
      <w:r>
        <w:rPr>
          <w:w w:val="105"/>
        </w:rPr>
        <w:t>proyecto para la </w:t>
      </w:r>
      <w:r>
        <w:rPr>
          <w:color w:val="323232"/>
          <w:w w:val="105"/>
        </w:rPr>
        <w:t>producción de biogás para generación de energía eléctrica; Plan Estratégico - Mérida, Ciudad del Conocimiento, proyecto </w:t>
      </w:r>
      <w:r>
        <w:rPr>
          <w:w w:val="105"/>
        </w:rPr>
        <w:t>para </w:t>
      </w:r>
      <w:r>
        <w:rPr>
          <w:color w:val="323232"/>
          <w:w w:val="105"/>
        </w:rPr>
        <w:t>establecer alianzas y orientar a Mérida hacia una sociedad del conocimiento; Mejora Regulatoria y Competitividad</w:t>
      </w:r>
      <w:r>
        <w:rPr>
          <w:w w:val="105"/>
        </w:rPr>
        <w:t>,</w:t>
      </w:r>
      <w:r>
        <w:rPr>
          <w:spacing w:val="-5"/>
          <w:w w:val="105"/>
        </w:rPr>
        <w:t> </w:t>
      </w:r>
      <w:r>
        <w:rPr>
          <w:w w:val="105"/>
        </w:rPr>
        <w:t>proyecto</w:t>
      </w:r>
      <w:r>
        <w:rPr>
          <w:spacing w:val="-5"/>
          <w:w w:val="105"/>
        </w:rPr>
        <w:t> </w:t>
      </w:r>
      <w:r>
        <w:rPr>
          <w:w w:val="105"/>
        </w:rPr>
        <w:t>para</w:t>
      </w:r>
      <w:r>
        <w:rPr>
          <w:spacing w:val="-5"/>
          <w:w w:val="105"/>
        </w:rPr>
        <w:t> </w:t>
      </w:r>
      <w:r>
        <w:rPr>
          <w:color w:val="323232"/>
          <w:w w:val="105"/>
        </w:rPr>
        <w:t>contribuir</w:t>
      </w:r>
      <w:r>
        <w:rPr>
          <w:color w:val="323232"/>
          <w:spacing w:val="-5"/>
          <w:w w:val="105"/>
        </w:rPr>
        <w:t> </w:t>
      </w:r>
      <w:r>
        <w:rPr>
          <w:color w:val="323232"/>
          <w:w w:val="105"/>
        </w:rPr>
        <w:t>a</w:t>
      </w:r>
      <w:r>
        <w:rPr>
          <w:color w:val="323232"/>
          <w:spacing w:val="-5"/>
          <w:w w:val="105"/>
        </w:rPr>
        <w:t> </w:t>
      </w:r>
      <w:r>
        <w:rPr>
          <w:color w:val="323232"/>
          <w:w w:val="105"/>
        </w:rPr>
        <w:t>la</w:t>
      </w:r>
      <w:r>
        <w:rPr>
          <w:color w:val="323232"/>
          <w:spacing w:val="-5"/>
          <w:w w:val="105"/>
        </w:rPr>
        <w:t> </w:t>
      </w:r>
      <w:r>
        <w:rPr>
          <w:color w:val="323232"/>
          <w:w w:val="105"/>
        </w:rPr>
        <w:t>mejoría</w:t>
      </w:r>
      <w:r>
        <w:rPr>
          <w:color w:val="323232"/>
          <w:spacing w:val="-5"/>
          <w:w w:val="105"/>
        </w:rPr>
        <w:t> </w:t>
      </w:r>
      <w:r>
        <w:rPr>
          <w:color w:val="323232"/>
          <w:w w:val="105"/>
        </w:rPr>
        <w:t>de</w:t>
      </w:r>
      <w:r>
        <w:rPr>
          <w:color w:val="323232"/>
          <w:spacing w:val="-5"/>
          <w:w w:val="105"/>
        </w:rPr>
        <w:t> </w:t>
      </w:r>
      <w:r>
        <w:rPr>
          <w:color w:val="323232"/>
          <w:w w:val="105"/>
        </w:rPr>
        <w:t>la</w:t>
      </w:r>
      <w:r>
        <w:rPr>
          <w:color w:val="323232"/>
          <w:spacing w:val="-5"/>
          <w:w w:val="105"/>
        </w:rPr>
        <w:t> </w:t>
      </w:r>
      <w:r>
        <w:rPr>
          <w:color w:val="323232"/>
          <w:w w:val="105"/>
        </w:rPr>
        <w:t>competitividad,</w:t>
      </w:r>
      <w:r>
        <w:rPr>
          <w:color w:val="323232"/>
          <w:spacing w:val="-5"/>
          <w:w w:val="105"/>
        </w:rPr>
        <w:t> </w:t>
      </w:r>
      <w:r>
        <w:rPr>
          <w:color w:val="323232"/>
          <w:w w:val="105"/>
        </w:rPr>
        <w:t>elevando la</w:t>
      </w:r>
      <w:r>
        <w:rPr>
          <w:color w:val="323232"/>
          <w:spacing w:val="-19"/>
          <w:w w:val="105"/>
        </w:rPr>
        <w:t> </w:t>
      </w:r>
      <w:r>
        <w:rPr>
          <w:color w:val="323232"/>
          <w:w w:val="105"/>
        </w:rPr>
        <w:t>calidad</w:t>
      </w:r>
      <w:r>
        <w:rPr>
          <w:color w:val="323232"/>
          <w:spacing w:val="-19"/>
          <w:w w:val="105"/>
        </w:rPr>
        <w:t> </w:t>
      </w:r>
      <w:r>
        <w:rPr>
          <w:color w:val="323232"/>
          <w:w w:val="105"/>
        </w:rPr>
        <w:t>de</w:t>
      </w:r>
      <w:r>
        <w:rPr>
          <w:color w:val="323232"/>
          <w:spacing w:val="-19"/>
          <w:w w:val="105"/>
        </w:rPr>
        <w:t> </w:t>
      </w:r>
      <w:r>
        <w:rPr>
          <w:color w:val="323232"/>
          <w:w w:val="105"/>
        </w:rPr>
        <w:t>las</w:t>
      </w:r>
      <w:r>
        <w:rPr>
          <w:color w:val="323232"/>
          <w:spacing w:val="-19"/>
          <w:w w:val="105"/>
        </w:rPr>
        <w:t> </w:t>
      </w:r>
      <w:r>
        <w:rPr>
          <w:color w:val="323232"/>
          <w:w w:val="105"/>
        </w:rPr>
        <w:t>regulaciones</w:t>
      </w:r>
      <w:r>
        <w:rPr>
          <w:color w:val="323232"/>
          <w:spacing w:val="-19"/>
          <w:w w:val="105"/>
        </w:rPr>
        <w:t> </w:t>
      </w:r>
      <w:r>
        <w:rPr>
          <w:color w:val="323232"/>
          <w:w w:val="105"/>
        </w:rPr>
        <w:t>y</w:t>
      </w:r>
      <w:r>
        <w:rPr>
          <w:color w:val="323232"/>
          <w:spacing w:val="-19"/>
          <w:w w:val="105"/>
        </w:rPr>
        <w:t> </w:t>
      </w:r>
      <w:r>
        <w:rPr>
          <w:color w:val="323232"/>
          <w:w w:val="105"/>
        </w:rPr>
        <w:t>del</w:t>
      </w:r>
      <w:r>
        <w:rPr>
          <w:color w:val="323232"/>
          <w:spacing w:val="-19"/>
          <w:w w:val="105"/>
        </w:rPr>
        <w:t> </w:t>
      </w:r>
      <w:r>
        <w:rPr>
          <w:color w:val="323232"/>
          <w:w w:val="105"/>
        </w:rPr>
        <w:t>ambiente</w:t>
      </w:r>
      <w:r>
        <w:rPr>
          <w:color w:val="323232"/>
          <w:spacing w:val="-19"/>
          <w:w w:val="105"/>
        </w:rPr>
        <w:t> </w:t>
      </w:r>
      <w:r>
        <w:rPr>
          <w:color w:val="323232"/>
          <w:w w:val="105"/>
        </w:rPr>
        <w:t>para</w:t>
      </w:r>
      <w:r>
        <w:rPr>
          <w:color w:val="323232"/>
          <w:spacing w:val="-19"/>
          <w:w w:val="105"/>
        </w:rPr>
        <w:t> </w:t>
      </w:r>
      <w:r>
        <w:rPr>
          <w:color w:val="323232"/>
          <w:w w:val="105"/>
        </w:rPr>
        <w:t>la</w:t>
      </w:r>
      <w:r>
        <w:rPr>
          <w:color w:val="323232"/>
          <w:spacing w:val="-19"/>
          <w:w w:val="105"/>
        </w:rPr>
        <w:t> </w:t>
      </w:r>
      <w:r>
        <w:rPr>
          <w:color w:val="323232"/>
          <w:w w:val="105"/>
        </w:rPr>
        <w:t>apertura</w:t>
      </w:r>
      <w:r>
        <w:rPr>
          <w:color w:val="323232"/>
          <w:spacing w:val="-19"/>
          <w:w w:val="105"/>
        </w:rPr>
        <w:t> </w:t>
      </w:r>
      <w:r>
        <w:rPr>
          <w:color w:val="323232"/>
          <w:w w:val="105"/>
        </w:rPr>
        <w:t>de</w:t>
      </w:r>
      <w:r>
        <w:rPr>
          <w:color w:val="323232"/>
          <w:spacing w:val="-19"/>
          <w:w w:val="105"/>
        </w:rPr>
        <w:t> </w:t>
      </w:r>
      <w:r>
        <w:rPr>
          <w:color w:val="323232"/>
          <w:w w:val="105"/>
        </w:rPr>
        <w:t>negocios,</w:t>
      </w:r>
      <w:r>
        <w:rPr>
          <w:color w:val="323232"/>
          <w:spacing w:val="-19"/>
          <w:w w:val="105"/>
        </w:rPr>
        <w:t> </w:t>
      </w:r>
      <w:r>
        <w:rPr>
          <w:color w:val="323232"/>
          <w:w w:val="105"/>
        </w:rPr>
        <w:t>Programa Metropolitano</w:t>
      </w:r>
      <w:r>
        <w:rPr>
          <w:color w:val="323232"/>
          <w:spacing w:val="-28"/>
          <w:w w:val="105"/>
        </w:rPr>
        <w:t> </w:t>
      </w:r>
      <w:r>
        <w:rPr>
          <w:color w:val="323232"/>
          <w:w w:val="105"/>
        </w:rPr>
        <w:t>Integral</w:t>
      </w:r>
      <w:r>
        <w:rPr>
          <w:color w:val="323232"/>
          <w:spacing w:val="-28"/>
          <w:w w:val="105"/>
        </w:rPr>
        <w:t> </w:t>
      </w:r>
      <w:r>
        <w:rPr>
          <w:color w:val="323232"/>
          <w:w w:val="105"/>
        </w:rPr>
        <w:t>(PIDEM)</w:t>
      </w:r>
      <w:r>
        <w:rPr>
          <w:w w:val="105"/>
        </w:rPr>
        <w:t>,</w:t>
      </w:r>
      <w:r>
        <w:rPr>
          <w:spacing w:val="-28"/>
          <w:w w:val="105"/>
        </w:rPr>
        <w:t> </w:t>
      </w:r>
      <w:r>
        <w:rPr>
          <w:w w:val="105"/>
        </w:rPr>
        <w:t>programa</w:t>
      </w:r>
      <w:r>
        <w:rPr>
          <w:spacing w:val="-28"/>
          <w:w w:val="105"/>
        </w:rPr>
        <w:t> </w:t>
      </w:r>
      <w:r>
        <w:rPr>
          <w:color w:val="323232"/>
          <w:w w:val="105"/>
        </w:rPr>
        <w:t>que</w:t>
      </w:r>
      <w:r>
        <w:rPr>
          <w:color w:val="323232"/>
          <w:spacing w:val="-28"/>
          <w:w w:val="105"/>
        </w:rPr>
        <w:t> </w:t>
      </w:r>
      <w:r>
        <w:rPr>
          <w:color w:val="323232"/>
          <w:w w:val="105"/>
        </w:rPr>
        <w:t>permita</w:t>
      </w:r>
      <w:r>
        <w:rPr>
          <w:color w:val="323232"/>
          <w:spacing w:val="-28"/>
          <w:w w:val="105"/>
        </w:rPr>
        <w:t> </w:t>
      </w:r>
      <w:r>
        <w:rPr>
          <w:color w:val="323232"/>
          <w:w w:val="105"/>
        </w:rPr>
        <w:t>una</w:t>
      </w:r>
      <w:r>
        <w:rPr>
          <w:color w:val="323232"/>
          <w:spacing w:val="-28"/>
          <w:w w:val="105"/>
        </w:rPr>
        <w:t> </w:t>
      </w:r>
      <w:r>
        <w:rPr>
          <w:color w:val="323232"/>
          <w:w w:val="105"/>
        </w:rPr>
        <w:t>planificación</w:t>
      </w:r>
      <w:r>
        <w:rPr>
          <w:color w:val="323232"/>
          <w:spacing w:val="-28"/>
          <w:w w:val="105"/>
        </w:rPr>
        <w:t> </w:t>
      </w:r>
      <w:r>
        <w:rPr>
          <w:color w:val="323232"/>
          <w:w w:val="105"/>
        </w:rPr>
        <w:t>más</w:t>
      </w:r>
      <w:r>
        <w:rPr>
          <w:color w:val="323232"/>
          <w:spacing w:val="-28"/>
          <w:w w:val="105"/>
        </w:rPr>
        <w:t> </w:t>
      </w:r>
      <w:r>
        <w:rPr>
          <w:color w:val="323232"/>
          <w:w w:val="105"/>
        </w:rPr>
        <w:t>integral, participativa</w:t>
      </w:r>
      <w:r>
        <w:rPr>
          <w:color w:val="323232"/>
          <w:spacing w:val="-24"/>
          <w:w w:val="105"/>
        </w:rPr>
        <w:t> </w:t>
      </w:r>
      <w:r>
        <w:rPr>
          <w:color w:val="323232"/>
          <w:w w:val="105"/>
        </w:rPr>
        <w:t>y</w:t>
      </w:r>
      <w:r>
        <w:rPr>
          <w:color w:val="323232"/>
          <w:spacing w:val="-24"/>
          <w:w w:val="105"/>
        </w:rPr>
        <w:t> </w:t>
      </w:r>
      <w:r>
        <w:rPr>
          <w:color w:val="323232"/>
          <w:w w:val="105"/>
        </w:rPr>
        <w:t>de</w:t>
      </w:r>
      <w:r>
        <w:rPr>
          <w:color w:val="323232"/>
          <w:spacing w:val="-24"/>
          <w:w w:val="105"/>
        </w:rPr>
        <w:t> </w:t>
      </w:r>
      <w:r>
        <w:rPr>
          <w:color w:val="323232"/>
          <w:w w:val="105"/>
        </w:rPr>
        <w:t>largo</w:t>
      </w:r>
      <w:r>
        <w:rPr>
          <w:color w:val="323232"/>
          <w:spacing w:val="-24"/>
          <w:w w:val="105"/>
        </w:rPr>
        <w:t> </w:t>
      </w:r>
      <w:r>
        <w:rPr>
          <w:color w:val="323232"/>
          <w:w w:val="105"/>
        </w:rPr>
        <w:t>plazo.</w:t>
      </w:r>
    </w:p>
    <w:p>
      <w:pPr>
        <w:spacing w:after="0" w:line="240" w:lineRule="atLeast"/>
        <w:jc w:val="both"/>
        <w:sectPr>
          <w:type w:val="continuous"/>
          <w:pgSz w:w="18830" w:h="12760" w:orient="landscape"/>
          <w:pgMar w:top="1420" w:bottom="280" w:left="720" w:right="720"/>
          <w:cols w:num="2" w:equalWidth="0">
            <w:col w:w="6576" w:space="1570"/>
            <w:col w:w="9244"/>
          </w:cols>
        </w:sectPr>
      </w:pPr>
    </w:p>
    <w:p>
      <w:pPr>
        <w:pStyle w:val="BodyText"/>
        <w:spacing w:before="6"/>
        <w:rPr>
          <w:sz w:val="23"/>
        </w:rPr>
      </w:pPr>
    </w:p>
    <w:p>
      <w:pPr>
        <w:spacing w:after="0"/>
        <w:rPr>
          <w:sz w:val="23"/>
        </w:rPr>
        <w:sectPr>
          <w:footerReference w:type="default" r:id="rId67"/>
          <w:pgSz w:w="18830" w:h="12760" w:orient="landscape"/>
          <w:pgMar w:footer="1036" w:header="522" w:top="820" w:bottom="1220" w:left="720" w:right="720"/>
        </w:sectPr>
      </w:pPr>
    </w:p>
    <w:p>
      <w:pPr>
        <w:pStyle w:val="BodyText"/>
        <w:spacing w:line="249" w:lineRule="auto" w:before="76"/>
        <w:ind w:left="132" w:firstLine="170"/>
        <w:jc w:val="both"/>
      </w:pPr>
      <w:r>
        <w:rPr>
          <w:color w:val="323232"/>
        </w:rPr>
        <w:t>Plan</w:t>
      </w:r>
      <w:r>
        <w:rPr>
          <w:color w:val="323232"/>
          <w:spacing w:val="-13"/>
        </w:rPr>
        <w:t> </w:t>
      </w:r>
      <w:r>
        <w:rPr>
          <w:color w:val="323232"/>
        </w:rPr>
        <w:t>Estratégico</w:t>
      </w:r>
      <w:r>
        <w:rPr>
          <w:color w:val="323232"/>
          <w:spacing w:val="-13"/>
        </w:rPr>
        <w:t> </w:t>
      </w:r>
      <w:r>
        <w:rPr>
          <w:color w:val="323232"/>
        </w:rPr>
        <w:t>de</w:t>
      </w:r>
      <w:r>
        <w:rPr>
          <w:color w:val="323232"/>
          <w:spacing w:val="-13"/>
        </w:rPr>
        <w:t> </w:t>
      </w:r>
      <w:r>
        <w:rPr>
          <w:color w:val="323232"/>
        </w:rPr>
        <w:t>Mérida</w:t>
      </w:r>
      <w:r>
        <w:rPr/>
        <w:t>,</w:t>
      </w:r>
      <w:r>
        <w:rPr>
          <w:spacing w:val="-13"/>
        </w:rPr>
        <w:t> </w:t>
      </w:r>
      <w:r>
        <w:rPr/>
        <w:t>proyecto</w:t>
      </w:r>
      <w:r>
        <w:rPr>
          <w:spacing w:val="-13"/>
        </w:rPr>
        <w:t> </w:t>
      </w:r>
      <w:r>
        <w:rPr/>
        <w:t>estratégico</w:t>
      </w:r>
      <w:r>
        <w:rPr>
          <w:spacing w:val="-13"/>
        </w:rPr>
        <w:t> </w:t>
      </w:r>
      <w:r>
        <w:rPr/>
        <w:t>que</w:t>
      </w:r>
      <w:r>
        <w:rPr>
          <w:spacing w:val="-13"/>
        </w:rPr>
        <w:t> </w:t>
      </w:r>
      <w:r>
        <w:rPr/>
        <w:t>busca</w:t>
      </w:r>
      <w:r>
        <w:rPr>
          <w:spacing w:val="-13"/>
        </w:rPr>
        <w:t> </w:t>
      </w:r>
      <w:r>
        <w:rPr>
          <w:color w:val="323232"/>
        </w:rPr>
        <w:t>potenciar</w:t>
      </w:r>
      <w:r>
        <w:rPr>
          <w:color w:val="323232"/>
          <w:spacing w:val="-13"/>
        </w:rPr>
        <w:t> </w:t>
      </w:r>
      <w:r>
        <w:rPr>
          <w:color w:val="323232"/>
        </w:rPr>
        <w:t>las</w:t>
      </w:r>
      <w:r>
        <w:rPr>
          <w:color w:val="323232"/>
          <w:spacing w:val="-13"/>
        </w:rPr>
        <w:t> </w:t>
      </w:r>
      <w:r>
        <w:rPr>
          <w:color w:val="323232"/>
        </w:rPr>
        <w:t>capacidades de innovación existentes e impulsar la innovación tecnológica; Grupo de Impulsión del Sur – GIS</w:t>
      </w:r>
      <w:r>
        <w:rPr/>
        <w:t>. Proyecto que tiene como objetivo </w:t>
      </w:r>
      <w:r>
        <w:rPr>
          <w:color w:val="323232"/>
        </w:rPr>
        <w:t>desarrollar alianzas estratégicas entre diversos actores sociales, participantes en el proceso de planeación estratégica de la ciudad; Sistema de Impulsión para la Micro y Pequeña Empresa – SIMPE. Proyecto estratégico de coordinación de todas las organizaciones participantes en apoyo de los emprendedores y empresarios; Anillo Periférico de Mérida, proyecto para impulsar una estructura de comunicación amplia, moderna y</w:t>
      </w:r>
      <w:r>
        <w:rPr>
          <w:color w:val="323232"/>
          <w:spacing w:val="54"/>
        </w:rPr>
        <w:t> </w:t>
      </w:r>
      <w:r>
        <w:rPr>
          <w:color w:val="323232"/>
        </w:rPr>
        <w:t>segura.</w:t>
      </w:r>
    </w:p>
    <w:p>
      <w:pPr>
        <w:pStyle w:val="BodyText"/>
        <w:spacing w:before="11"/>
      </w:pPr>
    </w:p>
    <w:p>
      <w:pPr>
        <w:pStyle w:val="BodyText"/>
        <w:spacing w:line="249" w:lineRule="auto"/>
        <w:ind w:left="132" w:firstLine="170"/>
        <w:jc w:val="both"/>
      </w:pPr>
      <w:r>
        <w:rPr>
          <w:color w:val="323232"/>
        </w:rPr>
        <w:t>Metrópolisur, proyecto para dotar a la ciudad y a su región metropolitana de los elementos esenciales de equipamiento y de las reservas estratégicas de suelo; Plan Integral para el Ordenamiento del Comercio en Mérida, proyecto para generar nuevas fuentes de empleo y de crear oportunidades reales para edificar una economía más competitiva; Modernización del Sistema de Transporte, proyecto Integral que pretende mejorar el Sistema de Transporte de pasajeros en la ciudad.</w:t>
      </w:r>
    </w:p>
    <w:p>
      <w:pPr>
        <w:pStyle w:val="BodyText"/>
        <w:spacing w:before="11"/>
      </w:pPr>
    </w:p>
    <w:p>
      <w:pPr>
        <w:pStyle w:val="BodyText"/>
        <w:spacing w:line="249" w:lineRule="auto"/>
        <w:ind w:left="132" w:firstLine="170"/>
        <w:jc w:val="both"/>
      </w:pPr>
      <w:r>
        <w:rPr>
          <w:color w:val="323232"/>
        </w:rPr>
        <w:t>Estos proyectos corresponden a planes estratégicos que dan respuesta a una visión con acción a través de la planeación estratégica.</w:t>
      </w:r>
    </w:p>
    <w:p>
      <w:pPr>
        <w:pStyle w:val="BodyText"/>
        <w:spacing w:before="8"/>
        <w:rPr>
          <w:sz w:val="17"/>
        </w:rPr>
      </w:pPr>
    </w:p>
    <w:p>
      <w:pPr>
        <w:pStyle w:val="Heading1"/>
        <w:ind w:left="302"/>
      </w:pPr>
      <w:r>
        <w:rPr/>
        <w:t>Discusión</w:t>
      </w:r>
    </w:p>
    <w:p>
      <w:pPr>
        <w:pStyle w:val="BodyText"/>
        <w:rPr>
          <w:b/>
          <w:sz w:val="21"/>
        </w:rPr>
      </w:pPr>
    </w:p>
    <w:p>
      <w:pPr>
        <w:pStyle w:val="BodyText"/>
        <w:spacing w:line="249" w:lineRule="auto"/>
        <w:ind w:left="132" w:firstLine="170"/>
        <w:jc w:val="right"/>
      </w:pPr>
      <w:r>
        <w:rPr/>
        <w:t>De</w:t>
      </w:r>
      <w:r>
        <w:rPr>
          <w:spacing w:val="-10"/>
        </w:rPr>
        <w:t> </w:t>
      </w:r>
      <w:r>
        <w:rPr/>
        <w:t>acuerdo</w:t>
      </w:r>
      <w:r>
        <w:rPr>
          <w:spacing w:val="-10"/>
        </w:rPr>
        <w:t> </w:t>
      </w:r>
      <w:r>
        <w:rPr/>
        <w:t>a</w:t>
      </w:r>
      <w:r>
        <w:rPr>
          <w:spacing w:val="-10"/>
        </w:rPr>
        <w:t> </w:t>
      </w:r>
      <w:r>
        <w:rPr/>
        <w:t>Haaz</w:t>
      </w:r>
      <w:r>
        <w:rPr>
          <w:spacing w:val="-10"/>
        </w:rPr>
        <w:t> </w:t>
      </w:r>
      <w:r>
        <w:rPr/>
        <w:t>Díaz</w:t>
      </w:r>
      <w:r>
        <w:rPr>
          <w:spacing w:val="-10"/>
        </w:rPr>
        <w:t> </w:t>
      </w:r>
      <w:r>
        <w:rPr/>
        <w:t>(2011),</w:t>
      </w:r>
      <w:r>
        <w:rPr>
          <w:spacing w:val="-10"/>
        </w:rPr>
        <w:t> </w:t>
      </w:r>
      <w:r>
        <w:rPr/>
        <w:t>el</w:t>
      </w:r>
      <w:r>
        <w:rPr>
          <w:spacing w:val="-10"/>
        </w:rPr>
        <w:t> </w:t>
      </w:r>
      <w:r>
        <w:rPr/>
        <w:t>problema</w:t>
      </w:r>
      <w:r>
        <w:rPr>
          <w:spacing w:val="-10"/>
        </w:rPr>
        <w:t> </w:t>
      </w:r>
      <w:r>
        <w:rPr/>
        <w:t>de</w:t>
      </w:r>
      <w:r>
        <w:rPr>
          <w:spacing w:val="-10"/>
        </w:rPr>
        <w:t> </w:t>
      </w:r>
      <w:r>
        <w:rPr/>
        <w:t>la</w:t>
      </w:r>
      <w:r>
        <w:rPr>
          <w:spacing w:val="-10"/>
        </w:rPr>
        <w:t> </w:t>
      </w:r>
      <w:r>
        <w:rPr/>
        <w:t>modernización</w:t>
      </w:r>
      <w:r>
        <w:rPr>
          <w:spacing w:val="-10"/>
        </w:rPr>
        <w:t> </w:t>
      </w:r>
      <w:r>
        <w:rPr/>
        <w:t>de</w:t>
      </w:r>
      <w:r>
        <w:rPr>
          <w:spacing w:val="-10"/>
        </w:rPr>
        <w:t> </w:t>
      </w:r>
      <w:r>
        <w:rPr/>
        <w:t>la</w:t>
      </w:r>
      <w:r>
        <w:rPr>
          <w:spacing w:val="-10"/>
        </w:rPr>
        <w:t> </w:t>
      </w:r>
      <w:r>
        <w:rPr/>
        <w:t>administración</w:t>
      </w:r>
      <w:r>
        <w:rPr>
          <w:w w:val="101"/>
        </w:rPr>
        <w:t> </w:t>
      </w:r>
      <w:r>
        <w:rPr/>
        <w:t>Pública</w:t>
      </w:r>
      <w:r>
        <w:rPr>
          <w:spacing w:val="-17"/>
        </w:rPr>
        <w:t> </w:t>
      </w:r>
      <w:r>
        <w:rPr/>
        <w:t>ha</w:t>
      </w:r>
      <w:r>
        <w:rPr>
          <w:spacing w:val="-17"/>
        </w:rPr>
        <w:t> </w:t>
      </w:r>
      <w:r>
        <w:rPr/>
        <w:t>sido</w:t>
      </w:r>
      <w:r>
        <w:rPr>
          <w:spacing w:val="-17"/>
        </w:rPr>
        <w:t> </w:t>
      </w:r>
      <w:r>
        <w:rPr/>
        <w:t>un</w:t>
      </w:r>
      <w:r>
        <w:rPr>
          <w:spacing w:val="-17"/>
        </w:rPr>
        <w:t> </w:t>
      </w:r>
      <w:r>
        <w:rPr/>
        <w:t>reto</w:t>
      </w:r>
      <w:r>
        <w:rPr>
          <w:spacing w:val="-17"/>
        </w:rPr>
        <w:t> </w:t>
      </w:r>
      <w:r>
        <w:rPr/>
        <w:t>que</w:t>
      </w:r>
      <w:r>
        <w:rPr>
          <w:spacing w:val="-17"/>
        </w:rPr>
        <w:t> </w:t>
      </w:r>
      <w:r>
        <w:rPr/>
        <w:t>se</w:t>
      </w:r>
      <w:r>
        <w:rPr>
          <w:spacing w:val="-17"/>
        </w:rPr>
        <w:t> </w:t>
      </w:r>
      <w:r>
        <w:rPr/>
        <w:t>ha</w:t>
      </w:r>
      <w:r>
        <w:rPr>
          <w:spacing w:val="-17"/>
        </w:rPr>
        <w:t> </w:t>
      </w:r>
      <w:r>
        <w:rPr/>
        <w:t>presentado</w:t>
      </w:r>
      <w:r>
        <w:rPr>
          <w:spacing w:val="-17"/>
        </w:rPr>
        <w:t> </w:t>
      </w:r>
      <w:r>
        <w:rPr/>
        <w:t>a</w:t>
      </w:r>
      <w:r>
        <w:rPr>
          <w:spacing w:val="-17"/>
        </w:rPr>
        <w:t> </w:t>
      </w:r>
      <w:r>
        <w:rPr/>
        <w:t>nivel</w:t>
      </w:r>
      <w:r>
        <w:rPr>
          <w:spacing w:val="-17"/>
        </w:rPr>
        <w:t> </w:t>
      </w:r>
      <w:r>
        <w:rPr/>
        <w:t>mundial.</w:t>
      </w:r>
      <w:r>
        <w:rPr>
          <w:spacing w:val="22"/>
        </w:rPr>
        <w:t> </w:t>
      </w:r>
      <w:r>
        <w:rPr/>
        <w:t>“en</w:t>
      </w:r>
      <w:r>
        <w:rPr>
          <w:spacing w:val="-17"/>
        </w:rPr>
        <w:t> </w:t>
      </w:r>
      <w:r>
        <w:rPr/>
        <w:t>la</w:t>
      </w:r>
      <w:r>
        <w:rPr>
          <w:spacing w:val="-17"/>
        </w:rPr>
        <w:t> </w:t>
      </w:r>
      <w:r>
        <w:rPr/>
        <w:t>última</w:t>
      </w:r>
      <w:r>
        <w:rPr>
          <w:spacing w:val="-17"/>
        </w:rPr>
        <w:t> </w:t>
      </w:r>
      <w:r>
        <w:rPr/>
        <w:t>mitad</w:t>
      </w:r>
      <w:r>
        <w:rPr>
          <w:spacing w:val="-17"/>
        </w:rPr>
        <w:t> </w:t>
      </w:r>
      <w:r>
        <w:rPr/>
        <w:t>del</w:t>
      </w:r>
      <w:r>
        <w:rPr>
          <w:spacing w:val="-17"/>
        </w:rPr>
        <w:t> </w:t>
      </w:r>
      <w:r>
        <w:rPr/>
        <w:t>siglo</w:t>
      </w:r>
      <w:r>
        <w:rPr>
          <w:w w:val="101"/>
        </w:rPr>
        <w:t> </w:t>
      </w:r>
      <w:r>
        <w:rPr/>
        <w:t>XX, y más aún al inicio del nuevo milenio, los gobiernos se han visto</w:t>
      </w:r>
      <w:r>
        <w:rPr>
          <w:spacing w:val="34"/>
        </w:rPr>
        <w:t> </w:t>
      </w:r>
      <w:r>
        <w:rPr/>
        <w:t>presionados</w:t>
      </w:r>
      <w:r>
        <w:rPr>
          <w:spacing w:val="2"/>
        </w:rPr>
        <w:t> </w:t>
      </w:r>
      <w:r>
        <w:rPr/>
        <w:t>para</w:t>
      </w:r>
      <w:r>
        <w:rPr>
          <w:w w:val="99"/>
        </w:rPr>
        <w:t> </w:t>
      </w:r>
      <w:r>
        <w:rPr/>
        <w:t>responder tanto a las demandas de sus ciudadanos como a la creciente</w:t>
      </w:r>
      <w:r>
        <w:rPr>
          <w:spacing w:val="41"/>
        </w:rPr>
        <w:t> </w:t>
      </w:r>
      <w:r>
        <w:rPr/>
        <w:t>complejidad</w:t>
      </w:r>
      <w:r>
        <w:rPr>
          <w:spacing w:val="3"/>
        </w:rPr>
        <w:t> </w:t>
      </w:r>
      <w:r>
        <w:rPr/>
        <w:t>y al</w:t>
      </w:r>
      <w:r>
        <w:rPr>
          <w:spacing w:val="-4"/>
        </w:rPr>
        <w:t> </w:t>
      </w:r>
      <w:r>
        <w:rPr/>
        <w:t>cambio</w:t>
      </w:r>
      <w:r>
        <w:rPr>
          <w:spacing w:val="-4"/>
        </w:rPr>
        <w:t> </w:t>
      </w:r>
      <w:r>
        <w:rPr/>
        <w:t>de</w:t>
      </w:r>
      <w:r>
        <w:rPr>
          <w:spacing w:val="-4"/>
        </w:rPr>
        <w:t> </w:t>
      </w:r>
      <w:r>
        <w:rPr/>
        <w:t>sus</w:t>
      </w:r>
      <w:r>
        <w:rPr>
          <w:spacing w:val="-4"/>
        </w:rPr>
        <w:t> </w:t>
      </w:r>
      <w:r>
        <w:rPr/>
        <w:t>ambiente</w:t>
      </w:r>
      <w:r>
        <w:rPr>
          <w:spacing w:val="-4"/>
        </w:rPr>
        <w:t> </w:t>
      </w:r>
      <w:r>
        <w:rPr/>
        <w:t>globales”.</w:t>
      </w:r>
      <w:r>
        <w:rPr>
          <w:spacing w:val="-4"/>
        </w:rPr>
        <w:t> </w:t>
      </w:r>
      <w:r>
        <w:rPr/>
        <w:t>(Guido</w:t>
      </w:r>
      <w:r>
        <w:rPr>
          <w:spacing w:val="-4"/>
        </w:rPr>
        <w:t> </w:t>
      </w:r>
      <w:r>
        <w:rPr/>
        <w:t>Bertucci</w:t>
      </w:r>
      <w:r>
        <w:rPr>
          <w:spacing w:val="-4"/>
        </w:rPr>
        <w:t> </w:t>
      </w:r>
      <w:r>
        <w:rPr/>
        <w:t>referido</w:t>
      </w:r>
      <w:r>
        <w:rPr>
          <w:spacing w:val="-4"/>
        </w:rPr>
        <w:t> </w:t>
      </w:r>
      <w:r>
        <w:rPr/>
        <w:t>en</w:t>
      </w:r>
      <w:r>
        <w:rPr>
          <w:spacing w:val="-4"/>
        </w:rPr>
        <w:t> </w:t>
      </w:r>
      <w:r>
        <w:rPr/>
        <w:t>Política</w:t>
      </w:r>
      <w:r>
        <w:rPr>
          <w:spacing w:val="-4"/>
        </w:rPr>
        <w:t> </w:t>
      </w:r>
      <w:r>
        <w:rPr/>
        <w:t>Digital,</w:t>
      </w:r>
      <w:r>
        <w:rPr>
          <w:spacing w:val="-4"/>
        </w:rPr>
        <w:t> </w:t>
      </w:r>
      <w:r>
        <w:rPr/>
        <w:t>2003).</w:t>
      </w:r>
    </w:p>
    <w:p>
      <w:pPr>
        <w:pStyle w:val="BodyText"/>
        <w:spacing w:before="11"/>
      </w:pPr>
    </w:p>
    <w:p>
      <w:pPr>
        <w:pStyle w:val="BodyText"/>
        <w:spacing w:line="249" w:lineRule="auto"/>
        <w:ind w:left="132" w:firstLine="170"/>
        <w:jc w:val="both"/>
      </w:pPr>
      <w:r>
        <w:rPr/>
        <w:t>Si</w:t>
      </w:r>
      <w:r>
        <w:rPr>
          <w:spacing w:val="42"/>
        </w:rPr>
        <w:t> </w:t>
      </w:r>
      <w:r>
        <w:rPr/>
        <w:t>bien</w:t>
      </w:r>
      <w:r>
        <w:rPr>
          <w:spacing w:val="42"/>
        </w:rPr>
        <w:t> </w:t>
      </w:r>
      <w:r>
        <w:rPr/>
        <w:t>la</w:t>
      </w:r>
      <w:r>
        <w:rPr>
          <w:spacing w:val="42"/>
        </w:rPr>
        <w:t> </w:t>
      </w:r>
      <w:r>
        <w:rPr/>
        <w:t>Planeación</w:t>
      </w:r>
      <w:r>
        <w:rPr>
          <w:spacing w:val="42"/>
        </w:rPr>
        <w:t> </w:t>
      </w:r>
      <w:r>
        <w:rPr/>
        <w:t>estratégica</w:t>
      </w:r>
      <w:r>
        <w:rPr>
          <w:spacing w:val="42"/>
        </w:rPr>
        <w:t> </w:t>
      </w:r>
      <w:r>
        <w:rPr/>
        <w:t>es</w:t>
      </w:r>
      <w:r>
        <w:rPr>
          <w:spacing w:val="42"/>
        </w:rPr>
        <w:t> </w:t>
      </w:r>
      <w:r>
        <w:rPr/>
        <w:t>considerada</w:t>
      </w:r>
      <w:r>
        <w:rPr>
          <w:spacing w:val="42"/>
        </w:rPr>
        <w:t> </w:t>
      </w:r>
      <w:r>
        <w:rPr/>
        <w:t>por</w:t>
      </w:r>
      <w:r>
        <w:rPr>
          <w:spacing w:val="42"/>
        </w:rPr>
        <w:t> </w:t>
      </w:r>
      <w:r>
        <w:rPr/>
        <w:t>muchos</w:t>
      </w:r>
      <w:r>
        <w:rPr>
          <w:spacing w:val="42"/>
        </w:rPr>
        <w:t> </w:t>
      </w:r>
      <w:r>
        <w:rPr/>
        <w:t>autores</w:t>
      </w:r>
      <w:r>
        <w:rPr>
          <w:spacing w:val="42"/>
        </w:rPr>
        <w:t> </w:t>
      </w:r>
      <w:r>
        <w:rPr/>
        <w:t>como</w:t>
      </w:r>
      <w:r>
        <w:rPr>
          <w:spacing w:val="42"/>
        </w:rPr>
        <w:t> </w:t>
      </w:r>
      <w:r>
        <w:rPr/>
        <w:t>una</w:t>
      </w:r>
      <w:r>
        <w:rPr>
          <w:w w:val="98"/>
        </w:rPr>
        <w:t> </w:t>
      </w:r>
      <w:r>
        <w:rPr/>
        <w:t>herramienta básica para el cumplimiento de objetivos y acciones en los diferentes sectores productivos: Público, Privado y Social, es imprescindible el vínculo participativo del Gobierno-Sociedad con voluntad social pero principalmente política, que</w:t>
      </w:r>
      <w:r>
        <w:rPr>
          <w:spacing w:val="-12"/>
        </w:rPr>
        <w:t> </w:t>
      </w:r>
      <w:r>
        <w:rPr/>
        <w:t>coadyuve</w:t>
      </w:r>
      <w:r>
        <w:rPr>
          <w:spacing w:val="-12"/>
        </w:rPr>
        <w:t> </w:t>
      </w:r>
      <w:r>
        <w:rPr/>
        <w:t>al</w:t>
      </w:r>
      <w:r>
        <w:rPr>
          <w:spacing w:val="-12"/>
        </w:rPr>
        <w:t> </w:t>
      </w:r>
      <w:r>
        <w:rPr/>
        <w:t>cumplimiento</w:t>
      </w:r>
      <w:r>
        <w:rPr>
          <w:spacing w:val="-12"/>
        </w:rPr>
        <w:t> </w:t>
      </w:r>
      <w:r>
        <w:rPr/>
        <w:t>de</w:t>
      </w:r>
      <w:r>
        <w:rPr>
          <w:spacing w:val="-12"/>
        </w:rPr>
        <w:t> </w:t>
      </w:r>
      <w:r>
        <w:rPr/>
        <w:t>las</w:t>
      </w:r>
      <w:r>
        <w:rPr>
          <w:spacing w:val="-12"/>
        </w:rPr>
        <w:t> </w:t>
      </w:r>
      <w:r>
        <w:rPr/>
        <w:t>acciones</w:t>
      </w:r>
      <w:r>
        <w:rPr>
          <w:spacing w:val="-12"/>
        </w:rPr>
        <w:t> </w:t>
      </w:r>
      <w:r>
        <w:rPr/>
        <w:t>estipulados</w:t>
      </w:r>
      <w:r>
        <w:rPr>
          <w:spacing w:val="-12"/>
        </w:rPr>
        <w:t> </w:t>
      </w:r>
      <w:r>
        <w:rPr/>
        <w:t>en</w:t>
      </w:r>
      <w:r>
        <w:rPr>
          <w:spacing w:val="-12"/>
        </w:rPr>
        <w:t> </w:t>
      </w:r>
      <w:r>
        <w:rPr/>
        <w:t>los</w:t>
      </w:r>
      <w:r>
        <w:rPr>
          <w:spacing w:val="-12"/>
        </w:rPr>
        <w:t> </w:t>
      </w:r>
      <w:r>
        <w:rPr/>
        <w:t>planes</w:t>
      </w:r>
      <w:r>
        <w:rPr>
          <w:spacing w:val="-12"/>
        </w:rPr>
        <w:t> </w:t>
      </w:r>
      <w:r>
        <w:rPr/>
        <w:t>estratégicos</w:t>
      </w:r>
      <w:r>
        <w:rPr>
          <w:spacing w:val="-12"/>
        </w:rPr>
        <w:t> </w:t>
      </w:r>
      <w:r>
        <w:rPr/>
        <w:t>de ordenamiento territorial, como lo que hemos visto en las 23 ciudades que conforman la RED</w:t>
      </w:r>
      <w:r>
        <w:rPr>
          <w:spacing w:val="-9"/>
        </w:rPr>
        <w:t> </w:t>
      </w:r>
      <w:r>
        <w:rPr/>
        <w:t>México,</w:t>
      </w:r>
      <w:r>
        <w:rPr>
          <w:spacing w:val="-9"/>
        </w:rPr>
        <w:t> </w:t>
      </w:r>
      <w:r>
        <w:rPr/>
        <w:t>de</w:t>
      </w:r>
      <w:r>
        <w:rPr>
          <w:spacing w:val="-9"/>
        </w:rPr>
        <w:t> </w:t>
      </w:r>
      <w:r>
        <w:rPr/>
        <w:t>acuerdo</w:t>
      </w:r>
      <w:r>
        <w:rPr>
          <w:spacing w:val="-9"/>
        </w:rPr>
        <w:t> </w:t>
      </w:r>
      <w:r>
        <w:rPr/>
        <w:t>al</w:t>
      </w:r>
      <w:r>
        <w:rPr>
          <w:spacing w:val="-9"/>
        </w:rPr>
        <w:t> </w:t>
      </w:r>
      <w:r>
        <w:rPr/>
        <w:t>CIDEU</w:t>
      </w:r>
      <w:r>
        <w:rPr>
          <w:spacing w:val="-9"/>
        </w:rPr>
        <w:t> </w:t>
      </w:r>
      <w:r>
        <w:rPr/>
        <w:t>(2015).</w:t>
      </w:r>
      <w:r>
        <w:rPr>
          <w:spacing w:val="-9"/>
        </w:rPr>
        <w:t> </w:t>
      </w:r>
      <w:r>
        <w:rPr/>
        <w:t>Sin</w:t>
      </w:r>
      <w:r>
        <w:rPr>
          <w:spacing w:val="-9"/>
        </w:rPr>
        <w:t> </w:t>
      </w:r>
      <w:r>
        <w:rPr/>
        <w:t>embargo</w:t>
      </w:r>
      <w:r>
        <w:rPr>
          <w:spacing w:val="-9"/>
        </w:rPr>
        <w:t> </w:t>
      </w:r>
      <w:r>
        <w:rPr/>
        <w:t>a</w:t>
      </w:r>
      <w:r>
        <w:rPr>
          <w:spacing w:val="-9"/>
        </w:rPr>
        <w:t> </w:t>
      </w:r>
      <w:r>
        <w:rPr/>
        <w:t>pesar</w:t>
      </w:r>
      <w:r>
        <w:rPr>
          <w:spacing w:val="-9"/>
        </w:rPr>
        <w:t> </w:t>
      </w:r>
      <w:r>
        <w:rPr/>
        <w:t>de</w:t>
      </w:r>
      <w:r>
        <w:rPr>
          <w:spacing w:val="-9"/>
        </w:rPr>
        <w:t> </w:t>
      </w:r>
      <w:r>
        <w:rPr/>
        <w:t>que</w:t>
      </w:r>
      <w:r>
        <w:rPr>
          <w:spacing w:val="-9"/>
        </w:rPr>
        <w:t> </w:t>
      </w:r>
      <w:r>
        <w:rPr/>
        <w:t>existen</w:t>
      </w:r>
      <w:r>
        <w:rPr>
          <w:spacing w:val="-9"/>
        </w:rPr>
        <w:t> </w:t>
      </w:r>
      <w:r>
        <w:rPr/>
        <w:t>muchos especialistas en Planeación Urbana y territorial que han aportado valiosos estudios, no vemos reflejado los resultados porque falta el cumplimiento y voluntad de todos los actores participantes dentro de la Planeación estratégica del </w:t>
      </w:r>
      <w:r>
        <w:rPr>
          <w:spacing w:val="22"/>
        </w:rPr>
        <w:t> </w:t>
      </w:r>
      <w:r>
        <w:rPr/>
        <w:t>territorio.</w:t>
      </w:r>
    </w:p>
    <w:p>
      <w:pPr>
        <w:pStyle w:val="BodyText"/>
        <w:spacing w:before="11"/>
      </w:pPr>
    </w:p>
    <w:p>
      <w:pPr>
        <w:pStyle w:val="BodyText"/>
        <w:spacing w:line="249" w:lineRule="auto"/>
        <w:ind w:left="132" w:firstLine="170"/>
        <w:jc w:val="both"/>
      </w:pPr>
      <w:r>
        <w:rPr/>
        <w:t>El pensamiento estratégico requiere de una claridad conceptual, de tal manera que  el manejo de los términos en forma adecuada asegura una mayor comprensión en      la utilización de un lenguaje estratégico que puede llevar entre otras acciones a una posición proactiva, un posicionamiento competitivo, una mayor capacidad de</w:t>
      </w:r>
      <w:r>
        <w:rPr>
          <w:spacing w:val="2"/>
        </w:rPr>
        <w:t> </w:t>
      </w:r>
      <w:r>
        <w:rPr/>
        <w:t>influencia</w:t>
      </w:r>
    </w:p>
    <w:p>
      <w:pPr>
        <w:pStyle w:val="BodyText"/>
        <w:spacing w:line="249" w:lineRule="auto" w:before="76"/>
        <w:ind w:left="132"/>
      </w:pPr>
      <w:r>
        <w:rPr/>
        <w:br w:type="column"/>
      </w:r>
      <w:r>
        <w:rPr/>
        <w:t>sobre el propio desarrollo, una reducción del riesgo e incertidumbre en la toma de decisiones y a un progreso hacia un modelo de territorio  deseado.</w:t>
      </w:r>
    </w:p>
    <w:p>
      <w:pPr>
        <w:pStyle w:val="BodyText"/>
        <w:spacing w:before="11"/>
      </w:pPr>
    </w:p>
    <w:p>
      <w:pPr>
        <w:pStyle w:val="BodyText"/>
        <w:spacing w:line="249" w:lineRule="auto"/>
        <w:ind w:left="132" w:right="128" w:firstLine="170"/>
        <w:jc w:val="both"/>
      </w:pPr>
      <w:r>
        <w:rPr/>
        <w:t>La existencia del enfoque pragmático de la planeación estratégica se presenta para el uso de las organizaciones públicas, los planes estratégicos tienen su mayor sentido en la toma de decisiones en todos los niveles y funciones del sector público, para orientar acciones en la edificación de ciudades planeadas que generen un bienestar social.</w:t>
      </w:r>
    </w:p>
    <w:p>
      <w:pPr>
        <w:pStyle w:val="BodyText"/>
        <w:spacing w:before="11"/>
      </w:pPr>
    </w:p>
    <w:p>
      <w:pPr>
        <w:pStyle w:val="BodyText"/>
        <w:spacing w:line="249" w:lineRule="auto"/>
        <w:ind w:left="132" w:right="127" w:firstLine="170"/>
        <w:jc w:val="both"/>
      </w:pPr>
      <w:r>
        <w:rPr/>
        <w:t>Cabe</w:t>
      </w:r>
      <w:r>
        <w:rPr>
          <w:spacing w:val="-13"/>
        </w:rPr>
        <w:t> </w:t>
      </w:r>
      <w:r>
        <w:rPr/>
        <w:t>señalar</w:t>
      </w:r>
      <w:r>
        <w:rPr>
          <w:spacing w:val="-13"/>
        </w:rPr>
        <w:t> </w:t>
      </w:r>
      <w:r>
        <w:rPr/>
        <w:t>que</w:t>
      </w:r>
      <w:r>
        <w:rPr>
          <w:spacing w:val="-13"/>
        </w:rPr>
        <w:t> </w:t>
      </w:r>
      <w:r>
        <w:rPr/>
        <w:t>el</w:t>
      </w:r>
      <w:r>
        <w:rPr>
          <w:spacing w:val="-13"/>
        </w:rPr>
        <w:t> </w:t>
      </w:r>
      <w:r>
        <w:rPr/>
        <w:t>objetivo</w:t>
      </w:r>
      <w:r>
        <w:rPr>
          <w:spacing w:val="-13"/>
        </w:rPr>
        <w:t> </w:t>
      </w:r>
      <w:r>
        <w:rPr/>
        <w:t>de</w:t>
      </w:r>
      <w:r>
        <w:rPr>
          <w:spacing w:val="-13"/>
        </w:rPr>
        <w:t> </w:t>
      </w:r>
      <w:r>
        <w:rPr/>
        <w:t>una</w:t>
      </w:r>
      <w:r>
        <w:rPr>
          <w:spacing w:val="-13"/>
        </w:rPr>
        <w:t> </w:t>
      </w:r>
      <w:r>
        <w:rPr/>
        <w:t>planeación</w:t>
      </w:r>
      <w:r>
        <w:rPr>
          <w:spacing w:val="-13"/>
        </w:rPr>
        <w:t> </w:t>
      </w:r>
      <w:r>
        <w:rPr/>
        <w:t>estratégica</w:t>
      </w:r>
      <w:r>
        <w:rPr>
          <w:spacing w:val="-13"/>
        </w:rPr>
        <w:t> </w:t>
      </w:r>
      <w:r>
        <w:rPr/>
        <w:t>a</w:t>
      </w:r>
      <w:r>
        <w:rPr>
          <w:spacing w:val="-13"/>
        </w:rPr>
        <w:t> </w:t>
      </w:r>
      <w:r>
        <w:rPr/>
        <w:t>partir</w:t>
      </w:r>
      <w:r>
        <w:rPr>
          <w:spacing w:val="-13"/>
        </w:rPr>
        <w:t> </w:t>
      </w:r>
      <w:r>
        <w:rPr/>
        <w:t>de</w:t>
      </w:r>
      <w:r>
        <w:rPr>
          <w:spacing w:val="-13"/>
        </w:rPr>
        <w:t> </w:t>
      </w:r>
      <w:r>
        <w:rPr/>
        <w:t>la</w:t>
      </w:r>
      <w:r>
        <w:rPr>
          <w:spacing w:val="-13"/>
        </w:rPr>
        <w:t> </w:t>
      </w:r>
      <w:r>
        <w:rPr/>
        <w:t>reflexión</w:t>
      </w:r>
      <w:r>
        <w:rPr>
          <w:spacing w:val="-13"/>
        </w:rPr>
        <w:t> </w:t>
      </w:r>
      <w:r>
        <w:rPr/>
        <w:t>es</w:t>
      </w:r>
      <w:r>
        <w:rPr>
          <w:spacing w:val="-13"/>
        </w:rPr>
        <w:t> </w:t>
      </w:r>
      <w:r>
        <w:rPr/>
        <w:t>la viabilidad y oportunidad de establecer objetivos a largo plazo, permite definir el rumbo de crecimiento y de asentamientos en un determinado territorio. La “gobernanza” con esa nueva visión deberá enfrentar los retos del contexto actual, que permita cumplir    el compromiso de gobernar para el logro del bienestar social de la sociedad bajo        su jurisdicción. Sería un error generalizar porqué se ha visto que si hay voluntad y honestidad se puede transformar una ciudad a una ciudad </w:t>
      </w:r>
      <w:r>
        <w:rPr>
          <w:spacing w:val="11"/>
        </w:rPr>
        <w:t> </w:t>
      </w:r>
      <w:r>
        <w:rPr/>
        <w:t>estratégica.</w:t>
      </w:r>
    </w:p>
    <w:p>
      <w:pPr>
        <w:pStyle w:val="BodyText"/>
        <w:spacing w:before="8"/>
        <w:rPr>
          <w:sz w:val="17"/>
        </w:rPr>
      </w:pPr>
    </w:p>
    <w:p>
      <w:pPr>
        <w:pStyle w:val="Heading1"/>
        <w:ind w:left="302"/>
      </w:pPr>
      <w:r>
        <w:rPr/>
        <w:t>Conclusiones</w:t>
      </w:r>
    </w:p>
    <w:p>
      <w:pPr>
        <w:pStyle w:val="BodyText"/>
        <w:rPr>
          <w:b/>
          <w:sz w:val="21"/>
        </w:rPr>
      </w:pPr>
    </w:p>
    <w:p>
      <w:pPr>
        <w:pStyle w:val="BodyText"/>
        <w:spacing w:line="249" w:lineRule="auto"/>
        <w:ind w:left="132" w:right="127" w:firstLine="170"/>
        <w:jc w:val="both"/>
      </w:pPr>
      <w:r>
        <w:rPr/>
        <w:t>Como resultado de los constantes cambios a nivel mundial, uno de los mayores problemas</w:t>
      </w:r>
      <w:r>
        <w:rPr>
          <w:spacing w:val="-8"/>
        </w:rPr>
        <w:t> </w:t>
      </w:r>
      <w:r>
        <w:rPr/>
        <w:t>y</w:t>
      </w:r>
      <w:r>
        <w:rPr>
          <w:spacing w:val="-8"/>
        </w:rPr>
        <w:t> </w:t>
      </w:r>
      <w:r>
        <w:rPr/>
        <w:t>preocupaciones</w:t>
      </w:r>
      <w:r>
        <w:rPr>
          <w:spacing w:val="-8"/>
        </w:rPr>
        <w:t> </w:t>
      </w:r>
      <w:r>
        <w:rPr/>
        <w:t>que</w:t>
      </w:r>
      <w:r>
        <w:rPr>
          <w:spacing w:val="-8"/>
        </w:rPr>
        <w:t> </w:t>
      </w:r>
      <w:r>
        <w:rPr/>
        <w:t>enfrentan</w:t>
      </w:r>
      <w:r>
        <w:rPr>
          <w:spacing w:val="-8"/>
        </w:rPr>
        <w:t> </w:t>
      </w:r>
      <w:r>
        <w:rPr/>
        <w:t>los</w:t>
      </w:r>
      <w:r>
        <w:rPr>
          <w:spacing w:val="-8"/>
        </w:rPr>
        <w:t> </w:t>
      </w:r>
      <w:r>
        <w:rPr/>
        <w:t>gobiernos</w:t>
      </w:r>
      <w:r>
        <w:rPr>
          <w:spacing w:val="-8"/>
        </w:rPr>
        <w:t> </w:t>
      </w:r>
      <w:r>
        <w:rPr/>
        <w:t>es</w:t>
      </w:r>
      <w:r>
        <w:rPr>
          <w:spacing w:val="-8"/>
        </w:rPr>
        <w:t> </w:t>
      </w:r>
      <w:r>
        <w:rPr/>
        <w:t>lograr</w:t>
      </w:r>
      <w:r>
        <w:rPr>
          <w:spacing w:val="-8"/>
        </w:rPr>
        <w:t> </w:t>
      </w:r>
      <w:r>
        <w:rPr/>
        <w:t>una</w:t>
      </w:r>
      <w:r>
        <w:rPr>
          <w:spacing w:val="-8"/>
        </w:rPr>
        <w:t> </w:t>
      </w:r>
      <w:r>
        <w:rPr/>
        <w:t>“competitividad” y “posicionamiento” de sus comunidades, como consecuencia políticos, gobernantes, gestores</w:t>
      </w:r>
      <w:r>
        <w:rPr>
          <w:spacing w:val="-12"/>
        </w:rPr>
        <w:t> </w:t>
      </w:r>
      <w:r>
        <w:rPr/>
        <w:t>y</w:t>
      </w:r>
      <w:r>
        <w:rPr>
          <w:spacing w:val="-12"/>
        </w:rPr>
        <w:t> </w:t>
      </w:r>
      <w:r>
        <w:rPr/>
        <w:t>urbanistas</w:t>
      </w:r>
      <w:r>
        <w:rPr>
          <w:spacing w:val="-12"/>
        </w:rPr>
        <w:t> </w:t>
      </w:r>
      <w:r>
        <w:rPr/>
        <w:t>enfrentan</w:t>
      </w:r>
      <w:r>
        <w:rPr>
          <w:spacing w:val="33"/>
        </w:rPr>
        <w:t> </w:t>
      </w:r>
      <w:r>
        <w:rPr/>
        <w:t>retos</w:t>
      </w:r>
      <w:r>
        <w:rPr>
          <w:spacing w:val="-12"/>
        </w:rPr>
        <w:t> </w:t>
      </w:r>
      <w:r>
        <w:rPr/>
        <w:t>y</w:t>
      </w:r>
      <w:r>
        <w:rPr>
          <w:spacing w:val="-12"/>
        </w:rPr>
        <w:t> </w:t>
      </w:r>
      <w:r>
        <w:rPr/>
        <w:t>desafíos</w:t>
      </w:r>
      <w:r>
        <w:rPr>
          <w:spacing w:val="-12"/>
        </w:rPr>
        <w:t> </w:t>
      </w:r>
      <w:r>
        <w:rPr/>
        <w:t>por</w:t>
      </w:r>
      <w:r>
        <w:rPr>
          <w:spacing w:val="-12"/>
        </w:rPr>
        <w:t> </w:t>
      </w:r>
      <w:r>
        <w:rPr/>
        <w:t>la</w:t>
      </w:r>
      <w:r>
        <w:rPr>
          <w:spacing w:val="-12"/>
        </w:rPr>
        <w:t> </w:t>
      </w:r>
      <w:r>
        <w:rPr/>
        <w:t>“competitividad</w:t>
      </w:r>
      <w:r>
        <w:rPr>
          <w:spacing w:val="-12"/>
        </w:rPr>
        <w:t> </w:t>
      </w:r>
      <w:r>
        <w:rPr/>
        <w:t>de</w:t>
      </w:r>
      <w:r>
        <w:rPr>
          <w:spacing w:val="-12"/>
        </w:rPr>
        <w:t> </w:t>
      </w:r>
      <w:r>
        <w:rPr/>
        <w:t>las</w:t>
      </w:r>
      <w:r>
        <w:rPr>
          <w:spacing w:val="-12"/>
        </w:rPr>
        <w:t> </w:t>
      </w:r>
      <w:r>
        <w:rPr/>
        <w:t>ciudades”, aplicando términos que hasta no hace mucho tiempo se daban exclusivamente en el ámbito empresarial y que ahora son  considerados en las administraciones  Públicas.</w:t>
      </w:r>
    </w:p>
    <w:p>
      <w:pPr>
        <w:pStyle w:val="BodyText"/>
        <w:spacing w:before="11"/>
      </w:pPr>
    </w:p>
    <w:p>
      <w:pPr>
        <w:pStyle w:val="BodyText"/>
        <w:spacing w:line="249" w:lineRule="auto"/>
        <w:ind w:left="132" w:right="127" w:firstLine="170"/>
        <w:jc w:val="both"/>
      </w:pPr>
      <w:r>
        <w:rPr/>
        <w:t>La planeación estratégica aplicada al territorio (municipio, región, nación), responde a la necesidad de tener una visión del futuro de cada población, teniendo mayor certeza para la previsión y dirección hacia situaciones de riesgo para las diferentes comunidades. No podemos dejar a un lado la necesidad de seguir explorando y analizando los avances científico-técnico que permitan a los gobiernos y a la sociedad diseñar nuevos instrumentos que apoyen a todos los actores que participan en la toma de</w:t>
      </w:r>
      <w:r>
        <w:rPr>
          <w:spacing w:val="14"/>
        </w:rPr>
        <w:t> </w:t>
      </w:r>
      <w:r>
        <w:rPr/>
        <w:t>decisiones.</w:t>
      </w:r>
    </w:p>
    <w:p>
      <w:pPr>
        <w:pStyle w:val="BodyText"/>
        <w:spacing w:before="11"/>
      </w:pPr>
    </w:p>
    <w:p>
      <w:pPr>
        <w:pStyle w:val="BodyText"/>
        <w:spacing w:line="249" w:lineRule="auto"/>
        <w:ind w:left="132" w:right="127" w:firstLine="170"/>
        <w:jc w:val="both"/>
      </w:pPr>
      <w:r>
        <w:rPr/>
        <w:t>Hay ciudades al menos 23, que son conscientes de que la Planeación estratégica puede transformar sus ciudades y posicionarlas dentro del territorio nacional, pero también existe el área de oportunidad para las otras ciudades de nuestro territorio que podrían seguir el camino estratégico con una visión de futuro que marcaría sin lugar a dudas una nueva forma de gobernanza.</w:t>
      </w:r>
    </w:p>
    <w:p>
      <w:pPr>
        <w:spacing w:after="0" w:line="249" w:lineRule="auto"/>
        <w:jc w:val="both"/>
        <w:sectPr>
          <w:type w:val="continuous"/>
          <w:pgSz w:w="18830" w:h="12760" w:orient="landscape"/>
          <w:pgMar w:top="1420" w:bottom="280" w:left="720" w:right="720"/>
          <w:cols w:num="2" w:equalWidth="0">
            <w:col w:w="7844" w:space="1565"/>
            <w:col w:w="7981"/>
          </w:cols>
        </w:sectPr>
      </w:pPr>
    </w:p>
    <w:p>
      <w:pPr>
        <w:pStyle w:val="BodyText"/>
        <w:spacing w:before="6"/>
        <w:rPr>
          <w:sz w:val="23"/>
        </w:rPr>
      </w:pPr>
    </w:p>
    <w:p>
      <w:pPr>
        <w:spacing w:after="0"/>
        <w:rPr>
          <w:sz w:val="23"/>
        </w:rPr>
        <w:sectPr>
          <w:footerReference w:type="default" r:id="rId68"/>
          <w:pgSz w:w="18830" w:h="12760" w:orient="landscape"/>
          <w:pgMar w:footer="1036" w:header="522" w:top="820" w:bottom="1220" w:left="720" w:right="720"/>
        </w:sectPr>
      </w:pPr>
    </w:p>
    <w:p>
      <w:pPr>
        <w:pStyle w:val="Heading3"/>
        <w:spacing w:before="76"/>
        <w:ind w:right="-7"/>
      </w:pPr>
      <w:r>
        <w:rPr/>
        <w:t>Referencias bibliográficas</w:t>
      </w:r>
    </w:p>
    <w:p>
      <w:pPr>
        <w:pStyle w:val="BodyText"/>
        <w:spacing w:before="8"/>
        <w:rPr>
          <w:b/>
          <w:sz w:val="21"/>
        </w:rPr>
      </w:pPr>
    </w:p>
    <w:p>
      <w:pPr>
        <w:spacing w:line="249" w:lineRule="auto" w:before="0"/>
        <w:ind w:left="754" w:right="1" w:hanging="624"/>
        <w:jc w:val="both"/>
        <w:rPr>
          <w:sz w:val="20"/>
        </w:rPr>
      </w:pPr>
      <w:r>
        <w:rPr>
          <w:sz w:val="20"/>
        </w:rPr>
        <w:t>Acle T.A. (1990). </w:t>
      </w:r>
      <w:r>
        <w:rPr>
          <w:i/>
          <w:sz w:val="20"/>
        </w:rPr>
        <w:t>Planeación estratégica y control total de calidad</w:t>
      </w:r>
      <w:r>
        <w:rPr>
          <w:sz w:val="20"/>
        </w:rPr>
        <w:t>. Editorial Grijalbo, Universidad de California. USA.</w:t>
      </w:r>
    </w:p>
    <w:p>
      <w:pPr>
        <w:pStyle w:val="BodyText"/>
        <w:spacing w:before="11"/>
      </w:pPr>
    </w:p>
    <w:p>
      <w:pPr>
        <w:pStyle w:val="BodyText"/>
        <w:spacing w:line="249" w:lineRule="auto"/>
        <w:ind w:left="754" w:hanging="624"/>
        <w:jc w:val="both"/>
      </w:pPr>
      <w:r>
        <w:rPr/>
        <w:t>Aguilar,</w:t>
      </w:r>
      <w:r>
        <w:rPr>
          <w:spacing w:val="-8"/>
        </w:rPr>
        <w:t> </w:t>
      </w:r>
      <w:r>
        <w:rPr/>
        <w:t>VA.</w:t>
      </w:r>
      <w:r>
        <w:rPr>
          <w:spacing w:val="-8"/>
        </w:rPr>
        <w:t> </w:t>
      </w:r>
      <w:r>
        <w:rPr/>
        <w:t>(2003)</w:t>
      </w:r>
      <w:r>
        <w:rPr>
          <w:spacing w:val="-8"/>
        </w:rPr>
        <w:t> </w:t>
      </w:r>
      <w:r>
        <w:rPr/>
        <w:t>Administración</w:t>
      </w:r>
      <w:r>
        <w:rPr>
          <w:spacing w:val="-8"/>
        </w:rPr>
        <w:t> </w:t>
      </w:r>
      <w:r>
        <w:rPr/>
        <w:t>Estratégica.</w:t>
      </w:r>
      <w:r>
        <w:rPr>
          <w:spacing w:val="-8"/>
        </w:rPr>
        <w:t> </w:t>
      </w:r>
      <w:r>
        <w:rPr/>
        <w:t>2a</w:t>
      </w:r>
      <w:r>
        <w:rPr>
          <w:spacing w:val="-8"/>
        </w:rPr>
        <w:t> </w:t>
      </w:r>
      <w:r>
        <w:rPr/>
        <w:t>Edición.</w:t>
      </w:r>
      <w:r>
        <w:rPr>
          <w:spacing w:val="-8"/>
        </w:rPr>
        <w:t> </w:t>
      </w:r>
      <w:r>
        <w:rPr/>
        <w:t>Universidad</w:t>
      </w:r>
      <w:r>
        <w:rPr>
          <w:spacing w:val="-8"/>
        </w:rPr>
        <w:t> </w:t>
      </w:r>
      <w:r>
        <w:rPr/>
        <w:t>Autónoma</w:t>
      </w:r>
      <w:r>
        <w:rPr>
          <w:spacing w:val="-8"/>
        </w:rPr>
        <w:t> </w:t>
      </w:r>
      <w:r>
        <w:rPr/>
        <w:t>de</w:t>
      </w:r>
      <w:r>
        <w:rPr>
          <w:spacing w:val="-8"/>
        </w:rPr>
        <w:t> </w:t>
      </w:r>
      <w:r>
        <w:rPr/>
        <w:t>la Laguna. Torreón, Coahuila,</w:t>
      </w:r>
      <w:r>
        <w:rPr>
          <w:spacing w:val="5"/>
        </w:rPr>
        <w:t> </w:t>
      </w:r>
      <w:r>
        <w:rPr/>
        <w:t>México.</w:t>
      </w:r>
    </w:p>
    <w:p>
      <w:pPr>
        <w:pStyle w:val="BodyText"/>
        <w:spacing w:before="11"/>
      </w:pPr>
    </w:p>
    <w:p>
      <w:pPr>
        <w:spacing w:line="249" w:lineRule="auto" w:before="0"/>
        <w:ind w:left="754" w:right="0" w:hanging="624"/>
        <w:jc w:val="both"/>
        <w:rPr>
          <w:sz w:val="20"/>
        </w:rPr>
      </w:pPr>
      <w:r>
        <w:rPr>
          <w:sz w:val="20"/>
        </w:rPr>
        <w:t>Benabent M. (2006). </w:t>
      </w:r>
      <w:r>
        <w:rPr>
          <w:i/>
          <w:sz w:val="20"/>
        </w:rPr>
        <w:t>La Ordenación Del Territorio en España: Evolución del concepto</w:t>
      </w:r>
      <w:r>
        <w:rPr>
          <w:i/>
          <w:spacing w:val="-30"/>
          <w:sz w:val="20"/>
        </w:rPr>
        <w:t> </w:t>
      </w:r>
      <w:r>
        <w:rPr>
          <w:i/>
          <w:sz w:val="20"/>
        </w:rPr>
        <w:t>y </w:t>
      </w:r>
      <w:r>
        <w:rPr>
          <w:i/>
          <w:sz w:val="20"/>
        </w:rPr>
        <w:t>de Práctica en el Siglo XX</w:t>
      </w:r>
      <w:r>
        <w:rPr>
          <w:sz w:val="20"/>
        </w:rPr>
        <w:t>. Volumen 16 de Colección Kora. Editor. Universidad de</w:t>
      </w:r>
      <w:r>
        <w:rPr>
          <w:spacing w:val="-8"/>
          <w:sz w:val="20"/>
        </w:rPr>
        <w:t> </w:t>
      </w:r>
      <w:r>
        <w:rPr>
          <w:sz w:val="20"/>
        </w:rPr>
        <w:t>Sevilla.</w:t>
      </w:r>
    </w:p>
    <w:p>
      <w:pPr>
        <w:pStyle w:val="BodyText"/>
        <w:spacing w:before="11"/>
      </w:pPr>
    </w:p>
    <w:p>
      <w:pPr>
        <w:pStyle w:val="BodyText"/>
        <w:spacing w:line="249" w:lineRule="auto"/>
        <w:ind w:left="754" w:hanging="624"/>
        <w:jc w:val="both"/>
      </w:pPr>
      <w:r>
        <w:rPr/>
        <w:t>Berggruen, N., Gardels, N (2012). Gobernanza inteligente para el siglo XXI: Una vía intermedia entre Occidente y Oriente. Penguin Random House Grupo Editorial España.</w:t>
      </w:r>
    </w:p>
    <w:p>
      <w:pPr>
        <w:pStyle w:val="BodyText"/>
        <w:spacing w:before="11"/>
      </w:pPr>
    </w:p>
    <w:p>
      <w:pPr>
        <w:pStyle w:val="BodyText"/>
        <w:spacing w:line="249" w:lineRule="auto"/>
        <w:ind w:left="13"/>
        <w:jc w:val="right"/>
      </w:pPr>
      <w:r>
        <w:rPr/>
        <w:t>Charles-Philippe, D (2008) La Guerra y la paz: Enfoque contemporáneo sobre</w:t>
      </w:r>
      <w:r>
        <w:rPr>
          <w:spacing w:val="52"/>
        </w:rPr>
        <w:t> </w:t>
      </w:r>
      <w:r>
        <w:rPr/>
        <w:t>la</w:t>
      </w:r>
      <w:r>
        <w:rPr>
          <w:w w:val="97"/>
        </w:rPr>
        <w:t> </w:t>
      </w:r>
      <w:r>
        <w:rPr/>
        <w:t>seguridad y la estrategia. Volumen 262 de Icaria antrazyt (1995). Icaria Editorial.</w:t>
      </w:r>
    </w:p>
    <w:p>
      <w:pPr>
        <w:pStyle w:val="BodyText"/>
        <w:spacing w:before="11"/>
      </w:pPr>
    </w:p>
    <w:p>
      <w:pPr>
        <w:spacing w:line="249" w:lineRule="auto" w:before="0"/>
        <w:ind w:left="754" w:right="1" w:hanging="624"/>
        <w:jc w:val="both"/>
        <w:rPr>
          <w:sz w:val="20"/>
        </w:rPr>
      </w:pPr>
      <w:r>
        <w:rPr>
          <w:sz w:val="20"/>
        </w:rPr>
        <w:t>Chiarella,</w:t>
      </w:r>
      <w:r>
        <w:rPr>
          <w:spacing w:val="-32"/>
          <w:sz w:val="20"/>
        </w:rPr>
        <w:t> </w:t>
      </w:r>
      <w:r>
        <w:rPr>
          <w:sz w:val="20"/>
        </w:rPr>
        <w:t>R.(2005).</w:t>
      </w:r>
      <w:r>
        <w:rPr>
          <w:spacing w:val="-32"/>
          <w:sz w:val="20"/>
        </w:rPr>
        <w:t> </w:t>
      </w:r>
      <w:r>
        <w:rPr>
          <w:i/>
          <w:sz w:val="20"/>
        </w:rPr>
        <w:t>Planificación</w:t>
      </w:r>
      <w:r>
        <w:rPr>
          <w:i/>
          <w:spacing w:val="-32"/>
          <w:sz w:val="20"/>
        </w:rPr>
        <w:t> </w:t>
      </w:r>
      <w:r>
        <w:rPr>
          <w:i/>
          <w:sz w:val="20"/>
        </w:rPr>
        <w:t>Estratégica</w:t>
      </w:r>
      <w:r>
        <w:rPr>
          <w:i/>
          <w:spacing w:val="-32"/>
          <w:sz w:val="20"/>
        </w:rPr>
        <w:t> </w:t>
      </w:r>
      <w:r>
        <w:rPr>
          <w:i/>
          <w:sz w:val="20"/>
        </w:rPr>
        <w:t>y</w:t>
      </w:r>
      <w:r>
        <w:rPr>
          <w:i/>
          <w:spacing w:val="-32"/>
          <w:sz w:val="20"/>
        </w:rPr>
        <w:t> </w:t>
      </w:r>
      <w:r>
        <w:rPr>
          <w:i/>
          <w:sz w:val="20"/>
        </w:rPr>
        <w:t>Desarrollo</w:t>
      </w:r>
      <w:r>
        <w:rPr>
          <w:i/>
          <w:spacing w:val="-32"/>
          <w:sz w:val="20"/>
        </w:rPr>
        <w:t> </w:t>
      </w:r>
      <w:r>
        <w:rPr>
          <w:i/>
          <w:sz w:val="20"/>
        </w:rPr>
        <w:t>Territorial</w:t>
      </w:r>
      <w:r>
        <w:rPr>
          <w:sz w:val="20"/>
        </w:rPr>
        <w:t>.</w:t>
      </w:r>
      <w:r>
        <w:rPr>
          <w:spacing w:val="-32"/>
          <w:sz w:val="20"/>
        </w:rPr>
        <w:t> </w:t>
      </w:r>
      <w:r>
        <w:rPr>
          <w:sz w:val="20"/>
        </w:rPr>
        <w:t>Espacio</w:t>
      </w:r>
      <w:r>
        <w:rPr>
          <w:spacing w:val="-32"/>
          <w:sz w:val="20"/>
        </w:rPr>
        <w:t> </w:t>
      </w:r>
      <w:r>
        <w:rPr>
          <w:sz w:val="20"/>
        </w:rPr>
        <w:t>y</w:t>
      </w:r>
      <w:r>
        <w:rPr>
          <w:spacing w:val="-32"/>
          <w:sz w:val="20"/>
        </w:rPr>
        <w:t> </w:t>
      </w:r>
      <w:r>
        <w:rPr>
          <w:sz w:val="20"/>
        </w:rPr>
        <w:t>Desarrollo, N.”</w:t>
      </w:r>
      <w:r>
        <w:rPr>
          <w:spacing w:val="18"/>
          <w:sz w:val="20"/>
        </w:rPr>
        <w:t> </w:t>
      </w:r>
      <w:r>
        <w:rPr>
          <w:sz w:val="20"/>
        </w:rPr>
        <w:t>17.</w:t>
      </w:r>
    </w:p>
    <w:p>
      <w:pPr>
        <w:pStyle w:val="BodyText"/>
        <w:spacing w:before="11"/>
      </w:pPr>
    </w:p>
    <w:p>
      <w:pPr>
        <w:spacing w:before="0"/>
        <w:ind w:left="130" w:right="-7" w:firstLine="0"/>
        <w:jc w:val="left"/>
        <w:rPr>
          <w:i/>
          <w:sz w:val="20"/>
        </w:rPr>
      </w:pPr>
      <w:r>
        <w:rPr>
          <w:sz w:val="20"/>
        </w:rPr>
        <w:t>David F. R. (2003). </w:t>
      </w:r>
      <w:r>
        <w:rPr>
          <w:i/>
          <w:sz w:val="20"/>
        </w:rPr>
        <w:t>Conceptos de Administración Estratégica. Edición 9, ilustrada.</w:t>
      </w:r>
    </w:p>
    <w:p>
      <w:pPr>
        <w:pStyle w:val="BodyText"/>
        <w:spacing w:before="10"/>
        <w:ind w:left="754" w:right="-7"/>
      </w:pPr>
      <w:r>
        <w:rPr/>
        <w:t>Editor. Pearson Educación, 2003.</w:t>
      </w:r>
    </w:p>
    <w:p>
      <w:pPr>
        <w:pStyle w:val="BodyText"/>
        <w:spacing w:before="8"/>
        <w:rPr>
          <w:sz w:val="21"/>
        </w:rPr>
      </w:pPr>
    </w:p>
    <w:p>
      <w:pPr>
        <w:pStyle w:val="BodyText"/>
        <w:tabs>
          <w:tab w:pos="3730" w:val="left" w:leader="none"/>
        </w:tabs>
        <w:spacing w:line="249" w:lineRule="auto"/>
        <w:ind w:left="754" w:hanging="624"/>
        <w:jc w:val="both"/>
      </w:pPr>
      <w:r>
        <w:rPr/>
        <w:t>Drucker, P. (1998) Peter Drucker on the Profession of Management. Harvard Business review book</w:t>
      </w:r>
      <w:r>
        <w:rPr>
          <w:spacing w:val="6"/>
        </w:rPr>
        <w:t> </w:t>
      </w:r>
      <w:r>
        <w:rPr/>
        <w:t>series.</w:t>
      </w:r>
      <w:r>
        <w:rPr>
          <w:spacing w:val="3"/>
        </w:rPr>
        <w:t> </w:t>
      </w:r>
      <w:r>
        <w:rPr/>
        <w:t>Editor</w:t>
        <w:tab/>
        <w:t>Harvard Business</w:t>
      </w:r>
      <w:r>
        <w:rPr>
          <w:spacing w:val="-9"/>
        </w:rPr>
        <w:t> </w:t>
      </w:r>
      <w:r>
        <w:rPr/>
        <w:t>Press.</w:t>
      </w:r>
    </w:p>
    <w:p>
      <w:pPr>
        <w:pStyle w:val="BodyText"/>
        <w:spacing w:before="11"/>
      </w:pPr>
    </w:p>
    <w:p>
      <w:pPr>
        <w:spacing w:line="249" w:lineRule="auto" w:before="0"/>
        <w:ind w:left="754" w:right="1" w:hanging="624"/>
        <w:jc w:val="both"/>
        <w:rPr>
          <w:sz w:val="20"/>
        </w:rPr>
      </w:pPr>
      <w:r>
        <w:rPr>
          <w:sz w:val="20"/>
        </w:rPr>
        <w:t>Elizalde Hevia Antonio (2003). </w:t>
      </w:r>
      <w:r>
        <w:rPr>
          <w:i/>
          <w:sz w:val="20"/>
        </w:rPr>
        <w:t>Planificación estratégica territorial y políticas públicas </w:t>
      </w:r>
      <w:r>
        <w:rPr>
          <w:i/>
          <w:sz w:val="20"/>
        </w:rPr>
        <w:t>para el desarrollo Local. </w:t>
      </w:r>
      <w:r>
        <w:rPr>
          <w:sz w:val="20"/>
        </w:rPr>
        <w:t>Ed. ILPES ( Instituto Latinoamericano y del Caribe de Planificación Económica y Social). CEPAL.</w:t>
      </w:r>
    </w:p>
    <w:p>
      <w:pPr>
        <w:pStyle w:val="BodyText"/>
        <w:spacing w:before="11"/>
      </w:pPr>
    </w:p>
    <w:p>
      <w:pPr>
        <w:spacing w:line="249" w:lineRule="auto" w:before="0"/>
        <w:ind w:left="754" w:right="0" w:hanging="624"/>
        <w:jc w:val="both"/>
        <w:rPr>
          <w:sz w:val="20"/>
        </w:rPr>
      </w:pPr>
      <w:r>
        <w:rPr>
          <w:sz w:val="20"/>
        </w:rPr>
        <w:t>Esparcia,J; Noguera, J; Tur, M. D. (2009). </w:t>
      </w:r>
      <w:r>
        <w:rPr>
          <w:i/>
          <w:sz w:val="20"/>
        </w:rPr>
        <w:t>Gestión y promoción del desarrollo local </w:t>
      </w:r>
      <w:r>
        <w:rPr>
          <w:i/>
          <w:sz w:val="20"/>
        </w:rPr>
        <w:t>Desarrollo Territorial</w:t>
      </w:r>
      <w:r>
        <w:rPr>
          <w:sz w:val="20"/>
        </w:rPr>
        <w:t>. Editor Universidad de Valencia.</w:t>
      </w:r>
    </w:p>
    <w:p>
      <w:pPr>
        <w:pStyle w:val="BodyText"/>
        <w:spacing w:before="11"/>
      </w:pPr>
    </w:p>
    <w:p>
      <w:pPr>
        <w:pStyle w:val="BodyText"/>
        <w:spacing w:line="249" w:lineRule="auto"/>
        <w:ind w:left="754" w:hanging="624"/>
        <w:jc w:val="both"/>
      </w:pPr>
      <w:r>
        <w:rPr/>
        <w:t>Fernández, J.M. (2006) Planificación estratégica de ciudades: nuevos instrumentos y procesos. Volumen 10 de Estudios universitarios de arquitectura. Ed. Reverte.</w:t>
      </w:r>
    </w:p>
    <w:p>
      <w:pPr>
        <w:pStyle w:val="BodyText"/>
        <w:spacing w:before="11"/>
      </w:pPr>
    </w:p>
    <w:p>
      <w:pPr>
        <w:spacing w:before="0"/>
        <w:ind w:left="130" w:right="-1" w:firstLine="0"/>
        <w:jc w:val="left"/>
        <w:rPr>
          <w:sz w:val="20"/>
        </w:rPr>
      </w:pPr>
      <w:r>
        <w:rPr>
          <w:sz w:val="20"/>
        </w:rPr>
        <w:t>Gabiña, J. (1998). </w:t>
      </w:r>
      <w:r>
        <w:rPr>
          <w:i/>
          <w:sz w:val="20"/>
        </w:rPr>
        <w:t>Prospectiva y ordenación del territorio: Hacia un proyecto de  futuro</w:t>
      </w:r>
      <w:r>
        <w:rPr>
          <w:sz w:val="20"/>
        </w:rPr>
        <w:t>.</w:t>
      </w:r>
    </w:p>
    <w:p>
      <w:pPr>
        <w:pStyle w:val="BodyText"/>
        <w:spacing w:before="10"/>
        <w:ind w:left="754" w:right="-7"/>
      </w:pPr>
      <w:r>
        <w:rPr/>
        <w:t>Volumen 14 de Estrategia y Gestión Competitiva . Editor</w:t>
      </w:r>
      <w:r>
        <w:rPr>
          <w:spacing w:val="53"/>
        </w:rPr>
        <w:t> </w:t>
      </w:r>
      <w:r>
        <w:rPr/>
        <w:t>Marcombo,</w:t>
      </w:r>
    </w:p>
    <w:p>
      <w:pPr>
        <w:spacing w:line="249" w:lineRule="auto" w:before="76"/>
        <w:ind w:left="754" w:right="128" w:hanging="624"/>
        <w:jc w:val="both"/>
        <w:rPr>
          <w:sz w:val="20"/>
        </w:rPr>
      </w:pPr>
      <w:r>
        <w:rPr/>
        <w:br w:type="column"/>
      </w:r>
      <w:r>
        <w:rPr>
          <w:sz w:val="20"/>
        </w:rPr>
        <w:t>Gioja, R.I. (1972). </w:t>
      </w:r>
      <w:r>
        <w:rPr>
          <w:i/>
          <w:sz w:val="20"/>
        </w:rPr>
        <w:t>Planeamiento urbano y regional en Brasil</w:t>
      </w:r>
      <w:r>
        <w:rPr>
          <w:sz w:val="20"/>
        </w:rPr>
        <w:t>. Ed. Drusa, Universidad</w:t>
      </w:r>
      <w:r>
        <w:rPr>
          <w:spacing w:val="-36"/>
          <w:sz w:val="20"/>
        </w:rPr>
        <w:t> </w:t>
      </w:r>
      <w:r>
        <w:rPr>
          <w:sz w:val="20"/>
        </w:rPr>
        <w:t>de Texas.</w:t>
      </w:r>
      <w:r>
        <w:rPr>
          <w:spacing w:val="-19"/>
          <w:sz w:val="20"/>
        </w:rPr>
        <w:t> </w:t>
      </w:r>
      <w:r>
        <w:rPr>
          <w:sz w:val="20"/>
        </w:rPr>
        <w:t>USA.</w:t>
      </w:r>
    </w:p>
    <w:p>
      <w:pPr>
        <w:pStyle w:val="BodyText"/>
        <w:spacing w:before="11"/>
      </w:pPr>
    </w:p>
    <w:p>
      <w:pPr>
        <w:spacing w:line="249" w:lineRule="auto" w:before="0"/>
        <w:ind w:left="754" w:right="127" w:hanging="624"/>
        <w:jc w:val="both"/>
        <w:rPr>
          <w:sz w:val="20"/>
        </w:rPr>
      </w:pPr>
      <w:r>
        <w:rPr>
          <w:sz w:val="20"/>
        </w:rPr>
        <w:t>Goodstein L.D; Timothy M. N; Pfeiffer J.(1993) </w:t>
      </w:r>
      <w:r>
        <w:rPr>
          <w:i/>
          <w:sz w:val="20"/>
        </w:rPr>
        <w:t>Applied Strategic Planning, How to </w:t>
      </w:r>
      <w:r>
        <w:rPr>
          <w:i/>
          <w:sz w:val="20"/>
        </w:rPr>
        <w:t>Develop A Plan that Really Works A. </w:t>
      </w:r>
      <w:r>
        <w:rPr>
          <w:sz w:val="20"/>
        </w:rPr>
        <w:t>Editor McGraw Hill Professional.</w:t>
      </w:r>
    </w:p>
    <w:p>
      <w:pPr>
        <w:pStyle w:val="BodyText"/>
        <w:spacing w:before="11"/>
      </w:pPr>
    </w:p>
    <w:p>
      <w:pPr>
        <w:spacing w:before="0"/>
        <w:ind w:left="130" w:right="-10" w:firstLine="0"/>
        <w:jc w:val="left"/>
        <w:rPr>
          <w:sz w:val="20"/>
        </w:rPr>
      </w:pPr>
      <w:r>
        <w:rPr>
          <w:sz w:val="20"/>
        </w:rPr>
        <w:t>Gómez</w:t>
      </w:r>
      <w:r>
        <w:rPr>
          <w:spacing w:val="-20"/>
          <w:sz w:val="20"/>
        </w:rPr>
        <w:t> </w:t>
      </w:r>
      <w:r>
        <w:rPr>
          <w:sz w:val="20"/>
        </w:rPr>
        <w:t>O.D.</w:t>
      </w:r>
      <w:r>
        <w:rPr>
          <w:spacing w:val="-20"/>
          <w:sz w:val="20"/>
        </w:rPr>
        <w:t> </w:t>
      </w:r>
      <w:r>
        <w:rPr>
          <w:sz w:val="20"/>
        </w:rPr>
        <w:t>(2002)</w:t>
      </w:r>
      <w:r>
        <w:rPr>
          <w:spacing w:val="-20"/>
          <w:sz w:val="20"/>
        </w:rPr>
        <w:t> </w:t>
      </w:r>
      <w:r>
        <w:rPr>
          <w:i/>
          <w:sz w:val="20"/>
        </w:rPr>
        <w:t>Ordenación</w:t>
      </w:r>
      <w:r>
        <w:rPr>
          <w:i/>
          <w:spacing w:val="-20"/>
          <w:sz w:val="20"/>
        </w:rPr>
        <w:t> </w:t>
      </w:r>
      <w:r>
        <w:rPr>
          <w:i/>
          <w:sz w:val="20"/>
        </w:rPr>
        <w:t>Territorial</w:t>
      </w:r>
      <w:r>
        <w:rPr>
          <w:sz w:val="20"/>
        </w:rPr>
        <w:t>.</w:t>
      </w:r>
      <w:r>
        <w:rPr>
          <w:spacing w:val="15"/>
          <w:sz w:val="20"/>
        </w:rPr>
        <w:t> </w:t>
      </w:r>
      <w:r>
        <w:rPr>
          <w:sz w:val="20"/>
        </w:rPr>
        <w:t>Editor</w:t>
      </w:r>
      <w:r>
        <w:rPr>
          <w:spacing w:val="-20"/>
          <w:sz w:val="20"/>
        </w:rPr>
        <w:t> </w:t>
      </w:r>
      <w:r>
        <w:rPr>
          <w:sz w:val="20"/>
        </w:rPr>
        <w:t>Mundi-Prensa</w:t>
      </w:r>
      <w:r>
        <w:rPr>
          <w:spacing w:val="-20"/>
          <w:sz w:val="20"/>
        </w:rPr>
        <w:t> </w:t>
      </w:r>
      <w:r>
        <w:rPr>
          <w:sz w:val="20"/>
        </w:rPr>
        <w:t>.</w:t>
      </w:r>
      <w:r>
        <w:rPr>
          <w:spacing w:val="-20"/>
          <w:sz w:val="20"/>
        </w:rPr>
        <w:t> </w:t>
      </w:r>
      <w:r>
        <w:rPr>
          <w:sz w:val="20"/>
        </w:rPr>
        <w:t>Ed.</w:t>
      </w:r>
      <w:r>
        <w:rPr>
          <w:spacing w:val="-20"/>
          <w:sz w:val="20"/>
        </w:rPr>
        <w:t> </w:t>
      </w:r>
      <w:r>
        <w:rPr>
          <w:sz w:val="20"/>
        </w:rPr>
        <w:t>Agrícola</w:t>
      </w:r>
      <w:r>
        <w:rPr>
          <w:spacing w:val="-20"/>
          <w:sz w:val="20"/>
        </w:rPr>
        <w:t> </w:t>
      </w:r>
      <w:r>
        <w:rPr>
          <w:sz w:val="20"/>
        </w:rPr>
        <w:t>Española.</w:t>
      </w:r>
    </w:p>
    <w:p>
      <w:pPr>
        <w:pStyle w:val="BodyText"/>
        <w:spacing w:before="10"/>
        <w:ind w:left="754" w:right="-10"/>
      </w:pPr>
      <w:r>
        <w:rPr>
          <w:w w:val="105"/>
        </w:rPr>
        <w:t>Madrid.</w:t>
      </w:r>
    </w:p>
    <w:p>
      <w:pPr>
        <w:pStyle w:val="BodyText"/>
        <w:spacing w:before="8"/>
        <w:rPr>
          <w:sz w:val="21"/>
        </w:rPr>
      </w:pPr>
    </w:p>
    <w:p>
      <w:pPr>
        <w:spacing w:line="249" w:lineRule="auto" w:before="0"/>
        <w:ind w:left="754" w:right="127" w:hanging="624"/>
        <w:jc w:val="both"/>
        <w:rPr>
          <w:sz w:val="20"/>
        </w:rPr>
      </w:pPr>
      <w:r>
        <w:rPr>
          <w:sz w:val="20"/>
        </w:rPr>
        <w:t>Hazz D. (2011). </w:t>
      </w:r>
      <w:r>
        <w:rPr>
          <w:i/>
          <w:sz w:val="20"/>
        </w:rPr>
        <w:t>Guía Planeación Estratégica en el Sector Público</w:t>
      </w:r>
      <w:r>
        <w:rPr>
          <w:sz w:val="20"/>
        </w:rPr>
        <w:t>. Universidad de Sonora.</w:t>
      </w:r>
    </w:p>
    <w:p>
      <w:pPr>
        <w:pStyle w:val="BodyText"/>
        <w:spacing w:before="11"/>
      </w:pPr>
    </w:p>
    <w:p>
      <w:pPr>
        <w:spacing w:line="249" w:lineRule="auto" w:before="0"/>
        <w:ind w:left="754" w:right="128" w:hanging="624"/>
        <w:jc w:val="both"/>
        <w:rPr>
          <w:sz w:val="20"/>
        </w:rPr>
      </w:pPr>
      <w:r>
        <w:rPr>
          <w:sz w:val="20"/>
        </w:rPr>
        <w:t>Méndez</w:t>
      </w:r>
      <w:r>
        <w:rPr>
          <w:spacing w:val="-5"/>
          <w:sz w:val="20"/>
        </w:rPr>
        <w:t> </w:t>
      </w:r>
      <w:r>
        <w:rPr>
          <w:sz w:val="20"/>
        </w:rPr>
        <w:t>D.</w:t>
      </w:r>
      <w:r>
        <w:rPr>
          <w:spacing w:val="-5"/>
          <w:sz w:val="20"/>
        </w:rPr>
        <w:t> </w:t>
      </w:r>
      <w:r>
        <w:rPr>
          <w:sz w:val="20"/>
        </w:rPr>
        <w:t>E;</w:t>
      </w:r>
      <w:r>
        <w:rPr>
          <w:spacing w:val="-5"/>
          <w:sz w:val="20"/>
        </w:rPr>
        <w:t> </w:t>
      </w:r>
      <w:r>
        <w:rPr>
          <w:sz w:val="20"/>
        </w:rPr>
        <w:t>Lloret</w:t>
      </w:r>
      <w:r>
        <w:rPr>
          <w:spacing w:val="-5"/>
          <w:sz w:val="20"/>
        </w:rPr>
        <w:t> </w:t>
      </w:r>
      <w:r>
        <w:rPr>
          <w:sz w:val="20"/>
        </w:rPr>
        <w:t>M.C.(2006).</w:t>
      </w:r>
      <w:r>
        <w:rPr>
          <w:spacing w:val="-5"/>
          <w:sz w:val="20"/>
        </w:rPr>
        <w:t> </w:t>
      </w:r>
      <w:r>
        <w:rPr>
          <w:i/>
          <w:sz w:val="20"/>
        </w:rPr>
        <w:t>Elementos</w:t>
      </w:r>
      <w:r>
        <w:rPr>
          <w:i/>
          <w:spacing w:val="-5"/>
          <w:sz w:val="20"/>
        </w:rPr>
        <w:t> </w:t>
      </w:r>
      <w:r>
        <w:rPr>
          <w:i/>
          <w:sz w:val="20"/>
        </w:rPr>
        <w:t>para</w:t>
      </w:r>
      <w:r>
        <w:rPr>
          <w:i/>
          <w:spacing w:val="-5"/>
          <w:sz w:val="20"/>
        </w:rPr>
        <w:t> </w:t>
      </w:r>
      <w:r>
        <w:rPr>
          <w:i/>
          <w:sz w:val="20"/>
        </w:rPr>
        <w:t>la</w:t>
      </w:r>
      <w:r>
        <w:rPr>
          <w:i/>
          <w:spacing w:val="-5"/>
          <w:sz w:val="20"/>
        </w:rPr>
        <w:t> </w:t>
      </w:r>
      <w:r>
        <w:rPr>
          <w:i/>
          <w:sz w:val="20"/>
        </w:rPr>
        <w:t>planificación</w:t>
      </w:r>
      <w:r>
        <w:rPr>
          <w:i/>
          <w:spacing w:val="-5"/>
          <w:sz w:val="20"/>
        </w:rPr>
        <w:t> </w:t>
      </w:r>
      <w:r>
        <w:rPr>
          <w:i/>
          <w:sz w:val="20"/>
        </w:rPr>
        <w:t>territorial</w:t>
      </w:r>
      <w:r>
        <w:rPr>
          <w:i/>
          <w:spacing w:val="-5"/>
          <w:sz w:val="20"/>
        </w:rPr>
        <w:t> </w:t>
      </w:r>
      <w:r>
        <w:rPr>
          <w:i/>
          <w:sz w:val="20"/>
        </w:rPr>
        <w:t>en</w:t>
      </w:r>
      <w:r>
        <w:rPr>
          <w:i/>
          <w:spacing w:val="-5"/>
          <w:sz w:val="20"/>
        </w:rPr>
        <w:t> </w:t>
      </w:r>
      <w:r>
        <w:rPr>
          <w:i/>
          <w:sz w:val="20"/>
        </w:rPr>
        <w:t>Cuba</w:t>
      </w:r>
      <w:r>
        <w:rPr>
          <w:sz w:val="20"/>
        </w:rPr>
        <w:t>.</w:t>
      </w:r>
      <w:r>
        <w:rPr>
          <w:spacing w:val="-5"/>
          <w:sz w:val="20"/>
        </w:rPr>
        <w:t> </w:t>
      </w:r>
      <w:r>
        <w:rPr>
          <w:sz w:val="20"/>
        </w:rPr>
        <w:t>Ed. Universidad Central “ Marta Abreu” de las Villas. Sta. Clara, Villa Clara,</w:t>
      </w:r>
      <w:r>
        <w:rPr>
          <w:spacing w:val="8"/>
          <w:sz w:val="20"/>
        </w:rPr>
        <w:t> </w:t>
      </w:r>
      <w:r>
        <w:rPr>
          <w:sz w:val="20"/>
        </w:rPr>
        <w:t>Cuba.</w:t>
      </w:r>
    </w:p>
    <w:p>
      <w:pPr>
        <w:pStyle w:val="BodyText"/>
        <w:spacing w:before="11"/>
      </w:pPr>
    </w:p>
    <w:p>
      <w:pPr>
        <w:spacing w:line="249" w:lineRule="auto" w:before="0"/>
        <w:ind w:left="754" w:right="127" w:hanging="624"/>
        <w:jc w:val="both"/>
        <w:rPr>
          <w:i/>
          <w:sz w:val="20"/>
        </w:rPr>
      </w:pPr>
      <w:r>
        <w:rPr>
          <w:sz w:val="20"/>
        </w:rPr>
        <w:t>Montes P.F. (2002) El ordenamiento territorial como opción de políticas urbanas y regionales en América Latina y el Caribe. </w:t>
      </w:r>
      <w:r>
        <w:rPr>
          <w:i/>
          <w:sz w:val="20"/>
        </w:rPr>
        <w:t>Volumen 45 de Serie Macroeconomía </w:t>
      </w:r>
      <w:r>
        <w:rPr>
          <w:i/>
          <w:sz w:val="20"/>
        </w:rPr>
        <w:t>del Desarrollo/CEPAL.</w:t>
      </w:r>
    </w:p>
    <w:p>
      <w:pPr>
        <w:pStyle w:val="BodyText"/>
        <w:spacing w:before="11"/>
        <w:rPr>
          <w:i/>
        </w:rPr>
      </w:pPr>
    </w:p>
    <w:p>
      <w:pPr>
        <w:pStyle w:val="BodyText"/>
        <w:spacing w:line="249" w:lineRule="auto"/>
        <w:ind w:left="754" w:right="128" w:hanging="624"/>
        <w:jc w:val="both"/>
      </w:pPr>
      <w:r>
        <w:rPr/>
        <w:t>Pascual, J; Pascual G.J(2009) Cohesión Social y Gobernanza democrática: Para unas regiones y ciudades más inclusivas. Edita: Junta de Andalucía. Consejería de Gobernación. Junta de Andalucía. Consejería de Gobernación. Política digital, (2003). Números 8-14. Editor. Nexos. Universidad de Texas.</w:t>
      </w:r>
    </w:p>
    <w:p>
      <w:pPr>
        <w:pStyle w:val="BodyText"/>
        <w:spacing w:before="11"/>
      </w:pPr>
    </w:p>
    <w:p>
      <w:pPr>
        <w:pStyle w:val="BodyText"/>
        <w:spacing w:line="249" w:lineRule="auto"/>
        <w:ind w:left="754" w:right="127" w:hanging="624"/>
        <w:jc w:val="both"/>
      </w:pPr>
      <w:r>
        <w:rPr/>
        <w:t>Rosales,E.M., Santana,M.V.,Manzano,L.R.(2014). Geografía de la Salud sin fronteras, desde Iberoamérica. Capítulo del Libro: Salud y estilos de vida en la zona Mazahua. pág. ,83.</w:t>
      </w:r>
    </w:p>
    <w:p>
      <w:pPr>
        <w:pStyle w:val="BodyText"/>
        <w:spacing w:before="11"/>
      </w:pPr>
    </w:p>
    <w:p>
      <w:pPr>
        <w:spacing w:line="249" w:lineRule="auto" w:before="0"/>
        <w:ind w:left="754" w:right="127" w:hanging="624"/>
        <w:jc w:val="both"/>
        <w:rPr>
          <w:sz w:val="20"/>
        </w:rPr>
      </w:pPr>
      <w:r>
        <w:rPr>
          <w:sz w:val="20"/>
        </w:rPr>
        <w:t>Silva L.I. (2003). </w:t>
      </w:r>
      <w:r>
        <w:rPr>
          <w:i/>
          <w:sz w:val="20"/>
        </w:rPr>
        <w:t>Metodología para la elaboración de estrategias de desarrollo local</w:t>
      </w:r>
      <w:r>
        <w:rPr>
          <w:sz w:val="20"/>
        </w:rPr>
        <w:t>.  Ed. Serie Gestión Pública. CEPAL Instituto Latinoamericano y del Caribe de Planificación Económica y Social</w:t>
      </w:r>
      <w:r>
        <w:rPr>
          <w:spacing w:val="-28"/>
          <w:sz w:val="20"/>
        </w:rPr>
        <w:t> </w:t>
      </w:r>
      <w:r>
        <w:rPr>
          <w:sz w:val="20"/>
        </w:rPr>
        <w:t>(ILPES).</w:t>
      </w:r>
    </w:p>
    <w:p>
      <w:pPr>
        <w:pStyle w:val="BodyText"/>
        <w:spacing w:before="11"/>
      </w:pPr>
    </w:p>
    <w:p>
      <w:pPr>
        <w:pStyle w:val="BodyText"/>
        <w:spacing w:line="249" w:lineRule="auto"/>
        <w:ind w:left="754" w:right="127" w:hanging="624"/>
        <w:jc w:val="both"/>
      </w:pPr>
      <w:r>
        <w:rPr/>
        <w:t>Stoner, J.A; Freeman, E; Gilbert, D.R; Mascaró P. (1996). Administración. Editor Pearson Educación.</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69"/>
          <w:pgSz w:w="18830" w:h="12760" w:orient="landscape"/>
          <w:pgMar w:footer="1036" w:header="522" w:top="820" w:bottom="1220" w:left="720" w:right="720"/>
        </w:sectPr>
      </w:pPr>
    </w:p>
    <w:p>
      <w:pPr>
        <w:pStyle w:val="Heading1"/>
        <w:spacing w:before="71"/>
      </w:pPr>
      <w:r>
        <w:rPr/>
        <w:t>Páginas de Internet consultadas</w:t>
      </w:r>
    </w:p>
    <w:p>
      <w:pPr>
        <w:pStyle w:val="BodyText"/>
        <w:spacing w:before="11"/>
        <w:rPr>
          <w:b/>
        </w:rPr>
      </w:pPr>
    </w:p>
    <w:p>
      <w:pPr>
        <w:pStyle w:val="ListParagraph"/>
        <w:numPr>
          <w:ilvl w:val="0"/>
          <w:numId w:val="4"/>
        </w:numPr>
        <w:tabs>
          <w:tab w:pos="490" w:val="left" w:leader="none"/>
          <w:tab w:pos="491" w:val="left" w:leader="none"/>
        </w:tabs>
        <w:spacing w:line="240" w:lineRule="auto" w:before="0" w:after="0"/>
        <w:ind w:left="490" w:right="0" w:hanging="360"/>
        <w:jc w:val="left"/>
        <w:rPr>
          <w:sz w:val="20"/>
        </w:rPr>
      </w:pPr>
      <w:hyperlink r:id="rId70">
        <w:r>
          <w:rPr>
            <w:color w:val="0077CA"/>
            <w:w w:val="105"/>
            <w:sz w:val="20"/>
            <w:u w:val="single" w:color="0077CA"/>
          </w:rPr>
          <w:t>http://biblio3.url.edu.gt/Publi/Libros/ADMestrategicaypolitica/01.pdf</w:t>
        </w:r>
      </w:hyperlink>
    </w:p>
    <w:p>
      <w:pPr>
        <w:pStyle w:val="BodyText"/>
        <w:spacing w:before="6"/>
        <w:rPr>
          <w:sz w:val="21"/>
        </w:rPr>
      </w:pPr>
    </w:p>
    <w:p>
      <w:pPr>
        <w:pStyle w:val="ListParagraph"/>
        <w:numPr>
          <w:ilvl w:val="0"/>
          <w:numId w:val="4"/>
        </w:numPr>
        <w:tabs>
          <w:tab w:pos="490" w:val="left" w:leader="none"/>
          <w:tab w:pos="491" w:val="left" w:leader="none"/>
        </w:tabs>
        <w:spacing w:line="247" w:lineRule="auto" w:before="0" w:after="0"/>
        <w:ind w:left="490" w:right="4" w:hanging="360"/>
        <w:jc w:val="left"/>
        <w:rPr>
          <w:sz w:val="20"/>
        </w:rPr>
      </w:pPr>
      <w:r>
        <w:rPr>
          <w:sz w:val="20"/>
        </w:rPr>
        <w:t>CIDEU (2015) Centro Iberoamericano de Desarrollo Estratégico Urbano. </w:t>
      </w:r>
      <w:hyperlink r:id="rId71">
        <w:r>
          <w:rPr>
            <w:color w:val="0077CA"/>
            <w:sz w:val="20"/>
            <w:u w:val="single" w:color="0077CA"/>
          </w:rPr>
          <w:t>http:// </w:t>
        </w:r>
      </w:hyperlink>
      <w:hyperlink r:id="rId71">
        <w:r>
          <w:rPr>
            <w:color w:val="0077CA"/>
            <w:sz w:val="20"/>
            <w:u w:val="single" w:color="0077CA"/>
          </w:rPr>
          <w:t>www.cideu.org/ </w:t>
        </w:r>
      </w:hyperlink>
      <w:r>
        <w:rPr>
          <w:sz w:val="20"/>
        </w:rPr>
        <w:t>consultado junio </w:t>
      </w:r>
      <w:r>
        <w:rPr>
          <w:spacing w:val="23"/>
          <w:sz w:val="20"/>
        </w:rPr>
        <w:t> </w:t>
      </w:r>
      <w:r>
        <w:rPr>
          <w:sz w:val="20"/>
        </w:rPr>
        <w:t>2015.</w:t>
      </w:r>
    </w:p>
    <w:p>
      <w:pPr>
        <w:pStyle w:val="BodyText"/>
        <w:spacing w:before="1"/>
        <w:rPr>
          <w:sz w:val="21"/>
        </w:rPr>
      </w:pPr>
    </w:p>
    <w:p>
      <w:pPr>
        <w:pStyle w:val="ListParagraph"/>
        <w:numPr>
          <w:ilvl w:val="0"/>
          <w:numId w:val="4"/>
        </w:numPr>
        <w:tabs>
          <w:tab w:pos="490" w:val="left" w:leader="none"/>
          <w:tab w:pos="491" w:val="left" w:leader="none"/>
        </w:tabs>
        <w:spacing w:line="240" w:lineRule="auto" w:before="0" w:after="0"/>
        <w:ind w:left="490" w:right="0" w:hanging="360"/>
        <w:jc w:val="left"/>
        <w:rPr>
          <w:sz w:val="20"/>
        </w:rPr>
      </w:pPr>
      <w:r>
        <w:rPr>
          <w:sz w:val="20"/>
        </w:rPr>
        <w:t>INEGI (2010). </w:t>
      </w:r>
      <w:hyperlink r:id="rId72">
        <w:r>
          <w:rPr>
            <w:color w:val="0A0F94"/>
            <w:sz w:val="20"/>
          </w:rPr>
          <w:t>http://inegi.org.mx/</w:t>
        </w:r>
      </w:hyperlink>
      <w:r>
        <w:rPr>
          <w:color w:val="0A0F94"/>
          <w:sz w:val="20"/>
        </w:rPr>
        <w:t> </w:t>
      </w:r>
      <w:r>
        <w:rPr>
          <w:sz w:val="20"/>
        </w:rPr>
        <w:t>consultado junio</w:t>
      </w:r>
      <w:r>
        <w:rPr>
          <w:spacing w:val="46"/>
          <w:sz w:val="20"/>
        </w:rPr>
        <w:t> </w:t>
      </w:r>
      <w:r>
        <w:rPr>
          <w:sz w:val="20"/>
        </w:rPr>
        <w:t>2015</w:t>
      </w:r>
    </w:p>
    <w:p>
      <w:pPr>
        <w:pStyle w:val="BodyText"/>
      </w:pPr>
    </w:p>
    <w:p>
      <w:pPr>
        <w:pStyle w:val="BodyText"/>
      </w:pPr>
    </w:p>
    <w:p>
      <w:pPr>
        <w:pStyle w:val="BodyText"/>
      </w:pPr>
    </w:p>
    <w:p>
      <w:pPr>
        <w:pStyle w:val="Heading1"/>
      </w:pPr>
      <w:r>
        <w:rPr/>
        <w:t>GobiernodeMérida:</w:t>
      </w:r>
    </w:p>
    <w:p>
      <w:pPr>
        <w:pStyle w:val="BodyText"/>
        <w:spacing w:before="11"/>
        <w:rPr>
          <w:b/>
        </w:rPr>
      </w:pPr>
    </w:p>
    <w:p>
      <w:pPr>
        <w:pStyle w:val="ListParagraph"/>
        <w:numPr>
          <w:ilvl w:val="0"/>
          <w:numId w:val="4"/>
        </w:numPr>
        <w:tabs>
          <w:tab w:pos="490" w:val="left" w:leader="none"/>
          <w:tab w:pos="491" w:val="left" w:leader="none"/>
        </w:tabs>
        <w:spacing w:line="247" w:lineRule="auto" w:before="0" w:after="0"/>
        <w:ind w:left="490" w:right="0" w:hanging="360"/>
        <w:jc w:val="left"/>
        <w:rPr>
          <w:sz w:val="20"/>
        </w:rPr>
      </w:pPr>
      <w:hyperlink r:id="rId73">
        <w:r>
          <w:rPr>
            <w:spacing w:val="3"/>
            <w:sz w:val="20"/>
          </w:rPr>
          <w:t>http://www.merida.gob.mx/municipio/portal/gobierno/contenido/pdf/copladem/</w:t>
        </w:r>
      </w:hyperlink>
      <w:r>
        <w:rPr>
          <w:spacing w:val="3"/>
          <w:sz w:val="20"/>
        </w:rPr>
        <w:t> </w:t>
      </w:r>
      <w:hyperlink r:id="rId73">
        <w:r>
          <w:rPr>
            <w:sz w:val="20"/>
          </w:rPr>
          <w:t>diagnostico.pdf.</w:t>
        </w:r>
      </w:hyperlink>
      <w:r>
        <w:rPr>
          <w:sz w:val="20"/>
        </w:rPr>
        <w:t> Consultado junio </w:t>
      </w:r>
      <w:r>
        <w:rPr>
          <w:spacing w:val="13"/>
          <w:sz w:val="20"/>
        </w:rPr>
        <w:t> </w:t>
      </w:r>
      <w:r>
        <w:rPr>
          <w:sz w:val="20"/>
        </w:rPr>
        <w:t>2015</w:t>
      </w:r>
    </w:p>
    <w:p>
      <w:pPr>
        <w:pStyle w:val="Heading1"/>
        <w:spacing w:before="71"/>
        <w:ind w:left="1079" w:right="-10"/>
      </w:pPr>
      <w:r>
        <w:rPr>
          <w:b w:val="0"/>
        </w:rPr>
        <w:br w:type="column"/>
      </w:r>
      <w:r>
        <w:rPr/>
        <w:t>Gobernanza territorial: bases teórico conceptuales</w:t>
      </w:r>
    </w:p>
    <w:p>
      <w:pPr>
        <w:pStyle w:val="BodyText"/>
        <w:rPr>
          <w:b/>
          <w:sz w:val="24"/>
        </w:rPr>
      </w:pPr>
    </w:p>
    <w:p>
      <w:pPr>
        <w:pStyle w:val="BodyText"/>
        <w:spacing w:before="1"/>
        <w:rPr>
          <w:b/>
          <w:sz w:val="21"/>
        </w:rPr>
      </w:pPr>
    </w:p>
    <w:p>
      <w:pPr>
        <w:spacing w:line="312" w:lineRule="auto" w:before="0"/>
        <w:ind w:left="5464" w:right="128" w:firstLine="281"/>
        <w:jc w:val="right"/>
        <w:rPr>
          <w:sz w:val="16"/>
        </w:rPr>
      </w:pPr>
      <w:r>
        <w:rPr>
          <w:sz w:val="16"/>
        </w:rPr>
        <w:t>Viridiana Rodríguez Sánchez</w:t>
      </w:r>
      <w:r>
        <w:rPr>
          <w:w w:val="98"/>
          <w:sz w:val="16"/>
        </w:rPr>
        <w:t> </w:t>
      </w:r>
      <w:r>
        <w:rPr>
          <w:sz w:val="16"/>
        </w:rPr>
        <w:t>Francisco Javier Rosas Ferrusca</w:t>
      </w:r>
    </w:p>
    <w:p>
      <w:pPr>
        <w:spacing w:line="312" w:lineRule="auto" w:before="2"/>
        <w:ind w:left="4565" w:right="128" w:firstLine="189"/>
        <w:jc w:val="right"/>
        <w:rPr>
          <w:sz w:val="16"/>
        </w:rPr>
      </w:pPr>
      <w:r>
        <w:rPr>
          <w:sz w:val="16"/>
        </w:rPr>
        <w:t>Facultad de Planeación Urbana y Regional.</w:t>
      </w:r>
      <w:r>
        <w:rPr>
          <w:w w:val="99"/>
          <w:sz w:val="16"/>
        </w:rPr>
        <w:t> </w:t>
      </w:r>
      <w:r>
        <w:rPr>
          <w:sz w:val="16"/>
        </w:rPr>
        <w:t>Universidad Autónoma del Estado de México.</w:t>
      </w:r>
    </w:p>
    <w:p>
      <w:pPr>
        <w:spacing w:before="2"/>
        <w:ind w:left="0" w:right="128" w:firstLine="0"/>
        <w:jc w:val="right"/>
        <w:rPr>
          <w:sz w:val="16"/>
        </w:rPr>
      </w:pPr>
      <w:hyperlink r:id="rId74">
        <w:r>
          <w:rPr>
            <w:w w:val="95"/>
            <w:sz w:val="16"/>
          </w:rPr>
          <w:t>viris_rodsan@live.com.mx</w:t>
        </w:r>
      </w:hyperlink>
    </w:p>
    <w:p>
      <w:pPr>
        <w:pStyle w:val="BodyText"/>
        <w:rPr>
          <w:sz w:val="16"/>
        </w:rPr>
      </w:pPr>
    </w:p>
    <w:p>
      <w:pPr>
        <w:pStyle w:val="BodyText"/>
        <w:rPr>
          <w:sz w:val="16"/>
        </w:rPr>
      </w:pPr>
    </w:p>
    <w:p>
      <w:pPr>
        <w:pStyle w:val="BodyText"/>
        <w:rPr>
          <w:sz w:val="16"/>
        </w:rPr>
      </w:pPr>
    </w:p>
    <w:p>
      <w:pPr>
        <w:pStyle w:val="BodyText"/>
        <w:spacing w:before="11"/>
        <w:rPr>
          <w:sz w:val="12"/>
        </w:rPr>
      </w:pPr>
    </w:p>
    <w:p>
      <w:pPr>
        <w:pStyle w:val="Heading1"/>
        <w:ind w:right="-10"/>
      </w:pPr>
      <w:r>
        <w:rPr/>
        <w:t>Resumen</w:t>
      </w:r>
    </w:p>
    <w:p>
      <w:pPr>
        <w:pStyle w:val="BodyText"/>
        <w:rPr>
          <w:b/>
          <w:sz w:val="24"/>
        </w:rPr>
      </w:pPr>
    </w:p>
    <w:p>
      <w:pPr>
        <w:pStyle w:val="BodyText"/>
        <w:spacing w:line="249" w:lineRule="auto" w:before="205"/>
        <w:ind w:left="130" w:right="127" w:firstLine="170"/>
        <w:jc w:val="both"/>
      </w:pPr>
      <w:r>
        <w:rPr/>
        <w:t>La incorporación de la gobernanza al ámbito de la Administración Pública obedece   a la creciente necesidad del Estado por involucrar actores de la sociedad civil y del sector privado al proceso de toma de decisiones, principalmente con el propósito       de reforzar los principios de eficacia y eficiencia a través de mecanismos de coordinación y cooperación. En este sentido, la aplicación de la gobernanza al ámbito territorial encuentra sustento en la preocupación por el territorio considerado como     “</w:t>
      </w:r>
      <w:r>
        <w:rPr>
          <w:i/>
        </w:rPr>
        <w:t>el gran sacrificado en el proceso de crecimiento económico” </w:t>
      </w:r>
      <w:r>
        <w:rPr/>
        <w:t>(Romero,</w:t>
      </w:r>
      <w:r>
        <w:rPr>
          <w:spacing w:val="-13"/>
        </w:rPr>
        <w:t> </w:t>
      </w:r>
      <w:r>
        <w:rPr/>
        <w:t>2009).</w:t>
      </w:r>
    </w:p>
    <w:p>
      <w:pPr>
        <w:pStyle w:val="BodyText"/>
        <w:spacing w:before="11"/>
      </w:pPr>
    </w:p>
    <w:p>
      <w:pPr>
        <w:pStyle w:val="BodyText"/>
        <w:spacing w:line="249" w:lineRule="auto"/>
        <w:ind w:left="130" w:right="127" w:firstLine="170"/>
        <w:jc w:val="both"/>
      </w:pPr>
      <w:r>
        <w:rPr/>
        <w:t>Es así que  la  gobernanza  territorial,  presenta  como  característica  primordial  a  la cooperación e interacción entre el Estado y los actores no gubernamentales compartiendo una visión común de las potencialidades y limitaciones del territorio en cuestión. Es por ello que el gobierno local adquiere un papel prioritario, pues es desde este ámbito dónde se facilita la planificación y gestión del territorio dando la pauta para la negociación y la innovación. El objetivo del presente artículo consiste en abordar las bases teórico-conceptuales de la gobernanza territorial como un modelo administrativo donde converge una multiplicidad de actores preocupados por la compleja dinámica territorial.</w:t>
      </w:r>
    </w:p>
    <w:p>
      <w:pPr>
        <w:pStyle w:val="BodyText"/>
        <w:spacing w:before="8"/>
        <w:rPr>
          <w:sz w:val="17"/>
        </w:rPr>
      </w:pPr>
    </w:p>
    <w:p>
      <w:pPr>
        <w:spacing w:before="0"/>
        <w:ind w:left="300" w:right="-10" w:firstLine="0"/>
        <w:jc w:val="left"/>
        <w:rPr>
          <w:sz w:val="20"/>
        </w:rPr>
      </w:pPr>
      <w:r>
        <w:rPr>
          <w:b/>
          <w:sz w:val="24"/>
        </w:rPr>
        <w:t>Palabras clave: </w:t>
      </w:r>
      <w:r>
        <w:rPr>
          <w:sz w:val="20"/>
        </w:rPr>
        <w:t>Gobernanza, territorio, desarrollo urbano.</w:t>
      </w:r>
    </w:p>
    <w:p>
      <w:pPr>
        <w:spacing w:after="0"/>
        <w:jc w:val="left"/>
        <w:rPr>
          <w:sz w:val="20"/>
        </w:rPr>
        <w:sectPr>
          <w:type w:val="continuous"/>
          <w:pgSz w:w="18830" w:h="12760" w:orient="landscape"/>
          <w:pgMar w:top="1420" w:bottom="280" w:left="720" w:right="720"/>
          <w:cols w:num="2" w:equalWidth="0">
            <w:col w:w="7848" w:space="1563"/>
            <w:col w:w="7979"/>
          </w:cols>
        </w:sectPr>
      </w:pPr>
    </w:p>
    <w:p>
      <w:pPr>
        <w:pStyle w:val="BodyText"/>
        <w:spacing w:before="8"/>
      </w:pPr>
    </w:p>
    <w:p>
      <w:pPr>
        <w:spacing w:after="0"/>
        <w:sectPr>
          <w:footerReference w:type="default" r:id="rId75"/>
          <w:pgSz w:w="18830" w:h="12760" w:orient="landscape"/>
          <w:pgMar w:footer="1036" w:header="522" w:top="820" w:bottom="1220" w:left="720" w:right="720"/>
        </w:sectPr>
      </w:pPr>
    </w:p>
    <w:p>
      <w:pPr>
        <w:pStyle w:val="Heading2"/>
        <w:spacing w:before="71"/>
        <w:ind w:right="-7"/>
        <w:rPr>
          <w:i/>
        </w:rPr>
      </w:pPr>
      <w:r>
        <w:rPr>
          <w:i/>
        </w:rPr>
        <w:t>Abstract</w:t>
      </w:r>
    </w:p>
    <w:p>
      <w:pPr>
        <w:pStyle w:val="BodyText"/>
        <w:rPr>
          <w:b/>
          <w:i/>
          <w:sz w:val="21"/>
        </w:rPr>
      </w:pPr>
    </w:p>
    <w:p>
      <w:pPr>
        <w:pStyle w:val="BodyText"/>
        <w:spacing w:line="249" w:lineRule="auto"/>
        <w:ind w:left="130" w:firstLine="170"/>
        <w:jc w:val="both"/>
      </w:pPr>
      <w:r>
        <w:rPr/>
        <w:t>The incorporation of the governance to the field of public administration is due to the growing</w:t>
      </w:r>
      <w:r>
        <w:rPr>
          <w:spacing w:val="-12"/>
        </w:rPr>
        <w:t> </w:t>
      </w:r>
      <w:r>
        <w:rPr/>
        <w:t>need</w:t>
      </w:r>
      <w:r>
        <w:rPr>
          <w:spacing w:val="-13"/>
        </w:rPr>
        <w:t> </w:t>
      </w:r>
      <w:r>
        <w:rPr/>
        <w:t>for</w:t>
      </w:r>
      <w:r>
        <w:rPr>
          <w:spacing w:val="-12"/>
        </w:rPr>
        <w:t> </w:t>
      </w:r>
      <w:r>
        <w:rPr/>
        <w:t>the</w:t>
      </w:r>
      <w:r>
        <w:rPr>
          <w:spacing w:val="-12"/>
        </w:rPr>
        <w:t> </w:t>
      </w:r>
      <w:r>
        <w:rPr/>
        <w:t>State</w:t>
      </w:r>
      <w:r>
        <w:rPr>
          <w:spacing w:val="-12"/>
        </w:rPr>
        <w:t> </w:t>
      </w:r>
      <w:r>
        <w:rPr/>
        <w:t>to</w:t>
      </w:r>
      <w:r>
        <w:rPr>
          <w:spacing w:val="-12"/>
        </w:rPr>
        <w:t> </w:t>
      </w:r>
      <w:r>
        <w:rPr/>
        <w:t>involve</w:t>
      </w:r>
      <w:r>
        <w:rPr>
          <w:spacing w:val="-12"/>
        </w:rPr>
        <w:t> </w:t>
      </w:r>
      <w:r>
        <w:rPr/>
        <w:t>actors</w:t>
      </w:r>
      <w:r>
        <w:rPr>
          <w:spacing w:val="-13"/>
        </w:rPr>
        <w:t> </w:t>
      </w:r>
      <w:r>
        <w:rPr/>
        <w:t>from</w:t>
      </w:r>
      <w:r>
        <w:rPr>
          <w:spacing w:val="-12"/>
        </w:rPr>
        <w:t> </w:t>
      </w:r>
      <w:r>
        <w:rPr/>
        <w:t>civil</w:t>
      </w:r>
      <w:r>
        <w:rPr>
          <w:spacing w:val="-12"/>
        </w:rPr>
        <w:t> </w:t>
      </w:r>
      <w:r>
        <w:rPr/>
        <w:t>society</w:t>
      </w:r>
      <w:r>
        <w:rPr>
          <w:spacing w:val="-13"/>
        </w:rPr>
        <w:t> </w:t>
      </w:r>
      <w:r>
        <w:rPr/>
        <w:t>and</w:t>
      </w:r>
      <w:r>
        <w:rPr>
          <w:spacing w:val="-12"/>
        </w:rPr>
        <w:t> </w:t>
      </w:r>
      <w:r>
        <w:rPr/>
        <w:t>the</w:t>
      </w:r>
      <w:r>
        <w:rPr>
          <w:spacing w:val="-12"/>
        </w:rPr>
        <w:t> </w:t>
      </w:r>
      <w:r>
        <w:rPr/>
        <w:t>private</w:t>
      </w:r>
      <w:r>
        <w:rPr>
          <w:spacing w:val="-12"/>
        </w:rPr>
        <w:t> </w:t>
      </w:r>
      <w:r>
        <w:rPr/>
        <w:t>sector</w:t>
      </w:r>
      <w:r>
        <w:rPr>
          <w:spacing w:val="-13"/>
        </w:rPr>
        <w:t> </w:t>
      </w:r>
      <w:r>
        <w:rPr/>
        <w:t>in</w:t>
      </w:r>
      <w:r>
        <w:rPr>
          <w:spacing w:val="-12"/>
        </w:rPr>
        <w:t> </w:t>
      </w:r>
      <w:r>
        <w:rPr/>
        <w:t>the process of decision-making, mainly with the purpose of strengthening the principles of effectiveness and efficiency through coordination and cooperation mechanisms. In this sense,</w:t>
      </w:r>
      <w:r>
        <w:rPr>
          <w:spacing w:val="19"/>
        </w:rPr>
        <w:t> </w:t>
      </w:r>
      <w:r>
        <w:rPr/>
        <w:t>the</w:t>
      </w:r>
      <w:r>
        <w:rPr>
          <w:spacing w:val="19"/>
        </w:rPr>
        <w:t> </w:t>
      </w:r>
      <w:r>
        <w:rPr/>
        <w:t>implementation</w:t>
      </w:r>
      <w:r>
        <w:rPr>
          <w:spacing w:val="19"/>
        </w:rPr>
        <w:t> </w:t>
      </w:r>
      <w:r>
        <w:rPr/>
        <w:t>of</w:t>
      </w:r>
      <w:r>
        <w:rPr>
          <w:spacing w:val="19"/>
        </w:rPr>
        <w:t> </w:t>
      </w:r>
      <w:r>
        <w:rPr/>
        <w:t>governance</w:t>
      </w:r>
      <w:r>
        <w:rPr>
          <w:spacing w:val="19"/>
        </w:rPr>
        <w:t> </w:t>
      </w:r>
      <w:r>
        <w:rPr/>
        <w:t>at</w:t>
      </w:r>
      <w:r>
        <w:rPr>
          <w:spacing w:val="19"/>
        </w:rPr>
        <w:t> </w:t>
      </w:r>
      <w:r>
        <w:rPr/>
        <w:t>the</w:t>
      </w:r>
      <w:r>
        <w:rPr>
          <w:spacing w:val="19"/>
        </w:rPr>
        <w:t> </w:t>
      </w:r>
      <w:r>
        <w:rPr/>
        <w:t>territorial</w:t>
      </w:r>
      <w:r>
        <w:rPr>
          <w:spacing w:val="19"/>
        </w:rPr>
        <w:t> </w:t>
      </w:r>
      <w:r>
        <w:rPr/>
        <w:t>scope</w:t>
      </w:r>
      <w:r>
        <w:rPr>
          <w:spacing w:val="19"/>
        </w:rPr>
        <w:t> </w:t>
      </w:r>
      <w:r>
        <w:rPr/>
        <w:t>is</w:t>
      </w:r>
      <w:r>
        <w:rPr>
          <w:spacing w:val="19"/>
        </w:rPr>
        <w:t> </w:t>
      </w:r>
      <w:r>
        <w:rPr/>
        <w:t>livelihood</w:t>
      </w:r>
      <w:r>
        <w:rPr>
          <w:spacing w:val="19"/>
        </w:rPr>
        <w:t> </w:t>
      </w:r>
      <w:r>
        <w:rPr/>
        <w:t>concern</w:t>
      </w:r>
      <w:r>
        <w:rPr>
          <w:w w:val="102"/>
        </w:rPr>
        <w:t> </w:t>
      </w:r>
      <w:r>
        <w:rPr/>
        <w:t>the territory considered to be </w:t>
      </w:r>
      <w:r>
        <w:rPr>
          <w:i/>
        </w:rPr>
        <w:t>“the great sacrificed in the process of economic growth” </w:t>
      </w:r>
      <w:r>
        <w:rPr/>
        <w:t>(Romero,</w:t>
      </w:r>
      <w:r>
        <w:rPr>
          <w:spacing w:val="-30"/>
        </w:rPr>
        <w:t> </w:t>
      </w:r>
      <w:r>
        <w:rPr/>
        <w:t>2009).</w:t>
      </w:r>
    </w:p>
    <w:p>
      <w:pPr>
        <w:pStyle w:val="BodyText"/>
        <w:spacing w:before="11"/>
      </w:pPr>
    </w:p>
    <w:p>
      <w:pPr>
        <w:pStyle w:val="BodyText"/>
        <w:spacing w:line="249" w:lineRule="auto"/>
        <w:ind w:left="130" w:firstLine="170"/>
        <w:jc w:val="both"/>
      </w:pPr>
      <w:r>
        <w:rPr/>
        <w:t>The territorial governance, presents as primary  characteristic  to  the  cooperation and interaction between State and non-governmental actors sharing a common vision of the potentialities and limitations of the territory in question. Therefore, the local Government to acquire a priority role, as it is from this area where facilitates planning</w:t>
      </w:r>
      <w:r>
        <w:rPr>
          <w:w w:val="100"/>
        </w:rPr>
        <w:t> </w:t>
      </w:r>
      <w:r>
        <w:rPr/>
        <w:t>and land management guideline for negotiation and innovation. This article aims to address the theoretical bases of the territorial governance as an administrative model where a multiplicity of actors concerned by the complex territorial dynamics converges.</w:t>
      </w:r>
    </w:p>
    <w:p>
      <w:pPr>
        <w:pStyle w:val="BodyText"/>
        <w:spacing w:before="11"/>
      </w:pPr>
    </w:p>
    <w:p>
      <w:pPr>
        <w:pStyle w:val="BodyText"/>
        <w:ind w:left="300" w:right="-7"/>
      </w:pPr>
      <w:r>
        <w:rPr>
          <w:b/>
        </w:rPr>
        <w:t>Keywords: </w:t>
      </w:r>
      <w:r>
        <w:rPr/>
        <w:t>governance, territory, urban development.</w:t>
      </w:r>
    </w:p>
    <w:p>
      <w:pPr>
        <w:pStyle w:val="BodyText"/>
        <w:spacing w:before="5"/>
        <w:rPr>
          <w:sz w:val="18"/>
        </w:rPr>
      </w:pPr>
    </w:p>
    <w:p>
      <w:pPr>
        <w:pStyle w:val="Heading2"/>
        <w:ind w:right="-7"/>
        <w:rPr>
          <w:i/>
        </w:rPr>
      </w:pPr>
      <w:r>
        <w:rPr>
          <w:i/>
        </w:rPr>
        <w:t>Introducción</w:t>
      </w:r>
    </w:p>
    <w:p>
      <w:pPr>
        <w:pStyle w:val="BodyText"/>
        <w:rPr>
          <w:b/>
          <w:i/>
          <w:sz w:val="21"/>
        </w:rPr>
      </w:pPr>
    </w:p>
    <w:p>
      <w:pPr>
        <w:pStyle w:val="BodyText"/>
        <w:spacing w:line="249" w:lineRule="auto"/>
        <w:ind w:left="130" w:firstLine="170"/>
        <w:jc w:val="both"/>
      </w:pPr>
      <w:r>
        <w:rPr/>
        <w:t>El cuestionamiento del papel del Estado ante su incapacidad para resolver las crecientes necesidades de la sociedad, aunado a la preocupación de los actores no gubernamentales por interceder en el proceso de toma de decisiones, enmarcan la emergencia</w:t>
      </w:r>
      <w:r>
        <w:rPr>
          <w:spacing w:val="-4"/>
        </w:rPr>
        <w:t> </w:t>
      </w:r>
      <w:r>
        <w:rPr/>
        <w:t>de</w:t>
      </w:r>
      <w:r>
        <w:rPr>
          <w:spacing w:val="-4"/>
        </w:rPr>
        <w:t> </w:t>
      </w:r>
      <w:r>
        <w:rPr/>
        <w:t>la</w:t>
      </w:r>
      <w:r>
        <w:rPr>
          <w:spacing w:val="-4"/>
        </w:rPr>
        <w:t> </w:t>
      </w:r>
      <w:r>
        <w:rPr/>
        <w:t>gobernanza</w:t>
      </w:r>
      <w:r>
        <w:rPr>
          <w:spacing w:val="-4"/>
        </w:rPr>
        <w:t> </w:t>
      </w:r>
      <w:r>
        <w:rPr/>
        <w:t>como</w:t>
      </w:r>
      <w:r>
        <w:rPr>
          <w:spacing w:val="-4"/>
        </w:rPr>
        <w:t> </w:t>
      </w:r>
      <w:r>
        <w:rPr/>
        <w:t>un</w:t>
      </w:r>
      <w:r>
        <w:rPr>
          <w:spacing w:val="-4"/>
        </w:rPr>
        <w:t> </w:t>
      </w:r>
      <w:r>
        <w:rPr/>
        <w:t>modelo</w:t>
      </w:r>
      <w:r>
        <w:rPr>
          <w:spacing w:val="-4"/>
        </w:rPr>
        <w:t> </w:t>
      </w:r>
      <w:r>
        <w:rPr/>
        <w:t>administrativo</w:t>
      </w:r>
      <w:r>
        <w:rPr>
          <w:spacing w:val="-4"/>
        </w:rPr>
        <w:t> </w:t>
      </w:r>
      <w:r>
        <w:rPr/>
        <w:t>que</w:t>
      </w:r>
      <w:r>
        <w:rPr>
          <w:spacing w:val="-4"/>
        </w:rPr>
        <w:t> </w:t>
      </w:r>
      <w:r>
        <w:rPr/>
        <w:t>si</w:t>
      </w:r>
      <w:r>
        <w:rPr>
          <w:spacing w:val="-4"/>
        </w:rPr>
        <w:t> </w:t>
      </w:r>
      <w:r>
        <w:rPr/>
        <w:t>bien</w:t>
      </w:r>
      <w:r>
        <w:rPr>
          <w:spacing w:val="-4"/>
        </w:rPr>
        <w:t> </w:t>
      </w:r>
      <w:r>
        <w:rPr/>
        <w:t>se</w:t>
      </w:r>
      <w:r>
        <w:rPr>
          <w:spacing w:val="-4"/>
        </w:rPr>
        <w:t> </w:t>
      </w:r>
      <w:r>
        <w:rPr/>
        <w:t>retoma</w:t>
      </w:r>
      <w:r>
        <w:rPr>
          <w:spacing w:val="-4"/>
        </w:rPr>
        <w:t> </w:t>
      </w:r>
      <w:r>
        <w:rPr/>
        <w:t>del</w:t>
      </w:r>
      <w:r>
        <w:rPr>
          <w:w w:val="101"/>
        </w:rPr>
        <w:t> </w:t>
      </w:r>
      <w:r>
        <w:rPr/>
        <w:t>ámbito de la economía institucional indica que sus principios contribuyen a simplificar procesos y facilitar la toma de decisiones, además de garantizar la inclusión de la sociedad civil para la formación de</w:t>
      </w:r>
      <w:r>
        <w:rPr>
          <w:spacing w:val="53"/>
        </w:rPr>
        <w:t> </w:t>
      </w:r>
      <w:r>
        <w:rPr/>
        <w:t>acuerdos.</w:t>
      </w:r>
    </w:p>
    <w:p>
      <w:pPr>
        <w:pStyle w:val="BodyText"/>
        <w:spacing w:before="11"/>
      </w:pPr>
    </w:p>
    <w:p>
      <w:pPr>
        <w:pStyle w:val="BodyText"/>
        <w:spacing w:line="249" w:lineRule="auto"/>
        <w:ind w:left="130" w:firstLine="170"/>
        <w:jc w:val="both"/>
      </w:pPr>
      <w:r>
        <w:rPr/>
        <w:t>En las últimas décadas el concepto de gobernanza ha sido retomado por</w:t>
      </w:r>
      <w:r>
        <w:rPr>
          <w:spacing w:val="-28"/>
        </w:rPr>
        <w:t> </w:t>
      </w:r>
      <w:r>
        <w:rPr/>
        <w:t>organismos internacionales con la finalidad de poner en práctica los ideales del “good governance” en distintos ámbitos políticos. Ejemplo de esto, fue la aplicación del concepto al  ámbito territorial, derivado de la necesidad por plantear políticas que consideren al territorio como el eje de los procesos sociales, económicos, ambientales y políticos  que convergen en una</w:t>
      </w:r>
      <w:r>
        <w:rPr>
          <w:spacing w:val="20"/>
        </w:rPr>
        <w:t> </w:t>
      </w:r>
      <w:r>
        <w:rPr/>
        <w:t>ciudad.</w:t>
      </w:r>
    </w:p>
    <w:p>
      <w:pPr>
        <w:pStyle w:val="BodyText"/>
        <w:spacing w:before="11"/>
      </w:pPr>
    </w:p>
    <w:p>
      <w:pPr>
        <w:pStyle w:val="BodyText"/>
        <w:spacing w:line="249" w:lineRule="auto"/>
        <w:ind w:left="130" w:firstLine="170"/>
        <w:jc w:val="both"/>
      </w:pPr>
      <w:r>
        <w:rPr/>
        <w:t>Conviene destacar, que un elemento primordial para la aplicación de la gobernanza territorial es el empoderamiento del gobierno local, como un actor protagónico en el proceso de toma de decisiones, capaz de conducir la planificación y gestión de la dinámica territorial con pleno conocimiento de las ventajas y desventajas que posee</w:t>
      </w:r>
      <w:r>
        <w:rPr>
          <w:spacing w:val="-11"/>
        </w:rPr>
        <w:t> </w:t>
      </w:r>
      <w:r>
        <w:rPr/>
        <w:t>su ciudad contribuyendo a un desarrollo territorial equilibrado en el largo </w:t>
      </w:r>
      <w:r>
        <w:rPr>
          <w:spacing w:val="25"/>
        </w:rPr>
        <w:t> </w:t>
      </w:r>
      <w:r>
        <w:rPr/>
        <w:t>plazo.</w:t>
      </w:r>
    </w:p>
    <w:p>
      <w:pPr>
        <w:pStyle w:val="BodyText"/>
        <w:spacing w:line="249" w:lineRule="auto" w:before="109"/>
        <w:ind w:left="130" w:right="127" w:firstLine="170"/>
        <w:jc w:val="both"/>
      </w:pPr>
      <w:r>
        <w:rPr/>
        <w:br w:type="column"/>
      </w:r>
      <w:r>
        <w:rPr/>
        <w:t>El presente capítulo expone un recorrido de las bases teórico-conceptuales que permiten la formación del concepto de gobernanza territorial hasta evolucionar a la gobernanza urbana integrada. Para ello se estructura en cuatro grandes apartados: Transformaciones del Estado y la Administración Pública, Orígenes del concepto de gobernanza, Gobernanza territorial, Gestión urbana y acción pública; y finalmente un apartado de consideraciones finales que destaca la utilidad de las aportaciones en la gestión y planificación del</w:t>
      </w:r>
      <w:r>
        <w:rPr>
          <w:spacing w:val="53"/>
        </w:rPr>
        <w:t> </w:t>
      </w:r>
      <w:r>
        <w:rPr/>
        <w:t>territorio.</w:t>
      </w:r>
    </w:p>
    <w:p>
      <w:pPr>
        <w:pStyle w:val="BodyText"/>
        <w:spacing w:before="8"/>
        <w:rPr>
          <w:sz w:val="17"/>
        </w:rPr>
      </w:pPr>
    </w:p>
    <w:p>
      <w:pPr>
        <w:pStyle w:val="Heading1"/>
        <w:ind w:right="-10"/>
      </w:pPr>
      <w:r>
        <w:rPr/>
        <w:t>Transformaciones del Estado y la Administración Pública</w:t>
      </w:r>
    </w:p>
    <w:p>
      <w:pPr>
        <w:pStyle w:val="BodyText"/>
        <w:rPr>
          <w:b/>
          <w:sz w:val="24"/>
        </w:rPr>
      </w:pPr>
    </w:p>
    <w:p>
      <w:pPr>
        <w:pStyle w:val="BodyText"/>
        <w:spacing w:line="249" w:lineRule="auto" w:before="205"/>
        <w:ind w:left="54" w:right="127" w:firstLine="170"/>
        <w:jc w:val="right"/>
      </w:pPr>
      <w:r>
        <w:rPr/>
        <w:t>Hasta los años setenta, la cuestión sobre el abordaje de problemas de orden público</w:t>
      </w:r>
      <w:r>
        <w:rPr>
          <w:w w:val="104"/>
        </w:rPr>
        <w:t> </w:t>
      </w:r>
      <w:r>
        <w:rPr/>
        <w:t>se consideraba exclusivamente asunto del gobierno y de sus administraciones; de</w:t>
      </w:r>
      <w:r>
        <w:rPr>
          <w:w w:val="101"/>
        </w:rPr>
        <w:t> </w:t>
      </w:r>
      <w:r>
        <w:rPr/>
        <w:t>acuerdo con Cadena (</w:t>
      </w:r>
      <w:r>
        <w:rPr>
          <w:i/>
        </w:rPr>
        <w:t>et, al, </w:t>
      </w:r>
      <w:r>
        <w:rPr/>
        <w:t>2012) las crisis financieras y sociales permitieron la puesta</w:t>
      </w:r>
      <w:r>
        <w:rPr>
          <w:w w:val="101"/>
        </w:rPr>
        <w:t> </w:t>
      </w:r>
      <w:r>
        <w:rPr/>
        <w:t>en práctica de nuevas formas de tomar decisiones y hacer políticas; por dos principales</w:t>
      </w:r>
      <w:r>
        <w:rPr>
          <w:w w:val="101"/>
        </w:rPr>
        <w:t> </w:t>
      </w:r>
      <w:r>
        <w:rPr/>
        <w:t>razones: la necesidad de involucrar a otros actores con la finalidad de legitimar y coadyuvar en las acciones gubernamentales; además de la evidente incapacidad del</w:t>
      </w:r>
      <w:r>
        <w:rPr>
          <w:w w:val="101"/>
        </w:rPr>
        <w:t> </w:t>
      </w:r>
      <w:r>
        <w:rPr/>
        <w:t>Estado para atender las crecientes necesidades de la población. Pressman y Wildavsky</w:t>
      </w:r>
      <w:r>
        <w:rPr>
          <w:w w:val="100"/>
        </w:rPr>
        <w:t> </w:t>
      </w:r>
      <w:r>
        <w:rPr/>
        <w:t>(1998, citado por Cadena, </w:t>
      </w:r>
      <w:r>
        <w:rPr>
          <w:i/>
        </w:rPr>
        <w:t>et al, </w:t>
      </w:r>
      <w:r>
        <w:rPr/>
        <w:t>2012), enfatizan cómo la crisis financiera mostró</w:t>
      </w:r>
      <w:r>
        <w:rPr>
          <w:w w:val="103"/>
        </w:rPr>
        <w:t> </w:t>
      </w:r>
      <w:r>
        <w:rPr/>
        <w:t>la necesidad del Estado por involucrar más actores para el abordaje de problemas</w:t>
      </w:r>
      <w:r>
        <w:rPr>
          <w:w w:val="101"/>
        </w:rPr>
        <w:t> </w:t>
      </w:r>
      <w:r>
        <w:rPr/>
        <w:t>públicos y distribución de bienes y servicios en una sociedad cada vez más  compleja.</w:t>
      </w:r>
    </w:p>
    <w:p>
      <w:pPr>
        <w:pStyle w:val="BodyText"/>
        <w:spacing w:before="11"/>
      </w:pPr>
    </w:p>
    <w:p>
      <w:pPr>
        <w:pStyle w:val="BodyText"/>
        <w:spacing w:line="249" w:lineRule="auto"/>
        <w:ind w:left="130" w:right="127" w:firstLine="170"/>
        <w:jc w:val="both"/>
      </w:pPr>
      <w:r>
        <w:rPr/>
        <w:t>Por su parte, Aguilar (2007) destaca que las capacidades del gobierno se han visto obstaculizadas por factores, tales  como:</w:t>
      </w:r>
    </w:p>
    <w:p>
      <w:pPr>
        <w:pStyle w:val="BodyText"/>
        <w:spacing w:before="8"/>
      </w:pPr>
    </w:p>
    <w:p>
      <w:pPr>
        <w:pStyle w:val="BodyText"/>
        <w:spacing w:line="244" w:lineRule="auto"/>
        <w:ind w:left="660" w:right="127" w:hanging="360"/>
        <w:jc w:val="both"/>
      </w:pPr>
      <w:r>
        <w:rPr>
          <w:rFonts w:ascii="Calibri" w:hAnsi="Calibri"/>
        </w:rPr>
        <w:t>» </w:t>
      </w:r>
      <w:r>
        <w:rPr/>
        <w:t>La crisis y/ o colapso de los estados sociales en 1980 y 1990 que mostraron al gobierno como un agente capaz de causar daños y costos sociales sin impulsar los beneficios del desarrollo y el bienestar social.</w:t>
      </w:r>
    </w:p>
    <w:p>
      <w:pPr>
        <w:pStyle w:val="BodyText"/>
        <w:spacing w:before="2"/>
        <w:ind w:left="660" w:right="128" w:hanging="360"/>
        <w:jc w:val="both"/>
      </w:pPr>
      <w:r>
        <w:rPr>
          <w:rFonts w:ascii="Calibri" w:hAnsi="Calibri"/>
        </w:rPr>
        <w:t>» </w:t>
      </w:r>
      <w:r>
        <w:rPr/>
        <w:t>La percepción social negativa de la Administración Pública con servicios públicos de baja calidad y políticas públicas desarticuladas e  ineficaces.</w:t>
      </w:r>
    </w:p>
    <w:p>
      <w:pPr>
        <w:pStyle w:val="BodyText"/>
        <w:spacing w:before="7"/>
        <w:ind w:left="660" w:right="128" w:hanging="360"/>
        <w:jc w:val="both"/>
      </w:pPr>
      <w:r>
        <w:rPr>
          <w:rFonts w:ascii="Calibri" w:hAnsi="Calibri"/>
        </w:rPr>
        <w:t>»  </w:t>
      </w:r>
      <w:r>
        <w:rPr/>
        <w:t>Falta de capacidad directiva en las democracias emergentes latinoamericanas   con respecto a seguridad pública, disminución de pobreza y </w:t>
      </w:r>
      <w:r>
        <w:rPr>
          <w:spacing w:val="44"/>
        </w:rPr>
        <w:t> </w:t>
      </w:r>
      <w:r>
        <w:rPr/>
        <w:t>desigualdad.</w:t>
      </w:r>
    </w:p>
    <w:p>
      <w:pPr>
        <w:pStyle w:val="BodyText"/>
        <w:spacing w:before="7"/>
        <w:ind w:left="660" w:right="128" w:hanging="360"/>
        <w:jc w:val="both"/>
      </w:pPr>
      <w:r>
        <w:rPr>
          <w:rFonts w:ascii="Calibri" w:hAnsi="Calibri"/>
        </w:rPr>
        <w:t>» </w:t>
      </w:r>
      <w:r>
        <w:rPr/>
        <w:t>Desterritorialización generada por la globalización con incidencia en los sistemas de regulación estatal.</w:t>
      </w:r>
    </w:p>
    <w:p>
      <w:pPr>
        <w:pStyle w:val="BodyText"/>
        <w:spacing w:before="7"/>
        <w:ind w:left="300" w:right="-10"/>
      </w:pPr>
      <w:r>
        <w:rPr>
          <w:rFonts w:ascii="Calibri" w:hAnsi="Calibri"/>
        </w:rPr>
        <w:t>»     </w:t>
      </w:r>
      <w:r>
        <w:rPr/>
        <w:t>La autosuficiencia de la sociedad para resolver problemas de servicios públicos.</w:t>
      </w:r>
    </w:p>
    <w:p>
      <w:pPr>
        <w:pStyle w:val="BodyText"/>
        <w:spacing w:before="8"/>
      </w:pPr>
    </w:p>
    <w:p>
      <w:pPr>
        <w:pStyle w:val="BodyText"/>
        <w:spacing w:line="249" w:lineRule="auto"/>
        <w:ind w:left="130" w:right="127" w:firstLine="170"/>
        <w:jc w:val="both"/>
      </w:pPr>
      <w:r>
        <w:rPr/>
        <w:t>Estos factores inciden en la pérdida del poder del gobierno cuestionando su eficacia y capacidad directiva, marcando la pauta para la emergencia de una nueva forma      de gobernar con mayor integralidad</w:t>
      </w:r>
      <w:r>
        <w:rPr>
          <w:i/>
        </w:rPr>
        <w:t>. </w:t>
      </w:r>
      <w:r>
        <w:rPr/>
        <w:t>“Las nuevas capacidades directivas que se demandan son las relativas a la certidumbre jurídica mediante la aplicación imparcial de las leyes, seguridad pública mediante un sistema de policía honesto y eficiente, </w:t>
      </w:r>
      <w:r>
        <w:rPr>
          <w:spacing w:val="39"/>
        </w:rPr>
        <w:t> </w:t>
      </w:r>
      <w:r>
        <w:rPr/>
        <w:t>un</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76"/>
          <w:pgSz w:w="18830" w:h="12760" w:orient="landscape"/>
          <w:pgMar w:footer="1036" w:header="522" w:top="820" w:bottom="1220" w:left="720" w:right="720"/>
        </w:sectPr>
      </w:pPr>
    </w:p>
    <w:p>
      <w:pPr>
        <w:pStyle w:val="BodyText"/>
        <w:spacing w:line="249" w:lineRule="auto" w:before="109"/>
        <w:ind w:left="141" w:right="1"/>
      </w:pPr>
      <w:r>
        <w:rPr/>
        <w:t>sistema hacendario equitativo y competitivo, una administración pública eficiente y de calidad (…) constituyendo capacidades fundamentales del Estado” (Aguilar, 2007:6).</w:t>
      </w:r>
    </w:p>
    <w:p>
      <w:pPr>
        <w:pStyle w:val="BodyText"/>
        <w:spacing w:before="11"/>
      </w:pPr>
    </w:p>
    <w:p>
      <w:pPr>
        <w:pStyle w:val="BodyText"/>
        <w:spacing w:line="249" w:lineRule="auto"/>
        <w:ind w:left="141" w:firstLine="170"/>
        <w:jc w:val="right"/>
      </w:pPr>
      <w:r>
        <w:rPr/>
        <w:t>Con</w:t>
      </w:r>
      <w:r>
        <w:rPr>
          <w:spacing w:val="-7"/>
        </w:rPr>
        <w:t> </w:t>
      </w:r>
      <w:r>
        <w:rPr/>
        <w:t>la</w:t>
      </w:r>
      <w:r>
        <w:rPr>
          <w:spacing w:val="-7"/>
        </w:rPr>
        <w:t> </w:t>
      </w:r>
      <w:r>
        <w:rPr/>
        <w:t>finalidad</w:t>
      </w:r>
      <w:r>
        <w:rPr>
          <w:spacing w:val="-7"/>
        </w:rPr>
        <w:t> </w:t>
      </w:r>
      <w:r>
        <w:rPr/>
        <w:t>de</w:t>
      </w:r>
      <w:r>
        <w:rPr>
          <w:spacing w:val="-7"/>
        </w:rPr>
        <w:t> </w:t>
      </w:r>
      <w:r>
        <w:rPr/>
        <w:t>entender</w:t>
      </w:r>
      <w:r>
        <w:rPr>
          <w:spacing w:val="-7"/>
        </w:rPr>
        <w:t> </w:t>
      </w:r>
      <w:r>
        <w:rPr/>
        <w:t>las</w:t>
      </w:r>
      <w:r>
        <w:rPr>
          <w:spacing w:val="-7"/>
        </w:rPr>
        <w:t> </w:t>
      </w:r>
      <w:r>
        <w:rPr/>
        <w:t>transformaciones</w:t>
      </w:r>
      <w:r>
        <w:rPr>
          <w:spacing w:val="-7"/>
        </w:rPr>
        <w:t> </w:t>
      </w:r>
      <w:r>
        <w:rPr/>
        <w:t>del</w:t>
      </w:r>
      <w:r>
        <w:rPr>
          <w:spacing w:val="-7"/>
        </w:rPr>
        <w:t> </w:t>
      </w:r>
      <w:r>
        <w:rPr/>
        <w:t>Estado,</w:t>
      </w:r>
      <w:r>
        <w:rPr>
          <w:spacing w:val="-7"/>
        </w:rPr>
        <w:t> </w:t>
      </w:r>
      <w:r>
        <w:rPr/>
        <w:t>Aguilar</w:t>
      </w:r>
      <w:r>
        <w:rPr>
          <w:spacing w:val="-7"/>
        </w:rPr>
        <w:t> </w:t>
      </w:r>
      <w:r>
        <w:rPr/>
        <w:t>(2011)</w:t>
      </w:r>
      <w:r>
        <w:rPr>
          <w:spacing w:val="-7"/>
        </w:rPr>
        <w:t> </w:t>
      </w:r>
      <w:r>
        <w:rPr/>
        <w:t>identifica</w:t>
      </w:r>
      <w:r>
        <w:rPr>
          <w:w w:val="102"/>
        </w:rPr>
        <w:t> </w:t>
      </w:r>
      <w:r>
        <w:rPr/>
        <w:t>dos tendencias de reorientación necesarias para la Administración Pública.</w:t>
      </w:r>
      <w:r>
        <w:rPr>
          <w:spacing w:val="29"/>
        </w:rPr>
        <w:t> </w:t>
      </w:r>
      <w:r>
        <w:rPr/>
        <w:t>La</w:t>
      </w:r>
      <w:r>
        <w:rPr>
          <w:spacing w:val="3"/>
        </w:rPr>
        <w:t> </w:t>
      </w:r>
      <w:r>
        <w:rPr/>
        <w:t>primera</w:t>
      </w:r>
      <w:r>
        <w:rPr>
          <w:w w:val="100"/>
        </w:rPr>
        <w:t> </w:t>
      </w:r>
      <w:r>
        <w:rPr/>
        <w:t>se</w:t>
      </w:r>
      <w:r>
        <w:rPr>
          <w:spacing w:val="36"/>
        </w:rPr>
        <w:t> </w:t>
      </w:r>
      <w:r>
        <w:rPr/>
        <w:t>basa</w:t>
      </w:r>
      <w:r>
        <w:rPr>
          <w:spacing w:val="36"/>
        </w:rPr>
        <w:t> </w:t>
      </w:r>
      <w:r>
        <w:rPr/>
        <w:t>en</w:t>
      </w:r>
      <w:r>
        <w:rPr>
          <w:spacing w:val="36"/>
        </w:rPr>
        <w:t> </w:t>
      </w:r>
      <w:r>
        <w:rPr/>
        <w:t>reivindicar,</w:t>
      </w:r>
      <w:r>
        <w:rPr>
          <w:spacing w:val="36"/>
        </w:rPr>
        <w:t> </w:t>
      </w:r>
      <w:r>
        <w:rPr/>
        <w:t>recuperar</w:t>
      </w:r>
      <w:r>
        <w:rPr>
          <w:spacing w:val="36"/>
        </w:rPr>
        <w:t> </w:t>
      </w:r>
      <w:r>
        <w:rPr/>
        <w:t>y</w:t>
      </w:r>
      <w:r>
        <w:rPr>
          <w:spacing w:val="36"/>
        </w:rPr>
        <w:t> </w:t>
      </w:r>
      <w:r>
        <w:rPr/>
        <w:t>reconstruir</w:t>
      </w:r>
      <w:r>
        <w:rPr>
          <w:spacing w:val="36"/>
        </w:rPr>
        <w:t> </w:t>
      </w:r>
      <w:r>
        <w:rPr/>
        <w:t>la</w:t>
      </w:r>
      <w:r>
        <w:rPr>
          <w:spacing w:val="36"/>
        </w:rPr>
        <w:t> </w:t>
      </w:r>
      <w:r>
        <w:rPr/>
        <w:t>naturaleza</w:t>
      </w:r>
      <w:r>
        <w:rPr>
          <w:spacing w:val="36"/>
        </w:rPr>
        <w:t> </w:t>
      </w:r>
      <w:r>
        <w:rPr/>
        <w:t>pública</w:t>
      </w:r>
      <w:r>
        <w:rPr>
          <w:spacing w:val="36"/>
        </w:rPr>
        <w:t> </w:t>
      </w:r>
      <w:r>
        <w:rPr/>
        <w:t>de</w:t>
      </w:r>
      <w:r>
        <w:rPr>
          <w:spacing w:val="36"/>
        </w:rPr>
        <w:t> </w:t>
      </w:r>
      <w:r>
        <w:rPr/>
        <w:t>ésta,</w:t>
      </w:r>
      <w:r>
        <w:rPr>
          <w:spacing w:val="36"/>
        </w:rPr>
        <w:t> </w:t>
      </w:r>
      <w:r>
        <w:rPr/>
        <w:t>como</w:t>
      </w:r>
      <w:r>
        <w:rPr>
          <w:w w:val="103"/>
        </w:rPr>
        <w:t> </w:t>
      </w:r>
      <w:r>
        <w:rPr/>
        <w:t>consecuencia del despertar de los ciudadanos y las agrupaciones de la</w:t>
      </w:r>
      <w:r>
        <w:rPr>
          <w:spacing w:val="10"/>
        </w:rPr>
        <w:t> </w:t>
      </w:r>
      <w:r>
        <w:rPr/>
        <w:t>sociedad</w:t>
      </w:r>
      <w:r>
        <w:rPr>
          <w:spacing w:val="11"/>
        </w:rPr>
        <w:t> </w:t>
      </w:r>
      <w:r>
        <w:rPr/>
        <w:t>civil</w:t>
      </w:r>
      <w:r>
        <w:rPr>
          <w:w w:val="102"/>
        </w:rPr>
        <w:t> </w:t>
      </w:r>
      <w:r>
        <w:rPr/>
        <w:t>que ahora se interrelacionan más con el Estado no sólo críticamente sino con</w:t>
      </w:r>
      <w:r>
        <w:rPr>
          <w:spacing w:val="1"/>
        </w:rPr>
        <w:t> </w:t>
      </w:r>
      <w:r>
        <w:rPr/>
        <w:t>la</w:t>
      </w:r>
      <w:r>
        <w:rPr>
          <w:spacing w:val="12"/>
        </w:rPr>
        <w:t> </w:t>
      </w:r>
      <w:r>
        <w:rPr/>
        <w:t>idea</w:t>
      </w:r>
      <w:r>
        <w:rPr>
          <w:w w:val="99"/>
        </w:rPr>
        <w:t> </w:t>
      </w:r>
      <w:r>
        <w:rPr/>
        <w:t>de construir acuerdos. La segunda tendencia busca recuperar, reactivar</w:t>
      </w:r>
      <w:r>
        <w:rPr>
          <w:spacing w:val="36"/>
        </w:rPr>
        <w:t> </w:t>
      </w:r>
      <w:r>
        <w:rPr/>
        <w:t>y</w:t>
      </w:r>
      <w:r>
        <w:rPr>
          <w:spacing w:val="16"/>
        </w:rPr>
        <w:t> </w:t>
      </w:r>
      <w:r>
        <w:rPr/>
        <w:t>reconstruir</w:t>
      </w:r>
      <w:r>
        <w:rPr>
          <w:w w:val="101"/>
        </w:rPr>
        <w:t> </w:t>
      </w:r>
      <w:r>
        <w:rPr/>
        <w:t>la capacidad administrativa de la Administración Pública mediante el</w:t>
      </w:r>
      <w:r>
        <w:rPr>
          <w:spacing w:val="-3"/>
        </w:rPr>
        <w:t> </w:t>
      </w:r>
      <w:r>
        <w:rPr/>
        <w:t>fortalecimiento</w:t>
      </w:r>
      <w:r>
        <w:rPr>
          <w:spacing w:val="-1"/>
        </w:rPr>
        <w:t> </w:t>
      </w:r>
      <w:r>
        <w:rPr/>
        <w:t>de</w:t>
      </w:r>
      <w:r>
        <w:rPr>
          <w:w w:val="101"/>
        </w:rPr>
        <w:t> </w:t>
      </w:r>
      <w:r>
        <w:rPr/>
        <w:t>la forma de respuesta de las democracias a la demanda social de bienes,</w:t>
      </w:r>
      <w:r>
        <w:rPr>
          <w:spacing w:val="5"/>
        </w:rPr>
        <w:t> </w:t>
      </w:r>
      <w:r>
        <w:rPr/>
        <w:t>servicios</w:t>
      </w:r>
      <w:r>
        <w:rPr>
          <w:spacing w:val="13"/>
        </w:rPr>
        <w:t> </w:t>
      </w:r>
      <w:r>
        <w:rPr/>
        <w:t>y oportunidades</w:t>
      </w:r>
      <w:r>
        <w:rPr>
          <w:spacing w:val="-11"/>
        </w:rPr>
        <w:t> </w:t>
      </w:r>
      <w:r>
        <w:rPr/>
        <w:t>en</w:t>
      </w:r>
      <w:r>
        <w:rPr>
          <w:spacing w:val="-11"/>
        </w:rPr>
        <w:t> </w:t>
      </w:r>
      <w:r>
        <w:rPr/>
        <w:t>una</w:t>
      </w:r>
      <w:r>
        <w:rPr>
          <w:spacing w:val="-11"/>
        </w:rPr>
        <w:t> </w:t>
      </w:r>
      <w:r>
        <w:rPr/>
        <w:t>sociedad</w:t>
      </w:r>
      <w:r>
        <w:rPr>
          <w:spacing w:val="-11"/>
        </w:rPr>
        <w:t> </w:t>
      </w:r>
      <w:r>
        <w:rPr/>
        <w:t>más</w:t>
      </w:r>
      <w:r>
        <w:rPr>
          <w:spacing w:val="-11"/>
        </w:rPr>
        <w:t> </w:t>
      </w:r>
      <w:r>
        <w:rPr/>
        <w:t>compleja</w:t>
      </w:r>
      <w:r>
        <w:rPr>
          <w:spacing w:val="-11"/>
        </w:rPr>
        <w:t> </w:t>
      </w:r>
      <w:r>
        <w:rPr/>
        <w:t>con</w:t>
      </w:r>
      <w:r>
        <w:rPr>
          <w:spacing w:val="-11"/>
        </w:rPr>
        <w:t> </w:t>
      </w:r>
      <w:r>
        <w:rPr/>
        <w:t>actores</w:t>
      </w:r>
      <w:r>
        <w:rPr>
          <w:spacing w:val="-11"/>
        </w:rPr>
        <w:t> </w:t>
      </w:r>
      <w:r>
        <w:rPr/>
        <w:t>autónomos</w:t>
      </w:r>
      <w:r>
        <w:rPr>
          <w:spacing w:val="-11"/>
        </w:rPr>
        <w:t> </w:t>
      </w:r>
      <w:r>
        <w:rPr/>
        <w:t>y</w:t>
      </w:r>
      <w:r>
        <w:rPr>
          <w:spacing w:val="-11"/>
        </w:rPr>
        <w:t> </w:t>
      </w:r>
      <w:r>
        <w:rPr/>
        <w:t>autosuficientes.</w:t>
      </w:r>
    </w:p>
    <w:p>
      <w:pPr>
        <w:pStyle w:val="BodyText"/>
        <w:spacing w:before="11"/>
      </w:pPr>
    </w:p>
    <w:p>
      <w:pPr>
        <w:pStyle w:val="BodyText"/>
        <w:spacing w:line="249" w:lineRule="auto"/>
        <w:ind w:left="141" w:firstLine="170"/>
        <w:jc w:val="both"/>
      </w:pPr>
      <w:r>
        <w:rPr/>
        <w:t>Rosique (2012), señala que desde 1990 surge el énfasis en la eficacia y legitimidad del actuar público con base en la interacción entre niveles de gobierno, organizaciones empresariales</w:t>
      </w:r>
      <w:r>
        <w:rPr>
          <w:spacing w:val="-5"/>
        </w:rPr>
        <w:t> </w:t>
      </w:r>
      <w:r>
        <w:rPr/>
        <w:t>y</w:t>
      </w:r>
      <w:r>
        <w:rPr>
          <w:spacing w:val="-5"/>
        </w:rPr>
        <w:t> </w:t>
      </w:r>
      <w:r>
        <w:rPr/>
        <w:t>sociedad</w:t>
      </w:r>
      <w:r>
        <w:rPr>
          <w:spacing w:val="-5"/>
        </w:rPr>
        <w:t> </w:t>
      </w:r>
      <w:r>
        <w:rPr/>
        <w:t>civil.</w:t>
      </w:r>
      <w:r>
        <w:rPr>
          <w:spacing w:val="-5"/>
        </w:rPr>
        <w:t> </w:t>
      </w:r>
      <w:r>
        <w:rPr/>
        <w:t>“Dejando</w:t>
      </w:r>
      <w:r>
        <w:rPr>
          <w:spacing w:val="-5"/>
        </w:rPr>
        <w:t> </w:t>
      </w:r>
      <w:r>
        <w:rPr/>
        <w:t>atrás</w:t>
      </w:r>
      <w:r>
        <w:rPr>
          <w:spacing w:val="-5"/>
        </w:rPr>
        <w:t> </w:t>
      </w:r>
      <w:r>
        <w:rPr/>
        <w:t>la</w:t>
      </w:r>
      <w:r>
        <w:rPr>
          <w:spacing w:val="-5"/>
        </w:rPr>
        <w:t> </w:t>
      </w:r>
      <w:r>
        <w:rPr/>
        <w:t>noción</w:t>
      </w:r>
      <w:r>
        <w:rPr>
          <w:spacing w:val="-5"/>
        </w:rPr>
        <w:t> </w:t>
      </w:r>
      <w:r>
        <w:rPr/>
        <w:t>del</w:t>
      </w:r>
      <w:r>
        <w:rPr>
          <w:spacing w:val="-5"/>
        </w:rPr>
        <w:t> </w:t>
      </w:r>
      <w:r>
        <w:rPr/>
        <w:t>Estado</w:t>
      </w:r>
      <w:r>
        <w:rPr>
          <w:spacing w:val="-5"/>
        </w:rPr>
        <w:t> </w:t>
      </w:r>
      <w:r>
        <w:rPr/>
        <w:t>burocrático,</w:t>
      </w:r>
      <w:r>
        <w:rPr>
          <w:spacing w:val="-5"/>
        </w:rPr>
        <w:t> </w:t>
      </w:r>
      <w:r>
        <w:rPr/>
        <w:t>basado en</w:t>
      </w:r>
      <w:r>
        <w:rPr>
          <w:spacing w:val="18"/>
        </w:rPr>
        <w:t> </w:t>
      </w:r>
      <w:r>
        <w:rPr/>
        <w:t>el</w:t>
      </w:r>
      <w:r>
        <w:rPr>
          <w:spacing w:val="18"/>
        </w:rPr>
        <w:t> </w:t>
      </w:r>
      <w:r>
        <w:rPr/>
        <w:t>paradigma</w:t>
      </w:r>
      <w:r>
        <w:rPr>
          <w:spacing w:val="18"/>
        </w:rPr>
        <w:t> </w:t>
      </w:r>
      <w:r>
        <w:rPr/>
        <w:t>del</w:t>
      </w:r>
      <w:r>
        <w:rPr>
          <w:spacing w:val="18"/>
        </w:rPr>
        <w:t> </w:t>
      </w:r>
      <w:r>
        <w:rPr/>
        <w:t>gran</w:t>
      </w:r>
      <w:r>
        <w:rPr>
          <w:spacing w:val="18"/>
        </w:rPr>
        <w:t> </w:t>
      </w:r>
      <w:r>
        <w:rPr/>
        <w:t>gobierno</w:t>
      </w:r>
      <w:r>
        <w:rPr>
          <w:spacing w:val="18"/>
        </w:rPr>
        <w:t> </w:t>
      </w:r>
      <w:r>
        <w:rPr/>
        <w:t>de</w:t>
      </w:r>
      <w:r>
        <w:rPr>
          <w:spacing w:val="18"/>
        </w:rPr>
        <w:t> </w:t>
      </w:r>
      <w:r>
        <w:rPr/>
        <w:t>los</w:t>
      </w:r>
      <w:r>
        <w:rPr>
          <w:spacing w:val="18"/>
        </w:rPr>
        <w:t> </w:t>
      </w:r>
      <w:r>
        <w:rPr/>
        <w:t>programas</w:t>
      </w:r>
      <w:r>
        <w:rPr>
          <w:spacing w:val="18"/>
        </w:rPr>
        <w:t> </w:t>
      </w:r>
      <w:r>
        <w:rPr/>
        <w:t>de</w:t>
      </w:r>
      <w:r>
        <w:rPr>
          <w:spacing w:val="18"/>
        </w:rPr>
        <w:t> </w:t>
      </w:r>
      <w:r>
        <w:rPr/>
        <w:t>bienestar,</w:t>
      </w:r>
      <w:r>
        <w:rPr>
          <w:spacing w:val="18"/>
        </w:rPr>
        <w:t> </w:t>
      </w:r>
      <w:r>
        <w:rPr/>
        <w:t>para</w:t>
      </w:r>
      <w:r>
        <w:rPr>
          <w:spacing w:val="18"/>
        </w:rPr>
        <w:t> </w:t>
      </w:r>
      <w:r>
        <w:rPr/>
        <w:t>entrar</w:t>
      </w:r>
      <w:r>
        <w:rPr>
          <w:spacing w:val="18"/>
        </w:rPr>
        <w:t> </w:t>
      </w:r>
      <w:r>
        <w:rPr/>
        <w:t>a</w:t>
      </w:r>
      <w:r>
        <w:rPr>
          <w:spacing w:val="18"/>
        </w:rPr>
        <w:t> </w:t>
      </w:r>
      <w:r>
        <w:rPr/>
        <w:t>una</w:t>
      </w:r>
      <w:r>
        <w:rPr>
          <w:w w:val="98"/>
        </w:rPr>
        <w:t> </w:t>
      </w:r>
      <w:r>
        <w:rPr/>
        <w:t>nueva etapa donde la gobernación se basa en gobiernos ligeros y</w:t>
      </w:r>
      <w:r>
        <w:rPr>
          <w:spacing w:val="24"/>
        </w:rPr>
        <w:t> </w:t>
      </w:r>
      <w:r>
        <w:rPr/>
        <w:t>descentralizados</w:t>
      </w:r>
      <w:r>
        <w:rPr>
          <w:spacing w:val="2"/>
        </w:rPr>
        <w:t> </w:t>
      </w:r>
      <w:r>
        <w:rPr/>
        <w:t>de</w:t>
      </w:r>
      <w:r>
        <w:rPr>
          <w:w w:val="101"/>
        </w:rPr>
        <w:t> </w:t>
      </w:r>
      <w:r>
        <w:rPr/>
        <w:t>multinivel, cercanos al ciudadano” (Rosique, 2012:</w:t>
      </w:r>
      <w:r>
        <w:rPr>
          <w:spacing w:val="20"/>
        </w:rPr>
        <w:t> </w:t>
      </w:r>
      <w:r>
        <w:rPr/>
        <w:t>75).</w:t>
      </w:r>
    </w:p>
    <w:p>
      <w:pPr>
        <w:pStyle w:val="BodyText"/>
        <w:spacing w:before="11"/>
      </w:pPr>
    </w:p>
    <w:p>
      <w:pPr>
        <w:pStyle w:val="BodyText"/>
        <w:spacing w:line="249" w:lineRule="auto"/>
        <w:ind w:left="141" w:firstLine="170"/>
        <w:jc w:val="both"/>
      </w:pPr>
      <w:r>
        <w:rPr/>
        <w:t>En este sentido, el concepto de gobernanza adquiere importancia ya que aplicado a la Administración Pública garantiza la inclusión de la sociedad civil para la formulación de acuerdos; y al mismo tiempo fortalece la capacidad de respuesta del gobierno considerando la multiplicidad de actores que deben intervenir en el proceso de toma  de decisiones partiendo de una visión integral y espacial persiguiendo como finalidad el bien</w:t>
      </w:r>
      <w:r>
        <w:rPr>
          <w:spacing w:val="14"/>
        </w:rPr>
        <w:t> </w:t>
      </w:r>
      <w:r>
        <w:rPr/>
        <w:t>común.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8"/>
        </w:rPr>
      </w:pPr>
      <w:r>
        <w:rPr/>
        <w:pict>
          <v:line style="position:absolute;mso-position-horizontal-relative:page;mso-position-vertical-relative:paragraph;z-index:2752;mso-wrap-distance-left:0;mso-wrap-distance-right:0" from="42.519699pt,12.691607pt" to="428.031699pt,12.691607pt" stroked="true" strokeweight=".5pt" strokecolor="#6d6e71">
            <w10:wrap type="topAndBottom"/>
          </v:line>
        </w:pict>
      </w:r>
    </w:p>
    <w:p>
      <w:pPr>
        <w:spacing w:line="357" w:lineRule="auto" w:before="79"/>
        <w:ind w:left="187" w:right="1" w:hanging="57"/>
        <w:jc w:val="left"/>
        <w:rPr>
          <w:sz w:val="14"/>
        </w:rPr>
      </w:pPr>
      <w:r>
        <w:rPr>
          <w:color w:val="6D6E71"/>
          <w:position w:val="5"/>
          <w:sz w:val="8"/>
        </w:rPr>
        <w:t>6.</w:t>
      </w:r>
      <w:r>
        <w:rPr>
          <w:color w:val="6D6E71"/>
          <w:sz w:val="14"/>
        </w:rPr>
        <w:t>Estructura y proceso administrativo de las decisiones de gobierno, como ejercicio profesional y como disciplina académica. Aguilar, 2011, p:40</w:t>
      </w:r>
    </w:p>
    <w:p>
      <w:pPr>
        <w:pStyle w:val="Heading1"/>
        <w:spacing w:before="71"/>
        <w:ind w:right="-10"/>
      </w:pPr>
      <w:r>
        <w:rPr>
          <w:b w:val="0"/>
        </w:rPr>
        <w:br w:type="column"/>
      </w:r>
      <w:r>
        <w:rPr/>
        <w:t>Orígenes del concepto de gobernanza</w:t>
      </w:r>
    </w:p>
    <w:p>
      <w:pPr>
        <w:pStyle w:val="BodyText"/>
        <w:rPr>
          <w:b/>
          <w:sz w:val="21"/>
        </w:rPr>
      </w:pPr>
    </w:p>
    <w:p>
      <w:pPr>
        <w:pStyle w:val="BodyText"/>
        <w:spacing w:line="249" w:lineRule="auto"/>
        <w:ind w:left="130" w:right="127" w:firstLine="170"/>
        <w:jc w:val="both"/>
      </w:pPr>
      <w:r>
        <w:rPr/>
        <w:t>El</w:t>
      </w:r>
      <w:r>
        <w:rPr>
          <w:spacing w:val="-6"/>
        </w:rPr>
        <w:t> </w:t>
      </w:r>
      <w:r>
        <w:rPr/>
        <w:t>origen</w:t>
      </w:r>
      <w:r>
        <w:rPr>
          <w:spacing w:val="-6"/>
        </w:rPr>
        <w:t> </w:t>
      </w:r>
      <w:r>
        <w:rPr/>
        <w:t>de</w:t>
      </w:r>
      <w:r>
        <w:rPr>
          <w:spacing w:val="-6"/>
        </w:rPr>
        <w:t> </w:t>
      </w:r>
      <w:r>
        <w:rPr/>
        <w:t>la</w:t>
      </w:r>
      <w:r>
        <w:rPr>
          <w:spacing w:val="-6"/>
        </w:rPr>
        <w:t> </w:t>
      </w:r>
      <w:r>
        <w:rPr/>
        <w:t>palabra</w:t>
      </w:r>
      <w:r>
        <w:rPr>
          <w:spacing w:val="-6"/>
        </w:rPr>
        <w:t> </w:t>
      </w:r>
      <w:r>
        <w:rPr>
          <w:i/>
        </w:rPr>
        <w:t>governance</w:t>
      </w:r>
      <w:r>
        <w:rPr>
          <w:i/>
          <w:spacing w:val="-6"/>
        </w:rPr>
        <w:t> </w:t>
      </w:r>
      <w:r>
        <w:rPr/>
        <w:t>se</w:t>
      </w:r>
      <w:r>
        <w:rPr>
          <w:spacing w:val="-6"/>
        </w:rPr>
        <w:t> </w:t>
      </w:r>
      <w:r>
        <w:rPr/>
        <w:t>remonta</w:t>
      </w:r>
      <w:r>
        <w:rPr>
          <w:spacing w:val="-6"/>
        </w:rPr>
        <w:t> </w:t>
      </w:r>
      <w:r>
        <w:rPr/>
        <w:t>al</w:t>
      </w:r>
      <w:r>
        <w:rPr>
          <w:spacing w:val="-6"/>
        </w:rPr>
        <w:t> </w:t>
      </w:r>
      <w:r>
        <w:rPr/>
        <w:t>latín</w:t>
      </w:r>
      <w:r>
        <w:rPr>
          <w:spacing w:val="-6"/>
        </w:rPr>
        <w:t> </w:t>
      </w:r>
      <w:r>
        <w:rPr/>
        <w:t>clásico</w:t>
      </w:r>
      <w:r>
        <w:rPr>
          <w:spacing w:val="-6"/>
        </w:rPr>
        <w:t> </w:t>
      </w:r>
      <w:r>
        <w:rPr/>
        <w:t>y</w:t>
      </w:r>
      <w:r>
        <w:rPr>
          <w:spacing w:val="-6"/>
        </w:rPr>
        <w:t> </w:t>
      </w:r>
      <w:r>
        <w:rPr/>
        <w:t>al</w:t>
      </w:r>
      <w:r>
        <w:rPr>
          <w:spacing w:val="-6"/>
        </w:rPr>
        <w:t> </w:t>
      </w:r>
      <w:r>
        <w:rPr/>
        <w:t>griego</w:t>
      </w:r>
      <w:r>
        <w:rPr>
          <w:spacing w:val="-6"/>
        </w:rPr>
        <w:t> </w:t>
      </w:r>
      <w:r>
        <w:rPr/>
        <w:t>antiguo</w:t>
      </w:r>
      <w:r>
        <w:rPr>
          <w:spacing w:val="-6"/>
        </w:rPr>
        <w:t> </w:t>
      </w:r>
      <w:r>
        <w:rPr/>
        <w:t>para referirse a la dirección de las naves, Jessop (1998 citado por Sánchez 2012) establece que </w:t>
      </w:r>
      <w:r>
        <w:rPr>
          <w:i/>
        </w:rPr>
        <w:t>governance </w:t>
      </w:r>
      <w:r>
        <w:rPr/>
        <w:t>describía la acción o el modo de gobernar, guiar o dirigir la conducta. Para José Juan Sánchez (2012), en un principio la gobernanza sólo se aludía a los asuntos del Estado, dirección de instituciones o profesiones; sin embargo, de acuerdo a este autor, en la actualidad el factor esencial para el renacimiento de la gobernanza se basa en la necesidad de distinguir entre buen gobierno y</w:t>
      </w:r>
      <w:r>
        <w:rPr>
          <w:spacing w:val="52"/>
        </w:rPr>
        <w:t> </w:t>
      </w:r>
      <w:r>
        <w:rPr/>
        <w:t>gobierno.</w:t>
      </w:r>
    </w:p>
    <w:p>
      <w:pPr>
        <w:pStyle w:val="BodyText"/>
        <w:spacing w:before="11"/>
      </w:pPr>
    </w:p>
    <w:p>
      <w:pPr>
        <w:pStyle w:val="BodyText"/>
        <w:spacing w:line="249" w:lineRule="auto"/>
        <w:ind w:left="130" w:right="127" w:firstLine="170"/>
        <w:jc w:val="both"/>
      </w:pPr>
      <w:r>
        <w:rPr/>
        <w:t>La palabra gobernanza hace alusión a los distintos vocablos del término proveniente del inglés </w:t>
      </w:r>
      <w:r>
        <w:rPr>
          <w:i/>
        </w:rPr>
        <w:t>governance</w:t>
      </w:r>
      <w:r>
        <w:rPr/>
        <w:t>, del francés </w:t>
      </w:r>
      <w:r>
        <w:rPr>
          <w:i/>
        </w:rPr>
        <w:t>gouvernance</w:t>
      </w:r>
      <w:r>
        <w:rPr/>
        <w:t>, y del portugués </w:t>
      </w:r>
      <w:r>
        <w:rPr>
          <w:i/>
        </w:rPr>
        <w:t>governanca</w:t>
      </w:r>
      <w:r>
        <w:rPr/>
        <w:t>. Independientemente de su origen, Farinós (2008) establece que el concepto hace referencia a la gobernanza como una estructura emergente del sistema sociopolítico, resultado de los esfuerzos de interacción entre los diversos actores con énfasis en la coordinación y la cohesión de diferentes propósitos y  objetivos.</w:t>
      </w:r>
    </w:p>
    <w:p>
      <w:pPr>
        <w:pStyle w:val="BodyText"/>
        <w:spacing w:before="11"/>
      </w:pPr>
    </w:p>
    <w:p>
      <w:pPr>
        <w:pStyle w:val="BodyText"/>
        <w:spacing w:line="249" w:lineRule="auto"/>
        <w:ind w:left="130" w:right="127" w:firstLine="170"/>
        <w:jc w:val="right"/>
      </w:pPr>
      <w:r>
        <w:rPr/>
        <w:t>En</w:t>
      </w:r>
      <w:r>
        <w:rPr>
          <w:spacing w:val="23"/>
        </w:rPr>
        <w:t> </w:t>
      </w:r>
      <w:r>
        <w:rPr/>
        <w:t>este</w:t>
      </w:r>
      <w:r>
        <w:rPr>
          <w:spacing w:val="23"/>
        </w:rPr>
        <w:t> </w:t>
      </w:r>
      <w:r>
        <w:rPr/>
        <w:t>sentido,</w:t>
      </w:r>
      <w:r>
        <w:rPr>
          <w:spacing w:val="23"/>
        </w:rPr>
        <w:t> </w:t>
      </w:r>
      <w:r>
        <w:rPr/>
        <w:t>Rosas</w:t>
      </w:r>
      <w:r>
        <w:rPr>
          <w:spacing w:val="23"/>
        </w:rPr>
        <w:t> </w:t>
      </w:r>
      <w:r>
        <w:rPr/>
        <w:t>(2014)</w:t>
      </w:r>
      <w:r>
        <w:rPr>
          <w:spacing w:val="23"/>
        </w:rPr>
        <w:t> </w:t>
      </w:r>
      <w:r>
        <w:rPr/>
        <w:t>describe</w:t>
      </w:r>
      <w:r>
        <w:rPr>
          <w:spacing w:val="23"/>
        </w:rPr>
        <w:t> </w:t>
      </w:r>
      <w:r>
        <w:rPr/>
        <w:t>que</w:t>
      </w:r>
      <w:r>
        <w:rPr>
          <w:spacing w:val="23"/>
        </w:rPr>
        <w:t> </w:t>
      </w:r>
      <w:r>
        <w:rPr/>
        <w:t>la</w:t>
      </w:r>
      <w:r>
        <w:rPr>
          <w:spacing w:val="23"/>
        </w:rPr>
        <w:t> </w:t>
      </w:r>
      <w:r>
        <w:rPr/>
        <w:t>noción</w:t>
      </w:r>
      <w:r>
        <w:rPr>
          <w:spacing w:val="23"/>
        </w:rPr>
        <w:t> </w:t>
      </w:r>
      <w:r>
        <w:rPr/>
        <w:t>anglosajona</w:t>
      </w:r>
      <w:r>
        <w:rPr>
          <w:spacing w:val="23"/>
        </w:rPr>
        <w:t> </w:t>
      </w:r>
      <w:r>
        <w:rPr/>
        <w:t>de</w:t>
      </w:r>
      <w:r>
        <w:rPr>
          <w:spacing w:val="24"/>
        </w:rPr>
        <w:t> </w:t>
      </w:r>
      <w:r>
        <w:rPr>
          <w:i/>
        </w:rPr>
        <w:t>governance</w:t>
      </w:r>
      <w:r>
        <w:rPr>
          <w:i/>
          <w:spacing w:val="-1"/>
        </w:rPr>
        <w:t> </w:t>
      </w:r>
      <w:r>
        <w:rPr/>
        <w:t>obedeció inicialmente a su uso para analizar los cambios recientes del “</w:t>
      </w:r>
      <w:r>
        <w:rPr>
          <w:i/>
        </w:rPr>
        <w:t>gobierno</w:t>
      </w:r>
      <w:r>
        <w:rPr/>
        <w:t>”</w:t>
      </w:r>
      <w:r>
        <w:rPr>
          <w:spacing w:val="-7"/>
        </w:rPr>
        <w:t> </w:t>
      </w:r>
      <w:r>
        <w:rPr/>
        <w:t>de</w:t>
      </w:r>
      <w:r>
        <w:rPr>
          <w:spacing w:val="-1"/>
        </w:rPr>
        <w:t> </w:t>
      </w:r>
      <w:r>
        <w:rPr/>
        <w:t>la</w:t>
      </w:r>
      <w:r>
        <w:rPr>
          <w:w w:val="97"/>
        </w:rPr>
        <w:t> </w:t>
      </w:r>
      <w:r>
        <w:rPr/>
        <w:t>sociedad</w:t>
      </w:r>
      <w:r>
        <w:rPr>
          <w:spacing w:val="-9"/>
        </w:rPr>
        <w:t> </w:t>
      </w:r>
      <w:r>
        <w:rPr/>
        <w:t>doméstica,</w:t>
      </w:r>
      <w:r>
        <w:rPr>
          <w:spacing w:val="-9"/>
        </w:rPr>
        <w:t> </w:t>
      </w:r>
      <w:r>
        <w:rPr/>
        <w:t>esto</w:t>
      </w:r>
      <w:r>
        <w:rPr>
          <w:spacing w:val="-9"/>
        </w:rPr>
        <w:t> </w:t>
      </w:r>
      <w:r>
        <w:rPr/>
        <w:t>es</w:t>
      </w:r>
      <w:r>
        <w:rPr>
          <w:spacing w:val="-9"/>
        </w:rPr>
        <w:t> </w:t>
      </w:r>
      <w:r>
        <w:rPr/>
        <w:t>territorialmente</w:t>
      </w:r>
      <w:r>
        <w:rPr>
          <w:spacing w:val="-9"/>
        </w:rPr>
        <w:t> </w:t>
      </w:r>
      <w:r>
        <w:rPr/>
        <w:t>definida,</w:t>
      </w:r>
      <w:r>
        <w:rPr>
          <w:spacing w:val="-9"/>
        </w:rPr>
        <w:t> </w:t>
      </w:r>
      <w:r>
        <w:rPr/>
        <w:t>en</w:t>
      </w:r>
      <w:r>
        <w:rPr>
          <w:spacing w:val="-9"/>
        </w:rPr>
        <w:t> </w:t>
      </w:r>
      <w:r>
        <w:rPr/>
        <w:t>la</w:t>
      </w:r>
      <w:r>
        <w:rPr>
          <w:spacing w:val="-9"/>
        </w:rPr>
        <w:t> </w:t>
      </w:r>
      <w:r>
        <w:rPr/>
        <w:t>disciplina</w:t>
      </w:r>
      <w:r>
        <w:rPr>
          <w:spacing w:val="-9"/>
        </w:rPr>
        <w:t> </w:t>
      </w:r>
      <w:r>
        <w:rPr/>
        <w:t>de</w:t>
      </w:r>
      <w:r>
        <w:rPr>
          <w:spacing w:val="-9"/>
        </w:rPr>
        <w:t> </w:t>
      </w:r>
      <w:r>
        <w:rPr/>
        <w:t>Ciencia</w:t>
      </w:r>
      <w:r>
        <w:rPr>
          <w:spacing w:val="-9"/>
        </w:rPr>
        <w:t> </w:t>
      </w:r>
      <w:r>
        <w:rPr/>
        <w:t>Política</w:t>
      </w:r>
      <w:r>
        <w:rPr>
          <w:w w:val="99"/>
        </w:rPr>
        <w:t> </w:t>
      </w:r>
      <w:r>
        <w:rPr/>
        <w:t>y Administración Pública; sin embargo, ha sido considerada como</w:t>
      </w:r>
      <w:r>
        <w:rPr>
          <w:spacing w:val="39"/>
        </w:rPr>
        <w:t> </w:t>
      </w:r>
      <w:r>
        <w:rPr/>
        <w:t>adecuada</w:t>
      </w:r>
      <w:r>
        <w:rPr>
          <w:spacing w:val="16"/>
        </w:rPr>
        <w:t> </w:t>
      </w:r>
      <w:r>
        <w:rPr/>
        <w:t>también</w:t>
      </w:r>
      <w:r>
        <w:rPr>
          <w:w w:val="101"/>
        </w:rPr>
        <w:t> </w:t>
      </w:r>
      <w:r>
        <w:rPr/>
        <w:t>para explorar los fenómenos de “</w:t>
      </w:r>
      <w:r>
        <w:rPr>
          <w:i/>
        </w:rPr>
        <w:t>gobierno</w:t>
      </w:r>
      <w:r>
        <w:rPr/>
        <w:t>” de las emergentes relaciones</w:t>
      </w:r>
      <w:r>
        <w:rPr>
          <w:spacing w:val="7"/>
        </w:rPr>
        <w:t> </w:t>
      </w:r>
      <w:r>
        <w:rPr/>
        <w:t>sociales</w:t>
      </w:r>
      <w:r>
        <w:rPr>
          <w:spacing w:val="17"/>
        </w:rPr>
        <w:t> </w:t>
      </w:r>
      <w:r>
        <w:rPr/>
        <w:t>en</w:t>
      </w:r>
      <w:r>
        <w:rPr>
          <w:w w:val="98"/>
        </w:rPr>
        <w:t> </w:t>
      </w:r>
      <w:r>
        <w:rPr/>
        <w:t>espacios transnacionales. En una primera acepción, se puede entender</w:t>
      </w:r>
      <w:r>
        <w:rPr>
          <w:spacing w:val="4"/>
        </w:rPr>
        <w:t> </w:t>
      </w:r>
      <w:r>
        <w:rPr/>
        <w:t>el</w:t>
      </w:r>
      <w:r>
        <w:rPr>
          <w:spacing w:val="18"/>
        </w:rPr>
        <w:t> </w:t>
      </w:r>
      <w:r>
        <w:rPr/>
        <w:t>fenómeno</w:t>
      </w:r>
      <w:r>
        <w:rPr>
          <w:w w:val="100"/>
        </w:rPr>
        <w:t> </w:t>
      </w:r>
      <w:r>
        <w:rPr/>
        <w:t>de la </w:t>
      </w:r>
      <w:r>
        <w:rPr>
          <w:i/>
        </w:rPr>
        <w:t>governance, </w:t>
      </w:r>
      <w:r>
        <w:rPr/>
        <w:t>traducido como </w:t>
      </w:r>
      <w:r>
        <w:rPr>
          <w:i/>
        </w:rPr>
        <w:t>gobernación, </w:t>
      </w:r>
      <w:r>
        <w:rPr/>
        <w:t>referido a “todas</w:t>
      </w:r>
      <w:r>
        <w:rPr>
          <w:spacing w:val="25"/>
        </w:rPr>
        <w:t> </w:t>
      </w:r>
      <w:r>
        <w:rPr/>
        <w:t>aquellas</w:t>
      </w:r>
      <w:r>
        <w:rPr>
          <w:spacing w:val="8"/>
        </w:rPr>
        <w:t> </w:t>
      </w:r>
      <w:r>
        <w:rPr/>
        <w:t>actividades</w:t>
      </w:r>
      <w:r>
        <w:rPr>
          <w:w w:val="101"/>
        </w:rPr>
        <w:t> </w:t>
      </w:r>
      <w:r>
        <w:rPr/>
        <w:t>de actores sociales, políticos y administrativos que pueden ser vistas</w:t>
      </w:r>
      <w:r>
        <w:rPr>
          <w:spacing w:val="3"/>
        </w:rPr>
        <w:t> </w:t>
      </w:r>
      <w:r>
        <w:rPr/>
        <w:t>como</w:t>
      </w:r>
      <w:r>
        <w:rPr>
          <w:spacing w:val="11"/>
        </w:rPr>
        <w:t> </w:t>
      </w:r>
      <w:r>
        <w:rPr/>
        <w:t>esfuerzos</w:t>
      </w:r>
      <w:r>
        <w:rPr>
          <w:w w:val="99"/>
        </w:rPr>
        <w:t> </w:t>
      </w:r>
      <w:r>
        <w:rPr/>
        <w:t>intencionados para guiar, orientar, controlar o manejar las sociedades” (Ferrero,</w:t>
      </w:r>
      <w:r>
        <w:rPr>
          <w:spacing w:val="-14"/>
        </w:rPr>
        <w:t> </w:t>
      </w:r>
      <w:r>
        <w:rPr/>
        <w:t>2010).</w:t>
      </w:r>
    </w:p>
    <w:p>
      <w:pPr>
        <w:pStyle w:val="BodyText"/>
        <w:spacing w:before="11"/>
      </w:pPr>
    </w:p>
    <w:p>
      <w:pPr>
        <w:pStyle w:val="BodyText"/>
        <w:spacing w:line="249" w:lineRule="auto"/>
        <w:ind w:left="130" w:right="127" w:firstLine="170"/>
        <w:jc w:val="both"/>
      </w:pPr>
      <w:r>
        <w:rPr/>
        <w:t>De</w:t>
      </w:r>
      <w:r>
        <w:rPr>
          <w:spacing w:val="-6"/>
        </w:rPr>
        <w:t> </w:t>
      </w:r>
      <w:r>
        <w:rPr/>
        <w:t>acuerdo</w:t>
      </w:r>
      <w:r>
        <w:rPr>
          <w:spacing w:val="-6"/>
        </w:rPr>
        <w:t> </w:t>
      </w:r>
      <w:r>
        <w:rPr/>
        <w:t>con</w:t>
      </w:r>
      <w:r>
        <w:rPr>
          <w:spacing w:val="-6"/>
        </w:rPr>
        <w:t> </w:t>
      </w:r>
      <w:r>
        <w:rPr/>
        <w:t>Farinós</w:t>
      </w:r>
      <w:r>
        <w:rPr>
          <w:spacing w:val="-6"/>
        </w:rPr>
        <w:t> </w:t>
      </w:r>
      <w:r>
        <w:rPr/>
        <w:t>(2008),</w:t>
      </w:r>
      <w:r>
        <w:rPr>
          <w:spacing w:val="-6"/>
        </w:rPr>
        <w:t> </w:t>
      </w:r>
      <w:r>
        <w:rPr/>
        <w:t>los</w:t>
      </w:r>
      <w:r>
        <w:rPr>
          <w:spacing w:val="-6"/>
        </w:rPr>
        <w:t> </w:t>
      </w:r>
      <w:r>
        <w:rPr/>
        <w:t>orígenes</w:t>
      </w:r>
      <w:r>
        <w:rPr>
          <w:spacing w:val="-6"/>
        </w:rPr>
        <w:t> </w:t>
      </w:r>
      <w:r>
        <w:rPr/>
        <w:t>de</w:t>
      </w:r>
      <w:r>
        <w:rPr>
          <w:spacing w:val="-6"/>
        </w:rPr>
        <w:t> </w:t>
      </w:r>
      <w:r>
        <w:rPr/>
        <w:t>la</w:t>
      </w:r>
      <w:r>
        <w:rPr>
          <w:spacing w:val="-6"/>
        </w:rPr>
        <w:t> </w:t>
      </w:r>
      <w:r>
        <w:rPr/>
        <w:t>gobernanza</w:t>
      </w:r>
      <w:r>
        <w:rPr>
          <w:spacing w:val="-6"/>
        </w:rPr>
        <w:t> </w:t>
      </w:r>
      <w:r>
        <w:rPr/>
        <w:t>se</w:t>
      </w:r>
      <w:r>
        <w:rPr>
          <w:spacing w:val="-6"/>
        </w:rPr>
        <w:t> </w:t>
      </w:r>
      <w:r>
        <w:rPr/>
        <w:t>remontan</w:t>
      </w:r>
      <w:r>
        <w:rPr>
          <w:spacing w:val="-6"/>
        </w:rPr>
        <w:t> </w:t>
      </w:r>
      <w:r>
        <w:rPr/>
        <w:t>al</w:t>
      </w:r>
      <w:r>
        <w:rPr>
          <w:spacing w:val="-6"/>
        </w:rPr>
        <w:t> </w:t>
      </w:r>
      <w:r>
        <w:rPr/>
        <w:t>ámbito de la economía institucional y la regulación, surge con la finalidad de simplificar procesos y facilitar la toma de decisiones para los agentes sociales; la aplicación del concepto de acuerdo con Jorquera (2011) se observó en la utilización de éste por       el Banco Mundial, quien lo tomó como referencia a finales de la década de 1980 a propósito de la crisis del desarrollo en el África Subsahariana, por medio de la puesta en marcha de proyectos, otorgamiento de préstamos y como medio de cautela de una buena gestión pública basada en la denuncia de la corrupción y la privatización de servicios</w:t>
      </w:r>
      <w:r>
        <w:rPr>
          <w:spacing w:val="32"/>
        </w:rPr>
        <w:t> </w:t>
      </w:r>
      <w:r>
        <w:rPr/>
        <w:t>públicos.</w:t>
      </w:r>
    </w:p>
    <w:p>
      <w:pPr>
        <w:spacing w:after="0" w:line="249" w:lineRule="auto"/>
        <w:jc w:val="both"/>
        <w:sectPr>
          <w:type w:val="continuous"/>
          <w:pgSz w:w="18830" w:h="12760" w:orient="landscape"/>
          <w:pgMar w:top="1420" w:bottom="280" w:left="720" w:right="720"/>
          <w:cols w:num="2" w:equalWidth="0">
            <w:col w:w="7852" w:space="1559"/>
            <w:col w:w="7979"/>
          </w:cols>
        </w:sectPr>
      </w:pPr>
    </w:p>
    <w:p>
      <w:pPr>
        <w:pStyle w:val="BodyText"/>
        <w:spacing w:before="10"/>
        <w:rPr>
          <w:sz w:val="13"/>
        </w:rPr>
      </w:pPr>
    </w:p>
    <w:p>
      <w:pPr>
        <w:spacing w:before="83"/>
        <w:ind w:left="130" w:right="0" w:firstLine="0"/>
        <w:jc w:val="left"/>
        <w:rPr>
          <w:sz w:val="14"/>
        </w:rPr>
      </w:pPr>
      <w:r>
        <w:rPr>
          <w:color w:val="6D6E71"/>
          <w:position w:val="5"/>
          <w:sz w:val="8"/>
        </w:rPr>
        <w:t>7.</w:t>
      </w:r>
      <w:r>
        <w:rPr>
          <w:color w:val="6D6E71"/>
          <w:sz w:val="14"/>
        </w:rPr>
        <w:t>Conjunto de instituciones que definen y defienden los derechos individuales, políticos y sociales de los ciudadanos y que</w:t>
      </w:r>
    </w:p>
    <w:p>
      <w:pPr>
        <w:spacing w:before="79"/>
        <w:ind w:left="187" w:right="0" w:firstLine="0"/>
        <w:jc w:val="left"/>
        <w:rPr>
          <w:sz w:val="14"/>
        </w:rPr>
      </w:pPr>
      <w:r>
        <w:rPr>
          <w:color w:val="6D6E71"/>
          <w:sz w:val="14"/>
        </w:rPr>
        <w:t>propician su libre asociación, la posibilidad de defenderse de la acción estratégica del poder y la viabilidad de la intervención</w:t>
      </w:r>
    </w:p>
    <w:p>
      <w:pPr>
        <w:tabs>
          <w:tab w:pos="9541" w:val="left" w:leader="none"/>
          <w:tab w:pos="17251" w:val="left" w:leader="none"/>
        </w:tabs>
        <w:spacing w:before="79"/>
        <w:ind w:left="187" w:right="0" w:firstLine="0"/>
        <w:jc w:val="left"/>
        <w:rPr>
          <w:sz w:val="14"/>
        </w:rPr>
      </w:pPr>
      <w:r>
        <w:rPr>
          <w:color w:val="6D6E71"/>
          <w:sz w:val="14"/>
        </w:rPr>
        <w:t>de</w:t>
      </w:r>
      <w:r>
        <w:rPr>
          <w:color w:val="6D6E71"/>
          <w:spacing w:val="-3"/>
          <w:sz w:val="14"/>
        </w:rPr>
        <w:t> </w:t>
      </w:r>
      <w:r>
        <w:rPr>
          <w:color w:val="6D6E71"/>
          <w:sz w:val="14"/>
        </w:rPr>
        <w:t>la</w:t>
      </w:r>
      <w:r>
        <w:rPr>
          <w:color w:val="6D6E71"/>
          <w:spacing w:val="-3"/>
          <w:sz w:val="14"/>
        </w:rPr>
        <w:t> </w:t>
      </w:r>
      <w:r>
        <w:rPr>
          <w:color w:val="6D6E71"/>
          <w:sz w:val="14"/>
        </w:rPr>
        <w:t>ciudadanía</w:t>
      </w:r>
      <w:r>
        <w:rPr>
          <w:color w:val="6D6E71"/>
          <w:spacing w:val="-3"/>
          <w:sz w:val="14"/>
        </w:rPr>
        <w:t> </w:t>
      </w:r>
      <w:r>
        <w:rPr>
          <w:color w:val="6D6E71"/>
          <w:sz w:val="14"/>
        </w:rPr>
        <w:t>en</w:t>
      </w:r>
      <w:r>
        <w:rPr>
          <w:color w:val="6D6E71"/>
          <w:spacing w:val="-3"/>
          <w:sz w:val="14"/>
        </w:rPr>
        <w:t> </w:t>
      </w:r>
      <w:r>
        <w:rPr>
          <w:color w:val="6D6E71"/>
          <w:sz w:val="14"/>
        </w:rPr>
        <w:t>la</w:t>
      </w:r>
      <w:r>
        <w:rPr>
          <w:color w:val="6D6E71"/>
          <w:spacing w:val="-3"/>
          <w:sz w:val="14"/>
        </w:rPr>
        <w:t> </w:t>
      </w:r>
      <w:r>
        <w:rPr>
          <w:color w:val="6D6E71"/>
          <w:sz w:val="14"/>
        </w:rPr>
        <w:t>operación</w:t>
      </w:r>
      <w:r>
        <w:rPr>
          <w:color w:val="6D6E71"/>
          <w:spacing w:val="-3"/>
          <w:sz w:val="14"/>
        </w:rPr>
        <w:t> </w:t>
      </w:r>
      <w:r>
        <w:rPr>
          <w:color w:val="6D6E71"/>
          <w:sz w:val="14"/>
        </w:rPr>
        <w:t>de</w:t>
      </w:r>
      <w:r>
        <w:rPr>
          <w:color w:val="6D6E71"/>
          <w:spacing w:val="-3"/>
          <w:sz w:val="14"/>
        </w:rPr>
        <w:t> </w:t>
      </w:r>
      <w:r>
        <w:rPr>
          <w:color w:val="6D6E71"/>
          <w:sz w:val="14"/>
        </w:rPr>
        <w:t>la</w:t>
      </w:r>
      <w:r>
        <w:rPr>
          <w:color w:val="6D6E71"/>
          <w:spacing w:val="-3"/>
          <w:sz w:val="14"/>
        </w:rPr>
        <w:t> </w:t>
      </w:r>
      <w:r>
        <w:rPr>
          <w:color w:val="6D6E71"/>
          <w:sz w:val="14"/>
        </w:rPr>
        <w:t>misma</w:t>
      </w:r>
      <w:r>
        <w:rPr>
          <w:color w:val="6D6E71"/>
          <w:spacing w:val="-3"/>
          <w:sz w:val="14"/>
        </w:rPr>
        <w:t> </w:t>
      </w:r>
      <w:r>
        <w:rPr>
          <w:color w:val="6D6E71"/>
          <w:sz w:val="14"/>
        </w:rPr>
        <w:t>del</w:t>
      </w:r>
      <w:r>
        <w:rPr>
          <w:color w:val="6D6E71"/>
          <w:spacing w:val="-3"/>
          <w:sz w:val="14"/>
        </w:rPr>
        <w:t> </w:t>
      </w:r>
      <w:r>
        <w:rPr>
          <w:color w:val="6D6E71"/>
          <w:sz w:val="14"/>
        </w:rPr>
        <w:t>sistema</w:t>
      </w:r>
      <w:r>
        <w:rPr>
          <w:color w:val="6D6E71"/>
          <w:spacing w:val="-3"/>
          <w:sz w:val="14"/>
        </w:rPr>
        <w:t> </w:t>
      </w:r>
      <w:r>
        <w:rPr>
          <w:color w:val="6D6E71"/>
          <w:sz w:val="14"/>
        </w:rPr>
        <w:t>(…)</w:t>
      </w:r>
      <w:r>
        <w:rPr>
          <w:color w:val="6D6E71"/>
          <w:spacing w:val="-3"/>
          <w:sz w:val="14"/>
        </w:rPr>
        <w:t> </w:t>
      </w:r>
      <w:r>
        <w:rPr>
          <w:color w:val="6D6E71"/>
          <w:sz w:val="14"/>
        </w:rPr>
        <w:t>y</w:t>
      </w:r>
      <w:r>
        <w:rPr>
          <w:color w:val="6D6E71"/>
          <w:spacing w:val="-3"/>
          <w:sz w:val="14"/>
        </w:rPr>
        <w:t> </w:t>
      </w:r>
      <w:r>
        <w:rPr>
          <w:color w:val="6D6E71"/>
          <w:sz w:val="14"/>
        </w:rPr>
        <w:t>el</w:t>
      </w:r>
      <w:r>
        <w:rPr>
          <w:color w:val="6D6E71"/>
          <w:spacing w:val="-3"/>
          <w:sz w:val="14"/>
        </w:rPr>
        <w:t> </w:t>
      </w:r>
      <w:r>
        <w:rPr>
          <w:color w:val="6D6E71"/>
          <w:sz w:val="14"/>
        </w:rPr>
        <w:t>conjunto</w:t>
      </w:r>
      <w:r>
        <w:rPr>
          <w:color w:val="6D6E71"/>
          <w:spacing w:val="-3"/>
          <w:sz w:val="14"/>
        </w:rPr>
        <w:t> </w:t>
      </w:r>
      <w:r>
        <w:rPr>
          <w:color w:val="6D6E71"/>
          <w:sz w:val="14"/>
        </w:rPr>
        <w:t>de</w:t>
      </w:r>
      <w:r>
        <w:rPr>
          <w:color w:val="6D6E71"/>
          <w:spacing w:val="-3"/>
          <w:sz w:val="14"/>
        </w:rPr>
        <w:t> </w:t>
      </w:r>
      <w:r>
        <w:rPr>
          <w:color w:val="6D6E71"/>
          <w:sz w:val="14"/>
        </w:rPr>
        <w:t>los</w:t>
      </w:r>
      <w:r>
        <w:rPr>
          <w:color w:val="6D6E71"/>
          <w:spacing w:val="-3"/>
          <w:sz w:val="14"/>
        </w:rPr>
        <w:t> </w:t>
      </w:r>
      <w:r>
        <w:rPr>
          <w:color w:val="6D6E71"/>
          <w:sz w:val="14"/>
        </w:rPr>
        <w:t>movimientos</w:t>
      </w:r>
      <w:r>
        <w:rPr>
          <w:color w:val="6D6E71"/>
          <w:spacing w:val="-3"/>
          <w:sz w:val="14"/>
        </w:rPr>
        <w:t> </w:t>
      </w:r>
      <w:r>
        <w:rPr>
          <w:color w:val="6D6E71"/>
          <w:sz w:val="14"/>
        </w:rPr>
        <w:t>sociales</w:t>
      </w:r>
      <w:r>
        <w:rPr>
          <w:color w:val="6D6E71"/>
          <w:spacing w:val="-3"/>
          <w:sz w:val="14"/>
        </w:rPr>
        <w:t> </w:t>
      </w:r>
      <w:r>
        <w:rPr>
          <w:color w:val="6D6E71"/>
          <w:sz w:val="14"/>
        </w:rPr>
        <w:t>que</w:t>
      </w:r>
      <w:r>
        <w:rPr>
          <w:color w:val="6D6E71"/>
          <w:spacing w:val="-3"/>
          <w:sz w:val="14"/>
        </w:rPr>
        <w:t> </w:t>
      </w:r>
      <w:r>
        <w:rPr>
          <w:color w:val="6D6E71"/>
          <w:sz w:val="14"/>
        </w:rPr>
        <w:t>continuamente</w:t>
        <w:tab/>
      </w:r>
      <w:r>
        <w:rPr>
          <w:color w:val="6D6E71"/>
          <w:sz w:val="14"/>
          <w:u w:val="single" w:color="6D6E71"/>
        </w:rPr>
        <w:t> </w:t>
        <w:tab/>
      </w:r>
    </w:p>
    <w:p>
      <w:pPr>
        <w:spacing w:after="0"/>
        <w:jc w:val="left"/>
        <w:rPr>
          <w:sz w:val="14"/>
        </w:rPr>
        <w:sectPr>
          <w:type w:val="continuous"/>
          <w:pgSz w:w="18830" w:h="12760" w:orient="landscape"/>
          <w:pgMar w:top="1420" w:bottom="280" w:left="720" w:right="720"/>
        </w:sectPr>
      </w:pPr>
    </w:p>
    <w:p>
      <w:pPr>
        <w:spacing w:line="357" w:lineRule="auto" w:before="79"/>
        <w:ind w:left="187" w:right="-16" w:firstLine="0"/>
        <w:jc w:val="left"/>
        <w:rPr>
          <w:sz w:val="14"/>
        </w:rPr>
      </w:pPr>
      <w:r>
        <w:rPr>
          <w:color w:val="6D6E71"/>
          <w:sz w:val="14"/>
        </w:rPr>
        <w:t>plantean nuevos principios y valores, nuevas demandas sociales, así como vigilan la aplicación efectiva de los derechos ya otorgados. Delamaza (2001, en Jorquera, 2011).</w:t>
      </w:r>
    </w:p>
    <w:p>
      <w:pPr>
        <w:spacing w:before="79"/>
        <w:ind w:left="187" w:right="0" w:firstLine="0"/>
        <w:jc w:val="left"/>
        <w:rPr>
          <w:sz w:val="14"/>
        </w:rPr>
      </w:pPr>
      <w:r>
        <w:rPr/>
        <w:br w:type="column"/>
      </w:r>
      <w:r>
        <w:rPr>
          <w:color w:val="6D6E71"/>
          <w:position w:val="5"/>
          <w:sz w:val="8"/>
        </w:rPr>
        <w:t>8.</w:t>
      </w:r>
      <w:r>
        <w:rPr>
          <w:color w:val="6D6E71"/>
          <w:sz w:val="14"/>
        </w:rPr>
        <w:t>Buen gobierno se refiere a las modalidades y maneras de gobernar, mientras que gobierno está relacionado con las</w:t>
      </w:r>
    </w:p>
    <w:p>
      <w:pPr>
        <w:spacing w:before="79"/>
        <w:ind w:left="243" w:right="0" w:firstLine="0"/>
        <w:jc w:val="left"/>
        <w:rPr>
          <w:sz w:val="14"/>
        </w:rPr>
      </w:pPr>
      <w:r>
        <w:rPr>
          <w:color w:val="6D6E71"/>
          <w:sz w:val="14"/>
        </w:rPr>
        <w:t>instituciones, los agentes encargados de gobernar y el acto mismo de ejercer el gobierno. José Juan Sánchez (2012: 226).</w:t>
      </w:r>
    </w:p>
    <w:p>
      <w:pPr>
        <w:spacing w:after="0"/>
        <w:jc w:val="left"/>
        <w:rPr>
          <w:sz w:val="14"/>
        </w:rPr>
        <w:sectPr>
          <w:type w:val="continuous"/>
          <w:pgSz w:w="18830" w:h="12760" w:orient="landscape"/>
          <w:pgMar w:top="1420" w:bottom="280" w:left="720" w:right="720"/>
          <w:cols w:num="2" w:equalWidth="0">
            <w:col w:w="7841" w:space="1512"/>
            <w:col w:w="8037"/>
          </w:cols>
        </w:sectPr>
      </w:pPr>
    </w:p>
    <w:p>
      <w:pPr>
        <w:pStyle w:val="BodyText"/>
        <w:spacing w:before="8"/>
      </w:pPr>
    </w:p>
    <w:p>
      <w:pPr>
        <w:spacing w:after="0"/>
        <w:sectPr>
          <w:footerReference w:type="default" r:id="rId77"/>
          <w:pgSz w:w="18830" w:h="12760" w:orient="landscape"/>
          <w:pgMar w:footer="1036" w:header="522" w:top="820" w:bottom="1220" w:left="720" w:right="720"/>
        </w:sectPr>
      </w:pPr>
    </w:p>
    <w:p>
      <w:pPr>
        <w:pStyle w:val="Heading1"/>
        <w:spacing w:line="417" w:lineRule="auto" w:before="71"/>
        <w:ind w:left="3711" w:right="-16" w:hanging="2916"/>
      </w:pPr>
      <w:r>
        <w:rPr/>
        <w:t>Por ello, el Banco Mundial conceptualiza a la gobernanza como:</w:t>
      </w:r>
    </w:p>
    <w:p>
      <w:pPr>
        <w:pStyle w:val="BodyText"/>
        <w:spacing w:line="249" w:lineRule="auto" w:before="43"/>
        <w:ind w:left="129" w:firstLine="170"/>
        <w:jc w:val="both"/>
      </w:pPr>
      <w:r>
        <w:rPr/>
        <w:t>“Un</w:t>
      </w:r>
      <w:r>
        <w:rPr>
          <w:spacing w:val="-5"/>
        </w:rPr>
        <w:t> </w:t>
      </w:r>
      <w:r>
        <w:rPr/>
        <w:t>conjunto</w:t>
      </w:r>
      <w:r>
        <w:rPr>
          <w:spacing w:val="-5"/>
        </w:rPr>
        <w:t> </w:t>
      </w:r>
      <w:r>
        <w:rPr/>
        <w:t>de</w:t>
      </w:r>
      <w:r>
        <w:rPr>
          <w:spacing w:val="-5"/>
        </w:rPr>
        <w:t> </w:t>
      </w:r>
      <w:r>
        <w:rPr/>
        <w:t>tradiciones</w:t>
      </w:r>
      <w:r>
        <w:rPr>
          <w:spacing w:val="-5"/>
        </w:rPr>
        <w:t> </w:t>
      </w:r>
      <w:r>
        <w:rPr/>
        <w:t>e</w:t>
      </w:r>
      <w:r>
        <w:rPr>
          <w:spacing w:val="-5"/>
        </w:rPr>
        <w:t> </w:t>
      </w:r>
      <w:r>
        <w:rPr/>
        <w:t>instituciones</w:t>
      </w:r>
      <w:r>
        <w:rPr>
          <w:spacing w:val="-5"/>
        </w:rPr>
        <w:t> </w:t>
      </w:r>
      <w:r>
        <w:rPr/>
        <w:t>mediante</w:t>
      </w:r>
      <w:r>
        <w:rPr>
          <w:spacing w:val="-5"/>
        </w:rPr>
        <w:t> </w:t>
      </w:r>
      <w:r>
        <w:rPr/>
        <w:t>las</w:t>
      </w:r>
      <w:r>
        <w:rPr>
          <w:spacing w:val="-5"/>
        </w:rPr>
        <w:t> </w:t>
      </w:r>
      <w:r>
        <w:rPr/>
        <w:t>que</w:t>
      </w:r>
      <w:r>
        <w:rPr>
          <w:spacing w:val="-5"/>
        </w:rPr>
        <w:t> </w:t>
      </w:r>
      <w:r>
        <w:rPr/>
        <w:t>se</w:t>
      </w:r>
      <w:r>
        <w:rPr>
          <w:spacing w:val="-5"/>
        </w:rPr>
        <w:t> </w:t>
      </w:r>
      <w:r>
        <w:rPr/>
        <w:t>ejerce</w:t>
      </w:r>
      <w:r>
        <w:rPr>
          <w:spacing w:val="-5"/>
        </w:rPr>
        <w:t> </w:t>
      </w:r>
      <w:r>
        <w:rPr/>
        <w:t>la</w:t>
      </w:r>
      <w:r>
        <w:rPr>
          <w:spacing w:val="-5"/>
        </w:rPr>
        <w:t> </w:t>
      </w:r>
      <w:r>
        <w:rPr/>
        <w:t>autoridad</w:t>
      </w:r>
      <w:r>
        <w:rPr>
          <w:spacing w:val="-5"/>
        </w:rPr>
        <w:t> </w:t>
      </w:r>
      <w:r>
        <w:rPr/>
        <w:t>en un país en función del bien común. Esto incluye el proceso por el que se eligen, vigilan y sustituyen las autoridades, la capacidad del gobierno para manejar eficazmente sus recursos</w:t>
      </w:r>
      <w:r>
        <w:rPr>
          <w:spacing w:val="-9"/>
        </w:rPr>
        <w:t> </w:t>
      </w:r>
      <w:r>
        <w:rPr/>
        <w:t>y</w:t>
      </w:r>
      <w:r>
        <w:rPr>
          <w:spacing w:val="-9"/>
        </w:rPr>
        <w:t> </w:t>
      </w:r>
      <w:r>
        <w:rPr/>
        <w:t>aplicar</w:t>
      </w:r>
      <w:r>
        <w:rPr>
          <w:spacing w:val="-9"/>
        </w:rPr>
        <w:t> </w:t>
      </w:r>
      <w:r>
        <w:rPr/>
        <w:t>políticas</w:t>
      </w:r>
      <w:r>
        <w:rPr>
          <w:spacing w:val="-9"/>
        </w:rPr>
        <w:t> </w:t>
      </w:r>
      <w:r>
        <w:rPr/>
        <w:t>racionales,</w:t>
      </w:r>
      <w:r>
        <w:rPr>
          <w:spacing w:val="-9"/>
        </w:rPr>
        <w:t> </w:t>
      </w:r>
      <w:r>
        <w:rPr/>
        <w:t>y</w:t>
      </w:r>
      <w:r>
        <w:rPr>
          <w:spacing w:val="-9"/>
        </w:rPr>
        <w:t> </w:t>
      </w:r>
      <w:r>
        <w:rPr/>
        <w:t>el</w:t>
      </w:r>
      <w:r>
        <w:rPr>
          <w:spacing w:val="-9"/>
        </w:rPr>
        <w:t> </w:t>
      </w:r>
      <w:r>
        <w:rPr/>
        <w:t>respeto</w:t>
      </w:r>
      <w:r>
        <w:rPr>
          <w:spacing w:val="-9"/>
        </w:rPr>
        <w:t> </w:t>
      </w:r>
      <w:r>
        <w:rPr/>
        <w:t>de</w:t>
      </w:r>
      <w:r>
        <w:rPr>
          <w:spacing w:val="-9"/>
        </w:rPr>
        <w:t> </w:t>
      </w:r>
      <w:r>
        <w:rPr/>
        <w:t>los</w:t>
      </w:r>
      <w:r>
        <w:rPr>
          <w:spacing w:val="-9"/>
        </w:rPr>
        <w:t> </w:t>
      </w:r>
      <w:r>
        <w:rPr/>
        <w:t>ciudadanos</w:t>
      </w:r>
      <w:r>
        <w:rPr>
          <w:spacing w:val="-9"/>
        </w:rPr>
        <w:t> </w:t>
      </w:r>
      <w:r>
        <w:rPr/>
        <w:t>y</w:t>
      </w:r>
      <w:r>
        <w:rPr>
          <w:spacing w:val="-9"/>
        </w:rPr>
        <w:t> </w:t>
      </w:r>
      <w:r>
        <w:rPr/>
        <w:t>el</w:t>
      </w:r>
      <w:r>
        <w:rPr>
          <w:spacing w:val="-9"/>
        </w:rPr>
        <w:t> </w:t>
      </w:r>
      <w:r>
        <w:rPr/>
        <w:t>Estado</w:t>
      </w:r>
      <w:r>
        <w:rPr>
          <w:spacing w:val="-9"/>
        </w:rPr>
        <w:t> </w:t>
      </w:r>
      <w:r>
        <w:rPr/>
        <w:t>por</w:t>
      </w:r>
      <w:r>
        <w:rPr>
          <w:spacing w:val="-9"/>
        </w:rPr>
        <w:t> </w:t>
      </w:r>
      <w:r>
        <w:rPr/>
        <w:t>las instituciones que gobiernan sus interacciones económicas y sociales” (Banco Mundial, 2004 citado por Aguilar, 2013:</w:t>
      </w:r>
      <w:r>
        <w:rPr>
          <w:spacing w:val="13"/>
        </w:rPr>
        <w:t> </w:t>
      </w:r>
      <w:r>
        <w:rPr/>
        <w:t>354).</w:t>
      </w:r>
    </w:p>
    <w:p>
      <w:pPr>
        <w:pStyle w:val="BodyText"/>
        <w:spacing w:before="11"/>
      </w:pPr>
    </w:p>
    <w:p>
      <w:pPr>
        <w:pStyle w:val="BodyText"/>
        <w:spacing w:line="249" w:lineRule="auto"/>
        <w:ind w:left="129" w:firstLine="170"/>
        <w:jc w:val="both"/>
      </w:pPr>
      <w:r>
        <w:rPr/>
        <w:t>El</w:t>
      </w:r>
      <w:r>
        <w:rPr>
          <w:spacing w:val="-22"/>
        </w:rPr>
        <w:t> </w:t>
      </w:r>
      <w:r>
        <w:rPr/>
        <w:t>Banco</w:t>
      </w:r>
      <w:r>
        <w:rPr>
          <w:spacing w:val="-22"/>
        </w:rPr>
        <w:t> </w:t>
      </w:r>
      <w:r>
        <w:rPr/>
        <w:t>Mundial</w:t>
      </w:r>
      <w:r>
        <w:rPr>
          <w:spacing w:val="-22"/>
        </w:rPr>
        <w:t> </w:t>
      </w:r>
      <w:r>
        <w:rPr/>
        <w:t>a</w:t>
      </w:r>
      <w:r>
        <w:rPr>
          <w:spacing w:val="-22"/>
        </w:rPr>
        <w:t> </w:t>
      </w:r>
      <w:r>
        <w:rPr/>
        <w:t>finales</w:t>
      </w:r>
      <w:r>
        <w:rPr>
          <w:spacing w:val="-22"/>
        </w:rPr>
        <w:t> </w:t>
      </w:r>
      <w:r>
        <w:rPr/>
        <w:t>de</w:t>
      </w:r>
      <w:r>
        <w:rPr>
          <w:spacing w:val="-22"/>
        </w:rPr>
        <w:t> </w:t>
      </w:r>
      <w:r>
        <w:rPr/>
        <w:t>la</w:t>
      </w:r>
      <w:r>
        <w:rPr>
          <w:spacing w:val="-22"/>
        </w:rPr>
        <w:t> </w:t>
      </w:r>
      <w:r>
        <w:rPr/>
        <w:t>década</w:t>
      </w:r>
      <w:r>
        <w:rPr>
          <w:spacing w:val="-22"/>
        </w:rPr>
        <w:t> </w:t>
      </w:r>
      <w:r>
        <w:rPr/>
        <w:t>de</w:t>
      </w:r>
      <w:r>
        <w:rPr>
          <w:spacing w:val="-22"/>
        </w:rPr>
        <w:t> </w:t>
      </w:r>
      <w:r>
        <w:rPr/>
        <w:t>1980</w:t>
      </w:r>
      <w:r>
        <w:rPr>
          <w:spacing w:val="-22"/>
        </w:rPr>
        <w:t> </w:t>
      </w:r>
      <w:r>
        <w:rPr/>
        <w:t>sustenta</w:t>
      </w:r>
      <w:r>
        <w:rPr>
          <w:spacing w:val="-22"/>
        </w:rPr>
        <w:t> </w:t>
      </w:r>
      <w:r>
        <w:rPr/>
        <w:t>la</w:t>
      </w:r>
      <w:r>
        <w:rPr>
          <w:spacing w:val="-22"/>
        </w:rPr>
        <w:t> </w:t>
      </w:r>
      <w:r>
        <w:rPr/>
        <w:t>idea</w:t>
      </w:r>
      <w:r>
        <w:rPr>
          <w:spacing w:val="-22"/>
        </w:rPr>
        <w:t> </w:t>
      </w:r>
      <w:r>
        <w:rPr/>
        <w:t>del</w:t>
      </w:r>
      <w:r>
        <w:rPr>
          <w:spacing w:val="-22"/>
        </w:rPr>
        <w:t> </w:t>
      </w:r>
      <w:r>
        <w:rPr>
          <w:i/>
        </w:rPr>
        <w:t>“good</w:t>
      </w:r>
      <w:r>
        <w:rPr>
          <w:i/>
          <w:spacing w:val="-22"/>
        </w:rPr>
        <w:t> </w:t>
      </w:r>
      <w:r>
        <w:rPr>
          <w:i/>
        </w:rPr>
        <w:t>governance</w:t>
      </w:r>
      <w:r>
        <w:rPr/>
        <w:t>” a través de la eficiencia y eficacia de los servicios públicos, sistemas jurídicos y administrativos,</w:t>
      </w:r>
      <w:r>
        <w:rPr>
          <w:spacing w:val="-15"/>
        </w:rPr>
        <w:t> </w:t>
      </w:r>
      <w:r>
        <w:rPr/>
        <w:t>con</w:t>
      </w:r>
      <w:r>
        <w:rPr>
          <w:spacing w:val="-15"/>
        </w:rPr>
        <w:t> </w:t>
      </w:r>
      <w:r>
        <w:rPr/>
        <w:t>lo</w:t>
      </w:r>
      <w:r>
        <w:rPr>
          <w:spacing w:val="-15"/>
        </w:rPr>
        <w:t> </w:t>
      </w:r>
      <w:r>
        <w:rPr/>
        <w:t>que</w:t>
      </w:r>
      <w:r>
        <w:rPr>
          <w:spacing w:val="-15"/>
        </w:rPr>
        <w:t> </w:t>
      </w:r>
      <w:r>
        <w:rPr/>
        <w:t>el</w:t>
      </w:r>
      <w:r>
        <w:rPr>
          <w:spacing w:val="-15"/>
        </w:rPr>
        <w:t> </w:t>
      </w:r>
      <w:r>
        <w:rPr/>
        <w:t>término</w:t>
      </w:r>
      <w:r>
        <w:rPr>
          <w:spacing w:val="-15"/>
        </w:rPr>
        <w:t> </w:t>
      </w:r>
      <w:r>
        <w:rPr/>
        <w:t>gobernanza</w:t>
      </w:r>
      <w:r>
        <w:rPr>
          <w:spacing w:val="-15"/>
        </w:rPr>
        <w:t> </w:t>
      </w:r>
      <w:r>
        <w:rPr/>
        <w:t>se</w:t>
      </w:r>
      <w:r>
        <w:rPr>
          <w:spacing w:val="-15"/>
        </w:rPr>
        <w:t> </w:t>
      </w:r>
      <w:r>
        <w:rPr/>
        <w:t>adopta</w:t>
      </w:r>
      <w:r>
        <w:rPr>
          <w:spacing w:val="-15"/>
        </w:rPr>
        <w:t> </w:t>
      </w:r>
      <w:r>
        <w:rPr/>
        <w:t>en</w:t>
      </w:r>
      <w:r>
        <w:rPr>
          <w:spacing w:val="-15"/>
        </w:rPr>
        <w:t> </w:t>
      </w:r>
      <w:r>
        <w:rPr/>
        <w:t>la</w:t>
      </w:r>
      <w:r>
        <w:rPr>
          <w:spacing w:val="-15"/>
        </w:rPr>
        <w:t> </w:t>
      </w:r>
      <w:r>
        <w:rPr/>
        <w:t>administración</w:t>
      </w:r>
      <w:r>
        <w:rPr>
          <w:spacing w:val="-15"/>
        </w:rPr>
        <w:t> </w:t>
      </w:r>
      <w:r>
        <w:rPr/>
        <w:t>pública con el objeto de generar una gestión inclusiva en la acción pública en contraparte a los modelos tradicionales</w:t>
      </w:r>
      <w:r>
        <w:rPr>
          <w:spacing w:val="50"/>
        </w:rPr>
        <w:t> </w:t>
      </w:r>
      <w:r>
        <w:rPr/>
        <w:t>establecidos.</w:t>
      </w:r>
    </w:p>
    <w:p>
      <w:pPr>
        <w:pStyle w:val="BodyText"/>
        <w:spacing w:before="11"/>
      </w:pPr>
    </w:p>
    <w:p>
      <w:pPr>
        <w:pStyle w:val="BodyText"/>
        <w:spacing w:line="249" w:lineRule="auto"/>
        <w:ind w:left="129" w:firstLine="170"/>
        <w:jc w:val="both"/>
      </w:pPr>
      <w:r>
        <w:rPr/>
        <w:t>El término gobernanza se ha implementado en dos vertientes: la primera, hace referencia a un nuevo estilo de gobierno, según Mayntz (2000, citado en Sánchez, 2012) este estilo difiere del modelo de control jerárquico, su principal característica    es la cooperación y la interacción entre el Estado y los actores no estatales dentro de redes de decisiones mixtas entre lo público y lo </w:t>
      </w:r>
      <w:r>
        <w:rPr>
          <w:spacing w:val="16"/>
        </w:rPr>
        <w:t> </w:t>
      </w:r>
      <w:r>
        <w:rPr/>
        <w:t>privado.</w:t>
      </w:r>
    </w:p>
    <w:p>
      <w:pPr>
        <w:pStyle w:val="BodyText"/>
        <w:spacing w:before="11"/>
      </w:pPr>
    </w:p>
    <w:p>
      <w:pPr>
        <w:pStyle w:val="BodyText"/>
        <w:spacing w:line="249" w:lineRule="auto"/>
        <w:ind w:left="129" w:firstLine="170"/>
        <w:jc w:val="both"/>
      </w:pPr>
      <w:r>
        <w:rPr/>
        <w:t>La segunda vertiente se refiere a una modalidad distinta de coordinación de las acciones individuales entendidas como formas primarias de construcción del orden social; Sánchez (2012) considera que este uso se deriva de la economía de los costos de transacción, análisis de mercado y la jerarquía como formas de orden económico;  lo</w:t>
      </w:r>
      <w:r>
        <w:rPr>
          <w:spacing w:val="28"/>
        </w:rPr>
        <w:t> </w:t>
      </w:r>
      <w:r>
        <w:rPr/>
        <w:t>que</w:t>
      </w:r>
      <w:r>
        <w:rPr>
          <w:spacing w:val="28"/>
        </w:rPr>
        <w:t> </w:t>
      </w:r>
      <w:r>
        <w:rPr/>
        <w:t>se</w:t>
      </w:r>
      <w:r>
        <w:rPr>
          <w:spacing w:val="28"/>
        </w:rPr>
        <w:t> </w:t>
      </w:r>
      <w:r>
        <w:rPr/>
        <w:t>rescata</w:t>
      </w:r>
      <w:r>
        <w:rPr>
          <w:spacing w:val="28"/>
        </w:rPr>
        <w:t> </w:t>
      </w:r>
      <w:r>
        <w:rPr/>
        <w:t>del</w:t>
      </w:r>
      <w:r>
        <w:rPr>
          <w:spacing w:val="28"/>
        </w:rPr>
        <w:t> </w:t>
      </w:r>
      <w:r>
        <w:rPr/>
        <w:t>concepto</w:t>
      </w:r>
      <w:r>
        <w:rPr>
          <w:spacing w:val="28"/>
        </w:rPr>
        <w:t> </w:t>
      </w:r>
      <w:r>
        <w:rPr/>
        <w:t>económico</w:t>
      </w:r>
      <w:r>
        <w:rPr>
          <w:spacing w:val="28"/>
        </w:rPr>
        <w:t> </w:t>
      </w:r>
      <w:r>
        <w:rPr/>
        <w:t>es</w:t>
      </w:r>
      <w:r>
        <w:rPr>
          <w:spacing w:val="28"/>
        </w:rPr>
        <w:t> </w:t>
      </w:r>
      <w:r>
        <w:rPr/>
        <w:t>la</w:t>
      </w:r>
      <w:r>
        <w:rPr>
          <w:spacing w:val="28"/>
        </w:rPr>
        <w:t> </w:t>
      </w:r>
      <w:r>
        <w:rPr/>
        <w:t>utilización</w:t>
      </w:r>
      <w:r>
        <w:rPr>
          <w:spacing w:val="28"/>
        </w:rPr>
        <w:t> </w:t>
      </w:r>
      <w:r>
        <w:rPr/>
        <w:t>de</w:t>
      </w:r>
      <w:r>
        <w:rPr>
          <w:spacing w:val="28"/>
        </w:rPr>
        <w:t> </w:t>
      </w:r>
      <w:r>
        <w:rPr/>
        <w:t>la</w:t>
      </w:r>
      <w:r>
        <w:rPr>
          <w:spacing w:val="28"/>
        </w:rPr>
        <w:t> </w:t>
      </w:r>
      <w:r>
        <w:rPr/>
        <w:t>coordinación</w:t>
      </w:r>
      <w:r>
        <w:rPr>
          <w:spacing w:val="28"/>
        </w:rPr>
        <w:t> </w:t>
      </w:r>
      <w:r>
        <w:rPr/>
        <w:t>entre</w:t>
      </w:r>
      <w:r>
        <w:rPr>
          <w:w w:val="99"/>
        </w:rPr>
        <w:t> </w:t>
      </w:r>
      <w:r>
        <w:rPr/>
        <w:t>distintos agentes con una visión</w:t>
      </w:r>
      <w:r>
        <w:rPr>
          <w:spacing w:val="50"/>
        </w:rPr>
        <w:t> </w:t>
      </w:r>
      <w:r>
        <w:rPr/>
        <w:t>común.</w:t>
      </w:r>
    </w:p>
    <w:p>
      <w:pPr>
        <w:pStyle w:val="BodyText"/>
        <w:spacing w:before="11"/>
      </w:pPr>
    </w:p>
    <w:p>
      <w:pPr>
        <w:pStyle w:val="BodyText"/>
        <w:spacing w:line="249" w:lineRule="auto"/>
        <w:ind w:left="129" w:firstLine="170"/>
        <w:jc w:val="both"/>
      </w:pPr>
      <w:r>
        <w:rPr/>
        <w:t>La gobernanza como forma de gobierno según Jorquera (2011), se implementó por la Comisión Europea durante el año 2001, como un mecanismo para brindar mayor eficacia a las políticas públicas de los países integrantes; por lo que rescata la esencia de la gestión local como una necesidad de estos estados por cooperar, colaborar, acordar y trazar metas comunes bajo un esquema de bien colectivo. La definición de</w:t>
      </w:r>
      <w:r>
        <w:rPr>
          <w:w w:val="101"/>
        </w:rPr>
        <w:t> </w:t>
      </w:r>
      <w:r>
        <w:rPr/>
        <w:t>gobernanza propuesta por la Comisión Europea la describe  como:</w:t>
      </w:r>
    </w:p>
    <w:p>
      <w:pPr>
        <w:pStyle w:val="BodyText"/>
        <w:spacing w:before="11"/>
      </w:pPr>
    </w:p>
    <w:p>
      <w:pPr>
        <w:pStyle w:val="BodyText"/>
        <w:spacing w:line="249" w:lineRule="auto"/>
        <w:ind w:left="129" w:firstLine="170"/>
        <w:jc w:val="both"/>
      </w:pPr>
      <w:r>
        <w:rPr/>
        <w:t>“La capacidad del Estado para servir a los ciudadanos (…) La gobernanza se refiere a las normas, procesos y conductas a través de las cuales se articulan intereses, se gestionan</w:t>
      </w:r>
      <w:r>
        <w:rPr>
          <w:spacing w:val="-11"/>
        </w:rPr>
        <w:t> </w:t>
      </w:r>
      <w:r>
        <w:rPr/>
        <w:t>recursos</w:t>
      </w:r>
      <w:r>
        <w:rPr>
          <w:spacing w:val="-11"/>
        </w:rPr>
        <w:t> </w:t>
      </w:r>
      <w:r>
        <w:rPr/>
        <w:t>y</w:t>
      </w:r>
      <w:r>
        <w:rPr>
          <w:spacing w:val="-11"/>
        </w:rPr>
        <w:t> </w:t>
      </w:r>
      <w:r>
        <w:rPr/>
        <w:t>se</w:t>
      </w:r>
      <w:r>
        <w:rPr>
          <w:spacing w:val="-11"/>
        </w:rPr>
        <w:t> </w:t>
      </w:r>
      <w:r>
        <w:rPr/>
        <w:t>ejerce</w:t>
      </w:r>
      <w:r>
        <w:rPr>
          <w:spacing w:val="-11"/>
        </w:rPr>
        <w:t> </w:t>
      </w:r>
      <w:r>
        <w:rPr/>
        <w:t>el</w:t>
      </w:r>
      <w:r>
        <w:rPr>
          <w:spacing w:val="-11"/>
        </w:rPr>
        <w:t> </w:t>
      </w:r>
      <w:r>
        <w:rPr/>
        <w:t>poder</w:t>
      </w:r>
      <w:r>
        <w:rPr>
          <w:spacing w:val="-11"/>
        </w:rPr>
        <w:t> </w:t>
      </w:r>
      <w:r>
        <w:rPr/>
        <w:t>de</w:t>
      </w:r>
      <w:r>
        <w:rPr>
          <w:spacing w:val="-11"/>
        </w:rPr>
        <w:t> </w:t>
      </w:r>
      <w:r>
        <w:rPr/>
        <w:t>la</w:t>
      </w:r>
      <w:r>
        <w:rPr>
          <w:spacing w:val="-11"/>
        </w:rPr>
        <w:t> </w:t>
      </w:r>
      <w:r>
        <w:rPr/>
        <w:t>sociedad</w:t>
      </w:r>
      <w:r>
        <w:rPr>
          <w:spacing w:val="-11"/>
        </w:rPr>
        <w:t> </w:t>
      </w:r>
      <w:r>
        <w:rPr/>
        <w:t>(…)</w:t>
      </w:r>
      <w:r>
        <w:rPr>
          <w:spacing w:val="-11"/>
        </w:rPr>
        <w:t> </w:t>
      </w:r>
      <w:r>
        <w:rPr/>
        <w:t>Lo</w:t>
      </w:r>
      <w:r>
        <w:rPr>
          <w:spacing w:val="-11"/>
        </w:rPr>
        <w:t> </w:t>
      </w:r>
      <w:r>
        <w:rPr/>
        <w:t>fundamental</w:t>
      </w:r>
      <w:r>
        <w:rPr>
          <w:spacing w:val="-11"/>
        </w:rPr>
        <w:t> </w:t>
      </w:r>
      <w:r>
        <w:rPr/>
        <w:t>es</w:t>
      </w:r>
      <w:r>
        <w:rPr>
          <w:spacing w:val="-11"/>
        </w:rPr>
        <w:t> </w:t>
      </w:r>
      <w:r>
        <w:rPr/>
        <w:t>la</w:t>
      </w:r>
      <w:r>
        <w:rPr>
          <w:spacing w:val="-11"/>
        </w:rPr>
        <w:t> </w:t>
      </w:r>
      <w:r>
        <w:rPr/>
        <w:t>manera que</w:t>
      </w:r>
      <w:r>
        <w:rPr>
          <w:spacing w:val="19"/>
        </w:rPr>
        <w:t> </w:t>
      </w:r>
      <w:r>
        <w:rPr/>
        <w:t>se</w:t>
      </w:r>
      <w:r>
        <w:rPr>
          <w:spacing w:val="19"/>
        </w:rPr>
        <w:t> </w:t>
      </w:r>
      <w:r>
        <w:rPr/>
        <w:t>llevan</w:t>
      </w:r>
      <w:r>
        <w:rPr>
          <w:spacing w:val="19"/>
        </w:rPr>
        <w:t> </w:t>
      </w:r>
      <w:r>
        <w:rPr/>
        <w:t>a</w:t>
      </w:r>
      <w:r>
        <w:rPr>
          <w:spacing w:val="19"/>
        </w:rPr>
        <w:t> </w:t>
      </w:r>
      <w:r>
        <w:rPr/>
        <w:t>cabo</w:t>
      </w:r>
      <w:r>
        <w:rPr>
          <w:spacing w:val="19"/>
        </w:rPr>
        <w:t> </w:t>
      </w:r>
      <w:r>
        <w:rPr/>
        <w:t>las</w:t>
      </w:r>
      <w:r>
        <w:rPr>
          <w:spacing w:val="19"/>
        </w:rPr>
        <w:t> </w:t>
      </w:r>
      <w:r>
        <w:rPr/>
        <w:t>funciones</w:t>
      </w:r>
      <w:r>
        <w:rPr>
          <w:spacing w:val="19"/>
        </w:rPr>
        <w:t> </w:t>
      </w:r>
      <w:r>
        <w:rPr/>
        <w:t>públicas,</w:t>
      </w:r>
      <w:r>
        <w:rPr>
          <w:spacing w:val="19"/>
        </w:rPr>
        <w:t> </w:t>
      </w:r>
      <w:r>
        <w:rPr/>
        <w:t>se</w:t>
      </w:r>
      <w:r>
        <w:rPr>
          <w:spacing w:val="19"/>
        </w:rPr>
        <w:t> </w:t>
      </w:r>
      <w:r>
        <w:rPr/>
        <w:t>gestionan</w:t>
      </w:r>
      <w:r>
        <w:rPr>
          <w:spacing w:val="19"/>
        </w:rPr>
        <w:t> </w:t>
      </w:r>
      <w:r>
        <w:rPr/>
        <w:t>los</w:t>
      </w:r>
      <w:r>
        <w:rPr>
          <w:spacing w:val="19"/>
        </w:rPr>
        <w:t> </w:t>
      </w:r>
      <w:r>
        <w:rPr/>
        <w:t>recursos</w:t>
      </w:r>
      <w:r>
        <w:rPr>
          <w:spacing w:val="19"/>
        </w:rPr>
        <w:t> </w:t>
      </w:r>
      <w:r>
        <w:rPr/>
        <w:t>públicos</w:t>
      </w:r>
      <w:r>
        <w:rPr>
          <w:spacing w:val="19"/>
        </w:rPr>
        <w:t> </w:t>
      </w:r>
      <w:r>
        <w:rPr/>
        <w:t>y</w:t>
      </w:r>
      <w:r>
        <w:rPr>
          <w:spacing w:val="19"/>
        </w:rPr>
        <w:t> </w:t>
      </w:r>
      <w:r>
        <w:rPr/>
        <w:t>se</w:t>
      </w:r>
      <w:r>
        <w:rPr>
          <w:w w:val="98"/>
        </w:rPr>
        <w:t> </w:t>
      </w:r>
      <w:r>
        <w:rPr/>
        <w:t>ejercen las facultades normativas públicas.” (Aguilar, 2013:</w:t>
      </w:r>
      <w:r>
        <w:rPr>
          <w:spacing w:val="16"/>
        </w:rPr>
        <w:t> </w:t>
      </w:r>
      <w:r>
        <w:rPr/>
        <w:t>354)</w:t>
      </w:r>
    </w:p>
    <w:p>
      <w:pPr>
        <w:pStyle w:val="BodyText"/>
        <w:spacing w:line="249" w:lineRule="auto" w:before="109"/>
        <w:ind w:left="129" w:right="127" w:firstLine="170"/>
        <w:jc w:val="right"/>
      </w:pPr>
      <w:r>
        <w:rPr/>
        <w:br w:type="column"/>
      </w:r>
      <w:r>
        <w:rPr/>
        <w:t>En este sentido, la Comunidad Europea (2001, citado por Jorquera</w:t>
      </w:r>
      <w:r>
        <w:rPr>
          <w:spacing w:val="54"/>
        </w:rPr>
        <w:t> </w:t>
      </w:r>
      <w:r>
        <w:rPr/>
        <w:t>2011), establece</w:t>
      </w:r>
      <w:r>
        <w:rPr>
          <w:w w:val="100"/>
        </w:rPr>
        <w:t> </w:t>
      </w:r>
      <w:r>
        <w:rPr/>
        <w:t>que el concepto de </w:t>
      </w:r>
      <w:r>
        <w:rPr>
          <w:i/>
        </w:rPr>
        <w:t>“</w:t>
      </w:r>
      <w:r>
        <w:rPr/>
        <w:t>gobernanza” designa las normas, procesos y comportamientos</w:t>
      </w:r>
      <w:r>
        <w:rPr>
          <w:w w:val="102"/>
        </w:rPr>
        <w:t> </w:t>
      </w:r>
      <w:r>
        <w:rPr/>
        <w:t>que influyen en el ejercicio de los poderes a nivel europeo, especialmente desde</w:t>
      </w:r>
      <w:r>
        <w:rPr>
          <w:w w:val="101"/>
        </w:rPr>
        <w:t> </w:t>
      </w:r>
      <w:r>
        <w:rPr/>
        <w:t>el punto de vista de la apertura, la participación, la responsabilidad, la eficacia y la</w:t>
      </w:r>
      <w:r>
        <w:rPr>
          <w:w w:val="97"/>
        </w:rPr>
        <w:t> </w:t>
      </w:r>
      <w:r>
        <w:rPr/>
        <w:t>coherencia. Tomando en cuenta estos principios, la gobernanza puede definirse como:</w:t>
      </w:r>
    </w:p>
    <w:p>
      <w:pPr>
        <w:pStyle w:val="BodyText"/>
        <w:spacing w:before="11"/>
      </w:pPr>
    </w:p>
    <w:p>
      <w:pPr>
        <w:pStyle w:val="BodyText"/>
        <w:spacing w:line="249" w:lineRule="auto"/>
        <w:ind w:left="129" w:right="127" w:firstLine="170"/>
        <w:jc w:val="both"/>
      </w:pPr>
      <w:r>
        <w:rPr/>
        <w:t>“La</w:t>
      </w:r>
      <w:r>
        <w:rPr>
          <w:spacing w:val="-25"/>
        </w:rPr>
        <w:t> </w:t>
      </w:r>
      <w:r>
        <w:rPr/>
        <w:t>realización</w:t>
      </w:r>
      <w:r>
        <w:rPr>
          <w:spacing w:val="-25"/>
        </w:rPr>
        <w:t> </w:t>
      </w:r>
      <w:r>
        <w:rPr/>
        <w:t>de</w:t>
      </w:r>
      <w:r>
        <w:rPr>
          <w:spacing w:val="-25"/>
        </w:rPr>
        <w:t> </w:t>
      </w:r>
      <w:r>
        <w:rPr/>
        <w:t>relaciones</w:t>
      </w:r>
      <w:r>
        <w:rPr>
          <w:spacing w:val="-25"/>
        </w:rPr>
        <w:t> </w:t>
      </w:r>
      <w:r>
        <w:rPr/>
        <w:t>políticas</w:t>
      </w:r>
      <w:r>
        <w:rPr>
          <w:spacing w:val="-25"/>
        </w:rPr>
        <w:t> </w:t>
      </w:r>
      <w:r>
        <w:rPr/>
        <w:t>entre</w:t>
      </w:r>
      <w:r>
        <w:rPr>
          <w:spacing w:val="-25"/>
        </w:rPr>
        <w:t> </w:t>
      </w:r>
      <w:r>
        <w:rPr/>
        <w:t>diversos</w:t>
      </w:r>
      <w:r>
        <w:rPr>
          <w:spacing w:val="-25"/>
        </w:rPr>
        <w:t> </w:t>
      </w:r>
      <w:r>
        <w:rPr/>
        <w:t>actores</w:t>
      </w:r>
      <w:r>
        <w:rPr>
          <w:spacing w:val="-25"/>
        </w:rPr>
        <w:t> </w:t>
      </w:r>
      <w:r>
        <w:rPr/>
        <w:t>involucrados</w:t>
      </w:r>
      <w:r>
        <w:rPr>
          <w:spacing w:val="-25"/>
        </w:rPr>
        <w:t> </w:t>
      </w:r>
      <w:r>
        <w:rPr/>
        <w:t>en</w:t>
      </w:r>
      <w:r>
        <w:rPr>
          <w:spacing w:val="-25"/>
        </w:rPr>
        <w:t> </w:t>
      </w:r>
      <w:r>
        <w:rPr/>
        <w:t>el</w:t>
      </w:r>
      <w:r>
        <w:rPr>
          <w:spacing w:val="-25"/>
        </w:rPr>
        <w:t> </w:t>
      </w:r>
      <w:r>
        <w:rPr/>
        <w:t>proceso de decidir, ejecutar y evaluar decisiones sobre asuntos de interés público, proceso   que puede ser caracterizado como un juego de poder, en el cual la competencia y cooperación coexisten como reglas posibles; y que incluye instituciones tanto formales como informales” Whittingham (2005: 240 citado por Jorquera, 2011: </w:t>
      </w:r>
      <w:r>
        <w:rPr>
          <w:spacing w:val="9"/>
        </w:rPr>
        <w:t> </w:t>
      </w:r>
      <w:r>
        <w:rPr/>
        <w:t>6)</w:t>
      </w:r>
    </w:p>
    <w:p>
      <w:pPr>
        <w:pStyle w:val="BodyText"/>
        <w:spacing w:before="11"/>
      </w:pPr>
    </w:p>
    <w:p>
      <w:pPr>
        <w:pStyle w:val="BodyText"/>
        <w:spacing w:line="249" w:lineRule="auto"/>
        <w:ind w:left="129" w:right="127" w:firstLine="170"/>
        <w:jc w:val="both"/>
      </w:pPr>
      <w:r>
        <w:rPr/>
        <w:t>Para Francisco Porras (2012), la novedad de la gobernanza y la diferencia con      los antiguos modelos de gestión pública, se basa en que la toma de decisiones no corresponde solamente a la élite en el poder más bien sigue un esquema multinivel; por lo anterior “la gobernanza es un nuevo modelo de relaciones entre el gobierno       y la sociedad que tienen ciertos atributos que lo hacen deseable, como la mayor transparencia en los procesos de política pública, la capacidad de adaptarse y satisfacer la necesidades de los gobernados y la efectividad en las prestación de servicios públicos.” (Porras, 2012:</w:t>
      </w:r>
      <w:r>
        <w:rPr>
          <w:spacing w:val="17"/>
        </w:rPr>
        <w:t> </w:t>
      </w:r>
      <w:r>
        <w:rPr/>
        <w:t>9).</w:t>
      </w:r>
    </w:p>
    <w:p>
      <w:pPr>
        <w:pStyle w:val="BodyText"/>
        <w:spacing w:before="11"/>
      </w:pPr>
    </w:p>
    <w:p>
      <w:pPr>
        <w:pStyle w:val="BodyText"/>
        <w:spacing w:line="249" w:lineRule="auto"/>
        <w:ind w:left="129" w:right="127" w:firstLine="170"/>
        <w:jc w:val="both"/>
      </w:pPr>
      <w:r>
        <w:rPr/>
        <w:t>Según Mayntz (2001, citado por Sánchez, 2012),  el  concepto  ha  evolucionado para cobrar un nuevo significado pasando de un proceso de gobierno a una forma     de gobernar más cooperativa diferente del modelo jerárquico en que las autoridades estatales ejercían un poder soberano sobre los grupos y la sociedad civil. El enfoque central de la gobernanza permite la participación de las distintas instituciones, actores políticos y privados además de las asociaciones en la formulación y aplicación de políticas públicas que beneficien a la sociedad en su conjunto, partiendo de una estructura en</w:t>
      </w:r>
      <w:r>
        <w:rPr>
          <w:spacing w:val="14"/>
        </w:rPr>
        <w:t> </w:t>
      </w:r>
      <w:r>
        <w:rPr/>
        <w:t>red.</w:t>
      </w:r>
    </w:p>
    <w:p>
      <w:pPr>
        <w:pStyle w:val="BodyText"/>
        <w:spacing w:before="11"/>
      </w:pPr>
    </w:p>
    <w:p>
      <w:pPr>
        <w:pStyle w:val="BodyText"/>
        <w:spacing w:line="249" w:lineRule="auto"/>
        <w:ind w:left="129" w:right="127" w:firstLine="170"/>
        <w:jc w:val="both"/>
      </w:pPr>
      <w:r>
        <w:rPr/>
        <w:t>La gobernanza no elimina las formas de gobernación burocráticas ni gerenciales, de acuerdo a Rosique (2012), acepta la centralidad del Estado convierte las estructuras   a mecanismos más flexibles que permiten la discusión entre las diversas partes, con  lo que se reconoce la necesidad de interdependencia entre distintos actores para la cooperación definición y realización de intereses comunes que pueden plasmarse en políticas públicas que legitiman el sistema </w:t>
      </w:r>
      <w:r>
        <w:rPr>
          <w:spacing w:val="17"/>
        </w:rPr>
        <w:t> </w:t>
      </w:r>
      <w:r>
        <w:rPr/>
        <w:t>democrático.</w:t>
      </w:r>
    </w:p>
    <w:p>
      <w:pPr>
        <w:pStyle w:val="BodyText"/>
        <w:spacing w:before="11"/>
      </w:pPr>
    </w:p>
    <w:p>
      <w:pPr>
        <w:pStyle w:val="BodyText"/>
        <w:spacing w:line="249" w:lineRule="auto"/>
        <w:ind w:left="129" w:right="127" w:firstLine="170"/>
        <w:jc w:val="both"/>
      </w:pPr>
      <w:r>
        <w:rPr/>
        <w:t>En este contexto, Barcena (2010: 56, citado por Rosas, </w:t>
      </w:r>
      <w:r>
        <w:rPr>
          <w:i/>
        </w:rPr>
        <w:t>et al, </w:t>
      </w:r>
      <w:r>
        <w:rPr/>
        <w:t>2012: 119) establece que la gobernanza es un “paradigma gubernamental que  trata  de  transformar  el viejo gobierno institucional y democrático en un nuevo gobierno donde los institutos convencionales que han servido para presentar la democracia, como un proceso  </w:t>
      </w:r>
      <w:r>
        <w:rPr>
          <w:spacing w:val="40"/>
        </w:rPr>
        <w:t> </w:t>
      </w:r>
      <w:r>
        <w:rPr/>
        <w:t>que</w:t>
      </w:r>
    </w:p>
    <w:p>
      <w:pPr>
        <w:spacing w:after="0" w:line="249" w:lineRule="auto"/>
        <w:jc w:val="both"/>
        <w:sectPr>
          <w:type w:val="continuous"/>
          <w:pgSz w:w="18830" w:h="12760" w:orient="landscape"/>
          <w:pgMar w:top="1420" w:bottom="280" w:left="720" w:right="720"/>
          <w:cols w:num="2" w:equalWidth="0">
            <w:col w:w="7841" w:space="1572"/>
            <w:col w:w="7977"/>
          </w:cols>
        </w:sectPr>
      </w:pPr>
    </w:p>
    <w:p>
      <w:pPr>
        <w:pStyle w:val="BodyText"/>
        <w:spacing w:before="6"/>
        <w:rPr>
          <w:sz w:val="23"/>
        </w:rPr>
      </w:pPr>
    </w:p>
    <w:p>
      <w:pPr>
        <w:spacing w:after="0"/>
        <w:rPr>
          <w:sz w:val="23"/>
        </w:rPr>
        <w:sectPr>
          <w:footerReference w:type="default" r:id="rId78"/>
          <w:pgSz w:w="18830" w:h="12760" w:orient="landscape"/>
          <w:pgMar w:footer="1036" w:header="522" w:top="820" w:bottom="1220" w:left="720" w:right="720"/>
        </w:sectPr>
      </w:pPr>
    </w:p>
    <w:p>
      <w:pPr>
        <w:pStyle w:val="BodyText"/>
        <w:spacing w:line="249" w:lineRule="auto" w:before="76"/>
        <w:ind w:left="130" w:right="-7"/>
      </w:pPr>
      <w:r>
        <w:rPr/>
        <w:t>se realiza en el curso de la historia, se replanteen de acuerdo a las relaciones entre el</w:t>
      </w:r>
      <w:r>
        <w:rPr>
          <w:w w:val="97"/>
        </w:rPr>
        <w:t> </w:t>
      </w:r>
      <w:r>
        <w:rPr/>
        <w:t>Estado, la sociedad y el mercado que impone la  globalización”.</w:t>
      </w:r>
    </w:p>
    <w:p>
      <w:pPr>
        <w:pStyle w:val="BodyText"/>
        <w:spacing w:before="11"/>
      </w:pPr>
    </w:p>
    <w:p>
      <w:pPr>
        <w:pStyle w:val="BodyText"/>
        <w:spacing w:line="249" w:lineRule="auto"/>
        <w:ind w:left="130" w:firstLine="170"/>
        <w:jc w:val="both"/>
      </w:pPr>
      <w:r>
        <w:rPr/>
        <w:t>Desde</w:t>
      </w:r>
      <w:r>
        <w:rPr>
          <w:spacing w:val="-13"/>
        </w:rPr>
        <w:t> </w:t>
      </w:r>
      <w:r>
        <w:rPr/>
        <w:t>esta</w:t>
      </w:r>
      <w:r>
        <w:rPr>
          <w:spacing w:val="-13"/>
        </w:rPr>
        <w:t> </w:t>
      </w:r>
      <w:r>
        <w:rPr/>
        <w:t>perspectiva</w:t>
      </w:r>
      <w:r>
        <w:rPr>
          <w:spacing w:val="-13"/>
        </w:rPr>
        <w:t> </w:t>
      </w:r>
      <w:r>
        <w:rPr/>
        <w:t>la</w:t>
      </w:r>
      <w:r>
        <w:rPr>
          <w:spacing w:val="-13"/>
        </w:rPr>
        <w:t> </w:t>
      </w:r>
      <w:r>
        <w:rPr/>
        <w:t>fuerza</w:t>
      </w:r>
      <w:r>
        <w:rPr>
          <w:spacing w:val="-13"/>
        </w:rPr>
        <w:t> </w:t>
      </w:r>
      <w:r>
        <w:rPr/>
        <w:t>motriz</w:t>
      </w:r>
      <w:r>
        <w:rPr>
          <w:spacing w:val="-13"/>
        </w:rPr>
        <w:t> </w:t>
      </w:r>
      <w:r>
        <w:rPr/>
        <w:t>de</w:t>
      </w:r>
      <w:r>
        <w:rPr>
          <w:spacing w:val="-13"/>
        </w:rPr>
        <w:t> </w:t>
      </w:r>
      <w:r>
        <w:rPr/>
        <w:t>la</w:t>
      </w:r>
      <w:r>
        <w:rPr>
          <w:spacing w:val="-13"/>
        </w:rPr>
        <w:t> </w:t>
      </w:r>
      <w:r>
        <w:rPr/>
        <w:t>gobernanza</w:t>
      </w:r>
      <w:r>
        <w:rPr>
          <w:spacing w:val="-13"/>
        </w:rPr>
        <w:t> </w:t>
      </w:r>
      <w:r>
        <w:rPr/>
        <w:t>reside</w:t>
      </w:r>
      <w:r>
        <w:rPr>
          <w:spacing w:val="-13"/>
        </w:rPr>
        <w:t> </w:t>
      </w:r>
      <w:r>
        <w:rPr/>
        <w:t>en</w:t>
      </w:r>
      <w:r>
        <w:rPr>
          <w:spacing w:val="-13"/>
        </w:rPr>
        <w:t> </w:t>
      </w:r>
      <w:r>
        <w:rPr/>
        <w:t>la</w:t>
      </w:r>
      <w:r>
        <w:rPr>
          <w:spacing w:val="-13"/>
        </w:rPr>
        <w:t> </w:t>
      </w:r>
      <w:r>
        <w:rPr/>
        <w:t>recuperación</w:t>
      </w:r>
      <w:r>
        <w:rPr>
          <w:spacing w:val="-13"/>
        </w:rPr>
        <w:t> </w:t>
      </w:r>
      <w:r>
        <w:rPr/>
        <w:t>de una</w:t>
      </w:r>
      <w:r>
        <w:rPr>
          <w:spacing w:val="-10"/>
        </w:rPr>
        <w:t> </w:t>
      </w:r>
      <w:r>
        <w:rPr/>
        <w:t>vieja</w:t>
      </w:r>
      <w:r>
        <w:rPr>
          <w:spacing w:val="-10"/>
        </w:rPr>
        <w:t> </w:t>
      </w:r>
      <w:r>
        <w:rPr/>
        <w:t>idea</w:t>
      </w:r>
      <w:r>
        <w:rPr>
          <w:spacing w:val="-10"/>
        </w:rPr>
        <w:t> </w:t>
      </w:r>
      <w:r>
        <w:rPr/>
        <w:t>liberal</w:t>
      </w:r>
      <w:r>
        <w:rPr>
          <w:spacing w:val="-10"/>
        </w:rPr>
        <w:t> </w:t>
      </w:r>
      <w:r>
        <w:rPr/>
        <w:t>que</w:t>
      </w:r>
      <w:r>
        <w:rPr>
          <w:spacing w:val="-10"/>
        </w:rPr>
        <w:t> </w:t>
      </w:r>
      <w:r>
        <w:rPr/>
        <w:t>había</w:t>
      </w:r>
      <w:r>
        <w:rPr>
          <w:spacing w:val="-10"/>
        </w:rPr>
        <w:t> </w:t>
      </w:r>
      <w:r>
        <w:rPr/>
        <w:t>sido</w:t>
      </w:r>
      <w:r>
        <w:rPr>
          <w:spacing w:val="-10"/>
        </w:rPr>
        <w:t> </w:t>
      </w:r>
      <w:r>
        <w:rPr/>
        <w:t>desechada</w:t>
      </w:r>
      <w:r>
        <w:rPr>
          <w:spacing w:val="-10"/>
        </w:rPr>
        <w:t> </w:t>
      </w:r>
      <w:r>
        <w:rPr/>
        <w:t>tras</w:t>
      </w:r>
      <w:r>
        <w:rPr>
          <w:spacing w:val="-10"/>
        </w:rPr>
        <w:t> </w:t>
      </w:r>
      <w:r>
        <w:rPr/>
        <w:t>la</w:t>
      </w:r>
      <w:r>
        <w:rPr>
          <w:spacing w:val="-10"/>
        </w:rPr>
        <w:t> </w:t>
      </w:r>
      <w:r>
        <w:rPr/>
        <w:t>crisis</w:t>
      </w:r>
      <w:r>
        <w:rPr>
          <w:spacing w:val="-10"/>
        </w:rPr>
        <w:t> </w:t>
      </w:r>
      <w:r>
        <w:rPr/>
        <w:t>del</w:t>
      </w:r>
      <w:r>
        <w:rPr>
          <w:spacing w:val="-10"/>
        </w:rPr>
        <w:t> </w:t>
      </w:r>
      <w:r>
        <w:rPr/>
        <w:t>periodo</w:t>
      </w:r>
      <w:r>
        <w:rPr>
          <w:spacing w:val="-10"/>
        </w:rPr>
        <w:t> </w:t>
      </w:r>
      <w:r>
        <w:rPr/>
        <w:t>entreguerras:</w:t>
      </w:r>
      <w:r>
        <w:rPr>
          <w:spacing w:val="-10"/>
        </w:rPr>
        <w:t> </w:t>
      </w:r>
      <w:r>
        <w:rPr/>
        <w:t>el mercado</w:t>
      </w:r>
      <w:r>
        <w:rPr>
          <w:spacing w:val="-8"/>
        </w:rPr>
        <w:t> </w:t>
      </w:r>
      <w:r>
        <w:rPr/>
        <w:t>es</w:t>
      </w:r>
      <w:r>
        <w:rPr>
          <w:spacing w:val="-8"/>
        </w:rPr>
        <w:t> </w:t>
      </w:r>
      <w:r>
        <w:rPr/>
        <w:t>una</w:t>
      </w:r>
      <w:r>
        <w:rPr>
          <w:spacing w:val="-8"/>
        </w:rPr>
        <w:t> </w:t>
      </w:r>
      <w:r>
        <w:rPr/>
        <w:t>instancia</w:t>
      </w:r>
      <w:r>
        <w:rPr>
          <w:spacing w:val="-8"/>
        </w:rPr>
        <w:t> </w:t>
      </w:r>
      <w:r>
        <w:rPr/>
        <w:t>de</w:t>
      </w:r>
      <w:r>
        <w:rPr>
          <w:spacing w:val="-8"/>
        </w:rPr>
        <w:t> </w:t>
      </w:r>
      <w:r>
        <w:rPr/>
        <w:t>ordenación</w:t>
      </w:r>
      <w:r>
        <w:rPr>
          <w:spacing w:val="-8"/>
        </w:rPr>
        <w:t> </w:t>
      </w:r>
      <w:r>
        <w:rPr/>
        <w:t>no</w:t>
      </w:r>
      <w:r>
        <w:rPr>
          <w:spacing w:val="-8"/>
        </w:rPr>
        <w:t> </w:t>
      </w:r>
      <w:r>
        <w:rPr/>
        <w:t>sólo</w:t>
      </w:r>
      <w:r>
        <w:rPr>
          <w:spacing w:val="-8"/>
        </w:rPr>
        <w:t> </w:t>
      </w:r>
      <w:r>
        <w:rPr/>
        <w:t>económica,</w:t>
      </w:r>
      <w:r>
        <w:rPr>
          <w:spacing w:val="-8"/>
        </w:rPr>
        <w:t> </w:t>
      </w:r>
      <w:r>
        <w:rPr/>
        <w:t>sino</w:t>
      </w:r>
      <w:r>
        <w:rPr>
          <w:spacing w:val="-8"/>
        </w:rPr>
        <w:t> </w:t>
      </w:r>
      <w:r>
        <w:rPr/>
        <w:t>también</w:t>
      </w:r>
      <w:r>
        <w:rPr>
          <w:spacing w:val="-8"/>
        </w:rPr>
        <w:t> </w:t>
      </w:r>
      <w:r>
        <w:rPr/>
        <w:t>social.</w:t>
      </w:r>
      <w:r>
        <w:rPr>
          <w:spacing w:val="-8"/>
        </w:rPr>
        <w:t> </w:t>
      </w:r>
      <w:r>
        <w:rPr/>
        <w:t>En</w:t>
      </w:r>
      <w:r>
        <w:rPr>
          <w:spacing w:val="-8"/>
        </w:rPr>
        <w:t> </w:t>
      </w:r>
      <w:r>
        <w:rPr/>
        <w:t>las nuevas relaciones entre el Estado, la sociedad y el mercado, la acción gubernamental clásica, caracterizada por su verticalidad institucional, debe transformarse en una </w:t>
      </w:r>
      <w:r>
        <w:rPr>
          <w:i/>
        </w:rPr>
        <w:t>gobernanza de tipo horizontal</w:t>
      </w:r>
      <w:r>
        <w:rPr/>
        <w:t>, que intente involucrar a todos aquellos intereses de los actores sociales, administrativos y empresariales, que dirigen y gestionan la sociedad y</w:t>
      </w:r>
      <w:r>
        <w:rPr>
          <w:spacing w:val="-11"/>
        </w:rPr>
        <w:t> </w:t>
      </w:r>
      <w:r>
        <w:rPr/>
        <w:t>la</w:t>
      </w:r>
      <w:r>
        <w:rPr>
          <w:spacing w:val="-11"/>
        </w:rPr>
        <w:t> </w:t>
      </w:r>
      <w:r>
        <w:rPr/>
        <w:t>economía</w:t>
      </w:r>
      <w:r>
        <w:rPr>
          <w:spacing w:val="-11"/>
        </w:rPr>
        <w:t> </w:t>
      </w:r>
      <w:r>
        <w:rPr/>
        <w:t>(Rosas,</w:t>
      </w:r>
      <w:r>
        <w:rPr>
          <w:spacing w:val="-11"/>
        </w:rPr>
        <w:t> </w:t>
      </w:r>
      <w:r>
        <w:rPr/>
        <w:t>2014).</w:t>
      </w:r>
    </w:p>
    <w:p>
      <w:pPr>
        <w:pStyle w:val="BodyText"/>
        <w:spacing w:before="11"/>
      </w:pPr>
    </w:p>
    <w:p>
      <w:pPr>
        <w:pStyle w:val="BodyText"/>
        <w:spacing w:line="249" w:lineRule="auto"/>
        <w:ind w:left="130" w:firstLine="170"/>
        <w:jc w:val="both"/>
      </w:pPr>
      <w:r>
        <w:rPr/>
        <w:t>En</w:t>
      </w:r>
      <w:r>
        <w:rPr>
          <w:spacing w:val="-8"/>
        </w:rPr>
        <w:t> </w:t>
      </w:r>
      <w:r>
        <w:rPr/>
        <w:t>este</w:t>
      </w:r>
      <w:r>
        <w:rPr>
          <w:spacing w:val="-8"/>
        </w:rPr>
        <w:t> </w:t>
      </w:r>
      <w:r>
        <w:rPr/>
        <w:t>tenor,</w:t>
      </w:r>
      <w:r>
        <w:rPr>
          <w:spacing w:val="-8"/>
        </w:rPr>
        <w:t> </w:t>
      </w:r>
      <w:r>
        <w:rPr/>
        <w:t>Aguilar</w:t>
      </w:r>
      <w:r>
        <w:rPr>
          <w:spacing w:val="-8"/>
        </w:rPr>
        <w:t> </w:t>
      </w:r>
      <w:r>
        <w:rPr/>
        <w:t>(2011)</w:t>
      </w:r>
      <w:r>
        <w:rPr>
          <w:spacing w:val="-8"/>
        </w:rPr>
        <w:t> </w:t>
      </w:r>
      <w:r>
        <w:rPr/>
        <w:t>define</w:t>
      </w:r>
      <w:r>
        <w:rPr>
          <w:spacing w:val="-8"/>
        </w:rPr>
        <w:t> </w:t>
      </w:r>
      <w:r>
        <w:rPr/>
        <w:t>a</w:t>
      </w:r>
      <w:r>
        <w:rPr>
          <w:spacing w:val="-8"/>
        </w:rPr>
        <w:t> </w:t>
      </w:r>
      <w:r>
        <w:rPr/>
        <w:t>la</w:t>
      </w:r>
      <w:r>
        <w:rPr>
          <w:spacing w:val="-8"/>
        </w:rPr>
        <w:t> </w:t>
      </w:r>
      <w:r>
        <w:rPr/>
        <w:t>gobernanza</w:t>
      </w:r>
      <w:r>
        <w:rPr>
          <w:spacing w:val="-8"/>
        </w:rPr>
        <w:t> </w:t>
      </w:r>
      <w:r>
        <w:rPr/>
        <w:t>como</w:t>
      </w:r>
      <w:r>
        <w:rPr>
          <w:spacing w:val="-8"/>
        </w:rPr>
        <w:t> </w:t>
      </w:r>
      <w:r>
        <w:rPr/>
        <w:t>un</w:t>
      </w:r>
      <w:r>
        <w:rPr>
          <w:spacing w:val="-8"/>
        </w:rPr>
        <w:t> </w:t>
      </w:r>
      <w:r>
        <w:rPr/>
        <w:t>mecanismo</w:t>
      </w:r>
      <w:r>
        <w:rPr>
          <w:spacing w:val="-8"/>
        </w:rPr>
        <w:t> </w:t>
      </w:r>
      <w:r>
        <w:rPr/>
        <w:t>mediante</w:t>
      </w:r>
      <w:r>
        <w:rPr>
          <w:spacing w:val="-8"/>
        </w:rPr>
        <w:t> </w:t>
      </w:r>
      <w:r>
        <w:rPr/>
        <w:t>el cual el gobierno hace uso de las capacidades directivas permitiendo el reconocimiento de sus potencialidades transformándolas en acciones reales, desde la perspectiva de una escala interinstitucional y multinivel. En concordancia con lo descrito por Revesz (2006),</w:t>
      </w:r>
      <w:r>
        <w:rPr>
          <w:spacing w:val="-16"/>
        </w:rPr>
        <w:t> </w:t>
      </w:r>
      <w:r>
        <w:rPr/>
        <w:t>se</w:t>
      </w:r>
      <w:r>
        <w:rPr>
          <w:spacing w:val="-16"/>
        </w:rPr>
        <w:t> </w:t>
      </w:r>
      <w:r>
        <w:rPr/>
        <w:t>refuerza</w:t>
      </w:r>
      <w:r>
        <w:rPr>
          <w:spacing w:val="-16"/>
        </w:rPr>
        <w:t> </w:t>
      </w:r>
      <w:r>
        <w:rPr/>
        <w:t>la</w:t>
      </w:r>
      <w:r>
        <w:rPr>
          <w:spacing w:val="-16"/>
        </w:rPr>
        <w:t> </w:t>
      </w:r>
      <w:r>
        <w:rPr/>
        <w:t>legitimidad</w:t>
      </w:r>
      <w:r>
        <w:rPr>
          <w:spacing w:val="-16"/>
        </w:rPr>
        <w:t> </w:t>
      </w:r>
      <w:r>
        <w:rPr/>
        <w:t>y</w:t>
      </w:r>
      <w:r>
        <w:rPr>
          <w:spacing w:val="-16"/>
        </w:rPr>
        <w:t> </w:t>
      </w:r>
      <w:r>
        <w:rPr/>
        <w:t>eficiencia</w:t>
      </w:r>
      <w:r>
        <w:rPr>
          <w:spacing w:val="-16"/>
        </w:rPr>
        <w:t> </w:t>
      </w:r>
      <w:r>
        <w:rPr/>
        <w:t>de</w:t>
      </w:r>
      <w:r>
        <w:rPr>
          <w:spacing w:val="-16"/>
        </w:rPr>
        <w:t> </w:t>
      </w:r>
      <w:r>
        <w:rPr/>
        <w:t>los</w:t>
      </w:r>
      <w:r>
        <w:rPr>
          <w:spacing w:val="-16"/>
        </w:rPr>
        <w:t> </w:t>
      </w:r>
      <w:r>
        <w:rPr/>
        <w:t>regímenes</w:t>
      </w:r>
      <w:r>
        <w:rPr>
          <w:spacing w:val="-16"/>
        </w:rPr>
        <w:t> </w:t>
      </w:r>
      <w:r>
        <w:rPr/>
        <w:t>democráticos</w:t>
      </w:r>
      <w:r>
        <w:rPr>
          <w:spacing w:val="-16"/>
        </w:rPr>
        <w:t> </w:t>
      </w:r>
      <w:r>
        <w:rPr/>
        <w:t>basados</w:t>
      </w:r>
      <w:r>
        <w:rPr>
          <w:spacing w:val="-16"/>
        </w:rPr>
        <w:t> </w:t>
      </w:r>
      <w:r>
        <w:rPr/>
        <w:t>en un</w:t>
      </w:r>
      <w:r>
        <w:rPr>
          <w:spacing w:val="-7"/>
        </w:rPr>
        <w:t> </w:t>
      </w:r>
      <w:r>
        <w:rPr/>
        <w:t>enfoque</w:t>
      </w:r>
      <w:r>
        <w:rPr>
          <w:spacing w:val="-7"/>
        </w:rPr>
        <w:t> </w:t>
      </w:r>
      <w:r>
        <w:rPr/>
        <w:t>de</w:t>
      </w:r>
      <w:r>
        <w:rPr>
          <w:spacing w:val="-7"/>
        </w:rPr>
        <w:t> </w:t>
      </w:r>
      <w:r>
        <w:rPr/>
        <w:t>buen</w:t>
      </w:r>
      <w:r>
        <w:rPr>
          <w:spacing w:val="-7"/>
        </w:rPr>
        <w:t> </w:t>
      </w:r>
      <w:r>
        <w:rPr/>
        <w:t>gobierno,</w:t>
      </w:r>
      <w:r>
        <w:rPr>
          <w:spacing w:val="-7"/>
        </w:rPr>
        <w:t> </w:t>
      </w:r>
      <w:r>
        <w:rPr/>
        <w:t>permitiendo</w:t>
      </w:r>
      <w:r>
        <w:rPr>
          <w:spacing w:val="-7"/>
        </w:rPr>
        <w:t> </w:t>
      </w:r>
      <w:r>
        <w:rPr/>
        <w:t>la</w:t>
      </w:r>
      <w:r>
        <w:rPr>
          <w:spacing w:val="-7"/>
        </w:rPr>
        <w:t> </w:t>
      </w:r>
      <w:r>
        <w:rPr/>
        <w:t>interacción</w:t>
      </w:r>
      <w:r>
        <w:rPr>
          <w:spacing w:val="-7"/>
        </w:rPr>
        <w:t> </w:t>
      </w:r>
      <w:r>
        <w:rPr/>
        <w:t>entre</w:t>
      </w:r>
      <w:r>
        <w:rPr>
          <w:spacing w:val="-7"/>
        </w:rPr>
        <w:t> </w:t>
      </w:r>
      <w:r>
        <w:rPr/>
        <w:t>la</w:t>
      </w:r>
      <w:r>
        <w:rPr>
          <w:spacing w:val="-7"/>
        </w:rPr>
        <w:t> </w:t>
      </w:r>
      <w:r>
        <w:rPr/>
        <w:t>esfera</w:t>
      </w:r>
      <w:r>
        <w:rPr>
          <w:spacing w:val="-7"/>
        </w:rPr>
        <w:t> </w:t>
      </w:r>
      <w:r>
        <w:rPr/>
        <w:t>gubernamental,</w:t>
      </w:r>
      <w:r>
        <w:rPr>
          <w:w w:val="100"/>
        </w:rPr>
        <w:t> </w:t>
      </w:r>
      <w:r>
        <w:rPr/>
        <w:t>empresarios y sociedad</w:t>
      </w:r>
      <w:r>
        <w:rPr>
          <w:spacing w:val="28"/>
        </w:rPr>
        <w:t> </w:t>
      </w:r>
      <w:r>
        <w:rPr/>
        <w:t>civil.</w:t>
      </w:r>
    </w:p>
    <w:p>
      <w:pPr>
        <w:pStyle w:val="BodyText"/>
        <w:spacing w:before="11"/>
      </w:pPr>
    </w:p>
    <w:p>
      <w:pPr>
        <w:pStyle w:val="BodyText"/>
        <w:spacing w:line="249" w:lineRule="auto"/>
        <w:ind w:left="130" w:firstLine="170"/>
        <w:jc w:val="both"/>
      </w:pPr>
      <w:r>
        <w:rPr/>
        <w:t>La visión de Iracheta (2012: 156), describe el concepto de gobernanza como un “proceso en el que los actores sociales deciden organizadamente sus objetivos fundamentales de convivencia y la forma de coordinarse para realizarlos. Desde esta perspectiva busca reivindicar, recuperar y reconstruir la naturaleza pública del Estado así como su capacidad para gobernar y administrar, ambas basadas en la centralidad de la ciudadanía”.</w:t>
      </w:r>
    </w:p>
    <w:p>
      <w:pPr>
        <w:pStyle w:val="BodyText"/>
        <w:spacing w:before="11"/>
      </w:pPr>
    </w:p>
    <w:p>
      <w:pPr>
        <w:pStyle w:val="BodyText"/>
        <w:spacing w:line="249" w:lineRule="auto"/>
        <w:ind w:left="130" w:firstLine="170"/>
        <w:jc w:val="both"/>
      </w:pPr>
      <w:r>
        <w:rPr/>
        <w:t>Es importante destacar que, la gobernanza se encuentra estrechamente ligada a     la toma de decisiones. Se trata de gestionar y dirigir los negocios de forma que se obtenga la máxima eficacia económica. Su tránsito desde la economía a la ciencia política y de la administración, con el objeto de procurar una gestión más inclusiva y co-responsable de la cosa pública frente a los tradicionales modelos más impositivos   o burocráticos, lo convirtieron en un concepto heurístico y abierto en su interpretación y</w:t>
      </w:r>
      <w:r>
        <w:rPr>
          <w:spacing w:val="3"/>
        </w:rPr>
        <w:t> </w:t>
      </w:r>
      <w:r>
        <w:rPr/>
        <w:t>uso.</w:t>
      </w:r>
    </w:p>
    <w:p>
      <w:pPr>
        <w:pStyle w:val="BodyText"/>
        <w:spacing w:before="11"/>
      </w:pPr>
    </w:p>
    <w:p>
      <w:pPr>
        <w:pStyle w:val="BodyText"/>
        <w:spacing w:line="249" w:lineRule="auto"/>
        <w:ind w:left="130" w:firstLine="170"/>
        <w:jc w:val="both"/>
      </w:pPr>
      <w:r>
        <w:rPr/>
        <w:t>Su carácter polisémico ha permitido que fuera desarrollado por muy diversas líneas  y escuelas de pensamiento como la </w:t>
      </w:r>
      <w:r>
        <w:rPr>
          <w:i/>
        </w:rPr>
        <w:t>nueva gerencia pública</w:t>
      </w:r>
      <w:r>
        <w:rPr/>
        <w:t>, el neoinstitucionalismo  de un nuevo estado social o el universalismo comunitario de la sociedad civil y las organizaciones no gubernamentales. Precisamente la reterritorialización del papel y de las responsabilidades del estado y de los diversos actores en la toma de decisiones políticas hicieron de la gobernanza el centro de diversas atenciones; también desde el campo</w:t>
      </w:r>
      <w:r>
        <w:rPr>
          <w:spacing w:val="21"/>
        </w:rPr>
        <w:t> </w:t>
      </w:r>
      <w:r>
        <w:rPr/>
        <w:t>de</w:t>
      </w:r>
      <w:r>
        <w:rPr>
          <w:spacing w:val="21"/>
        </w:rPr>
        <w:t> </w:t>
      </w:r>
      <w:r>
        <w:rPr/>
        <w:t>la</w:t>
      </w:r>
      <w:r>
        <w:rPr>
          <w:spacing w:val="21"/>
        </w:rPr>
        <w:t> </w:t>
      </w:r>
      <w:r>
        <w:rPr/>
        <w:t>política</w:t>
      </w:r>
      <w:r>
        <w:rPr>
          <w:spacing w:val="21"/>
        </w:rPr>
        <w:t> </w:t>
      </w:r>
      <w:r>
        <w:rPr/>
        <w:t>territorial,</w:t>
      </w:r>
      <w:r>
        <w:rPr>
          <w:spacing w:val="21"/>
        </w:rPr>
        <w:t> </w:t>
      </w:r>
      <w:r>
        <w:rPr/>
        <w:t>por</w:t>
      </w:r>
      <w:r>
        <w:rPr>
          <w:spacing w:val="21"/>
        </w:rPr>
        <w:t> </w:t>
      </w:r>
      <w:r>
        <w:rPr/>
        <w:t>otra</w:t>
      </w:r>
      <w:r>
        <w:rPr>
          <w:spacing w:val="21"/>
        </w:rPr>
        <w:t> </w:t>
      </w:r>
      <w:r>
        <w:rPr/>
        <w:t>parte</w:t>
      </w:r>
      <w:r>
        <w:rPr>
          <w:spacing w:val="21"/>
        </w:rPr>
        <w:t> </w:t>
      </w:r>
      <w:r>
        <w:rPr/>
        <w:t>uno</w:t>
      </w:r>
      <w:r>
        <w:rPr>
          <w:spacing w:val="21"/>
        </w:rPr>
        <w:t> </w:t>
      </w:r>
      <w:r>
        <w:rPr/>
        <w:t>de</w:t>
      </w:r>
      <w:r>
        <w:rPr>
          <w:spacing w:val="21"/>
        </w:rPr>
        <w:t> </w:t>
      </w:r>
      <w:r>
        <w:rPr/>
        <w:t>los</w:t>
      </w:r>
      <w:r>
        <w:rPr>
          <w:spacing w:val="21"/>
        </w:rPr>
        <w:t> </w:t>
      </w:r>
      <w:r>
        <w:rPr/>
        <w:t>campos</w:t>
      </w:r>
      <w:r>
        <w:rPr>
          <w:spacing w:val="21"/>
        </w:rPr>
        <w:t> </w:t>
      </w:r>
      <w:r>
        <w:rPr/>
        <w:t>predilectos</w:t>
      </w:r>
      <w:r>
        <w:rPr>
          <w:spacing w:val="21"/>
        </w:rPr>
        <w:t> </w:t>
      </w:r>
      <w:r>
        <w:rPr/>
        <w:t>para</w:t>
      </w:r>
      <w:r>
        <w:rPr>
          <w:spacing w:val="21"/>
        </w:rPr>
        <w:t> </w:t>
      </w:r>
      <w:r>
        <w:rPr/>
        <w:t>su</w:t>
      </w:r>
    </w:p>
    <w:p>
      <w:pPr>
        <w:pStyle w:val="BodyText"/>
        <w:spacing w:line="249" w:lineRule="auto" w:before="76"/>
        <w:ind w:left="130" w:right="113"/>
      </w:pPr>
      <w:r>
        <w:rPr/>
        <w:br w:type="column"/>
      </w:r>
      <w:r>
        <w:rPr/>
        <w:t>aplicación y desarrollo (Koresawa, A. y Konvitz, J. 2001), especialmente abonado en el contexto de la Comisión Europea.</w:t>
      </w:r>
    </w:p>
    <w:p>
      <w:pPr>
        <w:pStyle w:val="BodyText"/>
        <w:spacing w:before="8"/>
        <w:rPr>
          <w:sz w:val="17"/>
        </w:rPr>
      </w:pPr>
    </w:p>
    <w:p>
      <w:pPr>
        <w:pStyle w:val="Heading1"/>
        <w:ind w:right="-10"/>
      </w:pPr>
      <w:r>
        <w:rPr/>
        <w:t>Escuelas de gobernanza</w:t>
      </w:r>
    </w:p>
    <w:p>
      <w:pPr>
        <w:pStyle w:val="BodyText"/>
        <w:rPr>
          <w:b/>
          <w:sz w:val="21"/>
        </w:rPr>
      </w:pPr>
    </w:p>
    <w:p>
      <w:pPr>
        <w:pStyle w:val="BodyText"/>
        <w:spacing w:line="249" w:lineRule="auto"/>
        <w:ind w:left="130" w:right="127" w:firstLine="170"/>
        <w:jc w:val="both"/>
      </w:pPr>
      <w:r>
        <w:rPr/>
        <w:t>El surgimiento de la gobernanza como modelo administrativo cobra vigor en el contexto</w:t>
      </w:r>
      <w:r>
        <w:rPr>
          <w:spacing w:val="-10"/>
        </w:rPr>
        <w:t> </w:t>
      </w:r>
      <w:r>
        <w:rPr/>
        <w:t>de</w:t>
      </w:r>
      <w:r>
        <w:rPr>
          <w:spacing w:val="-10"/>
        </w:rPr>
        <w:t> </w:t>
      </w:r>
      <w:r>
        <w:rPr/>
        <w:t>la</w:t>
      </w:r>
      <w:r>
        <w:rPr>
          <w:spacing w:val="-10"/>
        </w:rPr>
        <w:t> </w:t>
      </w:r>
      <w:r>
        <w:rPr/>
        <w:t>Comisión</w:t>
      </w:r>
      <w:r>
        <w:rPr>
          <w:spacing w:val="-10"/>
        </w:rPr>
        <w:t> </w:t>
      </w:r>
      <w:r>
        <w:rPr/>
        <w:t>Europea</w:t>
      </w:r>
      <w:r>
        <w:rPr>
          <w:spacing w:val="-10"/>
        </w:rPr>
        <w:t> </w:t>
      </w:r>
      <w:r>
        <w:rPr/>
        <w:t>en</w:t>
      </w:r>
      <w:r>
        <w:rPr>
          <w:spacing w:val="-10"/>
        </w:rPr>
        <w:t> </w:t>
      </w:r>
      <w:r>
        <w:rPr/>
        <w:t>la</w:t>
      </w:r>
      <w:r>
        <w:rPr>
          <w:spacing w:val="-10"/>
        </w:rPr>
        <w:t> </w:t>
      </w:r>
      <w:r>
        <w:rPr/>
        <w:t>década</w:t>
      </w:r>
      <w:r>
        <w:rPr>
          <w:spacing w:val="-10"/>
        </w:rPr>
        <w:t> </w:t>
      </w:r>
      <w:r>
        <w:rPr/>
        <w:t>de</w:t>
      </w:r>
      <w:r>
        <w:rPr>
          <w:spacing w:val="-10"/>
        </w:rPr>
        <w:t> </w:t>
      </w:r>
      <w:r>
        <w:rPr/>
        <w:t>1990,</w:t>
      </w:r>
      <w:r>
        <w:rPr>
          <w:spacing w:val="-10"/>
        </w:rPr>
        <w:t> </w:t>
      </w:r>
      <w:r>
        <w:rPr/>
        <w:t>y</w:t>
      </w:r>
      <w:r>
        <w:rPr>
          <w:spacing w:val="-10"/>
        </w:rPr>
        <w:t> </w:t>
      </w:r>
      <w:r>
        <w:rPr/>
        <w:t>encuentra</w:t>
      </w:r>
      <w:r>
        <w:rPr>
          <w:spacing w:val="-10"/>
        </w:rPr>
        <w:t> </w:t>
      </w:r>
      <w:r>
        <w:rPr/>
        <w:t>sustento</w:t>
      </w:r>
      <w:r>
        <w:rPr>
          <w:spacing w:val="-10"/>
        </w:rPr>
        <w:t> </w:t>
      </w:r>
      <w:r>
        <w:rPr/>
        <w:t>teórico</w:t>
      </w:r>
      <w:r>
        <w:rPr>
          <w:spacing w:val="-10"/>
        </w:rPr>
        <w:t> </w:t>
      </w:r>
      <w:r>
        <w:rPr/>
        <w:t>en tres escuelas; de acuerdo con Muñoz (2005) el origen de la gobernanza se ubica en la escuela</w:t>
      </w:r>
      <w:r>
        <w:rPr>
          <w:spacing w:val="-15"/>
        </w:rPr>
        <w:t> </w:t>
      </w:r>
      <w:r>
        <w:rPr/>
        <w:t>norteamericana</w:t>
      </w:r>
      <w:r>
        <w:rPr>
          <w:spacing w:val="-15"/>
        </w:rPr>
        <w:t> </w:t>
      </w:r>
      <w:r>
        <w:rPr/>
        <w:t>sobre</w:t>
      </w:r>
      <w:r>
        <w:rPr>
          <w:spacing w:val="-15"/>
        </w:rPr>
        <w:t> </w:t>
      </w:r>
      <w:r>
        <w:rPr/>
        <w:t>estudios</w:t>
      </w:r>
      <w:r>
        <w:rPr>
          <w:spacing w:val="-15"/>
        </w:rPr>
        <w:t> </w:t>
      </w:r>
      <w:r>
        <w:rPr/>
        <w:t>de</w:t>
      </w:r>
      <w:r>
        <w:rPr>
          <w:spacing w:val="-15"/>
        </w:rPr>
        <w:t> </w:t>
      </w:r>
      <w:r>
        <w:rPr/>
        <w:t>Administración</w:t>
      </w:r>
      <w:r>
        <w:rPr>
          <w:spacing w:val="-15"/>
        </w:rPr>
        <w:t> </w:t>
      </w:r>
      <w:r>
        <w:rPr/>
        <w:t>Pública</w:t>
      </w:r>
      <w:r>
        <w:rPr>
          <w:spacing w:val="-15"/>
        </w:rPr>
        <w:t> </w:t>
      </w:r>
      <w:r>
        <w:rPr/>
        <w:t>con</w:t>
      </w:r>
      <w:r>
        <w:rPr>
          <w:spacing w:val="-15"/>
        </w:rPr>
        <w:t> </w:t>
      </w:r>
      <w:r>
        <w:rPr/>
        <w:t>base</w:t>
      </w:r>
      <w:r>
        <w:rPr>
          <w:spacing w:val="-15"/>
        </w:rPr>
        <w:t> </w:t>
      </w:r>
      <w:r>
        <w:rPr/>
        <w:t>en</w:t>
      </w:r>
      <w:r>
        <w:rPr>
          <w:spacing w:val="-15"/>
        </w:rPr>
        <w:t> </w:t>
      </w:r>
      <w:r>
        <w:rPr/>
        <w:t>las</w:t>
      </w:r>
      <w:r>
        <w:rPr>
          <w:spacing w:val="-15"/>
        </w:rPr>
        <w:t> </w:t>
      </w:r>
      <w:r>
        <w:rPr/>
        <w:t>obras de</w:t>
      </w:r>
      <w:r>
        <w:rPr>
          <w:spacing w:val="-21"/>
        </w:rPr>
        <w:t> </w:t>
      </w:r>
      <w:r>
        <w:rPr/>
        <w:t>Moore</w:t>
      </w:r>
      <w:r>
        <w:rPr>
          <w:spacing w:val="-21"/>
        </w:rPr>
        <w:t> </w:t>
      </w:r>
      <w:r>
        <w:rPr/>
        <w:t>surgen</w:t>
      </w:r>
      <w:r>
        <w:rPr>
          <w:spacing w:val="-21"/>
        </w:rPr>
        <w:t> </w:t>
      </w:r>
      <w:r>
        <w:rPr/>
        <w:t>los</w:t>
      </w:r>
      <w:r>
        <w:rPr>
          <w:spacing w:val="-21"/>
        </w:rPr>
        <w:t> </w:t>
      </w:r>
      <w:r>
        <w:rPr/>
        <w:t>términos</w:t>
      </w:r>
      <w:r>
        <w:rPr>
          <w:spacing w:val="-21"/>
        </w:rPr>
        <w:t> </w:t>
      </w:r>
      <w:r>
        <w:rPr>
          <w:i/>
        </w:rPr>
        <w:t>democratic</w:t>
      </w:r>
      <w:r>
        <w:rPr>
          <w:i/>
          <w:spacing w:val="-20"/>
        </w:rPr>
        <w:t> </w:t>
      </w:r>
      <w:r>
        <w:rPr>
          <w:i/>
        </w:rPr>
        <w:t>governance</w:t>
      </w:r>
      <w:r>
        <w:rPr>
          <w:i/>
          <w:spacing w:val="-20"/>
        </w:rPr>
        <w:t> </w:t>
      </w:r>
      <w:r>
        <w:rPr>
          <w:i/>
        </w:rPr>
        <w:t>y</w:t>
      </w:r>
      <w:r>
        <w:rPr>
          <w:i/>
          <w:spacing w:val="-21"/>
        </w:rPr>
        <w:t> </w:t>
      </w:r>
      <w:r>
        <w:rPr>
          <w:i/>
        </w:rPr>
        <w:t>gestión</w:t>
      </w:r>
      <w:r>
        <w:rPr>
          <w:i/>
          <w:spacing w:val="-20"/>
        </w:rPr>
        <w:t> </w:t>
      </w:r>
      <w:r>
        <w:rPr>
          <w:i/>
        </w:rPr>
        <w:t>estratégica</w:t>
      </w:r>
      <w:r>
        <w:rPr>
          <w:i/>
          <w:spacing w:val="-20"/>
        </w:rPr>
        <w:t> </w:t>
      </w:r>
      <w:r>
        <w:rPr>
          <w:i/>
        </w:rPr>
        <w:t>del</w:t>
      </w:r>
      <w:r>
        <w:rPr>
          <w:i/>
          <w:spacing w:val="-21"/>
        </w:rPr>
        <w:t> </w:t>
      </w:r>
      <w:r>
        <w:rPr>
          <w:i/>
        </w:rPr>
        <w:t>gobierno</w:t>
      </w:r>
      <w:r>
        <w:rPr/>
        <w:t>, “lo que implica en esencia una revisión profunda del papel de lo público en conexión con la consecución de valor y la consiguiente reformulación de la forma de gestionar lo público con el planteamiento de las tareas de los gestores públicos para acomodarse  a esa nueva visión” (Moore, 1995, citado en Muñoz, 2005:</w:t>
      </w:r>
      <w:r>
        <w:rPr>
          <w:spacing w:val="9"/>
        </w:rPr>
        <w:t> </w:t>
      </w:r>
      <w:r>
        <w:rPr/>
        <w:t>288).</w:t>
      </w:r>
    </w:p>
    <w:p>
      <w:pPr>
        <w:pStyle w:val="BodyText"/>
        <w:spacing w:before="11"/>
      </w:pPr>
    </w:p>
    <w:p>
      <w:pPr>
        <w:pStyle w:val="BodyText"/>
        <w:spacing w:line="249" w:lineRule="auto"/>
        <w:ind w:left="130" w:right="127" w:firstLine="170"/>
        <w:jc w:val="both"/>
      </w:pPr>
      <w:r>
        <w:rPr/>
        <w:t>Para Zurbriggen (2011), la aplicación del concepto de gobernanza debe entenderse desde dos escuelas: la de redes de políticas públicas (</w:t>
      </w:r>
      <w:r>
        <w:rPr>
          <w:i/>
        </w:rPr>
        <w:t>policy networks</w:t>
      </w:r>
      <w:r>
        <w:rPr/>
        <w:t>) y la escuela   de gobernanza. La escuela de redes de políticas públicas se basa en el concepto      de éstas como modalidades de intermediación de intereses entre actores públicos y privados, permitiendo la elaboración e implementación de políticas públicas superando el modelo pluralista y corporativista (Marsh y Rhodes, 1992; Smith, 1993; Marsh, 1998 citado en Zurbriggen, 2011). Por su parte, la escuela de gobernanza centra el debate en las transformaciones de las funciones administrativas del Estado presentándola como un nuevo modelo de gestionar los asuntos públicos, opuesto al jerárquico y al de mercado” (Marsh, 2008: 263 en Zurbriggen, 2011:</w:t>
      </w:r>
      <w:r>
        <w:rPr>
          <w:spacing w:val="13"/>
        </w:rPr>
        <w:t> </w:t>
      </w:r>
      <w:r>
        <w:rPr/>
        <w:t>41).</w:t>
      </w:r>
    </w:p>
    <w:p>
      <w:pPr>
        <w:pStyle w:val="BodyText"/>
        <w:spacing w:before="11"/>
      </w:pPr>
    </w:p>
    <w:p>
      <w:pPr>
        <w:pStyle w:val="BodyText"/>
        <w:spacing w:line="249" w:lineRule="auto"/>
        <w:ind w:left="130" w:right="128" w:firstLine="170"/>
        <w:jc w:val="both"/>
      </w:pPr>
      <w:r>
        <w:rPr/>
        <w:t>Porras (2012), describe que la aportación de las diferentes escuelas de gobernanza coincide en que las cualidades de ésta sólo se pueden alcanzar en la medida que       el gobierno, sociedad civil y mercado comparen recursos produciendo convergencia entre instituciones y actores. Situación que incide en la modificación de la acción del gobierno hacia una coordinación flexible con liderazgo hacia dentro y fuera de las burocracias</w:t>
      </w:r>
      <w:r>
        <w:rPr>
          <w:spacing w:val="17"/>
        </w:rPr>
        <w:t> </w:t>
      </w:r>
      <w:r>
        <w:rPr/>
        <w:t>estatales.</w:t>
      </w:r>
    </w:p>
    <w:p>
      <w:pPr>
        <w:pStyle w:val="BodyText"/>
        <w:spacing w:before="8"/>
        <w:rPr>
          <w:sz w:val="17"/>
        </w:rPr>
      </w:pPr>
    </w:p>
    <w:p>
      <w:pPr>
        <w:pStyle w:val="Heading1"/>
        <w:ind w:right="-10"/>
      </w:pPr>
      <w:r>
        <w:rPr/>
        <w:t>Dimensiones de la gobernanza</w:t>
      </w:r>
    </w:p>
    <w:p>
      <w:pPr>
        <w:pStyle w:val="BodyText"/>
        <w:rPr>
          <w:b/>
          <w:sz w:val="21"/>
        </w:rPr>
      </w:pPr>
    </w:p>
    <w:p>
      <w:pPr>
        <w:pStyle w:val="BodyText"/>
        <w:spacing w:line="249" w:lineRule="auto"/>
        <w:ind w:left="130" w:right="128" w:firstLine="170"/>
        <w:jc w:val="both"/>
      </w:pPr>
      <w:r>
        <w:rPr/>
        <w:t>Para Aguilar (2013), los componentes de la gobernanza deben aseverar que como modelo</w:t>
      </w:r>
      <w:r>
        <w:rPr>
          <w:spacing w:val="-13"/>
        </w:rPr>
        <w:t> </w:t>
      </w:r>
      <w:r>
        <w:rPr/>
        <w:t>administrativo</w:t>
      </w:r>
      <w:r>
        <w:rPr>
          <w:spacing w:val="-13"/>
        </w:rPr>
        <w:t> </w:t>
      </w:r>
      <w:r>
        <w:rPr/>
        <w:t>contrarreste</w:t>
      </w:r>
      <w:r>
        <w:rPr>
          <w:spacing w:val="-13"/>
        </w:rPr>
        <w:t> </w:t>
      </w:r>
      <w:r>
        <w:rPr/>
        <w:t>la</w:t>
      </w:r>
      <w:r>
        <w:rPr>
          <w:spacing w:val="-13"/>
        </w:rPr>
        <w:t> </w:t>
      </w:r>
      <w:r>
        <w:rPr/>
        <w:t>verticalidad</w:t>
      </w:r>
      <w:r>
        <w:rPr>
          <w:spacing w:val="-13"/>
        </w:rPr>
        <w:t> </w:t>
      </w:r>
      <w:r>
        <w:rPr/>
        <w:t>de</w:t>
      </w:r>
      <w:r>
        <w:rPr>
          <w:spacing w:val="-13"/>
        </w:rPr>
        <w:t> </w:t>
      </w:r>
      <w:r>
        <w:rPr/>
        <w:t>las</w:t>
      </w:r>
      <w:r>
        <w:rPr>
          <w:spacing w:val="-13"/>
        </w:rPr>
        <w:t> </w:t>
      </w:r>
      <w:r>
        <w:rPr/>
        <w:t>políticas,</w:t>
      </w:r>
      <w:r>
        <w:rPr>
          <w:spacing w:val="-13"/>
        </w:rPr>
        <w:t> </w:t>
      </w:r>
      <w:r>
        <w:rPr/>
        <w:t>por</w:t>
      </w:r>
      <w:r>
        <w:rPr>
          <w:spacing w:val="-13"/>
        </w:rPr>
        <w:t> </w:t>
      </w:r>
      <w:r>
        <w:rPr/>
        <w:t>ello</w:t>
      </w:r>
      <w:r>
        <w:rPr>
          <w:spacing w:val="-13"/>
        </w:rPr>
        <w:t> </w:t>
      </w:r>
      <w:r>
        <w:rPr/>
        <w:t>debe</w:t>
      </w:r>
      <w:r>
        <w:rPr>
          <w:spacing w:val="-13"/>
        </w:rPr>
        <w:t> </w:t>
      </w:r>
      <w:r>
        <w:rPr/>
        <w:t>asegurar el</w:t>
      </w:r>
      <w:r>
        <w:rPr>
          <w:spacing w:val="-9"/>
        </w:rPr>
        <w:t> </w:t>
      </w:r>
      <w:r>
        <w:rPr/>
        <w:t>buen</w:t>
      </w:r>
      <w:r>
        <w:rPr>
          <w:spacing w:val="-9"/>
        </w:rPr>
        <w:t> </w:t>
      </w:r>
      <w:r>
        <w:rPr/>
        <w:t>gobierno</w:t>
      </w:r>
      <w:r>
        <w:rPr>
          <w:spacing w:val="-9"/>
        </w:rPr>
        <w:t> </w:t>
      </w:r>
      <w:r>
        <w:rPr/>
        <w:t>a</w:t>
      </w:r>
      <w:r>
        <w:rPr>
          <w:spacing w:val="-9"/>
        </w:rPr>
        <w:t> </w:t>
      </w:r>
      <w:r>
        <w:rPr/>
        <w:t>través</w:t>
      </w:r>
      <w:r>
        <w:rPr>
          <w:spacing w:val="-9"/>
        </w:rPr>
        <w:t> </w:t>
      </w:r>
      <w:r>
        <w:rPr/>
        <w:t>de</w:t>
      </w:r>
      <w:r>
        <w:rPr>
          <w:spacing w:val="-9"/>
        </w:rPr>
        <w:t> </w:t>
      </w:r>
      <w:r>
        <w:rPr/>
        <w:t>dos</w:t>
      </w:r>
      <w:r>
        <w:rPr>
          <w:spacing w:val="-9"/>
        </w:rPr>
        <w:t> </w:t>
      </w:r>
      <w:r>
        <w:rPr/>
        <w:t>dimensiones:</w:t>
      </w:r>
      <w:r>
        <w:rPr>
          <w:spacing w:val="-9"/>
        </w:rPr>
        <w:t> </w:t>
      </w:r>
      <w:r>
        <w:rPr/>
        <w:t>la</w:t>
      </w:r>
      <w:r>
        <w:rPr>
          <w:spacing w:val="-9"/>
        </w:rPr>
        <w:t> </w:t>
      </w:r>
      <w:r>
        <w:rPr/>
        <w:t>primera</w:t>
      </w:r>
      <w:r>
        <w:rPr>
          <w:spacing w:val="-9"/>
        </w:rPr>
        <w:t> </w:t>
      </w:r>
      <w:r>
        <w:rPr/>
        <w:t>referida</w:t>
      </w:r>
      <w:r>
        <w:rPr>
          <w:spacing w:val="-9"/>
        </w:rPr>
        <w:t> </w:t>
      </w:r>
      <w:r>
        <w:rPr/>
        <w:t>a</w:t>
      </w:r>
      <w:r>
        <w:rPr>
          <w:spacing w:val="-9"/>
        </w:rPr>
        <w:t> </w:t>
      </w:r>
      <w:r>
        <w:rPr/>
        <w:t>las</w:t>
      </w:r>
      <w:r>
        <w:rPr>
          <w:spacing w:val="-9"/>
        </w:rPr>
        <w:t> </w:t>
      </w:r>
      <w:r>
        <w:rPr/>
        <w:t>instituciones</w:t>
      </w:r>
      <w:r>
        <w:rPr>
          <w:spacing w:val="-9"/>
        </w:rPr>
        <w:t> </w:t>
      </w:r>
      <w:r>
        <w:rPr/>
        <w:t>y</w:t>
      </w:r>
      <w:r>
        <w:rPr>
          <w:spacing w:val="-9"/>
        </w:rPr>
        <w:t> </w:t>
      </w:r>
      <w:r>
        <w:rPr/>
        <w:t>la política; y la segunda a los componentes técnico administrativos que delinean la visión horizontal de la</w:t>
      </w:r>
      <w:r>
        <w:rPr>
          <w:spacing w:val="5"/>
        </w:rPr>
        <w:t> </w:t>
      </w:r>
      <w:r>
        <w:rPr/>
        <w:t>gobernanza.</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79"/>
          <w:pgSz w:w="18830" w:h="12760" w:orient="landscape"/>
          <w:pgMar w:footer="1036" w:header="522" w:top="820" w:bottom="1220" w:left="720" w:right="720"/>
        </w:sectPr>
      </w:pPr>
    </w:p>
    <w:p>
      <w:pPr>
        <w:pStyle w:val="Heading1"/>
        <w:spacing w:before="71"/>
        <w:ind w:left="308"/>
      </w:pPr>
      <w:r>
        <w:rPr/>
        <w:t>Dimensión institucional y política:</w:t>
      </w:r>
    </w:p>
    <w:p>
      <w:pPr>
        <w:pStyle w:val="BodyText"/>
        <w:rPr>
          <w:b/>
          <w:sz w:val="21"/>
        </w:rPr>
      </w:pPr>
    </w:p>
    <w:p>
      <w:pPr>
        <w:pStyle w:val="BodyText"/>
        <w:spacing w:line="249" w:lineRule="auto"/>
        <w:ind w:left="138" w:firstLine="170"/>
        <w:jc w:val="both"/>
      </w:pPr>
      <w:r>
        <w:rPr/>
        <w:t>Se    encuentra    estructurada    por    tres    componentes     que     son:    </w:t>
      </w:r>
      <w:r>
        <w:rPr>
          <w:spacing w:val="47"/>
        </w:rPr>
        <w:t> </w:t>
      </w:r>
      <w:r>
        <w:rPr/>
        <w:t>el</w:t>
      </w:r>
      <w:r>
        <w:rPr>
          <w:w w:val="97"/>
        </w:rPr>
        <w:t> </w:t>
      </w:r>
      <w:r>
        <w:rPr>
          <w:i/>
        </w:rPr>
        <w:t>Estado de derecho/gobierno de leyes </w:t>
      </w:r>
      <w:r>
        <w:rPr/>
        <w:t>con base en valores como la honestidad, igualdad e imparcialidad referido al poder judicial al cumplimiento de la ley y al buen desempeño</w:t>
      </w:r>
      <w:r>
        <w:rPr>
          <w:spacing w:val="-4"/>
        </w:rPr>
        <w:t> </w:t>
      </w:r>
      <w:r>
        <w:rPr/>
        <w:t>de</w:t>
      </w:r>
      <w:r>
        <w:rPr>
          <w:spacing w:val="-4"/>
        </w:rPr>
        <w:t> </w:t>
      </w:r>
      <w:r>
        <w:rPr/>
        <w:t>las</w:t>
      </w:r>
      <w:r>
        <w:rPr>
          <w:spacing w:val="-4"/>
        </w:rPr>
        <w:t> </w:t>
      </w:r>
      <w:r>
        <w:rPr/>
        <w:t>autoridades</w:t>
      </w:r>
      <w:r>
        <w:rPr>
          <w:spacing w:val="-4"/>
        </w:rPr>
        <w:t> </w:t>
      </w:r>
      <w:r>
        <w:rPr/>
        <w:t>para</w:t>
      </w:r>
      <w:r>
        <w:rPr>
          <w:spacing w:val="-4"/>
        </w:rPr>
        <w:t> </w:t>
      </w:r>
      <w:r>
        <w:rPr/>
        <w:t>la</w:t>
      </w:r>
      <w:r>
        <w:rPr>
          <w:spacing w:val="-4"/>
        </w:rPr>
        <w:t> </w:t>
      </w:r>
      <w:r>
        <w:rPr/>
        <w:t>ejecución</w:t>
      </w:r>
      <w:r>
        <w:rPr>
          <w:spacing w:val="-4"/>
        </w:rPr>
        <w:t> </w:t>
      </w:r>
      <w:r>
        <w:rPr/>
        <w:t>de</w:t>
      </w:r>
      <w:r>
        <w:rPr>
          <w:spacing w:val="-4"/>
        </w:rPr>
        <w:t> </w:t>
      </w:r>
      <w:r>
        <w:rPr/>
        <w:t>procesos</w:t>
      </w:r>
      <w:r>
        <w:rPr>
          <w:spacing w:val="-4"/>
        </w:rPr>
        <w:t> </w:t>
      </w:r>
      <w:r>
        <w:rPr/>
        <w:t>judiciales</w:t>
      </w:r>
      <w:r>
        <w:rPr>
          <w:spacing w:val="-4"/>
        </w:rPr>
        <w:t> </w:t>
      </w:r>
      <w:r>
        <w:rPr/>
        <w:t>(Aguilar,</w:t>
      </w:r>
      <w:r>
        <w:rPr>
          <w:spacing w:val="-4"/>
        </w:rPr>
        <w:t> </w:t>
      </w:r>
      <w:r>
        <w:rPr/>
        <w:t>2013); este componente se refiere a la parte legal del</w:t>
      </w:r>
      <w:r>
        <w:rPr>
          <w:spacing w:val="15"/>
        </w:rPr>
        <w:t> </w:t>
      </w:r>
      <w:r>
        <w:rPr/>
        <w:t>Estado.</w:t>
      </w:r>
    </w:p>
    <w:p>
      <w:pPr>
        <w:pStyle w:val="BodyText"/>
        <w:spacing w:line="249" w:lineRule="auto" w:before="1"/>
        <w:ind w:left="138" w:firstLine="170"/>
        <w:jc w:val="both"/>
      </w:pPr>
      <w:r>
        <w:rPr/>
        <w:t>El segundo componente es la </w:t>
      </w:r>
      <w:r>
        <w:rPr>
          <w:i/>
        </w:rPr>
        <w:t>voz y la rendición de cuentas</w:t>
      </w:r>
      <w:r>
        <w:rPr/>
        <w:t>, su definición alude a libertad de expresión y las formas de participación por las que la ciudadanía puede expresar sus demandas, opiniones y al mismo tiempo conocer las principales acciones del gobierno; de igual forma este componente hace referencia al papel de los políticos para</w:t>
      </w:r>
      <w:r>
        <w:rPr>
          <w:spacing w:val="-26"/>
        </w:rPr>
        <w:t> </w:t>
      </w:r>
      <w:r>
        <w:rPr/>
        <w:t>representar</w:t>
      </w:r>
      <w:r>
        <w:rPr>
          <w:spacing w:val="-26"/>
        </w:rPr>
        <w:t> </w:t>
      </w:r>
      <w:r>
        <w:rPr/>
        <w:t>a</w:t>
      </w:r>
      <w:r>
        <w:rPr>
          <w:spacing w:val="-26"/>
        </w:rPr>
        <w:t> </w:t>
      </w:r>
      <w:r>
        <w:rPr/>
        <w:t>la</w:t>
      </w:r>
      <w:r>
        <w:rPr>
          <w:spacing w:val="-26"/>
        </w:rPr>
        <w:t> </w:t>
      </w:r>
      <w:r>
        <w:rPr/>
        <w:t>sociedad</w:t>
      </w:r>
      <w:r>
        <w:rPr>
          <w:spacing w:val="-26"/>
        </w:rPr>
        <w:t> </w:t>
      </w:r>
      <w:r>
        <w:rPr/>
        <w:t>en</w:t>
      </w:r>
      <w:r>
        <w:rPr>
          <w:spacing w:val="-26"/>
        </w:rPr>
        <w:t> </w:t>
      </w:r>
      <w:r>
        <w:rPr/>
        <w:t>los</w:t>
      </w:r>
      <w:r>
        <w:rPr>
          <w:spacing w:val="-26"/>
        </w:rPr>
        <w:t> </w:t>
      </w:r>
      <w:r>
        <w:rPr/>
        <w:t>sistemas</w:t>
      </w:r>
      <w:r>
        <w:rPr>
          <w:spacing w:val="-26"/>
        </w:rPr>
        <w:t> </w:t>
      </w:r>
      <w:r>
        <w:rPr/>
        <w:t>democráticos</w:t>
      </w:r>
      <w:r>
        <w:rPr>
          <w:spacing w:val="-26"/>
        </w:rPr>
        <w:t> </w:t>
      </w:r>
      <w:r>
        <w:rPr/>
        <w:t>el</w:t>
      </w:r>
      <w:r>
        <w:rPr>
          <w:spacing w:val="-26"/>
        </w:rPr>
        <w:t> </w:t>
      </w:r>
      <w:r>
        <w:rPr/>
        <w:t>cual</w:t>
      </w:r>
      <w:r>
        <w:rPr>
          <w:spacing w:val="-26"/>
        </w:rPr>
        <w:t> </w:t>
      </w:r>
      <w:r>
        <w:rPr/>
        <w:t>debe</w:t>
      </w:r>
      <w:r>
        <w:rPr>
          <w:spacing w:val="-26"/>
        </w:rPr>
        <w:t> </w:t>
      </w:r>
      <w:r>
        <w:rPr/>
        <w:t>ser</w:t>
      </w:r>
      <w:r>
        <w:rPr>
          <w:spacing w:val="-26"/>
        </w:rPr>
        <w:t> </w:t>
      </w:r>
      <w:r>
        <w:rPr/>
        <w:t>transparente y con estrechas relaciones entre los distintos actores; destacando la transparencia de los procesos. El tercer componente se refiere a </w:t>
      </w:r>
      <w:r>
        <w:rPr>
          <w:i/>
        </w:rPr>
        <w:t>la calidad de la regulación</w:t>
      </w:r>
      <w:r>
        <w:rPr/>
        <w:t>, definida como la interconexión existente entre los distintos procesos económicos, y sociales y los marcos regulatorios existentes los cuales deben ser coherentes y vigentes para las actividades a realizar (Aguilar,</w:t>
      </w:r>
      <w:r>
        <w:rPr>
          <w:spacing w:val="-36"/>
        </w:rPr>
        <w:t> </w:t>
      </w:r>
      <w:r>
        <w:rPr/>
        <w:t>2013).</w:t>
      </w:r>
    </w:p>
    <w:p>
      <w:pPr>
        <w:pStyle w:val="BodyText"/>
        <w:spacing w:before="8"/>
        <w:rPr>
          <w:sz w:val="17"/>
        </w:rPr>
      </w:pPr>
    </w:p>
    <w:p>
      <w:pPr>
        <w:pStyle w:val="Heading1"/>
        <w:numPr>
          <w:ilvl w:val="1"/>
          <w:numId w:val="2"/>
        </w:numPr>
        <w:tabs>
          <w:tab w:pos="669" w:val="left" w:leader="none"/>
        </w:tabs>
        <w:spacing w:line="240" w:lineRule="auto" w:before="0" w:after="0"/>
        <w:ind w:left="668" w:right="0" w:hanging="360"/>
        <w:jc w:val="left"/>
      </w:pPr>
      <w:r>
        <w:rPr/>
        <w:t>Carácter</w:t>
      </w:r>
      <w:r>
        <w:rPr>
          <w:spacing w:val="42"/>
        </w:rPr>
        <w:t> </w:t>
      </w:r>
      <w:r>
        <w:rPr/>
        <w:t>técnico-administrativo</w:t>
      </w:r>
    </w:p>
    <w:p>
      <w:pPr>
        <w:pStyle w:val="BodyText"/>
        <w:rPr>
          <w:b/>
          <w:sz w:val="21"/>
        </w:rPr>
      </w:pPr>
    </w:p>
    <w:p>
      <w:pPr>
        <w:pStyle w:val="BodyText"/>
        <w:spacing w:line="249" w:lineRule="auto"/>
        <w:ind w:left="138" w:firstLine="170"/>
        <w:jc w:val="both"/>
      </w:pPr>
      <w:r>
        <w:rPr/>
        <w:t>Se    estructura    por    tres    componentes,    el     primero     denominado:    </w:t>
      </w:r>
      <w:r>
        <w:rPr>
          <w:i/>
        </w:rPr>
        <w:t>sistema social de conocimiento y tecnología</w:t>
      </w:r>
      <w:r>
        <w:rPr/>
        <w:t>, define el acceso de la sociedad a la investigación</w:t>
      </w:r>
      <w:r>
        <w:rPr>
          <w:spacing w:val="-16"/>
        </w:rPr>
        <w:t> </w:t>
      </w:r>
      <w:r>
        <w:rPr/>
        <w:t>científica</w:t>
      </w:r>
      <w:r>
        <w:rPr>
          <w:spacing w:val="-16"/>
        </w:rPr>
        <w:t> </w:t>
      </w:r>
      <w:r>
        <w:rPr/>
        <w:t>y</w:t>
      </w:r>
      <w:r>
        <w:rPr>
          <w:spacing w:val="-16"/>
        </w:rPr>
        <w:t> </w:t>
      </w:r>
      <w:r>
        <w:rPr/>
        <w:t>tecnológica</w:t>
      </w:r>
      <w:r>
        <w:rPr>
          <w:spacing w:val="-16"/>
        </w:rPr>
        <w:t> </w:t>
      </w:r>
      <w:r>
        <w:rPr/>
        <w:t>por</w:t>
      </w:r>
      <w:r>
        <w:rPr>
          <w:spacing w:val="-16"/>
        </w:rPr>
        <w:t> </w:t>
      </w:r>
      <w:r>
        <w:rPr/>
        <w:t>medio</w:t>
      </w:r>
      <w:r>
        <w:rPr>
          <w:spacing w:val="-16"/>
        </w:rPr>
        <w:t> </w:t>
      </w:r>
      <w:r>
        <w:rPr/>
        <w:t>del</w:t>
      </w:r>
      <w:r>
        <w:rPr>
          <w:spacing w:val="-16"/>
        </w:rPr>
        <w:t> </w:t>
      </w:r>
      <w:r>
        <w:rPr/>
        <w:t>empleo</w:t>
      </w:r>
      <w:r>
        <w:rPr>
          <w:spacing w:val="-16"/>
        </w:rPr>
        <w:t> </w:t>
      </w:r>
      <w:r>
        <w:rPr/>
        <w:t>de</w:t>
      </w:r>
      <w:r>
        <w:rPr>
          <w:spacing w:val="-16"/>
        </w:rPr>
        <w:t> </w:t>
      </w:r>
      <w:r>
        <w:rPr/>
        <w:t>plataformas</w:t>
      </w:r>
      <w:r>
        <w:rPr>
          <w:spacing w:val="-16"/>
        </w:rPr>
        <w:t> </w:t>
      </w:r>
      <w:r>
        <w:rPr/>
        <w:t>de</w:t>
      </w:r>
      <w:r>
        <w:rPr>
          <w:spacing w:val="-16"/>
        </w:rPr>
        <w:t> </w:t>
      </w:r>
      <w:r>
        <w:rPr/>
        <w:t>innovación donde el nivel de desarrollo de las universidades e instituciones de enseñanza es de suma importancia (Aguilar,</w:t>
      </w:r>
      <w:r>
        <w:rPr>
          <w:spacing w:val="-12"/>
        </w:rPr>
        <w:t> </w:t>
      </w:r>
      <w:r>
        <w:rPr/>
        <w:t>2013).</w:t>
      </w:r>
    </w:p>
    <w:p>
      <w:pPr>
        <w:pStyle w:val="BodyText"/>
        <w:spacing w:before="11"/>
      </w:pPr>
    </w:p>
    <w:p>
      <w:pPr>
        <w:pStyle w:val="BodyText"/>
        <w:spacing w:line="249" w:lineRule="auto"/>
        <w:ind w:left="138" w:firstLine="170"/>
        <w:jc w:val="both"/>
      </w:pPr>
      <w:r>
        <w:rPr/>
        <w:t>El segundo componente de esta dimensión lo constituyen las </w:t>
      </w:r>
      <w:r>
        <w:rPr>
          <w:i/>
        </w:rPr>
        <w:t>finanzas públicas, </w:t>
      </w:r>
      <w:r>
        <w:rPr/>
        <w:t>su definición</w:t>
      </w:r>
      <w:r>
        <w:rPr>
          <w:spacing w:val="-9"/>
        </w:rPr>
        <w:t> </w:t>
      </w:r>
      <w:r>
        <w:rPr/>
        <w:t>destaca</w:t>
      </w:r>
      <w:r>
        <w:rPr>
          <w:spacing w:val="-9"/>
        </w:rPr>
        <w:t> </w:t>
      </w:r>
      <w:r>
        <w:rPr/>
        <w:t>la</w:t>
      </w:r>
      <w:r>
        <w:rPr>
          <w:spacing w:val="-9"/>
        </w:rPr>
        <w:t> </w:t>
      </w:r>
      <w:r>
        <w:rPr/>
        <w:t>importancia</w:t>
      </w:r>
      <w:r>
        <w:rPr>
          <w:spacing w:val="-9"/>
        </w:rPr>
        <w:t> </w:t>
      </w:r>
      <w:r>
        <w:rPr/>
        <w:t>y</w:t>
      </w:r>
      <w:r>
        <w:rPr>
          <w:spacing w:val="-9"/>
        </w:rPr>
        <w:t> </w:t>
      </w:r>
      <w:r>
        <w:rPr/>
        <w:t>eficiencia</w:t>
      </w:r>
      <w:r>
        <w:rPr>
          <w:spacing w:val="-9"/>
        </w:rPr>
        <w:t> </w:t>
      </w:r>
      <w:r>
        <w:rPr/>
        <w:t>del</w:t>
      </w:r>
      <w:r>
        <w:rPr>
          <w:spacing w:val="-9"/>
        </w:rPr>
        <w:t> </w:t>
      </w:r>
      <w:r>
        <w:rPr/>
        <w:t>sistema</w:t>
      </w:r>
      <w:r>
        <w:rPr>
          <w:spacing w:val="-9"/>
        </w:rPr>
        <w:t> </w:t>
      </w:r>
      <w:r>
        <w:rPr/>
        <w:t>fiscal</w:t>
      </w:r>
      <w:r>
        <w:rPr>
          <w:spacing w:val="-9"/>
        </w:rPr>
        <w:t> </w:t>
      </w:r>
      <w:r>
        <w:rPr/>
        <w:t>y</w:t>
      </w:r>
      <w:r>
        <w:rPr>
          <w:spacing w:val="-9"/>
        </w:rPr>
        <w:t> </w:t>
      </w:r>
      <w:r>
        <w:rPr/>
        <w:t>presupuestal,</w:t>
      </w:r>
      <w:r>
        <w:rPr>
          <w:spacing w:val="-9"/>
        </w:rPr>
        <w:t> </w:t>
      </w:r>
      <w:r>
        <w:rPr/>
        <w:t>así</w:t>
      </w:r>
      <w:r>
        <w:rPr>
          <w:spacing w:val="-9"/>
        </w:rPr>
        <w:t> </w:t>
      </w:r>
      <w:r>
        <w:rPr/>
        <w:t>como el equilibrio entre ingresos y gastos. Finalmente, el tercer componente se refiere a las </w:t>
      </w:r>
      <w:r>
        <w:rPr>
          <w:i/>
        </w:rPr>
        <w:t>políticas públicas y la Administración Pública, </w:t>
      </w:r>
      <w:r>
        <w:rPr/>
        <w:t>hace énfasis en la planificación, análisis y el diseño de políticas tomando en cuenta el grado de participación de la ciudadanía  y los distintos procedimientos por los cuales se puede desarrollar de manera más eficiente la labor del</w:t>
      </w:r>
      <w:r>
        <w:rPr>
          <w:spacing w:val="27"/>
        </w:rPr>
        <w:t> </w:t>
      </w:r>
      <w:r>
        <w:rPr/>
        <w:t>gobierno.</w:t>
      </w:r>
    </w:p>
    <w:p>
      <w:pPr>
        <w:pStyle w:val="BodyText"/>
        <w:spacing w:before="11"/>
      </w:pPr>
    </w:p>
    <w:p>
      <w:pPr>
        <w:pStyle w:val="BodyText"/>
        <w:spacing w:line="249" w:lineRule="auto"/>
        <w:ind w:left="138" w:firstLine="170"/>
        <w:jc w:val="both"/>
      </w:pPr>
      <w:r>
        <w:rPr/>
        <w:t>Con base en la descripción de las escuelas y usos de la gobernanza,</w:t>
      </w:r>
      <w:r>
        <w:rPr>
          <w:spacing w:val="53"/>
        </w:rPr>
        <w:t> </w:t>
      </w:r>
      <w:r>
        <w:rPr/>
        <w:t>a</w:t>
      </w:r>
      <w:r>
        <w:rPr>
          <w:spacing w:val="4"/>
        </w:rPr>
        <w:t> </w:t>
      </w:r>
      <w:r>
        <w:rPr/>
        <w:t>continuación</w:t>
      </w:r>
      <w:r>
        <w:rPr>
          <w:w w:val="102"/>
        </w:rPr>
        <w:t> </w:t>
      </w:r>
      <w:r>
        <w:rPr/>
        <w:t>se</w:t>
      </w:r>
      <w:r>
        <w:rPr>
          <w:spacing w:val="-4"/>
        </w:rPr>
        <w:t> </w:t>
      </w:r>
      <w:r>
        <w:rPr/>
        <w:t>abordan</w:t>
      </w:r>
      <w:r>
        <w:rPr>
          <w:spacing w:val="-4"/>
        </w:rPr>
        <w:t> </w:t>
      </w:r>
      <w:r>
        <w:rPr/>
        <w:t>algunas</w:t>
      </w:r>
      <w:r>
        <w:rPr>
          <w:spacing w:val="-4"/>
        </w:rPr>
        <w:t> </w:t>
      </w:r>
      <w:r>
        <w:rPr/>
        <w:t>vertientes</w:t>
      </w:r>
      <w:r>
        <w:rPr>
          <w:spacing w:val="-4"/>
        </w:rPr>
        <w:t> </w:t>
      </w:r>
      <w:r>
        <w:rPr/>
        <w:t>en</w:t>
      </w:r>
      <w:r>
        <w:rPr>
          <w:spacing w:val="-4"/>
        </w:rPr>
        <w:t> </w:t>
      </w:r>
      <w:r>
        <w:rPr/>
        <w:t>las</w:t>
      </w:r>
      <w:r>
        <w:rPr>
          <w:spacing w:val="-4"/>
        </w:rPr>
        <w:t> </w:t>
      </w:r>
      <w:r>
        <w:rPr/>
        <w:t>que</w:t>
      </w:r>
      <w:r>
        <w:rPr>
          <w:spacing w:val="-4"/>
        </w:rPr>
        <w:t> </w:t>
      </w:r>
      <w:r>
        <w:rPr/>
        <w:t>el</w:t>
      </w:r>
      <w:r>
        <w:rPr>
          <w:spacing w:val="-4"/>
        </w:rPr>
        <w:t> </w:t>
      </w:r>
      <w:r>
        <w:rPr/>
        <w:t>concepto</w:t>
      </w:r>
      <w:r>
        <w:rPr>
          <w:spacing w:val="-4"/>
        </w:rPr>
        <w:t> </w:t>
      </w:r>
      <w:r>
        <w:rPr/>
        <w:t>se</w:t>
      </w:r>
      <w:r>
        <w:rPr>
          <w:spacing w:val="-4"/>
        </w:rPr>
        <w:t> </w:t>
      </w:r>
      <w:r>
        <w:rPr/>
        <w:t>ha</w:t>
      </w:r>
      <w:r>
        <w:rPr>
          <w:spacing w:val="-4"/>
        </w:rPr>
        <w:t> </w:t>
      </w:r>
      <w:r>
        <w:rPr/>
        <w:t>utilizado</w:t>
      </w:r>
      <w:r>
        <w:rPr>
          <w:spacing w:val="-4"/>
        </w:rPr>
        <w:t> </w:t>
      </w:r>
      <w:r>
        <w:rPr/>
        <w:t>sin</w:t>
      </w:r>
      <w:r>
        <w:rPr>
          <w:spacing w:val="-4"/>
        </w:rPr>
        <w:t> </w:t>
      </w:r>
      <w:r>
        <w:rPr/>
        <w:t>perder</w:t>
      </w:r>
      <w:r>
        <w:rPr>
          <w:spacing w:val="-4"/>
        </w:rPr>
        <w:t> </w:t>
      </w:r>
      <w:r>
        <w:rPr/>
        <w:t>de</w:t>
      </w:r>
      <w:r>
        <w:rPr>
          <w:spacing w:val="-4"/>
        </w:rPr>
        <w:t> </w:t>
      </w:r>
      <w:r>
        <w:rPr/>
        <w:t>vista la inclusión de los distintos actores en el proceso de toma de </w:t>
      </w:r>
      <w:r>
        <w:rPr>
          <w:spacing w:val="34"/>
        </w:rPr>
        <w:t> </w:t>
      </w:r>
      <w:r>
        <w:rPr/>
        <w:t>decisiones.</w:t>
      </w:r>
    </w:p>
    <w:p>
      <w:pPr>
        <w:pStyle w:val="Heading1"/>
        <w:spacing w:before="71"/>
        <w:ind w:left="308"/>
      </w:pPr>
      <w:r>
        <w:rPr>
          <w:b w:val="0"/>
        </w:rPr>
        <w:br w:type="column"/>
      </w:r>
      <w:r>
        <w:rPr/>
        <w:t>Usos de la gobernanza</w:t>
      </w:r>
    </w:p>
    <w:p>
      <w:pPr>
        <w:pStyle w:val="BodyText"/>
        <w:rPr>
          <w:b/>
          <w:sz w:val="21"/>
        </w:rPr>
      </w:pPr>
    </w:p>
    <w:p>
      <w:pPr>
        <w:pStyle w:val="BodyText"/>
        <w:spacing w:line="249" w:lineRule="auto"/>
        <w:ind w:left="138" w:right="127" w:firstLine="170"/>
        <w:jc w:val="both"/>
      </w:pPr>
      <w:r>
        <w:rPr/>
        <w:t>El concepto de gobernanza ha tomado distintos acepciones dependiendo del contexto en el que pretende implementarse, puede usarse con referencia a sus causas (Estado mínimo), carencias (capacidad de la autoridad), propósitos (buen gobierno o buena</w:t>
      </w:r>
      <w:r>
        <w:rPr>
          <w:spacing w:val="-8"/>
        </w:rPr>
        <w:t> </w:t>
      </w:r>
      <w:r>
        <w:rPr/>
        <w:t>gobernanza,</w:t>
      </w:r>
      <w:r>
        <w:rPr>
          <w:spacing w:val="-8"/>
        </w:rPr>
        <w:t> </w:t>
      </w:r>
      <w:r>
        <w:rPr/>
        <w:t>nueva</w:t>
      </w:r>
      <w:r>
        <w:rPr>
          <w:spacing w:val="-8"/>
        </w:rPr>
        <w:t> </w:t>
      </w:r>
      <w:r>
        <w:rPr/>
        <w:t>gestión</w:t>
      </w:r>
      <w:r>
        <w:rPr>
          <w:spacing w:val="-8"/>
        </w:rPr>
        <w:t> </w:t>
      </w:r>
      <w:r>
        <w:rPr/>
        <w:t>pública,</w:t>
      </w:r>
      <w:r>
        <w:rPr>
          <w:spacing w:val="-8"/>
        </w:rPr>
        <w:t> </w:t>
      </w:r>
      <w:r>
        <w:rPr/>
        <w:t>gobierno</w:t>
      </w:r>
      <w:r>
        <w:rPr>
          <w:spacing w:val="-8"/>
        </w:rPr>
        <w:t> </w:t>
      </w:r>
      <w:r>
        <w:rPr/>
        <w:t>red,</w:t>
      </w:r>
      <w:r>
        <w:rPr>
          <w:spacing w:val="-8"/>
        </w:rPr>
        <w:t> </w:t>
      </w:r>
      <w:r>
        <w:rPr/>
        <w:t>gobierno</w:t>
      </w:r>
      <w:r>
        <w:rPr>
          <w:spacing w:val="-8"/>
        </w:rPr>
        <w:t> </w:t>
      </w:r>
      <w:r>
        <w:rPr/>
        <w:t>interactivo)</w:t>
      </w:r>
      <w:r>
        <w:rPr>
          <w:spacing w:val="-8"/>
        </w:rPr>
        <w:t> </w:t>
      </w:r>
      <w:r>
        <w:rPr/>
        <w:t>y</w:t>
      </w:r>
      <w:r>
        <w:rPr>
          <w:spacing w:val="-8"/>
        </w:rPr>
        <w:t> </w:t>
      </w:r>
      <w:r>
        <w:rPr/>
        <w:t>ámbitos (corporativa, local, global y europea) (Sánchez,</w:t>
      </w:r>
      <w:r>
        <w:rPr>
          <w:spacing w:val="-29"/>
        </w:rPr>
        <w:t> </w:t>
      </w:r>
      <w:r>
        <w:rPr/>
        <w:t>2012).</w:t>
      </w:r>
    </w:p>
    <w:p>
      <w:pPr>
        <w:pStyle w:val="BodyText"/>
        <w:spacing w:before="8"/>
        <w:rPr>
          <w:sz w:val="17"/>
        </w:rPr>
      </w:pPr>
    </w:p>
    <w:p>
      <w:pPr>
        <w:pStyle w:val="Heading1"/>
        <w:numPr>
          <w:ilvl w:val="0"/>
          <w:numId w:val="5"/>
        </w:numPr>
        <w:tabs>
          <w:tab w:pos="858" w:val="left" w:leader="none"/>
          <w:tab w:pos="859" w:val="left" w:leader="none"/>
        </w:tabs>
        <w:spacing w:line="240" w:lineRule="auto" w:before="0" w:after="0"/>
        <w:ind w:left="858" w:right="0" w:hanging="550"/>
        <w:jc w:val="left"/>
      </w:pPr>
      <w:r>
        <w:rPr/>
        <w:t>Gobernanza</w:t>
      </w:r>
      <w:r>
        <w:rPr>
          <w:spacing w:val="-20"/>
        </w:rPr>
        <w:t> </w:t>
      </w:r>
      <w:r>
        <w:rPr/>
        <w:t>multinivel</w:t>
      </w:r>
    </w:p>
    <w:p>
      <w:pPr>
        <w:pStyle w:val="BodyText"/>
        <w:rPr>
          <w:b/>
          <w:sz w:val="21"/>
        </w:rPr>
      </w:pPr>
    </w:p>
    <w:p>
      <w:pPr>
        <w:pStyle w:val="BodyText"/>
        <w:spacing w:line="249" w:lineRule="auto"/>
        <w:ind w:left="138" w:right="127" w:firstLine="170"/>
        <w:jc w:val="both"/>
      </w:pPr>
      <w:r>
        <w:rPr/>
        <w:t>Para</w:t>
      </w:r>
      <w:r>
        <w:rPr>
          <w:spacing w:val="-22"/>
        </w:rPr>
        <w:t> </w:t>
      </w:r>
      <w:r>
        <w:rPr/>
        <w:t>autores</w:t>
      </w:r>
      <w:r>
        <w:rPr>
          <w:spacing w:val="-22"/>
        </w:rPr>
        <w:t> </w:t>
      </w:r>
      <w:r>
        <w:rPr/>
        <w:t>como</w:t>
      </w:r>
      <w:r>
        <w:rPr>
          <w:spacing w:val="-22"/>
        </w:rPr>
        <w:t> </w:t>
      </w:r>
      <w:r>
        <w:rPr/>
        <w:t>Ferrero</w:t>
      </w:r>
      <w:r>
        <w:rPr>
          <w:spacing w:val="-22"/>
        </w:rPr>
        <w:t> </w:t>
      </w:r>
      <w:r>
        <w:rPr/>
        <w:t>(2010,</w:t>
      </w:r>
      <w:r>
        <w:rPr>
          <w:spacing w:val="-22"/>
        </w:rPr>
        <w:t> </w:t>
      </w:r>
      <w:r>
        <w:rPr/>
        <w:t>citado</w:t>
      </w:r>
      <w:r>
        <w:rPr>
          <w:spacing w:val="-22"/>
        </w:rPr>
        <w:t> </w:t>
      </w:r>
      <w:r>
        <w:rPr/>
        <w:t>por</w:t>
      </w:r>
      <w:r>
        <w:rPr>
          <w:spacing w:val="-22"/>
        </w:rPr>
        <w:t> </w:t>
      </w:r>
      <w:r>
        <w:rPr/>
        <w:t>Rosas,</w:t>
      </w:r>
      <w:r>
        <w:rPr>
          <w:spacing w:val="-22"/>
        </w:rPr>
        <w:t> </w:t>
      </w:r>
      <w:r>
        <w:rPr>
          <w:i/>
        </w:rPr>
        <w:t>et</w:t>
      </w:r>
      <w:r>
        <w:rPr>
          <w:i/>
          <w:spacing w:val="-22"/>
        </w:rPr>
        <w:t> </w:t>
      </w:r>
      <w:r>
        <w:rPr>
          <w:i/>
        </w:rPr>
        <w:t>al,</w:t>
      </w:r>
      <w:r>
        <w:rPr>
          <w:i/>
          <w:spacing w:val="-22"/>
        </w:rPr>
        <w:t> </w:t>
      </w:r>
      <w:r>
        <w:rPr/>
        <w:t>2012),</w:t>
      </w:r>
      <w:r>
        <w:rPr>
          <w:spacing w:val="-22"/>
        </w:rPr>
        <w:t> </w:t>
      </w:r>
      <w:r>
        <w:rPr/>
        <w:t>la</w:t>
      </w:r>
      <w:r>
        <w:rPr>
          <w:spacing w:val="-22"/>
        </w:rPr>
        <w:t> </w:t>
      </w:r>
      <w:r>
        <w:rPr/>
        <w:t>gobernanza</w:t>
      </w:r>
      <w:r>
        <w:rPr>
          <w:spacing w:val="-22"/>
        </w:rPr>
        <w:t> </w:t>
      </w:r>
      <w:r>
        <w:rPr/>
        <w:t>emerge en</w:t>
      </w:r>
      <w:r>
        <w:rPr>
          <w:spacing w:val="-5"/>
        </w:rPr>
        <w:t> </w:t>
      </w:r>
      <w:r>
        <w:rPr/>
        <w:t>la</w:t>
      </w:r>
      <w:r>
        <w:rPr>
          <w:spacing w:val="-5"/>
        </w:rPr>
        <w:t> </w:t>
      </w:r>
      <w:r>
        <w:rPr/>
        <w:t>política</w:t>
      </w:r>
      <w:r>
        <w:rPr>
          <w:spacing w:val="-5"/>
        </w:rPr>
        <w:t> </w:t>
      </w:r>
      <w:r>
        <w:rPr/>
        <w:t>global</w:t>
      </w:r>
      <w:r>
        <w:rPr>
          <w:spacing w:val="-5"/>
        </w:rPr>
        <w:t> </w:t>
      </w:r>
      <w:r>
        <w:rPr/>
        <w:t>con</w:t>
      </w:r>
      <w:r>
        <w:rPr>
          <w:spacing w:val="-5"/>
        </w:rPr>
        <w:t> </w:t>
      </w:r>
      <w:r>
        <w:rPr/>
        <w:t>un</w:t>
      </w:r>
      <w:r>
        <w:rPr>
          <w:spacing w:val="-5"/>
        </w:rPr>
        <w:t> </w:t>
      </w:r>
      <w:r>
        <w:rPr/>
        <w:t>enfoque</w:t>
      </w:r>
      <w:r>
        <w:rPr>
          <w:spacing w:val="-5"/>
        </w:rPr>
        <w:t> </w:t>
      </w:r>
      <w:r>
        <w:rPr>
          <w:i/>
        </w:rPr>
        <w:t>multinivel</w:t>
      </w:r>
      <w:r>
        <w:rPr>
          <w:i/>
          <w:spacing w:val="-5"/>
        </w:rPr>
        <w:t> </w:t>
      </w:r>
      <w:r>
        <w:rPr/>
        <w:t>y</w:t>
      </w:r>
      <w:r>
        <w:rPr>
          <w:spacing w:val="-5"/>
        </w:rPr>
        <w:t> </w:t>
      </w:r>
      <w:r>
        <w:rPr/>
        <w:t>pretende</w:t>
      </w:r>
      <w:r>
        <w:rPr>
          <w:spacing w:val="-5"/>
        </w:rPr>
        <w:t> </w:t>
      </w:r>
      <w:r>
        <w:rPr/>
        <w:t>responder</w:t>
      </w:r>
      <w:r>
        <w:rPr>
          <w:spacing w:val="-5"/>
        </w:rPr>
        <w:t> </w:t>
      </w:r>
      <w:r>
        <w:rPr/>
        <w:t>a</w:t>
      </w:r>
      <w:r>
        <w:rPr>
          <w:spacing w:val="-5"/>
        </w:rPr>
        <w:t> </w:t>
      </w:r>
      <w:r>
        <w:rPr/>
        <w:t>la</w:t>
      </w:r>
      <w:r>
        <w:rPr>
          <w:spacing w:val="-5"/>
        </w:rPr>
        <w:t> </w:t>
      </w:r>
      <w:r>
        <w:rPr/>
        <w:t>complejidad</w:t>
      </w:r>
      <w:r>
        <w:rPr>
          <w:spacing w:val="-5"/>
        </w:rPr>
        <w:t> </w:t>
      </w:r>
      <w:r>
        <w:rPr/>
        <w:t>de los asuntos mundiales y el surgimiento de agentes institucionales de diferentes niveles territoriales; la gobernanza multinivel tiene como finalidad  “el intercambio negociado   y no jerárquico entre instituciones de nivel transnacional, nacional, regional y local e incluso puede extenderse a procesos de gobernanza </w:t>
      </w:r>
      <w:r>
        <w:rPr>
          <w:spacing w:val="44"/>
        </w:rPr>
        <w:t> </w:t>
      </w:r>
      <w:r>
        <w:rPr/>
        <w:t>público-privada”.</w:t>
      </w:r>
    </w:p>
    <w:p>
      <w:pPr>
        <w:pStyle w:val="BodyText"/>
        <w:spacing w:before="11"/>
      </w:pPr>
    </w:p>
    <w:p>
      <w:pPr>
        <w:pStyle w:val="BodyText"/>
        <w:spacing w:line="249" w:lineRule="auto"/>
        <w:ind w:left="138" w:right="128" w:firstLine="170"/>
        <w:jc w:val="both"/>
      </w:pPr>
      <w:r>
        <w:rPr/>
        <w:t>Por su parte, Guy Peters (2011) precisa que la </w:t>
      </w:r>
      <w:r>
        <w:rPr>
          <w:i/>
        </w:rPr>
        <w:t>gobernanza multinivel</w:t>
      </w:r>
      <w:r>
        <w:rPr/>
        <w:t>, enfatiza la complejidad de un sistema en el cual interactúan múltiples actores al interior del sector público; relaciona el concepto de </w:t>
      </w:r>
      <w:r>
        <w:rPr>
          <w:i/>
        </w:rPr>
        <w:t>red de gobernanza </w:t>
      </w:r>
      <w:r>
        <w:rPr/>
        <w:t>que se ha utilizado para describir el rol de los actores no-estatales en el proceso de elaboración e implementación de  las políticas. De la misma manera destaca que, modos de gobernar descentralizados  o </w:t>
      </w:r>
      <w:r>
        <w:rPr>
          <w:i/>
        </w:rPr>
        <w:t>descentrados</w:t>
      </w:r>
      <w:r>
        <w:rPr/>
        <w:t>, como es la </w:t>
      </w:r>
      <w:r>
        <w:rPr>
          <w:i/>
        </w:rPr>
        <w:t>gobernanza multinivel</w:t>
      </w:r>
      <w:r>
        <w:rPr/>
        <w:t>, puede que no produzcan una ampliación de la democracia como se sostiene a</w:t>
      </w:r>
      <w:r>
        <w:rPr>
          <w:spacing w:val="46"/>
        </w:rPr>
        <w:t> </w:t>
      </w:r>
      <w:r>
        <w:rPr/>
        <w:t>veces.</w:t>
      </w:r>
    </w:p>
    <w:p>
      <w:pPr>
        <w:pStyle w:val="BodyText"/>
        <w:spacing w:before="8"/>
        <w:rPr>
          <w:sz w:val="17"/>
        </w:rPr>
      </w:pPr>
    </w:p>
    <w:p>
      <w:pPr>
        <w:pStyle w:val="Heading1"/>
        <w:numPr>
          <w:ilvl w:val="0"/>
          <w:numId w:val="5"/>
        </w:numPr>
        <w:tabs>
          <w:tab w:pos="858" w:val="left" w:leader="none"/>
          <w:tab w:pos="859" w:val="left" w:leader="none"/>
        </w:tabs>
        <w:spacing w:line="240" w:lineRule="auto" w:before="0" w:after="0"/>
        <w:ind w:left="858" w:right="0" w:hanging="550"/>
        <w:jc w:val="left"/>
      </w:pPr>
      <w:r>
        <w:rPr/>
        <w:t>Gobernanza</w:t>
      </w:r>
      <w:r>
        <w:rPr>
          <w:spacing w:val="29"/>
        </w:rPr>
        <w:t> </w:t>
      </w:r>
      <w:r>
        <w:rPr/>
        <w:t>democrática</w:t>
      </w:r>
    </w:p>
    <w:p>
      <w:pPr>
        <w:pStyle w:val="BodyText"/>
        <w:rPr>
          <w:b/>
          <w:sz w:val="21"/>
        </w:rPr>
      </w:pPr>
    </w:p>
    <w:p>
      <w:pPr>
        <w:pStyle w:val="BodyText"/>
        <w:spacing w:line="249" w:lineRule="auto"/>
        <w:ind w:left="138" w:right="127" w:firstLine="170"/>
        <w:jc w:val="both"/>
      </w:pPr>
      <w:r>
        <w:rPr/>
        <w:t>La </w:t>
      </w:r>
      <w:r>
        <w:rPr>
          <w:i/>
        </w:rPr>
        <w:t>gobernanza democrática </w:t>
      </w:r>
      <w:r>
        <w:rPr/>
        <w:t>entendida como “un nuevo arte de gobernar los territorios, cuyo objeto es la capacidad de organización y acción de la sociedad, su medio es la gestión relacional o de redes y su finalidad el desarrollo humano” (Montiel, 2010: 267 citado en Rosas, </w:t>
      </w:r>
      <w:r>
        <w:rPr>
          <w:i/>
        </w:rPr>
        <w:t>et al</w:t>
      </w:r>
      <w:r>
        <w:rPr/>
        <w:t>, 2012: 123). Para José Antonio Rosique (2009), la </w:t>
      </w:r>
      <w:r>
        <w:rPr>
          <w:i/>
        </w:rPr>
        <w:t>gobernanza democrática </w:t>
      </w:r>
      <w:r>
        <w:rPr/>
        <w:t>en las metrópolis implica poderes fácticos enormes que se esmeran</w:t>
      </w:r>
      <w:r>
        <w:rPr>
          <w:spacing w:val="-8"/>
        </w:rPr>
        <w:t> </w:t>
      </w:r>
      <w:r>
        <w:rPr/>
        <w:t>por</w:t>
      </w:r>
      <w:r>
        <w:rPr>
          <w:spacing w:val="-8"/>
        </w:rPr>
        <w:t> </w:t>
      </w:r>
      <w:r>
        <w:rPr/>
        <w:t>maximizar</w:t>
      </w:r>
      <w:r>
        <w:rPr>
          <w:spacing w:val="-8"/>
        </w:rPr>
        <w:t> </w:t>
      </w:r>
      <w:r>
        <w:rPr/>
        <w:t>sus</w:t>
      </w:r>
      <w:r>
        <w:rPr>
          <w:spacing w:val="-8"/>
        </w:rPr>
        <w:t> </w:t>
      </w:r>
      <w:r>
        <w:rPr/>
        <w:t>beneficios,</w:t>
      </w:r>
      <w:r>
        <w:rPr>
          <w:spacing w:val="-8"/>
        </w:rPr>
        <w:t> </w:t>
      </w:r>
      <w:r>
        <w:rPr/>
        <w:t>el</w:t>
      </w:r>
      <w:r>
        <w:rPr>
          <w:spacing w:val="-8"/>
        </w:rPr>
        <w:t> </w:t>
      </w:r>
      <w:r>
        <w:rPr/>
        <w:t>poder</w:t>
      </w:r>
      <w:r>
        <w:rPr>
          <w:spacing w:val="-8"/>
        </w:rPr>
        <w:t> </w:t>
      </w:r>
      <w:r>
        <w:rPr/>
        <w:t>ciudadano</w:t>
      </w:r>
      <w:r>
        <w:rPr>
          <w:spacing w:val="-8"/>
        </w:rPr>
        <w:t> </w:t>
      </w:r>
      <w:r>
        <w:rPr/>
        <w:t>va</w:t>
      </w:r>
      <w:r>
        <w:rPr>
          <w:spacing w:val="-8"/>
        </w:rPr>
        <w:t> </w:t>
      </w:r>
      <w:r>
        <w:rPr/>
        <w:t>penetrando</w:t>
      </w:r>
      <w:r>
        <w:rPr>
          <w:spacing w:val="-8"/>
        </w:rPr>
        <w:t> </w:t>
      </w:r>
      <w:r>
        <w:rPr/>
        <w:t>y</w:t>
      </w:r>
      <w:r>
        <w:rPr>
          <w:spacing w:val="-8"/>
        </w:rPr>
        <w:t> </w:t>
      </w:r>
      <w:r>
        <w:rPr/>
        <w:t>permeando las decisiones fortaleciendo el modelo de gestión de la </w:t>
      </w:r>
      <w:r>
        <w:rPr>
          <w:i/>
        </w:rPr>
        <w:t>elección pública</w:t>
      </w:r>
      <w:r>
        <w:rPr/>
        <w:t>, hecho que le da al Estado capacidades legítimas para cumplir con tareas orientadas al bien </w:t>
      </w:r>
      <w:r>
        <w:rPr>
          <w:spacing w:val="11"/>
        </w:rPr>
        <w:t> </w:t>
      </w:r>
      <w:r>
        <w:rPr/>
        <w:t>común.</w:t>
      </w:r>
    </w:p>
    <w:p>
      <w:pPr>
        <w:pStyle w:val="BodyText"/>
        <w:spacing w:before="8"/>
        <w:rPr>
          <w:sz w:val="17"/>
        </w:rPr>
      </w:pPr>
    </w:p>
    <w:p>
      <w:pPr>
        <w:pStyle w:val="Heading1"/>
        <w:numPr>
          <w:ilvl w:val="0"/>
          <w:numId w:val="5"/>
        </w:numPr>
        <w:tabs>
          <w:tab w:pos="858" w:val="left" w:leader="none"/>
          <w:tab w:pos="859" w:val="left" w:leader="none"/>
        </w:tabs>
        <w:spacing w:line="240" w:lineRule="auto" w:before="0" w:after="0"/>
        <w:ind w:left="858" w:right="0" w:hanging="550"/>
        <w:jc w:val="left"/>
      </w:pPr>
      <w:r>
        <w:rPr/>
        <w:t>Gobernanza como</w:t>
      </w:r>
      <w:r>
        <w:rPr>
          <w:spacing w:val="17"/>
        </w:rPr>
        <w:t> </w:t>
      </w:r>
      <w:r>
        <w:rPr/>
        <w:t>red</w:t>
      </w:r>
    </w:p>
    <w:p>
      <w:pPr>
        <w:pStyle w:val="BodyText"/>
        <w:rPr>
          <w:b/>
          <w:sz w:val="21"/>
        </w:rPr>
      </w:pPr>
    </w:p>
    <w:p>
      <w:pPr>
        <w:pStyle w:val="BodyText"/>
        <w:spacing w:line="249" w:lineRule="auto"/>
        <w:ind w:left="138" w:right="128" w:firstLine="170"/>
        <w:jc w:val="both"/>
      </w:pPr>
      <w:r>
        <w:rPr/>
        <w:t>Con</w:t>
      </w:r>
      <w:r>
        <w:rPr>
          <w:spacing w:val="-6"/>
        </w:rPr>
        <w:t> </w:t>
      </w:r>
      <w:r>
        <w:rPr/>
        <w:t>base</w:t>
      </w:r>
      <w:r>
        <w:rPr>
          <w:spacing w:val="-6"/>
        </w:rPr>
        <w:t> </w:t>
      </w:r>
      <w:r>
        <w:rPr/>
        <w:t>en</w:t>
      </w:r>
      <w:r>
        <w:rPr>
          <w:spacing w:val="-6"/>
        </w:rPr>
        <w:t> </w:t>
      </w:r>
      <w:r>
        <w:rPr/>
        <w:t>la</w:t>
      </w:r>
      <w:r>
        <w:rPr>
          <w:spacing w:val="-6"/>
        </w:rPr>
        <w:t> </w:t>
      </w:r>
      <w:r>
        <w:rPr/>
        <w:t>gobernanza</w:t>
      </w:r>
      <w:r>
        <w:rPr>
          <w:spacing w:val="-6"/>
        </w:rPr>
        <w:t> </w:t>
      </w:r>
      <w:r>
        <w:rPr/>
        <w:t>democrática</w:t>
      </w:r>
      <w:r>
        <w:rPr>
          <w:spacing w:val="-6"/>
        </w:rPr>
        <w:t> </w:t>
      </w:r>
      <w:r>
        <w:rPr/>
        <w:t>y</w:t>
      </w:r>
      <w:r>
        <w:rPr>
          <w:spacing w:val="-6"/>
        </w:rPr>
        <w:t> </w:t>
      </w:r>
      <w:r>
        <w:rPr/>
        <w:t>derivado</w:t>
      </w:r>
      <w:r>
        <w:rPr>
          <w:spacing w:val="-6"/>
        </w:rPr>
        <w:t> </w:t>
      </w:r>
      <w:r>
        <w:rPr/>
        <w:t>de</w:t>
      </w:r>
      <w:r>
        <w:rPr>
          <w:spacing w:val="-6"/>
        </w:rPr>
        <w:t> </w:t>
      </w:r>
      <w:r>
        <w:rPr/>
        <w:t>las</w:t>
      </w:r>
      <w:r>
        <w:rPr>
          <w:spacing w:val="-6"/>
        </w:rPr>
        <w:t> </w:t>
      </w:r>
      <w:r>
        <w:rPr/>
        <w:t>aportaciones</w:t>
      </w:r>
      <w:r>
        <w:rPr>
          <w:spacing w:val="-6"/>
        </w:rPr>
        <w:t> </w:t>
      </w:r>
      <w:r>
        <w:rPr/>
        <w:t>de</w:t>
      </w:r>
      <w:r>
        <w:rPr>
          <w:spacing w:val="-6"/>
        </w:rPr>
        <w:t> </w:t>
      </w:r>
      <w:r>
        <w:rPr/>
        <w:t>la</w:t>
      </w:r>
      <w:r>
        <w:rPr>
          <w:spacing w:val="-6"/>
        </w:rPr>
        <w:t> </w:t>
      </w:r>
      <w:r>
        <w:rPr/>
        <w:t>escuela de redes de políticas públicas se originó el concepto de </w:t>
      </w:r>
      <w:r>
        <w:rPr>
          <w:i/>
        </w:rPr>
        <w:t>gobernanza como red</w:t>
      </w:r>
      <w:r>
        <w:rPr/>
        <w:t>; para Navarro</w:t>
      </w:r>
      <w:r>
        <w:rPr>
          <w:spacing w:val="-21"/>
        </w:rPr>
        <w:t> </w:t>
      </w:r>
      <w:r>
        <w:rPr/>
        <w:t>(2006:</w:t>
      </w:r>
      <w:r>
        <w:rPr>
          <w:spacing w:val="-21"/>
        </w:rPr>
        <w:t> </w:t>
      </w:r>
      <w:r>
        <w:rPr/>
        <w:t>7)</w:t>
      </w:r>
      <w:r>
        <w:rPr>
          <w:spacing w:val="-21"/>
        </w:rPr>
        <w:t> </w:t>
      </w:r>
      <w:r>
        <w:rPr/>
        <w:t>el</w:t>
      </w:r>
      <w:r>
        <w:rPr>
          <w:spacing w:val="-21"/>
        </w:rPr>
        <w:t> </w:t>
      </w:r>
      <w:r>
        <w:rPr/>
        <w:t>modelo</w:t>
      </w:r>
      <w:r>
        <w:rPr>
          <w:spacing w:val="-21"/>
        </w:rPr>
        <w:t> </w:t>
      </w:r>
      <w:r>
        <w:rPr/>
        <w:t>de</w:t>
      </w:r>
      <w:r>
        <w:rPr>
          <w:spacing w:val="-21"/>
        </w:rPr>
        <w:t> </w:t>
      </w:r>
      <w:r>
        <w:rPr/>
        <w:t>red</w:t>
      </w:r>
      <w:r>
        <w:rPr>
          <w:spacing w:val="-21"/>
        </w:rPr>
        <w:t> </w:t>
      </w:r>
      <w:r>
        <w:rPr/>
        <w:t>de</w:t>
      </w:r>
      <w:r>
        <w:rPr>
          <w:spacing w:val="-21"/>
        </w:rPr>
        <w:t> </w:t>
      </w:r>
      <w:r>
        <w:rPr/>
        <w:t>políticas</w:t>
      </w:r>
      <w:r>
        <w:rPr>
          <w:spacing w:val="-21"/>
        </w:rPr>
        <w:t> </w:t>
      </w:r>
      <w:r>
        <w:rPr/>
        <w:t>públicas</w:t>
      </w:r>
      <w:r>
        <w:rPr>
          <w:spacing w:val="-21"/>
        </w:rPr>
        <w:t> </w:t>
      </w:r>
      <w:r>
        <w:rPr/>
        <w:t>“subraya</w:t>
      </w:r>
      <w:r>
        <w:rPr>
          <w:spacing w:val="-21"/>
        </w:rPr>
        <w:t> </w:t>
      </w:r>
      <w:r>
        <w:rPr/>
        <w:t>la</w:t>
      </w:r>
      <w:r>
        <w:rPr>
          <w:spacing w:val="-21"/>
        </w:rPr>
        <w:t> </w:t>
      </w:r>
      <w:r>
        <w:rPr/>
        <w:t>naturaleza</w:t>
      </w:r>
      <w:r>
        <w:rPr>
          <w:spacing w:val="-21"/>
        </w:rPr>
        <w:t> </w:t>
      </w:r>
      <w:r>
        <w:rPr/>
        <w:t>interactiva</w:t>
      </w:r>
    </w:p>
    <w:p>
      <w:pPr>
        <w:spacing w:after="0" w:line="249" w:lineRule="auto"/>
        <w:jc w:val="both"/>
        <w:sectPr>
          <w:type w:val="continuous"/>
          <w:pgSz w:w="18830" w:h="12760" w:orient="landscape"/>
          <w:pgMar w:top="1420" w:bottom="280" w:left="720" w:right="720"/>
          <w:cols w:num="2" w:equalWidth="0">
            <w:col w:w="7850" w:space="1553"/>
            <w:col w:w="7987"/>
          </w:cols>
        </w:sectPr>
      </w:pPr>
    </w:p>
    <w:p>
      <w:pPr>
        <w:pStyle w:val="BodyText"/>
        <w:spacing w:before="6"/>
        <w:rPr>
          <w:sz w:val="23"/>
        </w:rPr>
      </w:pPr>
    </w:p>
    <w:p>
      <w:pPr>
        <w:spacing w:after="0"/>
        <w:rPr>
          <w:sz w:val="23"/>
        </w:rPr>
        <w:sectPr>
          <w:footerReference w:type="default" r:id="rId80"/>
          <w:pgSz w:w="18830" w:h="12760" w:orient="landscape"/>
          <w:pgMar w:footer="1036" w:header="522" w:top="820" w:bottom="1220" w:left="720" w:right="720"/>
        </w:sectPr>
      </w:pPr>
    </w:p>
    <w:p>
      <w:pPr>
        <w:pStyle w:val="BodyText"/>
        <w:spacing w:line="249" w:lineRule="auto" w:before="76"/>
        <w:ind w:left="130" w:right="-7"/>
      </w:pPr>
      <w:r>
        <w:rPr/>
        <w:t>de los procesos políticos y destaca, al mismo tiempo el contexto institucional en el que estos procesos tienen lugar”.</w:t>
      </w:r>
    </w:p>
    <w:p>
      <w:pPr>
        <w:pStyle w:val="BodyText"/>
        <w:spacing w:before="11"/>
      </w:pPr>
    </w:p>
    <w:p>
      <w:pPr>
        <w:pStyle w:val="BodyText"/>
        <w:spacing w:line="249" w:lineRule="auto"/>
        <w:ind w:left="130" w:firstLine="170"/>
        <w:jc w:val="both"/>
      </w:pPr>
      <w:r>
        <w:rPr/>
        <w:t>La importancia de las redes radica en el factor negociación entre la sociedad civil y</w:t>
      </w:r>
      <w:r>
        <w:rPr>
          <w:spacing w:val="-21"/>
        </w:rPr>
        <w:t> </w:t>
      </w:r>
      <w:r>
        <w:rPr/>
        <w:t>el Estado, en este contexto las redes permiten la inserción de mecanismos democráticos de decisión y control; para Navarro (2006) la gobernanza es factible sólo en</w:t>
      </w:r>
      <w:r>
        <w:rPr>
          <w:spacing w:val="38"/>
        </w:rPr>
        <w:t> </w:t>
      </w:r>
      <w:r>
        <w:rPr/>
        <w:t>redes</w:t>
      </w:r>
      <w:r>
        <w:rPr>
          <w:spacing w:val="11"/>
        </w:rPr>
        <w:t> </w:t>
      </w:r>
      <w:r>
        <w:rPr/>
        <w:t>de</w:t>
      </w:r>
      <w:r>
        <w:rPr>
          <w:w w:val="101"/>
        </w:rPr>
        <w:t> </w:t>
      </w:r>
      <w:r>
        <w:rPr/>
        <w:t>políticas ya que éstas dan la pauta para estructurar la coordinación horizontal entre los actores públicos y</w:t>
      </w:r>
      <w:r>
        <w:rPr>
          <w:spacing w:val="50"/>
        </w:rPr>
        <w:t> </w:t>
      </w:r>
      <w:r>
        <w:rPr/>
        <w:t>privados.</w:t>
      </w:r>
    </w:p>
    <w:p>
      <w:pPr>
        <w:pStyle w:val="BodyText"/>
        <w:spacing w:before="11"/>
      </w:pPr>
    </w:p>
    <w:p>
      <w:pPr>
        <w:pStyle w:val="BodyText"/>
        <w:spacing w:line="249" w:lineRule="auto"/>
        <w:ind w:left="130" w:firstLine="170"/>
        <w:jc w:val="both"/>
      </w:pPr>
      <w:r>
        <w:rPr/>
        <w:t>Los principios que sostienen las prácticas de gestión de las redes son la legitimidad  y la cooperación orientando la red más hacia el proceso que a los resultados de la política; con esto la gobernanza por redes implica una influencia en procesos sociales de redes de actores diversos y actores que cogobiernan. Para lograr la negociación     y la cooperación en las redes es necesaria la integración de los actores en juegos      de política abandonando las estrategias individuales y realizando trabajo conjunto. (Cadena, </w:t>
      </w:r>
      <w:r>
        <w:rPr>
          <w:i/>
        </w:rPr>
        <w:t>et al,</w:t>
      </w:r>
      <w:r>
        <w:rPr>
          <w:i/>
          <w:spacing w:val="-37"/>
        </w:rPr>
        <w:t> </w:t>
      </w:r>
      <w:r>
        <w:rPr/>
        <w:t>2012).</w:t>
      </w:r>
    </w:p>
    <w:p>
      <w:pPr>
        <w:pStyle w:val="BodyText"/>
        <w:spacing w:before="11"/>
      </w:pPr>
    </w:p>
    <w:p>
      <w:pPr>
        <w:pStyle w:val="BodyText"/>
        <w:spacing w:line="249" w:lineRule="auto"/>
        <w:ind w:left="130" w:firstLine="170"/>
        <w:jc w:val="both"/>
      </w:pPr>
      <w:r>
        <w:rPr/>
        <w:t>Hasta aquí se han abordado tres enfoques de gobernanza, los cuales resaltan la negociación, y la interacción entre actores e instituciones con la finalidad de formular políticas que permitan lograr el desarrollo humano; sin embargo, el soporte físico para la realización de la gobernanza multinivel, democrática y en red se da en el territorio, por ello emerge la necesidad de territorializar los procesos de planeación y</w:t>
      </w:r>
      <w:r>
        <w:rPr>
          <w:spacing w:val="-5"/>
        </w:rPr>
        <w:t> </w:t>
      </w:r>
      <w:r>
        <w:rPr/>
        <w:t>gestión</w:t>
      </w:r>
      <w:r>
        <w:rPr>
          <w:spacing w:val="-1"/>
        </w:rPr>
        <w:t> </w:t>
      </w:r>
      <w:r>
        <w:rPr/>
        <w:t>con</w:t>
      </w:r>
      <w:r>
        <w:rPr>
          <w:w w:val="103"/>
        </w:rPr>
        <w:t> </w:t>
      </w:r>
      <w:r>
        <w:rPr/>
        <w:t>la finalidad de incidir en el desarrollo económico y en el ordenamiento de los centros urbanos con una visión global pero concretando estrategias </w:t>
      </w:r>
      <w:r>
        <w:rPr>
          <w:spacing w:val="15"/>
        </w:rPr>
        <w:t> </w:t>
      </w:r>
      <w:r>
        <w:rPr/>
        <w:t>locales.</w:t>
      </w:r>
    </w:p>
    <w:p>
      <w:pPr>
        <w:pStyle w:val="BodyText"/>
        <w:spacing w:before="8"/>
        <w:rPr>
          <w:sz w:val="17"/>
        </w:rPr>
      </w:pPr>
    </w:p>
    <w:p>
      <w:pPr>
        <w:pStyle w:val="Heading1"/>
        <w:ind w:right="-7"/>
      </w:pPr>
      <w:r>
        <w:rPr/>
        <w:t>Gobernanza territorial</w:t>
      </w:r>
    </w:p>
    <w:p>
      <w:pPr>
        <w:pStyle w:val="BodyText"/>
        <w:rPr>
          <w:b/>
          <w:sz w:val="21"/>
        </w:rPr>
      </w:pPr>
    </w:p>
    <w:p>
      <w:pPr>
        <w:pStyle w:val="BodyText"/>
        <w:spacing w:line="249" w:lineRule="auto"/>
        <w:ind w:left="130" w:firstLine="170"/>
        <w:jc w:val="both"/>
      </w:pPr>
      <w:r>
        <w:rPr/>
        <w:t>El territorio puede entenderse como “una construcción social, la cual va adoptando formas de organización donde el poder y el control se expresan mediante instituciones formales e informales (…) es también la apropiación del espacio por parte de procesos económicos que involucran producción y generación de excedente económico” (Magri, 2013: 25).</w:t>
      </w:r>
    </w:p>
    <w:p>
      <w:pPr>
        <w:pStyle w:val="BodyText"/>
        <w:spacing w:before="11"/>
      </w:pPr>
    </w:p>
    <w:p>
      <w:pPr>
        <w:pStyle w:val="BodyText"/>
        <w:spacing w:line="249" w:lineRule="auto"/>
        <w:ind w:left="130" w:firstLine="170"/>
        <w:jc w:val="both"/>
      </w:pPr>
      <w:r>
        <w:rPr/>
        <w:t>Partiendo de estas definiciones Romero (2009), establece que el territorio ha sido el gran sacrificado durante el proceso de crecimiento  económico:</w:t>
      </w:r>
    </w:p>
    <w:p>
      <w:pPr>
        <w:pStyle w:val="BodyText"/>
        <w:spacing w:before="11"/>
      </w:pPr>
    </w:p>
    <w:p>
      <w:pPr>
        <w:pStyle w:val="BodyText"/>
        <w:spacing w:line="249" w:lineRule="auto"/>
        <w:ind w:left="130" w:right="1" w:firstLine="170"/>
        <w:jc w:val="both"/>
      </w:pPr>
      <w:r>
        <w:rPr/>
        <w:t>“Sin distinción de adscripción política ni de esfera de gobierno, el urbanismo desbocado ha sido consentido, tolerado, amparado, legalizado y auspiciado, cuando no deliberadamente promocionado (…) la lógica del negocio a cualquier precio se ha antepuesto a la ética pública, a la defensa por el interés general y al derecho a la gestión sostenible de recursos escasos y no renovables “(Romero, 2009: 15).</w:t>
      </w:r>
    </w:p>
    <w:p>
      <w:pPr>
        <w:pStyle w:val="BodyText"/>
        <w:spacing w:line="249" w:lineRule="auto" w:before="76"/>
        <w:ind w:left="130" w:right="127" w:firstLine="170"/>
        <w:jc w:val="both"/>
      </w:pPr>
      <w:r>
        <w:rPr/>
        <w:br w:type="column"/>
      </w:r>
      <w:r>
        <w:rPr/>
        <w:t>La problemática actual del territorio hace evidente la necesidad de reforzar mecanismos de coordinación y cooperación vertical y horizontal especialmente entre actores políticos; la modernización del Estado, en la línea de lo sugerido desde la propia OCDE; la exigencia por mejorar mecanismos de transparencia e información a los ciudadanos; y el impulso de mecanismos de participación ciudadana que superen vicios,</w:t>
      </w:r>
      <w:r>
        <w:rPr>
          <w:spacing w:val="-7"/>
        </w:rPr>
        <w:t> </w:t>
      </w:r>
      <w:r>
        <w:rPr/>
        <w:t>sesgos</w:t>
      </w:r>
      <w:r>
        <w:rPr>
          <w:spacing w:val="-7"/>
        </w:rPr>
        <w:t> </w:t>
      </w:r>
      <w:r>
        <w:rPr/>
        <w:t>o</w:t>
      </w:r>
      <w:r>
        <w:rPr>
          <w:spacing w:val="-7"/>
        </w:rPr>
        <w:t> </w:t>
      </w:r>
      <w:r>
        <w:rPr/>
        <w:t>excesiva</w:t>
      </w:r>
      <w:r>
        <w:rPr>
          <w:spacing w:val="-7"/>
        </w:rPr>
        <w:t> </w:t>
      </w:r>
      <w:r>
        <w:rPr/>
        <w:t>presencia</w:t>
      </w:r>
      <w:r>
        <w:rPr>
          <w:spacing w:val="-7"/>
        </w:rPr>
        <w:t> </w:t>
      </w:r>
      <w:r>
        <w:rPr/>
        <w:t>de</w:t>
      </w:r>
      <w:r>
        <w:rPr>
          <w:spacing w:val="-7"/>
        </w:rPr>
        <w:t> </w:t>
      </w:r>
      <w:r>
        <w:rPr/>
        <w:t>grupos</w:t>
      </w:r>
      <w:r>
        <w:rPr>
          <w:spacing w:val="-7"/>
        </w:rPr>
        <w:t> </w:t>
      </w:r>
      <w:r>
        <w:rPr/>
        <w:t>de</w:t>
      </w:r>
      <w:r>
        <w:rPr>
          <w:spacing w:val="-7"/>
        </w:rPr>
        <w:t> </w:t>
      </w:r>
      <w:r>
        <w:rPr/>
        <w:t>interés</w:t>
      </w:r>
      <w:r>
        <w:rPr>
          <w:spacing w:val="-7"/>
        </w:rPr>
        <w:t> </w:t>
      </w:r>
      <w:r>
        <w:rPr/>
        <w:t>y</w:t>
      </w:r>
      <w:r>
        <w:rPr>
          <w:spacing w:val="-7"/>
        </w:rPr>
        <w:t> </w:t>
      </w:r>
      <w:r>
        <w:rPr/>
        <w:t>sectores</w:t>
      </w:r>
      <w:r>
        <w:rPr>
          <w:spacing w:val="-7"/>
        </w:rPr>
        <w:t> </w:t>
      </w:r>
      <w:r>
        <w:rPr/>
        <w:t>de</w:t>
      </w:r>
      <w:r>
        <w:rPr>
          <w:spacing w:val="-7"/>
        </w:rPr>
        <w:t> </w:t>
      </w:r>
      <w:r>
        <w:rPr/>
        <w:t>la</w:t>
      </w:r>
      <w:r>
        <w:rPr>
          <w:spacing w:val="-7"/>
        </w:rPr>
        <w:t> </w:t>
      </w:r>
      <w:r>
        <w:rPr/>
        <w:t>sociedad</w:t>
      </w:r>
      <w:r>
        <w:rPr>
          <w:spacing w:val="-7"/>
        </w:rPr>
        <w:t> </w:t>
      </w:r>
      <w:r>
        <w:rPr/>
        <w:t>más organizados (Romero,</w:t>
      </w:r>
      <w:r>
        <w:rPr>
          <w:spacing w:val="-24"/>
        </w:rPr>
        <w:t> </w:t>
      </w:r>
      <w:r>
        <w:rPr/>
        <w:t>2009).</w:t>
      </w:r>
    </w:p>
    <w:p>
      <w:pPr>
        <w:pStyle w:val="BodyText"/>
        <w:spacing w:before="11"/>
      </w:pPr>
    </w:p>
    <w:p>
      <w:pPr>
        <w:pStyle w:val="BodyText"/>
        <w:spacing w:line="249" w:lineRule="auto"/>
        <w:ind w:left="130" w:right="127" w:firstLine="170"/>
        <w:jc w:val="both"/>
      </w:pPr>
      <w:r>
        <w:rPr/>
        <w:t>La creciente sensibilización por cuestiones relacionadas con el medio ambiente y la gestión prudente de los recursos y el territorio se inició en la década de los sesenta  del Siglo XX en Estados Unidos y para 1990 en la Unión Europea, generando nuevas formas de gobernar relacionadas con el medio natural, la gestión de los recursos y el desarrollo en los territorios (Romero,</w:t>
      </w:r>
      <w:r>
        <w:rPr>
          <w:spacing w:val="-6"/>
        </w:rPr>
        <w:t> </w:t>
      </w:r>
      <w:r>
        <w:rPr/>
        <w:t>2009).</w:t>
      </w:r>
    </w:p>
    <w:p>
      <w:pPr>
        <w:pStyle w:val="BodyText"/>
        <w:spacing w:before="11"/>
      </w:pPr>
    </w:p>
    <w:p>
      <w:pPr>
        <w:pStyle w:val="BodyText"/>
        <w:spacing w:line="249" w:lineRule="auto"/>
        <w:ind w:left="130" w:right="127" w:firstLine="170"/>
        <w:jc w:val="both"/>
      </w:pPr>
      <w:r>
        <w:rPr/>
        <w:t>Derivado de la importancia estratégica del territorio surge la gobernanza territorial, que puede apreciarse desde dos puntos de vista: “como mera aplicación de los principios de buena gobernanza a la política territorial y urbana o, como un proceso con carácter muy específico dado que su objetivo es el territorio” (Farinós, 2008: 13); en este contexto de acuerdo con Farinós (2008), la gobernanza territorial funge como un modelo emergente para la gestión y decisión de asuntos públicos acordando una visión compartida para el futuro del </w:t>
      </w:r>
      <w:r>
        <w:rPr>
          <w:spacing w:val="9"/>
        </w:rPr>
        <w:t> </w:t>
      </w:r>
      <w:r>
        <w:rPr/>
        <w:t>territorio.</w:t>
      </w:r>
    </w:p>
    <w:p>
      <w:pPr>
        <w:pStyle w:val="BodyText"/>
        <w:spacing w:before="11"/>
      </w:pPr>
    </w:p>
    <w:p>
      <w:pPr>
        <w:pStyle w:val="BodyText"/>
        <w:spacing w:line="249" w:lineRule="auto"/>
        <w:ind w:left="130" w:right="127" w:firstLine="170"/>
        <w:jc w:val="both"/>
      </w:pPr>
      <w:r>
        <w:rPr/>
        <w:t>La Unión Europea, adapta la gobernanza al ámbito territorial, con lo que surge el concepto de </w:t>
      </w:r>
      <w:r>
        <w:rPr>
          <w:i/>
        </w:rPr>
        <w:t>cohesión territorial </w:t>
      </w:r>
      <w:r>
        <w:rPr/>
        <w:t>“con el objetivo de lograr un desarrollo territorial equilibrado y sostenible del conjunto de la Unión” (Farinós, 2008: 15). En las últimas décadas el modelo de gobernanza se aplica a los territorios, con la finalidad de territorializar las políticas públicas redimiendo los efectos negativos que las actividades antrópicas han ocasionado, su implementación permite disminuir  la  desigualdad  social y la sobrexplotación de recursos naturales; además de dinamizar la actividad económica con la actuación de todos los sectores tomando en cuenta la vocación del municipio o región en</w:t>
      </w:r>
      <w:r>
        <w:rPr>
          <w:spacing w:val="39"/>
        </w:rPr>
        <w:t> </w:t>
      </w:r>
      <w:r>
        <w:rPr/>
        <w:t>cuestión.</w:t>
      </w:r>
    </w:p>
    <w:p>
      <w:pPr>
        <w:pStyle w:val="BodyText"/>
        <w:spacing w:before="11"/>
      </w:pPr>
    </w:p>
    <w:p>
      <w:pPr>
        <w:pStyle w:val="BodyText"/>
        <w:ind w:left="300" w:right="-10"/>
      </w:pPr>
      <w:r>
        <w:rPr/>
        <w:t>Con base en lo anterior la gobernanza territorial puede definirse como:</w:t>
      </w:r>
    </w:p>
    <w:p>
      <w:pPr>
        <w:pStyle w:val="BodyText"/>
        <w:spacing w:before="8"/>
        <w:rPr>
          <w:sz w:val="21"/>
        </w:rPr>
      </w:pPr>
    </w:p>
    <w:p>
      <w:pPr>
        <w:spacing w:line="249" w:lineRule="auto" w:before="0"/>
        <w:ind w:left="130" w:right="127" w:firstLine="170"/>
        <w:jc w:val="both"/>
        <w:rPr>
          <w:i/>
          <w:sz w:val="20"/>
        </w:rPr>
      </w:pPr>
      <w:r>
        <w:rPr>
          <w:i/>
          <w:sz w:val="20"/>
        </w:rPr>
        <w:t>“La emergencia y puesta en práctica de formas de planificación y gestión de las </w:t>
      </w:r>
      <w:r>
        <w:rPr>
          <w:i/>
          <w:sz w:val="20"/>
        </w:rPr>
        <w:t>dinámicas territoriales innovadoras y compartidas, caracterizadas por la relación, negociación y formación de consensos respaldada por la multiplicidad de actores que comparten objetivos, conocen y asumen cuál debe ser su papel en su consecución por medio de la generación de una visión compartida para el futuro del territorio con todos los niveles y actores concernidos (Farinós, 2008:13).</w:t>
      </w:r>
    </w:p>
    <w:p>
      <w:pPr>
        <w:spacing w:after="0" w:line="249" w:lineRule="auto"/>
        <w:jc w:val="both"/>
        <w:rPr>
          <w:sz w:val="20"/>
        </w:rPr>
        <w:sectPr>
          <w:type w:val="continuous"/>
          <w:pgSz w:w="18830" w:h="12760" w:orient="landscape"/>
          <w:pgMar w:top="1420" w:bottom="280" w:left="720" w:right="720"/>
          <w:cols w:num="2" w:equalWidth="0">
            <w:col w:w="7842" w:space="1569"/>
            <w:col w:w="7979"/>
          </w:cols>
        </w:sectPr>
      </w:pPr>
    </w:p>
    <w:p>
      <w:pPr>
        <w:pStyle w:val="BodyText"/>
        <w:spacing w:before="8"/>
        <w:rPr>
          <w:i/>
        </w:rPr>
      </w:pPr>
    </w:p>
    <w:p>
      <w:pPr>
        <w:spacing w:after="0"/>
        <w:sectPr>
          <w:footerReference w:type="default" r:id="rId81"/>
          <w:pgSz w:w="18830" w:h="12760" w:orient="landscape"/>
          <w:pgMar w:footer="1036" w:header="522" w:top="820" w:bottom="1220" w:left="720" w:right="720"/>
        </w:sectPr>
      </w:pPr>
    </w:p>
    <w:p>
      <w:pPr>
        <w:pStyle w:val="BodyText"/>
        <w:spacing w:line="249" w:lineRule="auto" w:before="109"/>
        <w:ind w:left="128" w:firstLine="170"/>
        <w:jc w:val="both"/>
      </w:pPr>
      <w:r>
        <w:rPr/>
        <w:t>La definición anterior, enfatiza la importancia del territorio en los ámbitos social, económico, político y ambiental; el conocimiento de las potencialidades de cada espacio permite la formulación de políticas que contribuyen a lograr un desarrollo equitativo entre los individuos de la sociedad; donde, la misión de las instituciones consiste en establecer los mecanismos necesarios para entablar el diálogo con los distintos actores del desarrollo involucrando dirigentes y sociedad civil manteniendo con una visión horizontal de lo que se pretende lograr.</w:t>
      </w:r>
    </w:p>
    <w:p>
      <w:pPr>
        <w:pStyle w:val="BodyText"/>
        <w:spacing w:before="8"/>
        <w:rPr>
          <w:sz w:val="17"/>
        </w:rPr>
      </w:pPr>
    </w:p>
    <w:p>
      <w:pPr>
        <w:pStyle w:val="Heading1"/>
        <w:ind w:left="298" w:right="-12"/>
      </w:pPr>
      <w:r>
        <w:rPr/>
        <w:t>Dimensiones de la gobernanza territorial</w:t>
      </w:r>
    </w:p>
    <w:p>
      <w:pPr>
        <w:pStyle w:val="BodyText"/>
        <w:rPr>
          <w:b/>
          <w:sz w:val="21"/>
        </w:rPr>
      </w:pPr>
    </w:p>
    <w:p>
      <w:pPr>
        <w:pStyle w:val="BodyText"/>
        <w:spacing w:line="249" w:lineRule="auto"/>
        <w:ind w:left="128" w:firstLine="170"/>
        <w:jc w:val="both"/>
      </w:pPr>
      <w:r>
        <w:rPr/>
        <w:t>Romero y Farinós (2011: 299), definen cuatro componentes o dimensiones de la gobernanza territorial: “vertical o multinivel que se refiere a las relaciones entre los diferentes niveles político-administrativos; la dimensión horizontal, que alude a tres vectores principales: relaciones entre políticas públicas sectoriales, relaciones entre territorios ó contiguos, y relaciones partenariales entre los actores territoriales público, privados y el tercer sector; la tercera y cuarta dimensión se refieren a la participación y el desarrollo económico”.</w:t>
      </w:r>
    </w:p>
    <w:p>
      <w:pPr>
        <w:pStyle w:val="BodyText"/>
        <w:spacing w:before="11"/>
      </w:pPr>
    </w:p>
    <w:p>
      <w:pPr>
        <w:pStyle w:val="BodyText"/>
        <w:spacing w:line="249" w:lineRule="auto"/>
        <w:ind w:left="128" w:firstLine="170"/>
        <w:jc w:val="both"/>
      </w:pPr>
      <w:r>
        <w:rPr/>
        <w:t>La finalidad de la dimensión participativa tiene como resultado la planificación de un desarrollo territorial sostenible; mientras que la dimensión vertical o multinivel permite la generación de un modelo de organización territorial del Estado y la descoordinación</w:t>
      </w:r>
      <w:r>
        <w:rPr>
          <w:w w:val="102"/>
        </w:rPr>
        <w:t> </w:t>
      </w:r>
      <w:r>
        <w:rPr/>
        <w:t>de las políticas a los distintos niveles. Estas dimensiones se representan en la figura N°1.</w:t>
      </w:r>
    </w:p>
    <w:p>
      <w:pPr>
        <w:pStyle w:val="BodyText"/>
        <w:spacing w:before="2"/>
        <w:rPr>
          <w:sz w:val="24"/>
        </w:rPr>
      </w:pPr>
    </w:p>
    <w:p>
      <w:pPr>
        <w:spacing w:before="0"/>
        <w:ind w:left="2142" w:right="-12" w:firstLine="0"/>
        <w:jc w:val="left"/>
        <w:rPr>
          <w:sz w:val="16"/>
        </w:rPr>
      </w:pPr>
      <w:r>
        <w:rPr>
          <w:color w:val="6D6E71"/>
          <w:sz w:val="16"/>
        </w:rPr>
        <w:t>Figura N°1 Dimensiones de la gobernanza territorial</w:t>
      </w:r>
    </w:p>
    <w:p>
      <w:pPr>
        <w:pStyle w:val="BodyText"/>
        <w:spacing w:before="10"/>
        <w:rPr>
          <w:sz w:val="11"/>
        </w:rPr>
      </w:pPr>
      <w:r>
        <w:rPr/>
        <w:drawing>
          <wp:anchor distT="0" distB="0" distL="0" distR="0" allowOverlap="1" layoutInCell="1" locked="0" behindDoc="0" simplePos="0" relativeHeight="2776">
            <wp:simplePos x="0" y="0"/>
            <wp:positionH relativeFrom="page">
              <wp:posOffset>1597325</wp:posOffset>
            </wp:positionH>
            <wp:positionV relativeFrom="paragraph">
              <wp:posOffset>111423</wp:posOffset>
            </wp:positionV>
            <wp:extent cx="2780220" cy="2221992"/>
            <wp:effectExtent l="0" t="0" r="0" b="0"/>
            <wp:wrapTopAndBottom/>
            <wp:docPr id="19" name="image27.jpeg" descr=""/>
            <wp:cNvGraphicFramePr>
              <a:graphicFrameLocks noChangeAspect="1"/>
            </wp:cNvGraphicFramePr>
            <a:graphic>
              <a:graphicData uri="http://schemas.openxmlformats.org/drawingml/2006/picture">
                <pic:pic>
                  <pic:nvPicPr>
                    <pic:cNvPr id="20" name="image27.jpeg"/>
                    <pic:cNvPicPr/>
                  </pic:nvPicPr>
                  <pic:blipFill>
                    <a:blip r:embed="rId82" cstate="print"/>
                    <a:stretch>
                      <a:fillRect/>
                    </a:stretch>
                  </pic:blipFill>
                  <pic:spPr>
                    <a:xfrm>
                      <a:off x="0" y="0"/>
                      <a:ext cx="2780220" cy="2221992"/>
                    </a:xfrm>
                    <a:prstGeom prst="rect">
                      <a:avLst/>
                    </a:prstGeom>
                  </pic:spPr>
                </pic:pic>
              </a:graphicData>
            </a:graphic>
          </wp:anchor>
        </w:drawing>
      </w:r>
    </w:p>
    <w:p>
      <w:pPr>
        <w:pStyle w:val="BodyText"/>
        <w:spacing w:before="8"/>
        <w:rPr>
          <w:sz w:val="16"/>
        </w:rPr>
      </w:pPr>
    </w:p>
    <w:p>
      <w:pPr>
        <w:spacing w:before="0"/>
        <w:ind w:left="1658" w:right="-12" w:firstLine="0"/>
        <w:jc w:val="left"/>
        <w:rPr>
          <w:sz w:val="16"/>
        </w:rPr>
      </w:pPr>
      <w:r>
        <w:rPr>
          <w:color w:val="6D6E71"/>
          <w:sz w:val="16"/>
        </w:rPr>
        <w:t>Fuente: Elaboración propia con base en Romero y Farinós, 2011.</w:t>
      </w:r>
    </w:p>
    <w:p>
      <w:pPr>
        <w:pStyle w:val="Heading1"/>
        <w:spacing w:before="71"/>
        <w:ind w:left="298" w:right="151"/>
      </w:pPr>
      <w:r>
        <w:rPr>
          <w:b w:val="0"/>
        </w:rPr>
        <w:br w:type="column"/>
      </w:r>
      <w:r>
        <w:rPr/>
        <w:t>Principios de la gobernanza territorial</w:t>
      </w:r>
    </w:p>
    <w:p>
      <w:pPr>
        <w:pStyle w:val="BodyText"/>
        <w:rPr>
          <w:b/>
          <w:sz w:val="21"/>
        </w:rPr>
      </w:pPr>
    </w:p>
    <w:p>
      <w:pPr>
        <w:pStyle w:val="BodyText"/>
        <w:spacing w:line="249" w:lineRule="auto"/>
        <w:ind w:left="128" w:right="127" w:firstLine="170"/>
        <w:jc w:val="both"/>
      </w:pPr>
      <w:r>
        <w:rPr/>
        <w:t>Los principios de la gobernanza territorial, se basan en los citados por el Libro  Blanco para la buena gobernanza que refuerzan la subsidiariedad y proporcionalidad. Farinós (2008), establece que la gobernanza territorial hace referencia a un nuevo entendimiento de la acción pública y sus estructuras organizativas así como la forma de administrar el territorio lo cual se logra mediante la planificación de éste. Para    este autor la planificación territorial “permite asegurar y mejorar el funcionamiento socioeconómico y socioecológico de los territorios teniendo como meta el desarrollo sostenible” (Farinós, 2008:</w:t>
      </w:r>
      <w:r>
        <w:rPr>
          <w:spacing w:val="-9"/>
        </w:rPr>
        <w:t> </w:t>
      </w:r>
      <w:r>
        <w:rPr/>
        <w:t>22).</w:t>
      </w:r>
    </w:p>
    <w:p>
      <w:pPr>
        <w:pStyle w:val="BodyText"/>
        <w:spacing w:before="11"/>
      </w:pPr>
    </w:p>
    <w:p>
      <w:pPr>
        <w:pStyle w:val="BodyText"/>
        <w:spacing w:line="249" w:lineRule="auto"/>
        <w:ind w:left="128" w:right="127" w:firstLine="170"/>
        <w:jc w:val="both"/>
      </w:pPr>
      <w:r>
        <w:rPr/>
        <w:t>Partiendo de la relación entre gobernanza y planificación, los principios de la gobernanza territorial son (Farinós, 2008):</w:t>
      </w:r>
    </w:p>
    <w:p>
      <w:pPr>
        <w:pStyle w:val="BodyText"/>
        <w:ind w:left="355" w:right="128" w:hanging="227"/>
        <w:jc w:val="both"/>
      </w:pPr>
      <w:r>
        <w:rPr>
          <w:rFonts w:ascii="Calibri" w:hAnsi="Calibri"/>
        </w:rPr>
        <w:t>» </w:t>
      </w:r>
      <w:r>
        <w:rPr>
          <w:i/>
        </w:rPr>
        <w:t>Coherencia: </w:t>
      </w:r>
      <w:r>
        <w:rPr/>
        <w:t>las políticas deben ser integradas y visionadas conjuntamente, o que requiere una mayor integración de las autoridades de los distintos niveles.</w:t>
      </w:r>
    </w:p>
    <w:p>
      <w:pPr>
        <w:pStyle w:val="BodyText"/>
        <w:spacing w:line="247" w:lineRule="auto" w:before="7"/>
        <w:ind w:left="355" w:right="128" w:hanging="227"/>
        <w:jc w:val="both"/>
      </w:pPr>
      <w:r>
        <w:rPr>
          <w:rFonts w:ascii="Calibri" w:hAnsi="Calibri"/>
        </w:rPr>
        <w:t>» </w:t>
      </w:r>
      <w:r>
        <w:rPr>
          <w:i/>
        </w:rPr>
        <w:t>Participación: </w:t>
      </w:r>
      <w:r>
        <w:rPr/>
        <w:t>de la población en asuntos públicos y concretamente en las decisiones con impacto sobre el territorio, lo que permite la ordenación adecuada del espacio generando el aprovechamiento de oportunidades de desarrollo mediante proyectos concretos y realizables.</w:t>
      </w:r>
    </w:p>
    <w:p>
      <w:pPr>
        <w:pStyle w:val="BodyText"/>
        <w:spacing w:line="247" w:lineRule="auto"/>
        <w:ind w:left="355" w:right="127" w:hanging="227"/>
        <w:jc w:val="both"/>
      </w:pPr>
      <w:r>
        <w:rPr>
          <w:rFonts w:ascii="Calibri" w:hAnsi="Calibri"/>
        </w:rPr>
        <w:t>» </w:t>
      </w:r>
      <w:r>
        <w:rPr>
          <w:i/>
        </w:rPr>
        <w:t>Coordinación: </w:t>
      </w:r>
      <w:r>
        <w:rPr/>
        <w:t>se da entre los distintos niveles de gobierno y entre las distintas políticas con impacto sobre el territorio. Este principio encaja con las dimensiones vertical de la gobernanza territorial (relaciones multinivel entre los diferentes niveles político-administrativos) y horizontal (referida a la coordinación transectorial de las políticas y entre territorios).</w:t>
      </w:r>
    </w:p>
    <w:p>
      <w:pPr>
        <w:pStyle w:val="BodyText"/>
        <w:spacing w:before="10"/>
        <w:rPr>
          <w:sz w:val="17"/>
        </w:rPr>
      </w:pPr>
    </w:p>
    <w:p>
      <w:pPr>
        <w:pStyle w:val="Heading1"/>
        <w:ind w:left="298" w:right="151"/>
      </w:pPr>
      <w:r>
        <w:rPr/>
        <w:t>Gobernanza territorial y desarrollo urbano</w:t>
      </w:r>
    </w:p>
    <w:p>
      <w:pPr>
        <w:pStyle w:val="BodyText"/>
        <w:rPr>
          <w:b/>
          <w:sz w:val="21"/>
        </w:rPr>
      </w:pPr>
    </w:p>
    <w:p>
      <w:pPr>
        <w:pStyle w:val="BodyText"/>
        <w:spacing w:line="249" w:lineRule="auto"/>
        <w:ind w:left="128" w:right="127" w:firstLine="170"/>
        <w:jc w:val="both"/>
      </w:pPr>
      <w:r>
        <w:rPr/>
        <w:t>Para Naranjo y Osuna (2005:13), “la esencia de la gobernanza territorial reside en   la capacidad de organización y acción de una ciudad o región en el conjunto de su territorio, o bien en un clúster económico o en una cadena productiva, está constituida por una serie de elementos interdependientes”; con lo que su disposición y el nivel de calidad de los mismos depende de la mayor capacidad de organización y acción del territorio.</w:t>
      </w:r>
    </w:p>
    <w:p>
      <w:pPr>
        <w:pStyle w:val="BodyText"/>
      </w:pPr>
    </w:p>
    <w:p>
      <w:pPr>
        <w:pStyle w:val="BodyText"/>
      </w:pPr>
    </w:p>
    <w:p>
      <w:pPr>
        <w:pStyle w:val="BodyText"/>
        <w:spacing w:before="10"/>
        <w:rPr>
          <w:sz w:val="13"/>
        </w:rPr>
      </w:pPr>
      <w:r>
        <w:rPr/>
        <w:pict>
          <v:line style="position:absolute;mso-position-horizontal-relative:page;mso-position-vertical-relative:paragraph;z-index:2800;mso-wrap-distance-left:0;mso-wrap-distance-right:0" from="513.070923pt,10.186739pt" to="898.582923pt,10.186739pt" stroked="true" strokeweight=".5pt" strokecolor="#6d6e71">
            <w10:wrap type="topAndBottom"/>
          </v:line>
        </w:pict>
      </w:r>
    </w:p>
    <w:p>
      <w:pPr>
        <w:spacing w:before="79"/>
        <w:ind w:left="128" w:right="0" w:firstLine="0"/>
        <w:jc w:val="both"/>
        <w:rPr>
          <w:sz w:val="14"/>
        </w:rPr>
      </w:pPr>
      <w:r>
        <w:rPr>
          <w:color w:val="6D6E71"/>
          <w:position w:val="5"/>
          <w:sz w:val="8"/>
        </w:rPr>
        <w:t>9.</w:t>
      </w:r>
      <w:r>
        <w:rPr>
          <w:color w:val="6D6E71"/>
          <w:sz w:val="14"/>
        </w:rPr>
        <w:t>Apertura, participación, responsabilidad, eficacia y coherencia, (Romero, 2009).</w:t>
      </w:r>
    </w:p>
    <w:p>
      <w:pPr>
        <w:spacing w:before="79"/>
        <w:ind w:left="128" w:right="0" w:firstLine="0"/>
        <w:jc w:val="both"/>
        <w:rPr>
          <w:sz w:val="14"/>
        </w:rPr>
      </w:pPr>
      <w:r>
        <w:rPr>
          <w:color w:val="6D6E71"/>
          <w:position w:val="5"/>
          <w:sz w:val="8"/>
        </w:rPr>
        <w:t>10.</w:t>
      </w:r>
      <w:r>
        <w:rPr>
          <w:color w:val="6D6E71"/>
          <w:sz w:val="14"/>
        </w:rPr>
        <w:t>De acuerdo con Farinós (2008) la coordinación es una de las funciones para la planificación del desarrollo territorial</w:t>
      </w:r>
    </w:p>
    <w:p>
      <w:pPr>
        <w:spacing w:before="79"/>
        <w:ind w:left="185" w:right="0" w:firstLine="0"/>
        <w:jc w:val="both"/>
        <w:rPr>
          <w:sz w:val="14"/>
        </w:rPr>
      </w:pPr>
      <w:r>
        <w:rPr>
          <w:color w:val="6D6E71"/>
          <w:sz w:val="14"/>
        </w:rPr>
        <w:t>sostenible.</w:t>
      </w:r>
    </w:p>
    <w:p>
      <w:pPr>
        <w:spacing w:line="357" w:lineRule="auto" w:before="79"/>
        <w:ind w:left="185" w:right="128" w:hanging="57"/>
        <w:jc w:val="both"/>
        <w:rPr>
          <w:sz w:val="14"/>
        </w:rPr>
      </w:pPr>
      <w:r>
        <w:rPr>
          <w:color w:val="6D6E71"/>
          <w:position w:val="5"/>
          <w:sz w:val="8"/>
        </w:rPr>
        <w:t>11.</w:t>
      </w:r>
      <w:r>
        <w:rPr>
          <w:color w:val="6D6E71"/>
          <w:sz w:val="14"/>
        </w:rPr>
        <w:t>Herramienta</w:t>
      </w:r>
      <w:r>
        <w:rPr>
          <w:color w:val="6D6E71"/>
          <w:spacing w:val="-8"/>
          <w:sz w:val="14"/>
        </w:rPr>
        <w:t> </w:t>
      </w:r>
      <w:r>
        <w:rPr>
          <w:color w:val="6D6E71"/>
          <w:sz w:val="14"/>
        </w:rPr>
        <w:t>para</w:t>
      </w:r>
      <w:r>
        <w:rPr>
          <w:color w:val="6D6E71"/>
          <w:spacing w:val="-8"/>
          <w:sz w:val="14"/>
        </w:rPr>
        <w:t> </w:t>
      </w:r>
      <w:r>
        <w:rPr>
          <w:color w:val="6D6E71"/>
          <w:sz w:val="14"/>
        </w:rPr>
        <w:t>el</w:t>
      </w:r>
      <w:r>
        <w:rPr>
          <w:color w:val="6D6E71"/>
          <w:spacing w:val="-8"/>
          <w:sz w:val="14"/>
        </w:rPr>
        <w:t> </w:t>
      </w:r>
      <w:r>
        <w:rPr>
          <w:color w:val="6D6E71"/>
          <w:sz w:val="14"/>
        </w:rPr>
        <w:t>análisis</w:t>
      </w:r>
      <w:r>
        <w:rPr>
          <w:color w:val="6D6E71"/>
          <w:spacing w:val="-8"/>
          <w:sz w:val="14"/>
        </w:rPr>
        <w:t> </w:t>
      </w:r>
      <w:r>
        <w:rPr>
          <w:color w:val="6D6E71"/>
          <w:sz w:val="14"/>
        </w:rPr>
        <w:t>de</w:t>
      </w:r>
      <w:r>
        <w:rPr>
          <w:color w:val="6D6E71"/>
          <w:spacing w:val="-8"/>
          <w:sz w:val="14"/>
        </w:rPr>
        <w:t> </w:t>
      </w:r>
      <w:r>
        <w:rPr>
          <w:color w:val="6D6E71"/>
          <w:sz w:val="14"/>
        </w:rPr>
        <w:t>los</w:t>
      </w:r>
      <w:r>
        <w:rPr>
          <w:color w:val="6D6E71"/>
          <w:spacing w:val="-8"/>
          <w:sz w:val="14"/>
        </w:rPr>
        <w:t> </w:t>
      </w:r>
      <w:r>
        <w:rPr>
          <w:color w:val="6D6E71"/>
          <w:sz w:val="14"/>
        </w:rPr>
        <w:t>factores</w:t>
      </w:r>
      <w:r>
        <w:rPr>
          <w:color w:val="6D6E71"/>
          <w:spacing w:val="-9"/>
          <w:sz w:val="14"/>
        </w:rPr>
        <w:t> </w:t>
      </w:r>
      <w:r>
        <w:rPr>
          <w:color w:val="6D6E71"/>
          <w:sz w:val="14"/>
        </w:rPr>
        <w:t>que</w:t>
      </w:r>
      <w:r>
        <w:rPr>
          <w:color w:val="6D6E71"/>
          <w:spacing w:val="-8"/>
          <w:sz w:val="14"/>
        </w:rPr>
        <w:t> </w:t>
      </w:r>
      <w:r>
        <w:rPr>
          <w:color w:val="6D6E71"/>
          <w:sz w:val="14"/>
        </w:rPr>
        <w:t>permiten</w:t>
      </w:r>
      <w:r>
        <w:rPr>
          <w:color w:val="6D6E71"/>
          <w:spacing w:val="-8"/>
          <w:sz w:val="14"/>
        </w:rPr>
        <w:t> </w:t>
      </w:r>
      <w:r>
        <w:rPr>
          <w:color w:val="6D6E71"/>
          <w:sz w:val="14"/>
        </w:rPr>
        <w:t>a</w:t>
      </w:r>
      <w:r>
        <w:rPr>
          <w:color w:val="6D6E71"/>
          <w:spacing w:val="-8"/>
          <w:sz w:val="14"/>
        </w:rPr>
        <w:t> </w:t>
      </w:r>
      <w:r>
        <w:rPr>
          <w:color w:val="6D6E71"/>
          <w:sz w:val="14"/>
        </w:rPr>
        <w:t>una</w:t>
      </w:r>
      <w:r>
        <w:rPr>
          <w:color w:val="6D6E71"/>
          <w:spacing w:val="-8"/>
          <w:sz w:val="14"/>
        </w:rPr>
        <w:t> </w:t>
      </w:r>
      <w:r>
        <w:rPr>
          <w:color w:val="6D6E71"/>
          <w:sz w:val="14"/>
        </w:rPr>
        <w:t>industria</w:t>
      </w:r>
      <w:r>
        <w:rPr>
          <w:color w:val="6D6E71"/>
          <w:spacing w:val="-8"/>
          <w:sz w:val="14"/>
        </w:rPr>
        <w:t> </w:t>
      </w:r>
      <w:r>
        <w:rPr>
          <w:color w:val="6D6E71"/>
          <w:sz w:val="14"/>
        </w:rPr>
        <w:t>incorporar</w:t>
      </w:r>
      <w:r>
        <w:rPr>
          <w:color w:val="6D6E71"/>
          <w:spacing w:val="-8"/>
          <w:sz w:val="14"/>
        </w:rPr>
        <w:t> </w:t>
      </w:r>
      <w:r>
        <w:rPr>
          <w:color w:val="6D6E71"/>
          <w:sz w:val="14"/>
        </w:rPr>
        <w:t>eslabones</w:t>
      </w:r>
      <w:r>
        <w:rPr>
          <w:color w:val="6D6E71"/>
          <w:spacing w:val="-8"/>
          <w:sz w:val="14"/>
        </w:rPr>
        <w:t> </w:t>
      </w:r>
      <w:r>
        <w:rPr>
          <w:color w:val="6D6E71"/>
          <w:sz w:val="14"/>
        </w:rPr>
        <w:t>en</w:t>
      </w:r>
      <w:r>
        <w:rPr>
          <w:color w:val="6D6E71"/>
          <w:spacing w:val="-8"/>
          <w:sz w:val="14"/>
        </w:rPr>
        <w:t> </w:t>
      </w:r>
      <w:r>
        <w:rPr>
          <w:color w:val="6D6E71"/>
          <w:sz w:val="14"/>
        </w:rPr>
        <w:t>su</w:t>
      </w:r>
      <w:r>
        <w:rPr>
          <w:color w:val="6D6E71"/>
          <w:spacing w:val="-8"/>
          <w:sz w:val="14"/>
        </w:rPr>
        <w:t> </w:t>
      </w:r>
      <w:r>
        <w:rPr>
          <w:color w:val="6D6E71"/>
          <w:sz w:val="14"/>
        </w:rPr>
        <w:t>cadena</w:t>
      </w:r>
      <w:r>
        <w:rPr>
          <w:color w:val="6D6E71"/>
          <w:spacing w:val="-8"/>
          <w:sz w:val="14"/>
        </w:rPr>
        <w:t> </w:t>
      </w:r>
      <w:r>
        <w:rPr>
          <w:color w:val="6D6E71"/>
          <w:sz w:val="14"/>
        </w:rPr>
        <w:t>productiva,</w:t>
      </w:r>
      <w:r>
        <w:rPr>
          <w:color w:val="6D6E71"/>
          <w:spacing w:val="-8"/>
          <w:sz w:val="14"/>
        </w:rPr>
        <w:t> </w:t>
      </w:r>
      <w:r>
        <w:rPr>
          <w:color w:val="6D6E71"/>
          <w:sz w:val="14"/>
        </w:rPr>
        <w:t>los factores que determinan el uso de nuevas tecnologías en sus procesos, y los factores determinantes de la generación de actividades</w:t>
      </w:r>
      <w:r>
        <w:rPr>
          <w:color w:val="6D6E71"/>
          <w:spacing w:val="-8"/>
          <w:sz w:val="14"/>
        </w:rPr>
        <w:t> </w:t>
      </w:r>
      <w:r>
        <w:rPr>
          <w:color w:val="6D6E71"/>
          <w:sz w:val="14"/>
        </w:rPr>
        <w:t>de</w:t>
      </w:r>
      <w:r>
        <w:rPr>
          <w:color w:val="6D6E71"/>
          <w:spacing w:val="-8"/>
          <w:sz w:val="14"/>
        </w:rPr>
        <w:t> </w:t>
      </w:r>
      <w:r>
        <w:rPr>
          <w:color w:val="6D6E71"/>
          <w:sz w:val="14"/>
        </w:rPr>
        <w:t>aglomeración</w:t>
      </w:r>
      <w:r>
        <w:rPr>
          <w:color w:val="6D6E71"/>
          <w:spacing w:val="-8"/>
          <w:sz w:val="14"/>
        </w:rPr>
        <w:t> </w:t>
      </w:r>
      <w:r>
        <w:rPr>
          <w:color w:val="6D6E71"/>
          <w:sz w:val="14"/>
        </w:rPr>
        <w:t>(Michael</w:t>
      </w:r>
      <w:r>
        <w:rPr>
          <w:color w:val="6D6E71"/>
          <w:spacing w:val="-9"/>
          <w:sz w:val="14"/>
        </w:rPr>
        <w:t> </w:t>
      </w:r>
      <w:r>
        <w:rPr>
          <w:color w:val="6D6E71"/>
          <w:sz w:val="14"/>
        </w:rPr>
        <w:t>Porter,</w:t>
      </w:r>
      <w:r>
        <w:rPr>
          <w:color w:val="6D6E71"/>
          <w:spacing w:val="-8"/>
          <w:sz w:val="14"/>
        </w:rPr>
        <w:t> </w:t>
      </w:r>
      <w:r>
        <w:rPr>
          <w:color w:val="6D6E71"/>
          <w:sz w:val="14"/>
        </w:rPr>
        <w:t>1994).</w:t>
      </w:r>
    </w:p>
    <w:p>
      <w:pPr>
        <w:spacing w:after="0" w:line="357" w:lineRule="auto"/>
        <w:jc w:val="both"/>
        <w:rPr>
          <w:sz w:val="14"/>
        </w:rPr>
        <w:sectPr>
          <w:type w:val="continuous"/>
          <w:pgSz w:w="18830" w:h="12760" w:orient="landscape"/>
          <w:pgMar w:top="1420" w:bottom="280" w:left="720" w:right="720"/>
          <w:cols w:num="2" w:equalWidth="0">
            <w:col w:w="7840" w:space="1573"/>
            <w:col w:w="7977"/>
          </w:cols>
        </w:sectPr>
      </w:pPr>
    </w:p>
    <w:p>
      <w:pPr>
        <w:pStyle w:val="BodyText"/>
        <w:spacing w:before="8"/>
      </w:pPr>
    </w:p>
    <w:p>
      <w:pPr>
        <w:spacing w:after="0"/>
        <w:sectPr>
          <w:footerReference w:type="default" r:id="rId83"/>
          <w:pgSz w:w="18830" w:h="12760" w:orient="landscape"/>
          <w:pgMar w:footer="1005" w:header="522" w:top="820" w:bottom="1200" w:left="720" w:right="720"/>
        </w:sectPr>
      </w:pPr>
    </w:p>
    <w:p>
      <w:pPr>
        <w:pStyle w:val="BodyText"/>
        <w:spacing w:line="249" w:lineRule="auto" w:before="109"/>
        <w:ind w:left="130" w:firstLine="170"/>
        <w:jc w:val="both"/>
      </w:pPr>
      <w:r>
        <w:rPr/>
        <w:t>Centelles (2006, citado en Moreno, 2012) establece que a través de la gobernanza territorial, es posible ver a la ciudad como un conjunto de escenarios situacionales     en los que interactúan una amplia gama de actores autónomos e interdependientes; donde el gobierno municipal facilita mecanismos para la participación y la generación de acuerdos con otros gobiernos, agentes públicos y privados; permitiendo plasmar una visión integral al</w:t>
      </w:r>
      <w:r>
        <w:rPr>
          <w:spacing w:val="17"/>
        </w:rPr>
        <w:t> </w:t>
      </w:r>
      <w:r>
        <w:rPr/>
        <w:t>territorio.</w:t>
      </w:r>
    </w:p>
    <w:p>
      <w:pPr>
        <w:pStyle w:val="BodyText"/>
        <w:spacing w:before="11"/>
      </w:pPr>
    </w:p>
    <w:p>
      <w:pPr>
        <w:pStyle w:val="BodyText"/>
        <w:spacing w:line="249" w:lineRule="auto"/>
        <w:ind w:left="130" w:firstLine="170"/>
        <w:jc w:val="right"/>
      </w:pPr>
      <w:r>
        <w:rPr/>
        <w:t>Para</w:t>
      </w:r>
      <w:r>
        <w:rPr>
          <w:spacing w:val="-7"/>
        </w:rPr>
        <w:t> </w:t>
      </w:r>
      <w:r>
        <w:rPr/>
        <w:t>Abad</w:t>
      </w:r>
      <w:r>
        <w:rPr>
          <w:spacing w:val="-7"/>
        </w:rPr>
        <w:t> </w:t>
      </w:r>
      <w:r>
        <w:rPr/>
        <w:t>(2010:</w:t>
      </w:r>
      <w:r>
        <w:rPr>
          <w:spacing w:val="-7"/>
        </w:rPr>
        <w:t> </w:t>
      </w:r>
      <w:r>
        <w:rPr/>
        <w:t>8),</w:t>
      </w:r>
      <w:r>
        <w:rPr>
          <w:spacing w:val="-7"/>
        </w:rPr>
        <w:t> </w:t>
      </w:r>
      <w:r>
        <w:rPr/>
        <w:t>la</w:t>
      </w:r>
      <w:r>
        <w:rPr>
          <w:spacing w:val="-7"/>
        </w:rPr>
        <w:t> </w:t>
      </w:r>
      <w:r>
        <w:rPr/>
        <w:t>gobernanza</w:t>
      </w:r>
      <w:r>
        <w:rPr>
          <w:spacing w:val="-7"/>
        </w:rPr>
        <w:t> </w:t>
      </w:r>
      <w:r>
        <w:rPr/>
        <w:t>territorial</w:t>
      </w:r>
      <w:r>
        <w:rPr>
          <w:spacing w:val="-7"/>
        </w:rPr>
        <w:t> </w:t>
      </w:r>
      <w:r>
        <w:rPr/>
        <w:t>consiste</w:t>
      </w:r>
      <w:r>
        <w:rPr>
          <w:spacing w:val="-7"/>
        </w:rPr>
        <w:t> </w:t>
      </w:r>
      <w:r>
        <w:rPr/>
        <w:t>en</w:t>
      </w:r>
      <w:r>
        <w:rPr>
          <w:spacing w:val="-7"/>
        </w:rPr>
        <w:t> </w:t>
      </w:r>
      <w:r>
        <w:rPr/>
        <w:t>un</w:t>
      </w:r>
      <w:r>
        <w:rPr>
          <w:spacing w:val="-7"/>
        </w:rPr>
        <w:t> </w:t>
      </w:r>
      <w:r>
        <w:rPr/>
        <w:t>“nuevo</w:t>
      </w:r>
      <w:r>
        <w:rPr>
          <w:spacing w:val="-7"/>
        </w:rPr>
        <w:t> </w:t>
      </w:r>
      <w:r>
        <w:rPr/>
        <w:t>modo</w:t>
      </w:r>
      <w:r>
        <w:rPr>
          <w:spacing w:val="-7"/>
        </w:rPr>
        <w:t> </w:t>
      </w:r>
      <w:r>
        <w:rPr/>
        <w:t>de</w:t>
      </w:r>
      <w:r>
        <w:rPr>
          <w:spacing w:val="-7"/>
        </w:rPr>
        <w:t> </w:t>
      </w:r>
      <w:r>
        <w:rPr/>
        <w:t>articular</w:t>
      </w:r>
      <w:r>
        <w:rPr>
          <w:w w:val="100"/>
        </w:rPr>
        <w:t> </w:t>
      </w:r>
      <w:r>
        <w:rPr/>
        <w:t>y</w:t>
      </w:r>
      <w:r>
        <w:rPr>
          <w:spacing w:val="41"/>
        </w:rPr>
        <w:t> </w:t>
      </w:r>
      <w:r>
        <w:rPr/>
        <w:t>regular</w:t>
      </w:r>
      <w:r>
        <w:rPr>
          <w:spacing w:val="41"/>
        </w:rPr>
        <w:t> </w:t>
      </w:r>
      <w:r>
        <w:rPr/>
        <w:t>la</w:t>
      </w:r>
      <w:r>
        <w:rPr>
          <w:spacing w:val="41"/>
        </w:rPr>
        <w:t> </w:t>
      </w:r>
      <w:r>
        <w:rPr/>
        <w:t>compleja</w:t>
      </w:r>
      <w:r>
        <w:rPr>
          <w:spacing w:val="41"/>
        </w:rPr>
        <w:t> </w:t>
      </w:r>
      <w:r>
        <w:rPr/>
        <w:t>arquitectura</w:t>
      </w:r>
      <w:r>
        <w:rPr>
          <w:spacing w:val="41"/>
        </w:rPr>
        <w:t> </w:t>
      </w:r>
      <w:r>
        <w:rPr/>
        <w:t>derivada</w:t>
      </w:r>
      <w:r>
        <w:rPr>
          <w:spacing w:val="41"/>
        </w:rPr>
        <w:t> </w:t>
      </w:r>
      <w:r>
        <w:rPr/>
        <w:t>del</w:t>
      </w:r>
      <w:r>
        <w:rPr>
          <w:spacing w:val="41"/>
        </w:rPr>
        <w:t> </w:t>
      </w:r>
      <w:r>
        <w:rPr/>
        <w:t>encajamiento</w:t>
      </w:r>
      <w:r>
        <w:rPr>
          <w:spacing w:val="41"/>
        </w:rPr>
        <w:t> </w:t>
      </w:r>
      <w:r>
        <w:rPr/>
        <w:t>de</w:t>
      </w:r>
      <w:r>
        <w:rPr>
          <w:spacing w:val="41"/>
        </w:rPr>
        <w:t> </w:t>
      </w:r>
      <w:r>
        <w:rPr/>
        <w:t>diferentes</w:t>
      </w:r>
      <w:r>
        <w:rPr>
          <w:spacing w:val="41"/>
        </w:rPr>
        <w:t> </w:t>
      </w:r>
      <w:r>
        <w:rPr/>
        <w:t>escalas</w:t>
      </w:r>
      <w:r>
        <w:rPr>
          <w:w w:val="99"/>
        </w:rPr>
        <w:t> </w:t>
      </w:r>
      <w:r>
        <w:rPr/>
        <w:t>de</w:t>
      </w:r>
      <w:r>
        <w:rPr>
          <w:spacing w:val="33"/>
        </w:rPr>
        <w:t> </w:t>
      </w:r>
      <w:r>
        <w:rPr/>
        <w:t>decisión,</w:t>
      </w:r>
      <w:r>
        <w:rPr>
          <w:spacing w:val="33"/>
        </w:rPr>
        <w:t> </w:t>
      </w:r>
      <w:r>
        <w:rPr/>
        <w:t>como</w:t>
      </w:r>
      <w:r>
        <w:rPr>
          <w:spacing w:val="33"/>
        </w:rPr>
        <w:t> </w:t>
      </w:r>
      <w:r>
        <w:rPr/>
        <w:t>ámbito</w:t>
      </w:r>
      <w:r>
        <w:rPr>
          <w:spacing w:val="33"/>
        </w:rPr>
        <w:t> </w:t>
      </w:r>
      <w:r>
        <w:rPr/>
        <w:t>de</w:t>
      </w:r>
      <w:r>
        <w:rPr>
          <w:spacing w:val="33"/>
        </w:rPr>
        <w:t> </w:t>
      </w:r>
      <w:r>
        <w:rPr/>
        <w:t>reflexión</w:t>
      </w:r>
      <w:r>
        <w:rPr>
          <w:spacing w:val="33"/>
        </w:rPr>
        <w:t> </w:t>
      </w:r>
      <w:r>
        <w:rPr/>
        <w:t>y</w:t>
      </w:r>
      <w:r>
        <w:rPr>
          <w:spacing w:val="33"/>
        </w:rPr>
        <w:t> </w:t>
      </w:r>
      <w:r>
        <w:rPr/>
        <w:t>de</w:t>
      </w:r>
      <w:r>
        <w:rPr>
          <w:spacing w:val="33"/>
        </w:rPr>
        <w:t> </w:t>
      </w:r>
      <w:r>
        <w:rPr/>
        <w:t>acción</w:t>
      </w:r>
      <w:r>
        <w:rPr>
          <w:spacing w:val="33"/>
        </w:rPr>
        <w:t> </w:t>
      </w:r>
      <w:r>
        <w:rPr/>
        <w:t>para</w:t>
      </w:r>
      <w:r>
        <w:rPr>
          <w:spacing w:val="33"/>
        </w:rPr>
        <w:t> </w:t>
      </w:r>
      <w:r>
        <w:rPr/>
        <w:t>generar</w:t>
      </w:r>
      <w:r>
        <w:rPr>
          <w:spacing w:val="33"/>
        </w:rPr>
        <w:t> </w:t>
      </w:r>
      <w:r>
        <w:rPr/>
        <w:t>nuevas</w:t>
      </w:r>
      <w:r>
        <w:rPr>
          <w:spacing w:val="33"/>
        </w:rPr>
        <w:t> </w:t>
      </w:r>
      <w:r>
        <w:rPr/>
        <w:t>formas</w:t>
      </w:r>
      <w:r>
        <w:rPr>
          <w:spacing w:val="33"/>
        </w:rPr>
        <w:t> </w:t>
      </w:r>
      <w:r>
        <w:rPr/>
        <w:t>de</w:t>
      </w:r>
      <w:r>
        <w:rPr>
          <w:w w:val="101"/>
        </w:rPr>
        <w:t> </w:t>
      </w:r>
      <w:r>
        <w:rPr/>
        <w:t>desarrollo que conduzcan hacia la consecución de una cohesión territorial </w:t>
      </w:r>
      <w:r>
        <w:rPr>
          <w:spacing w:val="14"/>
        </w:rPr>
        <w:t> </w:t>
      </w:r>
      <w:r>
        <w:rPr/>
        <w:t>sostenible”.</w:t>
      </w:r>
    </w:p>
    <w:p>
      <w:pPr>
        <w:pStyle w:val="BodyText"/>
        <w:spacing w:before="11"/>
      </w:pPr>
    </w:p>
    <w:p>
      <w:pPr>
        <w:pStyle w:val="BodyText"/>
        <w:spacing w:line="249" w:lineRule="auto"/>
        <w:ind w:left="130" w:firstLine="170"/>
        <w:jc w:val="right"/>
      </w:pPr>
      <w:r>
        <w:rPr/>
        <w:t>Según Farinós (2008:21), “la importancia de la gobernanza territorial se debe</w:t>
      </w:r>
      <w:r>
        <w:rPr>
          <w:spacing w:val="16"/>
        </w:rPr>
        <w:t> </w:t>
      </w:r>
      <w:r>
        <w:rPr/>
        <w:t>a</w:t>
      </w:r>
      <w:r>
        <w:rPr>
          <w:spacing w:val="11"/>
        </w:rPr>
        <w:t> </w:t>
      </w:r>
      <w:r>
        <w:rPr/>
        <w:t>que</w:t>
      </w:r>
      <w:r>
        <w:rPr>
          <w:w w:val="101"/>
        </w:rPr>
        <w:t> </w:t>
      </w:r>
      <w:r>
        <w:rPr/>
        <w:t>el</w:t>
      </w:r>
      <w:r>
        <w:rPr>
          <w:spacing w:val="25"/>
        </w:rPr>
        <w:t> </w:t>
      </w:r>
      <w:r>
        <w:rPr/>
        <w:t>espacio,</w:t>
      </w:r>
      <w:r>
        <w:rPr>
          <w:spacing w:val="25"/>
        </w:rPr>
        <w:t> </w:t>
      </w:r>
      <w:r>
        <w:rPr/>
        <w:t>suelo</w:t>
      </w:r>
      <w:r>
        <w:rPr>
          <w:spacing w:val="25"/>
        </w:rPr>
        <w:t> </w:t>
      </w:r>
      <w:r>
        <w:rPr/>
        <w:t>o</w:t>
      </w:r>
      <w:r>
        <w:rPr>
          <w:spacing w:val="25"/>
        </w:rPr>
        <w:t> </w:t>
      </w:r>
      <w:r>
        <w:rPr/>
        <w:t>territorio</w:t>
      </w:r>
      <w:r>
        <w:rPr>
          <w:spacing w:val="25"/>
        </w:rPr>
        <w:t> </w:t>
      </w:r>
      <w:r>
        <w:rPr/>
        <w:t>es</w:t>
      </w:r>
      <w:r>
        <w:rPr>
          <w:spacing w:val="25"/>
        </w:rPr>
        <w:t> </w:t>
      </w:r>
      <w:r>
        <w:rPr/>
        <w:t>un</w:t>
      </w:r>
      <w:r>
        <w:rPr>
          <w:spacing w:val="25"/>
        </w:rPr>
        <w:t> </w:t>
      </w:r>
      <w:r>
        <w:rPr/>
        <w:t>bien</w:t>
      </w:r>
      <w:r>
        <w:rPr>
          <w:spacing w:val="25"/>
        </w:rPr>
        <w:t> </w:t>
      </w:r>
      <w:r>
        <w:rPr/>
        <w:t>limitado,</w:t>
      </w:r>
      <w:r>
        <w:rPr>
          <w:spacing w:val="25"/>
        </w:rPr>
        <w:t> </w:t>
      </w:r>
      <w:r>
        <w:rPr/>
        <w:t>su</w:t>
      </w:r>
      <w:r>
        <w:rPr>
          <w:spacing w:val="25"/>
        </w:rPr>
        <w:t> </w:t>
      </w:r>
      <w:r>
        <w:rPr/>
        <w:t>ordenación</w:t>
      </w:r>
      <w:r>
        <w:rPr>
          <w:spacing w:val="25"/>
        </w:rPr>
        <w:t> </w:t>
      </w:r>
      <w:r>
        <w:rPr/>
        <w:t>y</w:t>
      </w:r>
      <w:r>
        <w:rPr>
          <w:spacing w:val="25"/>
        </w:rPr>
        <w:t> </w:t>
      </w:r>
      <w:r>
        <w:rPr/>
        <w:t>su</w:t>
      </w:r>
      <w:r>
        <w:rPr>
          <w:spacing w:val="25"/>
        </w:rPr>
        <w:t> </w:t>
      </w:r>
      <w:r>
        <w:rPr/>
        <w:t>uso</w:t>
      </w:r>
      <w:r>
        <w:rPr>
          <w:spacing w:val="25"/>
        </w:rPr>
        <w:t> </w:t>
      </w:r>
      <w:r>
        <w:rPr/>
        <w:t>condiciona</w:t>
      </w:r>
      <w:r>
        <w:rPr>
          <w:w w:val="102"/>
        </w:rPr>
        <w:t> </w:t>
      </w:r>
      <w:r>
        <w:rPr/>
        <w:t>las</w:t>
      </w:r>
      <w:r>
        <w:rPr>
          <w:spacing w:val="35"/>
        </w:rPr>
        <w:t> </w:t>
      </w:r>
      <w:r>
        <w:rPr/>
        <w:t>posibilidades</w:t>
      </w:r>
      <w:r>
        <w:rPr>
          <w:spacing w:val="35"/>
        </w:rPr>
        <w:t> </w:t>
      </w:r>
      <w:r>
        <w:rPr/>
        <w:t>de</w:t>
      </w:r>
      <w:r>
        <w:rPr>
          <w:spacing w:val="35"/>
        </w:rPr>
        <w:t> </w:t>
      </w:r>
      <w:r>
        <w:rPr/>
        <w:t>desarrollo</w:t>
      </w:r>
      <w:r>
        <w:rPr>
          <w:spacing w:val="35"/>
        </w:rPr>
        <w:t> </w:t>
      </w:r>
      <w:r>
        <w:rPr/>
        <w:t>futuro,</w:t>
      </w:r>
      <w:r>
        <w:rPr>
          <w:spacing w:val="35"/>
        </w:rPr>
        <w:t> </w:t>
      </w:r>
      <w:r>
        <w:rPr/>
        <w:t>por</w:t>
      </w:r>
      <w:r>
        <w:rPr>
          <w:spacing w:val="35"/>
        </w:rPr>
        <w:t> </w:t>
      </w:r>
      <w:r>
        <w:rPr/>
        <w:t>lo</w:t>
      </w:r>
      <w:r>
        <w:rPr>
          <w:spacing w:val="35"/>
        </w:rPr>
        <w:t> </w:t>
      </w:r>
      <w:r>
        <w:rPr/>
        <w:t>que</w:t>
      </w:r>
      <w:r>
        <w:rPr>
          <w:spacing w:val="35"/>
        </w:rPr>
        <w:t> </w:t>
      </w:r>
      <w:r>
        <w:rPr/>
        <w:t>debe</w:t>
      </w:r>
      <w:r>
        <w:rPr>
          <w:spacing w:val="35"/>
        </w:rPr>
        <w:t> </w:t>
      </w:r>
      <w:r>
        <w:rPr/>
        <w:t>procurarse</w:t>
      </w:r>
      <w:r>
        <w:rPr>
          <w:spacing w:val="35"/>
        </w:rPr>
        <w:t> </w:t>
      </w:r>
      <w:r>
        <w:rPr/>
        <w:t>coherencia</w:t>
      </w:r>
      <w:r>
        <w:rPr>
          <w:spacing w:val="35"/>
        </w:rPr>
        <w:t> </w:t>
      </w:r>
      <w:r>
        <w:rPr/>
        <w:t>en</w:t>
      </w:r>
      <w:r>
        <w:rPr>
          <w:spacing w:val="35"/>
        </w:rPr>
        <w:t> </w:t>
      </w:r>
      <w:r>
        <w:rPr/>
        <w:t>el</w:t>
      </w:r>
      <w:r>
        <w:rPr>
          <w:w w:val="97"/>
        </w:rPr>
        <w:t> </w:t>
      </w:r>
      <w:r>
        <w:rPr/>
        <w:t>conjunto de actuaciones a realizar sobre él”. Siguiendo con este autor,</w:t>
      </w:r>
      <w:r>
        <w:rPr>
          <w:spacing w:val="11"/>
        </w:rPr>
        <w:t> </w:t>
      </w:r>
      <w:r>
        <w:rPr/>
        <w:t>la</w:t>
      </w:r>
      <w:r>
        <w:rPr>
          <w:spacing w:val="11"/>
        </w:rPr>
        <w:t> </w:t>
      </w:r>
      <w:r>
        <w:rPr/>
        <w:t>gobernanza</w:t>
      </w:r>
      <w:r>
        <w:rPr>
          <w:w w:val="99"/>
        </w:rPr>
        <w:t> </w:t>
      </w:r>
      <w:r>
        <w:rPr/>
        <w:t>territorial</w:t>
      </w:r>
      <w:r>
        <w:rPr>
          <w:spacing w:val="-6"/>
        </w:rPr>
        <w:t> </w:t>
      </w:r>
      <w:r>
        <w:rPr/>
        <w:t>alude</w:t>
      </w:r>
      <w:r>
        <w:rPr>
          <w:spacing w:val="-6"/>
        </w:rPr>
        <w:t> </w:t>
      </w:r>
      <w:r>
        <w:rPr/>
        <w:t>al</w:t>
      </w:r>
      <w:r>
        <w:rPr>
          <w:spacing w:val="-6"/>
        </w:rPr>
        <w:t> </w:t>
      </w:r>
      <w:r>
        <w:rPr/>
        <w:t>entendimiento</w:t>
      </w:r>
      <w:r>
        <w:rPr>
          <w:spacing w:val="-6"/>
        </w:rPr>
        <w:t> </w:t>
      </w:r>
      <w:r>
        <w:rPr/>
        <w:t>de</w:t>
      </w:r>
      <w:r>
        <w:rPr>
          <w:spacing w:val="-6"/>
        </w:rPr>
        <w:t> </w:t>
      </w:r>
      <w:r>
        <w:rPr/>
        <w:t>la</w:t>
      </w:r>
      <w:r>
        <w:rPr>
          <w:spacing w:val="-6"/>
        </w:rPr>
        <w:t> </w:t>
      </w:r>
      <w:r>
        <w:rPr/>
        <w:t>acción</w:t>
      </w:r>
      <w:r>
        <w:rPr>
          <w:spacing w:val="-6"/>
        </w:rPr>
        <w:t> </w:t>
      </w:r>
      <w:r>
        <w:rPr/>
        <w:t>pública</w:t>
      </w:r>
      <w:r>
        <w:rPr>
          <w:spacing w:val="-6"/>
        </w:rPr>
        <w:t> </w:t>
      </w:r>
      <w:r>
        <w:rPr/>
        <w:t>y</w:t>
      </w:r>
      <w:r>
        <w:rPr>
          <w:spacing w:val="-6"/>
        </w:rPr>
        <w:t> </w:t>
      </w:r>
      <w:r>
        <w:rPr/>
        <w:t>a</w:t>
      </w:r>
      <w:r>
        <w:rPr>
          <w:spacing w:val="-6"/>
        </w:rPr>
        <w:t> </w:t>
      </w:r>
      <w:r>
        <w:rPr/>
        <w:t>sus</w:t>
      </w:r>
      <w:r>
        <w:rPr>
          <w:spacing w:val="-6"/>
        </w:rPr>
        <w:t> </w:t>
      </w:r>
      <w:r>
        <w:rPr/>
        <w:t>estructuras</w:t>
      </w:r>
      <w:r>
        <w:rPr>
          <w:spacing w:val="-6"/>
        </w:rPr>
        <w:t> </w:t>
      </w:r>
      <w:r>
        <w:rPr/>
        <w:t>organizativas</w:t>
      </w:r>
      <w:r>
        <w:rPr>
          <w:spacing w:val="-6"/>
        </w:rPr>
        <w:t> </w:t>
      </w:r>
      <w:r>
        <w:rPr/>
        <w:t>y la</w:t>
      </w:r>
      <w:r>
        <w:rPr>
          <w:spacing w:val="-11"/>
        </w:rPr>
        <w:t> </w:t>
      </w:r>
      <w:r>
        <w:rPr/>
        <w:t>manera</w:t>
      </w:r>
      <w:r>
        <w:rPr>
          <w:spacing w:val="-11"/>
        </w:rPr>
        <w:t> </w:t>
      </w:r>
      <w:r>
        <w:rPr/>
        <w:t>de</w:t>
      </w:r>
      <w:r>
        <w:rPr>
          <w:spacing w:val="-11"/>
        </w:rPr>
        <w:t> </w:t>
      </w:r>
      <w:r>
        <w:rPr/>
        <w:t>administración</w:t>
      </w:r>
      <w:r>
        <w:rPr>
          <w:spacing w:val="-11"/>
        </w:rPr>
        <w:t> </w:t>
      </w:r>
      <w:r>
        <w:rPr/>
        <w:t>y</w:t>
      </w:r>
      <w:r>
        <w:rPr>
          <w:spacing w:val="-11"/>
        </w:rPr>
        <w:t> </w:t>
      </w:r>
      <w:r>
        <w:rPr/>
        <w:t>aplicación</w:t>
      </w:r>
      <w:r>
        <w:rPr>
          <w:spacing w:val="-11"/>
        </w:rPr>
        <w:t> </w:t>
      </w:r>
      <w:r>
        <w:rPr/>
        <w:t>de</w:t>
      </w:r>
      <w:r>
        <w:rPr>
          <w:spacing w:val="-11"/>
        </w:rPr>
        <w:t> </w:t>
      </w:r>
      <w:r>
        <w:rPr/>
        <w:t>políticas</w:t>
      </w:r>
      <w:r>
        <w:rPr>
          <w:spacing w:val="-11"/>
        </w:rPr>
        <w:t> </w:t>
      </w:r>
      <w:r>
        <w:rPr/>
        <w:t>en</w:t>
      </w:r>
      <w:r>
        <w:rPr>
          <w:spacing w:val="-11"/>
        </w:rPr>
        <w:t> </w:t>
      </w:r>
      <w:r>
        <w:rPr/>
        <w:t>el</w:t>
      </w:r>
      <w:r>
        <w:rPr>
          <w:spacing w:val="-11"/>
        </w:rPr>
        <w:t> </w:t>
      </w:r>
      <w:r>
        <w:rPr/>
        <w:t>territorio</w:t>
      </w:r>
      <w:r>
        <w:rPr>
          <w:spacing w:val="-11"/>
        </w:rPr>
        <w:t> </w:t>
      </w:r>
      <w:r>
        <w:rPr/>
        <w:t>a</w:t>
      </w:r>
      <w:r>
        <w:rPr>
          <w:spacing w:val="-11"/>
        </w:rPr>
        <w:t> </w:t>
      </w:r>
      <w:r>
        <w:rPr/>
        <w:t>diferentes</w:t>
      </w:r>
      <w:r>
        <w:rPr>
          <w:spacing w:val="-11"/>
        </w:rPr>
        <w:t> </w:t>
      </w:r>
      <w:r>
        <w:rPr/>
        <w:t>escalas.</w:t>
      </w:r>
    </w:p>
    <w:p>
      <w:pPr>
        <w:pStyle w:val="BodyText"/>
        <w:spacing w:before="11"/>
      </w:pPr>
    </w:p>
    <w:p>
      <w:pPr>
        <w:pStyle w:val="BodyText"/>
        <w:spacing w:line="249" w:lineRule="auto"/>
        <w:ind w:left="130" w:firstLine="170"/>
        <w:jc w:val="both"/>
      </w:pPr>
      <w:r>
        <w:rPr/>
        <w:t>Para encarar la problemática metropolitana que se agudiza en los últimos años,       la gobernanza territorial transita hacia la gobernanza urbana integrada, que puede definirse</w:t>
      </w:r>
      <w:r>
        <w:rPr>
          <w:spacing w:val="21"/>
        </w:rPr>
        <w:t> </w:t>
      </w:r>
      <w:r>
        <w:rPr/>
        <w:t>como:</w:t>
      </w:r>
    </w:p>
    <w:p>
      <w:pPr>
        <w:pStyle w:val="BodyText"/>
        <w:spacing w:before="11"/>
      </w:pPr>
    </w:p>
    <w:p>
      <w:pPr>
        <w:pStyle w:val="BodyText"/>
        <w:spacing w:line="249" w:lineRule="auto"/>
        <w:ind w:left="130" w:firstLine="170"/>
        <w:jc w:val="both"/>
      </w:pPr>
      <w:r>
        <w:rPr/>
        <w:t>“La gestión de cuestiones transversales en la elaboración de políticas que traspasan las fronteras de los ámbitos políticas establecidos (…) consta tanto de una integración horizontal entre sectores políticos (entre diferentes departamentos) como de la integración intergubernamental vertical (entre distintos niveles de gobierno), además de fronteras administrativas en dos sentidos: autoridades municipales- Administración regional/nacional y Administración-sociedad civil)” (Schwedler,  2011:11).</w:t>
      </w:r>
    </w:p>
    <w:p>
      <w:pPr>
        <w:pStyle w:val="BodyText"/>
        <w:spacing w:before="11"/>
      </w:pPr>
    </w:p>
    <w:p>
      <w:pPr>
        <w:pStyle w:val="BodyText"/>
        <w:spacing w:line="249" w:lineRule="auto"/>
        <w:ind w:left="130" w:firstLine="170"/>
        <w:jc w:val="both"/>
      </w:pPr>
      <w:r>
        <w:rPr/>
        <w:t>Desde esta perspectiva es posible destacar que la escena urbana se compone de una amplia variedad de actores, cada uno de los cuales tiene sus propios objetivos      y estrategias. Estos actores en el seno de las redes de relaciones urbanas son interdependientes porque se trata de sujetos que no pueden alcanzar sus objetivos  por ellos mismos, sino que necesitan los recursos y la colaboración de otros más.     En</w:t>
      </w:r>
      <w:r>
        <w:rPr>
          <w:spacing w:val="15"/>
        </w:rPr>
        <w:t> </w:t>
      </w:r>
      <w:r>
        <w:rPr/>
        <w:t>la</w:t>
      </w:r>
      <w:r>
        <w:rPr>
          <w:spacing w:val="15"/>
        </w:rPr>
        <w:t> </w:t>
      </w:r>
      <w:r>
        <w:rPr/>
        <w:t>ciudad</w:t>
      </w:r>
      <w:r>
        <w:rPr>
          <w:spacing w:val="15"/>
        </w:rPr>
        <w:t> </w:t>
      </w:r>
      <w:r>
        <w:rPr/>
        <w:t>actual,</w:t>
      </w:r>
      <w:r>
        <w:rPr>
          <w:spacing w:val="15"/>
        </w:rPr>
        <w:t> </w:t>
      </w:r>
      <w:r>
        <w:rPr/>
        <w:t>del</w:t>
      </w:r>
      <w:r>
        <w:rPr>
          <w:spacing w:val="15"/>
        </w:rPr>
        <w:t> </w:t>
      </w:r>
      <w:r>
        <w:rPr/>
        <w:t>Siglo</w:t>
      </w:r>
      <w:r>
        <w:rPr>
          <w:spacing w:val="15"/>
        </w:rPr>
        <w:t> </w:t>
      </w:r>
      <w:r>
        <w:rPr/>
        <w:t>XXI,</w:t>
      </w:r>
      <w:r>
        <w:rPr>
          <w:spacing w:val="15"/>
        </w:rPr>
        <w:t> </w:t>
      </w:r>
      <w:r>
        <w:rPr/>
        <w:t>no</w:t>
      </w:r>
      <w:r>
        <w:rPr>
          <w:spacing w:val="15"/>
        </w:rPr>
        <w:t> </w:t>
      </w:r>
      <w:r>
        <w:rPr/>
        <w:t>existe</w:t>
      </w:r>
      <w:r>
        <w:rPr>
          <w:spacing w:val="15"/>
        </w:rPr>
        <w:t> </w:t>
      </w:r>
      <w:r>
        <w:rPr/>
        <w:t>un</w:t>
      </w:r>
      <w:r>
        <w:rPr>
          <w:spacing w:val="15"/>
        </w:rPr>
        <w:t> </w:t>
      </w:r>
      <w:r>
        <w:rPr/>
        <w:t>único</w:t>
      </w:r>
      <w:r>
        <w:rPr>
          <w:spacing w:val="15"/>
        </w:rPr>
        <w:t> </w:t>
      </w:r>
      <w:r>
        <w:rPr/>
        <w:t>actor</w:t>
      </w:r>
      <w:r>
        <w:rPr>
          <w:spacing w:val="15"/>
        </w:rPr>
        <w:t> </w:t>
      </w:r>
      <w:r>
        <w:rPr/>
        <w:t>con</w:t>
      </w:r>
      <w:r>
        <w:rPr>
          <w:spacing w:val="15"/>
        </w:rPr>
        <w:t> </w:t>
      </w:r>
      <w:r>
        <w:rPr/>
        <w:t>poder</w:t>
      </w:r>
      <w:r>
        <w:rPr>
          <w:spacing w:val="15"/>
        </w:rPr>
        <w:t> </w:t>
      </w:r>
      <w:r>
        <w:rPr/>
        <w:t>suficiente</w:t>
      </w:r>
      <w:r>
        <w:rPr>
          <w:spacing w:val="15"/>
        </w:rPr>
        <w:t> </w:t>
      </w:r>
      <w:r>
        <w:rPr/>
        <w:t>para</w:t>
      </w:r>
      <w:r>
        <w:rPr>
          <w:w w:val="99"/>
        </w:rPr>
        <w:t> </w:t>
      </w:r>
      <w:r>
        <w:rPr/>
        <w:t>determinar las estrategias de los demás. Cada uno necesita de los demás debido a  las interdependencias existentes, pero al mismo tiempo intenta acercar el proceso decisional hacia sus preferencias. Ello da como resultado una compleja interacción y variados</w:t>
      </w:r>
      <w:r>
        <w:rPr>
          <w:spacing w:val="-13"/>
        </w:rPr>
        <w:t> </w:t>
      </w:r>
      <w:r>
        <w:rPr/>
        <w:t>procesos</w:t>
      </w:r>
      <w:r>
        <w:rPr>
          <w:spacing w:val="-13"/>
        </w:rPr>
        <w:t> </w:t>
      </w:r>
      <w:r>
        <w:rPr/>
        <w:t>de</w:t>
      </w:r>
      <w:r>
        <w:rPr>
          <w:spacing w:val="-13"/>
        </w:rPr>
        <w:t> </w:t>
      </w:r>
      <w:r>
        <w:rPr/>
        <w:t>negociación,</w:t>
      </w:r>
      <w:r>
        <w:rPr>
          <w:spacing w:val="-13"/>
        </w:rPr>
        <w:t> </w:t>
      </w:r>
      <w:r>
        <w:rPr/>
        <w:t>la</w:t>
      </w:r>
      <w:r>
        <w:rPr>
          <w:spacing w:val="-13"/>
        </w:rPr>
        <w:t> </w:t>
      </w:r>
      <w:r>
        <w:rPr/>
        <w:t>interdependencia</w:t>
      </w:r>
      <w:r>
        <w:rPr>
          <w:spacing w:val="-13"/>
        </w:rPr>
        <w:t> </w:t>
      </w:r>
      <w:r>
        <w:rPr/>
        <w:t>deriva</w:t>
      </w:r>
      <w:r>
        <w:rPr>
          <w:spacing w:val="-13"/>
        </w:rPr>
        <w:t> </w:t>
      </w:r>
      <w:r>
        <w:rPr/>
        <w:t>de</w:t>
      </w:r>
      <w:r>
        <w:rPr>
          <w:spacing w:val="-13"/>
        </w:rPr>
        <w:t> </w:t>
      </w:r>
      <w:r>
        <w:rPr/>
        <w:t>la</w:t>
      </w:r>
      <w:r>
        <w:rPr>
          <w:spacing w:val="-13"/>
        </w:rPr>
        <w:t> </w:t>
      </w:r>
      <w:r>
        <w:rPr/>
        <w:t>irregular</w:t>
      </w:r>
      <w:r>
        <w:rPr>
          <w:spacing w:val="-13"/>
        </w:rPr>
        <w:t> </w:t>
      </w:r>
      <w:r>
        <w:rPr/>
        <w:t>distribución de recursos, objetivos y percepciones mutuas entre los distintos </w:t>
      </w:r>
      <w:r>
        <w:rPr>
          <w:spacing w:val="42"/>
        </w:rPr>
        <w:t> </w:t>
      </w:r>
      <w:r>
        <w:rPr/>
        <w:t>actores.</w:t>
      </w:r>
    </w:p>
    <w:p>
      <w:pPr>
        <w:pStyle w:val="Heading1"/>
        <w:spacing w:before="71"/>
        <w:ind w:right="-10"/>
      </w:pPr>
      <w:r>
        <w:rPr>
          <w:b w:val="0"/>
        </w:rPr>
        <w:br w:type="column"/>
      </w:r>
      <w:r>
        <w:rPr/>
        <w:t>Gestión urbana y acción pública</w:t>
      </w:r>
    </w:p>
    <w:p>
      <w:pPr>
        <w:pStyle w:val="BodyText"/>
        <w:rPr>
          <w:b/>
          <w:sz w:val="21"/>
        </w:rPr>
      </w:pPr>
    </w:p>
    <w:p>
      <w:pPr>
        <w:pStyle w:val="BodyText"/>
        <w:spacing w:line="249" w:lineRule="auto"/>
        <w:ind w:left="130" w:right="128" w:firstLine="170"/>
        <w:jc w:val="both"/>
      </w:pPr>
      <w:r>
        <w:rPr/>
        <w:t>Con base en lo anteriormente expuesto, es evidente la existencia de una estrecha relación entre el gobierno y la conducción del desarrollo urbano. Al respecto,  la CEPAL (Jordán y Simioni, 1998) considera que la </w:t>
      </w:r>
      <w:r>
        <w:rPr>
          <w:i/>
        </w:rPr>
        <w:t>gestión urbana </w:t>
      </w:r>
      <w:r>
        <w:rPr/>
        <w:t>presupone una institucionalidad particular, en donde el gobierno local sea ejercido por autoridades competentes y motivadas, cuyos esfuerzos estén encaminados a la generación de un proceso de administración y gestión que sea apropiado y ajustado a las características y necesidades de desarrollo de la</w:t>
      </w:r>
      <w:r>
        <w:rPr>
          <w:spacing w:val="34"/>
        </w:rPr>
        <w:t> </w:t>
      </w:r>
      <w:r>
        <w:rPr/>
        <w:t>localidad.</w:t>
      </w:r>
    </w:p>
    <w:p>
      <w:pPr>
        <w:pStyle w:val="BodyText"/>
        <w:spacing w:before="11"/>
      </w:pPr>
    </w:p>
    <w:p>
      <w:pPr>
        <w:pStyle w:val="BodyText"/>
        <w:spacing w:line="249" w:lineRule="auto"/>
        <w:ind w:left="130" w:right="127" w:firstLine="170"/>
        <w:jc w:val="both"/>
      </w:pPr>
      <w:r>
        <w:rPr/>
        <w:t>Un segundo elemento, propio del concepto de gestión urbana, es la modificación   del enfoque de análisis y propuesta, desde un paradigma de acción que coloca al municipio</w:t>
      </w:r>
      <w:r>
        <w:rPr>
          <w:spacing w:val="-6"/>
        </w:rPr>
        <w:t> </w:t>
      </w:r>
      <w:r>
        <w:rPr/>
        <w:t>y</w:t>
      </w:r>
      <w:r>
        <w:rPr>
          <w:spacing w:val="-6"/>
        </w:rPr>
        <w:t> </w:t>
      </w:r>
      <w:r>
        <w:rPr/>
        <w:t>a</w:t>
      </w:r>
      <w:r>
        <w:rPr>
          <w:spacing w:val="-6"/>
        </w:rPr>
        <w:t> </w:t>
      </w:r>
      <w:r>
        <w:rPr/>
        <w:t>la</w:t>
      </w:r>
      <w:r>
        <w:rPr>
          <w:spacing w:val="-6"/>
        </w:rPr>
        <w:t> </w:t>
      </w:r>
      <w:r>
        <w:rPr/>
        <w:t>administración</w:t>
      </w:r>
      <w:r>
        <w:rPr>
          <w:spacing w:val="-6"/>
        </w:rPr>
        <w:t> </w:t>
      </w:r>
      <w:r>
        <w:rPr/>
        <w:t>urbana</w:t>
      </w:r>
      <w:r>
        <w:rPr>
          <w:spacing w:val="-6"/>
        </w:rPr>
        <w:t> </w:t>
      </w:r>
      <w:r>
        <w:rPr/>
        <w:t>como</w:t>
      </w:r>
      <w:r>
        <w:rPr>
          <w:spacing w:val="-6"/>
        </w:rPr>
        <w:t> </w:t>
      </w:r>
      <w:r>
        <w:rPr/>
        <w:t>proveedor</w:t>
      </w:r>
      <w:r>
        <w:rPr>
          <w:spacing w:val="-6"/>
        </w:rPr>
        <w:t> </w:t>
      </w:r>
      <w:r>
        <w:rPr/>
        <w:t>de</w:t>
      </w:r>
      <w:r>
        <w:rPr>
          <w:spacing w:val="-6"/>
        </w:rPr>
        <w:t> </w:t>
      </w:r>
      <w:r>
        <w:rPr/>
        <w:t>servicios</w:t>
      </w:r>
      <w:r>
        <w:rPr>
          <w:spacing w:val="-6"/>
        </w:rPr>
        <w:t> </w:t>
      </w:r>
      <w:r>
        <w:rPr/>
        <w:t>y</w:t>
      </w:r>
      <w:r>
        <w:rPr>
          <w:spacing w:val="-6"/>
        </w:rPr>
        <w:t> </w:t>
      </w:r>
      <w:r>
        <w:rPr/>
        <w:t>ejecutor</w:t>
      </w:r>
      <w:r>
        <w:rPr>
          <w:spacing w:val="-6"/>
        </w:rPr>
        <w:t> </w:t>
      </w:r>
      <w:r>
        <w:rPr/>
        <w:t>de</w:t>
      </w:r>
      <w:r>
        <w:rPr>
          <w:spacing w:val="-6"/>
        </w:rPr>
        <w:t> </w:t>
      </w:r>
      <w:r>
        <w:rPr/>
        <w:t>obras de infraestructura hacia otro que, recogiendo la importancia de las obras y acciones de habilitación del espacio urbano, recoge también la importancia de analizar y operar en la dimensión del proceso de gestión y de administración de dichos  </w:t>
      </w:r>
      <w:r>
        <w:rPr>
          <w:spacing w:val="15"/>
        </w:rPr>
        <w:t> </w:t>
      </w:r>
      <w:r>
        <w:rPr/>
        <w:t>productos.</w:t>
      </w:r>
    </w:p>
    <w:p>
      <w:pPr>
        <w:pStyle w:val="BodyText"/>
        <w:spacing w:before="11"/>
      </w:pPr>
    </w:p>
    <w:p>
      <w:pPr>
        <w:pStyle w:val="BodyText"/>
        <w:spacing w:line="249" w:lineRule="auto"/>
        <w:ind w:left="130" w:right="127" w:firstLine="170"/>
        <w:jc w:val="both"/>
      </w:pPr>
      <w:r>
        <w:rPr/>
        <w:t>Lo anterior,  abre  un  campo  de  propuestas  distintas  que  incluye,  por  ejemplo,  el fortalecimiento de mecanismos participativos de toma de decisiones, la conceptualización del gobierno local como facilitador de procesos de habilitación ambiental que se dan en forma espontánea, la concreción de instancias de trabajo mixto público-privado, la privatización de los servicios, la planificación de carácter indicativo, la revisión y/o actualización de la legislación urbana y ordenanzas, espacios de negociación para los proyectos, la coordinación como elemento central y no sólo como adjetivo, el fomento de los procesos de participación en la gestión de servicios y el manejo de información para la toma de</w:t>
      </w:r>
      <w:r>
        <w:rPr>
          <w:spacing w:val="38"/>
        </w:rPr>
        <w:t> </w:t>
      </w:r>
      <w:r>
        <w:rPr/>
        <w:t>decisiones.</w:t>
      </w:r>
    </w:p>
    <w:p>
      <w:pPr>
        <w:pStyle w:val="BodyText"/>
        <w:spacing w:before="11"/>
      </w:pPr>
    </w:p>
    <w:p>
      <w:pPr>
        <w:pStyle w:val="BodyText"/>
        <w:spacing w:line="249" w:lineRule="auto"/>
        <w:ind w:left="130" w:right="127" w:firstLine="170"/>
        <w:jc w:val="both"/>
      </w:pPr>
      <w:r>
        <w:rPr/>
        <w:t>Así, y sin perder de vista el objetivo institucional principal, se pueden incorporar       al proceso organizado de desarrollo urbano, nuevos actores, recursos y técnicas,  como aportes efectivos y  positivos  al  proceso  de  construcción  del  asentamiento. En esta perspectiva, la noción de </w:t>
      </w:r>
      <w:r>
        <w:rPr>
          <w:i/>
        </w:rPr>
        <w:t>gestión urbana</w:t>
      </w:r>
      <w:r>
        <w:rPr/>
        <w:t>, como extensión del concepto de </w:t>
      </w:r>
      <w:r>
        <w:rPr>
          <w:i/>
        </w:rPr>
        <w:t>administración</w:t>
      </w:r>
      <w:r>
        <w:rPr/>
        <w:t>, se enriquece al incluir el </w:t>
      </w:r>
      <w:r>
        <w:rPr>
          <w:i/>
        </w:rPr>
        <w:t>“espacio” </w:t>
      </w:r>
      <w:r>
        <w:rPr/>
        <w:t>que está entre el hecho físico, producto o servicio provisto en un extremo y, en el otro, la institución de coordinación, provisión o</w:t>
      </w:r>
      <w:r>
        <w:rPr>
          <w:spacing w:val="39"/>
        </w:rPr>
        <w:t> </w:t>
      </w:r>
      <w:r>
        <w:rPr/>
        <w:t>administración.</w:t>
      </w:r>
    </w:p>
    <w:p>
      <w:pPr>
        <w:pStyle w:val="BodyText"/>
        <w:spacing w:before="1"/>
      </w:pPr>
    </w:p>
    <w:p>
      <w:pPr>
        <w:pStyle w:val="BodyText"/>
        <w:spacing w:line="240" w:lineRule="atLeast"/>
        <w:ind w:left="130" w:right="128" w:firstLine="170"/>
        <w:jc w:val="both"/>
      </w:pPr>
      <w:r>
        <w:rPr/>
        <w:t>En tercer lugar, se presenta la noción que el gobierno local, con sus recursos y atribuciones, está llamado a ser no sólo eficiente en la operación de ciertas funciones  o servicios a la comunidad sino que además de ello tiene que contribuir al desarrollo mediante esfuerzos especiales de inversión, mediatización, evaluación y presentación de proyectos e información. Ello hace imperiosa la necesidad del desarrollo y consolidación de los gobiernos locales en nuestros países; esto, con el objeto de ser más eficientes en la captación, inversión y gasto de los recursos comprometidos en el desarrollo</w:t>
      </w:r>
      <w:r>
        <w:rPr>
          <w:spacing w:val="13"/>
        </w:rPr>
        <w:t> </w:t>
      </w:r>
      <w:r>
        <w:rPr/>
        <w:t>urbano.</w:t>
      </w:r>
    </w:p>
    <w:p>
      <w:pPr>
        <w:spacing w:after="0" w:line="240" w:lineRule="atLeast"/>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84"/>
          <w:pgSz w:w="18830" w:h="12760" w:orient="landscape"/>
          <w:pgMar w:footer="1036" w:header="522" w:top="820" w:bottom="1220" w:left="720" w:right="720"/>
        </w:sectPr>
      </w:pPr>
    </w:p>
    <w:p>
      <w:pPr>
        <w:pStyle w:val="Heading1"/>
        <w:spacing w:before="71"/>
        <w:ind w:left="297" w:right="-7"/>
      </w:pPr>
      <w:r>
        <w:rPr/>
        <w:t>Actores clave de la gobernanza territorial</w:t>
      </w:r>
    </w:p>
    <w:p>
      <w:pPr>
        <w:pStyle w:val="BodyText"/>
        <w:rPr>
          <w:b/>
          <w:sz w:val="21"/>
        </w:rPr>
      </w:pPr>
    </w:p>
    <w:p>
      <w:pPr>
        <w:pStyle w:val="BodyText"/>
        <w:spacing w:line="249" w:lineRule="auto"/>
        <w:ind w:left="127" w:firstLine="170"/>
        <w:jc w:val="both"/>
      </w:pPr>
      <w:r>
        <w:rPr/>
        <w:t>De acuerdo con Abad (2010: 9), “la nueva lógica espacial ha generado cambios en  el gobierno de los territorios desplazando la función del Estado como unidad política, económica</w:t>
      </w:r>
      <w:r>
        <w:rPr>
          <w:spacing w:val="-10"/>
        </w:rPr>
        <w:t> </w:t>
      </w:r>
      <w:r>
        <w:rPr/>
        <w:t>y</w:t>
      </w:r>
      <w:r>
        <w:rPr>
          <w:spacing w:val="-10"/>
        </w:rPr>
        <w:t> </w:t>
      </w:r>
      <w:r>
        <w:rPr/>
        <w:t>territorial,</w:t>
      </w:r>
      <w:r>
        <w:rPr>
          <w:spacing w:val="-10"/>
        </w:rPr>
        <w:t> </w:t>
      </w:r>
      <w:r>
        <w:rPr/>
        <w:t>dando</w:t>
      </w:r>
      <w:r>
        <w:rPr>
          <w:spacing w:val="-10"/>
        </w:rPr>
        <w:t> </w:t>
      </w:r>
      <w:r>
        <w:rPr/>
        <w:t>paso</w:t>
      </w:r>
      <w:r>
        <w:rPr>
          <w:spacing w:val="-10"/>
        </w:rPr>
        <w:t> </w:t>
      </w:r>
      <w:r>
        <w:rPr/>
        <w:t>a</w:t>
      </w:r>
      <w:r>
        <w:rPr>
          <w:spacing w:val="-10"/>
        </w:rPr>
        <w:t> </w:t>
      </w:r>
      <w:r>
        <w:rPr/>
        <w:t>distintas</w:t>
      </w:r>
      <w:r>
        <w:rPr>
          <w:spacing w:val="-10"/>
        </w:rPr>
        <w:t> </w:t>
      </w:r>
      <w:r>
        <w:rPr/>
        <w:t>esferas</w:t>
      </w:r>
      <w:r>
        <w:rPr>
          <w:spacing w:val="-10"/>
        </w:rPr>
        <w:t> </w:t>
      </w:r>
      <w:r>
        <w:rPr/>
        <w:t>de</w:t>
      </w:r>
      <w:r>
        <w:rPr>
          <w:spacing w:val="-10"/>
        </w:rPr>
        <w:t> </w:t>
      </w:r>
      <w:r>
        <w:rPr/>
        <w:t>poder</w:t>
      </w:r>
      <w:r>
        <w:rPr>
          <w:spacing w:val="-10"/>
        </w:rPr>
        <w:t> </w:t>
      </w:r>
      <w:r>
        <w:rPr/>
        <w:t>que</w:t>
      </w:r>
      <w:r>
        <w:rPr>
          <w:spacing w:val="-10"/>
        </w:rPr>
        <w:t> </w:t>
      </w:r>
      <w:r>
        <w:rPr/>
        <w:t>da</w:t>
      </w:r>
      <w:r>
        <w:rPr>
          <w:spacing w:val="-10"/>
        </w:rPr>
        <w:t> </w:t>
      </w:r>
      <w:r>
        <w:rPr/>
        <w:t>lugar</w:t>
      </w:r>
      <w:r>
        <w:rPr>
          <w:spacing w:val="-10"/>
        </w:rPr>
        <w:t> </w:t>
      </w:r>
      <w:r>
        <w:rPr/>
        <w:t>al</w:t>
      </w:r>
      <w:r>
        <w:rPr>
          <w:spacing w:val="-10"/>
        </w:rPr>
        <w:t> </w:t>
      </w:r>
      <w:r>
        <w:rPr/>
        <w:t>gobierno multinivel basado en procesos de negociación y estructuras reticulares”. Para Santos y Porras (2012) la gobernanza territorial desde un enfoque</w:t>
      </w:r>
      <w:r>
        <w:rPr>
          <w:spacing w:val="18"/>
        </w:rPr>
        <w:t> </w:t>
      </w:r>
      <w:r>
        <w:rPr/>
        <w:t>participativo:</w:t>
      </w:r>
    </w:p>
    <w:p>
      <w:pPr>
        <w:pStyle w:val="BodyText"/>
        <w:spacing w:before="11"/>
      </w:pPr>
    </w:p>
    <w:p>
      <w:pPr>
        <w:pStyle w:val="BodyText"/>
        <w:spacing w:line="249" w:lineRule="auto"/>
        <w:ind w:left="127" w:firstLine="170"/>
        <w:jc w:val="both"/>
      </w:pPr>
      <w:r>
        <w:rPr/>
        <w:t>“Aparece vinculada a las interacciones que se definen y se conforman sobre la base del consenso y el aprendizaje colectivo de los actores con sus distintas lógicas de acción y posibles desacuerdos (…) estas formas de gobierno y toma de decisiones en el</w:t>
      </w:r>
      <w:r>
        <w:rPr>
          <w:spacing w:val="-6"/>
        </w:rPr>
        <w:t> </w:t>
      </w:r>
      <w:r>
        <w:rPr/>
        <w:t>territorio</w:t>
      </w:r>
      <w:r>
        <w:rPr>
          <w:spacing w:val="-6"/>
        </w:rPr>
        <w:t> </w:t>
      </w:r>
      <w:r>
        <w:rPr/>
        <w:t>establecen</w:t>
      </w:r>
      <w:r>
        <w:rPr>
          <w:spacing w:val="-6"/>
        </w:rPr>
        <w:t> </w:t>
      </w:r>
      <w:r>
        <w:rPr/>
        <w:t>un</w:t>
      </w:r>
      <w:r>
        <w:rPr>
          <w:spacing w:val="-6"/>
        </w:rPr>
        <w:t> </w:t>
      </w:r>
      <w:r>
        <w:rPr/>
        <w:t>sistema</w:t>
      </w:r>
      <w:r>
        <w:rPr>
          <w:spacing w:val="-6"/>
        </w:rPr>
        <w:t> </w:t>
      </w:r>
      <w:r>
        <w:rPr/>
        <w:t>complejo</w:t>
      </w:r>
      <w:r>
        <w:rPr>
          <w:spacing w:val="-6"/>
        </w:rPr>
        <w:t> </w:t>
      </w:r>
      <w:r>
        <w:rPr/>
        <w:t>de</w:t>
      </w:r>
      <w:r>
        <w:rPr>
          <w:spacing w:val="-6"/>
        </w:rPr>
        <w:t> </w:t>
      </w:r>
      <w:r>
        <w:rPr/>
        <w:t>relaciones</w:t>
      </w:r>
      <w:r>
        <w:rPr>
          <w:spacing w:val="-6"/>
        </w:rPr>
        <w:t> </w:t>
      </w:r>
      <w:r>
        <w:rPr/>
        <w:t>e</w:t>
      </w:r>
      <w:r>
        <w:rPr>
          <w:spacing w:val="-6"/>
        </w:rPr>
        <w:t> </w:t>
      </w:r>
      <w:r>
        <w:rPr/>
        <w:t>interacciones</w:t>
      </w:r>
      <w:r>
        <w:rPr>
          <w:spacing w:val="-6"/>
        </w:rPr>
        <w:t> </w:t>
      </w:r>
      <w:r>
        <w:rPr/>
        <w:t>entre</w:t>
      </w:r>
      <w:r>
        <w:rPr>
          <w:spacing w:val="-6"/>
        </w:rPr>
        <w:t> </w:t>
      </w:r>
      <w:r>
        <w:rPr/>
        <w:t>agentes gubernamentales de la sociedad y el mercado, cuyo resultado dependerá de cómo se distribuye el poder” (Santos y Porras, 2012:</w:t>
      </w:r>
      <w:r>
        <w:rPr>
          <w:spacing w:val="16"/>
        </w:rPr>
        <w:t> </w:t>
      </w:r>
      <w:r>
        <w:rPr/>
        <w:t>143)</w:t>
      </w:r>
    </w:p>
    <w:p>
      <w:pPr>
        <w:pStyle w:val="BodyText"/>
        <w:spacing w:before="11"/>
      </w:pPr>
    </w:p>
    <w:p>
      <w:pPr>
        <w:pStyle w:val="BodyText"/>
        <w:spacing w:line="249" w:lineRule="auto"/>
        <w:ind w:left="127" w:firstLine="170"/>
        <w:jc w:val="both"/>
      </w:pPr>
      <w:r>
        <w:rPr/>
        <w:t>A partir de las aportaciones de Santos y Porras (2012) sobre la interacción entre actores, es posible enfatizar que la gobernanza territorial como modelo emergente involucra</w:t>
      </w:r>
      <w:r>
        <w:rPr>
          <w:spacing w:val="-7"/>
        </w:rPr>
        <w:t> </w:t>
      </w:r>
      <w:r>
        <w:rPr/>
        <w:t>no</w:t>
      </w:r>
      <w:r>
        <w:rPr>
          <w:spacing w:val="-7"/>
        </w:rPr>
        <w:t> </w:t>
      </w:r>
      <w:r>
        <w:rPr/>
        <w:t>sólo</w:t>
      </w:r>
      <w:r>
        <w:rPr>
          <w:spacing w:val="-7"/>
        </w:rPr>
        <w:t> </w:t>
      </w:r>
      <w:r>
        <w:rPr/>
        <w:t>a</w:t>
      </w:r>
      <w:r>
        <w:rPr>
          <w:spacing w:val="-7"/>
        </w:rPr>
        <w:t> </w:t>
      </w:r>
      <w:r>
        <w:rPr/>
        <w:t>los</w:t>
      </w:r>
      <w:r>
        <w:rPr>
          <w:spacing w:val="-7"/>
        </w:rPr>
        <w:t> </w:t>
      </w:r>
      <w:r>
        <w:rPr/>
        <w:t>sectores</w:t>
      </w:r>
      <w:r>
        <w:rPr>
          <w:spacing w:val="-7"/>
        </w:rPr>
        <w:t> </w:t>
      </w:r>
      <w:r>
        <w:rPr/>
        <w:t>públicos</w:t>
      </w:r>
      <w:r>
        <w:rPr>
          <w:spacing w:val="-7"/>
        </w:rPr>
        <w:t> </w:t>
      </w:r>
      <w:r>
        <w:rPr/>
        <w:t>y</w:t>
      </w:r>
      <w:r>
        <w:rPr>
          <w:spacing w:val="-7"/>
        </w:rPr>
        <w:t> </w:t>
      </w:r>
      <w:r>
        <w:rPr/>
        <w:t>privados,</w:t>
      </w:r>
      <w:r>
        <w:rPr>
          <w:spacing w:val="-7"/>
        </w:rPr>
        <w:t> </w:t>
      </w:r>
      <w:r>
        <w:rPr/>
        <w:t>permite</w:t>
      </w:r>
      <w:r>
        <w:rPr>
          <w:spacing w:val="-7"/>
        </w:rPr>
        <w:t> </w:t>
      </w:r>
      <w:r>
        <w:rPr/>
        <w:t>basado</w:t>
      </w:r>
      <w:r>
        <w:rPr>
          <w:spacing w:val="-7"/>
        </w:rPr>
        <w:t> </w:t>
      </w:r>
      <w:r>
        <w:rPr/>
        <w:t>en</w:t>
      </w:r>
      <w:r>
        <w:rPr>
          <w:spacing w:val="-7"/>
        </w:rPr>
        <w:t> </w:t>
      </w:r>
      <w:r>
        <w:rPr/>
        <w:t>los</w:t>
      </w:r>
      <w:r>
        <w:rPr>
          <w:spacing w:val="-7"/>
        </w:rPr>
        <w:t> </w:t>
      </w:r>
      <w:r>
        <w:rPr/>
        <w:t>principios</w:t>
      </w:r>
      <w:r>
        <w:rPr>
          <w:spacing w:val="-7"/>
        </w:rPr>
        <w:t> </w:t>
      </w:r>
      <w:r>
        <w:rPr/>
        <w:t>de apertura y participación, el encajamiento de la sociedad civil en la toma de decisiones; entendiendo por sociedad civil: “al conjunto de instituciones que definen y defienden los derechos individuales, políticos y sociales de los ciudadanos que propician su    libre asociación, la posibilidad de defenderse de la acción estratégica del poder y la viabilidad de la intervención de la ciudadanía en la operación de la misma del sistema” (Olvera, 2005, citado en Jorquera,</w:t>
      </w:r>
      <w:r>
        <w:rPr>
          <w:spacing w:val="-16"/>
        </w:rPr>
        <w:t> </w:t>
      </w:r>
      <w:r>
        <w:rPr/>
        <w:t>2011:7).</w:t>
      </w:r>
    </w:p>
    <w:p>
      <w:pPr>
        <w:pStyle w:val="BodyText"/>
        <w:spacing w:before="11"/>
      </w:pPr>
    </w:p>
    <w:p>
      <w:pPr>
        <w:pStyle w:val="BodyText"/>
        <w:spacing w:line="249" w:lineRule="auto"/>
        <w:ind w:left="127" w:firstLine="170"/>
        <w:jc w:val="both"/>
      </w:pPr>
      <w:r>
        <w:rPr/>
        <w:t>El sector público está representado por el gobierno local, para Pascual (2005), derivado de la economía del conocimiento las estrategias urbanas sobrepasan los</w:t>
      </w:r>
      <w:r>
        <w:rPr>
          <w:w w:val="101"/>
        </w:rPr>
        <w:t> </w:t>
      </w:r>
      <w:r>
        <w:rPr/>
        <w:t>territorios definidos administrativamente; por lo cual el municipio (ámbito local) y su gobierno deben entenderse como unidad básica relacional precisando una estrategia</w:t>
      </w:r>
      <w:r>
        <w:rPr>
          <w:w w:val="100"/>
        </w:rPr>
        <w:t> </w:t>
      </w:r>
      <w:r>
        <w:rPr/>
        <w:t>territorial que permita el dinamismo económico y social compatible y complementario con la ordenación territorial y urbana.</w:t>
      </w:r>
    </w:p>
    <w:p>
      <w:pPr>
        <w:pStyle w:val="BodyText"/>
        <w:spacing w:before="11"/>
      </w:pPr>
    </w:p>
    <w:p>
      <w:pPr>
        <w:pStyle w:val="BodyText"/>
        <w:spacing w:line="249" w:lineRule="auto"/>
        <w:ind w:left="127" w:firstLine="170"/>
        <w:jc w:val="both"/>
      </w:pPr>
      <w:r>
        <w:rPr/>
        <w:t>En el año 2005, el movimiento América-Europa de Regiones y Ciudades para el Desarrollo de la Gobernanza Territorial, (AERYC) concluyó que en un contexto de gobernanza</w:t>
      </w:r>
      <w:r>
        <w:rPr>
          <w:spacing w:val="-13"/>
        </w:rPr>
        <w:t> </w:t>
      </w:r>
      <w:r>
        <w:rPr/>
        <w:t>los</w:t>
      </w:r>
      <w:r>
        <w:rPr>
          <w:spacing w:val="-13"/>
        </w:rPr>
        <w:t> </w:t>
      </w:r>
      <w:r>
        <w:rPr/>
        <w:t>gobiernos</w:t>
      </w:r>
      <w:r>
        <w:rPr>
          <w:spacing w:val="-13"/>
        </w:rPr>
        <w:t> </w:t>
      </w:r>
      <w:r>
        <w:rPr/>
        <w:t>locales</w:t>
      </w:r>
      <w:r>
        <w:rPr>
          <w:spacing w:val="-13"/>
        </w:rPr>
        <w:t> </w:t>
      </w:r>
      <w:r>
        <w:rPr/>
        <w:t>cobran</w:t>
      </w:r>
      <w:r>
        <w:rPr>
          <w:spacing w:val="-13"/>
        </w:rPr>
        <w:t> </w:t>
      </w:r>
      <w:r>
        <w:rPr/>
        <w:t>un</w:t>
      </w:r>
      <w:r>
        <w:rPr>
          <w:spacing w:val="-13"/>
        </w:rPr>
        <w:t> </w:t>
      </w:r>
      <w:r>
        <w:rPr/>
        <w:t>papel</w:t>
      </w:r>
      <w:r>
        <w:rPr>
          <w:spacing w:val="-13"/>
        </w:rPr>
        <w:t> </w:t>
      </w:r>
      <w:r>
        <w:rPr/>
        <w:t>de</w:t>
      </w:r>
      <w:r>
        <w:rPr>
          <w:spacing w:val="-13"/>
        </w:rPr>
        <w:t> </w:t>
      </w:r>
      <w:r>
        <w:rPr/>
        <w:t>suma</w:t>
      </w:r>
      <w:r>
        <w:rPr>
          <w:spacing w:val="-13"/>
        </w:rPr>
        <w:t> </w:t>
      </w:r>
      <w:r>
        <w:rPr/>
        <w:t>relevancia</w:t>
      </w:r>
      <w:r>
        <w:rPr>
          <w:spacing w:val="-13"/>
        </w:rPr>
        <w:t> </w:t>
      </w:r>
      <w:r>
        <w:rPr/>
        <w:t>para</w:t>
      </w:r>
      <w:r>
        <w:rPr>
          <w:spacing w:val="-13"/>
        </w:rPr>
        <w:t> </w:t>
      </w:r>
      <w:r>
        <w:rPr/>
        <w:t>el</w:t>
      </w:r>
      <w:r>
        <w:rPr>
          <w:spacing w:val="-13"/>
        </w:rPr>
        <w:t> </w:t>
      </w:r>
      <w:r>
        <w:rPr/>
        <w:t>desarrollo local, con lo que plantearon 10 tesis que describen a los Ayuntamientos como clave   de la modernización de las ciudades, las regiones y los países de acuerdo con</w:t>
      </w:r>
      <w:r>
        <w:rPr>
          <w:spacing w:val="-34"/>
        </w:rPr>
        <w:t> </w:t>
      </w:r>
      <w:r>
        <w:rPr/>
        <w:t>Pascual (2005) éstas</w:t>
      </w:r>
      <w:r>
        <w:rPr>
          <w:spacing w:val="-27"/>
        </w:rPr>
        <w:t> </w:t>
      </w:r>
      <w:r>
        <w:rPr/>
        <w:t>son:</w:t>
      </w:r>
    </w:p>
    <w:p>
      <w:pPr>
        <w:pStyle w:val="Heading4"/>
        <w:numPr>
          <w:ilvl w:val="0"/>
          <w:numId w:val="6"/>
        </w:numPr>
        <w:tabs>
          <w:tab w:pos="846" w:val="left" w:leader="none"/>
          <w:tab w:pos="848" w:val="left" w:leader="none"/>
        </w:tabs>
        <w:spacing w:line="240" w:lineRule="auto" w:before="109" w:after="0"/>
        <w:ind w:left="127" w:right="0" w:firstLine="170"/>
        <w:jc w:val="left"/>
        <w:rPr>
          <w:i w:val="0"/>
        </w:rPr>
      </w:pPr>
      <w:r>
        <w:rPr>
          <w:i/>
          <w:w w:val="97"/>
        </w:rPr>
        <w:br w:type="column"/>
      </w:r>
      <w:r>
        <w:rPr>
          <w:i/>
        </w:rPr>
        <w:t>Tesis</w:t>
      </w:r>
      <w:r>
        <w:rPr>
          <w:i/>
          <w:spacing w:val="-6"/>
        </w:rPr>
        <w:t> </w:t>
      </w:r>
      <w:r>
        <w:rPr>
          <w:i/>
        </w:rPr>
        <w:t>1:</w:t>
      </w:r>
      <w:r>
        <w:rPr>
          <w:i/>
          <w:spacing w:val="-6"/>
        </w:rPr>
        <w:t> </w:t>
      </w:r>
      <w:r>
        <w:rPr>
          <w:i/>
        </w:rPr>
        <w:t>la</w:t>
      </w:r>
      <w:r>
        <w:rPr>
          <w:i/>
          <w:spacing w:val="-6"/>
        </w:rPr>
        <w:t> </w:t>
      </w:r>
      <w:r>
        <w:rPr>
          <w:i/>
        </w:rPr>
        <w:t>eficacia</w:t>
      </w:r>
      <w:r>
        <w:rPr>
          <w:i/>
          <w:spacing w:val="-6"/>
        </w:rPr>
        <w:t> </w:t>
      </w:r>
      <w:r>
        <w:rPr>
          <w:i/>
        </w:rPr>
        <w:t>de</w:t>
      </w:r>
      <w:r>
        <w:rPr>
          <w:i/>
          <w:spacing w:val="-6"/>
        </w:rPr>
        <w:t> </w:t>
      </w:r>
      <w:r>
        <w:rPr>
          <w:i/>
        </w:rPr>
        <w:t>la</w:t>
      </w:r>
      <w:r>
        <w:rPr>
          <w:i/>
          <w:spacing w:val="-6"/>
        </w:rPr>
        <w:t> </w:t>
      </w:r>
      <w:r>
        <w:rPr>
          <w:i/>
        </w:rPr>
        <w:t>gestión</w:t>
      </w:r>
      <w:r>
        <w:rPr>
          <w:i/>
          <w:spacing w:val="-6"/>
        </w:rPr>
        <w:t> </w:t>
      </w:r>
      <w:r>
        <w:rPr>
          <w:i/>
        </w:rPr>
        <w:t>local</w:t>
      </w:r>
      <w:r>
        <w:rPr>
          <w:i/>
          <w:spacing w:val="-6"/>
        </w:rPr>
        <w:t> </w:t>
      </w:r>
      <w:r>
        <w:rPr>
          <w:i/>
        </w:rPr>
        <w:t>es</w:t>
      </w:r>
      <w:r>
        <w:rPr>
          <w:i/>
          <w:spacing w:val="-6"/>
        </w:rPr>
        <w:t> </w:t>
      </w:r>
      <w:r>
        <w:rPr>
          <w:i/>
        </w:rPr>
        <w:t>la</w:t>
      </w:r>
      <w:r>
        <w:rPr>
          <w:i/>
          <w:spacing w:val="-6"/>
        </w:rPr>
        <w:t> </w:t>
      </w:r>
      <w:r>
        <w:rPr>
          <w:i/>
        </w:rPr>
        <w:t>proximidad</w:t>
      </w:r>
      <w:r>
        <w:rPr>
          <w:i w:val="0"/>
        </w:rPr>
        <w:t>:</w:t>
      </w:r>
    </w:p>
    <w:p>
      <w:pPr>
        <w:pStyle w:val="BodyText"/>
        <w:spacing w:line="249" w:lineRule="auto" w:before="10"/>
        <w:ind w:left="127" w:right="127" w:firstLine="170"/>
        <w:jc w:val="both"/>
      </w:pPr>
      <w:r>
        <w:rPr/>
        <w:t>Los gobiernos locales son considerados el nivel más adecuado para gestionar los servicios sociales; donde los Ayuntamientos o gobiernos locales pueden identificar las necesidades de la población con mayor facilidad derivado de su proximidad, además de la organización y coordinación para afrontar retos cotidianos por medio de una acción integral.</w:t>
      </w:r>
    </w:p>
    <w:p>
      <w:pPr>
        <w:pStyle w:val="BodyText"/>
        <w:spacing w:before="11"/>
      </w:pPr>
    </w:p>
    <w:p>
      <w:pPr>
        <w:pStyle w:val="Heading4"/>
        <w:numPr>
          <w:ilvl w:val="0"/>
          <w:numId w:val="6"/>
        </w:numPr>
        <w:tabs>
          <w:tab w:pos="848" w:val="left" w:leader="none"/>
        </w:tabs>
        <w:spacing w:line="249" w:lineRule="auto" w:before="0" w:after="0"/>
        <w:ind w:left="127" w:right="127" w:firstLine="170"/>
        <w:jc w:val="both"/>
      </w:pPr>
      <w:r>
        <w:rPr>
          <w:i/>
        </w:rPr>
        <w:t>Tesis 2: Las Ciudades y los Ayuntamientos son las claves para la riqueza </w:t>
      </w:r>
      <w:r>
        <w:rPr/>
        <w:t>de</w:t>
      </w:r>
      <w:r>
        <w:rPr>
          <w:spacing w:val="-9"/>
        </w:rPr>
        <w:t> </w:t>
      </w:r>
      <w:r>
        <w:rPr/>
        <w:t>las</w:t>
      </w:r>
      <w:r>
        <w:rPr>
          <w:spacing w:val="-9"/>
        </w:rPr>
        <w:t> </w:t>
      </w:r>
      <w:r>
        <w:rPr/>
        <w:t>regiones</w:t>
      </w:r>
      <w:r>
        <w:rPr>
          <w:spacing w:val="-9"/>
        </w:rPr>
        <w:t> </w:t>
      </w:r>
      <w:r>
        <w:rPr/>
        <w:t>y</w:t>
      </w:r>
      <w:r>
        <w:rPr>
          <w:spacing w:val="-9"/>
        </w:rPr>
        <w:t> </w:t>
      </w:r>
      <w:r>
        <w:rPr/>
        <w:t>las</w:t>
      </w:r>
      <w:r>
        <w:rPr>
          <w:spacing w:val="-9"/>
        </w:rPr>
        <w:t> </w:t>
      </w:r>
      <w:r>
        <w:rPr/>
        <w:t>ciudades:</w:t>
      </w:r>
    </w:p>
    <w:p>
      <w:pPr>
        <w:pStyle w:val="BodyText"/>
        <w:spacing w:line="249" w:lineRule="auto" w:before="1"/>
        <w:ind w:left="127" w:right="128" w:firstLine="170"/>
        <w:jc w:val="both"/>
      </w:pPr>
      <w:r>
        <w:rPr/>
        <w:t>Fortalecimiento a la organización de redes e interacciones sociales en el territorio, influyendo en el desarrollo económico, social y humano en general.</w:t>
      </w:r>
    </w:p>
    <w:p>
      <w:pPr>
        <w:pStyle w:val="BodyText"/>
        <w:spacing w:before="11"/>
      </w:pPr>
    </w:p>
    <w:p>
      <w:pPr>
        <w:pStyle w:val="Heading4"/>
        <w:numPr>
          <w:ilvl w:val="0"/>
          <w:numId w:val="6"/>
        </w:numPr>
        <w:tabs>
          <w:tab w:pos="848" w:val="left" w:leader="none"/>
        </w:tabs>
        <w:spacing w:line="249" w:lineRule="auto" w:before="0" w:after="0"/>
        <w:ind w:left="127" w:right="128" w:firstLine="170"/>
        <w:jc w:val="both"/>
      </w:pPr>
      <w:r>
        <w:rPr>
          <w:i/>
        </w:rPr>
        <w:t>Tesis 3: el ayuntamiento más que administración debe actuar como </w:t>
      </w:r>
      <w:r>
        <w:rPr/>
        <w:t>gobierno, nada de lo que le acontece a la ciudadanía le es</w:t>
      </w:r>
      <w:r>
        <w:rPr>
          <w:spacing w:val="20"/>
        </w:rPr>
        <w:t> </w:t>
      </w:r>
      <w:r>
        <w:rPr/>
        <w:t>indiferente:</w:t>
      </w:r>
    </w:p>
    <w:p>
      <w:pPr>
        <w:pStyle w:val="BodyText"/>
        <w:spacing w:line="249" w:lineRule="auto" w:before="1"/>
        <w:ind w:left="127" w:right="127" w:firstLine="170"/>
        <w:jc w:val="both"/>
      </w:pPr>
      <w:r>
        <w:rPr/>
        <w:t>Asumir la responsabilidad sobre el presente y futuro del territorio, reivindicar y negociar con otros niveles de administración acciones de colaboración estableciendo compromisos institucionales y ciudadanos afrontando así los retos del </w:t>
      </w:r>
      <w:r>
        <w:rPr>
          <w:spacing w:val="53"/>
        </w:rPr>
        <w:t> </w:t>
      </w:r>
      <w:r>
        <w:rPr/>
        <w:t>municipio.</w:t>
      </w:r>
    </w:p>
    <w:p>
      <w:pPr>
        <w:pStyle w:val="BodyText"/>
        <w:spacing w:before="11"/>
      </w:pPr>
    </w:p>
    <w:p>
      <w:pPr>
        <w:pStyle w:val="Heading4"/>
        <w:numPr>
          <w:ilvl w:val="0"/>
          <w:numId w:val="6"/>
        </w:numPr>
        <w:tabs>
          <w:tab w:pos="848" w:val="left" w:leader="none"/>
        </w:tabs>
        <w:spacing w:line="249" w:lineRule="auto" w:before="0" w:after="0"/>
        <w:ind w:left="127" w:right="129" w:firstLine="170"/>
        <w:jc w:val="both"/>
      </w:pPr>
      <w:r>
        <w:rPr>
          <w:i/>
        </w:rPr>
        <w:t>Tesis 4: El Ayuntamiento más que como un gestor de recursos ha de </w:t>
      </w:r>
      <w:r>
        <w:rPr/>
        <w:t>actuar como un organizador</w:t>
      </w:r>
      <w:r>
        <w:rPr>
          <w:spacing w:val="-15"/>
        </w:rPr>
        <w:t> </w:t>
      </w:r>
      <w:r>
        <w:rPr/>
        <w:t>colectivo:</w:t>
      </w:r>
    </w:p>
    <w:p>
      <w:pPr>
        <w:pStyle w:val="BodyText"/>
        <w:spacing w:line="249" w:lineRule="auto" w:before="1"/>
        <w:ind w:left="127" w:right="128" w:firstLine="170"/>
        <w:jc w:val="both"/>
      </w:pPr>
      <w:r>
        <w:rPr/>
        <w:t>Cambiar el papel del gobierno y que éste asuma el liderazgo democrático para organizar la respuesta adecuada del conjunto de la sociedad.</w:t>
      </w:r>
    </w:p>
    <w:p>
      <w:pPr>
        <w:pStyle w:val="BodyText"/>
        <w:spacing w:before="11"/>
      </w:pPr>
    </w:p>
    <w:p>
      <w:pPr>
        <w:pStyle w:val="Heading4"/>
        <w:numPr>
          <w:ilvl w:val="0"/>
          <w:numId w:val="6"/>
        </w:numPr>
        <w:tabs>
          <w:tab w:pos="848" w:val="left" w:leader="none"/>
        </w:tabs>
        <w:spacing w:line="249" w:lineRule="auto" w:before="0" w:after="0"/>
        <w:ind w:left="127" w:right="127" w:firstLine="170"/>
        <w:jc w:val="both"/>
      </w:pPr>
      <w:r>
        <w:rPr>
          <w:i/>
        </w:rPr>
        <w:t>Tesis 5: la gestión del gobierno local debe entenderse como gestión </w:t>
      </w:r>
      <w:r>
        <w:rPr/>
        <w:t>relacional:</w:t>
      </w:r>
    </w:p>
    <w:p>
      <w:pPr>
        <w:pStyle w:val="BodyText"/>
        <w:spacing w:line="249" w:lineRule="auto" w:before="1"/>
        <w:ind w:left="127" w:right="127" w:firstLine="170"/>
        <w:jc w:val="both"/>
      </w:pPr>
      <w:r>
        <w:rPr/>
        <w:t>“La gestión relacional permite incrementar la intensidad, calidad y diversidad de las interacciones entre los actores económicos, sociales e institucionales y los distintos sectores de la ciudadanía para mejorar la creatividad, la confianza, la colaboración y la cultura emprendedora para conseguir colectivamente un mayor desarrollo  humano”.</w:t>
      </w:r>
    </w:p>
    <w:p>
      <w:pPr>
        <w:pStyle w:val="BodyText"/>
        <w:spacing w:before="11"/>
      </w:pPr>
    </w:p>
    <w:p>
      <w:pPr>
        <w:pStyle w:val="ListParagraph"/>
        <w:numPr>
          <w:ilvl w:val="0"/>
          <w:numId w:val="6"/>
        </w:numPr>
        <w:tabs>
          <w:tab w:pos="846" w:val="left" w:leader="none"/>
          <w:tab w:pos="848" w:val="left" w:leader="none"/>
        </w:tabs>
        <w:spacing w:line="249" w:lineRule="auto" w:before="0" w:after="0"/>
        <w:ind w:left="127" w:right="127" w:firstLine="170"/>
        <w:jc w:val="right"/>
        <w:rPr>
          <w:sz w:val="20"/>
        </w:rPr>
      </w:pPr>
      <w:r>
        <w:rPr>
          <w:b/>
          <w:i/>
          <w:sz w:val="20"/>
        </w:rPr>
        <w:t>Tesis</w:t>
      </w:r>
      <w:r>
        <w:rPr>
          <w:b/>
          <w:i/>
          <w:spacing w:val="40"/>
          <w:sz w:val="20"/>
        </w:rPr>
        <w:t> </w:t>
      </w:r>
      <w:r>
        <w:rPr>
          <w:b/>
          <w:i/>
          <w:sz w:val="20"/>
        </w:rPr>
        <w:t>6:</w:t>
      </w:r>
      <w:r>
        <w:rPr>
          <w:b/>
          <w:i/>
          <w:spacing w:val="40"/>
          <w:sz w:val="20"/>
        </w:rPr>
        <w:t> </w:t>
      </w:r>
      <w:r>
        <w:rPr>
          <w:b/>
          <w:i/>
          <w:sz w:val="20"/>
        </w:rPr>
        <w:t>el</w:t>
      </w:r>
      <w:r>
        <w:rPr>
          <w:b/>
          <w:i/>
          <w:spacing w:val="40"/>
          <w:sz w:val="20"/>
        </w:rPr>
        <w:t> </w:t>
      </w:r>
      <w:r>
        <w:rPr>
          <w:b/>
          <w:i/>
          <w:sz w:val="20"/>
        </w:rPr>
        <w:t>desarrollo</w:t>
      </w:r>
      <w:r>
        <w:rPr>
          <w:b/>
          <w:i/>
          <w:spacing w:val="40"/>
          <w:sz w:val="20"/>
        </w:rPr>
        <w:t> </w:t>
      </w:r>
      <w:r>
        <w:rPr>
          <w:b/>
          <w:i/>
          <w:sz w:val="20"/>
        </w:rPr>
        <w:t>urbano</w:t>
      </w:r>
      <w:r>
        <w:rPr>
          <w:b/>
          <w:i/>
          <w:spacing w:val="40"/>
          <w:sz w:val="20"/>
        </w:rPr>
        <w:t> </w:t>
      </w:r>
      <w:r>
        <w:rPr>
          <w:b/>
          <w:i/>
          <w:sz w:val="20"/>
        </w:rPr>
        <w:t>se</w:t>
      </w:r>
      <w:r>
        <w:rPr>
          <w:b/>
          <w:i/>
          <w:spacing w:val="40"/>
          <w:sz w:val="20"/>
        </w:rPr>
        <w:t> </w:t>
      </w:r>
      <w:r>
        <w:rPr>
          <w:b/>
          <w:i/>
          <w:sz w:val="20"/>
        </w:rPr>
        <w:t>debe</w:t>
      </w:r>
      <w:r>
        <w:rPr>
          <w:b/>
          <w:i/>
          <w:spacing w:val="40"/>
          <w:sz w:val="20"/>
        </w:rPr>
        <w:t> </w:t>
      </w:r>
      <w:r>
        <w:rPr>
          <w:b/>
          <w:i/>
          <w:sz w:val="20"/>
        </w:rPr>
        <w:t>a</w:t>
      </w:r>
      <w:r>
        <w:rPr>
          <w:b/>
          <w:i/>
          <w:spacing w:val="40"/>
          <w:sz w:val="20"/>
        </w:rPr>
        <w:t> </w:t>
      </w:r>
      <w:r>
        <w:rPr>
          <w:b/>
          <w:i/>
          <w:sz w:val="20"/>
        </w:rPr>
        <w:t>la</w:t>
      </w:r>
      <w:r>
        <w:rPr>
          <w:b/>
          <w:i/>
          <w:spacing w:val="40"/>
          <w:sz w:val="20"/>
        </w:rPr>
        <w:t> </w:t>
      </w:r>
      <w:r>
        <w:rPr>
          <w:b/>
          <w:i/>
          <w:sz w:val="20"/>
        </w:rPr>
        <w:t>mejora</w:t>
      </w:r>
      <w:r>
        <w:rPr>
          <w:b/>
          <w:i/>
          <w:spacing w:val="40"/>
          <w:sz w:val="20"/>
        </w:rPr>
        <w:t> </w:t>
      </w:r>
      <w:r>
        <w:rPr>
          <w:b/>
          <w:i/>
          <w:sz w:val="20"/>
        </w:rPr>
        <w:t>de</w:t>
      </w:r>
      <w:r>
        <w:rPr>
          <w:b/>
          <w:i/>
          <w:spacing w:val="40"/>
          <w:sz w:val="20"/>
        </w:rPr>
        <w:t> </w:t>
      </w:r>
      <w:r>
        <w:rPr>
          <w:b/>
          <w:i/>
          <w:sz w:val="20"/>
        </w:rPr>
        <w:t>la</w:t>
      </w:r>
      <w:r>
        <w:rPr>
          <w:b/>
          <w:i/>
          <w:spacing w:val="40"/>
          <w:sz w:val="20"/>
        </w:rPr>
        <w:t> </w:t>
      </w:r>
      <w:r>
        <w:rPr>
          <w:b/>
          <w:i/>
          <w:sz w:val="20"/>
        </w:rPr>
        <w:t>capacidad</w:t>
      </w:r>
      <w:r>
        <w:rPr>
          <w:b/>
          <w:i/>
          <w:spacing w:val="40"/>
          <w:sz w:val="20"/>
        </w:rPr>
        <w:t> </w:t>
      </w:r>
      <w:r>
        <w:rPr>
          <w:b/>
          <w:i/>
          <w:sz w:val="20"/>
        </w:rPr>
        <w:t>de</w:t>
      </w:r>
      <w:r>
        <w:rPr>
          <w:b/>
          <w:i/>
          <w:w w:val="101"/>
          <w:sz w:val="20"/>
        </w:rPr>
        <w:t> </w:t>
      </w:r>
      <w:r>
        <w:rPr>
          <w:b/>
          <w:i/>
          <w:sz w:val="20"/>
        </w:rPr>
        <w:t>organización</w:t>
      </w:r>
      <w:r>
        <w:rPr>
          <w:b/>
          <w:i/>
          <w:spacing w:val="-30"/>
          <w:sz w:val="20"/>
        </w:rPr>
        <w:t> </w:t>
      </w:r>
      <w:r>
        <w:rPr>
          <w:b/>
          <w:i/>
          <w:sz w:val="20"/>
        </w:rPr>
        <w:t>y</w:t>
      </w:r>
      <w:r>
        <w:rPr>
          <w:b/>
          <w:i/>
          <w:spacing w:val="-30"/>
          <w:sz w:val="20"/>
        </w:rPr>
        <w:t> </w:t>
      </w:r>
      <w:r>
        <w:rPr>
          <w:b/>
          <w:i/>
          <w:sz w:val="20"/>
        </w:rPr>
        <w:t>acción</w:t>
      </w:r>
      <w:r>
        <w:rPr>
          <w:b/>
          <w:i/>
          <w:spacing w:val="-30"/>
          <w:sz w:val="20"/>
        </w:rPr>
        <w:t> </w:t>
      </w:r>
      <w:r>
        <w:rPr>
          <w:b/>
          <w:i/>
          <w:sz w:val="20"/>
        </w:rPr>
        <w:t>de</w:t>
      </w:r>
      <w:r>
        <w:rPr>
          <w:b/>
          <w:i/>
          <w:spacing w:val="-30"/>
          <w:sz w:val="20"/>
        </w:rPr>
        <w:t> </w:t>
      </w:r>
      <w:r>
        <w:rPr>
          <w:b/>
          <w:i/>
          <w:sz w:val="20"/>
        </w:rPr>
        <w:t>una</w:t>
      </w:r>
      <w:r>
        <w:rPr>
          <w:b/>
          <w:i/>
          <w:spacing w:val="-30"/>
          <w:sz w:val="20"/>
        </w:rPr>
        <w:t> </w:t>
      </w:r>
      <w:r>
        <w:rPr>
          <w:b/>
          <w:i/>
          <w:sz w:val="20"/>
        </w:rPr>
        <w:t>ciudad;</w:t>
      </w:r>
      <w:r>
        <w:rPr>
          <w:b/>
          <w:i/>
          <w:spacing w:val="-30"/>
          <w:sz w:val="20"/>
        </w:rPr>
        <w:t> </w:t>
      </w:r>
      <w:r>
        <w:rPr>
          <w:b/>
          <w:i/>
          <w:sz w:val="20"/>
        </w:rPr>
        <w:t>la</w:t>
      </w:r>
      <w:r>
        <w:rPr>
          <w:b/>
          <w:i/>
          <w:spacing w:val="-30"/>
          <w:sz w:val="20"/>
        </w:rPr>
        <w:t> </w:t>
      </w:r>
      <w:r>
        <w:rPr>
          <w:b/>
          <w:i/>
          <w:sz w:val="20"/>
        </w:rPr>
        <w:t>gestión</w:t>
      </w:r>
      <w:r>
        <w:rPr>
          <w:b/>
          <w:i/>
          <w:spacing w:val="-30"/>
          <w:sz w:val="20"/>
        </w:rPr>
        <w:t> </w:t>
      </w:r>
      <w:r>
        <w:rPr>
          <w:b/>
          <w:i/>
          <w:sz w:val="20"/>
        </w:rPr>
        <w:t>relacional</w:t>
      </w:r>
      <w:r>
        <w:rPr>
          <w:b/>
          <w:i/>
          <w:spacing w:val="-30"/>
          <w:sz w:val="20"/>
        </w:rPr>
        <w:t> </w:t>
      </w:r>
      <w:r>
        <w:rPr>
          <w:b/>
          <w:i/>
          <w:sz w:val="20"/>
        </w:rPr>
        <w:t>es</w:t>
      </w:r>
      <w:r>
        <w:rPr>
          <w:b/>
          <w:i/>
          <w:spacing w:val="-30"/>
          <w:sz w:val="20"/>
        </w:rPr>
        <w:t> </w:t>
      </w:r>
      <w:r>
        <w:rPr>
          <w:b/>
          <w:i/>
          <w:sz w:val="20"/>
        </w:rPr>
        <w:t>su</w:t>
      </w:r>
      <w:r>
        <w:rPr>
          <w:b/>
          <w:i/>
          <w:spacing w:val="-30"/>
          <w:sz w:val="20"/>
        </w:rPr>
        <w:t> </w:t>
      </w:r>
      <w:r>
        <w:rPr>
          <w:b/>
          <w:i/>
          <w:sz w:val="20"/>
        </w:rPr>
        <w:t>primer</w:t>
      </w:r>
      <w:r>
        <w:rPr>
          <w:b/>
          <w:i/>
          <w:spacing w:val="-30"/>
          <w:sz w:val="20"/>
        </w:rPr>
        <w:t> </w:t>
      </w:r>
      <w:r>
        <w:rPr>
          <w:b/>
          <w:i/>
          <w:sz w:val="20"/>
        </w:rPr>
        <w:t>instrumento:</w:t>
      </w:r>
      <w:r>
        <w:rPr>
          <w:b/>
          <w:i/>
          <w:w w:val="99"/>
          <w:sz w:val="20"/>
        </w:rPr>
        <w:t> </w:t>
      </w:r>
      <w:r>
        <w:rPr>
          <w:sz w:val="20"/>
        </w:rPr>
        <w:t>La gestión relacional o de interacciones e interdependencias tiene como</w:t>
      </w:r>
      <w:r>
        <w:rPr>
          <w:spacing w:val="54"/>
          <w:sz w:val="20"/>
        </w:rPr>
        <w:t> </w:t>
      </w:r>
      <w:r>
        <w:rPr>
          <w:sz w:val="20"/>
        </w:rPr>
        <w:t>finalidad</w:t>
      </w:r>
      <w:r>
        <w:rPr>
          <w:spacing w:val="11"/>
          <w:sz w:val="20"/>
        </w:rPr>
        <w:t> </w:t>
      </w:r>
      <w:r>
        <w:rPr>
          <w:sz w:val="20"/>
        </w:rPr>
        <w:t>la</w:t>
      </w:r>
      <w:r>
        <w:rPr>
          <w:w w:val="97"/>
          <w:sz w:val="20"/>
        </w:rPr>
        <w:t> </w:t>
      </w:r>
      <w:r>
        <w:rPr>
          <w:sz w:val="20"/>
        </w:rPr>
        <w:t>mejora</w:t>
      </w:r>
      <w:r>
        <w:rPr>
          <w:spacing w:val="21"/>
          <w:sz w:val="20"/>
        </w:rPr>
        <w:t> </w:t>
      </w:r>
      <w:r>
        <w:rPr>
          <w:sz w:val="20"/>
        </w:rPr>
        <w:t>de</w:t>
      </w:r>
      <w:r>
        <w:rPr>
          <w:spacing w:val="21"/>
          <w:sz w:val="20"/>
        </w:rPr>
        <w:t> </w:t>
      </w:r>
      <w:r>
        <w:rPr>
          <w:sz w:val="20"/>
        </w:rPr>
        <w:t>la</w:t>
      </w:r>
      <w:r>
        <w:rPr>
          <w:spacing w:val="21"/>
          <w:sz w:val="20"/>
        </w:rPr>
        <w:t> </w:t>
      </w:r>
      <w:r>
        <w:rPr>
          <w:sz w:val="20"/>
        </w:rPr>
        <w:t>capacidad</w:t>
      </w:r>
      <w:r>
        <w:rPr>
          <w:spacing w:val="21"/>
          <w:sz w:val="20"/>
        </w:rPr>
        <w:t> </w:t>
      </w:r>
      <w:r>
        <w:rPr>
          <w:sz w:val="20"/>
        </w:rPr>
        <w:t>de</w:t>
      </w:r>
      <w:r>
        <w:rPr>
          <w:spacing w:val="21"/>
          <w:sz w:val="20"/>
        </w:rPr>
        <w:t> </w:t>
      </w:r>
      <w:r>
        <w:rPr>
          <w:sz w:val="20"/>
        </w:rPr>
        <w:t>organización</w:t>
      </w:r>
      <w:r>
        <w:rPr>
          <w:spacing w:val="21"/>
          <w:sz w:val="20"/>
        </w:rPr>
        <w:t> </w:t>
      </w:r>
      <w:r>
        <w:rPr>
          <w:sz w:val="20"/>
        </w:rPr>
        <w:t>y</w:t>
      </w:r>
      <w:r>
        <w:rPr>
          <w:spacing w:val="21"/>
          <w:sz w:val="20"/>
        </w:rPr>
        <w:t> </w:t>
      </w:r>
      <w:r>
        <w:rPr>
          <w:sz w:val="20"/>
        </w:rPr>
        <w:t>acción</w:t>
      </w:r>
      <w:r>
        <w:rPr>
          <w:spacing w:val="21"/>
          <w:sz w:val="20"/>
        </w:rPr>
        <w:t> </w:t>
      </w:r>
      <w:r>
        <w:rPr>
          <w:sz w:val="20"/>
        </w:rPr>
        <w:t>de</w:t>
      </w:r>
      <w:r>
        <w:rPr>
          <w:spacing w:val="21"/>
          <w:sz w:val="20"/>
        </w:rPr>
        <w:t> </w:t>
      </w:r>
      <w:r>
        <w:rPr>
          <w:sz w:val="20"/>
        </w:rPr>
        <w:t>la</w:t>
      </w:r>
      <w:r>
        <w:rPr>
          <w:spacing w:val="21"/>
          <w:sz w:val="20"/>
        </w:rPr>
        <w:t> </w:t>
      </w:r>
      <w:r>
        <w:rPr>
          <w:sz w:val="20"/>
        </w:rPr>
        <w:t>sociedad,</w:t>
      </w:r>
      <w:r>
        <w:rPr>
          <w:spacing w:val="21"/>
          <w:sz w:val="20"/>
        </w:rPr>
        <w:t> </w:t>
      </w:r>
      <w:r>
        <w:rPr>
          <w:sz w:val="20"/>
        </w:rPr>
        <w:t>se</w:t>
      </w:r>
      <w:r>
        <w:rPr>
          <w:spacing w:val="21"/>
          <w:sz w:val="20"/>
        </w:rPr>
        <w:t> </w:t>
      </w:r>
      <w:r>
        <w:rPr>
          <w:sz w:val="20"/>
        </w:rPr>
        <w:t>convierte</w:t>
      </w:r>
      <w:r>
        <w:rPr>
          <w:spacing w:val="21"/>
          <w:sz w:val="20"/>
        </w:rPr>
        <w:t> </w:t>
      </w:r>
      <w:r>
        <w:rPr>
          <w:sz w:val="20"/>
        </w:rPr>
        <w:t>en</w:t>
      </w:r>
      <w:r>
        <w:rPr>
          <w:spacing w:val="21"/>
          <w:sz w:val="20"/>
        </w:rPr>
        <w:t> </w:t>
      </w:r>
      <w:r>
        <w:rPr>
          <w:sz w:val="20"/>
        </w:rPr>
        <w:t>un</w:t>
      </w:r>
      <w:r>
        <w:rPr>
          <w:w w:val="99"/>
          <w:sz w:val="20"/>
        </w:rPr>
        <w:t> </w:t>
      </w:r>
      <w:r>
        <w:rPr>
          <w:sz w:val="20"/>
        </w:rPr>
        <w:t>instrumento para la construcción colectiva del progreso. Lo fundamental</w:t>
      </w:r>
      <w:r>
        <w:rPr>
          <w:spacing w:val="12"/>
          <w:sz w:val="20"/>
        </w:rPr>
        <w:t> </w:t>
      </w:r>
      <w:r>
        <w:rPr>
          <w:sz w:val="20"/>
        </w:rPr>
        <w:t>es</w:t>
      </w:r>
      <w:r>
        <w:rPr>
          <w:spacing w:val="13"/>
          <w:sz w:val="20"/>
        </w:rPr>
        <w:t> </w:t>
      </w:r>
      <w:r>
        <w:rPr>
          <w:sz w:val="20"/>
        </w:rPr>
        <w:t>conseguir</w:t>
      </w:r>
      <w:r>
        <w:rPr>
          <w:w w:val="101"/>
          <w:sz w:val="20"/>
        </w:rPr>
        <w:t> </w:t>
      </w:r>
      <w:r>
        <w:rPr>
          <w:sz w:val="20"/>
        </w:rPr>
        <w:t>la</w:t>
      </w:r>
      <w:r>
        <w:rPr>
          <w:spacing w:val="36"/>
          <w:sz w:val="20"/>
        </w:rPr>
        <w:t> </w:t>
      </w:r>
      <w:r>
        <w:rPr>
          <w:sz w:val="20"/>
        </w:rPr>
        <w:t>cohesión</w:t>
      </w:r>
      <w:r>
        <w:rPr>
          <w:spacing w:val="36"/>
          <w:sz w:val="20"/>
        </w:rPr>
        <w:t> </w:t>
      </w:r>
      <w:r>
        <w:rPr>
          <w:sz w:val="20"/>
        </w:rPr>
        <w:t>social</w:t>
      </w:r>
      <w:r>
        <w:rPr>
          <w:spacing w:val="36"/>
          <w:sz w:val="20"/>
        </w:rPr>
        <w:t> </w:t>
      </w:r>
      <w:r>
        <w:rPr>
          <w:sz w:val="20"/>
        </w:rPr>
        <w:t>entendida</w:t>
      </w:r>
      <w:r>
        <w:rPr>
          <w:spacing w:val="36"/>
          <w:sz w:val="20"/>
        </w:rPr>
        <w:t> </w:t>
      </w:r>
      <w:r>
        <w:rPr>
          <w:sz w:val="20"/>
        </w:rPr>
        <w:t>como</w:t>
      </w:r>
      <w:r>
        <w:rPr>
          <w:spacing w:val="36"/>
          <w:sz w:val="20"/>
        </w:rPr>
        <w:t> </w:t>
      </w:r>
      <w:r>
        <w:rPr>
          <w:sz w:val="20"/>
        </w:rPr>
        <w:t>la</w:t>
      </w:r>
      <w:r>
        <w:rPr>
          <w:spacing w:val="36"/>
          <w:sz w:val="20"/>
        </w:rPr>
        <w:t> </w:t>
      </w:r>
      <w:r>
        <w:rPr>
          <w:sz w:val="20"/>
        </w:rPr>
        <w:t>capacidad</w:t>
      </w:r>
      <w:r>
        <w:rPr>
          <w:spacing w:val="36"/>
          <w:sz w:val="20"/>
        </w:rPr>
        <w:t> </w:t>
      </w:r>
      <w:r>
        <w:rPr>
          <w:sz w:val="20"/>
        </w:rPr>
        <w:t>de</w:t>
      </w:r>
      <w:r>
        <w:rPr>
          <w:spacing w:val="36"/>
          <w:sz w:val="20"/>
        </w:rPr>
        <w:t> </w:t>
      </w:r>
      <w:r>
        <w:rPr>
          <w:sz w:val="20"/>
        </w:rPr>
        <w:t>organización</w:t>
      </w:r>
      <w:r>
        <w:rPr>
          <w:spacing w:val="36"/>
          <w:sz w:val="20"/>
        </w:rPr>
        <w:t> </w:t>
      </w:r>
      <w:r>
        <w:rPr>
          <w:sz w:val="20"/>
        </w:rPr>
        <w:t>y</w:t>
      </w:r>
      <w:r>
        <w:rPr>
          <w:spacing w:val="36"/>
          <w:sz w:val="20"/>
        </w:rPr>
        <w:t> </w:t>
      </w:r>
      <w:r>
        <w:rPr>
          <w:sz w:val="20"/>
        </w:rPr>
        <w:t>acción,</w:t>
      </w:r>
      <w:r>
        <w:rPr>
          <w:spacing w:val="36"/>
          <w:sz w:val="20"/>
        </w:rPr>
        <w:t> </w:t>
      </w:r>
      <w:r>
        <w:rPr>
          <w:sz w:val="20"/>
        </w:rPr>
        <w:t>variable</w:t>
      </w:r>
    </w:p>
    <w:p>
      <w:pPr>
        <w:pStyle w:val="BodyText"/>
        <w:spacing w:before="1"/>
        <w:ind w:left="127"/>
      </w:pPr>
      <w:r>
        <w:rPr/>
        <w:t>necesaria para la generación de desarrollo.</w:t>
      </w:r>
    </w:p>
    <w:p>
      <w:pPr>
        <w:spacing w:after="0"/>
        <w:sectPr>
          <w:type w:val="continuous"/>
          <w:pgSz w:w="18830" w:h="12760" w:orient="landscape"/>
          <w:pgMar w:top="1420" w:bottom="280" w:left="720" w:right="720"/>
          <w:cols w:num="2" w:equalWidth="0">
            <w:col w:w="7842" w:space="1572"/>
            <w:col w:w="7976"/>
          </w:cols>
        </w:sectPr>
      </w:pPr>
    </w:p>
    <w:p>
      <w:pPr>
        <w:pStyle w:val="BodyText"/>
        <w:spacing w:before="8"/>
      </w:pPr>
    </w:p>
    <w:p>
      <w:pPr>
        <w:spacing w:after="0"/>
        <w:sectPr>
          <w:footerReference w:type="default" r:id="rId85"/>
          <w:pgSz w:w="18830" w:h="12760" w:orient="landscape"/>
          <w:pgMar w:footer="1036" w:header="522" w:top="820" w:bottom="1220" w:left="720" w:right="720"/>
        </w:sectPr>
      </w:pPr>
    </w:p>
    <w:p>
      <w:pPr>
        <w:pStyle w:val="Heading4"/>
        <w:numPr>
          <w:ilvl w:val="0"/>
          <w:numId w:val="6"/>
        </w:numPr>
        <w:tabs>
          <w:tab w:pos="851" w:val="left" w:leader="none"/>
        </w:tabs>
        <w:spacing w:line="249" w:lineRule="auto" w:before="109" w:after="0"/>
        <w:ind w:left="130" w:right="0" w:firstLine="170"/>
        <w:jc w:val="both"/>
      </w:pPr>
      <w:r>
        <w:rPr>
          <w:i/>
        </w:rPr>
        <w:t>Tesis 7: La política local importa: Los gobiernos locales son el capital </w:t>
      </w:r>
      <w:r>
        <w:rPr/>
        <w:t>político del desarrollo</w:t>
      </w:r>
      <w:r>
        <w:rPr>
          <w:spacing w:val="-38"/>
        </w:rPr>
        <w:t> </w:t>
      </w:r>
      <w:r>
        <w:rPr/>
        <w:t>urbano:</w:t>
      </w:r>
    </w:p>
    <w:p>
      <w:pPr>
        <w:spacing w:line="249" w:lineRule="auto" w:before="1"/>
        <w:ind w:left="130" w:right="0" w:firstLine="170"/>
        <w:jc w:val="both"/>
        <w:rPr>
          <w:i/>
          <w:sz w:val="20"/>
        </w:rPr>
      </w:pPr>
      <w:r>
        <w:rPr>
          <w:i/>
          <w:sz w:val="20"/>
        </w:rPr>
        <w:t>Desde la perspectiva democrática el liderazgo en las ciudades debe ser asumido por </w:t>
      </w:r>
      <w:r>
        <w:rPr>
          <w:i/>
          <w:sz w:val="20"/>
        </w:rPr>
        <w:t>la</w:t>
      </w:r>
      <w:r>
        <w:rPr>
          <w:i/>
          <w:spacing w:val="-8"/>
          <w:sz w:val="20"/>
        </w:rPr>
        <w:t> </w:t>
      </w:r>
      <w:r>
        <w:rPr>
          <w:i/>
          <w:sz w:val="20"/>
        </w:rPr>
        <w:t>entidad</w:t>
      </w:r>
      <w:r>
        <w:rPr>
          <w:i/>
          <w:spacing w:val="-8"/>
          <w:sz w:val="20"/>
        </w:rPr>
        <w:t> </w:t>
      </w:r>
      <w:r>
        <w:rPr>
          <w:i/>
          <w:sz w:val="20"/>
        </w:rPr>
        <w:t>política</w:t>
      </w:r>
      <w:r>
        <w:rPr>
          <w:i/>
          <w:spacing w:val="-8"/>
          <w:sz w:val="20"/>
        </w:rPr>
        <w:t> </w:t>
      </w:r>
      <w:r>
        <w:rPr>
          <w:i/>
          <w:sz w:val="20"/>
        </w:rPr>
        <w:t>más</w:t>
      </w:r>
      <w:r>
        <w:rPr>
          <w:i/>
          <w:spacing w:val="-8"/>
          <w:sz w:val="20"/>
        </w:rPr>
        <w:t> </w:t>
      </w:r>
      <w:r>
        <w:rPr>
          <w:i/>
          <w:sz w:val="20"/>
        </w:rPr>
        <w:t>representativa</w:t>
      </w:r>
      <w:r>
        <w:rPr>
          <w:i/>
          <w:spacing w:val="-9"/>
          <w:sz w:val="20"/>
        </w:rPr>
        <w:t> </w:t>
      </w:r>
      <w:r>
        <w:rPr>
          <w:i/>
          <w:sz w:val="20"/>
        </w:rPr>
        <w:t>de</w:t>
      </w:r>
      <w:r>
        <w:rPr>
          <w:i/>
          <w:spacing w:val="-8"/>
          <w:sz w:val="20"/>
        </w:rPr>
        <w:t> </w:t>
      </w:r>
      <w:r>
        <w:rPr>
          <w:i/>
          <w:sz w:val="20"/>
        </w:rPr>
        <w:t>los</w:t>
      </w:r>
      <w:r>
        <w:rPr>
          <w:i/>
          <w:spacing w:val="-8"/>
          <w:sz w:val="20"/>
        </w:rPr>
        <w:t> </w:t>
      </w:r>
      <w:r>
        <w:rPr>
          <w:i/>
          <w:sz w:val="20"/>
        </w:rPr>
        <w:t>ciudadanos</w:t>
      </w:r>
      <w:r>
        <w:rPr>
          <w:i/>
          <w:spacing w:val="-8"/>
          <w:sz w:val="20"/>
        </w:rPr>
        <w:t> </w:t>
      </w:r>
      <w:r>
        <w:rPr>
          <w:i/>
          <w:sz w:val="20"/>
        </w:rPr>
        <w:t>(Ayuntamientos)</w:t>
      </w:r>
      <w:r>
        <w:rPr>
          <w:i/>
          <w:spacing w:val="-9"/>
          <w:sz w:val="20"/>
        </w:rPr>
        <w:t> </w:t>
      </w:r>
      <w:r>
        <w:rPr>
          <w:i/>
          <w:sz w:val="20"/>
        </w:rPr>
        <w:t>constituyendo así capital político al servicio de la población, incidiendo en un desarrollo urbano inclusivo.</w:t>
      </w:r>
    </w:p>
    <w:p>
      <w:pPr>
        <w:pStyle w:val="BodyText"/>
        <w:spacing w:before="11"/>
        <w:rPr>
          <w:i/>
        </w:rPr>
      </w:pPr>
    </w:p>
    <w:p>
      <w:pPr>
        <w:pStyle w:val="Heading4"/>
        <w:numPr>
          <w:ilvl w:val="0"/>
          <w:numId w:val="6"/>
        </w:numPr>
        <w:tabs>
          <w:tab w:pos="851" w:val="left" w:leader="none"/>
        </w:tabs>
        <w:spacing w:line="249" w:lineRule="auto" w:before="0" w:after="0"/>
        <w:ind w:left="130" w:right="1" w:firstLine="170"/>
        <w:jc w:val="both"/>
      </w:pPr>
      <w:r>
        <w:rPr>
          <w:i/>
        </w:rPr>
        <w:t>Tesis</w:t>
      </w:r>
      <w:r>
        <w:rPr>
          <w:i/>
          <w:spacing w:val="22"/>
        </w:rPr>
        <w:t> </w:t>
      </w:r>
      <w:r>
        <w:rPr>
          <w:i/>
        </w:rPr>
        <w:t>8:</w:t>
      </w:r>
      <w:r>
        <w:rPr>
          <w:i/>
          <w:spacing w:val="22"/>
        </w:rPr>
        <w:t> </w:t>
      </w:r>
      <w:r>
        <w:rPr>
          <w:i/>
        </w:rPr>
        <w:t>El</w:t>
      </w:r>
      <w:r>
        <w:rPr>
          <w:i/>
          <w:spacing w:val="22"/>
        </w:rPr>
        <w:t> </w:t>
      </w:r>
      <w:r>
        <w:rPr>
          <w:i/>
        </w:rPr>
        <w:t>político</w:t>
      </w:r>
      <w:r>
        <w:rPr>
          <w:i/>
          <w:spacing w:val="22"/>
        </w:rPr>
        <w:t> </w:t>
      </w:r>
      <w:r>
        <w:rPr>
          <w:i/>
        </w:rPr>
        <w:t>local</w:t>
      </w:r>
      <w:r>
        <w:rPr>
          <w:i/>
          <w:spacing w:val="22"/>
        </w:rPr>
        <w:t> </w:t>
      </w:r>
      <w:r>
        <w:rPr>
          <w:i/>
        </w:rPr>
        <w:t>electo</w:t>
      </w:r>
      <w:r>
        <w:rPr>
          <w:i/>
          <w:spacing w:val="22"/>
        </w:rPr>
        <w:t> </w:t>
      </w:r>
      <w:r>
        <w:rPr>
          <w:i/>
        </w:rPr>
        <w:t>debe</w:t>
      </w:r>
      <w:r>
        <w:rPr>
          <w:i/>
          <w:spacing w:val="22"/>
        </w:rPr>
        <w:t> </w:t>
      </w:r>
      <w:r>
        <w:rPr>
          <w:i/>
        </w:rPr>
        <w:t>ejercer</w:t>
      </w:r>
      <w:r>
        <w:rPr>
          <w:i/>
          <w:spacing w:val="22"/>
        </w:rPr>
        <w:t> </w:t>
      </w:r>
      <w:r>
        <w:rPr>
          <w:i/>
        </w:rPr>
        <w:t>un</w:t>
      </w:r>
      <w:r>
        <w:rPr>
          <w:i/>
          <w:spacing w:val="22"/>
        </w:rPr>
        <w:t> </w:t>
      </w:r>
      <w:r>
        <w:rPr>
          <w:i/>
        </w:rPr>
        <w:t>nuevo</w:t>
      </w:r>
      <w:r>
        <w:rPr>
          <w:i/>
          <w:spacing w:val="22"/>
        </w:rPr>
        <w:t> </w:t>
      </w:r>
      <w:r>
        <w:rPr>
          <w:i/>
        </w:rPr>
        <w:t>tipo</w:t>
      </w:r>
      <w:r>
        <w:rPr>
          <w:i/>
          <w:spacing w:val="22"/>
        </w:rPr>
        <w:t> </w:t>
      </w:r>
      <w:r>
        <w:rPr>
          <w:i/>
        </w:rPr>
        <w:t>de</w:t>
      </w:r>
      <w:r>
        <w:rPr>
          <w:i/>
          <w:spacing w:val="22"/>
        </w:rPr>
        <w:t> </w:t>
      </w:r>
      <w:r>
        <w:rPr>
          <w:i/>
        </w:rPr>
        <w:t>liderazgo</w:t>
      </w:r>
      <w:r>
        <w:rPr>
          <w:w w:val="99"/>
        </w:rPr>
        <w:t> </w:t>
      </w:r>
      <w:r>
        <w:rPr/>
        <w:t>democrático: El liderazgo relacional o</w:t>
      </w:r>
      <w:r>
        <w:rPr>
          <w:spacing w:val="-31"/>
        </w:rPr>
        <w:t> </w:t>
      </w:r>
      <w:r>
        <w:rPr/>
        <w:t>habilitador:</w:t>
      </w:r>
    </w:p>
    <w:p>
      <w:pPr>
        <w:spacing w:line="249" w:lineRule="auto" w:before="1"/>
        <w:ind w:left="130" w:right="0" w:firstLine="170"/>
        <w:jc w:val="both"/>
        <w:rPr>
          <w:i/>
          <w:sz w:val="20"/>
        </w:rPr>
      </w:pPr>
      <w:r>
        <w:rPr>
          <w:i/>
          <w:sz w:val="20"/>
        </w:rPr>
        <w:t>“El</w:t>
      </w:r>
      <w:r>
        <w:rPr>
          <w:i/>
          <w:spacing w:val="-4"/>
          <w:sz w:val="20"/>
        </w:rPr>
        <w:t> </w:t>
      </w:r>
      <w:r>
        <w:rPr>
          <w:i/>
          <w:sz w:val="20"/>
        </w:rPr>
        <w:t>electo</w:t>
      </w:r>
      <w:r>
        <w:rPr>
          <w:i/>
          <w:spacing w:val="-4"/>
          <w:sz w:val="20"/>
        </w:rPr>
        <w:t> </w:t>
      </w:r>
      <w:r>
        <w:rPr>
          <w:i/>
          <w:sz w:val="20"/>
        </w:rPr>
        <w:t>debe</w:t>
      </w:r>
      <w:r>
        <w:rPr>
          <w:i/>
          <w:spacing w:val="-4"/>
          <w:sz w:val="20"/>
        </w:rPr>
        <w:t> </w:t>
      </w:r>
      <w:r>
        <w:rPr>
          <w:i/>
          <w:sz w:val="20"/>
        </w:rPr>
        <w:t>construir</w:t>
      </w:r>
      <w:r>
        <w:rPr>
          <w:i/>
          <w:spacing w:val="-4"/>
          <w:sz w:val="20"/>
        </w:rPr>
        <w:t> </w:t>
      </w:r>
      <w:r>
        <w:rPr>
          <w:i/>
          <w:sz w:val="20"/>
        </w:rPr>
        <w:t>el</w:t>
      </w:r>
      <w:r>
        <w:rPr>
          <w:i/>
          <w:spacing w:val="-4"/>
          <w:sz w:val="20"/>
        </w:rPr>
        <w:t> </w:t>
      </w:r>
      <w:r>
        <w:rPr>
          <w:i/>
          <w:sz w:val="20"/>
        </w:rPr>
        <w:t>interés</w:t>
      </w:r>
      <w:r>
        <w:rPr>
          <w:i/>
          <w:spacing w:val="-4"/>
          <w:sz w:val="20"/>
        </w:rPr>
        <w:t> </w:t>
      </w:r>
      <w:r>
        <w:rPr>
          <w:i/>
          <w:sz w:val="20"/>
        </w:rPr>
        <w:t>general</w:t>
      </w:r>
      <w:r>
        <w:rPr>
          <w:i/>
          <w:spacing w:val="-4"/>
          <w:sz w:val="20"/>
        </w:rPr>
        <w:t> </w:t>
      </w:r>
      <w:r>
        <w:rPr>
          <w:i/>
          <w:sz w:val="20"/>
        </w:rPr>
        <w:t>a</w:t>
      </w:r>
      <w:r>
        <w:rPr>
          <w:i/>
          <w:spacing w:val="-4"/>
          <w:sz w:val="20"/>
        </w:rPr>
        <w:t> </w:t>
      </w:r>
      <w:r>
        <w:rPr>
          <w:i/>
          <w:sz w:val="20"/>
        </w:rPr>
        <w:t>partir</w:t>
      </w:r>
      <w:r>
        <w:rPr>
          <w:i/>
          <w:spacing w:val="-4"/>
          <w:sz w:val="20"/>
        </w:rPr>
        <w:t> </w:t>
      </w:r>
      <w:r>
        <w:rPr>
          <w:i/>
          <w:sz w:val="20"/>
        </w:rPr>
        <w:t>del</w:t>
      </w:r>
      <w:r>
        <w:rPr>
          <w:i/>
          <w:spacing w:val="-4"/>
          <w:sz w:val="20"/>
        </w:rPr>
        <w:t> </w:t>
      </w:r>
      <w:r>
        <w:rPr>
          <w:i/>
          <w:sz w:val="20"/>
        </w:rPr>
        <w:t>reconocimiento</w:t>
      </w:r>
      <w:r>
        <w:rPr>
          <w:i/>
          <w:spacing w:val="-6"/>
          <w:sz w:val="20"/>
        </w:rPr>
        <w:t> </w:t>
      </w:r>
      <w:r>
        <w:rPr>
          <w:i/>
          <w:sz w:val="20"/>
        </w:rPr>
        <w:t>y</w:t>
      </w:r>
      <w:r>
        <w:rPr>
          <w:i/>
          <w:spacing w:val="-4"/>
          <w:sz w:val="20"/>
        </w:rPr>
        <w:t> </w:t>
      </w:r>
      <w:r>
        <w:rPr>
          <w:i/>
          <w:sz w:val="20"/>
        </w:rPr>
        <w:t>la</w:t>
      </w:r>
      <w:r>
        <w:rPr>
          <w:i/>
          <w:spacing w:val="-4"/>
          <w:sz w:val="20"/>
        </w:rPr>
        <w:t> </w:t>
      </w:r>
      <w:r>
        <w:rPr>
          <w:i/>
          <w:sz w:val="20"/>
        </w:rPr>
        <w:t>articulación </w:t>
      </w:r>
      <w:r>
        <w:rPr>
          <w:i/>
          <w:sz w:val="20"/>
        </w:rPr>
        <w:t>de los intereses legítimos de los diferentes sectores sociales” (Pascual,</w:t>
      </w:r>
      <w:r>
        <w:rPr>
          <w:i/>
          <w:spacing w:val="-34"/>
          <w:sz w:val="20"/>
        </w:rPr>
        <w:t> </w:t>
      </w:r>
      <w:r>
        <w:rPr>
          <w:i/>
          <w:sz w:val="20"/>
        </w:rPr>
        <w:t>2005:44).</w:t>
      </w:r>
    </w:p>
    <w:p>
      <w:pPr>
        <w:pStyle w:val="BodyText"/>
        <w:spacing w:before="11"/>
        <w:rPr>
          <w:i/>
        </w:rPr>
      </w:pPr>
    </w:p>
    <w:p>
      <w:pPr>
        <w:pStyle w:val="Heading4"/>
        <w:numPr>
          <w:ilvl w:val="0"/>
          <w:numId w:val="6"/>
        </w:numPr>
        <w:tabs>
          <w:tab w:pos="851" w:val="left" w:leader="none"/>
        </w:tabs>
        <w:spacing w:line="249" w:lineRule="auto" w:before="0" w:after="0"/>
        <w:ind w:left="130" w:right="0" w:firstLine="170"/>
        <w:jc w:val="both"/>
      </w:pPr>
      <w:r>
        <w:rPr>
          <w:i/>
        </w:rPr>
        <w:t>Tesis 9: Los Ayuntamientos, como gobiernos de la ciudad, tendrán un </w:t>
      </w:r>
      <w:r>
        <w:rPr/>
        <w:t>mayor protagonismo en la sociedad</w:t>
      </w:r>
      <w:r>
        <w:rPr>
          <w:spacing w:val="-23"/>
        </w:rPr>
        <w:t> </w:t>
      </w:r>
      <w:r>
        <w:rPr/>
        <w:t>red:</w:t>
      </w:r>
    </w:p>
    <w:p>
      <w:pPr>
        <w:spacing w:line="249" w:lineRule="auto" w:before="1"/>
        <w:ind w:left="130" w:right="0" w:firstLine="170"/>
        <w:jc w:val="both"/>
        <w:rPr>
          <w:i/>
          <w:sz w:val="20"/>
        </w:rPr>
      </w:pPr>
      <w:r>
        <w:rPr>
          <w:i/>
          <w:sz w:val="20"/>
        </w:rPr>
        <w:t>Esta condición depende de la rendición de cuentas por parte del gobierno local, </w:t>
      </w:r>
      <w:r>
        <w:rPr>
          <w:i/>
          <w:sz w:val="20"/>
        </w:rPr>
        <w:t>mostrando su capacidad para hacer valer sus intereses y las posibilidades de reconocimiento institucional.</w:t>
      </w:r>
    </w:p>
    <w:p>
      <w:pPr>
        <w:pStyle w:val="BodyText"/>
        <w:spacing w:before="11"/>
        <w:rPr>
          <w:i/>
        </w:rPr>
      </w:pPr>
    </w:p>
    <w:p>
      <w:pPr>
        <w:pStyle w:val="Heading4"/>
        <w:numPr>
          <w:ilvl w:val="0"/>
          <w:numId w:val="6"/>
        </w:numPr>
        <w:tabs>
          <w:tab w:pos="851" w:val="left" w:leader="none"/>
        </w:tabs>
        <w:spacing w:line="249" w:lineRule="auto" w:before="0" w:after="0"/>
        <w:ind w:left="130" w:right="0" w:firstLine="170"/>
        <w:jc w:val="both"/>
        <w:rPr>
          <w:b w:val="0"/>
          <w:i/>
        </w:rPr>
      </w:pPr>
      <w:r>
        <w:rPr>
          <w:i/>
        </w:rPr>
        <w:t>Tesis</w:t>
      </w:r>
      <w:r>
        <w:rPr>
          <w:i/>
          <w:spacing w:val="-11"/>
        </w:rPr>
        <w:t> </w:t>
      </w:r>
      <w:r>
        <w:rPr>
          <w:i/>
        </w:rPr>
        <w:t>10:</w:t>
      </w:r>
      <w:r>
        <w:rPr>
          <w:i/>
          <w:spacing w:val="-11"/>
        </w:rPr>
        <w:t> </w:t>
      </w:r>
      <w:r>
        <w:rPr>
          <w:i/>
        </w:rPr>
        <w:t>Los</w:t>
      </w:r>
      <w:r>
        <w:rPr>
          <w:i/>
          <w:spacing w:val="-11"/>
        </w:rPr>
        <w:t> </w:t>
      </w:r>
      <w:r>
        <w:rPr>
          <w:i/>
        </w:rPr>
        <w:t>gobiernos</w:t>
      </w:r>
      <w:r>
        <w:rPr>
          <w:i/>
          <w:spacing w:val="-11"/>
        </w:rPr>
        <w:t> </w:t>
      </w:r>
      <w:r>
        <w:rPr>
          <w:i/>
        </w:rPr>
        <w:t>locales</w:t>
      </w:r>
      <w:r>
        <w:rPr>
          <w:i/>
          <w:spacing w:val="-11"/>
        </w:rPr>
        <w:t> </w:t>
      </w:r>
      <w:r>
        <w:rPr>
          <w:i/>
        </w:rPr>
        <w:t>deben</w:t>
      </w:r>
      <w:r>
        <w:rPr>
          <w:i/>
          <w:spacing w:val="-11"/>
        </w:rPr>
        <w:t> </w:t>
      </w:r>
      <w:r>
        <w:rPr>
          <w:i/>
        </w:rPr>
        <w:t>insertar</w:t>
      </w:r>
      <w:r>
        <w:rPr>
          <w:i/>
          <w:spacing w:val="-11"/>
        </w:rPr>
        <w:t> </w:t>
      </w:r>
      <w:r>
        <w:rPr>
          <w:i/>
        </w:rPr>
        <w:t>sus</w:t>
      </w:r>
      <w:r>
        <w:rPr>
          <w:i/>
          <w:spacing w:val="-11"/>
        </w:rPr>
        <w:t> </w:t>
      </w:r>
      <w:r>
        <w:rPr>
          <w:i/>
        </w:rPr>
        <w:t>estrategias</w:t>
      </w:r>
      <w:r>
        <w:rPr>
          <w:i/>
          <w:spacing w:val="-11"/>
        </w:rPr>
        <w:t> </w:t>
      </w:r>
      <w:r>
        <w:rPr>
          <w:i/>
        </w:rPr>
        <w:t>urbanas</w:t>
      </w:r>
      <w:r>
        <w:rPr>
          <w:i/>
          <w:spacing w:val="-11"/>
        </w:rPr>
        <w:t> </w:t>
      </w:r>
      <w:r>
        <w:rPr>
          <w:i/>
        </w:rPr>
        <w:t>en</w:t>
      </w:r>
      <w:r>
        <w:rPr>
          <w:w w:val="101"/>
        </w:rPr>
        <w:t> </w:t>
      </w:r>
      <w:r>
        <w:rPr/>
        <w:t>el contexto metropolitano y</w:t>
      </w:r>
      <w:r>
        <w:rPr>
          <w:spacing w:val="-1"/>
        </w:rPr>
        <w:t> </w:t>
      </w:r>
      <w:r>
        <w:rPr/>
        <w:t>regional</w:t>
      </w:r>
      <w:r>
        <w:rPr>
          <w:b w:val="0"/>
          <w:i/>
        </w:rPr>
        <w:t>:</w:t>
      </w:r>
    </w:p>
    <w:p>
      <w:pPr>
        <w:pStyle w:val="BodyText"/>
        <w:spacing w:line="249" w:lineRule="auto" w:before="1"/>
        <w:ind w:left="130" w:firstLine="170"/>
        <w:jc w:val="both"/>
      </w:pPr>
      <w:r>
        <w:rPr/>
        <w:t>“En un enfoque de gobernanza lo importante es la realización de los objetivos         de desarrollo humano que se sitúan en el conjunto del territorio. La articulación de    las estrategias de los actores, a partir de sus responsabilidades competenciales y recursos para conseguirlos, adquiere prioridad sobre la distribución de las mismas entre administraciones en un momento dado. El dominio de perspectiva de la gestión de las interdependencias para la realización de objetivos, por encima de la distribución de competencias, favorece situar lo que une a los gobiernos por encima de lo que les separa,</w:t>
      </w:r>
      <w:r>
        <w:rPr>
          <w:spacing w:val="-11"/>
        </w:rPr>
        <w:t> </w:t>
      </w:r>
      <w:r>
        <w:rPr/>
        <w:t>de</w:t>
      </w:r>
      <w:r>
        <w:rPr>
          <w:spacing w:val="-11"/>
        </w:rPr>
        <w:t> </w:t>
      </w:r>
      <w:r>
        <w:rPr/>
        <w:t>ahí</w:t>
      </w:r>
      <w:r>
        <w:rPr>
          <w:spacing w:val="-11"/>
        </w:rPr>
        <w:t> </w:t>
      </w:r>
      <w:r>
        <w:rPr/>
        <w:t>que</w:t>
      </w:r>
      <w:r>
        <w:rPr>
          <w:spacing w:val="-11"/>
        </w:rPr>
        <w:t> </w:t>
      </w:r>
      <w:r>
        <w:rPr/>
        <w:t>se</w:t>
      </w:r>
      <w:r>
        <w:rPr>
          <w:spacing w:val="-11"/>
        </w:rPr>
        <w:t> </w:t>
      </w:r>
      <w:r>
        <w:rPr/>
        <w:t>den</w:t>
      </w:r>
      <w:r>
        <w:rPr>
          <w:spacing w:val="-11"/>
        </w:rPr>
        <w:t> </w:t>
      </w:r>
      <w:r>
        <w:rPr/>
        <w:t>avances</w:t>
      </w:r>
      <w:r>
        <w:rPr>
          <w:spacing w:val="-11"/>
        </w:rPr>
        <w:t> </w:t>
      </w:r>
      <w:r>
        <w:rPr/>
        <w:t>sustanciales</w:t>
      </w:r>
      <w:r>
        <w:rPr>
          <w:spacing w:val="-11"/>
        </w:rPr>
        <w:t> </w:t>
      </w:r>
      <w:r>
        <w:rPr/>
        <w:t>en</w:t>
      </w:r>
      <w:r>
        <w:rPr>
          <w:spacing w:val="-11"/>
        </w:rPr>
        <w:t> </w:t>
      </w:r>
      <w:r>
        <w:rPr/>
        <w:t>la</w:t>
      </w:r>
      <w:r>
        <w:rPr>
          <w:spacing w:val="-11"/>
        </w:rPr>
        <w:t> </w:t>
      </w:r>
      <w:r>
        <w:rPr/>
        <w:t>colaboración</w:t>
      </w:r>
      <w:r>
        <w:rPr>
          <w:spacing w:val="-11"/>
        </w:rPr>
        <w:t> </w:t>
      </w:r>
      <w:r>
        <w:rPr/>
        <w:t>en</w:t>
      </w:r>
      <w:r>
        <w:rPr>
          <w:spacing w:val="-11"/>
        </w:rPr>
        <w:t> </w:t>
      </w:r>
      <w:r>
        <w:rPr/>
        <w:t>los</w:t>
      </w:r>
      <w:r>
        <w:rPr>
          <w:spacing w:val="-11"/>
        </w:rPr>
        <w:t> </w:t>
      </w:r>
      <w:r>
        <w:rPr/>
        <w:t>lugares</w:t>
      </w:r>
      <w:r>
        <w:rPr>
          <w:spacing w:val="-11"/>
        </w:rPr>
        <w:t> </w:t>
      </w:r>
      <w:r>
        <w:rPr/>
        <w:t>en</w:t>
      </w:r>
      <w:r>
        <w:rPr>
          <w:spacing w:val="-11"/>
        </w:rPr>
        <w:t> </w:t>
      </w:r>
      <w:r>
        <w:rPr/>
        <w:t>los que se practica” (Pascual, 2005:</w:t>
      </w:r>
      <w:r>
        <w:rPr>
          <w:spacing w:val="6"/>
        </w:rPr>
        <w:t> </w:t>
      </w:r>
      <w:r>
        <w:rPr/>
        <w:t>48).</w:t>
      </w:r>
    </w:p>
    <w:p>
      <w:pPr>
        <w:pStyle w:val="BodyText"/>
        <w:spacing w:before="11"/>
      </w:pPr>
    </w:p>
    <w:p>
      <w:pPr>
        <w:pStyle w:val="BodyText"/>
        <w:spacing w:line="249" w:lineRule="auto"/>
        <w:ind w:left="130" w:firstLine="170"/>
        <w:jc w:val="both"/>
      </w:pPr>
      <w:r>
        <w:rPr/>
        <w:t>La descripción de estas diez tesis permite destacar como la gobernanza territorial aplicada al desarrollo urbano enfatiza la necesidad de involucrar actores públicos locales, otorgándoles un papel protagónico  en  el  proceso  de  toma de decisiones.</w:t>
      </w:r>
      <w:r>
        <w:rPr>
          <w:w w:val="101"/>
        </w:rPr>
        <w:t> </w:t>
      </w:r>
      <w:r>
        <w:rPr/>
        <w:t>No obstante, es indispensable incluir indicadores que desde la teoría faciliten una</w:t>
      </w:r>
      <w:r>
        <w:rPr>
          <w:w w:val="98"/>
        </w:rPr>
        <w:t> </w:t>
      </w:r>
      <w:r>
        <w:rPr/>
        <w:t>aplicación adecuada desde el modelo a la práctica, como se describe a </w:t>
      </w:r>
      <w:r>
        <w:rPr>
          <w:spacing w:val="51"/>
        </w:rPr>
        <w:t> </w:t>
      </w:r>
      <w:r>
        <w:rPr/>
        <w:t>continuación.</w:t>
      </w:r>
    </w:p>
    <w:p>
      <w:pPr>
        <w:spacing w:before="71"/>
        <w:ind w:left="300" w:right="-10" w:firstLine="0"/>
        <w:jc w:val="left"/>
        <w:rPr>
          <w:b/>
          <w:i/>
          <w:sz w:val="24"/>
        </w:rPr>
      </w:pPr>
      <w:r>
        <w:rPr/>
        <w:br w:type="column"/>
      </w:r>
      <w:r>
        <w:rPr>
          <w:b/>
          <w:i/>
          <w:sz w:val="24"/>
        </w:rPr>
        <w:t>Indicadores de la gobernanza territorial</w:t>
      </w:r>
    </w:p>
    <w:p>
      <w:pPr>
        <w:pStyle w:val="BodyText"/>
        <w:rPr>
          <w:b/>
          <w:i/>
          <w:sz w:val="21"/>
        </w:rPr>
      </w:pPr>
    </w:p>
    <w:p>
      <w:pPr>
        <w:pStyle w:val="BodyText"/>
        <w:spacing w:line="249" w:lineRule="auto"/>
        <w:ind w:left="130" w:right="127" w:firstLine="170"/>
        <w:jc w:val="both"/>
      </w:pPr>
      <w:r>
        <w:rPr/>
        <w:t>Con referencia al proceso de hechura de políticas públicas, de acuerdo con Santos  y Porras (2012), existen dos indicadores: “el primero vinculado a medir el grado de responsabilidad del gobierno local, estableciendo como criterios de medición alta y baja. El segundo evalúa la capacidad de participación ciudadana en el proceso de hechura de políticas públicas con los mismos criterios de medición alta y baja” (Santos y</w:t>
      </w:r>
      <w:r>
        <w:rPr>
          <w:spacing w:val="-9"/>
        </w:rPr>
        <w:t> </w:t>
      </w:r>
      <w:r>
        <w:rPr/>
        <w:t>Porras,</w:t>
      </w:r>
      <w:r>
        <w:rPr>
          <w:spacing w:val="-9"/>
        </w:rPr>
        <w:t> </w:t>
      </w:r>
      <w:r>
        <w:rPr/>
        <w:t>2012:</w:t>
      </w:r>
      <w:r>
        <w:rPr>
          <w:spacing w:val="-9"/>
        </w:rPr>
        <w:t> </w:t>
      </w:r>
      <w:r>
        <w:rPr/>
        <w:t>144).</w:t>
      </w:r>
      <w:r>
        <w:rPr>
          <w:spacing w:val="-9"/>
        </w:rPr>
        <w:t> </w:t>
      </w:r>
      <w:r>
        <w:rPr/>
        <w:t>Para</w:t>
      </w:r>
      <w:r>
        <w:rPr>
          <w:spacing w:val="-9"/>
        </w:rPr>
        <w:t> </w:t>
      </w:r>
      <w:r>
        <w:rPr/>
        <w:t>Whittingham</w:t>
      </w:r>
      <w:r>
        <w:rPr>
          <w:spacing w:val="-9"/>
        </w:rPr>
        <w:t> </w:t>
      </w:r>
      <w:r>
        <w:rPr/>
        <w:t>(2005,</w:t>
      </w:r>
      <w:r>
        <w:rPr>
          <w:spacing w:val="-9"/>
        </w:rPr>
        <w:t> </w:t>
      </w:r>
      <w:r>
        <w:rPr/>
        <w:t>citada</w:t>
      </w:r>
      <w:r>
        <w:rPr>
          <w:spacing w:val="-9"/>
        </w:rPr>
        <w:t> </w:t>
      </w:r>
      <w:r>
        <w:rPr/>
        <w:t>por</w:t>
      </w:r>
      <w:r>
        <w:rPr>
          <w:spacing w:val="-9"/>
        </w:rPr>
        <w:t> </w:t>
      </w:r>
      <w:r>
        <w:rPr/>
        <w:t>Jorquera</w:t>
      </w:r>
      <w:r>
        <w:rPr>
          <w:spacing w:val="-9"/>
        </w:rPr>
        <w:t> </w:t>
      </w:r>
      <w:r>
        <w:rPr/>
        <w:t>2011)</w:t>
      </w:r>
      <w:r>
        <w:rPr>
          <w:spacing w:val="-9"/>
        </w:rPr>
        <w:t> </w:t>
      </w:r>
      <w:r>
        <w:rPr/>
        <w:t>las</w:t>
      </w:r>
      <w:r>
        <w:rPr>
          <w:spacing w:val="-9"/>
        </w:rPr>
        <w:t> </w:t>
      </w:r>
      <w:r>
        <w:rPr/>
        <w:t>variables</w:t>
      </w:r>
      <w:r>
        <w:rPr>
          <w:spacing w:val="-9"/>
        </w:rPr>
        <w:t> </w:t>
      </w:r>
      <w:r>
        <w:rPr/>
        <w:t>e indicadores necesarios en el proceso de gobernanza territorial</w:t>
      </w:r>
      <w:r>
        <w:rPr>
          <w:spacing w:val="44"/>
        </w:rPr>
        <w:t> </w:t>
      </w:r>
      <w:r>
        <w:rPr/>
        <w:t>son:</w:t>
      </w:r>
    </w:p>
    <w:p>
      <w:pPr>
        <w:pStyle w:val="BodyText"/>
        <w:spacing w:before="2"/>
        <w:rPr>
          <w:sz w:val="24"/>
        </w:rPr>
      </w:pPr>
    </w:p>
    <w:p>
      <w:pPr>
        <w:spacing w:before="0"/>
        <w:ind w:left="1735" w:right="-10" w:firstLine="0"/>
        <w:jc w:val="left"/>
        <w:rPr>
          <w:sz w:val="16"/>
        </w:rPr>
      </w:pPr>
      <w:r>
        <w:rPr/>
        <w:pict>
          <v:line style="position:absolute;mso-position-horizontal-relative:page;mso-position-vertical-relative:paragraph;z-index:2824" from="583.970886pt,28.729992pt" to="583.970886pt,28.729992pt" stroked="true" strokeweight=".5pt" strokecolor="#000000">
            <w10:wrap type="none"/>
          </v:line>
        </w:pict>
      </w:r>
      <w:r>
        <w:rPr/>
        <w:pict>
          <v:line style="position:absolute;mso-position-horizontal-relative:page;mso-position-vertical-relative:paragraph;z-index:2848" from="704.470886pt,28.729992pt" to="704.470886pt,28.729992pt" stroked="true" strokeweight=".5pt" strokecolor="#000000">
            <w10:wrap type="none"/>
          </v:line>
        </w:pict>
      </w:r>
      <w:r>
        <w:rPr/>
        <w:pict>
          <v:shape style="position:absolute;margin-left:512.820984pt;margin-top:14.338293pt;width:386.3pt;height:249pt;mso-position-horizontal-relative:page;mso-position-vertical-relative:paragraph;z-index:28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8"/>
                    <w:gridCol w:w="2410"/>
                    <w:gridCol w:w="3882"/>
                  </w:tblGrid>
                  <w:tr>
                    <w:trPr>
                      <w:trHeight w:val="283" w:hRule="exact"/>
                    </w:trPr>
                    <w:tc>
                      <w:tcPr>
                        <w:tcW w:w="7710" w:type="dxa"/>
                        <w:gridSpan w:val="3"/>
                        <w:shd w:val="clear" w:color="auto" w:fill="929292"/>
                      </w:tcPr>
                      <w:p>
                        <w:pPr>
                          <w:pStyle w:val="TableParagraph"/>
                          <w:tabs>
                            <w:tab w:pos="1525" w:val="left" w:leader="none"/>
                            <w:tab w:pos="3936" w:val="left" w:leader="none"/>
                          </w:tabs>
                          <w:spacing w:before="19"/>
                          <w:ind w:left="107" w:right="1026"/>
                          <w:rPr>
                            <w:sz w:val="16"/>
                          </w:rPr>
                        </w:pPr>
                        <w:r>
                          <w:rPr>
                            <w:sz w:val="16"/>
                          </w:rPr>
                          <w:t>Variables</w:t>
                          <w:tab/>
                          <w:t>Definición</w:t>
                          <w:tab/>
                          <w:t>Indicadores</w:t>
                        </w:r>
                      </w:p>
                    </w:tc>
                  </w:tr>
                  <w:tr>
                    <w:trPr>
                      <w:trHeight w:val="2772" w:hRule="exact"/>
                    </w:trPr>
                    <w:tc>
                      <w:tcPr>
                        <w:tcW w:w="1418" w:type="dxa"/>
                        <w:tcBorders>
                          <w:bottom w:val="dotted" w:sz="4" w:space="0" w:color="000000"/>
                          <w:right w:val="dotted" w:sz="4" w:space="0" w:color="000000"/>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3"/>
                          <w:rPr>
                            <w:sz w:val="22"/>
                          </w:rPr>
                        </w:pPr>
                      </w:p>
                      <w:p>
                        <w:pPr>
                          <w:pStyle w:val="TableParagraph"/>
                          <w:ind w:left="108"/>
                          <w:rPr>
                            <w:sz w:val="16"/>
                          </w:rPr>
                        </w:pPr>
                        <w:r>
                          <w:rPr>
                            <w:sz w:val="16"/>
                          </w:rPr>
                          <w:t>Participación</w:t>
                        </w:r>
                      </w:p>
                    </w:tc>
                    <w:tc>
                      <w:tcPr>
                        <w:tcW w:w="2410" w:type="dxa"/>
                        <w:tcBorders>
                          <w:left w:val="dotted" w:sz="4" w:space="0" w:color="000000"/>
                          <w:bottom w:val="dotted" w:sz="4" w:space="0" w:color="000000"/>
                          <w:right w:val="dotted" w:sz="4" w:space="0" w:color="000000"/>
                        </w:tcBorders>
                      </w:tcPr>
                      <w:p>
                        <w:pPr>
                          <w:pStyle w:val="TableParagraph"/>
                          <w:rPr>
                            <w:sz w:val="16"/>
                          </w:rPr>
                        </w:pPr>
                      </w:p>
                      <w:p>
                        <w:pPr>
                          <w:pStyle w:val="TableParagraph"/>
                          <w:spacing w:before="8"/>
                          <w:rPr>
                            <w:sz w:val="23"/>
                          </w:rPr>
                        </w:pPr>
                      </w:p>
                      <w:p>
                        <w:pPr>
                          <w:pStyle w:val="TableParagraph"/>
                          <w:spacing w:line="312" w:lineRule="auto"/>
                          <w:ind w:left="103" w:right="134"/>
                          <w:rPr>
                            <w:sz w:val="16"/>
                          </w:rPr>
                        </w:pPr>
                        <w:r>
                          <w:rPr>
                            <w:sz w:val="16"/>
                          </w:rPr>
                          <w:t>Posibilidad para cualquier persona (hombre o mujer) de ser considerada en el proceso de toma de decisiones, ya  sea de forma directa o a través de instituciones de intermediación legítima que representen sus</w:t>
                        </w:r>
                        <w:r>
                          <w:rPr>
                            <w:spacing w:val="-4"/>
                            <w:sz w:val="16"/>
                          </w:rPr>
                          <w:t> </w:t>
                        </w:r>
                        <w:r>
                          <w:rPr>
                            <w:sz w:val="16"/>
                          </w:rPr>
                          <w:t>intereses.</w:t>
                        </w:r>
                      </w:p>
                    </w:tc>
                    <w:tc>
                      <w:tcPr>
                        <w:tcW w:w="3882" w:type="dxa"/>
                        <w:tcBorders>
                          <w:left w:val="dotted" w:sz="4" w:space="0" w:color="000000"/>
                          <w:bottom w:val="dotted" w:sz="4" w:space="0" w:color="000000"/>
                        </w:tcBorders>
                      </w:tcPr>
                      <w:p>
                        <w:pPr>
                          <w:pStyle w:val="TableParagraph"/>
                          <w:numPr>
                            <w:ilvl w:val="0"/>
                            <w:numId w:val="7"/>
                          </w:numPr>
                          <w:tabs>
                            <w:tab w:pos="468" w:val="left" w:leader="none"/>
                            <w:tab w:pos="469" w:val="left" w:leader="none"/>
                          </w:tabs>
                          <w:spacing w:line="162" w:lineRule="exact" w:before="0" w:after="0"/>
                          <w:ind w:left="468" w:right="0" w:hanging="360"/>
                          <w:jc w:val="left"/>
                          <w:rPr>
                            <w:sz w:val="16"/>
                          </w:rPr>
                        </w:pPr>
                        <w:r>
                          <w:rPr>
                            <w:sz w:val="16"/>
                          </w:rPr>
                          <w:t>Representación y rol de nuevos grupos</w:t>
                        </w:r>
                        <w:r>
                          <w:rPr>
                            <w:spacing w:val="22"/>
                            <w:sz w:val="16"/>
                          </w:rPr>
                          <w:t> </w:t>
                        </w:r>
                        <w:r>
                          <w:rPr>
                            <w:sz w:val="16"/>
                          </w:rPr>
                          <w:t>de</w:t>
                        </w:r>
                      </w:p>
                      <w:p>
                        <w:pPr>
                          <w:pStyle w:val="TableParagraph"/>
                          <w:spacing w:line="312" w:lineRule="auto" w:before="54"/>
                          <w:ind w:left="468" w:right="338"/>
                          <w:rPr>
                            <w:sz w:val="16"/>
                          </w:rPr>
                        </w:pPr>
                        <w:r>
                          <w:rPr>
                            <w:sz w:val="16"/>
                          </w:rPr>
                          <w:t>interés en planeación, decisión, realización y evaluación de proyectos, programas o políticas que los afectan.</w:t>
                        </w:r>
                      </w:p>
                      <w:p>
                        <w:pPr>
                          <w:pStyle w:val="TableParagraph"/>
                          <w:numPr>
                            <w:ilvl w:val="0"/>
                            <w:numId w:val="7"/>
                          </w:numPr>
                          <w:tabs>
                            <w:tab w:pos="468" w:val="left" w:leader="none"/>
                            <w:tab w:pos="469" w:val="left" w:leader="none"/>
                          </w:tabs>
                          <w:spacing w:line="240" w:lineRule="auto" w:before="2" w:after="0"/>
                          <w:ind w:left="468" w:right="0" w:hanging="360"/>
                          <w:jc w:val="left"/>
                          <w:rPr>
                            <w:sz w:val="16"/>
                          </w:rPr>
                        </w:pPr>
                        <w:r>
                          <w:rPr>
                            <w:sz w:val="16"/>
                          </w:rPr>
                          <w:t>Libertad de prensa y medios en</w:t>
                        </w:r>
                        <w:r>
                          <w:rPr>
                            <w:spacing w:val="13"/>
                            <w:sz w:val="16"/>
                          </w:rPr>
                          <w:t> </w:t>
                        </w:r>
                        <w:r>
                          <w:rPr>
                            <w:sz w:val="16"/>
                          </w:rPr>
                          <w:t>general.</w:t>
                        </w:r>
                      </w:p>
                      <w:p>
                        <w:pPr>
                          <w:pStyle w:val="TableParagraph"/>
                          <w:numPr>
                            <w:ilvl w:val="0"/>
                            <w:numId w:val="7"/>
                          </w:numPr>
                          <w:tabs>
                            <w:tab w:pos="468" w:val="left" w:leader="none"/>
                            <w:tab w:pos="469" w:val="left" w:leader="none"/>
                          </w:tabs>
                          <w:spacing w:line="312" w:lineRule="auto" w:before="54" w:after="0"/>
                          <w:ind w:left="468" w:right="294" w:hanging="360"/>
                          <w:jc w:val="left"/>
                          <w:rPr>
                            <w:sz w:val="16"/>
                          </w:rPr>
                        </w:pPr>
                        <w:r>
                          <w:rPr>
                            <w:sz w:val="16"/>
                          </w:rPr>
                          <w:t>Procesos públicos de discusión de asuntos importantes para la comunidad a cualquier nivel.</w:t>
                        </w:r>
                      </w:p>
                      <w:p>
                        <w:pPr>
                          <w:pStyle w:val="TableParagraph"/>
                          <w:numPr>
                            <w:ilvl w:val="0"/>
                            <w:numId w:val="7"/>
                          </w:numPr>
                          <w:tabs>
                            <w:tab w:pos="468" w:val="left" w:leader="none"/>
                            <w:tab w:pos="469" w:val="left" w:leader="none"/>
                          </w:tabs>
                          <w:spacing w:line="309" w:lineRule="auto" w:before="2" w:after="0"/>
                          <w:ind w:left="468" w:right="849" w:hanging="360"/>
                          <w:jc w:val="left"/>
                          <w:rPr>
                            <w:sz w:val="16"/>
                          </w:rPr>
                        </w:pPr>
                        <w:r>
                          <w:rPr>
                            <w:sz w:val="16"/>
                          </w:rPr>
                          <w:t>Utilización del referendo para tomar decisiones</w:t>
                        </w:r>
                        <w:r>
                          <w:rPr>
                            <w:spacing w:val="14"/>
                            <w:sz w:val="16"/>
                          </w:rPr>
                          <w:t> </w:t>
                        </w:r>
                        <w:r>
                          <w:rPr>
                            <w:sz w:val="16"/>
                          </w:rPr>
                          <w:t>críticas.</w:t>
                        </w:r>
                      </w:p>
                      <w:p>
                        <w:pPr>
                          <w:pStyle w:val="TableParagraph"/>
                          <w:numPr>
                            <w:ilvl w:val="0"/>
                            <w:numId w:val="7"/>
                          </w:numPr>
                          <w:tabs>
                            <w:tab w:pos="468" w:val="left" w:leader="none"/>
                            <w:tab w:pos="469" w:val="left" w:leader="none"/>
                          </w:tabs>
                          <w:spacing w:line="240" w:lineRule="auto" w:before="4" w:after="0"/>
                          <w:ind w:left="468" w:right="0" w:hanging="360"/>
                          <w:jc w:val="left"/>
                          <w:rPr>
                            <w:sz w:val="16"/>
                          </w:rPr>
                        </w:pPr>
                        <w:r>
                          <w:rPr>
                            <w:sz w:val="16"/>
                          </w:rPr>
                          <w:t>Derecho de</w:t>
                        </w:r>
                        <w:r>
                          <w:rPr>
                            <w:spacing w:val="13"/>
                            <w:sz w:val="16"/>
                          </w:rPr>
                          <w:t> </w:t>
                        </w:r>
                        <w:r>
                          <w:rPr>
                            <w:sz w:val="16"/>
                          </w:rPr>
                          <w:t>asociación.</w:t>
                        </w:r>
                      </w:p>
                    </w:tc>
                  </w:tr>
                  <w:tr>
                    <w:trPr>
                      <w:trHeight w:val="1920" w:hRule="exact"/>
                    </w:trPr>
                    <w:tc>
                      <w:tcPr>
                        <w:tcW w:w="1418" w:type="dxa"/>
                        <w:tcBorders>
                          <w:top w:val="dotted" w:sz="4" w:space="0" w:color="000000"/>
                          <w:bottom w:val="dotted" w:sz="4" w:space="0" w:color="000000"/>
                          <w:right w:val="dotted" w:sz="4" w:space="0" w:color="000000"/>
                        </w:tcBorders>
                      </w:tcPr>
                      <w:p>
                        <w:pPr>
                          <w:pStyle w:val="TableParagraph"/>
                          <w:rPr>
                            <w:sz w:val="16"/>
                          </w:rPr>
                        </w:pPr>
                      </w:p>
                      <w:p>
                        <w:pPr>
                          <w:pStyle w:val="TableParagraph"/>
                          <w:rPr>
                            <w:sz w:val="16"/>
                          </w:rPr>
                        </w:pPr>
                      </w:p>
                      <w:p>
                        <w:pPr>
                          <w:pStyle w:val="TableParagraph"/>
                          <w:rPr>
                            <w:sz w:val="16"/>
                          </w:rPr>
                        </w:pPr>
                      </w:p>
                      <w:p>
                        <w:pPr>
                          <w:pStyle w:val="TableParagraph"/>
                          <w:spacing w:before="6"/>
                          <w:rPr>
                            <w:sz w:val="21"/>
                          </w:rPr>
                        </w:pPr>
                      </w:p>
                      <w:p>
                        <w:pPr>
                          <w:pStyle w:val="TableParagraph"/>
                          <w:ind w:left="108"/>
                          <w:rPr>
                            <w:sz w:val="16"/>
                          </w:rPr>
                        </w:pPr>
                        <w:r>
                          <w:rPr>
                            <w:sz w:val="16"/>
                          </w:rPr>
                          <w:t>Equidad</w:t>
                        </w:r>
                      </w:p>
                    </w:tc>
                    <w:tc>
                      <w:tcPr>
                        <w:tcW w:w="2410" w:type="dxa"/>
                        <w:tcBorders>
                          <w:top w:val="dotted" w:sz="4" w:space="0" w:color="000000"/>
                          <w:left w:val="dotted" w:sz="4" w:space="0" w:color="000000"/>
                          <w:bottom w:val="dotted" w:sz="4" w:space="0" w:color="000000"/>
                          <w:right w:val="dotted" w:sz="4" w:space="0" w:color="000000"/>
                        </w:tcBorders>
                      </w:tcPr>
                      <w:p>
                        <w:pPr>
                          <w:pStyle w:val="TableParagraph"/>
                          <w:spacing w:line="312" w:lineRule="auto" w:before="80"/>
                          <w:ind w:left="103" w:right="374"/>
                          <w:rPr>
                            <w:sz w:val="16"/>
                          </w:rPr>
                        </w:pPr>
                        <w:r>
                          <w:rPr>
                            <w:sz w:val="16"/>
                          </w:rPr>
                          <w:t>Acceso en términos de igualdad de oportunidades que garantizan y mejoran el nivel de bienestar de la</w:t>
                        </w:r>
                      </w:p>
                      <w:p>
                        <w:pPr>
                          <w:pStyle w:val="TableParagraph"/>
                          <w:spacing w:line="312" w:lineRule="auto" w:before="2"/>
                          <w:ind w:left="103"/>
                          <w:rPr>
                            <w:sz w:val="16"/>
                          </w:rPr>
                        </w:pPr>
                        <w:r>
                          <w:rPr>
                            <w:sz w:val="16"/>
                          </w:rPr>
                          <w:t>sociedad, siendo la población objetivo los miembros más vulnerables.</w:t>
                        </w:r>
                      </w:p>
                    </w:tc>
                    <w:tc>
                      <w:tcPr>
                        <w:tcW w:w="3882" w:type="dxa"/>
                        <w:tcBorders>
                          <w:top w:val="dotted" w:sz="4" w:space="0" w:color="000000"/>
                          <w:left w:val="dotted" w:sz="4" w:space="0" w:color="000000"/>
                          <w:bottom w:val="dotted" w:sz="4" w:space="0" w:color="000000"/>
                        </w:tcBorders>
                      </w:tcPr>
                      <w:p>
                        <w:pPr>
                          <w:pStyle w:val="TableParagraph"/>
                          <w:numPr>
                            <w:ilvl w:val="0"/>
                            <w:numId w:val="8"/>
                          </w:numPr>
                          <w:tabs>
                            <w:tab w:pos="468" w:val="left" w:leader="none"/>
                            <w:tab w:pos="469" w:val="left" w:leader="none"/>
                          </w:tabs>
                          <w:spacing w:line="309" w:lineRule="auto" w:before="79" w:after="0"/>
                          <w:ind w:left="468" w:right="345" w:hanging="360"/>
                          <w:jc w:val="left"/>
                          <w:rPr>
                            <w:sz w:val="16"/>
                          </w:rPr>
                        </w:pPr>
                        <w:r>
                          <w:rPr>
                            <w:sz w:val="16"/>
                          </w:rPr>
                          <w:t>Inclusión de grupos excluidos en procesos consultivos.</w:t>
                        </w:r>
                      </w:p>
                      <w:p>
                        <w:pPr>
                          <w:pStyle w:val="TableParagraph"/>
                          <w:numPr>
                            <w:ilvl w:val="0"/>
                            <w:numId w:val="8"/>
                          </w:numPr>
                          <w:tabs>
                            <w:tab w:pos="468" w:val="left" w:leader="none"/>
                            <w:tab w:pos="469" w:val="left" w:leader="none"/>
                          </w:tabs>
                          <w:spacing w:line="309" w:lineRule="auto" w:before="4" w:after="0"/>
                          <w:ind w:left="468" w:right="683" w:hanging="360"/>
                          <w:jc w:val="left"/>
                          <w:rPr>
                            <w:sz w:val="16"/>
                          </w:rPr>
                        </w:pPr>
                        <w:r>
                          <w:rPr>
                            <w:sz w:val="16"/>
                          </w:rPr>
                          <w:t>Asignación de recursos a poblaciones vulnerables.</w:t>
                        </w:r>
                      </w:p>
                      <w:p>
                        <w:pPr>
                          <w:pStyle w:val="TableParagraph"/>
                          <w:numPr>
                            <w:ilvl w:val="0"/>
                            <w:numId w:val="8"/>
                          </w:numPr>
                          <w:tabs>
                            <w:tab w:pos="468" w:val="left" w:leader="none"/>
                            <w:tab w:pos="469" w:val="left" w:leader="none"/>
                          </w:tabs>
                          <w:spacing w:line="309" w:lineRule="auto" w:before="4" w:after="0"/>
                          <w:ind w:left="468" w:right="197" w:hanging="360"/>
                          <w:jc w:val="left"/>
                          <w:rPr>
                            <w:sz w:val="16"/>
                          </w:rPr>
                        </w:pPr>
                        <w:r>
                          <w:rPr>
                            <w:sz w:val="16"/>
                          </w:rPr>
                          <w:t>Acceso a servicios básicos de sectores de la población en</w:t>
                        </w:r>
                        <w:r>
                          <w:rPr>
                            <w:spacing w:val="16"/>
                            <w:sz w:val="16"/>
                          </w:rPr>
                          <w:t> </w:t>
                        </w:r>
                        <w:r>
                          <w:rPr>
                            <w:sz w:val="16"/>
                          </w:rPr>
                          <w:t>desventaja.</w:t>
                        </w:r>
                      </w:p>
                      <w:p>
                        <w:pPr>
                          <w:pStyle w:val="TableParagraph"/>
                          <w:numPr>
                            <w:ilvl w:val="0"/>
                            <w:numId w:val="8"/>
                          </w:numPr>
                          <w:tabs>
                            <w:tab w:pos="468" w:val="left" w:leader="none"/>
                            <w:tab w:pos="469" w:val="left" w:leader="none"/>
                          </w:tabs>
                          <w:spacing w:line="240" w:lineRule="auto" w:before="4" w:after="0"/>
                          <w:ind w:left="468" w:right="0" w:hanging="360"/>
                          <w:jc w:val="left"/>
                          <w:rPr>
                            <w:sz w:val="16"/>
                          </w:rPr>
                        </w:pPr>
                        <w:r>
                          <w:rPr>
                            <w:sz w:val="16"/>
                          </w:rPr>
                          <w:t>Representación de las</w:t>
                        </w:r>
                        <w:r>
                          <w:rPr>
                            <w:spacing w:val="-1"/>
                            <w:sz w:val="16"/>
                          </w:rPr>
                          <w:t> </w:t>
                        </w:r>
                        <w:r>
                          <w:rPr>
                            <w:sz w:val="16"/>
                          </w:rPr>
                          <w:t>mujeres.</w:t>
                        </w:r>
                      </w:p>
                    </w:tc>
                  </w:tr>
                </w:tbl>
                <w:p>
                  <w:pPr>
                    <w:pStyle w:val="BodyText"/>
                  </w:pPr>
                </w:p>
              </w:txbxContent>
            </v:textbox>
            <w10:wrap type="none"/>
          </v:shape>
        </w:pict>
      </w:r>
      <w:r>
        <w:rPr>
          <w:color w:val="6D6E71"/>
          <w:sz w:val="16"/>
        </w:rPr>
        <w:t>Cuadro No. 1: Variables e indicadores de gobernanza territorial</w:t>
      </w:r>
    </w:p>
    <w:p>
      <w:pPr>
        <w:spacing w:after="0"/>
        <w:jc w:val="left"/>
        <w:rPr>
          <w:sz w:val="16"/>
        </w:rPr>
        <w:sectPr>
          <w:type w:val="continuous"/>
          <w:pgSz w:w="18830" w:h="12760" w:orient="landscape"/>
          <w:pgMar w:top="1420" w:bottom="280" w:left="720" w:right="720"/>
          <w:cols w:num="2" w:equalWidth="0">
            <w:col w:w="7842" w:space="1569"/>
            <w:col w:w="7979"/>
          </w:cols>
        </w:sectPr>
      </w:pPr>
    </w:p>
    <w:p>
      <w:pPr>
        <w:pStyle w:val="BodyText"/>
        <w:spacing w:before="7"/>
        <w:rPr>
          <w:sz w:val="25"/>
        </w:rPr>
      </w:pPr>
    </w:p>
    <w:tbl>
      <w:tblPr>
        <w:tblW w:w="0" w:type="auto"/>
        <w:jc w:val="left"/>
        <w:tblInd w:w="9571"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CellMar>
          <w:top w:w="0" w:type="dxa"/>
          <w:left w:w="0" w:type="dxa"/>
          <w:bottom w:w="0" w:type="dxa"/>
          <w:right w:w="0" w:type="dxa"/>
        </w:tblCellMar>
        <w:tblLook w:val="01E0"/>
      </w:tblPr>
      <w:tblGrid>
        <w:gridCol w:w="1383"/>
        <w:gridCol w:w="2410"/>
        <w:gridCol w:w="3862"/>
      </w:tblGrid>
      <w:tr>
        <w:trPr>
          <w:trHeight w:val="2706" w:hRule="exact"/>
        </w:trPr>
        <w:tc>
          <w:tcPr>
            <w:tcW w:w="1383" w:type="dxa"/>
            <w:tcBorders>
              <w:lef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2"/>
              <w:rPr>
                <w:sz w:val="16"/>
              </w:rPr>
            </w:pPr>
          </w:p>
          <w:p>
            <w:pPr>
              <w:pStyle w:val="TableParagraph"/>
              <w:spacing w:line="312" w:lineRule="auto"/>
              <w:ind w:left="72" w:right="423"/>
              <w:rPr>
                <w:sz w:val="16"/>
              </w:rPr>
            </w:pPr>
            <w:r>
              <w:rPr>
                <w:sz w:val="16"/>
              </w:rPr>
              <w:t>Creación de redes</w:t>
            </w:r>
          </w:p>
        </w:tc>
        <w:tc>
          <w:tcPr>
            <w:tcW w:w="2410" w:type="dxa"/>
          </w:tcPr>
          <w:p>
            <w:pPr>
              <w:pStyle w:val="TableParagraph"/>
              <w:rPr>
                <w:sz w:val="16"/>
              </w:rPr>
            </w:pPr>
          </w:p>
          <w:p>
            <w:pPr>
              <w:pStyle w:val="TableParagraph"/>
              <w:spacing w:before="6"/>
              <w:rPr>
                <w:sz w:val="17"/>
              </w:rPr>
            </w:pPr>
          </w:p>
          <w:p>
            <w:pPr>
              <w:pStyle w:val="TableParagraph"/>
              <w:spacing w:line="312" w:lineRule="auto"/>
              <w:ind w:left="103" w:right="187"/>
              <w:rPr>
                <w:sz w:val="16"/>
              </w:rPr>
            </w:pPr>
            <w:r>
              <w:rPr>
                <w:sz w:val="16"/>
              </w:rPr>
              <w:t>Habilidad de los gobiernos locales para forjar relaciones de cooperación con otros gobiernos  y  entidades,  con el fin de fortalecer un sistema más amplio y la creación de capacidad estructural.</w:t>
            </w:r>
          </w:p>
        </w:tc>
        <w:tc>
          <w:tcPr>
            <w:tcW w:w="3862" w:type="dxa"/>
            <w:tcBorders>
              <w:right w:val="nil"/>
            </w:tcBorders>
          </w:tcPr>
          <w:p>
            <w:pPr>
              <w:pStyle w:val="TableParagraph"/>
              <w:spacing w:before="7"/>
              <w:rPr>
                <w:sz w:val="12"/>
              </w:rPr>
            </w:pPr>
          </w:p>
          <w:p>
            <w:pPr>
              <w:pStyle w:val="TableParagraph"/>
              <w:numPr>
                <w:ilvl w:val="0"/>
                <w:numId w:val="9"/>
              </w:numPr>
              <w:tabs>
                <w:tab w:pos="463" w:val="left" w:leader="none"/>
                <w:tab w:pos="464" w:val="left" w:leader="none"/>
              </w:tabs>
              <w:spacing w:line="312" w:lineRule="auto" w:before="1" w:after="0"/>
              <w:ind w:left="463" w:right="970" w:hanging="360"/>
              <w:jc w:val="left"/>
              <w:rPr>
                <w:sz w:val="16"/>
              </w:rPr>
            </w:pPr>
            <w:r>
              <w:rPr>
                <w:sz w:val="16"/>
              </w:rPr>
              <w:t>Extensión (número) de redes intergubernamentales, regionales, intralocales,</w:t>
            </w:r>
            <w:r>
              <w:rPr>
                <w:spacing w:val="7"/>
                <w:sz w:val="16"/>
              </w:rPr>
              <w:t> </w:t>
            </w:r>
            <w:r>
              <w:rPr>
                <w:sz w:val="16"/>
              </w:rPr>
              <w:t>internacionales.</w:t>
            </w:r>
          </w:p>
          <w:p>
            <w:pPr>
              <w:pStyle w:val="TableParagraph"/>
              <w:numPr>
                <w:ilvl w:val="0"/>
                <w:numId w:val="9"/>
              </w:numPr>
              <w:tabs>
                <w:tab w:pos="463" w:val="left" w:leader="none"/>
                <w:tab w:pos="464" w:val="left" w:leader="none"/>
              </w:tabs>
              <w:spacing w:line="309" w:lineRule="auto" w:before="2" w:after="0"/>
              <w:ind w:left="463" w:right="730" w:hanging="360"/>
              <w:jc w:val="left"/>
              <w:rPr>
                <w:sz w:val="16"/>
              </w:rPr>
            </w:pPr>
            <w:r>
              <w:rPr>
                <w:sz w:val="16"/>
              </w:rPr>
              <w:t>Alcance de la complementariedad de recursos de la</w:t>
            </w:r>
            <w:r>
              <w:rPr>
                <w:spacing w:val="8"/>
                <w:sz w:val="16"/>
              </w:rPr>
              <w:t> </w:t>
            </w:r>
            <w:r>
              <w:rPr>
                <w:sz w:val="16"/>
              </w:rPr>
              <w:t>red.</w:t>
            </w:r>
          </w:p>
          <w:p>
            <w:pPr>
              <w:pStyle w:val="TableParagraph"/>
              <w:numPr>
                <w:ilvl w:val="0"/>
                <w:numId w:val="9"/>
              </w:numPr>
              <w:tabs>
                <w:tab w:pos="463" w:val="left" w:leader="none"/>
                <w:tab w:pos="464" w:val="left" w:leader="none"/>
              </w:tabs>
              <w:spacing w:line="240" w:lineRule="auto" w:before="4" w:after="0"/>
              <w:ind w:left="463" w:right="0" w:hanging="360"/>
              <w:jc w:val="left"/>
              <w:rPr>
                <w:sz w:val="16"/>
              </w:rPr>
            </w:pPr>
            <w:r>
              <w:rPr>
                <w:sz w:val="16"/>
              </w:rPr>
              <w:t>Promoción de intereses y agendas</w:t>
            </w:r>
            <w:r>
              <w:rPr>
                <w:spacing w:val="22"/>
                <w:sz w:val="16"/>
              </w:rPr>
              <w:t> </w:t>
            </w:r>
            <w:r>
              <w:rPr>
                <w:sz w:val="16"/>
              </w:rPr>
              <w:t>comunes.</w:t>
            </w:r>
          </w:p>
          <w:p>
            <w:pPr>
              <w:pStyle w:val="TableParagraph"/>
              <w:numPr>
                <w:ilvl w:val="0"/>
                <w:numId w:val="9"/>
              </w:numPr>
              <w:tabs>
                <w:tab w:pos="463" w:val="left" w:leader="none"/>
                <w:tab w:pos="464" w:val="left" w:leader="none"/>
              </w:tabs>
              <w:spacing w:line="309" w:lineRule="auto" w:before="54" w:after="0"/>
              <w:ind w:left="463" w:right="334" w:hanging="360"/>
              <w:jc w:val="left"/>
              <w:rPr>
                <w:sz w:val="16"/>
              </w:rPr>
            </w:pPr>
            <w:r>
              <w:rPr>
                <w:sz w:val="16"/>
              </w:rPr>
              <w:t>Intercambio de experiencias, aprendizajes, capacitaciones</w:t>
            </w:r>
            <w:r>
              <w:rPr>
                <w:spacing w:val="25"/>
                <w:sz w:val="16"/>
              </w:rPr>
              <w:t> </w:t>
            </w:r>
            <w:r>
              <w:rPr>
                <w:sz w:val="16"/>
              </w:rPr>
              <w:t>entrenamiento.</w:t>
            </w:r>
          </w:p>
          <w:p>
            <w:pPr>
              <w:pStyle w:val="TableParagraph"/>
              <w:numPr>
                <w:ilvl w:val="0"/>
                <w:numId w:val="9"/>
              </w:numPr>
              <w:tabs>
                <w:tab w:pos="463" w:val="left" w:leader="none"/>
                <w:tab w:pos="464" w:val="left" w:leader="none"/>
              </w:tabs>
              <w:spacing w:line="309" w:lineRule="auto" w:before="4" w:after="0"/>
              <w:ind w:left="463" w:right="514" w:hanging="360"/>
              <w:jc w:val="left"/>
              <w:rPr>
                <w:sz w:val="16"/>
              </w:rPr>
            </w:pPr>
            <w:r>
              <w:rPr>
                <w:sz w:val="16"/>
              </w:rPr>
              <w:t>Extensión de intercambio y cooperación tecnológica.</w:t>
            </w:r>
          </w:p>
        </w:tc>
      </w:tr>
    </w:tbl>
    <w:p>
      <w:pPr>
        <w:pStyle w:val="BodyText"/>
      </w:pPr>
    </w:p>
    <w:p>
      <w:pPr>
        <w:pStyle w:val="BodyText"/>
        <w:spacing w:before="10"/>
        <w:rPr>
          <w:sz w:val="15"/>
        </w:rPr>
      </w:pPr>
    </w:p>
    <w:p>
      <w:pPr>
        <w:spacing w:before="81"/>
        <w:ind w:left="11441" w:right="0" w:firstLine="0"/>
        <w:jc w:val="left"/>
        <w:rPr>
          <w:sz w:val="16"/>
        </w:rPr>
      </w:pPr>
      <w:r>
        <w:rPr/>
        <w:pict>
          <v:shape style="position:absolute;margin-left:44.501598pt;margin-top:-156.583389pt;width:383.55pt;height:458.45pt;mso-position-horizontal-relative:page;mso-position-vertical-relative:paragraph;z-index:2896" type="#_x0000_t202" filled="false" stroked="false">
            <v:textbox inset="0,0,0,0">
              <w:txbxContent>
                <w:tbl>
                  <w:tblPr>
                    <w:tblW w:w="0" w:type="auto"/>
                    <w:jc w:val="lef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CellMar>
                      <w:top w:w="0" w:type="dxa"/>
                      <w:left w:w="0" w:type="dxa"/>
                      <w:bottom w:w="0" w:type="dxa"/>
                      <w:right w:w="0" w:type="dxa"/>
                    </w:tblCellMar>
                    <w:tblLook w:val="01E0"/>
                  </w:tblPr>
                  <w:tblGrid>
                    <w:gridCol w:w="1383"/>
                    <w:gridCol w:w="2410"/>
                    <w:gridCol w:w="3862"/>
                  </w:tblGrid>
                  <w:tr>
                    <w:trPr>
                      <w:trHeight w:val="2949" w:hRule="exact"/>
                    </w:trPr>
                    <w:tc>
                      <w:tcPr>
                        <w:tcW w:w="1383" w:type="dxa"/>
                        <w:tcBorders>
                          <w:lef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4"/>
                          <w:rPr>
                            <w:sz w:val="16"/>
                          </w:rPr>
                        </w:pPr>
                      </w:p>
                      <w:p>
                        <w:pPr>
                          <w:pStyle w:val="TableParagraph"/>
                          <w:spacing w:line="312" w:lineRule="auto" w:before="1"/>
                          <w:ind w:left="72" w:right="351"/>
                          <w:rPr>
                            <w:sz w:val="16"/>
                          </w:rPr>
                        </w:pPr>
                        <w:r>
                          <w:rPr>
                            <w:sz w:val="16"/>
                          </w:rPr>
                          <w:t>Rendición de cuentas</w:t>
                        </w:r>
                      </w:p>
                    </w:tc>
                    <w:tc>
                      <w:tcPr>
                        <w:tcW w:w="2410" w:type="dxa"/>
                      </w:tcPr>
                      <w:p>
                        <w:pPr>
                          <w:pStyle w:val="TableParagraph"/>
                          <w:spacing w:before="10"/>
                          <w:rPr>
                            <w:sz w:val="12"/>
                          </w:rPr>
                        </w:pPr>
                      </w:p>
                      <w:p>
                        <w:pPr>
                          <w:pStyle w:val="TableParagraph"/>
                          <w:spacing w:line="312" w:lineRule="auto"/>
                          <w:ind w:left="103" w:right="160"/>
                          <w:rPr>
                            <w:sz w:val="16"/>
                          </w:rPr>
                        </w:pPr>
                        <w:r>
                          <w:rPr>
                            <w:sz w:val="16"/>
                          </w:rPr>
                          <w:t>Responsabilidad de quienes han recibido un poder delegado para con los que han delegado. Necesidad de los delegatarios de aceptar y respetar una serie de criterios establecidos con el objeto</w:t>
                        </w:r>
                      </w:p>
                      <w:p>
                        <w:pPr>
                          <w:pStyle w:val="TableParagraph"/>
                          <w:spacing w:line="312" w:lineRule="auto" w:before="2"/>
                          <w:ind w:left="103" w:right="273"/>
                          <w:rPr>
                            <w:sz w:val="16"/>
                          </w:rPr>
                        </w:pPr>
                        <w:r>
                          <w:rPr>
                            <w:sz w:val="16"/>
                          </w:rPr>
                          <w:t>de evaluar el desempeño del gobierno y de quienes lo conforman.</w:t>
                        </w:r>
                      </w:p>
                    </w:tc>
                    <w:tc>
                      <w:tcPr>
                        <w:tcW w:w="3862" w:type="dxa"/>
                        <w:tcBorders>
                          <w:right w:val="nil"/>
                        </w:tcBorders>
                      </w:tcPr>
                      <w:p>
                        <w:pPr>
                          <w:pStyle w:val="TableParagraph"/>
                          <w:spacing w:before="10"/>
                          <w:rPr>
                            <w:sz w:val="12"/>
                          </w:rPr>
                        </w:pPr>
                      </w:p>
                      <w:p>
                        <w:pPr>
                          <w:pStyle w:val="TableParagraph"/>
                          <w:numPr>
                            <w:ilvl w:val="0"/>
                            <w:numId w:val="10"/>
                          </w:numPr>
                          <w:tabs>
                            <w:tab w:pos="463" w:val="left" w:leader="none"/>
                            <w:tab w:pos="464" w:val="left" w:leader="none"/>
                          </w:tabs>
                          <w:spacing w:line="312" w:lineRule="auto" w:before="0" w:after="0"/>
                          <w:ind w:left="463" w:right="310" w:hanging="360"/>
                          <w:jc w:val="left"/>
                          <w:rPr>
                            <w:sz w:val="16"/>
                          </w:rPr>
                        </w:pPr>
                        <w:r>
                          <w:rPr>
                            <w:sz w:val="16"/>
                          </w:rPr>
                          <w:t>Regularidad de las transacciones fiscales y el cumplimiento de los requisitos legales y normas</w:t>
                        </w:r>
                        <w:r>
                          <w:rPr>
                            <w:spacing w:val="14"/>
                            <w:sz w:val="16"/>
                          </w:rPr>
                          <w:t> </w:t>
                        </w:r>
                        <w:r>
                          <w:rPr>
                            <w:sz w:val="16"/>
                          </w:rPr>
                          <w:t>administrativas.</w:t>
                        </w:r>
                      </w:p>
                      <w:p>
                        <w:pPr>
                          <w:pStyle w:val="TableParagraph"/>
                          <w:numPr>
                            <w:ilvl w:val="0"/>
                            <w:numId w:val="10"/>
                          </w:numPr>
                          <w:tabs>
                            <w:tab w:pos="464" w:val="left" w:leader="none"/>
                          </w:tabs>
                          <w:spacing w:line="312" w:lineRule="auto" w:before="2" w:after="0"/>
                          <w:ind w:left="463" w:right="176" w:hanging="360"/>
                          <w:jc w:val="both"/>
                          <w:rPr>
                            <w:sz w:val="16"/>
                          </w:rPr>
                        </w:pPr>
                        <w:r>
                          <w:rPr>
                            <w:sz w:val="16"/>
                          </w:rPr>
                          <w:t>Mecanismos disponibles para que el público pueda informarse sobre proyectos, procesos y</w:t>
                        </w:r>
                        <w:r>
                          <w:rPr>
                            <w:spacing w:val="5"/>
                            <w:sz w:val="16"/>
                          </w:rPr>
                          <w:t> </w:t>
                        </w:r>
                        <w:r>
                          <w:rPr>
                            <w:sz w:val="16"/>
                          </w:rPr>
                          <w:t>recursos.</w:t>
                        </w:r>
                      </w:p>
                      <w:p>
                        <w:pPr>
                          <w:pStyle w:val="TableParagraph"/>
                          <w:numPr>
                            <w:ilvl w:val="0"/>
                            <w:numId w:val="10"/>
                          </w:numPr>
                          <w:tabs>
                            <w:tab w:pos="463" w:val="left" w:leader="none"/>
                            <w:tab w:pos="464" w:val="left" w:leader="none"/>
                          </w:tabs>
                          <w:spacing w:line="312" w:lineRule="auto" w:before="2" w:after="0"/>
                          <w:ind w:left="463" w:right="443" w:hanging="360"/>
                          <w:jc w:val="left"/>
                          <w:rPr>
                            <w:sz w:val="16"/>
                          </w:rPr>
                        </w:pPr>
                        <w:r>
                          <w:rPr>
                            <w:sz w:val="16"/>
                          </w:rPr>
                          <w:t>Sistemas de comunicación que aseguran que las metas planteadas son clara y oportunamente</w:t>
                        </w:r>
                        <w:r>
                          <w:rPr>
                            <w:spacing w:val="35"/>
                            <w:sz w:val="16"/>
                          </w:rPr>
                          <w:t> </w:t>
                        </w:r>
                        <w:r>
                          <w:rPr>
                            <w:sz w:val="16"/>
                          </w:rPr>
                          <w:t>comunicadas.</w:t>
                        </w:r>
                      </w:p>
                      <w:p>
                        <w:pPr>
                          <w:pStyle w:val="TableParagraph"/>
                          <w:numPr>
                            <w:ilvl w:val="0"/>
                            <w:numId w:val="10"/>
                          </w:numPr>
                          <w:tabs>
                            <w:tab w:pos="463" w:val="left" w:leader="none"/>
                            <w:tab w:pos="464" w:val="left" w:leader="none"/>
                          </w:tabs>
                          <w:spacing w:line="309" w:lineRule="auto" w:before="2" w:after="0"/>
                          <w:ind w:left="463" w:right="520" w:hanging="360"/>
                          <w:jc w:val="left"/>
                          <w:rPr>
                            <w:sz w:val="16"/>
                          </w:rPr>
                        </w:pPr>
                        <w:r>
                          <w:rPr>
                            <w:sz w:val="16"/>
                          </w:rPr>
                          <w:t>Grado en que las quejas y reclamos son atendidos por la</w:t>
                        </w:r>
                        <w:r>
                          <w:rPr>
                            <w:spacing w:val="37"/>
                            <w:sz w:val="16"/>
                          </w:rPr>
                          <w:t> </w:t>
                        </w:r>
                        <w:r>
                          <w:rPr>
                            <w:sz w:val="16"/>
                          </w:rPr>
                          <w:t>administración.</w:t>
                        </w:r>
                      </w:p>
                    </w:tc>
                  </w:tr>
                  <w:tr>
                    <w:trPr>
                      <w:trHeight w:val="1920" w:hRule="exact"/>
                    </w:trPr>
                    <w:tc>
                      <w:tcPr>
                        <w:tcW w:w="1383" w:type="dxa"/>
                        <w:tcBorders>
                          <w:left w:val="nil"/>
                        </w:tcBorders>
                      </w:tcPr>
                      <w:p>
                        <w:pPr>
                          <w:pStyle w:val="TableParagraph"/>
                          <w:rPr>
                            <w:sz w:val="16"/>
                          </w:rPr>
                        </w:pPr>
                      </w:p>
                      <w:p>
                        <w:pPr>
                          <w:pStyle w:val="TableParagraph"/>
                          <w:rPr>
                            <w:sz w:val="16"/>
                          </w:rPr>
                        </w:pPr>
                      </w:p>
                      <w:p>
                        <w:pPr>
                          <w:pStyle w:val="TableParagraph"/>
                          <w:spacing w:before="7"/>
                          <w:rPr>
                            <w:sz w:val="16"/>
                          </w:rPr>
                        </w:pPr>
                      </w:p>
                      <w:p>
                        <w:pPr>
                          <w:pStyle w:val="TableParagraph"/>
                          <w:spacing w:line="312" w:lineRule="auto" w:before="1"/>
                          <w:ind w:left="73" w:right="128"/>
                          <w:rPr>
                            <w:sz w:val="16"/>
                          </w:rPr>
                        </w:pPr>
                        <w:r>
                          <w:rPr>
                            <w:sz w:val="16"/>
                          </w:rPr>
                          <w:t>Innovación administrativa/ gerencial</w:t>
                        </w:r>
                      </w:p>
                    </w:tc>
                    <w:tc>
                      <w:tcPr>
                        <w:tcW w:w="2410" w:type="dxa"/>
                      </w:tcPr>
                      <w:p>
                        <w:pPr>
                          <w:pStyle w:val="TableParagraph"/>
                          <w:rPr>
                            <w:sz w:val="16"/>
                          </w:rPr>
                        </w:pPr>
                      </w:p>
                      <w:p>
                        <w:pPr>
                          <w:pStyle w:val="TableParagraph"/>
                          <w:rPr>
                            <w:sz w:val="16"/>
                          </w:rPr>
                        </w:pPr>
                      </w:p>
                      <w:p>
                        <w:pPr>
                          <w:pStyle w:val="TableParagraph"/>
                          <w:spacing w:before="7"/>
                          <w:rPr>
                            <w:sz w:val="16"/>
                          </w:rPr>
                        </w:pPr>
                      </w:p>
                      <w:p>
                        <w:pPr>
                          <w:pStyle w:val="TableParagraph"/>
                          <w:spacing w:line="312" w:lineRule="auto" w:before="1"/>
                          <w:ind w:left="103"/>
                          <w:rPr>
                            <w:sz w:val="16"/>
                          </w:rPr>
                        </w:pPr>
                        <w:r>
                          <w:rPr>
                            <w:sz w:val="16"/>
                          </w:rPr>
                          <w:t>Reformas exitosas implementadas por gobiernos locales.</w:t>
                        </w:r>
                      </w:p>
                    </w:tc>
                    <w:tc>
                      <w:tcPr>
                        <w:tcW w:w="3862" w:type="dxa"/>
                        <w:tcBorders>
                          <w:right w:val="nil"/>
                        </w:tcBorders>
                      </w:tcPr>
                      <w:p>
                        <w:pPr>
                          <w:pStyle w:val="TableParagraph"/>
                          <w:numPr>
                            <w:ilvl w:val="0"/>
                            <w:numId w:val="11"/>
                          </w:numPr>
                          <w:tabs>
                            <w:tab w:pos="463" w:val="left" w:leader="none"/>
                            <w:tab w:pos="464" w:val="left" w:leader="none"/>
                          </w:tabs>
                          <w:spacing w:line="309" w:lineRule="auto" w:before="79" w:after="0"/>
                          <w:ind w:left="463" w:right="967" w:hanging="360"/>
                          <w:jc w:val="left"/>
                          <w:rPr>
                            <w:sz w:val="16"/>
                          </w:rPr>
                        </w:pPr>
                        <w:r>
                          <w:rPr>
                            <w:sz w:val="16"/>
                          </w:rPr>
                          <w:t>Mejoramiento de las estructuras y procedimientos </w:t>
                        </w:r>
                        <w:r>
                          <w:rPr>
                            <w:spacing w:val="8"/>
                            <w:sz w:val="16"/>
                          </w:rPr>
                          <w:t> </w:t>
                        </w:r>
                        <w:r>
                          <w:rPr>
                            <w:sz w:val="16"/>
                          </w:rPr>
                          <w:t>burocráticos.</w:t>
                        </w:r>
                      </w:p>
                      <w:p>
                        <w:pPr>
                          <w:pStyle w:val="TableParagraph"/>
                          <w:numPr>
                            <w:ilvl w:val="0"/>
                            <w:numId w:val="11"/>
                          </w:numPr>
                          <w:tabs>
                            <w:tab w:pos="463" w:val="left" w:leader="none"/>
                            <w:tab w:pos="464" w:val="left" w:leader="none"/>
                          </w:tabs>
                          <w:spacing w:line="309" w:lineRule="auto" w:before="4" w:after="0"/>
                          <w:ind w:left="463" w:right="567" w:hanging="360"/>
                          <w:jc w:val="left"/>
                          <w:rPr>
                            <w:sz w:val="16"/>
                          </w:rPr>
                        </w:pPr>
                        <w:r>
                          <w:rPr>
                            <w:sz w:val="16"/>
                          </w:rPr>
                          <w:t>Generación de medidas apropiadas, no comunes e</w:t>
                        </w:r>
                        <w:r>
                          <w:rPr>
                            <w:spacing w:val="11"/>
                            <w:sz w:val="16"/>
                          </w:rPr>
                          <w:t> </w:t>
                        </w:r>
                        <w:r>
                          <w:rPr>
                            <w:sz w:val="16"/>
                          </w:rPr>
                          <w:t>innovadoras.</w:t>
                        </w:r>
                      </w:p>
                      <w:p>
                        <w:pPr>
                          <w:pStyle w:val="TableParagraph"/>
                          <w:numPr>
                            <w:ilvl w:val="0"/>
                            <w:numId w:val="11"/>
                          </w:numPr>
                          <w:tabs>
                            <w:tab w:pos="463" w:val="left" w:leader="none"/>
                            <w:tab w:pos="464" w:val="left" w:leader="none"/>
                          </w:tabs>
                          <w:spacing w:line="312" w:lineRule="auto" w:before="4" w:after="0"/>
                          <w:ind w:left="463" w:right="531" w:hanging="360"/>
                          <w:jc w:val="left"/>
                          <w:rPr>
                            <w:sz w:val="16"/>
                          </w:rPr>
                        </w:pPr>
                        <w:r>
                          <w:rPr>
                            <w:sz w:val="16"/>
                          </w:rPr>
                          <w:t>Adopción de conceptos y prácticas innovadoras en el manejo de problemas locales.</w:t>
                        </w:r>
                      </w:p>
                    </w:tc>
                  </w:tr>
                  <w:tr>
                    <w:trPr>
                      <w:trHeight w:val="2880" w:hRule="exact"/>
                    </w:trPr>
                    <w:tc>
                      <w:tcPr>
                        <w:tcW w:w="1383" w:type="dxa"/>
                        <w:tcBorders>
                          <w:lef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3"/>
                          <w:rPr>
                            <w:sz w:val="15"/>
                          </w:rPr>
                        </w:pPr>
                      </w:p>
                      <w:p>
                        <w:pPr>
                          <w:pStyle w:val="TableParagraph"/>
                          <w:ind w:left="73" w:right="423"/>
                          <w:rPr>
                            <w:sz w:val="16"/>
                          </w:rPr>
                        </w:pPr>
                        <w:r>
                          <w:rPr>
                            <w:sz w:val="16"/>
                          </w:rPr>
                          <w:t>Eficiencia</w:t>
                        </w:r>
                      </w:p>
                    </w:tc>
                    <w:tc>
                      <w:tcPr>
                        <w:tcW w:w="2410" w:type="dxa"/>
                      </w:tcPr>
                      <w:p>
                        <w:pPr>
                          <w:pStyle w:val="TableParagraph"/>
                          <w:rPr>
                            <w:sz w:val="16"/>
                          </w:rPr>
                        </w:pPr>
                      </w:p>
                      <w:p>
                        <w:pPr>
                          <w:pStyle w:val="TableParagraph"/>
                          <w:rPr>
                            <w:sz w:val="16"/>
                          </w:rPr>
                        </w:pPr>
                      </w:p>
                      <w:p>
                        <w:pPr>
                          <w:pStyle w:val="TableParagraph"/>
                          <w:rPr>
                            <w:sz w:val="16"/>
                          </w:rPr>
                        </w:pPr>
                      </w:p>
                      <w:p>
                        <w:pPr>
                          <w:pStyle w:val="TableParagraph"/>
                          <w:spacing w:before="6"/>
                          <w:rPr>
                            <w:sz w:val="21"/>
                          </w:rPr>
                        </w:pPr>
                      </w:p>
                      <w:p>
                        <w:pPr>
                          <w:pStyle w:val="TableParagraph"/>
                          <w:spacing w:line="312" w:lineRule="auto"/>
                          <w:ind w:left="103" w:right="199"/>
                          <w:rPr>
                            <w:sz w:val="16"/>
                          </w:rPr>
                        </w:pPr>
                        <w:r>
                          <w:rPr>
                            <w:sz w:val="16"/>
                          </w:rPr>
                          <w:t>Logro de resultados que se adecuan a las necesidades de los diferentes grupos, así como la maximización de los recursos, sin desperdiciar los recursos.</w:t>
                        </w:r>
                      </w:p>
                    </w:tc>
                    <w:tc>
                      <w:tcPr>
                        <w:tcW w:w="3862" w:type="dxa"/>
                        <w:tcBorders>
                          <w:right w:val="nil"/>
                        </w:tcBorders>
                      </w:tcPr>
                      <w:p>
                        <w:pPr>
                          <w:pStyle w:val="TableParagraph"/>
                          <w:numPr>
                            <w:ilvl w:val="0"/>
                            <w:numId w:val="12"/>
                          </w:numPr>
                          <w:tabs>
                            <w:tab w:pos="463" w:val="left" w:leader="none"/>
                            <w:tab w:pos="464" w:val="left" w:leader="none"/>
                          </w:tabs>
                          <w:spacing w:line="309" w:lineRule="auto" w:before="79" w:after="0"/>
                          <w:ind w:left="463" w:right="259" w:hanging="360"/>
                          <w:jc w:val="left"/>
                          <w:rPr>
                            <w:sz w:val="16"/>
                          </w:rPr>
                        </w:pPr>
                        <w:r>
                          <w:rPr>
                            <w:sz w:val="16"/>
                          </w:rPr>
                          <w:t>Utilización económica de fondos, manos de obra y otros</w:t>
                        </w:r>
                        <w:r>
                          <w:rPr>
                            <w:spacing w:val="23"/>
                            <w:sz w:val="16"/>
                          </w:rPr>
                          <w:t> </w:t>
                        </w:r>
                        <w:r>
                          <w:rPr>
                            <w:sz w:val="16"/>
                          </w:rPr>
                          <w:t>recursos.</w:t>
                        </w:r>
                      </w:p>
                      <w:p>
                        <w:pPr>
                          <w:pStyle w:val="TableParagraph"/>
                          <w:numPr>
                            <w:ilvl w:val="0"/>
                            <w:numId w:val="12"/>
                          </w:numPr>
                          <w:tabs>
                            <w:tab w:pos="463" w:val="left" w:leader="none"/>
                            <w:tab w:pos="464" w:val="left" w:leader="none"/>
                          </w:tabs>
                          <w:spacing w:line="309" w:lineRule="auto" w:before="4" w:after="0"/>
                          <w:ind w:left="463" w:right="395" w:hanging="360"/>
                          <w:jc w:val="left"/>
                          <w:rPr>
                            <w:sz w:val="16"/>
                          </w:rPr>
                        </w:pPr>
                        <w:r>
                          <w:rPr>
                            <w:sz w:val="16"/>
                          </w:rPr>
                          <w:t>Existencia de mecanismos para evaluar el desempeño</w:t>
                        </w:r>
                        <w:r>
                          <w:rPr>
                            <w:spacing w:val="29"/>
                            <w:sz w:val="16"/>
                          </w:rPr>
                          <w:t> </w:t>
                        </w:r>
                        <w:r>
                          <w:rPr>
                            <w:sz w:val="16"/>
                          </w:rPr>
                          <w:t>económico.</w:t>
                        </w:r>
                      </w:p>
                      <w:p>
                        <w:pPr>
                          <w:pStyle w:val="TableParagraph"/>
                          <w:numPr>
                            <w:ilvl w:val="0"/>
                            <w:numId w:val="12"/>
                          </w:numPr>
                          <w:tabs>
                            <w:tab w:pos="463" w:val="left" w:leader="none"/>
                            <w:tab w:pos="464" w:val="left" w:leader="none"/>
                          </w:tabs>
                          <w:spacing w:line="309" w:lineRule="auto" w:before="4" w:after="0"/>
                          <w:ind w:left="463" w:right="327" w:hanging="360"/>
                          <w:jc w:val="left"/>
                          <w:rPr>
                            <w:sz w:val="16"/>
                          </w:rPr>
                        </w:pPr>
                        <w:r>
                          <w:rPr>
                            <w:sz w:val="16"/>
                          </w:rPr>
                          <w:t>Reducción de la población viviendo bajo la línea de</w:t>
                        </w:r>
                        <w:r>
                          <w:rPr>
                            <w:spacing w:val="-7"/>
                            <w:sz w:val="16"/>
                          </w:rPr>
                          <w:t> </w:t>
                        </w:r>
                        <w:r>
                          <w:rPr>
                            <w:sz w:val="16"/>
                          </w:rPr>
                          <w:t>pobreza.</w:t>
                        </w:r>
                      </w:p>
                      <w:p>
                        <w:pPr>
                          <w:pStyle w:val="TableParagraph"/>
                          <w:numPr>
                            <w:ilvl w:val="0"/>
                            <w:numId w:val="12"/>
                          </w:numPr>
                          <w:tabs>
                            <w:tab w:pos="463" w:val="left" w:leader="none"/>
                            <w:tab w:pos="464" w:val="left" w:leader="none"/>
                          </w:tabs>
                          <w:spacing w:line="312" w:lineRule="auto" w:before="4" w:after="0"/>
                          <w:ind w:left="463" w:right="135" w:hanging="360"/>
                          <w:jc w:val="left"/>
                          <w:rPr>
                            <w:sz w:val="16"/>
                          </w:rPr>
                        </w:pPr>
                        <w:r>
                          <w:rPr>
                            <w:sz w:val="16"/>
                          </w:rPr>
                          <w:t>Aumento de la participación en vivienda, educación y otras áreas de bienestar sobre la población</w:t>
                        </w:r>
                        <w:r>
                          <w:rPr>
                            <w:spacing w:val="31"/>
                            <w:sz w:val="16"/>
                          </w:rPr>
                          <w:t> </w:t>
                        </w:r>
                        <w:r>
                          <w:rPr>
                            <w:sz w:val="16"/>
                          </w:rPr>
                          <w:t>total.</w:t>
                        </w:r>
                      </w:p>
                      <w:p>
                        <w:pPr>
                          <w:pStyle w:val="TableParagraph"/>
                          <w:numPr>
                            <w:ilvl w:val="0"/>
                            <w:numId w:val="12"/>
                          </w:numPr>
                          <w:tabs>
                            <w:tab w:pos="463" w:val="left" w:leader="none"/>
                            <w:tab w:pos="464" w:val="left" w:leader="none"/>
                          </w:tabs>
                          <w:spacing w:line="309" w:lineRule="auto" w:before="2" w:after="0"/>
                          <w:ind w:left="463" w:right="360" w:hanging="360"/>
                          <w:jc w:val="left"/>
                          <w:rPr>
                            <w:sz w:val="16"/>
                          </w:rPr>
                        </w:pPr>
                        <w:r>
                          <w:rPr>
                            <w:sz w:val="16"/>
                          </w:rPr>
                          <w:t>Medición y mejoramiento del grado de satisfacción de las poblaciones</w:t>
                        </w:r>
                        <w:r>
                          <w:rPr>
                            <w:spacing w:val="42"/>
                            <w:sz w:val="16"/>
                          </w:rPr>
                          <w:t> </w:t>
                        </w:r>
                        <w:r>
                          <w:rPr>
                            <w:sz w:val="16"/>
                          </w:rPr>
                          <w:t>atendidas.</w:t>
                        </w:r>
                      </w:p>
                    </w:tc>
                  </w:tr>
                  <w:tr>
                    <w:trPr>
                      <w:trHeight w:val="1410" w:hRule="exact"/>
                    </w:trPr>
                    <w:tc>
                      <w:tcPr>
                        <w:tcW w:w="1383" w:type="dxa"/>
                        <w:tcBorders>
                          <w:left w:val="nil"/>
                          <w:bottom w:val="nil"/>
                        </w:tcBorders>
                      </w:tcPr>
                      <w:p>
                        <w:pPr>
                          <w:pStyle w:val="TableParagraph"/>
                          <w:rPr>
                            <w:sz w:val="16"/>
                          </w:rPr>
                        </w:pPr>
                      </w:p>
                      <w:p>
                        <w:pPr>
                          <w:pStyle w:val="TableParagraph"/>
                          <w:rPr>
                            <w:sz w:val="16"/>
                          </w:rPr>
                        </w:pPr>
                      </w:p>
                      <w:p>
                        <w:pPr>
                          <w:pStyle w:val="TableParagraph"/>
                          <w:spacing w:before="7"/>
                          <w:rPr>
                            <w:sz w:val="16"/>
                          </w:rPr>
                        </w:pPr>
                      </w:p>
                      <w:p>
                        <w:pPr>
                          <w:pStyle w:val="TableParagraph"/>
                          <w:spacing w:line="312" w:lineRule="auto" w:before="1"/>
                          <w:ind w:left="73" w:right="128"/>
                          <w:rPr>
                            <w:sz w:val="16"/>
                          </w:rPr>
                        </w:pPr>
                        <w:r>
                          <w:rPr>
                            <w:sz w:val="16"/>
                          </w:rPr>
                          <w:t>Desarrollo del recurso humano</w:t>
                        </w:r>
                      </w:p>
                      <w:p>
                        <w:pPr>
                          <w:pStyle w:val="TableParagraph"/>
                          <w:rPr>
                            <w:sz w:val="21"/>
                          </w:rPr>
                        </w:pPr>
                      </w:p>
                      <w:p>
                        <w:pPr>
                          <w:pStyle w:val="TableParagraph"/>
                          <w:tabs>
                            <w:tab w:pos="1367" w:val="left" w:leader="none"/>
                          </w:tabs>
                          <w:spacing w:line="165" w:lineRule="exact" w:before="1"/>
                          <w:rPr>
                            <w:sz w:val="16"/>
                          </w:rPr>
                        </w:pPr>
                        <w:r>
                          <w:rPr>
                            <w:w w:val="100"/>
                            <w:sz w:val="16"/>
                            <w:u w:val="dotted"/>
                          </w:rPr>
                          <w:t> </w:t>
                        </w:r>
                        <w:r>
                          <w:rPr>
                            <w:sz w:val="16"/>
                            <w:u w:val="dotted"/>
                          </w:rPr>
                          <w:tab/>
                        </w:r>
                      </w:p>
                    </w:tc>
                    <w:tc>
                      <w:tcPr>
                        <w:tcW w:w="2410" w:type="dxa"/>
                        <w:tcBorders>
                          <w:bottom w:val="nil"/>
                        </w:tcBorders>
                      </w:tcPr>
                      <w:p>
                        <w:pPr>
                          <w:pStyle w:val="TableParagraph"/>
                          <w:spacing w:line="312" w:lineRule="auto" w:before="80"/>
                          <w:ind w:left="103" w:right="418"/>
                          <w:rPr>
                            <w:sz w:val="16"/>
                          </w:rPr>
                        </w:pPr>
                        <w:r>
                          <w:rPr>
                            <w:sz w:val="16"/>
                          </w:rPr>
                          <w:t>Realización de programas para reclutar, entrenar, motivar y desarrollar los recursos humanos para promover su eficiencia y</w:t>
                        </w:r>
                      </w:p>
                      <w:p>
                        <w:pPr>
                          <w:pStyle w:val="TableParagraph"/>
                          <w:tabs>
                            <w:tab w:pos="2389" w:val="left" w:leader="none"/>
                          </w:tabs>
                          <w:spacing w:line="165" w:lineRule="exact" w:before="2"/>
                          <w:ind w:left="25"/>
                          <w:rPr>
                            <w:sz w:val="16"/>
                          </w:rPr>
                        </w:pPr>
                        <w:r>
                          <w:rPr>
                            <w:w w:val="100"/>
                            <w:sz w:val="16"/>
                            <w:u w:val="dotted"/>
                          </w:rPr>
                          <w:t> </w:t>
                        </w:r>
                        <w:r>
                          <w:rPr>
                            <w:spacing w:val="-11"/>
                            <w:sz w:val="16"/>
                            <w:u w:val="dotted"/>
                          </w:rPr>
                          <w:t> </w:t>
                        </w:r>
                        <w:r>
                          <w:rPr>
                            <w:sz w:val="16"/>
                            <w:u w:val="dotted"/>
                          </w:rPr>
                          <w:t>orientación al</w:t>
                        </w:r>
                        <w:r>
                          <w:rPr>
                            <w:spacing w:val="13"/>
                            <w:sz w:val="16"/>
                            <w:u w:val="dotted"/>
                          </w:rPr>
                          <w:t> </w:t>
                        </w:r>
                        <w:r>
                          <w:rPr>
                            <w:sz w:val="16"/>
                            <w:u w:val="dotted"/>
                          </w:rPr>
                          <w:t>servicio.</w:t>
                          <w:tab/>
                        </w:r>
                      </w:p>
                    </w:tc>
                    <w:tc>
                      <w:tcPr>
                        <w:tcW w:w="3862" w:type="dxa"/>
                        <w:tcBorders>
                          <w:bottom w:val="nil"/>
                          <w:right w:val="nil"/>
                        </w:tcBorders>
                      </w:tcPr>
                      <w:p>
                        <w:pPr>
                          <w:pStyle w:val="TableParagraph"/>
                          <w:rPr>
                            <w:sz w:val="16"/>
                          </w:rPr>
                        </w:pPr>
                      </w:p>
                      <w:p>
                        <w:pPr>
                          <w:pStyle w:val="TableParagraph"/>
                          <w:numPr>
                            <w:ilvl w:val="0"/>
                            <w:numId w:val="13"/>
                          </w:numPr>
                          <w:tabs>
                            <w:tab w:pos="463" w:val="left" w:leader="none"/>
                            <w:tab w:pos="464" w:val="left" w:leader="none"/>
                          </w:tabs>
                          <w:spacing w:line="312" w:lineRule="auto" w:before="135" w:after="0"/>
                          <w:ind w:left="463" w:right="102" w:hanging="360"/>
                          <w:jc w:val="left"/>
                          <w:rPr>
                            <w:sz w:val="16"/>
                          </w:rPr>
                        </w:pPr>
                        <w:r>
                          <w:rPr>
                            <w:sz w:val="16"/>
                          </w:rPr>
                          <w:t>Presencia y cubrimiento de las políticas diseñadas para mejorar diversos aspectos del recurso humano y su</w:t>
                        </w:r>
                        <w:r>
                          <w:rPr>
                            <w:spacing w:val="8"/>
                            <w:sz w:val="16"/>
                          </w:rPr>
                          <w:t> </w:t>
                        </w:r>
                        <w:r>
                          <w:rPr>
                            <w:sz w:val="16"/>
                          </w:rPr>
                          <w:t>gerencia.</w:t>
                        </w:r>
                      </w:p>
                      <w:p>
                        <w:pPr>
                          <w:pStyle w:val="TableParagraph"/>
                          <w:numPr>
                            <w:ilvl w:val="0"/>
                            <w:numId w:val="13"/>
                          </w:numPr>
                          <w:tabs>
                            <w:tab w:pos="463" w:val="left" w:leader="none"/>
                            <w:tab w:pos="464" w:val="left" w:leader="none"/>
                          </w:tabs>
                          <w:spacing w:line="240" w:lineRule="auto" w:before="2" w:after="0"/>
                          <w:ind w:left="463" w:right="0" w:hanging="360"/>
                          <w:jc w:val="left"/>
                          <w:rPr>
                            <w:sz w:val="16"/>
                          </w:rPr>
                        </w:pPr>
                        <w:r>
                          <w:rPr>
                            <w:sz w:val="16"/>
                          </w:rPr>
                          <w:t>Existencia de programas de</w:t>
                        </w:r>
                        <w:r>
                          <w:rPr>
                            <w:spacing w:val="37"/>
                            <w:sz w:val="16"/>
                          </w:rPr>
                          <w:t> </w:t>
                        </w:r>
                        <w:r>
                          <w:rPr>
                            <w:sz w:val="16"/>
                          </w:rPr>
                          <w:t>capacitación.</w:t>
                        </w:r>
                      </w:p>
                      <w:p>
                        <w:pPr>
                          <w:pStyle w:val="TableParagraph"/>
                          <w:tabs>
                            <w:tab w:pos="3857" w:val="left" w:leader="none"/>
                          </w:tabs>
                          <w:spacing w:line="165" w:lineRule="exact" w:before="54"/>
                          <w:ind w:left="25"/>
                          <w:rPr>
                            <w:sz w:val="16"/>
                          </w:rPr>
                        </w:pPr>
                        <w:r>
                          <w:rPr>
                            <w:w w:val="100"/>
                            <w:sz w:val="16"/>
                            <w:u w:val="dotted"/>
                          </w:rPr>
                          <w:t> </w:t>
                        </w:r>
                        <w:r>
                          <w:rPr>
                            <w:sz w:val="16"/>
                            <w:u w:val="dotted"/>
                          </w:rPr>
                          <w:tab/>
                        </w:r>
                      </w:p>
                    </w:tc>
                  </w:tr>
                </w:tbl>
                <w:p>
                  <w:pPr>
                    <w:pStyle w:val="BodyText"/>
                  </w:pPr>
                </w:p>
              </w:txbxContent>
            </v:textbox>
            <w10:wrap type="none"/>
          </v:shape>
        </w:pict>
      </w:r>
      <w:r>
        <w:rPr>
          <w:color w:val="6D6E71"/>
          <w:sz w:val="16"/>
        </w:rPr>
        <w:t>Fuente: Whittingham, (2005, citado por Jorquera 2008)</w:t>
      </w:r>
    </w:p>
    <w:p>
      <w:pPr>
        <w:pStyle w:val="BodyText"/>
        <w:rPr>
          <w:sz w:val="16"/>
        </w:rPr>
      </w:pPr>
    </w:p>
    <w:p>
      <w:pPr>
        <w:pStyle w:val="BodyText"/>
        <w:rPr>
          <w:sz w:val="16"/>
        </w:rPr>
      </w:pPr>
    </w:p>
    <w:p>
      <w:pPr>
        <w:pStyle w:val="BodyText"/>
        <w:spacing w:line="249" w:lineRule="auto" w:before="130"/>
        <w:ind w:left="9541" w:right="128" w:firstLine="170"/>
        <w:jc w:val="both"/>
      </w:pPr>
      <w:r>
        <w:rPr/>
        <w:t>Las variables e indicadores del cuadro No. 1, ponen en práctica los principios emanados del Libro Blanco de la buena gobernanza, destacando la integración de los distintos actores primordialmente la sociedad civil y el gobierno local; variables como  la innovación administrativa, el desarrollo del recurso humano y la creación de redes permiten constatar la importancia de un nuevo papel del gobierno local en un esquema descentralizando participando activamente en la acción pública del </w:t>
      </w:r>
      <w:r>
        <w:rPr>
          <w:spacing w:val="48"/>
        </w:rPr>
        <w:t> </w:t>
      </w:r>
      <w:r>
        <w:rPr/>
        <w:t>territorio.</w:t>
      </w:r>
    </w:p>
    <w:p>
      <w:pPr>
        <w:pStyle w:val="BodyText"/>
        <w:spacing w:before="11"/>
      </w:pPr>
    </w:p>
    <w:p>
      <w:pPr>
        <w:pStyle w:val="BodyText"/>
        <w:spacing w:line="249" w:lineRule="auto"/>
        <w:ind w:left="9541" w:right="128" w:firstLine="170"/>
        <w:jc w:val="both"/>
      </w:pPr>
      <w:r>
        <w:rPr/>
        <w:t>De acuerdo con Pascual (2004, citado en Romero 2009), para lograr la puesta en práctica de las variables arriba citadas, es necesaria la inclusión de instrumentos de gestión tales como:</w:t>
      </w:r>
    </w:p>
    <w:p>
      <w:pPr>
        <w:pStyle w:val="BodyText"/>
        <w:spacing w:before="8"/>
      </w:pPr>
    </w:p>
    <w:p>
      <w:pPr>
        <w:pStyle w:val="BodyText"/>
        <w:tabs>
          <w:tab w:pos="10261" w:val="left" w:leader="none"/>
        </w:tabs>
        <w:spacing w:line="242" w:lineRule="exact"/>
        <w:ind w:left="9711"/>
      </w:pPr>
      <w:r>
        <w:rPr>
          <w:rFonts w:ascii="Calibri" w:hAnsi="Calibri"/>
        </w:rPr>
        <w:t>»</w:t>
        <w:tab/>
      </w:r>
      <w:r>
        <w:rPr/>
        <w:t>El diseño de una estrategia compartida entre los principales  actores.</w:t>
      </w:r>
    </w:p>
    <w:p>
      <w:pPr>
        <w:pStyle w:val="BodyText"/>
        <w:tabs>
          <w:tab w:pos="10261" w:val="left" w:leader="none"/>
        </w:tabs>
        <w:spacing w:line="240" w:lineRule="exact"/>
        <w:ind w:left="9711"/>
      </w:pPr>
      <w:r>
        <w:rPr>
          <w:rFonts w:ascii="Calibri" w:hAnsi="Calibri"/>
        </w:rPr>
        <w:t>»</w:t>
        <w:tab/>
      </w:r>
      <w:r>
        <w:rPr/>
        <w:t>Un modelo de interacción</w:t>
      </w:r>
      <w:r>
        <w:rPr>
          <w:spacing w:val="43"/>
        </w:rPr>
        <w:t> </w:t>
      </w:r>
      <w:r>
        <w:rPr/>
        <w:t>social.</w:t>
      </w:r>
    </w:p>
    <w:p>
      <w:pPr>
        <w:pStyle w:val="BodyText"/>
        <w:tabs>
          <w:tab w:pos="10261" w:val="left" w:leader="none"/>
        </w:tabs>
        <w:spacing w:line="240" w:lineRule="exact"/>
        <w:ind w:left="9711"/>
      </w:pPr>
      <w:r>
        <w:rPr>
          <w:rFonts w:ascii="Calibri" w:hAnsi="Calibri"/>
        </w:rPr>
        <w:t>»</w:t>
        <w:tab/>
      </w:r>
      <w:r>
        <w:rPr/>
        <w:t>La gestión en red de proyectos clave y </w:t>
      </w:r>
      <w:r>
        <w:rPr>
          <w:spacing w:val="1"/>
        </w:rPr>
        <w:t> </w:t>
      </w:r>
      <w:r>
        <w:rPr/>
        <w:t>complejos.</w:t>
      </w:r>
    </w:p>
    <w:p>
      <w:pPr>
        <w:pStyle w:val="BodyText"/>
        <w:tabs>
          <w:tab w:pos="10261" w:val="left" w:leader="none"/>
        </w:tabs>
        <w:spacing w:line="240" w:lineRule="exact"/>
        <w:ind w:left="9711"/>
      </w:pPr>
      <w:r>
        <w:rPr>
          <w:rFonts w:ascii="Calibri" w:hAnsi="Calibri"/>
        </w:rPr>
        <w:t>»</w:t>
        <w:tab/>
      </w:r>
      <w:r>
        <w:rPr/>
        <w:t>Existencia de objetivos</w:t>
      </w:r>
      <w:r>
        <w:rPr>
          <w:spacing w:val="32"/>
        </w:rPr>
        <w:t> </w:t>
      </w:r>
      <w:r>
        <w:rPr/>
        <w:t>comunes.</w:t>
      </w:r>
    </w:p>
    <w:p>
      <w:pPr>
        <w:pStyle w:val="BodyText"/>
        <w:tabs>
          <w:tab w:pos="10261" w:val="left" w:leader="none"/>
        </w:tabs>
        <w:spacing w:line="240" w:lineRule="exact"/>
        <w:ind w:left="9711"/>
      </w:pPr>
      <w:r>
        <w:rPr>
          <w:rFonts w:ascii="Calibri" w:hAnsi="Calibri"/>
        </w:rPr>
        <w:t>»</w:t>
        <w:tab/>
      </w:r>
      <w:r>
        <w:rPr/>
        <w:t>Asumir responsabilidades</w:t>
      </w:r>
      <w:r>
        <w:rPr>
          <w:spacing w:val="35"/>
        </w:rPr>
        <w:t> </w:t>
      </w:r>
      <w:r>
        <w:rPr/>
        <w:t>concretas.</w:t>
      </w:r>
    </w:p>
    <w:p>
      <w:pPr>
        <w:pStyle w:val="BodyText"/>
        <w:tabs>
          <w:tab w:pos="10261" w:val="left" w:leader="none"/>
        </w:tabs>
        <w:spacing w:line="242" w:lineRule="exact"/>
        <w:ind w:left="9711"/>
      </w:pPr>
      <w:r>
        <w:rPr>
          <w:rFonts w:ascii="Calibri" w:hAnsi="Calibri"/>
        </w:rPr>
        <w:t>»</w:t>
        <w:tab/>
      </w:r>
      <w:r>
        <w:rPr/>
        <w:t>Cultura de acción y compromiso </w:t>
      </w:r>
      <w:r>
        <w:rPr>
          <w:spacing w:val="6"/>
        </w:rPr>
        <w:t> </w:t>
      </w:r>
      <w:r>
        <w:rPr/>
        <w:t>cívico.</w:t>
      </w:r>
    </w:p>
    <w:p>
      <w:pPr>
        <w:spacing w:after="0" w:line="242" w:lineRule="exact"/>
        <w:sectPr>
          <w:footerReference w:type="default" r:id="rId86"/>
          <w:pgSz w:w="18830" w:h="12760" w:orient="landscape"/>
          <w:pgMar w:footer="1036" w:header="522" w:top="820" w:bottom="1220" w:left="720" w:right="720"/>
        </w:sectPr>
      </w:pPr>
    </w:p>
    <w:p>
      <w:pPr>
        <w:pStyle w:val="BodyText"/>
        <w:spacing w:before="8"/>
      </w:pPr>
    </w:p>
    <w:p>
      <w:pPr>
        <w:spacing w:after="0"/>
        <w:sectPr>
          <w:footerReference w:type="default" r:id="rId87"/>
          <w:pgSz w:w="18830" w:h="12760" w:orient="landscape"/>
          <w:pgMar w:footer="1036" w:header="522" w:top="820" w:bottom="1220" w:left="720" w:right="720"/>
        </w:sectPr>
      </w:pPr>
    </w:p>
    <w:p>
      <w:pPr>
        <w:pStyle w:val="Heading1"/>
        <w:spacing w:before="71"/>
        <w:ind w:right="-7"/>
      </w:pPr>
      <w:r>
        <w:rPr/>
        <w:t>Consideraciones finales</w:t>
      </w:r>
    </w:p>
    <w:p>
      <w:pPr>
        <w:pStyle w:val="BodyText"/>
        <w:rPr>
          <w:b/>
          <w:sz w:val="21"/>
        </w:rPr>
      </w:pPr>
    </w:p>
    <w:p>
      <w:pPr>
        <w:pStyle w:val="BodyText"/>
        <w:spacing w:line="249" w:lineRule="auto"/>
        <w:ind w:left="130" w:firstLine="170"/>
        <w:jc w:val="both"/>
      </w:pPr>
      <w:r>
        <w:rPr/>
        <w:t>La</w:t>
      </w:r>
      <w:r>
        <w:rPr>
          <w:spacing w:val="-5"/>
        </w:rPr>
        <w:t> </w:t>
      </w:r>
      <w:r>
        <w:rPr/>
        <w:t>implementación</w:t>
      </w:r>
      <w:r>
        <w:rPr>
          <w:spacing w:val="-5"/>
        </w:rPr>
        <w:t> </w:t>
      </w:r>
      <w:r>
        <w:rPr/>
        <w:t>de</w:t>
      </w:r>
      <w:r>
        <w:rPr>
          <w:spacing w:val="-5"/>
        </w:rPr>
        <w:t> </w:t>
      </w:r>
      <w:r>
        <w:rPr/>
        <w:t>la</w:t>
      </w:r>
      <w:r>
        <w:rPr>
          <w:spacing w:val="-5"/>
        </w:rPr>
        <w:t> </w:t>
      </w:r>
      <w:r>
        <w:rPr/>
        <w:t>gobernanza</w:t>
      </w:r>
      <w:r>
        <w:rPr>
          <w:spacing w:val="-5"/>
        </w:rPr>
        <w:t> </w:t>
      </w:r>
      <w:r>
        <w:rPr/>
        <w:t>a</w:t>
      </w:r>
      <w:r>
        <w:rPr>
          <w:spacing w:val="-5"/>
        </w:rPr>
        <w:t> </w:t>
      </w:r>
      <w:r>
        <w:rPr/>
        <w:t>la</w:t>
      </w:r>
      <w:r>
        <w:rPr>
          <w:spacing w:val="-5"/>
        </w:rPr>
        <w:t> </w:t>
      </w:r>
      <w:r>
        <w:rPr/>
        <w:t>Administración</w:t>
      </w:r>
      <w:r>
        <w:rPr>
          <w:spacing w:val="-5"/>
        </w:rPr>
        <w:t> </w:t>
      </w:r>
      <w:r>
        <w:rPr/>
        <w:t>Pública</w:t>
      </w:r>
      <w:r>
        <w:rPr>
          <w:spacing w:val="-5"/>
        </w:rPr>
        <w:t> </w:t>
      </w:r>
      <w:r>
        <w:rPr/>
        <w:t>tiene</w:t>
      </w:r>
      <w:r>
        <w:rPr>
          <w:spacing w:val="-5"/>
        </w:rPr>
        <w:t> </w:t>
      </w:r>
      <w:r>
        <w:rPr/>
        <w:t>como</w:t>
      </w:r>
      <w:r>
        <w:rPr>
          <w:spacing w:val="-5"/>
        </w:rPr>
        <w:t> </w:t>
      </w:r>
      <w:r>
        <w:rPr/>
        <w:t>sustento la necesidad del Estado por legitimar sus acciones, hecho que se concreta a partir     de la inclusión de diversos actores sociales en la toma de decisiones priorizando los principios de eficacia y eficiencia en las actividades gubernamentales. La esencia de</w:t>
      </w:r>
      <w:r>
        <w:rPr>
          <w:spacing w:val="-13"/>
        </w:rPr>
        <w:t> </w:t>
      </w:r>
      <w:r>
        <w:rPr/>
        <w:t>la gobernanza recae en sus dimensiones y vertientes que permiten el fortalecimiento de las escalas interinstitucional y</w:t>
      </w:r>
      <w:r>
        <w:rPr>
          <w:spacing w:val="24"/>
        </w:rPr>
        <w:t> </w:t>
      </w:r>
      <w:r>
        <w:rPr/>
        <w:t>multinivel.</w:t>
      </w:r>
    </w:p>
    <w:p>
      <w:pPr>
        <w:pStyle w:val="BodyText"/>
        <w:spacing w:before="11"/>
      </w:pPr>
    </w:p>
    <w:p>
      <w:pPr>
        <w:pStyle w:val="BodyText"/>
        <w:spacing w:line="249" w:lineRule="auto"/>
        <w:ind w:left="130" w:firstLine="170"/>
        <w:jc w:val="both"/>
      </w:pPr>
      <w:r>
        <w:rPr/>
        <w:t>La gobernanza en su ámbito espacial aplicado al desarrollo urbano contribuye a generar un conjunto de instrumentos normativos donde el territorio es el eje rector     de las actividades antrópicas, de acuerdo con las aportaciones de Naranjo (2004), Centelles (2006), Abad (2008) y Farinós (2008) la utilización de los principios de la gobernanza facilita la capacidad de organización de una ciudad, contribuye a mejorar la interacción entre actores formales y no formales y favorece la articulación entre las diversas escalas de decisión; elementos que se retoman desde una visión compartida del desarrollo a largo plazo del</w:t>
      </w:r>
      <w:r>
        <w:rPr>
          <w:spacing w:val="34"/>
        </w:rPr>
        <w:t> </w:t>
      </w:r>
      <w:r>
        <w:rPr/>
        <w:t>territorio.</w:t>
      </w:r>
    </w:p>
    <w:p>
      <w:pPr>
        <w:pStyle w:val="BodyText"/>
        <w:spacing w:before="11"/>
      </w:pPr>
    </w:p>
    <w:p>
      <w:pPr>
        <w:pStyle w:val="BodyText"/>
        <w:spacing w:line="249" w:lineRule="auto"/>
        <w:ind w:left="130" w:firstLine="170"/>
        <w:jc w:val="both"/>
      </w:pPr>
      <w:r>
        <w:rPr/>
        <w:t>Así, la principal utilidad de los enfoques señalados radica en constituirse como procesos orientados a transformar la realidad y a lograr resultados, lo cual demuestra su enorme potencial de desarrollo y aplicación en el ámbito territorial al diseñar modelos alternativos de administración, gobernanza y gestión urbana y metropolitana, que</w:t>
      </w:r>
      <w:r>
        <w:rPr>
          <w:spacing w:val="32"/>
        </w:rPr>
        <w:t> </w:t>
      </w:r>
      <w:r>
        <w:rPr/>
        <w:t>se</w:t>
      </w:r>
      <w:r>
        <w:rPr>
          <w:spacing w:val="32"/>
        </w:rPr>
        <w:t> </w:t>
      </w:r>
      <w:r>
        <w:rPr/>
        <w:t>fundamentan</w:t>
      </w:r>
      <w:r>
        <w:rPr>
          <w:spacing w:val="32"/>
        </w:rPr>
        <w:t> </w:t>
      </w:r>
      <w:r>
        <w:rPr/>
        <w:t>en</w:t>
      </w:r>
      <w:r>
        <w:rPr>
          <w:spacing w:val="32"/>
        </w:rPr>
        <w:t> </w:t>
      </w:r>
      <w:r>
        <w:rPr/>
        <w:t>los</w:t>
      </w:r>
      <w:r>
        <w:rPr>
          <w:spacing w:val="32"/>
        </w:rPr>
        <w:t> </w:t>
      </w:r>
      <w:r>
        <w:rPr/>
        <w:t>modernos</w:t>
      </w:r>
      <w:r>
        <w:rPr>
          <w:spacing w:val="32"/>
        </w:rPr>
        <w:t> </w:t>
      </w:r>
      <w:r>
        <w:rPr/>
        <w:t>paradigmas</w:t>
      </w:r>
      <w:r>
        <w:rPr>
          <w:spacing w:val="32"/>
        </w:rPr>
        <w:t> </w:t>
      </w:r>
      <w:r>
        <w:rPr/>
        <w:t>de</w:t>
      </w:r>
      <w:r>
        <w:rPr>
          <w:spacing w:val="32"/>
        </w:rPr>
        <w:t> </w:t>
      </w:r>
      <w:r>
        <w:rPr/>
        <w:t>la</w:t>
      </w:r>
      <w:r>
        <w:rPr>
          <w:spacing w:val="32"/>
        </w:rPr>
        <w:t> </w:t>
      </w:r>
      <w:r>
        <w:rPr/>
        <w:t>gestión</w:t>
      </w:r>
      <w:r>
        <w:rPr>
          <w:spacing w:val="32"/>
        </w:rPr>
        <w:t> </w:t>
      </w:r>
      <w:r>
        <w:rPr/>
        <w:t>pública,</w:t>
      </w:r>
      <w:r>
        <w:rPr>
          <w:spacing w:val="32"/>
        </w:rPr>
        <w:t> </w:t>
      </w:r>
      <w:r>
        <w:rPr/>
        <w:t>aportando</w:t>
      </w:r>
      <w:r>
        <w:rPr>
          <w:w w:val="102"/>
        </w:rPr>
        <w:t> </w:t>
      </w:r>
      <w:r>
        <w:rPr/>
        <w:t>un marco conceptual relativo a las transformaciones que el Estado y el Gobierno  deben adquirir para alcanzar una mayor eficiencia y eficacia en el ámbito territorial. No obstante,</w:t>
      </w:r>
      <w:r>
        <w:rPr>
          <w:spacing w:val="-6"/>
        </w:rPr>
        <w:t> </w:t>
      </w:r>
      <w:r>
        <w:rPr/>
        <w:t>es</w:t>
      </w:r>
      <w:r>
        <w:rPr>
          <w:spacing w:val="-6"/>
        </w:rPr>
        <w:t> </w:t>
      </w:r>
      <w:r>
        <w:rPr/>
        <w:t>preciso</w:t>
      </w:r>
      <w:r>
        <w:rPr>
          <w:spacing w:val="-6"/>
        </w:rPr>
        <w:t> </w:t>
      </w:r>
      <w:r>
        <w:rPr/>
        <w:t>destacar</w:t>
      </w:r>
      <w:r>
        <w:rPr>
          <w:spacing w:val="-6"/>
        </w:rPr>
        <w:t> </w:t>
      </w:r>
      <w:r>
        <w:rPr/>
        <w:t>que</w:t>
      </w:r>
      <w:r>
        <w:rPr>
          <w:spacing w:val="-6"/>
        </w:rPr>
        <w:t> </w:t>
      </w:r>
      <w:r>
        <w:rPr/>
        <w:t>la</w:t>
      </w:r>
      <w:r>
        <w:rPr>
          <w:spacing w:val="-6"/>
        </w:rPr>
        <w:t> </w:t>
      </w:r>
      <w:r>
        <w:rPr/>
        <w:t>gobernanza</w:t>
      </w:r>
      <w:r>
        <w:rPr>
          <w:spacing w:val="-6"/>
        </w:rPr>
        <w:t> </w:t>
      </w:r>
      <w:r>
        <w:rPr/>
        <w:t>territorial</w:t>
      </w:r>
      <w:r>
        <w:rPr>
          <w:spacing w:val="-6"/>
        </w:rPr>
        <w:t> </w:t>
      </w:r>
      <w:r>
        <w:rPr/>
        <w:t>constituye</w:t>
      </w:r>
      <w:r>
        <w:rPr>
          <w:spacing w:val="-6"/>
        </w:rPr>
        <w:t> </w:t>
      </w:r>
      <w:r>
        <w:rPr/>
        <w:t>una</w:t>
      </w:r>
      <w:r>
        <w:rPr>
          <w:spacing w:val="-6"/>
        </w:rPr>
        <w:t> </w:t>
      </w:r>
      <w:r>
        <w:rPr/>
        <w:t>reciente</w:t>
      </w:r>
      <w:r>
        <w:rPr>
          <w:spacing w:val="-6"/>
        </w:rPr>
        <w:t> </w:t>
      </w:r>
      <w:r>
        <w:rPr/>
        <w:t>línea de investigación que se caracteriza por una constante evolución que se nutre a partir de las especificidades de los procesos de ocupación del territorio, de la complejidad  de los agentes públicos y privados y de la participación de las instancias responsables de la planificación y del ordenamiento</w:t>
      </w:r>
      <w:r>
        <w:rPr>
          <w:spacing w:val="49"/>
        </w:rPr>
        <w:t> </w:t>
      </w:r>
      <w:r>
        <w:rPr/>
        <w:t>territorial.</w:t>
      </w:r>
    </w:p>
    <w:p>
      <w:pPr>
        <w:pStyle w:val="BodyText"/>
        <w:spacing w:before="11"/>
      </w:pPr>
    </w:p>
    <w:p>
      <w:pPr>
        <w:pStyle w:val="BodyText"/>
        <w:spacing w:line="249" w:lineRule="auto"/>
        <w:ind w:left="130" w:firstLine="170"/>
        <w:jc w:val="both"/>
      </w:pPr>
      <w:r>
        <w:rPr/>
        <w:t>En</w:t>
      </w:r>
      <w:r>
        <w:rPr>
          <w:spacing w:val="-20"/>
        </w:rPr>
        <w:t> </w:t>
      </w:r>
      <w:r>
        <w:rPr/>
        <w:t>este</w:t>
      </w:r>
      <w:r>
        <w:rPr>
          <w:spacing w:val="-20"/>
        </w:rPr>
        <w:t> </w:t>
      </w:r>
      <w:r>
        <w:rPr/>
        <w:t>sentido,</w:t>
      </w:r>
      <w:r>
        <w:rPr>
          <w:spacing w:val="-20"/>
        </w:rPr>
        <w:t> </w:t>
      </w:r>
      <w:r>
        <w:rPr/>
        <w:t>sus</w:t>
      </w:r>
      <w:r>
        <w:rPr>
          <w:spacing w:val="-20"/>
        </w:rPr>
        <w:t> </w:t>
      </w:r>
      <w:r>
        <w:rPr/>
        <w:t>acepciones,</w:t>
      </w:r>
      <w:r>
        <w:rPr>
          <w:spacing w:val="-20"/>
        </w:rPr>
        <w:t> </w:t>
      </w:r>
      <w:r>
        <w:rPr/>
        <w:t>usos</w:t>
      </w:r>
      <w:r>
        <w:rPr>
          <w:spacing w:val="-20"/>
        </w:rPr>
        <w:t> </w:t>
      </w:r>
      <w:r>
        <w:rPr/>
        <w:t>y</w:t>
      </w:r>
      <w:r>
        <w:rPr>
          <w:spacing w:val="-20"/>
        </w:rPr>
        <w:t> </w:t>
      </w:r>
      <w:r>
        <w:rPr/>
        <w:t>aplicaciones</w:t>
      </w:r>
      <w:r>
        <w:rPr>
          <w:spacing w:val="-20"/>
        </w:rPr>
        <w:t> </w:t>
      </w:r>
      <w:r>
        <w:rPr/>
        <w:t>encontrarán</w:t>
      </w:r>
      <w:r>
        <w:rPr>
          <w:spacing w:val="-20"/>
        </w:rPr>
        <w:t> </w:t>
      </w:r>
      <w:r>
        <w:rPr/>
        <w:t>durante</w:t>
      </w:r>
      <w:r>
        <w:rPr>
          <w:spacing w:val="-20"/>
        </w:rPr>
        <w:t> </w:t>
      </w:r>
      <w:r>
        <w:rPr/>
        <w:t>los</w:t>
      </w:r>
      <w:r>
        <w:rPr>
          <w:spacing w:val="-20"/>
        </w:rPr>
        <w:t> </w:t>
      </w:r>
      <w:r>
        <w:rPr/>
        <w:t>próximos años nuevos esquemas que permitan  a  las  administraciones  locales  perfeccionar las herramientas para enfrentar las constantes demandas del acelerado crecimiento urbano y demográfico que continuarán enfrentando las principales ciudades</w:t>
      </w:r>
      <w:r>
        <w:rPr>
          <w:spacing w:val="38"/>
        </w:rPr>
        <w:t> </w:t>
      </w:r>
      <w:r>
        <w:rPr/>
        <w:t>del</w:t>
      </w:r>
      <w:r>
        <w:rPr>
          <w:spacing w:val="22"/>
        </w:rPr>
        <w:t> </w:t>
      </w:r>
      <w:r>
        <w:rPr/>
        <w:t>país</w:t>
      </w:r>
      <w:r>
        <w:rPr>
          <w:w w:val="97"/>
        </w:rPr>
        <w:t> </w:t>
      </w:r>
      <w:r>
        <w:rPr/>
        <w:t>en el mediano y largo plazo, reto que exige el desarrollo de investigaciones diversas que posicionen a la gobernanza territorial como una herramienta fundamental de la planeación urbana a través de innovadoras fórmulas de coordinación intersectorial y multinivel.</w:t>
      </w:r>
    </w:p>
    <w:p>
      <w:pPr>
        <w:pStyle w:val="Heading1"/>
        <w:spacing w:before="71"/>
        <w:ind w:right="-10"/>
      </w:pPr>
      <w:r>
        <w:rPr>
          <w:b w:val="0"/>
        </w:rPr>
        <w:br w:type="column"/>
      </w:r>
      <w:r>
        <w:rPr/>
        <w:t>Referencias bibliográficas</w:t>
      </w:r>
    </w:p>
    <w:p>
      <w:pPr>
        <w:pStyle w:val="BodyText"/>
        <w:rPr>
          <w:b/>
          <w:sz w:val="21"/>
        </w:rPr>
      </w:pPr>
    </w:p>
    <w:p>
      <w:pPr>
        <w:spacing w:line="249" w:lineRule="auto" w:before="0"/>
        <w:ind w:left="754" w:right="127" w:hanging="624"/>
        <w:jc w:val="both"/>
        <w:rPr>
          <w:sz w:val="20"/>
        </w:rPr>
      </w:pPr>
      <w:r>
        <w:rPr>
          <w:sz w:val="20"/>
        </w:rPr>
        <w:t>Aguilar, L. F. (2011): </w:t>
      </w:r>
      <w:r>
        <w:rPr>
          <w:i/>
          <w:sz w:val="20"/>
        </w:rPr>
        <w:t>Gobernanza y gestión pública</w:t>
      </w:r>
      <w:r>
        <w:rPr>
          <w:sz w:val="20"/>
        </w:rPr>
        <w:t>, México DF: Fondo de Cultura Económica.</w:t>
      </w:r>
    </w:p>
    <w:p>
      <w:pPr>
        <w:pStyle w:val="BodyText"/>
        <w:spacing w:before="11"/>
      </w:pPr>
    </w:p>
    <w:p>
      <w:pPr>
        <w:spacing w:line="249" w:lineRule="auto" w:before="0"/>
        <w:ind w:left="754" w:right="129" w:hanging="624"/>
        <w:jc w:val="both"/>
        <w:rPr>
          <w:sz w:val="20"/>
        </w:rPr>
      </w:pPr>
      <w:r>
        <w:rPr>
          <w:sz w:val="20"/>
        </w:rPr>
        <w:t>Aguilar, L. F. (2013): “Gobernanza” en: </w:t>
      </w:r>
      <w:r>
        <w:rPr>
          <w:i/>
          <w:sz w:val="20"/>
        </w:rPr>
        <w:t>Gobierno y administración pública</w:t>
      </w:r>
      <w:r>
        <w:rPr>
          <w:sz w:val="20"/>
        </w:rPr>
        <w:t>, México DF: Fondo de Cultura Económica.</w:t>
      </w:r>
    </w:p>
    <w:p>
      <w:pPr>
        <w:pStyle w:val="BodyText"/>
        <w:spacing w:before="11"/>
      </w:pPr>
    </w:p>
    <w:p>
      <w:pPr>
        <w:spacing w:line="249" w:lineRule="auto" w:before="0"/>
        <w:ind w:left="754" w:right="128" w:hanging="624"/>
        <w:jc w:val="both"/>
        <w:rPr>
          <w:sz w:val="20"/>
        </w:rPr>
      </w:pPr>
      <w:r>
        <w:rPr>
          <w:sz w:val="20"/>
        </w:rPr>
        <w:t>Cadena,</w:t>
      </w:r>
      <w:r>
        <w:rPr>
          <w:spacing w:val="-11"/>
          <w:sz w:val="20"/>
        </w:rPr>
        <w:t> </w:t>
      </w:r>
      <w:r>
        <w:rPr>
          <w:sz w:val="20"/>
        </w:rPr>
        <w:t>C.</w:t>
      </w:r>
      <w:r>
        <w:rPr>
          <w:spacing w:val="-11"/>
          <w:sz w:val="20"/>
        </w:rPr>
        <w:t> </w:t>
      </w:r>
      <w:r>
        <w:rPr>
          <w:sz w:val="20"/>
        </w:rPr>
        <w:t>Cruz,</w:t>
      </w:r>
      <w:r>
        <w:rPr>
          <w:spacing w:val="-11"/>
          <w:sz w:val="20"/>
        </w:rPr>
        <w:t> </w:t>
      </w:r>
      <w:r>
        <w:rPr>
          <w:sz w:val="20"/>
        </w:rPr>
        <w:t>G.</w:t>
      </w:r>
      <w:r>
        <w:rPr>
          <w:spacing w:val="-11"/>
          <w:sz w:val="20"/>
        </w:rPr>
        <w:t> </w:t>
      </w:r>
      <w:r>
        <w:rPr>
          <w:sz w:val="20"/>
        </w:rPr>
        <w:t>y</w:t>
      </w:r>
      <w:r>
        <w:rPr>
          <w:spacing w:val="-11"/>
          <w:sz w:val="20"/>
        </w:rPr>
        <w:t> </w:t>
      </w:r>
      <w:r>
        <w:rPr>
          <w:sz w:val="20"/>
        </w:rPr>
        <w:t>Franco,</w:t>
      </w:r>
      <w:r>
        <w:rPr>
          <w:spacing w:val="-11"/>
          <w:sz w:val="20"/>
        </w:rPr>
        <w:t> </w:t>
      </w:r>
      <w:r>
        <w:rPr>
          <w:sz w:val="20"/>
        </w:rPr>
        <w:t>S.</w:t>
      </w:r>
      <w:r>
        <w:rPr>
          <w:spacing w:val="-11"/>
          <w:sz w:val="20"/>
        </w:rPr>
        <w:t> </w:t>
      </w:r>
      <w:r>
        <w:rPr>
          <w:sz w:val="20"/>
        </w:rPr>
        <w:t>(2012):</w:t>
      </w:r>
      <w:r>
        <w:rPr>
          <w:spacing w:val="-11"/>
          <w:sz w:val="20"/>
        </w:rPr>
        <w:t> </w:t>
      </w:r>
      <w:r>
        <w:rPr>
          <w:sz w:val="20"/>
        </w:rPr>
        <w:t>“Agua</w:t>
      </w:r>
      <w:r>
        <w:rPr>
          <w:spacing w:val="-11"/>
          <w:sz w:val="20"/>
        </w:rPr>
        <w:t> </w:t>
      </w:r>
      <w:r>
        <w:rPr>
          <w:sz w:val="20"/>
        </w:rPr>
        <w:t>potable</w:t>
      </w:r>
      <w:r>
        <w:rPr>
          <w:spacing w:val="-11"/>
          <w:sz w:val="20"/>
        </w:rPr>
        <w:t> </w:t>
      </w:r>
      <w:r>
        <w:rPr>
          <w:sz w:val="20"/>
        </w:rPr>
        <w:t>y</w:t>
      </w:r>
      <w:r>
        <w:rPr>
          <w:spacing w:val="-11"/>
          <w:sz w:val="20"/>
        </w:rPr>
        <w:t> </w:t>
      </w:r>
      <w:r>
        <w:rPr>
          <w:sz w:val="20"/>
        </w:rPr>
        <w:t>redes</w:t>
      </w:r>
      <w:r>
        <w:rPr>
          <w:spacing w:val="-11"/>
          <w:sz w:val="20"/>
        </w:rPr>
        <w:t> </w:t>
      </w:r>
      <w:r>
        <w:rPr>
          <w:sz w:val="20"/>
        </w:rPr>
        <w:t>de</w:t>
      </w:r>
      <w:r>
        <w:rPr>
          <w:spacing w:val="-11"/>
          <w:sz w:val="20"/>
        </w:rPr>
        <w:t> </w:t>
      </w:r>
      <w:r>
        <w:rPr>
          <w:sz w:val="20"/>
        </w:rPr>
        <w:t>política</w:t>
      </w:r>
      <w:r>
        <w:rPr>
          <w:spacing w:val="-11"/>
          <w:sz w:val="20"/>
        </w:rPr>
        <w:t> </w:t>
      </w:r>
      <w:r>
        <w:rPr>
          <w:sz w:val="20"/>
        </w:rPr>
        <w:t>pública,</w:t>
      </w:r>
      <w:r>
        <w:rPr>
          <w:spacing w:val="-11"/>
          <w:sz w:val="20"/>
        </w:rPr>
        <w:t> </w:t>
      </w:r>
      <w:r>
        <w:rPr>
          <w:sz w:val="20"/>
        </w:rPr>
        <w:t>entre la captura y la exclusión. Caso de los comités independientes de agua potable en</w:t>
      </w:r>
      <w:r>
        <w:rPr>
          <w:spacing w:val="-12"/>
          <w:sz w:val="20"/>
        </w:rPr>
        <w:t> </w:t>
      </w:r>
      <w:r>
        <w:rPr>
          <w:sz w:val="20"/>
        </w:rPr>
        <w:t>el</w:t>
      </w:r>
      <w:r>
        <w:rPr>
          <w:spacing w:val="-12"/>
          <w:sz w:val="20"/>
        </w:rPr>
        <w:t> </w:t>
      </w:r>
      <w:r>
        <w:rPr>
          <w:sz w:val="20"/>
        </w:rPr>
        <w:t>municipio</w:t>
      </w:r>
      <w:r>
        <w:rPr>
          <w:spacing w:val="-12"/>
          <w:sz w:val="20"/>
        </w:rPr>
        <w:t> </w:t>
      </w:r>
      <w:r>
        <w:rPr>
          <w:sz w:val="20"/>
        </w:rPr>
        <w:t>de</w:t>
      </w:r>
      <w:r>
        <w:rPr>
          <w:spacing w:val="-12"/>
          <w:sz w:val="20"/>
        </w:rPr>
        <w:t> </w:t>
      </w:r>
      <w:r>
        <w:rPr>
          <w:sz w:val="20"/>
        </w:rPr>
        <w:t>Toluca”</w:t>
      </w:r>
      <w:r>
        <w:rPr>
          <w:spacing w:val="-12"/>
          <w:sz w:val="20"/>
        </w:rPr>
        <w:t> </w:t>
      </w:r>
      <w:r>
        <w:rPr>
          <w:sz w:val="20"/>
        </w:rPr>
        <w:t>en:</w:t>
      </w:r>
      <w:r>
        <w:rPr>
          <w:spacing w:val="-12"/>
          <w:sz w:val="20"/>
        </w:rPr>
        <w:t> </w:t>
      </w:r>
      <w:r>
        <w:rPr>
          <w:sz w:val="20"/>
        </w:rPr>
        <w:t>Porras</w:t>
      </w:r>
      <w:r>
        <w:rPr>
          <w:spacing w:val="-12"/>
          <w:sz w:val="20"/>
        </w:rPr>
        <w:t> </w:t>
      </w:r>
      <w:r>
        <w:rPr>
          <w:sz w:val="20"/>
        </w:rPr>
        <w:t>Francisco</w:t>
      </w:r>
      <w:r>
        <w:rPr>
          <w:spacing w:val="-12"/>
          <w:sz w:val="20"/>
        </w:rPr>
        <w:t> </w:t>
      </w:r>
      <w:r>
        <w:rPr>
          <w:sz w:val="20"/>
        </w:rPr>
        <w:t>(coordinador).</w:t>
      </w:r>
      <w:r>
        <w:rPr>
          <w:spacing w:val="-12"/>
          <w:sz w:val="20"/>
        </w:rPr>
        <w:t> </w:t>
      </w:r>
      <w:r>
        <w:rPr>
          <w:sz w:val="20"/>
        </w:rPr>
        <w:t>En:</w:t>
      </w:r>
      <w:r>
        <w:rPr>
          <w:spacing w:val="-12"/>
          <w:sz w:val="20"/>
        </w:rPr>
        <w:t> </w:t>
      </w:r>
      <w:r>
        <w:rPr>
          <w:i/>
          <w:sz w:val="20"/>
        </w:rPr>
        <w:t>Gobernanza</w:t>
      </w:r>
      <w:r>
        <w:rPr>
          <w:i/>
          <w:spacing w:val="-12"/>
          <w:sz w:val="20"/>
        </w:rPr>
        <w:t> </w:t>
      </w:r>
      <w:r>
        <w:rPr>
          <w:i/>
          <w:sz w:val="20"/>
        </w:rPr>
        <w:t>y </w:t>
      </w:r>
      <w:r>
        <w:rPr>
          <w:i/>
          <w:sz w:val="20"/>
        </w:rPr>
        <w:t>redes de política pública en espacios locales de México</w:t>
      </w:r>
      <w:r>
        <w:rPr>
          <w:sz w:val="20"/>
        </w:rPr>
        <w:t>. México: Instituto</w:t>
      </w:r>
      <w:r>
        <w:rPr>
          <w:spacing w:val="30"/>
          <w:sz w:val="20"/>
        </w:rPr>
        <w:t> </w:t>
      </w:r>
      <w:r>
        <w:rPr>
          <w:sz w:val="20"/>
        </w:rPr>
        <w:t>Mora.</w:t>
      </w:r>
    </w:p>
    <w:p>
      <w:pPr>
        <w:pStyle w:val="BodyText"/>
        <w:spacing w:before="11"/>
      </w:pPr>
    </w:p>
    <w:p>
      <w:pPr>
        <w:spacing w:line="249" w:lineRule="auto" w:before="0"/>
        <w:ind w:left="754" w:right="128" w:hanging="624"/>
        <w:jc w:val="both"/>
        <w:rPr>
          <w:sz w:val="20"/>
        </w:rPr>
      </w:pPr>
      <w:r>
        <w:rPr>
          <w:sz w:val="20"/>
        </w:rPr>
        <w:t>Ferrero,</w:t>
      </w:r>
      <w:r>
        <w:rPr>
          <w:spacing w:val="-19"/>
          <w:sz w:val="20"/>
        </w:rPr>
        <w:t> </w:t>
      </w:r>
      <w:r>
        <w:rPr>
          <w:sz w:val="20"/>
        </w:rPr>
        <w:t>M.</w:t>
      </w:r>
      <w:r>
        <w:rPr>
          <w:spacing w:val="-19"/>
          <w:sz w:val="20"/>
        </w:rPr>
        <w:t> </w:t>
      </w:r>
      <w:r>
        <w:rPr>
          <w:sz w:val="20"/>
        </w:rPr>
        <w:t>(2010).</w:t>
      </w:r>
      <w:r>
        <w:rPr>
          <w:spacing w:val="-19"/>
          <w:sz w:val="20"/>
        </w:rPr>
        <w:t> </w:t>
      </w:r>
      <w:r>
        <w:rPr>
          <w:i/>
          <w:sz w:val="20"/>
        </w:rPr>
        <w:t>La</w:t>
      </w:r>
      <w:r>
        <w:rPr>
          <w:i/>
          <w:spacing w:val="-19"/>
          <w:sz w:val="20"/>
        </w:rPr>
        <w:t> </w:t>
      </w:r>
      <w:r>
        <w:rPr>
          <w:i/>
          <w:sz w:val="20"/>
        </w:rPr>
        <w:t>Necesidad</w:t>
      </w:r>
      <w:r>
        <w:rPr>
          <w:i/>
          <w:spacing w:val="-19"/>
          <w:sz w:val="20"/>
        </w:rPr>
        <w:t> </w:t>
      </w:r>
      <w:r>
        <w:rPr>
          <w:i/>
          <w:sz w:val="20"/>
        </w:rPr>
        <w:t>de</w:t>
      </w:r>
      <w:r>
        <w:rPr>
          <w:i/>
          <w:spacing w:val="-19"/>
          <w:sz w:val="20"/>
        </w:rPr>
        <w:t> </w:t>
      </w:r>
      <w:r>
        <w:rPr>
          <w:i/>
          <w:sz w:val="20"/>
        </w:rPr>
        <w:t>Instaurar</w:t>
      </w:r>
      <w:r>
        <w:rPr>
          <w:i/>
          <w:spacing w:val="-19"/>
          <w:sz w:val="20"/>
        </w:rPr>
        <w:t> </w:t>
      </w:r>
      <w:r>
        <w:rPr>
          <w:i/>
          <w:sz w:val="20"/>
        </w:rPr>
        <w:t>el</w:t>
      </w:r>
      <w:r>
        <w:rPr>
          <w:i/>
          <w:spacing w:val="-19"/>
          <w:sz w:val="20"/>
        </w:rPr>
        <w:t> </w:t>
      </w:r>
      <w:r>
        <w:rPr>
          <w:i/>
          <w:sz w:val="20"/>
        </w:rPr>
        <w:t>Espacio</w:t>
      </w:r>
      <w:r>
        <w:rPr>
          <w:i/>
          <w:spacing w:val="-19"/>
          <w:sz w:val="20"/>
        </w:rPr>
        <w:t> </w:t>
      </w:r>
      <w:r>
        <w:rPr>
          <w:i/>
          <w:sz w:val="20"/>
        </w:rPr>
        <w:t>Público</w:t>
      </w:r>
      <w:r>
        <w:rPr>
          <w:sz w:val="20"/>
        </w:rPr>
        <w:t>,</w:t>
      </w:r>
      <w:r>
        <w:rPr>
          <w:spacing w:val="-19"/>
          <w:sz w:val="20"/>
        </w:rPr>
        <w:t> </w:t>
      </w:r>
      <w:r>
        <w:rPr>
          <w:sz w:val="20"/>
        </w:rPr>
        <w:t>Universidad</w:t>
      </w:r>
      <w:r>
        <w:rPr>
          <w:spacing w:val="-19"/>
          <w:sz w:val="20"/>
        </w:rPr>
        <w:t> </w:t>
      </w:r>
      <w:r>
        <w:rPr>
          <w:sz w:val="20"/>
        </w:rPr>
        <w:t>Autónoma de Baja California, Porrúa,</w:t>
      </w:r>
      <w:r>
        <w:rPr>
          <w:spacing w:val="13"/>
          <w:sz w:val="20"/>
        </w:rPr>
        <w:t> </w:t>
      </w:r>
      <w:r>
        <w:rPr>
          <w:sz w:val="20"/>
        </w:rPr>
        <w:t>México.</w:t>
      </w:r>
    </w:p>
    <w:p>
      <w:pPr>
        <w:pStyle w:val="BodyText"/>
        <w:spacing w:before="11"/>
      </w:pPr>
    </w:p>
    <w:p>
      <w:pPr>
        <w:spacing w:line="249" w:lineRule="auto" w:before="0"/>
        <w:ind w:left="754" w:right="128" w:hanging="624"/>
        <w:jc w:val="both"/>
        <w:rPr>
          <w:sz w:val="20"/>
        </w:rPr>
      </w:pPr>
      <w:r>
        <w:rPr>
          <w:sz w:val="20"/>
        </w:rPr>
        <w:t>Iracheta, A. (2012): “Transición política y gobernanza territorial en México” en</w:t>
      </w:r>
      <w:r>
        <w:rPr>
          <w:spacing w:val="-30"/>
          <w:sz w:val="20"/>
        </w:rPr>
        <w:t> </w:t>
      </w:r>
      <w:r>
        <w:rPr>
          <w:sz w:val="20"/>
        </w:rPr>
        <w:t>Gutiérrez Juan José (coordinador) en: </w:t>
      </w:r>
      <w:r>
        <w:rPr>
          <w:i/>
          <w:sz w:val="20"/>
        </w:rPr>
        <w:t>Planeación, participación y gestión en los procesos </w:t>
      </w:r>
      <w:r>
        <w:rPr>
          <w:i/>
          <w:sz w:val="20"/>
        </w:rPr>
        <w:t>urbanos actuales una visión iberoamericana, </w:t>
      </w:r>
      <w:r>
        <w:rPr>
          <w:sz w:val="20"/>
        </w:rPr>
        <w:t>Toluca, Estado de México: Universidad Autónoma del Estado de</w:t>
      </w:r>
      <w:r>
        <w:rPr>
          <w:spacing w:val="46"/>
          <w:sz w:val="20"/>
        </w:rPr>
        <w:t> </w:t>
      </w:r>
      <w:r>
        <w:rPr>
          <w:sz w:val="20"/>
        </w:rPr>
        <w:t>México.</w:t>
      </w:r>
    </w:p>
    <w:p>
      <w:pPr>
        <w:pStyle w:val="BodyText"/>
        <w:spacing w:before="11"/>
      </w:pPr>
    </w:p>
    <w:p>
      <w:pPr>
        <w:spacing w:before="0"/>
        <w:ind w:left="130" w:right="-10" w:firstLine="0"/>
        <w:jc w:val="left"/>
        <w:rPr>
          <w:sz w:val="20"/>
        </w:rPr>
      </w:pPr>
      <w:r>
        <w:rPr>
          <w:sz w:val="20"/>
        </w:rPr>
        <w:t>Magrí, A. J. (2013): </w:t>
      </w:r>
      <w:r>
        <w:rPr>
          <w:i/>
          <w:sz w:val="20"/>
        </w:rPr>
        <w:t>Apuntes sobre la gobernanza y su aplicación territorial</w:t>
      </w:r>
      <w:r>
        <w:rPr>
          <w:sz w:val="20"/>
        </w:rPr>
        <w:t>.</w:t>
      </w:r>
    </w:p>
    <w:p>
      <w:pPr>
        <w:pStyle w:val="BodyText"/>
        <w:spacing w:before="8"/>
        <w:rPr>
          <w:sz w:val="21"/>
        </w:rPr>
      </w:pPr>
    </w:p>
    <w:p>
      <w:pPr>
        <w:spacing w:line="249" w:lineRule="auto" w:before="0"/>
        <w:ind w:left="754" w:right="127" w:hanging="624"/>
        <w:jc w:val="both"/>
        <w:rPr>
          <w:sz w:val="20"/>
        </w:rPr>
      </w:pPr>
      <w:r>
        <w:rPr>
          <w:sz w:val="20"/>
        </w:rPr>
        <w:t>Moreno, R. (2012):”Gobernabilidad y gobernanza en la administración local” en: Lerner Bertha,  Uvalle  Ricardo  y  Moreno  Roberto  (coordinadores):  </w:t>
      </w:r>
      <w:r>
        <w:rPr>
          <w:i/>
          <w:sz w:val="20"/>
        </w:rPr>
        <w:t>Gobernabilidad  </w:t>
      </w:r>
      <w:r>
        <w:rPr>
          <w:i/>
          <w:sz w:val="20"/>
        </w:rPr>
        <w:t>y gobernanza en los albores del siglo XXI y reflexiones sobre el México contemporáneo, </w:t>
      </w:r>
      <w:r>
        <w:rPr>
          <w:sz w:val="20"/>
        </w:rPr>
        <w:t>México</w:t>
      </w:r>
      <w:r>
        <w:rPr>
          <w:i/>
          <w:sz w:val="20"/>
        </w:rPr>
        <w:t>: </w:t>
      </w:r>
      <w:r>
        <w:rPr>
          <w:sz w:val="20"/>
        </w:rPr>
        <w:t>Instituto de Investigaciones Sociales de la Universidad Nacional Autónoma de México, Instituto de Administración Pública del Estado de</w:t>
      </w:r>
      <w:r>
        <w:rPr>
          <w:spacing w:val="21"/>
          <w:sz w:val="20"/>
        </w:rPr>
        <w:t> </w:t>
      </w:r>
      <w:r>
        <w:rPr>
          <w:sz w:val="20"/>
        </w:rPr>
        <w:t>México.</w:t>
      </w:r>
    </w:p>
    <w:p>
      <w:pPr>
        <w:pStyle w:val="BodyText"/>
        <w:spacing w:before="11"/>
      </w:pPr>
    </w:p>
    <w:p>
      <w:pPr>
        <w:pStyle w:val="BodyText"/>
        <w:spacing w:line="249" w:lineRule="auto"/>
        <w:ind w:left="754" w:right="128" w:hanging="624"/>
        <w:jc w:val="both"/>
      </w:pPr>
      <w:r>
        <w:rPr/>
        <w:t>Navarro, A. (2006): “Redes de política y formación de agenda pública en el Programa Escuelas de Calidad” en: Centro de Estudios Sociales y de Opinión Pública. Documento de trabajo número 4.</w:t>
      </w:r>
    </w:p>
    <w:p>
      <w:pPr>
        <w:pStyle w:val="BodyText"/>
        <w:spacing w:before="11"/>
      </w:pPr>
    </w:p>
    <w:p>
      <w:pPr>
        <w:pStyle w:val="BodyText"/>
        <w:spacing w:line="249" w:lineRule="auto"/>
        <w:ind w:left="754" w:right="127" w:hanging="624"/>
        <w:jc w:val="both"/>
      </w:pPr>
      <w:r>
        <w:rPr/>
        <w:t>Rosique, J. A. (2009). “Gestión Metropolitana: la importancia de las instituciones para el</w:t>
      </w:r>
      <w:r>
        <w:rPr>
          <w:spacing w:val="-6"/>
        </w:rPr>
        <w:t> </w:t>
      </w:r>
      <w:r>
        <w:rPr/>
        <w:t>desarrollo</w:t>
      </w:r>
      <w:r>
        <w:rPr>
          <w:spacing w:val="-6"/>
        </w:rPr>
        <w:t> </w:t>
      </w:r>
      <w:r>
        <w:rPr/>
        <w:t>de</w:t>
      </w:r>
      <w:r>
        <w:rPr>
          <w:spacing w:val="-6"/>
        </w:rPr>
        <w:t> </w:t>
      </w:r>
      <w:r>
        <w:rPr/>
        <w:t>las</w:t>
      </w:r>
      <w:r>
        <w:rPr>
          <w:spacing w:val="-6"/>
        </w:rPr>
        <w:t> </w:t>
      </w:r>
      <w:r>
        <w:rPr/>
        <w:t>ciudades</w:t>
      </w:r>
      <w:r>
        <w:rPr>
          <w:spacing w:val="-6"/>
        </w:rPr>
        <w:t> </w:t>
      </w:r>
      <w:r>
        <w:rPr/>
        <w:t>en</w:t>
      </w:r>
      <w:r>
        <w:rPr>
          <w:spacing w:val="-6"/>
        </w:rPr>
        <w:t> </w:t>
      </w:r>
      <w:r>
        <w:rPr/>
        <w:t>la</w:t>
      </w:r>
      <w:r>
        <w:rPr>
          <w:spacing w:val="-6"/>
        </w:rPr>
        <w:t> </w:t>
      </w:r>
      <w:r>
        <w:rPr/>
        <w:t>era</w:t>
      </w:r>
      <w:r>
        <w:rPr>
          <w:spacing w:val="-6"/>
        </w:rPr>
        <w:t> </w:t>
      </w:r>
      <w:r>
        <w:rPr/>
        <w:t>de</w:t>
      </w:r>
      <w:r>
        <w:rPr>
          <w:spacing w:val="-6"/>
        </w:rPr>
        <w:t> </w:t>
      </w:r>
      <w:r>
        <w:rPr/>
        <w:t>la</w:t>
      </w:r>
      <w:r>
        <w:rPr>
          <w:spacing w:val="-6"/>
        </w:rPr>
        <w:t> </w:t>
      </w:r>
      <w:r>
        <w:rPr/>
        <w:t>globalización”,</w:t>
      </w:r>
      <w:r>
        <w:rPr>
          <w:spacing w:val="-6"/>
        </w:rPr>
        <w:t> </w:t>
      </w:r>
      <w:r>
        <w:rPr/>
        <w:t>en</w:t>
      </w:r>
      <w:r>
        <w:rPr>
          <w:spacing w:val="-6"/>
        </w:rPr>
        <w:t> </w:t>
      </w:r>
      <w:r>
        <w:rPr>
          <w:i/>
        </w:rPr>
        <w:t>El</w:t>
      </w:r>
      <w:r>
        <w:rPr>
          <w:i/>
          <w:spacing w:val="-6"/>
        </w:rPr>
        <w:t> </w:t>
      </w:r>
      <w:r>
        <w:rPr>
          <w:i/>
        </w:rPr>
        <w:t>Legislativo</w:t>
      </w:r>
      <w:r>
        <w:rPr>
          <w:i/>
          <w:spacing w:val="-6"/>
        </w:rPr>
        <w:t> </w:t>
      </w:r>
      <w:r>
        <w:rPr>
          <w:i/>
        </w:rPr>
        <w:t>ante </w:t>
      </w:r>
      <w:r>
        <w:rPr>
          <w:i/>
        </w:rPr>
        <w:t>la gestión metropolitana</w:t>
      </w:r>
      <w:r>
        <w:rPr/>
        <w:t>, Roberto Eibenschutz Hartman y Ligia González</w:t>
      </w:r>
      <w:r>
        <w:rPr>
          <w:spacing w:val="-19"/>
        </w:rPr>
        <w:t> </w:t>
      </w:r>
      <w:r>
        <w:rPr/>
        <w:t>García de Alba (Coordinadores), H. Cámara de Diputados, LX Legislatura, Universidad Autónoma Metropolitana-Xochimilco. Editorial Porrúa, </w:t>
      </w:r>
      <w:r>
        <w:rPr>
          <w:spacing w:val="24"/>
        </w:rPr>
        <w:t> </w:t>
      </w:r>
      <w:r>
        <w:rPr/>
        <w:t>México.</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88"/>
          <w:pgSz w:w="18830" w:h="12760" w:orient="landscape"/>
          <w:pgMar w:footer="1036" w:header="522" w:top="820" w:bottom="1220" w:left="720" w:right="720"/>
        </w:sectPr>
      </w:pPr>
    </w:p>
    <w:p>
      <w:pPr>
        <w:pStyle w:val="BodyText"/>
        <w:spacing w:line="249" w:lineRule="auto" w:before="109"/>
        <w:ind w:left="753" w:hanging="624"/>
        <w:jc w:val="both"/>
      </w:pPr>
      <w:r>
        <w:rPr/>
        <w:t>Romero, J. y Farinós J. (2011): “Redescubriendo la gobernanza más allá del buen gobierno, democracia como base, desarrollo territorial como resultado” en: </w:t>
      </w:r>
      <w:r>
        <w:rPr>
          <w:i/>
        </w:rPr>
        <w:t>Boletín de la Asociación de Geógrafos Españoles </w:t>
      </w:r>
      <w:r>
        <w:rPr/>
        <w:t>núm. 56, Universidad de Valencia, España.</w:t>
      </w:r>
    </w:p>
    <w:p>
      <w:pPr>
        <w:pStyle w:val="BodyText"/>
        <w:spacing w:before="11"/>
      </w:pPr>
    </w:p>
    <w:p>
      <w:pPr>
        <w:spacing w:line="249" w:lineRule="auto" w:before="0"/>
        <w:ind w:left="753" w:right="1" w:hanging="624"/>
        <w:jc w:val="both"/>
        <w:rPr>
          <w:sz w:val="20"/>
        </w:rPr>
      </w:pPr>
      <w:r>
        <w:rPr>
          <w:sz w:val="20"/>
        </w:rPr>
        <w:t>Rosique, J. A. (2012): “¿Un nuevo liderazgo económico y político de las grandes metrópolis?: El estudio de dos casos” en: Lerner Bertha, Uvalle Ricardo y Moreno Roberto (coordinadores): </w:t>
      </w:r>
      <w:r>
        <w:rPr>
          <w:i/>
          <w:sz w:val="20"/>
        </w:rPr>
        <w:t>Gobernabilidad y gobernanza en los albores </w:t>
      </w:r>
      <w:r>
        <w:rPr>
          <w:i/>
          <w:sz w:val="20"/>
        </w:rPr>
        <w:t>del siglo XXI y reflexiones sobre el México contemporáneo, </w:t>
      </w:r>
      <w:r>
        <w:rPr>
          <w:sz w:val="20"/>
        </w:rPr>
        <w:t>México</w:t>
      </w:r>
      <w:r>
        <w:rPr>
          <w:i/>
          <w:sz w:val="20"/>
        </w:rPr>
        <w:t>: </w:t>
      </w:r>
      <w:r>
        <w:rPr>
          <w:sz w:val="20"/>
        </w:rPr>
        <w:t>Instituto de Investigaciones Sociales de la Universidad Nacional Autónoma.</w:t>
      </w:r>
    </w:p>
    <w:p>
      <w:pPr>
        <w:pStyle w:val="BodyText"/>
        <w:spacing w:before="11"/>
      </w:pPr>
    </w:p>
    <w:p>
      <w:pPr>
        <w:spacing w:before="0"/>
        <w:ind w:left="130" w:right="-3" w:firstLine="0"/>
        <w:jc w:val="left"/>
        <w:rPr>
          <w:i/>
          <w:sz w:val="20"/>
        </w:rPr>
      </w:pPr>
      <w:r>
        <w:rPr>
          <w:sz w:val="20"/>
        </w:rPr>
        <w:t>Porras,</w:t>
      </w:r>
      <w:r>
        <w:rPr>
          <w:spacing w:val="-17"/>
          <w:sz w:val="20"/>
        </w:rPr>
        <w:t> </w:t>
      </w:r>
      <w:r>
        <w:rPr>
          <w:sz w:val="20"/>
        </w:rPr>
        <w:t>F.</w:t>
      </w:r>
      <w:r>
        <w:rPr>
          <w:spacing w:val="-17"/>
          <w:sz w:val="20"/>
        </w:rPr>
        <w:t> </w:t>
      </w:r>
      <w:r>
        <w:rPr>
          <w:sz w:val="20"/>
        </w:rPr>
        <w:t>(2012):</w:t>
      </w:r>
      <w:r>
        <w:rPr>
          <w:spacing w:val="-17"/>
          <w:sz w:val="20"/>
        </w:rPr>
        <w:t> </w:t>
      </w:r>
      <w:r>
        <w:rPr>
          <w:i/>
          <w:sz w:val="20"/>
        </w:rPr>
        <w:t>Gobernanza</w:t>
      </w:r>
      <w:r>
        <w:rPr>
          <w:i/>
          <w:spacing w:val="-17"/>
          <w:sz w:val="20"/>
        </w:rPr>
        <w:t> </w:t>
      </w:r>
      <w:r>
        <w:rPr>
          <w:i/>
          <w:sz w:val="20"/>
        </w:rPr>
        <w:t>y</w:t>
      </w:r>
      <w:r>
        <w:rPr>
          <w:i/>
          <w:spacing w:val="-17"/>
          <w:sz w:val="20"/>
        </w:rPr>
        <w:t> </w:t>
      </w:r>
      <w:r>
        <w:rPr>
          <w:i/>
          <w:sz w:val="20"/>
        </w:rPr>
        <w:t>redes</w:t>
      </w:r>
      <w:r>
        <w:rPr>
          <w:i/>
          <w:spacing w:val="-17"/>
          <w:sz w:val="20"/>
        </w:rPr>
        <w:t> </w:t>
      </w:r>
      <w:r>
        <w:rPr>
          <w:i/>
          <w:sz w:val="20"/>
        </w:rPr>
        <w:t>de</w:t>
      </w:r>
      <w:r>
        <w:rPr>
          <w:i/>
          <w:spacing w:val="-17"/>
          <w:sz w:val="20"/>
        </w:rPr>
        <w:t> </w:t>
      </w:r>
      <w:r>
        <w:rPr>
          <w:i/>
          <w:sz w:val="20"/>
        </w:rPr>
        <w:t>política</w:t>
      </w:r>
      <w:r>
        <w:rPr>
          <w:i/>
          <w:spacing w:val="-17"/>
          <w:sz w:val="20"/>
        </w:rPr>
        <w:t> </w:t>
      </w:r>
      <w:r>
        <w:rPr>
          <w:i/>
          <w:sz w:val="20"/>
        </w:rPr>
        <w:t>pública</w:t>
      </w:r>
      <w:r>
        <w:rPr>
          <w:i/>
          <w:spacing w:val="-17"/>
          <w:sz w:val="20"/>
        </w:rPr>
        <w:t> </w:t>
      </w:r>
      <w:r>
        <w:rPr>
          <w:i/>
          <w:sz w:val="20"/>
        </w:rPr>
        <w:t>en</w:t>
      </w:r>
      <w:r>
        <w:rPr>
          <w:i/>
          <w:spacing w:val="-17"/>
          <w:sz w:val="20"/>
        </w:rPr>
        <w:t> </w:t>
      </w:r>
      <w:r>
        <w:rPr>
          <w:i/>
          <w:sz w:val="20"/>
        </w:rPr>
        <w:t>espacios</w:t>
      </w:r>
      <w:r>
        <w:rPr>
          <w:i/>
          <w:spacing w:val="-17"/>
          <w:sz w:val="20"/>
        </w:rPr>
        <w:t> </w:t>
      </w:r>
      <w:r>
        <w:rPr>
          <w:i/>
          <w:sz w:val="20"/>
        </w:rPr>
        <w:t>locales</w:t>
      </w:r>
      <w:r>
        <w:rPr>
          <w:i/>
          <w:spacing w:val="-17"/>
          <w:sz w:val="20"/>
        </w:rPr>
        <w:t> </w:t>
      </w:r>
      <w:r>
        <w:rPr>
          <w:i/>
          <w:sz w:val="20"/>
        </w:rPr>
        <w:t>de</w:t>
      </w:r>
      <w:r>
        <w:rPr>
          <w:i/>
          <w:spacing w:val="-17"/>
          <w:sz w:val="20"/>
        </w:rPr>
        <w:t> </w:t>
      </w:r>
      <w:r>
        <w:rPr>
          <w:i/>
          <w:sz w:val="20"/>
        </w:rPr>
        <w:t>México,</w:t>
      </w:r>
    </w:p>
    <w:p>
      <w:pPr>
        <w:pStyle w:val="BodyText"/>
        <w:spacing w:before="10"/>
        <w:ind w:left="753" w:right="-7"/>
      </w:pPr>
      <w:r>
        <w:rPr/>
        <w:t>México: Instituto Mora.</w:t>
      </w:r>
    </w:p>
    <w:p>
      <w:pPr>
        <w:pStyle w:val="BodyText"/>
        <w:spacing w:before="8"/>
        <w:rPr>
          <w:sz w:val="21"/>
        </w:rPr>
      </w:pPr>
    </w:p>
    <w:p>
      <w:pPr>
        <w:pStyle w:val="BodyText"/>
        <w:spacing w:line="249" w:lineRule="auto"/>
        <w:ind w:left="753" w:right="1" w:hanging="624"/>
        <w:jc w:val="both"/>
      </w:pPr>
      <w:r>
        <w:rPr/>
        <w:t>Rosas, F. (2014): “Gobernanza territorial: Modelo alternativo para el desarrollo urbano metropolitano”, Instituto Nacional de Administración Pública, México,   D.F</w:t>
      </w:r>
    </w:p>
    <w:p>
      <w:pPr>
        <w:pStyle w:val="BodyText"/>
        <w:spacing w:before="11"/>
      </w:pPr>
    </w:p>
    <w:p>
      <w:pPr>
        <w:spacing w:line="249" w:lineRule="auto" w:before="0"/>
        <w:ind w:left="753" w:right="0" w:hanging="624"/>
        <w:jc w:val="both"/>
        <w:rPr>
          <w:sz w:val="20"/>
        </w:rPr>
      </w:pPr>
      <w:r>
        <w:rPr>
          <w:sz w:val="20"/>
        </w:rPr>
        <w:t>Sánchez, J.J. (2012): “Usos de los conceptos de gobernabilidad y gobernanza (una manera de diferenciarlos)” en: Lerner Bertha, Uvalle Ricardo y Moreno Roberto (coordinadores): </w:t>
      </w:r>
      <w:r>
        <w:rPr>
          <w:i/>
          <w:sz w:val="20"/>
        </w:rPr>
        <w:t>Gobernabilidad y gobernanza en los albores del siglo XXI y </w:t>
      </w:r>
      <w:r>
        <w:rPr>
          <w:i/>
          <w:sz w:val="20"/>
        </w:rPr>
        <w:t>reflexiones</w:t>
      </w:r>
      <w:r>
        <w:rPr>
          <w:i/>
          <w:spacing w:val="-8"/>
          <w:sz w:val="20"/>
        </w:rPr>
        <w:t> </w:t>
      </w:r>
      <w:r>
        <w:rPr>
          <w:i/>
          <w:sz w:val="20"/>
        </w:rPr>
        <w:t>sobre</w:t>
      </w:r>
      <w:r>
        <w:rPr>
          <w:i/>
          <w:spacing w:val="-8"/>
          <w:sz w:val="20"/>
        </w:rPr>
        <w:t> </w:t>
      </w:r>
      <w:r>
        <w:rPr>
          <w:i/>
          <w:sz w:val="20"/>
        </w:rPr>
        <w:t>el</w:t>
      </w:r>
      <w:r>
        <w:rPr>
          <w:i/>
          <w:spacing w:val="-8"/>
          <w:sz w:val="20"/>
        </w:rPr>
        <w:t> </w:t>
      </w:r>
      <w:r>
        <w:rPr>
          <w:i/>
          <w:sz w:val="20"/>
        </w:rPr>
        <w:t>México</w:t>
      </w:r>
      <w:r>
        <w:rPr>
          <w:i/>
          <w:spacing w:val="-8"/>
          <w:sz w:val="20"/>
        </w:rPr>
        <w:t> </w:t>
      </w:r>
      <w:r>
        <w:rPr>
          <w:i/>
          <w:sz w:val="20"/>
        </w:rPr>
        <w:t>contemporáneo,</w:t>
      </w:r>
      <w:r>
        <w:rPr>
          <w:i/>
          <w:spacing w:val="-8"/>
          <w:sz w:val="20"/>
        </w:rPr>
        <w:t> </w:t>
      </w:r>
      <w:r>
        <w:rPr>
          <w:sz w:val="20"/>
        </w:rPr>
        <w:t>México</w:t>
      </w:r>
      <w:r>
        <w:rPr>
          <w:i/>
          <w:sz w:val="20"/>
        </w:rPr>
        <w:t>:</w:t>
      </w:r>
      <w:r>
        <w:rPr>
          <w:i/>
          <w:spacing w:val="-8"/>
          <w:sz w:val="20"/>
        </w:rPr>
        <w:t> </w:t>
      </w:r>
      <w:r>
        <w:rPr>
          <w:sz w:val="20"/>
        </w:rPr>
        <w:t>Instituto</w:t>
      </w:r>
      <w:r>
        <w:rPr>
          <w:spacing w:val="-8"/>
          <w:sz w:val="20"/>
        </w:rPr>
        <w:t> </w:t>
      </w:r>
      <w:r>
        <w:rPr>
          <w:sz w:val="20"/>
        </w:rPr>
        <w:t>de</w:t>
      </w:r>
      <w:r>
        <w:rPr>
          <w:spacing w:val="-8"/>
          <w:sz w:val="20"/>
        </w:rPr>
        <w:t> </w:t>
      </w:r>
      <w:r>
        <w:rPr>
          <w:sz w:val="20"/>
        </w:rPr>
        <w:t>Investigaciones Sociales de la Universidad Nacional Autónoma de México, Instituto de Administración Pública del Estado de </w:t>
      </w:r>
      <w:r>
        <w:rPr>
          <w:spacing w:val="2"/>
          <w:sz w:val="20"/>
        </w:rPr>
        <w:t> </w:t>
      </w:r>
      <w:r>
        <w:rPr>
          <w:sz w:val="20"/>
        </w:rPr>
        <w:t>México.</w:t>
      </w:r>
    </w:p>
    <w:p>
      <w:pPr>
        <w:pStyle w:val="BodyText"/>
        <w:spacing w:before="11"/>
      </w:pPr>
    </w:p>
    <w:p>
      <w:pPr>
        <w:spacing w:line="249" w:lineRule="auto" w:before="0"/>
        <w:ind w:left="753" w:right="0" w:hanging="624"/>
        <w:jc w:val="both"/>
        <w:rPr>
          <w:sz w:val="20"/>
        </w:rPr>
      </w:pPr>
      <w:r>
        <w:rPr>
          <w:sz w:val="20"/>
        </w:rPr>
        <w:t>Santos, J. y Porras F. (2012): “Participación ciudadana y gobernanza local como forma de</w:t>
      </w:r>
      <w:r>
        <w:rPr>
          <w:spacing w:val="-15"/>
          <w:sz w:val="20"/>
        </w:rPr>
        <w:t> </w:t>
      </w:r>
      <w:r>
        <w:rPr>
          <w:sz w:val="20"/>
        </w:rPr>
        <w:t>gobierno</w:t>
      </w:r>
      <w:r>
        <w:rPr>
          <w:spacing w:val="-15"/>
          <w:sz w:val="20"/>
        </w:rPr>
        <w:t> </w:t>
      </w:r>
      <w:r>
        <w:rPr>
          <w:sz w:val="20"/>
        </w:rPr>
        <w:t>en</w:t>
      </w:r>
      <w:r>
        <w:rPr>
          <w:spacing w:val="-15"/>
          <w:sz w:val="20"/>
        </w:rPr>
        <w:t> </w:t>
      </w:r>
      <w:r>
        <w:rPr>
          <w:sz w:val="20"/>
        </w:rPr>
        <w:t>México”</w:t>
      </w:r>
      <w:r>
        <w:rPr>
          <w:spacing w:val="-15"/>
          <w:sz w:val="20"/>
        </w:rPr>
        <w:t> </w:t>
      </w:r>
      <w:r>
        <w:rPr>
          <w:sz w:val="20"/>
        </w:rPr>
        <w:t>en:</w:t>
      </w:r>
      <w:r>
        <w:rPr>
          <w:spacing w:val="-15"/>
          <w:sz w:val="20"/>
        </w:rPr>
        <w:t> </w:t>
      </w:r>
      <w:r>
        <w:rPr>
          <w:sz w:val="20"/>
        </w:rPr>
        <w:t>Zaremberg</w:t>
      </w:r>
      <w:r>
        <w:rPr>
          <w:spacing w:val="-15"/>
          <w:sz w:val="20"/>
        </w:rPr>
        <w:t> </w:t>
      </w:r>
      <w:r>
        <w:rPr>
          <w:sz w:val="20"/>
        </w:rPr>
        <w:t>Gisela</w:t>
      </w:r>
      <w:r>
        <w:rPr>
          <w:spacing w:val="-15"/>
          <w:sz w:val="20"/>
        </w:rPr>
        <w:t> </w:t>
      </w:r>
      <w:r>
        <w:rPr>
          <w:sz w:val="20"/>
        </w:rPr>
        <w:t>(coordinadora):</w:t>
      </w:r>
      <w:r>
        <w:rPr>
          <w:spacing w:val="-15"/>
          <w:sz w:val="20"/>
        </w:rPr>
        <w:t> </w:t>
      </w:r>
      <w:r>
        <w:rPr>
          <w:i/>
          <w:sz w:val="20"/>
        </w:rPr>
        <w:t>Redes</w:t>
      </w:r>
      <w:r>
        <w:rPr>
          <w:i/>
          <w:spacing w:val="-15"/>
          <w:sz w:val="20"/>
        </w:rPr>
        <w:t> </w:t>
      </w:r>
      <w:r>
        <w:rPr>
          <w:i/>
          <w:sz w:val="20"/>
        </w:rPr>
        <w:t>y</w:t>
      </w:r>
      <w:r>
        <w:rPr>
          <w:i/>
          <w:spacing w:val="-15"/>
          <w:sz w:val="20"/>
        </w:rPr>
        <w:t> </w:t>
      </w:r>
      <w:r>
        <w:rPr>
          <w:i/>
          <w:sz w:val="20"/>
        </w:rPr>
        <w:t>jerarquías </w:t>
      </w:r>
      <w:r>
        <w:rPr>
          <w:i/>
          <w:sz w:val="20"/>
        </w:rPr>
        <w:t>participación</w:t>
      </w:r>
      <w:r>
        <w:rPr>
          <w:i/>
          <w:spacing w:val="-7"/>
          <w:sz w:val="20"/>
        </w:rPr>
        <w:t> </w:t>
      </w:r>
      <w:r>
        <w:rPr>
          <w:i/>
          <w:sz w:val="20"/>
        </w:rPr>
        <w:t>representación</w:t>
      </w:r>
      <w:r>
        <w:rPr>
          <w:i/>
          <w:spacing w:val="-7"/>
          <w:sz w:val="20"/>
        </w:rPr>
        <w:t> </w:t>
      </w:r>
      <w:r>
        <w:rPr>
          <w:i/>
          <w:sz w:val="20"/>
        </w:rPr>
        <w:t>y</w:t>
      </w:r>
      <w:r>
        <w:rPr>
          <w:i/>
          <w:spacing w:val="-7"/>
          <w:sz w:val="20"/>
        </w:rPr>
        <w:t> </w:t>
      </w:r>
      <w:r>
        <w:rPr>
          <w:i/>
          <w:sz w:val="20"/>
        </w:rPr>
        <w:t>gobernanza</w:t>
      </w:r>
      <w:r>
        <w:rPr>
          <w:i/>
          <w:spacing w:val="-7"/>
          <w:sz w:val="20"/>
        </w:rPr>
        <w:t> </w:t>
      </w:r>
      <w:r>
        <w:rPr>
          <w:i/>
          <w:sz w:val="20"/>
        </w:rPr>
        <w:t>local</w:t>
      </w:r>
      <w:r>
        <w:rPr>
          <w:i/>
          <w:spacing w:val="-7"/>
          <w:sz w:val="20"/>
        </w:rPr>
        <w:t> </w:t>
      </w:r>
      <w:r>
        <w:rPr>
          <w:i/>
          <w:sz w:val="20"/>
        </w:rPr>
        <w:t>en</w:t>
      </w:r>
      <w:r>
        <w:rPr>
          <w:i/>
          <w:spacing w:val="-7"/>
          <w:sz w:val="20"/>
        </w:rPr>
        <w:t> </w:t>
      </w:r>
      <w:r>
        <w:rPr>
          <w:i/>
          <w:sz w:val="20"/>
        </w:rPr>
        <w:t>América</w:t>
      </w:r>
      <w:r>
        <w:rPr>
          <w:i/>
          <w:spacing w:val="-7"/>
          <w:sz w:val="20"/>
        </w:rPr>
        <w:t> </w:t>
      </w:r>
      <w:r>
        <w:rPr>
          <w:i/>
          <w:sz w:val="20"/>
        </w:rPr>
        <w:t>Latina,</w:t>
      </w:r>
      <w:r>
        <w:rPr>
          <w:i/>
          <w:spacing w:val="-7"/>
          <w:sz w:val="20"/>
        </w:rPr>
        <w:t> </w:t>
      </w:r>
      <w:r>
        <w:rPr>
          <w:sz w:val="20"/>
        </w:rPr>
        <w:t>México,</w:t>
      </w:r>
      <w:r>
        <w:rPr>
          <w:spacing w:val="-7"/>
          <w:sz w:val="20"/>
        </w:rPr>
        <w:t> </w:t>
      </w:r>
      <w:r>
        <w:rPr>
          <w:sz w:val="20"/>
        </w:rPr>
        <w:t>D.F. Flacso.</w:t>
      </w:r>
    </w:p>
    <w:p>
      <w:pPr>
        <w:pStyle w:val="Heading1"/>
        <w:spacing w:before="71"/>
        <w:ind w:right="-10"/>
      </w:pPr>
      <w:r>
        <w:rPr>
          <w:b w:val="0"/>
        </w:rPr>
        <w:br w:type="column"/>
      </w:r>
      <w:r>
        <w:rPr/>
        <w:t>Artículos de revista</w:t>
      </w:r>
    </w:p>
    <w:p>
      <w:pPr>
        <w:pStyle w:val="BodyText"/>
        <w:rPr>
          <w:b/>
          <w:sz w:val="21"/>
        </w:rPr>
      </w:pPr>
    </w:p>
    <w:p>
      <w:pPr>
        <w:spacing w:line="249" w:lineRule="auto" w:before="0"/>
        <w:ind w:left="753" w:right="127" w:hanging="624"/>
        <w:jc w:val="both"/>
        <w:rPr>
          <w:sz w:val="20"/>
        </w:rPr>
      </w:pPr>
      <w:r>
        <w:rPr>
          <w:sz w:val="20"/>
        </w:rPr>
        <w:t>Aguilar,</w:t>
      </w:r>
      <w:r>
        <w:rPr>
          <w:spacing w:val="-18"/>
          <w:sz w:val="20"/>
        </w:rPr>
        <w:t> </w:t>
      </w:r>
      <w:r>
        <w:rPr>
          <w:sz w:val="20"/>
        </w:rPr>
        <w:t>L.</w:t>
      </w:r>
      <w:r>
        <w:rPr>
          <w:spacing w:val="-18"/>
          <w:sz w:val="20"/>
        </w:rPr>
        <w:t> </w:t>
      </w:r>
      <w:r>
        <w:rPr>
          <w:sz w:val="20"/>
        </w:rPr>
        <w:t>F.</w:t>
      </w:r>
      <w:r>
        <w:rPr>
          <w:spacing w:val="-18"/>
          <w:sz w:val="20"/>
        </w:rPr>
        <w:t> </w:t>
      </w:r>
      <w:r>
        <w:rPr>
          <w:sz w:val="20"/>
        </w:rPr>
        <w:t>(2007):</w:t>
      </w:r>
      <w:r>
        <w:rPr>
          <w:spacing w:val="-18"/>
          <w:sz w:val="20"/>
        </w:rPr>
        <w:t> </w:t>
      </w:r>
      <w:r>
        <w:rPr>
          <w:sz w:val="20"/>
        </w:rPr>
        <w:t>“La</w:t>
      </w:r>
      <w:r>
        <w:rPr>
          <w:spacing w:val="-18"/>
          <w:sz w:val="20"/>
        </w:rPr>
        <w:t> </w:t>
      </w:r>
      <w:r>
        <w:rPr>
          <w:sz w:val="20"/>
        </w:rPr>
        <w:t>dimensión</w:t>
      </w:r>
      <w:r>
        <w:rPr>
          <w:spacing w:val="-18"/>
          <w:sz w:val="20"/>
        </w:rPr>
        <w:t> </w:t>
      </w:r>
      <w:r>
        <w:rPr>
          <w:sz w:val="20"/>
        </w:rPr>
        <w:t>administrativa</w:t>
      </w:r>
      <w:r>
        <w:rPr>
          <w:spacing w:val="-18"/>
          <w:sz w:val="20"/>
        </w:rPr>
        <w:t> </w:t>
      </w:r>
      <w:r>
        <w:rPr>
          <w:sz w:val="20"/>
        </w:rPr>
        <w:t>de</w:t>
      </w:r>
      <w:r>
        <w:rPr>
          <w:spacing w:val="-18"/>
          <w:sz w:val="20"/>
        </w:rPr>
        <w:t> </w:t>
      </w:r>
      <w:r>
        <w:rPr>
          <w:sz w:val="20"/>
        </w:rPr>
        <w:t>la</w:t>
      </w:r>
      <w:r>
        <w:rPr>
          <w:spacing w:val="-18"/>
          <w:sz w:val="20"/>
        </w:rPr>
        <w:t> </w:t>
      </w:r>
      <w:r>
        <w:rPr>
          <w:sz w:val="20"/>
        </w:rPr>
        <w:t>nueva</w:t>
      </w:r>
      <w:r>
        <w:rPr>
          <w:spacing w:val="-18"/>
          <w:sz w:val="20"/>
        </w:rPr>
        <w:t> </w:t>
      </w:r>
      <w:r>
        <w:rPr>
          <w:sz w:val="20"/>
        </w:rPr>
        <w:t>gobernanza;</w:t>
      </w:r>
      <w:r>
        <w:rPr>
          <w:spacing w:val="-18"/>
          <w:sz w:val="20"/>
        </w:rPr>
        <w:t> </w:t>
      </w:r>
      <w:r>
        <w:rPr>
          <w:sz w:val="20"/>
        </w:rPr>
        <w:t>sus</w:t>
      </w:r>
      <w:r>
        <w:rPr>
          <w:spacing w:val="-18"/>
          <w:sz w:val="20"/>
        </w:rPr>
        <w:t> </w:t>
      </w:r>
      <w:r>
        <w:rPr>
          <w:sz w:val="20"/>
        </w:rPr>
        <w:t>prácticas y aporte” en: </w:t>
      </w:r>
      <w:r>
        <w:rPr>
          <w:i/>
          <w:sz w:val="20"/>
        </w:rPr>
        <w:t>XII Congreso Internacional del CLAD sobre la Reforma del Estado </w:t>
      </w:r>
      <w:r>
        <w:rPr>
          <w:i/>
          <w:sz w:val="20"/>
        </w:rPr>
        <w:t>y la Administración Pública, </w:t>
      </w:r>
      <w:r>
        <w:rPr>
          <w:sz w:val="20"/>
        </w:rPr>
        <w:t>Santo Domingo República</w:t>
      </w:r>
      <w:r>
        <w:rPr>
          <w:spacing w:val="35"/>
          <w:sz w:val="20"/>
        </w:rPr>
        <w:t> </w:t>
      </w:r>
      <w:r>
        <w:rPr>
          <w:sz w:val="20"/>
        </w:rPr>
        <w:t>Dominicana.</w:t>
      </w:r>
    </w:p>
    <w:p>
      <w:pPr>
        <w:pStyle w:val="BodyText"/>
        <w:spacing w:before="11"/>
      </w:pPr>
    </w:p>
    <w:p>
      <w:pPr>
        <w:pStyle w:val="BodyText"/>
        <w:ind w:left="130" w:right="-10"/>
      </w:pPr>
      <w:r>
        <w:rPr/>
        <w:t>Koresawa, A. y Konvitz, J. (2001.) “Towards a New Role for Spatial Planning”, en</w:t>
      </w:r>
    </w:p>
    <w:p>
      <w:pPr>
        <w:spacing w:before="10"/>
        <w:ind w:left="753" w:right="-10" w:firstLine="0"/>
        <w:jc w:val="left"/>
        <w:rPr>
          <w:sz w:val="20"/>
        </w:rPr>
      </w:pPr>
      <w:r>
        <w:rPr>
          <w:i/>
          <w:sz w:val="20"/>
        </w:rPr>
        <w:t>Towards a New Role for Spatial Planning</w:t>
      </w:r>
      <w:r>
        <w:rPr>
          <w:sz w:val="20"/>
        </w:rPr>
        <w:t>. París, OCDE, pp. 27-28.</w:t>
      </w:r>
    </w:p>
    <w:p>
      <w:pPr>
        <w:pStyle w:val="BodyText"/>
        <w:spacing w:before="8"/>
        <w:rPr>
          <w:sz w:val="21"/>
        </w:rPr>
      </w:pPr>
    </w:p>
    <w:p>
      <w:pPr>
        <w:pStyle w:val="BodyText"/>
        <w:spacing w:line="249" w:lineRule="auto"/>
        <w:ind w:left="753" w:right="129" w:hanging="624"/>
        <w:jc w:val="both"/>
      </w:pPr>
      <w:r>
        <w:rPr/>
        <w:t>Jordán, R. y Simioni, D. (1998). Ciudades Intermedias de América Latina y el Caribe: Propuestas</w:t>
      </w:r>
      <w:r>
        <w:rPr>
          <w:spacing w:val="-7"/>
        </w:rPr>
        <w:t> </w:t>
      </w:r>
      <w:r>
        <w:rPr/>
        <w:t>para</w:t>
      </w:r>
      <w:r>
        <w:rPr>
          <w:spacing w:val="-7"/>
        </w:rPr>
        <w:t> </w:t>
      </w:r>
      <w:r>
        <w:rPr/>
        <w:t>la</w:t>
      </w:r>
      <w:r>
        <w:rPr>
          <w:spacing w:val="-7"/>
        </w:rPr>
        <w:t> </w:t>
      </w:r>
      <w:r>
        <w:rPr/>
        <w:t>Gestión</w:t>
      </w:r>
      <w:r>
        <w:rPr>
          <w:spacing w:val="-7"/>
        </w:rPr>
        <w:t> </w:t>
      </w:r>
      <w:r>
        <w:rPr/>
        <w:t>Urbana.</w:t>
      </w:r>
      <w:r>
        <w:rPr>
          <w:spacing w:val="-7"/>
        </w:rPr>
        <w:t> </w:t>
      </w:r>
      <w:r>
        <w:rPr/>
        <w:t>[en</w:t>
      </w:r>
      <w:r>
        <w:rPr>
          <w:spacing w:val="-7"/>
        </w:rPr>
        <w:t> </w:t>
      </w:r>
      <w:r>
        <w:rPr/>
        <w:t>línea].</w:t>
      </w:r>
      <w:r>
        <w:rPr>
          <w:spacing w:val="-7"/>
        </w:rPr>
        <w:t> </w:t>
      </w:r>
      <w:r>
        <w:rPr/>
        <w:t>Italia.</w:t>
      </w:r>
      <w:r>
        <w:rPr>
          <w:spacing w:val="-7"/>
        </w:rPr>
        <w:t> </w:t>
      </w:r>
      <w:r>
        <w:rPr/>
        <w:t>[03/05/2012].</w:t>
      </w:r>
      <w:r>
        <w:rPr>
          <w:spacing w:val="-7"/>
        </w:rPr>
        <w:t> </w:t>
      </w:r>
      <w:r>
        <w:rPr/>
        <w:t>Disponible</w:t>
      </w:r>
      <w:r>
        <w:rPr>
          <w:spacing w:val="-7"/>
        </w:rPr>
        <w:t> </w:t>
      </w:r>
      <w:r>
        <w:rPr/>
        <w:t>en</w:t>
      </w:r>
    </w:p>
    <w:p>
      <w:pPr>
        <w:pStyle w:val="BodyText"/>
        <w:spacing w:before="1"/>
        <w:ind w:left="753" w:right="-10"/>
      </w:pPr>
      <w:hyperlink r:id="rId89">
        <w:r>
          <w:rPr>
            <w:w w:val="105"/>
          </w:rPr>
          <w:t>&lt;http://www.eclac.org/dmaah/gucif/defcon.htm&gt;.</w:t>
        </w:r>
      </w:hyperlink>
    </w:p>
    <w:p>
      <w:pPr>
        <w:pStyle w:val="BodyText"/>
        <w:spacing w:before="8"/>
        <w:rPr>
          <w:sz w:val="21"/>
        </w:rPr>
      </w:pPr>
    </w:p>
    <w:p>
      <w:pPr>
        <w:pStyle w:val="BodyText"/>
        <w:spacing w:line="249" w:lineRule="auto"/>
        <w:ind w:left="753" w:right="128" w:hanging="624"/>
        <w:jc w:val="both"/>
      </w:pPr>
      <w:r>
        <w:rPr/>
        <w:t>Muñoz, E. (2005): “Gobernanza, ciencia, tecnología y política: Trayectoria y evolución” en ARBOR ciencia, pensamiento y cultura CLXXXI 715 septiembre-octubre. Disponible en: </w:t>
      </w:r>
      <w:hyperlink r:id="rId90">
        <w:r>
          <w:rPr>
            <w:color w:val="0077CA"/>
            <w:u w:val="single" w:color="0077CA"/>
          </w:rPr>
          <w:t>http://arbor.revistas.cslc.es</w:t>
        </w:r>
      </w:hyperlink>
      <w:r>
        <w:rPr/>
        <w:t>. 10 de octubre del  2013.</w:t>
      </w:r>
    </w:p>
    <w:p>
      <w:pPr>
        <w:pStyle w:val="BodyText"/>
        <w:spacing w:before="11"/>
      </w:pPr>
    </w:p>
    <w:p>
      <w:pPr>
        <w:spacing w:line="249" w:lineRule="auto" w:before="0"/>
        <w:ind w:left="753" w:right="128" w:hanging="624"/>
        <w:jc w:val="both"/>
        <w:rPr>
          <w:sz w:val="20"/>
        </w:rPr>
      </w:pPr>
      <w:r>
        <w:rPr>
          <w:sz w:val="20"/>
        </w:rPr>
        <w:t>Pascual, J. M. (2005): “Diez tesis sobre gobernanza local: los ayuntamientos son        la clave de la modernización de las ciudades, las regiones y los países” en: Movimiento América-Europa de Regiones y Ciudades (coordinador), </w:t>
      </w:r>
      <w:r>
        <w:rPr>
          <w:i/>
          <w:sz w:val="20"/>
        </w:rPr>
        <w:t>La </w:t>
      </w:r>
      <w:r>
        <w:rPr>
          <w:i/>
          <w:sz w:val="20"/>
        </w:rPr>
        <w:t>gobernanza democrática: un nuevo enfoque para los grandes retos urbanos y regionales. </w:t>
      </w:r>
      <w:r>
        <w:rPr>
          <w:sz w:val="20"/>
        </w:rPr>
        <w:t>Bogotá,</w:t>
      </w:r>
      <w:r>
        <w:rPr>
          <w:spacing w:val="20"/>
          <w:sz w:val="20"/>
        </w:rPr>
        <w:t> </w:t>
      </w:r>
      <w:r>
        <w:rPr>
          <w:sz w:val="20"/>
        </w:rPr>
        <w:t>Colombia.</w:t>
      </w:r>
    </w:p>
    <w:p>
      <w:pPr>
        <w:pStyle w:val="BodyText"/>
        <w:spacing w:before="11"/>
      </w:pPr>
    </w:p>
    <w:p>
      <w:pPr>
        <w:spacing w:line="249" w:lineRule="auto" w:before="0"/>
        <w:ind w:left="753" w:right="128" w:hanging="624"/>
        <w:jc w:val="both"/>
        <w:rPr>
          <w:sz w:val="20"/>
        </w:rPr>
      </w:pPr>
      <w:r>
        <w:rPr>
          <w:sz w:val="20"/>
        </w:rPr>
        <w:t>Peters, G. (2011). </w:t>
      </w:r>
      <w:r>
        <w:rPr>
          <w:i/>
          <w:sz w:val="20"/>
        </w:rPr>
        <w:t>Globalización, Gobernanza y Estado: algunas proposiciones acerca </w:t>
      </w:r>
      <w:r>
        <w:rPr>
          <w:i/>
          <w:sz w:val="20"/>
        </w:rPr>
        <w:t>del proceso de gobernar</w:t>
      </w:r>
      <w:r>
        <w:rPr>
          <w:sz w:val="20"/>
        </w:rPr>
        <w:t>. XI Congreso Internacional del CLAD sobre la Reforma del Estado y de la Administración Pública, Ciudad de Guatemala, del 7 al 10 de noviembre de 2006.</w:t>
      </w:r>
    </w:p>
    <w:p>
      <w:pPr>
        <w:pStyle w:val="BodyText"/>
        <w:spacing w:before="11"/>
      </w:pPr>
    </w:p>
    <w:p>
      <w:pPr>
        <w:pStyle w:val="BodyText"/>
        <w:spacing w:line="249" w:lineRule="auto"/>
        <w:ind w:left="753" w:right="128" w:hanging="624"/>
        <w:jc w:val="both"/>
      </w:pPr>
      <w:r>
        <w:rPr/>
        <w:t>Rosas,</w:t>
      </w:r>
      <w:r>
        <w:rPr>
          <w:spacing w:val="-6"/>
        </w:rPr>
        <w:t> </w:t>
      </w:r>
      <w:r>
        <w:rPr/>
        <w:t>F.</w:t>
      </w:r>
      <w:r>
        <w:rPr>
          <w:spacing w:val="-6"/>
        </w:rPr>
        <w:t> </w:t>
      </w:r>
      <w:r>
        <w:rPr/>
        <w:t>Calderón</w:t>
      </w:r>
      <w:r>
        <w:rPr>
          <w:spacing w:val="-6"/>
        </w:rPr>
        <w:t> </w:t>
      </w:r>
      <w:r>
        <w:rPr/>
        <w:t>J.</w:t>
      </w:r>
      <w:r>
        <w:rPr>
          <w:spacing w:val="-6"/>
        </w:rPr>
        <w:t> </w:t>
      </w:r>
      <w:r>
        <w:rPr/>
        <w:t>R.</w:t>
      </w:r>
      <w:r>
        <w:rPr>
          <w:spacing w:val="-6"/>
        </w:rPr>
        <w:t> </w:t>
      </w:r>
      <w:r>
        <w:rPr/>
        <w:t>y</w:t>
      </w:r>
      <w:r>
        <w:rPr>
          <w:spacing w:val="-6"/>
        </w:rPr>
        <w:t> </w:t>
      </w:r>
      <w:r>
        <w:rPr/>
        <w:t>Campos</w:t>
      </w:r>
      <w:r>
        <w:rPr>
          <w:spacing w:val="-6"/>
        </w:rPr>
        <w:t> </w:t>
      </w:r>
      <w:r>
        <w:rPr/>
        <w:t>H.</w:t>
      </w:r>
      <w:r>
        <w:rPr>
          <w:spacing w:val="-6"/>
        </w:rPr>
        <w:t> </w:t>
      </w:r>
      <w:r>
        <w:rPr/>
        <w:t>(2012):</w:t>
      </w:r>
      <w:r>
        <w:rPr>
          <w:spacing w:val="-6"/>
        </w:rPr>
        <w:t> </w:t>
      </w:r>
      <w:r>
        <w:rPr/>
        <w:t>“Elementos</w:t>
      </w:r>
      <w:r>
        <w:rPr>
          <w:spacing w:val="-6"/>
        </w:rPr>
        <w:t> </w:t>
      </w:r>
      <w:r>
        <w:rPr/>
        <w:t>conceptuales</w:t>
      </w:r>
      <w:r>
        <w:rPr>
          <w:spacing w:val="-6"/>
        </w:rPr>
        <w:t> </w:t>
      </w:r>
      <w:r>
        <w:rPr/>
        <w:t>para</w:t>
      </w:r>
      <w:r>
        <w:rPr>
          <w:spacing w:val="-6"/>
        </w:rPr>
        <w:t> </w:t>
      </w:r>
      <w:r>
        <w:rPr/>
        <w:t>el</w:t>
      </w:r>
      <w:r>
        <w:rPr>
          <w:spacing w:val="-6"/>
        </w:rPr>
        <w:t> </w:t>
      </w:r>
      <w:r>
        <w:rPr/>
        <w:t>análisis de la gobernanza territorial” en: </w:t>
      </w:r>
      <w:r>
        <w:rPr>
          <w:i/>
        </w:rPr>
        <w:t>Revista Quivera, </w:t>
      </w:r>
      <w:r>
        <w:rPr/>
        <w:t>vol 14, núm 2012-2, julio- diciembre, Universidad Autónoma del Estado de </w:t>
      </w:r>
      <w:r>
        <w:rPr>
          <w:spacing w:val="9"/>
        </w:rPr>
        <w:t> </w:t>
      </w:r>
      <w:r>
        <w:rPr/>
        <w:t>México.</w:t>
      </w:r>
    </w:p>
    <w:p>
      <w:pPr>
        <w:pStyle w:val="BodyText"/>
        <w:spacing w:before="11"/>
      </w:pPr>
    </w:p>
    <w:p>
      <w:pPr>
        <w:spacing w:line="249" w:lineRule="auto" w:before="0"/>
        <w:ind w:left="753" w:right="129" w:hanging="532"/>
        <w:jc w:val="both"/>
        <w:rPr>
          <w:sz w:val="20"/>
        </w:rPr>
      </w:pPr>
      <w:r>
        <w:rPr>
          <w:sz w:val="20"/>
        </w:rPr>
        <w:t>Schwedler, Hanss-Uve. (2011): “Gobernanza urbana integrada, el camino hacia el futuro” en: </w:t>
      </w:r>
      <w:r>
        <w:rPr>
          <w:i/>
          <w:sz w:val="20"/>
        </w:rPr>
        <w:t>Manual de la Comisión 3 metrópolis</w:t>
      </w:r>
      <w:r>
        <w:rPr>
          <w:sz w:val="20"/>
        </w:rPr>
        <w:t>.</w:t>
      </w:r>
    </w:p>
    <w:p>
      <w:pPr>
        <w:pStyle w:val="BodyText"/>
        <w:spacing w:before="11"/>
      </w:pPr>
    </w:p>
    <w:p>
      <w:pPr>
        <w:pStyle w:val="BodyText"/>
        <w:spacing w:line="249" w:lineRule="auto"/>
        <w:ind w:left="753" w:right="128" w:hanging="624"/>
        <w:jc w:val="both"/>
      </w:pPr>
      <w:r>
        <w:rPr/>
        <w:t>Zurbriggen,</w:t>
      </w:r>
      <w:r>
        <w:rPr>
          <w:spacing w:val="-28"/>
        </w:rPr>
        <w:t> </w:t>
      </w:r>
      <w:r>
        <w:rPr/>
        <w:t>C.</w:t>
      </w:r>
      <w:r>
        <w:rPr>
          <w:spacing w:val="-28"/>
        </w:rPr>
        <w:t> </w:t>
      </w:r>
      <w:r>
        <w:rPr/>
        <w:t>(2011):</w:t>
      </w:r>
      <w:r>
        <w:rPr>
          <w:spacing w:val="-28"/>
        </w:rPr>
        <w:t> </w:t>
      </w:r>
      <w:r>
        <w:rPr/>
        <w:t>“Gobernanza</w:t>
      </w:r>
      <w:r>
        <w:rPr>
          <w:spacing w:val="-28"/>
        </w:rPr>
        <w:t> </w:t>
      </w:r>
      <w:r>
        <w:rPr/>
        <w:t>una</w:t>
      </w:r>
      <w:r>
        <w:rPr>
          <w:spacing w:val="-28"/>
        </w:rPr>
        <w:t> </w:t>
      </w:r>
      <w:r>
        <w:rPr/>
        <w:t>mirada</w:t>
      </w:r>
      <w:r>
        <w:rPr>
          <w:spacing w:val="-28"/>
        </w:rPr>
        <w:t> </w:t>
      </w:r>
      <w:r>
        <w:rPr/>
        <w:t>desde</w:t>
      </w:r>
      <w:r>
        <w:rPr>
          <w:spacing w:val="-28"/>
        </w:rPr>
        <w:t> </w:t>
      </w:r>
      <w:r>
        <w:rPr/>
        <w:t>América</w:t>
      </w:r>
      <w:r>
        <w:rPr>
          <w:spacing w:val="-28"/>
        </w:rPr>
        <w:t> </w:t>
      </w:r>
      <w:r>
        <w:rPr/>
        <w:t>Latina”</w:t>
      </w:r>
      <w:r>
        <w:rPr>
          <w:spacing w:val="-28"/>
        </w:rPr>
        <w:t> </w:t>
      </w:r>
      <w:r>
        <w:rPr/>
        <w:t>en</w:t>
      </w:r>
      <w:r>
        <w:rPr>
          <w:spacing w:val="-28"/>
        </w:rPr>
        <w:t> </w:t>
      </w:r>
      <w:r>
        <w:rPr>
          <w:i/>
        </w:rPr>
        <w:t>Revista</w:t>
      </w:r>
      <w:r>
        <w:rPr>
          <w:i/>
          <w:spacing w:val="-28"/>
        </w:rPr>
        <w:t> </w:t>
      </w:r>
      <w:r>
        <w:rPr>
          <w:i/>
        </w:rPr>
        <w:t>perfiles </w:t>
      </w:r>
      <w:r>
        <w:rPr>
          <w:i/>
        </w:rPr>
        <w:t>latinoamericanos</w:t>
      </w:r>
      <w:r>
        <w:rPr/>
        <w:t>, número 38 julio-diciembre, México: Facultad Latinoamericana de Ciencias</w:t>
      </w:r>
      <w:r>
        <w:rPr>
          <w:spacing w:val="2"/>
        </w:rPr>
        <w:t> </w:t>
      </w:r>
      <w:r>
        <w:rPr/>
        <w:t>Sociales.</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91"/>
          <w:pgSz w:w="18830" w:h="12760" w:orient="landscape"/>
          <w:pgMar w:footer="1036" w:header="522" w:top="820" w:bottom="1220" w:left="720" w:right="720"/>
        </w:sectPr>
      </w:pPr>
    </w:p>
    <w:p>
      <w:pPr>
        <w:pStyle w:val="Heading1"/>
        <w:spacing w:before="71"/>
        <w:ind w:right="1042"/>
      </w:pPr>
      <w:r>
        <w:rPr/>
        <w:t>Referencias electrónicas</w:t>
      </w:r>
    </w:p>
    <w:p>
      <w:pPr>
        <w:pStyle w:val="BodyText"/>
        <w:rPr>
          <w:b/>
          <w:sz w:val="21"/>
        </w:rPr>
      </w:pPr>
    </w:p>
    <w:p>
      <w:pPr>
        <w:pStyle w:val="BodyText"/>
        <w:spacing w:line="249" w:lineRule="auto"/>
        <w:ind w:left="753" w:right="9" w:hanging="624"/>
        <w:jc w:val="both"/>
      </w:pPr>
      <w:r>
        <w:rPr/>
        <w:t>Abad, L. (2010): “Gobernanza y desarrollo territorial una perspectiva geográfica, Grupo de Estudios sobre Desarrollo Urbano” en: </w:t>
      </w:r>
      <w:r>
        <w:rPr>
          <w:i/>
        </w:rPr>
        <w:t>Documento de trabajo número 10 </w:t>
      </w:r>
      <w:r>
        <w:rPr>
          <w:i/>
        </w:rPr>
        <w:t>disponible en: </w:t>
      </w:r>
      <w:hyperlink r:id="rId92">
        <w:r>
          <w:rPr>
            <w:color w:val="0077CA"/>
            <w:u w:val="single" w:color="0077CA"/>
          </w:rPr>
          <w:t>http://www.gedeur.es/documentostrabajo/Doc10_Abad%20</w:t>
        </w:r>
      </w:hyperlink>
      <w:r>
        <w:rPr>
          <w:color w:val="0077CA"/>
          <w:u w:val="single" w:color="0077CA"/>
        </w:rPr>
        <w:t> </w:t>
      </w:r>
      <w:hyperlink r:id="rId92">
        <w:r>
          <w:rPr>
            <w:color w:val="0077CA"/>
            <w:u w:val="single" w:color="0077CA"/>
          </w:rPr>
          <w:t>Luis.pdf</w:t>
        </w:r>
      </w:hyperlink>
    </w:p>
    <w:p>
      <w:pPr>
        <w:pStyle w:val="BodyText"/>
        <w:spacing w:before="11"/>
      </w:pPr>
    </w:p>
    <w:p>
      <w:pPr>
        <w:pStyle w:val="BodyText"/>
        <w:spacing w:line="249" w:lineRule="auto"/>
        <w:ind w:left="753" w:right="8" w:hanging="624"/>
        <w:jc w:val="both"/>
      </w:pPr>
      <w:r>
        <w:rPr/>
        <w:t>Farinós,</w:t>
      </w:r>
      <w:r>
        <w:rPr>
          <w:spacing w:val="-9"/>
        </w:rPr>
        <w:t> </w:t>
      </w:r>
      <w:r>
        <w:rPr/>
        <w:t>J.</w:t>
      </w:r>
      <w:r>
        <w:rPr>
          <w:spacing w:val="-9"/>
        </w:rPr>
        <w:t> </w:t>
      </w:r>
      <w:r>
        <w:rPr/>
        <w:t>(2008):</w:t>
      </w:r>
      <w:r>
        <w:rPr>
          <w:spacing w:val="-9"/>
        </w:rPr>
        <w:t> </w:t>
      </w:r>
      <w:r>
        <w:rPr/>
        <w:t>“Gobernanza</w:t>
      </w:r>
      <w:r>
        <w:rPr>
          <w:spacing w:val="-9"/>
        </w:rPr>
        <w:t> </w:t>
      </w:r>
      <w:r>
        <w:rPr/>
        <w:t>territorial</w:t>
      </w:r>
      <w:r>
        <w:rPr>
          <w:spacing w:val="-9"/>
        </w:rPr>
        <w:t> </w:t>
      </w:r>
      <w:r>
        <w:rPr/>
        <w:t>para</w:t>
      </w:r>
      <w:r>
        <w:rPr>
          <w:spacing w:val="-9"/>
        </w:rPr>
        <w:t> </w:t>
      </w:r>
      <w:r>
        <w:rPr/>
        <w:t>el</w:t>
      </w:r>
      <w:r>
        <w:rPr>
          <w:spacing w:val="-9"/>
        </w:rPr>
        <w:t> </w:t>
      </w:r>
      <w:r>
        <w:rPr/>
        <w:t>desarrollo</w:t>
      </w:r>
      <w:r>
        <w:rPr>
          <w:spacing w:val="-9"/>
        </w:rPr>
        <w:t> </w:t>
      </w:r>
      <w:r>
        <w:rPr/>
        <w:t>sostenible”</w:t>
      </w:r>
      <w:r>
        <w:rPr>
          <w:spacing w:val="-9"/>
        </w:rPr>
        <w:t> </w:t>
      </w:r>
      <w:r>
        <w:rPr/>
        <w:t>en:</w:t>
      </w:r>
      <w:r>
        <w:rPr>
          <w:spacing w:val="-9"/>
        </w:rPr>
        <w:t> </w:t>
      </w:r>
      <w:r>
        <w:rPr>
          <w:i/>
        </w:rPr>
        <w:t>Estado</w:t>
      </w:r>
      <w:r>
        <w:rPr>
          <w:i/>
          <w:spacing w:val="-9"/>
        </w:rPr>
        <w:t> </w:t>
      </w:r>
      <w:r>
        <w:rPr>
          <w:i/>
        </w:rPr>
        <w:t>de</w:t>
      </w:r>
      <w:r>
        <w:rPr>
          <w:i/>
          <w:spacing w:val="-9"/>
        </w:rPr>
        <w:t> </w:t>
      </w:r>
      <w:r>
        <w:rPr>
          <w:i/>
        </w:rPr>
        <w:t>la </w:t>
      </w:r>
      <w:r>
        <w:rPr>
          <w:i/>
        </w:rPr>
        <w:t>cuestión y agenda. </w:t>
      </w:r>
      <w:r>
        <w:rPr/>
        <w:t>Boletín de la A.G.E.N ° 46 Disponible en: </w:t>
      </w:r>
      <w:hyperlink r:id="rId93">
        <w:r>
          <w:rPr>
            <w:color w:val="0077CA"/>
            <w:u w:val="single" w:color="0077CA"/>
          </w:rPr>
          <w:t>http://age.ieg.csic.</w:t>
        </w:r>
      </w:hyperlink>
      <w:r>
        <w:rPr>
          <w:color w:val="0077CA"/>
          <w:u w:val="single" w:color="0077CA"/>
        </w:rPr>
        <w:t> </w:t>
      </w:r>
      <w:hyperlink r:id="rId93">
        <w:r>
          <w:rPr>
            <w:color w:val="0077CA"/>
            <w:u w:val="single" w:color="0077CA"/>
          </w:rPr>
          <w:t>es/boletin/46/02-GOBERNANZA.pdf</w:t>
        </w:r>
      </w:hyperlink>
      <w:r>
        <w:rPr/>
        <w:t>, 30 de mayo del</w:t>
      </w:r>
      <w:r>
        <w:rPr>
          <w:spacing w:val="53"/>
        </w:rPr>
        <w:t> </w:t>
      </w:r>
      <w:r>
        <w:rPr/>
        <w:t>2012.</w:t>
      </w:r>
    </w:p>
    <w:p>
      <w:pPr>
        <w:pStyle w:val="BodyText"/>
        <w:spacing w:before="11"/>
      </w:pPr>
    </w:p>
    <w:p>
      <w:pPr>
        <w:pStyle w:val="BodyText"/>
        <w:spacing w:line="249" w:lineRule="auto"/>
        <w:ind w:left="753" w:hanging="624"/>
        <w:jc w:val="both"/>
      </w:pPr>
      <w:r>
        <w:rPr/>
        <w:t>Jorquera, D. (2011): “Gobernanza para el desarrollo local”, Documento de trabajo   n°6” en: </w:t>
      </w:r>
      <w:r>
        <w:rPr>
          <w:i/>
        </w:rPr>
        <w:t>Proyecto Conocimiento y cambio en pobreza rural  y  desarrollo.  </w:t>
      </w:r>
      <w:r>
        <w:rPr/>
        <w:t>Centro Latinoamericano para el Desarrollo Rural. Disponible en. </w:t>
      </w:r>
      <w:hyperlink r:id="rId94">
        <w:r>
          <w:rPr>
            <w:color w:val="0077CA"/>
            <w:u w:val="single" w:color="0077CA"/>
          </w:rPr>
          <w:t>http://</w:t>
        </w:r>
      </w:hyperlink>
      <w:r>
        <w:rPr>
          <w:color w:val="0077CA"/>
          <w:u w:val="single" w:color="0077CA"/>
        </w:rPr>
        <w:t> </w:t>
      </w:r>
      <w:hyperlink r:id="rId94">
        <w:r>
          <w:rPr>
            <w:color w:val="0077CA"/>
            <w:spacing w:val="5"/>
            <w:u w:val="single" w:color="0077CA"/>
          </w:rPr>
          <w:t>www.fundacionpobreza.cl/biblioteca-archivos/n95-2011-gobernanza-para-</w:t>
        </w:r>
      </w:hyperlink>
      <w:r>
        <w:rPr>
          <w:color w:val="0077CA"/>
          <w:spacing w:val="5"/>
          <w:u w:val="single" w:color="0077CA"/>
        </w:rPr>
        <w:t> </w:t>
      </w:r>
      <w:hyperlink r:id="rId94">
        <w:r>
          <w:rPr>
            <w:color w:val="0077CA"/>
            <w:u w:val="single" w:color="0077CA"/>
          </w:rPr>
          <w:t>desarrollo-local-jorquera.pdf</w:t>
        </w:r>
      </w:hyperlink>
      <w:r>
        <w:rPr/>
        <w:t>, 15 de mayo del </w:t>
      </w:r>
      <w:r>
        <w:rPr>
          <w:spacing w:val="12"/>
        </w:rPr>
        <w:t> </w:t>
      </w:r>
      <w:r>
        <w:rPr/>
        <w:t>2012.</w:t>
      </w:r>
    </w:p>
    <w:p>
      <w:pPr>
        <w:pStyle w:val="BodyText"/>
        <w:spacing w:before="11"/>
      </w:pPr>
    </w:p>
    <w:p>
      <w:pPr>
        <w:pStyle w:val="BodyText"/>
        <w:spacing w:line="249" w:lineRule="auto"/>
        <w:ind w:left="753" w:right="8" w:hanging="624"/>
        <w:jc w:val="both"/>
      </w:pPr>
      <w:r>
        <w:rPr/>
        <w:t>Naranjo E. y Osuna J. (2005): Regiones y ciudades ante el desarrollo humano contemporáneo: la gobernanza democrática </w:t>
      </w:r>
      <w:hyperlink r:id="rId95">
        <w:r>
          <w:rPr>
            <w:color w:val="0077CA"/>
            <w:u w:val="single" w:color="0077CA"/>
          </w:rPr>
          <w:t>http://www.aeryc.org/</w:t>
        </w:r>
      </w:hyperlink>
      <w:r>
        <w:rPr>
          <w:color w:val="0077CA"/>
          <w:u w:val="single" w:color="0077CA"/>
        </w:rPr>
        <w:t> </w:t>
      </w:r>
      <w:hyperlink r:id="rId95">
        <w:r>
          <w:rPr>
            <w:color w:val="0077CA"/>
            <w:u w:val="single" w:color="0077CA"/>
          </w:rPr>
          <w:t>correspondencia/documents2010/documents/PublicacioJalisco.pdf</w:t>
        </w:r>
      </w:hyperlink>
    </w:p>
    <w:p>
      <w:pPr>
        <w:pStyle w:val="BodyText"/>
        <w:spacing w:before="11"/>
      </w:pPr>
    </w:p>
    <w:p>
      <w:pPr>
        <w:pStyle w:val="BodyText"/>
        <w:spacing w:line="249" w:lineRule="auto"/>
        <w:ind w:left="753" w:right="8" w:hanging="624"/>
        <w:jc w:val="both"/>
      </w:pPr>
      <w:r>
        <w:rPr/>
        <w:t>Revesz, B. (2006): “Gobernabilidad y gobernanza de los territorios en América Latina: disponible en: </w:t>
      </w:r>
      <w:hyperlink r:id="rId96">
        <w:r>
          <w:rPr>
            <w:color w:val="0077CA"/>
            <w:u w:val="single" w:color="0077CA"/>
          </w:rPr>
          <w:t>http://www.flacsoandes.org/web/imagesFTP/1245339828.</w:t>
        </w:r>
      </w:hyperlink>
      <w:r>
        <w:rPr>
          <w:color w:val="0077CA"/>
          <w:u w:val="single" w:color="0077CA"/>
        </w:rPr>
        <w:t> </w:t>
      </w:r>
      <w:hyperlink r:id="rId96">
        <w:r>
          <w:rPr>
            <w:color w:val="0077CA"/>
            <w:u w:val="single" w:color="0077CA"/>
          </w:rPr>
          <w:t>CIPCA.pdf</w:t>
        </w:r>
      </w:hyperlink>
      <w:r>
        <w:rPr/>
        <w:t>, 12 de mayo del 2012.</w:t>
      </w:r>
    </w:p>
    <w:p>
      <w:pPr>
        <w:pStyle w:val="BodyText"/>
        <w:spacing w:before="11"/>
      </w:pPr>
    </w:p>
    <w:p>
      <w:pPr>
        <w:pStyle w:val="BodyText"/>
        <w:spacing w:line="249" w:lineRule="auto"/>
        <w:ind w:left="753" w:right="9" w:hanging="624"/>
        <w:jc w:val="both"/>
      </w:pPr>
      <w:r>
        <w:rPr/>
        <w:t>Romero, J. (2009): “Gobernanza Territorial en España: Más sombras que luces”, Valencia, España, Instituto Interuniversitario de Desarrollo Local. Disponible en: </w:t>
      </w:r>
      <w:hyperlink r:id="rId97">
        <w:r>
          <w:rPr>
            <w:color w:val="0077CA"/>
            <w:u w:val="single" w:color="0077CA"/>
          </w:rPr>
          <w:t>http://www.unioviedo.es/cecodet/MDL08/docum/Gobernanza_territorial_en_</w:t>
        </w:r>
      </w:hyperlink>
      <w:r>
        <w:rPr>
          <w:color w:val="0077CA"/>
          <w:u w:val="single" w:color="0077CA"/>
        </w:rPr>
        <w:t> </w:t>
      </w:r>
      <w:hyperlink r:id="rId97">
        <w:r>
          <w:rPr>
            <w:color w:val="0077CA"/>
            <w:u w:val="single" w:color="0077CA"/>
          </w:rPr>
          <w:t>Espana.pdf</w:t>
        </w:r>
      </w:hyperlink>
      <w:r>
        <w:rPr/>
        <w:t>, 11 de enero del 2014.</w:t>
      </w:r>
    </w:p>
    <w:p>
      <w:pPr>
        <w:pStyle w:val="Heading1"/>
        <w:spacing w:line="417" w:lineRule="auto" w:before="71"/>
        <w:ind w:left="1470" w:right="940" w:hanging="240"/>
      </w:pPr>
      <w:r>
        <w:rPr>
          <w:b w:val="0"/>
        </w:rPr>
        <w:br w:type="column"/>
      </w:r>
      <w:r>
        <w:rPr/>
        <w:t>Sustentabilidad y manejo de recursos naturales: un referente en construcción desde lo local.</w:t>
      </w:r>
    </w:p>
    <w:p>
      <w:pPr>
        <w:pStyle w:val="BodyText"/>
        <w:spacing w:before="10"/>
        <w:rPr>
          <w:b/>
          <w:sz w:val="27"/>
        </w:rPr>
      </w:pPr>
    </w:p>
    <w:p>
      <w:pPr>
        <w:spacing w:line="312" w:lineRule="auto" w:before="0"/>
        <w:ind w:left="5452" w:right="128" w:firstLine="693"/>
        <w:jc w:val="right"/>
        <w:rPr>
          <w:sz w:val="16"/>
        </w:rPr>
      </w:pPr>
      <w:r>
        <w:rPr>
          <w:sz w:val="16"/>
        </w:rPr>
        <w:t>Elizabeth Díaz Cuenca,</w:t>
      </w:r>
      <w:r>
        <w:rPr>
          <w:w w:val="99"/>
          <w:sz w:val="16"/>
        </w:rPr>
        <w:t> </w:t>
      </w:r>
      <w:r>
        <w:rPr>
          <w:sz w:val="16"/>
        </w:rPr>
        <w:t>Alejandro R. Alvarado Granados,</w:t>
      </w:r>
    </w:p>
    <w:p>
      <w:pPr>
        <w:spacing w:line="312" w:lineRule="auto" w:before="2"/>
        <w:ind w:left="5926" w:right="128" w:firstLine="308"/>
        <w:jc w:val="right"/>
        <w:rPr>
          <w:sz w:val="16"/>
        </w:rPr>
      </w:pPr>
      <w:r>
        <w:rPr>
          <w:sz w:val="16"/>
        </w:rPr>
        <w:t>Carlos Pérez-Ramírez</w:t>
      </w:r>
      <w:r>
        <w:rPr>
          <w:w w:val="97"/>
          <w:sz w:val="16"/>
        </w:rPr>
        <w:t> </w:t>
      </w:r>
      <w:r>
        <w:rPr>
          <w:sz w:val="16"/>
        </w:rPr>
        <w:t>Emma González Carmona</w:t>
      </w:r>
    </w:p>
    <w:p>
      <w:pPr>
        <w:spacing w:line="312" w:lineRule="auto" w:before="2"/>
        <w:ind w:left="4565" w:right="128" w:firstLine="189"/>
        <w:jc w:val="right"/>
        <w:rPr>
          <w:sz w:val="16"/>
        </w:rPr>
      </w:pPr>
      <w:r>
        <w:rPr>
          <w:sz w:val="16"/>
        </w:rPr>
        <w:t>Facultad de Planeación Urbana y Regional.</w:t>
      </w:r>
      <w:r>
        <w:rPr>
          <w:w w:val="99"/>
          <w:sz w:val="16"/>
        </w:rPr>
        <w:t> </w:t>
      </w:r>
      <w:r>
        <w:rPr>
          <w:sz w:val="16"/>
        </w:rPr>
        <w:t>Universidad Autónoma del Estado de México.</w:t>
      </w:r>
    </w:p>
    <w:p>
      <w:pPr>
        <w:spacing w:before="2"/>
        <w:ind w:left="0" w:right="128" w:firstLine="0"/>
        <w:jc w:val="right"/>
        <w:rPr>
          <w:sz w:val="16"/>
        </w:rPr>
      </w:pPr>
      <w:hyperlink r:id="rId98">
        <w:r>
          <w:rPr>
            <w:w w:val="95"/>
            <w:sz w:val="16"/>
          </w:rPr>
          <w:t>ediazc@uaemex.mx</w:t>
        </w:r>
      </w:hyperlink>
    </w:p>
    <w:p>
      <w:pPr>
        <w:pStyle w:val="BodyText"/>
        <w:spacing w:before="2"/>
        <w:rPr>
          <w:sz w:val="19"/>
        </w:rPr>
      </w:pPr>
    </w:p>
    <w:p>
      <w:pPr>
        <w:pStyle w:val="Heading1"/>
        <w:ind w:right="-10"/>
      </w:pPr>
      <w:r>
        <w:rPr/>
        <w:t>Resumen</w:t>
      </w:r>
    </w:p>
    <w:p>
      <w:pPr>
        <w:pStyle w:val="BodyText"/>
        <w:spacing w:line="249" w:lineRule="auto" w:before="1"/>
        <w:ind w:left="130" w:right="127" w:firstLine="170"/>
        <w:jc w:val="both"/>
      </w:pPr>
      <w:r>
        <w:rPr/>
        <w:t>El estudio del manejo de los recursos naturales desde la óptica de la sustentabilidad ha sido examinado desde diversas perspectivas, las cuales responden a distintos principios, cada una de éstas tiene su valía en cuanto permiten conocer, explicar         y diseñar las mejores estrategias para el manejo sustentable, entonces la forma de abordar  el estudio de los recursos, definirá la calidad de los </w:t>
      </w:r>
      <w:r>
        <w:rPr>
          <w:spacing w:val="11"/>
        </w:rPr>
        <w:t> </w:t>
      </w:r>
      <w:r>
        <w:rPr/>
        <w:t>resultados.</w:t>
      </w:r>
    </w:p>
    <w:p>
      <w:pPr>
        <w:pStyle w:val="BodyText"/>
        <w:spacing w:before="11"/>
      </w:pPr>
    </w:p>
    <w:p>
      <w:pPr>
        <w:pStyle w:val="BodyText"/>
        <w:spacing w:line="249" w:lineRule="auto"/>
        <w:ind w:left="130" w:right="127" w:firstLine="170"/>
        <w:jc w:val="both"/>
      </w:pPr>
      <w:r>
        <w:rPr/>
        <w:t>Una forma adecuada para estudiar el manejo de los recursos naturales es la metodología que combina los enfoques teóricos del Desarrollo Local Sustentable, la Teoría de Sistemas y del Proceso de Planeación, la cual ha sido aplicada en cuatro casos de estudio, en este sentido, el objetivo de este documento es exponer las lecciones aprendidas en los distintos casos de estudio, con relación a la aplicación de los principios y bases metodológicas de dichos enfoques </w:t>
      </w:r>
      <w:r>
        <w:rPr>
          <w:spacing w:val="52"/>
        </w:rPr>
        <w:t> </w:t>
      </w:r>
      <w:r>
        <w:rPr/>
        <w:t>teóricos.</w:t>
      </w:r>
    </w:p>
    <w:p>
      <w:pPr>
        <w:pStyle w:val="BodyText"/>
        <w:spacing w:before="11"/>
      </w:pPr>
    </w:p>
    <w:p>
      <w:pPr>
        <w:pStyle w:val="BodyText"/>
        <w:spacing w:line="249" w:lineRule="auto"/>
        <w:ind w:left="130" w:right="127" w:firstLine="170"/>
        <w:jc w:val="both"/>
      </w:pPr>
      <w:r>
        <w:rPr/>
        <w:t>En</w:t>
      </w:r>
      <w:r>
        <w:rPr>
          <w:spacing w:val="-16"/>
        </w:rPr>
        <w:t> </w:t>
      </w:r>
      <w:r>
        <w:rPr/>
        <w:t>la</w:t>
      </w:r>
      <w:r>
        <w:rPr>
          <w:spacing w:val="-16"/>
        </w:rPr>
        <w:t> </w:t>
      </w:r>
      <w:r>
        <w:rPr/>
        <w:t>aplicación</w:t>
      </w:r>
      <w:r>
        <w:rPr>
          <w:spacing w:val="-16"/>
        </w:rPr>
        <w:t> </w:t>
      </w:r>
      <w:r>
        <w:rPr/>
        <w:t>de</w:t>
      </w:r>
      <w:r>
        <w:rPr>
          <w:spacing w:val="-16"/>
        </w:rPr>
        <w:t> </w:t>
      </w:r>
      <w:r>
        <w:rPr/>
        <w:t>la</w:t>
      </w:r>
      <w:r>
        <w:rPr>
          <w:spacing w:val="-16"/>
        </w:rPr>
        <w:t> </w:t>
      </w:r>
      <w:r>
        <w:rPr/>
        <w:t>metodología</w:t>
      </w:r>
      <w:r>
        <w:rPr>
          <w:spacing w:val="-16"/>
        </w:rPr>
        <w:t> </w:t>
      </w:r>
      <w:r>
        <w:rPr/>
        <w:t>destacan</w:t>
      </w:r>
      <w:r>
        <w:rPr>
          <w:spacing w:val="-16"/>
        </w:rPr>
        <w:t> </w:t>
      </w:r>
      <w:r>
        <w:rPr/>
        <w:t>experiencias</w:t>
      </w:r>
      <w:r>
        <w:rPr>
          <w:spacing w:val="-16"/>
        </w:rPr>
        <w:t> </w:t>
      </w:r>
      <w:r>
        <w:rPr/>
        <w:t>positivas</w:t>
      </w:r>
      <w:r>
        <w:rPr>
          <w:spacing w:val="-16"/>
        </w:rPr>
        <w:t> </w:t>
      </w:r>
      <w:r>
        <w:rPr/>
        <w:t>como</w:t>
      </w:r>
      <w:r>
        <w:rPr>
          <w:spacing w:val="-16"/>
        </w:rPr>
        <w:t> </w:t>
      </w:r>
      <w:r>
        <w:rPr/>
        <w:t>la</w:t>
      </w:r>
      <w:r>
        <w:rPr>
          <w:spacing w:val="-16"/>
        </w:rPr>
        <w:t> </w:t>
      </w:r>
      <w:r>
        <w:rPr/>
        <w:t>relación</w:t>
      </w:r>
      <w:r>
        <w:rPr>
          <w:spacing w:val="-16"/>
        </w:rPr>
        <w:t> </w:t>
      </w:r>
      <w:r>
        <w:rPr/>
        <w:t>de respeto y diálogo entre investigadores y agentes locales, pero también se aprendieron otras lecciones, como la dificultad en la formulación de la síntesis ante un diagnóstico complejo, la importancia de la interacción con los agentes locales para la obtención   de información, entre otras más, sin embargo, se determinó continuar en esta vía, haciendo caso de las lecciones</w:t>
      </w:r>
      <w:r>
        <w:rPr>
          <w:spacing w:val="38"/>
        </w:rPr>
        <w:t> </w:t>
      </w:r>
      <w:r>
        <w:rPr/>
        <w:t>aprendidas.</w:t>
      </w:r>
    </w:p>
    <w:p>
      <w:pPr>
        <w:pStyle w:val="BodyText"/>
        <w:spacing w:before="11"/>
      </w:pPr>
    </w:p>
    <w:p>
      <w:pPr>
        <w:spacing w:line="249" w:lineRule="auto" w:before="0"/>
        <w:ind w:left="357" w:right="-10" w:firstLine="0"/>
        <w:jc w:val="left"/>
        <w:rPr>
          <w:i/>
          <w:sz w:val="20"/>
        </w:rPr>
      </w:pPr>
      <w:r>
        <w:rPr>
          <w:b/>
          <w:sz w:val="20"/>
        </w:rPr>
        <w:t>Palabras clave: </w:t>
      </w:r>
      <w:r>
        <w:rPr>
          <w:i/>
          <w:sz w:val="20"/>
        </w:rPr>
        <w:t>sustentabilidad, recursos naturales, desarrollo local, investigación, </w:t>
      </w:r>
      <w:r>
        <w:rPr>
          <w:i/>
          <w:sz w:val="20"/>
        </w:rPr>
        <w:t>metodología.</w:t>
      </w:r>
    </w:p>
    <w:p>
      <w:pPr>
        <w:spacing w:after="0" w:line="249" w:lineRule="auto"/>
        <w:jc w:val="left"/>
        <w:rPr>
          <w:sz w:val="20"/>
        </w:rPr>
        <w:sectPr>
          <w:type w:val="continuous"/>
          <w:pgSz w:w="18830" w:h="12760" w:orient="landscape"/>
          <w:pgMar w:top="1420" w:bottom="280" w:left="720" w:right="720"/>
          <w:cols w:num="2" w:equalWidth="0">
            <w:col w:w="7852" w:space="1559"/>
            <w:col w:w="7979"/>
          </w:cols>
        </w:sectPr>
      </w:pPr>
    </w:p>
    <w:p>
      <w:pPr>
        <w:pStyle w:val="BodyText"/>
        <w:spacing w:before="8"/>
        <w:rPr>
          <w:i/>
        </w:rPr>
      </w:pPr>
    </w:p>
    <w:p>
      <w:pPr>
        <w:spacing w:after="0"/>
        <w:sectPr>
          <w:footerReference w:type="default" r:id="rId99"/>
          <w:pgSz w:w="18830" w:h="12760" w:orient="landscape"/>
          <w:pgMar w:footer="1036" w:header="522" w:top="820" w:bottom="1220" w:left="720" w:right="720"/>
        </w:sectPr>
      </w:pPr>
    </w:p>
    <w:p>
      <w:pPr>
        <w:pStyle w:val="Heading1"/>
        <w:spacing w:before="71"/>
        <w:ind w:left="309"/>
      </w:pPr>
      <w:r>
        <w:rPr/>
        <w:t>Abstract</w:t>
      </w:r>
    </w:p>
    <w:p>
      <w:pPr>
        <w:pStyle w:val="BodyText"/>
        <w:rPr>
          <w:b/>
          <w:sz w:val="21"/>
        </w:rPr>
      </w:pPr>
    </w:p>
    <w:p>
      <w:pPr>
        <w:pStyle w:val="BodyText"/>
        <w:spacing w:line="249" w:lineRule="auto"/>
        <w:ind w:left="139" w:right="1" w:firstLine="170"/>
        <w:jc w:val="both"/>
      </w:pPr>
      <w:r>
        <w:rPr/>
        <w:t>The</w:t>
      </w:r>
      <w:r>
        <w:rPr>
          <w:spacing w:val="-21"/>
        </w:rPr>
        <w:t> </w:t>
      </w:r>
      <w:r>
        <w:rPr/>
        <w:t>study</w:t>
      </w:r>
      <w:r>
        <w:rPr>
          <w:spacing w:val="-21"/>
        </w:rPr>
        <w:t> </w:t>
      </w:r>
      <w:r>
        <w:rPr/>
        <w:t>of</w:t>
      </w:r>
      <w:r>
        <w:rPr>
          <w:spacing w:val="-21"/>
        </w:rPr>
        <w:t> </w:t>
      </w:r>
      <w:r>
        <w:rPr/>
        <w:t>the</w:t>
      </w:r>
      <w:r>
        <w:rPr>
          <w:spacing w:val="-21"/>
        </w:rPr>
        <w:t> </w:t>
      </w:r>
      <w:r>
        <w:rPr/>
        <w:t>management</w:t>
      </w:r>
      <w:r>
        <w:rPr>
          <w:spacing w:val="-21"/>
        </w:rPr>
        <w:t> </w:t>
      </w:r>
      <w:r>
        <w:rPr/>
        <w:t>of</w:t>
      </w:r>
      <w:r>
        <w:rPr>
          <w:spacing w:val="-21"/>
        </w:rPr>
        <w:t> </w:t>
      </w:r>
      <w:r>
        <w:rPr/>
        <w:t>natural</w:t>
      </w:r>
      <w:r>
        <w:rPr>
          <w:spacing w:val="-21"/>
        </w:rPr>
        <w:t> </w:t>
      </w:r>
      <w:r>
        <w:rPr/>
        <w:t>resources</w:t>
      </w:r>
      <w:r>
        <w:rPr>
          <w:spacing w:val="-21"/>
        </w:rPr>
        <w:t> </w:t>
      </w:r>
      <w:r>
        <w:rPr/>
        <w:t>from</w:t>
      </w:r>
      <w:r>
        <w:rPr>
          <w:spacing w:val="-21"/>
        </w:rPr>
        <w:t> </w:t>
      </w:r>
      <w:r>
        <w:rPr/>
        <w:t>the</w:t>
      </w:r>
      <w:r>
        <w:rPr>
          <w:spacing w:val="-21"/>
        </w:rPr>
        <w:t> </w:t>
      </w:r>
      <w:r>
        <w:rPr/>
        <w:t>perspective</w:t>
      </w:r>
      <w:r>
        <w:rPr>
          <w:spacing w:val="-21"/>
        </w:rPr>
        <w:t> </w:t>
      </w:r>
      <w:r>
        <w:rPr/>
        <w:t>of</w:t>
      </w:r>
      <w:r>
        <w:rPr>
          <w:spacing w:val="-21"/>
        </w:rPr>
        <w:t> </w:t>
      </w:r>
      <w:r>
        <w:rPr/>
        <w:t>sustainability has been examined from various perspectives, which respond to different principles, each of which has its value as possible to know, explain and design the best strategies for the sustainable management then how to approach the study of resources, define the quality of the</w:t>
      </w:r>
      <w:r>
        <w:rPr>
          <w:spacing w:val="28"/>
        </w:rPr>
        <w:t> </w:t>
      </w:r>
      <w:r>
        <w:rPr/>
        <w:t>results.</w:t>
      </w:r>
    </w:p>
    <w:p>
      <w:pPr>
        <w:pStyle w:val="BodyText"/>
        <w:spacing w:before="11"/>
      </w:pPr>
    </w:p>
    <w:p>
      <w:pPr>
        <w:pStyle w:val="BodyText"/>
        <w:spacing w:line="249" w:lineRule="auto"/>
        <w:ind w:left="139" w:right="1" w:firstLine="170"/>
        <w:jc w:val="both"/>
      </w:pPr>
      <w:r>
        <w:rPr/>
        <w:t>An</w:t>
      </w:r>
      <w:r>
        <w:rPr>
          <w:spacing w:val="-5"/>
        </w:rPr>
        <w:t> </w:t>
      </w:r>
      <w:r>
        <w:rPr/>
        <w:t>appropriate</w:t>
      </w:r>
      <w:r>
        <w:rPr>
          <w:spacing w:val="-5"/>
        </w:rPr>
        <w:t> </w:t>
      </w:r>
      <w:r>
        <w:rPr/>
        <w:t>way</w:t>
      </w:r>
      <w:r>
        <w:rPr>
          <w:spacing w:val="-5"/>
        </w:rPr>
        <w:t> </w:t>
      </w:r>
      <w:r>
        <w:rPr/>
        <w:t>to</w:t>
      </w:r>
      <w:r>
        <w:rPr>
          <w:spacing w:val="-5"/>
        </w:rPr>
        <w:t> </w:t>
      </w:r>
      <w:r>
        <w:rPr/>
        <w:t>study</w:t>
      </w:r>
      <w:r>
        <w:rPr>
          <w:spacing w:val="-5"/>
        </w:rPr>
        <w:t> </w:t>
      </w:r>
      <w:r>
        <w:rPr/>
        <w:t>the</w:t>
      </w:r>
      <w:r>
        <w:rPr>
          <w:spacing w:val="-5"/>
        </w:rPr>
        <w:t> </w:t>
      </w:r>
      <w:r>
        <w:rPr/>
        <w:t>management</w:t>
      </w:r>
      <w:r>
        <w:rPr>
          <w:spacing w:val="-5"/>
        </w:rPr>
        <w:t> </w:t>
      </w:r>
      <w:r>
        <w:rPr/>
        <w:t>of</w:t>
      </w:r>
      <w:r>
        <w:rPr>
          <w:spacing w:val="-5"/>
        </w:rPr>
        <w:t> </w:t>
      </w:r>
      <w:r>
        <w:rPr/>
        <w:t>natural</w:t>
      </w:r>
      <w:r>
        <w:rPr>
          <w:spacing w:val="-5"/>
        </w:rPr>
        <w:t> </w:t>
      </w:r>
      <w:r>
        <w:rPr/>
        <w:t>resources</w:t>
      </w:r>
      <w:r>
        <w:rPr>
          <w:spacing w:val="-5"/>
        </w:rPr>
        <w:t> </w:t>
      </w:r>
      <w:r>
        <w:rPr/>
        <w:t>is</w:t>
      </w:r>
      <w:r>
        <w:rPr>
          <w:spacing w:val="-5"/>
        </w:rPr>
        <w:t> </w:t>
      </w:r>
      <w:r>
        <w:rPr/>
        <w:t>the</w:t>
      </w:r>
      <w:r>
        <w:rPr>
          <w:spacing w:val="-5"/>
        </w:rPr>
        <w:t> </w:t>
      </w:r>
      <w:r>
        <w:rPr/>
        <w:t>methodology that combines theoretical approaches on Sustainable Local Development, Systems Theory and Planning Process, which has been applied to four case studies in this regard, purpose of this paper is to present the lessons learned in the different case studies regarding the application of the principles and methodological basis of these theoretical</w:t>
      </w:r>
      <w:r>
        <w:rPr>
          <w:spacing w:val="28"/>
        </w:rPr>
        <w:t> </w:t>
      </w:r>
      <w:r>
        <w:rPr/>
        <w:t>approaches.</w:t>
      </w:r>
    </w:p>
    <w:p>
      <w:pPr>
        <w:pStyle w:val="BodyText"/>
        <w:spacing w:before="11"/>
      </w:pPr>
    </w:p>
    <w:p>
      <w:pPr>
        <w:pStyle w:val="BodyText"/>
        <w:spacing w:line="249" w:lineRule="auto"/>
        <w:ind w:left="139" w:firstLine="170"/>
        <w:jc w:val="both"/>
      </w:pPr>
      <w:r>
        <w:rPr/>
        <w:t>In the application of the methodology include positive experiences as the relationship of respect and dialogue between researchers and local actors, but also learned other lessons, such as the difficulty in formulating a complex synthesis before diagnosis,    the importance of interaction with local agents to obtain information, among others, however, was determined to continue on this path, ignoring the lessons </w:t>
      </w:r>
      <w:r>
        <w:rPr>
          <w:spacing w:val="22"/>
        </w:rPr>
        <w:t> </w:t>
      </w:r>
      <w:r>
        <w:rPr/>
        <w:t>learned</w:t>
      </w:r>
    </w:p>
    <w:p>
      <w:pPr>
        <w:pStyle w:val="BodyText"/>
        <w:spacing w:before="11"/>
      </w:pPr>
    </w:p>
    <w:p>
      <w:pPr>
        <w:pStyle w:val="BodyText"/>
        <w:spacing w:line="249" w:lineRule="auto"/>
        <w:ind w:left="139" w:firstLine="170"/>
        <w:jc w:val="both"/>
      </w:pPr>
      <w:r>
        <w:rPr>
          <w:b/>
        </w:rPr>
        <w:t>Keywords: </w:t>
      </w:r>
      <w:r>
        <w:rPr/>
        <w:t>sustainability, natural resources, local development, research methodology.</w:t>
      </w:r>
    </w:p>
    <w:p>
      <w:pPr>
        <w:pStyle w:val="BodyText"/>
      </w:pPr>
    </w:p>
    <w:p>
      <w:pPr>
        <w:pStyle w:val="BodyText"/>
        <w:spacing w:before="6"/>
        <w:rPr>
          <w:sz w:val="18"/>
        </w:rPr>
      </w:pPr>
    </w:p>
    <w:p>
      <w:pPr>
        <w:pStyle w:val="Heading1"/>
        <w:ind w:left="309"/>
      </w:pPr>
      <w:r>
        <w:rPr/>
        <w:t>Introducción</w:t>
      </w:r>
    </w:p>
    <w:p>
      <w:pPr>
        <w:pStyle w:val="BodyText"/>
        <w:rPr>
          <w:b/>
          <w:sz w:val="24"/>
        </w:rPr>
      </w:pPr>
    </w:p>
    <w:p>
      <w:pPr>
        <w:pStyle w:val="BodyText"/>
        <w:spacing w:line="249" w:lineRule="auto" w:before="205"/>
        <w:ind w:left="139" w:firstLine="170"/>
        <w:jc w:val="both"/>
      </w:pPr>
      <w:r>
        <w:rPr/>
        <w:t>El estudio del manejo de los recursos naturales bajo la óptica de la sustentabilidad  ha sido examinado desde diversas perspectivas que responden a</w:t>
      </w:r>
      <w:r>
        <w:rPr>
          <w:spacing w:val="23"/>
        </w:rPr>
        <w:t> </w:t>
      </w:r>
      <w:r>
        <w:rPr/>
        <w:t>distintos</w:t>
      </w:r>
      <w:r>
        <w:rPr>
          <w:spacing w:val="15"/>
        </w:rPr>
        <w:t> </w:t>
      </w:r>
      <w:r>
        <w:rPr/>
        <w:t>principios,</w:t>
      </w:r>
      <w:r>
        <w:rPr>
          <w:w w:val="102"/>
        </w:rPr>
        <w:t> </w:t>
      </w:r>
      <w:r>
        <w:rPr/>
        <w:t>cada una de éstas tiene su valía en cuanto permiten conocer, explicar y diseñar las mejores estrategias para el manejo sustentable. La forma de abordar el estudio de los recursos es de suma importancia pues de ello depende de la calidad de los</w:t>
      </w:r>
      <w:r>
        <w:rPr>
          <w:spacing w:val="-7"/>
        </w:rPr>
        <w:t> </w:t>
      </w:r>
      <w:r>
        <w:rPr/>
        <w:t>resultados. Una vía que se ha considerado adecuada para tratar la problemática del manejo de  los recursos naturales es metodología que combina los principios de la Teoría de Sistemas, del Desarrollo Local Sustentable y del Proceso de Planeación, debido a que permite entre otras razones apreciar el problema en sus diversas partes, involucrar la percepción de los actores que directamente experimentan los impactos</w:t>
      </w:r>
      <w:r>
        <w:rPr>
          <w:spacing w:val="34"/>
        </w:rPr>
        <w:t> </w:t>
      </w:r>
      <w:r>
        <w:rPr/>
        <w:t>negativos</w:t>
      </w:r>
      <w:r>
        <w:rPr>
          <w:spacing w:val="16"/>
        </w:rPr>
        <w:t> </w:t>
      </w:r>
      <w:r>
        <w:rPr/>
        <w:t>del</w:t>
      </w:r>
      <w:r>
        <w:rPr>
          <w:w w:val="101"/>
        </w:rPr>
        <w:t> </w:t>
      </w:r>
      <w:r>
        <w:rPr/>
        <w:t>manejo</w:t>
      </w:r>
      <w:r>
        <w:rPr>
          <w:spacing w:val="-3"/>
        </w:rPr>
        <w:t> </w:t>
      </w:r>
      <w:r>
        <w:rPr/>
        <w:t>de</w:t>
      </w:r>
      <w:r>
        <w:rPr>
          <w:spacing w:val="-3"/>
        </w:rPr>
        <w:t> </w:t>
      </w:r>
      <w:r>
        <w:rPr/>
        <w:t>los</w:t>
      </w:r>
      <w:r>
        <w:rPr>
          <w:spacing w:val="-3"/>
        </w:rPr>
        <w:t> </w:t>
      </w:r>
      <w:r>
        <w:rPr/>
        <w:t>recursos,</w:t>
      </w:r>
      <w:r>
        <w:rPr>
          <w:spacing w:val="-3"/>
        </w:rPr>
        <w:t> </w:t>
      </w:r>
      <w:r>
        <w:rPr/>
        <w:t>además</w:t>
      </w:r>
      <w:r>
        <w:rPr>
          <w:spacing w:val="-3"/>
        </w:rPr>
        <w:t> </w:t>
      </w:r>
      <w:r>
        <w:rPr/>
        <w:t>de</w:t>
      </w:r>
      <w:r>
        <w:rPr>
          <w:spacing w:val="-3"/>
        </w:rPr>
        <w:t> </w:t>
      </w:r>
      <w:r>
        <w:rPr/>
        <w:t>ser</w:t>
      </w:r>
      <w:r>
        <w:rPr>
          <w:spacing w:val="-3"/>
        </w:rPr>
        <w:t> </w:t>
      </w:r>
      <w:r>
        <w:rPr/>
        <w:t>usuarios</w:t>
      </w:r>
      <w:r>
        <w:rPr>
          <w:spacing w:val="-3"/>
        </w:rPr>
        <w:t> </w:t>
      </w:r>
      <w:r>
        <w:rPr/>
        <w:t>de</w:t>
      </w:r>
      <w:r>
        <w:rPr>
          <w:spacing w:val="-3"/>
        </w:rPr>
        <w:t> </w:t>
      </w:r>
      <w:r>
        <w:rPr/>
        <w:t>éstos,</w:t>
      </w:r>
      <w:r>
        <w:rPr>
          <w:spacing w:val="-3"/>
        </w:rPr>
        <w:t> </w:t>
      </w:r>
      <w:r>
        <w:rPr/>
        <w:t>conduce</w:t>
      </w:r>
      <w:r>
        <w:rPr>
          <w:spacing w:val="-3"/>
        </w:rPr>
        <w:t> </w:t>
      </w:r>
      <w:r>
        <w:rPr/>
        <w:t>a</w:t>
      </w:r>
      <w:r>
        <w:rPr>
          <w:spacing w:val="-3"/>
        </w:rPr>
        <w:t> </w:t>
      </w:r>
      <w:r>
        <w:rPr/>
        <w:t>la</w:t>
      </w:r>
      <w:r>
        <w:rPr>
          <w:spacing w:val="-3"/>
        </w:rPr>
        <w:t> </w:t>
      </w:r>
      <w:r>
        <w:rPr/>
        <w:t>formulación</w:t>
      </w:r>
      <w:r>
        <w:rPr>
          <w:spacing w:val="-3"/>
        </w:rPr>
        <w:t> </w:t>
      </w:r>
      <w:r>
        <w:rPr/>
        <w:t>de acciones específicas, lo que a su vez, propicia un conocimiento asertivo de los casos de estudio. En ese sentido, los integrantes del Cuerpo Académico (CA) “Desarrollo, Ambiente</w:t>
      </w:r>
      <w:r>
        <w:rPr>
          <w:spacing w:val="-6"/>
        </w:rPr>
        <w:t> </w:t>
      </w:r>
      <w:r>
        <w:rPr/>
        <w:t>y</w:t>
      </w:r>
      <w:r>
        <w:rPr>
          <w:spacing w:val="-6"/>
        </w:rPr>
        <w:t> </w:t>
      </w:r>
      <w:r>
        <w:rPr/>
        <w:t>Procesos</w:t>
      </w:r>
      <w:r>
        <w:rPr>
          <w:spacing w:val="-6"/>
        </w:rPr>
        <w:t> </w:t>
      </w:r>
      <w:r>
        <w:rPr/>
        <w:t>de</w:t>
      </w:r>
      <w:r>
        <w:rPr>
          <w:spacing w:val="-6"/>
        </w:rPr>
        <w:t> </w:t>
      </w:r>
      <w:r>
        <w:rPr/>
        <w:t>Configuración</w:t>
      </w:r>
      <w:r>
        <w:rPr>
          <w:spacing w:val="-6"/>
        </w:rPr>
        <w:t> </w:t>
      </w:r>
      <w:r>
        <w:rPr/>
        <w:t>Territorial”</w:t>
      </w:r>
      <w:r>
        <w:rPr>
          <w:spacing w:val="-6"/>
        </w:rPr>
        <w:t> </w:t>
      </w:r>
      <w:r>
        <w:rPr/>
        <w:t>de</w:t>
      </w:r>
      <w:r>
        <w:rPr>
          <w:spacing w:val="-6"/>
        </w:rPr>
        <w:t> </w:t>
      </w:r>
      <w:r>
        <w:rPr/>
        <w:t>la</w:t>
      </w:r>
      <w:r>
        <w:rPr>
          <w:spacing w:val="-6"/>
        </w:rPr>
        <w:t> </w:t>
      </w:r>
      <w:r>
        <w:rPr/>
        <w:t>Facultad</w:t>
      </w:r>
      <w:r>
        <w:rPr>
          <w:spacing w:val="-6"/>
        </w:rPr>
        <w:t> </w:t>
      </w:r>
      <w:r>
        <w:rPr/>
        <w:t>de</w:t>
      </w:r>
      <w:r>
        <w:rPr>
          <w:spacing w:val="-6"/>
        </w:rPr>
        <w:t> </w:t>
      </w:r>
      <w:r>
        <w:rPr/>
        <w:t>Planeación</w:t>
      </w:r>
      <w:r>
        <w:rPr>
          <w:spacing w:val="-6"/>
        </w:rPr>
        <w:t> </w:t>
      </w:r>
      <w:r>
        <w:rPr/>
        <w:t>Urbana</w:t>
      </w:r>
    </w:p>
    <w:p>
      <w:pPr>
        <w:pStyle w:val="BodyText"/>
        <w:spacing w:line="249" w:lineRule="auto" w:before="109"/>
        <w:ind w:left="139"/>
      </w:pPr>
      <w:r>
        <w:rPr/>
        <w:br w:type="column"/>
      </w:r>
      <w:r>
        <w:rPr/>
        <w:t>y Regional de la Universidad Autónoma del Estado de México, emprendieron algunos estudios de caso bajo dicha  metodología.</w:t>
      </w:r>
    </w:p>
    <w:p>
      <w:pPr>
        <w:pStyle w:val="BodyText"/>
        <w:spacing w:before="11"/>
      </w:pPr>
    </w:p>
    <w:p>
      <w:pPr>
        <w:pStyle w:val="BodyText"/>
        <w:spacing w:line="249" w:lineRule="auto"/>
        <w:ind w:left="139" w:right="128" w:firstLine="170"/>
        <w:jc w:val="both"/>
      </w:pPr>
      <w:r>
        <w:rPr/>
        <w:t>Con</w:t>
      </w:r>
      <w:r>
        <w:rPr>
          <w:spacing w:val="-15"/>
        </w:rPr>
        <w:t> </w:t>
      </w:r>
      <w:r>
        <w:rPr/>
        <w:t>la</w:t>
      </w:r>
      <w:r>
        <w:rPr>
          <w:spacing w:val="-15"/>
        </w:rPr>
        <w:t> </w:t>
      </w:r>
      <w:r>
        <w:rPr/>
        <w:t>experiencia,</w:t>
      </w:r>
      <w:r>
        <w:rPr>
          <w:spacing w:val="26"/>
        </w:rPr>
        <w:t> </w:t>
      </w:r>
      <w:r>
        <w:rPr/>
        <w:t>de</w:t>
      </w:r>
      <w:r>
        <w:rPr>
          <w:spacing w:val="-15"/>
        </w:rPr>
        <w:t> </w:t>
      </w:r>
      <w:r>
        <w:rPr/>
        <w:t>la</w:t>
      </w:r>
      <w:r>
        <w:rPr>
          <w:spacing w:val="-15"/>
        </w:rPr>
        <w:t> </w:t>
      </w:r>
      <w:r>
        <w:rPr/>
        <w:t>aplicación</w:t>
      </w:r>
      <w:r>
        <w:rPr>
          <w:spacing w:val="-15"/>
        </w:rPr>
        <w:t> </w:t>
      </w:r>
      <w:r>
        <w:rPr/>
        <w:t>de</w:t>
      </w:r>
      <w:r>
        <w:rPr>
          <w:spacing w:val="-15"/>
        </w:rPr>
        <w:t> </w:t>
      </w:r>
      <w:r>
        <w:rPr/>
        <w:t>la</w:t>
      </w:r>
      <w:r>
        <w:rPr>
          <w:spacing w:val="-15"/>
        </w:rPr>
        <w:t> </w:t>
      </w:r>
      <w:r>
        <w:rPr/>
        <w:t>mencionada</w:t>
      </w:r>
      <w:r>
        <w:rPr>
          <w:spacing w:val="-15"/>
        </w:rPr>
        <w:t> </w:t>
      </w:r>
      <w:r>
        <w:rPr/>
        <w:t>metodología</w:t>
      </w:r>
      <w:r>
        <w:rPr>
          <w:spacing w:val="-15"/>
        </w:rPr>
        <w:t> </w:t>
      </w:r>
      <w:r>
        <w:rPr/>
        <w:t>en</w:t>
      </w:r>
      <w:r>
        <w:rPr>
          <w:spacing w:val="-15"/>
        </w:rPr>
        <w:t> </w:t>
      </w:r>
      <w:r>
        <w:rPr/>
        <w:t>cuatro</w:t>
      </w:r>
      <w:r>
        <w:rPr>
          <w:spacing w:val="-15"/>
        </w:rPr>
        <w:t> </w:t>
      </w:r>
      <w:r>
        <w:rPr/>
        <w:t>casos</w:t>
      </w:r>
      <w:r>
        <w:rPr>
          <w:spacing w:val="-15"/>
        </w:rPr>
        <w:t> </w:t>
      </w:r>
      <w:r>
        <w:rPr/>
        <w:t>de estudio, y con el propósito de obtener una mejor comprensión, explicación y definición de soluciones sobre el manejo hacia la sustentabilidad cabe preguntarse ¿Cuál ha</w:t>
      </w:r>
      <w:r>
        <w:rPr>
          <w:spacing w:val="-30"/>
        </w:rPr>
        <w:t> </w:t>
      </w:r>
      <w:r>
        <w:rPr/>
        <w:t>sido la experiencia de los investigadores en la aplicación de dicha metodología? y ¿Cuáles han sido las lecciones de ésta ejecución? la respuesta a estas interrogantes servirá para redefinir la metodología  para estudios posteriores. Esta retrospectiva  reforzará  el camino de la investigación a seguir, el cual está en continua  </w:t>
      </w:r>
      <w:r>
        <w:rPr>
          <w:spacing w:val="8"/>
        </w:rPr>
        <w:t> </w:t>
      </w:r>
      <w:r>
        <w:rPr/>
        <w:t>construcción.</w:t>
      </w:r>
    </w:p>
    <w:p>
      <w:pPr>
        <w:pStyle w:val="BodyText"/>
        <w:spacing w:before="11"/>
      </w:pPr>
    </w:p>
    <w:p>
      <w:pPr>
        <w:pStyle w:val="BodyText"/>
        <w:spacing w:line="249" w:lineRule="auto"/>
        <w:ind w:left="139" w:right="129" w:firstLine="170"/>
        <w:jc w:val="both"/>
      </w:pPr>
      <w:r>
        <w:rPr/>
        <w:t>En este contexto, el objetivo de este documento es extraer las lecciones aprendidas en las distintas investigaciones del CA, con relación a la aplicación de los principios y bases metodológicas del estudio de la sustentabilidad de los recursos naturales desde lo local. Para ello, se determinó la estructura del trabajo en cuatro apartados: en la primera,</w:t>
      </w:r>
      <w:r>
        <w:rPr>
          <w:spacing w:val="-7"/>
        </w:rPr>
        <w:t> </w:t>
      </w:r>
      <w:r>
        <w:rPr/>
        <w:t>se</w:t>
      </w:r>
      <w:r>
        <w:rPr>
          <w:spacing w:val="-7"/>
        </w:rPr>
        <w:t> </w:t>
      </w:r>
      <w:r>
        <w:rPr/>
        <w:t>exponen</w:t>
      </w:r>
      <w:r>
        <w:rPr>
          <w:spacing w:val="-7"/>
        </w:rPr>
        <w:t> </w:t>
      </w:r>
      <w:r>
        <w:rPr/>
        <w:t>los</w:t>
      </w:r>
      <w:r>
        <w:rPr>
          <w:spacing w:val="-7"/>
        </w:rPr>
        <w:t> </w:t>
      </w:r>
      <w:r>
        <w:rPr/>
        <w:t>antecedentes</w:t>
      </w:r>
      <w:r>
        <w:rPr>
          <w:spacing w:val="-7"/>
        </w:rPr>
        <w:t> </w:t>
      </w:r>
      <w:r>
        <w:rPr/>
        <w:t>de</w:t>
      </w:r>
      <w:r>
        <w:rPr>
          <w:spacing w:val="-7"/>
        </w:rPr>
        <w:t> </w:t>
      </w:r>
      <w:r>
        <w:rPr/>
        <w:t>los</w:t>
      </w:r>
      <w:r>
        <w:rPr>
          <w:spacing w:val="-7"/>
        </w:rPr>
        <w:t> </w:t>
      </w:r>
      <w:r>
        <w:rPr/>
        <w:t>casos</w:t>
      </w:r>
      <w:r>
        <w:rPr>
          <w:spacing w:val="-7"/>
        </w:rPr>
        <w:t> </w:t>
      </w:r>
      <w:r>
        <w:rPr/>
        <w:t>de</w:t>
      </w:r>
      <w:r>
        <w:rPr>
          <w:spacing w:val="-6"/>
        </w:rPr>
        <w:t> </w:t>
      </w:r>
      <w:r>
        <w:rPr/>
        <w:t>estudio,</w:t>
      </w:r>
      <w:r>
        <w:rPr>
          <w:spacing w:val="-6"/>
        </w:rPr>
        <w:t> </w:t>
      </w:r>
      <w:r>
        <w:rPr/>
        <w:t>en</w:t>
      </w:r>
      <w:r>
        <w:rPr>
          <w:spacing w:val="-7"/>
        </w:rPr>
        <w:t> </w:t>
      </w:r>
      <w:r>
        <w:rPr/>
        <w:t>donde</w:t>
      </w:r>
      <w:r>
        <w:rPr>
          <w:spacing w:val="-7"/>
        </w:rPr>
        <w:t> </w:t>
      </w:r>
      <w:r>
        <w:rPr/>
        <w:t>se</w:t>
      </w:r>
      <w:r>
        <w:rPr>
          <w:spacing w:val="-7"/>
        </w:rPr>
        <w:t> </w:t>
      </w:r>
      <w:r>
        <w:rPr/>
        <w:t>realiza</w:t>
      </w:r>
      <w:r>
        <w:rPr>
          <w:spacing w:val="-7"/>
        </w:rPr>
        <w:t> </w:t>
      </w:r>
      <w:r>
        <w:rPr/>
        <w:t>una breve descripción del problema y el propósito que se deseaba llegar; en una segunda parte, la base teórica sobre cómo se concibe la sustentabilidad y el manejo de los recursos naturales para conducir a ésta; en tercer lugar, los criterios metodológicos, que sirvieron como principios para abordar los casos de estudio; y finalmente, las experiencias y lecciones aprendidas de esta </w:t>
      </w:r>
      <w:r>
        <w:rPr>
          <w:spacing w:val="4"/>
        </w:rPr>
        <w:t> </w:t>
      </w:r>
      <w:r>
        <w:rPr/>
        <w:t>confrontación.</w:t>
      </w:r>
    </w:p>
    <w:p>
      <w:pPr>
        <w:pStyle w:val="BodyText"/>
        <w:spacing w:before="8"/>
        <w:rPr>
          <w:sz w:val="17"/>
        </w:rPr>
      </w:pPr>
    </w:p>
    <w:p>
      <w:pPr>
        <w:pStyle w:val="Heading1"/>
        <w:ind w:left="309"/>
      </w:pPr>
      <w:r>
        <w:rPr/>
        <w:t>Antecedentes</w:t>
      </w:r>
    </w:p>
    <w:p>
      <w:pPr>
        <w:pStyle w:val="BodyText"/>
        <w:rPr>
          <w:b/>
          <w:sz w:val="21"/>
        </w:rPr>
      </w:pPr>
    </w:p>
    <w:p>
      <w:pPr>
        <w:pStyle w:val="BodyText"/>
        <w:spacing w:line="249" w:lineRule="auto"/>
        <w:ind w:left="139" w:right="128" w:firstLine="170"/>
        <w:jc w:val="both"/>
      </w:pPr>
      <w:r>
        <w:rPr/>
        <w:t>San Pedro Atlapulco y San Jerónimo Acazulco son dos comunidades vecinas del municipio de Ocoyoacac, Estado de México en donde se ubican los casos de estudio, estas se localizan entre dos zonas metropolitanas importantes en México; las de la Ciudad de México y la Ciudad de Toluca. En la primera comunidad de estudio, se llevaron a cabo dos investigaciones una sobre el tema de agua y otra, de residuos sólidos, además, se llevó a cabo un programa de educación ambiental, y en la segunda, en Acazulco, el tema de investigación fue sobre el impacto de la actividad turística en los recursos naturales, en adelante se exponen el contexto general de las comunidades, así como la problemática particular de cada uno de los  casos.</w:t>
      </w:r>
    </w:p>
    <w:p>
      <w:pPr>
        <w:pStyle w:val="BodyText"/>
        <w:spacing w:before="11"/>
      </w:pPr>
    </w:p>
    <w:p>
      <w:pPr>
        <w:pStyle w:val="BodyText"/>
        <w:spacing w:line="249" w:lineRule="auto"/>
        <w:ind w:left="139" w:right="128" w:firstLine="170"/>
        <w:jc w:val="both"/>
      </w:pPr>
      <w:r>
        <w:rPr/>
        <w:t>En cuanto a la localidad de San Pedro Atlapulco cuenta con una población de 4 288 habitantes (INEGI, 2010), se caracteriza por ubicarse en una zona de recarga acuífera con presencia de manantiales, los cuales forman parte de la microcuenca denominado El Muerto, Sus formaciones geológicas cubiertas de bosque, han conformado un área atractiva para la población turística, la cual llega a degustar alimentos rústicos, paseos a caballo, manejo de motos, entre otras actividades. Se estima que alrededor de 5   000 turistas llegan cada fin de semana a los parajes turísticos de esta localidad. La forma</w:t>
      </w:r>
      <w:r>
        <w:rPr>
          <w:spacing w:val="31"/>
        </w:rPr>
        <w:t> </w:t>
      </w:r>
      <w:r>
        <w:rPr/>
        <w:t>de</w:t>
      </w:r>
      <w:r>
        <w:rPr>
          <w:spacing w:val="31"/>
        </w:rPr>
        <w:t> </w:t>
      </w:r>
      <w:r>
        <w:rPr/>
        <w:t>manejo</w:t>
      </w:r>
      <w:r>
        <w:rPr>
          <w:spacing w:val="31"/>
        </w:rPr>
        <w:t> </w:t>
      </w:r>
      <w:r>
        <w:rPr/>
        <w:t>de</w:t>
      </w:r>
      <w:r>
        <w:rPr>
          <w:spacing w:val="31"/>
        </w:rPr>
        <w:t> </w:t>
      </w:r>
      <w:r>
        <w:rPr/>
        <w:t>agua</w:t>
      </w:r>
      <w:r>
        <w:rPr>
          <w:spacing w:val="31"/>
        </w:rPr>
        <w:t> </w:t>
      </w:r>
      <w:r>
        <w:rPr/>
        <w:t>en</w:t>
      </w:r>
      <w:r>
        <w:rPr>
          <w:spacing w:val="31"/>
        </w:rPr>
        <w:t> </w:t>
      </w:r>
      <w:r>
        <w:rPr/>
        <w:t>la</w:t>
      </w:r>
      <w:r>
        <w:rPr>
          <w:spacing w:val="31"/>
        </w:rPr>
        <w:t> </w:t>
      </w:r>
      <w:r>
        <w:rPr/>
        <w:t>comunidad</w:t>
      </w:r>
      <w:r>
        <w:rPr>
          <w:spacing w:val="31"/>
        </w:rPr>
        <w:t> </w:t>
      </w:r>
      <w:r>
        <w:rPr/>
        <w:t>y</w:t>
      </w:r>
      <w:r>
        <w:rPr>
          <w:spacing w:val="31"/>
        </w:rPr>
        <w:t> </w:t>
      </w:r>
      <w:r>
        <w:rPr/>
        <w:t>la</w:t>
      </w:r>
      <w:r>
        <w:rPr>
          <w:spacing w:val="31"/>
        </w:rPr>
        <w:t> </w:t>
      </w:r>
      <w:r>
        <w:rPr/>
        <w:t>afluencia</w:t>
      </w:r>
      <w:r>
        <w:rPr>
          <w:spacing w:val="31"/>
        </w:rPr>
        <w:t> </w:t>
      </w:r>
      <w:r>
        <w:rPr/>
        <w:t>significativa</w:t>
      </w:r>
      <w:r>
        <w:rPr>
          <w:spacing w:val="31"/>
        </w:rPr>
        <w:t> </w:t>
      </w:r>
      <w:r>
        <w:rPr/>
        <w:t>de</w:t>
      </w:r>
      <w:r>
        <w:rPr>
          <w:spacing w:val="31"/>
        </w:rPr>
        <w:t> </w:t>
      </w:r>
      <w:r>
        <w:rPr/>
        <w:t>población</w:t>
      </w:r>
    </w:p>
    <w:p>
      <w:pPr>
        <w:spacing w:after="0" w:line="249" w:lineRule="auto"/>
        <w:jc w:val="both"/>
        <w:sectPr>
          <w:type w:val="continuous"/>
          <w:pgSz w:w="18830" w:h="12760" w:orient="landscape"/>
          <w:pgMar w:top="1420" w:bottom="280" w:left="720" w:right="720"/>
          <w:cols w:num="2" w:equalWidth="0">
            <w:col w:w="7851" w:space="1549"/>
            <w:col w:w="7990"/>
          </w:cols>
        </w:sectPr>
      </w:pPr>
    </w:p>
    <w:p>
      <w:pPr>
        <w:pStyle w:val="BodyText"/>
        <w:spacing w:before="6"/>
        <w:rPr>
          <w:sz w:val="23"/>
        </w:rPr>
      </w:pPr>
    </w:p>
    <w:p>
      <w:pPr>
        <w:spacing w:after="0"/>
        <w:rPr>
          <w:sz w:val="23"/>
        </w:rPr>
        <w:sectPr>
          <w:footerReference w:type="default" r:id="rId100"/>
          <w:pgSz w:w="18830" w:h="12760" w:orient="landscape"/>
          <w:pgMar w:footer="1036" w:header="522" w:top="820" w:bottom="1220" w:left="720" w:right="720"/>
        </w:sectPr>
      </w:pPr>
    </w:p>
    <w:p>
      <w:pPr>
        <w:pStyle w:val="BodyText"/>
        <w:spacing w:line="249" w:lineRule="auto" w:before="76"/>
        <w:ind w:left="129" w:right="-16"/>
      </w:pPr>
      <w:r>
        <w:rPr/>
        <w:t>turística, contribuyen a incrementar la contaminación de los recursos naturales, debido a la descarga de aguas residuales a la misma microcuenca.</w:t>
      </w:r>
    </w:p>
    <w:p>
      <w:pPr>
        <w:pStyle w:val="BodyText"/>
        <w:spacing w:before="11"/>
      </w:pPr>
    </w:p>
    <w:p>
      <w:pPr>
        <w:pStyle w:val="BodyText"/>
        <w:spacing w:line="249" w:lineRule="auto"/>
        <w:ind w:left="129" w:firstLine="170"/>
        <w:jc w:val="both"/>
      </w:pPr>
      <w:r>
        <w:rPr/>
        <w:t>Además, se presenta un manejo inadecuado de los residuos sólidos desechados  por habitantes de la comunidad, por el turismo, así como, por personas ambulantes procedentes principalmente de la ciudad de México, éstas aprovechan las formaciones geológicas de lomeríos y barrancas para tirar desperdicios, sirviendo como recipientes de basura, esta situación ha posibilitado el escurrimiento de lixiviados hacia los ríos de la comunidad, y con ello la contaminación de sus recursos </w:t>
      </w:r>
      <w:r>
        <w:rPr>
          <w:spacing w:val="5"/>
        </w:rPr>
        <w:t> </w:t>
      </w:r>
      <w:r>
        <w:rPr/>
        <w:t>naturales.</w:t>
      </w:r>
    </w:p>
    <w:p>
      <w:pPr>
        <w:pStyle w:val="BodyText"/>
        <w:spacing w:before="11"/>
      </w:pPr>
    </w:p>
    <w:p>
      <w:pPr>
        <w:pStyle w:val="BodyText"/>
        <w:spacing w:line="249" w:lineRule="auto"/>
        <w:ind w:left="129" w:firstLine="170"/>
        <w:jc w:val="both"/>
      </w:pPr>
      <w:r>
        <w:rPr/>
        <w:t>San</w:t>
      </w:r>
      <w:r>
        <w:rPr>
          <w:spacing w:val="-17"/>
        </w:rPr>
        <w:t> </w:t>
      </w:r>
      <w:r>
        <w:rPr/>
        <w:t>Jerónimo</w:t>
      </w:r>
      <w:r>
        <w:rPr>
          <w:spacing w:val="-17"/>
        </w:rPr>
        <w:t> </w:t>
      </w:r>
      <w:r>
        <w:rPr/>
        <w:t>Acazulco,</w:t>
      </w:r>
      <w:r>
        <w:rPr>
          <w:spacing w:val="-17"/>
        </w:rPr>
        <w:t> </w:t>
      </w:r>
      <w:r>
        <w:rPr/>
        <w:t>también</w:t>
      </w:r>
      <w:r>
        <w:rPr>
          <w:spacing w:val="-17"/>
        </w:rPr>
        <w:t> </w:t>
      </w:r>
      <w:r>
        <w:rPr/>
        <w:t>es</w:t>
      </w:r>
      <w:r>
        <w:rPr>
          <w:spacing w:val="-17"/>
        </w:rPr>
        <w:t> </w:t>
      </w:r>
      <w:r>
        <w:rPr/>
        <w:t>una</w:t>
      </w:r>
      <w:r>
        <w:rPr>
          <w:spacing w:val="-17"/>
        </w:rPr>
        <w:t> </w:t>
      </w:r>
      <w:r>
        <w:rPr/>
        <w:t>zona</w:t>
      </w:r>
      <w:r>
        <w:rPr>
          <w:spacing w:val="-17"/>
        </w:rPr>
        <w:t> </w:t>
      </w:r>
      <w:r>
        <w:rPr/>
        <w:t>turística,</w:t>
      </w:r>
      <w:r>
        <w:rPr>
          <w:spacing w:val="-17"/>
        </w:rPr>
        <w:t> </w:t>
      </w:r>
      <w:r>
        <w:rPr/>
        <w:t>posee</w:t>
      </w:r>
      <w:r>
        <w:rPr>
          <w:spacing w:val="-17"/>
        </w:rPr>
        <w:t> </w:t>
      </w:r>
      <w:r>
        <w:rPr/>
        <w:t>una</w:t>
      </w:r>
      <w:r>
        <w:rPr>
          <w:spacing w:val="-17"/>
        </w:rPr>
        <w:t> </w:t>
      </w:r>
      <w:r>
        <w:rPr/>
        <w:t>cubierta</w:t>
      </w:r>
      <w:r>
        <w:rPr>
          <w:spacing w:val="-17"/>
        </w:rPr>
        <w:t> </w:t>
      </w:r>
      <w:r>
        <w:rPr/>
        <w:t>forestal</w:t>
      </w:r>
      <w:r>
        <w:rPr>
          <w:spacing w:val="-17"/>
        </w:rPr>
        <w:t> </w:t>
      </w:r>
      <w:r>
        <w:rPr/>
        <w:t>que caracteriza por las elevaciones, establece las condiciones necesarias para la</w:t>
      </w:r>
      <w:r>
        <w:rPr>
          <w:spacing w:val="-34"/>
        </w:rPr>
        <w:t> </w:t>
      </w:r>
      <w:r>
        <w:rPr/>
        <w:t>captación de agua, generación de oxígeno, captura de carbono, protección a la biodiversidad,     e incluso por la existencia de espacios naturales que permiten el desarrollo de actividades recreativas y el contacto con la naturaleza. Debido a estas características el lugar fue decretado como área natural protegida en 1936 con la categoría de parque nacional denominado Parque Nacional Miguel Hidalgo y Costilla, mejor conocido como “La Marquesa”, en la cual fluye gran cantidad de turismo cuyo comportamiento ha impactado en los recursos</w:t>
      </w:r>
      <w:r>
        <w:rPr>
          <w:spacing w:val="32"/>
        </w:rPr>
        <w:t> </w:t>
      </w:r>
      <w:r>
        <w:rPr/>
        <w:t>naturales.</w:t>
      </w:r>
    </w:p>
    <w:p>
      <w:pPr>
        <w:pStyle w:val="BodyText"/>
        <w:spacing w:before="11"/>
      </w:pPr>
    </w:p>
    <w:p>
      <w:pPr>
        <w:pStyle w:val="BodyText"/>
        <w:spacing w:line="249" w:lineRule="auto"/>
        <w:ind w:left="129" w:firstLine="170"/>
        <w:jc w:val="both"/>
      </w:pPr>
      <w:r>
        <w:rPr/>
        <w:t>Ante este panorama de viable contaminación de agua, suelo y aire es necesario un manejo sustentable de los recursos naturales, que evite poner en riesgo su flora,</w:t>
      </w:r>
      <w:r>
        <w:rPr>
          <w:spacing w:val="-10"/>
        </w:rPr>
        <w:t> </w:t>
      </w:r>
      <w:r>
        <w:rPr/>
        <w:t>fauna y la misma salud de la población, incluso su principal actividad fuente de ingresos y empleo, el turismo. En este sentido, se emprendieron cuatro casos de estudio, tres investigaciones y la aplicación de un programa de educación ambiental; el primero, se dirigió</w:t>
      </w:r>
      <w:r>
        <w:rPr>
          <w:spacing w:val="-10"/>
        </w:rPr>
        <w:t> </w:t>
      </w:r>
      <w:r>
        <w:rPr/>
        <w:t>a</w:t>
      </w:r>
      <w:r>
        <w:rPr>
          <w:spacing w:val="-10"/>
        </w:rPr>
        <w:t> </w:t>
      </w:r>
      <w:r>
        <w:rPr/>
        <w:t>examinar</w:t>
      </w:r>
      <w:r>
        <w:rPr>
          <w:spacing w:val="-10"/>
        </w:rPr>
        <w:t> </w:t>
      </w:r>
      <w:r>
        <w:rPr/>
        <w:t>el</w:t>
      </w:r>
      <w:r>
        <w:rPr>
          <w:spacing w:val="-10"/>
        </w:rPr>
        <w:t> </w:t>
      </w:r>
      <w:r>
        <w:rPr/>
        <w:t>uso</w:t>
      </w:r>
      <w:r>
        <w:rPr>
          <w:spacing w:val="-10"/>
        </w:rPr>
        <w:t> </w:t>
      </w:r>
      <w:r>
        <w:rPr/>
        <w:t>y</w:t>
      </w:r>
      <w:r>
        <w:rPr>
          <w:spacing w:val="-10"/>
        </w:rPr>
        <w:t> </w:t>
      </w:r>
      <w:r>
        <w:rPr/>
        <w:t>manejo</w:t>
      </w:r>
      <w:r>
        <w:rPr>
          <w:spacing w:val="-10"/>
        </w:rPr>
        <w:t> </w:t>
      </w:r>
      <w:r>
        <w:rPr/>
        <w:t>del</w:t>
      </w:r>
      <w:r>
        <w:rPr>
          <w:spacing w:val="-10"/>
        </w:rPr>
        <w:t> </w:t>
      </w:r>
      <w:r>
        <w:rPr/>
        <w:t>agua</w:t>
      </w:r>
      <w:r>
        <w:rPr>
          <w:spacing w:val="-10"/>
        </w:rPr>
        <w:t> </w:t>
      </w:r>
      <w:r>
        <w:rPr/>
        <w:t>en</w:t>
      </w:r>
      <w:r>
        <w:rPr>
          <w:spacing w:val="-10"/>
        </w:rPr>
        <w:t> </w:t>
      </w:r>
      <w:r>
        <w:rPr/>
        <w:t>la</w:t>
      </w:r>
      <w:r>
        <w:rPr>
          <w:spacing w:val="-10"/>
        </w:rPr>
        <w:t> </w:t>
      </w:r>
      <w:r>
        <w:rPr/>
        <w:t>microcuenca</w:t>
      </w:r>
      <w:r>
        <w:rPr>
          <w:spacing w:val="-10"/>
        </w:rPr>
        <w:t> </w:t>
      </w:r>
      <w:r>
        <w:rPr/>
        <w:t>El</w:t>
      </w:r>
      <w:r>
        <w:rPr>
          <w:spacing w:val="-10"/>
        </w:rPr>
        <w:t> </w:t>
      </w:r>
      <w:r>
        <w:rPr/>
        <w:t>Muerto,</w:t>
      </w:r>
      <w:r>
        <w:rPr>
          <w:spacing w:val="-10"/>
        </w:rPr>
        <w:t> </w:t>
      </w:r>
      <w:r>
        <w:rPr/>
        <w:t>el</w:t>
      </w:r>
      <w:r>
        <w:rPr>
          <w:spacing w:val="-10"/>
        </w:rPr>
        <w:t> </w:t>
      </w:r>
      <w:r>
        <w:rPr/>
        <w:t>segundo,</w:t>
      </w:r>
      <w:r>
        <w:rPr>
          <w:spacing w:val="37"/>
        </w:rPr>
        <w:t> </w:t>
      </w:r>
      <w:r>
        <w:rPr/>
        <w:t>el manejo de los residuos sólidos en comunidad de San Pedro Atlapulco, y el tercer</w:t>
      </w:r>
      <w:r>
        <w:rPr>
          <w:spacing w:val="-21"/>
        </w:rPr>
        <w:t> </w:t>
      </w:r>
      <w:r>
        <w:rPr/>
        <w:t>caso, la actividad turística y su impacto en los recursos naturales, y por último, el programa se dirigió a la educación como un medio para fortalecer el manejo sustentable de los recursos. Cada uno de estos casos se describirá de manera general en los apartados siguientes.</w:t>
      </w:r>
    </w:p>
    <w:p>
      <w:pPr>
        <w:pStyle w:val="BodyText"/>
        <w:spacing w:before="8"/>
        <w:rPr>
          <w:sz w:val="17"/>
        </w:rPr>
      </w:pPr>
    </w:p>
    <w:p>
      <w:pPr>
        <w:pStyle w:val="Heading1"/>
        <w:numPr>
          <w:ilvl w:val="0"/>
          <w:numId w:val="14"/>
        </w:numPr>
        <w:tabs>
          <w:tab w:pos="575" w:val="left" w:leader="none"/>
        </w:tabs>
        <w:spacing w:line="240" w:lineRule="auto" w:before="0" w:after="0"/>
        <w:ind w:left="119" w:right="0" w:firstLine="180"/>
        <w:jc w:val="left"/>
      </w:pPr>
      <w:r>
        <w:rPr/>
        <w:t>Saneamiento del agua residual en la microcuenca El</w:t>
      </w:r>
      <w:r>
        <w:rPr>
          <w:spacing w:val="26"/>
        </w:rPr>
        <w:t> </w:t>
      </w:r>
      <w:r>
        <w:rPr/>
        <w:t>Muerto</w:t>
      </w:r>
    </w:p>
    <w:p>
      <w:pPr>
        <w:pStyle w:val="BodyText"/>
        <w:rPr>
          <w:b/>
          <w:sz w:val="21"/>
        </w:rPr>
      </w:pPr>
    </w:p>
    <w:p>
      <w:pPr>
        <w:pStyle w:val="BodyText"/>
        <w:spacing w:line="249" w:lineRule="auto"/>
        <w:ind w:left="129" w:firstLine="170"/>
        <w:jc w:val="both"/>
      </w:pPr>
      <w:r>
        <w:rPr/>
        <w:t>Ante</w:t>
      </w:r>
      <w:r>
        <w:rPr>
          <w:spacing w:val="-14"/>
        </w:rPr>
        <w:t> </w:t>
      </w:r>
      <w:r>
        <w:rPr/>
        <w:t>la</w:t>
      </w:r>
      <w:r>
        <w:rPr>
          <w:spacing w:val="-14"/>
        </w:rPr>
        <w:t> </w:t>
      </w:r>
      <w:r>
        <w:rPr/>
        <w:t>necesidad</w:t>
      </w:r>
      <w:r>
        <w:rPr>
          <w:spacing w:val="-14"/>
        </w:rPr>
        <w:t> </w:t>
      </w:r>
      <w:r>
        <w:rPr/>
        <w:t>de</w:t>
      </w:r>
      <w:r>
        <w:rPr>
          <w:spacing w:val="-14"/>
        </w:rPr>
        <w:t> </w:t>
      </w:r>
      <w:r>
        <w:rPr/>
        <w:t>mantener</w:t>
      </w:r>
      <w:r>
        <w:rPr>
          <w:spacing w:val="-14"/>
        </w:rPr>
        <w:t> </w:t>
      </w:r>
      <w:r>
        <w:rPr/>
        <w:t>sin</w:t>
      </w:r>
      <w:r>
        <w:rPr>
          <w:spacing w:val="-14"/>
        </w:rPr>
        <w:t> </w:t>
      </w:r>
      <w:r>
        <w:rPr/>
        <w:t>maleza</w:t>
      </w:r>
      <w:r>
        <w:rPr>
          <w:spacing w:val="-14"/>
        </w:rPr>
        <w:t> </w:t>
      </w:r>
      <w:r>
        <w:rPr/>
        <w:t>acuática</w:t>
      </w:r>
      <w:r>
        <w:rPr>
          <w:spacing w:val="-14"/>
        </w:rPr>
        <w:t> </w:t>
      </w:r>
      <w:r>
        <w:rPr/>
        <w:t>a</w:t>
      </w:r>
      <w:r>
        <w:rPr>
          <w:spacing w:val="-14"/>
        </w:rPr>
        <w:t> </w:t>
      </w:r>
      <w:r>
        <w:rPr/>
        <w:t>la</w:t>
      </w:r>
      <w:r>
        <w:rPr>
          <w:spacing w:val="-14"/>
        </w:rPr>
        <w:t> </w:t>
      </w:r>
      <w:r>
        <w:rPr/>
        <w:t>laguna</w:t>
      </w:r>
      <w:r>
        <w:rPr>
          <w:spacing w:val="-14"/>
        </w:rPr>
        <w:t> </w:t>
      </w:r>
      <w:r>
        <w:rPr/>
        <w:t>de</w:t>
      </w:r>
      <w:r>
        <w:rPr>
          <w:spacing w:val="-14"/>
        </w:rPr>
        <w:t> </w:t>
      </w:r>
      <w:r>
        <w:rPr/>
        <w:t>San</w:t>
      </w:r>
      <w:r>
        <w:rPr>
          <w:spacing w:val="-14"/>
        </w:rPr>
        <w:t> </w:t>
      </w:r>
      <w:r>
        <w:rPr/>
        <w:t>Miguel</w:t>
      </w:r>
      <w:r>
        <w:rPr>
          <w:spacing w:val="-14"/>
        </w:rPr>
        <w:t> </w:t>
      </w:r>
      <w:r>
        <w:rPr/>
        <w:t>Almaya, una localidad vecina a San Pedro Atlalpulco, para el aprovechamiento del espejo de agua, por parte de los comuneros, que la poseen y quienes han extraído diversos  tipos de lirio, de manera mecánica, se determinó que esta maleza era producto de la contaminación del río El Muerto, el cual desembocaba en la dicha laguna. Dada esta situación, los integrantes decidieron indagar las razones de la contaminación local del arroyo “El Muerto”, que descarga su caudal en la mencionada </w:t>
      </w:r>
      <w:r>
        <w:rPr>
          <w:spacing w:val="4"/>
        </w:rPr>
        <w:t> </w:t>
      </w:r>
      <w:r>
        <w:rPr/>
        <w:t>laguna.</w:t>
      </w:r>
    </w:p>
    <w:p>
      <w:pPr>
        <w:pStyle w:val="BodyText"/>
        <w:spacing w:line="249" w:lineRule="auto" w:before="76"/>
        <w:ind w:left="129" w:right="127" w:firstLine="170"/>
        <w:jc w:val="both"/>
      </w:pPr>
      <w:r>
        <w:rPr/>
        <w:br w:type="column"/>
      </w:r>
      <w:r>
        <w:rPr/>
        <w:t>La</w:t>
      </w:r>
      <w:r>
        <w:rPr>
          <w:spacing w:val="-4"/>
        </w:rPr>
        <w:t> </w:t>
      </w:r>
      <w:r>
        <w:rPr/>
        <w:t>causa</w:t>
      </w:r>
      <w:r>
        <w:rPr>
          <w:spacing w:val="-4"/>
        </w:rPr>
        <w:t> </w:t>
      </w:r>
      <w:r>
        <w:rPr/>
        <w:t>genérica</w:t>
      </w:r>
      <w:r>
        <w:rPr>
          <w:spacing w:val="-4"/>
        </w:rPr>
        <w:t> </w:t>
      </w:r>
      <w:r>
        <w:rPr/>
        <w:t>del</w:t>
      </w:r>
      <w:r>
        <w:rPr>
          <w:spacing w:val="-4"/>
        </w:rPr>
        <w:t> </w:t>
      </w:r>
      <w:r>
        <w:rPr/>
        <w:t>agua</w:t>
      </w:r>
      <w:r>
        <w:rPr>
          <w:spacing w:val="-4"/>
        </w:rPr>
        <w:t> </w:t>
      </w:r>
      <w:r>
        <w:rPr/>
        <w:t>contaminada</w:t>
      </w:r>
      <w:r>
        <w:rPr>
          <w:spacing w:val="-4"/>
        </w:rPr>
        <w:t> </w:t>
      </w:r>
      <w:r>
        <w:rPr/>
        <w:t>es</w:t>
      </w:r>
      <w:r>
        <w:rPr>
          <w:spacing w:val="-4"/>
        </w:rPr>
        <w:t> </w:t>
      </w:r>
      <w:r>
        <w:rPr/>
        <w:t>evidente</w:t>
      </w:r>
      <w:r>
        <w:rPr>
          <w:spacing w:val="-4"/>
        </w:rPr>
        <w:t> </w:t>
      </w:r>
      <w:r>
        <w:rPr/>
        <w:t>que</w:t>
      </w:r>
      <w:r>
        <w:rPr>
          <w:spacing w:val="-4"/>
        </w:rPr>
        <w:t> </w:t>
      </w:r>
      <w:r>
        <w:rPr/>
        <w:t>se</w:t>
      </w:r>
      <w:r>
        <w:rPr>
          <w:spacing w:val="-4"/>
        </w:rPr>
        <w:t> </w:t>
      </w:r>
      <w:r>
        <w:rPr/>
        <w:t>encuentra</w:t>
      </w:r>
      <w:r>
        <w:rPr>
          <w:spacing w:val="-4"/>
        </w:rPr>
        <w:t> </w:t>
      </w:r>
      <w:r>
        <w:rPr/>
        <w:t>en</w:t>
      </w:r>
      <w:r>
        <w:rPr>
          <w:spacing w:val="-4"/>
        </w:rPr>
        <w:t> </w:t>
      </w:r>
      <w:r>
        <w:rPr/>
        <w:t>la</w:t>
      </w:r>
      <w:r>
        <w:rPr>
          <w:spacing w:val="-4"/>
        </w:rPr>
        <w:t> </w:t>
      </w:r>
      <w:r>
        <w:rPr/>
        <w:t>cuenca, por su propia denotación, sin embargo, las particularidades de cada caso se deben buscar a partir del “proceso de manejo del agua”, (Alvarado, 2012) que es el estudio del tránsito del líquido a través de la sociedad, desde que un grupo social la obtiene  de algún punto del ciclo del agua y la conduce (fase de apropiación), hasta que la sociedad la regresa al mismo, pero generalmente contaminada (fase de</w:t>
      </w:r>
      <w:r>
        <w:rPr>
          <w:spacing w:val="11"/>
        </w:rPr>
        <w:t> </w:t>
      </w:r>
      <w:r>
        <w:rPr/>
        <w:t>descarga).</w:t>
      </w:r>
    </w:p>
    <w:p>
      <w:pPr>
        <w:pStyle w:val="BodyText"/>
        <w:spacing w:before="11"/>
      </w:pPr>
    </w:p>
    <w:p>
      <w:pPr>
        <w:pStyle w:val="BodyText"/>
        <w:spacing w:line="249" w:lineRule="auto"/>
        <w:ind w:left="129" w:right="127" w:firstLine="170"/>
        <w:jc w:val="both"/>
      </w:pPr>
      <w:r>
        <w:rPr/>
        <w:t>En medio de dichas fases se encuentra otra, que es la esencial y objeto de este proceso, la del tratamiento de las aguas que se descargan, pues es indiscutible el necesario uso del vital líquido, la causa de la apropiación, para satisfacer cualquiera</w:t>
      </w:r>
      <w:r>
        <w:rPr>
          <w:spacing w:val="-32"/>
        </w:rPr>
        <w:t> </w:t>
      </w:r>
      <w:r>
        <w:rPr/>
        <w:t>de las</w:t>
      </w:r>
      <w:r>
        <w:rPr>
          <w:spacing w:val="-21"/>
        </w:rPr>
        <w:t> </w:t>
      </w:r>
      <w:r>
        <w:rPr/>
        <w:t>necesidades</w:t>
      </w:r>
      <w:r>
        <w:rPr>
          <w:spacing w:val="-21"/>
        </w:rPr>
        <w:t> </w:t>
      </w:r>
      <w:r>
        <w:rPr/>
        <w:t>hídricas</w:t>
      </w:r>
      <w:r>
        <w:rPr>
          <w:spacing w:val="-21"/>
        </w:rPr>
        <w:t> </w:t>
      </w:r>
      <w:r>
        <w:rPr/>
        <w:t>de</w:t>
      </w:r>
      <w:r>
        <w:rPr>
          <w:spacing w:val="-21"/>
        </w:rPr>
        <w:t> </w:t>
      </w:r>
      <w:r>
        <w:rPr/>
        <w:t>las</w:t>
      </w:r>
      <w:r>
        <w:rPr>
          <w:spacing w:val="-21"/>
        </w:rPr>
        <w:t> </w:t>
      </w:r>
      <w:r>
        <w:rPr/>
        <w:t>actividades</w:t>
      </w:r>
      <w:r>
        <w:rPr>
          <w:spacing w:val="-21"/>
        </w:rPr>
        <w:t> </w:t>
      </w:r>
      <w:r>
        <w:rPr/>
        <w:t>humanas,</w:t>
      </w:r>
      <w:r>
        <w:rPr>
          <w:spacing w:val="-21"/>
        </w:rPr>
        <w:t> </w:t>
      </w:r>
      <w:r>
        <w:rPr/>
        <w:t>en</w:t>
      </w:r>
      <w:r>
        <w:rPr>
          <w:spacing w:val="-21"/>
        </w:rPr>
        <w:t> </w:t>
      </w:r>
      <w:r>
        <w:rPr/>
        <w:t>esta</w:t>
      </w:r>
      <w:r>
        <w:rPr>
          <w:spacing w:val="-21"/>
        </w:rPr>
        <w:t> </w:t>
      </w:r>
      <w:r>
        <w:rPr/>
        <w:t>de</w:t>
      </w:r>
      <w:r>
        <w:rPr>
          <w:spacing w:val="-21"/>
        </w:rPr>
        <w:t> </w:t>
      </w:r>
      <w:r>
        <w:rPr/>
        <w:t>uso</w:t>
      </w:r>
      <w:r>
        <w:rPr>
          <w:spacing w:val="-21"/>
        </w:rPr>
        <w:t> </w:t>
      </w:r>
      <w:r>
        <w:rPr/>
        <w:t>y</w:t>
      </w:r>
      <w:r>
        <w:rPr>
          <w:spacing w:val="-21"/>
        </w:rPr>
        <w:t> </w:t>
      </w:r>
      <w:r>
        <w:rPr/>
        <w:t>aprovechamiento, que en la zona de estudio contempla: la agricultura, la ganadería, la acuacultura, los servicios turísticos y el uso público-urbano, así como la producción de champiñones, que</w:t>
      </w:r>
      <w:r>
        <w:rPr>
          <w:spacing w:val="-3"/>
        </w:rPr>
        <w:t> </w:t>
      </w:r>
      <w:r>
        <w:rPr/>
        <w:t>a</w:t>
      </w:r>
      <w:r>
        <w:rPr>
          <w:spacing w:val="-3"/>
        </w:rPr>
        <w:t> </w:t>
      </w:r>
      <w:r>
        <w:rPr/>
        <w:t>pesar</w:t>
      </w:r>
      <w:r>
        <w:rPr>
          <w:spacing w:val="-3"/>
        </w:rPr>
        <w:t> </w:t>
      </w:r>
      <w:r>
        <w:rPr/>
        <w:t>de</w:t>
      </w:r>
      <w:r>
        <w:rPr>
          <w:spacing w:val="-3"/>
        </w:rPr>
        <w:t> </w:t>
      </w:r>
      <w:r>
        <w:rPr/>
        <w:t>tener</w:t>
      </w:r>
      <w:r>
        <w:rPr>
          <w:spacing w:val="-3"/>
        </w:rPr>
        <w:t> </w:t>
      </w:r>
      <w:r>
        <w:rPr/>
        <w:t>una</w:t>
      </w:r>
      <w:r>
        <w:rPr>
          <w:spacing w:val="-3"/>
        </w:rPr>
        <w:t> </w:t>
      </w:r>
      <w:r>
        <w:rPr/>
        <w:t>amplia</w:t>
      </w:r>
      <w:r>
        <w:rPr>
          <w:spacing w:val="-3"/>
        </w:rPr>
        <w:t> </w:t>
      </w:r>
      <w:r>
        <w:rPr/>
        <w:t>producción,</w:t>
      </w:r>
      <w:r>
        <w:rPr>
          <w:spacing w:val="-3"/>
        </w:rPr>
        <w:t> </w:t>
      </w:r>
      <w:r>
        <w:rPr/>
        <w:t>su</w:t>
      </w:r>
      <w:r>
        <w:rPr>
          <w:spacing w:val="-3"/>
        </w:rPr>
        <w:t> </w:t>
      </w:r>
      <w:r>
        <w:rPr/>
        <w:t>consumo</w:t>
      </w:r>
      <w:r>
        <w:rPr>
          <w:spacing w:val="-3"/>
        </w:rPr>
        <w:t> </w:t>
      </w:r>
      <w:r>
        <w:rPr/>
        <w:t>de</w:t>
      </w:r>
      <w:r>
        <w:rPr>
          <w:spacing w:val="-3"/>
        </w:rPr>
        <w:t> </w:t>
      </w:r>
      <w:r>
        <w:rPr/>
        <w:t>agua</w:t>
      </w:r>
      <w:r>
        <w:rPr>
          <w:spacing w:val="-3"/>
        </w:rPr>
        <w:t> </w:t>
      </w:r>
      <w:r>
        <w:rPr/>
        <w:t>es</w:t>
      </w:r>
      <w:r>
        <w:rPr>
          <w:spacing w:val="-3"/>
        </w:rPr>
        <w:t> </w:t>
      </w:r>
      <w:r>
        <w:rPr/>
        <w:t>bajo,</w:t>
      </w:r>
      <w:r>
        <w:rPr>
          <w:spacing w:val="-3"/>
        </w:rPr>
        <w:t> </w:t>
      </w:r>
      <w:r>
        <w:rPr/>
        <w:t>y</w:t>
      </w:r>
      <w:r>
        <w:rPr>
          <w:spacing w:val="-3"/>
        </w:rPr>
        <w:t> </w:t>
      </w:r>
      <w:r>
        <w:rPr/>
        <w:t>al</w:t>
      </w:r>
      <w:r>
        <w:rPr>
          <w:spacing w:val="-3"/>
        </w:rPr>
        <w:t> </w:t>
      </w:r>
      <w:r>
        <w:rPr/>
        <w:t>parecer también su  contaminación, entre</w:t>
      </w:r>
      <w:r>
        <w:rPr>
          <w:spacing w:val="43"/>
        </w:rPr>
        <w:t> </w:t>
      </w:r>
      <w:r>
        <w:rPr/>
        <w:t>otras.</w:t>
      </w:r>
    </w:p>
    <w:p>
      <w:pPr>
        <w:pStyle w:val="BodyText"/>
        <w:spacing w:before="11"/>
      </w:pPr>
    </w:p>
    <w:p>
      <w:pPr>
        <w:pStyle w:val="BodyText"/>
        <w:spacing w:line="249" w:lineRule="auto"/>
        <w:ind w:left="129" w:right="127" w:firstLine="170"/>
        <w:jc w:val="both"/>
      </w:pPr>
      <w:r>
        <w:rPr/>
        <w:t>En tal sentido, el propósito de indagar sobre el problema de contaminación en la mencionada laguna fue conocer el proceso de manejo del agua en su cuenca de captación, para identificar puntos sensibles, detonadores de la contaminación y destacar la importancia de su atención, más aún definir la técnica apropiada para el tratamiento de las aguas residuales que contaminan las aguas del río El Muerto, y por ende a la laguna en cuestión.</w:t>
      </w:r>
    </w:p>
    <w:p>
      <w:pPr>
        <w:pStyle w:val="BodyText"/>
        <w:spacing w:before="11"/>
      </w:pPr>
    </w:p>
    <w:p>
      <w:pPr>
        <w:pStyle w:val="BodyText"/>
        <w:spacing w:line="249" w:lineRule="auto"/>
        <w:ind w:left="129" w:right="127" w:firstLine="170"/>
        <w:jc w:val="both"/>
      </w:pPr>
      <w:r>
        <w:rPr/>
        <w:t>Con</w:t>
      </w:r>
      <w:r>
        <w:rPr>
          <w:spacing w:val="-13"/>
        </w:rPr>
        <w:t> </w:t>
      </w:r>
      <w:r>
        <w:rPr/>
        <w:t>base</w:t>
      </w:r>
      <w:r>
        <w:rPr>
          <w:spacing w:val="-13"/>
        </w:rPr>
        <w:t> </w:t>
      </w:r>
      <w:r>
        <w:rPr/>
        <w:t>al</w:t>
      </w:r>
      <w:r>
        <w:rPr>
          <w:spacing w:val="-13"/>
        </w:rPr>
        <w:t> </w:t>
      </w:r>
      <w:r>
        <w:rPr/>
        <w:t>conocimiento</w:t>
      </w:r>
      <w:r>
        <w:rPr>
          <w:spacing w:val="-13"/>
        </w:rPr>
        <w:t> </w:t>
      </w:r>
      <w:r>
        <w:rPr/>
        <w:t>del</w:t>
      </w:r>
      <w:r>
        <w:rPr>
          <w:spacing w:val="-13"/>
        </w:rPr>
        <w:t> </w:t>
      </w:r>
      <w:r>
        <w:rPr/>
        <w:t>proceso</w:t>
      </w:r>
      <w:r>
        <w:rPr>
          <w:spacing w:val="-13"/>
        </w:rPr>
        <w:t> </w:t>
      </w:r>
      <w:r>
        <w:rPr/>
        <w:t>del</w:t>
      </w:r>
      <w:r>
        <w:rPr>
          <w:spacing w:val="-13"/>
        </w:rPr>
        <w:t> </w:t>
      </w:r>
      <w:r>
        <w:rPr/>
        <w:t>manejo</w:t>
      </w:r>
      <w:r>
        <w:rPr>
          <w:spacing w:val="-13"/>
        </w:rPr>
        <w:t> </w:t>
      </w:r>
      <w:r>
        <w:rPr/>
        <w:t>del</w:t>
      </w:r>
      <w:r>
        <w:rPr>
          <w:spacing w:val="-13"/>
        </w:rPr>
        <w:t> </w:t>
      </w:r>
      <w:r>
        <w:rPr/>
        <w:t>agua</w:t>
      </w:r>
      <w:r>
        <w:rPr>
          <w:spacing w:val="-13"/>
        </w:rPr>
        <w:t> </w:t>
      </w:r>
      <w:r>
        <w:rPr/>
        <w:t>de</w:t>
      </w:r>
      <w:r>
        <w:rPr>
          <w:spacing w:val="-13"/>
        </w:rPr>
        <w:t> </w:t>
      </w:r>
      <w:r>
        <w:rPr/>
        <w:t>la</w:t>
      </w:r>
      <w:r>
        <w:rPr>
          <w:spacing w:val="-13"/>
        </w:rPr>
        <w:t> </w:t>
      </w:r>
      <w:r>
        <w:rPr/>
        <w:t>comunidad,</w:t>
      </w:r>
      <w:r>
        <w:rPr>
          <w:spacing w:val="-13"/>
        </w:rPr>
        <w:t> </w:t>
      </w:r>
      <w:r>
        <w:rPr/>
        <w:t>así</w:t>
      </w:r>
      <w:r>
        <w:rPr>
          <w:spacing w:val="-13"/>
        </w:rPr>
        <w:t> </w:t>
      </w:r>
      <w:r>
        <w:rPr/>
        <w:t>como indagar sobre la situación de la localidad desde sus diferentes subsistemas, biofísico, económico, sociocultural y político-administrativo, se definió que la técnica adecuada era la denominada Sistema Unitario de Tratamiento y Reuso de Agua, Nutrientes y Energía (SUTRANE), un sistema en donde cada uno de los agentes de la localidad se ven involucrados y de manera importante el gobierno</w:t>
      </w:r>
      <w:r>
        <w:rPr>
          <w:spacing w:val="49"/>
        </w:rPr>
        <w:t> </w:t>
      </w:r>
      <w:r>
        <w:rPr/>
        <w:t>local.</w:t>
      </w:r>
    </w:p>
    <w:p>
      <w:pPr>
        <w:pStyle w:val="BodyText"/>
        <w:spacing w:before="8"/>
        <w:rPr>
          <w:sz w:val="17"/>
        </w:rPr>
      </w:pPr>
    </w:p>
    <w:p>
      <w:pPr>
        <w:pStyle w:val="Heading1"/>
        <w:numPr>
          <w:ilvl w:val="0"/>
          <w:numId w:val="14"/>
        </w:numPr>
        <w:tabs>
          <w:tab w:pos="584" w:val="left" w:leader="none"/>
        </w:tabs>
        <w:spacing w:line="240" w:lineRule="auto" w:before="0" w:after="0"/>
        <w:ind w:left="583" w:right="0" w:hanging="284"/>
        <w:jc w:val="left"/>
      </w:pPr>
      <w:r>
        <w:rPr/>
        <w:t>Manejo de residuos</w:t>
      </w:r>
      <w:r>
        <w:rPr>
          <w:spacing w:val="-7"/>
        </w:rPr>
        <w:t> </w:t>
      </w:r>
      <w:r>
        <w:rPr/>
        <w:t>sólidos</w:t>
      </w:r>
    </w:p>
    <w:p>
      <w:pPr>
        <w:pStyle w:val="BodyText"/>
        <w:rPr>
          <w:b/>
          <w:sz w:val="21"/>
        </w:rPr>
      </w:pPr>
    </w:p>
    <w:p>
      <w:pPr>
        <w:pStyle w:val="BodyText"/>
        <w:spacing w:line="249" w:lineRule="auto"/>
        <w:ind w:left="129" w:right="127" w:firstLine="170"/>
        <w:jc w:val="both"/>
      </w:pPr>
      <w:r>
        <w:rPr/>
        <w:t>Los residuos sólidos en San Pedro Atlapulco representan un problema por la generación, manejo e inadecuada disposición final que incide en la conservación de los recursos naturales. La problemática se expresa en el creciente consumismo de productos nocivos a la naturaleza, la mezcla de residuos orgánicos e inorgánicos provocan contaminación y altos costos ambientales y económicos, el sistema de recolección es ineficiente con relación al volumen que lo demanda, la existencia de tiraderos</w:t>
      </w:r>
      <w:r>
        <w:rPr>
          <w:spacing w:val="-11"/>
        </w:rPr>
        <w:t> </w:t>
      </w:r>
      <w:r>
        <w:rPr/>
        <w:t>de</w:t>
      </w:r>
      <w:r>
        <w:rPr>
          <w:spacing w:val="-11"/>
        </w:rPr>
        <w:t> </w:t>
      </w:r>
      <w:r>
        <w:rPr/>
        <w:t>basura</w:t>
      </w:r>
      <w:r>
        <w:rPr>
          <w:spacing w:val="-11"/>
        </w:rPr>
        <w:t> </w:t>
      </w:r>
      <w:r>
        <w:rPr/>
        <w:t>en</w:t>
      </w:r>
      <w:r>
        <w:rPr>
          <w:spacing w:val="-11"/>
        </w:rPr>
        <w:t> </w:t>
      </w:r>
      <w:r>
        <w:rPr/>
        <w:t>los</w:t>
      </w:r>
      <w:r>
        <w:rPr>
          <w:spacing w:val="-11"/>
        </w:rPr>
        <w:t> </w:t>
      </w:r>
      <w:r>
        <w:rPr/>
        <w:t>barrancas</w:t>
      </w:r>
      <w:r>
        <w:rPr>
          <w:spacing w:val="-11"/>
        </w:rPr>
        <w:t> </w:t>
      </w:r>
      <w:r>
        <w:rPr/>
        <w:t>o</w:t>
      </w:r>
      <w:r>
        <w:rPr>
          <w:spacing w:val="-11"/>
        </w:rPr>
        <w:t> </w:t>
      </w:r>
      <w:r>
        <w:rPr/>
        <w:t>la</w:t>
      </w:r>
      <w:r>
        <w:rPr>
          <w:spacing w:val="-11"/>
        </w:rPr>
        <w:t> </w:t>
      </w:r>
      <w:r>
        <w:rPr/>
        <w:t>quema</w:t>
      </w:r>
      <w:r>
        <w:rPr>
          <w:spacing w:val="-11"/>
        </w:rPr>
        <w:t> </w:t>
      </w:r>
      <w:r>
        <w:rPr/>
        <w:t>de</w:t>
      </w:r>
      <w:r>
        <w:rPr>
          <w:spacing w:val="-11"/>
        </w:rPr>
        <w:t> </w:t>
      </w:r>
      <w:r>
        <w:rPr/>
        <w:t>ellos,</w:t>
      </w:r>
      <w:r>
        <w:rPr>
          <w:spacing w:val="-11"/>
        </w:rPr>
        <w:t> </w:t>
      </w:r>
      <w:r>
        <w:rPr/>
        <w:t>los</w:t>
      </w:r>
      <w:r>
        <w:rPr>
          <w:spacing w:val="-11"/>
        </w:rPr>
        <w:t> </w:t>
      </w:r>
      <w:r>
        <w:rPr/>
        <w:t>residuos</w:t>
      </w:r>
      <w:r>
        <w:rPr>
          <w:spacing w:val="-11"/>
        </w:rPr>
        <w:t> </w:t>
      </w:r>
      <w:r>
        <w:rPr/>
        <w:t>que</w:t>
      </w:r>
      <w:r>
        <w:rPr>
          <w:spacing w:val="-11"/>
        </w:rPr>
        <w:t> </w:t>
      </w:r>
      <w:r>
        <w:rPr/>
        <w:t>se</w:t>
      </w:r>
      <w:r>
        <w:rPr>
          <w:spacing w:val="-11"/>
        </w:rPr>
        <w:t> </w:t>
      </w:r>
      <w:r>
        <w:rPr/>
        <w:t>recolectan se disponen  en un sitio    </w:t>
      </w:r>
      <w:r>
        <w:rPr>
          <w:spacing w:val="49"/>
        </w:rPr>
        <w:t> </w:t>
      </w:r>
      <w:r>
        <w:rPr/>
        <w:t>a “cielo abierto” sin ningún tratamiento, que al ser una zona</w:t>
      </w:r>
    </w:p>
    <w:p>
      <w:pPr>
        <w:spacing w:after="0" w:line="249" w:lineRule="auto"/>
        <w:jc w:val="both"/>
        <w:sectPr>
          <w:type w:val="continuous"/>
          <w:pgSz w:w="18830" w:h="12760" w:orient="landscape"/>
          <w:pgMar w:top="1420" w:bottom="280" w:left="720" w:right="720"/>
          <w:cols w:num="2" w:equalWidth="0">
            <w:col w:w="7841" w:space="1571"/>
            <w:col w:w="7978"/>
          </w:cols>
        </w:sectPr>
      </w:pPr>
    </w:p>
    <w:p>
      <w:pPr>
        <w:pStyle w:val="BodyText"/>
        <w:spacing w:before="6"/>
        <w:rPr>
          <w:sz w:val="23"/>
        </w:rPr>
      </w:pPr>
    </w:p>
    <w:p>
      <w:pPr>
        <w:spacing w:after="0"/>
        <w:rPr>
          <w:sz w:val="23"/>
        </w:rPr>
        <w:sectPr>
          <w:footerReference w:type="default" r:id="rId101"/>
          <w:pgSz w:w="18830" w:h="12760" w:orient="landscape"/>
          <w:pgMar w:footer="1036" w:header="522" w:top="820" w:bottom="1220" w:left="720" w:right="720"/>
        </w:sectPr>
      </w:pPr>
    </w:p>
    <w:p>
      <w:pPr>
        <w:pStyle w:val="BodyText"/>
        <w:spacing w:line="249" w:lineRule="auto" w:before="76"/>
        <w:ind w:left="120" w:right="1"/>
        <w:jc w:val="both"/>
      </w:pPr>
      <w:r>
        <w:rPr/>
        <w:t>de recarga acuífera, existe la posibilidad de dañar a los mantos, la proliferación de roedores, asimismo, la basura dispersa afecta a la visión escénica de la población y sobretodo del turismo, que busca áreas de  recreación.</w:t>
      </w:r>
    </w:p>
    <w:p>
      <w:pPr>
        <w:pStyle w:val="BodyText"/>
        <w:spacing w:before="11"/>
      </w:pPr>
    </w:p>
    <w:p>
      <w:pPr>
        <w:pStyle w:val="BodyText"/>
        <w:spacing w:line="249" w:lineRule="auto"/>
        <w:ind w:left="120" w:firstLine="244"/>
        <w:jc w:val="both"/>
      </w:pPr>
      <w:r>
        <w:rPr/>
        <w:t>Ante dicha problemática han surgido iniciativas desde la misma comunidad, tales como: la recolección de la basura por parte de transporte privado, para cubrir la demanda que el camión recolector del Ayuntamiento correspondiente no satisface. Otra, es la recolección de plástico pet en un almacén que las autoridades religiosas   de la comunidad han destinado para ello y con la venta de este material se dirige a satisfacer necesidades de ciertos grupos sociales. Asimismo, existen actores privados que han tomado como empleo la compra y venta de residuos sólidos principalmente,  el pet. Sin embargo, a pesar de dichas medidas, la problemática mencionada persiste. De ahí que se procedió a conocer el proceso del manejo de residuos, para empezar mediante muestras de basura que se tomaron en comunidad se estimó</w:t>
      </w:r>
      <w:r>
        <w:rPr>
          <w:spacing w:val="26"/>
        </w:rPr>
        <w:t> </w:t>
      </w:r>
      <w:r>
        <w:rPr/>
        <w:t>la</w:t>
      </w:r>
      <w:r>
        <w:rPr>
          <w:spacing w:val="12"/>
        </w:rPr>
        <w:t> </w:t>
      </w:r>
      <w:r>
        <w:rPr/>
        <w:t>producción</w:t>
      </w:r>
      <w:r>
        <w:rPr>
          <w:w w:val="103"/>
        </w:rPr>
        <w:t> </w:t>
      </w:r>
      <w:r>
        <w:rPr/>
        <w:t>de residuos por habitante, siendo de .8411 kg/día/hab, es decir, 3606.8 kg al día, además,</w:t>
      </w:r>
      <w:r>
        <w:rPr>
          <w:spacing w:val="-13"/>
        </w:rPr>
        <w:t> </w:t>
      </w:r>
      <w:r>
        <w:rPr/>
        <w:t>se</w:t>
      </w:r>
      <w:r>
        <w:rPr>
          <w:spacing w:val="-13"/>
        </w:rPr>
        <w:t> </w:t>
      </w:r>
      <w:r>
        <w:rPr/>
        <w:t>visualizó</w:t>
      </w:r>
      <w:r>
        <w:rPr>
          <w:spacing w:val="-13"/>
        </w:rPr>
        <w:t> </w:t>
      </w:r>
      <w:r>
        <w:rPr/>
        <w:t>un</w:t>
      </w:r>
      <w:r>
        <w:rPr>
          <w:spacing w:val="-13"/>
        </w:rPr>
        <w:t> </w:t>
      </w:r>
      <w:r>
        <w:rPr/>
        <w:t>uso</w:t>
      </w:r>
      <w:r>
        <w:rPr>
          <w:spacing w:val="-13"/>
        </w:rPr>
        <w:t> </w:t>
      </w:r>
      <w:r>
        <w:rPr/>
        <w:t>importante</w:t>
      </w:r>
      <w:r>
        <w:rPr>
          <w:spacing w:val="-13"/>
        </w:rPr>
        <w:t> </w:t>
      </w:r>
      <w:r>
        <w:rPr/>
        <w:t>de</w:t>
      </w:r>
      <w:r>
        <w:rPr>
          <w:spacing w:val="-13"/>
        </w:rPr>
        <w:t> </w:t>
      </w:r>
      <w:r>
        <w:rPr/>
        <w:t>unicel</w:t>
      </w:r>
      <w:r>
        <w:rPr>
          <w:spacing w:val="-13"/>
        </w:rPr>
        <w:t> </w:t>
      </w:r>
      <w:r>
        <w:rPr/>
        <w:t>y</w:t>
      </w:r>
      <w:r>
        <w:rPr>
          <w:spacing w:val="-13"/>
        </w:rPr>
        <w:t> </w:t>
      </w:r>
      <w:r>
        <w:rPr/>
        <w:t>bolsa</w:t>
      </w:r>
      <w:r>
        <w:rPr>
          <w:spacing w:val="-13"/>
        </w:rPr>
        <w:t> </w:t>
      </w:r>
      <w:r>
        <w:rPr/>
        <w:t>de</w:t>
      </w:r>
      <w:r>
        <w:rPr>
          <w:spacing w:val="-13"/>
        </w:rPr>
        <w:t> </w:t>
      </w:r>
      <w:r>
        <w:rPr/>
        <w:t>plástico,</w:t>
      </w:r>
      <w:r>
        <w:rPr>
          <w:spacing w:val="31"/>
        </w:rPr>
        <w:t> </w:t>
      </w:r>
      <w:r>
        <w:rPr/>
        <w:t>esto</w:t>
      </w:r>
      <w:r>
        <w:rPr>
          <w:spacing w:val="-13"/>
        </w:rPr>
        <w:t> </w:t>
      </w:r>
      <w:r>
        <w:rPr/>
        <w:t>ha</w:t>
      </w:r>
      <w:r>
        <w:rPr>
          <w:spacing w:val="-13"/>
        </w:rPr>
        <w:t> </w:t>
      </w:r>
      <w:r>
        <w:rPr/>
        <w:t>provocado un crecimiento de tamaño del basurero según la población de la comunidad, esta situación reforzaron la necesidad de elaborar un proyecto de manejo de residuos sólidos orgánicos e inorgánicos para la</w:t>
      </w:r>
      <w:r>
        <w:rPr>
          <w:spacing w:val="52"/>
        </w:rPr>
        <w:t> </w:t>
      </w:r>
      <w:r>
        <w:rPr/>
        <w:t>localidad.</w:t>
      </w:r>
    </w:p>
    <w:p>
      <w:pPr>
        <w:pStyle w:val="BodyText"/>
        <w:spacing w:before="11"/>
      </w:pPr>
    </w:p>
    <w:p>
      <w:pPr>
        <w:pStyle w:val="BodyText"/>
        <w:spacing w:line="249" w:lineRule="auto"/>
        <w:ind w:left="120" w:firstLine="170"/>
        <w:jc w:val="both"/>
      </w:pPr>
      <w:r>
        <w:rPr/>
        <w:t>Por consiguiente, se formuló un proyecto para el manejo integral de los residuos sólidos, con base a la metodología tradicional para la formulación y evaluación de proyectos de inversión (Miranda, 2005), en el cual se consideraron diferentes estudios, de mercado, técnico, financiero, organizacional y legal, además se consideró las fases del manejo integral de residuos sólidos que propone el gobierno del Estado de México. El propósito se centró en elaborar un documento que sirviera a las autoridades locales para dirigir el manejo de sus residuos, además de posibilitar la gestión de recursos financieros en las instancias de la administración del Estado correspondientes. El documento final  se  difundió  a  los  diversos  agentes  locales;  delegados,  Consejo de Mayores y a la Asamblea de Comuneros, siendo ésta la máxima autoridad de la localidad, de esa manera, además que el documento apoyara a las decisiones del gobierno local.</w:t>
      </w:r>
    </w:p>
    <w:p>
      <w:pPr>
        <w:pStyle w:val="BodyText"/>
        <w:spacing w:before="6"/>
      </w:pPr>
    </w:p>
    <w:p>
      <w:pPr>
        <w:pStyle w:val="Heading1"/>
        <w:numPr>
          <w:ilvl w:val="0"/>
          <w:numId w:val="14"/>
        </w:numPr>
        <w:tabs>
          <w:tab w:pos="653" w:val="left" w:leader="none"/>
        </w:tabs>
        <w:spacing w:line="240" w:lineRule="exact" w:before="0" w:after="0"/>
        <w:ind w:left="119" w:right="0" w:firstLine="171"/>
        <w:jc w:val="both"/>
      </w:pPr>
      <w:r>
        <w:rPr/>
        <w:t>Aprovechamiento recreativo de recursos naturales en San Jerónimo Acazulco, Parque Nacional Insurgente Miguel Hidalgo y Costilla.</w:t>
      </w:r>
    </w:p>
    <w:p>
      <w:pPr>
        <w:pStyle w:val="BodyText"/>
        <w:spacing w:before="2"/>
        <w:rPr>
          <w:b/>
          <w:sz w:val="21"/>
        </w:rPr>
      </w:pPr>
    </w:p>
    <w:p>
      <w:pPr>
        <w:pStyle w:val="BodyText"/>
        <w:spacing w:line="249" w:lineRule="auto" w:before="1"/>
        <w:ind w:left="120" w:right="1" w:firstLine="170"/>
        <w:jc w:val="both"/>
      </w:pPr>
      <w:r>
        <w:rPr/>
        <w:t>Desde la década de los cincuenta del siglo XX, algunos habitantes de la comunidad incursionaron en la prestación de servicios turísticos como el alquiler de caballos y la venta de alimentos y bebidas para las personas que transitaban entre las ciudades</w:t>
      </w:r>
      <w:r>
        <w:rPr>
          <w:w w:val="101"/>
        </w:rPr>
        <w:t> </w:t>
      </w:r>
      <w:r>
        <w:rPr/>
        <w:t>de México y Toluca. A partir de ello, el turismo se ha constituido como la principal</w:t>
      </w:r>
      <w:r>
        <w:rPr>
          <w:w w:val="102"/>
        </w:rPr>
        <w:t> </w:t>
      </w:r>
      <w:r>
        <w:rPr/>
        <w:t>actividad económica para la población local, que se lleva a cabo en los valles turísticos</w:t>
      </w:r>
    </w:p>
    <w:p>
      <w:pPr>
        <w:pStyle w:val="BodyText"/>
        <w:spacing w:line="249" w:lineRule="auto" w:before="76"/>
        <w:ind w:left="119" w:right="128"/>
        <w:jc w:val="both"/>
      </w:pPr>
      <w:r>
        <w:rPr/>
        <w:br w:type="column"/>
      </w:r>
      <w:r>
        <w:rPr/>
        <w:t>mediante la diversificación de actividades recreativas como el alquiler de motocicletas y</w:t>
      </w:r>
      <w:r>
        <w:rPr>
          <w:spacing w:val="-4"/>
        </w:rPr>
        <w:t> </w:t>
      </w:r>
      <w:r>
        <w:rPr/>
        <w:t>go</w:t>
      </w:r>
      <w:r>
        <w:rPr>
          <w:spacing w:val="-4"/>
        </w:rPr>
        <w:t> </w:t>
      </w:r>
      <w:r>
        <w:rPr/>
        <w:t>karts,</w:t>
      </w:r>
      <w:r>
        <w:rPr>
          <w:spacing w:val="-4"/>
        </w:rPr>
        <w:t> </w:t>
      </w:r>
      <w:r>
        <w:rPr/>
        <w:t>venta</w:t>
      </w:r>
      <w:r>
        <w:rPr>
          <w:spacing w:val="-4"/>
        </w:rPr>
        <w:t> </w:t>
      </w:r>
      <w:r>
        <w:rPr/>
        <w:t>de</w:t>
      </w:r>
      <w:r>
        <w:rPr>
          <w:spacing w:val="-4"/>
        </w:rPr>
        <w:t> </w:t>
      </w:r>
      <w:r>
        <w:rPr/>
        <w:t>artesanías,</w:t>
      </w:r>
      <w:r>
        <w:rPr>
          <w:spacing w:val="-4"/>
        </w:rPr>
        <w:t> </w:t>
      </w:r>
      <w:r>
        <w:rPr/>
        <w:t>tirolesa,</w:t>
      </w:r>
      <w:r>
        <w:rPr>
          <w:spacing w:val="-4"/>
        </w:rPr>
        <w:t> </w:t>
      </w:r>
      <w:r>
        <w:rPr/>
        <w:t>gotcha,</w:t>
      </w:r>
      <w:r>
        <w:rPr>
          <w:spacing w:val="-4"/>
        </w:rPr>
        <w:t> </w:t>
      </w:r>
      <w:r>
        <w:rPr/>
        <w:t>entre</w:t>
      </w:r>
      <w:r>
        <w:rPr>
          <w:spacing w:val="-4"/>
        </w:rPr>
        <w:t> </w:t>
      </w:r>
      <w:r>
        <w:rPr/>
        <w:t>otros,</w:t>
      </w:r>
      <w:r>
        <w:rPr>
          <w:spacing w:val="-4"/>
        </w:rPr>
        <w:t> </w:t>
      </w:r>
      <w:r>
        <w:rPr/>
        <w:t>permitiendo</w:t>
      </w:r>
      <w:r>
        <w:rPr>
          <w:spacing w:val="-4"/>
        </w:rPr>
        <w:t> </w:t>
      </w:r>
      <w:r>
        <w:rPr/>
        <w:t>la</w:t>
      </w:r>
      <w:r>
        <w:rPr>
          <w:spacing w:val="-4"/>
        </w:rPr>
        <w:t> </w:t>
      </w:r>
      <w:r>
        <w:rPr/>
        <w:t>inclusión</w:t>
      </w:r>
      <w:r>
        <w:rPr>
          <w:spacing w:val="-4"/>
        </w:rPr>
        <w:t> </w:t>
      </w:r>
      <w:r>
        <w:rPr/>
        <w:t>de gran parte de su población en la prestación de servicios </w:t>
      </w:r>
      <w:r>
        <w:rPr>
          <w:spacing w:val="15"/>
        </w:rPr>
        <w:t> </w:t>
      </w:r>
      <w:r>
        <w:rPr/>
        <w:t>turísticos.</w:t>
      </w:r>
    </w:p>
    <w:p>
      <w:pPr>
        <w:pStyle w:val="BodyText"/>
        <w:spacing w:before="11"/>
      </w:pPr>
    </w:p>
    <w:p>
      <w:pPr>
        <w:pStyle w:val="BodyText"/>
        <w:spacing w:line="249" w:lineRule="auto"/>
        <w:ind w:left="119" w:right="127" w:firstLine="170"/>
        <w:jc w:val="both"/>
      </w:pPr>
      <w:r>
        <w:rPr/>
        <w:t>Sin embargo, a pesar de la importancia económica que tiene el turismo que se lleva cabo dentro de un área nacional protegida y en los predios colindantes de propiedad ejidal y comunal, en la actualidad presenta diversas problemáticas socio territoriales que amenazan la conservación ambiental y la continuidad del bosque como escenario de actividades recreativas, por lo que se analizó la forma en cómo se manejan los recursos naturales desde lo local, con la finalidad de delinear estrategias que impulsen la construcción de un proceso de desarrollo que permita el mejoramiento de las condiciones de vida la localidad.</w:t>
      </w:r>
    </w:p>
    <w:p>
      <w:pPr>
        <w:pStyle w:val="BodyText"/>
        <w:spacing w:before="8"/>
        <w:rPr>
          <w:sz w:val="17"/>
        </w:rPr>
      </w:pPr>
    </w:p>
    <w:p>
      <w:pPr>
        <w:pStyle w:val="Heading1"/>
        <w:numPr>
          <w:ilvl w:val="0"/>
          <w:numId w:val="14"/>
        </w:numPr>
        <w:tabs>
          <w:tab w:pos="575" w:val="left" w:leader="none"/>
        </w:tabs>
        <w:spacing w:line="240" w:lineRule="auto" w:before="0" w:after="0"/>
        <w:ind w:left="574" w:right="0" w:hanging="285"/>
        <w:jc w:val="left"/>
      </w:pPr>
      <w:r>
        <w:rPr/>
        <w:t>Educación</w:t>
      </w:r>
      <w:r>
        <w:rPr>
          <w:spacing w:val="2"/>
        </w:rPr>
        <w:t> </w:t>
      </w:r>
      <w:r>
        <w:rPr/>
        <w:t>ambiental</w:t>
      </w:r>
    </w:p>
    <w:p>
      <w:pPr>
        <w:pStyle w:val="BodyText"/>
        <w:rPr>
          <w:b/>
          <w:sz w:val="21"/>
        </w:rPr>
      </w:pPr>
    </w:p>
    <w:p>
      <w:pPr>
        <w:pStyle w:val="BodyText"/>
        <w:spacing w:line="249" w:lineRule="auto"/>
        <w:ind w:left="119" w:right="127" w:firstLine="170"/>
        <w:jc w:val="both"/>
      </w:pPr>
      <w:r>
        <w:rPr/>
        <w:t>Dado las condiciones del manejo de los recursos naturales, se decidió llevar a cabo actividades de educación ambiental con la finalidad de instruir a la población para mejorar el manejo. Los ejercicios de aplicación del programa de educación ambiental incorporan la educación formal y no formal. La primera se refiere a la propuesta programática en dos escuelas de educación primaria; una estatal y la otra federal, de San</w:t>
      </w:r>
      <w:r>
        <w:rPr>
          <w:spacing w:val="-15"/>
        </w:rPr>
        <w:t> </w:t>
      </w:r>
      <w:r>
        <w:rPr/>
        <w:t>Pedro</w:t>
      </w:r>
      <w:r>
        <w:rPr>
          <w:spacing w:val="-15"/>
        </w:rPr>
        <w:t> </w:t>
      </w:r>
      <w:r>
        <w:rPr/>
        <w:t>Atlapulco.</w:t>
      </w:r>
      <w:r>
        <w:rPr>
          <w:spacing w:val="-15"/>
        </w:rPr>
        <w:t> </w:t>
      </w:r>
      <w:r>
        <w:rPr/>
        <w:t>La</w:t>
      </w:r>
      <w:r>
        <w:rPr>
          <w:spacing w:val="-15"/>
        </w:rPr>
        <w:t> </w:t>
      </w:r>
      <w:r>
        <w:rPr/>
        <w:t>propuesta</w:t>
      </w:r>
      <w:r>
        <w:rPr>
          <w:spacing w:val="-15"/>
        </w:rPr>
        <w:t> </w:t>
      </w:r>
      <w:r>
        <w:rPr/>
        <w:t>dirigida</w:t>
      </w:r>
      <w:r>
        <w:rPr>
          <w:spacing w:val="-15"/>
        </w:rPr>
        <w:t> </w:t>
      </w:r>
      <w:r>
        <w:rPr/>
        <w:t>a</w:t>
      </w:r>
      <w:r>
        <w:rPr>
          <w:spacing w:val="-15"/>
        </w:rPr>
        <w:t> </w:t>
      </w:r>
      <w:r>
        <w:rPr/>
        <w:t>la</w:t>
      </w:r>
      <w:r>
        <w:rPr>
          <w:spacing w:val="-15"/>
        </w:rPr>
        <w:t> </w:t>
      </w:r>
      <w:r>
        <w:rPr/>
        <w:t>secundaria</w:t>
      </w:r>
      <w:r>
        <w:rPr>
          <w:spacing w:val="-15"/>
        </w:rPr>
        <w:t> </w:t>
      </w:r>
      <w:r>
        <w:rPr/>
        <w:t>tuvo</w:t>
      </w:r>
      <w:r>
        <w:rPr>
          <w:spacing w:val="-15"/>
        </w:rPr>
        <w:t> </w:t>
      </w:r>
      <w:r>
        <w:rPr/>
        <w:t>como</w:t>
      </w:r>
      <w:r>
        <w:rPr>
          <w:spacing w:val="-15"/>
        </w:rPr>
        <w:t> </w:t>
      </w:r>
      <w:r>
        <w:rPr/>
        <w:t>objetivo,</w:t>
      </w:r>
      <w:r>
        <w:rPr>
          <w:spacing w:val="-15"/>
        </w:rPr>
        <w:t> </w:t>
      </w:r>
      <w:r>
        <w:rPr/>
        <w:t>contribuir al tratamiento de la problemática ambiental de manera transversal. Cabe destacar que en la operación de los programas de educación ambiental en esta educación formal, se realizaron estrategias pedagógicas, que incluyeron la presentación de una obra de teatro con el tratamiento del rechazo, reúso y reciclado de residuos sólidos, así como la presentación de cuentos con muñecos guiñol. La idea era aprender divirtiéndose o jugando. Al respecto, la comunidad de las escuelas donde se presentó la obra fueron muy</w:t>
      </w:r>
      <w:r>
        <w:rPr>
          <w:spacing w:val="29"/>
        </w:rPr>
        <w:t> </w:t>
      </w:r>
      <w:r>
        <w:rPr/>
        <w:t>participativas.</w:t>
      </w:r>
    </w:p>
    <w:p>
      <w:pPr>
        <w:pStyle w:val="BodyText"/>
        <w:spacing w:before="11"/>
      </w:pPr>
    </w:p>
    <w:p>
      <w:pPr>
        <w:pStyle w:val="BodyText"/>
        <w:spacing w:line="249" w:lineRule="auto"/>
        <w:ind w:left="119" w:right="127" w:firstLine="170"/>
        <w:jc w:val="both"/>
      </w:pPr>
      <w:r>
        <w:rPr/>
        <w:t>Por otro lado, con respecto a la educación no formal practicada con los comuneros, más bien consistió en diálogos permanentes, aunque el contenido programático propuesto no se llevó a cabo, sin embargo se realizaron talleres de reúso de residuos sólidos textiles dirigido a las mamás de los niños de primaria en donde se realizó el programa. El resultado tuvo un impacto con las mamás, las cuales solicitaron más talleres.</w:t>
      </w:r>
    </w:p>
    <w:p>
      <w:pPr>
        <w:spacing w:after="0" w:line="249" w:lineRule="auto"/>
        <w:jc w:val="both"/>
        <w:sectPr>
          <w:type w:val="continuous"/>
          <w:pgSz w:w="18830" w:h="12760" w:orient="landscape"/>
          <w:pgMar w:top="1420" w:bottom="280" w:left="720" w:right="720"/>
          <w:cols w:num="2" w:equalWidth="0">
            <w:col w:w="7832" w:space="1590"/>
            <w:col w:w="7968"/>
          </w:cols>
        </w:sectPr>
      </w:pPr>
    </w:p>
    <w:p>
      <w:pPr>
        <w:pStyle w:val="BodyText"/>
        <w:spacing w:before="8"/>
      </w:pPr>
    </w:p>
    <w:p>
      <w:pPr>
        <w:spacing w:after="0"/>
        <w:sectPr>
          <w:footerReference w:type="default" r:id="rId102"/>
          <w:pgSz w:w="18830" w:h="12760" w:orient="landscape"/>
          <w:pgMar w:footer="1036" w:header="522" w:top="820" w:bottom="1220" w:left="720" w:right="720"/>
        </w:sectPr>
      </w:pPr>
    </w:p>
    <w:p>
      <w:pPr>
        <w:pStyle w:val="Heading2"/>
        <w:spacing w:before="71"/>
        <w:ind w:right="-7"/>
        <w:rPr>
          <w:i/>
        </w:rPr>
      </w:pPr>
      <w:r>
        <w:rPr>
          <w:i/>
        </w:rPr>
        <w:t>Consideraciones teóricas</w:t>
      </w:r>
    </w:p>
    <w:p>
      <w:pPr>
        <w:spacing w:before="204"/>
        <w:ind w:left="300" w:right="-7" w:firstLine="0"/>
        <w:jc w:val="left"/>
        <w:rPr>
          <w:b/>
          <w:sz w:val="24"/>
        </w:rPr>
      </w:pPr>
      <w:r>
        <w:rPr>
          <w:b/>
          <w:sz w:val="24"/>
        </w:rPr>
        <w:t>Sustentabilidad</w:t>
      </w:r>
    </w:p>
    <w:p>
      <w:pPr>
        <w:pStyle w:val="BodyText"/>
        <w:rPr>
          <w:b/>
          <w:sz w:val="21"/>
        </w:rPr>
      </w:pPr>
    </w:p>
    <w:p>
      <w:pPr>
        <w:pStyle w:val="BodyText"/>
        <w:spacing w:line="249" w:lineRule="auto"/>
        <w:ind w:left="130" w:firstLine="170"/>
        <w:jc w:val="both"/>
      </w:pPr>
      <w:r>
        <w:rPr/>
        <w:t>La problemática ambiental se manifiesta a través de diversas situaciones como el uso</w:t>
      </w:r>
      <w:r>
        <w:rPr>
          <w:spacing w:val="21"/>
        </w:rPr>
        <w:t> </w:t>
      </w:r>
      <w:r>
        <w:rPr/>
        <w:t>intensivo</w:t>
      </w:r>
      <w:r>
        <w:rPr>
          <w:spacing w:val="21"/>
        </w:rPr>
        <w:t> </w:t>
      </w:r>
      <w:r>
        <w:rPr/>
        <w:t>de</w:t>
      </w:r>
      <w:r>
        <w:rPr>
          <w:spacing w:val="21"/>
        </w:rPr>
        <w:t> </w:t>
      </w:r>
      <w:r>
        <w:rPr/>
        <w:t>los</w:t>
      </w:r>
      <w:r>
        <w:rPr>
          <w:spacing w:val="21"/>
        </w:rPr>
        <w:t> </w:t>
      </w:r>
      <w:r>
        <w:rPr/>
        <w:t>recursos</w:t>
      </w:r>
      <w:r>
        <w:rPr>
          <w:spacing w:val="21"/>
        </w:rPr>
        <w:t> </w:t>
      </w:r>
      <w:r>
        <w:rPr/>
        <w:t>naturales,</w:t>
      </w:r>
      <w:r>
        <w:rPr>
          <w:spacing w:val="21"/>
        </w:rPr>
        <w:t> </w:t>
      </w:r>
      <w:r>
        <w:rPr/>
        <w:t>particularmente</w:t>
      </w:r>
      <w:r>
        <w:rPr>
          <w:spacing w:val="21"/>
        </w:rPr>
        <w:t> </w:t>
      </w:r>
      <w:r>
        <w:rPr/>
        <w:t>los</w:t>
      </w:r>
      <w:r>
        <w:rPr>
          <w:spacing w:val="21"/>
        </w:rPr>
        <w:t> </w:t>
      </w:r>
      <w:r>
        <w:rPr/>
        <w:t>combustibles</w:t>
      </w:r>
      <w:r>
        <w:rPr>
          <w:spacing w:val="21"/>
        </w:rPr>
        <w:t> </w:t>
      </w:r>
      <w:r>
        <w:rPr/>
        <w:t>fósiles</w:t>
      </w:r>
      <w:r>
        <w:rPr>
          <w:spacing w:val="21"/>
        </w:rPr>
        <w:t> </w:t>
      </w:r>
      <w:r>
        <w:rPr/>
        <w:t>y</w:t>
      </w:r>
      <w:r>
        <w:rPr>
          <w:spacing w:val="21"/>
        </w:rPr>
        <w:t> </w:t>
      </w:r>
      <w:r>
        <w:rPr/>
        <w:t>la</w:t>
      </w:r>
      <w:r>
        <w:rPr>
          <w:w w:val="97"/>
        </w:rPr>
        <w:t> </w:t>
      </w:r>
      <w:r>
        <w:rPr/>
        <w:t>pérdida de la diversidad biológica, así como el desarrollo industrial, agrario y urbano, cuya dinámica ha intensificado el cambio de suelo, deforestación, degradación y erosión de los suelos, contaminación de los cuerpos de agua, disposición inadecuada de residuos sólidos, la generación de contaminantes atmosféricos y la emisión de gases de efecto invernadero que contribuyen al cambio climático. Aunado a ello, se han profundizado diversas problemáticas socioeconómicas para millones de seres humanos, que subsisten en condiciones de pobreza, marginación, exclusión social, inseguridad, violencia, carentes de servicios básicos como educación, salud, agua potable,</w:t>
      </w:r>
      <w:r>
        <w:rPr>
          <w:spacing w:val="-16"/>
        </w:rPr>
        <w:t> </w:t>
      </w:r>
      <w:r>
        <w:rPr/>
        <w:t>drenaje,</w:t>
      </w:r>
      <w:r>
        <w:rPr>
          <w:spacing w:val="-16"/>
        </w:rPr>
        <w:t> </w:t>
      </w:r>
      <w:r>
        <w:rPr/>
        <w:t>energía</w:t>
      </w:r>
      <w:r>
        <w:rPr>
          <w:spacing w:val="-16"/>
        </w:rPr>
        <w:t> </w:t>
      </w:r>
      <w:r>
        <w:rPr/>
        <w:t>eléctrica</w:t>
      </w:r>
      <w:r>
        <w:rPr>
          <w:spacing w:val="-16"/>
        </w:rPr>
        <w:t> </w:t>
      </w:r>
      <w:r>
        <w:rPr/>
        <w:t>e</w:t>
      </w:r>
      <w:r>
        <w:rPr>
          <w:spacing w:val="-16"/>
        </w:rPr>
        <w:t> </w:t>
      </w:r>
      <w:r>
        <w:rPr/>
        <w:t>incluso</w:t>
      </w:r>
      <w:r>
        <w:rPr>
          <w:spacing w:val="-16"/>
        </w:rPr>
        <w:t> </w:t>
      </w:r>
      <w:r>
        <w:rPr/>
        <w:t>el</w:t>
      </w:r>
      <w:r>
        <w:rPr>
          <w:spacing w:val="-16"/>
        </w:rPr>
        <w:t> </w:t>
      </w:r>
      <w:r>
        <w:rPr/>
        <w:t>acceso</w:t>
      </w:r>
      <w:r>
        <w:rPr>
          <w:spacing w:val="-16"/>
        </w:rPr>
        <w:t> </w:t>
      </w:r>
      <w:r>
        <w:rPr/>
        <w:t>a</w:t>
      </w:r>
      <w:r>
        <w:rPr>
          <w:spacing w:val="-16"/>
        </w:rPr>
        <w:t> </w:t>
      </w:r>
      <w:r>
        <w:rPr/>
        <w:t>las</w:t>
      </w:r>
      <w:r>
        <w:rPr>
          <w:spacing w:val="-16"/>
        </w:rPr>
        <w:t> </w:t>
      </w:r>
      <w:r>
        <w:rPr/>
        <w:t>tecnologías</w:t>
      </w:r>
      <w:r>
        <w:rPr>
          <w:spacing w:val="-16"/>
        </w:rPr>
        <w:t> </w:t>
      </w:r>
      <w:r>
        <w:rPr/>
        <w:t>de</w:t>
      </w:r>
      <w:r>
        <w:rPr>
          <w:spacing w:val="-16"/>
        </w:rPr>
        <w:t> </w:t>
      </w:r>
      <w:r>
        <w:rPr/>
        <w:t>la</w:t>
      </w:r>
      <w:r>
        <w:rPr>
          <w:spacing w:val="-16"/>
        </w:rPr>
        <w:t> </w:t>
      </w:r>
      <w:r>
        <w:rPr/>
        <w:t>información y la</w:t>
      </w:r>
      <w:r>
        <w:rPr>
          <w:spacing w:val="25"/>
        </w:rPr>
        <w:t> </w:t>
      </w:r>
      <w:r>
        <w:rPr/>
        <w:t>comunicación.</w:t>
      </w:r>
    </w:p>
    <w:p>
      <w:pPr>
        <w:pStyle w:val="BodyText"/>
        <w:spacing w:before="11"/>
      </w:pPr>
    </w:p>
    <w:p>
      <w:pPr>
        <w:pStyle w:val="BodyText"/>
        <w:spacing w:line="249" w:lineRule="auto"/>
        <w:ind w:left="130" w:firstLine="170"/>
        <w:jc w:val="both"/>
      </w:pPr>
      <w:r>
        <w:rPr/>
        <w:t>Ante esta realidad, se aborda la sustentabilidad como una perspectiva para buscar solución a dicha problemática, a su vez hablar de éste concepto con lleva a considerar al desarrollo sustentable como el compromiso de mejorar la calidad de vida</w:t>
      </w:r>
      <w:r>
        <w:rPr>
          <w:spacing w:val="-37"/>
        </w:rPr>
        <w:t> </w:t>
      </w:r>
      <w:r>
        <w:rPr/>
        <w:t>respetando las</w:t>
      </w:r>
      <w:r>
        <w:rPr>
          <w:spacing w:val="-8"/>
        </w:rPr>
        <w:t> </w:t>
      </w:r>
      <w:r>
        <w:rPr/>
        <w:t>capacidades</w:t>
      </w:r>
      <w:r>
        <w:rPr>
          <w:spacing w:val="-8"/>
        </w:rPr>
        <w:t> </w:t>
      </w:r>
      <w:r>
        <w:rPr/>
        <w:t>de</w:t>
      </w:r>
      <w:r>
        <w:rPr>
          <w:spacing w:val="-8"/>
        </w:rPr>
        <w:t> </w:t>
      </w:r>
      <w:r>
        <w:rPr/>
        <w:t>carga</w:t>
      </w:r>
      <w:r>
        <w:rPr>
          <w:spacing w:val="-8"/>
        </w:rPr>
        <w:t> </w:t>
      </w:r>
      <w:r>
        <w:rPr/>
        <w:t>de</w:t>
      </w:r>
      <w:r>
        <w:rPr>
          <w:spacing w:val="-8"/>
        </w:rPr>
        <w:t> </w:t>
      </w:r>
      <w:r>
        <w:rPr/>
        <w:t>los</w:t>
      </w:r>
      <w:r>
        <w:rPr>
          <w:spacing w:val="-8"/>
        </w:rPr>
        <w:t> </w:t>
      </w:r>
      <w:r>
        <w:rPr/>
        <w:t>ecosistemas;</w:t>
      </w:r>
      <w:r>
        <w:rPr>
          <w:spacing w:val="-8"/>
        </w:rPr>
        <w:t> </w:t>
      </w:r>
      <w:r>
        <w:rPr/>
        <w:t>lo</w:t>
      </w:r>
      <w:r>
        <w:rPr>
          <w:spacing w:val="-8"/>
        </w:rPr>
        <w:t> </w:t>
      </w:r>
      <w:r>
        <w:rPr/>
        <w:t>cual</w:t>
      </w:r>
      <w:r>
        <w:rPr>
          <w:spacing w:val="-8"/>
        </w:rPr>
        <w:t> </w:t>
      </w:r>
      <w:r>
        <w:rPr/>
        <w:t>implica</w:t>
      </w:r>
      <w:r>
        <w:rPr>
          <w:spacing w:val="-8"/>
        </w:rPr>
        <w:t> </w:t>
      </w:r>
      <w:r>
        <w:rPr/>
        <w:t>aludir</w:t>
      </w:r>
      <w:r>
        <w:rPr>
          <w:spacing w:val="-8"/>
        </w:rPr>
        <w:t> </w:t>
      </w:r>
      <w:r>
        <w:rPr/>
        <w:t>a</w:t>
      </w:r>
      <w:r>
        <w:rPr>
          <w:spacing w:val="-8"/>
        </w:rPr>
        <w:t> </w:t>
      </w:r>
      <w:r>
        <w:rPr/>
        <w:t>la</w:t>
      </w:r>
      <w:r>
        <w:rPr>
          <w:spacing w:val="-8"/>
        </w:rPr>
        <w:t> </w:t>
      </w:r>
      <w:r>
        <w:rPr/>
        <w:t>huella</w:t>
      </w:r>
      <w:r>
        <w:rPr>
          <w:spacing w:val="-8"/>
        </w:rPr>
        <w:t> </w:t>
      </w:r>
      <w:r>
        <w:rPr/>
        <w:t>ecológica que imprimen las actividades que se realizan, es decir la dependencia de los sistemas sociales</w:t>
      </w:r>
      <w:r>
        <w:rPr>
          <w:spacing w:val="-15"/>
        </w:rPr>
        <w:t> </w:t>
      </w:r>
      <w:r>
        <w:rPr/>
        <w:t>sobre</w:t>
      </w:r>
      <w:r>
        <w:rPr>
          <w:spacing w:val="-15"/>
        </w:rPr>
        <w:t> </w:t>
      </w:r>
      <w:r>
        <w:rPr/>
        <w:t>la</w:t>
      </w:r>
      <w:r>
        <w:rPr>
          <w:spacing w:val="-15"/>
        </w:rPr>
        <w:t> </w:t>
      </w:r>
      <w:r>
        <w:rPr/>
        <w:t>forma</w:t>
      </w:r>
      <w:r>
        <w:rPr>
          <w:spacing w:val="-15"/>
        </w:rPr>
        <w:t> </w:t>
      </w:r>
      <w:r>
        <w:rPr/>
        <w:t>en</w:t>
      </w:r>
      <w:r>
        <w:rPr>
          <w:spacing w:val="-15"/>
        </w:rPr>
        <w:t> </w:t>
      </w:r>
      <w:r>
        <w:rPr/>
        <w:t>que</w:t>
      </w:r>
      <w:r>
        <w:rPr>
          <w:spacing w:val="-15"/>
        </w:rPr>
        <w:t> </w:t>
      </w:r>
      <w:r>
        <w:rPr/>
        <w:t>sus</w:t>
      </w:r>
      <w:r>
        <w:rPr>
          <w:spacing w:val="-15"/>
        </w:rPr>
        <w:t> </w:t>
      </w:r>
      <w:r>
        <w:rPr/>
        <w:t>componentes</w:t>
      </w:r>
      <w:r>
        <w:rPr>
          <w:spacing w:val="-15"/>
        </w:rPr>
        <w:t> </w:t>
      </w:r>
      <w:r>
        <w:rPr/>
        <w:t>se</w:t>
      </w:r>
      <w:r>
        <w:rPr>
          <w:spacing w:val="-15"/>
        </w:rPr>
        <w:t> </w:t>
      </w:r>
      <w:r>
        <w:rPr/>
        <w:t>abastecen</w:t>
      </w:r>
      <w:r>
        <w:rPr>
          <w:spacing w:val="-15"/>
        </w:rPr>
        <w:t> </w:t>
      </w:r>
      <w:r>
        <w:rPr/>
        <w:t>de</w:t>
      </w:r>
      <w:r>
        <w:rPr>
          <w:spacing w:val="-15"/>
        </w:rPr>
        <w:t> </w:t>
      </w:r>
      <w:r>
        <w:rPr/>
        <w:t>los</w:t>
      </w:r>
      <w:r>
        <w:rPr>
          <w:spacing w:val="-15"/>
        </w:rPr>
        <w:t> </w:t>
      </w:r>
      <w:r>
        <w:rPr/>
        <w:t>recursos</w:t>
      </w:r>
      <w:r>
        <w:rPr>
          <w:spacing w:val="-15"/>
        </w:rPr>
        <w:t> </w:t>
      </w:r>
      <w:r>
        <w:rPr/>
        <w:t>naturales y se desprenden de los residuos, así como de su capacidad de mantener su existencia sin menoscabo de la calidad de la misma (Alguacil,</w:t>
      </w:r>
      <w:r>
        <w:rPr>
          <w:spacing w:val="9"/>
        </w:rPr>
        <w:t> </w:t>
      </w:r>
      <w:r>
        <w:rPr/>
        <w:t>1998).</w:t>
      </w:r>
    </w:p>
    <w:p>
      <w:pPr>
        <w:pStyle w:val="BodyText"/>
        <w:spacing w:before="11"/>
      </w:pPr>
    </w:p>
    <w:p>
      <w:pPr>
        <w:pStyle w:val="BodyText"/>
        <w:spacing w:line="249" w:lineRule="auto"/>
        <w:ind w:left="130" w:firstLine="170"/>
        <w:jc w:val="both"/>
      </w:pPr>
      <w:r>
        <w:rPr/>
        <w:t>Si bien es claro que el término desarrollo sustentable, es empleado desde diversos enfoques, e incluso puede ser asumido como parte de los mecanismos del capitalismo benévolo, que legitima la continuidad del modelo económico imperante a partir de       la inclusión de aspectos ambientales en su dinámica de ajuste (Gudynas, 2010), es preciso retomar su planteamiento inicial como modelo alternativo, que presupone una nueva forma de desarrollo, no sólo en términos económicos sino también para lograr  el equilibrio   ambiental, reconociendo que el desarrollo y la conservación ambiental   no son objetivos contradictorios ni excluyentes, sino que comprende las dimensiones económica, social, cultural y  física para construir una visión integral de las realidades  y expectativas</w:t>
      </w:r>
      <w:r>
        <w:rPr>
          <w:spacing w:val="21"/>
        </w:rPr>
        <w:t> </w:t>
      </w:r>
      <w:r>
        <w:rPr/>
        <w:t>actuales.</w:t>
      </w:r>
    </w:p>
    <w:p>
      <w:pPr>
        <w:pStyle w:val="BodyText"/>
        <w:spacing w:before="11"/>
      </w:pPr>
    </w:p>
    <w:p>
      <w:pPr>
        <w:pStyle w:val="BodyText"/>
        <w:spacing w:line="249" w:lineRule="auto"/>
        <w:ind w:left="130" w:firstLine="170"/>
        <w:jc w:val="both"/>
      </w:pPr>
      <w:r>
        <w:rPr/>
        <w:t>Además, aunque existe un amplio consenso sobre los propósitos del desarrollo sustentable, enfrenta claras limitaciones para su afirmación global, debido a los complejos</w:t>
      </w:r>
      <w:r>
        <w:rPr>
          <w:spacing w:val="-7"/>
        </w:rPr>
        <w:t> </w:t>
      </w:r>
      <w:r>
        <w:rPr/>
        <w:t>desafíos</w:t>
      </w:r>
      <w:r>
        <w:rPr>
          <w:spacing w:val="-7"/>
        </w:rPr>
        <w:t> </w:t>
      </w:r>
      <w:r>
        <w:rPr/>
        <w:t>ambientales</w:t>
      </w:r>
      <w:r>
        <w:rPr>
          <w:spacing w:val="-7"/>
        </w:rPr>
        <w:t> </w:t>
      </w:r>
      <w:r>
        <w:rPr/>
        <w:t>actuales</w:t>
      </w:r>
      <w:r>
        <w:rPr>
          <w:spacing w:val="-7"/>
        </w:rPr>
        <w:t> </w:t>
      </w:r>
      <w:r>
        <w:rPr/>
        <w:t>y</w:t>
      </w:r>
      <w:r>
        <w:rPr>
          <w:spacing w:val="-7"/>
        </w:rPr>
        <w:t> </w:t>
      </w:r>
      <w:r>
        <w:rPr/>
        <w:t>la</w:t>
      </w:r>
      <w:r>
        <w:rPr>
          <w:spacing w:val="-7"/>
        </w:rPr>
        <w:t> </w:t>
      </w:r>
      <w:r>
        <w:rPr/>
        <w:t>disímil</w:t>
      </w:r>
      <w:r>
        <w:rPr>
          <w:spacing w:val="-7"/>
        </w:rPr>
        <w:t> </w:t>
      </w:r>
      <w:r>
        <w:rPr/>
        <w:t>realidad</w:t>
      </w:r>
      <w:r>
        <w:rPr>
          <w:spacing w:val="-7"/>
        </w:rPr>
        <w:t> </w:t>
      </w:r>
      <w:r>
        <w:rPr/>
        <w:t>social</w:t>
      </w:r>
      <w:r>
        <w:rPr>
          <w:spacing w:val="-7"/>
        </w:rPr>
        <w:t> </w:t>
      </w:r>
      <w:r>
        <w:rPr/>
        <w:t>en</w:t>
      </w:r>
      <w:r>
        <w:rPr>
          <w:spacing w:val="-7"/>
        </w:rPr>
        <w:t> </w:t>
      </w:r>
      <w:r>
        <w:rPr/>
        <w:t>el</w:t>
      </w:r>
      <w:r>
        <w:rPr>
          <w:spacing w:val="-7"/>
        </w:rPr>
        <w:t> </w:t>
      </w:r>
      <w:r>
        <w:rPr/>
        <w:t>mundo.</w:t>
      </w:r>
      <w:r>
        <w:rPr>
          <w:spacing w:val="-7"/>
        </w:rPr>
        <w:t> </w:t>
      </w:r>
      <w:r>
        <w:rPr/>
        <w:t>Así,</w:t>
      </w:r>
      <w:r>
        <w:rPr>
          <w:spacing w:val="-7"/>
        </w:rPr>
        <w:t> </w:t>
      </w:r>
      <w:r>
        <w:rPr/>
        <w:t>la sustentabilidad adquiere un carácter confuso para su instrumentación universal ajena  a</w:t>
      </w:r>
      <w:r>
        <w:rPr>
          <w:spacing w:val="36"/>
        </w:rPr>
        <w:t> </w:t>
      </w:r>
      <w:r>
        <w:rPr/>
        <w:t>condiciones</w:t>
      </w:r>
      <w:r>
        <w:rPr>
          <w:spacing w:val="36"/>
        </w:rPr>
        <w:t> </w:t>
      </w:r>
      <w:r>
        <w:rPr/>
        <w:t>socio</w:t>
      </w:r>
      <w:r>
        <w:rPr>
          <w:spacing w:val="36"/>
        </w:rPr>
        <w:t> </w:t>
      </w:r>
      <w:r>
        <w:rPr/>
        <w:t>territoriales</w:t>
      </w:r>
      <w:r>
        <w:rPr>
          <w:spacing w:val="36"/>
        </w:rPr>
        <w:t> </w:t>
      </w:r>
      <w:r>
        <w:rPr/>
        <w:t>específicas,</w:t>
      </w:r>
      <w:r>
        <w:rPr>
          <w:spacing w:val="36"/>
        </w:rPr>
        <w:t> </w:t>
      </w:r>
      <w:r>
        <w:rPr/>
        <w:t>por</w:t>
      </w:r>
      <w:r>
        <w:rPr>
          <w:spacing w:val="36"/>
        </w:rPr>
        <w:t> </w:t>
      </w:r>
      <w:r>
        <w:rPr/>
        <w:t>lo</w:t>
      </w:r>
      <w:r>
        <w:rPr>
          <w:spacing w:val="36"/>
        </w:rPr>
        <w:t> </w:t>
      </w:r>
      <w:r>
        <w:rPr/>
        <w:t>que</w:t>
      </w:r>
      <w:r>
        <w:rPr>
          <w:spacing w:val="36"/>
        </w:rPr>
        <w:t> </w:t>
      </w:r>
      <w:r>
        <w:rPr/>
        <w:t>debe</w:t>
      </w:r>
      <w:r>
        <w:rPr>
          <w:spacing w:val="36"/>
        </w:rPr>
        <w:t> </w:t>
      </w:r>
      <w:r>
        <w:rPr/>
        <w:t>transitar</w:t>
      </w:r>
      <w:r>
        <w:rPr>
          <w:spacing w:val="36"/>
        </w:rPr>
        <w:t> </w:t>
      </w:r>
      <w:r>
        <w:rPr/>
        <w:t>de</w:t>
      </w:r>
      <w:r>
        <w:rPr>
          <w:spacing w:val="36"/>
        </w:rPr>
        <w:t> </w:t>
      </w:r>
      <w:r>
        <w:rPr/>
        <w:t>lo</w:t>
      </w:r>
      <w:r>
        <w:rPr>
          <w:spacing w:val="36"/>
        </w:rPr>
        <w:t> </w:t>
      </w:r>
      <w:r>
        <w:rPr/>
        <w:t>teórico</w:t>
      </w:r>
    </w:p>
    <w:p>
      <w:pPr>
        <w:pStyle w:val="BodyText"/>
        <w:spacing w:line="249" w:lineRule="auto" w:before="109"/>
        <w:ind w:left="130" w:right="127"/>
        <w:jc w:val="both"/>
      </w:pPr>
      <w:r>
        <w:rPr/>
        <w:br w:type="column"/>
      </w:r>
      <w:r>
        <w:rPr/>
        <w:t>a lo práctico, además que debe ser planificada al nivel local y desde ahí, delinear      los mecanismos de articulación con las escalas superiores en el ámbito regional, nacional e internacional, a fin de consolidarse como una verdadera alternativa para la conservación ambiental y el bienestar social (Macias, et.al. 2006; Ramírez, et.al. 2004; Guimaraes,</w:t>
      </w:r>
      <w:r>
        <w:rPr>
          <w:spacing w:val="-27"/>
        </w:rPr>
        <w:t> </w:t>
      </w:r>
      <w:r>
        <w:rPr/>
        <w:t>2003)</w:t>
      </w:r>
    </w:p>
    <w:p>
      <w:pPr>
        <w:pStyle w:val="BodyText"/>
        <w:spacing w:before="11"/>
      </w:pPr>
    </w:p>
    <w:p>
      <w:pPr>
        <w:pStyle w:val="BodyText"/>
        <w:spacing w:line="249" w:lineRule="auto"/>
        <w:ind w:left="130" w:right="128" w:firstLine="170"/>
        <w:jc w:val="both"/>
      </w:pPr>
      <w:r>
        <w:rPr/>
        <w:t>De esta forma, a partir del vínculo entre el desarrollo sustentable y la escala local,  se ha planteado el concepto de Desarrollo Local Sustentable (DLS), como el proceso de aprovechamiento de los recursos a partir de las potencialidades endógenas y las condiciones biofísicas, sociales, económicas, culturales y político-administrativo del entorno, que permita la conservación ambiental y el mejoramiento en la calidad de</w:t>
      </w:r>
      <w:r>
        <w:rPr>
          <w:spacing w:val="-30"/>
        </w:rPr>
        <w:t> </w:t>
      </w:r>
      <w:r>
        <w:rPr/>
        <w:t>vida de los actores locales presentes y las generaciones venideras (Pérez,</w:t>
      </w:r>
      <w:r>
        <w:rPr>
          <w:spacing w:val="-30"/>
        </w:rPr>
        <w:t> </w:t>
      </w:r>
      <w:r>
        <w:rPr/>
        <w:t>2010).</w:t>
      </w:r>
    </w:p>
    <w:p>
      <w:pPr>
        <w:pStyle w:val="BodyText"/>
        <w:spacing w:before="11"/>
      </w:pPr>
    </w:p>
    <w:p>
      <w:pPr>
        <w:pStyle w:val="BodyText"/>
        <w:spacing w:line="249" w:lineRule="auto"/>
        <w:ind w:left="130" w:right="127" w:firstLine="170"/>
        <w:jc w:val="both"/>
      </w:pPr>
      <w:r>
        <w:rPr/>
        <w:t>El concepto de DLS tiene sus orígenes en dos vertientes teóricas, una del desarrollo regional, al preocuparse por la delimitación territorial para su equidad; y la otra, desde el concepto de desarrollo sustentable, cuando se hace referencia a la preservación    de sus recursos según el equilibrio natural. La articulación de dichas vertientes se pretende completar mejor al sustantivo de desarrollo. Algunos autores lo han definido como, el proceso endógeno de transformación de las localidades, fundamentadas     en una estrategia de desarrollo local con políticas diseñadas para lograr una efectiva participación</w:t>
      </w:r>
      <w:r>
        <w:rPr>
          <w:spacing w:val="-5"/>
        </w:rPr>
        <w:t> </w:t>
      </w:r>
      <w:r>
        <w:rPr/>
        <w:t>de</w:t>
      </w:r>
      <w:r>
        <w:rPr>
          <w:spacing w:val="-5"/>
        </w:rPr>
        <w:t> </w:t>
      </w:r>
      <w:r>
        <w:rPr/>
        <w:t>su</w:t>
      </w:r>
      <w:r>
        <w:rPr>
          <w:spacing w:val="-5"/>
        </w:rPr>
        <w:t> </w:t>
      </w:r>
      <w:r>
        <w:rPr/>
        <w:t>población</w:t>
      </w:r>
      <w:r>
        <w:rPr>
          <w:spacing w:val="-5"/>
        </w:rPr>
        <w:t> </w:t>
      </w:r>
      <w:r>
        <w:rPr/>
        <w:t>en</w:t>
      </w:r>
      <w:r>
        <w:rPr>
          <w:spacing w:val="-5"/>
        </w:rPr>
        <w:t> </w:t>
      </w:r>
      <w:r>
        <w:rPr/>
        <w:t>la</w:t>
      </w:r>
      <w:r>
        <w:rPr>
          <w:spacing w:val="-5"/>
        </w:rPr>
        <w:t> </w:t>
      </w:r>
      <w:r>
        <w:rPr/>
        <w:t>solución</w:t>
      </w:r>
      <w:r>
        <w:rPr>
          <w:spacing w:val="-5"/>
        </w:rPr>
        <w:t> </w:t>
      </w:r>
      <w:r>
        <w:rPr/>
        <w:t>de</w:t>
      </w:r>
      <w:r>
        <w:rPr>
          <w:spacing w:val="-5"/>
        </w:rPr>
        <w:t> </w:t>
      </w:r>
      <w:r>
        <w:rPr/>
        <w:t>los</w:t>
      </w:r>
      <w:r>
        <w:rPr>
          <w:spacing w:val="-5"/>
        </w:rPr>
        <w:t> </w:t>
      </w:r>
      <w:r>
        <w:rPr/>
        <w:t>problemas</w:t>
      </w:r>
      <w:r>
        <w:rPr>
          <w:spacing w:val="-5"/>
        </w:rPr>
        <w:t> </w:t>
      </w:r>
      <w:r>
        <w:rPr/>
        <w:t>y</w:t>
      </w:r>
      <w:r>
        <w:rPr>
          <w:spacing w:val="-5"/>
        </w:rPr>
        <w:t> </w:t>
      </w:r>
      <w:r>
        <w:rPr/>
        <w:t>aprovechamiento</w:t>
      </w:r>
      <w:r>
        <w:rPr>
          <w:spacing w:val="-5"/>
        </w:rPr>
        <w:t> </w:t>
      </w:r>
      <w:r>
        <w:rPr/>
        <w:t>de</w:t>
      </w:r>
      <w:r>
        <w:rPr>
          <w:spacing w:val="-5"/>
        </w:rPr>
        <w:t> </w:t>
      </w:r>
      <w:r>
        <w:rPr/>
        <w:t>las oportunidades, para abordar de forma equilibrada e integrada, los aspectos sociales, económicos y ambientales, en el entorno donde se realizan las actividades cotidianas (Boffil,2009:3).</w:t>
      </w:r>
    </w:p>
    <w:p>
      <w:pPr>
        <w:pStyle w:val="BodyText"/>
        <w:spacing w:before="11"/>
      </w:pPr>
    </w:p>
    <w:p>
      <w:pPr>
        <w:pStyle w:val="BodyText"/>
        <w:spacing w:line="249" w:lineRule="auto"/>
        <w:ind w:left="130" w:right="127" w:firstLine="170"/>
        <w:jc w:val="both"/>
      </w:pPr>
      <w:r>
        <w:rPr/>
        <w:t>El</w:t>
      </w:r>
      <w:r>
        <w:rPr>
          <w:spacing w:val="-4"/>
        </w:rPr>
        <w:t> </w:t>
      </w:r>
      <w:r>
        <w:rPr/>
        <w:t>enfoque</w:t>
      </w:r>
      <w:r>
        <w:rPr>
          <w:spacing w:val="-4"/>
        </w:rPr>
        <w:t> </w:t>
      </w:r>
      <w:r>
        <w:rPr/>
        <w:t>del</w:t>
      </w:r>
      <w:r>
        <w:rPr>
          <w:spacing w:val="-4"/>
        </w:rPr>
        <w:t> </w:t>
      </w:r>
      <w:r>
        <w:rPr/>
        <w:t>DLS</w:t>
      </w:r>
      <w:r>
        <w:rPr>
          <w:spacing w:val="-4"/>
        </w:rPr>
        <w:t> </w:t>
      </w:r>
      <w:r>
        <w:rPr/>
        <w:t>destaca</w:t>
      </w:r>
      <w:r>
        <w:rPr>
          <w:spacing w:val="-4"/>
        </w:rPr>
        <w:t> </w:t>
      </w:r>
      <w:r>
        <w:rPr/>
        <w:t>algunas</w:t>
      </w:r>
      <w:r>
        <w:rPr>
          <w:spacing w:val="-4"/>
        </w:rPr>
        <w:t> </w:t>
      </w:r>
      <w:r>
        <w:rPr/>
        <w:t>características</w:t>
      </w:r>
      <w:r>
        <w:rPr>
          <w:spacing w:val="-4"/>
        </w:rPr>
        <w:t> </w:t>
      </w:r>
      <w:r>
        <w:rPr/>
        <w:t>que</w:t>
      </w:r>
      <w:r>
        <w:rPr>
          <w:spacing w:val="-4"/>
        </w:rPr>
        <w:t> </w:t>
      </w:r>
      <w:r>
        <w:rPr/>
        <w:t>son</w:t>
      </w:r>
      <w:r>
        <w:rPr>
          <w:spacing w:val="-4"/>
        </w:rPr>
        <w:t> </w:t>
      </w:r>
      <w:r>
        <w:rPr/>
        <w:t>importantes</w:t>
      </w:r>
      <w:r>
        <w:rPr>
          <w:spacing w:val="-4"/>
        </w:rPr>
        <w:t> </w:t>
      </w:r>
      <w:r>
        <w:rPr/>
        <w:t>describirlas; la</w:t>
      </w:r>
      <w:r>
        <w:rPr>
          <w:spacing w:val="25"/>
        </w:rPr>
        <w:t> </w:t>
      </w:r>
      <w:r>
        <w:rPr/>
        <w:t>primera</w:t>
      </w:r>
      <w:r>
        <w:rPr>
          <w:spacing w:val="-15"/>
        </w:rPr>
        <w:t> </w:t>
      </w:r>
      <w:r>
        <w:rPr/>
        <w:t>es</w:t>
      </w:r>
      <w:r>
        <w:rPr>
          <w:spacing w:val="-15"/>
        </w:rPr>
        <w:t> </w:t>
      </w:r>
      <w:r>
        <w:rPr/>
        <w:t>lo</w:t>
      </w:r>
      <w:r>
        <w:rPr>
          <w:spacing w:val="-16"/>
        </w:rPr>
        <w:t> </w:t>
      </w:r>
      <w:r>
        <w:rPr/>
        <w:t>local,</w:t>
      </w:r>
      <w:r>
        <w:rPr>
          <w:spacing w:val="-15"/>
        </w:rPr>
        <w:t> </w:t>
      </w:r>
      <w:r>
        <w:rPr/>
        <w:t>se</w:t>
      </w:r>
      <w:r>
        <w:rPr>
          <w:spacing w:val="-16"/>
        </w:rPr>
        <w:t> </w:t>
      </w:r>
      <w:r>
        <w:rPr/>
        <w:t>refiere</w:t>
      </w:r>
      <w:r>
        <w:rPr>
          <w:spacing w:val="-15"/>
        </w:rPr>
        <w:t> </w:t>
      </w:r>
      <w:r>
        <w:rPr/>
        <w:t>a</w:t>
      </w:r>
      <w:r>
        <w:rPr>
          <w:spacing w:val="-16"/>
        </w:rPr>
        <w:t> </w:t>
      </w:r>
      <w:r>
        <w:rPr/>
        <w:t>la</w:t>
      </w:r>
      <w:r>
        <w:rPr>
          <w:spacing w:val="-15"/>
        </w:rPr>
        <w:t> </w:t>
      </w:r>
      <w:r>
        <w:rPr/>
        <w:t>dimensión</w:t>
      </w:r>
      <w:r>
        <w:rPr>
          <w:spacing w:val="-16"/>
        </w:rPr>
        <w:t> </w:t>
      </w:r>
      <w:r>
        <w:rPr/>
        <w:t>territorial</w:t>
      </w:r>
      <w:r>
        <w:rPr>
          <w:spacing w:val="-16"/>
        </w:rPr>
        <w:t> </w:t>
      </w:r>
      <w:r>
        <w:rPr/>
        <w:t>más</w:t>
      </w:r>
      <w:r>
        <w:rPr>
          <w:spacing w:val="-15"/>
        </w:rPr>
        <w:t> </w:t>
      </w:r>
      <w:r>
        <w:rPr/>
        <w:t>próxima</w:t>
      </w:r>
      <w:r>
        <w:rPr>
          <w:spacing w:val="-16"/>
        </w:rPr>
        <w:t> </w:t>
      </w:r>
      <w:r>
        <w:rPr/>
        <w:t>a</w:t>
      </w:r>
      <w:r>
        <w:rPr>
          <w:spacing w:val="-15"/>
        </w:rPr>
        <w:t> </w:t>
      </w:r>
      <w:r>
        <w:rPr/>
        <w:t>la</w:t>
      </w:r>
      <w:r>
        <w:rPr>
          <w:spacing w:val="-16"/>
        </w:rPr>
        <w:t> </w:t>
      </w:r>
      <w:r>
        <w:rPr/>
        <w:t>población</w:t>
      </w:r>
      <w:r>
        <w:rPr>
          <w:spacing w:val="-16"/>
        </w:rPr>
        <w:t> </w:t>
      </w:r>
      <w:r>
        <w:rPr/>
        <w:t>para concretar la instrumentación de acciones, es el espacio adecuado para actuar. Otra   es la participación activa de los actores locales, pues son ellos quienes conocen sus necesidades, demandas y formas adecuadas de dar solución a sus propios</w:t>
      </w:r>
      <w:r>
        <w:rPr>
          <w:spacing w:val="-19"/>
        </w:rPr>
        <w:t> </w:t>
      </w:r>
      <w:r>
        <w:rPr/>
        <w:t>problemas. También, la valoración de los recursos locales es importante, el caso de los naturales, por su relación directa hombre – naturaleza hace que exista una identificación con los mismos,</w:t>
      </w:r>
      <w:r>
        <w:rPr>
          <w:spacing w:val="-12"/>
        </w:rPr>
        <w:t> </w:t>
      </w:r>
      <w:r>
        <w:rPr/>
        <w:t>asimismo,</w:t>
      </w:r>
      <w:r>
        <w:rPr>
          <w:spacing w:val="-12"/>
        </w:rPr>
        <w:t> </w:t>
      </w:r>
      <w:r>
        <w:rPr/>
        <w:t>los</w:t>
      </w:r>
      <w:r>
        <w:rPr>
          <w:spacing w:val="-12"/>
        </w:rPr>
        <w:t> </w:t>
      </w:r>
      <w:r>
        <w:rPr/>
        <w:t>recursos</w:t>
      </w:r>
      <w:r>
        <w:rPr>
          <w:spacing w:val="-12"/>
        </w:rPr>
        <w:t> </w:t>
      </w:r>
      <w:r>
        <w:rPr/>
        <w:t>materiales</w:t>
      </w:r>
      <w:r>
        <w:rPr>
          <w:spacing w:val="-12"/>
        </w:rPr>
        <w:t> </w:t>
      </w:r>
      <w:r>
        <w:rPr/>
        <w:t>endógenos</w:t>
      </w:r>
      <w:r>
        <w:rPr>
          <w:spacing w:val="-12"/>
        </w:rPr>
        <w:t> </w:t>
      </w:r>
      <w:r>
        <w:rPr/>
        <w:t>y</w:t>
      </w:r>
      <w:r>
        <w:rPr>
          <w:spacing w:val="-12"/>
        </w:rPr>
        <w:t> </w:t>
      </w:r>
      <w:r>
        <w:rPr/>
        <w:t>la</w:t>
      </w:r>
      <w:r>
        <w:rPr>
          <w:spacing w:val="-12"/>
        </w:rPr>
        <w:t> </w:t>
      </w:r>
      <w:r>
        <w:rPr/>
        <w:t>consideración</w:t>
      </w:r>
      <w:r>
        <w:rPr>
          <w:spacing w:val="-12"/>
        </w:rPr>
        <w:t> </w:t>
      </w:r>
      <w:r>
        <w:rPr/>
        <w:t>de</w:t>
      </w:r>
      <w:r>
        <w:rPr>
          <w:spacing w:val="-12"/>
        </w:rPr>
        <w:t> </w:t>
      </w:r>
      <w:r>
        <w:rPr/>
        <w:t>la</w:t>
      </w:r>
      <w:r>
        <w:rPr>
          <w:spacing w:val="-12"/>
        </w:rPr>
        <w:t> </w:t>
      </w:r>
      <w:r>
        <w:rPr/>
        <w:t>mano</w:t>
      </w:r>
      <w:r>
        <w:rPr>
          <w:spacing w:val="-12"/>
        </w:rPr>
        <w:t> </w:t>
      </w:r>
      <w:r>
        <w:rPr/>
        <w:t>de obra</w:t>
      </w:r>
      <w:r>
        <w:rPr>
          <w:spacing w:val="-5"/>
        </w:rPr>
        <w:t> </w:t>
      </w:r>
      <w:r>
        <w:rPr/>
        <w:t>de</w:t>
      </w:r>
      <w:r>
        <w:rPr>
          <w:spacing w:val="-5"/>
        </w:rPr>
        <w:t> </w:t>
      </w:r>
      <w:r>
        <w:rPr/>
        <w:t>la</w:t>
      </w:r>
      <w:r>
        <w:rPr>
          <w:spacing w:val="-5"/>
        </w:rPr>
        <w:t> </w:t>
      </w:r>
      <w:r>
        <w:rPr/>
        <w:t>región,</w:t>
      </w:r>
      <w:r>
        <w:rPr>
          <w:spacing w:val="-5"/>
        </w:rPr>
        <w:t> </w:t>
      </w:r>
      <w:r>
        <w:rPr/>
        <w:t>promueve</w:t>
      </w:r>
      <w:r>
        <w:rPr>
          <w:spacing w:val="-5"/>
        </w:rPr>
        <w:t> </w:t>
      </w:r>
      <w:r>
        <w:rPr/>
        <w:t>el</w:t>
      </w:r>
      <w:r>
        <w:rPr>
          <w:spacing w:val="-5"/>
        </w:rPr>
        <w:t> </w:t>
      </w:r>
      <w:r>
        <w:rPr/>
        <w:t>involucramiento</w:t>
      </w:r>
      <w:r>
        <w:rPr>
          <w:spacing w:val="-5"/>
        </w:rPr>
        <w:t> </w:t>
      </w:r>
      <w:r>
        <w:rPr/>
        <w:t>de</w:t>
      </w:r>
      <w:r>
        <w:rPr>
          <w:spacing w:val="-5"/>
        </w:rPr>
        <w:t> </w:t>
      </w:r>
      <w:r>
        <w:rPr/>
        <w:t>la</w:t>
      </w:r>
      <w:r>
        <w:rPr>
          <w:spacing w:val="-5"/>
        </w:rPr>
        <w:t> </w:t>
      </w:r>
      <w:r>
        <w:rPr/>
        <w:t>mayor</w:t>
      </w:r>
      <w:r>
        <w:rPr>
          <w:spacing w:val="-5"/>
        </w:rPr>
        <w:t> </w:t>
      </w:r>
      <w:r>
        <w:rPr/>
        <w:t>parte</w:t>
      </w:r>
      <w:r>
        <w:rPr>
          <w:spacing w:val="-5"/>
        </w:rPr>
        <w:t> </w:t>
      </w:r>
      <w:r>
        <w:rPr/>
        <w:t>de</w:t>
      </w:r>
      <w:r>
        <w:rPr>
          <w:spacing w:val="-5"/>
        </w:rPr>
        <w:t> </w:t>
      </w:r>
      <w:r>
        <w:rPr/>
        <w:t>la</w:t>
      </w:r>
      <w:r>
        <w:rPr>
          <w:spacing w:val="-5"/>
        </w:rPr>
        <w:t> </w:t>
      </w:r>
      <w:r>
        <w:rPr/>
        <w:t>población</w:t>
      </w:r>
      <w:r>
        <w:rPr>
          <w:spacing w:val="-5"/>
        </w:rPr>
        <w:t> </w:t>
      </w:r>
      <w:r>
        <w:rPr/>
        <w:t>en</w:t>
      </w:r>
      <w:r>
        <w:rPr>
          <w:spacing w:val="-5"/>
        </w:rPr>
        <w:t> </w:t>
      </w:r>
      <w:r>
        <w:rPr/>
        <w:t>los beneficios del desarrollo. La característica de la dimensión de la actividad económica como</w:t>
      </w:r>
      <w:r>
        <w:rPr>
          <w:spacing w:val="-6"/>
        </w:rPr>
        <w:t> </w:t>
      </w:r>
      <w:r>
        <w:rPr/>
        <w:t>un</w:t>
      </w:r>
      <w:r>
        <w:rPr>
          <w:spacing w:val="-6"/>
        </w:rPr>
        <w:t> </w:t>
      </w:r>
      <w:r>
        <w:rPr/>
        <w:t>sistema,</w:t>
      </w:r>
      <w:r>
        <w:rPr>
          <w:spacing w:val="-6"/>
        </w:rPr>
        <w:t> </w:t>
      </w:r>
      <w:r>
        <w:rPr/>
        <w:t>de</w:t>
      </w:r>
      <w:r>
        <w:rPr>
          <w:spacing w:val="-6"/>
        </w:rPr>
        <w:t> </w:t>
      </w:r>
      <w:r>
        <w:rPr/>
        <w:t>tal</w:t>
      </w:r>
      <w:r>
        <w:rPr>
          <w:spacing w:val="-6"/>
        </w:rPr>
        <w:t> </w:t>
      </w:r>
      <w:r>
        <w:rPr/>
        <w:t>manera</w:t>
      </w:r>
      <w:r>
        <w:rPr>
          <w:spacing w:val="-6"/>
        </w:rPr>
        <w:t> </w:t>
      </w:r>
      <w:r>
        <w:rPr/>
        <w:t>que</w:t>
      </w:r>
      <w:r>
        <w:rPr>
          <w:spacing w:val="-6"/>
        </w:rPr>
        <w:t> </w:t>
      </w:r>
      <w:r>
        <w:rPr/>
        <w:t>la</w:t>
      </w:r>
      <w:r>
        <w:rPr>
          <w:spacing w:val="-6"/>
        </w:rPr>
        <w:t> </w:t>
      </w:r>
      <w:r>
        <w:rPr/>
        <w:t>red</w:t>
      </w:r>
      <w:r>
        <w:rPr>
          <w:spacing w:val="-6"/>
        </w:rPr>
        <w:t> </w:t>
      </w:r>
      <w:r>
        <w:rPr/>
        <w:t>productiva</w:t>
      </w:r>
      <w:r>
        <w:rPr>
          <w:spacing w:val="-6"/>
        </w:rPr>
        <w:t> </w:t>
      </w:r>
      <w:r>
        <w:rPr/>
        <w:t>que</w:t>
      </w:r>
      <w:r>
        <w:rPr>
          <w:spacing w:val="-6"/>
        </w:rPr>
        <w:t> </w:t>
      </w:r>
      <w:r>
        <w:rPr/>
        <w:t>teja</w:t>
      </w:r>
      <w:r>
        <w:rPr>
          <w:spacing w:val="-6"/>
        </w:rPr>
        <w:t> </w:t>
      </w:r>
      <w:r>
        <w:rPr/>
        <w:t>la</w:t>
      </w:r>
      <w:r>
        <w:rPr>
          <w:spacing w:val="-6"/>
        </w:rPr>
        <w:t> </w:t>
      </w:r>
      <w:r>
        <w:rPr/>
        <w:t>actividad</w:t>
      </w:r>
      <w:r>
        <w:rPr>
          <w:spacing w:val="-6"/>
        </w:rPr>
        <w:t> </w:t>
      </w:r>
      <w:r>
        <w:rPr/>
        <w:t>va</w:t>
      </w:r>
      <w:r>
        <w:rPr>
          <w:spacing w:val="-6"/>
        </w:rPr>
        <w:t> </w:t>
      </w:r>
      <w:r>
        <w:rPr/>
        <w:t>a</w:t>
      </w:r>
      <w:r>
        <w:rPr>
          <w:spacing w:val="-6"/>
        </w:rPr>
        <w:t> </w:t>
      </w:r>
      <w:r>
        <w:rPr/>
        <w:t>dar</w:t>
      </w:r>
      <w:r>
        <w:rPr>
          <w:spacing w:val="-6"/>
        </w:rPr>
        <w:t> </w:t>
      </w:r>
      <w:r>
        <w:rPr/>
        <w:t>más elementos</w:t>
      </w:r>
      <w:r>
        <w:rPr>
          <w:spacing w:val="-10"/>
        </w:rPr>
        <w:t> </w:t>
      </w:r>
      <w:r>
        <w:rPr/>
        <w:t>para</w:t>
      </w:r>
      <w:r>
        <w:rPr>
          <w:spacing w:val="-10"/>
        </w:rPr>
        <w:t> </w:t>
      </w:r>
      <w:r>
        <w:rPr/>
        <w:t>que</w:t>
      </w:r>
      <w:r>
        <w:rPr>
          <w:spacing w:val="-10"/>
        </w:rPr>
        <w:t> </w:t>
      </w:r>
      <w:r>
        <w:rPr/>
        <w:t>haya</w:t>
      </w:r>
      <w:r>
        <w:rPr>
          <w:spacing w:val="-10"/>
        </w:rPr>
        <w:t> </w:t>
      </w:r>
      <w:r>
        <w:rPr/>
        <w:t>un</w:t>
      </w:r>
      <w:r>
        <w:rPr>
          <w:spacing w:val="-10"/>
        </w:rPr>
        <w:t> </w:t>
      </w:r>
      <w:r>
        <w:rPr/>
        <w:t>desarrollo,</w:t>
      </w:r>
      <w:r>
        <w:rPr>
          <w:spacing w:val="-10"/>
        </w:rPr>
        <w:t> </w:t>
      </w:r>
      <w:r>
        <w:rPr/>
        <w:t>de</w:t>
      </w:r>
      <w:r>
        <w:rPr>
          <w:spacing w:val="-10"/>
        </w:rPr>
        <w:t> </w:t>
      </w:r>
      <w:r>
        <w:rPr/>
        <w:t>ahí</w:t>
      </w:r>
      <w:r>
        <w:rPr>
          <w:spacing w:val="-10"/>
        </w:rPr>
        <w:t> </w:t>
      </w:r>
      <w:r>
        <w:rPr/>
        <w:t>la</w:t>
      </w:r>
      <w:r>
        <w:rPr>
          <w:spacing w:val="-10"/>
        </w:rPr>
        <w:t> </w:t>
      </w:r>
      <w:r>
        <w:rPr/>
        <w:t>relevancia</w:t>
      </w:r>
      <w:r>
        <w:rPr>
          <w:spacing w:val="-10"/>
        </w:rPr>
        <w:t> </w:t>
      </w:r>
      <w:r>
        <w:rPr/>
        <w:t>de</w:t>
      </w:r>
      <w:r>
        <w:rPr>
          <w:spacing w:val="-10"/>
        </w:rPr>
        <w:t> </w:t>
      </w:r>
      <w:r>
        <w:rPr/>
        <w:t>aspectos</w:t>
      </w:r>
      <w:r>
        <w:rPr>
          <w:spacing w:val="-10"/>
        </w:rPr>
        <w:t> </w:t>
      </w:r>
      <w:r>
        <w:rPr/>
        <w:t>de</w:t>
      </w:r>
      <w:r>
        <w:rPr>
          <w:spacing w:val="-10"/>
        </w:rPr>
        <w:t> </w:t>
      </w:r>
      <w:r>
        <w:rPr/>
        <w:t>vinculación, relación entre empresas y entre</w:t>
      </w:r>
      <w:r>
        <w:rPr>
          <w:spacing w:val="13"/>
        </w:rPr>
        <w:t> </w:t>
      </w:r>
      <w:r>
        <w:rPr/>
        <w:t>actores.</w:t>
      </w:r>
    </w:p>
    <w:p>
      <w:pPr>
        <w:pStyle w:val="BodyText"/>
        <w:spacing w:before="11"/>
      </w:pPr>
    </w:p>
    <w:p>
      <w:pPr>
        <w:pStyle w:val="BodyText"/>
        <w:spacing w:line="249" w:lineRule="auto"/>
        <w:ind w:left="130" w:right="128" w:firstLine="170"/>
        <w:jc w:val="both"/>
      </w:pPr>
      <w:r>
        <w:rPr/>
        <w:t>Desde esta perspectiva, el manejo de los recursos debe ser impulsado por la propia acción de la comunidad, interviniendo directamente en la toma de decisiones para      la  solución  a  problemáticas  y  expectativas  de  desarrollo  comunes,  asumiendo </w:t>
      </w:r>
      <w:r>
        <w:rPr>
          <w:spacing w:val="35"/>
        </w:rPr>
        <w:t> </w:t>
      </w:r>
      <w:r>
        <w:rPr/>
        <w:t>el</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103"/>
          <w:pgSz w:w="18830" w:h="12760" w:orient="landscape"/>
          <w:pgMar w:footer="1036" w:header="522" w:top="820" w:bottom="1220" w:left="720" w:right="720"/>
        </w:sectPr>
      </w:pPr>
    </w:p>
    <w:p>
      <w:pPr>
        <w:pStyle w:val="BodyText"/>
        <w:spacing w:line="249" w:lineRule="auto" w:before="76"/>
        <w:ind w:left="130"/>
        <w:jc w:val="both"/>
      </w:pPr>
      <w:r>
        <w:rPr/>
        <w:t>compromiso de continuar en las iniciativas planteadas por los agentes externos, aun</w:t>
      </w:r>
      <w:r>
        <w:rPr>
          <w:w w:val="98"/>
        </w:rPr>
        <w:t> </w:t>
      </w:r>
      <w:r>
        <w:rPr/>
        <w:t>cuando los apoyos canalizados en su etapa inicial hayan llegado a su término. En este sentido, se deberá definir un proceso auto gestionado en el manejo de los recursos naturales a largo plazo, que garantice el mejoramiento de sus condiciones vida.</w:t>
      </w:r>
    </w:p>
    <w:p>
      <w:pPr>
        <w:pStyle w:val="BodyText"/>
        <w:spacing w:before="11"/>
      </w:pPr>
    </w:p>
    <w:p>
      <w:pPr>
        <w:pStyle w:val="BodyText"/>
        <w:spacing w:line="249" w:lineRule="auto"/>
        <w:ind w:left="130" w:firstLine="170"/>
        <w:jc w:val="both"/>
      </w:pPr>
      <w:r>
        <w:rPr/>
        <w:t>Por tanto, para el manejo de recursos naturales desde lo local, es necesario concretar las iniciativas en la particularidad del ámbito biofísico y socio económico,     la concertación con diversos agentes que soporten el proceso, pero sobre todo la participación activa de los actores locales en la toma de decisiones, a fin de satisfacer las necesidades fundamentales de la comunidad, que contribuya a la planificación de un DLS a largo plazo que sea incluyente y, que contribuya a mejorar la calidad de vida de la población y las condiciones</w:t>
      </w:r>
      <w:r>
        <w:rPr>
          <w:spacing w:val="53"/>
        </w:rPr>
        <w:t> </w:t>
      </w:r>
      <w:r>
        <w:rPr/>
        <w:t>biofísicas.</w:t>
      </w:r>
    </w:p>
    <w:p>
      <w:pPr>
        <w:pStyle w:val="BodyText"/>
        <w:spacing w:before="8"/>
        <w:rPr>
          <w:sz w:val="17"/>
        </w:rPr>
      </w:pPr>
    </w:p>
    <w:p>
      <w:pPr>
        <w:pStyle w:val="Heading2"/>
        <w:ind w:right="-7"/>
        <w:rPr>
          <w:i/>
        </w:rPr>
      </w:pPr>
      <w:r>
        <w:rPr>
          <w:i/>
        </w:rPr>
        <w:t>Manejo de recursos naturales desde lo local</w:t>
      </w:r>
    </w:p>
    <w:p>
      <w:pPr>
        <w:pStyle w:val="BodyText"/>
        <w:rPr>
          <w:b/>
          <w:i/>
          <w:sz w:val="21"/>
        </w:rPr>
      </w:pPr>
    </w:p>
    <w:p>
      <w:pPr>
        <w:pStyle w:val="BodyText"/>
        <w:spacing w:line="249" w:lineRule="auto"/>
        <w:ind w:left="130" w:firstLine="170"/>
        <w:jc w:val="both"/>
      </w:pPr>
      <w:r>
        <w:rPr/>
        <w:t>El manejo de los recursos naturales puede definirse como el proceso que tiene por objeto la ordenación, protección, conservación, restauración y el aprovechamiento de los recursos naturales. Sin embargo, es preciso destacar la contribución del DLS a fin de precisar los alcances de dicha noción para el adecuado aprovechamiento de los recursos y el bienestar social de los actores locales.</w:t>
      </w:r>
    </w:p>
    <w:p>
      <w:pPr>
        <w:pStyle w:val="BodyText"/>
        <w:spacing w:before="11"/>
      </w:pPr>
    </w:p>
    <w:p>
      <w:pPr>
        <w:pStyle w:val="BodyText"/>
        <w:spacing w:line="249" w:lineRule="auto"/>
        <w:ind w:left="130" w:firstLine="170"/>
        <w:jc w:val="both"/>
      </w:pPr>
      <w:r>
        <w:rPr/>
        <w:t>El manejo de los recursos naturales desde una visión sustentable pretende que la explotación</w:t>
      </w:r>
      <w:r>
        <w:rPr>
          <w:spacing w:val="-12"/>
        </w:rPr>
        <w:t> </w:t>
      </w:r>
      <w:r>
        <w:rPr/>
        <w:t>de</w:t>
      </w:r>
      <w:r>
        <w:rPr>
          <w:spacing w:val="-12"/>
        </w:rPr>
        <w:t> </w:t>
      </w:r>
      <w:r>
        <w:rPr/>
        <w:t>los</w:t>
      </w:r>
      <w:r>
        <w:rPr>
          <w:spacing w:val="-12"/>
        </w:rPr>
        <w:t> </w:t>
      </w:r>
      <w:r>
        <w:rPr/>
        <w:t>recursos</w:t>
      </w:r>
      <w:r>
        <w:rPr>
          <w:spacing w:val="-12"/>
        </w:rPr>
        <w:t> </w:t>
      </w:r>
      <w:r>
        <w:rPr/>
        <w:t>no</w:t>
      </w:r>
      <w:r>
        <w:rPr>
          <w:spacing w:val="-12"/>
        </w:rPr>
        <w:t> </w:t>
      </w:r>
      <w:r>
        <w:rPr/>
        <w:t>exceda</w:t>
      </w:r>
      <w:r>
        <w:rPr>
          <w:spacing w:val="-12"/>
        </w:rPr>
        <w:t> </w:t>
      </w:r>
      <w:r>
        <w:rPr/>
        <w:t>de</w:t>
      </w:r>
      <w:r>
        <w:rPr>
          <w:spacing w:val="-12"/>
        </w:rPr>
        <w:t> </w:t>
      </w:r>
      <w:r>
        <w:rPr/>
        <w:t>la</w:t>
      </w:r>
      <w:r>
        <w:rPr>
          <w:spacing w:val="-12"/>
        </w:rPr>
        <w:t> </w:t>
      </w:r>
      <w:r>
        <w:rPr/>
        <w:t>capacidad</w:t>
      </w:r>
      <w:r>
        <w:rPr>
          <w:spacing w:val="-12"/>
        </w:rPr>
        <w:t> </w:t>
      </w:r>
      <w:r>
        <w:rPr/>
        <w:t>del</w:t>
      </w:r>
      <w:r>
        <w:rPr>
          <w:spacing w:val="-12"/>
        </w:rPr>
        <w:t> </w:t>
      </w:r>
      <w:r>
        <w:rPr/>
        <w:t>nivel</w:t>
      </w:r>
      <w:r>
        <w:rPr>
          <w:spacing w:val="-12"/>
        </w:rPr>
        <w:t> </w:t>
      </w:r>
      <w:r>
        <w:rPr/>
        <w:t>de</w:t>
      </w:r>
      <w:r>
        <w:rPr>
          <w:spacing w:val="-12"/>
        </w:rPr>
        <w:t> </w:t>
      </w:r>
      <w:r>
        <w:rPr/>
        <w:t>regeneración</w:t>
      </w:r>
      <w:r>
        <w:rPr>
          <w:spacing w:val="31"/>
        </w:rPr>
        <w:t> </w:t>
      </w:r>
      <w:r>
        <w:rPr/>
        <w:t>natural de</w:t>
      </w:r>
      <w:r>
        <w:rPr>
          <w:spacing w:val="-17"/>
        </w:rPr>
        <w:t> </w:t>
      </w:r>
      <w:r>
        <w:rPr/>
        <w:t>los</w:t>
      </w:r>
      <w:r>
        <w:rPr>
          <w:spacing w:val="-17"/>
        </w:rPr>
        <w:t> </w:t>
      </w:r>
      <w:r>
        <w:rPr/>
        <w:t>ecosistemas,</w:t>
      </w:r>
      <w:r>
        <w:rPr>
          <w:spacing w:val="-17"/>
        </w:rPr>
        <w:t> </w:t>
      </w:r>
      <w:r>
        <w:rPr/>
        <w:t>y</w:t>
      </w:r>
      <w:r>
        <w:rPr>
          <w:spacing w:val="-17"/>
        </w:rPr>
        <w:t> </w:t>
      </w:r>
      <w:r>
        <w:rPr/>
        <w:t>los</w:t>
      </w:r>
      <w:r>
        <w:rPr>
          <w:spacing w:val="-17"/>
        </w:rPr>
        <w:t> </w:t>
      </w:r>
      <w:r>
        <w:rPr/>
        <w:t>niveles</w:t>
      </w:r>
      <w:r>
        <w:rPr>
          <w:spacing w:val="-17"/>
        </w:rPr>
        <w:t> </w:t>
      </w:r>
      <w:r>
        <w:rPr/>
        <w:t>de</w:t>
      </w:r>
      <w:r>
        <w:rPr>
          <w:spacing w:val="-17"/>
        </w:rPr>
        <w:t> </w:t>
      </w:r>
      <w:r>
        <w:rPr/>
        <w:t>emisión</w:t>
      </w:r>
      <w:r>
        <w:rPr>
          <w:spacing w:val="-17"/>
        </w:rPr>
        <w:t> </w:t>
      </w:r>
      <w:r>
        <w:rPr/>
        <w:t>de</w:t>
      </w:r>
      <w:r>
        <w:rPr>
          <w:spacing w:val="-17"/>
        </w:rPr>
        <w:t> </w:t>
      </w:r>
      <w:r>
        <w:rPr/>
        <w:t>residuos</w:t>
      </w:r>
      <w:r>
        <w:rPr>
          <w:spacing w:val="-17"/>
        </w:rPr>
        <w:t> </w:t>
      </w:r>
      <w:r>
        <w:rPr/>
        <w:t>no</w:t>
      </w:r>
      <w:r>
        <w:rPr>
          <w:spacing w:val="-17"/>
        </w:rPr>
        <w:t> </w:t>
      </w:r>
      <w:r>
        <w:rPr/>
        <w:t>excedan</w:t>
      </w:r>
      <w:r>
        <w:rPr>
          <w:spacing w:val="-17"/>
        </w:rPr>
        <w:t> </w:t>
      </w:r>
      <w:r>
        <w:rPr/>
        <w:t>o</w:t>
      </w:r>
      <w:r>
        <w:rPr>
          <w:spacing w:val="-17"/>
        </w:rPr>
        <w:t> </w:t>
      </w:r>
      <w:r>
        <w:rPr/>
        <w:t>sean</w:t>
      </w:r>
      <w:r>
        <w:rPr>
          <w:spacing w:val="-17"/>
        </w:rPr>
        <w:t> </w:t>
      </w:r>
      <w:r>
        <w:rPr/>
        <w:t>equivalentes a las capacidades de asimilación natural por parte de los ecosistemas receptores de dichos residuos. En algunas localidades indígenas, como la Otomí a la que</w:t>
      </w:r>
      <w:r>
        <w:rPr>
          <w:spacing w:val="-15"/>
        </w:rPr>
        <w:t> </w:t>
      </w:r>
      <w:r>
        <w:rPr/>
        <w:t>pertenecen los casos de estudio, se ha identificado que conciben a la naturaleza, no como un recurso, sino como la Madre Tierra que provee, pero que implica un cuidado y éste se relaciona con el respeto y la sacralidad que se le reconoce, el respeto a la naturaleza se muestra también en sus expresiones culturales, que dan cuenta de la arquitectura, de las festividades históricas, religiosas y ambientales, de la historia, la gastronomía, desarrollo tecnológico y formas organizacionales propias de la cosmogonía de origen, que en conjunto pueden ser pensadas como parte de su de </w:t>
      </w:r>
      <w:r>
        <w:rPr>
          <w:spacing w:val="26"/>
        </w:rPr>
        <w:t> </w:t>
      </w:r>
      <w:r>
        <w:rPr/>
        <w:t>identidad.</w:t>
      </w:r>
    </w:p>
    <w:p>
      <w:pPr>
        <w:pStyle w:val="BodyText"/>
        <w:spacing w:before="11"/>
      </w:pPr>
    </w:p>
    <w:p>
      <w:pPr>
        <w:pStyle w:val="BodyText"/>
        <w:spacing w:line="249" w:lineRule="auto"/>
        <w:ind w:left="130" w:firstLine="170"/>
        <w:jc w:val="both"/>
      </w:pPr>
      <w:r>
        <w:rPr/>
        <w:t>El estudio de los recursos naturales desde el ámbito local, es una vía adecuada para conocer y diseñar estrategias sustentables de manejo, pues en la interacción con los actores que directamente son usuarios y tienen un papel decisorio sobre el manejo de sus recursos, se conocen y explica la problemática con más certeza que en los otros niveles</w:t>
      </w:r>
      <w:r>
        <w:rPr>
          <w:spacing w:val="-4"/>
        </w:rPr>
        <w:t> </w:t>
      </w:r>
      <w:r>
        <w:rPr/>
        <w:t>de</w:t>
      </w:r>
      <w:r>
        <w:rPr>
          <w:spacing w:val="-4"/>
        </w:rPr>
        <w:t> </w:t>
      </w:r>
      <w:r>
        <w:rPr/>
        <w:t>estudio.</w:t>
      </w:r>
      <w:r>
        <w:rPr>
          <w:spacing w:val="-4"/>
        </w:rPr>
        <w:t> </w:t>
      </w:r>
      <w:r>
        <w:rPr/>
        <w:t>En</w:t>
      </w:r>
      <w:r>
        <w:rPr>
          <w:spacing w:val="-4"/>
        </w:rPr>
        <w:t> </w:t>
      </w:r>
      <w:r>
        <w:rPr/>
        <w:t>la</w:t>
      </w:r>
      <w:r>
        <w:rPr>
          <w:spacing w:val="-4"/>
        </w:rPr>
        <w:t> </w:t>
      </w:r>
      <w:r>
        <w:rPr/>
        <w:t>medida</w:t>
      </w:r>
      <w:r>
        <w:rPr>
          <w:spacing w:val="-4"/>
        </w:rPr>
        <w:t> </w:t>
      </w:r>
      <w:r>
        <w:rPr/>
        <w:t>que</w:t>
      </w:r>
      <w:r>
        <w:rPr>
          <w:spacing w:val="-4"/>
        </w:rPr>
        <w:t> </w:t>
      </w:r>
      <w:r>
        <w:rPr/>
        <w:t>se</w:t>
      </w:r>
      <w:r>
        <w:rPr>
          <w:spacing w:val="-4"/>
        </w:rPr>
        <w:t> </w:t>
      </w:r>
      <w:r>
        <w:rPr/>
        <w:t>conozca</w:t>
      </w:r>
      <w:r>
        <w:rPr>
          <w:spacing w:val="-4"/>
        </w:rPr>
        <w:t> </w:t>
      </w:r>
      <w:r>
        <w:rPr/>
        <w:t>más</w:t>
      </w:r>
      <w:r>
        <w:rPr>
          <w:spacing w:val="-4"/>
        </w:rPr>
        <w:t> </w:t>
      </w:r>
      <w:r>
        <w:rPr/>
        <w:t>su</w:t>
      </w:r>
      <w:r>
        <w:rPr>
          <w:spacing w:val="-4"/>
        </w:rPr>
        <w:t> </w:t>
      </w:r>
      <w:r>
        <w:rPr/>
        <w:t>contexto,</w:t>
      </w:r>
      <w:r>
        <w:rPr>
          <w:spacing w:val="-4"/>
        </w:rPr>
        <w:t> </w:t>
      </w:r>
      <w:r>
        <w:rPr/>
        <w:t>más</w:t>
      </w:r>
      <w:r>
        <w:rPr>
          <w:spacing w:val="-4"/>
        </w:rPr>
        <w:t> </w:t>
      </w:r>
      <w:r>
        <w:rPr/>
        <w:t>asertivas</w:t>
      </w:r>
      <w:r>
        <w:rPr>
          <w:spacing w:val="-4"/>
        </w:rPr>
        <w:t> </w:t>
      </w:r>
      <w:r>
        <w:rPr/>
        <w:t>serán las estrategias que permitan impulsar su adecuada conservación y aprovechamiento para mejorar la calidad de vida de la</w:t>
      </w:r>
      <w:r>
        <w:rPr>
          <w:spacing w:val="42"/>
        </w:rPr>
        <w:t> </w:t>
      </w:r>
      <w:r>
        <w:rPr/>
        <w:t>población.</w:t>
      </w:r>
    </w:p>
    <w:p>
      <w:pPr>
        <w:pStyle w:val="BodyText"/>
        <w:spacing w:line="249" w:lineRule="auto" w:before="76"/>
        <w:ind w:left="130" w:right="127" w:firstLine="170"/>
        <w:jc w:val="both"/>
      </w:pPr>
      <w:r>
        <w:rPr/>
        <w:br w:type="column"/>
      </w:r>
      <w:r>
        <w:rPr/>
        <w:t>De esta forma para el manejo de los recursos naturales desde lo local, resulta fundamental identificar las potencialidades endógenas de cada territorio, considerando los factores económicos, sociales, culturales, institucionales, paisajísticos, entre otros que inciden en una propuesta de DLS, orientado a superar las dificultades y retos existentes, a partir de la concertación de diferentes agentes que intervienen en una realidad social determinada, desde organismos internacionales, instituciones públicas, iniciativa privada, sector social, instituciones educativas y centros de investigación, pero sobre todo precisa la dinámica participación de los propios actores locales para  la apropiación y aprovechamiento de los recursos </w:t>
      </w:r>
      <w:r>
        <w:rPr>
          <w:spacing w:val="1"/>
        </w:rPr>
        <w:t> </w:t>
      </w:r>
      <w:r>
        <w:rPr/>
        <w:t>existentes.</w:t>
      </w:r>
    </w:p>
    <w:p>
      <w:pPr>
        <w:pStyle w:val="BodyText"/>
        <w:spacing w:before="11"/>
      </w:pPr>
    </w:p>
    <w:p>
      <w:pPr>
        <w:pStyle w:val="BodyText"/>
        <w:spacing w:line="249" w:lineRule="auto"/>
        <w:ind w:left="130" w:right="127" w:firstLine="170"/>
        <w:jc w:val="both"/>
      </w:pPr>
      <w:r>
        <w:rPr/>
        <w:t>Si bien el papel protagónico de las propias comunidades en la definición de DLS resulta ineludible, es clara la necesaria definición de enlaces de concertación con otros agentes que contribuyan mediante la canalización de recursos humanos, técnicos y monetarios, al fomento de las capacidades locales para el adecuado manejo de los recursos naturales.</w:t>
      </w:r>
    </w:p>
    <w:p>
      <w:pPr>
        <w:pStyle w:val="BodyText"/>
        <w:spacing w:before="11"/>
      </w:pPr>
    </w:p>
    <w:p>
      <w:pPr>
        <w:pStyle w:val="BodyText"/>
        <w:spacing w:line="249" w:lineRule="auto"/>
        <w:ind w:left="130" w:right="127" w:firstLine="170"/>
        <w:jc w:val="both"/>
      </w:pPr>
      <w:r>
        <w:rPr/>
        <w:t>Para</w:t>
      </w:r>
      <w:r>
        <w:rPr>
          <w:spacing w:val="-9"/>
        </w:rPr>
        <w:t> </w:t>
      </w:r>
      <w:r>
        <w:rPr/>
        <w:t>lograr</w:t>
      </w:r>
      <w:r>
        <w:rPr>
          <w:spacing w:val="-9"/>
        </w:rPr>
        <w:t> </w:t>
      </w:r>
      <w:r>
        <w:rPr/>
        <w:t>un</w:t>
      </w:r>
      <w:r>
        <w:rPr>
          <w:spacing w:val="-9"/>
        </w:rPr>
        <w:t> </w:t>
      </w:r>
      <w:r>
        <w:rPr/>
        <w:t>DLS</w:t>
      </w:r>
      <w:r>
        <w:rPr>
          <w:spacing w:val="-9"/>
        </w:rPr>
        <w:t> </w:t>
      </w:r>
      <w:r>
        <w:rPr/>
        <w:t>es</w:t>
      </w:r>
      <w:r>
        <w:rPr>
          <w:spacing w:val="-9"/>
        </w:rPr>
        <w:t> </w:t>
      </w:r>
      <w:r>
        <w:rPr/>
        <w:t>forzoso</w:t>
      </w:r>
      <w:r>
        <w:rPr>
          <w:spacing w:val="-9"/>
        </w:rPr>
        <w:t> </w:t>
      </w:r>
      <w:r>
        <w:rPr/>
        <w:t>sobrepasar</w:t>
      </w:r>
      <w:r>
        <w:rPr>
          <w:spacing w:val="-9"/>
        </w:rPr>
        <w:t> </w:t>
      </w:r>
      <w:r>
        <w:rPr/>
        <w:t>la</w:t>
      </w:r>
      <w:r>
        <w:rPr>
          <w:spacing w:val="-9"/>
        </w:rPr>
        <w:t> </w:t>
      </w:r>
      <w:r>
        <w:rPr/>
        <w:t>estrecha</w:t>
      </w:r>
      <w:r>
        <w:rPr>
          <w:spacing w:val="-9"/>
        </w:rPr>
        <w:t> </w:t>
      </w:r>
      <w:r>
        <w:rPr/>
        <w:t>visión</w:t>
      </w:r>
      <w:r>
        <w:rPr>
          <w:spacing w:val="-9"/>
        </w:rPr>
        <w:t> </w:t>
      </w:r>
      <w:r>
        <w:rPr/>
        <w:t>de</w:t>
      </w:r>
      <w:r>
        <w:rPr>
          <w:spacing w:val="-9"/>
        </w:rPr>
        <w:t> </w:t>
      </w:r>
      <w:r>
        <w:rPr/>
        <w:t>los</w:t>
      </w:r>
      <w:r>
        <w:rPr>
          <w:spacing w:val="-9"/>
        </w:rPr>
        <w:t> </w:t>
      </w:r>
      <w:r>
        <w:rPr/>
        <w:t>recursos</w:t>
      </w:r>
      <w:r>
        <w:rPr>
          <w:spacing w:val="-9"/>
        </w:rPr>
        <w:t> </w:t>
      </w:r>
      <w:r>
        <w:rPr/>
        <w:t>naturales como exclusivos insumos para el crecimiento económico, así como la instrumentación de tecnología e innovación para la optimación de los procesos productivos y la maximización de las ganancias económicas, pues la experiencia ha demostrado que a pesar de que todo ello es necesario, este deberá considerarse solamente un medio y no el fin, pues ni la riqueza económica, ni el desarrollo en las tecnologías, conllevan a un mejoramiento en la calidad de vida del ser humano (Ander-Egg,</w:t>
      </w:r>
      <w:r>
        <w:rPr>
          <w:spacing w:val="5"/>
        </w:rPr>
        <w:t> </w:t>
      </w:r>
      <w:r>
        <w:rPr/>
        <w:t>1992).</w:t>
      </w:r>
    </w:p>
    <w:p>
      <w:pPr>
        <w:pStyle w:val="BodyText"/>
        <w:spacing w:before="8"/>
        <w:rPr>
          <w:sz w:val="17"/>
        </w:rPr>
      </w:pPr>
    </w:p>
    <w:p>
      <w:pPr>
        <w:pStyle w:val="Heading2"/>
        <w:ind w:right="-10"/>
        <w:rPr>
          <w:i/>
        </w:rPr>
      </w:pPr>
      <w:r>
        <w:rPr>
          <w:i/>
        </w:rPr>
        <w:t>Criterios metodológicos</w:t>
      </w:r>
    </w:p>
    <w:p>
      <w:pPr>
        <w:pStyle w:val="BodyText"/>
        <w:rPr>
          <w:b/>
          <w:i/>
          <w:sz w:val="21"/>
        </w:rPr>
      </w:pPr>
    </w:p>
    <w:p>
      <w:pPr>
        <w:pStyle w:val="BodyText"/>
        <w:spacing w:line="249" w:lineRule="auto"/>
        <w:ind w:left="130" w:right="127" w:firstLine="170"/>
        <w:jc w:val="both"/>
      </w:pPr>
      <w:r>
        <w:rPr/>
        <w:t>Al</w:t>
      </w:r>
      <w:r>
        <w:rPr>
          <w:spacing w:val="-16"/>
        </w:rPr>
        <w:t> </w:t>
      </w:r>
      <w:r>
        <w:rPr/>
        <w:t>enfoque</w:t>
      </w:r>
      <w:r>
        <w:rPr>
          <w:spacing w:val="-16"/>
        </w:rPr>
        <w:t> </w:t>
      </w:r>
      <w:r>
        <w:rPr/>
        <w:t>del</w:t>
      </w:r>
      <w:r>
        <w:rPr>
          <w:spacing w:val="-16"/>
        </w:rPr>
        <w:t> </w:t>
      </w:r>
      <w:r>
        <w:rPr/>
        <w:t>DLS</w:t>
      </w:r>
      <w:r>
        <w:rPr>
          <w:spacing w:val="-16"/>
        </w:rPr>
        <w:t> </w:t>
      </w:r>
      <w:r>
        <w:rPr/>
        <w:t>y</w:t>
      </w:r>
      <w:r>
        <w:rPr>
          <w:spacing w:val="-16"/>
        </w:rPr>
        <w:t> </w:t>
      </w:r>
      <w:r>
        <w:rPr/>
        <w:t>su</w:t>
      </w:r>
      <w:r>
        <w:rPr>
          <w:spacing w:val="-16"/>
        </w:rPr>
        <w:t> </w:t>
      </w:r>
      <w:r>
        <w:rPr/>
        <w:t>énfasis</w:t>
      </w:r>
      <w:r>
        <w:rPr>
          <w:spacing w:val="-16"/>
        </w:rPr>
        <w:t> </w:t>
      </w:r>
      <w:r>
        <w:rPr/>
        <w:t>en</w:t>
      </w:r>
      <w:r>
        <w:rPr>
          <w:spacing w:val="-16"/>
        </w:rPr>
        <w:t> </w:t>
      </w:r>
      <w:r>
        <w:rPr/>
        <w:t>la</w:t>
      </w:r>
      <w:r>
        <w:rPr>
          <w:spacing w:val="-16"/>
        </w:rPr>
        <w:t> </w:t>
      </w:r>
      <w:r>
        <w:rPr/>
        <w:t>visión</w:t>
      </w:r>
      <w:r>
        <w:rPr>
          <w:spacing w:val="-16"/>
        </w:rPr>
        <w:t> </w:t>
      </w:r>
      <w:r>
        <w:rPr/>
        <w:t>de</w:t>
      </w:r>
      <w:r>
        <w:rPr>
          <w:spacing w:val="-16"/>
        </w:rPr>
        <w:t> </w:t>
      </w:r>
      <w:r>
        <w:rPr/>
        <w:t>sistemas</w:t>
      </w:r>
      <w:r>
        <w:rPr>
          <w:spacing w:val="-16"/>
        </w:rPr>
        <w:t> </w:t>
      </w:r>
      <w:r>
        <w:rPr/>
        <w:t>para</w:t>
      </w:r>
      <w:r>
        <w:rPr>
          <w:spacing w:val="-16"/>
        </w:rPr>
        <w:t> </w:t>
      </w:r>
      <w:r>
        <w:rPr/>
        <w:t>el</w:t>
      </w:r>
      <w:r>
        <w:rPr>
          <w:spacing w:val="-16"/>
        </w:rPr>
        <w:t> </w:t>
      </w:r>
      <w:r>
        <w:rPr/>
        <w:t>manejo</w:t>
      </w:r>
      <w:r>
        <w:rPr>
          <w:spacing w:val="-16"/>
        </w:rPr>
        <w:t> </w:t>
      </w:r>
      <w:r>
        <w:rPr/>
        <w:t>de</w:t>
      </w:r>
      <w:r>
        <w:rPr>
          <w:spacing w:val="-16"/>
        </w:rPr>
        <w:t> </w:t>
      </w:r>
      <w:r>
        <w:rPr/>
        <w:t>los</w:t>
      </w:r>
      <w:r>
        <w:rPr>
          <w:spacing w:val="-16"/>
        </w:rPr>
        <w:t> </w:t>
      </w:r>
      <w:r>
        <w:rPr/>
        <w:t>recursos naturales, se agrega otro concepto, la noción del “proceso de la planeación”, el cual   es un instrumento metodológico que ayuda a conducir de la problemática a acciones concretas para intervenir en su solución, mediante una serie de fases denominadas: caracterización, diagnóstico y prospectiva. En los casos de estudio tratados en este documento,</w:t>
      </w:r>
      <w:r>
        <w:rPr>
          <w:spacing w:val="-7"/>
        </w:rPr>
        <w:t> </w:t>
      </w:r>
      <w:r>
        <w:rPr/>
        <w:t>el</w:t>
      </w:r>
      <w:r>
        <w:rPr>
          <w:spacing w:val="-7"/>
        </w:rPr>
        <w:t> </w:t>
      </w:r>
      <w:r>
        <w:rPr/>
        <w:t>proceso</w:t>
      </w:r>
      <w:r>
        <w:rPr>
          <w:spacing w:val="-7"/>
        </w:rPr>
        <w:t> </w:t>
      </w:r>
      <w:r>
        <w:rPr/>
        <w:t>de</w:t>
      </w:r>
      <w:r>
        <w:rPr>
          <w:spacing w:val="-7"/>
        </w:rPr>
        <w:t> </w:t>
      </w:r>
      <w:r>
        <w:rPr/>
        <w:t>planeación</w:t>
      </w:r>
      <w:r>
        <w:rPr>
          <w:spacing w:val="-7"/>
        </w:rPr>
        <w:t> </w:t>
      </w:r>
      <w:r>
        <w:rPr/>
        <w:t>permite</w:t>
      </w:r>
      <w:r>
        <w:rPr>
          <w:spacing w:val="-7"/>
        </w:rPr>
        <w:t> </w:t>
      </w:r>
      <w:r>
        <w:rPr/>
        <w:t>ofrecer</w:t>
      </w:r>
      <w:r>
        <w:rPr>
          <w:spacing w:val="-7"/>
        </w:rPr>
        <w:t> </w:t>
      </w:r>
      <w:r>
        <w:rPr/>
        <w:t>propuestas</w:t>
      </w:r>
      <w:r>
        <w:rPr>
          <w:spacing w:val="-7"/>
        </w:rPr>
        <w:t> </w:t>
      </w:r>
      <w:r>
        <w:rPr/>
        <w:t>para</w:t>
      </w:r>
      <w:r>
        <w:rPr>
          <w:spacing w:val="-7"/>
        </w:rPr>
        <w:t> </w:t>
      </w:r>
      <w:r>
        <w:rPr/>
        <w:t>que</w:t>
      </w:r>
      <w:r>
        <w:rPr>
          <w:spacing w:val="-7"/>
        </w:rPr>
        <w:t> </w:t>
      </w:r>
      <w:r>
        <w:rPr/>
        <w:t>éstas</w:t>
      </w:r>
      <w:r>
        <w:rPr>
          <w:spacing w:val="-7"/>
        </w:rPr>
        <w:t> </w:t>
      </w:r>
      <w:r>
        <w:rPr/>
        <w:t>fueran ejecutadas por las autoridades</w:t>
      </w:r>
      <w:r>
        <w:rPr>
          <w:spacing w:val="53"/>
        </w:rPr>
        <w:t> </w:t>
      </w:r>
      <w:r>
        <w:rPr/>
        <w:t>correspondientes.</w:t>
      </w:r>
    </w:p>
    <w:p>
      <w:pPr>
        <w:pStyle w:val="BodyText"/>
        <w:spacing w:before="11"/>
      </w:pPr>
    </w:p>
    <w:p>
      <w:pPr>
        <w:pStyle w:val="BodyText"/>
        <w:spacing w:line="249" w:lineRule="auto"/>
        <w:ind w:left="130" w:right="127" w:firstLine="170"/>
        <w:jc w:val="both"/>
      </w:pPr>
      <w:r>
        <w:rPr/>
        <w:t>Con base a los principios de los enfoques teóricos, se han extraído las categorías principales que resumen dichos enfoques, se pretendió observar cómo se experimentaban éstos conceptos en los casos de estudio, con la perspectiva de identificar las necesidades y demandas de los agentes locales, pues cada caso local representa una situación particular. Los criterios que sirvieron como plataforma para abordar los casos de estudio son los siguientes:</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104"/>
          <w:pgSz w:w="18830" w:h="12760" w:orient="landscape"/>
          <w:pgMar w:footer="1036" w:header="522" w:top="820" w:bottom="1220" w:left="720" w:right="720"/>
        </w:sectPr>
      </w:pPr>
    </w:p>
    <w:p>
      <w:pPr>
        <w:pStyle w:val="BodyText"/>
        <w:spacing w:line="249" w:lineRule="auto" w:before="76"/>
        <w:ind w:left="128" w:right="1" w:firstLine="170"/>
        <w:jc w:val="both"/>
      </w:pPr>
      <w:r>
        <w:rPr/>
        <w:t>-Visión sistemática: se concibe a la problemática como un todo la cual ésta conformada por diversas partes desde diferentes dimensiones. Para su estudio se divide el todo, en cinco subsistemas de análisis que son: socio cultural, económico, tecnológico, biofísico y el político-administrativo (Alvarado, 2012). Estos subsistemas se</w:t>
      </w:r>
      <w:r>
        <w:rPr>
          <w:spacing w:val="-4"/>
        </w:rPr>
        <w:t> </w:t>
      </w:r>
      <w:r>
        <w:rPr/>
        <w:t>tratan</w:t>
      </w:r>
      <w:r>
        <w:rPr>
          <w:spacing w:val="-4"/>
        </w:rPr>
        <w:t> </w:t>
      </w:r>
      <w:r>
        <w:rPr/>
        <w:t>desde</w:t>
      </w:r>
      <w:r>
        <w:rPr>
          <w:spacing w:val="-4"/>
        </w:rPr>
        <w:t> </w:t>
      </w:r>
      <w:r>
        <w:rPr/>
        <w:t>cada</w:t>
      </w:r>
      <w:r>
        <w:rPr>
          <w:spacing w:val="-4"/>
        </w:rPr>
        <w:t> </w:t>
      </w:r>
      <w:r>
        <w:rPr/>
        <w:t>cuerpo</w:t>
      </w:r>
      <w:r>
        <w:rPr>
          <w:spacing w:val="-4"/>
        </w:rPr>
        <w:t> </w:t>
      </w:r>
      <w:r>
        <w:rPr/>
        <w:t>disciplinario,</w:t>
      </w:r>
      <w:r>
        <w:rPr>
          <w:spacing w:val="-4"/>
        </w:rPr>
        <w:t> </w:t>
      </w:r>
      <w:r>
        <w:rPr/>
        <w:t>y</w:t>
      </w:r>
      <w:r>
        <w:rPr>
          <w:spacing w:val="-4"/>
        </w:rPr>
        <w:t> </w:t>
      </w:r>
      <w:r>
        <w:rPr/>
        <w:t>se</w:t>
      </w:r>
      <w:r>
        <w:rPr>
          <w:spacing w:val="-4"/>
        </w:rPr>
        <w:t> </w:t>
      </w:r>
      <w:r>
        <w:rPr/>
        <w:t>considera</w:t>
      </w:r>
      <w:r>
        <w:rPr>
          <w:spacing w:val="-4"/>
        </w:rPr>
        <w:t> </w:t>
      </w:r>
      <w:r>
        <w:rPr/>
        <w:t>los</w:t>
      </w:r>
      <w:r>
        <w:rPr>
          <w:spacing w:val="-4"/>
        </w:rPr>
        <w:t> </w:t>
      </w:r>
      <w:r>
        <w:rPr/>
        <w:t>puntos</w:t>
      </w:r>
      <w:r>
        <w:rPr>
          <w:spacing w:val="-4"/>
        </w:rPr>
        <w:t> </w:t>
      </w:r>
      <w:r>
        <w:rPr/>
        <w:t>de</w:t>
      </w:r>
      <w:r>
        <w:rPr>
          <w:spacing w:val="-4"/>
        </w:rPr>
        <w:t> </w:t>
      </w:r>
      <w:r>
        <w:rPr/>
        <w:t>confluencia</w:t>
      </w:r>
      <w:r>
        <w:rPr>
          <w:spacing w:val="-4"/>
        </w:rPr>
        <w:t> </w:t>
      </w:r>
      <w:r>
        <w:rPr/>
        <w:t>que se tienen entre cada</w:t>
      </w:r>
      <w:r>
        <w:rPr>
          <w:spacing w:val="20"/>
        </w:rPr>
        <w:t> </w:t>
      </w:r>
      <w:r>
        <w:rPr/>
        <w:t>disciplina.</w:t>
      </w:r>
    </w:p>
    <w:p>
      <w:pPr>
        <w:pStyle w:val="BodyText"/>
        <w:spacing w:before="11"/>
      </w:pPr>
    </w:p>
    <w:p>
      <w:pPr>
        <w:pStyle w:val="BodyText"/>
        <w:spacing w:line="249" w:lineRule="auto"/>
        <w:ind w:left="128" w:firstLine="170"/>
        <w:jc w:val="both"/>
      </w:pPr>
      <w:r>
        <w:rPr/>
        <w:t>-Participación de los agentes locales: Los agentes tienen un papel protagónico en la construcción</w:t>
      </w:r>
      <w:r>
        <w:rPr>
          <w:spacing w:val="-9"/>
        </w:rPr>
        <w:t> </w:t>
      </w:r>
      <w:r>
        <w:rPr/>
        <w:t>en</w:t>
      </w:r>
      <w:r>
        <w:rPr>
          <w:spacing w:val="-9"/>
        </w:rPr>
        <w:t> </w:t>
      </w:r>
      <w:r>
        <w:rPr/>
        <w:t>el</w:t>
      </w:r>
      <w:r>
        <w:rPr>
          <w:spacing w:val="-9"/>
        </w:rPr>
        <w:t> </w:t>
      </w:r>
      <w:r>
        <w:rPr/>
        <w:t>desarrollo</w:t>
      </w:r>
      <w:r>
        <w:rPr>
          <w:spacing w:val="-9"/>
        </w:rPr>
        <w:t> </w:t>
      </w:r>
      <w:r>
        <w:rPr/>
        <w:t>de</w:t>
      </w:r>
      <w:r>
        <w:rPr>
          <w:spacing w:val="-9"/>
        </w:rPr>
        <w:t> </w:t>
      </w:r>
      <w:r>
        <w:rPr/>
        <w:t>una</w:t>
      </w:r>
      <w:r>
        <w:rPr>
          <w:spacing w:val="-9"/>
        </w:rPr>
        <w:t> </w:t>
      </w:r>
      <w:r>
        <w:rPr/>
        <w:t>comunidad,</w:t>
      </w:r>
      <w:r>
        <w:rPr>
          <w:spacing w:val="-9"/>
        </w:rPr>
        <w:t> </w:t>
      </w:r>
      <w:r>
        <w:rPr/>
        <w:t>pues</w:t>
      </w:r>
      <w:r>
        <w:rPr>
          <w:spacing w:val="-9"/>
        </w:rPr>
        <w:t> </w:t>
      </w:r>
      <w:r>
        <w:rPr/>
        <w:t>son</w:t>
      </w:r>
      <w:r>
        <w:rPr>
          <w:spacing w:val="-9"/>
        </w:rPr>
        <w:t> </w:t>
      </w:r>
      <w:r>
        <w:rPr/>
        <w:t>ellos</w:t>
      </w:r>
      <w:r>
        <w:rPr>
          <w:spacing w:val="-9"/>
        </w:rPr>
        <w:t> </w:t>
      </w:r>
      <w:r>
        <w:rPr/>
        <w:t>quienes</w:t>
      </w:r>
      <w:r>
        <w:rPr>
          <w:spacing w:val="-9"/>
        </w:rPr>
        <w:t> </w:t>
      </w:r>
      <w:r>
        <w:rPr/>
        <w:t>experimentan</w:t>
      </w:r>
      <w:r>
        <w:rPr>
          <w:spacing w:val="-9"/>
        </w:rPr>
        <w:t> </w:t>
      </w:r>
      <w:r>
        <w:rPr/>
        <w:t>y conocen los problemas, por ello en cualquier estudio existe la necesidad de considerar su participación activa tanto en la identificación de la problemática, como en la formulación de soluciones, pues existen saberes de usos y costumbres, ideologías propias de cada comunidad que en determinado momento puede ser un obstáculo para que se lleven a cabo alguna</w:t>
      </w:r>
      <w:r>
        <w:rPr>
          <w:spacing w:val="1"/>
        </w:rPr>
        <w:t> </w:t>
      </w:r>
      <w:r>
        <w:rPr/>
        <w:t>estrategia.</w:t>
      </w:r>
    </w:p>
    <w:p>
      <w:pPr>
        <w:pStyle w:val="BodyText"/>
        <w:spacing w:before="11"/>
      </w:pPr>
    </w:p>
    <w:p>
      <w:pPr>
        <w:pStyle w:val="BodyText"/>
        <w:spacing w:line="249" w:lineRule="auto"/>
        <w:ind w:left="128" w:firstLine="170"/>
        <w:jc w:val="both"/>
      </w:pPr>
      <w:r>
        <w:rPr/>
        <w:t>-Valoración</w:t>
      </w:r>
      <w:r>
        <w:rPr>
          <w:spacing w:val="36"/>
        </w:rPr>
        <w:t> </w:t>
      </w:r>
      <w:r>
        <w:rPr/>
        <w:t>de</w:t>
      </w:r>
      <w:r>
        <w:rPr>
          <w:spacing w:val="36"/>
        </w:rPr>
        <w:t> </w:t>
      </w:r>
      <w:r>
        <w:rPr/>
        <w:t>los</w:t>
      </w:r>
      <w:r>
        <w:rPr>
          <w:spacing w:val="36"/>
        </w:rPr>
        <w:t> </w:t>
      </w:r>
      <w:r>
        <w:rPr/>
        <w:t>recursos</w:t>
      </w:r>
      <w:r>
        <w:rPr>
          <w:spacing w:val="36"/>
        </w:rPr>
        <w:t> </w:t>
      </w:r>
      <w:r>
        <w:rPr/>
        <w:t>naturales:</w:t>
      </w:r>
      <w:r>
        <w:rPr>
          <w:spacing w:val="36"/>
        </w:rPr>
        <w:t> </w:t>
      </w:r>
      <w:r>
        <w:rPr/>
        <w:t>El</w:t>
      </w:r>
      <w:r>
        <w:rPr>
          <w:spacing w:val="36"/>
        </w:rPr>
        <w:t> </w:t>
      </w:r>
      <w:r>
        <w:rPr/>
        <w:t>contacto</w:t>
      </w:r>
      <w:r>
        <w:rPr>
          <w:spacing w:val="36"/>
        </w:rPr>
        <w:t> </w:t>
      </w:r>
      <w:r>
        <w:rPr/>
        <w:t>directo</w:t>
      </w:r>
      <w:r>
        <w:rPr>
          <w:spacing w:val="36"/>
        </w:rPr>
        <w:t> </w:t>
      </w:r>
      <w:r>
        <w:rPr/>
        <w:t>de</w:t>
      </w:r>
      <w:r>
        <w:rPr>
          <w:spacing w:val="36"/>
        </w:rPr>
        <w:t> </w:t>
      </w:r>
      <w:r>
        <w:rPr/>
        <w:t>los</w:t>
      </w:r>
      <w:r>
        <w:rPr>
          <w:spacing w:val="36"/>
        </w:rPr>
        <w:t> </w:t>
      </w:r>
      <w:r>
        <w:rPr/>
        <w:t>agentes</w:t>
      </w:r>
      <w:r>
        <w:rPr>
          <w:spacing w:val="36"/>
        </w:rPr>
        <w:t> </w:t>
      </w:r>
      <w:r>
        <w:rPr/>
        <w:t>con</w:t>
      </w:r>
      <w:r>
        <w:rPr>
          <w:spacing w:val="36"/>
        </w:rPr>
        <w:t> </w:t>
      </w:r>
      <w:r>
        <w:rPr/>
        <w:t>los</w:t>
      </w:r>
      <w:r>
        <w:rPr>
          <w:w w:val="101"/>
        </w:rPr>
        <w:t> </w:t>
      </w:r>
      <w:r>
        <w:rPr/>
        <w:t>recursos</w:t>
      </w:r>
      <w:r>
        <w:rPr>
          <w:spacing w:val="-4"/>
        </w:rPr>
        <w:t> </w:t>
      </w:r>
      <w:r>
        <w:rPr/>
        <w:t>naturales</w:t>
      </w:r>
      <w:r>
        <w:rPr>
          <w:spacing w:val="-4"/>
        </w:rPr>
        <w:t> </w:t>
      </w:r>
      <w:r>
        <w:rPr/>
        <w:t>les</w:t>
      </w:r>
      <w:r>
        <w:rPr>
          <w:spacing w:val="-4"/>
        </w:rPr>
        <w:t> </w:t>
      </w:r>
      <w:r>
        <w:rPr/>
        <w:t>da</w:t>
      </w:r>
      <w:r>
        <w:rPr>
          <w:spacing w:val="-4"/>
        </w:rPr>
        <w:t> </w:t>
      </w:r>
      <w:r>
        <w:rPr/>
        <w:t>un</w:t>
      </w:r>
      <w:r>
        <w:rPr>
          <w:spacing w:val="-4"/>
        </w:rPr>
        <w:t> </w:t>
      </w:r>
      <w:r>
        <w:rPr/>
        <w:t>conocimiento</w:t>
      </w:r>
      <w:r>
        <w:rPr>
          <w:spacing w:val="-4"/>
        </w:rPr>
        <w:t> </w:t>
      </w:r>
      <w:r>
        <w:rPr/>
        <w:t>y</w:t>
      </w:r>
      <w:r>
        <w:rPr>
          <w:spacing w:val="-4"/>
        </w:rPr>
        <w:t> </w:t>
      </w:r>
      <w:r>
        <w:rPr/>
        <w:t>valoración</w:t>
      </w:r>
      <w:r>
        <w:rPr>
          <w:spacing w:val="-4"/>
        </w:rPr>
        <w:t> </w:t>
      </w:r>
      <w:r>
        <w:rPr/>
        <w:t>de</w:t>
      </w:r>
      <w:r>
        <w:rPr>
          <w:spacing w:val="-4"/>
        </w:rPr>
        <w:t> </w:t>
      </w:r>
      <w:r>
        <w:rPr/>
        <w:t>los</w:t>
      </w:r>
      <w:r>
        <w:rPr>
          <w:spacing w:val="-4"/>
        </w:rPr>
        <w:t> </w:t>
      </w:r>
      <w:r>
        <w:rPr/>
        <w:t>mismos;</w:t>
      </w:r>
      <w:r>
        <w:rPr>
          <w:spacing w:val="-4"/>
        </w:rPr>
        <w:t> </w:t>
      </w:r>
      <w:r>
        <w:rPr/>
        <w:t>incluso</w:t>
      </w:r>
      <w:r>
        <w:rPr>
          <w:spacing w:val="-4"/>
        </w:rPr>
        <w:t> </w:t>
      </w:r>
      <w:r>
        <w:rPr/>
        <w:t>como</w:t>
      </w:r>
      <w:r>
        <w:rPr>
          <w:spacing w:val="-4"/>
        </w:rPr>
        <w:t> </w:t>
      </w:r>
      <w:r>
        <w:rPr/>
        <w:t>se comentó en apartado anterior, los considera como parte de su cotidianeidad. El</w:t>
      </w:r>
      <w:r>
        <w:rPr>
          <w:spacing w:val="17"/>
        </w:rPr>
        <w:t> </w:t>
      </w:r>
      <w:r>
        <w:rPr/>
        <w:t>uso</w:t>
      </w:r>
      <w:r>
        <w:rPr>
          <w:spacing w:val="10"/>
        </w:rPr>
        <w:t> </w:t>
      </w:r>
      <w:r>
        <w:rPr/>
        <w:t>y aprovechamiento adecuado de los recursos por quienes experimentan cotidianamente su</w:t>
      </w:r>
      <w:r>
        <w:rPr>
          <w:spacing w:val="14"/>
        </w:rPr>
        <w:t> </w:t>
      </w:r>
      <w:r>
        <w:rPr/>
        <w:t>situación.</w:t>
      </w:r>
    </w:p>
    <w:p>
      <w:pPr>
        <w:pStyle w:val="BodyText"/>
        <w:spacing w:before="11"/>
      </w:pPr>
    </w:p>
    <w:p>
      <w:pPr>
        <w:pStyle w:val="BodyText"/>
        <w:spacing w:line="249" w:lineRule="auto"/>
        <w:ind w:left="128" w:firstLine="170"/>
        <w:jc w:val="both"/>
      </w:pPr>
      <w:r>
        <w:rPr/>
        <w:t>-Uso</w:t>
      </w:r>
      <w:r>
        <w:rPr>
          <w:spacing w:val="31"/>
        </w:rPr>
        <w:t> </w:t>
      </w:r>
      <w:r>
        <w:rPr/>
        <w:t>de</w:t>
      </w:r>
      <w:r>
        <w:rPr>
          <w:spacing w:val="31"/>
        </w:rPr>
        <w:t> </w:t>
      </w:r>
      <w:r>
        <w:rPr/>
        <w:t>los</w:t>
      </w:r>
      <w:r>
        <w:rPr>
          <w:spacing w:val="31"/>
        </w:rPr>
        <w:t> </w:t>
      </w:r>
      <w:r>
        <w:rPr/>
        <w:t>recursos</w:t>
      </w:r>
      <w:r>
        <w:rPr>
          <w:spacing w:val="31"/>
        </w:rPr>
        <w:t> </w:t>
      </w:r>
      <w:r>
        <w:rPr/>
        <w:t>locales:</w:t>
      </w:r>
      <w:r>
        <w:rPr>
          <w:spacing w:val="31"/>
        </w:rPr>
        <w:t> </w:t>
      </w:r>
      <w:r>
        <w:rPr/>
        <w:t>Además</w:t>
      </w:r>
      <w:r>
        <w:rPr>
          <w:spacing w:val="31"/>
        </w:rPr>
        <w:t> </w:t>
      </w:r>
      <w:r>
        <w:rPr/>
        <w:t>de</w:t>
      </w:r>
      <w:r>
        <w:rPr>
          <w:spacing w:val="31"/>
        </w:rPr>
        <w:t> </w:t>
      </w:r>
      <w:r>
        <w:rPr/>
        <w:t>los</w:t>
      </w:r>
      <w:r>
        <w:rPr>
          <w:spacing w:val="31"/>
        </w:rPr>
        <w:t> </w:t>
      </w:r>
      <w:r>
        <w:rPr/>
        <w:t>naturales,</w:t>
      </w:r>
      <w:r>
        <w:rPr>
          <w:spacing w:val="31"/>
        </w:rPr>
        <w:t> </w:t>
      </w:r>
      <w:r>
        <w:rPr/>
        <w:t>la</w:t>
      </w:r>
      <w:r>
        <w:rPr>
          <w:spacing w:val="31"/>
        </w:rPr>
        <w:t> </w:t>
      </w:r>
      <w:r>
        <w:rPr/>
        <w:t>utilización</w:t>
      </w:r>
      <w:r>
        <w:rPr>
          <w:spacing w:val="31"/>
        </w:rPr>
        <w:t> </w:t>
      </w:r>
      <w:r>
        <w:rPr/>
        <w:t>de</w:t>
      </w:r>
      <w:r>
        <w:rPr>
          <w:spacing w:val="31"/>
        </w:rPr>
        <w:t> </w:t>
      </w:r>
      <w:r>
        <w:rPr/>
        <w:t>mano</w:t>
      </w:r>
      <w:r>
        <w:rPr>
          <w:spacing w:val="31"/>
        </w:rPr>
        <w:t> </w:t>
      </w:r>
      <w:r>
        <w:rPr/>
        <w:t>de</w:t>
      </w:r>
      <w:r>
        <w:rPr>
          <w:w w:val="101"/>
        </w:rPr>
        <w:t> </w:t>
      </w:r>
      <w:r>
        <w:rPr/>
        <w:t>obra de la localidad o recursos materiales de la misma, genera efectos</w:t>
      </w:r>
      <w:r>
        <w:rPr>
          <w:spacing w:val="-15"/>
        </w:rPr>
        <w:t> </w:t>
      </w:r>
      <w:r>
        <w:rPr/>
        <w:t>multiplicadores, a diferencia de que se exportaran a otros territorios, el hecho de considerar recursos locales  propicia se vaya involucrando mayor número de agentes y de</w:t>
      </w:r>
      <w:r>
        <w:rPr>
          <w:spacing w:val="45"/>
        </w:rPr>
        <w:t> </w:t>
      </w:r>
      <w:r>
        <w:rPr/>
        <w:t>empresas.</w:t>
      </w:r>
    </w:p>
    <w:p>
      <w:pPr>
        <w:pStyle w:val="BodyText"/>
        <w:spacing w:before="11"/>
      </w:pPr>
    </w:p>
    <w:p>
      <w:pPr>
        <w:pStyle w:val="BodyText"/>
        <w:spacing w:line="249" w:lineRule="auto"/>
        <w:ind w:left="128" w:firstLine="224"/>
        <w:jc w:val="both"/>
      </w:pPr>
      <w:r>
        <w:rPr/>
        <w:t>-Respeto de la identidad cultural: Las creencias, usos y costumbres de la población son las raíces de cada comunidad, éstas determinan los comportamientos y actitudes</w:t>
      </w:r>
      <w:r>
        <w:rPr>
          <w:w w:val="102"/>
        </w:rPr>
        <w:t> </w:t>
      </w:r>
      <w:r>
        <w:rPr/>
        <w:t>para llevar a cabo o no las acciones que en un momento dado permitan impulsar su propio desarrollo, se trata de respetar la postura de la comunidad para que a su vez acepten.</w:t>
      </w:r>
    </w:p>
    <w:p>
      <w:pPr>
        <w:pStyle w:val="BodyText"/>
        <w:spacing w:before="11"/>
      </w:pPr>
    </w:p>
    <w:p>
      <w:pPr>
        <w:pStyle w:val="BodyText"/>
        <w:spacing w:line="249" w:lineRule="auto"/>
        <w:ind w:left="128" w:firstLine="170"/>
        <w:jc w:val="both"/>
      </w:pPr>
      <w:r>
        <w:rPr/>
        <w:t>-Fortalecimiento de las redes productivas: que consiste en vigorizar la actividad económica es aspecto necesario para el DLS, más aún desde una visión de sistema. De ahí que es necesario considerar el concepto de red productiva, como él que hace referencia</w:t>
      </w:r>
      <w:r>
        <w:rPr>
          <w:spacing w:val="-11"/>
        </w:rPr>
        <w:t> </w:t>
      </w:r>
      <w:r>
        <w:rPr/>
        <w:t>un</w:t>
      </w:r>
      <w:r>
        <w:rPr>
          <w:spacing w:val="-11"/>
        </w:rPr>
        <w:t> </w:t>
      </w:r>
      <w:r>
        <w:rPr/>
        <w:t>sistema</w:t>
      </w:r>
      <w:r>
        <w:rPr>
          <w:spacing w:val="-11"/>
        </w:rPr>
        <w:t> </w:t>
      </w:r>
      <w:r>
        <w:rPr/>
        <w:t>de</w:t>
      </w:r>
      <w:r>
        <w:rPr>
          <w:spacing w:val="-11"/>
        </w:rPr>
        <w:t> </w:t>
      </w:r>
      <w:r>
        <w:rPr/>
        <w:t>relaciones</w:t>
      </w:r>
      <w:r>
        <w:rPr>
          <w:spacing w:val="-11"/>
        </w:rPr>
        <w:t> </w:t>
      </w:r>
      <w:r>
        <w:rPr/>
        <w:t>y</w:t>
      </w:r>
      <w:r>
        <w:rPr>
          <w:spacing w:val="-11"/>
        </w:rPr>
        <w:t> </w:t>
      </w:r>
      <w:r>
        <w:rPr/>
        <w:t>contactos</w:t>
      </w:r>
      <w:r>
        <w:rPr>
          <w:spacing w:val="-11"/>
        </w:rPr>
        <w:t> </w:t>
      </w:r>
      <w:r>
        <w:rPr/>
        <w:t>que</w:t>
      </w:r>
      <w:r>
        <w:rPr>
          <w:spacing w:val="-11"/>
        </w:rPr>
        <w:t> </w:t>
      </w:r>
      <w:r>
        <w:rPr/>
        <w:t>vinculan</w:t>
      </w:r>
      <w:r>
        <w:rPr>
          <w:spacing w:val="-11"/>
        </w:rPr>
        <w:t> </w:t>
      </w:r>
      <w:r>
        <w:rPr/>
        <w:t>a</w:t>
      </w:r>
      <w:r>
        <w:rPr>
          <w:spacing w:val="-11"/>
        </w:rPr>
        <w:t> </w:t>
      </w:r>
      <w:r>
        <w:rPr/>
        <w:t>las</w:t>
      </w:r>
      <w:r>
        <w:rPr>
          <w:spacing w:val="-11"/>
        </w:rPr>
        <w:t> </w:t>
      </w:r>
      <w:r>
        <w:rPr/>
        <w:t>unidades</w:t>
      </w:r>
      <w:r>
        <w:rPr>
          <w:spacing w:val="-11"/>
        </w:rPr>
        <w:t> </w:t>
      </w:r>
      <w:r>
        <w:rPr/>
        <w:t>productivas y actores, este trato es mediante bienes materiales, información o tecnología. (Díaz en Hoyos y Cadena,</w:t>
      </w:r>
      <w:r>
        <w:rPr>
          <w:spacing w:val="-12"/>
        </w:rPr>
        <w:t> </w:t>
      </w:r>
      <w:r>
        <w:rPr/>
        <w:t>2011:10)</w:t>
      </w:r>
    </w:p>
    <w:p>
      <w:pPr>
        <w:pStyle w:val="BodyText"/>
        <w:spacing w:before="11"/>
      </w:pPr>
    </w:p>
    <w:p>
      <w:pPr>
        <w:pStyle w:val="BodyText"/>
        <w:spacing w:line="249" w:lineRule="auto"/>
        <w:ind w:left="128" w:firstLine="170"/>
        <w:jc w:val="both"/>
      </w:pPr>
      <w:r>
        <w:rPr/>
        <w:t>-Fases del proceso de planeación: Estas fases son la caracterización, diagnóstico, prospectiva y propuesta. La característica es la parte analítica para cada uno de los subsistemas, y con base a la descripción de todos los subsistemas se lleva a cabo el</w:t>
      </w:r>
    </w:p>
    <w:p>
      <w:pPr>
        <w:pStyle w:val="BodyText"/>
        <w:spacing w:line="249" w:lineRule="auto" w:before="76"/>
        <w:ind w:left="128" w:right="127"/>
        <w:jc w:val="both"/>
      </w:pPr>
      <w:r>
        <w:rPr/>
        <w:br w:type="column"/>
      </w:r>
      <w:r>
        <w:rPr/>
        <w:t>diagnóstico. Posteriormente, la prospectiva se reorienta a la formulación de escenarios para elegir uno de ellos, y de ahí proceder a la elaboración de planes, programas y proyectos.</w:t>
      </w:r>
    </w:p>
    <w:p>
      <w:pPr>
        <w:pStyle w:val="BodyText"/>
      </w:pPr>
    </w:p>
    <w:p>
      <w:pPr>
        <w:pStyle w:val="BodyText"/>
        <w:spacing w:before="6"/>
        <w:rPr>
          <w:sz w:val="18"/>
        </w:rPr>
      </w:pPr>
    </w:p>
    <w:p>
      <w:pPr>
        <w:pStyle w:val="Heading1"/>
        <w:ind w:left="567" w:right="151"/>
      </w:pPr>
      <w:r>
        <w:rPr/>
        <w:t>Experiencias y lecciones aprendidas de los casos de estudio.</w:t>
      </w:r>
    </w:p>
    <w:p>
      <w:pPr>
        <w:pStyle w:val="ListParagraph"/>
        <w:numPr>
          <w:ilvl w:val="0"/>
          <w:numId w:val="15"/>
        </w:numPr>
        <w:tabs>
          <w:tab w:pos="575" w:val="left" w:leader="none"/>
        </w:tabs>
        <w:spacing w:line="240" w:lineRule="auto" w:before="204" w:after="0"/>
        <w:ind w:left="574" w:right="0" w:hanging="276"/>
        <w:jc w:val="left"/>
        <w:rPr>
          <w:b/>
          <w:sz w:val="24"/>
        </w:rPr>
      </w:pPr>
      <w:r>
        <w:rPr>
          <w:b/>
          <w:sz w:val="24"/>
        </w:rPr>
        <w:t>Programa de saneamiento de la cuenca del arroyo El</w:t>
      </w:r>
      <w:r>
        <w:rPr>
          <w:b/>
          <w:spacing w:val="45"/>
          <w:sz w:val="24"/>
        </w:rPr>
        <w:t> </w:t>
      </w:r>
      <w:r>
        <w:rPr>
          <w:b/>
          <w:sz w:val="24"/>
        </w:rPr>
        <w:t>Muerto.</w:t>
      </w:r>
    </w:p>
    <w:p>
      <w:pPr>
        <w:pStyle w:val="BodyText"/>
        <w:rPr>
          <w:b/>
          <w:sz w:val="21"/>
        </w:rPr>
      </w:pPr>
    </w:p>
    <w:p>
      <w:pPr>
        <w:pStyle w:val="BodyText"/>
        <w:spacing w:line="249" w:lineRule="auto"/>
        <w:ind w:left="128" w:right="127" w:firstLine="170"/>
        <w:jc w:val="both"/>
      </w:pPr>
      <w:r>
        <w:rPr/>
        <w:t>La experiencia por el estudio de la contaminación del agua, a  partir  de  la  aplicación del concepto de “proceso de manejo del agua”, ofreció la identificación       de actividades contaminantes, a partir de contemplar el manejo del líquido como un proceso conformado por fases secuenciales, comportadas como un sistema, en el   que interactúan procesos sociales con los de la naturaleza, donde los primeros son detonadores de las transformaciones que sufre la naturaleza, y que se revierten a la propia</w:t>
      </w:r>
      <w:r>
        <w:rPr>
          <w:spacing w:val="32"/>
        </w:rPr>
        <w:t> </w:t>
      </w:r>
      <w:r>
        <w:rPr/>
        <w:t>sociedad.</w:t>
      </w:r>
    </w:p>
    <w:p>
      <w:pPr>
        <w:pStyle w:val="BodyText"/>
        <w:spacing w:before="11"/>
      </w:pPr>
    </w:p>
    <w:p>
      <w:pPr>
        <w:pStyle w:val="BodyText"/>
        <w:spacing w:line="249" w:lineRule="auto"/>
        <w:ind w:left="128" w:right="127" w:firstLine="170"/>
        <w:jc w:val="both"/>
      </w:pPr>
      <w:r>
        <w:rPr/>
        <w:t>En tal sentido, una lección importante es identificar aquellas acciones causantes, directa o indirectamente de los desequilibrios ambientales, que para el caso de  estudio fue la contaminación hídrica, pero que la metodología permite aplicarlo a otros problemas hídricos que afectan poblaciones y </w:t>
      </w:r>
      <w:r>
        <w:rPr>
          <w:spacing w:val="9"/>
        </w:rPr>
        <w:t> </w:t>
      </w:r>
      <w:r>
        <w:rPr/>
        <w:t>ecosistemas.</w:t>
      </w:r>
    </w:p>
    <w:p>
      <w:pPr>
        <w:pStyle w:val="BodyText"/>
        <w:spacing w:before="11"/>
      </w:pPr>
    </w:p>
    <w:p>
      <w:pPr>
        <w:pStyle w:val="BodyText"/>
        <w:spacing w:line="249" w:lineRule="auto"/>
        <w:ind w:left="128" w:right="127" w:firstLine="170"/>
        <w:jc w:val="both"/>
      </w:pPr>
      <w:r>
        <w:rPr/>
        <w:t>También resulta de importancia tener presente la resistencia al cambio que resulta de exponer este trabajo en el ámbito del sector hidráulico del gobierno estatal, toda vez que tiene es un organismo que, para el problema de contaminación del agua, que es frecuente en el Estado de México y en el resto del país, tiene soluciones medulares que se ajustan por tamaño y configuración topográfica del terreno, pero que no atiende particularidades locales y se centra en el componente tecnológico del tratamiento, que es importante, ´pero no el</w:t>
      </w:r>
      <w:r>
        <w:rPr>
          <w:spacing w:val="13"/>
        </w:rPr>
        <w:t> </w:t>
      </w:r>
      <w:r>
        <w:rPr/>
        <w:t>único.</w:t>
      </w:r>
    </w:p>
    <w:p>
      <w:pPr>
        <w:pStyle w:val="BodyText"/>
        <w:spacing w:before="11"/>
      </w:pPr>
    </w:p>
    <w:p>
      <w:pPr>
        <w:pStyle w:val="BodyText"/>
        <w:spacing w:line="249" w:lineRule="auto"/>
        <w:ind w:left="128" w:right="127" w:firstLine="170"/>
        <w:jc w:val="both"/>
      </w:pPr>
      <w:r>
        <w:rPr/>
        <w:t>Por lo anterior, es importante considerar la complejidad en que se desenvuelve esta problemática y no centrar la atención en uno o dos temas, sino buscar las formas      de actuación de los distintos factores interactuantes, para comprender el proceso, en una perspectiva mayor que permita valorar aquellos componentes sobresalientes y buscar acciones sectoriales que permitan atender el problema desde sus causas, sin necesidad de centralizar decisiones y acciones que se magnifiquen por dejar correr el problema hasta un punto de atención de </w:t>
      </w:r>
      <w:r>
        <w:rPr>
          <w:spacing w:val="9"/>
        </w:rPr>
        <w:t> </w:t>
      </w:r>
      <w:r>
        <w:rPr/>
        <w:t>efectos.</w:t>
      </w:r>
    </w:p>
    <w:p>
      <w:pPr>
        <w:pStyle w:val="BodyText"/>
        <w:spacing w:before="11"/>
      </w:pPr>
    </w:p>
    <w:p>
      <w:pPr>
        <w:pStyle w:val="BodyText"/>
        <w:spacing w:line="249" w:lineRule="auto"/>
        <w:ind w:left="128" w:right="127" w:firstLine="170"/>
        <w:jc w:val="both"/>
      </w:pPr>
      <w:r>
        <w:rPr/>
        <w:t>Para ello, el principio precautorio es de vital importancia, para evitar el problema, en la medida de lo posible, o su atención inmediata, antes de que crezca, a manera de avalancha, y que se complique por su conjugación con otros procesos y elementos  que se</w:t>
      </w:r>
      <w:r>
        <w:rPr>
          <w:spacing w:val="10"/>
        </w:rPr>
        <w:t> </w:t>
      </w:r>
      <w:r>
        <w:rPr/>
        <w:t>adicionan.</w:t>
      </w:r>
    </w:p>
    <w:p>
      <w:pPr>
        <w:spacing w:after="0" w:line="249" w:lineRule="auto"/>
        <w:jc w:val="both"/>
        <w:sectPr>
          <w:type w:val="continuous"/>
          <w:pgSz w:w="18830" w:h="12760" w:orient="landscape"/>
          <w:pgMar w:top="1420" w:bottom="280" w:left="720" w:right="720"/>
          <w:cols w:num="2" w:equalWidth="0">
            <w:col w:w="7840" w:space="1573"/>
            <w:col w:w="7977"/>
          </w:cols>
        </w:sectPr>
      </w:pPr>
    </w:p>
    <w:p>
      <w:pPr>
        <w:pStyle w:val="BodyText"/>
        <w:spacing w:before="8"/>
      </w:pPr>
    </w:p>
    <w:p>
      <w:pPr>
        <w:spacing w:after="0"/>
        <w:sectPr>
          <w:footerReference w:type="default" r:id="rId105"/>
          <w:pgSz w:w="18830" w:h="12760" w:orient="landscape"/>
          <w:pgMar w:footer="1036" w:header="522" w:top="820" w:bottom="1220" w:left="720" w:right="720"/>
        </w:sectPr>
      </w:pPr>
    </w:p>
    <w:p>
      <w:pPr>
        <w:pStyle w:val="Heading1"/>
        <w:numPr>
          <w:ilvl w:val="0"/>
          <w:numId w:val="15"/>
        </w:numPr>
        <w:tabs>
          <w:tab w:pos="585" w:val="left" w:leader="none"/>
        </w:tabs>
        <w:spacing w:line="240" w:lineRule="auto" w:before="71" w:after="0"/>
        <w:ind w:left="584" w:right="0" w:hanging="284"/>
        <w:jc w:val="left"/>
      </w:pPr>
      <w:r>
        <w:rPr/>
        <w:t>Proyecto de residuos sólidos orgánicos e</w:t>
      </w:r>
      <w:r>
        <w:rPr>
          <w:spacing w:val="-39"/>
        </w:rPr>
        <w:t> </w:t>
      </w:r>
      <w:r>
        <w:rPr/>
        <w:t>inorgánicos</w:t>
      </w:r>
    </w:p>
    <w:p>
      <w:pPr>
        <w:pStyle w:val="BodyText"/>
        <w:rPr>
          <w:b/>
          <w:sz w:val="21"/>
        </w:rPr>
      </w:pPr>
    </w:p>
    <w:p>
      <w:pPr>
        <w:pStyle w:val="BodyText"/>
        <w:spacing w:line="249" w:lineRule="auto"/>
        <w:ind w:left="130" w:firstLine="170"/>
        <w:jc w:val="both"/>
      </w:pPr>
      <w:r>
        <w:rPr/>
        <w:t>El diagnóstico se abordó con información documental y acopio de fuentes directas, desde los subsistemas: biofísico, sociocultural, tecnológico, económico y político- administrativo. Se describieron cada uno de los subsistemas por separado, con el propósito de precisar la  información.</w:t>
      </w:r>
    </w:p>
    <w:p>
      <w:pPr>
        <w:pStyle w:val="BodyText"/>
        <w:spacing w:before="11"/>
      </w:pPr>
    </w:p>
    <w:p>
      <w:pPr>
        <w:pStyle w:val="BodyText"/>
        <w:spacing w:line="249" w:lineRule="auto"/>
        <w:ind w:left="130" w:firstLine="170"/>
        <w:jc w:val="both"/>
      </w:pPr>
      <w:r>
        <w:rPr/>
        <w:t>El acopio de información directa se obtuvo principalmente mediante investigación participativa de donde la observación y la interacción con los diversos agentes fueron estrategias esenciales, pues fueron el medio para indagar las acepciones del uso y manejo de los residuos sólidos. De esa manera se pretendía tener el contexto general de la comunidad para conocer determinantes del comportamiento del manejo de los residuos.</w:t>
      </w:r>
    </w:p>
    <w:p>
      <w:pPr>
        <w:pStyle w:val="BodyText"/>
        <w:spacing w:before="11"/>
      </w:pPr>
    </w:p>
    <w:p>
      <w:pPr>
        <w:pStyle w:val="BodyText"/>
        <w:spacing w:line="249" w:lineRule="auto"/>
        <w:ind w:left="130" w:firstLine="170"/>
        <w:jc w:val="both"/>
      </w:pPr>
      <w:r>
        <w:rPr/>
        <w:t>En</w:t>
      </w:r>
      <w:r>
        <w:rPr>
          <w:spacing w:val="-24"/>
        </w:rPr>
        <w:t> </w:t>
      </w:r>
      <w:r>
        <w:rPr/>
        <w:t>este</w:t>
      </w:r>
      <w:r>
        <w:rPr>
          <w:spacing w:val="-24"/>
        </w:rPr>
        <w:t> </w:t>
      </w:r>
      <w:r>
        <w:rPr/>
        <w:t>proceso</w:t>
      </w:r>
      <w:r>
        <w:rPr>
          <w:spacing w:val="-24"/>
        </w:rPr>
        <w:t> </w:t>
      </w:r>
      <w:r>
        <w:rPr/>
        <w:t>se</w:t>
      </w:r>
      <w:r>
        <w:rPr>
          <w:spacing w:val="-24"/>
        </w:rPr>
        <w:t> </w:t>
      </w:r>
      <w:r>
        <w:rPr/>
        <w:t>destacan</w:t>
      </w:r>
      <w:r>
        <w:rPr>
          <w:spacing w:val="-24"/>
        </w:rPr>
        <w:t> </w:t>
      </w:r>
      <w:r>
        <w:rPr/>
        <w:t>algunos</w:t>
      </w:r>
      <w:r>
        <w:rPr>
          <w:spacing w:val="-24"/>
        </w:rPr>
        <w:t> </w:t>
      </w:r>
      <w:r>
        <w:rPr/>
        <w:t>de</w:t>
      </w:r>
      <w:r>
        <w:rPr>
          <w:spacing w:val="-24"/>
        </w:rPr>
        <w:t> </w:t>
      </w:r>
      <w:r>
        <w:rPr/>
        <w:t>los</w:t>
      </w:r>
      <w:r>
        <w:rPr>
          <w:spacing w:val="-24"/>
        </w:rPr>
        <w:t> </w:t>
      </w:r>
      <w:r>
        <w:rPr/>
        <w:t>principios</w:t>
      </w:r>
      <w:r>
        <w:rPr>
          <w:spacing w:val="-24"/>
        </w:rPr>
        <w:t> </w:t>
      </w:r>
      <w:r>
        <w:rPr/>
        <w:t>del</w:t>
      </w:r>
      <w:r>
        <w:rPr>
          <w:spacing w:val="-24"/>
        </w:rPr>
        <w:t> </w:t>
      </w:r>
      <w:r>
        <w:rPr/>
        <w:t>enfoque</w:t>
      </w:r>
      <w:r>
        <w:rPr>
          <w:spacing w:val="-24"/>
        </w:rPr>
        <w:t> </w:t>
      </w:r>
      <w:r>
        <w:rPr/>
        <w:t>teórico</w:t>
      </w:r>
      <w:r>
        <w:rPr>
          <w:spacing w:val="-24"/>
        </w:rPr>
        <w:t> </w:t>
      </w:r>
      <w:r>
        <w:rPr/>
        <w:t>del</w:t>
      </w:r>
      <w:r>
        <w:rPr>
          <w:spacing w:val="-24"/>
        </w:rPr>
        <w:t> </w:t>
      </w:r>
      <w:r>
        <w:rPr/>
        <w:t>desarrollo local; como la participación de los agentes, las autoridades locales, recolectores de  los residuos sólidos, Consejo de Mayores, población en general, propietarios de los establecimientos turísticos, el conocer las percepción de cada agente de la localidad, cada uno de ellos permitió completar el conocimiento sobre la situación de los</w:t>
      </w:r>
      <w:r>
        <w:rPr>
          <w:spacing w:val="-31"/>
        </w:rPr>
        <w:t> </w:t>
      </w:r>
      <w:r>
        <w:rPr/>
        <w:t>residuos sólidos.</w:t>
      </w:r>
    </w:p>
    <w:p>
      <w:pPr>
        <w:pStyle w:val="BodyText"/>
        <w:spacing w:before="11"/>
      </w:pPr>
    </w:p>
    <w:p>
      <w:pPr>
        <w:pStyle w:val="BodyText"/>
        <w:spacing w:line="249" w:lineRule="auto"/>
        <w:ind w:left="130" w:firstLine="170"/>
        <w:jc w:val="both"/>
      </w:pPr>
      <w:r>
        <w:rPr/>
        <w:t>En el momento de sistematizar la información en un diagnóstico, la dificultad se produjo cuando se presentó la necesidad de fusionar la información de desde distintas vertientes,</w:t>
      </w:r>
      <w:r>
        <w:rPr>
          <w:spacing w:val="-8"/>
        </w:rPr>
        <w:t> </w:t>
      </w:r>
      <w:r>
        <w:rPr/>
        <w:t>pues</w:t>
      </w:r>
      <w:r>
        <w:rPr>
          <w:spacing w:val="-8"/>
        </w:rPr>
        <w:t> </w:t>
      </w:r>
      <w:r>
        <w:rPr/>
        <w:t>los</w:t>
      </w:r>
      <w:r>
        <w:rPr>
          <w:spacing w:val="-8"/>
        </w:rPr>
        <w:t> </w:t>
      </w:r>
      <w:r>
        <w:rPr/>
        <w:t>puntos</w:t>
      </w:r>
      <w:r>
        <w:rPr>
          <w:spacing w:val="-8"/>
        </w:rPr>
        <w:t> </w:t>
      </w:r>
      <w:r>
        <w:rPr/>
        <w:t>de</w:t>
      </w:r>
      <w:r>
        <w:rPr>
          <w:spacing w:val="-8"/>
        </w:rPr>
        <w:t> </w:t>
      </w:r>
      <w:r>
        <w:rPr/>
        <w:t>confluencia</w:t>
      </w:r>
      <w:r>
        <w:rPr>
          <w:spacing w:val="-8"/>
        </w:rPr>
        <w:t> </w:t>
      </w:r>
      <w:r>
        <w:rPr/>
        <w:t>se</w:t>
      </w:r>
      <w:r>
        <w:rPr>
          <w:spacing w:val="-8"/>
        </w:rPr>
        <w:t> </w:t>
      </w:r>
      <w:r>
        <w:rPr/>
        <w:t>complicó</w:t>
      </w:r>
      <w:r>
        <w:rPr>
          <w:spacing w:val="-8"/>
        </w:rPr>
        <w:t> </w:t>
      </w:r>
      <w:r>
        <w:rPr/>
        <w:t>porque</w:t>
      </w:r>
      <w:r>
        <w:rPr>
          <w:spacing w:val="-8"/>
        </w:rPr>
        <w:t> </w:t>
      </w:r>
      <w:r>
        <w:rPr/>
        <w:t>falto</w:t>
      </w:r>
      <w:r>
        <w:rPr>
          <w:spacing w:val="-8"/>
        </w:rPr>
        <w:t> </w:t>
      </w:r>
      <w:r>
        <w:rPr/>
        <w:t>precisar</w:t>
      </w:r>
      <w:r>
        <w:rPr>
          <w:spacing w:val="-8"/>
        </w:rPr>
        <w:t> </w:t>
      </w:r>
      <w:r>
        <w:rPr/>
        <w:t>los</w:t>
      </w:r>
      <w:r>
        <w:rPr>
          <w:spacing w:val="-8"/>
        </w:rPr>
        <w:t> </w:t>
      </w:r>
      <w:r>
        <w:rPr/>
        <w:t>puentes entre cada uno de los</w:t>
      </w:r>
      <w:r>
        <w:rPr>
          <w:spacing w:val="28"/>
        </w:rPr>
        <w:t> </w:t>
      </w:r>
      <w:r>
        <w:rPr/>
        <w:t>subsistemas.</w:t>
      </w:r>
    </w:p>
    <w:p>
      <w:pPr>
        <w:pStyle w:val="BodyText"/>
        <w:spacing w:before="11"/>
      </w:pPr>
    </w:p>
    <w:p>
      <w:pPr>
        <w:pStyle w:val="BodyText"/>
        <w:spacing w:line="249" w:lineRule="auto"/>
        <w:ind w:left="130" w:firstLine="170"/>
        <w:jc w:val="both"/>
      </w:pPr>
      <w:r>
        <w:rPr/>
        <w:t>En</w:t>
      </w:r>
      <w:r>
        <w:rPr>
          <w:spacing w:val="-12"/>
        </w:rPr>
        <w:t> </w:t>
      </w:r>
      <w:r>
        <w:rPr/>
        <w:t>cuanto,</w:t>
      </w:r>
      <w:r>
        <w:rPr>
          <w:spacing w:val="-12"/>
        </w:rPr>
        <w:t> </w:t>
      </w:r>
      <w:r>
        <w:rPr/>
        <w:t>el</w:t>
      </w:r>
      <w:r>
        <w:rPr>
          <w:spacing w:val="-12"/>
        </w:rPr>
        <w:t> </w:t>
      </w:r>
      <w:r>
        <w:rPr/>
        <w:t>criterio</w:t>
      </w:r>
      <w:r>
        <w:rPr>
          <w:spacing w:val="-12"/>
        </w:rPr>
        <w:t> </w:t>
      </w:r>
      <w:r>
        <w:rPr/>
        <w:t>de</w:t>
      </w:r>
      <w:r>
        <w:rPr>
          <w:spacing w:val="-12"/>
        </w:rPr>
        <w:t> </w:t>
      </w:r>
      <w:r>
        <w:rPr/>
        <w:t>participación</w:t>
      </w:r>
      <w:r>
        <w:rPr>
          <w:spacing w:val="-12"/>
        </w:rPr>
        <w:t> </w:t>
      </w:r>
      <w:r>
        <w:rPr/>
        <w:t>de</w:t>
      </w:r>
      <w:r>
        <w:rPr>
          <w:spacing w:val="-12"/>
        </w:rPr>
        <w:t> </w:t>
      </w:r>
      <w:r>
        <w:rPr/>
        <w:t>los</w:t>
      </w:r>
      <w:r>
        <w:rPr>
          <w:spacing w:val="-12"/>
        </w:rPr>
        <w:t> </w:t>
      </w:r>
      <w:r>
        <w:rPr/>
        <w:t>agentes</w:t>
      </w:r>
      <w:r>
        <w:rPr>
          <w:spacing w:val="-12"/>
        </w:rPr>
        <w:t> </w:t>
      </w:r>
      <w:r>
        <w:rPr/>
        <w:t>fue</w:t>
      </w:r>
      <w:r>
        <w:rPr>
          <w:spacing w:val="-12"/>
        </w:rPr>
        <w:t> </w:t>
      </w:r>
      <w:r>
        <w:rPr/>
        <w:t>esencial</w:t>
      </w:r>
      <w:r>
        <w:rPr>
          <w:spacing w:val="-12"/>
        </w:rPr>
        <w:t> </w:t>
      </w:r>
      <w:r>
        <w:rPr/>
        <w:t>como</w:t>
      </w:r>
      <w:r>
        <w:rPr>
          <w:spacing w:val="-12"/>
        </w:rPr>
        <w:t> </w:t>
      </w:r>
      <w:r>
        <w:rPr/>
        <w:t>un</w:t>
      </w:r>
      <w:r>
        <w:rPr>
          <w:spacing w:val="-12"/>
        </w:rPr>
        <w:t> </w:t>
      </w:r>
      <w:r>
        <w:rPr/>
        <w:t>instrumento en la investigación, en la construcción del diagnóstico tanto por la proporción de información, como para verter sus opiniones. De tal manera, que en las reuniones     de sus organizaciones, tales como el Consejo de Mayores, o con las diferentes autoridades locales o con los profesores de las escuelas se logró acercarse a ellos</w:t>
      </w:r>
      <w:r>
        <w:rPr>
          <w:spacing w:val="-29"/>
        </w:rPr>
        <w:t> </w:t>
      </w:r>
      <w:r>
        <w:rPr/>
        <w:t>con más confianza, siendo una comunidad con antecedentes indígenas, facilito el trabajo colectivo, pues la organización colectiva forma parte de su dinámica de </w:t>
      </w:r>
      <w:r>
        <w:rPr>
          <w:spacing w:val="30"/>
        </w:rPr>
        <w:t> </w:t>
      </w:r>
      <w:r>
        <w:rPr/>
        <w:t>vida.</w:t>
      </w:r>
    </w:p>
    <w:p>
      <w:pPr>
        <w:pStyle w:val="BodyText"/>
        <w:spacing w:before="11"/>
      </w:pPr>
    </w:p>
    <w:p>
      <w:pPr>
        <w:pStyle w:val="BodyText"/>
        <w:spacing w:line="249" w:lineRule="auto"/>
        <w:ind w:left="130" w:firstLine="170"/>
        <w:jc w:val="both"/>
      </w:pPr>
      <w:r>
        <w:rPr/>
        <w:t>Con relación a las limitaciones y potencialidades para tratar los RSU se deduce que se cuenta la factibilidad de formular y gestionar un proyecto de manejo de residuos, siempre que se fortalezca las limitaciones, en especial la educación ambiental y se aproveche las potencialidades como la disposición para participar de los  agentes.</w:t>
      </w:r>
    </w:p>
    <w:p>
      <w:pPr>
        <w:pStyle w:val="BodyText"/>
        <w:spacing w:before="11"/>
      </w:pPr>
    </w:p>
    <w:p>
      <w:pPr>
        <w:pStyle w:val="BodyText"/>
        <w:spacing w:line="249" w:lineRule="auto"/>
        <w:ind w:left="130" w:firstLine="170"/>
        <w:jc w:val="both"/>
      </w:pPr>
      <w:r>
        <w:rPr/>
        <w:t>Con esto se perfila la propuesta del tratamiento de los residuos, después de la recolección selectiva o bien clasificada se han definido dos proyectos una para los orgánicos, y otro para inorgánicos (vidrio, pet, fierro, entre otros). El primero es   sobre</w:t>
      </w:r>
    </w:p>
    <w:p>
      <w:pPr>
        <w:pStyle w:val="BodyText"/>
        <w:spacing w:line="249" w:lineRule="auto" w:before="109"/>
        <w:ind w:left="130" w:right="127"/>
        <w:jc w:val="both"/>
      </w:pPr>
      <w:r>
        <w:rPr/>
        <w:br w:type="column"/>
      </w:r>
      <w:r>
        <w:rPr/>
        <w:t>la producción y venta de vermi-composta, éste es un fortificante de suelos que se obtiene por la mezcla de residuos orgánicos con la lombriz californiana. El proyecto   de los residuos inorgánicos se propone la creación de un centro de acopio para la comercialización de los residuos a los almacenes cercanos en Santiago</w:t>
      </w:r>
      <w:r>
        <w:rPr>
          <w:spacing w:val="-17"/>
        </w:rPr>
        <w:t> </w:t>
      </w:r>
      <w:r>
        <w:rPr/>
        <w:t>Tianguistenco.</w:t>
      </w:r>
    </w:p>
    <w:p>
      <w:pPr>
        <w:pStyle w:val="BodyText"/>
      </w:pPr>
    </w:p>
    <w:p>
      <w:pPr>
        <w:pStyle w:val="BodyText"/>
        <w:spacing w:before="6"/>
        <w:rPr>
          <w:sz w:val="18"/>
        </w:rPr>
      </w:pPr>
    </w:p>
    <w:p>
      <w:pPr>
        <w:pStyle w:val="Heading1"/>
        <w:numPr>
          <w:ilvl w:val="0"/>
          <w:numId w:val="15"/>
        </w:numPr>
        <w:tabs>
          <w:tab w:pos="576" w:val="left" w:leader="none"/>
        </w:tabs>
        <w:spacing w:line="240" w:lineRule="auto" w:before="0" w:after="0"/>
        <w:ind w:left="576" w:right="0" w:hanging="276"/>
        <w:jc w:val="left"/>
      </w:pPr>
      <w:r>
        <w:rPr/>
        <w:t>El turismo</w:t>
      </w:r>
      <w:r>
        <w:rPr>
          <w:spacing w:val="-7"/>
        </w:rPr>
        <w:t> </w:t>
      </w:r>
      <w:r>
        <w:rPr/>
        <w:t>recreativo</w:t>
      </w:r>
    </w:p>
    <w:p>
      <w:pPr>
        <w:pStyle w:val="BodyText"/>
        <w:rPr>
          <w:b/>
          <w:sz w:val="21"/>
        </w:rPr>
      </w:pPr>
    </w:p>
    <w:p>
      <w:pPr>
        <w:pStyle w:val="BodyText"/>
        <w:spacing w:line="249" w:lineRule="auto"/>
        <w:ind w:left="130" w:right="127" w:firstLine="170"/>
        <w:jc w:val="both"/>
      </w:pPr>
      <w:r>
        <w:rPr/>
        <w:t>Con</w:t>
      </w:r>
      <w:r>
        <w:rPr>
          <w:spacing w:val="-5"/>
        </w:rPr>
        <w:t> </w:t>
      </w:r>
      <w:r>
        <w:rPr/>
        <w:t>base</w:t>
      </w:r>
      <w:r>
        <w:rPr>
          <w:spacing w:val="-5"/>
        </w:rPr>
        <w:t> </w:t>
      </w:r>
      <w:r>
        <w:rPr/>
        <w:t>en</w:t>
      </w:r>
      <w:r>
        <w:rPr>
          <w:spacing w:val="-5"/>
        </w:rPr>
        <w:t> </w:t>
      </w:r>
      <w:r>
        <w:rPr/>
        <w:t>los</w:t>
      </w:r>
      <w:r>
        <w:rPr>
          <w:spacing w:val="-5"/>
        </w:rPr>
        <w:t> </w:t>
      </w:r>
      <w:r>
        <w:rPr/>
        <w:t>criterios</w:t>
      </w:r>
      <w:r>
        <w:rPr>
          <w:spacing w:val="-5"/>
        </w:rPr>
        <w:t> </w:t>
      </w:r>
      <w:r>
        <w:rPr/>
        <w:t>metodológicos,</w:t>
      </w:r>
      <w:r>
        <w:rPr>
          <w:spacing w:val="-5"/>
        </w:rPr>
        <w:t> </w:t>
      </w:r>
      <w:r>
        <w:rPr/>
        <w:t>que</w:t>
      </w:r>
      <w:r>
        <w:rPr>
          <w:spacing w:val="-5"/>
        </w:rPr>
        <w:t> </w:t>
      </w:r>
      <w:r>
        <w:rPr/>
        <w:t>refieren</w:t>
      </w:r>
      <w:r>
        <w:rPr>
          <w:spacing w:val="-5"/>
        </w:rPr>
        <w:t> </w:t>
      </w:r>
      <w:r>
        <w:rPr/>
        <w:t>a</w:t>
      </w:r>
      <w:r>
        <w:rPr>
          <w:spacing w:val="-5"/>
        </w:rPr>
        <w:t> </w:t>
      </w:r>
      <w:r>
        <w:rPr/>
        <w:t>la</w:t>
      </w:r>
      <w:r>
        <w:rPr>
          <w:spacing w:val="-5"/>
        </w:rPr>
        <w:t> </w:t>
      </w:r>
      <w:r>
        <w:rPr/>
        <w:t>relación</w:t>
      </w:r>
      <w:r>
        <w:rPr>
          <w:spacing w:val="-5"/>
        </w:rPr>
        <w:t> </w:t>
      </w:r>
      <w:r>
        <w:rPr/>
        <w:t>hombre</w:t>
      </w:r>
      <w:r>
        <w:rPr>
          <w:spacing w:val="-5"/>
        </w:rPr>
        <w:t> </w:t>
      </w:r>
      <w:r>
        <w:rPr/>
        <w:t>naturaleza como un objeto complejo y multifactorial enmarcado por las dinámicas económicas, políticas, socioculturales y físicas, se aborda la realidad de la actividad turística y     sus efectos ambientales. Se plantea el enfoque de sistemas, que permite congregar diversos componentes y distintos niveles de integración: participación de agentes, fortalecer redes productivas, apoyo a tecnologías locales, gestión local, respeto a identidad cultural, aprovechamiento de recursos </w:t>
      </w:r>
      <w:r>
        <w:rPr>
          <w:spacing w:val="8"/>
        </w:rPr>
        <w:t> </w:t>
      </w:r>
      <w:r>
        <w:rPr/>
        <w:t>locales.</w:t>
      </w:r>
    </w:p>
    <w:p>
      <w:pPr>
        <w:pStyle w:val="BodyText"/>
        <w:spacing w:before="11"/>
      </w:pPr>
    </w:p>
    <w:p>
      <w:pPr>
        <w:pStyle w:val="BodyText"/>
        <w:spacing w:line="249" w:lineRule="auto"/>
        <w:ind w:left="130" w:right="127" w:firstLine="170"/>
        <w:jc w:val="both"/>
      </w:pPr>
      <w:r>
        <w:rPr/>
        <w:t>Como</w:t>
      </w:r>
      <w:r>
        <w:rPr>
          <w:spacing w:val="-10"/>
        </w:rPr>
        <w:t> </w:t>
      </w:r>
      <w:r>
        <w:rPr/>
        <w:t>resultado</w:t>
      </w:r>
      <w:r>
        <w:rPr>
          <w:spacing w:val="-10"/>
        </w:rPr>
        <w:t> </w:t>
      </w:r>
      <w:r>
        <w:rPr/>
        <w:t>de</w:t>
      </w:r>
      <w:r>
        <w:rPr>
          <w:spacing w:val="-10"/>
        </w:rPr>
        <w:t> </w:t>
      </w:r>
      <w:r>
        <w:rPr/>
        <w:t>dichos</w:t>
      </w:r>
      <w:r>
        <w:rPr>
          <w:spacing w:val="-10"/>
        </w:rPr>
        <w:t> </w:t>
      </w:r>
      <w:r>
        <w:rPr/>
        <w:t>enfoques</w:t>
      </w:r>
      <w:r>
        <w:rPr>
          <w:spacing w:val="-10"/>
        </w:rPr>
        <w:t> </w:t>
      </w:r>
      <w:r>
        <w:rPr/>
        <w:t>teóricos</w:t>
      </w:r>
      <w:r>
        <w:rPr>
          <w:spacing w:val="-10"/>
        </w:rPr>
        <w:t> </w:t>
      </w:r>
      <w:r>
        <w:rPr/>
        <w:t>y</w:t>
      </w:r>
      <w:r>
        <w:rPr>
          <w:spacing w:val="-10"/>
        </w:rPr>
        <w:t> </w:t>
      </w:r>
      <w:r>
        <w:rPr/>
        <w:t>metodológicos,</w:t>
      </w:r>
      <w:r>
        <w:rPr>
          <w:spacing w:val="-10"/>
        </w:rPr>
        <w:t> </w:t>
      </w:r>
      <w:r>
        <w:rPr/>
        <w:t>se</w:t>
      </w:r>
      <w:r>
        <w:rPr>
          <w:spacing w:val="-10"/>
        </w:rPr>
        <w:t> </w:t>
      </w:r>
      <w:r>
        <w:rPr/>
        <w:t>ha</w:t>
      </w:r>
      <w:r>
        <w:rPr>
          <w:spacing w:val="-10"/>
        </w:rPr>
        <w:t> </w:t>
      </w:r>
      <w:r>
        <w:rPr/>
        <w:t>podido</w:t>
      </w:r>
      <w:r>
        <w:rPr>
          <w:spacing w:val="-10"/>
        </w:rPr>
        <w:t> </w:t>
      </w:r>
      <w:r>
        <w:rPr/>
        <w:t>identificar que en la región intervienen diversos agentes del sector público, privado y social, pero los actores locales son quienes asumen un papel protagónico en el aprovechamiento de</w:t>
      </w:r>
      <w:r>
        <w:rPr>
          <w:spacing w:val="-7"/>
        </w:rPr>
        <w:t> </w:t>
      </w:r>
      <w:r>
        <w:rPr/>
        <w:t>sus</w:t>
      </w:r>
      <w:r>
        <w:rPr>
          <w:spacing w:val="-7"/>
        </w:rPr>
        <w:t> </w:t>
      </w:r>
      <w:r>
        <w:rPr/>
        <w:t>recursos.</w:t>
      </w:r>
      <w:r>
        <w:rPr>
          <w:spacing w:val="-7"/>
        </w:rPr>
        <w:t> </w:t>
      </w:r>
      <w:r>
        <w:rPr/>
        <w:t>Respecto</w:t>
      </w:r>
      <w:r>
        <w:rPr>
          <w:spacing w:val="-7"/>
        </w:rPr>
        <w:t> </w:t>
      </w:r>
      <w:r>
        <w:rPr/>
        <w:t>a</w:t>
      </w:r>
      <w:r>
        <w:rPr>
          <w:spacing w:val="-7"/>
        </w:rPr>
        <w:t> </w:t>
      </w:r>
      <w:r>
        <w:rPr/>
        <w:t>las</w:t>
      </w:r>
      <w:r>
        <w:rPr>
          <w:spacing w:val="-7"/>
        </w:rPr>
        <w:t> </w:t>
      </w:r>
      <w:r>
        <w:rPr/>
        <w:t>redes</w:t>
      </w:r>
      <w:r>
        <w:rPr>
          <w:spacing w:val="-7"/>
        </w:rPr>
        <w:t> </w:t>
      </w:r>
      <w:r>
        <w:rPr/>
        <w:t>productivas,</w:t>
      </w:r>
      <w:r>
        <w:rPr>
          <w:spacing w:val="-7"/>
        </w:rPr>
        <w:t> </w:t>
      </w:r>
      <w:r>
        <w:rPr/>
        <w:t>se</w:t>
      </w:r>
      <w:r>
        <w:rPr>
          <w:spacing w:val="-7"/>
        </w:rPr>
        <w:t> </w:t>
      </w:r>
      <w:r>
        <w:rPr/>
        <w:t>basan</w:t>
      </w:r>
      <w:r>
        <w:rPr>
          <w:spacing w:val="-7"/>
        </w:rPr>
        <w:t> </w:t>
      </w:r>
      <w:r>
        <w:rPr/>
        <w:t>en</w:t>
      </w:r>
      <w:r>
        <w:rPr>
          <w:spacing w:val="-7"/>
        </w:rPr>
        <w:t> </w:t>
      </w:r>
      <w:r>
        <w:rPr/>
        <w:t>la</w:t>
      </w:r>
      <w:r>
        <w:rPr>
          <w:spacing w:val="-7"/>
        </w:rPr>
        <w:t> </w:t>
      </w:r>
      <w:r>
        <w:rPr/>
        <w:t>oferta</w:t>
      </w:r>
      <w:r>
        <w:rPr>
          <w:spacing w:val="-7"/>
        </w:rPr>
        <w:t> </w:t>
      </w:r>
      <w:r>
        <w:rPr/>
        <w:t>de</w:t>
      </w:r>
      <w:r>
        <w:rPr>
          <w:spacing w:val="-7"/>
        </w:rPr>
        <w:t> </w:t>
      </w:r>
      <w:r>
        <w:rPr/>
        <w:t>actividades recreativas como venta de alimentos, artesanías, alquiler de caballos, cuatrimotos y otros. Las tecnologías locales refieren a las formas de organización tradicional de la comunidad, soportadas en la propia institucionalidad agraria (ejidal y </w:t>
      </w:r>
      <w:r>
        <w:rPr>
          <w:spacing w:val="4"/>
        </w:rPr>
        <w:t> </w:t>
      </w:r>
      <w:r>
        <w:rPr/>
        <w:t>comunal).</w:t>
      </w:r>
    </w:p>
    <w:p>
      <w:pPr>
        <w:pStyle w:val="BodyText"/>
        <w:spacing w:before="11"/>
      </w:pPr>
    </w:p>
    <w:p>
      <w:pPr>
        <w:pStyle w:val="BodyText"/>
        <w:spacing w:line="249" w:lineRule="auto"/>
        <w:ind w:left="130" w:right="127" w:firstLine="170"/>
        <w:jc w:val="both"/>
      </w:pPr>
      <w:r>
        <w:rPr/>
        <w:t>Con relación a la gestión local está soportada por la propiedad colectiva de los recursos, así como por los mecanismos comunitarios de acceso y aprovechamiento   de los recursos. El respeto a la identidad cultural, constituye un elemento central para el turismo, aunque también ha transformado los valores, normas y estilo de vida de la población local. Finalmente, el aprovechamiento de recursos locales se vincula con las actividades recreativas desarrolladas a partir de las condiciones físicas y el paisaje del lugar.</w:t>
      </w:r>
    </w:p>
    <w:p>
      <w:pPr>
        <w:pStyle w:val="BodyText"/>
        <w:spacing w:before="11"/>
      </w:pPr>
    </w:p>
    <w:p>
      <w:pPr>
        <w:pStyle w:val="BodyText"/>
        <w:spacing w:line="249" w:lineRule="auto"/>
        <w:ind w:left="130" w:right="128" w:firstLine="170"/>
        <w:jc w:val="both"/>
      </w:pPr>
      <w:r>
        <w:rPr/>
        <w:t>A partir de estas condiciones es posible plantear que en San Jerónimo Acazulco, existen condiciones propicias para impulsar el DLS a partir del manejo de los recursos naturales desde lo local, pues a pesar de las múltiples contradicciones que existen al interior de la comunidad, y las implicaciones socio territoriales que está generando      el turismo, son justamente los propios actores locales, quienes asumen un papel protagónico para el acceso, control y aprovechamiento de sus recursos </w:t>
      </w:r>
      <w:r>
        <w:rPr>
          <w:spacing w:val="29"/>
        </w:rPr>
        <w:t> </w:t>
      </w:r>
      <w:r>
        <w:rPr/>
        <w:t>naturales.</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10"/>
      </w:pPr>
    </w:p>
    <w:p>
      <w:pPr>
        <w:spacing w:after="0"/>
        <w:sectPr>
          <w:footerReference w:type="default" r:id="rId106"/>
          <w:pgSz w:w="18830" w:h="12760" w:orient="landscape"/>
          <w:pgMar w:footer="1036" w:header="522" w:top="820" w:bottom="1220" w:left="720" w:right="720"/>
        </w:sectPr>
      </w:pPr>
    </w:p>
    <w:p>
      <w:pPr>
        <w:pStyle w:val="Heading1"/>
        <w:numPr>
          <w:ilvl w:val="0"/>
          <w:numId w:val="15"/>
        </w:numPr>
        <w:tabs>
          <w:tab w:pos="594" w:val="left" w:leader="none"/>
        </w:tabs>
        <w:spacing w:line="240" w:lineRule="auto" w:before="69" w:after="0"/>
        <w:ind w:left="593" w:right="0" w:hanging="293"/>
        <w:jc w:val="left"/>
      </w:pPr>
      <w:r>
        <w:rPr/>
        <w:t>Educación ambiental en San Pedro</w:t>
      </w:r>
      <w:r>
        <w:rPr>
          <w:spacing w:val="-18"/>
        </w:rPr>
        <w:t> </w:t>
      </w:r>
      <w:r>
        <w:rPr/>
        <w:t>Atlapulco</w:t>
      </w:r>
    </w:p>
    <w:p>
      <w:pPr>
        <w:pStyle w:val="BodyText"/>
        <w:rPr>
          <w:b/>
          <w:sz w:val="21"/>
        </w:rPr>
      </w:pPr>
    </w:p>
    <w:p>
      <w:pPr>
        <w:pStyle w:val="BodyText"/>
        <w:spacing w:line="249" w:lineRule="auto"/>
        <w:ind w:left="130" w:firstLine="170"/>
        <w:jc w:val="both"/>
      </w:pPr>
      <w:r>
        <w:rPr/>
        <w:t>Los componentes que integran el Programa de Educación Ambiental para la comunidad</w:t>
      </w:r>
      <w:r>
        <w:rPr>
          <w:spacing w:val="-5"/>
        </w:rPr>
        <w:t> </w:t>
      </w:r>
      <w:r>
        <w:rPr/>
        <w:t>de</w:t>
      </w:r>
      <w:r>
        <w:rPr>
          <w:spacing w:val="-5"/>
        </w:rPr>
        <w:t> </w:t>
      </w:r>
      <w:r>
        <w:rPr/>
        <w:t>San</w:t>
      </w:r>
      <w:r>
        <w:rPr>
          <w:spacing w:val="-5"/>
        </w:rPr>
        <w:t> </w:t>
      </w:r>
      <w:r>
        <w:rPr/>
        <w:t>Pedro</w:t>
      </w:r>
      <w:r>
        <w:rPr>
          <w:spacing w:val="-5"/>
        </w:rPr>
        <w:t> </w:t>
      </w:r>
      <w:r>
        <w:rPr/>
        <w:t>Atlapulco</w:t>
      </w:r>
      <w:r>
        <w:rPr>
          <w:spacing w:val="-5"/>
        </w:rPr>
        <w:t> </w:t>
      </w:r>
      <w:r>
        <w:rPr/>
        <w:t>en</w:t>
      </w:r>
      <w:r>
        <w:rPr>
          <w:spacing w:val="-5"/>
        </w:rPr>
        <w:t> </w:t>
      </w:r>
      <w:r>
        <w:rPr/>
        <w:t>la</w:t>
      </w:r>
      <w:r>
        <w:rPr>
          <w:spacing w:val="-5"/>
        </w:rPr>
        <w:t> </w:t>
      </w:r>
      <w:r>
        <w:rPr/>
        <w:t>cuenca</w:t>
      </w:r>
      <w:r>
        <w:rPr>
          <w:spacing w:val="-5"/>
        </w:rPr>
        <w:t> </w:t>
      </w:r>
      <w:r>
        <w:rPr/>
        <w:t>Arroyo</w:t>
      </w:r>
      <w:r>
        <w:rPr>
          <w:spacing w:val="-5"/>
        </w:rPr>
        <w:t> </w:t>
      </w:r>
      <w:r>
        <w:rPr/>
        <w:t>El</w:t>
      </w:r>
      <w:r>
        <w:rPr>
          <w:spacing w:val="-5"/>
        </w:rPr>
        <w:t> </w:t>
      </w:r>
      <w:r>
        <w:rPr/>
        <w:t>Muerto,</w:t>
      </w:r>
      <w:r>
        <w:rPr>
          <w:spacing w:val="-5"/>
        </w:rPr>
        <w:t> </w:t>
      </w:r>
      <w:r>
        <w:rPr/>
        <w:t>recuperan</w:t>
      </w:r>
      <w:r>
        <w:rPr>
          <w:spacing w:val="-5"/>
        </w:rPr>
        <w:t> </w:t>
      </w:r>
      <w:r>
        <w:rPr/>
        <w:t>aspectos teóricos y metodológicos tratados. En este caso, la categoría que permite ser una ventana del proceso de aprendizaje es la estrategia integrativa; concebida como la  ruta o camino delineado y practicado para que el aprendizaje incida en el cambio de conductas y con ello se cuide y maneje, de manera sustentable, el recurso agua. Así, el subsistema cultural permite integrar los conocimientos o sabidurías tradicionales, la riqueza</w:t>
      </w:r>
      <w:r>
        <w:rPr>
          <w:spacing w:val="-11"/>
        </w:rPr>
        <w:t> </w:t>
      </w:r>
      <w:r>
        <w:rPr/>
        <w:t>del</w:t>
      </w:r>
      <w:r>
        <w:rPr>
          <w:spacing w:val="-11"/>
        </w:rPr>
        <w:t> </w:t>
      </w:r>
      <w:r>
        <w:rPr/>
        <w:t>paisaje</w:t>
      </w:r>
      <w:r>
        <w:rPr>
          <w:spacing w:val="-11"/>
        </w:rPr>
        <w:t> </w:t>
      </w:r>
      <w:r>
        <w:rPr/>
        <w:t>natural</w:t>
      </w:r>
      <w:r>
        <w:rPr>
          <w:spacing w:val="-11"/>
        </w:rPr>
        <w:t> </w:t>
      </w:r>
      <w:r>
        <w:rPr/>
        <w:t>y</w:t>
      </w:r>
      <w:r>
        <w:rPr>
          <w:spacing w:val="-11"/>
        </w:rPr>
        <w:t> </w:t>
      </w:r>
      <w:r>
        <w:rPr/>
        <w:t>social,</w:t>
      </w:r>
      <w:r>
        <w:rPr>
          <w:spacing w:val="-11"/>
        </w:rPr>
        <w:t> </w:t>
      </w:r>
      <w:r>
        <w:rPr/>
        <w:t>por</w:t>
      </w:r>
      <w:r>
        <w:rPr>
          <w:spacing w:val="-11"/>
        </w:rPr>
        <w:t> </w:t>
      </w:r>
      <w:r>
        <w:rPr/>
        <w:t>tal</w:t>
      </w:r>
      <w:r>
        <w:rPr>
          <w:spacing w:val="-11"/>
        </w:rPr>
        <w:t> </w:t>
      </w:r>
      <w:r>
        <w:rPr/>
        <w:t>razón</w:t>
      </w:r>
      <w:r>
        <w:rPr>
          <w:spacing w:val="-11"/>
        </w:rPr>
        <w:t> </w:t>
      </w:r>
      <w:r>
        <w:rPr/>
        <w:t>en</w:t>
      </w:r>
      <w:r>
        <w:rPr>
          <w:spacing w:val="-11"/>
        </w:rPr>
        <w:t> </w:t>
      </w:r>
      <w:r>
        <w:rPr/>
        <w:t>el</w:t>
      </w:r>
      <w:r>
        <w:rPr>
          <w:spacing w:val="-11"/>
        </w:rPr>
        <w:t> </w:t>
      </w:r>
      <w:r>
        <w:rPr/>
        <w:t>programa</w:t>
      </w:r>
      <w:r>
        <w:rPr>
          <w:spacing w:val="-11"/>
        </w:rPr>
        <w:t> </w:t>
      </w:r>
      <w:r>
        <w:rPr/>
        <w:t>se</w:t>
      </w:r>
      <w:r>
        <w:rPr>
          <w:spacing w:val="-11"/>
        </w:rPr>
        <w:t> </w:t>
      </w:r>
      <w:r>
        <w:rPr/>
        <w:t>desarrollan</w:t>
      </w:r>
      <w:r>
        <w:rPr>
          <w:spacing w:val="-11"/>
        </w:rPr>
        <w:t> </w:t>
      </w:r>
      <w:r>
        <w:rPr/>
        <w:t>unidades de aprendizaje que muestran el manejo del agua relacionado con otros elementos como, el suelo, la flora y la fauna por señalar</w:t>
      </w:r>
      <w:r>
        <w:rPr>
          <w:spacing w:val="8"/>
        </w:rPr>
        <w:t> </w:t>
      </w:r>
      <w:r>
        <w:rPr/>
        <w:t>algunos.</w:t>
      </w:r>
    </w:p>
    <w:p>
      <w:pPr>
        <w:pStyle w:val="BodyText"/>
        <w:spacing w:before="11"/>
      </w:pPr>
    </w:p>
    <w:p>
      <w:pPr>
        <w:pStyle w:val="BodyText"/>
        <w:spacing w:line="249" w:lineRule="auto"/>
        <w:ind w:left="130" w:firstLine="170"/>
        <w:jc w:val="both"/>
      </w:pPr>
      <w:r>
        <w:rPr/>
        <w:t>Esta</w:t>
      </w:r>
      <w:r>
        <w:rPr>
          <w:spacing w:val="-12"/>
        </w:rPr>
        <w:t> </w:t>
      </w:r>
      <w:r>
        <w:rPr/>
        <w:t>investigación</w:t>
      </w:r>
      <w:r>
        <w:rPr>
          <w:spacing w:val="-12"/>
        </w:rPr>
        <w:t> </w:t>
      </w:r>
      <w:r>
        <w:rPr/>
        <w:t>consiste</w:t>
      </w:r>
      <w:r>
        <w:rPr>
          <w:spacing w:val="-12"/>
        </w:rPr>
        <w:t> </w:t>
      </w:r>
      <w:r>
        <w:rPr/>
        <w:t>en</w:t>
      </w:r>
      <w:r>
        <w:rPr>
          <w:spacing w:val="-12"/>
        </w:rPr>
        <w:t> </w:t>
      </w:r>
      <w:r>
        <w:rPr/>
        <w:t>el</w:t>
      </w:r>
      <w:r>
        <w:rPr>
          <w:spacing w:val="-12"/>
        </w:rPr>
        <w:t> </w:t>
      </w:r>
      <w:r>
        <w:rPr/>
        <w:t>diseño</w:t>
      </w:r>
      <w:r>
        <w:rPr>
          <w:spacing w:val="-12"/>
        </w:rPr>
        <w:t> </w:t>
      </w:r>
      <w:r>
        <w:rPr/>
        <w:t>de</w:t>
      </w:r>
      <w:r>
        <w:rPr>
          <w:spacing w:val="-12"/>
        </w:rPr>
        <w:t> </w:t>
      </w:r>
      <w:r>
        <w:rPr/>
        <w:t>un</w:t>
      </w:r>
      <w:r>
        <w:rPr>
          <w:spacing w:val="-12"/>
        </w:rPr>
        <w:t> </w:t>
      </w:r>
      <w:r>
        <w:rPr/>
        <w:t>conjunto</w:t>
      </w:r>
      <w:r>
        <w:rPr>
          <w:spacing w:val="-12"/>
        </w:rPr>
        <w:t> </w:t>
      </w:r>
      <w:r>
        <w:rPr/>
        <w:t>de</w:t>
      </w:r>
      <w:r>
        <w:rPr>
          <w:spacing w:val="-12"/>
        </w:rPr>
        <w:t> </w:t>
      </w:r>
      <w:r>
        <w:rPr/>
        <w:t>estrategias</w:t>
      </w:r>
      <w:r>
        <w:rPr>
          <w:spacing w:val="-12"/>
        </w:rPr>
        <w:t> </w:t>
      </w:r>
      <w:r>
        <w:rPr/>
        <w:t>educativas,</w:t>
      </w:r>
      <w:r>
        <w:rPr>
          <w:spacing w:val="-12"/>
        </w:rPr>
        <w:t> </w:t>
      </w:r>
      <w:r>
        <w:rPr/>
        <w:t>que fomenten</w:t>
      </w:r>
      <w:r>
        <w:rPr>
          <w:spacing w:val="-8"/>
        </w:rPr>
        <w:t> </w:t>
      </w:r>
      <w:r>
        <w:rPr/>
        <w:t>la</w:t>
      </w:r>
      <w:r>
        <w:rPr>
          <w:spacing w:val="-8"/>
        </w:rPr>
        <w:t> </w:t>
      </w:r>
      <w:r>
        <w:rPr/>
        <w:t>comunicación</w:t>
      </w:r>
      <w:r>
        <w:rPr>
          <w:spacing w:val="-8"/>
        </w:rPr>
        <w:t> </w:t>
      </w:r>
      <w:r>
        <w:rPr/>
        <w:t>entre</w:t>
      </w:r>
      <w:r>
        <w:rPr>
          <w:spacing w:val="-8"/>
        </w:rPr>
        <w:t> </w:t>
      </w:r>
      <w:r>
        <w:rPr/>
        <w:t>actores</w:t>
      </w:r>
      <w:r>
        <w:rPr>
          <w:spacing w:val="-8"/>
        </w:rPr>
        <w:t> </w:t>
      </w:r>
      <w:r>
        <w:rPr/>
        <w:t>e</w:t>
      </w:r>
      <w:r>
        <w:rPr>
          <w:spacing w:val="-8"/>
        </w:rPr>
        <w:t> </w:t>
      </w:r>
      <w:r>
        <w:rPr/>
        <w:t>incentive</w:t>
      </w:r>
      <w:r>
        <w:rPr>
          <w:spacing w:val="-8"/>
        </w:rPr>
        <w:t> </w:t>
      </w:r>
      <w:r>
        <w:rPr/>
        <w:t>la</w:t>
      </w:r>
      <w:r>
        <w:rPr>
          <w:spacing w:val="-8"/>
        </w:rPr>
        <w:t> </w:t>
      </w:r>
      <w:r>
        <w:rPr/>
        <w:t>participación</w:t>
      </w:r>
      <w:r>
        <w:rPr>
          <w:spacing w:val="-8"/>
        </w:rPr>
        <w:t> </w:t>
      </w:r>
      <w:r>
        <w:rPr/>
        <w:t>de</w:t>
      </w:r>
      <w:r>
        <w:rPr>
          <w:spacing w:val="-8"/>
        </w:rPr>
        <w:t> </w:t>
      </w:r>
      <w:r>
        <w:rPr/>
        <w:t>los</w:t>
      </w:r>
      <w:r>
        <w:rPr>
          <w:spacing w:val="-8"/>
        </w:rPr>
        <w:t> </w:t>
      </w:r>
      <w:r>
        <w:rPr/>
        <w:t>habitantes</w:t>
      </w:r>
      <w:r>
        <w:rPr>
          <w:spacing w:val="-8"/>
        </w:rPr>
        <w:t> </w:t>
      </w:r>
      <w:r>
        <w:rPr/>
        <w:t>de la comunidad de San Pedro Atlapulco, en la cuenca Arroyo El Muerto, en las acciones del Programa de Educación Ambiental. La estrategia incluyó una serie de</w:t>
      </w:r>
      <w:r>
        <w:rPr>
          <w:spacing w:val="-23"/>
        </w:rPr>
        <w:t> </w:t>
      </w:r>
      <w:r>
        <w:rPr/>
        <w:t>exposiciones itinerantes, materiales didácticos y talleres para diferentes sectores de la </w:t>
      </w:r>
      <w:r>
        <w:rPr>
          <w:spacing w:val="18"/>
        </w:rPr>
        <w:t> </w:t>
      </w:r>
      <w:r>
        <w:rPr/>
        <w:t>población.</w:t>
      </w:r>
    </w:p>
    <w:p>
      <w:pPr>
        <w:pStyle w:val="BodyText"/>
        <w:spacing w:before="11"/>
      </w:pPr>
    </w:p>
    <w:p>
      <w:pPr>
        <w:pStyle w:val="BodyText"/>
        <w:spacing w:line="249" w:lineRule="auto"/>
        <w:ind w:left="130" w:firstLine="170"/>
        <w:jc w:val="both"/>
      </w:pPr>
      <w:r>
        <w:rPr/>
        <w:t>Así la educación ambiental como un proceso que busca fomentar cambios de comportamiento respecto al ambiente que pretende lograr comunidades informadas, participativas y propositivas en acciones de beneficio ambiental, sin perder de vista la relación del ambiente con la calidad de vida y las actividades económicas locales. Por lo tanto, al establecer una estrategia educativa en la cuenca Arroyo el Muerto, basada en las percepciones de la cuenca, problemática y opciones de manejo desde diversos puntos de vista, así como el interés de la población a participar en las acciones de manejo.</w:t>
      </w:r>
    </w:p>
    <w:p>
      <w:pPr>
        <w:pStyle w:val="BodyText"/>
        <w:spacing w:before="11"/>
      </w:pPr>
    </w:p>
    <w:p>
      <w:pPr>
        <w:pStyle w:val="BodyText"/>
        <w:spacing w:line="249" w:lineRule="auto"/>
        <w:ind w:left="130" w:firstLine="170"/>
        <w:jc w:val="both"/>
      </w:pPr>
      <w:r>
        <w:rPr/>
        <w:t>Otra experiencia, de la educación formal se inserta en la educación media de la comunidad. En este trabajo se muestran tres componentes del programa de</w:t>
      </w:r>
      <w:r>
        <w:rPr>
          <w:spacing w:val="-10"/>
        </w:rPr>
        <w:t> </w:t>
      </w:r>
      <w:r>
        <w:rPr/>
        <w:t>educación ambiental: Las características del público objetivo, las características curriculares basadas específicamente en el desarrollo de competencias, las cuales se presentan  de manera implícita en el conjunto de estrategias de aprendizaje de cada uno de los temas</w:t>
      </w:r>
      <w:r>
        <w:rPr>
          <w:spacing w:val="-4"/>
        </w:rPr>
        <w:t> </w:t>
      </w:r>
      <w:r>
        <w:rPr/>
        <w:t>ambientales</w:t>
      </w:r>
      <w:r>
        <w:rPr>
          <w:spacing w:val="-4"/>
        </w:rPr>
        <w:t> </w:t>
      </w:r>
      <w:r>
        <w:rPr/>
        <w:t>prioritarios</w:t>
      </w:r>
      <w:r>
        <w:rPr>
          <w:spacing w:val="-4"/>
        </w:rPr>
        <w:t> </w:t>
      </w:r>
      <w:r>
        <w:rPr/>
        <w:t>que</w:t>
      </w:r>
      <w:r>
        <w:rPr>
          <w:spacing w:val="-4"/>
        </w:rPr>
        <w:t> </w:t>
      </w:r>
      <w:r>
        <w:rPr/>
        <w:t>se</w:t>
      </w:r>
      <w:r>
        <w:rPr>
          <w:spacing w:val="-4"/>
        </w:rPr>
        <w:t> </w:t>
      </w:r>
      <w:r>
        <w:rPr/>
        <w:t>tratan,</w:t>
      </w:r>
      <w:r>
        <w:rPr>
          <w:spacing w:val="-4"/>
        </w:rPr>
        <w:t> </w:t>
      </w:r>
      <w:r>
        <w:rPr/>
        <w:t>mismos</w:t>
      </w:r>
      <w:r>
        <w:rPr>
          <w:spacing w:val="-4"/>
        </w:rPr>
        <w:t> </w:t>
      </w:r>
      <w:r>
        <w:rPr/>
        <w:t>que</w:t>
      </w:r>
      <w:r>
        <w:rPr>
          <w:spacing w:val="-4"/>
        </w:rPr>
        <w:t> </w:t>
      </w:r>
      <w:r>
        <w:rPr/>
        <w:t>son</w:t>
      </w:r>
      <w:r>
        <w:rPr>
          <w:spacing w:val="-4"/>
        </w:rPr>
        <w:t> </w:t>
      </w:r>
      <w:r>
        <w:rPr/>
        <w:t>abordados</w:t>
      </w:r>
      <w:r>
        <w:rPr>
          <w:spacing w:val="-4"/>
        </w:rPr>
        <w:t> </w:t>
      </w:r>
      <w:r>
        <w:rPr/>
        <w:t>de</w:t>
      </w:r>
      <w:r>
        <w:rPr>
          <w:spacing w:val="-4"/>
        </w:rPr>
        <w:t> </w:t>
      </w:r>
      <w:r>
        <w:rPr/>
        <w:t>lo</w:t>
      </w:r>
      <w:r>
        <w:rPr>
          <w:spacing w:val="-4"/>
        </w:rPr>
        <w:t> </w:t>
      </w:r>
      <w:r>
        <w:rPr/>
        <w:t>simple</w:t>
      </w:r>
      <w:r>
        <w:rPr>
          <w:spacing w:val="-4"/>
        </w:rPr>
        <w:t> </w:t>
      </w:r>
      <w:r>
        <w:rPr/>
        <w:t>a lo</w:t>
      </w:r>
      <w:r>
        <w:rPr>
          <w:spacing w:val="-4"/>
        </w:rPr>
        <w:t> </w:t>
      </w:r>
      <w:r>
        <w:rPr/>
        <w:t>complejo,</w:t>
      </w:r>
      <w:r>
        <w:rPr>
          <w:spacing w:val="-4"/>
        </w:rPr>
        <w:t> </w:t>
      </w:r>
      <w:r>
        <w:rPr/>
        <w:t>de</w:t>
      </w:r>
      <w:r>
        <w:rPr>
          <w:spacing w:val="-4"/>
        </w:rPr>
        <w:t> </w:t>
      </w:r>
      <w:r>
        <w:rPr/>
        <w:t>tal</w:t>
      </w:r>
      <w:r>
        <w:rPr>
          <w:spacing w:val="-4"/>
        </w:rPr>
        <w:t> </w:t>
      </w:r>
      <w:r>
        <w:rPr/>
        <w:t>manera</w:t>
      </w:r>
      <w:r>
        <w:rPr>
          <w:spacing w:val="-4"/>
        </w:rPr>
        <w:t> </w:t>
      </w:r>
      <w:r>
        <w:rPr/>
        <w:t>que</w:t>
      </w:r>
      <w:r>
        <w:rPr>
          <w:spacing w:val="-4"/>
        </w:rPr>
        <w:t> </w:t>
      </w:r>
      <w:r>
        <w:rPr/>
        <w:t>al</w:t>
      </w:r>
      <w:r>
        <w:rPr>
          <w:spacing w:val="-4"/>
        </w:rPr>
        <w:t> </w:t>
      </w:r>
      <w:r>
        <w:rPr/>
        <w:t>ser</w:t>
      </w:r>
      <w:r>
        <w:rPr>
          <w:spacing w:val="-4"/>
        </w:rPr>
        <w:t> </w:t>
      </w:r>
      <w:r>
        <w:rPr/>
        <w:t>estudiada</w:t>
      </w:r>
      <w:r>
        <w:rPr>
          <w:spacing w:val="-4"/>
        </w:rPr>
        <w:t> </w:t>
      </w:r>
      <w:r>
        <w:rPr/>
        <w:t>la</w:t>
      </w:r>
      <w:r>
        <w:rPr>
          <w:spacing w:val="-4"/>
        </w:rPr>
        <w:t> </w:t>
      </w:r>
      <w:r>
        <w:rPr/>
        <w:t>problemática</w:t>
      </w:r>
      <w:r>
        <w:rPr>
          <w:spacing w:val="-4"/>
        </w:rPr>
        <w:t> </w:t>
      </w:r>
      <w:r>
        <w:rPr/>
        <w:t>por</w:t>
      </w:r>
      <w:r>
        <w:rPr>
          <w:spacing w:val="-4"/>
        </w:rPr>
        <w:t> </w:t>
      </w:r>
      <w:r>
        <w:rPr/>
        <w:t>los</w:t>
      </w:r>
      <w:r>
        <w:rPr>
          <w:spacing w:val="-4"/>
        </w:rPr>
        <w:t> </w:t>
      </w:r>
      <w:r>
        <w:rPr/>
        <w:t>discentes,</w:t>
      </w:r>
      <w:r>
        <w:rPr>
          <w:spacing w:val="-4"/>
        </w:rPr>
        <w:t> </w:t>
      </w:r>
      <w:r>
        <w:rPr/>
        <w:t>éstos contribuyan a la solución ambiental de su</w:t>
      </w:r>
      <w:r>
        <w:rPr>
          <w:spacing w:val="49"/>
        </w:rPr>
        <w:t> </w:t>
      </w:r>
      <w:r>
        <w:rPr/>
        <w:t>entorno.</w:t>
      </w:r>
    </w:p>
    <w:p>
      <w:pPr>
        <w:pStyle w:val="BodyText"/>
        <w:spacing w:before="11"/>
      </w:pPr>
    </w:p>
    <w:p>
      <w:pPr>
        <w:pStyle w:val="BodyText"/>
        <w:spacing w:line="249" w:lineRule="auto"/>
        <w:ind w:left="130" w:firstLine="170"/>
        <w:jc w:val="both"/>
      </w:pPr>
      <w:r>
        <w:rPr/>
        <w:t>De manera específica se logra identificar los fundamentos institucionales que hacen viable la aplicación de estrategias de aprendizaje significativo en la Reforma Integral  de la Educación Básica del 2006 que se enfoca en la educación media, a través de competencias se perfila el egreso del estudiante de secundaria. Los temas que se tratan</w:t>
      </w:r>
      <w:r>
        <w:rPr>
          <w:spacing w:val="-7"/>
        </w:rPr>
        <w:t> </w:t>
      </w:r>
      <w:r>
        <w:rPr/>
        <w:t>se</w:t>
      </w:r>
      <w:r>
        <w:rPr>
          <w:spacing w:val="-7"/>
        </w:rPr>
        <w:t> </w:t>
      </w:r>
      <w:r>
        <w:rPr/>
        <w:t>integran</w:t>
      </w:r>
      <w:r>
        <w:rPr>
          <w:spacing w:val="-7"/>
        </w:rPr>
        <w:t> </w:t>
      </w:r>
      <w:r>
        <w:rPr/>
        <w:t>de</w:t>
      </w:r>
      <w:r>
        <w:rPr>
          <w:spacing w:val="-7"/>
        </w:rPr>
        <w:t> </w:t>
      </w:r>
      <w:r>
        <w:rPr/>
        <w:t>manera</w:t>
      </w:r>
      <w:r>
        <w:rPr>
          <w:spacing w:val="-7"/>
        </w:rPr>
        <w:t> </w:t>
      </w:r>
      <w:r>
        <w:rPr/>
        <w:t>transversal</w:t>
      </w:r>
      <w:r>
        <w:rPr>
          <w:spacing w:val="-7"/>
        </w:rPr>
        <w:t> </w:t>
      </w:r>
      <w:r>
        <w:rPr/>
        <w:t>en</w:t>
      </w:r>
      <w:r>
        <w:rPr>
          <w:spacing w:val="-7"/>
        </w:rPr>
        <w:t> </w:t>
      </w:r>
      <w:r>
        <w:rPr/>
        <w:t>diversas</w:t>
      </w:r>
      <w:r>
        <w:rPr>
          <w:spacing w:val="-7"/>
        </w:rPr>
        <w:t> </w:t>
      </w:r>
      <w:r>
        <w:rPr/>
        <w:t>asignaturas,</w:t>
      </w:r>
      <w:r>
        <w:rPr>
          <w:spacing w:val="-7"/>
        </w:rPr>
        <w:t> </w:t>
      </w:r>
      <w:r>
        <w:rPr/>
        <w:t>lo</w:t>
      </w:r>
      <w:r>
        <w:rPr>
          <w:spacing w:val="-7"/>
        </w:rPr>
        <w:t> </w:t>
      </w:r>
      <w:r>
        <w:rPr/>
        <w:t>cual</w:t>
      </w:r>
      <w:r>
        <w:rPr>
          <w:spacing w:val="-7"/>
        </w:rPr>
        <w:t> </w:t>
      </w:r>
      <w:r>
        <w:rPr/>
        <w:t>hace</w:t>
      </w:r>
      <w:r>
        <w:rPr>
          <w:spacing w:val="-7"/>
        </w:rPr>
        <w:t> </w:t>
      </w:r>
      <w:r>
        <w:rPr/>
        <w:t>viable</w:t>
      </w:r>
      <w:r>
        <w:rPr>
          <w:spacing w:val="-7"/>
        </w:rPr>
        <w:t> </w:t>
      </w:r>
      <w:r>
        <w:rPr/>
        <w:t>su</w:t>
      </w:r>
    </w:p>
    <w:p>
      <w:pPr>
        <w:pStyle w:val="BodyText"/>
        <w:spacing w:line="249" w:lineRule="auto" w:before="107"/>
        <w:ind w:left="130" w:right="127"/>
      </w:pPr>
      <w:r>
        <w:rPr/>
        <w:br w:type="column"/>
      </w:r>
      <w:r>
        <w:rPr/>
        <w:t>aplicación no solo en la secundaria de la comunidad, sino también puede extrapolarse el ejercicio pedagógico a otras secundarias.</w:t>
      </w:r>
    </w:p>
    <w:p>
      <w:pPr>
        <w:pStyle w:val="BodyText"/>
        <w:spacing w:before="11"/>
      </w:pPr>
    </w:p>
    <w:p>
      <w:pPr>
        <w:pStyle w:val="BodyText"/>
        <w:spacing w:line="249" w:lineRule="auto"/>
        <w:ind w:left="130" w:right="127" w:firstLine="170"/>
        <w:jc w:val="both"/>
      </w:pPr>
      <w:r>
        <w:rPr/>
        <w:t>Con respecto a la discusión   de las bases teóricas y metodológicas, se considera   de vital importancia seminarios de formación para potenciar el aprendizaje. Aquí se retoma la idea de Vigotsky; la cual señala que el aprendizaje por pares, además de  ser significativo, por haber un interés común en su trabajo, se comparten saberes    que se transmiten en el mismo registro lingüístico y si no, se hacen las traducciones respectivas, para mostrar el punto de vista de las teorías, metodologías y</w:t>
      </w:r>
      <w:r>
        <w:rPr>
          <w:spacing w:val="-22"/>
        </w:rPr>
        <w:t> </w:t>
      </w:r>
      <w:r>
        <w:rPr/>
        <w:t>experiencias. Es por esta razón que se sugiere la formación de los integrantes del CA en seminarios con la discusión de temas y lecturas específicas. A la par, también se tendrían que integrar en mesas de diálogo los actores y autoridades donde se desarrollan los proyectos. Esta actividad uniría y haría más empático el proceso de investigación y de operación del proyecto. Por otro lado, convendría planear un conjunto de actividades de formación y de trabajo de campo en cada semestre, para destinar un espacio y tiempo a la</w:t>
      </w:r>
      <w:r>
        <w:rPr>
          <w:spacing w:val="29"/>
        </w:rPr>
        <w:t> </w:t>
      </w:r>
      <w:r>
        <w:rPr/>
        <w:t>formación.</w:t>
      </w:r>
    </w:p>
    <w:p>
      <w:pPr>
        <w:pStyle w:val="BodyText"/>
        <w:spacing w:before="6"/>
      </w:pPr>
    </w:p>
    <w:p>
      <w:pPr>
        <w:pStyle w:val="Heading2"/>
        <w:spacing w:line="240" w:lineRule="exact"/>
        <w:ind w:left="2916" w:right="-10" w:hanging="2141"/>
      </w:pPr>
      <w:r>
        <w:rPr>
          <w:i/>
        </w:rPr>
        <w:t>Conclusiones de los estudios del manejo sustentable de </w:t>
      </w:r>
      <w:r>
        <w:rPr/>
        <w:t>recursos naturales</w:t>
      </w:r>
    </w:p>
    <w:p>
      <w:pPr>
        <w:pStyle w:val="BodyText"/>
        <w:spacing w:before="2"/>
        <w:rPr>
          <w:b/>
          <w:i/>
          <w:sz w:val="21"/>
        </w:rPr>
      </w:pPr>
    </w:p>
    <w:p>
      <w:pPr>
        <w:pStyle w:val="BodyText"/>
        <w:spacing w:line="249" w:lineRule="auto" w:before="1"/>
        <w:ind w:left="130" w:right="127" w:firstLine="170"/>
        <w:jc w:val="both"/>
      </w:pPr>
      <w:r>
        <w:rPr/>
        <w:t>El trabajo en las comunidades de estudio ha marcado una relación de respeto y diálogo en términos de aprendizaje mutuo en cada uno de los integrantes del CA. La experiencia ha servido para promover la responsabilidad que tiene la universidad para la sociedad. Asimismo, la extensión de redes del conocimiento que incluyen diversos actores, sean sociales, privados, públicos y académicos para formular alternativas   que incidan en la problemática ambiental, y en términos metodológicos, el cual fue el objetivo principal de este capítulo, se obtuvieron diversas lecciones las cuales se listan a</w:t>
      </w:r>
      <w:r>
        <w:rPr>
          <w:spacing w:val="21"/>
        </w:rPr>
        <w:t> </w:t>
      </w:r>
      <w:r>
        <w:rPr/>
        <w:t>continuación:</w:t>
      </w:r>
    </w:p>
    <w:p>
      <w:pPr>
        <w:pStyle w:val="BodyText"/>
        <w:spacing w:before="10"/>
      </w:pPr>
    </w:p>
    <w:p>
      <w:pPr>
        <w:pStyle w:val="ListParagraph"/>
        <w:numPr>
          <w:ilvl w:val="1"/>
          <w:numId w:val="4"/>
        </w:numPr>
        <w:tabs>
          <w:tab w:pos="661" w:val="left" w:leader="none"/>
        </w:tabs>
        <w:spacing w:line="249" w:lineRule="auto" w:before="1" w:after="0"/>
        <w:ind w:left="660" w:right="127" w:hanging="360"/>
        <w:jc w:val="both"/>
        <w:rPr>
          <w:sz w:val="20"/>
        </w:rPr>
      </w:pPr>
      <w:r>
        <w:rPr>
          <w:sz w:val="20"/>
        </w:rPr>
        <w:t>La observación es una fuente esencial de información para el trabajo local, pues además del lenguaje escrito y verbal, el corporal y la expresión de emociones     y comportamientos de los mismos actores proporcionaron datos que por otro medio no se pueden</w:t>
      </w:r>
      <w:r>
        <w:rPr>
          <w:spacing w:val="28"/>
          <w:sz w:val="20"/>
        </w:rPr>
        <w:t> </w:t>
      </w:r>
      <w:r>
        <w:rPr>
          <w:sz w:val="20"/>
        </w:rPr>
        <w:t>obtener.</w:t>
      </w:r>
    </w:p>
    <w:p>
      <w:pPr>
        <w:pStyle w:val="ListParagraph"/>
        <w:numPr>
          <w:ilvl w:val="1"/>
          <w:numId w:val="4"/>
        </w:numPr>
        <w:tabs>
          <w:tab w:pos="661" w:val="left" w:leader="none"/>
        </w:tabs>
        <w:spacing w:line="249" w:lineRule="auto" w:before="1" w:after="0"/>
        <w:ind w:left="660" w:right="128" w:hanging="360"/>
        <w:jc w:val="both"/>
        <w:rPr>
          <w:sz w:val="20"/>
        </w:rPr>
      </w:pPr>
      <w:r>
        <w:rPr>
          <w:sz w:val="20"/>
        </w:rPr>
        <w:t>Dificultad en la formulación de la síntesis ante un diagnóstico complejo, pues el identificar y analizar diversas ramificaciones causales dificultan la interpretación de la</w:t>
      </w:r>
      <w:r>
        <w:rPr>
          <w:spacing w:val="25"/>
          <w:sz w:val="20"/>
        </w:rPr>
        <w:t> </w:t>
      </w:r>
      <w:r>
        <w:rPr>
          <w:sz w:val="20"/>
        </w:rPr>
        <w:t>problemática.</w:t>
      </w:r>
    </w:p>
    <w:p>
      <w:pPr>
        <w:pStyle w:val="ListParagraph"/>
        <w:numPr>
          <w:ilvl w:val="1"/>
          <w:numId w:val="4"/>
        </w:numPr>
        <w:tabs>
          <w:tab w:pos="661" w:val="left" w:leader="none"/>
        </w:tabs>
        <w:spacing w:line="249" w:lineRule="auto" w:before="1" w:after="0"/>
        <w:ind w:left="660" w:right="128" w:hanging="360"/>
        <w:jc w:val="both"/>
        <w:rPr>
          <w:sz w:val="20"/>
        </w:rPr>
      </w:pPr>
      <w:r>
        <w:rPr>
          <w:sz w:val="20"/>
        </w:rPr>
        <w:t>La importancia de interpretar las inter fases, es decir, las características que se cubren en dos o más subsistemas para obtener una información sinérgica, más que separar conocimiento</w:t>
      </w:r>
      <w:r>
        <w:rPr>
          <w:spacing w:val="53"/>
          <w:sz w:val="20"/>
        </w:rPr>
        <w:t> </w:t>
      </w:r>
      <w:r>
        <w:rPr>
          <w:sz w:val="20"/>
        </w:rPr>
        <w:t>unidisciplinario.</w:t>
      </w:r>
    </w:p>
    <w:p>
      <w:pPr>
        <w:pStyle w:val="ListParagraph"/>
        <w:numPr>
          <w:ilvl w:val="1"/>
          <w:numId w:val="4"/>
        </w:numPr>
        <w:tabs>
          <w:tab w:pos="661" w:val="left" w:leader="none"/>
        </w:tabs>
        <w:spacing w:line="247" w:lineRule="auto" w:before="1" w:after="0"/>
        <w:ind w:left="660" w:right="127" w:hanging="360"/>
        <w:jc w:val="both"/>
        <w:rPr>
          <w:sz w:val="20"/>
        </w:rPr>
      </w:pPr>
      <w:r>
        <w:rPr>
          <w:sz w:val="20"/>
        </w:rPr>
        <w:t>Considerar los intereses de cada uno de los actores facilita la formulación de acuerdos entre</w:t>
      </w:r>
      <w:r>
        <w:rPr>
          <w:spacing w:val="10"/>
          <w:sz w:val="20"/>
        </w:rPr>
        <w:t> </w:t>
      </w:r>
      <w:r>
        <w:rPr>
          <w:sz w:val="20"/>
        </w:rPr>
        <w:t>ellos.</w:t>
      </w:r>
    </w:p>
    <w:p>
      <w:pPr>
        <w:pStyle w:val="ListParagraph"/>
        <w:numPr>
          <w:ilvl w:val="1"/>
          <w:numId w:val="4"/>
        </w:numPr>
        <w:tabs>
          <w:tab w:pos="660" w:val="left" w:leader="none"/>
          <w:tab w:pos="661" w:val="left" w:leader="none"/>
        </w:tabs>
        <w:spacing w:line="240" w:lineRule="auto" w:before="3" w:after="0"/>
        <w:ind w:left="660" w:right="0" w:hanging="360"/>
        <w:jc w:val="left"/>
        <w:rPr>
          <w:sz w:val="20"/>
        </w:rPr>
      </w:pPr>
      <w:r>
        <w:rPr>
          <w:sz w:val="20"/>
        </w:rPr>
        <w:t>Aprovechar las experiencias locales en el manejo de los recursos para  </w:t>
      </w:r>
      <w:r>
        <w:rPr>
          <w:spacing w:val="21"/>
          <w:sz w:val="20"/>
        </w:rPr>
        <w:t> </w:t>
      </w:r>
      <w:r>
        <w:rPr>
          <w:sz w:val="20"/>
        </w:rPr>
        <w:t>formular</w:t>
      </w:r>
    </w:p>
    <w:p>
      <w:pPr>
        <w:spacing w:after="0" w:line="240" w:lineRule="auto"/>
        <w:jc w:val="left"/>
        <w:rPr>
          <w:sz w:val="20"/>
        </w:rPr>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107"/>
          <w:pgSz w:w="18830" w:h="12760" w:orient="landscape"/>
          <w:pgMar w:footer="1036" w:header="522" w:top="820" w:bottom="1220" w:left="720" w:right="720"/>
        </w:sectPr>
      </w:pPr>
    </w:p>
    <w:p>
      <w:pPr>
        <w:pStyle w:val="BodyText"/>
        <w:spacing w:before="109"/>
        <w:ind w:left="660" w:right="-7"/>
      </w:pPr>
      <w:r>
        <w:rPr/>
        <w:t>propuestas, pues da pauta para que se apropien de ellas.</w:t>
      </w:r>
    </w:p>
    <w:p>
      <w:pPr>
        <w:pStyle w:val="ListParagraph"/>
        <w:numPr>
          <w:ilvl w:val="1"/>
          <w:numId w:val="4"/>
        </w:numPr>
        <w:tabs>
          <w:tab w:pos="661" w:val="left" w:leader="none"/>
        </w:tabs>
        <w:spacing w:line="249" w:lineRule="auto" w:before="10" w:after="0"/>
        <w:ind w:left="660" w:right="0" w:hanging="360"/>
        <w:jc w:val="both"/>
        <w:rPr>
          <w:sz w:val="20"/>
        </w:rPr>
      </w:pPr>
      <w:r>
        <w:rPr>
          <w:sz w:val="20"/>
        </w:rPr>
        <w:t>En</w:t>
      </w:r>
      <w:r>
        <w:rPr>
          <w:spacing w:val="-16"/>
          <w:sz w:val="20"/>
        </w:rPr>
        <w:t> </w:t>
      </w:r>
      <w:r>
        <w:rPr>
          <w:sz w:val="20"/>
        </w:rPr>
        <w:t>el</w:t>
      </w:r>
      <w:r>
        <w:rPr>
          <w:spacing w:val="-16"/>
          <w:sz w:val="20"/>
        </w:rPr>
        <w:t> </w:t>
      </w:r>
      <w:r>
        <w:rPr>
          <w:sz w:val="20"/>
        </w:rPr>
        <w:t>uso</w:t>
      </w:r>
      <w:r>
        <w:rPr>
          <w:spacing w:val="-16"/>
          <w:sz w:val="20"/>
        </w:rPr>
        <w:t> </w:t>
      </w:r>
      <w:r>
        <w:rPr>
          <w:sz w:val="20"/>
        </w:rPr>
        <w:t>y</w:t>
      </w:r>
      <w:r>
        <w:rPr>
          <w:spacing w:val="-16"/>
          <w:sz w:val="20"/>
        </w:rPr>
        <w:t> </w:t>
      </w:r>
      <w:r>
        <w:rPr>
          <w:sz w:val="20"/>
        </w:rPr>
        <w:t>manejo</w:t>
      </w:r>
      <w:r>
        <w:rPr>
          <w:spacing w:val="-16"/>
          <w:sz w:val="20"/>
        </w:rPr>
        <w:t> </w:t>
      </w:r>
      <w:r>
        <w:rPr>
          <w:sz w:val="20"/>
        </w:rPr>
        <w:t>de</w:t>
      </w:r>
      <w:r>
        <w:rPr>
          <w:spacing w:val="-16"/>
          <w:sz w:val="20"/>
        </w:rPr>
        <w:t> </w:t>
      </w:r>
      <w:r>
        <w:rPr>
          <w:sz w:val="20"/>
        </w:rPr>
        <w:t>los</w:t>
      </w:r>
      <w:r>
        <w:rPr>
          <w:spacing w:val="-16"/>
          <w:sz w:val="20"/>
        </w:rPr>
        <w:t> </w:t>
      </w:r>
      <w:r>
        <w:rPr>
          <w:sz w:val="20"/>
        </w:rPr>
        <w:t>recursos</w:t>
      </w:r>
      <w:r>
        <w:rPr>
          <w:spacing w:val="-16"/>
          <w:sz w:val="20"/>
        </w:rPr>
        <w:t> </w:t>
      </w:r>
      <w:r>
        <w:rPr>
          <w:sz w:val="20"/>
        </w:rPr>
        <w:t>naturales</w:t>
      </w:r>
      <w:r>
        <w:rPr>
          <w:spacing w:val="-16"/>
          <w:sz w:val="20"/>
        </w:rPr>
        <w:t> </w:t>
      </w:r>
      <w:r>
        <w:rPr>
          <w:sz w:val="20"/>
        </w:rPr>
        <w:t>predomina</w:t>
      </w:r>
      <w:r>
        <w:rPr>
          <w:spacing w:val="-16"/>
          <w:sz w:val="20"/>
        </w:rPr>
        <w:t> </w:t>
      </w:r>
      <w:r>
        <w:rPr>
          <w:sz w:val="20"/>
        </w:rPr>
        <w:t>la</w:t>
      </w:r>
      <w:r>
        <w:rPr>
          <w:spacing w:val="-16"/>
          <w:sz w:val="20"/>
        </w:rPr>
        <w:t> </w:t>
      </w:r>
      <w:r>
        <w:rPr>
          <w:sz w:val="20"/>
        </w:rPr>
        <w:t>racionalidad</w:t>
      </w:r>
      <w:r>
        <w:rPr>
          <w:spacing w:val="-16"/>
          <w:sz w:val="20"/>
        </w:rPr>
        <w:t> </w:t>
      </w:r>
      <w:r>
        <w:rPr>
          <w:sz w:val="20"/>
        </w:rPr>
        <w:t>económica con relación al manejo sustentable, aunque se reconozca la adversidad al medio físico.</w:t>
      </w:r>
    </w:p>
    <w:p>
      <w:pPr>
        <w:pStyle w:val="ListParagraph"/>
        <w:numPr>
          <w:ilvl w:val="1"/>
          <w:numId w:val="4"/>
        </w:numPr>
        <w:tabs>
          <w:tab w:pos="661" w:val="left" w:leader="none"/>
        </w:tabs>
        <w:spacing w:line="247" w:lineRule="auto" w:before="1" w:after="0"/>
        <w:ind w:left="660" w:right="0" w:hanging="360"/>
        <w:jc w:val="both"/>
        <w:rPr>
          <w:sz w:val="20"/>
        </w:rPr>
      </w:pPr>
      <w:r>
        <w:rPr>
          <w:sz w:val="20"/>
        </w:rPr>
        <w:t>Las fases del proceso de la planeación han conducido adecuadamente a la formulación de propuestas </w:t>
      </w:r>
      <w:r>
        <w:rPr>
          <w:spacing w:val="2"/>
          <w:sz w:val="20"/>
        </w:rPr>
        <w:t> </w:t>
      </w:r>
      <w:r>
        <w:rPr>
          <w:sz w:val="20"/>
        </w:rPr>
        <w:t>concretas.</w:t>
      </w:r>
    </w:p>
    <w:p>
      <w:pPr>
        <w:pStyle w:val="ListParagraph"/>
        <w:numPr>
          <w:ilvl w:val="1"/>
          <w:numId w:val="4"/>
        </w:numPr>
        <w:tabs>
          <w:tab w:pos="661" w:val="left" w:leader="none"/>
        </w:tabs>
        <w:spacing w:line="249" w:lineRule="auto" w:before="3" w:after="0"/>
        <w:ind w:left="660" w:right="0" w:hanging="360"/>
        <w:jc w:val="both"/>
        <w:rPr>
          <w:sz w:val="20"/>
        </w:rPr>
      </w:pPr>
      <w:r>
        <w:rPr>
          <w:sz w:val="20"/>
        </w:rPr>
        <w:t>Disponibilidad de los actores locales cuando se crea un ambiente de confianza   y se demuestra la posibilidad de solución de problemas, y se trabaja de manera conjunta, a pesar que en ocasiones se presenta desconfianza por parte de ellos, al considerar que el investigador tienen un interés diferente al de</w:t>
      </w:r>
      <w:r>
        <w:rPr>
          <w:spacing w:val="26"/>
          <w:sz w:val="20"/>
        </w:rPr>
        <w:t> </w:t>
      </w:r>
      <w:r>
        <w:rPr>
          <w:sz w:val="20"/>
        </w:rPr>
        <w:t>ellos.</w:t>
      </w:r>
    </w:p>
    <w:p>
      <w:pPr>
        <w:pStyle w:val="ListParagraph"/>
        <w:numPr>
          <w:ilvl w:val="1"/>
          <w:numId w:val="4"/>
        </w:numPr>
        <w:tabs>
          <w:tab w:pos="660" w:val="left" w:leader="none"/>
          <w:tab w:pos="661" w:val="left" w:leader="none"/>
        </w:tabs>
        <w:spacing w:line="240" w:lineRule="auto" w:before="1" w:after="0"/>
        <w:ind w:left="660" w:right="0" w:hanging="360"/>
        <w:jc w:val="left"/>
        <w:rPr>
          <w:sz w:val="20"/>
        </w:rPr>
      </w:pPr>
      <w:r>
        <w:rPr>
          <w:sz w:val="20"/>
        </w:rPr>
        <w:t>Identificar los procesos históricos para el manejo de los recursos </w:t>
      </w:r>
      <w:r>
        <w:rPr>
          <w:spacing w:val="7"/>
          <w:sz w:val="20"/>
        </w:rPr>
        <w:t> </w:t>
      </w:r>
      <w:r>
        <w:rPr>
          <w:sz w:val="20"/>
        </w:rPr>
        <w:t>naturales</w:t>
      </w:r>
    </w:p>
    <w:p>
      <w:pPr>
        <w:pStyle w:val="ListParagraph"/>
        <w:numPr>
          <w:ilvl w:val="1"/>
          <w:numId w:val="4"/>
        </w:numPr>
        <w:tabs>
          <w:tab w:pos="660" w:val="left" w:leader="none"/>
          <w:tab w:pos="661" w:val="left" w:leader="none"/>
        </w:tabs>
        <w:spacing w:line="240" w:lineRule="auto" w:before="7" w:after="0"/>
        <w:ind w:left="660" w:right="0" w:hanging="360"/>
        <w:jc w:val="left"/>
        <w:rPr>
          <w:sz w:val="20"/>
        </w:rPr>
      </w:pPr>
      <w:r>
        <w:rPr>
          <w:sz w:val="20"/>
        </w:rPr>
        <w:t>Mantener el trabajo local por la concreción con actores y los recursos </w:t>
      </w:r>
      <w:r>
        <w:rPr>
          <w:spacing w:val="22"/>
          <w:sz w:val="20"/>
        </w:rPr>
        <w:t> </w:t>
      </w:r>
      <w:r>
        <w:rPr>
          <w:sz w:val="20"/>
        </w:rPr>
        <w:t>naturales</w:t>
      </w:r>
    </w:p>
    <w:p>
      <w:pPr>
        <w:pStyle w:val="ListParagraph"/>
        <w:numPr>
          <w:ilvl w:val="1"/>
          <w:numId w:val="4"/>
        </w:numPr>
        <w:tabs>
          <w:tab w:pos="661" w:val="left" w:leader="none"/>
        </w:tabs>
        <w:spacing w:line="249" w:lineRule="auto" w:before="7" w:after="0"/>
        <w:ind w:left="660" w:right="0" w:hanging="360"/>
        <w:jc w:val="both"/>
        <w:rPr>
          <w:sz w:val="20"/>
        </w:rPr>
      </w:pPr>
      <w:r>
        <w:rPr>
          <w:sz w:val="20"/>
        </w:rPr>
        <w:t>Las fases del análisis y síntesis como proceso para el estudio de los recursos naturales son adecuados, sobre todo cuando se tratan desde diversos subsistemas.</w:t>
      </w:r>
    </w:p>
    <w:p>
      <w:pPr>
        <w:pStyle w:val="ListParagraph"/>
        <w:numPr>
          <w:ilvl w:val="1"/>
          <w:numId w:val="4"/>
        </w:numPr>
        <w:tabs>
          <w:tab w:pos="660" w:val="left" w:leader="none"/>
          <w:tab w:pos="661" w:val="left" w:leader="none"/>
        </w:tabs>
        <w:spacing w:line="240" w:lineRule="auto" w:before="1" w:after="0"/>
        <w:ind w:left="660" w:right="0" w:hanging="360"/>
        <w:jc w:val="left"/>
        <w:rPr>
          <w:sz w:val="20"/>
        </w:rPr>
      </w:pPr>
      <w:r>
        <w:rPr>
          <w:sz w:val="20"/>
        </w:rPr>
        <w:t>Considerar los conflictos de intereses locales e </w:t>
      </w:r>
      <w:r>
        <w:rPr>
          <w:spacing w:val="4"/>
          <w:sz w:val="20"/>
        </w:rPr>
        <w:t> </w:t>
      </w:r>
      <w:r>
        <w:rPr>
          <w:sz w:val="20"/>
        </w:rPr>
        <w:t>históricos</w:t>
      </w:r>
    </w:p>
    <w:p>
      <w:pPr>
        <w:pStyle w:val="ListParagraph"/>
        <w:numPr>
          <w:ilvl w:val="1"/>
          <w:numId w:val="4"/>
        </w:numPr>
        <w:tabs>
          <w:tab w:pos="660" w:val="left" w:leader="none"/>
          <w:tab w:pos="661" w:val="left" w:leader="none"/>
        </w:tabs>
        <w:spacing w:line="240" w:lineRule="auto" w:before="7" w:after="0"/>
        <w:ind w:left="660" w:right="0" w:hanging="360"/>
        <w:jc w:val="left"/>
        <w:rPr>
          <w:sz w:val="20"/>
        </w:rPr>
      </w:pPr>
      <w:r>
        <w:rPr>
          <w:sz w:val="20"/>
        </w:rPr>
        <w:t>Continuar el trabajo interdisciplinario del Cuerpo </w:t>
      </w:r>
      <w:r>
        <w:rPr>
          <w:spacing w:val="12"/>
          <w:sz w:val="20"/>
        </w:rPr>
        <w:t> </w:t>
      </w:r>
      <w:r>
        <w:rPr>
          <w:sz w:val="20"/>
        </w:rPr>
        <w:t>Académico.</w:t>
      </w:r>
    </w:p>
    <w:p>
      <w:pPr>
        <w:pStyle w:val="ListParagraph"/>
        <w:numPr>
          <w:ilvl w:val="1"/>
          <w:numId w:val="4"/>
        </w:numPr>
        <w:tabs>
          <w:tab w:pos="661" w:val="left" w:leader="none"/>
        </w:tabs>
        <w:spacing w:line="247" w:lineRule="auto" w:before="7" w:after="0"/>
        <w:ind w:left="660" w:right="0" w:hanging="360"/>
        <w:jc w:val="both"/>
        <w:rPr>
          <w:sz w:val="20"/>
        </w:rPr>
      </w:pPr>
      <w:r>
        <w:rPr>
          <w:sz w:val="20"/>
        </w:rPr>
        <w:t>Los programas educativos ejecutados en la comunidad pueden servir de guía para ser aplicados con  otras</w:t>
      </w:r>
      <w:r>
        <w:rPr>
          <w:spacing w:val="53"/>
          <w:sz w:val="20"/>
        </w:rPr>
        <w:t> </w:t>
      </w:r>
      <w:r>
        <w:rPr>
          <w:sz w:val="20"/>
        </w:rPr>
        <w:t>comunidades.</w:t>
      </w:r>
    </w:p>
    <w:p>
      <w:pPr>
        <w:pStyle w:val="BodyText"/>
        <w:spacing w:before="1"/>
        <w:rPr>
          <w:sz w:val="21"/>
        </w:rPr>
      </w:pPr>
    </w:p>
    <w:p>
      <w:pPr>
        <w:pStyle w:val="BodyText"/>
        <w:spacing w:line="249" w:lineRule="auto" w:before="1"/>
        <w:ind w:left="130" w:firstLine="170"/>
        <w:jc w:val="both"/>
      </w:pPr>
      <w:r>
        <w:rPr/>
        <w:t>Se espera continuar con este diálogo transdisciplinario para entender la complejidad de</w:t>
      </w:r>
      <w:r>
        <w:rPr>
          <w:spacing w:val="-13"/>
        </w:rPr>
        <w:t> </w:t>
      </w:r>
      <w:r>
        <w:rPr/>
        <w:t>los</w:t>
      </w:r>
      <w:r>
        <w:rPr>
          <w:spacing w:val="-13"/>
        </w:rPr>
        <w:t> </w:t>
      </w:r>
      <w:r>
        <w:rPr/>
        <w:t>problemas</w:t>
      </w:r>
      <w:r>
        <w:rPr>
          <w:spacing w:val="-13"/>
        </w:rPr>
        <w:t> </w:t>
      </w:r>
      <w:r>
        <w:rPr/>
        <w:t>del</w:t>
      </w:r>
      <w:r>
        <w:rPr>
          <w:spacing w:val="-13"/>
        </w:rPr>
        <w:t> </w:t>
      </w:r>
      <w:r>
        <w:rPr/>
        <w:t>tratamiento</w:t>
      </w:r>
      <w:r>
        <w:rPr>
          <w:spacing w:val="-13"/>
        </w:rPr>
        <w:t> </w:t>
      </w:r>
      <w:r>
        <w:rPr/>
        <w:t>del</w:t>
      </w:r>
      <w:r>
        <w:rPr>
          <w:spacing w:val="-13"/>
        </w:rPr>
        <w:t> </w:t>
      </w:r>
      <w:r>
        <w:rPr/>
        <w:t>agua</w:t>
      </w:r>
      <w:r>
        <w:rPr>
          <w:spacing w:val="-13"/>
        </w:rPr>
        <w:t> </w:t>
      </w:r>
      <w:r>
        <w:rPr/>
        <w:t>y</w:t>
      </w:r>
      <w:r>
        <w:rPr>
          <w:spacing w:val="-13"/>
        </w:rPr>
        <w:t> </w:t>
      </w:r>
      <w:r>
        <w:rPr/>
        <w:t>del</w:t>
      </w:r>
      <w:r>
        <w:rPr>
          <w:spacing w:val="-13"/>
        </w:rPr>
        <w:t> </w:t>
      </w:r>
      <w:r>
        <w:rPr/>
        <w:t>manejo</w:t>
      </w:r>
      <w:r>
        <w:rPr>
          <w:spacing w:val="-13"/>
        </w:rPr>
        <w:t> </w:t>
      </w:r>
      <w:r>
        <w:rPr/>
        <w:t>de</w:t>
      </w:r>
      <w:r>
        <w:rPr>
          <w:spacing w:val="-13"/>
        </w:rPr>
        <w:t> </w:t>
      </w:r>
      <w:r>
        <w:rPr/>
        <w:t>residuos</w:t>
      </w:r>
      <w:r>
        <w:rPr>
          <w:spacing w:val="-13"/>
        </w:rPr>
        <w:t> </w:t>
      </w:r>
      <w:r>
        <w:rPr/>
        <w:t>sólidos,</w:t>
      </w:r>
      <w:r>
        <w:rPr>
          <w:spacing w:val="-13"/>
        </w:rPr>
        <w:t> </w:t>
      </w:r>
      <w:r>
        <w:rPr/>
        <w:t>el</w:t>
      </w:r>
      <w:r>
        <w:rPr>
          <w:spacing w:val="-13"/>
        </w:rPr>
        <w:t> </w:t>
      </w:r>
      <w:r>
        <w:rPr/>
        <w:t>desarrollo de la actividad turística como principal actividad y a través de la educación ambiental, fortalecer los proyectos. Finalmente, se considera la importancia de incorporar a estudiantes, según su área de conocimiento, pues al involucrarlos de manera directa con</w:t>
      </w:r>
      <w:r>
        <w:rPr>
          <w:spacing w:val="-6"/>
        </w:rPr>
        <w:t> </w:t>
      </w:r>
      <w:r>
        <w:rPr/>
        <w:t>los</w:t>
      </w:r>
      <w:r>
        <w:rPr>
          <w:spacing w:val="-6"/>
        </w:rPr>
        <w:t> </w:t>
      </w:r>
      <w:r>
        <w:rPr/>
        <w:t>casos</w:t>
      </w:r>
      <w:r>
        <w:rPr>
          <w:spacing w:val="-6"/>
        </w:rPr>
        <w:t> </w:t>
      </w:r>
      <w:r>
        <w:rPr/>
        <w:t>de</w:t>
      </w:r>
      <w:r>
        <w:rPr>
          <w:spacing w:val="-6"/>
        </w:rPr>
        <w:t> </w:t>
      </w:r>
      <w:r>
        <w:rPr/>
        <w:t>estudio,</w:t>
      </w:r>
      <w:r>
        <w:rPr>
          <w:spacing w:val="-6"/>
        </w:rPr>
        <w:t> </w:t>
      </w:r>
      <w:r>
        <w:rPr/>
        <w:t>se</w:t>
      </w:r>
      <w:r>
        <w:rPr>
          <w:spacing w:val="-6"/>
        </w:rPr>
        <w:t> </w:t>
      </w:r>
      <w:r>
        <w:rPr/>
        <w:t>fortalecen</w:t>
      </w:r>
      <w:r>
        <w:rPr>
          <w:spacing w:val="-7"/>
        </w:rPr>
        <w:t> </w:t>
      </w:r>
      <w:r>
        <w:rPr/>
        <w:t>en</w:t>
      </w:r>
      <w:r>
        <w:rPr>
          <w:spacing w:val="-6"/>
        </w:rPr>
        <w:t> </w:t>
      </w:r>
      <w:r>
        <w:rPr/>
        <w:t>la</w:t>
      </w:r>
      <w:r>
        <w:rPr>
          <w:spacing w:val="-6"/>
        </w:rPr>
        <w:t> </w:t>
      </w:r>
      <w:r>
        <w:rPr/>
        <w:t>construcción</w:t>
      </w:r>
      <w:r>
        <w:rPr>
          <w:spacing w:val="-7"/>
        </w:rPr>
        <w:t> </w:t>
      </w:r>
      <w:r>
        <w:rPr/>
        <w:t>de</w:t>
      </w:r>
      <w:r>
        <w:rPr>
          <w:spacing w:val="-6"/>
        </w:rPr>
        <w:t> </w:t>
      </w:r>
      <w:r>
        <w:rPr/>
        <w:t>aprendizajes</w:t>
      </w:r>
      <w:r>
        <w:rPr>
          <w:spacing w:val="-7"/>
        </w:rPr>
        <w:t> </w:t>
      </w:r>
      <w:r>
        <w:rPr/>
        <w:t>significativos de su</w:t>
      </w:r>
      <w:r>
        <w:rPr>
          <w:spacing w:val="21"/>
        </w:rPr>
        <w:t> </w:t>
      </w:r>
      <w:r>
        <w:rPr/>
        <w:t>formación.</w:t>
      </w:r>
    </w:p>
    <w:p>
      <w:pPr>
        <w:pStyle w:val="Heading1"/>
        <w:spacing w:before="71"/>
        <w:ind w:right="-10"/>
      </w:pPr>
      <w:r>
        <w:rPr>
          <w:b w:val="0"/>
        </w:rPr>
        <w:br w:type="column"/>
      </w:r>
      <w:r>
        <w:rPr/>
        <w:t>Referencias bibliográficas</w:t>
      </w:r>
    </w:p>
    <w:p>
      <w:pPr>
        <w:pStyle w:val="BodyText"/>
        <w:rPr>
          <w:b/>
          <w:sz w:val="24"/>
        </w:rPr>
      </w:pPr>
    </w:p>
    <w:p>
      <w:pPr>
        <w:pStyle w:val="BodyText"/>
        <w:spacing w:line="249" w:lineRule="auto" w:before="205"/>
        <w:ind w:left="754" w:right="128" w:hanging="624"/>
        <w:jc w:val="both"/>
      </w:pPr>
      <w:r>
        <w:rPr/>
        <w:t>Alvarado</w:t>
      </w:r>
      <w:r>
        <w:rPr>
          <w:spacing w:val="-12"/>
        </w:rPr>
        <w:t> </w:t>
      </w:r>
      <w:r>
        <w:rPr/>
        <w:t>Granados</w:t>
      </w:r>
      <w:r>
        <w:rPr>
          <w:spacing w:val="-12"/>
        </w:rPr>
        <w:t> </w:t>
      </w:r>
      <w:r>
        <w:rPr/>
        <w:t>Alejandro</w:t>
      </w:r>
      <w:r>
        <w:rPr>
          <w:spacing w:val="-12"/>
        </w:rPr>
        <w:t> </w:t>
      </w:r>
      <w:r>
        <w:rPr/>
        <w:t>R.</w:t>
      </w:r>
      <w:r>
        <w:rPr>
          <w:spacing w:val="-12"/>
        </w:rPr>
        <w:t> </w:t>
      </w:r>
      <w:r>
        <w:rPr/>
        <w:t>(Coord.)</w:t>
      </w:r>
      <w:r>
        <w:rPr>
          <w:spacing w:val="-12"/>
        </w:rPr>
        <w:t> </w:t>
      </w:r>
      <w:r>
        <w:rPr/>
        <w:t>2012</w:t>
      </w:r>
      <w:r>
        <w:rPr>
          <w:spacing w:val="32"/>
        </w:rPr>
        <w:t> </w:t>
      </w:r>
      <w:r>
        <w:rPr/>
        <w:t>Experiencias</w:t>
      </w:r>
      <w:r>
        <w:rPr>
          <w:spacing w:val="-12"/>
        </w:rPr>
        <w:t> </w:t>
      </w:r>
      <w:r>
        <w:rPr/>
        <w:t>en</w:t>
      </w:r>
      <w:r>
        <w:rPr>
          <w:spacing w:val="-12"/>
        </w:rPr>
        <w:t> </w:t>
      </w:r>
      <w:r>
        <w:rPr/>
        <w:t>el</w:t>
      </w:r>
      <w:r>
        <w:rPr>
          <w:spacing w:val="-12"/>
        </w:rPr>
        <w:t> </w:t>
      </w:r>
      <w:r>
        <w:rPr/>
        <w:t>tratamiento</w:t>
      </w:r>
      <w:r>
        <w:rPr>
          <w:spacing w:val="-12"/>
        </w:rPr>
        <w:t> </w:t>
      </w:r>
      <w:r>
        <w:rPr/>
        <w:t>de</w:t>
      </w:r>
      <w:r>
        <w:rPr>
          <w:spacing w:val="-12"/>
        </w:rPr>
        <w:t> </w:t>
      </w:r>
      <w:r>
        <w:rPr/>
        <w:t>aguas residuales en el Estado de México. Universidad Autónoma del Estado México, Toluca,</w:t>
      </w:r>
      <w:r>
        <w:rPr>
          <w:spacing w:val="18"/>
        </w:rPr>
        <w:t> </w:t>
      </w:r>
      <w:r>
        <w:rPr/>
        <w:t>México.</w:t>
      </w:r>
    </w:p>
    <w:p>
      <w:pPr>
        <w:pStyle w:val="BodyText"/>
        <w:spacing w:before="11"/>
      </w:pPr>
    </w:p>
    <w:p>
      <w:pPr>
        <w:pStyle w:val="BodyText"/>
        <w:spacing w:line="249" w:lineRule="auto"/>
        <w:ind w:left="754" w:right="128" w:hanging="624"/>
        <w:jc w:val="both"/>
      </w:pPr>
      <w:r>
        <w:rPr/>
        <w:t>Alguacil Gómez, Julio (1998), “Calidad de vida y praxis urbana”. </w:t>
      </w:r>
      <w:hyperlink r:id="rId108">
        <w:r>
          <w:rPr/>
          <w:t>http://habitat.aq.upm.</w:t>
        </w:r>
      </w:hyperlink>
      <w:r>
        <w:rPr/>
        <w:t> es/cvpu/acvpu_5.html</w:t>
      </w:r>
    </w:p>
    <w:p>
      <w:pPr>
        <w:pStyle w:val="BodyText"/>
        <w:spacing w:before="11"/>
      </w:pPr>
    </w:p>
    <w:p>
      <w:pPr>
        <w:pStyle w:val="BodyText"/>
        <w:ind w:left="130" w:right="-10"/>
      </w:pPr>
      <w:r>
        <w:rPr/>
        <w:t>Ander Egg, E (1992) Reflexiones en torno a los métodos del trabajo social, México, Ed.</w:t>
      </w:r>
    </w:p>
    <w:p>
      <w:pPr>
        <w:pStyle w:val="BodyText"/>
        <w:spacing w:before="10"/>
        <w:ind w:left="754" w:right="-10"/>
      </w:pPr>
      <w:r>
        <w:rPr/>
        <w:t>El Ateneo.</w:t>
      </w:r>
    </w:p>
    <w:p>
      <w:pPr>
        <w:pStyle w:val="BodyText"/>
        <w:spacing w:before="8"/>
        <w:rPr>
          <w:sz w:val="21"/>
        </w:rPr>
      </w:pPr>
    </w:p>
    <w:p>
      <w:pPr>
        <w:pStyle w:val="BodyText"/>
        <w:spacing w:line="249" w:lineRule="auto"/>
        <w:ind w:left="754" w:right="128" w:hanging="624"/>
        <w:jc w:val="both"/>
      </w:pPr>
      <w:r>
        <w:rPr/>
        <w:t>Bonffil, Sinai y otros, (2009)”Desarrollo local sostenible a partir del manejo integrado  en el Parque Nacional Caguanes de Yaguajay” en Revista desarrollo Local Sostenible, Cuba: Grupo </w:t>
      </w:r>
      <w:r>
        <w:rPr>
          <w:spacing w:val="9"/>
        </w:rPr>
        <w:t> </w:t>
      </w:r>
      <w:r>
        <w:rPr/>
        <w:t>Eumed.net/rev/delos/04/</w:t>
      </w:r>
    </w:p>
    <w:p>
      <w:pPr>
        <w:pStyle w:val="BodyText"/>
        <w:spacing w:before="11"/>
      </w:pPr>
    </w:p>
    <w:p>
      <w:pPr>
        <w:pStyle w:val="BodyText"/>
        <w:spacing w:line="249" w:lineRule="auto"/>
        <w:ind w:left="754" w:right="128" w:hanging="624"/>
        <w:jc w:val="both"/>
      </w:pPr>
      <w:r>
        <w:rPr/>
        <w:t>Díaz Elizabeth y Alvarado Alejandro “Red productiva en el desarrollo económico local” en Hoyos Guadalupe y Cadena Edel (coord.) (2011) Territorios Expuestos y Procesos Culturales. Universidad Autónoma del Estado de México,  México</w:t>
      </w:r>
    </w:p>
    <w:p>
      <w:pPr>
        <w:pStyle w:val="BodyText"/>
        <w:spacing w:before="11"/>
      </w:pPr>
    </w:p>
    <w:p>
      <w:pPr>
        <w:pStyle w:val="BodyText"/>
        <w:spacing w:line="249" w:lineRule="auto"/>
        <w:ind w:left="754" w:right="128" w:hanging="624"/>
        <w:jc w:val="both"/>
      </w:pPr>
      <w:r>
        <w:rPr/>
        <w:t>Gudynas, E. (2010), La ecología política de la crisis global y los límites del capitalismo benévolo, Iconos, Revista de Ciencias Sociales, núm. 36, Quito, Ecuador: Facultad Latinoamericana de Ciencias Sociales, Sede Académica de Ecuador, (en  línea)  URL: </w:t>
      </w:r>
      <w:hyperlink r:id="rId109">
        <w:r>
          <w:rPr/>
          <w:t>http://www.flacso.org.ec/docs/i36gudynas.pdf</w:t>
        </w:r>
      </w:hyperlink>
    </w:p>
    <w:p>
      <w:pPr>
        <w:pStyle w:val="BodyText"/>
        <w:spacing w:before="11"/>
      </w:pPr>
    </w:p>
    <w:p>
      <w:pPr>
        <w:pStyle w:val="BodyText"/>
        <w:spacing w:line="249" w:lineRule="auto"/>
        <w:ind w:left="754" w:right="127" w:hanging="624"/>
        <w:jc w:val="both"/>
      </w:pPr>
      <w:r>
        <w:rPr/>
        <w:t>Guimaraes,</w:t>
      </w:r>
      <w:r>
        <w:rPr>
          <w:spacing w:val="-10"/>
        </w:rPr>
        <w:t> </w:t>
      </w:r>
      <w:r>
        <w:rPr/>
        <w:t>R.</w:t>
      </w:r>
      <w:r>
        <w:rPr>
          <w:spacing w:val="-10"/>
        </w:rPr>
        <w:t> </w:t>
      </w:r>
      <w:r>
        <w:rPr/>
        <w:t>(2003),</w:t>
      </w:r>
      <w:r>
        <w:rPr>
          <w:spacing w:val="-10"/>
        </w:rPr>
        <w:t> </w:t>
      </w:r>
      <w:r>
        <w:rPr/>
        <w:t>Tierra</w:t>
      </w:r>
      <w:r>
        <w:rPr>
          <w:spacing w:val="-10"/>
        </w:rPr>
        <w:t> </w:t>
      </w:r>
      <w:r>
        <w:rPr/>
        <w:t>de</w:t>
      </w:r>
      <w:r>
        <w:rPr>
          <w:spacing w:val="-10"/>
        </w:rPr>
        <w:t> </w:t>
      </w:r>
      <w:r>
        <w:rPr/>
        <w:t>sombras:</w:t>
      </w:r>
      <w:r>
        <w:rPr>
          <w:spacing w:val="-10"/>
        </w:rPr>
        <w:t> </w:t>
      </w:r>
      <w:r>
        <w:rPr/>
        <w:t>desafíos</w:t>
      </w:r>
      <w:r>
        <w:rPr>
          <w:spacing w:val="-10"/>
        </w:rPr>
        <w:t> </w:t>
      </w:r>
      <w:r>
        <w:rPr/>
        <w:t>de</w:t>
      </w:r>
      <w:r>
        <w:rPr>
          <w:spacing w:val="-10"/>
        </w:rPr>
        <w:t> </w:t>
      </w:r>
      <w:r>
        <w:rPr/>
        <w:t>la</w:t>
      </w:r>
      <w:r>
        <w:rPr>
          <w:spacing w:val="-10"/>
        </w:rPr>
        <w:t> </w:t>
      </w:r>
      <w:r>
        <w:rPr/>
        <w:t>sustentabilidad</w:t>
      </w:r>
      <w:r>
        <w:rPr>
          <w:spacing w:val="-10"/>
        </w:rPr>
        <w:t> </w:t>
      </w:r>
      <w:r>
        <w:rPr/>
        <w:t>y</w:t>
      </w:r>
      <w:r>
        <w:rPr>
          <w:spacing w:val="-10"/>
        </w:rPr>
        <w:t> </w:t>
      </w:r>
      <w:r>
        <w:rPr/>
        <w:t>del</w:t>
      </w:r>
      <w:r>
        <w:rPr>
          <w:spacing w:val="-10"/>
        </w:rPr>
        <w:t> </w:t>
      </w:r>
      <w:r>
        <w:rPr/>
        <w:t>desarrollo territorial y local ante la globalización, en Revista Académica Polis, Santiago de Chile, Universidad Bolivariana, vol. 1 no.5 (en línea) URL: http://www.redalyc. org/articulo.oa?id=30500503</w:t>
      </w:r>
    </w:p>
    <w:p>
      <w:pPr>
        <w:pStyle w:val="BodyText"/>
        <w:spacing w:before="11"/>
      </w:pPr>
    </w:p>
    <w:p>
      <w:pPr>
        <w:pStyle w:val="BodyText"/>
        <w:spacing w:line="249" w:lineRule="auto"/>
        <w:ind w:left="754" w:right="128" w:hanging="624"/>
        <w:jc w:val="both"/>
      </w:pPr>
      <w:r>
        <w:rPr/>
        <w:t>Instituto Nacional de Estadística y Geografía, 2011 “Censo de Población y Vivienda 2010” [en línea] Disponible en: </w:t>
      </w:r>
      <w:hyperlink r:id="rId110">
        <w:r>
          <w:rPr/>
          <w:t>http://www.inegi.org.mx/sistemas/consulta_</w:t>
        </w:r>
      </w:hyperlink>
      <w:r>
        <w:rPr/>
        <w:t> resultados/iter2010.aspx?c=27329&amp;s=est  Consultado: 11/02/14</w:t>
      </w:r>
    </w:p>
    <w:p>
      <w:pPr>
        <w:pStyle w:val="BodyText"/>
        <w:spacing w:before="11"/>
      </w:pPr>
    </w:p>
    <w:p>
      <w:pPr>
        <w:pStyle w:val="BodyText"/>
        <w:spacing w:line="249" w:lineRule="auto"/>
        <w:ind w:left="754" w:right="128" w:hanging="624"/>
        <w:jc w:val="both"/>
      </w:pPr>
      <w:r>
        <w:rPr/>
        <w:t>Macias, H., Téllez O., Dávila P. y Casas, A. (2006), Los estudios de sustentabilidad,  en Ciencias n. 81, México DF, Universidad Nacional Autónoma de México. (en línea)  URL: </w:t>
      </w:r>
      <w:r>
        <w:rPr>
          <w:spacing w:val="41"/>
        </w:rPr>
        <w:t> </w:t>
      </w:r>
      <w:hyperlink r:id="rId111">
        <w:r>
          <w:rPr>
            <w:color w:val="0077CA"/>
            <w:u w:val="single" w:color="0077CA"/>
          </w:rPr>
          <w:t>http://http://www.redalyc.org/pdf/644/64408104.pdf</w:t>
        </w:r>
      </w:hyperlink>
    </w:p>
    <w:p>
      <w:pPr>
        <w:pStyle w:val="BodyText"/>
        <w:spacing w:before="11"/>
      </w:pPr>
    </w:p>
    <w:p>
      <w:pPr>
        <w:pStyle w:val="BodyText"/>
        <w:spacing w:line="249" w:lineRule="auto"/>
        <w:ind w:left="754" w:right="127" w:hanging="624"/>
        <w:jc w:val="both"/>
      </w:pPr>
      <w:r>
        <w:rPr/>
        <w:t>Miranda, Miranda  Juan José, 2005: Gestión de Proyectos: Identificación, formulación  y evaluación financiera, social y ambiental, MM editores,</w:t>
      </w:r>
      <w:r>
        <w:rPr>
          <w:spacing w:val="53"/>
        </w:rPr>
        <w:t> </w:t>
      </w:r>
      <w:r>
        <w:rPr/>
        <w:t>Colombia.</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112"/>
          <w:pgSz w:w="18830" w:h="12760" w:orient="landscape"/>
          <w:pgMar w:footer="1036" w:header="522" w:top="820" w:bottom="1220" w:left="720" w:right="720"/>
        </w:sectPr>
      </w:pPr>
    </w:p>
    <w:p>
      <w:pPr>
        <w:pStyle w:val="BodyText"/>
        <w:spacing w:line="249" w:lineRule="auto" w:before="109"/>
        <w:ind w:left="745" w:hanging="624"/>
        <w:jc w:val="both"/>
      </w:pPr>
      <w:r>
        <w:rPr/>
        <w:t>Pérez, A. (2010), Desarrollo local: Reflexiones teóricas y revisiones empíricas, México, El Colegio de Tlaxcala, A.C.</w:t>
      </w:r>
    </w:p>
    <w:p>
      <w:pPr>
        <w:pStyle w:val="BodyText"/>
        <w:spacing w:before="11"/>
      </w:pPr>
    </w:p>
    <w:p>
      <w:pPr>
        <w:pStyle w:val="BodyText"/>
        <w:spacing w:line="249" w:lineRule="auto"/>
        <w:ind w:left="745" w:hanging="624"/>
        <w:jc w:val="both"/>
      </w:pPr>
      <w:r>
        <w:rPr/>
        <w:t>Ramírez, A., Sánchez, J., García, A. (2004), El desarrollo sustentable: interpretación    y análisis, en Revista del Centro de Investigación. Universidad La Salle, julio diciembre, año/vol.6 número 021, México DF, Universidad La Salle. (en línea) URL: </w:t>
      </w:r>
      <w:r>
        <w:rPr>
          <w:spacing w:val="52"/>
        </w:rPr>
        <w:t> </w:t>
      </w:r>
      <w:hyperlink r:id="rId113">
        <w:r>
          <w:rPr/>
          <w:t>http://www.redalyc.org/articulo.oa?id=34202107</w:t>
        </w:r>
      </w:hyperlink>
    </w:p>
    <w:p>
      <w:pPr>
        <w:pStyle w:val="Heading1"/>
        <w:spacing w:line="240" w:lineRule="exact" w:before="104"/>
        <w:ind w:left="126" w:right="241"/>
        <w:jc w:val="center"/>
      </w:pPr>
      <w:r>
        <w:rPr>
          <w:b w:val="0"/>
        </w:rPr>
        <w:br w:type="column"/>
      </w:r>
      <w:r>
        <w:rPr/>
        <w:t>Aproximación a la vulnerabilidad estructural y socieoconómica en el marco de un estudio de riesgo sísmico en la zona urbana de Tijuana, Baja</w:t>
      </w:r>
      <w:r>
        <w:rPr>
          <w:spacing w:val="-6"/>
        </w:rPr>
        <w:t> </w:t>
      </w:r>
      <w:r>
        <w:rPr/>
        <w:t>California</w:t>
      </w:r>
    </w:p>
    <w:p>
      <w:pPr>
        <w:pStyle w:val="BodyText"/>
        <w:spacing w:before="7"/>
        <w:rPr>
          <w:b/>
          <w:sz w:val="19"/>
        </w:rPr>
      </w:pPr>
    </w:p>
    <w:p>
      <w:pPr>
        <w:spacing w:line="240" w:lineRule="atLeast" w:before="0"/>
        <w:ind w:left="5876" w:right="129" w:hanging="564"/>
        <w:jc w:val="right"/>
        <w:rPr>
          <w:sz w:val="16"/>
        </w:rPr>
      </w:pPr>
      <w:r>
        <w:rPr>
          <w:sz w:val="16"/>
        </w:rPr>
        <w:t>Juan Carlos Garatachia Ramírez*</w:t>
      </w:r>
      <w:r>
        <w:rPr>
          <w:w w:val="95"/>
          <w:sz w:val="16"/>
        </w:rPr>
        <w:t> </w:t>
      </w:r>
      <w:r>
        <w:rPr>
          <w:sz w:val="16"/>
        </w:rPr>
        <w:t>José Emilio Baró Suárez*</w:t>
      </w:r>
      <w:r>
        <w:rPr>
          <w:w w:val="96"/>
          <w:sz w:val="16"/>
        </w:rPr>
        <w:t> </w:t>
      </w:r>
      <w:r>
        <w:rPr>
          <w:sz w:val="16"/>
        </w:rPr>
        <w:t>Carlos I. Huerta López</w:t>
      </w:r>
      <w:r>
        <w:rPr>
          <w:position w:val="5"/>
          <w:sz w:val="9"/>
        </w:rPr>
        <w:t>**</w:t>
      </w:r>
      <w:r>
        <w:rPr>
          <w:w w:val="93"/>
          <w:position w:val="5"/>
          <w:sz w:val="9"/>
        </w:rPr>
        <w:t> </w:t>
      </w:r>
      <w:hyperlink r:id="rId114">
        <w:r>
          <w:rPr>
            <w:w w:val="95"/>
            <w:sz w:val="16"/>
          </w:rPr>
          <w:t>jc_gr22@hotmail.com</w:t>
        </w:r>
      </w:hyperlink>
    </w:p>
    <w:p>
      <w:pPr>
        <w:spacing w:after="0" w:line="240" w:lineRule="atLeast"/>
        <w:jc w:val="right"/>
        <w:rPr>
          <w:sz w:val="16"/>
        </w:rPr>
        <w:sectPr>
          <w:type w:val="continuous"/>
          <w:pgSz w:w="18830" w:h="12760" w:orient="landscape"/>
          <w:pgMar w:top="1420" w:bottom="280" w:left="720" w:right="720"/>
          <w:cols w:num="2" w:equalWidth="0">
            <w:col w:w="7833" w:space="1693"/>
            <w:col w:w="7864"/>
          </w:cols>
        </w:sectPr>
      </w:pPr>
    </w:p>
    <w:p>
      <w:pPr>
        <w:pStyle w:val="Heading1"/>
        <w:spacing w:line="257" w:lineRule="exact"/>
        <w:ind w:left="3301" w:right="184"/>
        <w:jc w:val="center"/>
      </w:pPr>
      <w:r>
        <w:rPr/>
        <w:t>Resumen</w:t>
      </w:r>
    </w:p>
    <w:p>
      <w:pPr>
        <w:pStyle w:val="BodyText"/>
        <w:rPr>
          <w:b/>
          <w:sz w:val="21"/>
        </w:rPr>
      </w:pPr>
    </w:p>
    <w:p>
      <w:pPr>
        <w:pStyle w:val="BodyText"/>
        <w:spacing w:line="249" w:lineRule="auto"/>
        <w:ind w:left="9540" w:right="129" w:firstLine="170"/>
        <w:jc w:val="both"/>
      </w:pPr>
      <w:r>
        <w:rPr/>
        <w:t>El presente trabajo versa sobre una evaluación de riesgo sísmico en la ciudad de Tijuana, Baja California en México, a través de técnicas geoespaciales en ambiente   de Sistema de Información Geográfica. Las variables que se consideraron fueron la peligrosidad sísmica, la vulnerabilidad estructural, vulnerabilidad socioeconómica y la exposición. Se obtuvieron diversos mapas que muestran el comportamiento espacial de los elementos que componen al riesgo y otros que muestran la distribución del riesgo sísmico en la zona de</w:t>
      </w:r>
      <w:r>
        <w:rPr>
          <w:spacing w:val="13"/>
        </w:rPr>
        <w:t> </w:t>
      </w:r>
      <w:r>
        <w:rPr/>
        <w:t>estudio.</w:t>
      </w:r>
    </w:p>
    <w:p>
      <w:pPr>
        <w:pStyle w:val="BodyText"/>
        <w:spacing w:before="11"/>
      </w:pPr>
    </w:p>
    <w:p>
      <w:pPr>
        <w:pStyle w:val="BodyText"/>
        <w:spacing w:line="249" w:lineRule="auto"/>
        <w:ind w:left="9540" w:right="130" w:firstLine="113"/>
        <w:jc w:val="both"/>
      </w:pPr>
      <w:r>
        <w:rPr>
          <w:b/>
        </w:rPr>
        <w:t>Palabras clave: </w:t>
      </w:r>
      <w:r>
        <w:rPr/>
        <w:t>Riesgo sísmico, sistema de información geográfica, peligrosidad sísmica, vulnerabilidad estructural</w:t>
      </w:r>
    </w:p>
    <w:p>
      <w:pPr>
        <w:pStyle w:val="BodyText"/>
        <w:spacing w:before="8"/>
        <w:rPr>
          <w:sz w:val="17"/>
        </w:rPr>
      </w:pPr>
    </w:p>
    <w:p>
      <w:pPr>
        <w:pStyle w:val="Heading1"/>
        <w:ind w:left="3199" w:right="184"/>
        <w:jc w:val="center"/>
      </w:pPr>
      <w:r>
        <w:rPr/>
        <w:t>Abstract</w:t>
      </w:r>
    </w:p>
    <w:p>
      <w:pPr>
        <w:pStyle w:val="BodyText"/>
        <w:rPr>
          <w:b/>
          <w:sz w:val="21"/>
        </w:rPr>
      </w:pPr>
    </w:p>
    <w:p>
      <w:pPr>
        <w:pStyle w:val="BodyText"/>
        <w:spacing w:line="249" w:lineRule="auto"/>
        <w:ind w:left="9540" w:right="129" w:firstLine="170"/>
        <w:jc w:val="both"/>
      </w:pPr>
      <w:r>
        <w:rPr/>
        <w:t>This</w:t>
      </w:r>
      <w:r>
        <w:rPr>
          <w:spacing w:val="-9"/>
        </w:rPr>
        <w:t> </w:t>
      </w:r>
      <w:r>
        <w:rPr/>
        <w:t>research</w:t>
      </w:r>
      <w:r>
        <w:rPr>
          <w:spacing w:val="-9"/>
        </w:rPr>
        <w:t> </w:t>
      </w:r>
      <w:r>
        <w:rPr/>
        <w:t>paper</w:t>
      </w:r>
      <w:r>
        <w:rPr>
          <w:spacing w:val="-9"/>
        </w:rPr>
        <w:t> </w:t>
      </w:r>
      <w:r>
        <w:rPr/>
        <w:t>is</w:t>
      </w:r>
      <w:r>
        <w:rPr>
          <w:spacing w:val="-9"/>
        </w:rPr>
        <w:t> </w:t>
      </w:r>
      <w:r>
        <w:rPr/>
        <w:t>about</w:t>
      </w:r>
      <w:r>
        <w:rPr>
          <w:spacing w:val="-9"/>
        </w:rPr>
        <w:t> </w:t>
      </w:r>
      <w:r>
        <w:rPr/>
        <w:t>a</w:t>
      </w:r>
      <w:r>
        <w:rPr>
          <w:spacing w:val="-9"/>
        </w:rPr>
        <w:t> </w:t>
      </w:r>
      <w:r>
        <w:rPr/>
        <w:t>seismic</w:t>
      </w:r>
      <w:r>
        <w:rPr>
          <w:spacing w:val="-9"/>
        </w:rPr>
        <w:t> </w:t>
      </w:r>
      <w:r>
        <w:rPr/>
        <w:t>risk</w:t>
      </w:r>
      <w:r>
        <w:rPr>
          <w:spacing w:val="-9"/>
        </w:rPr>
        <w:t> </w:t>
      </w:r>
      <w:r>
        <w:rPr/>
        <w:t>evaluation</w:t>
      </w:r>
      <w:r>
        <w:rPr>
          <w:spacing w:val="-9"/>
        </w:rPr>
        <w:t> </w:t>
      </w:r>
      <w:r>
        <w:rPr/>
        <w:t>in</w:t>
      </w:r>
      <w:r>
        <w:rPr>
          <w:spacing w:val="-9"/>
        </w:rPr>
        <w:t> </w:t>
      </w:r>
      <w:r>
        <w:rPr/>
        <w:t>the</w:t>
      </w:r>
      <w:r>
        <w:rPr>
          <w:spacing w:val="-9"/>
        </w:rPr>
        <w:t> </w:t>
      </w:r>
      <w:r>
        <w:rPr/>
        <w:t>Tijuana,</w:t>
      </w:r>
      <w:r>
        <w:rPr>
          <w:spacing w:val="-9"/>
        </w:rPr>
        <w:t> </w:t>
      </w:r>
      <w:r>
        <w:rPr/>
        <w:t>México.</w:t>
      </w:r>
      <w:r>
        <w:rPr>
          <w:spacing w:val="-9"/>
        </w:rPr>
        <w:t> </w:t>
      </w:r>
      <w:r>
        <w:rPr/>
        <w:t>This</w:t>
      </w:r>
      <w:r>
        <w:rPr>
          <w:spacing w:val="-9"/>
        </w:rPr>
        <w:t> </w:t>
      </w:r>
      <w:r>
        <w:rPr/>
        <w:t>was achieved throttugh the technique of maps algebra on a Geographic Information System platform. The variables considered were the seismic hazard, structural vulnerability, socioeconomic vulnerability and exposure. Different maps were obtained that shows the spatial distribution of the elements of risk and others that shows the behavior of the seismic risk in the study</w:t>
      </w:r>
      <w:r>
        <w:rPr>
          <w:spacing w:val="18"/>
        </w:rPr>
        <w:t> </w:t>
      </w:r>
      <w:r>
        <w:rPr/>
        <w:t>area.</w:t>
      </w:r>
    </w:p>
    <w:p>
      <w:pPr>
        <w:pStyle w:val="BodyText"/>
        <w:spacing w:before="11"/>
      </w:pPr>
    </w:p>
    <w:p>
      <w:pPr>
        <w:pStyle w:val="BodyText"/>
        <w:spacing w:line="249" w:lineRule="auto"/>
        <w:ind w:left="9540" w:right="128" w:firstLine="113"/>
        <w:jc w:val="both"/>
      </w:pPr>
      <w:r>
        <w:rPr>
          <w:b/>
        </w:rPr>
        <w:t>Key words: </w:t>
      </w:r>
      <w:r>
        <w:rPr/>
        <w:t>Seismic risk, maps algebra, seismic hazard, structural vulnerability, socioeconomic vulnerability.</w:t>
      </w:r>
    </w:p>
    <w:p>
      <w:pPr>
        <w:pStyle w:val="BodyText"/>
      </w:pPr>
    </w:p>
    <w:p>
      <w:pPr>
        <w:pStyle w:val="BodyText"/>
        <w:spacing w:before="6"/>
        <w:rPr>
          <w:sz w:val="18"/>
        </w:rPr>
      </w:pPr>
    </w:p>
    <w:p>
      <w:pPr>
        <w:pStyle w:val="Heading1"/>
        <w:ind w:left="3675" w:right="184"/>
        <w:jc w:val="center"/>
      </w:pPr>
      <w:r>
        <w:rPr/>
        <w:t>Introducción</w:t>
      </w:r>
    </w:p>
    <w:p>
      <w:pPr>
        <w:pStyle w:val="BodyText"/>
        <w:rPr>
          <w:b/>
          <w:sz w:val="21"/>
        </w:rPr>
      </w:pPr>
    </w:p>
    <w:p>
      <w:pPr>
        <w:pStyle w:val="BodyText"/>
        <w:spacing w:line="249" w:lineRule="auto"/>
        <w:ind w:left="9540" w:right="129" w:firstLine="170"/>
        <w:jc w:val="both"/>
      </w:pPr>
      <w:r>
        <w:rPr/>
        <w:t>El concepto de riesgo enmarca a un conjunto de elementos o componentes que cumplen una función orientada al conocimiento de la probabilidad de ocurrencia de un evento determinado. El caso de los riesgos naturales no es la excepción, ya que  parte</w:t>
      </w:r>
    </w:p>
    <w:p>
      <w:pPr>
        <w:pStyle w:val="BodyText"/>
        <w:rPr>
          <w:sz w:val="10"/>
        </w:rPr>
      </w:pPr>
      <w:r>
        <w:rPr/>
        <w:pict>
          <v:line style="position:absolute;mso-position-horizontal-relative:page;mso-position-vertical-relative:paragraph;z-index:2920;mso-wrap-distance-left:0;mso-wrap-distance-right:0" from="513pt,8.204386pt" to="898.583pt,8.204386pt" stroked="true" strokeweight="1pt" strokecolor="#bcbec0">
            <w10:wrap type="topAndBottom"/>
          </v:line>
        </w:pict>
      </w:r>
    </w:p>
    <w:p>
      <w:pPr>
        <w:spacing w:before="94"/>
        <w:ind w:left="9540" w:right="0" w:firstLine="0"/>
        <w:jc w:val="left"/>
        <w:rPr>
          <w:sz w:val="14"/>
        </w:rPr>
      </w:pPr>
      <w:r>
        <w:rPr>
          <w:color w:val="6D6E71"/>
          <w:sz w:val="14"/>
        </w:rPr>
        <w:t>*Facultad de Geografía. Universidad Autónoma del Estado de México</w:t>
      </w:r>
    </w:p>
    <w:p>
      <w:pPr>
        <w:spacing w:before="79"/>
        <w:ind w:left="9540" w:right="0" w:firstLine="0"/>
        <w:jc w:val="left"/>
        <w:rPr>
          <w:sz w:val="14"/>
        </w:rPr>
      </w:pPr>
      <w:r>
        <w:rPr>
          <w:color w:val="6D6E71"/>
          <w:sz w:val="14"/>
        </w:rPr>
        <w:t>**Instituto Tecnológico de Tijuana</w:t>
      </w:r>
    </w:p>
    <w:p>
      <w:pPr>
        <w:spacing w:after="0"/>
        <w:jc w:val="left"/>
        <w:rPr>
          <w:sz w:val="14"/>
        </w:rPr>
        <w:sectPr>
          <w:type w:val="continuous"/>
          <w:pgSz w:w="18830" w:h="12760" w:orient="landscape"/>
          <w:pgMar w:top="1420" w:bottom="280" w:left="720" w:right="720"/>
        </w:sectPr>
      </w:pPr>
    </w:p>
    <w:p>
      <w:pPr>
        <w:pStyle w:val="BodyText"/>
        <w:spacing w:before="8"/>
      </w:pPr>
    </w:p>
    <w:p>
      <w:pPr>
        <w:spacing w:after="0"/>
        <w:sectPr>
          <w:footerReference w:type="default" r:id="rId115"/>
          <w:pgSz w:w="18830" w:h="12760" w:orient="landscape"/>
          <w:pgMar w:footer="1036" w:header="522" w:top="820" w:bottom="1220" w:left="720" w:right="720"/>
        </w:sectPr>
      </w:pPr>
    </w:p>
    <w:p>
      <w:pPr>
        <w:pStyle w:val="BodyText"/>
        <w:spacing w:line="249" w:lineRule="auto" w:before="109"/>
        <w:ind w:left="130"/>
        <w:jc w:val="both"/>
      </w:pPr>
      <w:r>
        <w:rPr/>
        <w:t>de la posible ocurrencia de un proceso natural que por su génesis y dinámica puede causar cierto tipo de afectaciones al sistema en el cual se presenta. Así mismo, dentro de dicho sistema por lo regular existe un componente social que posee cierto nivel de susceptibilidad ante los procesos naturales, el cual dependerá de las características intrínsecas de este para tener o no una buena respuesta ante el embate de un peligro o amenaza.</w:t>
      </w:r>
    </w:p>
    <w:p>
      <w:pPr>
        <w:pStyle w:val="BodyText"/>
        <w:spacing w:before="11"/>
      </w:pPr>
    </w:p>
    <w:p>
      <w:pPr>
        <w:pStyle w:val="BodyText"/>
        <w:spacing w:line="249" w:lineRule="auto"/>
        <w:ind w:left="130" w:firstLine="170"/>
        <w:jc w:val="both"/>
      </w:pPr>
      <w:r>
        <w:rPr/>
        <w:t>El concepto que se ha abordado en el párrafo anterior concuerda con la idea de Ayala – Carcedo y Olcina (2002), quienes definen al riesgo natural como la posibilidad de que un territorio y la sociedad que lo habita pueda verse afectado por un proceso natural</w:t>
      </w:r>
      <w:r>
        <w:rPr>
          <w:spacing w:val="-7"/>
        </w:rPr>
        <w:t> </w:t>
      </w:r>
      <w:r>
        <w:rPr/>
        <w:t>que</w:t>
      </w:r>
      <w:r>
        <w:rPr>
          <w:spacing w:val="-7"/>
        </w:rPr>
        <w:t> </w:t>
      </w:r>
      <w:r>
        <w:rPr/>
        <w:t>sobrepase</w:t>
      </w:r>
      <w:r>
        <w:rPr>
          <w:spacing w:val="-7"/>
        </w:rPr>
        <w:t> </w:t>
      </w:r>
      <w:r>
        <w:rPr/>
        <w:t>los</w:t>
      </w:r>
      <w:r>
        <w:rPr>
          <w:spacing w:val="-7"/>
        </w:rPr>
        <w:t> </w:t>
      </w:r>
      <w:r>
        <w:rPr/>
        <w:t>rangos</w:t>
      </w:r>
      <w:r>
        <w:rPr>
          <w:spacing w:val="-7"/>
        </w:rPr>
        <w:t> </w:t>
      </w:r>
      <w:r>
        <w:rPr/>
        <w:t>habituales;</w:t>
      </w:r>
      <w:r>
        <w:rPr>
          <w:spacing w:val="-7"/>
        </w:rPr>
        <w:t> </w:t>
      </w:r>
      <w:r>
        <w:rPr/>
        <w:t>al</w:t>
      </w:r>
      <w:r>
        <w:rPr>
          <w:spacing w:val="-7"/>
        </w:rPr>
        <w:t> </w:t>
      </w:r>
      <w:r>
        <w:rPr/>
        <w:t>mismo</w:t>
      </w:r>
      <w:r>
        <w:rPr>
          <w:spacing w:val="-7"/>
        </w:rPr>
        <w:t> </w:t>
      </w:r>
      <w:r>
        <w:rPr/>
        <w:t>tiempo</w:t>
      </w:r>
      <w:r>
        <w:rPr>
          <w:spacing w:val="-7"/>
        </w:rPr>
        <w:t> </w:t>
      </w:r>
      <w:r>
        <w:rPr/>
        <w:t>señalan</w:t>
      </w:r>
      <w:r>
        <w:rPr>
          <w:spacing w:val="-7"/>
        </w:rPr>
        <w:t> </w:t>
      </w:r>
      <w:r>
        <w:rPr/>
        <w:t>que,</w:t>
      </w:r>
      <w:r>
        <w:rPr>
          <w:spacing w:val="-7"/>
        </w:rPr>
        <w:t> </w:t>
      </w:r>
      <w:r>
        <w:rPr/>
        <w:t>el</w:t>
      </w:r>
      <w:r>
        <w:rPr>
          <w:spacing w:val="-7"/>
        </w:rPr>
        <w:t> </w:t>
      </w:r>
      <w:r>
        <w:rPr/>
        <w:t>riesgo</w:t>
      </w:r>
      <w:r>
        <w:rPr>
          <w:spacing w:val="-7"/>
        </w:rPr>
        <w:t> </w:t>
      </w:r>
      <w:r>
        <w:rPr/>
        <w:t>se presenta por una implantación inadecuada de actividades o asentamientos </w:t>
      </w:r>
      <w:r>
        <w:rPr>
          <w:spacing w:val="19"/>
        </w:rPr>
        <w:t> </w:t>
      </w:r>
      <w:r>
        <w:rPr/>
        <w:t>humanos.</w:t>
      </w:r>
    </w:p>
    <w:p>
      <w:pPr>
        <w:pStyle w:val="BodyText"/>
        <w:spacing w:before="11"/>
      </w:pPr>
    </w:p>
    <w:p>
      <w:pPr>
        <w:pStyle w:val="BodyText"/>
        <w:spacing w:line="249" w:lineRule="auto"/>
        <w:ind w:left="130" w:firstLine="170"/>
        <w:jc w:val="both"/>
      </w:pPr>
      <w:r>
        <w:rPr/>
        <w:t>Es evidente que los componentes del riesgo están estrechamente relacionados y  que además cada uno de estos implica un amplio y profundo análisis; por lo anterior, podrían ser individualizados y posteriormente integrados de manera lógica. Esto se puede realizar a través de la fórmula general del</w:t>
      </w:r>
      <w:r>
        <w:rPr>
          <w:spacing w:val="-7"/>
        </w:rPr>
        <w:t> </w:t>
      </w:r>
      <w:r>
        <w:rPr/>
        <w:t>riesgo:</w:t>
      </w:r>
    </w:p>
    <w:p>
      <w:pPr>
        <w:pStyle w:val="BodyText"/>
        <w:spacing w:before="9"/>
        <w:rPr>
          <w:sz w:val="18"/>
        </w:rPr>
      </w:pPr>
    </w:p>
    <w:p>
      <w:pPr>
        <w:pStyle w:val="Heading3"/>
        <w:spacing w:before="1"/>
        <w:ind w:left="129"/>
        <w:jc w:val="center"/>
      </w:pPr>
      <w:r>
        <w:rPr/>
        <w:t>R= P*V*E</w:t>
      </w:r>
    </w:p>
    <w:p>
      <w:pPr>
        <w:pStyle w:val="BodyText"/>
        <w:spacing w:before="9"/>
        <w:rPr>
          <w:b/>
          <w:sz w:val="23"/>
        </w:rPr>
      </w:pPr>
    </w:p>
    <w:p>
      <w:pPr>
        <w:pStyle w:val="BodyText"/>
        <w:spacing w:line="249" w:lineRule="auto"/>
        <w:ind w:left="980" w:right="5927"/>
      </w:pPr>
      <w:r>
        <w:rPr/>
        <w:t>Dónde: R=</w:t>
      </w:r>
      <w:r>
        <w:rPr>
          <w:spacing w:val="-9"/>
        </w:rPr>
        <w:t> </w:t>
      </w:r>
      <w:r>
        <w:rPr/>
        <w:t>Riesgo</w:t>
      </w:r>
    </w:p>
    <w:p>
      <w:pPr>
        <w:pStyle w:val="BodyText"/>
        <w:spacing w:line="249" w:lineRule="auto" w:before="1"/>
        <w:ind w:left="980" w:right="5225"/>
      </w:pPr>
      <w:r>
        <w:rPr/>
        <w:t>P= Peligrosidad V= Vulnerabilidad E= Exposición</w:t>
      </w:r>
    </w:p>
    <w:p>
      <w:pPr>
        <w:pStyle w:val="BodyText"/>
        <w:spacing w:before="11"/>
      </w:pPr>
    </w:p>
    <w:p>
      <w:pPr>
        <w:pStyle w:val="BodyText"/>
        <w:spacing w:line="249" w:lineRule="auto"/>
        <w:ind w:left="130" w:right="1" w:firstLine="170"/>
        <w:jc w:val="right"/>
      </w:pPr>
      <w:r>
        <w:rPr/>
        <w:pict>
          <v:shape style="position:absolute;margin-left:185.061798pt;margin-top:55.944363pt;width:4.4pt;height:5.8pt;mso-position-horizontal-relative:page;mso-position-vertical-relative:paragraph;z-index:-649792" type="#_x0000_t202" filled="false" stroked="false">
            <v:textbox inset="0,0,0,0">
              <w:txbxContent>
                <w:p>
                  <w:pPr>
                    <w:spacing w:line="116" w:lineRule="exact" w:before="0"/>
                    <w:ind w:left="0" w:right="0" w:firstLine="0"/>
                    <w:jc w:val="left"/>
                    <w:rPr>
                      <w:sz w:val="11"/>
                    </w:rPr>
                  </w:pPr>
                  <w:r>
                    <w:rPr>
                      <w:w w:val="110"/>
                      <w:sz w:val="11"/>
                    </w:rPr>
                    <w:t>w</w:t>
                  </w:r>
                </w:p>
              </w:txbxContent>
            </v:textbox>
            <w10:wrap type="none"/>
          </v:shape>
        </w:pict>
      </w:r>
      <w:r>
        <w:rPr/>
        <w:t>En el caso particular de la ciudad de Tijuana, la peligrosidad radica en que se ubica</w:t>
      </w:r>
      <w:r>
        <w:rPr>
          <w:w w:val="102"/>
        </w:rPr>
        <w:t> </w:t>
      </w:r>
      <w:r>
        <w:rPr/>
        <w:t>en un contexto sismotectónico activo; aunque no se observan epicentros de sismos</w:t>
      </w:r>
      <w:r>
        <w:rPr>
          <w:w w:val="101"/>
        </w:rPr>
        <w:t> </w:t>
      </w:r>
      <w:r>
        <w:rPr/>
        <w:t>fuertes dentro de la zona urbana, la distancia a estos es relativamente corta. Además</w:t>
      </w:r>
      <w:r>
        <w:rPr>
          <w:w w:val="99"/>
        </w:rPr>
        <w:t> </w:t>
      </w:r>
      <w:r>
        <w:rPr/>
        <w:t>se tiene el antecedente del sismo denominado “El Mayor Cucapah” ocurrido en el año</w:t>
      </w:r>
      <w:r>
        <w:rPr>
          <w:w w:val="99"/>
        </w:rPr>
        <w:t> </w:t>
      </w:r>
      <w:r>
        <w:rPr/>
        <w:t>2010, cuya magnitud fue de M = 7.2 con epicentro en el Valle de Mexicali y cuyos</w:t>
      </w:r>
      <w:r>
        <w:rPr>
          <w:w w:val="102"/>
        </w:rPr>
        <w:t> </w:t>
      </w:r>
      <w:r>
        <w:rPr/>
        <w:t>efectos fueron sentidos con gran intensidad en la Ciudad de Tijuana (Huerta </w:t>
      </w:r>
      <w:r>
        <w:rPr>
          <w:i/>
        </w:rPr>
        <w:t>et al, </w:t>
      </w:r>
      <w:r>
        <w:rPr/>
        <w:t>s/f).</w:t>
      </w:r>
    </w:p>
    <w:p>
      <w:pPr>
        <w:pStyle w:val="BodyText"/>
        <w:spacing w:before="11"/>
      </w:pPr>
    </w:p>
    <w:p>
      <w:pPr>
        <w:pStyle w:val="BodyText"/>
        <w:spacing w:line="249" w:lineRule="auto"/>
        <w:ind w:left="130" w:firstLine="170"/>
        <w:jc w:val="both"/>
      </w:pPr>
      <w:r>
        <w:rPr/>
        <w:t>Aunado a los factores de peligrosidad, la dinámica demográfica tendiente hacia el crecimiento, sugiere la necesidad de que existan estudios de riesgo que involucren la mayor cantidad de los elementos que componen al sistema urbano potencialmente afectable.</w:t>
      </w:r>
    </w:p>
    <w:p>
      <w:pPr>
        <w:pStyle w:val="BodyText"/>
        <w:spacing w:before="11"/>
      </w:pPr>
    </w:p>
    <w:p>
      <w:pPr>
        <w:pStyle w:val="BodyText"/>
        <w:spacing w:line="249" w:lineRule="auto"/>
        <w:ind w:left="130" w:firstLine="170"/>
        <w:jc w:val="both"/>
      </w:pPr>
      <w:r>
        <w:rPr/>
        <w:t>Con base en lo anterior, el presente trabajo tuvo como objetivo realizar una aproximación a las condiciones de vulnerabilidad estructural y socioeconómica en el marco de un estudio de riesgo sísmico</w:t>
      </w:r>
      <w:r>
        <w:rPr>
          <w:position w:val="7"/>
          <w:sz w:val="11"/>
        </w:rPr>
        <w:t>15</w:t>
      </w:r>
      <w:r>
        <w:rPr/>
        <w:t>.</w:t>
      </w:r>
    </w:p>
    <w:p>
      <w:pPr>
        <w:pStyle w:val="Heading1"/>
        <w:spacing w:before="71"/>
        <w:ind w:right="-10"/>
      </w:pPr>
      <w:r>
        <w:rPr>
          <w:b w:val="0"/>
        </w:rPr>
        <w:br w:type="column"/>
      </w:r>
      <w:r>
        <w:rPr/>
        <w:t>Localización del área de estudio</w:t>
      </w:r>
    </w:p>
    <w:p>
      <w:pPr>
        <w:pStyle w:val="BodyText"/>
        <w:rPr>
          <w:b/>
          <w:sz w:val="21"/>
        </w:rPr>
      </w:pPr>
    </w:p>
    <w:p>
      <w:pPr>
        <w:pStyle w:val="BodyText"/>
        <w:spacing w:line="249" w:lineRule="auto"/>
        <w:ind w:left="130" w:right="127" w:firstLine="170"/>
        <w:jc w:val="both"/>
      </w:pPr>
      <w:r>
        <w:rPr/>
        <w:t>La ciudad de Tijuana, se localiza al noroeste del estado de Baja California en las coordenadas</w:t>
      </w:r>
      <w:r>
        <w:rPr>
          <w:spacing w:val="-7"/>
        </w:rPr>
        <w:t> </w:t>
      </w:r>
      <w:r>
        <w:rPr/>
        <w:t>extremas</w:t>
      </w:r>
      <w:r>
        <w:rPr>
          <w:spacing w:val="-7"/>
        </w:rPr>
        <w:t> </w:t>
      </w:r>
      <w:r>
        <w:rPr/>
        <w:t>117°07´22.8”</w:t>
      </w:r>
      <w:r>
        <w:rPr>
          <w:spacing w:val="-7"/>
        </w:rPr>
        <w:t> </w:t>
      </w:r>
      <w:r>
        <w:rPr/>
        <w:t>W</w:t>
      </w:r>
      <w:r>
        <w:rPr>
          <w:spacing w:val="-7"/>
        </w:rPr>
        <w:t> </w:t>
      </w:r>
      <w:r>
        <w:rPr/>
        <w:t>32°32´02.4”</w:t>
      </w:r>
      <w:r>
        <w:rPr>
          <w:spacing w:val="-7"/>
        </w:rPr>
        <w:t> </w:t>
      </w:r>
      <w:r>
        <w:rPr/>
        <w:t>N</w:t>
      </w:r>
      <w:r>
        <w:rPr>
          <w:spacing w:val="-7"/>
        </w:rPr>
        <w:t> </w:t>
      </w:r>
      <w:r>
        <w:rPr/>
        <w:t>y</w:t>
      </w:r>
      <w:r>
        <w:rPr>
          <w:spacing w:val="-7"/>
        </w:rPr>
        <w:t> </w:t>
      </w:r>
      <w:r>
        <w:rPr/>
        <w:t>116°49´40.79”</w:t>
      </w:r>
      <w:r>
        <w:rPr>
          <w:spacing w:val="-7"/>
        </w:rPr>
        <w:t> </w:t>
      </w:r>
      <w:r>
        <w:rPr/>
        <w:t>W</w:t>
      </w:r>
      <w:r>
        <w:rPr>
          <w:spacing w:val="-7"/>
        </w:rPr>
        <w:t> </w:t>
      </w:r>
      <w:r>
        <w:rPr/>
        <w:t>32°</w:t>
      </w:r>
      <w:r>
        <w:rPr>
          <w:spacing w:val="-7"/>
        </w:rPr>
        <w:t> </w:t>
      </w:r>
      <w:r>
        <w:rPr/>
        <w:t>28´30”</w:t>
      </w:r>
      <w:r>
        <w:rPr>
          <w:spacing w:val="-7"/>
        </w:rPr>
        <w:t> </w:t>
      </w:r>
      <w:r>
        <w:rPr/>
        <w:t>N. Pertenece a la Provincia Fisiográfica de la Península de Baja</w:t>
      </w:r>
      <w:r>
        <w:rPr>
          <w:spacing w:val="-30"/>
        </w:rPr>
        <w:t> </w:t>
      </w:r>
      <w:r>
        <w:rPr/>
        <w:t>California.</w:t>
      </w:r>
    </w:p>
    <w:p>
      <w:pPr>
        <w:pStyle w:val="BodyText"/>
        <w:spacing w:before="11"/>
      </w:pPr>
    </w:p>
    <w:p>
      <w:pPr>
        <w:pStyle w:val="BodyText"/>
        <w:spacing w:line="249" w:lineRule="auto"/>
        <w:ind w:left="130" w:right="128" w:firstLine="170"/>
        <w:jc w:val="both"/>
      </w:pPr>
      <w:r>
        <w:rPr/>
        <w:t>Por otra parte, en el contexto sismotectónico, se sitúa sobre la frontera activa de   dos placas tectónicas, al este la Placa Norteamericana y al oeste la Placa del Pacífico (figura</w:t>
      </w:r>
      <w:r>
        <w:rPr>
          <w:spacing w:val="-27"/>
        </w:rPr>
        <w:t> </w:t>
      </w:r>
      <w:r>
        <w:rPr/>
        <w:t>1).</w:t>
      </w:r>
    </w:p>
    <w:p>
      <w:pPr>
        <w:pStyle w:val="BodyText"/>
        <w:spacing w:before="11"/>
      </w:pPr>
    </w:p>
    <w:p>
      <w:pPr>
        <w:pStyle w:val="BodyText"/>
        <w:spacing w:line="249" w:lineRule="auto"/>
        <w:ind w:left="514" w:right="512"/>
        <w:jc w:val="center"/>
      </w:pPr>
      <w:r>
        <w:rPr>
          <w:color w:val="6D6E71"/>
        </w:rPr>
        <w:t>Figura 1. Mapa de localización del área de estudio en el contexto sismotectónico regional</w:t>
      </w:r>
    </w:p>
    <w:p>
      <w:pPr>
        <w:pStyle w:val="BodyText"/>
        <w:rPr>
          <w:sz w:val="13"/>
        </w:rPr>
      </w:pPr>
      <w:r>
        <w:rPr/>
        <w:drawing>
          <wp:anchor distT="0" distB="0" distL="0" distR="0" allowOverlap="1" layoutInCell="1" locked="0" behindDoc="0" simplePos="0" relativeHeight="2944">
            <wp:simplePos x="0" y="0"/>
            <wp:positionH relativeFrom="page">
              <wp:posOffset>7432950</wp:posOffset>
            </wp:positionH>
            <wp:positionV relativeFrom="paragraph">
              <wp:posOffset>119811</wp:posOffset>
            </wp:positionV>
            <wp:extent cx="3083814" cy="3327273"/>
            <wp:effectExtent l="0" t="0" r="0" b="0"/>
            <wp:wrapTopAndBottom/>
            <wp:docPr id="21" name="image28.jpeg" descr=""/>
            <wp:cNvGraphicFramePr>
              <a:graphicFrameLocks noChangeAspect="1"/>
            </wp:cNvGraphicFramePr>
            <a:graphic>
              <a:graphicData uri="http://schemas.openxmlformats.org/drawingml/2006/picture">
                <pic:pic>
                  <pic:nvPicPr>
                    <pic:cNvPr id="22" name="image28.jpeg"/>
                    <pic:cNvPicPr/>
                  </pic:nvPicPr>
                  <pic:blipFill>
                    <a:blip r:embed="rId116" cstate="print"/>
                    <a:stretch>
                      <a:fillRect/>
                    </a:stretch>
                  </pic:blipFill>
                  <pic:spPr>
                    <a:xfrm>
                      <a:off x="0" y="0"/>
                      <a:ext cx="3083814" cy="3327273"/>
                    </a:xfrm>
                    <a:prstGeom prst="rect">
                      <a:avLst/>
                    </a:prstGeom>
                  </pic:spPr>
                </pic:pic>
              </a:graphicData>
            </a:graphic>
          </wp:anchor>
        </w:drawing>
      </w:r>
    </w:p>
    <w:p>
      <w:pPr>
        <w:spacing w:line="312" w:lineRule="auto" w:before="101"/>
        <w:ind w:left="2" w:right="0" w:firstLine="0"/>
        <w:jc w:val="center"/>
        <w:rPr>
          <w:sz w:val="16"/>
        </w:rPr>
      </w:pPr>
      <w:r>
        <w:rPr>
          <w:color w:val="6D6E71"/>
          <w:sz w:val="16"/>
        </w:rPr>
        <w:t>Fuente: Elaboración propia a partir del Marco Geoestadístico Nacional 2010 del INEGI (Instituto Nacional de Estadística y Geografía) y datos del USGS (United States Geological Survey).</w:t>
      </w:r>
    </w:p>
    <w:p>
      <w:pPr>
        <w:pStyle w:val="BodyText"/>
        <w:spacing w:before="2"/>
        <w:rPr>
          <w:sz w:val="24"/>
        </w:rPr>
      </w:pPr>
      <w:r>
        <w:rPr/>
        <w:pict>
          <v:line style="position:absolute;mso-position-horizontal-relative:page;mso-position-vertical-relative:paragraph;z-index:2968;mso-wrap-distance-left:0;mso-wrap-distance-right:0" from="513.070923pt,16.128139pt" to="898.582923pt,16.128139pt" stroked="true" strokeweight=".5pt" strokecolor="#28211f">
            <w10:wrap type="topAndBottom"/>
          </v:line>
        </w:pict>
      </w:r>
    </w:p>
    <w:p>
      <w:pPr>
        <w:pStyle w:val="BodyText"/>
        <w:spacing w:before="6"/>
        <w:rPr>
          <w:sz w:val="12"/>
        </w:rPr>
      </w:pPr>
    </w:p>
    <w:p>
      <w:pPr>
        <w:spacing w:line="357" w:lineRule="auto" w:before="0"/>
        <w:ind w:left="186" w:right="128" w:hanging="57"/>
        <w:jc w:val="both"/>
        <w:rPr>
          <w:sz w:val="14"/>
        </w:rPr>
      </w:pPr>
      <w:r>
        <w:rPr>
          <w:color w:val="6D6E71"/>
          <w:position w:val="5"/>
          <w:sz w:val="8"/>
        </w:rPr>
        <w:t>15.</w:t>
      </w:r>
      <w:r>
        <w:rPr>
          <w:color w:val="6D6E71"/>
          <w:sz w:val="14"/>
        </w:rPr>
        <w:t>De</w:t>
      </w:r>
      <w:r>
        <w:rPr>
          <w:color w:val="6D6E71"/>
          <w:spacing w:val="-6"/>
          <w:sz w:val="14"/>
        </w:rPr>
        <w:t> </w:t>
      </w:r>
      <w:r>
        <w:rPr>
          <w:color w:val="6D6E71"/>
          <w:sz w:val="14"/>
        </w:rPr>
        <w:t>acuerdo</w:t>
      </w:r>
      <w:r>
        <w:rPr>
          <w:color w:val="6D6E71"/>
          <w:spacing w:val="-6"/>
          <w:sz w:val="14"/>
        </w:rPr>
        <w:t> </w:t>
      </w:r>
      <w:r>
        <w:rPr>
          <w:color w:val="6D6E71"/>
          <w:sz w:val="14"/>
        </w:rPr>
        <w:t>con</w:t>
      </w:r>
      <w:r>
        <w:rPr>
          <w:color w:val="6D6E71"/>
          <w:spacing w:val="-6"/>
          <w:sz w:val="14"/>
        </w:rPr>
        <w:t> </w:t>
      </w:r>
      <w:r>
        <w:rPr>
          <w:color w:val="6D6E71"/>
          <w:sz w:val="14"/>
        </w:rPr>
        <w:t>Mena</w:t>
      </w:r>
      <w:r>
        <w:rPr>
          <w:color w:val="6D6E71"/>
          <w:spacing w:val="-6"/>
          <w:sz w:val="14"/>
        </w:rPr>
        <w:t> </w:t>
      </w:r>
      <w:r>
        <w:rPr>
          <w:color w:val="6D6E71"/>
          <w:sz w:val="14"/>
        </w:rPr>
        <w:t>(2002)</w:t>
      </w:r>
      <w:r>
        <w:rPr>
          <w:color w:val="6D6E71"/>
          <w:spacing w:val="-6"/>
          <w:sz w:val="14"/>
        </w:rPr>
        <w:t> </w:t>
      </w:r>
      <w:r>
        <w:rPr>
          <w:color w:val="6D6E71"/>
          <w:sz w:val="14"/>
        </w:rPr>
        <w:t>el</w:t>
      </w:r>
      <w:r>
        <w:rPr>
          <w:color w:val="6D6E71"/>
          <w:spacing w:val="-6"/>
          <w:sz w:val="14"/>
        </w:rPr>
        <w:t> </w:t>
      </w:r>
      <w:r>
        <w:rPr>
          <w:color w:val="6D6E71"/>
          <w:sz w:val="14"/>
        </w:rPr>
        <w:t>riesgo</w:t>
      </w:r>
      <w:r>
        <w:rPr>
          <w:color w:val="6D6E71"/>
          <w:spacing w:val="-6"/>
          <w:sz w:val="14"/>
        </w:rPr>
        <w:t> </w:t>
      </w:r>
      <w:r>
        <w:rPr>
          <w:color w:val="6D6E71"/>
          <w:sz w:val="14"/>
        </w:rPr>
        <w:t>sísmico</w:t>
      </w:r>
      <w:r>
        <w:rPr>
          <w:color w:val="6D6E71"/>
          <w:spacing w:val="-6"/>
          <w:sz w:val="14"/>
        </w:rPr>
        <w:t> </w:t>
      </w:r>
      <w:r>
        <w:rPr>
          <w:color w:val="6D6E71"/>
          <w:sz w:val="14"/>
        </w:rPr>
        <w:t>radica</w:t>
      </w:r>
      <w:r>
        <w:rPr>
          <w:color w:val="6D6E71"/>
          <w:spacing w:val="-6"/>
          <w:sz w:val="14"/>
        </w:rPr>
        <w:t> </w:t>
      </w:r>
      <w:r>
        <w:rPr>
          <w:color w:val="6D6E71"/>
          <w:sz w:val="14"/>
        </w:rPr>
        <w:t>en</w:t>
      </w:r>
      <w:r>
        <w:rPr>
          <w:color w:val="6D6E71"/>
          <w:spacing w:val="-6"/>
          <w:sz w:val="14"/>
        </w:rPr>
        <w:t> </w:t>
      </w:r>
      <w:r>
        <w:rPr>
          <w:color w:val="6D6E71"/>
          <w:sz w:val="14"/>
        </w:rPr>
        <w:t>las</w:t>
      </w:r>
      <w:r>
        <w:rPr>
          <w:color w:val="6D6E71"/>
          <w:spacing w:val="-6"/>
          <w:sz w:val="14"/>
        </w:rPr>
        <w:t> </w:t>
      </w:r>
      <w:r>
        <w:rPr>
          <w:color w:val="6D6E71"/>
          <w:sz w:val="14"/>
        </w:rPr>
        <w:t>consecuencias</w:t>
      </w:r>
      <w:r>
        <w:rPr>
          <w:color w:val="6D6E71"/>
          <w:spacing w:val="-6"/>
          <w:sz w:val="14"/>
        </w:rPr>
        <w:t> </w:t>
      </w:r>
      <w:r>
        <w:rPr>
          <w:color w:val="6D6E71"/>
          <w:sz w:val="14"/>
        </w:rPr>
        <w:t>económicas</w:t>
      </w:r>
      <w:r>
        <w:rPr>
          <w:color w:val="6D6E71"/>
          <w:spacing w:val="-6"/>
          <w:sz w:val="14"/>
        </w:rPr>
        <w:t> </w:t>
      </w:r>
      <w:r>
        <w:rPr>
          <w:color w:val="6D6E71"/>
          <w:sz w:val="14"/>
        </w:rPr>
        <w:t>y</w:t>
      </w:r>
      <w:r>
        <w:rPr>
          <w:color w:val="6D6E71"/>
          <w:spacing w:val="-6"/>
          <w:sz w:val="14"/>
        </w:rPr>
        <w:t> </w:t>
      </w:r>
      <w:r>
        <w:rPr>
          <w:color w:val="6D6E71"/>
          <w:sz w:val="14"/>
        </w:rPr>
        <w:t>sociales</w:t>
      </w:r>
      <w:r>
        <w:rPr>
          <w:color w:val="6D6E71"/>
          <w:spacing w:val="-6"/>
          <w:sz w:val="14"/>
        </w:rPr>
        <w:t> </w:t>
      </w:r>
      <w:r>
        <w:rPr>
          <w:color w:val="6D6E71"/>
          <w:sz w:val="14"/>
        </w:rPr>
        <w:t>potenciales</w:t>
      </w:r>
      <w:r>
        <w:rPr>
          <w:color w:val="6D6E71"/>
          <w:spacing w:val="-5"/>
          <w:sz w:val="14"/>
        </w:rPr>
        <w:t> </w:t>
      </w:r>
      <w:r>
        <w:rPr>
          <w:color w:val="6D6E71"/>
          <w:sz w:val="14"/>
        </w:rPr>
        <w:t>provocadas por un terremoto, así mismo, resalta un aspecto muy importante al señalar que el riesgo sísmico depende en una relación directa de la peligrosidad sísmica y de la</w:t>
      </w:r>
      <w:r>
        <w:rPr>
          <w:color w:val="6D6E71"/>
          <w:spacing w:val="-21"/>
          <w:sz w:val="14"/>
        </w:rPr>
        <w:t> </w:t>
      </w:r>
      <w:r>
        <w:rPr>
          <w:color w:val="6D6E71"/>
          <w:sz w:val="14"/>
        </w:rPr>
        <w:t>vulnerabilidad.</w:t>
      </w:r>
    </w:p>
    <w:p>
      <w:pPr>
        <w:spacing w:after="0" w:line="357" w:lineRule="auto"/>
        <w:jc w:val="both"/>
        <w:rPr>
          <w:sz w:val="14"/>
        </w:rPr>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117"/>
          <w:pgSz w:w="18830" w:h="12760" w:orient="landscape"/>
          <w:pgMar w:footer="1036" w:header="522" w:top="820" w:bottom="1220" w:left="720" w:right="720"/>
        </w:sectPr>
      </w:pPr>
    </w:p>
    <w:p>
      <w:pPr>
        <w:pStyle w:val="Heading1"/>
        <w:spacing w:before="71"/>
        <w:ind w:right="-7"/>
      </w:pPr>
      <w:r>
        <w:rPr/>
        <w:t>Materiales y métodos</w:t>
      </w:r>
    </w:p>
    <w:p>
      <w:pPr>
        <w:pStyle w:val="BodyText"/>
        <w:rPr>
          <w:b/>
          <w:sz w:val="21"/>
        </w:rPr>
      </w:pPr>
    </w:p>
    <w:p>
      <w:pPr>
        <w:pStyle w:val="BodyText"/>
        <w:spacing w:line="249" w:lineRule="auto"/>
        <w:ind w:left="130" w:firstLine="170"/>
        <w:jc w:val="both"/>
      </w:pPr>
      <w:r>
        <w:rPr/>
        <w:t>Existen dos métodos principales para la evaluación de la amenaza sísmica: el determinista</w:t>
      </w:r>
      <w:r>
        <w:rPr>
          <w:spacing w:val="-12"/>
        </w:rPr>
        <w:t> </w:t>
      </w:r>
      <w:r>
        <w:rPr/>
        <w:t>y</w:t>
      </w:r>
      <w:r>
        <w:rPr>
          <w:spacing w:val="33"/>
        </w:rPr>
        <w:t> </w:t>
      </w:r>
      <w:r>
        <w:rPr/>
        <w:t>el</w:t>
      </w:r>
      <w:r>
        <w:rPr>
          <w:spacing w:val="-12"/>
        </w:rPr>
        <w:t> </w:t>
      </w:r>
      <w:r>
        <w:rPr/>
        <w:t>probabilista</w:t>
      </w:r>
      <w:r>
        <w:rPr>
          <w:spacing w:val="-12"/>
        </w:rPr>
        <w:t> </w:t>
      </w:r>
      <w:r>
        <w:rPr/>
        <w:t>(González</w:t>
      </w:r>
      <w:r>
        <w:rPr>
          <w:spacing w:val="-12"/>
        </w:rPr>
        <w:t> </w:t>
      </w:r>
      <w:r>
        <w:rPr/>
        <w:t>de</w:t>
      </w:r>
      <w:r>
        <w:rPr>
          <w:spacing w:val="-12"/>
        </w:rPr>
        <w:t> </w:t>
      </w:r>
      <w:r>
        <w:rPr/>
        <w:t>Vallejo,</w:t>
      </w:r>
      <w:r>
        <w:rPr>
          <w:spacing w:val="-12"/>
        </w:rPr>
        <w:t> </w:t>
      </w:r>
      <w:r>
        <w:rPr/>
        <w:t>2002).</w:t>
      </w:r>
      <w:r>
        <w:rPr>
          <w:spacing w:val="-12"/>
        </w:rPr>
        <w:t> </w:t>
      </w:r>
      <w:r>
        <w:rPr/>
        <w:t>El</w:t>
      </w:r>
      <w:r>
        <w:rPr>
          <w:spacing w:val="-12"/>
        </w:rPr>
        <w:t> </w:t>
      </w:r>
      <w:r>
        <w:rPr/>
        <w:t>primero</w:t>
      </w:r>
      <w:r>
        <w:rPr>
          <w:spacing w:val="-12"/>
        </w:rPr>
        <w:t> </w:t>
      </w:r>
      <w:r>
        <w:rPr/>
        <w:t>de</w:t>
      </w:r>
      <w:r>
        <w:rPr>
          <w:spacing w:val="-12"/>
        </w:rPr>
        <w:t> </w:t>
      </w:r>
      <w:r>
        <w:rPr/>
        <w:t>ellos,</w:t>
      </w:r>
      <w:r>
        <w:rPr>
          <w:spacing w:val="-12"/>
        </w:rPr>
        <w:t> </w:t>
      </w:r>
      <w:r>
        <w:rPr/>
        <w:t>plantea</w:t>
      </w:r>
      <w:r>
        <w:rPr>
          <w:spacing w:val="-12"/>
        </w:rPr>
        <w:t> </w:t>
      </w:r>
      <w:r>
        <w:rPr/>
        <w:t>la ocurrencia de un sismo hipotético a partir del rompimiento de una falla geológica; con base en las características de la fuente generadora se calcula la magnitud del evento</w:t>
      </w:r>
      <w:r>
        <w:rPr>
          <w:spacing w:val="-13"/>
        </w:rPr>
        <w:t> </w:t>
      </w:r>
      <w:r>
        <w:rPr/>
        <w:t>y después este valor es transformado a una escala de intensidad, con lo cual</w:t>
      </w:r>
      <w:r>
        <w:rPr>
          <w:spacing w:val="27"/>
        </w:rPr>
        <w:t> </w:t>
      </w:r>
      <w:r>
        <w:rPr/>
        <w:t>se</w:t>
      </w:r>
      <w:r>
        <w:rPr>
          <w:spacing w:val="10"/>
        </w:rPr>
        <w:t> </w:t>
      </w:r>
      <w:r>
        <w:rPr/>
        <w:t>puede</w:t>
      </w:r>
      <w:r>
        <w:rPr>
          <w:w w:val="101"/>
        </w:rPr>
        <w:t> </w:t>
      </w:r>
      <w:r>
        <w:rPr/>
        <w:t>generar una primera zonificación</w:t>
      </w:r>
      <w:r>
        <w:rPr>
          <w:spacing w:val="5"/>
        </w:rPr>
        <w:t> </w:t>
      </w:r>
      <w:r>
        <w:rPr/>
        <w:t>sísmica.</w:t>
      </w:r>
    </w:p>
    <w:p>
      <w:pPr>
        <w:pStyle w:val="BodyText"/>
        <w:spacing w:before="11"/>
      </w:pPr>
    </w:p>
    <w:p>
      <w:pPr>
        <w:pStyle w:val="BodyText"/>
        <w:spacing w:line="249" w:lineRule="auto"/>
        <w:ind w:left="130" w:firstLine="170"/>
        <w:jc w:val="both"/>
      </w:pPr>
      <w:r>
        <w:rPr/>
        <w:t>Con el objetivo de obtener zonificaciones más “refinadas” en necesario considerar</w:t>
      </w:r>
      <w:r>
        <w:rPr>
          <w:w w:val="101"/>
        </w:rPr>
        <w:t> </w:t>
      </w:r>
      <w:r>
        <w:rPr/>
        <w:t>la respuesta sísmica del terreno</w:t>
      </w:r>
      <w:r>
        <w:rPr>
          <w:position w:val="7"/>
          <w:sz w:val="11"/>
        </w:rPr>
        <w:t>16 </w:t>
      </w:r>
      <w:r>
        <w:rPr/>
        <w:t>la cual puede ser determinada a través de distintos parámetros, como su período natural de</w:t>
      </w:r>
      <w:r>
        <w:rPr>
          <w:spacing w:val="53"/>
        </w:rPr>
        <w:t> </w:t>
      </w:r>
      <w:r>
        <w:rPr/>
        <w:t>vibración.</w:t>
      </w:r>
    </w:p>
    <w:p>
      <w:pPr>
        <w:pStyle w:val="BodyText"/>
        <w:spacing w:before="11"/>
      </w:pPr>
    </w:p>
    <w:p>
      <w:pPr>
        <w:pStyle w:val="BodyText"/>
        <w:spacing w:line="249" w:lineRule="auto"/>
        <w:ind w:left="130" w:right="1" w:firstLine="170"/>
        <w:jc w:val="both"/>
      </w:pPr>
      <w:r>
        <w:rPr/>
        <w:t>A</w:t>
      </w:r>
      <w:r>
        <w:rPr>
          <w:spacing w:val="-9"/>
        </w:rPr>
        <w:t> </w:t>
      </w:r>
      <w:r>
        <w:rPr/>
        <w:t>partir</w:t>
      </w:r>
      <w:r>
        <w:rPr>
          <w:spacing w:val="-9"/>
        </w:rPr>
        <w:t> </w:t>
      </w:r>
      <w:r>
        <w:rPr/>
        <w:t>de</w:t>
      </w:r>
      <w:r>
        <w:rPr>
          <w:spacing w:val="-9"/>
        </w:rPr>
        <w:t> </w:t>
      </w:r>
      <w:r>
        <w:rPr/>
        <w:t>lo</w:t>
      </w:r>
      <w:r>
        <w:rPr>
          <w:spacing w:val="-9"/>
        </w:rPr>
        <w:t> </w:t>
      </w:r>
      <w:r>
        <w:rPr/>
        <w:t>anterior</w:t>
      </w:r>
      <w:r>
        <w:rPr>
          <w:spacing w:val="-9"/>
        </w:rPr>
        <w:t> </w:t>
      </w:r>
      <w:r>
        <w:rPr/>
        <w:t>se</w:t>
      </w:r>
      <w:r>
        <w:rPr>
          <w:spacing w:val="-9"/>
        </w:rPr>
        <w:t> </w:t>
      </w:r>
      <w:r>
        <w:rPr/>
        <w:t>planteó</w:t>
      </w:r>
      <w:r>
        <w:rPr>
          <w:spacing w:val="-9"/>
        </w:rPr>
        <w:t> </w:t>
      </w:r>
      <w:r>
        <w:rPr/>
        <w:t>el</w:t>
      </w:r>
      <w:r>
        <w:rPr>
          <w:spacing w:val="-9"/>
        </w:rPr>
        <w:t> </w:t>
      </w:r>
      <w:r>
        <w:rPr/>
        <w:t>proceso</w:t>
      </w:r>
      <w:r>
        <w:rPr>
          <w:spacing w:val="-9"/>
        </w:rPr>
        <w:t> </w:t>
      </w:r>
      <w:r>
        <w:rPr/>
        <w:t>metodológico</w:t>
      </w:r>
      <w:r>
        <w:rPr>
          <w:spacing w:val="-9"/>
        </w:rPr>
        <w:t> </w:t>
      </w:r>
      <w:r>
        <w:rPr/>
        <w:t>representado</w:t>
      </w:r>
      <w:r>
        <w:rPr>
          <w:spacing w:val="-9"/>
        </w:rPr>
        <w:t> </w:t>
      </w:r>
      <w:r>
        <w:rPr/>
        <w:t>en</w:t>
      </w:r>
      <w:r>
        <w:rPr>
          <w:spacing w:val="-9"/>
        </w:rPr>
        <w:t> </w:t>
      </w:r>
      <w:r>
        <w:rPr/>
        <w:t>la</w:t>
      </w:r>
      <w:r>
        <w:rPr>
          <w:spacing w:val="-9"/>
        </w:rPr>
        <w:t> </w:t>
      </w:r>
      <w:r>
        <w:rPr/>
        <w:t>siguiente figura (figura</w:t>
      </w:r>
      <w:r>
        <w:rPr>
          <w:spacing w:val="-23"/>
        </w:rPr>
        <w:t> </w:t>
      </w:r>
      <w:r>
        <w:rPr/>
        <w:t>2).</w:t>
      </w:r>
    </w:p>
    <w:p>
      <w:pPr>
        <w:pStyle w:val="BodyText"/>
      </w:pPr>
    </w:p>
    <w:p>
      <w:pPr>
        <w:pStyle w:val="BodyText"/>
        <w:spacing w:before="1"/>
        <w:rPr>
          <w:sz w:val="25"/>
        </w:rPr>
      </w:pPr>
    </w:p>
    <w:p>
      <w:pPr>
        <w:spacing w:before="0"/>
        <w:ind w:left="129" w:right="0" w:firstLine="0"/>
        <w:jc w:val="center"/>
        <w:rPr>
          <w:sz w:val="16"/>
        </w:rPr>
      </w:pPr>
      <w:r>
        <w:rPr>
          <w:color w:val="6D6E71"/>
          <w:sz w:val="16"/>
        </w:rPr>
        <w:t>Figura 2. Secuencia general del marco metodológico</w:t>
      </w:r>
    </w:p>
    <w:p>
      <w:pPr>
        <w:pStyle w:val="BodyText"/>
        <w:spacing w:before="7"/>
        <w:rPr>
          <w:sz w:val="18"/>
        </w:rPr>
      </w:pPr>
      <w:r>
        <w:rPr/>
        <w:pict>
          <v:group style="position:absolute;margin-left:88.20668pt;margin-top:12.649536pt;width:294.150pt;height:117.7pt;mso-position-horizontal-relative:page;mso-position-vertical-relative:paragraph;z-index:3040;mso-wrap-distance-left:0;mso-wrap-distance-right:0" coordorigin="1764,253" coordsize="5883,2354">
            <v:shape style="position:absolute;left:1764;top:253;width:5883;height:2353" type="#_x0000_t75" stroked="false">
              <v:imagedata r:id="rId118" o:title=""/>
            </v:shape>
            <v:shape style="position:absolute;left:3741;top:2235;width:1930;height:160" type="#_x0000_t202" filled="false" stroked="false">
              <v:textbox inset="0,0,0,0">
                <w:txbxContent>
                  <w:p>
                    <w:pPr>
                      <w:spacing w:line="160" w:lineRule="exact" w:before="0"/>
                      <w:ind w:left="0" w:right="-12" w:firstLine="0"/>
                      <w:jc w:val="left"/>
                      <w:rPr>
                        <w:sz w:val="16"/>
                      </w:rPr>
                    </w:pPr>
                    <w:r>
                      <w:rPr>
                        <w:color w:val="6D6E71"/>
                        <w:sz w:val="16"/>
                      </w:rPr>
                      <w:t>Fuente: Elaboración propia</w:t>
                    </w:r>
                  </w:p>
                </w:txbxContent>
              </v:textbox>
              <w10:wrap type="none"/>
            </v:shape>
            <w10:wrap type="topAndBottom"/>
          </v:group>
        </w:pict>
      </w:r>
    </w:p>
    <w:p>
      <w:pPr>
        <w:pStyle w:val="BodyText"/>
        <w:rPr>
          <w:sz w:val="16"/>
        </w:rPr>
      </w:pPr>
    </w:p>
    <w:p>
      <w:pPr>
        <w:pStyle w:val="BodyText"/>
        <w:rPr>
          <w:sz w:val="16"/>
        </w:rPr>
      </w:pPr>
    </w:p>
    <w:p>
      <w:pPr>
        <w:pStyle w:val="BodyText"/>
        <w:rPr>
          <w:sz w:val="15"/>
        </w:rPr>
      </w:pPr>
    </w:p>
    <w:p>
      <w:pPr>
        <w:spacing w:before="0"/>
        <w:ind w:left="129" w:right="0" w:firstLine="0"/>
        <w:jc w:val="center"/>
        <w:rPr>
          <w:sz w:val="16"/>
        </w:rPr>
      </w:pPr>
      <w:r>
        <w:rPr>
          <w:color w:val="6D6E71"/>
          <w:sz w:val="16"/>
        </w:rPr>
        <w:t>Fuente: Elaboración propia</w:t>
      </w:r>
    </w:p>
    <w:p>
      <w:pPr>
        <w:pStyle w:val="BodyText"/>
        <w:spacing w:before="5"/>
        <w:rPr>
          <w:sz w:val="22"/>
        </w:rPr>
      </w:pPr>
    </w:p>
    <w:p>
      <w:pPr>
        <w:pStyle w:val="BodyText"/>
        <w:spacing w:line="249" w:lineRule="auto"/>
        <w:ind w:left="130" w:firstLine="170"/>
        <w:jc w:val="both"/>
      </w:pPr>
      <w:r>
        <w:rPr/>
        <w:t>Antes de comenzar con la descripción del desarrollo metodológico, cabe señalar  que, una de las herramientas de mayor utilidad para la evaluación de peligros y</w:t>
      </w:r>
      <w:r>
        <w:rPr>
          <w:spacing w:val="-38"/>
        </w:rPr>
        <w:t> </w:t>
      </w:r>
      <w:r>
        <w:rPr/>
        <w:t>riesgos naturales son los Sistemas de Información Geográfica (SIG). Autores como Iglesias   et,</w:t>
      </w:r>
      <w:r>
        <w:rPr>
          <w:spacing w:val="34"/>
        </w:rPr>
        <w:t> </w:t>
      </w:r>
      <w:r>
        <w:rPr/>
        <w:t>al.</w:t>
      </w:r>
      <w:r>
        <w:rPr>
          <w:spacing w:val="34"/>
        </w:rPr>
        <w:t> </w:t>
      </w:r>
      <w:r>
        <w:rPr/>
        <w:t>(2006)</w:t>
      </w:r>
      <w:r>
        <w:rPr>
          <w:spacing w:val="34"/>
        </w:rPr>
        <w:t> </w:t>
      </w:r>
      <w:r>
        <w:rPr/>
        <w:t>plantean</w:t>
      </w:r>
      <w:r>
        <w:rPr>
          <w:spacing w:val="34"/>
        </w:rPr>
        <w:t> </w:t>
      </w:r>
      <w:r>
        <w:rPr/>
        <w:t>en</w:t>
      </w:r>
      <w:r>
        <w:rPr>
          <w:spacing w:val="34"/>
        </w:rPr>
        <w:t> </w:t>
      </w:r>
      <w:r>
        <w:rPr/>
        <w:t>su</w:t>
      </w:r>
      <w:r>
        <w:rPr>
          <w:spacing w:val="34"/>
        </w:rPr>
        <w:t> </w:t>
      </w:r>
      <w:r>
        <w:rPr/>
        <w:t>trabajo</w:t>
      </w:r>
      <w:r>
        <w:rPr>
          <w:spacing w:val="34"/>
        </w:rPr>
        <w:t> </w:t>
      </w:r>
      <w:r>
        <w:rPr/>
        <w:t>sobre</w:t>
      </w:r>
      <w:r>
        <w:rPr>
          <w:spacing w:val="34"/>
        </w:rPr>
        <w:t> </w:t>
      </w:r>
      <w:r>
        <w:rPr/>
        <w:t>evaluación</w:t>
      </w:r>
      <w:r>
        <w:rPr>
          <w:spacing w:val="34"/>
        </w:rPr>
        <w:t> </w:t>
      </w:r>
      <w:r>
        <w:rPr/>
        <w:t>del</w:t>
      </w:r>
      <w:r>
        <w:rPr>
          <w:spacing w:val="34"/>
        </w:rPr>
        <w:t> </w:t>
      </w:r>
      <w:r>
        <w:rPr/>
        <w:t>riesgo</w:t>
      </w:r>
      <w:r>
        <w:rPr>
          <w:spacing w:val="34"/>
        </w:rPr>
        <w:t> </w:t>
      </w:r>
      <w:r>
        <w:rPr/>
        <w:t>sísmico</w:t>
      </w:r>
      <w:r>
        <w:rPr>
          <w:spacing w:val="34"/>
        </w:rPr>
        <w:t> </w:t>
      </w:r>
      <w:r>
        <w:rPr/>
        <w:t>en</w:t>
      </w:r>
      <w:r>
        <w:rPr>
          <w:spacing w:val="34"/>
        </w:rPr>
        <w:t> </w:t>
      </w:r>
      <w:r>
        <w:rPr/>
        <w:t>zonas</w:t>
      </w:r>
    </w:p>
    <w:p>
      <w:pPr>
        <w:pStyle w:val="BodyText"/>
        <w:spacing w:line="249" w:lineRule="auto" w:before="109"/>
        <w:ind w:left="130" w:right="127"/>
        <w:jc w:val="both"/>
      </w:pPr>
      <w:r>
        <w:rPr/>
        <w:br w:type="column"/>
      </w:r>
      <w:r>
        <w:rPr/>
        <w:t>urbanas que, mediante las tecnologías SIG es posible estimar, con carácter preliminar y de forma rápida y sencilla la vulnerabilidad de las edificaciones. Otros autores como Moreno y Aguilar (2003) definen la relevancia de utilizar un sistema de información geográfica como la capacidad de éste en la superposición de capas tanto de peligro como de vulnerabilidad.</w:t>
      </w:r>
    </w:p>
    <w:p>
      <w:pPr>
        <w:pStyle w:val="BodyText"/>
        <w:spacing w:before="11"/>
      </w:pPr>
    </w:p>
    <w:p>
      <w:pPr>
        <w:pStyle w:val="BodyText"/>
        <w:spacing w:line="249" w:lineRule="auto"/>
        <w:ind w:left="130" w:right="128" w:firstLine="170"/>
        <w:jc w:val="both"/>
      </w:pPr>
      <w:r>
        <w:rPr/>
        <w:t>En este trabajo, durante el  desarrollo  de  distintas  variables  correspondientes  a las etapas del marco metodológico, se requirió el uso de una plataforma SIG para cuestiones de generación de información como de análisis. Esto se explicará en lo subsecuente.</w:t>
      </w:r>
    </w:p>
    <w:p>
      <w:pPr>
        <w:pStyle w:val="BodyText"/>
        <w:spacing w:before="11"/>
      </w:pPr>
    </w:p>
    <w:p>
      <w:pPr>
        <w:spacing w:before="0"/>
        <w:ind w:left="300" w:right="-10" w:firstLine="0"/>
        <w:jc w:val="left"/>
        <w:rPr>
          <w:i/>
          <w:sz w:val="20"/>
        </w:rPr>
      </w:pPr>
      <w:r>
        <w:rPr>
          <w:i/>
          <w:sz w:val="20"/>
        </w:rPr>
        <w:t>Caracterización geológica y geotécnica</w:t>
      </w:r>
    </w:p>
    <w:p>
      <w:pPr>
        <w:pStyle w:val="BodyText"/>
        <w:spacing w:before="8"/>
        <w:rPr>
          <w:i/>
          <w:sz w:val="21"/>
        </w:rPr>
      </w:pPr>
    </w:p>
    <w:p>
      <w:pPr>
        <w:pStyle w:val="BodyText"/>
        <w:spacing w:line="249" w:lineRule="auto"/>
        <w:ind w:left="130" w:right="128" w:firstLine="170"/>
        <w:jc w:val="both"/>
      </w:pPr>
      <w:r>
        <w:rPr/>
        <w:t>Para la caracterización geológica y geotécnica se realizó cartografía de los tipos     de roca y la ubicación de fallas geológicas con base en las cartas geológicas escala 1:50,000 del INEGI</w:t>
      </w:r>
      <w:r>
        <w:rPr>
          <w:position w:val="7"/>
          <w:sz w:val="11"/>
        </w:rPr>
        <w:t>17  </w:t>
      </w:r>
      <w:r>
        <w:rPr/>
        <w:t>y en la información generada por Gastil </w:t>
      </w:r>
      <w:r>
        <w:rPr>
          <w:i/>
        </w:rPr>
        <w:t>et al</w:t>
      </w:r>
      <w:r>
        <w:rPr>
          <w:i/>
          <w:spacing w:val="-37"/>
        </w:rPr>
        <w:t> </w:t>
      </w:r>
      <w:r>
        <w:rPr/>
        <w:t>(1971).</w:t>
      </w:r>
    </w:p>
    <w:p>
      <w:pPr>
        <w:pStyle w:val="BodyText"/>
        <w:spacing w:before="11"/>
      </w:pPr>
    </w:p>
    <w:p>
      <w:pPr>
        <w:spacing w:before="0"/>
        <w:ind w:left="300" w:right="-10" w:firstLine="0"/>
        <w:jc w:val="left"/>
        <w:rPr>
          <w:i/>
          <w:sz w:val="20"/>
        </w:rPr>
      </w:pPr>
      <w:r>
        <w:rPr>
          <w:i/>
          <w:sz w:val="20"/>
        </w:rPr>
        <w:t>Vulnerabilidad estructural</w:t>
      </w:r>
    </w:p>
    <w:p>
      <w:pPr>
        <w:pStyle w:val="BodyText"/>
        <w:spacing w:before="8"/>
        <w:rPr>
          <w:i/>
          <w:sz w:val="21"/>
        </w:rPr>
      </w:pPr>
    </w:p>
    <w:p>
      <w:pPr>
        <w:pStyle w:val="BodyText"/>
        <w:spacing w:line="249" w:lineRule="auto"/>
        <w:ind w:left="130" w:right="127" w:firstLine="170"/>
        <w:jc w:val="both"/>
      </w:pPr>
      <w:r>
        <w:rPr/>
        <w:t>La identificación de la región de máxima  respuesta  es  propuesta  por  Bazán  y Meli (2002). Su objetivo es identificar las zonas menos aconsejables para edificar estructuras, especialmente cuando se trata de terrenos de origen sedimentario, ya que la probabilidad de entrar en resonancia</w:t>
      </w:r>
      <w:r>
        <w:rPr>
          <w:position w:val="7"/>
          <w:sz w:val="11"/>
        </w:rPr>
        <w:t>18  </w:t>
      </w:r>
      <w:r>
        <w:rPr/>
        <w:t>es</w:t>
      </w:r>
      <w:r>
        <w:rPr>
          <w:spacing w:val="27"/>
        </w:rPr>
        <w:t> </w:t>
      </w:r>
      <w:r>
        <w:rPr/>
        <w:t>mayor.</w:t>
      </w:r>
    </w:p>
    <w:p>
      <w:pPr>
        <w:pStyle w:val="BodyText"/>
        <w:spacing w:before="11"/>
      </w:pPr>
    </w:p>
    <w:p>
      <w:pPr>
        <w:pStyle w:val="BodyText"/>
        <w:ind w:left="300" w:right="-10"/>
      </w:pPr>
      <w:r>
        <w:rPr/>
        <w:t>Se expresa mediante la siguiente fórmula:</w:t>
      </w:r>
    </w:p>
    <w:p>
      <w:pPr>
        <w:pStyle w:val="BodyText"/>
        <w:spacing w:before="7"/>
        <w:rPr>
          <w:sz w:val="19"/>
        </w:rPr>
      </w:pPr>
    </w:p>
    <w:p>
      <w:pPr>
        <w:pStyle w:val="Heading3"/>
        <w:ind w:left="514" w:right="514"/>
        <w:jc w:val="center"/>
      </w:pPr>
      <w:r>
        <w:rPr/>
        <w:t>0.7 ≤ TE/TS ≤ 1.2</w:t>
      </w:r>
    </w:p>
    <w:p>
      <w:pPr>
        <w:pStyle w:val="BodyText"/>
        <w:spacing w:before="9"/>
        <w:rPr>
          <w:b/>
          <w:sz w:val="23"/>
        </w:rPr>
      </w:pPr>
    </w:p>
    <w:p>
      <w:pPr>
        <w:pStyle w:val="BodyText"/>
        <w:ind w:left="1150" w:right="-10"/>
      </w:pPr>
      <w:r>
        <w:rPr/>
        <w:t>Donde:</w:t>
      </w:r>
    </w:p>
    <w:p>
      <w:pPr>
        <w:pStyle w:val="BodyText"/>
        <w:spacing w:line="249" w:lineRule="auto" w:before="10"/>
        <w:ind w:left="1150" w:right="2278"/>
      </w:pPr>
      <w:r>
        <w:rPr/>
        <w:t>TE= Período fundamental de la estructura (edificio) TS= Período dominante del suelo</w:t>
      </w:r>
    </w:p>
    <w:p>
      <w:pPr>
        <w:pStyle w:val="BodyText"/>
        <w:spacing w:before="11"/>
      </w:pPr>
    </w:p>
    <w:p>
      <w:pPr>
        <w:pStyle w:val="BodyText"/>
        <w:spacing w:line="249" w:lineRule="auto"/>
        <w:ind w:left="130" w:right="127" w:firstLine="170"/>
        <w:jc w:val="both"/>
      </w:pPr>
      <w:r>
        <w:rPr/>
        <w:t>El desarrollo de dicha propuesta plantea dividir el período fundamental de las estructuras</w:t>
      </w:r>
      <w:r>
        <w:rPr>
          <w:position w:val="7"/>
          <w:sz w:val="11"/>
        </w:rPr>
        <w:t>19 </w:t>
      </w:r>
      <w:r>
        <w:rPr/>
        <w:t>entre el período dominante  del  suelo</w:t>
      </w:r>
      <w:r>
        <w:rPr>
          <w:position w:val="7"/>
          <w:sz w:val="11"/>
        </w:rPr>
        <w:t>20</w:t>
      </w:r>
      <w:r>
        <w:rPr/>
        <w:t>,  a  partir  de  esto  se  obtienen los valores en el rango de 0.7 a 1.2 segundos; la representación de la distribución espacial</w:t>
      </w:r>
      <w:r>
        <w:rPr>
          <w:spacing w:val="-5"/>
        </w:rPr>
        <w:t> </w:t>
      </w:r>
      <w:r>
        <w:rPr/>
        <w:t>de</w:t>
      </w:r>
      <w:r>
        <w:rPr>
          <w:spacing w:val="-5"/>
        </w:rPr>
        <w:t> </w:t>
      </w:r>
      <w:r>
        <w:rPr/>
        <w:t>los</w:t>
      </w:r>
      <w:r>
        <w:rPr>
          <w:spacing w:val="-5"/>
        </w:rPr>
        <w:t> </w:t>
      </w:r>
      <w:r>
        <w:rPr/>
        <w:t>resultados</w:t>
      </w:r>
      <w:r>
        <w:rPr>
          <w:spacing w:val="-5"/>
        </w:rPr>
        <w:t> </w:t>
      </w:r>
      <w:r>
        <w:rPr/>
        <w:t>permite</w:t>
      </w:r>
      <w:r>
        <w:rPr>
          <w:spacing w:val="-5"/>
        </w:rPr>
        <w:t> </w:t>
      </w:r>
      <w:r>
        <w:rPr/>
        <w:t>tener</w:t>
      </w:r>
      <w:r>
        <w:rPr>
          <w:spacing w:val="-5"/>
        </w:rPr>
        <w:t> </w:t>
      </w:r>
      <w:r>
        <w:rPr/>
        <w:t>una</w:t>
      </w:r>
      <w:r>
        <w:rPr>
          <w:spacing w:val="-5"/>
        </w:rPr>
        <w:t> </w:t>
      </w:r>
      <w:r>
        <w:rPr/>
        <w:t>visión</w:t>
      </w:r>
      <w:r>
        <w:rPr>
          <w:spacing w:val="-5"/>
        </w:rPr>
        <w:t> </w:t>
      </w:r>
      <w:r>
        <w:rPr/>
        <w:t>de</w:t>
      </w:r>
      <w:r>
        <w:rPr>
          <w:spacing w:val="-5"/>
        </w:rPr>
        <w:t> </w:t>
      </w:r>
      <w:r>
        <w:rPr/>
        <w:t>las</w:t>
      </w:r>
      <w:r>
        <w:rPr>
          <w:spacing w:val="-5"/>
        </w:rPr>
        <w:t> </w:t>
      </w:r>
      <w:r>
        <w:rPr/>
        <w:t>condiciones</w:t>
      </w:r>
      <w:r>
        <w:rPr>
          <w:spacing w:val="-5"/>
        </w:rPr>
        <w:t> </w:t>
      </w:r>
      <w:r>
        <w:rPr/>
        <w:t>de</w:t>
      </w:r>
      <w:r>
        <w:rPr>
          <w:spacing w:val="-5"/>
        </w:rPr>
        <w:t> </w:t>
      </w:r>
      <w:r>
        <w:rPr/>
        <w:t>vulnerabilidad estructural.</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after="1"/>
        <w:rPr>
          <w:sz w:val="16"/>
        </w:rPr>
      </w:pPr>
    </w:p>
    <w:p>
      <w:pPr>
        <w:tabs>
          <w:tab w:pos="9569" w:val="left" w:leader="none"/>
        </w:tabs>
        <w:spacing w:line="23" w:lineRule="exact"/>
        <w:ind w:left="120" w:right="0" w:firstLine="0"/>
        <w:rPr>
          <w:sz w:val="2"/>
        </w:rPr>
      </w:pPr>
      <w:r>
        <w:rPr>
          <w:sz w:val="2"/>
        </w:rPr>
        <w:pict>
          <v:group style="width:386.55pt;height:1pt;mso-position-horizontal-relative:char;mso-position-vertical-relative:line" coordorigin="0,0" coordsize="7731,20">
            <v:line style="position:absolute" from="10,10" to="7720,10" stroked="true" strokeweight="1pt" strokecolor="#bcbec0"/>
          </v:group>
        </w:pict>
      </w:r>
      <w:r>
        <w:rPr>
          <w:sz w:val="2"/>
        </w:rPr>
      </w:r>
      <w:r>
        <w:rPr>
          <w:sz w:val="2"/>
        </w:rPr>
        <w:tab/>
      </w:r>
      <w:r>
        <w:rPr>
          <w:sz w:val="2"/>
        </w:rPr>
        <w:pict>
          <v:group style="width:385.55pt;height:1.2pt;mso-position-horizontal-relative:char;mso-position-vertical-relative:line" coordorigin="0,0" coordsize="7711,24">
            <v:rect style="position:absolute;left:0;top:4;width:7710;height:20" filled="true" fillcolor="#bcbec0" stroked="false">
              <v:fill type="solid"/>
            </v:rect>
            <v:rect style="position:absolute;left:0;top:0;width:7710;height:20" filled="true" fillcolor="#bcbec0" stroked="false">
              <v:fill type="solid"/>
            </v:rect>
          </v:group>
        </w:pict>
      </w:r>
      <w:r>
        <w:rPr>
          <w:sz w:val="2"/>
        </w:rPr>
      </w:r>
    </w:p>
    <w:p>
      <w:pPr>
        <w:pStyle w:val="BodyText"/>
        <w:spacing w:before="1"/>
        <w:rPr>
          <w:sz w:val="6"/>
        </w:rPr>
      </w:pPr>
    </w:p>
    <w:p>
      <w:pPr>
        <w:spacing w:after="0"/>
        <w:rPr>
          <w:sz w:val="6"/>
        </w:rPr>
        <w:sectPr>
          <w:type w:val="continuous"/>
          <w:pgSz w:w="18830" w:h="12760" w:orient="landscape"/>
          <w:pgMar w:top="1420" w:bottom="280" w:left="720" w:right="720"/>
        </w:sectPr>
      </w:pPr>
    </w:p>
    <w:p>
      <w:pPr>
        <w:spacing w:line="357" w:lineRule="auto" w:before="19"/>
        <w:ind w:left="187" w:right="0" w:hanging="57"/>
        <w:jc w:val="both"/>
        <w:rPr>
          <w:sz w:val="14"/>
        </w:rPr>
      </w:pPr>
      <w:r>
        <w:rPr>
          <w:color w:val="6D6E71"/>
          <w:position w:val="5"/>
          <w:sz w:val="8"/>
        </w:rPr>
        <w:t>16 </w:t>
      </w:r>
      <w:r>
        <w:rPr>
          <w:color w:val="6D6E71"/>
          <w:sz w:val="14"/>
        </w:rPr>
        <w:t>Representa la base de los estudios de riesgo sísmico, ya que permite conocer cuál es la respuesta que se puede esperar en</w:t>
      </w:r>
      <w:r>
        <w:rPr>
          <w:color w:val="6D6E71"/>
          <w:spacing w:val="-9"/>
          <w:sz w:val="14"/>
        </w:rPr>
        <w:t> </w:t>
      </w:r>
      <w:r>
        <w:rPr>
          <w:color w:val="6D6E71"/>
          <w:sz w:val="14"/>
        </w:rPr>
        <w:t>un</w:t>
      </w:r>
      <w:r>
        <w:rPr>
          <w:color w:val="6D6E71"/>
          <w:spacing w:val="-9"/>
          <w:sz w:val="14"/>
        </w:rPr>
        <w:t> </w:t>
      </w:r>
      <w:r>
        <w:rPr>
          <w:color w:val="6D6E71"/>
          <w:sz w:val="14"/>
        </w:rPr>
        <w:t>emplazamiento</w:t>
      </w:r>
      <w:r>
        <w:rPr>
          <w:color w:val="6D6E71"/>
          <w:spacing w:val="-8"/>
          <w:sz w:val="14"/>
        </w:rPr>
        <w:t> </w:t>
      </w:r>
      <w:r>
        <w:rPr>
          <w:color w:val="6D6E71"/>
          <w:sz w:val="14"/>
        </w:rPr>
        <w:t>determinado</w:t>
      </w:r>
      <w:r>
        <w:rPr>
          <w:color w:val="6D6E71"/>
          <w:spacing w:val="-8"/>
          <w:sz w:val="14"/>
        </w:rPr>
        <w:t> </w:t>
      </w:r>
      <w:r>
        <w:rPr>
          <w:color w:val="6D6E71"/>
          <w:sz w:val="14"/>
        </w:rPr>
        <w:t>al</w:t>
      </w:r>
      <w:r>
        <w:rPr>
          <w:color w:val="6D6E71"/>
          <w:spacing w:val="-9"/>
          <w:sz w:val="14"/>
        </w:rPr>
        <w:t> </w:t>
      </w:r>
      <w:r>
        <w:rPr>
          <w:color w:val="6D6E71"/>
          <w:sz w:val="14"/>
        </w:rPr>
        <w:t>ser</w:t>
      </w:r>
      <w:r>
        <w:rPr>
          <w:color w:val="6D6E71"/>
          <w:spacing w:val="-9"/>
          <w:sz w:val="14"/>
        </w:rPr>
        <w:t> </w:t>
      </w:r>
      <w:r>
        <w:rPr>
          <w:color w:val="6D6E71"/>
          <w:sz w:val="14"/>
        </w:rPr>
        <w:t>sometido</w:t>
      </w:r>
      <w:r>
        <w:rPr>
          <w:color w:val="6D6E71"/>
          <w:spacing w:val="-9"/>
          <w:sz w:val="14"/>
        </w:rPr>
        <w:t> </w:t>
      </w:r>
      <w:r>
        <w:rPr>
          <w:color w:val="6D6E71"/>
          <w:sz w:val="14"/>
        </w:rPr>
        <w:t>a</w:t>
      </w:r>
      <w:r>
        <w:rPr>
          <w:color w:val="6D6E71"/>
          <w:spacing w:val="-9"/>
          <w:sz w:val="14"/>
        </w:rPr>
        <w:t> </w:t>
      </w:r>
      <w:r>
        <w:rPr>
          <w:color w:val="6D6E71"/>
          <w:sz w:val="14"/>
        </w:rPr>
        <w:t>cargas</w:t>
      </w:r>
      <w:r>
        <w:rPr>
          <w:color w:val="6D6E71"/>
          <w:spacing w:val="-9"/>
          <w:sz w:val="14"/>
        </w:rPr>
        <w:t> </w:t>
      </w:r>
      <w:r>
        <w:rPr>
          <w:color w:val="6D6E71"/>
          <w:sz w:val="14"/>
        </w:rPr>
        <w:t>sísmicas.</w:t>
      </w:r>
      <w:r>
        <w:rPr>
          <w:color w:val="6D6E71"/>
          <w:spacing w:val="-9"/>
          <w:sz w:val="14"/>
        </w:rPr>
        <w:t> </w:t>
      </w:r>
      <w:r>
        <w:rPr>
          <w:color w:val="6D6E71"/>
          <w:sz w:val="14"/>
        </w:rPr>
        <w:t>El</w:t>
      </w:r>
      <w:r>
        <w:rPr>
          <w:color w:val="6D6E71"/>
          <w:spacing w:val="-9"/>
          <w:sz w:val="14"/>
        </w:rPr>
        <w:t> </w:t>
      </w:r>
      <w:r>
        <w:rPr>
          <w:color w:val="6D6E71"/>
          <w:sz w:val="14"/>
        </w:rPr>
        <w:t>CENAPRED</w:t>
      </w:r>
      <w:r>
        <w:rPr>
          <w:color w:val="6D6E71"/>
          <w:spacing w:val="-9"/>
          <w:sz w:val="14"/>
        </w:rPr>
        <w:t> </w:t>
      </w:r>
      <w:r>
        <w:rPr>
          <w:color w:val="6D6E71"/>
          <w:sz w:val="14"/>
        </w:rPr>
        <w:t>(2012)</w:t>
      </w:r>
      <w:r>
        <w:rPr>
          <w:color w:val="6D6E71"/>
          <w:spacing w:val="-9"/>
          <w:sz w:val="14"/>
        </w:rPr>
        <w:t> </w:t>
      </w:r>
      <w:r>
        <w:rPr>
          <w:color w:val="6D6E71"/>
          <w:sz w:val="14"/>
        </w:rPr>
        <w:t>plantea</w:t>
      </w:r>
      <w:r>
        <w:rPr>
          <w:color w:val="6D6E71"/>
          <w:spacing w:val="-8"/>
          <w:sz w:val="14"/>
        </w:rPr>
        <w:t> </w:t>
      </w:r>
      <w:r>
        <w:rPr>
          <w:color w:val="6D6E71"/>
          <w:sz w:val="14"/>
        </w:rPr>
        <w:t>que</w:t>
      </w:r>
      <w:r>
        <w:rPr>
          <w:color w:val="6D6E71"/>
          <w:spacing w:val="-9"/>
          <w:sz w:val="14"/>
        </w:rPr>
        <w:t> </w:t>
      </w:r>
      <w:r>
        <w:rPr>
          <w:color w:val="6D6E71"/>
          <w:sz w:val="14"/>
        </w:rPr>
        <w:t>el</w:t>
      </w:r>
      <w:r>
        <w:rPr>
          <w:color w:val="6D6E71"/>
          <w:spacing w:val="-9"/>
          <w:sz w:val="14"/>
        </w:rPr>
        <w:t> </w:t>
      </w:r>
      <w:r>
        <w:rPr>
          <w:color w:val="6D6E71"/>
          <w:sz w:val="14"/>
        </w:rPr>
        <w:t>conocimiento</w:t>
      </w:r>
      <w:r>
        <w:rPr>
          <w:color w:val="6D6E71"/>
          <w:spacing w:val="-9"/>
          <w:sz w:val="14"/>
        </w:rPr>
        <w:t> </w:t>
      </w:r>
      <w:r>
        <w:rPr>
          <w:color w:val="6D6E71"/>
          <w:sz w:val="14"/>
        </w:rPr>
        <w:t>de este parámetro especialmente en terrenos blandos es de suma importancia, ya que es en esos emplazamientos en donde se</w:t>
      </w:r>
      <w:r>
        <w:rPr>
          <w:color w:val="6D6E71"/>
          <w:spacing w:val="-8"/>
          <w:sz w:val="14"/>
        </w:rPr>
        <w:t> </w:t>
      </w:r>
      <w:r>
        <w:rPr>
          <w:color w:val="6D6E71"/>
          <w:sz w:val="14"/>
        </w:rPr>
        <w:t>han</w:t>
      </w:r>
      <w:r>
        <w:rPr>
          <w:color w:val="6D6E71"/>
          <w:spacing w:val="-8"/>
          <w:sz w:val="14"/>
        </w:rPr>
        <w:t> </w:t>
      </w:r>
      <w:r>
        <w:rPr>
          <w:color w:val="6D6E71"/>
          <w:sz w:val="14"/>
        </w:rPr>
        <w:t>desarrollado</w:t>
      </w:r>
      <w:r>
        <w:rPr>
          <w:color w:val="6D6E71"/>
          <w:spacing w:val="-8"/>
          <w:sz w:val="14"/>
        </w:rPr>
        <w:t> </w:t>
      </w:r>
      <w:r>
        <w:rPr>
          <w:color w:val="6D6E71"/>
          <w:sz w:val="14"/>
        </w:rPr>
        <w:t>los</w:t>
      </w:r>
      <w:r>
        <w:rPr>
          <w:color w:val="6D6E71"/>
          <w:spacing w:val="-8"/>
          <w:sz w:val="14"/>
        </w:rPr>
        <w:t> </w:t>
      </w:r>
      <w:r>
        <w:rPr>
          <w:color w:val="6D6E71"/>
          <w:sz w:val="14"/>
        </w:rPr>
        <w:t>principales</w:t>
      </w:r>
      <w:r>
        <w:rPr>
          <w:color w:val="6D6E71"/>
          <w:spacing w:val="-8"/>
          <w:sz w:val="14"/>
        </w:rPr>
        <w:t> </w:t>
      </w:r>
      <w:r>
        <w:rPr>
          <w:color w:val="6D6E71"/>
          <w:sz w:val="14"/>
        </w:rPr>
        <w:t>asentamientos</w:t>
      </w:r>
      <w:r>
        <w:rPr>
          <w:color w:val="6D6E71"/>
          <w:spacing w:val="-8"/>
          <w:sz w:val="14"/>
        </w:rPr>
        <w:t> </w:t>
      </w:r>
      <w:r>
        <w:rPr>
          <w:color w:val="6D6E71"/>
          <w:sz w:val="14"/>
        </w:rPr>
        <w:t>humanos.</w:t>
      </w:r>
    </w:p>
    <w:p>
      <w:pPr>
        <w:spacing w:before="19"/>
        <w:ind w:left="130" w:right="0" w:firstLine="0"/>
        <w:jc w:val="both"/>
        <w:rPr>
          <w:sz w:val="14"/>
        </w:rPr>
      </w:pPr>
      <w:r>
        <w:rPr/>
        <w:br w:type="column"/>
      </w:r>
      <w:r>
        <w:rPr>
          <w:color w:val="6D6E71"/>
          <w:position w:val="5"/>
          <w:sz w:val="8"/>
        </w:rPr>
        <w:t>17</w:t>
      </w:r>
      <w:r>
        <w:rPr>
          <w:color w:val="6D6E71"/>
          <w:sz w:val="14"/>
        </w:rPr>
        <w:t>Instituto Nacional de Geografía y Estadística</w:t>
      </w:r>
    </w:p>
    <w:p>
      <w:pPr>
        <w:spacing w:line="357" w:lineRule="auto" w:before="79"/>
        <w:ind w:left="187" w:right="128" w:hanging="57"/>
        <w:jc w:val="both"/>
        <w:rPr>
          <w:sz w:val="14"/>
        </w:rPr>
      </w:pPr>
      <w:r>
        <w:rPr>
          <w:color w:val="6D6E71"/>
          <w:position w:val="5"/>
          <w:sz w:val="8"/>
        </w:rPr>
        <w:t>18</w:t>
      </w:r>
      <w:r>
        <w:rPr>
          <w:color w:val="6D6E71"/>
          <w:sz w:val="14"/>
        </w:rPr>
        <w:t>Según</w:t>
      </w:r>
      <w:r>
        <w:rPr>
          <w:color w:val="6D6E71"/>
          <w:spacing w:val="-4"/>
          <w:sz w:val="14"/>
        </w:rPr>
        <w:t> </w:t>
      </w:r>
      <w:r>
        <w:rPr>
          <w:color w:val="6D6E71"/>
          <w:sz w:val="14"/>
        </w:rPr>
        <w:t>Day</w:t>
      </w:r>
      <w:r>
        <w:rPr>
          <w:color w:val="6D6E71"/>
          <w:spacing w:val="-4"/>
          <w:sz w:val="14"/>
        </w:rPr>
        <w:t> </w:t>
      </w:r>
      <w:r>
        <w:rPr>
          <w:color w:val="6D6E71"/>
          <w:sz w:val="14"/>
        </w:rPr>
        <w:t>(2002)</w:t>
      </w:r>
      <w:r>
        <w:rPr>
          <w:color w:val="6D6E71"/>
          <w:spacing w:val="-4"/>
          <w:sz w:val="14"/>
        </w:rPr>
        <w:t> </w:t>
      </w:r>
      <w:r>
        <w:rPr>
          <w:color w:val="6D6E71"/>
          <w:sz w:val="14"/>
        </w:rPr>
        <w:t>la</w:t>
      </w:r>
      <w:r>
        <w:rPr>
          <w:color w:val="6D6E71"/>
          <w:spacing w:val="-4"/>
          <w:sz w:val="14"/>
        </w:rPr>
        <w:t> </w:t>
      </w:r>
      <w:r>
        <w:rPr>
          <w:color w:val="6D6E71"/>
          <w:sz w:val="14"/>
        </w:rPr>
        <w:t>resonancia</w:t>
      </w:r>
      <w:r>
        <w:rPr>
          <w:color w:val="6D6E71"/>
          <w:spacing w:val="-3"/>
          <w:sz w:val="14"/>
        </w:rPr>
        <w:t> </w:t>
      </w:r>
      <w:r>
        <w:rPr>
          <w:color w:val="6D6E71"/>
          <w:sz w:val="14"/>
        </w:rPr>
        <w:t>es</w:t>
      </w:r>
      <w:r>
        <w:rPr>
          <w:color w:val="6D6E71"/>
          <w:spacing w:val="-4"/>
          <w:sz w:val="14"/>
        </w:rPr>
        <w:t> </w:t>
      </w:r>
      <w:r>
        <w:rPr>
          <w:color w:val="6D6E71"/>
          <w:sz w:val="14"/>
        </w:rPr>
        <w:t>definida</w:t>
      </w:r>
      <w:r>
        <w:rPr>
          <w:color w:val="6D6E71"/>
          <w:spacing w:val="-3"/>
          <w:sz w:val="14"/>
        </w:rPr>
        <w:t> </w:t>
      </w:r>
      <w:r>
        <w:rPr>
          <w:color w:val="6D6E71"/>
          <w:sz w:val="14"/>
        </w:rPr>
        <w:t>como</w:t>
      </w:r>
      <w:r>
        <w:rPr>
          <w:color w:val="6D6E71"/>
          <w:spacing w:val="-4"/>
          <w:sz w:val="14"/>
        </w:rPr>
        <w:t> </w:t>
      </w:r>
      <w:r>
        <w:rPr>
          <w:color w:val="6D6E71"/>
          <w:sz w:val="14"/>
        </w:rPr>
        <w:t>una</w:t>
      </w:r>
      <w:r>
        <w:rPr>
          <w:color w:val="6D6E71"/>
          <w:spacing w:val="-4"/>
          <w:sz w:val="14"/>
        </w:rPr>
        <w:t> </w:t>
      </w:r>
      <w:r>
        <w:rPr>
          <w:color w:val="6D6E71"/>
          <w:sz w:val="14"/>
        </w:rPr>
        <w:t>condición</w:t>
      </w:r>
      <w:r>
        <w:rPr>
          <w:color w:val="6D6E71"/>
          <w:spacing w:val="-3"/>
          <w:sz w:val="14"/>
        </w:rPr>
        <w:t> </w:t>
      </w:r>
      <w:r>
        <w:rPr>
          <w:color w:val="6D6E71"/>
          <w:sz w:val="14"/>
        </w:rPr>
        <w:t>en</w:t>
      </w:r>
      <w:r>
        <w:rPr>
          <w:color w:val="6D6E71"/>
          <w:spacing w:val="-4"/>
          <w:sz w:val="14"/>
        </w:rPr>
        <w:t> </w:t>
      </w:r>
      <w:r>
        <w:rPr>
          <w:color w:val="6D6E71"/>
          <w:sz w:val="14"/>
        </w:rPr>
        <w:t>la</w:t>
      </w:r>
      <w:r>
        <w:rPr>
          <w:color w:val="6D6E71"/>
          <w:spacing w:val="-4"/>
          <w:sz w:val="14"/>
        </w:rPr>
        <w:t> </w:t>
      </w:r>
      <w:r>
        <w:rPr>
          <w:color w:val="6D6E71"/>
          <w:sz w:val="14"/>
        </w:rPr>
        <w:t>cual</w:t>
      </w:r>
      <w:r>
        <w:rPr>
          <w:color w:val="6D6E71"/>
          <w:spacing w:val="-4"/>
          <w:sz w:val="14"/>
        </w:rPr>
        <w:t> </w:t>
      </w:r>
      <w:r>
        <w:rPr>
          <w:color w:val="6D6E71"/>
          <w:sz w:val="14"/>
        </w:rPr>
        <w:t>el</w:t>
      </w:r>
      <w:r>
        <w:rPr>
          <w:color w:val="6D6E71"/>
          <w:spacing w:val="-4"/>
          <w:sz w:val="14"/>
        </w:rPr>
        <w:t> </w:t>
      </w:r>
      <w:r>
        <w:rPr>
          <w:color w:val="6D6E71"/>
          <w:sz w:val="14"/>
        </w:rPr>
        <w:t>período</w:t>
      </w:r>
      <w:r>
        <w:rPr>
          <w:color w:val="6D6E71"/>
          <w:spacing w:val="-4"/>
          <w:sz w:val="14"/>
        </w:rPr>
        <w:t> </w:t>
      </w:r>
      <w:r>
        <w:rPr>
          <w:color w:val="6D6E71"/>
          <w:sz w:val="14"/>
        </w:rPr>
        <w:t>de</w:t>
      </w:r>
      <w:r>
        <w:rPr>
          <w:color w:val="6D6E71"/>
          <w:spacing w:val="-4"/>
          <w:sz w:val="14"/>
        </w:rPr>
        <w:t> </w:t>
      </w:r>
      <w:r>
        <w:rPr>
          <w:color w:val="6D6E71"/>
          <w:sz w:val="14"/>
        </w:rPr>
        <w:t>vibración</w:t>
      </w:r>
      <w:r>
        <w:rPr>
          <w:color w:val="6D6E71"/>
          <w:spacing w:val="-3"/>
          <w:sz w:val="14"/>
        </w:rPr>
        <w:t> </w:t>
      </w:r>
      <w:r>
        <w:rPr>
          <w:color w:val="6D6E71"/>
          <w:sz w:val="14"/>
        </w:rPr>
        <w:t>del</w:t>
      </w:r>
      <w:r>
        <w:rPr>
          <w:color w:val="6D6E71"/>
          <w:spacing w:val="-4"/>
          <w:sz w:val="14"/>
        </w:rPr>
        <w:t> </w:t>
      </w:r>
      <w:r>
        <w:rPr>
          <w:color w:val="6D6E71"/>
          <w:sz w:val="14"/>
        </w:rPr>
        <w:t>movimiento</w:t>
      </w:r>
      <w:r>
        <w:rPr>
          <w:color w:val="6D6E71"/>
          <w:spacing w:val="-3"/>
          <w:sz w:val="14"/>
        </w:rPr>
        <w:t> </w:t>
      </w:r>
      <w:r>
        <w:rPr>
          <w:color w:val="6D6E71"/>
          <w:sz w:val="14"/>
        </w:rPr>
        <w:t>del</w:t>
      </w:r>
      <w:r>
        <w:rPr>
          <w:color w:val="6D6E71"/>
          <w:spacing w:val="-4"/>
          <w:sz w:val="14"/>
        </w:rPr>
        <w:t> </w:t>
      </w:r>
      <w:r>
        <w:rPr>
          <w:color w:val="6D6E71"/>
          <w:sz w:val="14"/>
        </w:rPr>
        <w:t>suelo inducido por el terremoto, es igual al período natural de vibración de la construcción. cuando esta ocurre, la respuesta de movimiento</w:t>
      </w:r>
      <w:r>
        <w:rPr>
          <w:color w:val="6D6E71"/>
          <w:spacing w:val="-4"/>
          <w:sz w:val="14"/>
        </w:rPr>
        <w:t> </w:t>
      </w:r>
      <w:r>
        <w:rPr>
          <w:color w:val="6D6E71"/>
          <w:sz w:val="14"/>
        </w:rPr>
        <w:t>de</w:t>
      </w:r>
      <w:r>
        <w:rPr>
          <w:color w:val="6D6E71"/>
          <w:spacing w:val="-3"/>
          <w:sz w:val="14"/>
        </w:rPr>
        <w:t> </w:t>
      </w:r>
      <w:r>
        <w:rPr>
          <w:color w:val="6D6E71"/>
          <w:sz w:val="14"/>
        </w:rPr>
        <w:t>la</w:t>
      </w:r>
      <w:r>
        <w:rPr>
          <w:color w:val="6D6E71"/>
          <w:spacing w:val="-3"/>
          <w:sz w:val="14"/>
        </w:rPr>
        <w:t> </w:t>
      </w:r>
      <w:r>
        <w:rPr>
          <w:color w:val="6D6E71"/>
          <w:sz w:val="14"/>
        </w:rPr>
        <w:t>estructura</w:t>
      </w:r>
      <w:r>
        <w:rPr>
          <w:color w:val="6D6E71"/>
          <w:spacing w:val="-3"/>
          <w:sz w:val="14"/>
        </w:rPr>
        <w:t> </w:t>
      </w:r>
      <w:r>
        <w:rPr>
          <w:color w:val="6D6E71"/>
          <w:sz w:val="14"/>
        </w:rPr>
        <w:t>es</w:t>
      </w:r>
      <w:r>
        <w:rPr>
          <w:color w:val="6D6E71"/>
          <w:spacing w:val="-3"/>
          <w:sz w:val="14"/>
        </w:rPr>
        <w:t> </w:t>
      </w:r>
      <w:r>
        <w:rPr>
          <w:color w:val="6D6E71"/>
          <w:sz w:val="14"/>
        </w:rPr>
        <w:t>mayor,</w:t>
      </w:r>
      <w:r>
        <w:rPr>
          <w:color w:val="6D6E71"/>
          <w:spacing w:val="-3"/>
          <w:sz w:val="14"/>
        </w:rPr>
        <w:t> </w:t>
      </w:r>
      <w:r>
        <w:rPr>
          <w:color w:val="6D6E71"/>
          <w:sz w:val="14"/>
        </w:rPr>
        <w:t>por</w:t>
      </w:r>
      <w:r>
        <w:rPr>
          <w:color w:val="6D6E71"/>
          <w:spacing w:val="-3"/>
          <w:sz w:val="14"/>
        </w:rPr>
        <w:t> </w:t>
      </w:r>
      <w:r>
        <w:rPr>
          <w:color w:val="6D6E71"/>
          <w:sz w:val="14"/>
        </w:rPr>
        <w:t>lo</w:t>
      </w:r>
      <w:r>
        <w:rPr>
          <w:color w:val="6D6E71"/>
          <w:spacing w:val="-3"/>
          <w:sz w:val="14"/>
        </w:rPr>
        <w:t> </w:t>
      </w:r>
      <w:r>
        <w:rPr>
          <w:color w:val="6D6E71"/>
          <w:sz w:val="14"/>
        </w:rPr>
        <w:t>cual</w:t>
      </w:r>
      <w:r>
        <w:rPr>
          <w:color w:val="6D6E71"/>
          <w:spacing w:val="-4"/>
          <w:sz w:val="14"/>
        </w:rPr>
        <w:t> </w:t>
      </w:r>
      <w:r>
        <w:rPr>
          <w:color w:val="6D6E71"/>
          <w:sz w:val="14"/>
        </w:rPr>
        <w:t>la</w:t>
      </w:r>
      <w:r>
        <w:rPr>
          <w:color w:val="6D6E71"/>
          <w:spacing w:val="-3"/>
          <w:sz w:val="14"/>
        </w:rPr>
        <w:t> </w:t>
      </w:r>
      <w:r>
        <w:rPr>
          <w:color w:val="6D6E71"/>
          <w:sz w:val="14"/>
        </w:rPr>
        <w:t>amplitud</w:t>
      </w:r>
      <w:r>
        <w:rPr>
          <w:color w:val="6D6E71"/>
          <w:spacing w:val="-3"/>
          <w:sz w:val="14"/>
        </w:rPr>
        <w:t> </w:t>
      </w:r>
      <w:r>
        <w:rPr>
          <w:color w:val="6D6E71"/>
          <w:sz w:val="14"/>
        </w:rPr>
        <w:t>de</w:t>
      </w:r>
      <w:r>
        <w:rPr>
          <w:color w:val="6D6E71"/>
          <w:spacing w:val="-3"/>
          <w:sz w:val="14"/>
        </w:rPr>
        <w:t> </w:t>
      </w:r>
      <w:r>
        <w:rPr>
          <w:color w:val="6D6E71"/>
          <w:sz w:val="14"/>
        </w:rPr>
        <w:t>la</w:t>
      </w:r>
      <w:r>
        <w:rPr>
          <w:color w:val="6D6E71"/>
          <w:spacing w:val="-3"/>
          <w:sz w:val="14"/>
        </w:rPr>
        <w:t> </w:t>
      </w:r>
      <w:r>
        <w:rPr>
          <w:color w:val="6D6E71"/>
          <w:sz w:val="14"/>
        </w:rPr>
        <w:t>vibración</w:t>
      </w:r>
      <w:r>
        <w:rPr>
          <w:color w:val="6D6E71"/>
          <w:spacing w:val="-4"/>
          <w:sz w:val="14"/>
        </w:rPr>
        <w:t> </w:t>
      </w:r>
      <w:r>
        <w:rPr>
          <w:color w:val="6D6E71"/>
          <w:sz w:val="14"/>
        </w:rPr>
        <w:t>de</w:t>
      </w:r>
      <w:r>
        <w:rPr>
          <w:color w:val="6D6E71"/>
          <w:spacing w:val="-3"/>
          <w:sz w:val="14"/>
        </w:rPr>
        <w:t> </w:t>
      </w:r>
      <w:r>
        <w:rPr>
          <w:color w:val="6D6E71"/>
          <w:sz w:val="14"/>
        </w:rPr>
        <w:t>la</w:t>
      </w:r>
      <w:r>
        <w:rPr>
          <w:color w:val="6D6E71"/>
          <w:spacing w:val="-3"/>
          <w:sz w:val="14"/>
        </w:rPr>
        <w:t> </w:t>
      </w:r>
      <w:r>
        <w:rPr>
          <w:color w:val="6D6E71"/>
          <w:sz w:val="14"/>
        </w:rPr>
        <w:t>estructura</w:t>
      </w:r>
      <w:r>
        <w:rPr>
          <w:color w:val="6D6E71"/>
          <w:spacing w:val="-3"/>
          <w:sz w:val="14"/>
        </w:rPr>
        <w:t> </w:t>
      </w:r>
      <w:r>
        <w:rPr>
          <w:color w:val="6D6E71"/>
          <w:sz w:val="14"/>
        </w:rPr>
        <w:t>aumenta</w:t>
      </w:r>
      <w:r>
        <w:rPr>
          <w:color w:val="6D6E71"/>
          <w:spacing w:val="-3"/>
          <w:sz w:val="14"/>
        </w:rPr>
        <w:t> </w:t>
      </w:r>
      <w:r>
        <w:rPr>
          <w:color w:val="6D6E71"/>
          <w:sz w:val="14"/>
        </w:rPr>
        <w:t>rápidamente.</w:t>
      </w:r>
    </w:p>
    <w:p>
      <w:pPr>
        <w:spacing w:after="0" w:line="357" w:lineRule="auto"/>
        <w:jc w:val="both"/>
        <w:rPr>
          <w:sz w:val="14"/>
        </w:rPr>
        <w:sectPr>
          <w:type w:val="continuous"/>
          <w:pgSz w:w="18830" w:h="12760" w:orient="landscape"/>
          <w:pgMar w:top="1420" w:bottom="280" w:left="720" w:right="720"/>
          <w:cols w:num="2" w:equalWidth="0">
            <w:col w:w="7841" w:space="1570"/>
            <w:col w:w="7979"/>
          </w:cols>
        </w:sectPr>
      </w:pPr>
    </w:p>
    <w:p>
      <w:pPr>
        <w:pStyle w:val="BodyText"/>
        <w:spacing w:before="6"/>
        <w:rPr>
          <w:sz w:val="23"/>
        </w:rPr>
      </w:pPr>
    </w:p>
    <w:p>
      <w:pPr>
        <w:spacing w:after="0"/>
        <w:rPr>
          <w:sz w:val="23"/>
        </w:rPr>
        <w:sectPr>
          <w:footerReference w:type="default" r:id="rId119"/>
          <w:pgSz w:w="18830" w:h="12760" w:orient="landscape"/>
          <w:pgMar w:footer="1036" w:header="522" w:top="820" w:bottom="1220" w:left="720" w:right="720"/>
        </w:sectPr>
      </w:pPr>
    </w:p>
    <w:p>
      <w:pPr>
        <w:pStyle w:val="BodyText"/>
        <w:spacing w:line="249" w:lineRule="auto" w:before="76"/>
        <w:ind w:left="138" w:firstLine="170"/>
        <w:jc w:val="both"/>
      </w:pPr>
      <w:r>
        <w:rPr/>
        <w:t>Para el cálculo de los períodos de vibración del suelo se consideraron dos insumos: por una parte la Microzonación Sísmica de Tijuana (Gobierno del Estado de Baja California, 2009), documento que presenta sitios de medición con períodos que</w:t>
      </w:r>
      <w:r>
        <w:rPr>
          <w:spacing w:val="-7"/>
        </w:rPr>
        <w:t> </w:t>
      </w:r>
      <w:r>
        <w:rPr/>
        <w:t>oscilan en el rango de 0.5 a 3 segundos. Por otro lado, se analizaron estudios geotécnicos realizados por el Instituto Tecnológico de Tijuana en 2002, los cuales permitieron conocer</w:t>
      </w:r>
      <w:r>
        <w:rPr>
          <w:spacing w:val="33"/>
        </w:rPr>
        <w:t> </w:t>
      </w:r>
      <w:r>
        <w:rPr/>
        <w:t>el</w:t>
      </w:r>
      <w:r>
        <w:rPr>
          <w:spacing w:val="33"/>
        </w:rPr>
        <w:t> </w:t>
      </w:r>
      <w:r>
        <w:rPr/>
        <w:t>tipo</w:t>
      </w:r>
      <w:r>
        <w:rPr>
          <w:spacing w:val="33"/>
        </w:rPr>
        <w:t> </w:t>
      </w:r>
      <w:r>
        <w:rPr/>
        <w:t>de</w:t>
      </w:r>
      <w:r>
        <w:rPr>
          <w:spacing w:val="33"/>
        </w:rPr>
        <w:t> </w:t>
      </w:r>
      <w:r>
        <w:rPr/>
        <w:t>materiales</w:t>
      </w:r>
      <w:r>
        <w:rPr>
          <w:spacing w:val="33"/>
        </w:rPr>
        <w:t> </w:t>
      </w:r>
      <w:r>
        <w:rPr/>
        <w:t>que</w:t>
      </w:r>
      <w:r>
        <w:rPr>
          <w:spacing w:val="33"/>
        </w:rPr>
        <w:t> </w:t>
      </w:r>
      <w:r>
        <w:rPr/>
        <w:t>prevalecen</w:t>
      </w:r>
      <w:r>
        <w:rPr>
          <w:spacing w:val="33"/>
        </w:rPr>
        <w:t> </w:t>
      </w:r>
      <w:r>
        <w:rPr/>
        <w:t>en</w:t>
      </w:r>
      <w:r>
        <w:rPr>
          <w:spacing w:val="33"/>
        </w:rPr>
        <w:t> </w:t>
      </w:r>
      <w:r>
        <w:rPr/>
        <w:t>el</w:t>
      </w:r>
      <w:r>
        <w:rPr>
          <w:spacing w:val="33"/>
        </w:rPr>
        <w:t> </w:t>
      </w:r>
      <w:r>
        <w:rPr/>
        <w:t>subsuelo</w:t>
      </w:r>
      <w:r>
        <w:rPr>
          <w:spacing w:val="33"/>
        </w:rPr>
        <w:t> </w:t>
      </w:r>
      <w:r>
        <w:rPr/>
        <w:t>del</w:t>
      </w:r>
      <w:r>
        <w:rPr>
          <w:spacing w:val="33"/>
        </w:rPr>
        <w:t> </w:t>
      </w:r>
      <w:r>
        <w:rPr/>
        <w:t>área</w:t>
      </w:r>
      <w:r>
        <w:rPr>
          <w:spacing w:val="33"/>
        </w:rPr>
        <w:t> </w:t>
      </w:r>
      <w:r>
        <w:rPr/>
        <w:t>de</w:t>
      </w:r>
      <w:r>
        <w:rPr>
          <w:spacing w:val="33"/>
        </w:rPr>
        <w:t> </w:t>
      </w:r>
      <w:r>
        <w:rPr/>
        <w:t>estudio</w:t>
      </w:r>
      <w:r>
        <w:rPr>
          <w:spacing w:val="33"/>
        </w:rPr>
        <w:t> </w:t>
      </w:r>
      <w:r>
        <w:rPr/>
        <w:t>y algunas propiedades físicas de los</w:t>
      </w:r>
      <w:r>
        <w:rPr>
          <w:spacing w:val="31"/>
        </w:rPr>
        <w:t> </w:t>
      </w:r>
      <w:r>
        <w:rPr/>
        <w:t>mismos.</w:t>
      </w:r>
    </w:p>
    <w:p>
      <w:pPr>
        <w:pStyle w:val="BodyText"/>
        <w:spacing w:before="11"/>
      </w:pPr>
    </w:p>
    <w:p>
      <w:pPr>
        <w:pStyle w:val="BodyText"/>
        <w:spacing w:line="249" w:lineRule="auto"/>
        <w:ind w:left="138" w:firstLine="170"/>
        <w:jc w:val="both"/>
      </w:pPr>
      <w:r>
        <w:rPr/>
        <w:t>A partir del análisis de las características geotécnicas, se aplicaron funciones de transferencia</w:t>
      </w:r>
      <w:r>
        <w:rPr>
          <w:position w:val="7"/>
          <w:sz w:val="11"/>
        </w:rPr>
        <w:t>21 </w:t>
      </w:r>
      <w:r>
        <w:rPr/>
        <w:t>para cada variedad de materiales encontrados; con esto se obtuvieron los períodos de vibración, cuyos valores oscilan en el rango de  0.1 a 0.7 segundos.   A la postre se realizó una interpolación para la obtención de un mapa de isoperiodos </w:t>
      </w:r>
      <w:r>
        <w:rPr>
          <w:w w:val="95"/>
        </w:rPr>
        <w:t>(Figura</w:t>
      </w:r>
      <w:r>
        <w:rPr>
          <w:spacing w:val="8"/>
          <w:w w:val="95"/>
        </w:rPr>
        <w:t> </w:t>
      </w:r>
      <w:r>
        <w:rPr>
          <w:w w:val="95"/>
        </w:rPr>
        <w:t>3).</w:t>
      </w:r>
    </w:p>
    <w:p>
      <w:pPr>
        <w:pStyle w:val="BodyText"/>
        <w:spacing w:before="11"/>
      </w:pPr>
    </w:p>
    <w:p>
      <w:pPr>
        <w:pStyle w:val="BodyText"/>
        <w:ind w:left="1032" w:right="895"/>
        <w:jc w:val="center"/>
      </w:pPr>
      <w:r>
        <w:rPr>
          <w:color w:val="6D6E71"/>
        </w:rPr>
        <w:t>Figura 3. Mapa de isoperiodos del terreno en la Ciudad de Tijuana</w:t>
      </w:r>
    </w:p>
    <w:p>
      <w:pPr>
        <w:pStyle w:val="BodyText"/>
        <w:spacing w:before="5"/>
        <w:rPr>
          <w:sz w:val="9"/>
        </w:rPr>
      </w:pPr>
    </w:p>
    <w:p>
      <w:pPr>
        <w:pStyle w:val="BodyText"/>
        <w:ind w:left="804"/>
      </w:pPr>
      <w:r>
        <w:rPr/>
        <w:drawing>
          <wp:inline distT="0" distB="0" distL="0" distR="0">
            <wp:extent cx="4039658" cy="2125122"/>
            <wp:effectExtent l="0" t="0" r="0" b="0"/>
            <wp:docPr id="23" name="image30.jpeg" descr=""/>
            <wp:cNvGraphicFramePr>
              <a:graphicFrameLocks noChangeAspect="1"/>
            </wp:cNvGraphicFramePr>
            <a:graphic>
              <a:graphicData uri="http://schemas.openxmlformats.org/drawingml/2006/picture">
                <pic:pic>
                  <pic:nvPicPr>
                    <pic:cNvPr id="24" name="image30.jpeg"/>
                    <pic:cNvPicPr/>
                  </pic:nvPicPr>
                  <pic:blipFill>
                    <a:blip r:embed="rId120" cstate="print"/>
                    <a:stretch>
                      <a:fillRect/>
                    </a:stretch>
                  </pic:blipFill>
                  <pic:spPr>
                    <a:xfrm>
                      <a:off x="0" y="0"/>
                      <a:ext cx="4039658" cy="2125122"/>
                    </a:xfrm>
                    <a:prstGeom prst="rect">
                      <a:avLst/>
                    </a:prstGeom>
                  </pic:spPr>
                </pic:pic>
              </a:graphicData>
            </a:graphic>
          </wp:inline>
        </w:drawing>
      </w:r>
      <w:r>
        <w:rPr/>
      </w:r>
    </w:p>
    <w:p>
      <w:pPr>
        <w:pStyle w:val="BodyText"/>
        <w:spacing w:line="249" w:lineRule="auto" w:before="154"/>
        <w:ind w:left="1487" w:hanging="1293"/>
      </w:pPr>
      <w:r>
        <w:rPr>
          <w:color w:val="6D6E71"/>
        </w:rPr>
        <w:t>Fuente: Elaboración propia con base en la aplicación de funciones de transferencia a sitios de medición de Microzonación Sísmica de Tijuana</w:t>
      </w:r>
    </w:p>
    <w:p>
      <w:pPr>
        <w:pStyle w:val="BodyText"/>
        <w:spacing w:before="9"/>
        <w:rPr>
          <w:sz w:val="25"/>
        </w:rPr>
      </w:pPr>
    </w:p>
    <w:p>
      <w:pPr>
        <w:spacing w:before="1"/>
        <w:ind w:left="130" w:right="0" w:firstLine="0"/>
        <w:jc w:val="both"/>
        <w:rPr>
          <w:sz w:val="14"/>
        </w:rPr>
      </w:pPr>
      <w:r>
        <w:rPr/>
        <w:pict>
          <v:line style="position:absolute;mso-position-horizontal-relative:page;mso-position-vertical-relative:paragraph;z-index:3112" from="42.519699pt,-5.38328pt" to="428.031699pt,-5.38328pt" stroked="true" strokeweight="1pt" strokecolor="#bcbec0">
            <w10:wrap type="none"/>
          </v:line>
        </w:pict>
      </w:r>
      <w:r>
        <w:rPr>
          <w:color w:val="6D6E71"/>
          <w:position w:val="5"/>
          <w:sz w:val="8"/>
        </w:rPr>
        <w:t>19</w:t>
      </w:r>
      <w:r>
        <w:rPr>
          <w:color w:val="6D6E71"/>
          <w:sz w:val="14"/>
        </w:rPr>
        <w:t>.Es el tiempo medido en segundos que tarda una estructura o edificio en hacer una oscilación competa al estar sometida</w:t>
      </w:r>
    </w:p>
    <w:p>
      <w:pPr>
        <w:spacing w:before="79"/>
        <w:ind w:left="187" w:right="0" w:firstLine="0"/>
        <w:jc w:val="both"/>
        <w:rPr>
          <w:sz w:val="14"/>
        </w:rPr>
      </w:pPr>
      <w:r>
        <w:rPr>
          <w:color w:val="6D6E71"/>
          <w:sz w:val="14"/>
        </w:rPr>
        <w:t>por cargas sísmicas.</w:t>
      </w:r>
    </w:p>
    <w:p>
      <w:pPr>
        <w:pStyle w:val="BodyText"/>
        <w:rPr>
          <w:sz w:val="14"/>
        </w:rPr>
      </w:pPr>
    </w:p>
    <w:p>
      <w:pPr>
        <w:pStyle w:val="BodyText"/>
        <w:spacing w:before="8"/>
        <w:rPr>
          <w:sz w:val="13"/>
        </w:rPr>
      </w:pPr>
    </w:p>
    <w:p>
      <w:pPr>
        <w:spacing w:before="0"/>
        <w:ind w:left="130" w:right="0" w:firstLine="0"/>
        <w:jc w:val="both"/>
        <w:rPr>
          <w:sz w:val="14"/>
        </w:rPr>
      </w:pPr>
      <w:r>
        <w:rPr>
          <w:color w:val="6D6E71"/>
          <w:position w:val="5"/>
          <w:sz w:val="8"/>
        </w:rPr>
        <w:t>20</w:t>
      </w:r>
      <w:r>
        <w:rPr>
          <w:color w:val="6D6E71"/>
          <w:sz w:val="14"/>
        </w:rPr>
        <w:t>. Es el período medido en segundos de la máxima amplitud del movimiento del suelo</w:t>
      </w:r>
    </w:p>
    <w:p>
      <w:pPr>
        <w:pStyle w:val="BodyText"/>
        <w:rPr>
          <w:sz w:val="14"/>
        </w:rPr>
      </w:pPr>
    </w:p>
    <w:p>
      <w:pPr>
        <w:pStyle w:val="BodyText"/>
        <w:spacing w:before="8"/>
        <w:rPr>
          <w:sz w:val="13"/>
        </w:rPr>
      </w:pPr>
    </w:p>
    <w:p>
      <w:pPr>
        <w:spacing w:line="357" w:lineRule="auto" w:before="0"/>
        <w:ind w:left="187" w:right="6" w:hanging="57"/>
        <w:jc w:val="both"/>
        <w:rPr>
          <w:sz w:val="14"/>
        </w:rPr>
      </w:pPr>
      <w:r>
        <w:rPr>
          <w:color w:val="6D6E71"/>
          <w:position w:val="5"/>
          <w:sz w:val="8"/>
        </w:rPr>
        <w:t>21</w:t>
      </w:r>
      <w:r>
        <w:rPr>
          <w:color w:val="6D6E71"/>
          <w:sz w:val="14"/>
        </w:rPr>
        <w:t>.Las funciones de transferencia se utilizan para determinar las características de las capas del suelo a partir del registro de espectral de microtemblores. Según</w:t>
      </w:r>
      <w:r>
        <w:rPr>
          <w:color w:val="6D6E71"/>
          <w:spacing w:val="-28"/>
          <w:sz w:val="14"/>
        </w:rPr>
        <w:t> </w:t>
      </w:r>
      <w:r>
        <w:rPr>
          <w:color w:val="6D6E71"/>
          <w:sz w:val="14"/>
        </w:rPr>
        <w:t>Alfaro et al (1999) “el método más fiable para determinar la función de transferencia de un</w:t>
      </w:r>
      <w:r>
        <w:rPr>
          <w:color w:val="6D6E71"/>
          <w:spacing w:val="-4"/>
          <w:sz w:val="14"/>
        </w:rPr>
        <w:t> </w:t>
      </w:r>
      <w:r>
        <w:rPr>
          <w:color w:val="6D6E71"/>
          <w:sz w:val="14"/>
        </w:rPr>
        <w:t>sistema,</w:t>
      </w:r>
      <w:r>
        <w:rPr>
          <w:color w:val="6D6E71"/>
          <w:spacing w:val="-4"/>
          <w:sz w:val="14"/>
        </w:rPr>
        <w:t> </w:t>
      </w:r>
      <w:r>
        <w:rPr>
          <w:color w:val="6D6E71"/>
          <w:sz w:val="14"/>
        </w:rPr>
        <w:t>en</w:t>
      </w:r>
      <w:r>
        <w:rPr>
          <w:color w:val="6D6E71"/>
          <w:spacing w:val="-4"/>
          <w:sz w:val="14"/>
        </w:rPr>
        <w:t> </w:t>
      </w:r>
      <w:r>
        <w:rPr>
          <w:color w:val="6D6E71"/>
          <w:sz w:val="14"/>
        </w:rPr>
        <w:t>este</w:t>
      </w:r>
      <w:r>
        <w:rPr>
          <w:color w:val="6D6E71"/>
          <w:spacing w:val="-4"/>
          <w:sz w:val="14"/>
        </w:rPr>
        <w:t> </w:t>
      </w:r>
      <w:r>
        <w:rPr>
          <w:color w:val="6D6E71"/>
          <w:sz w:val="14"/>
        </w:rPr>
        <w:t>caso</w:t>
      </w:r>
      <w:r>
        <w:rPr>
          <w:color w:val="6D6E71"/>
          <w:spacing w:val="-4"/>
          <w:sz w:val="14"/>
        </w:rPr>
        <w:t> </w:t>
      </w:r>
      <w:r>
        <w:rPr>
          <w:color w:val="6D6E71"/>
          <w:sz w:val="14"/>
        </w:rPr>
        <w:t>el</w:t>
      </w:r>
      <w:r>
        <w:rPr>
          <w:color w:val="6D6E71"/>
          <w:spacing w:val="-4"/>
          <w:sz w:val="14"/>
        </w:rPr>
        <w:t> </w:t>
      </w:r>
      <w:r>
        <w:rPr>
          <w:color w:val="6D6E71"/>
          <w:sz w:val="14"/>
        </w:rPr>
        <w:t>suelo,</w:t>
      </w:r>
      <w:r>
        <w:rPr>
          <w:color w:val="6D6E71"/>
          <w:spacing w:val="-4"/>
          <w:sz w:val="14"/>
        </w:rPr>
        <w:t> </w:t>
      </w:r>
      <w:r>
        <w:rPr>
          <w:color w:val="6D6E71"/>
          <w:sz w:val="14"/>
        </w:rPr>
        <w:t>es</w:t>
      </w:r>
      <w:r>
        <w:rPr>
          <w:color w:val="6D6E71"/>
          <w:spacing w:val="-4"/>
          <w:sz w:val="14"/>
        </w:rPr>
        <w:t> </w:t>
      </w:r>
      <w:r>
        <w:rPr>
          <w:color w:val="6D6E71"/>
          <w:sz w:val="14"/>
        </w:rPr>
        <w:t>realizar</w:t>
      </w:r>
      <w:r>
        <w:rPr>
          <w:color w:val="6D6E71"/>
          <w:spacing w:val="-4"/>
          <w:sz w:val="14"/>
        </w:rPr>
        <w:t> </w:t>
      </w:r>
      <w:r>
        <w:rPr>
          <w:color w:val="6D6E71"/>
          <w:sz w:val="14"/>
        </w:rPr>
        <w:t>la</w:t>
      </w:r>
      <w:r>
        <w:rPr>
          <w:color w:val="6D6E71"/>
          <w:spacing w:val="-4"/>
          <w:sz w:val="14"/>
        </w:rPr>
        <w:t> </w:t>
      </w:r>
      <w:r>
        <w:rPr>
          <w:color w:val="6D6E71"/>
          <w:sz w:val="14"/>
        </w:rPr>
        <w:t>relación</w:t>
      </w:r>
      <w:r>
        <w:rPr>
          <w:color w:val="6D6E71"/>
          <w:spacing w:val="-4"/>
          <w:sz w:val="14"/>
        </w:rPr>
        <w:t> </w:t>
      </w:r>
      <w:r>
        <w:rPr>
          <w:color w:val="6D6E71"/>
          <w:sz w:val="14"/>
        </w:rPr>
        <w:t>espectral</w:t>
      </w:r>
      <w:r>
        <w:rPr>
          <w:color w:val="6D6E71"/>
          <w:spacing w:val="-4"/>
          <w:sz w:val="14"/>
        </w:rPr>
        <w:t> </w:t>
      </w:r>
      <w:r>
        <w:rPr>
          <w:color w:val="6D6E71"/>
          <w:sz w:val="14"/>
        </w:rPr>
        <w:t>entre</w:t>
      </w:r>
      <w:r>
        <w:rPr>
          <w:color w:val="6D6E71"/>
          <w:spacing w:val="-4"/>
          <w:sz w:val="14"/>
        </w:rPr>
        <w:t> </w:t>
      </w:r>
      <w:r>
        <w:rPr>
          <w:color w:val="6D6E71"/>
          <w:sz w:val="14"/>
        </w:rPr>
        <w:t>un</w:t>
      </w:r>
      <w:r>
        <w:rPr>
          <w:color w:val="6D6E71"/>
          <w:spacing w:val="-4"/>
          <w:sz w:val="14"/>
        </w:rPr>
        <w:t> </w:t>
      </w:r>
      <w:r>
        <w:rPr>
          <w:color w:val="6D6E71"/>
          <w:sz w:val="14"/>
        </w:rPr>
        <w:t>registro</w:t>
      </w:r>
      <w:r>
        <w:rPr>
          <w:color w:val="6D6E71"/>
          <w:spacing w:val="-4"/>
          <w:sz w:val="14"/>
        </w:rPr>
        <w:t> </w:t>
      </w:r>
      <w:r>
        <w:rPr>
          <w:color w:val="6D6E71"/>
          <w:sz w:val="14"/>
        </w:rPr>
        <w:t>de</w:t>
      </w:r>
      <w:r>
        <w:rPr>
          <w:color w:val="6D6E71"/>
          <w:spacing w:val="-4"/>
          <w:sz w:val="14"/>
        </w:rPr>
        <w:t> </w:t>
      </w:r>
      <w:r>
        <w:rPr>
          <w:color w:val="6D6E71"/>
          <w:sz w:val="14"/>
        </w:rPr>
        <w:t>entrada</w:t>
      </w:r>
      <w:r>
        <w:rPr>
          <w:color w:val="6D6E71"/>
          <w:spacing w:val="-4"/>
          <w:sz w:val="14"/>
        </w:rPr>
        <w:t> </w:t>
      </w:r>
      <w:r>
        <w:rPr>
          <w:color w:val="6D6E71"/>
          <w:sz w:val="14"/>
        </w:rPr>
        <w:t>y</w:t>
      </w:r>
      <w:r>
        <w:rPr>
          <w:color w:val="6D6E71"/>
          <w:spacing w:val="-4"/>
          <w:sz w:val="14"/>
        </w:rPr>
        <w:t> </w:t>
      </w:r>
      <w:r>
        <w:rPr>
          <w:color w:val="6D6E71"/>
          <w:sz w:val="14"/>
        </w:rPr>
        <w:t>el</w:t>
      </w:r>
      <w:r>
        <w:rPr>
          <w:color w:val="6D6E71"/>
          <w:spacing w:val="-4"/>
          <w:sz w:val="14"/>
        </w:rPr>
        <w:t> </w:t>
      </w:r>
      <w:r>
        <w:rPr>
          <w:color w:val="6D6E71"/>
          <w:sz w:val="14"/>
        </w:rPr>
        <w:t>de</w:t>
      </w:r>
      <w:r>
        <w:rPr>
          <w:color w:val="6D6E71"/>
          <w:spacing w:val="-4"/>
          <w:sz w:val="14"/>
        </w:rPr>
        <w:t> </w:t>
      </w:r>
      <w:r>
        <w:rPr>
          <w:color w:val="6D6E71"/>
          <w:sz w:val="14"/>
        </w:rPr>
        <w:t>salida,</w:t>
      </w:r>
      <w:r>
        <w:rPr>
          <w:color w:val="6D6E71"/>
          <w:spacing w:val="-4"/>
          <w:sz w:val="14"/>
        </w:rPr>
        <w:t> </w:t>
      </w:r>
      <w:r>
        <w:rPr>
          <w:color w:val="6D6E71"/>
          <w:sz w:val="14"/>
        </w:rPr>
        <w:t>que</w:t>
      </w:r>
      <w:r>
        <w:rPr>
          <w:color w:val="6D6E71"/>
          <w:spacing w:val="-4"/>
          <w:sz w:val="14"/>
        </w:rPr>
        <w:t> </w:t>
      </w:r>
      <w:r>
        <w:rPr>
          <w:color w:val="6D6E71"/>
          <w:sz w:val="14"/>
        </w:rPr>
        <w:t>en</w:t>
      </w:r>
      <w:r>
        <w:rPr>
          <w:color w:val="6D6E71"/>
          <w:spacing w:val="-4"/>
          <w:sz w:val="14"/>
        </w:rPr>
        <w:t> </w:t>
      </w:r>
      <w:r>
        <w:rPr>
          <w:color w:val="6D6E71"/>
          <w:sz w:val="14"/>
        </w:rPr>
        <w:t>el</w:t>
      </w:r>
      <w:r>
        <w:rPr>
          <w:color w:val="6D6E71"/>
          <w:spacing w:val="-4"/>
          <w:sz w:val="14"/>
        </w:rPr>
        <w:t> </w:t>
      </w:r>
      <w:r>
        <w:rPr>
          <w:color w:val="6D6E71"/>
          <w:sz w:val="14"/>
        </w:rPr>
        <w:t>caso específico de capas de suelo se traduce en los registros tomados en el basamento rocoso y en la</w:t>
      </w:r>
      <w:r>
        <w:rPr>
          <w:color w:val="6D6E71"/>
          <w:spacing w:val="-1"/>
          <w:sz w:val="14"/>
        </w:rPr>
        <w:t> </w:t>
      </w:r>
      <w:r>
        <w:rPr>
          <w:color w:val="6D6E71"/>
          <w:sz w:val="14"/>
        </w:rPr>
        <w:t>superficie”.</w:t>
      </w:r>
    </w:p>
    <w:p>
      <w:pPr>
        <w:pStyle w:val="BodyText"/>
        <w:spacing w:line="249" w:lineRule="auto" w:before="76"/>
        <w:ind w:left="130" w:right="127" w:firstLine="170"/>
        <w:jc w:val="both"/>
      </w:pPr>
      <w:r>
        <w:rPr/>
        <w:br w:type="column"/>
      </w:r>
      <w:r>
        <w:rPr/>
        <w:t>Respecto del período fundamental de una estructura, según Day (2002), este parámetro se puede obtener aplicando una regla general que dicta que, “el período de vibración es igual a 0.1 veces el número de niveles de un edificio aproximadamente,</w:t>
      </w:r>
      <w:r>
        <w:rPr>
          <w:spacing w:val="-34"/>
        </w:rPr>
        <w:t> </w:t>
      </w:r>
      <w:r>
        <w:rPr/>
        <w:t>es así que, de manera general, un edificio de 10 niveles debería tener un período natural de vibración de alrededor de un </w:t>
      </w:r>
      <w:r>
        <w:rPr>
          <w:spacing w:val="5"/>
        </w:rPr>
        <w:t> </w:t>
      </w:r>
      <w:r>
        <w:rPr/>
        <w:t>segundo”.</w:t>
      </w:r>
    </w:p>
    <w:p>
      <w:pPr>
        <w:pStyle w:val="BodyText"/>
        <w:spacing w:before="11"/>
      </w:pPr>
    </w:p>
    <w:p>
      <w:pPr>
        <w:pStyle w:val="BodyText"/>
        <w:spacing w:line="249" w:lineRule="auto"/>
        <w:ind w:left="130" w:right="127" w:firstLine="170"/>
        <w:jc w:val="both"/>
      </w:pPr>
      <w:r>
        <w:rPr/>
        <w:t>Mediante el uso de la aplicación </w:t>
      </w:r>
      <w:r>
        <w:rPr>
          <w:i/>
        </w:rPr>
        <w:t>Google Earth</w:t>
      </w:r>
      <w:r>
        <w:rPr/>
        <w:t>, se realizó una inspección a “vista     de calle” sobre las principales estructuras del área de estudio. Se hizo énfasis en la “Zona Río”, donde se identificaron 135 estructuras de 2 hasta 30 niveles, obteniendo así períodos que oscilan entre 0.2 y 3 segundos. El resto de la ciudad se cubrió con información proporcionada el Sistema de Información Geográfica y Estadística de la Frontera Norte (SIGEF, 2000), en el se cual ubican de manera puntual 547 estructuras de hasta 9</w:t>
      </w:r>
      <w:r>
        <w:rPr>
          <w:spacing w:val="-5"/>
        </w:rPr>
        <w:t> </w:t>
      </w:r>
      <w:r>
        <w:rPr/>
        <w:t>niveles.</w:t>
      </w:r>
    </w:p>
    <w:p>
      <w:pPr>
        <w:pStyle w:val="BodyText"/>
        <w:spacing w:before="11"/>
      </w:pPr>
    </w:p>
    <w:p>
      <w:pPr>
        <w:pStyle w:val="BodyText"/>
        <w:spacing w:line="249" w:lineRule="auto"/>
        <w:ind w:left="130" w:right="127" w:firstLine="170"/>
        <w:jc w:val="both"/>
      </w:pPr>
      <w:r>
        <w:rPr/>
        <w:t>Se identificó la región de respuesta máxima de acuerdo con el planteamiento de Bazán y Meli (2002) mediante una “calculadora de rasters” en ambiente de Sistemas de Información Geográfica. A partir de esto se obtuvo la distribución espacial la vulnerabilidad estructural en el área de estudio.</w:t>
      </w:r>
    </w:p>
    <w:p>
      <w:pPr>
        <w:pStyle w:val="BodyText"/>
        <w:spacing w:before="9"/>
        <w:rPr>
          <w:sz w:val="18"/>
        </w:rPr>
      </w:pPr>
    </w:p>
    <w:p>
      <w:pPr>
        <w:spacing w:before="1"/>
        <w:ind w:left="697" w:right="-10" w:firstLine="0"/>
        <w:jc w:val="left"/>
        <w:rPr>
          <w:i/>
          <w:sz w:val="20"/>
        </w:rPr>
      </w:pPr>
      <w:r>
        <w:rPr>
          <w:i/>
          <w:sz w:val="20"/>
        </w:rPr>
        <w:t>Vulnerabilidad socieoconómica</w:t>
      </w:r>
    </w:p>
    <w:p>
      <w:pPr>
        <w:pStyle w:val="BodyText"/>
        <w:spacing w:before="9"/>
        <w:rPr>
          <w:i/>
          <w:sz w:val="23"/>
        </w:rPr>
      </w:pPr>
    </w:p>
    <w:p>
      <w:pPr>
        <w:pStyle w:val="BodyText"/>
        <w:spacing w:line="249" w:lineRule="auto"/>
        <w:ind w:left="130" w:right="127" w:firstLine="170"/>
        <w:jc w:val="right"/>
      </w:pPr>
      <w:r>
        <w:rPr/>
        <w:t>La vulnerabilidad socioeconómica, se define como como una serie</w:t>
      </w:r>
      <w:r>
        <w:rPr>
          <w:spacing w:val="38"/>
        </w:rPr>
        <w:t> </w:t>
      </w:r>
      <w:r>
        <w:rPr/>
        <w:t>de</w:t>
      </w:r>
      <w:r>
        <w:rPr>
          <w:spacing w:val="4"/>
        </w:rPr>
        <w:t> </w:t>
      </w:r>
      <w:r>
        <w:rPr/>
        <w:t>factores</w:t>
      </w:r>
      <w:r>
        <w:rPr>
          <w:w w:val="102"/>
        </w:rPr>
        <w:t> </w:t>
      </w:r>
      <w:r>
        <w:rPr/>
        <w:t>económicos,</w:t>
      </w:r>
      <w:r>
        <w:rPr>
          <w:spacing w:val="17"/>
        </w:rPr>
        <w:t> </w:t>
      </w:r>
      <w:r>
        <w:rPr/>
        <w:t>sociales</w:t>
      </w:r>
      <w:r>
        <w:rPr>
          <w:spacing w:val="17"/>
        </w:rPr>
        <w:t> </w:t>
      </w:r>
      <w:r>
        <w:rPr/>
        <w:t>y</w:t>
      </w:r>
      <w:r>
        <w:rPr>
          <w:spacing w:val="17"/>
        </w:rPr>
        <w:t> </w:t>
      </w:r>
      <w:r>
        <w:rPr/>
        <w:t>culturales</w:t>
      </w:r>
      <w:r>
        <w:rPr>
          <w:spacing w:val="17"/>
        </w:rPr>
        <w:t> </w:t>
      </w:r>
      <w:r>
        <w:rPr/>
        <w:t>que</w:t>
      </w:r>
      <w:r>
        <w:rPr>
          <w:spacing w:val="17"/>
        </w:rPr>
        <w:t> </w:t>
      </w:r>
      <w:r>
        <w:rPr/>
        <w:t>determinan</w:t>
      </w:r>
      <w:r>
        <w:rPr>
          <w:spacing w:val="17"/>
        </w:rPr>
        <w:t> </w:t>
      </w:r>
      <w:r>
        <w:rPr/>
        <w:t>el</w:t>
      </w:r>
      <w:r>
        <w:rPr>
          <w:spacing w:val="17"/>
        </w:rPr>
        <w:t> </w:t>
      </w:r>
      <w:r>
        <w:rPr/>
        <w:t>grado</w:t>
      </w:r>
      <w:r>
        <w:rPr>
          <w:spacing w:val="17"/>
        </w:rPr>
        <w:t> </w:t>
      </w:r>
      <w:r>
        <w:rPr/>
        <w:t>en</w:t>
      </w:r>
      <w:r>
        <w:rPr>
          <w:spacing w:val="17"/>
        </w:rPr>
        <w:t> </w:t>
      </w:r>
      <w:r>
        <w:rPr/>
        <w:t>el</w:t>
      </w:r>
      <w:r>
        <w:rPr>
          <w:spacing w:val="17"/>
        </w:rPr>
        <w:t> </w:t>
      </w:r>
      <w:r>
        <w:rPr/>
        <w:t>que</w:t>
      </w:r>
      <w:r>
        <w:rPr>
          <w:spacing w:val="17"/>
        </w:rPr>
        <w:t> </w:t>
      </w:r>
      <w:r>
        <w:rPr/>
        <w:t>un</w:t>
      </w:r>
      <w:r>
        <w:rPr>
          <w:spacing w:val="17"/>
        </w:rPr>
        <w:t> </w:t>
      </w:r>
      <w:r>
        <w:rPr/>
        <w:t>grupo</w:t>
      </w:r>
      <w:r>
        <w:rPr>
          <w:spacing w:val="17"/>
        </w:rPr>
        <w:t> </w:t>
      </w:r>
      <w:r>
        <w:rPr/>
        <w:t>social</w:t>
      </w:r>
      <w:r>
        <w:rPr>
          <w:w w:val="101"/>
        </w:rPr>
        <w:t> </w:t>
      </w:r>
      <w:r>
        <w:rPr/>
        <w:t>está</w:t>
      </w:r>
      <w:r>
        <w:rPr>
          <w:spacing w:val="28"/>
        </w:rPr>
        <w:t> </w:t>
      </w:r>
      <w:r>
        <w:rPr/>
        <w:t>capacitado</w:t>
      </w:r>
      <w:r>
        <w:rPr>
          <w:spacing w:val="28"/>
        </w:rPr>
        <w:t> </w:t>
      </w:r>
      <w:r>
        <w:rPr/>
        <w:t>para</w:t>
      </w:r>
      <w:r>
        <w:rPr>
          <w:spacing w:val="28"/>
        </w:rPr>
        <w:t> </w:t>
      </w:r>
      <w:r>
        <w:rPr/>
        <w:t>la</w:t>
      </w:r>
      <w:r>
        <w:rPr>
          <w:spacing w:val="28"/>
        </w:rPr>
        <w:t> </w:t>
      </w:r>
      <w:r>
        <w:rPr/>
        <w:t>atención</w:t>
      </w:r>
      <w:r>
        <w:rPr>
          <w:spacing w:val="28"/>
        </w:rPr>
        <w:t> </w:t>
      </w:r>
      <w:r>
        <w:rPr/>
        <w:t>de</w:t>
      </w:r>
      <w:r>
        <w:rPr>
          <w:spacing w:val="28"/>
        </w:rPr>
        <w:t> </w:t>
      </w:r>
      <w:r>
        <w:rPr/>
        <w:t>la</w:t>
      </w:r>
      <w:r>
        <w:rPr>
          <w:spacing w:val="28"/>
        </w:rPr>
        <w:t> </w:t>
      </w:r>
      <w:r>
        <w:rPr/>
        <w:t>emergencia,</w:t>
      </w:r>
      <w:r>
        <w:rPr>
          <w:spacing w:val="28"/>
        </w:rPr>
        <w:t> </w:t>
      </w:r>
      <w:r>
        <w:rPr/>
        <w:t>su</w:t>
      </w:r>
      <w:r>
        <w:rPr>
          <w:spacing w:val="28"/>
        </w:rPr>
        <w:t> </w:t>
      </w:r>
      <w:r>
        <w:rPr/>
        <w:t>rehabilitación</w:t>
      </w:r>
      <w:r>
        <w:rPr>
          <w:spacing w:val="28"/>
        </w:rPr>
        <w:t> </w:t>
      </w:r>
      <w:r>
        <w:rPr/>
        <w:t>y</w:t>
      </w:r>
      <w:r>
        <w:rPr>
          <w:spacing w:val="28"/>
        </w:rPr>
        <w:t> </w:t>
      </w:r>
      <w:r>
        <w:rPr/>
        <w:t>recuperación</w:t>
      </w:r>
      <w:r>
        <w:rPr>
          <w:w w:val="101"/>
        </w:rPr>
        <w:t> </w:t>
      </w:r>
      <w:r>
        <w:rPr/>
        <w:t>frente</w:t>
      </w:r>
      <w:r>
        <w:rPr>
          <w:spacing w:val="25"/>
        </w:rPr>
        <w:t> </w:t>
      </w:r>
      <w:r>
        <w:rPr/>
        <w:t>a</w:t>
      </w:r>
      <w:r>
        <w:rPr>
          <w:spacing w:val="25"/>
        </w:rPr>
        <w:t> </w:t>
      </w:r>
      <w:r>
        <w:rPr/>
        <w:t>un</w:t>
      </w:r>
      <w:r>
        <w:rPr>
          <w:spacing w:val="25"/>
        </w:rPr>
        <w:t> </w:t>
      </w:r>
      <w:r>
        <w:rPr/>
        <w:t>desastre</w:t>
      </w:r>
      <w:r>
        <w:rPr>
          <w:spacing w:val="25"/>
        </w:rPr>
        <w:t> </w:t>
      </w:r>
      <w:r>
        <w:rPr/>
        <w:t>(CENAPRED,</w:t>
      </w:r>
      <w:r>
        <w:rPr>
          <w:spacing w:val="25"/>
        </w:rPr>
        <w:t> </w:t>
      </w:r>
      <w:r>
        <w:rPr/>
        <w:t>2006).</w:t>
      </w:r>
      <w:r>
        <w:rPr>
          <w:spacing w:val="25"/>
        </w:rPr>
        <w:t> </w:t>
      </w:r>
      <w:r>
        <w:rPr/>
        <w:t>Un</w:t>
      </w:r>
      <w:r>
        <w:rPr>
          <w:spacing w:val="25"/>
        </w:rPr>
        <w:t> </w:t>
      </w:r>
      <w:r>
        <w:rPr/>
        <w:t>análisis</w:t>
      </w:r>
      <w:r>
        <w:rPr>
          <w:spacing w:val="25"/>
        </w:rPr>
        <w:t> </w:t>
      </w:r>
      <w:r>
        <w:rPr/>
        <w:t>diferente</w:t>
      </w:r>
      <w:r>
        <w:rPr>
          <w:spacing w:val="25"/>
        </w:rPr>
        <w:t> </w:t>
      </w:r>
      <w:r>
        <w:rPr/>
        <w:t>sobre</w:t>
      </w:r>
      <w:r>
        <w:rPr>
          <w:spacing w:val="25"/>
        </w:rPr>
        <w:t> </w:t>
      </w:r>
      <w:r>
        <w:rPr/>
        <w:t>este</w:t>
      </w:r>
      <w:r>
        <w:rPr>
          <w:spacing w:val="25"/>
        </w:rPr>
        <w:t> </w:t>
      </w:r>
      <w:r>
        <w:rPr/>
        <w:t>concepto</w:t>
      </w:r>
      <w:r>
        <w:rPr>
          <w:w w:val="104"/>
        </w:rPr>
        <w:t> </w:t>
      </w:r>
      <w:r>
        <w:rPr/>
        <w:t>es</w:t>
      </w:r>
      <w:r>
        <w:rPr>
          <w:spacing w:val="28"/>
        </w:rPr>
        <w:t> </w:t>
      </w:r>
      <w:r>
        <w:rPr/>
        <w:t>el</w:t>
      </w:r>
      <w:r>
        <w:rPr>
          <w:spacing w:val="28"/>
        </w:rPr>
        <w:t> </w:t>
      </w:r>
      <w:r>
        <w:rPr/>
        <w:t>que</w:t>
      </w:r>
      <w:r>
        <w:rPr>
          <w:spacing w:val="28"/>
        </w:rPr>
        <w:t> </w:t>
      </w:r>
      <w:r>
        <w:rPr/>
        <w:t>realiza</w:t>
      </w:r>
      <w:r>
        <w:rPr>
          <w:spacing w:val="28"/>
        </w:rPr>
        <w:t> </w:t>
      </w:r>
      <w:r>
        <w:rPr/>
        <w:t>la</w:t>
      </w:r>
      <w:r>
        <w:rPr>
          <w:spacing w:val="28"/>
        </w:rPr>
        <w:t> </w:t>
      </w:r>
      <w:r>
        <w:rPr/>
        <w:t>Comisión</w:t>
      </w:r>
      <w:r>
        <w:rPr>
          <w:spacing w:val="28"/>
        </w:rPr>
        <w:t> </w:t>
      </w:r>
      <w:r>
        <w:rPr/>
        <w:t>Económica</w:t>
      </w:r>
      <w:r>
        <w:rPr>
          <w:spacing w:val="28"/>
        </w:rPr>
        <w:t> </w:t>
      </w:r>
      <w:r>
        <w:rPr/>
        <w:t>Para</w:t>
      </w:r>
      <w:r>
        <w:rPr>
          <w:spacing w:val="28"/>
        </w:rPr>
        <w:t> </w:t>
      </w:r>
      <w:r>
        <w:rPr/>
        <w:t>América</w:t>
      </w:r>
      <w:r>
        <w:rPr>
          <w:spacing w:val="28"/>
        </w:rPr>
        <w:t> </w:t>
      </w:r>
      <w:r>
        <w:rPr/>
        <w:t>Latina</w:t>
      </w:r>
      <w:r>
        <w:rPr>
          <w:spacing w:val="28"/>
        </w:rPr>
        <w:t> </w:t>
      </w:r>
      <w:r>
        <w:rPr/>
        <w:t>y</w:t>
      </w:r>
      <w:r>
        <w:rPr>
          <w:spacing w:val="28"/>
        </w:rPr>
        <w:t> </w:t>
      </w:r>
      <w:r>
        <w:rPr/>
        <w:t>El</w:t>
      </w:r>
      <w:r>
        <w:rPr>
          <w:spacing w:val="28"/>
        </w:rPr>
        <w:t> </w:t>
      </w:r>
      <w:r>
        <w:rPr/>
        <w:t>Caribe</w:t>
      </w:r>
      <w:r>
        <w:rPr>
          <w:spacing w:val="28"/>
        </w:rPr>
        <w:t> </w:t>
      </w:r>
      <w:r>
        <w:rPr/>
        <w:t>(CEPAL,</w:t>
      </w:r>
      <w:r>
        <w:rPr>
          <w:w w:val="95"/>
        </w:rPr>
        <w:t> </w:t>
      </w:r>
      <w:r>
        <w:rPr/>
        <w:t>2001), quienes señalan que esta tiene dos componentes explicativos. Por </w:t>
      </w:r>
      <w:r>
        <w:rPr>
          <w:spacing w:val="27"/>
        </w:rPr>
        <w:t> </w:t>
      </w:r>
      <w:r>
        <w:rPr/>
        <w:t>una</w:t>
      </w:r>
      <w:r>
        <w:rPr>
          <w:spacing w:val="19"/>
        </w:rPr>
        <w:t> </w:t>
      </w:r>
      <w:r>
        <w:rPr/>
        <w:t>parte,</w:t>
      </w:r>
      <w:r>
        <w:rPr>
          <w:w w:val="101"/>
        </w:rPr>
        <w:t> </w:t>
      </w:r>
      <w:r>
        <w:rPr/>
        <w:t>la inseguridad e indefensión que experimentan las comunidades, familias</w:t>
      </w:r>
      <w:r>
        <w:rPr>
          <w:spacing w:val="36"/>
        </w:rPr>
        <w:t> </w:t>
      </w:r>
      <w:r>
        <w:rPr/>
        <w:t>e</w:t>
      </w:r>
      <w:r>
        <w:rPr>
          <w:spacing w:val="10"/>
        </w:rPr>
        <w:t> </w:t>
      </w:r>
      <w:r>
        <w:rPr/>
        <w:t>individuos</w:t>
      </w:r>
      <w:r>
        <w:rPr>
          <w:w w:val="102"/>
        </w:rPr>
        <w:t> </w:t>
      </w:r>
      <w:r>
        <w:rPr/>
        <w:t>en</w:t>
      </w:r>
      <w:r>
        <w:rPr>
          <w:spacing w:val="44"/>
        </w:rPr>
        <w:t> </w:t>
      </w:r>
      <w:r>
        <w:rPr/>
        <w:t>sus</w:t>
      </w:r>
      <w:r>
        <w:rPr>
          <w:spacing w:val="44"/>
        </w:rPr>
        <w:t> </w:t>
      </w:r>
      <w:r>
        <w:rPr/>
        <w:t>condiciones</w:t>
      </w:r>
      <w:r>
        <w:rPr>
          <w:spacing w:val="44"/>
        </w:rPr>
        <w:t> </w:t>
      </w:r>
      <w:r>
        <w:rPr/>
        <w:t>de</w:t>
      </w:r>
      <w:r>
        <w:rPr>
          <w:spacing w:val="44"/>
        </w:rPr>
        <w:t> </w:t>
      </w:r>
      <w:r>
        <w:rPr/>
        <w:t>vida</w:t>
      </w:r>
      <w:r>
        <w:rPr>
          <w:spacing w:val="44"/>
        </w:rPr>
        <w:t> </w:t>
      </w:r>
      <w:r>
        <w:rPr/>
        <w:t>a</w:t>
      </w:r>
      <w:r>
        <w:rPr>
          <w:spacing w:val="44"/>
        </w:rPr>
        <w:t> </w:t>
      </w:r>
      <w:r>
        <w:rPr/>
        <w:t>consecuencia</w:t>
      </w:r>
      <w:r>
        <w:rPr>
          <w:spacing w:val="44"/>
        </w:rPr>
        <w:t> </w:t>
      </w:r>
      <w:r>
        <w:rPr/>
        <w:t>del</w:t>
      </w:r>
      <w:r>
        <w:rPr>
          <w:spacing w:val="44"/>
        </w:rPr>
        <w:t> </w:t>
      </w:r>
      <w:r>
        <w:rPr/>
        <w:t>impacto</w:t>
      </w:r>
      <w:r>
        <w:rPr>
          <w:spacing w:val="44"/>
        </w:rPr>
        <w:t> </w:t>
      </w:r>
      <w:r>
        <w:rPr/>
        <w:t>por</w:t>
      </w:r>
      <w:r>
        <w:rPr>
          <w:spacing w:val="44"/>
        </w:rPr>
        <w:t> </w:t>
      </w:r>
      <w:r>
        <w:rPr/>
        <w:t>algún</w:t>
      </w:r>
      <w:r>
        <w:rPr>
          <w:spacing w:val="44"/>
        </w:rPr>
        <w:t> </w:t>
      </w:r>
      <w:r>
        <w:rPr/>
        <w:t>tipo</w:t>
      </w:r>
      <w:r>
        <w:rPr>
          <w:spacing w:val="44"/>
        </w:rPr>
        <w:t> </w:t>
      </w:r>
      <w:r>
        <w:rPr/>
        <w:t>de</w:t>
      </w:r>
      <w:r>
        <w:rPr>
          <w:spacing w:val="44"/>
        </w:rPr>
        <w:t> </w:t>
      </w:r>
      <w:r>
        <w:rPr/>
        <w:t>evento</w:t>
      </w:r>
      <w:r>
        <w:rPr>
          <w:w w:val="100"/>
        </w:rPr>
        <w:t> </w:t>
      </w:r>
      <w:r>
        <w:rPr/>
        <w:t>económico-social de carácter traumático. Mientras que por otra, se define</w:t>
      </w:r>
      <w:r>
        <w:rPr>
          <w:spacing w:val="5"/>
        </w:rPr>
        <w:t> </w:t>
      </w:r>
      <w:r>
        <w:rPr/>
        <w:t>a</w:t>
      </w:r>
      <w:r>
        <w:rPr>
          <w:spacing w:val="17"/>
        </w:rPr>
        <w:t> </w:t>
      </w:r>
      <w:r>
        <w:rPr/>
        <w:t>la</w:t>
      </w:r>
      <w:r>
        <w:rPr>
          <w:w w:val="97"/>
        </w:rPr>
        <w:t> </w:t>
      </w:r>
      <w:r>
        <w:rPr/>
        <w:t>vulnerabilidad social como el diseño de estrategias que realiza la población</w:t>
      </w:r>
      <w:r>
        <w:rPr>
          <w:spacing w:val="17"/>
        </w:rPr>
        <w:t> </w:t>
      </w:r>
      <w:r>
        <w:rPr/>
        <w:t>para</w:t>
      </w:r>
      <w:r>
        <w:rPr>
          <w:spacing w:val="1"/>
        </w:rPr>
        <w:t> </w:t>
      </w:r>
      <w:r>
        <w:rPr/>
        <w:t>hacer</w:t>
      </w:r>
      <w:r>
        <w:rPr>
          <w:w w:val="99"/>
        </w:rPr>
        <w:t> </w:t>
      </w:r>
      <w:r>
        <w:rPr/>
        <w:t>frente</w:t>
      </w:r>
      <w:r>
        <w:rPr>
          <w:spacing w:val="-4"/>
        </w:rPr>
        <w:t> </w:t>
      </w:r>
      <w:r>
        <w:rPr/>
        <w:t>a</w:t>
      </w:r>
      <w:r>
        <w:rPr>
          <w:spacing w:val="-4"/>
        </w:rPr>
        <w:t> </w:t>
      </w:r>
      <w:r>
        <w:rPr/>
        <w:t>los</w:t>
      </w:r>
      <w:r>
        <w:rPr>
          <w:spacing w:val="-4"/>
        </w:rPr>
        <w:t> </w:t>
      </w:r>
      <w:r>
        <w:rPr/>
        <w:t>riesgos</w:t>
      </w:r>
      <w:r>
        <w:rPr>
          <w:spacing w:val="-4"/>
        </w:rPr>
        <w:t> </w:t>
      </w:r>
      <w:r>
        <w:rPr/>
        <w:t>que</w:t>
      </w:r>
      <w:r>
        <w:rPr>
          <w:spacing w:val="-4"/>
        </w:rPr>
        <w:t> </w:t>
      </w:r>
      <w:r>
        <w:rPr/>
        <w:t>se</w:t>
      </w:r>
      <w:r>
        <w:rPr>
          <w:spacing w:val="-4"/>
        </w:rPr>
        <w:t> </w:t>
      </w:r>
      <w:r>
        <w:rPr/>
        <w:t>pueden</w:t>
      </w:r>
      <w:r>
        <w:rPr>
          <w:spacing w:val="-4"/>
        </w:rPr>
        <w:t> </w:t>
      </w:r>
      <w:r>
        <w:rPr/>
        <w:t>presentar</w:t>
      </w:r>
      <w:r>
        <w:rPr>
          <w:spacing w:val="-4"/>
        </w:rPr>
        <w:t> </w:t>
      </w:r>
      <w:r>
        <w:rPr/>
        <w:t>tanto</w:t>
      </w:r>
      <w:r>
        <w:rPr>
          <w:spacing w:val="-4"/>
        </w:rPr>
        <w:t> </w:t>
      </w:r>
      <w:r>
        <w:rPr/>
        <w:t>en</w:t>
      </w:r>
      <w:r>
        <w:rPr>
          <w:spacing w:val="-4"/>
        </w:rPr>
        <w:t> </w:t>
      </w:r>
      <w:r>
        <w:rPr/>
        <w:t>la</w:t>
      </w:r>
      <w:r>
        <w:rPr>
          <w:spacing w:val="-4"/>
        </w:rPr>
        <w:t> </w:t>
      </w:r>
      <w:r>
        <w:rPr/>
        <w:t>comunidad</w:t>
      </w:r>
      <w:r>
        <w:rPr>
          <w:spacing w:val="-4"/>
        </w:rPr>
        <w:t> </w:t>
      </w:r>
      <w:r>
        <w:rPr/>
        <w:t>con</w:t>
      </w:r>
      <w:r>
        <w:rPr>
          <w:spacing w:val="-4"/>
        </w:rPr>
        <w:t> </w:t>
      </w:r>
      <w:r>
        <w:rPr/>
        <w:t>a</w:t>
      </w:r>
      <w:r>
        <w:rPr>
          <w:spacing w:val="-4"/>
        </w:rPr>
        <w:t> </w:t>
      </w:r>
      <w:r>
        <w:rPr/>
        <w:t>nivel</w:t>
      </w:r>
      <w:r>
        <w:rPr>
          <w:spacing w:val="-4"/>
        </w:rPr>
        <w:t> </w:t>
      </w:r>
      <w:r>
        <w:rPr/>
        <w:t>familiar.</w:t>
      </w:r>
    </w:p>
    <w:p>
      <w:pPr>
        <w:pStyle w:val="BodyText"/>
        <w:spacing w:before="11"/>
      </w:pPr>
    </w:p>
    <w:p>
      <w:pPr>
        <w:pStyle w:val="BodyText"/>
        <w:spacing w:line="249" w:lineRule="auto"/>
        <w:ind w:left="130" w:right="127" w:firstLine="170"/>
        <w:jc w:val="both"/>
      </w:pPr>
      <w:r>
        <w:rPr/>
        <w:t>Esta etapa se desarrolló a partir de la aplicación de la metodología propuesta por el Centro</w:t>
      </w:r>
      <w:r>
        <w:rPr>
          <w:spacing w:val="-20"/>
        </w:rPr>
        <w:t> </w:t>
      </w:r>
      <w:r>
        <w:rPr/>
        <w:t>Nacional</w:t>
      </w:r>
      <w:r>
        <w:rPr>
          <w:spacing w:val="-20"/>
        </w:rPr>
        <w:t> </w:t>
      </w:r>
      <w:r>
        <w:rPr/>
        <w:t>para</w:t>
      </w:r>
      <w:r>
        <w:rPr>
          <w:spacing w:val="-20"/>
        </w:rPr>
        <w:t> </w:t>
      </w:r>
      <w:r>
        <w:rPr/>
        <w:t>la</w:t>
      </w:r>
      <w:r>
        <w:rPr>
          <w:spacing w:val="-20"/>
        </w:rPr>
        <w:t> </w:t>
      </w:r>
      <w:r>
        <w:rPr/>
        <w:t>Prevención</w:t>
      </w:r>
      <w:r>
        <w:rPr>
          <w:spacing w:val="-20"/>
        </w:rPr>
        <w:t> </w:t>
      </w:r>
      <w:r>
        <w:rPr/>
        <w:t>de</w:t>
      </w:r>
      <w:r>
        <w:rPr>
          <w:spacing w:val="-20"/>
        </w:rPr>
        <w:t> </w:t>
      </w:r>
      <w:r>
        <w:rPr/>
        <w:t>Desastres</w:t>
      </w:r>
      <w:r>
        <w:rPr>
          <w:spacing w:val="-20"/>
        </w:rPr>
        <w:t> </w:t>
      </w:r>
      <w:r>
        <w:rPr/>
        <w:t>(CENAPRED,</w:t>
      </w:r>
      <w:r>
        <w:rPr>
          <w:spacing w:val="-20"/>
        </w:rPr>
        <w:t> </w:t>
      </w:r>
      <w:r>
        <w:rPr/>
        <w:t>2006)</w:t>
      </w:r>
      <w:r>
        <w:rPr>
          <w:spacing w:val="-20"/>
        </w:rPr>
        <w:t> </w:t>
      </w:r>
      <w:r>
        <w:rPr/>
        <w:t>para</w:t>
      </w:r>
      <w:r>
        <w:rPr>
          <w:spacing w:val="-20"/>
        </w:rPr>
        <w:t> </w:t>
      </w:r>
      <w:r>
        <w:rPr/>
        <w:t>la</w:t>
      </w:r>
      <w:r>
        <w:rPr>
          <w:spacing w:val="-20"/>
        </w:rPr>
        <w:t> </w:t>
      </w:r>
      <w:r>
        <w:rPr/>
        <w:t>evaluación de la vulnerabilidad física y social. Esta plantea una serie de indicadores, de distintos rubros, de los cuales se realizó una selección en función de la disponibilidad y vigencia de la información para el área de estudio (Tabla</w:t>
      </w:r>
      <w:r>
        <w:rPr>
          <w:spacing w:val="-18"/>
        </w:rPr>
        <w:t> </w:t>
      </w:r>
      <w:r>
        <w:rPr/>
        <w:t>1)</w:t>
      </w:r>
    </w:p>
    <w:p>
      <w:pPr>
        <w:spacing w:after="0" w:line="249" w:lineRule="auto"/>
        <w:jc w:val="both"/>
        <w:sectPr>
          <w:type w:val="continuous"/>
          <w:pgSz w:w="18830" w:h="12760" w:orient="landscape"/>
          <w:pgMar w:top="1420" w:bottom="280" w:left="720" w:right="720"/>
          <w:cols w:num="2" w:equalWidth="0">
            <w:col w:w="7850" w:space="1561"/>
            <w:col w:w="7979"/>
          </w:cols>
        </w:sectPr>
      </w:pPr>
    </w:p>
    <w:p>
      <w:pPr>
        <w:pStyle w:val="BodyText"/>
        <w:spacing w:before="6"/>
        <w:rPr>
          <w:sz w:val="23"/>
        </w:rPr>
      </w:pPr>
    </w:p>
    <w:p>
      <w:pPr>
        <w:spacing w:after="0"/>
        <w:rPr>
          <w:sz w:val="23"/>
        </w:rPr>
        <w:sectPr>
          <w:footerReference w:type="default" r:id="rId121"/>
          <w:pgSz w:w="18830" w:h="12760" w:orient="landscape"/>
          <w:pgMar w:footer="1036" w:header="522" w:top="820" w:bottom="1220" w:left="720" w:right="720"/>
        </w:sectPr>
      </w:pPr>
    </w:p>
    <w:p>
      <w:pPr>
        <w:tabs>
          <w:tab w:pos="2303" w:val="left" w:leader="none"/>
          <w:tab w:pos="7840" w:val="left" w:leader="none"/>
        </w:tabs>
        <w:spacing w:before="86"/>
        <w:ind w:left="130" w:right="0" w:firstLine="0"/>
        <w:jc w:val="left"/>
        <w:rPr>
          <w:sz w:val="16"/>
        </w:rPr>
      </w:pPr>
      <w:r>
        <w:rPr>
          <w:w w:val="100"/>
          <w:sz w:val="16"/>
          <w:shd w:fill="929292" w:color="auto" w:val="clear"/>
        </w:rPr>
        <w:t> </w:t>
      </w:r>
      <w:r>
        <w:rPr>
          <w:sz w:val="16"/>
          <w:shd w:fill="929292" w:color="auto" w:val="clear"/>
        </w:rPr>
        <w:tab/>
        <w:t>Indicadores de Vulnerabilidad</w:t>
      </w:r>
      <w:r>
        <w:rPr>
          <w:spacing w:val="36"/>
          <w:sz w:val="16"/>
          <w:shd w:fill="929292" w:color="auto" w:val="clear"/>
        </w:rPr>
        <w:t> </w:t>
      </w:r>
      <w:r>
        <w:rPr>
          <w:sz w:val="16"/>
          <w:shd w:fill="929292" w:color="auto" w:val="clear"/>
        </w:rPr>
        <w:t>Socioeconómica</w:t>
        <w:tab/>
      </w:r>
    </w:p>
    <w:p>
      <w:pPr>
        <w:tabs>
          <w:tab w:pos="1212" w:val="left" w:leader="none"/>
          <w:tab w:pos="3169" w:val="left" w:leader="none"/>
          <w:tab w:pos="5024" w:val="left" w:leader="none"/>
          <w:tab w:pos="6278" w:val="left" w:leader="none"/>
          <w:tab w:pos="7820" w:val="left" w:leader="none"/>
        </w:tabs>
        <w:spacing w:before="53"/>
        <w:ind w:left="165" w:right="0" w:firstLine="0"/>
        <w:jc w:val="left"/>
        <w:rPr>
          <w:sz w:val="16"/>
        </w:rPr>
      </w:pPr>
      <w:r>
        <w:rPr/>
        <w:pict>
          <v:group style="position:absolute;margin-left:42.519699pt;margin-top:3.023306pt;width:385.55pt;height:121.55pt;mso-position-horizontal-relative:page;mso-position-vertical-relative:paragraph;z-index:-649624" coordorigin="850,60" coordsize="7711,2431">
            <v:line style="position:absolute" from="1947,204" to="1947,79" stroked="true" strokeweight=".5pt" strokecolor="#6d6e71">
              <v:stroke dashstyle="dash"/>
            </v:line>
            <v:shape style="position:absolute;left:0;top:11210;width:2;height:166" coordorigin="0,11210" coordsize="0,166" path="m1947,231l1947,231m1947,65l1947,65e" filled="false" stroked="true" strokeweight=".5pt" strokecolor="#6d6e71">
              <v:path arrowok="t"/>
            </v:shape>
            <v:line style="position:absolute" from="1947,231" to="1947,231" stroked="true" strokeweight=".5pt" strokecolor="#6d6e71"/>
            <v:line style="position:absolute" from="1947,571" to="1947,247" stroked="true" strokeweight=".5pt" strokecolor="#6d6e71">
              <v:stroke dashstyle="dash"/>
            </v:line>
            <v:shape style="position:absolute;left:0;top:11005;width:2;height:371" coordorigin="0,11005" coordsize="0,371" path="m1947,602l1947,602m1947,231l1947,231e" filled="false" stroked="true" strokeweight=".5pt" strokecolor="#6d6e71">
              <v:path arrowok="t"/>
            </v:shape>
            <v:line style="position:absolute" from="1947,231" to="1947,231" stroked="true" strokeweight=".5pt" strokecolor="#6d6e71"/>
            <v:line style="position:absolute" from="886,602" to="1932,602" stroked="true" strokeweight=".5pt" strokecolor="#6d6e71">
              <v:stroke dashstyle="dash"/>
            </v:line>
            <v:shape style="position:absolute;left:0;top:11376;width:1092;height:2" coordorigin="0,11376" coordsize="1092,0" path="m855,602l855,602m1947,602l1947,602e" filled="false" stroked="true" strokeweight=".5pt" strokecolor="#6d6e71">
              <v:path arrowok="t"/>
            </v:shape>
            <v:line style="position:absolute" from="1947,1143" to="1947,617" stroked="true" strokeweight=".5pt" strokecolor="#6d6e71">
              <v:stroke dashstyle="dash"/>
            </v:line>
            <v:shape style="position:absolute;left:0;top:10805;width:2;height:571" coordorigin="0,10805" coordsize="0,571" path="m1947,1173l1947,1173m1947,602l1947,602e" filled="false" stroked="true" strokeweight=".5pt" strokecolor="#6d6e71">
              <v:path arrowok="t"/>
            </v:shape>
            <v:line style="position:absolute" from="3905,231" to="3905,231" stroked="true" strokeweight=".5pt" strokecolor="#6d6e71"/>
            <v:line style="position:absolute" from="3905,571" to="3905,247" stroked="true" strokeweight=".5pt" strokecolor="#6d6e71">
              <v:stroke dashstyle="dash"/>
            </v:line>
            <v:shape style="position:absolute;left:0;top:11005;width:2;height:371" coordorigin="0,11005" coordsize="0,371" path="m3905,602l3905,602m3905,231l3905,231e" filled="false" stroked="true" strokeweight=".5pt" strokecolor="#6d6e71">
              <v:path arrowok="t"/>
            </v:shape>
            <v:line style="position:absolute" from="3905,231" to="3905,231" stroked="true" strokeweight=".5pt" strokecolor="#6d6e71"/>
            <v:line style="position:absolute" from="1978,602" to="3890,602" stroked="true" strokeweight=".5pt" strokecolor="#6d6e71">
              <v:stroke dashstyle="dash"/>
            </v:line>
            <v:shape style="position:absolute;left:0;top:11376;width:1958;height:2" coordorigin="0,11376" coordsize="1958,0" path="m1947,602l1947,602m3905,602l3905,602e" filled="false" stroked="true" strokeweight=".5pt" strokecolor="#6d6e71">
              <v:path arrowok="t"/>
            </v:shape>
            <v:line style="position:absolute" from="3905,1143" to="3905,617" stroked="true" strokeweight=".5pt" strokecolor="#6d6e71">
              <v:stroke dashstyle="dash"/>
            </v:line>
            <v:shape style="position:absolute;left:0;top:10805;width:2;height:571" coordorigin="0,10805" coordsize="0,571" path="m3905,1173l3905,1173m3905,602l3905,602e" filled="false" stroked="true" strokeweight=".5pt" strokecolor="#6d6e71">
              <v:path arrowok="t"/>
            </v:shape>
            <v:line style="position:absolute" from="3935,602" to="5745,602" stroked="true" strokeweight=".5pt" strokecolor="#6d6e71">
              <v:stroke dashstyle="dash"/>
            </v:line>
            <v:shape style="position:absolute;left:0;top:11376;width:1856;height:2" coordorigin="0,11376" coordsize="1856,0" path="m3905,602l3905,602m5760,602l5760,602e" filled="false" stroked="true" strokeweight=".5pt" strokecolor="#6d6e71">
              <v:path arrowok="t"/>
            </v:shape>
            <v:line style="position:absolute" from="5760,1143" to="5760,617" stroked="true" strokeweight=".5pt" strokecolor="#6d6e71">
              <v:stroke dashstyle="dash"/>
            </v:line>
            <v:shape style="position:absolute;left:0;top:10805;width:2;height:571" coordorigin="0,10805" coordsize="0,571" path="m5760,1173l5760,1173m5760,602l5760,602e" filled="false" stroked="true" strokeweight=".5pt" strokecolor="#6d6e71">
              <v:path arrowok="t"/>
            </v:shape>
            <v:line style="position:absolute" from="5790,602" to="6999,602" stroked="true" strokeweight=".5pt" strokecolor="#6d6e71">
              <v:stroke dashstyle="dash"/>
            </v:line>
            <v:shape style="position:absolute;left:0;top:11376;width:1254;height:2" coordorigin="0,11376" coordsize="1254,0" path="m5760,602l5760,602m7014,602l7014,602e" filled="false" stroked="true" strokeweight=".5pt" strokecolor="#6d6e71">
              <v:path arrowok="t"/>
            </v:shape>
            <v:line style="position:absolute" from="7014,1143" to="7014,617" stroked="true" strokeweight=".5pt" strokecolor="#6d6e71">
              <v:stroke dashstyle="dash"/>
            </v:line>
            <v:shape style="position:absolute;left:0;top:10805;width:2;height:571" coordorigin="0,10805" coordsize="0,571" path="m7014,1173l7014,1173m7014,602l7014,602e" filled="false" stroked="true" strokeweight=".5pt" strokecolor="#6d6e71">
              <v:path arrowok="t"/>
            </v:shape>
            <v:line style="position:absolute" from="7044,602" to="8541,602" stroked="true" strokeweight=".5pt" strokecolor="#6d6e71">
              <v:stroke dashstyle="dash"/>
            </v:line>
            <v:shape style="position:absolute;left:0;top:11376;width:1542;height:2" coordorigin="0,11376" coordsize="1542,0" path="m7014,602l7014,602m8556,602l8556,602e" filled="false" stroked="true" strokeweight=".5pt" strokecolor="#6d6e71">
              <v:path arrowok="t"/>
            </v:shape>
            <v:line style="position:absolute" from="886,1173" to="1932,1173" stroked="true" strokeweight=".5pt" strokecolor="#6d6e71">
              <v:stroke dashstyle="dash"/>
            </v:line>
            <v:shape style="position:absolute;left:0;top:11376;width:1092;height:2" coordorigin="0,11376" coordsize="1092,0" path="m855,1173l855,1173m1947,1173l1947,1173e" filled="false" stroked="true" strokeweight=".5pt" strokecolor="#6d6e71">
              <v:path arrowok="t"/>
            </v:shape>
            <v:line style="position:absolute" from="1947,1915" to="1947,1188" stroked="true" strokeweight=".5pt" strokecolor="#6d6e71">
              <v:stroke dashstyle="dash"/>
            </v:line>
            <v:shape style="position:absolute;left:0;top:10605;width:2;height:771" coordorigin="0,10605" coordsize="0,771" path="m1947,1944l1947,1944m1947,1173l1947,1173e" filled="false" stroked="true" strokeweight=".5pt" strokecolor="#6d6e71">
              <v:path arrowok="t"/>
            </v:shape>
            <v:shape style="position:absolute;left:0;top:11376;width:1958;height:2" coordorigin="0,11376" coordsize="1958,0" path="m1947,1173l1947,1173m3905,1173l3905,1173e" filled="false" stroked="true" strokeweight=".5pt" strokecolor="#6d6e71">
              <v:path arrowok="t"/>
            </v:shape>
            <v:line style="position:absolute" from="3905,1915" to="3905,1188" stroked="true" strokeweight=".5pt" strokecolor="#6d6e71">
              <v:stroke dashstyle="dash"/>
            </v:line>
            <v:shape style="position:absolute;left:0;top:10605;width:2;height:771" coordorigin="0,10605" coordsize="0,771" path="m3905,1944l3905,1944m3905,1173l3905,1173e" filled="false" stroked="true" strokeweight=".5pt" strokecolor="#6d6e71">
              <v:path arrowok="t"/>
            </v:shape>
            <v:shape style="position:absolute;left:0;top:11376;width:1856;height:2" coordorigin="0,11376" coordsize="1856,0" path="m3905,1173l3905,1173m5760,1173l5760,1173e" filled="false" stroked="true" strokeweight=".5pt" strokecolor="#6d6e71">
              <v:path arrowok="t"/>
            </v:shape>
            <v:line style="position:absolute" from="5760,1915" to="5760,1188" stroked="true" strokeweight=".5pt" strokecolor="#6d6e71">
              <v:stroke dashstyle="dash"/>
            </v:line>
            <v:shape style="position:absolute;left:0;top:10605;width:2;height:771" coordorigin="0,10605" coordsize="0,771" path="m5760,1944l5760,1944m5760,1173l5760,1173e" filled="false" stroked="true" strokeweight=".5pt" strokecolor="#6d6e71">
              <v:path arrowok="t"/>
            </v:shape>
            <v:shape style="position:absolute;left:0;top:11376;width:1254;height:2" coordorigin="0,11376" coordsize="1254,0" path="m5760,1173l5760,1173m7014,1173l7014,1173e" filled="false" stroked="true" strokeweight=".5pt" strokecolor="#6d6e71">
              <v:path arrowok="t"/>
            </v:shape>
            <v:line style="position:absolute" from="7014,1915" to="7014,1188" stroked="true" strokeweight=".5pt" strokecolor="#6d6e71">
              <v:stroke dashstyle="dash"/>
            </v:line>
            <v:shape style="position:absolute;left:0;top:10605;width:2;height:771" coordorigin="0,10605" coordsize="0,771" path="m7014,1944l7014,1944m7014,1173l7014,1173e" filled="false" stroked="true" strokeweight=".5pt" strokecolor="#6d6e71">
              <v:path arrowok="t"/>
            </v:shape>
            <v:shape style="position:absolute;left:0;top:11376;width:1542;height:2" coordorigin="0,11376" coordsize="1542,0" path="m7014,1173l7014,1173m8556,1173l8556,1173e" filled="false" stroked="true" strokeweight=".5pt" strokecolor="#6d6e71">
              <v:path arrowok="t"/>
            </v:shape>
            <v:line style="position:absolute" from="886,1944" to="1932,1944" stroked="true" strokeweight=".5pt" strokecolor="#6d6e71">
              <v:stroke dashstyle="dash"/>
            </v:line>
            <v:shape style="position:absolute;left:0;top:11376;width:1092;height:2" coordorigin="0,11376" coordsize="1092,0" path="m855,1944l855,1944m1947,1944l1947,1944e" filled="false" stroked="true" strokeweight=".5pt" strokecolor="#6d6e71">
              <v:path arrowok="t"/>
            </v:shape>
            <v:line style="position:absolute" from="1947,2284" to="1947,1960" stroked="true" strokeweight=".5pt" strokecolor="#6d6e71">
              <v:stroke dashstyle="dash"/>
            </v:line>
            <v:shape style="position:absolute;left:0;top:11005;width:2;height:371" coordorigin="0,11005" coordsize="0,371" path="m1947,2315l1947,2315m1947,1944l1947,1944e" filled="false" stroked="true" strokeweight=".5pt" strokecolor="#6d6e71">
              <v:path arrowok="t"/>
            </v:shape>
            <v:shape style="position:absolute;left:0;top:11376;width:1958;height:2" coordorigin="0,11376" coordsize="1958,0" path="m1947,1944l1947,1944m3905,1944l3905,1944e" filled="false" stroked="true" strokeweight=".5pt" strokecolor="#6d6e71">
              <v:path arrowok="t"/>
            </v:shape>
            <v:line style="position:absolute" from="3905,2284" to="3905,1960" stroked="true" strokeweight=".5pt" strokecolor="#6d6e71">
              <v:stroke dashstyle="dash"/>
            </v:line>
            <v:shape style="position:absolute;left:0;top:11005;width:2;height:371" coordorigin="0,11005" coordsize="0,371" path="m3905,2315l3905,2315m3905,1944l3905,1944e" filled="false" stroked="true" strokeweight=".5pt" strokecolor="#6d6e71">
              <v:path arrowok="t"/>
            </v:shape>
            <v:shape style="position:absolute;left:0;top:11376;width:1856;height:2" coordorigin="0,11376" coordsize="1856,0" path="m3905,1944l3905,1944m5760,1944l5760,1944e" filled="false" stroked="true" strokeweight=".5pt" strokecolor="#6d6e71">
              <v:path arrowok="t"/>
            </v:shape>
            <v:shape style="position:absolute;left:0;top:11376;width:1254;height:2" coordorigin="0,11376" coordsize="1254,0" path="m5760,1944l5760,1944m7014,1944l7014,1944e" filled="false" stroked="true" strokeweight=".5pt" strokecolor="#6d6e71">
              <v:path arrowok="t"/>
            </v:shape>
            <v:line style="position:absolute" from="7014,2284" to="7014,1960" stroked="true" strokeweight=".5pt" strokecolor="#6d6e71">
              <v:stroke dashstyle="dash"/>
            </v:line>
            <v:shape style="position:absolute;left:0;top:11005;width:2;height:371" coordorigin="0,11005" coordsize="0,371" path="m7014,2315l7014,2315m7014,1944l7014,1944e" filled="false" stroked="true" strokeweight=".5pt" strokecolor="#6d6e71">
              <v:path arrowok="t"/>
            </v:shape>
            <v:shape style="position:absolute;left:0;top:11376;width:1542;height:2" coordorigin="0,11376" coordsize="1542,0" path="m7014,1944l7014,1944m8556,1944l8556,1944e" filled="false" stroked="true" strokeweight=".5pt" strokecolor="#6d6e71">
              <v:path arrowok="t"/>
            </v:shape>
            <v:shape style="position:absolute;left:0;top:11376;width:1092;height:2" coordorigin="0,11376" coordsize="1092,0" path="m855,2315l855,2315m1947,2315l1947,2315e" filled="false" stroked="true" strokeweight=".5pt" strokecolor="#6d6e71">
              <v:path arrowok="t"/>
            </v:shape>
            <v:line style="position:absolute" from="1947,2486" to="1947,2486" stroked="true" strokeweight=".5pt" strokecolor="#6d6e71"/>
            <v:line style="position:absolute" from="1947,2458" to="1947,2329" stroked="true" strokeweight=".5pt" strokecolor="#6d6e71">
              <v:stroke dashstyle="dash"/>
            </v:line>
            <v:shape style="position:absolute;left:0;top:11205;width:2;height:171" coordorigin="0,11205" coordsize="0,171" path="m1947,2486l1947,2486m1947,2315l1947,2315e" filled="false" stroked="true" strokeweight=".5pt" strokecolor="#6d6e71">
              <v:path arrowok="t"/>
            </v:shape>
            <v:shape style="position:absolute;left:0;top:11376;width:1958;height:2" coordorigin="0,11376" coordsize="1958,0" path="m1947,2315l1947,2315m3905,2315l3905,2315e" filled="false" stroked="true" strokeweight=".5pt" strokecolor="#6d6e71">
              <v:path arrowok="t"/>
            </v:shape>
            <v:shape style="position:absolute;left:0;top:11376;width:1856;height:2" coordorigin="0,11376" coordsize="1856,0" path="m3905,2315l3905,2315m5760,2315l5760,2315e" filled="false" stroked="true" strokeweight=".5pt" strokecolor="#6d6e71">
              <v:path arrowok="t"/>
            </v:shape>
            <v:shape style="position:absolute;left:0;top:11376;width:1254;height:2" coordorigin="0,11376" coordsize="1254,0" path="m5760,2315l5760,2315m7014,2315l7014,2315e" filled="false" stroked="true" strokeweight=".5pt" strokecolor="#6d6e71">
              <v:path arrowok="t"/>
            </v:shape>
            <v:shape style="position:absolute;left:0;top:11376;width:1542;height:2" coordorigin="0,11376" coordsize="1542,0" path="m7014,2315l7014,2315m8556,2315l8556,2315e" filled="false" stroked="true" strokeweight=".5pt" strokecolor="#6d6e71">
              <v:path arrowok="t"/>
            </v:shape>
            <v:shape style="position:absolute;left:0;top:11376;width:1958;height:2" coordorigin="0,11376" coordsize="1958,0" path="m1947,2486l1947,2486m3905,2486l3905,2486e" filled="false" stroked="true" strokeweight=".5pt" strokecolor="#6d6e71">
              <v:path arrowok="t"/>
            </v:shape>
            <v:line style="position:absolute" from="3935,2486" to="5745,2486" stroked="true" strokeweight=".5pt" strokecolor="#6d6e71">
              <v:stroke dashstyle="dash"/>
            </v:line>
            <v:shape style="position:absolute;left:0;top:11376;width:1856;height:2" coordorigin="0,11376" coordsize="1856,0" path="m3905,2486l3905,2486m5760,2486l5760,2486e" filled="false" stroked="true" strokeweight=".5pt" strokecolor="#6d6e71">
              <v:path arrowok="t"/>
            </v:shape>
            <v:shape style="position:absolute;left:0;top:11376;width:1254;height:2" coordorigin="0,11376" coordsize="1254,0" path="m5760,2486l5760,2486m7014,2486l7014,2486e" filled="false" stroked="true" strokeweight=".5pt" strokecolor="#6d6e71">
              <v:path arrowok="t"/>
            </v:shape>
            <v:shape style="position:absolute;left:0;top:11376;width:1542;height:2" coordorigin="0,11376" coordsize="1542,0" path="m7014,2486l7014,2486m8556,2486l8556,2486e" filled="false" stroked="true" strokeweight=".5pt" strokecolor="#6d6e71">
              <v:path arrowok="t"/>
            </v:shape>
            <w10:wrap type="none"/>
          </v:group>
        </w:pict>
      </w:r>
      <w:r>
        <w:rPr/>
        <w:pict>
          <v:line style="position:absolute;mso-position-horizontal-relative:page;mso-position-vertical-relative:paragraph;z-index:3184" from="42.769699pt,11.570307pt" to="42.769699pt,11.570307pt" stroked="true" strokeweight=".5pt" strokecolor="#6d6e71">
            <w10:wrap type="none"/>
          </v:line>
        </w:pict>
      </w:r>
      <w:r>
        <w:rPr/>
        <w:pict>
          <v:group style="position:absolute;margin-left:287.75pt;margin-top:11.320307pt;width:.5pt;height:.5pt;mso-position-horizontal-relative:page;mso-position-vertical-relative:paragraph;z-index:-649576" coordorigin="5755,226" coordsize="10,10">
            <v:line style="position:absolute" from="5760,231" to="5760,231" stroked="true" strokeweight=".5pt" strokecolor="#6d6e71"/>
            <v:line style="position:absolute" from="5760,231" to="5760,231" stroked="true" strokeweight=".5pt" strokecolor="#6d6e71"/>
            <w10:wrap type="none"/>
          </v:group>
        </w:pict>
      </w:r>
      <w:r>
        <w:rPr/>
        <w:pict>
          <v:group style="position:absolute;margin-left:350.450012pt;margin-top:11.320307pt;width:.5pt;height:.5pt;mso-position-horizontal-relative:page;mso-position-vertical-relative:paragraph;z-index:-649552" coordorigin="7009,226" coordsize="10,10">
            <v:line style="position:absolute" from="7014,231" to="7014,231" stroked="true" strokeweight=".5pt" strokecolor="#6d6e71"/>
            <v:line style="position:absolute" from="7014,231" to="7014,231" stroked="true" strokeweight=".5pt" strokecolor="#6d6e71"/>
            <w10:wrap type="none"/>
          </v:group>
        </w:pict>
      </w:r>
      <w:r>
        <w:rPr/>
        <w:pict>
          <v:line style="position:absolute;mso-position-horizontal-relative:page;mso-position-vertical-relative:paragraph;z-index:3256" from="427.781006pt,11.570307pt" to="427.781006pt,11.570307pt" stroked="true" strokeweight=".5pt" strokecolor="#6d6e71">
            <w10:wrap type="none"/>
          </v:line>
        </w:pict>
      </w:r>
      <w:r>
        <w:rPr>
          <w:w w:val="100"/>
          <w:sz w:val="16"/>
          <w:u w:val="dotted" w:color="6D6E71"/>
        </w:rPr>
        <w:t> </w:t>
      </w:r>
      <w:r>
        <w:rPr>
          <w:spacing w:val="-11"/>
          <w:sz w:val="16"/>
          <w:u w:val="dotted" w:color="6D6E71"/>
        </w:rPr>
        <w:t> </w:t>
      </w:r>
      <w:r>
        <w:rPr>
          <w:sz w:val="16"/>
          <w:u w:val="dotted" w:color="6D6E71"/>
        </w:rPr>
        <w:t>Rubro</w:t>
        <w:tab/>
      </w:r>
      <w:r>
        <w:rPr>
          <w:sz w:val="16"/>
          <w:u w:val="dotted" w:color="6D6E71"/>
        </w:rPr>
        <w:t>Indicador</w:t>
        <w:tab/>
      </w:r>
      <w:r>
        <w:rPr>
          <w:sz w:val="16"/>
        </w:rPr>
        <w:t> </w:t>
      </w:r>
      <w:r>
        <w:rPr>
          <w:w w:val="100"/>
          <w:sz w:val="16"/>
          <w:u w:val="dotted" w:color="6D6E71"/>
        </w:rPr>
        <w:t> </w:t>
      </w:r>
      <w:r>
        <w:rPr>
          <w:sz w:val="16"/>
          <w:u w:val="dotted" w:color="6D6E71"/>
        </w:rPr>
        <w:tab/>
      </w:r>
      <w:r>
        <w:rPr>
          <w:sz w:val="16"/>
        </w:rPr>
        <w:t> </w:t>
      </w:r>
      <w:r>
        <w:rPr>
          <w:w w:val="100"/>
          <w:sz w:val="16"/>
          <w:u w:val="dotted" w:color="6D6E71"/>
        </w:rPr>
        <w:t> </w:t>
      </w:r>
      <w:r>
        <w:rPr>
          <w:sz w:val="16"/>
          <w:u w:val="dotted" w:color="6D6E71"/>
        </w:rPr>
        <w:tab/>
      </w:r>
      <w:r>
        <w:rPr>
          <w:sz w:val="16"/>
        </w:rPr>
        <w:t> </w:t>
      </w:r>
      <w:r>
        <w:rPr>
          <w:w w:val="100"/>
          <w:sz w:val="16"/>
          <w:u w:val="dotted" w:color="6D6E71"/>
        </w:rPr>
        <w:t> </w:t>
      </w:r>
      <w:r>
        <w:rPr>
          <w:sz w:val="16"/>
          <w:u w:val="dotted" w:color="6D6E71"/>
        </w:rPr>
        <w:tab/>
      </w:r>
    </w:p>
    <w:p>
      <w:pPr>
        <w:pStyle w:val="BodyText"/>
        <w:spacing w:line="240" w:lineRule="atLeast" w:before="66"/>
        <w:ind w:left="130" w:right="-10" w:firstLine="170"/>
      </w:pPr>
      <w:r>
        <w:rPr/>
        <w:br w:type="column"/>
      </w:r>
      <w:r>
        <w:rPr/>
        <w:t>Una</w:t>
      </w:r>
      <w:r>
        <w:rPr>
          <w:spacing w:val="-27"/>
        </w:rPr>
        <w:t> </w:t>
      </w:r>
      <w:r>
        <w:rPr/>
        <w:t>de</w:t>
      </w:r>
      <w:r>
        <w:rPr>
          <w:spacing w:val="-27"/>
        </w:rPr>
        <w:t> </w:t>
      </w:r>
      <w:r>
        <w:rPr/>
        <w:t>las</w:t>
      </w:r>
      <w:r>
        <w:rPr>
          <w:spacing w:val="-27"/>
        </w:rPr>
        <w:t> </w:t>
      </w:r>
      <w:r>
        <w:rPr/>
        <w:t>vías</w:t>
      </w:r>
      <w:r>
        <w:rPr>
          <w:spacing w:val="-27"/>
        </w:rPr>
        <w:t> </w:t>
      </w:r>
      <w:r>
        <w:rPr/>
        <w:t>para</w:t>
      </w:r>
      <w:r>
        <w:rPr>
          <w:spacing w:val="-27"/>
        </w:rPr>
        <w:t> </w:t>
      </w:r>
      <w:r>
        <w:rPr/>
        <w:t>evaluar</w:t>
      </w:r>
      <w:r>
        <w:rPr>
          <w:spacing w:val="-27"/>
        </w:rPr>
        <w:t> </w:t>
      </w:r>
      <w:r>
        <w:rPr/>
        <w:t>la</w:t>
      </w:r>
      <w:r>
        <w:rPr>
          <w:spacing w:val="-27"/>
        </w:rPr>
        <w:t> </w:t>
      </w:r>
      <w:r>
        <w:rPr/>
        <w:t>exposición</w:t>
      </w:r>
      <w:r>
        <w:rPr>
          <w:spacing w:val="-27"/>
        </w:rPr>
        <w:t> </w:t>
      </w:r>
      <w:r>
        <w:rPr/>
        <w:t>radica</w:t>
      </w:r>
      <w:r>
        <w:rPr>
          <w:spacing w:val="-27"/>
        </w:rPr>
        <w:t> </w:t>
      </w:r>
      <w:r>
        <w:rPr/>
        <w:t>en</w:t>
      </w:r>
      <w:r>
        <w:rPr>
          <w:spacing w:val="-27"/>
        </w:rPr>
        <w:t> </w:t>
      </w:r>
      <w:r>
        <w:rPr/>
        <w:t>la</w:t>
      </w:r>
      <w:r>
        <w:rPr>
          <w:spacing w:val="-27"/>
        </w:rPr>
        <w:t> </w:t>
      </w:r>
      <w:r>
        <w:rPr/>
        <w:t>identificación</w:t>
      </w:r>
      <w:r>
        <w:rPr>
          <w:spacing w:val="-27"/>
        </w:rPr>
        <w:t> </w:t>
      </w:r>
      <w:r>
        <w:rPr/>
        <w:t>de</w:t>
      </w:r>
      <w:r>
        <w:rPr>
          <w:spacing w:val="-27"/>
        </w:rPr>
        <w:t> </w:t>
      </w:r>
      <w:r>
        <w:rPr/>
        <w:t>las</w:t>
      </w:r>
      <w:r>
        <w:rPr>
          <w:spacing w:val="-27"/>
        </w:rPr>
        <w:t> </w:t>
      </w:r>
      <w:r>
        <w:rPr/>
        <w:t>denominadas estructuras</w:t>
      </w:r>
      <w:r>
        <w:rPr>
          <w:spacing w:val="33"/>
        </w:rPr>
        <w:t> </w:t>
      </w:r>
      <w:r>
        <w:rPr/>
        <w:t>críticas,</w:t>
      </w:r>
      <w:r>
        <w:rPr>
          <w:spacing w:val="33"/>
        </w:rPr>
        <w:t> </w:t>
      </w:r>
      <w:r>
        <w:rPr/>
        <w:t>las</w:t>
      </w:r>
      <w:r>
        <w:rPr>
          <w:spacing w:val="33"/>
        </w:rPr>
        <w:t> </w:t>
      </w:r>
      <w:r>
        <w:rPr/>
        <w:t>cuales,</w:t>
      </w:r>
      <w:r>
        <w:rPr>
          <w:spacing w:val="33"/>
        </w:rPr>
        <w:t> </w:t>
      </w:r>
      <w:r>
        <w:rPr/>
        <w:t>según</w:t>
      </w:r>
      <w:r>
        <w:rPr>
          <w:spacing w:val="33"/>
        </w:rPr>
        <w:t> </w:t>
      </w:r>
      <w:r>
        <w:rPr/>
        <w:t>el</w:t>
      </w:r>
      <w:r>
        <w:rPr>
          <w:spacing w:val="33"/>
        </w:rPr>
        <w:t> </w:t>
      </w:r>
      <w:r>
        <w:rPr/>
        <w:t>Centro</w:t>
      </w:r>
      <w:r>
        <w:rPr>
          <w:spacing w:val="33"/>
        </w:rPr>
        <w:t> </w:t>
      </w:r>
      <w:r>
        <w:rPr/>
        <w:t>Nacional</w:t>
      </w:r>
      <w:r>
        <w:rPr>
          <w:spacing w:val="33"/>
        </w:rPr>
        <w:t> </w:t>
      </w:r>
      <w:r>
        <w:rPr/>
        <w:t>para</w:t>
      </w:r>
      <w:r>
        <w:rPr>
          <w:spacing w:val="33"/>
        </w:rPr>
        <w:t> </w:t>
      </w:r>
      <w:r>
        <w:rPr/>
        <w:t>la</w:t>
      </w:r>
      <w:r>
        <w:rPr>
          <w:spacing w:val="33"/>
        </w:rPr>
        <w:t> </w:t>
      </w:r>
      <w:r>
        <w:rPr/>
        <w:t>Protección</w:t>
      </w:r>
      <w:r>
        <w:rPr>
          <w:spacing w:val="33"/>
        </w:rPr>
        <w:t> </w:t>
      </w:r>
      <w:r>
        <w:rPr/>
        <w:t>de</w:t>
      </w:r>
      <w:r>
        <w:rPr>
          <w:spacing w:val="33"/>
        </w:rPr>
        <w:t> </w:t>
      </w:r>
      <w:r>
        <w:rPr/>
        <w:t>las</w:t>
      </w:r>
    </w:p>
    <w:p>
      <w:pPr>
        <w:spacing w:after="0" w:line="240" w:lineRule="atLeast"/>
        <w:sectPr>
          <w:type w:val="continuous"/>
          <w:pgSz w:w="18830" w:h="12760" w:orient="landscape"/>
          <w:pgMar w:top="1420" w:bottom="280" w:left="720" w:right="720"/>
          <w:cols w:num="2" w:equalWidth="0">
            <w:col w:w="7841" w:space="1570"/>
            <w:col w:w="7979"/>
          </w:cols>
        </w:sectPr>
      </w:pPr>
    </w:p>
    <w:p>
      <w:pPr>
        <w:spacing w:line="161" w:lineRule="exact" w:before="113"/>
        <w:ind w:left="243" w:right="-20" w:firstLine="0"/>
        <w:jc w:val="left"/>
        <w:rPr>
          <w:sz w:val="16"/>
        </w:rPr>
      </w:pPr>
      <w:r>
        <w:rPr>
          <w:sz w:val="16"/>
        </w:rPr>
        <w:t>Salud</w:t>
      </w:r>
    </w:p>
    <w:p>
      <w:pPr>
        <w:spacing w:line="131" w:lineRule="exact" w:before="0"/>
        <w:ind w:left="243" w:right="0" w:firstLine="0"/>
        <w:jc w:val="left"/>
        <w:rPr>
          <w:sz w:val="16"/>
        </w:rPr>
      </w:pPr>
      <w:r>
        <w:rPr/>
        <w:br w:type="column"/>
      </w:r>
      <w:r>
        <w:rPr>
          <w:sz w:val="16"/>
        </w:rPr>
        <w:t>Médicos por cada 1,000</w:t>
      </w:r>
    </w:p>
    <w:p>
      <w:pPr>
        <w:spacing w:line="127" w:lineRule="exact" w:before="16"/>
        <w:ind w:left="243" w:right="0" w:firstLine="0"/>
        <w:jc w:val="left"/>
        <w:rPr>
          <w:sz w:val="16"/>
        </w:rPr>
      </w:pPr>
      <w:r>
        <w:rPr>
          <w:sz w:val="16"/>
        </w:rPr>
        <w:t>habitantes</w:t>
      </w:r>
    </w:p>
    <w:p>
      <w:pPr>
        <w:spacing w:line="131" w:lineRule="exact" w:before="0"/>
        <w:ind w:left="177" w:right="0" w:firstLine="0"/>
        <w:jc w:val="left"/>
        <w:rPr>
          <w:sz w:val="16"/>
        </w:rPr>
      </w:pPr>
      <w:r>
        <w:rPr/>
        <w:br w:type="column"/>
      </w:r>
      <w:r>
        <w:rPr>
          <w:sz w:val="16"/>
        </w:rPr>
        <w:t>Porcentaje de la población no derechohabiente</w:t>
      </w:r>
    </w:p>
    <w:p>
      <w:pPr>
        <w:pStyle w:val="BodyText"/>
        <w:spacing w:before="10"/>
        <w:ind w:left="243"/>
      </w:pPr>
      <w:r>
        <w:rPr/>
        <w:br w:type="column"/>
      </w:r>
      <w:r>
        <w:rPr/>
        <w:t>Infraestructuras Críticas (CNPIC, 2010) están referidas a aquellas que proporcionan</w:t>
      </w:r>
    </w:p>
    <w:p>
      <w:pPr>
        <w:spacing w:after="0"/>
        <w:sectPr>
          <w:type w:val="continuous"/>
          <w:pgSz w:w="18830" w:h="12760" w:orient="landscape"/>
          <w:pgMar w:top="1420" w:bottom="280" w:left="720" w:right="720"/>
          <w:cols w:num="4" w:equalWidth="0">
            <w:col w:w="653" w:space="444"/>
            <w:col w:w="1984" w:space="40"/>
            <w:col w:w="3559" w:space="2618"/>
            <w:col w:w="8092"/>
          </w:cols>
        </w:sectPr>
      </w:pPr>
    </w:p>
    <w:p>
      <w:pPr>
        <w:tabs>
          <w:tab w:pos="1340" w:val="left" w:leader="none"/>
        </w:tabs>
        <w:spacing w:before="43"/>
        <w:ind w:left="243" w:right="0" w:firstLine="0"/>
        <w:jc w:val="left"/>
        <w:rPr>
          <w:sz w:val="16"/>
        </w:rPr>
      </w:pPr>
      <w:r>
        <w:rPr>
          <w:sz w:val="16"/>
        </w:rPr>
        <w:t>Educación</w:t>
        <w:tab/>
        <w:t>Porcentaje</w:t>
      </w:r>
      <w:r>
        <w:rPr>
          <w:spacing w:val="5"/>
          <w:sz w:val="16"/>
        </w:rPr>
        <w:t> </w:t>
      </w:r>
      <w:r>
        <w:rPr>
          <w:sz w:val="16"/>
        </w:rPr>
        <w:t>de</w:t>
      </w:r>
    </w:p>
    <w:p>
      <w:pPr>
        <w:spacing w:before="16"/>
        <w:ind w:left="1340" w:right="-11" w:firstLine="0"/>
        <w:jc w:val="left"/>
        <w:rPr>
          <w:sz w:val="16"/>
        </w:rPr>
      </w:pPr>
      <w:r>
        <w:rPr>
          <w:sz w:val="16"/>
        </w:rPr>
        <w:t>analfabetismo</w:t>
      </w:r>
    </w:p>
    <w:p>
      <w:pPr>
        <w:spacing w:line="261" w:lineRule="auto" w:before="43"/>
        <w:ind w:left="243" w:right="-8" w:firstLine="0"/>
        <w:jc w:val="left"/>
        <w:rPr>
          <w:sz w:val="16"/>
        </w:rPr>
      </w:pPr>
      <w:r>
        <w:rPr/>
        <w:br w:type="column"/>
      </w:r>
      <w:r>
        <w:rPr>
          <w:sz w:val="16"/>
        </w:rPr>
        <w:t>Demanda de Educación Básica</w:t>
      </w:r>
    </w:p>
    <w:p>
      <w:pPr>
        <w:spacing w:line="261" w:lineRule="auto" w:before="43"/>
        <w:ind w:left="243" w:right="-8" w:firstLine="0"/>
        <w:jc w:val="left"/>
        <w:rPr>
          <w:sz w:val="16"/>
        </w:rPr>
      </w:pPr>
      <w:r>
        <w:rPr/>
        <w:br w:type="column"/>
      </w:r>
      <w:r>
        <w:rPr>
          <w:sz w:val="16"/>
        </w:rPr>
        <w:t>Grado Promedio de</w:t>
      </w:r>
    </w:p>
    <w:p>
      <w:pPr>
        <w:pStyle w:val="BodyText"/>
        <w:spacing w:line="206" w:lineRule="exact"/>
        <w:ind w:left="243"/>
      </w:pPr>
      <w:r>
        <w:rPr/>
        <w:br w:type="column"/>
      </w:r>
      <w:r>
        <w:rPr/>
        <w:t>servicios esenciales, cuyo funcionamiento es indispensable y no permite soluciones</w:t>
      </w:r>
    </w:p>
    <w:p>
      <w:pPr>
        <w:pStyle w:val="BodyText"/>
        <w:spacing w:before="10"/>
        <w:ind w:left="243"/>
      </w:pPr>
      <w:r>
        <w:rPr/>
        <w:t>alternativas, por lo que su perturbación o destrucción tendría un grave impacto    sobre</w:t>
      </w:r>
    </w:p>
    <w:p>
      <w:pPr>
        <w:spacing w:after="0"/>
        <w:sectPr>
          <w:type w:val="continuous"/>
          <w:pgSz w:w="18830" w:h="12760" w:orient="landscape"/>
          <w:pgMar w:top="1420" w:bottom="280" w:left="720" w:right="720"/>
          <w:cols w:num="4" w:equalWidth="0">
            <w:col w:w="2346" w:space="709"/>
            <w:col w:w="1527" w:space="328"/>
            <w:col w:w="1163" w:space="3226"/>
            <w:col w:w="8091"/>
          </w:cols>
        </w:sectPr>
      </w:pPr>
    </w:p>
    <w:p>
      <w:pPr>
        <w:tabs>
          <w:tab w:pos="3169" w:val="left" w:leader="none"/>
          <w:tab w:pos="5024" w:val="left" w:leader="none"/>
          <w:tab w:pos="6278" w:val="left" w:leader="none"/>
          <w:tab w:pos="7820" w:val="left" w:leader="none"/>
        </w:tabs>
        <w:spacing w:line="182" w:lineRule="exact" w:before="0"/>
        <w:ind w:left="1257" w:right="0" w:firstLine="0"/>
        <w:jc w:val="left"/>
        <w:rPr>
          <w:sz w:val="16"/>
        </w:rPr>
      </w:pPr>
      <w:r>
        <w:rPr>
          <w:w w:val="100"/>
          <w:sz w:val="16"/>
          <w:u w:val="dotted" w:color="6D6E71"/>
        </w:rPr>
        <w:t> </w:t>
      </w:r>
      <w:r>
        <w:rPr>
          <w:sz w:val="16"/>
          <w:u w:val="dotted" w:color="6D6E71"/>
        </w:rPr>
        <w:tab/>
      </w:r>
      <w:r>
        <w:rPr>
          <w:sz w:val="16"/>
        </w:rPr>
        <w:t> </w:t>
      </w:r>
      <w:r>
        <w:rPr>
          <w:w w:val="100"/>
          <w:sz w:val="16"/>
          <w:u w:val="dotted" w:color="6D6E71"/>
        </w:rPr>
        <w:t> </w:t>
      </w:r>
      <w:r>
        <w:rPr>
          <w:sz w:val="16"/>
          <w:u w:val="dotted" w:color="6D6E71"/>
        </w:rPr>
        <w:tab/>
      </w:r>
      <w:r>
        <w:rPr>
          <w:sz w:val="16"/>
        </w:rPr>
        <w:t> </w:t>
      </w:r>
      <w:r>
        <w:rPr>
          <w:w w:val="100"/>
          <w:sz w:val="16"/>
          <w:u w:val="dotted" w:color="6D6E71"/>
        </w:rPr>
        <w:t> </w:t>
      </w:r>
      <w:r>
        <w:rPr>
          <w:spacing w:val="-6"/>
          <w:sz w:val="16"/>
          <w:u w:val="dotted" w:color="6D6E71"/>
        </w:rPr>
        <w:t> </w:t>
      </w:r>
      <w:r>
        <w:rPr>
          <w:sz w:val="16"/>
          <w:u w:val="dotted" w:color="6D6E71"/>
        </w:rPr>
        <w:t>Escolaridad</w:t>
        <w:tab/>
      </w:r>
      <w:r>
        <w:rPr>
          <w:sz w:val="16"/>
        </w:rPr>
        <w:t> </w:t>
      </w:r>
      <w:r>
        <w:rPr>
          <w:w w:val="100"/>
          <w:sz w:val="16"/>
          <w:u w:val="dotted" w:color="6D6E71"/>
        </w:rPr>
        <w:t> </w:t>
      </w:r>
      <w:r>
        <w:rPr>
          <w:sz w:val="16"/>
          <w:u w:val="dotted" w:color="6D6E71"/>
        </w:rPr>
        <w:tab/>
      </w:r>
    </w:p>
    <w:p>
      <w:pPr>
        <w:pStyle w:val="BodyText"/>
        <w:spacing w:line="178" w:lineRule="exact" w:before="10"/>
        <w:ind w:left="1257"/>
      </w:pPr>
      <w:r>
        <w:rPr/>
        <w:br w:type="column"/>
      </w:r>
      <w:r>
        <w:rPr/>
        <w:t>los servicios esenciales. Dichas estructuras están asociadas a sectores estratégicos</w:t>
      </w:r>
    </w:p>
    <w:p>
      <w:pPr>
        <w:spacing w:after="0" w:line="178" w:lineRule="exact"/>
        <w:sectPr>
          <w:type w:val="continuous"/>
          <w:pgSz w:w="18830" w:h="12760" w:orient="landscape"/>
          <w:pgMar w:top="1420" w:bottom="280" w:left="720" w:right="720"/>
          <w:cols w:num="2" w:equalWidth="0">
            <w:col w:w="7821" w:space="463"/>
            <w:col w:w="9106"/>
          </w:cols>
        </w:sectPr>
      </w:pPr>
    </w:p>
    <w:p>
      <w:pPr>
        <w:tabs>
          <w:tab w:pos="1340" w:val="left" w:leader="none"/>
        </w:tabs>
        <w:spacing w:line="165" w:lineRule="exact" w:before="0"/>
        <w:ind w:left="243" w:right="0" w:firstLine="0"/>
        <w:jc w:val="left"/>
        <w:rPr>
          <w:sz w:val="16"/>
        </w:rPr>
      </w:pPr>
      <w:r>
        <w:rPr>
          <w:sz w:val="16"/>
        </w:rPr>
        <w:t>Vivienda</w:t>
        <w:tab/>
        <w:t>Porcentaje de</w:t>
      </w:r>
      <w:r>
        <w:rPr>
          <w:spacing w:val="4"/>
          <w:sz w:val="16"/>
        </w:rPr>
        <w:t> </w:t>
      </w:r>
      <w:r>
        <w:rPr>
          <w:sz w:val="16"/>
        </w:rPr>
        <w:t>viviendas</w:t>
      </w:r>
    </w:p>
    <w:p>
      <w:pPr>
        <w:spacing w:before="16"/>
        <w:ind w:left="1340" w:right="0" w:firstLine="0"/>
        <w:jc w:val="left"/>
        <w:rPr>
          <w:sz w:val="16"/>
        </w:rPr>
      </w:pPr>
      <w:r>
        <w:rPr>
          <w:sz w:val="16"/>
        </w:rPr>
        <w:t>sin agua entubada</w:t>
      </w:r>
    </w:p>
    <w:p>
      <w:pPr>
        <w:spacing w:line="165" w:lineRule="exact" w:before="0"/>
        <w:ind w:left="213" w:right="-20" w:firstLine="0"/>
        <w:jc w:val="left"/>
        <w:rPr>
          <w:sz w:val="16"/>
        </w:rPr>
      </w:pPr>
      <w:r>
        <w:rPr/>
        <w:br w:type="column"/>
      </w:r>
      <w:r>
        <w:rPr>
          <w:sz w:val="16"/>
        </w:rPr>
        <w:t>Porcentaje de</w:t>
      </w:r>
    </w:p>
    <w:p>
      <w:pPr>
        <w:spacing w:before="16"/>
        <w:ind w:left="213" w:right="-20" w:firstLine="0"/>
        <w:jc w:val="left"/>
        <w:rPr>
          <w:sz w:val="16"/>
        </w:rPr>
      </w:pPr>
      <w:r>
        <w:rPr>
          <w:sz w:val="16"/>
        </w:rPr>
        <w:t>viviendas sin</w:t>
      </w:r>
      <w:r>
        <w:rPr>
          <w:spacing w:val="-4"/>
          <w:sz w:val="16"/>
        </w:rPr>
        <w:t> </w:t>
      </w:r>
      <w:r>
        <w:rPr>
          <w:sz w:val="16"/>
        </w:rPr>
        <w:t>drenaje</w:t>
      </w:r>
    </w:p>
    <w:p>
      <w:pPr>
        <w:spacing w:line="165" w:lineRule="exact" w:before="0"/>
        <w:ind w:left="243" w:right="-17" w:firstLine="0"/>
        <w:jc w:val="left"/>
        <w:rPr>
          <w:sz w:val="16"/>
        </w:rPr>
      </w:pPr>
      <w:r>
        <w:rPr/>
        <w:br w:type="column"/>
      </w:r>
      <w:r>
        <w:rPr>
          <w:sz w:val="16"/>
        </w:rPr>
        <w:t>Porcentaje</w:t>
      </w:r>
    </w:p>
    <w:p>
      <w:pPr>
        <w:spacing w:line="261" w:lineRule="auto" w:before="16"/>
        <w:ind w:left="243" w:right="-17" w:firstLine="0"/>
        <w:jc w:val="left"/>
        <w:rPr>
          <w:sz w:val="16"/>
        </w:rPr>
      </w:pPr>
      <w:r>
        <w:rPr>
          <w:sz w:val="16"/>
        </w:rPr>
        <w:t>de viviendas</w:t>
      </w:r>
      <w:r>
        <w:rPr>
          <w:w w:val="99"/>
          <w:sz w:val="16"/>
        </w:rPr>
        <w:t> </w:t>
      </w:r>
      <w:r>
        <w:rPr>
          <w:sz w:val="16"/>
        </w:rPr>
        <w:t>sin energía</w:t>
      </w:r>
    </w:p>
    <w:p>
      <w:pPr>
        <w:spacing w:line="165" w:lineRule="exact" w:before="0"/>
        <w:ind w:left="243" w:right="-2" w:firstLine="0"/>
        <w:jc w:val="left"/>
        <w:rPr>
          <w:sz w:val="16"/>
        </w:rPr>
      </w:pPr>
      <w:r>
        <w:rPr/>
        <w:br w:type="column"/>
      </w:r>
      <w:r>
        <w:rPr>
          <w:sz w:val="16"/>
        </w:rPr>
        <w:t>Porcentaje de</w:t>
      </w:r>
    </w:p>
    <w:p>
      <w:pPr>
        <w:spacing w:line="261" w:lineRule="auto" w:before="16"/>
        <w:ind w:left="243" w:right="-2" w:firstLine="0"/>
        <w:jc w:val="left"/>
        <w:rPr>
          <w:sz w:val="16"/>
        </w:rPr>
      </w:pPr>
      <w:r>
        <w:rPr>
          <w:sz w:val="16"/>
        </w:rPr>
        <w:t>viviendas con piso</w:t>
      </w:r>
      <w:r>
        <w:rPr>
          <w:w w:val="102"/>
          <w:sz w:val="16"/>
        </w:rPr>
        <w:t> </w:t>
      </w:r>
      <w:r>
        <w:rPr>
          <w:sz w:val="16"/>
        </w:rPr>
        <w:t>de tierra</w:t>
      </w:r>
    </w:p>
    <w:p>
      <w:pPr>
        <w:pStyle w:val="BodyText"/>
        <w:spacing w:line="249" w:lineRule="auto" w:before="61"/>
        <w:ind w:left="243"/>
      </w:pPr>
      <w:r>
        <w:rPr/>
        <w:br w:type="column"/>
      </w:r>
      <w:r>
        <w:rPr/>
        <w:t>como administración, agua, alimentación, energía, industria nuclear, educación e investigación,  salud, etc.</w:t>
      </w:r>
    </w:p>
    <w:p>
      <w:pPr>
        <w:spacing w:after="0" w:line="249" w:lineRule="auto"/>
        <w:sectPr>
          <w:type w:val="continuous"/>
          <w:pgSz w:w="18830" w:h="12760" w:orient="landscape"/>
          <w:pgMar w:top="1420" w:bottom="280" w:left="720" w:right="720"/>
          <w:cols w:num="5" w:equalWidth="0">
            <w:col w:w="3045" w:space="40"/>
            <w:col w:w="1704" w:space="121"/>
            <w:col w:w="1136" w:space="118"/>
            <w:col w:w="1569" w:space="1566"/>
            <w:col w:w="8091"/>
          </w:cols>
        </w:sectPr>
      </w:pPr>
    </w:p>
    <w:p>
      <w:pPr>
        <w:pStyle w:val="BodyText"/>
        <w:spacing w:before="9"/>
        <w:rPr>
          <w:sz w:val="14"/>
        </w:rPr>
      </w:pPr>
    </w:p>
    <w:p>
      <w:pPr>
        <w:spacing w:before="1"/>
        <w:ind w:left="243" w:right="-18" w:firstLine="0"/>
        <w:jc w:val="left"/>
        <w:rPr>
          <w:sz w:val="16"/>
        </w:rPr>
      </w:pPr>
      <w:r>
        <w:rPr>
          <w:sz w:val="16"/>
        </w:rPr>
        <w:t>Empleo</w:t>
      </w:r>
      <w:r>
        <w:rPr>
          <w:spacing w:val="-4"/>
          <w:sz w:val="16"/>
        </w:rPr>
        <w:t> </w:t>
      </w:r>
      <w:r>
        <w:rPr>
          <w:sz w:val="16"/>
        </w:rPr>
        <w:t>e</w:t>
      </w:r>
    </w:p>
    <w:p>
      <w:pPr>
        <w:tabs>
          <w:tab w:pos="2155" w:val="left" w:leader="none"/>
          <w:tab w:pos="2283" w:val="left" w:leader="none"/>
          <w:tab w:pos="4010" w:val="left" w:leader="none"/>
          <w:tab w:pos="5264" w:val="left" w:leader="none"/>
          <w:tab w:pos="6806" w:val="left" w:leader="none"/>
        </w:tabs>
        <w:spacing w:line="170" w:lineRule="exact" w:before="14"/>
        <w:ind w:left="325" w:right="0" w:hanging="83"/>
        <w:jc w:val="left"/>
        <w:rPr>
          <w:sz w:val="16"/>
        </w:rPr>
      </w:pPr>
      <w:r>
        <w:rPr/>
        <w:br w:type="column"/>
      </w:r>
      <w:r>
        <w:rPr>
          <w:w w:val="100"/>
          <w:sz w:val="16"/>
          <w:u w:val="dotted" w:color="6D6E71"/>
        </w:rPr>
        <w:t> </w:t>
      </w:r>
      <w:r>
        <w:rPr>
          <w:sz w:val="16"/>
          <w:u w:val="dotted" w:color="6D6E71"/>
        </w:rPr>
        <w:tab/>
        <w:tab/>
      </w:r>
      <w:r>
        <w:rPr>
          <w:sz w:val="16"/>
        </w:rPr>
        <w:t> </w:t>
      </w:r>
      <w:r>
        <w:rPr>
          <w:w w:val="100"/>
          <w:sz w:val="16"/>
          <w:u w:val="dotted" w:color="6D6E71"/>
        </w:rPr>
        <w:t> </w:t>
      </w:r>
      <w:r>
        <w:rPr>
          <w:sz w:val="16"/>
          <w:u w:val="dotted" w:color="6D6E71"/>
        </w:rPr>
        <w:tab/>
        <w:tab/>
      </w:r>
      <w:r>
        <w:rPr>
          <w:sz w:val="16"/>
        </w:rPr>
        <w:t> </w:t>
      </w:r>
      <w:r>
        <w:rPr>
          <w:w w:val="100"/>
          <w:sz w:val="16"/>
          <w:u w:val="dotted" w:color="6D6E71"/>
        </w:rPr>
        <w:t> </w:t>
      </w:r>
      <w:r>
        <w:rPr>
          <w:spacing w:val="-6"/>
          <w:sz w:val="16"/>
          <w:u w:val="dotted" w:color="6D6E71"/>
        </w:rPr>
        <w:t> </w:t>
      </w:r>
      <w:r>
        <w:rPr>
          <w:sz w:val="16"/>
          <w:u w:val="dotted" w:color="6D6E71"/>
        </w:rPr>
        <w:t>eléctrica</w:t>
        <w:tab/>
      </w:r>
      <w:r>
        <w:rPr>
          <w:sz w:val="16"/>
          <w:u w:val="dotted" w:color="6D6E71"/>
        </w:rPr>
        <w:tab/>
      </w:r>
      <w:r>
        <w:rPr>
          <w:sz w:val="16"/>
        </w:rPr>
        <w:t> Razón</w:t>
      </w:r>
      <w:r>
        <w:rPr>
          <w:spacing w:val="-1"/>
          <w:sz w:val="16"/>
        </w:rPr>
        <w:t> </w:t>
      </w:r>
      <w:r>
        <w:rPr>
          <w:sz w:val="16"/>
        </w:rPr>
        <w:t>de</w:t>
      </w:r>
      <w:r>
        <w:rPr>
          <w:spacing w:val="-1"/>
          <w:sz w:val="16"/>
        </w:rPr>
        <w:t> </w:t>
      </w:r>
      <w:r>
        <w:rPr>
          <w:sz w:val="16"/>
        </w:rPr>
        <w:t>Dependencia</w:t>
        <w:tab/>
        <w:tab/>
        <w:t>Tasa</w:t>
      </w:r>
      <w:r>
        <w:rPr>
          <w:spacing w:val="-5"/>
          <w:sz w:val="16"/>
        </w:rPr>
        <w:t> </w:t>
      </w:r>
      <w:r>
        <w:rPr>
          <w:sz w:val="16"/>
        </w:rPr>
        <w:t>de</w:t>
      </w:r>
      <w:r>
        <w:rPr>
          <w:spacing w:val="-5"/>
          <w:sz w:val="16"/>
        </w:rPr>
        <w:t> </w:t>
      </w:r>
      <w:r>
        <w:rPr>
          <w:sz w:val="16"/>
        </w:rPr>
        <w:t>Desempleo Abierto</w:t>
      </w:r>
    </w:p>
    <w:p>
      <w:pPr>
        <w:pStyle w:val="BodyText"/>
        <w:spacing w:before="5"/>
        <w:rPr>
          <w:sz w:val="17"/>
        </w:rPr>
      </w:pPr>
      <w:r>
        <w:rPr/>
        <w:br w:type="column"/>
      </w:r>
      <w:r>
        <w:rPr>
          <w:sz w:val="17"/>
        </w:rPr>
      </w:r>
    </w:p>
    <w:p>
      <w:pPr>
        <w:pStyle w:val="BodyText"/>
        <w:spacing w:line="189" w:lineRule="exact"/>
        <w:ind w:left="243"/>
      </w:pPr>
      <w:r>
        <w:rPr/>
        <w:t>Para una primera aproximación, en este trabajo se consideraron tres elementos   del</w:t>
      </w:r>
    </w:p>
    <w:p>
      <w:pPr>
        <w:spacing w:after="0" w:line="189" w:lineRule="exact"/>
        <w:sectPr>
          <w:type w:val="continuous"/>
          <w:pgSz w:w="18830" w:h="12760" w:orient="landscape"/>
          <w:pgMar w:top="1420" w:bottom="280" w:left="720" w:right="720"/>
          <w:cols w:num="3" w:equalWidth="0">
            <w:col w:w="917" w:space="98"/>
            <w:col w:w="6807" w:space="1647"/>
            <w:col w:w="7921"/>
          </w:cols>
        </w:sectPr>
      </w:pPr>
    </w:p>
    <w:p>
      <w:pPr>
        <w:tabs>
          <w:tab w:pos="1212" w:val="left" w:leader="none"/>
          <w:tab w:pos="3169" w:val="left" w:leader="none"/>
          <w:tab w:pos="5024" w:val="left" w:leader="none"/>
          <w:tab w:pos="6278" w:val="left" w:leader="none"/>
          <w:tab w:pos="7820" w:val="left" w:leader="none"/>
        </w:tabs>
        <w:spacing w:line="158" w:lineRule="exact" w:before="0"/>
        <w:ind w:left="165" w:right="0" w:firstLine="0"/>
        <w:jc w:val="left"/>
        <w:rPr>
          <w:sz w:val="16"/>
        </w:rPr>
      </w:pPr>
      <w:r>
        <w:rPr>
          <w:w w:val="100"/>
          <w:sz w:val="16"/>
          <w:u w:val="dotted" w:color="6D6E71"/>
        </w:rPr>
        <w:t> </w:t>
      </w:r>
      <w:r>
        <w:rPr>
          <w:spacing w:val="-12"/>
          <w:sz w:val="16"/>
          <w:u w:val="dotted" w:color="6D6E71"/>
        </w:rPr>
        <w:t> </w:t>
      </w:r>
      <w:r>
        <w:rPr>
          <w:sz w:val="16"/>
          <w:u w:val="dotted" w:color="6D6E71"/>
        </w:rPr>
        <w:t>Ingresos</w:t>
        <w:tab/>
      </w:r>
      <w:r>
        <w:rPr>
          <w:sz w:val="16"/>
        </w:rPr>
        <w:t> </w:t>
      </w:r>
      <w:r>
        <w:rPr>
          <w:w w:val="100"/>
          <w:sz w:val="16"/>
          <w:u w:val="dotted" w:color="6D6E71"/>
        </w:rPr>
        <w:t> </w:t>
      </w:r>
      <w:r>
        <w:rPr>
          <w:sz w:val="16"/>
          <w:u w:val="dotted" w:color="6D6E71"/>
        </w:rPr>
        <w:tab/>
      </w:r>
      <w:r>
        <w:rPr>
          <w:sz w:val="16"/>
        </w:rPr>
        <w:t> </w:t>
      </w:r>
      <w:r>
        <w:rPr>
          <w:w w:val="100"/>
          <w:sz w:val="16"/>
          <w:u w:val="dotted" w:color="6D6E71"/>
        </w:rPr>
        <w:t> </w:t>
      </w:r>
      <w:r>
        <w:rPr>
          <w:sz w:val="16"/>
          <w:u w:val="dotted" w:color="6D6E71"/>
        </w:rPr>
        <w:tab/>
      </w:r>
      <w:r>
        <w:rPr>
          <w:sz w:val="16"/>
        </w:rPr>
        <w:t> </w:t>
      </w:r>
      <w:r>
        <w:rPr>
          <w:w w:val="100"/>
          <w:sz w:val="16"/>
          <w:u w:val="dotted" w:color="6D6E71"/>
        </w:rPr>
        <w:t> </w:t>
      </w:r>
      <w:r>
        <w:rPr>
          <w:sz w:val="16"/>
          <w:u w:val="dotted" w:color="6D6E71"/>
        </w:rPr>
        <w:tab/>
      </w:r>
      <w:r>
        <w:rPr>
          <w:sz w:val="16"/>
        </w:rPr>
        <w:t> </w:t>
      </w:r>
      <w:r>
        <w:rPr>
          <w:w w:val="100"/>
          <w:sz w:val="16"/>
          <w:u w:val="dotted" w:color="6D6E71"/>
        </w:rPr>
        <w:t> </w:t>
      </w:r>
      <w:r>
        <w:rPr>
          <w:sz w:val="16"/>
          <w:u w:val="dotted" w:color="6D6E71"/>
        </w:rPr>
        <w:tab/>
      </w:r>
    </w:p>
    <w:p>
      <w:pPr>
        <w:tabs>
          <w:tab w:pos="1212" w:val="left" w:leader="none"/>
          <w:tab w:pos="5069" w:val="left" w:leader="none"/>
          <w:tab w:pos="6278" w:val="left" w:leader="none"/>
          <w:tab w:pos="7820" w:val="left" w:leader="none"/>
        </w:tabs>
        <w:spacing w:line="542" w:lineRule="auto" w:before="0"/>
        <w:ind w:left="1867" w:right="18" w:hanging="1702"/>
        <w:jc w:val="left"/>
        <w:rPr>
          <w:sz w:val="16"/>
        </w:rPr>
      </w:pPr>
      <w:r>
        <w:rPr/>
        <w:pict>
          <v:line style="position:absolute;mso-position-horizontal-relative:page;mso-position-vertical-relative:paragraph;z-index:3280" from="42.769699pt,8.933105pt" to="42.769699pt,8.933105pt" stroked="true" strokeweight=".5pt" strokecolor="#6d6e71">
            <w10:wrap type="none"/>
          </v:line>
        </w:pict>
      </w:r>
      <w:r>
        <w:rPr>
          <w:w w:val="100"/>
          <w:sz w:val="16"/>
          <w:u w:val="dotted" w:color="6D6E71"/>
        </w:rPr>
        <w:t> </w:t>
      </w:r>
      <w:r>
        <w:rPr>
          <w:spacing w:val="-12"/>
          <w:sz w:val="16"/>
          <w:u w:val="dotted" w:color="6D6E71"/>
        </w:rPr>
        <w:t> </w:t>
      </w:r>
      <w:r>
        <w:rPr>
          <w:sz w:val="16"/>
          <w:u w:val="dotted" w:color="6D6E71"/>
        </w:rPr>
        <w:t>Población</w:t>
        <w:tab/>
      </w:r>
      <w:r>
        <w:rPr>
          <w:sz w:val="16"/>
          <w:u w:val="dotted" w:color="6D6E71"/>
        </w:rPr>
        <w:t>Porcentaje de la població</w:t>
      </w:r>
      <w:r>
        <w:rPr>
          <w:sz w:val="16"/>
        </w:rPr>
        <w:t>n de</w:t>
      </w:r>
      <w:r>
        <w:rPr>
          <w:spacing w:val="10"/>
          <w:sz w:val="16"/>
        </w:rPr>
        <w:t> </w:t>
      </w:r>
      <w:r>
        <w:rPr>
          <w:sz w:val="16"/>
        </w:rPr>
        <w:t>habla</w:t>
      </w:r>
      <w:r>
        <w:rPr>
          <w:spacing w:val="2"/>
          <w:sz w:val="16"/>
        </w:rPr>
        <w:t> </w:t>
      </w:r>
      <w:r>
        <w:rPr>
          <w:sz w:val="16"/>
        </w:rPr>
        <w:t>indígena</w:t>
        <w:tab/>
      </w:r>
      <w:r>
        <w:rPr>
          <w:w w:val="100"/>
          <w:sz w:val="16"/>
          <w:u w:val="dotted" w:color="6D6E71"/>
        </w:rPr>
        <w:t> </w:t>
      </w:r>
      <w:r>
        <w:rPr>
          <w:sz w:val="16"/>
          <w:u w:val="dotted" w:color="6D6E71"/>
        </w:rPr>
        <w:tab/>
      </w:r>
      <w:r>
        <w:rPr>
          <w:sz w:val="16"/>
        </w:rPr>
        <w:t> </w:t>
      </w:r>
      <w:r>
        <w:rPr>
          <w:w w:val="100"/>
          <w:sz w:val="16"/>
          <w:u w:val="dotted" w:color="6D6E71"/>
        </w:rPr>
        <w:t> </w:t>
      </w:r>
      <w:r>
        <w:rPr>
          <w:sz w:val="16"/>
          <w:u w:val="dotted" w:color="6D6E71"/>
        </w:rPr>
        <w:tab/>
      </w:r>
      <w:r>
        <w:rPr>
          <w:sz w:val="16"/>
        </w:rPr>
        <w:t> </w:t>
      </w:r>
      <w:r>
        <w:rPr>
          <w:color w:val="6D6E71"/>
          <w:sz w:val="16"/>
        </w:rPr>
        <w:t>Fuente:</w:t>
      </w:r>
      <w:r>
        <w:rPr>
          <w:color w:val="6D6E71"/>
          <w:spacing w:val="-7"/>
          <w:sz w:val="16"/>
        </w:rPr>
        <w:t> </w:t>
      </w:r>
      <w:r>
        <w:rPr>
          <w:color w:val="6D6E71"/>
          <w:sz w:val="16"/>
        </w:rPr>
        <w:t>Elaboración</w:t>
      </w:r>
      <w:r>
        <w:rPr>
          <w:color w:val="6D6E71"/>
          <w:spacing w:val="-7"/>
          <w:sz w:val="16"/>
        </w:rPr>
        <w:t> </w:t>
      </w:r>
      <w:r>
        <w:rPr>
          <w:color w:val="6D6E71"/>
          <w:sz w:val="16"/>
        </w:rPr>
        <w:t>propia</w:t>
      </w:r>
      <w:r>
        <w:rPr>
          <w:color w:val="6D6E71"/>
          <w:spacing w:val="-7"/>
          <w:sz w:val="16"/>
        </w:rPr>
        <w:t> </w:t>
      </w:r>
      <w:r>
        <w:rPr>
          <w:color w:val="6D6E71"/>
          <w:sz w:val="16"/>
        </w:rPr>
        <w:t>con</w:t>
      </w:r>
      <w:r>
        <w:rPr>
          <w:color w:val="6D6E71"/>
          <w:spacing w:val="-7"/>
          <w:sz w:val="16"/>
        </w:rPr>
        <w:t> </w:t>
      </w:r>
      <w:r>
        <w:rPr>
          <w:color w:val="6D6E71"/>
          <w:sz w:val="16"/>
        </w:rPr>
        <w:t>base</w:t>
      </w:r>
      <w:r>
        <w:rPr>
          <w:color w:val="6D6E71"/>
          <w:spacing w:val="-7"/>
          <w:sz w:val="16"/>
        </w:rPr>
        <w:t> </w:t>
      </w:r>
      <w:r>
        <w:rPr>
          <w:color w:val="6D6E71"/>
          <w:sz w:val="16"/>
        </w:rPr>
        <w:t>en</w:t>
      </w:r>
      <w:r>
        <w:rPr>
          <w:color w:val="6D6E71"/>
          <w:spacing w:val="-7"/>
          <w:sz w:val="16"/>
        </w:rPr>
        <w:t> </w:t>
      </w:r>
      <w:r>
        <w:rPr>
          <w:color w:val="6D6E71"/>
          <w:sz w:val="16"/>
        </w:rPr>
        <w:t>CENAPRED</w:t>
      </w:r>
      <w:r>
        <w:rPr>
          <w:color w:val="6D6E71"/>
          <w:spacing w:val="-7"/>
          <w:sz w:val="16"/>
        </w:rPr>
        <w:t> </w:t>
      </w:r>
      <w:r>
        <w:rPr>
          <w:color w:val="6D6E71"/>
          <w:sz w:val="16"/>
        </w:rPr>
        <w:t>(2006)</w:t>
      </w:r>
    </w:p>
    <w:p>
      <w:pPr>
        <w:pStyle w:val="BodyText"/>
        <w:spacing w:line="249" w:lineRule="auto" w:before="33"/>
        <w:ind w:left="130" w:firstLine="170"/>
        <w:jc w:val="both"/>
      </w:pPr>
      <w:r>
        <w:rPr/>
        <w:t>Los indicadores se desarrollaron a partir de la información del Censo de Población    y Vivienda 2010 realizado por el Instituto de Nacional de Estadística y Geografía. El tratamiento</w:t>
      </w:r>
      <w:r>
        <w:rPr>
          <w:spacing w:val="-18"/>
        </w:rPr>
        <w:t> </w:t>
      </w:r>
      <w:r>
        <w:rPr/>
        <w:t>estadístico</w:t>
      </w:r>
      <w:r>
        <w:rPr>
          <w:spacing w:val="-18"/>
        </w:rPr>
        <w:t> </w:t>
      </w:r>
      <w:r>
        <w:rPr/>
        <w:t>de</w:t>
      </w:r>
      <w:r>
        <w:rPr>
          <w:spacing w:val="-18"/>
        </w:rPr>
        <w:t> </w:t>
      </w:r>
      <w:r>
        <w:rPr/>
        <w:t>los</w:t>
      </w:r>
      <w:r>
        <w:rPr>
          <w:spacing w:val="-18"/>
        </w:rPr>
        <w:t> </w:t>
      </w:r>
      <w:r>
        <w:rPr/>
        <w:t>datos</w:t>
      </w:r>
      <w:r>
        <w:rPr>
          <w:spacing w:val="-18"/>
        </w:rPr>
        <w:t> </w:t>
      </w:r>
      <w:r>
        <w:rPr/>
        <w:t>se</w:t>
      </w:r>
      <w:r>
        <w:rPr>
          <w:spacing w:val="-18"/>
        </w:rPr>
        <w:t> </w:t>
      </w:r>
      <w:r>
        <w:rPr/>
        <w:t>realizó</w:t>
      </w:r>
      <w:r>
        <w:rPr>
          <w:spacing w:val="-18"/>
        </w:rPr>
        <w:t> </w:t>
      </w:r>
      <w:r>
        <w:rPr/>
        <w:t>en</w:t>
      </w:r>
      <w:r>
        <w:rPr>
          <w:spacing w:val="-18"/>
        </w:rPr>
        <w:t> </w:t>
      </w:r>
      <w:r>
        <w:rPr/>
        <w:t>un</w:t>
      </w:r>
      <w:r>
        <w:rPr>
          <w:spacing w:val="-18"/>
        </w:rPr>
        <w:t> </w:t>
      </w:r>
      <w:r>
        <w:rPr>
          <w:i/>
        </w:rPr>
        <w:t>software</w:t>
      </w:r>
      <w:r>
        <w:rPr>
          <w:i/>
          <w:spacing w:val="-18"/>
        </w:rPr>
        <w:t> </w:t>
      </w:r>
      <w:r>
        <w:rPr/>
        <w:t>de</w:t>
      </w:r>
      <w:r>
        <w:rPr>
          <w:spacing w:val="-18"/>
        </w:rPr>
        <w:t> </w:t>
      </w:r>
      <w:r>
        <w:rPr/>
        <w:t>cálculo</w:t>
      </w:r>
      <w:r>
        <w:rPr>
          <w:spacing w:val="-18"/>
        </w:rPr>
        <w:t> </w:t>
      </w:r>
      <w:r>
        <w:rPr/>
        <w:t>y</w:t>
      </w:r>
      <w:r>
        <w:rPr>
          <w:spacing w:val="-18"/>
        </w:rPr>
        <w:t> </w:t>
      </w:r>
      <w:r>
        <w:rPr/>
        <w:t>posteriormente se trasladó a un ambiente SIG para su representación</w:t>
      </w:r>
      <w:r>
        <w:rPr>
          <w:spacing w:val="12"/>
        </w:rPr>
        <w:t> </w:t>
      </w:r>
      <w:r>
        <w:rPr/>
        <w:t>espacial.</w:t>
      </w:r>
    </w:p>
    <w:p>
      <w:pPr>
        <w:pStyle w:val="BodyText"/>
        <w:spacing w:before="11"/>
      </w:pPr>
    </w:p>
    <w:p>
      <w:pPr>
        <w:spacing w:before="0"/>
        <w:ind w:left="300" w:right="-7" w:firstLine="0"/>
        <w:jc w:val="left"/>
        <w:rPr>
          <w:i/>
          <w:sz w:val="20"/>
        </w:rPr>
      </w:pPr>
      <w:r>
        <w:rPr>
          <w:i/>
          <w:sz w:val="20"/>
        </w:rPr>
        <w:t>Exposición</w:t>
      </w:r>
    </w:p>
    <w:p>
      <w:pPr>
        <w:pStyle w:val="BodyText"/>
        <w:spacing w:before="8"/>
        <w:rPr>
          <w:i/>
          <w:sz w:val="21"/>
        </w:rPr>
      </w:pPr>
    </w:p>
    <w:p>
      <w:pPr>
        <w:pStyle w:val="BodyText"/>
        <w:spacing w:line="249" w:lineRule="auto"/>
        <w:ind w:left="130" w:right="1" w:firstLine="170"/>
        <w:jc w:val="both"/>
      </w:pPr>
      <w:r>
        <w:rPr/>
        <w:t>Este</w:t>
      </w:r>
      <w:r>
        <w:rPr>
          <w:spacing w:val="-5"/>
        </w:rPr>
        <w:t> </w:t>
      </w:r>
      <w:r>
        <w:rPr/>
        <w:t>elemento</w:t>
      </w:r>
      <w:r>
        <w:rPr>
          <w:spacing w:val="-5"/>
        </w:rPr>
        <w:t> </w:t>
      </w:r>
      <w:r>
        <w:rPr/>
        <w:t>del</w:t>
      </w:r>
      <w:r>
        <w:rPr>
          <w:spacing w:val="-5"/>
        </w:rPr>
        <w:t> </w:t>
      </w:r>
      <w:r>
        <w:rPr/>
        <w:t>riesgo</w:t>
      </w:r>
      <w:r>
        <w:rPr>
          <w:spacing w:val="-5"/>
        </w:rPr>
        <w:t> </w:t>
      </w:r>
      <w:r>
        <w:rPr/>
        <w:t>es</w:t>
      </w:r>
      <w:r>
        <w:rPr>
          <w:spacing w:val="-5"/>
        </w:rPr>
        <w:t> </w:t>
      </w:r>
      <w:r>
        <w:rPr/>
        <w:t>relativo</w:t>
      </w:r>
      <w:r>
        <w:rPr>
          <w:spacing w:val="-5"/>
        </w:rPr>
        <w:t> </w:t>
      </w:r>
      <w:r>
        <w:rPr/>
        <w:t>a</w:t>
      </w:r>
      <w:r>
        <w:rPr>
          <w:spacing w:val="-5"/>
        </w:rPr>
        <w:t> </w:t>
      </w:r>
      <w:r>
        <w:rPr/>
        <w:t>la</w:t>
      </w:r>
      <w:r>
        <w:rPr>
          <w:spacing w:val="-5"/>
        </w:rPr>
        <w:t> </w:t>
      </w:r>
      <w:r>
        <w:rPr/>
        <w:t>cantidad</w:t>
      </w:r>
      <w:r>
        <w:rPr>
          <w:spacing w:val="-5"/>
        </w:rPr>
        <w:t> </w:t>
      </w:r>
      <w:r>
        <w:rPr/>
        <w:t>de</w:t>
      </w:r>
      <w:r>
        <w:rPr>
          <w:spacing w:val="-5"/>
        </w:rPr>
        <w:t> </w:t>
      </w:r>
      <w:r>
        <w:rPr/>
        <w:t>personas,</w:t>
      </w:r>
      <w:r>
        <w:rPr>
          <w:spacing w:val="-5"/>
        </w:rPr>
        <w:t> </w:t>
      </w:r>
      <w:r>
        <w:rPr/>
        <w:t>bienes</w:t>
      </w:r>
      <w:r>
        <w:rPr>
          <w:spacing w:val="-5"/>
        </w:rPr>
        <w:t> </w:t>
      </w:r>
      <w:r>
        <w:rPr/>
        <w:t>y</w:t>
      </w:r>
      <w:r>
        <w:rPr>
          <w:spacing w:val="-5"/>
        </w:rPr>
        <w:t> </w:t>
      </w:r>
      <w:r>
        <w:rPr/>
        <w:t>sistemas</w:t>
      </w:r>
      <w:r>
        <w:rPr>
          <w:spacing w:val="-5"/>
        </w:rPr>
        <w:t> </w:t>
      </w:r>
      <w:r>
        <w:rPr/>
        <w:t>que son factibles de ser dañados por algún proceso </w:t>
      </w:r>
      <w:r>
        <w:rPr>
          <w:spacing w:val="4"/>
        </w:rPr>
        <w:t> </w:t>
      </w:r>
      <w:r>
        <w:rPr/>
        <w:t>natural.</w:t>
      </w:r>
    </w:p>
    <w:p>
      <w:pPr>
        <w:pStyle w:val="BodyText"/>
        <w:spacing w:before="11"/>
      </w:pPr>
    </w:p>
    <w:p>
      <w:pPr>
        <w:pStyle w:val="BodyText"/>
        <w:spacing w:line="249" w:lineRule="auto"/>
        <w:ind w:left="130" w:firstLine="170"/>
        <w:jc w:val="both"/>
      </w:pPr>
      <w:r>
        <w:rPr/>
        <w:t>El manejo de los riesgos debe ser abordado desde una perspectiva integral, es</w:t>
      </w:r>
      <w:r>
        <w:rPr>
          <w:spacing w:val="-23"/>
        </w:rPr>
        <w:t> </w:t>
      </w:r>
      <w:r>
        <w:rPr/>
        <w:t>decir, los elementos no deben ser aislados o independizados, en especial en escenarios de riesgo sísmico, en los cuales la cantidad y variedad de elementos expuestos aumenta dada</w:t>
      </w:r>
      <w:r>
        <w:rPr>
          <w:spacing w:val="-21"/>
        </w:rPr>
        <w:t> </w:t>
      </w:r>
      <w:r>
        <w:rPr/>
        <w:t>la</w:t>
      </w:r>
      <w:r>
        <w:rPr>
          <w:spacing w:val="-21"/>
        </w:rPr>
        <w:t> </w:t>
      </w:r>
      <w:r>
        <w:rPr/>
        <w:t>naturaleza,</w:t>
      </w:r>
      <w:r>
        <w:rPr>
          <w:spacing w:val="-21"/>
        </w:rPr>
        <w:t> </w:t>
      </w:r>
      <w:r>
        <w:rPr/>
        <w:t>génesis</w:t>
      </w:r>
      <w:r>
        <w:rPr>
          <w:spacing w:val="-21"/>
        </w:rPr>
        <w:t> </w:t>
      </w:r>
      <w:r>
        <w:rPr/>
        <w:t>y</w:t>
      </w:r>
      <w:r>
        <w:rPr>
          <w:spacing w:val="-21"/>
        </w:rPr>
        <w:t> </w:t>
      </w:r>
      <w:r>
        <w:rPr/>
        <w:t>dinámica</w:t>
      </w:r>
      <w:r>
        <w:rPr>
          <w:spacing w:val="-21"/>
        </w:rPr>
        <w:t> </w:t>
      </w:r>
      <w:r>
        <w:rPr/>
        <w:t>de</w:t>
      </w:r>
      <w:r>
        <w:rPr>
          <w:spacing w:val="-21"/>
        </w:rPr>
        <w:t> </w:t>
      </w:r>
      <w:r>
        <w:rPr/>
        <w:t>la</w:t>
      </w:r>
      <w:r>
        <w:rPr>
          <w:spacing w:val="-21"/>
        </w:rPr>
        <w:t> </w:t>
      </w:r>
      <w:r>
        <w:rPr/>
        <w:t>amenaza.</w:t>
      </w:r>
      <w:r>
        <w:rPr>
          <w:spacing w:val="-21"/>
        </w:rPr>
        <w:t> </w:t>
      </w:r>
      <w:r>
        <w:rPr/>
        <w:t>Kyriazis</w:t>
      </w:r>
      <w:r>
        <w:rPr>
          <w:spacing w:val="-21"/>
        </w:rPr>
        <w:t> </w:t>
      </w:r>
      <w:r>
        <w:rPr/>
        <w:t>y</w:t>
      </w:r>
      <w:r>
        <w:rPr>
          <w:spacing w:val="-21"/>
        </w:rPr>
        <w:t> </w:t>
      </w:r>
      <w:r>
        <w:rPr/>
        <w:t>Kalliopi</w:t>
      </w:r>
      <w:r>
        <w:rPr>
          <w:spacing w:val="-21"/>
        </w:rPr>
        <w:t> </w:t>
      </w:r>
      <w:r>
        <w:rPr/>
        <w:t>(2011),</w:t>
      </w:r>
      <w:r>
        <w:rPr>
          <w:spacing w:val="-21"/>
        </w:rPr>
        <w:t> </w:t>
      </w:r>
      <w:r>
        <w:rPr/>
        <w:t>abordan este</w:t>
      </w:r>
      <w:r>
        <w:rPr>
          <w:spacing w:val="-7"/>
        </w:rPr>
        <w:t> </w:t>
      </w:r>
      <w:r>
        <w:rPr/>
        <w:t>tema</w:t>
      </w:r>
      <w:r>
        <w:rPr>
          <w:spacing w:val="-7"/>
        </w:rPr>
        <w:t> </w:t>
      </w:r>
      <w:r>
        <w:rPr/>
        <w:t>cuando</w:t>
      </w:r>
      <w:r>
        <w:rPr>
          <w:spacing w:val="-7"/>
        </w:rPr>
        <w:t> </w:t>
      </w:r>
      <w:r>
        <w:rPr/>
        <w:t>plantean</w:t>
      </w:r>
      <w:r>
        <w:rPr>
          <w:spacing w:val="-7"/>
        </w:rPr>
        <w:t> </w:t>
      </w:r>
      <w:r>
        <w:rPr/>
        <w:t>que</w:t>
      </w:r>
      <w:r>
        <w:rPr>
          <w:spacing w:val="-7"/>
        </w:rPr>
        <w:t> </w:t>
      </w:r>
      <w:r>
        <w:rPr/>
        <w:t>un</w:t>
      </w:r>
      <w:r>
        <w:rPr>
          <w:spacing w:val="-7"/>
        </w:rPr>
        <w:t> </w:t>
      </w:r>
      <w:r>
        <w:rPr/>
        <w:t>análisis</w:t>
      </w:r>
      <w:r>
        <w:rPr>
          <w:spacing w:val="-7"/>
        </w:rPr>
        <w:t> </w:t>
      </w:r>
      <w:r>
        <w:rPr/>
        <w:t>convencional</w:t>
      </w:r>
      <w:r>
        <w:rPr>
          <w:spacing w:val="-7"/>
        </w:rPr>
        <w:t> </w:t>
      </w:r>
      <w:r>
        <w:rPr/>
        <w:t>se</w:t>
      </w:r>
      <w:r>
        <w:rPr>
          <w:spacing w:val="-7"/>
        </w:rPr>
        <w:t> </w:t>
      </w:r>
      <w:r>
        <w:rPr/>
        <w:t>limita</w:t>
      </w:r>
      <w:r>
        <w:rPr>
          <w:spacing w:val="-7"/>
        </w:rPr>
        <w:t> </w:t>
      </w:r>
      <w:r>
        <w:rPr/>
        <w:t>a</w:t>
      </w:r>
      <w:r>
        <w:rPr>
          <w:spacing w:val="-7"/>
        </w:rPr>
        <w:t> </w:t>
      </w:r>
      <w:r>
        <w:rPr/>
        <w:t>la</w:t>
      </w:r>
      <w:r>
        <w:rPr>
          <w:spacing w:val="-7"/>
        </w:rPr>
        <w:t> </w:t>
      </w:r>
      <w:r>
        <w:rPr/>
        <w:t>evaluación</w:t>
      </w:r>
      <w:r>
        <w:rPr>
          <w:spacing w:val="-7"/>
        </w:rPr>
        <w:t> </w:t>
      </w:r>
      <w:r>
        <w:rPr/>
        <w:t>de</w:t>
      </w:r>
      <w:r>
        <w:rPr>
          <w:spacing w:val="-7"/>
        </w:rPr>
        <w:t> </w:t>
      </w:r>
      <w:r>
        <w:rPr/>
        <w:t>los efectos directos, en función del peligro sísmico y la </w:t>
      </w:r>
      <w:r>
        <w:rPr>
          <w:spacing w:val="15"/>
        </w:rPr>
        <w:t> </w:t>
      </w:r>
      <w:r>
        <w:rPr/>
        <w:t>vulnerabilidad.</w:t>
      </w:r>
    </w:p>
    <w:p>
      <w:pPr>
        <w:pStyle w:val="BodyText"/>
        <w:spacing w:before="11"/>
      </w:pPr>
    </w:p>
    <w:p>
      <w:pPr>
        <w:pStyle w:val="BodyText"/>
        <w:spacing w:line="249" w:lineRule="auto"/>
        <w:ind w:left="130" w:firstLine="170"/>
        <w:jc w:val="both"/>
      </w:pPr>
      <w:r>
        <w:rPr/>
        <w:t>Los mismos autores plantean que un estudio avanzado contempla las líneas vitales, servicios</w:t>
      </w:r>
      <w:r>
        <w:rPr>
          <w:spacing w:val="-7"/>
        </w:rPr>
        <w:t> </w:t>
      </w:r>
      <w:r>
        <w:rPr/>
        <w:t>públicos</w:t>
      </w:r>
      <w:r>
        <w:rPr>
          <w:spacing w:val="-7"/>
        </w:rPr>
        <w:t> </w:t>
      </w:r>
      <w:r>
        <w:rPr/>
        <w:t>e</w:t>
      </w:r>
      <w:r>
        <w:rPr>
          <w:spacing w:val="-7"/>
        </w:rPr>
        <w:t> </w:t>
      </w:r>
      <w:r>
        <w:rPr/>
        <w:t>infraestructuras,</w:t>
      </w:r>
      <w:r>
        <w:rPr>
          <w:spacing w:val="-7"/>
        </w:rPr>
        <w:t> </w:t>
      </w:r>
      <w:r>
        <w:rPr/>
        <w:t>considerando</w:t>
      </w:r>
      <w:r>
        <w:rPr>
          <w:spacing w:val="-7"/>
        </w:rPr>
        <w:t> </w:t>
      </w:r>
      <w:r>
        <w:rPr/>
        <w:t>a</w:t>
      </w:r>
      <w:r>
        <w:rPr>
          <w:spacing w:val="-7"/>
        </w:rPr>
        <w:t> </w:t>
      </w:r>
      <w:r>
        <w:rPr/>
        <w:t>estos</w:t>
      </w:r>
      <w:r>
        <w:rPr>
          <w:spacing w:val="-7"/>
        </w:rPr>
        <w:t> </w:t>
      </w:r>
      <w:r>
        <w:rPr/>
        <w:t>como</w:t>
      </w:r>
      <w:r>
        <w:rPr>
          <w:spacing w:val="-7"/>
        </w:rPr>
        <w:t> </w:t>
      </w:r>
      <w:r>
        <w:rPr/>
        <w:t>elementos</w:t>
      </w:r>
      <w:r>
        <w:rPr>
          <w:spacing w:val="-7"/>
        </w:rPr>
        <w:t> </w:t>
      </w:r>
      <w:r>
        <w:rPr/>
        <w:t>del</w:t>
      </w:r>
      <w:r>
        <w:rPr>
          <w:spacing w:val="-7"/>
        </w:rPr>
        <w:t> </w:t>
      </w:r>
      <w:r>
        <w:rPr/>
        <w:t>sistema urbano, por lo cual deben considerarse las relaciones funcionales en el escenario de riesgo. Al respecto existen conceptos más complejos que sugieren la creación de una variable denominada “exposición territorial” la cual cuantifica la relación entre el valor económico</w:t>
      </w:r>
      <w:r>
        <w:rPr>
          <w:spacing w:val="-6"/>
        </w:rPr>
        <w:t> </w:t>
      </w:r>
      <w:r>
        <w:rPr/>
        <w:t>de</w:t>
      </w:r>
      <w:r>
        <w:rPr>
          <w:spacing w:val="-6"/>
        </w:rPr>
        <w:t> </w:t>
      </w:r>
      <w:r>
        <w:rPr/>
        <w:t>determinada</w:t>
      </w:r>
      <w:r>
        <w:rPr>
          <w:spacing w:val="-6"/>
        </w:rPr>
        <w:t> </w:t>
      </w:r>
      <w:r>
        <w:rPr/>
        <w:t>unidad</w:t>
      </w:r>
      <w:r>
        <w:rPr>
          <w:spacing w:val="-6"/>
        </w:rPr>
        <w:t> </w:t>
      </w:r>
      <w:r>
        <w:rPr/>
        <w:t>geográfica</w:t>
      </w:r>
      <w:r>
        <w:rPr>
          <w:spacing w:val="-6"/>
        </w:rPr>
        <w:t> </w:t>
      </w:r>
      <w:r>
        <w:rPr/>
        <w:t>y</w:t>
      </w:r>
      <w:r>
        <w:rPr>
          <w:spacing w:val="-6"/>
        </w:rPr>
        <w:t> </w:t>
      </w:r>
      <w:r>
        <w:rPr/>
        <w:t>los</w:t>
      </w:r>
      <w:r>
        <w:rPr>
          <w:spacing w:val="-6"/>
        </w:rPr>
        <w:t> </w:t>
      </w:r>
      <w:r>
        <w:rPr/>
        <w:t>peligros</w:t>
      </w:r>
      <w:r>
        <w:rPr>
          <w:spacing w:val="-6"/>
        </w:rPr>
        <w:t> </w:t>
      </w:r>
      <w:r>
        <w:rPr/>
        <w:t>a</w:t>
      </w:r>
      <w:r>
        <w:rPr>
          <w:spacing w:val="-6"/>
        </w:rPr>
        <w:t> </w:t>
      </w:r>
      <w:r>
        <w:rPr/>
        <w:t>los</w:t>
      </w:r>
      <w:r>
        <w:rPr>
          <w:spacing w:val="-6"/>
        </w:rPr>
        <w:t> </w:t>
      </w:r>
      <w:r>
        <w:rPr/>
        <w:t>que</w:t>
      </w:r>
      <w:r>
        <w:rPr>
          <w:spacing w:val="-6"/>
        </w:rPr>
        <w:t> </w:t>
      </w:r>
      <w:r>
        <w:rPr/>
        <w:t>se</w:t>
      </w:r>
      <w:r>
        <w:rPr>
          <w:spacing w:val="-6"/>
        </w:rPr>
        <w:t> </w:t>
      </w:r>
      <w:r>
        <w:rPr/>
        <w:t>haya</w:t>
      </w:r>
      <w:r>
        <w:rPr>
          <w:spacing w:val="-6"/>
        </w:rPr>
        <w:t> </w:t>
      </w:r>
      <w:r>
        <w:rPr/>
        <w:t>expuesta </w:t>
      </w:r>
      <w:r>
        <w:rPr>
          <w:w w:val="95"/>
        </w:rPr>
        <w:t>(Ruíz,</w:t>
      </w:r>
      <w:r>
        <w:rPr>
          <w:spacing w:val="5"/>
          <w:w w:val="95"/>
        </w:rPr>
        <w:t> </w:t>
      </w:r>
      <w:r>
        <w:rPr>
          <w:w w:val="95"/>
        </w:rPr>
        <w:t>2012).</w:t>
      </w:r>
    </w:p>
    <w:p>
      <w:pPr>
        <w:pStyle w:val="BodyText"/>
        <w:spacing w:line="249" w:lineRule="auto" w:before="50"/>
        <w:ind w:left="130" w:right="127"/>
        <w:jc w:val="both"/>
      </w:pPr>
      <w:r>
        <w:rPr/>
        <w:br w:type="column"/>
      </w:r>
      <w:r>
        <w:rPr/>
        <w:t>sistema urbano: estaciones de bomberos, albergues y estaciones de gasolina. Mismos que fueron sobrepuestos sobre el modelo de riesgo resultante con base los resultados de vulnerabilidad estructural y  socieoconómica.</w:t>
      </w:r>
    </w:p>
    <w:p>
      <w:pPr>
        <w:pStyle w:val="BodyText"/>
        <w:spacing w:before="8"/>
        <w:rPr>
          <w:sz w:val="17"/>
        </w:rPr>
      </w:pPr>
    </w:p>
    <w:p>
      <w:pPr>
        <w:pStyle w:val="Heading1"/>
        <w:ind w:right="-10"/>
      </w:pPr>
      <w:r>
        <w:rPr/>
        <w:t>Resultados</w:t>
      </w:r>
    </w:p>
    <w:p>
      <w:pPr>
        <w:pStyle w:val="BodyText"/>
        <w:rPr>
          <w:b/>
          <w:sz w:val="24"/>
        </w:rPr>
      </w:pPr>
    </w:p>
    <w:p>
      <w:pPr>
        <w:pStyle w:val="BodyText"/>
        <w:spacing w:line="249" w:lineRule="auto" w:before="205"/>
        <w:ind w:left="130" w:right="127" w:firstLine="170"/>
        <w:jc w:val="both"/>
      </w:pPr>
      <w:r>
        <w:rPr/>
        <w:pict>
          <v:shape style="position:absolute;margin-left:542.283508pt;margin-top:81.219269pt;width:327.1pt;height:226.05pt;mso-position-horizontal-relative:page;mso-position-vertical-relative:paragraph;z-index:-649648" type="#_x0000_t202" filled="false" stroked="false">
            <v:textbox inset="0,0,0,0">
              <w:txbxContent>
                <w:p>
                  <w:pPr>
                    <w:pStyle w:val="BodyText"/>
                    <w:spacing w:before="7"/>
                    <w:rPr>
                      <w:sz w:val="22"/>
                    </w:rPr>
                  </w:pPr>
                </w:p>
                <w:p>
                  <w:pPr>
                    <w:pStyle w:val="BodyText"/>
                    <w:ind w:left="244"/>
                  </w:pPr>
                  <w:r>
                    <w:rPr>
                      <w:color w:val="6D6E71"/>
                    </w:rPr>
                    <w:t>Figura 4. Mapa de vulnerabilidad estructural en la ciudad de Tijuana</w:t>
                  </w:r>
                </w:p>
              </w:txbxContent>
            </v:textbox>
            <w10:wrap type="none"/>
          </v:shape>
        </w:pict>
      </w:r>
      <w:r>
        <w:rPr/>
        <w:drawing>
          <wp:anchor distT="0" distB="0" distL="0" distR="0" allowOverlap="1" layoutInCell="1" locked="0" behindDoc="0" simplePos="0" relativeHeight="3304">
            <wp:simplePos x="0" y="0"/>
            <wp:positionH relativeFrom="page">
              <wp:posOffset>6887000</wp:posOffset>
            </wp:positionH>
            <wp:positionV relativeFrom="paragraph">
              <wp:posOffset>1031484</wp:posOffset>
            </wp:positionV>
            <wp:extent cx="4153998" cy="2870250"/>
            <wp:effectExtent l="0" t="0" r="0" b="0"/>
            <wp:wrapNone/>
            <wp:docPr id="25" name="image31.jpeg" descr=""/>
            <wp:cNvGraphicFramePr>
              <a:graphicFrameLocks noChangeAspect="1"/>
            </wp:cNvGraphicFramePr>
            <a:graphic>
              <a:graphicData uri="http://schemas.openxmlformats.org/drawingml/2006/picture">
                <pic:pic>
                  <pic:nvPicPr>
                    <pic:cNvPr id="26" name="image31.jpeg"/>
                    <pic:cNvPicPr/>
                  </pic:nvPicPr>
                  <pic:blipFill>
                    <a:blip r:embed="rId122" cstate="print"/>
                    <a:stretch>
                      <a:fillRect/>
                    </a:stretch>
                  </pic:blipFill>
                  <pic:spPr>
                    <a:xfrm>
                      <a:off x="0" y="0"/>
                      <a:ext cx="4153998" cy="2870250"/>
                    </a:xfrm>
                    <a:prstGeom prst="rect">
                      <a:avLst/>
                    </a:prstGeom>
                  </pic:spPr>
                </pic:pic>
              </a:graphicData>
            </a:graphic>
          </wp:anchor>
        </w:drawing>
      </w:r>
      <w:r>
        <w:rPr/>
        <w:t>Se identificó la región de respuesta máxima para la zona urbana de Tijuana; a partir de esto se determinaron tres rangos de vulnerabilidad estructural: bajo, medio y alto, siendo este último el que contiene los períodos de vibración de 0.7 a 1.2 segundos. Dichos valores se presentan principalmente en las delegaciones Centro, Centenario, Cerro Colorado, La Mesa, Mesa de Otay y parte de Playas de Tijuana. (Figura 4).</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123"/>
          <w:pgSz w:w="18830" w:h="12760" w:orient="landscape"/>
          <w:pgMar w:footer="1036" w:header="522" w:top="820" w:bottom="1220" w:left="720" w:right="720"/>
        </w:sectPr>
      </w:pPr>
    </w:p>
    <w:p>
      <w:pPr>
        <w:pStyle w:val="BodyText"/>
        <w:spacing w:line="249" w:lineRule="auto" w:before="76"/>
        <w:ind w:left="130" w:firstLine="170"/>
        <w:jc w:val="both"/>
      </w:pPr>
      <w:r>
        <w:rPr/>
        <w:t>Al relacionar el mapa anterior con la información geológica, es posible determinar que, el grado de vulnerabilidad más alto se distribuye en zonas donde la litología superficial, corresponde con predominancia de rocas de tipo sedimentario, como conglomerados, areniscas y depósitos aluviales, lo cual en principio ya hace pensar la posibilidad de experimentar mayores amplificaciones de las ondas símicas. En el caso de las condiciones geotécnicas de dichas zonas, la Tabla 2 muestra la relación que existe entre estas y los resultados de la caracterización geotécnica del  subsuelo.</w:t>
      </w:r>
    </w:p>
    <w:p>
      <w:pPr>
        <w:pStyle w:val="BodyText"/>
      </w:pPr>
    </w:p>
    <w:p>
      <w:pPr>
        <w:pStyle w:val="BodyText"/>
        <w:spacing w:before="9"/>
        <w:rPr>
          <w:sz w:val="21"/>
        </w:rPr>
      </w:pPr>
    </w:p>
    <w:p>
      <w:pPr>
        <w:pStyle w:val="BodyText"/>
        <w:spacing w:line="249" w:lineRule="auto"/>
        <w:ind w:left="132"/>
        <w:jc w:val="center"/>
      </w:pPr>
      <w:r>
        <w:rPr>
          <w:color w:val="6D6E71"/>
        </w:rPr>
        <w:t>Tabla 2. Zonas con alto grado de vulnerabilidad estructural y su relación con las características geotécnicas.</w:t>
      </w:r>
    </w:p>
    <w:p>
      <w:pPr>
        <w:pStyle w:val="BodyText"/>
        <w:spacing w:before="4"/>
        <w:rPr>
          <w:sz w:val="7"/>
        </w:rPr>
      </w:pPr>
    </w:p>
    <w:tbl>
      <w:tblPr>
        <w:tblW w:w="0" w:type="auto"/>
        <w:jc w:val="left"/>
        <w:tblInd w:w="1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7"/>
        <w:gridCol w:w="1983"/>
        <w:gridCol w:w="1483"/>
        <w:gridCol w:w="3113"/>
      </w:tblGrid>
      <w:tr>
        <w:trPr>
          <w:trHeight w:val="704" w:hRule="exact"/>
        </w:trPr>
        <w:tc>
          <w:tcPr>
            <w:tcW w:w="1127" w:type="dxa"/>
            <w:tcBorders>
              <w:right w:val="single" w:sz="4" w:space="0" w:color="6D6E71"/>
            </w:tcBorders>
            <w:shd w:val="clear" w:color="auto" w:fill="929292"/>
          </w:tcPr>
          <w:p>
            <w:pPr>
              <w:pStyle w:val="TableParagraph"/>
              <w:spacing w:line="261" w:lineRule="auto" w:before="73"/>
              <w:ind w:left="107" w:right="274"/>
              <w:rPr>
                <w:sz w:val="16"/>
              </w:rPr>
            </w:pPr>
            <w:r>
              <w:rPr>
                <w:sz w:val="16"/>
              </w:rPr>
              <w:t>Sector del área de estudio</w:t>
            </w:r>
          </w:p>
        </w:tc>
        <w:tc>
          <w:tcPr>
            <w:tcW w:w="1983" w:type="dxa"/>
            <w:tcBorders>
              <w:left w:val="single" w:sz="4" w:space="0" w:color="6D6E71"/>
              <w:right w:val="single" w:sz="4" w:space="0" w:color="6D6E71"/>
            </w:tcBorders>
            <w:shd w:val="clear" w:color="auto" w:fill="929292"/>
          </w:tcPr>
          <w:p>
            <w:pPr>
              <w:pStyle w:val="TableParagraph"/>
              <w:rPr>
                <w:sz w:val="15"/>
              </w:rPr>
            </w:pPr>
          </w:p>
          <w:p>
            <w:pPr>
              <w:pStyle w:val="TableParagraph"/>
              <w:spacing w:line="261" w:lineRule="auto"/>
              <w:ind w:left="103" w:right="146"/>
              <w:rPr>
                <w:sz w:val="16"/>
              </w:rPr>
            </w:pPr>
            <w:r>
              <w:rPr>
                <w:sz w:val="16"/>
              </w:rPr>
              <w:t>Ubicación de acuerdo a límite administrativo</w:t>
            </w:r>
          </w:p>
        </w:tc>
        <w:tc>
          <w:tcPr>
            <w:tcW w:w="1483" w:type="dxa"/>
            <w:tcBorders>
              <w:left w:val="single" w:sz="4" w:space="0" w:color="6D6E71"/>
              <w:right w:val="single" w:sz="4" w:space="0" w:color="6D6E71"/>
            </w:tcBorders>
            <w:shd w:val="clear" w:color="auto" w:fill="929292"/>
          </w:tcPr>
          <w:p>
            <w:pPr>
              <w:pStyle w:val="TableParagraph"/>
              <w:spacing w:line="261" w:lineRule="auto" w:before="73"/>
              <w:ind w:left="102"/>
              <w:rPr>
                <w:sz w:val="16"/>
              </w:rPr>
            </w:pPr>
            <w:r>
              <w:rPr>
                <w:sz w:val="16"/>
              </w:rPr>
              <w:t>Ubicación de acuerdo a la zona geotécnica</w:t>
            </w:r>
          </w:p>
        </w:tc>
        <w:tc>
          <w:tcPr>
            <w:tcW w:w="3113" w:type="dxa"/>
            <w:tcBorders>
              <w:left w:val="single" w:sz="4" w:space="0" w:color="6D6E71"/>
            </w:tcBorders>
            <w:shd w:val="clear" w:color="auto" w:fill="929292"/>
          </w:tcPr>
          <w:p>
            <w:pPr>
              <w:pStyle w:val="TableParagraph"/>
              <w:spacing w:before="8"/>
              <w:rPr>
                <w:sz w:val="23"/>
              </w:rPr>
            </w:pPr>
          </w:p>
          <w:p>
            <w:pPr>
              <w:pStyle w:val="TableParagraph"/>
              <w:ind w:left="103" w:right="219"/>
              <w:rPr>
                <w:sz w:val="16"/>
              </w:rPr>
            </w:pPr>
            <w:r>
              <w:rPr>
                <w:sz w:val="16"/>
              </w:rPr>
              <w:t>Características geotécnicas.</w:t>
            </w:r>
          </w:p>
        </w:tc>
      </w:tr>
      <w:tr>
        <w:trPr>
          <w:trHeight w:val="902" w:hRule="exact"/>
        </w:trPr>
        <w:tc>
          <w:tcPr>
            <w:tcW w:w="1127" w:type="dxa"/>
            <w:tcBorders>
              <w:bottom w:val="dotted" w:sz="4" w:space="0" w:color="6D6E71"/>
              <w:right w:val="single" w:sz="4" w:space="0" w:color="6D6E71"/>
            </w:tcBorders>
          </w:tcPr>
          <w:p>
            <w:pPr>
              <w:pStyle w:val="TableParagraph"/>
              <w:rPr>
                <w:sz w:val="16"/>
              </w:rPr>
            </w:pPr>
          </w:p>
          <w:p>
            <w:pPr>
              <w:pStyle w:val="TableParagraph"/>
              <w:spacing w:before="1"/>
              <w:rPr>
                <w:sz w:val="16"/>
              </w:rPr>
            </w:pPr>
          </w:p>
          <w:p>
            <w:pPr>
              <w:pStyle w:val="TableParagraph"/>
              <w:spacing w:before="1"/>
              <w:ind w:left="107" w:right="274"/>
              <w:rPr>
                <w:sz w:val="16"/>
              </w:rPr>
            </w:pPr>
            <w:r>
              <w:rPr>
                <w:sz w:val="16"/>
              </w:rPr>
              <w:t>Noroeste</w:t>
            </w:r>
          </w:p>
        </w:tc>
        <w:tc>
          <w:tcPr>
            <w:tcW w:w="1983" w:type="dxa"/>
            <w:tcBorders>
              <w:left w:val="single" w:sz="4" w:space="0" w:color="6D6E71"/>
              <w:bottom w:val="dotted" w:sz="4" w:space="0" w:color="6D6E71"/>
              <w:right w:val="single" w:sz="4" w:space="0" w:color="6D6E71"/>
            </w:tcBorders>
          </w:tcPr>
          <w:p>
            <w:pPr>
              <w:pStyle w:val="TableParagraph"/>
              <w:spacing w:line="261" w:lineRule="auto" w:before="70"/>
              <w:ind w:left="103" w:right="146"/>
              <w:rPr>
                <w:sz w:val="16"/>
              </w:rPr>
            </w:pPr>
            <w:r>
              <w:rPr>
                <w:sz w:val="16"/>
              </w:rPr>
              <w:t>Parte norte de la Delegación Playas de Tijuana y San Antonio de los Buenos.</w:t>
            </w:r>
          </w:p>
        </w:tc>
        <w:tc>
          <w:tcPr>
            <w:tcW w:w="1483" w:type="dxa"/>
            <w:tcBorders>
              <w:left w:val="single" w:sz="4" w:space="0" w:color="6D6E71"/>
              <w:bottom w:val="dotted" w:sz="4" w:space="0" w:color="6D6E71"/>
              <w:right w:val="single" w:sz="4" w:space="0" w:color="6D6E71"/>
            </w:tcBorders>
          </w:tcPr>
          <w:p>
            <w:pPr>
              <w:pStyle w:val="TableParagraph"/>
              <w:spacing w:before="5"/>
              <w:rPr>
                <w:sz w:val="23"/>
              </w:rPr>
            </w:pPr>
          </w:p>
          <w:p>
            <w:pPr>
              <w:pStyle w:val="TableParagraph"/>
              <w:spacing w:line="261" w:lineRule="auto"/>
              <w:ind w:left="102"/>
              <w:rPr>
                <w:sz w:val="16"/>
              </w:rPr>
            </w:pPr>
            <w:r>
              <w:rPr>
                <w:sz w:val="16"/>
              </w:rPr>
              <w:t>Zona Playas de Tijuana</w:t>
            </w:r>
          </w:p>
        </w:tc>
        <w:tc>
          <w:tcPr>
            <w:tcW w:w="3113" w:type="dxa"/>
            <w:tcBorders>
              <w:left w:val="single" w:sz="4" w:space="0" w:color="6D6E71"/>
              <w:bottom w:val="dotted" w:sz="4" w:space="0" w:color="6D6E71"/>
            </w:tcBorders>
          </w:tcPr>
          <w:p>
            <w:pPr>
              <w:pStyle w:val="TableParagraph"/>
              <w:spacing w:line="261" w:lineRule="auto" w:before="70"/>
              <w:ind w:left="103" w:right="219"/>
              <w:rPr>
                <w:sz w:val="16"/>
              </w:rPr>
            </w:pPr>
            <w:r>
              <w:rPr>
                <w:sz w:val="16"/>
              </w:rPr>
              <w:t>Arcillas arenosas de hasta 30 cm. Gravas arcillosas con boleos de hasta 7” en espesores de hasta un 1 m. con incrustaciones de carbonato de  calcio.</w:t>
            </w:r>
          </w:p>
        </w:tc>
      </w:tr>
      <w:tr>
        <w:trPr>
          <w:trHeight w:val="2371" w:hRule="exact"/>
        </w:trPr>
        <w:tc>
          <w:tcPr>
            <w:tcW w:w="1127" w:type="dxa"/>
            <w:tcBorders>
              <w:top w:val="dotted" w:sz="4" w:space="0" w:color="6D6E71"/>
              <w:bottom w:val="dotted" w:sz="4" w:space="0" w:color="6D6E71"/>
              <w:right w:val="single" w:sz="4" w:space="0" w:color="6D6E71"/>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6"/>
              <w:rPr>
                <w:sz w:val="15"/>
              </w:rPr>
            </w:pPr>
          </w:p>
          <w:p>
            <w:pPr>
              <w:pStyle w:val="TableParagraph"/>
              <w:spacing w:before="1"/>
              <w:ind w:left="107" w:right="274"/>
              <w:rPr>
                <w:sz w:val="16"/>
              </w:rPr>
            </w:pPr>
            <w:r>
              <w:rPr>
                <w:sz w:val="16"/>
              </w:rPr>
              <w:t>Centro</w:t>
            </w:r>
          </w:p>
        </w:tc>
        <w:tc>
          <w:tcPr>
            <w:tcW w:w="1983" w:type="dxa"/>
            <w:tcBorders>
              <w:top w:val="dotted" w:sz="4" w:space="0" w:color="6D6E71"/>
              <w:left w:val="single" w:sz="4" w:space="0" w:color="6D6E71"/>
              <w:bottom w:val="dotted" w:sz="4" w:space="0" w:color="6D6E71"/>
              <w:right w:val="single" w:sz="4" w:space="0" w:color="6D6E71"/>
            </w:tcBorders>
          </w:tcPr>
          <w:p>
            <w:pPr>
              <w:pStyle w:val="TableParagraph"/>
              <w:rPr>
                <w:sz w:val="16"/>
              </w:rPr>
            </w:pPr>
          </w:p>
          <w:p>
            <w:pPr>
              <w:pStyle w:val="TableParagraph"/>
              <w:rPr>
                <w:sz w:val="16"/>
              </w:rPr>
            </w:pPr>
          </w:p>
          <w:p>
            <w:pPr>
              <w:pStyle w:val="TableParagraph"/>
              <w:rPr>
                <w:sz w:val="16"/>
              </w:rPr>
            </w:pPr>
          </w:p>
          <w:p>
            <w:pPr>
              <w:pStyle w:val="TableParagraph"/>
              <w:spacing w:before="9"/>
              <w:rPr>
                <w:sz w:val="12"/>
              </w:rPr>
            </w:pPr>
          </w:p>
          <w:p>
            <w:pPr>
              <w:pStyle w:val="TableParagraph"/>
              <w:spacing w:line="261" w:lineRule="auto"/>
              <w:ind w:left="103" w:right="435"/>
              <w:rPr>
                <w:sz w:val="16"/>
              </w:rPr>
            </w:pPr>
            <w:r>
              <w:rPr>
                <w:sz w:val="16"/>
              </w:rPr>
              <w:t>Cubrimiento de alrededor del 80% de las delegaciones</w:t>
            </w:r>
          </w:p>
          <w:p>
            <w:pPr>
              <w:pStyle w:val="TableParagraph"/>
              <w:spacing w:line="261" w:lineRule="auto"/>
              <w:ind w:left="103" w:right="57"/>
              <w:rPr>
                <w:sz w:val="16"/>
              </w:rPr>
            </w:pPr>
            <w:r>
              <w:rPr>
                <w:sz w:val="16"/>
              </w:rPr>
              <w:t>*Centro, **Mesa de Otay y La Mesa.</w:t>
            </w:r>
          </w:p>
        </w:tc>
        <w:tc>
          <w:tcPr>
            <w:tcW w:w="1483" w:type="dxa"/>
            <w:tcBorders>
              <w:top w:val="dotted" w:sz="4" w:space="0" w:color="6D6E71"/>
              <w:left w:val="single" w:sz="4" w:space="0" w:color="6D6E71"/>
              <w:bottom w:val="dotted" w:sz="4" w:space="0" w:color="6D6E71"/>
              <w:right w:val="single" w:sz="4" w:space="0" w:color="6D6E71"/>
            </w:tcBorders>
          </w:tcPr>
          <w:p>
            <w:pPr>
              <w:pStyle w:val="TableParagraph"/>
              <w:rPr>
                <w:sz w:val="16"/>
              </w:rPr>
            </w:pPr>
          </w:p>
          <w:p>
            <w:pPr>
              <w:pStyle w:val="TableParagraph"/>
              <w:rPr>
                <w:sz w:val="16"/>
              </w:rPr>
            </w:pPr>
          </w:p>
          <w:p>
            <w:pPr>
              <w:pStyle w:val="TableParagraph"/>
              <w:spacing w:before="6"/>
              <w:rPr>
                <w:sz w:val="21"/>
              </w:rPr>
            </w:pPr>
          </w:p>
          <w:p>
            <w:pPr>
              <w:pStyle w:val="TableParagraph"/>
              <w:ind w:left="102"/>
              <w:rPr>
                <w:sz w:val="16"/>
              </w:rPr>
            </w:pPr>
            <w:r>
              <w:rPr>
                <w:sz w:val="16"/>
              </w:rPr>
              <w:t>Zona Río Tijuana</w:t>
            </w:r>
          </w:p>
          <w:p>
            <w:pPr>
              <w:pStyle w:val="TableParagraph"/>
              <w:rPr>
                <w:sz w:val="16"/>
              </w:rPr>
            </w:pPr>
          </w:p>
          <w:p>
            <w:pPr>
              <w:pStyle w:val="TableParagraph"/>
              <w:rPr>
                <w:sz w:val="16"/>
              </w:rPr>
            </w:pPr>
          </w:p>
          <w:p>
            <w:pPr>
              <w:pStyle w:val="TableParagraph"/>
              <w:tabs>
                <w:tab w:pos="1462" w:val="left" w:leader="none"/>
              </w:tabs>
              <w:spacing w:line="655" w:lineRule="auto" w:before="131"/>
              <w:ind w:left="102" w:right="8" w:hanging="78"/>
              <w:rPr>
                <w:sz w:val="16"/>
              </w:rPr>
            </w:pPr>
            <w:r>
              <w:rPr>
                <w:w w:val="100"/>
                <w:sz w:val="16"/>
                <w:u w:val="dotted" w:color="6D6E71"/>
              </w:rPr>
              <w:t> </w:t>
            </w:r>
            <w:r>
              <w:rPr>
                <w:sz w:val="16"/>
                <w:u w:val="dotted" w:color="6D6E71"/>
              </w:rPr>
              <w:tab/>
              <w:tab/>
            </w:r>
            <w:r>
              <w:rPr>
                <w:sz w:val="16"/>
              </w:rPr>
              <w:t> </w:t>
            </w:r>
            <w:r>
              <w:rPr>
                <w:w w:val="99"/>
                <w:sz w:val="16"/>
              </w:rPr>
              <w:t>Zona</w:t>
            </w:r>
            <w:r>
              <w:rPr>
                <w:sz w:val="16"/>
              </w:rPr>
              <w:t> </w:t>
            </w:r>
            <w:r>
              <w:rPr>
                <w:w w:val="101"/>
                <w:sz w:val="16"/>
              </w:rPr>
              <w:t>de</w:t>
            </w:r>
            <w:r>
              <w:rPr>
                <w:sz w:val="16"/>
              </w:rPr>
              <w:t> Otay</w:t>
            </w:r>
          </w:p>
        </w:tc>
        <w:tc>
          <w:tcPr>
            <w:tcW w:w="3113" w:type="dxa"/>
            <w:tcBorders>
              <w:top w:val="dotted" w:sz="4" w:space="0" w:color="6D6E71"/>
              <w:left w:val="single" w:sz="4" w:space="0" w:color="6D6E71"/>
              <w:bottom w:val="dotted" w:sz="4" w:space="0" w:color="6D6E71"/>
            </w:tcBorders>
          </w:tcPr>
          <w:p>
            <w:pPr>
              <w:pStyle w:val="TableParagraph"/>
              <w:spacing w:line="171" w:lineRule="exact"/>
              <w:ind w:left="103" w:right="219"/>
              <w:rPr>
                <w:sz w:val="16"/>
              </w:rPr>
            </w:pPr>
            <w:r>
              <w:rPr>
                <w:sz w:val="16"/>
              </w:rPr>
              <w:t>Arenas de grano medio a grueso</w:t>
            </w:r>
          </w:p>
          <w:p>
            <w:pPr>
              <w:pStyle w:val="TableParagraph"/>
              <w:spacing w:line="261" w:lineRule="auto" w:before="16"/>
              <w:ind w:left="103" w:right="219"/>
              <w:rPr>
                <w:sz w:val="16"/>
              </w:rPr>
            </w:pPr>
            <w:r>
              <w:rPr>
                <w:sz w:val="16"/>
              </w:rPr>
              <w:t>en promedio hasta los 2 m. de profundidad.</w:t>
            </w:r>
          </w:p>
          <w:p>
            <w:pPr>
              <w:pStyle w:val="TableParagraph"/>
              <w:spacing w:line="261" w:lineRule="auto"/>
              <w:ind w:left="103" w:right="183"/>
              <w:rPr>
                <w:sz w:val="16"/>
              </w:rPr>
            </w:pPr>
            <w:r>
              <w:rPr>
                <w:sz w:val="16"/>
              </w:rPr>
              <w:t>Gravas mezcladas con boleos de hasta 24” hasta los 3 m. en promedio.</w:t>
            </w:r>
          </w:p>
          <w:p>
            <w:pPr>
              <w:pStyle w:val="TableParagraph"/>
              <w:spacing w:before="56"/>
              <w:ind w:left="103" w:right="219"/>
              <w:rPr>
                <w:sz w:val="16"/>
              </w:rPr>
            </w:pPr>
            <w:r>
              <w:rPr>
                <w:sz w:val="16"/>
              </w:rPr>
              <w:t>Mezclas de arenas y arcillas con</w:t>
            </w:r>
          </w:p>
          <w:p>
            <w:pPr>
              <w:pStyle w:val="TableParagraph"/>
              <w:tabs>
                <w:tab w:pos="3088" w:val="left" w:leader="none"/>
              </w:tabs>
              <w:spacing w:before="16"/>
              <w:ind w:left="24"/>
              <w:rPr>
                <w:sz w:val="16"/>
              </w:rPr>
            </w:pPr>
            <w:r>
              <w:rPr>
                <w:w w:val="100"/>
                <w:sz w:val="16"/>
                <w:u w:val="dotted" w:color="6D6E71"/>
              </w:rPr>
              <w:t> </w:t>
            </w:r>
            <w:r>
              <w:rPr>
                <w:spacing w:val="-11"/>
                <w:sz w:val="16"/>
                <w:u w:val="dotted" w:color="6D6E71"/>
              </w:rPr>
              <w:t> </w:t>
            </w:r>
            <w:r>
              <w:rPr>
                <w:sz w:val="16"/>
                <w:u w:val="dotted" w:color="6D6E71"/>
              </w:rPr>
              <w:t>aumento de</w:t>
            </w:r>
            <w:r>
              <w:rPr>
                <w:spacing w:val="38"/>
                <w:sz w:val="16"/>
                <w:u w:val="dotted" w:color="6D6E71"/>
              </w:rPr>
              <w:t> </w:t>
            </w:r>
            <w:r>
              <w:rPr>
                <w:sz w:val="16"/>
                <w:u w:val="dotted" w:color="6D6E71"/>
              </w:rPr>
              <w:t>compacidad.</w:t>
              <w:tab/>
            </w:r>
          </w:p>
          <w:p>
            <w:pPr>
              <w:pStyle w:val="TableParagraph"/>
              <w:rPr>
                <w:sz w:val="15"/>
              </w:rPr>
            </w:pPr>
          </w:p>
          <w:p>
            <w:pPr>
              <w:pStyle w:val="TableParagraph"/>
              <w:spacing w:line="261" w:lineRule="auto" w:before="1"/>
              <w:ind w:left="103" w:right="219"/>
              <w:rPr>
                <w:sz w:val="16"/>
              </w:rPr>
            </w:pPr>
            <w:r>
              <w:rPr>
                <w:sz w:val="16"/>
              </w:rPr>
              <w:t>Arcillas arenosas de alta plasticidad, boleos de hasta 18” y gravas, en promedio hasta 4 m.</w:t>
            </w:r>
          </w:p>
        </w:tc>
      </w:tr>
      <w:tr>
        <w:trPr>
          <w:trHeight w:val="508" w:hRule="exact"/>
        </w:trPr>
        <w:tc>
          <w:tcPr>
            <w:tcW w:w="1127" w:type="dxa"/>
            <w:tcBorders>
              <w:top w:val="dotted" w:sz="4" w:space="0" w:color="6D6E71"/>
              <w:right w:val="single" w:sz="4" w:space="0" w:color="6D6E71"/>
            </w:tcBorders>
          </w:tcPr>
          <w:p>
            <w:pPr>
              <w:pStyle w:val="TableParagraph"/>
              <w:spacing w:before="3"/>
              <w:rPr>
                <w:sz w:val="16"/>
              </w:rPr>
            </w:pPr>
          </w:p>
          <w:p>
            <w:pPr>
              <w:pStyle w:val="TableParagraph"/>
              <w:ind w:left="107" w:right="274"/>
              <w:rPr>
                <w:sz w:val="16"/>
              </w:rPr>
            </w:pPr>
            <w:r>
              <w:rPr>
                <w:sz w:val="16"/>
              </w:rPr>
              <w:t>Noreste</w:t>
            </w:r>
          </w:p>
        </w:tc>
        <w:tc>
          <w:tcPr>
            <w:tcW w:w="1983" w:type="dxa"/>
            <w:tcBorders>
              <w:top w:val="dotted" w:sz="4" w:space="0" w:color="6D6E71"/>
              <w:left w:val="single" w:sz="4" w:space="0" w:color="6D6E71"/>
              <w:right w:val="single" w:sz="4" w:space="0" w:color="6D6E71"/>
            </w:tcBorders>
          </w:tcPr>
          <w:p>
            <w:pPr/>
          </w:p>
        </w:tc>
        <w:tc>
          <w:tcPr>
            <w:tcW w:w="1483" w:type="dxa"/>
            <w:tcBorders>
              <w:top w:val="dotted" w:sz="4" w:space="0" w:color="6D6E71"/>
              <w:left w:val="single" w:sz="4" w:space="0" w:color="6D6E71"/>
              <w:right w:val="single" w:sz="4" w:space="0" w:color="6D6E71"/>
            </w:tcBorders>
          </w:tcPr>
          <w:p>
            <w:pPr>
              <w:pStyle w:val="TableParagraph"/>
              <w:spacing w:before="3"/>
              <w:rPr>
                <w:sz w:val="16"/>
              </w:rPr>
            </w:pPr>
          </w:p>
          <w:p>
            <w:pPr>
              <w:pStyle w:val="TableParagraph"/>
              <w:ind w:left="102"/>
              <w:rPr>
                <w:sz w:val="16"/>
              </w:rPr>
            </w:pPr>
            <w:r>
              <w:rPr>
                <w:sz w:val="16"/>
              </w:rPr>
              <w:t>Zona de Otay</w:t>
            </w:r>
          </w:p>
        </w:tc>
        <w:tc>
          <w:tcPr>
            <w:tcW w:w="3113" w:type="dxa"/>
            <w:tcBorders>
              <w:top w:val="dotted" w:sz="4" w:space="0" w:color="6D6E71"/>
              <w:left w:val="single" w:sz="4" w:space="0" w:color="6D6E71"/>
            </w:tcBorders>
          </w:tcPr>
          <w:p>
            <w:pPr>
              <w:pStyle w:val="TableParagraph"/>
              <w:spacing w:line="171" w:lineRule="exact"/>
              <w:ind w:left="103" w:right="219"/>
              <w:rPr>
                <w:sz w:val="16"/>
              </w:rPr>
            </w:pPr>
            <w:r>
              <w:rPr>
                <w:sz w:val="16"/>
              </w:rPr>
              <w:t>Arcillas arenosas de alta plasticidad,</w:t>
            </w:r>
          </w:p>
          <w:p>
            <w:pPr>
              <w:pStyle w:val="TableParagraph"/>
              <w:spacing w:line="200" w:lineRule="atLeast"/>
              <w:ind w:left="103" w:right="219"/>
              <w:rPr>
                <w:sz w:val="16"/>
              </w:rPr>
            </w:pPr>
            <w:r>
              <w:rPr>
                <w:sz w:val="16"/>
              </w:rPr>
              <w:t>boleos de hasta 18” y gravas, en promedio hasta 4 m.</w:t>
            </w:r>
          </w:p>
        </w:tc>
      </w:tr>
    </w:tbl>
    <w:p>
      <w:pPr>
        <w:pStyle w:val="BodyText"/>
        <w:spacing w:before="4"/>
        <w:rPr>
          <w:sz w:val="23"/>
        </w:rPr>
      </w:pPr>
    </w:p>
    <w:p>
      <w:pPr>
        <w:spacing w:before="0"/>
        <w:ind w:left="129" w:right="0" w:firstLine="0"/>
        <w:jc w:val="center"/>
        <w:rPr>
          <w:sz w:val="16"/>
        </w:rPr>
      </w:pPr>
      <w:r>
        <w:rPr>
          <w:color w:val="6D6E71"/>
          <w:sz w:val="16"/>
        </w:rPr>
        <w:t>Fuente: Elaboración propia</w:t>
      </w:r>
    </w:p>
    <w:p>
      <w:pPr>
        <w:pStyle w:val="BodyText"/>
        <w:spacing w:before="5"/>
        <w:rPr>
          <w:sz w:val="22"/>
        </w:rPr>
      </w:pPr>
    </w:p>
    <w:p>
      <w:pPr>
        <w:pStyle w:val="BodyText"/>
        <w:spacing w:line="249" w:lineRule="auto"/>
        <w:ind w:left="130" w:firstLine="170"/>
        <w:jc w:val="both"/>
      </w:pPr>
      <w:r>
        <w:rPr/>
        <w:t>Un ejemplo de la relación entre la ubicación de las estructuras y las condiciones geotécnicas del terreno que determinan su respuesta sísmica se puede observar en   la zona Río Tijuana, en la cual existe concentración de edificios altos, los cuales, por sus características de vibración en relación con la respuesta del terreno, determinan una de las regiones de respuesta máxima, el cual, se ha de recordar es el menos recomendable en la</w:t>
      </w:r>
      <w:r>
        <w:rPr>
          <w:spacing w:val="28"/>
        </w:rPr>
        <w:t> </w:t>
      </w:r>
      <w:r>
        <w:rPr/>
        <w:t>edificación.</w:t>
      </w:r>
    </w:p>
    <w:p>
      <w:pPr>
        <w:pStyle w:val="BodyText"/>
        <w:spacing w:line="249" w:lineRule="auto" w:before="76"/>
        <w:ind w:left="130" w:right="127" w:firstLine="170"/>
        <w:jc w:val="both"/>
      </w:pPr>
      <w:r>
        <w:rPr/>
        <w:br w:type="column"/>
      </w:r>
      <w:r>
        <w:rPr/>
        <w:t>La siguiente imagen muestra desarrollos inmobiliarios construidos en zonas con alto grado de vulnerabilidad estructural en un sector de la delegación Playas de Tijuana al oeste de la ciudad.</w:t>
      </w:r>
    </w:p>
    <w:p>
      <w:pPr>
        <w:pStyle w:val="BodyText"/>
        <w:spacing w:before="11"/>
      </w:pPr>
    </w:p>
    <w:p>
      <w:pPr>
        <w:pStyle w:val="BodyText"/>
        <w:ind w:left="514" w:right="514"/>
        <w:jc w:val="center"/>
      </w:pPr>
      <w:r>
        <w:rPr>
          <w:color w:val="6D6E71"/>
        </w:rPr>
        <w:t>Figura 5. Desarrollos inmobiliarios en Playas de Tijuana.</w:t>
      </w:r>
    </w:p>
    <w:p>
      <w:pPr>
        <w:pStyle w:val="BodyText"/>
        <w:spacing w:before="1"/>
        <w:rPr>
          <w:sz w:val="9"/>
        </w:rPr>
      </w:pPr>
      <w:r>
        <w:rPr/>
        <w:drawing>
          <wp:anchor distT="0" distB="0" distL="0" distR="0" allowOverlap="1" layoutInCell="1" locked="0" behindDoc="0" simplePos="0" relativeHeight="3328">
            <wp:simplePos x="0" y="0"/>
            <wp:positionH relativeFrom="page">
              <wp:posOffset>6530288</wp:posOffset>
            </wp:positionH>
            <wp:positionV relativeFrom="paragraph">
              <wp:posOffset>91291</wp:posOffset>
            </wp:positionV>
            <wp:extent cx="4844183" cy="3545966"/>
            <wp:effectExtent l="0" t="0" r="0" b="0"/>
            <wp:wrapTopAndBottom/>
            <wp:docPr id="27" name="image32.jpeg" descr=""/>
            <wp:cNvGraphicFramePr>
              <a:graphicFrameLocks noChangeAspect="1"/>
            </wp:cNvGraphicFramePr>
            <a:graphic>
              <a:graphicData uri="http://schemas.openxmlformats.org/drawingml/2006/picture">
                <pic:pic>
                  <pic:nvPicPr>
                    <pic:cNvPr id="28" name="image32.jpeg"/>
                    <pic:cNvPicPr/>
                  </pic:nvPicPr>
                  <pic:blipFill>
                    <a:blip r:embed="rId124" cstate="print"/>
                    <a:stretch>
                      <a:fillRect/>
                    </a:stretch>
                  </pic:blipFill>
                  <pic:spPr>
                    <a:xfrm>
                      <a:off x="0" y="0"/>
                      <a:ext cx="4844183" cy="3545966"/>
                    </a:xfrm>
                    <a:prstGeom prst="rect">
                      <a:avLst/>
                    </a:prstGeom>
                  </pic:spPr>
                </pic:pic>
              </a:graphicData>
            </a:graphic>
          </wp:anchor>
        </w:drawing>
      </w:r>
    </w:p>
    <w:p>
      <w:pPr>
        <w:pStyle w:val="BodyText"/>
        <w:spacing w:before="3"/>
        <w:rPr>
          <w:sz w:val="25"/>
        </w:rPr>
      </w:pPr>
    </w:p>
    <w:p>
      <w:pPr>
        <w:spacing w:before="0"/>
        <w:ind w:left="514" w:right="514" w:firstLine="0"/>
        <w:jc w:val="center"/>
        <w:rPr>
          <w:sz w:val="16"/>
        </w:rPr>
      </w:pPr>
      <w:r>
        <w:rPr>
          <w:color w:val="6D6E71"/>
          <w:sz w:val="16"/>
        </w:rPr>
        <w:t>Fuente: Trabajo de campo, agosto de 2012</w:t>
      </w:r>
    </w:p>
    <w:p>
      <w:pPr>
        <w:pStyle w:val="BodyText"/>
        <w:spacing w:before="5"/>
        <w:rPr>
          <w:sz w:val="22"/>
        </w:rPr>
      </w:pPr>
    </w:p>
    <w:p>
      <w:pPr>
        <w:pStyle w:val="BodyText"/>
        <w:spacing w:line="249" w:lineRule="auto"/>
        <w:ind w:left="130" w:right="127" w:firstLine="170"/>
        <w:jc w:val="both"/>
      </w:pPr>
      <w:r>
        <w:rPr/>
        <w:t>Por</w:t>
      </w:r>
      <w:r>
        <w:rPr>
          <w:spacing w:val="-17"/>
        </w:rPr>
        <w:t> </w:t>
      </w:r>
      <w:r>
        <w:rPr/>
        <w:t>otra</w:t>
      </w:r>
      <w:r>
        <w:rPr>
          <w:spacing w:val="-17"/>
        </w:rPr>
        <w:t> </w:t>
      </w:r>
      <w:r>
        <w:rPr/>
        <w:t>parte,</w:t>
      </w:r>
      <w:r>
        <w:rPr>
          <w:spacing w:val="-17"/>
        </w:rPr>
        <w:t> </w:t>
      </w:r>
      <w:r>
        <w:rPr/>
        <w:t>el</w:t>
      </w:r>
      <w:r>
        <w:rPr>
          <w:spacing w:val="-17"/>
        </w:rPr>
        <w:t> </w:t>
      </w:r>
      <w:r>
        <w:rPr/>
        <w:t>grado</w:t>
      </w:r>
      <w:r>
        <w:rPr>
          <w:spacing w:val="-17"/>
        </w:rPr>
        <w:t> </w:t>
      </w:r>
      <w:r>
        <w:rPr/>
        <w:t>medio</w:t>
      </w:r>
      <w:r>
        <w:rPr>
          <w:spacing w:val="-17"/>
        </w:rPr>
        <w:t> </w:t>
      </w:r>
      <w:r>
        <w:rPr/>
        <w:t>de</w:t>
      </w:r>
      <w:r>
        <w:rPr>
          <w:spacing w:val="-17"/>
        </w:rPr>
        <w:t> </w:t>
      </w:r>
      <w:r>
        <w:rPr/>
        <w:t>vulnerabilidad</w:t>
      </w:r>
      <w:r>
        <w:rPr>
          <w:spacing w:val="-17"/>
        </w:rPr>
        <w:t> </w:t>
      </w:r>
      <w:r>
        <w:rPr/>
        <w:t>estructural</w:t>
      </w:r>
      <w:r>
        <w:rPr>
          <w:spacing w:val="-17"/>
        </w:rPr>
        <w:t> </w:t>
      </w:r>
      <w:r>
        <w:rPr/>
        <w:t>se</w:t>
      </w:r>
      <w:r>
        <w:rPr>
          <w:spacing w:val="-17"/>
        </w:rPr>
        <w:t> </w:t>
      </w:r>
      <w:r>
        <w:rPr/>
        <w:t>observa</w:t>
      </w:r>
      <w:r>
        <w:rPr>
          <w:spacing w:val="-17"/>
        </w:rPr>
        <w:t> </w:t>
      </w:r>
      <w:r>
        <w:rPr/>
        <w:t>en</w:t>
      </w:r>
      <w:r>
        <w:rPr>
          <w:spacing w:val="-17"/>
        </w:rPr>
        <w:t> </w:t>
      </w:r>
      <w:r>
        <w:rPr/>
        <w:t>la</w:t>
      </w:r>
      <w:r>
        <w:rPr>
          <w:spacing w:val="-17"/>
        </w:rPr>
        <w:t> </w:t>
      </w:r>
      <w:r>
        <w:rPr/>
        <w:t>parte</w:t>
      </w:r>
      <w:r>
        <w:rPr>
          <w:spacing w:val="-17"/>
        </w:rPr>
        <w:t> </w:t>
      </w:r>
      <w:r>
        <w:rPr/>
        <w:t>norte y</w:t>
      </w:r>
      <w:r>
        <w:rPr>
          <w:spacing w:val="-8"/>
        </w:rPr>
        <w:t> </w:t>
      </w:r>
      <w:r>
        <w:rPr/>
        <w:t>noreste</w:t>
      </w:r>
      <w:r>
        <w:rPr>
          <w:spacing w:val="-8"/>
        </w:rPr>
        <w:t> </w:t>
      </w:r>
      <w:r>
        <w:rPr/>
        <w:t>de</w:t>
      </w:r>
      <w:r>
        <w:rPr>
          <w:spacing w:val="-8"/>
        </w:rPr>
        <w:t> </w:t>
      </w:r>
      <w:r>
        <w:rPr/>
        <w:t>la</w:t>
      </w:r>
      <w:r>
        <w:rPr>
          <w:spacing w:val="-8"/>
        </w:rPr>
        <w:t> </w:t>
      </w:r>
      <w:r>
        <w:rPr/>
        <w:t>ciudad,</w:t>
      </w:r>
      <w:r>
        <w:rPr>
          <w:spacing w:val="-8"/>
        </w:rPr>
        <w:t> </w:t>
      </w:r>
      <w:r>
        <w:rPr/>
        <w:t>cerca</w:t>
      </w:r>
      <w:r>
        <w:rPr>
          <w:spacing w:val="-8"/>
        </w:rPr>
        <w:t> </w:t>
      </w:r>
      <w:r>
        <w:rPr/>
        <w:t>del</w:t>
      </w:r>
      <w:r>
        <w:rPr>
          <w:spacing w:val="-8"/>
        </w:rPr>
        <w:t> </w:t>
      </w:r>
      <w:r>
        <w:rPr/>
        <w:t>límite</w:t>
      </w:r>
      <w:r>
        <w:rPr>
          <w:spacing w:val="-8"/>
        </w:rPr>
        <w:t> </w:t>
      </w:r>
      <w:r>
        <w:rPr/>
        <w:t>internacional,</w:t>
      </w:r>
      <w:r>
        <w:rPr>
          <w:spacing w:val="-8"/>
        </w:rPr>
        <w:t> </w:t>
      </w:r>
      <w:r>
        <w:rPr/>
        <w:t>ahí,</w:t>
      </w:r>
      <w:r>
        <w:rPr>
          <w:spacing w:val="-8"/>
        </w:rPr>
        <w:t> </w:t>
      </w:r>
      <w:r>
        <w:rPr/>
        <w:t>los</w:t>
      </w:r>
      <w:r>
        <w:rPr>
          <w:spacing w:val="-8"/>
        </w:rPr>
        <w:t> </w:t>
      </w:r>
      <w:r>
        <w:rPr/>
        <w:t>valores</w:t>
      </w:r>
      <w:r>
        <w:rPr>
          <w:spacing w:val="-8"/>
        </w:rPr>
        <w:t> </w:t>
      </w:r>
      <w:r>
        <w:rPr/>
        <w:t>del</w:t>
      </w:r>
      <w:r>
        <w:rPr>
          <w:spacing w:val="-8"/>
        </w:rPr>
        <w:t> </w:t>
      </w:r>
      <w:r>
        <w:rPr/>
        <w:t>cociente</w:t>
      </w:r>
      <w:r>
        <w:rPr>
          <w:spacing w:val="-8"/>
        </w:rPr>
        <w:t> </w:t>
      </w:r>
      <w:r>
        <w:rPr/>
        <w:t>TE/TS son</w:t>
      </w:r>
      <w:r>
        <w:rPr>
          <w:spacing w:val="-3"/>
        </w:rPr>
        <w:t> </w:t>
      </w:r>
      <w:r>
        <w:rPr/>
        <w:t>menores</w:t>
      </w:r>
      <w:r>
        <w:rPr>
          <w:spacing w:val="-3"/>
        </w:rPr>
        <w:t> </w:t>
      </w:r>
      <w:r>
        <w:rPr/>
        <w:t>pero</w:t>
      </w:r>
      <w:r>
        <w:rPr>
          <w:spacing w:val="-3"/>
        </w:rPr>
        <w:t> </w:t>
      </w:r>
      <w:r>
        <w:rPr/>
        <w:t>muy</w:t>
      </w:r>
      <w:r>
        <w:rPr>
          <w:spacing w:val="-3"/>
        </w:rPr>
        <w:t> </w:t>
      </w:r>
      <w:r>
        <w:rPr/>
        <w:t>cercanos</w:t>
      </w:r>
      <w:r>
        <w:rPr>
          <w:spacing w:val="-3"/>
        </w:rPr>
        <w:t> </w:t>
      </w:r>
      <w:r>
        <w:rPr/>
        <w:t>al</w:t>
      </w:r>
      <w:r>
        <w:rPr>
          <w:spacing w:val="-3"/>
        </w:rPr>
        <w:t> </w:t>
      </w:r>
      <w:r>
        <w:rPr/>
        <w:t>orden</w:t>
      </w:r>
      <w:r>
        <w:rPr>
          <w:spacing w:val="-3"/>
        </w:rPr>
        <w:t> </w:t>
      </w:r>
      <w:r>
        <w:rPr/>
        <w:t>de</w:t>
      </w:r>
      <w:r>
        <w:rPr>
          <w:spacing w:val="-3"/>
        </w:rPr>
        <w:t> </w:t>
      </w:r>
      <w:r>
        <w:rPr/>
        <w:t>los</w:t>
      </w:r>
      <w:r>
        <w:rPr>
          <w:spacing w:val="-3"/>
        </w:rPr>
        <w:t> </w:t>
      </w:r>
      <w:r>
        <w:rPr/>
        <w:t>0.6</w:t>
      </w:r>
      <w:r>
        <w:rPr>
          <w:spacing w:val="-3"/>
        </w:rPr>
        <w:t> </w:t>
      </w:r>
      <w:r>
        <w:rPr/>
        <w:t>segundos.</w:t>
      </w:r>
      <w:r>
        <w:rPr>
          <w:spacing w:val="-3"/>
        </w:rPr>
        <w:t> </w:t>
      </w:r>
      <w:r>
        <w:rPr/>
        <w:t>Desde</w:t>
      </w:r>
      <w:r>
        <w:rPr>
          <w:spacing w:val="-3"/>
        </w:rPr>
        <w:t> </w:t>
      </w:r>
      <w:r>
        <w:rPr/>
        <w:t>el</w:t>
      </w:r>
      <w:r>
        <w:rPr>
          <w:spacing w:val="-3"/>
        </w:rPr>
        <w:t> </w:t>
      </w:r>
      <w:r>
        <w:rPr/>
        <w:t>punto</w:t>
      </w:r>
      <w:r>
        <w:rPr>
          <w:spacing w:val="-3"/>
        </w:rPr>
        <w:t> </w:t>
      </w:r>
      <w:r>
        <w:rPr/>
        <w:t>de</w:t>
      </w:r>
      <w:r>
        <w:rPr>
          <w:spacing w:val="-3"/>
        </w:rPr>
        <w:t> </w:t>
      </w:r>
      <w:r>
        <w:rPr/>
        <w:t>vista geológico, las áreas con este grado de se ubican sobre rocas de origen sedimentario, tales como asociaciones de limolitas-areniscas, areniscas-conglomerados, depósitos aluviales y conglomerados. Mientras que la caracterización geotécnica indica que dichas zonas están conformadas por arcillas arenosas y gravas arcillosas con boleos de hasta</w:t>
      </w:r>
      <w:r>
        <w:rPr>
          <w:spacing w:val="21"/>
        </w:rPr>
        <w:t> </w:t>
      </w:r>
      <w:r>
        <w:rPr/>
        <w:t>7”.</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125"/>
          <w:pgSz w:w="18830" w:h="12760" w:orient="landscape"/>
          <w:pgMar w:footer="1036" w:header="522" w:top="820" w:bottom="1220" w:left="720" w:right="720"/>
        </w:sectPr>
      </w:pPr>
    </w:p>
    <w:p>
      <w:pPr>
        <w:pStyle w:val="BodyText"/>
        <w:spacing w:line="249" w:lineRule="auto" w:before="76"/>
        <w:ind w:left="127" w:right="1" w:firstLine="170"/>
        <w:jc w:val="both"/>
      </w:pPr>
      <w:r>
        <w:rPr/>
        <w:t>El grado de vulnerabilidad estructural bajo se observa en su mayoría en toda la porción</w:t>
      </w:r>
      <w:r>
        <w:rPr>
          <w:spacing w:val="-5"/>
        </w:rPr>
        <w:t> </w:t>
      </w:r>
      <w:r>
        <w:rPr/>
        <w:t>sur</w:t>
      </w:r>
      <w:r>
        <w:rPr>
          <w:spacing w:val="-5"/>
        </w:rPr>
        <w:t> </w:t>
      </w:r>
      <w:r>
        <w:rPr/>
        <w:t>de</w:t>
      </w:r>
      <w:r>
        <w:rPr>
          <w:spacing w:val="-5"/>
        </w:rPr>
        <w:t> </w:t>
      </w:r>
      <w:r>
        <w:rPr/>
        <w:t>la</w:t>
      </w:r>
      <w:r>
        <w:rPr>
          <w:spacing w:val="-5"/>
        </w:rPr>
        <w:t> </w:t>
      </w:r>
      <w:r>
        <w:rPr/>
        <w:t>ciudad,</w:t>
      </w:r>
      <w:r>
        <w:rPr>
          <w:spacing w:val="-5"/>
        </w:rPr>
        <w:t> </w:t>
      </w:r>
      <w:r>
        <w:rPr/>
        <w:t>lo</w:t>
      </w:r>
      <w:r>
        <w:rPr>
          <w:spacing w:val="-5"/>
        </w:rPr>
        <w:t> </w:t>
      </w:r>
      <w:r>
        <w:rPr/>
        <w:t>cual</w:t>
      </w:r>
      <w:r>
        <w:rPr>
          <w:spacing w:val="-5"/>
        </w:rPr>
        <w:t> </w:t>
      </w:r>
      <w:r>
        <w:rPr/>
        <w:t>se</w:t>
      </w:r>
      <w:r>
        <w:rPr>
          <w:spacing w:val="-5"/>
        </w:rPr>
        <w:t> </w:t>
      </w:r>
      <w:r>
        <w:rPr/>
        <w:t>debe</w:t>
      </w:r>
      <w:r>
        <w:rPr>
          <w:spacing w:val="-5"/>
        </w:rPr>
        <w:t> </w:t>
      </w:r>
      <w:r>
        <w:rPr/>
        <w:t>a</w:t>
      </w:r>
      <w:r>
        <w:rPr>
          <w:spacing w:val="-5"/>
        </w:rPr>
        <w:t> </w:t>
      </w:r>
      <w:r>
        <w:rPr/>
        <w:t>que</w:t>
      </w:r>
      <w:r>
        <w:rPr>
          <w:spacing w:val="-5"/>
        </w:rPr>
        <w:t> </w:t>
      </w:r>
      <w:r>
        <w:rPr/>
        <w:t>en</w:t>
      </w:r>
      <w:r>
        <w:rPr>
          <w:spacing w:val="-5"/>
        </w:rPr>
        <w:t> </w:t>
      </w:r>
      <w:r>
        <w:rPr/>
        <w:t>las</w:t>
      </w:r>
      <w:r>
        <w:rPr>
          <w:spacing w:val="-5"/>
        </w:rPr>
        <w:t> </w:t>
      </w:r>
      <w:r>
        <w:rPr/>
        <w:t>afueras</w:t>
      </w:r>
      <w:r>
        <w:rPr>
          <w:spacing w:val="-5"/>
        </w:rPr>
        <w:t> </w:t>
      </w:r>
      <w:r>
        <w:rPr/>
        <w:t>de</w:t>
      </w:r>
      <w:r>
        <w:rPr>
          <w:spacing w:val="-5"/>
        </w:rPr>
        <w:t> </w:t>
      </w:r>
      <w:r>
        <w:rPr/>
        <w:t>la</w:t>
      </w:r>
      <w:r>
        <w:rPr>
          <w:spacing w:val="-5"/>
        </w:rPr>
        <w:t> </w:t>
      </w:r>
      <w:r>
        <w:rPr/>
        <w:t>ciudad,</w:t>
      </w:r>
      <w:r>
        <w:rPr>
          <w:spacing w:val="-5"/>
        </w:rPr>
        <w:t> </w:t>
      </w:r>
      <w:r>
        <w:rPr/>
        <w:t>la</w:t>
      </w:r>
      <w:r>
        <w:rPr>
          <w:spacing w:val="-5"/>
        </w:rPr>
        <w:t> </w:t>
      </w:r>
      <w:r>
        <w:rPr/>
        <w:t>presencia de estructuras de más de cinco niveles es poco </w:t>
      </w:r>
      <w:r>
        <w:rPr>
          <w:spacing w:val="13"/>
        </w:rPr>
        <w:t> </w:t>
      </w:r>
      <w:r>
        <w:rPr/>
        <w:t>común.</w:t>
      </w:r>
    </w:p>
    <w:p>
      <w:pPr>
        <w:pStyle w:val="BodyText"/>
        <w:spacing w:before="11"/>
      </w:pPr>
    </w:p>
    <w:p>
      <w:pPr>
        <w:pStyle w:val="BodyText"/>
        <w:spacing w:line="249" w:lineRule="auto"/>
        <w:ind w:left="127" w:firstLine="170"/>
        <w:jc w:val="both"/>
      </w:pPr>
      <w:r>
        <w:rPr/>
        <w:t>Es importante resaltar  que,  la  representación  de  vulnerabilidad  estructural,  por  sí misma puede ser considerada como base de peligrosidad sísmica, ya que los resultados que muestra no dependen de la posibilidad de que se presente un sismo con determinada magnitud, es decir que estos serán los mismos tratándose de un sismo de baja, moderada o fuerte intensidad ya que se ha considerado una propiedad inherente del</w:t>
      </w:r>
      <w:r>
        <w:rPr>
          <w:spacing w:val="2"/>
        </w:rPr>
        <w:t> </w:t>
      </w:r>
      <w:r>
        <w:rPr/>
        <w:t>terreno.</w:t>
      </w:r>
    </w:p>
    <w:p>
      <w:pPr>
        <w:pStyle w:val="BodyText"/>
        <w:spacing w:before="11"/>
      </w:pPr>
    </w:p>
    <w:p>
      <w:pPr>
        <w:pStyle w:val="BodyText"/>
        <w:spacing w:line="249" w:lineRule="auto"/>
        <w:ind w:left="127" w:firstLine="170"/>
        <w:jc w:val="both"/>
      </w:pPr>
      <w:r>
        <w:rPr/>
        <w:t>En lo que respecta a los resultados de la vulnerabilidad socioeconómica, el análisis  a nivel de AGEB muestra que solo 24 unidades poseen un valor de vulnerabilidad alto, lo cual representa solo el 6 por ciento de toda el área; dichas unidades se distribuyen en mayor cantidad en las partes limítrofes de la zona urbana (Figura 6). Por su parte, el grado medio se presenta en el 37% del área de estudio, mientras que el bajo ocupa el</w:t>
      </w:r>
      <w:r>
        <w:rPr>
          <w:spacing w:val="18"/>
        </w:rPr>
        <w:t> </w:t>
      </w:r>
      <w:r>
        <w:rPr/>
        <w:t>57%.</w:t>
      </w:r>
    </w:p>
    <w:p>
      <w:pPr>
        <w:pStyle w:val="BodyText"/>
        <w:spacing w:line="249" w:lineRule="auto" w:before="76"/>
        <w:ind w:left="135" w:right="127" w:firstLine="170"/>
        <w:jc w:val="both"/>
      </w:pPr>
      <w:r>
        <w:rPr/>
        <w:br w:type="column"/>
      </w:r>
      <w:r>
        <w:rPr/>
        <w:t>Los resultados que aquí se analizan se basan en los AGEBs con un alto grado de vulnerabilidad socioeconómica. En este sentido, la Tabla 3 muestra que, el primer factor que propicia está condición es relativo a la accesibilidad de la población hacia los servicios de salud, puesto que en promedio, el 40.14% de los habitantes no es derechohabiente de alguna institución de esta</w:t>
      </w:r>
      <w:r>
        <w:rPr>
          <w:spacing w:val="38"/>
        </w:rPr>
        <w:t> </w:t>
      </w:r>
      <w:r>
        <w:rPr/>
        <w:t>índole.</w:t>
      </w:r>
    </w:p>
    <w:p>
      <w:pPr>
        <w:pStyle w:val="BodyText"/>
        <w:spacing w:before="11"/>
      </w:pPr>
    </w:p>
    <w:p>
      <w:pPr>
        <w:pStyle w:val="BodyText"/>
        <w:spacing w:line="249" w:lineRule="auto"/>
        <w:ind w:left="6"/>
        <w:jc w:val="center"/>
      </w:pPr>
      <w:r>
        <w:rPr>
          <w:color w:val="6D6E71"/>
        </w:rPr>
        <w:t>Tabla 3. Resultados promedio de los indicadores en AGEB´s con alto grado de vulnerabilidad socioeconómica</w:t>
      </w:r>
    </w:p>
    <w:p>
      <w:pPr>
        <w:tabs>
          <w:tab w:pos="3200" w:val="left" w:leader="none"/>
          <w:tab w:pos="7729" w:val="left" w:leader="none"/>
        </w:tabs>
        <w:spacing w:before="78"/>
        <w:ind w:left="4" w:right="0" w:firstLine="0"/>
        <w:jc w:val="center"/>
        <w:rPr>
          <w:sz w:val="16"/>
        </w:rPr>
      </w:pPr>
      <w:r>
        <w:rPr/>
        <w:pict>
          <v:group style="position:absolute;margin-left:738.637573pt;margin-top:21.117796pt;width:.5pt;height:.5pt;mso-position-horizontal-relative:page;mso-position-vertical-relative:paragraph;z-index:3400" coordorigin="14773,422" coordsize="10,10">
            <v:line style="position:absolute" from="14778,427" to="14778,427" stroked="true" strokeweight=".5pt" strokecolor="#6d6e71"/>
            <v:line style="position:absolute" from="14778,427" to="14778,427" stroked="true" strokeweight=".5pt" strokecolor="#6d6e71"/>
            <v:line style="position:absolute" from="14778,427" to="14778,427" stroked="true" strokeweight=".5pt" strokecolor="#6d6e71"/>
            <w10:wrap type="none"/>
          </v:group>
        </w:pict>
      </w:r>
      <w:r>
        <w:rPr/>
        <w:pict>
          <v:group style="position:absolute;margin-left:814.487488pt;margin-top:21.117796pt;width:.5pt;height:.5pt;mso-position-horizontal-relative:page;mso-position-vertical-relative:paragraph;z-index:3424" coordorigin="16290,422" coordsize="10,10">
            <v:line style="position:absolute" from="16295,427" to="16295,427" stroked="true" strokeweight=".5pt" strokecolor="#6d6e71"/>
            <v:line style="position:absolute" from="16295,427" to="16295,427" stroked="true" strokeweight=".5pt" strokecolor="#6d6e71"/>
            <w10:wrap type="none"/>
          </v:group>
        </w:pict>
      </w:r>
      <w:r>
        <w:rPr/>
        <w:pict>
          <v:shape style="position:absolute;margin-left:514.195129pt;margin-top:13.763095pt;width:384.3pt;height:126.65pt;mso-position-horizontal-relative:page;mso-position-vertical-relative:paragraph;z-index:3448" type="#_x0000_t202" filled="false" stroked="false">
            <v:textbox inset="0,0,0,0">
              <w:txbxContent>
                <w:tbl>
                  <w:tblPr>
                    <w:tblW w:w="0" w:type="auto"/>
                    <w:jc w:val="left"/>
                    <w:tblBorders>
                      <w:top w:val="dotted" w:sz="4" w:space="0" w:color="6D6E71"/>
                      <w:left w:val="dotted" w:sz="4" w:space="0" w:color="6D6E71"/>
                      <w:bottom w:val="dotted" w:sz="4" w:space="0" w:color="6D6E71"/>
                      <w:right w:val="dotted" w:sz="4" w:space="0" w:color="6D6E71"/>
                      <w:insideH w:val="dotted" w:sz="4" w:space="0" w:color="6D6E71"/>
                      <w:insideV w:val="dotted" w:sz="4" w:space="0" w:color="6D6E71"/>
                    </w:tblBorders>
                    <w:tblLayout w:type="fixed"/>
                    <w:tblCellMar>
                      <w:top w:w="0" w:type="dxa"/>
                      <w:left w:w="0" w:type="dxa"/>
                      <w:bottom w:w="0" w:type="dxa"/>
                      <w:right w:w="0" w:type="dxa"/>
                    </w:tblCellMar>
                    <w:tblLook w:val="01E0"/>
                  </w:tblPr>
                  <w:tblGrid>
                    <w:gridCol w:w="2424"/>
                    <w:gridCol w:w="2064"/>
                    <w:gridCol w:w="1517"/>
                    <w:gridCol w:w="1664"/>
                  </w:tblGrid>
                  <w:tr>
                    <w:trPr>
                      <w:trHeight w:val="167" w:hRule="exact"/>
                    </w:trPr>
                    <w:tc>
                      <w:tcPr>
                        <w:tcW w:w="2424" w:type="dxa"/>
                        <w:vMerge w:val="restart"/>
                        <w:tcBorders>
                          <w:top w:val="nil"/>
                          <w:left w:val="nil"/>
                        </w:tcBorders>
                      </w:tcPr>
                      <w:p>
                        <w:pPr>
                          <w:pStyle w:val="TableParagraph"/>
                          <w:tabs>
                            <w:tab w:pos="975" w:val="left" w:leader="none"/>
                            <w:tab w:pos="2409" w:val="left" w:leader="none"/>
                          </w:tabs>
                          <w:spacing w:line="158" w:lineRule="exact"/>
                          <w:ind w:left="-1" w:right="7"/>
                          <w:jc w:val="center"/>
                          <w:rPr>
                            <w:sz w:val="16"/>
                          </w:rPr>
                        </w:pPr>
                        <w:r>
                          <w:rPr>
                            <w:w w:val="100"/>
                            <w:sz w:val="16"/>
                            <w:u w:val="dotted" w:color="6D6E71"/>
                          </w:rPr>
                          <w:t> </w:t>
                        </w:r>
                        <w:r>
                          <w:rPr>
                            <w:sz w:val="16"/>
                            <w:u w:val="dotted" w:color="6D6E71"/>
                          </w:rPr>
                          <w:tab/>
                          <w:t>Rubro</w:t>
                          <w:tab/>
                        </w:r>
                      </w:p>
                      <w:p>
                        <w:pPr>
                          <w:pStyle w:val="TableParagraph"/>
                          <w:spacing w:line="165" w:lineRule="exact" w:before="143"/>
                          <w:ind w:left="508" w:right="535"/>
                          <w:jc w:val="center"/>
                          <w:rPr>
                            <w:sz w:val="16"/>
                          </w:rPr>
                        </w:pPr>
                        <w:r>
                          <w:rPr>
                            <w:sz w:val="16"/>
                          </w:rPr>
                          <w:t>Salud</w:t>
                        </w:r>
                      </w:p>
                      <w:p>
                        <w:pPr>
                          <w:pStyle w:val="TableParagraph"/>
                          <w:tabs>
                            <w:tab w:pos="2409" w:val="left" w:leader="none"/>
                          </w:tabs>
                          <w:spacing w:line="211" w:lineRule="exact"/>
                          <w:ind w:left="-1" w:right="7"/>
                          <w:jc w:val="center"/>
                          <w:rPr>
                            <w:sz w:val="20"/>
                          </w:rPr>
                        </w:pPr>
                        <w:r>
                          <w:rPr>
                            <w:w w:val="100"/>
                            <w:sz w:val="20"/>
                            <w:u w:val="dotted" w:color="6D6E71"/>
                          </w:rPr>
                          <w:t> </w:t>
                        </w:r>
                        <w:r>
                          <w:rPr>
                            <w:sz w:val="20"/>
                            <w:u w:val="dotted" w:color="6D6E71"/>
                          </w:rPr>
                          <w:tab/>
                        </w:r>
                      </w:p>
                      <w:p>
                        <w:pPr>
                          <w:pStyle w:val="TableParagraph"/>
                          <w:spacing w:line="158" w:lineRule="exact" w:before="118"/>
                          <w:ind w:left="508" w:right="535"/>
                          <w:jc w:val="center"/>
                          <w:rPr>
                            <w:sz w:val="16"/>
                          </w:rPr>
                        </w:pPr>
                        <w:r>
                          <w:rPr>
                            <w:sz w:val="16"/>
                          </w:rPr>
                          <w:t>Educación</w:t>
                        </w:r>
                      </w:p>
                      <w:p>
                        <w:pPr>
                          <w:pStyle w:val="TableParagraph"/>
                          <w:tabs>
                            <w:tab w:pos="2409" w:val="left" w:leader="none"/>
                          </w:tabs>
                          <w:spacing w:line="204" w:lineRule="exact"/>
                          <w:ind w:left="-1" w:right="7"/>
                          <w:jc w:val="center"/>
                          <w:rPr>
                            <w:sz w:val="20"/>
                          </w:rPr>
                        </w:pPr>
                        <w:r>
                          <w:rPr>
                            <w:w w:val="100"/>
                            <w:sz w:val="20"/>
                            <w:u w:val="dotted" w:color="6D6E71"/>
                          </w:rPr>
                          <w:t> </w:t>
                        </w:r>
                        <w:r>
                          <w:rPr>
                            <w:sz w:val="20"/>
                            <w:u w:val="dotted" w:color="6D6E71"/>
                          </w:rPr>
                          <w:tab/>
                        </w:r>
                      </w:p>
                      <w:p>
                        <w:pPr>
                          <w:pStyle w:val="TableParagraph"/>
                          <w:spacing w:before="153"/>
                          <w:ind w:left="508" w:right="536"/>
                          <w:jc w:val="center"/>
                          <w:rPr>
                            <w:sz w:val="16"/>
                          </w:rPr>
                        </w:pPr>
                        <w:r>
                          <w:rPr>
                            <w:sz w:val="16"/>
                          </w:rPr>
                          <w:t>Vivienda</w:t>
                        </w:r>
                      </w:p>
                    </w:tc>
                    <w:tc>
                      <w:tcPr>
                        <w:tcW w:w="5246" w:type="dxa"/>
                        <w:gridSpan w:val="3"/>
                        <w:tcBorders>
                          <w:top w:val="nil"/>
                          <w:bottom w:val="nil"/>
                          <w:right w:val="nil"/>
                        </w:tcBorders>
                      </w:tcPr>
                      <w:p>
                        <w:pPr>
                          <w:pStyle w:val="TableParagraph"/>
                          <w:tabs>
                            <w:tab w:pos="2044" w:val="left" w:leader="none"/>
                            <w:tab w:pos="3561" w:val="left" w:leader="none"/>
                            <w:tab w:pos="5240" w:val="left" w:leader="none"/>
                          </w:tabs>
                          <w:spacing w:line="158" w:lineRule="exact"/>
                          <w:ind w:left="24"/>
                          <w:rPr>
                            <w:sz w:val="16"/>
                          </w:rPr>
                        </w:pPr>
                        <w:r>
                          <w:rPr>
                            <w:w w:val="100"/>
                            <w:sz w:val="16"/>
                            <w:u w:val="dotted" w:color="6D6E71"/>
                          </w:rPr>
                          <w:t> </w:t>
                        </w:r>
                        <w:r>
                          <w:rPr>
                            <w:sz w:val="16"/>
                            <w:u w:val="dotted" w:color="6D6E71"/>
                          </w:rPr>
                          <w:tab/>
                        </w:r>
                        <w:r>
                          <w:rPr>
                            <w:sz w:val="16"/>
                          </w:rPr>
                          <w:t> </w:t>
                        </w:r>
                        <w:r>
                          <w:rPr>
                            <w:w w:val="100"/>
                            <w:sz w:val="16"/>
                            <w:u w:val="dotted" w:color="6D6E71"/>
                          </w:rPr>
                          <w:t> </w:t>
                        </w:r>
                        <w:r>
                          <w:rPr>
                            <w:sz w:val="16"/>
                            <w:u w:val="dotted" w:color="6D6E71"/>
                          </w:rPr>
                          <w:t>   </w:t>
                        </w:r>
                        <w:r>
                          <w:rPr>
                            <w:spacing w:val="-20"/>
                            <w:sz w:val="16"/>
                            <w:u w:val="dotted" w:color="6D6E71"/>
                          </w:rPr>
                          <w:t> </w:t>
                        </w:r>
                        <w:r>
                          <w:rPr>
                            <w:sz w:val="16"/>
                            <w:u w:val="dotted" w:color="6D6E71"/>
                          </w:rPr>
                          <w:t>Indicador</w:t>
                          <w:tab/>
                        </w:r>
                        <w:r>
                          <w:rPr>
                            <w:sz w:val="16"/>
                          </w:rPr>
                          <w:t> </w:t>
                        </w:r>
                        <w:r>
                          <w:rPr>
                            <w:w w:val="100"/>
                            <w:sz w:val="16"/>
                            <w:u w:val="dotted" w:color="6D6E71"/>
                          </w:rPr>
                          <w:t> </w:t>
                        </w:r>
                        <w:r>
                          <w:rPr>
                            <w:sz w:val="16"/>
                            <w:u w:val="dotted" w:color="6D6E71"/>
                          </w:rPr>
                          <w:tab/>
                        </w:r>
                      </w:p>
                    </w:tc>
                  </w:tr>
                  <w:tr>
                    <w:trPr>
                      <w:trHeight w:val="468" w:hRule="exact"/>
                    </w:trPr>
                    <w:tc>
                      <w:tcPr>
                        <w:tcW w:w="2424" w:type="dxa"/>
                        <w:vMerge/>
                        <w:tcBorders>
                          <w:left w:val="nil"/>
                        </w:tcBorders>
                      </w:tcPr>
                      <w:p>
                        <w:pPr/>
                      </w:p>
                    </w:tc>
                    <w:tc>
                      <w:tcPr>
                        <w:tcW w:w="2064" w:type="dxa"/>
                        <w:tcBorders>
                          <w:top w:val="nil"/>
                        </w:tcBorders>
                      </w:tcPr>
                      <w:p>
                        <w:pPr>
                          <w:pStyle w:val="TableParagraph"/>
                          <w:spacing w:line="261" w:lineRule="auto" w:before="33"/>
                          <w:ind w:left="103" w:right="1576"/>
                          <w:rPr>
                            <w:sz w:val="16"/>
                          </w:rPr>
                        </w:pPr>
                        <w:r>
                          <w:rPr>
                            <w:sz w:val="16"/>
                          </w:rPr>
                          <w:t>PM </w:t>
                        </w:r>
                        <w:r>
                          <w:rPr>
                            <w:w w:val="95"/>
                            <w:sz w:val="16"/>
                          </w:rPr>
                          <w:t>1.17*</w:t>
                        </w:r>
                      </w:p>
                    </w:tc>
                    <w:tc>
                      <w:tcPr>
                        <w:tcW w:w="3181" w:type="dxa"/>
                        <w:gridSpan w:val="2"/>
                        <w:tcBorders>
                          <w:top w:val="nil"/>
                          <w:right w:val="nil"/>
                        </w:tcBorders>
                      </w:tcPr>
                      <w:p>
                        <w:pPr>
                          <w:pStyle w:val="TableParagraph"/>
                          <w:spacing w:line="261" w:lineRule="auto" w:before="33"/>
                          <w:ind w:left="103" w:right="2573"/>
                          <w:rPr>
                            <w:sz w:val="16"/>
                          </w:rPr>
                        </w:pPr>
                        <w:r>
                          <w:rPr>
                            <w:sz w:val="16"/>
                          </w:rPr>
                          <w:t>%PND 40.14</w:t>
                        </w:r>
                      </w:p>
                    </w:tc>
                  </w:tr>
                  <w:tr>
                    <w:trPr>
                      <w:trHeight w:val="504" w:hRule="exact"/>
                    </w:trPr>
                    <w:tc>
                      <w:tcPr>
                        <w:tcW w:w="2424" w:type="dxa"/>
                        <w:vMerge/>
                        <w:tcBorders>
                          <w:left w:val="nil"/>
                        </w:tcBorders>
                      </w:tcPr>
                      <w:p>
                        <w:pPr/>
                      </w:p>
                    </w:tc>
                    <w:tc>
                      <w:tcPr>
                        <w:tcW w:w="2064" w:type="dxa"/>
                      </w:tcPr>
                      <w:p>
                        <w:pPr>
                          <w:pStyle w:val="TableParagraph"/>
                          <w:spacing w:line="261" w:lineRule="auto" w:before="54"/>
                          <w:ind w:left="102" w:right="1621"/>
                          <w:rPr>
                            <w:sz w:val="16"/>
                          </w:rPr>
                        </w:pPr>
                        <w:r>
                          <w:rPr>
                            <w:w w:val="105"/>
                            <w:sz w:val="16"/>
                          </w:rPr>
                          <w:t>%A </w:t>
                        </w:r>
                        <w:r>
                          <w:rPr>
                            <w:sz w:val="16"/>
                          </w:rPr>
                          <w:t>3.46</w:t>
                        </w:r>
                      </w:p>
                    </w:tc>
                    <w:tc>
                      <w:tcPr>
                        <w:tcW w:w="1517" w:type="dxa"/>
                      </w:tcPr>
                      <w:p>
                        <w:pPr>
                          <w:pStyle w:val="TableParagraph"/>
                          <w:spacing w:line="261" w:lineRule="auto" w:before="54"/>
                          <w:ind w:left="102" w:right="984"/>
                          <w:rPr>
                            <w:sz w:val="16"/>
                          </w:rPr>
                        </w:pPr>
                        <w:r>
                          <w:rPr>
                            <w:sz w:val="16"/>
                          </w:rPr>
                          <w:t>DEB 63.02</w:t>
                        </w:r>
                      </w:p>
                    </w:tc>
                    <w:tc>
                      <w:tcPr>
                        <w:tcW w:w="1664" w:type="dxa"/>
                        <w:tcBorders>
                          <w:right w:val="nil"/>
                        </w:tcBorders>
                      </w:tcPr>
                      <w:p>
                        <w:pPr>
                          <w:pStyle w:val="TableParagraph"/>
                          <w:spacing w:line="261" w:lineRule="auto" w:before="54"/>
                          <w:ind w:left="102" w:right="1216"/>
                          <w:rPr>
                            <w:sz w:val="16"/>
                          </w:rPr>
                        </w:pPr>
                        <w:r>
                          <w:rPr>
                            <w:w w:val="95"/>
                            <w:sz w:val="16"/>
                          </w:rPr>
                          <w:t>GPE </w:t>
                        </w:r>
                        <w:r>
                          <w:rPr>
                            <w:sz w:val="16"/>
                          </w:rPr>
                          <w:t>7.1</w:t>
                        </w:r>
                      </w:p>
                    </w:tc>
                  </w:tr>
                  <w:tr>
                    <w:trPr>
                      <w:trHeight w:val="526" w:hRule="exact"/>
                    </w:trPr>
                    <w:tc>
                      <w:tcPr>
                        <w:tcW w:w="2424" w:type="dxa"/>
                        <w:vMerge/>
                        <w:tcBorders>
                          <w:left w:val="nil"/>
                        </w:tcBorders>
                      </w:tcPr>
                      <w:p>
                        <w:pPr/>
                      </w:p>
                    </w:tc>
                    <w:tc>
                      <w:tcPr>
                        <w:tcW w:w="2064" w:type="dxa"/>
                      </w:tcPr>
                      <w:p>
                        <w:pPr>
                          <w:pStyle w:val="TableParagraph"/>
                          <w:spacing w:line="261" w:lineRule="auto" w:before="65"/>
                          <w:ind w:left="102" w:right="913"/>
                          <w:rPr>
                            <w:sz w:val="16"/>
                          </w:rPr>
                        </w:pPr>
                        <w:r>
                          <w:rPr>
                            <w:w w:val="95"/>
                            <w:sz w:val="16"/>
                          </w:rPr>
                          <w:t>%VNDAE </w:t>
                        </w:r>
                        <w:r>
                          <w:rPr>
                            <w:sz w:val="16"/>
                          </w:rPr>
                          <w:t>28.68</w:t>
                        </w:r>
                      </w:p>
                    </w:tc>
                    <w:tc>
                      <w:tcPr>
                        <w:tcW w:w="1517" w:type="dxa"/>
                      </w:tcPr>
                      <w:p>
                        <w:pPr>
                          <w:pStyle w:val="TableParagraph"/>
                          <w:spacing w:line="261" w:lineRule="auto" w:before="65"/>
                          <w:ind w:left="102" w:right="904"/>
                          <w:rPr>
                            <w:sz w:val="16"/>
                          </w:rPr>
                        </w:pPr>
                        <w:r>
                          <w:rPr>
                            <w:sz w:val="16"/>
                          </w:rPr>
                          <w:t>%VND 12.91</w:t>
                        </w:r>
                      </w:p>
                    </w:tc>
                    <w:tc>
                      <w:tcPr>
                        <w:tcW w:w="1664" w:type="dxa"/>
                        <w:tcBorders>
                          <w:right w:val="nil"/>
                        </w:tcBorders>
                      </w:tcPr>
                      <w:p>
                        <w:pPr>
                          <w:pStyle w:val="TableParagraph"/>
                          <w:spacing w:line="261" w:lineRule="auto" w:before="65"/>
                          <w:ind w:left="102" w:right="1083"/>
                          <w:rPr>
                            <w:sz w:val="16"/>
                          </w:rPr>
                        </w:pPr>
                        <w:r>
                          <w:rPr>
                            <w:sz w:val="16"/>
                          </w:rPr>
                          <w:t>%VPT 15.17</w:t>
                        </w:r>
                      </w:p>
                    </w:tc>
                  </w:tr>
                  <w:tr>
                    <w:trPr>
                      <w:trHeight w:val="420" w:hRule="exact"/>
                    </w:trPr>
                    <w:tc>
                      <w:tcPr>
                        <w:tcW w:w="2424" w:type="dxa"/>
                        <w:vMerge w:val="restart"/>
                        <w:tcBorders>
                          <w:left w:val="nil"/>
                        </w:tcBorders>
                      </w:tcPr>
                      <w:p>
                        <w:pPr>
                          <w:pStyle w:val="TableParagraph"/>
                          <w:spacing w:line="144" w:lineRule="exact" w:before="112"/>
                          <w:ind w:left="508" w:right="536"/>
                          <w:jc w:val="center"/>
                          <w:rPr>
                            <w:sz w:val="16"/>
                          </w:rPr>
                        </w:pPr>
                        <w:r>
                          <w:rPr>
                            <w:sz w:val="16"/>
                          </w:rPr>
                          <w:t>Empleo e Ingresos</w:t>
                        </w:r>
                      </w:p>
                      <w:p>
                        <w:pPr>
                          <w:pStyle w:val="TableParagraph"/>
                          <w:tabs>
                            <w:tab w:pos="2409" w:val="left" w:leader="none"/>
                          </w:tabs>
                          <w:spacing w:line="190" w:lineRule="exact"/>
                          <w:ind w:left="-1" w:right="7"/>
                          <w:jc w:val="center"/>
                          <w:rPr>
                            <w:sz w:val="20"/>
                          </w:rPr>
                        </w:pPr>
                        <w:r>
                          <w:rPr>
                            <w:color w:val="6D6E71"/>
                            <w:w w:val="100"/>
                            <w:sz w:val="20"/>
                            <w:u w:val="dotted" w:color="6D6E71"/>
                          </w:rPr>
                          <w:t> </w:t>
                        </w:r>
                        <w:r>
                          <w:rPr>
                            <w:color w:val="6D6E71"/>
                            <w:sz w:val="20"/>
                            <w:u w:val="dotted" w:color="6D6E71"/>
                          </w:rPr>
                          <w:tab/>
                        </w:r>
                      </w:p>
                      <w:p>
                        <w:pPr>
                          <w:pStyle w:val="TableParagraph"/>
                          <w:spacing w:before="97"/>
                          <w:ind w:left="508" w:right="535"/>
                          <w:jc w:val="center"/>
                          <w:rPr>
                            <w:sz w:val="16"/>
                          </w:rPr>
                        </w:pPr>
                        <w:r>
                          <w:rPr>
                            <w:sz w:val="16"/>
                          </w:rPr>
                          <w:t>Población</w:t>
                        </w:r>
                      </w:p>
                    </w:tc>
                    <w:tc>
                      <w:tcPr>
                        <w:tcW w:w="2064" w:type="dxa"/>
                      </w:tcPr>
                      <w:p>
                        <w:pPr>
                          <w:pStyle w:val="TableParagraph"/>
                          <w:spacing w:line="261" w:lineRule="auto" w:before="12"/>
                          <w:ind w:left="102" w:right="1532"/>
                          <w:rPr>
                            <w:sz w:val="16"/>
                          </w:rPr>
                        </w:pPr>
                        <w:r>
                          <w:rPr>
                            <w:sz w:val="16"/>
                          </w:rPr>
                          <w:t>RD 50.98</w:t>
                        </w:r>
                      </w:p>
                    </w:tc>
                    <w:tc>
                      <w:tcPr>
                        <w:tcW w:w="3181" w:type="dxa"/>
                        <w:gridSpan w:val="2"/>
                        <w:tcBorders>
                          <w:right w:val="nil"/>
                        </w:tcBorders>
                      </w:tcPr>
                      <w:p>
                        <w:pPr>
                          <w:pStyle w:val="TableParagraph"/>
                          <w:spacing w:line="261" w:lineRule="auto" w:before="12"/>
                          <w:ind w:left="102" w:right="2750"/>
                          <w:rPr>
                            <w:sz w:val="16"/>
                          </w:rPr>
                        </w:pPr>
                        <w:r>
                          <w:rPr>
                            <w:w w:val="95"/>
                            <w:sz w:val="16"/>
                          </w:rPr>
                          <w:t>TDA </w:t>
                        </w:r>
                        <w:r>
                          <w:rPr>
                            <w:sz w:val="16"/>
                          </w:rPr>
                          <w:t>8.1</w:t>
                        </w:r>
                      </w:p>
                    </w:tc>
                  </w:tr>
                  <w:tr>
                    <w:trPr>
                      <w:trHeight w:val="442" w:hRule="exact"/>
                    </w:trPr>
                    <w:tc>
                      <w:tcPr>
                        <w:tcW w:w="2424" w:type="dxa"/>
                        <w:vMerge/>
                        <w:tcBorders>
                          <w:left w:val="nil"/>
                        </w:tcBorders>
                      </w:tcPr>
                      <w:p>
                        <w:pPr/>
                      </w:p>
                    </w:tc>
                    <w:tc>
                      <w:tcPr>
                        <w:tcW w:w="5246" w:type="dxa"/>
                        <w:gridSpan w:val="3"/>
                        <w:tcBorders>
                          <w:right w:val="nil"/>
                        </w:tcBorders>
                      </w:tcPr>
                      <w:p>
                        <w:pPr>
                          <w:pStyle w:val="TableParagraph"/>
                          <w:spacing w:line="261" w:lineRule="auto" w:before="23"/>
                          <w:ind w:left="102" w:right="4825"/>
                          <w:rPr>
                            <w:sz w:val="16"/>
                          </w:rPr>
                        </w:pPr>
                        <w:r>
                          <w:rPr>
                            <w:sz w:val="16"/>
                          </w:rPr>
                          <w:t>%PI 1.3</w:t>
                        </w:r>
                      </w:p>
                    </w:tc>
                  </w:tr>
                </w:tbl>
                <w:p>
                  <w:pPr>
                    <w:pStyle w:val="BodyText"/>
                  </w:pPr>
                </w:p>
              </w:txbxContent>
            </v:textbox>
            <w10:wrap type="none"/>
          </v:shape>
        </w:pict>
      </w:r>
      <w:r>
        <w:rPr>
          <w:w w:val="100"/>
          <w:sz w:val="16"/>
          <w:shd w:fill="929292" w:color="auto" w:val="clear"/>
        </w:rPr>
        <w:t> </w:t>
      </w:r>
      <w:r>
        <w:rPr>
          <w:sz w:val="16"/>
          <w:shd w:fill="929292" w:color="auto" w:val="clear"/>
        </w:rPr>
        <w:tab/>
        <w:t>Vulnerabilidad</w:t>
      </w:r>
      <w:r>
        <w:rPr>
          <w:spacing w:val="-1"/>
          <w:sz w:val="16"/>
          <w:shd w:fill="929292" w:color="auto" w:val="clear"/>
        </w:rPr>
        <w:t> </w:t>
      </w:r>
      <w:r>
        <w:rPr>
          <w:sz w:val="16"/>
          <w:shd w:fill="929292" w:color="auto" w:val="clear"/>
        </w:rPr>
        <w:t>Alta</w:t>
        <w:tab/>
      </w:r>
    </w:p>
    <w:p>
      <w:pPr>
        <w:spacing w:after="0"/>
        <w:jc w:val="center"/>
        <w:rPr>
          <w:sz w:val="16"/>
        </w:rPr>
        <w:sectPr>
          <w:type w:val="continuous"/>
          <w:pgSz w:w="18830" w:h="12760" w:orient="landscape"/>
          <w:pgMar w:top="1420" w:bottom="280" w:left="720" w:right="720"/>
          <w:cols w:num="2" w:equalWidth="0">
            <w:col w:w="7839" w:space="1567"/>
            <w:col w:w="7984"/>
          </w:cols>
        </w:sectPr>
      </w:pPr>
    </w:p>
    <w:p>
      <w:pPr>
        <w:pStyle w:val="BodyText"/>
        <w:spacing w:before="1"/>
        <w:ind w:left="1269"/>
      </w:pPr>
      <w:r>
        <w:rPr/>
        <w:drawing>
          <wp:anchor distT="0" distB="0" distL="0" distR="0" allowOverlap="1" layoutInCell="1" locked="0" behindDoc="0" simplePos="0" relativeHeight="3376">
            <wp:simplePos x="0" y="0"/>
            <wp:positionH relativeFrom="page">
              <wp:posOffset>1131963</wp:posOffset>
            </wp:positionH>
            <wp:positionV relativeFrom="paragraph">
              <wp:posOffset>280664</wp:posOffset>
            </wp:positionV>
            <wp:extent cx="3708408" cy="3470093"/>
            <wp:effectExtent l="0" t="0" r="0" b="0"/>
            <wp:wrapNone/>
            <wp:docPr id="29" name="image33.jpeg" descr=""/>
            <wp:cNvGraphicFramePr>
              <a:graphicFrameLocks noChangeAspect="1"/>
            </wp:cNvGraphicFramePr>
            <a:graphic>
              <a:graphicData uri="http://schemas.openxmlformats.org/drawingml/2006/picture">
                <pic:pic>
                  <pic:nvPicPr>
                    <pic:cNvPr id="30" name="image33.jpeg"/>
                    <pic:cNvPicPr/>
                  </pic:nvPicPr>
                  <pic:blipFill>
                    <a:blip r:embed="rId126" cstate="print"/>
                    <a:stretch>
                      <a:fillRect/>
                    </a:stretch>
                  </pic:blipFill>
                  <pic:spPr>
                    <a:xfrm>
                      <a:off x="0" y="0"/>
                      <a:ext cx="3708408" cy="3470093"/>
                    </a:xfrm>
                    <a:prstGeom prst="rect">
                      <a:avLst/>
                    </a:prstGeom>
                  </pic:spPr>
                </pic:pic>
              </a:graphicData>
            </a:graphic>
          </wp:anchor>
        </w:drawing>
      </w:r>
      <w:r>
        <w:rPr>
          <w:color w:val="6D6E71"/>
        </w:rPr>
        <w:t>Figura 6. Mapa de vulnerabilidad socioeconómica de Tijuana</w:t>
      </w:r>
    </w:p>
    <w:p>
      <w:pPr>
        <w:pStyle w:val="BodyText"/>
        <w:rPr>
          <w:sz w:val="16"/>
        </w:rPr>
      </w:pPr>
      <w:r>
        <w:rPr/>
        <w:br w:type="column"/>
      </w:r>
      <w:r>
        <w:rPr>
          <w:sz w:val="16"/>
        </w:rPr>
      </w:r>
    </w:p>
    <w:p>
      <w:pPr>
        <w:pStyle w:val="BodyText"/>
        <w:rPr>
          <w:sz w:val="16"/>
        </w:rPr>
      </w:pPr>
    </w:p>
    <w:p>
      <w:pPr>
        <w:pStyle w:val="BodyText"/>
        <w:spacing w:before="2"/>
        <w:rPr>
          <w:sz w:val="23"/>
        </w:rPr>
      </w:pPr>
    </w:p>
    <w:p>
      <w:pPr>
        <w:spacing w:line="261" w:lineRule="auto" w:before="0"/>
        <w:ind w:left="1163" w:right="228" w:firstLine="0"/>
        <w:jc w:val="both"/>
        <w:rPr>
          <w:sz w:val="16"/>
        </w:rPr>
      </w:pPr>
      <w:r>
        <w:rPr>
          <w:sz w:val="16"/>
        </w:rPr>
        <w:t>PM= Proporción de médicos; %PND= Porcentaje de Población No Derechohabiente; %A= Porcentaje de Analfabetismo; DEB= Demanda de Educación Básica; GPE= Grado Promedio de Escolaridad; %VNDAE= Porcentaje de Viviendas Sin Agua Entubada; %VND= Porcentaje de Viviendas Sin Servicio de Drenaje;</w:t>
      </w:r>
    </w:p>
    <w:p>
      <w:pPr>
        <w:spacing w:line="261" w:lineRule="auto" w:before="0"/>
        <w:ind w:left="1163" w:right="229" w:firstLine="0"/>
        <w:jc w:val="both"/>
        <w:rPr>
          <w:sz w:val="16"/>
        </w:rPr>
      </w:pPr>
      <w:r>
        <w:rPr>
          <w:sz w:val="16"/>
        </w:rPr>
        <w:t>%VPT=</w:t>
      </w:r>
      <w:r>
        <w:rPr>
          <w:spacing w:val="-17"/>
          <w:sz w:val="16"/>
        </w:rPr>
        <w:t> </w:t>
      </w:r>
      <w:r>
        <w:rPr>
          <w:sz w:val="16"/>
        </w:rPr>
        <w:t>Porcentaje</w:t>
      </w:r>
      <w:r>
        <w:rPr>
          <w:spacing w:val="-17"/>
          <w:sz w:val="16"/>
        </w:rPr>
        <w:t> </w:t>
      </w:r>
      <w:r>
        <w:rPr>
          <w:sz w:val="16"/>
        </w:rPr>
        <w:t>de</w:t>
      </w:r>
      <w:r>
        <w:rPr>
          <w:spacing w:val="-17"/>
          <w:sz w:val="16"/>
        </w:rPr>
        <w:t> </w:t>
      </w:r>
      <w:r>
        <w:rPr>
          <w:sz w:val="16"/>
        </w:rPr>
        <w:t>Viviendas</w:t>
      </w:r>
      <w:r>
        <w:rPr>
          <w:spacing w:val="-17"/>
          <w:sz w:val="16"/>
        </w:rPr>
        <w:t> </w:t>
      </w:r>
      <w:r>
        <w:rPr>
          <w:sz w:val="16"/>
        </w:rPr>
        <w:t>con</w:t>
      </w:r>
      <w:r>
        <w:rPr>
          <w:spacing w:val="-17"/>
          <w:sz w:val="16"/>
        </w:rPr>
        <w:t> </w:t>
      </w:r>
      <w:r>
        <w:rPr>
          <w:sz w:val="16"/>
        </w:rPr>
        <w:t>Piso</w:t>
      </w:r>
      <w:r>
        <w:rPr>
          <w:spacing w:val="-17"/>
          <w:sz w:val="16"/>
        </w:rPr>
        <w:t> </w:t>
      </w:r>
      <w:r>
        <w:rPr>
          <w:sz w:val="16"/>
        </w:rPr>
        <w:t>de</w:t>
      </w:r>
      <w:r>
        <w:rPr>
          <w:spacing w:val="-17"/>
          <w:sz w:val="16"/>
        </w:rPr>
        <w:t> </w:t>
      </w:r>
      <w:r>
        <w:rPr>
          <w:sz w:val="16"/>
        </w:rPr>
        <w:t>Tierra;</w:t>
      </w:r>
      <w:r>
        <w:rPr>
          <w:spacing w:val="-17"/>
          <w:sz w:val="16"/>
        </w:rPr>
        <w:t> </w:t>
      </w:r>
      <w:r>
        <w:rPr>
          <w:sz w:val="16"/>
        </w:rPr>
        <w:t>RD=</w:t>
      </w:r>
      <w:r>
        <w:rPr>
          <w:spacing w:val="-17"/>
          <w:sz w:val="16"/>
        </w:rPr>
        <w:t> </w:t>
      </w:r>
      <w:r>
        <w:rPr>
          <w:sz w:val="16"/>
        </w:rPr>
        <w:t>Razón</w:t>
      </w:r>
      <w:r>
        <w:rPr>
          <w:spacing w:val="-17"/>
          <w:sz w:val="16"/>
        </w:rPr>
        <w:t> </w:t>
      </w:r>
      <w:r>
        <w:rPr>
          <w:sz w:val="16"/>
        </w:rPr>
        <w:t>de</w:t>
      </w:r>
      <w:r>
        <w:rPr>
          <w:spacing w:val="-17"/>
          <w:sz w:val="16"/>
        </w:rPr>
        <w:t> </w:t>
      </w:r>
      <w:r>
        <w:rPr>
          <w:sz w:val="16"/>
        </w:rPr>
        <w:t>dependencia;</w:t>
      </w:r>
      <w:r>
        <w:rPr>
          <w:spacing w:val="-17"/>
          <w:sz w:val="16"/>
        </w:rPr>
        <w:t> </w:t>
      </w:r>
      <w:r>
        <w:rPr>
          <w:sz w:val="16"/>
        </w:rPr>
        <w:t>TDA=</w:t>
      </w:r>
      <w:r>
        <w:rPr>
          <w:spacing w:val="-17"/>
          <w:sz w:val="16"/>
        </w:rPr>
        <w:t> </w:t>
      </w:r>
      <w:r>
        <w:rPr>
          <w:sz w:val="16"/>
        </w:rPr>
        <w:t>Tasa</w:t>
      </w:r>
      <w:r>
        <w:rPr>
          <w:spacing w:val="-17"/>
          <w:sz w:val="16"/>
        </w:rPr>
        <w:t> </w:t>
      </w:r>
      <w:r>
        <w:rPr>
          <w:sz w:val="16"/>
        </w:rPr>
        <w:t>de</w:t>
      </w:r>
      <w:r>
        <w:rPr>
          <w:spacing w:val="-17"/>
          <w:sz w:val="16"/>
        </w:rPr>
        <w:t> </w:t>
      </w:r>
      <w:r>
        <w:rPr>
          <w:sz w:val="16"/>
        </w:rPr>
        <w:t>Desempleo Abierto; %PI= Porcentaje de Población de Habla</w:t>
      </w:r>
      <w:r>
        <w:rPr>
          <w:spacing w:val="32"/>
          <w:sz w:val="16"/>
        </w:rPr>
        <w:t> </w:t>
      </w:r>
      <w:r>
        <w:rPr>
          <w:sz w:val="16"/>
        </w:rPr>
        <w:t>Indígena.</w:t>
      </w:r>
    </w:p>
    <w:p>
      <w:pPr>
        <w:pStyle w:val="BodyText"/>
        <w:spacing w:before="10"/>
        <w:rPr>
          <w:sz w:val="11"/>
        </w:rPr>
      </w:pPr>
      <w:r>
        <w:rPr/>
        <w:pict>
          <v:group style="position:absolute;margin-left:512.698486pt;margin-top:8.774205pt;width:386.3pt;height:.5pt;mso-position-horizontal-relative:page;mso-position-vertical-relative:paragraph;z-index:3352;mso-wrap-distance-left:0;mso-wrap-distance-right:0" coordorigin="10254,175" coordsize="7726,10">
            <v:line style="position:absolute" from="10289,180" to="12698,180" stroked="true" strokeweight=".5pt" strokecolor="#28211f">
              <v:stroke dashstyle="dash"/>
            </v:line>
            <v:line style="position:absolute" from="10259,180" to="10259,180" stroked="true" strokeweight=".5pt" strokecolor="#28211f"/>
            <v:line style="position:absolute" from="12713,180" to="12713,180" stroked="true" strokeweight=".5pt" strokecolor="#28211f"/>
            <v:line style="position:absolute" from="12743,180" to="14763,180" stroked="true" strokeweight=".5pt" strokecolor="#28211f">
              <v:stroke dashstyle="dash"/>
            </v:line>
            <v:line style="position:absolute" from="12713,180" to="12713,180" stroked="true" strokeweight=".5pt" strokecolor="#28211f"/>
            <v:line style="position:absolute" from="14778,180" to="14778,180" stroked="true" strokeweight=".5pt" strokecolor="#28211f"/>
            <v:line style="position:absolute" from="14807,180" to="16280,180" stroked="true" strokeweight=".5pt" strokecolor="#28211f">
              <v:stroke dashstyle="dash"/>
            </v:line>
            <v:line style="position:absolute" from="14778,180" to="14778,180" stroked="true" strokeweight=".5pt" strokecolor="#28211f"/>
            <v:line style="position:absolute" from="16295,180" to="16295,180" stroked="true" strokeweight=".5pt" strokecolor="#28211f"/>
            <v:line style="position:absolute" from="16325,180" to="17959,180" stroked="true" strokeweight=".5pt" strokecolor="#28211f">
              <v:stroke dashstyle="dash"/>
            </v:line>
            <v:line style="position:absolute" from="16295,180" to="16295,180" stroked="true" strokeweight=".5pt" strokecolor="#28211f"/>
            <v:line style="position:absolute" from="17974,180" to="17974,180" stroked="true" strokeweight=".5pt" strokecolor="#28211f"/>
            <w10:wrap type="topAndBottom"/>
          </v:group>
        </w:pict>
      </w:r>
    </w:p>
    <w:p>
      <w:pPr>
        <w:pStyle w:val="BodyText"/>
        <w:spacing w:line="249" w:lineRule="auto" w:before="72"/>
        <w:ind w:left="1062" w:right="127" w:firstLine="170"/>
        <w:jc w:val="both"/>
      </w:pPr>
      <w:r>
        <w:rPr/>
        <w:t>En el rubro de educación, el porcentaje de analfabetismo es bajo, no obstante, la demanda de educación básica indica que el número de población que está en edad   de requerir los servicios de educación es alto. Por su parte el promedio de escolaridad indica que la población está en rezago educativo, puesto que han cursado menos de nueve</w:t>
      </w:r>
      <w:r>
        <w:rPr>
          <w:spacing w:val="-6"/>
        </w:rPr>
        <w:t> </w:t>
      </w:r>
      <w:r>
        <w:rPr/>
        <w:t>años</w:t>
      </w:r>
      <w:r>
        <w:rPr>
          <w:spacing w:val="-6"/>
        </w:rPr>
        <w:t> </w:t>
      </w:r>
      <w:r>
        <w:rPr/>
        <w:t>de</w:t>
      </w:r>
      <w:r>
        <w:rPr>
          <w:spacing w:val="-6"/>
        </w:rPr>
        <w:t> </w:t>
      </w:r>
      <w:r>
        <w:rPr/>
        <w:t>educación</w:t>
      </w:r>
      <w:r>
        <w:rPr>
          <w:spacing w:val="-6"/>
        </w:rPr>
        <w:t> </w:t>
      </w:r>
      <w:r>
        <w:rPr/>
        <w:t>formal.</w:t>
      </w:r>
      <w:r>
        <w:rPr>
          <w:spacing w:val="-6"/>
        </w:rPr>
        <w:t> </w:t>
      </w:r>
      <w:r>
        <w:rPr/>
        <w:t>Esto,</w:t>
      </w:r>
      <w:r>
        <w:rPr>
          <w:spacing w:val="-6"/>
        </w:rPr>
        <w:t> </w:t>
      </w:r>
      <w:r>
        <w:rPr/>
        <w:t>en</w:t>
      </w:r>
      <w:r>
        <w:rPr>
          <w:spacing w:val="-6"/>
        </w:rPr>
        <w:t> </w:t>
      </w:r>
      <w:r>
        <w:rPr/>
        <w:t>resumen,</w:t>
      </w:r>
      <w:r>
        <w:rPr>
          <w:spacing w:val="-6"/>
        </w:rPr>
        <w:t> </w:t>
      </w:r>
      <w:r>
        <w:rPr/>
        <w:t>refleja</w:t>
      </w:r>
      <w:r>
        <w:rPr>
          <w:spacing w:val="-6"/>
        </w:rPr>
        <w:t> </w:t>
      </w:r>
      <w:r>
        <w:rPr/>
        <w:t>la</w:t>
      </w:r>
      <w:r>
        <w:rPr>
          <w:spacing w:val="-6"/>
        </w:rPr>
        <w:t> </w:t>
      </w:r>
      <w:r>
        <w:rPr/>
        <w:t>falta</w:t>
      </w:r>
      <w:r>
        <w:rPr>
          <w:spacing w:val="-6"/>
        </w:rPr>
        <w:t> </w:t>
      </w:r>
      <w:r>
        <w:rPr/>
        <w:t>de</w:t>
      </w:r>
      <w:r>
        <w:rPr>
          <w:spacing w:val="-6"/>
        </w:rPr>
        <w:t> </w:t>
      </w:r>
      <w:r>
        <w:rPr/>
        <w:t>conocimiento</w:t>
      </w:r>
      <w:r>
        <w:rPr>
          <w:spacing w:val="-6"/>
        </w:rPr>
        <w:t> </w:t>
      </w:r>
      <w:r>
        <w:rPr/>
        <w:t>que posee la población en relación a los riesgos y desastres</w:t>
      </w:r>
      <w:r>
        <w:rPr>
          <w:spacing w:val="26"/>
        </w:rPr>
        <w:t> </w:t>
      </w:r>
      <w:r>
        <w:rPr/>
        <w:t>naturales.</w:t>
      </w:r>
    </w:p>
    <w:p>
      <w:pPr>
        <w:pStyle w:val="BodyText"/>
        <w:spacing w:before="11"/>
      </w:pPr>
    </w:p>
    <w:p>
      <w:pPr>
        <w:pStyle w:val="BodyText"/>
        <w:spacing w:line="249" w:lineRule="auto"/>
        <w:ind w:left="1062" w:right="127" w:firstLine="170"/>
        <w:jc w:val="both"/>
      </w:pPr>
      <w:r>
        <w:rPr/>
        <w:t>Respecto del rubro de vivienda, uno de los factores que da pauta al grado alto        de vulnerabilidad está referido al porcentaje de viviendas que no disponen de agua entubada; lo anterior ya que, en caso de un desastre la población que ahí habita</w:t>
      </w:r>
      <w:r>
        <w:rPr>
          <w:spacing w:val="-36"/>
        </w:rPr>
        <w:t> </w:t>
      </w:r>
      <w:r>
        <w:rPr/>
        <w:t>estará en una situación de desventaja, puesto que la inexistencia de este servicio supone condiciones de insalubridad. Lo mismo ocurre con las viviendas que no cuentan con servicio de drenaje y que tienen piso de tierra, ya que, aunque sus porcentajes son bajos, aumentan su vulnerabilidad frente a enfermedades, mismas que se incrementan en situaciones de</w:t>
      </w:r>
      <w:r>
        <w:rPr>
          <w:spacing w:val="13"/>
        </w:rPr>
        <w:t> </w:t>
      </w:r>
      <w:r>
        <w:rPr/>
        <w:t>desastre.</w:t>
      </w:r>
    </w:p>
    <w:p>
      <w:pPr>
        <w:spacing w:after="0" w:line="249" w:lineRule="auto"/>
        <w:jc w:val="both"/>
        <w:sectPr>
          <w:type w:val="continuous"/>
          <w:pgSz w:w="18830" w:h="12760" w:orient="landscape"/>
          <w:pgMar w:top="1420" w:bottom="280" w:left="720" w:right="720"/>
          <w:cols w:num="2" w:equalWidth="0">
            <w:col w:w="6903" w:space="1576"/>
            <w:col w:w="8911"/>
          </w:cols>
        </w:sectPr>
      </w:pPr>
    </w:p>
    <w:p>
      <w:pPr>
        <w:pStyle w:val="BodyText"/>
        <w:spacing w:before="6"/>
        <w:rPr>
          <w:sz w:val="23"/>
        </w:rPr>
      </w:pPr>
    </w:p>
    <w:p>
      <w:pPr>
        <w:spacing w:after="0"/>
        <w:rPr>
          <w:sz w:val="23"/>
        </w:rPr>
        <w:sectPr>
          <w:footerReference w:type="default" r:id="rId127"/>
          <w:pgSz w:w="18830" w:h="12760" w:orient="landscape"/>
          <w:pgMar w:footer="1036" w:header="522" w:top="820" w:bottom="1220" w:left="720" w:right="720"/>
        </w:sectPr>
      </w:pPr>
    </w:p>
    <w:p>
      <w:pPr>
        <w:pStyle w:val="BodyText"/>
        <w:spacing w:line="249" w:lineRule="auto" w:before="76"/>
        <w:ind w:left="133" w:right="17" w:firstLine="170"/>
        <w:jc w:val="both"/>
      </w:pPr>
      <w:r>
        <w:rPr/>
        <w:t>En lo que respecta al rubro de empleo e ingresos, la razón de dependencia muestra que, existe un equilibrio entre la proporción de población que tiene entre 0 y 14      años y mayor de 65 en relación a la que tiene entre 14 y 65, consideradas como económicamente productivas y con mayor capacidad de responder ante un desastre. Sin embargo, la tasa de desempleo abierto es alta, lo cual incide directamente en la capacidad de consumo y de adquisiciones de bienes por parte de la población,</w:t>
      </w:r>
      <w:r>
        <w:rPr>
          <w:spacing w:val="-18"/>
        </w:rPr>
        <w:t> </w:t>
      </w:r>
      <w:r>
        <w:rPr/>
        <w:t>aunque se encuentre en edad</w:t>
      </w:r>
      <w:r>
        <w:rPr>
          <w:spacing w:val="31"/>
        </w:rPr>
        <w:t> </w:t>
      </w:r>
      <w:r>
        <w:rPr/>
        <w:t>productiva.</w:t>
      </w:r>
    </w:p>
    <w:p>
      <w:pPr>
        <w:pStyle w:val="BodyText"/>
        <w:spacing w:before="11"/>
      </w:pPr>
    </w:p>
    <w:p>
      <w:pPr>
        <w:pStyle w:val="BodyText"/>
        <w:spacing w:line="249" w:lineRule="auto"/>
        <w:ind w:left="133" w:right="18" w:firstLine="170"/>
        <w:jc w:val="both"/>
      </w:pPr>
      <w:r>
        <w:rPr/>
        <w:t>Como último resultado, se conjuntaron los mapas de vulnerabilidad estructural y socioeconómica, con lo cual se obtuvo una aproximación al riesgo (Figura 7). Esto permitió realizar un análisis en dos vertientes: la primera para diferenciar la</w:t>
      </w:r>
      <w:r>
        <w:rPr>
          <w:spacing w:val="-20"/>
        </w:rPr>
        <w:t> </w:t>
      </w:r>
      <w:r>
        <w:rPr/>
        <w:t>distribución espacial del riesgo y la segunda para estimar la exposición de estructuras críticas en zonas de alto</w:t>
      </w:r>
      <w:r>
        <w:rPr>
          <w:spacing w:val="9"/>
        </w:rPr>
        <w:t> </w:t>
      </w:r>
      <w:r>
        <w:rPr/>
        <w:t>riesgo.</w:t>
      </w:r>
    </w:p>
    <w:p>
      <w:pPr>
        <w:pStyle w:val="BodyText"/>
        <w:spacing w:before="11"/>
      </w:pPr>
    </w:p>
    <w:p>
      <w:pPr>
        <w:pStyle w:val="BodyText"/>
        <w:ind w:left="1210"/>
      </w:pPr>
      <w:r>
        <w:rPr/>
        <w:drawing>
          <wp:anchor distT="0" distB="0" distL="0" distR="0" allowOverlap="1" layoutInCell="1" locked="0" behindDoc="0" simplePos="0" relativeHeight="3496">
            <wp:simplePos x="0" y="0"/>
            <wp:positionH relativeFrom="page">
              <wp:posOffset>542210</wp:posOffset>
            </wp:positionH>
            <wp:positionV relativeFrom="paragraph">
              <wp:posOffset>217545</wp:posOffset>
            </wp:positionV>
            <wp:extent cx="4914613" cy="2885503"/>
            <wp:effectExtent l="0" t="0" r="0" b="0"/>
            <wp:wrapNone/>
            <wp:docPr id="31" name="image34.jpeg" descr=""/>
            <wp:cNvGraphicFramePr>
              <a:graphicFrameLocks noChangeAspect="1"/>
            </wp:cNvGraphicFramePr>
            <a:graphic>
              <a:graphicData uri="http://schemas.openxmlformats.org/drawingml/2006/picture">
                <pic:pic>
                  <pic:nvPicPr>
                    <pic:cNvPr id="32" name="image34.jpeg"/>
                    <pic:cNvPicPr/>
                  </pic:nvPicPr>
                  <pic:blipFill>
                    <a:blip r:embed="rId128" cstate="print"/>
                    <a:stretch>
                      <a:fillRect/>
                    </a:stretch>
                  </pic:blipFill>
                  <pic:spPr>
                    <a:xfrm>
                      <a:off x="0" y="0"/>
                      <a:ext cx="4914613" cy="2885503"/>
                    </a:xfrm>
                    <a:prstGeom prst="rect">
                      <a:avLst/>
                    </a:prstGeom>
                  </pic:spPr>
                </pic:pic>
              </a:graphicData>
            </a:graphic>
          </wp:anchor>
        </w:drawing>
      </w:r>
      <w:r>
        <w:rPr>
          <w:color w:val="6D6E71"/>
        </w:rPr>
        <w:t>Figura 7. Mapa de estructuras críticas sobre modelo de</w:t>
      </w:r>
      <w:r>
        <w:rPr>
          <w:color w:val="6D6E71"/>
          <w:spacing w:val="53"/>
        </w:rPr>
        <w:t> </w:t>
      </w:r>
      <w:r>
        <w:rPr>
          <w:color w:val="6D6E71"/>
        </w:rPr>
        <w:t>riesgo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9"/>
        </w:rPr>
      </w:pPr>
    </w:p>
    <w:p>
      <w:pPr>
        <w:pStyle w:val="BodyText"/>
        <w:spacing w:line="249" w:lineRule="auto" w:before="1"/>
        <w:ind w:left="133" w:right="17" w:firstLine="170"/>
        <w:jc w:val="both"/>
      </w:pPr>
      <w:r>
        <w:rPr/>
        <w:t>El mapa presentado muestra que, en términos de la delimitación administrativa de la ciudad,</w:t>
      </w:r>
      <w:r>
        <w:rPr>
          <w:spacing w:val="-6"/>
        </w:rPr>
        <w:t> </w:t>
      </w:r>
      <w:r>
        <w:rPr/>
        <w:t>las</w:t>
      </w:r>
      <w:r>
        <w:rPr>
          <w:spacing w:val="-6"/>
        </w:rPr>
        <w:t> </w:t>
      </w:r>
      <w:r>
        <w:rPr/>
        <w:t>delegaciones</w:t>
      </w:r>
      <w:r>
        <w:rPr>
          <w:spacing w:val="-6"/>
        </w:rPr>
        <w:t> </w:t>
      </w:r>
      <w:r>
        <w:rPr/>
        <w:t>con</w:t>
      </w:r>
      <w:r>
        <w:rPr>
          <w:spacing w:val="-6"/>
        </w:rPr>
        <w:t> </w:t>
      </w:r>
      <w:r>
        <w:rPr/>
        <w:t>mayor</w:t>
      </w:r>
      <w:r>
        <w:rPr>
          <w:spacing w:val="-6"/>
        </w:rPr>
        <w:t> </w:t>
      </w:r>
      <w:r>
        <w:rPr/>
        <w:t>territorio</w:t>
      </w:r>
      <w:r>
        <w:rPr>
          <w:spacing w:val="-6"/>
        </w:rPr>
        <w:t> </w:t>
      </w:r>
      <w:r>
        <w:rPr/>
        <w:t>en</w:t>
      </w:r>
      <w:r>
        <w:rPr>
          <w:spacing w:val="-6"/>
        </w:rPr>
        <w:t> </w:t>
      </w:r>
      <w:r>
        <w:rPr/>
        <w:t>alto</w:t>
      </w:r>
      <w:r>
        <w:rPr>
          <w:spacing w:val="-6"/>
        </w:rPr>
        <w:t> </w:t>
      </w:r>
      <w:r>
        <w:rPr/>
        <w:t>riesgo</w:t>
      </w:r>
      <w:r>
        <w:rPr>
          <w:spacing w:val="-6"/>
        </w:rPr>
        <w:t> </w:t>
      </w:r>
      <w:r>
        <w:rPr/>
        <w:t>son:</w:t>
      </w:r>
      <w:r>
        <w:rPr>
          <w:spacing w:val="-6"/>
        </w:rPr>
        <w:t> </w:t>
      </w:r>
      <w:r>
        <w:rPr/>
        <w:t>Mesa</w:t>
      </w:r>
      <w:r>
        <w:rPr>
          <w:spacing w:val="-6"/>
        </w:rPr>
        <w:t> </w:t>
      </w:r>
      <w:r>
        <w:rPr/>
        <w:t>de</w:t>
      </w:r>
      <w:r>
        <w:rPr>
          <w:spacing w:val="-6"/>
        </w:rPr>
        <w:t> </w:t>
      </w:r>
      <w:r>
        <w:rPr/>
        <w:t>Otay,</w:t>
      </w:r>
      <w:r>
        <w:rPr>
          <w:spacing w:val="-6"/>
        </w:rPr>
        <w:t> </w:t>
      </w:r>
      <w:r>
        <w:rPr/>
        <w:t>seguida de</w:t>
      </w:r>
      <w:r>
        <w:rPr>
          <w:spacing w:val="-4"/>
        </w:rPr>
        <w:t> </w:t>
      </w:r>
      <w:r>
        <w:rPr/>
        <w:t>la</w:t>
      </w:r>
      <w:r>
        <w:rPr>
          <w:spacing w:val="-4"/>
        </w:rPr>
        <w:t> </w:t>
      </w:r>
      <w:r>
        <w:rPr/>
        <w:t>Delegación</w:t>
      </w:r>
      <w:r>
        <w:rPr>
          <w:spacing w:val="-4"/>
        </w:rPr>
        <w:t> </w:t>
      </w:r>
      <w:r>
        <w:rPr/>
        <w:t>Centenario,</w:t>
      </w:r>
      <w:r>
        <w:rPr>
          <w:spacing w:val="-4"/>
        </w:rPr>
        <w:t> </w:t>
      </w:r>
      <w:r>
        <w:rPr/>
        <w:t>Playas</w:t>
      </w:r>
      <w:r>
        <w:rPr>
          <w:spacing w:val="-4"/>
        </w:rPr>
        <w:t> </w:t>
      </w:r>
      <w:r>
        <w:rPr/>
        <w:t>de</w:t>
      </w:r>
      <w:r>
        <w:rPr>
          <w:spacing w:val="-4"/>
        </w:rPr>
        <w:t> </w:t>
      </w:r>
      <w:r>
        <w:rPr/>
        <w:t>Tijuana,</w:t>
      </w:r>
      <w:r>
        <w:rPr>
          <w:spacing w:val="-4"/>
        </w:rPr>
        <w:t> </w:t>
      </w:r>
      <w:r>
        <w:rPr/>
        <w:t>La</w:t>
      </w:r>
      <w:r>
        <w:rPr>
          <w:spacing w:val="-4"/>
        </w:rPr>
        <w:t> </w:t>
      </w:r>
      <w:r>
        <w:rPr/>
        <w:t>Mesa,</w:t>
      </w:r>
      <w:r>
        <w:rPr>
          <w:spacing w:val="-4"/>
        </w:rPr>
        <w:t> </w:t>
      </w:r>
      <w:r>
        <w:rPr/>
        <w:t>La</w:t>
      </w:r>
      <w:r>
        <w:rPr>
          <w:spacing w:val="-4"/>
        </w:rPr>
        <w:t> </w:t>
      </w:r>
      <w:r>
        <w:rPr/>
        <w:t>Presa</w:t>
      </w:r>
      <w:r>
        <w:rPr>
          <w:spacing w:val="-4"/>
        </w:rPr>
        <w:t> </w:t>
      </w:r>
      <w:r>
        <w:rPr/>
        <w:t>y</w:t>
      </w:r>
      <w:r>
        <w:rPr>
          <w:spacing w:val="-4"/>
        </w:rPr>
        <w:t> </w:t>
      </w:r>
      <w:r>
        <w:rPr/>
        <w:t>Cerro</w:t>
      </w:r>
      <w:r>
        <w:rPr>
          <w:spacing w:val="-4"/>
        </w:rPr>
        <w:t> </w:t>
      </w:r>
      <w:r>
        <w:rPr/>
        <w:t>Colorado</w:t>
      </w:r>
      <w:r>
        <w:rPr>
          <w:spacing w:val="-4"/>
        </w:rPr>
        <w:t> </w:t>
      </w:r>
      <w:r>
        <w:rPr/>
        <w:t>y por último la Delegación Centro (Figura 8). Con base en esto, un análisis inicial</w:t>
      </w:r>
      <w:r>
        <w:rPr>
          <w:spacing w:val="-38"/>
        </w:rPr>
        <w:t> </w:t>
      </w:r>
      <w:r>
        <w:rPr/>
        <w:t>permite estimar que el porcentaje de población afectada es del orden del 40% respecto del total de la zona de</w:t>
      </w:r>
      <w:r>
        <w:rPr>
          <w:spacing w:val="28"/>
        </w:rPr>
        <w:t> </w:t>
      </w:r>
      <w:r>
        <w:rPr/>
        <w:t>estudio.</w:t>
      </w:r>
    </w:p>
    <w:p>
      <w:pPr>
        <w:pStyle w:val="BodyText"/>
        <w:spacing w:line="249" w:lineRule="auto" w:before="76"/>
        <w:ind w:left="148" w:right="221"/>
        <w:jc w:val="center"/>
      </w:pPr>
      <w:r>
        <w:rPr/>
        <w:br w:type="column"/>
      </w:r>
      <w:r>
        <w:rPr>
          <w:color w:val="6D6E71"/>
        </w:rPr>
        <w:t>Figura 8. Distribución porcentual de riesgo sísmico de las delegaciones de la Ciudad de Tijuana</w:t>
      </w:r>
    </w:p>
    <w:p>
      <w:pPr>
        <w:pStyle w:val="BodyText"/>
        <w:spacing w:before="9"/>
        <w:rPr>
          <w:sz w:val="11"/>
        </w:rPr>
      </w:pPr>
      <w:r>
        <w:rPr/>
        <w:drawing>
          <wp:anchor distT="0" distB="0" distL="0" distR="0" allowOverlap="1" layoutInCell="1" locked="0" behindDoc="0" simplePos="0" relativeHeight="3472">
            <wp:simplePos x="0" y="0"/>
            <wp:positionH relativeFrom="page">
              <wp:posOffset>6890143</wp:posOffset>
            </wp:positionH>
            <wp:positionV relativeFrom="paragraph">
              <wp:posOffset>110939</wp:posOffset>
            </wp:positionV>
            <wp:extent cx="4148142" cy="3728085"/>
            <wp:effectExtent l="0" t="0" r="0" b="0"/>
            <wp:wrapTopAndBottom/>
            <wp:docPr id="33" name="image35.jpeg" descr=""/>
            <wp:cNvGraphicFramePr>
              <a:graphicFrameLocks noChangeAspect="1"/>
            </wp:cNvGraphicFramePr>
            <a:graphic>
              <a:graphicData uri="http://schemas.openxmlformats.org/drawingml/2006/picture">
                <pic:pic>
                  <pic:nvPicPr>
                    <pic:cNvPr id="34" name="image35.jpeg"/>
                    <pic:cNvPicPr/>
                  </pic:nvPicPr>
                  <pic:blipFill>
                    <a:blip r:embed="rId129" cstate="print"/>
                    <a:stretch>
                      <a:fillRect/>
                    </a:stretch>
                  </pic:blipFill>
                  <pic:spPr>
                    <a:xfrm>
                      <a:off x="0" y="0"/>
                      <a:ext cx="4148142" cy="3728085"/>
                    </a:xfrm>
                    <a:prstGeom prst="rect">
                      <a:avLst/>
                    </a:prstGeom>
                  </pic:spPr>
                </pic:pic>
              </a:graphicData>
            </a:graphic>
          </wp:anchor>
        </w:drawing>
      </w:r>
    </w:p>
    <w:p>
      <w:pPr>
        <w:pStyle w:val="BodyText"/>
        <w:spacing w:before="8"/>
        <w:rPr>
          <w:sz w:val="17"/>
        </w:rPr>
      </w:pPr>
    </w:p>
    <w:p>
      <w:pPr>
        <w:spacing w:before="0"/>
        <w:ind w:left="148" w:right="221" w:firstLine="0"/>
        <w:jc w:val="center"/>
        <w:rPr>
          <w:sz w:val="16"/>
        </w:rPr>
      </w:pPr>
      <w:r>
        <w:rPr>
          <w:color w:val="6D6E71"/>
          <w:sz w:val="16"/>
        </w:rPr>
        <w:t>Fuente: Elaboración propia</w:t>
      </w:r>
    </w:p>
    <w:p>
      <w:pPr>
        <w:spacing w:after="0"/>
        <w:jc w:val="center"/>
        <w:rPr>
          <w:sz w:val="16"/>
        </w:rPr>
        <w:sectPr>
          <w:type w:val="continuous"/>
          <w:pgSz w:w="18830" w:h="12760" w:orient="landscape"/>
          <w:pgMar w:top="1420" w:bottom="280" w:left="720" w:right="720"/>
          <w:cols w:num="2" w:equalWidth="0">
            <w:col w:w="7865" w:space="1621"/>
            <w:col w:w="7904"/>
          </w:cols>
        </w:sectPr>
      </w:pPr>
    </w:p>
    <w:p>
      <w:pPr>
        <w:pStyle w:val="BodyText"/>
        <w:spacing w:before="8"/>
      </w:pPr>
    </w:p>
    <w:p>
      <w:pPr>
        <w:spacing w:after="0"/>
        <w:sectPr>
          <w:footerReference w:type="default" r:id="rId130"/>
          <w:pgSz w:w="18830" w:h="12760" w:orient="landscape"/>
          <w:pgMar w:footer="1036" w:header="522" w:top="820" w:bottom="1220" w:left="720" w:right="720"/>
        </w:sectPr>
      </w:pPr>
    </w:p>
    <w:p>
      <w:pPr>
        <w:pStyle w:val="BodyText"/>
        <w:spacing w:line="249" w:lineRule="auto" w:before="109"/>
        <w:ind w:left="134" w:right="26" w:firstLine="170"/>
        <w:jc w:val="both"/>
      </w:pPr>
      <w:r>
        <w:rPr/>
        <w:t>La siguiente gráfica (Figura 9) muestra que, en la Delegación Centro se concentra el mayor número de estructuras críticas, de manera particular gasolineras; no obstante, para</w:t>
      </w:r>
      <w:r>
        <w:rPr>
          <w:spacing w:val="-6"/>
        </w:rPr>
        <w:t> </w:t>
      </w:r>
      <w:r>
        <w:rPr/>
        <w:t>dicho</w:t>
      </w:r>
      <w:r>
        <w:rPr>
          <w:spacing w:val="-6"/>
        </w:rPr>
        <w:t> </w:t>
      </w:r>
      <w:r>
        <w:rPr/>
        <w:t>territorio</w:t>
      </w:r>
      <w:r>
        <w:rPr>
          <w:spacing w:val="-6"/>
        </w:rPr>
        <w:t> </w:t>
      </w:r>
      <w:r>
        <w:rPr/>
        <w:t>los</w:t>
      </w:r>
      <w:r>
        <w:rPr>
          <w:spacing w:val="-6"/>
        </w:rPr>
        <w:t> </w:t>
      </w:r>
      <w:r>
        <w:rPr/>
        <w:t>niveles</w:t>
      </w:r>
      <w:r>
        <w:rPr>
          <w:spacing w:val="-6"/>
        </w:rPr>
        <w:t> </w:t>
      </w:r>
      <w:r>
        <w:rPr/>
        <w:t>de</w:t>
      </w:r>
      <w:r>
        <w:rPr>
          <w:spacing w:val="-6"/>
        </w:rPr>
        <w:t> </w:t>
      </w:r>
      <w:r>
        <w:rPr/>
        <w:t>riesgo</w:t>
      </w:r>
      <w:r>
        <w:rPr>
          <w:spacing w:val="-6"/>
        </w:rPr>
        <w:t> </w:t>
      </w:r>
      <w:r>
        <w:rPr/>
        <w:t>son</w:t>
      </w:r>
      <w:r>
        <w:rPr>
          <w:spacing w:val="-6"/>
        </w:rPr>
        <w:t> </w:t>
      </w:r>
      <w:r>
        <w:rPr/>
        <w:t>de</w:t>
      </w:r>
      <w:r>
        <w:rPr>
          <w:spacing w:val="-6"/>
        </w:rPr>
        <w:t> </w:t>
      </w:r>
      <w:r>
        <w:rPr/>
        <w:t>medios</w:t>
      </w:r>
      <w:r>
        <w:rPr>
          <w:spacing w:val="-6"/>
        </w:rPr>
        <w:t> </w:t>
      </w:r>
      <w:r>
        <w:rPr/>
        <w:t>a</w:t>
      </w:r>
      <w:r>
        <w:rPr>
          <w:spacing w:val="-6"/>
        </w:rPr>
        <w:t> </w:t>
      </w:r>
      <w:r>
        <w:rPr/>
        <w:t>bajos.</w:t>
      </w:r>
      <w:r>
        <w:rPr>
          <w:spacing w:val="-6"/>
        </w:rPr>
        <w:t> </w:t>
      </w:r>
      <w:r>
        <w:rPr/>
        <w:t>De</w:t>
      </w:r>
      <w:r>
        <w:rPr>
          <w:spacing w:val="-6"/>
        </w:rPr>
        <w:t> </w:t>
      </w:r>
      <w:r>
        <w:rPr/>
        <w:t>manera</w:t>
      </w:r>
      <w:r>
        <w:rPr>
          <w:spacing w:val="-6"/>
        </w:rPr>
        <w:t> </w:t>
      </w:r>
      <w:r>
        <w:rPr/>
        <w:t>general,</w:t>
      </w:r>
      <w:r>
        <w:rPr>
          <w:spacing w:val="-6"/>
        </w:rPr>
        <w:t> </w:t>
      </w:r>
      <w:r>
        <w:rPr/>
        <w:t>se observa que la mayoría de estructuras críticas poseen una buena localización</w:t>
      </w:r>
      <w:r>
        <w:rPr>
          <w:spacing w:val="-23"/>
        </w:rPr>
        <w:t> </w:t>
      </w:r>
      <w:r>
        <w:rPr/>
        <w:t>respecto de los niveles de</w:t>
      </w:r>
      <w:r>
        <w:rPr>
          <w:spacing w:val="6"/>
        </w:rPr>
        <w:t> </w:t>
      </w:r>
      <w:r>
        <w:rPr/>
        <w:t>riesgo.</w:t>
      </w:r>
    </w:p>
    <w:p>
      <w:pPr>
        <w:pStyle w:val="BodyText"/>
        <w:spacing w:before="2"/>
        <w:rPr>
          <w:sz w:val="24"/>
        </w:rPr>
      </w:pPr>
    </w:p>
    <w:p>
      <w:pPr>
        <w:spacing w:before="0"/>
        <w:ind w:left="1759" w:right="0" w:firstLine="0"/>
        <w:jc w:val="left"/>
        <w:rPr>
          <w:sz w:val="16"/>
        </w:rPr>
      </w:pPr>
      <w:r>
        <w:rPr>
          <w:color w:val="6D6E71"/>
          <w:sz w:val="16"/>
        </w:rPr>
        <w:t>Figura 9. Concentración de estructuras críticas por  delegación</w:t>
      </w:r>
    </w:p>
    <w:p>
      <w:pPr>
        <w:pStyle w:val="BodyText"/>
        <w:spacing w:before="8"/>
        <w:rPr>
          <w:sz w:val="18"/>
        </w:rPr>
      </w:pPr>
      <w:r>
        <w:rPr/>
        <w:drawing>
          <wp:anchor distT="0" distB="0" distL="0" distR="0" allowOverlap="1" layoutInCell="1" locked="0" behindDoc="0" simplePos="0" relativeHeight="3520">
            <wp:simplePos x="0" y="0"/>
            <wp:positionH relativeFrom="page">
              <wp:posOffset>523425</wp:posOffset>
            </wp:positionH>
            <wp:positionV relativeFrom="paragraph">
              <wp:posOffset>161578</wp:posOffset>
            </wp:positionV>
            <wp:extent cx="4925758" cy="2798064"/>
            <wp:effectExtent l="0" t="0" r="0" b="0"/>
            <wp:wrapTopAndBottom/>
            <wp:docPr id="35" name="image36.jpeg" descr=""/>
            <wp:cNvGraphicFramePr>
              <a:graphicFrameLocks noChangeAspect="1"/>
            </wp:cNvGraphicFramePr>
            <a:graphic>
              <a:graphicData uri="http://schemas.openxmlformats.org/drawingml/2006/picture">
                <pic:pic>
                  <pic:nvPicPr>
                    <pic:cNvPr id="36" name="image36.jpeg"/>
                    <pic:cNvPicPr/>
                  </pic:nvPicPr>
                  <pic:blipFill>
                    <a:blip r:embed="rId131" cstate="print"/>
                    <a:stretch>
                      <a:fillRect/>
                    </a:stretch>
                  </pic:blipFill>
                  <pic:spPr>
                    <a:xfrm>
                      <a:off x="0" y="0"/>
                      <a:ext cx="4925758" cy="2798064"/>
                    </a:xfrm>
                    <a:prstGeom prst="rect">
                      <a:avLst/>
                    </a:prstGeom>
                  </pic:spPr>
                </pic:pic>
              </a:graphicData>
            </a:graphic>
          </wp:anchor>
        </w:drawing>
      </w:r>
    </w:p>
    <w:p>
      <w:pPr>
        <w:pStyle w:val="BodyText"/>
        <w:rPr>
          <w:sz w:val="16"/>
        </w:rPr>
      </w:pPr>
    </w:p>
    <w:p>
      <w:pPr>
        <w:pStyle w:val="BodyText"/>
        <w:rPr>
          <w:sz w:val="16"/>
        </w:rPr>
      </w:pPr>
    </w:p>
    <w:p>
      <w:pPr>
        <w:pStyle w:val="BodyText"/>
        <w:spacing w:line="249" w:lineRule="auto"/>
        <w:ind w:left="134" w:right="27" w:firstLine="170"/>
        <w:jc w:val="both"/>
      </w:pPr>
      <w:r>
        <w:rPr/>
        <w:t>De acuerdo con los resultados, en un orden descendente, se ha determinado a la Delegación Centro, seguida de La Mesa y Mesa de Otay, como las tres primeras en mayor nivel de riesgo, incluso con probabilidad de potenciarse por la localización de estructuras críticas en su territorio.</w:t>
      </w:r>
    </w:p>
    <w:p>
      <w:pPr>
        <w:pStyle w:val="Heading1"/>
        <w:spacing w:before="71"/>
        <w:ind w:left="274"/>
      </w:pPr>
      <w:r>
        <w:rPr>
          <w:b w:val="0"/>
        </w:rPr>
        <w:br w:type="column"/>
      </w:r>
      <w:r>
        <w:rPr/>
        <w:t>Conclusiones</w:t>
      </w:r>
    </w:p>
    <w:p>
      <w:pPr>
        <w:pStyle w:val="BodyText"/>
        <w:rPr>
          <w:b/>
          <w:sz w:val="24"/>
        </w:rPr>
      </w:pPr>
    </w:p>
    <w:p>
      <w:pPr>
        <w:pStyle w:val="BodyText"/>
        <w:spacing w:line="249" w:lineRule="auto" w:before="205"/>
        <w:ind w:left="104" w:right="127" w:firstLine="170"/>
        <w:jc w:val="both"/>
      </w:pPr>
      <w:r>
        <w:rPr/>
        <w:t>La</w:t>
      </w:r>
      <w:r>
        <w:rPr>
          <w:spacing w:val="-6"/>
        </w:rPr>
        <w:t> </w:t>
      </w:r>
      <w:r>
        <w:rPr/>
        <w:t>estructura</w:t>
      </w:r>
      <w:r>
        <w:rPr>
          <w:spacing w:val="-6"/>
        </w:rPr>
        <w:t> </w:t>
      </w:r>
      <w:r>
        <w:rPr/>
        <w:t>metodológica</w:t>
      </w:r>
      <w:r>
        <w:rPr>
          <w:spacing w:val="-6"/>
        </w:rPr>
        <w:t> </w:t>
      </w:r>
      <w:r>
        <w:rPr/>
        <w:t>ha</w:t>
      </w:r>
      <w:r>
        <w:rPr>
          <w:spacing w:val="-6"/>
        </w:rPr>
        <w:t> </w:t>
      </w:r>
      <w:r>
        <w:rPr/>
        <w:t>permitido</w:t>
      </w:r>
      <w:r>
        <w:rPr>
          <w:spacing w:val="-6"/>
        </w:rPr>
        <w:t> </w:t>
      </w:r>
      <w:r>
        <w:rPr/>
        <w:t>realizar</w:t>
      </w:r>
      <w:r>
        <w:rPr>
          <w:spacing w:val="-6"/>
        </w:rPr>
        <w:t> </w:t>
      </w:r>
      <w:r>
        <w:rPr/>
        <w:t>una</w:t>
      </w:r>
      <w:r>
        <w:rPr>
          <w:spacing w:val="-6"/>
        </w:rPr>
        <w:t> </w:t>
      </w:r>
      <w:r>
        <w:rPr/>
        <w:t>aproximación</w:t>
      </w:r>
      <w:r>
        <w:rPr>
          <w:spacing w:val="-6"/>
        </w:rPr>
        <w:t> </w:t>
      </w:r>
      <w:r>
        <w:rPr/>
        <w:t>a</w:t>
      </w:r>
      <w:r>
        <w:rPr>
          <w:spacing w:val="-6"/>
        </w:rPr>
        <w:t> </w:t>
      </w:r>
      <w:r>
        <w:rPr/>
        <w:t>la</w:t>
      </w:r>
      <w:r>
        <w:rPr>
          <w:spacing w:val="-6"/>
        </w:rPr>
        <w:t> </w:t>
      </w:r>
      <w:r>
        <w:rPr/>
        <w:t>vulnerabilidad tanto estructural como socioeconómica y con esto definir niveles de riesgo; no obstante, la evaluación de cada componente implica un proceso complejo que deriva en diferentes campos de especialización; por lo anterior resultante interesante el surgimiento de propuestas de métodos </w:t>
      </w:r>
      <w:r>
        <w:rPr>
          <w:spacing w:val="5"/>
        </w:rPr>
        <w:t> </w:t>
      </w:r>
      <w:r>
        <w:rPr/>
        <w:t>integrales.</w:t>
      </w:r>
    </w:p>
    <w:p>
      <w:pPr>
        <w:pStyle w:val="BodyText"/>
        <w:spacing w:before="11"/>
      </w:pPr>
    </w:p>
    <w:p>
      <w:pPr>
        <w:pStyle w:val="BodyText"/>
        <w:spacing w:line="249" w:lineRule="auto"/>
        <w:ind w:left="104" w:right="127" w:firstLine="170"/>
        <w:jc w:val="both"/>
      </w:pPr>
      <w:r>
        <w:rPr/>
        <w:t>Por otra parte, las geotecnologías como los sistemas de información geográfica son de</w:t>
      </w:r>
      <w:r>
        <w:rPr>
          <w:spacing w:val="-14"/>
        </w:rPr>
        <w:t> </w:t>
      </w:r>
      <w:r>
        <w:rPr/>
        <w:t>utilidad</w:t>
      </w:r>
      <w:r>
        <w:rPr>
          <w:spacing w:val="-14"/>
        </w:rPr>
        <w:t> </w:t>
      </w:r>
      <w:r>
        <w:rPr/>
        <w:t>para</w:t>
      </w:r>
      <w:r>
        <w:rPr>
          <w:spacing w:val="-14"/>
        </w:rPr>
        <w:t> </w:t>
      </w:r>
      <w:r>
        <w:rPr/>
        <w:t>los</w:t>
      </w:r>
      <w:r>
        <w:rPr>
          <w:spacing w:val="-14"/>
        </w:rPr>
        <w:t> </w:t>
      </w:r>
      <w:r>
        <w:rPr/>
        <w:t>estudios</w:t>
      </w:r>
      <w:r>
        <w:rPr>
          <w:spacing w:val="-14"/>
        </w:rPr>
        <w:t> </w:t>
      </w:r>
      <w:r>
        <w:rPr/>
        <w:t>de</w:t>
      </w:r>
      <w:r>
        <w:rPr>
          <w:spacing w:val="-14"/>
        </w:rPr>
        <w:t> </w:t>
      </w:r>
      <w:r>
        <w:rPr/>
        <w:t>riesgo</w:t>
      </w:r>
      <w:r>
        <w:rPr>
          <w:spacing w:val="-14"/>
        </w:rPr>
        <w:t> </w:t>
      </w:r>
      <w:r>
        <w:rPr/>
        <w:t>en</w:t>
      </w:r>
      <w:r>
        <w:rPr>
          <w:spacing w:val="-14"/>
        </w:rPr>
        <w:t> </w:t>
      </w:r>
      <w:r>
        <w:rPr/>
        <w:t>general</w:t>
      </w:r>
      <w:r>
        <w:rPr>
          <w:spacing w:val="-14"/>
        </w:rPr>
        <w:t> </w:t>
      </w:r>
      <w:r>
        <w:rPr/>
        <w:t>y</w:t>
      </w:r>
      <w:r>
        <w:rPr>
          <w:spacing w:val="-14"/>
        </w:rPr>
        <w:t> </w:t>
      </w:r>
      <w:r>
        <w:rPr/>
        <w:t>en</w:t>
      </w:r>
      <w:r>
        <w:rPr>
          <w:spacing w:val="-14"/>
        </w:rPr>
        <w:t> </w:t>
      </w:r>
      <w:r>
        <w:rPr/>
        <w:t>el</w:t>
      </w:r>
      <w:r>
        <w:rPr>
          <w:spacing w:val="-14"/>
        </w:rPr>
        <w:t> </w:t>
      </w:r>
      <w:r>
        <w:rPr/>
        <w:t>caso</w:t>
      </w:r>
      <w:r>
        <w:rPr>
          <w:spacing w:val="-14"/>
        </w:rPr>
        <w:t> </w:t>
      </w:r>
      <w:r>
        <w:rPr/>
        <w:t>de</w:t>
      </w:r>
      <w:r>
        <w:rPr>
          <w:spacing w:val="-14"/>
        </w:rPr>
        <w:t> </w:t>
      </w:r>
      <w:r>
        <w:rPr/>
        <w:t>este</w:t>
      </w:r>
      <w:r>
        <w:rPr>
          <w:spacing w:val="-14"/>
        </w:rPr>
        <w:t> </w:t>
      </w:r>
      <w:r>
        <w:rPr/>
        <w:t>trabajo</w:t>
      </w:r>
      <w:r>
        <w:rPr>
          <w:spacing w:val="-14"/>
        </w:rPr>
        <w:t> </w:t>
      </w:r>
      <w:r>
        <w:rPr/>
        <w:t>permitieron recopilar, ordenar, analizar, modelar e integrar las variables de manera</w:t>
      </w:r>
      <w:r>
        <w:rPr>
          <w:spacing w:val="7"/>
        </w:rPr>
        <w:t> </w:t>
      </w:r>
      <w:r>
        <w:rPr/>
        <w:t>conjunta.</w:t>
      </w:r>
    </w:p>
    <w:p>
      <w:pPr>
        <w:pStyle w:val="BodyText"/>
        <w:spacing w:before="11"/>
      </w:pPr>
    </w:p>
    <w:p>
      <w:pPr>
        <w:pStyle w:val="BodyText"/>
        <w:spacing w:line="249" w:lineRule="auto"/>
        <w:ind w:left="104" w:right="127" w:firstLine="170"/>
        <w:jc w:val="both"/>
      </w:pPr>
      <w:r>
        <w:rPr/>
        <w:t>Es importante considerar la realización de nuevas mediciones de carácter geofísico  o geotécnico en otras partes de la ciudad, con el fin de tener un mayor cubrimiento espacial, con el cual los resultados referentes a la respuesta sísmica del terreno sean más</w:t>
      </w:r>
      <w:r>
        <w:rPr>
          <w:spacing w:val="14"/>
        </w:rPr>
        <w:t> </w:t>
      </w:r>
      <w:r>
        <w:rPr/>
        <w:t>detallados.</w:t>
      </w:r>
    </w:p>
    <w:p>
      <w:pPr>
        <w:pStyle w:val="BodyText"/>
        <w:spacing w:before="11"/>
      </w:pPr>
    </w:p>
    <w:p>
      <w:pPr>
        <w:pStyle w:val="BodyText"/>
        <w:spacing w:line="249" w:lineRule="auto"/>
        <w:ind w:left="104" w:right="127" w:firstLine="170"/>
        <w:jc w:val="both"/>
      </w:pPr>
      <w:r>
        <w:rPr/>
        <w:t>Con base en los resultados obtenidos se observó la necesidad de sustituir el uso    de AGEB´s por otro tipo de unidades espaciales que permitan mayor nivel de detalle en el análisis espacial. Dichas unidades podrían ser las secciones electorales o las manzanas</w:t>
      </w:r>
      <w:r>
        <w:rPr>
          <w:spacing w:val="-12"/>
        </w:rPr>
        <w:t> </w:t>
      </w:r>
      <w:r>
        <w:rPr/>
        <w:t>urbanas.</w:t>
      </w:r>
    </w:p>
    <w:p>
      <w:pPr>
        <w:pStyle w:val="BodyText"/>
        <w:spacing w:before="11"/>
      </w:pPr>
    </w:p>
    <w:p>
      <w:pPr>
        <w:pStyle w:val="BodyText"/>
        <w:spacing w:line="249" w:lineRule="auto"/>
        <w:ind w:left="104" w:right="127" w:firstLine="170"/>
        <w:jc w:val="both"/>
      </w:pPr>
      <w:r>
        <w:rPr/>
        <w:t>La evaluación de cada uno de los componentes del riesgo sísmico proporciona resultados en sí mismos que permiten su análisis de forma aislada, lo cual es de utilidad para un proceso de gestión integral posterior, en el cual se pueda conocer el comportamiento</w:t>
      </w:r>
      <w:r>
        <w:rPr>
          <w:spacing w:val="-6"/>
        </w:rPr>
        <w:t> </w:t>
      </w:r>
      <w:r>
        <w:rPr/>
        <w:t>específico</w:t>
      </w:r>
      <w:r>
        <w:rPr>
          <w:spacing w:val="-6"/>
        </w:rPr>
        <w:t> </w:t>
      </w:r>
      <w:r>
        <w:rPr/>
        <w:t>de</w:t>
      </w:r>
      <w:r>
        <w:rPr>
          <w:spacing w:val="-6"/>
        </w:rPr>
        <w:t> </w:t>
      </w:r>
      <w:r>
        <w:rPr/>
        <w:t>las</w:t>
      </w:r>
      <w:r>
        <w:rPr>
          <w:spacing w:val="-6"/>
        </w:rPr>
        <w:t> </w:t>
      </w:r>
      <w:r>
        <w:rPr/>
        <w:t>variables</w:t>
      </w:r>
      <w:r>
        <w:rPr>
          <w:spacing w:val="-6"/>
        </w:rPr>
        <w:t> </w:t>
      </w:r>
      <w:r>
        <w:rPr/>
        <w:t>y</w:t>
      </w:r>
      <w:r>
        <w:rPr>
          <w:spacing w:val="-6"/>
        </w:rPr>
        <w:t> </w:t>
      </w:r>
      <w:r>
        <w:rPr/>
        <w:t>de</w:t>
      </w:r>
      <w:r>
        <w:rPr>
          <w:spacing w:val="-6"/>
        </w:rPr>
        <w:t> </w:t>
      </w:r>
      <w:r>
        <w:rPr/>
        <w:t>esta</w:t>
      </w:r>
      <w:r>
        <w:rPr>
          <w:spacing w:val="-6"/>
        </w:rPr>
        <w:t> </w:t>
      </w:r>
      <w:r>
        <w:rPr/>
        <w:t>manera</w:t>
      </w:r>
      <w:r>
        <w:rPr>
          <w:spacing w:val="-6"/>
        </w:rPr>
        <w:t> </w:t>
      </w:r>
      <w:r>
        <w:rPr/>
        <w:t>determinar</w:t>
      </w:r>
      <w:r>
        <w:rPr>
          <w:spacing w:val="-6"/>
        </w:rPr>
        <w:t> </w:t>
      </w:r>
      <w:r>
        <w:rPr/>
        <w:t>cuáles</w:t>
      </w:r>
      <w:r>
        <w:rPr>
          <w:spacing w:val="-6"/>
        </w:rPr>
        <w:t> </w:t>
      </w:r>
      <w:r>
        <w:rPr/>
        <w:t>son</w:t>
      </w:r>
      <w:r>
        <w:rPr>
          <w:spacing w:val="-6"/>
        </w:rPr>
        <w:t> </w:t>
      </w:r>
      <w:r>
        <w:rPr/>
        <w:t>los factores que en determinado momento pueden potenciar o disminuir el nivel de riesgo al cual está expuesta la Ciudad de</w:t>
      </w:r>
      <w:r>
        <w:rPr>
          <w:spacing w:val="1"/>
        </w:rPr>
        <w:t> </w:t>
      </w:r>
      <w:r>
        <w:rPr/>
        <w:t>Tijuana.</w:t>
      </w:r>
    </w:p>
    <w:p>
      <w:pPr>
        <w:spacing w:after="0" w:line="249" w:lineRule="auto"/>
        <w:jc w:val="both"/>
        <w:sectPr>
          <w:type w:val="continuous"/>
          <w:pgSz w:w="18830" w:h="12760" w:orient="landscape"/>
          <w:pgMar w:top="1420" w:bottom="280" w:left="720" w:right="720"/>
          <w:cols w:num="2" w:equalWidth="0">
            <w:col w:w="7875" w:space="1562"/>
            <w:col w:w="7953"/>
          </w:cols>
        </w:sectPr>
      </w:pPr>
    </w:p>
    <w:p>
      <w:pPr>
        <w:pStyle w:val="BodyText"/>
        <w:spacing w:before="8"/>
      </w:pPr>
    </w:p>
    <w:p>
      <w:pPr>
        <w:spacing w:after="0"/>
        <w:sectPr>
          <w:footerReference w:type="default" r:id="rId132"/>
          <w:pgSz w:w="18830" w:h="12760" w:orient="landscape"/>
          <w:pgMar w:footer="1036" w:header="522" w:top="820" w:bottom="1220" w:left="720" w:right="720"/>
        </w:sectPr>
      </w:pPr>
    </w:p>
    <w:p>
      <w:pPr>
        <w:pStyle w:val="Heading1"/>
        <w:spacing w:before="71"/>
        <w:ind w:right="-5"/>
      </w:pPr>
      <w:r>
        <w:rPr/>
        <w:t>Referencias Bibliográficas</w:t>
      </w:r>
    </w:p>
    <w:p>
      <w:pPr>
        <w:pStyle w:val="BodyText"/>
        <w:rPr>
          <w:b/>
          <w:sz w:val="21"/>
        </w:rPr>
      </w:pPr>
    </w:p>
    <w:p>
      <w:pPr>
        <w:pStyle w:val="BodyText"/>
        <w:spacing w:line="249" w:lineRule="auto"/>
        <w:ind w:left="753" w:right="6" w:hanging="624"/>
        <w:jc w:val="both"/>
      </w:pPr>
      <w:r>
        <w:rPr/>
        <w:t>Alfaro</w:t>
      </w:r>
      <w:r>
        <w:rPr>
          <w:spacing w:val="-5"/>
        </w:rPr>
        <w:t> </w:t>
      </w:r>
      <w:r>
        <w:rPr/>
        <w:t>A.,</w:t>
      </w:r>
      <w:r>
        <w:rPr>
          <w:spacing w:val="-5"/>
        </w:rPr>
        <w:t> </w:t>
      </w:r>
      <w:r>
        <w:rPr/>
        <w:t>Egozcue,</w:t>
      </w:r>
      <w:r>
        <w:rPr>
          <w:spacing w:val="-5"/>
        </w:rPr>
        <w:t> </w:t>
      </w:r>
      <w:r>
        <w:rPr/>
        <w:t>J.</w:t>
      </w:r>
      <w:r>
        <w:rPr>
          <w:spacing w:val="-5"/>
        </w:rPr>
        <w:t> </w:t>
      </w:r>
      <w:r>
        <w:rPr/>
        <w:t>y</w:t>
      </w:r>
      <w:r>
        <w:rPr>
          <w:spacing w:val="-5"/>
        </w:rPr>
        <w:t> </w:t>
      </w:r>
      <w:r>
        <w:rPr/>
        <w:t>Ugalde,</w:t>
      </w:r>
      <w:r>
        <w:rPr>
          <w:spacing w:val="-5"/>
        </w:rPr>
        <w:t> </w:t>
      </w:r>
      <w:r>
        <w:rPr/>
        <w:t>A.</w:t>
      </w:r>
      <w:r>
        <w:rPr>
          <w:spacing w:val="-5"/>
        </w:rPr>
        <w:t> </w:t>
      </w:r>
      <w:r>
        <w:rPr/>
        <w:t>(1999).</w:t>
      </w:r>
      <w:r>
        <w:rPr>
          <w:spacing w:val="-5"/>
        </w:rPr>
        <w:t> </w:t>
      </w:r>
      <w:r>
        <w:rPr/>
        <w:t>Determinación</w:t>
      </w:r>
      <w:r>
        <w:rPr>
          <w:spacing w:val="-5"/>
        </w:rPr>
        <w:t> </w:t>
      </w:r>
      <w:r>
        <w:rPr/>
        <w:t>de</w:t>
      </w:r>
      <w:r>
        <w:rPr>
          <w:spacing w:val="-5"/>
        </w:rPr>
        <w:t> </w:t>
      </w:r>
      <w:r>
        <w:rPr/>
        <w:t>Características</w:t>
      </w:r>
      <w:r>
        <w:rPr>
          <w:spacing w:val="-5"/>
        </w:rPr>
        <w:t> </w:t>
      </w:r>
      <w:r>
        <w:rPr/>
        <w:t>Dinámicas del Suelo a partir de Microtemblores. Memorias del Primer Congreso de Ingeniería Sísmica. Asociación Española de Ingeniera Sísmica. Págs. 435-441. Murcia España. </w:t>
      </w:r>
      <w:hyperlink r:id="rId133">
        <w:r>
          <w:rPr>
            <w:color w:val="0077CA"/>
            <w:u w:val="single" w:color="0077CA"/>
          </w:rPr>
          <w:t>http://www.ciees.org/doc_estudios/1999%20_alfaro_egozcue_</w:t>
        </w:r>
      </w:hyperlink>
      <w:r>
        <w:rPr>
          <w:color w:val="0077CA"/>
          <w:u w:val="single" w:color="0077CA"/>
        </w:rPr>
        <w:t> </w:t>
      </w:r>
      <w:hyperlink r:id="rId133">
        <w:r>
          <w:rPr>
            <w:color w:val="0077CA"/>
            <w:u w:val="single" w:color="0077CA"/>
          </w:rPr>
          <w:t>ugalde.pdf</w:t>
        </w:r>
      </w:hyperlink>
      <w:r>
        <w:rPr/>
        <w:t>. Consultado el 2 de mayo de</w:t>
      </w:r>
      <w:r>
        <w:rPr>
          <w:spacing w:val="46"/>
        </w:rPr>
        <w:t> </w:t>
      </w:r>
      <w:r>
        <w:rPr/>
        <w:t>2014.</w:t>
      </w:r>
    </w:p>
    <w:p>
      <w:pPr>
        <w:pStyle w:val="BodyText"/>
        <w:spacing w:before="11"/>
      </w:pPr>
    </w:p>
    <w:p>
      <w:pPr>
        <w:pStyle w:val="BodyText"/>
        <w:spacing w:line="249" w:lineRule="auto"/>
        <w:ind w:left="753" w:right="6" w:hanging="624"/>
        <w:jc w:val="both"/>
      </w:pPr>
      <w:r>
        <w:rPr/>
        <w:t>Association of Bay Area Governments. (2011). Earthquake and Hazards Program. Modified Mercalli Intensity Scale (MMI). Disponible en: </w:t>
      </w:r>
      <w:hyperlink r:id="rId134">
        <w:r>
          <w:rPr>
            <w:color w:val="0077CA"/>
            <w:u w:val="single" w:color="0077CA"/>
          </w:rPr>
          <w:t>http://webshaker.ucsd.</w:t>
        </w:r>
      </w:hyperlink>
      <w:r>
        <w:rPr>
          <w:color w:val="0077CA"/>
          <w:u w:val="single" w:color="0077CA"/>
        </w:rPr>
        <w:t> </w:t>
      </w:r>
      <w:hyperlink r:id="rId134">
        <w:r>
          <w:rPr>
            <w:color w:val="0077CA"/>
            <w:u w:val="single" w:color="0077CA"/>
          </w:rPr>
          <w:t>edu/homework/2009_Modified_Mercalli_Intensity_Scale.pdf </w:t>
        </w:r>
      </w:hyperlink>
      <w:r>
        <w:rPr/>
        <w:t>Consultado: 24 de febrero de 2013.</w:t>
      </w:r>
    </w:p>
    <w:p>
      <w:pPr>
        <w:pStyle w:val="BodyText"/>
        <w:spacing w:before="11"/>
      </w:pPr>
    </w:p>
    <w:p>
      <w:pPr>
        <w:pStyle w:val="BodyText"/>
        <w:spacing w:line="501" w:lineRule="auto"/>
        <w:ind w:left="130" w:right="-5"/>
      </w:pPr>
      <w:r>
        <w:rPr/>
        <w:t>Ayala-Carcedo,</w:t>
      </w:r>
      <w:r>
        <w:rPr>
          <w:spacing w:val="-4"/>
        </w:rPr>
        <w:t> </w:t>
      </w:r>
      <w:r>
        <w:rPr/>
        <w:t>F.J.</w:t>
      </w:r>
      <w:r>
        <w:rPr>
          <w:spacing w:val="-4"/>
        </w:rPr>
        <w:t> </w:t>
      </w:r>
      <w:r>
        <w:rPr/>
        <w:t>y</w:t>
      </w:r>
      <w:r>
        <w:rPr>
          <w:spacing w:val="-4"/>
        </w:rPr>
        <w:t> </w:t>
      </w:r>
      <w:r>
        <w:rPr/>
        <w:t>Olcina,</w:t>
      </w:r>
      <w:r>
        <w:rPr>
          <w:spacing w:val="-4"/>
        </w:rPr>
        <w:t> </w:t>
      </w:r>
      <w:r>
        <w:rPr/>
        <w:t>C.</w:t>
      </w:r>
      <w:r>
        <w:rPr>
          <w:spacing w:val="-4"/>
        </w:rPr>
        <w:t> </w:t>
      </w:r>
      <w:r>
        <w:rPr/>
        <w:t>J.</w:t>
      </w:r>
      <w:r>
        <w:rPr>
          <w:spacing w:val="-4"/>
        </w:rPr>
        <w:t> </w:t>
      </w:r>
      <w:r>
        <w:rPr/>
        <w:t>(2002).</w:t>
      </w:r>
      <w:r>
        <w:rPr>
          <w:spacing w:val="-4"/>
        </w:rPr>
        <w:t> </w:t>
      </w:r>
      <w:r>
        <w:rPr/>
        <w:t>Riesgos</w:t>
      </w:r>
      <w:r>
        <w:rPr>
          <w:spacing w:val="-4"/>
        </w:rPr>
        <w:t> </w:t>
      </w:r>
      <w:r>
        <w:rPr/>
        <w:t>Naturales.</w:t>
      </w:r>
      <w:r>
        <w:rPr>
          <w:spacing w:val="-4"/>
        </w:rPr>
        <w:t> </w:t>
      </w:r>
      <w:r>
        <w:rPr/>
        <w:t>Barcelona:</w:t>
      </w:r>
      <w:r>
        <w:rPr>
          <w:spacing w:val="-4"/>
        </w:rPr>
        <w:t> </w:t>
      </w:r>
      <w:r>
        <w:rPr/>
        <w:t>Ariel</w:t>
      </w:r>
      <w:r>
        <w:rPr>
          <w:spacing w:val="-4"/>
        </w:rPr>
        <w:t> </w:t>
      </w:r>
      <w:r>
        <w:rPr/>
        <w:t>Ciencia. Bazán E. y Meli R. 2002. Diseño sísmico de edificios. Ed.</w:t>
      </w:r>
      <w:r>
        <w:rPr>
          <w:spacing w:val="-6"/>
        </w:rPr>
        <w:t> </w:t>
      </w:r>
      <w:r>
        <w:rPr/>
        <w:t>Limusa.</w:t>
      </w:r>
    </w:p>
    <w:p>
      <w:pPr>
        <w:pStyle w:val="BodyText"/>
        <w:spacing w:line="249" w:lineRule="auto" w:before="6"/>
        <w:ind w:left="753" w:right="6" w:hanging="624"/>
        <w:jc w:val="both"/>
      </w:pPr>
      <w:r>
        <w:rPr/>
        <w:t>Centro Nacional de Prevención de Desastres (2006) Guía Básica para la Elaboración de Atlas Estatales y Municipales de Peligros y Riesgos: Evaluación de la Vulnerabilidad Física y Social. Secretaría de Gobernación. México</w:t>
      </w:r>
    </w:p>
    <w:p>
      <w:pPr>
        <w:pStyle w:val="BodyText"/>
        <w:spacing w:before="11"/>
      </w:pPr>
    </w:p>
    <w:p>
      <w:pPr>
        <w:pStyle w:val="BodyText"/>
        <w:spacing w:line="249" w:lineRule="auto"/>
        <w:ind w:left="753" w:right="3" w:hanging="624"/>
        <w:jc w:val="both"/>
      </w:pPr>
      <w:r>
        <w:rPr/>
        <w:t>CNPIC.</w:t>
      </w:r>
      <w:r>
        <w:rPr>
          <w:spacing w:val="-18"/>
        </w:rPr>
        <w:t> </w:t>
      </w:r>
      <w:r>
        <w:rPr/>
        <w:t>Centro</w:t>
      </w:r>
      <w:r>
        <w:rPr>
          <w:spacing w:val="-18"/>
        </w:rPr>
        <w:t> </w:t>
      </w:r>
      <w:r>
        <w:rPr/>
        <w:t>Nacional</w:t>
      </w:r>
      <w:r>
        <w:rPr>
          <w:spacing w:val="-18"/>
        </w:rPr>
        <w:t> </w:t>
      </w:r>
      <w:r>
        <w:rPr/>
        <w:t>para</w:t>
      </w:r>
      <w:r>
        <w:rPr>
          <w:spacing w:val="-18"/>
        </w:rPr>
        <w:t> </w:t>
      </w:r>
      <w:r>
        <w:rPr/>
        <w:t>la</w:t>
      </w:r>
      <w:r>
        <w:rPr>
          <w:spacing w:val="-18"/>
        </w:rPr>
        <w:t> </w:t>
      </w:r>
      <w:r>
        <w:rPr/>
        <w:t>Protección</w:t>
      </w:r>
      <w:r>
        <w:rPr>
          <w:spacing w:val="-18"/>
        </w:rPr>
        <w:t> </w:t>
      </w:r>
      <w:r>
        <w:rPr/>
        <w:t>de</w:t>
      </w:r>
      <w:r>
        <w:rPr>
          <w:spacing w:val="-18"/>
        </w:rPr>
        <w:t> </w:t>
      </w:r>
      <w:r>
        <w:rPr/>
        <w:t>las</w:t>
      </w:r>
      <w:r>
        <w:rPr>
          <w:spacing w:val="-18"/>
        </w:rPr>
        <w:t> </w:t>
      </w:r>
      <w:r>
        <w:rPr/>
        <w:t>Infraestructuras</w:t>
      </w:r>
      <w:r>
        <w:rPr>
          <w:spacing w:val="-18"/>
        </w:rPr>
        <w:t> </w:t>
      </w:r>
      <w:r>
        <w:rPr/>
        <w:t>Críticas.</w:t>
      </w:r>
      <w:r>
        <w:rPr>
          <w:spacing w:val="-18"/>
        </w:rPr>
        <w:t> </w:t>
      </w:r>
      <w:r>
        <w:rPr/>
        <w:t>(2012).</w:t>
      </w:r>
      <w:r>
        <w:rPr>
          <w:spacing w:val="-18"/>
        </w:rPr>
        <w:t> </w:t>
      </w:r>
      <w:r>
        <w:rPr/>
        <w:t>¿Qué es una Infraestructura Crítica? Gobierno de España, Ministro del Interior </w:t>
      </w:r>
      <w:hyperlink r:id="rId135">
        <w:r>
          <w:rPr>
            <w:color w:val="0077CA"/>
            <w:u w:val="single" w:color="0077CA"/>
          </w:rPr>
          <w:t>http://</w:t>
        </w:r>
      </w:hyperlink>
      <w:r>
        <w:rPr>
          <w:color w:val="0077CA"/>
          <w:u w:val="single" w:color="0077CA"/>
        </w:rPr>
        <w:t> </w:t>
      </w:r>
      <w:hyperlink r:id="rId135">
        <w:r>
          <w:rPr>
            <w:color w:val="0077CA"/>
            <w:spacing w:val="3"/>
            <w:u w:val="single" w:color="0077CA"/>
          </w:rPr>
          <w:t>www.cnpices.es/Preguntas_Frecuentes/Que_es_una_Infraestructura_Critica/</w:t>
        </w:r>
      </w:hyperlink>
      <w:r>
        <w:rPr>
          <w:color w:val="0077CA"/>
          <w:spacing w:val="3"/>
          <w:u w:val="single" w:color="0077CA"/>
        </w:rPr>
        <w:t> </w:t>
      </w:r>
      <w:hyperlink r:id="rId135">
        <w:r>
          <w:rPr>
            <w:color w:val="0077CA"/>
            <w:u w:val="single" w:color="0077CA"/>
          </w:rPr>
          <w:t>index.html</w:t>
        </w:r>
      </w:hyperlink>
      <w:r>
        <w:rPr/>
        <w:t>. Consultado: 2 de mayo de</w:t>
      </w:r>
      <w:r>
        <w:rPr>
          <w:spacing w:val="47"/>
        </w:rPr>
        <w:t> </w:t>
      </w:r>
      <w:r>
        <w:rPr/>
        <w:t>2014.</w:t>
      </w:r>
    </w:p>
    <w:p>
      <w:pPr>
        <w:pStyle w:val="BodyText"/>
        <w:spacing w:before="11"/>
      </w:pPr>
    </w:p>
    <w:p>
      <w:pPr>
        <w:pStyle w:val="BodyText"/>
        <w:spacing w:line="249" w:lineRule="auto"/>
        <w:ind w:left="753" w:hanging="624"/>
        <w:jc w:val="both"/>
      </w:pPr>
      <w:r>
        <w:rPr/>
        <w:t>Colegio de la Frontera Norte, Sistema de Información Geográfica y Estadística de la Frontera Norte, Institute de Recherche pour le Développement. (2001). Aportes para un escenario sísmico en Tijuana: ¿y si un terremoto de magnitud 6.5       se produjera en la falla de la nación? Tijuana, Baja California. Disponible en </w:t>
      </w:r>
      <w:hyperlink r:id="rId136">
        <w:r>
          <w:rPr>
            <w:spacing w:val="3"/>
          </w:rPr>
          <w:t>[http://proceedings.esri.com/library/userconf/latinproc00/mexico/aportes.pdf</w:t>
        </w:r>
      </w:hyperlink>
      <w:r>
        <w:rPr>
          <w:spacing w:val="3"/>
        </w:rPr>
        <w:t> </w:t>
      </w:r>
      <w:r>
        <w:rPr/>
        <w:t>Consultado: el 06 de marzo de</w:t>
      </w:r>
      <w:r>
        <w:rPr>
          <w:spacing w:val="20"/>
        </w:rPr>
        <w:t> </w:t>
      </w:r>
      <w:r>
        <w:rPr/>
        <w:t>2013.</w:t>
      </w:r>
    </w:p>
    <w:p>
      <w:pPr>
        <w:pStyle w:val="BodyText"/>
        <w:spacing w:before="11"/>
      </w:pPr>
    </w:p>
    <w:p>
      <w:pPr>
        <w:pStyle w:val="BodyText"/>
        <w:spacing w:line="249" w:lineRule="auto"/>
        <w:ind w:left="753" w:right="6" w:hanging="624"/>
        <w:jc w:val="both"/>
      </w:pPr>
      <w:r>
        <w:rPr/>
        <w:t>Day, W., R. (2002). Geotechnical Earthquake Engineering Handbook. USA: Mc Graw Hill.</w:t>
      </w:r>
    </w:p>
    <w:p>
      <w:pPr>
        <w:pStyle w:val="BodyText"/>
        <w:spacing w:before="11"/>
      </w:pPr>
    </w:p>
    <w:p>
      <w:pPr>
        <w:pStyle w:val="BodyText"/>
        <w:spacing w:line="249" w:lineRule="auto"/>
        <w:ind w:left="753" w:right="6" w:hanging="624"/>
        <w:jc w:val="both"/>
      </w:pPr>
      <w:r>
        <w:rPr/>
        <w:t>Dirección</w:t>
      </w:r>
      <w:r>
        <w:rPr>
          <w:spacing w:val="-22"/>
        </w:rPr>
        <w:t> </w:t>
      </w:r>
      <w:r>
        <w:rPr/>
        <w:t>Estatal</w:t>
      </w:r>
      <w:r>
        <w:rPr>
          <w:spacing w:val="-21"/>
        </w:rPr>
        <w:t> </w:t>
      </w:r>
      <w:r>
        <w:rPr/>
        <w:t>de</w:t>
      </w:r>
      <w:r>
        <w:rPr>
          <w:spacing w:val="-22"/>
        </w:rPr>
        <w:t> </w:t>
      </w:r>
      <w:r>
        <w:rPr/>
        <w:t>Protección</w:t>
      </w:r>
      <w:r>
        <w:rPr>
          <w:spacing w:val="-22"/>
        </w:rPr>
        <w:t> </w:t>
      </w:r>
      <w:r>
        <w:rPr/>
        <w:t>Civil</w:t>
      </w:r>
      <w:r>
        <w:rPr>
          <w:spacing w:val="-22"/>
        </w:rPr>
        <w:t> </w:t>
      </w:r>
      <w:r>
        <w:rPr/>
        <w:t>del</w:t>
      </w:r>
      <w:r>
        <w:rPr>
          <w:spacing w:val="-21"/>
        </w:rPr>
        <w:t> </w:t>
      </w:r>
      <w:r>
        <w:rPr/>
        <w:t>Gobierno</w:t>
      </w:r>
      <w:r>
        <w:rPr>
          <w:spacing w:val="-22"/>
        </w:rPr>
        <w:t> </w:t>
      </w:r>
      <w:r>
        <w:rPr/>
        <w:t>de</w:t>
      </w:r>
      <w:r>
        <w:rPr>
          <w:spacing w:val="-22"/>
        </w:rPr>
        <w:t> </w:t>
      </w:r>
      <w:r>
        <w:rPr/>
        <w:t>Baja</w:t>
      </w:r>
      <w:r>
        <w:rPr>
          <w:spacing w:val="-22"/>
        </w:rPr>
        <w:t> </w:t>
      </w:r>
      <w:r>
        <w:rPr/>
        <w:t>California</w:t>
      </w:r>
      <w:r>
        <w:rPr>
          <w:spacing w:val="-22"/>
        </w:rPr>
        <w:t> </w:t>
      </w:r>
      <w:r>
        <w:rPr/>
        <w:t>(2009).</w:t>
      </w:r>
      <w:r>
        <w:rPr>
          <w:spacing w:val="-21"/>
        </w:rPr>
        <w:t> </w:t>
      </w:r>
      <w:r>
        <w:rPr/>
        <w:t>Informe</w:t>
      </w:r>
      <w:r>
        <w:rPr>
          <w:spacing w:val="-22"/>
        </w:rPr>
        <w:t> </w:t>
      </w:r>
      <w:r>
        <w:rPr/>
        <w:t>Final de Microzonación Sísmica de Tijuana. Disponible en </w:t>
      </w:r>
      <w:hyperlink r:id="rId137">
        <w:r>
          <w:rPr/>
          <w:t>http://www.tijuana.gob.mx/</w:t>
        </w:r>
      </w:hyperlink>
      <w:r>
        <w:rPr/>
        <w:t> dependencias/proteccioncivil/planes.asp. Consultado el 10 de septiembre de 2012.</w:t>
      </w:r>
    </w:p>
    <w:p>
      <w:pPr>
        <w:pStyle w:val="BodyText"/>
        <w:tabs>
          <w:tab w:pos="1999" w:val="left" w:leader="none"/>
        </w:tabs>
        <w:spacing w:line="249" w:lineRule="auto" w:before="109"/>
        <w:ind w:left="754" w:right="128" w:hanging="624"/>
        <w:jc w:val="both"/>
      </w:pPr>
      <w:r>
        <w:rPr/>
        <w:br w:type="column"/>
      </w:r>
      <w:r>
        <w:rPr/>
        <w:t>Environmental</w:t>
      </w:r>
      <w:r>
        <w:rPr>
          <w:spacing w:val="-11"/>
        </w:rPr>
        <w:t> </w:t>
      </w:r>
      <w:r>
        <w:rPr/>
        <w:t>Systems</w:t>
      </w:r>
      <w:r>
        <w:rPr>
          <w:spacing w:val="-11"/>
        </w:rPr>
        <w:t> </w:t>
      </w:r>
      <w:r>
        <w:rPr/>
        <w:t>Research</w:t>
      </w:r>
      <w:r>
        <w:rPr>
          <w:spacing w:val="-11"/>
        </w:rPr>
        <w:t> </w:t>
      </w:r>
      <w:r>
        <w:rPr/>
        <w:t>Institute,</w:t>
      </w:r>
      <w:r>
        <w:rPr>
          <w:spacing w:val="-11"/>
        </w:rPr>
        <w:t> </w:t>
      </w:r>
      <w:r>
        <w:rPr/>
        <w:t>Inc</w:t>
      </w:r>
      <w:r>
        <w:rPr>
          <w:spacing w:val="-11"/>
        </w:rPr>
        <w:t> </w:t>
      </w:r>
      <w:r>
        <w:rPr/>
        <w:t>ESRI.</w:t>
      </w:r>
      <w:r>
        <w:rPr>
          <w:spacing w:val="-11"/>
        </w:rPr>
        <w:t> </w:t>
      </w:r>
      <w:r>
        <w:rPr/>
        <w:t>(2011).</w:t>
      </w:r>
      <w:r>
        <w:rPr>
          <w:spacing w:val="-11"/>
        </w:rPr>
        <w:t> </w:t>
      </w:r>
      <w:r>
        <w:rPr/>
        <w:t>GIS</w:t>
      </w:r>
      <w:r>
        <w:rPr>
          <w:spacing w:val="-11"/>
        </w:rPr>
        <w:t> </w:t>
      </w:r>
      <w:r>
        <w:rPr/>
        <w:t>Dictionary.</w:t>
      </w:r>
      <w:r>
        <w:rPr>
          <w:spacing w:val="-11"/>
        </w:rPr>
        <w:t> </w:t>
      </w:r>
      <w:r>
        <w:rPr/>
        <w:t>Disponible en:</w:t>
        <w:tab/>
      </w:r>
      <w:hyperlink r:id="rId138">
        <w:r>
          <w:rPr/>
          <w:t>http://support.esri.com/en/knowledgebase/Gisdictionary/browse.</w:t>
        </w:r>
      </w:hyperlink>
      <w:r>
        <w:rPr/>
        <w:t> Consultado el 16 de marzo de</w:t>
      </w:r>
      <w:r>
        <w:rPr>
          <w:spacing w:val="20"/>
        </w:rPr>
        <w:t> </w:t>
      </w:r>
      <w:r>
        <w:rPr/>
        <w:t>2013.</w:t>
      </w:r>
    </w:p>
    <w:p>
      <w:pPr>
        <w:pStyle w:val="BodyText"/>
        <w:spacing w:before="11"/>
      </w:pPr>
    </w:p>
    <w:p>
      <w:pPr>
        <w:pStyle w:val="BodyText"/>
        <w:ind w:right="129"/>
        <w:jc w:val="right"/>
      </w:pPr>
      <w:r>
        <w:rPr/>
        <w:t>González de Vallejo L.I. et al. (2002). Ingeniería Geológica. Madrid: Pearson Educación.</w:t>
      </w:r>
    </w:p>
    <w:p>
      <w:pPr>
        <w:pStyle w:val="BodyText"/>
        <w:spacing w:before="8"/>
        <w:rPr>
          <w:sz w:val="21"/>
        </w:rPr>
      </w:pPr>
    </w:p>
    <w:p>
      <w:pPr>
        <w:pStyle w:val="BodyText"/>
        <w:spacing w:line="249" w:lineRule="auto"/>
        <w:ind w:left="754" w:right="127" w:hanging="624"/>
        <w:jc w:val="both"/>
      </w:pPr>
      <w:r>
        <w:rPr/>
        <w:t>Huerta, L. C. et al. (s/f). Implementación de técnicas de campo y de algoritmos no convencionales de procesado para determinar in-situ las propiedades y la respuesta sísmica de los suelos e instrumentación acelerométrica en la Ciudad de Tijuana B.C., México. No publicado.</w:t>
      </w:r>
    </w:p>
    <w:p>
      <w:pPr>
        <w:pStyle w:val="BodyText"/>
        <w:spacing w:before="11"/>
      </w:pPr>
    </w:p>
    <w:p>
      <w:pPr>
        <w:pStyle w:val="BodyText"/>
        <w:spacing w:line="249" w:lineRule="auto"/>
        <w:ind w:left="754" w:right="127" w:hanging="624"/>
        <w:jc w:val="both"/>
      </w:pPr>
      <w:r>
        <w:rPr/>
        <w:t>Iglesias,</w:t>
      </w:r>
      <w:r>
        <w:rPr>
          <w:spacing w:val="-20"/>
        </w:rPr>
        <w:t> </w:t>
      </w:r>
      <w:r>
        <w:rPr/>
        <w:t>S.,</w:t>
      </w:r>
      <w:r>
        <w:rPr>
          <w:spacing w:val="-20"/>
        </w:rPr>
        <w:t> </w:t>
      </w:r>
      <w:r>
        <w:rPr/>
        <w:t>Irigaray,</w:t>
      </w:r>
      <w:r>
        <w:rPr>
          <w:spacing w:val="-20"/>
        </w:rPr>
        <w:t> </w:t>
      </w:r>
      <w:r>
        <w:rPr/>
        <w:t>C.</w:t>
      </w:r>
      <w:r>
        <w:rPr>
          <w:spacing w:val="-20"/>
        </w:rPr>
        <w:t> </w:t>
      </w:r>
      <w:r>
        <w:rPr/>
        <w:t>y</w:t>
      </w:r>
      <w:r>
        <w:rPr>
          <w:spacing w:val="-20"/>
        </w:rPr>
        <w:t> </w:t>
      </w:r>
      <w:r>
        <w:rPr/>
        <w:t>Chacón,</w:t>
      </w:r>
      <w:r>
        <w:rPr>
          <w:spacing w:val="-20"/>
        </w:rPr>
        <w:t> </w:t>
      </w:r>
      <w:r>
        <w:rPr/>
        <w:t>J.</w:t>
      </w:r>
      <w:r>
        <w:rPr>
          <w:spacing w:val="-20"/>
        </w:rPr>
        <w:t> </w:t>
      </w:r>
      <w:r>
        <w:rPr/>
        <w:t>(2006).</w:t>
      </w:r>
      <w:r>
        <w:rPr>
          <w:spacing w:val="-20"/>
        </w:rPr>
        <w:t> </w:t>
      </w:r>
      <w:r>
        <w:rPr/>
        <w:t>Análisis</w:t>
      </w:r>
      <w:r>
        <w:rPr>
          <w:spacing w:val="-20"/>
        </w:rPr>
        <w:t> </w:t>
      </w:r>
      <w:r>
        <w:rPr/>
        <w:t>del</w:t>
      </w:r>
      <w:r>
        <w:rPr>
          <w:spacing w:val="-20"/>
        </w:rPr>
        <w:t> </w:t>
      </w:r>
      <w:r>
        <w:rPr/>
        <w:t>riesgo</w:t>
      </w:r>
      <w:r>
        <w:rPr>
          <w:spacing w:val="-20"/>
        </w:rPr>
        <w:t> </w:t>
      </w:r>
      <w:r>
        <w:rPr/>
        <w:t>sísmico</w:t>
      </w:r>
      <w:r>
        <w:rPr>
          <w:spacing w:val="-20"/>
        </w:rPr>
        <w:t> </w:t>
      </w:r>
      <w:r>
        <w:rPr/>
        <w:t>en</w:t>
      </w:r>
      <w:r>
        <w:rPr>
          <w:spacing w:val="-20"/>
        </w:rPr>
        <w:t> </w:t>
      </w:r>
      <w:r>
        <w:rPr/>
        <w:t>zonas</w:t>
      </w:r>
      <w:r>
        <w:rPr>
          <w:spacing w:val="-20"/>
        </w:rPr>
        <w:t> </w:t>
      </w:r>
      <w:r>
        <w:rPr/>
        <w:t>urbanas mediante Sistemas de Información Geográfica. Aplicación a la Ciudad de Granada. Cuadernos Geográficos [Web] Número 39. Universidad de Granada, España. Disponible en: </w:t>
      </w:r>
      <w:hyperlink r:id="rId139">
        <w:r>
          <w:rPr>
            <w:color w:val="0077CA"/>
            <w:u w:val="single" w:color="0077CA"/>
          </w:rPr>
          <w:t>http://redalyc.uaemex.mx/redalyc/src/inicio/ArtPdfRed.</w:t>
        </w:r>
      </w:hyperlink>
      <w:r>
        <w:rPr>
          <w:color w:val="0077CA"/>
          <w:u w:val="single" w:color="0077CA"/>
        </w:rPr>
        <w:t> </w:t>
      </w:r>
      <w:hyperlink r:id="rId139">
        <w:r>
          <w:rPr>
            <w:color w:val="0077CA"/>
            <w:u w:val="single" w:color="0077CA"/>
          </w:rPr>
          <w:t>jsp?iCve=17103909</w:t>
        </w:r>
      </w:hyperlink>
      <w:r>
        <w:rPr/>
        <w:t>. Consultado en febrero de</w:t>
      </w:r>
      <w:r>
        <w:rPr>
          <w:spacing w:val="30"/>
        </w:rPr>
        <w:t> </w:t>
      </w:r>
      <w:r>
        <w:rPr/>
        <w:t>2012.</w:t>
      </w:r>
    </w:p>
    <w:p>
      <w:pPr>
        <w:pStyle w:val="BodyText"/>
        <w:spacing w:before="11"/>
      </w:pPr>
    </w:p>
    <w:p>
      <w:pPr>
        <w:pStyle w:val="BodyText"/>
        <w:spacing w:line="249" w:lineRule="auto"/>
        <w:ind w:left="754" w:right="128" w:hanging="624"/>
        <w:jc w:val="both"/>
      </w:pPr>
      <w:r>
        <w:rPr/>
        <w:t>Instituto Nacional de Estadística y Geografía (2010) Censo de Población y Vivienda 2010 </w:t>
      </w:r>
      <w:hyperlink r:id="rId140">
        <w:r>
          <w:rPr>
            <w:color w:val="0077CA"/>
            <w:u w:val="single" w:color="0077CA"/>
          </w:rPr>
          <w:t>http://www.inegi.org.mx/sistemas/consulta_resultados/ageb_urb2010.</w:t>
        </w:r>
      </w:hyperlink>
      <w:r>
        <w:rPr>
          <w:color w:val="0077CA"/>
          <w:u w:val="single" w:color="0077CA"/>
        </w:rPr>
        <w:t> </w:t>
      </w:r>
      <w:hyperlink r:id="rId140">
        <w:r>
          <w:rPr>
            <w:color w:val="0077CA"/>
            <w:u w:val="single" w:color="0077CA"/>
          </w:rPr>
          <w:t>aspx?c=28111&amp;s=est</w:t>
        </w:r>
      </w:hyperlink>
    </w:p>
    <w:p>
      <w:pPr>
        <w:pStyle w:val="BodyText"/>
        <w:spacing w:before="11"/>
      </w:pPr>
    </w:p>
    <w:p>
      <w:pPr>
        <w:pStyle w:val="BodyText"/>
        <w:spacing w:line="249" w:lineRule="auto"/>
        <w:ind w:left="754" w:right="129" w:hanging="624"/>
        <w:jc w:val="both"/>
      </w:pPr>
      <w:r>
        <w:rPr/>
        <w:t>Kyriasis,</w:t>
      </w:r>
      <w:r>
        <w:rPr>
          <w:spacing w:val="-12"/>
        </w:rPr>
        <w:t> </w:t>
      </w:r>
      <w:r>
        <w:rPr/>
        <w:t>D.</w:t>
      </w:r>
      <w:r>
        <w:rPr>
          <w:spacing w:val="-12"/>
        </w:rPr>
        <w:t> </w:t>
      </w:r>
      <w:r>
        <w:rPr/>
        <w:t>y</w:t>
      </w:r>
      <w:r>
        <w:rPr>
          <w:spacing w:val="-12"/>
        </w:rPr>
        <w:t> </w:t>
      </w:r>
      <w:r>
        <w:rPr/>
        <w:t>Kalliopi</w:t>
      </w:r>
      <w:r>
        <w:rPr>
          <w:spacing w:val="-12"/>
        </w:rPr>
        <w:t> </w:t>
      </w:r>
      <w:r>
        <w:rPr/>
        <w:t>G.</w:t>
      </w:r>
      <w:r>
        <w:rPr>
          <w:spacing w:val="-12"/>
        </w:rPr>
        <w:t> </w:t>
      </w:r>
      <w:r>
        <w:rPr/>
        <w:t>(2011).</w:t>
      </w:r>
      <w:r>
        <w:rPr>
          <w:spacing w:val="-12"/>
        </w:rPr>
        <w:t> </w:t>
      </w:r>
      <w:r>
        <w:rPr/>
        <w:t>Seismic</w:t>
      </w:r>
      <w:r>
        <w:rPr>
          <w:spacing w:val="-12"/>
        </w:rPr>
        <w:t> </w:t>
      </w:r>
      <w:r>
        <w:rPr/>
        <w:t>Risk</w:t>
      </w:r>
      <w:r>
        <w:rPr>
          <w:spacing w:val="-12"/>
        </w:rPr>
        <w:t> </w:t>
      </w:r>
      <w:r>
        <w:rPr/>
        <w:t>Assessment</w:t>
      </w:r>
      <w:r>
        <w:rPr>
          <w:spacing w:val="-12"/>
        </w:rPr>
        <w:t> </w:t>
      </w:r>
      <w:r>
        <w:rPr/>
        <w:t>and</w:t>
      </w:r>
      <w:r>
        <w:rPr>
          <w:spacing w:val="-12"/>
        </w:rPr>
        <w:t> </w:t>
      </w:r>
      <w:r>
        <w:rPr/>
        <w:t>Management</w:t>
      </w:r>
      <w:r>
        <w:rPr>
          <w:spacing w:val="-12"/>
        </w:rPr>
        <w:t> </w:t>
      </w:r>
      <w:r>
        <w:rPr/>
        <w:t>of</w:t>
      </w:r>
      <w:r>
        <w:rPr>
          <w:spacing w:val="-12"/>
        </w:rPr>
        <w:t> </w:t>
      </w:r>
      <w:r>
        <w:rPr/>
        <w:t>Lifelines, Utilities and Infrastructures. 5th International Conference on Earthquake Geotechnical Engineering. Santiago, Chile. Disponible en: </w:t>
      </w:r>
      <w:hyperlink r:id="rId141">
        <w:r>
          <w:rPr/>
          <w:t>http://www.vce.at/</w:t>
        </w:r>
      </w:hyperlink>
      <w:r>
        <w:rPr/>
        <w:t> SYNER-G/pdf/publications/5ICEGE-Pitilakis%20 %20theme%20lecture.pdf Consultado el 24 de febrero de</w:t>
      </w:r>
      <w:r>
        <w:rPr>
          <w:spacing w:val="27"/>
        </w:rPr>
        <w:t> </w:t>
      </w:r>
      <w:r>
        <w:rPr/>
        <w:t>2013.</w:t>
      </w:r>
    </w:p>
    <w:p>
      <w:pPr>
        <w:pStyle w:val="BodyText"/>
        <w:spacing w:before="11"/>
      </w:pPr>
    </w:p>
    <w:p>
      <w:pPr>
        <w:pStyle w:val="BodyText"/>
        <w:spacing w:line="249" w:lineRule="auto"/>
        <w:ind w:left="754" w:right="128" w:hanging="624"/>
        <w:jc w:val="both"/>
      </w:pPr>
      <w:r>
        <w:rPr/>
        <w:t>Mena, H.U. (2002). Evaluación del Riesgo Sísmico en Zonas Urbanas. Departamento de Ingeniería del Terreno, Cartográfica y Geofísica: Universidad Politécnica de Cataluña. Memoria de la tesis de Doctorado en Ingeniería Sísmica y Dinámica Estructural</w:t>
      </w:r>
    </w:p>
    <w:p>
      <w:pPr>
        <w:pStyle w:val="BodyText"/>
        <w:spacing w:before="11"/>
      </w:pPr>
    </w:p>
    <w:p>
      <w:pPr>
        <w:pStyle w:val="BodyText"/>
        <w:spacing w:line="249" w:lineRule="auto"/>
        <w:ind w:left="754" w:right="129" w:hanging="624"/>
        <w:jc w:val="both"/>
      </w:pPr>
      <w:r>
        <w:rPr/>
        <w:t>Naciones</w:t>
      </w:r>
      <w:r>
        <w:rPr>
          <w:spacing w:val="-18"/>
        </w:rPr>
        <w:t> </w:t>
      </w:r>
      <w:r>
        <w:rPr/>
        <w:t>Unidas,</w:t>
      </w:r>
      <w:r>
        <w:rPr>
          <w:spacing w:val="-18"/>
        </w:rPr>
        <w:t> </w:t>
      </w:r>
      <w:r>
        <w:rPr/>
        <w:t>Comisión</w:t>
      </w:r>
      <w:r>
        <w:rPr>
          <w:spacing w:val="-18"/>
        </w:rPr>
        <w:t> </w:t>
      </w:r>
      <w:r>
        <w:rPr/>
        <w:t>Económica</w:t>
      </w:r>
      <w:r>
        <w:rPr>
          <w:spacing w:val="-18"/>
        </w:rPr>
        <w:t> </w:t>
      </w:r>
      <w:r>
        <w:rPr/>
        <w:t>Para</w:t>
      </w:r>
      <w:r>
        <w:rPr>
          <w:spacing w:val="-18"/>
        </w:rPr>
        <w:t> </w:t>
      </w:r>
      <w:r>
        <w:rPr/>
        <w:t>América</w:t>
      </w:r>
      <w:r>
        <w:rPr>
          <w:spacing w:val="-18"/>
        </w:rPr>
        <w:t> </w:t>
      </w:r>
      <w:r>
        <w:rPr/>
        <w:t>Latina</w:t>
      </w:r>
      <w:r>
        <w:rPr>
          <w:spacing w:val="-18"/>
        </w:rPr>
        <w:t> </w:t>
      </w:r>
      <w:r>
        <w:rPr/>
        <w:t>y</w:t>
      </w:r>
      <w:r>
        <w:rPr>
          <w:spacing w:val="-18"/>
        </w:rPr>
        <w:t> </w:t>
      </w:r>
      <w:r>
        <w:rPr/>
        <w:t>el</w:t>
      </w:r>
      <w:r>
        <w:rPr>
          <w:spacing w:val="-18"/>
        </w:rPr>
        <w:t> </w:t>
      </w:r>
      <w:r>
        <w:rPr/>
        <w:t>Caribe.</w:t>
      </w:r>
      <w:r>
        <w:rPr>
          <w:spacing w:val="-18"/>
        </w:rPr>
        <w:t> </w:t>
      </w:r>
      <w:r>
        <w:rPr/>
        <w:t>CEPAL.</w:t>
      </w:r>
      <w:r>
        <w:rPr>
          <w:spacing w:val="-18"/>
        </w:rPr>
        <w:t> </w:t>
      </w:r>
      <w:r>
        <w:rPr/>
        <w:t>(2001). La vulnerabilidad social y sus desafíos: una mirada desde América Latina. Santiago de Chile: Naciones Unidas. Disponible en: </w:t>
      </w:r>
      <w:hyperlink r:id="rId142">
        <w:r>
          <w:rPr/>
          <w:t>http://www.eclac.org/</w:t>
        </w:r>
      </w:hyperlink>
      <w:r>
        <w:rPr/>
        <w:t> publicaciones/xml/3/6553/lcl1490e.pdf. Consultado el 15 de marzo de  </w:t>
      </w:r>
      <w:r>
        <w:rPr>
          <w:spacing w:val="8"/>
        </w:rPr>
        <w:t> </w:t>
      </w:r>
      <w:r>
        <w:rPr/>
        <w:t>2013.</w:t>
      </w:r>
    </w:p>
    <w:p>
      <w:pPr>
        <w:pStyle w:val="BodyText"/>
        <w:spacing w:before="11"/>
      </w:pPr>
    </w:p>
    <w:p>
      <w:pPr>
        <w:pStyle w:val="BodyText"/>
        <w:spacing w:line="249" w:lineRule="auto"/>
        <w:ind w:left="754" w:right="128" w:hanging="624"/>
        <w:jc w:val="both"/>
      </w:pPr>
      <w:r>
        <w:rPr/>
        <w:t>Moreno</w:t>
      </w:r>
      <w:r>
        <w:rPr>
          <w:spacing w:val="-5"/>
        </w:rPr>
        <w:t> </w:t>
      </w:r>
      <w:r>
        <w:rPr/>
        <w:t>R.</w:t>
      </w:r>
      <w:r>
        <w:rPr>
          <w:spacing w:val="-5"/>
        </w:rPr>
        <w:t> </w:t>
      </w:r>
      <w:r>
        <w:rPr/>
        <w:t>y</w:t>
      </w:r>
      <w:r>
        <w:rPr>
          <w:spacing w:val="-5"/>
        </w:rPr>
        <w:t> </w:t>
      </w:r>
      <w:r>
        <w:rPr/>
        <w:t>Aguilar</w:t>
      </w:r>
      <w:r>
        <w:rPr>
          <w:spacing w:val="-5"/>
        </w:rPr>
        <w:t> </w:t>
      </w:r>
      <w:r>
        <w:rPr/>
        <w:t>Z.</w:t>
      </w:r>
      <w:r>
        <w:rPr>
          <w:spacing w:val="-5"/>
        </w:rPr>
        <w:t> </w:t>
      </w:r>
      <w:r>
        <w:rPr/>
        <w:t>(2003).</w:t>
      </w:r>
      <w:r>
        <w:rPr>
          <w:spacing w:val="-5"/>
        </w:rPr>
        <w:t> </w:t>
      </w:r>
      <w:r>
        <w:rPr/>
        <w:t>Análisis</w:t>
      </w:r>
      <w:r>
        <w:rPr>
          <w:spacing w:val="-5"/>
        </w:rPr>
        <w:t> </w:t>
      </w:r>
      <w:r>
        <w:rPr/>
        <w:t>del</w:t>
      </w:r>
      <w:r>
        <w:rPr>
          <w:spacing w:val="-5"/>
        </w:rPr>
        <w:t> </w:t>
      </w:r>
      <w:r>
        <w:rPr/>
        <w:t>Riesgo</w:t>
      </w:r>
      <w:r>
        <w:rPr>
          <w:spacing w:val="-5"/>
        </w:rPr>
        <w:t> </w:t>
      </w:r>
      <w:r>
        <w:rPr/>
        <w:t>Sísmico</w:t>
      </w:r>
      <w:r>
        <w:rPr>
          <w:spacing w:val="-5"/>
        </w:rPr>
        <w:t> </w:t>
      </w:r>
      <w:r>
        <w:rPr/>
        <w:t>en</w:t>
      </w:r>
      <w:r>
        <w:rPr>
          <w:spacing w:val="-5"/>
        </w:rPr>
        <w:t> </w:t>
      </w:r>
      <w:r>
        <w:rPr/>
        <w:t>la</w:t>
      </w:r>
      <w:r>
        <w:rPr>
          <w:spacing w:val="-5"/>
        </w:rPr>
        <w:t> </w:t>
      </w:r>
      <w:r>
        <w:rPr/>
        <w:t>Ciudad</w:t>
      </w:r>
      <w:r>
        <w:rPr>
          <w:spacing w:val="-5"/>
        </w:rPr>
        <w:t> </w:t>
      </w:r>
      <w:r>
        <w:rPr/>
        <w:t>de</w:t>
      </w:r>
      <w:r>
        <w:rPr>
          <w:spacing w:val="-5"/>
        </w:rPr>
        <w:t> </w:t>
      </w:r>
      <w:r>
        <w:rPr/>
        <w:t>Moqueagua usando</w:t>
      </w:r>
      <w:r>
        <w:rPr>
          <w:spacing w:val="-22"/>
        </w:rPr>
        <w:t> </w:t>
      </w:r>
      <w:r>
        <w:rPr/>
        <w:t>sistemas</w:t>
      </w:r>
      <w:r>
        <w:rPr>
          <w:spacing w:val="-22"/>
        </w:rPr>
        <w:t> </w:t>
      </w:r>
      <w:r>
        <w:rPr/>
        <w:t>de</w:t>
      </w:r>
      <w:r>
        <w:rPr>
          <w:spacing w:val="-22"/>
        </w:rPr>
        <w:t> </w:t>
      </w:r>
      <w:r>
        <w:rPr/>
        <w:t>información</w:t>
      </w:r>
      <w:r>
        <w:rPr>
          <w:spacing w:val="-22"/>
        </w:rPr>
        <w:t> </w:t>
      </w:r>
      <w:r>
        <w:rPr/>
        <w:t>geográfica.</w:t>
      </w:r>
      <w:r>
        <w:rPr>
          <w:spacing w:val="-22"/>
        </w:rPr>
        <w:t> </w:t>
      </w:r>
      <w:r>
        <w:rPr/>
        <w:t>XIV</w:t>
      </w:r>
      <w:r>
        <w:rPr>
          <w:spacing w:val="-22"/>
        </w:rPr>
        <w:t> </w:t>
      </w:r>
      <w:r>
        <w:rPr/>
        <w:t>Congreso</w:t>
      </w:r>
      <w:r>
        <w:rPr>
          <w:spacing w:val="-22"/>
        </w:rPr>
        <w:t> </w:t>
      </w:r>
      <w:r>
        <w:rPr/>
        <w:t>Nacional</w:t>
      </w:r>
      <w:r>
        <w:rPr>
          <w:spacing w:val="-22"/>
        </w:rPr>
        <w:t> </w:t>
      </w:r>
      <w:r>
        <w:rPr/>
        <w:t>de</w:t>
      </w:r>
      <w:r>
        <w:rPr>
          <w:spacing w:val="-22"/>
        </w:rPr>
        <w:t> </w:t>
      </w:r>
      <w:r>
        <w:rPr/>
        <w:t>Ingeniería Civil-Iquitos. Capítulo de Ingeniería Civil del Consejo Departamental de Loreto del Colegio de Ingenieros del</w:t>
      </w:r>
      <w:r>
        <w:rPr>
          <w:spacing w:val="5"/>
        </w:rPr>
        <w:t> </w:t>
      </w:r>
      <w:r>
        <w:rPr/>
        <w:t>Perú.</w:t>
      </w:r>
    </w:p>
    <w:p>
      <w:pPr>
        <w:spacing w:after="0" w:line="249" w:lineRule="auto"/>
        <w:jc w:val="both"/>
        <w:sectPr>
          <w:type w:val="continuous"/>
          <w:pgSz w:w="18830" w:h="12760" w:orient="landscape"/>
          <w:pgMar w:top="1420" w:bottom="280" w:left="720" w:right="720"/>
          <w:cols w:num="2" w:equalWidth="0">
            <w:col w:w="7849" w:space="1562"/>
            <w:col w:w="7979"/>
          </w:cols>
        </w:sectPr>
      </w:pPr>
    </w:p>
    <w:p>
      <w:pPr>
        <w:pStyle w:val="BodyText"/>
        <w:spacing w:before="8"/>
      </w:pPr>
    </w:p>
    <w:p>
      <w:pPr>
        <w:spacing w:after="0"/>
        <w:sectPr>
          <w:footerReference w:type="default" r:id="rId143"/>
          <w:pgSz w:w="18830" w:h="12760" w:orient="landscape"/>
          <w:pgMar w:footer="1036" w:header="522" w:top="820" w:bottom="1220" w:left="720" w:right="720"/>
        </w:sectPr>
      </w:pPr>
    </w:p>
    <w:p>
      <w:pPr>
        <w:pStyle w:val="BodyText"/>
        <w:spacing w:line="249" w:lineRule="auto" w:before="109"/>
        <w:ind w:left="732" w:hanging="624"/>
        <w:jc w:val="both"/>
      </w:pPr>
      <w:r>
        <w:rPr/>
        <w:t>Ruiz Pérez, M. (2012). Vulnerabilidad territorial frente a desastres naturales: el caso  de la Isla de Mallorca (Baleares, España). GeoFocus (Artículos), nº 12, p 16-52. ISSN:</w:t>
      </w:r>
      <w:r>
        <w:rPr>
          <w:spacing w:val="-1"/>
        </w:rPr>
        <w:t> </w:t>
      </w:r>
      <w:r>
        <w:rPr/>
        <w:t>1578-5157.</w:t>
      </w:r>
    </w:p>
    <w:p>
      <w:pPr>
        <w:pStyle w:val="Heading1"/>
        <w:spacing w:line="240" w:lineRule="exact" w:before="104"/>
        <w:ind w:left="293" w:right="245" w:hanging="67"/>
        <w:jc w:val="center"/>
      </w:pPr>
      <w:r>
        <w:rPr>
          <w:b w:val="0"/>
        </w:rPr>
        <w:br w:type="column"/>
      </w:r>
      <w:r>
        <w:rPr/>
        <w:t>Riesgos geomorfológicos y vulnerabilidad territorial ante el desarrollo y expansión urbana: el caso de Toluca de San José</w:t>
      </w:r>
      <w:r>
        <w:rPr>
          <w:spacing w:val="-35"/>
        </w:rPr>
        <w:t> </w:t>
      </w:r>
      <w:r>
        <w:rPr/>
        <w:t>en el centro de</w:t>
      </w:r>
      <w:r>
        <w:rPr>
          <w:spacing w:val="29"/>
        </w:rPr>
        <w:t> </w:t>
      </w:r>
      <w:r>
        <w:rPr/>
        <w:t>México</w:t>
      </w:r>
    </w:p>
    <w:p>
      <w:pPr>
        <w:pStyle w:val="BodyText"/>
        <w:spacing w:before="5"/>
        <w:rPr>
          <w:b/>
          <w:sz w:val="24"/>
        </w:rPr>
      </w:pPr>
    </w:p>
    <w:p>
      <w:pPr>
        <w:spacing w:before="1"/>
        <w:ind w:left="0" w:right="128" w:firstLine="0"/>
        <w:jc w:val="right"/>
        <w:rPr>
          <w:sz w:val="16"/>
        </w:rPr>
      </w:pPr>
      <w:r>
        <w:rPr>
          <w:sz w:val="16"/>
        </w:rPr>
        <w:t>Luis Miguel Espinosa Rodríguez</w:t>
      </w:r>
    </w:p>
    <w:p>
      <w:pPr>
        <w:spacing w:line="312" w:lineRule="auto" w:before="56"/>
        <w:ind w:left="4588" w:right="128" w:firstLine="1642"/>
        <w:jc w:val="right"/>
        <w:rPr>
          <w:sz w:val="16"/>
        </w:rPr>
      </w:pPr>
      <w:r>
        <w:rPr>
          <w:sz w:val="16"/>
        </w:rPr>
        <w:t>Facultad de Geografía</w:t>
      </w:r>
      <w:r>
        <w:rPr>
          <w:w w:val="98"/>
          <w:sz w:val="16"/>
        </w:rPr>
        <w:t> </w:t>
      </w:r>
      <w:r>
        <w:rPr>
          <w:sz w:val="16"/>
        </w:rPr>
        <w:t>Universidad Autónoma del Estado de México</w:t>
      </w:r>
    </w:p>
    <w:p>
      <w:pPr>
        <w:spacing w:before="2"/>
        <w:ind w:left="0" w:right="128" w:firstLine="0"/>
        <w:jc w:val="right"/>
        <w:rPr>
          <w:sz w:val="16"/>
        </w:rPr>
      </w:pPr>
      <w:hyperlink r:id="rId144">
        <w:r>
          <w:rPr>
            <w:sz w:val="16"/>
          </w:rPr>
          <w:t>geo_luismiguel@hotmail.com</w:t>
        </w:r>
      </w:hyperlink>
    </w:p>
    <w:p>
      <w:pPr>
        <w:pStyle w:val="BodyText"/>
        <w:rPr>
          <w:sz w:val="16"/>
        </w:rPr>
      </w:pPr>
    </w:p>
    <w:p>
      <w:pPr>
        <w:pStyle w:val="BodyText"/>
        <w:rPr>
          <w:sz w:val="16"/>
        </w:rPr>
      </w:pPr>
    </w:p>
    <w:p>
      <w:pPr>
        <w:pStyle w:val="BodyText"/>
        <w:spacing w:line="249" w:lineRule="auto" w:before="130"/>
        <w:ind w:left="108" w:right="127" w:firstLine="170"/>
        <w:jc w:val="both"/>
      </w:pPr>
      <w:r>
        <w:rPr/>
        <w:t>Los procesos de “desarrollo” urbano, por no adoptar el término de “crecimiento inercial” en diferentes ciudades mexicanas representa una constante conformada por variables de orden social, económico, político y ambiental que en resumen, aquejan adolescencia de sustentabilidad y un sinfín de problemáticas gradadas en diversos ámbitos de</w:t>
      </w:r>
      <w:r>
        <w:rPr>
          <w:spacing w:val="51"/>
        </w:rPr>
        <w:t> </w:t>
      </w:r>
      <w:r>
        <w:rPr/>
        <w:t>complejidad.</w:t>
      </w:r>
    </w:p>
    <w:p>
      <w:pPr>
        <w:pStyle w:val="BodyText"/>
        <w:spacing w:before="11"/>
      </w:pPr>
    </w:p>
    <w:p>
      <w:pPr>
        <w:pStyle w:val="BodyText"/>
        <w:spacing w:line="249" w:lineRule="auto"/>
        <w:ind w:left="108" w:right="127" w:firstLine="170"/>
        <w:jc w:val="both"/>
      </w:pPr>
      <w:r>
        <w:rPr/>
        <w:t>El caso de la ciudad de Toluca de San José (o de Lerdo, según prefiera el lector), capital del Estado de México representa un ejemplo de ello desde la conformación de la misma y de los estadíos evolutivos que ha experimentado desde la transformación agrícola a la industrial, en donde la expansión de la mancha urbana ha obedecido a patrones inerciales aún y a pesar de la existencia de algunos referentes de planeación territorial editados por instituciones académicas y  oficiales.</w:t>
      </w:r>
    </w:p>
    <w:p>
      <w:pPr>
        <w:pStyle w:val="BodyText"/>
        <w:spacing w:before="11"/>
      </w:pPr>
    </w:p>
    <w:p>
      <w:pPr>
        <w:pStyle w:val="BodyText"/>
        <w:spacing w:line="249" w:lineRule="auto"/>
        <w:ind w:left="108" w:right="127" w:firstLine="170"/>
        <w:jc w:val="both"/>
      </w:pPr>
      <w:r>
        <w:rPr/>
        <w:t>En este orden de ideas, el cubrimiento urbano se ha desarrollado en sitios que poseen características geomorfológicas dinámicas de diferente grado energético, motivo por el cual, se acusa el desarrollo de procesos morfodinámicos que se cruzan o interfieren con la ocupación antrópica del territorio, lo que genera escenarios de riesgo y vulnerabilidad territorial.</w:t>
      </w:r>
    </w:p>
    <w:p>
      <w:pPr>
        <w:pStyle w:val="BodyText"/>
        <w:spacing w:before="11"/>
      </w:pPr>
    </w:p>
    <w:p>
      <w:pPr>
        <w:pStyle w:val="BodyText"/>
        <w:spacing w:line="249" w:lineRule="auto"/>
        <w:ind w:left="108" w:right="127" w:firstLine="170"/>
        <w:jc w:val="both"/>
      </w:pPr>
      <w:r>
        <w:rPr/>
        <w:t>En este orden de ideas, el objetivo de la presente investigación es el estudio de     las condiciones geomorfológicas del riesgo en la ciudad capital del estado de México desde la perspectiva teórica establecida en la Ecuación general de riesgo definida por Espinosa y Hernández (2015), en donde se definirán los procesos morfodinámicos,  los agentes y áreas de impacto e influencia; relacionados con la forma de ocupación urbana.</w:t>
      </w:r>
    </w:p>
    <w:p>
      <w:pPr>
        <w:pStyle w:val="BodyText"/>
        <w:spacing w:before="11"/>
      </w:pPr>
    </w:p>
    <w:p>
      <w:pPr>
        <w:pStyle w:val="BodyText"/>
        <w:ind w:left="213" w:right="65"/>
        <w:jc w:val="center"/>
      </w:pPr>
      <w:r>
        <w:rPr>
          <w:b/>
          <w:i/>
        </w:rPr>
        <w:t>Palabras clave: </w:t>
      </w:r>
      <w:r>
        <w:rPr/>
        <w:t>riesgos geomorfológicos, vulnerabilidad, urbana, Toluca de San José</w:t>
      </w:r>
    </w:p>
    <w:p>
      <w:pPr>
        <w:spacing w:after="0"/>
        <w:jc w:val="center"/>
        <w:sectPr>
          <w:type w:val="continuous"/>
          <w:pgSz w:w="18830" w:h="12760" w:orient="landscape"/>
          <w:pgMar w:top="1420" w:bottom="280" w:left="720" w:right="720"/>
          <w:cols w:num="2" w:equalWidth="0">
            <w:col w:w="7820" w:space="1613"/>
            <w:col w:w="7957"/>
          </w:cols>
        </w:sectPr>
      </w:pPr>
    </w:p>
    <w:p>
      <w:pPr>
        <w:pStyle w:val="BodyText"/>
        <w:spacing w:before="8"/>
      </w:pPr>
    </w:p>
    <w:p>
      <w:pPr>
        <w:spacing w:after="0"/>
        <w:sectPr>
          <w:footerReference w:type="default" r:id="rId145"/>
          <w:pgSz w:w="18830" w:h="12760" w:orient="landscape"/>
          <w:pgMar w:footer="1036" w:header="522" w:top="820" w:bottom="1220" w:left="720" w:right="480"/>
        </w:sectPr>
      </w:pPr>
    </w:p>
    <w:p>
      <w:pPr>
        <w:pStyle w:val="Heading2"/>
        <w:spacing w:before="71"/>
        <w:ind w:left="296" w:right="-14"/>
        <w:rPr>
          <w:i/>
        </w:rPr>
      </w:pPr>
      <w:r>
        <w:rPr>
          <w:i/>
        </w:rPr>
        <w:t>Abstract</w:t>
      </w:r>
    </w:p>
    <w:p>
      <w:pPr>
        <w:pStyle w:val="BodyText"/>
        <w:rPr>
          <w:b/>
          <w:i/>
          <w:sz w:val="24"/>
        </w:rPr>
      </w:pPr>
    </w:p>
    <w:p>
      <w:pPr>
        <w:spacing w:line="240" w:lineRule="exact" w:before="201"/>
        <w:ind w:left="287" w:right="159" w:firstLine="0"/>
        <w:jc w:val="center"/>
        <w:rPr>
          <w:b/>
          <w:sz w:val="24"/>
        </w:rPr>
      </w:pPr>
      <w:r>
        <w:rPr>
          <w:b/>
          <w:sz w:val="24"/>
        </w:rPr>
        <w:t>Geomorphological hazards and territorial vulnerability to urban</w:t>
      </w:r>
      <w:r>
        <w:rPr>
          <w:b/>
          <w:w w:val="99"/>
          <w:sz w:val="24"/>
        </w:rPr>
        <w:t> </w:t>
      </w:r>
      <w:r>
        <w:rPr>
          <w:b/>
          <w:sz w:val="24"/>
        </w:rPr>
        <w:t>expansion and development, the case of Toluca de San José, central Mexico.</w:t>
      </w:r>
    </w:p>
    <w:p>
      <w:pPr>
        <w:pStyle w:val="BodyText"/>
        <w:spacing w:before="2"/>
        <w:rPr>
          <w:b/>
          <w:sz w:val="21"/>
        </w:rPr>
      </w:pPr>
    </w:p>
    <w:p>
      <w:pPr>
        <w:pStyle w:val="BodyText"/>
        <w:spacing w:line="249" w:lineRule="auto" w:before="1"/>
        <w:ind w:left="126" w:firstLine="170"/>
        <w:jc w:val="both"/>
      </w:pPr>
      <w:r>
        <w:rPr/>
        <w:t>The processes of urban “development” to adopt the term  “inertial  growth”  in  different Mexican cities represents a constant formed by social, economic, political   and environmental variables facing in short, adolescence of sustainability and a myriad of problems   in some areas of complexly. The case of the Toluca of San José city      (or of Lerdo, according the reader prefers), capital of the State of Mexico represents   an example of this from the conformation and of stages that has experienced from agricultural to industrial, where the expansion of urban sprawl has obeyed to inertial patterns yet, and despite the existence of references of territorial planning published by academic and official </w:t>
      </w:r>
      <w:r>
        <w:rPr>
          <w:spacing w:val="2"/>
        </w:rPr>
        <w:t> </w:t>
      </w:r>
      <w:r>
        <w:rPr/>
        <w:t>institutions.</w:t>
      </w:r>
    </w:p>
    <w:p>
      <w:pPr>
        <w:pStyle w:val="BodyText"/>
        <w:spacing w:before="11"/>
      </w:pPr>
    </w:p>
    <w:p>
      <w:pPr>
        <w:pStyle w:val="BodyText"/>
        <w:spacing w:line="249" w:lineRule="auto"/>
        <w:ind w:left="126" w:firstLine="170"/>
        <w:jc w:val="both"/>
      </w:pPr>
      <w:r>
        <w:rPr/>
        <w:t>In this order of ideas, the urban coverage has been developed in sites that have dynamic geomorphological characteristics of different energy levels, which in why accused the development morphodynamic processes that intersects or interfere with the human occupation of the territory, which generates scenarios of risk and territorial vulnerability.</w:t>
      </w:r>
    </w:p>
    <w:p>
      <w:pPr>
        <w:pStyle w:val="BodyText"/>
        <w:spacing w:before="11"/>
      </w:pPr>
    </w:p>
    <w:p>
      <w:pPr>
        <w:pStyle w:val="BodyText"/>
        <w:spacing w:line="249" w:lineRule="auto"/>
        <w:ind w:left="126" w:firstLine="170"/>
        <w:jc w:val="both"/>
      </w:pPr>
      <w:r>
        <w:rPr/>
        <w:t>In</w:t>
      </w:r>
      <w:r>
        <w:rPr>
          <w:spacing w:val="-7"/>
        </w:rPr>
        <w:t> </w:t>
      </w:r>
      <w:r>
        <w:rPr/>
        <w:t>this</w:t>
      </w:r>
      <w:r>
        <w:rPr>
          <w:spacing w:val="-7"/>
        </w:rPr>
        <w:t> </w:t>
      </w:r>
      <w:r>
        <w:rPr/>
        <w:t>kind</w:t>
      </w:r>
      <w:r>
        <w:rPr>
          <w:spacing w:val="-7"/>
        </w:rPr>
        <w:t> </w:t>
      </w:r>
      <w:r>
        <w:rPr/>
        <w:t>of</w:t>
      </w:r>
      <w:r>
        <w:rPr>
          <w:spacing w:val="-7"/>
        </w:rPr>
        <w:t> </w:t>
      </w:r>
      <w:r>
        <w:rPr/>
        <w:t>ideas,</w:t>
      </w:r>
      <w:r>
        <w:rPr>
          <w:spacing w:val="-7"/>
        </w:rPr>
        <w:t> </w:t>
      </w:r>
      <w:r>
        <w:rPr/>
        <w:t>the</w:t>
      </w:r>
      <w:r>
        <w:rPr>
          <w:spacing w:val="-7"/>
        </w:rPr>
        <w:t> </w:t>
      </w:r>
      <w:r>
        <w:rPr/>
        <w:t>objective</w:t>
      </w:r>
      <w:r>
        <w:rPr>
          <w:spacing w:val="-7"/>
        </w:rPr>
        <w:t> </w:t>
      </w:r>
      <w:r>
        <w:rPr/>
        <w:t>of</w:t>
      </w:r>
      <w:r>
        <w:rPr>
          <w:spacing w:val="-7"/>
        </w:rPr>
        <w:t> </w:t>
      </w:r>
      <w:r>
        <w:rPr/>
        <w:t>this</w:t>
      </w:r>
      <w:r>
        <w:rPr>
          <w:spacing w:val="-7"/>
        </w:rPr>
        <w:t> </w:t>
      </w:r>
      <w:r>
        <w:rPr/>
        <w:t>research</w:t>
      </w:r>
      <w:r>
        <w:rPr>
          <w:spacing w:val="-7"/>
        </w:rPr>
        <w:t> </w:t>
      </w:r>
      <w:r>
        <w:rPr/>
        <w:t>is</w:t>
      </w:r>
      <w:r>
        <w:rPr>
          <w:spacing w:val="-7"/>
        </w:rPr>
        <w:t> </w:t>
      </w:r>
      <w:r>
        <w:rPr/>
        <w:t>the</w:t>
      </w:r>
      <w:r>
        <w:rPr>
          <w:spacing w:val="-7"/>
        </w:rPr>
        <w:t> </w:t>
      </w:r>
      <w:r>
        <w:rPr/>
        <w:t>study</w:t>
      </w:r>
      <w:r>
        <w:rPr>
          <w:spacing w:val="-7"/>
        </w:rPr>
        <w:t> </w:t>
      </w:r>
      <w:r>
        <w:rPr/>
        <w:t>of</w:t>
      </w:r>
      <w:r>
        <w:rPr>
          <w:spacing w:val="-7"/>
        </w:rPr>
        <w:t> </w:t>
      </w:r>
      <w:r>
        <w:rPr/>
        <w:t>the</w:t>
      </w:r>
      <w:r>
        <w:rPr>
          <w:spacing w:val="-7"/>
        </w:rPr>
        <w:t> </w:t>
      </w:r>
      <w:r>
        <w:rPr/>
        <w:t>geomorphological conditions</w:t>
      </w:r>
      <w:r>
        <w:rPr>
          <w:spacing w:val="-8"/>
        </w:rPr>
        <w:t> </w:t>
      </w:r>
      <w:r>
        <w:rPr/>
        <w:t>of</w:t>
      </w:r>
      <w:r>
        <w:rPr>
          <w:spacing w:val="-8"/>
        </w:rPr>
        <w:t> </w:t>
      </w:r>
      <w:r>
        <w:rPr/>
        <w:t>hazards</w:t>
      </w:r>
      <w:r>
        <w:rPr>
          <w:spacing w:val="-8"/>
        </w:rPr>
        <w:t> </w:t>
      </w:r>
      <w:r>
        <w:rPr/>
        <w:t>in</w:t>
      </w:r>
      <w:r>
        <w:rPr>
          <w:spacing w:val="-8"/>
        </w:rPr>
        <w:t> </w:t>
      </w:r>
      <w:r>
        <w:rPr/>
        <w:t>the</w:t>
      </w:r>
      <w:r>
        <w:rPr>
          <w:spacing w:val="-8"/>
        </w:rPr>
        <w:t> </w:t>
      </w:r>
      <w:r>
        <w:rPr/>
        <w:t>capital</w:t>
      </w:r>
      <w:r>
        <w:rPr>
          <w:spacing w:val="-8"/>
        </w:rPr>
        <w:t> </w:t>
      </w:r>
      <w:r>
        <w:rPr/>
        <w:t>city</w:t>
      </w:r>
      <w:r>
        <w:rPr>
          <w:spacing w:val="-8"/>
        </w:rPr>
        <w:t> </w:t>
      </w:r>
      <w:r>
        <w:rPr/>
        <w:t>of</w:t>
      </w:r>
      <w:r>
        <w:rPr>
          <w:spacing w:val="-8"/>
        </w:rPr>
        <w:t> </w:t>
      </w:r>
      <w:r>
        <w:rPr/>
        <w:t>SM</w:t>
      </w:r>
      <w:r>
        <w:rPr>
          <w:spacing w:val="-8"/>
        </w:rPr>
        <w:t> </w:t>
      </w:r>
      <w:r>
        <w:rPr/>
        <w:t>from</w:t>
      </w:r>
      <w:r>
        <w:rPr>
          <w:spacing w:val="-8"/>
        </w:rPr>
        <w:t> </w:t>
      </w:r>
      <w:r>
        <w:rPr/>
        <w:t>the</w:t>
      </w:r>
      <w:r>
        <w:rPr>
          <w:spacing w:val="-8"/>
        </w:rPr>
        <w:t> </w:t>
      </w:r>
      <w:r>
        <w:rPr/>
        <w:t>theoretical</w:t>
      </w:r>
      <w:r>
        <w:rPr>
          <w:spacing w:val="-8"/>
        </w:rPr>
        <w:t> </w:t>
      </w:r>
      <w:r>
        <w:rPr/>
        <w:t>perspective</w:t>
      </w:r>
      <w:r>
        <w:rPr>
          <w:spacing w:val="-8"/>
        </w:rPr>
        <w:t> </w:t>
      </w:r>
      <w:r>
        <w:rPr/>
        <w:t>stablished in the General equation of risk defined by Espinosa and Hernandez (2015), where the processes</w:t>
      </w:r>
      <w:r>
        <w:rPr>
          <w:spacing w:val="25"/>
        </w:rPr>
        <w:t> </w:t>
      </w:r>
      <w:r>
        <w:rPr/>
        <w:t>will</w:t>
      </w:r>
      <w:r>
        <w:rPr>
          <w:spacing w:val="25"/>
        </w:rPr>
        <w:t> </w:t>
      </w:r>
      <w:r>
        <w:rPr/>
        <w:t>be</w:t>
      </w:r>
      <w:r>
        <w:rPr>
          <w:spacing w:val="25"/>
        </w:rPr>
        <w:t> </w:t>
      </w:r>
      <w:r>
        <w:rPr/>
        <w:t>defined</w:t>
      </w:r>
      <w:r>
        <w:rPr>
          <w:spacing w:val="25"/>
        </w:rPr>
        <w:t> </w:t>
      </w:r>
      <w:r>
        <w:rPr/>
        <w:t>morphodynamic</w:t>
      </w:r>
      <w:r>
        <w:rPr>
          <w:spacing w:val="25"/>
        </w:rPr>
        <w:t> </w:t>
      </w:r>
      <w:r>
        <w:rPr/>
        <w:t>actors</w:t>
      </w:r>
      <w:r>
        <w:rPr>
          <w:spacing w:val="25"/>
        </w:rPr>
        <w:t> </w:t>
      </w:r>
      <w:r>
        <w:rPr/>
        <w:t>and</w:t>
      </w:r>
      <w:r>
        <w:rPr>
          <w:spacing w:val="25"/>
        </w:rPr>
        <w:t> </w:t>
      </w:r>
      <w:r>
        <w:rPr/>
        <w:t>areas</w:t>
      </w:r>
      <w:r>
        <w:rPr>
          <w:spacing w:val="25"/>
        </w:rPr>
        <w:t> </w:t>
      </w:r>
      <w:r>
        <w:rPr/>
        <w:t>of</w:t>
      </w:r>
      <w:r>
        <w:rPr>
          <w:spacing w:val="25"/>
        </w:rPr>
        <w:t> </w:t>
      </w:r>
      <w:r>
        <w:rPr/>
        <w:t>impact</w:t>
      </w:r>
      <w:r>
        <w:rPr>
          <w:spacing w:val="25"/>
        </w:rPr>
        <w:t> </w:t>
      </w:r>
      <w:r>
        <w:rPr/>
        <w:t>and</w:t>
      </w:r>
      <w:r>
        <w:rPr>
          <w:spacing w:val="25"/>
        </w:rPr>
        <w:t> </w:t>
      </w:r>
      <w:r>
        <w:rPr/>
        <w:t>influence;</w:t>
      </w:r>
      <w:r>
        <w:rPr>
          <w:w w:val="100"/>
        </w:rPr>
        <w:t> </w:t>
      </w:r>
      <w:r>
        <w:rPr/>
        <w:t>related to the shape or urban </w:t>
      </w:r>
      <w:r>
        <w:rPr>
          <w:spacing w:val="1"/>
        </w:rPr>
        <w:t> </w:t>
      </w:r>
      <w:r>
        <w:rPr/>
        <w:t>occupation.</w:t>
      </w:r>
    </w:p>
    <w:p>
      <w:pPr>
        <w:pStyle w:val="BodyText"/>
        <w:spacing w:before="11"/>
      </w:pPr>
    </w:p>
    <w:p>
      <w:pPr>
        <w:pStyle w:val="BodyText"/>
        <w:ind w:left="215" w:right="234"/>
        <w:jc w:val="center"/>
      </w:pPr>
      <w:r>
        <w:rPr>
          <w:b/>
          <w:i/>
        </w:rPr>
        <w:t>Key words: </w:t>
      </w:r>
      <w:r>
        <w:rPr/>
        <w:t>geomorphological hazards, vulnerability, urban, Toluca de San José.</w:t>
      </w:r>
    </w:p>
    <w:p>
      <w:pPr>
        <w:pStyle w:val="Heading1"/>
        <w:spacing w:before="71"/>
        <w:ind w:left="560"/>
      </w:pPr>
      <w:r>
        <w:rPr>
          <w:b w:val="0"/>
        </w:rPr>
        <w:br w:type="column"/>
      </w:r>
      <w:r>
        <w:rPr/>
        <w:t>Introducción</w:t>
      </w:r>
    </w:p>
    <w:p>
      <w:pPr>
        <w:pStyle w:val="BodyText"/>
        <w:rPr>
          <w:b/>
          <w:sz w:val="21"/>
        </w:rPr>
      </w:pPr>
    </w:p>
    <w:p>
      <w:pPr>
        <w:pStyle w:val="BodyText"/>
        <w:spacing w:line="249" w:lineRule="auto"/>
        <w:ind w:left="390" w:right="367" w:firstLine="170"/>
        <w:jc w:val="both"/>
      </w:pPr>
      <w:r>
        <w:rPr/>
        <w:t>La ciudad de Toluca de San José fue fundada en el año 1510 y erigida tres siglos después como capital del Estado de México. Durante el Siglo XX cuando en México  se culmina con la etapa del “Caudillismo”, el presidente Lázaro Cárdenas del Río propone a la industrialización como la vía de desarrollo económico al observar los éstos</w:t>
      </w:r>
      <w:r>
        <w:rPr>
          <w:spacing w:val="-4"/>
        </w:rPr>
        <w:t> </w:t>
      </w:r>
      <w:r>
        <w:rPr/>
        <w:t>generados</w:t>
      </w:r>
      <w:r>
        <w:rPr>
          <w:spacing w:val="-4"/>
        </w:rPr>
        <w:t> </w:t>
      </w:r>
      <w:r>
        <w:rPr/>
        <w:t>en</w:t>
      </w:r>
      <w:r>
        <w:rPr>
          <w:spacing w:val="-4"/>
        </w:rPr>
        <w:t> </w:t>
      </w:r>
      <w:r>
        <w:rPr/>
        <w:t>el</w:t>
      </w:r>
      <w:r>
        <w:rPr>
          <w:spacing w:val="-4"/>
        </w:rPr>
        <w:t> </w:t>
      </w:r>
      <w:r>
        <w:rPr/>
        <w:t>modelo</w:t>
      </w:r>
      <w:r>
        <w:rPr>
          <w:spacing w:val="-4"/>
        </w:rPr>
        <w:t> </w:t>
      </w:r>
      <w:r>
        <w:rPr/>
        <w:t>soviético</w:t>
      </w:r>
      <w:r>
        <w:rPr>
          <w:spacing w:val="-4"/>
        </w:rPr>
        <w:t> </w:t>
      </w:r>
      <w:r>
        <w:rPr/>
        <w:t>de</w:t>
      </w:r>
      <w:r>
        <w:rPr>
          <w:spacing w:val="-4"/>
        </w:rPr>
        <w:t> </w:t>
      </w:r>
      <w:r>
        <w:rPr/>
        <w:t>los</w:t>
      </w:r>
      <w:r>
        <w:rPr>
          <w:spacing w:val="-4"/>
        </w:rPr>
        <w:t> </w:t>
      </w:r>
      <w:r>
        <w:rPr/>
        <w:t>Planes</w:t>
      </w:r>
      <w:r>
        <w:rPr>
          <w:spacing w:val="-4"/>
        </w:rPr>
        <w:t> </w:t>
      </w:r>
      <w:r>
        <w:rPr/>
        <w:t>quinquenales.</w:t>
      </w:r>
      <w:r>
        <w:rPr>
          <w:spacing w:val="-4"/>
        </w:rPr>
        <w:t> </w:t>
      </w:r>
      <w:r>
        <w:rPr/>
        <w:t>Así</w:t>
      </w:r>
      <w:r>
        <w:rPr>
          <w:spacing w:val="-4"/>
        </w:rPr>
        <w:t> </w:t>
      </w:r>
      <w:r>
        <w:rPr/>
        <w:t>se</w:t>
      </w:r>
      <w:r>
        <w:rPr>
          <w:spacing w:val="-4"/>
        </w:rPr>
        <w:t> </w:t>
      </w:r>
      <w:r>
        <w:rPr/>
        <w:t>promueven acciones específicas en el Plan Sexenal en donde la creación de instituciones como   el Instituto Politécnico Nacional (IPN); la creación de ciudades industriales como la  que lleva el nombre del expresidente en el límite de Michoacán y Guerrero en Pacífico mexicano y el decreto de modernización de ciudades fueron puntos de lanzamiento para el logro de los objetivos planteados en dicha </w:t>
      </w:r>
      <w:r>
        <w:rPr>
          <w:spacing w:val="19"/>
        </w:rPr>
        <w:t> </w:t>
      </w:r>
      <w:r>
        <w:rPr/>
        <w:t>administración.</w:t>
      </w:r>
    </w:p>
    <w:p>
      <w:pPr>
        <w:pStyle w:val="BodyText"/>
        <w:spacing w:before="11"/>
      </w:pPr>
    </w:p>
    <w:p>
      <w:pPr>
        <w:pStyle w:val="BodyText"/>
        <w:spacing w:line="249" w:lineRule="auto"/>
        <w:ind w:left="390" w:right="367" w:firstLine="170"/>
        <w:jc w:val="both"/>
      </w:pPr>
      <w:r>
        <w:rPr/>
        <w:t>En</w:t>
      </w:r>
      <w:r>
        <w:rPr>
          <w:spacing w:val="-12"/>
        </w:rPr>
        <w:t> </w:t>
      </w:r>
      <w:r>
        <w:rPr/>
        <w:t>este</w:t>
      </w:r>
      <w:r>
        <w:rPr>
          <w:spacing w:val="-12"/>
        </w:rPr>
        <w:t> </w:t>
      </w:r>
      <w:r>
        <w:rPr/>
        <w:t>orden</w:t>
      </w:r>
      <w:r>
        <w:rPr>
          <w:spacing w:val="-12"/>
        </w:rPr>
        <w:t> </w:t>
      </w:r>
      <w:r>
        <w:rPr/>
        <w:t>de</w:t>
      </w:r>
      <w:r>
        <w:rPr>
          <w:spacing w:val="-12"/>
        </w:rPr>
        <w:t> </w:t>
      </w:r>
      <w:r>
        <w:rPr/>
        <w:t>ideas,</w:t>
      </w:r>
      <w:r>
        <w:rPr>
          <w:spacing w:val="-12"/>
        </w:rPr>
        <w:t> </w:t>
      </w:r>
      <w:r>
        <w:rPr/>
        <w:t>la</w:t>
      </w:r>
      <w:r>
        <w:rPr>
          <w:spacing w:val="-12"/>
        </w:rPr>
        <w:t> </w:t>
      </w:r>
      <w:r>
        <w:rPr/>
        <w:t>ciudad</w:t>
      </w:r>
      <w:r>
        <w:rPr>
          <w:spacing w:val="-12"/>
        </w:rPr>
        <w:t> </w:t>
      </w:r>
      <w:r>
        <w:rPr/>
        <w:t>de</w:t>
      </w:r>
      <w:r>
        <w:rPr>
          <w:spacing w:val="-12"/>
        </w:rPr>
        <w:t> </w:t>
      </w:r>
      <w:r>
        <w:rPr/>
        <w:t>Toluca</w:t>
      </w:r>
      <w:r>
        <w:rPr>
          <w:spacing w:val="-12"/>
        </w:rPr>
        <w:t> </w:t>
      </w:r>
      <w:r>
        <w:rPr/>
        <w:t>fue</w:t>
      </w:r>
      <w:r>
        <w:rPr>
          <w:spacing w:val="-12"/>
        </w:rPr>
        <w:t> </w:t>
      </w:r>
      <w:r>
        <w:rPr/>
        <w:t>alcanzada</w:t>
      </w:r>
      <w:r>
        <w:rPr>
          <w:spacing w:val="-12"/>
        </w:rPr>
        <w:t> </w:t>
      </w:r>
      <w:r>
        <w:rPr/>
        <w:t>y</w:t>
      </w:r>
      <w:r>
        <w:rPr>
          <w:spacing w:val="-12"/>
        </w:rPr>
        <w:t> </w:t>
      </w:r>
      <w:r>
        <w:rPr/>
        <w:t>decretada</w:t>
      </w:r>
      <w:r>
        <w:rPr>
          <w:spacing w:val="-12"/>
        </w:rPr>
        <w:t> </w:t>
      </w:r>
      <w:r>
        <w:rPr/>
        <w:t>como</w:t>
      </w:r>
      <w:r>
        <w:rPr>
          <w:spacing w:val="-12"/>
        </w:rPr>
        <w:t> </w:t>
      </w:r>
      <w:r>
        <w:rPr/>
        <w:t>una</w:t>
      </w:r>
      <w:r>
        <w:rPr>
          <w:spacing w:val="-12"/>
        </w:rPr>
        <w:t> </w:t>
      </w:r>
      <w:r>
        <w:rPr/>
        <w:t>urbe industrial</w:t>
      </w:r>
      <w:r>
        <w:rPr>
          <w:spacing w:val="-12"/>
        </w:rPr>
        <w:t> </w:t>
      </w:r>
      <w:r>
        <w:rPr/>
        <w:t>en</w:t>
      </w:r>
      <w:r>
        <w:rPr>
          <w:spacing w:val="-12"/>
        </w:rPr>
        <w:t> </w:t>
      </w:r>
      <w:r>
        <w:rPr/>
        <w:t>la</w:t>
      </w:r>
      <w:r>
        <w:rPr>
          <w:spacing w:val="-12"/>
        </w:rPr>
        <w:t> </w:t>
      </w:r>
      <w:r>
        <w:rPr/>
        <w:t>cual</w:t>
      </w:r>
      <w:r>
        <w:rPr>
          <w:spacing w:val="-12"/>
        </w:rPr>
        <w:t> </w:t>
      </w:r>
      <w:r>
        <w:rPr/>
        <w:t>la</w:t>
      </w:r>
      <w:r>
        <w:rPr>
          <w:spacing w:val="-12"/>
        </w:rPr>
        <w:t> </w:t>
      </w:r>
      <w:r>
        <w:rPr/>
        <w:t>transformación</w:t>
      </w:r>
      <w:r>
        <w:rPr>
          <w:spacing w:val="-12"/>
        </w:rPr>
        <w:t> </w:t>
      </w:r>
      <w:r>
        <w:rPr/>
        <w:t>del</w:t>
      </w:r>
      <w:r>
        <w:rPr>
          <w:spacing w:val="-12"/>
        </w:rPr>
        <w:t> </w:t>
      </w:r>
      <w:r>
        <w:rPr/>
        <w:t>uso</w:t>
      </w:r>
      <w:r>
        <w:rPr>
          <w:spacing w:val="-12"/>
        </w:rPr>
        <w:t> </w:t>
      </w:r>
      <w:r>
        <w:rPr/>
        <w:t>del</w:t>
      </w:r>
      <w:r>
        <w:rPr>
          <w:spacing w:val="-12"/>
        </w:rPr>
        <w:t> </w:t>
      </w:r>
      <w:r>
        <w:rPr/>
        <w:t>suelo</w:t>
      </w:r>
      <w:r>
        <w:rPr>
          <w:spacing w:val="-12"/>
        </w:rPr>
        <w:t> </w:t>
      </w:r>
      <w:r>
        <w:rPr/>
        <w:t>agrícola</w:t>
      </w:r>
      <w:r>
        <w:rPr>
          <w:spacing w:val="-12"/>
        </w:rPr>
        <w:t> </w:t>
      </w:r>
      <w:r>
        <w:rPr/>
        <w:t>al</w:t>
      </w:r>
      <w:r>
        <w:rPr>
          <w:spacing w:val="-12"/>
        </w:rPr>
        <w:t> </w:t>
      </w:r>
      <w:r>
        <w:rPr/>
        <w:t>urbano</w:t>
      </w:r>
      <w:r>
        <w:rPr>
          <w:spacing w:val="-12"/>
        </w:rPr>
        <w:t> </w:t>
      </w:r>
      <w:r>
        <w:rPr/>
        <w:t>e</w:t>
      </w:r>
      <w:r>
        <w:rPr>
          <w:spacing w:val="-12"/>
        </w:rPr>
        <w:t> </w:t>
      </w:r>
      <w:r>
        <w:rPr/>
        <w:t>industrial</w:t>
      </w:r>
      <w:r>
        <w:rPr>
          <w:spacing w:val="-12"/>
        </w:rPr>
        <w:t> </w:t>
      </w:r>
      <w:r>
        <w:rPr/>
        <w:t>fue rápida, expedita y sin plena conciencia de las características morfológicas y dinámicas de los nuevos territorios ocupados (Figura</w:t>
      </w:r>
      <w:r>
        <w:rPr>
          <w:spacing w:val="12"/>
        </w:rPr>
        <w:t> </w:t>
      </w:r>
      <w:r>
        <w:rPr/>
        <w:t>1).</w:t>
      </w:r>
    </w:p>
    <w:p>
      <w:pPr>
        <w:pStyle w:val="BodyText"/>
      </w:pPr>
    </w:p>
    <w:p>
      <w:pPr>
        <w:pStyle w:val="BodyText"/>
        <w:spacing w:before="4"/>
        <w:rPr>
          <w:sz w:val="12"/>
        </w:rPr>
      </w:pPr>
      <w:r>
        <w:rPr/>
        <w:drawing>
          <wp:anchor distT="0" distB="0" distL="0" distR="0" allowOverlap="1" layoutInCell="1" locked="0" behindDoc="0" simplePos="0" relativeHeight="3544">
            <wp:simplePos x="0" y="0"/>
            <wp:positionH relativeFrom="page">
              <wp:posOffset>6348729</wp:posOffset>
            </wp:positionH>
            <wp:positionV relativeFrom="paragraph">
              <wp:posOffset>114952</wp:posOffset>
            </wp:positionV>
            <wp:extent cx="5205706" cy="2402205"/>
            <wp:effectExtent l="0" t="0" r="0" b="0"/>
            <wp:wrapTopAndBottom/>
            <wp:docPr id="37" name="image37.jpeg" descr=""/>
            <wp:cNvGraphicFramePr>
              <a:graphicFrameLocks noChangeAspect="1"/>
            </wp:cNvGraphicFramePr>
            <a:graphic>
              <a:graphicData uri="http://schemas.openxmlformats.org/drawingml/2006/picture">
                <pic:pic>
                  <pic:nvPicPr>
                    <pic:cNvPr id="38" name="image37.jpeg"/>
                    <pic:cNvPicPr/>
                  </pic:nvPicPr>
                  <pic:blipFill>
                    <a:blip r:embed="rId146" cstate="print"/>
                    <a:stretch>
                      <a:fillRect/>
                    </a:stretch>
                  </pic:blipFill>
                  <pic:spPr>
                    <a:xfrm>
                      <a:off x="0" y="0"/>
                      <a:ext cx="5205706" cy="2402205"/>
                    </a:xfrm>
                    <a:prstGeom prst="rect">
                      <a:avLst/>
                    </a:prstGeom>
                  </pic:spPr>
                </pic:pic>
              </a:graphicData>
            </a:graphic>
          </wp:anchor>
        </w:drawing>
      </w:r>
    </w:p>
    <w:p>
      <w:pPr>
        <w:spacing w:before="135"/>
        <w:ind w:left="1283" w:right="0" w:firstLine="0"/>
        <w:jc w:val="left"/>
        <w:rPr>
          <w:sz w:val="16"/>
        </w:rPr>
      </w:pPr>
      <w:r>
        <w:rPr>
          <w:color w:val="6D6E71"/>
          <w:sz w:val="16"/>
        </w:rPr>
        <w:t>Figura 1. Localización de la ciudad de Toluca. Elaborado con base en INEGI, 2014.</w:t>
      </w:r>
    </w:p>
    <w:p>
      <w:pPr>
        <w:spacing w:after="0"/>
        <w:jc w:val="left"/>
        <w:rPr>
          <w:sz w:val="16"/>
        </w:rPr>
        <w:sectPr>
          <w:type w:val="continuous"/>
          <w:pgSz w:w="18830" w:h="12760" w:orient="landscape"/>
          <w:pgMar w:top="1420" w:bottom="280" w:left="720" w:right="480"/>
          <w:cols w:num="2" w:equalWidth="0">
            <w:col w:w="7838" w:space="1313"/>
            <w:col w:w="8479"/>
          </w:cols>
        </w:sectPr>
      </w:pPr>
    </w:p>
    <w:p>
      <w:pPr>
        <w:pStyle w:val="BodyText"/>
        <w:spacing w:before="6"/>
        <w:rPr>
          <w:sz w:val="23"/>
        </w:rPr>
      </w:pPr>
    </w:p>
    <w:p>
      <w:pPr>
        <w:spacing w:after="0"/>
        <w:rPr>
          <w:sz w:val="23"/>
        </w:rPr>
        <w:sectPr>
          <w:footerReference w:type="default" r:id="rId147"/>
          <w:pgSz w:w="18830" w:h="12760" w:orient="landscape"/>
          <w:pgMar w:footer="1036" w:header="522" w:top="820" w:bottom="1220" w:left="720" w:right="720"/>
        </w:sectPr>
      </w:pPr>
    </w:p>
    <w:p>
      <w:pPr>
        <w:pStyle w:val="BodyText"/>
        <w:spacing w:line="249" w:lineRule="auto" w:before="76"/>
        <w:ind w:left="130" w:firstLine="170"/>
        <w:jc w:val="both"/>
      </w:pPr>
      <w:r>
        <w:rPr/>
        <w:t>A</w:t>
      </w:r>
      <w:r>
        <w:rPr>
          <w:spacing w:val="-8"/>
        </w:rPr>
        <w:t> </w:t>
      </w:r>
      <w:r>
        <w:rPr/>
        <w:t>partir</w:t>
      </w:r>
      <w:r>
        <w:rPr>
          <w:spacing w:val="-8"/>
        </w:rPr>
        <w:t> </w:t>
      </w:r>
      <w:r>
        <w:rPr/>
        <w:t>de</w:t>
      </w:r>
      <w:r>
        <w:rPr>
          <w:spacing w:val="-8"/>
        </w:rPr>
        <w:t> </w:t>
      </w:r>
      <w:r>
        <w:rPr/>
        <w:t>ese</w:t>
      </w:r>
      <w:r>
        <w:rPr>
          <w:spacing w:val="-8"/>
        </w:rPr>
        <w:t> </w:t>
      </w:r>
      <w:r>
        <w:rPr/>
        <w:t>momento</w:t>
      </w:r>
      <w:r>
        <w:rPr>
          <w:spacing w:val="-8"/>
        </w:rPr>
        <w:t> </w:t>
      </w:r>
      <w:r>
        <w:rPr/>
        <w:t>la</w:t>
      </w:r>
      <w:r>
        <w:rPr>
          <w:spacing w:val="-8"/>
        </w:rPr>
        <w:t> </w:t>
      </w:r>
      <w:r>
        <w:rPr/>
        <w:t>capital</w:t>
      </w:r>
      <w:r>
        <w:rPr>
          <w:spacing w:val="-8"/>
        </w:rPr>
        <w:t> </w:t>
      </w:r>
      <w:r>
        <w:rPr/>
        <w:t>mexiquense</w:t>
      </w:r>
      <w:r>
        <w:rPr>
          <w:spacing w:val="-8"/>
        </w:rPr>
        <w:t> </w:t>
      </w:r>
      <w:r>
        <w:rPr/>
        <w:t>crece</w:t>
      </w:r>
      <w:r>
        <w:rPr>
          <w:spacing w:val="-8"/>
        </w:rPr>
        <w:t> </w:t>
      </w:r>
      <w:r>
        <w:rPr/>
        <w:t>de</w:t>
      </w:r>
      <w:r>
        <w:rPr>
          <w:spacing w:val="-8"/>
        </w:rPr>
        <w:t> </w:t>
      </w:r>
      <w:r>
        <w:rPr/>
        <w:t>forma</w:t>
      </w:r>
      <w:r>
        <w:rPr>
          <w:spacing w:val="-8"/>
        </w:rPr>
        <w:t> </w:t>
      </w:r>
      <w:r>
        <w:rPr/>
        <w:t>progresiva</w:t>
      </w:r>
      <w:r>
        <w:rPr>
          <w:spacing w:val="-8"/>
        </w:rPr>
        <w:t> </w:t>
      </w:r>
      <w:r>
        <w:rPr/>
        <w:t>y</w:t>
      </w:r>
      <w:r>
        <w:rPr>
          <w:spacing w:val="-8"/>
        </w:rPr>
        <w:t> </w:t>
      </w:r>
      <w:r>
        <w:rPr/>
        <w:t>acelerada en todas las direcciones cardinales y ocupa territorios que por naturaleza geográfica tienden a ser inestables o inapropiados para para ser ocupados; por ejemplo las zonas de montaña poseen sistemas de laderas con morfología irregular que se asocian con la captación y dispersión de flujos de agua, con procesos de caída libre de rocas; con laderas y sistemas de piedemonte que presentan flujos y deslizamiento del sustrato geológico y del suelo así como movimientos en masa de flujo lento como el </w:t>
      </w:r>
      <w:r>
        <w:rPr>
          <w:i/>
        </w:rPr>
        <w:t>creep</w:t>
      </w:r>
      <w:r>
        <w:rPr/>
        <w:t>; mientras que en la planicie se desarrolla la morfología de origen fluvial y la inundación de territorios marginales a los ríos y de las zonas bajas con relieve</w:t>
      </w:r>
      <w:r>
        <w:rPr>
          <w:spacing w:val="11"/>
        </w:rPr>
        <w:t> </w:t>
      </w:r>
      <w:r>
        <w:rPr/>
        <w:t>negativo.</w:t>
      </w:r>
    </w:p>
    <w:p>
      <w:pPr>
        <w:pStyle w:val="BodyText"/>
        <w:spacing w:before="11"/>
      </w:pPr>
    </w:p>
    <w:p>
      <w:pPr>
        <w:pStyle w:val="Heading3"/>
        <w:ind w:right="-7"/>
      </w:pPr>
      <w:r>
        <w:rPr/>
        <w:t>Objetivos</w:t>
      </w:r>
    </w:p>
    <w:p>
      <w:pPr>
        <w:pStyle w:val="BodyText"/>
        <w:spacing w:before="8"/>
        <w:rPr>
          <w:b/>
          <w:sz w:val="21"/>
        </w:rPr>
      </w:pPr>
    </w:p>
    <w:p>
      <w:pPr>
        <w:pStyle w:val="BodyText"/>
        <w:spacing w:line="249" w:lineRule="auto"/>
        <w:ind w:left="130" w:firstLine="170"/>
        <w:jc w:val="both"/>
      </w:pPr>
      <w:r>
        <w:rPr/>
        <w:t>De acuerdo con lo anterior, en la siguiente investigación se realiza un estudio de    los geosistemas perturbadores que afectan a la ciudad de Toluca de San José y        se correlaciona con los efectos que estos generan en el territorio ocupado por las viviendas, comercio, industria y servicios para determinar la vulnerabilidad, entendida esta desde la perspectiva de la Ecuación general del riesgo propuesta por Espinosa    y Hernández en 2015. De manera particular se realiza un levantamiento cartográfico y de una base de datos de los geosistemas perturbadores que afectan a la ciudad; se realiza un censo de predios afectados y una evaluación del estado que guarda la</w:t>
      </w:r>
      <w:r>
        <w:rPr>
          <w:spacing w:val="15"/>
        </w:rPr>
        <w:t> </w:t>
      </w:r>
      <w:r>
        <w:rPr/>
        <w:t>urbe.</w:t>
      </w:r>
    </w:p>
    <w:p>
      <w:pPr>
        <w:pStyle w:val="BodyText"/>
        <w:spacing w:before="11"/>
      </w:pPr>
    </w:p>
    <w:p>
      <w:pPr>
        <w:pStyle w:val="Heading3"/>
        <w:ind w:right="-7"/>
      </w:pPr>
      <w:r>
        <w:rPr/>
        <w:t>Bases teóricas</w:t>
      </w:r>
    </w:p>
    <w:p>
      <w:pPr>
        <w:pStyle w:val="BodyText"/>
        <w:spacing w:before="8"/>
        <w:rPr>
          <w:b/>
          <w:sz w:val="21"/>
        </w:rPr>
      </w:pPr>
    </w:p>
    <w:p>
      <w:pPr>
        <w:pStyle w:val="BodyText"/>
        <w:spacing w:line="249" w:lineRule="auto"/>
        <w:ind w:left="130" w:firstLine="170"/>
        <w:jc w:val="both"/>
      </w:pPr>
      <w:r>
        <w:rPr/>
        <w:t>El desarrollo de la investigación se basa en la Geografía del riesgo y de manera particular desde la perspectiva de la construcción social expuesta por Tricart (1987), Toscana</w:t>
      </w:r>
      <w:r>
        <w:rPr>
          <w:spacing w:val="-6"/>
        </w:rPr>
        <w:t> </w:t>
      </w:r>
      <w:r>
        <w:rPr/>
        <w:t>(2006</w:t>
      </w:r>
      <w:r>
        <w:rPr>
          <w:spacing w:val="-6"/>
        </w:rPr>
        <w:t> </w:t>
      </w:r>
      <w:r>
        <w:rPr/>
        <w:t>y</w:t>
      </w:r>
      <w:r>
        <w:rPr>
          <w:spacing w:val="-6"/>
        </w:rPr>
        <w:t> </w:t>
      </w:r>
      <w:r>
        <w:rPr/>
        <w:t>2014),</w:t>
      </w:r>
      <w:r>
        <w:rPr>
          <w:spacing w:val="-6"/>
        </w:rPr>
        <w:t> </w:t>
      </w:r>
      <w:r>
        <w:rPr/>
        <w:t>Ayala</w:t>
      </w:r>
      <w:r>
        <w:rPr>
          <w:spacing w:val="-6"/>
        </w:rPr>
        <w:t> </w:t>
      </w:r>
      <w:r>
        <w:rPr/>
        <w:t>y</w:t>
      </w:r>
      <w:r>
        <w:rPr>
          <w:spacing w:val="-6"/>
        </w:rPr>
        <w:t> </w:t>
      </w:r>
      <w:r>
        <w:rPr/>
        <w:t>Olcina</w:t>
      </w:r>
      <w:r>
        <w:rPr>
          <w:spacing w:val="-6"/>
        </w:rPr>
        <w:t> </w:t>
      </w:r>
      <w:r>
        <w:rPr/>
        <w:t>(2008),</w:t>
      </w:r>
      <w:r>
        <w:rPr>
          <w:spacing w:val="-6"/>
        </w:rPr>
        <w:t> </w:t>
      </w:r>
      <w:r>
        <w:rPr/>
        <w:t>Espinosa</w:t>
      </w:r>
      <w:r>
        <w:rPr>
          <w:spacing w:val="-6"/>
        </w:rPr>
        <w:t> </w:t>
      </w:r>
      <w:r>
        <w:rPr/>
        <w:t>(2010),</w:t>
      </w:r>
      <w:r>
        <w:rPr>
          <w:spacing w:val="-6"/>
        </w:rPr>
        <w:t> </w:t>
      </w:r>
      <w:r>
        <w:rPr/>
        <w:t>Campos</w:t>
      </w:r>
      <w:r>
        <w:rPr>
          <w:spacing w:val="-6"/>
        </w:rPr>
        <w:t> </w:t>
      </w:r>
      <w:r>
        <w:rPr/>
        <w:t>et</w:t>
      </w:r>
      <w:r>
        <w:rPr>
          <w:spacing w:val="-6"/>
        </w:rPr>
        <w:t> </w:t>
      </w:r>
      <w:r>
        <w:rPr/>
        <w:t>al.</w:t>
      </w:r>
      <w:r>
        <w:rPr>
          <w:spacing w:val="-6"/>
        </w:rPr>
        <w:t> </w:t>
      </w:r>
      <w:r>
        <w:rPr/>
        <w:t>(2014)</w:t>
      </w:r>
      <w:r>
        <w:rPr>
          <w:spacing w:val="-6"/>
        </w:rPr>
        <w:t> </w:t>
      </w:r>
      <w:r>
        <w:rPr/>
        <w:t>y bajo los parámetros de la Ecuación general del riesgo (Espinosa y Hernández, 2015);  y para la caracterización geomorfológica se emplearán los criterios de clasificación desarrollados por autores como Derrau (1988), De Pedraza (1996) y Gutiérrez (2008). Por</w:t>
      </w:r>
      <w:r>
        <w:rPr>
          <w:spacing w:val="-5"/>
        </w:rPr>
        <w:t> </w:t>
      </w:r>
      <w:r>
        <w:rPr/>
        <w:t>su</w:t>
      </w:r>
      <w:r>
        <w:rPr>
          <w:spacing w:val="-5"/>
        </w:rPr>
        <w:t> </w:t>
      </w:r>
      <w:r>
        <w:rPr/>
        <w:t>parte,</w:t>
      </w:r>
      <w:r>
        <w:rPr>
          <w:spacing w:val="-5"/>
        </w:rPr>
        <w:t> </w:t>
      </w:r>
      <w:r>
        <w:rPr/>
        <w:t>la</w:t>
      </w:r>
      <w:r>
        <w:rPr>
          <w:spacing w:val="-5"/>
        </w:rPr>
        <w:t> </w:t>
      </w:r>
      <w:r>
        <w:rPr/>
        <w:t>referencia</w:t>
      </w:r>
      <w:r>
        <w:rPr>
          <w:spacing w:val="-5"/>
        </w:rPr>
        <w:t> </w:t>
      </w:r>
      <w:r>
        <w:rPr/>
        <w:t>sistémica</w:t>
      </w:r>
      <w:r>
        <w:rPr>
          <w:spacing w:val="-5"/>
        </w:rPr>
        <w:t> </w:t>
      </w:r>
      <w:r>
        <w:rPr/>
        <w:t>se</w:t>
      </w:r>
      <w:r>
        <w:rPr>
          <w:spacing w:val="-5"/>
        </w:rPr>
        <w:t> </w:t>
      </w:r>
      <w:r>
        <w:rPr/>
        <w:t>centra</w:t>
      </w:r>
      <w:r>
        <w:rPr>
          <w:spacing w:val="-5"/>
        </w:rPr>
        <w:t> </w:t>
      </w:r>
      <w:r>
        <w:rPr/>
        <w:t>en</w:t>
      </w:r>
      <w:r>
        <w:rPr>
          <w:spacing w:val="-5"/>
        </w:rPr>
        <w:t> </w:t>
      </w:r>
      <w:r>
        <w:rPr/>
        <w:t>los</w:t>
      </w:r>
      <w:r>
        <w:rPr>
          <w:spacing w:val="-5"/>
        </w:rPr>
        <w:t> </w:t>
      </w:r>
      <w:r>
        <w:rPr/>
        <w:t>trabajos</w:t>
      </w:r>
      <w:r>
        <w:rPr>
          <w:spacing w:val="-5"/>
        </w:rPr>
        <w:t> </w:t>
      </w:r>
      <w:r>
        <w:rPr/>
        <w:t>de</w:t>
      </w:r>
      <w:r>
        <w:rPr>
          <w:spacing w:val="-5"/>
        </w:rPr>
        <w:t> </w:t>
      </w:r>
      <w:r>
        <w:rPr/>
        <w:t>Bertalanfy</w:t>
      </w:r>
      <w:r>
        <w:rPr>
          <w:spacing w:val="-5"/>
        </w:rPr>
        <w:t> </w:t>
      </w:r>
      <w:r>
        <w:rPr/>
        <w:t>(1974),</w:t>
      </w:r>
      <w:r>
        <w:rPr>
          <w:spacing w:val="-5"/>
        </w:rPr>
        <w:t> </w:t>
      </w:r>
      <w:r>
        <w:rPr/>
        <w:t>Van Gigh</w:t>
      </w:r>
      <w:r>
        <w:rPr>
          <w:spacing w:val="-16"/>
        </w:rPr>
        <w:t> </w:t>
      </w:r>
      <w:r>
        <w:rPr/>
        <w:t>(1991)</w:t>
      </w:r>
      <w:r>
        <w:rPr>
          <w:spacing w:val="-16"/>
        </w:rPr>
        <w:t> </w:t>
      </w:r>
      <w:r>
        <w:rPr/>
        <w:t>y</w:t>
      </w:r>
      <w:r>
        <w:rPr>
          <w:spacing w:val="-16"/>
        </w:rPr>
        <w:t> </w:t>
      </w:r>
      <w:r>
        <w:rPr/>
        <w:t>Espinosa</w:t>
      </w:r>
      <w:r>
        <w:rPr>
          <w:spacing w:val="-16"/>
        </w:rPr>
        <w:t> </w:t>
      </w:r>
      <w:r>
        <w:rPr/>
        <w:t>(2007).</w:t>
      </w:r>
    </w:p>
    <w:p>
      <w:pPr>
        <w:pStyle w:val="BodyText"/>
        <w:spacing w:before="11"/>
      </w:pPr>
    </w:p>
    <w:p>
      <w:pPr>
        <w:pStyle w:val="Heading3"/>
        <w:ind w:right="-7"/>
      </w:pPr>
      <w:r>
        <w:rPr/>
        <w:t>Materiales y métodos</w:t>
      </w:r>
    </w:p>
    <w:p>
      <w:pPr>
        <w:pStyle w:val="BodyText"/>
        <w:spacing w:before="8"/>
        <w:rPr>
          <w:b/>
          <w:sz w:val="21"/>
        </w:rPr>
      </w:pPr>
    </w:p>
    <w:p>
      <w:pPr>
        <w:pStyle w:val="BodyText"/>
        <w:spacing w:line="249" w:lineRule="auto"/>
        <w:ind w:left="130" w:firstLine="170"/>
        <w:jc w:val="both"/>
      </w:pPr>
      <w:r>
        <w:rPr/>
        <w:t>Se realizó cartografía geomorfológica a escala 1.50,000 y 1:10,000 con materiales editados por el Instituto Nacional de Estadística y Geografía (INEGI, 2015),  Instituto  de Información e Investigación Geográfica, Estadística y Catastral del Estado de México (IGECEM, 2013); el criterio básico de la construcción cartográfica fue de tipo morfodinámico</w:t>
      </w:r>
      <w:r>
        <w:rPr>
          <w:spacing w:val="-13"/>
        </w:rPr>
        <w:t> </w:t>
      </w:r>
      <w:r>
        <w:rPr/>
        <w:t>según</w:t>
      </w:r>
      <w:r>
        <w:rPr>
          <w:spacing w:val="-13"/>
        </w:rPr>
        <w:t> </w:t>
      </w:r>
      <w:r>
        <w:rPr/>
        <w:t>lo</w:t>
      </w:r>
      <w:r>
        <w:rPr>
          <w:spacing w:val="-13"/>
        </w:rPr>
        <w:t> </w:t>
      </w:r>
      <w:r>
        <w:rPr/>
        <w:t>establece</w:t>
      </w:r>
      <w:r>
        <w:rPr>
          <w:spacing w:val="-13"/>
        </w:rPr>
        <w:t> </w:t>
      </w:r>
      <w:r>
        <w:rPr/>
        <w:t>Lugo</w:t>
      </w:r>
      <w:r>
        <w:rPr>
          <w:spacing w:val="-13"/>
        </w:rPr>
        <w:t> </w:t>
      </w:r>
      <w:r>
        <w:rPr/>
        <w:t>(1989),</w:t>
      </w:r>
      <w:r>
        <w:rPr>
          <w:spacing w:val="-13"/>
        </w:rPr>
        <w:t> </w:t>
      </w:r>
      <w:r>
        <w:rPr/>
        <w:t>De</w:t>
      </w:r>
      <w:r>
        <w:rPr>
          <w:spacing w:val="-13"/>
        </w:rPr>
        <w:t> </w:t>
      </w:r>
      <w:r>
        <w:rPr/>
        <w:t>Pedraza</w:t>
      </w:r>
      <w:r>
        <w:rPr>
          <w:spacing w:val="-13"/>
        </w:rPr>
        <w:t> </w:t>
      </w:r>
      <w:r>
        <w:rPr/>
        <w:t>(1996)</w:t>
      </w:r>
      <w:r>
        <w:rPr>
          <w:spacing w:val="-13"/>
        </w:rPr>
        <w:t> </w:t>
      </w:r>
      <w:r>
        <w:rPr/>
        <w:t>y,</w:t>
      </w:r>
      <w:r>
        <w:rPr>
          <w:spacing w:val="-13"/>
        </w:rPr>
        <w:t> </w:t>
      </w:r>
      <w:r>
        <w:rPr/>
        <w:t>Espinosa</w:t>
      </w:r>
      <w:r>
        <w:rPr>
          <w:spacing w:val="-13"/>
        </w:rPr>
        <w:t> </w:t>
      </w:r>
      <w:r>
        <w:rPr/>
        <w:t>y</w:t>
      </w:r>
      <w:r>
        <w:rPr>
          <w:spacing w:val="-13"/>
        </w:rPr>
        <w:t> </w:t>
      </w:r>
      <w:r>
        <w:rPr/>
        <w:t>Arroyo</w:t>
      </w:r>
      <w:r>
        <w:rPr>
          <w:w w:val="100"/>
        </w:rPr>
        <w:t> </w:t>
      </w:r>
      <w:r>
        <w:rPr/>
        <w:t>(2008).</w:t>
      </w:r>
    </w:p>
    <w:p>
      <w:pPr>
        <w:pStyle w:val="BodyText"/>
        <w:spacing w:line="249" w:lineRule="auto" w:before="76"/>
        <w:ind w:left="130" w:right="128" w:firstLine="170"/>
        <w:jc w:val="both"/>
      </w:pPr>
      <w:r>
        <w:rPr/>
        <w:br w:type="column"/>
      </w:r>
      <w:r>
        <w:rPr/>
        <w:t>Por otra parte se consultó información oficial publicada en los Atlas municipales de riesgos publicados por las dependencias de Protección civil municipal dependientes del gobierno estatal de los años 2002 y</w:t>
      </w:r>
      <w:r>
        <w:rPr>
          <w:spacing w:val="27"/>
        </w:rPr>
        <w:t> </w:t>
      </w:r>
      <w:r>
        <w:rPr/>
        <w:t>2013.</w:t>
      </w:r>
    </w:p>
    <w:p>
      <w:pPr>
        <w:pStyle w:val="BodyText"/>
        <w:spacing w:before="11"/>
      </w:pPr>
    </w:p>
    <w:p>
      <w:pPr>
        <w:pStyle w:val="BodyText"/>
        <w:spacing w:line="249" w:lineRule="auto"/>
        <w:ind w:left="130" w:right="127" w:firstLine="170"/>
        <w:jc w:val="right"/>
      </w:pPr>
      <w:r>
        <w:rPr/>
        <w:t>Asimismo</w:t>
      </w:r>
      <w:r>
        <w:rPr>
          <w:spacing w:val="24"/>
        </w:rPr>
        <w:t> </w:t>
      </w:r>
      <w:r>
        <w:rPr/>
        <w:t>se</w:t>
      </w:r>
      <w:r>
        <w:rPr>
          <w:spacing w:val="24"/>
        </w:rPr>
        <w:t> </w:t>
      </w:r>
      <w:r>
        <w:rPr/>
        <w:t>emplearon</w:t>
      </w:r>
      <w:r>
        <w:rPr>
          <w:spacing w:val="24"/>
        </w:rPr>
        <w:t> </w:t>
      </w:r>
      <w:r>
        <w:rPr/>
        <w:t>fuentes</w:t>
      </w:r>
      <w:r>
        <w:rPr>
          <w:spacing w:val="24"/>
        </w:rPr>
        <w:t> </w:t>
      </w:r>
      <w:r>
        <w:rPr/>
        <w:t>de</w:t>
      </w:r>
      <w:r>
        <w:rPr>
          <w:spacing w:val="24"/>
        </w:rPr>
        <w:t> </w:t>
      </w:r>
      <w:r>
        <w:rPr/>
        <w:t>información</w:t>
      </w:r>
      <w:r>
        <w:rPr>
          <w:spacing w:val="24"/>
        </w:rPr>
        <w:t> </w:t>
      </w:r>
      <w:r>
        <w:rPr/>
        <w:t>de</w:t>
      </w:r>
      <w:r>
        <w:rPr>
          <w:spacing w:val="24"/>
        </w:rPr>
        <w:t> </w:t>
      </w:r>
      <w:r>
        <w:rPr/>
        <w:t>la</w:t>
      </w:r>
      <w:r>
        <w:rPr>
          <w:spacing w:val="24"/>
        </w:rPr>
        <w:t> </w:t>
      </w:r>
      <w:r>
        <w:rPr/>
        <w:t>Comisión</w:t>
      </w:r>
      <w:r>
        <w:rPr>
          <w:spacing w:val="24"/>
        </w:rPr>
        <w:t> </w:t>
      </w:r>
      <w:r>
        <w:rPr/>
        <w:t>Nacional</w:t>
      </w:r>
      <w:r>
        <w:rPr>
          <w:spacing w:val="24"/>
        </w:rPr>
        <w:t> </w:t>
      </w:r>
      <w:r>
        <w:rPr/>
        <w:t>del</w:t>
      </w:r>
      <w:r>
        <w:rPr>
          <w:spacing w:val="24"/>
        </w:rPr>
        <w:t> </w:t>
      </w:r>
      <w:r>
        <w:rPr/>
        <w:t>Agua</w:t>
      </w:r>
      <w:r>
        <w:rPr>
          <w:w w:val="99"/>
        </w:rPr>
        <w:t> </w:t>
      </w:r>
      <w:r>
        <w:rPr/>
        <w:t>(CONAGUA,</w:t>
      </w:r>
      <w:r>
        <w:rPr>
          <w:spacing w:val="-15"/>
        </w:rPr>
        <w:t> </w:t>
      </w:r>
      <w:r>
        <w:rPr/>
        <w:t>2015),</w:t>
      </w:r>
      <w:r>
        <w:rPr>
          <w:spacing w:val="-15"/>
        </w:rPr>
        <w:t> </w:t>
      </w:r>
      <w:r>
        <w:rPr/>
        <w:t>de</w:t>
      </w:r>
      <w:r>
        <w:rPr>
          <w:spacing w:val="-15"/>
        </w:rPr>
        <w:t> </w:t>
      </w:r>
      <w:r>
        <w:rPr/>
        <w:t>la</w:t>
      </w:r>
      <w:r>
        <w:rPr>
          <w:spacing w:val="-15"/>
        </w:rPr>
        <w:t> </w:t>
      </w:r>
      <w:r>
        <w:rPr/>
        <w:t>Secretaría</w:t>
      </w:r>
      <w:r>
        <w:rPr>
          <w:spacing w:val="-15"/>
        </w:rPr>
        <w:t> </w:t>
      </w:r>
      <w:r>
        <w:rPr/>
        <w:t>de</w:t>
      </w:r>
      <w:r>
        <w:rPr>
          <w:spacing w:val="-15"/>
        </w:rPr>
        <w:t> </w:t>
      </w:r>
      <w:r>
        <w:rPr/>
        <w:t>Desarrollo</w:t>
      </w:r>
      <w:r>
        <w:rPr>
          <w:spacing w:val="-15"/>
        </w:rPr>
        <w:t> </w:t>
      </w:r>
      <w:r>
        <w:rPr/>
        <w:t>Agrario,</w:t>
      </w:r>
      <w:r>
        <w:rPr>
          <w:spacing w:val="-15"/>
        </w:rPr>
        <w:t> </w:t>
      </w:r>
      <w:r>
        <w:rPr/>
        <w:t>Territorial</w:t>
      </w:r>
      <w:r>
        <w:rPr>
          <w:spacing w:val="-15"/>
        </w:rPr>
        <w:t> </w:t>
      </w:r>
      <w:r>
        <w:rPr/>
        <w:t>y</w:t>
      </w:r>
      <w:r>
        <w:rPr>
          <w:spacing w:val="-15"/>
        </w:rPr>
        <w:t> </w:t>
      </w:r>
      <w:r>
        <w:rPr/>
        <w:t>Urbano</w:t>
      </w:r>
      <w:r>
        <w:rPr>
          <w:spacing w:val="-15"/>
        </w:rPr>
        <w:t> </w:t>
      </w:r>
      <w:r>
        <w:rPr/>
        <w:t>SEDATU</w:t>
      </w:r>
      <w:r>
        <w:rPr>
          <w:w w:val="96"/>
        </w:rPr>
        <w:t> </w:t>
      </w:r>
      <w:r>
        <w:rPr/>
        <w:t>(2015)</w:t>
      </w:r>
      <w:r>
        <w:rPr>
          <w:spacing w:val="-11"/>
        </w:rPr>
        <w:t> </w:t>
      </w:r>
      <w:r>
        <w:rPr/>
        <w:t>y</w:t>
      </w:r>
      <w:r>
        <w:rPr>
          <w:spacing w:val="-11"/>
        </w:rPr>
        <w:t> </w:t>
      </w:r>
      <w:r>
        <w:rPr/>
        <w:t>el</w:t>
      </w:r>
      <w:r>
        <w:rPr>
          <w:spacing w:val="-11"/>
        </w:rPr>
        <w:t> </w:t>
      </w:r>
      <w:r>
        <w:rPr/>
        <w:t>Instituto</w:t>
      </w:r>
      <w:r>
        <w:rPr>
          <w:spacing w:val="-11"/>
        </w:rPr>
        <w:t> </w:t>
      </w:r>
      <w:r>
        <w:rPr/>
        <w:t>de</w:t>
      </w:r>
      <w:r>
        <w:rPr>
          <w:spacing w:val="-11"/>
        </w:rPr>
        <w:t> </w:t>
      </w:r>
      <w:r>
        <w:rPr/>
        <w:t>Fomento</w:t>
      </w:r>
      <w:r>
        <w:rPr>
          <w:spacing w:val="-11"/>
        </w:rPr>
        <w:t> </w:t>
      </w:r>
      <w:r>
        <w:rPr/>
        <w:t>Minero</w:t>
      </w:r>
      <w:r>
        <w:rPr>
          <w:spacing w:val="-11"/>
        </w:rPr>
        <w:t> </w:t>
      </w:r>
      <w:r>
        <w:rPr/>
        <w:t>y</w:t>
      </w:r>
      <w:r>
        <w:rPr>
          <w:spacing w:val="-11"/>
        </w:rPr>
        <w:t> </w:t>
      </w:r>
      <w:r>
        <w:rPr/>
        <w:t>Geológico</w:t>
      </w:r>
      <w:r>
        <w:rPr>
          <w:spacing w:val="-11"/>
        </w:rPr>
        <w:t> </w:t>
      </w:r>
      <w:r>
        <w:rPr/>
        <w:t>del</w:t>
      </w:r>
      <w:r>
        <w:rPr>
          <w:spacing w:val="-11"/>
        </w:rPr>
        <w:t> </w:t>
      </w:r>
      <w:r>
        <w:rPr/>
        <w:t>Estado</w:t>
      </w:r>
      <w:r>
        <w:rPr>
          <w:spacing w:val="-11"/>
        </w:rPr>
        <w:t> </w:t>
      </w:r>
      <w:r>
        <w:rPr/>
        <w:t>de</w:t>
      </w:r>
      <w:r>
        <w:rPr>
          <w:spacing w:val="-11"/>
        </w:rPr>
        <w:t> </w:t>
      </w:r>
      <w:r>
        <w:rPr/>
        <w:t>México</w:t>
      </w:r>
      <w:r>
        <w:rPr>
          <w:spacing w:val="-11"/>
        </w:rPr>
        <w:t> </w:t>
      </w:r>
      <w:r>
        <w:rPr/>
        <w:t>(IFOMEGEM,</w:t>
      </w:r>
      <w:r>
        <w:rPr>
          <w:w w:val="96"/>
        </w:rPr>
        <w:t> </w:t>
      </w:r>
      <w:r>
        <w:rPr/>
        <w:t>2015); relacionada con manejo del agua, riesgos y geología de manera</w:t>
      </w:r>
      <w:r>
        <w:rPr>
          <w:spacing w:val="7"/>
        </w:rPr>
        <w:t> </w:t>
      </w:r>
      <w:r>
        <w:rPr/>
        <w:t>independiente.</w:t>
      </w:r>
    </w:p>
    <w:p>
      <w:pPr>
        <w:pStyle w:val="BodyText"/>
        <w:spacing w:before="11"/>
      </w:pPr>
    </w:p>
    <w:p>
      <w:pPr>
        <w:pStyle w:val="BodyText"/>
        <w:spacing w:line="249" w:lineRule="auto"/>
        <w:ind w:left="130" w:right="127" w:firstLine="170"/>
        <w:jc w:val="both"/>
      </w:pPr>
      <w:r>
        <w:rPr/>
        <w:t>Con la información publicada se generó una base de datos comparativa para determinar la evolución de la vulnerabilidad territorial y las tendencias que esta tiene al correlacionarse con la morfología del espacio geográfico  estudiado.</w:t>
      </w:r>
    </w:p>
    <w:p>
      <w:pPr>
        <w:pStyle w:val="BodyText"/>
        <w:spacing w:before="11"/>
      </w:pPr>
    </w:p>
    <w:p>
      <w:pPr>
        <w:pStyle w:val="Heading3"/>
        <w:ind w:right="-10"/>
      </w:pPr>
      <w:r>
        <w:rPr/>
        <w:t>Antecedentes</w:t>
      </w:r>
    </w:p>
    <w:p>
      <w:pPr>
        <w:pStyle w:val="BodyText"/>
        <w:spacing w:before="8"/>
        <w:rPr>
          <w:b/>
          <w:sz w:val="21"/>
        </w:rPr>
      </w:pPr>
    </w:p>
    <w:p>
      <w:pPr>
        <w:pStyle w:val="BodyText"/>
        <w:spacing w:line="249" w:lineRule="auto"/>
        <w:ind w:left="130" w:right="127" w:firstLine="170"/>
        <w:jc w:val="both"/>
      </w:pPr>
      <w:r>
        <w:rPr/>
        <w:t>Existen pocos antecedentes oficiales de información básica relacionada con la ocurrencia de procesos que se asocian al riesgo en la ciudad de Toluca de San José. Se cuenta con el Atlas Municipal de Riesgos publicado en 2002 y con otros números recientes del mismo hasta el año 2013; sin embargo en ellos se encuentran traslapes de información motivo por el cual el criterio de generalización de información es un recurso</w:t>
      </w:r>
      <w:r>
        <w:rPr>
          <w:spacing w:val="-13"/>
        </w:rPr>
        <w:t> </w:t>
      </w:r>
      <w:r>
        <w:rPr/>
        <w:t>de</w:t>
      </w:r>
      <w:r>
        <w:rPr>
          <w:spacing w:val="-13"/>
        </w:rPr>
        <w:t> </w:t>
      </w:r>
      <w:r>
        <w:rPr/>
        <w:t>análisis</w:t>
      </w:r>
      <w:r>
        <w:rPr>
          <w:spacing w:val="-13"/>
        </w:rPr>
        <w:t> </w:t>
      </w:r>
      <w:r>
        <w:rPr/>
        <w:t>que</w:t>
      </w:r>
      <w:r>
        <w:rPr>
          <w:spacing w:val="-13"/>
        </w:rPr>
        <w:t> </w:t>
      </w:r>
      <w:r>
        <w:rPr/>
        <w:t>resulta</w:t>
      </w:r>
      <w:r>
        <w:rPr>
          <w:spacing w:val="-13"/>
        </w:rPr>
        <w:t> </w:t>
      </w:r>
      <w:r>
        <w:rPr/>
        <w:t>necesario.</w:t>
      </w:r>
      <w:r>
        <w:rPr>
          <w:spacing w:val="-13"/>
        </w:rPr>
        <w:t> </w:t>
      </w:r>
      <w:r>
        <w:rPr/>
        <w:t>Una</w:t>
      </w:r>
      <w:r>
        <w:rPr>
          <w:spacing w:val="-13"/>
        </w:rPr>
        <w:t> </w:t>
      </w:r>
      <w:r>
        <w:rPr/>
        <w:t>observación</w:t>
      </w:r>
      <w:r>
        <w:rPr>
          <w:spacing w:val="-13"/>
        </w:rPr>
        <w:t> </w:t>
      </w:r>
      <w:r>
        <w:rPr/>
        <w:t>básica</w:t>
      </w:r>
      <w:r>
        <w:rPr>
          <w:spacing w:val="-13"/>
        </w:rPr>
        <w:t> </w:t>
      </w:r>
      <w:r>
        <w:rPr/>
        <w:t>de</w:t>
      </w:r>
      <w:r>
        <w:rPr>
          <w:spacing w:val="-13"/>
        </w:rPr>
        <w:t> </w:t>
      </w:r>
      <w:r>
        <w:rPr/>
        <w:t>estos</w:t>
      </w:r>
      <w:r>
        <w:rPr>
          <w:spacing w:val="-13"/>
        </w:rPr>
        <w:t> </w:t>
      </w:r>
      <w:r>
        <w:rPr/>
        <w:t>documentos es la repetición continua y literal de información que en diferentes administraciones publicaron</w:t>
      </w:r>
      <w:r>
        <w:rPr>
          <w:spacing w:val="-10"/>
        </w:rPr>
        <w:t> </w:t>
      </w:r>
      <w:r>
        <w:rPr/>
        <w:t>en</w:t>
      </w:r>
      <w:r>
        <w:rPr>
          <w:spacing w:val="-10"/>
        </w:rPr>
        <w:t> </w:t>
      </w:r>
      <w:r>
        <w:rPr/>
        <w:t>donde</w:t>
      </w:r>
      <w:r>
        <w:rPr>
          <w:spacing w:val="-10"/>
        </w:rPr>
        <w:t> </w:t>
      </w:r>
      <w:r>
        <w:rPr/>
        <w:t>la</w:t>
      </w:r>
      <w:r>
        <w:rPr>
          <w:spacing w:val="-10"/>
        </w:rPr>
        <w:t> </w:t>
      </w:r>
      <w:r>
        <w:rPr/>
        <w:t>única</w:t>
      </w:r>
      <w:r>
        <w:rPr>
          <w:spacing w:val="-10"/>
        </w:rPr>
        <w:t> </w:t>
      </w:r>
      <w:r>
        <w:rPr/>
        <w:t>diferencia</w:t>
      </w:r>
      <w:r>
        <w:rPr>
          <w:spacing w:val="-10"/>
        </w:rPr>
        <w:t> </w:t>
      </w:r>
      <w:r>
        <w:rPr/>
        <w:t>encontrada</w:t>
      </w:r>
      <w:r>
        <w:rPr>
          <w:spacing w:val="-10"/>
        </w:rPr>
        <w:t> </w:t>
      </w:r>
      <w:r>
        <w:rPr/>
        <w:t>se</w:t>
      </w:r>
      <w:r>
        <w:rPr>
          <w:spacing w:val="-10"/>
        </w:rPr>
        <w:t> </w:t>
      </w:r>
      <w:r>
        <w:rPr/>
        <w:t>advierte</w:t>
      </w:r>
      <w:r>
        <w:rPr>
          <w:spacing w:val="-10"/>
        </w:rPr>
        <w:t> </w:t>
      </w:r>
      <w:r>
        <w:rPr/>
        <w:t>en</w:t>
      </w:r>
      <w:r>
        <w:rPr>
          <w:spacing w:val="-10"/>
        </w:rPr>
        <w:t> </w:t>
      </w:r>
      <w:r>
        <w:rPr/>
        <w:t>los</w:t>
      </w:r>
      <w:r>
        <w:rPr>
          <w:spacing w:val="-10"/>
        </w:rPr>
        <w:t> </w:t>
      </w:r>
      <w:r>
        <w:rPr/>
        <w:t>colores</w:t>
      </w:r>
      <w:r>
        <w:rPr>
          <w:spacing w:val="-10"/>
        </w:rPr>
        <w:t> </w:t>
      </w:r>
      <w:r>
        <w:rPr/>
        <w:t>y</w:t>
      </w:r>
      <w:r>
        <w:rPr>
          <w:spacing w:val="-10"/>
        </w:rPr>
        <w:t> </w:t>
      </w:r>
      <w:r>
        <w:rPr/>
        <w:t>escudos empleados.</w:t>
      </w:r>
    </w:p>
    <w:p>
      <w:pPr>
        <w:pStyle w:val="BodyText"/>
        <w:spacing w:before="11"/>
      </w:pPr>
    </w:p>
    <w:p>
      <w:pPr>
        <w:pStyle w:val="BodyText"/>
        <w:spacing w:line="249" w:lineRule="auto"/>
        <w:ind w:left="130" w:right="128" w:firstLine="170"/>
        <w:jc w:val="both"/>
      </w:pPr>
      <w:r>
        <w:rPr/>
        <w:t>Asimismo en el apartado de riesgos hidrometeorológicos, los atlas presentan a dos geosistemas</w:t>
      </w:r>
      <w:r>
        <w:rPr>
          <w:spacing w:val="-7"/>
        </w:rPr>
        <w:t> </w:t>
      </w:r>
      <w:r>
        <w:rPr/>
        <w:t>perturbadores</w:t>
      </w:r>
      <w:r>
        <w:rPr>
          <w:spacing w:val="-7"/>
        </w:rPr>
        <w:t> </w:t>
      </w:r>
      <w:r>
        <w:rPr/>
        <w:t>diferentes:</w:t>
      </w:r>
      <w:r>
        <w:rPr>
          <w:spacing w:val="-7"/>
        </w:rPr>
        <w:t> </w:t>
      </w:r>
      <w:r>
        <w:rPr/>
        <w:t>los</w:t>
      </w:r>
      <w:r>
        <w:rPr>
          <w:spacing w:val="-7"/>
        </w:rPr>
        <w:t> </w:t>
      </w:r>
      <w:r>
        <w:rPr/>
        <w:t>encharcamientos</w:t>
      </w:r>
      <w:r>
        <w:rPr>
          <w:spacing w:val="-7"/>
        </w:rPr>
        <w:t> </w:t>
      </w:r>
      <w:r>
        <w:rPr/>
        <w:t>y</w:t>
      </w:r>
      <w:r>
        <w:rPr>
          <w:spacing w:val="-7"/>
        </w:rPr>
        <w:t> </w:t>
      </w:r>
      <w:r>
        <w:rPr/>
        <w:t>las</w:t>
      </w:r>
      <w:r>
        <w:rPr>
          <w:spacing w:val="-7"/>
        </w:rPr>
        <w:t> </w:t>
      </w:r>
      <w:r>
        <w:rPr/>
        <w:t>inundaciones;</w:t>
      </w:r>
      <w:r>
        <w:rPr>
          <w:spacing w:val="-7"/>
        </w:rPr>
        <w:t> </w:t>
      </w:r>
      <w:r>
        <w:rPr/>
        <w:t>y</w:t>
      </w:r>
      <w:r>
        <w:rPr>
          <w:spacing w:val="-7"/>
        </w:rPr>
        <w:t> </w:t>
      </w:r>
      <w:r>
        <w:rPr/>
        <w:t>dejan en duda los criterios de clasificación y/o diferenciación de los </w:t>
      </w:r>
      <w:r>
        <w:rPr>
          <w:spacing w:val="45"/>
        </w:rPr>
        <w:t> </w:t>
      </w:r>
      <w:r>
        <w:rPr/>
        <w:t>mismos.</w:t>
      </w:r>
    </w:p>
    <w:p>
      <w:pPr>
        <w:pStyle w:val="BodyText"/>
        <w:spacing w:before="11"/>
      </w:pPr>
    </w:p>
    <w:p>
      <w:pPr>
        <w:pStyle w:val="BodyText"/>
        <w:spacing w:line="249" w:lineRule="auto"/>
        <w:ind w:left="130" w:right="128" w:firstLine="170"/>
        <w:jc w:val="both"/>
      </w:pPr>
      <w:r>
        <w:rPr/>
        <w:t>Si bien en el la edición publicada en 2013 del Atlas municipal de riesgos cuenta con información más completa que los antecesores, el común denominador de ellos se centra en priorizar la atención de emergencias y la aplicación de protocolos legales y formales; presentan cuadros de predios dañados; y de forma estricta todos adolecen de procesos de investigación y prevención.</w:t>
      </w:r>
    </w:p>
    <w:p>
      <w:pPr>
        <w:pStyle w:val="BodyText"/>
        <w:spacing w:before="11"/>
      </w:pPr>
    </w:p>
    <w:p>
      <w:pPr>
        <w:pStyle w:val="BodyText"/>
        <w:spacing w:line="249" w:lineRule="auto"/>
        <w:ind w:left="130" w:right="127" w:firstLine="170"/>
        <w:jc w:val="both"/>
      </w:pPr>
      <w:r>
        <w:rPr/>
        <w:t>De forma particular en la Facultad de Geografía de la Universidad Autónoma del Estado de México (UAEMex) se han desarrollado algunas investigaciones de los geosistemas perturbadores que afectan a la ciudad en diferentes sitios de interés  como es Santiago Miltepec realizada por Palma (2005), en Ciudad Universitaria por Vences (2004) y en San Pedro Totoltepec por Alfaro (2013) entre otras. En todas ellas se encuentra un estudio general de las condiciones geológicas y geomorfológicas   </w:t>
      </w:r>
      <w:r>
        <w:rPr>
          <w:spacing w:val="9"/>
        </w:rPr>
        <w:t> </w:t>
      </w:r>
      <w:r>
        <w:rPr/>
        <w:t>de</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pPr>
    </w:p>
    <w:p>
      <w:pPr>
        <w:pStyle w:val="BodyText"/>
        <w:spacing w:line="249" w:lineRule="auto" w:before="117"/>
        <w:ind w:left="130" w:right="-12"/>
      </w:pPr>
      <w:r>
        <w:rPr/>
        <w:t>las</w:t>
      </w:r>
      <w:r>
        <w:rPr>
          <w:spacing w:val="-8"/>
        </w:rPr>
        <w:t> </w:t>
      </w:r>
      <w:r>
        <w:rPr/>
        <w:t>zonas</w:t>
      </w:r>
      <w:r>
        <w:rPr>
          <w:spacing w:val="-8"/>
        </w:rPr>
        <w:t> </w:t>
      </w:r>
      <w:r>
        <w:rPr/>
        <w:t>de</w:t>
      </w:r>
      <w:r>
        <w:rPr>
          <w:spacing w:val="-8"/>
        </w:rPr>
        <w:t> </w:t>
      </w:r>
      <w:r>
        <w:rPr/>
        <w:t>estudio,</w:t>
      </w:r>
      <w:r>
        <w:rPr>
          <w:spacing w:val="-8"/>
        </w:rPr>
        <w:t> </w:t>
      </w:r>
      <w:r>
        <w:rPr/>
        <w:t>el</w:t>
      </w:r>
      <w:r>
        <w:rPr>
          <w:spacing w:val="-8"/>
        </w:rPr>
        <w:t> </w:t>
      </w:r>
      <w:r>
        <w:rPr/>
        <w:t>origen</w:t>
      </w:r>
      <w:r>
        <w:rPr>
          <w:spacing w:val="-8"/>
        </w:rPr>
        <w:t> </w:t>
      </w:r>
      <w:r>
        <w:rPr/>
        <w:t>de</w:t>
      </w:r>
      <w:r>
        <w:rPr>
          <w:spacing w:val="-8"/>
        </w:rPr>
        <w:t> </w:t>
      </w:r>
      <w:r>
        <w:rPr/>
        <w:t>los</w:t>
      </w:r>
      <w:r>
        <w:rPr>
          <w:spacing w:val="-8"/>
        </w:rPr>
        <w:t> </w:t>
      </w:r>
      <w:r>
        <w:rPr/>
        <w:t>geosistemas</w:t>
      </w:r>
      <w:r>
        <w:rPr>
          <w:spacing w:val="-8"/>
        </w:rPr>
        <w:t> </w:t>
      </w:r>
      <w:r>
        <w:rPr/>
        <w:t>perturbadores</w:t>
      </w:r>
      <w:r>
        <w:rPr>
          <w:spacing w:val="-8"/>
        </w:rPr>
        <w:t> </w:t>
      </w:r>
      <w:r>
        <w:rPr/>
        <w:t>y</w:t>
      </w:r>
      <w:r>
        <w:rPr>
          <w:spacing w:val="-8"/>
        </w:rPr>
        <w:t> </w:t>
      </w:r>
      <w:r>
        <w:rPr/>
        <w:t>la</w:t>
      </w:r>
      <w:r>
        <w:rPr>
          <w:spacing w:val="-8"/>
        </w:rPr>
        <w:t> </w:t>
      </w:r>
      <w:r>
        <w:rPr/>
        <w:t>relación</w:t>
      </w:r>
      <w:r>
        <w:rPr>
          <w:spacing w:val="-8"/>
        </w:rPr>
        <w:t> </w:t>
      </w:r>
      <w:r>
        <w:rPr/>
        <w:t>que</w:t>
      </w:r>
      <w:r>
        <w:rPr>
          <w:spacing w:val="-8"/>
        </w:rPr>
        <w:t> </w:t>
      </w:r>
      <w:r>
        <w:rPr/>
        <w:t>estas</w:t>
      </w:r>
      <w:r>
        <w:rPr>
          <w:w w:val="99"/>
        </w:rPr>
        <w:t> </w:t>
      </w:r>
      <w:r>
        <w:rPr/>
        <w:t>dos variables poseen con la distribución de los asentamientos de la </w:t>
      </w:r>
      <w:r>
        <w:rPr>
          <w:spacing w:val="33"/>
        </w:rPr>
        <w:t> </w:t>
      </w:r>
      <w:r>
        <w:rPr/>
        <w:t>población.</w:t>
      </w:r>
    </w:p>
    <w:p>
      <w:pPr>
        <w:pStyle w:val="BodyText"/>
        <w:spacing w:before="11"/>
      </w:pPr>
    </w:p>
    <w:p>
      <w:pPr>
        <w:pStyle w:val="Heading3"/>
        <w:ind w:right="-7"/>
      </w:pPr>
      <w:r>
        <w:rPr/>
        <w:t>Desarrollo</w:t>
      </w:r>
    </w:p>
    <w:p>
      <w:pPr>
        <w:pStyle w:val="BodyText"/>
        <w:spacing w:before="8"/>
        <w:rPr>
          <w:b/>
          <w:sz w:val="21"/>
        </w:rPr>
      </w:pPr>
    </w:p>
    <w:p>
      <w:pPr>
        <w:pStyle w:val="BodyText"/>
        <w:spacing w:line="249" w:lineRule="auto"/>
        <w:ind w:left="130" w:firstLine="170"/>
        <w:jc w:val="both"/>
      </w:pPr>
      <w:r>
        <w:rPr/>
        <w:t>Los geosistemas perturbadores que se presentan con mayor frecuencia en la ciudad de Toluca son los relacionados con procesos de remoción en masa (caída de rocas, flujos, deslizamientos y creep, hundimientos), hidrometeorológicos (inundaciones temporales y desbordamiento de sistemas fluviales locales generados por lluvias de carácter torrencial); los colapsos de infraestructura debidos a la socavación lateral de los</w:t>
      </w:r>
      <w:r>
        <w:rPr>
          <w:spacing w:val="16"/>
        </w:rPr>
        <w:t> </w:t>
      </w:r>
      <w:r>
        <w:rPr/>
        <w:t>ríos</w:t>
      </w:r>
      <w:r>
        <w:rPr>
          <w:spacing w:val="16"/>
        </w:rPr>
        <w:t> </w:t>
      </w:r>
      <w:r>
        <w:rPr/>
        <w:t>y</w:t>
      </w:r>
      <w:r>
        <w:rPr>
          <w:spacing w:val="16"/>
        </w:rPr>
        <w:t> </w:t>
      </w:r>
      <w:r>
        <w:rPr/>
        <w:t>afluentes;</w:t>
      </w:r>
      <w:r>
        <w:rPr>
          <w:spacing w:val="16"/>
        </w:rPr>
        <w:t> </w:t>
      </w:r>
      <w:r>
        <w:rPr/>
        <w:t>así</w:t>
      </w:r>
      <w:r>
        <w:rPr>
          <w:spacing w:val="16"/>
        </w:rPr>
        <w:t> </w:t>
      </w:r>
      <w:r>
        <w:rPr/>
        <w:t>como</w:t>
      </w:r>
      <w:r>
        <w:rPr>
          <w:spacing w:val="16"/>
        </w:rPr>
        <w:t> </w:t>
      </w:r>
      <w:r>
        <w:rPr/>
        <w:t>riesgos</w:t>
      </w:r>
      <w:r>
        <w:rPr>
          <w:spacing w:val="16"/>
        </w:rPr>
        <w:t> </w:t>
      </w:r>
      <w:r>
        <w:rPr/>
        <w:t>de</w:t>
      </w:r>
      <w:r>
        <w:rPr>
          <w:spacing w:val="16"/>
        </w:rPr>
        <w:t> </w:t>
      </w:r>
      <w:r>
        <w:rPr/>
        <w:t>origen</w:t>
      </w:r>
      <w:r>
        <w:rPr>
          <w:spacing w:val="16"/>
        </w:rPr>
        <w:t> </w:t>
      </w:r>
      <w:r>
        <w:rPr/>
        <w:t>químico</w:t>
      </w:r>
      <w:r>
        <w:rPr>
          <w:spacing w:val="16"/>
        </w:rPr>
        <w:t> </w:t>
      </w:r>
      <w:r>
        <w:rPr/>
        <w:t>y</w:t>
      </w:r>
      <w:r>
        <w:rPr>
          <w:spacing w:val="16"/>
        </w:rPr>
        <w:t> </w:t>
      </w:r>
      <w:r>
        <w:rPr/>
        <w:t>sanitario</w:t>
      </w:r>
      <w:r>
        <w:rPr>
          <w:spacing w:val="16"/>
        </w:rPr>
        <w:t> </w:t>
      </w:r>
      <w:r>
        <w:rPr/>
        <w:t>que</w:t>
      </w:r>
      <w:r>
        <w:rPr>
          <w:spacing w:val="16"/>
        </w:rPr>
        <w:t> </w:t>
      </w:r>
      <w:r>
        <w:rPr/>
        <w:t>si</w:t>
      </w:r>
      <w:r>
        <w:rPr>
          <w:spacing w:val="16"/>
        </w:rPr>
        <w:t> </w:t>
      </w:r>
      <w:r>
        <w:rPr/>
        <w:t>bien</w:t>
      </w:r>
      <w:r>
        <w:rPr>
          <w:spacing w:val="16"/>
        </w:rPr>
        <w:t> </w:t>
      </w:r>
      <w:r>
        <w:rPr/>
        <w:t>están</w:t>
      </w:r>
      <w:r>
        <w:rPr>
          <w:w w:val="99"/>
        </w:rPr>
        <w:t> </w:t>
      </w:r>
      <w:r>
        <w:rPr/>
        <w:t>condicionados</w:t>
      </w:r>
      <w:r>
        <w:rPr>
          <w:spacing w:val="-5"/>
        </w:rPr>
        <w:t> </w:t>
      </w:r>
      <w:r>
        <w:rPr/>
        <w:t>a</w:t>
      </w:r>
      <w:r>
        <w:rPr>
          <w:spacing w:val="-5"/>
        </w:rPr>
        <w:t> </w:t>
      </w:r>
      <w:r>
        <w:rPr/>
        <w:t>una</w:t>
      </w:r>
      <w:r>
        <w:rPr>
          <w:spacing w:val="-5"/>
        </w:rPr>
        <w:t> </w:t>
      </w:r>
      <w:r>
        <w:rPr/>
        <w:t>tipología</w:t>
      </w:r>
      <w:r>
        <w:rPr>
          <w:spacing w:val="-5"/>
        </w:rPr>
        <w:t> </w:t>
      </w:r>
      <w:r>
        <w:rPr/>
        <w:t>de</w:t>
      </w:r>
      <w:r>
        <w:rPr>
          <w:spacing w:val="-5"/>
        </w:rPr>
        <w:t> </w:t>
      </w:r>
      <w:r>
        <w:rPr/>
        <w:t>origen</w:t>
      </w:r>
      <w:r>
        <w:rPr>
          <w:spacing w:val="-5"/>
        </w:rPr>
        <w:t> </w:t>
      </w:r>
      <w:r>
        <w:rPr/>
        <w:t>antrópica,</w:t>
      </w:r>
      <w:r>
        <w:rPr>
          <w:spacing w:val="-5"/>
        </w:rPr>
        <w:t> </w:t>
      </w:r>
      <w:r>
        <w:rPr/>
        <w:t>se</w:t>
      </w:r>
      <w:r>
        <w:rPr>
          <w:spacing w:val="-5"/>
        </w:rPr>
        <w:t> </w:t>
      </w:r>
      <w:r>
        <w:rPr/>
        <w:t>relacionan</w:t>
      </w:r>
      <w:r>
        <w:rPr>
          <w:spacing w:val="-5"/>
        </w:rPr>
        <w:t> </w:t>
      </w:r>
      <w:r>
        <w:rPr/>
        <w:t>de</w:t>
      </w:r>
      <w:r>
        <w:rPr>
          <w:spacing w:val="-5"/>
        </w:rPr>
        <w:t> </w:t>
      </w:r>
      <w:r>
        <w:rPr/>
        <w:t>manera</w:t>
      </w:r>
      <w:r>
        <w:rPr>
          <w:spacing w:val="-5"/>
        </w:rPr>
        <w:t> </w:t>
      </w:r>
      <w:r>
        <w:rPr/>
        <w:t>directa</w:t>
      </w:r>
      <w:r>
        <w:rPr>
          <w:spacing w:val="-5"/>
        </w:rPr>
        <w:t> </w:t>
      </w:r>
      <w:r>
        <w:rPr/>
        <w:t>con las formas del relieve predominante en la zona de</w:t>
      </w:r>
      <w:r>
        <w:rPr>
          <w:spacing w:val="19"/>
        </w:rPr>
        <w:t> </w:t>
      </w:r>
      <w:r>
        <w:rPr/>
        <w:t>estudio.</w:t>
      </w:r>
    </w:p>
    <w:p>
      <w:pPr>
        <w:pStyle w:val="BodyText"/>
        <w:spacing w:before="2"/>
        <w:rPr>
          <w:sz w:val="24"/>
        </w:rPr>
      </w:pPr>
    </w:p>
    <w:p>
      <w:pPr>
        <w:spacing w:line="312" w:lineRule="auto" w:before="0"/>
        <w:ind w:left="180" w:right="48" w:firstLine="0"/>
        <w:jc w:val="center"/>
        <w:rPr>
          <w:sz w:val="16"/>
        </w:rPr>
      </w:pPr>
      <w:r>
        <w:rPr>
          <w:color w:val="6D6E71"/>
          <w:sz w:val="16"/>
        </w:rPr>
        <w:t>En la tabla 1 se muestra un panorama general de la presencia de geosistemas perturbadores en la entidad</w:t>
      </w:r>
      <w:r>
        <w:rPr>
          <w:color w:val="6D6E71"/>
          <w:w w:val="102"/>
          <w:sz w:val="16"/>
        </w:rPr>
        <w:t> </w:t>
      </w:r>
      <w:r>
        <w:rPr>
          <w:color w:val="6D6E71"/>
          <w:sz w:val="16"/>
        </w:rPr>
        <w:t>y la afectación espacial que tienen.</w:t>
      </w:r>
    </w:p>
    <w:p>
      <w:pPr>
        <w:tabs>
          <w:tab w:pos="2149" w:val="left" w:leader="none"/>
          <w:tab w:pos="7806" w:val="left" w:leader="none"/>
        </w:tabs>
        <w:spacing w:before="70"/>
        <w:ind w:left="129" w:right="0" w:firstLine="0"/>
        <w:jc w:val="center"/>
        <w:rPr>
          <w:sz w:val="16"/>
        </w:rPr>
      </w:pPr>
      <w:r>
        <w:rPr>
          <w:w w:val="100"/>
          <w:sz w:val="16"/>
          <w:shd w:fill="929292" w:color="auto" w:val="clear"/>
        </w:rPr>
        <w:t> </w:t>
      </w:r>
      <w:r>
        <w:rPr>
          <w:sz w:val="16"/>
          <w:shd w:fill="929292" w:color="auto" w:val="clear"/>
        </w:rPr>
        <w:tab/>
        <w:t>Geosistemas perturbadores y afectación</w:t>
      </w:r>
      <w:r>
        <w:rPr>
          <w:spacing w:val="43"/>
          <w:sz w:val="16"/>
          <w:shd w:fill="929292" w:color="auto" w:val="clear"/>
        </w:rPr>
        <w:t> </w:t>
      </w:r>
      <w:r>
        <w:rPr>
          <w:sz w:val="16"/>
          <w:shd w:fill="929292" w:color="auto" w:val="clear"/>
        </w:rPr>
        <w:t>municipal</w:t>
        <w:tab/>
      </w:r>
    </w:p>
    <w:p>
      <w:pPr>
        <w:pStyle w:val="BodyText"/>
        <w:spacing w:before="8"/>
        <w:rPr>
          <w:sz w:val="3"/>
        </w:rPr>
      </w:pPr>
    </w:p>
    <w:tbl>
      <w:tblPr>
        <w:tblW w:w="0" w:type="auto"/>
        <w:jc w:val="left"/>
        <w:tblInd w:w="181" w:type="dxa"/>
        <w:tblBorders>
          <w:top w:val="dotted" w:sz="4" w:space="0" w:color="6D6E71"/>
          <w:left w:val="dotted" w:sz="4" w:space="0" w:color="6D6E71"/>
          <w:bottom w:val="dotted" w:sz="4" w:space="0" w:color="6D6E71"/>
          <w:right w:val="dotted" w:sz="4" w:space="0" w:color="6D6E71"/>
          <w:insideH w:val="dotted" w:sz="4" w:space="0" w:color="6D6E71"/>
          <w:insideV w:val="dotted" w:sz="4" w:space="0" w:color="6D6E71"/>
        </w:tblBorders>
        <w:tblLayout w:type="fixed"/>
        <w:tblCellMar>
          <w:top w:w="0" w:type="dxa"/>
          <w:left w:w="0" w:type="dxa"/>
          <w:bottom w:w="0" w:type="dxa"/>
          <w:right w:w="0" w:type="dxa"/>
        </w:tblCellMar>
        <w:tblLook w:val="01E0"/>
      </w:tblPr>
      <w:tblGrid>
        <w:gridCol w:w="2785"/>
        <w:gridCol w:w="2389"/>
        <w:gridCol w:w="2449"/>
      </w:tblGrid>
      <w:tr>
        <w:trPr>
          <w:trHeight w:val="351" w:hRule="exact"/>
        </w:trPr>
        <w:tc>
          <w:tcPr>
            <w:tcW w:w="2785" w:type="dxa"/>
            <w:tcBorders>
              <w:top w:val="nil"/>
              <w:left w:val="nil"/>
            </w:tcBorders>
          </w:tcPr>
          <w:p>
            <w:pPr>
              <w:pStyle w:val="TableParagraph"/>
              <w:spacing w:before="72"/>
              <w:ind w:left="449" w:right="477"/>
              <w:jc w:val="center"/>
              <w:rPr>
                <w:sz w:val="16"/>
              </w:rPr>
            </w:pPr>
            <w:r>
              <w:rPr>
                <w:w w:val="105"/>
                <w:sz w:val="16"/>
              </w:rPr>
              <w:t>Geosistema perturbador</w:t>
            </w:r>
          </w:p>
        </w:tc>
        <w:tc>
          <w:tcPr>
            <w:tcW w:w="2389" w:type="dxa"/>
            <w:tcBorders>
              <w:top w:val="nil"/>
            </w:tcBorders>
          </w:tcPr>
          <w:p>
            <w:pPr>
              <w:pStyle w:val="TableParagraph"/>
              <w:spacing w:before="72"/>
              <w:ind w:left="272" w:right="272"/>
              <w:jc w:val="center"/>
              <w:rPr>
                <w:sz w:val="16"/>
              </w:rPr>
            </w:pPr>
            <w:r>
              <w:rPr>
                <w:w w:val="105"/>
                <w:sz w:val="16"/>
              </w:rPr>
              <w:t>Delegaciones afectadas</w:t>
            </w:r>
          </w:p>
        </w:tc>
        <w:tc>
          <w:tcPr>
            <w:tcW w:w="2449" w:type="dxa"/>
            <w:vMerge w:val="restart"/>
            <w:tcBorders>
              <w:top w:val="nil"/>
              <w:right w:val="nil"/>
            </w:tcBorders>
          </w:tcPr>
          <w:p>
            <w:pPr>
              <w:pStyle w:val="TableParagraph"/>
              <w:spacing w:line="156" w:lineRule="exact"/>
              <w:ind w:left="14"/>
              <w:jc w:val="center"/>
              <w:rPr>
                <w:sz w:val="16"/>
              </w:rPr>
            </w:pPr>
            <w:r>
              <w:rPr>
                <w:w w:val="105"/>
                <w:sz w:val="16"/>
              </w:rPr>
              <w:t>Número de eventos</w:t>
            </w:r>
          </w:p>
          <w:p>
            <w:pPr>
              <w:pStyle w:val="TableParagraph"/>
              <w:tabs>
                <w:tab w:pos="811" w:val="left" w:leader="none"/>
                <w:tab w:pos="2444" w:val="left" w:leader="none"/>
              </w:tabs>
              <w:spacing w:before="16"/>
              <w:ind w:left="25"/>
              <w:jc w:val="center"/>
              <w:rPr>
                <w:sz w:val="16"/>
              </w:rPr>
            </w:pPr>
            <w:r>
              <w:rPr>
                <w:w w:val="100"/>
                <w:sz w:val="16"/>
                <w:u w:val="dotted" w:color="6D6E71"/>
              </w:rPr>
              <w:t> </w:t>
            </w:r>
            <w:r>
              <w:rPr>
                <w:sz w:val="16"/>
                <w:u w:val="dotted" w:color="6D6E71"/>
              </w:rPr>
              <w:tab/>
            </w:r>
            <w:r>
              <w:rPr>
                <w:w w:val="105"/>
                <w:sz w:val="16"/>
                <w:u w:val="dotted" w:color="6D6E71"/>
              </w:rPr>
              <w:t>registrados</w:t>
            </w:r>
            <w:r>
              <w:rPr>
                <w:sz w:val="16"/>
                <w:u w:val="dotted" w:color="6D6E71"/>
              </w:rPr>
              <w:tab/>
            </w:r>
          </w:p>
          <w:p>
            <w:pPr>
              <w:pStyle w:val="TableParagraph"/>
              <w:spacing w:before="71"/>
              <w:ind w:left="14"/>
              <w:jc w:val="center"/>
              <w:rPr>
                <w:sz w:val="16"/>
              </w:rPr>
            </w:pPr>
            <w:r>
              <w:rPr>
                <w:sz w:val="16"/>
              </w:rPr>
              <w:t>1,770</w:t>
            </w:r>
          </w:p>
        </w:tc>
      </w:tr>
      <w:tr>
        <w:trPr>
          <w:trHeight w:val="340" w:hRule="exact"/>
        </w:trPr>
        <w:tc>
          <w:tcPr>
            <w:tcW w:w="2785" w:type="dxa"/>
            <w:tcBorders>
              <w:left w:val="nil"/>
            </w:tcBorders>
          </w:tcPr>
          <w:p>
            <w:pPr>
              <w:pStyle w:val="TableParagraph"/>
              <w:spacing w:before="72"/>
              <w:ind w:left="449" w:right="477"/>
              <w:jc w:val="center"/>
              <w:rPr>
                <w:sz w:val="16"/>
              </w:rPr>
            </w:pPr>
            <w:r>
              <w:rPr>
                <w:sz w:val="16"/>
              </w:rPr>
              <w:t>Remoción en masa</w:t>
            </w:r>
          </w:p>
        </w:tc>
        <w:tc>
          <w:tcPr>
            <w:tcW w:w="2389" w:type="dxa"/>
          </w:tcPr>
          <w:p>
            <w:pPr>
              <w:pStyle w:val="TableParagraph"/>
              <w:spacing w:before="72"/>
              <w:ind w:left="272" w:right="272"/>
              <w:jc w:val="center"/>
              <w:rPr>
                <w:sz w:val="16"/>
              </w:rPr>
            </w:pPr>
            <w:r>
              <w:rPr>
                <w:sz w:val="16"/>
              </w:rPr>
              <w:t>18</w:t>
            </w:r>
          </w:p>
        </w:tc>
        <w:tc>
          <w:tcPr>
            <w:tcW w:w="2449" w:type="dxa"/>
            <w:vMerge/>
            <w:tcBorders>
              <w:right w:val="nil"/>
            </w:tcBorders>
          </w:tcPr>
          <w:p>
            <w:pPr/>
          </w:p>
        </w:tc>
      </w:tr>
      <w:tr>
        <w:trPr>
          <w:trHeight w:val="240" w:hRule="exact"/>
        </w:trPr>
        <w:tc>
          <w:tcPr>
            <w:tcW w:w="2785" w:type="dxa"/>
            <w:tcBorders>
              <w:left w:val="nil"/>
            </w:tcBorders>
          </w:tcPr>
          <w:p>
            <w:pPr>
              <w:pStyle w:val="TableParagraph"/>
              <w:spacing w:before="22"/>
              <w:ind w:left="449" w:right="477"/>
              <w:jc w:val="center"/>
              <w:rPr>
                <w:sz w:val="16"/>
              </w:rPr>
            </w:pPr>
            <w:r>
              <w:rPr>
                <w:sz w:val="16"/>
              </w:rPr>
              <w:t>Hidrometeorológicos</w:t>
            </w:r>
          </w:p>
        </w:tc>
        <w:tc>
          <w:tcPr>
            <w:tcW w:w="2389" w:type="dxa"/>
          </w:tcPr>
          <w:p>
            <w:pPr>
              <w:pStyle w:val="TableParagraph"/>
              <w:spacing w:before="22"/>
              <w:ind w:left="272" w:right="272"/>
              <w:jc w:val="center"/>
              <w:rPr>
                <w:sz w:val="16"/>
              </w:rPr>
            </w:pPr>
            <w:r>
              <w:rPr>
                <w:sz w:val="16"/>
              </w:rPr>
              <w:t>29</w:t>
            </w:r>
          </w:p>
        </w:tc>
        <w:tc>
          <w:tcPr>
            <w:tcW w:w="2449" w:type="dxa"/>
            <w:tcBorders>
              <w:right w:val="nil"/>
            </w:tcBorders>
          </w:tcPr>
          <w:p>
            <w:pPr>
              <w:pStyle w:val="TableParagraph"/>
              <w:spacing w:before="22"/>
              <w:ind w:left="14"/>
              <w:jc w:val="center"/>
              <w:rPr>
                <w:sz w:val="16"/>
              </w:rPr>
            </w:pPr>
            <w:r>
              <w:rPr>
                <w:sz w:val="16"/>
              </w:rPr>
              <w:t>1,684</w:t>
            </w:r>
          </w:p>
        </w:tc>
      </w:tr>
      <w:tr>
        <w:trPr>
          <w:trHeight w:val="342" w:hRule="exact"/>
        </w:trPr>
        <w:tc>
          <w:tcPr>
            <w:tcW w:w="2785" w:type="dxa"/>
            <w:tcBorders>
              <w:left w:val="nil"/>
              <w:bottom w:val="nil"/>
            </w:tcBorders>
          </w:tcPr>
          <w:p>
            <w:pPr>
              <w:pStyle w:val="TableParagraph"/>
              <w:tabs>
                <w:tab w:pos="384" w:val="left" w:leader="none"/>
                <w:tab w:pos="2769" w:val="left" w:leader="none"/>
              </w:tabs>
              <w:spacing w:line="171" w:lineRule="exact"/>
              <w:rPr>
                <w:sz w:val="16"/>
              </w:rPr>
            </w:pPr>
            <w:r>
              <w:rPr>
                <w:w w:val="100"/>
                <w:sz w:val="16"/>
                <w:u w:val="dotted" w:color="6D6E71"/>
              </w:rPr>
              <w:t> </w:t>
            </w:r>
            <w:r>
              <w:rPr>
                <w:sz w:val="16"/>
                <w:u w:val="dotted" w:color="6D6E71"/>
              </w:rPr>
              <w:tab/>
              <w:t>Colapsos de</w:t>
            </w:r>
            <w:r>
              <w:rPr>
                <w:spacing w:val="22"/>
                <w:sz w:val="16"/>
                <w:u w:val="dotted" w:color="6D6E71"/>
              </w:rPr>
              <w:t> </w:t>
            </w:r>
            <w:r>
              <w:rPr>
                <w:sz w:val="16"/>
                <w:u w:val="dotted" w:color="6D6E71"/>
              </w:rPr>
              <w:t>infraestructura</w:t>
              <w:tab/>
            </w:r>
          </w:p>
          <w:p>
            <w:pPr>
              <w:pStyle w:val="TableParagraph"/>
              <w:tabs>
                <w:tab w:pos="608" w:val="left" w:leader="none"/>
                <w:tab w:pos="2769" w:val="left" w:leader="none"/>
              </w:tabs>
              <w:spacing w:before="20"/>
              <w:rPr>
                <w:sz w:val="16"/>
              </w:rPr>
            </w:pPr>
            <w:r>
              <w:rPr>
                <w:w w:val="100"/>
                <w:sz w:val="16"/>
                <w:u w:val="dotted" w:color="929292"/>
              </w:rPr>
              <w:t> </w:t>
            </w:r>
            <w:r>
              <w:rPr>
                <w:sz w:val="16"/>
                <w:u w:val="dotted" w:color="929292"/>
              </w:rPr>
              <w:tab/>
              <w:t>Químicos y</w:t>
            </w:r>
            <w:r>
              <w:rPr>
                <w:spacing w:val="2"/>
                <w:sz w:val="16"/>
                <w:u w:val="dotted" w:color="929292"/>
              </w:rPr>
              <w:t> </w:t>
            </w:r>
            <w:r>
              <w:rPr>
                <w:sz w:val="16"/>
                <w:u w:val="dotted" w:color="929292"/>
              </w:rPr>
              <w:t>sanitarios</w:t>
              <w:tab/>
            </w:r>
          </w:p>
        </w:tc>
        <w:tc>
          <w:tcPr>
            <w:tcW w:w="2389" w:type="dxa"/>
            <w:tcBorders>
              <w:bottom w:val="nil"/>
            </w:tcBorders>
          </w:tcPr>
          <w:p>
            <w:pPr>
              <w:pStyle w:val="TableParagraph"/>
              <w:tabs>
                <w:tab w:pos="1144" w:val="left" w:leader="none"/>
                <w:tab w:pos="2368" w:val="left" w:leader="none"/>
              </w:tabs>
              <w:spacing w:line="171" w:lineRule="exact"/>
              <w:ind w:left="24"/>
              <w:rPr>
                <w:sz w:val="16"/>
              </w:rPr>
            </w:pPr>
            <w:r>
              <w:rPr>
                <w:w w:val="100"/>
                <w:sz w:val="16"/>
                <w:u w:val="dotted" w:color="6D6E71"/>
              </w:rPr>
              <w:t> </w:t>
            </w:r>
            <w:r>
              <w:rPr>
                <w:sz w:val="16"/>
                <w:u w:val="dotted" w:color="6D6E71"/>
              </w:rPr>
              <w:tab/>
              <w:t>6</w:t>
              <w:tab/>
            </w:r>
          </w:p>
          <w:p>
            <w:pPr>
              <w:pStyle w:val="TableParagraph"/>
              <w:tabs>
                <w:tab w:pos="1099" w:val="left" w:leader="none"/>
                <w:tab w:pos="2368" w:val="left" w:leader="none"/>
              </w:tabs>
              <w:spacing w:before="20"/>
              <w:ind w:left="24"/>
              <w:rPr>
                <w:sz w:val="16"/>
              </w:rPr>
            </w:pPr>
            <w:r>
              <w:rPr>
                <w:w w:val="100"/>
                <w:sz w:val="16"/>
                <w:u w:val="dotted" w:color="929292"/>
              </w:rPr>
              <w:t> </w:t>
            </w:r>
            <w:r>
              <w:rPr>
                <w:sz w:val="16"/>
                <w:u w:val="dotted" w:color="929292"/>
              </w:rPr>
              <w:tab/>
              <w:t>48</w:t>
              <w:tab/>
            </w:r>
          </w:p>
        </w:tc>
        <w:tc>
          <w:tcPr>
            <w:tcW w:w="2449" w:type="dxa"/>
            <w:tcBorders>
              <w:bottom w:val="nil"/>
              <w:right w:val="nil"/>
            </w:tcBorders>
          </w:tcPr>
          <w:p>
            <w:pPr>
              <w:pStyle w:val="TableParagraph"/>
              <w:tabs>
                <w:tab w:pos="1140" w:val="left" w:leader="none"/>
                <w:tab w:pos="2444" w:val="left" w:leader="none"/>
              </w:tabs>
              <w:spacing w:line="171" w:lineRule="exact"/>
              <w:ind w:left="25"/>
              <w:rPr>
                <w:sz w:val="16"/>
              </w:rPr>
            </w:pPr>
            <w:r>
              <w:rPr>
                <w:w w:val="100"/>
                <w:sz w:val="16"/>
                <w:u w:val="dotted" w:color="6D6E71"/>
              </w:rPr>
              <w:t> </w:t>
            </w:r>
            <w:r>
              <w:rPr>
                <w:sz w:val="16"/>
                <w:u w:val="dotted" w:color="6D6E71"/>
              </w:rPr>
              <w:tab/>
              <w:t>44</w:t>
              <w:tab/>
            </w:r>
          </w:p>
          <w:p>
            <w:pPr>
              <w:pStyle w:val="TableParagraph"/>
              <w:tabs>
                <w:tab w:pos="1029" w:val="left" w:leader="none"/>
                <w:tab w:pos="2444" w:val="left" w:leader="none"/>
              </w:tabs>
              <w:spacing w:before="20"/>
              <w:ind w:left="25"/>
              <w:rPr>
                <w:sz w:val="16"/>
              </w:rPr>
            </w:pPr>
            <w:r>
              <w:rPr>
                <w:w w:val="100"/>
                <w:sz w:val="16"/>
                <w:u w:val="dotted" w:color="929292"/>
              </w:rPr>
              <w:t> </w:t>
            </w:r>
            <w:r>
              <w:rPr>
                <w:sz w:val="16"/>
                <w:u w:val="dotted" w:color="929292"/>
              </w:rPr>
              <w:tab/>
              <w:t>3,879</w:t>
              <w:tab/>
            </w:r>
          </w:p>
        </w:tc>
      </w:tr>
    </w:tbl>
    <w:p>
      <w:pPr>
        <w:spacing w:line="312" w:lineRule="auto" w:before="114"/>
        <w:ind w:left="203" w:right="73" w:firstLine="52"/>
        <w:jc w:val="both"/>
        <w:rPr>
          <w:sz w:val="16"/>
        </w:rPr>
      </w:pPr>
      <w:r>
        <w:rPr>
          <w:color w:val="6D6E71"/>
          <w:sz w:val="16"/>
        </w:rPr>
        <w:t>Tabla 1. Distribución general de geosistemas perturbadores con relación a las delegaciones municipales afectadas. Se debe considerar que el total de delegaciones en el municipio “Educador” de Toluca son   32.</w:t>
      </w:r>
    </w:p>
    <w:p>
      <w:pPr>
        <w:spacing w:before="2"/>
        <w:ind w:left="128" w:right="0" w:firstLine="0"/>
        <w:jc w:val="center"/>
        <w:rPr>
          <w:sz w:val="16"/>
        </w:rPr>
      </w:pPr>
      <w:r>
        <w:rPr>
          <w:color w:val="6D6E71"/>
          <w:sz w:val="16"/>
        </w:rPr>
        <w:t>Fuente: Elaboración propia con base en el Atlas municipal de riesgos 2013-2015.</w:t>
      </w:r>
    </w:p>
    <w:p>
      <w:pPr>
        <w:pStyle w:val="BodyText"/>
        <w:spacing w:before="5"/>
        <w:rPr>
          <w:sz w:val="22"/>
        </w:rPr>
      </w:pPr>
    </w:p>
    <w:p>
      <w:pPr>
        <w:pStyle w:val="BodyText"/>
        <w:spacing w:line="249" w:lineRule="auto"/>
        <w:ind w:left="130" w:firstLine="170"/>
        <w:jc w:val="both"/>
      </w:pPr>
      <w:r>
        <w:rPr/>
        <w:t>Cabe destacar que los geosistemas referidos en líneas anteriores son los que se muestra con mayor incidencia, la frecuencia con la que se presentan los hace</w:t>
      </w:r>
      <w:r>
        <w:rPr>
          <w:spacing w:val="-30"/>
        </w:rPr>
        <w:t> </w:t>
      </w:r>
      <w:r>
        <w:rPr/>
        <w:t>aparecer como</w:t>
      </w:r>
      <w:r>
        <w:rPr>
          <w:spacing w:val="17"/>
        </w:rPr>
        <w:t> </w:t>
      </w:r>
      <w:r>
        <w:rPr/>
        <w:t>los</w:t>
      </w:r>
      <w:r>
        <w:rPr>
          <w:spacing w:val="17"/>
        </w:rPr>
        <w:t> </w:t>
      </w:r>
      <w:r>
        <w:rPr/>
        <w:t>más</w:t>
      </w:r>
      <w:r>
        <w:rPr>
          <w:spacing w:val="17"/>
        </w:rPr>
        <w:t> </w:t>
      </w:r>
      <w:r>
        <w:rPr/>
        <w:t>importantes</w:t>
      </w:r>
      <w:r>
        <w:rPr>
          <w:spacing w:val="17"/>
        </w:rPr>
        <w:t> </w:t>
      </w:r>
      <w:r>
        <w:rPr/>
        <w:t>desde</w:t>
      </w:r>
      <w:r>
        <w:rPr>
          <w:spacing w:val="17"/>
        </w:rPr>
        <w:t> </w:t>
      </w:r>
      <w:r>
        <w:rPr/>
        <w:t>la</w:t>
      </w:r>
      <w:r>
        <w:rPr>
          <w:spacing w:val="17"/>
        </w:rPr>
        <w:t> </w:t>
      </w:r>
      <w:r>
        <w:rPr/>
        <w:t>perspectiva</w:t>
      </w:r>
      <w:r>
        <w:rPr>
          <w:spacing w:val="17"/>
        </w:rPr>
        <w:t> </w:t>
      </w:r>
      <w:r>
        <w:rPr/>
        <w:t>de</w:t>
      </w:r>
      <w:r>
        <w:rPr>
          <w:spacing w:val="17"/>
        </w:rPr>
        <w:t> </w:t>
      </w:r>
      <w:r>
        <w:rPr/>
        <w:t>la</w:t>
      </w:r>
      <w:r>
        <w:rPr>
          <w:spacing w:val="17"/>
        </w:rPr>
        <w:t> </w:t>
      </w:r>
      <w:r>
        <w:rPr/>
        <w:t>afectación</w:t>
      </w:r>
      <w:r>
        <w:rPr>
          <w:spacing w:val="17"/>
        </w:rPr>
        <w:t> </w:t>
      </w:r>
      <w:r>
        <w:rPr/>
        <w:t>directa</w:t>
      </w:r>
      <w:r>
        <w:rPr>
          <w:spacing w:val="17"/>
        </w:rPr>
        <w:t> </w:t>
      </w:r>
      <w:r>
        <w:rPr/>
        <w:t>o</w:t>
      </w:r>
      <w:r>
        <w:rPr>
          <w:spacing w:val="17"/>
        </w:rPr>
        <w:t> </w:t>
      </w:r>
      <w:r>
        <w:rPr/>
        <w:t>indirecta</w:t>
      </w:r>
      <w:r>
        <w:rPr>
          <w:spacing w:val="17"/>
        </w:rPr>
        <w:t> </w:t>
      </w:r>
      <w:r>
        <w:rPr/>
        <w:t>a</w:t>
      </w:r>
      <w:r>
        <w:rPr>
          <w:w w:val="96"/>
        </w:rPr>
        <w:t> </w:t>
      </w:r>
      <w:r>
        <w:rPr/>
        <w:t>personas</w:t>
      </w:r>
      <w:r>
        <w:rPr>
          <w:spacing w:val="-5"/>
        </w:rPr>
        <w:t> </w:t>
      </w:r>
      <w:r>
        <w:rPr/>
        <w:t>y</w:t>
      </w:r>
      <w:r>
        <w:rPr>
          <w:spacing w:val="-5"/>
        </w:rPr>
        <w:t> </w:t>
      </w:r>
      <w:r>
        <w:rPr/>
        <w:t>predios;</w:t>
      </w:r>
      <w:r>
        <w:rPr>
          <w:spacing w:val="-5"/>
        </w:rPr>
        <w:t> </w:t>
      </w:r>
      <w:r>
        <w:rPr/>
        <w:t>sin</w:t>
      </w:r>
      <w:r>
        <w:rPr>
          <w:spacing w:val="-5"/>
        </w:rPr>
        <w:t> </w:t>
      </w:r>
      <w:r>
        <w:rPr/>
        <w:t>embargo</w:t>
      </w:r>
      <w:r>
        <w:rPr>
          <w:spacing w:val="-5"/>
        </w:rPr>
        <w:t> </w:t>
      </w:r>
      <w:r>
        <w:rPr/>
        <w:t>ello</w:t>
      </w:r>
      <w:r>
        <w:rPr>
          <w:spacing w:val="-5"/>
        </w:rPr>
        <w:t> </w:t>
      </w:r>
      <w:r>
        <w:rPr/>
        <w:t>no</w:t>
      </w:r>
      <w:r>
        <w:rPr>
          <w:spacing w:val="-5"/>
        </w:rPr>
        <w:t> </w:t>
      </w:r>
      <w:r>
        <w:rPr/>
        <w:t>exime</w:t>
      </w:r>
      <w:r>
        <w:rPr>
          <w:spacing w:val="-5"/>
        </w:rPr>
        <w:t> </w:t>
      </w:r>
      <w:r>
        <w:rPr/>
        <w:t>a</w:t>
      </w:r>
      <w:r>
        <w:rPr>
          <w:spacing w:val="-5"/>
        </w:rPr>
        <w:t> </w:t>
      </w:r>
      <w:r>
        <w:rPr/>
        <w:t>la</w:t>
      </w:r>
      <w:r>
        <w:rPr>
          <w:spacing w:val="-5"/>
        </w:rPr>
        <w:t> </w:t>
      </w:r>
      <w:r>
        <w:rPr/>
        <w:t>ocurrencia</w:t>
      </w:r>
      <w:r>
        <w:rPr>
          <w:spacing w:val="-5"/>
        </w:rPr>
        <w:t> </w:t>
      </w:r>
      <w:r>
        <w:rPr/>
        <w:t>de</w:t>
      </w:r>
      <w:r>
        <w:rPr>
          <w:spacing w:val="-5"/>
        </w:rPr>
        <w:t> </w:t>
      </w:r>
      <w:r>
        <w:rPr/>
        <w:t>otros</w:t>
      </w:r>
      <w:r>
        <w:rPr>
          <w:spacing w:val="-5"/>
        </w:rPr>
        <w:t> </w:t>
      </w:r>
      <w:r>
        <w:rPr/>
        <w:t>que</w:t>
      </w:r>
      <w:r>
        <w:rPr>
          <w:spacing w:val="-5"/>
        </w:rPr>
        <w:t> </w:t>
      </w:r>
      <w:r>
        <w:rPr/>
        <w:t>poseen</w:t>
      </w:r>
      <w:r>
        <w:rPr>
          <w:spacing w:val="-5"/>
        </w:rPr>
        <w:t> </w:t>
      </w:r>
      <w:r>
        <w:rPr/>
        <w:t>una tipología diferente como es el caso de la sismicidad o la dinámica regional y local de fallas geológicas entre</w:t>
      </w:r>
      <w:r>
        <w:rPr>
          <w:spacing w:val="24"/>
        </w:rPr>
        <w:t> </w:t>
      </w:r>
      <w:r>
        <w:rPr/>
        <w:t>otros.</w:t>
      </w:r>
    </w:p>
    <w:p>
      <w:pPr>
        <w:pStyle w:val="BodyText"/>
        <w:spacing w:before="11"/>
      </w:pPr>
    </w:p>
    <w:p>
      <w:pPr>
        <w:pStyle w:val="BodyText"/>
        <w:spacing w:line="249" w:lineRule="auto"/>
        <w:ind w:left="130" w:firstLine="170"/>
        <w:jc w:val="both"/>
      </w:pPr>
      <w:r>
        <w:rPr/>
        <w:t>La remoción en masa se presenta en las unidades geomorfológicas conformadas por sistemas de laderas con morfología cóncava, recta y convexa en los territorios que conforman al Cerro de Coatepec en donde se encuentra Ciudad Universitaria de la UAEMex,</w:t>
      </w:r>
      <w:r>
        <w:rPr>
          <w:spacing w:val="-4"/>
        </w:rPr>
        <w:t> </w:t>
      </w:r>
      <w:r>
        <w:rPr/>
        <w:t>en</w:t>
      </w:r>
      <w:r>
        <w:rPr>
          <w:spacing w:val="-4"/>
        </w:rPr>
        <w:t> </w:t>
      </w:r>
      <w:r>
        <w:rPr/>
        <w:t>el</w:t>
      </w:r>
      <w:r>
        <w:rPr>
          <w:spacing w:val="-4"/>
        </w:rPr>
        <w:t> </w:t>
      </w:r>
      <w:r>
        <w:rPr/>
        <w:t>Cerro</w:t>
      </w:r>
      <w:r>
        <w:rPr>
          <w:spacing w:val="-4"/>
        </w:rPr>
        <w:t> </w:t>
      </w:r>
      <w:r>
        <w:rPr/>
        <w:t>del</w:t>
      </w:r>
      <w:r>
        <w:rPr>
          <w:spacing w:val="-4"/>
        </w:rPr>
        <w:t> </w:t>
      </w:r>
      <w:r>
        <w:rPr/>
        <w:t>Calvario</w:t>
      </w:r>
      <w:r>
        <w:rPr>
          <w:spacing w:val="-4"/>
        </w:rPr>
        <w:t> </w:t>
      </w:r>
      <w:r>
        <w:rPr/>
        <w:t>localizado</w:t>
      </w:r>
      <w:r>
        <w:rPr>
          <w:spacing w:val="-4"/>
        </w:rPr>
        <w:t> </w:t>
      </w:r>
      <w:r>
        <w:rPr/>
        <w:t>en</w:t>
      </w:r>
      <w:r>
        <w:rPr>
          <w:spacing w:val="-4"/>
        </w:rPr>
        <w:t> </w:t>
      </w:r>
      <w:r>
        <w:rPr/>
        <w:t>el</w:t>
      </w:r>
      <w:r>
        <w:rPr>
          <w:spacing w:val="-4"/>
        </w:rPr>
        <w:t> </w:t>
      </w:r>
      <w:r>
        <w:rPr/>
        <w:t>sector</w:t>
      </w:r>
      <w:r>
        <w:rPr>
          <w:spacing w:val="-4"/>
        </w:rPr>
        <w:t> </w:t>
      </w:r>
      <w:r>
        <w:rPr/>
        <w:t>centro-occidental</w:t>
      </w:r>
      <w:r>
        <w:rPr>
          <w:spacing w:val="-4"/>
        </w:rPr>
        <w:t> </w:t>
      </w:r>
      <w:r>
        <w:rPr/>
        <w:t>de</w:t>
      </w:r>
      <w:r>
        <w:rPr>
          <w:spacing w:val="-4"/>
        </w:rPr>
        <w:t> </w:t>
      </w:r>
      <w:r>
        <w:rPr/>
        <w:t>la</w:t>
      </w:r>
      <w:r>
        <w:rPr>
          <w:spacing w:val="-4"/>
        </w:rPr>
        <w:t> </w:t>
      </w:r>
      <w:r>
        <w:rPr/>
        <w:t>ciudad y en la unidad más extensa que comprende a los cerros de la Teresona y Santiago Miltepec (Figura</w:t>
      </w:r>
      <w:r>
        <w:rPr>
          <w:spacing w:val="-16"/>
        </w:rPr>
        <w:t> </w:t>
      </w:r>
      <w:r>
        <w:rPr/>
        <w:t>2).</w:t>
      </w:r>
    </w:p>
    <w:p>
      <w:pPr>
        <w:pStyle w:val="BodyText"/>
        <w:spacing w:before="5" w:after="39"/>
        <w:rPr>
          <w:sz w:val="28"/>
        </w:rPr>
      </w:pPr>
      <w:r>
        <w:rPr/>
        <w:br w:type="column"/>
      </w:r>
      <w:r>
        <w:rPr>
          <w:sz w:val="28"/>
        </w:rPr>
      </w:r>
    </w:p>
    <w:p>
      <w:pPr>
        <w:pStyle w:val="BodyText"/>
        <w:ind w:left="130"/>
      </w:pPr>
      <w:r>
        <w:rPr/>
        <w:drawing>
          <wp:inline distT="0" distB="0" distL="0" distR="0">
            <wp:extent cx="5000660" cy="2857214"/>
            <wp:effectExtent l="0" t="0" r="0" b="0"/>
            <wp:docPr id="39" name="image38.jpeg" descr=""/>
            <wp:cNvGraphicFramePr>
              <a:graphicFrameLocks noChangeAspect="1"/>
            </wp:cNvGraphicFramePr>
            <a:graphic>
              <a:graphicData uri="http://schemas.openxmlformats.org/drawingml/2006/picture">
                <pic:pic>
                  <pic:nvPicPr>
                    <pic:cNvPr id="40" name="image38.jpeg"/>
                    <pic:cNvPicPr/>
                  </pic:nvPicPr>
                  <pic:blipFill>
                    <a:blip r:embed="rId149" cstate="print"/>
                    <a:stretch>
                      <a:fillRect/>
                    </a:stretch>
                  </pic:blipFill>
                  <pic:spPr>
                    <a:xfrm>
                      <a:off x="0" y="0"/>
                      <a:ext cx="5000660" cy="2857214"/>
                    </a:xfrm>
                    <a:prstGeom prst="rect">
                      <a:avLst/>
                    </a:prstGeom>
                  </pic:spPr>
                </pic:pic>
              </a:graphicData>
            </a:graphic>
          </wp:inline>
        </w:drawing>
      </w:r>
      <w:r>
        <w:rPr/>
      </w:r>
    </w:p>
    <w:p>
      <w:pPr>
        <w:spacing w:line="312" w:lineRule="auto" w:before="78"/>
        <w:ind w:left="2710" w:right="49" w:hanging="2385"/>
        <w:jc w:val="left"/>
        <w:rPr>
          <w:sz w:val="16"/>
        </w:rPr>
      </w:pPr>
      <w:r>
        <w:rPr>
          <w:color w:val="6D6E71"/>
          <w:sz w:val="16"/>
        </w:rPr>
        <w:t>Figura 2. Unidades geomorfológicas de montaña con sistemas de ladera y piedemonte. Fuente: Elabora- ción propia con base en INEGI, 2015.</w:t>
      </w:r>
    </w:p>
    <w:p>
      <w:pPr>
        <w:pStyle w:val="BodyText"/>
        <w:spacing w:before="9"/>
        <w:rPr>
          <w:sz w:val="17"/>
        </w:rPr>
      </w:pPr>
    </w:p>
    <w:p>
      <w:pPr>
        <w:pStyle w:val="BodyText"/>
        <w:spacing w:line="249" w:lineRule="auto"/>
        <w:ind w:left="193" w:right="167" w:firstLine="170"/>
        <w:jc w:val="both"/>
      </w:pPr>
      <w:r>
        <w:rPr/>
        <w:t>En estos casos, el sustrato geológico se encuentra conformado por materiales volcánicos intermedios formados por flujos lávicos y depósitos volcanoclásticos intermedios que presentan diaclasamientos y fracturas expuestas. La pendiente general del terreno oscila en gradientes que van de 6</w:t>
      </w:r>
      <w:r>
        <w:rPr>
          <w:position w:val="7"/>
          <w:sz w:val="11"/>
        </w:rPr>
        <w:t>0 </w:t>
      </w:r>
      <w:r>
        <w:rPr/>
        <w:t>a 15</w:t>
      </w:r>
      <w:r>
        <w:rPr>
          <w:position w:val="7"/>
          <w:sz w:val="11"/>
        </w:rPr>
        <w:t>0</w:t>
      </w:r>
      <w:r>
        <w:rPr/>
        <w:t>; de 15</w:t>
      </w:r>
      <w:r>
        <w:rPr>
          <w:position w:val="7"/>
          <w:sz w:val="11"/>
        </w:rPr>
        <w:t>0  </w:t>
      </w:r>
      <w:r>
        <w:rPr/>
        <w:t>a 30</w:t>
      </w:r>
      <w:r>
        <w:rPr>
          <w:position w:val="7"/>
          <w:sz w:val="11"/>
        </w:rPr>
        <w:t>0</w:t>
      </w:r>
      <w:r>
        <w:rPr/>
        <w:t>, de 30</w:t>
      </w:r>
      <w:r>
        <w:rPr>
          <w:position w:val="7"/>
          <w:sz w:val="11"/>
        </w:rPr>
        <w:t>0  </w:t>
      </w:r>
      <w:r>
        <w:rPr/>
        <w:t>a 45</w:t>
      </w:r>
      <w:r>
        <w:rPr>
          <w:position w:val="7"/>
          <w:sz w:val="11"/>
        </w:rPr>
        <w:t>0 </w:t>
      </w:r>
      <w:r>
        <w:rPr/>
        <w:t>y superiores a 45</w:t>
      </w:r>
      <w:r>
        <w:rPr>
          <w:position w:val="7"/>
          <w:sz w:val="11"/>
        </w:rPr>
        <w:t>0 </w:t>
      </w:r>
      <w:r>
        <w:rPr/>
        <w:t>en donde se desarrollan movimientos de suelo de flujo lento, </w:t>
      </w:r>
      <w:r>
        <w:rPr>
          <w:i/>
        </w:rPr>
        <w:t>creep  </w:t>
      </w:r>
      <w:r>
        <w:rPr/>
        <w:t>o reptación y flujos en el segundo caso, deslizamientos en el tercer parámetro y caída libre de rocas de forma respectiva. La Tabla 2 da cuenta de la clasificación del tipo    de proceso de remoción en masa y las delegaciones en donde se desarrolla (versus ocupación</w:t>
      </w:r>
      <w:r>
        <w:rPr>
          <w:spacing w:val="21"/>
        </w:rPr>
        <w:t> </w:t>
      </w:r>
      <w:r>
        <w:rPr/>
        <w:t>territorial).</w:t>
      </w:r>
    </w:p>
    <w:p>
      <w:pPr>
        <w:spacing w:after="0" w:line="249" w:lineRule="auto"/>
        <w:jc w:val="both"/>
        <w:sectPr>
          <w:footerReference w:type="default" r:id="rId148"/>
          <w:pgSz w:w="18830" w:h="12760" w:orient="landscape"/>
          <w:pgMar w:footer="1036" w:header="522" w:top="820" w:bottom="1220" w:left="720" w:right="680"/>
          <w:cols w:num="2" w:equalWidth="0">
            <w:col w:w="7842" w:space="1505"/>
            <w:col w:w="8083"/>
          </w:cols>
        </w:sectPr>
      </w:pPr>
    </w:p>
    <w:p>
      <w:pPr>
        <w:pStyle w:val="BodyText"/>
        <w:spacing w:before="6"/>
        <w:rPr>
          <w:sz w:val="23"/>
        </w:rPr>
      </w:pPr>
    </w:p>
    <w:p>
      <w:pPr>
        <w:spacing w:after="0"/>
        <w:rPr>
          <w:sz w:val="23"/>
        </w:rPr>
        <w:sectPr>
          <w:headerReference w:type="default" r:id="rId150"/>
          <w:footerReference w:type="default" r:id="rId151"/>
          <w:pgSz w:w="18830" w:h="12760" w:orient="landscape"/>
          <w:pgMar w:header="522" w:footer="1036" w:top="820" w:bottom="1220" w:left="480" w:right="720"/>
        </w:sectPr>
      </w:pPr>
    </w:p>
    <w:p>
      <w:pPr>
        <w:spacing w:before="114"/>
        <w:ind w:left="369" w:right="0" w:firstLine="0"/>
        <w:jc w:val="center"/>
        <w:rPr>
          <w:sz w:val="16"/>
        </w:rPr>
      </w:pPr>
      <w:r>
        <w:rPr>
          <w:color w:val="6D6E71"/>
          <w:sz w:val="16"/>
        </w:rPr>
        <w:t>Tabla 2. Clasificación de los sistemas de remoción en masa y zonas de distribución  espacial.</w:t>
      </w:r>
    </w:p>
    <w:p>
      <w:pPr>
        <w:tabs>
          <w:tab w:pos="2695" w:val="left" w:leader="none"/>
          <w:tab w:pos="7993" w:val="left" w:leader="none"/>
        </w:tabs>
        <w:spacing w:before="123"/>
        <w:ind w:left="369" w:right="0" w:firstLine="0"/>
        <w:jc w:val="center"/>
        <w:rPr>
          <w:sz w:val="16"/>
        </w:rPr>
      </w:pPr>
      <w:r>
        <w:rPr>
          <w:w w:val="100"/>
          <w:sz w:val="16"/>
          <w:shd w:fill="929292" w:color="auto" w:val="clear"/>
        </w:rPr>
        <w:t> </w:t>
      </w:r>
      <w:r>
        <w:rPr>
          <w:sz w:val="16"/>
          <w:shd w:fill="929292" w:color="auto" w:val="clear"/>
        </w:rPr>
        <w:tab/>
        <w:t>Remoción en masa y ocupación</w:t>
      </w:r>
      <w:r>
        <w:rPr>
          <w:spacing w:val="28"/>
          <w:sz w:val="16"/>
          <w:shd w:fill="929292" w:color="auto" w:val="clear"/>
        </w:rPr>
        <w:t> </w:t>
      </w:r>
      <w:r>
        <w:rPr>
          <w:sz w:val="16"/>
          <w:shd w:fill="929292" w:color="auto" w:val="clear"/>
        </w:rPr>
        <w:t>territorial</w:t>
        <w:tab/>
      </w:r>
    </w:p>
    <w:tbl>
      <w:tblPr>
        <w:tblW w:w="0" w:type="auto"/>
        <w:jc w:val="left"/>
        <w:tblInd w:w="443"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1383"/>
        <w:gridCol w:w="1034"/>
        <w:gridCol w:w="1783"/>
        <w:gridCol w:w="939"/>
        <w:gridCol w:w="1177"/>
        <w:gridCol w:w="1273"/>
      </w:tblGrid>
      <w:tr>
        <w:trPr>
          <w:trHeight w:val="171" w:hRule="exact"/>
        </w:trPr>
        <w:tc>
          <w:tcPr>
            <w:tcW w:w="1383" w:type="dxa"/>
            <w:vMerge w:val="restart"/>
            <w:tcBorders>
              <w:top w:val="nil"/>
              <w:left w:val="nil"/>
              <w:right w:val="dotted" w:sz="4" w:space="0" w:color="929292"/>
            </w:tcBorders>
          </w:tcPr>
          <w:p>
            <w:pPr>
              <w:pStyle w:val="TableParagraph"/>
              <w:spacing w:before="5"/>
              <w:rPr>
                <w:sz w:val="15"/>
              </w:rPr>
            </w:pPr>
          </w:p>
          <w:p>
            <w:pPr>
              <w:pStyle w:val="TableParagraph"/>
              <w:ind w:left="72" w:right="423"/>
              <w:rPr>
                <w:sz w:val="16"/>
              </w:rPr>
            </w:pPr>
            <w:r>
              <w:rPr>
                <w:sz w:val="16"/>
              </w:rPr>
              <w:t>Colonia</w:t>
            </w:r>
          </w:p>
        </w:tc>
        <w:tc>
          <w:tcPr>
            <w:tcW w:w="3757" w:type="dxa"/>
            <w:gridSpan w:val="3"/>
            <w:tcBorders>
              <w:top w:val="nil"/>
              <w:left w:val="dotted" w:sz="4" w:space="0" w:color="929292"/>
              <w:bottom w:val="dotted" w:sz="4" w:space="0" w:color="929292"/>
              <w:right w:val="nil"/>
            </w:tcBorders>
            <w:shd w:val="clear" w:color="auto" w:fill="F5F5F5"/>
          </w:tcPr>
          <w:p>
            <w:pPr>
              <w:pStyle w:val="TableParagraph"/>
              <w:tabs>
                <w:tab w:pos="2770" w:val="left" w:leader="none"/>
                <w:tab w:pos="3736" w:val="left" w:leader="none"/>
              </w:tabs>
              <w:spacing w:line="177" w:lineRule="exact"/>
              <w:ind w:left="1059"/>
              <w:rPr>
                <w:sz w:val="16"/>
              </w:rPr>
            </w:pPr>
            <w:r>
              <w:rPr>
                <w:w w:val="100"/>
                <w:sz w:val="16"/>
                <w:u w:val="dotted" w:color="929292"/>
              </w:rPr>
              <w:t> </w:t>
            </w:r>
            <w:r>
              <w:rPr>
                <w:sz w:val="16"/>
                <w:u w:val="dotted" w:color="929292"/>
              </w:rPr>
              <w:tab/>
            </w:r>
            <w:r>
              <w:rPr>
                <w:sz w:val="16"/>
              </w:rPr>
              <w:t>T</w:t>
            </w:r>
            <w:r>
              <w:rPr>
                <w:sz w:val="16"/>
                <w:u w:val="dotted" w:color="929292"/>
              </w:rPr>
              <w:t>ipología</w:t>
              <w:tab/>
            </w:r>
          </w:p>
        </w:tc>
        <w:tc>
          <w:tcPr>
            <w:tcW w:w="1177" w:type="dxa"/>
            <w:tcBorders>
              <w:top w:val="nil"/>
              <w:left w:val="nil"/>
              <w:bottom w:val="dotted" w:sz="4" w:space="0" w:color="FFFFFF"/>
              <w:right w:val="nil"/>
            </w:tcBorders>
            <w:shd w:val="clear" w:color="auto" w:fill="F5F5F5"/>
          </w:tcPr>
          <w:p>
            <w:pPr>
              <w:pStyle w:val="TableParagraph"/>
              <w:tabs>
                <w:tab w:pos="1161" w:val="left" w:leader="none"/>
              </w:tabs>
              <w:spacing w:line="177" w:lineRule="exact"/>
              <w:ind w:left="30"/>
              <w:rPr>
                <w:sz w:val="16"/>
              </w:rPr>
            </w:pPr>
            <w:r>
              <w:rPr>
                <w:w w:val="100"/>
                <w:sz w:val="16"/>
                <w:u w:val="dotted" w:color="929292"/>
              </w:rPr>
              <w:t> </w:t>
            </w:r>
            <w:r>
              <w:rPr>
                <w:sz w:val="16"/>
                <w:u w:val="dotted" w:color="929292"/>
              </w:rPr>
              <w:tab/>
            </w:r>
          </w:p>
        </w:tc>
        <w:tc>
          <w:tcPr>
            <w:tcW w:w="1273" w:type="dxa"/>
            <w:tcBorders>
              <w:top w:val="nil"/>
              <w:left w:val="nil"/>
              <w:bottom w:val="dotted" w:sz="4" w:space="0" w:color="FFFFFF"/>
              <w:right w:val="nil"/>
            </w:tcBorders>
            <w:shd w:val="clear" w:color="auto" w:fill="F5F5F5"/>
          </w:tcPr>
          <w:p>
            <w:pPr>
              <w:pStyle w:val="TableParagraph"/>
              <w:tabs>
                <w:tab w:pos="1232" w:val="left" w:leader="none"/>
              </w:tabs>
              <w:spacing w:line="177" w:lineRule="exact"/>
              <w:ind w:left="10"/>
              <w:jc w:val="center"/>
              <w:rPr>
                <w:sz w:val="16"/>
              </w:rPr>
            </w:pPr>
            <w:r>
              <w:rPr>
                <w:w w:val="100"/>
                <w:sz w:val="16"/>
                <w:u w:val="dotted" w:color="929292"/>
              </w:rPr>
              <w:t> </w:t>
            </w:r>
            <w:r>
              <w:rPr>
                <w:sz w:val="16"/>
                <w:u w:val="dotted" w:color="929292"/>
              </w:rPr>
              <w:tab/>
            </w:r>
          </w:p>
        </w:tc>
      </w:tr>
      <w:tr>
        <w:trPr>
          <w:trHeight w:val="371" w:hRule="exact"/>
        </w:trPr>
        <w:tc>
          <w:tcPr>
            <w:tcW w:w="1383" w:type="dxa"/>
            <w:vMerge/>
            <w:tcBorders>
              <w:left w:val="nil"/>
              <w:bottom w:val="dotted" w:sz="4" w:space="0" w:color="929292"/>
              <w:right w:val="dotted" w:sz="4" w:space="0" w:color="929292"/>
            </w:tcBorders>
          </w:tcPr>
          <w:p>
            <w:pPr/>
          </w:p>
        </w:tc>
        <w:tc>
          <w:tcPr>
            <w:tcW w:w="1034" w:type="dxa"/>
            <w:tcBorders>
              <w:top w:val="dotted" w:sz="4" w:space="0" w:color="929292"/>
              <w:left w:val="dotted" w:sz="4" w:space="0" w:color="929292"/>
              <w:bottom w:val="dotted" w:sz="4" w:space="0" w:color="929292"/>
            </w:tcBorders>
          </w:tcPr>
          <w:p>
            <w:pPr>
              <w:pStyle w:val="TableParagraph"/>
              <w:spacing w:before="87"/>
              <w:ind w:left="103"/>
              <w:rPr>
                <w:sz w:val="16"/>
              </w:rPr>
            </w:pPr>
            <w:r>
              <w:rPr>
                <w:sz w:val="16"/>
              </w:rPr>
              <w:t>Caída libre</w:t>
            </w:r>
          </w:p>
        </w:tc>
        <w:tc>
          <w:tcPr>
            <w:tcW w:w="1783" w:type="dxa"/>
            <w:tcBorders>
              <w:top w:val="dotted" w:sz="4" w:space="0" w:color="FFFFFF"/>
              <w:bottom w:val="dotted" w:sz="4" w:space="0" w:color="FFFFFF"/>
            </w:tcBorders>
          </w:tcPr>
          <w:p>
            <w:pPr>
              <w:pStyle w:val="TableParagraph"/>
              <w:spacing w:line="142" w:lineRule="exact" w:before="87"/>
              <w:ind w:left="103"/>
              <w:rPr>
                <w:sz w:val="16"/>
              </w:rPr>
            </w:pPr>
            <w:r>
              <w:rPr>
                <w:sz w:val="16"/>
              </w:rPr>
              <w:t>Deslizamientos</w:t>
            </w:r>
          </w:p>
          <w:p>
            <w:pPr>
              <w:pStyle w:val="TableParagraph"/>
              <w:tabs>
                <w:tab w:pos="1763" w:val="left" w:leader="none"/>
              </w:tabs>
              <w:spacing w:line="142" w:lineRule="exact"/>
              <w:ind w:left="25"/>
              <w:rPr>
                <w:sz w:val="16"/>
              </w:rPr>
            </w:pPr>
            <w:r>
              <w:rPr>
                <w:w w:val="100"/>
                <w:sz w:val="16"/>
                <w:u w:val="dotted" w:color="929292"/>
              </w:rPr>
              <w:t> </w:t>
            </w:r>
            <w:r>
              <w:rPr>
                <w:sz w:val="16"/>
                <w:u w:val="dotted" w:color="929292"/>
              </w:rPr>
              <w:tab/>
            </w:r>
          </w:p>
        </w:tc>
        <w:tc>
          <w:tcPr>
            <w:tcW w:w="939" w:type="dxa"/>
            <w:tcBorders>
              <w:top w:val="dotted" w:sz="4" w:space="0" w:color="FFFFFF"/>
              <w:bottom w:val="dotted" w:sz="4" w:space="0" w:color="FFFFFF"/>
            </w:tcBorders>
          </w:tcPr>
          <w:p>
            <w:pPr>
              <w:pStyle w:val="TableParagraph"/>
              <w:spacing w:line="142" w:lineRule="exact" w:before="87"/>
              <w:ind w:left="103"/>
              <w:rPr>
                <w:sz w:val="16"/>
              </w:rPr>
            </w:pPr>
            <w:r>
              <w:rPr>
                <w:sz w:val="16"/>
              </w:rPr>
              <w:t>Flujos</w:t>
            </w:r>
          </w:p>
          <w:p>
            <w:pPr>
              <w:pStyle w:val="TableParagraph"/>
              <w:tabs>
                <w:tab w:pos="919" w:val="left" w:leader="none"/>
              </w:tabs>
              <w:spacing w:line="142" w:lineRule="exact"/>
              <w:ind w:left="25"/>
              <w:rPr>
                <w:sz w:val="16"/>
              </w:rPr>
            </w:pPr>
            <w:r>
              <w:rPr>
                <w:w w:val="100"/>
                <w:sz w:val="16"/>
                <w:u w:val="dotted" w:color="929292"/>
              </w:rPr>
              <w:t> </w:t>
            </w:r>
            <w:r>
              <w:rPr>
                <w:sz w:val="16"/>
                <w:u w:val="dotted" w:color="929292"/>
              </w:rPr>
              <w:tab/>
            </w:r>
          </w:p>
        </w:tc>
        <w:tc>
          <w:tcPr>
            <w:tcW w:w="1177" w:type="dxa"/>
            <w:tcBorders>
              <w:top w:val="dotted" w:sz="4" w:space="0" w:color="FFFFFF"/>
              <w:bottom w:val="dotted" w:sz="4" w:space="0" w:color="FFFFFF"/>
            </w:tcBorders>
          </w:tcPr>
          <w:p>
            <w:pPr>
              <w:pStyle w:val="TableParagraph"/>
              <w:spacing w:line="172" w:lineRule="exact"/>
              <w:ind w:left="103"/>
              <w:rPr>
                <w:sz w:val="16"/>
              </w:rPr>
            </w:pPr>
            <w:r>
              <w:rPr>
                <w:sz w:val="16"/>
              </w:rPr>
              <w:t>Reptación</w:t>
            </w:r>
          </w:p>
          <w:p>
            <w:pPr>
              <w:pStyle w:val="TableParagraph"/>
              <w:tabs>
                <w:tab w:pos="1156" w:val="left" w:leader="none"/>
              </w:tabs>
              <w:spacing w:before="16"/>
              <w:ind w:left="25"/>
              <w:rPr>
                <w:sz w:val="16"/>
              </w:rPr>
            </w:pPr>
            <w:r>
              <w:rPr>
                <w:w w:val="100"/>
                <w:sz w:val="16"/>
                <w:u w:val="dotted" w:color="929292"/>
              </w:rPr>
              <w:t> </w:t>
            </w:r>
            <w:r>
              <w:rPr>
                <w:spacing w:val="-12"/>
                <w:sz w:val="16"/>
                <w:u w:val="dotted" w:color="929292"/>
              </w:rPr>
              <w:t> </w:t>
            </w:r>
            <w:r>
              <w:rPr>
                <w:sz w:val="16"/>
                <w:u w:val="dotted" w:color="929292"/>
              </w:rPr>
              <w:t>(creep)</w:t>
              <w:tab/>
            </w:r>
          </w:p>
        </w:tc>
        <w:tc>
          <w:tcPr>
            <w:tcW w:w="1273" w:type="dxa"/>
            <w:tcBorders>
              <w:top w:val="dotted" w:sz="4" w:space="0" w:color="FFFFFF"/>
              <w:bottom w:val="dotted" w:sz="4" w:space="0" w:color="FFFFFF"/>
              <w:right w:val="nil"/>
            </w:tcBorders>
          </w:tcPr>
          <w:p>
            <w:pPr>
              <w:pStyle w:val="TableParagraph"/>
              <w:spacing w:line="142" w:lineRule="exact" w:before="87"/>
              <w:ind w:left="102"/>
              <w:rPr>
                <w:sz w:val="16"/>
              </w:rPr>
            </w:pPr>
            <w:r>
              <w:rPr>
                <w:sz w:val="16"/>
              </w:rPr>
              <w:t>Hundimientos</w:t>
            </w:r>
          </w:p>
          <w:p>
            <w:pPr>
              <w:pStyle w:val="TableParagraph"/>
              <w:tabs>
                <w:tab w:pos="1247" w:val="left" w:leader="none"/>
              </w:tabs>
              <w:spacing w:line="142" w:lineRule="exact"/>
              <w:ind w:left="25"/>
              <w:rPr>
                <w:sz w:val="16"/>
              </w:rPr>
            </w:pPr>
            <w:r>
              <w:rPr>
                <w:w w:val="100"/>
                <w:sz w:val="16"/>
                <w:u w:val="dotted" w:color="929292"/>
              </w:rPr>
              <w:t> </w:t>
            </w:r>
            <w:r>
              <w:rPr>
                <w:sz w:val="16"/>
                <w:u w:val="dotted" w:color="929292"/>
              </w:rPr>
              <w:tab/>
            </w:r>
          </w:p>
        </w:tc>
      </w:tr>
      <w:tr>
        <w:trPr>
          <w:trHeight w:val="371" w:hRule="exact"/>
        </w:trPr>
        <w:tc>
          <w:tcPr>
            <w:tcW w:w="1383" w:type="dxa"/>
            <w:tcBorders>
              <w:top w:val="dotted" w:sz="4" w:space="0" w:color="929292"/>
              <w:left w:val="nil"/>
              <w:bottom w:val="nil"/>
              <w:right w:val="dotted" w:sz="4" w:space="0" w:color="929292"/>
            </w:tcBorders>
          </w:tcPr>
          <w:p>
            <w:pPr>
              <w:pStyle w:val="TableParagraph"/>
              <w:spacing w:line="171" w:lineRule="exact"/>
              <w:ind w:left="72" w:right="423"/>
              <w:rPr>
                <w:sz w:val="16"/>
              </w:rPr>
            </w:pPr>
            <w:r>
              <w:rPr>
                <w:sz w:val="16"/>
              </w:rPr>
              <w:t>Ciudad</w:t>
            </w:r>
          </w:p>
          <w:p>
            <w:pPr>
              <w:pStyle w:val="TableParagraph"/>
              <w:tabs>
                <w:tab w:pos="1367" w:val="left" w:leader="none"/>
              </w:tabs>
              <w:spacing w:before="16"/>
              <w:rPr>
                <w:sz w:val="16"/>
              </w:rPr>
            </w:pPr>
            <w:r>
              <w:rPr>
                <w:w w:val="100"/>
                <w:sz w:val="16"/>
                <w:u w:val="dotted" w:color="929292"/>
              </w:rPr>
              <w:t> </w:t>
            </w:r>
            <w:r>
              <w:rPr>
                <w:spacing w:val="-16"/>
                <w:sz w:val="16"/>
                <w:u w:val="dotted" w:color="929292"/>
              </w:rPr>
              <w:t> </w:t>
            </w:r>
            <w:r>
              <w:rPr>
                <w:sz w:val="16"/>
                <w:u w:val="dotted" w:color="929292"/>
              </w:rPr>
              <w:t>Universitaria</w:t>
              <w:tab/>
            </w:r>
          </w:p>
        </w:tc>
        <w:tc>
          <w:tcPr>
            <w:tcW w:w="1034" w:type="dxa"/>
            <w:tcBorders>
              <w:top w:val="dotted" w:sz="4" w:space="0" w:color="929292"/>
              <w:left w:val="dotted" w:sz="4" w:space="0" w:color="929292"/>
            </w:tcBorders>
          </w:tcPr>
          <w:p>
            <w:pPr>
              <w:pStyle w:val="TableParagraph"/>
              <w:spacing w:before="87"/>
              <w:ind w:left="103"/>
              <w:rPr>
                <w:sz w:val="16"/>
              </w:rPr>
            </w:pPr>
            <w:r>
              <w:rPr>
                <w:w w:val="103"/>
                <w:sz w:val="16"/>
              </w:rPr>
              <w:t>x</w:t>
            </w:r>
          </w:p>
        </w:tc>
        <w:tc>
          <w:tcPr>
            <w:tcW w:w="1783" w:type="dxa"/>
            <w:tcBorders>
              <w:top w:val="dotted" w:sz="4" w:space="0" w:color="FFFFFF"/>
            </w:tcBorders>
          </w:tcPr>
          <w:p>
            <w:pPr/>
          </w:p>
        </w:tc>
        <w:tc>
          <w:tcPr>
            <w:tcW w:w="939" w:type="dxa"/>
            <w:tcBorders>
              <w:top w:val="dotted" w:sz="4" w:space="0" w:color="FFFFFF"/>
            </w:tcBorders>
          </w:tcPr>
          <w:p>
            <w:pPr>
              <w:pStyle w:val="TableParagraph"/>
              <w:spacing w:before="87"/>
              <w:ind w:left="103"/>
              <w:rPr>
                <w:sz w:val="16"/>
              </w:rPr>
            </w:pPr>
            <w:r>
              <w:rPr>
                <w:w w:val="103"/>
                <w:sz w:val="16"/>
              </w:rPr>
              <w:t>x</w:t>
            </w:r>
          </w:p>
        </w:tc>
        <w:tc>
          <w:tcPr>
            <w:tcW w:w="1177" w:type="dxa"/>
            <w:tcBorders>
              <w:top w:val="dotted" w:sz="4" w:space="0" w:color="FFFFFF"/>
            </w:tcBorders>
          </w:tcPr>
          <w:p>
            <w:pPr/>
          </w:p>
        </w:tc>
        <w:tc>
          <w:tcPr>
            <w:tcW w:w="1273" w:type="dxa"/>
            <w:tcBorders>
              <w:top w:val="dotted" w:sz="4" w:space="0" w:color="FFFFFF"/>
              <w:right w:val="nil"/>
            </w:tcBorders>
          </w:tcPr>
          <w:p>
            <w:pPr/>
          </w:p>
        </w:tc>
      </w:tr>
      <w:tr>
        <w:trPr>
          <w:trHeight w:val="171" w:hRule="exact"/>
        </w:trPr>
        <w:tc>
          <w:tcPr>
            <w:tcW w:w="1383" w:type="dxa"/>
            <w:tcBorders>
              <w:top w:val="nil"/>
              <w:left w:val="nil"/>
              <w:bottom w:val="nil"/>
              <w:right w:val="dotted" w:sz="4" w:space="0" w:color="929292"/>
            </w:tcBorders>
          </w:tcPr>
          <w:p>
            <w:pPr>
              <w:pStyle w:val="TableParagraph"/>
              <w:tabs>
                <w:tab w:pos="1367" w:val="left" w:leader="none"/>
              </w:tabs>
              <w:spacing w:line="176" w:lineRule="exact"/>
              <w:rPr>
                <w:sz w:val="16"/>
              </w:rPr>
            </w:pPr>
            <w:r>
              <w:rPr>
                <w:w w:val="100"/>
                <w:sz w:val="16"/>
                <w:u w:val="dotted" w:color="929292"/>
              </w:rPr>
              <w:t> </w:t>
            </w:r>
            <w:r>
              <w:rPr>
                <w:spacing w:val="-16"/>
                <w:sz w:val="16"/>
                <w:u w:val="dotted" w:color="929292"/>
              </w:rPr>
              <w:t> </w:t>
            </w:r>
            <w:r>
              <w:rPr>
                <w:sz w:val="16"/>
                <w:u w:val="dotted" w:color="929292"/>
              </w:rPr>
              <w:t>Independencia</w:t>
              <w:tab/>
            </w:r>
          </w:p>
        </w:tc>
        <w:tc>
          <w:tcPr>
            <w:tcW w:w="1034" w:type="dxa"/>
            <w:tcBorders>
              <w:left w:val="dotted" w:sz="4" w:space="0" w:color="929292"/>
              <w:bottom w:val="single" w:sz="4" w:space="0" w:color="FFFFFF"/>
            </w:tcBorders>
          </w:tcPr>
          <w:p>
            <w:pPr>
              <w:pStyle w:val="TableParagraph"/>
              <w:tabs>
                <w:tab w:pos="1013" w:val="left" w:leader="none"/>
              </w:tabs>
              <w:spacing w:line="171" w:lineRule="exact"/>
              <w:ind w:left="25"/>
              <w:rPr>
                <w:sz w:val="16"/>
              </w:rPr>
            </w:pPr>
            <w:r>
              <w:rPr>
                <w:w w:val="100"/>
                <w:sz w:val="16"/>
                <w:u w:val="dotted" w:color="929292"/>
              </w:rPr>
              <w:t> </w:t>
            </w:r>
            <w:r>
              <w:rPr>
                <w:sz w:val="16"/>
                <w:u w:val="dotted" w:color="929292"/>
              </w:rPr>
              <w:tab/>
            </w:r>
          </w:p>
        </w:tc>
        <w:tc>
          <w:tcPr>
            <w:tcW w:w="1783" w:type="dxa"/>
            <w:tcBorders>
              <w:bottom w:val="single" w:sz="4" w:space="0" w:color="FFFFFF"/>
            </w:tcBorders>
          </w:tcPr>
          <w:p>
            <w:pPr>
              <w:pStyle w:val="TableParagraph"/>
              <w:tabs>
                <w:tab w:pos="1753" w:val="left" w:leader="none"/>
              </w:tabs>
              <w:spacing w:line="171" w:lineRule="exact"/>
              <w:ind w:left="15"/>
              <w:jc w:val="center"/>
              <w:rPr>
                <w:sz w:val="16"/>
              </w:rPr>
            </w:pPr>
            <w:r>
              <w:rPr>
                <w:w w:val="100"/>
                <w:sz w:val="16"/>
                <w:u w:val="dotted" w:color="929292"/>
              </w:rPr>
              <w:t> </w:t>
            </w:r>
            <w:r>
              <w:rPr>
                <w:sz w:val="16"/>
                <w:u w:val="dotted" w:color="929292"/>
              </w:rPr>
              <w:tab/>
            </w:r>
          </w:p>
        </w:tc>
        <w:tc>
          <w:tcPr>
            <w:tcW w:w="939" w:type="dxa"/>
            <w:tcBorders>
              <w:bottom w:val="single" w:sz="4" w:space="0" w:color="FFFFFF"/>
            </w:tcBorders>
          </w:tcPr>
          <w:p>
            <w:pPr>
              <w:pStyle w:val="TableParagraph"/>
              <w:tabs>
                <w:tab w:pos="919" w:val="left" w:leader="none"/>
              </w:tabs>
              <w:spacing w:line="171" w:lineRule="exact"/>
              <w:ind w:left="25"/>
              <w:rPr>
                <w:sz w:val="16"/>
              </w:rPr>
            </w:pPr>
            <w:r>
              <w:rPr>
                <w:w w:val="100"/>
                <w:sz w:val="16"/>
                <w:u w:val="dotted" w:color="929292"/>
              </w:rPr>
              <w:t> </w:t>
            </w:r>
            <w:r>
              <w:rPr>
                <w:sz w:val="16"/>
                <w:u w:val="dotted" w:color="929292"/>
              </w:rPr>
              <w:tab/>
            </w:r>
          </w:p>
        </w:tc>
        <w:tc>
          <w:tcPr>
            <w:tcW w:w="1177" w:type="dxa"/>
            <w:tcBorders>
              <w:bottom w:val="single" w:sz="4" w:space="0" w:color="FFFFFF"/>
            </w:tcBorders>
          </w:tcPr>
          <w:p>
            <w:pPr>
              <w:pStyle w:val="TableParagraph"/>
              <w:tabs>
                <w:tab w:pos="1156" w:val="left" w:leader="none"/>
              </w:tabs>
              <w:spacing w:line="171" w:lineRule="exact"/>
              <w:ind w:left="25"/>
              <w:rPr>
                <w:sz w:val="16"/>
              </w:rPr>
            </w:pPr>
            <w:r>
              <w:rPr>
                <w:w w:val="100"/>
                <w:sz w:val="16"/>
                <w:u w:val="dotted" w:color="929292"/>
              </w:rPr>
              <w:t> </w:t>
            </w:r>
            <w:r>
              <w:rPr>
                <w:sz w:val="16"/>
                <w:u w:val="dotted" w:color="929292"/>
              </w:rPr>
              <w:tab/>
            </w:r>
          </w:p>
        </w:tc>
        <w:tc>
          <w:tcPr>
            <w:tcW w:w="1273" w:type="dxa"/>
            <w:tcBorders>
              <w:bottom w:val="single" w:sz="4" w:space="0" w:color="FFFFFF"/>
              <w:right w:val="nil"/>
            </w:tcBorders>
          </w:tcPr>
          <w:p>
            <w:pPr>
              <w:pStyle w:val="TableParagraph"/>
              <w:tabs>
                <w:tab w:pos="1227" w:val="left" w:leader="none"/>
              </w:tabs>
              <w:spacing w:line="171" w:lineRule="exact"/>
              <w:ind w:left="5"/>
              <w:jc w:val="center"/>
              <w:rPr>
                <w:sz w:val="16"/>
              </w:rPr>
            </w:pPr>
            <w:r>
              <w:rPr>
                <w:w w:val="100"/>
                <w:sz w:val="16"/>
                <w:u w:val="dotted" w:color="929292"/>
              </w:rPr>
              <w:t> </w:t>
            </w:r>
            <w:r>
              <w:rPr>
                <w:spacing w:val="-12"/>
                <w:sz w:val="16"/>
                <w:u w:val="dotted" w:color="929292"/>
              </w:rPr>
              <w:t> </w:t>
            </w:r>
            <w:r>
              <w:rPr>
                <w:w w:val="105"/>
                <w:sz w:val="16"/>
                <w:u w:val="dotted" w:color="929292"/>
              </w:rPr>
              <w:t>x</w:t>
            </w:r>
            <w:r>
              <w:rPr>
                <w:sz w:val="16"/>
                <w:u w:val="dotted" w:color="929292"/>
              </w:rPr>
              <w:tab/>
            </w:r>
          </w:p>
        </w:tc>
      </w:tr>
      <w:tr>
        <w:trPr>
          <w:trHeight w:val="171" w:hRule="exact"/>
        </w:trPr>
        <w:tc>
          <w:tcPr>
            <w:tcW w:w="1383" w:type="dxa"/>
            <w:tcBorders>
              <w:top w:val="nil"/>
              <w:left w:val="nil"/>
              <w:bottom w:val="nil"/>
              <w:right w:val="dotted" w:sz="4" w:space="0" w:color="929292"/>
            </w:tcBorders>
          </w:tcPr>
          <w:p>
            <w:pPr>
              <w:pStyle w:val="TableParagraph"/>
              <w:tabs>
                <w:tab w:pos="1367" w:val="left" w:leader="none"/>
              </w:tabs>
              <w:spacing w:line="176" w:lineRule="exact"/>
              <w:rPr>
                <w:sz w:val="16"/>
              </w:rPr>
            </w:pPr>
            <w:r>
              <w:rPr>
                <w:w w:val="100"/>
                <w:sz w:val="16"/>
                <w:u w:val="dotted" w:color="929292"/>
              </w:rPr>
              <w:t> </w:t>
            </w:r>
            <w:r>
              <w:rPr>
                <w:spacing w:val="-16"/>
                <w:sz w:val="16"/>
                <w:u w:val="dotted" w:color="929292"/>
              </w:rPr>
              <w:t> </w:t>
            </w:r>
            <w:r>
              <w:rPr>
                <w:sz w:val="16"/>
                <w:u w:val="dotted" w:color="929292"/>
              </w:rPr>
              <w:t>La</w:t>
            </w:r>
            <w:r>
              <w:rPr>
                <w:spacing w:val="2"/>
                <w:sz w:val="16"/>
                <w:u w:val="dotted" w:color="929292"/>
              </w:rPr>
              <w:t> </w:t>
            </w:r>
            <w:r>
              <w:rPr>
                <w:sz w:val="16"/>
                <w:u w:val="dotted" w:color="929292"/>
              </w:rPr>
              <w:t>Mora</w:t>
              <w:tab/>
            </w:r>
          </w:p>
        </w:tc>
        <w:tc>
          <w:tcPr>
            <w:tcW w:w="1034" w:type="dxa"/>
            <w:tcBorders>
              <w:top w:val="single" w:sz="4" w:space="0" w:color="FFFFFF"/>
              <w:left w:val="dotted" w:sz="4" w:space="0" w:color="929292"/>
              <w:bottom w:val="single" w:sz="4" w:space="0" w:color="FFFFFF"/>
            </w:tcBorders>
          </w:tcPr>
          <w:p>
            <w:pPr>
              <w:pStyle w:val="TableParagraph"/>
              <w:tabs>
                <w:tab w:pos="1013" w:val="left" w:leader="none"/>
              </w:tabs>
              <w:spacing w:line="171" w:lineRule="exact"/>
              <w:ind w:left="25"/>
              <w:rPr>
                <w:sz w:val="16"/>
              </w:rPr>
            </w:pPr>
            <w:r>
              <w:rPr>
                <w:w w:val="100"/>
                <w:sz w:val="16"/>
                <w:u w:val="dotted" w:color="929292"/>
              </w:rPr>
              <w:t> </w:t>
            </w:r>
            <w:r>
              <w:rPr>
                <w:spacing w:val="-12"/>
                <w:sz w:val="16"/>
                <w:u w:val="dotted" w:color="929292"/>
              </w:rPr>
              <w:t> </w:t>
            </w:r>
            <w:r>
              <w:rPr>
                <w:w w:val="105"/>
                <w:sz w:val="16"/>
                <w:u w:val="dotted" w:color="929292"/>
              </w:rPr>
              <w:t>x</w:t>
            </w:r>
            <w:r>
              <w:rPr>
                <w:sz w:val="16"/>
                <w:u w:val="dotted" w:color="929292"/>
              </w:rPr>
              <w:tab/>
            </w:r>
          </w:p>
        </w:tc>
        <w:tc>
          <w:tcPr>
            <w:tcW w:w="1783" w:type="dxa"/>
            <w:tcBorders>
              <w:top w:val="single" w:sz="4" w:space="0" w:color="FFFFFF"/>
              <w:bottom w:val="single" w:sz="4" w:space="0" w:color="FFFFFF"/>
            </w:tcBorders>
          </w:tcPr>
          <w:p>
            <w:pPr>
              <w:pStyle w:val="TableParagraph"/>
              <w:tabs>
                <w:tab w:pos="1753" w:val="left" w:leader="none"/>
              </w:tabs>
              <w:spacing w:line="171" w:lineRule="exact"/>
              <w:ind w:left="15"/>
              <w:jc w:val="center"/>
              <w:rPr>
                <w:sz w:val="16"/>
              </w:rPr>
            </w:pPr>
            <w:r>
              <w:rPr>
                <w:w w:val="100"/>
                <w:sz w:val="16"/>
                <w:u w:val="dotted" w:color="929292"/>
              </w:rPr>
              <w:t> </w:t>
            </w:r>
            <w:r>
              <w:rPr>
                <w:spacing w:val="-12"/>
                <w:sz w:val="16"/>
                <w:u w:val="dotted" w:color="929292"/>
              </w:rPr>
              <w:t> </w:t>
            </w:r>
            <w:r>
              <w:rPr>
                <w:w w:val="105"/>
                <w:sz w:val="16"/>
                <w:u w:val="dotted" w:color="929292"/>
              </w:rPr>
              <w:t>x</w:t>
            </w:r>
            <w:r>
              <w:rPr>
                <w:sz w:val="16"/>
                <w:u w:val="dotted" w:color="929292"/>
              </w:rPr>
              <w:tab/>
            </w:r>
          </w:p>
        </w:tc>
        <w:tc>
          <w:tcPr>
            <w:tcW w:w="939" w:type="dxa"/>
            <w:tcBorders>
              <w:top w:val="single" w:sz="4" w:space="0" w:color="FFFFFF"/>
              <w:bottom w:val="single" w:sz="4" w:space="0" w:color="FFFFFF"/>
            </w:tcBorders>
          </w:tcPr>
          <w:p>
            <w:pPr>
              <w:pStyle w:val="TableParagraph"/>
              <w:tabs>
                <w:tab w:pos="919" w:val="left" w:leader="none"/>
              </w:tabs>
              <w:spacing w:line="171" w:lineRule="exact"/>
              <w:ind w:left="25"/>
              <w:rPr>
                <w:sz w:val="16"/>
              </w:rPr>
            </w:pPr>
            <w:r>
              <w:rPr>
                <w:w w:val="100"/>
                <w:sz w:val="16"/>
                <w:u w:val="dotted" w:color="929292"/>
              </w:rPr>
              <w:t> </w:t>
            </w:r>
            <w:r>
              <w:rPr>
                <w:spacing w:val="-12"/>
                <w:sz w:val="16"/>
                <w:u w:val="dotted" w:color="929292"/>
              </w:rPr>
              <w:t> </w:t>
            </w:r>
            <w:r>
              <w:rPr>
                <w:w w:val="105"/>
                <w:sz w:val="16"/>
                <w:u w:val="dotted" w:color="929292"/>
              </w:rPr>
              <w:t>x</w:t>
            </w:r>
            <w:r>
              <w:rPr>
                <w:sz w:val="16"/>
                <w:u w:val="dotted" w:color="929292"/>
              </w:rPr>
              <w:tab/>
            </w:r>
          </w:p>
        </w:tc>
        <w:tc>
          <w:tcPr>
            <w:tcW w:w="1177" w:type="dxa"/>
            <w:tcBorders>
              <w:top w:val="single" w:sz="4" w:space="0" w:color="FFFFFF"/>
              <w:bottom w:val="single" w:sz="4" w:space="0" w:color="FFFFFF"/>
            </w:tcBorders>
          </w:tcPr>
          <w:p>
            <w:pPr>
              <w:pStyle w:val="TableParagraph"/>
              <w:tabs>
                <w:tab w:pos="1156" w:val="left" w:leader="none"/>
              </w:tabs>
              <w:spacing w:line="171" w:lineRule="exact"/>
              <w:ind w:left="25"/>
              <w:rPr>
                <w:sz w:val="16"/>
              </w:rPr>
            </w:pPr>
            <w:r>
              <w:rPr>
                <w:w w:val="100"/>
                <w:sz w:val="16"/>
                <w:u w:val="dotted" w:color="929292"/>
              </w:rPr>
              <w:t> </w:t>
            </w:r>
            <w:r>
              <w:rPr>
                <w:spacing w:val="-12"/>
                <w:sz w:val="16"/>
                <w:u w:val="dotted" w:color="929292"/>
              </w:rPr>
              <w:t> </w:t>
            </w:r>
            <w:r>
              <w:rPr>
                <w:w w:val="105"/>
                <w:sz w:val="16"/>
                <w:u w:val="dotted" w:color="929292"/>
              </w:rPr>
              <w:t>x</w:t>
            </w:r>
            <w:r>
              <w:rPr>
                <w:sz w:val="16"/>
                <w:u w:val="dotted" w:color="929292"/>
              </w:rPr>
              <w:tab/>
            </w:r>
          </w:p>
        </w:tc>
        <w:tc>
          <w:tcPr>
            <w:tcW w:w="1273" w:type="dxa"/>
            <w:tcBorders>
              <w:top w:val="single" w:sz="4" w:space="0" w:color="FFFFFF"/>
              <w:bottom w:val="single" w:sz="4" w:space="0" w:color="FFFFFF"/>
              <w:right w:val="nil"/>
            </w:tcBorders>
          </w:tcPr>
          <w:p>
            <w:pPr>
              <w:pStyle w:val="TableParagraph"/>
              <w:tabs>
                <w:tab w:pos="1227"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92" w:hRule="exact"/>
        </w:trPr>
        <w:tc>
          <w:tcPr>
            <w:tcW w:w="1383" w:type="dxa"/>
            <w:tcBorders>
              <w:top w:val="nil"/>
              <w:left w:val="nil"/>
              <w:bottom w:val="nil"/>
              <w:right w:val="dotted" w:sz="4" w:space="0" w:color="929292"/>
            </w:tcBorders>
          </w:tcPr>
          <w:p>
            <w:pPr>
              <w:pStyle w:val="TableParagraph"/>
              <w:spacing w:line="176" w:lineRule="exact"/>
              <w:ind w:left="72" w:right="423"/>
              <w:rPr>
                <w:sz w:val="16"/>
              </w:rPr>
            </w:pPr>
            <w:r>
              <w:rPr>
                <w:sz w:val="16"/>
              </w:rPr>
              <w:t>San Pedro</w:t>
            </w:r>
          </w:p>
        </w:tc>
        <w:tc>
          <w:tcPr>
            <w:tcW w:w="1034" w:type="dxa"/>
            <w:vMerge w:val="restart"/>
            <w:tcBorders>
              <w:top w:val="single" w:sz="4" w:space="0" w:color="FFFFFF"/>
              <w:left w:val="dotted" w:sz="4" w:space="0" w:color="929292"/>
            </w:tcBorders>
          </w:tcPr>
          <w:p>
            <w:pPr>
              <w:pStyle w:val="TableParagraph"/>
              <w:spacing w:before="3"/>
              <w:rPr>
                <w:sz w:val="16"/>
              </w:rPr>
            </w:pPr>
          </w:p>
          <w:p>
            <w:pPr>
              <w:pStyle w:val="TableParagraph"/>
              <w:tabs>
                <w:tab w:pos="1013" w:val="left" w:leader="none"/>
              </w:tabs>
              <w:ind w:left="25"/>
              <w:rPr>
                <w:sz w:val="16"/>
              </w:rPr>
            </w:pPr>
            <w:r>
              <w:rPr>
                <w:w w:val="100"/>
                <w:sz w:val="16"/>
                <w:u w:val="dotted" w:color="929292"/>
              </w:rPr>
              <w:t> </w:t>
            </w:r>
            <w:r>
              <w:rPr>
                <w:sz w:val="16"/>
                <w:u w:val="dotted" w:color="929292"/>
              </w:rPr>
              <w:tab/>
            </w:r>
          </w:p>
        </w:tc>
        <w:tc>
          <w:tcPr>
            <w:tcW w:w="1783" w:type="dxa"/>
            <w:vMerge w:val="restart"/>
            <w:tcBorders>
              <w:top w:val="single" w:sz="4" w:space="0" w:color="FFFFFF"/>
            </w:tcBorders>
          </w:tcPr>
          <w:p>
            <w:pPr>
              <w:pStyle w:val="TableParagraph"/>
              <w:spacing w:before="3"/>
              <w:rPr>
                <w:sz w:val="16"/>
              </w:rPr>
            </w:pPr>
          </w:p>
          <w:p>
            <w:pPr>
              <w:pStyle w:val="TableParagraph"/>
              <w:tabs>
                <w:tab w:pos="1763" w:val="left" w:leader="none"/>
              </w:tabs>
              <w:ind w:left="25"/>
              <w:rPr>
                <w:sz w:val="16"/>
              </w:rPr>
            </w:pPr>
            <w:r>
              <w:rPr>
                <w:w w:val="100"/>
                <w:sz w:val="16"/>
                <w:u w:val="dotted" w:color="929292"/>
              </w:rPr>
              <w:t> </w:t>
            </w:r>
            <w:r>
              <w:rPr>
                <w:sz w:val="16"/>
                <w:u w:val="dotted" w:color="929292"/>
              </w:rPr>
              <w:tab/>
            </w:r>
          </w:p>
        </w:tc>
        <w:tc>
          <w:tcPr>
            <w:tcW w:w="939" w:type="dxa"/>
            <w:vMerge w:val="restart"/>
            <w:tcBorders>
              <w:top w:val="single" w:sz="4" w:space="0" w:color="FFFFFF"/>
            </w:tcBorders>
          </w:tcPr>
          <w:p>
            <w:pPr>
              <w:pStyle w:val="TableParagraph"/>
              <w:spacing w:before="3"/>
              <w:rPr>
                <w:sz w:val="16"/>
              </w:rPr>
            </w:pPr>
          </w:p>
          <w:p>
            <w:pPr>
              <w:pStyle w:val="TableParagraph"/>
              <w:tabs>
                <w:tab w:pos="919" w:val="left" w:leader="none"/>
              </w:tabs>
              <w:ind w:left="25"/>
              <w:rPr>
                <w:sz w:val="16"/>
              </w:rPr>
            </w:pPr>
            <w:r>
              <w:rPr>
                <w:w w:val="100"/>
                <w:sz w:val="16"/>
                <w:u w:val="dotted" w:color="929292"/>
              </w:rPr>
              <w:t> </w:t>
            </w:r>
            <w:r>
              <w:rPr>
                <w:sz w:val="16"/>
                <w:u w:val="dotted" w:color="929292"/>
              </w:rPr>
              <w:tab/>
            </w:r>
          </w:p>
        </w:tc>
        <w:tc>
          <w:tcPr>
            <w:tcW w:w="1177" w:type="dxa"/>
            <w:vMerge w:val="restart"/>
            <w:tcBorders>
              <w:top w:val="single" w:sz="4" w:space="0" w:color="FFFFFF"/>
            </w:tcBorders>
          </w:tcPr>
          <w:p>
            <w:pPr>
              <w:pStyle w:val="TableParagraph"/>
              <w:spacing w:before="3"/>
              <w:rPr>
                <w:sz w:val="16"/>
              </w:rPr>
            </w:pPr>
          </w:p>
          <w:p>
            <w:pPr>
              <w:pStyle w:val="TableParagraph"/>
              <w:tabs>
                <w:tab w:pos="1156" w:val="left" w:leader="none"/>
              </w:tabs>
              <w:ind w:left="25"/>
              <w:rPr>
                <w:sz w:val="16"/>
              </w:rPr>
            </w:pPr>
            <w:r>
              <w:rPr>
                <w:w w:val="100"/>
                <w:sz w:val="16"/>
                <w:u w:val="dotted" w:color="929292"/>
              </w:rPr>
              <w:t> </w:t>
            </w:r>
            <w:r>
              <w:rPr>
                <w:sz w:val="16"/>
                <w:u w:val="dotted" w:color="929292"/>
              </w:rPr>
              <w:tab/>
            </w:r>
          </w:p>
        </w:tc>
        <w:tc>
          <w:tcPr>
            <w:tcW w:w="1273" w:type="dxa"/>
            <w:vMerge w:val="restart"/>
            <w:tcBorders>
              <w:top w:val="single" w:sz="4" w:space="0" w:color="FFFFFF"/>
              <w:right w:val="nil"/>
            </w:tcBorders>
          </w:tcPr>
          <w:p>
            <w:pPr>
              <w:pStyle w:val="TableParagraph"/>
              <w:spacing w:before="87"/>
              <w:ind w:left="102"/>
              <w:rPr>
                <w:sz w:val="16"/>
              </w:rPr>
            </w:pPr>
            <w:r>
              <w:rPr>
                <w:w w:val="103"/>
                <w:sz w:val="16"/>
              </w:rPr>
              <w:t>x</w:t>
            </w:r>
          </w:p>
        </w:tc>
      </w:tr>
      <w:tr>
        <w:trPr>
          <w:trHeight w:val="179" w:hRule="exact"/>
        </w:trPr>
        <w:tc>
          <w:tcPr>
            <w:tcW w:w="1383" w:type="dxa"/>
            <w:tcBorders>
              <w:top w:val="nil"/>
              <w:left w:val="nil"/>
              <w:bottom w:val="nil"/>
              <w:right w:val="dotted" w:sz="4" w:space="0" w:color="929292"/>
            </w:tcBorders>
          </w:tcPr>
          <w:p>
            <w:pPr>
              <w:pStyle w:val="TableParagraph"/>
              <w:tabs>
                <w:tab w:pos="1367" w:val="left" w:leader="none"/>
              </w:tabs>
              <w:rPr>
                <w:sz w:val="16"/>
              </w:rPr>
            </w:pPr>
            <w:r>
              <w:rPr>
                <w:w w:val="100"/>
                <w:sz w:val="16"/>
                <w:u w:val="dotted" w:color="929292"/>
              </w:rPr>
              <w:t> </w:t>
            </w:r>
            <w:r>
              <w:rPr>
                <w:spacing w:val="-16"/>
                <w:sz w:val="16"/>
                <w:u w:val="dotted" w:color="929292"/>
              </w:rPr>
              <w:t> </w:t>
            </w:r>
            <w:r>
              <w:rPr>
                <w:sz w:val="16"/>
                <w:u w:val="dotted" w:color="929292"/>
              </w:rPr>
              <w:t>Totoltepec</w:t>
              <w:tab/>
            </w:r>
          </w:p>
        </w:tc>
        <w:tc>
          <w:tcPr>
            <w:tcW w:w="1034" w:type="dxa"/>
            <w:vMerge/>
            <w:tcBorders>
              <w:left w:val="dotted" w:sz="4" w:space="0" w:color="929292"/>
              <w:bottom w:val="single" w:sz="4" w:space="0" w:color="FFFFFF"/>
            </w:tcBorders>
          </w:tcPr>
          <w:p>
            <w:pPr/>
          </w:p>
        </w:tc>
        <w:tc>
          <w:tcPr>
            <w:tcW w:w="1783" w:type="dxa"/>
            <w:vMerge/>
            <w:tcBorders>
              <w:bottom w:val="single" w:sz="4" w:space="0" w:color="FFFFFF"/>
            </w:tcBorders>
          </w:tcPr>
          <w:p>
            <w:pPr/>
          </w:p>
        </w:tc>
        <w:tc>
          <w:tcPr>
            <w:tcW w:w="939" w:type="dxa"/>
            <w:vMerge/>
            <w:tcBorders>
              <w:bottom w:val="single" w:sz="4" w:space="0" w:color="FFFFFF"/>
            </w:tcBorders>
          </w:tcPr>
          <w:p>
            <w:pPr/>
          </w:p>
        </w:tc>
        <w:tc>
          <w:tcPr>
            <w:tcW w:w="1177" w:type="dxa"/>
            <w:vMerge/>
            <w:tcBorders>
              <w:bottom w:val="single" w:sz="4" w:space="0" w:color="FFFFFF"/>
            </w:tcBorders>
          </w:tcPr>
          <w:p>
            <w:pPr/>
          </w:p>
        </w:tc>
        <w:tc>
          <w:tcPr>
            <w:tcW w:w="1273" w:type="dxa"/>
            <w:vMerge/>
            <w:tcBorders>
              <w:right w:val="nil"/>
            </w:tcBorders>
          </w:tcPr>
          <w:p>
            <w:pPr/>
          </w:p>
        </w:tc>
      </w:tr>
      <w:tr>
        <w:trPr>
          <w:trHeight w:val="171" w:hRule="exact"/>
        </w:trPr>
        <w:tc>
          <w:tcPr>
            <w:tcW w:w="1383" w:type="dxa"/>
            <w:tcBorders>
              <w:top w:val="nil"/>
              <w:left w:val="nil"/>
              <w:bottom w:val="nil"/>
              <w:right w:val="dotted" w:sz="4" w:space="0" w:color="929292"/>
            </w:tcBorders>
          </w:tcPr>
          <w:p>
            <w:pPr>
              <w:pStyle w:val="TableParagraph"/>
              <w:tabs>
                <w:tab w:pos="1367" w:val="left" w:leader="none"/>
              </w:tabs>
              <w:spacing w:line="176" w:lineRule="exact"/>
              <w:rPr>
                <w:sz w:val="16"/>
              </w:rPr>
            </w:pPr>
            <w:r>
              <w:rPr>
                <w:w w:val="100"/>
                <w:sz w:val="16"/>
                <w:u w:val="dotted" w:color="929292"/>
              </w:rPr>
              <w:t> </w:t>
            </w:r>
            <w:r>
              <w:rPr>
                <w:spacing w:val="-16"/>
                <w:sz w:val="16"/>
                <w:u w:val="dotted" w:color="929292"/>
              </w:rPr>
              <w:t> </w:t>
            </w:r>
            <w:r>
              <w:rPr>
                <w:sz w:val="16"/>
                <w:u w:val="dotted" w:color="929292"/>
              </w:rPr>
              <w:t>Sánchez</w:t>
              <w:tab/>
            </w:r>
          </w:p>
        </w:tc>
        <w:tc>
          <w:tcPr>
            <w:tcW w:w="1034" w:type="dxa"/>
            <w:tcBorders>
              <w:top w:val="single" w:sz="4" w:space="0" w:color="FFFFFF"/>
              <w:left w:val="dotted" w:sz="4" w:space="0" w:color="929292"/>
              <w:bottom w:val="single" w:sz="4" w:space="0" w:color="FFFFFF"/>
            </w:tcBorders>
          </w:tcPr>
          <w:p>
            <w:pPr>
              <w:pStyle w:val="TableParagraph"/>
              <w:tabs>
                <w:tab w:pos="1013" w:val="left" w:leader="none"/>
              </w:tabs>
              <w:spacing w:line="171" w:lineRule="exact"/>
              <w:ind w:left="25"/>
              <w:rPr>
                <w:sz w:val="16"/>
              </w:rPr>
            </w:pPr>
            <w:r>
              <w:rPr>
                <w:w w:val="100"/>
                <w:sz w:val="16"/>
                <w:u w:val="dotted" w:color="929292"/>
              </w:rPr>
              <w:t> </w:t>
            </w:r>
            <w:r>
              <w:rPr>
                <w:sz w:val="16"/>
                <w:u w:val="dotted" w:color="929292"/>
              </w:rPr>
              <w:tab/>
            </w:r>
          </w:p>
        </w:tc>
        <w:tc>
          <w:tcPr>
            <w:tcW w:w="1783" w:type="dxa"/>
            <w:tcBorders>
              <w:top w:val="single" w:sz="4" w:space="0" w:color="FFFFFF"/>
              <w:bottom w:val="single" w:sz="4" w:space="0" w:color="FFFFFF"/>
            </w:tcBorders>
          </w:tcPr>
          <w:p>
            <w:pPr>
              <w:pStyle w:val="TableParagraph"/>
              <w:tabs>
                <w:tab w:pos="1753" w:val="left" w:leader="none"/>
              </w:tabs>
              <w:spacing w:line="171" w:lineRule="exact"/>
              <w:ind w:left="15"/>
              <w:jc w:val="center"/>
              <w:rPr>
                <w:sz w:val="16"/>
              </w:rPr>
            </w:pPr>
            <w:r>
              <w:rPr>
                <w:w w:val="100"/>
                <w:sz w:val="16"/>
                <w:u w:val="dotted" w:color="929292"/>
              </w:rPr>
              <w:t> </w:t>
            </w:r>
            <w:r>
              <w:rPr>
                <w:spacing w:val="-12"/>
                <w:sz w:val="16"/>
                <w:u w:val="dotted" w:color="929292"/>
              </w:rPr>
              <w:t> </w:t>
            </w:r>
            <w:r>
              <w:rPr>
                <w:w w:val="105"/>
                <w:sz w:val="16"/>
                <w:u w:val="dotted" w:color="929292"/>
              </w:rPr>
              <w:t>x</w:t>
            </w:r>
            <w:r>
              <w:rPr>
                <w:sz w:val="16"/>
                <w:u w:val="dotted" w:color="929292"/>
              </w:rPr>
              <w:tab/>
            </w:r>
          </w:p>
        </w:tc>
        <w:tc>
          <w:tcPr>
            <w:tcW w:w="939" w:type="dxa"/>
            <w:tcBorders>
              <w:top w:val="single" w:sz="4" w:space="0" w:color="FFFFFF"/>
              <w:bottom w:val="single" w:sz="4" w:space="0" w:color="FFFFFF"/>
            </w:tcBorders>
          </w:tcPr>
          <w:p>
            <w:pPr>
              <w:pStyle w:val="TableParagraph"/>
              <w:tabs>
                <w:tab w:pos="919" w:val="left" w:leader="none"/>
              </w:tabs>
              <w:spacing w:line="171" w:lineRule="exact"/>
              <w:ind w:left="25"/>
              <w:rPr>
                <w:sz w:val="16"/>
              </w:rPr>
            </w:pPr>
            <w:r>
              <w:rPr>
                <w:w w:val="100"/>
                <w:sz w:val="16"/>
                <w:u w:val="dotted" w:color="929292"/>
              </w:rPr>
              <w:t> </w:t>
            </w:r>
            <w:r>
              <w:rPr>
                <w:spacing w:val="-12"/>
                <w:sz w:val="16"/>
                <w:u w:val="dotted" w:color="929292"/>
              </w:rPr>
              <w:t> </w:t>
            </w:r>
            <w:r>
              <w:rPr>
                <w:w w:val="105"/>
                <w:sz w:val="16"/>
                <w:u w:val="dotted" w:color="929292"/>
              </w:rPr>
              <w:t>x</w:t>
            </w:r>
            <w:r>
              <w:rPr>
                <w:sz w:val="16"/>
                <w:u w:val="dotted" w:color="929292"/>
              </w:rPr>
              <w:tab/>
            </w:r>
          </w:p>
        </w:tc>
        <w:tc>
          <w:tcPr>
            <w:tcW w:w="1177" w:type="dxa"/>
            <w:tcBorders>
              <w:top w:val="single" w:sz="4" w:space="0" w:color="FFFFFF"/>
              <w:bottom w:val="single" w:sz="4" w:space="0" w:color="FFFFFF"/>
            </w:tcBorders>
          </w:tcPr>
          <w:p>
            <w:pPr>
              <w:pStyle w:val="TableParagraph"/>
              <w:tabs>
                <w:tab w:pos="1156" w:val="left" w:leader="none"/>
              </w:tabs>
              <w:spacing w:line="171" w:lineRule="exact"/>
              <w:ind w:left="25"/>
              <w:rPr>
                <w:sz w:val="16"/>
              </w:rPr>
            </w:pPr>
            <w:r>
              <w:rPr>
                <w:w w:val="100"/>
                <w:sz w:val="16"/>
                <w:u w:val="dotted" w:color="929292"/>
              </w:rPr>
              <w:t> </w:t>
            </w:r>
            <w:r>
              <w:rPr>
                <w:spacing w:val="-12"/>
                <w:sz w:val="16"/>
                <w:u w:val="dotted" w:color="929292"/>
              </w:rPr>
              <w:t> </w:t>
            </w:r>
            <w:r>
              <w:rPr>
                <w:w w:val="105"/>
                <w:sz w:val="16"/>
                <w:u w:val="dotted" w:color="929292"/>
              </w:rPr>
              <w:t>x</w:t>
            </w:r>
            <w:r>
              <w:rPr>
                <w:sz w:val="16"/>
                <w:u w:val="dotted" w:color="929292"/>
              </w:rPr>
              <w:tab/>
            </w:r>
          </w:p>
        </w:tc>
        <w:tc>
          <w:tcPr>
            <w:tcW w:w="1273" w:type="dxa"/>
            <w:tcBorders>
              <w:bottom w:val="single" w:sz="4" w:space="0" w:color="FFFFFF"/>
              <w:right w:val="nil"/>
            </w:tcBorders>
          </w:tcPr>
          <w:p>
            <w:pPr>
              <w:pStyle w:val="TableParagraph"/>
              <w:tabs>
                <w:tab w:pos="1227"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1383" w:type="dxa"/>
            <w:tcBorders>
              <w:top w:val="nil"/>
              <w:left w:val="nil"/>
              <w:bottom w:val="nil"/>
              <w:right w:val="dotted" w:sz="4" w:space="0" w:color="929292"/>
            </w:tcBorders>
          </w:tcPr>
          <w:p>
            <w:pPr>
              <w:pStyle w:val="TableParagraph"/>
              <w:tabs>
                <w:tab w:pos="1367" w:val="left" w:leader="none"/>
              </w:tabs>
              <w:spacing w:line="176" w:lineRule="exact"/>
              <w:rPr>
                <w:sz w:val="16"/>
              </w:rPr>
            </w:pPr>
            <w:r>
              <w:rPr>
                <w:w w:val="100"/>
                <w:sz w:val="16"/>
                <w:u w:val="dotted" w:color="929292"/>
              </w:rPr>
              <w:t> </w:t>
            </w:r>
            <w:r>
              <w:rPr>
                <w:spacing w:val="-16"/>
                <w:sz w:val="16"/>
                <w:u w:val="dotted" w:color="929292"/>
              </w:rPr>
              <w:t> </w:t>
            </w:r>
            <w:r>
              <w:rPr>
                <w:sz w:val="16"/>
                <w:u w:val="dotted" w:color="929292"/>
              </w:rPr>
              <w:t>Santa</w:t>
            </w:r>
            <w:r>
              <w:rPr>
                <w:spacing w:val="-10"/>
                <w:sz w:val="16"/>
                <w:u w:val="dotted" w:color="929292"/>
              </w:rPr>
              <w:t> </w:t>
            </w:r>
            <w:r>
              <w:rPr>
                <w:sz w:val="16"/>
                <w:u w:val="dotted" w:color="929292"/>
              </w:rPr>
              <w:t>Ana</w:t>
              <w:tab/>
            </w:r>
          </w:p>
        </w:tc>
        <w:tc>
          <w:tcPr>
            <w:tcW w:w="1034" w:type="dxa"/>
            <w:tcBorders>
              <w:top w:val="single" w:sz="4" w:space="0" w:color="FFFFFF"/>
              <w:left w:val="dotted" w:sz="4" w:space="0" w:color="929292"/>
              <w:bottom w:val="single" w:sz="4" w:space="0" w:color="FFFFFF"/>
            </w:tcBorders>
          </w:tcPr>
          <w:p>
            <w:pPr>
              <w:pStyle w:val="TableParagraph"/>
              <w:tabs>
                <w:tab w:pos="1013" w:val="left" w:leader="none"/>
              </w:tabs>
              <w:spacing w:line="171" w:lineRule="exact"/>
              <w:ind w:left="25"/>
              <w:rPr>
                <w:sz w:val="16"/>
              </w:rPr>
            </w:pPr>
            <w:r>
              <w:rPr>
                <w:w w:val="100"/>
                <w:sz w:val="16"/>
                <w:u w:val="dotted" w:color="929292"/>
              </w:rPr>
              <w:t> </w:t>
            </w:r>
            <w:r>
              <w:rPr>
                <w:sz w:val="16"/>
                <w:u w:val="dotted" w:color="929292"/>
              </w:rPr>
              <w:tab/>
            </w:r>
          </w:p>
        </w:tc>
        <w:tc>
          <w:tcPr>
            <w:tcW w:w="1783" w:type="dxa"/>
            <w:tcBorders>
              <w:top w:val="single" w:sz="4" w:space="0" w:color="FFFFFF"/>
              <w:bottom w:val="single" w:sz="4" w:space="0" w:color="FFFFFF"/>
            </w:tcBorders>
          </w:tcPr>
          <w:p>
            <w:pPr>
              <w:pStyle w:val="TableParagraph"/>
              <w:tabs>
                <w:tab w:pos="1753" w:val="left" w:leader="none"/>
              </w:tabs>
              <w:spacing w:line="171" w:lineRule="exact"/>
              <w:ind w:left="15"/>
              <w:jc w:val="center"/>
              <w:rPr>
                <w:sz w:val="16"/>
              </w:rPr>
            </w:pPr>
            <w:r>
              <w:rPr>
                <w:w w:val="100"/>
                <w:sz w:val="16"/>
                <w:u w:val="dotted" w:color="929292"/>
              </w:rPr>
              <w:t> </w:t>
            </w:r>
            <w:r>
              <w:rPr>
                <w:sz w:val="16"/>
                <w:u w:val="dotted" w:color="929292"/>
              </w:rPr>
              <w:tab/>
            </w:r>
          </w:p>
        </w:tc>
        <w:tc>
          <w:tcPr>
            <w:tcW w:w="939" w:type="dxa"/>
            <w:tcBorders>
              <w:top w:val="single" w:sz="4" w:space="0" w:color="FFFFFF"/>
              <w:bottom w:val="single" w:sz="4" w:space="0" w:color="FFFFFF"/>
            </w:tcBorders>
          </w:tcPr>
          <w:p>
            <w:pPr>
              <w:pStyle w:val="TableParagraph"/>
              <w:tabs>
                <w:tab w:pos="919" w:val="left" w:leader="none"/>
              </w:tabs>
              <w:spacing w:line="171" w:lineRule="exact"/>
              <w:ind w:left="25"/>
              <w:rPr>
                <w:sz w:val="16"/>
              </w:rPr>
            </w:pPr>
            <w:r>
              <w:rPr>
                <w:w w:val="100"/>
                <w:sz w:val="16"/>
                <w:u w:val="dotted" w:color="929292"/>
              </w:rPr>
              <w:t> </w:t>
            </w:r>
            <w:r>
              <w:rPr>
                <w:sz w:val="16"/>
                <w:u w:val="dotted" w:color="929292"/>
              </w:rPr>
              <w:tab/>
            </w:r>
          </w:p>
        </w:tc>
        <w:tc>
          <w:tcPr>
            <w:tcW w:w="1177" w:type="dxa"/>
            <w:tcBorders>
              <w:top w:val="single" w:sz="4" w:space="0" w:color="FFFFFF"/>
              <w:bottom w:val="single" w:sz="4" w:space="0" w:color="FFFFFF"/>
            </w:tcBorders>
          </w:tcPr>
          <w:p>
            <w:pPr>
              <w:pStyle w:val="TableParagraph"/>
              <w:tabs>
                <w:tab w:pos="1156" w:val="left" w:leader="none"/>
              </w:tabs>
              <w:spacing w:line="171" w:lineRule="exact"/>
              <w:ind w:left="25"/>
              <w:rPr>
                <w:sz w:val="16"/>
              </w:rPr>
            </w:pPr>
            <w:r>
              <w:rPr>
                <w:w w:val="100"/>
                <w:sz w:val="16"/>
                <w:u w:val="dotted" w:color="929292"/>
              </w:rPr>
              <w:t> </w:t>
            </w:r>
            <w:r>
              <w:rPr>
                <w:sz w:val="16"/>
                <w:u w:val="dotted" w:color="929292"/>
              </w:rPr>
              <w:tab/>
            </w:r>
          </w:p>
        </w:tc>
        <w:tc>
          <w:tcPr>
            <w:tcW w:w="1273" w:type="dxa"/>
            <w:tcBorders>
              <w:top w:val="single" w:sz="4" w:space="0" w:color="FFFFFF"/>
              <w:bottom w:val="single" w:sz="4" w:space="0" w:color="FFFFFF"/>
              <w:right w:val="nil"/>
            </w:tcBorders>
          </w:tcPr>
          <w:p>
            <w:pPr>
              <w:pStyle w:val="TableParagraph"/>
              <w:tabs>
                <w:tab w:pos="1227" w:val="left" w:leader="none"/>
              </w:tabs>
              <w:spacing w:line="171" w:lineRule="exact"/>
              <w:ind w:left="5"/>
              <w:jc w:val="center"/>
              <w:rPr>
                <w:sz w:val="16"/>
              </w:rPr>
            </w:pPr>
            <w:r>
              <w:rPr>
                <w:w w:val="100"/>
                <w:sz w:val="16"/>
                <w:u w:val="dotted" w:color="929292"/>
              </w:rPr>
              <w:t> </w:t>
            </w:r>
            <w:r>
              <w:rPr>
                <w:spacing w:val="-12"/>
                <w:sz w:val="16"/>
                <w:u w:val="dotted" w:color="929292"/>
              </w:rPr>
              <w:t> </w:t>
            </w:r>
            <w:r>
              <w:rPr>
                <w:w w:val="105"/>
                <w:sz w:val="16"/>
                <w:u w:val="dotted" w:color="929292"/>
              </w:rPr>
              <w:t>x</w:t>
            </w:r>
            <w:r>
              <w:rPr>
                <w:sz w:val="16"/>
                <w:u w:val="dotted" w:color="929292"/>
              </w:rPr>
              <w:tab/>
            </w:r>
          </w:p>
        </w:tc>
      </w:tr>
      <w:tr>
        <w:trPr>
          <w:trHeight w:val="192" w:hRule="exact"/>
        </w:trPr>
        <w:tc>
          <w:tcPr>
            <w:tcW w:w="1383" w:type="dxa"/>
            <w:tcBorders>
              <w:top w:val="nil"/>
              <w:left w:val="nil"/>
              <w:bottom w:val="nil"/>
              <w:right w:val="dotted" w:sz="4" w:space="0" w:color="929292"/>
            </w:tcBorders>
          </w:tcPr>
          <w:p>
            <w:pPr>
              <w:pStyle w:val="TableParagraph"/>
              <w:spacing w:line="176" w:lineRule="exact"/>
              <w:ind w:left="72" w:right="351"/>
              <w:rPr>
                <w:sz w:val="16"/>
              </w:rPr>
            </w:pPr>
            <w:r>
              <w:rPr>
                <w:sz w:val="16"/>
              </w:rPr>
              <w:t>Santa María</w:t>
            </w:r>
          </w:p>
        </w:tc>
        <w:tc>
          <w:tcPr>
            <w:tcW w:w="1034" w:type="dxa"/>
            <w:vMerge w:val="restart"/>
            <w:tcBorders>
              <w:top w:val="single" w:sz="4" w:space="0" w:color="FFFFFF"/>
              <w:left w:val="dotted" w:sz="4" w:space="0" w:color="929292"/>
            </w:tcBorders>
          </w:tcPr>
          <w:p>
            <w:pPr>
              <w:pStyle w:val="TableParagraph"/>
              <w:spacing w:before="3"/>
              <w:rPr>
                <w:sz w:val="16"/>
              </w:rPr>
            </w:pPr>
          </w:p>
          <w:p>
            <w:pPr>
              <w:pStyle w:val="TableParagraph"/>
              <w:tabs>
                <w:tab w:pos="1013" w:val="left" w:leader="none"/>
              </w:tabs>
              <w:ind w:left="25"/>
              <w:rPr>
                <w:sz w:val="16"/>
              </w:rPr>
            </w:pPr>
            <w:r>
              <w:rPr>
                <w:w w:val="100"/>
                <w:sz w:val="16"/>
                <w:u w:val="dotted" w:color="929292"/>
              </w:rPr>
              <w:t> </w:t>
            </w:r>
            <w:r>
              <w:rPr>
                <w:sz w:val="16"/>
                <w:u w:val="dotted" w:color="929292"/>
              </w:rPr>
              <w:tab/>
            </w:r>
          </w:p>
        </w:tc>
        <w:tc>
          <w:tcPr>
            <w:tcW w:w="1783" w:type="dxa"/>
            <w:vMerge w:val="restart"/>
            <w:tcBorders>
              <w:top w:val="single" w:sz="4" w:space="0" w:color="FFFFFF"/>
            </w:tcBorders>
          </w:tcPr>
          <w:p>
            <w:pPr>
              <w:pStyle w:val="TableParagraph"/>
              <w:spacing w:before="3"/>
              <w:rPr>
                <w:sz w:val="16"/>
              </w:rPr>
            </w:pPr>
          </w:p>
          <w:p>
            <w:pPr>
              <w:pStyle w:val="TableParagraph"/>
              <w:tabs>
                <w:tab w:pos="1763" w:val="left" w:leader="none"/>
              </w:tabs>
              <w:ind w:left="25"/>
              <w:rPr>
                <w:sz w:val="16"/>
              </w:rPr>
            </w:pPr>
            <w:r>
              <w:rPr>
                <w:w w:val="100"/>
                <w:sz w:val="16"/>
                <w:u w:val="dotted" w:color="929292"/>
              </w:rPr>
              <w:t> </w:t>
            </w:r>
            <w:r>
              <w:rPr>
                <w:sz w:val="16"/>
                <w:u w:val="dotted" w:color="929292"/>
              </w:rPr>
              <w:tab/>
            </w:r>
          </w:p>
        </w:tc>
        <w:tc>
          <w:tcPr>
            <w:tcW w:w="939" w:type="dxa"/>
            <w:vMerge w:val="restart"/>
            <w:tcBorders>
              <w:top w:val="single" w:sz="4" w:space="0" w:color="FFFFFF"/>
            </w:tcBorders>
          </w:tcPr>
          <w:p>
            <w:pPr>
              <w:pStyle w:val="TableParagraph"/>
              <w:spacing w:before="3"/>
              <w:rPr>
                <w:sz w:val="16"/>
              </w:rPr>
            </w:pPr>
          </w:p>
          <w:p>
            <w:pPr>
              <w:pStyle w:val="TableParagraph"/>
              <w:tabs>
                <w:tab w:pos="919" w:val="left" w:leader="none"/>
              </w:tabs>
              <w:ind w:left="25"/>
              <w:rPr>
                <w:sz w:val="16"/>
              </w:rPr>
            </w:pPr>
            <w:r>
              <w:rPr>
                <w:w w:val="100"/>
                <w:sz w:val="16"/>
                <w:u w:val="dotted" w:color="929292"/>
              </w:rPr>
              <w:t> </w:t>
            </w:r>
            <w:r>
              <w:rPr>
                <w:sz w:val="16"/>
                <w:u w:val="dotted" w:color="929292"/>
              </w:rPr>
              <w:tab/>
            </w:r>
          </w:p>
        </w:tc>
        <w:tc>
          <w:tcPr>
            <w:tcW w:w="1177" w:type="dxa"/>
            <w:vMerge w:val="restart"/>
            <w:tcBorders>
              <w:top w:val="single" w:sz="4" w:space="0" w:color="FFFFFF"/>
            </w:tcBorders>
          </w:tcPr>
          <w:p>
            <w:pPr>
              <w:pStyle w:val="TableParagraph"/>
              <w:spacing w:before="3"/>
              <w:rPr>
                <w:sz w:val="16"/>
              </w:rPr>
            </w:pPr>
          </w:p>
          <w:p>
            <w:pPr>
              <w:pStyle w:val="TableParagraph"/>
              <w:tabs>
                <w:tab w:pos="1156" w:val="left" w:leader="none"/>
              </w:tabs>
              <w:ind w:left="25"/>
              <w:rPr>
                <w:sz w:val="16"/>
              </w:rPr>
            </w:pPr>
            <w:r>
              <w:rPr>
                <w:w w:val="100"/>
                <w:sz w:val="16"/>
                <w:u w:val="dotted" w:color="929292"/>
              </w:rPr>
              <w:t> </w:t>
            </w:r>
            <w:r>
              <w:rPr>
                <w:sz w:val="16"/>
                <w:u w:val="dotted" w:color="929292"/>
              </w:rPr>
              <w:tab/>
            </w:r>
          </w:p>
        </w:tc>
        <w:tc>
          <w:tcPr>
            <w:tcW w:w="1273" w:type="dxa"/>
            <w:vMerge w:val="restart"/>
            <w:tcBorders>
              <w:top w:val="single" w:sz="4" w:space="0" w:color="FFFFFF"/>
              <w:right w:val="nil"/>
            </w:tcBorders>
          </w:tcPr>
          <w:p>
            <w:pPr>
              <w:pStyle w:val="TableParagraph"/>
              <w:spacing w:before="87"/>
              <w:ind w:left="102"/>
              <w:rPr>
                <w:sz w:val="16"/>
              </w:rPr>
            </w:pPr>
            <w:r>
              <w:rPr>
                <w:w w:val="103"/>
                <w:sz w:val="16"/>
              </w:rPr>
              <w:t>x</w:t>
            </w:r>
          </w:p>
        </w:tc>
      </w:tr>
      <w:tr>
        <w:trPr>
          <w:trHeight w:val="179" w:hRule="exact"/>
        </w:trPr>
        <w:tc>
          <w:tcPr>
            <w:tcW w:w="1383" w:type="dxa"/>
            <w:tcBorders>
              <w:top w:val="nil"/>
              <w:left w:val="nil"/>
              <w:bottom w:val="nil"/>
              <w:right w:val="dotted" w:sz="4" w:space="0" w:color="929292"/>
            </w:tcBorders>
          </w:tcPr>
          <w:p>
            <w:pPr>
              <w:pStyle w:val="TableParagraph"/>
              <w:tabs>
                <w:tab w:pos="1367" w:val="left" w:leader="none"/>
              </w:tabs>
              <w:rPr>
                <w:sz w:val="16"/>
              </w:rPr>
            </w:pPr>
            <w:r>
              <w:rPr>
                <w:w w:val="100"/>
                <w:sz w:val="16"/>
                <w:u w:val="dotted" w:color="929292"/>
              </w:rPr>
              <w:t> </w:t>
            </w:r>
            <w:r>
              <w:rPr>
                <w:spacing w:val="-16"/>
                <w:sz w:val="16"/>
                <w:u w:val="dotted" w:color="929292"/>
              </w:rPr>
              <w:t> </w:t>
            </w:r>
            <w:r>
              <w:rPr>
                <w:sz w:val="16"/>
                <w:u w:val="dotted" w:color="929292"/>
              </w:rPr>
              <w:t>Totoltepec</w:t>
              <w:tab/>
            </w:r>
          </w:p>
        </w:tc>
        <w:tc>
          <w:tcPr>
            <w:tcW w:w="1034" w:type="dxa"/>
            <w:vMerge/>
            <w:tcBorders>
              <w:left w:val="dotted" w:sz="4" w:space="0" w:color="929292"/>
              <w:bottom w:val="single" w:sz="4" w:space="0" w:color="FFFFFF"/>
            </w:tcBorders>
          </w:tcPr>
          <w:p>
            <w:pPr/>
          </w:p>
        </w:tc>
        <w:tc>
          <w:tcPr>
            <w:tcW w:w="1783" w:type="dxa"/>
            <w:vMerge/>
            <w:tcBorders>
              <w:bottom w:val="single" w:sz="4" w:space="0" w:color="FFFFFF"/>
            </w:tcBorders>
          </w:tcPr>
          <w:p>
            <w:pPr/>
          </w:p>
        </w:tc>
        <w:tc>
          <w:tcPr>
            <w:tcW w:w="939" w:type="dxa"/>
            <w:vMerge/>
            <w:tcBorders>
              <w:bottom w:val="single" w:sz="4" w:space="0" w:color="FFFFFF"/>
            </w:tcBorders>
          </w:tcPr>
          <w:p>
            <w:pPr/>
          </w:p>
        </w:tc>
        <w:tc>
          <w:tcPr>
            <w:tcW w:w="1177" w:type="dxa"/>
            <w:vMerge/>
            <w:tcBorders>
              <w:bottom w:val="single" w:sz="4" w:space="0" w:color="FFFFFF"/>
            </w:tcBorders>
          </w:tcPr>
          <w:p>
            <w:pPr/>
          </w:p>
        </w:tc>
        <w:tc>
          <w:tcPr>
            <w:tcW w:w="1273" w:type="dxa"/>
            <w:vMerge/>
            <w:tcBorders>
              <w:right w:val="nil"/>
            </w:tcBorders>
          </w:tcPr>
          <w:p>
            <w:pPr/>
          </w:p>
        </w:tc>
      </w:tr>
      <w:tr>
        <w:trPr>
          <w:trHeight w:val="192" w:hRule="exact"/>
        </w:trPr>
        <w:tc>
          <w:tcPr>
            <w:tcW w:w="1383" w:type="dxa"/>
            <w:tcBorders>
              <w:top w:val="nil"/>
              <w:left w:val="nil"/>
              <w:bottom w:val="nil"/>
              <w:right w:val="dotted" w:sz="4" w:space="0" w:color="929292"/>
            </w:tcBorders>
          </w:tcPr>
          <w:p>
            <w:pPr>
              <w:pStyle w:val="TableParagraph"/>
              <w:spacing w:line="176" w:lineRule="exact"/>
              <w:ind w:left="72" w:right="423"/>
              <w:rPr>
                <w:sz w:val="16"/>
              </w:rPr>
            </w:pPr>
            <w:r>
              <w:rPr>
                <w:sz w:val="16"/>
              </w:rPr>
              <w:t>Santiago</w:t>
            </w:r>
          </w:p>
        </w:tc>
        <w:tc>
          <w:tcPr>
            <w:tcW w:w="1034" w:type="dxa"/>
            <w:vMerge w:val="restart"/>
            <w:tcBorders>
              <w:top w:val="single" w:sz="4" w:space="0" w:color="FFFFFF"/>
              <w:left w:val="dotted" w:sz="4" w:space="0" w:color="929292"/>
            </w:tcBorders>
          </w:tcPr>
          <w:p>
            <w:pPr>
              <w:pStyle w:val="TableParagraph"/>
              <w:spacing w:before="87"/>
              <w:ind w:left="103"/>
              <w:rPr>
                <w:sz w:val="16"/>
              </w:rPr>
            </w:pPr>
            <w:r>
              <w:rPr>
                <w:w w:val="103"/>
                <w:sz w:val="16"/>
              </w:rPr>
              <w:t>x</w:t>
            </w:r>
          </w:p>
        </w:tc>
        <w:tc>
          <w:tcPr>
            <w:tcW w:w="1783" w:type="dxa"/>
            <w:vMerge w:val="restart"/>
            <w:tcBorders>
              <w:top w:val="single" w:sz="4" w:space="0" w:color="FFFFFF"/>
            </w:tcBorders>
          </w:tcPr>
          <w:p>
            <w:pPr/>
          </w:p>
        </w:tc>
        <w:tc>
          <w:tcPr>
            <w:tcW w:w="939" w:type="dxa"/>
            <w:vMerge w:val="restart"/>
            <w:tcBorders>
              <w:top w:val="single" w:sz="4" w:space="0" w:color="FFFFFF"/>
            </w:tcBorders>
          </w:tcPr>
          <w:p>
            <w:pPr/>
          </w:p>
        </w:tc>
        <w:tc>
          <w:tcPr>
            <w:tcW w:w="1177" w:type="dxa"/>
            <w:vMerge w:val="restart"/>
            <w:tcBorders>
              <w:top w:val="single" w:sz="4" w:space="0" w:color="FFFFFF"/>
            </w:tcBorders>
          </w:tcPr>
          <w:p>
            <w:pPr>
              <w:pStyle w:val="TableParagraph"/>
              <w:spacing w:before="87"/>
              <w:ind w:left="103"/>
              <w:rPr>
                <w:sz w:val="16"/>
              </w:rPr>
            </w:pPr>
            <w:r>
              <w:rPr>
                <w:w w:val="103"/>
                <w:sz w:val="16"/>
              </w:rPr>
              <w:t>x</w:t>
            </w:r>
          </w:p>
        </w:tc>
        <w:tc>
          <w:tcPr>
            <w:tcW w:w="1273" w:type="dxa"/>
            <w:vMerge w:val="restart"/>
            <w:tcBorders>
              <w:right w:val="nil"/>
            </w:tcBorders>
          </w:tcPr>
          <w:p>
            <w:pPr/>
          </w:p>
        </w:tc>
      </w:tr>
      <w:tr>
        <w:trPr>
          <w:trHeight w:val="179" w:hRule="exact"/>
        </w:trPr>
        <w:tc>
          <w:tcPr>
            <w:tcW w:w="1383" w:type="dxa"/>
            <w:tcBorders>
              <w:top w:val="nil"/>
              <w:left w:val="nil"/>
              <w:bottom w:val="nil"/>
              <w:right w:val="dotted" w:sz="4" w:space="0" w:color="929292"/>
            </w:tcBorders>
          </w:tcPr>
          <w:p>
            <w:pPr>
              <w:pStyle w:val="TableParagraph"/>
              <w:tabs>
                <w:tab w:pos="1367" w:val="left" w:leader="none"/>
              </w:tabs>
              <w:rPr>
                <w:sz w:val="16"/>
              </w:rPr>
            </w:pPr>
            <w:r>
              <w:rPr>
                <w:w w:val="100"/>
                <w:sz w:val="16"/>
                <w:u w:val="dotted" w:color="929292"/>
              </w:rPr>
              <w:t> </w:t>
            </w:r>
            <w:r>
              <w:rPr>
                <w:spacing w:val="-16"/>
                <w:sz w:val="16"/>
                <w:u w:val="dotted" w:color="929292"/>
              </w:rPr>
              <w:t> </w:t>
            </w:r>
            <w:r>
              <w:rPr>
                <w:w w:val="105"/>
                <w:sz w:val="16"/>
                <w:u w:val="dotted" w:color="929292"/>
              </w:rPr>
              <w:t>Miltepec</w:t>
            </w:r>
            <w:r>
              <w:rPr>
                <w:sz w:val="16"/>
                <w:u w:val="dotted" w:color="929292"/>
              </w:rPr>
              <w:tab/>
            </w:r>
          </w:p>
        </w:tc>
        <w:tc>
          <w:tcPr>
            <w:tcW w:w="1034" w:type="dxa"/>
            <w:vMerge/>
            <w:tcBorders>
              <w:left w:val="dotted" w:sz="4" w:space="0" w:color="929292"/>
              <w:bottom w:val="dotted" w:sz="4" w:space="0" w:color="929292"/>
            </w:tcBorders>
          </w:tcPr>
          <w:p>
            <w:pPr/>
          </w:p>
        </w:tc>
        <w:tc>
          <w:tcPr>
            <w:tcW w:w="1783" w:type="dxa"/>
            <w:vMerge/>
            <w:tcBorders>
              <w:bottom w:val="dotted" w:sz="4" w:space="0" w:color="929292"/>
            </w:tcBorders>
          </w:tcPr>
          <w:p>
            <w:pPr/>
          </w:p>
        </w:tc>
        <w:tc>
          <w:tcPr>
            <w:tcW w:w="939" w:type="dxa"/>
            <w:vMerge/>
            <w:tcBorders>
              <w:bottom w:val="dotted" w:sz="4" w:space="0" w:color="929292"/>
            </w:tcBorders>
          </w:tcPr>
          <w:p>
            <w:pPr/>
          </w:p>
        </w:tc>
        <w:tc>
          <w:tcPr>
            <w:tcW w:w="1177" w:type="dxa"/>
            <w:vMerge/>
            <w:tcBorders>
              <w:bottom w:val="dotted" w:sz="4" w:space="0" w:color="929292"/>
            </w:tcBorders>
          </w:tcPr>
          <w:p>
            <w:pPr/>
          </w:p>
        </w:tc>
        <w:tc>
          <w:tcPr>
            <w:tcW w:w="1273" w:type="dxa"/>
            <w:vMerge/>
            <w:tcBorders>
              <w:bottom w:val="dotted" w:sz="4" w:space="0" w:color="929292"/>
              <w:right w:val="nil"/>
            </w:tcBorders>
          </w:tcPr>
          <w:p>
            <w:pPr/>
          </w:p>
        </w:tc>
      </w:tr>
    </w:tbl>
    <w:p>
      <w:pPr>
        <w:pStyle w:val="BodyText"/>
        <w:spacing w:before="4"/>
        <w:rPr>
          <w:sz w:val="13"/>
        </w:rPr>
      </w:pPr>
    </w:p>
    <w:p>
      <w:pPr>
        <w:spacing w:before="0"/>
        <w:ind w:left="414" w:right="0" w:firstLine="0"/>
        <w:jc w:val="center"/>
        <w:rPr>
          <w:sz w:val="16"/>
        </w:rPr>
      </w:pPr>
      <w:r>
        <w:rPr>
          <w:color w:val="6D6E71"/>
          <w:sz w:val="16"/>
        </w:rPr>
        <w:t>Tabla 2. Clasificación de los sistemas de remoción en masa y zonas de distribución  espacial.</w:t>
      </w:r>
    </w:p>
    <w:p>
      <w:pPr>
        <w:spacing w:before="56"/>
        <w:ind w:left="414" w:right="0" w:firstLine="0"/>
        <w:jc w:val="center"/>
        <w:rPr>
          <w:sz w:val="16"/>
        </w:rPr>
      </w:pPr>
      <w:r>
        <w:rPr>
          <w:color w:val="6D6E71"/>
          <w:sz w:val="16"/>
        </w:rPr>
        <w:t>Fuente: Elaboración propia, (2016).</w:t>
      </w:r>
    </w:p>
    <w:p>
      <w:pPr>
        <w:pStyle w:val="BodyText"/>
        <w:spacing w:before="5"/>
        <w:rPr>
          <w:sz w:val="22"/>
        </w:rPr>
      </w:pPr>
    </w:p>
    <w:p>
      <w:pPr>
        <w:pStyle w:val="BodyText"/>
        <w:spacing w:line="249" w:lineRule="auto" w:before="1"/>
        <w:ind w:left="370" w:firstLine="170"/>
        <w:jc w:val="both"/>
      </w:pPr>
      <w:r>
        <w:rPr/>
        <w:t>Los procesos de deslizamiento se observan también en sitios compuestos por rellenos estabilizados con estructuras de mampostería que adolecen de sistemas de drenado eficiente.</w:t>
      </w:r>
    </w:p>
    <w:p>
      <w:pPr>
        <w:pStyle w:val="BodyText"/>
        <w:spacing w:before="11"/>
      </w:pPr>
    </w:p>
    <w:p>
      <w:pPr>
        <w:pStyle w:val="BodyText"/>
        <w:spacing w:line="249" w:lineRule="auto"/>
        <w:ind w:left="370" w:firstLine="170"/>
        <w:jc w:val="both"/>
      </w:pPr>
      <w:r>
        <w:rPr/>
        <w:t>Los procesos de remoción tienen un comportamiento de inicio-desarrollo caracterizados por la aleatoriedad del sistema, es decir, si bien la mayor incidencia de eventos</w:t>
      </w:r>
      <w:r>
        <w:rPr>
          <w:spacing w:val="-8"/>
        </w:rPr>
        <w:t> </w:t>
      </w:r>
      <w:r>
        <w:rPr/>
        <w:t>se</w:t>
      </w:r>
      <w:r>
        <w:rPr>
          <w:spacing w:val="-8"/>
        </w:rPr>
        <w:t> </w:t>
      </w:r>
      <w:r>
        <w:rPr/>
        <w:t>relaciona</w:t>
      </w:r>
      <w:r>
        <w:rPr>
          <w:spacing w:val="-8"/>
        </w:rPr>
        <w:t> </w:t>
      </w:r>
      <w:r>
        <w:rPr/>
        <w:t>con</w:t>
      </w:r>
      <w:r>
        <w:rPr>
          <w:spacing w:val="-8"/>
        </w:rPr>
        <w:t> </w:t>
      </w:r>
      <w:r>
        <w:rPr/>
        <w:t>el</w:t>
      </w:r>
      <w:r>
        <w:rPr>
          <w:spacing w:val="-8"/>
        </w:rPr>
        <w:t> </w:t>
      </w:r>
      <w:r>
        <w:rPr/>
        <w:t>periodos</w:t>
      </w:r>
      <w:r>
        <w:rPr>
          <w:spacing w:val="-8"/>
        </w:rPr>
        <w:t> </w:t>
      </w:r>
      <w:r>
        <w:rPr/>
        <w:t>común</w:t>
      </w:r>
      <w:r>
        <w:rPr>
          <w:spacing w:val="-8"/>
        </w:rPr>
        <w:t> </w:t>
      </w:r>
      <w:r>
        <w:rPr/>
        <w:t>(verano)</w:t>
      </w:r>
      <w:r>
        <w:rPr>
          <w:spacing w:val="-8"/>
        </w:rPr>
        <w:t> </w:t>
      </w:r>
      <w:r>
        <w:rPr/>
        <w:t>de</w:t>
      </w:r>
      <w:r>
        <w:rPr>
          <w:spacing w:val="-8"/>
        </w:rPr>
        <w:t> </w:t>
      </w:r>
      <w:r>
        <w:rPr/>
        <w:t>precipitación;</w:t>
      </w:r>
      <w:r>
        <w:rPr>
          <w:spacing w:val="-8"/>
        </w:rPr>
        <w:t> </w:t>
      </w:r>
      <w:r>
        <w:rPr/>
        <w:t>durante</w:t>
      </w:r>
      <w:r>
        <w:rPr>
          <w:spacing w:val="-8"/>
        </w:rPr>
        <w:t> </w:t>
      </w:r>
      <w:r>
        <w:rPr/>
        <w:t>el</w:t>
      </w:r>
      <w:r>
        <w:rPr>
          <w:spacing w:val="-8"/>
        </w:rPr>
        <w:t> </w:t>
      </w:r>
      <w:r>
        <w:rPr/>
        <w:t>estiaje y el invierno, las condiciones de lluvia y presencia de porcentajes altos de humedad atmosférica</w:t>
      </w:r>
      <w:r>
        <w:rPr>
          <w:spacing w:val="-5"/>
        </w:rPr>
        <w:t> </w:t>
      </w:r>
      <w:r>
        <w:rPr/>
        <w:t>que</w:t>
      </w:r>
      <w:r>
        <w:rPr>
          <w:spacing w:val="-5"/>
        </w:rPr>
        <w:t> </w:t>
      </w:r>
      <w:r>
        <w:rPr/>
        <w:t>se</w:t>
      </w:r>
      <w:r>
        <w:rPr>
          <w:spacing w:val="-5"/>
        </w:rPr>
        <w:t> </w:t>
      </w:r>
      <w:r>
        <w:rPr/>
        <w:t>relacionan</w:t>
      </w:r>
      <w:r>
        <w:rPr>
          <w:spacing w:val="-5"/>
        </w:rPr>
        <w:t> </w:t>
      </w:r>
      <w:r>
        <w:rPr/>
        <w:t>con</w:t>
      </w:r>
      <w:r>
        <w:rPr>
          <w:spacing w:val="-5"/>
        </w:rPr>
        <w:t> </w:t>
      </w:r>
      <w:r>
        <w:rPr/>
        <w:t>los</w:t>
      </w:r>
      <w:r>
        <w:rPr>
          <w:spacing w:val="-5"/>
        </w:rPr>
        <w:t> </w:t>
      </w:r>
      <w:r>
        <w:rPr/>
        <w:t>cambios</w:t>
      </w:r>
      <w:r>
        <w:rPr>
          <w:spacing w:val="-5"/>
        </w:rPr>
        <w:t> </w:t>
      </w:r>
      <w:r>
        <w:rPr/>
        <w:t>circadianos</w:t>
      </w:r>
      <w:r>
        <w:rPr>
          <w:spacing w:val="-5"/>
        </w:rPr>
        <w:t> </w:t>
      </w:r>
      <w:r>
        <w:rPr/>
        <w:t>de</w:t>
      </w:r>
      <w:r>
        <w:rPr>
          <w:spacing w:val="-5"/>
        </w:rPr>
        <w:t> </w:t>
      </w:r>
      <w:r>
        <w:rPr/>
        <w:t>la</w:t>
      </w:r>
      <w:r>
        <w:rPr>
          <w:spacing w:val="-5"/>
        </w:rPr>
        <w:t> </w:t>
      </w:r>
      <w:r>
        <w:rPr/>
        <w:t>temperatura</w:t>
      </w:r>
      <w:r>
        <w:rPr>
          <w:spacing w:val="-5"/>
        </w:rPr>
        <w:t> </w:t>
      </w:r>
      <w:r>
        <w:rPr/>
        <w:t>e</w:t>
      </w:r>
      <w:r>
        <w:rPr>
          <w:spacing w:val="-5"/>
        </w:rPr>
        <w:t> </w:t>
      </w:r>
      <w:r>
        <w:rPr/>
        <w:t>influyen</w:t>
      </w:r>
      <w:r>
        <w:rPr>
          <w:w w:val="99"/>
        </w:rPr>
        <w:t> </w:t>
      </w:r>
      <w:r>
        <w:rPr/>
        <w:t>en los procesos de hielo-deshielo, favorecen la ruptura de rocas por gelifracción, la </w:t>
      </w:r>
      <w:r>
        <w:rPr>
          <w:spacing w:val="-4"/>
        </w:rPr>
        <w:t>lubricación </w:t>
      </w:r>
      <w:r>
        <w:rPr>
          <w:spacing w:val="-3"/>
        </w:rPr>
        <w:t>y/o </w:t>
      </w:r>
      <w:r>
        <w:rPr>
          <w:spacing w:val="-4"/>
        </w:rPr>
        <w:t>saturación </w:t>
      </w:r>
      <w:r>
        <w:rPr/>
        <w:t>de </w:t>
      </w:r>
      <w:r>
        <w:rPr>
          <w:spacing w:val="-3"/>
        </w:rPr>
        <w:t>los </w:t>
      </w:r>
      <w:r>
        <w:rPr>
          <w:spacing w:val="-4"/>
        </w:rPr>
        <w:t>sustratos </w:t>
      </w:r>
      <w:r>
        <w:rPr/>
        <w:t>de </w:t>
      </w:r>
      <w:r>
        <w:rPr>
          <w:spacing w:val="-4"/>
        </w:rPr>
        <w:t>suelo </w:t>
      </w:r>
      <w:r>
        <w:rPr>
          <w:spacing w:val="-3"/>
        </w:rPr>
        <w:t>que </w:t>
      </w:r>
      <w:r>
        <w:rPr>
          <w:spacing w:val="-4"/>
        </w:rPr>
        <w:t>pueden </w:t>
      </w:r>
      <w:r>
        <w:rPr>
          <w:spacing w:val="-3"/>
        </w:rPr>
        <w:t>ser </w:t>
      </w:r>
      <w:r>
        <w:rPr>
          <w:spacing w:val="-4"/>
        </w:rPr>
        <w:t>fluidificados (Tabla</w:t>
      </w:r>
      <w:r>
        <w:rPr>
          <w:spacing w:val="35"/>
        </w:rPr>
        <w:t> </w:t>
      </w:r>
      <w:r>
        <w:rPr>
          <w:spacing w:val="-4"/>
        </w:rPr>
        <w:t>3).</w:t>
      </w:r>
    </w:p>
    <w:p>
      <w:pPr>
        <w:pStyle w:val="BodyText"/>
        <w:spacing w:line="249" w:lineRule="auto" w:before="76"/>
        <w:ind w:left="370" w:right="127" w:firstLine="170"/>
        <w:jc w:val="both"/>
      </w:pPr>
      <w:r>
        <w:rPr/>
        <w:br w:type="column"/>
      </w:r>
      <w:r>
        <w:rPr/>
        <w:t>El caso de hundimientos merece un apartado especial debido a que el origen de éstos se relaciona con el abatimiento de los niveles piezométricos del acuífero local,    a la influencia de los conos de abatimiento de los pozos; a la coalescencia de éstos generada por la relación de proximidad-abatimiento de las zonas de extracción y a   los procesos dinámicos del suelo que desarrollan lixiviación de arcillas, cambio en la densidad real y el transporte geohidrológico de</w:t>
      </w:r>
      <w:r>
        <w:rPr>
          <w:spacing w:val="52"/>
        </w:rPr>
        <w:t> </w:t>
      </w:r>
      <w:r>
        <w:rPr/>
        <w:t>materiales.</w:t>
      </w:r>
    </w:p>
    <w:p>
      <w:pPr>
        <w:pStyle w:val="BodyText"/>
        <w:spacing w:before="11"/>
      </w:pPr>
    </w:p>
    <w:p>
      <w:pPr>
        <w:pStyle w:val="BodyText"/>
        <w:spacing w:line="249" w:lineRule="auto"/>
        <w:ind w:left="370" w:right="127" w:firstLine="170"/>
        <w:jc w:val="both"/>
      </w:pPr>
      <w:r>
        <w:rPr/>
        <w:t>Las primeras evidencias “registradas” de forma oficial del proceso de hundimiento datan del año 1998 en donde la tendencia general del proceso presenta un comportamiento de extensión  territorial  acelerado  en  las  llanuras  de  inundación,  de crecidas y de crecidas máximas del río Lerma y de las zonas periféricas a éste.     La delegación que presenta la cantidad de hundimientos y desarrollo de fracturas originadas por la desecación vertical y horizontal del suelo es San Pedro Totoltepec, zona</w:t>
      </w:r>
      <w:r>
        <w:rPr>
          <w:spacing w:val="-13"/>
        </w:rPr>
        <w:t> </w:t>
      </w:r>
      <w:r>
        <w:rPr/>
        <w:t>en</w:t>
      </w:r>
      <w:r>
        <w:rPr>
          <w:spacing w:val="-13"/>
        </w:rPr>
        <w:t> </w:t>
      </w:r>
      <w:r>
        <w:rPr/>
        <w:t>la</w:t>
      </w:r>
      <w:r>
        <w:rPr>
          <w:spacing w:val="-13"/>
        </w:rPr>
        <w:t> </w:t>
      </w:r>
      <w:r>
        <w:rPr/>
        <w:t>que</w:t>
      </w:r>
      <w:r>
        <w:rPr>
          <w:spacing w:val="-13"/>
        </w:rPr>
        <w:t> </w:t>
      </w:r>
      <w:r>
        <w:rPr/>
        <w:t>se</w:t>
      </w:r>
      <w:r>
        <w:rPr>
          <w:spacing w:val="-13"/>
        </w:rPr>
        <w:t> </w:t>
      </w:r>
      <w:r>
        <w:rPr/>
        <w:t>encuentra</w:t>
      </w:r>
      <w:r>
        <w:rPr>
          <w:spacing w:val="-13"/>
        </w:rPr>
        <w:t> </w:t>
      </w:r>
      <w:r>
        <w:rPr/>
        <w:t>localizado</w:t>
      </w:r>
      <w:r>
        <w:rPr>
          <w:spacing w:val="-13"/>
        </w:rPr>
        <w:t> </w:t>
      </w:r>
      <w:r>
        <w:rPr/>
        <w:t>el</w:t>
      </w:r>
      <w:r>
        <w:rPr>
          <w:spacing w:val="-13"/>
        </w:rPr>
        <w:t> </w:t>
      </w:r>
      <w:r>
        <w:rPr/>
        <w:t>Aeropuerto</w:t>
      </w:r>
      <w:r>
        <w:rPr>
          <w:spacing w:val="-13"/>
        </w:rPr>
        <w:t> </w:t>
      </w:r>
      <w:r>
        <w:rPr/>
        <w:t>Internacional</w:t>
      </w:r>
      <w:r>
        <w:rPr>
          <w:spacing w:val="-13"/>
        </w:rPr>
        <w:t> </w:t>
      </w:r>
      <w:r>
        <w:rPr/>
        <w:t>Adolfo</w:t>
      </w:r>
      <w:r>
        <w:rPr>
          <w:spacing w:val="-13"/>
        </w:rPr>
        <w:t> </w:t>
      </w:r>
      <w:r>
        <w:rPr/>
        <w:t>López</w:t>
      </w:r>
      <w:r>
        <w:rPr>
          <w:spacing w:val="-13"/>
        </w:rPr>
        <w:t> </w:t>
      </w:r>
      <w:r>
        <w:rPr/>
        <w:t>Mateos de la ciudad de Toluca, el cual junto con toda la unidad territorial se encuentra sujeta a inundaciones</w:t>
      </w:r>
      <w:r>
        <w:rPr>
          <w:spacing w:val="21"/>
        </w:rPr>
        <w:t> </w:t>
      </w:r>
      <w:r>
        <w:rPr/>
        <w:t>temporales.</w:t>
      </w:r>
    </w:p>
    <w:p>
      <w:pPr>
        <w:pStyle w:val="BodyText"/>
        <w:spacing w:before="11"/>
      </w:pPr>
    </w:p>
    <w:p>
      <w:pPr>
        <w:pStyle w:val="BodyText"/>
        <w:spacing w:line="249" w:lineRule="auto"/>
        <w:ind w:left="370" w:right="128" w:firstLine="170"/>
        <w:jc w:val="both"/>
      </w:pPr>
      <w:r>
        <w:rPr/>
        <w:t>Cabe</w:t>
      </w:r>
      <w:r>
        <w:rPr>
          <w:spacing w:val="-5"/>
        </w:rPr>
        <w:t> </w:t>
      </w:r>
      <w:r>
        <w:rPr/>
        <w:t>destacar</w:t>
      </w:r>
      <w:r>
        <w:rPr>
          <w:spacing w:val="-5"/>
        </w:rPr>
        <w:t> </w:t>
      </w:r>
      <w:r>
        <w:rPr/>
        <w:t>que</w:t>
      </w:r>
      <w:r>
        <w:rPr>
          <w:spacing w:val="-5"/>
        </w:rPr>
        <w:t> </w:t>
      </w:r>
      <w:r>
        <w:rPr/>
        <w:t>para</w:t>
      </w:r>
      <w:r>
        <w:rPr>
          <w:spacing w:val="-5"/>
        </w:rPr>
        <w:t> </w:t>
      </w:r>
      <w:r>
        <w:rPr/>
        <w:t>este</w:t>
      </w:r>
      <w:r>
        <w:rPr>
          <w:spacing w:val="-5"/>
        </w:rPr>
        <w:t> </w:t>
      </w:r>
      <w:r>
        <w:rPr/>
        <w:t>caso,</w:t>
      </w:r>
      <w:r>
        <w:rPr>
          <w:spacing w:val="-5"/>
        </w:rPr>
        <w:t> </w:t>
      </w:r>
      <w:r>
        <w:rPr/>
        <w:t>la</w:t>
      </w:r>
      <w:r>
        <w:rPr>
          <w:spacing w:val="-5"/>
        </w:rPr>
        <w:t> </w:t>
      </w:r>
      <w:r>
        <w:rPr/>
        <w:t>información</w:t>
      </w:r>
      <w:r>
        <w:rPr>
          <w:spacing w:val="-5"/>
        </w:rPr>
        <w:t> </w:t>
      </w:r>
      <w:r>
        <w:rPr/>
        <w:t>sobre</w:t>
      </w:r>
      <w:r>
        <w:rPr>
          <w:spacing w:val="-5"/>
        </w:rPr>
        <w:t> </w:t>
      </w:r>
      <w:r>
        <w:rPr/>
        <w:t>las</w:t>
      </w:r>
      <w:r>
        <w:rPr>
          <w:spacing w:val="-5"/>
        </w:rPr>
        <w:t> </w:t>
      </w:r>
      <w:r>
        <w:rPr/>
        <w:t>actividades</w:t>
      </w:r>
      <w:r>
        <w:rPr>
          <w:spacing w:val="-5"/>
        </w:rPr>
        <w:t> </w:t>
      </w:r>
      <w:r>
        <w:rPr/>
        <w:t>de</w:t>
      </w:r>
      <w:r>
        <w:rPr>
          <w:spacing w:val="-5"/>
        </w:rPr>
        <w:t> </w:t>
      </w:r>
      <w:r>
        <w:rPr/>
        <w:t>extracción de agua, las metodologías, criterios establecidos y datos específicos de volúmenes de extracción, niveles piezométricos y recarga del acuífero no se encuentran  </w:t>
      </w:r>
      <w:r>
        <w:rPr>
          <w:spacing w:val="10"/>
        </w:rPr>
        <w:t> </w:t>
      </w:r>
      <w:r>
        <w:rPr/>
        <w:t>disponibles</w:t>
      </w:r>
    </w:p>
    <w:p>
      <w:pPr>
        <w:pStyle w:val="BodyText"/>
        <w:spacing w:line="249" w:lineRule="auto" w:before="1"/>
        <w:ind w:left="370" w:right="127"/>
        <w:jc w:val="both"/>
      </w:pPr>
      <w:r>
        <w:rPr/>
        <w:t>–aún</w:t>
      </w:r>
      <w:r>
        <w:rPr>
          <w:spacing w:val="-6"/>
        </w:rPr>
        <w:t> </w:t>
      </w:r>
      <w:r>
        <w:rPr/>
        <w:t>y</w:t>
      </w:r>
      <w:r>
        <w:rPr>
          <w:spacing w:val="-6"/>
        </w:rPr>
        <w:t> </w:t>
      </w:r>
      <w:r>
        <w:rPr/>
        <w:t>a</w:t>
      </w:r>
      <w:r>
        <w:rPr>
          <w:spacing w:val="-6"/>
        </w:rPr>
        <w:t> </w:t>
      </w:r>
      <w:r>
        <w:rPr/>
        <w:t>pesar</w:t>
      </w:r>
      <w:r>
        <w:rPr>
          <w:spacing w:val="-6"/>
        </w:rPr>
        <w:t> </w:t>
      </w:r>
      <w:r>
        <w:rPr/>
        <w:t>de</w:t>
      </w:r>
      <w:r>
        <w:rPr>
          <w:spacing w:val="-6"/>
        </w:rPr>
        <w:t> </w:t>
      </w:r>
      <w:r>
        <w:rPr/>
        <w:t>la</w:t>
      </w:r>
      <w:r>
        <w:rPr>
          <w:spacing w:val="-6"/>
        </w:rPr>
        <w:t> </w:t>
      </w:r>
      <w:r>
        <w:rPr/>
        <w:t>Ley</w:t>
      </w:r>
      <w:r>
        <w:rPr>
          <w:spacing w:val="-6"/>
        </w:rPr>
        <w:t> </w:t>
      </w:r>
      <w:r>
        <w:rPr/>
        <w:t>de</w:t>
      </w:r>
      <w:r>
        <w:rPr>
          <w:spacing w:val="-6"/>
        </w:rPr>
        <w:t> </w:t>
      </w:r>
      <w:r>
        <w:rPr/>
        <w:t>Transparencia-</w:t>
      </w:r>
      <w:r>
        <w:rPr>
          <w:spacing w:val="-6"/>
        </w:rPr>
        <w:t> </w:t>
      </w:r>
      <w:r>
        <w:rPr/>
        <w:t>así</w:t>
      </w:r>
      <w:r>
        <w:rPr>
          <w:spacing w:val="-6"/>
        </w:rPr>
        <w:t> </w:t>
      </w:r>
      <w:r>
        <w:rPr/>
        <w:t>como</w:t>
      </w:r>
      <w:r>
        <w:rPr>
          <w:spacing w:val="-6"/>
        </w:rPr>
        <w:t> </w:t>
      </w:r>
      <w:r>
        <w:rPr/>
        <w:t>la</w:t>
      </w:r>
      <w:r>
        <w:rPr>
          <w:spacing w:val="-6"/>
        </w:rPr>
        <w:t> </w:t>
      </w:r>
      <w:r>
        <w:rPr/>
        <w:t>concerniente</w:t>
      </w:r>
      <w:r>
        <w:rPr>
          <w:spacing w:val="-6"/>
        </w:rPr>
        <w:t> </w:t>
      </w:r>
      <w:r>
        <w:rPr/>
        <w:t>a</w:t>
      </w:r>
      <w:r>
        <w:rPr>
          <w:spacing w:val="-6"/>
        </w:rPr>
        <w:t> </w:t>
      </w:r>
      <w:r>
        <w:rPr/>
        <w:t>las</w:t>
      </w:r>
      <w:r>
        <w:rPr>
          <w:spacing w:val="-6"/>
        </w:rPr>
        <w:t> </w:t>
      </w:r>
      <w:r>
        <w:rPr/>
        <w:t>concesiones otorgadas por el municipio y de los pozos clandestinos. Tan solo se conoce que del acuífero se dota un servicio de abasto para más de diez millones de personas y que la recarga general es de 37 millones de metros cúbicos al año según CONAGUA (2015), lo que implica un déficit en el sistema geohidrológico de la </w:t>
      </w:r>
      <w:r>
        <w:rPr>
          <w:spacing w:val="23"/>
        </w:rPr>
        <w:t> </w:t>
      </w:r>
      <w:r>
        <w:rPr/>
        <w:t>cuenca.</w:t>
      </w:r>
    </w:p>
    <w:p>
      <w:pPr>
        <w:pStyle w:val="BodyText"/>
        <w:spacing w:before="11"/>
      </w:pPr>
    </w:p>
    <w:p>
      <w:pPr>
        <w:pStyle w:val="BodyText"/>
        <w:spacing w:line="249" w:lineRule="auto"/>
        <w:ind w:left="370" w:right="128" w:firstLine="170"/>
        <w:jc w:val="both"/>
      </w:pPr>
      <w:r>
        <w:rPr/>
        <w:t>En</w:t>
      </w:r>
      <w:r>
        <w:rPr>
          <w:spacing w:val="-8"/>
        </w:rPr>
        <w:t> </w:t>
      </w:r>
      <w:r>
        <w:rPr/>
        <w:t>la</w:t>
      </w:r>
      <w:r>
        <w:rPr>
          <w:spacing w:val="-8"/>
        </w:rPr>
        <w:t> </w:t>
      </w:r>
      <w:r>
        <w:rPr/>
        <w:t>Figura</w:t>
      </w:r>
      <w:r>
        <w:rPr>
          <w:spacing w:val="-8"/>
        </w:rPr>
        <w:t> </w:t>
      </w:r>
      <w:r>
        <w:rPr/>
        <w:t>3</w:t>
      </w:r>
      <w:r>
        <w:rPr>
          <w:spacing w:val="-8"/>
        </w:rPr>
        <w:t> </w:t>
      </w:r>
      <w:r>
        <w:rPr/>
        <w:t>se</w:t>
      </w:r>
      <w:r>
        <w:rPr>
          <w:spacing w:val="-8"/>
        </w:rPr>
        <w:t> </w:t>
      </w:r>
      <w:r>
        <w:rPr/>
        <w:t>observa</w:t>
      </w:r>
      <w:r>
        <w:rPr>
          <w:spacing w:val="-8"/>
        </w:rPr>
        <w:t> </w:t>
      </w:r>
      <w:r>
        <w:rPr/>
        <w:t>en</w:t>
      </w:r>
      <w:r>
        <w:rPr>
          <w:spacing w:val="-8"/>
        </w:rPr>
        <w:t> </w:t>
      </w:r>
      <w:r>
        <w:rPr/>
        <w:t>esbozo</w:t>
      </w:r>
      <w:r>
        <w:rPr>
          <w:spacing w:val="-8"/>
        </w:rPr>
        <w:t> </w:t>
      </w:r>
      <w:r>
        <w:rPr/>
        <w:t>de</w:t>
      </w:r>
      <w:r>
        <w:rPr>
          <w:spacing w:val="-8"/>
        </w:rPr>
        <w:t> </w:t>
      </w:r>
      <w:r>
        <w:rPr/>
        <w:t>las</w:t>
      </w:r>
      <w:r>
        <w:rPr>
          <w:spacing w:val="-8"/>
        </w:rPr>
        <w:t> </w:t>
      </w:r>
      <w:r>
        <w:rPr/>
        <w:t>variables</w:t>
      </w:r>
      <w:r>
        <w:rPr>
          <w:spacing w:val="-8"/>
        </w:rPr>
        <w:t> </w:t>
      </w:r>
      <w:r>
        <w:rPr/>
        <w:t>que</w:t>
      </w:r>
      <w:r>
        <w:rPr>
          <w:spacing w:val="-8"/>
        </w:rPr>
        <w:t> </w:t>
      </w:r>
      <w:r>
        <w:rPr/>
        <w:t>intervienen</w:t>
      </w:r>
      <w:r>
        <w:rPr>
          <w:spacing w:val="-8"/>
        </w:rPr>
        <w:t> </w:t>
      </w:r>
      <w:r>
        <w:rPr/>
        <w:t>en</w:t>
      </w:r>
      <w:r>
        <w:rPr>
          <w:spacing w:val="-8"/>
        </w:rPr>
        <w:t> </w:t>
      </w:r>
      <w:r>
        <w:rPr/>
        <w:t>el</w:t>
      </w:r>
      <w:r>
        <w:rPr>
          <w:spacing w:val="-8"/>
        </w:rPr>
        <w:t> </w:t>
      </w:r>
      <w:r>
        <w:rPr/>
        <w:t>proceso</w:t>
      </w:r>
      <w:r>
        <w:rPr>
          <w:spacing w:val="-8"/>
        </w:rPr>
        <w:t> </w:t>
      </w:r>
      <w:r>
        <w:rPr/>
        <w:t>de aceleración de la remoción en masa en la</w:t>
      </w:r>
      <w:r>
        <w:rPr>
          <w:spacing w:val="27"/>
        </w:rPr>
        <w:t> </w:t>
      </w:r>
      <w:r>
        <w:rPr/>
        <w:t>municipalidad.</w:t>
      </w:r>
    </w:p>
    <w:p>
      <w:pPr>
        <w:spacing w:after="0" w:line="249" w:lineRule="auto"/>
        <w:jc w:val="both"/>
        <w:sectPr>
          <w:type w:val="continuous"/>
          <w:pgSz w:w="18830" w:h="12760" w:orient="landscape"/>
          <w:pgMar w:top="1420" w:bottom="280" w:left="480" w:right="720"/>
          <w:cols w:num="2" w:equalWidth="0">
            <w:col w:w="8082" w:space="1329"/>
            <w:col w:w="8219"/>
          </w:cols>
        </w:sectPr>
      </w:pPr>
    </w:p>
    <w:p>
      <w:pPr>
        <w:pStyle w:val="BodyText"/>
        <w:spacing w:before="4"/>
        <w:rPr>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6"/>
        <w:gridCol w:w="567"/>
        <w:gridCol w:w="467"/>
        <w:gridCol w:w="567"/>
        <w:gridCol w:w="567"/>
        <w:gridCol w:w="567"/>
        <w:gridCol w:w="667"/>
        <w:gridCol w:w="667"/>
        <w:gridCol w:w="667"/>
        <w:gridCol w:w="667"/>
        <w:gridCol w:w="567"/>
        <w:gridCol w:w="567"/>
        <w:gridCol w:w="492"/>
      </w:tblGrid>
      <w:tr>
        <w:trPr>
          <w:trHeight w:val="173" w:hRule="exact"/>
        </w:trPr>
        <w:tc>
          <w:tcPr>
            <w:tcW w:w="1186" w:type="dxa"/>
          </w:tcPr>
          <w:p>
            <w:pPr/>
          </w:p>
        </w:tc>
        <w:tc>
          <w:tcPr>
            <w:tcW w:w="567" w:type="dxa"/>
          </w:tcPr>
          <w:p>
            <w:pPr>
              <w:pStyle w:val="TableParagraph"/>
              <w:spacing w:line="174" w:lineRule="exact"/>
              <w:jc w:val="center"/>
              <w:rPr>
                <w:b/>
                <w:sz w:val="16"/>
              </w:rPr>
            </w:pPr>
            <w:r>
              <w:rPr>
                <w:b/>
                <w:sz w:val="16"/>
              </w:rPr>
              <w:t>E</w:t>
            </w:r>
          </w:p>
        </w:tc>
        <w:tc>
          <w:tcPr>
            <w:tcW w:w="467" w:type="dxa"/>
          </w:tcPr>
          <w:p>
            <w:pPr>
              <w:pStyle w:val="TableParagraph"/>
              <w:spacing w:line="174" w:lineRule="exact"/>
              <w:jc w:val="center"/>
              <w:rPr>
                <w:b/>
                <w:sz w:val="16"/>
              </w:rPr>
            </w:pPr>
            <w:r>
              <w:rPr>
                <w:b/>
                <w:sz w:val="16"/>
              </w:rPr>
              <w:t>F</w:t>
            </w:r>
          </w:p>
        </w:tc>
        <w:tc>
          <w:tcPr>
            <w:tcW w:w="567" w:type="dxa"/>
          </w:tcPr>
          <w:p>
            <w:pPr>
              <w:pStyle w:val="TableParagraph"/>
              <w:spacing w:line="174" w:lineRule="exact"/>
              <w:jc w:val="center"/>
              <w:rPr>
                <w:b/>
                <w:sz w:val="16"/>
              </w:rPr>
            </w:pPr>
            <w:r>
              <w:rPr>
                <w:b/>
                <w:sz w:val="16"/>
              </w:rPr>
              <w:t>M</w:t>
            </w:r>
          </w:p>
        </w:tc>
        <w:tc>
          <w:tcPr>
            <w:tcW w:w="567" w:type="dxa"/>
          </w:tcPr>
          <w:p>
            <w:pPr>
              <w:pStyle w:val="TableParagraph"/>
              <w:spacing w:line="174" w:lineRule="exact"/>
              <w:jc w:val="center"/>
              <w:rPr>
                <w:b/>
                <w:sz w:val="16"/>
              </w:rPr>
            </w:pPr>
            <w:r>
              <w:rPr>
                <w:b/>
                <w:sz w:val="16"/>
              </w:rPr>
              <w:t>A</w:t>
            </w:r>
          </w:p>
        </w:tc>
        <w:tc>
          <w:tcPr>
            <w:tcW w:w="567" w:type="dxa"/>
          </w:tcPr>
          <w:p>
            <w:pPr>
              <w:pStyle w:val="TableParagraph"/>
              <w:spacing w:line="174" w:lineRule="exact"/>
              <w:jc w:val="center"/>
              <w:rPr>
                <w:b/>
                <w:sz w:val="16"/>
              </w:rPr>
            </w:pPr>
            <w:r>
              <w:rPr>
                <w:b/>
                <w:sz w:val="16"/>
              </w:rPr>
              <w:t>M</w:t>
            </w:r>
          </w:p>
        </w:tc>
        <w:tc>
          <w:tcPr>
            <w:tcW w:w="667" w:type="dxa"/>
          </w:tcPr>
          <w:p>
            <w:pPr>
              <w:pStyle w:val="TableParagraph"/>
              <w:spacing w:line="174" w:lineRule="exact"/>
              <w:jc w:val="center"/>
              <w:rPr>
                <w:b/>
                <w:sz w:val="16"/>
              </w:rPr>
            </w:pPr>
            <w:r>
              <w:rPr>
                <w:b/>
                <w:sz w:val="16"/>
              </w:rPr>
              <w:t>J</w:t>
            </w:r>
          </w:p>
        </w:tc>
        <w:tc>
          <w:tcPr>
            <w:tcW w:w="667" w:type="dxa"/>
          </w:tcPr>
          <w:p>
            <w:pPr>
              <w:pStyle w:val="TableParagraph"/>
              <w:spacing w:line="174" w:lineRule="exact"/>
              <w:jc w:val="center"/>
              <w:rPr>
                <w:b/>
                <w:sz w:val="16"/>
              </w:rPr>
            </w:pPr>
            <w:r>
              <w:rPr>
                <w:b/>
                <w:sz w:val="16"/>
              </w:rPr>
              <w:t>J</w:t>
            </w:r>
          </w:p>
        </w:tc>
        <w:tc>
          <w:tcPr>
            <w:tcW w:w="667" w:type="dxa"/>
          </w:tcPr>
          <w:p>
            <w:pPr>
              <w:pStyle w:val="TableParagraph"/>
              <w:spacing w:line="174" w:lineRule="exact"/>
              <w:jc w:val="center"/>
              <w:rPr>
                <w:b/>
                <w:sz w:val="16"/>
              </w:rPr>
            </w:pPr>
            <w:r>
              <w:rPr>
                <w:b/>
                <w:sz w:val="16"/>
              </w:rPr>
              <w:t>A</w:t>
            </w:r>
          </w:p>
        </w:tc>
        <w:tc>
          <w:tcPr>
            <w:tcW w:w="667" w:type="dxa"/>
          </w:tcPr>
          <w:p>
            <w:pPr>
              <w:pStyle w:val="TableParagraph"/>
              <w:spacing w:line="174" w:lineRule="exact"/>
              <w:jc w:val="center"/>
              <w:rPr>
                <w:b/>
                <w:sz w:val="16"/>
              </w:rPr>
            </w:pPr>
            <w:r>
              <w:rPr>
                <w:b/>
                <w:sz w:val="16"/>
              </w:rPr>
              <w:t>S</w:t>
            </w:r>
          </w:p>
        </w:tc>
        <w:tc>
          <w:tcPr>
            <w:tcW w:w="567" w:type="dxa"/>
          </w:tcPr>
          <w:p>
            <w:pPr>
              <w:pStyle w:val="TableParagraph"/>
              <w:spacing w:line="174" w:lineRule="exact"/>
              <w:jc w:val="center"/>
              <w:rPr>
                <w:b/>
                <w:sz w:val="16"/>
              </w:rPr>
            </w:pPr>
            <w:r>
              <w:rPr>
                <w:b/>
                <w:sz w:val="16"/>
              </w:rPr>
              <w:t>O</w:t>
            </w:r>
          </w:p>
        </w:tc>
        <w:tc>
          <w:tcPr>
            <w:tcW w:w="567" w:type="dxa"/>
          </w:tcPr>
          <w:p>
            <w:pPr>
              <w:pStyle w:val="TableParagraph"/>
              <w:spacing w:line="174" w:lineRule="exact"/>
              <w:jc w:val="center"/>
              <w:rPr>
                <w:b/>
                <w:sz w:val="16"/>
              </w:rPr>
            </w:pPr>
            <w:r>
              <w:rPr>
                <w:b/>
                <w:sz w:val="16"/>
              </w:rPr>
              <w:t>N</w:t>
            </w:r>
          </w:p>
        </w:tc>
        <w:tc>
          <w:tcPr>
            <w:tcW w:w="492" w:type="dxa"/>
          </w:tcPr>
          <w:p>
            <w:pPr>
              <w:pStyle w:val="TableParagraph"/>
              <w:spacing w:line="174" w:lineRule="exact"/>
              <w:jc w:val="center"/>
              <w:rPr>
                <w:b/>
                <w:sz w:val="16"/>
              </w:rPr>
            </w:pPr>
            <w:r>
              <w:rPr>
                <w:b/>
                <w:sz w:val="16"/>
              </w:rPr>
              <w:t>D</w:t>
            </w:r>
          </w:p>
        </w:tc>
      </w:tr>
      <w:tr>
        <w:trPr>
          <w:trHeight w:val="371" w:hRule="exact"/>
        </w:trPr>
        <w:tc>
          <w:tcPr>
            <w:tcW w:w="1186" w:type="dxa"/>
          </w:tcPr>
          <w:p>
            <w:pPr>
              <w:pStyle w:val="TableParagraph"/>
              <w:spacing w:line="171" w:lineRule="exact"/>
              <w:ind w:left="109" w:right="109"/>
              <w:jc w:val="center"/>
              <w:rPr>
                <w:sz w:val="16"/>
              </w:rPr>
            </w:pPr>
            <w:r>
              <w:rPr>
                <w:sz w:val="16"/>
              </w:rPr>
              <w:t>Temperatura</w:t>
            </w:r>
          </w:p>
          <w:p>
            <w:pPr>
              <w:pStyle w:val="TableParagraph"/>
              <w:spacing w:before="16"/>
              <w:ind w:left="109" w:right="109"/>
              <w:jc w:val="center"/>
              <w:rPr>
                <w:sz w:val="16"/>
              </w:rPr>
            </w:pPr>
            <w:r>
              <w:rPr>
                <w:sz w:val="16"/>
              </w:rPr>
              <w:t>en </w:t>
            </w:r>
            <w:r>
              <w:rPr>
                <w:position w:val="5"/>
                <w:sz w:val="9"/>
              </w:rPr>
              <w:t>0</w:t>
            </w:r>
            <w:r>
              <w:rPr>
                <w:sz w:val="16"/>
              </w:rPr>
              <w:t>C</w:t>
            </w:r>
          </w:p>
        </w:tc>
        <w:tc>
          <w:tcPr>
            <w:tcW w:w="567" w:type="dxa"/>
          </w:tcPr>
          <w:p>
            <w:pPr>
              <w:pStyle w:val="TableParagraph"/>
              <w:spacing w:line="171" w:lineRule="exact"/>
              <w:ind w:left="84" w:right="84"/>
              <w:jc w:val="center"/>
              <w:rPr>
                <w:sz w:val="16"/>
              </w:rPr>
            </w:pPr>
            <w:r>
              <w:rPr>
                <w:sz w:val="16"/>
              </w:rPr>
              <w:t>5.7</w:t>
            </w:r>
          </w:p>
        </w:tc>
        <w:tc>
          <w:tcPr>
            <w:tcW w:w="467" w:type="dxa"/>
          </w:tcPr>
          <w:p>
            <w:pPr>
              <w:pStyle w:val="TableParagraph"/>
              <w:spacing w:line="171" w:lineRule="exact"/>
              <w:ind w:left="97" w:right="97"/>
              <w:jc w:val="center"/>
              <w:rPr>
                <w:sz w:val="16"/>
              </w:rPr>
            </w:pPr>
            <w:r>
              <w:rPr>
                <w:sz w:val="16"/>
              </w:rPr>
              <w:t>7.5</w:t>
            </w:r>
          </w:p>
        </w:tc>
        <w:tc>
          <w:tcPr>
            <w:tcW w:w="567" w:type="dxa"/>
          </w:tcPr>
          <w:p>
            <w:pPr>
              <w:pStyle w:val="TableParagraph"/>
              <w:spacing w:line="171" w:lineRule="exact"/>
              <w:ind w:left="84" w:right="84"/>
              <w:jc w:val="center"/>
              <w:rPr>
                <w:sz w:val="16"/>
              </w:rPr>
            </w:pPr>
            <w:r>
              <w:rPr>
                <w:sz w:val="16"/>
              </w:rPr>
              <w:t>10.7</w:t>
            </w:r>
          </w:p>
        </w:tc>
        <w:tc>
          <w:tcPr>
            <w:tcW w:w="567" w:type="dxa"/>
          </w:tcPr>
          <w:p>
            <w:pPr>
              <w:pStyle w:val="TableParagraph"/>
              <w:spacing w:line="171" w:lineRule="exact"/>
              <w:ind w:left="84" w:right="84"/>
              <w:jc w:val="center"/>
              <w:rPr>
                <w:sz w:val="16"/>
              </w:rPr>
            </w:pPr>
            <w:r>
              <w:rPr>
                <w:sz w:val="16"/>
              </w:rPr>
              <w:t>13.4</w:t>
            </w:r>
          </w:p>
        </w:tc>
        <w:tc>
          <w:tcPr>
            <w:tcW w:w="567" w:type="dxa"/>
          </w:tcPr>
          <w:p>
            <w:pPr>
              <w:pStyle w:val="TableParagraph"/>
              <w:spacing w:line="171" w:lineRule="exact"/>
              <w:ind w:left="84" w:right="84"/>
              <w:jc w:val="center"/>
              <w:rPr>
                <w:sz w:val="16"/>
              </w:rPr>
            </w:pPr>
            <w:r>
              <w:rPr>
                <w:sz w:val="16"/>
              </w:rPr>
              <w:t>16.0</w:t>
            </w:r>
          </w:p>
        </w:tc>
        <w:tc>
          <w:tcPr>
            <w:tcW w:w="667" w:type="dxa"/>
          </w:tcPr>
          <w:p>
            <w:pPr>
              <w:pStyle w:val="TableParagraph"/>
              <w:spacing w:line="171" w:lineRule="exact"/>
              <w:ind w:left="108" w:right="108"/>
              <w:jc w:val="center"/>
              <w:rPr>
                <w:sz w:val="16"/>
              </w:rPr>
            </w:pPr>
            <w:r>
              <w:rPr>
                <w:sz w:val="16"/>
              </w:rPr>
              <w:t>16.0</w:t>
            </w:r>
          </w:p>
        </w:tc>
        <w:tc>
          <w:tcPr>
            <w:tcW w:w="667" w:type="dxa"/>
          </w:tcPr>
          <w:p>
            <w:pPr>
              <w:pStyle w:val="TableParagraph"/>
              <w:spacing w:line="171" w:lineRule="exact"/>
              <w:ind w:right="170"/>
              <w:jc w:val="right"/>
              <w:rPr>
                <w:sz w:val="16"/>
              </w:rPr>
            </w:pPr>
            <w:r>
              <w:rPr>
                <w:w w:val="95"/>
                <w:sz w:val="16"/>
              </w:rPr>
              <w:t>15.5</w:t>
            </w:r>
          </w:p>
        </w:tc>
        <w:tc>
          <w:tcPr>
            <w:tcW w:w="667" w:type="dxa"/>
          </w:tcPr>
          <w:p>
            <w:pPr>
              <w:pStyle w:val="TableParagraph"/>
              <w:spacing w:line="171" w:lineRule="exact"/>
              <w:ind w:left="108" w:right="108"/>
              <w:jc w:val="center"/>
              <w:rPr>
                <w:sz w:val="16"/>
              </w:rPr>
            </w:pPr>
            <w:r>
              <w:rPr>
                <w:sz w:val="16"/>
              </w:rPr>
              <w:t>14.0</w:t>
            </w:r>
          </w:p>
        </w:tc>
        <w:tc>
          <w:tcPr>
            <w:tcW w:w="667" w:type="dxa"/>
          </w:tcPr>
          <w:p>
            <w:pPr>
              <w:pStyle w:val="TableParagraph"/>
              <w:spacing w:line="171" w:lineRule="exact"/>
              <w:ind w:left="108" w:right="108"/>
              <w:jc w:val="center"/>
              <w:rPr>
                <w:sz w:val="16"/>
              </w:rPr>
            </w:pPr>
            <w:r>
              <w:rPr>
                <w:sz w:val="16"/>
              </w:rPr>
              <w:t>12.5</w:t>
            </w:r>
          </w:p>
        </w:tc>
        <w:tc>
          <w:tcPr>
            <w:tcW w:w="567" w:type="dxa"/>
          </w:tcPr>
          <w:p>
            <w:pPr>
              <w:pStyle w:val="TableParagraph"/>
              <w:spacing w:line="171" w:lineRule="exact"/>
              <w:ind w:left="84" w:right="84"/>
              <w:jc w:val="center"/>
              <w:rPr>
                <w:sz w:val="16"/>
              </w:rPr>
            </w:pPr>
            <w:r>
              <w:rPr>
                <w:sz w:val="16"/>
              </w:rPr>
              <w:t>10.0</w:t>
            </w:r>
          </w:p>
        </w:tc>
        <w:tc>
          <w:tcPr>
            <w:tcW w:w="567" w:type="dxa"/>
          </w:tcPr>
          <w:p>
            <w:pPr>
              <w:pStyle w:val="TableParagraph"/>
              <w:spacing w:line="171" w:lineRule="exact"/>
              <w:ind w:left="84" w:right="84"/>
              <w:jc w:val="center"/>
              <w:rPr>
                <w:sz w:val="16"/>
              </w:rPr>
            </w:pPr>
            <w:r>
              <w:rPr>
                <w:sz w:val="16"/>
              </w:rPr>
              <w:t>8.4</w:t>
            </w:r>
          </w:p>
        </w:tc>
        <w:tc>
          <w:tcPr>
            <w:tcW w:w="492" w:type="dxa"/>
          </w:tcPr>
          <w:p>
            <w:pPr>
              <w:pStyle w:val="TableParagraph"/>
              <w:spacing w:line="171" w:lineRule="exact"/>
              <w:ind w:left="109" w:right="109"/>
              <w:jc w:val="center"/>
              <w:rPr>
                <w:sz w:val="16"/>
              </w:rPr>
            </w:pPr>
            <w:r>
              <w:rPr>
                <w:sz w:val="16"/>
              </w:rPr>
              <w:t>6.3</w:t>
            </w:r>
          </w:p>
        </w:tc>
      </w:tr>
      <w:tr>
        <w:trPr>
          <w:trHeight w:val="373" w:hRule="exact"/>
        </w:trPr>
        <w:tc>
          <w:tcPr>
            <w:tcW w:w="1186" w:type="dxa"/>
          </w:tcPr>
          <w:p>
            <w:pPr>
              <w:pStyle w:val="TableParagraph"/>
              <w:spacing w:line="171" w:lineRule="exact"/>
              <w:ind w:left="109" w:right="109"/>
              <w:jc w:val="center"/>
              <w:rPr>
                <w:sz w:val="16"/>
              </w:rPr>
            </w:pPr>
            <w:r>
              <w:rPr>
                <w:sz w:val="16"/>
              </w:rPr>
              <w:t>Precipitación</w:t>
            </w:r>
          </w:p>
          <w:p>
            <w:pPr>
              <w:pStyle w:val="TableParagraph"/>
              <w:spacing w:before="16"/>
              <w:ind w:left="109" w:right="109"/>
              <w:jc w:val="center"/>
              <w:rPr>
                <w:sz w:val="16"/>
              </w:rPr>
            </w:pPr>
            <w:r>
              <w:rPr>
                <w:sz w:val="16"/>
              </w:rPr>
              <w:t>en mm</w:t>
            </w:r>
          </w:p>
        </w:tc>
        <w:tc>
          <w:tcPr>
            <w:tcW w:w="567" w:type="dxa"/>
          </w:tcPr>
          <w:p>
            <w:pPr>
              <w:pStyle w:val="TableParagraph"/>
              <w:spacing w:line="171" w:lineRule="exact"/>
              <w:ind w:left="84" w:right="84"/>
              <w:jc w:val="center"/>
              <w:rPr>
                <w:sz w:val="16"/>
              </w:rPr>
            </w:pPr>
            <w:r>
              <w:rPr>
                <w:sz w:val="16"/>
              </w:rPr>
              <w:t>14.0</w:t>
            </w:r>
          </w:p>
        </w:tc>
        <w:tc>
          <w:tcPr>
            <w:tcW w:w="467" w:type="dxa"/>
          </w:tcPr>
          <w:p>
            <w:pPr>
              <w:pStyle w:val="TableParagraph"/>
              <w:spacing w:line="171" w:lineRule="exact"/>
              <w:ind w:left="97" w:right="97"/>
              <w:jc w:val="center"/>
              <w:rPr>
                <w:sz w:val="16"/>
              </w:rPr>
            </w:pPr>
            <w:r>
              <w:rPr>
                <w:sz w:val="16"/>
              </w:rPr>
              <w:t>8.7</w:t>
            </w:r>
          </w:p>
        </w:tc>
        <w:tc>
          <w:tcPr>
            <w:tcW w:w="567" w:type="dxa"/>
          </w:tcPr>
          <w:p>
            <w:pPr>
              <w:pStyle w:val="TableParagraph"/>
              <w:spacing w:line="171" w:lineRule="exact"/>
              <w:ind w:left="84" w:right="84"/>
              <w:jc w:val="center"/>
              <w:rPr>
                <w:sz w:val="16"/>
              </w:rPr>
            </w:pPr>
            <w:r>
              <w:rPr>
                <w:sz w:val="16"/>
              </w:rPr>
              <w:t>25.1</w:t>
            </w:r>
          </w:p>
        </w:tc>
        <w:tc>
          <w:tcPr>
            <w:tcW w:w="567" w:type="dxa"/>
          </w:tcPr>
          <w:p>
            <w:pPr>
              <w:pStyle w:val="TableParagraph"/>
              <w:spacing w:line="171" w:lineRule="exact"/>
              <w:ind w:left="84" w:right="84"/>
              <w:jc w:val="center"/>
              <w:rPr>
                <w:sz w:val="16"/>
              </w:rPr>
            </w:pPr>
            <w:r>
              <w:rPr>
                <w:sz w:val="16"/>
              </w:rPr>
              <w:t>41.7</w:t>
            </w:r>
          </w:p>
        </w:tc>
        <w:tc>
          <w:tcPr>
            <w:tcW w:w="567" w:type="dxa"/>
          </w:tcPr>
          <w:p>
            <w:pPr>
              <w:pStyle w:val="TableParagraph"/>
              <w:spacing w:line="171" w:lineRule="exact"/>
              <w:ind w:left="84" w:right="84"/>
              <w:jc w:val="center"/>
              <w:rPr>
                <w:sz w:val="16"/>
              </w:rPr>
            </w:pPr>
            <w:r>
              <w:rPr>
                <w:sz w:val="16"/>
              </w:rPr>
              <w:t>63.4</w:t>
            </w:r>
          </w:p>
        </w:tc>
        <w:tc>
          <w:tcPr>
            <w:tcW w:w="667" w:type="dxa"/>
          </w:tcPr>
          <w:p>
            <w:pPr>
              <w:pStyle w:val="TableParagraph"/>
              <w:spacing w:line="171" w:lineRule="exact"/>
              <w:ind w:left="108" w:right="108"/>
              <w:jc w:val="center"/>
              <w:rPr>
                <w:sz w:val="16"/>
              </w:rPr>
            </w:pPr>
            <w:r>
              <w:rPr>
                <w:sz w:val="16"/>
              </w:rPr>
              <w:t>139.3</w:t>
            </w:r>
          </w:p>
        </w:tc>
        <w:tc>
          <w:tcPr>
            <w:tcW w:w="667" w:type="dxa"/>
          </w:tcPr>
          <w:p>
            <w:pPr>
              <w:pStyle w:val="TableParagraph"/>
              <w:spacing w:line="171" w:lineRule="exact"/>
              <w:ind w:right="126"/>
              <w:jc w:val="right"/>
              <w:rPr>
                <w:sz w:val="16"/>
              </w:rPr>
            </w:pPr>
            <w:r>
              <w:rPr>
                <w:sz w:val="16"/>
              </w:rPr>
              <w:t>153.9</w:t>
            </w:r>
          </w:p>
        </w:tc>
        <w:tc>
          <w:tcPr>
            <w:tcW w:w="667" w:type="dxa"/>
          </w:tcPr>
          <w:p>
            <w:pPr>
              <w:pStyle w:val="TableParagraph"/>
              <w:spacing w:line="171" w:lineRule="exact"/>
              <w:ind w:left="108" w:right="108"/>
              <w:jc w:val="center"/>
              <w:rPr>
                <w:sz w:val="16"/>
              </w:rPr>
            </w:pPr>
            <w:r>
              <w:rPr>
                <w:sz w:val="16"/>
              </w:rPr>
              <w:t>140.4</w:t>
            </w:r>
          </w:p>
        </w:tc>
        <w:tc>
          <w:tcPr>
            <w:tcW w:w="667" w:type="dxa"/>
          </w:tcPr>
          <w:p>
            <w:pPr>
              <w:pStyle w:val="TableParagraph"/>
              <w:spacing w:line="171" w:lineRule="exact"/>
              <w:ind w:left="108" w:right="108"/>
              <w:jc w:val="center"/>
              <w:rPr>
                <w:sz w:val="16"/>
              </w:rPr>
            </w:pPr>
            <w:r>
              <w:rPr>
                <w:sz w:val="16"/>
              </w:rPr>
              <w:t>113.3</w:t>
            </w:r>
          </w:p>
        </w:tc>
        <w:tc>
          <w:tcPr>
            <w:tcW w:w="567" w:type="dxa"/>
          </w:tcPr>
          <w:p>
            <w:pPr>
              <w:pStyle w:val="TableParagraph"/>
              <w:spacing w:line="171" w:lineRule="exact"/>
              <w:ind w:left="84" w:right="84"/>
              <w:jc w:val="center"/>
              <w:rPr>
                <w:sz w:val="16"/>
              </w:rPr>
            </w:pPr>
            <w:r>
              <w:rPr>
                <w:sz w:val="16"/>
              </w:rPr>
              <w:t>53.3</w:t>
            </w:r>
          </w:p>
        </w:tc>
        <w:tc>
          <w:tcPr>
            <w:tcW w:w="567" w:type="dxa"/>
          </w:tcPr>
          <w:p>
            <w:pPr>
              <w:pStyle w:val="TableParagraph"/>
              <w:spacing w:line="171" w:lineRule="exact"/>
              <w:ind w:left="84" w:right="84"/>
              <w:jc w:val="center"/>
              <w:rPr>
                <w:sz w:val="16"/>
              </w:rPr>
            </w:pPr>
            <w:r>
              <w:rPr>
                <w:sz w:val="16"/>
              </w:rPr>
              <w:t>10.5</w:t>
            </w:r>
          </w:p>
        </w:tc>
        <w:tc>
          <w:tcPr>
            <w:tcW w:w="492" w:type="dxa"/>
          </w:tcPr>
          <w:p>
            <w:pPr>
              <w:pStyle w:val="TableParagraph"/>
              <w:spacing w:line="171" w:lineRule="exact"/>
              <w:ind w:left="109" w:right="109"/>
              <w:jc w:val="center"/>
              <w:rPr>
                <w:sz w:val="16"/>
              </w:rPr>
            </w:pPr>
            <w:r>
              <w:rPr>
                <w:sz w:val="16"/>
              </w:rPr>
              <w:t>6.9</w:t>
            </w:r>
          </w:p>
        </w:tc>
      </w:tr>
    </w:tbl>
    <w:p>
      <w:pPr>
        <w:pStyle w:val="BodyText"/>
        <w:spacing w:before="6"/>
        <w:rPr>
          <w:sz w:val="17"/>
        </w:rPr>
      </w:pPr>
    </w:p>
    <w:p>
      <w:pPr>
        <w:spacing w:before="81"/>
        <w:ind w:left="1244" w:right="10368" w:firstLine="0"/>
        <w:jc w:val="center"/>
        <w:rPr>
          <w:sz w:val="16"/>
        </w:rPr>
      </w:pPr>
      <w:r>
        <w:rPr>
          <w:color w:val="6D6E71"/>
          <w:sz w:val="16"/>
        </w:rPr>
        <w:t>Tabla 3. Información general de temperatura y precipitación en la ciudad de  Toluca.</w:t>
      </w:r>
    </w:p>
    <w:p>
      <w:pPr>
        <w:spacing w:before="56"/>
        <w:ind w:left="1199" w:right="10368" w:firstLine="0"/>
        <w:jc w:val="center"/>
        <w:rPr>
          <w:sz w:val="16"/>
        </w:rPr>
      </w:pPr>
      <w:r>
        <w:rPr>
          <w:color w:val="6D6E71"/>
          <w:sz w:val="16"/>
        </w:rPr>
        <w:t>Fuente: Servicio Meteorológico Nacional 2012.</w:t>
      </w:r>
    </w:p>
    <w:p>
      <w:pPr>
        <w:spacing w:after="0"/>
        <w:jc w:val="center"/>
        <w:rPr>
          <w:sz w:val="16"/>
        </w:rPr>
        <w:sectPr>
          <w:type w:val="continuous"/>
          <w:pgSz w:w="18830" w:h="12760" w:orient="landscape"/>
          <w:pgMar w:top="1420" w:bottom="280" w:left="480" w:right="720"/>
        </w:sectPr>
      </w:pPr>
    </w:p>
    <w:p>
      <w:pPr>
        <w:pStyle w:val="BodyText"/>
        <w:spacing w:before="6"/>
        <w:rPr>
          <w:sz w:val="23"/>
        </w:rPr>
      </w:pPr>
    </w:p>
    <w:p>
      <w:pPr>
        <w:spacing w:after="0"/>
        <w:rPr>
          <w:sz w:val="23"/>
        </w:rPr>
        <w:sectPr>
          <w:headerReference w:type="default" r:id="rId152"/>
          <w:footerReference w:type="default" r:id="rId153"/>
          <w:pgSz w:w="18830" w:h="12760" w:orient="landscape"/>
          <w:pgMar w:header="522" w:footer="1036" w:top="820" w:bottom="1220" w:left="720" w:right="720"/>
        </w:sectPr>
      </w:pPr>
    </w:p>
    <w:p>
      <w:pPr>
        <w:spacing w:line="312" w:lineRule="auto" w:before="114"/>
        <w:ind w:left="226" w:right="94" w:hanging="1"/>
        <w:jc w:val="center"/>
        <w:rPr>
          <w:sz w:val="16"/>
        </w:rPr>
      </w:pPr>
      <w:r>
        <w:rPr>
          <w:color w:val="6D6E71"/>
          <w:sz w:val="16"/>
        </w:rPr>
        <w:t>Figura 3. Diagrama de factores que favorecen el desarrollo de procesos de remoción en masa. La flecha superior indica la relación entre todas las variables, y la inferior la suma agregada de ellas para generar el escenario de riesgo.</w:t>
      </w:r>
    </w:p>
    <w:p>
      <w:pPr>
        <w:pStyle w:val="BodyText"/>
        <w:spacing w:before="5"/>
        <w:rPr>
          <w:sz w:val="9"/>
        </w:rPr>
      </w:pPr>
      <w:r>
        <w:rPr/>
        <w:pict>
          <v:group style="position:absolute;margin-left:112.349602pt;margin-top:7.387754pt;width:184.65pt;height:12.6pt;mso-position-horizontal-relative:page;mso-position-vertical-relative:paragraph;z-index:3568;mso-wrap-distance-left:0;mso-wrap-distance-right:0" coordorigin="2247,148" coordsize="3693,252">
            <v:line style="position:absolute" from="2445,263" to="5695,263" stroked="true" strokeweight="2pt" strokecolor="#6d6e71"/>
            <v:shape style="position:absolute;left:5689;top:148;width:252;height:252" coordorigin="5689,148" coordsize="252,252" path="m5689,148l5689,399,5940,273,5689,148xe" filled="true" fillcolor="#6d6e71" stroked="false">
              <v:path arrowok="t"/>
              <v:fill type="solid"/>
            </v:shape>
            <v:shape style="position:absolute;left:2247;top:148;width:252;height:252" coordorigin="2247,148" coordsize="252,252" path="m2498,148l2247,273,2498,399,2498,148xe" filled="true" fillcolor="#6d6e71" stroked="false">
              <v:path arrowok="t"/>
              <v:fill type="solid"/>
            </v:shape>
            <w10:wrap type="topAndBottom"/>
          </v:group>
        </w:pict>
      </w:r>
      <w:r>
        <w:rPr/>
        <w:pict>
          <v:shape style="position:absolute;margin-left:76.801003pt;margin-top:26.457855pt;width:77.1pt;height:22.15pt;mso-position-horizontal-relative:page;mso-position-vertical-relative:paragraph;z-index:3592;mso-wrap-distance-left:0;mso-wrap-distance-right:0" type="#_x0000_t202" filled="true" fillcolor="#6d6e71" stroked="false">
            <v:textbox inset="0,0,0,0">
              <w:txbxContent>
                <w:p>
                  <w:pPr>
                    <w:spacing w:line="261" w:lineRule="auto" w:before="28"/>
                    <w:ind w:left="452" w:right="332" w:hanging="107"/>
                    <w:jc w:val="left"/>
                    <w:rPr>
                      <w:sz w:val="16"/>
                    </w:rPr>
                  </w:pPr>
                  <w:r>
                    <w:rPr>
                      <w:sz w:val="16"/>
                    </w:rPr>
                    <w:t>Factores de arranque</w:t>
                  </w:r>
                </w:p>
              </w:txbxContent>
            </v:textbox>
            <v:fill type="solid"/>
            <w10:wrap type="topAndBottom"/>
          </v:shape>
        </w:pict>
      </w:r>
      <w:r>
        <w:rPr/>
        <w:pict>
          <v:shape style="position:absolute;margin-left:160.841995pt;margin-top:26.457855pt;width:77.45pt;height:22.15pt;mso-position-horizontal-relative:page;mso-position-vertical-relative:paragraph;z-index:3616;mso-wrap-distance-left:0;mso-wrap-distance-right:0" type="#_x0000_t202" filled="true" fillcolor="#6d6e71" stroked="false">
            <v:textbox inset="0,0,0,0">
              <w:txbxContent>
                <w:p>
                  <w:pPr>
                    <w:spacing w:line="261" w:lineRule="auto" w:before="28"/>
                    <w:ind w:left="420" w:right="336" w:hanging="72"/>
                    <w:jc w:val="left"/>
                    <w:rPr>
                      <w:sz w:val="16"/>
                    </w:rPr>
                  </w:pPr>
                  <w:r>
                    <w:rPr>
                      <w:sz w:val="16"/>
                    </w:rPr>
                    <w:t>Factores de desarrollo</w:t>
                  </w:r>
                </w:p>
              </w:txbxContent>
            </v:textbox>
            <v:fill type="solid"/>
            <w10:wrap type="topAndBottom"/>
          </v:shape>
        </w:pict>
      </w:r>
      <w:r>
        <w:rPr/>
        <w:pict>
          <v:shape style="position:absolute;margin-left:246.626999pt;margin-top:26.457855pt;width:81.6pt;height:22.15pt;mso-position-horizontal-relative:page;mso-position-vertical-relative:paragraph;z-index:3640;mso-wrap-distance-left:0;mso-wrap-distance-right:0" type="#_x0000_t202" filled="true" fillcolor="#6d6e71" stroked="false">
            <v:textbox inset="0,0,0,0">
              <w:txbxContent>
                <w:p>
                  <w:pPr>
                    <w:spacing w:line="261" w:lineRule="auto" w:before="28"/>
                    <w:ind w:left="436" w:right="0" w:firstLine="66"/>
                    <w:jc w:val="left"/>
                    <w:rPr>
                      <w:sz w:val="16"/>
                    </w:rPr>
                  </w:pPr>
                  <w:r>
                    <w:rPr>
                      <w:sz w:val="16"/>
                    </w:rPr>
                    <w:t>Factores antrópicos</w:t>
                  </w:r>
                </w:p>
              </w:txbxContent>
            </v:textbox>
            <v:fill type="solid"/>
            <w10:wrap type="topAndBottom"/>
          </v:shape>
        </w:pict>
      </w:r>
      <w:r>
        <w:rPr/>
        <w:pict>
          <v:group style="position:absolute;margin-left:76.801003pt;margin-top:59.058853pt;width:311pt;height:238.9pt;mso-position-horizontal-relative:page;mso-position-vertical-relative:paragraph;z-index:3808;mso-wrap-distance-left:0;mso-wrap-distance-right:0" coordorigin="1536,1181" coordsize="6220,4778">
            <v:rect style="position:absolute;left:3217;top:1181;width:1549;height:4025" filled="true" fillcolor="#d1d3d4" stroked="false">
              <v:fill type="solid"/>
            </v:rect>
            <v:rect style="position:absolute;left:3217;top:5206;width:1549;height:409" filled="true" fillcolor="#d1d3d4" stroked="false">
              <v:fill type="solid"/>
            </v:rect>
            <v:line style="position:absolute" from="1871,5916" to="7483,5916" stroked="true" strokeweight="2pt" strokecolor="#6d6e71"/>
            <v:line style="position:absolute" from="1877,5566" to="1877,5928" stroked="true" strokeweight="2pt" strokecolor="#6d6e71"/>
            <v:line style="position:absolute" from="5780,5562" to="5780,5924" stroked="true" strokeweight="2pt" strokecolor="#6d6e71"/>
            <v:line style="position:absolute" from="7574,5136" to="7475,5938" stroked="true" strokeweight="2pt" strokecolor="#6d6e71"/>
            <v:line style="position:absolute" from="3821,5620" to="3821,5924" stroked="true" strokeweight="2pt" strokecolor="#6d6e71"/>
            <v:shape style="position:absolute;left:7469;top:4914;width:271;height:288" coordorigin="7469,4914" coordsize="271,288" path="m7638,4914l7469,5169,7740,5202,7638,4914xe" filled="true" fillcolor="#6d6e71" stroked="false">
              <v:path arrowok="t"/>
              <v:fill type="solid"/>
            </v:shape>
            <v:shape style="position:absolute;left:3409;top:1193;width:1109;height:560" type="#_x0000_t202" filled="false" stroked="false">
              <v:textbox inset="0,0,0,0">
                <w:txbxContent>
                  <w:p>
                    <w:pPr>
                      <w:spacing w:line="165" w:lineRule="exact" w:before="0"/>
                      <w:ind w:left="0" w:right="1" w:firstLine="0"/>
                      <w:jc w:val="center"/>
                      <w:rPr>
                        <w:sz w:val="16"/>
                      </w:rPr>
                    </w:pPr>
                    <w:r>
                      <w:rPr>
                        <w:sz w:val="16"/>
                      </w:rPr>
                      <w:t>Cambios</w:t>
                    </w:r>
                  </w:p>
                  <w:p>
                    <w:pPr>
                      <w:spacing w:line="261" w:lineRule="auto" w:before="16"/>
                      <w:ind w:left="0" w:right="0" w:firstLine="0"/>
                      <w:jc w:val="center"/>
                      <w:rPr>
                        <w:sz w:val="16"/>
                      </w:rPr>
                    </w:pPr>
                    <w:r>
                      <w:rPr>
                        <w:sz w:val="16"/>
                      </w:rPr>
                      <w:t>geométricos en</w:t>
                    </w:r>
                    <w:r>
                      <w:rPr>
                        <w:w w:val="98"/>
                        <w:sz w:val="16"/>
                      </w:rPr>
                      <w:t> </w:t>
                    </w:r>
                    <w:r>
                      <w:rPr>
                        <w:sz w:val="16"/>
                      </w:rPr>
                      <w:t>laderas</w:t>
                    </w:r>
                  </w:p>
                </w:txbxContent>
              </v:textbox>
              <w10:wrap type="none"/>
            </v:shape>
            <v:shape style="position:absolute;left:3409;top:2164;width:1108;height:360" type="#_x0000_t202" filled="false" stroked="false">
              <v:textbox inset="0,0,0,0">
                <w:txbxContent>
                  <w:p>
                    <w:pPr>
                      <w:spacing w:line="165" w:lineRule="exact" w:before="0"/>
                      <w:ind w:left="0" w:right="0" w:firstLine="0"/>
                      <w:jc w:val="center"/>
                      <w:rPr>
                        <w:sz w:val="16"/>
                      </w:rPr>
                    </w:pPr>
                    <w:r>
                      <w:rPr>
                        <w:sz w:val="16"/>
                      </w:rPr>
                      <w:t>Movilización de</w:t>
                    </w:r>
                  </w:p>
                  <w:p>
                    <w:pPr>
                      <w:spacing w:line="179" w:lineRule="exact" w:before="16"/>
                      <w:ind w:left="0" w:right="0" w:firstLine="0"/>
                      <w:jc w:val="center"/>
                      <w:rPr>
                        <w:sz w:val="16"/>
                      </w:rPr>
                    </w:pPr>
                    <w:r>
                      <w:rPr>
                        <w:sz w:val="16"/>
                      </w:rPr>
                      <w:t>sedimentos</w:t>
                    </w:r>
                  </w:p>
                </w:txbxContent>
              </v:textbox>
              <w10:wrap type="none"/>
            </v:shape>
            <v:shape style="position:absolute;left:3351;top:3063;width:1224;height:2534" type="#_x0000_t202" filled="false" stroked="false">
              <v:textbox inset="0,0,0,0">
                <w:txbxContent>
                  <w:p>
                    <w:pPr>
                      <w:spacing w:line="165" w:lineRule="exact" w:before="0"/>
                      <w:ind w:left="0" w:right="0" w:firstLine="0"/>
                      <w:jc w:val="center"/>
                      <w:rPr>
                        <w:sz w:val="16"/>
                      </w:rPr>
                    </w:pPr>
                    <w:r>
                      <w:rPr>
                        <w:sz w:val="16"/>
                      </w:rPr>
                      <w:t>Cargas vivas</w:t>
                    </w:r>
                  </w:p>
                  <w:p>
                    <w:pPr>
                      <w:spacing w:line="261" w:lineRule="auto" w:before="16"/>
                      <w:ind w:left="0" w:right="0" w:firstLine="0"/>
                      <w:jc w:val="center"/>
                      <w:rPr>
                        <w:sz w:val="16"/>
                      </w:rPr>
                    </w:pPr>
                    <w:r>
                      <w:rPr>
                        <w:sz w:val="16"/>
                      </w:rPr>
                      <w:t>generadas por tráfico</w:t>
                    </w:r>
                  </w:p>
                  <w:p>
                    <w:pPr>
                      <w:spacing w:line="261" w:lineRule="auto" w:before="99"/>
                      <w:ind w:left="0" w:right="0" w:firstLine="0"/>
                      <w:jc w:val="center"/>
                      <w:rPr>
                        <w:sz w:val="16"/>
                      </w:rPr>
                    </w:pPr>
                    <w:r>
                      <w:rPr>
                        <w:sz w:val="16"/>
                      </w:rPr>
                      <w:t>Fluidificación por</w:t>
                    </w:r>
                    <w:r>
                      <w:rPr>
                        <w:w w:val="103"/>
                        <w:sz w:val="16"/>
                      </w:rPr>
                      <w:t> </w:t>
                    </w:r>
                    <w:r>
                      <w:rPr>
                        <w:sz w:val="16"/>
                      </w:rPr>
                      <w:t>saturación</w:t>
                    </w:r>
                  </w:p>
                  <w:p>
                    <w:pPr>
                      <w:spacing w:line="240" w:lineRule="auto" w:before="9"/>
                      <w:rPr>
                        <w:sz w:val="19"/>
                      </w:rPr>
                    </w:pPr>
                  </w:p>
                  <w:p>
                    <w:pPr>
                      <w:spacing w:line="261" w:lineRule="auto" w:before="0"/>
                      <w:ind w:left="234" w:right="232" w:firstLine="0"/>
                      <w:jc w:val="center"/>
                      <w:rPr>
                        <w:sz w:val="16"/>
                      </w:rPr>
                    </w:pPr>
                    <w:r>
                      <w:rPr>
                        <w:sz w:val="16"/>
                      </w:rPr>
                      <w:t>Cambios en niveles</w:t>
                    </w:r>
                  </w:p>
                  <w:p>
                    <w:pPr>
                      <w:spacing w:before="0"/>
                      <w:ind w:left="0" w:right="0" w:firstLine="0"/>
                      <w:jc w:val="center"/>
                      <w:rPr>
                        <w:sz w:val="16"/>
                      </w:rPr>
                    </w:pPr>
                    <w:r>
                      <w:rPr>
                        <w:sz w:val="16"/>
                      </w:rPr>
                      <w:t>piezométricos</w:t>
                    </w:r>
                  </w:p>
                  <w:p>
                    <w:pPr>
                      <w:spacing w:line="240" w:lineRule="auto" w:before="9"/>
                      <w:rPr>
                        <w:sz w:val="22"/>
                      </w:rPr>
                    </w:pPr>
                  </w:p>
                  <w:p>
                    <w:pPr>
                      <w:spacing w:line="261" w:lineRule="auto" w:before="0"/>
                      <w:ind w:left="112" w:right="110" w:hanging="1"/>
                      <w:jc w:val="center"/>
                      <w:rPr>
                        <w:sz w:val="16"/>
                      </w:rPr>
                    </w:pPr>
                    <w:r>
                      <w:rPr>
                        <w:sz w:val="16"/>
                      </w:rPr>
                      <w:t>Régimen de hielo-deshielo</w:t>
                    </w:r>
                  </w:p>
                </w:txbxContent>
              </v:textbox>
              <w10:wrap type="none"/>
            </v:shape>
            <v:shape style="position:absolute;left:6849;top:2599;width:907;height:960" type="#_x0000_t202" filled="false" stroked="false">
              <v:textbox inset="0,0,0,0">
                <w:txbxContent>
                  <w:p>
                    <w:pPr>
                      <w:spacing w:line="165" w:lineRule="exact" w:before="0"/>
                      <w:ind w:left="0" w:right="-9" w:firstLine="0"/>
                      <w:jc w:val="left"/>
                      <w:rPr>
                        <w:sz w:val="16"/>
                      </w:rPr>
                    </w:pPr>
                    <w:r>
                      <w:rPr>
                        <w:w w:val="95"/>
                        <w:sz w:val="16"/>
                      </w:rPr>
                      <w:t>ESCENARIO</w:t>
                    </w:r>
                  </w:p>
                  <w:p>
                    <w:pPr>
                      <w:spacing w:line="261" w:lineRule="auto" w:before="16"/>
                      <w:ind w:left="0" w:right="6" w:firstLine="0"/>
                      <w:jc w:val="left"/>
                      <w:rPr>
                        <w:sz w:val="16"/>
                      </w:rPr>
                    </w:pPr>
                    <w:r>
                      <w:rPr>
                        <w:w w:val="95"/>
                        <w:sz w:val="16"/>
                      </w:rPr>
                      <w:t>DE RIESGO </w:t>
                    </w:r>
                    <w:r>
                      <w:rPr>
                        <w:sz w:val="16"/>
                      </w:rPr>
                      <w:t>EN LA CIUDAD DE</w:t>
                    </w:r>
                    <w:r>
                      <w:rPr>
                        <w:w w:val="94"/>
                        <w:sz w:val="16"/>
                      </w:rPr>
                      <w:t> </w:t>
                    </w:r>
                    <w:r>
                      <w:rPr>
                        <w:sz w:val="16"/>
                      </w:rPr>
                      <w:t>TOLUCA</w:t>
                    </w:r>
                  </w:p>
                </w:txbxContent>
              </v:textbox>
              <w10:wrap type="none"/>
            </v:shape>
            <v:shape style="position:absolute;left:1536;top:1181;width:1542;height:2570" type="#_x0000_t202" filled="true" fillcolor="#d1d3d4" stroked="false">
              <v:textbox inset="0,0,0,0">
                <w:txbxContent>
                  <w:p>
                    <w:pPr>
                      <w:spacing w:line="240" w:lineRule="auto" w:before="8"/>
                      <w:rPr>
                        <w:sz w:val="16"/>
                      </w:rPr>
                    </w:pPr>
                  </w:p>
                  <w:p>
                    <w:pPr>
                      <w:spacing w:before="0"/>
                      <w:ind w:left="114" w:right="168" w:firstLine="0"/>
                      <w:jc w:val="center"/>
                      <w:rPr>
                        <w:sz w:val="16"/>
                      </w:rPr>
                    </w:pPr>
                    <w:r>
                      <w:rPr>
                        <w:sz w:val="16"/>
                      </w:rPr>
                      <w:t>Meteorización</w:t>
                    </w:r>
                  </w:p>
                  <w:p>
                    <w:pPr>
                      <w:spacing w:line="240" w:lineRule="auto" w:before="0"/>
                      <w:rPr>
                        <w:sz w:val="16"/>
                      </w:rPr>
                    </w:pPr>
                  </w:p>
                  <w:p>
                    <w:pPr>
                      <w:spacing w:line="240" w:lineRule="auto" w:before="0"/>
                      <w:rPr>
                        <w:sz w:val="16"/>
                      </w:rPr>
                    </w:pPr>
                  </w:p>
                  <w:p>
                    <w:pPr>
                      <w:spacing w:line="240" w:lineRule="auto" w:before="0"/>
                      <w:rPr>
                        <w:sz w:val="19"/>
                      </w:rPr>
                    </w:pPr>
                  </w:p>
                  <w:p>
                    <w:pPr>
                      <w:spacing w:line="261" w:lineRule="auto" w:before="0"/>
                      <w:ind w:left="114" w:right="168" w:firstLine="0"/>
                      <w:jc w:val="center"/>
                      <w:rPr>
                        <w:sz w:val="16"/>
                      </w:rPr>
                    </w:pPr>
                    <w:r>
                      <w:rPr>
                        <w:sz w:val="16"/>
                      </w:rPr>
                      <w:t>Descarga progresiva</w:t>
                    </w: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9"/>
                      <w:rPr>
                        <w:sz w:val="12"/>
                      </w:rPr>
                    </w:pPr>
                  </w:p>
                  <w:p>
                    <w:pPr>
                      <w:spacing w:before="0"/>
                      <w:ind w:left="114" w:right="168" w:firstLine="0"/>
                      <w:jc w:val="center"/>
                      <w:rPr>
                        <w:sz w:val="16"/>
                      </w:rPr>
                    </w:pPr>
                    <w:r>
                      <w:rPr>
                        <w:sz w:val="16"/>
                      </w:rPr>
                      <w:t>Caída progresiva</w:t>
                    </w:r>
                  </w:p>
                </w:txbxContent>
              </v:textbox>
              <v:fill type="solid"/>
              <w10:wrap type="none"/>
            </v:shape>
            <v:shape style="position:absolute;left:4933;top:1181;width:1632;height:2570" type="#_x0000_t202" filled="true" fillcolor="#d1d3d4" stroked="false">
              <v:textbox inset="0,0,0,0">
                <w:txbxContent>
                  <w:p>
                    <w:pPr>
                      <w:spacing w:line="261" w:lineRule="auto" w:before="0"/>
                      <w:ind w:left="289" w:right="344" w:hanging="1"/>
                      <w:jc w:val="center"/>
                      <w:rPr>
                        <w:sz w:val="16"/>
                      </w:rPr>
                    </w:pPr>
                    <w:r>
                      <w:rPr>
                        <w:sz w:val="16"/>
                      </w:rPr>
                      <w:t>Ocupación territorial para</w:t>
                    </w:r>
                  </w:p>
                  <w:p>
                    <w:pPr>
                      <w:spacing w:line="242" w:lineRule="auto" w:before="0"/>
                      <w:ind w:left="200" w:right="254" w:firstLine="0"/>
                      <w:jc w:val="center"/>
                      <w:rPr>
                        <w:sz w:val="16"/>
                      </w:rPr>
                    </w:pPr>
                    <w:r>
                      <w:rPr>
                        <w:sz w:val="16"/>
                      </w:rPr>
                      <w:t>vivienda Carencia de aplicación del</w:t>
                    </w:r>
                  </w:p>
                  <w:p>
                    <w:pPr>
                      <w:spacing w:line="261" w:lineRule="auto" w:before="14"/>
                      <w:ind w:left="147" w:right="201" w:firstLine="0"/>
                      <w:jc w:val="center"/>
                      <w:rPr>
                        <w:sz w:val="16"/>
                      </w:rPr>
                    </w:pPr>
                    <w:r>
                      <w:rPr>
                        <w:sz w:val="16"/>
                      </w:rPr>
                      <w:t>marco legal, Protección Civil versus Desarrollo</w:t>
                    </w:r>
                    <w:r>
                      <w:rPr>
                        <w:w w:val="99"/>
                        <w:sz w:val="16"/>
                      </w:rPr>
                      <w:t> </w:t>
                    </w:r>
                    <w:r>
                      <w:rPr>
                        <w:sz w:val="16"/>
                      </w:rPr>
                      <w:t>humano</w:t>
                    </w:r>
                  </w:p>
                  <w:p>
                    <w:pPr>
                      <w:spacing w:line="240" w:lineRule="auto" w:before="3"/>
                      <w:rPr>
                        <w:sz w:val="17"/>
                      </w:rPr>
                    </w:pPr>
                  </w:p>
                  <w:p>
                    <w:pPr>
                      <w:spacing w:line="261" w:lineRule="auto" w:before="0"/>
                      <w:ind w:left="200" w:right="255" w:firstLine="0"/>
                      <w:jc w:val="center"/>
                      <w:rPr>
                        <w:sz w:val="16"/>
                      </w:rPr>
                    </w:pPr>
                    <w:r>
                      <w:rPr>
                        <w:sz w:val="16"/>
                      </w:rPr>
                      <w:t>Cultura e interés</w:t>
                    </w:r>
                    <w:r>
                      <w:rPr>
                        <w:w w:val="99"/>
                        <w:sz w:val="16"/>
                      </w:rPr>
                      <w:t> </w:t>
                    </w:r>
                    <w:r>
                      <w:rPr>
                        <w:sz w:val="16"/>
                      </w:rPr>
                      <w:t>económico</w:t>
                    </w:r>
                  </w:p>
                </w:txbxContent>
              </v:textbox>
              <v:fill type="solid"/>
              <w10:wrap type="none"/>
            </v:shape>
            <w10:wrap type="topAndBottom"/>
          </v:group>
        </w:pict>
      </w:r>
    </w:p>
    <w:p>
      <w:pPr>
        <w:pStyle w:val="BodyText"/>
        <w:spacing w:before="7"/>
        <w:rPr>
          <w:sz w:val="6"/>
        </w:rPr>
      </w:pPr>
    </w:p>
    <w:p>
      <w:pPr>
        <w:pStyle w:val="BodyText"/>
        <w:spacing w:before="5"/>
        <w:rPr>
          <w:sz w:val="13"/>
        </w:rPr>
      </w:pPr>
    </w:p>
    <w:p>
      <w:pPr>
        <w:pStyle w:val="BodyText"/>
        <w:spacing w:before="2"/>
        <w:rPr>
          <w:sz w:val="22"/>
        </w:rPr>
      </w:pPr>
    </w:p>
    <w:p>
      <w:pPr>
        <w:spacing w:line="312" w:lineRule="auto" w:before="0"/>
        <w:ind w:left="226" w:right="94" w:hanging="1"/>
        <w:jc w:val="center"/>
        <w:rPr>
          <w:sz w:val="16"/>
        </w:rPr>
      </w:pPr>
      <w:r>
        <w:rPr>
          <w:color w:val="6D6E71"/>
          <w:sz w:val="16"/>
        </w:rPr>
        <w:t>Figura 3. Diagrama de factores que favorecen el desarrollo de procesos de remoción en masa. La flecha superior indica la relación entre todas las variables, y la inferior la suma agregada de ellas para generar el escenario de riesgo. Fuente: Elaboración propia, (2016).</w:t>
      </w:r>
    </w:p>
    <w:p>
      <w:pPr>
        <w:pStyle w:val="BodyText"/>
        <w:rPr>
          <w:sz w:val="16"/>
        </w:rPr>
      </w:pPr>
    </w:p>
    <w:p>
      <w:pPr>
        <w:pStyle w:val="BodyText"/>
        <w:spacing w:before="7"/>
        <w:rPr>
          <w:sz w:val="22"/>
        </w:rPr>
      </w:pPr>
    </w:p>
    <w:p>
      <w:pPr>
        <w:pStyle w:val="BodyText"/>
        <w:spacing w:line="249" w:lineRule="auto" w:before="1"/>
        <w:ind w:left="130" w:firstLine="170"/>
        <w:jc w:val="both"/>
      </w:pPr>
      <w:r>
        <w:rPr/>
        <w:t>Como se advierte, los factores activos y pasivos que se observan ejercen presión a los sistemas de ladera y piedemonte, en donde se destaca la generación de “cargas vivas”  generadas por el tránsito vehicular de automóviles y transporte de  carga.</w:t>
      </w:r>
    </w:p>
    <w:p>
      <w:pPr>
        <w:pStyle w:val="BodyText"/>
        <w:spacing w:before="11"/>
      </w:pPr>
    </w:p>
    <w:p>
      <w:pPr>
        <w:pStyle w:val="BodyText"/>
        <w:spacing w:line="249" w:lineRule="auto"/>
        <w:ind w:left="130" w:firstLine="170"/>
        <w:jc w:val="both"/>
      </w:pPr>
      <w:r>
        <w:rPr/>
        <w:t>Por lo que se refiere a los procesos de origen hidrometeorológico, la ciudad se encuentra afectada por lluvias de carácter torrencial que generan la acumulación inmediata de agua que se ve favorecida por la morfología plana y plana-cóncava que posee</w:t>
      </w:r>
      <w:r>
        <w:rPr>
          <w:spacing w:val="-10"/>
        </w:rPr>
        <w:t> </w:t>
      </w:r>
      <w:r>
        <w:rPr/>
        <w:t>en</w:t>
      </w:r>
      <w:r>
        <w:rPr>
          <w:spacing w:val="-10"/>
        </w:rPr>
        <w:t> </w:t>
      </w:r>
      <w:r>
        <w:rPr/>
        <w:t>la</w:t>
      </w:r>
      <w:r>
        <w:rPr>
          <w:spacing w:val="-10"/>
        </w:rPr>
        <w:t> </w:t>
      </w:r>
      <w:r>
        <w:rPr/>
        <w:t>mayor</w:t>
      </w:r>
      <w:r>
        <w:rPr>
          <w:spacing w:val="-10"/>
        </w:rPr>
        <w:t> </w:t>
      </w:r>
      <w:r>
        <w:rPr/>
        <w:t>parte</w:t>
      </w:r>
      <w:r>
        <w:rPr>
          <w:spacing w:val="-10"/>
        </w:rPr>
        <w:t> </w:t>
      </w:r>
      <w:r>
        <w:rPr/>
        <w:t>de</w:t>
      </w:r>
      <w:r>
        <w:rPr>
          <w:spacing w:val="-10"/>
        </w:rPr>
        <w:t> </w:t>
      </w:r>
      <w:r>
        <w:rPr/>
        <w:t>la</w:t>
      </w:r>
      <w:r>
        <w:rPr>
          <w:spacing w:val="-10"/>
        </w:rPr>
        <w:t> </w:t>
      </w:r>
      <w:r>
        <w:rPr/>
        <w:t>superficie</w:t>
      </w:r>
      <w:r>
        <w:rPr>
          <w:spacing w:val="-10"/>
        </w:rPr>
        <w:t> </w:t>
      </w:r>
      <w:r>
        <w:rPr/>
        <w:t>de</w:t>
      </w:r>
      <w:r>
        <w:rPr>
          <w:spacing w:val="-10"/>
        </w:rPr>
        <w:t> </w:t>
      </w:r>
      <w:r>
        <w:rPr/>
        <w:t>esta;</w:t>
      </w:r>
      <w:r>
        <w:rPr>
          <w:spacing w:val="-10"/>
        </w:rPr>
        <w:t> </w:t>
      </w:r>
      <w:r>
        <w:rPr/>
        <w:t>las</w:t>
      </w:r>
      <w:r>
        <w:rPr>
          <w:spacing w:val="-10"/>
        </w:rPr>
        <w:t> </w:t>
      </w:r>
      <w:r>
        <w:rPr/>
        <w:t>deficiencias</w:t>
      </w:r>
      <w:r>
        <w:rPr>
          <w:spacing w:val="36"/>
        </w:rPr>
        <w:t> </w:t>
      </w:r>
      <w:r>
        <w:rPr/>
        <w:t>del</w:t>
      </w:r>
      <w:r>
        <w:rPr>
          <w:spacing w:val="-10"/>
        </w:rPr>
        <w:t> </w:t>
      </w:r>
      <w:r>
        <w:rPr/>
        <w:t>sistema</w:t>
      </w:r>
      <w:r>
        <w:rPr>
          <w:spacing w:val="-10"/>
        </w:rPr>
        <w:t> </w:t>
      </w:r>
      <w:r>
        <w:rPr/>
        <w:t>de</w:t>
      </w:r>
      <w:r>
        <w:rPr>
          <w:spacing w:val="-10"/>
        </w:rPr>
        <w:t> </w:t>
      </w:r>
      <w:r>
        <w:rPr/>
        <w:t>drenaje</w:t>
      </w:r>
    </w:p>
    <w:p>
      <w:pPr>
        <w:pStyle w:val="BodyText"/>
        <w:spacing w:line="249" w:lineRule="auto" w:before="76"/>
        <w:ind w:left="130" w:right="-10"/>
      </w:pPr>
      <w:r>
        <w:rPr/>
        <w:br w:type="column"/>
      </w:r>
      <w:r>
        <w:rPr/>
        <w:t>municipal asociada con la acumulación de basura, el desbordamiento de los sistemas fluviales locales y la ausencia de políticas de prevención.</w:t>
      </w:r>
    </w:p>
    <w:p>
      <w:pPr>
        <w:pStyle w:val="BodyText"/>
        <w:spacing w:before="11"/>
      </w:pPr>
    </w:p>
    <w:p>
      <w:pPr>
        <w:pStyle w:val="BodyText"/>
        <w:spacing w:line="249" w:lineRule="auto"/>
        <w:ind w:left="130" w:right="127" w:firstLine="170"/>
        <w:jc w:val="both"/>
      </w:pPr>
      <w:r>
        <w:rPr/>
        <w:t>Los problemas de inundación tienden a ser recurrentes toda vez que la distribución espacial de los mismos responde a las variables citadas en donde las principales avenidas, calles y delegaciones experimentan la acumulación de agua  cuando  ocurren lluvias intensas. El promedio de precipitación anual es de 807.5 mm. (SMN, 2012) los meses de mayor precipitación poseen un promedio de 136.7 mm., sin embargo los registros de precipitación torrencial poseen valores que superan a los    50 mm precipitados en tiempos de una hora o menos (CAEM, 2015). El porcentaje de delegaciones afectadas por este proceso es del 97% del </w:t>
      </w:r>
      <w:r>
        <w:rPr>
          <w:spacing w:val="37"/>
        </w:rPr>
        <w:t> </w:t>
      </w:r>
      <w:r>
        <w:rPr/>
        <w:t>municipio.</w:t>
      </w:r>
    </w:p>
    <w:p>
      <w:pPr>
        <w:pStyle w:val="BodyText"/>
        <w:spacing w:before="11"/>
      </w:pPr>
    </w:p>
    <w:p>
      <w:pPr>
        <w:pStyle w:val="BodyText"/>
        <w:spacing w:line="249" w:lineRule="auto"/>
        <w:ind w:left="130" w:right="128" w:firstLine="170"/>
        <w:jc w:val="both"/>
      </w:pPr>
      <w:r>
        <w:rPr/>
        <w:t>En el ámbito de lo hidrometeorológico relacionado con lo fluvial se destaca el comportamiento del río Verdiguel, que es el principal sistema en donde bifurcan las corrientes secundarias y que éste a su vez, es un tributario del río Lerma.</w:t>
      </w:r>
    </w:p>
    <w:p>
      <w:pPr>
        <w:pStyle w:val="BodyText"/>
        <w:spacing w:before="11"/>
      </w:pPr>
    </w:p>
    <w:p>
      <w:pPr>
        <w:pStyle w:val="BodyText"/>
        <w:spacing w:line="249" w:lineRule="auto"/>
        <w:ind w:left="130" w:right="128" w:firstLine="170"/>
        <w:jc w:val="both"/>
      </w:pPr>
      <w:r>
        <w:rPr/>
        <w:t>Cruza</w:t>
      </w:r>
      <w:r>
        <w:rPr>
          <w:spacing w:val="-12"/>
        </w:rPr>
        <w:t> </w:t>
      </w:r>
      <w:r>
        <w:rPr/>
        <w:t>a</w:t>
      </w:r>
      <w:r>
        <w:rPr>
          <w:spacing w:val="-12"/>
        </w:rPr>
        <w:t> </w:t>
      </w:r>
      <w:r>
        <w:rPr/>
        <w:t>la</w:t>
      </w:r>
      <w:r>
        <w:rPr>
          <w:spacing w:val="-12"/>
        </w:rPr>
        <w:t> </w:t>
      </w:r>
      <w:r>
        <w:rPr/>
        <w:t>ciudad</w:t>
      </w:r>
      <w:r>
        <w:rPr>
          <w:spacing w:val="-12"/>
        </w:rPr>
        <w:t> </w:t>
      </w:r>
      <w:r>
        <w:rPr/>
        <w:t>en</w:t>
      </w:r>
      <w:r>
        <w:rPr>
          <w:spacing w:val="-12"/>
        </w:rPr>
        <w:t> </w:t>
      </w:r>
      <w:r>
        <w:rPr/>
        <w:t>una</w:t>
      </w:r>
      <w:r>
        <w:rPr>
          <w:spacing w:val="-12"/>
        </w:rPr>
        <w:t> </w:t>
      </w:r>
      <w:r>
        <w:rPr/>
        <w:t>dirección</w:t>
      </w:r>
      <w:r>
        <w:rPr>
          <w:spacing w:val="-12"/>
        </w:rPr>
        <w:t> </w:t>
      </w:r>
      <w:r>
        <w:rPr/>
        <w:t>generalizada</w:t>
      </w:r>
      <w:r>
        <w:rPr>
          <w:spacing w:val="-12"/>
        </w:rPr>
        <w:t> </w:t>
      </w:r>
      <w:r>
        <w:rPr/>
        <w:t>S-NE-E-NE,</w:t>
      </w:r>
      <w:r>
        <w:rPr>
          <w:spacing w:val="-12"/>
        </w:rPr>
        <w:t> </w:t>
      </w:r>
      <w:r>
        <w:rPr/>
        <w:t>se</w:t>
      </w:r>
      <w:r>
        <w:rPr>
          <w:spacing w:val="-12"/>
        </w:rPr>
        <w:t> </w:t>
      </w:r>
      <w:r>
        <w:rPr/>
        <w:t>encuentra</w:t>
      </w:r>
      <w:r>
        <w:rPr>
          <w:spacing w:val="-12"/>
        </w:rPr>
        <w:t> </w:t>
      </w:r>
      <w:r>
        <w:rPr/>
        <w:t>encausado a</w:t>
      </w:r>
      <w:r>
        <w:rPr>
          <w:spacing w:val="-10"/>
        </w:rPr>
        <w:t> </w:t>
      </w:r>
      <w:r>
        <w:rPr/>
        <w:t>través</w:t>
      </w:r>
      <w:r>
        <w:rPr>
          <w:spacing w:val="-10"/>
        </w:rPr>
        <w:t> </w:t>
      </w:r>
      <w:r>
        <w:rPr/>
        <w:t>de</w:t>
      </w:r>
      <w:r>
        <w:rPr>
          <w:spacing w:val="-10"/>
        </w:rPr>
        <w:t> </w:t>
      </w:r>
      <w:r>
        <w:rPr/>
        <w:t>obras</w:t>
      </w:r>
      <w:r>
        <w:rPr>
          <w:spacing w:val="-10"/>
        </w:rPr>
        <w:t> </w:t>
      </w:r>
      <w:r>
        <w:rPr/>
        <w:t>de</w:t>
      </w:r>
      <w:r>
        <w:rPr>
          <w:spacing w:val="-10"/>
        </w:rPr>
        <w:t> </w:t>
      </w:r>
      <w:r>
        <w:rPr/>
        <w:t>ingeniería</w:t>
      </w:r>
      <w:r>
        <w:rPr>
          <w:spacing w:val="-10"/>
        </w:rPr>
        <w:t> </w:t>
      </w:r>
      <w:r>
        <w:rPr/>
        <w:t>que</w:t>
      </w:r>
      <w:r>
        <w:rPr>
          <w:spacing w:val="-10"/>
        </w:rPr>
        <w:t> </w:t>
      </w:r>
      <w:r>
        <w:rPr/>
        <w:t>datan</w:t>
      </w:r>
      <w:r>
        <w:rPr>
          <w:spacing w:val="-10"/>
        </w:rPr>
        <w:t> </w:t>
      </w:r>
      <w:r>
        <w:rPr/>
        <w:t>de</w:t>
      </w:r>
      <w:r>
        <w:rPr>
          <w:spacing w:val="-10"/>
        </w:rPr>
        <w:t> </w:t>
      </w:r>
      <w:r>
        <w:rPr/>
        <w:t>la</w:t>
      </w:r>
      <w:r>
        <w:rPr>
          <w:spacing w:val="-10"/>
        </w:rPr>
        <w:t> </w:t>
      </w:r>
      <w:r>
        <w:rPr/>
        <w:t>tercera</w:t>
      </w:r>
      <w:r>
        <w:rPr>
          <w:spacing w:val="-10"/>
        </w:rPr>
        <w:t> </w:t>
      </w:r>
      <w:r>
        <w:rPr/>
        <w:t>década</w:t>
      </w:r>
      <w:r>
        <w:rPr>
          <w:spacing w:val="-10"/>
        </w:rPr>
        <w:t> </w:t>
      </w:r>
      <w:r>
        <w:rPr/>
        <w:t>del</w:t>
      </w:r>
      <w:r>
        <w:rPr>
          <w:spacing w:val="-10"/>
        </w:rPr>
        <w:t> </w:t>
      </w:r>
      <w:r>
        <w:rPr/>
        <w:t>siglo</w:t>
      </w:r>
      <w:r>
        <w:rPr>
          <w:spacing w:val="-10"/>
        </w:rPr>
        <w:t> </w:t>
      </w:r>
      <w:r>
        <w:rPr/>
        <w:t>XX</w:t>
      </w:r>
      <w:r>
        <w:rPr>
          <w:spacing w:val="-10"/>
        </w:rPr>
        <w:t> </w:t>
      </w:r>
      <w:r>
        <w:rPr/>
        <w:t>y</w:t>
      </w:r>
      <w:r>
        <w:rPr>
          <w:spacing w:val="-10"/>
        </w:rPr>
        <w:t> </w:t>
      </w:r>
      <w:r>
        <w:rPr/>
        <w:t>que</w:t>
      </w:r>
      <w:r>
        <w:rPr>
          <w:spacing w:val="-10"/>
        </w:rPr>
        <w:t> </w:t>
      </w:r>
      <w:r>
        <w:rPr/>
        <w:t>fueron diseñadas y construidas en diferentes etapas; la última obra de atención al mismo se realizó en el año de</w:t>
      </w:r>
      <w:r>
        <w:rPr>
          <w:spacing w:val="-13"/>
        </w:rPr>
        <w:t> </w:t>
      </w:r>
      <w:r>
        <w:rPr/>
        <w:t>2014.</w:t>
      </w:r>
    </w:p>
    <w:p>
      <w:pPr>
        <w:pStyle w:val="BodyText"/>
        <w:spacing w:before="11"/>
      </w:pPr>
    </w:p>
    <w:p>
      <w:pPr>
        <w:pStyle w:val="BodyText"/>
        <w:spacing w:line="249" w:lineRule="auto"/>
        <w:ind w:left="130" w:right="128" w:firstLine="170"/>
        <w:jc w:val="both"/>
      </w:pPr>
      <w:r>
        <w:rPr/>
        <w:t>El sistema hídrico nace en el piedemonte nororiental del volcán Nevado de Toluca y con el propósito de evitar el desborde de aguas, e control urbano del mismo fue la idea que permitió la construcción de una bóveda que ochenta años más tarde fue apoyado por sistemas de alivio que en conjunto y desde su creación, muestran problemas de eficiencia en el drenado de las aguas torrenciales y ahora, del drenaje urbano que lo alimentan también.</w:t>
      </w:r>
    </w:p>
    <w:p>
      <w:pPr>
        <w:pStyle w:val="BodyText"/>
        <w:spacing w:before="11"/>
      </w:pPr>
    </w:p>
    <w:p>
      <w:pPr>
        <w:pStyle w:val="BodyText"/>
        <w:spacing w:line="249" w:lineRule="auto"/>
        <w:ind w:left="130" w:right="127" w:firstLine="170"/>
        <w:jc w:val="both"/>
      </w:pPr>
      <w:r>
        <w:rPr/>
        <w:t>Sobre la cúpula y las paredes laterales de la obra que “controla” al río, el terreno    fue cubierto de materiales de relleno y  nivelado  para  después  desarrollar  sobre  ésta obra de ingeniería, infraestructura urbana en donde se destaca la presencia de escuelas, casas, oficinas, edificios públicas, avenidas y calles que se encuentran bajo condiciones de riesgo de colapso debido a la dinámica fluvial de profundización y socavación lateral (ensanchamiento) que es propia y universal de todos los ríos y que para</w:t>
      </w:r>
      <w:r>
        <w:rPr>
          <w:spacing w:val="-4"/>
        </w:rPr>
        <w:t> </w:t>
      </w:r>
      <w:r>
        <w:rPr/>
        <w:t>el</w:t>
      </w:r>
      <w:r>
        <w:rPr>
          <w:spacing w:val="-4"/>
        </w:rPr>
        <w:t> </w:t>
      </w:r>
      <w:r>
        <w:rPr/>
        <w:t>caso</w:t>
      </w:r>
      <w:r>
        <w:rPr>
          <w:spacing w:val="-4"/>
        </w:rPr>
        <w:t> </w:t>
      </w:r>
      <w:r>
        <w:rPr/>
        <w:t>que</w:t>
      </w:r>
      <w:r>
        <w:rPr>
          <w:spacing w:val="-4"/>
        </w:rPr>
        <w:t> </w:t>
      </w:r>
      <w:r>
        <w:rPr/>
        <w:t>ocupa,</w:t>
      </w:r>
      <w:r>
        <w:rPr>
          <w:spacing w:val="-4"/>
        </w:rPr>
        <w:t> </w:t>
      </w:r>
      <w:r>
        <w:rPr/>
        <w:t>a</w:t>
      </w:r>
      <w:r>
        <w:rPr>
          <w:spacing w:val="-4"/>
        </w:rPr>
        <w:t> </w:t>
      </w:r>
      <w:r>
        <w:rPr/>
        <w:t>pesar</w:t>
      </w:r>
      <w:r>
        <w:rPr>
          <w:spacing w:val="-4"/>
        </w:rPr>
        <w:t> </w:t>
      </w:r>
      <w:r>
        <w:rPr/>
        <w:t>de</w:t>
      </w:r>
      <w:r>
        <w:rPr>
          <w:spacing w:val="-4"/>
        </w:rPr>
        <w:t> </w:t>
      </w:r>
      <w:r>
        <w:rPr/>
        <w:t>ser</w:t>
      </w:r>
      <w:r>
        <w:rPr>
          <w:spacing w:val="-4"/>
        </w:rPr>
        <w:t> </w:t>
      </w:r>
      <w:r>
        <w:rPr/>
        <w:t>minimizada</w:t>
      </w:r>
      <w:r>
        <w:rPr>
          <w:spacing w:val="-4"/>
        </w:rPr>
        <w:t> </w:t>
      </w:r>
      <w:r>
        <w:rPr/>
        <w:t>con</w:t>
      </w:r>
      <w:r>
        <w:rPr>
          <w:spacing w:val="-4"/>
        </w:rPr>
        <w:t> </w:t>
      </w:r>
      <w:r>
        <w:rPr/>
        <w:t>concreto</w:t>
      </w:r>
      <w:r>
        <w:rPr>
          <w:spacing w:val="-4"/>
        </w:rPr>
        <w:t> </w:t>
      </w:r>
      <w:r>
        <w:rPr/>
        <w:t>y</w:t>
      </w:r>
      <w:r>
        <w:rPr>
          <w:spacing w:val="-4"/>
        </w:rPr>
        <w:t> </w:t>
      </w:r>
      <w:r>
        <w:rPr/>
        <w:t>ladrillo,</w:t>
      </w:r>
      <w:r>
        <w:rPr>
          <w:spacing w:val="-4"/>
        </w:rPr>
        <w:t> </w:t>
      </w:r>
      <w:r>
        <w:rPr/>
        <w:t>los</w:t>
      </w:r>
      <w:r>
        <w:rPr>
          <w:spacing w:val="-4"/>
        </w:rPr>
        <w:t> </w:t>
      </w:r>
      <w:r>
        <w:rPr/>
        <w:t>procesos geomorfológicos de modelado se desarrollan generando inestabilidad de lo que se construido por encima de</w:t>
      </w:r>
      <w:r>
        <w:rPr>
          <w:spacing w:val="47"/>
        </w:rPr>
        <w:t> </w:t>
      </w:r>
      <w:r>
        <w:rPr/>
        <w:t>ellos.</w:t>
      </w:r>
    </w:p>
    <w:p>
      <w:pPr>
        <w:pStyle w:val="BodyText"/>
        <w:spacing w:before="11"/>
      </w:pPr>
    </w:p>
    <w:p>
      <w:pPr>
        <w:pStyle w:val="BodyText"/>
        <w:spacing w:line="249" w:lineRule="auto"/>
        <w:ind w:left="130" w:right="127" w:firstLine="170"/>
        <w:jc w:val="both"/>
      </w:pPr>
      <w:r>
        <w:rPr/>
        <w:t>El material de carga, la combinación entre el flujo de agua, la capacidad de carga   de los sedimentos, la configuración del sistema de drenaje natural y controlado y el perfil</w:t>
      </w:r>
      <w:r>
        <w:rPr>
          <w:spacing w:val="41"/>
        </w:rPr>
        <w:t> </w:t>
      </w:r>
      <w:r>
        <w:rPr/>
        <w:t>vertical</w:t>
      </w:r>
      <w:r>
        <w:rPr>
          <w:spacing w:val="41"/>
        </w:rPr>
        <w:t> </w:t>
      </w:r>
      <w:r>
        <w:rPr/>
        <w:t>de</w:t>
      </w:r>
      <w:r>
        <w:rPr>
          <w:spacing w:val="41"/>
        </w:rPr>
        <w:t> </w:t>
      </w:r>
      <w:r>
        <w:rPr/>
        <w:t>la</w:t>
      </w:r>
      <w:r>
        <w:rPr>
          <w:spacing w:val="41"/>
        </w:rPr>
        <w:t> </w:t>
      </w:r>
      <w:r>
        <w:rPr/>
        <w:t>estructura</w:t>
      </w:r>
      <w:r>
        <w:rPr>
          <w:spacing w:val="41"/>
        </w:rPr>
        <w:t> </w:t>
      </w:r>
      <w:r>
        <w:rPr/>
        <w:t>hidráulica</w:t>
      </w:r>
      <w:r>
        <w:rPr>
          <w:spacing w:val="41"/>
        </w:rPr>
        <w:t> </w:t>
      </w:r>
      <w:r>
        <w:rPr/>
        <w:t>de</w:t>
      </w:r>
      <w:r>
        <w:rPr>
          <w:spacing w:val="41"/>
        </w:rPr>
        <w:t> </w:t>
      </w:r>
      <w:r>
        <w:rPr/>
        <w:t>control</w:t>
      </w:r>
      <w:r>
        <w:rPr>
          <w:spacing w:val="41"/>
        </w:rPr>
        <w:t> </w:t>
      </w:r>
      <w:r>
        <w:rPr/>
        <w:t>son</w:t>
      </w:r>
      <w:r>
        <w:rPr>
          <w:spacing w:val="41"/>
        </w:rPr>
        <w:t> </w:t>
      </w:r>
      <w:r>
        <w:rPr/>
        <w:t>variables</w:t>
      </w:r>
      <w:r>
        <w:rPr>
          <w:spacing w:val="41"/>
        </w:rPr>
        <w:t> </w:t>
      </w:r>
      <w:r>
        <w:rPr/>
        <w:t>que</w:t>
      </w:r>
      <w:r>
        <w:rPr>
          <w:spacing w:val="41"/>
        </w:rPr>
        <w:t> </w:t>
      </w:r>
      <w:r>
        <w:rPr/>
        <w:t>se</w:t>
      </w:r>
      <w:r>
        <w:rPr>
          <w:spacing w:val="41"/>
        </w:rPr>
        <w:t> </w:t>
      </w:r>
      <w:r>
        <w:rPr/>
        <w:t>combinan</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154"/>
          <w:pgSz w:w="18830" w:h="12760" w:orient="landscape"/>
          <w:pgMar w:footer="1036" w:header="522" w:top="820" w:bottom="1220" w:left="720" w:right="720"/>
        </w:sectPr>
      </w:pPr>
    </w:p>
    <w:p>
      <w:pPr>
        <w:pStyle w:val="BodyText"/>
        <w:spacing w:line="249" w:lineRule="auto" w:before="76"/>
        <w:ind w:left="132" w:right="-7"/>
      </w:pPr>
      <w:r>
        <w:rPr/>
        <w:t>para debilitar las márgenes de ataque del río y provocar con ello el colapso de las edificaciones y la infraestructura (Tabla 4).</w:t>
      </w:r>
    </w:p>
    <w:p>
      <w:pPr>
        <w:pStyle w:val="BodyText"/>
        <w:spacing w:line="249" w:lineRule="auto" w:before="76"/>
        <w:ind w:left="132"/>
      </w:pPr>
      <w:r>
        <w:rPr/>
        <w:br w:type="column"/>
      </w:r>
      <w:r>
        <w:rPr/>
        <w:t>registros de la ciudad de Toluca que la sitúan entre 164 (muy mala) y 312 puntos (fuera del margen tolerable).</w:t>
      </w:r>
    </w:p>
    <w:p>
      <w:pPr>
        <w:spacing w:after="0" w:line="249" w:lineRule="auto"/>
        <w:sectPr>
          <w:type w:val="continuous"/>
          <w:pgSz w:w="18830" w:h="12760" w:orient="landscape"/>
          <w:pgMar w:top="1420" w:bottom="280" w:left="720" w:right="720"/>
          <w:cols w:num="2" w:equalWidth="0">
            <w:col w:w="7842" w:space="1567"/>
            <w:col w:w="7981"/>
          </w:cols>
        </w:sectPr>
      </w:pPr>
    </w:p>
    <w:p>
      <w:pPr>
        <w:pStyle w:val="BodyText"/>
        <w:spacing w:before="2"/>
        <w:rPr>
          <w:sz w:val="18"/>
        </w:rPr>
      </w:pPr>
    </w:p>
    <w:p>
      <w:pPr>
        <w:spacing w:after="0"/>
        <w:rPr>
          <w:sz w:val="18"/>
        </w:rPr>
        <w:sectPr>
          <w:type w:val="continuous"/>
          <w:pgSz w:w="18830" w:h="12760" w:orient="landscape"/>
          <w:pgMar w:top="1420" w:bottom="280" w:left="720" w:right="720"/>
        </w:sectPr>
      </w:pPr>
    </w:p>
    <w:p>
      <w:pPr>
        <w:tabs>
          <w:tab w:pos="1773" w:val="left" w:leader="none"/>
          <w:tab w:pos="7832" w:val="left" w:leader="none"/>
        </w:tabs>
        <w:spacing w:before="80"/>
        <w:ind w:left="132" w:right="0" w:firstLine="0"/>
        <w:jc w:val="center"/>
        <w:rPr>
          <w:sz w:val="16"/>
        </w:rPr>
      </w:pPr>
      <w:r>
        <w:rPr/>
        <w:pict>
          <v:line style="position:absolute;mso-position-horizontal-relative:page;mso-position-vertical-relative:paragraph;z-index:-648856" from="42.870499pt,22.885092pt" to="42.870499pt,22.885092pt" stroked="true" strokeweight=".5pt" strokecolor="#929292">
            <w10:wrap type="none"/>
          </v:line>
        </w:pict>
      </w:r>
      <w:r>
        <w:rPr/>
        <w:pict>
          <v:line style="position:absolute;mso-position-horizontal-relative:page;mso-position-vertical-relative:paragraph;z-index:-648832" from="427.381989pt,22.885092pt" to="427.381989pt,22.885092pt" stroked="true" strokeweight=".5pt" strokecolor="#929292">
            <w10:wrap type="none"/>
          </v:line>
        </w:pict>
      </w:r>
      <w:r>
        <w:rPr/>
        <w:pict>
          <v:line style="position:absolute;mso-position-horizontal-relative:page;mso-position-vertical-relative:paragraph;z-index:-648808" from="42.870499pt,31.431593pt" to="42.870499pt,31.431593pt" stroked="true" strokeweight=".5pt" strokecolor="#929292">
            <w10:wrap type="none"/>
          </v:line>
        </w:pict>
      </w:r>
      <w:r>
        <w:rPr/>
        <w:pict>
          <v:line style="position:absolute;mso-position-horizontal-relative:page;mso-position-vertical-relative:paragraph;z-index:-648784" from="427.381989pt,31.431593pt" to="427.381989pt,31.431593pt" stroked="true" strokeweight=".5pt" strokecolor="#929292">
            <w10:wrap type="none"/>
          </v:line>
        </w:pict>
      </w:r>
      <w:r>
        <w:rPr>
          <w:w w:val="100"/>
          <w:sz w:val="16"/>
          <w:shd w:fill="929292" w:color="auto" w:val="clear"/>
        </w:rPr>
        <w:t> </w:t>
      </w:r>
      <w:r>
        <w:rPr>
          <w:sz w:val="16"/>
          <w:shd w:fill="929292" w:color="auto" w:val="clear"/>
        </w:rPr>
        <w:tab/>
        <w:t>Colonias y/o avenidas afectadas por el curso del río</w:t>
      </w:r>
      <w:r>
        <w:rPr>
          <w:spacing w:val="24"/>
          <w:sz w:val="16"/>
          <w:shd w:fill="929292" w:color="auto" w:val="clear"/>
        </w:rPr>
        <w:t> </w:t>
      </w:r>
      <w:r>
        <w:rPr>
          <w:sz w:val="16"/>
          <w:shd w:fill="929292" w:color="auto" w:val="clear"/>
        </w:rPr>
        <w:t>Verdiguel</w:t>
        <w:tab/>
      </w:r>
    </w:p>
    <w:p>
      <w:pPr>
        <w:pStyle w:val="BodyText"/>
        <w:ind w:left="132" w:right="-60"/>
      </w:pPr>
      <w:r>
        <w:rPr/>
        <w:pict>
          <v:group style="width:385.05pt;height:44.9pt;mso-position-horizontal-relative:char;mso-position-vertical-relative:line" coordorigin="0,0" coordsize="7701,898">
            <v:line style="position:absolute" from="3823,143" to="3823,19" stroked="true" strokeweight=".5pt" strokecolor="#929292">
              <v:stroke dashstyle="dash"/>
            </v:line>
            <v:line style="position:absolute" from="3823,171" to="3823,171" stroked="true" strokeweight=".5pt" strokecolor="#929292"/>
            <v:line style="position:absolute" from="3823,5" to="3823,5" stroked="true" strokeweight=".5pt" strokecolor="#929292"/>
            <v:line style="position:absolute" from="3823,171" to="3823,171" stroked="true" strokeweight=".5pt" strokecolor="#929292"/>
            <v:line style="position:absolute" from="3823,313" to="3823,185" stroked="true" strokeweight=".5pt" strokecolor="#929292">
              <v:stroke dashstyle="dash"/>
            </v:line>
            <v:line style="position:absolute" from="3823,342" to="3823,342" stroked="true" strokeweight=".5pt" strokecolor="#929292"/>
            <v:line style="position:absolute" from="3823,171" to="3823,171" stroked="true" strokeweight=".5pt" strokecolor="#929292"/>
            <v:line style="position:absolute" from="3823,171" to="3823,171" stroked="true" strokeweight=".5pt" strokecolor="#929292"/>
            <v:line style="position:absolute" from="3823,342" to="3823,342" stroked="true" strokeweight=".5pt" strokecolor="#929292"/>
            <v:line style="position:absolute" from="3823,484" to="3823,356" stroked="true" strokeweight=".5pt" strokecolor="#929292">
              <v:stroke dashstyle="dash"/>
            </v:line>
            <v:line style="position:absolute" from="3823,513" to="3823,513" stroked="true" strokeweight=".5pt" strokecolor="#929292"/>
            <v:line style="position:absolute" from="3823,342" to="3823,342" stroked="true" strokeweight=".5pt" strokecolor="#929292"/>
            <v:line style="position:absolute" from="3823,342" to="3823,342" stroked="true" strokeweight=".5pt" strokecolor="#929292"/>
            <v:line style="position:absolute" from="3823,513" to="3823,513" stroked="true" strokeweight=".5pt" strokecolor="#929292"/>
            <v:line style="position:absolute" from="3823,655" to="3823,527" stroked="true" strokeweight=".5pt" strokecolor="#929292">
              <v:stroke dashstyle="dash"/>
            </v:line>
            <v:line style="position:absolute" from="3823,684" to="3823,684" stroked="true" strokeweight=".5pt" strokecolor="#929292"/>
            <v:line style="position:absolute" from="3823,513" to="3823,513" stroked="true" strokeweight=".5pt" strokecolor="#929292"/>
            <v:line style="position:absolute" from="3823,513" to="3823,513" stroked="true" strokeweight=".5pt" strokecolor="#929292"/>
            <v:line style="position:absolute" from="3823,684" to="3823,684" stroked="true" strokeweight=".5pt" strokecolor="#929292"/>
            <v:line style="position:absolute" from="35,893" to="3808,893" stroked="true" strokeweight=".5pt" strokecolor="#929292">
              <v:stroke dashstyle="dash"/>
            </v:line>
            <v:line style="position:absolute" from="5,893" to="5,893" stroked="true" strokeweight=".5pt" strokecolor="#929292"/>
            <v:line style="position:absolute" from="3823,893" to="3823,893" stroked="true" strokeweight=".5pt" strokecolor="#929292"/>
            <v:line style="position:absolute" from="3823,863" to="3823,699" stroked="true" strokeweight=".5pt" strokecolor="#929292">
              <v:stroke dashstyle="dash"/>
            </v:line>
            <v:line style="position:absolute" from="3823,893" to="3823,893" stroked="true" strokeweight=".5pt" strokecolor="#929292"/>
            <v:line style="position:absolute" from="3823,684" to="3823,684" stroked="true" strokeweight=".5pt" strokecolor="#929292"/>
            <v:line style="position:absolute" from="3823,684" to="3823,684" stroked="true" strokeweight=".5pt" strokecolor="#929292"/>
            <v:line style="position:absolute" from="3853,893" to="7680,893" stroked="true" strokeweight=".5pt" strokecolor="#929292">
              <v:stroke dashstyle="dash"/>
            </v:line>
            <v:line style="position:absolute" from="3823,893" to="3823,893" stroked="true" strokeweight=".5pt" strokecolor="#929292"/>
            <v:line style="position:absolute" from="7695,893" to="7695,893" stroked="true" strokeweight=".5pt" strokecolor="#929292"/>
            <v:shape style="position:absolute;left:0;top:0;width:7701;height:898" type="#_x0000_t202" filled="false" stroked="false">
              <v:textbox inset="0,0,0,0">
                <w:txbxContent>
                  <w:p>
                    <w:pPr>
                      <w:tabs>
                        <w:tab w:pos="1271" w:val="left" w:leader="none"/>
                        <w:tab w:pos="3807" w:val="left" w:leader="none"/>
                        <w:tab w:pos="5344" w:val="left" w:leader="none"/>
                        <w:tab w:pos="7680" w:val="left" w:leader="none"/>
                      </w:tabs>
                      <w:spacing w:line="170" w:lineRule="exact" w:before="0"/>
                      <w:ind w:left="35" w:right="0" w:firstLine="0"/>
                      <w:jc w:val="left"/>
                      <w:rPr>
                        <w:sz w:val="16"/>
                      </w:rPr>
                    </w:pPr>
                    <w:r>
                      <w:rPr>
                        <w:w w:val="100"/>
                        <w:sz w:val="16"/>
                        <w:u w:val="dotted" w:color="929292"/>
                      </w:rPr>
                      <w:t> </w:t>
                    </w:r>
                    <w:r>
                      <w:rPr>
                        <w:sz w:val="16"/>
                        <w:u w:val="dotted" w:color="929292"/>
                      </w:rPr>
                      <w:tab/>
                    </w:r>
                    <w:r>
                      <w:rPr>
                        <w:w w:val="105"/>
                        <w:sz w:val="16"/>
                        <w:u w:val="dotted" w:color="929292"/>
                      </w:rPr>
                      <w:t>Riesgo</w:t>
                    </w:r>
                    <w:r>
                      <w:rPr>
                        <w:spacing w:val="-8"/>
                        <w:w w:val="105"/>
                        <w:sz w:val="16"/>
                        <w:u w:val="dotted" w:color="929292"/>
                      </w:rPr>
                      <w:t> </w:t>
                    </w:r>
                    <w:r>
                      <w:rPr>
                        <w:w w:val="105"/>
                        <w:sz w:val="16"/>
                        <w:u w:val="dotted" w:color="929292"/>
                      </w:rPr>
                      <w:t>inminente</w:t>
                      <w:tab/>
                      <w:t> </w:t>
                      <w:tab/>
                      <w:t>Riesgo</w:t>
                    </w:r>
                    <w:r>
                      <w:rPr>
                        <w:spacing w:val="-8"/>
                        <w:w w:val="105"/>
                        <w:sz w:val="16"/>
                        <w:u w:val="dotted" w:color="929292"/>
                      </w:rPr>
                      <w:t> </w:t>
                    </w:r>
                    <w:r>
                      <w:rPr>
                        <w:w w:val="105"/>
                        <w:sz w:val="16"/>
                        <w:u w:val="dotted" w:color="929292"/>
                      </w:rPr>
                      <w:t>alto</w:t>
                    </w:r>
                    <w:r>
                      <w:rPr>
                        <w:sz w:val="16"/>
                        <w:u w:val="dotted" w:color="929292"/>
                      </w:rPr>
                      <w:tab/>
                    </w:r>
                  </w:p>
                  <w:p>
                    <w:pPr>
                      <w:tabs>
                        <w:tab w:pos="3807" w:val="left" w:leader="none"/>
                        <w:tab w:pos="7680" w:val="left" w:leader="none"/>
                      </w:tabs>
                      <w:spacing w:line="171" w:lineRule="exact" w:before="0"/>
                      <w:ind w:left="35" w:right="0" w:firstLine="0"/>
                      <w:jc w:val="left"/>
                      <w:rPr>
                        <w:sz w:val="16"/>
                      </w:rPr>
                    </w:pPr>
                    <w:r>
                      <w:rPr>
                        <w:w w:val="100"/>
                        <w:sz w:val="16"/>
                        <w:u w:val="dotted" w:color="929292"/>
                      </w:rPr>
                      <w:t> </w:t>
                    </w:r>
                    <w:r>
                      <w:rPr>
                        <w:spacing w:val="-16"/>
                        <w:sz w:val="16"/>
                        <w:u w:val="dotted" w:color="929292"/>
                      </w:rPr>
                      <w:t> </w:t>
                    </w:r>
                    <w:r>
                      <w:rPr>
                        <w:sz w:val="16"/>
                        <w:u w:val="dotted" w:color="929292"/>
                      </w:rPr>
                      <w:t>Centro</w:t>
                      <w:tab/>
                      <w:t>Independencia</w:t>
                      <w:tab/>
                    </w:r>
                  </w:p>
                  <w:p>
                    <w:pPr>
                      <w:tabs>
                        <w:tab w:pos="3807" w:val="left" w:leader="none"/>
                        <w:tab w:pos="7680" w:val="left" w:leader="none"/>
                      </w:tabs>
                      <w:spacing w:line="171" w:lineRule="exact" w:before="0"/>
                      <w:ind w:left="35" w:right="0" w:firstLine="0"/>
                      <w:jc w:val="left"/>
                      <w:rPr>
                        <w:sz w:val="16"/>
                      </w:rPr>
                    </w:pPr>
                    <w:r>
                      <w:rPr>
                        <w:w w:val="100"/>
                        <w:sz w:val="16"/>
                        <w:u w:val="dotted" w:color="929292"/>
                      </w:rPr>
                      <w:t> </w:t>
                    </w:r>
                    <w:r>
                      <w:rPr>
                        <w:spacing w:val="-16"/>
                        <w:sz w:val="16"/>
                        <w:u w:val="dotted" w:color="929292"/>
                      </w:rPr>
                      <w:t> </w:t>
                    </w:r>
                    <w:r>
                      <w:rPr>
                        <w:sz w:val="16"/>
                        <w:u w:val="dotted" w:color="929292"/>
                      </w:rPr>
                      <w:t>Avenida Lerdo de Tejada</w:t>
                      <w:tab/>
                      <w:t>Nueva Oxtotitlán</w:t>
                      <w:tab/>
                    </w:r>
                  </w:p>
                  <w:p>
                    <w:pPr>
                      <w:tabs>
                        <w:tab w:pos="3807" w:val="left" w:leader="none"/>
                        <w:tab w:pos="7680" w:val="left" w:leader="none"/>
                      </w:tabs>
                      <w:spacing w:line="171" w:lineRule="exact" w:before="0"/>
                      <w:ind w:left="35" w:right="0" w:firstLine="0"/>
                      <w:jc w:val="left"/>
                      <w:rPr>
                        <w:sz w:val="16"/>
                      </w:rPr>
                    </w:pPr>
                    <w:r>
                      <w:rPr>
                        <w:w w:val="100"/>
                        <w:sz w:val="16"/>
                        <w:u w:val="dotted" w:color="929292"/>
                      </w:rPr>
                      <w:t> </w:t>
                    </w:r>
                    <w:r>
                      <w:rPr>
                        <w:spacing w:val="-16"/>
                        <w:sz w:val="16"/>
                        <w:u w:val="dotted" w:color="929292"/>
                      </w:rPr>
                      <w:t> </w:t>
                    </w:r>
                    <w:r>
                      <w:rPr>
                        <w:sz w:val="16"/>
                        <w:u w:val="dotted" w:color="929292"/>
                      </w:rPr>
                      <w:t>Avenida de Los Maestros</w:t>
                      <w:tab/>
                      <w:t>Universidad</w:t>
                      <w:tab/>
                    </w:r>
                  </w:p>
                  <w:p>
                    <w:pPr>
                      <w:spacing w:line="177" w:lineRule="exact" w:before="0"/>
                      <w:ind w:left="3913" w:right="2582" w:firstLine="0"/>
                      <w:jc w:val="center"/>
                      <w:rPr>
                        <w:sz w:val="16"/>
                      </w:rPr>
                    </w:pPr>
                    <w:r>
                      <w:rPr>
                        <w:sz w:val="16"/>
                      </w:rPr>
                      <w:t>Avenida Hidalgo</w:t>
                    </w:r>
                  </w:p>
                </w:txbxContent>
              </v:textbox>
              <w10:wrap type="none"/>
            </v:shape>
          </v:group>
        </w:pict>
      </w:r>
      <w:r>
        <w:rPr/>
      </w:r>
    </w:p>
    <w:p>
      <w:pPr>
        <w:spacing w:before="80"/>
        <w:ind w:left="142" w:right="0" w:firstLine="0"/>
        <w:jc w:val="center"/>
        <w:rPr>
          <w:sz w:val="16"/>
        </w:rPr>
      </w:pPr>
      <w:r>
        <w:rPr/>
        <w:pict>
          <v:line style="position:absolute;mso-position-horizontal-relative:page;mso-position-vertical-relative:paragraph;z-index:-648760" from="42.870499pt,-19.461779pt" to="42.870499pt,-19.461779pt" stroked="true" strokeweight=".5pt" strokecolor="#929292">
            <w10:wrap type="none"/>
          </v:line>
        </w:pict>
      </w:r>
      <w:r>
        <w:rPr/>
        <w:pict>
          <v:line style="position:absolute;mso-position-horizontal-relative:page;mso-position-vertical-relative:paragraph;z-index:-648736" from="427.381989pt,-19.461779pt" to="427.381989pt,-19.461779pt" stroked="true" strokeweight=".5pt" strokecolor="#929292">
            <w10:wrap type="none"/>
          </v:line>
        </w:pict>
      </w:r>
      <w:r>
        <w:rPr/>
        <w:pict>
          <v:line style="position:absolute;mso-position-horizontal-relative:page;mso-position-vertical-relative:paragraph;z-index:-648712" from="42.870499pt,-10.915179pt" to="42.870499pt,-10.915179pt" stroked="true" strokeweight=".5pt" strokecolor="#929292">
            <w10:wrap type="none"/>
          </v:line>
        </w:pict>
      </w:r>
      <w:r>
        <w:rPr/>
        <w:pict>
          <v:line style="position:absolute;mso-position-horizontal-relative:page;mso-position-vertical-relative:paragraph;z-index:-648688" from="427.381989pt,-10.915179pt" to="427.381989pt,-10.915179pt" stroked="true" strokeweight=".5pt" strokecolor="#929292">
            <w10:wrap type="none"/>
          </v:line>
        </w:pict>
      </w:r>
      <w:r>
        <w:rPr>
          <w:color w:val="6D6E71"/>
          <w:sz w:val="16"/>
        </w:rPr>
        <w:t>Tabla 4. Colonias que son afectadas por el trazo del río Verdiguel. El criterio de diferenciación fue</w:t>
      </w:r>
    </w:p>
    <w:p>
      <w:pPr>
        <w:tabs>
          <w:tab w:pos="3455" w:val="left" w:leader="none"/>
          <w:tab w:pos="7892" w:val="left" w:leader="none"/>
        </w:tabs>
        <w:spacing w:before="80"/>
        <w:ind w:left="132" w:right="0" w:firstLine="0"/>
        <w:jc w:val="left"/>
        <w:rPr>
          <w:sz w:val="16"/>
        </w:rPr>
      </w:pPr>
      <w:r>
        <w:rPr/>
        <w:br w:type="column"/>
      </w:r>
      <w:r>
        <w:rPr>
          <w:w w:val="100"/>
          <w:sz w:val="16"/>
          <w:shd w:fill="929292" w:color="auto" w:val="clear"/>
        </w:rPr>
        <w:t> </w:t>
      </w:r>
      <w:r>
        <w:rPr>
          <w:sz w:val="16"/>
          <w:shd w:fill="929292" w:color="auto" w:val="clear"/>
        </w:rPr>
        <w:tab/>
        <w:t>Calidad del</w:t>
      </w:r>
      <w:r>
        <w:rPr>
          <w:spacing w:val="2"/>
          <w:sz w:val="16"/>
          <w:shd w:fill="929292" w:color="auto" w:val="clear"/>
        </w:rPr>
        <w:t> </w:t>
      </w:r>
      <w:r>
        <w:rPr>
          <w:sz w:val="16"/>
          <w:shd w:fill="929292" w:color="auto" w:val="clear"/>
        </w:rPr>
        <w:t>aire</w:t>
        <w:tab/>
      </w:r>
    </w:p>
    <w:p>
      <w:pPr>
        <w:tabs>
          <w:tab w:pos="3603" w:val="left" w:leader="none"/>
          <w:tab w:pos="7872" w:val="left" w:leader="none"/>
        </w:tabs>
        <w:spacing w:line="177" w:lineRule="exact" w:before="15"/>
        <w:ind w:left="167" w:right="0" w:firstLine="0"/>
        <w:jc w:val="left"/>
        <w:rPr>
          <w:sz w:val="16"/>
        </w:rPr>
      </w:pPr>
      <w:r>
        <w:rPr/>
        <w:pict>
          <v:group style="position:absolute;margin-left:685.902588pt;margin-top:1.128131pt;width:.5pt;height:70.95pt;mso-position-horizontal-relative:page;mso-position-vertical-relative:paragraph;z-index:-648664" coordorigin="13718,23" coordsize="10,1419">
            <v:line style="position:absolute" from="13723,166" to="13723,41" stroked="true" strokeweight=".5pt" strokecolor="#929292">
              <v:stroke dashstyle="dash"/>
            </v:line>
            <v:shape style="position:absolute;left:0;top:10451;width:2;height:166" coordorigin="0,10451" coordsize="0,166" path="m13723,194l13723,194m13723,28l13723,28e" filled="false" stroked="true" strokeweight=".5pt" strokecolor="#929292">
              <v:path arrowok="t"/>
            </v:shape>
            <v:line style="position:absolute" from="13723,194" to="13723,194" stroked="true" strokeweight=".5pt" strokecolor="#929292"/>
            <v:line style="position:absolute" from="13723,336" to="13723,208" stroked="true" strokeweight=".5pt" strokecolor="#929292">
              <v:stroke dashstyle="dash"/>
            </v:line>
            <v:shape style="position:absolute;left:0;top:10446;width:2;height:171" coordorigin="0,10446" coordsize="0,171" path="m13723,364l13723,364m13723,193l13723,193e" filled="false" stroked="true" strokeweight=".5pt" strokecolor="#929292">
              <v:path arrowok="t"/>
            </v:shape>
            <v:line style="position:absolute" from="13723,194" to="13723,194" stroked="true" strokeweight=".5pt" strokecolor="#929292"/>
            <v:line style="position:absolute" from="13723,364" to="13723,364" stroked="true" strokeweight=".5pt" strokecolor="#929292"/>
            <v:line style="position:absolute" from="13723,507" to="13723,379" stroked="true" strokeweight=".5pt" strokecolor="#929292">
              <v:stroke dashstyle="dash"/>
            </v:line>
            <v:shape style="position:absolute;left:0;top:10446;width:2;height:171" coordorigin="0,10446" coordsize="0,171" path="m13723,535l13723,535m13723,364l13723,364e" filled="false" stroked="true" strokeweight=".5pt" strokecolor="#929292">
              <v:path arrowok="t"/>
            </v:shape>
            <v:line style="position:absolute" from="13723,364" to="13723,364" stroked="true" strokeweight=".5pt" strokecolor="#929292"/>
            <v:line style="position:absolute" from="13723,535" to="13723,535" stroked="true" strokeweight=".5pt" strokecolor="#929292"/>
            <v:line style="position:absolute" from="13723,678" to="13723,550" stroked="true" strokeweight=".5pt" strokecolor="#929292">
              <v:stroke dashstyle="dash"/>
            </v:line>
            <v:shape style="position:absolute;left:0;top:10446;width:2;height:171" coordorigin="0,10446" coordsize="0,171" path="m13723,706l13723,706m13723,535l13723,535e" filled="false" stroked="true" strokeweight=".5pt" strokecolor="#929292">
              <v:path arrowok="t"/>
            </v:shape>
            <v:line style="position:absolute" from="13723,535" to="13723,535" stroked="true" strokeweight=".5pt" strokecolor="#929292"/>
            <v:line style="position:absolute" from="13723,849" to="13723,721" stroked="true" strokeweight=".5pt" strokecolor="#929292">
              <v:stroke dashstyle="dash"/>
            </v:line>
            <v:shape style="position:absolute;left:0;top:10446;width:2;height:171" coordorigin="0,10446" coordsize="0,171" path="m13723,877l13723,877m13723,706l13723,706e" filled="false" stroked="true" strokeweight=".5pt" strokecolor="#929292">
              <v:path arrowok="t"/>
            </v:shape>
            <v:line style="position:absolute" from="13723,706" to="13723,706" stroked="true" strokeweight=".5pt" strokecolor="#929292"/>
            <v:line style="position:absolute" from="13723,877" to="13723,877" stroked="true" strokeweight=".5pt" strokecolor="#929292"/>
            <v:line style="position:absolute" from="13723,1020" to="13723,891" stroked="true" strokeweight=".5pt" strokecolor="#929292">
              <v:stroke dashstyle="dash"/>
            </v:line>
            <v:shape style="position:absolute;left:0;top:10446;width:2;height:171" coordorigin="0,10446" coordsize="0,171" path="m13723,1048l13723,1048m13723,877l13723,877e" filled="false" stroked="true" strokeweight=".5pt" strokecolor="#929292">
              <v:path arrowok="t"/>
            </v:shape>
            <v:line style="position:absolute" from="13723,877" to="13723,877" stroked="true" strokeweight=".5pt" strokecolor="#929292"/>
            <v:line style="position:absolute" from="13723,1048" to="13723,1048" stroked="true" strokeweight=".5pt" strokecolor="#929292"/>
            <v:line style="position:absolute" from="13723,1436" to="13723,1436" stroked="true" strokeweight=".5pt" strokecolor="#929292"/>
            <v:line style="position:absolute" from="13723,1406" to="13723,1063" stroked="true" strokeweight=".5pt" strokecolor="#929292">
              <v:stroke dashstyle="dash"/>
            </v:line>
            <v:shape style="position:absolute;left:0;top:10229;width:2;height:388" coordorigin="0,10229" coordsize="0,388" path="m13723,1436l13723,1436m13723,1048l13723,1048e" filled="false" stroked="true" strokeweight=".5pt" strokecolor="#929292">
              <v:path arrowok="t"/>
            </v:shape>
            <v:line style="position:absolute" from="13723,1048" to="13723,1048" stroked="true" strokeweight=".5pt" strokecolor="#929292"/>
            <v:line style="position:absolute" from="13723,1436" to="13723,1436" stroked="true" strokeweight=".5pt" strokecolor="#929292"/>
            <w10:wrap type="none"/>
          </v:group>
        </w:pict>
      </w:r>
      <w:r>
        <w:rPr/>
        <w:pict>
          <v:line style="position:absolute;mso-position-horizontal-relative:page;mso-position-vertical-relative:paragraph;z-index:4144" from="512.071899pt,9.675132pt" to="512.071899pt,9.675132pt" stroked="true" strokeweight=".5pt" strokecolor="#929292">
            <w10:wrap type="none"/>
          </v:line>
        </w:pict>
      </w:r>
      <w:r>
        <w:rPr/>
        <w:pict>
          <v:group style="position:absolute;margin-left:568.321899pt;margin-top:9.424631pt;width:.5pt;height:62.65pt;mso-position-horizontal-relative:page;mso-position-vertical-relative:paragraph;z-index:-648616" coordorigin="11366,188" coordsize="10,1253">
            <v:line style="position:absolute" from="11371,194" to="11371,194" stroked="true" strokeweight=".5pt" strokecolor="#929292"/>
            <v:line style="position:absolute" from="11371,336" to="11371,208" stroked="true" strokeweight=".5pt" strokecolor="#929292">
              <v:stroke dashstyle="dash"/>
            </v:line>
            <v:shape style="position:absolute;left:0;top:10446;width:2;height:171" coordorigin="0,10446" coordsize="0,171" path="m11371,364l11371,364m11371,193l11371,193e" filled="false" stroked="true" strokeweight=".5pt" strokecolor="#929292">
              <v:path arrowok="t"/>
            </v:shape>
            <v:line style="position:absolute" from="11371,194" to="11371,194" stroked="true" strokeweight=".5pt" strokecolor="#929292"/>
            <v:line style="position:absolute" from="11371,364" to="11371,364" stroked="true" strokeweight=".5pt" strokecolor="#929292"/>
            <v:line style="position:absolute" from="11371,507" to="11371,379" stroked="true" strokeweight=".5pt" strokecolor="#929292">
              <v:stroke dashstyle="dash"/>
            </v:line>
            <v:shape style="position:absolute;left:0;top:10446;width:2;height:171" coordorigin="0,10446" coordsize="0,171" path="m11371,535l11371,535m11371,364l11371,364e" filled="false" stroked="true" strokeweight=".5pt" strokecolor="#929292">
              <v:path arrowok="t"/>
            </v:shape>
            <v:line style="position:absolute" from="11371,364" to="11371,364" stroked="true" strokeweight=".5pt" strokecolor="#929292"/>
            <v:line style="position:absolute" from="11371,535" to="11371,535" stroked="true" strokeweight=".5pt" strokecolor="#929292"/>
            <v:line style="position:absolute" from="11371,678" to="11371,550" stroked="true" strokeweight=".5pt" strokecolor="#929292">
              <v:stroke dashstyle="dash"/>
            </v:line>
            <v:shape style="position:absolute;left:0;top:10446;width:2;height:171" coordorigin="0,10446" coordsize="0,171" path="m11371,706l11371,706m11371,535l11371,535e" filled="false" stroked="true" strokeweight=".5pt" strokecolor="#929292">
              <v:path arrowok="t"/>
            </v:shape>
            <v:line style="position:absolute" from="11371,535" to="11371,535" stroked="true" strokeweight=".5pt" strokecolor="#929292"/>
            <v:line style="position:absolute" from="11371,706" to="11371,706" stroked="true" strokeweight=".5pt" strokecolor="#929292"/>
            <v:line style="position:absolute" from="11371,849" to="11371,721" stroked="true" strokeweight=".5pt" strokecolor="#929292">
              <v:stroke dashstyle="dash"/>
            </v:line>
            <v:shape style="position:absolute;left:0;top:10446;width:2;height:171" coordorigin="0,10446" coordsize="0,171" path="m11371,877l11371,877m11371,706l11371,706e" filled="false" stroked="true" strokeweight=".5pt" strokecolor="#929292">
              <v:path arrowok="t"/>
            </v:shape>
            <v:line style="position:absolute" from="11371,706" to="11371,706" stroked="true" strokeweight=".5pt" strokecolor="#929292"/>
            <v:line style="position:absolute" from="11371,877" to="11371,877" stroked="true" strokeweight=".5pt" strokecolor="#929292"/>
            <v:line style="position:absolute" from="11371,1020" to="11371,891" stroked="true" strokeweight=".5pt" strokecolor="#929292">
              <v:stroke dashstyle="dash"/>
            </v:line>
            <v:shape style="position:absolute;left:0;top:10446;width:2;height:171" coordorigin="0,10446" coordsize="0,171" path="m11371,1048l11371,1048m11371,877l11371,877e" filled="false" stroked="true" strokeweight=".5pt" strokecolor="#929292">
              <v:path arrowok="t"/>
            </v:shape>
            <v:line style="position:absolute" from="11371,877" to="11371,877" stroked="true" strokeweight=".5pt" strokecolor="#929292"/>
            <v:line style="position:absolute" from="11371,1048" to="11371,1048" stroked="true" strokeweight=".5pt" strokecolor="#929292"/>
            <v:line style="position:absolute" from="11371,1436" to="11371,1436" stroked="true" strokeweight=".5pt" strokecolor="#929292"/>
            <v:line style="position:absolute" from="11371,1406" to="11371,1063" stroked="true" strokeweight=".5pt" strokecolor="#929292">
              <v:stroke dashstyle="dash"/>
            </v:line>
            <v:shape style="position:absolute;left:0;top:10229;width:2;height:388" coordorigin="0,10229" coordsize="0,388" path="m11371,1436l11371,1436m11371,1048l11371,1048e" filled="false" stroked="true" strokeweight=".5pt" strokecolor="#929292">
              <v:path arrowok="t"/>
            </v:shape>
            <v:line style="position:absolute" from="11371,1048" to="11371,1048" stroked="true" strokeweight=".5pt" strokecolor="#929292"/>
            <v:line style="position:absolute" from="11371,1436" to="11371,1436" stroked="true" strokeweight=".5pt" strokecolor="#929292"/>
            <w10:wrap type="none"/>
          </v:group>
        </w:pict>
      </w:r>
      <w:r>
        <w:rPr/>
        <w:pict>
          <v:line style="position:absolute;mso-position-horizontal-relative:page;mso-position-vertical-relative:paragraph;z-index:4192" from="899.581604pt,9.675132pt" to="899.581604pt,9.675132pt" stroked="true" strokeweight=".5pt" strokecolor="#929292">
            <w10:wrap type="none"/>
          </v:line>
        </w:pict>
      </w:r>
      <w:r>
        <w:rPr>
          <w:w w:val="100"/>
          <w:sz w:val="16"/>
          <w:u w:val="dotted" w:color="929292"/>
        </w:rPr>
        <w:t> </w:t>
      </w:r>
      <w:r>
        <w:rPr>
          <w:spacing w:val="-16"/>
          <w:sz w:val="16"/>
          <w:u w:val="dotted" w:color="929292"/>
        </w:rPr>
        <w:t> </w:t>
      </w:r>
      <w:r>
        <w:rPr>
          <w:w w:val="105"/>
          <w:sz w:val="16"/>
          <w:u w:val="dotted" w:color="929292"/>
        </w:rPr>
        <w:t>Red automáti</w:t>
      </w:r>
      <w:r>
        <w:rPr>
          <w:w w:val="105"/>
          <w:sz w:val="16"/>
        </w:rPr>
        <w:t>c</w:t>
      </w:r>
      <w:r>
        <w:rPr>
          <w:w w:val="105"/>
          <w:sz w:val="16"/>
          <w:u w:val="dotted" w:color="929292"/>
        </w:rPr>
        <w:t>a de</w:t>
      </w:r>
      <w:r>
        <w:rPr>
          <w:spacing w:val="-9"/>
          <w:w w:val="105"/>
          <w:sz w:val="16"/>
          <w:u w:val="dotted" w:color="929292"/>
        </w:rPr>
        <w:t> </w:t>
      </w:r>
      <w:r>
        <w:rPr>
          <w:w w:val="105"/>
          <w:sz w:val="16"/>
          <w:u w:val="dotted" w:color="929292"/>
        </w:rPr>
        <w:t>monitoreo</w:t>
      </w:r>
      <w:r>
        <w:rPr>
          <w:spacing w:val="-3"/>
          <w:w w:val="105"/>
          <w:sz w:val="16"/>
          <w:u w:val="dotted" w:color="929292"/>
        </w:rPr>
        <w:t> </w:t>
      </w:r>
      <w:r>
        <w:rPr>
          <w:w w:val="105"/>
          <w:sz w:val="16"/>
          <w:u w:val="dotted" w:color="929292"/>
        </w:rPr>
        <w:t>atmosférico</w:t>
        <w:tab/>
      </w:r>
      <w:r>
        <w:rPr>
          <w:w w:val="105"/>
          <w:sz w:val="16"/>
          <w:u w:val="dotted" w:color="929292"/>
        </w:rPr>
        <w:t>Observaciones en la ciudad de</w:t>
      </w:r>
      <w:r>
        <w:rPr>
          <w:spacing w:val="-15"/>
          <w:w w:val="105"/>
          <w:sz w:val="16"/>
          <w:u w:val="dotted" w:color="929292"/>
        </w:rPr>
        <w:t> </w:t>
      </w:r>
      <w:r>
        <w:rPr>
          <w:w w:val="105"/>
          <w:sz w:val="16"/>
          <w:u w:val="dotted" w:color="929292"/>
        </w:rPr>
        <w:t>Toluca</w:t>
      </w:r>
      <w:r>
        <w:rPr>
          <w:sz w:val="16"/>
          <w:u w:val="dotted" w:color="929292"/>
        </w:rPr>
        <w:tab/>
      </w:r>
    </w:p>
    <w:p>
      <w:pPr>
        <w:tabs>
          <w:tab w:pos="1252" w:val="left" w:leader="none"/>
          <w:tab w:pos="3603" w:val="left" w:leader="none"/>
          <w:tab w:pos="7872" w:val="left" w:leader="none"/>
        </w:tabs>
        <w:spacing w:line="171" w:lineRule="exact" w:before="0"/>
        <w:ind w:left="167" w:right="0" w:firstLine="0"/>
        <w:jc w:val="left"/>
        <w:rPr>
          <w:sz w:val="16"/>
        </w:rPr>
      </w:pPr>
      <w:r>
        <w:rPr/>
        <w:pict>
          <v:line style="position:absolute;mso-position-horizontal-relative:page;mso-position-vertical-relative:paragraph;z-index:4216" from="512.071899pt,8.600019pt" to="512.071899pt,8.600019pt" stroked="true" strokeweight=".5pt" strokecolor="#929292">
            <w10:wrap type="none"/>
          </v:line>
        </w:pict>
      </w:r>
      <w:r>
        <w:rPr/>
        <w:pict>
          <v:line style="position:absolute;mso-position-horizontal-relative:page;mso-position-vertical-relative:paragraph;z-index:4240" from="899.581604pt,8.600019pt" to="899.581604pt,8.600019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0 – 50</w:t>
        <w:tab/>
      </w:r>
      <w:r>
        <w:rPr>
          <w:sz w:val="16"/>
          <w:u w:val="dotted" w:color="929292"/>
        </w:rPr>
        <w:t>Buena</w:t>
        <w:tab/>
      </w:r>
      <w:r>
        <w:rPr>
          <w:sz w:val="16"/>
          <w:u w:val="dotted" w:color="929292"/>
        </w:rPr>
        <w:t>No es</w:t>
      </w:r>
      <w:r>
        <w:rPr>
          <w:spacing w:val="-1"/>
          <w:sz w:val="16"/>
          <w:u w:val="dotted" w:color="929292"/>
        </w:rPr>
        <w:t> </w:t>
      </w:r>
      <w:r>
        <w:rPr>
          <w:sz w:val="16"/>
          <w:u w:val="dotted" w:color="929292"/>
        </w:rPr>
        <w:t>común</w:t>
        <w:tab/>
      </w:r>
    </w:p>
    <w:p>
      <w:pPr>
        <w:tabs>
          <w:tab w:pos="1252" w:val="left" w:leader="none"/>
          <w:tab w:pos="3603" w:val="left" w:leader="none"/>
          <w:tab w:pos="7872" w:val="left" w:leader="none"/>
        </w:tabs>
        <w:spacing w:line="171" w:lineRule="exact" w:before="0"/>
        <w:ind w:left="167" w:right="0" w:firstLine="0"/>
        <w:jc w:val="left"/>
        <w:rPr>
          <w:sz w:val="16"/>
        </w:rPr>
      </w:pPr>
      <w:r>
        <w:rPr/>
        <w:pict>
          <v:line style="position:absolute;mso-position-horizontal-relative:page;mso-position-vertical-relative:paragraph;z-index:4264" from="512.071899pt,8.602612pt" to="512.071899pt,8.602612pt" stroked="true" strokeweight=".5pt" strokecolor="#929292">
            <w10:wrap type="none"/>
          </v:line>
        </w:pict>
      </w:r>
      <w:r>
        <w:rPr/>
        <w:pict>
          <v:line style="position:absolute;mso-position-horizontal-relative:page;mso-position-vertical-relative:paragraph;z-index:4288" from="899.581604pt,8.602612pt" to="899.581604pt,8.602612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51</w:t>
      </w:r>
      <w:r>
        <w:rPr>
          <w:spacing w:val="-1"/>
          <w:sz w:val="16"/>
          <w:u w:val="dotted" w:color="929292"/>
        </w:rPr>
        <w:t> </w:t>
      </w:r>
      <w:r>
        <w:rPr>
          <w:sz w:val="16"/>
          <w:u w:val="dotted" w:color="929292"/>
        </w:rPr>
        <w:t>–</w:t>
      </w:r>
      <w:r>
        <w:rPr>
          <w:spacing w:val="-1"/>
          <w:sz w:val="16"/>
          <w:u w:val="dotted" w:color="929292"/>
        </w:rPr>
        <w:t> </w:t>
      </w:r>
      <w:r>
        <w:rPr>
          <w:sz w:val="16"/>
          <w:u w:val="dotted" w:color="929292"/>
        </w:rPr>
        <w:t>100</w:t>
        <w:tab/>
      </w:r>
      <w:r>
        <w:rPr>
          <w:sz w:val="16"/>
          <w:u w:val="dotted" w:color="929292"/>
        </w:rPr>
        <w:t>Regular</w:t>
        <w:tab/>
      </w:r>
      <w:r>
        <w:rPr>
          <w:sz w:val="16"/>
          <w:u w:val="dotted" w:color="929292"/>
        </w:rPr>
        <w:t>Se presenta en pocas</w:t>
      </w:r>
      <w:r>
        <w:rPr>
          <w:spacing w:val="-1"/>
          <w:sz w:val="16"/>
          <w:u w:val="dotted" w:color="929292"/>
        </w:rPr>
        <w:t> </w:t>
      </w:r>
      <w:r>
        <w:rPr>
          <w:sz w:val="16"/>
          <w:u w:val="dotted" w:color="929292"/>
        </w:rPr>
        <w:t>ocasiones</w:t>
        <w:tab/>
      </w:r>
    </w:p>
    <w:p>
      <w:pPr>
        <w:tabs>
          <w:tab w:pos="1252" w:val="left" w:leader="none"/>
          <w:tab w:pos="3603" w:val="left" w:leader="none"/>
        </w:tabs>
        <w:spacing w:line="171" w:lineRule="exact" w:before="0"/>
        <w:ind w:left="167" w:right="0" w:firstLine="0"/>
        <w:jc w:val="left"/>
        <w:rPr>
          <w:sz w:val="16"/>
        </w:rPr>
      </w:pPr>
      <w:r>
        <w:rPr/>
        <w:pict>
          <v:line style="position:absolute;mso-position-horizontal-relative:page;mso-position-vertical-relative:paragraph;z-index:4312" from="512.071899pt,8.605206pt" to="512.071899pt,8.605206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101 - 150</w:t>
        <w:tab/>
      </w:r>
      <w:r>
        <w:rPr>
          <w:sz w:val="16"/>
          <w:u w:val="dotted" w:color="929292"/>
        </w:rPr>
        <w:t>Mala</w:t>
        <w:tab/>
      </w:r>
      <w:r>
        <w:rPr>
          <w:sz w:val="16"/>
        </w:rPr>
        <w:t>Oscilación de valores promedio de la</w:t>
      </w:r>
      <w:r>
        <w:rPr>
          <w:spacing w:val="4"/>
          <w:sz w:val="16"/>
        </w:rPr>
        <w:t> </w:t>
      </w:r>
      <w:r>
        <w:rPr>
          <w:sz w:val="16"/>
        </w:rPr>
        <w:t>ciudad</w:t>
      </w:r>
    </w:p>
    <w:p>
      <w:pPr>
        <w:tabs>
          <w:tab w:pos="1252" w:val="left" w:leader="none"/>
          <w:tab w:pos="3603" w:val="left" w:leader="none"/>
          <w:tab w:pos="7872" w:val="left" w:leader="none"/>
        </w:tabs>
        <w:spacing w:line="171" w:lineRule="exact" w:before="0"/>
        <w:ind w:left="167" w:right="0" w:firstLine="0"/>
        <w:jc w:val="left"/>
        <w:rPr>
          <w:sz w:val="16"/>
        </w:rPr>
      </w:pPr>
      <w:r>
        <w:rPr/>
        <w:pict>
          <v:line style="position:absolute;mso-position-horizontal-relative:page;mso-position-vertical-relative:paragraph;z-index:4336" from="512.071899pt,8.607800pt" to="512.071899pt,8.607800pt" stroked="true" strokeweight=".5pt" strokecolor="#929292">
            <w10:wrap type="none"/>
          </v:line>
        </w:pict>
      </w:r>
      <w:r>
        <w:rPr/>
        <w:pict>
          <v:line style="position:absolute;mso-position-horizontal-relative:page;mso-position-vertical-relative:paragraph;z-index:4360" from="899.581604pt,8.607800pt" to="899.581604pt,8.607800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151</w:t>
      </w:r>
      <w:r>
        <w:rPr>
          <w:spacing w:val="-1"/>
          <w:sz w:val="16"/>
          <w:u w:val="dotted" w:color="929292"/>
        </w:rPr>
        <w:t> </w:t>
      </w:r>
      <w:r>
        <w:rPr>
          <w:sz w:val="16"/>
          <w:u w:val="dotted" w:color="929292"/>
        </w:rPr>
        <w:t>–</w:t>
      </w:r>
      <w:r>
        <w:rPr>
          <w:spacing w:val="-1"/>
          <w:sz w:val="16"/>
          <w:u w:val="dotted" w:color="929292"/>
        </w:rPr>
        <w:t> </w:t>
      </w:r>
      <w:r>
        <w:rPr>
          <w:sz w:val="16"/>
          <w:u w:val="dotted" w:color="929292"/>
        </w:rPr>
        <w:t>200</w:t>
        <w:tab/>
      </w:r>
      <w:r>
        <w:rPr>
          <w:sz w:val="16"/>
          <w:u w:val="dotted" w:color="929292"/>
        </w:rPr>
        <w:t>Muy</w:t>
      </w:r>
      <w:r>
        <w:rPr>
          <w:spacing w:val="-1"/>
          <w:sz w:val="16"/>
          <w:u w:val="dotted" w:color="929292"/>
        </w:rPr>
        <w:t> </w:t>
      </w:r>
      <w:r>
        <w:rPr>
          <w:sz w:val="16"/>
          <w:u w:val="dotted" w:color="929292"/>
        </w:rPr>
        <w:t>Mala</w:t>
        <w:tab/>
      </w:r>
      <w:r>
        <w:rPr>
          <w:sz w:val="16"/>
        </w:rPr>
        <w:t> </w:t>
      </w:r>
      <w:r>
        <w:rPr>
          <w:w w:val="100"/>
          <w:sz w:val="16"/>
          <w:u w:val="dotted" w:color="929292"/>
        </w:rPr>
        <w:t> </w:t>
      </w:r>
      <w:r>
        <w:rPr>
          <w:sz w:val="16"/>
          <w:u w:val="dotted" w:color="929292"/>
        </w:rPr>
        <w:tab/>
      </w:r>
    </w:p>
    <w:p>
      <w:pPr>
        <w:tabs>
          <w:tab w:pos="1252" w:val="left" w:leader="none"/>
          <w:tab w:pos="3603" w:val="left" w:leader="none"/>
          <w:tab w:pos="7872" w:val="left" w:leader="none"/>
        </w:tabs>
        <w:spacing w:line="171" w:lineRule="exact" w:before="0"/>
        <w:ind w:left="167" w:right="0" w:firstLine="0"/>
        <w:jc w:val="left"/>
        <w:rPr>
          <w:sz w:val="16"/>
        </w:rPr>
      </w:pPr>
      <w:r>
        <w:rPr/>
        <w:pict>
          <v:line style="position:absolute;mso-position-horizontal-relative:page;mso-position-vertical-relative:paragraph;z-index:4384" from="512.071899pt,8.610293pt" to="512.071899pt,8.610293pt" stroked="true" strokeweight=".5pt" strokecolor="#929292">
            <w10:wrap type="none"/>
          </v:line>
        </w:pict>
      </w:r>
      <w:r>
        <w:rPr/>
        <w:pict>
          <v:line style="position:absolute;mso-position-horizontal-relative:page;mso-position-vertical-relative:paragraph;z-index:4408" from="899.581604pt,8.610293pt" to="899.581604pt,8.610293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201 - 300</w:t>
        <w:tab/>
      </w:r>
      <w:r>
        <w:rPr>
          <w:sz w:val="16"/>
          <w:u w:val="dotted" w:color="929292"/>
        </w:rPr>
        <w:t>Extremadamente mala</w:t>
        <w:tab/>
      </w:r>
      <w:r>
        <w:rPr>
          <w:sz w:val="16"/>
          <w:u w:val="dotted" w:color="929292"/>
        </w:rPr>
        <w:t>Valores comunes en días críticos</w:t>
        <w:tab/>
      </w:r>
    </w:p>
    <w:p>
      <w:pPr>
        <w:tabs>
          <w:tab w:pos="1376" w:val="left" w:leader="none"/>
          <w:tab w:pos="3727" w:val="left" w:leader="none"/>
        </w:tabs>
        <w:spacing w:line="177" w:lineRule="exact" w:before="0"/>
        <w:ind w:left="241" w:right="0" w:firstLine="0"/>
        <w:jc w:val="left"/>
        <w:rPr>
          <w:sz w:val="16"/>
        </w:rPr>
      </w:pPr>
      <w:r>
        <w:rPr>
          <w:sz w:val="16"/>
        </w:rPr>
        <w:t>----</w:t>
        <w:tab/>
        <w:t>----</w:t>
        <w:tab/>
        <w:t>+ de 300 puntos se han registrado en algunas</w:t>
      </w:r>
      <w:r>
        <w:rPr>
          <w:spacing w:val="24"/>
          <w:sz w:val="16"/>
        </w:rPr>
        <w:t> </w:t>
      </w:r>
      <w:r>
        <w:rPr>
          <w:sz w:val="16"/>
        </w:rPr>
        <w:t>ocasiones</w:t>
      </w:r>
    </w:p>
    <w:p>
      <w:pPr>
        <w:spacing w:after="0" w:line="177" w:lineRule="exact"/>
        <w:jc w:val="left"/>
        <w:rPr>
          <w:sz w:val="16"/>
        </w:rPr>
        <w:sectPr>
          <w:type w:val="continuous"/>
          <w:pgSz w:w="18830" w:h="12760" w:orient="landscape"/>
          <w:pgMar w:top="1420" w:bottom="280" w:left="720" w:right="720"/>
          <w:cols w:num="2" w:equalWidth="0">
            <w:col w:w="7833" w:space="1551"/>
            <w:col w:w="8006"/>
          </w:cols>
        </w:sectPr>
      </w:pPr>
    </w:p>
    <w:p>
      <w:pPr>
        <w:tabs>
          <w:tab w:pos="9551" w:val="left" w:leader="none"/>
          <w:tab w:pos="10636" w:val="left" w:leader="none"/>
          <w:tab w:pos="12987" w:val="left" w:leader="none"/>
          <w:tab w:pos="17256" w:val="left" w:leader="none"/>
        </w:tabs>
        <w:spacing w:before="20"/>
        <w:ind w:left="198" w:right="0" w:firstLine="0"/>
        <w:jc w:val="left"/>
        <w:rPr>
          <w:sz w:val="16"/>
        </w:rPr>
      </w:pPr>
      <w:r>
        <w:rPr>
          <w:color w:val="6D6E71"/>
          <w:sz w:val="16"/>
        </w:rPr>
        <w:t>propuesto por Protección civil municipal en 2002. Fuente: Elaboración propia con base en Protección  </w:t>
      </w:r>
      <w:r>
        <w:rPr>
          <w:color w:val="6D6E71"/>
          <w:spacing w:val="8"/>
          <w:sz w:val="16"/>
        </w:rPr>
        <w:t> </w:t>
      </w:r>
      <w:r>
        <w:rPr>
          <w:color w:val="6D6E71"/>
          <w:sz w:val="16"/>
        </w:rPr>
        <w:t>civil</w:t>
        <w:tab/>
      </w:r>
      <w:r>
        <w:rPr>
          <w:color w:val="6D6E71"/>
          <w:w w:val="100"/>
          <w:sz w:val="16"/>
          <w:u w:val="dotted" w:color="929292"/>
        </w:rPr>
        <w:t> </w:t>
      </w:r>
      <w:r>
        <w:rPr>
          <w:color w:val="6D6E71"/>
          <w:sz w:val="16"/>
          <w:u w:val="dotted" w:color="929292"/>
        </w:rPr>
        <w:tab/>
      </w:r>
      <w:r>
        <w:rPr>
          <w:color w:val="6D6E71"/>
          <w:sz w:val="16"/>
        </w:rPr>
        <w:t> </w:t>
      </w:r>
      <w:r>
        <w:rPr>
          <w:color w:val="6D6E71"/>
          <w:w w:val="100"/>
          <w:sz w:val="16"/>
          <w:u w:val="dotted" w:color="929292"/>
        </w:rPr>
        <w:t> </w:t>
      </w:r>
      <w:r>
        <w:rPr>
          <w:color w:val="6D6E71"/>
          <w:sz w:val="16"/>
          <w:u w:val="dotted" w:color="929292"/>
        </w:rPr>
        <w:tab/>
      </w:r>
      <w:r>
        <w:rPr>
          <w:color w:val="6D6E71"/>
          <w:sz w:val="16"/>
        </w:rPr>
        <w:t> </w:t>
      </w:r>
      <w:r>
        <w:rPr>
          <w:color w:val="6D6E71"/>
          <w:w w:val="100"/>
          <w:sz w:val="16"/>
          <w:u w:val="dotted" w:color="929292"/>
        </w:rPr>
        <w:t> </w:t>
      </w:r>
      <w:r>
        <w:rPr>
          <w:color w:val="6D6E71"/>
          <w:sz w:val="16"/>
          <w:u w:val="dotted" w:color="929292"/>
        </w:rPr>
        <w:tab/>
      </w:r>
    </w:p>
    <w:p>
      <w:pPr>
        <w:spacing w:after="0"/>
        <w:jc w:val="left"/>
        <w:rPr>
          <w:sz w:val="16"/>
        </w:rPr>
        <w:sectPr>
          <w:type w:val="continuous"/>
          <w:pgSz w:w="18830" w:h="12760" w:orient="landscape"/>
          <w:pgMar w:top="1420" w:bottom="280" w:left="720" w:right="720"/>
        </w:sectPr>
      </w:pPr>
    </w:p>
    <w:p>
      <w:pPr>
        <w:spacing w:before="56"/>
        <w:ind w:left="2006" w:right="0" w:firstLine="0"/>
        <w:jc w:val="left"/>
        <w:rPr>
          <w:sz w:val="16"/>
        </w:rPr>
      </w:pPr>
      <w:r>
        <w:rPr>
          <w:color w:val="6D6E71"/>
          <w:sz w:val="16"/>
        </w:rPr>
        <w:t>municipal en 2002 y Protección civil municipal en 2013.</w:t>
      </w:r>
    </w:p>
    <w:p>
      <w:pPr>
        <w:pStyle w:val="BodyText"/>
        <w:spacing w:before="7"/>
        <w:rPr>
          <w:sz w:val="21"/>
        </w:rPr>
      </w:pPr>
    </w:p>
    <w:p>
      <w:pPr>
        <w:pStyle w:val="BodyText"/>
        <w:spacing w:line="240" w:lineRule="atLeast"/>
        <w:ind w:left="132" w:firstLine="170"/>
        <w:jc w:val="both"/>
      </w:pPr>
      <w:r>
        <w:rPr/>
        <w:t>Por</w:t>
      </w:r>
      <w:r>
        <w:rPr>
          <w:spacing w:val="-4"/>
        </w:rPr>
        <w:t> </w:t>
      </w:r>
      <w:r>
        <w:rPr/>
        <w:t>lo</w:t>
      </w:r>
      <w:r>
        <w:rPr>
          <w:spacing w:val="-4"/>
        </w:rPr>
        <w:t> </w:t>
      </w:r>
      <w:r>
        <w:rPr/>
        <w:t>que</w:t>
      </w:r>
      <w:r>
        <w:rPr>
          <w:spacing w:val="-4"/>
        </w:rPr>
        <w:t> </w:t>
      </w:r>
      <w:r>
        <w:rPr/>
        <w:t>se</w:t>
      </w:r>
      <w:r>
        <w:rPr>
          <w:spacing w:val="-4"/>
        </w:rPr>
        <w:t> </w:t>
      </w:r>
      <w:r>
        <w:rPr/>
        <w:t>refiere</w:t>
      </w:r>
      <w:r>
        <w:rPr>
          <w:spacing w:val="-4"/>
        </w:rPr>
        <w:t> </w:t>
      </w:r>
      <w:r>
        <w:rPr/>
        <w:t>a</w:t>
      </w:r>
      <w:r>
        <w:rPr>
          <w:spacing w:val="-4"/>
        </w:rPr>
        <w:t> </w:t>
      </w:r>
      <w:r>
        <w:rPr/>
        <w:t>las</w:t>
      </w:r>
      <w:r>
        <w:rPr>
          <w:spacing w:val="-4"/>
        </w:rPr>
        <w:t> </w:t>
      </w:r>
      <w:r>
        <w:rPr/>
        <w:t>afectaciones</w:t>
      </w:r>
      <w:r>
        <w:rPr>
          <w:spacing w:val="-4"/>
        </w:rPr>
        <w:t> </w:t>
      </w:r>
      <w:r>
        <w:rPr/>
        <w:t>de</w:t>
      </w:r>
      <w:r>
        <w:rPr>
          <w:spacing w:val="-4"/>
        </w:rPr>
        <w:t> </w:t>
      </w:r>
      <w:r>
        <w:rPr/>
        <w:t>origen</w:t>
      </w:r>
      <w:r>
        <w:rPr>
          <w:spacing w:val="-4"/>
        </w:rPr>
        <w:t> </w:t>
      </w:r>
      <w:r>
        <w:rPr/>
        <w:t>químico,</w:t>
      </w:r>
      <w:r>
        <w:rPr>
          <w:spacing w:val="-4"/>
        </w:rPr>
        <w:t> </w:t>
      </w:r>
      <w:r>
        <w:rPr/>
        <w:t>si</w:t>
      </w:r>
      <w:r>
        <w:rPr>
          <w:spacing w:val="-4"/>
        </w:rPr>
        <w:t> </w:t>
      </w:r>
      <w:r>
        <w:rPr/>
        <w:t>bien</w:t>
      </w:r>
      <w:r>
        <w:rPr>
          <w:spacing w:val="-4"/>
        </w:rPr>
        <w:t> </w:t>
      </w:r>
      <w:r>
        <w:rPr/>
        <w:t>no</w:t>
      </w:r>
      <w:r>
        <w:rPr>
          <w:spacing w:val="-4"/>
        </w:rPr>
        <w:t> </w:t>
      </w:r>
      <w:r>
        <w:rPr/>
        <w:t>existen</w:t>
      </w:r>
      <w:r>
        <w:rPr>
          <w:spacing w:val="-4"/>
        </w:rPr>
        <w:t> </w:t>
      </w:r>
      <w:r>
        <w:rPr/>
        <w:t>registros de fugas de materiales tóxicos, la ciudad cuenta con un número importante de empresas en el corredor industrial que emplean, transportan y desechan productos deletéreos que en conjunto representan problemas a la salud y daños al suelo,  </w:t>
      </w:r>
      <w:r>
        <w:rPr>
          <w:spacing w:val="38"/>
        </w:rPr>
        <w:t> </w:t>
      </w:r>
      <w:r>
        <w:rPr/>
        <w:t>agua,</w:t>
      </w:r>
    </w:p>
    <w:p>
      <w:pPr>
        <w:tabs>
          <w:tab w:pos="7857" w:val="left" w:leader="none"/>
        </w:tabs>
        <w:spacing w:line="20" w:lineRule="exact"/>
        <w:ind w:left="107" w:right="0" w:firstLine="0"/>
        <w:rPr>
          <w:sz w:val="2"/>
        </w:rPr>
      </w:pPr>
      <w:r>
        <w:rPr/>
        <w:br w:type="column"/>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spacing w:line="312" w:lineRule="auto" w:before="36"/>
        <w:ind w:left="371" w:right="145" w:hanging="138"/>
        <w:jc w:val="left"/>
        <w:rPr>
          <w:sz w:val="16"/>
        </w:rPr>
      </w:pPr>
      <w:r>
        <w:rPr>
          <w:color w:val="6D6E71"/>
          <w:sz w:val="16"/>
        </w:rPr>
        <w:t>Tabla 5. Sistema de clasificación de la calidad del aire y observaciones de datos registrados en la ciudad de Toluca. Fuente: Elaboración propia con base en Red automática de monitoreo atmosférico (2015).</w:t>
      </w:r>
    </w:p>
    <w:p>
      <w:pPr>
        <w:pStyle w:val="BodyText"/>
        <w:spacing w:before="11"/>
        <w:rPr>
          <w:sz w:val="16"/>
        </w:rPr>
      </w:pPr>
    </w:p>
    <w:p>
      <w:pPr>
        <w:pStyle w:val="BodyText"/>
        <w:spacing w:line="240" w:lineRule="atLeast"/>
        <w:ind w:left="132" w:right="127" w:firstLine="170"/>
        <w:jc w:val="both"/>
      </w:pPr>
      <w:r>
        <w:rPr/>
        <w:pict>
          <v:shape style="position:absolute;margin-left:794.615417pt;margin-top:20.445339pt;width:3.25pt;height:5.8pt;mso-position-horizontal-relative:page;mso-position-vertical-relative:paragraph;z-index:-648352" type="#_x0000_t202" filled="false" stroked="false">
            <v:textbox inset="0,0,0,0">
              <w:txbxContent>
                <w:p>
                  <w:pPr>
                    <w:spacing w:line="116" w:lineRule="exact" w:before="0"/>
                    <w:ind w:left="0" w:right="0" w:firstLine="0"/>
                    <w:jc w:val="left"/>
                    <w:rPr>
                      <w:sz w:val="11"/>
                    </w:rPr>
                  </w:pPr>
                  <w:r>
                    <w:rPr>
                      <w:w w:val="105"/>
                      <w:sz w:val="11"/>
                    </w:rPr>
                    <w:t>3</w:t>
                  </w:r>
                </w:p>
              </w:txbxContent>
            </v:textbox>
            <w10:wrap type="none"/>
          </v:shape>
        </w:pict>
      </w:r>
      <w:r>
        <w:rPr/>
        <w:t>Los gases que mayor incidencia contaminante que se registran en la ciudad según la Red automática de monitoreo atmosférico (2015) son Ozono (O ), Bióxido de nitrógeno (NO ), Bióxido de azufre (SO ) y Monóxido de carbono (CO); aunque también es</w:t>
      </w:r>
    </w:p>
    <w:p>
      <w:pPr>
        <w:spacing w:after="0" w:line="240" w:lineRule="atLeast"/>
        <w:jc w:val="both"/>
        <w:sectPr>
          <w:type w:val="continuous"/>
          <w:pgSz w:w="18830" w:h="12760" w:orient="landscape"/>
          <w:pgMar w:top="1420" w:bottom="280" w:left="720" w:right="720"/>
          <w:cols w:num="2" w:equalWidth="0">
            <w:col w:w="7844" w:space="1565"/>
            <w:col w:w="7981"/>
          </w:cols>
        </w:sectPr>
      </w:pPr>
    </w:p>
    <w:p>
      <w:pPr>
        <w:tabs>
          <w:tab w:pos="12270" w:val="left" w:leader="none"/>
        </w:tabs>
        <w:spacing w:line="34" w:lineRule="exact" w:before="0"/>
        <w:ind w:left="9889" w:right="0" w:firstLine="0"/>
        <w:jc w:val="left"/>
        <w:rPr>
          <w:sz w:val="11"/>
        </w:rPr>
      </w:pPr>
      <w:r>
        <w:rPr>
          <w:w w:val="105"/>
          <w:sz w:val="11"/>
        </w:rPr>
        <w:t>2</w:t>
        <w:tab/>
        <w:t>2</w:t>
      </w:r>
    </w:p>
    <w:p>
      <w:pPr>
        <w:spacing w:after="0" w:line="34" w:lineRule="exact"/>
        <w:jc w:val="left"/>
        <w:rPr>
          <w:sz w:val="11"/>
        </w:rPr>
        <w:sectPr>
          <w:type w:val="continuous"/>
          <w:pgSz w:w="18830" w:h="12760" w:orient="landscape"/>
          <w:pgMar w:top="1420" w:bottom="280" w:left="720" w:right="720"/>
        </w:sectPr>
      </w:pPr>
    </w:p>
    <w:p>
      <w:pPr>
        <w:pStyle w:val="BodyText"/>
        <w:spacing w:line="206" w:lineRule="exact"/>
        <w:ind w:left="132"/>
      </w:pPr>
      <w:r>
        <w:rPr/>
        <w:t>comunidades animales y vegetales; y que exhiben condiciones permanentes de riesgo</w:t>
      </w:r>
    </w:p>
    <w:p>
      <w:pPr>
        <w:pStyle w:val="BodyText"/>
        <w:spacing w:line="249" w:lineRule="auto" w:before="10"/>
        <w:ind w:left="132"/>
      </w:pPr>
      <w:r>
        <w:rPr/>
        <w:t>al considerarse la relación entre la densidad de industria y la distancia a los centros de población y la tipología de sustancias.</w:t>
      </w:r>
    </w:p>
    <w:p>
      <w:pPr>
        <w:pStyle w:val="BodyText"/>
        <w:spacing w:before="11"/>
      </w:pPr>
    </w:p>
    <w:p>
      <w:pPr>
        <w:pStyle w:val="BodyText"/>
        <w:spacing w:line="249" w:lineRule="auto"/>
        <w:ind w:left="132" w:firstLine="170"/>
        <w:jc w:val="both"/>
      </w:pPr>
      <w:r>
        <w:rPr/>
        <w:t>Las descargas al río Lerma así como la emanación de gases a la atmósfera han heredado las declaraciones de “río muerto” por los valores de la Demanda Biológica  de</w:t>
      </w:r>
      <w:r>
        <w:rPr>
          <w:spacing w:val="14"/>
        </w:rPr>
        <w:t> </w:t>
      </w:r>
      <w:r>
        <w:rPr/>
        <w:t>Oxígeno</w:t>
      </w:r>
      <w:r>
        <w:rPr>
          <w:spacing w:val="14"/>
        </w:rPr>
        <w:t> </w:t>
      </w:r>
      <w:r>
        <w:rPr/>
        <w:t>(DBO)</w:t>
      </w:r>
      <w:r>
        <w:rPr>
          <w:spacing w:val="14"/>
        </w:rPr>
        <w:t> </w:t>
      </w:r>
      <w:r>
        <w:rPr/>
        <w:t>y</w:t>
      </w:r>
      <w:r>
        <w:rPr>
          <w:spacing w:val="14"/>
        </w:rPr>
        <w:t> </w:t>
      </w:r>
      <w:r>
        <w:rPr/>
        <w:t>Demanda</w:t>
      </w:r>
      <w:r>
        <w:rPr>
          <w:spacing w:val="14"/>
        </w:rPr>
        <w:t> </w:t>
      </w:r>
      <w:r>
        <w:rPr/>
        <w:t>Química</w:t>
      </w:r>
      <w:r>
        <w:rPr>
          <w:spacing w:val="14"/>
        </w:rPr>
        <w:t> </w:t>
      </w:r>
      <w:r>
        <w:rPr/>
        <w:t>de</w:t>
      </w:r>
      <w:r>
        <w:rPr>
          <w:spacing w:val="14"/>
        </w:rPr>
        <w:t> </w:t>
      </w:r>
      <w:r>
        <w:rPr/>
        <w:t>Oxígeno</w:t>
      </w:r>
      <w:r>
        <w:rPr>
          <w:spacing w:val="14"/>
        </w:rPr>
        <w:t> </w:t>
      </w:r>
      <w:r>
        <w:rPr/>
        <w:t>(DQO)</w:t>
      </w:r>
      <w:r>
        <w:rPr>
          <w:spacing w:val="14"/>
        </w:rPr>
        <w:t> </w:t>
      </w:r>
      <w:r>
        <w:rPr/>
        <w:t>que</w:t>
      </w:r>
      <w:r>
        <w:rPr>
          <w:spacing w:val="14"/>
        </w:rPr>
        <w:t> </w:t>
      </w:r>
      <w:r>
        <w:rPr/>
        <w:t>posee</w:t>
      </w:r>
      <w:r>
        <w:rPr>
          <w:spacing w:val="14"/>
        </w:rPr>
        <w:t> </w:t>
      </w:r>
      <w:r>
        <w:rPr/>
        <w:t>el</w:t>
      </w:r>
      <w:r>
        <w:rPr>
          <w:spacing w:val="14"/>
        </w:rPr>
        <w:t> </w:t>
      </w:r>
      <w:r>
        <w:rPr/>
        <w:t>Lerma,</w:t>
      </w:r>
      <w:r>
        <w:rPr>
          <w:spacing w:val="14"/>
        </w:rPr>
        <w:t> </w:t>
      </w:r>
      <w:r>
        <w:rPr/>
        <w:t>y</w:t>
      </w:r>
      <w:r>
        <w:rPr>
          <w:spacing w:val="14"/>
        </w:rPr>
        <w:t> </w:t>
      </w:r>
      <w:r>
        <w:rPr/>
        <w:t>el</w:t>
      </w:r>
      <w:r>
        <w:rPr>
          <w:w w:val="97"/>
        </w:rPr>
        <w:t> </w:t>
      </w:r>
      <w:r>
        <w:rPr/>
        <w:t>de “Una de las ciudades más contaminadas de México, aún y por encima del Distrito Federal” según la información de partículas finas contaminantes que permanecen en  el aire más</w:t>
      </w:r>
      <w:r>
        <w:rPr>
          <w:spacing w:val="7"/>
        </w:rPr>
        <w:t> </w:t>
      </w:r>
      <w:r>
        <w:rPr/>
        <w:t>tiempo.</w:t>
      </w:r>
    </w:p>
    <w:p>
      <w:pPr>
        <w:pStyle w:val="BodyText"/>
        <w:spacing w:before="11"/>
      </w:pPr>
    </w:p>
    <w:p>
      <w:pPr>
        <w:pStyle w:val="BodyText"/>
        <w:spacing w:line="249" w:lineRule="auto"/>
        <w:ind w:left="132" w:right="1" w:firstLine="170"/>
        <w:jc w:val="both"/>
      </w:pPr>
      <w:r>
        <w:rPr/>
        <w:t>El</w:t>
      </w:r>
      <w:r>
        <w:rPr>
          <w:spacing w:val="-10"/>
        </w:rPr>
        <w:t> </w:t>
      </w:r>
      <w:r>
        <w:rPr/>
        <w:t>problema</w:t>
      </w:r>
      <w:r>
        <w:rPr>
          <w:spacing w:val="-10"/>
        </w:rPr>
        <w:t> </w:t>
      </w:r>
      <w:r>
        <w:rPr/>
        <w:t>de</w:t>
      </w:r>
      <w:r>
        <w:rPr>
          <w:spacing w:val="-10"/>
        </w:rPr>
        <w:t> </w:t>
      </w:r>
      <w:r>
        <w:rPr/>
        <w:t>los</w:t>
      </w:r>
      <w:r>
        <w:rPr>
          <w:spacing w:val="-10"/>
        </w:rPr>
        <w:t> </w:t>
      </w:r>
      <w:r>
        <w:rPr/>
        <w:t>contaminantes</w:t>
      </w:r>
      <w:r>
        <w:rPr>
          <w:spacing w:val="-10"/>
        </w:rPr>
        <w:t> </w:t>
      </w:r>
      <w:r>
        <w:rPr/>
        <w:t>en</w:t>
      </w:r>
      <w:r>
        <w:rPr>
          <w:spacing w:val="-10"/>
        </w:rPr>
        <w:t> </w:t>
      </w:r>
      <w:r>
        <w:rPr/>
        <w:t>el</w:t>
      </w:r>
      <w:r>
        <w:rPr>
          <w:spacing w:val="-10"/>
        </w:rPr>
        <w:t> </w:t>
      </w:r>
      <w:r>
        <w:rPr/>
        <w:t>aire</w:t>
      </w:r>
      <w:r>
        <w:rPr>
          <w:spacing w:val="-10"/>
        </w:rPr>
        <w:t> </w:t>
      </w:r>
      <w:r>
        <w:rPr/>
        <w:t>y</w:t>
      </w:r>
      <w:r>
        <w:rPr>
          <w:spacing w:val="-10"/>
        </w:rPr>
        <w:t> </w:t>
      </w:r>
      <w:r>
        <w:rPr/>
        <w:t>el</w:t>
      </w:r>
      <w:r>
        <w:rPr>
          <w:spacing w:val="-10"/>
        </w:rPr>
        <w:t> </w:t>
      </w:r>
      <w:r>
        <w:rPr/>
        <w:t>agua</w:t>
      </w:r>
      <w:r>
        <w:rPr>
          <w:spacing w:val="-10"/>
        </w:rPr>
        <w:t> </w:t>
      </w:r>
      <w:r>
        <w:rPr/>
        <w:t>se</w:t>
      </w:r>
      <w:r>
        <w:rPr>
          <w:spacing w:val="-10"/>
        </w:rPr>
        <w:t> </w:t>
      </w:r>
      <w:r>
        <w:rPr/>
        <w:t>relacionan</w:t>
      </w:r>
      <w:r>
        <w:rPr>
          <w:spacing w:val="-10"/>
        </w:rPr>
        <w:t> </w:t>
      </w:r>
      <w:r>
        <w:rPr/>
        <w:t>de</w:t>
      </w:r>
      <w:r>
        <w:rPr>
          <w:spacing w:val="-10"/>
        </w:rPr>
        <w:t> </w:t>
      </w:r>
      <w:r>
        <w:rPr/>
        <w:t>manera</w:t>
      </w:r>
      <w:r>
        <w:rPr>
          <w:spacing w:val="-10"/>
        </w:rPr>
        <w:t> </w:t>
      </w:r>
      <w:r>
        <w:rPr/>
        <w:t>directa con las formas de relieve de la ciudad. Por lo que se refiere a la contaminación del agua, instituciones como la Comisión de Aguas del Estado de México (CAEM, 2015) y el</w:t>
      </w:r>
      <w:r>
        <w:rPr>
          <w:spacing w:val="-11"/>
        </w:rPr>
        <w:t> </w:t>
      </w:r>
      <w:r>
        <w:rPr/>
        <w:t>Instituto</w:t>
      </w:r>
      <w:r>
        <w:rPr>
          <w:spacing w:val="-11"/>
        </w:rPr>
        <w:t> </w:t>
      </w:r>
      <w:r>
        <w:rPr/>
        <w:t>Nacional</w:t>
      </w:r>
      <w:r>
        <w:rPr>
          <w:spacing w:val="-11"/>
        </w:rPr>
        <w:t> </w:t>
      </w:r>
      <w:r>
        <w:rPr/>
        <w:t>de</w:t>
      </w:r>
      <w:r>
        <w:rPr>
          <w:spacing w:val="-11"/>
        </w:rPr>
        <w:t> </w:t>
      </w:r>
      <w:r>
        <w:rPr/>
        <w:t>Ecología</w:t>
      </w:r>
      <w:r>
        <w:rPr>
          <w:spacing w:val="-11"/>
        </w:rPr>
        <w:t> </w:t>
      </w:r>
      <w:r>
        <w:rPr/>
        <w:t>y</w:t>
      </w:r>
      <w:r>
        <w:rPr>
          <w:spacing w:val="-11"/>
        </w:rPr>
        <w:t> </w:t>
      </w:r>
      <w:r>
        <w:rPr/>
        <w:t>Cambio</w:t>
      </w:r>
      <w:r>
        <w:rPr>
          <w:spacing w:val="-11"/>
        </w:rPr>
        <w:t> </w:t>
      </w:r>
      <w:r>
        <w:rPr/>
        <w:t>Climático</w:t>
      </w:r>
      <w:r>
        <w:rPr>
          <w:spacing w:val="-11"/>
        </w:rPr>
        <w:t> </w:t>
      </w:r>
      <w:r>
        <w:rPr/>
        <w:t>(INECC,</w:t>
      </w:r>
      <w:r>
        <w:rPr>
          <w:spacing w:val="-11"/>
        </w:rPr>
        <w:t> </w:t>
      </w:r>
      <w:r>
        <w:rPr/>
        <w:t>2015)</w:t>
      </w:r>
      <w:r>
        <w:rPr>
          <w:spacing w:val="-11"/>
        </w:rPr>
        <w:t> </w:t>
      </w:r>
      <w:r>
        <w:rPr/>
        <w:t>estiman</w:t>
      </w:r>
      <w:r>
        <w:rPr>
          <w:spacing w:val="-11"/>
        </w:rPr>
        <w:t> </w:t>
      </w:r>
      <w:r>
        <w:rPr/>
        <w:t>que</w:t>
      </w:r>
      <w:r>
        <w:rPr>
          <w:spacing w:val="-11"/>
        </w:rPr>
        <w:t> </w:t>
      </w:r>
      <w:r>
        <w:rPr/>
        <w:t>la</w:t>
      </w:r>
      <w:r>
        <w:rPr>
          <w:spacing w:val="-11"/>
        </w:rPr>
        <w:t> </w:t>
      </w:r>
      <w:r>
        <w:rPr/>
        <w:t>DBO es menor a 3</w:t>
      </w:r>
      <w:r>
        <w:rPr>
          <w:spacing w:val="14"/>
        </w:rPr>
        <w:t> </w:t>
      </w:r>
      <w:r>
        <w:rPr/>
        <w:t>mg/l.</w:t>
      </w:r>
    </w:p>
    <w:p>
      <w:pPr>
        <w:pStyle w:val="BodyText"/>
        <w:spacing w:before="11"/>
      </w:pPr>
    </w:p>
    <w:p>
      <w:pPr>
        <w:pStyle w:val="BodyText"/>
        <w:spacing w:line="249" w:lineRule="auto"/>
        <w:ind w:left="132" w:right="1" w:firstLine="170"/>
        <w:jc w:val="both"/>
      </w:pPr>
      <w:r>
        <w:rPr/>
        <w:t>En</w:t>
      </w:r>
      <w:r>
        <w:rPr>
          <w:spacing w:val="-12"/>
        </w:rPr>
        <w:t> </w:t>
      </w:r>
      <w:r>
        <w:rPr/>
        <w:t>el</w:t>
      </w:r>
      <w:r>
        <w:rPr>
          <w:spacing w:val="-12"/>
        </w:rPr>
        <w:t> </w:t>
      </w:r>
      <w:r>
        <w:rPr/>
        <w:t>caso</w:t>
      </w:r>
      <w:r>
        <w:rPr>
          <w:spacing w:val="-12"/>
        </w:rPr>
        <w:t> </w:t>
      </w:r>
      <w:r>
        <w:rPr/>
        <w:t>de</w:t>
      </w:r>
      <w:r>
        <w:rPr>
          <w:spacing w:val="-12"/>
        </w:rPr>
        <w:t> </w:t>
      </w:r>
      <w:r>
        <w:rPr/>
        <w:t>contaminación</w:t>
      </w:r>
      <w:r>
        <w:rPr>
          <w:spacing w:val="-12"/>
        </w:rPr>
        <w:t> </w:t>
      </w:r>
      <w:r>
        <w:rPr/>
        <w:t>atmosférica</w:t>
      </w:r>
      <w:r>
        <w:rPr>
          <w:spacing w:val="-12"/>
        </w:rPr>
        <w:t> </w:t>
      </w:r>
      <w:r>
        <w:rPr/>
        <w:t>el</w:t>
      </w:r>
      <w:r>
        <w:rPr>
          <w:spacing w:val="-12"/>
        </w:rPr>
        <w:t> </w:t>
      </w:r>
      <w:r>
        <w:rPr/>
        <w:t>relieve</w:t>
      </w:r>
      <w:r>
        <w:rPr>
          <w:spacing w:val="-12"/>
        </w:rPr>
        <w:t> </w:t>
      </w:r>
      <w:r>
        <w:rPr/>
        <w:t>se</w:t>
      </w:r>
      <w:r>
        <w:rPr>
          <w:spacing w:val="-12"/>
        </w:rPr>
        <w:t> </w:t>
      </w:r>
      <w:r>
        <w:rPr/>
        <w:t>comporta</w:t>
      </w:r>
      <w:r>
        <w:rPr>
          <w:spacing w:val="-12"/>
        </w:rPr>
        <w:t> </w:t>
      </w:r>
      <w:r>
        <w:rPr/>
        <w:t>como</w:t>
      </w:r>
      <w:r>
        <w:rPr>
          <w:spacing w:val="-12"/>
        </w:rPr>
        <w:t> </w:t>
      </w:r>
      <w:r>
        <w:rPr/>
        <w:t>una</w:t>
      </w:r>
      <w:r>
        <w:rPr>
          <w:spacing w:val="-12"/>
        </w:rPr>
        <w:t> </w:t>
      </w:r>
      <w:r>
        <w:rPr/>
        <w:t>barrera</w:t>
      </w:r>
      <w:r>
        <w:rPr>
          <w:spacing w:val="-12"/>
        </w:rPr>
        <w:t> </w:t>
      </w:r>
      <w:r>
        <w:rPr/>
        <w:t>que detiene</w:t>
      </w:r>
      <w:r>
        <w:rPr>
          <w:spacing w:val="-4"/>
        </w:rPr>
        <w:t> </w:t>
      </w:r>
      <w:r>
        <w:rPr/>
        <w:t>los</w:t>
      </w:r>
      <w:r>
        <w:rPr>
          <w:spacing w:val="-4"/>
        </w:rPr>
        <w:t> </w:t>
      </w:r>
      <w:r>
        <w:rPr/>
        <w:t>flujos</w:t>
      </w:r>
      <w:r>
        <w:rPr>
          <w:spacing w:val="-4"/>
        </w:rPr>
        <w:t> </w:t>
      </w:r>
      <w:r>
        <w:rPr/>
        <w:t>del</w:t>
      </w:r>
      <w:r>
        <w:rPr>
          <w:spacing w:val="-4"/>
        </w:rPr>
        <w:t> </w:t>
      </w:r>
      <w:r>
        <w:rPr/>
        <w:t>viento</w:t>
      </w:r>
      <w:r>
        <w:rPr>
          <w:spacing w:val="-4"/>
        </w:rPr>
        <w:t> </w:t>
      </w:r>
      <w:r>
        <w:rPr/>
        <w:t>superficial</w:t>
      </w:r>
      <w:r>
        <w:rPr>
          <w:spacing w:val="-4"/>
        </w:rPr>
        <w:t> </w:t>
      </w:r>
      <w:r>
        <w:rPr/>
        <w:t>(vientos</w:t>
      </w:r>
      <w:r>
        <w:rPr>
          <w:spacing w:val="-4"/>
        </w:rPr>
        <w:t> </w:t>
      </w:r>
      <w:r>
        <w:rPr/>
        <w:t>alisios)</w:t>
      </w:r>
      <w:r>
        <w:rPr>
          <w:spacing w:val="-4"/>
        </w:rPr>
        <w:t> </w:t>
      </w:r>
      <w:r>
        <w:rPr/>
        <w:t>provenientes</w:t>
      </w:r>
      <w:r>
        <w:rPr>
          <w:spacing w:val="-4"/>
        </w:rPr>
        <w:t> </w:t>
      </w:r>
      <w:r>
        <w:rPr/>
        <w:t>del</w:t>
      </w:r>
      <w:r>
        <w:rPr>
          <w:spacing w:val="-4"/>
        </w:rPr>
        <w:t> </w:t>
      </w:r>
      <w:r>
        <w:rPr/>
        <w:t>NE</w:t>
      </w:r>
      <w:r>
        <w:rPr>
          <w:spacing w:val="-4"/>
        </w:rPr>
        <w:t> </w:t>
      </w:r>
      <w:r>
        <w:rPr/>
        <w:t>permitiendo con ello que la región sur del sistema montañoso principal (Sistema de Sierra Morelos, Matlazincas y La Mora) la velocidad disminuya y con ella la capacidad de remoción y dispersión de</w:t>
      </w:r>
      <w:r>
        <w:rPr>
          <w:spacing w:val="21"/>
        </w:rPr>
        <w:t> </w:t>
      </w:r>
      <w:r>
        <w:rPr/>
        <w:t>partículas.</w:t>
      </w:r>
    </w:p>
    <w:p>
      <w:pPr>
        <w:pStyle w:val="BodyText"/>
        <w:spacing w:before="11"/>
      </w:pPr>
    </w:p>
    <w:p>
      <w:pPr>
        <w:pStyle w:val="BodyText"/>
        <w:spacing w:line="249" w:lineRule="auto"/>
        <w:ind w:left="132" w:firstLine="170"/>
        <w:jc w:val="both"/>
      </w:pPr>
      <w:r>
        <w:rPr/>
        <w:t>De acuerdo con la Organización Mundial de la Salud (OMS, 2015) el estado ideal   de una atmosfera urbana debe encontrarse por debajo de 50 puntos de los índices metropolitanos</w:t>
      </w:r>
      <w:r>
        <w:rPr>
          <w:spacing w:val="-6"/>
        </w:rPr>
        <w:t> </w:t>
      </w:r>
      <w:r>
        <w:rPr/>
        <w:t>de</w:t>
      </w:r>
      <w:r>
        <w:rPr>
          <w:spacing w:val="-6"/>
        </w:rPr>
        <w:t> </w:t>
      </w:r>
      <w:r>
        <w:rPr/>
        <w:t>contaminación</w:t>
      </w:r>
      <w:r>
        <w:rPr>
          <w:spacing w:val="-6"/>
        </w:rPr>
        <w:t> </w:t>
      </w:r>
      <w:r>
        <w:rPr/>
        <w:t>(IMECA</w:t>
      </w:r>
      <w:r>
        <w:rPr>
          <w:spacing w:val="-6"/>
        </w:rPr>
        <w:t> </w:t>
      </w:r>
      <w:r>
        <w:rPr/>
        <w:t>para</w:t>
      </w:r>
      <w:r>
        <w:rPr>
          <w:spacing w:val="-6"/>
        </w:rPr>
        <w:t> </w:t>
      </w:r>
      <w:r>
        <w:rPr/>
        <w:t>el</w:t>
      </w:r>
      <w:r>
        <w:rPr>
          <w:spacing w:val="-6"/>
        </w:rPr>
        <w:t> </w:t>
      </w:r>
      <w:r>
        <w:rPr/>
        <w:t>caso</w:t>
      </w:r>
      <w:r>
        <w:rPr>
          <w:spacing w:val="-6"/>
        </w:rPr>
        <w:t> </w:t>
      </w:r>
      <w:r>
        <w:rPr/>
        <w:t>de</w:t>
      </w:r>
      <w:r>
        <w:rPr>
          <w:spacing w:val="-6"/>
        </w:rPr>
        <w:t> </w:t>
      </w:r>
      <w:r>
        <w:rPr/>
        <w:t>México);</w:t>
      </w:r>
      <w:r>
        <w:rPr>
          <w:spacing w:val="-6"/>
        </w:rPr>
        <w:t> </w:t>
      </w:r>
      <w:r>
        <w:rPr/>
        <w:t>sin</w:t>
      </w:r>
      <w:r>
        <w:rPr>
          <w:spacing w:val="-6"/>
        </w:rPr>
        <w:t> </w:t>
      </w:r>
      <w:r>
        <w:rPr/>
        <w:t>embargo</w:t>
      </w:r>
      <w:r>
        <w:rPr>
          <w:spacing w:val="-6"/>
        </w:rPr>
        <w:t> </w:t>
      </w:r>
      <w:r>
        <w:rPr/>
        <w:t>existen</w:t>
      </w:r>
    </w:p>
    <w:p>
      <w:pPr>
        <w:pStyle w:val="BodyText"/>
        <w:spacing w:line="206" w:lineRule="exact"/>
        <w:ind w:left="132"/>
      </w:pPr>
      <w:r>
        <w:rPr/>
        <w:br w:type="column"/>
      </w:r>
      <w:r>
        <w:rPr/>
        <w:t>conocido que pueden existir emanaciones de otros gases; sin embargo de éstos no</w:t>
      </w:r>
    </w:p>
    <w:p>
      <w:pPr>
        <w:pStyle w:val="BodyText"/>
        <w:spacing w:before="10"/>
        <w:ind w:left="132"/>
      </w:pPr>
      <w:r>
        <w:rPr/>
        <w:t>existe información disponible.</w:t>
      </w:r>
    </w:p>
    <w:p>
      <w:pPr>
        <w:pStyle w:val="BodyText"/>
        <w:spacing w:before="8"/>
        <w:rPr>
          <w:sz w:val="21"/>
        </w:rPr>
      </w:pPr>
    </w:p>
    <w:p>
      <w:pPr>
        <w:pStyle w:val="BodyText"/>
        <w:spacing w:line="249" w:lineRule="auto"/>
        <w:ind w:left="132" w:right="127" w:firstLine="170"/>
        <w:jc w:val="both"/>
      </w:pPr>
      <w:r>
        <w:rPr/>
        <w:t>En otro orden de ideas y con referencia a los daños registrados de manera oficial, la única información de la cual se dispone se encuentra en el Atlas Municipal de Riesgos publicado y vigente para el periodo 2013-2015. De acuerdo con ello en el siguiente apartado del trabajo se muestran concentrados de información acerca de los registros de daños y/o afectaciones en casas habitación, negocios y servicios, entendidos éstos como lugares en donde se pueden desarrollar actividades administrativas, educativas, culturales o de atención ciudadana en general.</w:t>
      </w:r>
    </w:p>
    <w:p>
      <w:pPr>
        <w:pStyle w:val="BodyText"/>
        <w:spacing w:before="11"/>
      </w:pPr>
    </w:p>
    <w:p>
      <w:pPr>
        <w:pStyle w:val="BodyText"/>
        <w:spacing w:line="249" w:lineRule="auto"/>
        <w:ind w:left="132" w:right="127" w:firstLine="170"/>
        <w:jc w:val="both"/>
      </w:pPr>
      <w:r>
        <w:rPr/>
        <w:t>De</w:t>
      </w:r>
      <w:r>
        <w:rPr>
          <w:spacing w:val="-16"/>
        </w:rPr>
        <w:t> </w:t>
      </w:r>
      <w:r>
        <w:rPr/>
        <w:t>acuerdo</w:t>
      </w:r>
      <w:r>
        <w:rPr>
          <w:spacing w:val="-16"/>
        </w:rPr>
        <w:t> </w:t>
      </w:r>
      <w:r>
        <w:rPr/>
        <w:t>con</w:t>
      </w:r>
      <w:r>
        <w:rPr>
          <w:spacing w:val="-16"/>
        </w:rPr>
        <w:t> </w:t>
      </w:r>
      <w:r>
        <w:rPr/>
        <w:t>lo</w:t>
      </w:r>
      <w:r>
        <w:rPr>
          <w:spacing w:val="-16"/>
        </w:rPr>
        <w:t> </w:t>
      </w:r>
      <w:r>
        <w:rPr/>
        <w:t>anterior,</w:t>
      </w:r>
      <w:r>
        <w:rPr>
          <w:spacing w:val="-16"/>
        </w:rPr>
        <w:t> </w:t>
      </w:r>
      <w:r>
        <w:rPr/>
        <w:t>la</w:t>
      </w:r>
      <w:r>
        <w:rPr>
          <w:spacing w:val="-16"/>
        </w:rPr>
        <w:t> </w:t>
      </w:r>
      <w:r>
        <w:rPr/>
        <w:t>Tabla</w:t>
      </w:r>
      <w:r>
        <w:rPr>
          <w:spacing w:val="-16"/>
        </w:rPr>
        <w:t> </w:t>
      </w:r>
      <w:r>
        <w:rPr/>
        <w:t>6</w:t>
      </w:r>
      <w:r>
        <w:rPr>
          <w:spacing w:val="-16"/>
        </w:rPr>
        <w:t> </w:t>
      </w:r>
      <w:r>
        <w:rPr/>
        <w:t>exhibe</w:t>
      </w:r>
      <w:r>
        <w:rPr>
          <w:spacing w:val="-16"/>
        </w:rPr>
        <w:t> </w:t>
      </w:r>
      <w:r>
        <w:rPr/>
        <w:t>el</w:t>
      </w:r>
      <w:r>
        <w:rPr>
          <w:spacing w:val="-16"/>
        </w:rPr>
        <w:t> </w:t>
      </w:r>
      <w:r>
        <w:rPr/>
        <w:t>concentrado</w:t>
      </w:r>
      <w:r>
        <w:rPr>
          <w:spacing w:val="-16"/>
        </w:rPr>
        <w:t> </w:t>
      </w:r>
      <w:r>
        <w:rPr/>
        <w:t>de</w:t>
      </w:r>
      <w:r>
        <w:rPr>
          <w:spacing w:val="-16"/>
        </w:rPr>
        <w:t> </w:t>
      </w:r>
      <w:r>
        <w:rPr/>
        <w:t>información</w:t>
      </w:r>
      <w:r>
        <w:rPr>
          <w:spacing w:val="-16"/>
        </w:rPr>
        <w:t> </w:t>
      </w:r>
      <w:r>
        <w:rPr/>
        <w:t>referente</w:t>
      </w:r>
      <w:r>
        <w:rPr>
          <w:spacing w:val="-16"/>
        </w:rPr>
        <w:t> </w:t>
      </w:r>
      <w:r>
        <w:rPr/>
        <w:t>a los predios afectados por fracturas y procesos de hundimiento diferencial del territorio; la Tabla 7 por</w:t>
      </w:r>
      <w:r>
        <w:rPr>
          <w:spacing w:val="9"/>
        </w:rPr>
        <w:t> </w:t>
      </w:r>
      <w:r>
        <w:rPr/>
        <w:t>inundaciones.</w:t>
      </w:r>
    </w:p>
    <w:p>
      <w:pPr>
        <w:spacing w:after="0" w:line="249" w:lineRule="auto"/>
        <w:jc w:val="both"/>
        <w:sectPr>
          <w:type w:val="continuous"/>
          <w:pgSz w:w="18830" w:h="12760" w:orient="landscape"/>
          <w:pgMar w:top="1420" w:bottom="280" w:left="720" w:right="720"/>
          <w:cols w:num="2" w:equalWidth="0">
            <w:col w:w="7844" w:space="1565"/>
            <w:col w:w="7981"/>
          </w:cols>
        </w:sectPr>
      </w:pPr>
    </w:p>
    <w:p>
      <w:pPr>
        <w:pStyle w:val="BodyText"/>
        <w:spacing w:before="4"/>
      </w:pPr>
      <w:r>
        <w:rPr/>
        <w:pict>
          <v:line style="position:absolute;mso-position-horizontal-relative:page;mso-position-vertical-relative:page;z-index:-647824" from="42.878601pt,170.671387pt" to="42.878601pt,170.671387pt" stroked="true" strokeweight=".5pt" strokecolor="#929292">
            <w10:wrap type="none"/>
          </v:line>
        </w:pict>
      </w:r>
      <w:r>
        <w:rPr/>
        <w:pict>
          <v:line style="position:absolute;mso-position-horizontal-relative:page;mso-position-vertical-relative:page;z-index:-647800" from="427.552795pt,170.671387pt" to="427.552795pt,170.671387pt" stroked="true" strokeweight=".5pt" strokecolor="#929292">
            <w10:wrap type="none"/>
          </v:line>
        </w:pict>
      </w:r>
      <w:r>
        <w:rPr/>
        <w:pict>
          <v:line style="position:absolute;mso-position-horizontal-relative:page;mso-position-vertical-relative:page;z-index:-647776" from="42.878601pt,179.21788pt" to="42.878601pt,179.21788pt" stroked="true" strokeweight=".5pt" strokecolor="#929292">
            <w10:wrap type="none"/>
          </v:line>
        </w:pict>
      </w:r>
      <w:r>
        <w:rPr/>
        <w:pict>
          <v:line style="position:absolute;mso-position-horizontal-relative:page;mso-position-vertical-relative:page;z-index:-647752" from="427.552795pt,179.21788pt" to="427.552795pt,179.21788pt" stroked="true" strokeweight=".5pt" strokecolor="#929292">
            <w10:wrap type="none"/>
          </v:line>
        </w:pict>
      </w:r>
      <w:r>
        <w:rPr/>
        <w:pict>
          <v:line style="position:absolute;mso-position-horizontal-relative:page;mso-position-vertical-relative:page;z-index:-647728" from="42.878601pt,187.764481pt" to="42.878601pt,187.764481pt" stroked="true" strokeweight=".5pt" strokecolor="#929292">
            <w10:wrap type="none"/>
          </v:line>
        </w:pict>
      </w:r>
      <w:r>
        <w:rPr/>
        <w:pict>
          <v:line style="position:absolute;mso-position-horizontal-relative:page;mso-position-vertical-relative:page;z-index:-647704" from="427.552795pt,187.764481pt" to="427.552795pt,187.764481pt" stroked="true" strokeweight=".5pt" strokecolor="#929292">
            <w10:wrap type="none"/>
          </v:line>
        </w:pict>
      </w:r>
    </w:p>
    <w:p>
      <w:pPr>
        <w:tabs>
          <w:tab w:pos="3646" w:val="left" w:leader="none"/>
          <w:tab w:pos="7835" w:val="left" w:leader="none"/>
        </w:tabs>
        <w:spacing w:before="80"/>
        <w:ind w:left="132" w:right="0" w:firstLine="0"/>
        <w:jc w:val="left"/>
        <w:rPr>
          <w:sz w:val="16"/>
        </w:rPr>
      </w:pPr>
      <w:r>
        <w:rPr/>
        <w:pict>
          <v:group style="position:absolute;margin-left:42.628601pt;margin-top:14.429321pt;width:385.2pt;height:208.75pt;mso-position-horizontal-relative:page;mso-position-vertical-relative:paragraph;z-index:4480;mso-wrap-distance-left:0;mso-wrap-distance-right:0" coordorigin="853,289" coordsize="7704,4175">
            <v:line style="position:absolute" from="2971,432" to="2971,307" stroked="true" strokeweight=".5pt" strokecolor="#929292">
              <v:stroke dashstyle="dash"/>
            </v:line>
            <v:line style="position:absolute" from="2971,460" to="2971,460" stroked="true" strokeweight=".5pt" strokecolor="#929292"/>
            <v:line style="position:absolute" from="2971,294" to="2971,294" stroked="true" strokeweight=".5pt" strokecolor="#929292"/>
            <v:line style="position:absolute" from="2971,460" to="2971,460" stroked="true" strokeweight=".5pt" strokecolor="#929292"/>
            <v:line style="position:absolute" from="2971,602" to="2971,474" stroked="true" strokeweight=".5pt" strokecolor="#929292">
              <v:stroke dashstyle="dash"/>
            </v:line>
            <v:line style="position:absolute" from="2971,630" to="2971,630" stroked="true" strokeweight=".5pt" strokecolor="#929292"/>
            <v:line style="position:absolute" from="2971,460" to="2971,460" stroked="true" strokeweight=".5pt" strokecolor="#929292"/>
            <v:line style="position:absolute" from="2971,460" to="2971,460" stroked="true" strokeweight=".5pt" strokecolor="#929292"/>
            <v:line style="position:absolute" from="2971,773" to="2971,645" stroked="true" strokeweight=".5pt" strokecolor="#929292">
              <v:stroke dashstyle="dash"/>
            </v:line>
            <v:line style="position:absolute" from="2971,801" to="2971,801" stroked="true" strokeweight=".5pt" strokecolor="#929292"/>
            <v:line style="position:absolute" from="2971,630" to="2971,630" stroked="true" strokeweight=".5pt" strokecolor="#929292"/>
            <v:line style="position:absolute" from="2971,630" to="2971,630" stroked="true" strokeweight=".5pt" strokecolor="#929292"/>
            <v:line style="position:absolute" from="2971,801" to="2971,801" stroked="true" strokeweight=".5pt" strokecolor="#929292"/>
            <v:line style="position:absolute" from="2971,944" to="2971,816" stroked="true" strokeweight=".5pt" strokecolor="#929292">
              <v:stroke dashstyle="dash"/>
            </v:line>
            <v:line style="position:absolute" from="2971,972" to="2971,972" stroked="true" strokeweight=".5pt" strokecolor="#929292"/>
            <v:line style="position:absolute" from="2971,801" to="2971,801" stroked="true" strokeweight=".5pt" strokecolor="#929292"/>
            <v:line style="position:absolute" from="2971,801" to="2971,801" stroked="true" strokeweight=".5pt" strokecolor="#929292"/>
            <v:line style="position:absolute" from="2971,972" to="2971,972" stroked="true" strokeweight=".5pt" strokecolor="#929292"/>
            <v:line style="position:absolute" from="2971,1115" to="2971,987" stroked="true" strokeweight=".5pt" strokecolor="#929292">
              <v:stroke dashstyle="dash"/>
            </v:line>
            <v:line style="position:absolute" from="2971,1143" to="2971,1143" stroked="true" strokeweight=".5pt" strokecolor="#929292"/>
            <v:line style="position:absolute" from="2971,972" to="2971,972" stroked="true" strokeweight=".5pt" strokecolor="#929292"/>
            <v:line style="position:absolute" from="2971,972" to="2971,972" stroked="true" strokeweight=".5pt" strokecolor="#929292"/>
            <v:line style="position:absolute" from="2971,1286" to="2971,1157" stroked="true" strokeweight=".5pt" strokecolor="#929292">
              <v:stroke dashstyle="dash"/>
            </v:line>
            <v:line style="position:absolute" from="2971,1314" to="2971,1314" stroked="true" strokeweight=".5pt" strokecolor="#929292"/>
            <v:line style="position:absolute" from="2971,1143" to="2971,1143" stroked="true" strokeweight=".5pt" strokecolor="#929292"/>
            <v:line style="position:absolute" from="2971,1143" to="2971,1143" stroked="true" strokeweight=".5pt" strokecolor="#929292"/>
            <v:line style="position:absolute" from="2971,1314" to="2971,1314" stroked="true" strokeweight=".5pt" strokecolor="#929292"/>
            <v:line style="position:absolute" from="2971,1457" to="2971,1328" stroked="true" strokeweight=".5pt" strokecolor="#929292">
              <v:stroke dashstyle="dash"/>
            </v:line>
            <v:line style="position:absolute" from="2971,1485" to="2971,1485" stroked="true" strokeweight=".5pt" strokecolor="#929292"/>
            <v:line style="position:absolute" from="2971,1314" to="2971,1314" stroked="true" strokeweight=".5pt" strokecolor="#929292"/>
            <v:line style="position:absolute" from="2971,1314" to="2971,1314" stroked="true" strokeweight=".5pt" strokecolor="#929292"/>
            <v:line style="position:absolute" from="2971,1485" to="2971,1485" stroked="true" strokeweight=".5pt" strokecolor="#929292"/>
            <v:line style="position:absolute" from="2971,1628" to="2971,1499" stroked="true" strokeweight=".5pt" strokecolor="#929292">
              <v:stroke dashstyle="dash"/>
            </v:line>
            <v:line style="position:absolute" from="2971,1656" to="2971,1656" stroked="true" strokeweight=".5pt" strokecolor="#929292"/>
            <v:line style="position:absolute" from="2971,1485" to="2971,1485" stroked="true" strokeweight=".5pt" strokecolor="#929292"/>
            <v:line style="position:absolute" from="2971,1485" to="2971,1485" stroked="true" strokeweight=".5pt" strokecolor="#929292"/>
            <v:line style="position:absolute" from="2971,1656" to="2971,1656" stroked="true" strokeweight=".5pt" strokecolor="#929292"/>
            <v:line style="position:absolute" from="2971,1798" to="2971,1670" stroked="true" strokeweight=".5pt" strokecolor="#929292">
              <v:stroke dashstyle="dash"/>
            </v:line>
            <v:line style="position:absolute" from="2971,1827" to="2971,1827" stroked="true" strokeweight=".5pt" strokecolor="#929292"/>
            <v:line style="position:absolute" from="2971,1656" to="2971,1656" stroked="true" strokeweight=".5pt" strokecolor="#929292"/>
            <v:line style="position:absolute" from="2971,1656" to="2971,1656" stroked="true" strokeweight=".5pt" strokecolor="#929292"/>
            <v:line style="position:absolute" from="2971,1827" to="2971,1827" stroked="true" strokeweight=".5pt" strokecolor="#929292"/>
            <v:line style="position:absolute" from="2971,1969" to="2971,1841" stroked="true" strokeweight=".5pt" strokecolor="#929292">
              <v:stroke dashstyle="dash"/>
            </v:line>
            <v:line style="position:absolute" from="2971,1998" to="2971,1998" stroked="true" strokeweight=".5pt" strokecolor="#929292"/>
            <v:line style="position:absolute" from="2971,1827" to="2971,1827" stroked="true" strokeweight=".5pt" strokecolor="#929292"/>
            <v:line style="position:absolute" from="2971,1827" to="2971,1827" stroked="true" strokeweight=".5pt" strokecolor="#929292"/>
            <v:line style="position:absolute" from="2971,1998" to="2971,1998" stroked="true" strokeweight=".5pt" strokecolor="#929292"/>
            <v:line style="position:absolute" from="2971,2140" to="2971,2012" stroked="true" strokeweight=".5pt" strokecolor="#929292">
              <v:stroke dashstyle="dash"/>
            </v:line>
            <v:line style="position:absolute" from="2971,2169" to="2971,2169" stroked="true" strokeweight=".5pt" strokecolor="#929292"/>
            <v:line style="position:absolute" from="2971,1998" to="2971,1998" stroked="true" strokeweight=".5pt" strokecolor="#929292"/>
            <v:line style="position:absolute" from="2971,1998" to="2971,1998" stroked="true" strokeweight=".5pt" strokecolor="#929292"/>
            <v:line style="position:absolute" from="2971,2311" to="2971,2183" stroked="true" strokeweight=".5pt" strokecolor="#929292">
              <v:stroke dashstyle="dash"/>
            </v:line>
            <v:line style="position:absolute" from="2971,2340" to="2971,2340" stroked="true" strokeweight=".5pt" strokecolor="#929292"/>
            <v:line style="position:absolute" from="2971,2169" to="2971,2169" stroked="true" strokeweight=".5pt" strokecolor="#929292"/>
            <v:line style="position:absolute" from="2971,2169" to="2971,2169" stroked="true" strokeweight=".5pt" strokecolor="#929292"/>
            <v:line style="position:absolute" from="2971,2340" to="2971,2340" stroked="true" strokeweight=".5pt" strokecolor="#929292"/>
            <v:line style="position:absolute" from="2971,2482" to="2971,2354" stroked="true" strokeweight=".5pt" strokecolor="#929292">
              <v:stroke dashstyle="dash"/>
            </v:line>
            <v:line style="position:absolute" from="2971,2511" to="2971,2511" stroked="true" strokeweight=".5pt" strokecolor="#929292"/>
            <v:line style="position:absolute" from="2971,2340" to="2971,2340" stroked="true" strokeweight=".5pt" strokecolor="#929292"/>
            <v:line style="position:absolute" from="2971,2340" to="2971,2340" stroked="true" strokeweight=".5pt" strokecolor="#929292"/>
            <v:line style="position:absolute" from="2971,2511" to="2971,2511" stroked="true" strokeweight=".5pt" strokecolor="#929292"/>
            <v:line style="position:absolute" from="2971,2653" to="2971,2525" stroked="true" strokeweight=".5pt" strokecolor="#929292">
              <v:stroke dashstyle="dash"/>
            </v:line>
            <v:line style="position:absolute" from="2971,2682" to="2971,2682" stroked="true" strokeweight=".5pt" strokecolor="#929292"/>
            <v:line style="position:absolute" from="2971,2511" to="2971,2511" stroked="true" strokeweight=".5pt" strokecolor="#929292"/>
            <v:line style="position:absolute" from="2971,2511" to="2971,2511" stroked="true" strokeweight=".5pt" strokecolor="#929292"/>
            <v:line style="position:absolute" from="2971,2682" to="2971,2682" stroked="true" strokeweight=".5pt" strokecolor="#929292"/>
            <v:line style="position:absolute" from="2971,2824" to="2971,2696" stroked="true" strokeweight=".5pt" strokecolor="#929292">
              <v:stroke dashstyle="dash"/>
            </v:line>
            <v:line style="position:absolute" from="2971,2853" to="2971,2853" stroked="true" strokeweight=".5pt" strokecolor="#929292"/>
            <v:line style="position:absolute" from="2971,2682" to="2971,2682" stroked="true" strokeweight=".5pt" strokecolor="#929292"/>
            <v:line style="position:absolute" from="2971,2682" to="2971,2682" stroked="true" strokeweight=".5pt" strokecolor="#929292"/>
            <v:line style="position:absolute" from="2971,2853" to="2971,2853" stroked="true" strokeweight=".5pt" strokecolor="#929292"/>
            <v:line style="position:absolute" from="2971,2995" to="2971,2867" stroked="true" strokeweight=".5pt" strokecolor="#929292">
              <v:stroke dashstyle="dash"/>
            </v:line>
            <v:line style="position:absolute" from="2971,3023" to="2971,3023" stroked="true" strokeweight=".5pt" strokecolor="#929292"/>
            <v:line style="position:absolute" from="2971,2853" to="2971,2853" stroked="true" strokeweight=".5pt" strokecolor="#929292"/>
            <v:line style="position:absolute" from="2971,2853" to="2971,2853" stroked="true" strokeweight=".5pt" strokecolor="#929292"/>
            <v:line style="position:absolute" from="2971,3023" to="2971,3023" stroked="true" strokeweight=".5pt" strokecolor="#929292"/>
            <v:line style="position:absolute" from="2971,3166" to="2971,3038" stroked="true" strokeweight=".5pt" strokecolor="#929292">
              <v:stroke dashstyle="dash"/>
            </v:line>
            <v:line style="position:absolute" from="2971,3194" to="2971,3194" stroked="true" strokeweight=".5pt" strokecolor="#929292"/>
            <v:line style="position:absolute" from="2971,3023" to="2971,3023" stroked="true" strokeweight=".5pt" strokecolor="#929292"/>
            <v:line style="position:absolute" from="2971,3023" to="2971,3023" stroked="true" strokeweight=".5pt" strokecolor="#929292"/>
            <v:line style="position:absolute" from="2971,3337" to="2971,3209" stroked="true" strokeweight=".5pt" strokecolor="#929292">
              <v:stroke dashstyle="dash"/>
            </v:line>
            <v:line style="position:absolute" from="2971,3365" to="2971,3365" stroked="true" strokeweight=".5pt" strokecolor="#929292"/>
            <v:line style="position:absolute" from="2971,3194" to="2971,3194" stroked="true" strokeweight=".5pt" strokecolor="#929292"/>
            <v:line style="position:absolute" from="2971,3194" to="2971,3194" stroked="true" strokeweight=".5pt" strokecolor="#929292"/>
            <v:line style="position:absolute" from="2971,3365" to="2971,3365" stroked="true" strokeweight=".5pt" strokecolor="#929292"/>
            <v:line style="position:absolute" from="2971,3508" to="2971,3380" stroked="true" strokeweight=".5pt" strokecolor="#929292">
              <v:stroke dashstyle="dash"/>
            </v:line>
            <v:line style="position:absolute" from="2971,3536" to="2971,3536" stroked="true" strokeweight=".5pt" strokecolor="#929292"/>
            <v:line style="position:absolute" from="2971,3365" to="2971,3365" stroked="true" strokeweight=".5pt" strokecolor="#929292"/>
            <v:line style="position:absolute" from="2971,3365" to="2971,3365" stroked="true" strokeweight=".5pt" strokecolor="#929292"/>
            <v:line style="position:absolute" from="2971,3679" to="2971,3551" stroked="true" strokeweight=".5pt" strokecolor="#929292">
              <v:stroke dashstyle="dash"/>
            </v:line>
            <v:line style="position:absolute" from="2971,3707" to="2971,3707" stroked="true" strokeweight=".5pt" strokecolor="#929292"/>
            <v:line style="position:absolute" from="2971,3536" to="2971,3536" stroked="true" strokeweight=".5pt" strokecolor="#929292"/>
            <v:line style="position:absolute" from="2971,3536" to="2971,3536" stroked="true" strokeweight=".5pt" strokecolor="#929292"/>
            <v:line style="position:absolute" from="2971,3707" to="2971,3707" stroked="true" strokeweight=".5pt" strokecolor="#929292"/>
            <v:line style="position:absolute" from="2971,4047" to="2971,3723" stroked="true" strokeweight=".5pt" strokecolor="#929292">
              <v:stroke dashstyle="dash"/>
            </v:line>
            <v:line style="position:absolute" from="2971,4078" to="2971,4078" stroked="true" strokeweight=".5pt" strokecolor="#929292"/>
            <v:line style="position:absolute" from="2971,3707" to="2971,3707" stroked="true" strokeweight=".5pt" strokecolor="#929292"/>
            <v:line style="position:absolute" from="2971,3707" to="2971,3707" stroked="true" strokeweight=".5pt" strokecolor="#929292"/>
            <v:line style="position:absolute" from="2971,4078" to="2971,4078" stroked="true" strokeweight=".5pt" strokecolor="#929292"/>
            <v:line style="position:absolute" from="2971,4221" to="2971,4092" stroked="true" strokeweight=".5pt" strokecolor="#929292">
              <v:stroke dashstyle="dash"/>
            </v:line>
            <v:line style="position:absolute" from="2971,4249" to="2971,4249" stroked="true" strokeweight=".5pt" strokecolor="#929292"/>
            <v:line style="position:absolute" from="2971,4078" to="2971,4078" stroked="true" strokeweight=".5pt" strokecolor="#929292"/>
            <v:line style="position:absolute" from="2971,4078" to="2971,4078" stroked="true" strokeweight=".5pt" strokecolor="#929292"/>
            <v:line style="position:absolute" from="2971,4249" to="2971,4249" stroked="true" strokeweight=".5pt" strokecolor="#929292"/>
            <v:line style="position:absolute" from="888,4458" to="2956,4458" stroked="true" strokeweight=".5pt" strokecolor="#929292">
              <v:stroke dashstyle="dash"/>
            </v:line>
            <v:line style="position:absolute" from="858,4458" to="858,4458" stroked="true" strokeweight=".5pt" strokecolor="#929292"/>
            <v:line style="position:absolute" from="2971,4458" to="2971,4458" stroked="true" strokeweight=".5pt" strokecolor="#929292"/>
            <v:line style="position:absolute" from="2971,4428" to="2971,4264" stroked="true" strokeweight=".5pt" strokecolor="#929292">
              <v:stroke dashstyle="dash"/>
            </v:line>
            <v:line style="position:absolute" from="2971,4458" to="2971,4458" stroked="true" strokeweight=".5pt" strokecolor="#929292"/>
            <v:line style="position:absolute" from="2971,4249" to="2971,4249" stroked="true" strokeweight=".5pt" strokecolor="#929292"/>
            <v:line style="position:absolute" from="2971,4249" to="2971,4249" stroked="true" strokeweight=".5pt" strokecolor="#929292"/>
            <v:line style="position:absolute" from="3001,4458" to="5139,4458" stroked="true" strokeweight=".5pt" strokecolor="#929292">
              <v:stroke dashstyle="dash"/>
            </v:line>
            <v:line style="position:absolute" from="2971,4458" to="2971,4458" stroked="true" strokeweight=".5pt" strokecolor="#929292"/>
            <v:line style="position:absolute" from="5154,4458" to="5154,4458" stroked="true" strokeweight=".5pt" strokecolor="#929292"/>
            <v:line style="position:absolute" from="5154,432" to="5154,307" stroked="true" strokeweight=".5pt" strokecolor="#929292">
              <v:stroke dashstyle="dash"/>
            </v:line>
            <v:line style="position:absolute" from="5154,460" to="5154,460" stroked="true" strokeweight=".5pt" strokecolor="#929292"/>
            <v:line style="position:absolute" from="5154,294" to="5154,294" stroked="true" strokeweight=".5pt" strokecolor="#929292"/>
            <v:line style="position:absolute" from="5154,460" to="5154,460" stroked="true" strokeweight=".5pt" strokecolor="#929292"/>
            <v:line style="position:absolute" from="5154,602" to="5154,474" stroked="true" strokeweight=".5pt" strokecolor="#929292">
              <v:stroke dashstyle="dash"/>
            </v:line>
            <v:line style="position:absolute" from="5154,630" to="5154,630" stroked="true" strokeweight=".5pt" strokecolor="#929292"/>
            <v:line style="position:absolute" from="5154,460" to="5154,460" stroked="true" strokeweight=".5pt" strokecolor="#929292"/>
            <v:line style="position:absolute" from="5154,460" to="5154,460" stroked="true" strokeweight=".5pt" strokecolor="#929292"/>
            <v:line style="position:absolute" from="5154,630" to="5154,630" stroked="true" strokeweight=".5pt" strokecolor="#929292"/>
            <v:line style="position:absolute" from="5154,773" to="5154,645" stroked="true" strokeweight=".5pt" strokecolor="#929292">
              <v:stroke dashstyle="dash"/>
            </v:line>
            <v:line style="position:absolute" from="5154,801" to="5154,801" stroked="true" strokeweight=".5pt" strokecolor="#929292"/>
            <v:line style="position:absolute" from="5154,630" to="5154,630" stroked="true" strokeweight=".5pt" strokecolor="#929292"/>
            <v:line style="position:absolute" from="5154,630" to="5154,630" stroked="true" strokeweight=".5pt" strokecolor="#929292"/>
            <v:line style="position:absolute" from="5154,801" to="5154,801" stroked="true" strokeweight=".5pt" strokecolor="#929292"/>
            <v:line style="position:absolute" from="5154,944" to="5154,816" stroked="true" strokeweight=".5pt" strokecolor="#929292">
              <v:stroke dashstyle="dash"/>
            </v:line>
            <v:line style="position:absolute" from="5154,972" to="5154,972" stroked="true" strokeweight=".5pt" strokecolor="#929292"/>
            <v:line style="position:absolute" from="5154,801" to="5154,801" stroked="true" strokeweight=".5pt" strokecolor="#929292"/>
            <v:line style="position:absolute" from="5154,801" to="5154,801" stroked="true" strokeweight=".5pt" strokecolor="#929292"/>
            <v:line style="position:absolute" from="5154,972" to="5154,972" stroked="true" strokeweight=".5pt" strokecolor="#929292"/>
            <v:line style="position:absolute" from="5154,1115" to="5154,987" stroked="true" strokeweight=".5pt" strokecolor="#929292">
              <v:stroke dashstyle="dash"/>
            </v:line>
            <v:line style="position:absolute" from="5154,1143" to="5154,1143" stroked="true" strokeweight=".5pt" strokecolor="#929292"/>
            <v:line style="position:absolute" from="5154,972" to="5154,972" stroked="true" strokeweight=".5pt" strokecolor="#929292"/>
            <v:line style="position:absolute" from="5154,972" to="5154,972" stroked="true" strokeweight=".5pt" strokecolor="#929292"/>
            <v:line style="position:absolute" from="5154,1143" to="5154,1143" stroked="true" strokeweight=".5pt" strokecolor="#929292"/>
            <v:line style="position:absolute" from="5154,1286" to="5154,1157" stroked="true" strokeweight=".5pt" strokecolor="#929292">
              <v:stroke dashstyle="dash"/>
            </v:line>
            <v:line style="position:absolute" from="5154,1314" to="5154,1314" stroked="true" strokeweight=".5pt" strokecolor="#929292"/>
            <v:line style="position:absolute" from="5154,1143" to="5154,1143" stroked="true" strokeweight=".5pt" strokecolor="#929292"/>
            <v:line style="position:absolute" from="5154,1143" to="5154,1143" stroked="true" strokeweight=".5pt" strokecolor="#929292"/>
            <v:line style="position:absolute" from="5154,1314" to="5154,1314" stroked="true" strokeweight=".5pt" strokecolor="#929292"/>
            <v:line style="position:absolute" from="5154,1457" to="5154,1328" stroked="true" strokeweight=".5pt" strokecolor="#929292">
              <v:stroke dashstyle="dash"/>
            </v:line>
            <v:line style="position:absolute" from="5154,1485" to="5154,1485" stroked="true" strokeweight=".5pt" strokecolor="#929292"/>
            <v:line style="position:absolute" from="5154,1314" to="5154,1314" stroked="true" strokeweight=".5pt" strokecolor="#929292"/>
            <v:line style="position:absolute" from="5154,1314" to="5154,1314" stroked="true" strokeweight=".5pt" strokecolor="#929292"/>
            <v:line style="position:absolute" from="5154,1485" to="5154,1485" stroked="true" strokeweight=".5pt" strokecolor="#929292"/>
            <v:line style="position:absolute" from="5154,1628" to="5154,1499" stroked="true" strokeweight=".5pt" strokecolor="#929292">
              <v:stroke dashstyle="dash"/>
            </v:line>
            <v:line style="position:absolute" from="5154,1656" to="5154,1656" stroked="true" strokeweight=".5pt" strokecolor="#929292"/>
            <v:line style="position:absolute" from="5154,1485" to="5154,1485" stroked="true" strokeweight=".5pt" strokecolor="#929292"/>
            <v:line style="position:absolute" from="5154,1485" to="5154,1485" stroked="true" strokeweight=".5pt" strokecolor="#929292"/>
            <v:line style="position:absolute" from="5154,1656" to="5154,1656" stroked="true" strokeweight=".5pt" strokecolor="#929292"/>
            <v:line style="position:absolute" from="5154,1798" to="5154,1670" stroked="true" strokeweight=".5pt" strokecolor="#929292">
              <v:stroke dashstyle="dash"/>
            </v:line>
            <v:line style="position:absolute" from="5154,1827" to="5154,1827" stroked="true" strokeweight=".5pt" strokecolor="#929292"/>
            <v:line style="position:absolute" from="5154,1656" to="5154,1656" stroked="true" strokeweight=".5pt" strokecolor="#929292"/>
            <v:line style="position:absolute" from="5154,1656" to="5154,1656" stroked="true" strokeweight=".5pt" strokecolor="#929292"/>
            <v:line style="position:absolute" from="5154,1827" to="5154,1827" stroked="true" strokeweight=".5pt" strokecolor="#929292"/>
            <v:line style="position:absolute" from="5154,1969" to="5154,1841" stroked="true" strokeweight=".5pt" strokecolor="#929292">
              <v:stroke dashstyle="dash"/>
            </v:line>
            <v:line style="position:absolute" from="5154,1998" to="5154,1998" stroked="true" strokeweight=".5pt" strokecolor="#929292"/>
            <v:line style="position:absolute" from="5154,1827" to="5154,1827" stroked="true" strokeweight=".5pt" strokecolor="#929292"/>
            <v:line style="position:absolute" from="5154,1827" to="5154,1827" stroked="true" strokeweight=".5pt" strokecolor="#929292"/>
            <v:line style="position:absolute" from="5154,1998" to="5154,1998" stroked="true" strokeweight=".5pt" strokecolor="#929292"/>
            <v:line style="position:absolute" from="5154,2140" to="5154,2012" stroked="true" strokeweight=".5pt" strokecolor="#929292">
              <v:stroke dashstyle="dash"/>
            </v:line>
            <v:line style="position:absolute" from="5154,2169" to="5154,2169" stroked="true" strokeweight=".5pt" strokecolor="#929292"/>
            <v:line style="position:absolute" from="5154,1998" to="5154,1998" stroked="true" strokeweight=".5pt" strokecolor="#929292"/>
            <v:line style="position:absolute" from="5154,1998" to="5154,1998" stroked="true" strokeweight=".5pt" strokecolor="#929292"/>
            <v:line style="position:absolute" from="5154,2169" to="5154,2169" stroked="true" strokeweight=".5pt" strokecolor="#929292"/>
            <v:line style="position:absolute" from="5154,2311" to="5154,2183" stroked="true" strokeweight=".5pt" strokecolor="#929292">
              <v:stroke dashstyle="dash"/>
            </v:line>
            <v:line style="position:absolute" from="5154,2340" to="5154,2340" stroked="true" strokeweight=".5pt" strokecolor="#929292"/>
            <v:line style="position:absolute" from="5154,2169" to="5154,2169" stroked="true" strokeweight=".5pt" strokecolor="#929292"/>
            <v:line style="position:absolute" from="5154,2169" to="5154,2169" stroked="true" strokeweight=".5pt" strokecolor="#929292"/>
            <v:line style="position:absolute" from="5154,2340" to="5154,2340" stroked="true" strokeweight=".5pt" strokecolor="#929292"/>
            <v:line style="position:absolute" from="5154,2482" to="5154,2354" stroked="true" strokeweight=".5pt" strokecolor="#929292">
              <v:stroke dashstyle="dash"/>
            </v:line>
            <v:line style="position:absolute" from="5154,2511" to="5154,2511" stroked="true" strokeweight=".5pt" strokecolor="#929292"/>
            <v:line style="position:absolute" from="5154,2340" to="5154,2340" stroked="true" strokeweight=".5pt" strokecolor="#929292"/>
            <v:line style="position:absolute" from="5154,2340" to="5154,2340" stroked="true" strokeweight=".5pt" strokecolor="#929292"/>
            <v:line style="position:absolute" from="5154,2511" to="5154,2511" stroked="true" strokeweight=".5pt" strokecolor="#929292"/>
            <v:line style="position:absolute" from="5154,2653" to="5154,2525" stroked="true" strokeweight=".5pt" strokecolor="#929292">
              <v:stroke dashstyle="dash"/>
            </v:line>
            <v:line style="position:absolute" from="5154,2682" to="5154,2682" stroked="true" strokeweight=".5pt" strokecolor="#929292"/>
            <v:line style="position:absolute" from="5154,2511" to="5154,2511" stroked="true" strokeweight=".5pt" strokecolor="#929292"/>
            <v:line style="position:absolute" from="5154,2511" to="5154,2511" stroked="true" strokeweight=".5pt" strokecolor="#929292"/>
            <v:line style="position:absolute" from="5154,2682" to="5154,2682" stroked="true" strokeweight=".5pt" strokecolor="#929292"/>
            <v:line style="position:absolute" from="5154,2824" to="5154,2696" stroked="true" strokeweight=".5pt" strokecolor="#929292">
              <v:stroke dashstyle="dash"/>
            </v:line>
            <v:line style="position:absolute" from="5154,2853" to="5154,2853" stroked="true" strokeweight=".5pt" strokecolor="#929292"/>
            <v:line style="position:absolute" from="5154,2682" to="5154,2682" stroked="true" strokeweight=".5pt" strokecolor="#929292"/>
            <v:line style="position:absolute" from="5154,2682" to="5154,2682" stroked="true" strokeweight=".5pt" strokecolor="#929292"/>
            <v:line style="position:absolute" from="5154,2853" to="5154,2853" stroked="true" strokeweight=".5pt" strokecolor="#929292"/>
            <v:line style="position:absolute" from="5154,2995" to="5154,2867" stroked="true" strokeweight=".5pt" strokecolor="#929292">
              <v:stroke dashstyle="dash"/>
            </v:line>
            <v:line style="position:absolute" from="5154,3023" to="5154,3023" stroked="true" strokeweight=".5pt" strokecolor="#929292"/>
            <v:line style="position:absolute" from="5154,2853" to="5154,2853" stroked="true" strokeweight=".5pt" strokecolor="#929292"/>
            <v:line style="position:absolute" from="5154,2853" to="5154,2853" stroked="true" strokeweight=".5pt" strokecolor="#929292"/>
            <v:line style="position:absolute" from="5154,3023" to="5154,3023" stroked="true" strokeweight=".5pt" strokecolor="#929292"/>
            <v:line style="position:absolute" from="5154,3166" to="5154,3038" stroked="true" strokeweight=".5pt" strokecolor="#929292">
              <v:stroke dashstyle="dash"/>
            </v:line>
            <v:line style="position:absolute" from="5154,3194" to="5154,3194" stroked="true" strokeweight=".5pt" strokecolor="#929292"/>
            <v:line style="position:absolute" from="5154,3023" to="5154,3023" stroked="true" strokeweight=".5pt" strokecolor="#929292"/>
            <v:line style="position:absolute" from="5154,3023" to="5154,3023" stroked="true" strokeweight=".5pt" strokecolor="#929292"/>
            <v:line style="position:absolute" from="5154,3194" to="5154,3194" stroked="true" strokeweight=".5pt" strokecolor="#929292"/>
            <v:line style="position:absolute" from="5154,3337" to="5154,3209" stroked="true" strokeweight=".5pt" strokecolor="#929292">
              <v:stroke dashstyle="dash"/>
            </v:line>
            <v:line style="position:absolute" from="5154,3365" to="5154,3365" stroked="true" strokeweight=".5pt" strokecolor="#929292"/>
            <v:line style="position:absolute" from="5154,3194" to="5154,3194" stroked="true" strokeweight=".5pt" strokecolor="#929292"/>
            <v:line style="position:absolute" from="5154,3194" to="5154,3194" stroked="true" strokeweight=".5pt" strokecolor="#929292"/>
            <v:line style="position:absolute" from="5154,3365" to="5154,3365" stroked="true" strokeweight=".5pt" strokecolor="#929292"/>
            <v:line style="position:absolute" from="5154,3508" to="5154,3380" stroked="true" strokeweight=".5pt" strokecolor="#929292">
              <v:stroke dashstyle="dash"/>
            </v:line>
            <v:line style="position:absolute" from="5154,3536" to="5154,3536" stroked="true" strokeweight=".5pt" strokecolor="#929292"/>
            <v:line style="position:absolute" from="5154,3365" to="5154,3365" stroked="true" strokeweight=".5pt" strokecolor="#929292"/>
            <v:line style="position:absolute" from="5154,3365" to="5154,3365" stroked="true" strokeweight=".5pt" strokecolor="#929292"/>
            <v:line style="position:absolute" from="5154,3536" to="5154,3536" stroked="true" strokeweight=".5pt" strokecolor="#929292"/>
            <v:line style="position:absolute" from="5154,3679" to="5154,3551" stroked="true" strokeweight=".5pt" strokecolor="#929292">
              <v:stroke dashstyle="dash"/>
            </v:line>
            <v:line style="position:absolute" from="5154,3707" to="5154,3707" stroked="true" strokeweight=".5pt" strokecolor="#929292"/>
            <v:line style="position:absolute" from="5154,3536" to="5154,3536" stroked="true" strokeweight=".5pt" strokecolor="#929292"/>
            <v:line style="position:absolute" from="5154,3536" to="5154,3536" stroked="true" strokeweight=".5pt" strokecolor="#929292"/>
            <v:line style="position:absolute" from="5154,3707" to="5154,3707" stroked="true" strokeweight=".5pt" strokecolor="#929292"/>
            <v:line style="position:absolute" from="5154,4047" to="5154,3723" stroked="true" strokeweight=".5pt" strokecolor="#929292">
              <v:stroke dashstyle="dash"/>
            </v:line>
            <v:line style="position:absolute" from="5154,4078" to="5154,4078" stroked="true" strokeweight=".5pt" strokecolor="#929292"/>
            <v:line style="position:absolute" from="5154,3707" to="5154,3707" stroked="true" strokeweight=".5pt" strokecolor="#929292"/>
            <v:line style="position:absolute" from="5154,3707" to="5154,3707" stroked="true" strokeweight=".5pt" strokecolor="#929292"/>
            <v:line style="position:absolute" from="5154,4078" to="5154,4078" stroked="true" strokeweight=".5pt" strokecolor="#929292"/>
            <v:line style="position:absolute" from="5154,4221" to="5154,4092" stroked="true" strokeweight=".5pt" strokecolor="#929292">
              <v:stroke dashstyle="dash"/>
            </v:line>
            <v:line style="position:absolute" from="5154,4249" to="5154,4249" stroked="true" strokeweight=".5pt" strokecolor="#929292"/>
            <v:line style="position:absolute" from="5154,4078" to="5154,4078" stroked="true" strokeweight=".5pt" strokecolor="#929292"/>
            <v:line style="position:absolute" from="5154,4078" to="5154,4078" stroked="true" strokeweight=".5pt" strokecolor="#929292"/>
            <v:line style="position:absolute" from="5154,4249" to="5154,4249" stroked="true" strokeweight=".5pt" strokecolor="#929292"/>
            <v:line style="position:absolute" from="5154,4428" to="5154,4264" stroked="true" strokeweight=".5pt" strokecolor="#929292">
              <v:stroke dashstyle="dash"/>
            </v:line>
            <v:line style="position:absolute" from="5154,4458" to="5154,4458" stroked="true" strokeweight=".5pt" strokecolor="#929292"/>
            <v:line style="position:absolute" from="5154,4249" to="5154,4249" stroked="true" strokeweight=".5pt" strokecolor="#929292"/>
            <v:line style="position:absolute" from="5154,4249" to="5154,4249" stroked="true" strokeweight=".5pt" strokecolor="#929292"/>
            <v:line style="position:absolute" from="5184,4458" to="6273,4458" stroked="true" strokeweight=".5pt" strokecolor="#929292">
              <v:stroke dashstyle="dash"/>
            </v:line>
            <v:line style="position:absolute" from="5154,4458" to="5154,4458" stroked="true" strokeweight=".5pt" strokecolor="#929292"/>
            <v:line style="position:absolute" from="6288,4458" to="6288,4458" stroked="true" strokeweight=".5pt" strokecolor="#929292"/>
            <v:line style="position:absolute" from="6288,432" to="6288,307" stroked="true" strokeweight=".5pt" strokecolor="#929292">
              <v:stroke dashstyle="dash"/>
            </v:line>
            <v:line style="position:absolute" from="6288,460" to="6288,460" stroked="true" strokeweight=".5pt" strokecolor="#929292"/>
            <v:line style="position:absolute" from="6288,294" to="6288,294" stroked="true" strokeweight=".5pt" strokecolor="#929292"/>
            <v:line style="position:absolute" from="6288,460" to="6288,460" stroked="true" strokeweight=".5pt" strokecolor="#929292"/>
            <v:line style="position:absolute" from="6288,602" to="6288,474" stroked="true" strokeweight=".5pt" strokecolor="#929292">
              <v:stroke dashstyle="dash"/>
            </v:line>
            <v:line style="position:absolute" from="6288,630" to="6288,630" stroked="true" strokeweight=".5pt" strokecolor="#929292"/>
            <v:line style="position:absolute" from="6288,460" to="6288,460" stroked="true" strokeweight=".5pt" strokecolor="#929292"/>
            <v:line style="position:absolute" from="6288,460" to="6288,460" stroked="true" strokeweight=".5pt" strokecolor="#929292"/>
            <v:line style="position:absolute" from="6288,630" to="6288,630" stroked="true" strokeweight=".5pt" strokecolor="#929292"/>
            <v:line style="position:absolute" from="6288,773" to="6288,645" stroked="true" strokeweight=".5pt" strokecolor="#929292">
              <v:stroke dashstyle="dash"/>
            </v:line>
            <v:line style="position:absolute" from="6288,801" to="6288,801" stroked="true" strokeweight=".5pt" strokecolor="#929292"/>
            <v:line style="position:absolute" from="6288,630" to="6288,630" stroked="true" strokeweight=".5pt" strokecolor="#929292"/>
            <v:line style="position:absolute" from="6288,630" to="6288,630" stroked="true" strokeweight=".5pt" strokecolor="#929292"/>
            <v:line style="position:absolute" from="6288,801" to="6288,801" stroked="true" strokeweight=".5pt" strokecolor="#929292"/>
            <v:line style="position:absolute" from="6288,944" to="6288,816" stroked="true" strokeweight=".5pt" strokecolor="#929292">
              <v:stroke dashstyle="dash"/>
            </v:line>
            <v:line style="position:absolute" from="6288,972" to="6288,972" stroked="true" strokeweight=".5pt" strokecolor="#929292"/>
            <v:line style="position:absolute" from="6288,801" to="6288,801" stroked="true" strokeweight=".5pt" strokecolor="#929292"/>
            <v:line style="position:absolute" from="6288,801" to="6288,801" stroked="true" strokeweight=".5pt" strokecolor="#929292"/>
            <v:line style="position:absolute" from="6288,972" to="6288,972" stroked="true" strokeweight=".5pt" strokecolor="#929292"/>
            <v:line style="position:absolute" from="6288,1115" to="6288,987" stroked="true" strokeweight=".5pt" strokecolor="#929292">
              <v:stroke dashstyle="dash"/>
            </v:line>
            <v:line style="position:absolute" from="6288,1143" to="6288,1143" stroked="true" strokeweight=".5pt" strokecolor="#929292"/>
            <v:line style="position:absolute" from="6288,972" to="6288,972" stroked="true" strokeweight=".5pt" strokecolor="#929292"/>
            <v:line style="position:absolute" from="6288,972" to="6288,972" stroked="true" strokeweight=".5pt" strokecolor="#929292"/>
            <v:line style="position:absolute" from="6288,1143" to="6288,1143" stroked="true" strokeweight=".5pt" strokecolor="#929292"/>
            <v:line style="position:absolute" from="6288,1286" to="6288,1157" stroked="true" strokeweight=".5pt" strokecolor="#929292">
              <v:stroke dashstyle="dash"/>
            </v:line>
            <v:line style="position:absolute" from="6288,1314" to="6288,1314" stroked="true" strokeweight=".5pt" strokecolor="#929292"/>
            <v:line style="position:absolute" from="6288,1143" to="6288,1143" stroked="true" strokeweight=".5pt" strokecolor="#929292"/>
            <v:line style="position:absolute" from="6288,1143" to="6288,1143" stroked="true" strokeweight=".5pt" strokecolor="#929292"/>
            <v:line style="position:absolute" from="6288,1314" to="6288,1314" stroked="true" strokeweight=".5pt" strokecolor="#929292"/>
            <v:line style="position:absolute" from="6288,1457" to="6288,1328" stroked="true" strokeweight=".5pt" strokecolor="#929292">
              <v:stroke dashstyle="dash"/>
            </v:line>
            <v:line style="position:absolute" from="6288,1485" to="6288,1485" stroked="true" strokeweight=".5pt" strokecolor="#929292"/>
            <v:line style="position:absolute" from="6288,1314" to="6288,1314" stroked="true" strokeweight=".5pt" strokecolor="#929292"/>
            <v:line style="position:absolute" from="6288,1314" to="6288,1314" stroked="true" strokeweight=".5pt" strokecolor="#929292"/>
            <v:line style="position:absolute" from="6288,1485" to="6288,1485" stroked="true" strokeweight=".5pt" strokecolor="#929292"/>
            <v:line style="position:absolute" from="6288,1628" to="6288,1499" stroked="true" strokeweight=".5pt" strokecolor="#929292">
              <v:stroke dashstyle="dash"/>
            </v:line>
            <v:line style="position:absolute" from="6288,1656" to="6288,1656" stroked="true" strokeweight=".5pt" strokecolor="#929292"/>
            <v:line style="position:absolute" from="6288,1485" to="6288,1485" stroked="true" strokeweight=".5pt" strokecolor="#929292"/>
            <v:line style="position:absolute" from="6288,1485" to="6288,1485" stroked="true" strokeweight=".5pt" strokecolor="#929292"/>
            <v:line style="position:absolute" from="6288,1656" to="6288,1656" stroked="true" strokeweight=".5pt" strokecolor="#929292"/>
            <v:line style="position:absolute" from="6288,1798" to="6288,1670" stroked="true" strokeweight=".5pt" strokecolor="#929292">
              <v:stroke dashstyle="dash"/>
            </v:line>
            <v:line style="position:absolute" from="6288,1827" to="6288,1827" stroked="true" strokeweight=".5pt" strokecolor="#929292"/>
            <v:line style="position:absolute" from="6288,1656" to="6288,1656" stroked="true" strokeweight=".5pt" strokecolor="#929292"/>
            <v:line style="position:absolute" from="6288,1656" to="6288,1656" stroked="true" strokeweight=".5pt" strokecolor="#929292"/>
            <v:line style="position:absolute" from="6288,1827" to="6288,1827" stroked="true" strokeweight=".5pt" strokecolor="#929292"/>
            <v:line style="position:absolute" from="6288,1969" to="6288,1841" stroked="true" strokeweight=".5pt" strokecolor="#929292">
              <v:stroke dashstyle="dash"/>
            </v:line>
            <v:line style="position:absolute" from="6288,1998" to="6288,1998" stroked="true" strokeweight=".5pt" strokecolor="#929292"/>
            <v:line style="position:absolute" from="6288,1827" to="6288,1827" stroked="true" strokeweight=".5pt" strokecolor="#929292"/>
            <v:line style="position:absolute" from="6288,1827" to="6288,1827" stroked="true" strokeweight=".5pt" strokecolor="#929292"/>
            <v:line style="position:absolute" from="6288,1998" to="6288,1998" stroked="true" strokeweight=".5pt" strokecolor="#929292"/>
            <v:line style="position:absolute" from="6288,2140" to="6288,2012" stroked="true" strokeweight=".5pt" strokecolor="#929292">
              <v:stroke dashstyle="dash"/>
            </v:line>
            <v:line style="position:absolute" from="6288,2169" to="6288,2169" stroked="true" strokeweight=".5pt" strokecolor="#929292"/>
            <v:line style="position:absolute" from="6288,1998" to="6288,1998" stroked="true" strokeweight=".5pt" strokecolor="#929292"/>
            <v:line style="position:absolute" from="6288,1998" to="6288,1998" stroked="true" strokeweight=".5pt" strokecolor="#929292"/>
            <v:line style="position:absolute" from="6288,2169" to="6288,2169" stroked="true" strokeweight=".5pt" strokecolor="#929292"/>
            <v:line style="position:absolute" from="6288,2311" to="6288,2183" stroked="true" strokeweight=".5pt" strokecolor="#929292">
              <v:stroke dashstyle="dash"/>
            </v:line>
            <v:line style="position:absolute" from="6288,2340" to="6288,2340" stroked="true" strokeweight=".5pt" strokecolor="#929292"/>
            <v:line style="position:absolute" from="6288,2169" to="6288,2169" stroked="true" strokeweight=".5pt" strokecolor="#929292"/>
            <v:line style="position:absolute" from="6288,2169" to="6288,2169" stroked="true" strokeweight=".5pt" strokecolor="#929292"/>
            <v:line style="position:absolute" from="6288,2340" to="6288,2340" stroked="true" strokeweight=".5pt" strokecolor="#929292"/>
            <v:line style="position:absolute" from="6288,2482" to="6288,2354" stroked="true" strokeweight=".5pt" strokecolor="#929292">
              <v:stroke dashstyle="dash"/>
            </v:line>
            <v:line style="position:absolute" from="6288,2511" to="6288,2511" stroked="true" strokeweight=".5pt" strokecolor="#929292"/>
            <v:line style="position:absolute" from="6288,2340" to="6288,2340" stroked="true" strokeweight=".5pt" strokecolor="#929292"/>
            <v:line style="position:absolute" from="6288,2340" to="6288,2340" stroked="true" strokeweight=".5pt" strokecolor="#929292"/>
            <v:line style="position:absolute" from="6288,2511" to="6288,2511" stroked="true" strokeweight=".5pt" strokecolor="#929292"/>
            <v:line style="position:absolute" from="6288,2653" to="6288,2525" stroked="true" strokeweight=".5pt" strokecolor="#929292">
              <v:stroke dashstyle="dash"/>
            </v:line>
            <v:line style="position:absolute" from="6288,2682" to="6288,2682" stroked="true" strokeweight=".5pt" strokecolor="#929292"/>
            <v:line style="position:absolute" from="6288,2511" to="6288,2511" stroked="true" strokeweight=".5pt" strokecolor="#929292"/>
            <v:line style="position:absolute" from="6288,2511" to="6288,2511" stroked="true" strokeweight=".5pt" strokecolor="#929292"/>
            <v:line style="position:absolute" from="6288,2682" to="6288,2682" stroked="true" strokeweight=".5pt" strokecolor="#929292"/>
            <v:line style="position:absolute" from="6288,2824" to="6288,2696" stroked="true" strokeweight=".5pt" strokecolor="#929292">
              <v:stroke dashstyle="dash"/>
            </v:line>
            <v:line style="position:absolute" from="6288,2853" to="6288,2853" stroked="true" strokeweight=".5pt" strokecolor="#929292"/>
            <v:line style="position:absolute" from="6288,2682" to="6288,2682" stroked="true" strokeweight=".5pt" strokecolor="#929292"/>
            <v:line style="position:absolute" from="6288,2682" to="6288,2682" stroked="true" strokeweight=".5pt" strokecolor="#929292"/>
            <v:line style="position:absolute" from="6288,2853" to="6288,2853" stroked="true" strokeweight=".5pt" strokecolor="#929292"/>
            <v:line style="position:absolute" from="6288,2995" to="6288,2867" stroked="true" strokeweight=".5pt" strokecolor="#929292">
              <v:stroke dashstyle="dash"/>
            </v:line>
            <v:line style="position:absolute" from="6288,3023" to="6288,3023" stroked="true" strokeweight=".5pt" strokecolor="#929292"/>
            <v:line style="position:absolute" from="6288,2853" to="6288,2853" stroked="true" strokeweight=".5pt" strokecolor="#929292"/>
            <v:line style="position:absolute" from="6288,2853" to="6288,2853" stroked="true" strokeweight=".5pt" strokecolor="#929292"/>
            <v:line style="position:absolute" from="6288,3023" to="6288,3023" stroked="true" strokeweight=".5pt" strokecolor="#929292"/>
            <v:line style="position:absolute" from="6288,3166" to="6288,3038" stroked="true" strokeweight=".5pt" strokecolor="#929292">
              <v:stroke dashstyle="dash"/>
            </v:line>
            <v:line style="position:absolute" from="6288,3194" to="6288,3194" stroked="true" strokeweight=".5pt" strokecolor="#929292"/>
            <v:line style="position:absolute" from="6288,3023" to="6288,3023" stroked="true" strokeweight=".5pt" strokecolor="#929292"/>
            <v:line style="position:absolute" from="6288,3023" to="6288,3023" stroked="true" strokeweight=".5pt" strokecolor="#929292"/>
            <v:line style="position:absolute" from="6288,3194" to="6288,3194" stroked="true" strokeweight=".5pt" strokecolor="#929292"/>
            <v:line style="position:absolute" from="6288,3337" to="6288,3209" stroked="true" strokeweight=".5pt" strokecolor="#929292">
              <v:stroke dashstyle="dash"/>
            </v:line>
            <v:line style="position:absolute" from="6288,3365" to="6288,3365" stroked="true" strokeweight=".5pt" strokecolor="#929292"/>
            <v:line style="position:absolute" from="6288,3194" to="6288,3194" stroked="true" strokeweight=".5pt" strokecolor="#929292"/>
            <v:line style="position:absolute" from="6288,3194" to="6288,3194" stroked="true" strokeweight=".5pt" strokecolor="#929292"/>
            <v:line style="position:absolute" from="6288,3365" to="6288,3365" stroked="true" strokeweight=".5pt" strokecolor="#929292"/>
            <v:line style="position:absolute" from="6288,3508" to="6288,3380" stroked="true" strokeweight=".5pt" strokecolor="#929292">
              <v:stroke dashstyle="dash"/>
            </v:line>
            <v:line style="position:absolute" from="6288,3536" to="6288,3536" stroked="true" strokeweight=".5pt" strokecolor="#929292"/>
            <v:line style="position:absolute" from="6288,3365" to="6288,3365" stroked="true" strokeweight=".5pt" strokecolor="#929292"/>
            <v:line style="position:absolute" from="6288,3365" to="6288,3365" stroked="true" strokeweight=".5pt" strokecolor="#929292"/>
            <v:line style="position:absolute" from="6288,3536" to="6288,3536" stroked="true" strokeweight=".5pt" strokecolor="#929292"/>
            <v:line style="position:absolute" from="6288,3679" to="6288,3551" stroked="true" strokeweight=".5pt" strokecolor="#929292">
              <v:stroke dashstyle="dash"/>
            </v:line>
            <v:line style="position:absolute" from="6288,3707" to="6288,3707" stroked="true" strokeweight=".5pt" strokecolor="#929292"/>
            <v:line style="position:absolute" from="6288,3536" to="6288,3536" stroked="true" strokeweight=".5pt" strokecolor="#929292"/>
            <v:line style="position:absolute" from="6288,3536" to="6288,3536" stroked="true" strokeweight=".5pt" strokecolor="#929292"/>
            <v:line style="position:absolute" from="6288,3707" to="6288,3707" stroked="true" strokeweight=".5pt" strokecolor="#929292"/>
            <v:line style="position:absolute" from="6288,4047" to="6288,3723" stroked="true" strokeweight=".5pt" strokecolor="#929292">
              <v:stroke dashstyle="dash"/>
            </v:line>
            <v:line style="position:absolute" from="6288,4078" to="6288,4078" stroked="true" strokeweight=".5pt" strokecolor="#929292"/>
            <v:line style="position:absolute" from="6288,3707" to="6288,3707" stroked="true" strokeweight=".5pt" strokecolor="#929292"/>
            <v:line style="position:absolute" from="6288,3707" to="6288,3707" stroked="true" strokeweight=".5pt" strokecolor="#929292"/>
            <v:line style="position:absolute" from="6288,4078" to="6288,4078" stroked="true" strokeweight=".5pt" strokecolor="#929292"/>
            <v:line style="position:absolute" from="6288,4221" to="6288,4092" stroked="true" strokeweight=".5pt" strokecolor="#929292">
              <v:stroke dashstyle="dash"/>
            </v:line>
            <v:line style="position:absolute" from="6288,4249" to="6288,4249" stroked="true" strokeweight=".5pt" strokecolor="#929292"/>
            <v:line style="position:absolute" from="6288,4078" to="6288,4078" stroked="true" strokeweight=".5pt" strokecolor="#929292"/>
            <v:line style="position:absolute" from="6288,4078" to="6288,4078" stroked="true" strokeweight=".5pt" strokecolor="#929292"/>
            <v:line style="position:absolute" from="6288,4249" to="6288,4249" stroked="true" strokeweight=".5pt" strokecolor="#929292"/>
            <v:line style="position:absolute" from="6288,4428" to="6288,4264" stroked="true" strokeweight=".5pt" strokecolor="#929292">
              <v:stroke dashstyle="dash"/>
            </v:line>
            <v:line style="position:absolute" from="6288,4458" to="6288,4458" stroked="true" strokeweight=".5pt" strokecolor="#929292"/>
            <v:line style="position:absolute" from="6288,4249" to="6288,4249" stroked="true" strokeweight=".5pt" strokecolor="#929292"/>
            <v:line style="position:absolute" from="6288,4249" to="6288,4249" stroked="true" strokeweight=".5pt" strokecolor="#929292"/>
            <v:line style="position:absolute" from="6318,4458" to="7407,4458" stroked="true" strokeweight=".5pt" strokecolor="#929292">
              <v:stroke dashstyle="dash"/>
            </v:line>
            <v:line style="position:absolute" from="6288,4458" to="6288,4458" stroked="true" strokeweight=".5pt" strokecolor="#929292"/>
            <v:line style="position:absolute" from="7422,4458" to="7422,4458" stroked="true" strokeweight=".5pt" strokecolor="#929292"/>
            <v:line style="position:absolute" from="7422,432" to="7422,307" stroked="true" strokeweight=".5pt" strokecolor="#929292">
              <v:stroke dashstyle="dash"/>
            </v:line>
            <v:line style="position:absolute" from="7422,460" to="7422,460" stroked="true" strokeweight=".5pt" strokecolor="#929292"/>
            <v:line style="position:absolute" from="7422,294" to="7422,294" stroked="true" strokeweight=".5pt" strokecolor="#929292"/>
            <v:line style="position:absolute" from="7422,460" to="7422,460" stroked="true" strokeweight=".5pt" strokecolor="#929292"/>
            <v:line style="position:absolute" from="7422,602" to="7422,474" stroked="true" strokeweight=".5pt" strokecolor="#929292">
              <v:stroke dashstyle="dash"/>
            </v:line>
            <v:line style="position:absolute" from="7422,630" to="7422,630" stroked="true" strokeweight=".5pt" strokecolor="#929292"/>
            <v:line style="position:absolute" from="7422,460" to="7422,460" stroked="true" strokeweight=".5pt" strokecolor="#929292"/>
            <v:line style="position:absolute" from="7422,460" to="7422,460" stroked="true" strokeweight=".5pt" strokecolor="#929292"/>
            <v:line style="position:absolute" from="7422,630" to="7422,630" stroked="true" strokeweight=".5pt" strokecolor="#929292"/>
            <v:line style="position:absolute" from="7422,773" to="7422,645" stroked="true" strokeweight=".5pt" strokecolor="#929292">
              <v:stroke dashstyle="dash"/>
            </v:line>
            <v:line style="position:absolute" from="7422,801" to="7422,801" stroked="true" strokeweight=".5pt" strokecolor="#929292"/>
            <v:line style="position:absolute" from="7422,630" to="7422,630" stroked="true" strokeweight=".5pt" strokecolor="#929292"/>
            <v:line style="position:absolute" from="7422,630" to="7422,630" stroked="true" strokeweight=".5pt" strokecolor="#929292"/>
            <v:line style="position:absolute" from="7422,801" to="7422,801" stroked="true" strokeweight=".5pt" strokecolor="#929292"/>
            <v:line style="position:absolute" from="7422,944" to="7422,816" stroked="true" strokeweight=".5pt" strokecolor="#929292">
              <v:stroke dashstyle="dash"/>
            </v:line>
            <v:line style="position:absolute" from="7422,972" to="7422,972" stroked="true" strokeweight=".5pt" strokecolor="#929292"/>
            <v:line style="position:absolute" from="7422,801" to="7422,801" stroked="true" strokeweight=".5pt" strokecolor="#929292"/>
            <v:line style="position:absolute" from="7422,801" to="7422,801" stroked="true" strokeweight=".5pt" strokecolor="#929292"/>
            <v:line style="position:absolute" from="7422,972" to="7422,972" stroked="true" strokeweight=".5pt" strokecolor="#929292"/>
            <v:line style="position:absolute" from="7422,1115" to="7422,987" stroked="true" strokeweight=".5pt" strokecolor="#929292">
              <v:stroke dashstyle="dash"/>
            </v:line>
            <v:line style="position:absolute" from="7422,1143" to="7422,1143" stroked="true" strokeweight=".5pt" strokecolor="#929292"/>
            <v:line style="position:absolute" from="7422,972" to="7422,972" stroked="true" strokeweight=".5pt" strokecolor="#929292"/>
            <v:line style="position:absolute" from="7422,972" to="7422,972" stroked="true" strokeweight=".5pt" strokecolor="#929292"/>
            <v:line style="position:absolute" from="7422,1143" to="7422,1143" stroked="true" strokeweight=".5pt" strokecolor="#929292"/>
            <v:line style="position:absolute" from="7422,1286" to="7422,1157" stroked="true" strokeweight=".5pt" strokecolor="#929292">
              <v:stroke dashstyle="dash"/>
            </v:line>
            <v:line style="position:absolute" from="7422,1314" to="7422,1314" stroked="true" strokeweight=".5pt" strokecolor="#929292"/>
            <v:line style="position:absolute" from="7422,1143" to="7422,1143" stroked="true" strokeweight=".5pt" strokecolor="#929292"/>
            <v:line style="position:absolute" from="7422,1143" to="7422,1143" stroked="true" strokeweight=".5pt" strokecolor="#929292"/>
            <v:line style="position:absolute" from="7422,1314" to="7422,1314" stroked="true" strokeweight=".5pt" strokecolor="#929292"/>
            <v:line style="position:absolute" from="7422,1457" to="7422,1328" stroked="true" strokeweight=".5pt" strokecolor="#929292">
              <v:stroke dashstyle="dash"/>
            </v:line>
            <v:line style="position:absolute" from="7422,1485" to="7422,1485" stroked="true" strokeweight=".5pt" strokecolor="#929292"/>
            <v:line style="position:absolute" from="7422,1314" to="7422,1314" stroked="true" strokeweight=".5pt" strokecolor="#929292"/>
            <v:line style="position:absolute" from="7422,1314" to="7422,1314" stroked="true" strokeweight=".5pt" strokecolor="#929292"/>
            <v:line style="position:absolute" from="7422,1485" to="7422,1485" stroked="true" strokeweight=".5pt" strokecolor="#929292"/>
            <v:line style="position:absolute" from="7422,1628" to="7422,1499" stroked="true" strokeweight=".5pt" strokecolor="#929292">
              <v:stroke dashstyle="dash"/>
            </v:line>
            <v:line style="position:absolute" from="7422,1656" to="7422,1656" stroked="true" strokeweight=".5pt" strokecolor="#929292"/>
            <v:line style="position:absolute" from="7422,1485" to="7422,1485" stroked="true" strokeweight=".5pt" strokecolor="#929292"/>
            <v:line style="position:absolute" from="7422,1485" to="7422,1485" stroked="true" strokeweight=".5pt" strokecolor="#929292"/>
            <v:line style="position:absolute" from="7422,1656" to="7422,1656" stroked="true" strokeweight=".5pt" strokecolor="#929292"/>
            <v:line style="position:absolute" from="7422,1798" to="7422,1670" stroked="true" strokeweight=".5pt" strokecolor="#929292">
              <v:stroke dashstyle="dash"/>
            </v:line>
            <v:line style="position:absolute" from="7422,1827" to="7422,1827" stroked="true" strokeweight=".5pt" strokecolor="#929292"/>
            <v:line style="position:absolute" from="7422,1656" to="7422,1656" stroked="true" strokeweight=".5pt" strokecolor="#929292"/>
            <v:line style="position:absolute" from="7422,1656" to="7422,1656" stroked="true" strokeweight=".5pt" strokecolor="#929292"/>
            <v:line style="position:absolute" from="7422,1827" to="7422,1827" stroked="true" strokeweight=".5pt" strokecolor="#929292"/>
            <v:line style="position:absolute" from="7422,1969" to="7422,1841" stroked="true" strokeweight=".5pt" strokecolor="#929292">
              <v:stroke dashstyle="dash"/>
            </v:line>
            <v:line style="position:absolute" from="7422,1998" to="7422,1998" stroked="true" strokeweight=".5pt" strokecolor="#929292"/>
            <v:line style="position:absolute" from="7422,1827" to="7422,1827" stroked="true" strokeweight=".5pt" strokecolor="#929292"/>
            <v:line style="position:absolute" from="7422,1827" to="7422,1827" stroked="true" strokeweight=".5pt" strokecolor="#929292"/>
            <v:line style="position:absolute" from="7422,1998" to="7422,1998" stroked="true" strokeweight=".5pt" strokecolor="#929292"/>
            <v:line style="position:absolute" from="7422,2140" to="7422,2012" stroked="true" strokeweight=".5pt" strokecolor="#929292">
              <v:stroke dashstyle="dash"/>
            </v:line>
            <v:line style="position:absolute" from="7422,2169" to="7422,2169" stroked="true" strokeweight=".5pt" strokecolor="#929292"/>
            <v:line style="position:absolute" from="7422,1998" to="7422,1998" stroked="true" strokeweight=".5pt" strokecolor="#929292"/>
            <v:line style="position:absolute" from="7422,1998" to="7422,1998" stroked="true" strokeweight=".5pt" strokecolor="#929292"/>
            <v:line style="position:absolute" from="7422,2169" to="7422,2169" stroked="true" strokeweight=".5pt" strokecolor="#929292"/>
            <v:line style="position:absolute" from="7422,2311" to="7422,2183" stroked="true" strokeweight=".5pt" strokecolor="#929292">
              <v:stroke dashstyle="dash"/>
            </v:line>
            <v:line style="position:absolute" from="7422,2340" to="7422,2340" stroked="true" strokeweight=".5pt" strokecolor="#929292"/>
            <v:line style="position:absolute" from="7422,2169" to="7422,2169" stroked="true" strokeweight=".5pt" strokecolor="#929292"/>
            <v:line style="position:absolute" from="7422,2169" to="7422,2169" stroked="true" strokeweight=".5pt" strokecolor="#929292"/>
            <v:line style="position:absolute" from="7422,2340" to="7422,2340" stroked="true" strokeweight=".5pt" strokecolor="#929292"/>
            <v:line style="position:absolute" from="7422,2482" to="7422,2354" stroked="true" strokeweight=".5pt" strokecolor="#929292">
              <v:stroke dashstyle="dash"/>
            </v:line>
            <v:line style="position:absolute" from="7422,2511" to="7422,2511" stroked="true" strokeweight=".5pt" strokecolor="#929292"/>
            <v:line style="position:absolute" from="7422,2340" to="7422,2340" stroked="true" strokeweight=".5pt" strokecolor="#929292"/>
            <v:line style="position:absolute" from="7422,2340" to="7422,2340" stroked="true" strokeweight=".5pt" strokecolor="#929292"/>
            <v:line style="position:absolute" from="7422,2511" to="7422,2511" stroked="true" strokeweight=".5pt" strokecolor="#929292"/>
            <v:line style="position:absolute" from="7422,2653" to="7422,2525" stroked="true" strokeweight=".5pt" strokecolor="#929292">
              <v:stroke dashstyle="dash"/>
            </v:line>
            <v:line style="position:absolute" from="7422,2682" to="7422,2682" stroked="true" strokeweight=".5pt" strokecolor="#929292"/>
            <v:line style="position:absolute" from="7422,2511" to="7422,2511" stroked="true" strokeweight=".5pt" strokecolor="#929292"/>
            <v:line style="position:absolute" from="7422,2511" to="7422,2511" stroked="true" strokeweight=".5pt" strokecolor="#929292"/>
            <v:line style="position:absolute" from="7422,2682" to="7422,2682" stroked="true" strokeweight=".5pt" strokecolor="#929292"/>
            <v:line style="position:absolute" from="7422,2824" to="7422,2696" stroked="true" strokeweight=".5pt" strokecolor="#929292">
              <v:stroke dashstyle="dash"/>
            </v:line>
            <v:line style="position:absolute" from="7422,2853" to="7422,2853" stroked="true" strokeweight=".5pt" strokecolor="#929292"/>
            <v:line style="position:absolute" from="7422,2682" to="7422,2682" stroked="true" strokeweight=".5pt" strokecolor="#929292"/>
            <v:line style="position:absolute" from="7422,2682" to="7422,2682" stroked="true" strokeweight=".5pt" strokecolor="#929292"/>
            <v:line style="position:absolute" from="7422,2853" to="7422,2853" stroked="true" strokeweight=".5pt" strokecolor="#929292"/>
            <v:line style="position:absolute" from="7422,2995" to="7422,2867" stroked="true" strokeweight=".5pt" strokecolor="#929292">
              <v:stroke dashstyle="dash"/>
            </v:line>
            <v:line style="position:absolute" from="7422,3023" to="7422,3023" stroked="true" strokeweight=".5pt" strokecolor="#929292"/>
            <v:line style="position:absolute" from="7422,2853" to="7422,2853" stroked="true" strokeweight=".5pt" strokecolor="#929292"/>
            <v:line style="position:absolute" from="7422,2853" to="7422,2853" stroked="true" strokeweight=".5pt" strokecolor="#929292"/>
            <v:line style="position:absolute" from="7422,3023" to="7422,3023" stroked="true" strokeweight=".5pt" strokecolor="#929292"/>
            <v:line style="position:absolute" from="7422,3166" to="7422,3038" stroked="true" strokeweight=".5pt" strokecolor="#929292">
              <v:stroke dashstyle="dash"/>
            </v:line>
            <v:line style="position:absolute" from="7422,3194" to="7422,3194" stroked="true" strokeweight=".5pt" strokecolor="#929292"/>
            <v:line style="position:absolute" from="7422,3023" to="7422,3023" stroked="true" strokeweight=".5pt" strokecolor="#929292"/>
            <v:line style="position:absolute" from="7422,3023" to="7422,3023" stroked="true" strokeweight=".5pt" strokecolor="#929292"/>
            <v:line style="position:absolute" from="7422,3194" to="7422,3194" stroked="true" strokeweight=".5pt" strokecolor="#929292"/>
            <v:line style="position:absolute" from="7422,3337" to="7422,3209" stroked="true" strokeweight=".5pt" strokecolor="#929292">
              <v:stroke dashstyle="dash"/>
            </v:line>
            <v:line style="position:absolute" from="7422,3365" to="7422,3365" stroked="true" strokeweight=".5pt" strokecolor="#929292"/>
            <v:line style="position:absolute" from="7422,3194" to="7422,3194" stroked="true" strokeweight=".5pt" strokecolor="#929292"/>
            <v:line style="position:absolute" from="7422,3194" to="7422,3194" stroked="true" strokeweight=".5pt" strokecolor="#929292"/>
            <v:line style="position:absolute" from="7422,3365" to="7422,3365" stroked="true" strokeweight=".5pt" strokecolor="#929292"/>
            <v:line style="position:absolute" from="7422,3508" to="7422,3380" stroked="true" strokeweight=".5pt" strokecolor="#929292">
              <v:stroke dashstyle="dash"/>
            </v:line>
            <v:line style="position:absolute" from="7422,3536" to="7422,3536" stroked="true" strokeweight=".5pt" strokecolor="#929292"/>
            <v:line style="position:absolute" from="7422,3365" to="7422,3365" stroked="true" strokeweight=".5pt" strokecolor="#929292"/>
            <v:line style="position:absolute" from="7422,3365" to="7422,3365" stroked="true" strokeweight=".5pt" strokecolor="#929292"/>
            <v:line style="position:absolute" from="7422,3536" to="7422,3536" stroked="true" strokeweight=".5pt" strokecolor="#929292"/>
            <v:line style="position:absolute" from="7422,3679" to="7422,3551" stroked="true" strokeweight=".5pt" strokecolor="#929292">
              <v:stroke dashstyle="dash"/>
            </v:line>
            <v:line style="position:absolute" from="7422,3707" to="7422,3707" stroked="true" strokeweight=".5pt" strokecolor="#929292"/>
            <v:line style="position:absolute" from="7422,3536" to="7422,3536" stroked="true" strokeweight=".5pt" strokecolor="#929292"/>
            <v:line style="position:absolute" from="7422,3536" to="7422,3536" stroked="true" strokeweight=".5pt" strokecolor="#929292"/>
            <v:line style="position:absolute" from="7422,3707" to="7422,3707" stroked="true" strokeweight=".5pt" strokecolor="#929292"/>
            <v:line style="position:absolute" from="7422,4047" to="7422,3723" stroked="true" strokeweight=".5pt" strokecolor="#929292">
              <v:stroke dashstyle="dash"/>
            </v:line>
            <v:line style="position:absolute" from="7422,4078" to="7422,4078" stroked="true" strokeweight=".5pt" strokecolor="#929292"/>
            <v:line style="position:absolute" from="7422,3707" to="7422,3707" stroked="true" strokeweight=".5pt" strokecolor="#929292"/>
            <v:line style="position:absolute" from="7422,3707" to="7422,3707" stroked="true" strokeweight=".5pt" strokecolor="#929292"/>
            <v:line style="position:absolute" from="7422,4078" to="7422,4078" stroked="true" strokeweight=".5pt" strokecolor="#929292"/>
            <v:line style="position:absolute" from="7422,4221" to="7422,4092" stroked="true" strokeweight=".5pt" strokecolor="#929292">
              <v:stroke dashstyle="dash"/>
            </v:line>
            <v:line style="position:absolute" from="7422,4249" to="7422,4249" stroked="true" strokeweight=".5pt" strokecolor="#929292"/>
            <v:line style="position:absolute" from="7422,4078" to="7422,4078" stroked="true" strokeweight=".5pt" strokecolor="#929292"/>
            <v:line style="position:absolute" from="7422,4078" to="7422,4078" stroked="true" strokeweight=".5pt" strokecolor="#929292"/>
            <v:line style="position:absolute" from="7422,4249" to="7422,4249" stroked="true" strokeweight=".5pt" strokecolor="#929292"/>
            <v:line style="position:absolute" from="7422,4428" to="7422,4264" stroked="true" strokeweight=".5pt" strokecolor="#929292">
              <v:stroke dashstyle="dash"/>
            </v:line>
            <v:line style="position:absolute" from="7422,4458" to="7422,4458" stroked="true" strokeweight=".5pt" strokecolor="#929292"/>
            <v:line style="position:absolute" from="7422,4249" to="7422,4249" stroked="true" strokeweight=".5pt" strokecolor="#929292"/>
            <v:line style="position:absolute" from="7422,4249" to="7422,4249" stroked="true" strokeweight=".5pt" strokecolor="#929292"/>
            <v:line style="position:absolute" from="7452,4458" to="8536,4458" stroked="true" strokeweight=".5pt" strokecolor="#929292">
              <v:stroke dashstyle="dash"/>
            </v:line>
            <v:line style="position:absolute" from="7422,4458" to="7422,4458" stroked="true" strokeweight=".5pt" strokecolor="#929292"/>
            <v:line style="position:absolute" from="8551,4458" to="8551,4458" stroked="true" strokeweight=".5pt" strokecolor="#929292"/>
            <v:shape style="position:absolute;left:853;top:289;width:7704;height:4175" type="#_x0000_t202" filled="false" stroked="false">
              <v:textbox inset="0,0,0,0">
                <w:txbxContent>
                  <w:p>
                    <w:pPr>
                      <w:tabs>
                        <w:tab w:pos="644" w:val="left" w:leader="none"/>
                        <w:tab w:pos="2103" w:val="left" w:leader="none"/>
                        <w:tab w:pos="2928" w:val="left" w:leader="none"/>
                        <w:tab w:pos="4286" w:val="left" w:leader="none"/>
                        <w:tab w:pos="6554" w:val="left" w:leader="none"/>
                        <w:tab w:pos="7683" w:val="left" w:leader="none"/>
                      </w:tabs>
                      <w:spacing w:line="170" w:lineRule="exact" w:before="0"/>
                      <w:ind w:left="35" w:right="0" w:firstLine="0"/>
                      <w:jc w:val="left"/>
                      <w:rPr>
                        <w:sz w:val="16"/>
                      </w:rPr>
                    </w:pPr>
                    <w:r>
                      <w:rPr>
                        <w:w w:val="100"/>
                        <w:sz w:val="16"/>
                        <w:u w:val="dotted" w:color="929292"/>
                      </w:rPr>
                      <w:t> </w:t>
                    </w:r>
                    <w:r>
                      <w:rPr>
                        <w:sz w:val="16"/>
                        <w:u w:val="dotted" w:color="929292"/>
                      </w:rPr>
                      <w:tab/>
                    </w:r>
                    <w:r>
                      <w:rPr>
                        <w:w w:val="105"/>
                        <w:sz w:val="16"/>
                        <w:u w:val="dotted" w:color="929292"/>
                      </w:rPr>
                      <w:t>Delegación</w:t>
                      <w:tab/>
                    </w:r>
                    <w:r>
                      <w:rPr>
                        <w:w w:val="105"/>
                        <w:sz w:val="16"/>
                        <w:u w:val="dotted" w:color="929292"/>
                      </w:rPr>
                      <w:t> </w:t>
                      <w:tab/>
                      <w:t>Colonia</w:t>
                      <w:tab/>
                    </w:r>
                    <w:r>
                      <w:rPr>
                        <w:w w:val="105"/>
                        <w:sz w:val="16"/>
                        <w:u w:val="dotted" w:color="929292"/>
                      </w:rPr>
                      <w:t>Viviendas         </w:t>
                    </w:r>
                    <w:r>
                      <w:rPr>
                        <w:w w:val="105"/>
                        <w:sz w:val="16"/>
                        <w:u w:val="dotted" w:color="929292"/>
                      </w:rPr>
                      <w:t>Negocios</w:t>
                      <w:tab/>
                    </w:r>
                    <w:r>
                      <w:rPr>
                        <w:w w:val="105"/>
                        <w:sz w:val="16"/>
                        <w:u w:val="dotted" w:color="929292"/>
                      </w:rPr>
                      <w:t>Servicios</w:t>
                    </w:r>
                    <w:r>
                      <w:rPr>
                        <w:sz w:val="16"/>
                        <w:u w:val="dotted" w:color="929292"/>
                      </w:rPr>
                      <w:tab/>
                    </w:r>
                  </w:p>
                  <w:p>
                    <w:pPr>
                      <w:tabs>
                        <w:tab w:pos="2148" w:val="left" w:leader="none"/>
                        <w:tab w:pos="4286" w:val="left" w:leader="none"/>
                        <w:tab w:pos="5420" w:val="left" w:leader="none"/>
                        <w:tab w:pos="6554" w:val="left" w:leader="none"/>
                        <w:tab w:pos="7683" w:val="left" w:leader="none"/>
                      </w:tabs>
                      <w:spacing w:line="171" w:lineRule="exact" w:before="0"/>
                      <w:ind w:left="107" w:right="0" w:firstLine="0"/>
                      <w:jc w:val="left"/>
                      <w:rPr>
                        <w:sz w:val="16"/>
                      </w:rPr>
                    </w:pPr>
                    <w:r>
                      <w:rPr>
                        <w:sz w:val="16"/>
                      </w:rPr>
                      <w:t>Santa</w:t>
                    </w:r>
                    <w:r>
                      <w:rPr>
                        <w:spacing w:val="-1"/>
                        <w:sz w:val="16"/>
                      </w:rPr>
                      <w:t> </w:t>
                    </w:r>
                    <w:r>
                      <w:rPr>
                        <w:sz w:val="16"/>
                      </w:rPr>
                      <w:t>Ana</w:t>
                    </w:r>
                    <w:r>
                      <w:rPr>
                        <w:spacing w:val="-1"/>
                        <w:sz w:val="16"/>
                      </w:rPr>
                      <w:t> </w:t>
                    </w:r>
                    <w:r>
                      <w:rPr>
                        <w:sz w:val="16"/>
                      </w:rPr>
                      <w:t>Tlapaltitlan</w:t>
                      <w:tab/>
                    </w:r>
                    <w:r>
                      <w:rPr>
                        <w:sz w:val="16"/>
                        <w:u w:val="dotted" w:color="929292"/>
                      </w:rPr>
                      <w:t>Santa</w:t>
                    </w:r>
                    <w:r>
                      <w:rPr>
                        <w:spacing w:val="-1"/>
                        <w:sz w:val="16"/>
                        <w:u w:val="dotted" w:color="929292"/>
                      </w:rPr>
                      <w:t> </w:t>
                    </w:r>
                    <w:r>
                      <w:rPr>
                        <w:sz w:val="16"/>
                        <w:u w:val="dotted" w:color="929292"/>
                      </w:rPr>
                      <w:t>Ana</w:t>
                    </w:r>
                    <w:r>
                      <w:rPr>
                        <w:spacing w:val="-1"/>
                        <w:sz w:val="16"/>
                        <w:u w:val="dotted" w:color="929292"/>
                      </w:rPr>
                      <w:t> </w:t>
                    </w:r>
                    <w:r>
                      <w:rPr>
                        <w:sz w:val="16"/>
                        <w:u w:val="dotted" w:color="929292"/>
                      </w:rPr>
                      <w:t>Tlapaltitlan</w:t>
                      <w:tab/>
                    </w:r>
                    <w:r>
                      <w:rPr>
                        <w:sz w:val="16"/>
                        <w:u w:val="dotted" w:color="929292"/>
                      </w:rPr>
                      <w:t>110</w:t>
                      <w:tab/>
                    </w:r>
                    <w:r>
                      <w:rPr>
                        <w:sz w:val="16"/>
                        <w:u w:val="dotted" w:color="929292"/>
                      </w:rPr>
                      <w:t>4</w:t>
                      <w:tab/>
                    </w:r>
                    <w:r>
                      <w:rPr>
                        <w:sz w:val="16"/>
                        <w:u w:val="dotted" w:color="929292"/>
                      </w:rPr>
                      <w:t>4</w:t>
                      <w:tab/>
                    </w:r>
                  </w:p>
                  <w:p>
                    <w:pPr>
                      <w:tabs>
                        <w:tab w:pos="2103" w:val="left" w:leader="none"/>
                        <w:tab w:pos="4286" w:val="left" w:leader="none"/>
                        <w:tab w:pos="5420" w:val="left" w:leader="none"/>
                        <w:tab w:pos="6554" w:val="left" w:leader="none"/>
                        <w:tab w:pos="7683" w:val="left" w:leader="none"/>
                      </w:tabs>
                      <w:spacing w:line="171" w:lineRule="exact" w:before="0"/>
                      <w:ind w:left="35" w:right="0" w:firstLine="0"/>
                      <w:jc w:val="left"/>
                      <w:rPr>
                        <w:sz w:val="16"/>
                      </w:rPr>
                    </w:pPr>
                    <w:r>
                      <w:rPr>
                        <w:w w:val="100"/>
                        <w:sz w:val="16"/>
                        <w:u w:val="dotted" w:color="929292"/>
                      </w:rPr>
                      <w:t> </w:t>
                    </w:r>
                    <w:r>
                      <w:rPr>
                        <w:sz w:val="16"/>
                        <w:u w:val="dotted" w:color="929292"/>
                      </w:rPr>
                      <w:tab/>
                    </w:r>
                    <w:r>
                      <w:rPr>
                        <w:sz w:val="16"/>
                      </w:rPr>
                      <w:t> </w:t>
                    </w:r>
                    <w:r>
                      <w:rPr>
                        <w:w w:val="100"/>
                        <w:sz w:val="16"/>
                        <w:u w:val="dotted" w:color="929292"/>
                      </w:rPr>
                      <w:t> </w:t>
                    </w:r>
                    <w:r>
                      <w:rPr>
                        <w:spacing w:val="-11"/>
                        <w:sz w:val="16"/>
                        <w:u w:val="dotted" w:color="929292"/>
                      </w:rPr>
                      <w:t> </w:t>
                    </w:r>
                    <w:r>
                      <w:rPr>
                        <w:sz w:val="16"/>
                        <w:u w:val="dotted" w:color="929292"/>
                      </w:rPr>
                      <w:t>Santa</w:t>
                    </w:r>
                    <w:r>
                      <w:rPr>
                        <w:spacing w:val="-1"/>
                        <w:sz w:val="16"/>
                        <w:u w:val="dotted" w:color="929292"/>
                      </w:rPr>
                      <w:t> </w:t>
                    </w:r>
                    <w:r>
                      <w:rPr>
                        <w:sz w:val="16"/>
                        <w:u w:val="dotted" w:color="929292"/>
                      </w:rPr>
                      <w:t>Ana</w:t>
                    </w:r>
                    <w:r>
                      <w:rPr>
                        <w:spacing w:val="-1"/>
                        <w:sz w:val="16"/>
                        <w:u w:val="dotted" w:color="929292"/>
                      </w:rPr>
                      <w:t> </w:t>
                    </w:r>
                    <w:r>
                      <w:rPr>
                        <w:sz w:val="16"/>
                        <w:u w:val="dotted" w:color="929292"/>
                      </w:rPr>
                      <w:t>Tlapaltitlan</w:t>
                      <w:tab/>
                    </w:r>
                    <w:r>
                      <w:rPr>
                        <w:sz w:val="16"/>
                        <w:u w:val="dotted" w:color="929292"/>
                      </w:rPr>
                      <w:t>6</w:t>
                      <w:tab/>
                    </w:r>
                    <w:r>
                      <w:rPr>
                        <w:sz w:val="16"/>
                        <w:u w:val="dotted" w:color="929292"/>
                      </w:rPr>
                      <w:t>6</w:t>
                      <w:tab/>
                    </w:r>
                    <w:r>
                      <w:rPr>
                        <w:sz w:val="16"/>
                        <w:u w:val="dotted" w:color="929292"/>
                      </w:rPr>
                      <w:t>2</w:t>
                      <w:tab/>
                    </w:r>
                  </w:p>
                  <w:p>
                    <w:pPr>
                      <w:tabs>
                        <w:tab w:pos="2103" w:val="left" w:leader="none"/>
                        <w:tab w:pos="2148" w:val="left" w:leader="none"/>
                        <w:tab w:pos="4286" w:val="left" w:leader="none"/>
                        <w:tab w:pos="5420" w:val="left" w:leader="none"/>
                        <w:tab w:pos="6554" w:val="left" w:leader="none"/>
                        <w:tab w:pos="7683" w:val="left" w:leader="none"/>
                      </w:tabs>
                      <w:spacing w:line="170" w:lineRule="exact" w:before="7"/>
                      <w:ind w:left="108" w:right="17" w:hanging="74"/>
                      <w:jc w:val="left"/>
                      <w:rPr>
                        <w:sz w:val="16"/>
                      </w:rPr>
                    </w:pPr>
                    <w:r>
                      <w:rPr>
                        <w:w w:val="100"/>
                        <w:sz w:val="16"/>
                        <w:u w:val="dotted" w:color="929292"/>
                      </w:rPr>
                      <w:t> </w:t>
                    </w:r>
                    <w:r>
                      <w:rPr>
                        <w:spacing w:val="-16"/>
                        <w:sz w:val="16"/>
                        <w:u w:val="dotted" w:color="929292"/>
                      </w:rPr>
                      <w:t> </w:t>
                    </w:r>
                    <w:r>
                      <w:rPr>
                        <w:sz w:val="16"/>
                        <w:u w:val="dotted" w:color="929292"/>
                      </w:rPr>
                      <w:t>Árbol de las manitas</w:t>
                      <w:tab/>
                      <w:tab/>
                    </w:r>
                    <w:r>
                      <w:rPr>
                        <w:sz w:val="16"/>
                        <w:u w:val="dotted" w:color="929292"/>
                      </w:rPr>
                      <w:t>Colonia Los Ángeles</w:t>
                      <w:tab/>
                    </w:r>
                    <w:r>
                      <w:rPr>
                        <w:sz w:val="16"/>
                        <w:u w:val="dotted" w:color="929292"/>
                      </w:rPr>
                      <w:t>36</w:t>
                      <w:tab/>
                    </w:r>
                    <w:r>
                      <w:rPr>
                        <w:sz w:val="16"/>
                        <w:u w:val="dotted" w:color="929292"/>
                      </w:rPr>
                      <w:t>2</w:t>
                      <w:tab/>
                    </w:r>
                    <w:r>
                      <w:rPr>
                        <w:sz w:val="16"/>
                        <w:u w:val="dotted" w:color="929292"/>
                      </w:rPr>
                      <w:t>0</w:t>
                      <w:tab/>
                    </w:r>
                    <w:r>
                      <w:rPr>
                        <w:sz w:val="16"/>
                      </w:rPr>
                      <w:t> Centro histórico</w:t>
                      <w:tab/>
                      <w:tab/>
                    </w:r>
                    <w:r>
                      <w:rPr>
                        <w:sz w:val="16"/>
                        <w:u w:val="dotted" w:color="929292"/>
                      </w:rPr>
                      <w:t>Colonia Las Américas</w:t>
                      <w:tab/>
                    </w:r>
                    <w:r>
                      <w:rPr>
                        <w:sz w:val="16"/>
                        <w:u w:val="dotted" w:color="929292"/>
                      </w:rPr>
                      <w:t>47</w:t>
                      <w:tab/>
                    </w:r>
                    <w:r>
                      <w:rPr>
                        <w:sz w:val="16"/>
                        <w:u w:val="dotted" w:color="929292"/>
                      </w:rPr>
                      <w:t>3</w:t>
                      <w:tab/>
                    </w:r>
                    <w:r>
                      <w:rPr>
                        <w:sz w:val="16"/>
                        <w:u w:val="dotted" w:color="929292"/>
                      </w:rPr>
                      <w:t>1</w:t>
                      <w:tab/>
                    </w:r>
                  </w:p>
                  <w:p>
                    <w:pPr>
                      <w:tabs>
                        <w:tab w:pos="2103" w:val="left" w:leader="none"/>
                        <w:tab w:pos="4286" w:val="left" w:leader="none"/>
                        <w:tab w:pos="5420" w:val="left" w:leader="none"/>
                        <w:tab w:pos="6554" w:val="left" w:leader="none"/>
                        <w:tab w:pos="7683" w:val="left" w:leader="none"/>
                      </w:tabs>
                      <w:spacing w:line="164" w:lineRule="exact" w:before="0"/>
                      <w:ind w:left="35" w:right="0" w:firstLine="0"/>
                      <w:jc w:val="left"/>
                      <w:rPr>
                        <w:sz w:val="16"/>
                      </w:rPr>
                    </w:pPr>
                    <w:r>
                      <w:rPr>
                        <w:w w:val="100"/>
                        <w:sz w:val="16"/>
                        <w:u w:val="dotted" w:color="929292"/>
                      </w:rPr>
                      <w:t> </w:t>
                    </w:r>
                    <w:r>
                      <w:rPr>
                        <w:sz w:val="16"/>
                        <w:u w:val="dotted" w:color="929292"/>
                      </w:rPr>
                      <w:tab/>
                    </w:r>
                    <w:r>
                      <w:rPr>
                        <w:sz w:val="16"/>
                      </w:rPr>
                      <w:t> </w:t>
                    </w:r>
                    <w:r>
                      <w:rPr>
                        <w:w w:val="100"/>
                        <w:sz w:val="16"/>
                        <w:u w:val="dotted" w:color="929292"/>
                      </w:rPr>
                      <w:t> </w:t>
                    </w:r>
                    <w:r>
                      <w:rPr>
                        <w:spacing w:val="-10"/>
                        <w:sz w:val="16"/>
                        <w:u w:val="dotted" w:color="929292"/>
                      </w:rPr>
                      <w:t> </w:t>
                    </w:r>
                    <w:r>
                      <w:rPr>
                        <w:sz w:val="16"/>
                        <w:u w:val="dotted" w:color="929292"/>
                      </w:rPr>
                      <w:t>Colonia. Morelos</w:t>
                      <w:tab/>
                    </w:r>
                    <w:r>
                      <w:rPr>
                        <w:sz w:val="16"/>
                        <w:u w:val="dotted" w:color="929292"/>
                      </w:rPr>
                      <w:t>105</w:t>
                      <w:tab/>
                    </w:r>
                    <w:r>
                      <w:rPr>
                        <w:sz w:val="16"/>
                        <w:u w:val="dotted" w:color="929292"/>
                      </w:rPr>
                      <w:t>4</w:t>
                      <w:tab/>
                    </w:r>
                    <w:r>
                      <w:rPr>
                        <w:sz w:val="16"/>
                        <w:u w:val="dotted" w:color="929292"/>
                      </w:rPr>
                      <w:t>3</w:t>
                      <w:tab/>
                    </w:r>
                  </w:p>
                  <w:p>
                    <w:pPr>
                      <w:tabs>
                        <w:tab w:pos="2103" w:val="left" w:leader="none"/>
                        <w:tab w:pos="4286" w:val="left" w:leader="none"/>
                        <w:tab w:pos="5420" w:val="left" w:leader="none"/>
                        <w:tab w:pos="6554" w:val="left" w:leader="none"/>
                        <w:tab w:pos="7683" w:val="left" w:leader="none"/>
                      </w:tabs>
                      <w:spacing w:line="171" w:lineRule="exact" w:before="0"/>
                      <w:ind w:left="35" w:right="0" w:firstLine="0"/>
                      <w:jc w:val="left"/>
                      <w:rPr>
                        <w:sz w:val="16"/>
                      </w:rPr>
                    </w:pPr>
                    <w:r>
                      <w:rPr>
                        <w:w w:val="100"/>
                        <w:sz w:val="16"/>
                        <w:u w:val="dotted" w:color="929292"/>
                      </w:rPr>
                      <w:t> </w:t>
                    </w:r>
                    <w:r>
                      <w:rPr>
                        <w:spacing w:val="-15"/>
                        <w:sz w:val="16"/>
                        <w:u w:val="dotted" w:color="929292"/>
                      </w:rPr>
                      <w:t> </w:t>
                    </w:r>
                    <w:r>
                      <w:rPr>
                        <w:sz w:val="16"/>
                        <w:u w:val="dotted" w:color="929292"/>
                      </w:rPr>
                      <w:t>Ciudad</w:t>
                    </w:r>
                    <w:r>
                      <w:rPr>
                        <w:spacing w:val="-1"/>
                        <w:sz w:val="16"/>
                        <w:u w:val="dotted" w:color="929292"/>
                      </w:rPr>
                      <w:t> </w:t>
                    </w:r>
                    <w:r>
                      <w:rPr>
                        <w:sz w:val="16"/>
                        <w:u w:val="dotted" w:color="929292"/>
                      </w:rPr>
                      <w:t>universitaria</w:t>
                      <w:tab/>
                    </w:r>
                    <w:r>
                      <w:rPr>
                        <w:sz w:val="16"/>
                        <w:u w:val="dotted" w:color="929292"/>
                      </w:rPr>
                      <w:t>Colonia</w:t>
                    </w:r>
                    <w:r>
                      <w:rPr>
                        <w:spacing w:val="-1"/>
                        <w:sz w:val="16"/>
                        <w:u w:val="dotted" w:color="929292"/>
                      </w:rPr>
                      <w:t> </w:t>
                    </w:r>
                    <w:r>
                      <w:rPr>
                        <w:sz w:val="16"/>
                        <w:u w:val="dotted" w:color="929292"/>
                      </w:rPr>
                      <w:t>Vicente</w:t>
                    </w:r>
                    <w:r>
                      <w:rPr>
                        <w:spacing w:val="-1"/>
                        <w:sz w:val="16"/>
                        <w:u w:val="dotted" w:color="929292"/>
                      </w:rPr>
                      <w:t> </w:t>
                    </w:r>
                    <w:r>
                      <w:rPr>
                        <w:sz w:val="16"/>
                        <w:u w:val="dotted" w:color="929292"/>
                      </w:rPr>
                      <w:t>Guerrero</w:t>
                      <w:tab/>
                    </w:r>
                    <w:r>
                      <w:rPr>
                        <w:sz w:val="16"/>
                        <w:u w:val="dotted" w:color="929292"/>
                      </w:rPr>
                      <w:t>255</w:t>
                      <w:tab/>
                    </w:r>
                    <w:r>
                      <w:rPr>
                        <w:sz w:val="16"/>
                        <w:u w:val="dotted" w:color="929292"/>
                      </w:rPr>
                      <w:t>0</w:t>
                      <w:tab/>
                    </w:r>
                    <w:r>
                      <w:rPr>
                        <w:sz w:val="16"/>
                        <w:u w:val="dotted" w:color="929292"/>
                      </w:rPr>
                      <w:t>2</w:t>
                      <w:tab/>
                    </w:r>
                  </w:p>
                  <w:p>
                    <w:pPr>
                      <w:tabs>
                        <w:tab w:pos="2103" w:val="left" w:leader="none"/>
                        <w:tab w:pos="4286" w:val="left" w:leader="none"/>
                        <w:tab w:pos="5420" w:val="left" w:leader="none"/>
                        <w:tab w:pos="6554" w:val="left" w:leader="none"/>
                        <w:tab w:pos="7683" w:val="left" w:leader="none"/>
                      </w:tabs>
                      <w:spacing w:line="171" w:lineRule="exact" w:before="0"/>
                      <w:ind w:left="35" w:right="0" w:firstLine="0"/>
                      <w:jc w:val="left"/>
                      <w:rPr>
                        <w:sz w:val="16"/>
                      </w:rPr>
                    </w:pPr>
                    <w:r>
                      <w:rPr>
                        <w:w w:val="100"/>
                        <w:sz w:val="16"/>
                        <w:u w:val="dotted" w:color="929292"/>
                      </w:rPr>
                      <w:t> </w:t>
                    </w:r>
                    <w:r>
                      <w:rPr>
                        <w:spacing w:val="-15"/>
                        <w:sz w:val="16"/>
                        <w:u w:val="dotted" w:color="929292"/>
                      </w:rPr>
                      <w:t> </w:t>
                    </w:r>
                    <w:r>
                      <w:rPr>
                        <w:sz w:val="16"/>
                        <w:u w:val="dotted" w:color="929292"/>
                      </w:rPr>
                      <w:t>Colon</w:t>
                      <w:tab/>
                    </w:r>
                    <w:r>
                      <w:rPr>
                        <w:sz w:val="16"/>
                        <w:u w:val="dotted" w:color="929292"/>
                      </w:rPr>
                      <w:t>Colonia Morelos</w:t>
                      <w:tab/>
                    </w:r>
                    <w:r>
                      <w:rPr>
                        <w:sz w:val="16"/>
                        <w:u w:val="dotted" w:color="929292"/>
                      </w:rPr>
                      <w:t>164</w:t>
                      <w:tab/>
                    </w:r>
                    <w:r>
                      <w:rPr>
                        <w:sz w:val="16"/>
                        <w:u w:val="dotted" w:color="929292"/>
                      </w:rPr>
                      <w:t>11</w:t>
                      <w:tab/>
                    </w:r>
                    <w:r>
                      <w:rPr>
                        <w:sz w:val="16"/>
                        <w:u w:val="dotted" w:color="929292"/>
                      </w:rPr>
                      <w:t>3</w:t>
                      <w:tab/>
                    </w:r>
                  </w:p>
                  <w:p>
                    <w:pPr>
                      <w:tabs>
                        <w:tab w:pos="2103" w:val="left" w:leader="none"/>
                        <w:tab w:pos="4286" w:val="left" w:leader="none"/>
                        <w:tab w:pos="5420" w:val="left" w:leader="none"/>
                        <w:tab w:pos="6554" w:val="left" w:leader="none"/>
                        <w:tab w:pos="7683" w:val="left" w:leader="none"/>
                      </w:tabs>
                      <w:spacing w:line="171" w:lineRule="exact" w:before="0"/>
                      <w:ind w:left="35" w:right="0" w:firstLine="0"/>
                      <w:jc w:val="left"/>
                      <w:rPr>
                        <w:sz w:val="16"/>
                      </w:rPr>
                    </w:pPr>
                    <w:r>
                      <w:rPr>
                        <w:w w:val="100"/>
                        <w:sz w:val="16"/>
                        <w:u w:val="dotted" w:color="929292"/>
                      </w:rPr>
                      <w:t> </w:t>
                    </w:r>
                    <w:r>
                      <w:rPr>
                        <w:spacing w:val="-15"/>
                        <w:sz w:val="16"/>
                        <w:u w:val="dotted" w:color="929292"/>
                      </w:rPr>
                      <w:t> </w:t>
                    </w:r>
                    <w:r>
                      <w:rPr>
                        <w:sz w:val="16"/>
                        <w:u w:val="dotted" w:color="929292"/>
                      </w:rPr>
                      <w:t>Morelos</w:t>
                      <w:tab/>
                    </w:r>
                    <w:r>
                      <w:rPr>
                        <w:sz w:val="16"/>
                        <w:u w:val="dotted" w:color="929292"/>
                      </w:rPr>
                      <w:t>Colonia Morelos</w:t>
                      <w:tab/>
                    </w:r>
                    <w:r>
                      <w:rPr>
                        <w:sz w:val="16"/>
                        <w:u w:val="dotted" w:color="929292"/>
                      </w:rPr>
                      <w:t>104</w:t>
                      <w:tab/>
                    </w:r>
                    <w:r>
                      <w:rPr>
                        <w:sz w:val="16"/>
                        <w:u w:val="dotted" w:color="929292"/>
                      </w:rPr>
                      <w:t>11</w:t>
                      <w:tab/>
                    </w:r>
                    <w:r>
                      <w:rPr>
                        <w:sz w:val="16"/>
                        <w:u w:val="dotted" w:color="929292"/>
                      </w:rPr>
                      <w:t>3</w:t>
                      <w:tab/>
                    </w:r>
                  </w:p>
                  <w:p>
                    <w:pPr>
                      <w:tabs>
                        <w:tab w:pos="2148" w:val="left" w:leader="none"/>
                        <w:tab w:pos="4286" w:val="left" w:leader="none"/>
                        <w:tab w:pos="5420" w:val="left" w:leader="none"/>
                        <w:tab w:pos="6554" w:val="left" w:leader="none"/>
                        <w:tab w:pos="7683" w:val="left" w:leader="none"/>
                      </w:tabs>
                      <w:spacing w:line="170" w:lineRule="exact" w:before="7"/>
                      <w:ind w:left="110" w:right="17" w:hanging="76"/>
                      <w:jc w:val="left"/>
                      <w:rPr>
                        <w:sz w:val="16"/>
                      </w:rPr>
                    </w:pPr>
                    <w:r>
                      <w:rPr>
                        <w:w w:val="100"/>
                        <w:sz w:val="16"/>
                        <w:u w:val="dotted" w:color="929292"/>
                      </w:rPr>
                      <w:t> </w:t>
                    </w:r>
                    <w:r>
                      <w:rPr>
                        <w:spacing w:val="-14"/>
                        <w:sz w:val="16"/>
                        <w:u w:val="dotted" w:color="929292"/>
                      </w:rPr>
                      <w:t> </w:t>
                    </w:r>
                    <w:r>
                      <w:rPr>
                        <w:sz w:val="16"/>
                        <w:u w:val="dotted" w:color="929292"/>
                      </w:rPr>
                      <w:t>San Andrés Cuexcontitlán      </w:t>
                    </w:r>
                    <w:r>
                      <w:rPr>
                        <w:sz w:val="16"/>
                        <w:u w:val="dotted" w:color="929292"/>
                      </w:rPr>
                      <w:t>Barrio</w:t>
                    </w:r>
                    <w:r>
                      <w:rPr>
                        <w:spacing w:val="-10"/>
                        <w:sz w:val="16"/>
                        <w:u w:val="dotted" w:color="929292"/>
                      </w:rPr>
                      <w:t> </w:t>
                    </w:r>
                    <w:r>
                      <w:rPr>
                        <w:sz w:val="16"/>
                        <w:u w:val="dotted" w:color="929292"/>
                      </w:rPr>
                      <w:t>Santa Rosa</w:t>
                      <w:tab/>
                    </w:r>
                    <w:r>
                      <w:rPr>
                        <w:sz w:val="16"/>
                        <w:u w:val="dotted" w:color="929292"/>
                      </w:rPr>
                      <w:t>5</w:t>
                      <w:tab/>
                    </w:r>
                    <w:r>
                      <w:rPr>
                        <w:sz w:val="16"/>
                        <w:u w:val="dotted" w:color="929292"/>
                      </w:rPr>
                      <w:t>0</w:t>
                      <w:tab/>
                    </w:r>
                    <w:r>
                      <w:rPr>
                        <w:sz w:val="16"/>
                        <w:u w:val="dotted" w:color="929292"/>
                      </w:rPr>
                      <w:t>0</w:t>
                      <w:tab/>
                    </w:r>
                    <w:r>
                      <w:rPr>
                        <w:sz w:val="16"/>
                      </w:rPr>
                      <w:t> San Mateo Otzacatipan</w:t>
                      <w:tab/>
                    </w:r>
                    <w:r>
                      <w:rPr>
                        <w:sz w:val="16"/>
                        <w:u w:val="dotted" w:color="929292"/>
                      </w:rPr>
                      <w:t>Mariano Escobedo</w:t>
                      <w:tab/>
                    </w:r>
                    <w:r>
                      <w:rPr>
                        <w:sz w:val="16"/>
                        <w:u w:val="dotted" w:color="929292"/>
                      </w:rPr>
                      <w:t>6</w:t>
                      <w:tab/>
                    </w:r>
                    <w:r>
                      <w:rPr>
                        <w:sz w:val="16"/>
                        <w:u w:val="dotted" w:color="929292"/>
                      </w:rPr>
                      <w:t>2</w:t>
                      <w:tab/>
                    </w:r>
                    <w:r>
                      <w:rPr>
                        <w:sz w:val="16"/>
                        <w:u w:val="dotted" w:color="929292"/>
                      </w:rPr>
                      <w:t>0</w:t>
                      <w:tab/>
                    </w:r>
                  </w:p>
                  <w:p>
                    <w:pPr>
                      <w:tabs>
                        <w:tab w:pos="2103" w:val="left" w:leader="none"/>
                        <w:tab w:pos="4286" w:val="left" w:leader="none"/>
                        <w:tab w:pos="5420" w:val="left" w:leader="none"/>
                        <w:tab w:pos="6554" w:val="left" w:leader="none"/>
                        <w:tab w:pos="7683" w:val="left" w:leader="none"/>
                      </w:tabs>
                      <w:spacing w:line="164" w:lineRule="exact" w:before="0"/>
                      <w:ind w:left="35" w:right="0" w:firstLine="0"/>
                      <w:jc w:val="left"/>
                      <w:rPr>
                        <w:sz w:val="16"/>
                      </w:rPr>
                    </w:pPr>
                    <w:r>
                      <w:rPr>
                        <w:w w:val="100"/>
                        <w:sz w:val="16"/>
                        <w:u w:val="dotted" w:color="929292"/>
                      </w:rPr>
                      <w:t> </w:t>
                    </w:r>
                    <w:r>
                      <w:rPr>
                        <w:sz w:val="16"/>
                        <w:u w:val="dotted" w:color="929292"/>
                      </w:rPr>
                      <w:tab/>
                    </w:r>
                    <w:r>
                      <w:rPr>
                        <w:sz w:val="16"/>
                      </w:rPr>
                      <w:t> </w:t>
                    </w:r>
                    <w:r>
                      <w:rPr>
                        <w:w w:val="100"/>
                        <w:sz w:val="16"/>
                        <w:u w:val="dotted" w:color="929292"/>
                      </w:rPr>
                      <w:t> </w:t>
                    </w:r>
                    <w:r>
                      <w:rPr>
                        <w:spacing w:val="-9"/>
                        <w:sz w:val="16"/>
                        <w:u w:val="dotted" w:color="929292"/>
                      </w:rPr>
                      <w:t> </w:t>
                    </w:r>
                    <w:r>
                      <w:rPr>
                        <w:sz w:val="16"/>
                        <w:u w:val="dotted" w:color="929292"/>
                      </w:rPr>
                      <w:t>San Mateo Oxtotitlán</w:t>
                      <w:tab/>
                    </w:r>
                    <w:r>
                      <w:rPr>
                        <w:sz w:val="16"/>
                        <w:u w:val="dotted" w:color="929292"/>
                      </w:rPr>
                      <w:t>20</w:t>
                      <w:tab/>
                    </w:r>
                    <w:r>
                      <w:rPr>
                        <w:sz w:val="16"/>
                        <w:u w:val="dotted" w:color="929292"/>
                      </w:rPr>
                      <w:t>0</w:t>
                      <w:tab/>
                    </w:r>
                    <w:r>
                      <w:rPr>
                        <w:sz w:val="16"/>
                        <w:u w:val="dotted" w:color="929292"/>
                      </w:rPr>
                      <w:t>0</w:t>
                      <w:tab/>
                    </w:r>
                  </w:p>
                  <w:p>
                    <w:pPr>
                      <w:tabs>
                        <w:tab w:pos="2103" w:val="left" w:leader="none"/>
                        <w:tab w:pos="4286" w:val="left" w:leader="none"/>
                        <w:tab w:pos="5420" w:val="left" w:leader="none"/>
                        <w:tab w:pos="6554" w:val="left" w:leader="none"/>
                        <w:tab w:pos="7683" w:val="left" w:leader="none"/>
                      </w:tabs>
                      <w:spacing w:line="171" w:lineRule="exact" w:before="0"/>
                      <w:ind w:left="35" w:right="0" w:firstLine="0"/>
                      <w:jc w:val="left"/>
                      <w:rPr>
                        <w:sz w:val="16"/>
                      </w:rPr>
                    </w:pPr>
                    <w:r>
                      <w:rPr>
                        <w:w w:val="100"/>
                        <w:sz w:val="16"/>
                        <w:u w:val="dotted" w:color="929292"/>
                      </w:rPr>
                      <w:t> </w:t>
                    </w:r>
                    <w:r>
                      <w:rPr>
                        <w:spacing w:val="-14"/>
                        <w:sz w:val="16"/>
                        <w:u w:val="dotted" w:color="929292"/>
                      </w:rPr>
                      <w:t> </w:t>
                    </w:r>
                    <w:r>
                      <w:rPr>
                        <w:sz w:val="16"/>
                        <w:u w:val="dotted" w:color="929292"/>
                      </w:rPr>
                      <w:t>San Pablo Autopan</w:t>
                      <w:tab/>
                    </w:r>
                    <w:r>
                      <w:rPr>
                        <w:sz w:val="16"/>
                        <w:u w:val="dotted" w:color="929292"/>
                      </w:rPr>
                      <w:t>Cerro del Perico</w:t>
                      <w:tab/>
                    </w:r>
                    <w:r>
                      <w:rPr>
                        <w:sz w:val="16"/>
                        <w:u w:val="dotted" w:color="929292"/>
                      </w:rPr>
                      <w:t>17</w:t>
                      <w:tab/>
                    </w:r>
                    <w:r>
                      <w:rPr>
                        <w:sz w:val="16"/>
                        <w:u w:val="dotted" w:color="929292"/>
                      </w:rPr>
                      <w:t>0</w:t>
                      <w:tab/>
                    </w:r>
                    <w:r>
                      <w:rPr>
                        <w:sz w:val="16"/>
                        <w:u w:val="dotted" w:color="929292"/>
                      </w:rPr>
                      <w:t>0</w:t>
                      <w:tab/>
                    </w:r>
                  </w:p>
                  <w:p>
                    <w:pPr>
                      <w:tabs>
                        <w:tab w:pos="2103" w:val="left" w:leader="none"/>
                        <w:tab w:pos="4286" w:val="left" w:leader="none"/>
                        <w:tab w:pos="5420" w:val="left" w:leader="none"/>
                        <w:tab w:pos="6554" w:val="left" w:leader="none"/>
                        <w:tab w:pos="7683" w:val="left" w:leader="none"/>
                      </w:tabs>
                      <w:spacing w:line="171" w:lineRule="exact" w:before="0"/>
                      <w:ind w:left="35" w:right="0" w:firstLine="0"/>
                      <w:jc w:val="left"/>
                      <w:rPr>
                        <w:sz w:val="16"/>
                      </w:rPr>
                    </w:pPr>
                    <w:r>
                      <w:rPr>
                        <w:w w:val="100"/>
                        <w:sz w:val="16"/>
                        <w:u w:val="dotted" w:color="929292"/>
                      </w:rPr>
                      <w:t> </w:t>
                    </w:r>
                    <w:r>
                      <w:rPr>
                        <w:spacing w:val="-13"/>
                        <w:sz w:val="16"/>
                        <w:u w:val="dotted" w:color="929292"/>
                      </w:rPr>
                      <w:t> </w:t>
                    </w:r>
                    <w:r>
                      <w:rPr>
                        <w:sz w:val="16"/>
                        <w:u w:val="dotted" w:color="929292"/>
                      </w:rPr>
                      <w:t>Sánchez</w:t>
                      <w:tab/>
                    </w:r>
                    <w:r>
                      <w:rPr>
                        <w:sz w:val="16"/>
                        <w:u w:val="dotted" w:color="929292"/>
                      </w:rPr>
                      <w:t>Colonia</w:t>
                    </w:r>
                    <w:r>
                      <w:rPr>
                        <w:spacing w:val="-1"/>
                        <w:sz w:val="16"/>
                        <w:u w:val="dotted" w:color="929292"/>
                      </w:rPr>
                      <w:t> </w:t>
                    </w:r>
                    <w:r>
                      <w:rPr>
                        <w:sz w:val="16"/>
                        <w:u w:val="dotted" w:color="929292"/>
                      </w:rPr>
                      <w:t>Vicente</w:t>
                    </w:r>
                    <w:r>
                      <w:rPr>
                        <w:spacing w:val="-1"/>
                        <w:sz w:val="16"/>
                        <w:u w:val="dotted" w:color="929292"/>
                      </w:rPr>
                      <w:t> </w:t>
                    </w:r>
                    <w:r>
                      <w:rPr>
                        <w:sz w:val="16"/>
                        <w:u w:val="dotted" w:color="929292"/>
                      </w:rPr>
                      <w:t>Guerrero</w:t>
                      <w:tab/>
                    </w:r>
                    <w:r>
                      <w:rPr>
                        <w:sz w:val="16"/>
                        <w:u w:val="dotted" w:color="929292"/>
                      </w:rPr>
                      <w:t>255</w:t>
                      <w:tab/>
                    </w:r>
                    <w:r>
                      <w:rPr>
                        <w:sz w:val="16"/>
                        <w:u w:val="dotted" w:color="929292"/>
                      </w:rPr>
                      <w:t>0</w:t>
                      <w:tab/>
                    </w:r>
                    <w:r>
                      <w:rPr>
                        <w:sz w:val="16"/>
                        <w:u w:val="dotted" w:color="929292"/>
                      </w:rPr>
                      <w:t>2</w:t>
                      <w:tab/>
                    </w:r>
                  </w:p>
                  <w:p>
                    <w:pPr>
                      <w:tabs>
                        <w:tab w:pos="2103" w:val="left" w:leader="none"/>
                        <w:tab w:pos="4286" w:val="left" w:leader="none"/>
                        <w:tab w:pos="5420" w:val="left" w:leader="none"/>
                        <w:tab w:pos="6554" w:val="left" w:leader="none"/>
                        <w:tab w:pos="7683" w:val="left" w:leader="none"/>
                      </w:tabs>
                      <w:spacing w:line="171" w:lineRule="exact" w:before="0"/>
                      <w:ind w:left="35" w:right="0" w:firstLine="0"/>
                      <w:jc w:val="left"/>
                      <w:rPr>
                        <w:sz w:val="16"/>
                      </w:rPr>
                    </w:pPr>
                    <w:r>
                      <w:rPr>
                        <w:w w:val="100"/>
                        <w:sz w:val="16"/>
                        <w:u w:val="dotted" w:color="929292"/>
                      </w:rPr>
                      <w:t> </w:t>
                    </w:r>
                    <w:r>
                      <w:rPr>
                        <w:spacing w:val="-13"/>
                        <w:sz w:val="16"/>
                        <w:u w:val="dotted" w:color="929292"/>
                      </w:rPr>
                      <w:t> </w:t>
                    </w:r>
                    <w:r>
                      <w:rPr>
                        <w:sz w:val="16"/>
                        <w:u w:val="dotted" w:color="929292"/>
                      </w:rPr>
                      <w:t>Santiago Miltepec</w:t>
                      <w:tab/>
                    </w:r>
                    <w:r>
                      <w:rPr>
                        <w:sz w:val="16"/>
                        <w:u w:val="dotted" w:color="929292"/>
                      </w:rPr>
                      <w:t>Santiago Miltepec</w:t>
                      <w:tab/>
                    </w:r>
                    <w:r>
                      <w:rPr>
                        <w:sz w:val="16"/>
                        <w:u w:val="dotted" w:color="929292"/>
                      </w:rPr>
                      <w:t>20</w:t>
                      <w:tab/>
                    </w:r>
                    <w:r>
                      <w:rPr>
                        <w:sz w:val="16"/>
                        <w:u w:val="dotted" w:color="929292"/>
                      </w:rPr>
                      <w:t>0</w:t>
                      <w:tab/>
                    </w:r>
                    <w:r>
                      <w:rPr>
                        <w:sz w:val="16"/>
                        <w:u w:val="dotted" w:color="929292"/>
                      </w:rPr>
                      <w:t>0</w:t>
                      <w:tab/>
                    </w:r>
                  </w:p>
                  <w:p>
                    <w:pPr>
                      <w:tabs>
                        <w:tab w:pos="2103" w:val="left" w:leader="none"/>
                        <w:tab w:pos="2148" w:val="left" w:leader="none"/>
                        <w:tab w:pos="4286" w:val="left" w:leader="none"/>
                        <w:tab w:pos="5420" w:val="left" w:leader="none"/>
                        <w:tab w:pos="6554" w:val="left" w:leader="none"/>
                        <w:tab w:pos="7683" w:val="left" w:leader="none"/>
                      </w:tabs>
                      <w:spacing w:line="170" w:lineRule="exact" w:before="7"/>
                      <w:ind w:left="112" w:right="17" w:hanging="78"/>
                      <w:jc w:val="left"/>
                      <w:rPr>
                        <w:sz w:val="16"/>
                      </w:rPr>
                    </w:pPr>
                    <w:r>
                      <w:rPr>
                        <w:w w:val="100"/>
                        <w:sz w:val="16"/>
                        <w:u w:val="dotted" w:color="929292"/>
                      </w:rPr>
                      <w:t> </w:t>
                    </w:r>
                    <w:r>
                      <w:rPr>
                        <w:spacing w:val="-13"/>
                        <w:sz w:val="16"/>
                        <w:u w:val="dotted" w:color="929292"/>
                      </w:rPr>
                      <w:t> </w:t>
                    </w:r>
                    <w:r>
                      <w:rPr>
                        <w:sz w:val="16"/>
                        <w:u w:val="dotted" w:color="929292"/>
                      </w:rPr>
                      <w:t>Seminario</w:t>
                    </w:r>
                    <w:r>
                      <w:rPr>
                        <w:spacing w:val="-1"/>
                        <w:sz w:val="16"/>
                        <w:u w:val="dotted" w:color="929292"/>
                      </w:rPr>
                      <w:t> </w:t>
                    </w:r>
                    <w:r>
                      <w:rPr>
                        <w:sz w:val="16"/>
                        <w:u w:val="dotted" w:color="929292"/>
                      </w:rPr>
                      <w:t>las</w:t>
                    </w:r>
                    <w:r>
                      <w:rPr>
                        <w:spacing w:val="-1"/>
                        <w:sz w:val="16"/>
                        <w:u w:val="dotted" w:color="929292"/>
                      </w:rPr>
                      <w:t> </w:t>
                    </w:r>
                    <w:r>
                      <w:rPr>
                        <w:sz w:val="16"/>
                        <w:u w:val="dotted" w:color="929292"/>
                      </w:rPr>
                      <w:t>Torres</w:t>
                      <w:tab/>
                      <w:tab/>
                    </w:r>
                    <w:r>
                      <w:rPr>
                        <w:sz w:val="16"/>
                        <w:u w:val="dotted" w:color="929292"/>
                      </w:rPr>
                      <w:t>Colonia</w:t>
                    </w:r>
                    <w:r>
                      <w:rPr>
                        <w:spacing w:val="-1"/>
                        <w:sz w:val="16"/>
                        <w:u w:val="dotted" w:color="929292"/>
                      </w:rPr>
                      <w:t> </w:t>
                    </w:r>
                    <w:r>
                      <w:rPr>
                        <w:sz w:val="16"/>
                        <w:u w:val="dotted" w:color="929292"/>
                      </w:rPr>
                      <w:t>Vicente</w:t>
                    </w:r>
                    <w:r>
                      <w:rPr>
                        <w:spacing w:val="-1"/>
                        <w:sz w:val="16"/>
                        <w:u w:val="dotted" w:color="929292"/>
                      </w:rPr>
                      <w:t> </w:t>
                    </w:r>
                    <w:r>
                      <w:rPr>
                        <w:sz w:val="16"/>
                        <w:u w:val="dotted" w:color="929292"/>
                      </w:rPr>
                      <w:t>Guerrero</w:t>
                      <w:tab/>
                    </w:r>
                    <w:r>
                      <w:rPr>
                        <w:sz w:val="16"/>
                        <w:u w:val="dotted" w:color="929292"/>
                      </w:rPr>
                      <w:t>255</w:t>
                      <w:tab/>
                    </w:r>
                    <w:r>
                      <w:rPr>
                        <w:sz w:val="16"/>
                        <w:u w:val="dotted" w:color="929292"/>
                      </w:rPr>
                      <w:t>0</w:t>
                      <w:tab/>
                    </w:r>
                    <w:r>
                      <w:rPr>
                        <w:sz w:val="16"/>
                        <w:u w:val="dotted" w:color="929292"/>
                      </w:rPr>
                      <w:t>2</w:t>
                      <w:tab/>
                    </w:r>
                    <w:r>
                      <w:rPr>
                        <w:sz w:val="16"/>
                      </w:rPr>
                      <w:t> San Pedro Totoltepec</w:t>
                      <w:tab/>
                      <w:tab/>
                    </w:r>
                    <w:r>
                      <w:rPr>
                        <w:sz w:val="16"/>
                        <w:u w:val="dotted" w:color="929292"/>
                      </w:rPr>
                      <w:t>San Pedro Totoltepec</w:t>
                      <w:tab/>
                    </w:r>
                    <w:r>
                      <w:rPr>
                        <w:sz w:val="16"/>
                        <w:u w:val="dotted" w:color="929292"/>
                      </w:rPr>
                      <w:t>45</w:t>
                      <w:tab/>
                    </w:r>
                    <w:r>
                      <w:rPr>
                        <w:sz w:val="16"/>
                        <w:u w:val="dotted" w:color="929292"/>
                      </w:rPr>
                      <w:t>0</w:t>
                      <w:tab/>
                    </w:r>
                    <w:r>
                      <w:rPr>
                        <w:sz w:val="16"/>
                        <w:u w:val="dotted" w:color="929292"/>
                      </w:rPr>
                      <w:t>0</w:t>
                      <w:tab/>
                    </w:r>
                  </w:p>
                  <w:p>
                    <w:pPr>
                      <w:tabs>
                        <w:tab w:pos="2103" w:val="left" w:leader="none"/>
                        <w:tab w:pos="2148" w:val="left" w:leader="none"/>
                        <w:tab w:pos="4286" w:val="left" w:leader="none"/>
                        <w:tab w:pos="5420" w:val="left" w:leader="none"/>
                        <w:tab w:pos="6554" w:val="left" w:leader="none"/>
                        <w:tab w:pos="7683" w:val="left" w:leader="none"/>
                      </w:tabs>
                      <w:spacing w:line="170" w:lineRule="exact" w:before="1"/>
                      <w:ind w:left="112" w:right="17" w:hanging="78"/>
                      <w:jc w:val="left"/>
                      <w:rPr>
                        <w:sz w:val="16"/>
                      </w:rPr>
                    </w:pPr>
                    <w:r>
                      <w:rPr>
                        <w:w w:val="100"/>
                        <w:sz w:val="16"/>
                        <w:u w:val="dotted" w:color="929292"/>
                      </w:rPr>
                      <w:t> </w:t>
                    </w:r>
                    <w:r>
                      <w:rPr>
                        <w:sz w:val="16"/>
                        <w:u w:val="dotted" w:color="929292"/>
                      </w:rPr>
                      <w:tab/>
                      <w:tab/>
                    </w:r>
                    <w:r>
                      <w:rPr>
                        <w:sz w:val="16"/>
                      </w:rPr>
                      <w:t> </w:t>
                    </w:r>
                    <w:r>
                      <w:rPr>
                        <w:w w:val="100"/>
                        <w:sz w:val="16"/>
                        <w:u w:val="dotted" w:color="929292"/>
                      </w:rPr>
                      <w:t> </w:t>
                    </w:r>
                    <w:r>
                      <w:rPr>
                        <w:spacing w:val="-7"/>
                        <w:sz w:val="16"/>
                        <w:u w:val="dotted" w:color="929292"/>
                      </w:rPr>
                      <w:t> </w:t>
                    </w:r>
                    <w:r>
                      <w:rPr>
                        <w:sz w:val="16"/>
                        <w:u w:val="dotted" w:color="929292"/>
                      </w:rPr>
                      <w:t>El Cerrillo</w:t>
                    </w:r>
                    <w:r>
                      <w:rPr>
                        <w:spacing w:val="-1"/>
                        <w:sz w:val="16"/>
                        <w:u w:val="dotted" w:color="929292"/>
                      </w:rPr>
                      <w:t> </w:t>
                    </w:r>
                    <w:r>
                      <w:rPr>
                        <w:sz w:val="16"/>
                        <w:u w:val="dotted" w:color="929292"/>
                      </w:rPr>
                      <w:t>Vista</w:t>
                    </w:r>
                    <w:r>
                      <w:rPr>
                        <w:spacing w:val="-1"/>
                        <w:sz w:val="16"/>
                        <w:u w:val="dotted" w:color="929292"/>
                      </w:rPr>
                      <w:t> </w:t>
                    </w:r>
                    <w:r>
                      <w:rPr>
                        <w:sz w:val="16"/>
                        <w:u w:val="dotted" w:color="929292"/>
                      </w:rPr>
                      <w:t>Hermosa</w:t>
                      <w:tab/>
                    </w:r>
                    <w:r>
                      <w:rPr>
                        <w:sz w:val="16"/>
                        <w:u w:val="dotted" w:color="929292"/>
                      </w:rPr>
                      <w:t>27</w:t>
                      <w:tab/>
                    </w:r>
                    <w:r>
                      <w:rPr>
                        <w:sz w:val="16"/>
                        <w:u w:val="dotted" w:color="929292"/>
                      </w:rPr>
                      <w:t>22</w:t>
                      <w:tab/>
                    </w:r>
                    <w:r>
                      <w:rPr>
                        <w:sz w:val="16"/>
                        <w:u w:val="dotted" w:color="929292"/>
                      </w:rPr>
                      <w:t>0</w:t>
                      <w:tab/>
                    </w:r>
                    <w:r>
                      <w:rPr>
                        <w:sz w:val="16"/>
                      </w:rPr>
                      <w:t> Santa María Totoltepec</w:t>
                      <w:tab/>
                      <w:tab/>
                    </w:r>
                    <w:r>
                      <w:rPr>
                        <w:sz w:val="16"/>
                        <w:u w:val="dotted" w:color="929292"/>
                      </w:rPr>
                      <w:t>Santa María Totoltepec</w:t>
                      <w:tab/>
                    </w:r>
                    <w:r>
                      <w:rPr>
                        <w:sz w:val="16"/>
                        <w:u w:val="dotted" w:color="929292"/>
                      </w:rPr>
                      <w:t>66</w:t>
                      <w:tab/>
                    </w:r>
                    <w:r>
                      <w:rPr>
                        <w:sz w:val="16"/>
                        <w:u w:val="dotted" w:color="929292"/>
                      </w:rPr>
                      <w:t>3</w:t>
                      <w:tab/>
                    </w:r>
                    <w:r>
                      <w:rPr>
                        <w:sz w:val="16"/>
                        <w:u w:val="dotted" w:color="929292"/>
                      </w:rPr>
                      <w:t>0</w:t>
                      <w:tab/>
                    </w:r>
                  </w:p>
                  <w:p>
                    <w:pPr>
                      <w:tabs>
                        <w:tab w:pos="2103" w:val="left" w:leader="none"/>
                        <w:tab w:pos="2231" w:val="left" w:leader="none"/>
                        <w:tab w:pos="4286" w:val="left" w:leader="none"/>
                        <w:tab w:pos="4414" w:val="left" w:leader="none"/>
                        <w:tab w:pos="5420" w:val="left" w:leader="none"/>
                        <w:tab w:pos="5548" w:val="left" w:leader="none"/>
                        <w:tab w:pos="6554" w:val="left" w:leader="none"/>
                        <w:tab w:pos="6771" w:val="right" w:leader="none"/>
                        <w:tab w:pos="7683" w:val="left" w:leader="none"/>
                      </w:tabs>
                      <w:spacing w:line="170" w:lineRule="exact" w:before="1"/>
                      <w:ind w:left="113" w:right="17" w:hanging="78"/>
                      <w:jc w:val="left"/>
                      <w:rPr>
                        <w:sz w:val="16"/>
                      </w:rPr>
                    </w:pPr>
                    <w:r>
                      <w:rPr>
                        <w:w w:val="100"/>
                        <w:sz w:val="16"/>
                        <w:u w:val="dotted" w:color="929292"/>
                      </w:rPr>
                      <w:t> </w:t>
                    </w:r>
                    <w:r>
                      <w:rPr>
                        <w:sz w:val="16"/>
                        <w:u w:val="dotted" w:color="929292"/>
                      </w:rPr>
                      <w:tab/>
                      <w:tab/>
                    </w:r>
                    <w:r>
                      <w:rPr>
                        <w:sz w:val="16"/>
                      </w:rPr>
                      <w:t> </w:t>
                    </w:r>
                    <w:r>
                      <w:rPr>
                        <w:w w:val="100"/>
                        <w:sz w:val="16"/>
                        <w:u w:val="dotted" w:color="929292"/>
                      </w:rPr>
                      <w:t> </w:t>
                    </w:r>
                    <w:r>
                      <w:rPr>
                        <w:spacing w:val="-6"/>
                        <w:sz w:val="16"/>
                        <w:u w:val="dotted" w:color="929292"/>
                      </w:rPr>
                      <w:t> </w:t>
                    </w:r>
                    <w:r>
                      <w:rPr>
                        <w:sz w:val="16"/>
                        <w:u w:val="dotted" w:color="929292"/>
                      </w:rPr>
                      <w:t>El</w:t>
                    </w:r>
                    <w:r>
                      <w:rPr>
                        <w:spacing w:val="1"/>
                        <w:sz w:val="16"/>
                        <w:u w:val="dotted" w:color="929292"/>
                      </w:rPr>
                      <w:t> </w:t>
                    </w:r>
                    <w:r>
                      <w:rPr>
                        <w:sz w:val="16"/>
                        <w:u w:val="dotted" w:color="929292"/>
                      </w:rPr>
                      <w:t>Carmen</w:t>
                    </w:r>
                    <w:r>
                      <w:rPr>
                        <w:spacing w:val="1"/>
                        <w:sz w:val="16"/>
                        <w:u w:val="dotted" w:color="929292"/>
                      </w:rPr>
                      <w:t> </w:t>
                    </w:r>
                    <w:r>
                      <w:rPr>
                        <w:sz w:val="16"/>
                        <w:u w:val="dotted" w:color="929292"/>
                      </w:rPr>
                      <w:t>Totoltepec</w:t>
                      <w:tab/>
                    </w:r>
                    <w:r>
                      <w:rPr>
                        <w:sz w:val="16"/>
                        <w:u w:val="dotted" w:color="929292"/>
                      </w:rPr>
                      <w:t> 1</w:t>
                      <w:tab/>
                    </w:r>
                    <w:r>
                      <w:rPr>
                        <w:sz w:val="16"/>
                        <w:u w:val="dotted" w:color="929292"/>
                      </w:rPr>
                      <w:t> 1</w:t>
                      <w:tab/>
                    </w:r>
                    <w:r>
                      <w:rPr>
                        <w:sz w:val="16"/>
                        <w:u w:val="dotted" w:color="929292"/>
                      </w:rPr>
                      <w:t>0</w:t>
                      <w:tab/>
                    </w:r>
                    <w:r>
                      <w:rPr>
                        <w:sz w:val="16"/>
                      </w:rPr>
                      <w:t> </w:t>
                    </w:r>
                    <w:r>
                      <w:rPr>
                        <w:w w:val="100"/>
                        <w:sz w:val="16"/>
                      </w:rPr>
                      <w:t> </w:t>
                    </w:r>
                    <w:r>
                      <w:rPr>
                        <w:sz w:val="16"/>
                      </w:rPr>
                      <w:t>Universidad</w:t>
                      <w:tab/>
                      <w:tab/>
                      <w:t>Colonia Las Américas</w:t>
                    </w:r>
                    <w:r>
                      <w:rPr>
                        <w:spacing w:val="-1"/>
                        <w:sz w:val="16"/>
                      </w:rPr>
                      <w:t> </w:t>
                    </w:r>
                    <w:r>
                      <w:rPr>
                        <w:sz w:val="16"/>
                      </w:rPr>
                      <w:t>y</w:t>
                    </w:r>
                    <w:r>
                      <w:rPr>
                        <w:spacing w:val="-1"/>
                        <w:sz w:val="16"/>
                      </w:rPr>
                      <w:t> </w:t>
                    </w:r>
                    <w:r>
                      <w:rPr>
                        <w:sz w:val="16"/>
                      </w:rPr>
                      <w:t>5</w:t>
                      <w:tab/>
                      <w:tab/>
                      <w:t>47</w:t>
                      <w:tab/>
                      <w:tab/>
                      <w:t>3</w:t>
                      <w:tab/>
                      <w:tab/>
                      <w:t>1</w:t>
                    </w:r>
                  </w:p>
                  <w:p>
                    <w:pPr>
                      <w:tabs>
                        <w:tab w:pos="2103" w:val="left" w:leader="none"/>
                        <w:tab w:pos="4286" w:val="left" w:leader="none"/>
                        <w:tab w:pos="5420" w:val="left" w:leader="none"/>
                        <w:tab w:pos="6554" w:val="left" w:leader="none"/>
                        <w:tab w:pos="7683" w:val="left" w:leader="none"/>
                      </w:tabs>
                      <w:spacing w:line="177" w:lineRule="exact" w:before="16"/>
                      <w:ind w:left="35" w:right="0" w:firstLine="0"/>
                      <w:jc w:val="left"/>
                      <w:rPr>
                        <w:sz w:val="16"/>
                      </w:rPr>
                    </w:pPr>
                    <w:r>
                      <w:rPr>
                        <w:w w:val="100"/>
                        <w:sz w:val="16"/>
                        <w:u w:val="dotted" w:color="929292"/>
                      </w:rPr>
                      <w:t> </w:t>
                    </w:r>
                    <w:r>
                      <w:rPr>
                        <w:sz w:val="16"/>
                        <w:u w:val="dotted" w:color="929292"/>
                      </w:rPr>
                      <w:tab/>
                    </w:r>
                    <w:r>
                      <w:rPr>
                        <w:sz w:val="16"/>
                      </w:rPr>
                      <w:t> </w:t>
                    </w:r>
                    <w:r>
                      <w:rPr>
                        <w:w w:val="100"/>
                        <w:sz w:val="16"/>
                        <w:u w:val="dotted" w:color="929292"/>
                      </w:rPr>
                      <w:t> </w:t>
                    </w:r>
                    <w:r>
                      <w:rPr>
                        <w:spacing w:val="-6"/>
                        <w:sz w:val="16"/>
                        <w:u w:val="dotted" w:color="929292"/>
                      </w:rPr>
                      <w:t> </w:t>
                    </w:r>
                    <w:r>
                      <w:rPr>
                        <w:sz w:val="16"/>
                        <w:u w:val="dotted" w:color="929292"/>
                      </w:rPr>
                      <w:t>de</w:t>
                    </w:r>
                    <w:r>
                      <w:rPr>
                        <w:spacing w:val="8"/>
                        <w:sz w:val="16"/>
                        <w:u w:val="dotted" w:color="929292"/>
                      </w:rPr>
                      <w:t> </w:t>
                    </w:r>
                    <w:r>
                      <w:rPr>
                        <w:sz w:val="16"/>
                        <w:u w:val="dotted" w:color="929292"/>
                      </w:rPr>
                      <w:t>Mayo</w:t>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tabs>
                        <w:tab w:pos="2103" w:val="left" w:leader="none"/>
                        <w:tab w:pos="2232" w:val="left" w:leader="none"/>
                        <w:tab w:pos="4286" w:val="left" w:leader="none"/>
                        <w:tab w:pos="4415" w:val="left" w:leader="none"/>
                        <w:tab w:pos="5420" w:val="left" w:leader="none"/>
                        <w:tab w:pos="5549" w:val="left" w:leader="none"/>
                        <w:tab w:pos="6554" w:val="left" w:leader="none"/>
                        <w:tab w:pos="6683" w:val="left" w:leader="none"/>
                        <w:tab w:pos="7683" w:val="left" w:leader="none"/>
                      </w:tabs>
                      <w:spacing w:line="170" w:lineRule="exact" w:before="7"/>
                      <w:ind w:left="113" w:right="17" w:hanging="79"/>
                      <w:jc w:val="left"/>
                      <w:rPr>
                        <w:sz w:val="16"/>
                      </w:rPr>
                    </w:pPr>
                    <w:r>
                      <w:rPr>
                        <w:w w:val="100"/>
                        <w:sz w:val="16"/>
                        <w:u w:val="dotted" w:color="929292"/>
                      </w:rPr>
                      <w:t> </w:t>
                    </w:r>
                    <w:r>
                      <w:rPr>
                        <w:spacing w:val="-11"/>
                        <w:sz w:val="16"/>
                        <w:u w:val="dotted" w:color="929292"/>
                      </w:rPr>
                      <w:t> </w:t>
                    </w:r>
                    <w:r>
                      <w:rPr>
                        <w:sz w:val="16"/>
                        <w:u w:val="dotted" w:color="929292"/>
                      </w:rPr>
                      <w:t>Independencia</w:t>
                      <w:tab/>
                    </w:r>
                    <w:r>
                      <w:rPr>
                        <w:sz w:val="16"/>
                        <w:u w:val="dotted" w:color="929292"/>
                      </w:rPr>
                      <w:t> Colonia</w:t>
                    </w:r>
                    <w:r>
                      <w:rPr>
                        <w:spacing w:val="11"/>
                        <w:sz w:val="16"/>
                        <w:u w:val="dotted" w:color="929292"/>
                      </w:rPr>
                      <w:t> </w:t>
                    </w:r>
                    <w:r>
                      <w:rPr>
                        <w:sz w:val="16"/>
                        <w:u w:val="dotted" w:color="929292"/>
                      </w:rPr>
                      <w:t>Independencia</w:t>
                      <w:tab/>
                    </w:r>
                    <w:r>
                      <w:rPr>
                        <w:sz w:val="16"/>
                        <w:u w:val="dotted" w:color="929292"/>
                      </w:rPr>
                      <w:t> 44</w:t>
                      <w:tab/>
                    </w:r>
                    <w:r>
                      <w:rPr>
                        <w:sz w:val="16"/>
                        <w:u w:val="dotted" w:color="929292"/>
                      </w:rPr>
                      <w:t> 0</w:t>
                      <w:tab/>
                    </w:r>
                    <w:r>
                      <w:rPr>
                        <w:sz w:val="16"/>
                        <w:u w:val="dotted" w:color="929292"/>
                      </w:rPr>
                      <w:t> 2</w:t>
                      <w:tab/>
                    </w:r>
                    <w:r>
                      <w:rPr>
                        <w:sz w:val="16"/>
                      </w:rPr>
                      <w:t> La</w:t>
                    </w:r>
                    <w:r>
                      <w:rPr>
                        <w:spacing w:val="2"/>
                        <w:sz w:val="16"/>
                      </w:rPr>
                      <w:t> </w:t>
                    </w:r>
                    <w:r>
                      <w:rPr>
                        <w:sz w:val="16"/>
                      </w:rPr>
                      <w:t>Maquinita</w:t>
                      <w:tab/>
                      <w:tab/>
                      <w:t>Colonia</w:t>
                    </w:r>
                    <w:r>
                      <w:rPr>
                        <w:spacing w:val="-1"/>
                        <w:sz w:val="16"/>
                      </w:rPr>
                      <w:t> </w:t>
                    </w:r>
                    <w:r>
                      <w:rPr>
                        <w:sz w:val="16"/>
                      </w:rPr>
                      <w:t>Los</w:t>
                    </w:r>
                    <w:r>
                      <w:rPr>
                        <w:spacing w:val="-1"/>
                        <w:sz w:val="16"/>
                      </w:rPr>
                      <w:t> </w:t>
                    </w:r>
                    <w:r>
                      <w:rPr>
                        <w:sz w:val="16"/>
                      </w:rPr>
                      <w:t>Ángeles</w:t>
                      <w:tab/>
                      <w:tab/>
                      <w:t>36</w:t>
                      <w:tab/>
                      <w:tab/>
                      <w:t>2</w:t>
                      <w:tab/>
                      <w:tab/>
                      <w:t>0</w:t>
                    </w:r>
                  </w:p>
                </w:txbxContent>
              </v:textbox>
              <w10:wrap type="none"/>
            </v:shape>
            <w10:wrap type="topAndBottom"/>
          </v:group>
        </w:pict>
      </w:r>
      <w:r>
        <w:rPr/>
        <w:pict>
          <v:line style="position:absolute;mso-position-horizontal-relative:page;mso-position-vertical-relative:paragraph;z-index:-648280" from="42.878601pt,22.976322pt" to="42.878601pt,22.976322pt" stroked="true" strokeweight=".5pt" strokecolor="#929292">
            <w10:wrap type="none"/>
          </v:line>
        </w:pict>
      </w:r>
      <w:r>
        <w:rPr/>
        <w:pict>
          <v:line style="position:absolute;mso-position-horizontal-relative:page;mso-position-vertical-relative:paragraph;z-index:-648256" from="427.552795pt,22.976322pt" to="427.552795pt,22.976322pt" stroked="true" strokeweight=".5pt" strokecolor="#929292">
            <w10:wrap type="none"/>
          </v:line>
        </w:pict>
      </w:r>
      <w:r>
        <w:rPr/>
        <w:pict>
          <v:line style="position:absolute;mso-position-horizontal-relative:page;mso-position-vertical-relative:paragraph;z-index:-648232" from="427.552795pt,31.522923pt" to="427.552795pt,31.522923pt" stroked="true" strokeweight=".5pt" strokecolor="#929292">
            <w10:wrap type="none"/>
          </v:line>
        </w:pict>
      </w:r>
      <w:r>
        <w:rPr/>
        <w:pict>
          <v:line style="position:absolute;mso-position-horizontal-relative:page;mso-position-vertical-relative:paragraph;z-index:-648208" from="42.878601pt,40.06942pt" to="42.878601pt,40.06942pt" stroked="true" strokeweight=".5pt" strokecolor="#929292">
            <w10:wrap type="none"/>
          </v:line>
        </w:pict>
      </w:r>
      <w:r>
        <w:rPr/>
        <w:pict>
          <v:line style="position:absolute;mso-position-horizontal-relative:page;mso-position-vertical-relative:paragraph;z-index:-648184" from="427.552795pt,40.06942pt" to="427.552795pt,40.06942pt" stroked="true" strokeweight=".5pt" strokecolor="#929292">
            <w10:wrap type="none"/>
          </v:line>
        </w:pict>
      </w:r>
      <w:r>
        <w:rPr/>
        <w:pict>
          <v:line style="position:absolute;mso-position-horizontal-relative:page;mso-position-vertical-relative:paragraph;z-index:-648160" from="42.878601pt,48.61602pt" to="42.878601pt,48.61602pt" stroked="true" strokeweight=".5pt" strokecolor="#929292">
            <w10:wrap type="none"/>
          </v:line>
        </w:pict>
      </w:r>
      <w:r>
        <w:rPr/>
        <w:pict>
          <v:line style="position:absolute;mso-position-horizontal-relative:page;mso-position-vertical-relative:paragraph;z-index:-648136" from="427.552795pt,48.61602pt" to="427.552795pt,48.61602pt" stroked="true" strokeweight=".5pt" strokecolor="#929292">
            <w10:wrap type="none"/>
          </v:line>
        </w:pict>
      </w:r>
      <w:r>
        <w:rPr/>
        <w:pict>
          <v:line style="position:absolute;mso-position-horizontal-relative:page;mso-position-vertical-relative:paragraph;z-index:-648112" from="427.552795pt,57.162621pt" to="427.552795pt,57.162621pt" stroked="true" strokeweight=".5pt" strokecolor="#929292">
            <w10:wrap type="none"/>
          </v:line>
        </w:pict>
      </w:r>
      <w:r>
        <w:rPr/>
        <w:pict>
          <v:line style="position:absolute;mso-position-horizontal-relative:page;mso-position-vertical-relative:paragraph;z-index:-648088" from="42.878601pt,65.709122pt" to="42.878601pt,65.709122pt" stroked="true" strokeweight=".5pt" strokecolor="#929292">
            <w10:wrap type="none"/>
          </v:line>
        </w:pict>
      </w:r>
      <w:r>
        <w:rPr/>
        <w:pict>
          <v:line style="position:absolute;mso-position-horizontal-relative:page;mso-position-vertical-relative:paragraph;z-index:-648064" from="427.552795pt,65.709122pt" to="427.552795pt,65.709122pt" stroked="true" strokeweight=".5pt" strokecolor="#929292">
            <w10:wrap type="none"/>
          </v:line>
        </w:pict>
      </w:r>
      <w:r>
        <w:rPr/>
        <w:pict>
          <v:line style="position:absolute;mso-position-horizontal-relative:page;mso-position-vertical-relative:paragraph;z-index:-648040" from="42.878601pt,74.255722pt" to="42.878601pt,74.255722pt" stroked="true" strokeweight=".5pt" strokecolor="#929292">
            <w10:wrap type="none"/>
          </v:line>
        </w:pict>
      </w:r>
      <w:r>
        <w:rPr/>
        <w:pict>
          <v:line style="position:absolute;mso-position-horizontal-relative:page;mso-position-vertical-relative:paragraph;z-index:-648016" from="427.552795pt,74.255722pt" to="427.552795pt,74.255722pt" stroked="true" strokeweight=".5pt" strokecolor="#929292">
            <w10:wrap type="none"/>
          </v:line>
        </w:pict>
      </w:r>
      <w:r>
        <w:rPr/>
        <w:pict>
          <v:line style="position:absolute;mso-position-horizontal-relative:page;mso-position-vertical-relative:paragraph;z-index:-647992" from="42.878601pt,82.802223pt" to="42.878601pt,82.802223pt" stroked="true" strokeweight=".5pt" strokecolor="#929292">
            <w10:wrap type="none"/>
          </v:line>
        </w:pict>
      </w:r>
      <w:r>
        <w:rPr/>
        <w:pict>
          <v:line style="position:absolute;mso-position-horizontal-relative:page;mso-position-vertical-relative:paragraph;z-index:-647968" from="427.552795pt,82.802223pt" to="427.552795pt,82.802223pt" stroked="true" strokeweight=".5pt" strokecolor="#929292">
            <w10:wrap type="none"/>
          </v:line>
        </w:pict>
      </w:r>
      <w:r>
        <w:rPr/>
        <w:pict>
          <v:line style="position:absolute;mso-position-horizontal-relative:page;mso-position-vertical-relative:paragraph;z-index:-647944" from="42.878601pt,91.348824pt" to="42.878601pt,91.348824pt" stroked="true" strokeweight=".5pt" strokecolor="#929292">
            <w10:wrap type="none"/>
          </v:line>
        </w:pict>
      </w:r>
      <w:r>
        <w:rPr/>
        <w:pict>
          <v:line style="position:absolute;mso-position-horizontal-relative:page;mso-position-vertical-relative:paragraph;z-index:-647920" from="427.552795pt,91.348824pt" to="427.552795pt,91.348824pt" stroked="true" strokeweight=".5pt" strokecolor="#929292">
            <w10:wrap type="none"/>
          </v:line>
        </w:pict>
      </w:r>
      <w:r>
        <w:rPr/>
        <w:pict>
          <v:line style="position:absolute;mso-position-horizontal-relative:page;mso-position-vertical-relative:paragraph;z-index:-647896" from="42.878601pt,99.895424pt" to="42.878601pt,99.895424pt" stroked="true" strokeweight=".5pt" strokecolor="#929292">
            <w10:wrap type="none"/>
          </v:line>
        </w:pict>
      </w:r>
      <w:r>
        <w:rPr/>
        <w:pict>
          <v:line style="position:absolute;mso-position-horizontal-relative:page;mso-position-vertical-relative:paragraph;z-index:-647872" from="427.552795pt,99.895424pt" to="427.552795pt,99.895424pt" stroked="true" strokeweight=".5pt" strokecolor="#929292">
            <w10:wrap type="none"/>
          </v:line>
        </w:pict>
      </w:r>
      <w:r>
        <w:rPr/>
        <w:pict>
          <v:line style="position:absolute;mso-position-horizontal-relative:page;mso-position-vertical-relative:paragraph;z-index:-647848" from="427.552795pt,108.441925pt" to="427.552795pt,108.441925pt" stroked="true" strokeweight=".5pt" strokecolor="#929292">
            <w10:wrap type="none"/>
          </v:line>
        </w:pict>
      </w:r>
      <w:r>
        <w:rPr/>
        <w:pict>
          <v:shape style="position:absolute;margin-left:514.580688pt;margin-top:3.009722pt;width:383pt;height:426.05pt;mso-position-horizontal-relative:page;mso-position-vertical-relative:paragraph;z-index:5488" type="#_x0000_t202" filled="false" stroked="false">
            <v:textbox inset="0,0,0,0">
              <w:txbxContent>
                <w:tbl>
                  <w:tblPr>
                    <w:tblW w:w="0" w:type="auto"/>
                    <w:jc w:val="left"/>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2084"/>
                    <w:gridCol w:w="2169"/>
                    <w:gridCol w:w="1150"/>
                    <w:gridCol w:w="1050"/>
                    <w:gridCol w:w="1193"/>
                  </w:tblGrid>
                  <w:tr>
                    <w:trPr>
                      <w:trHeight w:val="216" w:hRule="exact"/>
                    </w:trPr>
                    <w:tc>
                      <w:tcPr>
                        <w:tcW w:w="2084" w:type="dxa"/>
                        <w:tcBorders>
                          <w:left w:val="nil"/>
                        </w:tcBorders>
                      </w:tcPr>
                      <w:p>
                        <w:pPr>
                          <w:pStyle w:val="TableParagraph"/>
                          <w:spacing w:line="171" w:lineRule="exact"/>
                          <w:ind w:left="72"/>
                          <w:rPr>
                            <w:sz w:val="16"/>
                          </w:rPr>
                        </w:pPr>
                        <w:r>
                          <w:rPr>
                            <w:sz w:val="16"/>
                          </w:rPr>
                          <w:t>Capultitlán</w:t>
                        </w:r>
                      </w:p>
                    </w:tc>
                    <w:tc>
                      <w:tcPr>
                        <w:tcW w:w="2169" w:type="dxa"/>
                      </w:tcPr>
                      <w:p>
                        <w:pPr>
                          <w:pStyle w:val="TableParagraph"/>
                          <w:spacing w:line="171" w:lineRule="exact"/>
                          <w:ind w:left="103"/>
                          <w:rPr>
                            <w:sz w:val="16"/>
                          </w:rPr>
                        </w:pPr>
                        <w:r>
                          <w:rPr>
                            <w:sz w:val="16"/>
                          </w:rPr>
                          <w:t>Avenida Colón norte</w:t>
                        </w:r>
                      </w:p>
                    </w:tc>
                    <w:tc>
                      <w:tcPr>
                        <w:tcW w:w="1150" w:type="dxa"/>
                      </w:tcPr>
                      <w:p>
                        <w:pPr>
                          <w:pStyle w:val="TableParagraph"/>
                          <w:spacing w:line="171" w:lineRule="exact"/>
                          <w:ind w:left="103"/>
                          <w:rPr>
                            <w:sz w:val="16"/>
                          </w:rPr>
                        </w:pPr>
                        <w:r>
                          <w:rPr>
                            <w:sz w:val="16"/>
                          </w:rPr>
                          <w:t>15</w:t>
                        </w:r>
                      </w:p>
                    </w:tc>
                    <w:tc>
                      <w:tcPr>
                        <w:tcW w:w="1050" w:type="dxa"/>
                      </w:tcPr>
                      <w:p>
                        <w:pPr>
                          <w:pStyle w:val="TableParagraph"/>
                          <w:spacing w:line="171" w:lineRule="exact"/>
                          <w:ind w:left="102"/>
                          <w:rPr>
                            <w:sz w:val="16"/>
                          </w:rPr>
                        </w:pPr>
                        <w:r>
                          <w:rPr>
                            <w:w w:val="99"/>
                            <w:sz w:val="16"/>
                          </w:rPr>
                          <w:t>0</w:t>
                        </w:r>
                      </w:p>
                    </w:tc>
                    <w:tc>
                      <w:tcPr>
                        <w:tcW w:w="1193" w:type="dxa"/>
                        <w:tcBorders>
                          <w:right w:val="nil"/>
                        </w:tcBorders>
                      </w:tcPr>
                      <w:p>
                        <w:pPr>
                          <w:pStyle w:val="TableParagraph"/>
                          <w:spacing w:line="171" w:lineRule="exact"/>
                          <w:ind w:left="102"/>
                          <w:rPr>
                            <w:sz w:val="16"/>
                          </w:rPr>
                        </w:pPr>
                        <w:r>
                          <w:rPr>
                            <w:w w:val="99"/>
                            <w:sz w:val="16"/>
                          </w:rPr>
                          <w:t>1</w:t>
                        </w:r>
                      </w:p>
                    </w:tc>
                  </w:tr>
                  <w:tr>
                    <w:trPr>
                      <w:trHeight w:val="177" w:hRule="exact"/>
                    </w:trPr>
                    <w:tc>
                      <w:tcPr>
                        <w:tcW w:w="2084" w:type="dxa"/>
                        <w:tcBorders>
                          <w:left w:val="nil"/>
                          <w:bottom w:val="nil"/>
                        </w:tcBorders>
                      </w:tcPr>
                      <w:p>
                        <w:pPr>
                          <w:pStyle w:val="TableParagraph"/>
                          <w:tabs>
                            <w:tab w:pos="2068" w:val="left" w:leader="none"/>
                          </w:tabs>
                          <w:spacing w:line="171" w:lineRule="exact"/>
                          <w:rPr>
                            <w:sz w:val="16"/>
                          </w:rPr>
                        </w:pPr>
                        <w:r>
                          <w:rPr>
                            <w:w w:val="100"/>
                            <w:sz w:val="16"/>
                            <w:u w:val="dotted" w:color="929292"/>
                          </w:rPr>
                          <w:t> </w:t>
                        </w:r>
                        <w:r>
                          <w:rPr>
                            <w:spacing w:val="-17"/>
                            <w:sz w:val="16"/>
                            <w:u w:val="dotted" w:color="929292"/>
                          </w:rPr>
                          <w:t> </w:t>
                        </w:r>
                        <w:r>
                          <w:rPr>
                            <w:sz w:val="16"/>
                            <w:u w:val="dotted" w:color="929292"/>
                          </w:rPr>
                          <w:t>Centro</w:t>
                        </w:r>
                        <w:r>
                          <w:rPr>
                            <w:spacing w:val="23"/>
                            <w:sz w:val="16"/>
                            <w:u w:val="dotted" w:color="929292"/>
                          </w:rPr>
                          <w:t> </w:t>
                        </w:r>
                        <w:r>
                          <w:rPr>
                            <w:sz w:val="16"/>
                            <w:u w:val="dotted" w:color="929292"/>
                          </w:rPr>
                          <w:t>histórico</w:t>
                          <w:tab/>
                        </w:r>
                      </w:p>
                    </w:tc>
                    <w:tc>
                      <w:tcPr>
                        <w:tcW w:w="2169" w:type="dxa"/>
                        <w:vMerge w:val="restart"/>
                      </w:tcPr>
                      <w:p>
                        <w:pPr>
                          <w:pStyle w:val="TableParagraph"/>
                          <w:tabs>
                            <w:tab w:pos="2148" w:val="left" w:leader="none"/>
                          </w:tabs>
                          <w:spacing w:line="170" w:lineRule="exact" w:before="1"/>
                          <w:ind w:left="102" w:right="8" w:hanging="78"/>
                          <w:rPr>
                            <w:sz w:val="16"/>
                          </w:rPr>
                        </w:pPr>
                        <w:r>
                          <w:rPr>
                            <w:w w:val="100"/>
                            <w:sz w:val="16"/>
                            <w:u w:val="dotted" w:color="929292"/>
                          </w:rPr>
                          <w:t> </w:t>
                        </w:r>
                        <w:r>
                          <w:rPr>
                            <w:spacing w:val="-12"/>
                            <w:sz w:val="16"/>
                            <w:u w:val="dotted" w:color="929292"/>
                          </w:rPr>
                          <w:t> </w:t>
                        </w:r>
                        <w:r>
                          <w:rPr>
                            <w:sz w:val="16"/>
                            <w:u w:val="dotted" w:color="929292"/>
                          </w:rPr>
                          <w:t>Calle</w:t>
                        </w:r>
                        <w:r>
                          <w:rPr>
                            <w:spacing w:val="-8"/>
                            <w:sz w:val="16"/>
                            <w:u w:val="dotted" w:color="929292"/>
                          </w:rPr>
                          <w:t> </w:t>
                        </w:r>
                        <w:r>
                          <w:rPr>
                            <w:sz w:val="16"/>
                            <w:u w:val="dotted" w:color="929292"/>
                          </w:rPr>
                          <w:t>Riva</w:t>
                        </w:r>
                        <w:r>
                          <w:rPr>
                            <w:spacing w:val="-8"/>
                            <w:sz w:val="16"/>
                            <w:u w:val="dotted" w:color="929292"/>
                          </w:rPr>
                          <w:t> </w:t>
                        </w:r>
                        <w:r>
                          <w:rPr>
                            <w:sz w:val="16"/>
                            <w:u w:val="dotted" w:color="929292"/>
                          </w:rPr>
                          <w:t>Palacio</w:t>
                          <w:tab/>
                        </w:r>
                        <w:r>
                          <w:rPr>
                            <w:sz w:val="16"/>
                          </w:rPr>
                          <w:t> Paseo</w:t>
                        </w:r>
                        <w:r>
                          <w:rPr>
                            <w:spacing w:val="-4"/>
                            <w:sz w:val="16"/>
                          </w:rPr>
                          <w:t> </w:t>
                        </w:r>
                        <w:r>
                          <w:rPr>
                            <w:sz w:val="16"/>
                          </w:rPr>
                          <w:t>Tollocan</w:t>
                        </w:r>
                      </w:p>
                    </w:tc>
                    <w:tc>
                      <w:tcPr>
                        <w:tcW w:w="1150" w:type="dxa"/>
                        <w:tcBorders>
                          <w:bottom w:val="nil"/>
                        </w:tcBorders>
                      </w:tcPr>
                      <w:p>
                        <w:pPr>
                          <w:pStyle w:val="TableParagraph"/>
                          <w:tabs>
                            <w:tab w:pos="1129"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4</w:t>
                          <w:tab/>
                        </w:r>
                      </w:p>
                    </w:tc>
                    <w:tc>
                      <w:tcPr>
                        <w:tcW w:w="1050" w:type="dxa"/>
                        <w:tcBorders>
                          <w:bottom w:val="nil"/>
                        </w:tcBorders>
                      </w:tcPr>
                      <w:p>
                        <w:pPr>
                          <w:pStyle w:val="TableParagraph"/>
                          <w:tabs>
                            <w:tab w:pos="1029"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5</w:t>
                          <w:tab/>
                        </w:r>
                      </w:p>
                    </w:tc>
                    <w:tc>
                      <w:tcPr>
                        <w:tcW w:w="1193" w:type="dxa"/>
                        <w:tcBorders>
                          <w:bottom w:val="nil"/>
                          <w:right w:val="nil"/>
                        </w:tcBorders>
                      </w:tcPr>
                      <w:p>
                        <w:pPr>
                          <w:pStyle w:val="TableParagraph"/>
                          <w:tabs>
                            <w:tab w:pos="118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3</w:t>
                          <w:tab/>
                        </w:r>
                      </w:p>
                    </w:tc>
                  </w:tr>
                  <w:tr>
                    <w:trPr>
                      <w:trHeight w:val="294" w:hRule="exact"/>
                    </w:trPr>
                    <w:tc>
                      <w:tcPr>
                        <w:tcW w:w="2084" w:type="dxa"/>
                        <w:tcBorders>
                          <w:top w:val="nil"/>
                          <w:left w:val="nil"/>
                        </w:tcBorders>
                      </w:tcPr>
                      <w:p>
                        <w:pPr>
                          <w:pStyle w:val="TableParagraph"/>
                          <w:spacing w:line="170" w:lineRule="exact"/>
                          <w:ind w:left="72"/>
                          <w:rPr>
                            <w:sz w:val="16"/>
                          </w:rPr>
                        </w:pPr>
                        <w:r>
                          <w:rPr>
                            <w:sz w:val="16"/>
                          </w:rPr>
                          <w:t>Colón</w:t>
                        </w:r>
                      </w:p>
                    </w:tc>
                    <w:tc>
                      <w:tcPr>
                        <w:tcW w:w="2169" w:type="dxa"/>
                        <w:vMerge/>
                      </w:tcPr>
                      <w:p>
                        <w:pPr/>
                      </w:p>
                    </w:tc>
                    <w:tc>
                      <w:tcPr>
                        <w:tcW w:w="1150" w:type="dxa"/>
                        <w:tcBorders>
                          <w:top w:val="nil"/>
                        </w:tcBorders>
                      </w:tcPr>
                      <w:p>
                        <w:pPr>
                          <w:pStyle w:val="TableParagraph"/>
                          <w:spacing w:line="170" w:lineRule="exact"/>
                          <w:ind w:left="102"/>
                          <w:rPr>
                            <w:sz w:val="16"/>
                          </w:rPr>
                        </w:pPr>
                        <w:r>
                          <w:rPr>
                            <w:w w:val="99"/>
                            <w:sz w:val="16"/>
                          </w:rPr>
                          <w:t>0</w:t>
                        </w:r>
                      </w:p>
                    </w:tc>
                    <w:tc>
                      <w:tcPr>
                        <w:tcW w:w="1050" w:type="dxa"/>
                        <w:tcBorders>
                          <w:top w:val="nil"/>
                        </w:tcBorders>
                      </w:tcPr>
                      <w:p>
                        <w:pPr>
                          <w:pStyle w:val="TableParagraph"/>
                          <w:spacing w:line="170" w:lineRule="exact"/>
                          <w:ind w:left="102"/>
                          <w:rPr>
                            <w:sz w:val="16"/>
                          </w:rPr>
                        </w:pPr>
                        <w:r>
                          <w:rPr>
                            <w:w w:val="99"/>
                            <w:sz w:val="16"/>
                          </w:rPr>
                          <w:t>0</w:t>
                        </w:r>
                      </w:p>
                    </w:tc>
                    <w:tc>
                      <w:tcPr>
                        <w:tcW w:w="1193" w:type="dxa"/>
                        <w:tcBorders>
                          <w:top w:val="nil"/>
                          <w:right w:val="nil"/>
                        </w:tcBorders>
                      </w:tcPr>
                      <w:p>
                        <w:pPr>
                          <w:pStyle w:val="TableParagraph"/>
                          <w:spacing w:line="170" w:lineRule="exact"/>
                          <w:ind w:left="102"/>
                          <w:rPr>
                            <w:sz w:val="16"/>
                          </w:rPr>
                        </w:pPr>
                        <w:r>
                          <w:rPr>
                            <w:w w:val="99"/>
                            <w:sz w:val="16"/>
                          </w:rPr>
                          <w:t>4</w:t>
                        </w:r>
                      </w:p>
                    </w:tc>
                  </w:tr>
                  <w:tr>
                    <w:trPr>
                      <w:trHeight w:val="300" w:hRule="exact"/>
                    </w:trPr>
                    <w:tc>
                      <w:tcPr>
                        <w:tcW w:w="2084" w:type="dxa"/>
                        <w:vMerge w:val="restart"/>
                        <w:tcBorders>
                          <w:left w:val="nil"/>
                        </w:tcBorders>
                      </w:tcPr>
                      <w:p>
                        <w:pPr>
                          <w:pStyle w:val="TableParagraph"/>
                          <w:spacing w:line="171" w:lineRule="exact"/>
                          <w:ind w:left="72"/>
                          <w:rPr>
                            <w:sz w:val="16"/>
                          </w:rPr>
                        </w:pPr>
                        <w:r>
                          <w:rPr>
                            <w:sz w:val="16"/>
                          </w:rPr>
                          <w:t>Del parque</w:t>
                        </w:r>
                      </w:p>
                      <w:p>
                        <w:pPr>
                          <w:pStyle w:val="TableParagraph"/>
                          <w:rPr>
                            <w:sz w:val="16"/>
                          </w:rPr>
                        </w:pPr>
                      </w:p>
                      <w:p>
                        <w:pPr>
                          <w:pStyle w:val="TableParagraph"/>
                          <w:spacing w:before="8"/>
                          <w:rPr>
                            <w:sz w:val="12"/>
                          </w:rPr>
                        </w:pPr>
                      </w:p>
                      <w:p>
                        <w:pPr>
                          <w:pStyle w:val="TableParagraph"/>
                          <w:tabs>
                            <w:tab w:pos="2068" w:val="left" w:leader="none"/>
                          </w:tabs>
                          <w:spacing w:line="170" w:lineRule="exact"/>
                          <w:ind w:left="72" w:right="8" w:hanging="72"/>
                          <w:rPr>
                            <w:sz w:val="16"/>
                          </w:rPr>
                        </w:pPr>
                        <w:r>
                          <w:rPr>
                            <w:w w:val="100"/>
                            <w:sz w:val="16"/>
                            <w:u w:val="dotted" w:color="929292"/>
                          </w:rPr>
                          <w:t> </w:t>
                        </w:r>
                        <w:r>
                          <w:rPr>
                            <w:sz w:val="16"/>
                            <w:u w:val="dotted" w:color="929292"/>
                          </w:rPr>
                          <w:tab/>
                          <w:tab/>
                        </w:r>
                        <w:r>
                          <w:rPr>
                            <w:sz w:val="16"/>
                          </w:rPr>
                          <w:t> </w:t>
                        </w:r>
                        <w:r>
                          <w:rPr>
                            <w:w w:val="98"/>
                            <w:sz w:val="16"/>
                          </w:rPr>
                          <w:t>Felipe</w:t>
                        </w:r>
                        <w:r>
                          <w:rPr>
                            <w:sz w:val="16"/>
                          </w:rPr>
                          <w:t> </w:t>
                        </w:r>
                        <w:r>
                          <w:rPr>
                            <w:w w:val="98"/>
                            <w:sz w:val="16"/>
                          </w:rPr>
                          <w:t>Chávez</w:t>
                        </w:r>
                        <w:r>
                          <w:rPr>
                            <w:sz w:val="16"/>
                          </w:rPr>
                          <w:t> </w:t>
                        </w:r>
                        <w:r>
                          <w:rPr>
                            <w:w w:val="100"/>
                            <w:sz w:val="16"/>
                          </w:rPr>
                          <w:t>Becerril</w:t>
                        </w:r>
                      </w:p>
                    </w:tc>
                    <w:tc>
                      <w:tcPr>
                        <w:tcW w:w="2169" w:type="dxa"/>
                      </w:tcPr>
                      <w:p>
                        <w:pPr>
                          <w:pStyle w:val="TableParagraph"/>
                          <w:spacing w:line="171" w:lineRule="exact"/>
                          <w:ind w:left="102"/>
                          <w:rPr>
                            <w:sz w:val="16"/>
                          </w:rPr>
                        </w:pPr>
                        <w:r>
                          <w:rPr>
                            <w:sz w:val="16"/>
                          </w:rPr>
                          <w:t>Santa María de las Rosas</w:t>
                        </w:r>
                      </w:p>
                    </w:tc>
                    <w:tc>
                      <w:tcPr>
                        <w:tcW w:w="1150" w:type="dxa"/>
                      </w:tcPr>
                      <w:p>
                        <w:pPr>
                          <w:pStyle w:val="TableParagraph"/>
                          <w:spacing w:line="171" w:lineRule="exact"/>
                          <w:ind w:left="102"/>
                          <w:rPr>
                            <w:sz w:val="16"/>
                          </w:rPr>
                        </w:pPr>
                        <w:r>
                          <w:rPr>
                            <w:w w:val="99"/>
                            <w:sz w:val="16"/>
                          </w:rPr>
                          <w:t>2</w:t>
                        </w:r>
                      </w:p>
                    </w:tc>
                    <w:tc>
                      <w:tcPr>
                        <w:tcW w:w="1050" w:type="dxa"/>
                      </w:tcPr>
                      <w:p>
                        <w:pPr>
                          <w:pStyle w:val="TableParagraph"/>
                          <w:spacing w:line="171" w:lineRule="exact"/>
                          <w:ind w:left="102"/>
                          <w:rPr>
                            <w:sz w:val="16"/>
                          </w:rPr>
                        </w:pPr>
                        <w:r>
                          <w:rPr>
                            <w:sz w:val="16"/>
                          </w:rPr>
                          <w:t>12</w:t>
                        </w:r>
                      </w:p>
                    </w:tc>
                    <w:tc>
                      <w:tcPr>
                        <w:tcW w:w="1193" w:type="dxa"/>
                        <w:tcBorders>
                          <w:right w:val="nil"/>
                        </w:tcBorders>
                      </w:tcPr>
                      <w:p>
                        <w:pPr>
                          <w:pStyle w:val="TableParagraph"/>
                          <w:spacing w:line="171" w:lineRule="exact"/>
                          <w:ind w:left="102"/>
                          <w:rPr>
                            <w:sz w:val="16"/>
                          </w:rPr>
                        </w:pPr>
                        <w:r>
                          <w:rPr>
                            <w:w w:val="99"/>
                            <w:sz w:val="16"/>
                          </w:rPr>
                          <w:t>4</w:t>
                        </w:r>
                      </w:p>
                    </w:tc>
                  </w:tr>
                  <w:tr>
                    <w:trPr>
                      <w:trHeight w:val="192" w:hRule="exact"/>
                    </w:trPr>
                    <w:tc>
                      <w:tcPr>
                        <w:tcW w:w="2084" w:type="dxa"/>
                        <w:vMerge/>
                        <w:tcBorders>
                          <w:left w:val="nil"/>
                        </w:tcBorders>
                      </w:tcPr>
                      <w:p>
                        <w:pPr/>
                      </w:p>
                    </w:tc>
                    <w:tc>
                      <w:tcPr>
                        <w:tcW w:w="2169" w:type="dxa"/>
                        <w:vMerge w:val="restart"/>
                      </w:tcPr>
                      <w:p>
                        <w:pPr>
                          <w:pStyle w:val="TableParagraph"/>
                          <w:spacing w:line="171" w:lineRule="exact"/>
                          <w:ind w:left="102"/>
                          <w:rPr>
                            <w:sz w:val="16"/>
                          </w:rPr>
                        </w:pPr>
                        <w:r>
                          <w:rPr>
                            <w:sz w:val="16"/>
                          </w:rPr>
                          <w:t>Colonia Ampliación Lázaro</w:t>
                        </w:r>
                      </w:p>
                      <w:p>
                        <w:pPr>
                          <w:pStyle w:val="TableParagraph"/>
                          <w:tabs>
                            <w:tab w:pos="2148" w:val="left" w:leader="none"/>
                          </w:tabs>
                          <w:spacing w:line="170" w:lineRule="exact" w:before="30"/>
                          <w:ind w:left="102" w:right="8" w:hanging="78"/>
                          <w:rPr>
                            <w:sz w:val="16"/>
                          </w:rPr>
                        </w:pPr>
                        <w:r>
                          <w:rPr>
                            <w:w w:val="100"/>
                            <w:sz w:val="16"/>
                            <w:u w:val="dotted" w:color="929292"/>
                          </w:rPr>
                          <w:t> </w:t>
                        </w:r>
                        <w:r>
                          <w:rPr>
                            <w:spacing w:val="-12"/>
                            <w:sz w:val="16"/>
                            <w:u w:val="dotted" w:color="929292"/>
                          </w:rPr>
                          <w:t> </w:t>
                        </w:r>
                        <w:r>
                          <w:rPr>
                            <w:sz w:val="16"/>
                            <w:u w:val="dotted" w:color="929292"/>
                          </w:rPr>
                          <w:t>Cárdenas</w:t>
                          <w:tab/>
                        </w:r>
                        <w:r>
                          <w:rPr>
                            <w:sz w:val="16"/>
                          </w:rPr>
                          <w:t> Paseo</w:t>
                        </w:r>
                        <w:r>
                          <w:rPr>
                            <w:spacing w:val="-4"/>
                            <w:sz w:val="16"/>
                          </w:rPr>
                          <w:t> </w:t>
                        </w:r>
                        <w:r>
                          <w:rPr>
                            <w:sz w:val="16"/>
                          </w:rPr>
                          <w:t>Tollocan</w:t>
                        </w:r>
                      </w:p>
                    </w:tc>
                    <w:tc>
                      <w:tcPr>
                        <w:tcW w:w="1150" w:type="dxa"/>
                        <w:tcBorders>
                          <w:bottom w:val="nil"/>
                        </w:tcBorders>
                      </w:tcPr>
                      <w:p>
                        <w:pPr>
                          <w:pStyle w:val="TableParagraph"/>
                          <w:spacing w:line="171" w:lineRule="exact"/>
                          <w:ind w:left="102"/>
                          <w:rPr>
                            <w:sz w:val="16"/>
                          </w:rPr>
                        </w:pPr>
                        <w:r>
                          <w:rPr>
                            <w:sz w:val="16"/>
                          </w:rPr>
                          <w:t>37</w:t>
                        </w:r>
                      </w:p>
                    </w:tc>
                    <w:tc>
                      <w:tcPr>
                        <w:tcW w:w="1050" w:type="dxa"/>
                        <w:tcBorders>
                          <w:bottom w:val="nil"/>
                        </w:tcBorders>
                      </w:tcPr>
                      <w:p>
                        <w:pPr>
                          <w:pStyle w:val="TableParagraph"/>
                          <w:spacing w:line="171" w:lineRule="exact"/>
                          <w:ind w:left="102"/>
                          <w:rPr>
                            <w:sz w:val="16"/>
                          </w:rPr>
                        </w:pPr>
                        <w:r>
                          <w:rPr>
                            <w:w w:val="99"/>
                            <w:sz w:val="16"/>
                          </w:rPr>
                          <w:t>2</w:t>
                        </w:r>
                      </w:p>
                    </w:tc>
                    <w:tc>
                      <w:tcPr>
                        <w:tcW w:w="1193" w:type="dxa"/>
                        <w:tcBorders>
                          <w:bottom w:val="nil"/>
                          <w:right w:val="nil"/>
                        </w:tcBorders>
                      </w:tcPr>
                      <w:p>
                        <w:pPr>
                          <w:pStyle w:val="TableParagraph"/>
                          <w:spacing w:line="171" w:lineRule="exact"/>
                          <w:ind w:left="102"/>
                          <w:rPr>
                            <w:sz w:val="16"/>
                          </w:rPr>
                        </w:pPr>
                        <w:r>
                          <w:rPr>
                            <w:w w:val="99"/>
                            <w:sz w:val="16"/>
                          </w:rPr>
                          <w:t>3</w:t>
                        </w:r>
                      </w:p>
                    </w:tc>
                  </w:tr>
                  <w:tr>
                    <w:trPr>
                      <w:trHeight w:val="185" w:hRule="exact"/>
                    </w:trPr>
                    <w:tc>
                      <w:tcPr>
                        <w:tcW w:w="2084" w:type="dxa"/>
                        <w:vMerge/>
                        <w:tcBorders>
                          <w:left w:val="nil"/>
                        </w:tcBorders>
                      </w:tcPr>
                      <w:p>
                        <w:pPr/>
                      </w:p>
                    </w:tc>
                    <w:tc>
                      <w:tcPr>
                        <w:tcW w:w="2169" w:type="dxa"/>
                        <w:vMerge/>
                      </w:tcPr>
                      <w:p>
                        <w:pPr/>
                      </w:p>
                    </w:tc>
                    <w:tc>
                      <w:tcPr>
                        <w:tcW w:w="1150" w:type="dxa"/>
                        <w:tcBorders>
                          <w:top w:val="nil"/>
                          <w:bottom w:val="nil"/>
                        </w:tcBorders>
                      </w:tcPr>
                      <w:p>
                        <w:pPr>
                          <w:pStyle w:val="TableParagraph"/>
                          <w:tabs>
                            <w:tab w:pos="1129" w:val="left" w:leader="none"/>
                          </w:tabs>
                          <w:ind w:left="25"/>
                          <w:rPr>
                            <w:sz w:val="16"/>
                          </w:rPr>
                        </w:pPr>
                        <w:r>
                          <w:rPr>
                            <w:w w:val="100"/>
                            <w:sz w:val="16"/>
                            <w:u w:val="dotted" w:color="929292"/>
                          </w:rPr>
                          <w:t> </w:t>
                        </w:r>
                        <w:r>
                          <w:rPr>
                            <w:sz w:val="16"/>
                            <w:u w:val="dotted" w:color="929292"/>
                          </w:rPr>
                          <w:tab/>
                        </w:r>
                      </w:p>
                    </w:tc>
                    <w:tc>
                      <w:tcPr>
                        <w:tcW w:w="1050" w:type="dxa"/>
                        <w:tcBorders>
                          <w:top w:val="nil"/>
                          <w:bottom w:val="nil"/>
                        </w:tcBorders>
                      </w:tcPr>
                      <w:p>
                        <w:pPr>
                          <w:pStyle w:val="TableParagraph"/>
                          <w:tabs>
                            <w:tab w:pos="1029" w:val="left" w:leader="none"/>
                          </w:tabs>
                          <w:ind w:left="25"/>
                          <w:rPr>
                            <w:sz w:val="16"/>
                          </w:rPr>
                        </w:pPr>
                        <w:r>
                          <w:rPr>
                            <w:w w:val="100"/>
                            <w:sz w:val="16"/>
                            <w:u w:val="dotted" w:color="929292"/>
                          </w:rPr>
                          <w:t> </w:t>
                        </w:r>
                        <w:r>
                          <w:rPr>
                            <w:sz w:val="16"/>
                            <w:u w:val="dotted" w:color="929292"/>
                          </w:rPr>
                          <w:tab/>
                        </w:r>
                      </w:p>
                    </w:tc>
                    <w:tc>
                      <w:tcPr>
                        <w:tcW w:w="1193" w:type="dxa"/>
                        <w:tcBorders>
                          <w:top w:val="nil"/>
                          <w:bottom w:val="nil"/>
                          <w:right w:val="nil"/>
                        </w:tcBorders>
                      </w:tcPr>
                      <w:p>
                        <w:pPr>
                          <w:pStyle w:val="TableParagraph"/>
                          <w:tabs>
                            <w:tab w:pos="1187" w:val="left" w:leader="none"/>
                          </w:tabs>
                          <w:ind w:left="25"/>
                          <w:rPr>
                            <w:sz w:val="16"/>
                          </w:rPr>
                        </w:pPr>
                        <w:r>
                          <w:rPr>
                            <w:w w:val="100"/>
                            <w:sz w:val="16"/>
                            <w:u w:val="dotted" w:color="929292"/>
                          </w:rPr>
                          <w:t> </w:t>
                        </w:r>
                        <w:r>
                          <w:rPr>
                            <w:sz w:val="16"/>
                            <w:u w:val="dotted" w:color="929292"/>
                          </w:rPr>
                          <w:tab/>
                        </w:r>
                      </w:p>
                    </w:tc>
                  </w:tr>
                  <w:tr>
                    <w:trPr>
                      <w:trHeight w:val="294" w:hRule="exact"/>
                    </w:trPr>
                    <w:tc>
                      <w:tcPr>
                        <w:tcW w:w="2084" w:type="dxa"/>
                        <w:vMerge/>
                        <w:tcBorders>
                          <w:left w:val="nil"/>
                        </w:tcBorders>
                      </w:tcPr>
                      <w:p>
                        <w:pPr/>
                      </w:p>
                    </w:tc>
                    <w:tc>
                      <w:tcPr>
                        <w:tcW w:w="2169" w:type="dxa"/>
                        <w:vMerge/>
                      </w:tcPr>
                      <w:p>
                        <w:pPr/>
                      </w:p>
                    </w:tc>
                    <w:tc>
                      <w:tcPr>
                        <w:tcW w:w="1150" w:type="dxa"/>
                        <w:tcBorders>
                          <w:top w:val="nil"/>
                        </w:tcBorders>
                      </w:tcPr>
                      <w:p>
                        <w:pPr>
                          <w:pStyle w:val="TableParagraph"/>
                          <w:spacing w:line="170" w:lineRule="exact"/>
                          <w:ind w:left="102"/>
                          <w:rPr>
                            <w:sz w:val="16"/>
                          </w:rPr>
                        </w:pPr>
                        <w:r>
                          <w:rPr>
                            <w:w w:val="99"/>
                            <w:sz w:val="16"/>
                          </w:rPr>
                          <w:t>0</w:t>
                        </w:r>
                      </w:p>
                    </w:tc>
                    <w:tc>
                      <w:tcPr>
                        <w:tcW w:w="1050" w:type="dxa"/>
                        <w:tcBorders>
                          <w:top w:val="nil"/>
                        </w:tcBorders>
                      </w:tcPr>
                      <w:p>
                        <w:pPr>
                          <w:pStyle w:val="TableParagraph"/>
                          <w:spacing w:line="170" w:lineRule="exact"/>
                          <w:ind w:left="102"/>
                          <w:rPr>
                            <w:sz w:val="16"/>
                          </w:rPr>
                        </w:pPr>
                        <w:r>
                          <w:rPr>
                            <w:w w:val="99"/>
                            <w:sz w:val="16"/>
                          </w:rPr>
                          <w:t>0</w:t>
                        </w:r>
                      </w:p>
                    </w:tc>
                    <w:tc>
                      <w:tcPr>
                        <w:tcW w:w="1193" w:type="dxa"/>
                        <w:tcBorders>
                          <w:top w:val="nil"/>
                          <w:right w:val="nil"/>
                        </w:tcBorders>
                      </w:tcPr>
                      <w:p>
                        <w:pPr>
                          <w:pStyle w:val="TableParagraph"/>
                          <w:spacing w:line="170" w:lineRule="exact"/>
                          <w:ind w:left="102"/>
                          <w:rPr>
                            <w:sz w:val="16"/>
                          </w:rPr>
                        </w:pPr>
                        <w:r>
                          <w:rPr>
                            <w:w w:val="99"/>
                            <w:sz w:val="16"/>
                          </w:rPr>
                          <w:t>4</w:t>
                        </w:r>
                      </w:p>
                    </w:tc>
                  </w:tr>
                  <w:tr>
                    <w:trPr>
                      <w:trHeight w:val="300" w:hRule="exact"/>
                    </w:trPr>
                    <w:tc>
                      <w:tcPr>
                        <w:tcW w:w="2084" w:type="dxa"/>
                        <w:tcBorders>
                          <w:left w:val="nil"/>
                        </w:tcBorders>
                      </w:tcPr>
                      <w:p>
                        <w:pPr>
                          <w:pStyle w:val="TableParagraph"/>
                          <w:spacing w:line="171" w:lineRule="exact"/>
                          <w:ind w:left="71"/>
                          <w:rPr>
                            <w:sz w:val="16"/>
                          </w:rPr>
                        </w:pPr>
                        <w:r>
                          <w:rPr>
                            <w:sz w:val="16"/>
                          </w:rPr>
                          <w:t>Moderna de la Cruz</w:t>
                        </w:r>
                      </w:p>
                    </w:tc>
                    <w:tc>
                      <w:tcPr>
                        <w:tcW w:w="2169" w:type="dxa"/>
                      </w:tcPr>
                      <w:p>
                        <w:pPr>
                          <w:pStyle w:val="TableParagraph"/>
                          <w:spacing w:line="171" w:lineRule="exact"/>
                          <w:ind w:left="102"/>
                          <w:rPr>
                            <w:sz w:val="16"/>
                          </w:rPr>
                        </w:pPr>
                        <w:r>
                          <w:rPr>
                            <w:sz w:val="16"/>
                          </w:rPr>
                          <w:t>Paseo Tollocan</w:t>
                        </w:r>
                      </w:p>
                    </w:tc>
                    <w:tc>
                      <w:tcPr>
                        <w:tcW w:w="1150" w:type="dxa"/>
                      </w:tcPr>
                      <w:p>
                        <w:pPr>
                          <w:pStyle w:val="TableParagraph"/>
                          <w:spacing w:line="171" w:lineRule="exact"/>
                          <w:ind w:left="102"/>
                          <w:rPr>
                            <w:sz w:val="16"/>
                          </w:rPr>
                        </w:pPr>
                        <w:r>
                          <w:rPr>
                            <w:w w:val="99"/>
                            <w:sz w:val="16"/>
                          </w:rPr>
                          <w:t>0</w:t>
                        </w:r>
                      </w:p>
                    </w:tc>
                    <w:tc>
                      <w:tcPr>
                        <w:tcW w:w="1050" w:type="dxa"/>
                      </w:tcPr>
                      <w:p>
                        <w:pPr>
                          <w:pStyle w:val="TableParagraph"/>
                          <w:spacing w:line="171" w:lineRule="exact"/>
                          <w:ind w:left="102"/>
                          <w:rPr>
                            <w:sz w:val="16"/>
                          </w:rPr>
                        </w:pPr>
                        <w:r>
                          <w:rPr>
                            <w:w w:val="99"/>
                            <w:sz w:val="16"/>
                          </w:rPr>
                          <w:t>0</w:t>
                        </w:r>
                      </w:p>
                    </w:tc>
                    <w:tc>
                      <w:tcPr>
                        <w:tcW w:w="1193" w:type="dxa"/>
                        <w:tcBorders>
                          <w:right w:val="nil"/>
                        </w:tcBorders>
                      </w:tcPr>
                      <w:p>
                        <w:pPr>
                          <w:pStyle w:val="TableParagraph"/>
                          <w:spacing w:line="171" w:lineRule="exact"/>
                          <w:ind w:left="101"/>
                          <w:rPr>
                            <w:sz w:val="16"/>
                          </w:rPr>
                        </w:pPr>
                        <w:r>
                          <w:rPr>
                            <w:w w:val="99"/>
                            <w:sz w:val="16"/>
                          </w:rPr>
                          <w:t>4</w:t>
                        </w:r>
                      </w:p>
                    </w:tc>
                  </w:tr>
                  <w:tr>
                    <w:trPr>
                      <w:trHeight w:val="315" w:hRule="exact"/>
                    </w:trPr>
                    <w:tc>
                      <w:tcPr>
                        <w:tcW w:w="2084" w:type="dxa"/>
                        <w:tcBorders>
                          <w:left w:val="nil"/>
                          <w:bottom w:val="nil"/>
                        </w:tcBorders>
                      </w:tcPr>
                      <w:p>
                        <w:pPr>
                          <w:pStyle w:val="TableParagraph"/>
                          <w:spacing w:line="171" w:lineRule="exact"/>
                          <w:ind w:left="71"/>
                          <w:rPr>
                            <w:sz w:val="16"/>
                          </w:rPr>
                        </w:pPr>
                        <w:r>
                          <w:rPr>
                            <w:sz w:val="16"/>
                          </w:rPr>
                          <w:t>San Andrés Cuexcontitlán</w:t>
                        </w:r>
                      </w:p>
                    </w:tc>
                    <w:tc>
                      <w:tcPr>
                        <w:tcW w:w="2169" w:type="dxa"/>
                        <w:vMerge w:val="restart"/>
                      </w:tcPr>
                      <w:p>
                        <w:pPr>
                          <w:pStyle w:val="TableParagraph"/>
                          <w:spacing w:line="152" w:lineRule="exact"/>
                          <w:ind w:left="101"/>
                          <w:rPr>
                            <w:sz w:val="16"/>
                          </w:rPr>
                        </w:pPr>
                        <w:r>
                          <w:rPr>
                            <w:sz w:val="16"/>
                          </w:rPr>
                          <w:t>Barrio de la Natividad</w:t>
                        </w:r>
                      </w:p>
                      <w:p>
                        <w:pPr>
                          <w:pStyle w:val="TableParagraph"/>
                          <w:tabs>
                            <w:tab w:pos="2148" w:val="left" w:leader="none"/>
                          </w:tabs>
                          <w:spacing w:line="154" w:lineRule="exact" w:before="7"/>
                          <w:ind w:left="101" w:right="8" w:hanging="77"/>
                          <w:rPr>
                            <w:sz w:val="16"/>
                          </w:rPr>
                        </w:pPr>
                        <w:r>
                          <w:rPr>
                            <w:w w:val="100"/>
                            <w:sz w:val="16"/>
                            <w:u w:val="dotted" w:color="929292"/>
                          </w:rPr>
                          <w:t> </w:t>
                        </w:r>
                        <w:r>
                          <w:rPr>
                            <w:sz w:val="16"/>
                            <w:u w:val="dotted" w:color="929292"/>
                          </w:rPr>
                          <w:tab/>
                          <w:tab/>
                        </w:r>
                        <w:r>
                          <w:rPr>
                            <w:sz w:val="16"/>
                          </w:rPr>
                          <w:t> </w:t>
                        </w:r>
                        <w:r>
                          <w:rPr>
                            <w:w w:val="100"/>
                            <w:sz w:val="16"/>
                          </w:rPr>
                          <w:t>Barrio</w:t>
                        </w:r>
                        <w:r>
                          <w:rPr>
                            <w:sz w:val="16"/>
                          </w:rPr>
                          <w:t> </w:t>
                        </w:r>
                        <w:r>
                          <w:rPr>
                            <w:w w:val="101"/>
                            <w:sz w:val="16"/>
                          </w:rPr>
                          <w:t>de</w:t>
                        </w:r>
                        <w:r>
                          <w:rPr>
                            <w:sz w:val="16"/>
                          </w:rPr>
                          <w:t> </w:t>
                        </w:r>
                        <w:r>
                          <w:rPr>
                            <w:w w:val="97"/>
                            <w:sz w:val="16"/>
                          </w:rPr>
                          <w:t>la</w:t>
                        </w:r>
                        <w:r>
                          <w:rPr>
                            <w:sz w:val="16"/>
                          </w:rPr>
                          <w:t> </w:t>
                        </w:r>
                        <w:r>
                          <w:rPr>
                            <w:w w:val="112"/>
                            <w:sz w:val="16"/>
                          </w:rPr>
                          <w:t>“Y”</w:t>
                        </w:r>
                      </w:p>
                    </w:tc>
                    <w:tc>
                      <w:tcPr>
                        <w:tcW w:w="1150" w:type="dxa"/>
                        <w:tcBorders>
                          <w:bottom w:val="nil"/>
                        </w:tcBorders>
                      </w:tcPr>
                      <w:p>
                        <w:pPr>
                          <w:pStyle w:val="TableParagraph"/>
                          <w:spacing w:line="152" w:lineRule="exact"/>
                          <w:ind w:left="101"/>
                          <w:rPr>
                            <w:sz w:val="16"/>
                          </w:rPr>
                        </w:pPr>
                        <w:r>
                          <w:rPr>
                            <w:sz w:val="16"/>
                          </w:rPr>
                          <w:t>15</w:t>
                        </w:r>
                      </w:p>
                      <w:p>
                        <w:pPr>
                          <w:pStyle w:val="TableParagraph"/>
                          <w:tabs>
                            <w:tab w:pos="1129" w:val="left" w:leader="none"/>
                          </w:tabs>
                          <w:spacing w:line="165" w:lineRule="exact"/>
                          <w:ind w:left="25"/>
                          <w:rPr>
                            <w:sz w:val="16"/>
                          </w:rPr>
                        </w:pPr>
                        <w:r>
                          <w:rPr>
                            <w:w w:val="100"/>
                            <w:sz w:val="16"/>
                            <w:u w:val="dotted" w:color="929292"/>
                          </w:rPr>
                          <w:t> </w:t>
                        </w:r>
                        <w:r>
                          <w:rPr>
                            <w:sz w:val="16"/>
                            <w:u w:val="dotted" w:color="929292"/>
                          </w:rPr>
                          <w:tab/>
                        </w:r>
                      </w:p>
                    </w:tc>
                    <w:tc>
                      <w:tcPr>
                        <w:tcW w:w="1050" w:type="dxa"/>
                        <w:tcBorders>
                          <w:bottom w:val="nil"/>
                        </w:tcBorders>
                      </w:tcPr>
                      <w:p>
                        <w:pPr>
                          <w:pStyle w:val="TableParagraph"/>
                          <w:spacing w:line="152" w:lineRule="exact"/>
                          <w:ind w:left="101"/>
                          <w:rPr>
                            <w:sz w:val="16"/>
                          </w:rPr>
                        </w:pPr>
                        <w:r>
                          <w:rPr>
                            <w:w w:val="99"/>
                            <w:sz w:val="16"/>
                          </w:rPr>
                          <w:t>0</w:t>
                        </w:r>
                      </w:p>
                      <w:p>
                        <w:pPr>
                          <w:pStyle w:val="TableParagraph"/>
                          <w:tabs>
                            <w:tab w:pos="1029" w:val="left" w:leader="none"/>
                          </w:tabs>
                          <w:spacing w:line="165" w:lineRule="exact"/>
                          <w:ind w:left="25"/>
                          <w:rPr>
                            <w:sz w:val="16"/>
                          </w:rPr>
                        </w:pPr>
                        <w:r>
                          <w:rPr>
                            <w:w w:val="100"/>
                            <w:sz w:val="16"/>
                            <w:u w:val="dotted" w:color="929292"/>
                          </w:rPr>
                          <w:t> </w:t>
                        </w:r>
                        <w:r>
                          <w:rPr>
                            <w:sz w:val="16"/>
                            <w:u w:val="dotted" w:color="929292"/>
                          </w:rPr>
                          <w:tab/>
                        </w:r>
                      </w:p>
                    </w:tc>
                    <w:tc>
                      <w:tcPr>
                        <w:tcW w:w="1193" w:type="dxa"/>
                        <w:tcBorders>
                          <w:bottom w:val="nil"/>
                          <w:right w:val="nil"/>
                        </w:tcBorders>
                      </w:tcPr>
                      <w:p>
                        <w:pPr>
                          <w:pStyle w:val="TableParagraph"/>
                          <w:spacing w:line="152" w:lineRule="exact"/>
                          <w:ind w:left="101"/>
                          <w:rPr>
                            <w:sz w:val="16"/>
                          </w:rPr>
                        </w:pPr>
                        <w:r>
                          <w:rPr>
                            <w:w w:val="99"/>
                            <w:sz w:val="16"/>
                          </w:rPr>
                          <w:t>1</w:t>
                        </w:r>
                      </w:p>
                      <w:p>
                        <w:pPr>
                          <w:pStyle w:val="TableParagraph"/>
                          <w:tabs>
                            <w:tab w:pos="1187" w:val="left" w:leader="none"/>
                          </w:tabs>
                          <w:spacing w:line="165" w:lineRule="exact"/>
                          <w:ind w:left="25"/>
                          <w:rPr>
                            <w:sz w:val="16"/>
                          </w:rPr>
                        </w:pPr>
                        <w:r>
                          <w:rPr>
                            <w:w w:val="100"/>
                            <w:sz w:val="16"/>
                            <w:u w:val="dotted" w:color="929292"/>
                          </w:rPr>
                          <w:t> </w:t>
                        </w:r>
                        <w:r>
                          <w:rPr>
                            <w:sz w:val="16"/>
                            <w:u w:val="dotted" w:color="929292"/>
                          </w:rPr>
                          <w:tab/>
                        </w:r>
                      </w:p>
                    </w:tc>
                  </w:tr>
                  <w:tr>
                    <w:trPr>
                      <w:trHeight w:val="285" w:hRule="exact"/>
                    </w:trPr>
                    <w:tc>
                      <w:tcPr>
                        <w:tcW w:w="2084" w:type="dxa"/>
                        <w:tcBorders>
                          <w:top w:val="nil"/>
                          <w:left w:val="nil"/>
                          <w:bottom w:val="nil"/>
                        </w:tcBorders>
                      </w:tcPr>
                      <w:p>
                        <w:pPr/>
                      </w:p>
                    </w:tc>
                    <w:tc>
                      <w:tcPr>
                        <w:tcW w:w="2169" w:type="dxa"/>
                        <w:vMerge/>
                      </w:tcPr>
                      <w:p>
                        <w:pPr/>
                      </w:p>
                    </w:tc>
                    <w:tc>
                      <w:tcPr>
                        <w:tcW w:w="1150" w:type="dxa"/>
                        <w:tcBorders>
                          <w:top w:val="nil"/>
                        </w:tcBorders>
                      </w:tcPr>
                      <w:p>
                        <w:pPr>
                          <w:pStyle w:val="TableParagraph"/>
                          <w:spacing w:line="162" w:lineRule="exact"/>
                          <w:ind w:left="101"/>
                          <w:rPr>
                            <w:sz w:val="16"/>
                          </w:rPr>
                        </w:pPr>
                        <w:r>
                          <w:rPr>
                            <w:sz w:val="16"/>
                          </w:rPr>
                          <w:t>11</w:t>
                        </w:r>
                      </w:p>
                    </w:tc>
                    <w:tc>
                      <w:tcPr>
                        <w:tcW w:w="1050" w:type="dxa"/>
                        <w:tcBorders>
                          <w:top w:val="nil"/>
                        </w:tcBorders>
                      </w:tcPr>
                      <w:p>
                        <w:pPr>
                          <w:pStyle w:val="TableParagraph"/>
                          <w:spacing w:line="162" w:lineRule="exact"/>
                          <w:ind w:left="101"/>
                          <w:rPr>
                            <w:sz w:val="16"/>
                          </w:rPr>
                        </w:pPr>
                        <w:r>
                          <w:rPr>
                            <w:w w:val="99"/>
                            <w:sz w:val="16"/>
                          </w:rPr>
                          <w:t>0</w:t>
                        </w:r>
                      </w:p>
                    </w:tc>
                    <w:tc>
                      <w:tcPr>
                        <w:tcW w:w="1193" w:type="dxa"/>
                        <w:tcBorders>
                          <w:top w:val="nil"/>
                          <w:right w:val="nil"/>
                        </w:tcBorders>
                      </w:tcPr>
                      <w:p>
                        <w:pPr>
                          <w:pStyle w:val="TableParagraph"/>
                          <w:spacing w:line="162" w:lineRule="exact"/>
                          <w:ind w:left="101"/>
                          <w:rPr>
                            <w:sz w:val="16"/>
                          </w:rPr>
                        </w:pPr>
                        <w:r>
                          <w:rPr>
                            <w:w w:val="99"/>
                            <w:sz w:val="16"/>
                          </w:rPr>
                          <w:t>1</w:t>
                        </w:r>
                      </w:p>
                    </w:tc>
                  </w:tr>
                  <w:tr>
                    <w:trPr>
                      <w:trHeight w:val="300" w:hRule="exact"/>
                    </w:trPr>
                    <w:tc>
                      <w:tcPr>
                        <w:tcW w:w="2084" w:type="dxa"/>
                        <w:tcBorders>
                          <w:top w:val="nil"/>
                          <w:left w:val="nil"/>
                          <w:bottom w:val="nil"/>
                        </w:tcBorders>
                      </w:tcPr>
                      <w:p>
                        <w:pPr/>
                      </w:p>
                    </w:tc>
                    <w:tc>
                      <w:tcPr>
                        <w:tcW w:w="2169" w:type="dxa"/>
                      </w:tcPr>
                      <w:p>
                        <w:pPr>
                          <w:pStyle w:val="TableParagraph"/>
                          <w:spacing w:line="171" w:lineRule="exact"/>
                          <w:ind w:left="101"/>
                          <w:rPr>
                            <w:sz w:val="16"/>
                          </w:rPr>
                        </w:pPr>
                        <w:r>
                          <w:rPr>
                            <w:sz w:val="16"/>
                          </w:rPr>
                          <w:t>Emiliano Zapata</w:t>
                        </w:r>
                      </w:p>
                    </w:tc>
                    <w:tc>
                      <w:tcPr>
                        <w:tcW w:w="1150" w:type="dxa"/>
                      </w:tcPr>
                      <w:p>
                        <w:pPr>
                          <w:pStyle w:val="TableParagraph"/>
                          <w:spacing w:line="171" w:lineRule="exact"/>
                          <w:ind w:left="101"/>
                          <w:rPr>
                            <w:sz w:val="16"/>
                          </w:rPr>
                        </w:pPr>
                        <w:r>
                          <w:rPr>
                            <w:w w:val="99"/>
                            <w:sz w:val="16"/>
                          </w:rPr>
                          <w:t>0</w:t>
                        </w:r>
                      </w:p>
                    </w:tc>
                    <w:tc>
                      <w:tcPr>
                        <w:tcW w:w="1050" w:type="dxa"/>
                      </w:tcPr>
                      <w:p>
                        <w:pPr>
                          <w:pStyle w:val="TableParagraph"/>
                          <w:spacing w:line="171" w:lineRule="exact"/>
                          <w:ind w:left="101"/>
                          <w:rPr>
                            <w:sz w:val="16"/>
                          </w:rPr>
                        </w:pPr>
                        <w:r>
                          <w:rPr>
                            <w:w w:val="99"/>
                            <w:sz w:val="16"/>
                          </w:rPr>
                          <w:t>0</w:t>
                        </w:r>
                      </w:p>
                    </w:tc>
                    <w:tc>
                      <w:tcPr>
                        <w:tcW w:w="1193" w:type="dxa"/>
                        <w:tcBorders>
                          <w:right w:val="nil"/>
                        </w:tcBorders>
                      </w:tcPr>
                      <w:p>
                        <w:pPr>
                          <w:pStyle w:val="TableParagraph"/>
                          <w:spacing w:line="171" w:lineRule="exact"/>
                          <w:ind w:left="101"/>
                          <w:rPr>
                            <w:sz w:val="16"/>
                          </w:rPr>
                        </w:pPr>
                        <w:r>
                          <w:rPr>
                            <w:w w:val="99"/>
                            <w:sz w:val="16"/>
                          </w:rPr>
                          <w:t>3</w:t>
                        </w:r>
                      </w:p>
                    </w:tc>
                  </w:tr>
                  <w:tr>
                    <w:trPr>
                      <w:trHeight w:val="300" w:hRule="exact"/>
                    </w:trPr>
                    <w:tc>
                      <w:tcPr>
                        <w:tcW w:w="2084" w:type="dxa"/>
                        <w:tcBorders>
                          <w:top w:val="nil"/>
                          <w:left w:val="nil"/>
                          <w:bottom w:val="nil"/>
                        </w:tcBorders>
                      </w:tcPr>
                      <w:p>
                        <w:pPr/>
                      </w:p>
                    </w:tc>
                    <w:tc>
                      <w:tcPr>
                        <w:tcW w:w="2169" w:type="dxa"/>
                      </w:tcPr>
                      <w:p>
                        <w:pPr>
                          <w:pStyle w:val="TableParagraph"/>
                          <w:spacing w:line="171" w:lineRule="exact"/>
                          <w:ind w:left="101"/>
                          <w:rPr>
                            <w:sz w:val="16"/>
                          </w:rPr>
                        </w:pPr>
                        <w:r>
                          <w:rPr>
                            <w:sz w:val="16"/>
                          </w:rPr>
                          <w:t>Benito Juárez García</w:t>
                        </w:r>
                      </w:p>
                    </w:tc>
                    <w:tc>
                      <w:tcPr>
                        <w:tcW w:w="1150" w:type="dxa"/>
                      </w:tcPr>
                      <w:p>
                        <w:pPr>
                          <w:pStyle w:val="TableParagraph"/>
                          <w:spacing w:line="171" w:lineRule="exact"/>
                          <w:ind w:left="101"/>
                          <w:rPr>
                            <w:sz w:val="16"/>
                          </w:rPr>
                        </w:pPr>
                        <w:r>
                          <w:rPr>
                            <w:w w:val="99"/>
                            <w:sz w:val="16"/>
                          </w:rPr>
                          <w:t>0</w:t>
                        </w:r>
                      </w:p>
                    </w:tc>
                    <w:tc>
                      <w:tcPr>
                        <w:tcW w:w="1050" w:type="dxa"/>
                      </w:tcPr>
                      <w:p>
                        <w:pPr>
                          <w:pStyle w:val="TableParagraph"/>
                          <w:spacing w:line="171" w:lineRule="exact"/>
                          <w:ind w:left="101"/>
                          <w:rPr>
                            <w:sz w:val="16"/>
                          </w:rPr>
                        </w:pPr>
                        <w:r>
                          <w:rPr>
                            <w:w w:val="99"/>
                            <w:sz w:val="16"/>
                          </w:rPr>
                          <w:t>0</w:t>
                        </w:r>
                      </w:p>
                    </w:tc>
                    <w:tc>
                      <w:tcPr>
                        <w:tcW w:w="1193" w:type="dxa"/>
                        <w:tcBorders>
                          <w:right w:val="nil"/>
                        </w:tcBorders>
                      </w:tcPr>
                      <w:p>
                        <w:pPr>
                          <w:pStyle w:val="TableParagraph"/>
                          <w:spacing w:line="171" w:lineRule="exact"/>
                          <w:ind w:left="101"/>
                          <w:rPr>
                            <w:sz w:val="16"/>
                          </w:rPr>
                        </w:pPr>
                        <w:r>
                          <w:rPr>
                            <w:w w:val="99"/>
                            <w:sz w:val="16"/>
                          </w:rPr>
                          <w:t>1</w:t>
                        </w:r>
                      </w:p>
                    </w:tc>
                  </w:tr>
                  <w:tr>
                    <w:trPr>
                      <w:trHeight w:val="313" w:hRule="exact"/>
                    </w:trPr>
                    <w:tc>
                      <w:tcPr>
                        <w:tcW w:w="2084" w:type="dxa"/>
                        <w:tcBorders>
                          <w:top w:val="nil"/>
                          <w:left w:val="nil"/>
                          <w:bottom w:val="nil"/>
                        </w:tcBorders>
                      </w:tcPr>
                      <w:p>
                        <w:pPr>
                          <w:pStyle w:val="TableParagraph"/>
                          <w:tabs>
                            <w:tab w:pos="2068" w:val="left" w:leader="none"/>
                          </w:tabs>
                          <w:spacing w:before="134"/>
                          <w:rPr>
                            <w:sz w:val="16"/>
                          </w:rPr>
                        </w:pPr>
                        <w:r>
                          <w:rPr>
                            <w:w w:val="100"/>
                            <w:sz w:val="16"/>
                            <w:u w:val="dotted" w:color="929292"/>
                          </w:rPr>
                          <w:t> </w:t>
                        </w:r>
                        <w:r>
                          <w:rPr>
                            <w:sz w:val="16"/>
                            <w:u w:val="dotted" w:color="929292"/>
                          </w:rPr>
                          <w:tab/>
                        </w:r>
                      </w:p>
                    </w:tc>
                    <w:tc>
                      <w:tcPr>
                        <w:tcW w:w="2169" w:type="dxa"/>
                        <w:vMerge w:val="restart"/>
                      </w:tcPr>
                      <w:p>
                        <w:pPr>
                          <w:pStyle w:val="TableParagraph"/>
                          <w:spacing w:line="150" w:lineRule="exact"/>
                          <w:ind w:left="101"/>
                          <w:rPr>
                            <w:sz w:val="16"/>
                          </w:rPr>
                        </w:pPr>
                        <w:r>
                          <w:rPr>
                            <w:sz w:val="16"/>
                          </w:rPr>
                          <w:t>Barrio Providencia</w:t>
                        </w:r>
                      </w:p>
                      <w:p>
                        <w:pPr>
                          <w:pStyle w:val="TableParagraph"/>
                          <w:tabs>
                            <w:tab w:pos="2148" w:val="left" w:leader="none"/>
                          </w:tabs>
                          <w:spacing w:line="158" w:lineRule="exact" w:before="2"/>
                          <w:ind w:left="101" w:right="8" w:hanging="77"/>
                          <w:rPr>
                            <w:sz w:val="16"/>
                          </w:rPr>
                        </w:pPr>
                        <w:r>
                          <w:rPr>
                            <w:w w:val="100"/>
                            <w:sz w:val="16"/>
                            <w:u w:val="dotted" w:color="929292"/>
                          </w:rPr>
                          <w:t> </w:t>
                        </w:r>
                        <w:r>
                          <w:rPr>
                            <w:sz w:val="16"/>
                            <w:u w:val="dotted" w:color="929292"/>
                          </w:rPr>
                          <w:tab/>
                          <w:tab/>
                        </w:r>
                        <w:r>
                          <w:rPr>
                            <w:sz w:val="16"/>
                          </w:rPr>
                          <w:t> </w:t>
                        </w:r>
                        <w:r>
                          <w:rPr>
                            <w:w w:val="100"/>
                            <w:sz w:val="16"/>
                          </w:rPr>
                          <w:t>Colonia</w:t>
                        </w:r>
                        <w:r>
                          <w:rPr>
                            <w:sz w:val="16"/>
                          </w:rPr>
                          <w:t> </w:t>
                        </w:r>
                        <w:r>
                          <w:rPr>
                            <w:w w:val="93"/>
                            <w:sz w:val="16"/>
                          </w:rPr>
                          <w:t>El</w:t>
                        </w:r>
                        <w:r>
                          <w:rPr>
                            <w:sz w:val="16"/>
                          </w:rPr>
                          <w:t> </w:t>
                        </w:r>
                        <w:r>
                          <w:rPr>
                            <w:w w:val="97"/>
                            <w:sz w:val="16"/>
                          </w:rPr>
                          <w:t>arenal</w:t>
                        </w:r>
                      </w:p>
                    </w:tc>
                    <w:tc>
                      <w:tcPr>
                        <w:tcW w:w="1150" w:type="dxa"/>
                        <w:tcBorders>
                          <w:bottom w:val="nil"/>
                        </w:tcBorders>
                      </w:tcPr>
                      <w:p>
                        <w:pPr>
                          <w:pStyle w:val="TableParagraph"/>
                          <w:spacing w:line="150" w:lineRule="exact"/>
                          <w:ind w:left="101"/>
                          <w:rPr>
                            <w:sz w:val="16"/>
                          </w:rPr>
                        </w:pPr>
                        <w:r>
                          <w:rPr>
                            <w:w w:val="99"/>
                            <w:sz w:val="16"/>
                          </w:rPr>
                          <w:t>1</w:t>
                        </w:r>
                      </w:p>
                      <w:p>
                        <w:pPr>
                          <w:pStyle w:val="TableParagraph"/>
                          <w:tabs>
                            <w:tab w:pos="1129" w:val="left" w:leader="none"/>
                          </w:tabs>
                          <w:spacing w:line="163" w:lineRule="exact"/>
                          <w:ind w:left="25"/>
                          <w:rPr>
                            <w:sz w:val="16"/>
                          </w:rPr>
                        </w:pPr>
                        <w:r>
                          <w:rPr>
                            <w:w w:val="100"/>
                            <w:sz w:val="16"/>
                            <w:u w:val="dotted" w:color="929292"/>
                          </w:rPr>
                          <w:t> </w:t>
                        </w:r>
                        <w:r>
                          <w:rPr>
                            <w:sz w:val="16"/>
                            <w:u w:val="dotted" w:color="929292"/>
                          </w:rPr>
                          <w:tab/>
                        </w:r>
                      </w:p>
                    </w:tc>
                    <w:tc>
                      <w:tcPr>
                        <w:tcW w:w="1050" w:type="dxa"/>
                        <w:tcBorders>
                          <w:bottom w:val="nil"/>
                        </w:tcBorders>
                      </w:tcPr>
                      <w:p>
                        <w:pPr>
                          <w:pStyle w:val="TableParagraph"/>
                          <w:spacing w:line="150" w:lineRule="exact"/>
                          <w:ind w:left="101"/>
                          <w:rPr>
                            <w:sz w:val="16"/>
                          </w:rPr>
                        </w:pPr>
                        <w:r>
                          <w:rPr>
                            <w:w w:val="99"/>
                            <w:sz w:val="16"/>
                          </w:rPr>
                          <w:t>0</w:t>
                        </w:r>
                      </w:p>
                      <w:p>
                        <w:pPr>
                          <w:pStyle w:val="TableParagraph"/>
                          <w:tabs>
                            <w:tab w:pos="1029" w:val="left" w:leader="none"/>
                          </w:tabs>
                          <w:spacing w:line="163" w:lineRule="exact"/>
                          <w:ind w:left="25"/>
                          <w:rPr>
                            <w:sz w:val="16"/>
                          </w:rPr>
                        </w:pPr>
                        <w:r>
                          <w:rPr>
                            <w:w w:val="100"/>
                            <w:sz w:val="16"/>
                            <w:u w:val="dotted" w:color="929292"/>
                          </w:rPr>
                          <w:t> </w:t>
                        </w:r>
                        <w:r>
                          <w:rPr>
                            <w:sz w:val="16"/>
                            <w:u w:val="dotted" w:color="929292"/>
                          </w:rPr>
                          <w:tab/>
                        </w:r>
                      </w:p>
                    </w:tc>
                    <w:tc>
                      <w:tcPr>
                        <w:tcW w:w="1193" w:type="dxa"/>
                        <w:tcBorders>
                          <w:bottom w:val="nil"/>
                          <w:right w:val="nil"/>
                        </w:tcBorders>
                      </w:tcPr>
                      <w:p>
                        <w:pPr>
                          <w:pStyle w:val="TableParagraph"/>
                          <w:spacing w:line="150" w:lineRule="exact"/>
                          <w:ind w:left="101"/>
                          <w:rPr>
                            <w:sz w:val="16"/>
                          </w:rPr>
                        </w:pPr>
                        <w:r>
                          <w:rPr>
                            <w:w w:val="99"/>
                            <w:sz w:val="16"/>
                          </w:rPr>
                          <w:t>1</w:t>
                        </w:r>
                      </w:p>
                      <w:p>
                        <w:pPr>
                          <w:pStyle w:val="TableParagraph"/>
                          <w:tabs>
                            <w:tab w:pos="1187" w:val="left" w:leader="none"/>
                          </w:tabs>
                          <w:spacing w:line="163" w:lineRule="exact"/>
                          <w:ind w:left="25"/>
                          <w:rPr>
                            <w:sz w:val="16"/>
                          </w:rPr>
                        </w:pPr>
                        <w:r>
                          <w:rPr>
                            <w:w w:val="100"/>
                            <w:sz w:val="16"/>
                            <w:u w:val="dotted" w:color="929292"/>
                          </w:rPr>
                          <w:t> </w:t>
                        </w:r>
                        <w:r>
                          <w:rPr>
                            <w:sz w:val="16"/>
                            <w:u w:val="dotted" w:color="929292"/>
                          </w:rPr>
                          <w:tab/>
                        </w:r>
                      </w:p>
                    </w:tc>
                  </w:tr>
                  <w:tr>
                    <w:trPr>
                      <w:trHeight w:val="287" w:hRule="exact"/>
                    </w:trPr>
                    <w:tc>
                      <w:tcPr>
                        <w:tcW w:w="2084" w:type="dxa"/>
                        <w:tcBorders>
                          <w:top w:val="nil"/>
                          <w:left w:val="nil"/>
                        </w:tcBorders>
                      </w:tcPr>
                      <w:p>
                        <w:pPr>
                          <w:pStyle w:val="TableParagraph"/>
                          <w:spacing w:line="164" w:lineRule="exact"/>
                          <w:ind w:left="70"/>
                          <w:rPr>
                            <w:sz w:val="16"/>
                          </w:rPr>
                        </w:pPr>
                        <w:r>
                          <w:rPr>
                            <w:sz w:val="16"/>
                          </w:rPr>
                          <w:t>San Antonio Buenavista</w:t>
                        </w:r>
                      </w:p>
                    </w:tc>
                    <w:tc>
                      <w:tcPr>
                        <w:tcW w:w="2169" w:type="dxa"/>
                        <w:vMerge/>
                      </w:tcPr>
                      <w:p>
                        <w:pPr/>
                      </w:p>
                    </w:tc>
                    <w:tc>
                      <w:tcPr>
                        <w:tcW w:w="1150" w:type="dxa"/>
                        <w:tcBorders>
                          <w:top w:val="nil"/>
                        </w:tcBorders>
                      </w:tcPr>
                      <w:p>
                        <w:pPr>
                          <w:pStyle w:val="TableParagraph"/>
                          <w:spacing w:line="164" w:lineRule="exact"/>
                          <w:ind w:left="101"/>
                          <w:rPr>
                            <w:sz w:val="16"/>
                          </w:rPr>
                        </w:pPr>
                        <w:r>
                          <w:rPr>
                            <w:sz w:val="16"/>
                          </w:rPr>
                          <w:t>17</w:t>
                        </w:r>
                      </w:p>
                    </w:tc>
                    <w:tc>
                      <w:tcPr>
                        <w:tcW w:w="1050" w:type="dxa"/>
                        <w:tcBorders>
                          <w:top w:val="nil"/>
                        </w:tcBorders>
                      </w:tcPr>
                      <w:p>
                        <w:pPr>
                          <w:pStyle w:val="TableParagraph"/>
                          <w:spacing w:line="164" w:lineRule="exact"/>
                          <w:ind w:left="101"/>
                          <w:rPr>
                            <w:sz w:val="16"/>
                          </w:rPr>
                        </w:pPr>
                        <w:r>
                          <w:rPr>
                            <w:w w:val="99"/>
                            <w:sz w:val="16"/>
                          </w:rPr>
                          <w:t>0</w:t>
                        </w:r>
                      </w:p>
                    </w:tc>
                    <w:tc>
                      <w:tcPr>
                        <w:tcW w:w="1193" w:type="dxa"/>
                        <w:tcBorders>
                          <w:top w:val="nil"/>
                          <w:right w:val="nil"/>
                        </w:tcBorders>
                      </w:tcPr>
                      <w:p>
                        <w:pPr>
                          <w:pStyle w:val="TableParagraph"/>
                          <w:spacing w:line="164" w:lineRule="exact"/>
                          <w:ind w:left="100"/>
                          <w:rPr>
                            <w:sz w:val="16"/>
                          </w:rPr>
                        </w:pPr>
                        <w:r>
                          <w:rPr>
                            <w:w w:val="99"/>
                            <w:sz w:val="16"/>
                          </w:rPr>
                          <w:t>2</w:t>
                        </w:r>
                      </w:p>
                    </w:tc>
                  </w:tr>
                  <w:tr>
                    <w:trPr>
                      <w:trHeight w:val="300" w:hRule="exact"/>
                    </w:trPr>
                    <w:tc>
                      <w:tcPr>
                        <w:tcW w:w="2084" w:type="dxa"/>
                        <w:tcBorders>
                          <w:left w:val="nil"/>
                          <w:bottom w:val="nil"/>
                        </w:tcBorders>
                      </w:tcPr>
                      <w:p>
                        <w:pPr>
                          <w:pStyle w:val="TableParagraph"/>
                          <w:spacing w:line="171" w:lineRule="exact"/>
                          <w:ind w:left="70"/>
                          <w:rPr>
                            <w:sz w:val="16"/>
                          </w:rPr>
                        </w:pPr>
                        <w:r>
                          <w:rPr>
                            <w:sz w:val="16"/>
                          </w:rPr>
                          <w:t>San Buenaventura</w:t>
                        </w:r>
                      </w:p>
                    </w:tc>
                    <w:tc>
                      <w:tcPr>
                        <w:tcW w:w="2169" w:type="dxa"/>
                      </w:tcPr>
                      <w:p>
                        <w:pPr>
                          <w:pStyle w:val="TableParagraph"/>
                          <w:spacing w:line="171" w:lineRule="exact"/>
                          <w:ind w:left="100"/>
                          <w:rPr>
                            <w:sz w:val="16"/>
                          </w:rPr>
                        </w:pPr>
                        <w:r>
                          <w:rPr>
                            <w:sz w:val="16"/>
                          </w:rPr>
                          <w:t>Pensador mexicano</w:t>
                        </w:r>
                      </w:p>
                    </w:tc>
                    <w:tc>
                      <w:tcPr>
                        <w:tcW w:w="1150" w:type="dxa"/>
                      </w:tcPr>
                      <w:p>
                        <w:pPr>
                          <w:pStyle w:val="TableParagraph"/>
                          <w:spacing w:line="171" w:lineRule="exact"/>
                          <w:ind w:left="100"/>
                          <w:rPr>
                            <w:sz w:val="16"/>
                          </w:rPr>
                        </w:pPr>
                        <w:r>
                          <w:rPr>
                            <w:sz w:val="16"/>
                          </w:rPr>
                          <w:t>15</w:t>
                        </w:r>
                      </w:p>
                    </w:tc>
                    <w:tc>
                      <w:tcPr>
                        <w:tcW w:w="1050" w:type="dxa"/>
                      </w:tcPr>
                      <w:p>
                        <w:pPr>
                          <w:pStyle w:val="TableParagraph"/>
                          <w:spacing w:line="171" w:lineRule="exact"/>
                          <w:ind w:left="100"/>
                          <w:rPr>
                            <w:sz w:val="16"/>
                          </w:rPr>
                        </w:pPr>
                        <w:r>
                          <w:rPr>
                            <w:w w:val="99"/>
                            <w:sz w:val="16"/>
                          </w:rPr>
                          <w:t>3</w:t>
                        </w:r>
                      </w:p>
                    </w:tc>
                    <w:tc>
                      <w:tcPr>
                        <w:tcW w:w="1193" w:type="dxa"/>
                        <w:tcBorders>
                          <w:right w:val="nil"/>
                        </w:tcBorders>
                      </w:tcPr>
                      <w:p>
                        <w:pPr>
                          <w:pStyle w:val="TableParagraph"/>
                          <w:spacing w:line="171" w:lineRule="exact"/>
                          <w:ind w:left="100"/>
                          <w:rPr>
                            <w:sz w:val="16"/>
                          </w:rPr>
                        </w:pPr>
                        <w:r>
                          <w:rPr>
                            <w:w w:val="99"/>
                            <w:sz w:val="16"/>
                          </w:rPr>
                          <w:t>3</w:t>
                        </w:r>
                      </w:p>
                    </w:tc>
                  </w:tr>
                  <w:tr>
                    <w:trPr>
                      <w:trHeight w:val="304" w:hRule="exact"/>
                    </w:trPr>
                    <w:tc>
                      <w:tcPr>
                        <w:tcW w:w="2084" w:type="dxa"/>
                        <w:tcBorders>
                          <w:top w:val="nil"/>
                          <w:left w:val="nil"/>
                          <w:bottom w:val="nil"/>
                        </w:tcBorders>
                      </w:tcPr>
                      <w:p>
                        <w:pPr>
                          <w:pStyle w:val="TableParagraph"/>
                          <w:tabs>
                            <w:tab w:pos="2068" w:val="left" w:leader="none"/>
                          </w:tabs>
                          <w:spacing w:before="117"/>
                          <w:rPr>
                            <w:sz w:val="16"/>
                          </w:rPr>
                        </w:pPr>
                        <w:r>
                          <w:rPr>
                            <w:w w:val="100"/>
                            <w:sz w:val="16"/>
                            <w:u w:val="dotted" w:color="929292"/>
                          </w:rPr>
                          <w:t> </w:t>
                        </w:r>
                        <w:r>
                          <w:rPr>
                            <w:sz w:val="16"/>
                            <w:u w:val="dotted" w:color="929292"/>
                          </w:rPr>
                          <w:tab/>
                        </w:r>
                      </w:p>
                    </w:tc>
                    <w:tc>
                      <w:tcPr>
                        <w:tcW w:w="2169" w:type="dxa"/>
                        <w:vMerge w:val="restart"/>
                      </w:tcPr>
                      <w:p>
                        <w:pPr>
                          <w:pStyle w:val="TableParagraph"/>
                          <w:spacing w:line="142" w:lineRule="exact"/>
                          <w:ind w:left="100"/>
                          <w:rPr>
                            <w:sz w:val="16"/>
                          </w:rPr>
                        </w:pPr>
                        <w:r>
                          <w:rPr>
                            <w:sz w:val="16"/>
                          </w:rPr>
                          <w:t>Colonia del deporte</w:t>
                        </w:r>
                      </w:p>
                      <w:p>
                        <w:pPr>
                          <w:pStyle w:val="TableParagraph"/>
                          <w:tabs>
                            <w:tab w:pos="2148" w:val="left" w:leader="none"/>
                          </w:tabs>
                          <w:spacing w:line="150" w:lineRule="exact"/>
                          <w:ind w:left="25"/>
                          <w:rPr>
                            <w:sz w:val="16"/>
                          </w:rPr>
                        </w:pPr>
                        <w:r>
                          <w:rPr>
                            <w:w w:val="100"/>
                            <w:sz w:val="16"/>
                            <w:u w:val="dotted" w:color="929292"/>
                          </w:rPr>
                          <w:t> </w:t>
                        </w:r>
                        <w:r>
                          <w:rPr>
                            <w:sz w:val="16"/>
                            <w:u w:val="dotted" w:color="929292"/>
                          </w:rPr>
                          <w:tab/>
                        </w:r>
                      </w:p>
                      <w:p>
                        <w:pPr>
                          <w:pStyle w:val="TableParagraph"/>
                          <w:spacing w:line="179" w:lineRule="exact"/>
                          <w:ind w:left="100"/>
                          <w:rPr>
                            <w:sz w:val="16"/>
                          </w:rPr>
                        </w:pPr>
                        <w:r>
                          <w:rPr>
                            <w:sz w:val="16"/>
                          </w:rPr>
                          <w:t>Manuel Buendía Téllez</w:t>
                        </w:r>
                      </w:p>
                      <w:p>
                        <w:pPr>
                          <w:pStyle w:val="TableParagraph"/>
                          <w:tabs>
                            <w:tab w:pos="2148" w:val="left" w:leader="none"/>
                          </w:tabs>
                          <w:spacing w:line="170" w:lineRule="exact" w:before="30"/>
                          <w:ind w:left="100" w:right="8" w:hanging="76"/>
                          <w:rPr>
                            <w:sz w:val="16"/>
                          </w:rPr>
                        </w:pPr>
                        <w:r>
                          <w:rPr>
                            <w:w w:val="100"/>
                            <w:sz w:val="16"/>
                            <w:u w:val="dotted" w:color="929292"/>
                          </w:rPr>
                          <w:t> </w:t>
                        </w:r>
                        <w:r>
                          <w:rPr>
                            <w:spacing w:val="-14"/>
                            <w:sz w:val="16"/>
                            <w:u w:val="dotted" w:color="929292"/>
                          </w:rPr>
                          <w:t> </w:t>
                        </w:r>
                        <w:r>
                          <w:rPr>
                            <w:sz w:val="16"/>
                            <w:u w:val="dotted" w:color="929292"/>
                          </w:rPr>
                          <w:t>Girón</w:t>
                          <w:tab/>
                        </w:r>
                        <w:r>
                          <w:rPr>
                            <w:sz w:val="16"/>
                          </w:rPr>
                          <w:t> Barrio San</w:t>
                        </w:r>
                        <w:r>
                          <w:rPr>
                            <w:spacing w:val="2"/>
                            <w:sz w:val="16"/>
                          </w:rPr>
                          <w:t> </w:t>
                        </w:r>
                        <w:r>
                          <w:rPr>
                            <w:sz w:val="16"/>
                          </w:rPr>
                          <w:t>Miguel</w:t>
                        </w:r>
                      </w:p>
                      <w:p>
                        <w:pPr>
                          <w:pStyle w:val="TableParagraph"/>
                          <w:tabs>
                            <w:tab w:pos="2148" w:val="left" w:leader="none"/>
                          </w:tabs>
                          <w:spacing w:line="180" w:lineRule="auto" w:before="16"/>
                          <w:ind w:left="100" w:right="8" w:hanging="76"/>
                          <w:rPr>
                            <w:sz w:val="16"/>
                          </w:rPr>
                        </w:pPr>
                        <w:r>
                          <w:rPr>
                            <w:color w:val="6D6E71"/>
                            <w:w w:val="100"/>
                            <w:sz w:val="16"/>
                            <w:u w:val="dotted" w:color="929292"/>
                          </w:rPr>
                          <w:t> </w:t>
                        </w:r>
                        <w:r>
                          <w:rPr>
                            <w:color w:val="6D6E71"/>
                            <w:sz w:val="16"/>
                            <w:u w:val="dotted" w:color="929292"/>
                          </w:rPr>
                          <w:tab/>
                          <w:tab/>
                        </w:r>
                        <w:r>
                          <w:rPr>
                            <w:color w:val="6D6E71"/>
                            <w:sz w:val="16"/>
                          </w:rPr>
                          <w:t> </w:t>
                        </w:r>
                        <w:r>
                          <w:rPr>
                            <w:w w:val="100"/>
                            <w:sz w:val="16"/>
                          </w:rPr>
                          <w:t>Barrio</w:t>
                        </w:r>
                        <w:r>
                          <w:rPr>
                            <w:sz w:val="16"/>
                          </w:rPr>
                          <w:t> </w:t>
                        </w:r>
                        <w:r>
                          <w:rPr>
                            <w:w w:val="97"/>
                            <w:sz w:val="16"/>
                          </w:rPr>
                          <w:t>San</w:t>
                        </w:r>
                        <w:r>
                          <w:rPr>
                            <w:sz w:val="16"/>
                          </w:rPr>
                          <w:t> </w:t>
                        </w:r>
                        <w:r>
                          <w:rPr>
                            <w:w w:val="99"/>
                            <w:sz w:val="16"/>
                          </w:rPr>
                          <w:t>Salvador</w:t>
                        </w:r>
                      </w:p>
                    </w:tc>
                    <w:tc>
                      <w:tcPr>
                        <w:tcW w:w="1150" w:type="dxa"/>
                        <w:vMerge w:val="restart"/>
                      </w:tcPr>
                      <w:p>
                        <w:pPr>
                          <w:pStyle w:val="TableParagraph"/>
                          <w:spacing w:line="142" w:lineRule="exact"/>
                          <w:ind w:left="100"/>
                          <w:rPr>
                            <w:sz w:val="16"/>
                          </w:rPr>
                        </w:pPr>
                        <w:r>
                          <w:rPr>
                            <w:sz w:val="16"/>
                          </w:rPr>
                          <w:t>18</w:t>
                        </w:r>
                      </w:p>
                      <w:p>
                        <w:pPr>
                          <w:pStyle w:val="TableParagraph"/>
                          <w:tabs>
                            <w:tab w:pos="1129" w:val="left" w:leader="none"/>
                          </w:tabs>
                          <w:spacing w:line="150" w:lineRule="exact"/>
                          <w:ind w:left="25"/>
                          <w:rPr>
                            <w:sz w:val="16"/>
                          </w:rPr>
                        </w:pPr>
                        <w:r>
                          <w:rPr>
                            <w:w w:val="100"/>
                            <w:sz w:val="16"/>
                            <w:u w:val="dotted" w:color="929292"/>
                          </w:rPr>
                          <w:t> </w:t>
                        </w:r>
                        <w:r>
                          <w:rPr>
                            <w:sz w:val="16"/>
                            <w:u w:val="dotted" w:color="929292"/>
                          </w:rPr>
                          <w:tab/>
                        </w:r>
                      </w:p>
                      <w:p>
                        <w:pPr>
                          <w:pStyle w:val="TableParagraph"/>
                          <w:spacing w:line="179" w:lineRule="exact"/>
                          <w:ind w:left="100"/>
                          <w:rPr>
                            <w:sz w:val="16"/>
                          </w:rPr>
                        </w:pPr>
                        <w:r>
                          <w:rPr>
                            <w:w w:val="99"/>
                            <w:sz w:val="16"/>
                          </w:rPr>
                          <w:t>0</w:t>
                        </w:r>
                      </w:p>
                      <w:p>
                        <w:pPr>
                          <w:pStyle w:val="TableParagraph"/>
                          <w:tabs>
                            <w:tab w:pos="1129" w:val="left" w:leader="none"/>
                          </w:tabs>
                          <w:spacing w:line="170" w:lineRule="exact" w:before="30"/>
                          <w:ind w:left="100" w:right="8" w:hanging="76"/>
                          <w:rPr>
                            <w:sz w:val="16"/>
                          </w:rPr>
                        </w:pPr>
                        <w:r>
                          <w:rPr>
                            <w:w w:val="100"/>
                            <w:sz w:val="16"/>
                            <w:u w:val="dotted" w:color="929292"/>
                          </w:rPr>
                          <w:t> </w:t>
                        </w:r>
                        <w:r>
                          <w:rPr>
                            <w:sz w:val="16"/>
                            <w:u w:val="dotted" w:color="929292"/>
                          </w:rPr>
                          <w:tab/>
                          <w:tab/>
                        </w:r>
                        <w:r>
                          <w:rPr>
                            <w:sz w:val="16"/>
                          </w:rPr>
                          <w:t> </w:t>
                        </w:r>
                        <w:r>
                          <w:rPr>
                            <w:w w:val="99"/>
                            <w:sz w:val="16"/>
                          </w:rPr>
                          <w:t>25</w:t>
                        </w:r>
                      </w:p>
                      <w:p>
                        <w:pPr>
                          <w:pStyle w:val="TableParagraph"/>
                          <w:tabs>
                            <w:tab w:pos="1129" w:val="left" w:leader="none"/>
                          </w:tabs>
                          <w:spacing w:line="180" w:lineRule="auto" w:before="16"/>
                          <w:ind w:left="100" w:right="8" w:hanging="76"/>
                          <w:rPr>
                            <w:sz w:val="16"/>
                          </w:rPr>
                        </w:pPr>
                        <w:r>
                          <w:rPr>
                            <w:color w:val="6D6E71"/>
                            <w:w w:val="100"/>
                            <w:sz w:val="16"/>
                            <w:u w:val="dotted" w:color="929292"/>
                          </w:rPr>
                          <w:t> </w:t>
                        </w:r>
                        <w:r>
                          <w:rPr>
                            <w:color w:val="6D6E71"/>
                            <w:sz w:val="16"/>
                            <w:u w:val="dotted" w:color="929292"/>
                          </w:rPr>
                          <w:tab/>
                          <w:tab/>
                        </w:r>
                        <w:r>
                          <w:rPr>
                            <w:color w:val="6D6E71"/>
                            <w:sz w:val="16"/>
                          </w:rPr>
                          <w:t> </w:t>
                        </w:r>
                        <w:r>
                          <w:rPr>
                            <w:w w:val="99"/>
                            <w:sz w:val="16"/>
                          </w:rPr>
                          <w:t>23</w:t>
                        </w:r>
                      </w:p>
                    </w:tc>
                    <w:tc>
                      <w:tcPr>
                        <w:tcW w:w="1050" w:type="dxa"/>
                        <w:vMerge w:val="restart"/>
                      </w:tcPr>
                      <w:p>
                        <w:pPr>
                          <w:pStyle w:val="TableParagraph"/>
                          <w:spacing w:line="142" w:lineRule="exact"/>
                          <w:ind w:left="100"/>
                          <w:rPr>
                            <w:sz w:val="16"/>
                          </w:rPr>
                        </w:pPr>
                        <w:r>
                          <w:rPr>
                            <w:w w:val="99"/>
                            <w:sz w:val="16"/>
                          </w:rPr>
                          <w:t>2</w:t>
                        </w:r>
                      </w:p>
                      <w:p>
                        <w:pPr>
                          <w:pStyle w:val="TableParagraph"/>
                          <w:tabs>
                            <w:tab w:pos="1029" w:val="left" w:leader="none"/>
                          </w:tabs>
                          <w:spacing w:line="150" w:lineRule="exact"/>
                          <w:ind w:left="25"/>
                          <w:rPr>
                            <w:sz w:val="16"/>
                          </w:rPr>
                        </w:pPr>
                        <w:r>
                          <w:rPr>
                            <w:w w:val="100"/>
                            <w:sz w:val="16"/>
                            <w:u w:val="dotted" w:color="929292"/>
                          </w:rPr>
                          <w:t> </w:t>
                        </w:r>
                        <w:r>
                          <w:rPr>
                            <w:sz w:val="16"/>
                            <w:u w:val="dotted" w:color="929292"/>
                          </w:rPr>
                          <w:tab/>
                        </w:r>
                      </w:p>
                      <w:p>
                        <w:pPr>
                          <w:pStyle w:val="TableParagraph"/>
                          <w:spacing w:line="179" w:lineRule="exact"/>
                          <w:ind w:left="100"/>
                          <w:rPr>
                            <w:sz w:val="16"/>
                          </w:rPr>
                        </w:pPr>
                        <w:r>
                          <w:rPr>
                            <w:w w:val="99"/>
                            <w:sz w:val="16"/>
                          </w:rPr>
                          <w:t>0</w:t>
                        </w:r>
                      </w:p>
                      <w:p>
                        <w:pPr>
                          <w:pStyle w:val="TableParagraph"/>
                          <w:tabs>
                            <w:tab w:pos="1029" w:val="left" w:leader="none"/>
                          </w:tabs>
                          <w:spacing w:line="170" w:lineRule="exact" w:before="30"/>
                          <w:ind w:left="100" w:right="8" w:hanging="76"/>
                          <w:rPr>
                            <w:sz w:val="16"/>
                          </w:rPr>
                        </w:pPr>
                        <w:r>
                          <w:rPr>
                            <w:w w:val="100"/>
                            <w:sz w:val="16"/>
                            <w:u w:val="dotted" w:color="929292"/>
                          </w:rPr>
                          <w:t> </w:t>
                        </w:r>
                        <w:r>
                          <w:rPr>
                            <w:sz w:val="16"/>
                            <w:u w:val="dotted" w:color="929292"/>
                          </w:rPr>
                          <w:tab/>
                          <w:tab/>
                        </w:r>
                        <w:r>
                          <w:rPr>
                            <w:sz w:val="16"/>
                          </w:rPr>
                          <w:t> </w:t>
                        </w:r>
                        <w:r>
                          <w:rPr>
                            <w:w w:val="99"/>
                            <w:sz w:val="16"/>
                          </w:rPr>
                          <w:t>0</w:t>
                        </w:r>
                      </w:p>
                      <w:p>
                        <w:pPr>
                          <w:pStyle w:val="TableParagraph"/>
                          <w:tabs>
                            <w:tab w:pos="1029" w:val="left" w:leader="none"/>
                          </w:tabs>
                          <w:spacing w:line="180" w:lineRule="auto" w:before="16"/>
                          <w:ind w:left="100" w:right="8" w:hanging="76"/>
                          <w:rPr>
                            <w:sz w:val="16"/>
                          </w:rPr>
                        </w:pPr>
                        <w:r>
                          <w:rPr>
                            <w:color w:val="6D6E71"/>
                            <w:w w:val="100"/>
                            <w:sz w:val="16"/>
                            <w:u w:val="dotted" w:color="929292"/>
                          </w:rPr>
                          <w:t> </w:t>
                        </w:r>
                        <w:r>
                          <w:rPr>
                            <w:color w:val="6D6E71"/>
                            <w:sz w:val="16"/>
                            <w:u w:val="dotted" w:color="929292"/>
                          </w:rPr>
                          <w:tab/>
                          <w:tab/>
                        </w:r>
                        <w:r>
                          <w:rPr>
                            <w:color w:val="6D6E71"/>
                            <w:sz w:val="16"/>
                          </w:rPr>
                          <w:t> </w:t>
                        </w:r>
                        <w:r>
                          <w:rPr>
                            <w:w w:val="99"/>
                            <w:sz w:val="16"/>
                          </w:rPr>
                          <w:t>11</w:t>
                        </w:r>
                      </w:p>
                    </w:tc>
                    <w:tc>
                      <w:tcPr>
                        <w:tcW w:w="1193" w:type="dxa"/>
                        <w:vMerge w:val="restart"/>
                        <w:tcBorders>
                          <w:right w:val="nil"/>
                        </w:tcBorders>
                      </w:tcPr>
                      <w:p>
                        <w:pPr>
                          <w:pStyle w:val="TableParagraph"/>
                          <w:spacing w:line="142" w:lineRule="exact"/>
                          <w:ind w:left="100"/>
                          <w:rPr>
                            <w:sz w:val="16"/>
                          </w:rPr>
                        </w:pPr>
                        <w:r>
                          <w:rPr>
                            <w:w w:val="99"/>
                            <w:sz w:val="16"/>
                          </w:rPr>
                          <w:t>3</w:t>
                        </w:r>
                      </w:p>
                      <w:p>
                        <w:pPr>
                          <w:pStyle w:val="TableParagraph"/>
                          <w:tabs>
                            <w:tab w:pos="1187" w:val="left" w:leader="none"/>
                          </w:tabs>
                          <w:spacing w:line="150" w:lineRule="exact"/>
                          <w:ind w:left="25"/>
                          <w:rPr>
                            <w:sz w:val="16"/>
                          </w:rPr>
                        </w:pPr>
                        <w:r>
                          <w:rPr>
                            <w:w w:val="100"/>
                            <w:sz w:val="16"/>
                            <w:u w:val="dotted" w:color="929292"/>
                          </w:rPr>
                          <w:t> </w:t>
                        </w:r>
                        <w:r>
                          <w:rPr>
                            <w:sz w:val="16"/>
                            <w:u w:val="dotted" w:color="929292"/>
                          </w:rPr>
                          <w:tab/>
                        </w:r>
                      </w:p>
                      <w:p>
                        <w:pPr>
                          <w:pStyle w:val="TableParagraph"/>
                          <w:spacing w:line="179" w:lineRule="exact"/>
                          <w:ind w:left="100"/>
                          <w:rPr>
                            <w:sz w:val="16"/>
                          </w:rPr>
                        </w:pPr>
                        <w:r>
                          <w:rPr>
                            <w:w w:val="99"/>
                            <w:sz w:val="16"/>
                          </w:rPr>
                          <w:t>3</w:t>
                        </w:r>
                      </w:p>
                      <w:p>
                        <w:pPr>
                          <w:pStyle w:val="TableParagraph"/>
                          <w:tabs>
                            <w:tab w:pos="1187" w:val="left" w:leader="none"/>
                          </w:tabs>
                          <w:spacing w:line="170" w:lineRule="exact" w:before="30"/>
                          <w:ind w:left="100" w:hanging="76"/>
                          <w:rPr>
                            <w:sz w:val="16"/>
                          </w:rPr>
                        </w:pPr>
                        <w:r>
                          <w:rPr>
                            <w:w w:val="100"/>
                            <w:sz w:val="16"/>
                            <w:u w:val="dotted" w:color="929292"/>
                          </w:rPr>
                          <w:t> </w:t>
                        </w:r>
                        <w:r>
                          <w:rPr>
                            <w:sz w:val="16"/>
                            <w:u w:val="dotted" w:color="929292"/>
                          </w:rPr>
                          <w:tab/>
                          <w:tab/>
                        </w:r>
                        <w:r>
                          <w:rPr>
                            <w:sz w:val="16"/>
                          </w:rPr>
                          <w:t> </w:t>
                        </w:r>
                        <w:r>
                          <w:rPr>
                            <w:w w:val="99"/>
                            <w:sz w:val="16"/>
                          </w:rPr>
                          <w:t>2</w:t>
                        </w:r>
                      </w:p>
                      <w:p>
                        <w:pPr>
                          <w:pStyle w:val="TableParagraph"/>
                          <w:tabs>
                            <w:tab w:pos="1187" w:val="left" w:leader="none"/>
                          </w:tabs>
                          <w:spacing w:line="180" w:lineRule="auto" w:before="16"/>
                          <w:ind w:left="100" w:hanging="75"/>
                          <w:rPr>
                            <w:sz w:val="16"/>
                          </w:rPr>
                        </w:pPr>
                        <w:r>
                          <w:rPr>
                            <w:color w:val="6D6E71"/>
                            <w:w w:val="100"/>
                            <w:sz w:val="16"/>
                            <w:u w:val="dotted" w:color="929292"/>
                          </w:rPr>
                          <w:t> </w:t>
                        </w:r>
                        <w:r>
                          <w:rPr>
                            <w:color w:val="6D6E71"/>
                            <w:sz w:val="16"/>
                            <w:u w:val="dotted" w:color="929292"/>
                          </w:rPr>
                          <w:tab/>
                          <w:tab/>
                        </w:r>
                        <w:r>
                          <w:rPr>
                            <w:color w:val="6D6E71"/>
                            <w:sz w:val="16"/>
                          </w:rPr>
                          <w:t> </w:t>
                        </w:r>
                        <w:r>
                          <w:rPr>
                            <w:w w:val="99"/>
                            <w:sz w:val="16"/>
                          </w:rPr>
                          <w:t>2</w:t>
                        </w:r>
                      </w:p>
                    </w:tc>
                  </w:tr>
                  <w:tr>
                    <w:trPr>
                      <w:trHeight w:val="187" w:hRule="exact"/>
                    </w:trPr>
                    <w:tc>
                      <w:tcPr>
                        <w:tcW w:w="2084" w:type="dxa"/>
                        <w:tcBorders>
                          <w:top w:val="nil"/>
                          <w:left w:val="nil"/>
                          <w:bottom w:val="nil"/>
                        </w:tcBorders>
                      </w:tcPr>
                      <w:p>
                        <w:pPr>
                          <w:pStyle w:val="TableParagraph"/>
                          <w:spacing w:line="172" w:lineRule="exact"/>
                          <w:ind w:left="70"/>
                          <w:rPr>
                            <w:sz w:val="16"/>
                          </w:rPr>
                        </w:pPr>
                        <w:r>
                          <w:rPr>
                            <w:sz w:val="16"/>
                          </w:rPr>
                          <w:t>San Cristóbal</w:t>
                        </w:r>
                      </w:p>
                    </w:tc>
                    <w:tc>
                      <w:tcPr>
                        <w:tcW w:w="2169" w:type="dxa"/>
                        <w:vMerge/>
                      </w:tcPr>
                      <w:p>
                        <w:pPr/>
                      </w:p>
                    </w:tc>
                    <w:tc>
                      <w:tcPr>
                        <w:tcW w:w="1150" w:type="dxa"/>
                        <w:vMerge/>
                      </w:tcPr>
                      <w:p>
                        <w:pPr/>
                      </w:p>
                    </w:tc>
                    <w:tc>
                      <w:tcPr>
                        <w:tcW w:w="1050" w:type="dxa"/>
                        <w:vMerge/>
                      </w:tcPr>
                      <w:p>
                        <w:pPr/>
                      </w:p>
                    </w:tc>
                    <w:tc>
                      <w:tcPr>
                        <w:tcW w:w="1193" w:type="dxa"/>
                        <w:vMerge/>
                        <w:tcBorders>
                          <w:right w:val="nil"/>
                        </w:tcBorders>
                      </w:tcPr>
                      <w:p>
                        <w:pPr/>
                      </w:p>
                    </w:tc>
                  </w:tr>
                  <w:tr>
                    <w:trPr>
                      <w:trHeight w:val="779" w:hRule="exact"/>
                    </w:trPr>
                    <w:tc>
                      <w:tcPr>
                        <w:tcW w:w="2084" w:type="dxa"/>
                        <w:tcBorders>
                          <w:top w:val="nil"/>
                          <w:left w:val="nil"/>
                          <w:bottom w:val="nil"/>
                        </w:tcBorders>
                      </w:tcPr>
                      <w:p>
                        <w:pPr>
                          <w:pStyle w:val="TableParagraph"/>
                          <w:ind w:left="70"/>
                          <w:rPr>
                            <w:sz w:val="16"/>
                          </w:rPr>
                        </w:pPr>
                        <w:r>
                          <w:rPr>
                            <w:sz w:val="16"/>
                          </w:rPr>
                          <w:t>Huichochitlán</w:t>
                        </w:r>
                      </w:p>
                    </w:tc>
                    <w:tc>
                      <w:tcPr>
                        <w:tcW w:w="2169" w:type="dxa"/>
                        <w:vMerge/>
                      </w:tcPr>
                      <w:p>
                        <w:pPr/>
                      </w:p>
                    </w:tc>
                    <w:tc>
                      <w:tcPr>
                        <w:tcW w:w="1150" w:type="dxa"/>
                        <w:vMerge/>
                      </w:tcPr>
                      <w:p>
                        <w:pPr/>
                      </w:p>
                    </w:tc>
                    <w:tc>
                      <w:tcPr>
                        <w:tcW w:w="1050" w:type="dxa"/>
                        <w:vMerge/>
                      </w:tcPr>
                      <w:p>
                        <w:pPr/>
                      </w:p>
                    </w:tc>
                    <w:tc>
                      <w:tcPr>
                        <w:tcW w:w="1193" w:type="dxa"/>
                        <w:vMerge/>
                        <w:tcBorders>
                          <w:right w:val="nil"/>
                        </w:tcBorders>
                      </w:tcPr>
                      <w:p>
                        <w:pPr/>
                      </w:p>
                    </w:tc>
                  </w:tr>
                  <w:tr>
                    <w:trPr>
                      <w:trHeight w:val="300" w:hRule="exact"/>
                    </w:trPr>
                    <w:tc>
                      <w:tcPr>
                        <w:tcW w:w="2084" w:type="dxa"/>
                        <w:tcBorders>
                          <w:top w:val="nil"/>
                          <w:left w:val="nil"/>
                        </w:tcBorders>
                      </w:tcPr>
                      <w:p>
                        <w:pPr/>
                      </w:p>
                    </w:tc>
                    <w:tc>
                      <w:tcPr>
                        <w:tcW w:w="2169" w:type="dxa"/>
                      </w:tcPr>
                      <w:p>
                        <w:pPr>
                          <w:pStyle w:val="TableParagraph"/>
                          <w:spacing w:line="171" w:lineRule="exact"/>
                          <w:ind w:left="100"/>
                          <w:rPr>
                            <w:sz w:val="16"/>
                          </w:rPr>
                        </w:pPr>
                        <w:r>
                          <w:rPr>
                            <w:sz w:val="16"/>
                          </w:rPr>
                          <w:t>Barrio la Trinidad</w:t>
                        </w:r>
                      </w:p>
                    </w:tc>
                    <w:tc>
                      <w:tcPr>
                        <w:tcW w:w="1150" w:type="dxa"/>
                      </w:tcPr>
                      <w:p>
                        <w:pPr>
                          <w:pStyle w:val="TableParagraph"/>
                          <w:spacing w:line="171" w:lineRule="exact"/>
                          <w:ind w:left="100"/>
                          <w:rPr>
                            <w:sz w:val="16"/>
                          </w:rPr>
                        </w:pPr>
                        <w:r>
                          <w:rPr>
                            <w:sz w:val="16"/>
                          </w:rPr>
                          <w:t>40</w:t>
                        </w:r>
                      </w:p>
                    </w:tc>
                    <w:tc>
                      <w:tcPr>
                        <w:tcW w:w="1050" w:type="dxa"/>
                      </w:tcPr>
                      <w:p>
                        <w:pPr>
                          <w:pStyle w:val="TableParagraph"/>
                          <w:spacing w:line="171" w:lineRule="exact"/>
                          <w:ind w:left="100"/>
                          <w:rPr>
                            <w:sz w:val="16"/>
                          </w:rPr>
                        </w:pPr>
                        <w:r>
                          <w:rPr>
                            <w:w w:val="99"/>
                            <w:sz w:val="16"/>
                          </w:rPr>
                          <w:t>0</w:t>
                        </w:r>
                      </w:p>
                    </w:tc>
                    <w:tc>
                      <w:tcPr>
                        <w:tcW w:w="1193" w:type="dxa"/>
                        <w:tcBorders>
                          <w:right w:val="nil"/>
                        </w:tcBorders>
                      </w:tcPr>
                      <w:p>
                        <w:pPr>
                          <w:pStyle w:val="TableParagraph"/>
                          <w:spacing w:line="171" w:lineRule="exact"/>
                          <w:ind w:left="100"/>
                          <w:rPr>
                            <w:sz w:val="16"/>
                          </w:rPr>
                        </w:pPr>
                        <w:r>
                          <w:rPr>
                            <w:w w:val="99"/>
                            <w:sz w:val="16"/>
                          </w:rPr>
                          <w:t>3</w:t>
                        </w:r>
                      </w:p>
                    </w:tc>
                  </w:tr>
                  <w:tr>
                    <w:trPr>
                      <w:trHeight w:val="300" w:hRule="exact"/>
                    </w:trPr>
                    <w:tc>
                      <w:tcPr>
                        <w:tcW w:w="2084" w:type="dxa"/>
                        <w:tcBorders>
                          <w:left w:val="nil"/>
                        </w:tcBorders>
                      </w:tcPr>
                      <w:p>
                        <w:pPr>
                          <w:pStyle w:val="TableParagraph"/>
                          <w:spacing w:line="171" w:lineRule="exact"/>
                          <w:ind w:left="69"/>
                          <w:rPr>
                            <w:sz w:val="16"/>
                          </w:rPr>
                        </w:pPr>
                        <w:r>
                          <w:rPr>
                            <w:sz w:val="16"/>
                          </w:rPr>
                          <w:t>San Lorenzo Tepatitlán</w:t>
                        </w:r>
                      </w:p>
                    </w:tc>
                    <w:tc>
                      <w:tcPr>
                        <w:tcW w:w="2169" w:type="dxa"/>
                      </w:tcPr>
                      <w:p>
                        <w:pPr>
                          <w:pStyle w:val="TableParagraph"/>
                          <w:spacing w:line="171" w:lineRule="exact"/>
                          <w:ind w:left="100"/>
                          <w:rPr>
                            <w:sz w:val="16"/>
                          </w:rPr>
                        </w:pPr>
                        <w:r>
                          <w:rPr>
                            <w:sz w:val="16"/>
                          </w:rPr>
                          <w:t>Avenida Santa Elena</w:t>
                        </w:r>
                      </w:p>
                    </w:tc>
                    <w:tc>
                      <w:tcPr>
                        <w:tcW w:w="1150" w:type="dxa"/>
                      </w:tcPr>
                      <w:p>
                        <w:pPr>
                          <w:pStyle w:val="TableParagraph"/>
                          <w:spacing w:line="171" w:lineRule="exact"/>
                          <w:ind w:left="100"/>
                          <w:rPr>
                            <w:sz w:val="16"/>
                          </w:rPr>
                        </w:pPr>
                        <w:r>
                          <w:rPr>
                            <w:sz w:val="16"/>
                          </w:rPr>
                          <w:t>10</w:t>
                        </w:r>
                      </w:p>
                    </w:tc>
                    <w:tc>
                      <w:tcPr>
                        <w:tcW w:w="1050" w:type="dxa"/>
                      </w:tcPr>
                      <w:p>
                        <w:pPr>
                          <w:pStyle w:val="TableParagraph"/>
                          <w:spacing w:line="171" w:lineRule="exact"/>
                          <w:ind w:left="99"/>
                          <w:rPr>
                            <w:sz w:val="16"/>
                          </w:rPr>
                        </w:pPr>
                        <w:r>
                          <w:rPr>
                            <w:w w:val="99"/>
                            <w:sz w:val="16"/>
                          </w:rPr>
                          <w:t>2</w:t>
                        </w:r>
                      </w:p>
                    </w:tc>
                    <w:tc>
                      <w:tcPr>
                        <w:tcW w:w="1193" w:type="dxa"/>
                        <w:tcBorders>
                          <w:right w:val="nil"/>
                        </w:tcBorders>
                      </w:tcPr>
                      <w:p>
                        <w:pPr>
                          <w:pStyle w:val="TableParagraph"/>
                          <w:spacing w:line="171" w:lineRule="exact"/>
                          <w:ind w:left="99"/>
                          <w:rPr>
                            <w:sz w:val="16"/>
                          </w:rPr>
                        </w:pPr>
                        <w:r>
                          <w:rPr>
                            <w:w w:val="99"/>
                            <w:sz w:val="16"/>
                          </w:rPr>
                          <w:t>2</w:t>
                        </w:r>
                      </w:p>
                    </w:tc>
                  </w:tr>
                  <w:tr>
                    <w:trPr>
                      <w:trHeight w:val="192" w:hRule="exact"/>
                    </w:trPr>
                    <w:tc>
                      <w:tcPr>
                        <w:tcW w:w="2084" w:type="dxa"/>
                        <w:tcBorders>
                          <w:left w:val="nil"/>
                          <w:bottom w:val="nil"/>
                        </w:tcBorders>
                      </w:tcPr>
                      <w:p>
                        <w:pPr>
                          <w:pStyle w:val="TableParagraph"/>
                          <w:spacing w:line="171" w:lineRule="exact"/>
                          <w:ind w:left="69"/>
                          <w:rPr>
                            <w:sz w:val="16"/>
                          </w:rPr>
                        </w:pPr>
                        <w:r>
                          <w:rPr>
                            <w:sz w:val="16"/>
                          </w:rPr>
                          <w:t>San Marcos</w:t>
                        </w:r>
                      </w:p>
                    </w:tc>
                    <w:tc>
                      <w:tcPr>
                        <w:tcW w:w="2169" w:type="dxa"/>
                        <w:vMerge w:val="restart"/>
                      </w:tcPr>
                      <w:p>
                        <w:pPr>
                          <w:pStyle w:val="TableParagraph"/>
                          <w:spacing w:line="171" w:lineRule="exact"/>
                          <w:ind w:left="99"/>
                          <w:rPr>
                            <w:sz w:val="16"/>
                          </w:rPr>
                        </w:pPr>
                        <w:r>
                          <w:rPr>
                            <w:sz w:val="16"/>
                          </w:rPr>
                          <w:t>Centenario</w:t>
                        </w:r>
                      </w:p>
                      <w:p>
                        <w:pPr>
                          <w:pStyle w:val="TableParagraph"/>
                          <w:tabs>
                            <w:tab w:pos="2148" w:val="left" w:leader="none"/>
                          </w:tabs>
                          <w:spacing w:line="170" w:lineRule="exact" w:before="30"/>
                          <w:ind w:left="99" w:right="8" w:hanging="75"/>
                          <w:rPr>
                            <w:sz w:val="16"/>
                          </w:rPr>
                        </w:pPr>
                        <w:r>
                          <w:rPr>
                            <w:w w:val="100"/>
                            <w:sz w:val="16"/>
                            <w:u w:val="dotted" w:color="929292"/>
                          </w:rPr>
                          <w:t> </w:t>
                        </w:r>
                        <w:r>
                          <w:rPr>
                            <w:sz w:val="16"/>
                            <w:u w:val="dotted" w:color="929292"/>
                          </w:rPr>
                          <w:tab/>
                          <w:tab/>
                        </w:r>
                        <w:r>
                          <w:rPr>
                            <w:sz w:val="16"/>
                          </w:rPr>
                          <w:t> </w:t>
                        </w:r>
                        <w:r>
                          <w:rPr>
                            <w:w w:val="99"/>
                            <w:sz w:val="16"/>
                          </w:rPr>
                          <w:t>Carretera</w:t>
                        </w:r>
                        <w:r>
                          <w:rPr>
                            <w:sz w:val="16"/>
                          </w:rPr>
                          <w:t> </w:t>
                        </w:r>
                        <w:r>
                          <w:rPr>
                            <w:w w:val="96"/>
                            <w:sz w:val="16"/>
                          </w:rPr>
                          <w:t>a</w:t>
                        </w:r>
                        <w:r>
                          <w:rPr>
                            <w:sz w:val="16"/>
                          </w:rPr>
                          <w:t> </w:t>
                        </w:r>
                        <w:r>
                          <w:rPr>
                            <w:w w:val="102"/>
                            <w:sz w:val="16"/>
                          </w:rPr>
                          <w:t>Atlacomulco</w:t>
                        </w:r>
                      </w:p>
                    </w:tc>
                    <w:tc>
                      <w:tcPr>
                        <w:tcW w:w="1150" w:type="dxa"/>
                        <w:tcBorders>
                          <w:bottom w:val="nil"/>
                        </w:tcBorders>
                      </w:tcPr>
                      <w:p>
                        <w:pPr>
                          <w:pStyle w:val="TableParagraph"/>
                          <w:spacing w:line="171" w:lineRule="exact"/>
                          <w:ind w:left="99"/>
                          <w:rPr>
                            <w:sz w:val="16"/>
                          </w:rPr>
                        </w:pPr>
                        <w:r>
                          <w:rPr>
                            <w:w w:val="99"/>
                            <w:sz w:val="16"/>
                          </w:rPr>
                          <w:t>0</w:t>
                        </w:r>
                      </w:p>
                    </w:tc>
                    <w:tc>
                      <w:tcPr>
                        <w:tcW w:w="1050" w:type="dxa"/>
                        <w:tcBorders>
                          <w:bottom w:val="nil"/>
                        </w:tcBorders>
                      </w:tcPr>
                      <w:p>
                        <w:pPr>
                          <w:pStyle w:val="TableParagraph"/>
                          <w:spacing w:line="171" w:lineRule="exact"/>
                          <w:ind w:left="99"/>
                          <w:rPr>
                            <w:sz w:val="16"/>
                          </w:rPr>
                        </w:pPr>
                        <w:r>
                          <w:rPr>
                            <w:w w:val="99"/>
                            <w:sz w:val="16"/>
                          </w:rPr>
                          <w:t>0</w:t>
                        </w:r>
                      </w:p>
                    </w:tc>
                    <w:tc>
                      <w:tcPr>
                        <w:tcW w:w="1193" w:type="dxa"/>
                        <w:tcBorders>
                          <w:bottom w:val="nil"/>
                          <w:right w:val="nil"/>
                        </w:tcBorders>
                      </w:tcPr>
                      <w:p>
                        <w:pPr>
                          <w:pStyle w:val="TableParagraph"/>
                          <w:spacing w:line="171" w:lineRule="exact"/>
                          <w:ind w:left="99"/>
                          <w:rPr>
                            <w:sz w:val="16"/>
                          </w:rPr>
                        </w:pPr>
                        <w:r>
                          <w:rPr>
                            <w:w w:val="99"/>
                            <w:sz w:val="16"/>
                          </w:rPr>
                          <w:t>0</w:t>
                        </w:r>
                      </w:p>
                    </w:tc>
                  </w:tr>
                  <w:tr>
                    <w:trPr>
                      <w:trHeight w:val="185" w:hRule="exact"/>
                    </w:trPr>
                    <w:tc>
                      <w:tcPr>
                        <w:tcW w:w="2084" w:type="dxa"/>
                        <w:tcBorders>
                          <w:top w:val="nil"/>
                          <w:left w:val="nil"/>
                          <w:bottom w:val="nil"/>
                        </w:tcBorders>
                      </w:tcPr>
                      <w:p>
                        <w:pPr>
                          <w:pStyle w:val="TableParagraph"/>
                          <w:tabs>
                            <w:tab w:pos="2068" w:val="left" w:leader="none"/>
                          </w:tabs>
                          <w:rPr>
                            <w:sz w:val="16"/>
                          </w:rPr>
                        </w:pPr>
                        <w:r>
                          <w:rPr>
                            <w:w w:val="100"/>
                            <w:sz w:val="16"/>
                            <w:u w:val="dotted" w:color="929292"/>
                          </w:rPr>
                          <w:t> </w:t>
                        </w:r>
                        <w:r>
                          <w:rPr>
                            <w:spacing w:val="-20"/>
                            <w:sz w:val="16"/>
                            <w:u w:val="dotted" w:color="929292"/>
                          </w:rPr>
                          <w:t> </w:t>
                        </w:r>
                        <w:r>
                          <w:rPr>
                            <w:sz w:val="16"/>
                            <w:u w:val="dotted" w:color="929292"/>
                          </w:rPr>
                          <w:t>Yachihuacaltepec</w:t>
                          <w:tab/>
                        </w:r>
                      </w:p>
                    </w:tc>
                    <w:tc>
                      <w:tcPr>
                        <w:tcW w:w="2169" w:type="dxa"/>
                        <w:vMerge/>
                      </w:tcPr>
                      <w:p>
                        <w:pPr/>
                      </w:p>
                    </w:tc>
                    <w:tc>
                      <w:tcPr>
                        <w:tcW w:w="1150" w:type="dxa"/>
                        <w:tcBorders>
                          <w:top w:val="nil"/>
                          <w:bottom w:val="nil"/>
                        </w:tcBorders>
                      </w:tcPr>
                      <w:p>
                        <w:pPr>
                          <w:pStyle w:val="TableParagraph"/>
                          <w:tabs>
                            <w:tab w:pos="1129" w:val="left" w:leader="none"/>
                          </w:tabs>
                          <w:ind w:left="25"/>
                          <w:rPr>
                            <w:sz w:val="16"/>
                          </w:rPr>
                        </w:pPr>
                        <w:r>
                          <w:rPr>
                            <w:w w:val="100"/>
                            <w:sz w:val="16"/>
                            <w:u w:val="dotted" w:color="929292"/>
                          </w:rPr>
                          <w:t> </w:t>
                        </w:r>
                        <w:r>
                          <w:rPr>
                            <w:sz w:val="16"/>
                            <w:u w:val="dotted" w:color="929292"/>
                          </w:rPr>
                          <w:tab/>
                        </w:r>
                      </w:p>
                    </w:tc>
                    <w:tc>
                      <w:tcPr>
                        <w:tcW w:w="1050" w:type="dxa"/>
                        <w:tcBorders>
                          <w:top w:val="nil"/>
                          <w:bottom w:val="nil"/>
                        </w:tcBorders>
                      </w:tcPr>
                      <w:p>
                        <w:pPr>
                          <w:pStyle w:val="TableParagraph"/>
                          <w:tabs>
                            <w:tab w:pos="1029" w:val="left" w:leader="none"/>
                          </w:tabs>
                          <w:ind w:left="25"/>
                          <w:rPr>
                            <w:sz w:val="16"/>
                          </w:rPr>
                        </w:pPr>
                        <w:r>
                          <w:rPr>
                            <w:w w:val="100"/>
                            <w:sz w:val="16"/>
                            <w:u w:val="dotted" w:color="929292"/>
                          </w:rPr>
                          <w:t> </w:t>
                        </w:r>
                        <w:r>
                          <w:rPr>
                            <w:sz w:val="16"/>
                            <w:u w:val="dotted" w:color="929292"/>
                          </w:rPr>
                          <w:tab/>
                        </w:r>
                      </w:p>
                    </w:tc>
                    <w:tc>
                      <w:tcPr>
                        <w:tcW w:w="1193" w:type="dxa"/>
                        <w:tcBorders>
                          <w:top w:val="nil"/>
                          <w:bottom w:val="nil"/>
                          <w:right w:val="nil"/>
                        </w:tcBorders>
                      </w:tcPr>
                      <w:p>
                        <w:pPr>
                          <w:pStyle w:val="TableParagraph"/>
                          <w:tabs>
                            <w:tab w:pos="1187" w:val="left" w:leader="none"/>
                          </w:tabs>
                          <w:ind w:left="25"/>
                          <w:rPr>
                            <w:sz w:val="16"/>
                          </w:rPr>
                        </w:pPr>
                        <w:r>
                          <w:rPr>
                            <w:w w:val="100"/>
                            <w:sz w:val="16"/>
                            <w:u w:val="dotted" w:color="929292"/>
                          </w:rPr>
                          <w:t> </w:t>
                        </w:r>
                        <w:r>
                          <w:rPr>
                            <w:sz w:val="16"/>
                            <w:u w:val="dotted" w:color="929292"/>
                          </w:rPr>
                          <w:tab/>
                        </w:r>
                      </w:p>
                    </w:tc>
                  </w:tr>
                  <w:tr>
                    <w:trPr>
                      <w:trHeight w:val="294" w:hRule="exact"/>
                    </w:trPr>
                    <w:tc>
                      <w:tcPr>
                        <w:tcW w:w="2084" w:type="dxa"/>
                        <w:tcBorders>
                          <w:top w:val="nil"/>
                          <w:left w:val="nil"/>
                        </w:tcBorders>
                      </w:tcPr>
                      <w:p>
                        <w:pPr>
                          <w:pStyle w:val="TableParagraph"/>
                          <w:spacing w:line="170" w:lineRule="exact"/>
                          <w:ind w:left="69"/>
                          <w:rPr>
                            <w:sz w:val="16"/>
                          </w:rPr>
                        </w:pPr>
                        <w:r>
                          <w:rPr>
                            <w:sz w:val="16"/>
                          </w:rPr>
                          <w:t>San Martín Tultepec</w:t>
                        </w:r>
                      </w:p>
                    </w:tc>
                    <w:tc>
                      <w:tcPr>
                        <w:tcW w:w="2169" w:type="dxa"/>
                        <w:vMerge/>
                      </w:tcPr>
                      <w:p>
                        <w:pPr/>
                      </w:p>
                    </w:tc>
                    <w:tc>
                      <w:tcPr>
                        <w:tcW w:w="1150" w:type="dxa"/>
                        <w:tcBorders>
                          <w:top w:val="nil"/>
                        </w:tcBorders>
                      </w:tcPr>
                      <w:p>
                        <w:pPr>
                          <w:pStyle w:val="TableParagraph"/>
                          <w:spacing w:line="170" w:lineRule="exact"/>
                          <w:ind w:left="99"/>
                          <w:rPr>
                            <w:sz w:val="16"/>
                          </w:rPr>
                        </w:pPr>
                        <w:r>
                          <w:rPr>
                            <w:sz w:val="16"/>
                          </w:rPr>
                          <w:t>10</w:t>
                        </w:r>
                      </w:p>
                    </w:tc>
                    <w:tc>
                      <w:tcPr>
                        <w:tcW w:w="1050" w:type="dxa"/>
                        <w:tcBorders>
                          <w:top w:val="nil"/>
                        </w:tcBorders>
                      </w:tcPr>
                      <w:p>
                        <w:pPr>
                          <w:pStyle w:val="TableParagraph"/>
                          <w:spacing w:line="170" w:lineRule="exact"/>
                          <w:ind w:left="99"/>
                          <w:rPr>
                            <w:sz w:val="16"/>
                          </w:rPr>
                        </w:pPr>
                        <w:r>
                          <w:rPr>
                            <w:w w:val="99"/>
                            <w:sz w:val="16"/>
                          </w:rPr>
                          <w:t>1</w:t>
                        </w:r>
                      </w:p>
                    </w:tc>
                    <w:tc>
                      <w:tcPr>
                        <w:tcW w:w="1193" w:type="dxa"/>
                        <w:tcBorders>
                          <w:top w:val="nil"/>
                          <w:right w:val="nil"/>
                        </w:tcBorders>
                      </w:tcPr>
                      <w:p>
                        <w:pPr>
                          <w:pStyle w:val="TableParagraph"/>
                          <w:spacing w:line="170" w:lineRule="exact"/>
                          <w:ind w:left="99"/>
                          <w:rPr>
                            <w:sz w:val="16"/>
                          </w:rPr>
                        </w:pPr>
                        <w:r>
                          <w:rPr>
                            <w:w w:val="99"/>
                            <w:sz w:val="16"/>
                          </w:rPr>
                          <w:t>1</w:t>
                        </w:r>
                      </w:p>
                    </w:tc>
                  </w:tr>
                  <w:tr>
                    <w:trPr>
                      <w:trHeight w:val="192" w:hRule="exact"/>
                    </w:trPr>
                    <w:tc>
                      <w:tcPr>
                        <w:tcW w:w="2084" w:type="dxa"/>
                        <w:tcBorders>
                          <w:left w:val="nil"/>
                          <w:bottom w:val="nil"/>
                        </w:tcBorders>
                      </w:tcPr>
                      <w:p>
                        <w:pPr>
                          <w:pStyle w:val="TableParagraph"/>
                          <w:spacing w:line="171" w:lineRule="exact"/>
                          <w:ind w:left="69"/>
                          <w:rPr>
                            <w:sz w:val="16"/>
                          </w:rPr>
                        </w:pPr>
                        <w:r>
                          <w:rPr>
                            <w:sz w:val="16"/>
                          </w:rPr>
                          <w:t>San Mateo Otzacatipan</w:t>
                        </w:r>
                      </w:p>
                    </w:tc>
                    <w:tc>
                      <w:tcPr>
                        <w:tcW w:w="2169" w:type="dxa"/>
                        <w:vMerge w:val="restart"/>
                      </w:tcPr>
                      <w:p>
                        <w:pPr>
                          <w:pStyle w:val="TableParagraph"/>
                          <w:spacing w:line="171" w:lineRule="exact"/>
                          <w:ind w:left="99"/>
                          <w:rPr>
                            <w:sz w:val="16"/>
                          </w:rPr>
                        </w:pPr>
                        <w:r>
                          <w:rPr>
                            <w:sz w:val="16"/>
                          </w:rPr>
                          <w:t>Paseo Vicente Lombardo</w:t>
                        </w:r>
                      </w:p>
                      <w:p>
                        <w:pPr>
                          <w:pStyle w:val="TableParagraph"/>
                          <w:tabs>
                            <w:tab w:pos="2148" w:val="left" w:leader="none"/>
                          </w:tabs>
                          <w:spacing w:line="170" w:lineRule="exact" w:before="30"/>
                          <w:ind w:left="99" w:right="8" w:hanging="75"/>
                          <w:rPr>
                            <w:sz w:val="16"/>
                          </w:rPr>
                        </w:pPr>
                        <w:r>
                          <w:rPr>
                            <w:w w:val="100"/>
                            <w:sz w:val="16"/>
                            <w:u w:val="dotted" w:color="929292"/>
                          </w:rPr>
                          <w:t> </w:t>
                        </w:r>
                        <w:r>
                          <w:rPr>
                            <w:spacing w:val="-15"/>
                            <w:sz w:val="16"/>
                            <w:u w:val="dotted" w:color="929292"/>
                          </w:rPr>
                          <w:t> </w:t>
                        </w:r>
                        <w:r>
                          <w:rPr>
                            <w:sz w:val="16"/>
                            <w:u w:val="dotted" w:color="929292"/>
                          </w:rPr>
                          <w:t>Toledano</w:t>
                          <w:tab/>
                        </w:r>
                        <w:r>
                          <w:rPr>
                            <w:sz w:val="16"/>
                          </w:rPr>
                          <w:t> Barrio La</w:t>
                        </w:r>
                        <w:r>
                          <w:rPr>
                            <w:spacing w:val="-1"/>
                            <w:sz w:val="16"/>
                          </w:rPr>
                          <w:t> </w:t>
                        </w:r>
                        <w:r>
                          <w:rPr>
                            <w:sz w:val="16"/>
                          </w:rPr>
                          <w:t>Crespa</w:t>
                        </w:r>
                      </w:p>
                    </w:tc>
                    <w:tc>
                      <w:tcPr>
                        <w:tcW w:w="1150" w:type="dxa"/>
                        <w:tcBorders>
                          <w:bottom w:val="nil"/>
                        </w:tcBorders>
                      </w:tcPr>
                      <w:p>
                        <w:pPr>
                          <w:pStyle w:val="TableParagraph"/>
                          <w:spacing w:line="171" w:lineRule="exact"/>
                          <w:ind w:left="99"/>
                          <w:rPr>
                            <w:sz w:val="16"/>
                          </w:rPr>
                        </w:pPr>
                        <w:r>
                          <w:rPr>
                            <w:sz w:val="16"/>
                          </w:rPr>
                          <w:t>43</w:t>
                        </w:r>
                      </w:p>
                    </w:tc>
                    <w:tc>
                      <w:tcPr>
                        <w:tcW w:w="1050" w:type="dxa"/>
                        <w:tcBorders>
                          <w:bottom w:val="nil"/>
                        </w:tcBorders>
                      </w:tcPr>
                      <w:p>
                        <w:pPr>
                          <w:pStyle w:val="TableParagraph"/>
                          <w:spacing w:line="171" w:lineRule="exact"/>
                          <w:ind w:left="99"/>
                          <w:rPr>
                            <w:sz w:val="16"/>
                          </w:rPr>
                        </w:pPr>
                        <w:r>
                          <w:rPr>
                            <w:w w:val="99"/>
                            <w:sz w:val="16"/>
                          </w:rPr>
                          <w:t>0</w:t>
                        </w:r>
                      </w:p>
                    </w:tc>
                    <w:tc>
                      <w:tcPr>
                        <w:tcW w:w="1193" w:type="dxa"/>
                        <w:tcBorders>
                          <w:bottom w:val="nil"/>
                          <w:right w:val="nil"/>
                        </w:tcBorders>
                      </w:tcPr>
                      <w:p>
                        <w:pPr>
                          <w:pStyle w:val="TableParagraph"/>
                          <w:spacing w:line="171" w:lineRule="exact"/>
                          <w:ind w:left="99"/>
                          <w:rPr>
                            <w:sz w:val="16"/>
                          </w:rPr>
                        </w:pPr>
                        <w:r>
                          <w:rPr>
                            <w:w w:val="99"/>
                            <w:sz w:val="16"/>
                          </w:rPr>
                          <w:t>1</w:t>
                        </w:r>
                      </w:p>
                    </w:tc>
                  </w:tr>
                  <w:tr>
                    <w:trPr>
                      <w:trHeight w:val="185" w:hRule="exact"/>
                    </w:trPr>
                    <w:tc>
                      <w:tcPr>
                        <w:tcW w:w="2084" w:type="dxa"/>
                        <w:tcBorders>
                          <w:top w:val="nil"/>
                          <w:left w:val="nil"/>
                          <w:bottom w:val="nil"/>
                        </w:tcBorders>
                      </w:tcPr>
                      <w:p>
                        <w:pPr/>
                      </w:p>
                    </w:tc>
                    <w:tc>
                      <w:tcPr>
                        <w:tcW w:w="2169" w:type="dxa"/>
                        <w:vMerge/>
                      </w:tcPr>
                      <w:p>
                        <w:pPr/>
                      </w:p>
                    </w:tc>
                    <w:tc>
                      <w:tcPr>
                        <w:tcW w:w="1150" w:type="dxa"/>
                        <w:tcBorders>
                          <w:top w:val="nil"/>
                          <w:bottom w:val="nil"/>
                        </w:tcBorders>
                      </w:tcPr>
                      <w:p>
                        <w:pPr>
                          <w:pStyle w:val="TableParagraph"/>
                          <w:tabs>
                            <w:tab w:pos="1129" w:val="left" w:leader="none"/>
                          </w:tabs>
                          <w:ind w:left="25"/>
                          <w:rPr>
                            <w:sz w:val="16"/>
                          </w:rPr>
                        </w:pPr>
                        <w:r>
                          <w:rPr>
                            <w:w w:val="100"/>
                            <w:sz w:val="16"/>
                            <w:u w:val="dotted" w:color="929292"/>
                          </w:rPr>
                          <w:t> </w:t>
                        </w:r>
                        <w:r>
                          <w:rPr>
                            <w:sz w:val="16"/>
                            <w:u w:val="dotted" w:color="929292"/>
                          </w:rPr>
                          <w:tab/>
                        </w:r>
                      </w:p>
                    </w:tc>
                    <w:tc>
                      <w:tcPr>
                        <w:tcW w:w="1050" w:type="dxa"/>
                        <w:tcBorders>
                          <w:top w:val="nil"/>
                          <w:bottom w:val="nil"/>
                        </w:tcBorders>
                      </w:tcPr>
                      <w:p>
                        <w:pPr>
                          <w:pStyle w:val="TableParagraph"/>
                          <w:tabs>
                            <w:tab w:pos="1029" w:val="left" w:leader="none"/>
                          </w:tabs>
                          <w:ind w:left="25"/>
                          <w:rPr>
                            <w:sz w:val="16"/>
                          </w:rPr>
                        </w:pPr>
                        <w:r>
                          <w:rPr>
                            <w:w w:val="100"/>
                            <w:sz w:val="16"/>
                            <w:u w:val="dotted" w:color="929292"/>
                          </w:rPr>
                          <w:t> </w:t>
                        </w:r>
                        <w:r>
                          <w:rPr>
                            <w:sz w:val="16"/>
                            <w:u w:val="dotted" w:color="929292"/>
                          </w:rPr>
                          <w:tab/>
                        </w:r>
                      </w:p>
                    </w:tc>
                    <w:tc>
                      <w:tcPr>
                        <w:tcW w:w="1193" w:type="dxa"/>
                        <w:tcBorders>
                          <w:top w:val="nil"/>
                          <w:bottom w:val="nil"/>
                          <w:right w:val="nil"/>
                        </w:tcBorders>
                      </w:tcPr>
                      <w:p>
                        <w:pPr>
                          <w:pStyle w:val="TableParagraph"/>
                          <w:tabs>
                            <w:tab w:pos="1187" w:val="left" w:leader="none"/>
                          </w:tabs>
                          <w:ind w:left="25"/>
                          <w:rPr>
                            <w:sz w:val="16"/>
                          </w:rPr>
                        </w:pPr>
                        <w:r>
                          <w:rPr>
                            <w:w w:val="100"/>
                            <w:sz w:val="16"/>
                            <w:u w:val="dotted" w:color="929292"/>
                          </w:rPr>
                          <w:t> </w:t>
                        </w:r>
                        <w:r>
                          <w:rPr>
                            <w:sz w:val="16"/>
                            <w:u w:val="dotted" w:color="929292"/>
                          </w:rPr>
                          <w:tab/>
                        </w:r>
                      </w:p>
                    </w:tc>
                  </w:tr>
                  <w:tr>
                    <w:trPr>
                      <w:trHeight w:val="294" w:hRule="exact"/>
                    </w:trPr>
                    <w:tc>
                      <w:tcPr>
                        <w:tcW w:w="2084" w:type="dxa"/>
                        <w:tcBorders>
                          <w:top w:val="nil"/>
                          <w:left w:val="nil"/>
                          <w:bottom w:val="nil"/>
                        </w:tcBorders>
                      </w:tcPr>
                      <w:p>
                        <w:pPr/>
                      </w:p>
                    </w:tc>
                    <w:tc>
                      <w:tcPr>
                        <w:tcW w:w="2169" w:type="dxa"/>
                        <w:vMerge/>
                      </w:tcPr>
                      <w:p>
                        <w:pPr/>
                      </w:p>
                    </w:tc>
                    <w:tc>
                      <w:tcPr>
                        <w:tcW w:w="1150" w:type="dxa"/>
                        <w:tcBorders>
                          <w:top w:val="nil"/>
                        </w:tcBorders>
                      </w:tcPr>
                      <w:p>
                        <w:pPr>
                          <w:pStyle w:val="TableParagraph"/>
                          <w:spacing w:line="170" w:lineRule="exact"/>
                          <w:ind w:left="99"/>
                          <w:rPr>
                            <w:sz w:val="16"/>
                          </w:rPr>
                        </w:pPr>
                        <w:r>
                          <w:rPr>
                            <w:sz w:val="16"/>
                          </w:rPr>
                          <w:t>25</w:t>
                        </w:r>
                      </w:p>
                    </w:tc>
                    <w:tc>
                      <w:tcPr>
                        <w:tcW w:w="1050" w:type="dxa"/>
                        <w:tcBorders>
                          <w:top w:val="nil"/>
                        </w:tcBorders>
                      </w:tcPr>
                      <w:p>
                        <w:pPr>
                          <w:pStyle w:val="TableParagraph"/>
                          <w:spacing w:line="170" w:lineRule="exact"/>
                          <w:ind w:left="99"/>
                          <w:rPr>
                            <w:sz w:val="16"/>
                          </w:rPr>
                        </w:pPr>
                        <w:r>
                          <w:rPr>
                            <w:w w:val="99"/>
                            <w:sz w:val="16"/>
                          </w:rPr>
                          <w:t>0</w:t>
                        </w:r>
                      </w:p>
                    </w:tc>
                    <w:tc>
                      <w:tcPr>
                        <w:tcW w:w="1193" w:type="dxa"/>
                        <w:tcBorders>
                          <w:top w:val="nil"/>
                          <w:right w:val="nil"/>
                        </w:tcBorders>
                      </w:tcPr>
                      <w:p>
                        <w:pPr>
                          <w:pStyle w:val="TableParagraph"/>
                          <w:spacing w:line="170" w:lineRule="exact"/>
                          <w:ind w:left="99"/>
                          <w:rPr>
                            <w:sz w:val="16"/>
                          </w:rPr>
                        </w:pPr>
                        <w:r>
                          <w:rPr>
                            <w:w w:val="99"/>
                            <w:sz w:val="16"/>
                          </w:rPr>
                          <w:t>1</w:t>
                        </w:r>
                      </w:p>
                    </w:tc>
                  </w:tr>
                  <w:tr>
                    <w:trPr>
                      <w:trHeight w:val="152" w:hRule="exact"/>
                    </w:trPr>
                    <w:tc>
                      <w:tcPr>
                        <w:tcW w:w="2084" w:type="dxa"/>
                        <w:tcBorders>
                          <w:top w:val="nil"/>
                          <w:left w:val="nil"/>
                          <w:bottom w:val="nil"/>
                        </w:tcBorders>
                      </w:tcPr>
                      <w:p>
                        <w:pPr/>
                      </w:p>
                    </w:tc>
                    <w:tc>
                      <w:tcPr>
                        <w:tcW w:w="2169" w:type="dxa"/>
                        <w:vMerge w:val="restart"/>
                      </w:tcPr>
                      <w:p>
                        <w:pPr>
                          <w:pStyle w:val="TableParagraph"/>
                          <w:spacing w:line="139" w:lineRule="exact"/>
                          <w:ind w:left="99"/>
                          <w:rPr>
                            <w:sz w:val="16"/>
                          </w:rPr>
                        </w:pPr>
                        <w:r>
                          <w:rPr>
                            <w:sz w:val="16"/>
                          </w:rPr>
                          <w:t>Barrio la Canaleja</w:t>
                        </w:r>
                      </w:p>
                      <w:p>
                        <w:pPr>
                          <w:pStyle w:val="TableParagraph"/>
                          <w:tabs>
                            <w:tab w:pos="2148" w:val="left" w:leader="none"/>
                          </w:tabs>
                          <w:spacing w:line="150" w:lineRule="exact"/>
                          <w:ind w:left="25"/>
                          <w:rPr>
                            <w:sz w:val="16"/>
                          </w:rPr>
                        </w:pPr>
                        <w:r>
                          <w:rPr>
                            <w:w w:val="100"/>
                            <w:sz w:val="16"/>
                            <w:u w:val="dotted" w:color="929292"/>
                          </w:rPr>
                          <w:t> </w:t>
                        </w:r>
                        <w:r>
                          <w:rPr>
                            <w:sz w:val="16"/>
                            <w:u w:val="dotted" w:color="929292"/>
                          </w:rPr>
                          <w:tab/>
                        </w:r>
                      </w:p>
                      <w:p>
                        <w:pPr>
                          <w:pStyle w:val="TableParagraph"/>
                          <w:spacing w:line="182" w:lineRule="exact"/>
                          <w:ind w:left="99"/>
                          <w:rPr>
                            <w:sz w:val="16"/>
                          </w:rPr>
                        </w:pPr>
                        <w:r>
                          <w:rPr>
                            <w:sz w:val="16"/>
                          </w:rPr>
                          <w:t>Juan Fernández Albarrán</w:t>
                        </w:r>
                      </w:p>
                    </w:tc>
                    <w:tc>
                      <w:tcPr>
                        <w:tcW w:w="1150" w:type="dxa"/>
                        <w:tcBorders>
                          <w:bottom w:val="nil"/>
                        </w:tcBorders>
                      </w:tcPr>
                      <w:p>
                        <w:pPr>
                          <w:pStyle w:val="TableParagraph"/>
                          <w:spacing w:line="171" w:lineRule="exact"/>
                          <w:ind w:left="99"/>
                          <w:rPr>
                            <w:sz w:val="16"/>
                          </w:rPr>
                        </w:pPr>
                        <w:r>
                          <w:rPr>
                            <w:sz w:val="16"/>
                          </w:rPr>
                          <w:t>45</w:t>
                        </w:r>
                      </w:p>
                    </w:tc>
                    <w:tc>
                      <w:tcPr>
                        <w:tcW w:w="1050" w:type="dxa"/>
                        <w:tcBorders>
                          <w:bottom w:val="nil"/>
                        </w:tcBorders>
                      </w:tcPr>
                      <w:p>
                        <w:pPr>
                          <w:pStyle w:val="TableParagraph"/>
                          <w:spacing w:line="171" w:lineRule="exact"/>
                          <w:ind w:left="99"/>
                          <w:rPr>
                            <w:sz w:val="16"/>
                          </w:rPr>
                        </w:pPr>
                        <w:r>
                          <w:rPr>
                            <w:w w:val="99"/>
                            <w:sz w:val="16"/>
                          </w:rPr>
                          <w:t>0</w:t>
                        </w:r>
                      </w:p>
                    </w:tc>
                    <w:tc>
                      <w:tcPr>
                        <w:tcW w:w="1193" w:type="dxa"/>
                        <w:tcBorders>
                          <w:bottom w:val="nil"/>
                          <w:right w:val="nil"/>
                        </w:tcBorders>
                      </w:tcPr>
                      <w:p>
                        <w:pPr>
                          <w:pStyle w:val="TableParagraph"/>
                          <w:spacing w:line="171" w:lineRule="exact"/>
                          <w:ind w:left="99"/>
                          <w:rPr>
                            <w:sz w:val="16"/>
                          </w:rPr>
                        </w:pPr>
                        <w:r>
                          <w:rPr>
                            <w:w w:val="99"/>
                            <w:sz w:val="16"/>
                          </w:rPr>
                          <w:t>1</w:t>
                        </w:r>
                      </w:p>
                    </w:tc>
                  </w:tr>
                  <w:tr>
                    <w:trPr>
                      <w:trHeight w:val="150" w:hRule="exact"/>
                    </w:trPr>
                    <w:tc>
                      <w:tcPr>
                        <w:tcW w:w="2084" w:type="dxa"/>
                        <w:tcBorders>
                          <w:top w:val="nil"/>
                          <w:left w:val="nil"/>
                          <w:bottom w:val="nil"/>
                        </w:tcBorders>
                      </w:tcPr>
                      <w:p>
                        <w:pPr/>
                      </w:p>
                    </w:tc>
                    <w:tc>
                      <w:tcPr>
                        <w:tcW w:w="2169" w:type="dxa"/>
                        <w:vMerge/>
                      </w:tcPr>
                      <w:p>
                        <w:pPr/>
                      </w:p>
                    </w:tc>
                    <w:tc>
                      <w:tcPr>
                        <w:tcW w:w="1150" w:type="dxa"/>
                        <w:tcBorders>
                          <w:top w:val="nil"/>
                          <w:bottom w:val="nil"/>
                        </w:tcBorders>
                      </w:tcPr>
                      <w:p>
                        <w:pPr>
                          <w:pStyle w:val="TableParagraph"/>
                          <w:tabs>
                            <w:tab w:pos="1129" w:val="left" w:leader="none"/>
                          </w:tabs>
                          <w:spacing w:line="144" w:lineRule="exact"/>
                          <w:ind w:left="25"/>
                          <w:rPr>
                            <w:sz w:val="16"/>
                          </w:rPr>
                        </w:pPr>
                        <w:r>
                          <w:rPr>
                            <w:w w:val="100"/>
                            <w:sz w:val="16"/>
                            <w:u w:val="dotted" w:color="929292"/>
                          </w:rPr>
                          <w:t> </w:t>
                        </w:r>
                        <w:r>
                          <w:rPr>
                            <w:sz w:val="16"/>
                            <w:u w:val="dotted" w:color="929292"/>
                          </w:rPr>
                          <w:tab/>
                        </w:r>
                      </w:p>
                    </w:tc>
                    <w:tc>
                      <w:tcPr>
                        <w:tcW w:w="1050" w:type="dxa"/>
                        <w:tcBorders>
                          <w:top w:val="nil"/>
                          <w:bottom w:val="nil"/>
                        </w:tcBorders>
                      </w:tcPr>
                      <w:p>
                        <w:pPr>
                          <w:pStyle w:val="TableParagraph"/>
                          <w:tabs>
                            <w:tab w:pos="1029" w:val="left" w:leader="none"/>
                          </w:tabs>
                          <w:spacing w:line="144" w:lineRule="exact"/>
                          <w:ind w:left="25"/>
                          <w:rPr>
                            <w:sz w:val="16"/>
                          </w:rPr>
                        </w:pPr>
                        <w:r>
                          <w:rPr>
                            <w:w w:val="100"/>
                            <w:sz w:val="16"/>
                            <w:u w:val="dotted" w:color="929292"/>
                          </w:rPr>
                          <w:t> </w:t>
                        </w:r>
                        <w:r>
                          <w:rPr>
                            <w:sz w:val="16"/>
                            <w:u w:val="dotted" w:color="929292"/>
                          </w:rPr>
                          <w:tab/>
                        </w:r>
                      </w:p>
                    </w:tc>
                    <w:tc>
                      <w:tcPr>
                        <w:tcW w:w="1193" w:type="dxa"/>
                        <w:tcBorders>
                          <w:top w:val="nil"/>
                          <w:bottom w:val="nil"/>
                          <w:right w:val="nil"/>
                        </w:tcBorders>
                      </w:tcPr>
                      <w:p>
                        <w:pPr>
                          <w:pStyle w:val="TableParagraph"/>
                          <w:tabs>
                            <w:tab w:pos="1187" w:val="left" w:leader="none"/>
                          </w:tabs>
                          <w:spacing w:line="144" w:lineRule="exact"/>
                          <w:ind w:left="25"/>
                          <w:rPr>
                            <w:sz w:val="16"/>
                          </w:rPr>
                        </w:pPr>
                        <w:r>
                          <w:rPr>
                            <w:w w:val="100"/>
                            <w:sz w:val="16"/>
                            <w:u w:val="dotted" w:color="929292"/>
                          </w:rPr>
                          <w:t> </w:t>
                        </w:r>
                        <w:r>
                          <w:rPr>
                            <w:sz w:val="16"/>
                            <w:u w:val="dotted" w:color="929292"/>
                          </w:rPr>
                          <w:tab/>
                        </w:r>
                      </w:p>
                    </w:tc>
                  </w:tr>
                  <w:tr>
                    <w:trPr>
                      <w:trHeight w:val="298" w:hRule="exact"/>
                    </w:trPr>
                    <w:tc>
                      <w:tcPr>
                        <w:tcW w:w="2084" w:type="dxa"/>
                        <w:tcBorders>
                          <w:top w:val="nil"/>
                          <w:left w:val="nil"/>
                          <w:bottom w:val="nil"/>
                        </w:tcBorders>
                      </w:tcPr>
                      <w:p>
                        <w:pPr/>
                      </w:p>
                    </w:tc>
                    <w:tc>
                      <w:tcPr>
                        <w:tcW w:w="2169" w:type="dxa"/>
                        <w:vMerge/>
                      </w:tcPr>
                      <w:p>
                        <w:pPr/>
                      </w:p>
                    </w:tc>
                    <w:tc>
                      <w:tcPr>
                        <w:tcW w:w="1150" w:type="dxa"/>
                        <w:tcBorders>
                          <w:top w:val="nil"/>
                        </w:tcBorders>
                      </w:tcPr>
                      <w:p>
                        <w:pPr>
                          <w:pStyle w:val="TableParagraph"/>
                          <w:spacing w:line="175" w:lineRule="exact"/>
                          <w:ind w:left="99"/>
                          <w:rPr>
                            <w:sz w:val="16"/>
                          </w:rPr>
                        </w:pPr>
                        <w:r>
                          <w:rPr>
                            <w:sz w:val="16"/>
                          </w:rPr>
                          <w:t>12</w:t>
                        </w:r>
                      </w:p>
                    </w:tc>
                    <w:tc>
                      <w:tcPr>
                        <w:tcW w:w="1050" w:type="dxa"/>
                        <w:tcBorders>
                          <w:top w:val="nil"/>
                        </w:tcBorders>
                      </w:tcPr>
                      <w:p>
                        <w:pPr>
                          <w:pStyle w:val="TableParagraph"/>
                          <w:spacing w:line="175" w:lineRule="exact"/>
                          <w:ind w:left="98"/>
                          <w:rPr>
                            <w:sz w:val="16"/>
                          </w:rPr>
                        </w:pPr>
                        <w:r>
                          <w:rPr>
                            <w:w w:val="99"/>
                            <w:sz w:val="16"/>
                          </w:rPr>
                          <w:t>4</w:t>
                        </w:r>
                      </w:p>
                    </w:tc>
                    <w:tc>
                      <w:tcPr>
                        <w:tcW w:w="1193" w:type="dxa"/>
                        <w:tcBorders>
                          <w:top w:val="nil"/>
                          <w:right w:val="nil"/>
                        </w:tcBorders>
                      </w:tcPr>
                      <w:p>
                        <w:pPr>
                          <w:pStyle w:val="TableParagraph"/>
                          <w:spacing w:line="175" w:lineRule="exact"/>
                          <w:ind w:left="98"/>
                          <w:rPr>
                            <w:sz w:val="16"/>
                          </w:rPr>
                        </w:pPr>
                        <w:r>
                          <w:rPr>
                            <w:w w:val="99"/>
                            <w:sz w:val="16"/>
                          </w:rPr>
                          <w:t>1</w:t>
                        </w:r>
                      </w:p>
                    </w:tc>
                  </w:tr>
                  <w:tr>
                    <w:trPr>
                      <w:trHeight w:val="300" w:hRule="exact"/>
                    </w:trPr>
                    <w:tc>
                      <w:tcPr>
                        <w:tcW w:w="2084" w:type="dxa"/>
                        <w:tcBorders>
                          <w:top w:val="nil"/>
                          <w:left w:val="nil"/>
                          <w:bottom w:val="nil"/>
                        </w:tcBorders>
                      </w:tcPr>
                      <w:p>
                        <w:pPr/>
                      </w:p>
                    </w:tc>
                    <w:tc>
                      <w:tcPr>
                        <w:tcW w:w="2169" w:type="dxa"/>
                      </w:tcPr>
                      <w:p>
                        <w:pPr>
                          <w:pStyle w:val="TableParagraph"/>
                          <w:spacing w:line="171" w:lineRule="exact"/>
                          <w:ind w:left="98"/>
                          <w:rPr>
                            <w:sz w:val="16"/>
                          </w:rPr>
                        </w:pPr>
                        <w:r>
                          <w:rPr>
                            <w:sz w:val="16"/>
                          </w:rPr>
                          <w:t>Paseo Otzacatipan</w:t>
                        </w:r>
                      </w:p>
                    </w:tc>
                    <w:tc>
                      <w:tcPr>
                        <w:tcW w:w="1150" w:type="dxa"/>
                      </w:tcPr>
                      <w:p>
                        <w:pPr>
                          <w:pStyle w:val="TableParagraph"/>
                          <w:spacing w:line="171" w:lineRule="exact"/>
                          <w:ind w:left="98"/>
                          <w:rPr>
                            <w:sz w:val="16"/>
                          </w:rPr>
                        </w:pPr>
                        <w:r>
                          <w:rPr>
                            <w:w w:val="99"/>
                            <w:sz w:val="16"/>
                          </w:rPr>
                          <w:t>6</w:t>
                        </w:r>
                      </w:p>
                    </w:tc>
                    <w:tc>
                      <w:tcPr>
                        <w:tcW w:w="1050" w:type="dxa"/>
                      </w:tcPr>
                      <w:p>
                        <w:pPr>
                          <w:pStyle w:val="TableParagraph"/>
                          <w:spacing w:line="171" w:lineRule="exact"/>
                          <w:ind w:left="98"/>
                          <w:rPr>
                            <w:sz w:val="16"/>
                          </w:rPr>
                        </w:pPr>
                        <w:r>
                          <w:rPr>
                            <w:sz w:val="16"/>
                          </w:rPr>
                          <w:t>20</w:t>
                        </w:r>
                      </w:p>
                    </w:tc>
                    <w:tc>
                      <w:tcPr>
                        <w:tcW w:w="1193" w:type="dxa"/>
                        <w:tcBorders>
                          <w:right w:val="nil"/>
                        </w:tcBorders>
                      </w:tcPr>
                      <w:p>
                        <w:pPr>
                          <w:pStyle w:val="TableParagraph"/>
                          <w:spacing w:line="171" w:lineRule="exact"/>
                          <w:ind w:left="98"/>
                          <w:rPr>
                            <w:sz w:val="16"/>
                          </w:rPr>
                        </w:pPr>
                        <w:r>
                          <w:rPr>
                            <w:w w:val="99"/>
                            <w:sz w:val="16"/>
                          </w:rPr>
                          <w:t>1</w:t>
                        </w:r>
                      </w:p>
                    </w:tc>
                  </w:tr>
                  <w:tr>
                    <w:trPr>
                      <w:trHeight w:val="340" w:hRule="exact"/>
                    </w:trPr>
                    <w:tc>
                      <w:tcPr>
                        <w:tcW w:w="2084" w:type="dxa"/>
                        <w:tcBorders>
                          <w:top w:val="nil"/>
                          <w:left w:val="nil"/>
                          <w:bottom w:val="nil"/>
                        </w:tcBorders>
                      </w:tcPr>
                      <w:p>
                        <w:pPr>
                          <w:pStyle w:val="TableParagraph"/>
                          <w:spacing w:before="8"/>
                          <w:rPr>
                            <w:sz w:val="16"/>
                          </w:rPr>
                        </w:pPr>
                      </w:p>
                      <w:p>
                        <w:pPr>
                          <w:pStyle w:val="TableParagraph"/>
                          <w:tabs>
                            <w:tab w:pos="2068" w:val="left" w:leader="none"/>
                          </w:tabs>
                          <w:rPr>
                            <w:sz w:val="16"/>
                          </w:rPr>
                        </w:pPr>
                        <w:r>
                          <w:rPr>
                            <w:w w:val="100"/>
                            <w:sz w:val="16"/>
                            <w:u w:val="dotted" w:color="929292"/>
                          </w:rPr>
                          <w:t> </w:t>
                        </w:r>
                        <w:r>
                          <w:rPr>
                            <w:sz w:val="16"/>
                            <w:u w:val="dotted" w:color="929292"/>
                          </w:rPr>
                          <w:tab/>
                        </w:r>
                      </w:p>
                    </w:tc>
                    <w:tc>
                      <w:tcPr>
                        <w:tcW w:w="2169" w:type="dxa"/>
                        <w:tcBorders>
                          <w:bottom w:val="nil"/>
                        </w:tcBorders>
                      </w:tcPr>
                      <w:p>
                        <w:pPr>
                          <w:pStyle w:val="TableParagraph"/>
                          <w:spacing w:line="171" w:lineRule="exact"/>
                          <w:ind w:left="98"/>
                          <w:rPr>
                            <w:sz w:val="16"/>
                          </w:rPr>
                        </w:pPr>
                        <w:r>
                          <w:rPr>
                            <w:sz w:val="16"/>
                          </w:rPr>
                          <w:t>José Martínez de los</w:t>
                        </w:r>
                      </w:p>
                      <w:p>
                        <w:pPr>
                          <w:pStyle w:val="TableParagraph"/>
                          <w:tabs>
                            <w:tab w:pos="2148" w:val="left" w:leader="none"/>
                          </w:tabs>
                          <w:spacing w:before="16"/>
                          <w:ind w:left="25"/>
                          <w:rPr>
                            <w:sz w:val="16"/>
                          </w:rPr>
                        </w:pPr>
                        <w:r>
                          <w:rPr>
                            <w:w w:val="100"/>
                            <w:sz w:val="16"/>
                            <w:u w:val="dotted" w:color="929292"/>
                          </w:rPr>
                          <w:t> </w:t>
                        </w:r>
                        <w:r>
                          <w:rPr>
                            <w:spacing w:val="-16"/>
                            <w:sz w:val="16"/>
                            <w:u w:val="dotted" w:color="929292"/>
                          </w:rPr>
                          <w:t> </w:t>
                        </w:r>
                        <w:r>
                          <w:rPr>
                            <w:sz w:val="16"/>
                            <w:u w:val="dotted" w:color="929292"/>
                          </w:rPr>
                          <w:t>Reyes</w:t>
                          <w:tab/>
                        </w:r>
                      </w:p>
                    </w:tc>
                    <w:tc>
                      <w:tcPr>
                        <w:tcW w:w="1150" w:type="dxa"/>
                        <w:tcBorders>
                          <w:bottom w:val="nil"/>
                        </w:tcBorders>
                      </w:tcPr>
                      <w:p>
                        <w:pPr>
                          <w:pStyle w:val="TableParagraph"/>
                          <w:spacing w:line="171" w:lineRule="exact"/>
                          <w:ind w:left="98"/>
                          <w:rPr>
                            <w:sz w:val="16"/>
                          </w:rPr>
                        </w:pPr>
                        <w:r>
                          <w:rPr>
                            <w:w w:val="99"/>
                            <w:sz w:val="16"/>
                          </w:rPr>
                          <w:t>9</w:t>
                        </w:r>
                      </w:p>
                      <w:p>
                        <w:pPr>
                          <w:pStyle w:val="TableParagraph"/>
                          <w:tabs>
                            <w:tab w:pos="1129" w:val="left" w:leader="none"/>
                          </w:tabs>
                          <w:spacing w:before="16"/>
                          <w:ind w:left="25"/>
                          <w:rPr>
                            <w:sz w:val="16"/>
                          </w:rPr>
                        </w:pPr>
                        <w:r>
                          <w:rPr>
                            <w:w w:val="100"/>
                            <w:sz w:val="16"/>
                            <w:u w:val="dotted" w:color="929292"/>
                          </w:rPr>
                          <w:t> </w:t>
                        </w:r>
                        <w:r>
                          <w:rPr>
                            <w:sz w:val="16"/>
                            <w:u w:val="dotted" w:color="929292"/>
                          </w:rPr>
                          <w:tab/>
                        </w:r>
                      </w:p>
                    </w:tc>
                    <w:tc>
                      <w:tcPr>
                        <w:tcW w:w="1050" w:type="dxa"/>
                        <w:tcBorders>
                          <w:bottom w:val="nil"/>
                        </w:tcBorders>
                      </w:tcPr>
                      <w:p>
                        <w:pPr>
                          <w:pStyle w:val="TableParagraph"/>
                          <w:spacing w:line="171" w:lineRule="exact"/>
                          <w:ind w:left="98"/>
                          <w:rPr>
                            <w:sz w:val="16"/>
                          </w:rPr>
                        </w:pPr>
                        <w:r>
                          <w:rPr>
                            <w:w w:val="99"/>
                            <w:sz w:val="16"/>
                          </w:rPr>
                          <w:t>3</w:t>
                        </w:r>
                      </w:p>
                      <w:p>
                        <w:pPr>
                          <w:pStyle w:val="TableParagraph"/>
                          <w:tabs>
                            <w:tab w:pos="1029" w:val="left" w:leader="none"/>
                          </w:tabs>
                          <w:spacing w:before="16"/>
                          <w:ind w:left="25"/>
                          <w:rPr>
                            <w:sz w:val="16"/>
                          </w:rPr>
                        </w:pPr>
                        <w:r>
                          <w:rPr>
                            <w:w w:val="100"/>
                            <w:sz w:val="16"/>
                            <w:u w:val="dotted" w:color="929292"/>
                          </w:rPr>
                          <w:t> </w:t>
                        </w:r>
                        <w:r>
                          <w:rPr>
                            <w:sz w:val="16"/>
                            <w:u w:val="dotted" w:color="929292"/>
                          </w:rPr>
                          <w:tab/>
                        </w:r>
                      </w:p>
                    </w:tc>
                    <w:tc>
                      <w:tcPr>
                        <w:tcW w:w="1193" w:type="dxa"/>
                        <w:tcBorders>
                          <w:bottom w:val="nil"/>
                          <w:right w:val="nil"/>
                        </w:tcBorders>
                      </w:tcPr>
                      <w:p>
                        <w:pPr>
                          <w:pStyle w:val="TableParagraph"/>
                          <w:spacing w:line="171" w:lineRule="exact"/>
                          <w:ind w:left="98"/>
                          <w:rPr>
                            <w:sz w:val="16"/>
                          </w:rPr>
                        </w:pPr>
                        <w:r>
                          <w:rPr>
                            <w:w w:val="99"/>
                            <w:sz w:val="16"/>
                          </w:rPr>
                          <w:t>1</w:t>
                        </w:r>
                      </w:p>
                      <w:p>
                        <w:pPr>
                          <w:pStyle w:val="TableParagraph"/>
                          <w:tabs>
                            <w:tab w:pos="1187" w:val="left" w:leader="none"/>
                          </w:tabs>
                          <w:spacing w:before="16"/>
                          <w:ind w:left="25"/>
                          <w:rPr>
                            <w:sz w:val="16"/>
                          </w:rPr>
                        </w:pPr>
                        <w:r>
                          <w:rPr>
                            <w:w w:val="100"/>
                            <w:sz w:val="16"/>
                            <w:u w:val="dotted" w:color="929292"/>
                          </w:rPr>
                          <w:t> </w:t>
                        </w:r>
                        <w:r>
                          <w:rPr>
                            <w:sz w:val="16"/>
                            <w:u w:val="dotted" w:color="929292"/>
                          </w:rPr>
                          <w:tab/>
                        </w:r>
                      </w:p>
                    </w:tc>
                  </w:tr>
                </w:tbl>
                <w:p>
                  <w:pPr>
                    <w:pStyle w:val="BodyText"/>
                  </w:pPr>
                </w:p>
              </w:txbxContent>
            </v:textbox>
            <w10:wrap type="none"/>
          </v:shape>
        </w:pict>
      </w:r>
      <w:r>
        <w:rPr>
          <w:w w:val="100"/>
          <w:sz w:val="16"/>
          <w:shd w:fill="929292" w:color="auto" w:val="clear"/>
        </w:rPr>
        <w:t> </w:t>
      </w:r>
      <w:r>
        <w:rPr>
          <w:sz w:val="16"/>
          <w:shd w:fill="929292" w:color="auto" w:val="clear"/>
        </w:rPr>
        <w:tab/>
        <w:t>Fracturas</w:t>
        <w:tab/>
      </w:r>
    </w:p>
    <w:p>
      <w:pPr>
        <w:pStyle w:val="BodyText"/>
        <w:spacing w:before="9"/>
        <w:rPr>
          <w:sz w:val="18"/>
        </w:rPr>
      </w:pPr>
    </w:p>
    <w:p>
      <w:pPr>
        <w:spacing w:line="312" w:lineRule="auto" w:before="1"/>
        <w:ind w:left="156" w:right="9548" w:firstLine="0"/>
        <w:jc w:val="center"/>
        <w:rPr>
          <w:sz w:val="16"/>
        </w:rPr>
      </w:pPr>
      <w:r>
        <w:rPr/>
        <w:pict>
          <v:line style="position:absolute;mso-position-horizontal-relative:page;mso-position-vertical-relative:paragraph;z-index:-647680" from="42.878601pt,-92.769806pt" to="42.878601pt,-92.769806pt" stroked="true" strokeweight=".5pt" strokecolor="#929292">
            <w10:wrap type="none"/>
          </v:line>
        </w:pict>
      </w:r>
      <w:r>
        <w:rPr/>
        <w:pict>
          <v:line style="position:absolute;mso-position-horizontal-relative:page;mso-position-vertical-relative:paragraph;z-index:-647656" from="427.552795pt,-92.769806pt" to="427.552795pt,-92.769806pt" stroked="true" strokeweight=".5pt" strokecolor="#929292">
            <w10:wrap type="none"/>
          </v:line>
        </w:pict>
      </w:r>
      <w:r>
        <w:rPr/>
        <w:pict>
          <v:line style="position:absolute;mso-position-horizontal-relative:page;mso-position-vertical-relative:paragraph;z-index:-647632" from="42.878601pt,-84.223305pt" to="42.878601pt,-84.223305pt" stroked="true" strokeweight=".5pt" strokecolor="#929292">
            <w10:wrap type="none"/>
          </v:line>
        </w:pict>
      </w:r>
      <w:r>
        <w:rPr/>
        <w:pict>
          <v:line style="position:absolute;mso-position-horizontal-relative:page;mso-position-vertical-relative:paragraph;z-index:-647608" from="427.552795pt,-84.223305pt" to="427.552795pt,-84.223305pt" stroked="true" strokeweight=".5pt" strokecolor="#929292">
            <w10:wrap type="none"/>
          </v:line>
        </w:pict>
      </w:r>
      <w:r>
        <w:rPr/>
        <w:pict>
          <v:line style="position:absolute;mso-position-horizontal-relative:page;mso-position-vertical-relative:paragraph;z-index:-647584" from="427.552795pt,-75.676704pt" to="427.552795pt,-75.676704pt" stroked="true" strokeweight=".5pt" strokecolor="#929292">
            <w10:wrap type="none"/>
          </v:line>
        </w:pict>
      </w:r>
      <w:r>
        <w:rPr/>
        <w:pict>
          <v:line style="position:absolute;mso-position-horizontal-relative:page;mso-position-vertical-relative:paragraph;z-index:-647560" from="42.878601pt,-67.130203pt" to="42.878601pt,-67.130203pt" stroked="true" strokeweight=".5pt" strokecolor="#929292">
            <w10:wrap type="none"/>
          </v:line>
        </w:pict>
      </w:r>
      <w:r>
        <w:rPr/>
        <w:pict>
          <v:line style="position:absolute;mso-position-horizontal-relative:page;mso-position-vertical-relative:paragraph;z-index:-647536" from="427.552795pt,-67.130203pt" to="427.552795pt,-67.130203pt" stroked="true" strokeweight=".5pt" strokecolor="#929292">
            <w10:wrap type="none"/>
          </v:line>
        </w:pict>
      </w:r>
      <w:r>
        <w:rPr/>
        <w:pict>
          <v:line style="position:absolute;mso-position-horizontal-relative:page;mso-position-vertical-relative:paragraph;z-index:-647512" from="427.552795pt,-58.583607pt" to="427.552795pt,-58.583607pt" stroked="true" strokeweight=".5pt" strokecolor="#929292">
            <w10:wrap type="none"/>
          </v:line>
        </w:pict>
      </w:r>
      <w:r>
        <w:rPr/>
        <w:pict>
          <v:line style="position:absolute;mso-position-horizontal-relative:page;mso-position-vertical-relative:paragraph;z-index:-647488" from="42.878601pt,-50.037106pt" to="42.878601pt,-50.037106pt" stroked="true" strokeweight=".5pt" strokecolor="#929292">
            <w10:wrap type="none"/>
          </v:line>
        </w:pict>
      </w:r>
      <w:r>
        <w:rPr/>
        <w:pict>
          <v:line style="position:absolute;mso-position-horizontal-relative:page;mso-position-vertical-relative:paragraph;z-index:-647464" from="427.552795pt,-50.037106pt" to="427.552795pt,-50.037106pt" stroked="true" strokeweight=".5pt" strokecolor="#929292">
            <w10:wrap type="none"/>
          </v:line>
        </w:pict>
      </w:r>
      <w:r>
        <w:rPr/>
        <w:pict>
          <v:line style="position:absolute;mso-position-horizontal-relative:page;mso-position-vertical-relative:paragraph;z-index:-647440" from="42.878601pt,-31.490507pt" to="42.878601pt,-31.490507pt" stroked="true" strokeweight=".5pt" strokecolor="#929292">
            <w10:wrap type="none"/>
          </v:line>
        </w:pict>
      </w:r>
      <w:r>
        <w:rPr/>
        <w:pict>
          <v:line style="position:absolute;mso-position-horizontal-relative:page;mso-position-vertical-relative:paragraph;z-index:-647416" from="427.552795pt,-31.490507pt" to="427.552795pt,-31.490507pt" stroked="true" strokeweight=".5pt" strokecolor="#929292">
            <w10:wrap type="none"/>
          </v:line>
        </w:pict>
      </w:r>
      <w:r>
        <w:rPr/>
        <w:pict>
          <v:line style="position:absolute;mso-position-horizontal-relative:page;mso-position-vertical-relative:paragraph;z-index:-647392" from="42.878601pt,-22.943907pt" to="42.878601pt,-22.943907pt" stroked="true" strokeweight=".5pt" strokecolor="#929292">
            <w10:wrap type="none"/>
          </v:line>
        </w:pict>
      </w:r>
      <w:r>
        <w:rPr/>
        <w:pict>
          <v:line style="position:absolute;mso-position-horizontal-relative:page;mso-position-vertical-relative:paragraph;z-index:-647368" from="427.552795pt,-22.943907pt" to="427.552795pt,-22.943907pt" stroked="true" strokeweight=".5pt" strokecolor="#929292">
            <w10:wrap type="none"/>
          </v:line>
        </w:pict>
      </w:r>
      <w:r>
        <w:rPr/>
        <w:pict>
          <v:line style="position:absolute;mso-position-horizontal-relative:page;mso-position-vertical-relative:paragraph;z-index:-647344" from="42.8787pt,82.374092pt" to="42.8787pt,82.374092pt" stroked="true" strokeweight=".5pt" strokecolor="#929292">
            <w10:wrap type="none"/>
          </v:line>
        </w:pict>
      </w:r>
      <w:r>
        <w:rPr/>
        <w:pict>
          <v:line style="position:absolute;mso-position-horizontal-relative:page;mso-position-vertical-relative:paragraph;z-index:-647320" from="427.390106pt,82.374092pt" to="427.390106pt,82.374092pt" stroked="true" strokeweight=".5pt" strokecolor="#929292">
            <w10:wrap type="none"/>
          </v:line>
        </w:pict>
      </w:r>
      <w:r>
        <w:rPr>
          <w:color w:val="6D6E71"/>
          <w:sz w:val="16"/>
        </w:rPr>
        <w:t>Tabla 6. Concentrado general de daños a infraestructura urbana generada por hundimientos y fracturas relacionados con abatimiento del nivel piezométrico del acuífero. Fuente: Elaboración propia con base en el Atlas municipal de riesgos (2013).</w:t>
      </w:r>
    </w:p>
    <w:p>
      <w:pPr>
        <w:pStyle w:val="BodyText"/>
      </w:pPr>
    </w:p>
    <w:p>
      <w:pPr>
        <w:pStyle w:val="BodyText"/>
        <w:spacing w:before="1"/>
        <w:rPr>
          <w:sz w:val="26"/>
        </w:rPr>
      </w:pPr>
    </w:p>
    <w:tbl>
      <w:tblPr>
        <w:tblW w:w="0" w:type="auto"/>
        <w:jc w:val="left"/>
        <w:tblInd w:w="132"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2119"/>
        <w:gridCol w:w="2169"/>
        <w:gridCol w:w="1150"/>
        <w:gridCol w:w="1050"/>
        <w:gridCol w:w="1213"/>
      </w:tblGrid>
      <w:tr>
        <w:trPr>
          <w:trHeight w:val="228" w:hRule="exact"/>
        </w:trPr>
        <w:tc>
          <w:tcPr>
            <w:tcW w:w="7700" w:type="dxa"/>
            <w:gridSpan w:val="5"/>
            <w:tcBorders>
              <w:top w:val="nil"/>
              <w:left w:val="nil"/>
              <w:bottom w:val="dotted" w:sz="4" w:space="0" w:color="FFFFFF"/>
              <w:right w:val="nil"/>
            </w:tcBorders>
            <w:shd w:val="clear" w:color="auto" w:fill="929292"/>
          </w:tcPr>
          <w:p>
            <w:pPr>
              <w:pStyle w:val="TableParagraph"/>
              <w:spacing w:before="21"/>
              <w:ind w:left="3354" w:right="3354"/>
              <w:jc w:val="center"/>
              <w:rPr>
                <w:sz w:val="16"/>
              </w:rPr>
            </w:pPr>
            <w:r>
              <w:rPr>
                <w:sz w:val="16"/>
              </w:rPr>
              <w:t>Inundaciones</w:t>
            </w:r>
          </w:p>
        </w:tc>
      </w:tr>
      <w:tr>
        <w:trPr>
          <w:trHeight w:val="171" w:hRule="exact"/>
        </w:trPr>
        <w:tc>
          <w:tcPr>
            <w:tcW w:w="2119" w:type="dxa"/>
            <w:tcBorders>
              <w:top w:val="dotted" w:sz="4" w:space="0" w:color="FFFFFF"/>
              <w:left w:val="nil"/>
              <w:bottom w:val="single" w:sz="4" w:space="0" w:color="FFFFFF"/>
            </w:tcBorders>
            <w:shd w:val="clear" w:color="auto" w:fill="E2E2E2"/>
          </w:tcPr>
          <w:p>
            <w:pPr>
              <w:pStyle w:val="TableParagraph"/>
              <w:tabs>
                <w:tab w:pos="2103" w:val="left" w:leader="none"/>
              </w:tabs>
              <w:spacing w:line="171" w:lineRule="exact"/>
              <w:ind w:left="35"/>
              <w:rPr>
                <w:sz w:val="16"/>
              </w:rPr>
            </w:pPr>
            <w:r>
              <w:rPr>
                <w:w w:val="100"/>
                <w:sz w:val="16"/>
                <w:u w:val="dotted" w:color="929292"/>
              </w:rPr>
              <w:t> </w:t>
            </w:r>
            <w:r>
              <w:rPr>
                <w:spacing w:val="-17"/>
                <w:sz w:val="16"/>
                <w:u w:val="dotted" w:color="929292"/>
              </w:rPr>
              <w:t> </w:t>
            </w:r>
            <w:r>
              <w:rPr>
                <w:sz w:val="16"/>
                <w:u w:val="dotted" w:color="929292"/>
              </w:rPr>
              <w:t>Delegación</w:t>
              <w:tab/>
            </w:r>
          </w:p>
        </w:tc>
        <w:tc>
          <w:tcPr>
            <w:tcW w:w="2169" w:type="dxa"/>
            <w:tcBorders>
              <w:top w:val="dotted" w:sz="4" w:space="0" w:color="FFFFFF"/>
              <w:bottom w:val="single" w:sz="4" w:space="0" w:color="FFFFFF"/>
            </w:tcBorders>
            <w:shd w:val="clear" w:color="auto" w:fill="E2E2E2"/>
          </w:tcPr>
          <w:p>
            <w:pPr>
              <w:pStyle w:val="TableParagraph"/>
              <w:tabs>
                <w:tab w:pos="2148"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Colonia</w:t>
              <w:tab/>
            </w:r>
          </w:p>
        </w:tc>
        <w:tc>
          <w:tcPr>
            <w:tcW w:w="1150" w:type="dxa"/>
            <w:tcBorders>
              <w:top w:val="dotted" w:sz="4" w:space="0" w:color="FFFFFF"/>
              <w:bottom w:val="single" w:sz="4" w:space="0" w:color="FFFFFF"/>
            </w:tcBorders>
            <w:shd w:val="clear" w:color="auto" w:fill="E2E2E2"/>
          </w:tcPr>
          <w:p>
            <w:pPr>
              <w:pStyle w:val="TableParagraph"/>
              <w:tabs>
                <w:tab w:pos="1129"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Viviendas</w:t>
              <w:tab/>
            </w:r>
          </w:p>
        </w:tc>
        <w:tc>
          <w:tcPr>
            <w:tcW w:w="1050" w:type="dxa"/>
            <w:tcBorders>
              <w:top w:val="dotted" w:sz="4" w:space="0" w:color="FFFFFF"/>
              <w:bottom w:val="single" w:sz="4" w:space="0" w:color="FFFFFF"/>
            </w:tcBorders>
            <w:shd w:val="clear" w:color="auto" w:fill="E2E2E2"/>
          </w:tcPr>
          <w:p>
            <w:pPr>
              <w:pStyle w:val="TableParagraph"/>
              <w:tabs>
                <w:tab w:pos="1029"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Negocios</w:t>
              <w:tab/>
            </w:r>
          </w:p>
        </w:tc>
        <w:tc>
          <w:tcPr>
            <w:tcW w:w="1213" w:type="dxa"/>
            <w:tcBorders>
              <w:top w:val="dotted" w:sz="4" w:space="0" w:color="FFFFFF"/>
              <w:bottom w:val="single" w:sz="4" w:space="0" w:color="FFFFFF"/>
              <w:right w:val="nil"/>
            </w:tcBorders>
            <w:shd w:val="clear" w:color="auto" w:fill="E2E2E2"/>
          </w:tcPr>
          <w:p>
            <w:pPr>
              <w:pStyle w:val="TableParagraph"/>
              <w:tabs>
                <w:tab w:pos="118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Servicios</w:t>
              <w:tab/>
            </w:r>
          </w:p>
        </w:tc>
      </w:tr>
      <w:tr>
        <w:trPr>
          <w:trHeight w:val="300" w:hRule="exact"/>
        </w:trPr>
        <w:tc>
          <w:tcPr>
            <w:tcW w:w="2119" w:type="dxa"/>
            <w:vMerge w:val="restart"/>
            <w:tcBorders>
              <w:top w:val="single" w:sz="4" w:space="0" w:color="FFFFFF"/>
              <w:left w:val="nil"/>
            </w:tcBorders>
          </w:tcPr>
          <w:p>
            <w:pPr>
              <w:pStyle w:val="TableParagraph"/>
              <w:spacing w:line="171" w:lineRule="exact"/>
              <w:ind w:left="107"/>
              <w:rPr>
                <w:sz w:val="16"/>
              </w:rPr>
            </w:pPr>
            <w:r>
              <w:rPr>
                <w:sz w:val="16"/>
              </w:rPr>
              <w:t>San Mateo Oxtotitlan</w:t>
            </w:r>
          </w:p>
        </w:tc>
        <w:tc>
          <w:tcPr>
            <w:tcW w:w="2169" w:type="dxa"/>
            <w:tcBorders>
              <w:top w:val="single" w:sz="4" w:space="0" w:color="FFFFFF"/>
            </w:tcBorders>
          </w:tcPr>
          <w:p>
            <w:pPr>
              <w:pStyle w:val="TableParagraph"/>
              <w:spacing w:line="171" w:lineRule="exact"/>
              <w:ind w:left="102"/>
              <w:rPr>
                <w:sz w:val="16"/>
              </w:rPr>
            </w:pPr>
            <w:r>
              <w:rPr>
                <w:sz w:val="16"/>
              </w:rPr>
              <w:t>Adolfo López Mateo</w:t>
            </w:r>
          </w:p>
        </w:tc>
        <w:tc>
          <w:tcPr>
            <w:tcW w:w="1150" w:type="dxa"/>
            <w:tcBorders>
              <w:top w:val="single" w:sz="4" w:space="0" w:color="FFFFFF"/>
            </w:tcBorders>
          </w:tcPr>
          <w:p>
            <w:pPr>
              <w:pStyle w:val="TableParagraph"/>
              <w:spacing w:line="171" w:lineRule="exact"/>
              <w:ind w:left="102"/>
              <w:rPr>
                <w:sz w:val="16"/>
              </w:rPr>
            </w:pPr>
            <w:r>
              <w:rPr>
                <w:sz w:val="16"/>
              </w:rPr>
              <w:t>10</w:t>
            </w:r>
          </w:p>
        </w:tc>
        <w:tc>
          <w:tcPr>
            <w:tcW w:w="1050" w:type="dxa"/>
            <w:tcBorders>
              <w:top w:val="single" w:sz="4" w:space="0" w:color="FFFFFF"/>
            </w:tcBorders>
          </w:tcPr>
          <w:p>
            <w:pPr>
              <w:pStyle w:val="TableParagraph"/>
              <w:spacing w:line="171" w:lineRule="exact"/>
              <w:ind w:left="102"/>
              <w:rPr>
                <w:sz w:val="16"/>
              </w:rPr>
            </w:pPr>
            <w:r>
              <w:rPr>
                <w:w w:val="99"/>
                <w:sz w:val="16"/>
              </w:rPr>
              <w:t>9</w:t>
            </w:r>
          </w:p>
        </w:tc>
        <w:tc>
          <w:tcPr>
            <w:tcW w:w="1213" w:type="dxa"/>
            <w:tcBorders>
              <w:top w:val="single" w:sz="4" w:space="0" w:color="FFFFFF"/>
              <w:right w:val="nil"/>
            </w:tcBorders>
          </w:tcPr>
          <w:p>
            <w:pPr>
              <w:pStyle w:val="TableParagraph"/>
              <w:spacing w:line="171" w:lineRule="exact"/>
              <w:ind w:left="102"/>
              <w:rPr>
                <w:sz w:val="16"/>
              </w:rPr>
            </w:pPr>
            <w:r>
              <w:rPr>
                <w:w w:val="99"/>
                <w:sz w:val="16"/>
              </w:rPr>
              <w:t>2</w:t>
            </w:r>
          </w:p>
        </w:tc>
      </w:tr>
      <w:tr>
        <w:trPr>
          <w:trHeight w:val="300" w:hRule="exact"/>
        </w:trPr>
        <w:tc>
          <w:tcPr>
            <w:tcW w:w="2119" w:type="dxa"/>
            <w:vMerge/>
            <w:tcBorders>
              <w:left w:val="nil"/>
              <w:bottom w:val="dotted" w:sz="4" w:space="0" w:color="929292"/>
            </w:tcBorders>
          </w:tcPr>
          <w:p>
            <w:pPr/>
          </w:p>
        </w:tc>
        <w:tc>
          <w:tcPr>
            <w:tcW w:w="2169" w:type="dxa"/>
            <w:tcBorders>
              <w:bottom w:val="dotted" w:sz="4" w:space="0" w:color="929292"/>
            </w:tcBorders>
          </w:tcPr>
          <w:p>
            <w:pPr>
              <w:pStyle w:val="TableParagraph"/>
              <w:spacing w:line="171" w:lineRule="exact"/>
              <w:ind w:left="102"/>
              <w:rPr>
                <w:sz w:val="16"/>
              </w:rPr>
            </w:pPr>
            <w:r>
              <w:rPr>
                <w:sz w:val="16"/>
              </w:rPr>
              <w:t>Avenida Torres Chicas</w:t>
            </w:r>
          </w:p>
        </w:tc>
        <w:tc>
          <w:tcPr>
            <w:tcW w:w="1150" w:type="dxa"/>
            <w:tcBorders>
              <w:bottom w:val="dotted" w:sz="4" w:space="0" w:color="929292"/>
            </w:tcBorders>
          </w:tcPr>
          <w:p>
            <w:pPr>
              <w:pStyle w:val="TableParagraph"/>
              <w:spacing w:line="171" w:lineRule="exact"/>
              <w:ind w:left="102"/>
              <w:rPr>
                <w:sz w:val="16"/>
              </w:rPr>
            </w:pPr>
            <w:r>
              <w:rPr>
                <w:sz w:val="16"/>
              </w:rPr>
              <w:t>11</w:t>
            </w:r>
          </w:p>
        </w:tc>
        <w:tc>
          <w:tcPr>
            <w:tcW w:w="1050" w:type="dxa"/>
            <w:tcBorders>
              <w:bottom w:val="dotted" w:sz="4" w:space="0" w:color="929292"/>
            </w:tcBorders>
          </w:tcPr>
          <w:p>
            <w:pPr>
              <w:pStyle w:val="TableParagraph"/>
              <w:spacing w:line="171" w:lineRule="exact"/>
              <w:ind w:left="102"/>
              <w:rPr>
                <w:sz w:val="16"/>
              </w:rPr>
            </w:pPr>
            <w:r>
              <w:rPr>
                <w:w w:val="99"/>
                <w:sz w:val="16"/>
              </w:rPr>
              <w:t>4</w:t>
            </w:r>
          </w:p>
        </w:tc>
        <w:tc>
          <w:tcPr>
            <w:tcW w:w="1213" w:type="dxa"/>
            <w:tcBorders>
              <w:bottom w:val="dotted" w:sz="4" w:space="0" w:color="929292"/>
              <w:right w:val="nil"/>
            </w:tcBorders>
          </w:tcPr>
          <w:p>
            <w:pPr>
              <w:pStyle w:val="TableParagraph"/>
              <w:spacing w:line="171" w:lineRule="exact"/>
              <w:ind w:left="102"/>
              <w:rPr>
                <w:sz w:val="16"/>
              </w:rPr>
            </w:pPr>
            <w:r>
              <w:rPr>
                <w:w w:val="99"/>
                <w:sz w:val="16"/>
              </w:rPr>
              <w:t>1</w:t>
            </w:r>
          </w:p>
        </w:tc>
      </w:tr>
      <w:tr>
        <w:trPr>
          <w:trHeight w:val="300" w:hRule="exact"/>
        </w:trPr>
        <w:tc>
          <w:tcPr>
            <w:tcW w:w="2119" w:type="dxa"/>
            <w:vMerge w:val="restart"/>
            <w:tcBorders>
              <w:top w:val="dotted" w:sz="4" w:space="0" w:color="929292"/>
              <w:left w:val="nil"/>
            </w:tcBorders>
          </w:tcPr>
          <w:p>
            <w:pPr>
              <w:pStyle w:val="TableParagraph"/>
              <w:spacing w:line="171" w:lineRule="exact"/>
              <w:ind w:left="107"/>
              <w:rPr>
                <w:sz w:val="16"/>
              </w:rPr>
            </w:pPr>
            <w:r>
              <w:rPr>
                <w:sz w:val="16"/>
              </w:rPr>
              <w:t>Santa Ana Tlapaltitlan</w:t>
            </w:r>
          </w:p>
        </w:tc>
        <w:tc>
          <w:tcPr>
            <w:tcW w:w="2169" w:type="dxa"/>
            <w:tcBorders>
              <w:top w:val="dotted" w:sz="4" w:space="0" w:color="929292"/>
            </w:tcBorders>
          </w:tcPr>
          <w:p>
            <w:pPr>
              <w:pStyle w:val="TableParagraph"/>
              <w:spacing w:line="171" w:lineRule="exact"/>
              <w:ind w:left="102"/>
              <w:rPr>
                <w:sz w:val="16"/>
              </w:rPr>
            </w:pPr>
            <w:r>
              <w:rPr>
                <w:sz w:val="16"/>
              </w:rPr>
              <w:t>Avenida Ignacio Comonfort</w:t>
            </w:r>
          </w:p>
        </w:tc>
        <w:tc>
          <w:tcPr>
            <w:tcW w:w="1150" w:type="dxa"/>
            <w:tcBorders>
              <w:top w:val="dotted" w:sz="4" w:space="0" w:color="929292"/>
            </w:tcBorders>
          </w:tcPr>
          <w:p>
            <w:pPr>
              <w:pStyle w:val="TableParagraph"/>
              <w:spacing w:line="171" w:lineRule="exact"/>
              <w:ind w:left="102"/>
              <w:rPr>
                <w:sz w:val="16"/>
              </w:rPr>
            </w:pPr>
            <w:r>
              <w:rPr>
                <w:w w:val="99"/>
                <w:sz w:val="16"/>
              </w:rPr>
              <w:t>3</w:t>
            </w:r>
          </w:p>
        </w:tc>
        <w:tc>
          <w:tcPr>
            <w:tcW w:w="1050" w:type="dxa"/>
            <w:tcBorders>
              <w:top w:val="dotted" w:sz="4" w:space="0" w:color="929292"/>
            </w:tcBorders>
          </w:tcPr>
          <w:p>
            <w:pPr>
              <w:pStyle w:val="TableParagraph"/>
              <w:spacing w:line="171" w:lineRule="exact"/>
              <w:ind w:left="102"/>
              <w:rPr>
                <w:sz w:val="16"/>
              </w:rPr>
            </w:pPr>
            <w:r>
              <w:rPr>
                <w:w w:val="99"/>
                <w:sz w:val="16"/>
              </w:rPr>
              <w:t>7</w:t>
            </w:r>
          </w:p>
        </w:tc>
        <w:tc>
          <w:tcPr>
            <w:tcW w:w="1213" w:type="dxa"/>
            <w:tcBorders>
              <w:top w:val="dotted" w:sz="4" w:space="0" w:color="929292"/>
              <w:right w:val="nil"/>
            </w:tcBorders>
          </w:tcPr>
          <w:p>
            <w:pPr>
              <w:pStyle w:val="TableParagraph"/>
              <w:spacing w:line="171" w:lineRule="exact"/>
              <w:ind w:left="102"/>
              <w:rPr>
                <w:sz w:val="16"/>
              </w:rPr>
            </w:pPr>
            <w:r>
              <w:rPr>
                <w:w w:val="99"/>
                <w:sz w:val="16"/>
              </w:rPr>
              <w:t>1</w:t>
            </w:r>
          </w:p>
        </w:tc>
      </w:tr>
      <w:tr>
        <w:trPr>
          <w:trHeight w:val="371" w:hRule="exact"/>
        </w:trPr>
        <w:tc>
          <w:tcPr>
            <w:tcW w:w="2119" w:type="dxa"/>
            <w:vMerge/>
            <w:tcBorders>
              <w:left w:val="nil"/>
            </w:tcBorders>
          </w:tcPr>
          <w:p>
            <w:pPr/>
          </w:p>
        </w:tc>
        <w:tc>
          <w:tcPr>
            <w:tcW w:w="2169" w:type="dxa"/>
            <w:tcBorders>
              <w:bottom w:val="single" w:sz="4" w:space="0" w:color="FFFFFF"/>
            </w:tcBorders>
          </w:tcPr>
          <w:p>
            <w:pPr>
              <w:pStyle w:val="TableParagraph"/>
              <w:spacing w:line="171" w:lineRule="exact"/>
              <w:ind w:left="102"/>
              <w:rPr>
                <w:sz w:val="16"/>
              </w:rPr>
            </w:pPr>
            <w:r>
              <w:rPr>
                <w:sz w:val="16"/>
              </w:rPr>
              <w:t>Comonfort esquina Las</w:t>
            </w:r>
          </w:p>
          <w:p>
            <w:pPr>
              <w:pStyle w:val="TableParagraph"/>
              <w:tabs>
                <w:tab w:pos="2148" w:val="left" w:leader="none"/>
              </w:tabs>
              <w:spacing w:before="16"/>
              <w:ind w:left="25"/>
              <w:rPr>
                <w:sz w:val="16"/>
              </w:rPr>
            </w:pPr>
            <w:r>
              <w:rPr>
                <w:w w:val="100"/>
                <w:sz w:val="16"/>
                <w:u w:val="dotted" w:color="929292"/>
              </w:rPr>
              <w:t> </w:t>
            </w:r>
            <w:r>
              <w:rPr>
                <w:spacing w:val="-12"/>
                <w:sz w:val="16"/>
                <w:u w:val="dotted" w:color="929292"/>
              </w:rPr>
              <w:t> </w:t>
            </w:r>
            <w:r>
              <w:rPr>
                <w:sz w:val="16"/>
                <w:u w:val="dotted" w:color="929292"/>
              </w:rPr>
              <w:t>Torres</w:t>
              <w:tab/>
            </w:r>
          </w:p>
        </w:tc>
        <w:tc>
          <w:tcPr>
            <w:tcW w:w="1150" w:type="dxa"/>
            <w:tcBorders>
              <w:bottom w:val="single" w:sz="4" w:space="0" w:color="FFFFFF"/>
            </w:tcBorders>
          </w:tcPr>
          <w:p>
            <w:pPr>
              <w:pStyle w:val="TableParagraph"/>
              <w:spacing w:line="171" w:lineRule="exact"/>
              <w:ind w:left="102"/>
              <w:rPr>
                <w:sz w:val="16"/>
              </w:rPr>
            </w:pPr>
            <w:r>
              <w:rPr>
                <w:w w:val="99"/>
                <w:sz w:val="16"/>
              </w:rPr>
              <w:t>0</w:t>
            </w:r>
          </w:p>
          <w:p>
            <w:pPr>
              <w:pStyle w:val="TableParagraph"/>
              <w:tabs>
                <w:tab w:pos="1129" w:val="left" w:leader="none"/>
              </w:tabs>
              <w:spacing w:before="16"/>
              <w:ind w:left="25"/>
              <w:rPr>
                <w:sz w:val="16"/>
              </w:rPr>
            </w:pPr>
            <w:r>
              <w:rPr>
                <w:w w:val="100"/>
                <w:sz w:val="16"/>
                <w:u w:val="dotted" w:color="929292"/>
              </w:rPr>
              <w:t> </w:t>
            </w:r>
            <w:r>
              <w:rPr>
                <w:sz w:val="16"/>
                <w:u w:val="dotted" w:color="929292"/>
              </w:rPr>
              <w:tab/>
            </w:r>
          </w:p>
        </w:tc>
        <w:tc>
          <w:tcPr>
            <w:tcW w:w="1050" w:type="dxa"/>
            <w:tcBorders>
              <w:bottom w:val="single" w:sz="4" w:space="0" w:color="FFFFFF"/>
            </w:tcBorders>
          </w:tcPr>
          <w:p>
            <w:pPr>
              <w:pStyle w:val="TableParagraph"/>
              <w:spacing w:line="171" w:lineRule="exact"/>
              <w:ind w:left="102"/>
              <w:rPr>
                <w:sz w:val="16"/>
              </w:rPr>
            </w:pPr>
            <w:r>
              <w:rPr>
                <w:w w:val="99"/>
                <w:sz w:val="16"/>
              </w:rPr>
              <w:t>0</w:t>
            </w:r>
          </w:p>
          <w:p>
            <w:pPr>
              <w:pStyle w:val="TableParagraph"/>
              <w:tabs>
                <w:tab w:pos="1029" w:val="left" w:leader="none"/>
              </w:tabs>
              <w:spacing w:before="16"/>
              <w:ind w:left="25"/>
              <w:rPr>
                <w:sz w:val="16"/>
              </w:rPr>
            </w:pPr>
            <w:r>
              <w:rPr>
                <w:w w:val="100"/>
                <w:sz w:val="16"/>
                <w:u w:val="dotted" w:color="929292"/>
              </w:rPr>
              <w:t> </w:t>
            </w:r>
            <w:r>
              <w:rPr>
                <w:sz w:val="16"/>
                <w:u w:val="dotted" w:color="929292"/>
              </w:rPr>
              <w:tab/>
            </w:r>
          </w:p>
        </w:tc>
        <w:tc>
          <w:tcPr>
            <w:tcW w:w="1213" w:type="dxa"/>
            <w:tcBorders>
              <w:bottom w:val="single" w:sz="4" w:space="0" w:color="FFFFFF"/>
              <w:right w:val="nil"/>
            </w:tcBorders>
          </w:tcPr>
          <w:p>
            <w:pPr>
              <w:pStyle w:val="TableParagraph"/>
              <w:spacing w:line="171" w:lineRule="exact"/>
              <w:ind w:left="102"/>
              <w:rPr>
                <w:sz w:val="16"/>
              </w:rPr>
            </w:pPr>
            <w:r>
              <w:rPr>
                <w:w w:val="99"/>
                <w:sz w:val="16"/>
              </w:rPr>
              <w:t>1</w:t>
            </w:r>
          </w:p>
          <w:p>
            <w:pPr>
              <w:pStyle w:val="TableParagraph"/>
              <w:tabs>
                <w:tab w:pos="1187" w:val="left" w:leader="none"/>
              </w:tabs>
              <w:spacing w:before="16"/>
              <w:ind w:left="25"/>
              <w:rPr>
                <w:sz w:val="16"/>
              </w:rPr>
            </w:pPr>
            <w:r>
              <w:rPr>
                <w:w w:val="100"/>
                <w:sz w:val="16"/>
                <w:u w:val="dotted" w:color="929292"/>
              </w:rPr>
              <w:t> </w:t>
            </w:r>
            <w:r>
              <w:rPr>
                <w:sz w:val="16"/>
                <w:u w:val="dotted" w:color="929292"/>
              </w:rPr>
              <w:tab/>
            </w:r>
          </w:p>
        </w:tc>
      </w:tr>
      <w:tr>
        <w:trPr>
          <w:trHeight w:val="300" w:hRule="exact"/>
        </w:trPr>
        <w:tc>
          <w:tcPr>
            <w:tcW w:w="2119" w:type="dxa"/>
            <w:vMerge/>
            <w:tcBorders>
              <w:left w:val="nil"/>
              <w:bottom w:val="dotted" w:sz="4" w:space="0" w:color="929292"/>
            </w:tcBorders>
          </w:tcPr>
          <w:p>
            <w:pPr/>
          </w:p>
        </w:tc>
        <w:tc>
          <w:tcPr>
            <w:tcW w:w="2169" w:type="dxa"/>
            <w:tcBorders>
              <w:top w:val="single" w:sz="4" w:space="0" w:color="FFFFFF"/>
              <w:bottom w:val="dotted" w:sz="4" w:space="0" w:color="929292"/>
            </w:tcBorders>
          </w:tcPr>
          <w:p>
            <w:pPr>
              <w:pStyle w:val="TableParagraph"/>
              <w:spacing w:line="171" w:lineRule="exact"/>
              <w:ind w:left="102"/>
              <w:rPr>
                <w:sz w:val="16"/>
              </w:rPr>
            </w:pPr>
            <w:r>
              <w:rPr>
                <w:sz w:val="16"/>
              </w:rPr>
              <w:t>Vicente Guerrero</w:t>
            </w:r>
          </w:p>
        </w:tc>
        <w:tc>
          <w:tcPr>
            <w:tcW w:w="1150" w:type="dxa"/>
            <w:tcBorders>
              <w:top w:val="single" w:sz="4" w:space="0" w:color="FFFFFF"/>
              <w:bottom w:val="dotted" w:sz="4" w:space="0" w:color="929292"/>
            </w:tcBorders>
          </w:tcPr>
          <w:p>
            <w:pPr>
              <w:pStyle w:val="TableParagraph"/>
              <w:spacing w:line="171" w:lineRule="exact"/>
              <w:ind w:left="102"/>
              <w:rPr>
                <w:sz w:val="16"/>
              </w:rPr>
            </w:pPr>
            <w:r>
              <w:rPr>
                <w:sz w:val="16"/>
              </w:rPr>
              <w:t>39</w:t>
            </w:r>
          </w:p>
        </w:tc>
        <w:tc>
          <w:tcPr>
            <w:tcW w:w="1050" w:type="dxa"/>
            <w:tcBorders>
              <w:top w:val="single" w:sz="4" w:space="0" w:color="FFFFFF"/>
              <w:bottom w:val="dotted" w:sz="4" w:space="0" w:color="929292"/>
            </w:tcBorders>
          </w:tcPr>
          <w:p>
            <w:pPr>
              <w:pStyle w:val="TableParagraph"/>
              <w:spacing w:line="171" w:lineRule="exact"/>
              <w:ind w:left="102"/>
              <w:rPr>
                <w:sz w:val="16"/>
              </w:rPr>
            </w:pPr>
            <w:r>
              <w:rPr>
                <w:w w:val="99"/>
                <w:sz w:val="16"/>
              </w:rPr>
              <w:t>9</w:t>
            </w:r>
          </w:p>
        </w:tc>
        <w:tc>
          <w:tcPr>
            <w:tcW w:w="1213" w:type="dxa"/>
            <w:tcBorders>
              <w:top w:val="single" w:sz="4" w:space="0" w:color="FFFFFF"/>
              <w:bottom w:val="dotted" w:sz="4" w:space="0" w:color="929292"/>
              <w:right w:val="nil"/>
            </w:tcBorders>
          </w:tcPr>
          <w:p>
            <w:pPr>
              <w:pStyle w:val="TableParagraph"/>
              <w:spacing w:line="171" w:lineRule="exact"/>
              <w:ind w:left="102"/>
              <w:rPr>
                <w:sz w:val="16"/>
              </w:rPr>
            </w:pPr>
            <w:r>
              <w:rPr>
                <w:w w:val="99"/>
                <w:sz w:val="16"/>
              </w:rPr>
              <w:t>1</w:t>
            </w:r>
          </w:p>
        </w:tc>
      </w:tr>
      <w:tr>
        <w:trPr>
          <w:trHeight w:val="569" w:hRule="exact"/>
        </w:trPr>
        <w:tc>
          <w:tcPr>
            <w:tcW w:w="2119" w:type="dxa"/>
            <w:tcBorders>
              <w:top w:val="dotted" w:sz="4" w:space="0" w:color="929292"/>
              <w:left w:val="nil"/>
              <w:bottom w:val="dotted" w:sz="4" w:space="0" w:color="929292"/>
            </w:tcBorders>
          </w:tcPr>
          <w:p>
            <w:pPr>
              <w:pStyle w:val="TableParagraph"/>
              <w:spacing w:line="171" w:lineRule="exact"/>
              <w:ind w:left="106"/>
              <w:rPr>
                <w:sz w:val="16"/>
              </w:rPr>
            </w:pPr>
            <w:r>
              <w:rPr>
                <w:sz w:val="16"/>
              </w:rPr>
              <w:t>Árbol de las Manitas</w:t>
            </w:r>
          </w:p>
        </w:tc>
        <w:tc>
          <w:tcPr>
            <w:tcW w:w="2169" w:type="dxa"/>
            <w:tcBorders>
              <w:top w:val="dotted" w:sz="4" w:space="0" w:color="929292"/>
              <w:bottom w:val="dotted" w:sz="4" w:space="0" w:color="929292"/>
            </w:tcBorders>
          </w:tcPr>
          <w:p>
            <w:pPr>
              <w:pStyle w:val="TableParagraph"/>
              <w:spacing w:line="171" w:lineRule="exact"/>
              <w:ind w:left="102"/>
              <w:rPr>
                <w:sz w:val="16"/>
              </w:rPr>
            </w:pPr>
            <w:r>
              <w:rPr>
                <w:sz w:val="16"/>
              </w:rPr>
              <w:t>Glorieta a la Marina</w:t>
            </w:r>
          </w:p>
        </w:tc>
        <w:tc>
          <w:tcPr>
            <w:tcW w:w="1150" w:type="dxa"/>
            <w:tcBorders>
              <w:top w:val="dotted" w:sz="4" w:space="0" w:color="929292"/>
              <w:bottom w:val="dotted" w:sz="4" w:space="0" w:color="929292"/>
            </w:tcBorders>
          </w:tcPr>
          <w:p>
            <w:pPr>
              <w:pStyle w:val="TableParagraph"/>
              <w:spacing w:line="171" w:lineRule="exact"/>
              <w:ind w:left="102"/>
              <w:rPr>
                <w:sz w:val="16"/>
              </w:rPr>
            </w:pPr>
            <w:r>
              <w:rPr>
                <w:sz w:val="16"/>
              </w:rPr>
              <w:t>17</w:t>
            </w:r>
          </w:p>
        </w:tc>
        <w:tc>
          <w:tcPr>
            <w:tcW w:w="1050" w:type="dxa"/>
            <w:tcBorders>
              <w:top w:val="dotted" w:sz="4" w:space="0" w:color="929292"/>
              <w:bottom w:val="dotted" w:sz="4" w:space="0" w:color="929292"/>
            </w:tcBorders>
          </w:tcPr>
          <w:p>
            <w:pPr>
              <w:pStyle w:val="TableParagraph"/>
              <w:spacing w:line="171" w:lineRule="exact"/>
              <w:ind w:left="101"/>
              <w:rPr>
                <w:sz w:val="16"/>
              </w:rPr>
            </w:pPr>
            <w:r>
              <w:rPr>
                <w:sz w:val="16"/>
              </w:rPr>
              <w:t>12</w:t>
            </w:r>
          </w:p>
        </w:tc>
        <w:tc>
          <w:tcPr>
            <w:tcW w:w="1213" w:type="dxa"/>
            <w:tcBorders>
              <w:top w:val="dotted" w:sz="4" w:space="0" w:color="929292"/>
              <w:bottom w:val="dotted" w:sz="4" w:space="0" w:color="929292"/>
              <w:right w:val="nil"/>
            </w:tcBorders>
          </w:tcPr>
          <w:p>
            <w:pPr>
              <w:pStyle w:val="TableParagraph"/>
              <w:spacing w:line="171" w:lineRule="exact"/>
              <w:ind w:left="101"/>
              <w:rPr>
                <w:sz w:val="16"/>
              </w:rPr>
            </w:pPr>
            <w:r>
              <w:rPr>
                <w:w w:val="99"/>
                <w:sz w:val="16"/>
              </w:rPr>
              <w:t>5</w:t>
            </w:r>
          </w:p>
        </w:tc>
      </w:tr>
      <w:tr>
        <w:trPr>
          <w:trHeight w:val="300" w:hRule="exact"/>
        </w:trPr>
        <w:tc>
          <w:tcPr>
            <w:tcW w:w="2119" w:type="dxa"/>
            <w:vMerge w:val="restart"/>
            <w:tcBorders>
              <w:top w:val="dotted" w:sz="4" w:space="0" w:color="929292"/>
              <w:left w:val="nil"/>
            </w:tcBorders>
          </w:tcPr>
          <w:p>
            <w:pPr>
              <w:pStyle w:val="TableParagraph"/>
              <w:spacing w:line="171" w:lineRule="exact"/>
              <w:ind w:left="106"/>
              <w:rPr>
                <w:sz w:val="16"/>
              </w:rPr>
            </w:pPr>
            <w:r>
              <w:rPr>
                <w:sz w:val="16"/>
              </w:rPr>
              <w:t>Cacalomacán</w:t>
            </w:r>
          </w:p>
        </w:tc>
        <w:tc>
          <w:tcPr>
            <w:tcW w:w="2169" w:type="dxa"/>
            <w:tcBorders>
              <w:top w:val="dotted" w:sz="4" w:space="0" w:color="929292"/>
            </w:tcBorders>
          </w:tcPr>
          <w:p>
            <w:pPr>
              <w:pStyle w:val="TableParagraph"/>
              <w:spacing w:line="171" w:lineRule="exact"/>
              <w:ind w:left="101"/>
              <w:rPr>
                <w:sz w:val="16"/>
              </w:rPr>
            </w:pPr>
            <w:r>
              <w:rPr>
                <w:sz w:val="16"/>
              </w:rPr>
              <w:t>Barrio La Loma</w:t>
            </w:r>
          </w:p>
        </w:tc>
        <w:tc>
          <w:tcPr>
            <w:tcW w:w="1150" w:type="dxa"/>
            <w:tcBorders>
              <w:top w:val="dotted" w:sz="4" w:space="0" w:color="929292"/>
            </w:tcBorders>
          </w:tcPr>
          <w:p>
            <w:pPr>
              <w:pStyle w:val="TableParagraph"/>
              <w:spacing w:line="171" w:lineRule="exact"/>
              <w:ind w:left="101"/>
              <w:rPr>
                <w:sz w:val="16"/>
              </w:rPr>
            </w:pPr>
            <w:r>
              <w:rPr>
                <w:sz w:val="16"/>
              </w:rPr>
              <w:t>13</w:t>
            </w:r>
          </w:p>
        </w:tc>
        <w:tc>
          <w:tcPr>
            <w:tcW w:w="1050" w:type="dxa"/>
            <w:tcBorders>
              <w:top w:val="dotted" w:sz="4" w:space="0" w:color="929292"/>
            </w:tcBorders>
          </w:tcPr>
          <w:p>
            <w:pPr>
              <w:pStyle w:val="TableParagraph"/>
              <w:spacing w:line="171" w:lineRule="exact"/>
              <w:ind w:left="101"/>
              <w:rPr>
                <w:sz w:val="16"/>
              </w:rPr>
            </w:pPr>
            <w:r>
              <w:rPr>
                <w:w w:val="99"/>
                <w:sz w:val="16"/>
              </w:rPr>
              <w:t>3</w:t>
            </w:r>
          </w:p>
        </w:tc>
        <w:tc>
          <w:tcPr>
            <w:tcW w:w="1213" w:type="dxa"/>
            <w:tcBorders>
              <w:top w:val="dotted" w:sz="4" w:space="0" w:color="929292"/>
              <w:right w:val="nil"/>
            </w:tcBorders>
          </w:tcPr>
          <w:p>
            <w:pPr>
              <w:pStyle w:val="TableParagraph"/>
              <w:spacing w:line="171" w:lineRule="exact"/>
              <w:ind w:left="101"/>
              <w:rPr>
                <w:sz w:val="16"/>
              </w:rPr>
            </w:pPr>
            <w:r>
              <w:rPr>
                <w:w w:val="99"/>
                <w:sz w:val="16"/>
              </w:rPr>
              <w:t>3</w:t>
            </w:r>
          </w:p>
        </w:tc>
      </w:tr>
      <w:tr>
        <w:trPr>
          <w:trHeight w:val="371" w:hRule="exact"/>
        </w:trPr>
        <w:tc>
          <w:tcPr>
            <w:tcW w:w="2119" w:type="dxa"/>
            <w:vMerge/>
            <w:tcBorders>
              <w:left w:val="nil"/>
            </w:tcBorders>
          </w:tcPr>
          <w:p>
            <w:pPr/>
          </w:p>
        </w:tc>
        <w:tc>
          <w:tcPr>
            <w:tcW w:w="2169" w:type="dxa"/>
            <w:tcBorders>
              <w:bottom w:val="single" w:sz="4" w:space="0" w:color="FFFFFF"/>
            </w:tcBorders>
          </w:tcPr>
          <w:p>
            <w:pPr>
              <w:pStyle w:val="TableParagraph"/>
              <w:spacing w:line="171" w:lineRule="exact"/>
              <w:ind w:left="101"/>
              <w:rPr>
                <w:sz w:val="16"/>
              </w:rPr>
            </w:pPr>
            <w:r>
              <w:rPr>
                <w:sz w:val="16"/>
              </w:rPr>
              <w:t>Independencia esq.</w:t>
            </w:r>
          </w:p>
          <w:p>
            <w:pPr>
              <w:pStyle w:val="TableParagraph"/>
              <w:tabs>
                <w:tab w:pos="2148" w:val="left" w:leader="none"/>
              </w:tabs>
              <w:spacing w:before="16"/>
              <w:ind w:left="25"/>
              <w:rPr>
                <w:sz w:val="16"/>
              </w:rPr>
            </w:pPr>
            <w:r>
              <w:rPr>
                <w:w w:val="100"/>
                <w:sz w:val="16"/>
                <w:u w:val="dotted" w:color="929292"/>
              </w:rPr>
              <w:t> </w:t>
            </w:r>
            <w:r>
              <w:rPr>
                <w:spacing w:val="-13"/>
                <w:sz w:val="16"/>
                <w:u w:val="dotted" w:color="929292"/>
              </w:rPr>
              <w:t> </w:t>
            </w:r>
            <w:r>
              <w:rPr>
                <w:sz w:val="16"/>
                <w:u w:val="dotted" w:color="929292"/>
              </w:rPr>
              <w:t>Morelos</w:t>
              <w:tab/>
            </w:r>
          </w:p>
        </w:tc>
        <w:tc>
          <w:tcPr>
            <w:tcW w:w="1150" w:type="dxa"/>
            <w:tcBorders>
              <w:bottom w:val="single" w:sz="4" w:space="0" w:color="FFFFFF"/>
            </w:tcBorders>
          </w:tcPr>
          <w:p>
            <w:pPr>
              <w:pStyle w:val="TableParagraph"/>
              <w:spacing w:line="171" w:lineRule="exact"/>
              <w:ind w:left="101"/>
              <w:rPr>
                <w:sz w:val="16"/>
              </w:rPr>
            </w:pPr>
            <w:r>
              <w:rPr>
                <w:sz w:val="16"/>
              </w:rPr>
              <w:t>27</w:t>
            </w:r>
          </w:p>
          <w:p>
            <w:pPr>
              <w:pStyle w:val="TableParagraph"/>
              <w:tabs>
                <w:tab w:pos="1129" w:val="left" w:leader="none"/>
              </w:tabs>
              <w:spacing w:before="16"/>
              <w:ind w:left="25"/>
              <w:rPr>
                <w:sz w:val="16"/>
              </w:rPr>
            </w:pPr>
            <w:r>
              <w:rPr>
                <w:w w:val="100"/>
                <w:sz w:val="16"/>
                <w:u w:val="dotted" w:color="929292"/>
              </w:rPr>
              <w:t> </w:t>
            </w:r>
            <w:r>
              <w:rPr>
                <w:sz w:val="16"/>
                <w:u w:val="dotted" w:color="929292"/>
              </w:rPr>
              <w:tab/>
            </w:r>
          </w:p>
        </w:tc>
        <w:tc>
          <w:tcPr>
            <w:tcW w:w="1050" w:type="dxa"/>
            <w:tcBorders>
              <w:bottom w:val="single" w:sz="4" w:space="0" w:color="FFFFFF"/>
            </w:tcBorders>
          </w:tcPr>
          <w:p>
            <w:pPr>
              <w:pStyle w:val="TableParagraph"/>
              <w:spacing w:line="171" w:lineRule="exact"/>
              <w:ind w:left="101"/>
              <w:rPr>
                <w:sz w:val="16"/>
              </w:rPr>
            </w:pPr>
            <w:r>
              <w:rPr>
                <w:sz w:val="16"/>
              </w:rPr>
              <w:t>80</w:t>
            </w:r>
          </w:p>
          <w:p>
            <w:pPr>
              <w:pStyle w:val="TableParagraph"/>
              <w:tabs>
                <w:tab w:pos="1029" w:val="left" w:leader="none"/>
              </w:tabs>
              <w:spacing w:before="16"/>
              <w:ind w:left="25"/>
              <w:rPr>
                <w:sz w:val="16"/>
              </w:rPr>
            </w:pPr>
            <w:r>
              <w:rPr>
                <w:w w:val="100"/>
                <w:sz w:val="16"/>
                <w:u w:val="dotted" w:color="929292"/>
              </w:rPr>
              <w:t> </w:t>
            </w:r>
            <w:r>
              <w:rPr>
                <w:sz w:val="16"/>
                <w:u w:val="dotted" w:color="929292"/>
              </w:rPr>
              <w:tab/>
            </w:r>
          </w:p>
        </w:tc>
        <w:tc>
          <w:tcPr>
            <w:tcW w:w="1213" w:type="dxa"/>
            <w:tcBorders>
              <w:bottom w:val="single" w:sz="4" w:space="0" w:color="FFFFFF"/>
              <w:right w:val="nil"/>
            </w:tcBorders>
          </w:tcPr>
          <w:p>
            <w:pPr>
              <w:pStyle w:val="TableParagraph"/>
              <w:spacing w:line="171" w:lineRule="exact"/>
              <w:ind w:left="101"/>
              <w:rPr>
                <w:sz w:val="16"/>
              </w:rPr>
            </w:pPr>
            <w:r>
              <w:rPr>
                <w:w w:val="99"/>
                <w:sz w:val="16"/>
              </w:rPr>
              <w:t>3</w:t>
            </w:r>
          </w:p>
          <w:p>
            <w:pPr>
              <w:pStyle w:val="TableParagraph"/>
              <w:tabs>
                <w:tab w:pos="1187" w:val="left" w:leader="none"/>
              </w:tabs>
              <w:spacing w:before="16"/>
              <w:ind w:left="25"/>
              <w:rPr>
                <w:sz w:val="16"/>
              </w:rPr>
            </w:pPr>
            <w:r>
              <w:rPr>
                <w:w w:val="100"/>
                <w:sz w:val="16"/>
                <w:u w:val="dotted" w:color="929292"/>
              </w:rPr>
              <w:t> </w:t>
            </w:r>
            <w:r>
              <w:rPr>
                <w:sz w:val="16"/>
                <w:u w:val="dotted" w:color="929292"/>
              </w:rPr>
              <w:tab/>
            </w:r>
          </w:p>
        </w:tc>
      </w:tr>
      <w:tr>
        <w:trPr>
          <w:trHeight w:val="248" w:hRule="exact"/>
        </w:trPr>
        <w:tc>
          <w:tcPr>
            <w:tcW w:w="2119" w:type="dxa"/>
            <w:vMerge/>
            <w:tcBorders>
              <w:left w:val="nil"/>
            </w:tcBorders>
          </w:tcPr>
          <w:p>
            <w:pPr/>
          </w:p>
        </w:tc>
        <w:tc>
          <w:tcPr>
            <w:tcW w:w="2169" w:type="dxa"/>
            <w:tcBorders>
              <w:top w:val="single" w:sz="4" w:space="0" w:color="FFFFFF"/>
            </w:tcBorders>
          </w:tcPr>
          <w:p>
            <w:pPr>
              <w:pStyle w:val="TableParagraph"/>
              <w:spacing w:line="171" w:lineRule="exact"/>
              <w:ind w:left="101"/>
              <w:rPr>
                <w:sz w:val="16"/>
              </w:rPr>
            </w:pPr>
            <w:r>
              <w:rPr>
                <w:sz w:val="16"/>
              </w:rPr>
              <w:t>Barrio El Chorrito</w:t>
            </w:r>
          </w:p>
        </w:tc>
        <w:tc>
          <w:tcPr>
            <w:tcW w:w="1150" w:type="dxa"/>
            <w:tcBorders>
              <w:top w:val="single" w:sz="4" w:space="0" w:color="FFFFFF"/>
            </w:tcBorders>
          </w:tcPr>
          <w:p>
            <w:pPr>
              <w:pStyle w:val="TableParagraph"/>
              <w:spacing w:line="171" w:lineRule="exact"/>
              <w:ind w:left="101"/>
              <w:rPr>
                <w:sz w:val="16"/>
              </w:rPr>
            </w:pPr>
            <w:r>
              <w:rPr>
                <w:sz w:val="16"/>
              </w:rPr>
              <w:t>10</w:t>
            </w:r>
          </w:p>
        </w:tc>
        <w:tc>
          <w:tcPr>
            <w:tcW w:w="1050" w:type="dxa"/>
            <w:tcBorders>
              <w:top w:val="single" w:sz="4" w:space="0" w:color="FFFFFF"/>
            </w:tcBorders>
          </w:tcPr>
          <w:p>
            <w:pPr>
              <w:pStyle w:val="TableParagraph"/>
              <w:spacing w:line="171" w:lineRule="exact"/>
              <w:ind w:left="101"/>
              <w:rPr>
                <w:sz w:val="16"/>
              </w:rPr>
            </w:pPr>
            <w:r>
              <w:rPr>
                <w:w w:val="99"/>
                <w:sz w:val="16"/>
              </w:rPr>
              <w:t>6</w:t>
            </w:r>
          </w:p>
        </w:tc>
        <w:tc>
          <w:tcPr>
            <w:tcW w:w="1213" w:type="dxa"/>
            <w:tcBorders>
              <w:top w:val="single" w:sz="4" w:space="0" w:color="FFFFFF"/>
              <w:right w:val="nil"/>
            </w:tcBorders>
          </w:tcPr>
          <w:p>
            <w:pPr>
              <w:pStyle w:val="TableParagraph"/>
              <w:spacing w:line="171" w:lineRule="exact"/>
              <w:ind w:left="101"/>
              <w:rPr>
                <w:sz w:val="16"/>
              </w:rPr>
            </w:pPr>
            <w:r>
              <w:rPr>
                <w:w w:val="99"/>
                <w:sz w:val="16"/>
              </w:rPr>
              <w:t>3</w:t>
            </w:r>
          </w:p>
        </w:tc>
      </w:tr>
      <w:tr>
        <w:trPr>
          <w:trHeight w:val="266" w:hRule="exact"/>
        </w:trPr>
        <w:tc>
          <w:tcPr>
            <w:tcW w:w="2119" w:type="dxa"/>
            <w:vMerge/>
            <w:tcBorders>
              <w:left w:val="nil"/>
              <w:bottom w:val="dotted" w:sz="4" w:space="0" w:color="929292"/>
            </w:tcBorders>
          </w:tcPr>
          <w:p>
            <w:pPr/>
          </w:p>
        </w:tc>
        <w:tc>
          <w:tcPr>
            <w:tcW w:w="2169" w:type="dxa"/>
            <w:tcBorders>
              <w:bottom w:val="dotted" w:sz="4" w:space="0" w:color="929292"/>
            </w:tcBorders>
          </w:tcPr>
          <w:p>
            <w:pPr>
              <w:pStyle w:val="TableParagraph"/>
              <w:spacing w:line="171" w:lineRule="exact"/>
              <w:ind w:left="101"/>
              <w:rPr>
                <w:sz w:val="16"/>
              </w:rPr>
            </w:pPr>
            <w:r>
              <w:rPr>
                <w:sz w:val="16"/>
              </w:rPr>
              <w:t>Barrio San Pedro</w:t>
            </w:r>
          </w:p>
        </w:tc>
        <w:tc>
          <w:tcPr>
            <w:tcW w:w="1150" w:type="dxa"/>
            <w:tcBorders>
              <w:bottom w:val="dotted" w:sz="4" w:space="0" w:color="929292"/>
            </w:tcBorders>
          </w:tcPr>
          <w:p>
            <w:pPr>
              <w:pStyle w:val="TableParagraph"/>
              <w:spacing w:line="171" w:lineRule="exact"/>
              <w:ind w:left="101"/>
              <w:rPr>
                <w:sz w:val="16"/>
              </w:rPr>
            </w:pPr>
            <w:r>
              <w:rPr>
                <w:sz w:val="16"/>
              </w:rPr>
              <w:t>31</w:t>
            </w:r>
          </w:p>
        </w:tc>
        <w:tc>
          <w:tcPr>
            <w:tcW w:w="1050" w:type="dxa"/>
            <w:tcBorders>
              <w:bottom w:val="dotted" w:sz="4" w:space="0" w:color="929292"/>
            </w:tcBorders>
          </w:tcPr>
          <w:p>
            <w:pPr>
              <w:pStyle w:val="TableParagraph"/>
              <w:spacing w:line="171" w:lineRule="exact"/>
              <w:ind w:left="101"/>
              <w:rPr>
                <w:sz w:val="16"/>
              </w:rPr>
            </w:pPr>
            <w:r>
              <w:rPr>
                <w:w w:val="99"/>
                <w:sz w:val="16"/>
              </w:rPr>
              <w:t>4</w:t>
            </w:r>
          </w:p>
        </w:tc>
        <w:tc>
          <w:tcPr>
            <w:tcW w:w="1213" w:type="dxa"/>
            <w:tcBorders>
              <w:bottom w:val="dotted" w:sz="4" w:space="0" w:color="929292"/>
              <w:right w:val="nil"/>
            </w:tcBorders>
          </w:tcPr>
          <w:p>
            <w:pPr>
              <w:pStyle w:val="TableParagraph"/>
              <w:spacing w:line="171" w:lineRule="exact"/>
              <w:ind w:left="101"/>
              <w:rPr>
                <w:sz w:val="16"/>
              </w:rPr>
            </w:pPr>
            <w:r>
              <w:rPr>
                <w:w w:val="99"/>
                <w:sz w:val="16"/>
              </w:rPr>
              <w:t>6</w:t>
            </w:r>
          </w:p>
        </w:tc>
      </w:tr>
      <w:tr>
        <w:trPr>
          <w:trHeight w:val="171" w:hRule="exact"/>
        </w:trPr>
        <w:tc>
          <w:tcPr>
            <w:tcW w:w="2119" w:type="dxa"/>
            <w:tcBorders>
              <w:top w:val="dotted" w:sz="4" w:space="0" w:color="929292"/>
              <w:left w:val="nil"/>
              <w:bottom w:val="nil"/>
            </w:tcBorders>
          </w:tcPr>
          <w:p>
            <w:pPr>
              <w:pStyle w:val="TableParagraph"/>
              <w:tabs>
                <w:tab w:pos="2103" w:val="left" w:leader="none"/>
              </w:tabs>
              <w:spacing w:line="171" w:lineRule="exact"/>
              <w:ind w:left="35"/>
              <w:rPr>
                <w:sz w:val="16"/>
              </w:rPr>
            </w:pPr>
            <w:r>
              <w:rPr>
                <w:w w:val="100"/>
                <w:sz w:val="16"/>
                <w:u w:val="dotted" w:color="929292"/>
              </w:rPr>
              <w:t> </w:t>
            </w:r>
            <w:r>
              <w:rPr>
                <w:spacing w:val="-18"/>
                <w:sz w:val="16"/>
                <w:u w:val="dotted" w:color="929292"/>
              </w:rPr>
              <w:t> </w:t>
            </w:r>
            <w:r>
              <w:rPr>
                <w:sz w:val="16"/>
                <w:u w:val="dotted" w:color="929292"/>
              </w:rPr>
              <w:t>Calixtlahuaca</w:t>
              <w:tab/>
            </w:r>
          </w:p>
        </w:tc>
        <w:tc>
          <w:tcPr>
            <w:tcW w:w="2169" w:type="dxa"/>
            <w:tcBorders>
              <w:top w:val="dotted" w:sz="4" w:space="0" w:color="929292"/>
              <w:bottom w:val="single" w:sz="4" w:space="0" w:color="FFFFFF"/>
            </w:tcBorders>
          </w:tcPr>
          <w:p>
            <w:pPr>
              <w:pStyle w:val="TableParagraph"/>
              <w:tabs>
                <w:tab w:pos="2148"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Colonia El</w:t>
            </w:r>
            <w:r>
              <w:rPr>
                <w:spacing w:val="-7"/>
                <w:sz w:val="16"/>
                <w:u w:val="dotted" w:color="929292"/>
              </w:rPr>
              <w:t> </w:t>
            </w:r>
            <w:r>
              <w:rPr>
                <w:sz w:val="16"/>
                <w:u w:val="dotted" w:color="929292"/>
              </w:rPr>
              <w:t>Tepetate</w:t>
              <w:tab/>
            </w:r>
          </w:p>
        </w:tc>
        <w:tc>
          <w:tcPr>
            <w:tcW w:w="1150" w:type="dxa"/>
            <w:tcBorders>
              <w:top w:val="dotted" w:sz="4" w:space="0" w:color="929292"/>
              <w:bottom w:val="single" w:sz="4" w:space="0" w:color="FFFFFF"/>
            </w:tcBorders>
          </w:tcPr>
          <w:p>
            <w:pPr>
              <w:pStyle w:val="TableParagraph"/>
              <w:tabs>
                <w:tab w:pos="1129"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36</w:t>
              <w:tab/>
            </w:r>
          </w:p>
        </w:tc>
        <w:tc>
          <w:tcPr>
            <w:tcW w:w="1050" w:type="dxa"/>
            <w:tcBorders>
              <w:top w:val="dotted" w:sz="4" w:space="0" w:color="929292"/>
              <w:bottom w:val="single" w:sz="4" w:space="0" w:color="FFFFFF"/>
            </w:tcBorders>
          </w:tcPr>
          <w:p>
            <w:pPr>
              <w:pStyle w:val="TableParagraph"/>
              <w:tabs>
                <w:tab w:pos="1029"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0</w:t>
              <w:tab/>
            </w:r>
          </w:p>
        </w:tc>
        <w:tc>
          <w:tcPr>
            <w:tcW w:w="1213" w:type="dxa"/>
            <w:tcBorders>
              <w:top w:val="dotted" w:sz="4" w:space="0" w:color="929292"/>
              <w:bottom w:val="single" w:sz="4" w:space="0" w:color="FFFFFF"/>
              <w:right w:val="nil"/>
            </w:tcBorders>
          </w:tcPr>
          <w:p>
            <w:pPr>
              <w:pStyle w:val="TableParagraph"/>
              <w:tabs>
                <w:tab w:pos="1187"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4</w:t>
              <w:tab/>
            </w:r>
          </w:p>
        </w:tc>
      </w:tr>
    </w:tbl>
    <w:p>
      <w:pPr>
        <w:spacing w:after="0" w:line="171" w:lineRule="exact"/>
        <w:rPr>
          <w:sz w:val="16"/>
        </w:rPr>
        <w:sectPr>
          <w:footerReference w:type="default" r:id="rId155"/>
          <w:pgSz w:w="18830" w:h="12760" w:orient="landscape"/>
          <w:pgMar w:footer="1036" w:header="522" w:top="820" w:bottom="1220" w:left="720" w:right="720"/>
        </w:sectPr>
      </w:pPr>
    </w:p>
    <w:p>
      <w:pPr>
        <w:pStyle w:val="BodyText"/>
        <w:spacing w:before="6"/>
        <w:rPr>
          <w:sz w:val="23"/>
        </w:rPr>
      </w:pPr>
    </w:p>
    <w:p>
      <w:pPr>
        <w:pStyle w:val="BodyText"/>
        <w:spacing w:line="249" w:lineRule="auto" w:before="76"/>
        <w:ind w:left="9541" w:right="127" w:firstLine="170"/>
        <w:jc w:val="both"/>
      </w:pPr>
      <w:r>
        <w:rPr/>
        <w:pict>
          <v:shape style="position:absolute;margin-left:44.029499pt;margin-top:1.301pt;width:383pt;height:449.7pt;mso-position-horizontal-relative:page;mso-position-vertical-relative:paragraph;z-index:5704" type="#_x0000_t202" filled="false" stroked="false">
            <v:textbox inset="0,0,0,0">
              <w:txbxContent>
                <w:tbl>
                  <w:tblPr>
                    <w:tblW w:w="0" w:type="auto"/>
                    <w:jc w:val="left"/>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2084"/>
                    <w:gridCol w:w="2169"/>
                    <w:gridCol w:w="1150"/>
                    <w:gridCol w:w="1050"/>
                    <w:gridCol w:w="1193"/>
                  </w:tblGrid>
                  <w:tr>
                    <w:trPr>
                      <w:trHeight w:val="300" w:hRule="exact"/>
                    </w:trPr>
                    <w:tc>
                      <w:tcPr>
                        <w:tcW w:w="2084" w:type="dxa"/>
                        <w:vMerge w:val="restart"/>
                        <w:tcBorders>
                          <w:left w:val="nil"/>
                        </w:tcBorders>
                      </w:tcPr>
                      <w:p>
                        <w:pPr>
                          <w:pStyle w:val="TableParagraph"/>
                          <w:spacing w:before="2"/>
                          <w:rPr>
                            <w:sz w:val="21"/>
                          </w:rPr>
                        </w:pPr>
                      </w:p>
                      <w:p>
                        <w:pPr>
                          <w:pStyle w:val="TableParagraph"/>
                          <w:ind w:left="72"/>
                          <w:rPr>
                            <w:sz w:val="16"/>
                          </w:rPr>
                        </w:pPr>
                        <w:r>
                          <w:rPr>
                            <w:sz w:val="16"/>
                          </w:rPr>
                          <w:t>San Mateo Oxtotitlán</w:t>
                        </w:r>
                      </w:p>
                    </w:tc>
                    <w:tc>
                      <w:tcPr>
                        <w:tcW w:w="2169" w:type="dxa"/>
                      </w:tcPr>
                      <w:p>
                        <w:pPr>
                          <w:pStyle w:val="TableParagraph"/>
                          <w:spacing w:line="172" w:lineRule="exact"/>
                          <w:ind w:left="103"/>
                          <w:rPr>
                            <w:sz w:val="16"/>
                          </w:rPr>
                        </w:pPr>
                        <w:r>
                          <w:rPr>
                            <w:sz w:val="16"/>
                          </w:rPr>
                          <w:t>Colonia Protimbos</w:t>
                        </w:r>
                      </w:p>
                    </w:tc>
                    <w:tc>
                      <w:tcPr>
                        <w:tcW w:w="1150" w:type="dxa"/>
                      </w:tcPr>
                      <w:p>
                        <w:pPr>
                          <w:pStyle w:val="TableParagraph"/>
                          <w:spacing w:line="172" w:lineRule="exact"/>
                          <w:ind w:left="103"/>
                          <w:rPr>
                            <w:sz w:val="16"/>
                          </w:rPr>
                        </w:pPr>
                        <w:r>
                          <w:rPr>
                            <w:sz w:val="16"/>
                          </w:rPr>
                          <w:t>49</w:t>
                        </w:r>
                      </w:p>
                    </w:tc>
                    <w:tc>
                      <w:tcPr>
                        <w:tcW w:w="1050" w:type="dxa"/>
                      </w:tcPr>
                      <w:p>
                        <w:pPr>
                          <w:pStyle w:val="TableParagraph"/>
                          <w:spacing w:line="172" w:lineRule="exact"/>
                          <w:ind w:left="102"/>
                          <w:rPr>
                            <w:sz w:val="16"/>
                          </w:rPr>
                        </w:pPr>
                        <w:r>
                          <w:rPr>
                            <w:w w:val="99"/>
                            <w:sz w:val="16"/>
                          </w:rPr>
                          <w:t>0</w:t>
                        </w:r>
                      </w:p>
                    </w:tc>
                    <w:tc>
                      <w:tcPr>
                        <w:tcW w:w="1193" w:type="dxa"/>
                        <w:tcBorders>
                          <w:right w:val="nil"/>
                        </w:tcBorders>
                      </w:tcPr>
                      <w:p>
                        <w:pPr>
                          <w:pStyle w:val="TableParagraph"/>
                          <w:spacing w:line="172" w:lineRule="exact"/>
                          <w:ind w:left="102"/>
                          <w:rPr>
                            <w:sz w:val="16"/>
                          </w:rPr>
                        </w:pPr>
                        <w:r>
                          <w:rPr>
                            <w:w w:val="99"/>
                            <w:sz w:val="16"/>
                          </w:rPr>
                          <w:t>4</w:t>
                        </w:r>
                      </w:p>
                    </w:tc>
                  </w:tr>
                  <w:tr>
                    <w:trPr>
                      <w:trHeight w:val="300" w:hRule="exact"/>
                    </w:trPr>
                    <w:tc>
                      <w:tcPr>
                        <w:tcW w:w="2084" w:type="dxa"/>
                        <w:vMerge/>
                        <w:tcBorders>
                          <w:left w:val="nil"/>
                        </w:tcBorders>
                      </w:tcPr>
                      <w:p>
                        <w:pPr/>
                      </w:p>
                    </w:tc>
                    <w:tc>
                      <w:tcPr>
                        <w:tcW w:w="2169" w:type="dxa"/>
                      </w:tcPr>
                      <w:p>
                        <w:pPr>
                          <w:pStyle w:val="TableParagraph"/>
                          <w:spacing w:line="172" w:lineRule="exact"/>
                          <w:ind w:left="102"/>
                          <w:rPr>
                            <w:sz w:val="16"/>
                          </w:rPr>
                        </w:pPr>
                        <w:r>
                          <w:rPr>
                            <w:sz w:val="16"/>
                          </w:rPr>
                          <w:t>Colonia la Rivera</w:t>
                        </w:r>
                      </w:p>
                    </w:tc>
                    <w:tc>
                      <w:tcPr>
                        <w:tcW w:w="1150" w:type="dxa"/>
                      </w:tcPr>
                      <w:p>
                        <w:pPr>
                          <w:pStyle w:val="TableParagraph"/>
                          <w:spacing w:line="172" w:lineRule="exact"/>
                          <w:ind w:left="102"/>
                          <w:rPr>
                            <w:sz w:val="16"/>
                          </w:rPr>
                        </w:pPr>
                        <w:r>
                          <w:rPr>
                            <w:sz w:val="16"/>
                          </w:rPr>
                          <w:t>56</w:t>
                        </w:r>
                      </w:p>
                    </w:tc>
                    <w:tc>
                      <w:tcPr>
                        <w:tcW w:w="1050" w:type="dxa"/>
                      </w:tcPr>
                      <w:p>
                        <w:pPr>
                          <w:pStyle w:val="TableParagraph"/>
                          <w:spacing w:line="172" w:lineRule="exact"/>
                          <w:ind w:left="102"/>
                          <w:rPr>
                            <w:sz w:val="16"/>
                          </w:rPr>
                        </w:pPr>
                        <w:r>
                          <w:rPr>
                            <w:sz w:val="16"/>
                          </w:rPr>
                          <w:t>12</w:t>
                        </w:r>
                      </w:p>
                    </w:tc>
                    <w:tc>
                      <w:tcPr>
                        <w:tcW w:w="1193" w:type="dxa"/>
                        <w:tcBorders>
                          <w:right w:val="nil"/>
                        </w:tcBorders>
                      </w:tcPr>
                      <w:p>
                        <w:pPr>
                          <w:pStyle w:val="TableParagraph"/>
                          <w:spacing w:line="172" w:lineRule="exact"/>
                          <w:ind w:left="102"/>
                          <w:rPr>
                            <w:sz w:val="16"/>
                          </w:rPr>
                        </w:pPr>
                        <w:r>
                          <w:rPr>
                            <w:w w:val="99"/>
                            <w:sz w:val="16"/>
                          </w:rPr>
                          <w:t>3</w:t>
                        </w:r>
                      </w:p>
                    </w:tc>
                  </w:tr>
                  <w:tr>
                    <w:trPr>
                      <w:trHeight w:val="300" w:hRule="exact"/>
                    </w:trPr>
                    <w:tc>
                      <w:tcPr>
                        <w:tcW w:w="2084" w:type="dxa"/>
                        <w:vMerge/>
                        <w:tcBorders>
                          <w:left w:val="nil"/>
                        </w:tcBorders>
                      </w:tcPr>
                      <w:p>
                        <w:pPr/>
                      </w:p>
                    </w:tc>
                    <w:tc>
                      <w:tcPr>
                        <w:tcW w:w="2169" w:type="dxa"/>
                      </w:tcPr>
                      <w:p>
                        <w:pPr>
                          <w:pStyle w:val="TableParagraph"/>
                          <w:spacing w:line="172" w:lineRule="exact"/>
                          <w:ind w:left="102"/>
                          <w:rPr>
                            <w:sz w:val="16"/>
                          </w:rPr>
                        </w:pPr>
                        <w:r>
                          <w:rPr>
                            <w:sz w:val="16"/>
                          </w:rPr>
                          <w:t>Colonia Niños Héroes</w:t>
                        </w:r>
                      </w:p>
                    </w:tc>
                    <w:tc>
                      <w:tcPr>
                        <w:tcW w:w="1150" w:type="dxa"/>
                      </w:tcPr>
                      <w:p>
                        <w:pPr>
                          <w:pStyle w:val="TableParagraph"/>
                          <w:spacing w:line="172" w:lineRule="exact"/>
                          <w:ind w:left="102"/>
                          <w:rPr>
                            <w:sz w:val="16"/>
                          </w:rPr>
                        </w:pPr>
                        <w:r>
                          <w:rPr>
                            <w:sz w:val="16"/>
                          </w:rPr>
                          <w:t>27</w:t>
                        </w:r>
                      </w:p>
                    </w:tc>
                    <w:tc>
                      <w:tcPr>
                        <w:tcW w:w="1050" w:type="dxa"/>
                      </w:tcPr>
                      <w:p>
                        <w:pPr>
                          <w:pStyle w:val="TableParagraph"/>
                          <w:spacing w:line="172" w:lineRule="exact"/>
                          <w:ind w:left="102"/>
                          <w:rPr>
                            <w:sz w:val="16"/>
                          </w:rPr>
                        </w:pPr>
                        <w:r>
                          <w:rPr>
                            <w:w w:val="99"/>
                            <w:sz w:val="16"/>
                          </w:rPr>
                          <w:t>3</w:t>
                        </w:r>
                      </w:p>
                    </w:tc>
                    <w:tc>
                      <w:tcPr>
                        <w:tcW w:w="1193" w:type="dxa"/>
                        <w:tcBorders>
                          <w:right w:val="nil"/>
                        </w:tcBorders>
                      </w:tcPr>
                      <w:p>
                        <w:pPr>
                          <w:pStyle w:val="TableParagraph"/>
                          <w:spacing w:line="172" w:lineRule="exact"/>
                          <w:ind w:left="102"/>
                          <w:rPr>
                            <w:sz w:val="16"/>
                          </w:rPr>
                        </w:pPr>
                        <w:r>
                          <w:rPr>
                            <w:w w:val="99"/>
                            <w:sz w:val="16"/>
                          </w:rPr>
                          <w:t>2</w:t>
                        </w:r>
                      </w:p>
                    </w:tc>
                  </w:tr>
                  <w:tr>
                    <w:trPr>
                      <w:trHeight w:val="192" w:hRule="exact"/>
                    </w:trPr>
                    <w:tc>
                      <w:tcPr>
                        <w:tcW w:w="2084" w:type="dxa"/>
                        <w:vMerge/>
                        <w:tcBorders>
                          <w:left w:val="nil"/>
                        </w:tcBorders>
                      </w:tcPr>
                      <w:p>
                        <w:pPr/>
                      </w:p>
                    </w:tc>
                    <w:tc>
                      <w:tcPr>
                        <w:tcW w:w="2169" w:type="dxa"/>
                        <w:vMerge w:val="restart"/>
                      </w:tcPr>
                      <w:p>
                        <w:pPr>
                          <w:pStyle w:val="TableParagraph"/>
                          <w:spacing w:line="172" w:lineRule="exact"/>
                          <w:ind w:left="102"/>
                          <w:rPr>
                            <w:sz w:val="16"/>
                          </w:rPr>
                        </w:pPr>
                        <w:r>
                          <w:rPr>
                            <w:sz w:val="16"/>
                          </w:rPr>
                          <w:t>Avenida Profesor Filiberto</w:t>
                        </w:r>
                      </w:p>
                      <w:p>
                        <w:pPr>
                          <w:pStyle w:val="TableParagraph"/>
                          <w:tabs>
                            <w:tab w:pos="2148" w:val="left" w:leader="none"/>
                          </w:tabs>
                          <w:spacing w:line="170" w:lineRule="exact" w:before="30"/>
                          <w:ind w:left="102" w:right="8" w:hanging="78"/>
                          <w:rPr>
                            <w:sz w:val="16"/>
                          </w:rPr>
                        </w:pPr>
                        <w:r>
                          <w:rPr>
                            <w:w w:val="100"/>
                            <w:sz w:val="16"/>
                            <w:u w:val="dotted" w:color="929292"/>
                          </w:rPr>
                          <w:t> </w:t>
                        </w:r>
                        <w:r>
                          <w:rPr>
                            <w:spacing w:val="-12"/>
                            <w:sz w:val="16"/>
                            <w:u w:val="dotted" w:color="929292"/>
                          </w:rPr>
                          <w:t> </w:t>
                        </w:r>
                        <w:r>
                          <w:rPr>
                            <w:sz w:val="16"/>
                            <w:u w:val="dotted" w:color="929292"/>
                          </w:rPr>
                          <w:t>Navas</w:t>
                          <w:tab/>
                        </w:r>
                        <w:r>
                          <w:rPr>
                            <w:sz w:val="16"/>
                          </w:rPr>
                          <w:t> Adolfo López</w:t>
                        </w:r>
                        <w:r>
                          <w:rPr>
                            <w:spacing w:val="22"/>
                            <w:sz w:val="16"/>
                          </w:rPr>
                          <w:t> </w:t>
                        </w:r>
                        <w:r>
                          <w:rPr>
                            <w:sz w:val="16"/>
                          </w:rPr>
                          <w:t>Mateos</w:t>
                        </w:r>
                      </w:p>
                    </w:tc>
                    <w:tc>
                      <w:tcPr>
                        <w:tcW w:w="1150" w:type="dxa"/>
                        <w:tcBorders>
                          <w:bottom w:val="nil"/>
                        </w:tcBorders>
                      </w:tcPr>
                      <w:p>
                        <w:pPr>
                          <w:pStyle w:val="TableParagraph"/>
                          <w:spacing w:line="172" w:lineRule="exact"/>
                          <w:ind w:left="102"/>
                          <w:rPr>
                            <w:sz w:val="16"/>
                          </w:rPr>
                        </w:pPr>
                        <w:r>
                          <w:rPr>
                            <w:w w:val="99"/>
                            <w:sz w:val="16"/>
                          </w:rPr>
                          <w:t>5</w:t>
                        </w:r>
                      </w:p>
                    </w:tc>
                    <w:tc>
                      <w:tcPr>
                        <w:tcW w:w="1050" w:type="dxa"/>
                        <w:tcBorders>
                          <w:bottom w:val="nil"/>
                        </w:tcBorders>
                      </w:tcPr>
                      <w:p>
                        <w:pPr>
                          <w:pStyle w:val="TableParagraph"/>
                          <w:spacing w:line="172" w:lineRule="exact"/>
                          <w:ind w:left="102"/>
                          <w:rPr>
                            <w:sz w:val="16"/>
                          </w:rPr>
                        </w:pPr>
                        <w:r>
                          <w:rPr>
                            <w:w w:val="99"/>
                            <w:sz w:val="16"/>
                          </w:rPr>
                          <w:t>0</w:t>
                        </w:r>
                      </w:p>
                    </w:tc>
                    <w:tc>
                      <w:tcPr>
                        <w:tcW w:w="1193" w:type="dxa"/>
                        <w:tcBorders>
                          <w:bottom w:val="nil"/>
                          <w:right w:val="nil"/>
                        </w:tcBorders>
                      </w:tcPr>
                      <w:p>
                        <w:pPr>
                          <w:pStyle w:val="TableParagraph"/>
                          <w:spacing w:line="172" w:lineRule="exact"/>
                          <w:ind w:left="102"/>
                          <w:rPr>
                            <w:sz w:val="16"/>
                          </w:rPr>
                        </w:pPr>
                        <w:r>
                          <w:rPr>
                            <w:w w:val="99"/>
                            <w:sz w:val="16"/>
                          </w:rPr>
                          <w:t>1</w:t>
                        </w:r>
                      </w:p>
                    </w:tc>
                  </w:tr>
                  <w:tr>
                    <w:trPr>
                      <w:trHeight w:val="185" w:hRule="exact"/>
                    </w:trPr>
                    <w:tc>
                      <w:tcPr>
                        <w:tcW w:w="2084" w:type="dxa"/>
                        <w:vMerge/>
                        <w:tcBorders>
                          <w:left w:val="nil"/>
                        </w:tcBorders>
                      </w:tcPr>
                      <w:p>
                        <w:pPr/>
                      </w:p>
                    </w:tc>
                    <w:tc>
                      <w:tcPr>
                        <w:tcW w:w="2169" w:type="dxa"/>
                        <w:vMerge/>
                      </w:tcPr>
                      <w:p>
                        <w:pPr/>
                      </w:p>
                    </w:tc>
                    <w:tc>
                      <w:tcPr>
                        <w:tcW w:w="1150" w:type="dxa"/>
                        <w:tcBorders>
                          <w:top w:val="nil"/>
                          <w:bottom w:val="nil"/>
                        </w:tcBorders>
                      </w:tcPr>
                      <w:p>
                        <w:pPr>
                          <w:pStyle w:val="TableParagraph"/>
                          <w:tabs>
                            <w:tab w:pos="1129" w:val="left" w:leader="none"/>
                          </w:tabs>
                          <w:ind w:left="25"/>
                          <w:rPr>
                            <w:sz w:val="16"/>
                          </w:rPr>
                        </w:pPr>
                        <w:r>
                          <w:rPr>
                            <w:w w:val="100"/>
                            <w:sz w:val="16"/>
                            <w:u w:val="dotted" w:color="929292"/>
                          </w:rPr>
                          <w:t> </w:t>
                        </w:r>
                        <w:r>
                          <w:rPr>
                            <w:sz w:val="16"/>
                            <w:u w:val="dotted" w:color="929292"/>
                          </w:rPr>
                          <w:tab/>
                        </w:r>
                      </w:p>
                    </w:tc>
                    <w:tc>
                      <w:tcPr>
                        <w:tcW w:w="1050" w:type="dxa"/>
                        <w:tcBorders>
                          <w:top w:val="nil"/>
                          <w:bottom w:val="nil"/>
                        </w:tcBorders>
                      </w:tcPr>
                      <w:p>
                        <w:pPr>
                          <w:pStyle w:val="TableParagraph"/>
                          <w:tabs>
                            <w:tab w:pos="1029" w:val="left" w:leader="none"/>
                          </w:tabs>
                          <w:ind w:left="25"/>
                          <w:rPr>
                            <w:sz w:val="16"/>
                          </w:rPr>
                        </w:pPr>
                        <w:r>
                          <w:rPr>
                            <w:w w:val="100"/>
                            <w:sz w:val="16"/>
                            <w:u w:val="dotted" w:color="929292"/>
                          </w:rPr>
                          <w:t> </w:t>
                        </w:r>
                        <w:r>
                          <w:rPr>
                            <w:sz w:val="16"/>
                            <w:u w:val="dotted" w:color="929292"/>
                          </w:rPr>
                          <w:tab/>
                        </w:r>
                      </w:p>
                    </w:tc>
                    <w:tc>
                      <w:tcPr>
                        <w:tcW w:w="1193" w:type="dxa"/>
                        <w:tcBorders>
                          <w:top w:val="nil"/>
                          <w:bottom w:val="nil"/>
                          <w:right w:val="nil"/>
                        </w:tcBorders>
                      </w:tcPr>
                      <w:p>
                        <w:pPr>
                          <w:pStyle w:val="TableParagraph"/>
                          <w:tabs>
                            <w:tab w:pos="1187" w:val="left" w:leader="none"/>
                          </w:tabs>
                          <w:ind w:left="25"/>
                          <w:rPr>
                            <w:sz w:val="16"/>
                          </w:rPr>
                        </w:pPr>
                        <w:r>
                          <w:rPr>
                            <w:w w:val="100"/>
                            <w:sz w:val="16"/>
                            <w:u w:val="dotted" w:color="929292"/>
                          </w:rPr>
                          <w:t> </w:t>
                        </w:r>
                        <w:r>
                          <w:rPr>
                            <w:sz w:val="16"/>
                            <w:u w:val="dotted" w:color="929292"/>
                          </w:rPr>
                          <w:tab/>
                        </w:r>
                      </w:p>
                    </w:tc>
                  </w:tr>
                  <w:tr>
                    <w:trPr>
                      <w:trHeight w:val="293" w:hRule="exact"/>
                    </w:trPr>
                    <w:tc>
                      <w:tcPr>
                        <w:tcW w:w="2084" w:type="dxa"/>
                        <w:vMerge/>
                        <w:tcBorders>
                          <w:left w:val="nil"/>
                        </w:tcBorders>
                      </w:tcPr>
                      <w:p>
                        <w:pPr/>
                      </w:p>
                    </w:tc>
                    <w:tc>
                      <w:tcPr>
                        <w:tcW w:w="2169" w:type="dxa"/>
                        <w:vMerge/>
                      </w:tcPr>
                      <w:p>
                        <w:pPr/>
                      </w:p>
                    </w:tc>
                    <w:tc>
                      <w:tcPr>
                        <w:tcW w:w="1150" w:type="dxa"/>
                        <w:tcBorders>
                          <w:top w:val="nil"/>
                        </w:tcBorders>
                      </w:tcPr>
                      <w:p>
                        <w:pPr>
                          <w:pStyle w:val="TableParagraph"/>
                          <w:spacing w:line="170" w:lineRule="exact"/>
                          <w:ind w:left="102"/>
                          <w:rPr>
                            <w:sz w:val="16"/>
                          </w:rPr>
                        </w:pPr>
                        <w:r>
                          <w:rPr>
                            <w:sz w:val="16"/>
                          </w:rPr>
                          <w:t>10</w:t>
                        </w:r>
                      </w:p>
                    </w:tc>
                    <w:tc>
                      <w:tcPr>
                        <w:tcW w:w="1050" w:type="dxa"/>
                        <w:tcBorders>
                          <w:top w:val="nil"/>
                        </w:tcBorders>
                      </w:tcPr>
                      <w:p>
                        <w:pPr>
                          <w:pStyle w:val="TableParagraph"/>
                          <w:spacing w:line="170" w:lineRule="exact"/>
                          <w:ind w:left="102"/>
                          <w:rPr>
                            <w:sz w:val="16"/>
                          </w:rPr>
                        </w:pPr>
                        <w:r>
                          <w:rPr>
                            <w:w w:val="99"/>
                            <w:sz w:val="16"/>
                          </w:rPr>
                          <w:t>9</w:t>
                        </w:r>
                      </w:p>
                    </w:tc>
                    <w:tc>
                      <w:tcPr>
                        <w:tcW w:w="1193" w:type="dxa"/>
                        <w:tcBorders>
                          <w:top w:val="nil"/>
                          <w:right w:val="nil"/>
                        </w:tcBorders>
                      </w:tcPr>
                      <w:p>
                        <w:pPr>
                          <w:pStyle w:val="TableParagraph"/>
                          <w:spacing w:line="170" w:lineRule="exact"/>
                          <w:ind w:left="102"/>
                          <w:rPr>
                            <w:sz w:val="16"/>
                          </w:rPr>
                        </w:pPr>
                        <w:r>
                          <w:rPr>
                            <w:w w:val="99"/>
                            <w:sz w:val="16"/>
                          </w:rPr>
                          <w:t>2</w:t>
                        </w:r>
                      </w:p>
                    </w:tc>
                  </w:tr>
                  <w:tr>
                    <w:trPr>
                      <w:trHeight w:val="171" w:hRule="exact"/>
                    </w:trPr>
                    <w:tc>
                      <w:tcPr>
                        <w:tcW w:w="2084" w:type="dxa"/>
                        <w:vMerge/>
                        <w:tcBorders>
                          <w:left w:val="nil"/>
                        </w:tcBorders>
                      </w:tcPr>
                      <w:p>
                        <w:pPr/>
                      </w:p>
                    </w:tc>
                    <w:tc>
                      <w:tcPr>
                        <w:tcW w:w="2169" w:type="dxa"/>
                        <w:tcBorders>
                          <w:bottom w:val="nil"/>
                        </w:tcBorders>
                      </w:tcPr>
                      <w:p>
                        <w:pPr>
                          <w:pStyle w:val="TableParagraph"/>
                          <w:spacing w:line="171" w:lineRule="exact"/>
                          <w:ind w:left="102"/>
                          <w:rPr>
                            <w:sz w:val="16"/>
                          </w:rPr>
                        </w:pPr>
                        <w:r>
                          <w:rPr>
                            <w:sz w:val="16"/>
                          </w:rPr>
                          <w:t>Colonia La Rivera</w:t>
                        </w:r>
                      </w:p>
                    </w:tc>
                    <w:tc>
                      <w:tcPr>
                        <w:tcW w:w="1150" w:type="dxa"/>
                        <w:tcBorders>
                          <w:bottom w:val="nil"/>
                        </w:tcBorders>
                      </w:tcPr>
                      <w:p>
                        <w:pPr>
                          <w:pStyle w:val="TableParagraph"/>
                          <w:spacing w:line="171" w:lineRule="exact"/>
                          <w:ind w:left="102"/>
                          <w:rPr>
                            <w:sz w:val="16"/>
                          </w:rPr>
                        </w:pPr>
                        <w:r>
                          <w:rPr>
                            <w:w w:val="99"/>
                            <w:sz w:val="16"/>
                          </w:rPr>
                          <w:t>5</w:t>
                        </w:r>
                      </w:p>
                    </w:tc>
                    <w:tc>
                      <w:tcPr>
                        <w:tcW w:w="1050" w:type="dxa"/>
                        <w:tcBorders>
                          <w:bottom w:val="nil"/>
                        </w:tcBorders>
                      </w:tcPr>
                      <w:p>
                        <w:pPr>
                          <w:pStyle w:val="TableParagraph"/>
                          <w:spacing w:line="171" w:lineRule="exact"/>
                          <w:ind w:left="102"/>
                          <w:rPr>
                            <w:sz w:val="16"/>
                          </w:rPr>
                        </w:pPr>
                        <w:r>
                          <w:rPr>
                            <w:w w:val="99"/>
                            <w:sz w:val="16"/>
                          </w:rPr>
                          <w:t>2</w:t>
                        </w:r>
                      </w:p>
                    </w:tc>
                    <w:tc>
                      <w:tcPr>
                        <w:tcW w:w="1193" w:type="dxa"/>
                        <w:tcBorders>
                          <w:bottom w:val="nil"/>
                          <w:right w:val="nil"/>
                        </w:tcBorders>
                      </w:tcPr>
                      <w:p>
                        <w:pPr>
                          <w:pStyle w:val="TableParagraph"/>
                          <w:spacing w:line="171" w:lineRule="exact"/>
                          <w:ind w:left="102"/>
                          <w:rPr>
                            <w:sz w:val="16"/>
                          </w:rPr>
                        </w:pPr>
                        <w:r>
                          <w:rPr>
                            <w:w w:val="99"/>
                            <w:sz w:val="16"/>
                          </w:rPr>
                          <w:t>1</w:t>
                        </w:r>
                      </w:p>
                    </w:tc>
                  </w:tr>
                  <w:tr>
                    <w:trPr>
                      <w:trHeight w:val="129" w:hRule="exact"/>
                    </w:trPr>
                    <w:tc>
                      <w:tcPr>
                        <w:tcW w:w="2084" w:type="dxa"/>
                        <w:vMerge/>
                        <w:tcBorders>
                          <w:left w:val="nil"/>
                        </w:tcBorders>
                      </w:tcPr>
                      <w:p>
                        <w:pPr/>
                      </w:p>
                    </w:tc>
                    <w:tc>
                      <w:tcPr>
                        <w:tcW w:w="2169" w:type="dxa"/>
                        <w:tcBorders>
                          <w:top w:val="nil"/>
                        </w:tcBorders>
                      </w:tcPr>
                      <w:p>
                        <w:pPr/>
                      </w:p>
                    </w:tc>
                    <w:tc>
                      <w:tcPr>
                        <w:tcW w:w="1150" w:type="dxa"/>
                        <w:tcBorders>
                          <w:top w:val="nil"/>
                        </w:tcBorders>
                      </w:tcPr>
                      <w:p>
                        <w:pPr/>
                      </w:p>
                    </w:tc>
                    <w:tc>
                      <w:tcPr>
                        <w:tcW w:w="1050" w:type="dxa"/>
                        <w:tcBorders>
                          <w:top w:val="nil"/>
                        </w:tcBorders>
                      </w:tcPr>
                      <w:p>
                        <w:pPr/>
                      </w:p>
                    </w:tc>
                    <w:tc>
                      <w:tcPr>
                        <w:tcW w:w="1193" w:type="dxa"/>
                        <w:tcBorders>
                          <w:top w:val="nil"/>
                          <w:bottom w:val="nil"/>
                          <w:right w:val="nil"/>
                        </w:tcBorders>
                      </w:tcPr>
                      <w:p>
                        <w:pPr>
                          <w:pStyle w:val="TableParagraph"/>
                          <w:tabs>
                            <w:tab w:pos="1187" w:val="left" w:leader="none"/>
                          </w:tabs>
                          <w:spacing w:line="162" w:lineRule="exact"/>
                          <w:ind w:left="25"/>
                          <w:rPr>
                            <w:sz w:val="16"/>
                          </w:rPr>
                        </w:pPr>
                        <w:r>
                          <w:rPr>
                            <w:w w:val="100"/>
                            <w:sz w:val="16"/>
                            <w:u w:val="dotted" w:color="929292"/>
                          </w:rPr>
                          <w:t> </w:t>
                        </w:r>
                        <w:r>
                          <w:rPr>
                            <w:sz w:val="16"/>
                            <w:u w:val="dotted" w:color="929292"/>
                          </w:rPr>
                          <w:tab/>
                        </w:r>
                      </w:p>
                    </w:tc>
                  </w:tr>
                  <w:tr>
                    <w:trPr>
                      <w:trHeight w:val="20" w:hRule="exact"/>
                    </w:trPr>
                    <w:tc>
                      <w:tcPr>
                        <w:tcW w:w="2084" w:type="dxa"/>
                        <w:vMerge w:val="restart"/>
                        <w:tcBorders>
                          <w:left w:val="nil"/>
                        </w:tcBorders>
                      </w:tcPr>
                      <w:p>
                        <w:pPr>
                          <w:pStyle w:val="TableParagraph"/>
                          <w:spacing w:line="171" w:lineRule="exact"/>
                          <w:ind w:left="71"/>
                          <w:rPr>
                            <w:sz w:val="16"/>
                          </w:rPr>
                        </w:pPr>
                        <w:r>
                          <w:rPr>
                            <w:sz w:val="16"/>
                          </w:rPr>
                          <w:t>San Pablo Autopan</w:t>
                        </w:r>
                      </w:p>
                    </w:tc>
                    <w:tc>
                      <w:tcPr>
                        <w:tcW w:w="2169" w:type="dxa"/>
                        <w:vMerge w:val="restart"/>
                      </w:tcPr>
                      <w:p>
                        <w:pPr>
                          <w:pStyle w:val="TableParagraph"/>
                          <w:spacing w:line="171" w:lineRule="exact"/>
                          <w:ind w:left="102"/>
                          <w:rPr>
                            <w:sz w:val="16"/>
                          </w:rPr>
                        </w:pPr>
                        <w:r>
                          <w:rPr>
                            <w:sz w:val="16"/>
                          </w:rPr>
                          <w:t>San Pablo Autopan</w:t>
                        </w:r>
                      </w:p>
                    </w:tc>
                    <w:tc>
                      <w:tcPr>
                        <w:tcW w:w="1150" w:type="dxa"/>
                        <w:vMerge w:val="restart"/>
                      </w:tcPr>
                      <w:p>
                        <w:pPr>
                          <w:pStyle w:val="TableParagraph"/>
                          <w:spacing w:line="171" w:lineRule="exact"/>
                          <w:ind w:left="102"/>
                          <w:rPr>
                            <w:sz w:val="16"/>
                          </w:rPr>
                        </w:pPr>
                        <w:r>
                          <w:rPr>
                            <w:sz w:val="16"/>
                          </w:rPr>
                          <w:t>22</w:t>
                        </w:r>
                      </w:p>
                    </w:tc>
                    <w:tc>
                      <w:tcPr>
                        <w:tcW w:w="1050" w:type="dxa"/>
                        <w:vMerge w:val="restart"/>
                      </w:tcPr>
                      <w:p>
                        <w:pPr>
                          <w:pStyle w:val="TableParagraph"/>
                          <w:spacing w:line="171" w:lineRule="exact"/>
                          <w:ind w:left="102"/>
                          <w:rPr>
                            <w:sz w:val="16"/>
                          </w:rPr>
                        </w:pPr>
                        <w:r>
                          <w:rPr>
                            <w:w w:val="99"/>
                            <w:sz w:val="16"/>
                          </w:rPr>
                          <w:t>0</w:t>
                        </w:r>
                      </w:p>
                    </w:tc>
                    <w:tc>
                      <w:tcPr>
                        <w:tcW w:w="1193" w:type="dxa"/>
                        <w:vMerge w:val="restart"/>
                        <w:tcBorders>
                          <w:top w:val="nil"/>
                          <w:right w:val="nil"/>
                        </w:tcBorders>
                      </w:tcPr>
                      <w:p>
                        <w:pPr>
                          <w:pStyle w:val="TableParagraph"/>
                          <w:spacing w:line="156" w:lineRule="exact"/>
                          <w:ind w:left="101"/>
                          <w:rPr>
                            <w:sz w:val="16"/>
                          </w:rPr>
                        </w:pPr>
                        <w:r>
                          <w:rPr>
                            <w:w w:val="99"/>
                            <w:sz w:val="16"/>
                          </w:rPr>
                          <w:t>0</w:t>
                        </w:r>
                      </w:p>
                    </w:tc>
                  </w:tr>
                  <w:tr>
                    <w:trPr>
                      <w:trHeight w:val="280" w:hRule="exact"/>
                    </w:trPr>
                    <w:tc>
                      <w:tcPr>
                        <w:tcW w:w="2084" w:type="dxa"/>
                        <w:vMerge/>
                        <w:tcBorders>
                          <w:left w:val="nil"/>
                        </w:tcBorders>
                      </w:tcPr>
                      <w:p>
                        <w:pPr/>
                      </w:p>
                    </w:tc>
                    <w:tc>
                      <w:tcPr>
                        <w:tcW w:w="2169" w:type="dxa"/>
                        <w:vMerge/>
                      </w:tcPr>
                      <w:p>
                        <w:pPr/>
                      </w:p>
                    </w:tc>
                    <w:tc>
                      <w:tcPr>
                        <w:tcW w:w="1150" w:type="dxa"/>
                        <w:vMerge/>
                      </w:tcPr>
                      <w:p>
                        <w:pPr/>
                      </w:p>
                    </w:tc>
                    <w:tc>
                      <w:tcPr>
                        <w:tcW w:w="1050" w:type="dxa"/>
                        <w:vMerge/>
                      </w:tcPr>
                      <w:p>
                        <w:pPr/>
                      </w:p>
                    </w:tc>
                    <w:tc>
                      <w:tcPr>
                        <w:tcW w:w="1193" w:type="dxa"/>
                        <w:vMerge/>
                        <w:tcBorders>
                          <w:right w:val="nil"/>
                        </w:tcBorders>
                      </w:tcPr>
                      <w:p>
                        <w:pPr/>
                      </w:p>
                    </w:tc>
                  </w:tr>
                  <w:tr>
                    <w:trPr>
                      <w:trHeight w:val="192" w:hRule="exact"/>
                    </w:trPr>
                    <w:tc>
                      <w:tcPr>
                        <w:tcW w:w="2084" w:type="dxa"/>
                        <w:tcBorders>
                          <w:left w:val="nil"/>
                          <w:bottom w:val="nil"/>
                        </w:tcBorders>
                      </w:tcPr>
                      <w:p>
                        <w:pPr>
                          <w:pStyle w:val="TableParagraph"/>
                          <w:spacing w:line="171" w:lineRule="exact"/>
                          <w:ind w:left="71"/>
                          <w:rPr>
                            <w:sz w:val="16"/>
                          </w:rPr>
                        </w:pPr>
                        <w:r>
                          <w:rPr>
                            <w:sz w:val="16"/>
                          </w:rPr>
                          <w:t>Santa Cruz</w:t>
                        </w:r>
                      </w:p>
                    </w:tc>
                    <w:tc>
                      <w:tcPr>
                        <w:tcW w:w="2169" w:type="dxa"/>
                        <w:vMerge w:val="restart"/>
                      </w:tcPr>
                      <w:p>
                        <w:pPr>
                          <w:pStyle w:val="TableParagraph"/>
                          <w:spacing w:line="171" w:lineRule="exact"/>
                          <w:ind w:left="101"/>
                          <w:rPr>
                            <w:sz w:val="16"/>
                          </w:rPr>
                        </w:pPr>
                        <w:r>
                          <w:rPr>
                            <w:sz w:val="16"/>
                          </w:rPr>
                          <w:t>El Pozo</w:t>
                        </w:r>
                      </w:p>
                      <w:p>
                        <w:pPr>
                          <w:pStyle w:val="TableParagraph"/>
                          <w:tabs>
                            <w:tab w:pos="2148" w:val="left" w:leader="none"/>
                          </w:tabs>
                          <w:spacing w:line="170" w:lineRule="exact" w:before="30"/>
                          <w:ind w:left="101" w:right="8" w:hanging="77"/>
                          <w:rPr>
                            <w:sz w:val="16"/>
                          </w:rPr>
                        </w:pPr>
                        <w:r>
                          <w:rPr>
                            <w:w w:val="100"/>
                            <w:sz w:val="16"/>
                            <w:u w:val="dotted" w:color="929292"/>
                          </w:rPr>
                          <w:t> </w:t>
                        </w:r>
                        <w:r>
                          <w:rPr>
                            <w:sz w:val="16"/>
                            <w:u w:val="dotted" w:color="929292"/>
                          </w:rPr>
                          <w:tab/>
                          <w:tab/>
                        </w:r>
                        <w:r>
                          <w:rPr>
                            <w:sz w:val="16"/>
                          </w:rPr>
                          <w:t> </w:t>
                        </w:r>
                        <w:r>
                          <w:rPr>
                            <w:w w:val="99"/>
                            <w:sz w:val="16"/>
                          </w:rPr>
                          <w:t>Santa</w:t>
                        </w:r>
                        <w:r>
                          <w:rPr>
                            <w:sz w:val="16"/>
                          </w:rPr>
                          <w:t> </w:t>
                        </w:r>
                        <w:r>
                          <w:rPr>
                            <w:w w:val="97"/>
                            <w:sz w:val="16"/>
                          </w:rPr>
                          <w:t>María</w:t>
                        </w:r>
                        <w:r>
                          <w:rPr>
                            <w:sz w:val="16"/>
                          </w:rPr>
                          <w:t> </w:t>
                        </w:r>
                        <w:r>
                          <w:rPr>
                            <w:w w:val="101"/>
                            <w:sz w:val="16"/>
                          </w:rPr>
                          <w:t>de</w:t>
                        </w:r>
                        <w:r>
                          <w:rPr>
                            <w:sz w:val="16"/>
                          </w:rPr>
                          <w:t> </w:t>
                        </w:r>
                        <w:r>
                          <w:rPr>
                            <w:w w:val="98"/>
                            <w:sz w:val="16"/>
                          </w:rPr>
                          <w:t>las</w:t>
                        </w:r>
                        <w:r>
                          <w:rPr>
                            <w:sz w:val="16"/>
                          </w:rPr>
                          <w:t> </w:t>
                        </w:r>
                        <w:r>
                          <w:rPr>
                            <w:w w:val="98"/>
                            <w:sz w:val="16"/>
                          </w:rPr>
                          <w:t>Rosas</w:t>
                        </w:r>
                      </w:p>
                    </w:tc>
                    <w:tc>
                      <w:tcPr>
                        <w:tcW w:w="1150" w:type="dxa"/>
                        <w:tcBorders>
                          <w:bottom w:val="nil"/>
                        </w:tcBorders>
                      </w:tcPr>
                      <w:p>
                        <w:pPr>
                          <w:pStyle w:val="TableParagraph"/>
                          <w:spacing w:line="171" w:lineRule="exact"/>
                          <w:ind w:left="101"/>
                          <w:rPr>
                            <w:sz w:val="16"/>
                          </w:rPr>
                        </w:pPr>
                        <w:r>
                          <w:rPr>
                            <w:w w:val="99"/>
                            <w:sz w:val="16"/>
                          </w:rPr>
                          <w:t>8</w:t>
                        </w:r>
                      </w:p>
                    </w:tc>
                    <w:tc>
                      <w:tcPr>
                        <w:tcW w:w="1050" w:type="dxa"/>
                        <w:tcBorders>
                          <w:bottom w:val="nil"/>
                        </w:tcBorders>
                      </w:tcPr>
                      <w:p>
                        <w:pPr>
                          <w:pStyle w:val="TableParagraph"/>
                          <w:spacing w:line="171" w:lineRule="exact"/>
                          <w:ind w:left="101"/>
                          <w:rPr>
                            <w:sz w:val="16"/>
                          </w:rPr>
                        </w:pPr>
                        <w:r>
                          <w:rPr>
                            <w:sz w:val="16"/>
                          </w:rPr>
                          <w:t>23</w:t>
                        </w:r>
                      </w:p>
                    </w:tc>
                    <w:tc>
                      <w:tcPr>
                        <w:tcW w:w="1193" w:type="dxa"/>
                        <w:tcBorders>
                          <w:bottom w:val="nil"/>
                          <w:right w:val="nil"/>
                        </w:tcBorders>
                      </w:tcPr>
                      <w:p>
                        <w:pPr>
                          <w:pStyle w:val="TableParagraph"/>
                          <w:spacing w:line="171" w:lineRule="exact"/>
                          <w:ind w:left="101"/>
                          <w:rPr>
                            <w:sz w:val="16"/>
                          </w:rPr>
                        </w:pPr>
                        <w:r>
                          <w:rPr>
                            <w:w w:val="99"/>
                            <w:sz w:val="16"/>
                          </w:rPr>
                          <w:t>1</w:t>
                        </w:r>
                      </w:p>
                    </w:tc>
                  </w:tr>
                  <w:tr>
                    <w:trPr>
                      <w:trHeight w:val="185" w:hRule="exact"/>
                    </w:trPr>
                    <w:tc>
                      <w:tcPr>
                        <w:tcW w:w="2084" w:type="dxa"/>
                        <w:tcBorders>
                          <w:top w:val="nil"/>
                          <w:left w:val="nil"/>
                          <w:bottom w:val="nil"/>
                        </w:tcBorders>
                      </w:tcPr>
                      <w:p>
                        <w:pPr>
                          <w:pStyle w:val="TableParagraph"/>
                          <w:tabs>
                            <w:tab w:pos="2068" w:val="left" w:leader="none"/>
                          </w:tabs>
                          <w:rPr>
                            <w:sz w:val="16"/>
                          </w:rPr>
                        </w:pPr>
                        <w:r>
                          <w:rPr>
                            <w:w w:val="100"/>
                            <w:sz w:val="16"/>
                            <w:u w:val="dotted" w:color="929292"/>
                          </w:rPr>
                          <w:t> </w:t>
                        </w:r>
                        <w:r>
                          <w:rPr>
                            <w:spacing w:val="-18"/>
                            <w:sz w:val="16"/>
                            <w:u w:val="dotted" w:color="929292"/>
                          </w:rPr>
                          <w:t> </w:t>
                        </w:r>
                        <w:r>
                          <w:rPr>
                            <w:sz w:val="16"/>
                            <w:u w:val="dotted" w:color="929292"/>
                          </w:rPr>
                          <w:t>Atzcapotzaltongo</w:t>
                          <w:tab/>
                        </w:r>
                      </w:p>
                    </w:tc>
                    <w:tc>
                      <w:tcPr>
                        <w:tcW w:w="2169" w:type="dxa"/>
                        <w:vMerge/>
                      </w:tcPr>
                      <w:p>
                        <w:pPr/>
                      </w:p>
                    </w:tc>
                    <w:tc>
                      <w:tcPr>
                        <w:tcW w:w="1150" w:type="dxa"/>
                        <w:tcBorders>
                          <w:top w:val="nil"/>
                          <w:bottom w:val="nil"/>
                        </w:tcBorders>
                      </w:tcPr>
                      <w:p>
                        <w:pPr>
                          <w:pStyle w:val="TableParagraph"/>
                          <w:tabs>
                            <w:tab w:pos="1129" w:val="left" w:leader="none"/>
                          </w:tabs>
                          <w:ind w:left="25"/>
                          <w:rPr>
                            <w:sz w:val="16"/>
                          </w:rPr>
                        </w:pPr>
                        <w:r>
                          <w:rPr>
                            <w:w w:val="100"/>
                            <w:sz w:val="16"/>
                            <w:u w:val="dotted" w:color="929292"/>
                          </w:rPr>
                          <w:t> </w:t>
                        </w:r>
                        <w:r>
                          <w:rPr>
                            <w:sz w:val="16"/>
                            <w:u w:val="dotted" w:color="929292"/>
                          </w:rPr>
                          <w:tab/>
                        </w:r>
                      </w:p>
                    </w:tc>
                    <w:tc>
                      <w:tcPr>
                        <w:tcW w:w="1050" w:type="dxa"/>
                        <w:tcBorders>
                          <w:top w:val="nil"/>
                          <w:bottom w:val="nil"/>
                        </w:tcBorders>
                      </w:tcPr>
                      <w:p>
                        <w:pPr>
                          <w:pStyle w:val="TableParagraph"/>
                          <w:tabs>
                            <w:tab w:pos="1029" w:val="left" w:leader="none"/>
                          </w:tabs>
                          <w:ind w:left="25"/>
                          <w:rPr>
                            <w:sz w:val="16"/>
                          </w:rPr>
                        </w:pPr>
                        <w:r>
                          <w:rPr>
                            <w:w w:val="100"/>
                            <w:sz w:val="16"/>
                            <w:u w:val="dotted" w:color="929292"/>
                          </w:rPr>
                          <w:t> </w:t>
                        </w:r>
                        <w:r>
                          <w:rPr>
                            <w:sz w:val="16"/>
                            <w:u w:val="dotted" w:color="929292"/>
                          </w:rPr>
                          <w:tab/>
                        </w:r>
                      </w:p>
                    </w:tc>
                    <w:tc>
                      <w:tcPr>
                        <w:tcW w:w="1193" w:type="dxa"/>
                        <w:tcBorders>
                          <w:top w:val="nil"/>
                          <w:bottom w:val="nil"/>
                          <w:right w:val="nil"/>
                        </w:tcBorders>
                      </w:tcPr>
                      <w:p>
                        <w:pPr>
                          <w:pStyle w:val="TableParagraph"/>
                          <w:tabs>
                            <w:tab w:pos="1187" w:val="left" w:leader="none"/>
                          </w:tabs>
                          <w:ind w:left="25"/>
                          <w:rPr>
                            <w:sz w:val="16"/>
                          </w:rPr>
                        </w:pPr>
                        <w:r>
                          <w:rPr>
                            <w:w w:val="100"/>
                            <w:sz w:val="16"/>
                            <w:u w:val="dotted" w:color="929292"/>
                          </w:rPr>
                          <w:t> </w:t>
                        </w:r>
                        <w:r>
                          <w:rPr>
                            <w:sz w:val="16"/>
                            <w:u w:val="dotted" w:color="929292"/>
                          </w:rPr>
                          <w:tab/>
                        </w:r>
                      </w:p>
                    </w:tc>
                  </w:tr>
                  <w:tr>
                    <w:trPr>
                      <w:trHeight w:val="294" w:hRule="exact"/>
                    </w:trPr>
                    <w:tc>
                      <w:tcPr>
                        <w:tcW w:w="2084" w:type="dxa"/>
                        <w:tcBorders>
                          <w:top w:val="nil"/>
                          <w:left w:val="nil"/>
                          <w:bottom w:val="nil"/>
                        </w:tcBorders>
                      </w:tcPr>
                      <w:p>
                        <w:pPr>
                          <w:pStyle w:val="TableParagraph"/>
                          <w:spacing w:line="170" w:lineRule="exact"/>
                          <w:ind w:left="71"/>
                          <w:rPr>
                            <w:sz w:val="16"/>
                          </w:rPr>
                        </w:pPr>
                        <w:r>
                          <w:rPr>
                            <w:sz w:val="16"/>
                          </w:rPr>
                          <w:t>Santa María de las Rosas</w:t>
                        </w:r>
                      </w:p>
                    </w:tc>
                    <w:tc>
                      <w:tcPr>
                        <w:tcW w:w="2169" w:type="dxa"/>
                        <w:vMerge/>
                      </w:tcPr>
                      <w:p>
                        <w:pPr/>
                      </w:p>
                    </w:tc>
                    <w:tc>
                      <w:tcPr>
                        <w:tcW w:w="1150" w:type="dxa"/>
                        <w:tcBorders>
                          <w:top w:val="nil"/>
                        </w:tcBorders>
                      </w:tcPr>
                      <w:p>
                        <w:pPr>
                          <w:pStyle w:val="TableParagraph"/>
                          <w:spacing w:line="170" w:lineRule="exact"/>
                          <w:ind w:left="101"/>
                          <w:rPr>
                            <w:sz w:val="16"/>
                          </w:rPr>
                        </w:pPr>
                        <w:r>
                          <w:rPr>
                            <w:w w:val="99"/>
                            <w:sz w:val="16"/>
                          </w:rPr>
                          <w:t>0</w:t>
                        </w:r>
                      </w:p>
                    </w:tc>
                    <w:tc>
                      <w:tcPr>
                        <w:tcW w:w="1050" w:type="dxa"/>
                        <w:tcBorders>
                          <w:top w:val="nil"/>
                        </w:tcBorders>
                      </w:tcPr>
                      <w:p>
                        <w:pPr>
                          <w:pStyle w:val="TableParagraph"/>
                          <w:spacing w:line="170" w:lineRule="exact"/>
                          <w:ind w:left="101"/>
                          <w:rPr>
                            <w:sz w:val="16"/>
                          </w:rPr>
                        </w:pPr>
                        <w:r>
                          <w:rPr>
                            <w:w w:val="99"/>
                            <w:sz w:val="16"/>
                          </w:rPr>
                          <w:t>5</w:t>
                        </w:r>
                      </w:p>
                    </w:tc>
                    <w:tc>
                      <w:tcPr>
                        <w:tcW w:w="1193" w:type="dxa"/>
                        <w:tcBorders>
                          <w:top w:val="nil"/>
                          <w:right w:val="nil"/>
                        </w:tcBorders>
                      </w:tcPr>
                      <w:p>
                        <w:pPr>
                          <w:pStyle w:val="TableParagraph"/>
                          <w:spacing w:line="170" w:lineRule="exact"/>
                          <w:ind w:left="101"/>
                          <w:rPr>
                            <w:sz w:val="16"/>
                          </w:rPr>
                        </w:pPr>
                        <w:r>
                          <w:rPr>
                            <w:w w:val="99"/>
                            <w:sz w:val="16"/>
                          </w:rPr>
                          <w:t>2</w:t>
                        </w:r>
                      </w:p>
                    </w:tc>
                  </w:tr>
                  <w:tr>
                    <w:trPr>
                      <w:trHeight w:val="300" w:hRule="exact"/>
                    </w:trPr>
                    <w:tc>
                      <w:tcPr>
                        <w:tcW w:w="2084" w:type="dxa"/>
                        <w:tcBorders>
                          <w:top w:val="nil"/>
                          <w:left w:val="nil"/>
                          <w:bottom w:val="nil"/>
                        </w:tcBorders>
                      </w:tcPr>
                      <w:p>
                        <w:pPr/>
                      </w:p>
                    </w:tc>
                    <w:tc>
                      <w:tcPr>
                        <w:tcW w:w="2169" w:type="dxa"/>
                      </w:tcPr>
                      <w:p>
                        <w:pPr>
                          <w:pStyle w:val="TableParagraph"/>
                          <w:spacing w:line="171" w:lineRule="exact"/>
                          <w:ind w:left="101"/>
                          <w:rPr>
                            <w:sz w:val="16"/>
                          </w:rPr>
                        </w:pPr>
                        <w:r>
                          <w:rPr>
                            <w:sz w:val="16"/>
                          </w:rPr>
                          <w:t>Unidad Victoria</w:t>
                        </w:r>
                      </w:p>
                    </w:tc>
                    <w:tc>
                      <w:tcPr>
                        <w:tcW w:w="1150" w:type="dxa"/>
                      </w:tcPr>
                      <w:p>
                        <w:pPr>
                          <w:pStyle w:val="TableParagraph"/>
                          <w:spacing w:line="171" w:lineRule="exact"/>
                          <w:ind w:left="101"/>
                          <w:rPr>
                            <w:sz w:val="16"/>
                          </w:rPr>
                        </w:pPr>
                        <w:r>
                          <w:rPr>
                            <w:w w:val="99"/>
                            <w:sz w:val="16"/>
                          </w:rPr>
                          <w:t>0</w:t>
                        </w:r>
                      </w:p>
                    </w:tc>
                    <w:tc>
                      <w:tcPr>
                        <w:tcW w:w="1050" w:type="dxa"/>
                      </w:tcPr>
                      <w:p>
                        <w:pPr>
                          <w:pStyle w:val="TableParagraph"/>
                          <w:spacing w:line="171" w:lineRule="exact"/>
                          <w:ind w:left="101"/>
                          <w:rPr>
                            <w:sz w:val="16"/>
                          </w:rPr>
                        </w:pPr>
                        <w:r>
                          <w:rPr>
                            <w:w w:val="99"/>
                            <w:sz w:val="16"/>
                          </w:rPr>
                          <w:t>0</w:t>
                        </w:r>
                      </w:p>
                    </w:tc>
                    <w:tc>
                      <w:tcPr>
                        <w:tcW w:w="1193" w:type="dxa"/>
                        <w:tcBorders>
                          <w:right w:val="nil"/>
                        </w:tcBorders>
                      </w:tcPr>
                      <w:p>
                        <w:pPr>
                          <w:pStyle w:val="TableParagraph"/>
                          <w:spacing w:line="171" w:lineRule="exact"/>
                          <w:ind w:left="101"/>
                          <w:rPr>
                            <w:sz w:val="16"/>
                          </w:rPr>
                        </w:pPr>
                        <w:r>
                          <w:rPr>
                            <w:w w:val="99"/>
                            <w:sz w:val="16"/>
                          </w:rPr>
                          <w:t>2</w:t>
                        </w:r>
                      </w:p>
                    </w:tc>
                  </w:tr>
                  <w:tr>
                    <w:trPr>
                      <w:trHeight w:val="300" w:hRule="exact"/>
                    </w:trPr>
                    <w:tc>
                      <w:tcPr>
                        <w:tcW w:w="2084" w:type="dxa"/>
                        <w:tcBorders>
                          <w:top w:val="nil"/>
                          <w:left w:val="nil"/>
                          <w:bottom w:val="nil"/>
                        </w:tcBorders>
                      </w:tcPr>
                      <w:p>
                        <w:pPr/>
                      </w:p>
                    </w:tc>
                    <w:tc>
                      <w:tcPr>
                        <w:tcW w:w="2169" w:type="dxa"/>
                      </w:tcPr>
                      <w:p>
                        <w:pPr>
                          <w:pStyle w:val="TableParagraph"/>
                          <w:spacing w:line="171" w:lineRule="exact"/>
                          <w:ind w:left="101"/>
                          <w:rPr>
                            <w:sz w:val="16"/>
                          </w:rPr>
                        </w:pPr>
                        <w:r>
                          <w:rPr>
                            <w:sz w:val="16"/>
                          </w:rPr>
                          <w:t>Colonia Nueva Santa María</w:t>
                        </w:r>
                      </w:p>
                    </w:tc>
                    <w:tc>
                      <w:tcPr>
                        <w:tcW w:w="1150" w:type="dxa"/>
                      </w:tcPr>
                      <w:p>
                        <w:pPr>
                          <w:pStyle w:val="TableParagraph"/>
                          <w:spacing w:line="171" w:lineRule="exact"/>
                          <w:ind w:left="101"/>
                          <w:rPr>
                            <w:sz w:val="16"/>
                          </w:rPr>
                        </w:pPr>
                        <w:r>
                          <w:rPr>
                            <w:sz w:val="16"/>
                          </w:rPr>
                          <w:t>29</w:t>
                        </w:r>
                      </w:p>
                    </w:tc>
                    <w:tc>
                      <w:tcPr>
                        <w:tcW w:w="1050" w:type="dxa"/>
                      </w:tcPr>
                      <w:p>
                        <w:pPr>
                          <w:pStyle w:val="TableParagraph"/>
                          <w:spacing w:line="171" w:lineRule="exact"/>
                          <w:ind w:left="101"/>
                          <w:rPr>
                            <w:sz w:val="16"/>
                          </w:rPr>
                        </w:pPr>
                        <w:r>
                          <w:rPr>
                            <w:w w:val="99"/>
                            <w:sz w:val="16"/>
                          </w:rPr>
                          <w:t>6</w:t>
                        </w:r>
                      </w:p>
                    </w:tc>
                    <w:tc>
                      <w:tcPr>
                        <w:tcW w:w="1193" w:type="dxa"/>
                        <w:tcBorders>
                          <w:right w:val="nil"/>
                        </w:tcBorders>
                      </w:tcPr>
                      <w:p>
                        <w:pPr>
                          <w:pStyle w:val="TableParagraph"/>
                          <w:spacing w:line="171" w:lineRule="exact"/>
                          <w:ind w:left="101"/>
                          <w:rPr>
                            <w:sz w:val="16"/>
                          </w:rPr>
                        </w:pPr>
                        <w:r>
                          <w:rPr>
                            <w:w w:val="99"/>
                            <w:sz w:val="16"/>
                          </w:rPr>
                          <w:t>2</w:t>
                        </w:r>
                      </w:p>
                    </w:tc>
                  </w:tr>
                  <w:tr>
                    <w:trPr>
                      <w:trHeight w:val="192" w:hRule="exact"/>
                    </w:trPr>
                    <w:tc>
                      <w:tcPr>
                        <w:tcW w:w="2084" w:type="dxa"/>
                        <w:tcBorders>
                          <w:top w:val="nil"/>
                          <w:left w:val="nil"/>
                          <w:bottom w:val="nil"/>
                        </w:tcBorders>
                      </w:tcPr>
                      <w:p>
                        <w:pPr/>
                      </w:p>
                    </w:tc>
                    <w:tc>
                      <w:tcPr>
                        <w:tcW w:w="2169" w:type="dxa"/>
                        <w:vMerge w:val="restart"/>
                      </w:tcPr>
                      <w:p>
                        <w:pPr>
                          <w:pStyle w:val="TableParagraph"/>
                          <w:spacing w:line="171" w:lineRule="exact"/>
                          <w:ind w:left="101"/>
                          <w:rPr>
                            <w:sz w:val="16"/>
                          </w:rPr>
                        </w:pPr>
                        <w:r>
                          <w:rPr>
                            <w:sz w:val="16"/>
                          </w:rPr>
                          <w:t>Colonia Nueva Santa María</w:t>
                        </w:r>
                      </w:p>
                      <w:p>
                        <w:pPr>
                          <w:pStyle w:val="TableParagraph"/>
                          <w:tabs>
                            <w:tab w:pos="2148" w:val="left" w:leader="none"/>
                          </w:tabs>
                          <w:spacing w:line="170" w:lineRule="exact" w:before="30"/>
                          <w:ind w:left="101" w:right="8" w:hanging="77"/>
                          <w:rPr>
                            <w:sz w:val="16"/>
                          </w:rPr>
                        </w:pPr>
                        <w:r>
                          <w:rPr>
                            <w:w w:val="100"/>
                            <w:sz w:val="16"/>
                            <w:u w:val="dotted" w:color="929292"/>
                          </w:rPr>
                          <w:t> </w:t>
                        </w:r>
                        <w:r>
                          <w:rPr>
                            <w:spacing w:val="-13"/>
                            <w:sz w:val="16"/>
                            <w:u w:val="dotted" w:color="929292"/>
                          </w:rPr>
                          <w:t> </w:t>
                        </w:r>
                        <w:r>
                          <w:rPr>
                            <w:sz w:val="16"/>
                            <w:u w:val="dotted" w:color="929292"/>
                          </w:rPr>
                          <w:t>de</w:t>
                        </w:r>
                        <w:r>
                          <w:rPr>
                            <w:spacing w:val="-4"/>
                            <w:sz w:val="16"/>
                            <w:u w:val="dotted" w:color="929292"/>
                          </w:rPr>
                          <w:t> </w:t>
                        </w:r>
                        <w:r>
                          <w:rPr>
                            <w:sz w:val="16"/>
                            <w:u w:val="dotted" w:color="929292"/>
                          </w:rPr>
                          <w:t>las</w:t>
                        </w:r>
                        <w:r>
                          <w:rPr>
                            <w:spacing w:val="-4"/>
                            <w:sz w:val="16"/>
                            <w:u w:val="dotted" w:color="929292"/>
                          </w:rPr>
                          <w:t> </w:t>
                        </w:r>
                        <w:r>
                          <w:rPr>
                            <w:sz w:val="16"/>
                            <w:u w:val="dotted" w:color="929292"/>
                          </w:rPr>
                          <w:t>Rosas</w:t>
                          <w:tab/>
                        </w:r>
                        <w:r>
                          <w:rPr>
                            <w:sz w:val="16"/>
                          </w:rPr>
                          <w:t> Avenida</w:t>
                        </w:r>
                        <w:r>
                          <w:rPr>
                            <w:spacing w:val="-4"/>
                            <w:sz w:val="16"/>
                          </w:rPr>
                          <w:t> </w:t>
                        </w:r>
                        <w:r>
                          <w:rPr>
                            <w:sz w:val="16"/>
                          </w:rPr>
                          <w:t>Insurgentes</w:t>
                        </w:r>
                      </w:p>
                    </w:tc>
                    <w:tc>
                      <w:tcPr>
                        <w:tcW w:w="1150" w:type="dxa"/>
                        <w:tcBorders>
                          <w:bottom w:val="nil"/>
                        </w:tcBorders>
                      </w:tcPr>
                      <w:p>
                        <w:pPr>
                          <w:pStyle w:val="TableParagraph"/>
                          <w:spacing w:line="171" w:lineRule="exact"/>
                          <w:ind w:left="101"/>
                          <w:rPr>
                            <w:sz w:val="16"/>
                          </w:rPr>
                        </w:pPr>
                        <w:r>
                          <w:rPr>
                            <w:w w:val="99"/>
                            <w:sz w:val="16"/>
                          </w:rPr>
                          <w:t>1</w:t>
                        </w:r>
                      </w:p>
                    </w:tc>
                    <w:tc>
                      <w:tcPr>
                        <w:tcW w:w="1050" w:type="dxa"/>
                        <w:tcBorders>
                          <w:bottom w:val="nil"/>
                        </w:tcBorders>
                      </w:tcPr>
                      <w:p>
                        <w:pPr>
                          <w:pStyle w:val="TableParagraph"/>
                          <w:spacing w:line="171" w:lineRule="exact"/>
                          <w:ind w:left="101"/>
                          <w:rPr>
                            <w:sz w:val="16"/>
                          </w:rPr>
                        </w:pPr>
                        <w:r>
                          <w:rPr>
                            <w:w w:val="99"/>
                            <w:sz w:val="16"/>
                          </w:rPr>
                          <w:t>0</w:t>
                        </w:r>
                      </w:p>
                    </w:tc>
                    <w:tc>
                      <w:tcPr>
                        <w:tcW w:w="1193" w:type="dxa"/>
                        <w:tcBorders>
                          <w:bottom w:val="nil"/>
                          <w:right w:val="nil"/>
                        </w:tcBorders>
                      </w:tcPr>
                      <w:p>
                        <w:pPr>
                          <w:pStyle w:val="TableParagraph"/>
                          <w:spacing w:line="171" w:lineRule="exact"/>
                          <w:ind w:left="101"/>
                          <w:rPr>
                            <w:sz w:val="16"/>
                          </w:rPr>
                        </w:pPr>
                        <w:r>
                          <w:rPr>
                            <w:w w:val="99"/>
                            <w:sz w:val="16"/>
                          </w:rPr>
                          <w:t>1</w:t>
                        </w:r>
                      </w:p>
                    </w:tc>
                  </w:tr>
                  <w:tr>
                    <w:trPr>
                      <w:trHeight w:val="185" w:hRule="exact"/>
                    </w:trPr>
                    <w:tc>
                      <w:tcPr>
                        <w:tcW w:w="2084" w:type="dxa"/>
                        <w:tcBorders>
                          <w:top w:val="nil"/>
                          <w:left w:val="nil"/>
                          <w:bottom w:val="nil"/>
                        </w:tcBorders>
                      </w:tcPr>
                      <w:p>
                        <w:pPr>
                          <w:pStyle w:val="TableParagraph"/>
                          <w:tabs>
                            <w:tab w:pos="2068" w:val="left" w:leader="none"/>
                          </w:tabs>
                          <w:rPr>
                            <w:sz w:val="16"/>
                          </w:rPr>
                        </w:pPr>
                        <w:r>
                          <w:rPr>
                            <w:w w:val="100"/>
                            <w:sz w:val="16"/>
                            <w:u w:val="dotted" w:color="929292"/>
                          </w:rPr>
                          <w:t> </w:t>
                        </w:r>
                        <w:r>
                          <w:rPr>
                            <w:sz w:val="16"/>
                            <w:u w:val="dotted" w:color="929292"/>
                          </w:rPr>
                          <w:tab/>
                        </w:r>
                      </w:p>
                    </w:tc>
                    <w:tc>
                      <w:tcPr>
                        <w:tcW w:w="2169" w:type="dxa"/>
                        <w:vMerge/>
                      </w:tcPr>
                      <w:p>
                        <w:pPr/>
                      </w:p>
                    </w:tc>
                    <w:tc>
                      <w:tcPr>
                        <w:tcW w:w="1150" w:type="dxa"/>
                        <w:tcBorders>
                          <w:top w:val="nil"/>
                          <w:bottom w:val="nil"/>
                        </w:tcBorders>
                      </w:tcPr>
                      <w:p>
                        <w:pPr>
                          <w:pStyle w:val="TableParagraph"/>
                          <w:tabs>
                            <w:tab w:pos="1129" w:val="left" w:leader="none"/>
                          </w:tabs>
                          <w:ind w:left="25"/>
                          <w:rPr>
                            <w:sz w:val="16"/>
                          </w:rPr>
                        </w:pPr>
                        <w:r>
                          <w:rPr>
                            <w:w w:val="100"/>
                            <w:sz w:val="16"/>
                            <w:u w:val="dotted" w:color="929292"/>
                          </w:rPr>
                          <w:t> </w:t>
                        </w:r>
                        <w:r>
                          <w:rPr>
                            <w:sz w:val="16"/>
                            <w:u w:val="dotted" w:color="929292"/>
                          </w:rPr>
                          <w:tab/>
                        </w:r>
                      </w:p>
                    </w:tc>
                    <w:tc>
                      <w:tcPr>
                        <w:tcW w:w="1050" w:type="dxa"/>
                        <w:tcBorders>
                          <w:top w:val="nil"/>
                          <w:bottom w:val="nil"/>
                        </w:tcBorders>
                      </w:tcPr>
                      <w:p>
                        <w:pPr>
                          <w:pStyle w:val="TableParagraph"/>
                          <w:tabs>
                            <w:tab w:pos="1029" w:val="left" w:leader="none"/>
                          </w:tabs>
                          <w:ind w:left="25"/>
                          <w:rPr>
                            <w:sz w:val="16"/>
                          </w:rPr>
                        </w:pPr>
                        <w:r>
                          <w:rPr>
                            <w:w w:val="100"/>
                            <w:sz w:val="16"/>
                            <w:u w:val="dotted" w:color="929292"/>
                          </w:rPr>
                          <w:t> </w:t>
                        </w:r>
                        <w:r>
                          <w:rPr>
                            <w:sz w:val="16"/>
                            <w:u w:val="dotted" w:color="929292"/>
                          </w:rPr>
                          <w:tab/>
                        </w:r>
                      </w:p>
                    </w:tc>
                    <w:tc>
                      <w:tcPr>
                        <w:tcW w:w="1193" w:type="dxa"/>
                        <w:tcBorders>
                          <w:top w:val="nil"/>
                          <w:bottom w:val="nil"/>
                          <w:right w:val="nil"/>
                        </w:tcBorders>
                      </w:tcPr>
                      <w:p>
                        <w:pPr>
                          <w:pStyle w:val="TableParagraph"/>
                          <w:tabs>
                            <w:tab w:pos="1187" w:val="left" w:leader="none"/>
                          </w:tabs>
                          <w:ind w:left="25"/>
                          <w:rPr>
                            <w:sz w:val="16"/>
                          </w:rPr>
                        </w:pPr>
                        <w:r>
                          <w:rPr>
                            <w:w w:val="100"/>
                            <w:sz w:val="16"/>
                            <w:u w:val="dotted" w:color="929292"/>
                          </w:rPr>
                          <w:t> </w:t>
                        </w:r>
                        <w:r>
                          <w:rPr>
                            <w:sz w:val="16"/>
                            <w:u w:val="dotted" w:color="929292"/>
                          </w:rPr>
                          <w:tab/>
                        </w:r>
                      </w:p>
                    </w:tc>
                  </w:tr>
                  <w:tr>
                    <w:trPr>
                      <w:trHeight w:val="294" w:hRule="exact"/>
                    </w:trPr>
                    <w:tc>
                      <w:tcPr>
                        <w:tcW w:w="2084" w:type="dxa"/>
                        <w:tcBorders>
                          <w:top w:val="nil"/>
                          <w:left w:val="nil"/>
                          <w:bottom w:val="nil"/>
                        </w:tcBorders>
                      </w:tcPr>
                      <w:p>
                        <w:pPr>
                          <w:pStyle w:val="TableParagraph"/>
                          <w:spacing w:line="170" w:lineRule="exact"/>
                          <w:ind w:left="70"/>
                          <w:rPr>
                            <w:sz w:val="16"/>
                          </w:rPr>
                        </w:pPr>
                        <w:r>
                          <w:rPr>
                            <w:sz w:val="16"/>
                          </w:rPr>
                          <w:t>Santiago Tlaxomulco</w:t>
                        </w:r>
                      </w:p>
                    </w:tc>
                    <w:tc>
                      <w:tcPr>
                        <w:tcW w:w="2169" w:type="dxa"/>
                        <w:vMerge/>
                      </w:tcPr>
                      <w:p>
                        <w:pPr/>
                      </w:p>
                    </w:tc>
                    <w:tc>
                      <w:tcPr>
                        <w:tcW w:w="1150" w:type="dxa"/>
                        <w:tcBorders>
                          <w:top w:val="nil"/>
                        </w:tcBorders>
                      </w:tcPr>
                      <w:p>
                        <w:pPr>
                          <w:pStyle w:val="TableParagraph"/>
                          <w:spacing w:line="170" w:lineRule="exact"/>
                          <w:ind w:left="101"/>
                          <w:rPr>
                            <w:sz w:val="16"/>
                          </w:rPr>
                        </w:pPr>
                        <w:r>
                          <w:rPr>
                            <w:w w:val="99"/>
                            <w:sz w:val="16"/>
                          </w:rPr>
                          <w:t>9</w:t>
                        </w:r>
                      </w:p>
                    </w:tc>
                    <w:tc>
                      <w:tcPr>
                        <w:tcW w:w="1050" w:type="dxa"/>
                        <w:tcBorders>
                          <w:top w:val="nil"/>
                        </w:tcBorders>
                      </w:tcPr>
                      <w:p>
                        <w:pPr>
                          <w:pStyle w:val="TableParagraph"/>
                          <w:spacing w:line="170" w:lineRule="exact"/>
                          <w:ind w:left="101"/>
                          <w:rPr>
                            <w:sz w:val="16"/>
                          </w:rPr>
                        </w:pPr>
                        <w:r>
                          <w:rPr>
                            <w:w w:val="99"/>
                            <w:sz w:val="16"/>
                          </w:rPr>
                          <w:t>0</w:t>
                        </w:r>
                      </w:p>
                    </w:tc>
                    <w:tc>
                      <w:tcPr>
                        <w:tcW w:w="1193" w:type="dxa"/>
                        <w:tcBorders>
                          <w:top w:val="nil"/>
                          <w:right w:val="nil"/>
                        </w:tcBorders>
                      </w:tcPr>
                      <w:p>
                        <w:pPr>
                          <w:pStyle w:val="TableParagraph"/>
                          <w:spacing w:line="170" w:lineRule="exact"/>
                          <w:ind w:left="100"/>
                          <w:rPr>
                            <w:sz w:val="16"/>
                          </w:rPr>
                        </w:pPr>
                        <w:r>
                          <w:rPr>
                            <w:w w:val="99"/>
                            <w:sz w:val="16"/>
                          </w:rPr>
                          <w:t>3</w:t>
                        </w:r>
                      </w:p>
                    </w:tc>
                  </w:tr>
                  <w:tr>
                    <w:trPr>
                      <w:trHeight w:val="300" w:hRule="exact"/>
                    </w:trPr>
                    <w:tc>
                      <w:tcPr>
                        <w:tcW w:w="2084" w:type="dxa"/>
                        <w:tcBorders>
                          <w:top w:val="nil"/>
                          <w:left w:val="nil"/>
                          <w:bottom w:val="nil"/>
                        </w:tcBorders>
                      </w:tcPr>
                      <w:p>
                        <w:pPr/>
                      </w:p>
                    </w:tc>
                    <w:tc>
                      <w:tcPr>
                        <w:tcW w:w="2169" w:type="dxa"/>
                      </w:tcPr>
                      <w:p>
                        <w:pPr>
                          <w:pStyle w:val="TableParagraph"/>
                          <w:spacing w:line="171" w:lineRule="exact"/>
                          <w:ind w:left="100"/>
                          <w:rPr>
                            <w:sz w:val="16"/>
                          </w:rPr>
                        </w:pPr>
                        <w:r>
                          <w:rPr>
                            <w:sz w:val="16"/>
                          </w:rPr>
                          <w:t>Avenida Insurgentes</w:t>
                        </w:r>
                      </w:p>
                    </w:tc>
                    <w:tc>
                      <w:tcPr>
                        <w:tcW w:w="1150" w:type="dxa"/>
                      </w:tcPr>
                      <w:p>
                        <w:pPr>
                          <w:pStyle w:val="TableParagraph"/>
                          <w:spacing w:line="171" w:lineRule="exact"/>
                          <w:ind w:left="100"/>
                          <w:rPr>
                            <w:sz w:val="16"/>
                          </w:rPr>
                        </w:pPr>
                        <w:r>
                          <w:rPr>
                            <w:w w:val="99"/>
                            <w:sz w:val="16"/>
                          </w:rPr>
                          <w:t>2</w:t>
                        </w:r>
                      </w:p>
                    </w:tc>
                    <w:tc>
                      <w:tcPr>
                        <w:tcW w:w="1050" w:type="dxa"/>
                      </w:tcPr>
                      <w:p>
                        <w:pPr>
                          <w:pStyle w:val="TableParagraph"/>
                          <w:spacing w:line="171" w:lineRule="exact"/>
                          <w:ind w:left="100"/>
                          <w:rPr>
                            <w:sz w:val="16"/>
                          </w:rPr>
                        </w:pPr>
                        <w:r>
                          <w:rPr>
                            <w:w w:val="99"/>
                            <w:sz w:val="16"/>
                          </w:rPr>
                          <w:t>0</w:t>
                        </w:r>
                      </w:p>
                    </w:tc>
                    <w:tc>
                      <w:tcPr>
                        <w:tcW w:w="1193" w:type="dxa"/>
                        <w:tcBorders>
                          <w:right w:val="nil"/>
                        </w:tcBorders>
                      </w:tcPr>
                      <w:p>
                        <w:pPr>
                          <w:pStyle w:val="TableParagraph"/>
                          <w:spacing w:line="171" w:lineRule="exact"/>
                          <w:ind w:left="100"/>
                          <w:rPr>
                            <w:sz w:val="16"/>
                          </w:rPr>
                        </w:pPr>
                        <w:r>
                          <w:rPr>
                            <w:w w:val="99"/>
                            <w:sz w:val="16"/>
                          </w:rPr>
                          <w:t>1</w:t>
                        </w:r>
                      </w:p>
                    </w:tc>
                  </w:tr>
                  <w:tr>
                    <w:trPr>
                      <w:trHeight w:val="300" w:hRule="exact"/>
                    </w:trPr>
                    <w:tc>
                      <w:tcPr>
                        <w:tcW w:w="2084" w:type="dxa"/>
                        <w:tcBorders>
                          <w:top w:val="nil"/>
                          <w:left w:val="nil"/>
                        </w:tcBorders>
                      </w:tcPr>
                      <w:p>
                        <w:pPr/>
                      </w:p>
                    </w:tc>
                    <w:tc>
                      <w:tcPr>
                        <w:tcW w:w="2169" w:type="dxa"/>
                      </w:tcPr>
                      <w:p>
                        <w:pPr>
                          <w:pStyle w:val="TableParagraph"/>
                          <w:spacing w:line="171" w:lineRule="exact"/>
                          <w:ind w:left="100"/>
                          <w:rPr>
                            <w:sz w:val="16"/>
                          </w:rPr>
                        </w:pPr>
                        <w:r>
                          <w:rPr>
                            <w:sz w:val="16"/>
                          </w:rPr>
                          <w:t>Río Papaloapan</w:t>
                        </w:r>
                      </w:p>
                    </w:tc>
                    <w:tc>
                      <w:tcPr>
                        <w:tcW w:w="1150" w:type="dxa"/>
                      </w:tcPr>
                      <w:p>
                        <w:pPr>
                          <w:pStyle w:val="TableParagraph"/>
                          <w:spacing w:line="171" w:lineRule="exact"/>
                          <w:ind w:left="100"/>
                          <w:rPr>
                            <w:sz w:val="16"/>
                          </w:rPr>
                        </w:pPr>
                        <w:r>
                          <w:rPr>
                            <w:w w:val="99"/>
                            <w:sz w:val="16"/>
                          </w:rPr>
                          <w:t>0</w:t>
                        </w:r>
                      </w:p>
                    </w:tc>
                    <w:tc>
                      <w:tcPr>
                        <w:tcW w:w="1050" w:type="dxa"/>
                      </w:tcPr>
                      <w:p>
                        <w:pPr>
                          <w:pStyle w:val="TableParagraph"/>
                          <w:spacing w:line="171" w:lineRule="exact"/>
                          <w:ind w:left="100"/>
                          <w:rPr>
                            <w:sz w:val="16"/>
                          </w:rPr>
                        </w:pPr>
                        <w:r>
                          <w:rPr>
                            <w:w w:val="99"/>
                            <w:sz w:val="16"/>
                          </w:rPr>
                          <w:t>0</w:t>
                        </w:r>
                      </w:p>
                    </w:tc>
                    <w:tc>
                      <w:tcPr>
                        <w:tcW w:w="1193" w:type="dxa"/>
                        <w:tcBorders>
                          <w:right w:val="nil"/>
                        </w:tcBorders>
                      </w:tcPr>
                      <w:p>
                        <w:pPr>
                          <w:pStyle w:val="TableParagraph"/>
                          <w:spacing w:line="171" w:lineRule="exact"/>
                          <w:ind w:left="100"/>
                          <w:rPr>
                            <w:sz w:val="16"/>
                          </w:rPr>
                        </w:pPr>
                        <w:r>
                          <w:rPr>
                            <w:w w:val="99"/>
                            <w:sz w:val="16"/>
                          </w:rPr>
                          <w:t>1</w:t>
                        </w:r>
                      </w:p>
                    </w:tc>
                  </w:tr>
                  <w:tr>
                    <w:trPr>
                      <w:trHeight w:val="300" w:hRule="exact"/>
                    </w:trPr>
                    <w:tc>
                      <w:tcPr>
                        <w:tcW w:w="2084" w:type="dxa"/>
                        <w:vMerge w:val="restart"/>
                        <w:tcBorders>
                          <w:left w:val="nil"/>
                        </w:tcBorders>
                      </w:tcPr>
                      <w:p>
                        <w:pPr>
                          <w:pStyle w:val="TableParagraph"/>
                          <w:spacing w:line="171" w:lineRule="exact"/>
                          <w:ind w:left="70"/>
                          <w:rPr>
                            <w:sz w:val="16"/>
                          </w:rPr>
                        </w:pPr>
                        <w:r>
                          <w:rPr>
                            <w:sz w:val="16"/>
                          </w:rPr>
                          <w:t>Seminario Conciliar</w:t>
                        </w:r>
                      </w:p>
                    </w:tc>
                    <w:tc>
                      <w:tcPr>
                        <w:tcW w:w="2169" w:type="dxa"/>
                      </w:tcPr>
                      <w:p>
                        <w:pPr>
                          <w:pStyle w:val="TableParagraph"/>
                          <w:spacing w:line="171" w:lineRule="exact"/>
                          <w:ind w:left="100"/>
                          <w:rPr>
                            <w:sz w:val="16"/>
                          </w:rPr>
                        </w:pPr>
                        <w:r>
                          <w:rPr>
                            <w:sz w:val="16"/>
                          </w:rPr>
                          <w:t>Privada Lago del Volcán</w:t>
                        </w:r>
                      </w:p>
                    </w:tc>
                    <w:tc>
                      <w:tcPr>
                        <w:tcW w:w="1150" w:type="dxa"/>
                      </w:tcPr>
                      <w:p>
                        <w:pPr>
                          <w:pStyle w:val="TableParagraph"/>
                          <w:spacing w:line="171" w:lineRule="exact"/>
                          <w:ind w:left="100"/>
                          <w:rPr>
                            <w:sz w:val="16"/>
                          </w:rPr>
                        </w:pPr>
                        <w:r>
                          <w:rPr>
                            <w:w w:val="99"/>
                            <w:sz w:val="16"/>
                          </w:rPr>
                          <w:t>0</w:t>
                        </w:r>
                      </w:p>
                    </w:tc>
                    <w:tc>
                      <w:tcPr>
                        <w:tcW w:w="1050" w:type="dxa"/>
                      </w:tcPr>
                      <w:p>
                        <w:pPr>
                          <w:pStyle w:val="TableParagraph"/>
                          <w:spacing w:line="171" w:lineRule="exact"/>
                          <w:ind w:left="100"/>
                          <w:rPr>
                            <w:sz w:val="16"/>
                          </w:rPr>
                        </w:pPr>
                        <w:r>
                          <w:rPr>
                            <w:w w:val="99"/>
                            <w:sz w:val="16"/>
                          </w:rPr>
                          <w:t>0</w:t>
                        </w:r>
                      </w:p>
                    </w:tc>
                    <w:tc>
                      <w:tcPr>
                        <w:tcW w:w="1193" w:type="dxa"/>
                        <w:tcBorders>
                          <w:right w:val="nil"/>
                        </w:tcBorders>
                      </w:tcPr>
                      <w:p>
                        <w:pPr>
                          <w:pStyle w:val="TableParagraph"/>
                          <w:spacing w:line="171" w:lineRule="exact"/>
                          <w:ind w:left="100"/>
                          <w:rPr>
                            <w:sz w:val="16"/>
                          </w:rPr>
                        </w:pPr>
                        <w:r>
                          <w:rPr>
                            <w:w w:val="99"/>
                            <w:sz w:val="16"/>
                          </w:rPr>
                          <w:t>0</w:t>
                        </w:r>
                      </w:p>
                    </w:tc>
                  </w:tr>
                  <w:tr>
                    <w:trPr>
                      <w:trHeight w:val="300" w:hRule="exact"/>
                    </w:trPr>
                    <w:tc>
                      <w:tcPr>
                        <w:tcW w:w="2084" w:type="dxa"/>
                        <w:vMerge/>
                        <w:tcBorders>
                          <w:left w:val="nil"/>
                        </w:tcBorders>
                      </w:tcPr>
                      <w:p>
                        <w:pPr/>
                      </w:p>
                    </w:tc>
                    <w:tc>
                      <w:tcPr>
                        <w:tcW w:w="2169" w:type="dxa"/>
                      </w:tcPr>
                      <w:p>
                        <w:pPr>
                          <w:pStyle w:val="TableParagraph"/>
                          <w:spacing w:line="171" w:lineRule="exact"/>
                          <w:ind w:left="100"/>
                          <w:rPr>
                            <w:sz w:val="16"/>
                          </w:rPr>
                        </w:pPr>
                        <w:r>
                          <w:rPr>
                            <w:sz w:val="16"/>
                          </w:rPr>
                          <w:t>Colonia Villa Hogar</w:t>
                        </w:r>
                      </w:p>
                    </w:tc>
                    <w:tc>
                      <w:tcPr>
                        <w:tcW w:w="1150" w:type="dxa"/>
                      </w:tcPr>
                      <w:p>
                        <w:pPr>
                          <w:pStyle w:val="TableParagraph"/>
                          <w:spacing w:line="171" w:lineRule="exact"/>
                          <w:ind w:left="100"/>
                          <w:rPr>
                            <w:sz w:val="16"/>
                          </w:rPr>
                        </w:pPr>
                        <w:r>
                          <w:rPr>
                            <w:sz w:val="16"/>
                          </w:rPr>
                          <w:t>48</w:t>
                        </w:r>
                      </w:p>
                    </w:tc>
                    <w:tc>
                      <w:tcPr>
                        <w:tcW w:w="1050" w:type="dxa"/>
                      </w:tcPr>
                      <w:p>
                        <w:pPr>
                          <w:pStyle w:val="TableParagraph"/>
                          <w:spacing w:line="171" w:lineRule="exact"/>
                          <w:ind w:left="100"/>
                          <w:rPr>
                            <w:sz w:val="16"/>
                          </w:rPr>
                        </w:pPr>
                        <w:r>
                          <w:rPr>
                            <w:w w:val="99"/>
                            <w:sz w:val="16"/>
                          </w:rPr>
                          <w:t>5</w:t>
                        </w:r>
                      </w:p>
                    </w:tc>
                    <w:tc>
                      <w:tcPr>
                        <w:tcW w:w="1193" w:type="dxa"/>
                        <w:tcBorders>
                          <w:right w:val="nil"/>
                        </w:tcBorders>
                      </w:tcPr>
                      <w:p>
                        <w:pPr>
                          <w:pStyle w:val="TableParagraph"/>
                          <w:spacing w:line="171" w:lineRule="exact"/>
                          <w:ind w:left="100"/>
                          <w:rPr>
                            <w:sz w:val="16"/>
                          </w:rPr>
                        </w:pPr>
                        <w:r>
                          <w:rPr>
                            <w:w w:val="99"/>
                            <w:sz w:val="16"/>
                          </w:rPr>
                          <w:t>4</w:t>
                        </w:r>
                      </w:p>
                    </w:tc>
                  </w:tr>
                  <w:tr>
                    <w:trPr>
                      <w:trHeight w:val="192" w:hRule="exact"/>
                    </w:trPr>
                    <w:tc>
                      <w:tcPr>
                        <w:tcW w:w="2084" w:type="dxa"/>
                        <w:tcBorders>
                          <w:left w:val="nil"/>
                          <w:bottom w:val="nil"/>
                        </w:tcBorders>
                      </w:tcPr>
                      <w:p>
                        <w:pPr>
                          <w:pStyle w:val="TableParagraph"/>
                          <w:spacing w:line="171" w:lineRule="exact"/>
                          <w:ind w:left="70"/>
                          <w:rPr>
                            <w:sz w:val="16"/>
                          </w:rPr>
                        </w:pPr>
                        <w:r>
                          <w:rPr>
                            <w:sz w:val="16"/>
                          </w:rPr>
                          <w:t>San Pedro Totoltepec</w:t>
                        </w:r>
                      </w:p>
                    </w:tc>
                    <w:tc>
                      <w:tcPr>
                        <w:tcW w:w="2169" w:type="dxa"/>
                        <w:vMerge w:val="restart"/>
                      </w:tcPr>
                      <w:p>
                        <w:pPr>
                          <w:pStyle w:val="TableParagraph"/>
                          <w:spacing w:line="171" w:lineRule="exact"/>
                          <w:ind w:left="100"/>
                          <w:rPr>
                            <w:sz w:val="16"/>
                          </w:rPr>
                        </w:pPr>
                        <w:r>
                          <w:rPr>
                            <w:sz w:val="16"/>
                          </w:rPr>
                          <w:t>Colonia San Blas y Colonia</w:t>
                        </w:r>
                      </w:p>
                      <w:p>
                        <w:pPr>
                          <w:pStyle w:val="TableParagraph"/>
                          <w:tabs>
                            <w:tab w:pos="2148" w:val="left" w:leader="none"/>
                          </w:tabs>
                          <w:spacing w:line="170" w:lineRule="exact" w:before="30"/>
                          <w:ind w:left="100" w:right="8" w:hanging="76"/>
                          <w:rPr>
                            <w:sz w:val="16"/>
                          </w:rPr>
                        </w:pPr>
                        <w:r>
                          <w:rPr>
                            <w:w w:val="100"/>
                            <w:sz w:val="16"/>
                            <w:u w:val="dotted" w:color="929292"/>
                          </w:rPr>
                          <w:t> </w:t>
                        </w:r>
                        <w:r>
                          <w:rPr>
                            <w:spacing w:val="-14"/>
                            <w:sz w:val="16"/>
                            <w:u w:val="dotted" w:color="929292"/>
                          </w:rPr>
                          <w:t> </w:t>
                        </w:r>
                        <w:r>
                          <w:rPr>
                            <w:sz w:val="16"/>
                            <w:u w:val="dotted" w:color="929292"/>
                          </w:rPr>
                          <w:t>La</w:t>
                        </w:r>
                        <w:r>
                          <w:rPr>
                            <w:spacing w:val="20"/>
                            <w:sz w:val="16"/>
                            <w:u w:val="dotted" w:color="929292"/>
                          </w:rPr>
                          <w:t> </w:t>
                        </w:r>
                        <w:r>
                          <w:rPr>
                            <w:sz w:val="16"/>
                            <w:u w:val="dotted" w:color="929292"/>
                          </w:rPr>
                          <w:t>Constitución</w:t>
                          <w:tab/>
                        </w:r>
                        <w:r>
                          <w:rPr>
                            <w:sz w:val="16"/>
                          </w:rPr>
                          <w:t> Bordo de Las</w:t>
                        </w:r>
                        <w:r>
                          <w:rPr>
                            <w:spacing w:val="10"/>
                            <w:sz w:val="16"/>
                          </w:rPr>
                          <w:t> </w:t>
                        </w:r>
                        <w:r>
                          <w:rPr>
                            <w:sz w:val="16"/>
                          </w:rPr>
                          <w:t>Canastas</w:t>
                        </w:r>
                      </w:p>
                    </w:tc>
                    <w:tc>
                      <w:tcPr>
                        <w:tcW w:w="1150" w:type="dxa"/>
                        <w:tcBorders>
                          <w:bottom w:val="nil"/>
                        </w:tcBorders>
                      </w:tcPr>
                      <w:p>
                        <w:pPr>
                          <w:pStyle w:val="TableParagraph"/>
                          <w:spacing w:line="171" w:lineRule="exact"/>
                          <w:ind w:left="100"/>
                          <w:rPr>
                            <w:sz w:val="16"/>
                          </w:rPr>
                        </w:pPr>
                        <w:r>
                          <w:rPr>
                            <w:sz w:val="16"/>
                          </w:rPr>
                          <w:t>77</w:t>
                        </w:r>
                      </w:p>
                    </w:tc>
                    <w:tc>
                      <w:tcPr>
                        <w:tcW w:w="1050" w:type="dxa"/>
                        <w:tcBorders>
                          <w:bottom w:val="nil"/>
                        </w:tcBorders>
                      </w:tcPr>
                      <w:p>
                        <w:pPr>
                          <w:pStyle w:val="TableParagraph"/>
                          <w:spacing w:line="171" w:lineRule="exact"/>
                          <w:ind w:left="100"/>
                          <w:rPr>
                            <w:sz w:val="16"/>
                          </w:rPr>
                        </w:pPr>
                        <w:r>
                          <w:rPr>
                            <w:w w:val="99"/>
                            <w:sz w:val="16"/>
                          </w:rPr>
                          <w:t>0</w:t>
                        </w:r>
                      </w:p>
                    </w:tc>
                    <w:tc>
                      <w:tcPr>
                        <w:tcW w:w="1193" w:type="dxa"/>
                        <w:tcBorders>
                          <w:bottom w:val="nil"/>
                          <w:right w:val="nil"/>
                        </w:tcBorders>
                      </w:tcPr>
                      <w:p>
                        <w:pPr>
                          <w:pStyle w:val="TableParagraph"/>
                          <w:spacing w:line="171" w:lineRule="exact"/>
                          <w:ind w:left="100"/>
                          <w:rPr>
                            <w:sz w:val="16"/>
                          </w:rPr>
                        </w:pPr>
                        <w:r>
                          <w:rPr>
                            <w:w w:val="99"/>
                            <w:sz w:val="16"/>
                          </w:rPr>
                          <w:t>6</w:t>
                        </w:r>
                      </w:p>
                    </w:tc>
                  </w:tr>
                  <w:tr>
                    <w:trPr>
                      <w:trHeight w:val="185" w:hRule="exact"/>
                    </w:trPr>
                    <w:tc>
                      <w:tcPr>
                        <w:tcW w:w="2084" w:type="dxa"/>
                        <w:tcBorders>
                          <w:top w:val="nil"/>
                          <w:left w:val="nil"/>
                          <w:bottom w:val="nil"/>
                        </w:tcBorders>
                      </w:tcPr>
                      <w:p>
                        <w:pPr/>
                      </w:p>
                    </w:tc>
                    <w:tc>
                      <w:tcPr>
                        <w:tcW w:w="2169" w:type="dxa"/>
                        <w:vMerge/>
                      </w:tcPr>
                      <w:p>
                        <w:pPr/>
                      </w:p>
                    </w:tc>
                    <w:tc>
                      <w:tcPr>
                        <w:tcW w:w="1150" w:type="dxa"/>
                        <w:tcBorders>
                          <w:top w:val="nil"/>
                          <w:bottom w:val="nil"/>
                        </w:tcBorders>
                      </w:tcPr>
                      <w:p>
                        <w:pPr>
                          <w:pStyle w:val="TableParagraph"/>
                          <w:tabs>
                            <w:tab w:pos="1129" w:val="left" w:leader="none"/>
                          </w:tabs>
                          <w:ind w:left="25"/>
                          <w:rPr>
                            <w:sz w:val="16"/>
                          </w:rPr>
                        </w:pPr>
                        <w:r>
                          <w:rPr>
                            <w:w w:val="100"/>
                            <w:sz w:val="16"/>
                            <w:u w:val="dotted" w:color="929292"/>
                          </w:rPr>
                          <w:t> </w:t>
                        </w:r>
                        <w:r>
                          <w:rPr>
                            <w:sz w:val="16"/>
                            <w:u w:val="dotted" w:color="929292"/>
                          </w:rPr>
                          <w:tab/>
                        </w:r>
                      </w:p>
                    </w:tc>
                    <w:tc>
                      <w:tcPr>
                        <w:tcW w:w="1050" w:type="dxa"/>
                        <w:tcBorders>
                          <w:top w:val="nil"/>
                          <w:bottom w:val="nil"/>
                        </w:tcBorders>
                      </w:tcPr>
                      <w:p>
                        <w:pPr>
                          <w:pStyle w:val="TableParagraph"/>
                          <w:tabs>
                            <w:tab w:pos="1029" w:val="left" w:leader="none"/>
                          </w:tabs>
                          <w:ind w:left="25"/>
                          <w:rPr>
                            <w:sz w:val="16"/>
                          </w:rPr>
                        </w:pPr>
                        <w:r>
                          <w:rPr>
                            <w:w w:val="100"/>
                            <w:sz w:val="16"/>
                            <w:u w:val="dotted" w:color="929292"/>
                          </w:rPr>
                          <w:t> </w:t>
                        </w:r>
                        <w:r>
                          <w:rPr>
                            <w:sz w:val="16"/>
                            <w:u w:val="dotted" w:color="929292"/>
                          </w:rPr>
                          <w:tab/>
                        </w:r>
                      </w:p>
                    </w:tc>
                    <w:tc>
                      <w:tcPr>
                        <w:tcW w:w="1193" w:type="dxa"/>
                        <w:tcBorders>
                          <w:top w:val="nil"/>
                          <w:bottom w:val="nil"/>
                          <w:right w:val="nil"/>
                        </w:tcBorders>
                      </w:tcPr>
                      <w:p>
                        <w:pPr>
                          <w:pStyle w:val="TableParagraph"/>
                          <w:tabs>
                            <w:tab w:pos="1187" w:val="left" w:leader="none"/>
                          </w:tabs>
                          <w:ind w:left="25"/>
                          <w:rPr>
                            <w:sz w:val="16"/>
                          </w:rPr>
                        </w:pPr>
                        <w:r>
                          <w:rPr>
                            <w:w w:val="100"/>
                            <w:sz w:val="16"/>
                            <w:u w:val="dotted" w:color="929292"/>
                          </w:rPr>
                          <w:t> </w:t>
                        </w:r>
                        <w:r>
                          <w:rPr>
                            <w:sz w:val="16"/>
                            <w:u w:val="dotted" w:color="929292"/>
                          </w:rPr>
                          <w:tab/>
                        </w:r>
                      </w:p>
                    </w:tc>
                  </w:tr>
                  <w:tr>
                    <w:trPr>
                      <w:trHeight w:val="294" w:hRule="exact"/>
                    </w:trPr>
                    <w:tc>
                      <w:tcPr>
                        <w:tcW w:w="2084" w:type="dxa"/>
                        <w:tcBorders>
                          <w:top w:val="nil"/>
                          <w:left w:val="nil"/>
                          <w:bottom w:val="nil"/>
                        </w:tcBorders>
                      </w:tcPr>
                      <w:p>
                        <w:pPr/>
                      </w:p>
                    </w:tc>
                    <w:tc>
                      <w:tcPr>
                        <w:tcW w:w="2169" w:type="dxa"/>
                        <w:vMerge/>
                      </w:tcPr>
                      <w:p>
                        <w:pPr/>
                      </w:p>
                    </w:tc>
                    <w:tc>
                      <w:tcPr>
                        <w:tcW w:w="1150" w:type="dxa"/>
                        <w:tcBorders>
                          <w:top w:val="nil"/>
                        </w:tcBorders>
                      </w:tcPr>
                      <w:p>
                        <w:pPr>
                          <w:pStyle w:val="TableParagraph"/>
                          <w:spacing w:line="170" w:lineRule="exact"/>
                          <w:ind w:left="100"/>
                          <w:rPr>
                            <w:sz w:val="16"/>
                          </w:rPr>
                        </w:pPr>
                        <w:r>
                          <w:rPr>
                            <w:sz w:val="16"/>
                          </w:rPr>
                          <w:t>154</w:t>
                        </w:r>
                      </w:p>
                    </w:tc>
                    <w:tc>
                      <w:tcPr>
                        <w:tcW w:w="1050" w:type="dxa"/>
                        <w:tcBorders>
                          <w:top w:val="nil"/>
                        </w:tcBorders>
                      </w:tcPr>
                      <w:p>
                        <w:pPr>
                          <w:pStyle w:val="TableParagraph"/>
                          <w:spacing w:line="170" w:lineRule="exact"/>
                          <w:ind w:left="100"/>
                          <w:rPr>
                            <w:sz w:val="16"/>
                          </w:rPr>
                        </w:pPr>
                        <w:r>
                          <w:rPr>
                            <w:w w:val="99"/>
                            <w:sz w:val="16"/>
                          </w:rPr>
                          <w:t>0</w:t>
                        </w:r>
                      </w:p>
                    </w:tc>
                    <w:tc>
                      <w:tcPr>
                        <w:tcW w:w="1193" w:type="dxa"/>
                        <w:tcBorders>
                          <w:top w:val="nil"/>
                          <w:right w:val="nil"/>
                        </w:tcBorders>
                      </w:tcPr>
                      <w:p>
                        <w:pPr>
                          <w:pStyle w:val="TableParagraph"/>
                          <w:spacing w:line="170" w:lineRule="exact"/>
                          <w:ind w:left="100"/>
                          <w:rPr>
                            <w:sz w:val="16"/>
                          </w:rPr>
                        </w:pPr>
                        <w:r>
                          <w:rPr>
                            <w:w w:val="99"/>
                            <w:sz w:val="16"/>
                          </w:rPr>
                          <w:t>2</w:t>
                        </w:r>
                      </w:p>
                    </w:tc>
                  </w:tr>
                  <w:tr>
                    <w:trPr>
                      <w:trHeight w:val="300" w:hRule="exact"/>
                    </w:trPr>
                    <w:tc>
                      <w:tcPr>
                        <w:tcW w:w="2084" w:type="dxa"/>
                        <w:tcBorders>
                          <w:top w:val="nil"/>
                          <w:left w:val="nil"/>
                          <w:bottom w:val="nil"/>
                        </w:tcBorders>
                      </w:tcPr>
                      <w:p>
                        <w:pPr/>
                      </w:p>
                    </w:tc>
                    <w:tc>
                      <w:tcPr>
                        <w:tcW w:w="2169" w:type="dxa"/>
                      </w:tcPr>
                      <w:p>
                        <w:pPr>
                          <w:pStyle w:val="TableParagraph"/>
                          <w:spacing w:line="171" w:lineRule="exact"/>
                          <w:ind w:left="100"/>
                          <w:rPr>
                            <w:sz w:val="16"/>
                          </w:rPr>
                        </w:pPr>
                        <w:r>
                          <w:rPr>
                            <w:sz w:val="16"/>
                          </w:rPr>
                          <w:t>Colonia La Constitución</w:t>
                        </w:r>
                      </w:p>
                    </w:tc>
                    <w:tc>
                      <w:tcPr>
                        <w:tcW w:w="1150" w:type="dxa"/>
                      </w:tcPr>
                      <w:p>
                        <w:pPr>
                          <w:pStyle w:val="TableParagraph"/>
                          <w:spacing w:line="171" w:lineRule="exact"/>
                          <w:ind w:left="100"/>
                          <w:rPr>
                            <w:sz w:val="16"/>
                          </w:rPr>
                        </w:pPr>
                        <w:r>
                          <w:rPr>
                            <w:w w:val="99"/>
                            <w:sz w:val="16"/>
                          </w:rPr>
                          <w:t>6</w:t>
                        </w:r>
                      </w:p>
                    </w:tc>
                    <w:tc>
                      <w:tcPr>
                        <w:tcW w:w="1050" w:type="dxa"/>
                      </w:tcPr>
                      <w:p>
                        <w:pPr>
                          <w:pStyle w:val="TableParagraph"/>
                          <w:spacing w:line="171" w:lineRule="exact"/>
                          <w:ind w:left="99"/>
                          <w:rPr>
                            <w:sz w:val="16"/>
                          </w:rPr>
                        </w:pPr>
                        <w:r>
                          <w:rPr>
                            <w:w w:val="99"/>
                            <w:sz w:val="16"/>
                          </w:rPr>
                          <w:t>0</w:t>
                        </w:r>
                      </w:p>
                    </w:tc>
                    <w:tc>
                      <w:tcPr>
                        <w:tcW w:w="1193" w:type="dxa"/>
                        <w:tcBorders>
                          <w:right w:val="nil"/>
                        </w:tcBorders>
                      </w:tcPr>
                      <w:p>
                        <w:pPr>
                          <w:pStyle w:val="TableParagraph"/>
                          <w:spacing w:line="171" w:lineRule="exact"/>
                          <w:ind w:left="99"/>
                          <w:rPr>
                            <w:sz w:val="16"/>
                          </w:rPr>
                        </w:pPr>
                        <w:r>
                          <w:rPr>
                            <w:w w:val="99"/>
                            <w:sz w:val="16"/>
                          </w:rPr>
                          <w:t>1</w:t>
                        </w:r>
                      </w:p>
                    </w:tc>
                  </w:tr>
                  <w:tr>
                    <w:trPr>
                      <w:trHeight w:val="300" w:hRule="exact"/>
                    </w:trPr>
                    <w:tc>
                      <w:tcPr>
                        <w:tcW w:w="2084" w:type="dxa"/>
                        <w:tcBorders>
                          <w:top w:val="nil"/>
                          <w:left w:val="nil"/>
                        </w:tcBorders>
                      </w:tcPr>
                      <w:p>
                        <w:pPr/>
                      </w:p>
                    </w:tc>
                    <w:tc>
                      <w:tcPr>
                        <w:tcW w:w="2169" w:type="dxa"/>
                      </w:tcPr>
                      <w:p>
                        <w:pPr>
                          <w:pStyle w:val="TableParagraph"/>
                          <w:spacing w:line="171" w:lineRule="exact"/>
                          <w:ind w:left="99"/>
                          <w:rPr>
                            <w:sz w:val="16"/>
                          </w:rPr>
                        </w:pPr>
                        <w:r>
                          <w:rPr>
                            <w:sz w:val="16"/>
                          </w:rPr>
                          <w:t>Carretera México Toluca</w:t>
                        </w:r>
                      </w:p>
                    </w:tc>
                    <w:tc>
                      <w:tcPr>
                        <w:tcW w:w="1150" w:type="dxa"/>
                      </w:tcPr>
                      <w:p>
                        <w:pPr>
                          <w:pStyle w:val="TableParagraph"/>
                          <w:spacing w:line="171" w:lineRule="exact"/>
                          <w:ind w:left="99"/>
                          <w:rPr>
                            <w:sz w:val="16"/>
                          </w:rPr>
                        </w:pPr>
                        <w:r>
                          <w:rPr>
                            <w:sz w:val="16"/>
                          </w:rPr>
                          <w:t>15</w:t>
                        </w:r>
                      </w:p>
                    </w:tc>
                    <w:tc>
                      <w:tcPr>
                        <w:tcW w:w="1050" w:type="dxa"/>
                      </w:tcPr>
                      <w:p>
                        <w:pPr>
                          <w:pStyle w:val="TableParagraph"/>
                          <w:spacing w:line="171" w:lineRule="exact"/>
                          <w:ind w:left="99"/>
                          <w:rPr>
                            <w:sz w:val="16"/>
                          </w:rPr>
                        </w:pPr>
                        <w:r>
                          <w:rPr>
                            <w:sz w:val="16"/>
                          </w:rPr>
                          <w:t>15</w:t>
                        </w:r>
                      </w:p>
                    </w:tc>
                    <w:tc>
                      <w:tcPr>
                        <w:tcW w:w="1193" w:type="dxa"/>
                        <w:tcBorders>
                          <w:right w:val="nil"/>
                        </w:tcBorders>
                      </w:tcPr>
                      <w:p>
                        <w:pPr>
                          <w:pStyle w:val="TableParagraph"/>
                          <w:spacing w:line="171" w:lineRule="exact"/>
                          <w:ind w:left="99"/>
                          <w:rPr>
                            <w:sz w:val="16"/>
                          </w:rPr>
                        </w:pPr>
                        <w:r>
                          <w:rPr>
                            <w:w w:val="99"/>
                            <w:sz w:val="16"/>
                          </w:rPr>
                          <w:t>3</w:t>
                        </w:r>
                      </w:p>
                    </w:tc>
                  </w:tr>
                  <w:tr>
                    <w:trPr>
                      <w:trHeight w:val="300" w:hRule="exact"/>
                    </w:trPr>
                    <w:tc>
                      <w:tcPr>
                        <w:tcW w:w="2084" w:type="dxa"/>
                        <w:vMerge w:val="restart"/>
                        <w:tcBorders>
                          <w:left w:val="nil"/>
                        </w:tcBorders>
                      </w:tcPr>
                      <w:p>
                        <w:pPr>
                          <w:pStyle w:val="TableParagraph"/>
                          <w:spacing w:line="171" w:lineRule="exact"/>
                          <w:ind w:left="69"/>
                          <w:rPr>
                            <w:sz w:val="16"/>
                          </w:rPr>
                        </w:pPr>
                        <w:r>
                          <w:rPr>
                            <w:sz w:val="16"/>
                          </w:rPr>
                          <w:t>Universidad</w:t>
                        </w:r>
                      </w:p>
                    </w:tc>
                    <w:tc>
                      <w:tcPr>
                        <w:tcW w:w="2169" w:type="dxa"/>
                      </w:tcPr>
                      <w:p>
                        <w:pPr>
                          <w:pStyle w:val="TableParagraph"/>
                          <w:spacing w:line="171" w:lineRule="exact"/>
                          <w:ind w:left="99"/>
                          <w:rPr>
                            <w:sz w:val="16"/>
                          </w:rPr>
                        </w:pPr>
                        <w:r>
                          <w:rPr>
                            <w:sz w:val="16"/>
                          </w:rPr>
                          <w:t>Colonia Américas</w:t>
                        </w:r>
                      </w:p>
                    </w:tc>
                    <w:tc>
                      <w:tcPr>
                        <w:tcW w:w="1150" w:type="dxa"/>
                      </w:tcPr>
                      <w:p>
                        <w:pPr>
                          <w:pStyle w:val="TableParagraph"/>
                          <w:spacing w:line="171" w:lineRule="exact"/>
                          <w:ind w:left="99"/>
                          <w:rPr>
                            <w:sz w:val="16"/>
                          </w:rPr>
                        </w:pPr>
                        <w:r>
                          <w:rPr>
                            <w:w w:val="99"/>
                            <w:sz w:val="16"/>
                          </w:rPr>
                          <w:t>3</w:t>
                        </w:r>
                      </w:p>
                    </w:tc>
                    <w:tc>
                      <w:tcPr>
                        <w:tcW w:w="1050" w:type="dxa"/>
                      </w:tcPr>
                      <w:p>
                        <w:pPr>
                          <w:pStyle w:val="TableParagraph"/>
                          <w:spacing w:line="171" w:lineRule="exact"/>
                          <w:ind w:left="99"/>
                          <w:rPr>
                            <w:sz w:val="16"/>
                          </w:rPr>
                        </w:pPr>
                        <w:r>
                          <w:rPr>
                            <w:w w:val="99"/>
                            <w:sz w:val="16"/>
                          </w:rPr>
                          <w:t>2</w:t>
                        </w:r>
                      </w:p>
                    </w:tc>
                    <w:tc>
                      <w:tcPr>
                        <w:tcW w:w="1193" w:type="dxa"/>
                        <w:tcBorders>
                          <w:right w:val="nil"/>
                        </w:tcBorders>
                      </w:tcPr>
                      <w:p>
                        <w:pPr>
                          <w:pStyle w:val="TableParagraph"/>
                          <w:spacing w:line="171" w:lineRule="exact"/>
                          <w:ind w:left="99"/>
                          <w:rPr>
                            <w:sz w:val="16"/>
                          </w:rPr>
                        </w:pPr>
                        <w:r>
                          <w:rPr>
                            <w:w w:val="99"/>
                            <w:sz w:val="16"/>
                          </w:rPr>
                          <w:t>2</w:t>
                        </w:r>
                      </w:p>
                    </w:tc>
                  </w:tr>
                  <w:tr>
                    <w:trPr>
                      <w:trHeight w:val="300" w:hRule="exact"/>
                    </w:trPr>
                    <w:tc>
                      <w:tcPr>
                        <w:tcW w:w="2084" w:type="dxa"/>
                        <w:vMerge/>
                        <w:tcBorders>
                          <w:left w:val="nil"/>
                        </w:tcBorders>
                      </w:tcPr>
                      <w:p>
                        <w:pPr/>
                      </w:p>
                    </w:tc>
                    <w:tc>
                      <w:tcPr>
                        <w:tcW w:w="2169" w:type="dxa"/>
                      </w:tcPr>
                      <w:p>
                        <w:pPr>
                          <w:pStyle w:val="TableParagraph"/>
                          <w:spacing w:line="171" w:lineRule="exact"/>
                          <w:ind w:left="99"/>
                          <w:rPr>
                            <w:sz w:val="16"/>
                          </w:rPr>
                        </w:pPr>
                        <w:r>
                          <w:rPr>
                            <w:sz w:val="16"/>
                          </w:rPr>
                          <w:t>Colonia Valle Verde</w:t>
                        </w:r>
                      </w:p>
                    </w:tc>
                    <w:tc>
                      <w:tcPr>
                        <w:tcW w:w="1150" w:type="dxa"/>
                      </w:tcPr>
                      <w:p>
                        <w:pPr>
                          <w:pStyle w:val="TableParagraph"/>
                          <w:spacing w:line="171" w:lineRule="exact"/>
                          <w:ind w:left="99"/>
                          <w:rPr>
                            <w:sz w:val="16"/>
                          </w:rPr>
                        </w:pPr>
                        <w:r>
                          <w:rPr>
                            <w:w w:val="99"/>
                            <w:sz w:val="16"/>
                          </w:rPr>
                          <w:t>0</w:t>
                        </w:r>
                      </w:p>
                    </w:tc>
                    <w:tc>
                      <w:tcPr>
                        <w:tcW w:w="1050" w:type="dxa"/>
                      </w:tcPr>
                      <w:p>
                        <w:pPr>
                          <w:pStyle w:val="TableParagraph"/>
                          <w:spacing w:line="171" w:lineRule="exact"/>
                          <w:ind w:left="99"/>
                          <w:rPr>
                            <w:sz w:val="16"/>
                          </w:rPr>
                        </w:pPr>
                        <w:r>
                          <w:rPr>
                            <w:w w:val="99"/>
                            <w:sz w:val="16"/>
                          </w:rPr>
                          <w:t>0</w:t>
                        </w:r>
                      </w:p>
                    </w:tc>
                    <w:tc>
                      <w:tcPr>
                        <w:tcW w:w="1193" w:type="dxa"/>
                        <w:tcBorders>
                          <w:right w:val="nil"/>
                        </w:tcBorders>
                      </w:tcPr>
                      <w:p>
                        <w:pPr>
                          <w:pStyle w:val="TableParagraph"/>
                          <w:spacing w:line="171" w:lineRule="exact"/>
                          <w:ind w:left="99"/>
                          <w:rPr>
                            <w:sz w:val="16"/>
                          </w:rPr>
                        </w:pPr>
                        <w:r>
                          <w:rPr>
                            <w:w w:val="99"/>
                            <w:sz w:val="16"/>
                          </w:rPr>
                          <w:t>1</w:t>
                        </w:r>
                      </w:p>
                    </w:tc>
                  </w:tr>
                  <w:tr>
                    <w:trPr>
                      <w:trHeight w:val="300" w:hRule="exact"/>
                    </w:trPr>
                    <w:tc>
                      <w:tcPr>
                        <w:tcW w:w="2084" w:type="dxa"/>
                        <w:vMerge/>
                        <w:tcBorders>
                          <w:left w:val="nil"/>
                        </w:tcBorders>
                      </w:tcPr>
                      <w:p>
                        <w:pPr/>
                      </w:p>
                    </w:tc>
                    <w:tc>
                      <w:tcPr>
                        <w:tcW w:w="2169" w:type="dxa"/>
                      </w:tcPr>
                      <w:p>
                        <w:pPr>
                          <w:pStyle w:val="TableParagraph"/>
                          <w:spacing w:line="171" w:lineRule="exact"/>
                          <w:ind w:left="99"/>
                          <w:rPr>
                            <w:sz w:val="16"/>
                          </w:rPr>
                        </w:pPr>
                        <w:r>
                          <w:rPr>
                            <w:sz w:val="16"/>
                          </w:rPr>
                          <w:t>Colonia Universidad</w:t>
                        </w:r>
                      </w:p>
                    </w:tc>
                    <w:tc>
                      <w:tcPr>
                        <w:tcW w:w="1150" w:type="dxa"/>
                      </w:tcPr>
                      <w:p>
                        <w:pPr>
                          <w:pStyle w:val="TableParagraph"/>
                          <w:spacing w:line="171" w:lineRule="exact"/>
                          <w:ind w:left="99"/>
                          <w:rPr>
                            <w:sz w:val="16"/>
                          </w:rPr>
                        </w:pPr>
                        <w:r>
                          <w:rPr>
                            <w:w w:val="99"/>
                            <w:sz w:val="16"/>
                          </w:rPr>
                          <w:t>1</w:t>
                        </w:r>
                      </w:p>
                    </w:tc>
                    <w:tc>
                      <w:tcPr>
                        <w:tcW w:w="1050" w:type="dxa"/>
                      </w:tcPr>
                      <w:p>
                        <w:pPr>
                          <w:pStyle w:val="TableParagraph"/>
                          <w:spacing w:line="171" w:lineRule="exact"/>
                          <w:ind w:left="99"/>
                          <w:rPr>
                            <w:sz w:val="16"/>
                          </w:rPr>
                        </w:pPr>
                        <w:r>
                          <w:rPr>
                            <w:w w:val="99"/>
                            <w:sz w:val="16"/>
                          </w:rPr>
                          <w:t>1</w:t>
                        </w:r>
                      </w:p>
                    </w:tc>
                    <w:tc>
                      <w:tcPr>
                        <w:tcW w:w="1193" w:type="dxa"/>
                        <w:tcBorders>
                          <w:right w:val="nil"/>
                        </w:tcBorders>
                      </w:tcPr>
                      <w:p>
                        <w:pPr>
                          <w:pStyle w:val="TableParagraph"/>
                          <w:spacing w:line="171" w:lineRule="exact"/>
                          <w:ind w:left="99"/>
                          <w:rPr>
                            <w:sz w:val="16"/>
                          </w:rPr>
                        </w:pPr>
                        <w:r>
                          <w:rPr>
                            <w:w w:val="99"/>
                            <w:sz w:val="16"/>
                          </w:rPr>
                          <w:t>6</w:t>
                        </w:r>
                      </w:p>
                    </w:tc>
                  </w:tr>
                  <w:tr>
                    <w:trPr>
                      <w:trHeight w:val="300" w:hRule="exact"/>
                    </w:trPr>
                    <w:tc>
                      <w:tcPr>
                        <w:tcW w:w="2084" w:type="dxa"/>
                        <w:vMerge w:val="restart"/>
                        <w:tcBorders>
                          <w:left w:val="nil"/>
                        </w:tcBorders>
                      </w:tcPr>
                      <w:p>
                        <w:pPr>
                          <w:pStyle w:val="TableParagraph"/>
                          <w:spacing w:line="171" w:lineRule="exact"/>
                          <w:ind w:left="68"/>
                          <w:rPr>
                            <w:sz w:val="16"/>
                          </w:rPr>
                        </w:pPr>
                        <w:r>
                          <w:rPr>
                            <w:sz w:val="16"/>
                          </w:rPr>
                          <w:t>Independencia</w:t>
                        </w:r>
                      </w:p>
                    </w:tc>
                    <w:tc>
                      <w:tcPr>
                        <w:tcW w:w="2169" w:type="dxa"/>
                      </w:tcPr>
                      <w:p>
                        <w:pPr>
                          <w:pStyle w:val="TableParagraph"/>
                          <w:spacing w:line="171" w:lineRule="exact"/>
                          <w:ind w:left="99"/>
                          <w:rPr>
                            <w:sz w:val="16"/>
                          </w:rPr>
                        </w:pPr>
                        <w:r>
                          <w:rPr>
                            <w:sz w:val="16"/>
                          </w:rPr>
                          <w:t>Puerta Tolotzin</w:t>
                        </w:r>
                      </w:p>
                    </w:tc>
                    <w:tc>
                      <w:tcPr>
                        <w:tcW w:w="1150" w:type="dxa"/>
                      </w:tcPr>
                      <w:p>
                        <w:pPr>
                          <w:pStyle w:val="TableParagraph"/>
                          <w:spacing w:line="171" w:lineRule="exact"/>
                          <w:ind w:left="99"/>
                          <w:rPr>
                            <w:sz w:val="16"/>
                          </w:rPr>
                        </w:pPr>
                        <w:r>
                          <w:rPr>
                            <w:w w:val="99"/>
                            <w:sz w:val="16"/>
                          </w:rPr>
                          <w:t>0</w:t>
                        </w:r>
                      </w:p>
                    </w:tc>
                    <w:tc>
                      <w:tcPr>
                        <w:tcW w:w="1050" w:type="dxa"/>
                      </w:tcPr>
                      <w:p>
                        <w:pPr>
                          <w:pStyle w:val="TableParagraph"/>
                          <w:spacing w:line="171" w:lineRule="exact"/>
                          <w:ind w:left="99"/>
                          <w:rPr>
                            <w:sz w:val="16"/>
                          </w:rPr>
                        </w:pPr>
                        <w:r>
                          <w:rPr>
                            <w:w w:val="99"/>
                            <w:sz w:val="16"/>
                          </w:rPr>
                          <w:t>0</w:t>
                        </w:r>
                      </w:p>
                    </w:tc>
                    <w:tc>
                      <w:tcPr>
                        <w:tcW w:w="1193" w:type="dxa"/>
                        <w:tcBorders>
                          <w:right w:val="nil"/>
                        </w:tcBorders>
                      </w:tcPr>
                      <w:p>
                        <w:pPr>
                          <w:pStyle w:val="TableParagraph"/>
                          <w:spacing w:line="171" w:lineRule="exact"/>
                          <w:ind w:left="99"/>
                          <w:rPr>
                            <w:sz w:val="16"/>
                          </w:rPr>
                        </w:pPr>
                        <w:r>
                          <w:rPr>
                            <w:w w:val="99"/>
                            <w:sz w:val="16"/>
                          </w:rPr>
                          <w:t>5</w:t>
                        </w:r>
                      </w:p>
                    </w:tc>
                  </w:tr>
                  <w:tr>
                    <w:trPr>
                      <w:trHeight w:val="300" w:hRule="exact"/>
                    </w:trPr>
                    <w:tc>
                      <w:tcPr>
                        <w:tcW w:w="2084" w:type="dxa"/>
                        <w:vMerge/>
                        <w:tcBorders>
                          <w:left w:val="nil"/>
                        </w:tcBorders>
                      </w:tcPr>
                      <w:p>
                        <w:pPr/>
                      </w:p>
                    </w:tc>
                    <w:tc>
                      <w:tcPr>
                        <w:tcW w:w="2169" w:type="dxa"/>
                      </w:tcPr>
                      <w:p>
                        <w:pPr>
                          <w:pStyle w:val="TableParagraph"/>
                          <w:spacing w:line="171" w:lineRule="exact"/>
                          <w:ind w:left="99"/>
                          <w:rPr>
                            <w:sz w:val="16"/>
                          </w:rPr>
                        </w:pPr>
                        <w:r>
                          <w:rPr>
                            <w:sz w:val="16"/>
                          </w:rPr>
                          <w:t>Colonia Independencia</w:t>
                        </w:r>
                      </w:p>
                    </w:tc>
                    <w:tc>
                      <w:tcPr>
                        <w:tcW w:w="1150" w:type="dxa"/>
                      </w:tcPr>
                      <w:p>
                        <w:pPr>
                          <w:pStyle w:val="TableParagraph"/>
                          <w:spacing w:line="171" w:lineRule="exact"/>
                          <w:ind w:left="99"/>
                          <w:rPr>
                            <w:sz w:val="16"/>
                          </w:rPr>
                        </w:pPr>
                        <w:r>
                          <w:rPr>
                            <w:sz w:val="16"/>
                          </w:rPr>
                          <w:t>82</w:t>
                        </w:r>
                      </w:p>
                    </w:tc>
                    <w:tc>
                      <w:tcPr>
                        <w:tcW w:w="1050" w:type="dxa"/>
                      </w:tcPr>
                      <w:p>
                        <w:pPr>
                          <w:pStyle w:val="TableParagraph"/>
                          <w:spacing w:line="171" w:lineRule="exact"/>
                          <w:ind w:left="98"/>
                          <w:rPr>
                            <w:sz w:val="16"/>
                          </w:rPr>
                        </w:pPr>
                        <w:r>
                          <w:rPr>
                            <w:w w:val="99"/>
                            <w:sz w:val="16"/>
                          </w:rPr>
                          <w:t>3</w:t>
                        </w:r>
                      </w:p>
                    </w:tc>
                    <w:tc>
                      <w:tcPr>
                        <w:tcW w:w="1193" w:type="dxa"/>
                        <w:tcBorders>
                          <w:right w:val="nil"/>
                        </w:tcBorders>
                      </w:tcPr>
                      <w:p>
                        <w:pPr>
                          <w:pStyle w:val="TableParagraph"/>
                          <w:spacing w:line="171" w:lineRule="exact"/>
                          <w:ind w:left="98"/>
                          <w:rPr>
                            <w:sz w:val="16"/>
                          </w:rPr>
                        </w:pPr>
                        <w:r>
                          <w:rPr>
                            <w:w w:val="99"/>
                            <w:sz w:val="16"/>
                          </w:rPr>
                          <w:t>5</w:t>
                        </w:r>
                      </w:p>
                    </w:tc>
                  </w:tr>
                  <w:tr>
                    <w:trPr>
                      <w:trHeight w:val="175" w:hRule="exact"/>
                    </w:trPr>
                    <w:tc>
                      <w:tcPr>
                        <w:tcW w:w="2084" w:type="dxa"/>
                        <w:vMerge/>
                        <w:tcBorders>
                          <w:left w:val="nil"/>
                        </w:tcBorders>
                      </w:tcPr>
                      <w:p>
                        <w:pPr/>
                      </w:p>
                    </w:tc>
                    <w:tc>
                      <w:tcPr>
                        <w:tcW w:w="2169" w:type="dxa"/>
                        <w:tcBorders>
                          <w:bottom w:val="nil"/>
                        </w:tcBorders>
                      </w:tcPr>
                      <w:p>
                        <w:pPr>
                          <w:pStyle w:val="TableParagraph"/>
                          <w:spacing w:line="171" w:lineRule="exact"/>
                          <w:ind w:left="98"/>
                          <w:rPr>
                            <w:sz w:val="16"/>
                          </w:rPr>
                        </w:pPr>
                        <w:r>
                          <w:rPr>
                            <w:sz w:val="16"/>
                          </w:rPr>
                          <w:t>Colonia Doctores</w:t>
                        </w:r>
                      </w:p>
                    </w:tc>
                    <w:tc>
                      <w:tcPr>
                        <w:tcW w:w="1150" w:type="dxa"/>
                        <w:tcBorders>
                          <w:bottom w:val="nil"/>
                        </w:tcBorders>
                      </w:tcPr>
                      <w:p>
                        <w:pPr>
                          <w:pStyle w:val="TableParagraph"/>
                          <w:spacing w:line="171" w:lineRule="exact"/>
                          <w:ind w:left="98"/>
                          <w:rPr>
                            <w:sz w:val="16"/>
                          </w:rPr>
                        </w:pPr>
                        <w:r>
                          <w:rPr>
                            <w:sz w:val="16"/>
                          </w:rPr>
                          <w:t>18</w:t>
                        </w:r>
                      </w:p>
                    </w:tc>
                    <w:tc>
                      <w:tcPr>
                        <w:tcW w:w="1050" w:type="dxa"/>
                        <w:tcBorders>
                          <w:bottom w:val="nil"/>
                        </w:tcBorders>
                      </w:tcPr>
                      <w:p>
                        <w:pPr>
                          <w:pStyle w:val="TableParagraph"/>
                          <w:spacing w:line="171" w:lineRule="exact"/>
                          <w:ind w:left="98"/>
                          <w:rPr>
                            <w:sz w:val="16"/>
                          </w:rPr>
                        </w:pPr>
                        <w:r>
                          <w:rPr>
                            <w:w w:val="99"/>
                            <w:sz w:val="16"/>
                          </w:rPr>
                          <w:t>0</w:t>
                        </w:r>
                      </w:p>
                    </w:tc>
                    <w:tc>
                      <w:tcPr>
                        <w:tcW w:w="1193" w:type="dxa"/>
                        <w:tcBorders>
                          <w:bottom w:val="nil"/>
                          <w:right w:val="nil"/>
                        </w:tcBorders>
                      </w:tcPr>
                      <w:p>
                        <w:pPr>
                          <w:pStyle w:val="TableParagraph"/>
                          <w:spacing w:line="171" w:lineRule="exact"/>
                          <w:ind w:left="98"/>
                          <w:rPr>
                            <w:sz w:val="16"/>
                          </w:rPr>
                        </w:pPr>
                        <w:r>
                          <w:rPr>
                            <w:w w:val="99"/>
                            <w:sz w:val="16"/>
                          </w:rPr>
                          <w:t>2</w:t>
                        </w:r>
                      </w:p>
                    </w:tc>
                  </w:tr>
                  <w:tr>
                    <w:trPr>
                      <w:trHeight w:val="125" w:hRule="exact"/>
                    </w:trPr>
                    <w:tc>
                      <w:tcPr>
                        <w:tcW w:w="2084" w:type="dxa"/>
                        <w:vMerge/>
                        <w:tcBorders>
                          <w:left w:val="nil"/>
                        </w:tcBorders>
                      </w:tcPr>
                      <w:p>
                        <w:pPr/>
                      </w:p>
                    </w:tc>
                    <w:tc>
                      <w:tcPr>
                        <w:tcW w:w="2169" w:type="dxa"/>
                        <w:tcBorders>
                          <w:top w:val="nil"/>
                        </w:tcBorders>
                      </w:tcPr>
                      <w:p>
                        <w:pPr/>
                      </w:p>
                    </w:tc>
                    <w:tc>
                      <w:tcPr>
                        <w:tcW w:w="1150" w:type="dxa"/>
                        <w:tcBorders>
                          <w:top w:val="nil"/>
                        </w:tcBorders>
                      </w:tcPr>
                      <w:p>
                        <w:pPr/>
                      </w:p>
                    </w:tc>
                    <w:tc>
                      <w:tcPr>
                        <w:tcW w:w="1050" w:type="dxa"/>
                        <w:tcBorders>
                          <w:top w:val="nil"/>
                        </w:tcBorders>
                      </w:tcPr>
                      <w:p>
                        <w:pPr/>
                      </w:p>
                    </w:tc>
                    <w:tc>
                      <w:tcPr>
                        <w:tcW w:w="1193" w:type="dxa"/>
                        <w:tcBorders>
                          <w:top w:val="nil"/>
                          <w:bottom w:val="nil"/>
                          <w:right w:val="nil"/>
                        </w:tcBorders>
                      </w:tcPr>
                      <w:p>
                        <w:pPr>
                          <w:pStyle w:val="TableParagraph"/>
                          <w:tabs>
                            <w:tab w:pos="1187" w:val="left" w:leader="none"/>
                          </w:tabs>
                          <w:spacing w:line="168" w:lineRule="exact"/>
                          <w:ind w:left="25"/>
                          <w:rPr>
                            <w:sz w:val="16"/>
                          </w:rPr>
                        </w:pPr>
                        <w:r>
                          <w:rPr>
                            <w:color w:val="6D6E71"/>
                            <w:w w:val="100"/>
                            <w:sz w:val="16"/>
                            <w:u w:val="dotted" w:color="929292"/>
                          </w:rPr>
                          <w:t> </w:t>
                        </w:r>
                        <w:r>
                          <w:rPr>
                            <w:color w:val="6D6E71"/>
                            <w:sz w:val="16"/>
                            <w:u w:val="dotted" w:color="929292"/>
                          </w:rPr>
                          <w:tab/>
                        </w:r>
                      </w:p>
                    </w:tc>
                  </w:tr>
                  <w:tr>
                    <w:trPr>
                      <w:trHeight w:val="25" w:hRule="exact"/>
                    </w:trPr>
                    <w:tc>
                      <w:tcPr>
                        <w:tcW w:w="2084" w:type="dxa"/>
                        <w:vMerge w:val="restart"/>
                        <w:tcBorders>
                          <w:left w:val="nil"/>
                        </w:tcBorders>
                      </w:tcPr>
                      <w:p>
                        <w:pPr>
                          <w:pStyle w:val="TableParagraph"/>
                          <w:spacing w:line="171" w:lineRule="exact"/>
                          <w:ind w:left="68"/>
                          <w:rPr>
                            <w:sz w:val="16"/>
                          </w:rPr>
                        </w:pPr>
                        <w:r>
                          <w:rPr>
                            <w:sz w:val="16"/>
                          </w:rPr>
                          <w:t>La Maquinita</w:t>
                        </w:r>
                      </w:p>
                    </w:tc>
                    <w:tc>
                      <w:tcPr>
                        <w:tcW w:w="2169" w:type="dxa"/>
                        <w:vMerge w:val="restart"/>
                      </w:tcPr>
                      <w:p>
                        <w:pPr>
                          <w:pStyle w:val="TableParagraph"/>
                          <w:spacing w:line="171" w:lineRule="exact"/>
                          <w:ind w:left="98"/>
                          <w:rPr>
                            <w:sz w:val="16"/>
                          </w:rPr>
                        </w:pPr>
                        <w:r>
                          <w:rPr>
                            <w:sz w:val="16"/>
                          </w:rPr>
                          <w:t>Glorieta a la Marina</w:t>
                        </w:r>
                      </w:p>
                    </w:tc>
                    <w:tc>
                      <w:tcPr>
                        <w:tcW w:w="1150" w:type="dxa"/>
                        <w:vMerge w:val="restart"/>
                      </w:tcPr>
                      <w:p>
                        <w:pPr>
                          <w:pStyle w:val="TableParagraph"/>
                          <w:spacing w:line="171" w:lineRule="exact"/>
                          <w:ind w:left="98"/>
                          <w:rPr>
                            <w:sz w:val="16"/>
                          </w:rPr>
                        </w:pPr>
                        <w:r>
                          <w:rPr>
                            <w:sz w:val="16"/>
                          </w:rPr>
                          <w:t>17</w:t>
                        </w:r>
                      </w:p>
                    </w:tc>
                    <w:tc>
                      <w:tcPr>
                        <w:tcW w:w="1050" w:type="dxa"/>
                        <w:vMerge w:val="restart"/>
                      </w:tcPr>
                      <w:p>
                        <w:pPr>
                          <w:pStyle w:val="TableParagraph"/>
                          <w:spacing w:line="171" w:lineRule="exact"/>
                          <w:ind w:left="98"/>
                          <w:rPr>
                            <w:sz w:val="16"/>
                          </w:rPr>
                        </w:pPr>
                        <w:r>
                          <w:rPr>
                            <w:sz w:val="16"/>
                          </w:rPr>
                          <w:t>12</w:t>
                        </w:r>
                      </w:p>
                    </w:tc>
                    <w:tc>
                      <w:tcPr>
                        <w:tcW w:w="1193" w:type="dxa"/>
                        <w:vMerge w:val="restart"/>
                        <w:tcBorders>
                          <w:top w:val="nil"/>
                          <w:right w:val="nil"/>
                        </w:tcBorders>
                      </w:tcPr>
                      <w:p>
                        <w:pPr>
                          <w:pStyle w:val="TableParagraph"/>
                          <w:spacing w:line="151" w:lineRule="exact"/>
                          <w:ind w:left="98"/>
                          <w:rPr>
                            <w:sz w:val="16"/>
                          </w:rPr>
                        </w:pPr>
                        <w:r>
                          <w:rPr>
                            <w:w w:val="99"/>
                            <w:sz w:val="16"/>
                          </w:rPr>
                          <w:t>5</w:t>
                        </w:r>
                      </w:p>
                    </w:tc>
                  </w:tr>
                  <w:tr>
                    <w:trPr>
                      <w:trHeight w:val="275" w:hRule="exact"/>
                    </w:trPr>
                    <w:tc>
                      <w:tcPr>
                        <w:tcW w:w="2084" w:type="dxa"/>
                        <w:vMerge/>
                        <w:tcBorders>
                          <w:left w:val="nil"/>
                        </w:tcBorders>
                      </w:tcPr>
                      <w:p>
                        <w:pPr/>
                      </w:p>
                    </w:tc>
                    <w:tc>
                      <w:tcPr>
                        <w:tcW w:w="2169" w:type="dxa"/>
                        <w:vMerge/>
                      </w:tcPr>
                      <w:p>
                        <w:pPr/>
                      </w:p>
                    </w:tc>
                    <w:tc>
                      <w:tcPr>
                        <w:tcW w:w="1150" w:type="dxa"/>
                        <w:vMerge/>
                      </w:tcPr>
                      <w:p>
                        <w:pPr/>
                      </w:p>
                    </w:tc>
                    <w:tc>
                      <w:tcPr>
                        <w:tcW w:w="1050" w:type="dxa"/>
                        <w:vMerge/>
                      </w:tcPr>
                      <w:p>
                        <w:pPr/>
                      </w:p>
                    </w:tc>
                    <w:tc>
                      <w:tcPr>
                        <w:tcW w:w="1193" w:type="dxa"/>
                        <w:vMerge/>
                        <w:tcBorders>
                          <w:right w:val="nil"/>
                        </w:tcBorders>
                      </w:tcPr>
                      <w:p>
                        <w:pPr/>
                      </w:p>
                    </w:tc>
                  </w:tr>
                  <w:tr>
                    <w:trPr>
                      <w:trHeight w:val="300" w:hRule="exact"/>
                    </w:trPr>
                    <w:tc>
                      <w:tcPr>
                        <w:tcW w:w="2084" w:type="dxa"/>
                        <w:vMerge/>
                        <w:tcBorders>
                          <w:left w:val="nil"/>
                        </w:tcBorders>
                      </w:tcPr>
                      <w:p>
                        <w:pPr/>
                      </w:p>
                    </w:tc>
                    <w:tc>
                      <w:tcPr>
                        <w:tcW w:w="2169" w:type="dxa"/>
                      </w:tcPr>
                      <w:p>
                        <w:pPr>
                          <w:pStyle w:val="TableParagraph"/>
                          <w:spacing w:line="171" w:lineRule="exact"/>
                          <w:ind w:left="98"/>
                          <w:rPr>
                            <w:sz w:val="16"/>
                          </w:rPr>
                        </w:pPr>
                        <w:r>
                          <w:rPr>
                            <w:sz w:val="16"/>
                          </w:rPr>
                          <w:t>Colonia 3 Caminos</w:t>
                        </w:r>
                      </w:p>
                    </w:tc>
                    <w:tc>
                      <w:tcPr>
                        <w:tcW w:w="1150" w:type="dxa"/>
                      </w:tcPr>
                      <w:p>
                        <w:pPr>
                          <w:pStyle w:val="TableParagraph"/>
                          <w:spacing w:line="171" w:lineRule="exact"/>
                          <w:ind w:left="98"/>
                          <w:rPr>
                            <w:sz w:val="16"/>
                          </w:rPr>
                        </w:pPr>
                        <w:r>
                          <w:rPr>
                            <w:w w:val="99"/>
                            <w:sz w:val="16"/>
                          </w:rPr>
                          <w:t>0</w:t>
                        </w:r>
                      </w:p>
                    </w:tc>
                    <w:tc>
                      <w:tcPr>
                        <w:tcW w:w="1050" w:type="dxa"/>
                      </w:tcPr>
                      <w:p>
                        <w:pPr>
                          <w:pStyle w:val="TableParagraph"/>
                          <w:spacing w:line="171" w:lineRule="exact"/>
                          <w:ind w:left="98"/>
                          <w:rPr>
                            <w:sz w:val="16"/>
                          </w:rPr>
                        </w:pPr>
                        <w:r>
                          <w:rPr>
                            <w:w w:val="99"/>
                            <w:sz w:val="16"/>
                          </w:rPr>
                          <w:t>1</w:t>
                        </w:r>
                      </w:p>
                    </w:tc>
                    <w:tc>
                      <w:tcPr>
                        <w:tcW w:w="1193" w:type="dxa"/>
                        <w:tcBorders>
                          <w:right w:val="nil"/>
                        </w:tcBorders>
                      </w:tcPr>
                      <w:p>
                        <w:pPr>
                          <w:pStyle w:val="TableParagraph"/>
                          <w:spacing w:line="171" w:lineRule="exact"/>
                          <w:ind w:left="98"/>
                          <w:rPr>
                            <w:sz w:val="16"/>
                          </w:rPr>
                        </w:pPr>
                        <w:r>
                          <w:rPr>
                            <w:w w:val="99"/>
                            <w:sz w:val="16"/>
                          </w:rPr>
                          <w:t>5</w:t>
                        </w:r>
                      </w:p>
                    </w:tc>
                  </w:tr>
                </w:tbl>
                <w:p>
                  <w:pPr>
                    <w:pStyle w:val="BodyText"/>
                  </w:pPr>
                </w:p>
              </w:txbxContent>
            </v:textbox>
            <w10:wrap type="none"/>
          </v:shape>
        </w:pict>
      </w:r>
      <w:r>
        <w:rPr/>
        <w:t>El conjunto de daños que posee mayor incidencia es generado por la industria,      las inundaciones y los procesos de remoción en masa. En la Tabla 8 se muestra         el concentrado general de daños y la Figura 3 exhibe solo el caso comparativo de viviendas</w:t>
      </w:r>
      <w:r>
        <w:rPr>
          <w:spacing w:val="10"/>
        </w:rPr>
        <w:t> </w:t>
      </w:r>
      <w:r>
        <w:rPr/>
        <w:t>afectadas.</w:t>
      </w:r>
    </w:p>
    <w:p>
      <w:pPr>
        <w:pStyle w:val="BodyText"/>
      </w:pPr>
    </w:p>
    <w:p>
      <w:pPr>
        <w:tabs>
          <w:tab w:pos="11972" w:val="left" w:leader="none"/>
          <w:tab w:pos="17247" w:val="left" w:leader="none"/>
        </w:tabs>
        <w:spacing w:before="116"/>
        <w:ind w:left="9541" w:right="0" w:firstLine="0"/>
        <w:jc w:val="left"/>
        <w:rPr>
          <w:sz w:val="16"/>
        </w:rPr>
      </w:pPr>
      <w:r>
        <w:rPr>
          <w:w w:val="100"/>
          <w:sz w:val="16"/>
          <w:shd w:fill="929292" w:color="auto" w:val="clear"/>
        </w:rPr>
        <w:t> </w:t>
      </w:r>
      <w:r>
        <w:rPr>
          <w:sz w:val="16"/>
          <w:shd w:fill="929292" w:color="auto" w:val="clear"/>
        </w:rPr>
        <w:tab/>
        <w:t>Afectaciones a la infraestructura</w:t>
      </w:r>
      <w:r>
        <w:rPr>
          <w:spacing w:val="16"/>
          <w:sz w:val="16"/>
          <w:shd w:fill="929292" w:color="auto" w:val="clear"/>
        </w:rPr>
        <w:t> </w:t>
      </w:r>
      <w:r>
        <w:rPr>
          <w:sz w:val="16"/>
          <w:shd w:fill="929292" w:color="auto" w:val="clear"/>
        </w:rPr>
        <w:t>urbana</w:t>
        <w:tab/>
      </w:r>
    </w:p>
    <w:p>
      <w:pPr>
        <w:tabs>
          <w:tab w:pos="12837" w:val="left" w:leader="none"/>
          <w:tab w:pos="15783" w:val="left" w:leader="none"/>
          <w:tab w:pos="17227" w:val="left" w:leader="none"/>
        </w:tabs>
        <w:spacing w:before="19"/>
        <w:ind w:left="9576" w:right="0" w:firstLine="0"/>
        <w:jc w:val="left"/>
        <w:rPr>
          <w:sz w:val="16"/>
        </w:rPr>
      </w:pPr>
      <w:r>
        <w:rPr/>
        <w:pict>
          <v:group style="position:absolute;margin-left:678.397705pt;margin-top:1.122518pt;width:.5pt;height:7.45pt;mso-position-horizontal-relative:page;mso-position-vertical-relative:paragraph;z-index:-647152" coordorigin="13568,22" coordsize="10,149">
            <v:line style="position:absolute" from="13573,166" to="13573,41" stroked="true" strokeweight=".5pt" strokecolor="#929292">
              <v:stroke dashstyle="dash"/>
            </v:line>
            <v:line style="position:absolute" from="13573,27" to="13573,27" stroked="true" strokeweight=".5pt" strokecolor="#929292"/>
            <w10:wrap type="none"/>
          </v:group>
        </w:pict>
      </w:r>
      <w:r>
        <w:rPr/>
        <w:pict>
          <v:shape style="position:absolute;margin-left:512.820984pt;margin-top:10.149219pt;width:386.1pt;height:34.7pt;mso-position-horizontal-relative:page;mso-position-vertical-relative:paragraph;z-index:5728" type="#_x0000_t202" filled="false" stroked="false">
            <v:textbox inset="0,0,0,0">
              <w:txbxContent>
                <w:tbl>
                  <w:tblPr>
                    <w:tblW w:w="0" w:type="auto"/>
                    <w:jc w:val="lef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3312"/>
                    <w:gridCol w:w="1484"/>
                    <w:gridCol w:w="1462"/>
                    <w:gridCol w:w="1449"/>
                  </w:tblGrid>
                  <w:tr>
                    <w:trPr>
                      <w:trHeight w:val="171" w:hRule="exact"/>
                    </w:trPr>
                    <w:tc>
                      <w:tcPr>
                        <w:tcW w:w="3312" w:type="dxa"/>
                        <w:tcBorders>
                          <w:left w:val="nil"/>
                          <w:right w:val="dotted" w:sz="4" w:space="0" w:color="929292"/>
                        </w:tcBorders>
                        <w:shd w:val="clear" w:color="auto" w:fill="E2E2E2"/>
                      </w:tcPr>
                      <w:p>
                        <w:pPr>
                          <w:pStyle w:val="TableParagraph"/>
                          <w:tabs>
                            <w:tab w:pos="3286" w:val="left" w:leader="none"/>
                          </w:tabs>
                          <w:spacing w:line="157" w:lineRule="exact"/>
                          <w:ind w:left="25"/>
                          <w:jc w:val="center"/>
                          <w:rPr>
                            <w:sz w:val="16"/>
                          </w:rPr>
                        </w:pPr>
                        <w:r>
                          <w:rPr>
                            <w:w w:val="100"/>
                            <w:sz w:val="16"/>
                            <w:u w:val="dotted" w:color="929292"/>
                          </w:rPr>
                          <w:t> </w:t>
                        </w:r>
                        <w:r>
                          <w:rPr>
                            <w:spacing w:val="-16"/>
                            <w:sz w:val="16"/>
                            <w:u w:val="dotted" w:color="929292"/>
                          </w:rPr>
                          <w:t> </w:t>
                        </w:r>
                        <w:r>
                          <w:rPr>
                            <w:sz w:val="16"/>
                            <w:u w:val="dotted" w:color="929292"/>
                          </w:rPr>
                          <w:t>Geosistema</w:t>
                          <w:tab/>
                        </w:r>
                      </w:p>
                    </w:tc>
                    <w:tc>
                      <w:tcPr>
                        <w:tcW w:w="1484" w:type="dxa"/>
                        <w:tcBorders>
                          <w:left w:val="dotted" w:sz="4" w:space="0" w:color="929292"/>
                          <w:right w:val="single" w:sz="4" w:space="0" w:color="929292"/>
                        </w:tcBorders>
                        <w:shd w:val="clear" w:color="auto" w:fill="E2E2E2"/>
                      </w:tcPr>
                      <w:p>
                        <w:pPr>
                          <w:pStyle w:val="TableParagraph"/>
                          <w:tabs>
                            <w:tab w:pos="1453" w:val="left" w:leader="none"/>
                          </w:tabs>
                          <w:spacing w:line="157" w:lineRule="exact"/>
                          <w:ind w:left="15"/>
                          <w:jc w:val="center"/>
                          <w:rPr>
                            <w:sz w:val="16"/>
                          </w:rPr>
                        </w:pPr>
                        <w:r>
                          <w:rPr>
                            <w:w w:val="100"/>
                            <w:sz w:val="16"/>
                            <w:u w:val="dotted" w:color="929292"/>
                          </w:rPr>
                          <w:t> </w:t>
                        </w:r>
                        <w:r>
                          <w:rPr>
                            <w:spacing w:val="-12"/>
                            <w:sz w:val="16"/>
                            <w:u w:val="dotted" w:color="929292"/>
                          </w:rPr>
                          <w:t> </w:t>
                        </w:r>
                        <w:r>
                          <w:rPr>
                            <w:sz w:val="16"/>
                            <w:u w:val="dotted" w:color="929292"/>
                          </w:rPr>
                          <w:t>Viviendas</w:t>
                          <w:tab/>
                        </w:r>
                      </w:p>
                    </w:tc>
                    <w:tc>
                      <w:tcPr>
                        <w:tcW w:w="1462" w:type="dxa"/>
                        <w:tcBorders>
                          <w:left w:val="single" w:sz="4" w:space="0" w:color="929292"/>
                          <w:right w:val="single" w:sz="4" w:space="0" w:color="929292"/>
                        </w:tcBorders>
                        <w:shd w:val="clear" w:color="auto" w:fill="E2E2E2"/>
                      </w:tcPr>
                      <w:p>
                        <w:pPr>
                          <w:pStyle w:val="TableParagraph"/>
                          <w:tabs>
                            <w:tab w:pos="1417" w:val="left" w:leader="none"/>
                          </w:tabs>
                          <w:spacing w:line="157" w:lineRule="exact"/>
                          <w:ind w:right="7"/>
                          <w:jc w:val="right"/>
                          <w:rPr>
                            <w:sz w:val="16"/>
                          </w:rPr>
                        </w:pPr>
                        <w:r>
                          <w:rPr>
                            <w:w w:val="100"/>
                            <w:sz w:val="16"/>
                            <w:u w:val="dotted" w:color="929292"/>
                          </w:rPr>
                          <w:t> </w:t>
                        </w:r>
                        <w:r>
                          <w:rPr>
                            <w:spacing w:val="-11"/>
                            <w:sz w:val="16"/>
                            <w:u w:val="dotted" w:color="929292"/>
                          </w:rPr>
                          <w:t> </w:t>
                        </w:r>
                        <w:r>
                          <w:rPr>
                            <w:sz w:val="16"/>
                            <w:u w:val="dotted" w:color="929292"/>
                          </w:rPr>
                          <w:t>Negocios</w:t>
                          <w:tab/>
                        </w:r>
                      </w:p>
                    </w:tc>
                    <w:tc>
                      <w:tcPr>
                        <w:tcW w:w="1449" w:type="dxa"/>
                        <w:tcBorders>
                          <w:left w:val="single" w:sz="4" w:space="0" w:color="929292"/>
                          <w:right w:val="nil"/>
                        </w:tcBorders>
                        <w:shd w:val="clear" w:color="auto" w:fill="E2E2E2"/>
                      </w:tcPr>
                      <w:p>
                        <w:pPr>
                          <w:pStyle w:val="TableParagraph"/>
                          <w:tabs>
                            <w:tab w:pos="1403" w:val="left" w:leader="none"/>
                          </w:tabs>
                          <w:spacing w:line="157" w:lineRule="exact"/>
                          <w:ind w:left="5"/>
                          <w:jc w:val="center"/>
                          <w:rPr>
                            <w:sz w:val="16"/>
                          </w:rPr>
                        </w:pPr>
                        <w:r>
                          <w:rPr>
                            <w:w w:val="100"/>
                            <w:sz w:val="16"/>
                            <w:u w:val="dotted" w:color="929292"/>
                          </w:rPr>
                          <w:t> </w:t>
                        </w:r>
                        <w:r>
                          <w:rPr>
                            <w:spacing w:val="-11"/>
                            <w:sz w:val="16"/>
                            <w:u w:val="dotted" w:color="929292"/>
                          </w:rPr>
                          <w:t> </w:t>
                        </w:r>
                        <w:r>
                          <w:rPr>
                            <w:sz w:val="16"/>
                            <w:u w:val="dotted" w:color="929292"/>
                          </w:rPr>
                          <w:t>Servicios</w:t>
                          <w:tab/>
                        </w:r>
                      </w:p>
                    </w:tc>
                  </w:tr>
                  <w:tr>
                    <w:trPr>
                      <w:trHeight w:val="171" w:hRule="exact"/>
                    </w:trPr>
                    <w:tc>
                      <w:tcPr>
                        <w:tcW w:w="3312" w:type="dxa"/>
                        <w:tcBorders>
                          <w:left w:val="nil"/>
                          <w:right w:val="dotted" w:sz="4" w:space="0" w:color="929292"/>
                        </w:tcBorders>
                      </w:tcPr>
                      <w:p>
                        <w:pPr>
                          <w:pStyle w:val="TableParagraph"/>
                          <w:tabs>
                            <w:tab w:pos="3286" w:val="left" w:leader="none"/>
                          </w:tabs>
                          <w:spacing w:line="157" w:lineRule="exact"/>
                          <w:ind w:left="25"/>
                          <w:jc w:val="center"/>
                          <w:rPr>
                            <w:sz w:val="16"/>
                          </w:rPr>
                        </w:pPr>
                        <w:r>
                          <w:rPr>
                            <w:w w:val="100"/>
                            <w:sz w:val="16"/>
                            <w:u w:val="dotted" w:color="929292"/>
                          </w:rPr>
                          <w:t> </w:t>
                        </w:r>
                        <w:r>
                          <w:rPr>
                            <w:spacing w:val="-17"/>
                            <w:sz w:val="16"/>
                            <w:u w:val="dotted" w:color="929292"/>
                          </w:rPr>
                          <w:t> </w:t>
                        </w:r>
                        <w:r>
                          <w:rPr>
                            <w:sz w:val="16"/>
                            <w:u w:val="dotted" w:color="929292"/>
                          </w:rPr>
                          <w:t>Remoción en</w:t>
                        </w:r>
                        <w:r>
                          <w:rPr>
                            <w:spacing w:val="-1"/>
                            <w:sz w:val="16"/>
                            <w:u w:val="dotted" w:color="929292"/>
                          </w:rPr>
                          <w:t> </w:t>
                        </w:r>
                        <w:r>
                          <w:rPr>
                            <w:sz w:val="16"/>
                            <w:u w:val="dotted" w:color="929292"/>
                          </w:rPr>
                          <w:t>masa</w:t>
                          <w:tab/>
                        </w:r>
                      </w:p>
                    </w:tc>
                    <w:tc>
                      <w:tcPr>
                        <w:tcW w:w="1484" w:type="dxa"/>
                        <w:tcBorders>
                          <w:left w:val="dotted" w:sz="4" w:space="0" w:color="929292"/>
                          <w:right w:val="single" w:sz="4" w:space="0" w:color="929292"/>
                        </w:tcBorders>
                      </w:tcPr>
                      <w:p>
                        <w:pPr>
                          <w:pStyle w:val="TableParagraph"/>
                          <w:tabs>
                            <w:tab w:pos="1453" w:val="left" w:leader="none"/>
                          </w:tabs>
                          <w:spacing w:line="157" w:lineRule="exact"/>
                          <w:ind w:left="15"/>
                          <w:jc w:val="center"/>
                          <w:rPr>
                            <w:sz w:val="16"/>
                          </w:rPr>
                        </w:pPr>
                        <w:r>
                          <w:rPr>
                            <w:w w:val="100"/>
                            <w:sz w:val="16"/>
                            <w:u w:val="dotted" w:color="929292"/>
                          </w:rPr>
                          <w:t> </w:t>
                        </w:r>
                        <w:r>
                          <w:rPr>
                            <w:spacing w:val="-12"/>
                            <w:sz w:val="16"/>
                            <w:u w:val="dotted" w:color="929292"/>
                          </w:rPr>
                          <w:t> </w:t>
                        </w:r>
                        <w:r>
                          <w:rPr>
                            <w:sz w:val="16"/>
                            <w:u w:val="dotted" w:color="929292"/>
                          </w:rPr>
                          <w:t>1,671</w:t>
                          <w:tab/>
                        </w:r>
                      </w:p>
                    </w:tc>
                    <w:tc>
                      <w:tcPr>
                        <w:tcW w:w="1462" w:type="dxa"/>
                        <w:tcBorders>
                          <w:left w:val="single" w:sz="4" w:space="0" w:color="929292"/>
                          <w:right w:val="single" w:sz="4" w:space="0" w:color="929292"/>
                        </w:tcBorders>
                      </w:tcPr>
                      <w:p>
                        <w:pPr>
                          <w:pStyle w:val="TableParagraph"/>
                          <w:tabs>
                            <w:tab w:pos="1417" w:val="left" w:leader="none"/>
                          </w:tabs>
                          <w:spacing w:line="157" w:lineRule="exact"/>
                          <w:ind w:right="7"/>
                          <w:jc w:val="right"/>
                          <w:rPr>
                            <w:sz w:val="16"/>
                          </w:rPr>
                        </w:pPr>
                        <w:r>
                          <w:rPr>
                            <w:w w:val="100"/>
                            <w:sz w:val="16"/>
                            <w:u w:val="dotted" w:color="929292"/>
                          </w:rPr>
                          <w:t> </w:t>
                        </w:r>
                        <w:r>
                          <w:rPr>
                            <w:spacing w:val="-11"/>
                            <w:sz w:val="16"/>
                            <w:u w:val="dotted" w:color="929292"/>
                          </w:rPr>
                          <w:t> </w:t>
                        </w:r>
                        <w:r>
                          <w:rPr>
                            <w:w w:val="95"/>
                            <w:sz w:val="16"/>
                            <w:u w:val="dotted" w:color="929292"/>
                          </w:rPr>
                          <w:t>74</w:t>
                        </w:r>
                        <w:r>
                          <w:rPr>
                            <w:sz w:val="16"/>
                            <w:u w:val="dotted" w:color="929292"/>
                          </w:rPr>
                          <w:tab/>
                        </w:r>
                      </w:p>
                    </w:tc>
                    <w:tc>
                      <w:tcPr>
                        <w:tcW w:w="1449" w:type="dxa"/>
                        <w:tcBorders>
                          <w:left w:val="single" w:sz="4" w:space="0" w:color="929292"/>
                          <w:right w:val="nil"/>
                        </w:tcBorders>
                      </w:tcPr>
                      <w:p>
                        <w:pPr>
                          <w:pStyle w:val="TableParagraph"/>
                          <w:tabs>
                            <w:tab w:pos="1403" w:val="left" w:leader="none"/>
                          </w:tabs>
                          <w:spacing w:line="157" w:lineRule="exact"/>
                          <w:ind w:left="5"/>
                          <w:jc w:val="center"/>
                          <w:rPr>
                            <w:sz w:val="16"/>
                          </w:rPr>
                        </w:pPr>
                        <w:r>
                          <w:rPr>
                            <w:w w:val="100"/>
                            <w:sz w:val="16"/>
                            <w:u w:val="dotted" w:color="929292"/>
                          </w:rPr>
                          <w:t> </w:t>
                        </w:r>
                        <w:r>
                          <w:rPr>
                            <w:spacing w:val="-12"/>
                            <w:sz w:val="16"/>
                            <w:u w:val="dotted" w:color="929292"/>
                          </w:rPr>
                          <w:t> </w:t>
                        </w:r>
                        <w:r>
                          <w:rPr>
                            <w:sz w:val="16"/>
                            <w:u w:val="dotted" w:color="929292"/>
                          </w:rPr>
                          <w:t>29</w:t>
                          <w:tab/>
                        </w:r>
                      </w:p>
                    </w:tc>
                  </w:tr>
                  <w:tr>
                    <w:trPr>
                      <w:trHeight w:val="171" w:hRule="exact"/>
                    </w:trPr>
                    <w:tc>
                      <w:tcPr>
                        <w:tcW w:w="3312" w:type="dxa"/>
                        <w:tcBorders>
                          <w:left w:val="nil"/>
                          <w:right w:val="dotted" w:sz="4" w:space="0" w:color="929292"/>
                        </w:tcBorders>
                      </w:tcPr>
                      <w:p>
                        <w:pPr>
                          <w:pStyle w:val="TableParagraph"/>
                          <w:tabs>
                            <w:tab w:pos="3286" w:val="left" w:leader="none"/>
                          </w:tabs>
                          <w:spacing w:line="157" w:lineRule="exact"/>
                          <w:ind w:left="25"/>
                          <w:jc w:val="center"/>
                          <w:rPr>
                            <w:sz w:val="16"/>
                          </w:rPr>
                        </w:pPr>
                        <w:r>
                          <w:rPr>
                            <w:w w:val="100"/>
                            <w:sz w:val="16"/>
                            <w:u w:val="dotted" w:color="929292"/>
                          </w:rPr>
                          <w:t> </w:t>
                        </w:r>
                        <w:r>
                          <w:rPr>
                            <w:spacing w:val="-17"/>
                            <w:sz w:val="16"/>
                            <w:u w:val="dotted" w:color="929292"/>
                          </w:rPr>
                          <w:t> </w:t>
                        </w:r>
                        <w:r>
                          <w:rPr>
                            <w:sz w:val="16"/>
                            <w:u w:val="dotted" w:color="929292"/>
                          </w:rPr>
                          <w:t>Inundaciones</w:t>
                          <w:tab/>
                        </w:r>
                      </w:p>
                    </w:tc>
                    <w:tc>
                      <w:tcPr>
                        <w:tcW w:w="1484" w:type="dxa"/>
                        <w:tcBorders>
                          <w:left w:val="dotted" w:sz="4" w:space="0" w:color="929292"/>
                          <w:right w:val="single" w:sz="4" w:space="0" w:color="929292"/>
                        </w:tcBorders>
                      </w:tcPr>
                      <w:p>
                        <w:pPr>
                          <w:pStyle w:val="TableParagraph"/>
                          <w:tabs>
                            <w:tab w:pos="1453" w:val="left" w:leader="none"/>
                          </w:tabs>
                          <w:spacing w:line="157" w:lineRule="exact"/>
                          <w:ind w:left="15"/>
                          <w:jc w:val="center"/>
                          <w:rPr>
                            <w:sz w:val="16"/>
                          </w:rPr>
                        </w:pPr>
                        <w:r>
                          <w:rPr>
                            <w:w w:val="100"/>
                            <w:sz w:val="16"/>
                            <w:u w:val="dotted" w:color="929292"/>
                          </w:rPr>
                          <w:t> </w:t>
                        </w:r>
                        <w:r>
                          <w:rPr>
                            <w:spacing w:val="-12"/>
                            <w:sz w:val="16"/>
                            <w:u w:val="dotted" w:color="929292"/>
                          </w:rPr>
                          <w:t> </w:t>
                        </w:r>
                        <w:r>
                          <w:rPr>
                            <w:sz w:val="16"/>
                            <w:u w:val="dotted" w:color="929292"/>
                          </w:rPr>
                          <w:t>1,225</w:t>
                          <w:tab/>
                        </w:r>
                      </w:p>
                    </w:tc>
                    <w:tc>
                      <w:tcPr>
                        <w:tcW w:w="1462" w:type="dxa"/>
                        <w:tcBorders>
                          <w:left w:val="single" w:sz="4" w:space="0" w:color="929292"/>
                          <w:right w:val="single" w:sz="4" w:space="0" w:color="929292"/>
                        </w:tcBorders>
                      </w:tcPr>
                      <w:p>
                        <w:pPr>
                          <w:pStyle w:val="TableParagraph"/>
                          <w:tabs>
                            <w:tab w:pos="1417" w:val="left" w:leader="none"/>
                          </w:tabs>
                          <w:spacing w:line="157" w:lineRule="exact"/>
                          <w:ind w:right="7"/>
                          <w:jc w:val="right"/>
                          <w:rPr>
                            <w:sz w:val="16"/>
                          </w:rPr>
                        </w:pPr>
                        <w:r>
                          <w:rPr>
                            <w:w w:val="100"/>
                            <w:sz w:val="16"/>
                            <w:u w:val="dotted" w:color="929292"/>
                          </w:rPr>
                          <w:t> </w:t>
                        </w:r>
                        <w:r>
                          <w:rPr>
                            <w:spacing w:val="-11"/>
                            <w:sz w:val="16"/>
                            <w:u w:val="dotted" w:color="929292"/>
                          </w:rPr>
                          <w:t> </w:t>
                        </w:r>
                        <w:r>
                          <w:rPr>
                            <w:spacing w:val="-1"/>
                            <w:sz w:val="16"/>
                            <w:u w:val="dotted" w:color="929292"/>
                          </w:rPr>
                          <w:t>298</w:t>
                          <w:tab/>
                        </w:r>
                      </w:p>
                    </w:tc>
                    <w:tc>
                      <w:tcPr>
                        <w:tcW w:w="1449" w:type="dxa"/>
                        <w:tcBorders>
                          <w:left w:val="single" w:sz="4" w:space="0" w:color="929292"/>
                          <w:right w:val="nil"/>
                        </w:tcBorders>
                      </w:tcPr>
                      <w:p>
                        <w:pPr>
                          <w:pStyle w:val="TableParagraph"/>
                          <w:tabs>
                            <w:tab w:pos="1403" w:val="left" w:leader="none"/>
                          </w:tabs>
                          <w:spacing w:line="157" w:lineRule="exact"/>
                          <w:ind w:left="5"/>
                          <w:jc w:val="center"/>
                          <w:rPr>
                            <w:sz w:val="16"/>
                          </w:rPr>
                        </w:pPr>
                        <w:r>
                          <w:rPr>
                            <w:w w:val="100"/>
                            <w:sz w:val="16"/>
                            <w:u w:val="dotted" w:color="929292"/>
                          </w:rPr>
                          <w:t> </w:t>
                        </w:r>
                        <w:r>
                          <w:rPr>
                            <w:spacing w:val="-12"/>
                            <w:sz w:val="16"/>
                            <w:u w:val="dotted" w:color="929292"/>
                          </w:rPr>
                          <w:t> </w:t>
                        </w:r>
                        <w:r>
                          <w:rPr>
                            <w:sz w:val="16"/>
                            <w:u w:val="dotted" w:color="929292"/>
                          </w:rPr>
                          <w:t>161</w:t>
                          <w:tab/>
                        </w:r>
                      </w:p>
                    </w:tc>
                  </w:tr>
                  <w:tr>
                    <w:trPr>
                      <w:trHeight w:val="171" w:hRule="exact"/>
                    </w:trPr>
                    <w:tc>
                      <w:tcPr>
                        <w:tcW w:w="3312" w:type="dxa"/>
                        <w:tcBorders>
                          <w:left w:val="nil"/>
                          <w:bottom w:val="nil"/>
                          <w:right w:val="dotted" w:sz="4" w:space="0" w:color="929292"/>
                        </w:tcBorders>
                      </w:tcPr>
                      <w:p>
                        <w:pPr>
                          <w:pStyle w:val="TableParagraph"/>
                          <w:tabs>
                            <w:tab w:pos="3286" w:val="left" w:leader="none"/>
                          </w:tabs>
                          <w:spacing w:line="157" w:lineRule="exact"/>
                          <w:ind w:left="25"/>
                          <w:jc w:val="center"/>
                          <w:rPr>
                            <w:sz w:val="16"/>
                          </w:rPr>
                        </w:pPr>
                        <w:r>
                          <w:rPr>
                            <w:w w:val="100"/>
                            <w:sz w:val="16"/>
                            <w:u w:val="dotted" w:color="929292"/>
                          </w:rPr>
                          <w:t> </w:t>
                        </w:r>
                        <w:r>
                          <w:rPr>
                            <w:spacing w:val="-17"/>
                            <w:sz w:val="16"/>
                            <w:u w:val="dotted" w:color="929292"/>
                          </w:rPr>
                          <w:t> </w:t>
                        </w:r>
                        <w:r>
                          <w:rPr>
                            <w:sz w:val="16"/>
                            <w:u w:val="dotted" w:color="929292"/>
                          </w:rPr>
                          <w:t>Químicos</w:t>
                          <w:tab/>
                        </w:r>
                      </w:p>
                    </w:tc>
                    <w:tc>
                      <w:tcPr>
                        <w:tcW w:w="1484" w:type="dxa"/>
                        <w:tcBorders>
                          <w:left w:val="dotted" w:sz="4" w:space="0" w:color="929292"/>
                          <w:right w:val="single" w:sz="4" w:space="0" w:color="929292"/>
                        </w:tcBorders>
                      </w:tcPr>
                      <w:p>
                        <w:pPr>
                          <w:pStyle w:val="TableParagraph"/>
                          <w:tabs>
                            <w:tab w:pos="1453" w:val="left" w:leader="none"/>
                          </w:tabs>
                          <w:spacing w:line="157" w:lineRule="exact"/>
                          <w:ind w:left="15"/>
                          <w:jc w:val="center"/>
                          <w:rPr>
                            <w:sz w:val="16"/>
                          </w:rPr>
                        </w:pPr>
                        <w:r>
                          <w:rPr>
                            <w:w w:val="100"/>
                            <w:sz w:val="16"/>
                            <w:u w:val="dotted" w:color="929292"/>
                          </w:rPr>
                          <w:t> </w:t>
                        </w:r>
                        <w:r>
                          <w:rPr>
                            <w:spacing w:val="-12"/>
                            <w:sz w:val="16"/>
                            <w:u w:val="dotted" w:color="929292"/>
                          </w:rPr>
                          <w:t> </w:t>
                        </w:r>
                        <w:r>
                          <w:rPr>
                            <w:sz w:val="16"/>
                            <w:u w:val="dotted" w:color="929292"/>
                          </w:rPr>
                          <w:t>3,356</w:t>
                          <w:tab/>
                        </w:r>
                      </w:p>
                    </w:tc>
                    <w:tc>
                      <w:tcPr>
                        <w:tcW w:w="1462" w:type="dxa"/>
                        <w:tcBorders>
                          <w:left w:val="single" w:sz="4" w:space="0" w:color="929292"/>
                          <w:right w:val="single" w:sz="4" w:space="0" w:color="929292"/>
                        </w:tcBorders>
                      </w:tcPr>
                      <w:p>
                        <w:pPr>
                          <w:pStyle w:val="TableParagraph"/>
                          <w:tabs>
                            <w:tab w:pos="1417" w:val="left" w:leader="none"/>
                          </w:tabs>
                          <w:spacing w:line="157" w:lineRule="exact"/>
                          <w:ind w:right="7"/>
                          <w:jc w:val="right"/>
                          <w:rPr>
                            <w:sz w:val="16"/>
                          </w:rPr>
                        </w:pPr>
                        <w:r>
                          <w:rPr>
                            <w:w w:val="100"/>
                            <w:sz w:val="16"/>
                            <w:u w:val="dotted" w:color="929292"/>
                          </w:rPr>
                          <w:t> </w:t>
                        </w:r>
                        <w:r>
                          <w:rPr>
                            <w:spacing w:val="-12"/>
                            <w:sz w:val="16"/>
                            <w:u w:val="dotted" w:color="929292"/>
                          </w:rPr>
                          <w:t> </w:t>
                        </w:r>
                        <w:r>
                          <w:rPr>
                            <w:spacing w:val="-1"/>
                            <w:sz w:val="16"/>
                            <w:u w:val="dotted" w:color="929292"/>
                          </w:rPr>
                          <w:t>277</w:t>
                          <w:tab/>
                        </w:r>
                      </w:p>
                    </w:tc>
                    <w:tc>
                      <w:tcPr>
                        <w:tcW w:w="1449" w:type="dxa"/>
                        <w:tcBorders>
                          <w:left w:val="single" w:sz="4" w:space="0" w:color="929292"/>
                          <w:right w:val="nil"/>
                        </w:tcBorders>
                      </w:tcPr>
                      <w:p>
                        <w:pPr>
                          <w:pStyle w:val="TableParagraph"/>
                          <w:tabs>
                            <w:tab w:pos="1403" w:val="left" w:leader="none"/>
                          </w:tabs>
                          <w:spacing w:line="157" w:lineRule="exact"/>
                          <w:ind w:left="5"/>
                          <w:jc w:val="center"/>
                          <w:rPr>
                            <w:sz w:val="16"/>
                          </w:rPr>
                        </w:pPr>
                        <w:r>
                          <w:rPr>
                            <w:w w:val="100"/>
                            <w:sz w:val="16"/>
                            <w:u w:val="dotted" w:color="929292"/>
                          </w:rPr>
                          <w:t> </w:t>
                        </w:r>
                        <w:r>
                          <w:rPr>
                            <w:spacing w:val="-12"/>
                            <w:sz w:val="16"/>
                            <w:u w:val="dotted" w:color="929292"/>
                          </w:rPr>
                          <w:t> </w:t>
                        </w:r>
                        <w:r>
                          <w:rPr>
                            <w:sz w:val="16"/>
                            <w:u w:val="dotted" w:color="929292"/>
                          </w:rPr>
                          <w:t>246</w:t>
                          <w:tab/>
                        </w:r>
                      </w:p>
                    </w:tc>
                  </w:tr>
                </w:tbl>
                <w:p>
                  <w:pPr>
                    <w:pStyle w:val="BodyText"/>
                  </w:pPr>
                </w:p>
              </w:txbxContent>
            </v:textbox>
            <w10:wrap type="none"/>
          </v:shape>
        </w:pict>
      </w:r>
      <w:r>
        <w:rPr>
          <w:w w:val="100"/>
          <w:sz w:val="16"/>
          <w:u w:val="dotted" w:color="929292"/>
        </w:rPr>
        <w:t> </w:t>
      </w:r>
      <w:r>
        <w:rPr>
          <w:sz w:val="16"/>
          <w:u w:val="dotted" w:color="929292"/>
        </w:rPr>
        <w:tab/>
      </w:r>
      <w:r>
        <w:rPr>
          <w:sz w:val="16"/>
        </w:rPr>
        <w:t> </w:t>
      </w:r>
      <w:r>
        <w:rPr>
          <w:w w:val="100"/>
          <w:position w:val="1"/>
          <w:sz w:val="16"/>
          <w:u w:val="dotted" w:color="929292"/>
        </w:rPr>
        <w:t> </w:t>
      </w:r>
      <w:r>
        <w:rPr>
          <w:spacing w:val="-12"/>
          <w:position w:val="1"/>
          <w:sz w:val="16"/>
          <w:u w:val="dotted" w:color="929292"/>
        </w:rPr>
        <w:t> </w:t>
      </w:r>
      <w:r>
        <w:rPr>
          <w:w w:val="105"/>
          <w:position w:val="1"/>
          <w:sz w:val="16"/>
          <w:u w:val="dotted" w:color="929292"/>
        </w:rPr>
        <w:t>Tipo de predio</w:t>
      </w:r>
      <w:r>
        <w:rPr>
          <w:spacing w:val="7"/>
          <w:w w:val="105"/>
          <w:position w:val="1"/>
          <w:sz w:val="16"/>
          <w:u w:val="dotted" w:color="929292"/>
        </w:rPr>
        <w:t> </w:t>
      </w:r>
      <w:r>
        <w:rPr>
          <w:w w:val="105"/>
          <w:position w:val="1"/>
          <w:sz w:val="16"/>
          <w:u w:val="dotted" w:color="929292"/>
        </w:rPr>
        <w:t>afe</w:t>
      </w:r>
      <w:r>
        <w:rPr>
          <w:w w:val="105"/>
          <w:position w:val="1"/>
          <w:sz w:val="16"/>
        </w:rPr>
        <w:t>c</w:t>
      </w:r>
      <w:r>
        <w:rPr>
          <w:w w:val="105"/>
          <w:position w:val="1"/>
          <w:sz w:val="16"/>
          <w:u w:val="dotted" w:color="929292"/>
        </w:rPr>
        <w:t>tado</w:t>
      </w:r>
      <w:r>
        <w:rPr>
          <w:position w:val="1"/>
          <w:sz w:val="16"/>
          <w:u w:val="dotted" w:color="929292"/>
        </w:rPr>
        <w:tab/>
      </w:r>
      <w:r>
        <w:rPr>
          <w:position w:val="1"/>
          <w:sz w:val="16"/>
        </w:rPr>
        <w:t> </w:t>
      </w:r>
      <w:r>
        <w:rPr>
          <w:w w:val="100"/>
          <w:position w:val="1"/>
          <w:sz w:val="16"/>
          <w:u w:val="dotted" w:color="929292"/>
        </w:rPr>
        <w:t> </w:t>
      </w:r>
      <w:r>
        <w:rPr>
          <w:position w:val="1"/>
          <w:sz w:val="16"/>
          <w:u w:val="dotted" w:color="929292"/>
        </w:rPr>
        <w:tab/>
      </w:r>
    </w:p>
    <w:p>
      <w:pPr>
        <w:tabs>
          <w:tab w:pos="17237" w:val="left" w:leader="none"/>
        </w:tabs>
        <w:spacing w:line="20" w:lineRule="exact"/>
        <w:ind w:left="9541" w:right="0" w:firstLine="0"/>
        <w:rPr>
          <w:sz w:val="2"/>
        </w:rPr>
      </w:pPr>
      <w:r>
        <w:rPr/>
        <w:pict>
          <v:line style="position:absolute;mso-position-horizontal-relative:page;mso-position-vertical-relative:paragraph;z-index:5656" from="513.320923pt,8.7965pt" to="513.320923pt,8.7965pt" stroked="true" strokeweight=".5pt" strokecolor="#929292">
            <w10:wrap type="none"/>
          </v:line>
        </w:pict>
      </w:r>
      <w:r>
        <w:rPr/>
        <w:pict>
          <v:line style="position:absolute;mso-position-horizontal-relative:page;mso-position-vertical-relative:paragraph;z-index:5680" from="898.147705pt,8.7965pt" to="898.147705pt,8.7965pt" stroked="true" strokeweight=".5pt" strokecolor="#929292">
            <w10:wrap type="none"/>
          </v:line>
        </w:pict>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BodyText"/>
      </w:pPr>
    </w:p>
    <w:p>
      <w:pPr>
        <w:pStyle w:val="BodyText"/>
      </w:pPr>
    </w:p>
    <w:p>
      <w:pPr>
        <w:pStyle w:val="BodyText"/>
        <w:rPr>
          <w:sz w:val="16"/>
        </w:rPr>
      </w:pPr>
    </w:p>
    <w:p>
      <w:pPr>
        <w:tabs>
          <w:tab w:pos="17237" w:val="left" w:leader="none"/>
        </w:tabs>
        <w:spacing w:line="20" w:lineRule="exact"/>
        <w:ind w:left="95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spacing w:before="61"/>
        <w:ind w:left="9596" w:right="142" w:firstLine="0"/>
        <w:jc w:val="center"/>
        <w:rPr>
          <w:sz w:val="16"/>
        </w:rPr>
      </w:pPr>
      <w:r>
        <w:rPr>
          <w:color w:val="6D6E71"/>
          <w:sz w:val="16"/>
        </w:rPr>
        <w:t>Tabla 8. Concentrado de tipología de geosistema perturbador versus número de predios  afectados.</w:t>
      </w:r>
    </w:p>
    <w:p>
      <w:pPr>
        <w:spacing w:before="56"/>
        <w:ind w:left="9594" w:right="184" w:firstLine="0"/>
        <w:jc w:val="center"/>
        <w:rPr>
          <w:sz w:val="16"/>
        </w:rPr>
      </w:pPr>
      <w:r>
        <w:rPr>
          <w:color w:val="6D6E71"/>
          <w:sz w:val="16"/>
        </w:rPr>
        <w:t>Fuente: Elaboración propia con base en el Atlas municipal de riesgos (2013).</w:t>
      </w:r>
    </w:p>
    <w:p>
      <w:pPr>
        <w:pStyle w:val="BodyText"/>
        <w:spacing w:before="6"/>
        <w:rPr>
          <w:sz w:val="14"/>
        </w:rPr>
      </w:pPr>
      <w:r>
        <w:rPr/>
        <w:drawing>
          <wp:anchor distT="0" distB="0" distL="0" distR="0" allowOverlap="1" layoutInCell="1" locked="0" behindDoc="0" simplePos="0" relativeHeight="5608">
            <wp:simplePos x="0" y="0"/>
            <wp:positionH relativeFrom="page">
              <wp:posOffset>6700087</wp:posOffset>
            </wp:positionH>
            <wp:positionV relativeFrom="paragraph">
              <wp:posOffset>130794</wp:posOffset>
            </wp:positionV>
            <wp:extent cx="4543343" cy="2696051"/>
            <wp:effectExtent l="0" t="0" r="0" b="0"/>
            <wp:wrapTopAndBottom/>
            <wp:docPr id="41" name="image39.jpeg" descr=""/>
            <wp:cNvGraphicFramePr>
              <a:graphicFrameLocks noChangeAspect="1"/>
            </wp:cNvGraphicFramePr>
            <a:graphic>
              <a:graphicData uri="http://schemas.openxmlformats.org/drawingml/2006/picture">
                <pic:pic>
                  <pic:nvPicPr>
                    <pic:cNvPr id="42" name="image39.jpeg"/>
                    <pic:cNvPicPr/>
                  </pic:nvPicPr>
                  <pic:blipFill>
                    <a:blip r:embed="rId157" cstate="print"/>
                    <a:stretch>
                      <a:fillRect/>
                    </a:stretch>
                  </pic:blipFill>
                  <pic:spPr>
                    <a:xfrm>
                      <a:off x="0" y="0"/>
                      <a:ext cx="4543343" cy="2696051"/>
                    </a:xfrm>
                    <a:prstGeom prst="rect">
                      <a:avLst/>
                    </a:prstGeom>
                  </pic:spPr>
                </pic:pic>
              </a:graphicData>
            </a:graphic>
          </wp:anchor>
        </w:drawing>
      </w:r>
    </w:p>
    <w:p>
      <w:pPr>
        <w:spacing w:line="312" w:lineRule="auto" w:before="135"/>
        <w:ind w:left="9596" w:right="184" w:firstLine="0"/>
        <w:jc w:val="center"/>
        <w:rPr>
          <w:sz w:val="16"/>
        </w:rPr>
      </w:pPr>
      <w:r>
        <w:rPr>
          <w:color w:val="6D6E71"/>
          <w:sz w:val="16"/>
        </w:rPr>
        <w:t>Figura 3. Número de registros de afectaciones a viviendas en la ciudad de Toluca por los tres geosistemas perturbadores que poseen mayor grado de recurrencia. Gp1 representa a los Geosistemas perturbadores (Gp) relacionados con la remoción en masa; Gp2 a inundaciones y Gp3 los asociados a productos químicos. Fuente: Elaboración propia con base en el Atlas municipal de riesgos (2013).</w:t>
      </w:r>
    </w:p>
    <w:p>
      <w:pPr>
        <w:pStyle w:val="BodyText"/>
        <w:spacing w:before="2"/>
        <w:rPr>
          <w:sz w:val="11"/>
        </w:rPr>
      </w:pPr>
    </w:p>
    <w:p>
      <w:pPr>
        <w:spacing w:after="0"/>
        <w:rPr>
          <w:sz w:val="11"/>
        </w:rPr>
        <w:sectPr>
          <w:footerReference w:type="default" r:id="rId156"/>
          <w:pgSz w:w="18830" w:h="12760" w:orient="landscape"/>
          <w:pgMar w:footer="1036" w:header="522" w:top="820" w:bottom="1220" w:left="720" w:right="720"/>
        </w:sectPr>
      </w:pPr>
    </w:p>
    <w:p>
      <w:pPr>
        <w:pStyle w:val="BodyText"/>
        <w:rPr>
          <w:sz w:val="16"/>
        </w:rPr>
      </w:pPr>
    </w:p>
    <w:p>
      <w:pPr>
        <w:pStyle w:val="BodyText"/>
        <w:rPr>
          <w:sz w:val="16"/>
        </w:rPr>
      </w:pPr>
    </w:p>
    <w:p>
      <w:pPr>
        <w:pStyle w:val="BodyText"/>
        <w:spacing w:before="7"/>
        <w:rPr>
          <w:sz w:val="19"/>
        </w:rPr>
      </w:pPr>
    </w:p>
    <w:p>
      <w:pPr>
        <w:spacing w:before="0"/>
        <w:ind w:left="667" w:right="0" w:firstLine="0"/>
        <w:jc w:val="center"/>
        <w:rPr>
          <w:sz w:val="16"/>
        </w:rPr>
      </w:pPr>
      <w:r>
        <w:rPr>
          <w:color w:val="6D6E71"/>
          <w:sz w:val="16"/>
        </w:rPr>
        <w:t>Tabla 7. Concentrado general de daños a infraestructura urbana generada por inundaciones.</w:t>
      </w:r>
    </w:p>
    <w:p>
      <w:pPr>
        <w:spacing w:before="56"/>
        <w:ind w:left="667" w:right="0" w:firstLine="0"/>
        <w:jc w:val="center"/>
        <w:rPr>
          <w:sz w:val="16"/>
        </w:rPr>
      </w:pPr>
      <w:r>
        <w:rPr>
          <w:color w:val="6D6E71"/>
          <w:sz w:val="16"/>
        </w:rPr>
        <w:t>Fuente: Elaboración propia con base en el Atlas municipal de riesgos (2013).</w:t>
      </w:r>
    </w:p>
    <w:p>
      <w:pPr>
        <w:pStyle w:val="BodyText"/>
        <w:spacing w:line="249" w:lineRule="auto" w:before="76"/>
        <w:ind w:left="667" w:right="128" w:firstLine="170"/>
        <w:jc w:val="both"/>
      </w:pPr>
      <w:r>
        <w:rPr/>
        <w:br w:type="column"/>
      </w:r>
      <w:r>
        <w:rPr/>
        <w:t>En</w:t>
      </w:r>
      <w:r>
        <w:rPr>
          <w:spacing w:val="-28"/>
        </w:rPr>
        <w:t> </w:t>
      </w:r>
      <w:r>
        <w:rPr/>
        <w:t>el</w:t>
      </w:r>
      <w:r>
        <w:rPr>
          <w:spacing w:val="-28"/>
        </w:rPr>
        <w:t> </w:t>
      </w:r>
      <w:r>
        <w:rPr/>
        <w:t>caso</w:t>
      </w:r>
      <w:r>
        <w:rPr>
          <w:spacing w:val="-28"/>
        </w:rPr>
        <w:t> </w:t>
      </w:r>
      <w:r>
        <w:rPr/>
        <w:t>de</w:t>
      </w:r>
      <w:r>
        <w:rPr>
          <w:spacing w:val="-28"/>
        </w:rPr>
        <w:t> </w:t>
      </w:r>
      <w:r>
        <w:rPr/>
        <w:t>colapsos</w:t>
      </w:r>
      <w:r>
        <w:rPr>
          <w:spacing w:val="-28"/>
        </w:rPr>
        <w:t> </w:t>
      </w:r>
      <w:r>
        <w:rPr/>
        <w:t>relacionados</w:t>
      </w:r>
      <w:r>
        <w:rPr>
          <w:spacing w:val="-28"/>
        </w:rPr>
        <w:t> </w:t>
      </w:r>
      <w:r>
        <w:rPr/>
        <w:t>con</w:t>
      </w:r>
      <w:r>
        <w:rPr>
          <w:spacing w:val="-28"/>
        </w:rPr>
        <w:t> </w:t>
      </w:r>
      <w:r>
        <w:rPr/>
        <w:t>la</w:t>
      </w:r>
      <w:r>
        <w:rPr>
          <w:spacing w:val="-28"/>
        </w:rPr>
        <w:t> </w:t>
      </w:r>
      <w:r>
        <w:rPr/>
        <w:t>Bóveda</w:t>
      </w:r>
      <w:r>
        <w:rPr>
          <w:spacing w:val="-28"/>
        </w:rPr>
        <w:t> </w:t>
      </w:r>
      <w:r>
        <w:rPr/>
        <w:t>del</w:t>
      </w:r>
      <w:r>
        <w:rPr>
          <w:spacing w:val="-28"/>
        </w:rPr>
        <w:t> </w:t>
      </w:r>
      <w:r>
        <w:rPr/>
        <w:t>río</w:t>
      </w:r>
      <w:r>
        <w:rPr>
          <w:spacing w:val="-28"/>
        </w:rPr>
        <w:t> </w:t>
      </w:r>
      <w:r>
        <w:rPr/>
        <w:t>Verdiguel</w:t>
      </w:r>
      <w:r>
        <w:rPr>
          <w:spacing w:val="-28"/>
        </w:rPr>
        <w:t> </w:t>
      </w:r>
      <w:r>
        <w:rPr/>
        <w:t>se</w:t>
      </w:r>
      <w:r>
        <w:rPr>
          <w:spacing w:val="-28"/>
        </w:rPr>
        <w:t> </w:t>
      </w:r>
      <w:r>
        <w:rPr/>
        <w:t>posee</w:t>
      </w:r>
      <w:r>
        <w:rPr>
          <w:spacing w:val="-28"/>
        </w:rPr>
        <w:t> </w:t>
      </w:r>
      <w:r>
        <w:rPr/>
        <w:t>un</w:t>
      </w:r>
      <w:r>
        <w:rPr>
          <w:spacing w:val="-28"/>
        </w:rPr>
        <w:t> </w:t>
      </w:r>
      <w:r>
        <w:rPr/>
        <w:t>registro de afectación de: 26 viviendas, 20 negocios 4 predios concernientes con servicios a la población. Por último en tenor de las ideas de afectaciones a la infraestructura, en la Tabla 9 se muestran los daños reportados y la distribución espacial de los mismos en las colonias de la</w:t>
      </w:r>
      <w:r>
        <w:rPr>
          <w:spacing w:val="24"/>
        </w:rPr>
        <w:t> </w:t>
      </w:r>
      <w:r>
        <w:rPr/>
        <w:t>ciudad.</w:t>
      </w:r>
    </w:p>
    <w:p>
      <w:pPr>
        <w:spacing w:after="0" w:line="249" w:lineRule="auto"/>
        <w:jc w:val="both"/>
        <w:sectPr>
          <w:type w:val="continuous"/>
          <w:pgSz w:w="18830" w:h="12760" w:orient="landscape"/>
          <w:pgMar w:top="1420" w:bottom="280" w:left="720" w:right="720"/>
          <w:cols w:num="2" w:equalWidth="0">
            <w:col w:w="7295" w:space="1579"/>
            <w:col w:w="8516"/>
          </w:cols>
        </w:sectPr>
      </w:pPr>
    </w:p>
    <w:p>
      <w:pPr>
        <w:pStyle w:val="BodyText"/>
        <w:spacing w:before="6"/>
        <w:rPr>
          <w:sz w:val="23"/>
        </w:rPr>
      </w:pPr>
    </w:p>
    <w:p>
      <w:pPr>
        <w:pStyle w:val="BodyText"/>
        <w:spacing w:line="249" w:lineRule="auto" w:before="76"/>
        <w:ind w:left="9540" w:right="128" w:firstLine="170"/>
        <w:jc w:val="both"/>
      </w:pPr>
      <w:r>
        <w:rPr/>
        <w:pict>
          <v:shape style="position:absolute;margin-left:41.925999pt;margin-top:1.2943pt;width:386.45pt;height:230pt;mso-position-horizontal-relative:page;mso-position-vertical-relative:paragraph;z-index:5824" type="#_x0000_t202" filled="false" stroked="false">
            <v:textbox inset="0,0,0,0">
              <w:txbxContent>
                <w:tbl>
                  <w:tblPr>
                    <w:tblW w:w="0" w:type="auto"/>
                    <w:jc w:val="left"/>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2997"/>
                    <w:gridCol w:w="850"/>
                    <w:gridCol w:w="3104"/>
                    <w:gridCol w:w="767"/>
                  </w:tblGrid>
                  <w:tr>
                    <w:trPr>
                      <w:trHeight w:val="315" w:hRule="exact"/>
                    </w:trPr>
                    <w:tc>
                      <w:tcPr>
                        <w:tcW w:w="7719" w:type="dxa"/>
                        <w:gridSpan w:val="4"/>
                        <w:tcBorders>
                          <w:top w:val="nil"/>
                          <w:left w:val="nil"/>
                          <w:bottom w:val="dotted" w:sz="4" w:space="0" w:color="FFFFFF"/>
                          <w:right w:val="nil"/>
                        </w:tcBorders>
                        <w:shd w:val="clear" w:color="auto" w:fill="929292"/>
                      </w:tcPr>
                      <w:p>
                        <w:pPr>
                          <w:pStyle w:val="TableParagraph"/>
                          <w:spacing w:before="21"/>
                          <w:ind w:left="2065"/>
                          <w:rPr>
                            <w:sz w:val="16"/>
                          </w:rPr>
                        </w:pPr>
                        <w:r>
                          <w:rPr>
                            <w:sz w:val="16"/>
                          </w:rPr>
                          <w:t>Predios afectados por geosistemas  perturbadores</w:t>
                        </w:r>
                      </w:p>
                    </w:tc>
                  </w:tr>
                  <w:tr>
                    <w:trPr>
                      <w:trHeight w:val="315" w:hRule="exact"/>
                    </w:trPr>
                    <w:tc>
                      <w:tcPr>
                        <w:tcW w:w="2997" w:type="dxa"/>
                        <w:tcBorders>
                          <w:top w:val="dotted" w:sz="4" w:space="0" w:color="FFFFFF"/>
                          <w:left w:val="nil"/>
                        </w:tcBorders>
                      </w:tcPr>
                      <w:p>
                        <w:pPr>
                          <w:pStyle w:val="TableParagraph"/>
                          <w:spacing w:before="59"/>
                          <w:ind w:left="108"/>
                          <w:rPr>
                            <w:sz w:val="16"/>
                          </w:rPr>
                        </w:pPr>
                        <w:r>
                          <w:rPr>
                            <w:w w:val="105"/>
                            <w:sz w:val="16"/>
                          </w:rPr>
                          <w:t>Colonia</w:t>
                        </w:r>
                      </w:p>
                    </w:tc>
                    <w:tc>
                      <w:tcPr>
                        <w:tcW w:w="850" w:type="dxa"/>
                        <w:tcBorders>
                          <w:top w:val="dotted" w:sz="4" w:space="0" w:color="FFFFFF"/>
                        </w:tcBorders>
                      </w:tcPr>
                      <w:p>
                        <w:pPr>
                          <w:pStyle w:val="TableParagraph"/>
                          <w:spacing w:before="59"/>
                          <w:ind w:left="103"/>
                          <w:rPr>
                            <w:sz w:val="16"/>
                          </w:rPr>
                        </w:pPr>
                        <w:r>
                          <w:rPr>
                            <w:w w:val="105"/>
                            <w:sz w:val="16"/>
                          </w:rPr>
                          <w:t>Daños</w:t>
                        </w:r>
                      </w:p>
                    </w:tc>
                    <w:tc>
                      <w:tcPr>
                        <w:tcW w:w="3104" w:type="dxa"/>
                        <w:tcBorders>
                          <w:top w:val="dotted" w:sz="4" w:space="0" w:color="FFFFFF"/>
                        </w:tcBorders>
                      </w:tcPr>
                      <w:p>
                        <w:pPr>
                          <w:pStyle w:val="TableParagraph"/>
                          <w:spacing w:before="59"/>
                          <w:ind w:left="102"/>
                          <w:rPr>
                            <w:sz w:val="16"/>
                          </w:rPr>
                        </w:pPr>
                        <w:r>
                          <w:rPr>
                            <w:w w:val="105"/>
                            <w:sz w:val="16"/>
                          </w:rPr>
                          <w:t>Colonia</w:t>
                        </w:r>
                      </w:p>
                    </w:tc>
                    <w:tc>
                      <w:tcPr>
                        <w:tcW w:w="767" w:type="dxa"/>
                        <w:tcBorders>
                          <w:top w:val="dotted" w:sz="4" w:space="0" w:color="FFFFFF"/>
                          <w:right w:val="nil"/>
                        </w:tcBorders>
                      </w:tcPr>
                      <w:p>
                        <w:pPr>
                          <w:pStyle w:val="TableParagraph"/>
                          <w:spacing w:before="59"/>
                          <w:ind w:left="102"/>
                          <w:rPr>
                            <w:sz w:val="16"/>
                          </w:rPr>
                        </w:pPr>
                        <w:r>
                          <w:rPr>
                            <w:w w:val="105"/>
                            <w:sz w:val="16"/>
                          </w:rPr>
                          <w:t>Daños</w:t>
                        </w:r>
                      </w:p>
                    </w:tc>
                  </w:tr>
                  <w:tr>
                    <w:trPr>
                      <w:trHeight w:val="208" w:hRule="exact"/>
                    </w:trPr>
                    <w:tc>
                      <w:tcPr>
                        <w:tcW w:w="2997" w:type="dxa"/>
                        <w:tcBorders>
                          <w:left w:val="nil"/>
                          <w:bottom w:val="single" w:sz="4" w:space="0" w:color="FFFFFF"/>
                        </w:tcBorders>
                      </w:tcPr>
                      <w:p>
                        <w:pPr>
                          <w:pStyle w:val="TableParagraph"/>
                          <w:tabs>
                            <w:tab w:pos="2982" w:val="left" w:leader="none"/>
                          </w:tabs>
                          <w:spacing w:before="6"/>
                          <w:ind w:left="34"/>
                          <w:rPr>
                            <w:sz w:val="16"/>
                          </w:rPr>
                        </w:pPr>
                        <w:r>
                          <w:rPr>
                            <w:w w:val="100"/>
                            <w:sz w:val="16"/>
                            <w:u w:val="dotted" w:color="929292"/>
                          </w:rPr>
                          <w:t> </w:t>
                        </w:r>
                        <w:r>
                          <w:rPr>
                            <w:spacing w:val="-16"/>
                            <w:sz w:val="16"/>
                            <w:u w:val="dotted" w:color="929292"/>
                          </w:rPr>
                          <w:t> </w:t>
                        </w:r>
                        <w:r>
                          <w:rPr>
                            <w:sz w:val="16"/>
                            <w:u w:val="dotted" w:color="929292"/>
                          </w:rPr>
                          <w:t>Adolfo López</w:t>
                        </w:r>
                        <w:r>
                          <w:rPr>
                            <w:spacing w:val="22"/>
                            <w:sz w:val="16"/>
                            <w:u w:val="dotted" w:color="929292"/>
                          </w:rPr>
                          <w:t> </w:t>
                        </w:r>
                        <w:r>
                          <w:rPr>
                            <w:sz w:val="16"/>
                            <w:u w:val="dotted" w:color="929292"/>
                          </w:rPr>
                          <w:t>Mateos</w:t>
                          <w:tab/>
                        </w:r>
                      </w:p>
                    </w:tc>
                    <w:tc>
                      <w:tcPr>
                        <w:tcW w:w="850" w:type="dxa"/>
                        <w:tcBorders>
                          <w:bottom w:val="single" w:sz="4" w:space="0" w:color="FFFFFF"/>
                        </w:tcBorders>
                      </w:tcPr>
                      <w:p>
                        <w:pPr>
                          <w:pStyle w:val="TableParagraph"/>
                          <w:tabs>
                            <w:tab w:pos="829" w:val="left" w:leader="none"/>
                          </w:tabs>
                          <w:spacing w:before="6"/>
                          <w:ind w:left="25"/>
                          <w:rPr>
                            <w:sz w:val="16"/>
                          </w:rPr>
                        </w:pPr>
                        <w:r>
                          <w:rPr>
                            <w:w w:val="100"/>
                            <w:sz w:val="16"/>
                            <w:u w:val="dotted" w:color="929292"/>
                          </w:rPr>
                          <w:t> </w:t>
                        </w:r>
                        <w:r>
                          <w:rPr>
                            <w:spacing w:val="-12"/>
                            <w:sz w:val="16"/>
                            <w:u w:val="dotted" w:color="929292"/>
                          </w:rPr>
                          <w:t> </w:t>
                        </w:r>
                        <w:r>
                          <w:rPr>
                            <w:sz w:val="16"/>
                            <w:u w:val="dotted" w:color="929292"/>
                          </w:rPr>
                          <w:t>37</w:t>
                          <w:tab/>
                        </w:r>
                      </w:p>
                    </w:tc>
                    <w:tc>
                      <w:tcPr>
                        <w:tcW w:w="3104" w:type="dxa"/>
                        <w:tcBorders>
                          <w:bottom w:val="single" w:sz="4" w:space="0" w:color="FFFFFF"/>
                        </w:tcBorders>
                      </w:tcPr>
                      <w:p>
                        <w:pPr>
                          <w:pStyle w:val="TableParagraph"/>
                          <w:tabs>
                            <w:tab w:pos="3084" w:val="left" w:leader="none"/>
                          </w:tabs>
                          <w:spacing w:before="6"/>
                          <w:ind w:left="25"/>
                          <w:rPr>
                            <w:sz w:val="16"/>
                          </w:rPr>
                        </w:pPr>
                        <w:r>
                          <w:rPr>
                            <w:w w:val="100"/>
                            <w:sz w:val="16"/>
                            <w:u w:val="dotted" w:color="929292"/>
                          </w:rPr>
                          <w:t> </w:t>
                        </w:r>
                        <w:r>
                          <w:rPr>
                            <w:spacing w:val="-12"/>
                            <w:sz w:val="16"/>
                            <w:u w:val="dotted" w:color="929292"/>
                          </w:rPr>
                          <w:t> </w:t>
                        </w:r>
                        <w:r>
                          <w:rPr>
                            <w:sz w:val="16"/>
                            <w:u w:val="dotted" w:color="929292"/>
                          </w:rPr>
                          <w:t>San Juan</w:t>
                        </w:r>
                        <w:r>
                          <w:rPr>
                            <w:spacing w:val="-13"/>
                            <w:sz w:val="16"/>
                            <w:u w:val="dotted" w:color="929292"/>
                          </w:rPr>
                          <w:t> </w:t>
                        </w:r>
                        <w:r>
                          <w:rPr>
                            <w:sz w:val="16"/>
                            <w:u w:val="dotted" w:color="929292"/>
                          </w:rPr>
                          <w:t>Tilapa</w:t>
                          <w:tab/>
                        </w:r>
                      </w:p>
                    </w:tc>
                    <w:tc>
                      <w:tcPr>
                        <w:tcW w:w="767" w:type="dxa"/>
                        <w:tcBorders>
                          <w:bottom w:val="single" w:sz="4" w:space="0" w:color="FFFFFF"/>
                          <w:right w:val="nil"/>
                        </w:tcBorders>
                      </w:tcPr>
                      <w:p>
                        <w:pPr>
                          <w:pStyle w:val="TableParagraph"/>
                          <w:tabs>
                            <w:tab w:pos="741" w:val="left" w:leader="none"/>
                          </w:tabs>
                          <w:spacing w:before="6"/>
                          <w:ind w:left="25"/>
                          <w:rPr>
                            <w:sz w:val="16"/>
                          </w:rPr>
                        </w:pPr>
                        <w:r>
                          <w:rPr>
                            <w:w w:val="100"/>
                            <w:sz w:val="16"/>
                            <w:u w:val="dotted" w:color="929292"/>
                          </w:rPr>
                          <w:t> </w:t>
                        </w:r>
                        <w:r>
                          <w:rPr>
                            <w:spacing w:val="-12"/>
                            <w:sz w:val="16"/>
                            <w:u w:val="dotted" w:color="929292"/>
                          </w:rPr>
                          <w:t> </w:t>
                        </w:r>
                        <w:r>
                          <w:rPr>
                            <w:sz w:val="16"/>
                            <w:u w:val="dotted" w:color="929292"/>
                          </w:rPr>
                          <w:t>38</w:t>
                          <w:tab/>
                        </w:r>
                      </w:p>
                    </w:tc>
                  </w:tr>
                  <w:tr>
                    <w:trPr>
                      <w:trHeight w:val="171" w:hRule="exact"/>
                    </w:trPr>
                    <w:tc>
                      <w:tcPr>
                        <w:tcW w:w="2997" w:type="dxa"/>
                        <w:tcBorders>
                          <w:top w:val="single" w:sz="4" w:space="0" w:color="FFFFFF"/>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7"/>
                            <w:sz w:val="16"/>
                            <w:u w:val="dotted" w:color="929292"/>
                          </w:rPr>
                          <w:t> </w:t>
                        </w:r>
                        <w:r>
                          <w:rPr>
                            <w:sz w:val="16"/>
                            <w:u w:val="dotted" w:color="929292"/>
                          </w:rPr>
                          <w:t>Árbol de las</w:t>
                        </w:r>
                        <w:r>
                          <w:rPr>
                            <w:spacing w:val="11"/>
                            <w:sz w:val="16"/>
                            <w:u w:val="dotted" w:color="929292"/>
                          </w:rPr>
                          <w:t> </w:t>
                        </w:r>
                        <w:r>
                          <w:rPr>
                            <w:sz w:val="16"/>
                            <w:u w:val="dotted" w:color="929292"/>
                          </w:rPr>
                          <w:t>Manitas</w:t>
                          <w:tab/>
                        </w:r>
                      </w:p>
                    </w:tc>
                    <w:tc>
                      <w:tcPr>
                        <w:tcW w:w="850" w:type="dxa"/>
                        <w:tcBorders>
                          <w:top w:val="single" w:sz="4" w:space="0" w:color="FFFFFF"/>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72</w:t>
                          <w:tab/>
                        </w:r>
                      </w:p>
                    </w:tc>
                    <w:tc>
                      <w:tcPr>
                        <w:tcW w:w="3104" w:type="dxa"/>
                        <w:tcBorders>
                          <w:top w:val="single" w:sz="4" w:space="0" w:color="FFFFFF"/>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San Lorenzo</w:t>
                        </w:r>
                        <w:r>
                          <w:rPr>
                            <w:spacing w:val="-5"/>
                            <w:sz w:val="16"/>
                            <w:u w:val="dotted" w:color="929292"/>
                          </w:rPr>
                          <w:t> </w:t>
                        </w:r>
                        <w:r>
                          <w:rPr>
                            <w:sz w:val="16"/>
                            <w:u w:val="dotted" w:color="929292"/>
                          </w:rPr>
                          <w:t>Tepaltitlán</w:t>
                          <w:tab/>
                        </w:r>
                      </w:p>
                    </w:tc>
                    <w:tc>
                      <w:tcPr>
                        <w:tcW w:w="767" w:type="dxa"/>
                        <w:tcBorders>
                          <w:top w:val="single" w:sz="4" w:space="0" w:color="FFFFFF"/>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90</w:t>
                          <w:tab/>
                        </w:r>
                      </w:p>
                    </w:tc>
                  </w:tr>
                  <w:tr>
                    <w:trPr>
                      <w:trHeight w:val="200" w:hRule="exact"/>
                    </w:trPr>
                    <w:tc>
                      <w:tcPr>
                        <w:tcW w:w="2997" w:type="dxa"/>
                        <w:tcBorders>
                          <w:top w:val="single" w:sz="4" w:space="0" w:color="FFFFFF"/>
                          <w:left w:val="nil"/>
                          <w:bottom w:val="single" w:sz="4" w:space="0" w:color="FFFFFF"/>
                        </w:tcBorders>
                      </w:tcPr>
                      <w:p>
                        <w:pPr>
                          <w:pStyle w:val="TableParagraph"/>
                          <w:tabs>
                            <w:tab w:pos="2982" w:val="left" w:leader="none"/>
                          </w:tabs>
                          <w:spacing w:before="2"/>
                          <w:ind w:left="34"/>
                          <w:rPr>
                            <w:sz w:val="16"/>
                          </w:rPr>
                        </w:pPr>
                        <w:r>
                          <w:rPr>
                            <w:w w:val="100"/>
                            <w:sz w:val="16"/>
                            <w:u w:val="dotted" w:color="929292"/>
                          </w:rPr>
                          <w:t> </w:t>
                        </w:r>
                        <w:r>
                          <w:rPr>
                            <w:spacing w:val="-17"/>
                            <w:sz w:val="16"/>
                            <w:u w:val="dotted" w:color="929292"/>
                          </w:rPr>
                          <w:t> </w:t>
                        </w:r>
                        <w:r>
                          <w:rPr>
                            <w:sz w:val="16"/>
                            <w:u w:val="dotted" w:color="929292"/>
                          </w:rPr>
                          <w:t>Barrios</w:t>
                        </w:r>
                        <w:r>
                          <w:rPr>
                            <w:spacing w:val="2"/>
                            <w:sz w:val="16"/>
                            <w:u w:val="dotted" w:color="929292"/>
                          </w:rPr>
                          <w:t> </w:t>
                        </w:r>
                        <w:r>
                          <w:rPr>
                            <w:sz w:val="16"/>
                            <w:u w:val="dotted" w:color="929292"/>
                          </w:rPr>
                          <w:t>Tradicionales</w:t>
                          <w:tab/>
                        </w:r>
                      </w:p>
                    </w:tc>
                    <w:tc>
                      <w:tcPr>
                        <w:tcW w:w="850" w:type="dxa"/>
                        <w:tcBorders>
                          <w:top w:val="single" w:sz="4" w:space="0" w:color="FFFFFF"/>
                          <w:bottom w:val="single" w:sz="4" w:space="0" w:color="FFFFFF"/>
                        </w:tcBorders>
                      </w:tcPr>
                      <w:p>
                        <w:pPr>
                          <w:pStyle w:val="TableParagraph"/>
                          <w:tabs>
                            <w:tab w:pos="829" w:val="left" w:leader="none"/>
                          </w:tabs>
                          <w:spacing w:before="2"/>
                          <w:ind w:left="25"/>
                          <w:rPr>
                            <w:sz w:val="16"/>
                          </w:rPr>
                        </w:pPr>
                        <w:r>
                          <w:rPr>
                            <w:w w:val="100"/>
                            <w:sz w:val="16"/>
                            <w:u w:val="dotted" w:color="929292"/>
                          </w:rPr>
                          <w:t> </w:t>
                        </w:r>
                        <w:r>
                          <w:rPr>
                            <w:spacing w:val="-12"/>
                            <w:sz w:val="16"/>
                            <w:u w:val="dotted" w:color="929292"/>
                          </w:rPr>
                          <w:t> </w:t>
                        </w:r>
                        <w:r>
                          <w:rPr>
                            <w:sz w:val="16"/>
                            <w:u w:val="dotted" w:color="929292"/>
                          </w:rPr>
                          <w:t>1</w:t>
                          <w:tab/>
                        </w:r>
                      </w:p>
                    </w:tc>
                    <w:tc>
                      <w:tcPr>
                        <w:tcW w:w="3104" w:type="dxa"/>
                        <w:tcBorders>
                          <w:top w:val="single" w:sz="4" w:space="0" w:color="FFFFFF"/>
                          <w:bottom w:val="single" w:sz="4" w:space="0" w:color="FFFFFF"/>
                        </w:tcBorders>
                      </w:tcPr>
                      <w:p>
                        <w:pPr>
                          <w:pStyle w:val="TableParagraph"/>
                          <w:tabs>
                            <w:tab w:pos="3084" w:val="left" w:leader="none"/>
                          </w:tabs>
                          <w:spacing w:before="2"/>
                          <w:ind w:left="25"/>
                          <w:rPr>
                            <w:sz w:val="16"/>
                          </w:rPr>
                        </w:pPr>
                        <w:r>
                          <w:rPr>
                            <w:w w:val="100"/>
                            <w:sz w:val="16"/>
                            <w:u w:val="dotted" w:color="929292"/>
                          </w:rPr>
                          <w:t> </w:t>
                        </w:r>
                        <w:r>
                          <w:rPr>
                            <w:spacing w:val="-12"/>
                            <w:sz w:val="16"/>
                            <w:u w:val="dotted" w:color="929292"/>
                          </w:rPr>
                          <w:t> </w:t>
                        </w:r>
                        <w:r>
                          <w:rPr>
                            <w:sz w:val="16"/>
                            <w:u w:val="dotted" w:color="929292"/>
                          </w:rPr>
                          <w:t>San Marcos</w:t>
                        </w:r>
                        <w:r>
                          <w:rPr>
                            <w:spacing w:val="16"/>
                            <w:sz w:val="16"/>
                            <w:u w:val="dotted" w:color="929292"/>
                          </w:rPr>
                          <w:t> </w:t>
                        </w:r>
                        <w:r>
                          <w:rPr>
                            <w:sz w:val="16"/>
                            <w:u w:val="dotted" w:color="929292"/>
                          </w:rPr>
                          <w:t>Yachihuacaltepec</w:t>
                          <w:tab/>
                        </w:r>
                      </w:p>
                    </w:tc>
                    <w:tc>
                      <w:tcPr>
                        <w:tcW w:w="767" w:type="dxa"/>
                        <w:tcBorders>
                          <w:top w:val="single" w:sz="4" w:space="0" w:color="FFFFFF"/>
                          <w:bottom w:val="single" w:sz="4" w:space="0" w:color="FFFFFF"/>
                          <w:right w:val="nil"/>
                        </w:tcBorders>
                      </w:tcPr>
                      <w:p>
                        <w:pPr>
                          <w:pStyle w:val="TableParagraph"/>
                          <w:tabs>
                            <w:tab w:pos="741" w:val="left" w:leader="none"/>
                          </w:tabs>
                          <w:spacing w:before="2"/>
                          <w:ind w:left="25"/>
                          <w:rPr>
                            <w:sz w:val="16"/>
                          </w:rPr>
                        </w:pPr>
                        <w:r>
                          <w:rPr>
                            <w:w w:val="100"/>
                            <w:sz w:val="16"/>
                            <w:u w:val="dotted" w:color="929292"/>
                          </w:rPr>
                          <w:t> </w:t>
                        </w:r>
                        <w:r>
                          <w:rPr>
                            <w:spacing w:val="-12"/>
                            <w:sz w:val="16"/>
                            <w:u w:val="dotted" w:color="929292"/>
                          </w:rPr>
                          <w:t> </w:t>
                        </w:r>
                        <w:r>
                          <w:rPr>
                            <w:sz w:val="16"/>
                            <w:u w:val="dotted" w:color="929292"/>
                          </w:rPr>
                          <w:t>25</w:t>
                          <w:tab/>
                        </w:r>
                      </w:p>
                    </w:tc>
                  </w:tr>
                  <w:tr>
                    <w:trPr>
                      <w:trHeight w:val="171" w:hRule="exact"/>
                    </w:trPr>
                    <w:tc>
                      <w:tcPr>
                        <w:tcW w:w="2997" w:type="dxa"/>
                        <w:tcBorders>
                          <w:top w:val="single" w:sz="4" w:space="0" w:color="FFFFFF"/>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7"/>
                            <w:sz w:val="16"/>
                            <w:u w:val="dotted" w:color="929292"/>
                          </w:rPr>
                          <w:t> </w:t>
                        </w:r>
                        <w:r>
                          <w:rPr>
                            <w:sz w:val="16"/>
                            <w:u w:val="dotted" w:color="929292"/>
                          </w:rPr>
                          <w:t>Cacalomacán</w:t>
                          <w:tab/>
                        </w:r>
                      </w:p>
                    </w:tc>
                    <w:tc>
                      <w:tcPr>
                        <w:tcW w:w="850" w:type="dxa"/>
                        <w:tcBorders>
                          <w:top w:val="single" w:sz="4" w:space="0" w:color="FFFFFF"/>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189</w:t>
                          <w:tab/>
                        </w:r>
                      </w:p>
                    </w:tc>
                    <w:tc>
                      <w:tcPr>
                        <w:tcW w:w="3104" w:type="dxa"/>
                        <w:tcBorders>
                          <w:top w:val="single" w:sz="4" w:space="0" w:color="FFFFFF"/>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San Martín</w:t>
                        </w:r>
                        <w:r>
                          <w:rPr>
                            <w:spacing w:val="2"/>
                            <w:sz w:val="16"/>
                            <w:u w:val="dotted" w:color="929292"/>
                          </w:rPr>
                          <w:t> </w:t>
                        </w:r>
                        <w:r>
                          <w:rPr>
                            <w:sz w:val="16"/>
                            <w:u w:val="dotted" w:color="929292"/>
                          </w:rPr>
                          <w:t>Toltepec</w:t>
                          <w:tab/>
                        </w:r>
                      </w:p>
                    </w:tc>
                    <w:tc>
                      <w:tcPr>
                        <w:tcW w:w="767" w:type="dxa"/>
                        <w:tcBorders>
                          <w:top w:val="single" w:sz="4" w:space="0" w:color="FFFFFF"/>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12</w:t>
                          <w:tab/>
                        </w:r>
                      </w:p>
                    </w:tc>
                  </w:tr>
                  <w:tr>
                    <w:trPr>
                      <w:trHeight w:val="191" w:hRule="exact"/>
                    </w:trPr>
                    <w:tc>
                      <w:tcPr>
                        <w:tcW w:w="2997" w:type="dxa"/>
                        <w:tcBorders>
                          <w:top w:val="single" w:sz="4" w:space="0" w:color="FFFFFF"/>
                          <w:left w:val="nil"/>
                          <w:bottom w:val="single" w:sz="4" w:space="0" w:color="FFFFFF"/>
                        </w:tcBorders>
                      </w:tcPr>
                      <w:p>
                        <w:pPr>
                          <w:pStyle w:val="TableParagraph"/>
                          <w:tabs>
                            <w:tab w:pos="2982" w:val="left" w:leader="none"/>
                          </w:tabs>
                          <w:spacing w:line="181" w:lineRule="exact"/>
                          <w:ind w:left="34"/>
                          <w:rPr>
                            <w:sz w:val="16"/>
                          </w:rPr>
                        </w:pPr>
                        <w:r>
                          <w:rPr>
                            <w:w w:val="100"/>
                            <w:sz w:val="16"/>
                            <w:u w:val="dotted" w:color="929292"/>
                          </w:rPr>
                          <w:t> </w:t>
                        </w:r>
                        <w:r>
                          <w:rPr>
                            <w:spacing w:val="-17"/>
                            <w:sz w:val="16"/>
                            <w:u w:val="dotted" w:color="929292"/>
                          </w:rPr>
                          <w:t> </w:t>
                        </w:r>
                        <w:r>
                          <w:rPr>
                            <w:sz w:val="16"/>
                            <w:u w:val="dotted" w:color="929292"/>
                          </w:rPr>
                          <w:t>Calixtlahuaca</w:t>
                          <w:tab/>
                        </w:r>
                      </w:p>
                    </w:tc>
                    <w:tc>
                      <w:tcPr>
                        <w:tcW w:w="850" w:type="dxa"/>
                        <w:tcBorders>
                          <w:top w:val="single" w:sz="4" w:space="0" w:color="FFFFFF"/>
                          <w:bottom w:val="single" w:sz="4" w:space="0" w:color="FFFFFF"/>
                        </w:tcBorders>
                      </w:tcPr>
                      <w:p>
                        <w:pPr>
                          <w:pStyle w:val="TableParagraph"/>
                          <w:tabs>
                            <w:tab w:pos="829" w:val="left" w:leader="none"/>
                          </w:tabs>
                          <w:spacing w:line="181" w:lineRule="exact"/>
                          <w:ind w:left="25"/>
                          <w:rPr>
                            <w:sz w:val="16"/>
                          </w:rPr>
                        </w:pPr>
                        <w:r>
                          <w:rPr>
                            <w:w w:val="100"/>
                            <w:sz w:val="16"/>
                            <w:u w:val="dotted" w:color="929292"/>
                          </w:rPr>
                          <w:t> </w:t>
                        </w:r>
                        <w:r>
                          <w:rPr>
                            <w:spacing w:val="-13"/>
                            <w:sz w:val="16"/>
                            <w:u w:val="dotted" w:color="929292"/>
                          </w:rPr>
                          <w:t> </w:t>
                        </w:r>
                        <w:r>
                          <w:rPr>
                            <w:sz w:val="16"/>
                            <w:u w:val="dotted" w:color="929292"/>
                          </w:rPr>
                          <w:t>57</w:t>
                          <w:tab/>
                        </w:r>
                      </w:p>
                    </w:tc>
                    <w:tc>
                      <w:tcPr>
                        <w:tcW w:w="3104" w:type="dxa"/>
                        <w:tcBorders>
                          <w:top w:val="single" w:sz="4" w:space="0" w:color="FFFFFF"/>
                          <w:bottom w:val="single" w:sz="4" w:space="0" w:color="FFFFFF"/>
                        </w:tcBorders>
                      </w:tcPr>
                      <w:p>
                        <w:pPr>
                          <w:pStyle w:val="TableParagraph"/>
                          <w:tabs>
                            <w:tab w:pos="3084" w:val="left" w:leader="none"/>
                          </w:tabs>
                          <w:spacing w:line="181" w:lineRule="exact"/>
                          <w:ind w:left="25"/>
                          <w:rPr>
                            <w:sz w:val="16"/>
                          </w:rPr>
                        </w:pPr>
                        <w:r>
                          <w:rPr>
                            <w:w w:val="100"/>
                            <w:sz w:val="16"/>
                            <w:u w:val="dotted" w:color="929292"/>
                          </w:rPr>
                          <w:t> </w:t>
                        </w:r>
                        <w:r>
                          <w:rPr>
                            <w:spacing w:val="-12"/>
                            <w:sz w:val="16"/>
                            <w:u w:val="dotted" w:color="929292"/>
                          </w:rPr>
                          <w:t> </w:t>
                        </w:r>
                        <w:r>
                          <w:rPr>
                            <w:sz w:val="16"/>
                            <w:u w:val="dotted" w:color="929292"/>
                          </w:rPr>
                          <w:t>San Mateo</w:t>
                        </w:r>
                        <w:r>
                          <w:rPr>
                            <w:spacing w:val="11"/>
                            <w:sz w:val="16"/>
                            <w:u w:val="dotted" w:color="929292"/>
                          </w:rPr>
                          <w:t> </w:t>
                        </w:r>
                        <w:r>
                          <w:rPr>
                            <w:sz w:val="16"/>
                            <w:u w:val="dotted" w:color="929292"/>
                          </w:rPr>
                          <w:t>Otzacatipan</w:t>
                          <w:tab/>
                        </w:r>
                      </w:p>
                    </w:tc>
                    <w:tc>
                      <w:tcPr>
                        <w:tcW w:w="767" w:type="dxa"/>
                        <w:tcBorders>
                          <w:top w:val="single" w:sz="4" w:space="0" w:color="FFFFFF"/>
                          <w:bottom w:val="single" w:sz="4" w:space="0" w:color="FFFFFF"/>
                          <w:right w:val="nil"/>
                        </w:tcBorders>
                      </w:tcPr>
                      <w:p>
                        <w:pPr>
                          <w:pStyle w:val="TableParagraph"/>
                          <w:tabs>
                            <w:tab w:pos="741" w:val="left" w:leader="none"/>
                          </w:tabs>
                          <w:spacing w:line="181" w:lineRule="exact"/>
                          <w:ind w:left="25"/>
                          <w:rPr>
                            <w:sz w:val="16"/>
                          </w:rPr>
                        </w:pPr>
                        <w:r>
                          <w:rPr>
                            <w:w w:val="100"/>
                            <w:sz w:val="16"/>
                            <w:u w:val="dotted" w:color="929292"/>
                          </w:rPr>
                          <w:t> </w:t>
                        </w:r>
                        <w:r>
                          <w:rPr>
                            <w:spacing w:val="-13"/>
                            <w:sz w:val="16"/>
                            <w:u w:val="dotted" w:color="929292"/>
                          </w:rPr>
                          <w:t> </w:t>
                        </w:r>
                        <w:r>
                          <w:rPr>
                            <w:sz w:val="16"/>
                            <w:u w:val="dotted" w:color="929292"/>
                          </w:rPr>
                          <w:t>388</w:t>
                          <w:tab/>
                        </w:r>
                      </w:p>
                    </w:tc>
                  </w:tr>
                  <w:tr>
                    <w:trPr>
                      <w:trHeight w:val="171" w:hRule="exact"/>
                    </w:trPr>
                    <w:tc>
                      <w:tcPr>
                        <w:tcW w:w="2997" w:type="dxa"/>
                        <w:tcBorders>
                          <w:top w:val="single" w:sz="4" w:space="0" w:color="FFFFFF"/>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7"/>
                            <w:sz w:val="16"/>
                            <w:u w:val="dotted" w:color="929292"/>
                          </w:rPr>
                          <w:t> </w:t>
                        </w:r>
                        <w:r>
                          <w:rPr>
                            <w:sz w:val="16"/>
                            <w:u w:val="dotted" w:color="929292"/>
                          </w:rPr>
                          <w:t>Capultitlán</w:t>
                          <w:tab/>
                        </w:r>
                      </w:p>
                    </w:tc>
                    <w:tc>
                      <w:tcPr>
                        <w:tcW w:w="850" w:type="dxa"/>
                        <w:tcBorders>
                          <w:top w:val="single" w:sz="4" w:space="0" w:color="FFFFFF"/>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16</w:t>
                          <w:tab/>
                        </w:r>
                      </w:p>
                    </w:tc>
                    <w:tc>
                      <w:tcPr>
                        <w:tcW w:w="3104" w:type="dxa"/>
                        <w:tcBorders>
                          <w:top w:val="single" w:sz="4" w:space="0" w:color="FFFFFF"/>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San Mateo</w:t>
                        </w:r>
                        <w:r>
                          <w:rPr>
                            <w:spacing w:val="20"/>
                            <w:sz w:val="16"/>
                            <w:u w:val="dotted" w:color="929292"/>
                          </w:rPr>
                          <w:t> </w:t>
                        </w:r>
                        <w:r>
                          <w:rPr>
                            <w:sz w:val="16"/>
                            <w:u w:val="dotted" w:color="929292"/>
                          </w:rPr>
                          <w:t>Oxtotitlán</w:t>
                          <w:tab/>
                        </w:r>
                      </w:p>
                    </w:tc>
                    <w:tc>
                      <w:tcPr>
                        <w:tcW w:w="767" w:type="dxa"/>
                        <w:tcBorders>
                          <w:top w:val="single" w:sz="4" w:space="0" w:color="FFFFFF"/>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211</w:t>
                          <w:tab/>
                        </w:r>
                      </w:p>
                    </w:tc>
                  </w:tr>
                  <w:tr>
                    <w:trPr>
                      <w:trHeight w:val="184" w:hRule="exact"/>
                    </w:trPr>
                    <w:tc>
                      <w:tcPr>
                        <w:tcW w:w="2997" w:type="dxa"/>
                        <w:tcBorders>
                          <w:top w:val="single" w:sz="4" w:space="0" w:color="FFFFFF"/>
                          <w:left w:val="nil"/>
                          <w:bottom w:val="single" w:sz="4" w:space="0" w:color="FFFFFF"/>
                        </w:tcBorders>
                      </w:tcPr>
                      <w:p>
                        <w:pPr>
                          <w:pStyle w:val="TableParagraph"/>
                          <w:tabs>
                            <w:tab w:pos="2982" w:val="left" w:leader="none"/>
                          </w:tabs>
                          <w:spacing w:line="178" w:lineRule="exact"/>
                          <w:ind w:left="34"/>
                          <w:rPr>
                            <w:sz w:val="16"/>
                          </w:rPr>
                        </w:pPr>
                        <w:r>
                          <w:rPr>
                            <w:w w:val="100"/>
                            <w:sz w:val="16"/>
                            <w:u w:val="dotted" w:color="929292"/>
                          </w:rPr>
                          <w:t> </w:t>
                        </w:r>
                        <w:r>
                          <w:rPr>
                            <w:spacing w:val="-17"/>
                            <w:sz w:val="16"/>
                            <w:u w:val="dotted" w:color="929292"/>
                          </w:rPr>
                          <w:t> </w:t>
                        </w:r>
                        <w:r>
                          <w:rPr>
                            <w:sz w:val="16"/>
                            <w:u w:val="dotted" w:color="929292"/>
                          </w:rPr>
                          <w:t>Centro</w:t>
                        </w:r>
                        <w:r>
                          <w:rPr>
                            <w:spacing w:val="23"/>
                            <w:sz w:val="16"/>
                            <w:u w:val="dotted" w:color="929292"/>
                          </w:rPr>
                          <w:t> </w:t>
                        </w:r>
                        <w:r>
                          <w:rPr>
                            <w:sz w:val="16"/>
                            <w:u w:val="dotted" w:color="929292"/>
                          </w:rPr>
                          <w:t>Histórico</w:t>
                          <w:tab/>
                        </w:r>
                      </w:p>
                    </w:tc>
                    <w:tc>
                      <w:tcPr>
                        <w:tcW w:w="850" w:type="dxa"/>
                        <w:tcBorders>
                          <w:top w:val="single" w:sz="4" w:space="0" w:color="FFFFFF"/>
                          <w:bottom w:val="single" w:sz="4" w:space="0" w:color="FFFFFF"/>
                        </w:tcBorders>
                      </w:tcPr>
                      <w:p>
                        <w:pPr>
                          <w:pStyle w:val="TableParagraph"/>
                          <w:tabs>
                            <w:tab w:pos="829" w:val="left" w:leader="none"/>
                          </w:tabs>
                          <w:spacing w:line="178" w:lineRule="exact"/>
                          <w:ind w:left="25"/>
                          <w:rPr>
                            <w:sz w:val="16"/>
                          </w:rPr>
                        </w:pPr>
                        <w:r>
                          <w:rPr>
                            <w:w w:val="100"/>
                            <w:sz w:val="16"/>
                            <w:u w:val="dotted" w:color="929292"/>
                          </w:rPr>
                          <w:t> </w:t>
                        </w:r>
                        <w:r>
                          <w:rPr>
                            <w:spacing w:val="-13"/>
                            <w:sz w:val="16"/>
                            <w:u w:val="dotted" w:color="929292"/>
                          </w:rPr>
                          <w:t> </w:t>
                        </w:r>
                        <w:r>
                          <w:rPr>
                            <w:sz w:val="16"/>
                            <w:u w:val="dotted" w:color="929292"/>
                          </w:rPr>
                          <w:t>331</w:t>
                          <w:tab/>
                        </w:r>
                      </w:p>
                    </w:tc>
                    <w:tc>
                      <w:tcPr>
                        <w:tcW w:w="3104" w:type="dxa"/>
                        <w:tcBorders>
                          <w:top w:val="single" w:sz="4" w:space="0" w:color="FFFFFF"/>
                          <w:bottom w:val="single" w:sz="4" w:space="0" w:color="FFFFFF"/>
                        </w:tcBorders>
                      </w:tcPr>
                      <w:p>
                        <w:pPr>
                          <w:pStyle w:val="TableParagraph"/>
                          <w:tabs>
                            <w:tab w:pos="3084" w:val="left" w:leader="none"/>
                          </w:tabs>
                          <w:spacing w:line="178" w:lineRule="exact"/>
                          <w:ind w:left="25"/>
                          <w:rPr>
                            <w:sz w:val="16"/>
                          </w:rPr>
                        </w:pPr>
                        <w:r>
                          <w:rPr>
                            <w:w w:val="100"/>
                            <w:sz w:val="16"/>
                            <w:u w:val="dotted" w:color="929292"/>
                          </w:rPr>
                          <w:t> </w:t>
                        </w:r>
                        <w:r>
                          <w:rPr>
                            <w:spacing w:val="-13"/>
                            <w:sz w:val="16"/>
                            <w:u w:val="dotted" w:color="929292"/>
                          </w:rPr>
                          <w:t> </w:t>
                        </w:r>
                        <w:r>
                          <w:rPr>
                            <w:sz w:val="16"/>
                            <w:u w:val="dotted" w:color="929292"/>
                          </w:rPr>
                          <w:t>San Pablo</w:t>
                        </w:r>
                        <w:r>
                          <w:rPr>
                            <w:spacing w:val="5"/>
                            <w:sz w:val="16"/>
                            <w:u w:val="dotted" w:color="929292"/>
                          </w:rPr>
                          <w:t> </w:t>
                        </w:r>
                        <w:r>
                          <w:rPr>
                            <w:sz w:val="16"/>
                            <w:u w:val="dotted" w:color="929292"/>
                          </w:rPr>
                          <w:t>Autopan</w:t>
                          <w:tab/>
                        </w:r>
                      </w:p>
                    </w:tc>
                    <w:tc>
                      <w:tcPr>
                        <w:tcW w:w="767" w:type="dxa"/>
                        <w:tcBorders>
                          <w:top w:val="single" w:sz="4" w:space="0" w:color="FFFFFF"/>
                          <w:bottom w:val="single" w:sz="4" w:space="0" w:color="FFFFFF"/>
                          <w:right w:val="nil"/>
                        </w:tcBorders>
                      </w:tcPr>
                      <w:p>
                        <w:pPr>
                          <w:pStyle w:val="TableParagraph"/>
                          <w:tabs>
                            <w:tab w:pos="741" w:val="left" w:leader="none"/>
                          </w:tabs>
                          <w:spacing w:line="178" w:lineRule="exact"/>
                          <w:ind w:left="25"/>
                          <w:rPr>
                            <w:sz w:val="16"/>
                          </w:rPr>
                        </w:pPr>
                        <w:r>
                          <w:rPr>
                            <w:w w:val="100"/>
                            <w:sz w:val="16"/>
                            <w:u w:val="dotted" w:color="929292"/>
                          </w:rPr>
                          <w:t> </w:t>
                        </w:r>
                        <w:r>
                          <w:rPr>
                            <w:spacing w:val="-13"/>
                            <w:sz w:val="16"/>
                            <w:u w:val="dotted" w:color="929292"/>
                          </w:rPr>
                          <w:t> </w:t>
                        </w:r>
                        <w:r>
                          <w:rPr>
                            <w:sz w:val="16"/>
                            <w:u w:val="dotted" w:color="929292"/>
                          </w:rPr>
                          <w:t>22</w:t>
                          <w:tab/>
                        </w:r>
                      </w:p>
                    </w:tc>
                  </w:tr>
                  <w:tr>
                    <w:trPr>
                      <w:trHeight w:val="171" w:hRule="exact"/>
                    </w:trPr>
                    <w:tc>
                      <w:tcPr>
                        <w:tcW w:w="2997" w:type="dxa"/>
                        <w:tcBorders>
                          <w:top w:val="single" w:sz="4" w:space="0" w:color="FFFFFF"/>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8"/>
                            <w:sz w:val="16"/>
                            <w:u w:val="dotted" w:color="929292"/>
                          </w:rPr>
                          <w:t> </w:t>
                        </w:r>
                        <w:r>
                          <w:rPr>
                            <w:sz w:val="16"/>
                            <w:u w:val="dotted" w:color="929292"/>
                          </w:rPr>
                          <w:t>Ciudad</w:t>
                        </w:r>
                        <w:r>
                          <w:rPr>
                            <w:spacing w:val="5"/>
                            <w:sz w:val="16"/>
                            <w:u w:val="dotted" w:color="929292"/>
                          </w:rPr>
                          <w:t> </w:t>
                        </w:r>
                        <w:r>
                          <w:rPr>
                            <w:sz w:val="16"/>
                            <w:u w:val="dotted" w:color="929292"/>
                          </w:rPr>
                          <w:t>Universitaria</w:t>
                          <w:tab/>
                        </w:r>
                      </w:p>
                    </w:tc>
                    <w:tc>
                      <w:tcPr>
                        <w:tcW w:w="850" w:type="dxa"/>
                        <w:tcBorders>
                          <w:top w:val="single" w:sz="4" w:space="0" w:color="FFFFFF"/>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257</w:t>
                          <w:tab/>
                        </w:r>
                      </w:p>
                    </w:tc>
                    <w:tc>
                      <w:tcPr>
                        <w:tcW w:w="3104" w:type="dxa"/>
                        <w:tcBorders>
                          <w:top w:val="single" w:sz="4" w:space="0" w:color="FFFFFF"/>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San Pedro</w:t>
                        </w:r>
                        <w:r>
                          <w:rPr>
                            <w:spacing w:val="13"/>
                            <w:sz w:val="16"/>
                            <w:u w:val="dotted" w:color="929292"/>
                          </w:rPr>
                          <w:t> </w:t>
                        </w:r>
                        <w:r>
                          <w:rPr>
                            <w:sz w:val="16"/>
                            <w:u w:val="dotted" w:color="929292"/>
                          </w:rPr>
                          <w:t>Totoltepec</w:t>
                          <w:tab/>
                        </w:r>
                      </w:p>
                    </w:tc>
                    <w:tc>
                      <w:tcPr>
                        <w:tcW w:w="767" w:type="dxa"/>
                        <w:tcBorders>
                          <w:top w:val="single" w:sz="4" w:space="0" w:color="FFFFFF"/>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404</w:t>
                          <w:tab/>
                        </w:r>
                      </w:p>
                    </w:tc>
                  </w:tr>
                  <w:tr>
                    <w:trPr>
                      <w:trHeight w:val="176" w:hRule="exact"/>
                    </w:trPr>
                    <w:tc>
                      <w:tcPr>
                        <w:tcW w:w="2997" w:type="dxa"/>
                        <w:tcBorders>
                          <w:top w:val="single" w:sz="4" w:space="0" w:color="FFFFFF"/>
                          <w:left w:val="nil"/>
                          <w:bottom w:val="single" w:sz="4" w:space="0" w:color="FFFFFF"/>
                        </w:tcBorders>
                      </w:tcPr>
                      <w:p>
                        <w:pPr>
                          <w:pStyle w:val="TableParagraph"/>
                          <w:tabs>
                            <w:tab w:pos="2982" w:val="left" w:leader="none"/>
                          </w:tabs>
                          <w:spacing w:line="174" w:lineRule="exact"/>
                          <w:ind w:left="34"/>
                          <w:rPr>
                            <w:sz w:val="16"/>
                          </w:rPr>
                        </w:pPr>
                        <w:r>
                          <w:rPr>
                            <w:w w:val="100"/>
                            <w:sz w:val="16"/>
                            <w:u w:val="dotted" w:color="929292"/>
                          </w:rPr>
                          <w:t> </w:t>
                        </w:r>
                        <w:r>
                          <w:rPr>
                            <w:spacing w:val="-18"/>
                            <w:sz w:val="16"/>
                            <w:u w:val="dotted" w:color="929292"/>
                          </w:rPr>
                          <w:t> </w:t>
                        </w:r>
                        <w:r>
                          <w:rPr>
                            <w:sz w:val="16"/>
                            <w:u w:val="dotted" w:color="929292"/>
                          </w:rPr>
                          <w:t>Colón</w:t>
                          <w:tab/>
                        </w:r>
                      </w:p>
                    </w:tc>
                    <w:tc>
                      <w:tcPr>
                        <w:tcW w:w="850" w:type="dxa"/>
                        <w:tcBorders>
                          <w:top w:val="single" w:sz="4" w:space="0" w:color="FFFFFF"/>
                          <w:bottom w:val="single" w:sz="4" w:space="0" w:color="FFFFFF"/>
                        </w:tcBorders>
                      </w:tcPr>
                      <w:p>
                        <w:pPr>
                          <w:pStyle w:val="TableParagraph"/>
                          <w:tabs>
                            <w:tab w:pos="829" w:val="left" w:leader="none"/>
                          </w:tabs>
                          <w:spacing w:line="174" w:lineRule="exact"/>
                          <w:ind w:left="25"/>
                          <w:rPr>
                            <w:sz w:val="16"/>
                          </w:rPr>
                        </w:pPr>
                        <w:r>
                          <w:rPr>
                            <w:w w:val="100"/>
                            <w:sz w:val="16"/>
                            <w:u w:val="dotted" w:color="929292"/>
                          </w:rPr>
                          <w:t> </w:t>
                        </w:r>
                        <w:r>
                          <w:rPr>
                            <w:spacing w:val="-13"/>
                            <w:sz w:val="16"/>
                            <w:u w:val="dotted" w:color="929292"/>
                          </w:rPr>
                          <w:t> </w:t>
                        </w:r>
                        <w:r>
                          <w:rPr>
                            <w:sz w:val="16"/>
                            <w:u w:val="dotted" w:color="929292"/>
                          </w:rPr>
                          <w:t>466</w:t>
                          <w:tab/>
                        </w:r>
                      </w:p>
                    </w:tc>
                    <w:tc>
                      <w:tcPr>
                        <w:tcW w:w="3104" w:type="dxa"/>
                        <w:tcBorders>
                          <w:top w:val="single" w:sz="4" w:space="0" w:color="FFFFFF"/>
                          <w:bottom w:val="single" w:sz="4" w:space="0" w:color="FFFFFF"/>
                        </w:tcBorders>
                      </w:tcPr>
                      <w:p>
                        <w:pPr>
                          <w:pStyle w:val="TableParagraph"/>
                          <w:tabs>
                            <w:tab w:pos="3084" w:val="left" w:leader="none"/>
                          </w:tabs>
                          <w:spacing w:line="174" w:lineRule="exact"/>
                          <w:ind w:left="25"/>
                          <w:rPr>
                            <w:sz w:val="16"/>
                          </w:rPr>
                        </w:pPr>
                        <w:r>
                          <w:rPr>
                            <w:w w:val="100"/>
                            <w:sz w:val="16"/>
                            <w:u w:val="dotted" w:color="929292"/>
                          </w:rPr>
                          <w:t> </w:t>
                        </w:r>
                        <w:r>
                          <w:rPr>
                            <w:spacing w:val="-13"/>
                            <w:sz w:val="16"/>
                            <w:u w:val="dotted" w:color="929292"/>
                          </w:rPr>
                          <w:t> </w:t>
                        </w:r>
                        <w:r>
                          <w:rPr>
                            <w:sz w:val="16"/>
                            <w:u w:val="dotted" w:color="929292"/>
                          </w:rPr>
                          <w:t>San</w:t>
                        </w:r>
                        <w:r>
                          <w:rPr>
                            <w:spacing w:val="-7"/>
                            <w:sz w:val="16"/>
                            <w:u w:val="dotted" w:color="929292"/>
                          </w:rPr>
                          <w:t> </w:t>
                        </w:r>
                        <w:r>
                          <w:rPr>
                            <w:sz w:val="16"/>
                            <w:u w:val="dotted" w:color="929292"/>
                          </w:rPr>
                          <w:t>Sebastián</w:t>
                          <w:tab/>
                        </w:r>
                      </w:p>
                    </w:tc>
                    <w:tc>
                      <w:tcPr>
                        <w:tcW w:w="767" w:type="dxa"/>
                        <w:tcBorders>
                          <w:top w:val="single" w:sz="4" w:space="0" w:color="FFFFFF"/>
                          <w:bottom w:val="single" w:sz="4" w:space="0" w:color="FFFFFF"/>
                          <w:right w:val="nil"/>
                        </w:tcBorders>
                      </w:tcPr>
                      <w:p>
                        <w:pPr>
                          <w:pStyle w:val="TableParagraph"/>
                          <w:tabs>
                            <w:tab w:pos="741" w:val="left" w:leader="none"/>
                          </w:tabs>
                          <w:spacing w:line="174" w:lineRule="exact"/>
                          <w:ind w:left="25"/>
                          <w:rPr>
                            <w:sz w:val="16"/>
                          </w:rPr>
                        </w:pPr>
                        <w:r>
                          <w:rPr>
                            <w:w w:val="100"/>
                            <w:sz w:val="16"/>
                            <w:u w:val="dotted" w:color="929292"/>
                          </w:rPr>
                          <w:t> </w:t>
                        </w:r>
                        <w:r>
                          <w:rPr>
                            <w:spacing w:val="-13"/>
                            <w:sz w:val="16"/>
                            <w:u w:val="dotted" w:color="929292"/>
                          </w:rPr>
                          <w:t> </w:t>
                        </w:r>
                        <w:r>
                          <w:rPr>
                            <w:sz w:val="16"/>
                            <w:u w:val="dotted" w:color="929292"/>
                          </w:rPr>
                          <w:t>125</w:t>
                          <w:tab/>
                        </w:r>
                      </w:p>
                    </w:tc>
                  </w:tr>
                  <w:tr>
                    <w:trPr>
                      <w:trHeight w:val="171" w:hRule="exact"/>
                    </w:trPr>
                    <w:tc>
                      <w:tcPr>
                        <w:tcW w:w="2997" w:type="dxa"/>
                        <w:tcBorders>
                          <w:top w:val="single" w:sz="4" w:space="0" w:color="FFFFFF"/>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8"/>
                            <w:sz w:val="16"/>
                            <w:u w:val="dotted" w:color="929292"/>
                          </w:rPr>
                          <w:t> </w:t>
                        </w:r>
                        <w:r>
                          <w:rPr>
                            <w:sz w:val="16"/>
                            <w:u w:val="dotted" w:color="929292"/>
                          </w:rPr>
                          <w:t>Del</w:t>
                        </w:r>
                        <w:r>
                          <w:rPr>
                            <w:spacing w:val="-10"/>
                            <w:sz w:val="16"/>
                            <w:u w:val="dotted" w:color="929292"/>
                          </w:rPr>
                          <w:t> </w:t>
                        </w:r>
                        <w:r>
                          <w:rPr>
                            <w:sz w:val="16"/>
                            <w:u w:val="dotted" w:color="929292"/>
                          </w:rPr>
                          <w:t>Parque</w:t>
                          <w:tab/>
                        </w:r>
                      </w:p>
                    </w:tc>
                    <w:tc>
                      <w:tcPr>
                        <w:tcW w:w="850" w:type="dxa"/>
                        <w:tcBorders>
                          <w:top w:val="single" w:sz="4" w:space="0" w:color="FFFFFF"/>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60</w:t>
                          <w:tab/>
                        </w:r>
                      </w:p>
                    </w:tc>
                    <w:tc>
                      <w:tcPr>
                        <w:tcW w:w="3104" w:type="dxa"/>
                        <w:tcBorders>
                          <w:top w:val="single" w:sz="4" w:space="0" w:color="FFFFFF"/>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Sánchez</w:t>
                          <w:tab/>
                        </w:r>
                      </w:p>
                    </w:tc>
                    <w:tc>
                      <w:tcPr>
                        <w:tcW w:w="767" w:type="dxa"/>
                        <w:tcBorders>
                          <w:top w:val="single" w:sz="4" w:space="0" w:color="FFFFFF"/>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257</w:t>
                          <w:tab/>
                        </w:r>
                      </w:p>
                    </w:tc>
                  </w:tr>
                  <w:tr>
                    <w:trPr>
                      <w:trHeight w:val="171" w:hRule="exact"/>
                    </w:trPr>
                    <w:tc>
                      <w:tcPr>
                        <w:tcW w:w="2997" w:type="dxa"/>
                        <w:tcBorders>
                          <w:top w:val="single" w:sz="4" w:space="0" w:color="FFFFFF"/>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8"/>
                            <w:sz w:val="16"/>
                            <w:u w:val="dotted" w:color="929292"/>
                          </w:rPr>
                          <w:t> </w:t>
                        </w:r>
                        <w:r>
                          <w:rPr>
                            <w:sz w:val="16"/>
                            <w:u w:val="dotted" w:color="929292"/>
                          </w:rPr>
                          <w:t>Felipe Chávez</w:t>
                        </w:r>
                        <w:r>
                          <w:rPr>
                            <w:spacing w:val="-13"/>
                            <w:sz w:val="16"/>
                            <w:u w:val="dotted" w:color="929292"/>
                          </w:rPr>
                          <w:t> </w:t>
                        </w:r>
                        <w:r>
                          <w:rPr>
                            <w:sz w:val="16"/>
                            <w:u w:val="dotted" w:color="929292"/>
                          </w:rPr>
                          <w:t>Becerril</w:t>
                          <w:tab/>
                        </w:r>
                      </w:p>
                    </w:tc>
                    <w:tc>
                      <w:tcPr>
                        <w:tcW w:w="850" w:type="dxa"/>
                        <w:tcBorders>
                          <w:top w:val="single" w:sz="4" w:space="0" w:color="FFFFFF"/>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4</w:t>
                          <w:tab/>
                        </w:r>
                      </w:p>
                    </w:tc>
                    <w:tc>
                      <w:tcPr>
                        <w:tcW w:w="3104" w:type="dxa"/>
                        <w:tcBorders>
                          <w:top w:val="single" w:sz="4" w:space="0" w:color="FFFFFF"/>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3"/>
                            <w:sz w:val="16"/>
                            <w:u w:val="dotted" w:color="929292"/>
                          </w:rPr>
                          <w:t> </w:t>
                        </w:r>
                        <w:r>
                          <w:rPr>
                            <w:sz w:val="16"/>
                            <w:u w:val="dotted" w:color="929292"/>
                          </w:rPr>
                          <w:t>Santa Ana</w:t>
                        </w:r>
                        <w:r>
                          <w:rPr>
                            <w:spacing w:val="-7"/>
                            <w:sz w:val="16"/>
                            <w:u w:val="dotted" w:color="929292"/>
                          </w:rPr>
                          <w:t> </w:t>
                        </w:r>
                        <w:r>
                          <w:rPr>
                            <w:sz w:val="16"/>
                            <w:u w:val="dotted" w:color="929292"/>
                          </w:rPr>
                          <w:t>Tepaltitlán</w:t>
                          <w:tab/>
                        </w:r>
                      </w:p>
                    </w:tc>
                    <w:tc>
                      <w:tcPr>
                        <w:tcW w:w="767" w:type="dxa"/>
                        <w:tcBorders>
                          <w:top w:val="single" w:sz="4" w:space="0" w:color="FFFFFF"/>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1,063</w:t>
                          <w:tab/>
                        </w:r>
                      </w:p>
                    </w:tc>
                  </w:tr>
                  <w:tr>
                    <w:trPr>
                      <w:trHeight w:val="228" w:hRule="exact"/>
                    </w:trPr>
                    <w:tc>
                      <w:tcPr>
                        <w:tcW w:w="2997" w:type="dxa"/>
                        <w:tcBorders>
                          <w:top w:val="single" w:sz="4" w:space="0" w:color="FFFFFF"/>
                          <w:left w:val="nil"/>
                        </w:tcBorders>
                      </w:tcPr>
                      <w:p>
                        <w:pPr>
                          <w:pStyle w:val="TableParagraph"/>
                          <w:spacing w:before="16"/>
                          <w:ind w:left="106"/>
                          <w:rPr>
                            <w:sz w:val="16"/>
                          </w:rPr>
                        </w:pPr>
                        <w:r>
                          <w:rPr>
                            <w:sz w:val="16"/>
                          </w:rPr>
                          <w:t>Independencia</w:t>
                        </w:r>
                      </w:p>
                    </w:tc>
                    <w:tc>
                      <w:tcPr>
                        <w:tcW w:w="850" w:type="dxa"/>
                        <w:tcBorders>
                          <w:top w:val="single" w:sz="4" w:space="0" w:color="FFFFFF"/>
                        </w:tcBorders>
                      </w:tcPr>
                      <w:p>
                        <w:pPr>
                          <w:pStyle w:val="TableParagraph"/>
                          <w:spacing w:before="16"/>
                          <w:ind w:left="101"/>
                          <w:rPr>
                            <w:sz w:val="16"/>
                          </w:rPr>
                        </w:pPr>
                        <w:r>
                          <w:rPr>
                            <w:sz w:val="16"/>
                          </w:rPr>
                          <w:t>2,766</w:t>
                        </w:r>
                      </w:p>
                    </w:tc>
                    <w:tc>
                      <w:tcPr>
                        <w:tcW w:w="3104" w:type="dxa"/>
                        <w:tcBorders>
                          <w:top w:val="single" w:sz="4" w:space="0" w:color="FFFFFF"/>
                        </w:tcBorders>
                      </w:tcPr>
                      <w:p>
                        <w:pPr>
                          <w:pStyle w:val="TableParagraph"/>
                          <w:spacing w:before="16"/>
                          <w:ind w:left="101"/>
                          <w:rPr>
                            <w:sz w:val="16"/>
                          </w:rPr>
                        </w:pPr>
                        <w:r>
                          <w:rPr>
                            <w:sz w:val="16"/>
                          </w:rPr>
                          <w:t>Santa Cruz Atzcapotzaltongo</w:t>
                        </w:r>
                      </w:p>
                    </w:tc>
                    <w:tc>
                      <w:tcPr>
                        <w:tcW w:w="767" w:type="dxa"/>
                        <w:tcBorders>
                          <w:top w:val="single" w:sz="4" w:space="0" w:color="FFFFFF"/>
                          <w:right w:val="nil"/>
                        </w:tcBorders>
                      </w:tcPr>
                      <w:p>
                        <w:pPr>
                          <w:pStyle w:val="TableParagraph"/>
                          <w:spacing w:before="16"/>
                          <w:ind w:left="101"/>
                          <w:rPr>
                            <w:sz w:val="16"/>
                          </w:rPr>
                        </w:pPr>
                        <w:r>
                          <w:rPr>
                            <w:sz w:val="16"/>
                          </w:rPr>
                          <w:t>33</w:t>
                        </w:r>
                      </w:p>
                    </w:tc>
                  </w:tr>
                  <w:tr>
                    <w:trPr>
                      <w:trHeight w:val="171" w:hRule="exact"/>
                    </w:trPr>
                    <w:tc>
                      <w:tcPr>
                        <w:tcW w:w="2997" w:type="dxa"/>
                        <w:tcBorders>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8"/>
                            <w:sz w:val="16"/>
                            <w:u w:val="dotted" w:color="929292"/>
                          </w:rPr>
                          <w:t> </w:t>
                        </w:r>
                        <w:r>
                          <w:rPr>
                            <w:sz w:val="16"/>
                            <w:u w:val="dotted" w:color="929292"/>
                          </w:rPr>
                          <w:t>La</w:t>
                        </w:r>
                        <w:r>
                          <w:rPr>
                            <w:spacing w:val="8"/>
                            <w:sz w:val="16"/>
                            <w:u w:val="dotted" w:color="929292"/>
                          </w:rPr>
                          <w:t> </w:t>
                        </w:r>
                        <w:r>
                          <w:rPr>
                            <w:sz w:val="16"/>
                            <w:u w:val="dotted" w:color="929292"/>
                          </w:rPr>
                          <w:t>Maquinita</w:t>
                          <w:tab/>
                        </w:r>
                      </w:p>
                    </w:tc>
                    <w:tc>
                      <w:tcPr>
                        <w:tcW w:w="850" w:type="dxa"/>
                        <w:tcBorders>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528</w:t>
                          <w:tab/>
                        </w:r>
                      </w:p>
                    </w:tc>
                    <w:tc>
                      <w:tcPr>
                        <w:tcW w:w="3104" w:type="dxa"/>
                        <w:tcBorders>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Santa María de las</w:t>
                        </w:r>
                        <w:r>
                          <w:rPr>
                            <w:spacing w:val="-19"/>
                            <w:sz w:val="16"/>
                            <w:u w:val="dotted" w:color="929292"/>
                          </w:rPr>
                          <w:t> </w:t>
                        </w:r>
                        <w:r>
                          <w:rPr>
                            <w:sz w:val="16"/>
                            <w:u w:val="dotted" w:color="929292"/>
                          </w:rPr>
                          <w:t>Rosas</w:t>
                          <w:tab/>
                        </w:r>
                      </w:p>
                    </w:tc>
                    <w:tc>
                      <w:tcPr>
                        <w:tcW w:w="767" w:type="dxa"/>
                        <w:tcBorders>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48</w:t>
                          <w:tab/>
                        </w:r>
                      </w:p>
                    </w:tc>
                  </w:tr>
                  <w:tr>
                    <w:trPr>
                      <w:trHeight w:val="206" w:hRule="exact"/>
                    </w:trPr>
                    <w:tc>
                      <w:tcPr>
                        <w:tcW w:w="2997" w:type="dxa"/>
                        <w:tcBorders>
                          <w:top w:val="single" w:sz="4" w:space="0" w:color="FFFFFF"/>
                          <w:left w:val="nil"/>
                          <w:bottom w:val="single" w:sz="4" w:space="0" w:color="FFFFFF"/>
                        </w:tcBorders>
                      </w:tcPr>
                      <w:p>
                        <w:pPr>
                          <w:pStyle w:val="TableParagraph"/>
                          <w:tabs>
                            <w:tab w:pos="2982" w:val="left" w:leader="none"/>
                          </w:tabs>
                          <w:spacing w:before="5"/>
                          <w:ind w:left="34"/>
                          <w:rPr>
                            <w:sz w:val="16"/>
                          </w:rPr>
                        </w:pPr>
                        <w:r>
                          <w:rPr>
                            <w:w w:val="100"/>
                            <w:sz w:val="16"/>
                            <w:u w:val="dotted" w:color="929292"/>
                          </w:rPr>
                          <w:t> </w:t>
                        </w:r>
                        <w:r>
                          <w:rPr>
                            <w:spacing w:val="-19"/>
                            <w:sz w:val="16"/>
                            <w:u w:val="dotted" w:color="929292"/>
                          </w:rPr>
                          <w:t> </w:t>
                        </w:r>
                        <w:r>
                          <w:rPr>
                            <w:sz w:val="16"/>
                            <w:u w:val="dotted" w:color="929292"/>
                          </w:rPr>
                          <w:t>Moderna de la</w:t>
                        </w:r>
                        <w:r>
                          <w:rPr>
                            <w:spacing w:val="5"/>
                            <w:sz w:val="16"/>
                            <w:u w:val="dotted" w:color="929292"/>
                          </w:rPr>
                          <w:t> </w:t>
                        </w:r>
                        <w:r>
                          <w:rPr>
                            <w:sz w:val="16"/>
                            <w:u w:val="dotted" w:color="929292"/>
                          </w:rPr>
                          <w:t>Cruz</w:t>
                          <w:tab/>
                        </w:r>
                      </w:p>
                    </w:tc>
                    <w:tc>
                      <w:tcPr>
                        <w:tcW w:w="850" w:type="dxa"/>
                        <w:tcBorders>
                          <w:top w:val="single" w:sz="4" w:space="0" w:color="FFFFFF"/>
                          <w:bottom w:val="single" w:sz="4" w:space="0" w:color="FFFFFF"/>
                        </w:tcBorders>
                      </w:tcPr>
                      <w:p>
                        <w:pPr>
                          <w:pStyle w:val="TableParagraph"/>
                          <w:tabs>
                            <w:tab w:pos="829" w:val="left" w:leader="none"/>
                          </w:tabs>
                          <w:spacing w:before="5"/>
                          <w:ind w:left="25"/>
                          <w:rPr>
                            <w:sz w:val="16"/>
                          </w:rPr>
                        </w:pPr>
                        <w:r>
                          <w:rPr>
                            <w:w w:val="100"/>
                            <w:sz w:val="16"/>
                            <w:u w:val="dotted" w:color="929292"/>
                          </w:rPr>
                          <w:t> </w:t>
                        </w:r>
                        <w:r>
                          <w:rPr>
                            <w:spacing w:val="-14"/>
                            <w:sz w:val="16"/>
                            <w:u w:val="dotted" w:color="929292"/>
                          </w:rPr>
                          <w:t> </w:t>
                        </w:r>
                        <w:r>
                          <w:rPr>
                            <w:sz w:val="16"/>
                            <w:u w:val="dotted" w:color="929292"/>
                          </w:rPr>
                          <w:t>4</w:t>
                          <w:tab/>
                        </w:r>
                      </w:p>
                    </w:tc>
                    <w:tc>
                      <w:tcPr>
                        <w:tcW w:w="3104" w:type="dxa"/>
                        <w:tcBorders>
                          <w:top w:val="single" w:sz="4" w:space="0" w:color="FFFFFF"/>
                          <w:bottom w:val="single" w:sz="4" w:space="0" w:color="FFFFFF"/>
                        </w:tcBorders>
                      </w:tcPr>
                      <w:p>
                        <w:pPr>
                          <w:pStyle w:val="TableParagraph"/>
                          <w:tabs>
                            <w:tab w:pos="3084" w:val="left" w:leader="none"/>
                          </w:tabs>
                          <w:spacing w:before="5"/>
                          <w:ind w:left="25"/>
                          <w:rPr>
                            <w:sz w:val="16"/>
                          </w:rPr>
                        </w:pPr>
                        <w:r>
                          <w:rPr>
                            <w:w w:val="100"/>
                            <w:sz w:val="16"/>
                            <w:u w:val="dotted" w:color="929292"/>
                          </w:rPr>
                          <w:t> </w:t>
                        </w:r>
                        <w:r>
                          <w:rPr>
                            <w:spacing w:val="-14"/>
                            <w:sz w:val="16"/>
                            <w:u w:val="dotted" w:color="929292"/>
                          </w:rPr>
                          <w:t> </w:t>
                        </w:r>
                        <w:r>
                          <w:rPr>
                            <w:sz w:val="16"/>
                            <w:u w:val="dotted" w:color="929292"/>
                          </w:rPr>
                          <w:t>Santa María</w:t>
                        </w:r>
                        <w:r>
                          <w:rPr>
                            <w:spacing w:val="5"/>
                            <w:sz w:val="16"/>
                            <w:u w:val="dotted" w:color="929292"/>
                          </w:rPr>
                          <w:t> </w:t>
                        </w:r>
                        <w:r>
                          <w:rPr>
                            <w:sz w:val="16"/>
                            <w:u w:val="dotted" w:color="929292"/>
                          </w:rPr>
                          <w:t>Totoltepec</w:t>
                          <w:tab/>
                        </w:r>
                      </w:p>
                    </w:tc>
                    <w:tc>
                      <w:tcPr>
                        <w:tcW w:w="767" w:type="dxa"/>
                        <w:tcBorders>
                          <w:top w:val="single" w:sz="4" w:space="0" w:color="FFFFFF"/>
                          <w:bottom w:val="single" w:sz="4" w:space="0" w:color="FFFFFF"/>
                          <w:right w:val="nil"/>
                        </w:tcBorders>
                      </w:tcPr>
                      <w:p>
                        <w:pPr>
                          <w:pStyle w:val="TableParagraph"/>
                          <w:tabs>
                            <w:tab w:pos="741" w:val="left" w:leader="none"/>
                          </w:tabs>
                          <w:spacing w:before="5"/>
                          <w:ind w:left="25"/>
                          <w:rPr>
                            <w:sz w:val="16"/>
                          </w:rPr>
                        </w:pPr>
                        <w:r>
                          <w:rPr>
                            <w:w w:val="100"/>
                            <w:sz w:val="16"/>
                            <w:u w:val="dotted" w:color="929292"/>
                          </w:rPr>
                          <w:t> </w:t>
                        </w:r>
                        <w:r>
                          <w:rPr>
                            <w:spacing w:val="-14"/>
                            <w:sz w:val="16"/>
                            <w:u w:val="dotted" w:color="929292"/>
                          </w:rPr>
                          <w:t> </w:t>
                        </w:r>
                        <w:r>
                          <w:rPr>
                            <w:sz w:val="16"/>
                            <w:u w:val="dotted" w:color="929292"/>
                          </w:rPr>
                          <w:t>443</w:t>
                          <w:tab/>
                        </w:r>
                      </w:p>
                    </w:tc>
                  </w:tr>
                  <w:tr>
                    <w:trPr>
                      <w:trHeight w:val="171" w:hRule="exact"/>
                    </w:trPr>
                    <w:tc>
                      <w:tcPr>
                        <w:tcW w:w="2997" w:type="dxa"/>
                        <w:tcBorders>
                          <w:top w:val="single" w:sz="4" w:space="0" w:color="FFFFFF"/>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9"/>
                            <w:sz w:val="16"/>
                            <w:u w:val="dotted" w:color="929292"/>
                          </w:rPr>
                          <w:t> </w:t>
                        </w:r>
                        <w:r>
                          <w:rPr>
                            <w:sz w:val="16"/>
                            <w:u w:val="dotted" w:color="929292"/>
                          </w:rPr>
                          <w:t>Morelos</w:t>
                          <w:tab/>
                        </w:r>
                      </w:p>
                    </w:tc>
                    <w:tc>
                      <w:tcPr>
                        <w:tcW w:w="850" w:type="dxa"/>
                        <w:tcBorders>
                          <w:top w:val="single" w:sz="4" w:space="0" w:color="FFFFFF"/>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118</w:t>
                          <w:tab/>
                        </w:r>
                      </w:p>
                    </w:tc>
                    <w:tc>
                      <w:tcPr>
                        <w:tcW w:w="3104" w:type="dxa"/>
                        <w:tcBorders>
                          <w:top w:val="single" w:sz="4" w:space="0" w:color="FFFFFF"/>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Santiago</w:t>
                        </w:r>
                        <w:r>
                          <w:rPr>
                            <w:spacing w:val="20"/>
                            <w:sz w:val="16"/>
                            <w:u w:val="dotted" w:color="929292"/>
                          </w:rPr>
                          <w:t> </w:t>
                        </w:r>
                        <w:r>
                          <w:rPr>
                            <w:sz w:val="16"/>
                            <w:u w:val="dotted" w:color="929292"/>
                          </w:rPr>
                          <w:t>Miltepec</w:t>
                          <w:tab/>
                        </w:r>
                      </w:p>
                    </w:tc>
                    <w:tc>
                      <w:tcPr>
                        <w:tcW w:w="767" w:type="dxa"/>
                        <w:tcBorders>
                          <w:top w:val="single" w:sz="4" w:space="0" w:color="FFFFFF"/>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52</w:t>
                          <w:tab/>
                        </w:r>
                      </w:p>
                    </w:tc>
                  </w:tr>
                  <w:tr>
                    <w:trPr>
                      <w:trHeight w:val="198" w:hRule="exact"/>
                    </w:trPr>
                    <w:tc>
                      <w:tcPr>
                        <w:tcW w:w="2997" w:type="dxa"/>
                        <w:tcBorders>
                          <w:top w:val="single" w:sz="4" w:space="0" w:color="FFFFFF"/>
                          <w:left w:val="nil"/>
                          <w:bottom w:val="single" w:sz="4" w:space="0" w:color="FFFFFF"/>
                        </w:tcBorders>
                      </w:tcPr>
                      <w:p>
                        <w:pPr>
                          <w:pStyle w:val="TableParagraph"/>
                          <w:tabs>
                            <w:tab w:pos="2982" w:val="left" w:leader="none"/>
                          </w:tabs>
                          <w:spacing w:before="1"/>
                          <w:ind w:left="34"/>
                          <w:rPr>
                            <w:sz w:val="16"/>
                          </w:rPr>
                        </w:pPr>
                        <w:r>
                          <w:rPr>
                            <w:w w:val="100"/>
                            <w:sz w:val="16"/>
                            <w:u w:val="dotted" w:color="929292"/>
                          </w:rPr>
                          <w:t> </w:t>
                        </w:r>
                        <w:r>
                          <w:rPr>
                            <w:spacing w:val="-19"/>
                            <w:sz w:val="16"/>
                            <w:u w:val="dotted" w:color="929292"/>
                          </w:rPr>
                          <w:t> </w:t>
                        </w:r>
                        <w:r>
                          <w:rPr>
                            <w:sz w:val="16"/>
                            <w:u w:val="dotted" w:color="929292"/>
                          </w:rPr>
                          <w:t>Nueva</w:t>
                        </w:r>
                        <w:r>
                          <w:rPr>
                            <w:spacing w:val="11"/>
                            <w:sz w:val="16"/>
                            <w:u w:val="dotted" w:color="929292"/>
                          </w:rPr>
                          <w:t> </w:t>
                        </w:r>
                        <w:r>
                          <w:rPr>
                            <w:sz w:val="16"/>
                            <w:u w:val="dotted" w:color="929292"/>
                          </w:rPr>
                          <w:t>Oxtotitlan</w:t>
                          <w:tab/>
                        </w:r>
                      </w:p>
                    </w:tc>
                    <w:tc>
                      <w:tcPr>
                        <w:tcW w:w="850" w:type="dxa"/>
                        <w:tcBorders>
                          <w:top w:val="single" w:sz="4" w:space="0" w:color="FFFFFF"/>
                          <w:bottom w:val="single" w:sz="4" w:space="0" w:color="FFFFFF"/>
                        </w:tcBorders>
                      </w:tcPr>
                      <w:p>
                        <w:pPr>
                          <w:pStyle w:val="TableParagraph"/>
                          <w:tabs>
                            <w:tab w:pos="829" w:val="left" w:leader="none"/>
                          </w:tabs>
                          <w:spacing w:before="1"/>
                          <w:ind w:left="25"/>
                          <w:rPr>
                            <w:sz w:val="16"/>
                          </w:rPr>
                        </w:pPr>
                        <w:r>
                          <w:rPr>
                            <w:w w:val="100"/>
                            <w:sz w:val="16"/>
                            <w:u w:val="dotted" w:color="929292"/>
                          </w:rPr>
                          <w:t> </w:t>
                        </w:r>
                        <w:r>
                          <w:rPr>
                            <w:spacing w:val="-14"/>
                            <w:sz w:val="16"/>
                            <w:u w:val="dotted" w:color="929292"/>
                          </w:rPr>
                          <w:t> </w:t>
                        </w:r>
                        <w:r>
                          <w:rPr>
                            <w:sz w:val="16"/>
                            <w:u w:val="dotted" w:color="929292"/>
                          </w:rPr>
                          <w:t>0</w:t>
                          <w:tab/>
                        </w:r>
                      </w:p>
                    </w:tc>
                    <w:tc>
                      <w:tcPr>
                        <w:tcW w:w="3104" w:type="dxa"/>
                        <w:tcBorders>
                          <w:top w:val="single" w:sz="4" w:space="0" w:color="FFFFFF"/>
                          <w:bottom w:val="single" w:sz="4" w:space="0" w:color="FFFFFF"/>
                        </w:tcBorders>
                      </w:tcPr>
                      <w:p>
                        <w:pPr>
                          <w:pStyle w:val="TableParagraph"/>
                          <w:tabs>
                            <w:tab w:pos="3084" w:val="left" w:leader="none"/>
                          </w:tabs>
                          <w:spacing w:before="1"/>
                          <w:ind w:left="25"/>
                          <w:rPr>
                            <w:sz w:val="16"/>
                          </w:rPr>
                        </w:pPr>
                        <w:r>
                          <w:rPr>
                            <w:w w:val="100"/>
                            <w:sz w:val="16"/>
                            <w:u w:val="dotted" w:color="929292"/>
                          </w:rPr>
                          <w:t> </w:t>
                        </w:r>
                        <w:r>
                          <w:rPr>
                            <w:spacing w:val="-14"/>
                            <w:sz w:val="16"/>
                            <w:u w:val="dotted" w:color="929292"/>
                          </w:rPr>
                          <w:t> </w:t>
                        </w:r>
                        <w:r>
                          <w:rPr>
                            <w:sz w:val="16"/>
                            <w:u w:val="dotted" w:color="929292"/>
                          </w:rPr>
                          <w:t>Santiago</w:t>
                        </w:r>
                        <w:r>
                          <w:rPr>
                            <w:spacing w:val="13"/>
                            <w:sz w:val="16"/>
                            <w:u w:val="dotted" w:color="929292"/>
                          </w:rPr>
                          <w:t> </w:t>
                        </w:r>
                        <w:r>
                          <w:rPr>
                            <w:sz w:val="16"/>
                            <w:u w:val="dotted" w:color="929292"/>
                          </w:rPr>
                          <w:t>Tlacotepec</w:t>
                          <w:tab/>
                        </w:r>
                      </w:p>
                    </w:tc>
                    <w:tc>
                      <w:tcPr>
                        <w:tcW w:w="767" w:type="dxa"/>
                        <w:tcBorders>
                          <w:top w:val="single" w:sz="4" w:space="0" w:color="FFFFFF"/>
                          <w:bottom w:val="single" w:sz="4" w:space="0" w:color="FFFFFF"/>
                          <w:right w:val="nil"/>
                        </w:tcBorders>
                      </w:tcPr>
                      <w:p>
                        <w:pPr>
                          <w:pStyle w:val="TableParagraph"/>
                          <w:tabs>
                            <w:tab w:pos="741" w:val="left" w:leader="none"/>
                          </w:tabs>
                          <w:spacing w:before="1"/>
                          <w:ind w:left="25"/>
                          <w:rPr>
                            <w:sz w:val="16"/>
                          </w:rPr>
                        </w:pPr>
                        <w:r>
                          <w:rPr>
                            <w:w w:val="100"/>
                            <w:sz w:val="16"/>
                            <w:u w:val="dotted" w:color="929292"/>
                          </w:rPr>
                          <w:t> </w:t>
                        </w:r>
                        <w:r>
                          <w:rPr>
                            <w:spacing w:val="-14"/>
                            <w:sz w:val="16"/>
                            <w:u w:val="dotted" w:color="929292"/>
                          </w:rPr>
                          <w:t> </w:t>
                        </w:r>
                        <w:r>
                          <w:rPr>
                            <w:sz w:val="16"/>
                            <w:u w:val="dotted" w:color="929292"/>
                          </w:rPr>
                          <w:t>36</w:t>
                          <w:tab/>
                        </w:r>
                      </w:p>
                    </w:tc>
                  </w:tr>
                  <w:tr>
                    <w:trPr>
                      <w:trHeight w:val="171" w:hRule="exact"/>
                    </w:trPr>
                    <w:tc>
                      <w:tcPr>
                        <w:tcW w:w="2997" w:type="dxa"/>
                        <w:tcBorders>
                          <w:top w:val="single" w:sz="4" w:space="0" w:color="FFFFFF"/>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9"/>
                            <w:sz w:val="16"/>
                            <w:u w:val="dotted" w:color="929292"/>
                          </w:rPr>
                          <w:t> </w:t>
                        </w:r>
                        <w:r>
                          <w:rPr>
                            <w:sz w:val="16"/>
                            <w:u w:val="dotted" w:color="929292"/>
                          </w:rPr>
                          <w:t>San Andrés</w:t>
                        </w:r>
                        <w:r>
                          <w:rPr>
                            <w:spacing w:val="10"/>
                            <w:sz w:val="16"/>
                            <w:u w:val="dotted" w:color="929292"/>
                          </w:rPr>
                          <w:t> </w:t>
                        </w:r>
                        <w:r>
                          <w:rPr>
                            <w:sz w:val="16"/>
                            <w:u w:val="dotted" w:color="929292"/>
                          </w:rPr>
                          <w:t>Cuexcontitlán</w:t>
                          <w:tab/>
                        </w:r>
                      </w:p>
                    </w:tc>
                    <w:tc>
                      <w:tcPr>
                        <w:tcW w:w="850" w:type="dxa"/>
                        <w:tcBorders>
                          <w:top w:val="single" w:sz="4" w:space="0" w:color="FFFFFF"/>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39</w:t>
                          <w:tab/>
                        </w:r>
                      </w:p>
                    </w:tc>
                    <w:tc>
                      <w:tcPr>
                        <w:tcW w:w="3104" w:type="dxa"/>
                        <w:tcBorders>
                          <w:top w:val="single" w:sz="4" w:space="0" w:color="FFFFFF"/>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4"/>
                            <w:sz w:val="16"/>
                            <w:u w:val="dotted" w:color="929292"/>
                          </w:rPr>
                          <w:t> </w:t>
                        </w:r>
                        <w:r>
                          <w:rPr>
                            <w:sz w:val="16"/>
                            <w:u w:val="dotted" w:color="929292"/>
                          </w:rPr>
                          <w:t>Santiago</w:t>
                        </w:r>
                        <w:r>
                          <w:rPr>
                            <w:spacing w:val="11"/>
                            <w:sz w:val="16"/>
                            <w:u w:val="dotted" w:color="929292"/>
                          </w:rPr>
                          <w:t> </w:t>
                        </w:r>
                        <w:r>
                          <w:rPr>
                            <w:sz w:val="16"/>
                            <w:u w:val="dotted" w:color="929292"/>
                          </w:rPr>
                          <w:t>Tlaxomulco</w:t>
                          <w:tab/>
                        </w:r>
                      </w:p>
                    </w:tc>
                    <w:tc>
                      <w:tcPr>
                        <w:tcW w:w="767" w:type="dxa"/>
                        <w:tcBorders>
                          <w:top w:val="single" w:sz="4" w:space="0" w:color="FFFFFF"/>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5"/>
                            <w:sz w:val="16"/>
                            <w:u w:val="dotted" w:color="929292"/>
                          </w:rPr>
                          <w:t> </w:t>
                        </w:r>
                        <w:r>
                          <w:rPr>
                            <w:sz w:val="16"/>
                            <w:u w:val="dotted" w:color="929292"/>
                          </w:rPr>
                          <w:t>42</w:t>
                          <w:tab/>
                        </w:r>
                      </w:p>
                    </w:tc>
                  </w:tr>
                  <w:tr>
                    <w:trPr>
                      <w:trHeight w:val="175" w:hRule="exact"/>
                    </w:trPr>
                    <w:tc>
                      <w:tcPr>
                        <w:tcW w:w="2997" w:type="dxa"/>
                        <w:tcBorders>
                          <w:top w:val="single" w:sz="4" w:space="0" w:color="FFFFFF"/>
                          <w:left w:val="nil"/>
                          <w:bottom w:val="single" w:sz="4" w:space="0" w:color="FFFFFF"/>
                        </w:tcBorders>
                      </w:tcPr>
                      <w:p>
                        <w:pPr>
                          <w:pStyle w:val="TableParagraph"/>
                          <w:tabs>
                            <w:tab w:pos="2982" w:val="left" w:leader="none"/>
                          </w:tabs>
                          <w:spacing w:line="173" w:lineRule="exact"/>
                          <w:ind w:left="34"/>
                          <w:rPr>
                            <w:sz w:val="16"/>
                          </w:rPr>
                        </w:pPr>
                        <w:r>
                          <w:rPr>
                            <w:w w:val="100"/>
                            <w:sz w:val="16"/>
                            <w:u w:val="dotted" w:color="929292"/>
                          </w:rPr>
                          <w:t> </w:t>
                        </w:r>
                        <w:r>
                          <w:rPr>
                            <w:spacing w:val="-19"/>
                            <w:sz w:val="16"/>
                            <w:u w:val="dotted" w:color="929292"/>
                          </w:rPr>
                          <w:t> </w:t>
                        </w:r>
                        <w:r>
                          <w:rPr>
                            <w:sz w:val="16"/>
                            <w:u w:val="dotted" w:color="929292"/>
                          </w:rPr>
                          <w:t>San Antonio</w:t>
                        </w:r>
                        <w:r>
                          <w:rPr>
                            <w:spacing w:val="1"/>
                            <w:sz w:val="16"/>
                            <w:u w:val="dotted" w:color="929292"/>
                          </w:rPr>
                          <w:t> </w:t>
                        </w:r>
                        <w:r>
                          <w:rPr>
                            <w:sz w:val="16"/>
                            <w:u w:val="dotted" w:color="929292"/>
                          </w:rPr>
                          <w:t>Buenavista</w:t>
                          <w:tab/>
                        </w:r>
                      </w:p>
                    </w:tc>
                    <w:tc>
                      <w:tcPr>
                        <w:tcW w:w="850" w:type="dxa"/>
                        <w:tcBorders>
                          <w:top w:val="single" w:sz="4" w:space="0" w:color="FFFFFF"/>
                          <w:bottom w:val="single" w:sz="4" w:space="0" w:color="FFFFFF"/>
                        </w:tcBorders>
                      </w:tcPr>
                      <w:p>
                        <w:pPr>
                          <w:pStyle w:val="TableParagraph"/>
                          <w:tabs>
                            <w:tab w:pos="829" w:val="left" w:leader="none"/>
                          </w:tabs>
                          <w:spacing w:line="173" w:lineRule="exact"/>
                          <w:ind w:left="25"/>
                          <w:rPr>
                            <w:sz w:val="16"/>
                          </w:rPr>
                        </w:pPr>
                        <w:r>
                          <w:rPr>
                            <w:w w:val="100"/>
                            <w:sz w:val="16"/>
                            <w:u w:val="dotted" w:color="929292"/>
                          </w:rPr>
                          <w:t> </w:t>
                        </w:r>
                        <w:r>
                          <w:rPr>
                            <w:spacing w:val="-15"/>
                            <w:sz w:val="16"/>
                            <w:u w:val="dotted" w:color="929292"/>
                          </w:rPr>
                          <w:t> </w:t>
                        </w:r>
                        <w:r>
                          <w:rPr>
                            <w:sz w:val="16"/>
                            <w:u w:val="dotted" w:color="929292"/>
                          </w:rPr>
                          <w:t>20</w:t>
                          <w:tab/>
                        </w:r>
                      </w:p>
                    </w:tc>
                    <w:tc>
                      <w:tcPr>
                        <w:tcW w:w="3104" w:type="dxa"/>
                        <w:tcBorders>
                          <w:top w:val="single" w:sz="4" w:space="0" w:color="FFFFFF"/>
                          <w:bottom w:val="single" w:sz="4" w:space="0" w:color="FFFFFF"/>
                        </w:tcBorders>
                      </w:tcPr>
                      <w:p>
                        <w:pPr>
                          <w:pStyle w:val="TableParagraph"/>
                          <w:tabs>
                            <w:tab w:pos="3084" w:val="left" w:leader="none"/>
                          </w:tabs>
                          <w:spacing w:line="173" w:lineRule="exact"/>
                          <w:ind w:left="25"/>
                          <w:rPr>
                            <w:sz w:val="16"/>
                          </w:rPr>
                        </w:pPr>
                        <w:r>
                          <w:rPr>
                            <w:w w:val="100"/>
                            <w:sz w:val="16"/>
                            <w:u w:val="dotted" w:color="929292"/>
                          </w:rPr>
                          <w:t> </w:t>
                        </w:r>
                        <w:r>
                          <w:rPr>
                            <w:spacing w:val="-14"/>
                            <w:sz w:val="16"/>
                            <w:u w:val="dotted" w:color="929292"/>
                          </w:rPr>
                          <w:t> </w:t>
                        </w:r>
                        <w:r>
                          <w:rPr>
                            <w:sz w:val="16"/>
                            <w:u w:val="dotted" w:color="929292"/>
                          </w:rPr>
                          <w:t>Seminario 2 de</w:t>
                        </w:r>
                        <w:r>
                          <w:rPr>
                            <w:spacing w:val="2"/>
                            <w:sz w:val="16"/>
                            <w:u w:val="dotted" w:color="929292"/>
                          </w:rPr>
                          <w:t> </w:t>
                        </w:r>
                        <w:r>
                          <w:rPr>
                            <w:sz w:val="16"/>
                            <w:u w:val="dotted" w:color="929292"/>
                          </w:rPr>
                          <w:t>Marzo</w:t>
                          <w:tab/>
                        </w:r>
                      </w:p>
                    </w:tc>
                    <w:tc>
                      <w:tcPr>
                        <w:tcW w:w="767" w:type="dxa"/>
                        <w:tcBorders>
                          <w:top w:val="single" w:sz="4" w:space="0" w:color="FFFFFF"/>
                          <w:bottom w:val="single" w:sz="4" w:space="0" w:color="FFFFFF"/>
                          <w:right w:val="nil"/>
                        </w:tcBorders>
                      </w:tcPr>
                      <w:p>
                        <w:pPr>
                          <w:pStyle w:val="TableParagraph"/>
                          <w:tabs>
                            <w:tab w:pos="741" w:val="left" w:leader="none"/>
                          </w:tabs>
                          <w:spacing w:line="173" w:lineRule="exact"/>
                          <w:ind w:left="25"/>
                          <w:rPr>
                            <w:sz w:val="16"/>
                          </w:rPr>
                        </w:pPr>
                        <w:r>
                          <w:rPr>
                            <w:w w:val="100"/>
                            <w:sz w:val="16"/>
                            <w:u w:val="dotted" w:color="929292"/>
                          </w:rPr>
                          <w:t> </w:t>
                        </w:r>
                        <w:r>
                          <w:rPr>
                            <w:spacing w:val="-15"/>
                            <w:sz w:val="16"/>
                            <w:u w:val="dotted" w:color="929292"/>
                          </w:rPr>
                          <w:t> </w:t>
                        </w:r>
                        <w:r>
                          <w:rPr>
                            <w:sz w:val="16"/>
                            <w:u w:val="dotted" w:color="929292"/>
                          </w:rPr>
                          <w:t>0</w:t>
                          <w:tab/>
                        </w:r>
                      </w:p>
                    </w:tc>
                  </w:tr>
                  <w:tr>
                    <w:trPr>
                      <w:trHeight w:val="171" w:hRule="exact"/>
                    </w:trPr>
                    <w:tc>
                      <w:tcPr>
                        <w:tcW w:w="2997" w:type="dxa"/>
                        <w:tcBorders>
                          <w:top w:val="single" w:sz="4" w:space="0" w:color="FFFFFF"/>
                          <w:left w:val="nil"/>
                          <w:bottom w:val="single" w:sz="4" w:space="0" w:color="FFFFFF"/>
                        </w:tcBorders>
                      </w:tcPr>
                      <w:p>
                        <w:pPr>
                          <w:pStyle w:val="TableParagraph"/>
                          <w:tabs>
                            <w:tab w:pos="2982" w:val="left" w:leader="none"/>
                          </w:tabs>
                          <w:spacing w:line="171" w:lineRule="exact"/>
                          <w:ind w:left="34"/>
                          <w:rPr>
                            <w:sz w:val="16"/>
                          </w:rPr>
                        </w:pPr>
                        <w:r>
                          <w:rPr>
                            <w:w w:val="100"/>
                            <w:sz w:val="16"/>
                            <w:u w:val="dotted" w:color="929292"/>
                          </w:rPr>
                          <w:t> </w:t>
                        </w:r>
                        <w:r>
                          <w:rPr>
                            <w:spacing w:val="-19"/>
                            <w:sz w:val="16"/>
                            <w:u w:val="dotted" w:color="929292"/>
                          </w:rPr>
                          <w:t> </w:t>
                        </w:r>
                        <w:r>
                          <w:rPr>
                            <w:sz w:val="16"/>
                            <w:u w:val="dotted" w:color="929292"/>
                          </w:rPr>
                          <w:t>San</w:t>
                        </w:r>
                        <w:r>
                          <w:rPr>
                            <w:spacing w:val="-10"/>
                            <w:sz w:val="16"/>
                            <w:u w:val="dotted" w:color="929292"/>
                          </w:rPr>
                          <w:t> </w:t>
                        </w:r>
                        <w:r>
                          <w:rPr>
                            <w:sz w:val="16"/>
                            <w:u w:val="dotted" w:color="929292"/>
                          </w:rPr>
                          <w:t>Buenaventura</w:t>
                          <w:tab/>
                        </w:r>
                      </w:p>
                    </w:tc>
                    <w:tc>
                      <w:tcPr>
                        <w:tcW w:w="850" w:type="dxa"/>
                        <w:tcBorders>
                          <w:top w:val="single" w:sz="4" w:space="0" w:color="FFFFFF"/>
                          <w:bottom w:val="single" w:sz="4" w:space="0" w:color="FFFFFF"/>
                        </w:tcBorders>
                      </w:tcPr>
                      <w:p>
                        <w:pPr>
                          <w:pStyle w:val="TableParagraph"/>
                          <w:tabs>
                            <w:tab w:pos="829" w:val="left" w:leader="none"/>
                          </w:tabs>
                          <w:spacing w:line="171" w:lineRule="exact"/>
                          <w:ind w:left="25"/>
                          <w:rPr>
                            <w:sz w:val="16"/>
                          </w:rPr>
                        </w:pPr>
                        <w:r>
                          <w:rPr>
                            <w:w w:val="100"/>
                            <w:sz w:val="16"/>
                            <w:u w:val="dotted" w:color="929292"/>
                          </w:rPr>
                          <w:t> </w:t>
                        </w:r>
                        <w:r>
                          <w:rPr>
                            <w:spacing w:val="-15"/>
                            <w:sz w:val="16"/>
                            <w:u w:val="dotted" w:color="929292"/>
                          </w:rPr>
                          <w:t> </w:t>
                        </w:r>
                        <w:r>
                          <w:rPr>
                            <w:sz w:val="16"/>
                            <w:u w:val="dotted" w:color="929292"/>
                          </w:rPr>
                          <w:t>88</w:t>
                          <w:tab/>
                        </w:r>
                      </w:p>
                    </w:tc>
                    <w:tc>
                      <w:tcPr>
                        <w:tcW w:w="3104" w:type="dxa"/>
                        <w:tcBorders>
                          <w:top w:val="single" w:sz="4" w:space="0" w:color="FFFFFF"/>
                          <w:bottom w:val="single" w:sz="4" w:space="0" w:color="FFFFFF"/>
                        </w:tcBorders>
                      </w:tcPr>
                      <w:p>
                        <w:pPr>
                          <w:pStyle w:val="TableParagraph"/>
                          <w:tabs>
                            <w:tab w:pos="3084" w:val="left" w:leader="none"/>
                          </w:tabs>
                          <w:spacing w:line="171" w:lineRule="exact"/>
                          <w:ind w:left="25"/>
                          <w:rPr>
                            <w:sz w:val="16"/>
                          </w:rPr>
                        </w:pPr>
                        <w:r>
                          <w:rPr>
                            <w:w w:val="100"/>
                            <w:sz w:val="16"/>
                            <w:u w:val="dotted" w:color="929292"/>
                          </w:rPr>
                          <w:t> </w:t>
                        </w:r>
                        <w:r>
                          <w:rPr>
                            <w:spacing w:val="-15"/>
                            <w:sz w:val="16"/>
                            <w:u w:val="dotted" w:color="929292"/>
                          </w:rPr>
                          <w:t> </w:t>
                        </w:r>
                        <w:r>
                          <w:rPr>
                            <w:sz w:val="16"/>
                            <w:u w:val="dotted" w:color="929292"/>
                          </w:rPr>
                          <w:t>Seminario</w:t>
                        </w:r>
                        <w:r>
                          <w:rPr>
                            <w:spacing w:val="2"/>
                            <w:sz w:val="16"/>
                            <w:u w:val="dotted" w:color="929292"/>
                          </w:rPr>
                          <w:t> </w:t>
                        </w:r>
                        <w:r>
                          <w:rPr>
                            <w:sz w:val="16"/>
                            <w:u w:val="dotted" w:color="929292"/>
                          </w:rPr>
                          <w:t>Conciliar</w:t>
                          <w:tab/>
                        </w:r>
                      </w:p>
                    </w:tc>
                    <w:tc>
                      <w:tcPr>
                        <w:tcW w:w="767" w:type="dxa"/>
                        <w:tcBorders>
                          <w:top w:val="single" w:sz="4" w:space="0" w:color="FFFFFF"/>
                          <w:bottom w:val="single" w:sz="4" w:space="0" w:color="FFFFFF"/>
                          <w:right w:val="nil"/>
                        </w:tcBorders>
                      </w:tcPr>
                      <w:p>
                        <w:pPr>
                          <w:pStyle w:val="TableParagraph"/>
                          <w:tabs>
                            <w:tab w:pos="741" w:val="left" w:leader="none"/>
                          </w:tabs>
                          <w:spacing w:line="171" w:lineRule="exact"/>
                          <w:ind w:left="25"/>
                          <w:rPr>
                            <w:sz w:val="16"/>
                          </w:rPr>
                        </w:pPr>
                        <w:r>
                          <w:rPr>
                            <w:w w:val="100"/>
                            <w:sz w:val="16"/>
                            <w:u w:val="dotted" w:color="929292"/>
                          </w:rPr>
                          <w:t> </w:t>
                        </w:r>
                        <w:r>
                          <w:rPr>
                            <w:spacing w:val="-15"/>
                            <w:sz w:val="16"/>
                            <w:u w:val="dotted" w:color="929292"/>
                          </w:rPr>
                          <w:t> </w:t>
                        </w:r>
                        <w:r>
                          <w:rPr>
                            <w:sz w:val="16"/>
                            <w:u w:val="dotted" w:color="929292"/>
                          </w:rPr>
                          <w:t>57</w:t>
                          <w:tab/>
                        </w:r>
                      </w:p>
                    </w:tc>
                  </w:tr>
                  <w:tr>
                    <w:trPr>
                      <w:trHeight w:val="315" w:hRule="exact"/>
                    </w:trPr>
                    <w:tc>
                      <w:tcPr>
                        <w:tcW w:w="2997" w:type="dxa"/>
                        <w:tcBorders>
                          <w:top w:val="single" w:sz="4" w:space="0" w:color="FFFFFF"/>
                          <w:left w:val="nil"/>
                        </w:tcBorders>
                      </w:tcPr>
                      <w:p>
                        <w:pPr>
                          <w:pStyle w:val="TableParagraph"/>
                          <w:spacing w:before="59"/>
                          <w:ind w:left="104"/>
                          <w:rPr>
                            <w:sz w:val="16"/>
                          </w:rPr>
                        </w:pPr>
                        <w:r>
                          <w:rPr>
                            <w:sz w:val="16"/>
                          </w:rPr>
                          <w:t>San Cristóbal Huichochitlán</w:t>
                        </w:r>
                      </w:p>
                    </w:tc>
                    <w:tc>
                      <w:tcPr>
                        <w:tcW w:w="850" w:type="dxa"/>
                        <w:tcBorders>
                          <w:top w:val="single" w:sz="4" w:space="0" w:color="FFFFFF"/>
                        </w:tcBorders>
                      </w:tcPr>
                      <w:p>
                        <w:pPr>
                          <w:pStyle w:val="TableParagraph"/>
                          <w:spacing w:before="59"/>
                          <w:ind w:left="99"/>
                          <w:rPr>
                            <w:sz w:val="16"/>
                          </w:rPr>
                        </w:pPr>
                        <w:r>
                          <w:rPr>
                            <w:sz w:val="16"/>
                          </w:rPr>
                          <w:t>313</w:t>
                        </w:r>
                      </w:p>
                    </w:tc>
                    <w:tc>
                      <w:tcPr>
                        <w:tcW w:w="3104" w:type="dxa"/>
                        <w:tcBorders>
                          <w:top w:val="single" w:sz="4" w:space="0" w:color="FFFFFF"/>
                        </w:tcBorders>
                      </w:tcPr>
                      <w:p>
                        <w:pPr>
                          <w:pStyle w:val="TableParagraph"/>
                          <w:spacing w:before="59"/>
                          <w:ind w:left="99"/>
                          <w:rPr>
                            <w:sz w:val="16"/>
                          </w:rPr>
                        </w:pPr>
                        <w:r>
                          <w:rPr>
                            <w:sz w:val="16"/>
                          </w:rPr>
                          <w:t>Seminario Las Torres</w:t>
                        </w:r>
                      </w:p>
                    </w:tc>
                    <w:tc>
                      <w:tcPr>
                        <w:tcW w:w="767" w:type="dxa"/>
                        <w:tcBorders>
                          <w:top w:val="single" w:sz="4" w:space="0" w:color="FFFFFF"/>
                          <w:right w:val="nil"/>
                        </w:tcBorders>
                      </w:tcPr>
                      <w:p>
                        <w:pPr>
                          <w:pStyle w:val="TableParagraph"/>
                          <w:spacing w:before="59"/>
                          <w:ind w:left="99"/>
                          <w:rPr>
                            <w:sz w:val="16"/>
                          </w:rPr>
                        </w:pPr>
                        <w:r>
                          <w:rPr>
                            <w:sz w:val="16"/>
                          </w:rPr>
                          <w:t>257</w:t>
                        </w:r>
                      </w:p>
                    </w:tc>
                  </w:tr>
                  <w:tr>
                    <w:trPr>
                      <w:trHeight w:val="174" w:hRule="exact"/>
                    </w:trPr>
                    <w:tc>
                      <w:tcPr>
                        <w:tcW w:w="2997" w:type="dxa"/>
                        <w:tcBorders>
                          <w:left w:val="nil"/>
                          <w:bottom w:val="nil"/>
                        </w:tcBorders>
                      </w:tcPr>
                      <w:p>
                        <w:pPr>
                          <w:pStyle w:val="TableParagraph"/>
                          <w:tabs>
                            <w:tab w:pos="2982" w:val="left" w:leader="none"/>
                          </w:tabs>
                          <w:spacing w:line="173" w:lineRule="exact"/>
                          <w:ind w:left="34"/>
                          <w:rPr>
                            <w:sz w:val="16"/>
                          </w:rPr>
                        </w:pPr>
                        <w:r>
                          <w:rPr>
                            <w:w w:val="100"/>
                            <w:sz w:val="16"/>
                            <w:u w:val="dotted" w:color="929292"/>
                          </w:rPr>
                          <w:t> </w:t>
                        </w:r>
                        <w:r>
                          <w:rPr>
                            <w:spacing w:val="-20"/>
                            <w:sz w:val="16"/>
                            <w:u w:val="dotted" w:color="929292"/>
                          </w:rPr>
                          <w:t> </w:t>
                        </w:r>
                        <w:r>
                          <w:rPr>
                            <w:sz w:val="16"/>
                            <w:u w:val="dotted" w:color="929292"/>
                          </w:rPr>
                          <w:t>San Juan</w:t>
                        </w:r>
                        <w:r>
                          <w:rPr>
                            <w:spacing w:val="-13"/>
                            <w:sz w:val="16"/>
                            <w:u w:val="dotted" w:color="929292"/>
                          </w:rPr>
                          <w:t> </w:t>
                        </w:r>
                        <w:r>
                          <w:rPr>
                            <w:sz w:val="16"/>
                            <w:u w:val="dotted" w:color="929292"/>
                          </w:rPr>
                          <w:t>Tilapa</w:t>
                          <w:tab/>
                        </w:r>
                      </w:p>
                    </w:tc>
                    <w:tc>
                      <w:tcPr>
                        <w:tcW w:w="850" w:type="dxa"/>
                        <w:tcBorders>
                          <w:bottom w:val="single" w:sz="4" w:space="0" w:color="FFFFFF"/>
                        </w:tcBorders>
                      </w:tcPr>
                      <w:p>
                        <w:pPr>
                          <w:pStyle w:val="TableParagraph"/>
                          <w:tabs>
                            <w:tab w:pos="829" w:val="left" w:leader="none"/>
                          </w:tabs>
                          <w:spacing w:line="173" w:lineRule="exact"/>
                          <w:ind w:left="25"/>
                          <w:rPr>
                            <w:sz w:val="16"/>
                          </w:rPr>
                        </w:pPr>
                        <w:r>
                          <w:rPr>
                            <w:w w:val="100"/>
                            <w:sz w:val="16"/>
                            <w:u w:val="dotted" w:color="929292"/>
                          </w:rPr>
                          <w:t> </w:t>
                        </w:r>
                        <w:r>
                          <w:rPr>
                            <w:spacing w:val="-15"/>
                            <w:sz w:val="16"/>
                            <w:u w:val="dotted" w:color="929292"/>
                          </w:rPr>
                          <w:t> </w:t>
                        </w:r>
                        <w:r>
                          <w:rPr>
                            <w:sz w:val="16"/>
                            <w:u w:val="dotted" w:color="929292"/>
                          </w:rPr>
                          <w:t>38</w:t>
                          <w:tab/>
                        </w:r>
                      </w:p>
                    </w:tc>
                    <w:tc>
                      <w:tcPr>
                        <w:tcW w:w="3104" w:type="dxa"/>
                        <w:tcBorders>
                          <w:bottom w:val="single" w:sz="4" w:space="0" w:color="FFFFFF"/>
                        </w:tcBorders>
                      </w:tcPr>
                      <w:p>
                        <w:pPr>
                          <w:pStyle w:val="TableParagraph"/>
                          <w:tabs>
                            <w:tab w:pos="3084" w:val="left" w:leader="none"/>
                          </w:tabs>
                          <w:spacing w:line="173" w:lineRule="exact"/>
                          <w:ind w:left="25"/>
                          <w:rPr>
                            <w:sz w:val="16"/>
                          </w:rPr>
                        </w:pPr>
                        <w:r>
                          <w:rPr>
                            <w:w w:val="100"/>
                            <w:sz w:val="16"/>
                            <w:u w:val="dotted" w:color="929292"/>
                          </w:rPr>
                          <w:t> </w:t>
                        </w:r>
                        <w:r>
                          <w:rPr>
                            <w:spacing w:val="-15"/>
                            <w:sz w:val="16"/>
                            <w:u w:val="dotted" w:color="929292"/>
                          </w:rPr>
                          <w:t> </w:t>
                        </w:r>
                        <w:r>
                          <w:rPr>
                            <w:sz w:val="16"/>
                            <w:u w:val="dotted" w:color="929292"/>
                          </w:rPr>
                          <w:t>Universidad</w:t>
                          <w:tab/>
                        </w:r>
                      </w:p>
                    </w:tc>
                    <w:tc>
                      <w:tcPr>
                        <w:tcW w:w="767" w:type="dxa"/>
                        <w:tcBorders>
                          <w:bottom w:val="single" w:sz="4" w:space="0" w:color="FFFFFF"/>
                          <w:right w:val="nil"/>
                        </w:tcBorders>
                      </w:tcPr>
                      <w:p>
                        <w:pPr>
                          <w:pStyle w:val="TableParagraph"/>
                          <w:tabs>
                            <w:tab w:pos="741" w:val="left" w:leader="none"/>
                          </w:tabs>
                          <w:spacing w:line="173" w:lineRule="exact"/>
                          <w:ind w:left="25"/>
                          <w:rPr>
                            <w:sz w:val="16"/>
                          </w:rPr>
                        </w:pPr>
                        <w:r>
                          <w:rPr>
                            <w:w w:val="100"/>
                            <w:sz w:val="16"/>
                            <w:u w:val="dotted" w:color="929292"/>
                          </w:rPr>
                          <w:t> </w:t>
                        </w:r>
                        <w:r>
                          <w:rPr>
                            <w:spacing w:val="-15"/>
                            <w:sz w:val="16"/>
                            <w:u w:val="dotted" w:color="929292"/>
                          </w:rPr>
                          <w:t> </w:t>
                        </w:r>
                        <w:r>
                          <w:rPr>
                            <w:sz w:val="16"/>
                            <w:u w:val="dotted" w:color="929292"/>
                          </w:rPr>
                          <w:t>67</w:t>
                          <w:tab/>
                        </w:r>
                      </w:p>
                    </w:tc>
                  </w:tr>
                </w:tbl>
                <w:p>
                  <w:pPr>
                    <w:pStyle w:val="BodyText"/>
                  </w:pPr>
                </w:p>
              </w:txbxContent>
            </v:textbox>
            <w10:wrap type="none"/>
          </v:shape>
        </w:pict>
      </w:r>
      <w:r>
        <w:rPr/>
        <w:t>En el recuento de los daños se encuentran más de 675 negocios, 140 vialidades, 41 escuelas, 156 industrias y por lo menos 5 edificios públicos; todo ello se traduce en una afectación directa de por lo menos de 40,662 personas; una pérdida estimada de por lo menos 80 millones de pesos en negocios que tienen 2 y hasta 5 empleados, así como lo equivalente al coste generado por la pérdida de infraestructura, la pérdida de empleo y de horas hombre; así como el tiempo disipado en </w:t>
      </w:r>
      <w:r>
        <w:rPr>
          <w:spacing w:val="20"/>
        </w:rPr>
        <w:t> </w:t>
      </w:r>
      <w:r>
        <w:rPr/>
        <w:t>educación.</w:t>
      </w:r>
    </w:p>
    <w:p>
      <w:pPr>
        <w:pStyle w:val="BodyText"/>
        <w:spacing w:before="11"/>
      </w:pPr>
    </w:p>
    <w:p>
      <w:pPr>
        <w:pStyle w:val="BodyText"/>
        <w:spacing w:line="249" w:lineRule="auto"/>
        <w:ind w:left="9540" w:right="129" w:firstLine="170"/>
        <w:jc w:val="both"/>
      </w:pPr>
      <w:r>
        <w:rPr/>
        <w:t>En la matriz de información que aparece a continuación se muestra el listado de las variables que conforman a la Ecuación general de Riesgo (EGR) en la cual se califican parámetros de la ciudad de Toluca de San José de manera semi-cuantitativa y se determinan las características generales de riesgo existentes en la urbe metropolitana. Asimismo en la Figura 4 se muestra la forma de distribución de las variables de la ecuación calificadas como fortalezas, debilidades y no diferenciadas de forma respectiva.</w:t>
      </w:r>
    </w:p>
    <w:p>
      <w:pPr>
        <w:pStyle w:val="BodyText"/>
        <w:spacing w:before="1"/>
        <w:rPr>
          <w:sz w:val="23"/>
        </w:rPr>
      </w:pPr>
    </w:p>
    <w:p>
      <w:pPr>
        <w:tabs>
          <w:tab w:pos="11345" w:val="left" w:leader="none"/>
          <w:tab w:pos="17215" w:val="left" w:leader="none"/>
        </w:tabs>
        <w:spacing w:before="80"/>
        <w:ind w:left="9540" w:right="0" w:firstLine="0"/>
        <w:jc w:val="left"/>
        <w:rPr>
          <w:sz w:val="16"/>
        </w:rPr>
      </w:pPr>
      <w:r>
        <w:rPr>
          <w:w w:val="100"/>
          <w:sz w:val="16"/>
          <w:shd w:fill="929292" w:color="auto" w:val="clear"/>
        </w:rPr>
        <w:t> </w:t>
      </w:r>
      <w:r>
        <w:rPr>
          <w:sz w:val="16"/>
          <w:shd w:fill="929292" w:color="auto" w:val="clear"/>
        </w:rPr>
        <w:tab/>
        <w:t>Matriz general de aproximación a la evaluación de</w:t>
      </w:r>
      <w:r>
        <w:rPr>
          <w:spacing w:val="18"/>
          <w:sz w:val="16"/>
          <w:shd w:fill="929292" w:color="auto" w:val="clear"/>
        </w:rPr>
        <w:t> </w:t>
      </w:r>
      <w:r>
        <w:rPr>
          <w:sz w:val="16"/>
          <w:shd w:fill="929292" w:color="auto" w:val="clear"/>
        </w:rPr>
        <w:t>riesgo</w:t>
        <w:tab/>
      </w:r>
    </w:p>
    <w:p>
      <w:pPr>
        <w:tabs>
          <w:tab w:pos="13479" w:val="left" w:leader="none"/>
          <w:tab w:pos="14552" w:val="left" w:leader="none"/>
          <w:tab w:pos="15561" w:val="left" w:leader="none"/>
          <w:tab w:pos="17195" w:val="left" w:leader="none"/>
        </w:tabs>
        <w:spacing w:before="15"/>
        <w:ind w:left="9574" w:right="0" w:firstLine="0"/>
        <w:jc w:val="left"/>
        <w:rPr>
          <w:sz w:val="16"/>
        </w:rPr>
      </w:pPr>
      <w:r>
        <w:rPr/>
        <w:pict>
          <v:group style="position:absolute;margin-left:710.5pt;margin-top:1.128115pt;width:.5pt;height:7.45pt;mso-position-horizontal-relative:page;mso-position-vertical-relative:paragraph;z-index:-647032" coordorigin="14210,23" coordsize="10,149">
            <v:line style="position:absolute" from="14215,166" to="14215,41" stroked="true" strokeweight=".5pt" strokecolor="#929292">
              <v:stroke dashstyle="dash"/>
            </v:line>
            <v:line style="position:absolute" from="14215,28" to="14215,28" stroked="true" strokeweight=".5pt" strokecolor="#929292"/>
            <w10:wrap type="none"/>
          </v:group>
        </w:pict>
      </w:r>
      <w:r>
        <w:rPr/>
        <w:pict>
          <v:group style="position:absolute;margin-left:761.849976pt;margin-top:1.128115pt;width:.5pt;height:7.45pt;mso-position-horizontal-relative:page;mso-position-vertical-relative:paragraph;z-index:-647008" coordorigin="15237,23" coordsize="10,149">
            <v:line style="position:absolute" from="15242,166" to="15242,41" stroked="true" strokeweight=".5pt" strokecolor="#929292">
              <v:stroke dashstyle="dash"/>
            </v:line>
            <v:line style="position:absolute" from="15242,28" to="15242,28" stroked="true" strokeweight=".5pt" strokecolor="#929292"/>
            <w10:wrap type="none"/>
          </v:group>
        </w:pict>
      </w:r>
      <w:r>
        <w:rPr/>
        <w:pict>
          <v:group style="position:absolute;margin-left:814.599976pt;margin-top:1.128115pt;width:.5pt;height:7.45pt;mso-position-horizontal-relative:page;mso-position-vertical-relative:paragraph;z-index:-646984" coordorigin="16292,23" coordsize="10,149">
            <v:line style="position:absolute" from="16297,166" to="16297,41" stroked="true" strokeweight=".5pt" strokecolor="#929292">
              <v:stroke dashstyle="dash"/>
            </v:line>
            <v:line style="position:absolute" from="16297,28" to="16297,28" stroked="true" strokeweight=".5pt" strokecolor="#929292"/>
            <w10:wrap type="none"/>
          </v:group>
        </w:pict>
      </w:r>
      <w:r>
        <w:rPr/>
        <w:pict>
          <v:shape style="position:absolute;margin-left:513pt;margin-top:9.425115pt;width:384.3pt;height:261pt;mso-position-horizontal-relative:page;mso-position-vertical-relative:paragraph;z-index:5848" type="#_x0000_t202" filled="false" stroked="false">
            <v:textbox inset="0,0,0,0">
              <w:txbxContent>
                <w:tbl>
                  <w:tblPr>
                    <w:tblW w:w="0" w:type="auto"/>
                    <w:jc w:val="lef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3950"/>
                    <w:gridCol w:w="1027"/>
                    <w:gridCol w:w="1055"/>
                    <w:gridCol w:w="1639"/>
                  </w:tblGrid>
                  <w:tr>
                    <w:trPr>
                      <w:trHeight w:val="171" w:hRule="exact"/>
                    </w:trPr>
                    <w:tc>
                      <w:tcPr>
                        <w:tcW w:w="3950" w:type="dxa"/>
                        <w:tcBorders>
                          <w:top w:val="nil"/>
                          <w:left w:val="nil"/>
                          <w:right w:val="dotted" w:sz="4" w:space="0" w:color="929292"/>
                        </w:tcBorders>
                      </w:tcPr>
                      <w:p>
                        <w:pPr>
                          <w:pStyle w:val="TableParagraph"/>
                          <w:tabs>
                            <w:tab w:pos="3934" w:val="left" w:leader="none"/>
                          </w:tabs>
                          <w:spacing w:line="176" w:lineRule="exact"/>
                          <w:ind w:left="29"/>
                          <w:rPr>
                            <w:sz w:val="16"/>
                          </w:rPr>
                        </w:pPr>
                        <w:r>
                          <w:rPr>
                            <w:w w:val="100"/>
                            <w:sz w:val="16"/>
                            <w:u w:val="dotted" w:color="929292"/>
                          </w:rPr>
                          <w:t> </w:t>
                        </w:r>
                        <w:r>
                          <w:rPr>
                            <w:spacing w:val="-16"/>
                            <w:sz w:val="16"/>
                            <w:u w:val="dotted" w:color="929292"/>
                          </w:rPr>
                          <w:t> </w:t>
                        </w:r>
                        <w:r>
                          <w:rPr>
                            <w:sz w:val="16"/>
                            <w:u w:val="dotted" w:color="929292"/>
                          </w:rPr>
                          <w:t>Factor multivariable de análisis</w:t>
                        </w:r>
                        <w:r>
                          <w:rPr>
                            <w:spacing w:val="31"/>
                            <w:sz w:val="16"/>
                            <w:u w:val="dotted" w:color="929292"/>
                          </w:rPr>
                          <w:t> </w:t>
                        </w:r>
                        <w:r>
                          <w:rPr>
                            <w:sz w:val="16"/>
                            <w:u w:val="dotted" w:color="929292"/>
                          </w:rPr>
                          <w:t>potenciado</w:t>
                          <w:tab/>
                        </w:r>
                      </w:p>
                    </w:tc>
                    <w:tc>
                      <w:tcPr>
                        <w:tcW w:w="1027" w:type="dxa"/>
                        <w:tcBorders>
                          <w:top w:val="dotted" w:sz="4" w:space="0" w:color="FFFFFF"/>
                          <w:left w:val="dotted" w:sz="4" w:space="0" w:color="FFFFFF"/>
                          <w:right w:val="dotted" w:sz="4" w:space="0" w:color="FFFFFF"/>
                        </w:tcBorders>
                        <w:shd w:val="clear" w:color="auto" w:fill="929292"/>
                      </w:tcPr>
                      <w:p>
                        <w:pPr/>
                      </w:p>
                    </w:tc>
                    <w:tc>
                      <w:tcPr>
                        <w:tcW w:w="1055" w:type="dxa"/>
                        <w:tcBorders>
                          <w:top w:val="dotted" w:sz="4" w:space="0" w:color="FFFFFF"/>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top w:val="dotted" w:sz="4" w:space="0" w:color="FFFFFF"/>
                          <w:left w:val="dotted" w:sz="4" w:space="0" w:color="929292"/>
                          <w:right w:val="nil"/>
                        </w:tcBorders>
                      </w:tcPr>
                      <w:p>
                        <w:pPr>
                          <w:pStyle w:val="TableParagraph"/>
                          <w:tabs>
                            <w:tab w:pos="1593"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Geosistema</w:t>
                        </w:r>
                        <w:r>
                          <w:rPr>
                            <w:spacing w:val="20"/>
                            <w:sz w:val="16"/>
                            <w:u w:val="dotted" w:color="929292"/>
                          </w:rPr>
                          <w:t> </w:t>
                        </w:r>
                        <w:r>
                          <w:rPr>
                            <w:sz w:val="16"/>
                            <w:u w:val="dotted" w:color="929292"/>
                          </w:rPr>
                          <w:t>perturbador</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929292"/>
                          <w:right w:val="nil"/>
                        </w:tcBorders>
                      </w:tcPr>
                      <w:p>
                        <w:pPr>
                          <w:pStyle w:val="TableParagraph"/>
                          <w:tabs>
                            <w:tab w:pos="1593"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Factor</w:t>
                        </w:r>
                        <w:r>
                          <w:rPr>
                            <w:spacing w:val="-4"/>
                            <w:sz w:val="16"/>
                            <w:u w:val="dotted" w:color="929292"/>
                          </w:rPr>
                          <w:t> </w:t>
                        </w:r>
                        <w:r>
                          <w:rPr>
                            <w:sz w:val="16"/>
                            <w:u w:val="dotted" w:color="929292"/>
                          </w:rPr>
                          <w:t>relieve</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929292"/>
                          <w:right w:val="nil"/>
                        </w:tcBorders>
                      </w:tcPr>
                      <w:p>
                        <w:pPr>
                          <w:pStyle w:val="TableParagraph"/>
                          <w:tabs>
                            <w:tab w:pos="1593"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Factor de</w:t>
                        </w:r>
                        <w:r>
                          <w:rPr>
                            <w:spacing w:val="11"/>
                            <w:sz w:val="16"/>
                            <w:u w:val="dotted" w:color="929292"/>
                          </w:rPr>
                          <w:t> </w:t>
                        </w:r>
                        <w:r>
                          <w:rPr>
                            <w:sz w:val="16"/>
                            <w:u w:val="dotted" w:color="929292"/>
                          </w:rPr>
                          <w:t>hemerobia</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929292"/>
                          <w:bottom w:val="single" w:sz="4" w:space="0" w:color="929292"/>
                          <w:right w:val="nil"/>
                        </w:tcBorders>
                      </w:tcPr>
                      <w:p>
                        <w:pP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w w:val="95"/>
                            <w:sz w:val="16"/>
                            <w:u w:val="dotted" w:color="929292"/>
                          </w:rPr>
                          <w:t>Geosistema(s) </w:t>
                        </w:r>
                        <w:r>
                          <w:rPr>
                            <w:spacing w:val="26"/>
                            <w:w w:val="95"/>
                            <w:sz w:val="16"/>
                            <w:u w:val="dotted" w:color="929292"/>
                          </w:rPr>
                          <w:t> </w:t>
                        </w:r>
                        <w:r>
                          <w:rPr>
                            <w:w w:val="95"/>
                            <w:sz w:val="16"/>
                            <w:u w:val="dotted" w:color="929292"/>
                          </w:rPr>
                          <w:t>encadenado(s)</w:t>
                        </w:r>
                        <w:r>
                          <w:rPr>
                            <w:sz w:val="16"/>
                            <w:u w:val="dotted" w:color="929292"/>
                          </w:rPr>
                          <w:tab/>
                        </w:r>
                      </w:p>
                    </w:tc>
                    <w:tc>
                      <w:tcPr>
                        <w:tcW w:w="1027" w:type="dxa"/>
                        <w:tcBorders>
                          <w:top w:val="single" w:sz="4" w:space="0" w:color="929292"/>
                          <w:left w:val="dotted" w:sz="4" w:space="0" w:color="929292"/>
                          <w:bottom w:val="single" w:sz="4" w:space="0" w:color="929292"/>
                          <w:right w:val="dotted" w:sz="4" w:space="0" w:color="929292"/>
                        </w:tcBorders>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FFFFFF"/>
                          <w:right w:val="nil"/>
                        </w:tcBorders>
                        <w:shd w:val="clear" w:color="auto" w:fill="929292"/>
                      </w:tcPr>
                      <w:p>
                        <w:pPr/>
                      </w:p>
                    </w:tc>
                  </w:tr>
                  <w:tr>
                    <w:trPr>
                      <w:trHeight w:val="371" w:hRule="exact"/>
                    </w:trPr>
                    <w:tc>
                      <w:tcPr>
                        <w:tcW w:w="3950" w:type="dxa"/>
                        <w:tcBorders>
                          <w:left w:val="nil"/>
                          <w:right w:val="dotted" w:sz="4" w:space="0" w:color="929292"/>
                        </w:tcBorders>
                      </w:tcPr>
                      <w:p>
                        <w:pPr>
                          <w:pStyle w:val="TableParagraph"/>
                          <w:spacing w:line="171" w:lineRule="exact"/>
                          <w:ind w:left="103"/>
                          <w:rPr>
                            <w:sz w:val="16"/>
                          </w:rPr>
                        </w:pPr>
                        <w:r>
                          <w:rPr>
                            <w:sz w:val="16"/>
                          </w:rPr>
                          <w:t>Capacidad científica, tecnológica,  social,</w:t>
                        </w:r>
                      </w:p>
                      <w:p>
                        <w:pPr>
                          <w:pStyle w:val="TableParagraph"/>
                          <w:tabs>
                            <w:tab w:pos="3934" w:val="left" w:leader="none"/>
                          </w:tabs>
                          <w:spacing w:before="16"/>
                          <w:ind w:left="29"/>
                          <w:rPr>
                            <w:sz w:val="16"/>
                          </w:rPr>
                        </w:pPr>
                        <w:r>
                          <w:rPr>
                            <w:w w:val="100"/>
                            <w:sz w:val="16"/>
                            <w:u w:val="dotted" w:color="929292"/>
                          </w:rPr>
                          <w:t> </w:t>
                        </w:r>
                        <w:r>
                          <w:rPr>
                            <w:spacing w:val="-16"/>
                            <w:sz w:val="16"/>
                            <w:u w:val="dotted" w:color="929292"/>
                          </w:rPr>
                          <w:t> </w:t>
                        </w:r>
                        <w:r>
                          <w:rPr>
                            <w:sz w:val="16"/>
                            <w:u w:val="dotted" w:color="929292"/>
                          </w:rPr>
                          <w:t>gubernamental de</w:t>
                        </w:r>
                        <w:r>
                          <w:rPr>
                            <w:spacing w:val="11"/>
                            <w:sz w:val="16"/>
                            <w:u w:val="dotted" w:color="929292"/>
                          </w:rPr>
                          <w:t> </w:t>
                        </w:r>
                        <w:r>
                          <w:rPr>
                            <w:sz w:val="16"/>
                            <w:u w:val="dotted" w:color="929292"/>
                          </w:rPr>
                          <w:t>respuesta</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right w:val="dotted" w:sz="4" w:space="0" w:color="929292"/>
                        </w:tcBorders>
                      </w:tcPr>
                      <w:p>
                        <w:pPr>
                          <w:pStyle w:val="TableParagraph"/>
                          <w:spacing w:before="3"/>
                          <w:rPr>
                            <w:sz w:val="16"/>
                          </w:rPr>
                        </w:pPr>
                      </w:p>
                      <w:p>
                        <w:pPr>
                          <w:pStyle w:val="TableParagraph"/>
                          <w:tabs>
                            <w:tab w:pos="1024" w:val="left" w:leader="none"/>
                          </w:tabs>
                          <w:ind w:left="15"/>
                          <w:jc w:val="center"/>
                          <w:rPr>
                            <w:sz w:val="16"/>
                          </w:rPr>
                        </w:pPr>
                        <w:r>
                          <w:rPr>
                            <w:w w:val="100"/>
                            <w:sz w:val="16"/>
                            <w:u w:val="dotted" w:color="929292"/>
                          </w:rPr>
                          <w:t> </w:t>
                        </w:r>
                        <w:r>
                          <w:rPr>
                            <w:sz w:val="16"/>
                            <w:u w:val="dotted" w:color="929292"/>
                          </w:rPr>
                          <w:tab/>
                        </w:r>
                      </w:p>
                    </w:tc>
                    <w:tc>
                      <w:tcPr>
                        <w:tcW w:w="1639" w:type="dxa"/>
                        <w:tcBorders>
                          <w:top w:val="single" w:sz="4" w:space="0" w:color="929292"/>
                          <w:left w:val="dotted" w:sz="4" w:space="0" w:color="929292"/>
                          <w:right w:val="nil"/>
                        </w:tcBorders>
                      </w:tcPr>
                      <w:p>
                        <w:pPr>
                          <w:pStyle w:val="TableParagraph"/>
                          <w:spacing w:before="3"/>
                          <w:rPr>
                            <w:sz w:val="16"/>
                          </w:rPr>
                        </w:pPr>
                      </w:p>
                      <w:p>
                        <w:pPr>
                          <w:pStyle w:val="TableParagraph"/>
                          <w:tabs>
                            <w:tab w:pos="1593" w:val="left" w:leader="none"/>
                          </w:tabs>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Resiliencia</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bottom w:val="single" w:sz="4" w:space="0" w:color="929292"/>
                          <w:right w:val="dotted" w:sz="4" w:space="0" w:color="929292"/>
                        </w:tcBorders>
                      </w:tcPr>
                      <w:p>
                        <w:pPr/>
                      </w:p>
                    </w:tc>
                    <w:tc>
                      <w:tcPr>
                        <w:tcW w:w="1639" w:type="dxa"/>
                        <w:tcBorders>
                          <w:left w:val="dotted" w:sz="4" w:space="0" w:color="929292"/>
                          <w:right w:val="nil"/>
                        </w:tcBorders>
                      </w:tcPr>
                      <w:p>
                        <w:pPr>
                          <w:pStyle w:val="TableParagraph"/>
                          <w:tabs>
                            <w:tab w:pos="1593"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Percepción</w:t>
                        </w:r>
                        <w:r>
                          <w:rPr>
                            <w:spacing w:val="16"/>
                            <w:sz w:val="16"/>
                            <w:u w:val="dotted" w:color="929292"/>
                          </w:rPr>
                          <w:t> </w:t>
                        </w:r>
                        <w:r>
                          <w:rPr>
                            <w:sz w:val="16"/>
                            <w:u w:val="dotted" w:color="929292"/>
                          </w:rPr>
                          <w:t>científica</w:t>
                          <w:tab/>
                        </w:r>
                      </w:p>
                    </w:tc>
                    <w:tc>
                      <w:tcPr>
                        <w:tcW w:w="1027" w:type="dxa"/>
                        <w:tcBorders>
                          <w:top w:val="single" w:sz="4" w:space="0" w:color="929292"/>
                          <w:left w:val="dotted" w:sz="4" w:space="0" w:color="929292"/>
                          <w:bottom w:val="single" w:sz="4" w:space="0" w:color="929292"/>
                          <w:right w:val="dotted" w:sz="4" w:space="0" w:color="929292"/>
                        </w:tcBorders>
                      </w:tcPr>
                      <w:p>
                        <w:pPr/>
                      </w:p>
                    </w:tc>
                    <w:tc>
                      <w:tcPr>
                        <w:tcW w:w="1055" w:type="dxa"/>
                        <w:tcBorders>
                          <w:left w:val="dotted" w:sz="4" w:space="0" w:color="FFFFFF"/>
                          <w:right w:val="dotted" w:sz="4" w:space="0" w:color="FFFFFF"/>
                        </w:tcBorders>
                        <w:shd w:val="clear" w:color="auto" w:fill="929292"/>
                      </w:tcPr>
                      <w:p>
                        <w:pPr/>
                      </w:p>
                    </w:tc>
                    <w:tc>
                      <w:tcPr>
                        <w:tcW w:w="1639" w:type="dxa"/>
                        <w:tcBorders>
                          <w:left w:val="dotted" w:sz="4" w:space="0" w:color="929292"/>
                          <w:right w:val="nil"/>
                        </w:tcBorders>
                      </w:tcPr>
                      <w:p>
                        <w:pPr>
                          <w:pStyle w:val="TableParagraph"/>
                          <w:tabs>
                            <w:tab w:pos="1593"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Percepción social y</w:t>
                        </w:r>
                        <w:r>
                          <w:rPr>
                            <w:spacing w:val="34"/>
                            <w:sz w:val="16"/>
                            <w:u w:val="dotted" w:color="929292"/>
                          </w:rPr>
                          <w:t> </w:t>
                        </w:r>
                        <w:r>
                          <w:rPr>
                            <w:sz w:val="16"/>
                            <w:u w:val="dotted" w:color="929292"/>
                          </w:rPr>
                          <w:t>sicológica</w:t>
                          <w:tab/>
                        </w:r>
                      </w:p>
                    </w:tc>
                    <w:tc>
                      <w:tcPr>
                        <w:tcW w:w="1027" w:type="dxa"/>
                        <w:tcBorders>
                          <w:left w:val="dotted" w:sz="4" w:space="0" w:color="FFFFFF"/>
                          <w:right w:val="dotted" w:sz="4" w:space="0" w:color="FFFFFF"/>
                        </w:tcBorders>
                        <w:shd w:val="clear" w:color="auto" w:fill="929292"/>
                      </w:tcPr>
                      <w:p>
                        <w:pPr/>
                      </w:p>
                    </w:tc>
                    <w:tc>
                      <w:tcPr>
                        <w:tcW w:w="1055" w:type="dxa"/>
                        <w:tcBorders>
                          <w:top w:val="single" w:sz="4" w:space="0" w:color="929292"/>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929292"/>
                          <w:right w:val="nil"/>
                        </w:tcBorders>
                      </w:tcPr>
                      <w:p>
                        <w:pPr>
                          <w:pStyle w:val="TableParagraph"/>
                          <w:tabs>
                            <w:tab w:pos="1593"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Factor</w:t>
                        </w:r>
                        <w:r>
                          <w:rPr>
                            <w:spacing w:val="20"/>
                            <w:sz w:val="16"/>
                            <w:u w:val="dotted" w:color="929292"/>
                          </w:rPr>
                          <w:t> </w:t>
                        </w:r>
                        <w:r>
                          <w:rPr>
                            <w:sz w:val="16"/>
                            <w:u w:val="dotted" w:color="929292"/>
                          </w:rPr>
                          <w:t>educación</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929292"/>
                          <w:right w:val="nil"/>
                        </w:tcBorders>
                      </w:tcPr>
                      <w:p>
                        <w:pPr>
                          <w:pStyle w:val="TableParagraph"/>
                          <w:tabs>
                            <w:tab w:pos="1593"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Factores socioeconómicos y </w:t>
                        </w:r>
                        <w:r>
                          <w:rPr>
                            <w:spacing w:val="4"/>
                            <w:sz w:val="16"/>
                            <w:u w:val="dotted" w:color="929292"/>
                          </w:rPr>
                          <w:t> </w:t>
                        </w:r>
                        <w:r>
                          <w:rPr>
                            <w:sz w:val="16"/>
                            <w:u w:val="dotted" w:color="929292"/>
                          </w:rPr>
                          <w:t>políticos</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929292"/>
                          <w:right w:val="nil"/>
                        </w:tcBorders>
                      </w:tcPr>
                      <w:p>
                        <w:pPr>
                          <w:pStyle w:val="TableParagraph"/>
                          <w:tabs>
                            <w:tab w:pos="1593"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Medidas</w:t>
                        </w:r>
                        <w:r>
                          <w:rPr>
                            <w:spacing w:val="20"/>
                            <w:sz w:val="16"/>
                            <w:u w:val="dotted" w:color="929292"/>
                          </w:rPr>
                          <w:t> </w:t>
                        </w:r>
                        <w:r>
                          <w:rPr>
                            <w:sz w:val="16"/>
                            <w:u w:val="dotted" w:color="929292"/>
                          </w:rPr>
                          <w:t>estructurales</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929292"/>
                          <w:bottom w:val="single" w:sz="4" w:space="0" w:color="929292"/>
                          <w:right w:val="nil"/>
                        </w:tcBorders>
                      </w:tcPr>
                      <w:p>
                        <w:pP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Estructura</w:t>
                        </w:r>
                        <w:r>
                          <w:rPr>
                            <w:spacing w:val="5"/>
                            <w:sz w:val="16"/>
                            <w:u w:val="dotted" w:color="929292"/>
                          </w:rPr>
                          <w:t> </w:t>
                        </w:r>
                        <w:r>
                          <w:rPr>
                            <w:sz w:val="16"/>
                            <w:u w:val="dotted" w:color="929292"/>
                          </w:rPr>
                          <w:t>familiar</w:t>
                          <w:tab/>
                        </w:r>
                      </w:p>
                    </w:tc>
                    <w:tc>
                      <w:tcPr>
                        <w:tcW w:w="1027" w:type="dxa"/>
                        <w:tcBorders>
                          <w:top w:val="single" w:sz="4" w:space="0" w:color="929292"/>
                          <w:left w:val="dotted" w:sz="4" w:space="0" w:color="929292"/>
                          <w:bottom w:val="single" w:sz="4" w:space="0" w:color="929292"/>
                          <w:right w:val="dotted" w:sz="4" w:space="0" w:color="929292"/>
                        </w:tcBorders>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FFFFFF"/>
                          <w:right w:val="nil"/>
                        </w:tcBorders>
                        <w:shd w:val="clear" w:color="auto" w:fill="929292"/>
                      </w:tcPr>
                      <w:p>
                        <w:pP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Percepción del orden de</w:t>
                        </w:r>
                        <w:r>
                          <w:rPr>
                            <w:spacing w:val="34"/>
                            <w:sz w:val="16"/>
                            <w:u w:val="dotted" w:color="929292"/>
                          </w:rPr>
                          <w:t> </w:t>
                        </w:r>
                        <w:r>
                          <w:rPr>
                            <w:sz w:val="16"/>
                            <w:u w:val="dotted" w:color="929292"/>
                          </w:rPr>
                          <w:t>gobierno</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top w:val="single" w:sz="4" w:space="0" w:color="929292"/>
                          <w:left w:val="dotted" w:sz="4" w:space="0" w:color="929292"/>
                          <w:right w:val="nil"/>
                        </w:tcBorders>
                      </w:tcPr>
                      <w:p>
                        <w:pPr>
                          <w:pStyle w:val="TableParagraph"/>
                          <w:tabs>
                            <w:tab w:pos="1593" w:val="left" w:leader="none"/>
                          </w:tabs>
                          <w:spacing w:line="171" w:lineRule="exact"/>
                          <w:ind w:left="5"/>
                          <w:jc w:val="center"/>
                          <w:rPr>
                            <w:sz w:val="16"/>
                          </w:rPr>
                        </w:pPr>
                        <w:r>
                          <w:rPr>
                            <w:w w:val="100"/>
                            <w:sz w:val="16"/>
                            <w:u w:val="dotted" w:color="929292"/>
                          </w:rPr>
                          <w:t> </w:t>
                        </w:r>
                        <w:r>
                          <w:rPr>
                            <w:sz w:val="16"/>
                            <w:u w:val="dotted" w:color="929292"/>
                          </w:rPr>
                          <w:tab/>
                        </w: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Voluntad</w:t>
                        </w:r>
                        <w:r>
                          <w:rPr>
                            <w:spacing w:val="11"/>
                            <w:sz w:val="16"/>
                            <w:u w:val="dotted" w:color="929292"/>
                          </w:rPr>
                          <w:t> </w:t>
                        </w:r>
                        <w:r>
                          <w:rPr>
                            <w:sz w:val="16"/>
                            <w:u w:val="dotted" w:color="929292"/>
                          </w:rPr>
                          <w:t>política</w:t>
                          <w:tab/>
                        </w:r>
                      </w:p>
                    </w:tc>
                    <w:tc>
                      <w:tcPr>
                        <w:tcW w:w="1027" w:type="dxa"/>
                        <w:tcBorders>
                          <w:left w:val="dotted" w:sz="4" w:space="0" w:color="FFFFFF"/>
                          <w:right w:val="dotted" w:sz="4" w:space="0" w:color="FFFFFF"/>
                        </w:tcBorders>
                        <w:shd w:val="clear" w:color="auto" w:fill="929292"/>
                      </w:tcPr>
                      <w:p>
                        <w:pP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929292"/>
                          <w:bottom w:val="single" w:sz="4" w:space="0" w:color="929292"/>
                          <w:right w:val="nil"/>
                        </w:tcBorders>
                      </w:tcPr>
                      <w:p>
                        <w:pP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Aceptación social del</w:t>
                        </w:r>
                        <w:r>
                          <w:rPr>
                            <w:spacing w:val="28"/>
                            <w:sz w:val="16"/>
                            <w:u w:val="dotted" w:color="929292"/>
                          </w:rPr>
                          <w:t> </w:t>
                        </w:r>
                        <w:r>
                          <w:rPr>
                            <w:sz w:val="16"/>
                            <w:u w:val="dotted" w:color="929292"/>
                          </w:rPr>
                          <w:t>riesgo</w:t>
                          <w:tab/>
                        </w:r>
                      </w:p>
                    </w:tc>
                    <w:tc>
                      <w:tcPr>
                        <w:tcW w:w="1027" w:type="dxa"/>
                        <w:tcBorders>
                          <w:top w:val="single" w:sz="4" w:space="0" w:color="929292"/>
                          <w:left w:val="dotted" w:sz="4" w:space="0" w:color="929292"/>
                          <w:right w:val="dotted" w:sz="4" w:space="0" w:color="929292"/>
                        </w:tcBorders>
                      </w:tcPr>
                      <w:p>
                        <w:pPr>
                          <w:pStyle w:val="TableParagraph"/>
                          <w:tabs>
                            <w:tab w:pos="1006" w:val="left" w:leader="none"/>
                          </w:tabs>
                          <w:spacing w:line="171" w:lineRule="exact"/>
                          <w:ind w:left="25"/>
                          <w:rPr>
                            <w:sz w:val="16"/>
                          </w:rPr>
                        </w:pPr>
                        <w:r>
                          <w:rPr>
                            <w:w w:val="100"/>
                            <w:sz w:val="16"/>
                            <w:u w:val="dotted" w:color="929292"/>
                          </w:rPr>
                          <w:t> </w:t>
                        </w:r>
                        <w:r>
                          <w:rPr>
                            <w:sz w:val="16"/>
                            <w:u w:val="dotted" w:color="929292"/>
                          </w:rPr>
                          <w:tab/>
                        </w: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FFFFFF"/>
                          <w:right w:val="nil"/>
                        </w:tcBorders>
                        <w:shd w:val="clear" w:color="auto" w:fill="929292"/>
                      </w:tcPr>
                      <w:p>
                        <w:pPr/>
                      </w:p>
                    </w:tc>
                  </w:tr>
                  <w:tr>
                    <w:trPr>
                      <w:trHeight w:val="171" w:hRule="exact"/>
                    </w:trPr>
                    <w:tc>
                      <w:tcPr>
                        <w:tcW w:w="3950" w:type="dxa"/>
                        <w:tcBorders>
                          <w:left w:val="nil"/>
                          <w:right w:val="dotted" w:sz="4" w:space="0" w:color="929292"/>
                        </w:tcBorders>
                      </w:tcPr>
                      <w:p>
                        <w:pPr>
                          <w:pStyle w:val="TableParagraph"/>
                          <w:tabs>
                            <w:tab w:pos="39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Comunicación social del</w:t>
                        </w:r>
                        <w:r>
                          <w:rPr>
                            <w:spacing w:val="28"/>
                            <w:sz w:val="16"/>
                            <w:u w:val="dotted" w:color="929292"/>
                          </w:rPr>
                          <w:t> </w:t>
                        </w:r>
                        <w:r>
                          <w:rPr>
                            <w:sz w:val="16"/>
                            <w:u w:val="dotted" w:color="929292"/>
                          </w:rPr>
                          <w:t>riesgo</w:t>
                          <w:tab/>
                        </w:r>
                      </w:p>
                    </w:tc>
                    <w:tc>
                      <w:tcPr>
                        <w:tcW w:w="1027" w:type="dxa"/>
                        <w:tcBorders>
                          <w:left w:val="dotted" w:sz="4" w:space="0" w:color="929292"/>
                          <w:right w:val="dotted" w:sz="4" w:space="0" w:color="929292"/>
                        </w:tcBorders>
                      </w:tcPr>
                      <w:p>
                        <w:pPr>
                          <w:pStyle w:val="TableParagraph"/>
                          <w:tabs>
                            <w:tab w:pos="1006" w:val="left" w:leader="none"/>
                          </w:tabs>
                          <w:spacing w:line="171" w:lineRule="exact"/>
                          <w:ind w:left="25"/>
                          <w:rPr>
                            <w:sz w:val="16"/>
                          </w:rPr>
                        </w:pPr>
                        <w:r>
                          <w:rPr>
                            <w:w w:val="100"/>
                            <w:sz w:val="16"/>
                            <w:u w:val="dotted" w:color="929292"/>
                          </w:rPr>
                          <w:t> </w:t>
                        </w:r>
                        <w:r>
                          <w:rPr>
                            <w:sz w:val="16"/>
                            <w:u w:val="dotted" w:color="929292"/>
                          </w:rPr>
                          <w:tab/>
                        </w:r>
                      </w:p>
                    </w:tc>
                    <w:tc>
                      <w:tcPr>
                        <w:tcW w:w="1055" w:type="dxa"/>
                        <w:tcBorders>
                          <w:left w:val="dotted" w:sz="4" w:space="0" w:color="929292"/>
                          <w:right w:val="dotted" w:sz="4" w:space="0" w:color="929292"/>
                        </w:tcBorders>
                      </w:tcPr>
                      <w:p>
                        <w:pPr>
                          <w:pStyle w:val="TableParagraph"/>
                          <w:tabs>
                            <w:tab w:pos="1024" w:val="left" w:leader="none"/>
                          </w:tabs>
                          <w:spacing w:line="171" w:lineRule="exact"/>
                          <w:ind w:left="15"/>
                          <w:jc w:val="center"/>
                          <w:rPr>
                            <w:sz w:val="16"/>
                          </w:rPr>
                        </w:pPr>
                        <w:r>
                          <w:rPr>
                            <w:w w:val="100"/>
                            <w:sz w:val="16"/>
                            <w:u w:val="dotted" w:color="929292"/>
                          </w:rPr>
                          <w:t> </w:t>
                        </w:r>
                        <w:r>
                          <w:rPr>
                            <w:sz w:val="16"/>
                            <w:u w:val="dotted" w:color="929292"/>
                          </w:rPr>
                          <w:tab/>
                        </w:r>
                      </w:p>
                    </w:tc>
                    <w:tc>
                      <w:tcPr>
                        <w:tcW w:w="1639" w:type="dxa"/>
                        <w:tcBorders>
                          <w:left w:val="dotted" w:sz="4" w:space="0" w:color="FFFFFF"/>
                          <w:right w:val="nil"/>
                        </w:tcBorders>
                        <w:shd w:val="clear" w:color="auto" w:fill="929292"/>
                      </w:tcPr>
                      <w:p>
                        <w:pPr/>
                      </w:p>
                    </w:tc>
                  </w:tr>
                  <w:tr>
                    <w:trPr>
                      <w:trHeight w:val="171" w:hRule="exact"/>
                    </w:trPr>
                    <w:tc>
                      <w:tcPr>
                        <w:tcW w:w="3950" w:type="dxa"/>
                        <w:tcBorders>
                          <w:left w:val="nil"/>
                          <w:right w:val="dotted" w:sz="4" w:space="0" w:color="929292"/>
                        </w:tcBorders>
                      </w:tcPr>
                      <w:p>
                        <w:pPr>
                          <w:pStyle w:val="TableParagraph"/>
                          <w:tabs>
                            <w:tab w:pos="3934" w:val="left" w:leader="none"/>
                          </w:tabs>
                          <w:spacing w:line="170" w:lineRule="exact"/>
                          <w:ind w:left="29"/>
                          <w:rPr>
                            <w:sz w:val="16"/>
                          </w:rPr>
                        </w:pPr>
                        <w:r>
                          <w:rPr>
                            <w:w w:val="100"/>
                            <w:sz w:val="16"/>
                            <w:u w:val="dotted" w:color="929292"/>
                          </w:rPr>
                          <w:t> </w:t>
                        </w:r>
                        <w:r>
                          <w:rPr>
                            <w:spacing w:val="-16"/>
                            <w:sz w:val="16"/>
                            <w:u w:val="dotted" w:color="929292"/>
                          </w:rPr>
                          <w:t> </w:t>
                        </w:r>
                        <w:r>
                          <w:rPr>
                            <w:sz w:val="16"/>
                            <w:u w:val="dotted" w:color="929292"/>
                          </w:rPr>
                          <w:t>Medidas no</w:t>
                        </w:r>
                        <w:r>
                          <w:rPr>
                            <w:spacing w:val="23"/>
                            <w:sz w:val="16"/>
                            <w:u w:val="dotted" w:color="929292"/>
                          </w:rPr>
                          <w:t> </w:t>
                        </w:r>
                        <w:r>
                          <w:rPr>
                            <w:sz w:val="16"/>
                            <w:u w:val="dotted" w:color="929292"/>
                          </w:rPr>
                          <w:t>estructurales</w:t>
                          <w:tab/>
                        </w:r>
                      </w:p>
                    </w:tc>
                    <w:tc>
                      <w:tcPr>
                        <w:tcW w:w="1027" w:type="dxa"/>
                        <w:tcBorders>
                          <w:left w:val="dotted" w:sz="4" w:space="0" w:color="929292"/>
                          <w:right w:val="dotted" w:sz="4" w:space="0" w:color="929292"/>
                        </w:tcBorders>
                      </w:tcPr>
                      <w:p>
                        <w:pPr>
                          <w:pStyle w:val="TableParagraph"/>
                          <w:tabs>
                            <w:tab w:pos="1006" w:val="left" w:leader="none"/>
                          </w:tabs>
                          <w:spacing w:line="170" w:lineRule="exact"/>
                          <w:ind w:left="25"/>
                          <w:rPr>
                            <w:sz w:val="16"/>
                          </w:rPr>
                        </w:pPr>
                        <w:r>
                          <w:rPr>
                            <w:w w:val="100"/>
                            <w:sz w:val="16"/>
                            <w:u w:val="dotted" w:color="929292"/>
                          </w:rPr>
                          <w:t> </w:t>
                        </w:r>
                        <w:r>
                          <w:rPr>
                            <w:sz w:val="16"/>
                            <w:u w:val="dotted" w:color="929292"/>
                          </w:rPr>
                          <w:tab/>
                        </w:r>
                      </w:p>
                    </w:tc>
                    <w:tc>
                      <w:tcPr>
                        <w:tcW w:w="1055" w:type="dxa"/>
                        <w:tcBorders>
                          <w:left w:val="dotted" w:sz="4" w:space="0" w:color="929292"/>
                          <w:bottom w:val="single" w:sz="4" w:space="0" w:color="929292"/>
                          <w:right w:val="dotted" w:sz="4" w:space="0" w:color="929292"/>
                        </w:tcBorders>
                      </w:tcPr>
                      <w:p>
                        <w:pPr/>
                      </w:p>
                    </w:tc>
                    <w:tc>
                      <w:tcPr>
                        <w:tcW w:w="1639" w:type="dxa"/>
                        <w:tcBorders>
                          <w:left w:val="dotted" w:sz="4" w:space="0" w:color="FFFFFF"/>
                          <w:right w:val="nil"/>
                        </w:tcBorders>
                        <w:shd w:val="clear" w:color="auto" w:fill="929292"/>
                      </w:tcPr>
                      <w:p>
                        <w:pPr/>
                      </w:p>
                    </w:tc>
                  </w:tr>
                  <w:tr>
                    <w:trPr>
                      <w:trHeight w:val="171" w:hRule="exact"/>
                    </w:trPr>
                    <w:tc>
                      <w:tcPr>
                        <w:tcW w:w="3950" w:type="dxa"/>
                        <w:tcBorders>
                          <w:left w:val="nil"/>
                          <w:bottom w:val="single" w:sz="4" w:space="0" w:color="929292"/>
                          <w:right w:val="dotted" w:sz="4" w:space="0" w:color="929292"/>
                        </w:tcBorders>
                      </w:tcPr>
                      <w:p>
                        <w:pPr>
                          <w:pStyle w:val="TableParagraph"/>
                          <w:spacing w:line="170" w:lineRule="exact"/>
                          <w:ind w:left="103"/>
                          <w:rPr>
                            <w:sz w:val="16"/>
                          </w:rPr>
                        </w:pPr>
                        <w:r>
                          <w:rPr>
                            <w:sz w:val="16"/>
                          </w:rPr>
                          <w:t>Seguros y valoración financiera</w:t>
                        </w:r>
                      </w:p>
                    </w:tc>
                    <w:tc>
                      <w:tcPr>
                        <w:tcW w:w="1027" w:type="dxa"/>
                        <w:tcBorders>
                          <w:left w:val="dotted" w:sz="4" w:space="0" w:color="929292"/>
                          <w:bottom w:val="single" w:sz="4" w:space="0" w:color="929292"/>
                          <w:right w:val="dotted" w:sz="4" w:space="0" w:color="929292"/>
                        </w:tcBorders>
                      </w:tcPr>
                      <w:p>
                        <w:pPr/>
                      </w:p>
                    </w:tc>
                    <w:tc>
                      <w:tcPr>
                        <w:tcW w:w="1055" w:type="dxa"/>
                        <w:tcBorders>
                          <w:left w:val="dotted" w:sz="4" w:space="0" w:color="FFFFFF"/>
                          <w:right w:val="dotted" w:sz="4" w:space="0" w:color="FFFFFF"/>
                        </w:tcBorders>
                        <w:shd w:val="clear" w:color="auto" w:fill="929292"/>
                      </w:tcPr>
                      <w:p>
                        <w:pPr/>
                      </w:p>
                    </w:tc>
                    <w:tc>
                      <w:tcPr>
                        <w:tcW w:w="1639" w:type="dxa"/>
                        <w:tcBorders>
                          <w:top w:val="single" w:sz="4" w:space="0" w:color="929292"/>
                          <w:left w:val="dotted" w:sz="4" w:space="0" w:color="929292"/>
                          <w:bottom w:val="single" w:sz="4" w:space="0" w:color="929292"/>
                          <w:right w:val="nil"/>
                        </w:tcBorders>
                      </w:tcPr>
                      <w:p>
                        <w:pPr/>
                      </w:p>
                    </w:tc>
                  </w:tr>
                  <w:tr>
                    <w:trPr>
                      <w:trHeight w:val="171" w:hRule="exact"/>
                    </w:trPr>
                    <w:tc>
                      <w:tcPr>
                        <w:tcW w:w="3950" w:type="dxa"/>
                        <w:tcBorders>
                          <w:top w:val="single" w:sz="4" w:space="0" w:color="929292"/>
                          <w:left w:val="nil"/>
                          <w:bottom w:val="single" w:sz="4" w:space="0" w:color="929292"/>
                          <w:right w:val="dotted" w:sz="4" w:space="0" w:color="929292"/>
                        </w:tcBorders>
                      </w:tcPr>
                      <w:p>
                        <w:pPr>
                          <w:pStyle w:val="TableParagraph"/>
                          <w:spacing w:line="170" w:lineRule="exact"/>
                          <w:ind w:left="103"/>
                          <w:rPr>
                            <w:sz w:val="16"/>
                          </w:rPr>
                        </w:pPr>
                        <w:r>
                          <w:rPr>
                            <w:sz w:val="16"/>
                          </w:rPr>
                          <w:t>Exposición y susceptibilidad del  territorio</w:t>
                        </w:r>
                      </w:p>
                    </w:tc>
                    <w:tc>
                      <w:tcPr>
                        <w:tcW w:w="1027" w:type="dxa"/>
                        <w:tcBorders>
                          <w:left w:val="dotted" w:sz="4" w:space="0" w:color="FFFFFF"/>
                          <w:right w:val="dotted" w:sz="4" w:space="0" w:color="FFFFFF"/>
                        </w:tcBorders>
                        <w:shd w:val="clear" w:color="auto" w:fill="929292"/>
                      </w:tcPr>
                      <w:p>
                        <w:pPr/>
                      </w:p>
                    </w:tc>
                    <w:tc>
                      <w:tcPr>
                        <w:tcW w:w="1055" w:type="dxa"/>
                        <w:tcBorders>
                          <w:top w:val="single" w:sz="4" w:space="0" w:color="929292"/>
                          <w:left w:val="dotted" w:sz="4" w:space="0" w:color="929292"/>
                          <w:bottom w:val="single" w:sz="4" w:space="0" w:color="929292"/>
                          <w:right w:val="dotted" w:sz="4" w:space="0" w:color="929292"/>
                        </w:tcBorders>
                      </w:tcPr>
                      <w:p>
                        <w:pPr/>
                      </w:p>
                    </w:tc>
                    <w:tc>
                      <w:tcPr>
                        <w:tcW w:w="1639" w:type="dxa"/>
                        <w:tcBorders>
                          <w:top w:val="single" w:sz="4" w:space="0" w:color="929292"/>
                          <w:left w:val="dotted" w:sz="4" w:space="0" w:color="929292"/>
                          <w:bottom w:val="single" w:sz="4" w:space="0" w:color="929292"/>
                          <w:right w:val="nil"/>
                        </w:tcBorders>
                      </w:tcPr>
                      <w:p>
                        <w:pPr/>
                      </w:p>
                    </w:tc>
                  </w:tr>
                  <w:tr>
                    <w:trPr>
                      <w:trHeight w:val="171" w:hRule="exact"/>
                    </w:trPr>
                    <w:tc>
                      <w:tcPr>
                        <w:tcW w:w="3950" w:type="dxa"/>
                        <w:tcBorders>
                          <w:top w:val="single" w:sz="4" w:space="0" w:color="929292"/>
                          <w:left w:val="nil"/>
                          <w:bottom w:val="single" w:sz="4" w:space="0" w:color="929292"/>
                          <w:right w:val="dotted" w:sz="4" w:space="0" w:color="929292"/>
                        </w:tcBorders>
                      </w:tcPr>
                      <w:p>
                        <w:pPr>
                          <w:pStyle w:val="TableParagraph"/>
                          <w:spacing w:line="170" w:lineRule="exact"/>
                          <w:ind w:left="103"/>
                          <w:rPr>
                            <w:sz w:val="16"/>
                          </w:rPr>
                        </w:pPr>
                        <w:r>
                          <w:rPr>
                            <w:sz w:val="16"/>
                          </w:rPr>
                          <w:t>Valor del territorio</w:t>
                        </w:r>
                      </w:p>
                    </w:tc>
                    <w:tc>
                      <w:tcPr>
                        <w:tcW w:w="1027" w:type="dxa"/>
                        <w:tcBorders>
                          <w:top w:val="single" w:sz="4" w:space="0" w:color="929292"/>
                          <w:left w:val="dotted" w:sz="4" w:space="0" w:color="929292"/>
                          <w:bottom w:val="single" w:sz="4" w:space="0" w:color="929292"/>
                          <w:right w:val="dotted" w:sz="4" w:space="0" w:color="929292"/>
                        </w:tcBorders>
                      </w:tcPr>
                      <w:p>
                        <w:pPr/>
                      </w:p>
                    </w:tc>
                    <w:tc>
                      <w:tcPr>
                        <w:tcW w:w="1055" w:type="dxa"/>
                        <w:tcBorders>
                          <w:top w:val="single" w:sz="4" w:space="0" w:color="929292"/>
                          <w:left w:val="dotted" w:sz="4" w:space="0" w:color="929292"/>
                          <w:bottom w:val="single" w:sz="4" w:space="0" w:color="929292"/>
                          <w:right w:val="dotted" w:sz="4" w:space="0" w:color="929292"/>
                        </w:tcBorders>
                      </w:tcPr>
                      <w:p>
                        <w:pPr/>
                      </w:p>
                    </w:tc>
                    <w:tc>
                      <w:tcPr>
                        <w:tcW w:w="1639" w:type="dxa"/>
                        <w:tcBorders>
                          <w:left w:val="dotted" w:sz="4" w:space="0" w:color="FFFFFF"/>
                          <w:right w:val="nil"/>
                        </w:tcBorders>
                        <w:shd w:val="clear" w:color="auto" w:fill="929292"/>
                      </w:tcPr>
                      <w:p>
                        <w:pPr/>
                      </w:p>
                    </w:tc>
                  </w:tr>
                  <w:tr>
                    <w:trPr>
                      <w:trHeight w:val="171" w:hRule="exact"/>
                    </w:trPr>
                    <w:tc>
                      <w:tcPr>
                        <w:tcW w:w="3950" w:type="dxa"/>
                        <w:tcBorders>
                          <w:top w:val="single" w:sz="4" w:space="0" w:color="929292"/>
                          <w:left w:val="nil"/>
                          <w:bottom w:val="single" w:sz="4" w:space="0" w:color="929292"/>
                          <w:right w:val="dotted" w:sz="4" w:space="0" w:color="929292"/>
                        </w:tcBorders>
                      </w:tcPr>
                      <w:p>
                        <w:pPr>
                          <w:pStyle w:val="TableParagraph"/>
                          <w:spacing w:line="170" w:lineRule="exact"/>
                          <w:ind w:left="103"/>
                          <w:rPr>
                            <w:sz w:val="16"/>
                          </w:rPr>
                        </w:pPr>
                        <w:r>
                          <w:rPr>
                            <w:sz w:val="16"/>
                          </w:rPr>
                          <w:t>Valor de construcción social</w:t>
                        </w:r>
                      </w:p>
                    </w:tc>
                    <w:tc>
                      <w:tcPr>
                        <w:tcW w:w="1027" w:type="dxa"/>
                        <w:tcBorders>
                          <w:top w:val="single" w:sz="4" w:space="0" w:color="929292"/>
                          <w:left w:val="dotted" w:sz="4" w:space="0" w:color="929292"/>
                          <w:bottom w:val="single" w:sz="4" w:space="0" w:color="929292"/>
                          <w:right w:val="dotted" w:sz="4" w:space="0" w:color="929292"/>
                        </w:tcBorders>
                      </w:tcPr>
                      <w:p>
                        <w:pPr/>
                      </w:p>
                    </w:tc>
                    <w:tc>
                      <w:tcPr>
                        <w:tcW w:w="1055" w:type="dxa"/>
                        <w:tcBorders>
                          <w:top w:val="single" w:sz="4" w:space="0" w:color="929292"/>
                          <w:left w:val="dotted" w:sz="4" w:space="0" w:color="929292"/>
                          <w:bottom w:val="single" w:sz="4" w:space="0" w:color="929292"/>
                          <w:right w:val="dotted" w:sz="4" w:space="0" w:color="929292"/>
                        </w:tcBorders>
                      </w:tcPr>
                      <w:p>
                        <w:pPr/>
                      </w:p>
                    </w:tc>
                    <w:tc>
                      <w:tcPr>
                        <w:tcW w:w="1639" w:type="dxa"/>
                        <w:tcBorders>
                          <w:left w:val="dotted" w:sz="4" w:space="0" w:color="FFFFFF"/>
                          <w:right w:val="nil"/>
                        </w:tcBorders>
                        <w:shd w:val="clear" w:color="auto" w:fill="929292"/>
                      </w:tcPr>
                      <w:p>
                        <w:pPr/>
                      </w:p>
                    </w:tc>
                  </w:tr>
                  <w:tr>
                    <w:trPr>
                      <w:trHeight w:val="171" w:hRule="exact"/>
                    </w:trPr>
                    <w:tc>
                      <w:tcPr>
                        <w:tcW w:w="3950" w:type="dxa"/>
                        <w:tcBorders>
                          <w:top w:val="single" w:sz="4" w:space="0" w:color="929292"/>
                          <w:left w:val="nil"/>
                          <w:bottom w:val="single" w:sz="4" w:space="0" w:color="929292"/>
                          <w:right w:val="dotted" w:sz="4" w:space="0" w:color="929292"/>
                        </w:tcBorders>
                      </w:tcPr>
                      <w:p>
                        <w:pPr>
                          <w:pStyle w:val="TableParagraph"/>
                          <w:spacing w:line="170" w:lineRule="exact"/>
                          <w:ind w:left="103"/>
                          <w:rPr>
                            <w:sz w:val="16"/>
                          </w:rPr>
                        </w:pPr>
                        <w:r>
                          <w:rPr>
                            <w:sz w:val="16"/>
                          </w:rPr>
                          <w:t>Espacios esenciales</w:t>
                        </w:r>
                      </w:p>
                    </w:tc>
                    <w:tc>
                      <w:tcPr>
                        <w:tcW w:w="1027" w:type="dxa"/>
                        <w:tcBorders>
                          <w:top w:val="single" w:sz="4" w:space="0" w:color="929292"/>
                          <w:left w:val="dotted" w:sz="4" w:space="0" w:color="929292"/>
                          <w:bottom w:val="single" w:sz="4" w:space="0" w:color="929292"/>
                          <w:right w:val="dotted" w:sz="4" w:space="0" w:color="929292"/>
                        </w:tcBorders>
                      </w:tcPr>
                      <w:p>
                        <w:pPr/>
                      </w:p>
                    </w:tc>
                    <w:tc>
                      <w:tcPr>
                        <w:tcW w:w="1055" w:type="dxa"/>
                        <w:tcBorders>
                          <w:top w:val="single" w:sz="4" w:space="0" w:color="929292"/>
                          <w:left w:val="dotted" w:sz="4" w:space="0" w:color="929292"/>
                          <w:bottom w:val="single" w:sz="4" w:space="0" w:color="929292"/>
                          <w:right w:val="dotted" w:sz="4" w:space="0" w:color="929292"/>
                        </w:tcBorders>
                      </w:tcPr>
                      <w:p>
                        <w:pPr/>
                      </w:p>
                    </w:tc>
                    <w:tc>
                      <w:tcPr>
                        <w:tcW w:w="1639" w:type="dxa"/>
                        <w:tcBorders>
                          <w:left w:val="dotted" w:sz="4" w:space="0" w:color="FFFFFF"/>
                          <w:right w:val="nil"/>
                        </w:tcBorders>
                        <w:shd w:val="clear" w:color="auto" w:fill="929292"/>
                      </w:tcPr>
                      <w:p>
                        <w:pPr/>
                      </w:p>
                    </w:tc>
                  </w:tr>
                  <w:tr>
                    <w:trPr>
                      <w:trHeight w:val="171" w:hRule="exact"/>
                    </w:trPr>
                    <w:tc>
                      <w:tcPr>
                        <w:tcW w:w="3950" w:type="dxa"/>
                        <w:tcBorders>
                          <w:top w:val="single" w:sz="4" w:space="0" w:color="929292"/>
                          <w:left w:val="nil"/>
                          <w:bottom w:val="single" w:sz="4" w:space="0" w:color="929292"/>
                          <w:right w:val="dotted" w:sz="4" w:space="0" w:color="929292"/>
                        </w:tcBorders>
                      </w:tcPr>
                      <w:p>
                        <w:pPr>
                          <w:pStyle w:val="TableParagraph"/>
                          <w:spacing w:line="170" w:lineRule="exact"/>
                          <w:ind w:left="103"/>
                          <w:rPr>
                            <w:sz w:val="16"/>
                          </w:rPr>
                        </w:pPr>
                        <w:r>
                          <w:rPr>
                            <w:sz w:val="16"/>
                          </w:rPr>
                          <w:t>Diagnosis</w:t>
                        </w:r>
                      </w:p>
                    </w:tc>
                    <w:tc>
                      <w:tcPr>
                        <w:tcW w:w="1027" w:type="dxa"/>
                        <w:tcBorders>
                          <w:top w:val="single" w:sz="4" w:space="0" w:color="929292"/>
                          <w:left w:val="dotted" w:sz="4" w:space="0" w:color="929292"/>
                          <w:bottom w:val="single" w:sz="4" w:space="0" w:color="929292"/>
                          <w:right w:val="dotted" w:sz="4" w:space="0" w:color="929292"/>
                        </w:tcBorders>
                      </w:tcPr>
                      <w:p>
                        <w:pPr/>
                      </w:p>
                    </w:tc>
                    <w:tc>
                      <w:tcPr>
                        <w:tcW w:w="1055" w:type="dxa"/>
                        <w:tcBorders>
                          <w:top w:val="single" w:sz="4" w:space="0" w:color="929292"/>
                          <w:left w:val="dotted" w:sz="4" w:space="0" w:color="929292"/>
                          <w:bottom w:val="single" w:sz="4" w:space="0" w:color="929292"/>
                          <w:right w:val="dotted" w:sz="4" w:space="0" w:color="929292"/>
                        </w:tcBorders>
                      </w:tcPr>
                      <w:p>
                        <w:pPr/>
                      </w:p>
                    </w:tc>
                    <w:tc>
                      <w:tcPr>
                        <w:tcW w:w="1639" w:type="dxa"/>
                        <w:tcBorders>
                          <w:left w:val="dotted" w:sz="4" w:space="0" w:color="FFFFFF"/>
                          <w:right w:val="nil"/>
                        </w:tcBorders>
                        <w:shd w:val="clear" w:color="auto" w:fill="929292"/>
                      </w:tcPr>
                      <w:p>
                        <w:pPr/>
                      </w:p>
                    </w:tc>
                  </w:tr>
                  <w:tr>
                    <w:trPr>
                      <w:trHeight w:val="171" w:hRule="exact"/>
                    </w:trPr>
                    <w:tc>
                      <w:tcPr>
                        <w:tcW w:w="3950" w:type="dxa"/>
                        <w:tcBorders>
                          <w:top w:val="single" w:sz="4" w:space="0" w:color="929292"/>
                          <w:left w:val="nil"/>
                          <w:bottom w:val="single" w:sz="4" w:space="0" w:color="929292"/>
                          <w:right w:val="dotted" w:sz="4" w:space="0" w:color="929292"/>
                        </w:tcBorders>
                      </w:tcPr>
                      <w:p>
                        <w:pPr>
                          <w:pStyle w:val="TableParagraph"/>
                          <w:spacing w:line="170" w:lineRule="exact"/>
                          <w:ind w:left="103"/>
                          <w:rPr>
                            <w:sz w:val="16"/>
                          </w:rPr>
                        </w:pPr>
                        <w:r>
                          <w:rPr>
                            <w:sz w:val="16"/>
                          </w:rPr>
                          <w:t>Prognosis</w:t>
                        </w:r>
                      </w:p>
                    </w:tc>
                    <w:tc>
                      <w:tcPr>
                        <w:tcW w:w="1027" w:type="dxa"/>
                        <w:tcBorders>
                          <w:top w:val="single" w:sz="4" w:space="0" w:color="929292"/>
                          <w:left w:val="dotted" w:sz="4" w:space="0" w:color="929292"/>
                          <w:bottom w:val="single" w:sz="4" w:space="0" w:color="929292"/>
                          <w:right w:val="dotted" w:sz="4" w:space="0" w:color="929292"/>
                        </w:tcBorders>
                      </w:tcPr>
                      <w:p>
                        <w:pPr/>
                      </w:p>
                    </w:tc>
                    <w:tc>
                      <w:tcPr>
                        <w:tcW w:w="1055" w:type="dxa"/>
                        <w:tcBorders>
                          <w:top w:val="single" w:sz="4" w:space="0" w:color="929292"/>
                          <w:left w:val="dotted" w:sz="4" w:space="0" w:color="929292"/>
                          <w:bottom w:val="single" w:sz="4" w:space="0" w:color="929292"/>
                          <w:right w:val="dotted" w:sz="4" w:space="0" w:color="929292"/>
                        </w:tcBorders>
                      </w:tcPr>
                      <w:p>
                        <w:pPr/>
                      </w:p>
                    </w:tc>
                    <w:tc>
                      <w:tcPr>
                        <w:tcW w:w="1639" w:type="dxa"/>
                        <w:tcBorders>
                          <w:left w:val="dotted" w:sz="4" w:space="0" w:color="FFFFFF"/>
                          <w:right w:val="nil"/>
                        </w:tcBorders>
                        <w:shd w:val="clear" w:color="auto" w:fill="929292"/>
                      </w:tcPr>
                      <w:p>
                        <w:pPr/>
                      </w:p>
                    </w:tc>
                  </w:tr>
                  <w:tr>
                    <w:trPr>
                      <w:trHeight w:val="171" w:hRule="exact"/>
                    </w:trPr>
                    <w:tc>
                      <w:tcPr>
                        <w:tcW w:w="3950" w:type="dxa"/>
                        <w:tcBorders>
                          <w:top w:val="single" w:sz="4" w:space="0" w:color="929292"/>
                          <w:left w:val="nil"/>
                          <w:bottom w:val="single" w:sz="4" w:space="0" w:color="929292"/>
                          <w:right w:val="dotted" w:sz="4" w:space="0" w:color="929292"/>
                        </w:tcBorders>
                      </w:tcPr>
                      <w:p>
                        <w:pPr>
                          <w:pStyle w:val="TableParagraph"/>
                          <w:spacing w:line="170" w:lineRule="exact"/>
                          <w:ind w:left="103"/>
                          <w:rPr>
                            <w:sz w:val="16"/>
                          </w:rPr>
                        </w:pPr>
                        <w:r>
                          <w:rPr>
                            <w:sz w:val="16"/>
                          </w:rPr>
                          <w:t>Sintéresis</w:t>
                        </w:r>
                      </w:p>
                    </w:tc>
                    <w:tc>
                      <w:tcPr>
                        <w:tcW w:w="1027" w:type="dxa"/>
                        <w:tcBorders>
                          <w:top w:val="single" w:sz="4" w:space="0" w:color="929292"/>
                          <w:left w:val="dotted" w:sz="4" w:space="0" w:color="929292"/>
                          <w:bottom w:val="single" w:sz="4" w:space="0" w:color="929292"/>
                          <w:right w:val="dotted" w:sz="4" w:space="0" w:color="929292"/>
                        </w:tcBorders>
                      </w:tcPr>
                      <w:p>
                        <w:pPr/>
                      </w:p>
                    </w:tc>
                    <w:tc>
                      <w:tcPr>
                        <w:tcW w:w="1055" w:type="dxa"/>
                        <w:tcBorders>
                          <w:top w:val="single" w:sz="4" w:space="0" w:color="929292"/>
                          <w:left w:val="dotted" w:sz="4" w:space="0" w:color="929292"/>
                          <w:bottom w:val="single" w:sz="4" w:space="0" w:color="929292"/>
                          <w:right w:val="dotted" w:sz="4" w:space="0" w:color="929292"/>
                        </w:tcBorders>
                      </w:tcPr>
                      <w:p>
                        <w:pPr/>
                      </w:p>
                    </w:tc>
                    <w:tc>
                      <w:tcPr>
                        <w:tcW w:w="1639" w:type="dxa"/>
                        <w:tcBorders>
                          <w:left w:val="dotted" w:sz="4" w:space="0" w:color="FFFFFF"/>
                          <w:right w:val="nil"/>
                        </w:tcBorders>
                        <w:shd w:val="clear" w:color="auto" w:fill="929292"/>
                      </w:tcPr>
                      <w:p>
                        <w:pPr/>
                      </w:p>
                    </w:tc>
                  </w:tr>
                  <w:tr>
                    <w:trPr>
                      <w:trHeight w:val="395" w:hRule="exact"/>
                    </w:trPr>
                    <w:tc>
                      <w:tcPr>
                        <w:tcW w:w="3950" w:type="dxa"/>
                        <w:tcBorders>
                          <w:top w:val="single" w:sz="4" w:space="0" w:color="929292"/>
                          <w:left w:val="nil"/>
                          <w:bottom w:val="single" w:sz="4" w:space="0" w:color="929292"/>
                          <w:right w:val="dotted" w:sz="4" w:space="0" w:color="929292"/>
                        </w:tcBorders>
                      </w:tcPr>
                      <w:p>
                        <w:pPr>
                          <w:pStyle w:val="TableParagraph"/>
                          <w:spacing w:line="170" w:lineRule="exact"/>
                          <w:ind w:left="103"/>
                          <w:rPr>
                            <w:sz w:val="16"/>
                          </w:rPr>
                        </w:pPr>
                        <w:r>
                          <w:rPr>
                            <w:sz w:val="16"/>
                          </w:rPr>
                          <w:t>Proceso de retroalimentación (feedback)</w:t>
                        </w:r>
                      </w:p>
                      <w:p>
                        <w:pPr>
                          <w:pStyle w:val="TableParagraph"/>
                          <w:spacing w:before="39"/>
                          <w:ind w:left="103"/>
                          <w:rPr>
                            <w:sz w:val="16"/>
                          </w:rPr>
                        </w:pPr>
                        <w:r>
                          <w:rPr>
                            <w:sz w:val="16"/>
                          </w:rPr>
                          <w:t>Gestión de riesgo</w:t>
                        </w:r>
                      </w:p>
                    </w:tc>
                    <w:tc>
                      <w:tcPr>
                        <w:tcW w:w="1027" w:type="dxa"/>
                        <w:tcBorders>
                          <w:left w:val="dotted" w:sz="4" w:space="0" w:color="FFFFFF"/>
                          <w:right w:val="dotted" w:sz="4" w:space="0" w:color="FFFFFF"/>
                        </w:tcBorders>
                        <w:shd w:val="clear" w:color="auto" w:fill="929292"/>
                      </w:tcPr>
                      <w:p>
                        <w:pPr/>
                      </w:p>
                    </w:tc>
                    <w:tc>
                      <w:tcPr>
                        <w:tcW w:w="1055" w:type="dxa"/>
                        <w:tcBorders>
                          <w:top w:val="single" w:sz="4" w:space="0" w:color="929292"/>
                          <w:left w:val="dotted" w:sz="4" w:space="0" w:color="929292"/>
                          <w:bottom w:val="single" w:sz="4" w:space="0" w:color="929292"/>
                          <w:right w:val="dotted" w:sz="4" w:space="0" w:color="929292"/>
                        </w:tcBorders>
                      </w:tcPr>
                      <w:p>
                        <w:pPr/>
                      </w:p>
                    </w:tc>
                    <w:tc>
                      <w:tcPr>
                        <w:tcW w:w="1639" w:type="dxa"/>
                        <w:tcBorders>
                          <w:top w:val="single" w:sz="4" w:space="0" w:color="929292"/>
                          <w:left w:val="dotted" w:sz="4" w:space="0" w:color="929292"/>
                          <w:bottom w:val="single" w:sz="4" w:space="0" w:color="929292"/>
                          <w:right w:val="nil"/>
                        </w:tcBorders>
                      </w:tcPr>
                      <w:p>
                        <w:pPr/>
                      </w:p>
                    </w:tc>
                  </w:tr>
                  <w:tr>
                    <w:trPr>
                      <w:trHeight w:val="171" w:hRule="exact"/>
                    </w:trPr>
                    <w:tc>
                      <w:tcPr>
                        <w:tcW w:w="3950" w:type="dxa"/>
                        <w:tcBorders>
                          <w:top w:val="single" w:sz="4" w:space="0" w:color="929292"/>
                          <w:left w:val="nil"/>
                          <w:bottom w:val="dotted" w:sz="4" w:space="0" w:color="929292"/>
                          <w:right w:val="dotted" w:sz="4" w:space="0" w:color="929292"/>
                        </w:tcBorders>
                      </w:tcPr>
                      <w:p>
                        <w:pPr>
                          <w:pStyle w:val="TableParagraph"/>
                          <w:spacing w:line="170" w:lineRule="exact"/>
                          <w:ind w:left="103"/>
                          <w:rPr>
                            <w:sz w:val="16"/>
                          </w:rPr>
                        </w:pPr>
                        <w:r>
                          <w:rPr>
                            <w:sz w:val="16"/>
                          </w:rPr>
                          <w:t>Gestión integral del riesgo local de desastre</w:t>
                        </w:r>
                      </w:p>
                    </w:tc>
                    <w:tc>
                      <w:tcPr>
                        <w:tcW w:w="1027" w:type="dxa"/>
                        <w:tcBorders>
                          <w:left w:val="dotted" w:sz="4" w:space="0" w:color="FFFFFF"/>
                          <w:bottom w:val="dotted" w:sz="4" w:space="0" w:color="FFFFFF"/>
                          <w:right w:val="dotted" w:sz="4" w:space="0" w:color="FFFFFF"/>
                        </w:tcBorders>
                        <w:shd w:val="clear" w:color="auto" w:fill="929292"/>
                      </w:tcPr>
                      <w:p>
                        <w:pPr/>
                      </w:p>
                    </w:tc>
                    <w:tc>
                      <w:tcPr>
                        <w:tcW w:w="1055" w:type="dxa"/>
                        <w:tcBorders>
                          <w:top w:val="single" w:sz="4" w:space="0" w:color="929292"/>
                          <w:left w:val="dotted" w:sz="4" w:space="0" w:color="929292"/>
                          <w:bottom w:val="dotted" w:sz="4" w:space="0" w:color="929292"/>
                          <w:right w:val="dotted" w:sz="4" w:space="0" w:color="929292"/>
                        </w:tcBorders>
                      </w:tcPr>
                      <w:p>
                        <w:pPr/>
                      </w:p>
                    </w:tc>
                    <w:tc>
                      <w:tcPr>
                        <w:tcW w:w="1639" w:type="dxa"/>
                        <w:tcBorders>
                          <w:top w:val="single" w:sz="4" w:space="0" w:color="929292"/>
                          <w:left w:val="dotted" w:sz="4" w:space="0" w:color="929292"/>
                          <w:bottom w:val="dotted" w:sz="4" w:space="0" w:color="929292"/>
                          <w:right w:val="nil"/>
                        </w:tcBorders>
                      </w:tcPr>
                      <w:p>
                        <w:pPr/>
                      </w:p>
                    </w:tc>
                  </w:tr>
                </w:tbl>
                <w:p>
                  <w:pPr>
                    <w:pStyle w:val="BodyText"/>
                  </w:pPr>
                </w:p>
              </w:txbxContent>
            </v:textbox>
            <w10:wrap type="none"/>
          </v:shape>
        </w:pict>
      </w:r>
      <w:r>
        <w:rPr>
          <w:w w:val="100"/>
          <w:sz w:val="16"/>
          <w:u w:val="dotted" w:color="929292"/>
        </w:rPr>
        <w:t> </w:t>
      </w:r>
      <w:r>
        <w:rPr>
          <w:spacing w:val="-16"/>
          <w:sz w:val="16"/>
          <w:u w:val="dotted" w:color="929292"/>
        </w:rPr>
        <w:t> </w:t>
      </w:r>
      <w:r>
        <w:rPr>
          <w:w w:val="105"/>
          <w:sz w:val="16"/>
          <w:u w:val="dotted" w:color="929292"/>
        </w:rPr>
        <w:t>Variables de</w:t>
      </w:r>
      <w:r>
        <w:rPr>
          <w:spacing w:val="-7"/>
          <w:w w:val="105"/>
          <w:sz w:val="16"/>
          <w:u w:val="dotted" w:color="929292"/>
        </w:rPr>
        <w:t> </w:t>
      </w:r>
      <w:r>
        <w:rPr>
          <w:w w:val="105"/>
          <w:sz w:val="16"/>
          <w:u w:val="dotted" w:color="929292"/>
        </w:rPr>
        <w:t>la</w:t>
      </w:r>
      <w:r>
        <w:rPr>
          <w:spacing w:val="-4"/>
          <w:w w:val="105"/>
          <w:sz w:val="16"/>
          <w:u w:val="dotted" w:color="929292"/>
        </w:rPr>
        <w:t> </w:t>
      </w:r>
      <w:r>
        <w:rPr>
          <w:w w:val="105"/>
          <w:sz w:val="16"/>
          <w:u w:val="dotted" w:color="929292"/>
        </w:rPr>
        <w:t>EGR</w:t>
        <w:tab/>
      </w:r>
      <w:r>
        <w:rPr>
          <w:w w:val="105"/>
          <w:sz w:val="16"/>
        </w:rPr>
        <w:t>Debilidad</w:t>
        <w:tab/>
      </w:r>
      <w:r>
        <w:rPr>
          <w:w w:val="105"/>
          <w:sz w:val="16"/>
          <w:u w:val="dotted" w:color="929292"/>
        </w:rPr>
        <w:t>Fortaleza</w:t>
        <w:tab/>
      </w:r>
      <w:r>
        <w:rPr>
          <w:w w:val="105"/>
          <w:sz w:val="16"/>
          <w:u w:val="dotted" w:color="929292"/>
        </w:rPr>
        <w:t>No</w:t>
      </w:r>
      <w:r>
        <w:rPr>
          <w:spacing w:val="-4"/>
          <w:w w:val="105"/>
          <w:sz w:val="16"/>
          <w:u w:val="dotted" w:color="929292"/>
        </w:rPr>
        <w:t> </w:t>
      </w:r>
      <w:r>
        <w:rPr>
          <w:w w:val="105"/>
          <w:sz w:val="16"/>
          <w:u w:val="dotted" w:color="929292"/>
        </w:rPr>
        <w:t>diferenciado</w:t>
      </w:r>
      <w:r>
        <w:rPr>
          <w:sz w:val="16"/>
          <w:u w:val="dotted" w:color="929292"/>
        </w:rPr>
        <w:tab/>
      </w:r>
    </w:p>
    <w:p>
      <w:pPr>
        <w:pStyle w:val="BodyText"/>
      </w:pPr>
    </w:p>
    <w:p>
      <w:pPr>
        <w:pStyle w:val="BodyText"/>
        <w:spacing w:before="3"/>
        <w:rPr>
          <w:sz w:val="17"/>
        </w:rPr>
      </w:pPr>
    </w:p>
    <w:p>
      <w:pPr>
        <w:spacing w:line="312" w:lineRule="auto" w:before="80"/>
        <w:ind w:left="110" w:right="9550" w:firstLine="0"/>
        <w:jc w:val="center"/>
        <w:rPr>
          <w:sz w:val="16"/>
        </w:rPr>
      </w:pPr>
      <w:r>
        <w:rPr>
          <w:color w:val="6D6E71"/>
          <w:sz w:val="16"/>
        </w:rPr>
        <w:t>Tabla 9. Concentrado general de daños a infraestructura urbana de todos los geosistemas perturbadores registrados de forma oficial en la ciudad. Fuente: Elaboración propia con base en el Atlas municipal de riesgos (2013) construido en 2016.</w:t>
      </w:r>
    </w:p>
    <w:p>
      <w:pPr>
        <w:pStyle w:val="BodyText"/>
        <w:spacing w:before="6"/>
        <w:rPr>
          <w:sz w:val="14"/>
        </w:rPr>
      </w:pPr>
    </w:p>
    <w:p>
      <w:pPr>
        <w:pStyle w:val="Heading1"/>
        <w:ind w:left="288"/>
      </w:pPr>
      <w:r>
        <w:rPr/>
        <w:t>Discusión de resultados y conclusiones</w:t>
      </w:r>
    </w:p>
    <w:p>
      <w:pPr>
        <w:pStyle w:val="BodyText"/>
        <w:rPr>
          <w:b/>
          <w:sz w:val="21"/>
        </w:rPr>
      </w:pPr>
    </w:p>
    <w:p>
      <w:pPr>
        <w:pStyle w:val="BodyText"/>
        <w:spacing w:line="249" w:lineRule="auto"/>
        <w:ind w:left="118" w:right="9550" w:firstLine="170"/>
        <w:jc w:val="both"/>
      </w:pPr>
      <w:r>
        <w:rPr/>
        <w:t>Los geosistemas perturbadores en la ciudad de Toluca de San José suman en total de 9,036 predios afectados, a los cuales se deberán suman todos aquellos que en los dos últimos años se han incorporado y todos aquellos de los cuales no existe registro alguno.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4"/>
        </w:rPr>
      </w:pPr>
    </w:p>
    <w:p>
      <w:pPr>
        <w:spacing w:line="312" w:lineRule="auto" w:before="81"/>
        <w:ind w:left="11663" w:right="188" w:hanging="2017"/>
        <w:jc w:val="left"/>
        <w:rPr>
          <w:sz w:val="16"/>
        </w:rPr>
      </w:pPr>
      <w:r>
        <w:rPr>
          <w:color w:val="6D6E71"/>
          <w:sz w:val="16"/>
        </w:rPr>
        <w:t>Tabla 10. Calificación del estado que guardan las variables de la Ecuación general de riesgo en la ciudad de Toluca. Fuente: Espinosa y Hernández, 2015.</w:t>
      </w:r>
    </w:p>
    <w:p>
      <w:pPr>
        <w:spacing w:after="0" w:line="312" w:lineRule="auto"/>
        <w:jc w:val="left"/>
        <w:rPr>
          <w:sz w:val="16"/>
        </w:rPr>
        <w:sectPr>
          <w:footerReference w:type="default" r:id="rId158"/>
          <w:pgSz w:w="18830" w:h="12760" w:orient="landscape"/>
          <w:pgMar w:footer="1036" w:header="522" w:top="820" w:bottom="1220" w:left="720" w:right="72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4"/>
        </w:rPr>
      </w:pPr>
    </w:p>
    <w:p>
      <w:pPr>
        <w:spacing w:line="312" w:lineRule="auto" w:before="0"/>
        <w:ind w:left="218" w:right="95" w:firstLine="0"/>
        <w:jc w:val="center"/>
        <w:rPr>
          <w:sz w:val="16"/>
        </w:rPr>
      </w:pPr>
      <w:r>
        <w:rPr/>
        <w:drawing>
          <wp:anchor distT="0" distB="0" distL="0" distR="0" allowOverlap="1" layoutInCell="1" locked="0" behindDoc="0" simplePos="0" relativeHeight="5872">
            <wp:simplePos x="0" y="0"/>
            <wp:positionH relativeFrom="page">
              <wp:posOffset>533615</wp:posOffset>
            </wp:positionH>
            <wp:positionV relativeFrom="paragraph">
              <wp:posOffset>-2922672</wp:posOffset>
            </wp:positionV>
            <wp:extent cx="4929595" cy="2799683"/>
            <wp:effectExtent l="0" t="0" r="0" b="0"/>
            <wp:wrapNone/>
            <wp:docPr id="43" name="image40.jpeg" descr=""/>
            <wp:cNvGraphicFramePr>
              <a:graphicFrameLocks noChangeAspect="1"/>
            </wp:cNvGraphicFramePr>
            <a:graphic>
              <a:graphicData uri="http://schemas.openxmlformats.org/drawingml/2006/picture">
                <pic:pic>
                  <pic:nvPicPr>
                    <pic:cNvPr id="44" name="image40.jpeg"/>
                    <pic:cNvPicPr/>
                  </pic:nvPicPr>
                  <pic:blipFill>
                    <a:blip r:embed="rId160" cstate="print"/>
                    <a:stretch>
                      <a:fillRect/>
                    </a:stretch>
                  </pic:blipFill>
                  <pic:spPr>
                    <a:xfrm>
                      <a:off x="0" y="0"/>
                      <a:ext cx="4929595" cy="2799683"/>
                    </a:xfrm>
                    <a:prstGeom prst="rect">
                      <a:avLst/>
                    </a:prstGeom>
                  </pic:spPr>
                </pic:pic>
              </a:graphicData>
            </a:graphic>
          </wp:anchor>
        </w:drawing>
      </w:r>
      <w:r>
        <w:rPr>
          <w:color w:val="6D6E71"/>
          <w:sz w:val="16"/>
        </w:rPr>
        <w:t>Figura 4. Triángulo de distribución de debilidades, fortalezas y variables no diferenciadas que muestran el comportamiento de las Variables de la EGR aplicada en la ciudad de Toluca. Fuente: Elaboración propia, (2016).</w:t>
      </w:r>
    </w:p>
    <w:p>
      <w:pPr>
        <w:pStyle w:val="BodyText"/>
        <w:spacing w:before="9"/>
        <w:rPr>
          <w:sz w:val="17"/>
        </w:rPr>
      </w:pPr>
    </w:p>
    <w:p>
      <w:pPr>
        <w:pStyle w:val="BodyText"/>
        <w:spacing w:line="249" w:lineRule="auto"/>
        <w:ind w:left="130" w:right="7" w:firstLine="170"/>
        <w:jc w:val="both"/>
      </w:pPr>
      <w:r>
        <w:rPr/>
        <w:t>Como</w:t>
      </w:r>
      <w:r>
        <w:rPr>
          <w:spacing w:val="-3"/>
        </w:rPr>
        <w:t> </w:t>
      </w:r>
      <w:r>
        <w:rPr/>
        <w:t>se</w:t>
      </w:r>
      <w:r>
        <w:rPr>
          <w:spacing w:val="-3"/>
        </w:rPr>
        <w:t> </w:t>
      </w:r>
      <w:r>
        <w:rPr/>
        <w:t>observa</w:t>
      </w:r>
      <w:r>
        <w:rPr>
          <w:spacing w:val="-3"/>
        </w:rPr>
        <w:t> </w:t>
      </w:r>
      <w:r>
        <w:rPr/>
        <w:t>en</w:t>
      </w:r>
      <w:r>
        <w:rPr>
          <w:spacing w:val="-3"/>
        </w:rPr>
        <w:t> </w:t>
      </w:r>
      <w:r>
        <w:rPr/>
        <w:t>la</w:t>
      </w:r>
      <w:r>
        <w:rPr>
          <w:spacing w:val="-3"/>
        </w:rPr>
        <w:t> </w:t>
      </w:r>
      <w:r>
        <w:rPr/>
        <w:t>figura</w:t>
      </w:r>
      <w:r>
        <w:rPr>
          <w:spacing w:val="-3"/>
        </w:rPr>
        <w:t> </w:t>
      </w:r>
      <w:r>
        <w:rPr/>
        <w:t>existe</w:t>
      </w:r>
      <w:r>
        <w:rPr>
          <w:spacing w:val="-3"/>
        </w:rPr>
        <w:t> </w:t>
      </w:r>
      <w:r>
        <w:rPr/>
        <w:t>una</w:t>
      </w:r>
      <w:r>
        <w:rPr>
          <w:spacing w:val="-3"/>
        </w:rPr>
        <w:t> </w:t>
      </w:r>
      <w:r>
        <w:rPr/>
        <w:t>tendencia</w:t>
      </w:r>
      <w:r>
        <w:rPr>
          <w:spacing w:val="-3"/>
        </w:rPr>
        <w:t> </w:t>
      </w:r>
      <w:r>
        <w:rPr/>
        <w:t>hacia</w:t>
      </w:r>
      <w:r>
        <w:rPr>
          <w:spacing w:val="-3"/>
        </w:rPr>
        <w:t> </w:t>
      </w:r>
      <w:r>
        <w:rPr/>
        <w:t>el</w:t>
      </w:r>
      <w:r>
        <w:rPr>
          <w:spacing w:val="-3"/>
        </w:rPr>
        <w:t> </w:t>
      </w:r>
      <w:r>
        <w:rPr/>
        <w:t>rubro</w:t>
      </w:r>
      <w:r>
        <w:rPr>
          <w:spacing w:val="-3"/>
        </w:rPr>
        <w:t> </w:t>
      </w:r>
      <w:r>
        <w:rPr/>
        <w:t>de</w:t>
      </w:r>
      <w:r>
        <w:rPr>
          <w:spacing w:val="-3"/>
        </w:rPr>
        <w:t> </w:t>
      </w:r>
      <w:r>
        <w:rPr/>
        <w:t>debilidades</w:t>
      </w:r>
      <w:r>
        <w:rPr>
          <w:spacing w:val="-3"/>
        </w:rPr>
        <w:t> </w:t>
      </w:r>
      <w:r>
        <w:rPr/>
        <w:t>para la ciudad de Toluca que en conjunto implican una tendencia general a elevar el índice de exposición a los geosistemas perturbadores y la consecuente afectación al riesgo. En el mismo, las variables calificadas como no diferenciadas se determinan de tal manera debido a que no existe información suficiente o sólida que permita realizar una valoración rigurosa de las condiciones predominantes en la zona de estudio, en</w:t>
      </w:r>
      <w:r>
        <w:rPr>
          <w:spacing w:val="-27"/>
        </w:rPr>
        <w:t> </w:t>
      </w:r>
      <w:r>
        <w:rPr/>
        <w:t>donde:</w:t>
      </w:r>
    </w:p>
    <w:p>
      <w:pPr>
        <w:pStyle w:val="BodyText"/>
        <w:spacing w:before="8"/>
      </w:pPr>
    </w:p>
    <w:p>
      <w:pPr>
        <w:pStyle w:val="BodyText"/>
        <w:spacing w:line="247" w:lineRule="auto"/>
        <w:ind w:left="130" w:right="7" w:firstLine="170"/>
        <w:jc w:val="both"/>
      </w:pPr>
      <w:r>
        <w:rPr>
          <w:rFonts w:ascii="Calibri" w:hAnsi="Calibri"/>
        </w:rPr>
        <w:t>» </w:t>
      </w:r>
      <w:r>
        <w:rPr/>
        <w:t>Se considera una  debilidad  al  factor  multivariable  de  análisis  potenciado debido a que los efectos primarios y secundarios de las afectaciones se presentan de manera inmediata; en el caso de las inundaciones y la remoción en masa por ejemplo los efectos afectan a diferentes variables de orden natural, económico y social en un efecto encadenado y</w:t>
      </w:r>
      <w:r>
        <w:rPr>
          <w:spacing w:val="46"/>
        </w:rPr>
        <w:t> </w:t>
      </w:r>
      <w:r>
        <w:rPr/>
        <w:t>complejo.</w:t>
      </w:r>
    </w:p>
    <w:p>
      <w:pPr>
        <w:pStyle w:val="BodyText"/>
        <w:spacing w:before="10"/>
      </w:pPr>
    </w:p>
    <w:p>
      <w:pPr>
        <w:pStyle w:val="BodyText"/>
        <w:spacing w:line="247" w:lineRule="auto"/>
        <w:ind w:left="130" w:right="7" w:firstLine="170"/>
        <w:jc w:val="both"/>
      </w:pPr>
      <w:r>
        <w:rPr>
          <w:rFonts w:ascii="Calibri" w:hAnsi="Calibri"/>
        </w:rPr>
        <w:t>» </w:t>
      </w:r>
      <w:r>
        <w:rPr/>
        <w:t>Cada geosistema perturbador en sí representa un problema de vulnerabilidad debido</w:t>
      </w:r>
      <w:r>
        <w:rPr>
          <w:spacing w:val="-18"/>
        </w:rPr>
        <w:t> </w:t>
      </w:r>
      <w:r>
        <w:rPr/>
        <w:t>a</w:t>
      </w:r>
      <w:r>
        <w:rPr>
          <w:spacing w:val="-18"/>
        </w:rPr>
        <w:t> </w:t>
      </w:r>
      <w:r>
        <w:rPr/>
        <w:t>que</w:t>
      </w:r>
      <w:r>
        <w:rPr>
          <w:spacing w:val="-18"/>
        </w:rPr>
        <w:t> </w:t>
      </w:r>
      <w:r>
        <w:rPr/>
        <w:t>éstos</w:t>
      </w:r>
      <w:r>
        <w:rPr>
          <w:spacing w:val="-18"/>
        </w:rPr>
        <w:t> </w:t>
      </w:r>
      <w:r>
        <w:rPr/>
        <w:t>no</w:t>
      </w:r>
      <w:r>
        <w:rPr>
          <w:spacing w:val="-18"/>
        </w:rPr>
        <w:t> </w:t>
      </w:r>
      <w:r>
        <w:rPr/>
        <w:t>deberían</w:t>
      </w:r>
      <w:r>
        <w:rPr>
          <w:spacing w:val="-18"/>
        </w:rPr>
        <w:t> </w:t>
      </w:r>
      <w:r>
        <w:rPr/>
        <w:t>de</w:t>
      </w:r>
      <w:r>
        <w:rPr>
          <w:spacing w:val="-18"/>
        </w:rPr>
        <w:t> </w:t>
      </w:r>
      <w:r>
        <w:rPr/>
        <w:t>ocurrir</w:t>
      </w:r>
      <w:r>
        <w:rPr>
          <w:spacing w:val="-18"/>
        </w:rPr>
        <w:t> </w:t>
      </w:r>
      <w:r>
        <w:rPr/>
        <w:t>y</w:t>
      </w:r>
      <w:r>
        <w:rPr>
          <w:spacing w:val="-18"/>
        </w:rPr>
        <w:t> </w:t>
      </w:r>
      <w:r>
        <w:rPr/>
        <w:t>sin</w:t>
      </w:r>
      <w:r>
        <w:rPr>
          <w:spacing w:val="-18"/>
        </w:rPr>
        <w:t> </w:t>
      </w:r>
      <w:r>
        <w:rPr/>
        <w:t>embargo</w:t>
      </w:r>
      <w:r>
        <w:rPr>
          <w:spacing w:val="-18"/>
        </w:rPr>
        <w:t> </w:t>
      </w:r>
      <w:r>
        <w:rPr/>
        <w:t>están</w:t>
      </w:r>
      <w:r>
        <w:rPr>
          <w:spacing w:val="-18"/>
        </w:rPr>
        <w:t> </w:t>
      </w:r>
      <w:r>
        <w:rPr/>
        <w:t>presentes.</w:t>
      </w:r>
      <w:r>
        <w:rPr>
          <w:spacing w:val="-18"/>
        </w:rPr>
        <w:t> </w:t>
      </w:r>
      <w:r>
        <w:rPr/>
        <w:t>Esto</w:t>
      </w:r>
      <w:r>
        <w:rPr>
          <w:spacing w:val="-18"/>
        </w:rPr>
        <w:t> </w:t>
      </w:r>
      <w:r>
        <w:rPr/>
        <w:t>se</w:t>
      </w:r>
      <w:r>
        <w:rPr>
          <w:spacing w:val="-18"/>
        </w:rPr>
        <w:t> </w:t>
      </w:r>
      <w:r>
        <w:rPr/>
        <w:t>explica por factores de localización de los asentamientos humanos debido a que la ocurrencia y zonas de expresión de los procesos se encuentran ocupadas por viviendas,</w:t>
      </w:r>
      <w:r>
        <w:rPr>
          <w:spacing w:val="-36"/>
        </w:rPr>
        <w:t> </w:t>
      </w:r>
      <w:r>
        <w:rPr/>
        <w:t>negocios y servicios; en otras palabras, dichos espacios deberían de encontrarse restringidos para la ocupación</w:t>
      </w:r>
      <w:r>
        <w:rPr>
          <w:spacing w:val="17"/>
        </w:rPr>
        <w:t> </w:t>
      </w:r>
      <w:r>
        <w:rPr/>
        <w:t>humana.</w:t>
      </w:r>
    </w:p>
    <w:p>
      <w:pPr>
        <w:pStyle w:val="BodyText"/>
        <w:spacing w:before="10"/>
        <w:rPr>
          <w:sz w:val="29"/>
        </w:rPr>
      </w:pPr>
      <w:r>
        <w:rPr/>
        <w:br w:type="column"/>
      </w:r>
      <w:r>
        <w:rPr>
          <w:sz w:val="29"/>
        </w:rPr>
      </w:r>
    </w:p>
    <w:p>
      <w:pPr>
        <w:pStyle w:val="BodyText"/>
        <w:spacing w:before="1"/>
        <w:ind w:left="120" w:right="128" w:firstLine="170"/>
        <w:jc w:val="both"/>
      </w:pPr>
      <w:r>
        <w:rPr>
          <w:rFonts w:ascii="Calibri" w:hAnsi="Calibri"/>
        </w:rPr>
        <w:t>» </w:t>
      </w:r>
      <w:r>
        <w:rPr/>
        <w:t>El factor relieve determina la concentración de materia y energía de los geosistemas perturbadores en zonas de emisión, transporte y  acumulación.</w:t>
      </w:r>
    </w:p>
    <w:p>
      <w:pPr>
        <w:pStyle w:val="BodyText"/>
        <w:spacing w:before="5"/>
        <w:rPr>
          <w:sz w:val="21"/>
        </w:rPr>
      </w:pPr>
    </w:p>
    <w:p>
      <w:pPr>
        <w:pStyle w:val="BodyText"/>
        <w:spacing w:line="247" w:lineRule="auto"/>
        <w:ind w:left="120" w:right="127" w:firstLine="170"/>
        <w:jc w:val="both"/>
      </w:pPr>
      <w:r>
        <w:rPr>
          <w:rFonts w:ascii="Calibri" w:hAnsi="Calibri"/>
        </w:rPr>
        <w:t>» </w:t>
      </w:r>
      <w:r>
        <w:rPr/>
        <w:t>En lo que concierne al factor de hemerobia se cuenta con que en general las condiciones de la ciudad tienden a presentar un estado de metahemerobia debido a que el porcentaje de ocupación y modificación urbana cubre el 98% de la superficie municipal; y el restante porcentaje pertenece a áreas verdes que se encuentran restringidas, alteradas y bordadas por la traza urbana.</w:t>
      </w:r>
    </w:p>
    <w:p>
      <w:pPr>
        <w:pStyle w:val="BodyText"/>
        <w:spacing w:before="10"/>
      </w:pPr>
    </w:p>
    <w:p>
      <w:pPr>
        <w:pStyle w:val="BodyText"/>
        <w:spacing w:line="247" w:lineRule="auto"/>
        <w:ind w:left="120" w:right="127" w:firstLine="170"/>
        <w:jc w:val="both"/>
      </w:pPr>
      <w:r>
        <w:rPr>
          <w:rFonts w:ascii="Calibri" w:hAnsi="Calibri"/>
        </w:rPr>
        <w:t>»         </w:t>
      </w:r>
      <w:r>
        <w:rPr/>
        <w:t>La capacidad científica, tecnológica, social, gubernamental de respuesta, y      la resiliencia se considera una debilidad debido a que no se encontraron fuentes de información que se relacionen con las formas de abordar o contener los problemas derivados de las condiciones perturbadoras, aunque existen listados y procedimientos administrativos para la atención de</w:t>
      </w:r>
      <w:r>
        <w:rPr>
          <w:spacing w:val="35"/>
        </w:rPr>
        <w:t> </w:t>
      </w:r>
      <w:r>
        <w:rPr/>
        <w:t>desastres.</w:t>
      </w:r>
    </w:p>
    <w:p>
      <w:pPr>
        <w:pStyle w:val="BodyText"/>
        <w:spacing w:before="10"/>
      </w:pPr>
    </w:p>
    <w:p>
      <w:pPr>
        <w:pStyle w:val="BodyText"/>
        <w:spacing w:line="247" w:lineRule="auto"/>
        <w:ind w:left="120" w:right="127" w:firstLine="170"/>
        <w:jc w:val="both"/>
      </w:pPr>
      <w:r>
        <w:rPr>
          <w:rFonts w:ascii="Calibri" w:hAnsi="Calibri"/>
        </w:rPr>
        <w:t>»  </w:t>
      </w:r>
      <w:r>
        <w:rPr/>
        <w:t>La percepción social y sicológica de la población representa en lo general un  factor importante de debilidad debido a que se ha observado un patrón general de desconocimiento de los procesos que se desarrollan en la ciudad y en caso de la ocurrencia de algún evento, se ha encontrado un desarrollo conductual de rapiña y búsqueda ilegal de apoyos económicos, la presencia de geosistemas perturbadores se entiende como un factor de beneficio económico y no de </w:t>
      </w:r>
      <w:r>
        <w:rPr>
          <w:spacing w:val="45"/>
        </w:rPr>
        <w:t> </w:t>
      </w:r>
      <w:r>
        <w:rPr/>
        <w:t>prevención.</w:t>
      </w:r>
    </w:p>
    <w:p>
      <w:pPr>
        <w:pStyle w:val="BodyText"/>
        <w:spacing w:before="10"/>
      </w:pPr>
    </w:p>
    <w:p>
      <w:pPr>
        <w:pStyle w:val="BodyText"/>
        <w:spacing w:line="247" w:lineRule="auto"/>
        <w:ind w:left="120" w:right="127" w:firstLine="170"/>
        <w:jc w:val="both"/>
      </w:pPr>
      <w:r>
        <w:rPr>
          <w:rFonts w:ascii="Calibri" w:hAnsi="Calibri"/>
        </w:rPr>
        <w:t>» </w:t>
      </w:r>
      <w:r>
        <w:rPr/>
        <w:t>El factor educación se muestra como una desventaja importante a través del desconocimiento general de la ciudad y el entorno. No existen programas educativos en</w:t>
      </w:r>
      <w:r>
        <w:rPr>
          <w:spacing w:val="-4"/>
        </w:rPr>
        <w:t> </w:t>
      </w:r>
      <w:r>
        <w:rPr/>
        <w:t>los</w:t>
      </w:r>
      <w:r>
        <w:rPr>
          <w:spacing w:val="-4"/>
        </w:rPr>
        <w:t> </w:t>
      </w:r>
      <w:r>
        <w:rPr/>
        <w:t>niveles</w:t>
      </w:r>
      <w:r>
        <w:rPr>
          <w:spacing w:val="-4"/>
        </w:rPr>
        <w:t> </w:t>
      </w:r>
      <w:r>
        <w:rPr/>
        <w:t>escolares</w:t>
      </w:r>
      <w:r>
        <w:rPr>
          <w:spacing w:val="-4"/>
        </w:rPr>
        <w:t> </w:t>
      </w:r>
      <w:r>
        <w:rPr/>
        <w:t>que</w:t>
      </w:r>
      <w:r>
        <w:rPr>
          <w:spacing w:val="-4"/>
        </w:rPr>
        <w:t> </w:t>
      </w:r>
      <w:r>
        <w:rPr/>
        <w:t>expliquen</w:t>
      </w:r>
      <w:r>
        <w:rPr>
          <w:spacing w:val="-4"/>
        </w:rPr>
        <w:t> </w:t>
      </w:r>
      <w:r>
        <w:rPr/>
        <w:t>de</w:t>
      </w:r>
      <w:r>
        <w:rPr>
          <w:spacing w:val="-4"/>
        </w:rPr>
        <w:t> </w:t>
      </w:r>
      <w:r>
        <w:rPr/>
        <w:t>manera</w:t>
      </w:r>
      <w:r>
        <w:rPr>
          <w:spacing w:val="-4"/>
        </w:rPr>
        <w:t> </w:t>
      </w:r>
      <w:r>
        <w:rPr/>
        <w:t>específica</w:t>
      </w:r>
      <w:r>
        <w:rPr>
          <w:spacing w:val="-4"/>
        </w:rPr>
        <w:t> </w:t>
      </w:r>
      <w:r>
        <w:rPr/>
        <w:t>algún</w:t>
      </w:r>
      <w:r>
        <w:rPr>
          <w:spacing w:val="-4"/>
        </w:rPr>
        <w:t> </w:t>
      </w:r>
      <w:r>
        <w:rPr/>
        <w:t>concepto</w:t>
      </w:r>
      <w:r>
        <w:rPr>
          <w:spacing w:val="-4"/>
        </w:rPr>
        <w:t> </w:t>
      </w:r>
      <w:r>
        <w:rPr/>
        <w:t>o</w:t>
      </w:r>
      <w:r>
        <w:rPr>
          <w:spacing w:val="-4"/>
        </w:rPr>
        <w:t> </w:t>
      </w:r>
      <w:r>
        <w:rPr/>
        <w:t>proceso relacionado con el riesgo local y/o</w:t>
      </w:r>
      <w:r>
        <w:rPr>
          <w:spacing w:val="41"/>
        </w:rPr>
        <w:t> </w:t>
      </w:r>
      <w:r>
        <w:rPr/>
        <w:t>regional.</w:t>
      </w:r>
    </w:p>
    <w:p>
      <w:pPr>
        <w:pStyle w:val="BodyText"/>
        <w:spacing w:before="10"/>
      </w:pPr>
    </w:p>
    <w:p>
      <w:pPr>
        <w:pStyle w:val="BodyText"/>
        <w:spacing w:line="247" w:lineRule="auto"/>
        <w:ind w:left="120" w:right="127" w:firstLine="170"/>
        <w:jc w:val="both"/>
      </w:pPr>
      <w:r>
        <w:rPr>
          <w:rFonts w:ascii="Calibri" w:hAnsi="Calibri"/>
        </w:rPr>
        <w:t>»          </w:t>
      </w:r>
      <w:r>
        <w:rPr/>
        <w:t>Los factores socioeconómicos y políticos, la percepción del orden de gobierno y la voluntad política en conjunto representan un vacío en la vida de la ciudad; primero porque las condiciones imperantes en la entidad y el país no permiten por una parte la inversión económica en aspectos de prevención, educación o desarrollo tecnológico    y por otra, no se observan programas ni acciones específicas prioritarios de atención   a los problemas relacionados con el desarrollo de procesos; y cuando se desarrolla alguno, por lo general tiende a ser mediático y de “fotografía </w:t>
      </w:r>
      <w:r>
        <w:rPr>
          <w:spacing w:val="33"/>
        </w:rPr>
        <w:t> </w:t>
      </w:r>
      <w:r>
        <w:rPr/>
        <w:t>política”.</w:t>
      </w:r>
    </w:p>
    <w:p>
      <w:pPr>
        <w:pStyle w:val="BodyText"/>
        <w:spacing w:before="10"/>
      </w:pPr>
    </w:p>
    <w:p>
      <w:pPr>
        <w:pStyle w:val="BodyText"/>
        <w:spacing w:line="247" w:lineRule="auto"/>
        <w:ind w:left="120" w:right="127" w:firstLine="170"/>
        <w:jc w:val="both"/>
      </w:pPr>
      <w:r>
        <w:rPr>
          <w:rFonts w:ascii="Calibri" w:hAnsi="Calibri"/>
        </w:rPr>
        <w:t>» </w:t>
      </w:r>
      <w:r>
        <w:rPr/>
        <w:t>En este sentido, las medidas estructurales desarrolladas en la ciudad  no responden</w:t>
      </w:r>
      <w:r>
        <w:rPr>
          <w:spacing w:val="-9"/>
        </w:rPr>
        <w:t> </w:t>
      </w:r>
      <w:r>
        <w:rPr/>
        <w:t>a</w:t>
      </w:r>
      <w:r>
        <w:rPr>
          <w:spacing w:val="-9"/>
        </w:rPr>
        <w:t> </w:t>
      </w:r>
      <w:r>
        <w:rPr/>
        <w:t>las</w:t>
      </w:r>
      <w:r>
        <w:rPr>
          <w:spacing w:val="-9"/>
        </w:rPr>
        <w:t> </w:t>
      </w:r>
      <w:r>
        <w:rPr/>
        <w:t>necesidades</w:t>
      </w:r>
      <w:r>
        <w:rPr>
          <w:spacing w:val="-9"/>
        </w:rPr>
        <w:t> </w:t>
      </w:r>
      <w:r>
        <w:rPr/>
        <w:t>reales</w:t>
      </w:r>
      <w:r>
        <w:rPr>
          <w:spacing w:val="-9"/>
        </w:rPr>
        <w:t> </w:t>
      </w:r>
      <w:r>
        <w:rPr/>
        <w:t>de</w:t>
      </w:r>
      <w:r>
        <w:rPr>
          <w:spacing w:val="-9"/>
        </w:rPr>
        <w:t> </w:t>
      </w:r>
      <w:r>
        <w:rPr/>
        <w:t>los</w:t>
      </w:r>
      <w:r>
        <w:rPr>
          <w:spacing w:val="-9"/>
        </w:rPr>
        <w:t> </w:t>
      </w:r>
      <w:r>
        <w:rPr/>
        <w:t>sistemas;</w:t>
      </w:r>
      <w:r>
        <w:rPr>
          <w:spacing w:val="-9"/>
        </w:rPr>
        <w:t> </w:t>
      </w:r>
      <w:r>
        <w:rPr/>
        <w:t>por</w:t>
      </w:r>
      <w:r>
        <w:rPr>
          <w:spacing w:val="-9"/>
        </w:rPr>
        <w:t> </w:t>
      </w:r>
      <w:r>
        <w:rPr/>
        <w:t>ejemplo,</w:t>
      </w:r>
      <w:r>
        <w:rPr>
          <w:spacing w:val="-9"/>
        </w:rPr>
        <w:t> </w:t>
      </w:r>
      <w:r>
        <w:rPr/>
        <w:t>las</w:t>
      </w:r>
      <w:r>
        <w:rPr>
          <w:spacing w:val="-9"/>
        </w:rPr>
        <w:t> </w:t>
      </w:r>
      <w:r>
        <w:rPr/>
        <w:t>obras</w:t>
      </w:r>
      <w:r>
        <w:rPr>
          <w:spacing w:val="-9"/>
        </w:rPr>
        <w:t> </w:t>
      </w:r>
      <w:r>
        <w:rPr/>
        <w:t>de</w:t>
      </w:r>
      <w:r>
        <w:rPr>
          <w:spacing w:val="-9"/>
        </w:rPr>
        <w:t> </w:t>
      </w:r>
      <w:r>
        <w:rPr/>
        <w:t>alivio</w:t>
      </w:r>
      <w:r>
        <w:rPr>
          <w:spacing w:val="-9"/>
        </w:rPr>
        <w:t> </w:t>
      </w:r>
      <w:r>
        <w:rPr/>
        <w:t>del río Verdiguel y a tubería empleada para tales fines resultan insuficientes, de operación compleja;</w:t>
      </w:r>
      <w:r>
        <w:rPr>
          <w:spacing w:val="-16"/>
        </w:rPr>
        <w:t> </w:t>
      </w:r>
      <w:r>
        <w:rPr/>
        <w:t>la</w:t>
      </w:r>
      <w:r>
        <w:rPr>
          <w:spacing w:val="-16"/>
        </w:rPr>
        <w:t> </w:t>
      </w:r>
      <w:r>
        <w:rPr/>
        <w:t>obra</w:t>
      </w:r>
      <w:r>
        <w:rPr>
          <w:spacing w:val="-16"/>
        </w:rPr>
        <w:t> </w:t>
      </w:r>
      <w:r>
        <w:rPr/>
        <w:t>en</w:t>
      </w:r>
      <w:r>
        <w:rPr>
          <w:spacing w:val="-16"/>
        </w:rPr>
        <w:t> </w:t>
      </w:r>
      <w:r>
        <w:rPr/>
        <w:t>general</w:t>
      </w:r>
      <w:r>
        <w:rPr>
          <w:spacing w:val="-16"/>
        </w:rPr>
        <w:t> </w:t>
      </w:r>
      <w:r>
        <w:rPr/>
        <w:t>presentó</w:t>
      </w:r>
      <w:r>
        <w:rPr>
          <w:spacing w:val="-16"/>
        </w:rPr>
        <w:t> </w:t>
      </w:r>
      <w:r>
        <w:rPr/>
        <w:t>voluntad</w:t>
      </w:r>
      <w:r>
        <w:rPr>
          <w:spacing w:val="-16"/>
        </w:rPr>
        <w:t> </w:t>
      </w:r>
      <w:r>
        <w:rPr/>
        <w:t>política</w:t>
      </w:r>
      <w:r>
        <w:rPr>
          <w:spacing w:val="-16"/>
        </w:rPr>
        <w:t> </w:t>
      </w:r>
      <w:r>
        <w:rPr/>
        <w:t>detrás</w:t>
      </w:r>
      <w:r>
        <w:rPr>
          <w:spacing w:val="-16"/>
        </w:rPr>
        <w:t> </w:t>
      </w:r>
      <w:r>
        <w:rPr/>
        <w:t>de</w:t>
      </w:r>
      <w:r>
        <w:rPr>
          <w:spacing w:val="-16"/>
        </w:rPr>
        <w:t> </w:t>
      </w:r>
      <w:r>
        <w:rPr/>
        <w:t>la</w:t>
      </w:r>
      <w:r>
        <w:rPr>
          <w:spacing w:val="-16"/>
        </w:rPr>
        <w:t> </w:t>
      </w:r>
      <w:r>
        <w:rPr/>
        <w:t>escalera</w:t>
      </w:r>
      <w:r>
        <w:rPr>
          <w:spacing w:val="-16"/>
        </w:rPr>
        <w:t> </w:t>
      </w:r>
      <w:r>
        <w:rPr/>
        <w:t>del</w:t>
      </w:r>
      <w:r>
        <w:rPr>
          <w:spacing w:val="-16"/>
        </w:rPr>
        <w:t> </w:t>
      </w:r>
      <w:r>
        <w:rPr/>
        <w:t>podio</w:t>
      </w:r>
      <w:r>
        <w:rPr>
          <w:spacing w:val="-16"/>
        </w:rPr>
        <w:t> </w:t>
      </w:r>
      <w:r>
        <w:rPr/>
        <w:t>de la lucha por el potestad; y cuando en la primera mitad del año 2015 el sistema</w:t>
      </w:r>
      <w:r>
        <w:rPr>
          <w:spacing w:val="-19"/>
        </w:rPr>
        <w:t> </w:t>
      </w:r>
      <w:r>
        <w:rPr/>
        <w:t>colapsó, además de los daños materiales y las pérdidas humanas, tan solo las declaraciones</w:t>
      </w:r>
      <w:r>
        <w:rPr>
          <w:spacing w:val="-23"/>
        </w:rPr>
        <w:t> </w:t>
      </w:r>
      <w:r>
        <w:rPr/>
        <w:t>se centraron en justificaciones y palabras vejatorias como “hubiera sido </w:t>
      </w:r>
      <w:r>
        <w:rPr>
          <w:spacing w:val="48"/>
        </w:rPr>
        <w:t> </w:t>
      </w:r>
      <w:r>
        <w:rPr/>
        <w:t>peor”.</w:t>
      </w:r>
    </w:p>
    <w:p>
      <w:pPr>
        <w:spacing w:after="0" w:line="247" w:lineRule="auto"/>
        <w:jc w:val="both"/>
        <w:sectPr>
          <w:footerReference w:type="default" r:id="rId159"/>
          <w:pgSz w:w="18830" w:h="12760" w:orient="landscape"/>
          <w:pgMar w:footer="1036" w:header="522" w:top="820" w:bottom="1220" w:left="720" w:right="720"/>
          <w:cols w:num="2" w:equalWidth="0">
            <w:col w:w="7851" w:space="1570"/>
            <w:col w:w="7969"/>
          </w:cols>
        </w:sectPr>
      </w:pPr>
    </w:p>
    <w:p>
      <w:pPr>
        <w:pStyle w:val="BodyText"/>
        <w:spacing w:before="8"/>
      </w:pPr>
    </w:p>
    <w:p>
      <w:pPr>
        <w:spacing w:after="0"/>
        <w:sectPr>
          <w:footerReference w:type="default" r:id="rId161"/>
          <w:pgSz w:w="18830" w:h="12760" w:orient="landscape"/>
          <w:pgMar w:footer="1036" w:header="522" w:top="820" w:bottom="1220" w:left="360" w:right="720"/>
        </w:sectPr>
      </w:pPr>
    </w:p>
    <w:p>
      <w:pPr>
        <w:pStyle w:val="BodyText"/>
        <w:spacing w:line="249" w:lineRule="auto" w:before="109"/>
        <w:ind w:left="482" w:right="363" w:firstLine="170"/>
        <w:jc w:val="both"/>
      </w:pPr>
      <w:r>
        <w:rPr/>
        <w:drawing>
          <wp:anchor distT="0" distB="0" distL="0" distR="0" allowOverlap="1" layoutInCell="1" locked="0" behindDoc="0" simplePos="0" relativeHeight="5896">
            <wp:simplePos x="0" y="0"/>
            <wp:positionH relativeFrom="page">
              <wp:posOffset>302196</wp:posOffset>
            </wp:positionH>
            <wp:positionV relativeFrom="paragraph">
              <wp:posOffset>1373343</wp:posOffset>
            </wp:positionV>
            <wp:extent cx="5387409" cy="3351847"/>
            <wp:effectExtent l="0" t="0" r="0" b="0"/>
            <wp:wrapNone/>
            <wp:docPr id="45" name="image41.jpeg" descr=""/>
            <wp:cNvGraphicFramePr>
              <a:graphicFrameLocks noChangeAspect="1"/>
            </wp:cNvGraphicFramePr>
            <a:graphic>
              <a:graphicData uri="http://schemas.openxmlformats.org/drawingml/2006/picture">
                <pic:pic>
                  <pic:nvPicPr>
                    <pic:cNvPr id="46" name="image41.jpeg"/>
                    <pic:cNvPicPr/>
                  </pic:nvPicPr>
                  <pic:blipFill>
                    <a:blip r:embed="rId162" cstate="print"/>
                    <a:stretch>
                      <a:fillRect/>
                    </a:stretch>
                  </pic:blipFill>
                  <pic:spPr>
                    <a:xfrm>
                      <a:off x="0" y="0"/>
                      <a:ext cx="5387409" cy="3351847"/>
                    </a:xfrm>
                    <a:prstGeom prst="rect">
                      <a:avLst/>
                    </a:prstGeom>
                  </pic:spPr>
                </pic:pic>
              </a:graphicData>
            </a:graphic>
          </wp:anchor>
        </w:drawing>
      </w:r>
      <w:r>
        <w:rPr/>
        <w:t>En la Figura 5 se muestra un concentrado de la “debilidad” de la debilidad del sistema</w:t>
      </w:r>
      <w:r>
        <w:rPr>
          <w:spacing w:val="-10"/>
        </w:rPr>
        <w:t> </w:t>
      </w:r>
      <w:r>
        <w:rPr/>
        <w:t>urbano;</w:t>
      </w:r>
      <w:r>
        <w:rPr>
          <w:spacing w:val="-10"/>
        </w:rPr>
        <w:t> </w:t>
      </w:r>
      <w:r>
        <w:rPr/>
        <w:t>es</w:t>
      </w:r>
      <w:r>
        <w:rPr>
          <w:spacing w:val="-10"/>
        </w:rPr>
        <w:t> </w:t>
      </w:r>
      <w:r>
        <w:rPr/>
        <w:t>decir,</w:t>
      </w:r>
      <w:r>
        <w:rPr>
          <w:spacing w:val="-10"/>
        </w:rPr>
        <w:t> </w:t>
      </w:r>
      <w:r>
        <w:rPr/>
        <w:t>el</w:t>
      </w:r>
      <w:r>
        <w:rPr>
          <w:spacing w:val="-10"/>
        </w:rPr>
        <w:t> </w:t>
      </w:r>
      <w:r>
        <w:rPr/>
        <w:t>conjunto</w:t>
      </w:r>
      <w:r>
        <w:rPr>
          <w:spacing w:val="-10"/>
        </w:rPr>
        <w:t> </w:t>
      </w:r>
      <w:r>
        <w:rPr/>
        <w:t>de</w:t>
      </w:r>
      <w:r>
        <w:rPr>
          <w:spacing w:val="-10"/>
        </w:rPr>
        <w:t> </w:t>
      </w:r>
      <w:r>
        <w:rPr/>
        <w:t>variables</w:t>
      </w:r>
      <w:r>
        <w:rPr>
          <w:spacing w:val="-10"/>
        </w:rPr>
        <w:t> </w:t>
      </w:r>
      <w:r>
        <w:rPr/>
        <w:t>expresadas</w:t>
      </w:r>
      <w:r>
        <w:rPr>
          <w:spacing w:val="-10"/>
        </w:rPr>
        <w:t> </w:t>
      </w:r>
      <w:r>
        <w:rPr/>
        <w:t>en</w:t>
      </w:r>
      <w:r>
        <w:rPr>
          <w:spacing w:val="-10"/>
        </w:rPr>
        <w:t> </w:t>
      </w:r>
      <w:r>
        <w:rPr/>
        <w:t>la</w:t>
      </w:r>
      <w:r>
        <w:rPr>
          <w:spacing w:val="-10"/>
        </w:rPr>
        <w:t> </w:t>
      </w:r>
      <w:r>
        <w:rPr/>
        <w:t>Tabla</w:t>
      </w:r>
      <w:r>
        <w:rPr>
          <w:spacing w:val="-10"/>
        </w:rPr>
        <w:t> </w:t>
      </w:r>
      <w:r>
        <w:rPr/>
        <w:t>10</w:t>
      </w:r>
      <w:r>
        <w:rPr>
          <w:spacing w:val="-10"/>
        </w:rPr>
        <w:t> </w:t>
      </w:r>
      <w:r>
        <w:rPr/>
        <w:t>exhiben</w:t>
      </w:r>
      <w:r>
        <w:rPr>
          <w:spacing w:val="-10"/>
        </w:rPr>
        <w:t> </w:t>
      </w:r>
      <w:r>
        <w:rPr/>
        <w:t>en conjunto</w:t>
      </w:r>
      <w:r>
        <w:rPr>
          <w:spacing w:val="-4"/>
        </w:rPr>
        <w:t> </w:t>
      </w:r>
      <w:r>
        <w:rPr/>
        <w:t>una</w:t>
      </w:r>
      <w:r>
        <w:rPr>
          <w:spacing w:val="-4"/>
        </w:rPr>
        <w:t> </w:t>
      </w:r>
      <w:r>
        <w:rPr/>
        <w:t>serie</w:t>
      </w:r>
      <w:r>
        <w:rPr>
          <w:spacing w:val="-4"/>
        </w:rPr>
        <w:t> </w:t>
      </w:r>
      <w:r>
        <w:rPr/>
        <w:t>de</w:t>
      </w:r>
      <w:r>
        <w:rPr>
          <w:spacing w:val="-4"/>
        </w:rPr>
        <w:t> </w:t>
      </w:r>
      <w:r>
        <w:rPr/>
        <w:t>factores</w:t>
      </w:r>
      <w:r>
        <w:rPr>
          <w:spacing w:val="-4"/>
        </w:rPr>
        <w:t> </w:t>
      </w:r>
      <w:r>
        <w:rPr/>
        <w:t>que</w:t>
      </w:r>
      <w:r>
        <w:rPr>
          <w:spacing w:val="-4"/>
        </w:rPr>
        <w:t> </w:t>
      </w:r>
      <w:r>
        <w:rPr/>
        <w:t>permiten</w:t>
      </w:r>
      <w:r>
        <w:rPr>
          <w:spacing w:val="-4"/>
        </w:rPr>
        <w:t> </w:t>
      </w:r>
      <w:r>
        <w:rPr/>
        <w:t>y</w:t>
      </w:r>
      <w:r>
        <w:rPr>
          <w:spacing w:val="-4"/>
        </w:rPr>
        <w:t> </w:t>
      </w:r>
      <w:r>
        <w:rPr/>
        <w:t>aumentan</w:t>
      </w:r>
      <w:r>
        <w:rPr>
          <w:spacing w:val="-4"/>
        </w:rPr>
        <w:t> </w:t>
      </w:r>
      <w:r>
        <w:rPr/>
        <w:t>el</w:t>
      </w:r>
      <w:r>
        <w:rPr>
          <w:spacing w:val="-4"/>
        </w:rPr>
        <w:t> </w:t>
      </w:r>
      <w:r>
        <w:rPr/>
        <w:t>impacto</w:t>
      </w:r>
      <w:r>
        <w:rPr>
          <w:spacing w:val="-4"/>
        </w:rPr>
        <w:t> </w:t>
      </w:r>
      <w:r>
        <w:rPr/>
        <w:t>de</w:t>
      </w:r>
      <w:r>
        <w:rPr>
          <w:spacing w:val="-4"/>
        </w:rPr>
        <w:t> </w:t>
      </w:r>
      <w:r>
        <w:rPr/>
        <w:t>los</w:t>
      </w:r>
      <w:r>
        <w:rPr>
          <w:spacing w:val="-4"/>
        </w:rPr>
        <w:t> </w:t>
      </w:r>
      <w:r>
        <w:rPr/>
        <w:t>geosistemas perturbadores. Sin embargo cada una de las variables referidas por sí sola posee un valor cuantitativo que muestra que tanto impacto representa cada una de ellas.De   esta forma, los valores seleccionados muestran parámetros de 1, 3, 5, 7 y 9, lo que representa debilidad con impacto muy bajo, bajo, medio, alto y muy alto de manera respectiva.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3"/>
        </w:rPr>
      </w:pPr>
    </w:p>
    <w:p>
      <w:pPr>
        <w:spacing w:before="0"/>
        <w:ind w:left="618" w:right="502" w:firstLine="0"/>
        <w:jc w:val="center"/>
        <w:rPr>
          <w:sz w:val="16"/>
        </w:rPr>
      </w:pPr>
      <w:r>
        <w:rPr>
          <w:color w:val="6D6E71"/>
          <w:sz w:val="16"/>
        </w:rPr>
        <w:t>Figura 5. Valor de “debilidad o impacto” de las variables de la EGR que impactan a la ciudad de  Toluca.</w:t>
      </w:r>
    </w:p>
    <w:p>
      <w:pPr>
        <w:spacing w:before="56"/>
        <w:ind w:left="617" w:right="502" w:firstLine="0"/>
        <w:jc w:val="center"/>
        <w:rPr>
          <w:sz w:val="16"/>
        </w:rPr>
      </w:pPr>
      <w:r>
        <w:rPr>
          <w:color w:val="6D6E71"/>
          <w:sz w:val="16"/>
        </w:rPr>
        <w:t>Fuente: Elaboración propia, (2016).</w:t>
      </w:r>
    </w:p>
    <w:p>
      <w:pPr>
        <w:pStyle w:val="BodyText"/>
        <w:spacing w:before="5"/>
        <w:rPr>
          <w:sz w:val="22"/>
        </w:rPr>
      </w:pPr>
    </w:p>
    <w:p>
      <w:pPr>
        <w:pStyle w:val="BodyText"/>
        <w:spacing w:line="249" w:lineRule="auto"/>
        <w:ind w:left="482" w:right="363" w:firstLine="170"/>
        <w:jc w:val="both"/>
      </w:pPr>
      <w:r>
        <w:rPr/>
        <w:t>El conjunto de variables muestra una media ponderada de 8.11; es decir, un valor que muestra que la debilidad de los factores en la ciudad de Toluca representan en conjunto un problema prioritario que requiere de respuestas efectivas y no</w:t>
      </w:r>
      <w:r>
        <w:rPr>
          <w:spacing w:val="52"/>
        </w:rPr>
        <w:t> </w:t>
      </w:r>
      <w:r>
        <w:rPr/>
        <w:t>mediáticas.</w:t>
      </w:r>
    </w:p>
    <w:p>
      <w:pPr>
        <w:pStyle w:val="Heading1"/>
        <w:spacing w:before="71"/>
        <w:ind w:left="285" w:right="-8"/>
      </w:pPr>
      <w:r>
        <w:rPr>
          <w:b w:val="0"/>
        </w:rPr>
        <w:br w:type="column"/>
      </w:r>
      <w:r>
        <w:rPr/>
        <w:t>Referencias bibliográficas:</w:t>
      </w:r>
    </w:p>
    <w:p>
      <w:pPr>
        <w:pStyle w:val="BodyText"/>
        <w:rPr>
          <w:b/>
          <w:sz w:val="24"/>
        </w:rPr>
      </w:pPr>
    </w:p>
    <w:p>
      <w:pPr>
        <w:pStyle w:val="BodyText"/>
        <w:spacing w:line="249" w:lineRule="auto" w:before="205"/>
        <w:ind w:left="739" w:right="128" w:hanging="624"/>
        <w:jc w:val="both"/>
      </w:pPr>
      <w:r>
        <w:rPr/>
        <w:t>Alfaro Karen (2013). Riesgos por hundimiento en la localidad de San Pedro</w:t>
      </w:r>
      <w:r>
        <w:rPr>
          <w:spacing w:val="-18"/>
        </w:rPr>
        <w:t> </w:t>
      </w:r>
      <w:r>
        <w:rPr/>
        <w:t>Totoltepec, Estado de México. Tesis de Licenciatura en Geografía. Universidad Autónoma del Estado de México. 193</w:t>
      </w:r>
      <w:r>
        <w:rPr>
          <w:spacing w:val="36"/>
        </w:rPr>
        <w:t> </w:t>
      </w:r>
      <w:r>
        <w:rPr/>
        <w:t>p.</w:t>
      </w:r>
    </w:p>
    <w:p>
      <w:pPr>
        <w:pStyle w:val="BodyText"/>
        <w:spacing w:before="11"/>
      </w:pPr>
    </w:p>
    <w:p>
      <w:pPr>
        <w:pStyle w:val="BodyText"/>
        <w:spacing w:line="249" w:lineRule="auto"/>
        <w:ind w:left="739" w:right="128" w:hanging="624"/>
        <w:jc w:val="both"/>
      </w:pPr>
      <w:r>
        <w:rPr/>
        <w:t>Ayala Javier y Jorge Olcina (2008). Riesgos Naturales: conceptos fundamentales y clasificación. Ed. Ariel Ciencia. Barcelona.</w:t>
      </w:r>
    </w:p>
    <w:p>
      <w:pPr>
        <w:pStyle w:val="BodyText"/>
        <w:spacing w:before="11"/>
      </w:pPr>
    </w:p>
    <w:p>
      <w:pPr>
        <w:pStyle w:val="BodyText"/>
        <w:spacing w:line="249" w:lineRule="auto"/>
        <w:ind w:left="739" w:right="127" w:hanging="624"/>
        <w:jc w:val="both"/>
      </w:pPr>
      <w:r>
        <w:rPr/>
        <w:t>Bertalanfy Ludwin Von (1974). Teoría General de los Sistemas. Fundamentos, Desarrollo, Aplicaciones. Ciencia y Tecnología. Fondo de Cultura Económica; Séptima reimpresión; México.</w:t>
      </w:r>
    </w:p>
    <w:p>
      <w:pPr>
        <w:pStyle w:val="BodyText"/>
        <w:spacing w:before="11"/>
      </w:pPr>
    </w:p>
    <w:p>
      <w:pPr>
        <w:pStyle w:val="BodyText"/>
        <w:spacing w:line="249" w:lineRule="auto"/>
        <w:ind w:left="739" w:right="128" w:hanging="624"/>
        <w:jc w:val="both"/>
      </w:pPr>
      <w:r>
        <w:rPr/>
        <w:t>Campos Milagros, Alejandra Toscana y Juan Campos (2014). Riesgos socionaturales: vulnerabilidad socioeconómica, justicia ambiental y justicia espacial. Cuadernos de Geografía: Revista Colombiana de Geografía. Universidad Nacional de Colombia.</w:t>
      </w:r>
    </w:p>
    <w:p>
      <w:pPr>
        <w:pStyle w:val="BodyText"/>
        <w:spacing w:before="11"/>
      </w:pPr>
    </w:p>
    <w:p>
      <w:pPr>
        <w:pStyle w:val="BodyText"/>
        <w:ind w:left="115" w:right="-8"/>
      </w:pPr>
      <w:r>
        <w:rPr/>
        <w:t>Comisión del Agua del Estado de México (2015). Atlas de inundaciones número 21.</w:t>
      </w:r>
    </w:p>
    <w:p>
      <w:pPr>
        <w:pStyle w:val="BodyText"/>
        <w:spacing w:before="10"/>
        <w:ind w:left="739" w:right="-8"/>
      </w:pPr>
      <w:r>
        <w:rPr/>
        <w:t>Gobierno del Estado de México.</w:t>
      </w:r>
    </w:p>
    <w:p>
      <w:pPr>
        <w:pStyle w:val="BodyText"/>
        <w:spacing w:before="8"/>
        <w:rPr>
          <w:sz w:val="21"/>
        </w:rPr>
      </w:pPr>
    </w:p>
    <w:p>
      <w:pPr>
        <w:pStyle w:val="BodyText"/>
        <w:spacing w:line="249" w:lineRule="auto"/>
        <w:ind w:left="739" w:right="127" w:hanging="624"/>
        <w:jc w:val="both"/>
      </w:pPr>
      <w:r>
        <w:rPr/>
        <w:t>Comisión Nacional del Agua (2014). Atlas del Agua en México. Programa editorial del gobierno de la República. 142 p.</w:t>
      </w:r>
    </w:p>
    <w:p>
      <w:pPr>
        <w:pStyle w:val="BodyText"/>
        <w:spacing w:before="11"/>
      </w:pPr>
    </w:p>
    <w:p>
      <w:pPr>
        <w:pStyle w:val="BodyText"/>
        <w:ind w:left="115" w:right="-8"/>
      </w:pPr>
      <w:r>
        <w:rPr/>
        <w:t>De  Pedraza  Javier.  (1996).  Geomorfología:  principios,  métodos  y  aplicaciones”  Ed.</w:t>
      </w:r>
    </w:p>
    <w:p>
      <w:pPr>
        <w:pStyle w:val="BodyText"/>
        <w:spacing w:before="10"/>
        <w:ind w:left="739" w:right="-8"/>
      </w:pPr>
      <w:r>
        <w:rPr/>
        <w:t>Rueda. Madrid.</w:t>
      </w:r>
    </w:p>
    <w:p>
      <w:pPr>
        <w:pStyle w:val="BodyText"/>
        <w:spacing w:before="8"/>
        <w:rPr>
          <w:sz w:val="21"/>
        </w:rPr>
      </w:pPr>
    </w:p>
    <w:p>
      <w:pPr>
        <w:pStyle w:val="BodyText"/>
        <w:ind w:left="115" w:right="-8"/>
      </w:pPr>
      <w:r>
        <w:rPr/>
        <w:t>Derrau Max (1988). Geomorfología. Ed. Ariel Geografía. Barcelona. 528 p.</w:t>
      </w:r>
    </w:p>
    <w:p>
      <w:pPr>
        <w:pStyle w:val="BodyText"/>
        <w:spacing w:before="8"/>
        <w:rPr>
          <w:sz w:val="21"/>
        </w:rPr>
      </w:pPr>
    </w:p>
    <w:p>
      <w:pPr>
        <w:pStyle w:val="BodyText"/>
        <w:spacing w:line="249" w:lineRule="auto"/>
        <w:ind w:left="739" w:right="127" w:hanging="624"/>
        <w:jc w:val="both"/>
      </w:pPr>
      <w:r>
        <w:rPr/>
        <w:t>Espinosa</w:t>
      </w:r>
      <w:r>
        <w:rPr>
          <w:spacing w:val="-15"/>
        </w:rPr>
        <w:t> </w:t>
      </w:r>
      <w:r>
        <w:rPr/>
        <w:t>Luis</w:t>
      </w:r>
      <w:r>
        <w:rPr>
          <w:spacing w:val="-15"/>
        </w:rPr>
        <w:t> </w:t>
      </w:r>
      <w:r>
        <w:rPr/>
        <w:t>M.</w:t>
      </w:r>
      <w:r>
        <w:rPr>
          <w:spacing w:val="-15"/>
        </w:rPr>
        <w:t> </w:t>
      </w:r>
      <w:r>
        <w:rPr/>
        <w:t>2007.</w:t>
      </w:r>
      <w:r>
        <w:rPr>
          <w:spacing w:val="-15"/>
        </w:rPr>
        <w:t> </w:t>
      </w:r>
      <w:r>
        <w:rPr/>
        <w:t>La</w:t>
      </w:r>
      <w:r>
        <w:rPr>
          <w:spacing w:val="-15"/>
        </w:rPr>
        <w:t> </w:t>
      </w:r>
      <w:r>
        <w:rPr/>
        <w:t>teoría</w:t>
      </w:r>
      <w:r>
        <w:rPr>
          <w:spacing w:val="-15"/>
        </w:rPr>
        <w:t> </w:t>
      </w:r>
      <w:r>
        <w:rPr/>
        <w:t>general</w:t>
      </w:r>
      <w:r>
        <w:rPr>
          <w:spacing w:val="-15"/>
        </w:rPr>
        <w:t> </w:t>
      </w:r>
      <w:r>
        <w:rPr/>
        <w:t>de</w:t>
      </w:r>
      <w:r>
        <w:rPr>
          <w:spacing w:val="-15"/>
        </w:rPr>
        <w:t> </w:t>
      </w:r>
      <w:r>
        <w:rPr/>
        <w:t>sistema</w:t>
      </w:r>
      <w:r>
        <w:rPr>
          <w:spacing w:val="-15"/>
        </w:rPr>
        <w:t> </w:t>
      </w:r>
      <w:r>
        <w:rPr/>
        <w:t>en</w:t>
      </w:r>
      <w:r>
        <w:rPr>
          <w:spacing w:val="-15"/>
        </w:rPr>
        <w:t> </w:t>
      </w:r>
      <w:r>
        <w:rPr/>
        <w:t>la</w:t>
      </w:r>
      <w:r>
        <w:rPr>
          <w:spacing w:val="-15"/>
        </w:rPr>
        <w:t> </w:t>
      </w:r>
      <w:r>
        <w:rPr/>
        <w:t>Geografía</w:t>
      </w:r>
      <w:r>
        <w:rPr>
          <w:spacing w:val="-15"/>
        </w:rPr>
        <w:t> </w:t>
      </w:r>
      <w:r>
        <w:rPr/>
        <w:t>y</w:t>
      </w:r>
      <w:r>
        <w:rPr>
          <w:spacing w:val="-15"/>
        </w:rPr>
        <w:t> </w:t>
      </w:r>
      <w:r>
        <w:rPr/>
        <w:t>la</w:t>
      </w:r>
      <w:r>
        <w:rPr>
          <w:spacing w:val="-15"/>
        </w:rPr>
        <w:t> </w:t>
      </w:r>
      <w:r>
        <w:rPr/>
        <w:t>Geomorfología. Capítulo</w:t>
      </w:r>
      <w:r>
        <w:rPr>
          <w:spacing w:val="-6"/>
        </w:rPr>
        <w:t> </w:t>
      </w:r>
      <w:r>
        <w:rPr/>
        <w:t>de</w:t>
      </w:r>
      <w:r>
        <w:rPr>
          <w:spacing w:val="-6"/>
        </w:rPr>
        <w:t> </w:t>
      </w:r>
      <w:r>
        <w:rPr/>
        <w:t>libro</w:t>
      </w:r>
      <w:r>
        <w:rPr>
          <w:spacing w:val="-6"/>
        </w:rPr>
        <w:t> </w:t>
      </w:r>
      <w:r>
        <w:rPr/>
        <w:t>especializado.</w:t>
      </w:r>
      <w:r>
        <w:rPr>
          <w:spacing w:val="-6"/>
        </w:rPr>
        <w:t> </w:t>
      </w:r>
      <w:r>
        <w:rPr/>
        <w:t>Temas</w:t>
      </w:r>
      <w:r>
        <w:rPr>
          <w:spacing w:val="-6"/>
        </w:rPr>
        <w:t> </w:t>
      </w:r>
      <w:r>
        <w:rPr/>
        <w:t>de</w:t>
      </w:r>
      <w:r>
        <w:rPr>
          <w:spacing w:val="-6"/>
        </w:rPr>
        <w:t> </w:t>
      </w:r>
      <w:r>
        <w:rPr/>
        <w:t>investigación</w:t>
      </w:r>
      <w:r>
        <w:rPr>
          <w:spacing w:val="-6"/>
        </w:rPr>
        <w:t> </w:t>
      </w:r>
      <w:r>
        <w:rPr/>
        <w:t>geográfica</w:t>
      </w:r>
      <w:r>
        <w:rPr>
          <w:spacing w:val="-6"/>
        </w:rPr>
        <w:t> </w:t>
      </w:r>
      <w:r>
        <w:rPr/>
        <w:t>a</w:t>
      </w:r>
      <w:r>
        <w:rPr>
          <w:spacing w:val="-6"/>
        </w:rPr>
        <w:t> </w:t>
      </w:r>
      <w:r>
        <w:rPr/>
        <w:t>30</w:t>
      </w:r>
      <w:r>
        <w:rPr>
          <w:spacing w:val="-6"/>
        </w:rPr>
        <w:t> </w:t>
      </w:r>
      <w:r>
        <w:rPr/>
        <w:t>años</w:t>
      </w:r>
      <w:r>
        <w:rPr>
          <w:spacing w:val="-6"/>
        </w:rPr>
        <w:t> </w:t>
      </w:r>
      <w:r>
        <w:rPr/>
        <w:t>de la relación México-Polonia. Septiembre de 2006 (en prensa). 16 páginas y 11 citas. ISBN</w:t>
      </w:r>
      <w:r>
        <w:rPr>
          <w:spacing w:val="51"/>
        </w:rPr>
        <w:t> </w:t>
      </w:r>
      <w:r>
        <w:rPr/>
        <w:t>978-970-757-092-4</w:t>
      </w:r>
    </w:p>
    <w:p>
      <w:pPr>
        <w:pStyle w:val="BodyText"/>
        <w:spacing w:before="11"/>
      </w:pPr>
    </w:p>
    <w:p>
      <w:pPr>
        <w:pStyle w:val="BodyText"/>
        <w:spacing w:line="249" w:lineRule="auto"/>
        <w:ind w:left="739" w:right="128" w:hanging="624"/>
        <w:jc w:val="both"/>
      </w:pPr>
      <w:r>
        <w:rPr/>
        <w:t>Espinosa</w:t>
      </w:r>
      <w:r>
        <w:rPr>
          <w:spacing w:val="-6"/>
        </w:rPr>
        <w:t> </w:t>
      </w:r>
      <w:r>
        <w:rPr/>
        <w:t>Luis</w:t>
      </w:r>
      <w:r>
        <w:rPr>
          <w:spacing w:val="-6"/>
        </w:rPr>
        <w:t> </w:t>
      </w:r>
      <w:r>
        <w:rPr/>
        <w:t>M.</w:t>
      </w:r>
      <w:r>
        <w:rPr>
          <w:spacing w:val="-6"/>
        </w:rPr>
        <w:t> </w:t>
      </w:r>
      <w:r>
        <w:rPr/>
        <w:t>y</w:t>
      </w:r>
      <w:r>
        <w:rPr>
          <w:spacing w:val="-6"/>
        </w:rPr>
        <w:t> </w:t>
      </w:r>
      <w:r>
        <w:rPr/>
        <w:t>Karla</w:t>
      </w:r>
      <w:r>
        <w:rPr>
          <w:spacing w:val="-6"/>
        </w:rPr>
        <w:t> </w:t>
      </w:r>
      <w:r>
        <w:rPr/>
        <w:t>Arroyo</w:t>
      </w:r>
      <w:r>
        <w:rPr>
          <w:spacing w:val="-6"/>
        </w:rPr>
        <w:t> </w:t>
      </w:r>
      <w:r>
        <w:rPr/>
        <w:t>(2008).</w:t>
      </w:r>
      <w:r>
        <w:rPr>
          <w:spacing w:val="-6"/>
        </w:rPr>
        <w:t> </w:t>
      </w:r>
      <w:r>
        <w:rPr/>
        <w:t>Geomorfología</w:t>
      </w:r>
      <w:r>
        <w:rPr>
          <w:spacing w:val="-6"/>
        </w:rPr>
        <w:t> </w:t>
      </w:r>
      <w:r>
        <w:rPr/>
        <w:t>en</w:t>
      </w:r>
      <w:r>
        <w:rPr>
          <w:spacing w:val="-6"/>
        </w:rPr>
        <w:t> </w:t>
      </w:r>
      <w:r>
        <w:rPr/>
        <w:t>México.</w:t>
      </w:r>
      <w:r>
        <w:rPr>
          <w:spacing w:val="-6"/>
        </w:rPr>
        <w:t> </w:t>
      </w:r>
      <w:r>
        <w:rPr/>
        <w:t>Una</w:t>
      </w:r>
      <w:r>
        <w:rPr>
          <w:spacing w:val="-6"/>
        </w:rPr>
        <w:t> </w:t>
      </w:r>
      <w:r>
        <w:rPr/>
        <w:t>visión</w:t>
      </w:r>
      <w:r>
        <w:rPr>
          <w:spacing w:val="-6"/>
        </w:rPr>
        <w:t> </w:t>
      </w:r>
      <w:r>
        <w:rPr/>
        <w:t>histórica, metodológica y aplicada. Editorial Académica Española. ISBN 978-3-8454- 9761-7, España. Saarbrücken</w:t>
      </w:r>
      <w:r>
        <w:rPr>
          <w:spacing w:val="-9"/>
        </w:rPr>
        <w:t> </w:t>
      </w:r>
      <w:r>
        <w:rPr/>
        <w:t>Alemania.</w:t>
      </w:r>
    </w:p>
    <w:p>
      <w:pPr>
        <w:pStyle w:val="BodyText"/>
        <w:spacing w:before="11"/>
      </w:pPr>
    </w:p>
    <w:p>
      <w:pPr>
        <w:pStyle w:val="BodyText"/>
        <w:spacing w:line="249" w:lineRule="auto"/>
        <w:ind w:left="739" w:right="128" w:hanging="624"/>
        <w:jc w:val="both"/>
      </w:pPr>
      <w:r>
        <w:rPr/>
        <w:t>Espinosa Luis M. (2010) Propuesta metodológica para la evaluación de riesgos desde la perspectiva del ordenamiento del territorio. Revista del CESLA, 2,13, (643- 664) Varsovia: CESLA.</w:t>
      </w:r>
    </w:p>
    <w:p>
      <w:pPr>
        <w:spacing w:after="0" w:line="249" w:lineRule="auto"/>
        <w:jc w:val="both"/>
        <w:sectPr>
          <w:type w:val="continuous"/>
          <w:pgSz w:w="18830" w:h="12760" w:orient="landscape"/>
          <w:pgMar w:top="1420" w:bottom="280" w:left="360" w:right="720"/>
          <w:cols w:num="2" w:equalWidth="0">
            <w:col w:w="8561" w:space="1225"/>
            <w:col w:w="7964"/>
          </w:cols>
        </w:sectPr>
      </w:pPr>
    </w:p>
    <w:p>
      <w:pPr>
        <w:pStyle w:val="BodyText"/>
        <w:spacing w:before="6"/>
        <w:rPr>
          <w:sz w:val="23"/>
        </w:rPr>
      </w:pPr>
    </w:p>
    <w:p>
      <w:pPr>
        <w:spacing w:after="0"/>
        <w:rPr>
          <w:sz w:val="23"/>
        </w:rPr>
        <w:sectPr>
          <w:footerReference w:type="default" r:id="rId163"/>
          <w:pgSz w:w="18830" w:h="12760" w:orient="landscape"/>
          <w:pgMar w:footer="1036" w:header="522" w:top="820" w:bottom="1220" w:left="720" w:right="720"/>
        </w:sectPr>
      </w:pPr>
    </w:p>
    <w:p>
      <w:pPr>
        <w:pStyle w:val="BodyText"/>
        <w:spacing w:line="249" w:lineRule="auto" w:before="76"/>
        <w:ind w:left="751" w:hanging="624"/>
        <w:jc w:val="both"/>
      </w:pPr>
      <w:r>
        <w:rPr/>
        <w:t>Espinosa</w:t>
      </w:r>
      <w:r>
        <w:rPr>
          <w:spacing w:val="-10"/>
        </w:rPr>
        <w:t> </w:t>
      </w:r>
      <w:r>
        <w:rPr/>
        <w:t>Luis</w:t>
      </w:r>
      <w:r>
        <w:rPr>
          <w:spacing w:val="-10"/>
        </w:rPr>
        <w:t> </w:t>
      </w:r>
      <w:r>
        <w:rPr/>
        <w:t>M.</w:t>
      </w:r>
      <w:r>
        <w:rPr>
          <w:spacing w:val="-10"/>
        </w:rPr>
        <w:t> </w:t>
      </w:r>
      <w:r>
        <w:rPr/>
        <w:t>y</w:t>
      </w:r>
      <w:r>
        <w:rPr>
          <w:spacing w:val="-10"/>
        </w:rPr>
        <w:t> </w:t>
      </w:r>
      <w:r>
        <w:rPr/>
        <w:t>José</w:t>
      </w:r>
      <w:r>
        <w:rPr>
          <w:spacing w:val="-10"/>
        </w:rPr>
        <w:t> </w:t>
      </w:r>
      <w:r>
        <w:rPr/>
        <w:t>R.</w:t>
      </w:r>
      <w:r>
        <w:rPr>
          <w:spacing w:val="-10"/>
        </w:rPr>
        <w:t> </w:t>
      </w:r>
      <w:r>
        <w:rPr/>
        <w:t>Hernández</w:t>
      </w:r>
      <w:r>
        <w:rPr>
          <w:spacing w:val="-10"/>
        </w:rPr>
        <w:t> </w:t>
      </w:r>
      <w:r>
        <w:rPr/>
        <w:t>(2015).</w:t>
      </w:r>
      <w:r>
        <w:rPr>
          <w:spacing w:val="-10"/>
        </w:rPr>
        <w:t> </w:t>
      </w:r>
      <w:r>
        <w:rPr/>
        <w:t>Estudio</w:t>
      </w:r>
      <w:r>
        <w:rPr>
          <w:spacing w:val="-10"/>
        </w:rPr>
        <w:t> </w:t>
      </w:r>
      <w:r>
        <w:rPr/>
        <w:t>del</w:t>
      </w:r>
      <w:r>
        <w:rPr>
          <w:spacing w:val="-10"/>
        </w:rPr>
        <w:t> </w:t>
      </w:r>
      <w:r>
        <w:rPr/>
        <w:t>riesgo.</w:t>
      </w:r>
      <w:r>
        <w:rPr>
          <w:spacing w:val="-10"/>
        </w:rPr>
        <w:t> </w:t>
      </w:r>
      <w:r>
        <w:rPr/>
        <w:t>Análisis</w:t>
      </w:r>
      <w:r>
        <w:rPr>
          <w:spacing w:val="-10"/>
        </w:rPr>
        <w:t> </w:t>
      </w:r>
      <w:r>
        <w:rPr/>
        <w:t>multifactorial, multinivel y multitemporal. Revista Latinoamericana el Ambiente y las Ciencias. BUAP (2):1-27</w:t>
      </w:r>
      <w:r>
        <w:rPr>
          <w:spacing w:val="-23"/>
        </w:rPr>
        <w:t> </w:t>
      </w:r>
      <w:r>
        <w:rPr/>
        <w:t>2015</w:t>
      </w:r>
    </w:p>
    <w:p>
      <w:pPr>
        <w:pStyle w:val="BodyText"/>
        <w:spacing w:before="11"/>
      </w:pPr>
    </w:p>
    <w:p>
      <w:pPr>
        <w:pStyle w:val="BodyText"/>
        <w:spacing w:line="249" w:lineRule="auto"/>
        <w:ind w:left="751" w:hanging="624"/>
        <w:jc w:val="both"/>
      </w:pPr>
      <w:r>
        <w:rPr/>
        <w:t>Gutiérrez</w:t>
      </w:r>
      <w:r>
        <w:rPr>
          <w:spacing w:val="-23"/>
        </w:rPr>
        <w:t> </w:t>
      </w:r>
      <w:r>
        <w:rPr/>
        <w:t>Mateo.</w:t>
      </w:r>
      <w:r>
        <w:rPr>
          <w:spacing w:val="-23"/>
        </w:rPr>
        <w:t> </w:t>
      </w:r>
      <w:r>
        <w:rPr/>
        <w:t>(2008).</w:t>
      </w:r>
      <w:r>
        <w:rPr>
          <w:spacing w:val="-23"/>
        </w:rPr>
        <w:t> </w:t>
      </w:r>
      <w:r>
        <w:rPr/>
        <w:t>Geomorfología.</w:t>
      </w:r>
      <w:r>
        <w:rPr>
          <w:spacing w:val="-23"/>
        </w:rPr>
        <w:t> </w:t>
      </w:r>
      <w:r>
        <w:rPr/>
        <w:t>Universidad</w:t>
      </w:r>
      <w:r>
        <w:rPr>
          <w:spacing w:val="-23"/>
        </w:rPr>
        <w:t> </w:t>
      </w:r>
      <w:r>
        <w:rPr/>
        <w:t>de</w:t>
      </w:r>
      <w:r>
        <w:rPr>
          <w:spacing w:val="-23"/>
        </w:rPr>
        <w:t> </w:t>
      </w:r>
      <w:r>
        <w:rPr/>
        <w:t>Zaragoza.</w:t>
      </w:r>
      <w:r>
        <w:rPr>
          <w:spacing w:val="-23"/>
        </w:rPr>
        <w:t> </w:t>
      </w:r>
      <w:r>
        <w:rPr/>
        <w:t>Ed.</w:t>
      </w:r>
      <w:r>
        <w:rPr>
          <w:spacing w:val="-23"/>
        </w:rPr>
        <w:t> </w:t>
      </w:r>
      <w:r>
        <w:rPr/>
        <w:t>Pearson</w:t>
      </w:r>
      <w:r>
        <w:rPr>
          <w:spacing w:val="-23"/>
        </w:rPr>
        <w:t> </w:t>
      </w:r>
      <w:r>
        <w:rPr/>
        <w:t>Prentice Hall S. A. Madrid. 920</w:t>
      </w:r>
      <w:r>
        <w:rPr>
          <w:spacing w:val="14"/>
        </w:rPr>
        <w:t> </w:t>
      </w:r>
      <w:r>
        <w:rPr/>
        <w:t>p.</w:t>
      </w:r>
    </w:p>
    <w:p>
      <w:pPr>
        <w:pStyle w:val="BodyText"/>
        <w:spacing w:before="11"/>
      </w:pPr>
    </w:p>
    <w:p>
      <w:pPr>
        <w:pStyle w:val="BodyText"/>
        <w:spacing w:line="249" w:lineRule="auto"/>
        <w:ind w:left="751" w:hanging="624"/>
        <w:jc w:val="both"/>
      </w:pPr>
      <w:r>
        <w:rPr/>
        <w:t>H. Ayuntamiento de Toluca. (2002).Atlas Municipal de Riesgos. Gobierno del Estado de México.</w:t>
      </w:r>
    </w:p>
    <w:p>
      <w:pPr>
        <w:pStyle w:val="BodyText"/>
        <w:spacing w:before="11"/>
      </w:pPr>
    </w:p>
    <w:p>
      <w:pPr>
        <w:pStyle w:val="ListParagraph"/>
        <w:numPr>
          <w:ilvl w:val="0"/>
          <w:numId w:val="16"/>
        </w:numPr>
        <w:tabs>
          <w:tab w:pos="404" w:val="left" w:leader="none"/>
        </w:tabs>
        <w:spacing w:line="249" w:lineRule="auto" w:before="0" w:after="0"/>
        <w:ind w:left="751" w:right="0" w:hanging="624"/>
        <w:jc w:val="both"/>
        <w:rPr>
          <w:sz w:val="20"/>
        </w:rPr>
      </w:pPr>
      <w:r>
        <w:rPr>
          <w:sz w:val="20"/>
        </w:rPr>
        <w:t>Ayuntamiento de Toluca. (2013).Atlas Municipal de Riesgos. Gobierno del Estado de</w:t>
      </w:r>
      <w:r>
        <w:rPr>
          <w:spacing w:val="21"/>
          <w:sz w:val="20"/>
        </w:rPr>
        <w:t> </w:t>
      </w:r>
      <w:r>
        <w:rPr>
          <w:sz w:val="20"/>
        </w:rPr>
        <w:t>México.</w:t>
      </w:r>
    </w:p>
    <w:p>
      <w:pPr>
        <w:pStyle w:val="BodyText"/>
        <w:spacing w:before="11"/>
      </w:pPr>
    </w:p>
    <w:p>
      <w:pPr>
        <w:pStyle w:val="BodyText"/>
        <w:spacing w:line="249" w:lineRule="auto"/>
        <w:ind w:left="751" w:right="1" w:hanging="624"/>
        <w:jc w:val="both"/>
      </w:pPr>
      <w:r>
        <w:rPr/>
        <w:t>Instituto de Información e Investigación Geográfica, Estadística y Catastral del Estado de México (2013). Plano de la ciudad de Toluca. Escala 1:8,000. Gobierno del Estado de México.</w:t>
      </w:r>
    </w:p>
    <w:p>
      <w:pPr>
        <w:pStyle w:val="BodyText"/>
        <w:spacing w:before="11"/>
      </w:pPr>
    </w:p>
    <w:p>
      <w:pPr>
        <w:pStyle w:val="BodyText"/>
        <w:spacing w:line="249" w:lineRule="auto"/>
        <w:ind w:left="751" w:hanging="624"/>
        <w:jc w:val="both"/>
      </w:pPr>
      <w:r>
        <w:rPr/>
        <w:t>Instituto Nacional de Estadística y Geografía (2014). Imágenes del territorio. Marco Geoestadístico Nacional. Descarga en 2014.</w:t>
      </w:r>
    </w:p>
    <w:p>
      <w:pPr>
        <w:pStyle w:val="BodyText"/>
        <w:spacing w:before="11"/>
      </w:pPr>
    </w:p>
    <w:p>
      <w:pPr>
        <w:pStyle w:val="BodyText"/>
        <w:spacing w:line="249" w:lineRule="auto"/>
        <w:ind w:left="751" w:hanging="624"/>
        <w:jc w:val="both"/>
      </w:pPr>
      <w:r>
        <w:rPr/>
        <w:t>Instituto Nacional de Estadística y Geografía (2015). Cartografía urbana. Toluca Cartografía Geoestadística Urbana, Cierre del Censo de Población y Vivienda 2010.Toluca-2010. Clave 15106. Descarga en 2015.</w:t>
      </w:r>
    </w:p>
    <w:p>
      <w:pPr>
        <w:pStyle w:val="BodyText"/>
        <w:spacing w:before="11"/>
      </w:pPr>
    </w:p>
    <w:p>
      <w:pPr>
        <w:pStyle w:val="BodyText"/>
        <w:spacing w:line="249" w:lineRule="auto"/>
        <w:ind w:left="751" w:right="1" w:hanging="624"/>
        <w:jc w:val="both"/>
      </w:pPr>
      <w:r>
        <w:rPr/>
        <w:t>Instituto de Fomento Minero y Geológico del Estado de México (2015), Atlas de</w:t>
      </w:r>
      <w:r>
        <w:rPr>
          <w:spacing w:val="-32"/>
        </w:rPr>
        <w:t> </w:t>
      </w:r>
      <w:r>
        <w:rPr/>
        <w:t>riesgos del Estado de México. Gobierno del Estado de </w:t>
      </w:r>
      <w:r>
        <w:rPr>
          <w:spacing w:val="8"/>
        </w:rPr>
        <w:t> </w:t>
      </w:r>
      <w:r>
        <w:rPr/>
        <w:t>México.</w:t>
      </w:r>
    </w:p>
    <w:p>
      <w:pPr>
        <w:pStyle w:val="BodyText"/>
        <w:spacing w:before="11"/>
      </w:pPr>
    </w:p>
    <w:p>
      <w:pPr>
        <w:pStyle w:val="BodyText"/>
        <w:spacing w:line="249" w:lineRule="auto"/>
        <w:ind w:left="751" w:hanging="624"/>
        <w:jc w:val="both"/>
      </w:pPr>
      <w:r>
        <w:rPr/>
        <w:t>Instituto</w:t>
      </w:r>
      <w:r>
        <w:rPr>
          <w:spacing w:val="-5"/>
        </w:rPr>
        <w:t> </w:t>
      </w:r>
      <w:r>
        <w:rPr/>
        <w:t>Nacional</w:t>
      </w:r>
      <w:r>
        <w:rPr>
          <w:spacing w:val="-5"/>
        </w:rPr>
        <w:t> </w:t>
      </w:r>
      <w:r>
        <w:rPr/>
        <w:t>de</w:t>
      </w:r>
      <w:r>
        <w:rPr>
          <w:spacing w:val="-5"/>
        </w:rPr>
        <w:t> </w:t>
      </w:r>
      <w:r>
        <w:rPr/>
        <w:t>Ecología</w:t>
      </w:r>
      <w:r>
        <w:rPr>
          <w:spacing w:val="-5"/>
        </w:rPr>
        <w:t> </w:t>
      </w:r>
      <w:r>
        <w:rPr/>
        <w:t>y</w:t>
      </w:r>
      <w:r>
        <w:rPr>
          <w:spacing w:val="-5"/>
        </w:rPr>
        <w:t> </w:t>
      </w:r>
      <w:r>
        <w:rPr/>
        <w:t>Cambio</w:t>
      </w:r>
      <w:r>
        <w:rPr>
          <w:spacing w:val="-5"/>
        </w:rPr>
        <w:t> </w:t>
      </w:r>
      <w:r>
        <w:rPr/>
        <w:t>Climático</w:t>
      </w:r>
      <w:r>
        <w:rPr>
          <w:spacing w:val="-5"/>
        </w:rPr>
        <w:t> </w:t>
      </w:r>
      <w:r>
        <w:rPr/>
        <w:t>(2015).</w:t>
      </w:r>
      <w:r>
        <w:rPr>
          <w:spacing w:val="-5"/>
        </w:rPr>
        <w:t> </w:t>
      </w:r>
      <w:r>
        <w:rPr/>
        <w:t>Memoria</w:t>
      </w:r>
      <w:r>
        <w:rPr>
          <w:spacing w:val="-5"/>
        </w:rPr>
        <w:t> </w:t>
      </w:r>
      <w:r>
        <w:rPr/>
        <w:t>del</w:t>
      </w:r>
      <w:r>
        <w:rPr>
          <w:spacing w:val="-5"/>
        </w:rPr>
        <w:t> </w:t>
      </w:r>
      <w:r>
        <w:rPr/>
        <w:t>Primer</w:t>
      </w:r>
      <w:r>
        <w:rPr>
          <w:spacing w:val="-5"/>
        </w:rPr>
        <w:t> </w:t>
      </w:r>
      <w:r>
        <w:rPr/>
        <w:t>Coloquio Binacional México Japón sobre gestión ambiental y contaminación atmosférica 1996.</w:t>
      </w:r>
    </w:p>
    <w:p>
      <w:pPr>
        <w:pStyle w:val="BodyText"/>
        <w:spacing w:before="11"/>
      </w:pPr>
    </w:p>
    <w:p>
      <w:pPr>
        <w:pStyle w:val="BodyText"/>
        <w:spacing w:line="249" w:lineRule="auto"/>
        <w:ind w:left="751" w:hanging="624"/>
        <w:jc w:val="both"/>
      </w:pPr>
      <w:r>
        <w:rPr/>
        <w:t>Lugo José (1988). Geomorfología Aplicada, métodos cartográficos. Instituto de Geografía, UNAM México.</w:t>
      </w:r>
    </w:p>
    <w:p>
      <w:pPr>
        <w:pStyle w:val="BodyText"/>
        <w:spacing w:before="11"/>
      </w:pPr>
    </w:p>
    <w:p>
      <w:pPr>
        <w:pStyle w:val="BodyText"/>
        <w:spacing w:line="249" w:lineRule="auto"/>
        <w:ind w:left="751" w:right="1" w:hanging="624"/>
        <w:jc w:val="both"/>
      </w:pPr>
      <w:r>
        <w:rPr/>
        <w:t>Organización</w:t>
      </w:r>
      <w:r>
        <w:rPr>
          <w:spacing w:val="-7"/>
        </w:rPr>
        <w:t> </w:t>
      </w:r>
      <w:r>
        <w:rPr/>
        <w:t>Mundial</w:t>
      </w:r>
      <w:r>
        <w:rPr>
          <w:spacing w:val="-7"/>
        </w:rPr>
        <w:t> </w:t>
      </w:r>
      <w:r>
        <w:rPr/>
        <w:t>de</w:t>
      </w:r>
      <w:r>
        <w:rPr>
          <w:spacing w:val="-7"/>
        </w:rPr>
        <w:t> </w:t>
      </w:r>
      <w:r>
        <w:rPr/>
        <w:t>la</w:t>
      </w:r>
      <w:r>
        <w:rPr>
          <w:spacing w:val="-7"/>
        </w:rPr>
        <w:t> </w:t>
      </w:r>
      <w:r>
        <w:rPr/>
        <w:t>Salud</w:t>
      </w:r>
      <w:r>
        <w:rPr>
          <w:spacing w:val="-7"/>
        </w:rPr>
        <w:t> </w:t>
      </w:r>
      <w:r>
        <w:rPr/>
        <w:t>(2015).</w:t>
      </w:r>
      <w:r>
        <w:rPr>
          <w:spacing w:val="-7"/>
        </w:rPr>
        <w:t> </w:t>
      </w:r>
      <w:r>
        <w:rPr/>
        <w:t>Calidad</w:t>
      </w:r>
      <w:r>
        <w:rPr>
          <w:spacing w:val="-7"/>
        </w:rPr>
        <w:t> </w:t>
      </w:r>
      <w:r>
        <w:rPr/>
        <w:t>del</w:t>
      </w:r>
      <w:r>
        <w:rPr>
          <w:spacing w:val="-7"/>
        </w:rPr>
        <w:t> </w:t>
      </w:r>
      <w:r>
        <w:rPr/>
        <w:t>aire,</w:t>
      </w:r>
      <w:r>
        <w:rPr>
          <w:spacing w:val="-7"/>
        </w:rPr>
        <w:t> </w:t>
      </w:r>
      <w:r>
        <w:rPr/>
        <w:t>cifras</w:t>
      </w:r>
      <w:r>
        <w:rPr>
          <w:spacing w:val="-7"/>
        </w:rPr>
        <w:t> </w:t>
      </w:r>
      <w:r>
        <w:rPr/>
        <w:t>y</w:t>
      </w:r>
      <w:r>
        <w:rPr>
          <w:spacing w:val="-7"/>
        </w:rPr>
        <w:t> </w:t>
      </w:r>
      <w:r>
        <w:rPr/>
        <w:t>datos.</w:t>
      </w:r>
      <w:r>
        <w:rPr>
          <w:spacing w:val="-7"/>
        </w:rPr>
        <w:t> </w:t>
      </w:r>
      <w:r>
        <w:rPr/>
        <w:t>En</w:t>
      </w:r>
      <w:r>
        <w:rPr>
          <w:spacing w:val="-7"/>
        </w:rPr>
        <w:t> </w:t>
      </w:r>
      <w:r>
        <w:rPr/>
        <w:t>www</w:t>
      </w:r>
      <w:r>
        <w:rPr>
          <w:spacing w:val="-7"/>
        </w:rPr>
        <w:t> </w:t>
      </w:r>
      <w:r>
        <w:rPr/>
        <w:t>.who. int/mediacentre/factshetts/fs313/</w:t>
      </w:r>
    </w:p>
    <w:p>
      <w:pPr>
        <w:pStyle w:val="BodyText"/>
        <w:spacing w:before="11"/>
      </w:pPr>
    </w:p>
    <w:p>
      <w:pPr>
        <w:pStyle w:val="BodyText"/>
        <w:spacing w:line="249" w:lineRule="auto"/>
        <w:ind w:left="751" w:right="1" w:hanging="624"/>
        <w:jc w:val="both"/>
      </w:pPr>
      <w:r>
        <w:rPr/>
        <w:t>Palma</w:t>
      </w:r>
      <w:r>
        <w:rPr>
          <w:spacing w:val="-14"/>
        </w:rPr>
        <w:t> </w:t>
      </w:r>
      <w:r>
        <w:rPr/>
        <w:t>Gerardo</w:t>
      </w:r>
      <w:r>
        <w:rPr>
          <w:spacing w:val="-14"/>
        </w:rPr>
        <w:t> </w:t>
      </w:r>
      <w:r>
        <w:rPr/>
        <w:t>(2005).</w:t>
      </w:r>
      <w:r>
        <w:rPr>
          <w:spacing w:val="-14"/>
        </w:rPr>
        <w:t> </w:t>
      </w:r>
      <w:r>
        <w:rPr/>
        <w:t>Evaluación</w:t>
      </w:r>
      <w:r>
        <w:rPr>
          <w:spacing w:val="-14"/>
        </w:rPr>
        <w:t> </w:t>
      </w:r>
      <w:r>
        <w:rPr/>
        <w:t>de</w:t>
      </w:r>
      <w:r>
        <w:rPr>
          <w:spacing w:val="-14"/>
        </w:rPr>
        <w:t> </w:t>
      </w:r>
      <w:r>
        <w:rPr/>
        <w:t>riesgo</w:t>
      </w:r>
      <w:r>
        <w:rPr>
          <w:spacing w:val="-14"/>
        </w:rPr>
        <w:t> </w:t>
      </w:r>
      <w:r>
        <w:rPr/>
        <w:t>por</w:t>
      </w:r>
      <w:r>
        <w:rPr>
          <w:spacing w:val="-14"/>
        </w:rPr>
        <w:t> </w:t>
      </w:r>
      <w:r>
        <w:rPr/>
        <w:t>caída</w:t>
      </w:r>
      <w:r>
        <w:rPr>
          <w:spacing w:val="-14"/>
        </w:rPr>
        <w:t> </w:t>
      </w:r>
      <w:r>
        <w:rPr/>
        <w:t>de</w:t>
      </w:r>
      <w:r>
        <w:rPr>
          <w:spacing w:val="-14"/>
        </w:rPr>
        <w:t> </w:t>
      </w:r>
      <w:r>
        <w:rPr/>
        <w:t>bloques</w:t>
      </w:r>
      <w:r>
        <w:rPr>
          <w:spacing w:val="-14"/>
        </w:rPr>
        <w:t> </w:t>
      </w:r>
      <w:r>
        <w:rPr/>
        <w:t>en</w:t>
      </w:r>
      <w:r>
        <w:rPr>
          <w:spacing w:val="-14"/>
        </w:rPr>
        <w:t> </w:t>
      </w:r>
      <w:r>
        <w:rPr/>
        <w:t>Santiago</w:t>
      </w:r>
      <w:r>
        <w:rPr>
          <w:spacing w:val="-14"/>
        </w:rPr>
        <w:t> </w:t>
      </w:r>
      <w:r>
        <w:rPr/>
        <w:t>Miltepec, Toluca, Estado de México. Tesis de Licenciatura en Geografía. Universidad Autónoma del Estado de</w:t>
      </w:r>
      <w:r>
        <w:rPr>
          <w:spacing w:val="39"/>
        </w:rPr>
        <w:t> </w:t>
      </w:r>
      <w:r>
        <w:rPr/>
        <w:t>México.</w:t>
      </w:r>
    </w:p>
    <w:p>
      <w:pPr>
        <w:pStyle w:val="BodyText"/>
        <w:spacing w:line="249" w:lineRule="auto" w:before="76"/>
        <w:ind w:left="751" w:right="128" w:hanging="624"/>
        <w:jc w:val="both"/>
      </w:pPr>
      <w:r>
        <w:rPr/>
        <w:br w:type="column"/>
      </w:r>
      <w:r>
        <w:rPr/>
        <w:t>Red</w:t>
      </w:r>
      <w:r>
        <w:rPr>
          <w:spacing w:val="-16"/>
        </w:rPr>
        <w:t> </w:t>
      </w:r>
      <w:r>
        <w:rPr/>
        <w:t>automática</w:t>
      </w:r>
      <w:r>
        <w:rPr>
          <w:spacing w:val="-16"/>
        </w:rPr>
        <w:t> </w:t>
      </w:r>
      <w:r>
        <w:rPr/>
        <w:t>de</w:t>
      </w:r>
      <w:r>
        <w:rPr>
          <w:spacing w:val="-16"/>
        </w:rPr>
        <w:t> </w:t>
      </w:r>
      <w:r>
        <w:rPr/>
        <w:t>monitoreo</w:t>
      </w:r>
      <w:r>
        <w:rPr>
          <w:spacing w:val="-16"/>
        </w:rPr>
        <w:t> </w:t>
      </w:r>
      <w:r>
        <w:rPr/>
        <w:t>atmosférico</w:t>
      </w:r>
      <w:r>
        <w:rPr>
          <w:spacing w:val="-16"/>
        </w:rPr>
        <w:t> </w:t>
      </w:r>
      <w:r>
        <w:rPr/>
        <w:t>(2015).</w:t>
      </w:r>
      <w:r>
        <w:rPr>
          <w:spacing w:val="-16"/>
        </w:rPr>
        <w:t> </w:t>
      </w:r>
      <w:r>
        <w:rPr/>
        <w:t>Normas</w:t>
      </w:r>
      <w:r>
        <w:rPr>
          <w:spacing w:val="-16"/>
        </w:rPr>
        <w:t> </w:t>
      </w:r>
      <w:r>
        <w:rPr/>
        <w:t>de</w:t>
      </w:r>
      <w:r>
        <w:rPr>
          <w:spacing w:val="-16"/>
        </w:rPr>
        <w:t> </w:t>
      </w:r>
      <w:r>
        <w:rPr/>
        <w:t>calidad</w:t>
      </w:r>
      <w:r>
        <w:rPr>
          <w:spacing w:val="-16"/>
        </w:rPr>
        <w:t> </w:t>
      </w:r>
      <w:r>
        <w:rPr/>
        <w:t>del</w:t>
      </w:r>
      <w:r>
        <w:rPr>
          <w:spacing w:val="-16"/>
        </w:rPr>
        <w:t> </w:t>
      </w:r>
      <w:r>
        <w:rPr/>
        <w:t>aire.</w:t>
      </w:r>
      <w:r>
        <w:rPr>
          <w:spacing w:val="-16"/>
        </w:rPr>
        <w:t> </w:t>
      </w:r>
      <w:r>
        <w:rPr/>
        <w:t>Secretaría del Medio Ambiente, Gobierno del Estado de </w:t>
      </w:r>
      <w:r>
        <w:rPr>
          <w:spacing w:val="5"/>
        </w:rPr>
        <w:t> </w:t>
      </w:r>
      <w:r>
        <w:rPr/>
        <w:t>México.</w:t>
      </w:r>
    </w:p>
    <w:p>
      <w:pPr>
        <w:pStyle w:val="BodyText"/>
        <w:spacing w:before="11"/>
      </w:pPr>
    </w:p>
    <w:p>
      <w:pPr>
        <w:pStyle w:val="BodyText"/>
        <w:spacing w:line="249" w:lineRule="auto"/>
        <w:ind w:left="751" w:right="128" w:hanging="624"/>
        <w:jc w:val="both"/>
      </w:pPr>
      <w:r>
        <w:rPr/>
        <w:t>Secretaría</w:t>
      </w:r>
      <w:r>
        <w:rPr>
          <w:spacing w:val="-32"/>
        </w:rPr>
        <w:t> </w:t>
      </w:r>
      <w:r>
        <w:rPr/>
        <w:t>de</w:t>
      </w:r>
      <w:r>
        <w:rPr>
          <w:spacing w:val="-32"/>
        </w:rPr>
        <w:t> </w:t>
      </w:r>
      <w:r>
        <w:rPr/>
        <w:t>Desarrollo</w:t>
      </w:r>
      <w:r>
        <w:rPr>
          <w:spacing w:val="-32"/>
        </w:rPr>
        <w:t> </w:t>
      </w:r>
      <w:r>
        <w:rPr/>
        <w:t>Agrario,</w:t>
      </w:r>
      <w:r>
        <w:rPr>
          <w:spacing w:val="-32"/>
        </w:rPr>
        <w:t> </w:t>
      </w:r>
      <w:r>
        <w:rPr/>
        <w:t>Territorial</w:t>
      </w:r>
      <w:r>
        <w:rPr>
          <w:spacing w:val="-32"/>
        </w:rPr>
        <w:t> </w:t>
      </w:r>
      <w:r>
        <w:rPr/>
        <w:t>y</w:t>
      </w:r>
      <w:r>
        <w:rPr>
          <w:spacing w:val="-32"/>
        </w:rPr>
        <w:t> </w:t>
      </w:r>
      <w:r>
        <w:rPr/>
        <w:t>Urbano</w:t>
      </w:r>
      <w:r>
        <w:rPr>
          <w:spacing w:val="-32"/>
        </w:rPr>
        <w:t> </w:t>
      </w:r>
      <w:r>
        <w:rPr/>
        <w:t>(2015).</w:t>
      </w:r>
      <w:r>
        <w:rPr>
          <w:spacing w:val="-32"/>
        </w:rPr>
        <w:t> </w:t>
      </w:r>
      <w:r>
        <w:rPr/>
        <w:t>Programas</w:t>
      </w:r>
      <w:r>
        <w:rPr>
          <w:spacing w:val="-32"/>
        </w:rPr>
        <w:t> </w:t>
      </w:r>
      <w:r>
        <w:rPr/>
        <w:t>de</w:t>
      </w:r>
      <w:r>
        <w:rPr>
          <w:spacing w:val="-32"/>
        </w:rPr>
        <w:t> </w:t>
      </w:r>
      <w:r>
        <w:rPr/>
        <w:t>Ordenamiento territorial y esquemas de reubicación de la población en zonas de riesgo y, Reordenamiento y rescate de unidades</w:t>
      </w:r>
      <w:r>
        <w:rPr>
          <w:spacing w:val="27"/>
        </w:rPr>
        <w:t> </w:t>
      </w:r>
      <w:r>
        <w:rPr/>
        <w:t>habitacionales.</w:t>
      </w:r>
    </w:p>
    <w:p>
      <w:pPr>
        <w:pStyle w:val="BodyText"/>
        <w:spacing w:before="11"/>
      </w:pPr>
    </w:p>
    <w:p>
      <w:pPr>
        <w:pStyle w:val="BodyText"/>
        <w:spacing w:line="249" w:lineRule="auto"/>
        <w:ind w:left="751" w:right="127" w:hanging="624"/>
        <w:jc w:val="both"/>
      </w:pPr>
      <w:r>
        <w:rPr/>
        <w:t>Toscana Alejandra (2006). Los paisajes del desastre, México, Tesis, Doctorado en Geografía, Facultad de Filosofía y Letras. Universidad Nacional Autónoma de México.</w:t>
      </w:r>
    </w:p>
    <w:p>
      <w:pPr>
        <w:pStyle w:val="BodyText"/>
        <w:spacing w:before="11"/>
      </w:pPr>
    </w:p>
    <w:p>
      <w:pPr>
        <w:pStyle w:val="BodyText"/>
        <w:spacing w:line="249" w:lineRule="auto"/>
        <w:ind w:left="751" w:right="128" w:hanging="624"/>
        <w:jc w:val="both"/>
      </w:pPr>
      <w:r>
        <w:rPr/>
        <w:t>Toscana Alejandra (2014). Actores sociales en la gestión local del riesgo de desastre en Valle de Chalco Solidaridad, Estado de México. En: Espacialidades, Revista de temas contemporáneos sobre lugares, política y cultura. pp  137-169.</w:t>
      </w:r>
    </w:p>
    <w:p>
      <w:pPr>
        <w:pStyle w:val="BodyText"/>
        <w:spacing w:before="11"/>
      </w:pPr>
    </w:p>
    <w:p>
      <w:pPr>
        <w:pStyle w:val="BodyText"/>
        <w:spacing w:line="249" w:lineRule="auto"/>
        <w:ind w:left="751" w:right="127" w:hanging="624"/>
        <w:jc w:val="both"/>
      </w:pPr>
      <w:r>
        <w:rPr/>
        <w:t>Tricart Jean. 1987. Algunos aspectos de las relaciones entre el hombre y los ecosistemas. En Divulgación geográfica. Instituto de Geografía, Universidad Nacional Autónoma de México. No 7.  México.</w:t>
      </w:r>
    </w:p>
    <w:p>
      <w:pPr>
        <w:pStyle w:val="BodyText"/>
        <w:spacing w:before="11"/>
      </w:pPr>
    </w:p>
    <w:p>
      <w:pPr>
        <w:pStyle w:val="BodyText"/>
        <w:ind w:left="127" w:right="151"/>
      </w:pPr>
      <w:r>
        <w:rPr/>
        <w:t>Van Gigh (1991) Teoría General de Sistemas Aplicada Ed. Trillas. México.</w:t>
      </w:r>
    </w:p>
    <w:p>
      <w:pPr>
        <w:pStyle w:val="BodyText"/>
        <w:spacing w:before="8"/>
        <w:rPr>
          <w:sz w:val="21"/>
        </w:rPr>
      </w:pPr>
    </w:p>
    <w:p>
      <w:pPr>
        <w:pStyle w:val="BodyText"/>
        <w:spacing w:line="249" w:lineRule="auto"/>
        <w:ind w:left="751" w:right="128" w:hanging="624"/>
        <w:jc w:val="both"/>
      </w:pPr>
      <w:r>
        <w:rPr/>
        <w:t>Vences Dulce (2007). Remoción en masa en el Cerro de Coatepec, Estado de México. Tesis de Licenciatura en Geografía. Universidad Autónoma del Estado de México. 156 p.</w:t>
      </w:r>
    </w:p>
    <w:p>
      <w:pPr>
        <w:spacing w:after="0" w:line="249" w:lineRule="auto"/>
        <w:jc w:val="both"/>
        <w:sectPr>
          <w:type w:val="continuous"/>
          <w:pgSz w:w="18830" w:h="12760" w:orient="landscape"/>
          <w:pgMar w:top="1420" w:bottom="280" w:left="720" w:right="720"/>
          <w:cols w:num="2" w:equalWidth="0">
            <w:col w:w="7839" w:space="1574"/>
            <w:col w:w="7977"/>
          </w:cols>
        </w:sectPr>
      </w:pPr>
    </w:p>
    <w:p>
      <w:pPr>
        <w:pStyle w:val="BodyText"/>
        <w:spacing w:before="10"/>
        <w:rPr>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7973" w:right="156" w:firstLine="174"/>
      </w:pPr>
      <w:r>
        <w:rPr/>
        <w:t>Erosión laminar como factor de vulnerabilidad territorial, antecedente local para ciudad universitaria edo. de México.</w:t>
      </w:r>
    </w:p>
    <w:p>
      <w:pPr>
        <w:pStyle w:val="BodyText"/>
        <w:spacing w:before="5"/>
        <w:rPr>
          <w:b/>
          <w:sz w:val="24"/>
        </w:rPr>
      </w:pPr>
    </w:p>
    <w:p>
      <w:pPr>
        <w:spacing w:before="1"/>
        <w:ind w:left="0" w:right="142" w:firstLine="0"/>
        <w:jc w:val="right"/>
        <w:rPr>
          <w:sz w:val="16"/>
        </w:rPr>
      </w:pPr>
      <w:r>
        <w:rPr>
          <w:sz w:val="16"/>
        </w:rPr>
        <w:t>Mtra. Rebeca Angélica Serrano Barquín</w:t>
      </w:r>
    </w:p>
    <w:p>
      <w:pPr>
        <w:spacing w:line="312" w:lineRule="auto" w:before="56"/>
        <w:ind w:left="12701" w:right="142" w:firstLine="770"/>
        <w:jc w:val="right"/>
        <w:rPr>
          <w:sz w:val="16"/>
        </w:rPr>
      </w:pPr>
      <w:r>
        <w:rPr>
          <w:sz w:val="16"/>
        </w:rPr>
        <w:t>Roque Ortega Alcántara</w:t>
      </w:r>
      <w:r>
        <w:rPr>
          <w:w w:val="99"/>
          <w:sz w:val="16"/>
        </w:rPr>
        <w:t> </w:t>
      </w:r>
      <w:r>
        <w:rPr>
          <w:sz w:val="16"/>
        </w:rPr>
        <w:t>Marcela Virginia Santana Juárez</w:t>
      </w:r>
      <w:r>
        <w:rPr>
          <w:w w:val="98"/>
          <w:sz w:val="16"/>
        </w:rPr>
        <w:t> </w:t>
      </w:r>
      <w:r>
        <w:rPr>
          <w:sz w:val="16"/>
        </w:rPr>
        <w:t>Rocío del Carmen Serrano Barquín</w:t>
      </w:r>
      <w:r>
        <w:rPr>
          <w:w w:val="99"/>
          <w:sz w:val="16"/>
        </w:rPr>
        <w:t> </w:t>
      </w:r>
      <w:r>
        <w:rPr>
          <w:sz w:val="16"/>
        </w:rPr>
        <w:t>Giovanna Santana Castañeda</w:t>
      </w:r>
      <w:r>
        <w:rPr>
          <w:w w:val="99"/>
          <w:sz w:val="16"/>
        </w:rPr>
        <w:t> </w:t>
      </w:r>
      <w:r>
        <w:rPr>
          <w:sz w:val="16"/>
        </w:rPr>
        <w:t>Facultad de Geografía</w:t>
      </w:r>
    </w:p>
    <w:p>
      <w:pPr>
        <w:spacing w:before="2"/>
        <w:ind w:left="0" w:right="142" w:firstLine="0"/>
        <w:jc w:val="right"/>
        <w:rPr>
          <w:sz w:val="16"/>
        </w:rPr>
      </w:pPr>
      <w:r>
        <w:rPr>
          <w:sz w:val="16"/>
        </w:rPr>
        <w:t>Universidad Autónoma del Estado de México</w:t>
      </w:r>
    </w:p>
    <w:p>
      <w:pPr>
        <w:spacing w:before="56"/>
        <w:ind w:left="0" w:right="142" w:firstLine="0"/>
        <w:jc w:val="right"/>
        <w:rPr>
          <w:sz w:val="16"/>
        </w:rPr>
      </w:pPr>
      <w:hyperlink r:id="rId166">
        <w:r>
          <w:rPr>
            <w:color w:val="0077CA"/>
            <w:sz w:val="16"/>
            <w:u w:val="single" w:color="0077CA"/>
          </w:rPr>
          <w:t>rebecaserrano09@gmail.com</w:t>
        </w:r>
      </w:hyperlink>
    </w:p>
    <w:p>
      <w:pPr>
        <w:pStyle w:val="BodyText"/>
        <w:spacing w:before="2"/>
        <w:rPr>
          <w:sz w:val="19"/>
        </w:rPr>
      </w:pPr>
    </w:p>
    <w:p>
      <w:pPr>
        <w:pStyle w:val="Heading1"/>
        <w:ind w:left="1632" w:right="474"/>
        <w:jc w:val="center"/>
      </w:pPr>
      <w:r>
        <w:rPr/>
        <w:t>Resumen.</w:t>
      </w:r>
    </w:p>
    <w:p>
      <w:pPr>
        <w:pStyle w:val="BodyText"/>
        <w:rPr>
          <w:b/>
          <w:sz w:val="21"/>
        </w:rPr>
      </w:pPr>
    </w:p>
    <w:p>
      <w:pPr>
        <w:pStyle w:val="BodyText"/>
        <w:spacing w:line="249" w:lineRule="auto"/>
        <w:ind w:left="7526" w:right="143" w:firstLine="170"/>
        <w:jc w:val="both"/>
      </w:pPr>
      <w:r>
        <w:rPr/>
        <w:t>En el presente trabajo se exploró la degradación del suelo a partir de los métodos: directo e indirecto: suelo erodado y potencial de pérdida de suelo, respectivamente, como</w:t>
      </w:r>
      <w:r>
        <w:rPr>
          <w:spacing w:val="-4"/>
        </w:rPr>
        <w:t> </w:t>
      </w:r>
      <w:r>
        <w:rPr/>
        <w:t>un</w:t>
      </w:r>
      <w:r>
        <w:rPr>
          <w:spacing w:val="-4"/>
        </w:rPr>
        <w:t> </w:t>
      </w:r>
      <w:r>
        <w:rPr/>
        <w:t>antecedente</w:t>
      </w:r>
      <w:r>
        <w:rPr>
          <w:spacing w:val="-4"/>
        </w:rPr>
        <w:t> </w:t>
      </w:r>
      <w:r>
        <w:rPr/>
        <w:t>para</w:t>
      </w:r>
      <w:r>
        <w:rPr>
          <w:spacing w:val="-4"/>
        </w:rPr>
        <w:t> </w:t>
      </w:r>
      <w:r>
        <w:rPr/>
        <w:t>la</w:t>
      </w:r>
      <w:r>
        <w:rPr>
          <w:spacing w:val="-4"/>
        </w:rPr>
        <w:t> </w:t>
      </w:r>
      <w:r>
        <w:rPr/>
        <w:t>investigación,</w:t>
      </w:r>
      <w:r>
        <w:rPr>
          <w:spacing w:val="-4"/>
        </w:rPr>
        <w:t> </w:t>
      </w:r>
      <w:r>
        <w:rPr/>
        <w:t>desde</w:t>
      </w:r>
      <w:r>
        <w:rPr>
          <w:spacing w:val="-4"/>
        </w:rPr>
        <w:t> </w:t>
      </w:r>
      <w:r>
        <w:rPr/>
        <w:t>lo</w:t>
      </w:r>
      <w:r>
        <w:rPr>
          <w:spacing w:val="-4"/>
        </w:rPr>
        <w:t> </w:t>
      </w:r>
      <w:r>
        <w:rPr/>
        <w:t>local</w:t>
      </w:r>
      <w:r>
        <w:rPr>
          <w:spacing w:val="-4"/>
        </w:rPr>
        <w:t> </w:t>
      </w:r>
      <w:r>
        <w:rPr/>
        <w:t>en</w:t>
      </w:r>
      <w:r>
        <w:rPr>
          <w:spacing w:val="-4"/>
        </w:rPr>
        <w:t> </w:t>
      </w:r>
      <w:r>
        <w:rPr/>
        <w:t>Ciudad</w:t>
      </w:r>
      <w:r>
        <w:rPr>
          <w:spacing w:val="-4"/>
        </w:rPr>
        <w:t> </w:t>
      </w:r>
      <w:r>
        <w:rPr/>
        <w:t>Universitaria</w:t>
      </w:r>
      <w:r>
        <w:rPr>
          <w:spacing w:val="-4"/>
        </w:rPr>
        <w:t> </w:t>
      </w:r>
      <w:r>
        <w:rPr/>
        <w:t>(CU) para seleccionar sitios y aplicar métodos en la región Mazahua del Estado de México. Al reportar resultados de mediciones de material erodado en un sitio de CU, en</w:t>
      </w:r>
      <w:r>
        <w:rPr>
          <w:spacing w:val="-26"/>
        </w:rPr>
        <w:t> </w:t>
      </w:r>
      <w:r>
        <w:rPr/>
        <w:t>Toluca, México, se identificó el paisaje intervenido antrópicamente con diferentes coberturas  de suelo. El muestreo se realizó en el mes de mayo de 2015, estacionalmente al inicio del periodo de precipitaciones. Los resultados se compararon con el método indirecto  a partir de la ecuación universal por sus siglas en inglés RUSLE, se utilizaron registros del observatorio meteorológico correspondiente a una serie de 29 años. Se encontró semejanza en los resultados mediante ambos</w:t>
      </w:r>
      <w:r>
        <w:rPr>
          <w:spacing w:val="35"/>
        </w:rPr>
        <w:t> </w:t>
      </w:r>
      <w:r>
        <w:rPr/>
        <w:t>métodos.</w:t>
      </w:r>
    </w:p>
    <w:p>
      <w:pPr>
        <w:pStyle w:val="BodyText"/>
        <w:spacing w:before="8"/>
        <w:rPr>
          <w:sz w:val="17"/>
        </w:rPr>
      </w:pPr>
    </w:p>
    <w:p>
      <w:pPr>
        <w:pStyle w:val="Heading1"/>
        <w:ind w:left="1530" w:right="474"/>
        <w:jc w:val="center"/>
      </w:pPr>
      <w:r>
        <w:rPr/>
        <w:t>Abstract.</w:t>
      </w:r>
    </w:p>
    <w:p>
      <w:pPr>
        <w:pStyle w:val="BodyText"/>
        <w:rPr>
          <w:b/>
          <w:sz w:val="21"/>
        </w:rPr>
      </w:pPr>
    </w:p>
    <w:p>
      <w:pPr>
        <w:pStyle w:val="BodyText"/>
        <w:spacing w:line="249" w:lineRule="auto"/>
        <w:ind w:left="7526" w:right="142" w:firstLine="170"/>
        <w:jc w:val="both"/>
      </w:pPr>
      <w:r>
        <w:rPr/>
        <w:pict>
          <v:group style="position:absolute;margin-left:696.401978pt;margin-top:180.68718pt;width:18.850pt;height:61.8pt;mso-position-horizontal-relative:page;mso-position-vertical-relative:paragraph;z-index:5968" coordorigin="13928,3614" coordsize="377,1236">
            <v:rect style="position:absolute;left:13928;top:3614;width:377;height:1236" filled="true" fillcolor="#c7c8ca" stroked="false">
              <v:fill type="solid"/>
            </v:rect>
            <v:shape style="position:absolute;left:13928;top:3614;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171</w:t>
                    </w:r>
                  </w:p>
                </w:txbxContent>
              </v:textbox>
              <w10:wrap type="none"/>
            </v:shape>
            <w10:wrap type="none"/>
          </v:group>
        </w:pict>
      </w:r>
      <w:r>
        <w:rPr/>
        <w:t>In the present paper soil degradation explored from methods: direct and indirect: eroded soil and potential soil loss, respectively, as a precedent for reserarch, from local to Ciudad Universitaria (CU) to select sities and implement methods in the Mazahua region of the Mexico State. In reporting results of measurements of eroded material     in a CU site in Toluca, Mexico, intervened antropically lansdcape with different </w:t>
      </w:r>
      <w:r>
        <w:rPr>
          <w:position w:val="7"/>
          <w:sz w:val="11"/>
        </w:rPr>
        <w:t>22</w:t>
      </w:r>
      <w:r>
        <w:rPr/>
        <w:t>land cover identified. Sampling was conducted in May 2015, seasonally at the beginning     of the period of rainfall. The results were compared with the indirect method base       on the universal equation by its acronym RUSLE, meteorical observatory records corresponding to a series of 29 years used. Similarity was found in the results using both</w:t>
      </w:r>
      <w:r>
        <w:rPr>
          <w:spacing w:val="36"/>
        </w:rPr>
        <w:t> </w:t>
      </w:r>
      <w:r>
        <w:rPr/>
        <w:t>methods.</w:t>
      </w:r>
    </w:p>
    <w:p>
      <w:pPr>
        <w:spacing w:after="0" w:line="249" w:lineRule="auto"/>
        <w:jc w:val="both"/>
        <w:sectPr>
          <w:headerReference w:type="default" r:id="rId164"/>
          <w:footerReference w:type="default" r:id="rId165"/>
          <w:pgSz w:w="18830" w:h="12760" w:orient="landscape"/>
          <w:pgMar w:header="482" w:footer="0" w:top="680" w:bottom="0" w:left="2720" w:right="720"/>
        </w:sectPr>
      </w:pPr>
    </w:p>
    <w:p>
      <w:pPr>
        <w:pStyle w:val="BodyText"/>
        <w:spacing w:before="8"/>
      </w:pPr>
    </w:p>
    <w:p>
      <w:pPr>
        <w:spacing w:after="0"/>
        <w:sectPr>
          <w:headerReference w:type="default" r:id="rId167"/>
          <w:footerReference w:type="default" r:id="rId168"/>
          <w:pgSz w:w="18830" w:h="12760" w:orient="landscape"/>
          <w:pgMar w:header="522" w:footer="1036" w:top="820" w:bottom="1220" w:left="720" w:right="720"/>
        </w:sectPr>
      </w:pPr>
    </w:p>
    <w:p>
      <w:pPr>
        <w:pStyle w:val="Heading1"/>
        <w:spacing w:before="71"/>
      </w:pPr>
      <w:r>
        <w:rPr/>
        <w:t>Antecedentes:</w:t>
      </w:r>
    </w:p>
    <w:p>
      <w:pPr>
        <w:pStyle w:val="BodyText"/>
        <w:rPr>
          <w:b/>
          <w:sz w:val="21"/>
        </w:rPr>
      </w:pPr>
    </w:p>
    <w:p>
      <w:pPr>
        <w:pStyle w:val="BodyText"/>
        <w:spacing w:line="249" w:lineRule="auto"/>
        <w:ind w:left="130" w:right="1" w:firstLine="170"/>
        <w:jc w:val="both"/>
      </w:pPr>
      <w:r>
        <w:rPr/>
        <w:t>Es responsabilidad y anhelo, mantener los recursos naturales y culturales, en éste trabajo nos enfocamos específicamente al suelo, ya que grandes extensiones de  tierra se erosionan. Conocer para manejar mitigar y adaptarnos nuevas condiciones, específicamente del cambio climático, inicia reconociendo la dinámica de los procesos y por ende de la vulnerabilidad del territorio. El presente es un acercamiento a la estimación</w:t>
      </w:r>
      <w:r>
        <w:rPr>
          <w:spacing w:val="-8"/>
        </w:rPr>
        <w:t> </w:t>
      </w:r>
      <w:r>
        <w:rPr/>
        <w:t>de</w:t>
      </w:r>
      <w:r>
        <w:rPr>
          <w:spacing w:val="-8"/>
        </w:rPr>
        <w:t> </w:t>
      </w:r>
      <w:r>
        <w:rPr/>
        <w:t>la</w:t>
      </w:r>
      <w:r>
        <w:rPr>
          <w:spacing w:val="-8"/>
        </w:rPr>
        <w:t> </w:t>
      </w:r>
      <w:r>
        <w:rPr/>
        <w:t>erosión</w:t>
      </w:r>
      <w:r>
        <w:rPr>
          <w:spacing w:val="-8"/>
        </w:rPr>
        <w:t> </w:t>
      </w:r>
      <w:r>
        <w:rPr/>
        <w:t>hídrica</w:t>
      </w:r>
      <w:r>
        <w:rPr>
          <w:spacing w:val="-8"/>
        </w:rPr>
        <w:t> </w:t>
      </w:r>
      <w:r>
        <w:rPr/>
        <w:t>laminar</w:t>
      </w:r>
      <w:r>
        <w:rPr>
          <w:spacing w:val="-8"/>
        </w:rPr>
        <w:t> </w:t>
      </w:r>
      <w:r>
        <w:rPr/>
        <w:t>de</w:t>
      </w:r>
      <w:r>
        <w:rPr>
          <w:spacing w:val="-8"/>
        </w:rPr>
        <w:t> </w:t>
      </w:r>
      <w:r>
        <w:rPr/>
        <w:t>Ciudad</w:t>
      </w:r>
      <w:r>
        <w:rPr>
          <w:spacing w:val="-8"/>
        </w:rPr>
        <w:t> </w:t>
      </w:r>
      <w:r>
        <w:rPr/>
        <w:t>Universitaria</w:t>
      </w:r>
      <w:r>
        <w:rPr>
          <w:spacing w:val="-8"/>
        </w:rPr>
        <w:t> </w:t>
      </w:r>
      <w:r>
        <w:rPr/>
        <w:t>(CU),</w:t>
      </w:r>
      <w:r>
        <w:rPr>
          <w:spacing w:val="-8"/>
        </w:rPr>
        <w:t> </w:t>
      </w:r>
      <w:r>
        <w:rPr/>
        <w:t>en</w:t>
      </w:r>
      <w:r>
        <w:rPr>
          <w:spacing w:val="-8"/>
        </w:rPr>
        <w:t> </w:t>
      </w:r>
      <w:r>
        <w:rPr/>
        <w:t>la</w:t>
      </w:r>
      <w:r>
        <w:rPr>
          <w:spacing w:val="-8"/>
        </w:rPr>
        <w:t> </w:t>
      </w:r>
      <w:r>
        <w:rPr/>
        <w:t>Universidad Autónoma del Estado de México, en Toluca, México. Se aplicó la ecuación RUSLE revisada de su original USLE Wischmeier y Smith (1978). La aplicación de la ecuación Universal RUSLE se presenta como un método indirecto. En el presente se seleccionó una ladera de C.U. para determina el potencial de perdida de material y como método directo se pesó la cantidad de suelo recolectado, el cual fue transportado por efecto de la lluvia a fin de contrastar los</w:t>
      </w:r>
      <w:r>
        <w:rPr>
          <w:spacing w:val="27"/>
        </w:rPr>
        <w:t> </w:t>
      </w:r>
      <w:r>
        <w:rPr/>
        <w:t>resultados.</w:t>
      </w:r>
    </w:p>
    <w:p>
      <w:pPr>
        <w:pStyle w:val="BodyText"/>
        <w:spacing w:before="11"/>
      </w:pPr>
    </w:p>
    <w:p>
      <w:pPr>
        <w:pStyle w:val="BodyText"/>
        <w:spacing w:line="249" w:lineRule="auto"/>
        <w:ind w:left="130" w:firstLine="170"/>
        <w:jc w:val="both"/>
      </w:pPr>
      <w:r>
        <w:rPr/>
        <w:t>El suelo presenta diferentes tipos de degradación, la erosión como proceso de transporte y depósito de partículas que socavan y eliminan paulatinamente </w:t>
      </w:r>
      <w:r>
        <w:rPr>
          <w:spacing w:val="2"/>
        </w:rPr>
        <w:t>las </w:t>
      </w:r>
      <w:r>
        <w:rPr/>
        <w:t>características del suelo, deja obsoleta la definición del Instituto Nacional de Ecología  y Cambio Climático (INECC, 2015)</w:t>
      </w:r>
      <w:r>
        <w:rPr>
          <w:position w:val="7"/>
          <w:sz w:val="11"/>
        </w:rPr>
        <w:t>23 </w:t>
      </w:r>
      <w:r>
        <w:rPr/>
        <w:t>que describe al suelo como la capa superficial de la tierra susceptible de sostener vegetación. Al igual que los procesos de formación   de suelo, el de degradación también es natural, sin embargo la velocidad de </w:t>
      </w:r>
      <w:r>
        <w:rPr>
          <w:spacing w:val="2"/>
        </w:rPr>
        <w:t>los </w:t>
      </w:r>
      <w:r>
        <w:rPr/>
        <w:t>procesos naturales difiere de la velocidad antrópica de degradación de </w:t>
      </w:r>
      <w:r>
        <w:rPr>
          <w:spacing w:val="2"/>
        </w:rPr>
        <w:t>manera </w:t>
      </w:r>
      <w:r>
        <w:rPr/>
        <w:t>sustantiva. Reusser, Bierman y Rood (2015), El estudio del suelo en el último siglo ha tenido un papel preponderante, donde una ecuación y su evolución han perdurado cerca de un</w:t>
      </w:r>
      <w:r>
        <w:rPr>
          <w:spacing w:val="41"/>
        </w:rPr>
        <w:t> </w:t>
      </w:r>
      <w:r>
        <w:rPr>
          <w:spacing w:val="2"/>
        </w:rPr>
        <w:t>siglo.</w:t>
      </w:r>
    </w:p>
    <w:p>
      <w:pPr>
        <w:pStyle w:val="BodyText"/>
        <w:spacing w:before="11"/>
      </w:pPr>
    </w:p>
    <w:p>
      <w:pPr>
        <w:pStyle w:val="BodyText"/>
        <w:spacing w:line="249" w:lineRule="auto"/>
        <w:ind w:left="130" w:right="1" w:firstLine="170"/>
        <w:jc w:val="both"/>
      </w:pPr>
      <w:r>
        <w:rPr/>
        <w:t>Por su parte, la Organización de Naciones Unidas (2014), publica el denominado Informe Completo del Grupo de Trabajo de la Asamblea General relativo a las Metas del Desarrollo Sostenible, donde se presentan 17 metas sustantivas. Se destaca de entre ellas la meta 15 la cual prevé: Proteger, restaurar y promover el uso sustentable de los ecosistemas terrestres, manejar los bosques, combatir la desertificación, detener y revertir la degradación del suelo y detener la perdida de la biodiversidad, particularmente</w:t>
      </w:r>
      <w:r>
        <w:rPr>
          <w:spacing w:val="-5"/>
        </w:rPr>
        <w:t> </w:t>
      </w:r>
      <w:r>
        <w:rPr/>
        <w:t>el</w:t>
      </w:r>
      <w:r>
        <w:rPr>
          <w:spacing w:val="-5"/>
        </w:rPr>
        <w:t> </w:t>
      </w:r>
      <w:r>
        <w:rPr/>
        <w:t>presente</w:t>
      </w:r>
      <w:r>
        <w:rPr>
          <w:spacing w:val="-5"/>
        </w:rPr>
        <w:t> </w:t>
      </w:r>
      <w:r>
        <w:rPr/>
        <w:t>trabajo</w:t>
      </w:r>
      <w:r>
        <w:rPr>
          <w:spacing w:val="-5"/>
        </w:rPr>
        <w:t> </w:t>
      </w:r>
      <w:r>
        <w:rPr/>
        <w:t>se</w:t>
      </w:r>
      <w:r>
        <w:rPr>
          <w:spacing w:val="-5"/>
        </w:rPr>
        <w:t> </w:t>
      </w:r>
      <w:r>
        <w:rPr/>
        <w:t>asocia</w:t>
      </w:r>
      <w:r>
        <w:rPr>
          <w:spacing w:val="-5"/>
        </w:rPr>
        <w:t> </w:t>
      </w:r>
      <w:r>
        <w:rPr/>
        <w:t>a</w:t>
      </w:r>
      <w:r>
        <w:rPr>
          <w:spacing w:val="-5"/>
        </w:rPr>
        <w:t> </w:t>
      </w:r>
      <w:r>
        <w:rPr/>
        <w:t>la</w:t>
      </w:r>
      <w:r>
        <w:rPr>
          <w:spacing w:val="-5"/>
        </w:rPr>
        <w:t> </w:t>
      </w:r>
      <w:r>
        <w:rPr/>
        <w:t>importancia</w:t>
      </w:r>
      <w:r>
        <w:rPr>
          <w:spacing w:val="-5"/>
        </w:rPr>
        <w:t> </w:t>
      </w:r>
      <w:r>
        <w:rPr/>
        <w:t>de</w:t>
      </w:r>
      <w:r>
        <w:rPr>
          <w:spacing w:val="-5"/>
        </w:rPr>
        <w:t> </w:t>
      </w:r>
      <w:r>
        <w:rPr/>
        <w:t>detener</w:t>
      </w:r>
      <w:r>
        <w:rPr>
          <w:spacing w:val="-5"/>
        </w:rPr>
        <w:t> </w:t>
      </w:r>
      <w:r>
        <w:rPr/>
        <w:t>y</w:t>
      </w:r>
      <w:r>
        <w:rPr>
          <w:spacing w:val="-5"/>
        </w:rPr>
        <w:t> </w:t>
      </w:r>
      <w:r>
        <w:rPr/>
        <w:t>combatir</w:t>
      </w:r>
      <w:r>
        <w:rPr>
          <w:spacing w:val="-5"/>
        </w:rPr>
        <w:t> </w:t>
      </w:r>
      <w:r>
        <w:rPr/>
        <w:t>los procesos de desertificación y degradación del suelo, reconociendo en primer instancia aquellos lugares donde se presenta con mayor</w:t>
      </w:r>
      <w:r>
        <w:rPr>
          <w:spacing w:val="42"/>
        </w:rPr>
        <w:t> </w:t>
      </w:r>
      <w:r>
        <w:rPr/>
        <w:t>intensidad.</w:t>
      </w:r>
    </w:p>
    <w:p>
      <w:pPr>
        <w:pStyle w:val="BodyText"/>
      </w:pPr>
    </w:p>
    <w:p>
      <w:pPr>
        <w:pStyle w:val="BodyText"/>
      </w:pPr>
    </w:p>
    <w:p>
      <w:pPr>
        <w:pStyle w:val="BodyText"/>
      </w:pPr>
    </w:p>
    <w:p>
      <w:pPr>
        <w:pStyle w:val="BodyText"/>
        <w:rPr>
          <w:sz w:val="10"/>
        </w:rPr>
      </w:pPr>
      <w:r>
        <w:rPr/>
        <w:pict>
          <v:line style="position:absolute;mso-position-horizontal-relative:page;mso-position-vertical-relative:paragraph;z-index:5992;mso-wrap-distance-left:0;mso-wrap-distance-right:0" from="41.952801pt,8.242415pt" to="427.464801pt,8.242415pt" stroked="true" strokeweight="1pt" strokecolor="#bcbec0">
            <w10:wrap type="topAndBottom"/>
          </v:line>
        </w:pict>
      </w:r>
    </w:p>
    <w:p>
      <w:pPr>
        <w:spacing w:line="278" w:lineRule="auto" w:before="86"/>
        <w:ind w:left="187" w:right="0" w:hanging="57"/>
        <w:jc w:val="both"/>
        <w:rPr>
          <w:sz w:val="18"/>
        </w:rPr>
      </w:pPr>
      <w:r>
        <w:rPr>
          <w:color w:val="6D6E71"/>
          <w:position w:val="6"/>
          <w:sz w:val="10"/>
        </w:rPr>
        <w:t>23.</w:t>
      </w:r>
      <w:r>
        <w:rPr>
          <w:color w:val="6D6E71"/>
          <w:sz w:val="18"/>
        </w:rPr>
        <w:t>La publicación del Instituto Nacional de Ecología y Cambio Climático (INECC), refiere una sencilla</w:t>
      </w:r>
      <w:r>
        <w:rPr>
          <w:color w:val="6D6E71"/>
          <w:spacing w:val="-4"/>
          <w:sz w:val="18"/>
        </w:rPr>
        <w:t> </w:t>
      </w:r>
      <w:r>
        <w:rPr>
          <w:color w:val="6D6E71"/>
          <w:sz w:val="18"/>
        </w:rPr>
        <w:t>y</w:t>
      </w:r>
      <w:r>
        <w:rPr>
          <w:color w:val="6D6E71"/>
          <w:spacing w:val="-4"/>
          <w:sz w:val="18"/>
        </w:rPr>
        <w:t> </w:t>
      </w:r>
      <w:r>
        <w:rPr>
          <w:color w:val="6D6E71"/>
          <w:sz w:val="18"/>
        </w:rPr>
        <w:t>útil</w:t>
      </w:r>
      <w:r>
        <w:rPr>
          <w:color w:val="6D6E71"/>
          <w:spacing w:val="-4"/>
          <w:sz w:val="18"/>
        </w:rPr>
        <w:t> </w:t>
      </w:r>
      <w:r>
        <w:rPr>
          <w:color w:val="6D6E71"/>
          <w:sz w:val="18"/>
        </w:rPr>
        <w:t>definición</w:t>
      </w:r>
      <w:r>
        <w:rPr>
          <w:color w:val="6D6E71"/>
          <w:spacing w:val="-4"/>
          <w:sz w:val="18"/>
        </w:rPr>
        <w:t> </w:t>
      </w:r>
      <w:r>
        <w:rPr>
          <w:color w:val="6D6E71"/>
          <w:sz w:val="18"/>
        </w:rPr>
        <w:t>de</w:t>
      </w:r>
      <w:r>
        <w:rPr>
          <w:color w:val="6D6E71"/>
          <w:spacing w:val="-4"/>
          <w:sz w:val="18"/>
        </w:rPr>
        <w:t> </w:t>
      </w:r>
      <w:r>
        <w:rPr>
          <w:color w:val="6D6E71"/>
          <w:sz w:val="18"/>
        </w:rPr>
        <w:t>suelo,</w:t>
      </w:r>
      <w:r>
        <w:rPr>
          <w:color w:val="6D6E71"/>
          <w:spacing w:val="-4"/>
          <w:sz w:val="18"/>
        </w:rPr>
        <w:t> </w:t>
      </w:r>
      <w:r>
        <w:rPr>
          <w:color w:val="6D6E71"/>
          <w:sz w:val="18"/>
        </w:rPr>
        <w:t>en</w:t>
      </w:r>
      <w:r>
        <w:rPr>
          <w:color w:val="6D6E71"/>
          <w:spacing w:val="-4"/>
          <w:sz w:val="18"/>
        </w:rPr>
        <w:t> </w:t>
      </w:r>
      <w:r>
        <w:rPr>
          <w:color w:val="6D6E71"/>
          <w:sz w:val="18"/>
        </w:rPr>
        <w:t>la</w:t>
      </w:r>
      <w:r>
        <w:rPr>
          <w:color w:val="6D6E71"/>
          <w:spacing w:val="-4"/>
          <w:sz w:val="18"/>
        </w:rPr>
        <w:t> </w:t>
      </w:r>
      <w:r>
        <w:rPr>
          <w:color w:val="6D6E71"/>
          <w:sz w:val="18"/>
        </w:rPr>
        <w:t>página</w:t>
      </w:r>
      <w:r>
        <w:rPr>
          <w:color w:val="6D6E71"/>
          <w:spacing w:val="-4"/>
          <w:sz w:val="18"/>
        </w:rPr>
        <w:t> </w:t>
      </w:r>
      <w:r>
        <w:rPr>
          <w:color w:val="6D6E71"/>
          <w:sz w:val="18"/>
        </w:rPr>
        <w:t>electrónica</w:t>
      </w:r>
      <w:r>
        <w:rPr>
          <w:color w:val="6D6E71"/>
          <w:spacing w:val="-4"/>
          <w:sz w:val="18"/>
        </w:rPr>
        <w:t> </w:t>
      </w:r>
      <w:r>
        <w:rPr>
          <w:color w:val="6D6E71"/>
          <w:sz w:val="18"/>
        </w:rPr>
        <w:t>correspondiente</w:t>
      </w:r>
      <w:r>
        <w:rPr>
          <w:color w:val="6D6E71"/>
          <w:spacing w:val="-4"/>
          <w:sz w:val="18"/>
        </w:rPr>
        <w:t> </w:t>
      </w:r>
      <w:r>
        <w:rPr>
          <w:color w:val="6D6E71"/>
          <w:sz w:val="18"/>
        </w:rPr>
        <w:t>al</w:t>
      </w:r>
      <w:r>
        <w:rPr>
          <w:color w:val="6D6E71"/>
          <w:spacing w:val="-4"/>
          <w:sz w:val="18"/>
        </w:rPr>
        <w:t> </w:t>
      </w:r>
      <w:r>
        <w:rPr>
          <w:color w:val="6D6E71"/>
          <w:sz w:val="18"/>
        </w:rPr>
        <w:t>periodo</w:t>
      </w:r>
      <w:r>
        <w:rPr>
          <w:color w:val="6D6E71"/>
          <w:spacing w:val="-4"/>
          <w:sz w:val="18"/>
        </w:rPr>
        <w:t> </w:t>
      </w:r>
      <w:r>
        <w:rPr>
          <w:color w:val="6D6E71"/>
          <w:sz w:val="18"/>
        </w:rPr>
        <w:t>cuando</w:t>
      </w:r>
      <w:r>
        <w:rPr>
          <w:color w:val="6D6E71"/>
          <w:spacing w:val="-4"/>
          <w:sz w:val="18"/>
        </w:rPr>
        <w:t> </w:t>
      </w:r>
      <w:r>
        <w:rPr>
          <w:color w:val="6D6E71"/>
          <w:sz w:val="18"/>
        </w:rPr>
        <w:t>fue denominado Instituto Nacional de</w:t>
      </w:r>
      <w:r>
        <w:rPr>
          <w:color w:val="6D6E71"/>
          <w:spacing w:val="-18"/>
          <w:sz w:val="18"/>
        </w:rPr>
        <w:t> </w:t>
      </w:r>
      <w:r>
        <w:rPr>
          <w:color w:val="6D6E71"/>
          <w:sz w:val="18"/>
        </w:rPr>
        <w:t>Ecología.</w:t>
      </w:r>
    </w:p>
    <w:p>
      <w:pPr>
        <w:pStyle w:val="BodyText"/>
        <w:spacing w:before="8"/>
        <w:rPr>
          <w:sz w:val="12"/>
        </w:rPr>
      </w:pPr>
      <w:r>
        <w:rPr/>
        <w:br w:type="column"/>
      </w:r>
      <w:r>
        <w:rPr>
          <w:sz w:val="12"/>
        </w:rPr>
      </w:r>
    </w:p>
    <w:p>
      <w:pPr>
        <w:spacing w:line="312" w:lineRule="auto" w:before="0"/>
        <w:ind w:left="3161" w:right="108" w:hanging="2826"/>
        <w:jc w:val="left"/>
        <w:rPr>
          <w:sz w:val="16"/>
        </w:rPr>
      </w:pPr>
      <w:r>
        <w:rPr>
          <w:color w:val="6D6E71"/>
          <w:sz w:val="16"/>
        </w:rPr>
        <w:t>En el cuadro No. 1 se presenta en forma sintética las metas consideradas en los trabajos de Naciones Unidas antes referidas.</w:t>
      </w:r>
    </w:p>
    <w:p>
      <w:pPr>
        <w:pStyle w:val="BodyText"/>
        <w:spacing w:before="3"/>
        <w:rPr>
          <w:sz w:val="4"/>
        </w:rPr>
      </w:pPr>
    </w:p>
    <w:tbl>
      <w:tblPr>
        <w:tblW w:w="0" w:type="auto"/>
        <w:jc w:val="left"/>
        <w:tblInd w:w="1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7"/>
        <w:gridCol w:w="6893"/>
      </w:tblGrid>
      <w:tr>
        <w:trPr>
          <w:trHeight w:val="484" w:hRule="exact"/>
        </w:trPr>
        <w:tc>
          <w:tcPr>
            <w:tcW w:w="7710" w:type="dxa"/>
            <w:gridSpan w:val="2"/>
            <w:shd w:val="clear" w:color="auto" w:fill="929292"/>
          </w:tcPr>
          <w:p>
            <w:pPr>
              <w:pStyle w:val="TableParagraph"/>
              <w:spacing w:line="333" w:lineRule="auto" w:before="21"/>
              <w:ind w:left="2364" w:right="1026" w:hanging="667"/>
              <w:rPr>
                <w:sz w:val="16"/>
              </w:rPr>
            </w:pPr>
            <w:r>
              <w:rPr>
                <w:sz w:val="16"/>
              </w:rPr>
              <w:t>Figura No. 1.- Metas propuesta por Naciones Unidas para el Desarrollo Sustentable después del 2015.</w:t>
            </w:r>
          </w:p>
        </w:tc>
      </w:tr>
      <w:tr>
        <w:trPr>
          <w:trHeight w:val="235" w:hRule="exact"/>
        </w:trPr>
        <w:tc>
          <w:tcPr>
            <w:tcW w:w="817" w:type="dxa"/>
            <w:tcBorders>
              <w:right w:val="dotted" w:sz="4" w:space="0" w:color="929292"/>
            </w:tcBorders>
          </w:tcPr>
          <w:p>
            <w:pPr>
              <w:pStyle w:val="TableParagraph"/>
              <w:tabs>
                <w:tab w:pos="270" w:val="left" w:leader="none"/>
                <w:tab w:pos="791" w:val="left" w:leader="none"/>
              </w:tabs>
              <w:spacing w:before="15"/>
              <w:ind w:left="25"/>
              <w:jc w:val="center"/>
              <w:rPr>
                <w:sz w:val="16"/>
              </w:rPr>
            </w:pPr>
            <w:r>
              <w:rPr>
                <w:w w:val="100"/>
                <w:sz w:val="16"/>
                <w:u w:val="dotted" w:color="929292"/>
              </w:rPr>
              <w:t> </w:t>
            </w:r>
            <w:r>
              <w:rPr>
                <w:sz w:val="16"/>
                <w:u w:val="dotted" w:color="929292"/>
              </w:rPr>
              <w:tab/>
              <w:t>No.</w:t>
              <w:tab/>
            </w:r>
          </w:p>
        </w:tc>
        <w:tc>
          <w:tcPr>
            <w:tcW w:w="6893" w:type="dxa"/>
            <w:vMerge w:val="restart"/>
            <w:tcBorders>
              <w:left w:val="dotted" w:sz="4" w:space="0" w:color="929292"/>
            </w:tcBorders>
          </w:tcPr>
          <w:p>
            <w:pPr>
              <w:pStyle w:val="TableParagraph"/>
              <w:tabs>
                <w:tab w:pos="3167" w:val="left" w:leader="none"/>
                <w:tab w:pos="6868" w:val="left" w:leader="none"/>
              </w:tabs>
              <w:spacing w:before="15"/>
              <w:ind w:left="24"/>
              <w:rPr>
                <w:sz w:val="16"/>
              </w:rPr>
            </w:pPr>
            <w:r>
              <w:rPr>
                <w:w w:val="100"/>
                <w:sz w:val="16"/>
                <w:u w:val="dotted" w:color="929292"/>
              </w:rPr>
              <w:t> </w:t>
            </w:r>
            <w:r>
              <w:rPr>
                <w:sz w:val="16"/>
                <w:u w:val="dotted" w:color="929292"/>
              </w:rPr>
              <w:tab/>
              <w:t>METAS</w:t>
              <w:tab/>
            </w:r>
          </w:p>
          <w:p>
            <w:pPr>
              <w:pStyle w:val="TableParagraph"/>
              <w:spacing w:line="20" w:lineRule="exact"/>
              <w:ind w:left="6878" w:right="-55"/>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272" w:val="left" w:leader="none"/>
                <w:tab w:pos="6868" w:val="left" w:leader="none"/>
              </w:tabs>
              <w:spacing w:line="312" w:lineRule="auto" w:before="36"/>
              <w:ind w:left="272" w:right="17" w:hanging="248"/>
              <w:rPr>
                <w:sz w:val="16"/>
              </w:rPr>
            </w:pPr>
            <w:r>
              <w:rPr>
                <w:w w:val="100"/>
                <w:sz w:val="16"/>
                <w:u w:val="dotted" w:color="929292"/>
              </w:rPr>
              <w:t> </w:t>
            </w:r>
            <w:r>
              <w:rPr>
                <w:sz w:val="16"/>
                <w:u w:val="dotted" w:color="929292"/>
              </w:rPr>
              <w:tab/>
            </w:r>
            <w:r>
              <w:rPr>
                <w:spacing w:val="-4"/>
                <w:sz w:val="16"/>
                <w:u w:val="dotted" w:color="929292"/>
              </w:rPr>
              <w:t>Erradicar </w:t>
            </w:r>
            <w:r>
              <w:rPr>
                <w:sz w:val="16"/>
                <w:u w:val="dotted" w:color="929292"/>
              </w:rPr>
              <w:t>la </w:t>
            </w:r>
            <w:r>
              <w:rPr>
                <w:spacing w:val="-4"/>
                <w:sz w:val="16"/>
                <w:u w:val="dotted" w:color="929292"/>
              </w:rPr>
              <w:t>pobreza </w:t>
            </w:r>
            <w:r>
              <w:rPr>
                <w:sz w:val="16"/>
                <w:u w:val="dotted" w:color="929292"/>
              </w:rPr>
              <w:t>en </w:t>
            </w:r>
            <w:r>
              <w:rPr>
                <w:spacing w:val="-4"/>
                <w:sz w:val="16"/>
                <w:u w:val="dotted" w:color="929292"/>
              </w:rPr>
              <w:t>todas </w:t>
            </w:r>
            <w:r>
              <w:rPr>
                <w:spacing w:val="-3"/>
                <w:sz w:val="16"/>
                <w:u w:val="dotted" w:color="929292"/>
              </w:rPr>
              <w:t>sus </w:t>
            </w:r>
            <w:r>
              <w:rPr>
                <w:spacing w:val="-4"/>
                <w:sz w:val="16"/>
                <w:u w:val="dotted" w:color="929292"/>
              </w:rPr>
              <w:t>formas </w:t>
            </w:r>
            <w:r>
              <w:rPr>
                <w:sz w:val="16"/>
                <w:u w:val="dotted" w:color="929292"/>
              </w:rPr>
              <w:t>en</w:t>
            </w:r>
            <w:r>
              <w:rPr>
                <w:spacing w:val="-4"/>
                <w:sz w:val="16"/>
                <w:u w:val="dotted" w:color="929292"/>
              </w:rPr>
              <w:t> </w:t>
            </w:r>
            <w:r>
              <w:rPr>
                <w:spacing w:val="-3"/>
                <w:sz w:val="16"/>
                <w:u w:val="dotted" w:color="929292"/>
              </w:rPr>
              <w:t>todo </w:t>
            </w:r>
            <w:r>
              <w:rPr>
                <w:spacing w:val="-4"/>
                <w:sz w:val="16"/>
                <w:u w:val="dotted" w:color="929292"/>
              </w:rPr>
              <w:t>lugar</w:t>
            </w:r>
            <w:r>
              <w:rPr>
                <w:w w:val="99"/>
                <w:sz w:val="16"/>
                <w:u w:val="dotted" w:color="929292"/>
              </w:rPr>
              <w:tab/>
            </w:r>
            <w:r>
              <w:rPr>
                <w:w w:val="99"/>
                <w:sz w:val="16"/>
              </w:rPr>
              <w:t> </w:t>
            </w:r>
            <w:r>
              <w:rPr>
                <w:spacing w:val="-4"/>
                <w:sz w:val="16"/>
              </w:rPr>
              <w:t>Erradicar  </w:t>
            </w:r>
            <w:r>
              <w:rPr>
                <w:sz w:val="16"/>
              </w:rPr>
              <w:t>el  </w:t>
            </w:r>
            <w:r>
              <w:rPr>
                <w:spacing w:val="-4"/>
                <w:sz w:val="16"/>
              </w:rPr>
              <w:t>hambre,  lograr  </w:t>
            </w:r>
            <w:r>
              <w:rPr>
                <w:sz w:val="16"/>
              </w:rPr>
              <w:t>la  </w:t>
            </w:r>
            <w:r>
              <w:rPr>
                <w:spacing w:val="-4"/>
                <w:sz w:val="16"/>
              </w:rPr>
              <w:t>seguridad  alimentaria  </w:t>
            </w:r>
            <w:r>
              <w:rPr>
                <w:sz w:val="16"/>
              </w:rPr>
              <w:t>y  </w:t>
            </w:r>
            <w:r>
              <w:rPr>
                <w:spacing w:val="-3"/>
                <w:sz w:val="16"/>
              </w:rPr>
              <w:t>una  </w:t>
            </w:r>
            <w:r>
              <w:rPr>
                <w:spacing w:val="-4"/>
                <w:sz w:val="16"/>
              </w:rPr>
              <w:t>mejor  nutrición  </w:t>
            </w:r>
            <w:r>
              <w:rPr>
                <w:sz w:val="16"/>
              </w:rPr>
              <w:t>y  </w:t>
            </w:r>
            <w:r>
              <w:rPr>
                <w:spacing w:val="-4"/>
                <w:sz w:val="16"/>
              </w:rPr>
              <w:t>promover </w:t>
            </w:r>
            <w:r>
              <w:rPr>
                <w:spacing w:val="25"/>
                <w:sz w:val="16"/>
              </w:rPr>
              <w:t> </w:t>
            </w:r>
            <w:r>
              <w:rPr>
                <w:spacing w:val="-4"/>
                <w:sz w:val="16"/>
              </w:rPr>
              <w:t>la</w:t>
            </w:r>
          </w:p>
          <w:p>
            <w:pPr>
              <w:pStyle w:val="TableParagraph"/>
              <w:tabs>
                <w:tab w:pos="272" w:val="left" w:leader="none"/>
                <w:tab w:pos="6868" w:val="left" w:leader="none"/>
              </w:tabs>
              <w:spacing w:before="2"/>
              <w:ind w:left="24"/>
              <w:rPr>
                <w:sz w:val="16"/>
              </w:rPr>
            </w:pPr>
            <w:r>
              <w:rPr>
                <w:w w:val="100"/>
                <w:sz w:val="16"/>
                <w:u w:val="dotted" w:color="929292"/>
              </w:rPr>
              <w:t> </w:t>
            </w:r>
            <w:r>
              <w:rPr>
                <w:sz w:val="16"/>
                <w:u w:val="dotted" w:color="929292"/>
              </w:rPr>
              <w:tab/>
            </w:r>
            <w:r>
              <w:rPr>
                <w:spacing w:val="-4"/>
                <w:sz w:val="16"/>
                <w:u w:val="dotted" w:color="929292"/>
              </w:rPr>
              <w:t>agricultura</w:t>
            </w:r>
            <w:r>
              <w:rPr>
                <w:spacing w:val="18"/>
                <w:sz w:val="16"/>
                <w:u w:val="dotted" w:color="929292"/>
              </w:rPr>
              <w:t> </w:t>
            </w:r>
            <w:r>
              <w:rPr>
                <w:spacing w:val="-4"/>
                <w:sz w:val="16"/>
                <w:u w:val="dotted" w:color="929292"/>
              </w:rPr>
              <w:t>sostenible</w:t>
              <w:tab/>
            </w:r>
          </w:p>
          <w:p>
            <w:pPr>
              <w:pStyle w:val="TableParagraph"/>
              <w:spacing w:line="20" w:lineRule="exact"/>
              <w:ind w:left="6878" w:right="-55"/>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272" w:val="left" w:leader="none"/>
                <w:tab w:pos="6868" w:val="left" w:leader="none"/>
              </w:tabs>
              <w:spacing w:line="312" w:lineRule="auto" w:before="36"/>
              <w:ind w:left="272" w:right="17" w:hanging="248"/>
              <w:rPr>
                <w:sz w:val="16"/>
              </w:rPr>
            </w:pPr>
            <w:r>
              <w:rPr>
                <w:w w:val="100"/>
                <w:sz w:val="16"/>
                <w:u w:val="dotted" w:color="929292"/>
              </w:rPr>
              <w:t> </w:t>
            </w:r>
            <w:r>
              <w:rPr>
                <w:sz w:val="16"/>
                <w:u w:val="dotted" w:color="929292"/>
              </w:rPr>
              <w:tab/>
            </w:r>
            <w:r>
              <w:rPr>
                <w:spacing w:val="-4"/>
                <w:sz w:val="16"/>
                <w:u w:val="dotted" w:color="929292"/>
              </w:rPr>
              <w:t>Asegurar </w:t>
            </w:r>
            <w:r>
              <w:rPr>
                <w:spacing w:val="-3"/>
                <w:sz w:val="16"/>
                <w:u w:val="dotted" w:color="929292"/>
              </w:rPr>
              <w:t>una vida sana </w:t>
            </w:r>
            <w:r>
              <w:rPr>
                <w:sz w:val="16"/>
                <w:u w:val="dotted" w:color="929292"/>
              </w:rPr>
              <w:t>y </w:t>
            </w:r>
            <w:r>
              <w:rPr>
                <w:spacing w:val="-4"/>
                <w:sz w:val="16"/>
                <w:u w:val="dotted" w:color="929292"/>
              </w:rPr>
              <w:t>promover </w:t>
            </w:r>
            <w:r>
              <w:rPr>
                <w:sz w:val="16"/>
                <w:u w:val="dotted" w:color="929292"/>
              </w:rPr>
              <w:t>el </w:t>
            </w:r>
            <w:r>
              <w:rPr>
                <w:spacing w:val="-4"/>
                <w:sz w:val="16"/>
                <w:u w:val="dotted" w:color="929292"/>
              </w:rPr>
              <w:t>bienestar </w:t>
            </w:r>
            <w:r>
              <w:rPr>
                <w:spacing w:val="-3"/>
                <w:sz w:val="16"/>
                <w:u w:val="dotted" w:color="929292"/>
              </w:rPr>
              <w:t>para </w:t>
            </w:r>
            <w:r>
              <w:rPr>
                <w:spacing w:val="-4"/>
                <w:sz w:val="16"/>
                <w:u w:val="dotted" w:color="929292"/>
              </w:rPr>
              <w:t>todos </w:t>
            </w:r>
            <w:r>
              <w:rPr>
                <w:sz w:val="16"/>
                <w:u w:val="dotted" w:color="929292"/>
              </w:rPr>
              <w:t>en </w:t>
            </w:r>
            <w:r>
              <w:rPr>
                <w:spacing w:val="-4"/>
                <w:sz w:val="16"/>
                <w:u w:val="dotted" w:color="929292"/>
              </w:rPr>
              <w:t>todas</w:t>
            </w:r>
            <w:r>
              <w:rPr>
                <w:spacing w:val="-17"/>
                <w:sz w:val="16"/>
                <w:u w:val="dotted" w:color="929292"/>
              </w:rPr>
              <w:t> </w:t>
            </w:r>
            <w:r>
              <w:rPr>
                <w:spacing w:val="-3"/>
                <w:sz w:val="16"/>
                <w:u w:val="dotted" w:color="929292"/>
              </w:rPr>
              <w:t>las</w:t>
            </w:r>
            <w:r>
              <w:rPr>
                <w:spacing w:val="-4"/>
                <w:sz w:val="16"/>
                <w:u w:val="dotted" w:color="929292"/>
              </w:rPr>
              <w:t> edades.</w:t>
            </w:r>
            <w:r>
              <w:rPr>
                <w:sz w:val="16"/>
                <w:u w:val="dotted" w:color="929292"/>
              </w:rPr>
              <w:tab/>
            </w:r>
            <w:r>
              <w:rPr>
                <w:sz w:val="16"/>
              </w:rPr>
              <w:t> </w:t>
            </w:r>
            <w:r>
              <w:rPr>
                <w:spacing w:val="-4"/>
                <w:sz w:val="16"/>
              </w:rPr>
              <w:t>Garantizar</w:t>
            </w:r>
            <w:r>
              <w:rPr>
                <w:spacing w:val="-17"/>
                <w:sz w:val="16"/>
              </w:rPr>
              <w:t> </w:t>
            </w:r>
            <w:r>
              <w:rPr>
                <w:spacing w:val="-3"/>
                <w:sz w:val="16"/>
              </w:rPr>
              <w:t>una</w:t>
            </w:r>
            <w:r>
              <w:rPr>
                <w:spacing w:val="-17"/>
                <w:sz w:val="16"/>
              </w:rPr>
              <w:t> </w:t>
            </w:r>
            <w:r>
              <w:rPr>
                <w:spacing w:val="-4"/>
                <w:sz w:val="16"/>
              </w:rPr>
              <w:t>educación</w:t>
            </w:r>
            <w:r>
              <w:rPr>
                <w:spacing w:val="-17"/>
                <w:sz w:val="16"/>
              </w:rPr>
              <w:t> </w:t>
            </w:r>
            <w:r>
              <w:rPr>
                <w:sz w:val="16"/>
              </w:rPr>
              <w:t>de</w:t>
            </w:r>
            <w:r>
              <w:rPr>
                <w:spacing w:val="-17"/>
                <w:sz w:val="16"/>
              </w:rPr>
              <w:t> </w:t>
            </w:r>
            <w:r>
              <w:rPr>
                <w:spacing w:val="-4"/>
                <w:sz w:val="16"/>
              </w:rPr>
              <w:t>calidad</w:t>
            </w:r>
            <w:r>
              <w:rPr>
                <w:spacing w:val="-17"/>
                <w:sz w:val="16"/>
              </w:rPr>
              <w:t> </w:t>
            </w:r>
            <w:r>
              <w:rPr>
                <w:spacing w:val="-4"/>
                <w:sz w:val="16"/>
              </w:rPr>
              <w:t>inclusiva</w:t>
            </w:r>
            <w:r>
              <w:rPr>
                <w:spacing w:val="-17"/>
                <w:sz w:val="16"/>
              </w:rPr>
              <w:t> </w:t>
            </w:r>
            <w:r>
              <w:rPr>
                <w:sz w:val="16"/>
              </w:rPr>
              <w:t>y</w:t>
            </w:r>
            <w:r>
              <w:rPr>
                <w:spacing w:val="-17"/>
                <w:sz w:val="16"/>
              </w:rPr>
              <w:t> </w:t>
            </w:r>
            <w:r>
              <w:rPr>
                <w:spacing w:val="-4"/>
                <w:sz w:val="16"/>
              </w:rPr>
              <w:t>equitativa</w:t>
            </w:r>
            <w:r>
              <w:rPr>
                <w:spacing w:val="-17"/>
                <w:sz w:val="16"/>
              </w:rPr>
              <w:t> </w:t>
            </w:r>
            <w:r>
              <w:rPr>
                <w:sz w:val="16"/>
              </w:rPr>
              <w:t>y</w:t>
            </w:r>
            <w:r>
              <w:rPr>
                <w:spacing w:val="-17"/>
                <w:sz w:val="16"/>
              </w:rPr>
              <w:t> </w:t>
            </w:r>
            <w:r>
              <w:rPr>
                <w:spacing w:val="-4"/>
                <w:sz w:val="16"/>
              </w:rPr>
              <w:t>promover</w:t>
            </w:r>
            <w:r>
              <w:rPr>
                <w:spacing w:val="-17"/>
                <w:sz w:val="16"/>
              </w:rPr>
              <w:t> </w:t>
            </w:r>
            <w:r>
              <w:rPr>
                <w:sz w:val="16"/>
              </w:rPr>
              <w:t>el</w:t>
            </w:r>
            <w:r>
              <w:rPr>
                <w:spacing w:val="-17"/>
                <w:sz w:val="16"/>
              </w:rPr>
              <w:t> </w:t>
            </w:r>
            <w:r>
              <w:rPr>
                <w:spacing w:val="-4"/>
                <w:sz w:val="16"/>
              </w:rPr>
              <w:t>aprendizaje</w:t>
            </w:r>
            <w:r>
              <w:rPr>
                <w:spacing w:val="-17"/>
                <w:sz w:val="16"/>
              </w:rPr>
              <w:t> </w:t>
            </w:r>
            <w:r>
              <w:rPr>
                <w:spacing w:val="-4"/>
                <w:sz w:val="16"/>
              </w:rPr>
              <w:t>permanente,</w:t>
            </w:r>
          </w:p>
          <w:p>
            <w:pPr>
              <w:pStyle w:val="TableParagraph"/>
              <w:tabs>
                <w:tab w:pos="272" w:val="left" w:leader="none"/>
                <w:tab w:pos="6868" w:val="left" w:leader="none"/>
              </w:tabs>
              <w:spacing w:before="2"/>
              <w:ind w:left="24"/>
              <w:rPr>
                <w:sz w:val="16"/>
              </w:rPr>
            </w:pPr>
            <w:r>
              <w:rPr>
                <w:w w:val="100"/>
                <w:sz w:val="16"/>
                <w:u w:val="dotted" w:color="929292"/>
              </w:rPr>
              <w:t> </w:t>
            </w:r>
            <w:r>
              <w:rPr>
                <w:sz w:val="16"/>
                <w:u w:val="dotted" w:color="929292"/>
              </w:rPr>
              <w:tab/>
            </w:r>
            <w:r>
              <w:rPr>
                <w:spacing w:val="-4"/>
                <w:sz w:val="16"/>
                <w:u w:val="dotted" w:color="929292"/>
              </w:rPr>
              <w:t>oportunidades  </w:t>
            </w:r>
            <w:r>
              <w:rPr>
                <w:spacing w:val="-3"/>
                <w:sz w:val="16"/>
                <w:u w:val="dotted" w:color="929292"/>
              </w:rPr>
              <w:t>para</w:t>
            </w:r>
            <w:r>
              <w:rPr>
                <w:spacing w:val="-2"/>
                <w:sz w:val="16"/>
                <w:u w:val="dotted" w:color="929292"/>
              </w:rPr>
              <w:t> </w:t>
            </w:r>
            <w:r>
              <w:rPr>
                <w:spacing w:val="-4"/>
                <w:sz w:val="16"/>
                <w:u w:val="dotted" w:color="929292"/>
              </w:rPr>
              <w:t>todos</w:t>
              <w:tab/>
            </w:r>
          </w:p>
          <w:p>
            <w:pPr>
              <w:pStyle w:val="TableParagraph"/>
              <w:spacing w:line="20" w:lineRule="exact"/>
              <w:ind w:left="6878" w:right="-55"/>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272" w:val="left" w:leader="none"/>
                <w:tab w:pos="6868" w:val="left" w:leader="none"/>
              </w:tabs>
              <w:spacing w:before="36"/>
              <w:ind w:left="24"/>
              <w:rPr>
                <w:sz w:val="16"/>
              </w:rPr>
            </w:pPr>
            <w:r>
              <w:rPr>
                <w:w w:val="100"/>
                <w:sz w:val="16"/>
                <w:u w:val="dotted" w:color="929292"/>
              </w:rPr>
              <w:t> </w:t>
            </w:r>
            <w:r>
              <w:rPr>
                <w:sz w:val="16"/>
                <w:u w:val="dotted" w:color="929292"/>
              </w:rPr>
              <w:tab/>
            </w:r>
            <w:r>
              <w:rPr>
                <w:spacing w:val="-4"/>
                <w:sz w:val="16"/>
                <w:u w:val="dotted" w:color="929292"/>
              </w:rPr>
              <w:t>Lograr</w:t>
            </w:r>
            <w:r>
              <w:rPr>
                <w:spacing w:val="-5"/>
                <w:sz w:val="16"/>
                <w:u w:val="dotted" w:color="929292"/>
              </w:rPr>
              <w:t> </w:t>
            </w:r>
            <w:r>
              <w:rPr>
                <w:sz w:val="16"/>
                <w:u w:val="dotted" w:color="929292"/>
              </w:rPr>
              <w:t>la</w:t>
            </w:r>
            <w:r>
              <w:rPr>
                <w:spacing w:val="-5"/>
                <w:sz w:val="16"/>
                <w:u w:val="dotted" w:color="929292"/>
              </w:rPr>
              <w:t> </w:t>
            </w:r>
            <w:r>
              <w:rPr>
                <w:spacing w:val="-4"/>
                <w:sz w:val="16"/>
                <w:u w:val="dotted" w:color="929292"/>
              </w:rPr>
              <w:t>igualdad</w:t>
            </w:r>
            <w:r>
              <w:rPr>
                <w:spacing w:val="-5"/>
                <w:sz w:val="16"/>
                <w:u w:val="dotted" w:color="929292"/>
              </w:rPr>
              <w:t> </w:t>
            </w:r>
            <w:r>
              <w:rPr>
                <w:sz w:val="16"/>
                <w:u w:val="dotted" w:color="929292"/>
              </w:rPr>
              <w:t>de</w:t>
            </w:r>
            <w:r>
              <w:rPr>
                <w:spacing w:val="-5"/>
                <w:sz w:val="16"/>
                <w:u w:val="dotted" w:color="929292"/>
              </w:rPr>
              <w:t> </w:t>
            </w:r>
            <w:r>
              <w:rPr>
                <w:spacing w:val="-4"/>
                <w:sz w:val="16"/>
                <w:u w:val="dotted" w:color="929292"/>
              </w:rPr>
              <w:t>género</w:t>
            </w:r>
            <w:r>
              <w:rPr>
                <w:spacing w:val="-5"/>
                <w:sz w:val="16"/>
                <w:u w:val="dotted" w:color="929292"/>
              </w:rPr>
              <w:t> </w:t>
            </w:r>
            <w:r>
              <w:rPr>
                <w:sz w:val="16"/>
                <w:u w:val="dotted" w:color="929292"/>
              </w:rPr>
              <w:t>y</w:t>
            </w:r>
            <w:r>
              <w:rPr>
                <w:spacing w:val="-5"/>
                <w:sz w:val="16"/>
                <w:u w:val="dotted" w:color="929292"/>
              </w:rPr>
              <w:t> </w:t>
            </w:r>
            <w:r>
              <w:rPr>
                <w:sz w:val="16"/>
                <w:u w:val="dotted" w:color="929292"/>
              </w:rPr>
              <w:t>el</w:t>
            </w:r>
            <w:r>
              <w:rPr>
                <w:spacing w:val="-5"/>
                <w:sz w:val="16"/>
                <w:u w:val="dotted" w:color="929292"/>
              </w:rPr>
              <w:t> </w:t>
            </w:r>
            <w:r>
              <w:rPr>
                <w:spacing w:val="-4"/>
                <w:sz w:val="16"/>
                <w:u w:val="dotted" w:color="929292"/>
              </w:rPr>
              <w:t>empoderamiento</w:t>
            </w:r>
            <w:r>
              <w:rPr>
                <w:spacing w:val="-5"/>
                <w:sz w:val="16"/>
                <w:u w:val="dotted" w:color="929292"/>
              </w:rPr>
              <w:t> </w:t>
            </w:r>
            <w:r>
              <w:rPr>
                <w:sz w:val="16"/>
                <w:u w:val="dotted" w:color="929292"/>
              </w:rPr>
              <w:t>de</w:t>
            </w:r>
            <w:r>
              <w:rPr>
                <w:spacing w:val="-5"/>
                <w:sz w:val="16"/>
                <w:u w:val="dotted" w:color="929292"/>
              </w:rPr>
              <w:t> </w:t>
            </w:r>
            <w:r>
              <w:rPr>
                <w:spacing w:val="-3"/>
                <w:sz w:val="16"/>
                <w:u w:val="dotted" w:color="929292"/>
              </w:rPr>
              <w:t>las</w:t>
            </w:r>
            <w:r>
              <w:rPr>
                <w:spacing w:val="-5"/>
                <w:sz w:val="16"/>
                <w:u w:val="dotted" w:color="929292"/>
              </w:rPr>
              <w:t> </w:t>
            </w:r>
            <w:r>
              <w:rPr>
                <w:spacing w:val="-4"/>
                <w:sz w:val="16"/>
                <w:u w:val="dotted" w:color="929292"/>
              </w:rPr>
              <w:t>mujeres</w:t>
            </w:r>
            <w:r>
              <w:rPr>
                <w:spacing w:val="-5"/>
                <w:sz w:val="16"/>
                <w:u w:val="dotted" w:color="929292"/>
              </w:rPr>
              <w:t> </w:t>
            </w:r>
            <w:r>
              <w:rPr>
                <w:sz w:val="16"/>
                <w:u w:val="dotted" w:color="929292"/>
              </w:rPr>
              <w:t>y</w:t>
            </w:r>
            <w:r>
              <w:rPr>
                <w:spacing w:val="-5"/>
                <w:sz w:val="16"/>
                <w:u w:val="dotted" w:color="929292"/>
              </w:rPr>
              <w:t> </w:t>
            </w:r>
            <w:r>
              <w:rPr>
                <w:spacing w:val="-3"/>
                <w:sz w:val="16"/>
                <w:u w:val="dotted" w:color="929292"/>
              </w:rPr>
              <w:t>las</w:t>
            </w:r>
            <w:r>
              <w:rPr>
                <w:spacing w:val="-5"/>
                <w:sz w:val="16"/>
                <w:u w:val="dotted" w:color="929292"/>
              </w:rPr>
              <w:t> </w:t>
            </w:r>
            <w:r>
              <w:rPr>
                <w:spacing w:val="-4"/>
                <w:sz w:val="16"/>
                <w:u w:val="dotted" w:color="929292"/>
              </w:rPr>
              <w:t>niñas</w:t>
              <w:tab/>
            </w:r>
          </w:p>
          <w:p>
            <w:pPr>
              <w:pStyle w:val="TableParagraph"/>
              <w:spacing w:line="20" w:lineRule="exact"/>
              <w:ind w:left="6878" w:right="-55"/>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272" w:val="left" w:leader="none"/>
                <w:tab w:pos="6868" w:val="left" w:leader="none"/>
              </w:tabs>
              <w:spacing w:before="36"/>
              <w:ind w:left="24"/>
              <w:rPr>
                <w:sz w:val="16"/>
              </w:rPr>
            </w:pPr>
            <w:r>
              <w:rPr>
                <w:w w:val="100"/>
                <w:sz w:val="16"/>
                <w:u w:val="dotted" w:color="929292"/>
              </w:rPr>
              <w:t> </w:t>
            </w:r>
            <w:r>
              <w:rPr>
                <w:sz w:val="16"/>
                <w:u w:val="dotted" w:color="929292"/>
              </w:rPr>
              <w:tab/>
            </w:r>
            <w:r>
              <w:rPr>
                <w:spacing w:val="-4"/>
                <w:sz w:val="16"/>
                <w:u w:val="dotted" w:color="929292"/>
              </w:rPr>
              <w:t>Asegurar </w:t>
            </w:r>
            <w:r>
              <w:rPr>
                <w:sz w:val="16"/>
                <w:u w:val="dotted" w:color="929292"/>
              </w:rPr>
              <w:t>la </w:t>
            </w:r>
            <w:r>
              <w:rPr>
                <w:spacing w:val="-4"/>
                <w:sz w:val="16"/>
                <w:u w:val="dotted" w:color="929292"/>
              </w:rPr>
              <w:t>disponibilidad </w:t>
            </w:r>
            <w:r>
              <w:rPr>
                <w:sz w:val="16"/>
                <w:u w:val="dotted" w:color="929292"/>
              </w:rPr>
              <w:t>y </w:t>
            </w:r>
            <w:r>
              <w:rPr>
                <w:spacing w:val="-4"/>
                <w:sz w:val="16"/>
                <w:u w:val="dotted" w:color="929292"/>
              </w:rPr>
              <w:t>gestión sustentable </w:t>
            </w:r>
            <w:r>
              <w:rPr>
                <w:spacing w:val="-3"/>
                <w:sz w:val="16"/>
                <w:u w:val="dotted" w:color="929292"/>
              </w:rPr>
              <w:t>del agua </w:t>
            </w:r>
            <w:r>
              <w:rPr>
                <w:sz w:val="16"/>
                <w:u w:val="dotted" w:color="929292"/>
              </w:rPr>
              <w:t>y </w:t>
            </w:r>
            <w:r>
              <w:rPr>
                <w:spacing w:val="-4"/>
                <w:sz w:val="16"/>
                <w:u w:val="dotted" w:color="929292"/>
              </w:rPr>
              <w:t>saneamiento </w:t>
            </w:r>
            <w:r>
              <w:rPr>
                <w:spacing w:val="-3"/>
                <w:sz w:val="16"/>
                <w:u w:val="dotted" w:color="929292"/>
              </w:rPr>
              <w:t>para</w:t>
            </w:r>
            <w:r>
              <w:rPr>
                <w:spacing w:val="24"/>
                <w:sz w:val="16"/>
                <w:u w:val="dotted" w:color="929292"/>
              </w:rPr>
              <w:t> </w:t>
            </w:r>
            <w:r>
              <w:rPr>
                <w:spacing w:val="-4"/>
                <w:sz w:val="16"/>
                <w:u w:val="dotted" w:color="929292"/>
              </w:rPr>
              <w:t>todos</w:t>
              <w:tab/>
            </w:r>
          </w:p>
          <w:p>
            <w:pPr>
              <w:pStyle w:val="TableParagraph"/>
              <w:spacing w:line="20" w:lineRule="exact"/>
              <w:ind w:left="6878" w:right="-55"/>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272" w:val="left" w:leader="none"/>
                <w:tab w:pos="6868" w:val="left" w:leader="none"/>
              </w:tabs>
              <w:spacing w:line="312" w:lineRule="auto" w:before="36"/>
              <w:ind w:left="272" w:right="17" w:hanging="248"/>
              <w:rPr>
                <w:sz w:val="16"/>
              </w:rPr>
            </w:pPr>
            <w:r>
              <w:rPr>
                <w:w w:val="100"/>
                <w:sz w:val="16"/>
                <w:u w:val="dotted" w:color="929292"/>
              </w:rPr>
              <w:t> </w:t>
            </w:r>
            <w:r>
              <w:rPr>
                <w:sz w:val="16"/>
                <w:u w:val="dotted" w:color="929292"/>
              </w:rPr>
              <w:tab/>
            </w:r>
            <w:r>
              <w:rPr>
                <w:spacing w:val="-4"/>
                <w:sz w:val="16"/>
                <w:u w:val="dotted" w:color="929292"/>
              </w:rPr>
              <w:t>Garantizar </w:t>
            </w:r>
            <w:r>
              <w:rPr>
                <w:sz w:val="16"/>
                <w:u w:val="dotted" w:color="929292"/>
              </w:rPr>
              <w:t>el </w:t>
            </w:r>
            <w:r>
              <w:rPr>
                <w:spacing w:val="-4"/>
                <w:sz w:val="16"/>
                <w:u w:val="dotted" w:color="929292"/>
              </w:rPr>
              <w:t>acceso </w:t>
            </w:r>
            <w:r>
              <w:rPr>
                <w:sz w:val="16"/>
                <w:u w:val="dotted" w:color="929292"/>
              </w:rPr>
              <w:t>a </w:t>
            </w:r>
            <w:r>
              <w:rPr>
                <w:spacing w:val="-4"/>
                <w:sz w:val="16"/>
                <w:u w:val="dotted" w:color="929292"/>
              </w:rPr>
              <w:t>energía segura, sostenible, moderna </w:t>
            </w:r>
            <w:r>
              <w:rPr>
                <w:sz w:val="16"/>
                <w:u w:val="dotted" w:color="929292"/>
              </w:rPr>
              <w:t>y </w:t>
            </w:r>
            <w:r>
              <w:rPr>
                <w:spacing w:val="-4"/>
                <w:sz w:val="16"/>
                <w:u w:val="dotted" w:color="929292"/>
              </w:rPr>
              <w:t>asequibles</w:t>
            </w:r>
            <w:r>
              <w:rPr>
                <w:spacing w:val="-12"/>
                <w:sz w:val="16"/>
                <w:u w:val="dotted" w:color="929292"/>
              </w:rPr>
              <w:t> </w:t>
            </w:r>
            <w:r>
              <w:rPr>
                <w:spacing w:val="-3"/>
                <w:sz w:val="16"/>
                <w:u w:val="dotted" w:color="929292"/>
              </w:rPr>
              <w:t>para</w:t>
            </w:r>
            <w:r>
              <w:rPr>
                <w:spacing w:val="-4"/>
                <w:sz w:val="16"/>
                <w:u w:val="dotted" w:color="929292"/>
              </w:rPr>
              <w:t> todos</w:t>
            </w:r>
            <w:r>
              <w:rPr>
                <w:sz w:val="16"/>
                <w:u w:val="dotted" w:color="929292"/>
              </w:rPr>
              <w:tab/>
            </w:r>
            <w:r>
              <w:rPr>
                <w:sz w:val="16"/>
              </w:rPr>
              <w:t> </w:t>
            </w:r>
            <w:r>
              <w:rPr>
                <w:spacing w:val="-4"/>
                <w:sz w:val="16"/>
              </w:rPr>
              <w:t>Promover  </w:t>
            </w:r>
            <w:r>
              <w:rPr>
                <w:sz w:val="16"/>
              </w:rPr>
              <w:t>el </w:t>
            </w:r>
            <w:r>
              <w:rPr>
                <w:spacing w:val="-4"/>
                <w:sz w:val="16"/>
              </w:rPr>
              <w:t>crecimiento  económico  sostenible,  pleno  </w:t>
            </w:r>
            <w:r>
              <w:rPr>
                <w:sz w:val="16"/>
              </w:rPr>
              <w:t>y </w:t>
            </w:r>
            <w:r>
              <w:rPr>
                <w:spacing w:val="-4"/>
                <w:sz w:val="16"/>
              </w:rPr>
              <w:t>productivo,  </w:t>
            </w:r>
            <w:r>
              <w:rPr>
                <w:sz w:val="16"/>
              </w:rPr>
              <w:t>y </w:t>
            </w:r>
            <w:r>
              <w:rPr>
                <w:spacing w:val="-4"/>
                <w:sz w:val="16"/>
              </w:rPr>
              <w:t>empleo  decente </w:t>
            </w:r>
            <w:r>
              <w:rPr>
                <w:spacing w:val="26"/>
                <w:sz w:val="16"/>
              </w:rPr>
              <w:t> </w:t>
            </w:r>
            <w:r>
              <w:rPr>
                <w:spacing w:val="-4"/>
                <w:sz w:val="16"/>
              </w:rPr>
              <w:t>para</w:t>
            </w:r>
          </w:p>
          <w:p>
            <w:pPr>
              <w:pStyle w:val="TableParagraph"/>
              <w:tabs>
                <w:tab w:pos="272" w:val="left" w:leader="none"/>
                <w:tab w:pos="6868" w:val="left" w:leader="none"/>
              </w:tabs>
              <w:spacing w:line="312" w:lineRule="auto" w:before="2"/>
              <w:ind w:left="272" w:right="17" w:hanging="248"/>
              <w:rPr>
                <w:sz w:val="16"/>
              </w:rPr>
            </w:pPr>
            <w:r>
              <w:rPr>
                <w:w w:val="100"/>
                <w:sz w:val="16"/>
                <w:u w:val="dotted" w:color="929292"/>
              </w:rPr>
              <w:t> </w:t>
            </w:r>
            <w:r>
              <w:rPr>
                <w:sz w:val="16"/>
                <w:u w:val="dotted" w:color="929292"/>
              </w:rPr>
              <w:tab/>
            </w:r>
            <w:r>
              <w:rPr>
                <w:spacing w:val="-4"/>
                <w:sz w:val="16"/>
                <w:u w:val="dotted" w:color="929292"/>
              </w:rPr>
              <w:t>todos</w:t>
              <w:tab/>
            </w:r>
            <w:r>
              <w:rPr>
                <w:sz w:val="16"/>
              </w:rPr>
              <w:t> </w:t>
            </w:r>
            <w:r>
              <w:rPr>
                <w:spacing w:val="-4"/>
                <w:sz w:val="16"/>
              </w:rPr>
              <w:t>Construir  infraestructura  resistente,  promover  </w:t>
            </w:r>
            <w:r>
              <w:rPr>
                <w:sz w:val="16"/>
              </w:rPr>
              <w:t>la  </w:t>
            </w:r>
            <w:r>
              <w:rPr>
                <w:spacing w:val="-4"/>
                <w:sz w:val="16"/>
              </w:rPr>
              <w:t>inclusión  </w:t>
            </w:r>
            <w:r>
              <w:rPr>
                <w:sz w:val="16"/>
              </w:rPr>
              <w:t>y  </w:t>
            </w:r>
            <w:r>
              <w:rPr>
                <w:spacing w:val="-4"/>
                <w:sz w:val="16"/>
              </w:rPr>
              <w:t>fomento  </w:t>
            </w:r>
            <w:r>
              <w:rPr>
                <w:sz w:val="16"/>
              </w:rPr>
              <w:t>a  la  </w:t>
            </w:r>
            <w:r>
              <w:rPr>
                <w:spacing w:val="20"/>
                <w:sz w:val="16"/>
              </w:rPr>
              <w:t> </w:t>
            </w:r>
            <w:r>
              <w:rPr>
                <w:spacing w:val="-4"/>
                <w:sz w:val="16"/>
              </w:rPr>
              <w:t>industrialización</w:t>
            </w:r>
          </w:p>
          <w:p>
            <w:pPr>
              <w:pStyle w:val="TableParagraph"/>
              <w:tabs>
                <w:tab w:pos="272" w:val="left" w:leader="none"/>
                <w:tab w:pos="6868" w:val="left" w:leader="none"/>
              </w:tabs>
              <w:spacing w:before="2"/>
              <w:ind w:left="24"/>
              <w:rPr>
                <w:sz w:val="16"/>
              </w:rPr>
            </w:pPr>
            <w:r>
              <w:rPr>
                <w:w w:val="100"/>
                <w:sz w:val="16"/>
                <w:u w:val="dotted" w:color="929292"/>
              </w:rPr>
              <w:t> </w:t>
            </w:r>
            <w:r>
              <w:rPr>
                <w:sz w:val="16"/>
                <w:u w:val="dotted" w:color="929292"/>
              </w:rPr>
              <w:tab/>
            </w:r>
            <w:r>
              <w:rPr>
                <w:spacing w:val="-4"/>
                <w:sz w:val="16"/>
                <w:u w:val="dotted" w:color="929292"/>
              </w:rPr>
              <w:t>sostenible</w:t>
              <w:tab/>
            </w:r>
          </w:p>
          <w:p>
            <w:pPr>
              <w:pStyle w:val="TableParagraph"/>
              <w:spacing w:line="20" w:lineRule="exact"/>
              <w:ind w:left="6878" w:right="-55"/>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272" w:val="left" w:leader="none"/>
                <w:tab w:pos="6868" w:val="left" w:leader="none"/>
              </w:tabs>
              <w:spacing w:line="312" w:lineRule="auto" w:before="36"/>
              <w:ind w:left="272" w:right="17" w:hanging="248"/>
              <w:rPr>
                <w:sz w:val="16"/>
              </w:rPr>
            </w:pPr>
            <w:r>
              <w:rPr>
                <w:w w:val="100"/>
                <w:sz w:val="16"/>
                <w:u w:val="dotted" w:color="929292"/>
              </w:rPr>
              <w:t> </w:t>
            </w:r>
            <w:r>
              <w:rPr>
                <w:sz w:val="16"/>
                <w:u w:val="dotted" w:color="929292"/>
              </w:rPr>
              <w:tab/>
            </w:r>
            <w:r>
              <w:rPr>
                <w:spacing w:val="-4"/>
                <w:sz w:val="16"/>
                <w:u w:val="dotted" w:color="929292"/>
              </w:rPr>
              <w:t>Reducir </w:t>
            </w:r>
            <w:r>
              <w:rPr>
                <w:spacing w:val="-3"/>
                <w:sz w:val="16"/>
                <w:u w:val="dotted" w:color="929292"/>
              </w:rPr>
              <w:t>las </w:t>
            </w:r>
            <w:r>
              <w:rPr>
                <w:spacing w:val="-4"/>
                <w:sz w:val="16"/>
                <w:u w:val="dotted" w:color="929292"/>
              </w:rPr>
              <w:t>inequidades </w:t>
            </w:r>
            <w:r>
              <w:rPr>
                <w:sz w:val="16"/>
                <w:u w:val="dotted" w:color="929292"/>
              </w:rPr>
              <w:t>en y </w:t>
            </w:r>
            <w:r>
              <w:rPr>
                <w:spacing w:val="-4"/>
                <w:sz w:val="16"/>
                <w:u w:val="dotted" w:color="929292"/>
              </w:rPr>
              <w:t>entre</w:t>
            </w:r>
            <w:r>
              <w:rPr>
                <w:spacing w:val="-20"/>
                <w:sz w:val="16"/>
                <w:u w:val="dotted" w:color="929292"/>
              </w:rPr>
              <w:t> </w:t>
            </w:r>
            <w:r>
              <w:rPr>
                <w:spacing w:val="-3"/>
                <w:sz w:val="16"/>
                <w:u w:val="dotted" w:color="929292"/>
              </w:rPr>
              <w:t>los</w:t>
            </w:r>
            <w:r>
              <w:rPr>
                <w:spacing w:val="-6"/>
                <w:sz w:val="16"/>
                <w:u w:val="dotted" w:color="929292"/>
              </w:rPr>
              <w:t> </w:t>
            </w:r>
            <w:r>
              <w:rPr>
                <w:spacing w:val="-4"/>
                <w:sz w:val="16"/>
                <w:u w:val="dotted" w:color="929292"/>
              </w:rPr>
              <w:t>países</w:t>
            </w:r>
            <w:r>
              <w:rPr>
                <w:sz w:val="16"/>
                <w:u w:val="dotted" w:color="929292"/>
              </w:rPr>
              <w:tab/>
            </w:r>
            <w:r>
              <w:rPr>
                <w:sz w:val="16"/>
              </w:rPr>
              <w:t> </w:t>
            </w:r>
            <w:r>
              <w:rPr>
                <w:spacing w:val="-4"/>
                <w:sz w:val="16"/>
              </w:rPr>
              <w:t>Convertir  </w:t>
            </w:r>
            <w:r>
              <w:rPr>
                <w:spacing w:val="-3"/>
                <w:sz w:val="16"/>
              </w:rPr>
              <w:t>las  </w:t>
            </w:r>
            <w:r>
              <w:rPr>
                <w:spacing w:val="-4"/>
                <w:sz w:val="16"/>
              </w:rPr>
              <w:t>ciudades  </w:t>
            </w:r>
            <w:r>
              <w:rPr>
                <w:sz w:val="16"/>
              </w:rPr>
              <w:t>y </w:t>
            </w:r>
            <w:r>
              <w:rPr>
                <w:spacing w:val="-4"/>
                <w:sz w:val="16"/>
              </w:rPr>
              <w:t>asentamientos  humanos  </w:t>
            </w:r>
            <w:r>
              <w:rPr>
                <w:sz w:val="16"/>
              </w:rPr>
              <w:t>en </w:t>
            </w:r>
            <w:r>
              <w:rPr>
                <w:spacing w:val="-4"/>
                <w:sz w:val="16"/>
              </w:rPr>
              <w:t>incluyentes,  seguros,  resistentes </w:t>
            </w:r>
            <w:r>
              <w:rPr>
                <w:spacing w:val="10"/>
                <w:sz w:val="16"/>
              </w:rPr>
              <w:t> </w:t>
            </w:r>
            <w:r>
              <w:rPr>
                <w:spacing w:val="-4"/>
                <w:sz w:val="16"/>
              </w:rPr>
              <w:t>(con</w:t>
            </w:r>
          </w:p>
          <w:p>
            <w:pPr>
              <w:pStyle w:val="TableParagraph"/>
              <w:tabs>
                <w:tab w:pos="272" w:val="left" w:leader="none"/>
                <w:tab w:pos="6868" w:val="left" w:leader="none"/>
              </w:tabs>
              <w:spacing w:before="2"/>
              <w:ind w:left="24"/>
              <w:rPr>
                <w:sz w:val="16"/>
              </w:rPr>
            </w:pPr>
            <w:r>
              <w:rPr>
                <w:w w:val="100"/>
                <w:sz w:val="16"/>
                <w:u w:val="dotted" w:color="929292"/>
              </w:rPr>
              <w:t> </w:t>
            </w:r>
            <w:r>
              <w:rPr>
                <w:sz w:val="16"/>
                <w:u w:val="dotted" w:color="929292"/>
              </w:rPr>
              <w:tab/>
            </w:r>
            <w:r>
              <w:rPr>
                <w:spacing w:val="-4"/>
                <w:sz w:val="16"/>
                <w:u w:val="dotted" w:color="929292"/>
              </w:rPr>
              <w:t>capacidad </w:t>
            </w:r>
            <w:r>
              <w:rPr>
                <w:sz w:val="16"/>
                <w:u w:val="dotted" w:color="929292"/>
              </w:rPr>
              <w:t>de </w:t>
            </w:r>
            <w:r>
              <w:rPr>
                <w:spacing w:val="-4"/>
                <w:sz w:val="16"/>
                <w:u w:val="dotted" w:color="929292"/>
              </w:rPr>
              <w:t>respuesta </w:t>
            </w:r>
            <w:r>
              <w:rPr>
                <w:sz w:val="16"/>
                <w:u w:val="dotted" w:color="929292"/>
              </w:rPr>
              <w:t>a </w:t>
            </w:r>
            <w:r>
              <w:rPr>
                <w:spacing w:val="-4"/>
                <w:sz w:val="16"/>
                <w:u w:val="dotted" w:color="929292"/>
              </w:rPr>
              <w:t>eventualidades) </w:t>
            </w:r>
            <w:r>
              <w:rPr>
                <w:sz w:val="16"/>
                <w:u w:val="dotted" w:color="929292"/>
              </w:rPr>
              <w:t>y</w:t>
            </w:r>
            <w:r>
              <w:rPr>
                <w:spacing w:val="4"/>
                <w:sz w:val="16"/>
                <w:u w:val="dotted" w:color="929292"/>
              </w:rPr>
              <w:t> </w:t>
            </w:r>
            <w:r>
              <w:rPr>
                <w:spacing w:val="-4"/>
                <w:sz w:val="16"/>
                <w:u w:val="dotted" w:color="929292"/>
              </w:rPr>
              <w:t>sostenibles</w:t>
              <w:tab/>
            </w:r>
          </w:p>
          <w:p>
            <w:pPr>
              <w:pStyle w:val="TableParagraph"/>
              <w:spacing w:line="20" w:lineRule="exact"/>
              <w:ind w:left="6878" w:right="-55"/>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272" w:val="left" w:leader="none"/>
                <w:tab w:pos="6868" w:val="left" w:leader="none"/>
              </w:tabs>
              <w:spacing w:before="36"/>
              <w:ind w:left="24"/>
              <w:rPr>
                <w:sz w:val="16"/>
              </w:rPr>
            </w:pPr>
            <w:r>
              <w:rPr>
                <w:w w:val="100"/>
                <w:sz w:val="16"/>
                <w:u w:val="dotted" w:color="929292"/>
              </w:rPr>
              <w:t> </w:t>
            </w:r>
            <w:r>
              <w:rPr>
                <w:sz w:val="16"/>
                <w:u w:val="dotted" w:color="929292"/>
              </w:rPr>
              <w:tab/>
            </w:r>
            <w:r>
              <w:rPr>
                <w:spacing w:val="-4"/>
                <w:sz w:val="16"/>
                <w:u w:val="dotted" w:color="929292"/>
              </w:rPr>
              <w:t>Asegurar patrones </w:t>
            </w:r>
            <w:r>
              <w:rPr>
                <w:sz w:val="16"/>
                <w:u w:val="dotted" w:color="929292"/>
              </w:rPr>
              <w:t>de </w:t>
            </w:r>
            <w:r>
              <w:rPr>
                <w:spacing w:val="-4"/>
                <w:sz w:val="16"/>
                <w:u w:val="dotted" w:color="929292"/>
              </w:rPr>
              <w:t>consumo </w:t>
            </w:r>
            <w:r>
              <w:rPr>
                <w:sz w:val="16"/>
                <w:u w:val="dotted" w:color="929292"/>
              </w:rPr>
              <w:t>y </w:t>
            </w:r>
            <w:r>
              <w:rPr>
                <w:spacing w:val="-4"/>
                <w:sz w:val="16"/>
                <w:u w:val="dotted" w:color="929292"/>
              </w:rPr>
              <w:t>producción </w:t>
            </w:r>
            <w:r>
              <w:rPr>
                <w:spacing w:val="3"/>
                <w:sz w:val="16"/>
                <w:u w:val="dotted" w:color="929292"/>
              </w:rPr>
              <w:t> </w:t>
            </w:r>
            <w:r>
              <w:rPr>
                <w:spacing w:val="-4"/>
                <w:sz w:val="16"/>
                <w:u w:val="dotted" w:color="929292"/>
              </w:rPr>
              <w:t>sustentable</w:t>
              <w:tab/>
            </w:r>
          </w:p>
          <w:p>
            <w:pPr>
              <w:pStyle w:val="TableParagraph"/>
              <w:spacing w:line="20" w:lineRule="exact"/>
              <w:ind w:left="6878" w:right="-55"/>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272" w:val="left" w:leader="none"/>
                <w:tab w:pos="6868" w:val="left" w:leader="none"/>
              </w:tabs>
              <w:spacing w:line="170" w:lineRule="exact" w:before="50"/>
              <w:ind w:left="272" w:right="17" w:hanging="248"/>
              <w:rPr>
                <w:sz w:val="16"/>
              </w:rPr>
            </w:pPr>
            <w:r>
              <w:rPr>
                <w:w w:val="100"/>
                <w:sz w:val="16"/>
                <w:u w:val="dotted" w:color="929292"/>
              </w:rPr>
              <w:t> </w:t>
            </w:r>
            <w:r>
              <w:rPr>
                <w:sz w:val="16"/>
                <w:u w:val="dotted" w:color="929292"/>
              </w:rPr>
              <w:tab/>
            </w:r>
            <w:r>
              <w:rPr>
                <w:spacing w:val="-4"/>
                <w:sz w:val="16"/>
                <w:u w:val="dotted" w:color="929292"/>
              </w:rPr>
              <w:t>Tomar medidas urgentes </w:t>
            </w:r>
            <w:r>
              <w:rPr>
                <w:spacing w:val="-3"/>
                <w:sz w:val="16"/>
                <w:u w:val="dotted" w:color="929292"/>
              </w:rPr>
              <w:t>para </w:t>
            </w:r>
            <w:r>
              <w:rPr>
                <w:spacing w:val="-4"/>
                <w:sz w:val="16"/>
                <w:u w:val="dotted" w:color="929292"/>
              </w:rPr>
              <w:t>combatir </w:t>
            </w:r>
            <w:r>
              <w:rPr>
                <w:sz w:val="16"/>
                <w:u w:val="dotted" w:color="929292"/>
              </w:rPr>
              <w:t>el </w:t>
            </w:r>
            <w:r>
              <w:rPr>
                <w:spacing w:val="-4"/>
                <w:sz w:val="16"/>
                <w:u w:val="dotted" w:color="929292"/>
              </w:rPr>
              <w:t>cambio climático </w:t>
            </w:r>
            <w:r>
              <w:rPr>
                <w:sz w:val="16"/>
                <w:u w:val="dotted" w:color="929292"/>
              </w:rPr>
              <w:t>y </w:t>
            </w:r>
            <w:r>
              <w:rPr>
                <w:spacing w:val="16"/>
                <w:sz w:val="16"/>
                <w:u w:val="dotted" w:color="929292"/>
              </w:rPr>
              <w:t> </w:t>
            </w:r>
            <w:r>
              <w:rPr>
                <w:spacing w:val="-3"/>
                <w:sz w:val="16"/>
                <w:u w:val="dotted" w:color="929292"/>
              </w:rPr>
              <w:t>sus</w:t>
            </w:r>
            <w:r>
              <w:rPr>
                <w:spacing w:val="3"/>
                <w:sz w:val="16"/>
                <w:u w:val="dotted" w:color="929292"/>
              </w:rPr>
              <w:t> </w:t>
            </w:r>
            <w:r>
              <w:rPr>
                <w:spacing w:val="-4"/>
                <w:sz w:val="16"/>
                <w:u w:val="dotted" w:color="929292"/>
              </w:rPr>
              <w:t>impactos</w:t>
            </w:r>
            <w:r>
              <w:rPr>
                <w:sz w:val="16"/>
                <w:u w:val="dotted" w:color="929292"/>
              </w:rPr>
              <w:tab/>
            </w:r>
            <w:r>
              <w:rPr>
                <w:sz w:val="16"/>
              </w:rPr>
              <w:t> </w:t>
            </w:r>
            <w:r>
              <w:rPr>
                <w:spacing w:val="-4"/>
                <w:sz w:val="16"/>
              </w:rPr>
              <w:t>Conservar </w:t>
            </w:r>
            <w:r>
              <w:rPr>
                <w:sz w:val="16"/>
              </w:rPr>
              <w:t>y </w:t>
            </w:r>
            <w:r>
              <w:rPr>
                <w:spacing w:val="-4"/>
                <w:sz w:val="16"/>
              </w:rPr>
              <w:t>utilizar </w:t>
            </w:r>
            <w:r>
              <w:rPr>
                <w:sz w:val="16"/>
              </w:rPr>
              <w:t>de </w:t>
            </w:r>
            <w:r>
              <w:rPr>
                <w:spacing w:val="-4"/>
                <w:sz w:val="16"/>
              </w:rPr>
              <w:t>manera sustentable </w:t>
            </w:r>
            <w:r>
              <w:rPr>
                <w:spacing w:val="-3"/>
                <w:sz w:val="16"/>
              </w:rPr>
              <w:t>los </w:t>
            </w:r>
            <w:r>
              <w:rPr>
                <w:spacing w:val="-4"/>
                <w:sz w:val="16"/>
              </w:rPr>
              <w:t>océanos, </w:t>
            </w:r>
            <w:r>
              <w:rPr>
                <w:spacing w:val="-3"/>
                <w:sz w:val="16"/>
              </w:rPr>
              <w:t>los </w:t>
            </w:r>
            <w:r>
              <w:rPr>
                <w:spacing w:val="-4"/>
                <w:sz w:val="16"/>
              </w:rPr>
              <w:t>recursos marinos </w:t>
            </w:r>
            <w:r>
              <w:rPr>
                <w:spacing w:val="-3"/>
                <w:sz w:val="16"/>
              </w:rPr>
              <w:t>para </w:t>
            </w:r>
            <w:r>
              <w:rPr>
                <w:sz w:val="16"/>
              </w:rPr>
              <w:t>el</w:t>
            </w:r>
            <w:r>
              <w:rPr>
                <w:spacing w:val="-8"/>
                <w:sz w:val="16"/>
              </w:rPr>
              <w:t> </w:t>
            </w:r>
            <w:r>
              <w:rPr>
                <w:spacing w:val="-4"/>
                <w:sz w:val="16"/>
              </w:rPr>
              <w:t>desarrollo</w:t>
            </w:r>
          </w:p>
          <w:p>
            <w:pPr>
              <w:pStyle w:val="TableParagraph"/>
              <w:tabs>
                <w:tab w:pos="272" w:val="left" w:leader="none"/>
                <w:tab w:pos="6868" w:val="left" w:leader="none"/>
              </w:tabs>
              <w:spacing w:line="170" w:lineRule="exact" w:before="30"/>
              <w:ind w:left="102" w:right="17" w:hanging="78"/>
              <w:rPr>
                <w:sz w:val="16"/>
              </w:rPr>
            </w:pPr>
            <w:r>
              <w:rPr>
                <w:w w:val="100"/>
                <w:sz w:val="16"/>
                <w:u w:val="dotted" w:color="929292"/>
              </w:rPr>
              <w:t> </w:t>
            </w:r>
            <w:r>
              <w:rPr>
                <w:sz w:val="16"/>
                <w:u w:val="dotted" w:color="929292"/>
              </w:rPr>
              <w:tab/>
              <w:tab/>
            </w:r>
            <w:r>
              <w:rPr>
                <w:spacing w:val="-4"/>
                <w:w w:val="101"/>
                <w:sz w:val="16"/>
                <w:u w:val="dotted" w:color="929292"/>
              </w:rPr>
              <w:t>sustentabl</w:t>
            </w:r>
            <w:r>
              <w:rPr>
                <w:w w:val="96"/>
                <w:sz w:val="16"/>
                <w:u w:val="dotted" w:color="929292"/>
              </w:rPr>
              <w:t>e</w:t>
            </w:r>
            <w:r>
              <w:rPr>
                <w:sz w:val="16"/>
                <w:u w:val="dotted" w:color="929292"/>
              </w:rPr>
              <w:tab/>
            </w:r>
            <w:r>
              <w:rPr>
                <w:sz w:val="16"/>
              </w:rPr>
              <w:t> </w:t>
            </w:r>
            <w:r>
              <w:rPr>
                <w:spacing w:val="-4"/>
                <w:w w:val="100"/>
                <w:sz w:val="16"/>
              </w:rPr>
              <w:t>Proteger</w:t>
            </w:r>
            <w:r>
              <w:rPr>
                <w:w w:val="100"/>
                <w:sz w:val="16"/>
              </w:rPr>
              <w:t>,</w:t>
            </w:r>
            <w:r>
              <w:rPr>
                <w:sz w:val="16"/>
              </w:rPr>
              <w:t> </w:t>
            </w:r>
            <w:r>
              <w:rPr>
                <w:spacing w:val="-20"/>
                <w:sz w:val="16"/>
              </w:rPr>
              <w:t> </w:t>
            </w:r>
            <w:r>
              <w:rPr>
                <w:spacing w:val="-4"/>
                <w:w w:val="99"/>
                <w:sz w:val="16"/>
              </w:rPr>
              <w:t>restaura</w:t>
            </w:r>
            <w:r>
              <w:rPr>
                <w:w w:val="99"/>
                <w:sz w:val="16"/>
              </w:rPr>
              <w:t>r</w:t>
            </w:r>
            <w:r>
              <w:rPr>
                <w:sz w:val="16"/>
              </w:rPr>
              <w:t> </w:t>
            </w:r>
            <w:r>
              <w:rPr>
                <w:spacing w:val="-20"/>
                <w:sz w:val="16"/>
              </w:rPr>
              <w:t> </w:t>
            </w:r>
            <w:r>
              <w:rPr>
                <w:sz w:val="16"/>
              </w:rPr>
              <w:t>y </w:t>
            </w:r>
            <w:r>
              <w:rPr>
                <w:spacing w:val="-20"/>
                <w:sz w:val="16"/>
              </w:rPr>
              <w:t> </w:t>
            </w:r>
            <w:r>
              <w:rPr>
                <w:spacing w:val="-4"/>
                <w:w w:val="101"/>
                <w:sz w:val="16"/>
              </w:rPr>
              <w:t>promove</w:t>
            </w:r>
            <w:r>
              <w:rPr>
                <w:w w:val="101"/>
                <w:sz w:val="16"/>
              </w:rPr>
              <w:t>r</w:t>
            </w:r>
            <w:r>
              <w:rPr>
                <w:sz w:val="16"/>
              </w:rPr>
              <w:t> </w:t>
            </w:r>
            <w:r>
              <w:rPr>
                <w:spacing w:val="-20"/>
                <w:sz w:val="16"/>
              </w:rPr>
              <w:t> </w:t>
            </w:r>
            <w:r>
              <w:rPr>
                <w:spacing w:val="-4"/>
                <w:w w:val="97"/>
                <w:sz w:val="16"/>
              </w:rPr>
              <w:t>e</w:t>
            </w:r>
            <w:r>
              <w:rPr>
                <w:w w:val="97"/>
                <w:sz w:val="16"/>
              </w:rPr>
              <w:t>l</w:t>
            </w:r>
            <w:r>
              <w:rPr>
                <w:sz w:val="16"/>
              </w:rPr>
              <w:t> </w:t>
            </w:r>
            <w:r>
              <w:rPr>
                <w:spacing w:val="-20"/>
                <w:sz w:val="16"/>
              </w:rPr>
              <w:t> </w:t>
            </w:r>
            <w:r>
              <w:rPr>
                <w:spacing w:val="-4"/>
                <w:w w:val="101"/>
                <w:sz w:val="16"/>
              </w:rPr>
              <w:t>us</w:t>
            </w:r>
            <w:r>
              <w:rPr>
                <w:w w:val="101"/>
                <w:sz w:val="16"/>
              </w:rPr>
              <w:t>o</w:t>
            </w:r>
            <w:r>
              <w:rPr>
                <w:sz w:val="16"/>
              </w:rPr>
              <w:t> </w:t>
            </w:r>
            <w:r>
              <w:rPr>
                <w:spacing w:val="-20"/>
                <w:sz w:val="16"/>
              </w:rPr>
              <w:t> </w:t>
            </w:r>
            <w:r>
              <w:rPr>
                <w:spacing w:val="-4"/>
                <w:w w:val="101"/>
                <w:sz w:val="16"/>
              </w:rPr>
              <w:t>sustentabl</w:t>
            </w:r>
            <w:r>
              <w:rPr>
                <w:w w:val="101"/>
                <w:sz w:val="16"/>
              </w:rPr>
              <w:t>e</w:t>
            </w:r>
            <w:r>
              <w:rPr>
                <w:sz w:val="16"/>
              </w:rPr>
              <w:t> </w:t>
            </w:r>
            <w:r>
              <w:rPr>
                <w:spacing w:val="-20"/>
                <w:sz w:val="16"/>
              </w:rPr>
              <w:t> </w:t>
            </w:r>
            <w:r>
              <w:rPr>
                <w:spacing w:val="-4"/>
                <w:w w:val="101"/>
                <w:sz w:val="16"/>
              </w:rPr>
              <w:t>d</w:t>
            </w:r>
            <w:r>
              <w:rPr>
                <w:w w:val="101"/>
                <w:sz w:val="16"/>
              </w:rPr>
              <w:t>e</w:t>
            </w:r>
            <w:r>
              <w:rPr>
                <w:sz w:val="16"/>
              </w:rPr>
              <w:t> </w:t>
            </w:r>
            <w:r>
              <w:rPr>
                <w:spacing w:val="-20"/>
                <w:sz w:val="16"/>
              </w:rPr>
              <w:t> </w:t>
            </w:r>
            <w:r>
              <w:rPr>
                <w:spacing w:val="-4"/>
                <w:w w:val="101"/>
                <w:sz w:val="16"/>
              </w:rPr>
              <w:t>lo</w:t>
            </w:r>
            <w:r>
              <w:rPr>
                <w:w w:val="101"/>
                <w:sz w:val="16"/>
              </w:rPr>
              <w:t>s</w:t>
            </w:r>
            <w:r>
              <w:rPr>
                <w:sz w:val="16"/>
              </w:rPr>
              <w:t> </w:t>
            </w:r>
            <w:r>
              <w:rPr>
                <w:spacing w:val="-20"/>
                <w:sz w:val="16"/>
              </w:rPr>
              <w:t> </w:t>
            </w:r>
            <w:r>
              <w:rPr>
                <w:spacing w:val="-4"/>
                <w:w w:val="100"/>
                <w:sz w:val="16"/>
              </w:rPr>
              <w:t>ecosistema</w:t>
            </w:r>
            <w:r>
              <w:rPr>
                <w:w w:val="100"/>
                <w:sz w:val="16"/>
              </w:rPr>
              <w:t>s</w:t>
            </w:r>
            <w:r>
              <w:rPr>
                <w:sz w:val="16"/>
              </w:rPr>
              <w:t> </w:t>
            </w:r>
            <w:r>
              <w:rPr>
                <w:spacing w:val="-20"/>
                <w:sz w:val="16"/>
              </w:rPr>
              <w:t> </w:t>
            </w:r>
            <w:r>
              <w:rPr>
                <w:spacing w:val="-4"/>
                <w:w w:val="100"/>
                <w:sz w:val="16"/>
              </w:rPr>
              <w:t>terrestres</w:t>
            </w:r>
            <w:r>
              <w:rPr>
                <w:w w:val="100"/>
                <w:sz w:val="16"/>
              </w:rPr>
              <w:t>,</w:t>
            </w:r>
            <w:r>
              <w:rPr>
                <w:sz w:val="16"/>
              </w:rPr>
              <w:t> </w:t>
            </w:r>
            <w:r>
              <w:rPr>
                <w:spacing w:val="-20"/>
                <w:sz w:val="16"/>
              </w:rPr>
              <w:t> </w:t>
            </w:r>
            <w:r>
              <w:rPr>
                <w:spacing w:val="-4"/>
                <w:w w:val="98"/>
                <w:sz w:val="16"/>
              </w:rPr>
              <w:t>maneja</w:t>
            </w:r>
            <w:r>
              <w:rPr>
                <w:w w:val="98"/>
                <w:sz w:val="16"/>
              </w:rPr>
              <w:t>r</w:t>
            </w:r>
            <w:r>
              <w:rPr>
                <w:sz w:val="16"/>
              </w:rPr>
              <w:t> </w:t>
            </w:r>
            <w:r>
              <w:rPr>
                <w:spacing w:val="-20"/>
                <w:sz w:val="16"/>
              </w:rPr>
              <w:t> </w:t>
            </w:r>
            <w:r>
              <w:rPr>
                <w:spacing w:val="-4"/>
                <w:w w:val="101"/>
                <w:sz w:val="16"/>
              </w:rPr>
              <w:t>los</w:t>
            </w:r>
          </w:p>
          <w:p>
            <w:pPr>
              <w:pStyle w:val="TableParagraph"/>
              <w:spacing w:line="261" w:lineRule="auto" w:before="16"/>
              <w:ind w:left="216"/>
              <w:rPr>
                <w:sz w:val="16"/>
              </w:rPr>
            </w:pPr>
            <w:r>
              <w:rPr>
                <w:sz w:val="16"/>
              </w:rPr>
              <w:t>bosques, combatir la desertificación, detener y revertir la degradación del suelo y detener la perdida de la biodiversidad</w:t>
            </w:r>
          </w:p>
          <w:p>
            <w:pPr>
              <w:pStyle w:val="TableParagraph"/>
              <w:tabs>
                <w:tab w:pos="6868" w:val="left" w:leader="none"/>
              </w:tabs>
              <w:spacing w:line="162" w:lineRule="exact"/>
              <w:ind w:left="24"/>
              <w:rPr>
                <w:sz w:val="20"/>
              </w:rPr>
            </w:pPr>
            <w:r>
              <w:rPr>
                <w:w w:val="100"/>
                <w:sz w:val="20"/>
                <w:u w:val="dotted" w:color="929292"/>
              </w:rPr>
              <w:t> </w:t>
            </w:r>
            <w:r>
              <w:rPr>
                <w:sz w:val="20"/>
                <w:u w:val="dotted" w:color="929292"/>
              </w:rPr>
              <w:tab/>
            </w:r>
          </w:p>
          <w:p>
            <w:pPr>
              <w:pStyle w:val="TableParagraph"/>
              <w:spacing w:line="161" w:lineRule="exact"/>
              <w:ind w:left="216" w:hanging="114"/>
              <w:rPr>
                <w:sz w:val="16"/>
              </w:rPr>
            </w:pPr>
            <w:r>
              <w:rPr>
                <w:spacing w:val="-4"/>
                <w:sz w:val="16"/>
              </w:rPr>
              <w:t>Promover sociedades pacíficas </w:t>
            </w:r>
            <w:r>
              <w:rPr>
                <w:sz w:val="16"/>
              </w:rPr>
              <w:t>e </w:t>
            </w:r>
            <w:r>
              <w:rPr>
                <w:spacing w:val="-4"/>
                <w:sz w:val="16"/>
              </w:rPr>
              <w:t>inclusivas </w:t>
            </w:r>
            <w:r>
              <w:rPr>
                <w:spacing w:val="-3"/>
                <w:sz w:val="16"/>
              </w:rPr>
              <w:t>para </w:t>
            </w:r>
            <w:r>
              <w:rPr>
                <w:sz w:val="16"/>
              </w:rPr>
              <w:t>el </w:t>
            </w:r>
            <w:r>
              <w:rPr>
                <w:spacing w:val="-4"/>
                <w:sz w:val="16"/>
              </w:rPr>
              <w:t>desarrollo sustentable, </w:t>
            </w:r>
            <w:r>
              <w:rPr>
                <w:spacing w:val="-3"/>
                <w:sz w:val="16"/>
              </w:rPr>
              <w:t>que </w:t>
            </w:r>
            <w:r>
              <w:rPr>
                <w:spacing w:val="-4"/>
                <w:sz w:val="16"/>
              </w:rPr>
              <w:t>proporcione        el</w:t>
            </w:r>
          </w:p>
          <w:p>
            <w:pPr>
              <w:pStyle w:val="TableParagraph"/>
              <w:spacing w:before="16"/>
              <w:ind w:left="150" w:right="45"/>
              <w:jc w:val="center"/>
              <w:rPr>
                <w:sz w:val="16"/>
              </w:rPr>
            </w:pPr>
            <w:r>
              <w:rPr>
                <w:sz w:val="16"/>
              </w:rPr>
              <w:t>acceso a la justicia para todos y construir, instituciones responsables e incluyentes en y todos</w:t>
            </w:r>
          </w:p>
          <w:p>
            <w:pPr>
              <w:pStyle w:val="TableParagraph"/>
              <w:tabs>
                <w:tab w:pos="6868" w:val="left" w:leader="none"/>
              </w:tabs>
              <w:spacing w:line="177" w:lineRule="exact" w:before="16"/>
              <w:ind w:left="24"/>
              <w:rPr>
                <w:sz w:val="16"/>
              </w:rPr>
            </w:pPr>
            <w:r>
              <w:rPr>
                <w:w w:val="100"/>
                <w:sz w:val="16"/>
                <w:u w:val="dotted" w:color="929292"/>
              </w:rPr>
              <w:t> </w:t>
            </w:r>
            <w:r>
              <w:rPr>
                <w:sz w:val="16"/>
                <w:u w:val="dotted" w:color="929292"/>
              </w:rPr>
              <w:t>  </w:t>
            </w:r>
            <w:r>
              <w:rPr>
                <w:spacing w:val="13"/>
                <w:sz w:val="16"/>
                <w:u w:val="dotted" w:color="929292"/>
              </w:rPr>
              <w:t> </w:t>
            </w:r>
            <w:r>
              <w:rPr>
                <w:spacing w:val="-3"/>
                <w:sz w:val="16"/>
                <w:u w:val="dotted" w:color="929292"/>
              </w:rPr>
              <w:t>los</w:t>
            </w:r>
            <w:r>
              <w:rPr>
                <w:spacing w:val="-6"/>
                <w:sz w:val="16"/>
                <w:u w:val="dotted" w:color="929292"/>
              </w:rPr>
              <w:t> </w:t>
            </w:r>
            <w:r>
              <w:rPr>
                <w:spacing w:val="-4"/>
                <w:sz w:val="16"/>
                <w:u w:val="dotted" w:color="929292"/>
              </w:rPr>
              <w:t>Niveles</w:t>
              <w:tab/>
            </w:r>
          </w:p>
          <w:p>
            <w:pPr>
              <w:pStyle w:val="TableParagraph"/>
              <w:tabs>
                <w:tab w:pos="6868" w:val="left" w:leader="none"/>
              </w:tabs>
              <w:spacing w:line="177" w:lineRule="exact"/>
              <w:ind w:left="24"/>
              <w:rPr>
                <w:sz w:val="16"/>
              </w:rPr>
            </w:pPr>
            <w:r>
              <w:rPr>
                <w:w w:val="100"/>
                <w:sz w:val="16"/>
                <w:u w:val="dotted" w:color="929292"/>
              </w:rPr>
              <w:t> </w:t>
            </w:r>
            <w:r>
              <w:rPr>
                <w:spacing w:val="-12"/>
                <w:sz w:val="16"/>
                <w:u w:val="dotted" w:color="929292"/>
              </w:rPr>
              <w:t> </w:t>
            </w:r>
            <w:r>
              <w:rPr>
                <w:spacing w:val="-4"/>
                <w:sz w:val="16"/>
                <w:u w:val="dotted" w:color="929292"/>
              </w:rPr>
              <w:t>Fortalecer </w:t>
            </w:r>
            <w:r>
              <w:rPr>
                <w:spacing w:val="-3"/>
                <w:sz w:val="16"/>
                <w:u w:val="dotted" w:color="929292"/>
              </w:rPr>
              <w:t>los </w:t>
            </w:r>
            <w:r>
              <w:rPr>
                <w:spacing w:val="-4"/>
                <w:sz w:val="16"/>
                <w:u w:val="dotted" w:color="929292"/>
              </w:rPr>
              <w:t>Medios </w:t>
            </w:r>
            <w:r>
              <w:rPr>
                <w:sz w:val="16"/>
                <w:u w:val="dotted" w:color="929292"/>
              </w:rPr>
              <w:t>de </w:t>
            </w:r>
            <w:r>
              <w:rPr>
                <w:spacing w:val="-4"/>
                <w:sz w:val="16"/>
                <w:u w:val="dotted" w:color="929292"/>
              </w:rPr>
              <w:t>ejecución </w:t>
            </w:r>
            <w:r>
              <w:rPr>
                <w:sz w:val="16"/>
                <w:u w:val="dotted" w:color="929292"/>
              </w:rPr>
              <w:t>y </w:t>
            </w:r>
            <w:r>
              <w:rPr>
                <w:spacing w:val="-4"/>
                <w:sz w:val="16"/>
                <w:u w:val="dotted" w:color="929292"/>
              </w:rPr>
              <w:t>revitalizar </w:t>
            </w:r>
            <w:r>
              <w:rPr>
                <w:sz w:val="16"/>
                <w:u w:val="dotted" w:color="929292"/>
              </w:rPr>
              <w:t>la </w:t>
            </w:r>
            <w:r>
              <w:rPr>
                <w:spacing w:val="-4"/>
                <w:sz w:val="16"/>
                <w:u w:val="dotted" w:color="929292"/>
              </w:rPr>
              <w:t>Alianza Mundial </w:t>
            </w:r>
            <w:r>
              <w:rPr>
                <w:spacing w:val="-3"/>
                <w:sz w:val="16"/>
                <w:u w:val="dotted" w:color="929292"/>
              </w:rPr>
              <w:t>para </w:t>
            </w:r>
            <w:r>
              <w:rPr>
                <w:spacing w:val="-4"/>
                <w:sz w:val="16"/>
                <w:u w:val="dotted" w:color="929292"/>
              </w:rPr>
              <w:t>Desarrollo</w:t>
            </w:r>
            <w:r>
              <w:rPr>
                <w:spacing w:val="-14"/>
                <w:sz w:val="16"/>
                <w:u w:val="dotted" w:color="929292"/>
              </w:rPr>
              <w:t> </w:t>
            </w:r>
            <w:r>
              <w:rPr>
                <w:spacing w:val="-4"/>
                <w:sz w:val="16"/>
                <w:u w:val="dotted" w:color="929292"/>
              </w:rPr>
              <w:t>Sustentable</w:t>
              <w:tab/>
            </w:r>
          </w:p>
        </w:tc>
      </w:tr>
      <w:tr>
        <w:trPr>
          <w:trHeight w:val="240" w:hRule="exact"/>
        </w:trPr>
        <w:tc>
          <w:tcPr>
            <w:tcW w:w="817" w:type="dxa"/>
            <w:tcBorders>
              <w:right w:val="dotted" w:sz="4" w:space="0" w:color="929292"/>
            </w:tcBorders>
          </w:tcPr>
          <w:p>
            <w:pPr>
              <w:pStyle w:val="TableParagraph"/>
              <w:tabs>
                <w:tab w:pos="353" w:val="left" w:leader="none"/>
                <w:tab w:pos="791" w:val="left" w:leader="none"/>
              </w:tabs>
              <w:spacing w:before="20"/>
              <w:ind w:left="25"/>
              <w:jc w:val="center"/>
              <w:rPr>
                <w:sz w:val="16"/>
              </w:rPr>
            </w:pPr>
            <w:r>
              <w:rPr>
                <w:w w:val="100"/>
                <w:sz w:val="16"/>
                <w:u w:val="dotted" w:color="929292"/>
              </w:rPr>
              <w:t> </w:t>
            </w:r>
            <w:r>
              <w:rPr>
                <w:sz w:val="16"/>
                <w:u w:val="dotted" w:color="929292"/>
              </w:rPr>
              <w:tab/>
              <w:t>1</w:t>
              <w:tab/>
            </w:r>
          </w:p>
        </w:tc>
        <w:tc>
          <w:tcPr>
            <w:tcW w:w="6893" w:type="dxa"/>
            <w:vMerge/>
            <w:tcBorders>
              <w:left w:val="dotted" w:sz="4" w:space="0" w:color="929292"/>
            </w:tcBorders>
          </w:tcPr>
          <w:p>
            <w:pPr/>
          </w:p>
        </w:tc>
      </w:tr>
      <w:tr>
        <w:trPr>
          <w:trHeight w:val="191" w:hRule="exact"/>
        </w:trPr>
        <w:tc>
          <w:tcPr>
            <w:tcW w:w="817" w:type="dxa"/>
            <w:tcBorders>
              <w:right w:val="dotted" w:sz="4" w:space="0" w:color="929292"/>
            </w:tcBorders>
          </w:tcPr>
          <w:p>
            <w:pPr>
              <w:pStyle w:val="TableParagraph"/>
              <w:spacing w:before="20"/>
              <w:ind w:left="4"/>
              <w:jc w:val="center"/>
              <w:rPr>
                <w:sz w:val="16"/>
              </w:rPr>
            </w:pPr>
            <w:r>
              <w:rPr>
                <w:w w:val="99"/>
                <w:sz w:val="16"/>
              </w:rPr>
              <w:t>2</w:t>
            </w:r>
          </w:p>
        </w:tc>
        <w:tc>
          <w:tcPr>
            <w:tcW w:w="6893" w:type="dxa"/>
            <w:vMerge/>
            <w:tcBorders>
              <w:left w:val="dotted" w:sz="4" w:space="0" w:color="929292"/>
            </w:tcBorders>
          </w:tcPr>
          <w:p>
            <w:pPr/>
          </w:p>
        </w:tc>
      </w:tr>
      <w:tr>
        <w:trPr>
          <w:trHeight w:val="260" w:hRule="exact"/>
        </w:trPr>
        <w:tc>
          <w:tcPr>
            <w:tcW w:w="817" w:type="dxa"/>
            <w:tcBorders>
              <w:right w:val="dotted" w:sz="4" w:space="0" w:color="929292"/>
            </w:tcBorders>
          </w:tcPr>
          <w:p>
            <w:pPr>
              <w:pStyle w:val="TableParagraph"/>
              <w:tabs>
                <w:tab w:pos="791" w:val="left" w:leader="none"/>
              </w:tabs>
              <w:spacing w:line="196" w:lineRule="exact"/>
              <w:ind w:left="25"/>
              <w:jc w:val="center"/>
              <w:rPr>
                <w:sz w:val="20"/>
              </w:rPr>
            </w:pPr>
            <w:r>
              <w:rPr>
                <w:w w:val="100"/>
                <w:sz w:val="20"/>
                <w:u w:val="dotted" w:color="929292"/>
              </w:rPr>
              <w:t> </w:t>
            </w:r>
            <w:r>
              <w:rPr>
                <w:sz w:val="20"/>
                <w:u w:val="dotted" w:color="929292"/>
              </w:rPr>
              <w:tab/>
            </w:r>
          </w:p>
        </w:tc>
        <w:tc>
          <w:tcPr>
            <w:tcW w:w="6893" w:type="dxa"/>
            <w:vMerge/>
            <w:tcBorders>
              <w:left w:val="dotted" w:sz="4" w:space="0" w:color="929292"/>
            </w:tcBorders>
          </w:tcPr>
          <w:p>
            <w:pPr/>
          </w:p>
        </w:tc>
      </w:tr>
      <w:tr>
        <w:trPr>
          <w:trHeight w:val="269" w:hRule="exact"/>
        </w:trPr>
        <w:tc>
          <w:tcPr>
            <w:tcW w:w="817" w:type="dxa"/>
            <w:tcBorders>
              <w:right w:val="dotted" w:sz="4" w:space="0" w:color="929292"/>
            </w:tcBorders>
          </w:tcPr>
          <w:p>
            <w:pPr>
              <w:pStyle w:val="TableParagraph"/>
              <w:spacing w:line="20" w:lineRule="exact"/>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353" w:val="left" w:leader="none"/>
                <w:tab w:pos="791" w:val="left" w:leader="none"/>
              </w:tabs>
              <w:spacing w:before="30"/>
              <w:ind w:left="25"/>
              <w:jc w:val="center"/>
              <w:rPr>
                <w:sz w:val="16"/>
              </w:rPr>
            </w:pPr>
            <w:r>
              <w:rPr>
                <w:w w:val="100"/>
                <w:sz w:val="16"/>
                <w:u w:val="dotted" w:color="929292"/>
              </w:rPr>
              <w:t> </w:t>
            </w:r>
            <w:r>
              <w:rPr>
                <w:sz w:val="16"/>
                <w:u w:val="dotted" w:color="929292"/>
              </w:rPr>
              <w:tab/>
              <w:t>3</w:t>
              <w:tab/>
            </w:r>
          </w:p>
        </w:tc>
        <w:tc>
          <w:tcPr>
            <w:tcW w:w="6893" w:type="dxa"/>
            <w:vMerge/>
            <w:tcBorders>
              <w:left w:val="dotted" w:sz="4" w:space="0" w:color="929292"/>
            </w:tcBorders>
          </w:tcPr>
          <w:p>
            <w:pPr/>
          </w:p>
        </w:tc>
      </w:tr>
      <w:tr>
        <w:trPr>
          <w:trHeight w:val="191" w:hRule="exact"/>
        </w:trPr>
        <w:tc>
          <w:tcPr>
            <w:tcW w:w="817" w:type="dxa"/>
            <w:tcBorders>
              <w:right w:val="dotted" w:sz="4" w:space="0" w:color="929292"/>
            </w:tcBorders>
          </w:tcPr>
          <w:p>
            <w:pPr>
              <w:pStyle w:val="TableParagraph"/>
              <w:spacing w:before="20"/>
              <w:ind w:left="4"/>
              <w:jc w:val="center"/>
              <w:rPr>
                <w:sz w:val="16"/>
              </w:rPr>
            </w:pPr>
            <w:r>
              <w:rPr>
                <w:w w:val="99"/>
                <w:sz w:val="16"/>
              </w:rPr>
              <w:t>4</w:t>
            </w:r>
          </w:p>
        </w:tc>
        <w:tc>
          <w:tcPr>
            <w:tcW w:w="6893" w:type="dxa"/>
            <w:vMerge/>
            <w:tcBorders>
              <w:left w:val="dotted" w:sz="4" w:space="0" w:color="929292"/>
            </w:tcBorders>
          </w:tcPr>
          <w:p>
            <w:pPr/>
          </w:p>
        </w:tc>
      </w:tr>
      <w:tr>
        <w:trPr>
          <w:trHeight w:val="260" w:hRule="exact"/>
        </w:trPr>
        <w:tc>
          <w:tcPr>
            <w:tcW w:w="817" w:type="dxa"/>
            <w:tcBorders>
              <w:right w:val="dotted" w:sz="4" w:space="0" w:color="929292"/>
            </w:tcBorders>
          </w:tcPr>
          <w:p>
            <w:pPr>
              <w:pStyle w:val="TableParagraph"/>
              <w:tabs>
                <w:tab w:pos="791" w:val="left" w:leader="none"/>
              </w:tabs>
              <w:spacing w:line="196" w:lineRule="exact"/>
              <w:ind w:left="25"/>
              <w:jc w:val="center"/>
              <w:rPr>
                <w:sz w:val="20"/>
              </w:rPr>
            </w:pPr>
            <w:r>
              <w:rPr>
                <w:w w:val="100"/>
                <w:sz w:val="20"/>
                <w:u w:val="dotted" w:color="929292"/>
              </w:rPr>
              <w:t> </w:t>
            </w:r>
            <w:r>
              <w:rPr>
                <w:sz w:val="20"/>
                <w:u w:val="dotted" w:color="929292"/>
              </w:rPr>
              <w:tab/>
            </w:r>
          </w:p>
        </w:tc>
        <w:tc>
          <w:tcPr>
            <w:tcW w:w="6893" w:type="dxa"/>
            <w:vMerge/>
            <w:tcBorders>
              <w:left w:val="dotted" w:sz="4" w:space="0" w:color="929292"/>
            </w:tcBorders>
          </w:tcPr>
          <w:p>
            <w:pPr/>
          </w:p>
        </w:tc>
      </w:tr>
      <w:tr>
        <w:trPr>
          <w:trHeight w:val="269" w:hRule="exact"/>
        </w:trPr>
        <w:tc>
          <w:tcPr>
            <w:tcW w:w="817" w:type="dxa"/>
            <w:tcBorders>
              <w:right w:val="dotted" w:sz="4" w:space="0" w:color="929292"/>
            </w:tcBorders>
          </w:tcPr>
          <w:p>
            <w:pPr>
              <w:pStyle w:val="TableParagraph"/>
              <w:spacing w:line="20" w:lineRule="exact"/>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353" w:val="left" w:leader="none"/>
                <w:tab w:pos="791" w:val="left" w:leader="none"/>
              </w:tabs>
              <w:spacing w:before="30"/>
              <w:ind w:left="25"/>
              <w:jc w:val="center"/>
              <w:rPr>
                <w:sz w:val="16"/>
              </w:rPr>
            </w:pPr>
            <w:r>
              <w:rPr>
                <w:w w:val="100"/>
                <w:sz w:val="16"/>
                <w:u w:val="dotted" w:color="929292"/>
              </w:rPr>
              <w:t> </w:t>
            </w:r>
            <w:r>
              <w:rPr>
                <w:sz w:val="16"/>
                <w:u w:val="dotted" w:color="929292"/>
              </w:rPr>
              <w:tab/>
              <w:t>5</w:t>
              <w:tab/>
            </w:r>
          </w:p>
        </w:tc>
        <w:tc>
          <w:tcPr>
            <w:tcW w:w="6893" w:type="dxa"/>
            <w:vMerge/>
            <w:tcBorders>
              <w:left w:val="dotted" w:sz="4" w:space="0" w:color="929292"/>
            </w:tcBorders>
          </w:tcPr>
          <w:p>
            <w:pPr/>
          </w:p>
        </w:tc>
      </w:tr>
      <w:tr>
        <w:trPr>
          <w:trHeight w:val="240" w:hRule="exact"/>
        </w:trPr>
        <w:tc>
          <w:tcPr>
            <w:tcW w:w="817" w:type="dxa"/>
            <w:tcBorders>
              <w:right w:val="dotted" w:sz="4" w:space="0" w:color="929292"/>
            </w:tcBorders>
          </w:tcPr>
          <w:p>
            <w:pPr>
              <w:pStyle w:val="TableParagraph"/>
              <w:tabs>
                <w:tab w:pos="353" w:val="left" w:leader="none"/>
                <w:tab w:pos="791" w:val="left" w:leader="none"/>
              </w:tabs>
              <w:spacing w:before="20"/>
              <w:ind w:left="25"/>
              <w:jc w:val="center"/>
              <w:rPr>
                <w:sz w:val="16"/>
              </w:rPr>
            </w:pPr>
            <w:r>
              <w:rPr>
                <w:w w:val="100"/>
                <w:sz w:val="16"/>
                <w:u w:val="dotted" w:color="929292"/>
              </w:rPr>
              <w:t> </w:t>
            </w:r>
            <w:r>
              <w:rPr>
                <w:sz w:val="16"/>
                <w:u w:val="dotted" w:color="929292"/>
              </w:rPr>
              <w:tab/>
              <w:t>6</w:t>
              <w:tab/>
            </w:r>
          </w:p>
        </w:tc>
        <w:tc>
          <w:tcPr>
            <w:tcW w:w="6893" w:type="dxa"/>
            <w:vMerge/>
            <w:tcBorders>
              <w:left w:val="dotted" w:sz="4" w:space="0" w:color="929292"/>
            </w:tcBorders>
          </w:tcPr>
          <w:p>
            <w:pPr/>
          </w:p>
        </w:tc>
      </w:tr>
      <w:tr>
        <w:trPr>
          <w:trHeight w:val="240" w:hRule="exact"/>
        </w:trPr>
        <w:tc>
          <w:tcPr>
            <w:tcW w:w="817" w:type="dxa"/>
            <w:tcBorders>
              <w:right w:val="dotted" w:sz="4" w:space="0" w:color="929292"/>
            </w:tcBorders>
          </w:tcPr>
          <w:p>
            <w:pPr>
              <w:pStyle w:val="TableParagraph"/>
              <w:tabs>
                <w:tab w:pos="353" w:val="left" w:leader="none"/>
                <w:tab w:pos="791" w:val="left" w:leader="none"/>
              </w:tabs>
              <w:spacing w:before="20"/>
              <w:ind w:left="25"/>
              <w:jc w:val="center"/>
              <w:rPr>
                <w:sz w:val="16"/>
              </w:rPr>
            </w:pPr>
            <w:r>
              <w:rPr>
                <w:w w:val="100"/>
                <w:sz w:val="16"/>
                <w:u w:val="dotted" w:color="929292"/>
              </w:rPr>
              <w:t> </w:t>
            </w:r>
            <w:r>
              <w:rPr>
                <w:sz w:val="16"/>
                <w:u w:val="dotted" w:color="929292"/>
              </w:rPr>
              <w:tab/>
              <w:t>7</w:t>
              <w:tab/>
            </w:r>
          </w:p>
        </w:tc>
        <w:tc>
          <w:tcPr>
            <w:tcW w:w="6893" w:type="dxa"/>
            <w:vMerge/>
            <w:tcBorders>
              <w:left w:val="dotted" w:sz="4" w:space="0" w:color="929292"/>
            </w:tcBorders>
          </w:tcPr>
          <w:p>
            <w:pPr/>
          </w:p>
        </w:tc>
      </w:tr>
      <w:tr>
        <w:trPr>
          <w:trHeight w:val="191" w:hRule="exact"/>
        </w:trPr>
        <w:tc>
          <w:tcPr>
            <w:tcW w:w="817" w:type="dxa"/>
            <w:tcBorders>
              <w:right w:val="dotted" w:sz="4" w:space="0" w:color="929292"/>
            </w:tcBorders>
          </w:tcPr>
          <w:p>
            <w:pPr>
              <w:pStyle w:val="TableParagraph"/>
              <w:spacing w:before="20"/>
              <w:ind w:left="4"/>
              <w:jc w:val="center"/>
              <w:rPr>
                <w:sz w:val="16"/>
              </w:rPr>
            </w:pPr>
            <w:r>
              <w:rPr>
                <w:w w:val="99"/>
                <w:sz w:val="16"/>
              </w:rPr>
              <w:t>8</w:t>
            </w:r>
          </w:p>
        </w:tc>
        <w:tc>
          <w:tcPr>
            <w:tcW w:w="6893" w:type="dxa"/>
            <w:vMerge/>
            <w:tcBorders>
              <w:left w:val="dotted" w:sz="4" w:space="0" w:color="929292"/>
            </w:tcBorders>
          </w:tcPr>
          <w:p>
            <w:pPr/>
          </w:p>
        </w:tc>
      </w:tr>
      <w:tr>
        <w:trPr>
          <w:trHeight w:val="260" w:hRule="exact"/>
        </w:trPr>
        <w:tc>
          <w:tcPr>
            <w:tcW w:w="817" w:type="dxa"/>
            <w:tcBorders>
              <w:right w:val="dotted" w:sz="4" w:space="0" w:color="929292"/>
            </w:tcBorders>
          </w:tcPr>
          <w:p>
            <w:pPr>
              <w:pStyle w:val="TableParagraph"/>
              <w:tabs>
                <w:tab w:pos="791" w:val="left" w:leader="none"/>
              </w:tabs>
              <w:spacing w:line="196" w:lineRule="exact"/>
              <w:ind w:left="25"/>
              <w:jc w:val="center"/>
              <w:rPr>
                <w:sz w:val="20"/>
              </w:rPr>
            </w:pPr>
            <w:r>
              <w:rPr>
                <w:w w:val="100"/>
                <w:sz w:val="20"/>
                <w:u w:val="dotted" w:color="929292"/>
              </w:rPr>
              <w:t> </w:t>
            </w:r>
            <w:r>
              <w:rPr>
                <w:sz w:val="20"/>
                <w:u w:val="dotted" w:color="929292"/>
              </w:rPr>
              <w:tab/>
            </w:r>
          </w:p>
        </w:tc>
        <w:tc>
          <w:tcPr>
            <w:tcW w:w="6893" w:type="dxa"/>
            <w:vMerge/>
            <w:tcBorders>
              <w:left w:val="dotted" w:sz="4" w:space="0" w:color="929292"/>
            </w:tcBorders>
          </w:tcPr>
          <w:p>
            <w:pPr/>
          </w:p>
        </w:tc>
      </w:tr>
      <w:tr>
        <w:trPr>
          <w:trHeight w:val="220" w:hRule="exact"/>
        </w:trPr>
        <w:tc>
          <w:tcPr>
            <w:tcW w:w="817" w:type="dxa"/>
            <w:tcBorders>
              <w:right w:val="dotted" w:sz="4" w:space="0" w:color="929292"/>
            </w:tcBorders>
          </w:tcPr>
          <w:p>
            <w:pPr>
              <w:pStyle w:val="TableParagraph"/>
              <w:spacing w:line="20" w:lineRule="exact"/>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spacing w:before="30"/>
              <w:ind w:left="4"/>
              <w:jc w:val="center"/>
              <w:rPr>
                <w:sz w:val="16"/>
              </w:rPr>
            </w:pPr>
            <w:r>
              <w:rPr>
                <w:w w:val="99"/>
                <w:sz w:val="16"/>
              </w:rPr>
              <w:t>9</w:t>
            </w:r>
          </w:p>
        </w:tc>
        <w:tc>
          <w:tcPr>
            <w:tcW w:w="6893" w:type="dxa"/>
            <w:vMerge/>
            <w:tcBorders>
              <w:left w:val="dotted" w:sz="4" w:space="0" w:color="929292"/>
            </w:tcBorders>
          </w:tcPr>
          <w:p>
            <w:pPr/>
          </w:p>
        </w:tc>
      </w:tr>
      <w:tr>
        <w:trPr>
          <w:trHeight w:val="260" w:hRule="exact"/>
        </w:trPr>
        <w:tc>
          <w:tcPr>
            <w:tcW w:w="817" w:type="dxa"/>
            <w:tcBorders>
              <w:right w:val="dotted" w:sz="4" w:space="0" w:color="929292"/>
            </w:tcBorders>
          </w:tcPr>
          <w:p>
            <w:pPr>
              <w:pStyle w:val="TableParagraph"/>
              <w:tabs>
                <w:tab w:pos="791" w:val="left" w:leader="none"/>
              </w:tabs>
              <w:spacing w:line="196" w:lineRule="exact"/>
              <w:ind w:left="25"/>
              <w:jc w:val="center"/>
              <w:rPr>
                <w:sz w:val="20"/>
              </w:rPr>
            </w:pPr>
            <w:r>
              <w:rPr>
                <w:w w:val="100"/>
                <w:sz w:val="20"/>
                <w:u w:val="dotted" w:color="929292"/>
              </w:rPr>
              <w:t> </w:t>
            </w:r>
            <w:r>
              <w:rPr>
                <w:sz w:val="20"/>
                <w:u w:val="dotted" w:color="929292"/>
              </w:rPr>
              <w:tab/>
            </w:r>
          </w:p>
        </w:tc>
        <w:tc>
          <w:tcPr>
            <w:tcW w:w="6893" w:type="dxa"/>
            <w:vMerge/>
            <w:tcBorders>
              <w:left w:val="dotted" w:sz="4" w:space="0" w:color="929292"/>
            </w:tcBorders>
          </w:tcPr>
          <w:p>
            <w:pPr/>
          </w:p>
        </w:tc>
      </w:tr>
      <w:tr>
        <w:trPr>
          <w:trHeight w:val="269" w:hRule="exact"/>
        </w:trPr>
        <w:tc>
          <w:tcPr>
            <w:tcW w:w="817" w:type="dxa"/>
            <w:tcBorders>
              <w:right w:val="dotted" w:sz="4" w:space="0" w:color="929292"/>
            </w:tcBorders>
          </w:tcPr>
          <w:p>
            <w:pPr>
              <w:pStyle w:val="TableParagraph"/>
              <w:spacing w:line="20" w:lineRule="exact"/>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309" w:val="left" w:leader="none"/>
                <w:tab w:pos="791" w:val="left" w:leader="none"/>
              </w:tabs>
              <w:spacing w:before="30"/>
              <w:ind w:left="25"/>
              <w:jc w:val="center"/>
              <w:rPr>
                <w:sz w:val="16"/>
              </w:rPr>
            </w:pPr>
            <w:r>
              <w:rPr>
                <w:w w:val="100"/>
                <w:sz w:val="16"/>
                <w:u w:val="dotted" w:color="929292"/>
              </w:rPr>
              <w:t> </w:t>
            </w:r>
            <w:r>
              <w:rPr>
                <w:sz w:val="16"/>
                <w:u w:val="dotted" w:color="929292"/>
              </w:rPr>
              <w:tab/>
              <w:t>10</w:t>
              <w:tab/>
            </w:r>
          </w:p>
        </w:tc>
        <w:tc>
          <w:tcPr>
            <w:tcW w:w="6893" w:type="dxa"/>
            <w:vMerge/>
            <w:tcBorders>
              <w:left w:val="dotted" w:sz="4" w:space="0" w:color="929292"/>
            </w:tcBorders>
          </w:tcPr>
          <w:p>
            <w:pPr/>
          </w:p>
        </w:tc>
      </w:tr>
      <w:tr>
        <w:trPr>
          <w:trHeight w:val="191" w:hRule="exact"/>
        </w:trPr>
        <w:tc>
          <w:tcPr>
            <w:tcW w:w="817" w:type="dxa"/>
            <w:tcBorders>
              <w:right w:val="dotted" w:sz="4" w:space="0" w:color="929292"/>
            </w:tcBorders>
          </w:tcPr>
          <w:p>
            <w:pPr>
              <w:pStyle w:val="TableParagraph"/>
              <w:spacing w:before="20"/>
              <w:ind w:left="4"/>
              <w:jc w:val="center"/>
              <w:rPr>
                <w:sz w:val="16"/>
              </w:rPr>
            </w:pPr>
            <w:r>
              <w:rPr>
                <w:sz w:val="16"/>
              </w:rPr>
              <w:t>11</w:t>
            </w:r>
          </w:p>
        </w:tc>
        <w:tc>
          <w:tcPr>
            <w:tcW w:w="6893" w:type="dxa"/>
            <w:vMerge/>
            <w:tcBorders>
              <w:left w:val="dotted" w:sz="4" w:space="0" w:color="929292"/>
            </w:tcBorders>
          </w:tcPr>
          <w:p>
            <w:pPr/>
          </w:p>
        </w:tc>
      </w:tr>
      <w:tr>
        <w:trPr>
          <w:trHeight w:val="260" w:hRule="exact"/>
        </w:trPr>
        <w:tc>
          <w:tcPr>
            <w:tcW w:w="817" w:type="dxa"/>
            <w:tcBorders>
              <w:right w:val="dotted" w:sz="4" w:space="0" w:color="929292"/>
            </w:tcBorders>
          </w:tcPr>
          <w:p>
            <w:pPr>
              <w:pStyle w:val="TableParagraph"/>
              <w:tabs>
                <w:tab w:pos="791" w:val="left" w:leader="none"/>
              </w:tabs>
              <w:spacing w:line="196" w:lineRule="exact"/>
              <w:ind w:left="25"/>
              <w:jc w:val="center"/>
              <w:rPr>
                <w:sz w:val="20"/>
              </w:rPr>
            </w:pPr>
            <w:r>
              <w:rPr>
                <w:w w:val="100"/>
                <w:sz w:val="20"/>
                <w:u w:val="dotted" w:color="929292"/>
              </w:rPr>
              <w:t> </w:t>
            </w:r>
            <w:r>
              <w:rPr>
                <w:sz w:val="20"/>
                <w:u w:val="dotted" w:color="929292"/>
              </w:rPr>
              <w:tab/>
            </w:r>
          </w:p>
        </w:tc>
        <w:tc>
          <w:tcPr>
            <w:tcW w:w="6893" w:type="dxa"/>
            <w:vMerge/>
            <w:tcBorders>
              <w:left w:val="dotted" w:sz="4" w:space="0" w:color="929292"/>
            </w:tcBorders>
          </w:tcPr>
          <w:p>
            <w:pPr/>
          </w:p>
        </w:tc>
      </w:tr>
      <w:tr>
        <w:trPr>
          <w:trHeight w:val="269" w:hRule="exact"/>
        </w:trPr>
        <w:tc>
          <w:tcPr>
            <w:tcW w:w="817" w:type="dxa"/>
            <w:tcBorders>
              <w:right w:val="dotted" w:sz="4" w:space="0" w:color="929292"/>
            </w:tcBorders>
          </w:tcPr>
          <w:p>
            <w:pPr>
              <w:pStyle w:val="TableParagraph"/>
              <w:spacing w:line="20" w:lineRule="exact"/>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309" w:val="left" w:leader="none"/>
                <w:tab w:pos="791" w:val="left" w:leader="none"/>
              </w:tabs>
              <w:spacing w:before="30"/>
              <w:ind w:left="25"/>
              <w:jc w:val="center"/>
              <w:rPr>
                <w:sz w:val="16"/>
              </w:rPr>
            </w:pPr>
            <w:r>
              <w:rPr>
                <w:w w:val="100"/>
                <w:sz w:val="16"/>
                <w:u w:val="dotted" w:color="929292"/>
              </w:rPr>
              <w:t> </w:t>
            </w:r>
            <w:r>
              <w:rPr>
                <w:sz w:val="16"/>
                <w:u w:val="dotted" w:color="929292"/>
              </w:rPr>
              <w:tab/>
              <w:t>12</w:t>
              <w:tab/>
            </w:r>
          </w:p>
        </w:tc>
        <w:tc>
          <w:tcPr>
            <w:tcW w:w="6893" w:type="dxa"/>
            <w:vMerge/>
            <w:tcBorders>
              <w:left w:val="dotted" w:sz="4" w:space="0" w:color="929292"/>
            </w:tcBorders>
          </w:tcPr>
          <w:p>
            <w:pPr/>
          </w:p>
        </w:tc>
      </w:tr>
      <w:tr>
        <w:trPr>
          <w:trHeight w:val="205" w:hRule="exact"/>
        </w:trPr>
        <w:tc>
          <w:tcPr>
            <w:tcW w:w="817" w:type="dxa"/>
            <w:tcBorders>
              <w:right w:val="dotted" w:sz="4" w:space="0" w:color="929292"/>
            </w:tcBorders>
          </w:tcPr>
          <w:p>
            <w:pPr>
              <w:pStyle w:val="TableParagraph"/>
              <w:tabs>
                <w:tab w:pos="309" w:val="left" w:leader="none"/>
                <w:tab w:pos="791" w:val="left" w:leader="none"/>
              </w:tabs>
              <w:spacing w:before="20"/>
              <w:ind w:left="25"/>
              <w:jc w:val="center"/>
              <w:rPr>
                <w:sz w:val="16"/>
              </w:rPr>
            </w:pPr>
            <w:r>
              <w:rPr>
                <w:w w:val="100"/>
                <w:sz w:val="16"/>
                <w:u w:val="dotted" w:color="929292"/>
              </w:rPr>
              <w:t> </w:t>
            </w:r>
            <w:r>
              <w:rPr>
                <w:sz w:val="16"/>
                <w:u w:val="dotted" w:color="929292"/>
              </w:rPr>
              <w:tab/>
              <w:t>13</w:t>
              <w:tab/>
            </w:r>
          </w:p>
        </w:tc>
        <w:tc>
          <w:tcPr>
            <w:tcW w:w="6893" w:type="dxa"/>
            <w:vMerge/>
            <w:tcBorders>
              <w:left w:val="dotted" w:sz="4" w:space="0" w:color="929292"/>
            </w:tcBorders>
          </w:tcPr>
          <w:p>
            <w:pPr/>
          </w:p>
        </w:tc>
      </w:tr>
      <w:tr>
        <w:trPr>
          <w:trHeight w:val="185" w:hRule="exact"/>
        </w:trPr>
        <w:tc>
          <w:tcPr>
            <w:tcW w:w="817" w:type="dxa"/>
            <w:tcBorders>
              <w:right w:val="dotted" w:sz="4" w:space="0" w:color="929292"/>
            </w:tcBorders>
          </w:tcPr>
          <w:p>
            <w:pPr>
              <w:pStyle w:val="TableParagraph"/>
              <w:spacing w:line="170" w:lineRule="exact"/>
              <w:ind w:left="4"/>
              <w:jc w:val="center"/>
              <w:rPr>
                <w:sz w:val="16"/>
              </w:rPr>
            </w:pPr>
            <w:r>
              <w:rPr>
                <w:sz w:val="16"/>
              </w:rPr>
              <w:t>14</w:t>
            </w:r>
          </w:p>
        </w:tc>
        <w:tc>
          <w:tcPr>
            <w:tcW w:w="6893" w:type="dxa"/>
            <w:vMerge/>
            <w:tcBorders>
              <w:left w:val="dotted" w:sz="4" w:space="0" w:color="929292"/>
            </w:tcBorders>
          </w:tcPr>
          <w:p>
            <w:pPr/>
          </w:p>
        </w:tc>
      </w:tr>
      <w:tr>
        <w:trPr>
          <w:trHeight w:val="185" w:hRule="exact"/>
        </w:trPr>
        <w:tc>
          <w:tcPr>
            <w:tcW w:w="817" w:type="dxa"/>
            <w:tcBorders>
              <w:right w:val="dotted" w:sz="4" w:space="0" w:color="929292"/>
            </w:tcBorders>
          </w:tcPr>
          <w:p>
            <w:pPr>
              <w:pStyle w:val="TableParagraph"/>
              <w:tabs>
                <w:tab w:pos="791" w:val="left" w:leader="none"/>
              </w:tabs>
              <w:ind w:left="25"/>
              <w:jc w:val="center"/>
              <w:rPr>
                <w:sz w:val="16"/>
              </w:rPr>
            </w:pPr>
            <w:r>
              <w:rPr>
                <w:w w:val="100"/>
                <w:sz w:val="16"/>
                <w:u w:val="dotted" w:color="929292"/>
              </w:rPr>
              <w:t> </w:t>
            </w:r>
            <w:r>
              <w:rPr>
                <w:sz w:val="16"/>
                <w:u w:val="dotted" w:color="929292"/>
              </w:rPr>
              <w:tab/>
            </w:r>
          </w:p>
        </w:tc>
        <w:tc>
          <w:tcPr>
            <w:tcW w:w="6893" w:type="dxa"/>
            <w:vMerge/>
            <w:tcBorders>
              <w:left w:val="dotted" w:sz="4" w:space="0" w:color="929292"/>
            </w:tcBorders>
          </w:tcPr>
          <w:p>
            <w:pPr/>
          </w:p>
        </w:tc>
      </w:tr>
      <w:tr>
        <w:trPr>
          <w:trHeight w:val="365" w:hRule="exact"/>
        </w:trPr>
        <w:tc>
          <w:tcPr>
            <w:tcW w:w="817" w:type="dxa"/>
            <w:tcBorders>
              <w:right w:val="dotted" w:sz="4" w:space="0" w:color="929292"/>
            </w:tcBorders>
          </w:tcPr>
          <w:p>
            <w:pPr>
              <w:pStyle w:val="TableParagraph"/>
              <w:spacing w:line="170" w:lineRule="exact"/>
              <w:ind w:left="4"/>
              <w:jc w:val="center"/>
              <w:rPr>
                <w:sz w:val="16"/>
              </w:rPr>
            </w:pPr>
            <w:r>
              <w:rPr>
                <w:sz w:val="16"/>
              </w:rPr>
              <w:t>15</w:t>
            </w:r>
          </w:p>
        </w:tc>
        <w:tc>
          <w:tcPr>
            <w:tcW w:w="6893" w:type="dxa"/>
            <w:vMerge/>
            <w:tcBorders>
              <w:left w:val="dotted" w:sz="4" w:space="0" w:color="929292"/>
            </w:tcBorders>
          </w:tcPr>
          <w:p>
            <w:pPr/>
          </w:p>
        </w:tc>
      </w:tr>
      <w:tr>
        <w:trPr>
          <w:trHeight w:val="390" w:hRule="exact"/>
        </w:trPr>
        <w:tc>
          <w:tcPr>
            <w:tcW w:w="817" w:type="dxa"/>
            <w:tcBorders>
              <w:right w:val="dotted" w:sz="4" w:space="0" w:color="929292"/>
            </w:tcBorders>
          </w:tcPr>
          <w:p>
            <w:pPr>
              <w:pStyle w:val="TableParagraph"/>
              <w:tabs>
                <w:tab w:pos="791" w:val="left" w:leader="none"/>
              </w:tabs>
              <w:spacing w:before="175"/>
              <w:ind w:left="25"/>
              <w:jc w:val="center"/>
              <w:rPr>
                <w:sz w:val="20"/>
              </w:rPr>
            </w:pPr>
            <w:r>
              <w:rPr>
                <w:w w:val="100"/>
                <w:sz w:val="20"/>
                <w:u w:val="dotted" w:color="929292"/>
              </w:rPr>
              <w:t> </w:t>
            </w:r>
            <w:r>
              <w:rPr>
                <w:sz w:val="20"/>
                <w:u w:val="dotted" w:color="929292"/>
              </w:rPr>
              <w:tab/>
            </w:r>
          </w:p>
        </w:tc>
        <w:tc>
          <w:tcPr>
            <w:tcW w:w="6893" w:type="dxa"/>
            <w:vMerge/>
            <w:tcBorders>
              <w:left w:val="dotted" w:sz="4" w:space="0" w:color="929292"/>
            </w:tcBorders>
          </w:tcPr>
          <w:p>
            <w:pPr/>
          </w:p>
        </w:tc>
      </w:tr>
      <w:tr>
        <w:trPr>
          <w:trHeight w:val="220" w:hRule="exact"/>
        </w:trPr>
        <w:tc>
          <w:tcPr>
            <w:tcW w:w="817" w:type="dxa"/>
            <w:tcBorders>
              <w:right w:val="dotted" w:sz="4" w:space="0" w:color="929292"/>
            </w:tcBorders>
          </w:tcPr>
          <w:p>
            <w:pPr>
              <w:pStyle w:val="TableParagraph"/>
              <w:spacing w:line="154" w:lineRule="exact"/>
              <w:ind w:left="4"/>
              <w:jc w:val="center"/>
              <w:rPr>
                <w:sz w:val="16"/>
              </w:rPr>
            </w:pPr>
            <w:r>
              <w:rPr>
                <w:sz w:val="16"/>
              </w:rPr>
              <w:t>16</w:t>
            </w:r>
          </w:p>
        </w:tc>
        <w:tc>
          <w:tcPr>
            <w:tcW w:w="6893" w:type="dxa"/>
            <w:vMerge/>
            <w:tcBorders>
              <w:left w:val="dotted" w:sz="4" w:space="0" w:color="929292"/>
            </w:tcBorders>
          </w:tcPr>
          <w:p>
            <w:pPr/>
          </w:p>
        </w:tc>
      </w:tr>
      <w:tr>
        <w:trPr>
          <w:trHeight w:val="305" w:hRule="exact"/>
        </w:trPr>
        <w:tc>
          <w:tcPr>
            <w:tcW w:w="817" w:type="dxa"/>
            <w:tcBorders>
              <w:right w:val="dotted" w:sz="4" w:space="0" w:color="929292"/>
            </w:tcBorders>
          </w:tcPr>
          <w:p>
            <w:pPr>
              <w:pStyle w:val="TableParagraph"/>
              <w:tabs>
                <w:tab w:pos="791" w:val="left" w:leader="none"/>
              </w:tabs>
              <w:spacing w:before="46"/>
              <w:ind w:left="25"/>
              <w:jc w:val="center"/>
              <w:rPr>
                <w:sz w:val="20"/>
              </w:rPr>
            </w:pPr>
            <w:r>
              <w:rPr>
                <w:w w:val="100"/>
                <w:sz w:val="20"/>
                <w:u w:val="dotted" w:color="929292"/>
              </w:rPr>
              <w:t> </w:t>
            </w:r>
            <w:r>
              <w:rPr>
                <w:sz w:val="20"/>
                <w:u w:val="dotted" w:color="929292"/>
              </w:rPr>
              <w:tab/>
            </w:r>
          </w:p>
        </w:tc>
        <w:tc>
          <w:tcPr>
            <w:tcW w:w="6893" w:type="dxa"/>
            <w:vMerge/>
            <w:tcBorders>
              <w:left w:val="dotted" w:sz="4" w:space="0" w:color="929292"/>
            </w:tcBorders>
          </w:tcPr>
          <w:p>
            <w:pPr/>
          </w:p>
        </w:tc>
      </w:tr>
      <w:tr>
        <w:trPr>
          <w:trHeight w:val="166" w:hRule="exact"/>
        </w:trPr>
        <w:tc>
          <w:tcPr>
            <w:tcW w:w="817" w:type="dxa"/>
            <w:tcBorders>
              <w:right w:val="dotted" w:sz="4" w:space="0" w:color="929292"/>
            </w:tcBorders>
          </w:tcPr>
          <w:p>
            <w:pPr>
              <w:pStyle w:val="TableParagraph"/>
              <w:spacing w:line="20" w:lineRule="exact"/>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tabs>
                <w:tab w:pos="309" w:val="left" w:leader="none"/>
                <w:tab w:pos="791" w:val="left" w:leader="none"/>
              </w:tabs>
              <w:ind w:left="25"/>
              <w:jc w:val="center"/>
              <w:rPr>
                <w:sz w:val="16"/>
              </w:rPr>
            </w:pPr>
            <w:r>
              <w:rPr>
                <w:w w:val="100"/>
                <w:sz w:val="16"/>
                <w:u w:val="dotted" w:color="929292"/>
              </w:rPr>
              <w:t> </w:t>
            </w:r>
            <w:r>
              <w:rPr>
                <w:sz w:val="16"/>
                <w:u w:val="dotted" w:color="929292"/>
              </w:rPr>
              <w:tab/>
              <w:t>17</w:t>
              <w:tab/>
            </w:r>
          </w:p>
        </w:tc>
        <w:tc>
          <w:tcPr>
            <w:tcW w:w="6893" w:type="dxa"/>
            <w:vMerge/>
            <w:tcBorders>
              <w:left w:val="dotted" w:sz="4" w:space="0" w:color="929292"/>
            </w:tcBorders>
          </w:tcPr>
          <w:p>
            <w:pPr/>
          </w:p>
        </w:tc>
      </w:tr>
    </w:tbl>
    <w:p>
      <w:pPr>
        <w:pStyle w:val="BodyText"/>
        <w:rPr>
          <w:sz w:val="16"/>
        </w:rPr>
      </w:pPr>
    </w:p>
    <w:p>
      <w:pPr>
        <w:pStyle w:val="BodyText"/>
        <w:spacing w:before="7"/>
        <w:rPr>
          <w:sz w:val="18"/>
        </w:rPr>
      </w:pPr>
    </w:p>
    <w:p>
      <w:pPr>
        <w:spacing w:line="312" w:lineRule="auto" w:before="0"/>
        <w:ind w:left="3070" w:right="108" w:hanging="2673"/>
        <w:jc w:val="left"/>
        <w:rPr>
          <w:sz w:val="16"/>
        </w:rPr>
      </w:pPr>
      <w:r>
        <w:rPr/>
        <w:pict>
          <v:line style="position:absolute;mso-position-horizontal-relative:page;mso-position-vertical-relative:paragraph;z-index:-646432" from="553.653015pt,-336.488892pt" to="553.653015pt,-336.488892pt" stroked="true" strokeweight=".5pt" strokecolor="#929292">
            <w10:wrap type="none"/>
          </v:line>
        </w:pict>
      </w:r>
      <w:r>
        <w:rPr/>
        <w:pict>
          <v:line style="position:absolute;mso-position-horizontal-relative:page;mso-position-vertical-relative:paragraph;z-index:-646408" from="513.052979pt,-327.06488pt" to="513.052979pt,-327.06488pt" stroked="true" strokeweight=".5pt" strokecolor="#929292">
            <w10:wrap type="none"/>
          </v:line>
        </w:pict>
      </w:r>
      <w:r>
        <w:rPr/>
        <w:pict>
          <v:line style="position:absolute;mso-position-horizontal-relative:page;mso-position-vertical-relative:paragraph;z-index:-646384" from="513.052979pt,-315.06488pt" to="513.052979pt,-315.06488pt" stroked="true" strokeweight=".5pt" strokecolor="#929292">
            <w10:wrap type="none"/>
          </v:line>
        </w:pict>
      </w:r>
      <w:r>
        <w:rPr/>
        <w:pict>
          <v:line style="position:absolute;mso-position-horizontal-relative:page;mso-position-vertical-relative:paragraph;z-index:-646360" from="898.065002pt,-315.06488pt" to="898.065002pt,-315.06488pt" stroked="true" strokeweight=".5pt" strokecolor="#929292">
            <w10:wrap type="none"/>
          </v:line>
        </w:pict>
      </w:r>
      <w:r>
        <w:rPr/>
        <w:pict>
          <v:line style="position:absolute;mso-position-horizontal-relative:page;mso-position-vertical-relative:paragraph;z-index:-646336" from="513.052979pt,-279.06488pt" to="513.052979pt,-279.06488pt" stroked="true" strokeweight=".5pt" strokecolor="#929292">
            <w10:wrap type="none"/>
          </v:line>
        </w:pict>
      </w:r>
      <w:r>
        <w:rPr/>
        <w:pict>
          <v:line style="position:absolute;mso-position-horizontal-relative:page;mso-position-vertical-relative:paragraph;z-index:-646312" from="898.065002pt,-279.06488pt" to="898.065002pt,-279.06488pt" stroked="true" strokeweight=".5pt" strokecolor="#929292">
            <w10:wrap type="none"/>
          </v:line>
        </w:pict>
      </w:r>
      <w:r>
        <w:rPr/>
        <w:pict>
          <v:line style="position:absolute;mso-position-horizontal-relative:page;mso-position-vertical-relative:paragraph;z-index:-646288" from="513.052979pt,-243.064896pt" to="513.052979pt,-243.064896pt" stroked="true" strokeweight=".5pt" strokecolor="#929292">
            <w10:wrap type="none"/>
          </v:line>
        </w:pict>
      </w:r>
      <w:r>
        <w:rPr/>
        <w:pict>
          <v:line style="position:absolute;mso-position-horizontal-relative:page;mso-position-vertical-relative:paragraph;z-index:-646264" from="513.052979pt,-231.064896pt" to="513.052979pt,-231.064896pt" stroked="true" strokeweight=".5pt" strokecolor="#929292">
            <w10:wrap type="none"/>
          </v:line>
        </w:pict>
      </w:r>
      <w:r>
        <w:rPr/>
        <w:pict>
          <v:line style="position:absolute;mso-position-horizontal-relative:page;mso-position-vertical-relative:paragraph;z-index:-646240" from="513.052979pt,-219.064896pt" to="513.052979pt,-219.064896pt" stroked="true" strokeweight=".5pt" strokecolor="#929292">
            <w10:wrap type="none"/>
          </v:line>
        </w:pict>
      </w:r>
      <w:r>
        <w:rPr/>
        <w:pict>
          <v:line style="position:absolute;mso-position-horizontal-relative:page;mso-position-vertical-relative:paragraph;z-index:-646216" from="898.065002pt,-219.064896pt" to="898.065002pt,-219.064896pt" stroked="true" strokeweight=".5pt" strokecolor="#929292">
            <w10:wrap type="none"/>
          </v:line>
        </w:pict>
      </w:r>
      <w:r>
        <w:rPr/>
        <w:pict>
          <v:line style="position:absolute;mso-position-horizontal-relative:page;mso-position-vertical-relative:paragraph;z-index:-646192" from="898.065002pt,-195.064896pt" to="898.065002pt,-195.064896pt" stroked="true" strokeweight=".5pt" strokecolor="#929292">
            <w10:wrap type="none"/>
          </v:line>
        </w:pict>
      </w:r>
      <w:r>
        <w:rPr/>
        <w:pict>
          <v:line style="position:absolute;mso-position-horizontal-relative:page;mso-position-vertical-relative:paragraph;z-index:-646168" from="513.052979pt,-159.064896pt" to="513.052979pt,-159.064896pt" stroked="true" strokeweight=".5pt" strokecolor="#929292">
            <w10:wrap type="none"/>
          </v:line>
        </w:pict>
      </w:r>
      <w:r>
        <w:rPr/>
        <w:pict>
          <v:line style="position:absolute;mso-position-horizontal-relative:page;mso-position-vertical-relative:paragraph;z-index:-646144" from="898.065002pt,-159.064896pt" to="898.065002pt,-159.064896pt" stroked="true" strokeweight=".5pt" strokecolor="#929292">
            <w10:wrap type="none"/>
          </v:line>
        </w:pict>
      </w:r>
      <w:r>
        <w:rPr/>
        <w:pict>
          <v:line style="position:absolute;mso-position-horizontal-relative:page;mso-position-vertical-relative:paragraph;z-index:-646120" from="513.052979pt,-123.064888pt" to="513.052979pt,-123.064888pt" stroked="true" strokeweight=".5pt" strokecolor="#929292">
            <w10:wrap type="none"/>
          </v:line>
        </w:pict>
      </w:r>
      <w:r>
        <w:rPr/>
        <w:pict>
          <v:line style="position:absolute;mso-position-horizontal-relative:page;mso-position-vertical-relative:paragraph;z-index:-646096" from="513.052979pt,-111.064888pt" to="513.052979pt,-111.064888pt" stroked="true" strokeweight=".5pt" strokecolor="#929292">
            <w10:wrap type="none"/>
          </v:line>
        </w:pict>
      </w:r>
      <w:r>
        <w:rPr/>
        <w:pict>
          <v:line style="position:absolute;mso-position-horizontal-relative:page;mso-position-vertical-relative:paragraph;z-index:-646072" from="898.065002pt,-111.064888pt" to="898.065002pt,-111.064888pt" stroked="true" strokeweight=".5pt" strokecolor="#929292">
            <w10:wrap type="none"/>
          </v:line>
        </w:pict>
      </w:r>
      <w:r>
        <w:rPr/>
        <w:pict>
          <v:line style="position:absolute;mso-position-horizontal-relative:page;mso-position-vertical-relative:paragraph;z-index:-646048" from="513.052979pt,-92.518387pt" to="513.052979pt,-92.518387pt" stroked="true" strokeweight=".5pt" strokecolor="#929292">
            <w10:wrap type="none"/>
          </v:line>
        </w:pict>
      </w:r>
      <w:r>
        <w:rPr/>
        <w:pict>
          <v:line style="position:absolute;mso-position-horizontal-relative:page;mso-position-vertical-relative:paragraph;z-index:-646024" from="898.065002pt,-92.518387pt" to="898.065002pt,-92.518387pt" stroked="true" strokeweight=".5pt" strokecolor="#929292">
            <w10:wrap type="none"/>
          </v:line>
        </w:pict>
      </w:r>
      <w:r>
        <w:rPr/>
        <w:pict>
          <v:line style="position:absolute;mso-position-horizontal-relative:page;mso-position-vertical-relative:paragraph;z-index:-646000" from="513.052979pt,-55.568291pt" to="513.052979pt,-55.568291pt" stroked="true" strokeweight=".5pt" strokecolor="#929292">
            <w10:wrap type="none"/>
          </v:line>
        </w:pict>
      </w:r>
      <w:r>
        <w:rPr/>
        <w:pict>
          <v:line style="position:absolute;mso-position-horizontal-relative:page;mso-position-vertical-relative:paragraph;z-index:-645976" from="898.065002pt,-55.568291pt" to="898.065002pt,-55.568291pt" stroked="true" strokeweight=".5pt" strokecolor="#929292">
            <w10:wrap type="none"/>
          </v:line>
        </w:pict>
      </w:r>
      <w:r>
        <w:rPr/>
        <w:pict>
          <v:line style="position:absolute;mso-position-horizontal-relative:page;mso-position-vertical-relative:paragraph;z-index:-645952" from="898.065002pt,-27.02179pt" to="898.065002pt,-27.02179pt" stroked="true" strokeweight=".5pt" strokecolor="#929292">
            <w10:wrap type="none"/>
          </v:line>
        </w:pict>
      </w:r>
      <w:r>
        <w:rPr>
          <w:color w:val="6D6E71"/>
          <w:sz w:val="16"/>
        </w:rPr>
        <w:t>Fuente: Organización de Naciones Unidas. Open Working Group Proposal Sustainable Development Goals.2014 y FAO (2014).</w:t>
      </w:r>
    </w:p>
    <w:p>
      <w:pPr>
        <w:pStyle w:val="BodyText"/>
        <w:spacing w:line="249" w:lineRule="auto" w:before="139"/>
        <w:ind w:left="130" w:right="133"/>
        <w:jc w:val="both"/>
      </w:pPr>
      <w:r>
        <w:rPr/>
        <w:t>En</w:t>
      </w:r>
      <w:r>
        <w:rPr>
          <w:spacing w:val="-6"/>
        </w:rPr>
        <w:t> </w:t>
      </w:r>
      <w:r>
        <w:rPr/>
        <w:t>México</w:t>
      </w:r>
      <w:r>
        <w:rPr>
          <w:spacing w:val="-6"/>
        </w:rPr>
        <w:t> </w:t>
      </w:r>
      <w:r>
        <w:rPr/>
        <w:t>la</w:t>
      </w:r>
      <w:r>
        <w:rPr>
          <w:spacing w:val="-6"/>
        </w:rPr>
        <w:t> </w:t>
      </w:r>
      <w:r>
        <w:rPr/>
        <w:t>investigación</w:t>
      </w:r>
      <w:r>
        <w:rPr>
          <w:spacing w:val="-6"/>
        </w:rPr>
        <w:t> </w:t>
      </w:r>
      <w:r>
        <w:rPr/>
        <w:t>sobre</w:t>
      </w:r>
      <w:r>
        <w:rPr>
          <w:spacing w:val="-6"/>
        </w:rPr>
        <w:t> </w:t>
      </w:r>
      <w:r>
        <w:rPr/>
        <w:t>el</w:t>
      </w:r>
      <w:r>
        <w:rPr>
          <w:spacing w:val="-6"/>
        </w:rPr>
        <w:t> </w:t>
      </w:r>
      <w:r>
        <w:rPr/>
        <w:t>suelo</w:t>
      </w:r>
      <w:r>
        <w:rPr>
          <w:spacing w:val="-6"/>
        </w:rPr>
        <w:t> </w:t>
      </w:r>
      <w:r>
        <w:rPr/>
        <w:t>se</w:t>
      </w:r>
      <w:r>
        <w:rPr>
          <w:spacing w:val="-6"/>
        </w:rPr>
        <w:t> </w:t>
      </w:r>
      <w:r>
        <w:rPr/>
        <w:t>ha</w:t>
      </w:r>
      <w:r>
        <w:rPr>
          <w:spacing w:val="-6"/>
        </w:rPr>
        <w:t> </w:t>
      </w:r>
      <w:r>
        <w:rPr/>
        <w:t>manifestado</w:t>
      </w:r>
      <w:r>
        <w:rPr>
          <w:spacing w:val="-6"/>
        </w:rPr>
        <w:t> </w:t>
      </w:r>
      <w:r>
        <w:rPr/>
        <w:t>en</w:t>
      </w:r>
      <w:r>
        <w:rPr>
          <w:spacing w:val="-6"/>
        </w:rPr>
        <w:t> </w:t>
      </w:r>
      <w:r>
        <w:rPr/>
        <w:t>diferentes</w:t>
      </w:r>
      <w:r>
        <w:rPr>
          <w:spacing w:val="-6"/>
        </w:rPr>
        <w:t> </w:t>
      </w:r>
      <w:r>
        <w:rPr/>
        <w:t>documentos, publicaciones como el Manual de Conservación del Suelo y del Agua del Colegio de Posgraduados de Chapingo (1977) el cual se publicó con el apoyo de la Secretaria de Agricultura</w:t>
      </w:r>
      <w:r>
        <w:rPr>
          <w:spacing w:val="-9"/>
        </w:rPr>
        <w:t> </w:t>
      </w:r>
      <w:r>
        <w:rPr/>
        <w:t>y</w:t>
      </w:r>
      <w:r>
        <w:rPr>
          <w:spacing w:val="-9"/>
        </w:rPr>
        <w:t> </w:t>
      </w:r>
      <w:r>
        <w:rPr/>
        <w:t>Recursos</w:t>
      </w:r>
      <w:r>
        <w:rPr>
          <w:spacing w:val="-9"/>
        </w:rPr>
        <w:t> </w:t>
      </w:r>
      <w:r>
        <w:rPr/>
        <w:t>Hídricos</w:t>
      </w:r>
      <w:r>
        <w:rPr>
          <w:spacing w:val="-9"/>
        </w:rPr>
        <w:t> </w:t>
      </w:r>
      <w:r>
        <w:rPr/>
        <w:t>(SARH)</w:t>
      </w:r>
      <w:r>
        <w:rPr>
          <w:spacing w:val="-9"/>
        </w:rPr>
        <w:t> </w:t>
      </w:r>
      <w:r>
        <w:rPr/>
        <w:t>y</w:t>
      </w:r>
      <w:r>
        <w:rPr>
          <w:spacing w:val="-9"/>
        </w:rPr>
        <w:t> </w:t>
      </w:r>
      <w:r>
        <w:rPr/>
        <w:t>la</w:t>
      </w:r>
      <w:r>
        <w:rPr>
          <w:spacing w:val="-9"/>
        </w:rPr>
        <w:t> </w:t>
      </w:r>
      <w:r>
        <w:rPr/>
        <w:t>Secretaria</w:t>
      </w:r>
      <w:r>
        <w:rPr>
          <w:spacing w:val="-9"/>
        </w:rPr>
        <w:t> </w:t>
      </w:r>
      <w:r>
        <w:rPr/>
        <w:t>de</w:t>
      </w:r>
      <w:r>
        <w:rPr>
          <w:spacing w:val="-9"/>
        </w:rPr>
        <w:t> </w:t>
      </w:r>
      <w:r>
        <w:rPr/>
        <w:t>Programación</w:t>
      </w:r>
      <w:r>
        <w:rPr>
          <w:spacing w:val="-9"/>
        </w:rPr>
        <w:t> </w:t>
      </w:r>
      <w:r>
        <w:rPr/>
        <w:t>y</w:t>
      </w:r>
      <w:r>
        <w:rPr>
          <w:spacing w:val="-9"/>
        </w:rPr>
        <w:t> </w:t>
      </w:r>
      <w:r>
        <w:rPr/>
        <w:t>Presupuesto (SPP).</w:t>
      </w:r>
      <w:r>
        <w:rPr>
          <w:spacing w:val="-24"/>
        </w:rPr>
        <w:t> </w:t>
      </w:r>
      <w:r>
        <w:rPr/>
        <w:t>Se</w:t>
      </w:r>
      <w:r>
        <w:rPr>
          <w:spacing w:val="-24"/>
        </w:rPr>
        <w:t> </w:t>
      </w:r>
      <w:r>
        <w:rPr/>
        <w:t>identifican</w:t>
      </w:r>
      <w:r>
        <w:rPr>
          <w:spacing w:val="-24"/>
        </w:rPr>
        <w:t> </w:t>
      </w:r>
      <w:r>
        <w:rPr/>
        <w:t>diferentes</w:t>
      </w:r>
      <w:r>
        <w:rPr>
          <w:spacing w:val="-24"/>
        </w:rPr>
        <w:t> </w:t>
      </w:r>
      <w:r>
        <w:rPr/>
        <w:t>técnicas</w:t>
      </w:r>
      <w:r>
        <w:rPr>
          <w:spacing w:val="-24"/>
        </w:rPr>
        <w:t> </w:t>
      </w:r>
      <w:r>
        <w:rPr/>
        <w:t>tanto</w:t>
      </w:r>
      <w:r>
        <w:rPr>
          <w:spacing w:val="-24"/>
        </w:rPr>
        <w:t> </w:t>
      </w:r>
      <w:r>
        <w:rPr/>
        <w:t>en</w:t>
      </w:r>
      <w:r>
        <w:rPr>
          <w:spacing w:val="-24"/>
        </w:rPr>
        <w:t> </w:t>
      </w:r>
      <w:r>
        <w:rPr/>
        <w:t>el</w:t>
      </w:r>
      <w:r>
        <w:rPr>
          <w:spacing w:val="-24"/>
        </w:rPr>
        <w:t> </w:t>
      </w:r>
      <w:r>
        <w:rPr/>
        <w:t>análisis,</w:t>
      </w:r>
      <w:r>
        <w:rPr>
          <w:spacing w:val="-24"/>
        </w:rPr>
        <w:t> </w:t>
      </w:r>
      <w:r>
        <w:rPr/>
        <w:t>caracterización</w:t>
      </w:r>
      <w:r>
        <w:rPr>
          <w:spacing w:val="-24"/>
        </w:rPr>
        <w:t> </w:t>
      </w:r>
      <w:r>
        <w:rPr/>
        <w:t>y</w:t>
      </w:r>
      <w:r>
        <w:rPr>
          <w:spacing w:val="-24"/>
        </w:rPr>
        <w:t> </w:t>
      </w:r>
      <w:r>
        <w:rPr/>
        <w:t>diagnóstico como en alternativas de manejo en la conservación del suelo</w:t>
      </w:r>
      <w:r>
        <w:rPr>
          <w:spacing w:val="49"/>
        </w:rPr>
        <w:t> </w:t>
      </w:r>
      <w:r>
        <w:rPr/>
        <w:t>principalmente.</w:t>
      </w:r>
    </w:p>
    <w:p>
      <w:pPr>
        <w:spacing w:after="0" w:line="249" w:lineRule="auto"/>
        <w:jc w:val="both"/>
        <w:sectPr>
          <w:type w:val="continuous"/>
          <w:pgSz w:w="18830" w:h="12760" w:orient="landscape"/>
          <w:pgMar w:top="1420" w:bottom="280" w:left="720" w:right="720"/>
          <w:cols w:num="2" w:equalWidth="0">
            <w:col w:w="7844" w:space="1562"/>
            <w:col w:w="7984"/>
          </w:cols>
        </w:sectPr>
      </w:pPr>
    </w:p>
    <w:p>
      <w:pPr>
        <w:pStyle w:val="BodyText"/>
        <w:spacing w:before="6"/>
        <w:rPr>
          <w:sz w:val="23"/>
        </w:rPr>
      </w:pPr>
    </w:p>
    <w:p>
      <w:pPr>
        <w:spacing w:after="0"/>
        <w:rPr>
          <w:sz w:val="23"/>
        </w:rPr>
        <w:sectPr>
          <w:footerReference w:type="default" r:id="rId169"/>
          <w:pgSz w:w="18830" w:h="12760" w:orient="landscape"/>
          <w:pgMar w:footer="1036" w:header="522" w:top="820" w:bottom="1220" w:left="720" w:right="220"/>
        </w:sectPr>
      </w:pPr>
    </w:p>
    <w:p>
      <w:pPr>
        <w:pStyle w:val="BodyText"/>
        <w:spacing w:line="249" w:lineRule="auto" w:before="76"/>
        <w:ind w:left="130" w:firstLine="170"/>
        <w:jc w:val="both"/>
      </w:pPr>
      <w:r>
        <w:rPr/>
        <w:t>Morales (1988) diferencia la erosión de un proceso natural de uno artificial, revisó aspectos como agentes geológicos, erosión artificial o acelerada, erosión natural o geológica, cárcavas. La erosión artificial o acelerada es considerada en el presente como</w:t>
      </w:r>
      <w:r>
        <w:rPr>
          <w:spacing w:val="25"/>
        </w:rPr>
        <w:t> </w:t>
      </w:r>
      <w:r>
        <w:rPr/>
        <w:t>antrópica</w:t>
      </w:r>
      <w:r>
        <w:rPr>
          <w:spacing w:val="25"/>
        </w:rPr>
        <w:t> </w:t>
      </w:r>
      <w:r>
        <w:rPr/>
        <w:t>y</w:t>
      </w:r>
      <w:r>
        <w:rPr>
          <w:spacing w:val="25"/>
        </w:rPr>
        <w:t> </w:t>
      </w:r>
      <w:r>
        <w:rPr/>
        <w:t>la</w:t>
      </w:r>
      <w:r>
        <w:rPr>
          <w:spacing w:val="25"/>
        </w:rPr>
        <w:t> </w:t>
      </w:r>
      <w:r>
        <w:rPr/>
        <w:t>natural</w:t>
      </w:r>
      <w:r>
        <w:rPr>
          <w:spacing w:val="25"/>
        </w:rPr>
        <w:t> </w:t>
      </w:r>
      <w:r>
        <w:rPr/>
        <w:t>como</w:t>
      </w:r>
      <w:r>
        <w:rPr>
          <w:spacing w:val="25"/>
        </w:rPr>
        <w:t> </w:t>
      </w:r>
      <w:r>
        <w:rPr/>
        <w:t>intemperismo.</w:t>
      </w:r>
      <w:r>
        <w:rPr>
          <w:spacing w:val="25"/>
        </w:rPr>
        <w:t> </w:t>
      </w:r>
      <w:r>
        <w:rPr/>
        <w:t>Por</w:t>
      </w:r>
      <w:r>
        <w:rPr>
          <w:spacing w:val="25"/>
        </w:rPr>
        <w:t> </w:t>
      </w:r>
      <w:r>
        <w:rPr/>
        <w:t>tanto</w:t>
      </w:r>
      <w:r>
        <w:rPr>
          <w:spacing w:val="25"/>
        </w:rPr>
        <w:t> </w:t>
      </w:r>
      <w:r>
        <w:rPr/>
        <w:t>en</w:t>
      </w:r>
      <w:r>
        <w:rPr>
          <w:spacing w:val="25"/>
        </w:rPr>
        <w:t> </w:t>
      </w:r>
      <w:r>
        <w:rPr/>
        <w:t>áreas</w:t>
      </w:r>
      <w:r>
        <w:rPr>
          <w:spacing w:val="25"/>
        </w:rPr>
        <w:t> </w:t>
      </w:r>
      <w:r>
        <w:rPr/>
        <w:t>sin</w:t>
      </w:r>
      <w:r>
        <w:rPr>
          <w:spacing w:val="25"/>
        </w:rPr>
        <w:t> </w:t>
      </w:r>
      <w:r>
        <w:rPr/>
        <w:t>intervención</w:t>
      </w:r>
      <w:r>
        <w:rPr>
          <w:w w:val="100"/>
        </w:rPr>
        <w:t> </w:t>
      </w:r>
      <w:r>
        <w:rPr/>
        <w:t>humana se considera intemperismo o erosión natural y áreas con actividad humana con diferentes usos de suelo se considera erosión inducida o acelerada o antrópica     o degradación del suelo. La utilidad de suelo para el mantenimiento de la vida, es imperioso como lo demostraron las diferentes actividades realizadas en 2015 como año</w:t>
      </w:r>
      <w:r>
        <w:rPr>
          <w:spacing w:val="-6"/>
        </w:rPr>
        <w:t> </w:t>
      </w:r>
      <w:r>
        <w:rPr/>
        <w:t>internacional</w:t>
      </w:r>
      <w:r>
        <w:rPr>
          <w:spacing w:val="-6"/>
        </w:rPr>
        <w:t> </w:t>
      </w:r>
      <w:r>
        <w:rPr/>
        <w:t>del</w:t>
      </w:r>
      <w:r>
        <w:rPr>
          <w:spacing w:val="-6"/>
        </w:rPr>
        <w:t> </w:t>
      </w:r>
      <w:r>
        <w:rPr/>
        <w:t>suelo.</w:t>
      </w:r>
      <w:r>
        <w:rPr>
          <w:spacing w:val="-6"/>
        </w:rPr>
        <w:t> </w:t>
      </w:r>
      <w:r>
        <w:rPr/>
        <w:t>Reconocer</w:t>
      </w:r>
      <w:r>
        <w:rPr>
          <w:spacing w:val="-6"/>
        </w:rPr>
        <w:t> </w:t>
      </w:r>
      <w:r>
        <w:rPr/>
        <w:t>la</w:t>
      </w:r>
      <w:r>
        <w:rPr>
          <w:spacing w:val="-6"/>
        </w:rPr>
        <w:t> </w:t>
      </w:r>
      <w:r>
        <w:rPr/>
        <w:t>vulnerabilidad</w:t>
      </w:r>
      <w:r>
        <w:rPr>
          <w:spacing w:val="-6"/>
        </w:rPr>
        <w:t> </w:t>
      </w:r>
      <w:r>
        <w:rPr/>
        <w:t>del</w:t>
      </w:r>
      <w:r>
        <w:rPr>
          <w:spacing w:val="-6"/>
        </w:rPr>
        <w:t> </w:t>
      </w:r>
      <w:r>
        <w:rPr/>
        <w:t>suelo</w:t>
      </w:r>
      <w:r>
        <w:rPr>
          <w:spacing w:val="-6"/>
        </w:rPr>
        <w:t> </w:t>
      </w:r>
      <w:r>
        <w:rPr/>
        <w:t>nos</w:t>
      </w:r>
      <w:r>
        <w:rPr>
          <w:spacing w:val="-6"/>
        </w:rPr>
        <w:t> </w:t>
      </w:r>
      <w:r>
        <w:rPr/>
        <w:t>lleva</w:t>
      </w:r>
      <w:r>
        <w:rPr>
          <w:spacing w:val="-6"/>
        </w:rPr>
        <w:t> </w:t>
      </w:r>
      <w:r>
        <w:rPr/>
        <w:t>a</w:t>
      </w:r>
      <w:r>
        <w:rPr>
          <w:spacing w:val="-6"/>
        </w:rPr>
        <w:t> </w:t>
      </w:r>
      <w:r>
        <w:rPr/>
        <w:t>atender</w:t>
      </w:r>
      <w:r>
        <w:rPr>
          <w:spacing w:val="-6"/>
        </w:rPr>
        <w:t> </w:t>
      </w:r>
      <w:r>
        <w:rPr/>
        <w:t>la degradación; entendida como reducción o pérdida de la productividad principalmente de tierras agrícolas, Almorox y López</w:t>
      </w:r>
      <w:r>
        <w:rPr>
          <w:spacing w:val="-17"/>
        </w:rPr>
        <w:t> </w:t>
      </w:r>
      <w:r>
        <w:rPr/>
        <w:t>(2010).</w:t>
      </w:r>
    </w:p>
    <w:p>
      <w:pPr>
        <w:pStyle w:val="BodyText"/>
        <w:spacing w:before="11"/>
      </w:pPr>
    </w:p>
    <w:p>
      <w:pPr>
        <w:pStyle w:val="BodyText"/>
        <w:spacing w:line="249" w:lineRule="auto"/>
        <w:ind w:left="130" w:firstLine="170"/>
        <w:jc w:val="both"/>
      </w:pPr>
      <w:r>
        <w:rPr/>
        <w:t>La precipitación es fundamental en la identificación de los procesos de degradación del suelo particularmente la erosión hídrica. La precipitación es considerada como      el detonante principal de la erosión hídrica laminar, “expresa aquellos procesos mediante los cuales el agua cae de la atmósfera a la superficie de la tierra en forma  de lluvia (precipitación), nieve o granizo. La precipitación se mide con pluviómetros o pluviógrafos</w:t>
      </w:r>
      <w:r>
        <w:rPr>
          <w:spacing w:val="-5"/>
        </w:rPr>
        <w:t> </w:t>
      </w:r>
      <w:r>
        <w:rPr/>
        <w:t>se</w:t>
      </w:r>
      <w:r>
        <w:rPr>
          <w:spacing w:val="-5"/>
        </w:rPr>
        <w:t> </w:t>
      </w:r>
      <w:r>
        <w:rPr/>
        <w:t>basan</w:t>
      </w:r>
      <w:r>
        <w:rPr>
          <w:spacing w:val="-5"/>
        </w:rPr>
        <w:t> </w:t>
      </w:r>
      <w:r>
        <w:rPr/>
        <w:t>en</w:t>
      </w:r>
      <w:r>
        <w:rPr>
          <w:spacing w:val="-5"/>
        </w:rPr>
        <w:t> </w:t>
      </w:r>
      <w:r>
        <w:rPr/>
        <w:t>la</w:t>
      </w:r>
      <w:r>
        <w:rPr>
          <w:spacing w:val="-5"/>
        </w:rPr>
        <w:t> </w:t>
      </w:r>
      <w:r>
        <w:rPr/>
        <w:t>medición</w:t>
      </w:r>
      <w:r>
        <w:rPr>
          <w:spacing w:val="-5"/>
        </w:rPr>
        <w:t> </w:t>
      </w:r>
      <w:r>
        <w:rPr/>
        <w:t>de</w:t>
      </w:r>
      <w:r>
        <w:rPr>
          <w:spacing w:val="-5"/>
        </w:rPr>
        <w:t> </w:t>
      </w:r>
      <w:r>
        <w:rPr/>
        <w:t>una</w:t>
      </w:r>
      <w:r>
        <w:rPr>
          <w:spacing w:val="-5"/>
        </w:rPr>
        <w:t> </w:t>
      </w:r>
      <w:r>
        <w:rPr/>
        <w:t>lámina</w:t>
      </w:r>
      <w:r>
        <w:rPr>
          <w:spacing w:val="-5"/>
        </w:rPr>
        <w:t> </w:t>
      </w:r>
      <w:r>
        <w:rPr/>
        <w:t>de</w:t>
      </w:r>
      <w:r>
        <w:rPr>
          <w:spacing w:val="-5"/>
        </w:rPr>
        <w:t> </w:t>
      </w:r>
      <w:r>
        <w:rPr/>
        <w:t>lluvia</w:t>
      </w:r>
      <w:r>
        <w:rPr>
          <w:spacing w:val="-5"/>
        </w:rPr>
        <w:t> </w:t>
      </w:r>
      <w:r>
        <w:rPr/>
        <w:t>(mm),</w:t>
      </w:r>
      <w:r>
        <w:rPr>
          <w:spacing w:val="-5"/>
        </w:rPr>
        <w:t> </w:t>
      </w:r>
      <w:r>
        <w:rPr/>
        <w:t>la</w:t>
      </w:r>
      <w:r>
        <w:rPr>
          <w:spacing w:val="-5"/>
        </w:rPr>
        <w:t> </w:t>
      </w:r>
      <w:r>
        <w:rPr/>
        <w:t>cual</w:t>
      </w:r>
      <w:r>
        <w:rPr>
          <w:spacing w:val="-5"/>
        </w:rPr>
        <w:t> </w:t>
      </w:r>
      <w:r>
        <w:rPr/>
        <w:t>se</w:t>
      </w:r>
      <w:r>
        <w:rPr>
          <w:spacing w:val="-5"/>
        </w:rPr>
        <w:t> </w:t>
      </w:r>
      <w:r>
        <w:rPr/>
        <w:t>interpreta como la altura del nivel del agua que se acumularía sobre el terreno sin infiltrarse o evaporarse sobre un área unitaria” CONAGUA (2015:73). Según la misma fuente, la intensidad de la lluvia es la magnitud de la precipitación dividida entre la duración, se expresa intensidad de lluvia en</w:t>
      </w:r>
      <w:r>
        <w:rPr>
          <w:spacing w:val="28"/>
        </w:rPr>
        <w:t> </w:t>
      </w:r>
      <w:r>
        <w:rPr/>
        <w:t>mm/h.</w:t>
      </w:r>
    </w:p>
    <w:p>
      <w:pPr>
        <w:pStyle w:val="BodyText"/>
        <w:spacing w:before="11"/>
      </w:pPr>
    </w:p>
    <w:p>
      <w:pPr>
        <w:pStyle w:val="BodyText"/>
        <w:spacing w:line="249" w:lineRule="auto"/>
        <w:ind w:left="130" w:firstLine="170"/>
        <w:jc w:val="both"/>
      </w:pPr>
      <w:r>
        <w:rPr/>
        <w:t>Se retoma dos de los métodos en la estimación de la erosión: directo e indirecto.     El primero siguiendo una de las ecuaciones más ampliamente utilizadas con algunas acotaciones. En el segundo mediante colecta de muestras en un mes, más bien         un esfuerzo por comparar la cantidad de material transportado que como técnica específica</w:t>
      </w:r>
      <w:r>
        <w:rPr>
          <w:spacing w:val="-5"/>
        </w:rPr>
        <w:t> </w:t>
      </w:r>
      <w:r>
        <w:rPr/>
        <w:t>de</w:t>
      </w:r>
      <w:r>
        <w:rPr>
          <w:spacing w:val="-5"/>
        </w:rPr>
        <w:t> </w:t>
      </w:r>
      <w:r>
        <w:rPr/>
        <w:t>una</w:t>
      </w:r>
      <w:r>
        <w:rPr>
          <w:spacing w:val="-5"/>
        </w:rPr>
        <w:t> </w:t>
      </w:r>
      <w:r>
        <w:rPr/>
        <w:t>parcela.</w:t>
      </w:r>
      <w:r>
        <w:rPr>
          <w:spacing w:val="-5"/>
        </w:rPr>
        <w:t> </w:t>
      </w:r>
      <w:r>
        <w:rPr/>
        <w:t>El</w:t>
      </w:r>
      <w:r>
        <w:rPr>
          <w:spacing w:val="-5"/>
        </w:rPr>
        <w:t> </w:t>
      </w:r>
      <w:r>
        <w:rPr/>
        <w:t>método</w:t>
      </w:r>
      <w:r>
        <w:rPr>
          <w:spacing w:val="-5"/>
        </w:rPr>
        <w:t> </w:t>
      </w:r>
      <w:r>
        <w:rPr/>
        <w:t>indirecto</w:t>
      </w:r>
      <w:r>
        <w:rPr>
          <w:spacing w:val="-5"/>
        </w:rPr>
        <w:t> </w:t>
      </w:r>
      <w:r>
        <w:rPr/>
        <w:t>de</w:t>
      </w:r>
      <w:r>
        <w:rPr>
          <w:spacing w:val="-5"/>
        </w:rPr>
        <w:t> </w:t>
      </w:r>
      <w:r>
        <w:rPr/>
        <w:t>estimación</w:t>
      </w:r>
      <w:r>
        <w:rPr>
          <w:spacing w:val="-5"/>
        </w:rPr>
        <w:t> </w:t>
      </w:r>
      <w:r>
        <w:rPr/>
        <w:t>de</w:t>
      </w:r>
      <w:r>
        <w:rPr>
          <w:spacing w:val="-5"/>
        </w:rPr>
        <w:t> </w:t>
      </w:r>
      <w:r>
        <w:rPr/>
        <w:t>erosión</w:t>
      </w:r>
      <w:r>
        <w:rPr>
          <w:spacing w:val="-5"/>
        </w:rPr>
        <w:t> </w:t>
      </w:r>
      <w:r>
        <w:rPr/>
        <w:t>hídrica</w:t>
      </w:r>
      <w:r>
        <w:rPr>
          <w:spacing w:val="-5"/>
        </w:rPr>
        <w:t> </w:t>
      </w:r>
      <w:r>
        <w:rPr/>
        <w:t>laminar es estimado mediante la ecuación USLE/RUSLE, Wang et al (2013). En otros estudios se detallan técnicas de conservación de suelo, Kirkby (1984), algunos enfatizan las condiciones</w:t>
      </w:r>
      <w:r>
        <w:rPr>
          <w:spacing w:val="-19"/>
        </w:rPr>
        <w:t> </w:t>
      </w:r>
      <w:r>
        <w:rPr/>
        <w:t>particulares</w:t>
      </w:r>
      <w:r>
        <w:rPr>
          <w:spacing w:val="-19"/>
        </w:rPr>
        <w:t> </w:t>
      </w:r>
      <w:r>
        <w:rPr/>
        <w:t>del</w:t>
      </w:r>
      <w:r>
        <w:rPr>
          <w:spacing w:val="-19"/>
        </w:rPr>
        <w:t> </w:t>
      </w:r>
      <w:r>
        <w:rPr/>
        <w:t>terreno</w:t>
      </w:r>
      <w:r>
        <w:rPr>
          <w:spacing w:val="-19"/>
        </w:rPr>
        <w:t> </w:t>
      </w:r>
      <w:r>
        <w:rPr/>
        <w:t>como</w:t>
      </w:r>
      <w:r>
        <w:rPr>
          <w:spacing w:val="-19"/>
        </w:rPr>
        <w:t> </w:t>
      </w:r>
      <w:r>
        <w:rPr/>
        <w:t>lo</w:t>
      </w:r>
      <w:r>
        <w:rPr>
          <w:spacing w:val="-19"/>
        </w:rPr>
        <w:t> </w:t>
      </w:r>
      <w:r>
        <w:rPr/>
        <w:t>menciona</w:t>
      </w:r>
      <w:r>
        <w:rPr>
          <w:spacing w:val="-19"/>
        </w:rPr>
        <w:t> </w:t>
      </w:r>
      <w:r>
        <w:rPr/>
        <w:t>Foster</w:t>
      </w:r>
      <w:r>
        <w:rPr>
          <w:spacing w:val="-19"/>
        </w:rPr>
        <w:t> </w:t>
      </w:r>
      <w:r>
        <w:rPr/>
        <w:t>(1985)</w:t>
      </w:r>
      <w:r>
        <w:rPr>
          <w:spacing w:val="-19"/>
        </w:rPr>
        <w:t> </w:t>
      </w:r>
      <w:r>
        <w:rPr/>
        <w:t>y</w:t>
      </w:r>
      <w:r>
        <w:rPr>
          <w:spacing w:val="-19"/>
        </w:rPr>
        <w:t> </w:t>
      </w:r>
      <w:r>
        <w:rPr/>
        <w:t>Martín-Fernández</w:t>
      </w:r>
      <w:r>
        <w:rPr>
          <w:w w:val="99"/>
        </w:rPr>
        <w:t> </w:t>
      </w:r>
      <w:r>
        <w:rPr/>
        <w:t>(2010). Más recientemente, se menciona como se puede se utilizan técnicas químicas en</w:t>
      </w:r>
      <w:r>
        <w:rPr>
          <w:spacing w:val="-6"/>
        </w:rPr>
        <w:t> </w:t>
      </w:r>
      <w:r>
        <w:rPr/>
        <w:t>la</w:t>
      </w:r>
      <w:r>
        <w:rPr>
          <w:spacing w:val="-6"/>
        </w:rPr>
        <w:t> </w:t>
      </w:r>
      <w:r>
        <w:rPr/>
        <w:t>determinación</w:t>
      </w:r>
      <w:r>
        <w:rPr>
          <w:spacing w:val="-6"/>
        </w:rPr>
        <w:t> </w:t>
      </w:r>
      <w:r>
        <w:rPr/>
        <w:t>indirecta</w:t>
      </w:r>
      <w:r>
        <w:rPr>
          <w:spacing w:val="-6"/>
        </w:rPr>
        <w:t> </w:t>
      </w:r>
      <w:r>
        <w:rPr/>
        <w:t>de</w:t>
      </w:r>
      <w:r>
        <w:rPr>
          <w:spacing w:val="-6"/>
        </w:rPr>
        <w:t> </w:t>
      </w:r>
      <w:r>
        <w:rPr/>
        <w:t>la</w:t>
      </w:r>
      <w:r>
        <w:rPr>
          <w:spacing w:val="-6"/>
        </w:rPr>
        <w:t> </w:t>
      </w:r>
      <w:r>
        <w:rPr/>
        <w:t>erosión</w:t>
      </w:r>
      <w:r>
        <w:rPr>
          <w:spacing w:val="-6"/>
        </w:rPr>
        <w:t> </w:t>
      </w:r>
      <w:r>
        <w:rPr/>
        <w:t>como</w:t>
      </w:r>
      <w:r>
        <w:rPr>
          <w:spacing w:val="-6"/>
        </w:rPr>
        <w:t> </w:t>
      </w:r>
      <w:r>
        <w:rPr/>
        <w:t>un</w:t>
      </w:r>
      <w:r>
        <w:rPr>
          <w:spacing w:val="-6"/>
        </w:rPr>
        <w:t> </w:t>
      </w:r>
      <w:r>
        <w:rPr/>
        <w:t>objetivo</w:t>
      </w:r>
      <w:r>
        <w:rPr>
          <w:spacing w:val="-6"/>
        </w:rPr>
        <w:t> </w:t>
      </w:r>
      <w:r>
        <w:rPr/>
        <w:t>para</w:t>
      </w:r>
      <w:r>
        <w:rPr>
          <w:spacing w:val="-6"/>
        </w:rPr>
        <w:t> </w:t>
      </w:r>
      <w:r>
        <w:rPr/>
        <w:t>que</w:t>
      </w:r>
      <w:r>
        <w:rPr>
          <w:spacing w:val="-6"/>
        </w:rPr>
        <w:t> </w:t>
      </w:r>
      <w:r>
        <w:rPr/>
        <w:t>las</w:t>
      </w:r>
      <w:r>
        <w:rPr>
          <w:spacing w:val="-6"/>
        </w:rPr>
        <w:t> </w:t>
      </w:r>
      <w:r>
        <w:rPr/>
        <w:t>estrategias</w:t>
      </w:r>
      <w:r>
        <w:rPr>
          <w:spacing w:val="-6"/>
        </w:rPr>
        <w:t> </w:t>
      </w:r>
      <w:r>
        <w:rPr/>
        <w:t>de conservación</w:t>
      </w:r>
      <w:r>
        <w:rPr>
          <w:spacing w:val="-13"/>
        </w:rPr>
        <w:t> </w:t>
      </w:r>
      <w:r>
        <w:rPr/>
        <w:t>de</w:t>
      </w:r>
      <w:r>
        <w:rPr>
          <w:spacing w:val="-13"/>
        </w:rPr>
        <w:t> </w:t>
      </w:r>
      <w:r>
        <w:rPr/>
        <w:t>los</w:t>
      </w:r>
      <w:r>
        <w:rPr>
          <w:spacing w:val="-13"/>
        </w:rPr>
        <w:t> </w:t>
      </w:r>
      <w:r>
        <w:rPr/>
        <w:t>recursos</w:t>
      </w:r>
      <w:r>
        <w:rPr>
          <w:spacing w:val="-13"/>
        </w:rPr>
        <w:t> </w:t>
      </w:r>
      <w:r>
        <w:rPr/>
        <w:t>naturales,</w:t>
      </w:r>
      <w:r>
        <w:rPr>
          <w:spacing w:val="-13"/>
        </w:rPr>
        <w:t> </w:t>
      </w:r>
      <w:r>
        <w:rPr/>
        <w:t>los</w:t>
      </w:r>
      <w:r>
        <w:rPr>
          <w:spacing w:val="-13"/>
        </w:rPr>
        <w:t> </w:t>
      </w:r>
      <w:r>
        <w:rPr/>
        <w:t>autores</w:t>
      </w:r>
      <w:r>
        <w:rPr>
          <w:spacing w:val="-13"/>
        </w:rPr>
        <w:t> </w:t>
      </w:r>
      <w:r>
        <w:rPr/>
        <w:t>coinciden</w:t>
      </w:r>
      <w:r>
        <w:rPr>
          <w:spacing w:val="-13"/>
        </w:rPr>
        <w:t> </w:t>
      </w:r>
      <w:r>
        <w:rPr/>
        <w:t>en</w:t>
      </w:r>
      <w:r>
        <w:rPr>
          <w:spacing w:val="-13"/>
        </w:rPr>
        <w:t> </w:t>
      </w:r>
      <w:r>
        <w:rPr/>
        <w:t>reconocer</w:t>
      </w:r>
      <w:r>
        <w:rPr>
          <w:spacing w:val="-13"/>
        </w:rPr>
        <w:t> </w:t>
      </w:r>
      <w:r>
        <w:rPr/>
        <w:t>y</w:t>
      </w:r>
      <w:r>
        <w:rPr>
          <w:spacing w:val="-13"/>
        </w:rPr>
        <w:t> </w:t>
      </w:r>
      <w:r>
        <w:rPr/>
        <w:t>determinar la erodabilidad para prevenir y conservar el suelo, Martín-Fernández (2010), Martínez et al (2009) ya que, además se pueden utilizar para desarrollar políticas</w:t>
      </w:r>
      <w:r>
        <w:rPr>
          <w:spacing w:val="-15"/>
        </w:rPr>
        <w:t> </w:t>
      </w:r>
      <w:r>
        <w:rPr/>
        <w:t>ambientales.</w:t>
      </w:r>
    </w:p>
    <w:p>
      <w:pPr>
        <w:pStyle w:val="BodyText"/>
        <w:spacing w:before="11"/>
      </w:pPr>
    </w:p>
    <w:p>
      <w:pPr>
        <w:pStyle w:val="BodyText"/>
        <w:spacing w:line="249" w:lineRule="auto"/>
        <w:ind w:left="130" w:firstLine="170"/>
        <w:jc w:val="both"/>
      </w:pPr>
      <w:r>
        <w:rPr/>
        <w:t>Saavedra</w:t>
      </w:r>
      <w:r>
        <w:rPr>
          <w:spacing w:val="-20"/>
        </w:rPr>
        <w:t> </w:t>
      </w:r>
      <w:r>
        <w:rPr/>
        <w:t>(2005),</w:t>
      </w:r>
      <w:r>
        <w:rPr>
          <w:spacing w:val="-20"/>
        </w:rPr>
        <w:t> </w:t>
      </w:r>
      <w:r>
        <w:rPr/>
        <w:t>hace</w:t>
      </w:r>
      <w:r>
        <w:rPr>
          <w:spacing w:val="-20"/>
        </w:rPr>
        <w:t> </w:t>
      </w:r>
      <w:r>
        <w:rPr/>
        <w:t>referencia</w:t>
      </w:r>
      <w:r>
        <w:rPr>
          <w:spacing w:val="-20"/>
        </w:rPr>
        <w:t> </w:t>
      </w:r>
      <w:r>
        <w:rPr/>
        <w:t>a</w:t>
      </w:r>
      <w:r>
        <w:rPr>
          <w:spacing w:val="-20"/>
        </w:rPr>
        <w:t> </w:t>
      </w:r>
      <w:r>
        <w:rPr/>
        <w:t>más</w:t>
      </w:r>
      <w:r>
        <w:rPr>
          <w:spacing w:val="-20"/>
        </w:rPr>
        <w:t> </w:t>
      </w:r>
      <w:r>
        <w:rPr/>
        <w:t>de</w:t>
      </w:r>
      <w:r>
        <w:rPr>
          <w:spacing w:val="-20"/>
        </w:rPr>
        <w:t> </w:t>
      </w:r>
      <w:r>
        <w:rPr/>
        <w:t>treinta</w:t>
      </w:r>
      <w:r>
        <w:rPr>
          <w:spacing w:val="-20"/>
        </w:rPr>
        <w:t> </w:t>
      </w:r>
      <w:r>
        <w:rPr/>
        <w:t>modelos</w:t>
      </w:r>
      <w:r>
        <w:rPr>
          <w:spacing w:val="-20"/>
        </w:rPr>
        <w:t> </w:t>
      </w:r>
      <w:r>
        <w:rPr/>
        <w:t>de</w:t>
      </w:r>
      <w:r>
        <w:rPr>
          <w:spacing w:val="-20"/>
        </w:rPr>
        <w:t> </w:t>
      </w:r>
      <w:r>
        <w:rPr/>
        <w:t>erosión</w:t>
      </w:r>
      <w:r>
        <w:rPr>
          <w:spacing w:val="-20"/>
        </w:rPr>
        <w:t> </w:t>
      </w:r>
      <w:r>
        <w:rPr/>
        <w:t>y</w:t>
      </w:r>
      <w:r>
        <w:rPr>
          <w:spacing w:val="-20"/>
        </w:rPr>
        <w:t> </w:t>
      </w:r>
      <w:r>
        <w:rPr/>
        <w:t>sedimentación destaca especificidad, así como la variedad de puntos de vista y metodologías a</w:t>
      </w:r>
      <w:r>
        <w:rPr>
          <w:spacing w:val="-24"/>
        </w:rPr>
        <w:t> </w:t>
      </w:r>
      <w:r>
        <w:rPr/>
        <w:t>seguir en la obtención de la estimación de la degradación de pérdida de suelo. La ecuación USLE/RUSLE fue aplicada por el Departamento de Agricultura de E.E. U.U., la cual dominó</w:t>
      </w:r>
      <w:r>
        <w:rPr>
          <w:spacing w:val="21"/>
        </w:rPr>
        <w:t> </w:t>
      </w:r>
      <w:r>
        <w:rPr/>
        <w:t>el</w:t>
      </w:r>
      <w:r>
        <w:rPr>
          <w:spacing w:val="21"/>
        </w:rPr>
        <w:t> </w:t>
      </w:r>
      <w:r>
        <w:rPr/>
        <w:t>tema</w:t>
      </w:r>
      <w:r>
        <w:rPr>
          <w:spacing w:val="21"/>
        </w:rPr>
        <w:t> </w:t>
      </w:r>
      <w:r>
        <w:rPr/>
        <w:t>casi</w:t>
      </w:r>
      <w:r>
        <w:rPr>
          <w:spacing w:val="21"/>
        </w:rPr>
        <w:t> </w:t>
      </w:r>
      <w:r>
        <w:rPr/>
        <w:t>un</w:t>
      </w:r>
      <w:r>
        <w:rPr>
          <w:spacing w:val="21"/>
        </w:rPr>
        <w:t> </w:t>
      </w:r>
      <w:r>
        <w:rPr/>
        <w:t>siglo.</w:t>
      </w:r>
      <w:r>
        <w:rPr>
          <w:spacing w:val="21"/>
        </w:rPr>
        <w:t> </w:t>
      </w:r>
      <w:r>
        <w:rPr/>
        <w:t>La</w:t>
      </w:r>
      <w:r>
        <w:rPr>
          <w:spacing w:val="21"/>
        </w:rPr>
        <w:t> </w:t>
      </w:r>
      <w:r>
        <w:rPr/>
        <w:t>ecuación</w:t>
      </w:r>
      <w:r>
        <w:rPr>
          <w:spacing w:val="21"/>
        </w:rPr>
        <w:t> </w:t>
      </w:r>
      <w:r>
        <w:rPr/>
        <w:t>USLE,</w:t>
      </w:r>
      <w:r>
        <w:rPr>
          <w:spacing w:val="21"/>
        </w:rPr>
        <w:t> </w:t>
      </w:r>
      <w:r>
        <w:rPr/>
        <w:t>original</w:t>
      </w:r>
      <w:r>
        <w:rPr>
          <w:spacing w:val="21"/>
        </w:rPr>
        <w:t> </w:t>
      </w:r>
      <w:r>
        <w:rPr/>
        <w:t>es</w:t>
      </w:r>
      <w:r>
        <w:rPr>
          <w:spacing w:val="21"/>
        </w:rPr>
        <w:t> </w:t>
      </w:r>
      <w:r>
        <w:rPr/>
        <w:t>revisada</w:t>
      </w:r>
      <w:r>
        <w:rPr>
          <w:spacing w:val="21"/>
        </w:rPr>
        <w:t> </w:t>
      </w:r>
      <w:r>
        <w:rPr/>
        <w:t>dando</w:t>
      </w:r>
      <w:r>
        <w:rPr>
          <w:spacing w:val="21"/>
        </w:rPr>
        <w:t> </w:t>
      </w:r>
      <w:r>
        <w:rPr/>
        <w:t>lugar</w:t>
      </w:r>
      <w:r>
        <w:rPr>
          <w:spacing w:val="21"/>
        </w:rPr>
        <w:t> </w:t>
      </w:r>
      <w:r>
        <w:rPr/>
        <w:t>a</w:t>
      </w:r>
    </w:p>
    <w:p>
      <w:pPr>
        <w:pStyle w:val="BodyText"/>
        <w:spacing w:line="249" w:lineRule="auto" w:before="76"/>
        <w:ind w:left="654" w:right="633"/>
        <w:jc w:val="both"/>
      </w:pPr>
      <w:r>
        <w:rPr/>
        <w:br w:type="column"/>
      </w:r>
      <w:r>
        <w:rPr/>
        <w:t>la RUSLE y después surge la ecuación MUSLE presenta modificaciones que tienden   a especificar más las condiciones del sitio. Se acota la distancia, se incorpora datos sobre</w:t>
      </w:r>
      <w:r>
        <w:rPr>
          <w:spacing w:val="-15"/>
        </w:rPr>
        <w:t> </w:t>
      </w:r>
      <w:r>
        <w:rPr/>
        <w:t>el</w:t>
      </w:r>
      <w:r>
        <w:rPr>
          <w:spacing w:val="-15"/>
        </w:rPr>
        <w:t> </w:t>
      </w:r>
      <w:r>
        <w:rPr/>
        <w:t>manejo</w:t>
      </w:r>
      <w:r>
        <w:rPr>
          <w:spacing w:val="-15"/>
        </w:rPr>
        <w:t> </w:t>
      </w:r>
      <w:r>
        <w:rPr/>
        <w:t>del</w:t>
      </w:r>
      <w:r>
        <w:rPr>
          <w:spacing w:val="-15"/>
        </w:rPr>
        <w:t> </w:t>
      </w:r>
      <w:r>
        <w:rPr/>
        <w:t>suelo,</w:t>
      </w:r>
      <w:r>
        <w:rPr>
          <w:spacing w:val="-15"/>
        </w:rPr>
        <w:t> </w:t>
      </w:r>
      <w:r>
        <w:rPr/>
        <w:t>se</w:t>
      </w:r>
      <w:r>
        <w:rPr>
          <w:spacing w:val="-15"/>
        </w:rPr>
        <w:t> </w:t>
      </w:r>
      <w:r>
        <w:rPr/>
        <w:t>ponderan</w:t>
      </w:r>
      <w:r>
        <w:rPr>
          <w:spacing w:val="-15"/>
        </w:rPr>
        <w:t> </w:t>
      </w:r>
      <w:r>
        <w:rPr/>
        <w:t>las</w:t>
      </w:r>
      <w:r>
        <w:rPr>
          <w:spacing w:val="-15"/>
        </w:rPr>
        <w:t> </w:t>
      </w:r>
      <w:r>
        <w:rPr/>
        <w:t>diferentes</w:t>
      </w:r>
      <w:r>
        <w:rPr>
          <w:spacing w:val="-15"/>
        </w:rPr>
        <w:t> </w:t>
      </w:r>
      <w:r>
        <w:rPr/>
        <w:t>técnicas</w:t>
      </w:r>
      <w:r>
        <w:rPr>
          <w:spacing w:val="-15"/>
        </w:rPr>
        <w:t> </w:t>
      </w:r>
      <w:r>
        <w:rPr/>
        <w:t>agrícolas.</w:t>
      </w:r>
      <w:r>
        <w:rPr>
          <w:spacing w:val="-15"/>
        </w:rPr>
        <w:t> </w:t>
      </w:r>
      <w:r>
        <w:rPr/>
        <w:t>Para</w:t>
      </w:r>
      <w:r>
        <w:rPr>
          <w:spacing w:val="-15"/>
        </w:rPr>
        <w:t> </w:t>
      </w:r>
      <w:r>
        <w:rPr/>
        <w:t>la</w:t>
      </w:r>
      <w:r>
        <w:rPr>
          <w:spacing w:val="-15"/>
        </w:rPr>
        <w:t> </w:t>
      </w:r>
      <w:r>
        <w:rPr/>
        <w:t>MUSLE se incorporan variables como el escurrimiento máximo instantáneo a fin de identificar sedimentos, Martínez</w:t>
      </w:r>
      <w:r>
        <w:rPr>
          <w:spacing w:val="-23"/>
        </w:rPr>
        <w:t> </w:t>
      </w:r>
      <w:r>
        <w:rPr/>
        <w:t>(2005).</w:t>
      </w:r>
    </w:p>
    <w:p>
      <w:pPr>
        <w:pStyle w:val="BodyText"/>
        <w:spacing w:before="11"/>
      </w:pPr>
    </w:p>
    <w:p>
      <w:pPr>
        <w:pStyle w:val="BodyText"/>
        <w:ind w:left="955"/>
      </w:pPr>
      <w:r>
        <w:rPr>
          <w:color w:val="6D6E71"/>
        </w:rPr>
        <w:t>Figura No.2 Esquema de estimación de la pérdida de suelo por erosión: RUSLE</w:t>
      </w:r>
    </w:p>
    <w:p>
      <w:pPr>
        <w:pStyle w:val="BodyText"/>
        <w:spacing w:before="10"/>
        <w:rPr>
          <w:sz w:val="9"/>
        </w:rPr>
      </w:pPr>
      <w:r>
        <w:rPr/>
        <w:drawing>
          <wp:anchor distT="0" distB="0" distL="0" distR="0" allowOverlap="1" layoutInCell="1" locked="0" behindDoc="0" simplePos="0" relativeHeight="6856">
            <wp:simplePos x="0" y="0"/>
            <wp:positionH relativeFrom="page">
              <wp:posOffset>6179753</wp:posOffset>
            </wp:positionH>
            <wp:positionV relativeFrom="paragraph">
              <wp:posOffset>97438</wp:posOffset>
            </wp:positionV>
            <wp:extent cx="5568819" cy="3131820"/>
            <wp:effectExtent l="0" t="0" r="0" b="0"/>
            <wp:wrapTopAndBottom/>
            <wp:docPr id="47" name="image42.jpeg" descr=""/>
            <wp:cNvGraphicFramePr>
              <a:graphicFrameLocks noChangeAspect="1"/>
            </wp:cNvGraphicFramePr>
            <a:graphic>
              <a:graphicData uri="http://schemas.openxmlformats.org/drawingml/2006/picture">
                <pic:pic>
                  <pic:nvPicPr>
                    <pic:cNvPr id="48" name="image42.jpeg"/>
                    <pic:cNvPicPr/>
                  </pic:nvPicPr>
                  <pic:blipFill>
                    <a:blip r:embed="rId170" cstate="print"/>
                    <a:stretch>
                      <a:fillRect/>
                    </a:stretch>
                  </pic:blipFill>
                  <pic:spPr>
                    <a:xfrm>
                      <a:off x="0" y="0"/>
                      <a:ext cx="5568819" cy="3131820"/>
                    </a:xfrm>
                    <a:prstGeom prst="rect">
                      <a:avLst/>
                    </a:prstGeom>
                  </pic:spPr>
                </pic:pic>
              </a:graphicData>
            </a:graphic>
          </wp:anchor>
        </w:drawing>
      </w:r>
    </w:p>
    <w:p>
      <w:pPr>
        <w:pStyle w:val="BodyText"/>
        <w:spacing w:line="249" w:lineRule="auto" w:before="175"/>
        <w:ind w:left="654" w:right="634" w:firstLine="170"/>
        <w:jc w:val="both"/>
      </w:pPr>
      <w:r>
        <w:rPr/>
        <w:t>Se realiza la definición de los factores para aplicarla ecuación USLE/RUSLE. Cardei (2010) refiere la versión modificada donde se señala algunas inconsistencias en la unidades, en la falta de comprobación de secciones, al ser adimensional algunas secciones ocasiona la imposibilidad de verificación mediante estas. A continuación se presenta la ecuación RUSLE (1), la utilizada para determinar la erosión hídrica</w:t>
      </w:r>
      <w:r>
        <w:rPr>
          <w:spacing w:val="-28"/>
        </w:rPr>
        <w:t> </w:t>
      </w:r>
      <w:r>
        <w:rPr/>
        <w:t>laminar, los factores y restricciones se adapta y definen de acuerdo al Manual de FAO (1990), Figura</w:t>
      </w:r>
      <w:r>
        <w:rPr>
          <w:spacing w:val="-8"/>
        </w:rPr>
        <w:t> </w:t>
      </w:r>
      <w:r>
        <w:rPr/>
        <w:t>1.</w:t>
      </w:r>
    </w:p>
    <w:p>
      <w:pPr>
        <w:pStyle w:val="BodyText"/>
        <w:spacing w:before="11"/>
      </w:pPr>
    </w:p>
    <w:p>
      <w:pPr>
        <w:pStyle w:val="BodyText"/>
        <w:spacing w:line="249" w:lineRule="auto"/>
        <w:ind w:left="654" w:right="634" w:firstLine="170"/>
        <w:jc w:val="both"/>
      </w:pPr>
      <w:r>
        <w:rPr/>
        <w:t>La facilidad que representa procesar mediante Sistemas de Información Geográfica (SIG), permiten hoy día aplicar alternativas indirectas con mayor facilidad, el proceso representado en la figura No. 2, sobre la estimación de la perdida de suelo mediante  la ecuación RUSLE, para</w:t>
      </w:r>
      <w:r>
        <w:rPr>
          <w:spacing w:val="-16"/>
        </w:rPr>
        <w:t> </w:t>
      </w:r>
      <w:r>
        <w:rPr/>
        <w:t>CU.</w:t>
      </w:r>
    </w:p>
    <w:p>
      <w:pPr>
        <w:spacing w:after="0" w:line="249" w:lineRule="auto"/>
        <w:jc w:val="both"/>
        <w:sectPr>
          <w:type w:val="continuous"/>
          <w:pgSz w:w="18830" w:h="12760" w:orient="landscape"/>
          <w:pgMar w:top="1420" w:bottom="280" w:left="720" w:right="220"/>
          <w:cols w:num="2" w:equalWidth="0">
            <w:col w:w="7842" w:space="1039"/>
            <w:col w:w="9009"/>
          </w:cols>
        </w:sectPr>
      </w:pPr>
    </w:p>
    <w:p>
      <w:pPr>
        <w:pStyle w:val="BodyText"/>
        <w:spacing w:before="5"/>
        <w:rPr>
          <w:sz w:val="23"/>
        </w:rPr>
      </w:pPr>
    </w:p>
    <w:p>
      <w:pPr>
        <w:spacing w:after="0"/>
        <w:rPr>
          <w:sz w:val="23"/>
        </w:rPr>
        <w:sectPr>
          <w:footerReference w:type="default" r:id="rId171"/>
          <w:pgSz w:w="18830" w:h="12760" w:orient="landscape"/>
          <w:pgMar w:footer="1036" w:header="522" w:top="820" w:bottom="1220" w:left="720" w:right="720"/>
        </w:sectPr>
      </w:pPr>
    </w:p>
    <w:p>
      <w:pPr>
        <w:pStyle w:val="BodyText"/>
        <w:spacing w:line="249" w:lineRule="auto" w:before="77"/>
        <w:ind w:left="130" w:right="-12" w:firstLine="170"/>
      </w:pPr>
      <w:r>
        <w:rPr/>
        <w:t>En la figura No. 3 se identifica la zona de estudio, caracterizada por presentar uso</w:t>
      </w:r>
      <w:r>
        <w:rPr>
          <w:spacing w:val="-17"/>
        </w:rPr>
        <w:t> </w:t>
      </w:r>
      <w:r>
        <w:rPr/>
        <w:t>de suelo mayoritariamente intervenido con </w:t>
      </w:r>
      <w:r>
        <w:rPr>
          <w:spacing w:val="5"/>
        </w:rPr>
        <w:t> </w:t>
      </w:r>
      <w:r>
        <w:rPr/>
        <w:t>construcciones</w:t>
      </w:r>
    </w:p>
    <w:p>
      <w:pPr>
        <w:pStyle w:val="BodyText"/>
        <w:spacing w:line="249" w:lineRule="auto" w:before="76"/>
        <w:ind w:left="130" w:firstLine="170"/>
      </w:pPr>
      <w:r>
        <w:rPr/>
        <w:br w:type="column"/>
      </w:r>
      <w:r>
        <w:rPr/>
        <w:t>Con el escenario de un paisaje natural perturbado se realizó la estimación como proceso  indirecto.</w:t>
      </w:r>
    </w:p>
    <w:p>
      <w:pPr>
        <w:spacing w:after="0" w:line="249" w:lineRule="auto"/>
        <w:sectPr>
          <w:type w:val="continuous"/>
          <w:pgSz w:w="18830" w:h="12760" w:orient="landscape"/>
          <w:pgMar w:top="1420" w:bottom="280" w:left="720" w:right="720"/>
          <w:cols w:num="2" w:equalWidth="0">
            <w:col w:w="7840" w:space="1585"/>
            <w:col w:w="7965"/>
          </w:cols>
        </w:sectPr>
      </w:pPr>
    </w:p>
    <w:p>
      <w:pPr>
        <w:pStyle w:val="BodyText"/>
        <w:spacing w:before="3"/>
        <w:rPr>
          <w:sz w:val="14"/>
        </w:rPr>
      </w:pPr>
    </w:p>
    <w:p>
      <w:pPr>
        <w:spacing w:after="0"/>
        <w:rPr>
          <w:sz w:val="14"/>
        </w:rPr>
        <w:sectPr>
          <w:type w:val="continuous"/>
          <w:pgSz w:w="18830" w:h="12760" w:orient="landscape"/>
          <w:pgMar w:top="1420" w:bottom="280" w:left="720" w:right="720"/>
        </w:sectPr>
      </w:pPr>
    </w:p>
    <w:p>
      <w:pPr>
        <w:spacing w:before="114"/>
        <w:ind w:left="1791" w:right="0" w:firstLine="0"/>
        <w:jc w:val="left"/>
        <w:rPr>
          <w:sz w:val="16"/>
        </w:rPr>
      </w:pPr>
      <w:r>
        <w:rPr>
          <w:color w:val="6D6E71"/>
          <w:sz w:val="16"/>
        </w:rPr>
        <w:t>Figura No. 3 Ciudad Universitaria , Toluca, Estado de México.</w:t>
      </w:r>
    </w:p>
    <w:p>
      <w:pPr>
        <w:pStyle w:val="BodyText"/>
      </w:pPr>
      <w:r>
        <w:rPr/>
        <w:br w:type="column"/>
      </w:r>
      <w:r>
        <w:rPr/>
      </w:r>
    </w:p>
    <w:p>
      <w:pPr>
        <w:pStyle w:val="BodyText"/>
        <w:rPr>
          <w:sz w:val="22"/>
        </w:rPr>
      </w:pPr>
    </w:p>
    <w:p>
      <w:pPr>
        <w:pStyle w:val="BodyText"/>
        <w:spacing w:line="216" w:lineRule="exact"/>
        <w:ind w:left="54" w:right="-20"/>
      </w:pPr>
      <w:r>
        <w:rPr/>
        <w:t>El área de estudio se ubica en el poniente de Toluca.</w:t>
      </w:r>
    </w:p>
    <w:p>
      <w:pPr>
        <w:pStyle w:val="BodyText"/>
        <w:spacing w:before="3"/>
        <w:rPr>
          <w:sz w:val="27"/>
        </w:rPr>
      </w:pPr>
    </w:p>
    <w:p>
      <w:pPr>
        <w:pStyle w:val="BodyText"/>
        <w:ind w:left="54" w:right="-20"/>
      </w:pPr>
      <w:r>
        <w:rPr/>
        <w:t>Superficie: 37</w:t>
      </w:r>
    </w:p>
    <w:p>
      <w:pPr>
        <w:pStyle w:val="Heading4"/>
        <w:numPr>
          <w:ilvl w:val="1"/>
          <w:numId w:val="16"/>
        </w:numPr>
        <w:tabs>
          <w:tab w:pos="2642" w:val="left" w:leader="none"/>
          <w:tab w:pos="2643" w:val="left" w:leader="none"/>
        </w:tabs>
        <w:spacing w:line="240" w:lineRule="auto" w:before="76" w:after="0"/>
        <w:ind w:left="2642" w:right="0" w:hanging="2287"/>
        <w:jc w:val="left"/>
        <w:rPr>
          <w:i w:val="0"/>
          <w:sz w:val="11"/>
        </w:rPr>
      </w:pPr>
      <w:r>
        <w:rPr>
          <w:i/>
          <w:w w:val="94"/>
        </w:rPr>
        <w:br w:type="column"/>
      </w:r>
      <w:r>
        <w:rPr>
          <w:i/>
        </w:rPr>
        <w:t>A = R K (LS) C P </w:t>
      </w:r>
      <w:r>
        <w:rPr>
          <w:i/>
          <w:spacing w:val="13"/>
        </w:rPr>
        <w:t> </w:t>
      </w:r>
      <w:r>
        <w:rPr>
          <w:i/>
        </w:rPr>
        <w:t>(RUSLE</w:t>
      </w:r>
      <w:r>
        <w:rPr>
          <w:i w:val="0"/>
        </w:rPr>
        <w:t>)</w:t>
      </w:r>
      <w:r>
        <w:rPr>
          <w:i w:val="0"/>
          <w:position w:val="6"/>
          <w:sz w:val="11"/>
        </w:rPr>
        <w:t>24</w:t>
      </w:r>
    </w:p>
    <w:p>
      <w:pPr>
        <w:pStyle w:val="BodyText"/>
        <w:spacing w:before="9"/>
        <w:rPr>
          <w:b/>
          <w:sz w:val="21"/>
        </w:rPr>
      </w:pPr>
    </w:p>
    <w:p>
      <w:pPr>
        <w:pStyle w:val="BodyText"/>
        <w:ind w:left="300" w:right="-8"/>
      </w:pPr>
      <w:r>
        <w:rPr>
          <w:b/>
        </w:rPr>
        <w:t>D</w:t>
      </w:r>
      <w:r>
        <w:rPr/>
        <w:t>ónde: A representan la estimación de la erosión hídrica (1) revisada.</w:t>
      </w:r>
    </w:p>
    <w:p>
      <w:pPr>
        <w:pStyle w:val="BodyText"/>
        <w:spacing w:before="8"/>
        <w:rPr>
          <w:sz w:val="21"/>
        </w:rPr>
      </w:pPr>
    </w:p>
    <w:p>
      <w:pPr>
        <w:pStyle w:val="BodyText"/>
        <w:spacing w:line="249" w:lineRule="auto"/>
        <w:ind w:left="130" w:right="-8" w:firstLine="170"/>
      </w:pPr>
      <w:r>
        <w:rPr>
          <w:b/>
        </w:rPr>
        <w:t>A = </w:t>
      </w:r>
      <w:r>
        <w:rPr/>
        <w:t>es la pérdida de suelo por unidad de superficie, medida en toneladas por unidad de superficie (t/ha).</w:t>
      </w:r>
    </w:p>
    <w:p>
      <w:pPr>
        <w:pStyle w:val="BodyText"/>
        <w:spacing w:before="11"/>
      </w:pPr>
    </w:p>
    <w:p>
      <w:pPr>
        <w:spacing w:line="145" w:lineRule="exact" w:before="0"/>
        <w:ind w:left="300" w:right="-8" w:firstLine="0"/>
        <w:jc w:val="left"/>
        <w:rPr>
          <w:sz w:val="20"/>
        </w:rPr>
      </w:pPr>
      <w:r>
        <w:rPr>
          <w:b/>
          <w:sz w:val="20"/>
        </w:rPr>
        <w:t>R es el factor de erosividad o clima </w:t>
      </w:r>
      <w:r>
        <w:rPr>
          <w:sz w:val="20"/>
        </w:rPr>
        <w:t>o de lluvia, se define en forma de un índice</w:t>
      </w:r>
    </w:p>
    <w:p>
      <w:pPr>
        <w:spacing w:after="0" w:line="145" w:lineRule="exact"/>
        <w:jc w:val="left"/>
        <w:rPr>
          <w:sz w:val="20"/>
        </w:rPr>
        <w:sectPr>
          <w:type w:val="continuous"/>
          <w:pgSz w:w="18830" w:h="12760" w:orient="landscape"/>
          <w:pgMar w:top="1420" w:bottom="280" w:left="720" w:right="720"/>
          <w:cols w:num="3" w:equalWidth="0">
            <w:col w:w="6406" w:space="40"/>
            <w:col w:w="1589" w:space="1391"/>
            <w:col w:w="7964"/>
          </w:cols>
        </w:sectPr>
      </w:pPr>
    </w:p>
    <w:p>
      <w:pPr>
        <w:pStyle w:val="BodyText"/>
        <w:spacing w:line="204" w:lineRule="exact"/>
        <w:ind w:left="6499" w:right="91"/>
      </w:pPr>
      <w:r>
        <w:rPr/>
        <w:drawing>
          <wp:anchor distT="0" distB="0" distL="0" distR="0" allowOverlap="1" layoutInCell="1" locked="0" behindDoc="0" simplePos="0" relativeHeight="6904">
            <wp:simplePos x="0" y="0"/>
            <wp:positionH relativeFrom="page">
              <wp:posOffset>540004</wp:posOffset>
            </wp:positionH>
            <wp:positionV relativeFrom="paragraph">
              <wp:posOffset>-978253</wp:posOffset>
            </wp:positionV>
            <wp:extent cx="3984574" cy="5722035"/>
            <wp:effectExtent l="0" t="0" r="0" b="0"/>
            <wp:wrapNone/>
            <wp:docPr id="49" name="image43.jpeg" descr=""/>
            <wp:cNvGraphicFramePr>
              <a:graphicFrameLocks noChangeAspect="1"/>
            </wp:cNvGraphicFramePr>
            <a:graphic>
              <a:graphicData uri="http://schemas.openxmlformats.org/drawingml/2006/picture">
                <pic:pic>
                  <pic:nvPicPr>
                    <pic:cNvPr id="50" name="image43.jpeg"/>
                    <pic:cNvPicPr/>
                  </pic:nvPicPr>
                  <pic:blipFill>
                    <a:blip r:embed="rId172" cstate="print"/>
                    <a:stretch>
                      <a:fillRect/>
                    </a:stretch>
                  </pic:blipFill>
                  <pic:spPr>
                    <a:xfrm>
                      <a:off x="0" y="0"/>
                      <a:ext cx="3984574" cy="5722035"/>
                    </a:xfrm>
                    <a:prstGeom prst="rect">
                      <a:avLst/>
                    </a:prstGeom>
                  </pic:spPr>
                </pic:pic>
              </a:graphicData>
            </a:graphic>
          </wp:anchor>
        </w:drawing>
      </w:r>
      <w:r>
        <w:rPr/>
        <w:t>hectáreas.</w:t>
      </w:r>
    </w:p>
    <w:p>
      <w:pPr>
        <w:pStyle w:val="BodyText"/>
        <w:spacing w:before="7"/>
        <w:rPr>
          <w:sz w:val="28"/>
        </w:rPr>
      </w:pPr>
    </w:p>
    <w:p>
      <w:pPr>
        <w:pStyle w:val="BodyText"/>
        <w:spacing w:line="216" w:lineRule="exact" w:before="1"/>
        <w:ind w:left="6499" w:right="91"/>
      </w:pPr>
      <w:r>
        <w:rPr/>
        <w:t>La precipitación corresponde al periodo de 1981</w:t>
      </w:r>
    </w:p>
    <w:p>
      <w:pPr>
        <w:pStyle w:val="BodyText"/>
        <w:spacing w:line="215" w:lineRule="exact"/>
        <w:ind w:left="6499" w:right="91"/>
      </w:pPr>
      <w:r>
        <w:rPr/>
        <w:t>a 2010.</w:t>
      </w:r>
    </w:p>
    <w:p>
      <w:pPr>
        <w:pStyle w:val="BodyText"/>
        <w:spacing w:before="7"/>
        <w:rPr>
          <w:sz w:val="28"/>
        </w:rPr>
      </w:pPr>
    </w:p>
    <w:p>
      <w:pPr>
        <w:pStyle w:val="BodyText"/>
        <w:spacing w:line="216" w:lineRule="exact" w:before="1"/>
        <w:ind w:left="6499" w:right="191"/>
      </w:pPr>
      <w:r>
        <w:rPr/>
        <w:t>El promedio de precipitación anual de: 887.6mm.</w:t>
      </w:r>
    </w:p>
    <w:p>
      <w:pPr>
        <w:pStyle w:val="BodyText"/>
        <w:spacing w:before="7"/>
        <w:rPr>
          <w:sz w:val="28"/>
        </w:rPr>
      </w:pPr>
    </w:p>
    <w:p>
      <w:pPr>
        <w:pStyle w:val="BodyText"/>
        <w:spacing w:line="216" w:lineRule="exact"/>
        <w:ind w:left="6499" w:right="214"/>
      </w:pPr>
      <w:r>
        <w:rPr/>
        <w:t>El paisaje antrópico está compuesto por edificaciones educativas,</w:t>
      </w:r>
    </w:p>
    <w:p>
      <w:pPr>
        <w:pStyle w:val="BodyText"/>
        <w:spacing w:line="216" w:lineRule="exact"/>
        <w:ind w:left="6499" w:right="-20"/>
      </w:pPr>
      <w:r>
        <w:rPr/>
        <w:t>un estadio universitario, estacionamientos impermeables, andadores caminos y escalinatas.</w:t>
      </w:r>
    </w:p>
    <w:p>
      <w:pPr>
        <w:pStyle w:val="BodyText"/>
        <w:spacing w:before="7"/>
        <w:rPr>
          <w:sz w:val="28"/>
        </w:rPr>
      </w:pPr>
    </w:p>
    <w:p>
      <w:pPr>
        <w:pStyle w:val="BodyText"/>
        <w:spacing w:line="216" w:lineRule="exact"/>
        <w:ind w:left="6499" w:right="108"/>
      </w:pPr>
      <w:r>
        <w:rPr/>
        <w:t>El paisaje natural presenta masa arbolada y pastizal principalmente.</w:t>
      </w:r>
    </w:p>
    <w:p>
      <w:pPr>
        <w:pStyle w:val="BodyText"/>
        <w:spacing w:line="190" w:lineRule="exact" w:before="94"/>
        <w:ind w:left="144"/>
        <w:jc w:val="both"/>
      </w:pPr>
      <w:r>
        <w:rPr/>
        <w:br w:type="column"/>
      </w:r>
      <w:r>
        <w:rPr/>
        <w:t>(</w:t>
      </w:r>
      <w:r>
        <w:rPr>
          <w:b/>
        </w:rPr>
        <w:t>EI  </w:t>
      </w:r>
      <w:r>
        <w:rPr/>
        <w:t>), que es medido por el poder erosivo de la lluvia expresado en toneladas métricas</w:t>
      </w:r>
    </w:p>
    <w:p>
      <w:pPr>
        <w:spacing w:line="68" w:lineRule="exact" w:before="0"/>
        <w:ind w:left="384" w:right="-10" w:firstLine="0"/>
        <w:jc w:val="left"/>
        <w:rPr>
          <w:b/>
          <w:sz w:val="11"/>
        </w:rPr>
      </w:pPr>
      <w:r>
        <w:rPr>
          <w:b/>
          <w:w w:val="105"/>
          <w:sz w:val="11"/>
        </w:rPr>
        <w:t>30</w:t>
      </w:r>
    </w:p>
    <w:p>
      <w:pPr>
        <w:pStyle w:val="BodyText"/>
        <w:spacing w:line="212" w:lineRule="exact"/>
        <w:ind w:left="144"/>
        <w:jc w:val="both"/>
      </w:pPr>
      <w:r>
        <w:rPr/>
        <w:t>por hectárea hora o bien en joule por hectárea, es una medida de la fuerza erosiva</w:t>
      </w:r>
    </w:p>
    <w:p>
      <w:pPr>
        <w:pStyle w:val="BodyText"/>
        <w:spacing w:line="249" w:lineRule="auto" w:before="10"/>
        <w:ind w:left="144" w:right="113"/>
        <w:jc w:val="both"/>
      </w:pPr>
      <w:r>
        <w:rPr/>
        <w:t>de la lluvia y del escurrimiento asociado. Expresa la energía cinética por la máxima intensidad</w:t>
      </w:r>
      <w:r>
        <w:rPr>
          <w:spacing w:val="-4"/>
        </w:rPr>
        <w:t> </w:t>
      </w:r>
      <w:r>
        <w:rPr/>
        <w:t>en</w:t>
      </w:r>
      <w:r>
        <w:rPr>
          <w:spacing w:val="-4"/>
        </w:rPr>
        <w:t> </w:t>
      </w:r>
      <w:r>
        <w:rPr/>
        <w:t>30</w:t>
      </w:r>
      <w:r>
        <w:rPr>
          <w:spacing w:val="-4"/>
        </w:rPr>
        <w:t> </w:t>
      </w:r>
      <w:r>
        <w:rPr/>
        <w:t>minutos</w:t>
      </w:r>
      <w:r>
        <w:rPr>
          <w:spacing w:val="-4"/>
        </w:rPr>
        <w:t> </w:t>
      </w:r>
      <w:r>
        <w:rPr/>
        <w:t>de</w:t>
      </w:r>
      <w:r>
        <w:rPr>
          <w:spacing w:val="-4"/>
        </w:rPr>
        <w:t> </w:t>
      </w:r>
      <w:r>
        <w:rPr/>
        <w:t>las</w:t>
      </w:r>
      <w:r>
        <w:rPr>
          <w:spacing w:val="-4"/>
        </w:rPr>
        <w:t> </w:t>
      </w:r>
      <w:r>
        <w:rPr/>
        <w:t>lluvias</w:t>
      </w:r>
      <w:r>
        <w:rPr>
          <w:spacing w:val="-4"/>
        </w:rPr>
        <w:t> </w:t>
      </w:r>
      <w:r>
        <w:rPr/>
        <w:t>en</w:t>
      </w:r>
      <w:r>
        <w:rPr>
          <w:spacing w:val="-4"/>
        </w:rPr>
        <w:t> </w:t>
      </w:r>
      <w:r>
        <w:rPr/>
        <w:t>milímetros</w:t>
      </w:r>
      <w:r>
        <w:rPr>
          <w:spacing w:val="-4"/>
        </w:rPr>
        <w:t> </w:t>
      </w:r>
      <w:r>
        <w:rPr/>
        <w:t>por</w:t>
      </w:r>
      <w:r>
        <w:rPr>
          <w:spacing w:val="-4"/>
        </w:rPr>
        <w:t> </w:t>
      </w:r>
      <w:r>
        <w:rPr/>
        <w:t>hora.</w:t>
      </w:r>
      <w:r>
        <w:rPr>
          <w:spacing w:val="-4"/>
        </w:rPr>
        <w:t> </w:t>
      </w:r>
      <w:r>
        <w:rPr/>
        <w:t>Para</w:t>
      </w:r>
      <w:r>
        <w:rPr>
          <w:spacing w:val="-4"/>
        </w:rPr>
        <w:t> </w:t>
      </w:r>
      <w:r>
        <w:rPr/>
        <w:t>el</w:t>
      </w:r>
      <w:r>
        <w:rPr>
          <w:spacing w:val="-4"/>
        </w:rPr>
        <w:t> </w:t>
      </w:r>
      <w:r>
        <w:rPr/>
        <w:t>presente</w:t>
      </w:r>
      <w:r>
        <w:rPr>
          <w:spacing w:val="-4"/>
        </w:rPr>
        <w:t> </w:t>
      </w:r>
      <w:r>
        <w:rPr/>
        <w:t>estudio se utilizó la fórmula de fuerza para determinar el factor R, con la precipitación de una serie de 29</w:t>
      </w:r>
      <w:r>
        <w:rPr>
          <w:spacing w:val="-5"/>
        </w:rPr>
        <w:t> </w:t>
      </w:r>
      <w:r>
        <w:rPr/>
        <w:t>años.</w:t>
      </w:r>
    </w:p>
    <w:p>
      <w:pPr>
        <w:pStyle w:val="BodyText"/>
        <w:spacing w:before="11"/>
      </w:pPr>
    </w:p>
    <w:p>
      <w:pPr>
        <w:pStyle w:val="ListParagraph"/>
        <w:numPr>
          <w:ilvl w:val="1"/>
          <w:numId w:val="16"/>
        </w:numPr>
        <w:tabs>
          <w:tab w:pos="3657" w:val="left" w:leader="none"/>
          <w:tab w:pos="3658" w:val="left" w:leader="none"/>
        </w:tabs>
        <w:spacing w:line="240" w:lineRule="auto" w:before="0" w:after="0"/>
        <w:ind w:left="3657" w:right="0" w:hanging="3343"/>
        <w:jc w:val="left"/>
        <w:rPr>
          <w:b/>
          <w:sz w:val="20"/>
        </w:rPr>
      </w:pPr>
      <w:r>
        <w:rPr>
          <w:b/>
          <w:sz w:val="20"/>
        </w:rPr>
        <w:t>R = f</w:t>
      </w:r>
      <w:r>
        <w:rPr>
          <w:b/>
          <w:spacing w:val="6"/>
          <w:sz w:val="20"/>
        </w:rPr>
        <w:t> </w:t>
      </w:r>
      <w:r>
        <w:rPr>
          <w:b/>
          <w:sz w:val="20"/>
        </w:rPr>
        <w:t>*p</w:t>
      </w:r>
    </w:p>
    <w:p>
      <w:pPr>
        <w:pStyle w:val="BodyText"/>
        <w:spacing w:before="8"/>
        <w:rPr>
          <w:b/>
          <w:sz w:val="21"/>
        </w:rPr>
      </w:pPr>
    </w:p>
    <w:p>
      <w:pPr>
        <w:pStyle w:val="ListParagraph"/>
        <w:numPr>
          <w:ilvl w:val="1"/>
          <w:numId w:val="16"/>
        </w:numPr>
        <w:tabs>
          <w:tab w:pos="3713" w:val="left" w:leader="none"/>
          <w:tab w:pos="3714" w:val="left" w:leader="none"/>
        </w:tabs>
        <w:spacing w:line="240" w:lineRule="auto" w:before="0" w:after="0"/>
        <w:ind w:left="3713" w:right="0" w:hanging="3399"/>
        <w:jc w:val="left"/>
        <w:rPr>
          <w:b/>
          <w:sz w:val="20"/>
        </w:rPr>
      </w:pPr>
      <w:r>
        <w:rPr>
          <w:b/>
          <w:sz w:val="20"/>
        </w:rPr>
        <w:t>f =</w:t>
      </w:r>
      <w:r>
        <w:rPr>
          <w:b/>
          <w:spacing w:val="13"/>
          <w:sz w:val="20"/>
        </w:rPr>
        <w:t> </w:t>
      </w:r>
      <w:r>
        <w:rPr>
          <w:b/>
          <w:sz w:val="20"/>
        </w:rPr>
        <w:t>m*a</w:t>
      </w:r>
    </w:p>
    <w:p>
      <w:pPr>
        <w:pStyle w:val="BodyText"/>
        <w:spacing w:before="8"/>
        <w:rPr>
          <w:b/>
          <w:sz w:val="21"/>
        </w:rPr>
      </w:pPr>
    </w:p>
    <w:p>
      <w:pPr>
        <w:pStyle w:val="BodyText"/>
        <w:ind w:left="314" w:right="-10"/>
      </w:pPr>
      <w:r>
        <w:rPr/>
        <w:t>Dónde:</w:t>
      </w:r>
    </w:p>
    <w:p>
      <w:pPr>
        <w:pStyle w:val="BodyText"/>
        <w:spacing w:line="249" w:lineRule="auto" w:before="10"/>
        <w:ind w:left="314" w:right="4667"/>
      </w:pPr>
      <w:r>
        <w:rPr/>
        <w:t>R = factor de riego de erosividad. f =   fuerza de la tormenta.</w:t>
      </w:r>
    </w:p>
    <w:p>
      <w:pPr>
        <w:pStyle w:val="BodyText"/>
        <w:spacing w:before="1"/>
        <w:ind w:left="314" w:right="-10"/>
      </w:pPr>
      <w:r>
        <w:rPr>
          <w:w w:val="105"/>
        </w:rPr>
        <w:t>p = precipitación</w:t>
      </w:r>
    </w:p>
    <w:p>
      <w:pPr>
        <w:pStyle w:val="BodyText"/>
        <w:spacing w:line="249" w:lineRule="auto" w:before="10"/>
        <w:ind w:left="314" w:right="4966"/>
      </w:pPr>
      <w:r>
        <w:rPr/>
        <w:t>m = masa de la precipitación. a = aceleración.</w:t>
      </w:r>
    </w:p>
    <w:p>
      <w:pPr>
        <w:pStyle w:val="BodyText"/>
        <w:spacing w:before="11"/>
      </w:pPr>
    </w:p>
    <w:p>
      <w:pPr>
        <w:pStyle w:val="BodyText"/>
        <w:spacing w:line="249" w:lineRule="auto"/>
        <w:ind w:left="144" w:right="113" w:firstLine="170"/>
        <w:jc w:val="both"/>
      </w:pPr>
      <w:r>
        <w:rPr>
          <w:b/>
        </w:rPr>
        <w:t>K</w:t>
      </w:r>
      <w:r>
        <w:rPr>
          <w:b/>
          <w:spacing w:val="-28"/>
        </w:rPr>
        <w:t> </w:t>
      </w:r>
      <w:r>
        <w:rPr>
          <w:b/>
        </w:rPr>
        <w:t>es</w:t>
      </w:r>
      <w:r>
        <w:rPr>
          <w:b/>
          <w:spacing w:val="-28"/>
        </w:rPr>
        <w:t> </w:t>
      </w:r>
      <w:r>
        <w:rPr>
          <w:b/>
        </w:rPr>
        <w:t>el</w:t>
      </w:r>
      <w:r>
        <w:rPr>
          <w:b/>
          <w:spacing w:val="-28"/>
        </w:rPr>
        <w:t> </w:t>
      </w:r>
      <w:r>
        <w:rPr>
          <w:b/>
        </w:rPr>
        <w:t>factor</w:t>
      </w:r>
      <w:r>
        <w:rPr>
          <w:b/>
          <w:spacing w:val="-28"/>
        </w:rPr>
        <w:t> </w:t>
      </w:r>
      <w:r>
        <w:rPr>
          <w:b/>
        </w:rPr>
        <w:t>suelo,</w:t>
      </w:r>
      <w:r>
        <w:rPr>
          <w:b/>
          <w:spacing w:val="-28"/>
        </w:rPr>
        <w:t> </w:t>
      </w:r>
      <w:r>
        <w:rPr>
          <w:b/>
        </w:rPr>
        <w:t>erodabilidad</w:t>
      </w:r>
      <w:r>
        <w:rPr>
          <w:b/>
          <w:spacing w:val="-28"/>
        </w:rPr>
        <w:t> </w:t>
      </w:r>
      <w:r>
        <w:rPr/>
        <w:t>(erosionabilidad)</w:t>
      </w:r>
      <w:r>
        <w:rPr>
          <w:spacing w:val="-28"/>
        </w:rPr>
        <w:t> </w:t>
      </w:r>
      <w:r>
        <w:rPr/>
        <w:t>del</w:t>
      </w:r>
      <w:r>
        <w:rPr>
          <w:spacing w:val="-28"/>
        </w:rPr>
        <w:t> </w:t>
      </w:r>
      <w:r>
        <w:rPr/>
        <w:t>suelo,</w:t>
      </w:r>
      <w:r>
        <w:rPr>
          <w:spacing w:val="-28"/>
        </w:rPr>
        <w:t> </w:t>
      </w:r>
      <w:r>
        <w:rPr/>
        <w:t>en</w:t>
      </w:r>
      <w:r>
        <w:rPr>
          <w:spacing w:val="-28"/>
        </w:rPr>
        <w:t> </w:t>
      </w:r>
      <w:r>
        <w:rPr/>
        <w:t>tonelada</w:t>
      </w:r>
      <w:r>
        <w:rPr>
          <w:spacing w:val="-28"/>
        </w:rPr>
        <w:t> </w:t>
      </w:r>
      <w:r>
        <w:rPr/>
        <w:t>por</w:t>
      </w:r>
      <w:r>
        <w:rPr>
          <w:spacing w:val="-28"/>
        </w:rPr>
        <w:t> </w:t>
      </w:r>
      <w:r>
        <w:rPr/>
        <w:t>hectárea por unidad de erosividad R. En este caso se definió como factor de erodabilidad a la textura del suelo, debido a que en las 37 hectáreas se reporta un solo tipo de suelo Feozem INEGI (2015). En parcelas se determina la profundidad del suelo, la</w:t>
      </w:r>
      <w:r>
        <w:rPr>
          <w:spacing w:val="-34"/>
        </w:rPr>
        <w:t> </w:t>
      </w:r>
      <w:r>
        <w:rPr/>
        <w:t>infiltración entre otros aspectos. Algunos autores como Bonilla et al (2010), determinan el factor utilizando información aún más detallada. En el presente trabajo se determinó el factor K de acuerdo a la cartografía edafológica del INEGI</w:t>
      </w:r>
      <w:r>
        <w:rPr>
          <w:spacing w:val="-22"/>
        </w:rPr>
        <w:t> </w:t>
      </w:r>
      <w:r>
        <w:rPr/>
        <w:t>(2015).</w:t>
      </w:r>
    </w:p>
    <w:p>
      <w:pPr>
        <w:pStyle w:val="BodyText"/>
      </w:pPr>
    </w:p>
    <w:p>
      <w:pPr>
        <w:pStyle w:val="BodyText"/>
      </w:pPr>
    </w:p>
    <w:p>
      <w:pPr>
        <w:pStyle w:val="BodyText"/>
      </w:pPr>
    </w:p>
    <w:p>
      <w:pPr>
        <w:pStyle w:val="BodyText"/>
      </w:pPr>
    </w:p>
    <w:p>
      <w:pPr>
        <w:pStyle w:val="BodyText"/>
        <w:spacing w:before="3"/>
        <w:rPr>
          <w:sz w:val="15"/>
        </w:rPr>
      </w:pPr>
      <w:r>
        <w:rPr/>
        <w:pict>
          <v:line style="position:absolute;mso-position-horizontal-relative:page;mso-position-vertical-relative:paragraph;z-index:6880;mso-wrap-distance-left:0;mso-wrap-distance-right:0" from="513.070923pt,11.243392pt" to="898.582923pt,11.243392pt" stroked="true" strokeweight="1pt" strokecolor="#bcbec0">
            <w10:wrap type="topAndBottom"/>
          </v:line>
        </w:pict>
      </w:r>
    </w:p>
    <w:p>
      <w:pPr>
        <w:spacing w:before="73"/>
        <w:ind w:left="130" w:right="0" w:firstLine="0"/>
        <w:jc w:val="both"/>
        <w:rPr>
          <w:sz w:val="14"/>
        </w:rPr>
      </w:pPr>
      <w:r>
        <w:rPr>
          <w:color w:val="6D6E71"/>
          <w:position w:val="5"/>
          <w:sz w:val="8"/>
        </w:rPr>
        <w:t>24.</w:t>
      </w:r>
      <w:r>
        <w:rPr>
          <w:color w:val="6D6E71"/>
          <w:sz w:val="14"/>
        </w:rPr>
        <w:t>Bonilla Carlos A. et al. (2009)</w:t>
      </w:r>
    </w:p>
    <w:p>
      <w:pPr>
        <w:spacing w:after="0"/>
        <w:jc w:val="both"/>
        <w:rPr>
          <w:sz w:val="14"/>
        </w:rPr>
        <w:sectPr>
          <w:type w:val="continuous"/>
          <w:pgSz w:w="18830" w:h="12760" w:orient="landscape"/>
          <w:pgMar w:top="1420" w:bottom="280" w:left="720" w:right="720"/>
          <w:cols w:num="2" w:equalWidth="0">
            <w:col w:w="8056" w:space="1355"/>
            <w:col w:w="7979"/>
          </w:cols>
        </w:sectPr>
      </w:pPr>
    </w:p>
    <w:p>
      <w:pPr>
        <w:pStyle w:val="BodyText"/>
        <w:spacing w:before="6"/>
        <w:rPr>
          <w:sz w:val="23"/>
        </w:rPr>
      </w:pPr>
    </w:p>
    <w:p>
      <w:pPr>
        <w:spacing w:after="0"/>
        <w:rPr>
          <w:sz w:val="23"/>
        </w:rPr>
        <w:sectPr>
          <w:footerReference w:type="default" r:id="rId173"/>
          <w:pgSz w:w="18830" w:h="12760" w:orient="landscape"/>
          <w:pgMar w:footer="1036" w:header="522" w:top="820" w:bottom="1220" w:left="720" w:right="720"/>
        </w:sectPr>
      </w:pPr>
    </w:p>
    <w:p>
      <w:pPr>
        <w:pStyle w:val="BodyText"/>
        <w:spacing w:line="249" w:lineRule="auto" w:before="76"/>
        <w:ind w:left="129" w:firstLine="170"/>
        <w:jc w:val="both"/>
      </w:pPr>
      <w:r>
        <w:rPr>
          <w:b/>
        </w:rPr>
        <w:t>L</w:t>
      </w:r>
      <w:r>
        <w:rPr>
          <w:b/>
          <w:spacing w:val="-12"/>
        </w:rPr>
        <w:t> </w:t>
      </w:r>
      <w:r>
        <w:rPr>
          <w:b/>
        </w:rPr>
        <w:t>es</w:t>
      </w:r>
      <w:r>
        <w:rPr>
          <w:b/>
          <w:spacing w:val="-12"/>
        </w:rPr>
        <w:t> </w:t>
      </w:r>
      <w:r>
        <w:rPr>
          <w:b/>
        </w:rPr>
        <w:t>el</w:t>
      </w:r>
      <w:r>
        <w:rPr>
          <w:b/>
          <w:spacing w:val="-12"/>
        </w:rPr>
        <w:t> </w:t>
      </w:r>
      <w:r>
        <w:rPr>
          <w:b/>
        </w:rPr>
        <w:t>factor</w:t>
      </w:r>
      <w:r>
        <w:rPr>
          <w:b/>
          <w:spacing w:val="-12"/>
        </w:rPr>
        <w:t> </w:t>
      </w:r>
      <w:r>
        <w:rPr>
          <w:b/>
        </w:rPr>
        <w:t>longitud</w:t>
      </w:r>
      <w:r>
        <w:rPr>
          <w:b/>
          <w:spacing w:val="-12"/>
        </w:rPr>
        <w:t> </w:t>
      </w:r>
      <w:r>
        <w:rPr>
          <w:b/>
        </w:rPr>
        <w:t>de</w:t>
      </w:r>
      <w:r>
        <w:rPr>
          <w:b/>
          <w:spacing w:val="-12"/>
        </w:rPr>
        <w:t> </w:t>
      </w:r>
      <w:r>
        <w:rPr>
          <w:b/>
        </w:rPr>
        <w:t>ladera</w:t>
      </w:r>
      <w:r>
        <w:rPr/>
        <w:t>,</w:t>
      </w:r>
      <w:r>
        <w:rPr>
          <w:spacing w:val="-12"/>
        </w:rPr>
        <w:t> </w:t>
      </w:r>
      <w:r>
        <w:rPr/>
        <w:t>aporta</w:t>
      </w:r>
      <w:r>
        <w:rPr>
          <w:spacing w:val="-12"/>
        </w:rPr>
        <w:t> </w:t>
      </w:r>
      <w:r>
        <w:rPr/>
        <w:t>información</w:t>
      </w:r>
      <w:r>
        <w:rPr>
          <w:spacing w:val="-12"/>
        </w:rPr>
        <w:t> </w:t>
      </w:r>
      <w:r>
        <w:rPr/>
        <w:t>sobre</w:t>
      </w:r>
      <w:r>
        <w:rPr>
          <w:spacing w:val="-12"/>
        </w:rPr>
        <w:t> </w:t>
      </w:r>
      <w:r>
        <w:rPr/>
        <w:t>pérdida</w:t>
      </w:r>
      <w:r>
        <w:rPr>
          <w:spacing w:val="-12"/>
        </w:rPr>
        <w:t> </w:t>
      </w:r>
      <w:r>
        <w:rPr/>
        <w:t>de</w:t>
      </w:r>
      <w:r>
        <w:rPr>
          <w:spacing w:val="-12"/>
        </w:rPr>
        <w:t> </w:t>
      </w:r>
      <w:r>
        <w:rPr/>
        <w:t>suelo</w:t>
      </w:r>
      <w:r>
        <w:rPr>
          <w:spacing w:val="-12"/>
        </w:rPr>
        <w:t> </w:t>
      </w:r>
      <w:r>
        <w:rPr/>
        <w:t>causada por el flujo en surcos a lo largo de la pendiente del terreno y de una longitud definida de 22.13 m, ésta condición se adaptó a 20 metros por cuestiones de facilidad. El valor más detallado en la RUSLE incorpora mediciones 1.0 pie en lugar de 400 pies</w:t>
      </w:r>
      <w:r>
        <w:rPr>
          <w:spacing w:val="-22"/>
        </w:rPr>
        <w:t> </w:t>
      </w:r>
      <w:r>
        <w:rPr/>
        <w:t>utilizada en</w:t>
      </w:r>
      <w:r>
        <w:rPr>
          <w:spacing w:val="-11"/>
        </w:rPr>
        <w:t> </w:t>
      </w:r>
      <w:r>
        <w:rPr/>
        <w:t>la</w:t>
      </w:r>
      <w:r>
        <w:rPr>
          <w:spacing w:val="-11"/>
        </w:rPr>
        <w:t> </w:t>
      </w:r>
      <w:r>
        <w:rPr/>
        <w:t>USLE.</w:t>
      </w:r>
      <w:r>
        <w:rPr>
          <w:spacing w:val="-11"/>
        </w:rPr>
        <w:t> </w:t>
      </w:r>
      <w:r>
        <w:rPr/>
        <w:t>Wan</w:t>
      </w:r>
      <w:r>
        <w:rPr>
          <w:spacing w:val="-11"/>
        </w:rPr>
        <w:t> </w:t>
      </w:r>
      <w:r>
        <w:rPr/>
        <w:t>et</w:t>
      </w:r>
      <w:r>
        <w:rPr>
          <w:spacing w:val="-11"/>
        </w:rPr>
        <w:t> </w:t>
      </w:r>
      <w:r>
        <w:rPr/>
        <w:t>al</w:t>
      </w:r>
      <w:r>
        <w:rPr>
          <w:spacing w:val="-11"/>
        </w:rPr>
        <w:t> </w:t>
      </w:r>
      <w:r>
        <w:rPr/>
        <w:t>(2013),</w:t>
      </w:r>
    </w:p>
    <w:p>
      <w:pPr>
        <w:pStyle w:val="BodyText"/>
        <w:spacing w:line="249" w:lineRule="auto" w:before="76"/>
        <w:ind w:left="129" w:right="127"/>
        <w:jc w:val="both"/>
      </w:pPr>
      <w:r>
        <w:rPr/>
        <w:br w:type="column"/>
      </w:r>
      <w:r>
        <w:rPr/>
        <w:t>en la ausencia de cualquier cobertura vegetal (C) o práctica de manejo (P). Los dos últimos factores reducen esta pérdida potencial para compensar los efectos de uso de la tierra, manejo y prácticas especiales con determinada mecánica de labranza. Con  la ecuación USLE/RUSLE se define la erosión en Ciudad Universitaria. Los factores: R (clima- erosividad), K (suelo-erodabilidad), L (longitud factor de longitud de ladera) S (pendiente comparada), C (cobertura vegetal), fueron procesados excepto P </w:t>
      </w:r>
      <w:r>
        <w:rPr>
          <w:spacing w:val="53"/>
        </w:rPr>
        <w:t> </w:t>
      </w:r>
      <w:r>
        <w:rPr/>
        <w:t>(práctica</w:t>
      </w:r>
    </w:p>
    <w:p>
      <w:pPr>
        <w:spacing w:after="0" w:line="249" w:lineRule="auto"/>
        <w:jc w:val="both"/>
        <w:sectPr>
          <w:type w:val="continuous"/>
          <w:pgSz w:w="18830" w:h="12760" w:orient="landscape"/>
          <w:pgMar w:top="1420" w:bottom="280" w:left="720" w:right="720"/>
          <w:cols w:num="2" w:equalWidth="0">
            <w:col w:w="7841" w:space="1571"/>
            <w:col w:w="7978"/>
          </w:cols>
        </w:sectPr>
      </w:pPr>
    </w:p>
    <w:p>
      <w:pPr>
        <w:tabs>
          <w:tab w:pos="410" w:val="left" w:leader="none"/>
        </w:tabs>
        <w:spacing w:line="159" w:lineRule="exact" w:before="1"/>
        <w:ind w:left="0" w:right="0" w:firstLine="0"/>
        <w:jc w:val="right"/>
        <w:rPr>
          <w:sz w:val="20"/>
        </w:rPr>
      </w:pPr>
      <w:r>
        <w:rPr>
          <w:sz w:val="20"/>
        </w:rPr>
        <w:t>(A</w:t>
        <w:tab/>
        <w:t>+ D</w:t>
      </w:r>
      <w:r>
        <w:rPr>
          <w:position w:val="7"/>
          <w:sz w:val="11"/>
        </w:rPr>
        <w:t>2</w:t>
      </w:r>
      <w:r>
        <w:rPr>
          <w:sz w:val="20"/>
        </w:rPr>
        <w:t>) </w:t>
      </w:r>
      <w:r>
        <w:rPr>
          <w:position w:val="7"/>
          <w:sz w:val="11"/>
        </w:rPr>
        <w:t>m+1</w:t>
      </w:r>
      <w:r>
        <w:rPr>
          <w:spacing w:val="12"/>
          <w:position w:val="7"/>
          <w:sz w:val="11"/>
        </w:rPr>
        <w:t> </w:t>
      </w:r>
      <w:r>
        <w:rPr>
          <w:sz w:val="20"/>
        </w:rPr>
        <w:t>-A</w:t>
      </w:r>
    </w:p>
    <w:p>
      <w:pPr>
        <w:spacing w:before="19"/>
        <w:ind w:left="103" w:right="-14" w:firstLine="0"/>
        <w:jc w:val="left"/>
        <w:rPr>
          <w:sz w:val="11"/>
        </w:rPr>
      </w:pPr>
      <w:r>
        <w:rPr/>
        <w:br w:type="column"/>
      </w:r>
      <w:r>
        <w:rPr>
          <w:w w:val="105"/>
          <w:sz w:val="11"/>
        </w:rPr>
        <w:t>m+1</w:t>
      </w:r>
    </w:p>
    <w:p>
      <w:pPr>
        <w:pStyle w:val="BodyText"/>
        <w:spacing w:line="159" w:lineRule="exact" w:before="1"/>
        <w:ind w:left="3308"/>
      </w:pPr>
      <w:r>
        <w:rPr/>
        <w:br w:type="column"/>
      </w:r>
      <w:r>
        <w:rPr/>
        <w:t>de</w:t>
      </w:r>
      <w:r>
        <w:rPr>
          <w:spacing w:val="-11"/>
        </w:rPr>
        <w:t> </w:t>
      </w:r>
      <w:r>
        <w:rPr/>
        <w:t>manejo)</w:t>
      </w:r>
      <w:r>
        <w:rPr>
          <w:spacing w:val="-11"/>
        </w:rPr>
        <w:t> </w:t>
      </w:r>
      <w:r>
        <w:rPr/>
        <w:t>dado</w:t>
      </w:r>
      <w:r>
        <w:rPr>
          <w:spacing w:val="-11"/>
        </w:rPr>
        <w:t> </w:t>
      </w:r>
      <w:r>
        <w:rPr/>
        <w:t>que</w:t>
      </w:r>
      <w:r>
        <w:rPr>
          <w:spacing w:val="-11"/>
        </w:rPr>
        <w:t> </w:t>
      </w:r>
      <w:r>
        <w:rPr/>
        <w:t>no</w:t>
      </w:r>
      <w:r>
        <w:rPr>
          <w:spacing w:val="-11"/>
        </w:rPr>
        <w:t> </w:t>
      </w:r>
      <w:r>
        <w:rPr/>
        <w:t>se</w:t>
      </w:r>
      <w:r>
        <w:rPr>
          <w:spacing w:val="-11"/>
        </w:rPr>
        <w:t> </w:t>
      </w:r>
      <w:r>
        <w:rPr/>
        <w:t>llevan</w:t>
      </w:r>
      <w:r>
        <w:rPr>
          <w:spacing w:val="-11"/>
        </w:rPr>
        <w:t> </w:t>
      </w:r>
      <w:r>
        <w:rPr/>
        <w:t>a</w:t>
      </w:r>
      <w:r>
        <w:rPr>
          <w:spacing w:val="-11"/>
        </w:rPr>
        <w:t> </w:t>
      </w:r>
      <w:r>
        <w:rPr/>
        <w:t>cabo</w:t>
      </w:r>
      <w:r>
        <w:rPr>
          <w:spacing w:val="-11"/>
        </w:rPr>
        <w:t> </w:t>
      </w:r>
      <w:r>
        <w:rPr/>
        <w:t>actividades</w:t>
      </w:r>
      <w:r>
        <w:rPr>
          <w:spacing w:val="-11"/>
        </w:rPr>
        <w:t> </w:t>
      </w:r>
      <w:r>
        <w:rPr/>
        <w:t>de</w:t>
      </w:r>
      <w:r>
        <w:rPr>
          <w:spacing w:val="-11"/>
        </w:rPr>
        <w:t> </w:t>
      </w:r>
      <w:r>
        <w:rPr/>
        <w:t>labranza</w:t>
      </w:r>
      <w:r>
        <w:rPr>
          <w:spacing w:val="-11"/>
        </w:rPr>
        <w:t> </w:t>
      </w:r>
      <w:r>
        <w:rPr/>
        <w:t>de</w:t>
      </w:r>
      <w:r>
        <w:rPr>
          <w:spacing w:val="-11"/>
        </w:rPr>
        <w:t> </w:t>
      </w:r>
      <w:r>
        <w:rPr/>
        <w:t>la</w:t>
      </w:r>
      <w:r>
        <w:rPr>
          <w:spacing w:val="-11"/>
        </w:rPr>
        <w:t> </w:t>
      </w:r>
      <w:r>
        <w:rPr/>
        <w:t>tierra.</w:t>
      </w:r>
      <w:r>
        <w:rPr>
          <w:spacing w:val="-11"/>
        </w:rPr>
        <w:t> </w:t>
      </w:r>
      <w:r>
        <w:rPr/>
        <w:t>La</w:t>
      </w:r>
      <w:r>
        <w:rPr>
          <w:spacing w:val="-11"/>
        </w:rPr>
        <w:t> </w:t>
      </w:r>
      <w:r>
        <w:rPr/>
        <w:t>erosión</w:t>
      </w:r>
    </w:p>
    <w:p>
      <w:pPr>
        <w:spacing w:after="0" w:line="159" w:lineRule="exact"/>
        <w:sectPr>
          <w:type w:val="continuous"/>
          <w:pgSz w:w="18830" w:h="12760" w:orient="landscape"/>
          <w:pgMar w:top="1420" w:bottom="280" w:left="720" w:right="720"/>
          <w:cols w:num="3" w:equalWidth="0">
            <w:col w:w="4681" w:space="40"/>
            <w:col w:w="337" w:space="1175"/>
            <w:col w:w="11157"/>
          </w:cols>
        </w:sectPr>
      </w:pPr>
    </w:p>
    <w:p>
      <w:pPr>
        <w:tabs>
          <w:tab w:pos="4680" w:val="left" w:leader="none"/>
        </w:tabs>
        <w:spacing w:line="105" w:lineRule="exact" w:before="0"/>
        <w:ind w:left="3545" w:right="0" w:firstLine="0"/>
        <w:jc w:val="left"/>
        <w:rPr>
          <w:sz w:val="11"/>
        </w:rPr>
      </w:pPr>
      <w:r>
        <w:rPr>
          <w:b/>
          <w:sz w:val="11"/>
        </w:rPr>
        <w:t>(i,j)</w:t>
        <w:tab/>
      </w:r>
      <w:r>
        <w:rPr>
          <w:sz w:val="11"/>
        </w:rPr>
        <w:t>(i,j)</w:t>
      </w:r>
    </w:p>
    <w:p>
      <w:pPr>
        <w:spacing w:after="0" w:line="105" w:lineRule="exact"/>
        <w:jc w:val="left"/>
        <w:rPr>
          <w:sz w:val="11"/>
        </w:rPr>
        <w:sectPr>
          <w:type w:val="continuous"/>
          <w:pgSz w:w="18830" w:h="12760" w:orient="landscape"/>
          <w:pgMar w:top="1420" w:bottom="280" w:left="720" w:right="720"/>
        </w:sectPr>
      </w:pPr>
    </w:p>
    <w:p>
      <w:pPr>
        <w:pStyle w:val="BodyText"/>
        <w:tabs>
          <w:tab w:pos="2831" w:val="left" w:leader="none"/>
        </w:tabs>
        <w:spacing w:line="206" w:lineRule="exact"/>
        <w:ind w:left="696"/>
      </w:pPr>
      <w:r>
        <w:rPr>
          <w:b/>
          <w:w w:val="110"/>
        </w:rPr>
        <w:t>(5)</w:t>
        <w:tab/>
        <w:t>L  </w:t>
      </w:r>
      <w:r>
        <w:rPr>
          <w:w w:val="110"/>
        </w:rPr>
        <w:t>= </w:t>
      </w:r>
      <w:r>
        <w:rPr>
          <w:spacing w:val="44"/>
          <w:w w:val="110"/>
        </w:rPr>
        <w:t> </w:t>
      </w:r>
      <w:r>
        <w:rPr>
          <w:w w:val="110"/>
        </w:rPr>
        <w:t>--------------------------------</w:t>
      </w:r>
    </w:p>
    <w:p>
      <w:pPr>
        <w:spacing w:before="10"/>
        <w:ind w:left="3421" w:right="0" w:firstLine="0"/>
        <w:jc w:val="left"/>
        <w:rPr>
          <w:sz w:val="11"/>
        </w:rPr>
      </w:pPr>
      <w:r>
        <w:rPr>
          <w:sz w:val="20"/>
        </w:rPr>
        <w:t>x</w:t>
      </w:r>
      <w:r>
        <w:rPr>
          <w:position w:val="7"/>
          <w:sz w:val="11"/>
        </w:rPr>
        <w:t>m</w:t>
      </w:r>
      <w:r>
        <w:rPr>
          <w:sz w:val="20"/>
        </w:rPr>
        <w:t>* D </w:t>
      </w:r>
      <w:r>
        <w:rPr>
          <w:position w:val="7"/>
          <w:sz w:val="11"/>
        </w:rPr>
        <w:t>m+2  </w:t>
      </w:r>
      <w:r>
        <w:rPr>
          <w:sz w:val="20"/>
        </w:rPr>
        <w:t>* (22.13)</w:t>
      </w:r>
      <w:r>
        <w:rPr>
          <w:position w:val="7"/>
          <w:sz w:val="11"/>
        </w:rPr>
        <w:t>m</w:t>
      </w:r>
    </w:p>
    <w:p>
      <w:pPr>
        <w:pStyle w:val="BodyText"/>
        <w:spacing w:before="10"/>
        <w:ind w:left="299"/>
      </w:pPr>
      <w:r>
        <w:rPr/>
        <w:t>Donde:</w:t>
      </w:r>
    </w:p>
    <w:p>
      <w:pPr>
        <w:pStyle w:val="BodyText"/>
        <w:spacing w:line="249" w:lineRule="auto" w:before="10"/>
        <w:ind w:left="299" w:right="3270"/>
      </w:pPr>
      <w:r>
        <w:rPr/>
        <w:t>L = longitud de ladera A= acumulación de flujo D= dirección del flujo</w:t>
      </w:r>
    </w:p>
    <w:p>
      <w:pPr>
        <w:pStyle w:val="BodyText"/>
        <w:spacing w:line="204" w:lineRule="exact" w:before="1"/>
        <w:ind w:left="299"/>
      </w:pPr>
      <w:r>
        <w:rPr/>
        <w:drawing>
          <wp:anchor distT="0" distB="0" distL="0" distR="0" allowOverlap="1" layoutInCell="1" locked="0" behindDoc="0" simplePos="0" relativeHeight="6928">
            <wp:simplePos x="0" y="0"/>
            <wp:positionH relativeFrom="page">
              <wp:posOffset>7299987</wp:posOffset>
            </wp:positionH>
            <wp:positionV relativeFrom="paragraph">
              <wp:posOffset>-178088</wp:posOffset>
            </wp:positionV>
            <wp:extent cx="3328026" cy="4526508"/>
            <wp:effectExtent l="0" t="0" r="0" b="0"/>
            <wp:wrapNone/>
            <wp:docPr id="51" name="image44.jpeg" descr=""/>
            <wp:cNvGraphicFramePr>
              <a:graphicFrameLocks noChangeAspect="1"/>
            </wp:cNvGraphicFramePr>
            <a:graphic>
              <a:graphicData uri="http://schemas.openxmlformats.org/drawingml/2006/picture">
                <pic:pic>
                  <pic:nvPicPr>
                    <pic:cNvPr id="52" name="image44.jpeg"/>
                    <pic:cNvPicPr/>
                  </pic:nvPicPr>
                  <pic:blipFill>
                    <a:blip r:embed="rId174" cstate="print"/>
                    <a:stretch>
                      <a:fillRect/>
                    </a:stretch>
                  </pic:blipFill>
                  <pic:spPr>
                    <a:xfrm>
                      <a:off x="0" y="0"/>
                      <a:ext cx="3328026" cy="4526508"/>
                    </a:xfrm>
                    <a:prstGeom prst="rect">
                      <a:avLst/>
                    </a:prstGeom>
                  </pic:spPr>
                </pic:pic>
              </a:graphicData>
            </a:graphic>
          </wp:anchor>
        </w:drawing>
      </w:r>
      <w:r>
        <w:rPr/>
        <w:t>x = sección de ángulo</w:t>
      </w:r>
    </w:p>
    <w:p>
      <w:pPr>
        <w:pStyle w:val="BodyText"/>
        <w:spacing w:line="206" w:lineRule="exact"/>
        <w:ind w:left="299"/>
      </w:pPr>
      <w:r>
        <w:rPr/>
        <w:br w:type="column"/>
      </w:r>
      <w:r>
        <w:rPr/>
        <w:t>hídrica laminar mediante el método indirecto se presentan en la figura No. 2.</w:t>
      </w:r>
    </w:p>
    <w:p>
      <w:pPr>
        <w:pStyle w:val="BodyText"/>
        <w:spacing w:before="8"/>
        <w:rPr>
          <w:sz w:val="21"/>
        </w:rPr>
      </w:pPr>
    </w:p>
    <w:p>
      <w:pPr>
        <w:pStyle w:val="BodyText"/>
        <w:spacing w:line="249" w:lineRule="auto"/>
        <w:ind w:left="2810" w:hanging="2495"/>
      </w:pPr>
      <w:r>
        <w:rPr>
          <w:color w:val="6D6E71"/>
        </w:rPr>
        <w:t>Figura No. 3 Estimación de la erosión laminar en toneladas por año en Ciudad Univer- sitaria UAEM, Toluca, México.</w:t>
      </w:r>
    </w:p>
    <w:p>
      <w:pPr>
        <w:spacing w:after="0" w:line="249" w:lineRule="auto"/>
        <w:sectPr>
          <w:type w:val="continuous"/>
          <w:pgSz w:w="18830" w:h="12760" w:orient="landscape"/>
          <w:pgMar w:top="1420" w:bottom="280" w:left="720" w:right="720"/>
          <w:cols w:num="2" w:equalWidth="0">
            <w:col w:w="5729" w:space="3512"/>
            <w:col w:w="8149"/>
          </w:cols>
        </w:sectPr>
      </w:pPr>
    </w:p>
    <w:p>
      <w:pPr>
        <w:pStyle w:val="BodyText"/>
        <w:spacing w:line="181" w:lineRule="exact"/>
        <w:ind w:left="4032"/>
      </w:pPr>
      <w:r>
        <w:rPr/>
        <w:t>senβ/ 0.0896</w:t>
      </w:r>
    </w:p>
    <w:p>
      <w:pPr>
        <w:tabs>
          <w:tab w:pos="3665" w:val="left" w:leader="none"/>
          <w:tab w:pos="5367" w:val="left" w:leader="none"/>
        </w:tabs>
        <w:spacing w:line="180" w:lineRule="exact" w:before="0"/>
        <w:ind w:left="696" w:right="0" w:firstLine="0"/>
        <w:jc w:val="left"/>
        <w:rPr>
          <w:sz w:val="20"/>
        </w:rPr>
      </w:pPr>
      <w:r>
        <w:rPr>
          <w:b/>
          <w:sz w:val="20"/>
        </w:rPr>
        <w:t>(6)</w:t>
        <w:tab/>
      </w:r>
      <w:r>
        <w:rPr>
          <w:sz w:val="20"/>
        </w:rPr>
        <w:t>F=   </w:t>
      </w:r>
      <w:r>
        <w:rPr>
          <w:w w:val="100"/>
          <w:sz w:val="20"/>
          <w:u w:val="single"/>
        </w:rPr>
        <w:t> </w:t>
      </w:r>
      <w:r>
        <w:rPr>
          <w:sz w:val="20"/>
          <w:u w:val="single"/>
        </w:rPr>
        <w:tab/>
      </w:r>
    </w:p>
    <w:p>
      <w:pPr>
        <w:pStyle w:val="BodyText"/>
        <w:spacing w:line="205" w:lineRule="exact"/>
        <w:ind w:left="3977"/>
      </w:pPr>
      <w:r>
        <w:rPr/>
        <w:t>3 (senβ) </w:t>
      </w:r>
      <w:r>
        <w:rPr>
          <w:position w:val="7"/>
          <w:sz w:val="11"/>
        </w:rPr>
        <w:t>0.8</w:t>
      </w:r>
      <w:r>
        <w:rPr/>
        <w:t>+ 0.56</w:t>
      </w:r>
    </w:p>
    <w:p>
      <w:pPr>
        <w:pStyle w:val="BodyText"/>
        <w:spacing w:before="6"/>
        <w:rPr>
          <w:sz w:val="16"/>
        </w:rPr>
      </w:pPr>
    </w:p>
    <w:p>
      <w:pPr>
        <w:pStyle w:val="BodyText"/>
        <w:ind w:left="299"/>
      </w:pPr>
      <w:r>
        <w:rPr/>
        <w:t>Donde:</w:t>
      </w:r>
    </w:p>
    <w:p>
      <w:pPr>
        <w:pStyle w:val="BodyText"/>
        <w:spacing w:line="223" w:lineRule="exact" w:before="10"/>
        <w:ind w:left="299"/>
      </w:pPr>
      <w:r>
        <w:rPr/>
        <w:t>F es factor de Fournier.</w:t>
      </w:r>
    </w:p>
    <w:p>
      <w:pPr>
        <w:tabs>
          <w:tab w:pos="3609" w:val="left" w:leader="none"/>
        </w:tabs>
        <w:spacing w:line="223" w:lineRule="exact" w:before="0"/>
        <w:ind w:left="696" w:right="0" w:firstLine="0"/>
        <w:jc w:val="left"/>
        <w:rPr>
          <w:sz w:val="20"/>
        </w:rPr>
      </w:pPr>
      <w:r>
        <w:rPr>
          <w:b/>
          <w:sz w:val="20"/>
        </w:rPr>
        <w:t>(6)</w:t>
        <w:tab/>
      </w:r>
      <w:r>
        <w:rPr>
          <w:sz w:val="20"/>
        </w:rPr>
        <w:t>m = F</w:t>
      </w:r>
      <w:r>
        <w:rPr>
          <w:spacing w:val="6"/>
          <w:sz w:val="20"/>
        </w:rPr>
        <w:t> </w:t>
      </w:r>
      <w:r>
        <w:rPr>
          <w:sz w:val="20"/>
        </w:rPr>
        <w:t>/1+F</w:t>
      </w:r>
    </w:p>
    <w:p>
      <w:pPr>
        <w:pStyle w:val="BodyText"/>
        <w:spacing w:before="9"/>
        <w:rPr>
          <w:sz w:val="23"/>
        </w:rPr>
      </w:pPr>
    </w:p>
    <w:p>
      <w:pPr>
        <w:pStyle w:val="BodyText"/>
        <w:spacing w:line="249" w:lineRule="auto"/>
        <w:ind w:left="129" w:right="9540" w:firstLine="170"/>
        <w:jc w:val="both"/>
      </w:pPr>
      <w:r>
        <w:rPr>
          <w:b/>
        </w:rPr>
        <w:t>S es el factor gradiente o pendiente </w:t>
      </w:r>
      <w:r>
        <w:rPr/>
        <w:t>de ladera es un gradiente, expresa la relación de pérdida de suelo relacionando: concentración y flujo de la pendiente específica de 9%, y de suelo en condiciones similares por unidad de  área.</w:t>
      </w:r>
    </w:p>
    <w:p>
      <w:pPr>
        <w:pStyle w:val="BodyText"/>
        <w:spacing w:before="1"/>
        <w:rPr>
          <w:sz w:val="9"/>
        </w:rPr>
      </w:pPr>
    </w:p>
    <w:p>
      <w:pPr>
        <w:spacing w:after="0"/>
        <w:rPr>
          <w:sz w:val="9"/>
        </w:rPr>
        <w:sectPr>
          <w:type w:val="continuous"/>
          <w:pgSz w:w="18830" w:h="12760" w:orient="landscape"/>
          <w:pgMar w:top="1420" w:bottom="280" w:left="720" w:right="720"/>
        </w:sectPr>
      </w:pPr>
    </w:p>
    <w:p>
      <w:pPr>
        <w:pStyle w:val="BodyText"/>
        <w:spacing w:before="3"/>
        <w:rPr>
          <w:sz w:val="22"/>
        </w:rPr>
      </w:pPr>
    </w:p>
    <w:p>
      <w:pPr>
        <w:pStyle w:val="Heading3"/>
        <w:ind w:left="696" w:right="-19"/>
      </w:pPr>
      <w:r>
        <w:rPr/>
        <w:t>(7) S</w:t>
      </w:r>
    </w:p>
    <w:p>
      <w:pPr>
        <w:pStyle w:val="BodyText"/>
        <w:rPr>
          <w:b/>
          <w:sz w:val="12"/>
        </w:rPr>
      </w:pPr>
      <w:r>
        <w:rPr/>
        <w:br w:type="column"/>
      </w:r>
      <w:r>
        <w:rPr>
          <w:b/>
          <w:sz w:val="12"/>
        </w:rPr>
      </w:r>
    </w:p>
    <w:p>
      <w:pPr>
        <w:pStyle w:val="BodyText"/>
        <w:rPr>
          <w:b/>
          <w:sz w:val="12"/>
        </w:rPr>
      </w:pPr>
    </w:p>
    <w:p>
      <w:pPr>
        <w:pStyle w:val="BodyText"/>
        <w:spacing w:before="4"/>
        <w:rPr>
          <w:b/>
          <w:sz w:val="11"/>
        </w:rPr>
      </w:pPr>
    </w:p>
    <w:p>
      <w:pPr>
        <w:spacing w:before="0"/>
        <w:ind w:left="15" w:right="0" w:firstLine="0"/>
        <w:jc w:val="left"/>
        <w:rPr>
          <w:b/>
          <w:sz w:val="11"/>
        </w:rPr>
      </w:pPr>
      <w:r>
        <w:rPr/>
        <w:pict>
          <v:shape style="position:absolute;margin-left:104.295601pt;margin-top:-6.244213pt;width:5.85pt;height:10pt;mso-position-horizontal-relative:page;mso-position-vertical-relative:paragraph;z-index:6952" type="#_x0000_t202" filled="false" stroked="false">
            <v:textbox inset="0,0,0,0">
              <w:txbxContent>
                <w:p>
                  <w:pPr>
                    <w:spacing w:line="200" w:lineRule="exact" w:before="0"/>
                    <w:ind w:left="0" w:right="0" w:firstLine="0"/>
                    <w:jc w:val="left"/>
                    <w:rPr>
                      <w:b/>
                      <w:sz w:val="20"/>
                    </w:rPr>
                  </w:pPr>
                  <w:r>
                    <w:rPr>
                      <w:b/>
                      <w:sz w:val="20"/>
                    </w:rPr>
                    <w:t>=</w:t>
                  </w:r>
                </w:p>
              </w:txbxContent>
            </v:textbox>
            <w10:wrap type="none"/>
          </v:shape>
        </w:pict>
      </w:r>
      <w:r>
        <w:rPr>
          <w:b/>
          <w:w w:val="105"/>
          <w:sz w:val="11"/>
        </w:rPr>
        <w:t>(i-j)</w:t>
      </w:r>
    </w:p>
    <w:p>
      <w:pPr>
        <w:pStyle w:val="BodyText"/>
        <w:tabs>
          <w:tab w:pos="2729" w:val="left" w:leader="none"/>
        </w:tabs>
        <w:spacing w:before="76"/>
        <w:ind w:left="341"/>
      </w:pPr>
      <w:r>
        <w:rPr/>
        <w:br w:type="column"/>
      </w:r>
      <w:r>
        <w:rPr/>
        <w:t>10.8 sen</w:t>
      </w:r>
      <w:r>
        <w:rPr>
          <w:spacing w:val="-5"/>
        </w:rPr>
        <w:t> </w:t>
      </w:r>
      <w:r>
        <w:rPr/>
        <w:t>β(i-j)+</w:t>
      </w:r>
      <w:r>
        <w:rPr>
          <w:spacing w:val="-3"/>
        </w:rPr>
        <w:t> </w:t>
      </w:r>
      <w:r>
        <w:rPr/>
        <w:t>0.03</w:t>
        <w:tab/>
        <w:t>tanβ(i-j) &lt;</w:t>
      </w:r>
      <w:r>
        <w:rPr>
          <w:spacing w:val="-5"/>
        </w:rPr>
        <w:t> </w:t>
      </w:r>
      <w:r>
        <w:rPr/>
        <w:t>0.09</w:t>
      </w:r>
    </w:p>
    <w:p>
      <w:pPr>
        <w:pStyle w:val="BodyText"/>
        <w:tabs>
          <w:tab w:pos="2709" w:val="left" w:leader="none"/>
        </w:tabs>
        <w:spacing w:before="130"/>
        <w:ind w:left="341"/>
      </w:pPr>
      <w:r>
        <w:rPr/>
        <w:t>16.8 sen β(i-j)</w:t>
      </w:r>
      <w:r>
        <w:rPr>
          <w:spacing w:val="-14"/>
        </w:rPr>
        <w:t> </w:t>
      </w:r>
      <w:r>
        <w:rPr/>
        <w:t>–</w:t>
      </w:r>
      <w:r>
        <w:rPr>
          <w:spacing w:val="-5"/>
        </w:rPr>
        <w:t> </w:t>
      </w:r>
      <w:r>
        <w:rPr/>
        <w:t>0.50</w:t>
        <w:tab/>
        <w:t>tanβ(i-j)  ≥</w:t>
      </w:r>
      <w:r>
        <w:rPr>
          <w:spacing w:val="-6"/>
        </w:rPr>
        <w:t> </w:t>
      </w:r>
      <w:r>
        <w:rPr/>
        <w:t>0.09</w:t>
      </w:r>
    </w:p>
    <w:p>
      <w:pPr>
        <w:spacing w:after="0"/>
        <w:sectPr>
          <w:type w:val="continuous"/>
          <w:pgSz w:w="18830" w:h="12760" w:orient="landscape"/>
          <w:pgMar w:top="1420" w:bottom="280" w:left="720" w:right="720"/>
          <w:cols w:num="3" w:equalWidth="0">
            <w:col w:w="1131" w:space="40"/>
            <w:col w:w="313" w:space="40"/>
            <w:col w:w="15866"/>
          </w:cols>
        </w:sectPr>
      </w:pPr>
    </w:p>
    <w:p>
      <w:pPr>
        <w:pStyle w:val="BodyText"/>
      </w:pPr>
    </w:p>
    <w:p>
      <w:pPr>
        <w:pStyle w:val="BodyText"/>
        <w:spacing w:before="4"/>
        <w:rPr>
          <w:sz w:val="17"/>
        </w:rPr>
      </w:pPr>
    </w:p>
    <w:p>
      <w:pPr>
        <w:pStyle w:val="BodyText"/>
        <w:ind w:left="299"/>
      </w:pPr>
      <w:r>
        <w:rPr/>
        <w:t>Dónde:</w:t>
      </w:r>
    </w:p>
    <w:p>
      <w:pPr>
        <w:pStyle w:val="BodyText"/>
        <w:spacing w:before="10"/>
        <w:ind w:left="299"/>
      </w:pPr>
      <w:r>
        <w:rPr>
          <w:b/>
        </w:rPr>
        <w:t>S= </w:t>
      </w:r>
      <w:r>
        <w:rPr/>
        <w:t>es el factor gradiente o pendiente</w:t>
      </w:r>
    </w:p>
    <w:p>
      <w:pPr>
        <w:pStyle w:val="BodyText"/>
        <w:spacing w:before="8"/>
        <w:rPr>
          <w:sz w:val="21"/>
        </w:rPr>
      </w:pPr>
    </w:p>
    <w:p>
      <w:pPr>
        <w:pStyle w:val="BodyText"/>
        <w:spacing w:line="249" w:lineRule="auto"/>
        <w:ind w:left="129" w:right="9539" w:firstLine="170"/>
        <w:jc w:val="both"/>
      </w:pPr>
      <w:r>
        <w:rPr>
          <w:b/>
        </w:rPr>
        <w:t>C es restricción por cubierta vegetal. </w:t>
      </w:r>
      <w:r>
        <w:rPr/>
        <w:t>En CU se identificaron usos de suelo, ya</w:t>
      </w:r>
      <w:r>
        <w:rPr>
          <w:spacing w:val="-31"/>
        </w:rPr>
        <w:t> </w:t>
      </w:r>
      <w:r>
        <w:rPr/>
        <w:t>que se carece de tierras de labranza, entre los que destacan suelos impermeables debido  a las construcciones existentes, donde se asignaron valores nulos para la pérdida de suelo, se ponderaron y normalizaron las demás</w:t>
      </w:r>
      <w:r>
        <w:rPr>
          <w:spacing w:val="27"/>
        </w:rPr>
        <w:t> </w:t>
      </w:r>
      <w:r>
        <w:rPr/>
        <w:t>coberturas.</w:t>
      </w:r>
    </w:p>
    <w:p>
      <w:pPr>
        <w:pStyle w:val="BodyText"/>
        <w:spacing w:before="11"/>
      </w:pPr>
    </w:p>
    <w:p>
      <w:pPr>
        <w:pStyle w:val="BodyText"/>
        <w:spacing w:line="249" w:lineRule="auto"/>
        <w:ind w:left="129" w:right="9539" w:firstLine="170"/>
        <w:jc w:val="both"/>
      </w:pPr>
      <w:r>
        <w:rPr>
          <w:b/>
        </w:rPr>
        <w:t>P es restricción por efecto de prácticas de conservación </w:t>
      </w:r>
      <w:r>
        <w:rPr/>
        <w:t>de suelo que expresa  la relación de pérdida de suelo de un área con cobertura y manejo específico, como cultivo en contorno, cultivo en bandas o terrazas, con otro con labranza a favor de la pendiente. Según Mesén (2009), el producto de los primeros cuatro factores (R, K, L </w:t>
      </w:r>
      <w:r>
        <w:rPr>
          <w:spacing w:val="4"/>
        </w:rPr>
        <w:t> </w:t>
      </w:r>
      <w:r>
        <w:rPr/>
        <w:t>y</w:t>
      </w:r>
    </w:p>
    <w:p>
      <w:pPr>
        <w:pStyle w:val="BodyText"/>
        <w:spacing w:before="1"/>
        <w:ind w:left="129"/>
      </w:pPr>
      <w:r>
        <w:rPr/>
        <w:t>S) es el potencial erosivo inherente en el sitio; esto es, la pérdida de suelo que ocurriría</w:t>
      </w:r>
    </w:p>
    <w:p>
      <w:pPr>
        <w:spacing w:after="0"/>
        <w:sectPr>
          <w:type w:val="continuous"/>
          <w:pgSz w:w="18830" w:h="12760" w:orient="landscape"/>
          <w:pgMar w:top="1420" w:bottom="280" w:left="720" w:right="720"/>
        </w:sectPr>
      </w:pPr>
    </w:p>
    <w:p>
      <w:pPr>
        <w:pStyle w:val="BodyText"/>
        <w:spacing w:before="8"/>
      </w:pPr>
    </w:p>
    <w:p>
      <w:pPr>
        <w:spacing w:after="0"/>
        <w:sectPr>
          <w:footerReference w:type="default" r:id="rId175"/>
          <w:pgSz w:w="18830" w:h="12760" w:orient="landscape"/>
          <w:pgMar w:footer="1036" w:header="522" w:top="820" w:bottom="1220" w:left="640" w:right="620"/>
        </w:sectPr>
      </w:pPr>
    </w:p>
    <w:p>
      <w:pPr>
        <w:pStyle w:val="BodyText"/>
        <w:spacing w:line="249" w:lineRule="auto" w:before="109"/>
        <w:ind w:left="210" w:right="95" w:firstLine="170"/>
        <w:jc w:val="both"/>
      </w:pPr>
      <w:r>
        <w:rPr/>
        <w:t>Se</w:t>
      </w:r>
      <w:r>
        <w:rPr>
          <w:spacing w:val="-4"/>
        </w:rPr>
        <w:t> </w:t>
      </w:r>
      <w:r>
        <w:rPr/>
        <w:t>obtuvieron</w:t>
      </w:r>
      <w:r>
        <w:rPr>
          <w:spacing w:val="-4"/>
        </w:rPr>
        <w:t> </w:t>
      </w:r>
      <w:r>
        <w:rPr/>
        <w:t>los</w:t>
      </w:r>
      <w:r>
        <w:rPr>
          <w:spacing w:val="-4"/>
        </w:rPr>
        <w:t> </w:t>
      </w:r>
      <w:r>
        <w:rPr/>
        <w:t>diferentes</w:t>
      </w:r>
      <w:r>
        <w:rPr>
          <w:spacing w:val="-4"/>
        </w:rPr>
        <w:t> </w:t>
      </w:r>
      <w:r>
        <w:rPr/>
        <w:t>insumos</w:t>
      </w:r>
      <w:r>
        <w:rPr>
          <w:spacing w:val="-4"/>
        </w:rPr>
        <w:t> </w:t>
      </w:r>
      <w:r>
        <w:rPr/>
        <w:t>a</w:t>
      </w:r>
      <w:r>
        <w:rPr>
          <w:spacing w:val="-4"/>
        </w:rPr>
        <w:t> </w:t>
      </w:r>
      <w:r>
        <w:rPr/>
        <w:t>fin</w:t>
      </w:r>
      <w:r>
        <w:rPr>
          <w:spacing w:val="-4"/>
        </w:rPr>
        <w:t> </w:t>
      </w:r>
      <w:r>
        <w:rPr/>
        <w:t>de</w:t>
      </w:r>
      <w:r>
        <w:rPr>
          <w:spacing w:val="-4"/>
        </w:rPr>
        <w:t> </w:t>
      </w:r>
      <w:r>
        <w:rPr/>
        <w:t>procesarlos</w:t>
      </w:r>
      <w:r>
        <w:rPr>
          <w:spacing w:val="-4"/>
        </w:rPr>
        <w:t> </w:t>
      </w:r>
      <w:r>
        <w:rPr/>
        <w:t>en</w:t>
      </w:r>
      <w:r>
        <w:rPr>
          <w:spacing w:val="-4"/>
        </w:rPr>
        <w:t> </w:t>
      </w:r>
      <w:r>
        <w:rPr/>
        <w:t>sistemas</w:t>
      </w:r>
      <w:r>
        <w:rPr>
          <w:spacing w:val="-4"/>
        </w:rPr>
        <w:t> </w:t>
      </w:r>
      <w:r>
        <w:rPr/>
        <w:t>de</w:t>
      </w:r>
      <w:r>
        <w:rPr>
          <w:spacing w:val="-4"/>
        </w:rPr>
        <w:t> </w:t>
      </w:r>
      <w:r>
        <w:rPr/>
        <w:t>información geográfica, en este caso ArcGis 10.1, el mapa de erosión o erodabilidad muestra de manera diferenciada el material con potencial de erodible en rangos que varían desde donde no se percibe erosión hasta 0.545 Ton/ha por</w:t>
      </w:r>
      <w:r>
        <w:rPr>
          <w:spacing w:val="45"/>
        </w:rPr>
        <w:t> </w:t>
      </w:r>
      <w:r>
        <w:rPr/>
        <w:t>año.</w:t>
      </w:r>
    </w:p>
    <w:p>
      <w:pPr>
        <w:pStyle w:val="BodyText"/>
        <w:spacing w:before="11"/>
      </w:pPr>
    </w:p>
    <w:p>
      <w:pPr>
        <w:pStyle w:val="BodyText"/>
        <w:spacing w:line="249" w:lineRule="auto"/>
        <w:ind w:left="210" w:right="95" w:firstLine="170"/>
        <w:jc w:val="both"/>
      </w:pPr>
      <w:r>
        <w:rPr/>
        <w:t>El primer rango de 0 hasta 0.40 ton/ha/año se identificó en lugares principalmente con cubiertas de mampostería, se incluye caminos, techumbres de edificaciones, escaleras,</w:t>
      </w:r>
      <w:r>
        <w:rPr>
          <w:spacing w:val="-16"/>
        </w:rPr>
        <w:t> </w:t>
      </w:r>
      <w:r>
        <w:rPr/>
        <w:t>pequeñas</w:t>
      </w:r>
      <w:r>
        <w:rPr>
          <w:spacing w:val="-16"/>
        </w:rPr>
        <w:t> </w:t>
      </w:r>
      <w:r>
        <w:rPr/>
        <w:t>áreas</w:t>
      </w:r>
      <w:r>
        <w:rPr>
          <w:spacing w:val="-16"/>
        </w:rPr>
        <w:t> </w:t>
      </w:r>
      <w:r>
        <w:rPr/>
        <w:t>con</w:t>
      </w:r>
      <w:r>
        <w:rPr>
          <w:spacing w:val="-16"/>
        </w:rPr>
        <w:t> </w:t>
      </w:r>
      <w:r>
        <w:rPr/>
        <w:t>vegetación</w:t>
      </w:r>
      <w:r>
        <w:rPr>
          <w:spacing w:val="-16"/>
        </w:rPr>
        <w:t> </w:t>
      </w:r>
      <w:r>
        <w:rPr/>
        <w:t>muy</w:t>
      </w:r>
      <w:r>
        <w:rPr>
          <w:spacing w:val="-16"/>
        </w:rPr>
        <w:t> </w:t>
      </w:r>
      <w:r>
        <w:rPr/>
        <w:t>densa</w:t>
      </w:r>
      <w:r>
        <w:rPr>
          <w:spacing w:val="-16"/>
        </w:rPr>
        <w:t> </w:t>
      </w:r>
      <w:r>
        <w:rPr/>
        <w:t>generalmente</w:t>
      </w:r>
      <w:r>
        <w:rPr>
          <w:spacing w:val="-16"/>
        </w:rPr>
        <w:t> </w:t>
      </w:r>
      <w:r>
        <w:rPr/>
        <w:t>en</w:t>
      </w:r>
      <w:r>
        <w:rPr>
          <w:spacing w:val="-16"/>
        </w:rPr>
        <w:t> </w:t>
      </w:r>
      <w:r>
        <w:rPr/>
        <w:t>dos</w:t>
      </w:r>
      <w:r>
        <w:rPr>
          <w:spacing w:val="-16"/>
        </w:rPr>
        <w:t> </w:t>
      </w:r>
      <w:r>
        <w:rPr/>
        <w:t>estratos.</w:t>
      </w:r>
      <w:r>
        <w:rPr>
          <w:spacing w:val="-16"/>
        </w:rPr>
        <w:t> </w:t>
      </w:r>
      <w:r>
        <w:rPr/>
        <w:t>La erosión</w:t>
      </w:r>
      <w:r>
        <w:rPr>
          <w:spacing w:val="-4"/>
        </w:rPr>
        <w:t> </w:t>
      </w:r>
      <w:r>
        <w:rPr/>
        <w:t>en</w:t>
      </w:r>
      <w:r>
        <w:rPr>
          <w:spacing w:val="-4"/>
        </w:rPr>
        <w:t> </w:t>
      </w:r>
      <w:r>
        <w:rPr/>
        <w:t>lo</w:t>
      </w:r>
      <w:r>
        <w:rPr>
          <w:spacing w:val="-4"/>
        </w:rPr>
        <w:t> </w:t>
      </w:r>
      <w:r>
        <w:rPr/>
        <w:t>rangos</w:t>
      </w:r>
      <w:r>
        <w:rPr>
          <w:spacing w:val="-4"/>
        </w:rPr>
        <w:t> </w:t>
      </w:r>
      <w:r>
        <w:rPr/>
        <w:t>de</w:t>
      </w:r>
      <w:r>
        <w:rPr>
          <w:spacing w:val="-4"/>
        </w:rPr>
        <w:t> </w:t>
      </w:r>
      <w:r>
        <w:rPr/>
        <w:t>0.40</w:t>
      </w:r>
      <w:r>
        <w:rPr>
          <w:spacing w:val="-4"/>
        </w:rPr>
        <w:t> </w:t>
      </w:r>
      <w:r>
        <w:rPr/>
        <w:t>hasta</w:t>
      </w:r>
      <w:r>
        <w:rPr>
          <w:spacing w:val="-4"/>
        </w:rPr>
        <w:t> </w:t>
      </w:r>
      <w:r>
        <w:rPr/>
        <w:t>0.09</w:t>
      </w:r>
      <w:r>
        <w:rPr>
          <w:spacing w:val="-4"/>
        </w:rPr>
        <w:t> </w:t>
      </w:r>
      <w:r>
        <w:rPr/>
        <w:t>ton/ha/año</w:t>
      </w:r>
      <w:r>
        <w:rPr>
          <w:spacing w:val="-4"/>
        </w:rPr>
        <w:t> </w:t>
      </w:r>
      <w:r>
        <w:rPr/>
        <w:t>se</w:t>
      </w:r>
      <w:r>
        <w:rPr>
          <w:spacing w:val="-4"/>
        </w:rPr>
        <w:t> </w:t>
      </w:r>
      <w:r>
        <w:rPr/>
        <w:t>localiza</w:t>
      </w:r>
      <w:r>
        <w:rPr>
          <w:spacing w:val="-4"/>
        </w:rPr>
        <w:t> </w:t>
      </w:r>
      <w:r>
        <w:rPr/>
        <w:t>en</w:t>
      </w:r>
      <w:r>
        <w:rPr>
          <w:spacing w:val="-4"/>
        </w:rPr>
        <w:t> </w:t>
      </w:r>
      <w:r>
        <w:rPr/>
        <w:t>áreas</w:t>
      </w:r>
      <w:r>
        <w:rPr>
          <w:spacing w:val="-4"/>
        </w:rPr>
        <w:t> </w:t>
      </w:r>
      <w:r>
        <w:rPr/>
        <w:t>con</w:t>
      </w:r>
      <w:r>
        <w:rPr>
          <w:spacing w:val="-4"/>
        </w:rPr>
        <w:t> </w:t>
      </w:r>
      <w:r>
        <w:rPr/>
        <w:t>vegetación arbolada principalmente. El rango de 0. 09 a 0.150 ton/ha/año se presenta en áreas con vegetación de estratos bajos. De 0.15 a 0.035 ton/año/año se presenta en algunas áreas con escasa vegetación de pastos. El rango de 0.350 a 0.450 ton/ha/año ocurre en pendientes muy elevadas prácticamente</w:t>
      </w:r>
      <w:r>
        <w:rPr>
          <w:spacing w:val="31"/>
        </w:rPr>
        <w:t> </w:t>
      </w:r>
      <w:r>
        <w:rPr/>
        <w:t>verticales.</w:t>
      </w:r>
    </w:p>
    <w:p>
      <w:pPr>
        <w:pStyle w:val="BodyText"/>
        <w:spacing w:before="11"/>
      </w:pPr>
    </w:p>
    <w:p>
      <w:pPr>
        <w:pStyle w:val="BodyText"/>
        <w:ind w:left="380"/>
      </w:pPr>
      <w:r>
        <w:rPr>
          <w:w w:val="105"/>
        </w:rPr>
        <w:t>Método directo.</w:t>
      </w:r>
    </w:p>
    <w:p>
      <w:pPr>
        <w:pStyle w:val="BodyText"/>
        <w:spacing w:before="8"/>
        <w:rPr>
          <w:sz w:val="21"/>
        </w:rPr>
      </w:pPr>
    </w:p>
    <w:p>
      <w:pPr>
        <w:pStyle w:val="BodyText"/>
        <w:spacing w:line="249" w:lineRule="auto"/>
        <w:ind w:left="210" w:right="95" w:firstLine="170"/>
        <w:jc w:val="both"/>
      </w:pPr>
      <w:r>
        <w:rPr/>
        <w:t>La ubicación del área estudiada así como los dos Observatorios Meteorológicos cercanos a Ciudad Universitaria (CU). Se ha considerado un sitio en CU para observar el proceso de erosión hídrica laminar como referente para comparar datos previo al inicio de la investigación en la región mazahua. El sitio fue seleccionado tanto por       la accesibilidad como por representar simultáneamente paisaje tanto inducido como espacios naturales. En el sitio no se llevan a cabo actividades agrícolas por lo que,    no se aplican técnicas de conservación específicas para la labranza. En la figura No.  4, se muestra la diferencia entre paisaje considerado natural y aquel modificado por edificaciones, con procesos de degradación de suelo </w:t>
      </w:r>
      <w:r>
        <w:rPr>
          <w:spacing w:val="33"/>
        </w:rPr>
        <w:t> </w:t>
      </w:r>
      <w:r>
        <w:rPr/>
        <w:t>diferenciados.</w:t>
      </w:r>
    </w:p>
    <w:p>
      <w:pPr>
        <w:pStyle w:val="BodyText"/>
        <w:spacing w:before="2"/>
        <w:rPr>
          <w:sz w:val="24"/>
        </w:rPr>
      </w:pPr>
    </w:p>
    <w:p>
      <w:pPr>
        <w:spacing w:line="312" w:lineRule="auto" w:before="0"/>
        <w:ind w:left="317" w:right="202" w:firstLine="0"/>
        <w:jc w:val="center"/>
        <w:rPr>
          <w:sz w:val="16"/>
        </w:rPr>
      </w:pPr>
      <w:r>
        <w:rPr/>
        <w:drawing>
          <wp:anchor distT="0" distB="0" distL="0" distR="0" allowOverlap="1" layoutInCell="1" locked="0" behindDoc="0" simplePos="0" relativeHeight="7000">
            <wp:simplePos x="0" y="0"/>
            <wp:positionH relativeFrom="page">
              <wp:posOffset>477456</wp:posOffset>
            </wp:positionH>
            <wp:positionV relativeFrom="paragraph">
              <wp:posOffset>408499</wp:posOffset>
            </wp:positionV>
            <wp:extent cx="5049807" cy="1728216"/>
            <wp:effectExtent l="0" t="0" r="0" b="0"/>
            <wp:wrapNone/>
            <wp:docPr id="53" name="image45.jpeg" descr=""/>
            <wp:cNvGraphicFramePr>
              <a:graphicFrameLocks noChangeAspect="1"/>
            </wp:cNvGraphicFramePr>
            <a:graphic>
              <a:graphicData uri="http://schemas.openxmlformats.org/drawingml/2006/picture">
                <pic:pic>
                  <pic:nvPicPr>
                    <pic:cNvPr id="54" name="image45.jpeg"/>
                    <pic:cNvPicPr/>
                  </pic:nvPicPr>
                  <pic:blipFill>
                    <a:blip r:embed="rId176" cstate="print"/>
                    <a:stretch>
                      <a:fillRect/>
                    </a:stretch>
                  </pic:blipFill>
                  <pic:spPr>
                    <a:xfrm>
                      <a:off x="0" y="0"/>
                      <a:ext cx="5049807" cy="1728216"/>
                    </a:xfrm>
                    <a:prstGeom prst="rect">
                      <a:avLst/>
                    </a:prstGeom>
                  </pic:spPr>
                </pic:pic>
              </a:graphicData>
            </a:graphic>
          </wp:anchor>
        </w:drawing>
      </w:r>
      <w:r>
        <w:rPr>
          <w:color w:val="6D6E71"/>
          <w:sz w:val="16"/>
        </w:rPr>
        <w:t>Figura No. 4. Fotografías de contraste del paisaje natural e inducido en Ciudad Universitaria, Universidad Autónoma del Estado de México, Toluca.</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5"/>
        </w:rPr>
      </w:pPr>
    </w:p>
    <w:p>
      <w:pPr>
        <w:spacing w:before="0"/>
        <w:ind w:left="313" w:right="202" w:firstLine="0"/>
        <w:jc w:val="center"/>
        <w:rPr>
          <w:sz w:val="16"/>
        </w:rPr>
      </w:pPr>
      <w:r>
        <w:rPr>
          <w:color w:val="6D6E71"/>
          <w:sz w:val="16"/>
        </w:rPr>
        <w:t>Fotografías: Serrano, 2015.</w:t>
      </w:r>
    </w:p>
    <w:p>
      <w:pPr>
        <w:pStyle w:val="Heading1"/>
        <w:spacing w:before="71"/>
        <w:ind w:left="393"/>
      </w:pPr>
      <w:r>
        <w:rPr>
          <w:b w:val="0"/>
        </w:rPr>
        <w:br w:type="column"/>
      </w:r>
      <w:r>
        <w:rPr/>
        <w:t>Colecta, tamizado y pesado de las muestras:</w:t>
      </w:r>
    </w:p>
    <w:p>
      <w:pPr>
        <w:pStyle w:val="BodyText"/>
        <w:rPr>
          <w:b/>
          <w:sz w:val="21"/>
        </w:rPr>
      </w:pPr>
    </w:p>
    <w:p>
      <w:pPr>
        <w:pStyle w:val="BodyText"/>
        <w:spacing w:line="249" w:lineRule="auto"/>
        <w:ind w:left="223" w:right="227" w:firstLine="170"/>
        <w:jc w:val="both"/>
      </w:pPr>
      <w:r>
        <w:rPr/>
        <w:t>Las muestras de material se colectaron al día siguiente de las precipitaciones más intensas del mes de mayo de 2015 captadas en una superficie plana e impermeable. La superficie de escurrimiento es 199 metros cuadrados, con una pendiente del 17%. Las</w:t>
      </w:r>
      <w:r>
        <w:rPr>
          <w:spacing w:val="-6"/>
        </w:rPr>
        <w:t> </w:t>
      </w:r>
      <w:r>
        <w:rPr/>
        <w:t>muestras,</w:t>
      </w:r>
      <w:r>
        <w:rPr>
          <w:spacing w:val="-6"/>
        </w:rPr>
        <w:t> </w:t>
      </w:r>
      <w:r>
        <w:rPr/>
        <w:t>se</w:t>
      </w:r>
      <w:r>
        <w:rPr>
          <w:spacing w:val="-6"/>
        </w:rPr>
        <w:t> </w:t>
      </w:r>
      <w:r>
        <w:rPr/>
        <w:t>secaron</w:t>
      </w:r>
      <w:r>
        <w:rPr>
          <w:spacing w:val="-6"/>
        </w:rPr>
        <w:t> </w:t>
      </w:r>
      <w:r>
        <w:rPr/>
        <w:t>a</w:t>
      </w:r>
      <w:r>
        <w:rPr>
          <w:spacing w:val="-6"/>
        </w:rPr>
        <w:t> </w:t>
      </w:r>
      <w:r>
        <w:rPr/>
        <w:t>intemperie</w:t>
      </w:r>
      <w:r>
        <w:rPr>
          <w:spacing w:val="-6"/>
        </w:rPr>
        <w:t> </w:t>
      </w:r>
      <w:r>
        <w:rPr/>
        <w:t>durante</w:t>
      </w:r>
      <w:r>
        <w:rPr>
          <w:spacing w:val="-6"/>
        </w:rPr>
        <w:t> </w:t>
      </w:r>
      <w:r>
        <w:rPr/>
        <w:t>72</w:t>
      </w:r>
      <w:r>
        <w:rPr>
          <w:spacing w:val="-6"/>
        </w:rPr>
        <w:t> </w:t>
      </w:r>
      <w:r>
        <w:rPr/>
        <w:t>horas</w:t>
      </w:r>
      <w:r>
        <w:rPr>
          <w:spacing w:val="-6"/>
        </w:rPr>
        <w:t> </w:t>
      </w:r>
      <w:r>
        <w:rPr/>
        <w:t>aproximadamente,</w:t>
      </w:r>
      <w:r>
        <w:rPr>
          <w:spacing w:val="-6"/>
        </w:rPr>
        <w:t> </w:t>
      </w:r>
      <w:r>
        <w:rPr/>
        <w:t>se</w:t>
      </w:r>
      <w:r>
        <w:rPr>
          <w:spacing w:val="-6"/>
        </w:rPr>
        <w:t> </w:t>
      </w:r>
      <w:r>
        <w:rPr/>
        <w:t>pesaron y</w:t>
      </w:r>
      <w:r>
        <w:rPr>
          <w:spacing w:val="-6"/>
        </w:rPr>
        <w:t> </w:t>
      </w:r>
      <w:r>
        <w:rPr/>
        <w:t>tamizaron</w:t>
      </w:r>
      <w:r>
        <w:rPr>
          <w:spacing w:val="-6"/>
        </w:rPr>
        <w:t> </w:t>
      </w:r>
      <w:r>
        <w:rPr/>
        <w:t>en</w:t>
      </w:r>
      <w:r>
        <w:rPr>
          <w:spacing w:val="-6"/>
        </w:rPr>
        <w:t> </w:t>
      </w:r>
      <w:r>
        <w:rPr/>
        <w:t>mayas</w:t>
      </w:r>
      <w:r>
        <w:rPr>
          <w:spacing w:val="-6"/>
        </w:rPr>
        <w:t> </w:t>
      </w:r>
      <w:r>
        <w:rPr/>
        <w:t>menores</w:t>
      </w:r>
      <w:r>
        <w:rPr>
          <w:spacing w:val="-6"/>
        </w:rPr>
        <w:t> </w:t>
      </w:r>
      <w:r>
        <w:rPr/>
        <w:t>de</w:t>
      </w:r>
      <w:r>
        <w:rPr>
          <w:spacing w:val="-6"/>
        </w:rPr>
        <w:t> </w:t>
      </w:r>
      <w:r>
        <w:rPr/>
        <w:t>2</w:t>
      </w:r>
      <w:r>
        <w:rPr>
          <w:spacing w:val="-6"/>
        </w:rPr>
        <w:t> </w:t>
      </w:r>
      <w:r>
        <w:rPr/>
        <w:t>y</w:t>
      </w:r>
      <w:r>
        <w:rPr>
          <w:spacing w:val="-6"/>
        </w:rPr>
        <w:t> </w:t>
      </w:r>
      <w:r>
        <w:rPr/>
        <w:t>4.7</w:t>
      </w:r>
      <w:r>
        <w:rPr>
          <w:spacing w:val="-6"/>
        </w:rPr>
        <w:t> </w:t>
      </w:r>
      <w:r>
        <w:rPr/>
        <w:t>mm</w:t>
      </w:r>
      <w:r>
        <w:rPr>
          <w:spacing w:val="-6"/>
        </w:rPr>
        <w:t> </w:t>
      </w:r>
      <w:r>
        <w:rPr/>
        <w:t>y</w:t>
      </w:r>
      <w:r>
        <w:rPr>
          <w:spacing w:val="-6"/>
        </w:rPr>
        <w:t> </w:t>
      </w:r>
      <w:r>
        <w:rPr/>
        <w:t>tamaños</w:t>
      </w:r>
      <w:r>
        <w:rPr>
          <w:spacing w:val="-6"/>
        </w:rPr>
        <w:t> </w:t>
      </w:r>
      <w:r>
        <w:rPr/>
        <w:t>menores</w:t>
      </w:r>
      <w:r>
        <w:rPr>
          <w:spacing w:val="-6"/>
        </w:rPr>
        <w:t> </w:t>
      </w:r>
      <w:r>
        <w:rPr/>
        <w:t>a</w:t>
      </w:r>
      <w:r>
        <w:rPr>
          <w:spacing w:val="-6"/>
        </w:rPr>
        <w:t> </w:t>
      </w:r>
      <w:r>
        <w:rPr/>
        <w:t>10,</w:t>
      </w:r>
      <w:r>
        <w:rPr>
          <w:spacing w:val="-6"/>
        </w:rPr>
        <w:t> </w:t>
      </w:r>
      <w:r>
        <w:rPr/>
        <w:t>20,</w:t>
      </w:r>
      <w:r>
        <w:rPr>
          <w:spacing w:val="-6"/>
        </w:rPr>
        <w:t> </w:t>
      </w:r>
      <w:r>
        <w:rPr/>
        <w:t>30,</w:t>
      </w:r>
      <w:r>
        <w:rPr>
          <w:spacing w:val="-6"/>
        </w:rPr>
        <w:t> </w:t>
      </w:r>
      <w:r>
        <w:rPr/>
        <w:t>40</w:t>
      </w:r>
      <w:r>
        <w:rPr>
          <w:spacing w:val="-6"/>
        </w:rPr>
        <w:t> </w:t>
      </w:r>
      <w:r>
        <w:rPr/>
        <w:t>y</w:t>
      </w:r>
      <w:r>
        <w:rPr>
          <w:spacing w:val="-6"/>
        </w:rPr>
        <w:t> </w:t>
      </w:r>
      <w:r>
        <w:rPr/>
        <w:t>50 milímetros. En la figura No.3 se presenta el material</w:t>
      </w:r>
      <w:r>
        <w:rPr>
          <w:spacing w:val="5"/>
        </w:rPr>
        <w:t> </w:t>
      </w:r>
      <w:r>
        <w:rPr/>
        <w:t>erodado.</w:t>
      </w:r>
    </w:p>
    <w:p>
      <w:pPr>
        <w:pStyle w:val="BodyText"/>
        <w:spacing w:before="11"/>
      </w:pPr>
    </w:p>
    <w:p>
      <w:pPr>
        <w:pStyle w:val="BodyText"/>
        <w:ind w:left="1024" w:right="1028"/>
        <w:jc w:val="center"/>
      </w:pPr>
      <w:r>
        <w:rPr>
          <w:color w:val="6D6E71"/>
        </w:rPr>
        <w:t>Figura No. 3. Material colectado en CU,</w:t>
      </w:r>
    </w:p>
    <w:p>
      <w:pPr>
        <w:pStyle w:val="BodyText"/>
        <w:spacing w:before="10"/>
        <w:ind w:left="1024" w:right="1028"/>
        <w:jc w:val="center"/>
      </w:pPr>
      <w:r>
        <w:rPr>
          <w:color w:val="6D6E71"/>
        </w:rPr>
        <w:t>Universidad Autónoma del Estado de México, Toluca mayo de</w:t>
      </w:r>
      <w:r>
        <w:rPr>
          <w:color w:val="6D6E71"/>
          <w:spacing w:val="53"/>
        </w:rPr>
        <w:t> </w:t>
      </w:r>
      <w:r>
        <w:rPr>
          <w:color w:val="6D6E71"/>
        </w:rPr>
        <w:t>2015</w:t>
      </w:r>
    </w:p>
    <w:p>
      <w:pPr>
        <w:pStyle w:val="BodyText"/>
        <w:spacing w:before="1"/>
        <w:rPr>
          <w:sz w:val="15"/>
        </w:rPr>
      </w:pPr>
      <w:r>
        <w:rPr/>
        <w:drawing>
          <wp:anchor distT="0" distB="0" distL="0" distR="0" allowOverlap="1" layoutInCell="1" locked="0" behindDoc="0" simplePos="0" relativeHeight="6976">
            <wp:simplePos x="0" y="0"/>
            <wp:positionH relativeFrom="page">
              <wp:posOffset>6445122</wp:posOffset>
            </wp:positionH>
            <wp:positionV relativeFrom="paragraph">
              <wp:posOffset>135169</wp:posOffset>
            </wp:positionV>
            <wp:extent cx="5041347" cy="3241548"/>
            <wp:effectExtent l="0" t="0" r="0" b="0"/>
            <wp:wrapTopAndBottom/>
            <wp:docPr id="55" name="image46.jpeg" descr=""/>
            <wp:cNvGraphicFramePr>
              <a:graphicFrameLocks noChangeAspect="1"/>
            </wp:cNvGraphicFramePr>
            <a:graphic>
              <a:graphicData uri="http://schemas.openxmlformats.org/drawingml/2006/picture">
                <pic:pic>
                  <pic:nvPicPr>
                    <pic:cNvPr id="56" name="image46.jpeg"/>
                    <pic:cNvPicPr/>
                  </pic:nvPicPr>
                  <pic:blipFill>
                    <a:blip r:embed="rId177" cstate="print"/>
                    <a:stretch>
                      <a:fillRect/>
                    </a:stretch>
                  </pic:blipFill>
                  <pic:spPr>
                    <a:xfrm>
                      <a:off x="0" y="0"/>
                      <a:ext cx="5041347" cy="3241548"/>
                    </a:xfrm>
                    <a:prstGeom prst="rect">
                      <a:avLst/>
                    </a:prstGeom>
                  </pic:spPr>
                </pic:pic>
              </a:graphicData>
            </a:graphic>
          </wp:anchor>
        </w:drawing>
      </w:r>
    </w:p>
    <w:p>
      <w:pPr>
        <w:pStyle w:val="BodyText"/>
        <w:spacing w:before="10"/>
        <w:rPr>
          <w:sz w:val="15"/>
        </w:rPr>
      </w:pPr>
    </w:p>
    <w:p>
      <w:pPr>
        <w:pStyle w:val="BodyText"/>
        <w:spacing w:before="1"/>
        <w:ind w:left="1024" w:right="1028"/>
        <w:jc w:val="center"/>
      </w:pPr>
      <w:r>
        <w:rPr>
          <w:color w:val="6D6E71"/>
        </w:rPr>
        <w:t>Fotografías: Ortega y Serrano, 2015.</w:t>
      </w:r>
    </w:p>
    <w:p>
      <w:pPr>
        <w:pStyle w:val="BodyText"/>
        <w:spacing w:before="8"/>
        <w:rPr>
          <w:sz w:val="21"/>
        </w:rPr>
      </w:pPr>
    </w:p>
    <w:p>
      <w:pPr>
        <w:pStyle w:val="BodyText"/>
        <w:spacing w:line="249" w:lineRule="auto"/>
        <w:ind w:left="223" w:right="227" w:firstLine="170"/>
        <w:jc w:val="both"/>
      </w:pPr>
      <w:r>
        <w:rPr/>
        <w:t>Se identifica diferencia entre el tamaño del arrastre de las primeras precipitaciones con gran variedad de tamaños y en la última fecha se presentaron mayoritariamente menores a 40 y a 50mm. Cabe destacar que a las precipitaciones del mes de mayo   de 2015, se incluye la del 29 de abril como referente inicial. En la figura No. 4 la incorporación del arrastre del suelo día 29 de abril de 2015, la figura 4 presenta la gráfica peso-volumen del material erodado, a la izquierda el peso en</w:t>
      </w:r>
      <w:r>
        <w:rPr>
          <w:spacing w:val="42"/>
        </w:rPr>
        <w:t> </w:t>
      </w:r>
      <w:r>
        <w:rPr/>
        <w:t>gramos.</w:t>
      </w:r>
    </w:p>
    <w:p>
      <w:pPr>
        <w:spacing w:after="0" w:line="249" w:lineRule="auto"/>
        <w:jc w:val="both"/>
        <w:sectPr>
          <w:type w:val="continuous"/>
          <w:pgSz w:w="18830" w:h="12760" w:orient="landscape"/>
          <w:pgMar w:top="1420" w:bottom="280" w:left="640" w:right="620"/>
          <w:cols w:num="2" w:equalWidth="0">
            <w:col w:w="8020" w:space="1378"/>
            <w:col w:w="8172"/>
          </w:cols>
        </w:sectPr>
      </w:pPr>
    </w:p>
    <w:p>
      <w:pPr>
        <w:pStyle w:val="BodyText"/>
        <w:spacing w:before="107"/>
        <w:ind w:left="1903" w:right="1785"/>
        <w:jc w:val="center"/>
      </w:pPr>
      <w:r>
        <w:rPr>
          <w:color w:val="6D6E71"/>
        </w:rPr>
        <w:t>Figura No. 4. Peso y volumen de las muestras</w:t>
      </w:r>
    </w:p>
    <w:p>
      <w:pPr>
        <w:pStyle w:val="BodyText"/>
        <w:spacing w:before="2"/>
        <w:rPr>
          <w:sz w:val="6"/>
        </w:rPr>
      </w:pPr>
    </w:p>
    <w:p>
      <w:pPr>
        <w:pStyle w:val="BodyText"/>
        <w:ind w:left="519"/>
      </w:pPr>
      <w:r>
        <w:rPr/>
        <w:drawing>
          <wp:inline distT="0" distB="0" distL="0" distR="0">
            <wp:extent cx="4402394" cy="1563624"/>
            <wp:effectExtent l="0" t="0" r="0" b="0"/>
            <wp:docPr id="57" name="image47.jpeg" descr=""/>
            <wp:cNvGraphicFramePr>
              <a:graphicFrameLocks noChangeAspect="1"/>
            </wp:cNvGraphicFramePr>
            <a:graphic>
              <a:graphicData uri="http://schemas.openxmlformats.org/drawingml/2006/picture">
                <pic:pic>
                  <pic:nvPicPr>
                    <pic:cNvPr id="58" name="image47.jpeg"/>
                    <pic:cNvPicPr/>
                  </pic:nvPicPr>
                  <pic:blipFill>
                    <a:blip r:embed="rId179" cstate="print"/>
                    <a:stretch>
                      <a:fillRect/>
                    </a:stretch>
                  </pic:blipFill>
                  <pic:spPr>
                    <a:xfrm>
                      <a:off x="0" y="0"/>
                      <a:ext cx="4402394" cy="1563624"/>
                    </a:xfrm>
                    <a:prstGeom prst="rect">
                      <a:avLst/>
                    </a:prstGeom>
                  </pic:spPr>
                </pic:pic>
              </a:graphicData>
            </a:graphic>
          </wp:inline>
        </w:drawing>
      </w:r>
      <w:r>
        <w:rPr/>
      </w:r>
    </w:p>
    <w:p>
      <w:pPr>
        <w:spacing w:before="153"/>
        <w:ind w:left="1903" w:right="1785" w:firstLine="0"/>
        <w:jc w:val="center"/>
        <w:rPr>
          <w:sz w:val="16"/>
        </w:rPr>
      </w:pPr>
      <w:r>
        <w:rPr>
          <w:color w:val="6D6E71"/>
          <w:sz w:val="16"/>
        </w:rPr>
        <w:t>Fuente: Ortega, 2015.</w:t>
      </w:r>
    </w:p>
    <w:p>
      <w:pPr>
        <w:pStyle w:val="BodyText"/>
        <w:spacing w:before="2"/>
        <w:rPr>
          <w:sz w:val="19"/>
        </w:rPr>
      </w:pPr>
    </w:p>
    <w:p>
      <w:pPr>
        <w:pStyle w:val="Heading1"/>
        <w:ind w:left="289"/>
      </w:pPr>
      <w:r>
        <w:rPr/>
        <w:t>Conclusiones.</w:t>
      </w:r>
    </w:p>
    <w:p>
      <w:pPr>
        <w:pStyle w:val="BodyText"/>
        <w:rPr>
          <w:b/>
          <w:sz w:val="21"/>
        </w:rPr>
      </w:pPr>
    </w:p>
    <w:p>
      <w:pPr>
        <w:pStyle w:val="BodyText"/>
        <w:spacing w:line="249" w:lineRule="auto"/>
        <w:ind w:left="119" w:firstLine="170"/>
        <w:jc w:val="both"/>
      </w:pPr>
      <w:r>
        <w:rPr/>
        <w:t>La identificación del proceso de erosión nos posibilita en la prevención, minimización y contención de procesos de degradación de suelo por pérdida de la capa superficial, en este caso debido al flujo laminar. Con el método indirecto se calculó el material erodible y con el método directo la cantidad del material erodado para el caso en CU, ambos métodos muestran que la cantidad de material es semejante. Con el método directo, un valor de 0.059 ton/ha/para el mes de mayo de 2015 con cinco tormentas registradas, la precipitación de mayo de 2015 fue de 198.38</w:t>
      </w:r>
      <w:r>
        <w:rPr>
          <w:spacing w:val="53"/>
        </w:rPr>
        <w:t> </w:t>
      </w:r>
      <w:r>
        <w:rPr/>
        <w:t>milímetros.</w:t>
      </w:r>
    </w:p>
    <w:p>
      <w:pPr>
        <w:pStyle w:val="BodyText"/>
        <w:spacing w:before="11"/>
      </w:pPr>
    </w:p>
    <w:p>
      <w:pPr>
        <w:pStyle w:val="BodyText"/>
        <w:spacing w:line="249" w:lineRule="auto"/>
        <w:ind w:left="119" w:firstLine="170"/>
        <w:jc w:val="both"/>
      </w:pPr>
      <w:r>
        <w:rPr/>
        <w:t>El determinar la cantidad de material permitó reconocer la oportunidad del establecimiento de estrategias que permitirían minimizar la pérdida del suelo. La adaptación a eventualidades climáticas puede sentar las bases de la prevención como ejemplo: el desarrollo de estrategias diferenciadas considerando cada parámetro y cada zona de acuerdo a la vulnerabilidad, identificada.</w:t>
      </w:r>
    </w:p>
    <w:p>
      <w:pPr>
        <w:pStyle w:val="BodyText"/>
        <w:spacing w:before="11"/>
      </w:pPr>
    </w:p>
    <w:p>
      <w:pPr>
        <w:pStyle w:val="BodyText"/>
        <w:spacing w:line="249" w:lineRule="auto"/>
        <w:ind w:left="119" w:firstLine="170"/>
        <w:jc w:val="both"/>
      </w:pPr>
      <w:r>
        <w:rPr/>
        <w:t>Se recomienda, previo al desarrollo de la ecuación USLE/RUSLE/MUSLE identificar los Factores, dado el detalle requerido por la ecuación. Se considera aplicable a la región mazahua, ya que se lleva a cabo actividades siembra de diferentes cultivos. Dentro de los retos identificados, la diferenciación más a detalle  de  los</w:t>
      </w:r>
      <w:r>
        <w:rPr>
          <w:spacing w:val="40"/>
        </w:rPr>
        <w:t> </w:t>
      </w:r>
      <w:r>
        <w:rPr/>
        <w:t>usos</w:t>
      </w:r>
      <w:r>
        <w:rPr>
          <w:spacing w:val="54"/>
        </w:rPr>
        <w:t> </w:t>
      </w:r>
      <w:r>
        <w:rPr/>
        <w:t>de</w:t>
      </w:r>
      <w:r>
        <w:rPr>
          <w:w w:val="101"/>
        </w:rPr>
        <w:t> </w:t>
      </w:r>
      <w:r>
        <w:rPr/>
        <w:t>suelo, así como incorporar más parámetros Los registros de precipitación, intensidad de la precipitación, dirección y concentración del flujo son insumos </w:t>
      </w:r>
      <w:r>
        <w:rPr>
          <w:spacing w:val="-2"/>
        </w:rPr>
        <w:t>considerados </w:t>
      </w:r>
      <w:r>
        <w:rPr/>
        <w:t>determinantes en el proceso de pérdida de suelo. La ecuación de Wischmeier y Smith (1978), se mantiene con sus revisiones y modificaciones, incluso en Europa se ha aplicado. Aun cuando existen numeroso modelos se recomienda su aplicación como método indirecto. Adicionalmente se puede coadyuvar con las metas del milenio en la medida de conocer más específicamente los procesos de erosión que ayuden a</w:t>
      </w:r>
      <w:r>
        <w:rPr>
          <w:spacing w:val="-35"/>
        </w:rPr>
        <w:t> </w:t>
      </w:r>
      <w:r>
        <w:rPr/>
        <w:t>mitigar y detener los procesos de pérdida de suelo y mejorar la productividad del suelo para localidades</w:t>
      </w:r>
      <w:r>
        <w:rPr>
          <w:spacing w:val="-15"/>
        </w:rPr>
        <w:t> </w:t>
      </w:r>
      <w:r>
        <w:rPr/>
        <w:t>con</w:t>
      </w:r>
      <w:r>
        <w:rPr>
          <w:spacing w:val="-15"/>
        </w:rPr>
        <w:t> </w:t>
      </w:r>
      <w:r>
        <w:rPr/>
        <w:t>altos</w:t>
      </w:r>
      <w:r>
        <w:rPr>
          <w:spacing w:val="-15"/>
        </w:rPr>
        <w:t> </w:t>
      </w:r>
      <w:r>
        <w:rPr/>
        <w:t>índices</w:t>
      </w:r>
      <w:r>
        <w:rPr>
          <w:spacing w:val="-15"/>
        </w:rPr>
        <w:t> </w:t>
      </w:r>
      <w:r>
        <w:rPr/>
        <w:t>de</w:t>
      </w:r>
      <w:r>
        <w:rPr>
          <w:spacing w:val="-15"/>
        </w:rPr>
        <w:t> </w:t>
      </w:r>
      <w:r>
        <w:rPr/>
        <w:t>marginación</w:t>
      </w:r>
      <w:r>
        <w:rPr>
          <w:spacing w:val="-15"/>
        </w:rPr>
        <w:t> </w:t>
      </w:r>
      <w:r>
        <w:rPr/>
        <w:t>como</w:t>
      </w:r>
      <w:r>
        <w:rPr>
          <w:spacing w:val="-15"/>
        </w:rPr>
        <w:t> </w:t>
      </w:r>
      <w:r>
        <w:rPr/>
        <w:t>lo</w:t>
      </w:r>
      <w:r>
        <w:rPr>
          <w:spacing w:val="-15"/>
        </w:rPr>
        <w:t> </w:t>
      </w:r>
      <w:r>
        <w:rPr/>
        <w:t>es</w:t>
      </w:r>
      <w:r>
        <w:rPr>
          <w:spacing w:val="-15"/>
        </w:rPr>
        <w:t> </w:t>
      </w:r>
      <w:r>
        <w:rPr/>
        <w:t>la</w:t>
      </w:r>
      <w:r>
        <w:rPr>
          <w:spacing w:val="-15"/>
        </w:rPr>
        <w:t> </w:t>
      </w:r>
      <w:r>
        <w:rPr/>
        <w:t>región</w:t>
      </w:r>
      <w:r>
        <w:rPr>
          <w:spacing w:val="-15"/>
        </w:rPr>
        <w:t> </w:t>
      </w:r>
      <w:r>
        <w:rPr/>
        <w:t>mazahua</w:t>
      </w:r>
      <w:r>
        <w:rPr>
          <w:spacing w:val="-15"/>
        </w:rPr>
        <w:t> </w:t>
      </w:r>
      <w:r>
        <w:rPr/>
        <w:t>mexiquense.</w:t>
      </w:r>
    </w:p>
    <w:p>
      <w:pPr>
        <w:pStyle w:val="BodyText"/>
        <w:spacing w:before="10"/>
        <w:rPr>
          <w:sz w:val="26"/>
        </w:rPr>
      </w:pPr>
      <w:r>
        <w:rPr/>
        <w:br w:type="column"/>
      </w:r>
      <w:r>
        <w:rPr>
          <w:sz w:val="26"/>
        </w:rPr>
      </w:r>
    </w:p>
    <w:p>
      <w:pPr>
        <w:pStyle w:val="Heading1"/>
        <w:ind w:left="289"/>
      </w:pPr>
      <w:r>
        <w:rPr/>
        <w:t>Referencias bibliográficas</w:t>
      </w:r>
    </w:p>
    <w:p>
      <w:pPr>
        <w:pStyle w:val="BodyText"/>
        <w:rPr>
          <w:b/>
          <w:sz w:val="24"/>
        </w:rPr>
      </w:pPr>
    </w:p>
    <w:p>
      <w:pPr>
        <w:pStyle w:val="BodyText"/>
        <w:spacing w:line="249" w:lineRule="auto" w:before="205"/>
        <w:ind w:left="742" w:right="130" w:hanging="624"/>
        <w:jc w:val="both"/>
      </w:pPr>
      <w:r>
        <w:rPr/>
        <w:t>Almorox Alonso, López Bermudez F., Rafaelli S. (2010) La degradación de los suelos por degradación hídrica. Universidad de Murcia.  384p</w:t>
      </w:r>
    </w:p>
    <w:p>
      <w:pPr>
        <w:pStyle w:val="BodyText"/>
        <w:spacing w:before="11"/>
      </w:pPr>
    </w:p>
    <w:p>
      <w:pPr>
        <w:pStyle w:val="BodyText"/>
        <w:spacing w:line="249" w:lineRule="auto"/>
        <w:ind w:left="742" w:right="129" w:hanging="624"/>
        <w:jc w:val="both"/>
      </w:pPr>
      <w:r>
        <w:rPr/>
        <w:t>Bonilla, Carlos A; Reyes, José L y Magri, Antoni. Water Erosion Prediction Using the Revised Universal Soil Loss Equation (RUSLE) in a GIS Framework, Central Chile. Chilean J. Agric. Res. [online]. 2010, vol.70, n.1 [citado   2015-06-09],   pp. 159-169. Disponible en: </w:t>
      </w:r>
      <w:hyperlink r:id="rId180">
        <w:r>
          <w:rPr/>
          <w:t>&lt;http://www.scielo.cl/scielo.php?script=sci_</w:t>
        </w:r>
      </w:hyperlink>
      <w:r>
        <w:rPr/>
        <w:t> arttext&amp;pid=S0718-58392010000100017&amp;lng=es&amp;nrm=iso&gt;. ISSN 0718-5839. </w:t>
      </w:r>
      <w:hyperlink r:id="rId181">
        <w:r>
          <w:rPr/>
          <w:t>http://dx.doi.org/10.4067/S0718-58392010000100017.</w:t>
        </w:r>
      </w:hyperlink>
    </w:p>
    <w:p>
      <w:pPr>
        <w:pStyle w:val="BodyText"/>
        <w:spacing w:before="11"/>
      </w:pPr>
    </w:p>
    <w:p>
      <w:pPr>
        <w:pStyle w:val="BodyText"/>
        <w:spacing w:line="249" w:lineRule="auto"/>
        <w:ind w:left="742" w:right="129" w:hanging="624"/>
        <w:jc w:val="both"/>
      </w:pPr>
      <w:r>
        <w:rPr/>
        <w:t>Cardei</w:t>
      </w:r>
      <w:r>
        <w:rPr>
          <w:spacing w:val="-11"/>
        </w:rPr>
        <w:t> </w:t>
      </w:r>
      <w:r>
        <w:rPr/>
        <w:t>Petru</w:t>
      </w:r>
      <w:r>
        <w:rPr>
          <w:spacing w:val="-11"/>
        </w:rPr>
        <w:t> </w:t>
      </w:r>
      <w:r>
        <w:rPr/>
        <w:t>(2010)</w:t>
      </w:r>
      <w:r>
        <w:rPr>
          <w:spacing w:val="-11"/>
        </w:rPr>
        <w:t> </w:t>
      </w:r>
      <w:r>
        <w:rPr/>
        <w:t>The</w:t>
      </w:r>
      <w:r>
        <w:rPr>
          <w:spacing w:val="-11"/>
        </w:rPr>
        <w:t> </w:t>
      </w:r>
      <w:r>
        <w:rPr/>
        <w:t>Dimensional</w:t>
      </w:r>
      <w:r>
        <w:rPr>
          <w:spacing w:val="-11"/>
        </w:rPr>
        <w:t> </w:t>
      </w:r>
      <w:r>
        <w:rPr/>
        <w:t>Analysis</w:t>
      </w:r>
      <w:r>
        <w:rPr>
          <w:spacing w:val="-11"/>
        </w:rPr>
        <w:t> </w:t>
      </w:r>
      <w:r>
        <w:rPr/>
        <w:t>of</w:t>
      </w:r>
      <w:r>
        <w:rPr>
          <w:spacing w:val="-11"/>
        </w:rPr>
        <w:t> </w:t>
      </w:r>
      <w:r>
        <w:rPr/>
        <w:t>the</w:t>
      </w:r>
      <w:r>
        <w:rPr>
          <w:spacing w:val="-11"/>
        </w:rPr>
        <w:t> </w:t>
      </w:r>
      <w:r>
        <w:rPr/>
        <w:t>USLE</w:t>
      </w:r>
      <w:r>
        <w:rPr>
          <w:spacing w:val="-11"/>
        </w:rPr>
        <w:t> </w:t>
      </w:r>
      <w:r>
        <w:rPr/>
        <w:t>-</w:t>
      </w:r>
      <w:r>
        <w:rPr>
          <w:spacing w:val="-11"/>
        </w:rPr>
        <w:t> </w:t>
      </w:r>
      <w:r>
        <w:rPr/>
        <w:t>MUSLE</w:t>
      </w:r>
      <w:r>
        <w:rPr>
          <w:spacing w:val="-11"/>
        </w:rPr>
        <w:t> </w:t>
      </w:r>
      <w:r>
        <w:rPr/>
        <w:t>Soil</w:t>
      </w:r>
      <w:r>
        <w:rPr>
          <w:spacing w:val="-11"/>
        </w:rPr>
        <w:t> </w:t>
      </w:r>
      <w:r>
        <w:rPr/>
        <w:t>Erosion</w:t>
      </w:r>
      <w:r>
        <w:rPr>
          <w:spacing w:val="-11"/>
        </w:rPr>
        <w:t> </w:t>
      </w:r>
      <w:r>
        <w:rPr/>
        <w:t>Model National Institute of Research-Development for Machines and Installations Designed to Agriculture and Food Industry (INMA) Bucharest, Romania. Consultado en mayo de 2015. Disponible en </w:t>
      </w:r>
      <w:hyperlink r:id="rId182">
        <w:r>
          <w:rPr/>
          <w:t>http://www.acad.ro/sectii2002/</w:t>
        </w:r>
      </w:hyperlink>
      <w:r>
        <w:rPr/>
        <w:t> proceedingsChemistry/doc2010-3/art09Cardei.pdf</w:t>
      </w:r>
    </w:p>
    <w:p>
      <w:pPr>
        <w:pStyle w:val="BodyText"/>
        <w:spacing w:before="11"/>
      </w:pPr>
    </w:p>
    <w:p>
      <w:pPr>
        <w:pStyle w:val="BodyText"/>
        <w:spacing w:line="249" w:lineRule="auto"/>
        <w:ind w:left="742" w:right="129" w:hanging="624"/>
        <w:jc w:val="both"/>
      </w:pPr>
      <w:r>
        <w:rPr/>
        <w:t>CONAGUA Comisión Nacional del Agua (2007) Manual de agua potable, alcantarillado y saneamiento. Secretaría de Medio Ambiente. Consultado en abril de 2015. Disponible en </w:t>
      </w:r>
      <w:hyperlink r:id="rId183">
        <w:r>
          <w:rPr>
            <w:color w:val="0077CA"/>
            <w:u w:val="single" w:color="0077CA"/>
          </w:rPr>
          <w:t>http://www.conagua.gob.mx/CONAGUA07/Publicaciones</w:t>
        </w:r>
      </w:hyperlink>
      <w:r>
        <w:rPr>
          <w:color w:val="0077CA"/>
          <w:u w:val="single" w:color="0077CA"/>
        </w:rPr>
        <w:t> </w:t>
      </w:r>
      <w:r>
        <w:rPr/>
        <w:t>/ Publicaciones/Libros/01AlcantarilladoPluvial.pdf</w:t>
      </w:r>
    </w:p>
    <w:p>
      <w:pPr>
        <w:pStyle w:val="BodyText"/>
        <w:spacing w:before="11"/>
      </w:pPr>
    </w:p>
    <w:p>
      <w:pPr>
        <w:pStyle w:val="BodyText"/>
        <w:spacing w:line="249" w:lineRule="auto"/>
        <w:ind w:left="742" w:right="128" w:hanging="624"/>
        <w:jc w:val="both"/>
      </w:pPr>
      <w:r>
        <w:rPr/>
        <w:t>CONAGUA Comisión Nacional del Agua. Reporte meteorológico para la agricultura. Informe</w:t>
      </w:r>
      <w:r>
        <w:rPr>
          <w:spacing w:val="-20"/>
        </w:rPr>
        <w:t> </w:t>
      </w:r>
      <w:r>
        <w:rPr/>
        <w:t>81</w:t>
      </w:r>
      <w:r>
        <w:rPr>
          <w:spacing w:val="-20"/>
        </w:rPr>
        <w:t> </w:t>
      </w:r>
      <w:r>
        <w:rPr/>
        <w:t>del</w:t>
      </w:r>
      <w:r>
        <w:rPr>
          <w:spacing w:val="-20"/>
        </w:rPr>
        <w:t> </w:t>
      </w:r>
      <w:r>
        <w:rPr/>
        <w:t>18</w:t>
      </w:r>
      <w:r>
        <w:rPr>
          <w:spacing w:val="-20"/>
        </w:rPr>
        <w:t> </w:t>
      </w:r>
      <w:r>
        <w:rPr/>
        <w:t>de</w:t>
      </w:r>
      <w:r>
        <w:rPr>
          <w:spacing w:val="-20"/>
        </w:rPr>
        <w:t> </w:t>
      </w:r>
      <w:r>
        <w:rPr/>
        <w:t>mayo</w:t>
      </w:r>
      <w:r>
        <w:rPr>
          <w:spacing w:val="-20"/>
        </w:rPr>
        <w:t> </w:t>
      </w:r>
      <w:r>
        <w:rPr/>
        <w:t>de</w:t>
      </w:r>
      <w:r>
        <w:rPr>
          <w:spacing w:val="-20"/>
        </w:rPr>
        <w:t> </w:t>
      </w:r>
      <w:r>
        <w:rPr/>
        <w:t>2015,</w:t>
      </w:r>
      <w:r>
        <w:rPr>
          <w:spacing w:val="-20"/>
        </w:rPr>
        <w:t> </w:t>
      </w:r>
      <w:r>
        <w:rPr/>
        <w:t>consultado</w:t>
      </w:r>
      <w:r>
        <w:rPr>
          <w:spacing w:val="-21"/>
        </w:rPr>
        <w:t> </w:t>
      </w:r>
      <w:r>
        <w:rPr/>
        <w:t>el</w:t>
      </w:r>
      <w:r>
        <w:rPr>
          <w:spacing w:val="-20"/>
        </w:rPr>
        <w:t> </w:t>
      </w:r>
      <w:r>
        <w:rPr/>
        <w:t>18</w:t>
      </w:r>
      <w:r>
        <w:rPr>
          <w:spacing w:val="-20"/>
        </w:rPr>
        <w:t> </w:t>
      </w:r>
      <w:r>
        <w:rPr/>
        <w:t>de</w:t>
      </w:r>
      <w:r>
        <w:rPr>
          <w:spacing w:val="-20"/>
        </w:rPr>
        <w:t> </w:t>
      </w:r>
      <w:r>
        <w:rPr/>
        <w:t>mayo</w:t>
      </w:r>
      <w:r>
        <w:rPr>
          <w:spacing w:val="-20"/>
        </w:rPr>
        <w:t> </w:t>
      </w:r>
      <w:r>
        <w:rPr/>
        <w:t>de</w:t>
      </w:r>
      <w:r>
        <w:rPr>
          <w:spacing w:val="-20"/>
        </w:rPr>
        <w:t> </w:t>
      </w:r>
      <w:r>
        <w:rPr/>
        <w:t>2015.</w:t>
      </w:r>
      <w:r>
        <w:rPr>
          <w:spacing w:val="-20"/>
        </w:rPr>
        <w:t> </w:t>
      </w:r>
      <w:r>
        <w:rPr/>
        <w:t>Disponible en </w:t>
      </w:r>
      <w:hyperlink r:id="rId184">
        <w:r>
          <w:rPr>
            <w:color w:val="0077CA"/>
            <w:u w:val="single" w:color="0077CA"/>
          </w:rPr>
          <w:t>http://smn.cna.gob.mx/index.php?option=com_content&amp;view=article&amp;id=75:</w:t>
        </w:r>
      </w:hyperlink>
      <w:r>
        <w:rPr>
          <w:color w:val="0077CA"/>
          <w:u w:val="single" w:color="0077CA"/>
        </w:rPr>
        <w:t> </w:t>
      </w:r>
      <w:hyperlink r:id="rId184">
        <w:r>
          <w:rPr>
            <w:color w:val="0077CA"/>
            <w:u w:val="single" w:color="0077CA"/>
          </w:rPr>
          <w:t>boletin-meteorologico-para-la-agricultura&amp;catid=4&amp;Itemid=2</w:t>
        </w:r>
      </w:hyperlink>
    </w:p>
    <w:p>
      <w:pPr>
        <w:pStyle w:val="BodyText"/>
        <w:spacing w:before="11"/>
      </w:pPr>
    </w:p>
    <w:p>
      <w:pPr>
        <w:pStyle w:val="BodyText"/>
        <w:spacing w:line="249" w:lineRule="auto"/>
        <w:ind w:left="742" w:right="130" w:hanging="624"/>
        <w:jc w:val="both"/>
      </w:pPr>
      <w:r>
        <w:rPr>
          <w:color w:val="0077CA"/>
          <w:u w:val="single" w:color="0077CA"/>
        </w:rPr>
        <w:t>Chapingo, Colegio de Posgraduados (1997) Manual de Conservación de suelo y del Agua. Instructivo. Secretaria de Agricultura y recursos Hidráulicos y Secretaria de Programación y Presupuesto. México. 645 p</w:t>
      </w:r>
    </w:p>
    <w:p>
      <w:pPr>
        <w:pStyle w:val="BodyText"/>
        <w:spacing w:before="11"/>
      </w:pPr>
    </w:p>
    <w:p>
      <w:pPr>
        <w:pStyle w:val="BodyText"/>
        <w:spacing w:line="249" w:lineRule="auto"/>
        <w:ind w:left="742" w:right="130" w:hanging="624"/>
        <w:jc w:val="both"/>
      </w:pPr>
      <w:r>
        <w:rPr/>
        <w:t>FAO (1990) Manual de campo para la ordenación de cuencas hidrográficas. Diseño     y construcción de caminos en cuencas hidrográficas frágiles. Consultado en mayo  de  2015  disponible:</w:t>
      </w:r>
      <w:r>
        <w:rPr>
          <w:spacing w:val="-10"/>
        </w:rPr>
        <w:t> </w:t>
      </w:r>
      <w:hyperlink r:id="rId185">
        <w:r>
          <w:rPr>
            <w:color w:val="0077CA"/>
            <w:u w:val="single" w:color="0077CA"/>
          </w:rPr>
          <w:t>http://www.fao.org/docrep/006/t0099s/t0099s00.htm</w:t>
        </w:r>
      </w:hyperlink>
    </w:p>
    <w:p>
      <w:pPr>
        <w:pStyle w:val="BodyText"/>
        <w:spacing w:before="11"/>
      </w:pPr>
    </w:p>
    <w:p>
      <w:pPr>
        <w:pStyle w:val="BodyText"/>
        <w:spacing w:line="249" w:lineRule="auto"/>
        <w:ind w:left="742" w:right="129" w:hanging="624"/>
        <w:jc w:val="both"/>
      </w:pPr>
      <w:r>
        <w:rPr>
          <w:w w:val="105"/>
        </w:rPr>
        <w:t>------ (2014) Objetivos del Desarrollo. Disponible en: </w:t>
      </w:r>
      <w:hyperlink r:id="rId186">
        <w:r>
          <w:rPr>
            <w:w w:val="105"/>
          </w:rPr>
          <w:t>http://www.fao.org/post-2015-</w:t>
        </w:r>
      </w:hyperlink>
      <w:r>
        <w:rPr>
          <w:w w:val="105"/>
        </w:rPr>
        <w:t> </w:t>
      </w:r>
      <w:r>
        <w:rPr/>
        <w:t>mdg/background/open-working-group-on-sustainable-development-goals/es/</w:t>
      </w:r>
    </w:p>
    <w:p>
      <w:pPr>
        <w:pStyle w:val="BodyText"/>
        <w:spacing w:before="11"/>
      </w:pPr>
    </w:p>
    <w:p>
      <w:pPr>
        <w:pStyle w:val="BodyText"/>
        <w:ind w:left="119"/>
      </w:pPr>
      <w:r>
        <w:rPr/>
        <w:t>Foster B. Albert (1985) Métodos aprobados en conservación de suelos. Trillas México</w:t>
      </w:r>
    </w:p>
    <w:p>
      <w:pPr>
        <w:spacing w:after="0"/>
        <w:sectPr>
          <w:footerReference w:type="default" r:id="rId178"/>
          <w:pgSz w:w="18830" w:h="12760" w:orient="landscape"/>
          <w:pgMar w:footer="1036" w:header="522" w:top="820" w:bottom="1220" w:left="720" w:right="720"/>
          <w:cols w:num="2" w:equalWidth="0">
            <w:col w:w="7830" w:space="1590"/>
            <w:col w:w="7970"/>
          </w:cols>
        </w:sectPr>
      </w:pPr>
    </w:p>
    <w:p>
      <w:pPr>
        <w:pStyle w:val="BodyText"/>
        <w:spacing w:before="6"/>
        <w:rPr>
          <w:sz w:val="23"/>
        </w:rPr>
      </w:pPr>
    </w:p>
    <w:p>
      <w:pPr>
        <w:spacing w:after="0"/>
        <w:rPr>
          <w:sz w:val="23"/>
        </w:rPr>
        <w:sectPr>
          <w:footerReference w:type="default" r:id="rId187"/>
          <w:pgSz w:w="18830" w:h="12760" w:orient="landscape"/>
          <w:pgMar w:footer="1036" w:header="522" w:top="820" w:bottom="1220" w:left="720" w:right="720"/>
        </w:sectPr>
      </w:pPr>
    </w:p>
    <w:p>
      <w:pPr>
        <w:pStyle w:val="BodyText"/>
        <w:spacing w:line="249" w:lineRule="auto" w:before="76"/>
        <w:ind w:left="741" w:right="11" w:hanging="624"/>
        <w:jc w:val="both"/>
      </w:pPr>
      <w:r>
        <w:rPr/>
        <w:t>INECC, 2015 Instituto Nacional de Ecología y Cambio Climático. GEO México, 2004. Consultado en abril de 2015 disponible </w:t>
      </w:r>
      <w:r>
        <w:rPr>
          <w:color w:val="0077CA"/>
          <w:u w:val="single" w:color="0077CA"/>
        </w:rPr>
        <w:t>en: </w:t>
      </w:r>
      <w:hyperlink r:id="rId188">
        <w:r>
          <w:rPr>
            <w:color w:val="0077CA"/>
            <w:u w:val="single" w:color="0077CA"/>
          </w:rPr>
          <w:t>https://www.google.com.mx/</w:t>
        </w:r>
      </w:hyperlink>
      <w:r>
        <w:rPr>
          <w:color w:val="0077CA"/>
          <w:u w:val="single" w:color="0077CA"/>
        </w:rPr>
        <w:t> </w:t>
      </w:r>
      <w:hyperlink r:id="rId188">
        <w:r>
          <w:rPr>
            <w:color w:val="0077CA"/>
            <w:u w:val="single" w:color="0077CA"/>
          </w:rPr>
          <w:t>webhp?sourceid=chrome-instant&amp;ion=1&amp;espv= 2&amp;ie=UTF-8#q=erosion+del+s</w:t>
        </w:r>
      </w:hyperlink>
      <w:r>
        <w:rPr>
          <w:color w:val="0077CA"/>
          <w:u w:val="single" w:color="0077CA"/>
        </w:rPr>
        <w:t> </w:t>
      </w:r>
      <w:hyperlink r:id="rId188">
        <w:r>
          <w:rPr>
            <w:color w:val="0077CA"/>
            <w:u w:val="single" w:color="0077CA"/>
          </w:rPr>
          <w:t>uelo+Instituto+nacional+de+ecolog%C3%ADa</w:t>
        </w:r>
      </w:hyperlink>
    </w:p>
    <w:p>
      <w:pPr>
        <w:pStyle w:val="BodyText"/>
        <w:spacing w:before="11"/>
      </w:pPr>
    </w:p>
    <w:p>
      <w:pPr>
        <w:pStyle w:val="BodyText"/>
        <w:ind w:left="117" w:right="-7"/>
      </w:pPr>
      <w:r>
        <w:rPr/>
        <w:t>Kirkby</w:t>
      </w:r>
      <w:r>
        <w:rPr>
          <w:spacing w:val="-7"/>
        </w:rPr>
        <w:t> </w:t>
      </w:r>
      <w:r>
        <w:rPr/>
        <w:t>M.</w:t>
      </w:r>
      <w:r>
        <w:rPr>
          <w:spacing w:val="-7"/>
        </w:rPr>
        <w:t> </w:t>
      </w:r>
      <w:r>
        <w:rPr/>
        <w:t>J.</w:t>
      </w:r>
      <w:r>
        <w:rPr>
          <w:spacing w:val="-7"/>
        </w:rPr>
        <w:t> </w:t>
      </w:r>
      <w:r>
        <w:rPr/>
        <w:t>y</w:t>
      </w:r>
      <w:r>
        <w:rPr>
          <w:spacing w:val="-7"/>
        </w:rPr>
        <w:t> </w:t>
      </w:r>
      <w:r>
        <w:rPr/>
        <w:t>Morgan</w:t>
      </w:r>
      <w:r>
        <w:rPr>
          <w:spacing w:val="-7"/>
        </w:rPr>
        <w:t> </w:t>
      </w:r>
      <w:r>
        <w:rPr/>
        <w:t>R.P.C.</w:t>
      </w:r>
      <w:r>
        <w:rPr>
          <w:spacing w:val="-7"/>
        </w:rPr>
        <w:t> </w:t>
      </w:r>
      <w:r>
        <w:rPr/>
        <w:t>(1984)</w:t>
      </w:r>
      <w:r>
        <w:rPr>
          <w:spacing w:val="-7"/>
        </w:rPr>
        <w:t> </w:t>
      </w:r>
      <w:r>
        <w:rPr/>
        <w:t>Erosión</w:t>
      </w:r>
      <w:r>
        <w:rPr>
          <w:spacing w:val="-7"/>
        </w:rPr>
        <w:t> </w:t>
      </w:r>
      <w:r>
        <w:rPr/>
        <w:t>de</w:t>
      </w:r>
      <w:r>
        <w:rPr>
          <w:spacing w:val="-7"/>
        </w:rPr>
        <w:t> </w:t>
      </w:r>
      <w:r>
        <w:rPr/>
        <w:t>suelos.</w:t>
      </w:r>
      <w:r>
        <w:rPr>
          <w:spacing w:val="-7"/>
        </w:rPr>
        <w:t> </w:t>
      </w:r>
      <w:r>
        <w:rPr/>
        <w:t>Traducción</w:t>
      </w:r>
      <w:r>
        <w:rPr>
          <w:spacing w:val="-7"/>
        </w:rPr>
        <w:t> </w:t>
      </w:r>
      <w:r>
        <w:rPr/>
        <w:t>José</w:t>
      </w:r>
      <w:r>
        <w:rPr>
          <w:spacing w:val="-7"/>
        </w:rPr>
        <w:t> </w:t>
      </w:r>
      <w:r>
        <w:rPr/>
        <w:t>Hurtado</w:t>
      </w:r>
      <w:r>
        <w:rPr>
          <w:spacing w:val="-7"/>
        </w:rPr>
        <w:t> </w:t>
      </w:r>
      <w:r>
        <w:rPr/>
        <w:t>Vega.</w:t>
      </w:r>
    </w:p>
    <w:p>
      <w:pPr>
        <w:pStyle w:val="BodyText"/>
        <w:spacing w:before="10"/>
        <w:ind w:left="741" w:right="-7"/>
      </w:pPr>
      <w:r>
        <w:rPr/>
        <w:t>LIMUSA. México</w:t>
      </w:r>
    </w:p>
    <w:p>
      <w:pPr>
        <w:pStyle w:val="BodyText"/>
        <w:spacing w:before="8"/>
        <w:rPr>
          <w:sz w:val="21"/>
        </w:rPr>
      </w:pPr>
    </w:p>
    <w:p>
      <w:pPr>
        <w:pStyle w:val="BodyText"/>
        <w:spacing w:line="249" w:lineRule="auto"/>
        <w:ind w:left="741" w:right="10" w:hanging="624"/>
        <w:jc w:val="both"/>
      </w:pPr>
      <w:r>
        <w:rPr/>
        <w:t>Martín-Fernández,</w:t>
      </w:r>
      <w:r>
        <w:rPr>
          <w:spacing w:val="-10"/>
        </w:rPr>
        <w:t> </w:t>
      </w:r>
      <w:r>
        <w:rPr/>
        <w:t>L.,</w:t>
      </w:r>
      <w:r>
        <w:rPr>
          <w:spacing w:val="-10"/>
        </w:rPr>
        <w:t> </w:t>
      </w:r>
      <w:r>
        <w:rPr/>
        <w:t>Martínez-Núñez,</w:t>
      </w:r>
      <w:r>
        <w:rPr>
          <w:spacing w:val="-10"/>
        </w:rPr>
        <w:t> </w:t>
      </w:r>
      <w:r>
        <w:rPr/>
        <w:t>M.</w:t>
      </w:r>
      <w:r>
        <w:rPr>
          <w:spacing w:val="-10"/>
        </w:rPr>
        <w:t> </w:t>
      </w:r>
      <w:r>
        <w:rPr/>
        <w:t>(2010):</w:t>
      </w:r>
      <w:r>
        <w:rPr>
          <w:spacing w:val="-10"/>
        </w:rPr>
        <w:t> </w:t>
      </w:r>
      <w:r>
        <w:rPr/>
        <w:t>“Estudios</w:t>
      </w:r>
      <w:r>
        <w:rPr>
          <w:spacing w:val="-10"/>
        </w:rPr>
        <w:t> </w:t>
      </w:r>
      <w:r>
        <w:rPr/>
        <w:t>recientes</w:t>
      </w:r>
      <w:r>
        <w:rPr>
          <w:spacing w:val="-10"/>
        </w:rPr>
        <w:t> </w:t>
      </w:r>
      <w:r>
        <w:rPr/>
        <w:t>de</w:t>
      </w:r>
      <w:r>
        <w:rPr>
          <w:spacing w:val="-10"/>
        </w:rPr>
        <w:t> </w:t>
      </w:r>
      <w:r>
        <w:rPr/>
        <w:t>cartografía</w:t>
      </w:r>
      <w:r>
        <w:rPr>
          <w:spacing w:val="-10"/>
        </w:rPr>
        <w:t> </w:t>
      </w:r>
      <w:r>
        <w:rPr/>
        <w:t>del riesgo</w:t>
      </w:r>
      <w:r>
        <w:rPr>
          <w:spacing w:val="-15"/>
        </w:rPr>
        <w:t> </w:t>
      </w:r>
      <w:r>
        <w:rPr/>
        <w:t>de</w:t>
      </w:r>
      <w:r>
        <w:rPr>
          <w:spacing w:val="-15"/>
        </w:rPr>
        <w:t> </w:t>
      </w:r>
      <w:r>
        <w:rPr/>
        <w:t>erosión</w:t>
      </w:r>
      <w:r>
        <w:rPr>
          <w:spacing w:val="-15"/>
        </w:rPr>
        <w:t> </w:t>
      </w:r>
      <w:r>
        <w:rPr/>
        <w:t>de</w:t>
      </w:r>
      <w:r>
        <w:rPr>
          <w:spacing w:val="-15"/>
        </w:rPr>
        <w:t> </w:t>
      </w:r>
      <w:r>
        <w:rPr/>
        <w:t>suelos</w:t>
      </w:r>
      <w:r>
        <w:rPr>
          <w:spacing w:val="-15"/>
        </w:rPr>
        <w:t> </w:t>
      </w:r>
      <w:r>
        <w:rPr/>
        <w:t>a</w:t>
      </w:r>
      <w:r>
        <w:rPr>
          <w:spacing w:val="-15"/>
        </w:rPr>
        <w:t> </w:t>
      </w:r>
      <w:r>
        <w:rPr/>
        <w:t>nivel</w:t>
      </w:r>
      <w:r>
        <w:rPr>
          <w:spacing w:val="-15"/>
        </w:rPr>
        <w:t> </w:t>
      </w:r>
      <w:r>
        <w:rPr/>
        <w:t>nacional</w:t>
      </w:r>
      <w:r>
        <w:rPr>
          <w:spacing w:val="-15"/>
        </w:rPr>
        <w:t> </w:t>
      </w:r>
      <w:r>
        <w:rPr/>
        <w:t>e</w:t>
      </w:r>
      <w:r>
        <w:rPr>
          <w:spacing w:val="-15"/>
        </w:rPr>
        <w:t> </w:t>
      </w:r>
      <w:r>
        <w:rPr/>
        <w:t>internacional”,</w:t>
      </w:r>
      <w:r>
        <w:rPr>
          <w:spacing w:val="-15"/>
        </w:rPr>
        <w:t> </w:t>
      </w:r>
      <w:r>
        <w:rPr/>
        <w:t>GeoFocus</w:t>
      </w:r>
      <w:r>
        <w:rPr>
          <w:spacing w:val="-15"/>
        </w:rPr>
        <w:t> </w:t>
      </w:r>
      <w:r>
        <w:rPr/>
        <w:t>(Informes y comentarios), nº 10, p. 47-64. ISSN: 1578-5157. Consultado en mayo 27 de 2015.  Disponible  en</w:t>
      </w:r>
      <w:r>
        <w:rPr>
          <w:spacing w:val="-10"/>
        </w:rPr>
        <w:t> </w:t>
      </w:r>
      <w:hyperlink r:id="rId189">
        <w:r>
          <w:rPr>
            <w:color w:val="0077CA"/>
            <w:u w:val="single" w:color="0077CA"/>
          </w:rPr>
          <w:t>http://geofocus.rediris.es/2010/Informe4_2010.pdf</w:t>
        </w:r>
      </w:hyperlink>
    </w:p>
    <w:p>
      <w:pPr>
        <w:pStyle w:val="BodyText"/>
        <w:spacing w:before="11"/>
      </w:pPr>
    </w:p>
    <w:p>
      <w:pPr>
        <w:pStyle w:val="BodyText"/>
        <w:tabs>
          <w:tab w:pos="2032" w:val="left" w:leader="none"/>
        </w:tabs>
        <w:spacing w:line="249" w:lineRule="auto"/>
        <w:ind w:left="741" w:hanging="624"/>
        <w:jc w:val="both"/>
      </w:pPr>
      <w:r>
        <w:rPr/>
        <w:t>Martínez Menes Mario (2005) Estimación  de  la  Erosión  del  suelo  (Presentación  ppt)</w:t>
        <w:tab/>
      </w:r>
      <w:hyperlink r:id="rId190">
        <w:r>
          <w:rPr>
            <w:color w:val="0077CA"/>
            <w:u w:val="single" w:color="0077CA"/>
          </w:rPr>
          <w:t>http://www.sagarpa.gob.mx/desarrolloRural/Publicaciones/Lists/</w:t>
        </w:r>
      </w:hyperlink>
      <w:r>
        <w:rPr>
          <w:color w:val="0077CA"/>
          <w:u w:val="single" w:color="0077CA"/>
        </w:rPr>
        <w:t> </w:t>
      </w:r>
      <w:hyperlink r:id="rId190">
        <w:r>
          <w:rPr>
            <w:color w:val="0077CA"/>
            <w:spacing w:val="9"/>
            <w:u w:val="single" w:color="0077CA"/>
          </w:rPr>
          <w:t>CursoTaller%20Desarrollo%20de%20capacidades%20orientadas%20a/</w:t>
        </w:r>
      </w:hyperlink>
      <w:r>
        <w:rPr>
          <w:color w:val="0077CA"/>
          <w:spacing w:val="9"/>
          <w:u w:val="single" w:color="0077CA"/>
        </w:rPr>
        <w:t> </w:t>
      </w:r>
      <w:hyperlink r:id="rId190">
        <w:r>
          <w:rPr>
            <w:color w:val="0077CA"/>
            <w:u w:val="single" w:color="0077CA"/>
          </w:rPr>
          <w:t>Attachments/6/04estim-eros-sue.pdf</w:t>
        </w:r>
      </w:hyperlink>
    </w:p>
    <w:p>
      <w:pPr>
        <w:pStyle w:val="BodyText"/>
        <w:spacing w:before="11"/>
      </w:pPr>
    </w:p>
    <w:p>
      <w:pPr>
        <w:pStyle w:val="BodyText"/>
        <w:tabs>
          <w:tab w:pos="2032" w:val="left" w:leader="none"/>
        </w:tabs>
        <w:spacing w:line="249" w:lineRule="auto"/>
        <w:ind w:left="741" w:hanging="624"/>
        <w:jc w:val="both"/>
      </w:pPr>
      <w:r>
        <w:rPr/>
        <w:t>Martínez Menes Mario. (2015). Producción de Sedimentos. Ecuación Universal de pérdida de suelo. Evaluación de la pérdida de suelo Modificada. SAGARPA- INCA.  Presentación  en  línea   consultada   el   28   abril   2015.   Disponible  en</w:t>
        <w:tab/>
      </w:r>
      <w:hyperlink r:id="rId191">
        <w:r>
          <w:rPr/>
          <w:t>http://www.sagarpa.gob.mx/desarrolloRural/Publicaciones/Lists/</w:t>
        </w:r>
      </w:hyperlink>
      <w:r>
        <w:rPr/>
        <w:t> </w:t>
      </w:r>
      <w:r>
        <w:rPr>
          <w:spacing w:val="9"/>
        </w:rPr>
        <w:t>CursoTaller%20Desarrollo%20de%20capacidades%20orientadas%20a/ </w:t>
      </w:r>
      <w:r>
        <w:rPr/>
        <w:t>Attachments/8/06prod-sedimen.pdf</w:t>
      </w:r>
    </w:p>
    <w:p>
      <w:pPr>
        <w:pStyle w:val="BodyText"/>
        <w:spacing w:before="11"/>
      </w:pPr>
    </w:p>
    <w:p>
      <w:pPr>
        <w:pStyle w:val="BodyText"/>
        <w:spacing w:line="249" w:lineRule="auto"/>
        <w:ind w:left="741" w:right="12" w:hanging="624"/>
        <w:jc w:val="both"/>
      </w:pPr>
      <w:r>
        <w:rPr/>
        <w:t>Martínez Menes Mario R., Rubio Granados Erasmo, Oropeza Mota José L. (2009) Control de Cárcava. Secretaria de Agricultura, Ganadería Pesca y</w:t>
      </w:r>
      <w:r>
        <w:rPr>
          <w:spacing w:val="-29"/>
        </w:rPr>
        <w:t> </w:t>
      </w:r>
      <w:r>
        <w:rPr/>
        <w:t>Alimentación. Subsecretaría de Desarrollo Rural. Disponible en: </w:t>
      </w:r>
      <w:hyperlink r:id="rId192">
        <w:r>
          <w:rPr/>
          <w:t>http://www.sagarpa.gob.mx/</w:t>
        </w:r>
      </w:hyperlink>
      <w:r>
        <w:rPr/>
        <w:t> desarrolloRural/Documents/fichasCOUSSA/Control%20de%20carcavas.pdf</w:t>
      </w:r>
    </w:p>
    <w:p>
      <w:pPr>
        <w:pStyle w:val="BodyText"/>
        <w:spacing w:before="11"/>
      </w:pPr>
    </w:p>
    <w:p>
      <w:pPr>
        <w:pStyle w:val="BodyText"/>
        <w:spacing w:line="249" w:lineRule="auto"/>
        <w:ind w:left="741" w:right="5" w:hanging="624"/>
        <w:jc w:val="both"/>
      </w:pPr>
      <w:r>
        <w:rPr/>
        <w:t>Organización de las Naciones Unidas. (2014) los objetivos del Desarrollo. </w:t>
      </w:r>
      <w:hyperlink r:id="rId193">
        <w:r>
          <w:rPr/>
          <w:t>http://www.</w:t>
        </w:r>
      </w:hyperlink>
      <w:r>
        <w:rPr/>
        <w:t> fao.org/post-2015-mdg/background/open-working-group-on-sustainable- development-goals/es/</w:t>
      </w:r>
    </w:p>
    <w:p>
      <w:pPr>
        <w:pStyle w:val="BodyText"/>
        <w:spacing w:before="11"/>
      </w:pPr>
    </w:p>
    <w:p>
      <w:pPr>
        <w:pStyle w:val="BodyText"/>
        <w:spacing w:line="249" w:lineRule="auto"/>
        <w:ind w:left="741" w:right="10" w:hanging="624"/>
        <w:jc w:val="both"/>
      </w:pPr>
      <w:r>
        <w:rPr/>
        <w:t>Mesén</w:t>
      </w:r>
      <w:r>
        <w:rPr>
          <w:spacing w:val="-6"/>
        </w:rPr>
        <w:t> </w:t>
      </w:r>
      <w:r>
        <w:rPr/>
        <w:t>Leal</w:t>
      </w:r>
      <w:r>
        <w:rPr>
          <w:spacing w:val="-6"/>
        </w:rPr>
        <w:t> </w:t>
      </w:r>
      <w:r>
        <w:rPr/>
        <w:t>R.</w:t>
      </w:r>
      <w:r>
        <w:rPr>
          <w:spacing w:val="-6"/>
        </w:rPr>
        <w:t> </w:t>
      </w:r>
      <w:r>
        <w:rPr/>
        <w:t>Consideraciones</w:t>
      </w:r>
      <w:r>
        <w:rPr>
          <w:spacing w:val="-6"/>
        </w:rPr>
        <w:t> </w:t>
      </w:r>
      <w:r>
        <w:rPr/>
        <w:t>y</w:t>
      </w:r>
      <w:r>
        <w:rPr>
          <w:spacing w:val="-6"/>
        </w:rPr>
        <w:t> </w:t>
      </w:r>
      <w:r>
        <w:rPr/>
        <w:t>Conclusiones</w:t>
      </w:r>
      <w:r>
        <w:rPr>
          <w:spacing w:val="-6"/>
        </w:rPr>
        <w:t> </w:t>
      </w:r>
      <w:r>
        <w:rPr/>
        <w:t>al</w:t>
      </w:r>
      <w:r>
        <w:rPr>
          <w:spacing w:val="-6"/>
        </w:rPr>
        <w:t> </w:t>
      </w:r>
      <w:r>
        <w:rPr/>
        <w:t>Aplicar</w:t>
      </w:r>
      <w:r>
        <w:rPr>
          <w:spacing w:val="-6"/>
        </w:rPr>
        <w:t> </w:t>
      </w:r>
      <w:r>
        <w:rPr/>
        <w:t>el</w:t>
      </w:r>
      <w:r>
        <w:rPr>
          <w:spacing w:val="-6"/>
        </w:rPr>
        <w:t> </w:t>
      </w:r>
      <w:r>
        <w:rPr/>
        <w:t>Modelo</w:t>
      </w:r>
      <w:r>
        <w:rPr>
          <w:spacing w:val="-6"/>
        </w:rPr>
        <w:t> </w:t>
      </w:r>
      <w:r>
        <w:rPr/>
        <w:t>de</w:t>
      </w:r>
      <w:r>
        <w:rPr>
          <w:spacing w:val="-6"/>
        </w:rPr>
        <w:t> </w:t>
      </w:r>
      <w:r>
        <w:rPr/>
        <w:t>Erosión</w:t>
      </w:r>
      <w:r>
        <w:rPr>
          <w:spacing w:val="-6"/>
        </w:rPr>
        <w:t> </w:t>
      </w:r>
      <w:r>
        <w:rPr/>
        <w:t>RUSLE en algunas cuencas de la Fila Costeña, Costa Rica. Programa de Investigación en Desarrollo Urbano Sostenible. Cuarto Simposio Regional sobre Hidráulica</w:t>
      </w:r>
      <w:r>
        <w:rPr>
          <w:spacing w:val="-18"/>
        </w:rPr>
        <w:t> </w:t>
      </w:r>
      <w:r>
        <w:rPr/>
        <w:t>de Ríos, Salta Argentina. En línea Consultado el 20 de octubre de 2015.</w:t>
      </w:r>
      <w:r>
        <w:rPr>
          <w:spacing w:val="-32"/>
        </w:rPr>
        <w:t> </w:t>
      </w:r>
      <w:r>
        <w:rPr/>
        <w:t>Disponible en: </w:t>
      </w:r>
      <w:hyperlink r:id="rId194">
        <w:r>
          <w:rPr/>
          <w:t>http://irh-fce.unse.edu.ar/Rios2009/CD/TC/B/TC_B11_Mesen_RUSLE_</w:t>
        </w:r>
      </w:hyperlink>
      <w:r>
        <w:rPr/>
        <w:t> Cuencas_Fila_Costena_Costa_Rica.pdf</w:t>
      </w:r>
    </w:p>
    <w:p>
      <w:pPr>
        <w:pStyle w:val="BodyText"/>
        <w:spacing w:line="249" w:lineRule="auto" w:before="76"/>
        <w:ind w:left="741" w:right="127" w:hanging="624"/>
        <w:jc w:val="both"/>
      </w:pPr>
      <w:r>
        <w:rPr/>
        <w:br w:type="column"/>
      </w:r>
      <w:r>
        <w:rPr/>
        <w:t>Morales Rodríguez Rodolfo (1988) Prácticas de Conservación y Mejoramiento de Suelo. Editorial Pueblo y Educación. Habana, Cuba. Consultado en mayo de 2015. Disponible en:   </w:t>
      </w:r>
      <w:hyperlink r:id="rId195">
        <w:r>
          <w:rPr>
            <w:color w:val="0077CA"/>
            <w:u w:val="single" w:color="0077CA"/>
          </w:rPr>
          <w:t>https://sustainabledevelopment.un.org/sdinaction/register</w:t>
        </w:r>
      </w:hyperlink>
    </w:p>
    <w:p>
      <w:pPr>
        <w:pStyle w:val="BodyText"/>
        <w:spacing w:before="11"/>
      </w:pPr>
    </w:p>
    <w:p>
      <w:pPr>
        <w:pStyle w:val="BodyText"/>
        <w:spacing w:line="249" w:lineRule="auto"/>
        <w:ind w:left="117" w:right="118"/>
        <w:jc w:val="right"/>
      </w:pPr>
      <w:r>
        <w:rPr/>
        <w:t>Reusser Luccas, Bierman Paul &amp; Rood Dylan. Soil Erosion Rates Rose More Than</w:t>
      </w:r>
      <w:r>
        <w:rPr>
          <w:w w:val="97"/>
        </w:rPr>
        <w:t> </w:t>
      </w:r>
      <w:r>
        <w:rPr/>
        <w:t>100-Fold in the US Following Colonization Via Deforestation &amp; Industrial</w:t>
      </w:r>
      <w:r>
        <w:rPr>
          <w:w w:val="100"/>
        </w:rPr>
        <w:t> </w:t>
      </w:r>
      <w:r>
        <w:rPr/>
        <w:t>Agriculture, Research Finds (American Indian Forest Management Practices</w:t>
      </w:r>
      <w:r>
        <w:rPr>
          <w:w w:val="101"/>
        </w:rPr>
        <w:t> </w:t>
      </w:r>
      <w:r>
        <w:rPr/>
        <w:t>Explained). Consultado en abril de 2015. Journal Geology .Disponible en:</w:t>
      </w:r>
      <w:r>
        <w:rPr>
          <w:w w:val="98"/>
        </w:rPr>
        <w:t> </w:t>
      </w:r>
      <w:hyperlink r:id="rId196">
        <w:r>
          <w:rPr/>
          <w:t>http://scienceheathen.com/2015/01/21/soil-erosion-rates-rose-100-fold-us-</w:t>
        </w:r>
      </w:hyperlink>
      <w:r>
        <w:rPr/>
        <w:t> </w:t>
      </w:r>
      <w:hyperlink r:id="rId196">
        <w:r>
          <w:rPr/>
          <w:t>following-colonization-via-deforestation-industrial-agriculture-research-finds-</w:t>
        </w:r>
      </w:hyperlink>
      <w:r>
        <w:rPr/>
        <w:t> </w:t>
      </w:r>
      <w:hyperlink r:id="rId196">
        <w:r>
          <w:rPr/>
          <w:t>american-indian-forest-management-practices-explained/UNAM</w:t>
        </w:r>
      </w:hyperlink>
      <w:r>
        <w:rPr/>
        <w:t>  Red  de Agua.</w:t>
      </w:r>
    </w:p>
    <w:p>
      <w:pPr>
        <w:pStyle w:val="BodyText"/>
        <w:spacing w:before="11"/>
      </w:pPr>
    </w:p>
    <w:p>
      <w:pPr>
        <w:pStyle w:val="BodyText"/>
        <w:spacing w:line="249" w:lineRule="auto"/>
        <w:ind w:left="741" w:right="122" w:hanging="624"/>
        <w:jc w:val="both"/>
      </w:pPr>
      <w:r>
        <w:rPr/>
        <w:t>Reusser, Bierman y Rood Soil (2015) Erosion Rates Rose More Than 100-Fold In The US Following Colonization Via Deforestation &amp; Industrial Agriculture, Research Finds (+American Indian Forest Management Practices Explained) disponible  en </w:t>
      </w:r>
      <w:hyperlink r:id="rId197">
        <w:r>
          <w:rPr/>
          <w:t>http://scienceheathen.com/2015/01/21/soil-erosion-rates-rose-100-fold-us-</w:t>
        </w:r>
      </w:hyperlink>
      <w:r>
        <w:rPr/>
        <w:t> following-colonization-via-deforestation-industrial-agriculture-research-finds- </w:t>
      </w:r>
      <w:hyperlink r:id="rId198">
        <w:r>
          <w:rPr>
            <w:spacing w:val="6"/>
          </w:rPr>
          <w:t>http://scienceheathen.com/2012/12/13/deforestation-effects-causes-and-</w:t>
        </w:r>
      </w:hyperlink>
      <w:r>
        <w:rPr>
          <w:spacing w:val="6"/>
        </w:rPr>
        <w:t> </w:t>
      </w:r>
      <w:hyperlink r:id="rId198">
        <w:r>
          <w:rPr>
            <w:spacing w:val="-1"/>
          </w:rPr>
          <w:t>examples-top-10-list/american-indian-forest-management-practices-explained/</w:t>
        </w:r>
      </w:hyperlink>
    </w:p>
    <w:p>
      <w:pPr>
        <w:pStyle w:val="BodyText"/>
        <w:spacing w:before="11"/>
      </w:pPr>
    </w:p>
    <w:p>
      <w:pPr>
        <w:pStyle w:val="BodyText"/>
        <w:spacing w:line="249" w:lineRule="auto"/>
        <w:ind w:left="741" w:right="128" w:hanging="624"/>
        <w:jc w:val="both"/>
      </w:pPr>
      <w:r>
        <w:rPr/>
        <w:t>Saavedra</w:t>
      </w:r>
      <w:r>
        <w:rPr>
          <w:spacing w:val="-4"/>
        </w:rPr>
        <w:t> </w:t>
      </w:r>
      <w:r>
        <w:rPr/>
        <w:t>Carlos</w:t>
      </w:r>
      <w:r>
        <w:rPr>
          <w:spacing w:val="-4"/>
        </w:rPr>
        <w:t> </w:t>
      </w:r>
      <w:r>
        <w:rPr/>
        <w:t>(2005)</w:t>
      </w:r>
      <w:r>
        <w:rPr>
          <w:spacing w:val="-4"/>
        </w:rPr>
        <w:t> </w:t>
      </w:r>
      <w:r>
        <w:rPr/>
        <w:t>Estimating</w:t>
      </w:r>
      <w:r>
        <w:rPr>
          <w:spacing w:val="-4"/>
        </w:rPr>
        <w:t> </w:t>
      </w:r>
      <w:r>
        <w:rPr/>
        <w:t>Spatial</w:t>
      </w:r>
      <w:r>
        <w:rPr>
          <w:spacing w:val="-4"/>
        </w:rPr>
        <w:t> </w:t>
      </w:r>
      <w:r>
        <w:rPr/>
        <w:t>patterns</w:t>
      </w:r>
      <w:r>
        <w:rPr>
          <w:spacing w:val="-4"/>
        </w:rPr>
        <w:t> </w:t>
      </w:r>
      <w:r>
        <w:rPr/>
        <w:t>of</w:t>
      </w:r>
      <w:r>
        <w:rPr>
          <w:spacing w:val="-4"/>
        </w:rPr>
        <w:t> </w:t>
      </w:r>
      <w:r>
        <w:rPr/>
        <w:t>soil</w:t>
      </w:r>
      <w:r>
        <w:rPr>
          <w:spacing w:val="-4"/>
        </w:rPr>
        <w:t> </w:t>
      </w:r>
      <w:r>
        <w:rPr/>
        <w:t>erosion</w:t>
      </w:r>
      <w:r>
        <w:rPr>
          <w:spacing w:val="-4"/>
        </w:rPr>
        <w:t> </w:t>
      </w:r>
      <w:r>
        <w:rPr/>
        <w:t>and</w:t>
      </w:r>
      <w:r>
        <w:rPr>
          <w:spacing w:val="-4"/>
        </w:rPr>
        <w:t> </w:t>
      </w:r>
      <w:r>
        <w:rPr/>
        <w:t>deposition</w:t>
      </w:r>
      <w:r>
        <w:rPr>
          <w:spacing w:val="-4"/>
        </w:rPr>
        <w:t> </w:t>
      </w:r>
      <w:r>
        <w:rPr/>
        <w:t>in</w:t>
      </w:r>
      <w:r>
        <w:rPr>
          <w:spacing w:val="-4"/>
        </w:rPr>
        <w:t> </w:t>
      </w:r>
      <w:r>
        <w:rPr/>
        <w:t>the Andean región using geo-information tecniques. Astudy in Cochabamba Bolivia. Thesis. Wageningen</w:t>
      </w:r>
      <w:r>
        <w:rPr>
          <w:spacing w:val="-16"/>
        </w:rPr>
        <w:t> </w:t>
      </w:r>
      <w:r>
        <w:rPr/>
        <w:t>University</w:t>
      </w:r>
    </w:p>
    <w:p>
      <w:pPr>
        <w:pStyle w:val="BodyText"/>
        <w:spacing w:before="11"/>
      </w:pPr>
    </w:p>
    <w:p>
      <w:pPr>
        <w:pStyle w:val="BodyText"/>
        <w:spacing w:line="249" w:lineRule="auto"/>
        <w:ind w:left="741" w:right="122" w:hanging="624"/>
        <w:jc w:val="both"/>
      </w:pPr>
      <w:r>
        <w:rPr/>
        <w:t>Serrano</w:t>
      </w:r>
      <w:r>
        <w:rPr>
          <w:spacing w:val="-15"/>
        </w:rPr>
        <w:t> </w:t>
      </w:r>
      <w:r>
        <w:rPr/>
        <w:t>Barquín</w:t>
      </w:r>
      <w:r>
        <w:rPr>
          <w:spacing w:val="-15"/>
        </w:rPr>
        <w:t> </w:t>
      </w:r>
      <w:r>
        <w:rPr/>
        <w:t>R.A,</w:t>
      </w:r>
      <w:r>
        <w:rPr>
          <w:spacing w:val="-15"/>
        </w:rPr>
        <w:t> </w:t>
      </w:r>
      <w:r>
        <w:rPr/>
        <w:t>Gutiérrez</w:t>
      </w:r>
      <w:r>
        <w:rPr>
          <w:spacing w:val="-15"/>
        </w:rPr>
        <w:t> </w:t>
      </w:r>
      <w:r>
        <w:rPr/>
        <w:t>Cedillo</w:t>
      </w:r>
      <w:r>
        <w:rPr>
          <w:spacing w:val="-15"/>
        </w:rPr>
        <w:t> </w:t>
      </w:r>
      <w:r>
        <w:rPr/>
        <w:t>J.</w:t>
      </w:r>
      <w:r>
        <w:rPr>
          <w:spacing w:val="-15"/>
        </w:rPr>
        <w:t> </w:t>
      </w:r>
      <w:r>
        <w:rPr/>
        <w:t>G,</w:t>
      </w:r>
      <w:r>
        <w:rPr>
          <w:spacing w:val="-15"/>
        </w:rPr>
        <w:t> </w:t>
      </w:r>
      <w:r>
        <w:rPr/>
        <w:t>Cruz</w:t>
      </w:r>
      <w:r>
        <w:rPr>
          <w:spacing w:val="-15"/>
        </w:rPr>
        <w:t> </w:t>
      </w:r>
      <w:r>
        <w:rPr/>
        <w:t>Jiménez</w:t>
      </w:r>
      <w:r>
        <w:rPr>
          <w:spacing w:val="-15"/>
        </w:rPr>
        <w:t> </w:t>
      </w:r>
      <w:r>
        <w:rPr/>
        <w:t>G.,</w:t>
      </w:r>
      <w:r>
        <w:rPr>
          <w:spacing w:val="-15"/>
        </w:rPr>
        <w:t> </w:t>
      </w:r>
      <w:r>
        <w:rPr/>
        <w:t>Madrigal</w:t>
      </w:r>
      <w:r>
        <w:rPr>
          <w:spacing w:val="-15"/>
        </w:rPr>
        <w:t> </w:t>
      </w:r>
      <w:r>
        <w:rPr/>
        <w:t>Uribe</w:t>
      </w:r>
      <w:r>
        <w:rPr>
          <w:spacing w:val="-15"/>
        </w:rPr>
        <w:t> </w:t>
      </w:r>
      <w:r>
        <w:rPr/>
        <w:t>D.,</w:t>
      </w:r>
      <w:r>
        <w:rPr>
          <w:spacing w:val="-15"/>
        </w:rPr>
        <w:t> </w:t>
      </w:r>
      <w:r>
        <w:rPr/>
        <w:t>Región Mazahua</w:t>
      </w:r>
      <w:r>
        <w:rPr>
          <w:spacing w:val="-9"/>
        </w:rPr>
        <w:t> </w:t>
      </w:r>
      <w:r>
        <w:rPr/>
        <w:t>Mexiquense:</w:t>
      </w:r>
      <w:r>
        <w:rPr>
          <w:spacing w:val="-9"/>
        </w:rPr>
        <w:t> </w:t>
      </w:r>
      <w:r>
        <w:rPr/>
        <w:t>Una</w:t>
      </w:r>
      <w:r>
        <w:rPr>
          <w:spacing w:val="-9"/>
        </w:rPr>
        <w:t> </w:t>
      </w:r>
      <w:r>
        <w:rPr/>
        <w:t>visión</w:t>
      </w:r>
      <w:r>
        <w:rPr>
          <w:spacing w:val="-9"/>
        </w:rPr>
        <w:t> </w:t>
      </w:r>
      <w:r>
        <w:rPr/>
        <w:t>desde</w:t>
      </w:r>
      <w:r>
        <w:rPr>
          <w:spacing w:val="-9"/>
        </w:rPr>
        <w:t> </w:t>
      </w:r>
      <w:r>
        <w:rPr/>
        <w:t>Sistemas</w:t>
      </w:r>
      <w:r>
        <w:rPr>
          <w:spacing w:val="-9"/>
        </w:rPr>
        <w:t> </w:t>
      </w:r>
      <w:r>
        <w:rPr/>
        <w:t>Complejos</w:t>
      </w:r>
      <w:r>
        <w:rPr>
          <w:spacing w:val="-9"/>
        </w:rPr>
        <w:t> </w:t>
      </w:r>
      <w:r>
        <w:rPr/>
        <w:t>para</w:t>
      </w:r>
      <w:r>
        <w:rPr>
          <w:spacing w:val="-9"/>
        </w:rPr>
        <w:t> </w:t>
      </w:r>
      <w:r>
        <w:rPr/>
        <w:t>la</w:t>
      </w:r>
      <w:r>
        <w:rPr>
          <w:spacing w:val="-9"/>
        </w:rPr>
        <w:t> </w:t>
      </w:r>
      <w:r>
        <w:rPr/>
        <w:t>evaluación Multicriterio-Multiobjetivo. Gestión Turística. No.16. 2011 disponible en: http:// mingaonline.uach.cl/scielo.php?pid=S0718-64282011000200005&amp;script=sci_ arttext&amp;tlng=es</w:t>
      </w:r>
    </w:p>
    <w:p>
      <w:pPr>
        <w:pStyle w:val="BodyText"/>
        <w:spacing w:before="11"/>
      </w:pPr>
    </w:p>
    <w:p>
      <w:pPr>
        <w:pStyle w:val="BodyText"/>
        <w:spacing w:line="249" w:lineRule="auto"/>
        <w:ind w:left="741" w:right="128" w:hanging="624"/>
        <w:jc w:val="both"/>
      </w:pPr>
      <w:r>
        <w:rPr/>
        <w:t>Wang</w:t>
      </w:r>
      <w:r>
        <w:rPr>
          <w:spacing w:val="-28"/>
        </w:rPr>
        <w:t> </w:t>
      </w:r>
      <w:r>
        <w:rPr/>
        <w:t>Bing,</w:t>
      </w:r>
      <w:r>
        <w:rPr>
          <w:spacing w:val="-28"/>
        </w:rPr>
        <w:t> </w:t>
      </w:r>
      <w:r>
        <w:rPr/>
        <w:t>Zheng</w:t>
      </w:r>
      <w:r>
        <w:rPr>
          <w:spacing w:val="-28"/>
        </w:rPr>
        <w:t> </w:t>
      </w:r>
      <w:r>
        <w:rPr/>
        <w:t>Fenli,</w:t>
      </w:r>
      <w:r>
        <w:rPr>
          <w:spacing w:val="-28"/>
        </w:rPr>
        <w:t> </w:t>
      </w:r>
      <w:r>
        <w:rPr/>
        <w:t>Römkens</w:t>
      </w:r>
      <w:r>
        <w:rPr>
          <w:spacing w:val="-28"/>
        </w:rPr>
        <w:t> </w:t>
      </w:r>
      <w:r>
        <w:rPr/>
        <w:t>Mathias,</w:t>
      </w:r>
      <w:r>
        <w:rPr>
          <w:spacing w:val="-28"/>
        </w:rPr>
        <w:t> </w:t>
      </w:r>
      <w:r>
        <w:rPr/>
        <w:t>Frédéric</w:t>
      </w:r>
      <w:r>
        <w:rPr>
          <w:spacing w:val="-28"/>
        </w:rPr>
        <w:t> </w:t>
      </w:r>
      <w:r>
        <w:rPr/>
        <w:t>Darboux</w:t>
      </w:r>
      <w:r>
        <w:rPr>
          <w:spacing w:val="-28"/>
        </w:rPr>
        <w:t> </w:t>
      </w:r>
      <w:r>
        <w:rPr/>
        <w:t>(2013)</w:t>
      </w:r>
      <w:r>
        <w:rPr>
          <w:spacing w:val="-28"/>
        </w:rPr>
        <w:t> </w:t>
      </w:r>
      <w:r>
        <w:rPr/>
        <w:t>Soil</w:t>
      </w:r>
      <w:r>
        <w:rPr>
          <w:spacing w:val="-28"/>
        </w:rPr>
        <w:t> </w:t>
      </w:r>
      <w:r>
        <w:rPr/>
        <w:t>Erodibility</w:t>
      </w:r>
      <w:r>
        <w:rPr>
          <w:spacing w:val="-28"/>
        </w:rPr>
        <w:t> </w:t>
      </w:r>
      <w:r>
        <w:rPr/>
        <w:t>wáter erosion: a perspective and Chinese experiences.ELSEVIER. Geomorphology Journal.consultado el 25 de mayo de 2015. Disponible en: </w:t>
      </w:r>
      <w:hyperlink r:id="rId193">
        <w:r>
          <w:rPr/>
          <w:t>http://www.</w:t>
        </w:r>
      </w:hyperlink>
      <w:r>
        <w:rPr/>
        <w:t> </w:t>
      </w:r>
      <w:r>
        <w:rPr>
          <w:spacing w:val="-1"/>
        </w:rPr>
        <w:t>researchgate.net/publication/257034894_Soil_erodibility_for_water_erosion_A_ </w:t>
      </w:r>
      <w:r>
        <w:rPr/>
        <w:t>perspective_and_Chinese_experiences</w:t>
      </w:r>
    </w:p>
    <w:p>
      <w:pPr>
        <w:pStyle w:val="BodyText"/>
        <w:spacing w:before="11"/>
      </w:pPr>
    </w:p>
    <w:p>
      <w:pPr>
        <w:pStyle w:val="BodyText"/>
        <w:spacing w:line="249" w:lineRule="auto"/>
        <w:ind w:left="741" w:right="128" w:hanging="624"/>
        <w:jc w:val="both"/>
      </w:pPr>
      <w:r>
        <w:rPr/>
        <w:t>Wischmeier, W.H., Smith, D.D., (1978) Predicting rainfall. Erosion losses. A guide to conservation planning, Agriculture Handbook No. 537, USDA-SEA, US. Govt. Washington, 1978. Consultada el 5 de Noviembre de 2015. Disponible en </w:t>
      </w:r>
      <w:hyperlink r:id="rId199">
        <w:r>
          <w:rPr>
            <w:color w:val="0077CA"/>
            <w:u w:val="single" w:color="0077CA"/>
          </w:rPr>
          <w:t>http://</w:t>
        </w:r>
      </w:hyperlink>
      <w:r>
        <w:rPr>
          <w:color w:val="0077CA"/>
          <w:u w:val="single" w:color="0077CA"/>
        </w:rPr>
        <w:t> </w:t>
      </w:r>
      <w:hyperlink r:id="rId199">
        <w:r>
          <w:rPr>
            <w:color w:val="0077CA"/>
            <w:u w:val="single" w:color="0077CA"/>
          </w:rPr>
          <w:t>naldc.nal.usda.gov/download/CAT79706928/PDF</w:t>
        </w:r>
      </w:hyperlink>
    </w:p>
    <w:p>
      <w:pPr>
        <w:spacing w:after="0" w:line="249" w:lineRule="auto"/>
        <w:jc w:val="both"/>
        <w:sectPr>
          <w:type w:val="continuous"/>
          <w:pgSz w:w="18830" w:h="12760" w:orient="landscape"/>
          <w:pgMar w:top="1420" w:bottom="280" w:left="720" w:right="720"/>
          <w:cols w:num="2" w:equalWidth="0">
            <w:col w:w="7842" w:space="1582"/>
            <w:col w:w="7966"/>
          </w:cols>
        </w:sectPr>
      </w:pPr>
    </w:p>
    <w:p>
      <w:pPr>
        <w:pStyle w:val="BodyText"/>
        <w:spacing w:before="10"/>
        <w:rPr>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8231" w:right="750" w:firstLine="85"/>
      </w:pPr>
      <w:r>
        <w:rPr/>
        <w:t>Estrategia agroecológica comunitaria para prevenir la vulnerabilidad ambiental y social: los huertos familiares</w:t>
      </w:r>
    </w:p>
    <w:p>
      <w:pPr>
        <w:pStyle w:val="BodyText"/>
        <w:spacing w:before="5"/>
        <w:rPr>
          <w:b/>
          <w:sz w:val="17"/>
        </w:rPr>
      </w:pPr>
    </w:p>
    <w:p>
      <w:pPr>
        <w:spacing w:after="0"/>
        <w:rPr>
          <w:sz w:val="17"/>
        </w:rPr>
        <w:sectPr>
          <w:headerReference w:type="default" r:id="rId200"/>
          <w:footerReference w:type="default" r:id="rId201"/>
          <w:pgSz w:w="18830" w:h="12760" w:orient="landscape"/>
          <w:pgMar w:header="482" w:footer="0" w:top="680" w:bottom="0" w:left="2720" w:right="720"/>
        </w:sect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spacing w:before="198"/>
        <w:ind w:left="0" w:right="0" w:firstLine="0"/>
        <w:jc w:val="right"/>
        <w:rPr>
          <w:b/>
          <w:sz w:val="24"/>
        </w:rPr>
      </w:pPr>
      <w:r>
        <w:rPr>
          <w:b/>
          <w:w w:val="95"/>
          <w:sz w:val="24"/>
        </w:rPr>
        <w:t>Resumen</w:t>
      </w:r>
    </w:p>
    <w:p>
      <w:pPr>
        <w:spacing w:line="312" w:lineRule="auto" w:before="81"/>
        <w:ind w:left="4359" w:right="128" w:hanging="208"/>
        <w:jc w:val="right"/>
        <w:rPr>
          <w:sz w:val="9"/>
        </w:rPr>
      </w:pPr>
      <w:r>
        <w:rPr/>
        <w:br w:type="column"/>
      </w:r>
      <w:r>
        <w:rPr>
          <w:sz w:val="16"/>
        </w:rPr>
        <w:t>Jesús Gastón Gutiérrez Cedillo</w:t>
      </w:r>
      <w:r>
        <w:rPr>
          <w:position w:val="5"/>
          <w:sz w:val="9"/>
        </w:rPr>
        <w:t>1</w:t>
      </w:r>
      <w:r>
        <w:rPr>
          <w:w w:val="103"/>
          <w:position w:val="5"/>
          <w:sz w:val="9"/>
        </w:rPr>
        <w:t> </w:t>
      </w:r>
      <w:r>
        <w:rPr>
          <w:sz w:val="16"/>
        </w:rPr>
        <w:t>Xanat Antonio Némiga</w:t>
      </w:r>
      <w:r>
        <w:rPr>
          <w:position w:val="5"/>
          <w:sz w:val="9"/>
        </w:rPr>
        <w:t>2</w:t>
      </w:r>
      <w:r>
        <w:rPr>
          <w:w w:val="103"/>
          <w:position w:val="5"/>
          <w:sz w:val="9"/>
        </w:rPr>
        <w:t> </w:t>
      </w:r>
      <w:r>
        <w:rPr>
          <w:sz w:val="16"/>
        </w:rPr>
        <w:t>Miguel Ángel Balderas Plata</w:t>
      </w:r>
      <w:r>
        <w:rPr>
          <w:position w:val="5"/>
          <w:sz w:val="9"/>
        </w:rPr>
        <w:t>3</w:t>
      </w:r>
    </w:p>
    <w:p>
      <w:pPr>
        <w:spacing w:line="312" w:lineRule="auto" w:before="2"/>
        <w:ind w:left="4019" w:right="128" w:hanging="299"/>
        <w:jc w:val="right"/>
        <w:rPr>
          <w:sz w:val="9"/>
        </w:rPr>
      </w:pPr>
      <w:r>
        <w:rPr>
          <w:sz w:val="16"/>
        </w:rPr>
        <w:t>Carlos Constantino Morales Méndez</w:t>
      </w:r>
      <w:r>
        <w:rPr>
          <w:position w:val="5"/>
          <w:sz w:val="9"/>
        </w:rPr>
        <w:t>4</w:t>
      </w:r>
      <w:r>
        <w:rPr>
          <w:w w:val="103"/>
          <w:position w:val="5"/>
          <w:sz w:val="9"/>
        </w:rPr>
        <w:t> </w:t>
      </w:r>
      <w:r>
        <w:rPr>
          <w:sz w:val="16"/>
        </w:rPr>
        <w:t>Maria Raimunda Araujo Santana</w:t>
      </w:r>
      <w:r>
        <w:rPr>
          <w:position w:val="5"/>
          <w:sz w:val="9"/>
        </w:rPr>
        <w:t>5</w:t>
      </w:r>
      <w:r>
        <w:rPr>
          <w:w w:val="103"/>
          <w:position w:val="5"/>
          <w:sz w:val="9"/>
        </w:rPr>
        <w:t> </w:t>
      </w:r>
      <w:r>
        <w:rPr>
          <w:sz w:val="16"/>
        </w:rPr>
        <w:t>Laura White Olascoga </w:t>
      </w:r>
      <w:r>
        <w:rPr>
          <w:position w:val="5"/>
          <w:sz w:val="9"/>
        </w:rPr>
        <w:t>6</w:t>
      </w:r>
    </w:p>
    <w:p>
      <w:pPr>
        <w:spacing w:line="312" w:lineRule="auto" w:before="2"/>
        <w:ind w:left="4240" w:right="128" w:firstLine="89"/>
        <w:jc w:val="right"/>
        <w:rPr>
          <w:sz w:val="9"/>
        </w:rPr>
      </w:pPr>
      <w:r>
        <w:rPr>
          <w:sz w:val="16"/>
        </w:rPr>
        <w:t>María Cristina Chávez</w:t>
      </w:r>
      <w:r>
        <w:rPr>
          <w:spacing w:val="-18"/>
          <w:sz w:val="16"/>
        </w:rPr>
        <w:t> </w:t>
      </w:r>
      <w:r>
        <w:rPr>
          <w:sz w:val="16"/>
        </w:rPr>
        <w:t>Mejía</w:t>
      </w:r>
      <w:r>
        <w:rPr>
          <w:spacing w:val="-6"/>
          <w:sz w:val="16"/>
        </w:rPr>
        <w:t> </w:t>
      </w:r>
      <w:r>
        <w:rPr>
          <w:position w:val="5"/>
          <w:sz w:val="9"/>
        </w:rPr>
        <w:t>7</w:t>
      </w:r>
      <w:r>
        <w:rPr>
          <w:w w:val="103"/>
          <w:position w:val="5"/>
          <w:sz w:val="9"/>
        </w:rPr>
        <w:t> </w:t>
      </w:r>
      <w:r>
        <w:rPr>
          <w:sz w:val="16"/>
        </w:rPr>
        <w:t>José Emilio Baró</w:t>
      </w:r>
      <w:r>
        <w:rPr>
          <w:spacing w:val="-7"/>
          <w:sz w:val="16"/>
        </w:rPr>
        <w:t> </w:t>
      </w:r>
      <w:r>
        <w:rPr>
          <w:sz w:val="16"/>
        </w:rPr>
        <w:t>Suárez</w:t>
      </w:r>
      <w:r>
        <w:rPr>
          <w:spacing w:val="-3"/>
          <w:sz w:val="16"/>
        </w:rPr>
        <w:t> </w:t>
      </w:r>
      <w:r>
        <w:rPr>
          <w:position w:val="5"/>
          <w:sz w:val="9"/>
        </w:rPr>
        <w:t>8</w:t>
      </w:r>
      <w:r>
        <w:rPr>
          <w:w w:val="103"/>
          <w:position w:val="5"/>
          <w:sz w:val="9"/>
        </w:rPr>
        <w:t> </w:t>
      </w:r>
      <w:r>
        <w:rPr>
          <w:sz w:val="16"/>
        </w:rPr>
        <w:t>José Carmen García</w:t>
      </w:r>
      <w:r>
        <w:rPr>
          <w:spacing w:val="-13"/>
          <w:sz w:val="16"/>
        </w:rPr>
        <w:t> </w:t>
      </w:r>
      <w:r>
        <w:rPr>
          <w:sz w:val="16"/>
        </w:rPr>
        <w:t>Flores</w:t>
      </w:r>
      <w:r>
        <w:rPr>
          <w:spacing w:val="-5"/>
          <w:sz w:val="16"/>
        </w:rPr>
        <w:t> </w:t>
      </w:r>
      <w:r>
        <w:rPr>
          <w:position w:val="5"/>
          <w:sz w:val="9"/>
        </w:rPr>
        <w:t>9</w:t>
      </w:r>
      <w:r>
        <w:rPr>
          <w:w w:val="103"/>
          <w:position w:val="5"/>
          <w:sz w:val="9"/>
        </w:rPr>
        <w:t> </w:t>
      </w:r>
      <w:r>
        <w:rPr>
          <w:sz w:val="16"/>
        </w:rPr>
        <w:t>Alba Karla González</w:t>
      </w:r>
      <w:r>
        <w:rPr>
          <w:spacing w:val="-21"/>
          <w:sz w:val="16"/>
        </w:rPr>
        <w:t> </w:t>
      </w:r>
      <w:r>
        <w:rPr>
          <w:sz w:val="16"/>
        </w:rPr>
        <w:t>Jiménez</w:t>
      </w:r>
      <w:r>
        <w:rPr>
          <w:position w:val="5"/>
          <w:sz w:val="9"/>
        </w:rPr>
        <w:t>10</w:t>
      </w:r>
    </w:p>
    <w:p>
      <w:pPr>
        <w:spacing w:after="0" w:line="312" w:lineRule="auto"/>
        <w:jc w:val="right"/>
        <w:rPr>
          <w:sz w:val="9"/>
        </w:rPr>
        <w:sectPr>
          <w:type w:val="continuous"/>
          <w:pgSz w:w="18830" w:h="12760" w:orient="landscape"/>
          <w:pgMar w:top="1420" w:bottom="280" w:left="2720" w:right="720"/>
          <w:cols w:num="2" w:equalWidth="0">
            <w:col w:w="8792" w:space="40"/>
            <w:col w:w="6558"/>
          </w:cols>
        </w:sectPr>
      </w:pPr>
    </w:p>
    <w:p>
      <w:pPr>
        <w:pStyle w:val="BodyText"/>
        <w:spacing w:before="4"/>
        <w:rPr>
          <w:sz w:val="14"/>
        </w:rPr>
      </w:pPr>
    </w:p>
    <w:p>
      <w:pPr>
        <w:pStyle w:val="BodyText"/>
        <w:spacing w:line="249" w:lineRule="auto" w:before="76"/>
        <w:ind w:left="7541" w:right="127" w:firstLine="170"/>
        <w:jc w:val="both"/>
      </w:pPr>
      <w:r>
        <w:rPr/>
        <w:t>El objetivo principal del estudio es evaluar la importancia de los huertos familiares, como una estrategia comunitaria para prevenir la vulnerabilidad ambiental y social     de las familias rurales. Se estudian huertos familiares en los municipios de Malinalco, Tenancingo y Villa Guerrero, al sur del Estado de México. Se valoran los beneficios y servicios ambientales que los huertos generan a nivel regional; y los beneficios que proporcionan sobre el ingreso y calidad de vida de las  familias</w:t>
      </w:r>
    </w:p>
    <w:p>
      <w:pPr>
        <w:pStyle w:val="BodyText"/>
        <w:spacing w:before="11"/>
      </w:pPr>
    </w:p>
    <w:p>
      <w:pPr>
        <w:pStyle w:val="BodyText"/>
        <w:spacing w:line="249" w:lineRule="auto"/>
        <w:ind w:left="7518" w:right="127" w:firstLine="170"/>
        <w:jc w:val="right"/>
      </w:pPr>
      <w:r>
        <w:rPr/>
        <w:t>Mediante observación sistemática en campo se analizan las prácticas y técnicas de</w:t>
      </w:r>
      <w:r>
        <w:rPr>
          <w:w w:val="101"/>
        </w:rPr>
        <w:t> </w:t>
      </w:r>
      <w:r>
        <w:rPr/>
        <w:t>manejo agroecológico, que contribuyen a la nutrición  e ingreso familiar.  Para valorar</w:t>
      </w:r>
      <w:r>
        <w:rPr>
          <w:w w:val="99"/>
        </w:rPr>
        <w:t> </w:t>
      </w:r>
      <w:r>
        <w:rPr/>
        <w:t>la importancia del huerto se realizan entrevistas estructuradas, mediante Análisis</w:t>
      </w:r>
      <w:r>
        <w:rPr>
          <w:w w:val="98"/>
        </w:rPr>
        <w:t> </w:t>
      </w:r>
      <w:r>
        <w:rPr/>
        <w:t>FODA y Análisis bajo el Enfoque del Marco Lógico, se elaboró el diagnóstico de los</w:t>
      </w:r>
      <w:r>
        <w:rPr>
          <w:w w:val="101"/>
        </w:rPr>
        <w:t> </w:t>
      </w:r>
      <w:r>
        <w:rPr/>
        <w:t>huertos como una oportunidad para la seguridad alimentaria, conservación de recursos</w:t>
      </w:r>
      <w:r>
        <w:rPr>
          <w:w w:val="100"/>
        </w:rPr>
        <w:t> </w:t>
      </w:r>
      <w:r>
        <w:rPr/>
        <w:t>naturales, integración familiar y cohesión social. Esto permitió la propuesta para su</w:t>
      </w:r>
      <w:r>
        <w:rPr>
          <w:w w:val="99"/>
        </w:rPr>
        <w:t> </w:t>
      </w:r>
      <w:r>
        <w:rPr/>
        <w:t>manejo sustentable dirigido a disminuir la vulnerabilidad social y mejorar su resiliencia.</w:t>
      </w:r>
    </w:p>
    <w:p>
      <w:pPr>
        <w:pStyle w:val="BodyText"/>
        <w:spacing w:before="11"/>
      </w:pPr>
    </w:p>
    <w:p>
      <w:pPr>
        <w:pStyle w:val="BodyText"/>
        <w:spacing w:line="249" w:lineRule="auto"/>
        <w:ind w:left="7541" w:right="128" w:firstLine="248"/>
        <w:jc w:val="both"/>
      </w:pPr>
      <w:r>
        <w:rPr/>
        <w:t>El trabajo encuentra sustento teórico en la Geografía Ambiental (Bocco, 2004), la Agroecología (Altieri, 1995; Gliessman </w:t>
      </w:r>
      <w:r>
        <w:rPr>
          <w:i/>
        </w:rPr>
        <w:t>et al</w:t>
      </w:r>
      <w:r>
        <w:rPr/>
        <w:t>., 2007; Gutiérrez, 2008, 2011, 2012), la Ecología</w:t>
      </w:r>
      <w:r>
        <w:rPr>
          <w:spacing w:val="-22"/>
        </w:rPr>
        <w:t> </w:t>
      </w:r>
      <w:r>
        <w:rPr/>
        <w:t>Cultural</w:t>
      </w:r>
      <w:r>
        <w:rPr>
          <w:spacing w:val="-22"/>
        </w:rPr>
        <w:t> </w:t>
      </w:r>
      <w:r>
        <w:rPr/>
        <w:t>(Sauer,</w:t>
      </w:r>
      <w:r>
        <w:rPr>
          <w:spacing w:val="-22"/>
        </w:rPr>
        <w:t> </w:t>
      </w:r>
      <w:r>
        <w:rPr/>
        <w:t>1925</w:t>
      </w:r>
      <w:r>
        <w:rPr>
          <w:spacing w:val="-22"/>
        </w:rPr>
        <w:t> </w:t>
      </w:r>
      <w:r>
        <w:rPr/>
        <w:t>y</w:t>
      </w:r>
      <w:r>
        <w:rPr>
          <w:spacing w:val="-22"/>
        </w:rPr>
        <w:t> </w:t>
      </w:r>
      <w:r>
        <w:rPr/>
        <w:t>Steward,</w:t>
      </w:r>
      <w:r>
        <w:rPr>
          <w:spacing w:val="-22"/>
        </w:rPr>
        <w:t> </w:t>
      </w:r>
      <w:r>
        <w:rPr/>
        <w:t>1977),</w:t>
      </w:r>
      <w:r>
        <w:rPr>
          <w:spacing w:val="-22"/>
        </w:rPr>
        <w:t> </w:t>
      </w:r>
      <w:r>
        <w:rPr/>
        <w:t>y</w:t>
      </w:r>
      <w:r>
        <w:rPr>
          <w:spacing w:val="-22"/>
        </w:rPr>
        <w:t> </w:t>
      </w:r>
      <w:r>
        <w:rPr/>
        <w:t>la</w:t>
      </w:r>
      <w:r>
        <w:rPr>
          <w:spacing w:val="-22"/>
        </w:rPr>
        <w:t> </w:t>
      </w:r>
      <w:r>
        <w:rPr/>
        <w:t>Etnobotánica</w:t>
      </w:r>
      <w:r>
        <w:rPr>
          <w:spacing w:val="-22"/>
        </w:rPr>
        <w:t> </w:t>
      </w:r>
      <w:r>
        <w:rPr/>
        <w:t>(Hernández</w:t>
      </w:r>
      <w:r>
        <w:rPr>
          <w:spacing w:val="-22"/>
        </w:rPr>
        <w:t> </w:t>
      </w:r>
      <w:r>
        <w:rPr/>
        <w:t>X.,</w:t>
      </w:r>
      <w:r>
        <w:rPr>
          <w:spacing w:val="-22"/>
        </w:rPr>
        <w:t> </w:t>
      </w:r>
      <w:r>
        <w:rPr/>
        <w:t>1976). El soporte metodológico se retoma de la Planeación Geográfica Integral (Gutiérrez, 2013)</w:t>
      </w:r>
      <w:r>
        <w:rPr>
          <w:spacing w:val="-7"/>
        </w:rPr>
        <w:t> </w:t>
      </w:r>
      <w:r>
        <w:rPr/>
        <w:t>y</w:t>
      </w:r>
      <w:r>
        <w:rPr>
          <w:spacing w:val="-7"/>
        </w:rPr>
        <w:t> </w:t>
      </w:r>
      <w:r>
        <w:rPr/>
        <w:t>el</w:t>
      </w:r>
      <w:r>
        <w:rPr>
          <w:spacing w:val="-7"/>
        </w:rPr>
        <w:t> </w:t>
      </w:r>
      <w:r>
        <w:rPr/>
        <w:t>Análisis</w:t>
      </w:r>
      <w:r>
        <w:rPr>
          <w:spacing w:val="-7"/>
        </w:rPr>
        <w:t> </w:t>
      </w:r>
      <w:r>
        <w:rPr/>
        <w:t>Espacial</w:t>
      </w:r>
      <w:r>
        <w:rPr>
          <w:spacing w:val="-7"/>
        </w:rPr>
        <w:t> </w:t>
      </w:r>
      <w:r>
        <w:rPr/>
        <w:t>(Juan</w:t>
      </w:r>
      <w:r>
        <w:rPr>
          <w:spacing w:val="-7"/>
        </w:rPr>
        <w:t> </w:t>
      </w:r>
      <w:r>
        <w:rPr/>
        <w:t>y</w:t>
      </w:r>
      <w:r>
        <w:rPr>
          <w:spacing w:val="-7"/>
        </w:rPr>
        <w:t> </w:t>
      </w:r>
      <w:r>
        <w:rPr/>
        <w:t>Madrigal,</w:t>
      </w:r>
      <w:r>
        <w:rPr>
          <w:spacing w:val="-7"/>
        </w:rPr>
        <w:t> </w:t>
      </w:r>
      <w:r>
        <w:rPr/>
        <w:t>2005).</w:t>
      </w:r>
    </w:p>
    <w:p>
      <w:pPr>
        <w:pStyle w:val="BodyText"/>
        <w:spacing w:before="11"/>
      </w:pPr>
    </w:p>
    <w:p>
      <w:pPr>
        <w:pStyle w:val="BodyText"/>
        <w:spacing w:line="249" w:lineRule="auto"/>
        <w:ind w:left="7541" w:right="128" w:firstLine="170"/>
        <w:jc w:val="both"/>
      </w:pPr>
      <w:r>
        <w:rPr/>
        <w:pict>
          <v:group style="position:absolute;margin-left:696.401978pt;margin-top:84.687286pt;width:18.850pt;height:61.8pt;mso-position-horizontal-relative:page;mso-position-vertical-relative:paragraph;z-index:7072" coordorigin="13928,1694" coordsize="377,1236">
            <v:rect style="position:absolute;left:13928;top:1694;width:377;height:1236" filled="true" fillcolor="#c7c8ca" stroked="false">
              <v:fill type="solid"/>
            </v:rect>
            <v:shape style="position:absolute;left:13928;top:1694;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187</w:t>
                    </w:r>
                  </w:p>
                </w:txbxContent>
              </v:textbox>
              <w10:wrap type="none"/>
            </v:shape>
            <w10:wrap type="none"/>
          </v:group>
        </w:pict>
      </w:r>
      <w:r>
        <w:rPr>
          <w:b/>
          <w:i/>
        </w:rPr>
        <w:t>Palabras</w:t>
      </w:r>
      <w:r>
        <w:rPr>
          <w:b/>
          <w:i/>
          <w:spacing w:val="-8"/>
        </w:rPr>
        <w:t> </w:t>
      </w:r>
      <w:r>
        <w:rPr>
          <w:b/>
          <w:i/>
        </w:rPr>
        <w:t>clave:</w:t>
      </w:r>
      <w:r>
        <w:rPr>
          <w:b/>
          <w:i/>
          <w:spacing w:val="-7"/>
        </w:rPr>
        <w:t> </w:t>
      </w:r>
      <w:r>
        <w:rPr/>
        <w:t>estrategia</w:t>
      </w:r>
      <w:r>
        <w:rPr>
          <w:spacing w:val="-7"/>
        </w:rPr>
        <w:t> </w:t>
      </w:r>
      <w:r>
        <w:rPr/>
        <w:t>comunitaria,</w:t>
      </w:r>
      <w:r>
        <w:rPr>
          <w:spacing w:val="-8"/>
        </w:rPr>
        <w:t> </w:t>
      </w:r>
      <w:r>
        <w:rPr/>
        <w:t>huertos</w:t>
      </w:r>
      <w:r>
        <w:rPr>
          <w:spacing w:val="-7"/>
        </w:rPr>
        <w:t> </w:t>
      </w:r>
      <w:r>
        <w:rPr/>
        <w:t>familiares,</w:t>
      </w:r>
      <w:r>
        <w:rPr>
          <w:spacing w:val="-8"/>
        </w:rPr>
        <w:t> </w:t>
      </w:r>
      <w:r>
        <w:rPr/>
        <w:t>sur</w:t>
      </w:r>
      <w:r>
        <w:rPr>
          <w:spacing w:val="-8"/>
        </w:rPr>
        <w:t> </w:t>
      </w:r>
      <w:r>
        <w:rPr/>
        <w:t>del</w:t>
      </w:r>
      <w:r>
        <w:rPr>
          <w:spacing w:val="-8"/>
        </w:rPr>
        <w:t> </w:t>
      </w:r>
      <w:r>
        <w:rPr/>
        <w:t>Estado</w:t>
      </w:r>
      <w:r>
        <w:rPr>
          <w:spacing w:val="-8"/>
        </w:rPr>
        <w:t> </w:t>
      </w:r>
      <w:r>
        <w:rPr/>
        <w:t>de</w:t>
      </w:r>
      <w:r>
        <w:rPr>
          <w:spacing w:val="-8"/>
        </w:rPr>
        <w:t> </w:t>
      </w:r>
      <w:r>
        <w:rPr/>
        <w:t>México, vulnerabilidad ambiental y</w:t>
      </w:r>
      <w:r>
        <w:rPr>
          <w:spacing w:val="-9"/>
        </w:rPr>
        <w:t> </w:t>
      </w:r>
      <w:r>
        <w:rPr/>
        <w:t>social.</w:t>
      </w:r>
    </w:p>
    <w:p>
      <w:pPr>
        <w:spacing w:after="0" w:line="249" w:lineRule="auto"/>
        <w:jc w:val="both"/>
        <w:sectPr>
          <w:type w:val="continuous"/>
          <w:pgSz w:w="18830" w:h="12760" w:orient="landscape"/>
          <w:pgMar w:top="1420" w:bottom="280" w:left="2720" w:right="720"/>
        </w:sectPr>
      </w:pPr>
    </w:p>
    <w:p>
      <w:pPr>
        <w:pStyle w:val="BodyText"/>
        <w:spacing w:before="8"/>
      </w:pPr>
    </w:p>
    <w:p>
      <w:pPr>
        <w:spacing w:after="0"/>
        <w:sectPr>
          <w:headerReference w:type="default" r:id="rId202"/>
          <w:footerReference w:type="default" r:id="rId203"/>
          <w:pgSz w:w="18830" w:h="12760" w:orient="landscape"/>
          <w:pgMar w:header="522" w:footer="1036" w:top="820" w:bottom="1220" w:left="720" w:right="720"/>
          <w:pgNumType w:start="18"/>
        </w:sectPr>
      </w:pPr>
    </w:p>
    <w:p>
      <w:pPr>
        <w:pStyle w:val="Heading1"/>
        <w:spacing w:line="240" w:lineRule="exact" w:before="104"/>
        <w:ind w:left="1333" w:right="3" w:hanging="672"/>
      </w:pPr>
      <w:r>
        <w:rPr/>
        <w:t>Community Agroecological Strategy to Prevent Social and Environmental Vulnerability: Familiar Orchards</w:t>
      </w:r>
    </w:p>
    <w:p>
      <w:pPr>
        <w:spacing w:before="207"/>
        <w:ind w:left="300" w:right="3" w:firstLine="0"/>
        <w:jc w:val="left"/>
        <w:rPr>
          <w:b/>
          <w:sz w:val="24"/>
        </w:rPr>
      </w:pPr>
      <w:r>
        <w:rPr>
          <w:b/>
          <w:sz w:val="24"/>
        </w:rPr>
        <w:t>Summary</w:t>
      </w:r>
    </w:p>
    <w:p>
      <w:pPr>
        <w:pStyle w:val="BodyText"/>
        <w:rPr>
          <w:b/>
          <w:sz w:val="21"/>
        </w:rPr>
      </w:pPr>
    </w:p>
    <w:p>
      <w:pPr>
        <w:pStyle w:val="BodyText"/>
        <w:spacing w:line="249" w:lineRule="auto"/>
        <w:ind w:left="131" w:firstLine="170"/>
        <w:jc w:val="both"/>
      </w:pPr>
      <w:r>
        <w:rPr/>
        <w:t>The</w:t>
      </w:r>
      <w:r>
        <w:rPr>
          <w:spacing w:val="-7"/>
        </w:rPr>
        <w:t> </w:t>
      </w:r>
      <w:r>
        <w:rPr/>
        <w:t>main</w:t>
      </w:r>
      <w:r>
        <w:rPr>
          <w:spacing w:val="-7"/>
        </w:rPr>
        <w:t> </w:t>
      </w:r>
      <w:r>
        <w:rPr/>
        <w:t>objective</w:t>
      </w:r>
      <w:r>
        <w:rPr>
          <w:spacing w:val="-7"/>
        </w:rPr>
        <w:t> </w:t>
      </w:r>
      <w:r>
        <w:rPr/>
        <w:t>of</w:t>
      </w:r>
      <w:r>
        <w:rPr>
          <w:spacing w:val="-7"/>
        </w:rPr>
        <w:t> </w:t>
      </w:r>
      <w:r>
        <w:rPr/>
        <w:t>the</w:t>
      </w:r>
      <w:r>
        <w:rPr>
          <w:spacing w:val="-7"/>
        </w:rPr>
        <w:t> </w:t>
      </w:r>
      <w:r>
        <w:rPr/>
        <w:t>study</w:t>
      </w:r>
      <w:r>
        <w:rPr>
          <w:spacing w:val="-7"/>
        </w:rPr>
        <w:t> </w:t>
      </w:r>
      <w:r>
        <w:rPr/>
        <w:t>is</w:t>
      </w:r>
      <w:r>
        <w:rPr>
          <w:spacing w:val="-7"/>
        </w:rPr>
        <w:t> </w:t>
      </w:r>
      <w:r>
        <w:rPr/>
        <w:t>to</w:t>
      </w:r>
      <w:r>
        <w:rPr>
          <w:spacing w:val="-7"/>
        </w:rPr>
        <w:t> </w:t>
      </w:r>
      <w:r>
        <w:rPr/>
        <w:t>evaluate</w:t>
      </w:r>
      <w:r>
        <w:rPr>
          <w:spacing w:val="-7"/>
        </w:rPr>
        <w:t> </w:t>
      </w:r>
      <w:r>
        <w:rPr/>
        <w:t>the</w:t>
      </w:r>
      <w:r>
        <w:rPr>
          <w:spacing w:val="-7"/>
        </w:rPr>
        <w:t> </w:t>
      </w:r>
      <w:r>
        <w:rPr/>
        <w:t>importance</w:t>
      </w:r>
      <w:r>
        <w:rPr>
          <w:spacing w:val="-7"/>
        </w:rPr>
        <w:t> </w:t>
      </w:r>
      <w:r>
        <w:rPr/>
        <w:t>of</w:t>
      </w:r>
      <w:r>
        <w:rPr>
          <w:spacing w:val="-7"/>
        </w:rPr>
        <w:t> </w:t>
      </w:r>
      <w:r>
        <w:rPr/>
        <w:t>familiar</w:t>
      </w:r>
      <w:r>
        <w:rPr>
          <w:spacing w:val="-7"/>
        </w:rPr>
        <w:t> </w:t>
      </w:r>
      <w:r>
        <w:rPr/>
        <w:t>orchards,</w:t>
      </w:r>
      <w:r>
        <w:rPr>
          <w:spacing w:val="-7"/>
        </w:rPr>
        <w:t> </w:t>
      </w:r>
      <w:r>
        <w:rPr/>
        <w:t>as</w:t>
      </w:r>
      <w:r>
        <w:rPr>
          <w:spacing w:val="-7"/>
        </w:rPr>
        <w:t> </w:t>
      </w:r>
      <w:r>
        <w:rPr/>
        <w:t>a comunitary strategy for prevent rural families social and environmental</w:t>
      </w:r>
      <w:r>
        <w:rPr>
          <w:spacing w:val="-34"/>
        </w:rPr>
        <w:t> </w:t>
      </w:r>
      <w:r>
        <w:rPr/>
        <w:t>vulnerability.</w:t>
      </w:r>
      <w:r>
        <w:rPr>
          <w:spacing w:val="-4"/>
        </w:rPr>
        <w:t> </w:t>
      </w:r>
      <w:r>
        <w:rPr/>
        <w:t>Are</w:t>
      </w:r>
      <w:r>
        <w:rPr>
          <w:w w:val="97"/>
        </w:rPr>
        <w:t> </w:t>
      </w:r>
      <w:r>
        <w:rPr/>
        <w:t>studied familiar orchards at municipalities of Malinalco, Tenancingo and Villa Guerrero, State of Mexico Are valued benefits and environmental services generated by the orchards at the regional level; and the benefits that provide income and quality of life   to</w:t>
      </w:r>
      <w:r>
        <w:rPr>
          <w:spacing w:val="10"/>
        </w:rPr>
        <w:t> </w:t>
      </w:r>
      <w:r>
        <w:rPr/>
        <w:t>families.</w:t>
      </w:r>
    </w:p>
    <w:p>
      <w:pPr>
        <w:pStyle w:val="BodyText"/>
        <w:spacing w:before="11"/>
      </w:pPr>
    </w:p>
    <w:p>
      <w:pPr>
        <w:pStyle w:val="BodyText"/>
        <w:spacing w:line="249" w:lineRule="auto"/>
        <w:ind w:left="131" w:firstLine="170"/>
        <w:jc w:val="both"/>
      </w:pPr>
      <w:r>
        <w:rPr/>
        <w:t>Through systematic observation in field, are analyzed the practices and techniques  of agro ecological management, that contribute to nutrition and household income. To assess the importance of the orchard, structured interviews are carried out; through SWOT Analysis and analysis under the Logical Framework Approach, drawn up the diagnosis of the orchards, as an opportunity for food security, conservation of natural resources, family integration and social cohesion. This made enable the proposal for their sustainable</w:t>
      </w:r>
      <w:r>
        <w:rPr>
          <w:spacing w:val="10"/>
        </w:rPr>
        <w:t> </w:t>
      </w:r>
      <w:r>
        <w:rPr/>
        <w:t>management.</w:t>
      </w:r>
    </w:p>
    <w:p>
      <w:pPr>
        <w:pStyle w:val="BodyText"/>
        <w:spacing w:before="11"/>
      </w:pPr>
    </w:p>
    <w:p>
      <w:pPr>
        <w:pStyle w:val="BodyText"/>
        <w:spacing w:line="249" w:lineRule="auto"/>
        <w:ind w:left="131" w:firstLine="170"/>
        <w:jc w:val="both"/>
      </w:pPr>
      <w:r>
        <w:rPr/>
        <w:t>The work is theoretical support in Environmental Geography (Bocco, 2004), Agroecology</w:t>
      </w:r>
      <w:r>
        <w:rPr>
          <w:spacing w:val="-14"/>
        </w:rPr>
        <w:t> </w:t>
      </w:r>
      <w:r>
        <w:rPr/>
        <w:t>(Altieri,</w:t>
      </w:r>
      <w:r>
        <w:rPr>
          <w:spacing w:val="-14"/>
        </w:rPr>
        <w:t> </w:t>
      </w:r>
      <w:r>
        <w:rPr/>
        <w:t>1995;</w:t>
      </w:r>
      <w:r>
        <w:rPr>
          <w:spacing w:val="-14"/>
        </w:rPr>
        <w:t> </w:t>
      </w:r>
      <w:r>
        <w:rPr/>
        <w:t>Gliessman</w:t>
      </w:r>
      <w:r>
        <w:rPr>
          <w:spacing w:val="-14"/>
        </w:rPr>
        <w:t> </w:t>
      </w:r>
      <w:r>
        <w:rPr>
          <w:i/>
        </w:rPr>
        <w:t>et</w:t>
      </w:r>
      <w:r>
        <w:rPr>
          <w:i/>
          <w:spacing w:val="-14"/>
        </w:rPr>
        <w:t> </w:t>
      </w:r>
      <w:r>
        <w:rPr>
          <w:i/>
        </w:rPr>
        <w:t>al</w:t>
      </w:r>
      <w:r>
        <w:rPr/>
        <w:t>.,</w:t>
      </w:r>
      <w:r>
        <w:rPr>
          <w:spacing w:val="-14"/>
        </w:rPr>
        <w:t> </w:t>
      </w:r>
      <w:r>
        <w:rPr/>
        <w:t>2007;</w:t>
      </w:r>
      <w:r>
        <w:rPr>
          <w:spacing w:val="-14"/>
        </w:rPr>
        <w:t> </w:t>
      </w:r>
      <w:r>
        <w:rPr/>
        <w:t>Gutiérrez,</w:t>
      </w:r>
      <w:r>
        <w:rPr>
          <w:spacing w:val="-14"/>
        </w:rPr>
        <w:t> </w:t>
      </w:r>
      <w:r>
        <w:rPr/>
        <w:t>2008,</w:t>
      </w:r>
      <w:r>
        <w:rPr>
          <w:spacing w:val="-14"/>
        </w:rPr>
        <w:t> </w:t>
      </w:r>
      <w:r>
        <w:rPr/>
        <w:t>2011,</w:t>
      </w:r>
      <w:r>
        <w:rPr>
          <w:spacing w:val="-14"/>
        </w:rPr>
        <w:t> </w:t>
      </w:r>
      <w:r>
        <w:rPr/>
        <w:t>2012),</w:t>
      </w:r>
      <w:r>
        <w:rPr>
          <w:spacing w:val="-14"/>
        </w:rPr>
        <w:t> </w:t>
      </w:r>
      <w:r>
        <w:rPr/>
        <w:t>Cultural</w:t>
      </w:r>
      <w:r>
        <w:rPr>
          <w:w w:val="100"/>
        </w:rPr>
        <w:t> </w:t>
      </w:r>
      <w:r>
        <w:rPr/>
        <w:t>Ecology (Sauer, 1925 and Steward, 1977), Ethnobotanics (Hernández X., 1976). The methodological support takes the Integral Geographical Planning (Gutiérrez, 2013)</w:t>
      </w:r>
      <w:r>
        <w:rPr>
          <w:spacing w:val="-13"/>
        </w:rPr>
        <w:t> </w:t>
      </w:r>
      <w:r>
        <w:rPr/>
        <w:t>And Spatial Analysis (Juan and Madrigal,</w:t>
      </w:r>
      <w:r>
        <w:rPr>
          <w:spacing w:val="-20"/>
        </w:rPr>
        <w:t> </w:t>
      </w:r>
      <w:r>
        <w:rPr/>
        <w:t>2005).</w:t>
      </w:r>
    </w:p>
    <w:p>
      <w:pPr>
        <w:pStyle w:val="BodyText"/>
        <w:spacing w:before="11"/>
      </w:pPr>
    </w:p>
    <w:p>
      <w:pPr>
        <w:pStyle w:val="BodyText"/>
        <w:spacing w:line="249" w:lineRule="auto"/>
        <w:ind w:left="131" w:right="1" w:firstLine="170"/>
        <w:jc w:val="both"/>
      </w:pPr>
      <w:r>
        <w:rPr>
          <w:b/>
          <w:i/>
        </w:rPr>
        <w:t>Key</w:t>
      </w:r>
      <w:r>
        <w:rPr>
          <w:b/>
          <w:i/>
          <w:spacing w:val="-12"/>
        </w:rPr>
        <w:t> </w:t>
      </w:r>
      <w:r>
        <w:rPr>
          <w:b/>
          <w:i/>
        </w:rPr>
        <w:t>words</w:t>
      </w:r>
      <w:r>
        <w:rPr/>
        <w:t>:</w:t>
      </w:r>
      <w:r>
        <w:rPr>
          <w:spacing w:val="-12"/>
        </w:rPr>
        <w:t> </w:t>
      </w:r>
      <w:r>
        <w:rPr/>
        <w:t>community</w:t>
      </w:r>
      <w:r>
        <w:rPr>
          <w:spacing w:val="-12"/>
        </w:rPr>
        <w:t> </w:t>
      </w:r>
      <w:r>
        <w:rPr/>
        <w:t>strategy,</w:t>
      </w:r>
      <w:r>
        <w:rPr>
          <w:spacing w:val="-12"/>
        </w:rPr>
        <w:t> </w:t>
      </w:r>
      <w:r>
        <w:rPr/>
        <w:t>familiar</w:t>
      </w:r>
      <w:r>
        <w:rPr>
          <w:spacing w:val="-13"/>
        </w:rPr>
        <w:t> </w:t>
      </w:r>
      <w:r>
        <w:rPr/>
        <w:t>orchards,</w:t>
      </w:r>
      <w:r>
        <w:rPr>
          <w:spacing w:val="-12"/>
        </w:rPr>
        <w:t> </w:t>
      </w:r>
      <w:r>
        <w:rPr/>
        <w:t>south</w:t>
      </w:r>
      <w:r>
        <w:rPr>
          <w:spacing w:val="-12"/>
        </w:rPr>
        <w:t> </w:t>
      </w:r>
      <w:r>
        <w:rPr/>
        <w:t>of</w:t>
      </w:r>
      <w:r>
        <w:rPr>
          <w:spacing w:val="-12"/>
        </w:rPr>
        <w:t> </w:t>
      </w:r>
      <w:r>
        <w:rPr/>
        <w:t>the</w:t>
      </w:r>
      <w:r>
        <w:rPr>
          <w:spacing w:val="-12"/>
        </w:rPr>
        <w:t> </w:t>
      </w:r>
      <w:r>
        <w:rPr/>
        <w:t>State</w:t>
      </w:r>
      <w:r>
        <w:rPr>
          <w:spacing w:val="-12"/>
        </w:rPr>
        <w:t> </w:t>
      </w:r>
      <w:r>
        <w:rPr/>
        <w:t>of</w:t>
      </w:r>
      <w:r>
        <w:rPr>
          <w:spacing w:val="-12"/>
        </w:rPr>
        <w:t> </w:t>
      </w:r>
      <w:r>
        <w:rPr/>
        <w:t>México,</w:t>
      </w:r>
      <w:r>
        <w:rPr>
          <w:spacing w:val="-12"/>
        </w:rPr>
        <w:t> </w:t>
      </w:r>
      <w:r>
        <w:rPr/>
        <w:t>social and environmental</w:t>
      </w:r>
      <w:r>
        <w:rPr>
          <w:spacing w:val="-14"/>
        </w:rPr>
        <w:t> </w:t>
      </w:r>
      <w:r>
        <w:rPr/>
        <w:t>vulnerability</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25"/>
        <w:ind w:left="130" w:right="3" w:firstLine="0"/>
        <w:jc w:val="left"/>
        <w:rPr>
          <w:sz w:val="12"/>
        </w:rPr>
      </w:pPr>
      <w:r>
        <w:rPr/>
        <w:pict>
          <v:line style="position:absolute;mso-position-horizontal-relative:page;mso-position-vertical-relative:paragraph;z-index:7096" from="42.519699pt,1.440743pt" to="428.031699pt,1.440743pt" stroked="true" strokeweight="1pt" strokecolor="#bcbec0">
            <w10:wrap type="none"/>
          </v:line>
        </w:pict>
      </w:r>
      <w:r>
        <w:rPr>
          <w:color w:val="6D6E71"/>
          <w:position w:val="6"/>
          <w:sz w:val="10"/>
        </w:rPr>
        <w:t>1,  2, 3,  4  y 8 </w:t>
      </w:r>
      <w:r>
        <w:rPr>
          <w:color w:val="6D6E71"/>
          <w:sz w:val="12"/>
        </w:rPr>
        <w:t>Facultad de Geografía, Universidad Autónoma del Estado de México.</w:t>
      </w:r>
    </w:p>
    <w:p>
      <w:pPr>
        <w:pStyle w:val="BodyText"/>
        <w:rPr>
          <w:sz w:val="16"/>
        </w:rPr>
      </w:pPr>
    </w:p>
    <w:p>
      <w:pPr>
        <w:pStyle w:val="BodyText"/>
        <w:spacing w:before="8"/>
        <w:rPr>
          <w:sz w:val="13"/>
        </w:rPr>
      </w:pPr>
    </w:p>
    <w:p>
      <w:pPr>
        <w:spacing w:line="417" w:lineRule="auto" w:before="0"/>
        <w:ind w:left="187" w:right="3" w:hanging="57"/>
        <w:jc w:val="left"/>
        <w:rPr>
          <w:sz w:val="12"/>
        </w:rPr>
      </w:pPr>
      <w:r>
        <w:rPr>
          <w:color w:val="6D6E71"/>
          <w:position w:val="4"/>
          <w:sz w:val="7"/>
        </w:rPr>
        <w:t>6</w:t>
      </w:r>
      <w:r>
        <w:rPr>
          <w:color w:val="6D6E71"/>
          <w:spacing w:val="13"/>
          <w:position w:val="4"/>
          <w:sz w:val="7"/>
        </w:rPr>
        <w:t> </w:t>
      </w:r>
      <w:r>
        <w:rPr>
          <w:color w:val="6D6E71"/>
          <w:sz w:val="12"/>
        </w:rPr>
        <w:t>Facultad</w:t>
      </w:r>
      <w:r>
        <w:rPr>
          <w:color w:val="6D6E71"/>
          <w:spacing w:val="-6"/>
          <w:sz w:val="12"/>
        </w:rPr>
        <w:t> </w:t>
      </w:r>
      <w:r>
        <w:rPr>
          <w:color w:val="6D6E71"/>
          <w:sz w:val="12"/>
        </w:rPr>
        <w:t>de</w:t>
      </w:r>
      <w:r>
        <w:rPr>
          <w:color w:val="6D6E71"/>
          <w:spacing w:val="-6"/>
          <w:sz w:val="12"/>
        </w:rPr>
        <w:t> </w:t>
      </w:r>
      <w:r>
        <w:rPr>
          <w:color w:val="6D6E71"/>
          <w:sz w:val="12"/>
        </w:rPr>
        <w:t>Ciencias,</w:t>
      </w:r>
      <w:r>
        <w:rPr>
          <w:color w:val="6D6E71"/>
          <w:spacing w:val="-6"/>
          <w:sz w:val="12"/>
        </w:rPr>
        <w:t> </w:t>
      </w:r>
      <w:r>
        <w:rPr>
          <w:color w:val="6D6E71"/>
          <w:sz w:val="12"/>
        </w:rPr>
        <w:t>UAEM;</w:t>
      </w:r>
      <w:r>
        <w:rPr>
          <w:color w:val="6D6E71"/>
          <w:spacing w:val="-6"/>
          <w:sz w:val="12"/>
        </w:rPr>
        <w:t> </w:t>
      </w:r>
      <w:r>
        <w:rPr>
          <w:color w:val="6D6E71"/>
          <w:position w:val="4"/>
          <w:sz w:val="7"/>
        </w:rPr>
        <w:t>7</w:t>
      </w:r>
      <w:r>
        <w:rPr>
          <w:color w:val="6D6E71"/>
          <w:spacing w:val="5"/>
          <w:position w:val="4"/>
          <w:sz w:val="7"/>
        </w:rPr>
        <w:t> </w:t>
      </w:r>
      <w:r>
        <w:rPr>
          <w:color w:val="6D6E71"/>
          <w:sz w:val="12"/>
        </w:rPr>
        <w:t>Instituto</w:t>
      </w:r>
      <w:r>
        <w:rPr>
          <w:color w:val="6D6E71"/>
          <w:spacing w:val="-7"/>
          <w:sz w:val="12"/>
        </w:rPr>
        <w:t> </w:t>
      </w:r>
      <w:r>
        <w:rPr>
          <w:color w:val="6D6E71"/>
          <w:sz w:val="12"/>
        </w:rPr>
        <w:t>de</w:t>
      </w:r>
      <w:r>
        <w:rPr>
          <w:color w:val="6D6E71"/>
          <w:spacing w:val="-6"/>
          <w:sz w:val="12"/>
        </w:rPr>
        <w:t> </w:t>
      </w:r>
      <w:r>
        <w:rPr>
          <w:color w:val="6D6E71"/>
          <w:sz w:val="12"/>
        </w:rPr>
        <w:t>Ciencias</w:t>
      </w:r>
      <w:r>
        <w:rPr>
          <w:color w:val="6D6E71"/>
          <w:spacing w:val="-12"/>
          <w:sz w:val="12"/>
        </w:rPr>
        <w:t> </w:t>
      </w:r>
      <w:r>
        <w:rPr>
          <w:color w:val="6D6E71"/>
          <w:sz w:val="12"/>
        </w:rPr>
        <w:t>Agropecuarias</w:t>
      </w:r>
      <w:r>
        <w:rPr>
          <w:color w:val="6D6E71"/>
          <w:spacing w:val="-6"/>
          <w:sz w:val="12"/>
        </w:rPr>
        <w:t> </w:t>
      </w:r>
      <w:r>
        <w:rPr>
          <w:color w:val="6D6E71"/>
          <w:sz w:val="12"/>
        </w:rPr>
        <w:t>y</w:t>
      </w:r>
      <w:r>
        <w:rPr>
          <w:color w:val="6D6E71"/>
          <w:spacing w:val="-6"/>
          <w:sz w:val="12"/>
        </w:rPr>
        <w:t> </w:t>
      </w:r>
      <w:r>
        <w:rPr>
          <w:color w:val="6D6E71"/>
          <w:sz w:val="12"/>
        </w:rPr>
        <w:t>Rurales,</w:t>
      </w:r>
      <w:r>
        <w:rPr>
          <w:color w:val="6D6E71"/>
          <w:spacing w:val="-6"/>
          <w:sz w:val="12"/>
        </w:rPr>
        <w:t> </w:t>
      </w:r>
      <w:r>
        <w:rPr>
          <w:color w:val="6D6E71"/>
          <w:sz w:val="12"/>
        </w:rPr>
        <w:t>UAEM;</w:t>
      </w:r>
      <w:r>
        <w:rPr>
          <w:color w:val="6D6E71"/>
          <w:spacing w:val="-6"/>
          <w:sz w:val="12"/>
        </w:rPr>
        <w:t> </w:t>
      </w:r>
      <w:r>
        <w:rPr>
          <w:color w:val="6D6E71"/>
          <w:position w:val="4"/>
          <w:sz w:val="7"/>
        </w:rPr>
        <w:t>9</w:t>
      </w:r>
      <w:r>
        <w:rPr>
          <w:color w:val="6D6E71"/>
          <w:spacing w:val="8"/>
          <w:position w:val="4"/>
          <w:sz w:val="7"/>
        </w:rPr>
        <w:t> </w:t>
      </w:r>
      <w:r>
        <w:rPr>
          <w:color w:val="6D6E71"/>
          <w:sz w:val="12"/>
        </w:rPr>
        <w:t>Maestría</w:t>
      </w:r>
      <w:r>
        <w:rPr>
          <w:color w:val="6D6E71"/>
          <w:spacing w:val="-6"/>
          <w:sz w:val="12"/>
        </w:rPr>
        <w:t> </w:t>
      </w:r>
      <w:r>
        <w:rPr>
          <w:color w:val="6D6E71"/>
          <w:sz w:val="12"/>
        </w:rPr>
        <w:t>en</w:t>
      </w:r>
      <w:r>
        <w:rPr>
          <w:color w:val="6D6E71"/>
          <w:spacing w:val="-6"/>
          <w:sz w:val="12"/>
        </w:rPr>
        <w:t> </w:t>
      </w:r>
      <w:r>
        <w:rPr>
          <w:color w:val="6D6E71"/>
          <w:sz w:val="12"/>
        </w:rPr>
        <w:t>Ciencias</w:t>
      </w:r>
      <w:r>
        <w:rPr>
          <w:color w:val="6D6E71"/>
          <w:spacing w:val="-12"/>
          <w:sz w:val="12"/>
        </w:rPr>
        <w:t> </w:t>
      </w:r>
      <w:r>
        <w:rPr>
          <w:color w:val="6D6E71"/>
          <w:sz w:val="12"/>
        </w:rPr>
        <w:t>Ambientales,</w:t>
      </w:r>
      <w:r>
        <w:rPr>
          <w:color w:val="6D6E71"/>
          <w:spacing w:val="-6"/>
          <w:sz w:val="12"/>
        </w:rPr>
        <w:t> </w:t>
      </w:r>
      <w:r>
        <w:rPr>
          <w:color w:val="6D6E71"/>
          <w:sz w:val="12"/>
        </w:rPr>
        <w:t>UAEM;</w:t>
      </w:r>
      <w:r>
        <w:rPr>
          <w:color w:val="6D6E71"/>
          <w:spacing w:val="-6"/>
          <w:sz w:val="12"/>
        </w:rPr>
        <w:t> </w:t>
      </w:r>
      <w:r>
        <w:rPr>
          <w:color w:val="6D6E71"/>
          <w:position w:val="4"/>
          <w:sz w:val="7"/>
        </w:rPr>
        <w:t>10</w:t>
      </w:r>
      <w:r>
        <w:rPr>
          <w:color w:val="6D6E71"/>
          <w:spacing w:val="-4"/>
          <w:position w:val="4"/>
          <w:sz w:val="7"/>
        </w:rPr>
        <w:t> </w:t>
      </w:r>
      <w:r>
        <w:rPr>
          <w:color w:val="6D6E71"/>
          <w:sz w:val="12"/>
        </w:rPr>
        <w:t>Maestría</w:t>
      </w:r>
      <w:r>
        <w:rPr>
          <w:color w:val="6D6E71"/>
          <w:spacing w:val="-6"/>
          <w:sz w:val="12"/>
        </w:rPr>
        <w:t> </w:t>
      </w:r>
      <w:r>
        <w:rPr>
          <w:color w:val="6D6E71"/>
          <w:sz w:val="12"/>
        </w:rPr>
        <w:t>en Análisis Espacial y Geo informática,</w:t>
      </w:r>
      <w:r>
        <w:rPr>
          <w:color w:val="6D6E71"/>
          <w:spacing w:val="-19"/>
          <w:sz w:val="12"/>
        </w:rPr>
        <w:t> </w:t>
      </w:r>
      <w:r>
        <w:rPr>
          <w:color w:val="6D6E71"/>
          <w:sz w:val="12"/>
        </w:rPr>
        <w:t>UAEM.</w:t>
      </w:r>
    </w:p>
    <w:p>
      <w:pPr>
        <w:pStyle w:val="ListParagraph"/>
        <w:numPr>
          <w:ilvl w:val="0"/>
          <w:numId w:val="17"/>
        </w:numPr>
        <w:tabs>
          <w:tab w:pos="252" w:val="left" w:leader="none"/>
        </w:tabs>
        <w:spacing w:line="240" w:lineRule="auto" w:before="3" w:after="0"/>
        <w:ind w:left="251" w:right="0" w:hanging="121"/>
        <w:jc w:val="left"/>
        <w:rPr>
          <w:sz w:val="12"/>
        </w:rPr>
      </w:pPr>
      <w:r>
        <w:rPr>
          <w:color w:val="6D6E71"/>
          <w:sz w:val="12"/>
        </w:rPr>
        <w:t>mail:</w:t>
      </w:r>
      <w:r>
        <w:rPr>
          <w:color w:val="6D6E71"/>
          <w:spacing w:val="-22"/>
          <w:sz w:val="12"/>
        </w:rPr>
        <w:t> </w:t>
      </w:r>
      <w:hyperlink r:id="rId204">
        <w:r>
          <w:rPr>
            <w:color w:val="6D6E71"/>
            <w:sz w:val="12"/>
          </w:rPr>
          <w:t>jggc1321@yahoo.com.mx</w:t>
        </w:r>
      </w:hyperlink>
    </w:p>
    <w:p>
      <w:pPr>
        <w:pStyle w:val="Heading1"/>
        <w:spacing w:before="71"/>
      </w:pPr>
      <w:r>
        <w:rPr>
          <w:b w:val="0"/>
        </w:rPr>
        <w:br w:type="column"/>
      </w:r>
      <w:r>
        <w:rPr/>
        <w:t>Introducción</w:t>
      </w:r>
    </w:p>
    <w:p>
      <w:pPr>
        <w:pStyle w:val="BodyText"/>
        <w:rPr>
          <w:b/>
          <w:sz w:val="21"/>
        </w:rPr>
      </w:pPr>
    </w:p>
    <w:p>
      <w:pPr>
        <w:pStyle w:val="BodyText"/>
        <w:spacing w:line="249" w:lineRule="auto"/>
        <w:ind w:left="130" w:right="128" w:firstLine="170"/>
        <w:jc w:val="both"/>
      </w:pPr>
      <w:r>
        <w:rPr/>
        <w:t>Los</w:t>
      </w:r>
      <w:r>
        <w:rPr>
          <w:spacing w:val="-7"/>
        </w:rPr>
        <w:t> </w:t>
      </w:r>
      <w:r>
        <w:rPr/>
        <w:t>huertos</w:t>
      </w:r>
      <w:r>
        <w:rPr>
          <w:spacing w:val="-7"/>
        </w:rPr>
        <w:t> </w:t>
      </w:r>
      <w:r>
        <w:rPr/>
        <w:t>familiares</w:t>
      </w:r>
      <w:r>
        <w:rPr>
          <w:spacing w:val="-7"/>
        </w:rPr>
        <w:t> </w:t>
      </w:r>
      <w:r>
        <w:rPr/>
        <w:t>se</w:t>
      </w:r>
      <w:r>
        <w:rPr>
          <w:spacing w:val="-7"/>
        </w:rPr>
        <w:t> </w:t>
      </w:r>
      <w:r>
        <w:rPr/>
        <w:t>han</w:t>
      </w:r>
      <w:r>
        <w:rPr>
          <w:spacing w:val="-7"/>
        </w:rPr>
        <w:t> </w:t>
      </w:r>
      <w:r>
        <w:rPr/>
        <w:t>desarrollado</w:t>
      </w:r>
      <w:r>
        <w:rPr>
          <w:spacing w:val="-7"/>
        </w:rPr>
        <w:t> </w:t>
      </w:r>
      <w:r>
        <w:rPr/>
        <w:t>durante</w:t>
      </w:r>
      <w:r>
        <w:rPr>
          <w:spacing w:val="-7"/>
        </w:rPr>
        <w:t> </w:t>
      </w:r>
      <w:r>
        <w:rPr/>
        <w:t>cientos</w:t>
      </w:r>
      <w:r>
        <w:rPr>
          <w:spacing w:val="-7"/>
        </w:rPr>
        <w:t> </w:t>
      </w:r>
      <w:r>
        <w:rPr/>
        <w:t>de</w:t>
      </w:r>
      <w:r>
        <w:rPr>
          <w:spacing w:val="-7"/>
        </w:rPr>
        <w:t> </w:t>
      </w:r>
      <w:r>
        <w:rPr/>
        <w:t>años,</w:t>
      </w:r>
      <w:r>
        <w:rPr>
          <w:spacing w:val="-7"/>
        </w:rPr>
        <w:t> </w:t>
      </w:r>
      <w:r>
        <w:rPr/>
        <w:t>por</w:t>
      </w:r>
      <w:r>
        <w:rPr>
          <w:spacing w:val="-7"/>
        </w:rPr>
        <w:t> </w:t>
      </w:r>
      <w:r>
        <w:rPr/>
        <w:t>comunidades campesinas e indígenas, en donde han conservado una amplia diversidad de cultivos (FAO, 2005). En estos espacios, en ocasiones reducidos, se encuentran árboles, arbustos, verduras, tubérculos y raíces comestibles, gramíneas y hierbas, que proporcionan alimentos y condimentos, medicinas y material de construcción, se trata de una combinación de plantas comestibles, medicinales, aromáticas y frutales, útiles para el consumo familiar (GTZ, 2008; Rivas y Rodríguez, 2013). Esto se ha logrado a través de la adaptación al lugar, al clima y a las técnicas de cultivos. Por lo general</w:t>
      </w:r>
      <w:r>
        <w:rPr>
          <w:spacing w:val="-21"/>
        </w:rPr>
        <w:t> </w:t>
      </w:r>
      <w:r>
        <w:rPr/>
        <w:t>son una</w:t>
      </w:r>
      <w:r>
        <w:rPr>
          <w:spacing w:val="-6"/>
        </w:rPr>
        <w:t> </w:t>
      </w:r>
      <w:r>
        <w:rPr/>
        <w:t>fuente</w:t>
      </w:r>
      <w:r>
        <w:rPr>
          <w:spacing w:val="-6"/>
        </w:rPr>
        <w:t> </w:t>
      </w:r>
      <w:r>
        <w:rPr/>
        <w:t>de</w:t>
      </w:r>
      <w:r>
        <w:rPr>
          <w:spacing w:val="-6"/>
        </w:rPr>
        <w:t> </w:t>
      </w:r>
      <w:r>
        <w:rPr/>
        <w:t>producción</w:t>
      </w:r>
      <w:r>
        <w:rPr>
          <w:spacing w:val="-6"/>
        </w:rPr>
        <w:t> </w:t>
      </w:r>
      <w:r>
        <w:rPr/>
        <w:t>e</w:t>
      </w:r>
      <w:r>
        <w:rPr>
          <w:spacing w:val="-6"/>
        </w:rPr>
        <w:t> </w:t>
      </w:r>
      <w:r>
        <w:rPr/>
        <w:t>ingresos</w:t>
      </w:r>
      <w:r>
        <w:rPr>
          <w:spacing w:val="-6"/>
        </w:rPr>
        <w:t> </w:t>
      </w:r>
      <w:r>
        <w:rPr/>
        <w:t>durante</w:t>
      </w:r>
      <w:r>
        <w:rPr>
          <w:spacing w:val="-6"/>
        </w:rPr>
        <w:t> </w:t>
      </w:r>
      <w:r>
        <w:rPr/>
        <w:t>todo</w:t>
      </w:r>
      <w:r>
        <w:rPr>
          <w:spacing w:val="-6"/>
        </w:rPr>
        <w:t> </w:t>
      </w:r>
      <w:r>
        <w:rPr/>
        <w:t>el</w:t>
      </w:r>
      <w:r>
        <w:rPr>
          <w:spacing w:val="-6"/>
        </w:rPr>
        <w:t> </w:t>
      </w:r>
      <w:r>
        <w:rPr/>
        <w:t>año,</w:t>
      </w:r>
      <w:r>
        <w:rPr>
          <w:spacing w:val="-6"/>
        </w:rPr>
        <w:t> </w:t>
      </w:r>
      <w:r>
        <w:rPr/>
        <w:t>aún</w:t>
      </w:r>
      <w:r>
        <w:rPr>
          <w:spacing w:val="-6"/>
        </w:rPr>
        <w:t> </w:t>
      </w:r>
      <w:r>
        <w:rPr/>
        <w:t>sin</w:t>
      </w:r>
      <w:r>
        <w:rPr>
          <w:spacing w:val="-6"/>
        </w:rPr>
        <w:t> </w:t>
      </w:r>
      <w:r>
        <w:rPr/>
        <w:t>hacer</w:t>
      </w:r>
      <w:r>
        <w:rPr>
          <w:spacing w:val="-6"/>
        </w:rPr>
        <w:t> </w:t>
      </w:r>
      <w:r>
        <w:rPr/>
        <w:t>uso</w:t>
      </w:r>
      <w:r>
        <w:rPr>
          <w:spacing w:val="-6"/>
        </w:rPr>
        <w:t> </w:t>
      </w:r>
      <w:r>
        <w:rPr/>
        <w:t>de</w:t>
      </w:r>
      <w:r>
        <w:rPr>
          <w:spacing w:val="-6"/>
        </w:rPr>
        <w:t> </w:t>
      </w:r>
      <w:r>
        <w:rPr/>
        <w:t>insumos agrícolas sofisticados (FAO, 2005; GTZ, 2008). La composición y el aprovechamiento de</w:t>
      </w:r>
      <w:r>
        <w:rPr>
          <w:spacing w:val="-5"/>
        </w:rPr>
        <w:t> </w:t>
      </w:r>
      <w:r>
        <w:rPr/>
        <w:t>los</w:t>
      </w:r>
      <w:r>
        <w:rPr>
          <w:spacing w:val="-5"/>
        </w:rPr>
        <w:t> </w:t>
      </w:r>
      <w:r>
        <w:rPr/>
        <w:t>cultivos</w:t>
      </w:r>
      <w:r>
        <w:rPr>
          <w:spacing w:val="-5"/>
        </w:rPr>
        <w:t> </w:t>
      </w:r>
      <w:r>
        <w:rPr/>
        <w:t>varían</w:t>
      </w:r>
      <w:r>
        <w:rPr>
          <w:spacing w:val="-5"/>
        </w:rPr>
        <w:t> </w:t>
      </w:r>
      <w:r>
        <w:rPr/>
        <w:t>según</w:t>
      </w:r>
      <w:r>
        <w:rPr>
          <w:spacing w:val="-5"/>
        </w:rPr>
        <w:t> </w:t>
      </w:r>
      <w:r>
        <w:rPr/>
        <w:t>las</w:t>
      </w:r>
      <w:r>
        <w:rPr>
          <w:spacing w:val="-5"/>
        </w:rPr>
        <w:t> </w:t>
      </w:r>
      <w:r>
        <w:rPr/>
        <w:t>circunstancias</w:t>
      </w:r>
      <w:r>
        <w:rPr>
          <w:spacing w:val="-5"/>
        </w:rPr>
        <w:t> </w:t>
      </w:r>
      <w:r>
        <w:rPr/>
        <w:t>de</w:t>
      </w:r>
      <w:r>
        <w:rPr>
          <w:spacing w:val="-5"/>
        </w:rPr>
        <w:t> </w:t>
      </w:r>
      <w:r>
        <w:rPr/>
        <w:t>vida</w:t>
      </w:r>
      <w:r>
        <w:rPr>
          <w:spacing w:val="-5"/>
        </w:rPr>
        <w:t> </w:t>
      </w:r>
      <w:r>
        <w:rPr/>
        <w:t>y</w:t>
      </w:r>
      <w:r>
        <w:rPr>
          <w:spacing w:val="-5"/>
        </w:rPr>
        <w:t> </w:t>
      </w:r>
      <w:r>
        <w:rPr/>
        <w:t>las</w:t>
      </w:r>
      <w:r>
        <w:rPr>
          <w:spacing w:val="-5"/>
        </w:rPr>
        <w:t> </w:t>
      </w:r>
      <w:r>
        <w:rPr/>
        <w:t>necesidades</w:t>
      </w:r>
      <w:r>
        <w:rPr>
          <w:spacing w:val="-5"/>
        </w:rPr>
        <w:t> </w:t>
      </w:r>
      <w:r>
        <w:rPr/>
        <w:t>de</w:t>
      </w:r>
      <w:r>
        <w:rPr>
          <w:spacing w:val="-5"/>
        </w:rPr>
        <w:t> </w:t>
      </w:r>
      <w:r>
        <w:rPr/>
        <w:t>las</w:t>
      </w:r>
      <w:r>
        <w:rPr>
          <w:spacing w:val="-5"/>
        </w:rPr>
        <w:t> </w:t>
      </w:r>
      <w:r>
        <w:rPr/>
        <w:t>familias en</w:t>
      </w:r>
      <w:r>
        <w:rPr>
          <w:spacing w:val="-15"/>
        </w:rPr>
        <w:t> </w:t>
      </w:r>
      <w:r>
        <w:rPr/>
        <w:t>zonas</w:t>
      </w:r>
      <w:r>
        <w:rPr>
          <w:spacing w:val="-15"/>
        </w:rPr>
        <w:t> </w:t>
      </w:r>
      <w:r>
        <w:rPr/>
        <w:t>rurales</w:t>
      </w:r>
      <w:r>
        <w:rPr>
          <w:spacing w:val="-15"/>
        </w:rPr>
        <w:t> </w:t>
      </w:r>
      <w:r>
        <w:rPr/>
        <w:t>(GTZ,</w:t>
      </w:r>
      <w:r>
        <w:rPr>
          <w:spacing w:val="-15"/>
        </w:rPr>
        <w:t> </w:t>
      </w:r>
      <w:r>
        <w:rPr/>
        <w:t>2008).</w:t>
      </w:r>
    </w:p>
    <w:p>
      <w:pPr>
        <w:pStyle w:val="BodyText"/>
        <w:spacing w:before="11"/>
      </w:pPr>
    </w:p>
    <w:p>
      <w:pPr>
        <w:pStyle w:val="BodyText"/>
        <w:spacing w:line="249" w:lineRule="auto"/>
        <w:ind w:left="130" w:right="129" w:firstLine="170"/>
        <w:jc w:val="both"/>
      </w:pPr>
      <w:r>
        <w:rPr/>
        <w:t>A nivel global, los huertos caseros han sido fundamentales para el sustento de      una gran parte de la población mundial, debido a que proporcionan una variedad de productos</w:t>
      </w:r>
      <w:r>
        <w:rPr>
          <w:spacing w:val="-7"/>
        </w:rPr>
        <w:t> </w:t>
      </w:r>
      <w:r>
        <w:rPr/>
        <w:t>que</w:t>
      </w:r>
      <w:r>
        <w:rPr>
          <w:spacing w:val="-7"/>
        </w:rPr>
        <w:t> </w:t>
      </w:r>
      <w:r>
        <w:rPr/>
        <w:t>aportan</w:t>
      </w:r>
      <w:r>
        <w:rPr>
          <w:spacing w:val="-7"/>
        </w:rPr>
        <w:t> </w:t>
      </w:r>
      <w:r>
        <w:rPr/>
        <w:t>a</w:t>
      </w:r>
      <w:r>
        <w:rPr>
          <w:spacing w:val="-7"/>
        </w:rPr>
        <w:t> </w:t>
      </w:r>
      <w:r>
        <w:rPr/>
        <w:t>la</w:t>
      </w:r>
      <w:r>
        <w:rPr>
          <w:spacing w:val="-7"/>
        </w:rPr>
        <w:t> </w:t>
      </w:r>
      <w:r>
        <w:rPr/>
        <w:t>seguridad</w:t>
      </w:r>
      <w:r>
        <w:rPr>
          <w:spacing w:val="-7"/>
        </w:rPr>
        <w:t> </w:t>
      </w:r>
      <w:r>
        <w:rPr/>
        <w:t>alimentaria</w:t>
      </w:r>
      <w:r>
        <w:rPr>
          <w:spacing w:val="-7"/>
        </w:rPr>
        <w:t> </w:t>
      </w:r>
      <w:r>
        <w:rPr/>
        <w:t>y</w:t>
      </w:r>
      <w:r>
        <w:rPr>
          <w:spacing w:val="-7"/>
        </w:rPr>
        <w:t> </w:t>
      </w:r>
      <w:r>
        <w:rPr/>
        <w:t>a</w:t>
      </w:r>
      <w:r>
        <w:rPr>
          <w:spacing w:val="-7"/>
        </w:rPr>
        <w:t> </w:t>
      </w:r>
      <w:r>
        <w:rPr/>
        <w:t>los</w:t>
      </w:r>
      <w:r>
        <w:rPr>
          <w:spacing w:val="-7"/>
        </w:rPr>
        <w:t> </w:t>
      </w:r>
      <w:r>
        <w:rPr/>
        <w:t>ingresos</w:t>
      </w:r>
      <w:r>
        <w:rPr>
          <w:spacing w:val="-7"/>
        </w:rPr>
        <w:t> </w:t>
      </w:r>
      <w:r>
        <w:rPr/>
        <w:t>familiares</w:t>
      </w:r>
      <w:r>
        <w:rPr>
          <w:spacing w:val="-7"/>
        </w:rPr>
        <w:t> </w:t>
      </w:r>
      <w:r>
        <w:rPr/>
        <w:t>(Santana</w:t>
      </w:r>
      <w:r>
        <w:rPr>
          <w:spacing w:val="-6"/>
        </w:rPr>
        <w:t> </w:t>
      </w:r>
      <w:r>
        <w:rPr>
          <w:i/>
        </w:rPr>
        <w:t>et </w:t>
      </w:r>
      <w:r>
        <w:rPr>
          <w:i/>
        </w:rPr>
        <w:t>al., </w:t>
      </w:r>
      <w:r>
        <w:rPr/>
        <w:t>2015). Por lo general, son las mujeres quienes determinan lo que se siembra en</w:t>
      </w:r>
      <w:r>
        <w:rPr>
          <w:spacing w:val="-33"/>
        </w:rPr>
        <w:t> </w:t>
      </w:r>
      <w:r>
        <w:rPr/>
        <w:t>los huertos familiares, puesto que en muchas sociedades son las principales</w:t>
      </w:r>
      <w:r>
        <w:rPr>
          <w:spacing w:val="-22"/>
        </w:rPr>
        <w:t> </w:t>
      </w:r>
      <w:r>
        <w:rPr/>
        <w:t>responsables de la alimentación y de la salud familiar (GTZ,</w:t>
      </w:r>
      <w:r>
        <w:rPr>
          <w:spacing w:val="-28"/>
        </w:rPr>
        <w:t> </w:t>
      </w:r>
      <w:r>
        <w:rPr/>
        <w:t>2008).</w:t>
      </w:r>
    </w:p>
    <w:p>
      <w:pPr>
        <w:pStyle w:val="BodyText"/>
        <w:spacing w:before="11"/>
      </w:pPr>
    </w:p>
    <w:p>
      <w:pPr>
        <w:pStyle w:val="BodyText"/>
        <w:spacing w:line="249" w:lineRule="auto"/>
        <w:ind w:left="130" w:right="129" w:firstLine="170"/>
        <w:jc w:val="both"/>
      </w:pPr>
      <w:r>
        <w:rPr/>
        <w:t>Los</w:t>
      </w:r>
      <w:r>
        <w:rPr>
          <w:spacing w:val="-23"/>
        </w:rPr>
        <w:t> </w:t>
      </w:r>
      <w:r>
        <w:rPr/>
        <w:t>huertos</w:t>
      </w:r>
      <w:r>
        <w:rPr>
          <w:spacing w:val="-23"/>
        </w:rPr>
        <w:t> </w:t>
      </w:r>
      <w:r>
        <w:rPr/>
        <w:t>familiares</w:t>
      </w:r>
      <w:r>
        <w:rPr>
          <w:spacing w:val="-23"/>
        </w:rPr>
        <w:t> </w:t>
      </w:r>
      <w:r>
        <w:rPr/>
        <w:t>son</w:t>
      </w:r>
      <w:r>
        <w:rPr>
          <w:spacing w:val="-23"/>
        </w:rPr>
        <w:t> </w:t>
      </w:r>
      <w:r>
        <w:rPr/>
        <w:t>ecosistemas</w:t>
      </w:r>
      <w:r>
        <w:rPr>
          <w:spacing w:val="-23"/>
        </w:rPr>
        <w:t> </w:t>
      </w:r>
      <w:r>
        <w:rPr/>
        <w:t>agrícolas</w:t>
      </w:r>
      <w:r>
        <w:rPr>
          <w:spacing w:val="-23"/>
        </w:rPr>
        <w:t> </w:t>
      </w:r>
      <w:r>
        <w:rPr/>
        <w:t>situados</w:t>
      </w:r>
      <w:r>
        <w:rPr>
          <w:spacing w:val="-23"/>
        </w:rPr>
        <w:t> </w:t>
      </w:r>
      <w:r>
        <w:rPr/>
        <w:t>cerca</w:t>
      </w:r>
      <w:r>
        <w:rPr>
          <w:spacing w:val="-23"/>
        </w:rPr>
        <w:t> </w:t>
      </w:r>
      <w:r>
        <w:rPr/>
        <w:t>del</w:t>
      </w:r>
      <w:r>
        <w:rPr>
          <w:spacing w:val="-23"/>
        </w:rPr>
        <w:t> </w:t>
      </w:r>
      <w:r>
        <w:rPr/>
        <w:t>lugar</w:t>
      </w:r>
      <w:r>
        <w:rPr>
          <w:spacing w:val="-23"/>
        </w:rPr>
        <w:t> </w:t>
      </w:r>
      <w:r>
        <w:rPr/>
        <w:t>de</w:t>
      </w:r>
      <w:r>
        <w:rPr>
          <w:spacing w:val="-23"/>
        </w:rPr>
        <w:t> </w:t>
      </w:r>
      <w:r>
        <w:rPr/>
        <w:t>residencia permanente o temporal (Rivas y Gutiérrez, 2013). La cercanía a la casa le asegura</w:t>
      </w:r>
      <w:r>
        <w:rPr>
          <w:spacing w:val="-34"/>
        </w:rPr>
        <w:t> </w:t>
      </w:r>
      <w:r>
        <w:rPr/>
        <w:t>una protección fácil contra la fauna silvestre y predadora, al mismo tiempo aligera el</w:t>
      </w:r>
      <w:r>
        <w:rPr>
          <w:spacing w:val="-21"/>
        </w:rPr>
        <w:t> </w:t>
      </w:r>
      <w:r>
        <w:rPr/>
        <w:t>trabajo de colectar los alimentos (FAO, 2008). Es un agroecosistema sustentable desarrollado por generaciones, en el que ocurren aspectos ecológicos, agronómicos, culturales, sociales y físicos, por lo que se consideran como uno de los sistemas agroforestales </w:t>
      </w:r>
      <w:r>
        <w:rPr>
          <w:w w:val="95"/>
        </w:rPr>
        <w:t>(Rivas,</w:t>
      </w:r>
      <w:r>
        <w:rPr>
          <w:spacing w:val="21"/>
          <w:w w:val="95"/>
        </w:rPr>
        <w:t> </w:t>
      </w:r>
      <w:r>
        <w:rPr>
          <w:w w:val="95"/>
        </w:rPr>
        <w:t>2014).</w:t>
      </w:r>
    </w:p>
    <w:p>
      <w:pPr>
        <w:pStyle w:val="BodyText"/>
        <w:spacing w:before="11"/>
      </w:pPr>
    </w:p>
    <w:p>
      <w:pPr>
        <w:pStyle w:val="BodyText"/>
        <w:spacing w:line="249" w:lineRule="auto"/>
        <w:ind w:left="130" w:right="128" w:firstLine="170"/>
        <w:jc w:val="both"/>
      </w:pPr>
      <w:r>
        <w:rPr/>
        <w:t>Los huertos se constituyen como un componente importante de las estrategias nacionales para la conservación de la agrobiodiversidad. Además contribuyen a nivel local a la seguridad alimentaria y a los ingresos familiares (GTZ, 2008), aunado a esto representan</w:t>
      </w:r>
      <w:r>
        <w:rPr>
          <w:spacing w:val="-9"/>
        </w:rPr>
        <w:t> </w:t>
      </w:r>
      <w:r>
        <w:rPr/>
        <w:t>un</w:t>
      </w:r>
      <w:r>
        <w:rPr>
          <w:spacing w:val="-9"/>
        </w:rPr>
        <w:t> </w:t>
      </w:r>
      <w:r>
        <w:rPr/>
        <w:t>elemento</w:t>
      </w:r>
      <w:r>
        <w:rPr>
          <w:spacing w:val="-9"/>
        </w:rPr>
        <w:t> </w:t>
      </w:r>
      <w:r>
        <w:rPr/>
        <w:t>ventajoso</w:t>
      </w:r>
      <w:r>
        <w:rPr>
          <w:spacing w:val="-9"/>
        </w:rPr>
        <w:t> </w:t>
      </w:r>
      <w:r>
        <w:rPr/>
        <w:t>para</w:t>
      </w:r>
      <w:r>
        <w:rPr>
          <w:spacing w:val="-9"/>
        </w:rPr>
        <w:t> </w:t>
      </w:r>
      <w:r>
        <w:rPr/>
        <w:t>la</w:t>
      </w:r>
      <w:r>
        <w:rPr>
          <w:spacing w:val="-9"/>
        </w:rPr>
        <w:t> </w:t>
      </w:r>
      <w:r>
        <w:rPr/>
        <w:t>salud</w:t>
      </w:r>
      <w:r>
        <w:rPr>
          <w:spacing w:val="-9"/>
        </w:rPr>
        <w:t> </w:t>
      </w:r>
      <w:r>
        <w:rPr/>
        <w:t>y</w:t>
      </w:r>
      <w:r>
        <w:rPr>
          <w:spacing w:val="-9"/>
        </w:rPr>
        <w:t> </w:t>
      </w:r>
      <w:r>
        <w:rPr/>
        <w:t>la</w:t>
      </w:r>
      <w:r>
        <w:rPr>
          <w:spacing w:val="-9"/>
        </w:rPr>
        <w:t> </w:t>
      </w:r>
      <w:r>
        <w:rPr/>
        <w:t>subsistencia</w:t>
      </w:r>
      <w:r>
        <w:rPr>
          <w:spacing w:val="-9"/>
        </w:rPr>
        <w:t> </w:t>
      </w:r>
      <w:r>
        <w:rPr/>
        <w:t>de</w:t>
      </w:r>
      <w:r>
        <w:rPr>
          <w:spacing w:val="-9"/>
        </w:rPr>
        <w:t> </w:t>
      </w:r>
      <w:r>
        <w:rPr/>
        <w:t>los</w:t>
      </w:r>
      <w:r>
        <w:rPr>
          <w:spacing w:val="-9"/>
        </w:rPr>
        <w:t> </w:t>
      </w:r>
      <w:r>
        <w:rPr/>
        <w:t>hogares</w:t>
      </w:r>
      <w:r>
        <w:rPr>
          <w:spacing w:val="-9"/>
        </w:rPr>
        <w:t> </w:t>
      </w:r>
      <w:r>
        <w:rPr/>
        <w:t>(FAO, 2008).</w:t>
      </w:r>
      <w:r>
        <w:rPr>
          <w:spacing w:val="-5"/>
        </w:rPr>
        <w:t> </w:t>
      </w:r>
      <w:r>
        <w:rPr/>
        <w:t>Forman</w:t>
      </w:r>
      <w:r>
        <w:rPr>
          <w:spacing w:val="-5"/>
        </w:rPr>
        <w:t> </w:t>
      </w:r>
      <w:r>
        <w:rPr/>
        <w:t>parte</w:t>
      </w:r>
      <w:r>
        <w:rPr>
          <w:spacing w:val="-5"/>
        </w:rPr>
        <w:t> </w:t>
      </w:r>
      <w:r>
        <w:rPr/>
        <w:t>de</w:t>
      </w:r>
      <w:r>
        <w:rPr>
          <w:spacing w:val="-5"/>
        </w:rPr>
        <w:t> </w:t>
      </w:r>
      <w:r>
        <w:rPr/>
        <w:t>la</w:t>
      </w:r>
      <w:r>
        <w:rPr>
          <w:spacing w:val="-5"/>
        </w:rPr>
        <w:t> </w:t>
      </w:r>
      <w:r>
        <w:rPr/>
        <w:t>agricultura</w:t>
      </w:r>
      <w:r>
        <w:rPr>
          <w:spacing w:val="-5"/>
        </w:rPr>
        <w:t> </w:t>
      </w:r>
      <w:r>
        <w:rPr/>
        <w:t>familiar</w:t>
      </w:r>
      <w:r>
        <w:rPr>
          <w:spacing w:val="-5"/>
        </w:rPr>
        <w:t> </w:t>
      </w:r>
      <w:r>
        <w:rPr/>
        <w:t>que</w:t>
      </w:r>
      <w:r>
        <w:rPr>
          <w:spacing w:val="-5"/>
        </w:rPr>
        <w:t> </w:t>
      </w:r>
      <w:r>
        <w:rPr/>
        <w:t>es</w:t>
      </w:r>
      <w:r>
        <w:rPr>
          <w:spacing w:val="-5"/>
        </w:rPr>
        <w:t> </w:t>
      </w:r>
      <w:r>
        <w:rPr/>
        <w:t>la</w:t>
      </w:r>
      <w:r>
        <w:rPr>
          <w:spacing w:val="-5"/>
        </w:rPr>
        <w:t> </w:t>
      </w:r>
      <w:r>
        <w:rPr/>
        <w:t>producción</w:t>
      </w:r>
      <w:r>
        <w:rPr>
          <w:spacing w:val="-5"/>
        </w:rPr>
        <w:t> </w:t>
      </w:r>
      <w:r>
        <w:rPr/>
        <w:t>de</w:t>
      </w:r>
      <w:r>
        <w:rPr>
          <w:spacing w:val="-5"/>
        </w:rPr>
        <w:t> </w:t>
      </w:r>
      <w:r>
        <w:rPr/>
        <w:t>alimentos</w:t>
      </w:r>
      <w:r>
        <w:rPr>
          <w:spacing w:val="-5"/>
        </w:rPr>
        <w:t> </w:t>
      </w:r>
      <w:r>
        <w:rPr/>
        <w:t>para</w:t>
      </w:r>
      <w:r>
        <w:rPr>
          <w:spacing w:val="-5"/>
        </w:rPr>
        <w:t> </w:t>
      </w:r>
      <w:r>
        <w:rPr/>
        <w:t>el autoconsumo (AFAC,</w:t>
      </w:r>
      <w:r>
        <w:rPr>
          <w:spacing w:val="-20"/>
        </w:rPr>
        <w:t> </w:t>
      </w:r>
      <w:r>
        <w:rPr/>
        <w:t>2011).</w:t>
      </w:r>
    </w:p>
    <w:p>
      <w:pPr>
        <w:pStyle w:val="BodyText"/>
        <w:spacing w:before="11"/>
      </w:pPr>
    </w:p>
    <w:p>
      <w:pPr>
        <w:pStyle w:val="BodyText"/>
        <w:spacing w:line="249" w:lineRule="auto"/>
        <w:ind w:left="130" w:right="128" w:firstLine="170"/>
        <w:jc w:val="both"/>
      </w:pPr>
      <w:r>
        <w:rPr/>
        <w:t>Sin embargo estos agro ecosistemas presentan problemas en los ámbitos: ambiental y sociocultural. Entre estos la presencia de plagas en los árboles, falta de control       de plagas de forma sistemática, falta de siembra de nuevos árboles y el escaso mantenimiento a los árboles que causa baja productividad. Así mismo, en ocasiones, la  pérdida  de  los  conocimientos  tradicionales  para  el  manejo  del  huerto,  la</w:t>
      </w:r>
      <w:r>
        <w:rPr>
          <w:spacing w:val="29"/>
        </w:rPr>
        <w:t> </w:t>
      </w:r>
      <w:r>
        <w:rPr/>
        <w:t>poca</w:t>
      </w:r>
    </w:p>
    <w:p>
      <w:pPr>
        <w:spacing w:after="0" w:line="249" w:lineRule="auto"/>
        <w:jc w:val="both"/>
        <w:sectPr>
          <w:type w:val="continuous"/>
          <w:pgSz w:w="18830" w:h="12760" w:orient="landscape"/>
          <w:pgMar w:top="1420" w:bottom="280" w:left="720" w:right="720"/>
          <w:cols w:num="2" w:equalWidth="0">
            <w:col w:w="7843" w:space="1567"/>
            <w:col w:w="7980"/>
          </w:cols>
        </w:sectPr>
      </w:pPr>
    </w:p>
    <w:p>
      <w:pPr>
        <w:pStyle w:val="BodyText"/>
        <w:spacing w:before="6"/>
        <w:rPr>
          <w:sz w:val="23"/>
        </w:rPr>
      </w:pPr>
    </w:p>
    <w:p>
      <w:pPr>
        <w:spacing w:after="0"/>
        <w:rPr>
          <w:sz w:val="23"/>
        </w:rPr>
        <w:sectPr>
          <w:footerReference w:type="default" r:id="rId205"/>
          <w:pgSz w:w="18830" w:h="12760" w:orient="landscape"/>
          <w:pgMar w:footer="1036" w:header="522" w:top="820" w:bottom="1220" w:left="720" w:right="720"/>
          <w:pgNumType w:start="19"/>
        </w:sectPr>
      </w:pPr>
    </w:p>
    <w:p>
      <w:pPr>
        <w:pStyle w:val="BodyText"/>
        <w:spacing w:line="249" w:lineRule="auto" w:before="76"/>
        <w:jc w:val="right"/>
      </w:pPr>
      <w:r>
        <w:rPr/>
        <w:t>participación de los integrantes de la familia en el cuidado del huerto y la repartición del</w:t>
      </w:r>
      <w:r>
        <w:rPr>
          <w:w w:val="101"/>
        </w:rPr>
        <w:t> </w:t>
      </w:r>
      <w:r>
        <w:rPr/>
        <w:t>terreno como herencia hacia los hijos pone en riesgo la continuidad del huerto familiar.</w:t>
      </w:r>
    </w:p>
    <w:p>
      <w:pPr>
        <w:pStyle w:val="BodyText"/>
        <w:spacing w:before="11"/>
      </w:pPr>
    </w:p>
    <w:p>
      <w:pPr>
        <w:pStyle w:val="BodyText"/>
        <w:spacing w:line="249" w:lineRule="auto"/>
        <w:ind w:left="137" w:firstLine="170"/>
        <w:jc w:val="both"/>
      </w:pPr>
      <w:r>
        <w:rPr/>
        <w:t>Aunado</w:t>
      </w:r>
      <w:r>
        <w:rPr>
          <w:spacing w:val="-23"/>
        </w:rPr>
        <w:t> </w:t>
      </w:r>
      <w:r>
        <w:rPr/>
        <w:t>a</w:t>
      </w:r>
      <w:r>
        <w:rPr>
          <w:spacing w:val="-23"/>
        </w:rPr>
        <w:t> </w:t>
      </w:r>
      <w:r>
        <w:rPr/>
        <w:t>lo</w:t>
      </w:r>
      <w:r>
        <w:rPr>
          <w:spacing w:val="-23"/>
        </w:rPr>
        <w:t> </w:t>
      </w:r>
      <w:r>
        <w:rPr/>
        <w:t>anterior,</w:t>
      </w:r>
      <w:r>
        <w:rPr>
          <w:spacing w:val="-23"/>
        </w:rPr>
        <w:t> </w:t>
      </w:r>
      <w:r>
        <w:rPr/>
        <w:t>la</w:t>
      </w:r>
      <w:r>
        <w:rPr>
          <w:spacing w:val="-23"/>
        </w:rPr>
        <w:t> </w:t>
      </w:r>
      <w:r>
        <w:rPr/>
        <w:t>falta</w:t>
      </w:r>
      <w:r>
        <w:rPr>
          <w:spacing w:val="-23"/>
        </w:rPr>
        <w:t> </w:t>
      </w:r>
      <w:r>
        <w:rPr/>
        <w:t>de</w:t>
      </w:r>
      <w:r>
        <w:rPr>
          <w:spacing w:val="-23"/>
        </w:rPr>
        <w:t> </w:t>
      </w:r>
      <w:r>
        <w:rPr/>
        <w:t>reconocimiento</w:t>
      </w:r>
      <w:r>
        <w:rPr>
          <w:spacing w:val="-23"/>
        </w:rPr>
        <w:t> </w:t>
      </w:r>
      <w:r>
        <w:rPr/>
        <w:t>de</w:t>
      </w:r>
      <w:r>
        <w:rPr>
          <w:spacing w:val="-23"/>
        </w:rPr>
        <w:t> </w:t>
      </w:r>
      <w:r>
        <w:rPr/>
        <w:t>los</w:t>
      </w:r>
      <w:r>
        <w:rPr>
          <w:spacing w:val="-23"/>
        </w:rPr>
        <w:t> </w:t>
      </w:r>
      <w:r>
        <w:rPr/>
        <w:t>beneficios</w:t>
      </w:r>
      <w:r>
        <w:rPr>
          <w:spacing w:val="-23"/>
        </w:rPr>
        <w:t> </w:t>
      </w:r>
      <w:r>
        <w:rPr/>
        <w:t>que</w:t>
      </w:r>
      <w:r>
        <w:rPr>
          <w:spacing w:val="-23"/>
        </w:rPr>
        <w:t> </w:t>
      </w:r>
      <w:r>
        <w:rPr/>
        <w:t>el</w:t>
      </w:r>
      <w:r>
        <w:rPr>
          <w:spacing w:val="-23"/>
        </w:rPr>
        <w:t> </w:t>
      </w:r>
      <w:r>
        <w:rPr/>
        <w:t>Agroecosistema con</w:t>
      </w:r>
      <w:r>
        <w:rPr>
          <w:spacing w:val="-5"/>
        </w:rPr>
        <w:t> </w:t>
      </w:r>
      <w:r>
        <w:rPr/>
        <w:t>Huerto</w:t>
      </w:r>
      <w:r>
        <w:rPr>
          <w:spacing w:val="-5"/>
        </w:rPr>
        <w:t> </w:t>
      </w:r>
      <w:r>
        <w:rPr/>
        <w:t>Familiar</w:t>
      </w:r>
      <w:r>
        <w:rPr>
          <w:spacing w:val="-5"/>
        </w:rPr>
        <w:t> </w:t>
      </w:r>
      <w:r>
        <w:rPr/>
        <w:t>(AEHF)</w:t>
      </w:r>
      <w:r>
        <w:rPr>
          <w:spacing w:val="-5"/>
        </w:rPr>
        <w:t> </w:t>
      </w:r>
      <w:r>
        <w:rPr/>
        <w:t>otorga</w:t>
      </w:r>
      <w:r>
        <w:rPr>
          <w:spacing w:val="-5"/>
        </w:rPr>
        <w:t> </w:t>
      </w:r>
      <w:r>
        <w:rPr/>
        <w:t>a</w:t>
      </w:r>
      <w:r>
        <w:rPr>
          <w:spacing w:val="-5"/>
        </w:rPr>
        <w:t> </w:t>
      </w:r>
      <w:r>
        <w:rPr/>
        <w:t>las</w:t>
      </w:r>
      <w:r>
        <w:rPr>
          <w:spacing w:val="-5"/>
        </w:rPr>
        <w:t> </w:t>
      </w:r>
      <w:r>
        <w:rPr/>
        <w:t>familias</w:t>
      </w:r>
      <w:r>
        <w:rPr>
          <w:spacing w:val="-5"/>
        </w:rPr>
        <w:t> </w:t>
      </w:r>
      <w:r>
        <w:rPr/>
        <w:t>les</w:t>
      </w:r>
      <w:r>
        <w:rPr>
          <w:spacing w:val="-5"/>
        </w:rPr>
        <w:t> </w:t>
      </w:r>
      <w:r>
        <w:rPr/>
        <w:t>genera</w:t>
      </w:r>
      <w:r>
        <w:rPr>
          <w:spacing w:val="-5"/>
        </w:rPr>
        <w:t> </w:t>
      </w:r>
      <w:r>
        <w:rPr/>
        <w:t>desinterés</w:t>
      </w:r>
      <w:r>
        <w:rPr>
          <w:spacing w:val="-5"/>
        </w:rPr>
        <w:t> </w:t>
      </w:r>
      <w:r>
        <w:rPr/>
        <w:t>por</w:t>
      </w:r>
      <w:r>
        <w:rPr>
          <w:spacing w:val="-5"/>
        </w:rPr>
        <w:t> </w:t>
      </w:r>
      <w:r>
        <w:rPr/>
        <w:t>conservarlo. También</w:t>
      </w:r>
      <w:r>
        <w:rPr>
          <w:spacing w:val="-12"/>
        </w:rPr>
        <w:t> </w:t>
      </w:r>
      <w:r>
        <w:rPr/>
        <w:t>la</w:t>
      </w:r>
      <w:r>
        <w:rPr>
          <w:spacing w:val="-12"/>
        </w:rPr>
        <w:t> </w:t>
      </w:r>
      <w:r>
        <w:rPr/>
        <w:t>forma</w:t>
      </w:r>
      <w:r>
        <w:rPr>
          <w:spacing w:val="-12"/>
        </w:rPr>
        <w:t> </w:t>
      </w:r>
      <w:r>
        <w:rPr/>
        <w:t>de</w:t>
      </w:r>
      <w:r>
        <w:rPr>
          <w:spacing w:val="-12"/>
        </w:rPr>
        <w:t> </w:t>
      </w:r>
      <w:r>
        <w:rPr/>
        <w:t>vida</w:t>
      </w:r>
      <w:r>
        <w:rPr>
          <w:spacing w:val="-12"/>
        </w:rPr>
        <w:t> </w:t>
      </w:r>
      <w:r>
        <w:rPr/>
        <w:t>urbana</w:t>
      </w:r>
      <w:r>
        <w:rPr>
          <w:spacing w:val="-12"/>
        </w:rPr>
        <w:t> </w:t>
      </w:r>
      <w:r>
        <w:rPr/>
        <w:t>ejerce</w:t>
      </w:r>
      <w:r>
        <w:rPr>
          <w:spacing w:val="-12"/>
        </w:rPr>
        <w:t> </w:t>
      </w:r>
      <w:r>
        <w:rPr/>
        <w:t>presión</w:t>
      </w:r>
      <w:r>
        <w:rPr>
          <w:spacing w:val="-12"/>
        </w:rPr>
        <w:t> </w:t>
      </w:r>
      <w:r>
        <w:rPr/>
        <w:t>para</w:t>
      </w:r>
      <w:r>
        <w:rPr>
          <w:spacing w:val="-12"/>
        </w:rPr>
        <w:t> </w:t>
      </w:r>
      <w:r>
        <w:rPr/>
        <w:t>que</w:t>
      </w:r>
      <w:r>
        <w:rPr>
          <w:spacing w:val="-12"/>
        </w:rPr>
        <w:t> </w:t>
      </w:r>
      <w:r>
        <w:rPr/>
        <w:t>desaparezcan</w:t>
      </w:r>
      <w:r>
        <w:rPr>
          <w:spacing w:val="-12"/>
        </w:rPr>
        <w:t> </w:t>
      </w:r>
      <w:r>
        <w:rPr/>
        <w:t>estos</w:t>
      </w:r>
      <w:r>
        <w:rPr>
          <w:spacing w:val="-12"/>
        </w:rPr>
        <w:t> </w:t>
      </w:r>
      <w:r>
        <w:rPr/>
        <w:t>espacios. Por</w:t>
      </w:r>
      <w:r>
        <w:rPr>
          <w:spacing w:val="-11"/>
        </w:rPr>
        <w:t> </w:t>
      </w:r>
      <w:r>
        <w:rPr/>
        <w:t>estas</w:t>
      </w:r>
      <w:r>
        <w:rPr>
          <w:spacing w:val="-11"/>
        </w:rPr>
        <w:t> </w:t>
      </w:r>
      <w:r>
        <w:rPr/>
        <w:t>razones,</w:t>
      </w:r>
      <w:r>
        <w:rPr>
          <w:spacing w:val="-11"/>
        </w:rPr>
        <w:t> </w:t>
      </w:r>
      <w:r>
        <w:rPr/>
        <w:t>las</w:t>
      </w:r>
      <w:r>
        <w:rPr>
          <w:spacing w:val="-11"/>
        </w:rPr>
        <w:t> </w:t>
      </w:r>
      <w:r>
        <w:rPr/>
        <w:t>familias</w:t>
      </w:r>
      <w:r>
        <w:rPr>
          <w:spacing w:val="-11"/>
        </w:rPr>
        <w:t> </w:t>
      </w:r>
      <w:r>
        <w:rPr/>
        <w:t>pueden</w:t>
      </w:r>
      <w:r>
        <w:rPr>
          <w:spacing w:val="-11"/>
        </w:rPr>
        <w:t> </w:t>
      </w:r>
      <w:r>
        <w:rPr/>
        <w:t>iniciar</w:t>
      </w:r>
      <w:r>
        <w:rPr>
          <w:spacing w:val="-11"/>
        </w:rPr>
        <w:t> </w:t>
      </w:r>
      <w:r>
        <w:rPr/>
        <w:t>un</w:t>
      </w:r>
      <w:r>
        <w:rPr>
          <w:spacing w:val="-11"/>
        </w:rPr>
        <w:t> </w:t>
      </w:r>
      <w:r>
        <w:rPr/>
        <w:t>proceso</w:t>
      </w:r>
      <w:r>
        <w:rPr>
          <w:spacing w:val="-11"/>
        </w:rPr>
        <w:t> </w:t>
      </w:r>
      <w:r>
        <w:rPr/>
        <w:t>de</w:t>
      </w:r>
      <w:r>
        <w:rPr>
          <w:spacing w:val="-11"/>
        </w:rPr>
        <w:t> </w:t>
      </w:r>
      <w:r>
        <w:rPr/>
        <w:t>abandono</w:t>
      </w:r>
      <w:r>
        <w:rPr>
          <w:spacing w:val="-11"/>
        </w:rPr>
        <w:t> </w:t>
      </w:r>
      <w:r>
        <w:rPr/>
        <w:t>y</w:t>
      </w:r>
      <w:r>
        <w:rPr>
          <w:spacing w:val="-11"/>
        </w:rPr>
        <w:t> </w:t>
      </w:r>
      <w:r>
        <w:rPr/>
        <w:t>la</w:t>
      </w:r>
      <w:r>
        <w:rPr>
          <w:spacing w:val="-11"/>
        </w:rPr>
        <w:t> </w:t>
      </w:r>
      <w:r>
        <w:rPr/>
        <w:t>consecuente pérdida de la tradición del huerto</w:t>
      </w:r>
      <w:r>
        <w:rPr>
          <w:spacing w:val="46"/>
        </w:rPr>
        <w:t> </w:t>
      </w:r>
      <w:r>
        <w:rPr/>
        <w:t>familiar.</w:t>
      </w:r>
    </w:p>
    <w:p>
      <w:pPr>
        <w:pStyle w:val="BodyText"/>
        <w:spacing w:before="11"/>
      </w:pPr>
    </w:p>
    <w:p>
      <w:pPr>
        <w:pStyle w:val="BodyText"/>
        <w:spacing w:line="249" w:lineRule="auto"/>
        <w:ind w:left="137" w:firstLine="170"/>
        <w:jc w:val="both"/>
      </w:pPr>
      <w:r>
        <w:rPr/>
        <w:t>El objetivo de este estudio fue analizar la percepción sociocultural y ambiental de las familias</w:t>
      </w:r>
      <w:r>
        <w:rPr>
          <w:spacing w:val="-15"/>
        </w:rPr>
        <w:t> </w:t>
      </w:r>
      <w:r>
        <w:rPr/>
        <w:t>que</w:t>
      </w:r>
      <w:r>
        <w:rPr>
          <w:spacing w:val="-15"/>
        </w:rPr>
        <w:t> </w:t>
      </w:r>
      <w:r>
        <w:rPr/>
        <w:t>poseen</w:t>
      </w:r>
      <w:r>
        <w:rPr>
          <w:spacing w:val="-15"/>
        </w:rPr>
        <w:t> </w:t>
      </w:r>
      <w:r>
        <w:rPr/>
        <w:t>huerto</w:t>
      </w:r>
      <w:r>
        <w:rPr>
          <w:spacing w:val="-15"/>
        </w:rPr>
        <w:t> </w:t>
      </w:r>
      <w:r>
        <w:rPr/>
        <w:t>familiar</w:t>
      </w:r>
      <w:r>
        <w:rPr>
          <w:spacing w:val="-15"/>
        </w:rPr>
        <w:t> </w:t>
      </w:r>
      <w:r>
        <w:rPr/>
        <w:t>en</w:t>
      </w:r>
      <w:r>
        <w:rPr>
          <w:spacing w:val="-15"/>
        </w:rPr>
        <w:t> </w:t>
      </w:r>
      <w:r>
        <w:rPr/>
        <w:t>tres</w:t>
      </w:r>
      <w:r>
        <w:rPr>
          <w:spacing w:val="-15"/>
        </w:rPr>
        <w:t> </w:t>
      </w:r>
      <w:r>
        <w:rPr/>
        <w:t>municipios</w:t>
      </w:r>
      <w:r>
        <w:rPr>
          <w:spacing w:val="-15"/>
        </w:rPr>
        <w:t> </w:t>
      </w:r>
      <w:r>
        <w:rPr/>
        <w:t>de</w:t>
      </w:r>
      <w:r>
        <w:rPr>
          <w:spacing w:val="-15"/>
        </w:rPr>
        <w:t> </w:t>
      </w:r>
      <w:r>
        <w:rPr/>
        <w:t>la</w:t>
      </w:r>
      <w:r>
        <w:rPr>
          <w:spacing w:val="-15"/>
        </w:rPr>
        <w:t> </w:t>
      </w:r>
      <w:r>
        <w:rPr/>
        <w:t>zona</w:t>
      </w:r>
      <w:r>
        <w:rPr>
          <w:spacing w:val="-15"/>
        </w:rPr>
        <w:t> </w:t>
      </w:r>
      <w:r>
        <w:rPr/>
        <w:t>de</w:t>
      </w:r>
      <w:r>
        <w:rPr>
          <w:spacing w:val="-15"/>
        </w:rPr>
        <w:t> </w:t>
      </w:r>
      <w:r>
        <w:rPr/>
        <w:t>transición</w:t>
      </w:r>
      <w:r>
        <w:rPr>
          <w:spacing w:val="-15"/>
        </w:rPr>
        <w:t> </w:t>
      </w:r>
      <w:r>
        <w:rPr/>
        <w:t>ecológica, del Estado de México. Mediante recorridos de campo y aplicación de entrevistas semiestructuradas a 180 jefes de familia. Este trabajo forma parte de una</w:t>
      </w:r>
      <w:r>
        <w:rPr>
          <w:spacing w:val="-16"/>
        </w:rPr>
        <w:t> </w:t>
      </w:r>
      <w:r>
        <w:rPr/>
        <w:t>investigación más amplia, el objetivo general es el análisis agroecológico de los Agroecosistemas con Huertos Familiares (AEHF) en los municipios de Malinalco, Tenancingo y Villa Guerrero, Estado de</w:t>
      </w:r>
      <w:r>
        <w:rPr>
          <w:spacing w:val="17"/>
        </w:rPr>
        <w:t> </w:t>
      </w:r>
      <w:r>
        <w:rPr/>
        <w:t>México.</w:t>
      </w:r>
    </w:p>
    <w:p>
      <w:pPr>
        <w:pStyle w:val="BodyText"/>
        <w:spacing w:before="11"/>
      </w:pPr>
    </w:p>
    <w:p>
      <w:pPr>
        <w:pStyle w:val="BodyText"/>
        <w:spacing w:line="249" w:lineRule="auto"/>
        <w:ind w:left="137" w:firstLine="170"/>
        <w:jc w:val="both"/>
      </w:pPr>
      <w:r>
        <w:rPr/>
        <w:t>La importancia de este estudio se destaca por documentar la percepción que tienen las familias acerca de los beneficios socioculturales y ambientales de los huertos familiares. La hipótesis de este trabajo es que las familias de estudio tienen una percepción positiva acerca de los beneficios que puede proveer un AEHF. Por lo que pretende responder la siguiente pregunta ¿Cuál es la percepción de las familias que poseen huerto familiar y qué beneficios pueden motivar mantenerlo?</w:t>
      </w:r>
    </w:p>
    <w:p>
      <w:pPr>
        <w:pStyle w:val="BodyText"/>
        <w:spacing w:before="8"/>
        <w:rPr>
          <w:sz w:val="17"/>
        </w:rPr>
      </w:pPr>
    </w:p>
    <w:p>
      <w:pPr>
        <w:pStyle w:val="Heading1"/>
        <w:ind w:left="307" w:right="-5"/>
      </w:pPr>
      <w:r>
        <w:rPr/>
        <w:t>Antecedentes y Consideraciones Teóricas</w:t>
      </w:r>
    </w:p>
    <w:p>
      <w:pPr>
        <w:pStyle w:val="BodyText"/>
        <w:spacing w:before="7"/>
        <w:rPr>
          <w:b/>
        </w:rPr>
      </w:pPr>
    </w:p>
    <w:p>
      <w:pPr>
        <w:pStyle w:val="Heading2"/>
        <w:spacing w:line="240" w:lineRule="exact"/>
        <w:ind w:left="156" w:right="3" w:firstLine="468"/>
      </w:pPr>
      <w:r>
        <w:rPr>
          <w:i/>
        </w:rPr>
        <w:t>Los huertos familiares como estrategia para la conservación </w:t>
      </w:r>
      <w:r>
        <w:rPr/>
        <w:t>del conocimiento tradicional, para la seguridad alimentaria de las familias rurales y para prevenir la vulnerabilidad ambiental y</w:t>
      </w:r>
      <w:r>
        <w:rPr>
          <w:spacing w:val="-40"/>
        </w:rPr>
        <w:t> </w:t>
      </w:r>
      <w:r>
        <w:rPr/>
        <w:t>social.</w:t>
      </w:r>
    </w:p>
    <w:p>
      <w:pPr>
        <w:pStyle w:val="BodyText"/>
        <w:spacing w:before="2"/>
        <w:rPr>
          <w:b/>
          <w:i/>
          <w:sz w:val="21"/>
        </w:rPr>
      </w:pPr>
    </w:p>
    <w:p>
      <w:pPr>
        <w:pStyle w:val="BodyText"/>
        <w:spacing w:line="249" w:lineRule="auto" w:before="1"/>
        <w:ind w:left="137" w:firstLine="170"/>
        <w:jc w:val="both"/>
      </w:pPr>
      <w:r>
        <w:rPr/>
        <w:t>Al igual que en la época prehispánica, los huertos familiares actuales son espacios bien</w:t>
      </w:r>
      <w:r>
        <w:rPr>
          <w:spacing w:val="26"/>
        </w:rPr>
        <w:t> </w:t>
      </w:r>
      <w:r>
        <w:rPr/>
        <w:t>definidos</w:t>
      </w:r>
      <w:r>
        <w:rPr>
          <w:spacing w:val="26"/>
        </w:rPr>
        <w:t> </w:t>
      </w:r>
      <w:r>
        <w:rPr/>
        <w:t>y</w:t>
      </w:r>
      <w:r>
        <w:rPr>
          <w:spacing w:val="26"/>
        </w:rPr>
        <w:t> </w:t>
      </w:r>
      <w:r>
        <w:rPr/>
        <w:t>delimitados</w:t>
      </w:r>
      <w:r>
        <w:rPr>
          <w:spacing w:val="26"/>
        </w:rPr>
        <w:t> </w:t>
      </w:r>
      <w:r>
        <w:rPr/>
        <w:t>alrededor</w:t>
      </w:r>
      <w:r>
        <w:rPr>
          <w:spacing w:val="26"/>
        </w:rPr>
        <w:t> </w:t>
      </w:r>
      <w:r>
        <w:rPr/>
        <w:t>de</w:t>
      </w:r>
      <w:r>
        <w:rPr>
          <w:spacing w:val="26"/>
        </w:rPr>
        <w:t> </w:t>
      </w:r>
      <w:r>
        <w:rPr/>
        <w:t>la</w:t>
      </w:r>
      <w:r>
        <w:rPr>
          <w:spacing w:val="26"/>
        </w:rPr>
        <w:t> </w:t>
      </w:r>
      <w:r>
        <w:rPr/>
        <w:t>casa</w:t>
      </w:r>
      <w:r>
        <w:rPr>
          <w:spacing w:val="26"/>
        </w:rPr>
        <w:t> </w:t>
      </w:r>
      <w:r>
        <w:rPr/>
        <w:t>habitación</w:t>
      </w:r>
      <w:r>
        <w:rPr>
          <w:spacing w:val="26"/>
        </w:rPr>
        <w:t> </w:t>
      </w:r>
      <w:r>
        <w:rPr/>
        <w:t>(Mariaca,</w:t>
      </w:r>
      <w:r>
        <w:rPr>
          <w:spacing w:val="26"/>
        </w:rPr>
        <w:t> </w:t>
      </w:r>
      <w:r>
        <w:rPr/>
        <w:t>2012);</w:t>
      </w:r>
      <w:r>
        <w:rPr>
          <w:spacing w:val="26"/>
        </w:rPr>
        <w:t> </w:t>
      </w:r>
      <w:r>
        <w:rPr/>
        <w:t>son</w:t>
      </w:r>
      <w:r>
        <w:rPr>
          <w:spacing w:val="26"/>
        </w:rPr>
        <w:t> </w:t>
      </w:r>
      <w:r>
        <w:rPr/>
        <w:t>el</w:t>
      </w:r>
      <w:r>
        <w:rPr>
          <w:w w:val="97"/>
        </w:rPr>
        <w:t> </w:t>
      </w:r>
      <w:r>
        <w:rPr/>
        <w:t>resultado</w:t>
      </w:r>
      <w:r>
        <w:rPr>
          <w:spacing w:val="-8"/>
        </w:rPr>
        <w:t> </w:t>
      </w:r>
      <w:r>
        <w:rPr/>
        <w:t>de</w:t>
      </w:r>
      <w:r>
        <w:rPr>
          <w:spacing w:val="-8"/>
        </w:rPr>
        <w:t> </w:t>
      </w:r>
      <w:r>
        <w:rPr/>
        <w:t>una</w:t>
      </w:r>
      <w:r>
        <w:rPr>
          <w:spacing w:val="-8"/>
        </w:rPr>
        <w:t> </w:t>
      </w:r>
      <w:r>
        <w:rPr/>
        <w:t>interrelación</w:t>
      </w:r>
      <w:r>
        <w:rPr>
          <w:spacing w:val="-8"/>
        </w:rPr>
        <w:t> </w:t>
      </w:r>
      <w:r>
        <w:rPr/>
        <w:t>entre</w:t>
      </w:r>
      <w:r>
        <w:rPr>
          <w:spacing w:val="-8"/>
        </w:rPr>
        <w:t> </w:t>
      </w:r>
      <w:r>
        <w:rPr/>
        <w:t>la</w:t>
      </w:r>
      <w:r>
        <w:rPr>
          <w:spacing w:val="-8"/>
        </w:rPr>
        <w:t> </w:t>
      </w:r>
      <w:r>
        <w:rPr/>
        <w:t>gente,</w:t>
      </w:r>
      <w:r>
        <w:rPr>
          <w:spacing w:val="-8"/>
        </w:rPr>
        <w:t> </w:t>
      </w:r>
      <w:r>
        <w:rPr/>
        <w:t>el</w:t>
      </w:r>
      <w:r>
        <w:rPr>
          <w:spacing w:val="-8"/>
        </w:rPr>
        <w:t> </w:t>
      </w:r>
      <w:r>
        <w:rPr/>
        <w:t>suelo,</w:t>
      </w:r>
      <w:r>
        <w:rPr>
          <w:spacing w:val="-8"/>
        </w:rPr>
        <w:t> </w:t>
      </w:r>
      <w:r>
        <w:rPr/>
        <w:t>agua,</w:t>
      </w:r>
      <w:r>
        <w:rPr>
          <w:spacing w:val="-8"/>
        </w:rPr>
        <w:t> </w:t>
      </w:r>
      <w:r>
        <w:rPr/>
        <w:t>animales</w:t>
      </w:r>
      <w:r>
        <w:rPr>
          <w:spacing w:val="-8"/>
        </w:rPr>
        <w:t> </w:t>
      </w:r>
      <w:r>
        <w:rPr/>
        <w:t>y</w:t>
      </w:r>
      <w:r>
        <w:rPr>
          <w:spacing w:val="-8"/>
        </w:rPr>
        <w:t> </w:t>
      </w:r>
      <w:r>
        <w:rPr/>
        <w:t>plantas</w:t>
      </w:r>
      <w:r>
        <w:rPr>
          <w:spacing w:val="-8"/>
        </w:rPr>
        <w:t> </w:t>
      </w:r>
      <w:r>
        <w:rPr/>
        <w:t>(Gaytán </w:t>
      </w:r>
      <w:r>
        <w:rPr>
          <w:i/>
        </w:rPr>
        <w:t>et al., </w:t>
      </w:r>
      <w:r>
        <w:rPr/>
        <w:t>2001; Juan, 2013). En los huertos familiares suelen coexistir plantas cultivadas  y silvestres, alimenticias, medicinales y ornamentales que representan un patrimonio etnológico de primer orden con un conocimiento tradicional transmitido de generación en generación. La función de los mismos ha sido, durante siglos, la de abastecer de alimentos a la familia propietaria, pero actualmente sus funciones incluyen un papel lúdico y de ocupación, aunque no cabe olvidar el importante papel que desempeñan  en la conservación de numerosas especies y variedades de plantas cultivadas </w:t>
      </w:r>
      <w:r>
        <w:rPr>
          <w:i/>
        </w:rPr>
        <w:t>in situ </w:t>
      </w:r>
      <w:r>
        <w:rPr/>
        <w:t>(Rigat </w:t>
      </w:r>
      <w:r>
        <w:rPr>
          <w:i/>
        </w:rPr>
        <w:t>et al.,</w:t>
      </w:r>
      <w:r>
        <w:rPr>
          <w:i/>
          <w:spacing w:val="-34"/>
        </w:rPr>
        <w:t> </w:t>
      </w:r>
      <w:r>
        <w:rPr/>
        <w:t>2009).</w:t>
      </w:r>
    </w:p>
    <w:p>
      <w:pPr>
        <w:pStyle w:val="BodyText"/>
        <w:spacing w:line="249" w:lineRule="auto" w:before="76"/>
        <w:ind w:left="137" w:right="127" w:firstLine="170"/>
        <w:jc w:val="both"/>
      </w:pPr>
      <w:r>
        <w:rPr/>
        <w:br w:type="column"/>
      </w:r>
      <w:r>
        <w:rPr/>
        <w:t>En estos sistemas se forman microclimas con árboles dando sombra, generando y produciendo hojarasca que contribuye al reciclaje de nutrimentos y mantenimiento de la fertilidad; entre otras plantas hay arbustos y herbáceas con diferentes requisitos de luz, evitando la pérdida de suelo por erosión y aumentando la captación de agua por infiltración (Gutiérrez, 2003; Martínez y Juan, 2005).</w:t>
      </w:r>
    </w:p>
    <w:p>
      <w:pPr>
        <w:pStyle w:val="BodyText"/>
        <w:spacing w:before="11"/>
      </w:pPr>
    </w:p>
    <w:p>
      <w:pPr>
        <w:pStyle w:val="BodyText"/>
        <w:spacing w:line="249" w:lineRule="auto"/>
        <w:ind w:left="137" w:right="127" w:firstLine="170"/>
        <w:jc w:val="both"/>
      </w:pPr>
      <w:r>
        <w:rPr/>
        <w:t>Para</w:t>
      </w:r>
      <w:r>
        <w:rPr>
          <w:spacing w:val="-5"/>
        </w:rPr>
        <w:t> </w:t>
      </w:r>
      <w:r>
        <w:rPr/>
        <w:t>Gliessman</w:t>
      </w:r>
      <w:r>
        <w:rPr>
          <w:spacing w:val="-5"/>
        </w:rPr>
        <w:t> </w:t>
      </w:r>
      <w:r>
        <w:rPr/>
        <w:t>(2002</w:t>
      </w:r>
      <w:r>
        <w:rPr>
          <w:spacing w:val="-5"/>
        </w:rPr>
        <w:t> </w:t>
      </w:r>
      <w:r>
        <w:rPr/>
        <w:t>y</w:t>
      </w:r>
      <w:r>
        <w:rPr>
          <w:spacing w:val="-5"/>
        </w:rPr>
        <w:t> </w:t>
      </w:r>
      <w:r>
        <w:rPr/>
        <w:t>2007),</w:t>
      </w:r>
      <w:r>
        <w:rPr>
          <w:spacing w:val="-5"/>
        </w:rPr>
        <w:t> </w:t>
      </w:r>
      <w:r>
        <w:rPr/>
        <w:t>son</w:t>
      </w:r>
      <w:r>
        <w:rPr>
          <w:spacing w:val="-5"/>
        </w:rPr>
        <w:t> </w:t>
      </w:r>
      <w:r>
        <w:rPr/>
        <w:t>sistemas</w:t>
      </w:r>
      <w:r>
        <w:rPr>
          <w:spacing w:val="-5"/>
        </w:rPr>
        <w:t> </w:t>
      </w:r>
      <w:r>
        <w:rPr/>
        <w:t>con</w:t>
      </w:r>
      <w:r>
        <w:rPr>
          <w:spacing w:val="-5"/>
        </w:rPr>
        <w:t> </w:t>
      </w:r>
      <w:r>
        <w:rPr/>
        <w:t>características</w:t>
      </w:r>
      <w:r>
        <w:rPr>
          <w:spacing w:val="-5"/>
        </w:rPr>
        <w:t> </w:t>
      </w:r>
      <w:r>
        <w:rPr/>
        <w:t>similares</w:t>
      </w:r>
      <w:r>
        <w:rPr>
          <w:spacing w:val="-5"/>
        </w:rPr>
        <w:t> </w:t>
      </w:r>
      <w:r>
        <w:rPr/>
        <w:t>a</w:t>
      </w:r>
      <w:r>
        <w:rPr>
          <w:spacing w:val="-5"/>
        </w:rPr>
        <w:t> </w:t>
      </w:r>
      <w:r>
        <w:rPr/>
        <w:t>las</w:t>
      </w:r>
      <w:r>
        <w:rPr>
          <w:spacing w:val="-5"/>
        </w:rPr>
        <w:t> </w:t>
      </w:r>
      <w:r>
        <w:rPr/>
        <w:t>de</w:t>
      </w:r>
      <w:r>
        <w:rPr>
          <w:spacing w:val="-5"/>
        </w:rPr>
        <w:t> </w:t>
      </w:r>
      <w:r>
        <w:rPr/>
        <w:t>un ecosistema</w:t>
      </w:r>
      <w:r>
        <w:rPr>
          <w:spacing w:val="-5"/>
        </w:rPr>
        <w:t> </w:t>
      </w:r>
      <w:r>
        <w:rPr/>
        <w:t>natural,</w:t>
      </w:r>
      <w:r>
        <w:rPr>
          <w:spacing w:val="-5"/>
        </w:rPr>
        <w:t> </w:t>
      </w:r>
      <w:r>
        <w:rPr/>
        <w:t>aportando</w:t>
      </w:r>
      <w:r>
        <w:rPr>
          <w:spacing w:val="-5"/>
        </w:rPr>
        <w:t> </w:t>
      </w:r>
      <w:r>
        <w:rPr/>
        <w:t>un</w:t>
      </w:r>
      <w:r>
        <w:rPr>
          <w:spacing w:val="-5"/>
        </w:rPr>
        <w:t> </w:t>
      </w:r>
      <w:r>
        <w:rPr/>
        <w:t>mínimo</w:t>
      </w:r>
      <w:r>
        <w:rPr>
          <w:spacing w:val="-5"/>
        </w:rPr>
        <w:t> </w:t>
      </w:r>
      <w:r>
        <w:rPr/>
        <w:t>de</w:t>
      </w:r>
      <w:r>
        <w:rPr>
          <w:spacing w:val="-5"/>
        </w:rPr>
        <w:t> </w:t>
      </w:r>
      <w:r>
        <w:rPr/>
        <w:t>insumos</w:t>
      </w:r>
      <w:r>
        <w:rPr>
          <w:spacing w:val="-5"/>
        </w:rPr>
        <w:t> </w:t>
      </w:r>
      <w:r>
        <w:rPr/>
        <w:t>artificiales</w:t>
      </w:r>
      <w:r>
        <w:rPr>
          <w:spacing w:val="-5"/>
        </w:rPr>
        <w:t> </w:t>
      </w:r>
      <w:r>
        <w:rPr/>
        <w:t>externos</w:t>
      </w:r>
      <w:r>
        <w:rPr>
          <w:spacing w:val="-5"/>
        </w:rPr>
        <w:t> </w:t>
      </w:r>
      <w:r>
        <w:rPr/>
        <w:t>al</w:t>
      </w:r>
      <w:r>
        <w:rPr>
          <w:spacing w:val="-5"/>
        </w:rPr>
        <w:t> </w:t>
      </w:r>
      <w:r>
        <w:rPr/>
        <w:t>sistema</w:t>
      </w:r>
      <w:r>
        <w:rPr>
          <w:spacing w:val="-5"/>
        </w:rPr>
        <w:t> </w:t>
      </w:r>
      <w:r>
        <w:rPr/>
        <w:t>de producción, manejando las plagas y enfermedades mediante mecanismos internos de regulación; y al presentarse las perturbaciones ocasionadas por las prácticas de</w:t>
      </w:r>
      <w:r>
        <w:rPr>
          <w:spacing w:val="-31"/>
        </w:rPr>
        <w:t> </w:t>
      </w:r>
      <w:r>
        <w:rPr/>
        <w:t>cultivo y</w:t>
      </w:r>
      <w:r>
        <w:rPr>
          <w:spacing w:val="-9"/>
        </w:rPr>
        <w:t> </w:t>
      </w:r>
      <w:r>
        <w:rPr/>
        <w:t>la</w:t>
      </w:r>
      <w:r>
        <w:rPr>
          <w:spacing w:val="-9"/>
        </w:rPr>
        <w:t> </w:t>
      </w:r>
      <w:r>
        <w:rPr/>
        <w:t>cosecha,</w:t>
      </w:r>
      <w:r>
        <w:rPr>
          <w:spacing w:val="-9"/>
        </w:rPr>
        <w:t> </w:t>
      </w:r>
      <w:r>
        <w:rPr/>
        <w:t>ser</w:t>
      </w:r>
      <w:r>
        <w:rPr>
          <w:spacing w:val="-9"/>
        </w:rPr>
        <w:t> </w:t>
      </w:r>
      <w:r>
        <w:rPr/>
        <w:t>sistemas</w:t>
      </w:r>
      <w:r>
        <w:rPr>
          <w:spacing w:val="-9"/>
        </w:rPr>
        <w:t> </w:t>
      </w:r>
      <w:r>
        <w:rPr/>
        <w:t>capaces</w:t>
      </w:r>
      <w:r>
        <w:rPr>
          <w:spacing w:val="-9"/>
        </w:rPr>
        <w:t> </w:t>
      </w:r>
      <w:r>
        <w:rPr/>
        <w:t>de</w:t>
      </w:r>
      <w:r>
        <w:rPr>
          <w:spacing w:val="-9"/>
        </w:rPr>
        <w:t> </w:t>
      </w:r>
      <w:r>
        <w:rPr/>
        <w:t>recuperarse.</w:t>
      </w:r>
      <w:r>
        <w:rPr>
          <w:spacing w:val="-9"/>
        </w:rPr>
        <w:t> </w:t>
      </w:r>
      <w:r>
        <w:rPr/>
        <w:t>Los</w:t>
      </w:r>
      <w:r>
        <w:rPr>
          <w:spacing w:val="-9"/>
        </w:rPr>
        <w:t> </w:t>
      </w:r>
      <w:r>
        <w:rPr/>
        <w:t>huertos</w:t>
      </w:r>
      <w:r>
        <w:rPr>
          <w:spacing w:val="-9"/>
        </w:rPr>
        <w:t> </w:t>
      </w:r>
      <w:r>
        <w:rPr/>
        <w:t>familiares</w:t>
      </w:r>
      <w:r>
        <w:rPr>
          <w:spacing w:val="-9"/>
        </w:rPr>
        <w:t> </w:t>
      </w:r>
      <w:r>
        <w:rPr/>
        <w:t>se</w:t>
      </w:r>
      <w:r>
        <w:rPr>
          <w:spacing w:val="-9"/>
        </w:rPr>
        <w:t> </w:t>
      </w:r>
      <w:r>
        <w:rPr/>
        <w:t>entienden como agroecosistemas, a diferencia de la agricultura de monocultivo (Rebollar </w:t>
      </w:r>
      <w:r>
        <w:rPr>
          <w:i/>
        </w:rPr>
        <w:t>et al., </w:t>
      </w:r>
      <w:r>
        <w:rPr/>
        <w:t>2008; Mariaca, 2012), son ecológicamente sustentables y</w:t>
      </w:r>
      <w:r>
        <w:rPr>
          <w:spacing w:val="27"/>
        </w:rPr>
        <w:t> </w:t>
      </w:r>
      <w:r>
        <w:rPr/>
        <w:t>estables.</w:t>
      </w:r>
    </w:p>
    <w:p>
      <w:pPr>
        <w:pStyle w:val="BodyText"/>
        <w:spacing w:before="11"/>
      </w:pPr>
    </w:p>
    <w:p>
      <w:pPr>
        <w:pStyle w:val="BodyText"/>
        <w:spacing w:line="249" w:lineRule="auto"/>
        <w:ind w:left="137" w:right="127" w:firstLine="170"/>
        <w:jc w:val="both"/>
      </w:pPr>
      <w:r>
        <w:rPr/>
        <w:t>En éstos agroecosistemas tradicionales de huertos familiares, Gliessman (2002 y 2007) menciona que ofrecen innumerables ejemplos de prácticas agrícolas realmente sostenibles:</w:t>
      </w:r>
      <w:r>
        <w:rPr>
          <w:spacing w:val="-7"/>
        </w:rPr>
        <w:t> </w:t>
      </w:r>
      <w:r>
        <w:rPr/>
        <w:t>1)</w:t>
      </w:r>
      <w:r>
        <w:rPr>
          <w:spacing w:val="-7"/>
        </w:rPr>
        <w:t> </w:t>
      </w:r>
      <w:r>
        <w:rPr/>
        <w:t>están</w:t>
      </w:r>
      <w:r>
        <w:rPr>
          <w:spacing w:val="-7"/>
        </w:rPr>
        <w:t> </w:t>
      </w:r>
      <w:r>
        <w:rPr/>
        <w:t>basados</w:t>
      </w:r>
      <w:r>
        <w:rPr>
          <w:spacing w:val="-7"/>
        </w:rPr>
        <w:t> </w:t>
      </w:r>
      <w:r>
        <w:rPr/>
        <w:t>en</w:t>
      </w:r>
      <w:r>
        <w:rPr>
          <w:spacing w:val="-7"/>
        </w:rPr>
        <w:t> </w:t>
      </w:r>
      <w:r>
        <w:rPr/>
        <w:t>la</w:t>
      </w:r>
      <w:r>
        <w:rPr>
          <w:spacing w:val="-7"/>
        </w:rPr>
        <w:t> </w:t>
      </w:r>
      <w:r>
        <w:rPr/>
        <w:t>siembra</w:t>
      </w:r>
      <w:r>
        <w:rPr>
          <w:spacing w:val="-7"/>
        </w:rPr>
        <w:t> </w:t>
      </w:r>
      <w:r>
        <w:rPr/>
        <w:t>de</w:t>
      </w:r>
      <w:r>
        <w:rPr>
          <w:spacing w:val="-7"/>
        </w:rPr>
        <w:t> </w:t>
      </w:r>
      <w:r>
        <w:rPr/>
        <w:t>una</w:t>
      </w:r>
      <w:r>
        <w:rPr>
          <w:spacing w:val="-7"/>
        </w:rPr>
        <w:t> </w:t>
      </w:r>
      <w:r>
        <w:rPr/>
        <w:t>diversidad</w:t>
      </w:r>
      <w:r>
        <w:rPr>
          <w:spacing w:val="-7"/>
        </w:rPr>
        <w:t> </w:t>
      </w:r>
      <w:r>
        <w:rPr/>
        <w:t>de</w:t>
      </w:r>
      <w:r>
        <w:rPr>
          <w:spacing w:val="-7"/>
        </w:rPr>
        <w:t> </w:t>
      </w:r>
      <w:r>
        <w:rPr/>
        <w:t>cultivos</w:t>
      </w:r>
      <w:r>
        <w:rPr>
          <w:spacing w:val="-7"/>
        </w:rPr>
        <w:t> </w:t>
      </w:r>
      <w:r>
        <w:rPr/>
        <w:t>y</w:t>
      </w:r>
      <w:r>
        <w:rPr>
          <w:spacing w:val="-7"/>
        </w:rPr>
        <w:t> </w:t>
      </w:r>
      <w:r>
        <w:rPr/>
        <w:t>variedades, generalmente en forma de policultivos; 2) maximizan la seguridad de las cosechas usando bajos niveles de tecnología; 3) poseen un limitado impacto ambiental y se adaptan bien a las condiciones locales; 4) contienen cultivos variables y adaptados, como también parientes silvestres de los cultivos; 5) no dependen tanto de insumos externos como los plaguicidas, fertilizantes y la irrigación artificial; 6) hacen un uso amplio de recursos renovables y disponibles localmente; 7) poseen un reciclaje de nutrimentos activo; 8) conservan diversidad biológica; 9) usan la producción para satisfacer primero las necesidades locales; 10) son relativamente independientes de factores económicos externos y 11) están construidos sobre el conocimiento y la cultura</w:t>
      </w:r>
      <w:r>
        <w:rPr>
          <w:spacing w:val="28"/>
        </w:rPr>
        <w:t> </w:t>
      </w:r>
      <w:r>
        <w:rPr/>
        <w:t>tradicional.</w:t>
      </w:r>
    </w:p>
    <w:p>
      <w:pPr>
        <w:pStyle w:val="BodyText"/>
        <w:spacing w:before="11"/>
      </w:pPr>
    </w:p>
    <w:p>
      <w:pPr>
        <w:pStyle w:val="BodyText"/>
        <w:spacing w:line="249" w:lineRule="auto"/>
        <w:ind w:left="137" w:right="128" w:firstLine="170"/>
        <w:jc w:val="both"/>
      </w:pPr>
      <w:r>
        <w:rPr/>
        <w:t>Magaña</w:t>
      </w:r>
      <w:r>
        <w:rPr>
          <w:spacing w:val="-19"/>
        </w:rPr>
        <w:t> </w:t>
      </w:r>
      <w:r>
        <w:rPr/>
        <w:t>(2012)</w:t>
      </w:r>
      <w:r>
        <w:rPr>
          <w:spacing w:val="-18"/>
        </w:rPr>
        <w:t> </w:t>
      </w:r>
      <w:r>
        <w:rPr/>
        <w:t>señala</w:t>
      </w:r>
      <w:r>
        <w:rPr>
          <w:spacing w:val="-19"/>
        </w:rPr>
        <w:t> </w:t>
      </w:r>
      <w:r>
        <w:rPr/>
        <w:t>que</w:t>
      </w:r>
      <w:r>
        <w:rPr>
          <w:spacing w:val="-19"/>
        </w:rPr>
        <w:t> </w:t>
      </w:r>
      <w:r>
        <w:rPr/>
        <w:t>los</w:t>
      </w:r>
      <w:r>
        <w:rPr>
          <w:spacing w:val="-19"/>
        </w:rPr>
        <w:t> </w:t>
      </w:r>
      <w:r>
        <w:rPr/>
        <w:t>huertos</w:t>
      </w:r>
      <w:r>
        <w:rPr>
          <w:spacing w:val="-19"/>
        </w:rPr>
        <w:t> </w:t>
      </w:r>
      <w:r>
        <w:rPr/>
        <w:t>familiares</w:t>
      </w:r>
      <w:r>
        <w:rPr>
          <w:spacing w:val="-19"/>
        </w:rPr>
        <w:t> </w:t>
      </w:r>
      <w:r>
        <w:rPr/>
        <w:t>son</w:t>
      </w:r>
      <w:r>
        <w:rPr>
          <w:spacing w:val="-19"/>
        </w:rPr>
        <w:t> </w:t>
      </w:r>
      <w:r>
        <w:rPr/>
        <w:t>bancos</w:t>
      </w:r>
      <w:r>
        <w:rPr>
          <w:spacing w:val="-19"/>
        </w:rPr>
        <w:t> </w:t>
      </w:r>
      <w:r>
        <w:rPr/>
        <w:t>de</w:t>
      </w:r>
      <w:r>
        <w:rPr>
          <w:spacing w:val="-19"/>
        </w:rPr>
        <w:t> </w:t>
      </w:r>
      <w:r>
        <w:rPr/>
        <w:t>información</w:t>
      </w:r>
      <w:r>
        <w:rPr>
          <w:spacing w:val="-19"/>
        </w:rPr>
        <w:t> </w:t>
      </w:r>
      <w:r>
        <w:rPr/>
        <w:t>y</w:t>
      </w:r>
      <w:r>
        <w:rPr>
          <w:spacing w:val="-19"/>
        </w:rPr>
        <w:t> </w:t>
      </w:r>
      <w:r>
        <w:rPr/>
        <w:t>almacén de plantas medicinales, hace hincapié en su conservación y promoción dentro de las comunidades, lugares donde aún hay espacio para su </w:t>
      </w:r>
      <w:r>
        <w:rPr>
          <w:spacing w:val="1"/>
        </w:rPr>
        <w:t> </w:t>
      </w:r>
      <w:r>
        <w:rPr/>
        <w:t>ubicación.</w:t>
      </w:r>
    </w:p>
    <w:p>
      <w:pPr>
        <w:spacing w:after="0" w:line="249" w:lineRule="auto"/>
        <w:jc w:val="both"/>
        <w:sectPr>
          <w:type w:val="continuous"/>
          <w:pgSz w:w="18830" w:h="12760" w:orient="landscape"/>
          <w:pgMar w:top="1420" w:bottom="280" w:left="720" w:right="720"/>
          <w:cols w:num="2" w:equalWidth="0">
            <w:col w:w="7849" w:space="1556"/>
            <w:col w:w="7985"/>
          </w:cols>
        </w:sectPr>
      </w:pPr>
    </w:p>
    <w:p>
      <w:pPr>
        <w:pStyle w:val="BodyText"/>
        <w:spacing w:before="8"/>
      </w:pPr>
    </w:p>
    <w:p>
      <w:pPr>
        <w:spacing w:after="0"/>
        <w:sectPr>
          <w:footerReference w:type="default" r:id="rId206"/>
          <w:pgSz w:w="18830" w:h="12760" w:orient="landscape"/>
          <w:pgMar w:footer="1036" w:header="522" w:top="820" w:bottom="1220" w:left="720" w:right="720"/>
        </w:sectPr>
      </w:pPr>
    </w:p>
    <w:p>
      <w:pPr>
        <w:pStyle w:val="Heading1"/>
        <w:spacing w:line="240" w:lineRule="exact" w:before="104"/>
        <w:ind w:left="2946" w:hanging="2560"/>
      </w:pPr>
      <w:r>
        <w:rPr/>
        <w:t>Preservación y transmisión del conocimiento tradicional en los huertos familiares</w:t>
      </w:r>
    </w:p>
    <w:p>
      <w:pPr>
        <w:pStyle w:val="BodyText"/>
        <w:spacing w:before="2"/>
        <w:rPr>
          <w:b/>
          <w:sz w:val="21"/>
        </w:rPr>
      </w:pPr>
    </w:p>
    <w:p>
      <w:pPr>
        <w:pStyle w:val="BodyText"/>
        <w:spacing w:line="249" w:lineRule="auto" w:before="1"/>
        <w:ind w:left="121" w:firstLine="170"/>
        <w:jc w:val="both"/>
      </w:pPr>
      <w:r>
        <w:rPr/>
        <w:t>La</w:t>
      </w:r>
      <w:r>
        <w:rPr>
          <w:spacing w:val="-5"/>
        </w:rPr>
        <w:t> </w:t>
      </w:r>
      <w:r>
        <w:rPr/>
        <w:t>apropiación</w:t>
      </w:r>
      <w:r>
        <w:rPr>
          <w:spacing w:val="-5"/>
        </w:rPr>
        <w:t> </w:t>
      </w:r>
      <w:r>
        <w:rPr/>
        <w:t>de</w:t>
      </w:r>
      <w:r>
        <w:rPr>
          <w:spacing w:val="-5"/>
        </w:rPr>
        <w:t> </w:t>
      </w:r>
      <w:r>
        <w:rPr/>
        <w:t>naturaleza,</w:t>
      </w:r>
      <w:r>
        <w:rPr>
          <w:spacing w:val="-5"/>
        </w:rPr>
        <w:t> </w:t>
      </w:r>
      <w:r>
        <w:rPr/>
        <w:t>es</w:t>
      </w:r>
      <w:r>
        <w:rPr>
          <w:spacing w:val="-5"/>
        </w:rPr>
        <w:t> </w:t>
      </w:r>
      <w:r>
        <w:rPr/>
        <w:t>una</w:t>
      </w:r>
      <w:r>
        <w:rPr>
          <w:spacing w:val="-5"/>
        </w:rPr>
        <w:t> </w:t>
      </w:r>
      <w:r>
        <w:rPr/>
        <w:t>expresión</w:t>
      </w:r>
      <w:r>
        <w:rPr>
          <w:spacing w:val="-5"/>
        </w:rPr>
        <w:t> </w:t>
      </w:r>
      <w:r>
        <w:rPr/>
        <w:t>de</w:t>
      </w:r>
      <w:r>
        <w:rPr>
          <w:spacing w:val="-5"/>
        </w:rPr>
        <w:t> </w:t>
      </w:r>
      <w:r>
        <w:rPr/>
        <w:t>la</w:t>
      </w:r>
      <w:r>
        <w:rPr>
          <w:spacing w:val="-5"/>
        </w:rPr>
        <w:t> </w:t>
      </w:r>
      <w:r>
        <w:rPr/>
        <w:t>implementación</w:t>
      </w:r>
      <w:r>
        <w:rPr>
          <w:spacing w:val="-5"/>
        </w:rPr>
        <w:t> </w:t>
      </w:r>
      <w:r>
        <w:rPr/>
        <w:t>de</w:t>
      </w:r>
      <w:r>
        <w:rPr>
          <w:spacing w:val="-5"/>
        </w:rPr>
        <w:t> </w:t>
      </w:r>
      <w:r>
        <w:rPr/>
        <w:t>la</w:t>
      </w:r>
      <w:r>
        <w:rPr>
          <w:spacing w:val="-5"/>
        </w:rPr>
        <w:t> </w:t>
      </w:r>
      <w:r>
        <w:rPr/>
        <w:t>estrategia del uso múltiple y esta, a su vez, responde a una racionalidad que es tanto ecológica como económica, se basa en un conocimiento ecológico local debido a sus ajustes permanentes y su capacidad de adaptación a cambios sociales, económicos y ecológicos, desarrollando estrategias de manejo de los recursos naturales. Algunas de ellas son tradicionales que han pasado de una generación a otra, sin embargo otras son prácticamente nuevas y están siendo mejoradas a través de los años (García- Frapolli </w:t>
      </w:r>
      <w:r>
        <w:rPr>
          <w:i/>
        </w:rPr>
        <w:t>et al.,</w:t>
      </w:r>
      <w:r>
        <w:rPr>
          <w:i/>
          <w:spacing w:val="-20"/>
        </w:rPr>
        <w:t> </w:t>
      </w:r>
      <w:r>
        <w:rPr/>
        <w:t>2008).</w:t>
      </w:r>
    </w:p>
    <w:p>
      <w:pPr>
        <w:pStyle w:val="BodyText"/>
        <w:spacing w:before="11"/>
      </w:pPr>
    </w:p>
    <w:p>
      <w:pPr>
        <w:pStyle w:val="BodyText"/>
        <w:spacing w:line="249" w:lineRule="auto"/>
        <w:ind w:left="121" w:firstLine="170"/>
        <w:jc w:val="both"/>
      </w:pPr>
      <w:r>
        <w:rPr/>
        <w:t>Para Massieu y Chapela (2007) el conocimiento tradicional está estrechamente relacionado con la cosmogonía y subsistencia de las comunidades, por lo que su finalidad</w:t>
      </w:r>
      <w:r>
        <w:rPr>
          <w:spacing w:val="-5"/>
        </w:rPr>
        <w:t> </w:t>
      </w:r>
      <w:r>
        <w:rPr/>
        <w:t>es</w:t>
      </w:r>
      <w:r>
        <w:rPr>
          <w:spacing w:val="-5"/>
        </w:rPr>
        <w:t> </w:t>
      </w:r>
      <w:r>
        <w:rPr/>
        <w:t>fortalecer</w:t>
      </w:r>
      <w:r>
        <w:rPr>
          <w:spacing w:val="-5"/>
        </w:rPr>
        <w:t> </w:t>
      </w:r>
      <w:r>
        <w:rPr/>
        <w:t>los</w:t>
      </w:r>
      <w:r>
        <w:rPr>
          <w:spacing w:val="-5"/>
        </w:rPr>
        <w:t> </w:t>
      </w:r>
      <w:r>
        <w:rPr/>
        <w:t>valores</w:t>
      </w:r>
      <w:r>
        <w:rPr>
          <w:spacing w:val="-5"/>
        </w:rPr>
        <w:t> </w:t>
      </w:r>
      <w:r>
        <w:rPr/>
        <w:t>del</w:t>
      </w:r>
      <w:r>
        <w:rPr>
          <w:spacing w:val="-5"/>
        </w:rPr>
        <w:t> </w:t>
      </w:r>
      <w:r>
        <w:rPr/>
        <w:t>manejo</w:t>
      </w:r>
      <w:r>
        <w:rPr>
          <w:spacing w:val="-5"/>
        </w:rPr>
        <w:t> </w:t>
      </w:r>
      <w:r>
        <w:rPr/>
        <w:t>de</w:t>
      </w:r>
      <w:r>
        <w:rPr>
          <w:spacing w:val="-5"/>
        </w:rPr>
        <w:t> </w:t>
      </w:r>
      <w:r>
        <w:rPr/>
        <w:t>plantas,</w:t>
      </w:r>
      <w:r>
        <w:rPr>
          <w:spacing w:val="-5"/>
        </w:rPr>
        <w:t> </w:t>
      </w:r>
      <w:r>
        <w:rPr/>
        <w:t>semillas,</w:t>
      </w:r>
      <w:r>
        <w:rPr>
          <w:spacing w:val="-5"/>
        </w:rPr>
        <w:t> </w:t>
      </w:r>
      <w:r>
        <w:rPr/>
        <w:t>animales</w:t>
      </w:r>
      <w:r>
        <w:rPr>
          <w:spacing w:val="-5"/>
        </w:rPr>
        <w:t> </w:t>
      </w:r>
      <w:r>
        <w:rPr/>
        <w:t>y</w:t>
      </w:r>
      <w:r>
        <w:rPr>
          <w:spacing w:val="-5"/>
        </w:rPr>
        <w:t> </w:t>
      </w:r>
      <w:r>
        <w:rPr/>
        <w:t>formas</w:t>
      </w:r>
      <w:r>
        <w:rPr>
          <w:spacing w:val="-5"/>
        </w:rPr>
        <w:t> </w:t>
      </w:r>
      <w:r>
        <w:rPr/>
        <w:t>de organización, así como la vinculación con las épocas de sol y de la luna que orientan  la siembra o la recolección de los alimentos. Por ello, este conocimiento tiene un papel fundamental</w:t>
      </w:r>
      <w:r>
        <w:rPr>
          <w:spacing w:val="-4"/>
        </w:rPr>
        <w:t> </w:t>
      </w:r>
      <w:r>
        <w:rPr/>
        <w:t>para</w:t>
      </w:r>
      <w:r>
        <w:rPr>
          <w:spacing w:val="-4"/>
        </w:rPr>
        <w:t> </w:t>
      </w:r>
      <w:r>
        <w:rPr/>
        <w:t>sostener</w:t>
      </w:r>
      <w:r>
        <w:rPr>
          <w:spacing w:val="-4"/>
        </w:rPr>
        <w:t> </w:t>
      </w:r>
      <w:r>
        <w:rPr/>
        <w:t>y</w:t>
      </w:r>
      <w:r>
        <w:rPr>
          <w:spacing w:val="-4"/>
        </w:rPr>
        <w:t> </w:t>
      </w:r>
      <w:r>
        <w:rPr/>
        <w:t>preservar</w:t>
      </w:r>
      <w:r>
        <w:rPr>
          <w:spacing w:val="-4"/>
        </w:rPr>
        <w:t> </w:t>
      </w:r>
      <w:r>
        <w:rPr/>
        <w:t>la</w:t>
      </w:r>
      <w:r>
        <w:rPr>
          <w:spacing w:val="-4"/>
        </w:rPr>
        <w:t> </w:t>
      </w:r>
      <w:r>
        <w:rPr/>
        <w:t>importante</w:t>
      </w:r>
      <w:r>
        <w:rPr>
          <w:spacing w:val="-4"/>
        </w:rPr>
        <w:t> </w:t>
      </w:r>
      <w:r>
        <w:rPr/>
        <w:t>función</w:t>
      </w:r>
      <w:r>
        <w:rPr>
          <w:spacing w:val="-4"/>
        </w:rPr>
        <w:t> </w:t>
      </w:r>
      <w:r>
        <w:rPr/>
        <w:t>ambiental</w:t>
      </w:r>
      <w:r>
        <w:rPr>
          <w:spacing w:val="-4"/>
        </w:rPr>
        <w:t> </w:t>
      </w:r>
      <w:r>
        <w:rPr/>
        <w:t>de</w:t>
      </w:r>
      <w:r>
        <w:rPr>
          <w:spacing w:val="-4"/>
        </w:rPr>
        <w:t> </w:t>
      </w:r>
      <w:r>
        <w:rPr/>
        <w:t>la</w:t>
      </w:r>
      <w:r>
        <w:rPr>
          <w:spacing w:val="-4"/>
        </w:rPr>
        <w:t> </w:t>
      </w:r>
      <w:r>
        <w:rPr/>
        <w:t>agricultura de subsistencia, como un sistema de producción agrícola en el que se promueve la diversidad y se acumula saber acerca de plantas y organismos vivos en interacción, como parte del</w:t>
      </w:r>
      <w:r>
        <w:rPr>
          <w:spacing w:val="40"/>
        </w:rPr>
        <w:t> </w:t>
      </w:r>
      <w:r>
        <w:rPr/>
        <w:t>ecosistema.</w:t>
      </w:r>
    </w:p>
    <w:p>
      <w:pPr>
        <w:pStyle w:val="BodyText"/>
        <w:spacing w:before="11"/>
      </w:pPr>
    </w:p>
    <w:p>
      <w:pPr>
        <w:pStyle w:val="BodyText"/>
        <w:spacing w:line="249" w:lineRule="auto"/>
        <w:ind w:left="121" w:firstLine="170"/>
        <w:jc w:val="both"/>
      </w:pPr>
      <w:r>
        <w:rPr/>
        <w:t>De acuerdo con Toledo (2005), el conocimiento tradicional es el producto de una  red de relaciones y prácticas que milenariamente han desarrollado las comunidades campesinas e indígenas, y está conformado por las creencias (cosmos); el sistema    de conocimientos que las personas guardan en sus mentes, la descripción detallada acerca</w:t>
      </w:r>
      <w:r>
        <w:rPr>
          <w:spacing w:val="-20"/>
        </w:rPr>
        <w:t> </w:t>
      </w:r>
      <w:r>
        <w:rPr/>
        <w:t>de</w:t>
      </w:r>
      <w:r>
        <w:rPr>
          <w:spacing w:val="-20"/>
        </w:rPr>
        <w:t> </w:t>
      </w:r>
      <w:r>
        <w:rPr/>
        <w:t>la</w:t>
      </w:r>
      <w:r>
        <w:rPr>
          <w:spacing w:val="-20"/>
        </w:rPr>
        <w:t> </w:t>
      </w:r>
      <w:r>
        <w:rPr/>
        <w:t>estructura</w:t>
      </w:r>
      <w:r>
        <w:rPr>
          <w:spacing w:val="-20"/>
        </w:rPr>
        <w:t> </w:t>
      </w:r>
      <w:r>
        <w:rPr/>
        <w:t>o</w:t>
      </w:r>
      <w:r>
        <w:rPr>
          <w:spacing w:val="-20"/>
        </w:rPr>
        <w:t> </w:t>
      </w:r>
      <w:r>
        <w:rPr/>
        <w:t>los</w:t>
      </w:r>
      <w:r>
        <w:rPr>
          <w:spacing w:val="-20"/>
        </w:rPr>
        <w:t> </w:t>
      </w:r>
      <w:r>
        <w:rPr/>
        <w:t>elementos</w:t>
      </w:r>
      <w:r>
        <w:rPr>
          <w:spacing w:val="-20"/>
        </w:rPr>
        <w:t> </w:t>
      </w:r>
      <w:r>
        <w:rPr/>
        <w:t>de</w:t>
      </w:r>
      <w:r>
        <w:rPr>
          <w:spacing w:val="-20"/>
        </w:rPr>
        <w:t> </w:t>
      </w:r>
      <w:r>
        <w:rPr/>
        <w:t>la</w:t>
      </w:r>
      <w:r>
        <w:rPr>
          <w:spacing w:val="-20"/>
        </w:rPr>
        <w:t> </w:t>
      </w:r>
      <w:r>
        <w:rPr/>
        <w:t>naturaleza,</w:t>
      </w:r>
      <w:r>
        <w:rPr>
          <w:spacing w:val="-20"/>
        </w:rPr>
        <w:t> </w:t>
      </w:r>
      <w:r>
        <w:rPr/>
        <w:t>las</w:t>
      </w:r>
      <w:r>
        <w:rPr>
          <w:spacing w:val="-20"/>
        </w:rPr>
        <w:t> </w:t>
      </w:r>
      <w:r>
        <w:rPr/>
        <w:t>relaciones</w:t>
      </w:r>
      <w:r>
        <w:rPr>
          <w:spacing w:val="-20"/>
        </w:rPr>
        <w:t> </w:t>
      </w:r>
      <w:r>
        <w:rPr/>
        <w:t>que</w:t>
      </w:r>
      <w:r>
        <w:rPr>
          <w:spacing w:val="-20"/>
        </w:rPr>
        <w:t> </w:t>
      </w:r>
      <w:r>
        <w:rPr/>
        <w:t>se</w:t>
      </w:r>
      <w:r>
        <w:rPr>
          <w:spacing w:val="-20"/>
        </w:rPr>
        <w:t> </w:t>
      </w:r>
      <w:r>
        <w:rPr/>
        <w:t>establecen entre éstos y su potencial utilitario (corpus); y el conjunto de prácticas productivas, en donde las personas utilizan de manera combinada su sistema de conocimientos sobre el medio que les rodea, a partir de ellos tomar sus principales decisiones sobre su desarrollo en la vida diaria</w:t>
      </w:r>
      <w:r>
        <w:rPr>
          <w:spacing w:val="-21"/>
        </w:rPr>
        <w:t> </w:t>
      </w:r>
      <w:r>
        <w:rPr/>
        <w:t>(praxis).</w:t>
      </w:r>
    </w:p>
    <w:p>
      <w:pPr>
        <w:pStyle w:val="BodyText"/>
        <w:spacing w:before="11"/>
      </w:pPr>
    </w:p>
    <w:p>
      <w:pPr>
        <w:pStyle w:val="BodyText"/>
        <w:spacing w:line="249" w:lineRule="auto"/>
        <w:ind w:left="121" w:firstLine="170"/>
        <w:jc w:val="both"/>
      </w:pPr>
      <w:r>
        <w:rPr/>
        <w:t>Diferentes estudios han demostrado como el conocimiento tradicional que poseen los campesinos sobre su agricultura, genera prácticas agrícolas sostenibles. Ejemplo de ello son los huertos familiares; policultivos basados en la siembra de una diversidad de cultivos y variedades que no dependen de insumos externos como plaguicidas, fertilizantes e irrigación artificial; poseen un reciclaje de nutrimentos, conservan la diversidad biológica, y están construidos sobre el conocimiento y la cultura tradicional (Gliessman,</w:t>
      </w:r>
      <w:r>
        <w:rPr>
          <w:spacing w:val="-10"/>
        </w:rPr>
        <w:t> </w:t>
      </w:r>
      <w:r>
        <w:rPr/>
        <w:t>2002;</w:t>
      </w:r>
      <w:r>
        <w:rPr>
          <w:spacing w:val="-10"/>
        </w:rPr>
        <w:t> </w:t>
      </w:r>
      <w:r>
        <w:rPr/>
        <w:t>Gliessman</w:t>
      </w:r>
      <w:r>
        <w:rPr>
          <w:spacing w:val="-10"/>
        </w:rPr>
        <w:t> </w:t>
      </w:r>
      <w:r>
        <w:rPr>
          <w:i/>
        </w:rPr>
        <w:t>et</w:t>
      </w:r>
      <w:r>
        <w:rPr>
          <w:i/>
          <w:spacing w:val="-10"/>
        </w:rPr>
        <w:t> </w:t>
      </w:r>
      <w:r>
        <w:rPr>
          <w:i/>
        </w:rPr>
        <w:t>al.,</w:t>
      </w:r>
      <w:r>
        <w:rPr>
          <w:i/>
          <w:spacing w:val="-10"/>
        </w:rPr>
        <w:t> </w:t>
      </w:r>
      <w:r>
        <w:rPr/>
        <w:t>2007).</w:t>
      </w:r>
    </w:p>
    <w:p>
      <w:pPr>
        <w:pStyle w:val="Heading1"/>
        <w:spacing w:line="240" w:lineRule="exact" w:before="104"/>
        <w:ind w:left="207" w:right="214"/>
        <w:jc w:val="center"/>
      </w:pPr>
      <w:r>
        <w:rPr>
          <w:b w:val="0"/>
        </w:rPr>
        <w:br w:type="column"/>
      </w:r>
      <w:r>
        <w:rPr/>
        <w:t>Los huertos familiares como estrategia para la seguridad alimentaria familiar, como una forma de prevenir la vulnerabilidad socio ambiental.</w:t>
      </w:r>
    </w:p>
    <w:p>
      <w:pPr>
        <w:pStyle w:val="BodyText"/>
        <w:spacing w:before="2"/>
        <w:rPr>
          <w:b/>
          <w:sz w:val="21"/>
        </w:rPr>
      </w:pPr>
    </w:p>
    <w:p>
      <w:pPr>
        <w:pStyle w:val="BodyText"/>
        <w:spacing w:line="249" w:lineRule="auto" w:before="1"/>
        <w:ind w:left="121" w:right="127" w:firstLine="170"/>
        <w:jc w:val="both"/>
      </w:pPr>
      <w:r>
        <w:rPr/>
        <w:t>De acuerdo con la FAO, 842 millones de personas sufren hambre crónica porque no pueden</w:t>
      </w:r>
      <w:r>
        <w:rPr>
          <w:spacing w:val="-6"/>
        </w:rPr>
        <w:t> </w:t>
      </w:r>
      <w:r>
        <w:rPr/>
        <w:t>costearse</w:t>
      </w:r>
      <w:r>
        <w:rPr>
          <w:spacing w:val="-6"/>
        </w:rPr>
        <w:t> </w:t>
      </w:r>
      <w:r>
        <w:rPr/>
        <w:t>una</w:t>
      </w:r>
      <w:r>
        <w:rPr>
          <w:spacing w:val="-6"/>
        </w:rPr>
        <w:t> </w:t>
      </w:r>
      <w:r>
        <w:rPr/>
        <w:t>alimentación</w:t>
      </w:r>
      <w:r>
        <w:rPr>
          <w:spacing w:val="-6"/>
        </w:rPr>
        <w:t> </w:t>
      </w:r>
      <w:r>
        <w:rPr/>
        <w:t>adecuada,</w:t>
      </w:r>
      <w:r>
        <w:rPr>
          <w:spacing w:val="-6"/>
        </w:rPr>
        <w:t> </w:t>
      </w:r>
      <w:r>
        <w:rPr/>
        <w:t>y</w:t>
      </w:r>
      <w:r>
        <w:rPr>
          <w:spacing w:val="-6"/>
        </w:rPr>
        <w:t> </w:t>
      </w:r>
      <w:r>
        <w:rPr/>
        <w:t>en</w:t>
      </w:r>
      <w:r>
        <w:rPr>
          <w:spacing w:val="-6"/>
        </w:rPr>
        <w:t> </w:t>
      </w:r>
      <w:r>
        <w:rPr/>
        <w:t>el</w:t>
      </w:r>
      <w:r>
        <w:rPr>
          <w:spacing w:val="-6"/>
        </w:rPr>
        <w:t> </w:t>
      </w:r>
      <w:r>
        <w:rPr/>
        <w:t>mundo</w:t>
      </w:r>
      <w:r>
        <w:rPr>
          <w:spacing w:val="-6"/>
        </w:rPr>
        <w:t> </w:t>
      </w:r>
      <w:r>
        <w:rPr/>
        <w:t>70%</w:t>
      </w:r>
      <w:r>
        <w:rPr>
          <w:spacing w:val="-6"/>
        </w:rPr>
        <w:t> </w:t>
      </w:r>
      <w:r>
        <w:rPr/>
        <w:t>de</w:t>
      </w:r>
      <w:r>
        <w:rPr>
          <w:spacing w:val="-6"/>
        </w:rPr>
        <w:t> </w:t>
      </w:r>
      <w:r>
        <w:rPr/>
        <w:t>las</w:t>
      </w:r>
      <w:r>
        <w:rPr>
          <w:spacing w:val="-6"/>
        </w:rPr>
        <w:t> </w:t>
      </w:r>
      <w:r>
        <w:rPr/>
        <w:t>personas</w:t>
      </w:r>
      <w:r>
        <w:rPr>
          <w:spacing w:val="-6"/>
        </w:rPr>
        <w:t> </w:t>
      </w:r>
      <w:r>
        <w:rPr/>
        <w:t>que padecen inseguridad alimentaria vive en zonas rurales de países en desarrollo (FAO, 2015). Se necesitan sistemas de producción que respalden un mayor acceso para satisfacer las necesidades de alimentos en estas áreas. Una opción es la agricultura familiar, que tiene como uso prioritario la fuerza de trabajo familiar, con acceso</w:t>
      </w:r>
      <w:r>
        <w:rPr>
          <w:spacing w:val="-21"/>
        </w:rPr>
        <w:t> </w:t>
      </w:r>
      <w:r>
        <w:rPr/>
        <w:t>limitado a recursos de tierra y capital así como uso de múltiples estrategias de supervivencia y de generación de ingresos (AFAC,</w:t>
      </w:r>
      <w:r>
        <w:rPr>
          <w:spacing w:val="-32"/>
        </w:rPr>
        <w:t> </w:t>
      </w:r>
      <w:r>
        <w:rPr/>
        <w:t>2011).</w:t>
      </w:r>
    </w:p>
    <w:p>
      <w:pPr>
        <w:pStyle w:val="BodyText"/>
        <w:spacing w:before="11"/>
      </w:pPr>
    </w:p>
    <w:p>
      <w:pPr>
        <w:pStyle w:val="BodyText"/>
        <w:spacing w:line="249" w:lineRule="auto"/>
        <w:ind w:left="121" w:right="127" w:firstLine="170"/>
        <w:jc w:val="both"/>
      </w:pPr>
      <w:r>
        <w:rPr/>
        <w:t>El concepto de sistemas de producción en huertos familiares incluye grupos de familias agricultoras y campesinas provenientes de las diversas etnias y culturas que se dedican a producir alimentos para su autoabastecimiento, aportando alimentos y muchos otros productos en la seguridad alimentaria. Además colocan el excedente a través de redes y espacios de intercambio y comercialización local. Tiene como punto de partida el reconocimiento del conocimiento tradicional y sabiduría ancestral de las familias agricultoras (FAO, 2015).</w:t>
      </w:r>
    </w:p>
    <w:p>
      <w:pPr>
        <w:pStyle w:val="BodyText"/>
        <w:spacing w:before="11"/>
      </w:pPr>
    </w:p>
    <w:p>
      <w:pPr>
        <w:pStyle w:val="BodyText"/>
        <w:spacing w:line="249" w:lineRule="auto"/>
        <w:ind w:left="121" w:right="127" w:firstLine="170"/>
        <w:jc w:val="both"/>
      </w:pPr>
      <w:r>
        <w:rPr/>
        <w:t>Estos sistemas se basan fundamentalmente en los procesos ecológicos, la biodiversidad y los ciclos adaptados a las condiciones locales, sin usar insumos que tengan efectos adversos. Combinan tradición, innovación y ciencia para favorecer al ambiente, promover relaciones justas y una buena calidad de vida. Empoderan a las comunidades para tomar control de sus necesidades de producción de alimentos, proveyendo sistemas que pueden ser manejados por ellos mismos, sustentables y adaptados localmente. Estas pequeñas unidades productivas, son la clave para la seguridad</w:t>
      </w:r>
      <w:r>
        <w:rPr>
          <w:spacing w:val="-11"/>
        </w:rPr>
        <w:t> </w:t>
      </w:r>
      <w:r>
        <w:rPr/>
        <w:t>alimentaria</w:t>
      </w:r>
      <w:r>
        <w:rPr>
          <w:spacing w:val="-11"/>
        </w:rPr>
        <w:t> </w:t>
      </w:r>
      <w:r>
        <w:rPr/>
        <w:t>(AFAC,</w:t>
      </w:r>
      <w:r>
        <w:rPr>
          <w:spacing w:val="-11"/>
        </w:rPr>
        <w:t> </w:t>
      </w:r>
      <w:r>
        <w:rPr/>
        <w:t>2011).</w:t>
      </w:r>
      <w:r>
        <w:rPr>
          <w:spacing w:val="-11"/>
        </w:rPr>
        <w:t> </w:t>
      </w:r>
      <w:r>
        <w:rPr/>
        <w:t>Pero</w:t>
      </w:r>
      <w:r>
        <w:rPr>
          <w:spacing w:val="-11"/>
        </w:rPr>
        <w:t> </w:t>
      </w:r>
      <w:r>
        <w:rPr/>
        <w:t>para</w:t>
      </w:r>
      <w:r>
        <w:rPr>
          <w:spacing w:val="-11"/>
        </w:rPr>
        <w:t> </w:t>
      </w:r>
      <w:r>
        <w:rPr/>
        <w:t>que</w:t>
      </w:r>
      <w:r>
        <w:rPr>
          <w:spacing w:val="-11"/>
        </w:rPr>
        <w:t> </w:t>
      </w:r>
      <w:r>
        <w:rPr/>
        <w:t>los</w:t>
      </w:r>
      <w:r>
        <w:rPr>
          <w:spacing w:val="-11"/>
        </w:rPr>
        <w:t> </w:t>
      </w:r>
      <w:r>
        <w:rPr/>
        <w:t>agricultores</w:t>
      </w:r>
      <w:r>
        <w:rPr>
          <w:spacing w:val="-11"/>
        </w:rPr>
        <w:t> </w:t>
      </w:r>
      <w:r>
        <w:rPr/>
        <w:t>familiares</w:t>
      </w:r>
      <w:r>
        <w:rPr>
          <w:spacing w:val="-11"/>
        </w:rPr>
        <w:t> </w:t>
      </w:r>
      <w:r>
        <w:rPr/>
        <w:t>lo</w:t>
      </w:r>
      <w:r>
        <w:rPr>
          <w:spacing w:val="-11"/>
        </w:rPr>
        <w:t> </w:t>
      </w:r>
      <w:r>
        <w:rPr/>
        <w:t>puedan lograr, se necesita que el sector público instaure políticas y crear el entorno propicio que les permitan prosperar. Además de participación de otros agentes, organizaciones internacionales, organismos regionales, organizaciones de la sociedad civil, el sector privado y las instituciones de investigación (FAO,</w:t>
      </w:r>
      <w:r>
        <w:rPr>
          <w:spacing w:val="5"/>
        </w:rPr>
        <w:t> </w:t>
      </w:r>
      <w:r>
        <w:rPr/>
        <w:t>2015).</w:t>
      </w:r>
    </w:p>
    <w:p>
      <w:pPr>
        <w:pStyle w:val="BodyText"/>
        <w:spacing w:before="8"/>
        <w:rPr>
          <w:sz w:val="17"/>
        </w:rPr>
      </w:pPr>
    </w:p>
    <w:p>
      <w:pPr>
        <w:pStyle w:val="Heading1"/>
        <w:ind w:left="291"/>
      </w:pPr>
      <w:r>
        <w:rPr/>
        <w:t>Metodología</w:t>
      </w:r>
    </w:p>
    <w:p>
      <w:pPr>
        <w:pStyle w:val="BodyText"/>
        <w:rPr>
          <w:b/>
          <w:sz w:val="21"/>
        </w:rPr>
      </w:pPr>
    </w:p>
    <w:p>
      <w:pPr>
        <w:pStyle w:val="BodyText"/>
        <w:spacing w:line="249" w:lineRule="auto"/>
        <w:ind w:left="121" w:right="127" w:firstLine="170"/>
        <w:jc w:val="both"/>
      </w:pPr>
      <w:r>
        <w:rPr/>
        <w:t>Para el estudio de los tres municipios del Sur del Estado de México, se aborda  desde la perspectiva de las Ciencias Ambientales y se parte de la Teoría General      de Sistemas (TGS) que permite integrar los componentes ambientales y sociales, y posibilita el estudio de los flujos de energía dentro del agroecosistema (interacciones de los componentes). Es una región de importancia geográfica por ser una zona de transición entre los Imperios Biogeográficos Neartico y Neotropical, donde se  </w:t>
      </w:r>
      <w:r>
        <w:rPr>
          <w:spacing w:val="3"/>
        </w:rPr>
        <w:t> </w:t>
      </w:r>
      <w:r>
        <w:rPr/>
        <w:t>practica</w:t>
      </w:r>
    </w:p>
    <w:p>
      <w:pPr>
        <w:spacing w:after="0" w:line="249" w:lineRule="auto"/>
        <w:jc w:val="both"/>
        <w:sectPr>
          <w:type w:val="continuous"/>
          <w:pgSz w:w="18830" w:h="12760" w:orient="landscape"/>
          <w:pgMar w:top="1420" w:bottom="280" w:left="720" w:right="720"/>
          <w:cols w:num="2" w:equalWidth="0">
            <w:col w:w="7834" w:space="1586"/>
            <w:col w:w="7970"/>
          </w:cols>
        </w:sectPr>
      </w:pPr>
    </w:p>
    <w:p>
      <w:pPr>
        <w:pStyle w:val="BodyText"/>
        <w:spacing w:before="6"/>
        <w:rPr>
          <w:sz w:val="23"/>
        </w:rPr>
      </w:pPr>
    </w:p>
    <w:p>
      <w:pPr>
        <w:spacing w:after="0"/>
        <w:rPr>
          <w:sz w:val="23"/>
        </w:rPr>
        <w:sectPr>
          <w:footerReference w:type="default" r:id="rId207"/>
          <w:pgSz w:w="18830" w:h="12760" w:orient="landscape"/>
          <w:pgMar w:footer="1036" w:header="522" w:top="820" w:bottom="1220" w:left="720" w:right="720"/>
        </w:sectPr>
      </w:pPr>
    </w:p>
    <w:p>
      <w:pPr>
        <w:pStyle w:val="BodyText"/>
        <w:spacing w:line="249" w:lineRule="auto" w:before="76"/>
        <w:ind w:left="137" w:right="1"/>
        <w:jc w:val="both"/>
      </w:pPr>
      <w:r>
        <w:rPr/>
        <w:t>la</w:t>
      </w:r>
      <w:r>
        <w:rPr>
          <w:spacing w:val="-6"/>
        </w:rPr>
        <w:t> </w:t>
      </w:r>
      <w:r>
        <w:rPr/>
        <w:t>tradición</w:t>
      </w:r>
      <w:r>
        <w:rPr>
          <w:spacing w:val="-6"/>
        </w:rPr>
        <w:t> </w:t>
      </w:r>
      <w:r>
        <w:rPr/>
        <w:t>de</w:t>
      </w:r>
      <w:r>
        <w:rPr>
          <w:spacing w:val="-6"/>
        </w:rPr>
        <w:t> </w:t>
      </w:r>
      <w:r>
        <w:rPr/>
        <w:t>los</w:t>
      </w:r>
      <w:r>
        <w:rPr>
          <w:spacing w:val="-6"/>
        </w:rPr>
        <w:t> </w:t>
      </w:r>
      <w:r>
        <w:rPr/>
        <w:t>huertos</w:t>
      </w:r>
      <w:r>
        <w:rPr>
          <w:spacing w:val="-6"/>
        </w:rPr>
        <w:t> </w:t>
      </w:r>
      <w:r>
        <w:rPr/>
        <w:t>familiares,</w:t>
      </w:r>
      <w:r>
        <w:rPr>
          <w:spacing w:val="-6"/>
        </w:rPr>
        <w:t> </w:t>
      </w:r>
      <w:r>
        <w:rPr/>
        <w:t>los</w:t>
      </w:r>
      <w:r>
        <w:rPr>
          <w:spacing w:val="-6"/>
        </w:rPr>
        <w:t> </w:t>
      </w:r>
      <w:r>
        <w:rPr/>
        <w:t>cuales</w:t>
      </w:r>
      <w:r>
        <w:rPr>
          <w:spacing w:val="-6"/>
        </w:rPr>
        <w:t> </w:t>
      </w:r>
      <w:r>
        <w:rPr/>
        <w:t>tienen</w:t>
      </w:r>
      <w:r>
        <w:rPr>
          <w:spacing w:val="-6"/>
        </w:rPr>
        <w:t> </w:t>
      </w:r>
      <w:r>
        <w:rPr/>
        <w:t>impactos</w:t>
      </w:r>
      <w:r>
        <w:rPr>
          <w:spacing w:val="-6"/>
        </w:rPr>
        <w:t> </w:t>
      </w:r>
      <w:r>
        <w:rPr/>
        <w:t>ambientales,</w:t>
      </w:r>
      <w:r>
        <w:rPr>
          <w:spacing w:val="-6"/>
        </w:rPr>
        <w:t> </w:t>
      </w:r>
      <w:r>
        <w:rPr/>
        <w:t>sociales</w:t>
      </w:r>
      <w:r>
        <w:rPr>
          <w:spacing w:val="-6"/>
        </w:rPr>
        <w:t> </w:t>
      </w:r>
      <w:r>
        <w:rPr/>
        <w:t>y agroecológicos, gracias a los productos que se obtienen de éstos con diferentes usos como alimenticio, medicinal, ornamental e ingresos por la venta de </w:t>
      </w:r>
      <w:r>
        <w:rPr>
          <w:spacing w:val="8"/>
        </w:rPr>
        <w:t> </w:t>
      </w:r>
      <w:r>
        <w:rPr/>
        <w:t>estos.</w:t>
      </w:r>
    </w:p>
    <w:p>
      <w:pPr>
        <w:pStyle w:val="BodyText"/>
        <w:spacing w:before="8"/>
        <w:rPr>
          <w:sz w:val="17"/>
        </w:rPr>
      </w:pPr>
    </w:p>
    <w:p>
      <w:pPr>
        <w:pStyle w:val="Heading1"/>
        <w:ind w:left="307" w:right="-5"/>
      </w:pPr>
      <w:r>
        <w:rPr/>
        <w:t>Caracterización Físico-Geográfica</w:t>
      </w:r>
    </w:p>
    <w:p>
      <w:pPr>
        <w:pStyle w:val="BodyText"/>
        <w:rPr>
          <w:b/>
          <w:sz w:val="21"/>
        </w:rPr>
      </w:pPr>
    </w:p>
    <w:p>
      <w:pPr>
        <w:pStyle w:val="BodyText"/>
        <w:spacing w:line="249" w:lineRule="auto"/>
        <w:ind w:left="137" w:firstLine="170"/>
        <w:jc w:val="both"/>
      </w:pPr>
      <w:r>
        <w:rPr/>
        <w:t>En un primer momento se realizó la delimitación del área de estudio, para ello se tomó como base la división político-administrativo del Estado de México, una vez determinada el área de estudio y las  doce  localidades  (Malinalco,  Tenancingo  y Villa Guerrero), de acuerdo con condiciones geográficas, sociales, económicas, ambientales y de biodiversidad, se estudiaron espacialmente la cabecera municipal y tres localidades de cada municipio, esto permitió ubicar los huertos establecidos</w:t>
      </w:r>
      <w:r>
        <w:rPr>
          <w:spacing w:val="-33"/>
        </w:rPr>
        <w:t> </w:t>
      </w:r>
      <w:r>
        <w:rPr/>
        <w:t>dentro del área urbana y en tres comunidades rurales. Donde la interacción de los factores fisiográficos, biológicos y socioculturales favorece una amplia agrobiodiversidad en los distintos</w:t>
      </w:r>
      <w:r>
        <w:rPr>
          <w:spacing w:val="32"/>
        </w:rPr>
        <w:t> </w:t>
      </w:r>
      <w:r>
        <w:rPr/>
        <w:t>ambientes.</w:t>
      </w:r>
    </w:p>
    <w:p>
      <w:pPr>
        <w:pStyle w:val="BodyText"/>
        <w:spacing w:before="11"/>
      </w:pPr>
    </w:p>
    <w:p>
      <w:pPr>
        <w:pStyle w:val="BodyText"/>
        <w:spacing w:line="249" w:lineRule="auto"/>
        <w:ind w:left="73" w:firstLine="170"/>
        <w:jc w:val="right"/>
      </w:pPr>
      <w:r>
        <w:rPr/>
        <w:t>Se procedió a la caracterización físico-geográfica, para la descripción de las</w:t>
      </w:r>
      <w:r>
        <w:rPr>
          <w:w w:val="98"/>
        </w:rPr>
        <w:t> </w:t>
      </w:r>
      <w:r>
        <w:rPr/>
        <w:t>características físicas se obtuvo información de las cartas geológica, edafológica y topográfica de INEGI, escala 1:50,000. Las características geográficas se determinaron</w:t>
      </w:r>
      <w:r>
        <w:rPr>
          <w:w w:val="100"/>
        </w:rPr>
        <w:t> </w:t>
      </w:r>
      <w:r>
        <w:rPr/>
        <w:t>mediante investigación bibliográfica respecto al clima, relieve, hidrografía y vegetación.</w:t>
      </w:r>
    </w:p>
    <w:p>
      <w:pPr>
        <w:pStyle w:val="BodyText"/>
        <w:spacing w:before="11"/>
      </w:pPr>
    </w:p>
    <w:p>
      <w:pPr>
        <w:pStyle w:val="BodyText"/>
        <w:spacing w:line="249" w:lineRule="auto"/>
        <w:ind w:left="137" w:firstLine="170"/>
        <w:jc w:val="both"/>
      </w:pPr>
      <w:r>
        <w:rPr/>
        <w:t>Con métodos de representación cartográfica, se elaboraron mapas temáticos en los que se muestren las zonas cubiertas con vegetación, uso de suelo, climas y altimetría, entre otros. Y se identificaron tipos de rocas, de suelos y unidades geomorfológicas que ayudan a relacionar elementos en el área de trabajo con la presencia de huertos familiares.</w:t>
      </w:r>
    </w:p>
    <w:p>
      <w:pPr>
        <w:pStyle w:val="BodyText"/>
        <w:spacing w:before="11"/>
      </w:pPr>
    </w:p>
    <w:p>
      <w:pPr>
        <w:pStyle w:val="BodyText"/>
        <w:spacing w:line="249" w:lineRule="auto"/>
        <w:ind w:left="137" w:firstLine="264"/>
        <w:jc w:val="both"/>
      </w:pPr>
      <w:r>
        <w:rPr/>
        <w:t>A partir de estos datos, se analizaron los elementos que ofrecen a los huertos</w:t>
      </w:r>
      <w:r>
        <w:rPr>
          <w:w w:val="101"/>
        </w:rPr>
        <w:t> </w:t>
      </w:r>
      <w:r>
        <w:rPr/>
        <w:t>familiares las condiciones para su establecimiento, y que favorece tener una alta diversidad florística en los huertos familiares.</w:t>
      </w:r>
    </w:p>
    <w:p>
      <w:pPr>
        <w:pStyle w:val="BodyText"/>
        <w:spacing w:before="11"/>
      </w:pPr>
    </w:p>
    <w:p>
      <w:pPr>
        <w:pStyle w:val="BodyText"/>
        <w:spacing w:line="249" w:lineRule="auto"/>
        <w:ind w:left="137" w:firstLine="170"/>
        <w:jc w:val="both"/>
      </w:pPr>
      <w:r>
        <w:rPr/>
        <w:t>En el mapa 1, se observa la distribución de las localidades dentro de los municipios, se describe la de manera general del área de estudio, posteriormente se detallan las características de población, educativas y económicas de cada una de  estas.</w:t>
      </w:r>
    </w:p>
    <w:p>
      <w:pPr>
        <w:pStyle w:val="BodyText"/>
        <w:spacing w:before="76"/>
        <w:ind w:left="1582"/>
      </w:pPr>
      <w:r>
        <w:rPr/>
        <w:br w:type="column"/>
      </w:r>
      <w:r>
        <w:rPr>
          <w:color w:val="6D6E71"/>
        </w:rPr>
        <w:t>Mapa 1. Localidades seleccionadas de los  municipios</w:t>
      </w:r>
    </w:p>
    <w:p>
      <w:pPr>
        <w:pStyle w:val="BodyText"/>
        <w:spacing w:before="9"/>
        <w:rPr>
          <w:sz w:val="13"/>
        </w:rPr>
      </w:pPr>
      <w:r>
        <w:rPr/>
        <w:drawing>
          <wp:anchor distT="0" distB="0" distL="0" distR="0" allowOverlap="1" layoutInCell="1" locked="0" behindDoc="0" simplePos="0" relativeHeight="7120">
            <wp:simplePos x="0" y="0"/>
            <wp:positionH relativeFrom="page">
              <wp:posOffset>6589400</wp:posOffset>
            </wp:positionH>
            <wp:positionV relativeFrom="paragraph">
              <wp:posOffset>125492</wp:posOffset>
            </wp:positionV>
            <wp:extent cx="4735471" cy="2739008"/>
            <wp:effectExtent l="0" t="0" r="0" b="0"/>
            <wp:wrapTopAndBottom/>
            <wp:docPr id="59" name="image48.jpeg" descr=""/>
            <wp:cNvGraphicFramePr>
              <a:graphicFrameLocks noChangeAspect="1"/>
            </wp:cNvGraphicFramePr>
            <a:graphic>
              <a:graphicData uri="http://schemas.openxmlformats.org/drawingml/2006/picture">
                <pic:pic>
                  <pic:nvPicPr>
                    <pic:cNvPr id="60" name="image48.jpeg"/>
                    <pic:cNvPicPr/>
                  </pic:nvPicPr>
                  <pic:blipFill>
                    <a:blip r:embed="rId208" cstate="print"/>
                    <a:stretch>
                      <a:fillRect/>
                    </a:stretch>
                  </pic:blipFill>
                  <pic:spPr>
                    <a:xfrm>
                      <a:off x="0" y="0"/>
                      <a:ext cx="4735471" cy="2739008"/>
                    </a:xfrm>
                    <a:prstGeom prst="rect">
                      <a:avLst/>
                    </a:prstGeom>
                  </pic:spPr>
                </pic:pic>
              </a:graphicData>
            </a:graphic>
          </wp:anchor>
        </w:drawing>
      </w:r>
    </w:p>
    <w:p>
      <w:pPr>
        <w:spacing w:before="67"/>
        <w:ind w:left="1085" w:right="0" w:firstLine="0"/>
        <w:jc w:val="left"/>
        <w:rPr>
          <w:sz w:val="16"/>
        </w:rPr>
      </w:pPr>
      <w:r>
        <w:rPr>
          <w:color w:val="6D6E71"/>
          <w:sz w:val="16"/>
        </w:rPr>
        <w:t>Fuente: Elaboración propia, con base en el Marco Geoestadístico 2010 de INEGI.</w:t>
      </w:r>
    </w:p>
    <w:p>
      <w:pPr>
        <w:pStyle w:val="BodyText"/>
        <w:spacing w:before="2"/>
        <w:rPr>
          <w:sz w:val="19"/>
        </w:rPr>
      </w:pPr>
    </w:p>
    <w:p>
      <w:pPr>
        <w:pStyle w:val="Heading2"/>
        <w:ind w:left="307"/>
        <w:rPr>
          <w:i/>
        </w:rPr>
      </w:pPr>
      <w:r>
        <w:rPr>
          <w:i/>
        </w:rPr>
        <w:t>Caracterización socioeconómica</w:t>
      </w:r>
    </w:p>
    <w:p>
      <w:pPr>
        <w:pStyle w:val="BodyText"/>
        <w:rPr>
          <w:b/>
          <w:i/>
          <w:sz w:val="21"/>
        </w:rPr>
      </w:pPr>
    </w:p>
    <w:p>
      <w:pPr>
        <w:pStyle w:val="BodyText"/>
        <w:spacing w:line="249" w:lineRule="auto"/>
        <w:ind w:left="137" w:right="128" w:firstLine="170"/>
        <w:jc w:val="both"/>
      </w:pPr>
      <w:r>
        <w:rPr/>
        <w:t>Se realizó la caracterización social y económica por localidad con la finalidad de hacer un análisis comparativo sobre su población, nivel económico y de educación que presenta la zona tomando en cuenta datos del Censo de Población y Vivienda 2010. Esto permitió establecer las relaciones que hay entre las condiciones socioeconómicas y el huerto, para valorar el grado de importancia que les representa a las familias el contar</w:t>
      </w:r>
      <w:r>
        <w:rPr>
          <w:spacing w:val="-6"/>
        </w:rPr>
        <w:t> </w:t>
      </w:r>
      <w:r>
        <w:rPr/>
        <w:t>con</w:t>
      </w:r>
      <w:r>
        <w:rPr>
          <w:spacing w:val="-6"/>
        </w:rPr>
        <w:t> </w:t>
      </w:r>
      <w:r>
        <w:rPr/>
        <w:t>un</w:t>
      </w:r>
      <w:r>
        <w:rPr>
          <w:spacing w:val="-6"/>
        </w:rPr>
        <w:t> </w:t>
      </w:r>
      <w:r>
        <w:rPr/>
        <w:t>Agroecosistema</w:t>
      </w:r>
      <w:r>
        <w:rPr>
          <w:spacing w:val="-6"/>
        </w:rPr>
        <w:t> </w:t>
      </w:r>
      <w:r>
        <w:rPr/>
        <w:t>con</w:t>
      </w:r>
      <w:r>
        <w:rPr>
          <w:spacing w:val="-6"/>
        </w:rPr>
        <w:t> </w:t>
      </w:r>
      <w:r>
        <w:rPr/>
        <w:t>Huerto</w:t>
      </w:r>
      <w:r>
        <w:rPr>
          <w:spacing w:val="-6"/>
        </w:rPr>
        <w:t> </w:t>
      </w:r>
      <w:r>
        <w:rPr/>
        <w:t>Familiar</w:t>
      </w:r>
      <w:r>
        <w:rPr>
          <w:spacing w:val="-6"/>
        </w:rPr>
        <w:t> </w:t>
      </w:r>
      <w:r>
        <w:rPr/>
        <w:t>(AEHF).</w:t>
      </w:r>
      <w:r>
        <w:rPr>
          <w:spacing w:val="-6"/>
        </w:rPr>
        <w:t> </w:t>
      </w:r>
      <w:r>
        <w:rPr/>
        <w:t>Para</w:t>
      </w:r>
      <w:r>
        <w:rPr>
          <w:spacing w:val="-6"/>
        </w:rPr>
        <w:t> </w:t>
      </w:r>
      <w:r>
        <w:rPr/>
        <w:t>evaluar</w:t>
      </w:r>
      <w:r>
        <w:rPr>
          <w:spacing w:val="-6"/>
        </w:rPr>
        <w:t> </w:t>
      </w:r>
      <w:r>
        <w:rPr/>
        <w:t>la</w:t>
      </w:r>
      <w:r>
        <w:rPr>
          <w:spacing w:val="-6"/>
        </w:rPr>
        <w:t> </w:t>
      </w:r>
      <w:r>
        <w:rPr/>
        <w:t>importancia de</w:t>
      </w:r>
      <w:r>
        <w:rPr>
          <w:spacing w:val="-13"/>
        </w:rPr>
        <w:t> </w:t>
      </w:r>
      <w:r>
        <w:rPr/>
        <w:t>los</w:t>
      </w:r>
      <w:r>
        <w:rPr>
          <w:spacing w:val="-13"/>
        </w:rPr>
        <w:t> </w:t>
      </w:r>
      <w:r>
        <w:rPr/>
        <w:t>AEHF,</w:t>
      </w:r>
      <w:r>
        <w:rPr>
          <w:spacing w:val="-13"/>
        </w:rPr>
        <w:t> </w:t>
      </w:r>
      <w:r>
        <w:rPr/>
        <w:t>se</w:t>
      </w:r>
      <w:r>
        <w:rPr>
          <w:spacing w:val="-13"/>
        </w:rPr>
        <w:t> </w:t>
      </w:r>
      <w:r>
        <w:rPr/>
        <w:t>llevaron</w:t>
      </w:r>
      <w:r>
        <w:rPr>
          <w:spacing w:val="-13"/>
        </w:rPr>
        <w:t> </w:t>
      </w:r>
      <w:r>
        <w:rPr/>
        <w:t>a</w:t>
      </w:r>
      <w:r>
        <w:rPr>
          <w:spacing w:val="-13"/>
        </w:rPr>
        <w:t> </w:t>
      </w:r>
      <w:r>
        <w:rPr/>
        <w:t>cabo</w:t>
      </w:r>
      <w:r>
        <w:rPr>
          <w:spacing w:val="-13"/>
        </w:rPr>
        <w:t> </w:t>
      </w:r>
      <w:r>
        <w:rPr/>
        <w:t>entrevistas</w:t>
      </w:r>
      <w:r>
        <w:rPr>
          <w:spacing w:val="-13"/>
        </w:rPr>
        <w:t> </w:t>
      </w:r>
      <w:r>
        <w:rPr/>
        <w:t>estructuradas</w:t>
      </w:r>
      <w:r>
        <w:rPr>
          <w:spacing w:val="-13"/>
        </w:rPr>
        <w:t> </w:t>
      </w:r>
      <w:r>
        <w:rPr/>
        <w:t>a</w:t>
      </w:r>
      <w:r>
        <w:rPr>
          <w:spacing w:val="-13"/>
        </w:rPr>
        <w:t> </w:t>
      </w:r>
      <w:r>
        <w:rPr/>
        <w:t>los</w:t>
      </w:r>
      <w:r>
        <w:rPr>
          <w:spacing w:val="-13"/>
        </w:rPr>
        <w:t> </w:t>
      </w:r>
      <w:r>
        <w:rPr/>
        <w:t>miembros</w:t>
      </w:r>
      <w:r>
        <w:rPr>
          <w:spacing w:val="-13"/>
        </w:rPr>
        <w:t> </w:t>
      </w:r>
      <w:r>
        <w:rPr/>
        <w:t>de</w:t>
      </w:r>
      <w:r>
        <w:rPr>
          <w:spacing w:val="-13"/>
        </w:rPr>
        <w:t> </w:t>
      </w:r>
      <w:r>
        <w:rPr/>
        <w:t>las</w:t>
      </w:r>
      <w:r>
        <w:rPr>
          <w:spacing w:val="-13"/>
        </w:rPr>
        <w:t> </w:t>
      </w:r>
      <w:r>
        <w:rPr/>
        <w:t>familias que se encargan del cuidado de los huertos familiares, con el objetivo de precisar la relevancia de los huertos como una alternativa agroforestal para obtener beneficios ambientales, sociales y</w:t>
      </w:r>
      <w:r>
        <w:rPr>
          <w:spacing w:val="32"/>
        </w:rPr>
        <w:t> </w:t>
      </w:r>
      <w:r>
        <w:rPr/>
        <w:t>económicos.</w:t>
      </w:r>
    </w:p>
    <w:p>
      <w:pPr>
        <w:pStyle w:val="BodyText"/>
        <w:spacing w:before="8"/>
        <w:rPr>
          <w:sz w:val="17"/>
        </w:rPr>
      </w:pPr>
    </w:p>
    <w:p>
      <w:pPr>
        <w:pStyle w:val="Heading1"/>
        <w:ind w:left="307"/>
      </w:pPr>
      <w:r>
        <w:rPr/>
        <w:t>Análisis de la Problemática</w:t>
      </w:r>
    </w:p>
    <w:p>
      <w:pPr>
        <w:pStyle w:val="BodyText"/>
        <w:rPr>
          <w:b/>
          <w:sz w:val="21"/>
        </w:rPr>
      </w:pPr>
    </w:p>
    <w:p>
      <w:pPr>
        <w:pStyle w:val="BodyText"/>
        <w:spacing w:line="249" w:lineRule="auto"/>
        <w:ind w:left="137" w:right="129" w:firstLine="170"/>
        <w:jc w:val="both"/>
      </w:pPr>
      <w:r>
        <w:rPr/>
        <w:t>Mediante el Análisis FODA y el Análisis bajo el Enfoque del Marco Lógico (EML),    se elaborará un diagnóstico de los huertos familiares, que permita identificar las potencialidades que presentan los AEHF, como una forma para mejorar la seguridad alimentaria, la conservación de los recursos naturales, la integración familiar y la cohesión</w:t>
      </w:r>
      <w:r>
        <w:rPr>
          <w:spacing w:val="17"/>
        </w:rPr>
        <w:t> </w:t>
      </w:r>
      <w:r>
        <w:rPr/>
        <w:t>social.</w:t>
      </w:r>
    </w:p>
    <w:p>
      <w:pPr>
        <w:spacing w:after="0" w:line="249" w:lineRule="auto"/>
        <w:jc w:val="both"/>
        <w:sectPr>
          <w:type w:val="continuous"/>
          <w:pgSz w:w="18830" w:h="12760" w:orient="landscape"/>
          <w:pgMar w:top="1420" w:bottom="280" w:left="720" w:right="720"/>
          <w:cols w:num="2" w:equalWidth="0">
            <w:col w:w="7849" w:space="1554"/>
            <w:col w:w="7987"/>
          </w:cols>
        </w:sectPr>
      </w:pPr>
    </w:p>
    <w:p>
      <w:pPr>
        <w:pStyle w:val="BodyText"/>
        <w:spacing w:before="8"/>
      </w:pPr>
    </w:p>
    <w:p>
      <w:pPr>
        <w:spacing w:after="0"/>
        <w:sectPr>
          <w:footerReference w:type="default" r:id="rId209"/>
          <w:pgSz w:w="18830" w:h="12760" w:orient="landscape"/>
          <w:pgMar w:footer="1036" w:header="522" w:top="820" w:bottom="1220" w:left="720" w:right="680"/>
        </w:sectPr>
      </w:pPr>
    </w:p>
    <w:p>
      <w:pPr>
        <w:pStyle w:val="Heading2"/>
        <w:spacing w:line="240" w:lineRule="exact" w:before="104"/>
        <w:ind w:right="-7"/>
      </w:pPr>
      <w:r>
        <w:rPr>
          <w:i/>
        </w:rPr>
        <w:t>Propuesta para la Conservación, Restauración e Instalación de </w:t>
      </w:r>
      <w:r>
        <w:rPr/>
        <w:t>AEHF</w:t>
      </w:r>
    </w:p>
    <w:p>
      <w:pPr>
        <w:pStyle w:val="BodyText"/>
        <w:spacing w:before="2"/>
        <w:rPr>
          <w:b/>
          <w:i/>
          <w:sz w:val="21"/>
        </w:rPr>
      </w:pPr>
    </w:p>
    <w:p>
      <w:pPr>
        <w:pStyle w:val="BodyText"/>
        <w:spacing w:line="249" w:lineRule="auto" w:before="1"/>
        <w:ind w:left="130" w:firstLine="170"/>
        <w:jc w:val="both"/>
      </w:pPr>
      <w:r>
        <w:rPr/>
        <w:t>Tomando como base el diagnóstico, generado a partir de estos dos análisis (FODA  y EML), se elaborará una propuesta para mejorar, conservar o mantener los huertos familiares existentes; así como también la planeación para quienes</w:t>
      </w:r>
      <w:r>
        <w:rPr>
          <w:spacing w:val="9"/>
        </w:rPr>
        <w:t> </w:t>
      </w:r>
      <w:r>
        <w:rPr/>
        <w:t>deseen</w:t>
      </w:r>
      <w:r>
        <w:rPr>
          <w:spacing w:val="7"/>
        </w:rPr>
        <w:t> </w:t>
      </w:r>
      <w:r>
        <w:rPr/>
        <w:t>establecer</w:t>
      </w:r>
      <w:r>
        <w:rPr>
          <w:w w:val="100"/>
        </w:rPr>
        <w:t> </w:t>
      </w:r>
      <w:r>
        <w:rPr/>
        <w:t>nuevos huertos familiares, incluyendo las mejores prácticas y técnicas adecuadas    que sean factibles para que las familias realicen en sus agroecosistemas con huertos familiares.</w:t>
      </w:r>
    </w:p>
    <w:p>
      <w:pPr>
        <w:pStyle w:val="BodyText"/>
        <w:spacing w:before="8"/>
        <w:rPr>
          <w:sz w:val="17"/>
        </w:rPr>
      </w:pPr>
    </w:p>
    <w:p>
      <w:pPr>
        <w:pStyle w:val="Heading1"/>
        <w:ind w:right="-7"/>
      </w:pPr>
      <w:r>
        <w:rPr/>
        <w:t>Resultados y discusión</w:t>
      </w:r>
    </w:p>
    <w:p>
      <w:pPr>
        <w:pStyle w:val="BodyText"/>
        <w:spacing w:before="7"/>
        <w:rPr>
          <w:b/>
        </w:rPr>
      </w:pPr>
    </w:p>
    <w:p>
      <w:pPr>
        <w:spacing w:line="240" w:lineRule="exact" w:before="0"/>
        <w:ind w:left="300" w:right="-12" w:firstLine="0"/>
        <w:jc w:val="left"/>
        <w:rPr>
          <w:b/>
          <w:sz w:val="24"/>
        </w:rPr>
      </w:pPr>
      <w:r>
        <w:rPr>
          <w:b/>
          <w:sz w:val="24"/>
        </w:rPr>
        <w:t>Caracterización geográfica de la región con los municipios de</w:t>
      </w:r>
      <w:r>
        <w:rPr>
          <w:b/>
          <w:spacing w:val="-15"/>
          <w:sz w:val="24"/>
        </w:rPr>
        <w:t> </w:t>
      </w:r>
      <w:r>
        <w:rPr>
          <w:b/>
          <w:sz w:val="24"/>
        </w:rPr>
        <w:t>Ma- linalco, Tenancingo y Villa</w:t>
      </w:r>
      <w:r>
        <w:rPr>
          <w:b/>
          <w:spacing w:val="-43"/>
          <w:sz w:val="24"/>
        </w:rPr>
        <w:t> </w:t>
      </w:r>
      <w:r>
        <w:rPr>
          <w:b/>
          <w:sz w:val="24"/>
        </w:rPr>
        <w:t>Guerrero.</w:t>
      </w:r>
    </w:p>
    <w:p>
      <w:pPr>
        <w:spacing w:before="207"/>
        <w:ind w:left="300" w:right="-7" w:firstLine="0"/>
        <w:jc w:val="left"/>
        <w:rPr>
          <w:b/>
          <w:sz w:val="24"/>
        </w:rPr>
      </w:pPr>
      <w:r>
        <w:rPr>
          <w:b/>
          <w:sz w:val="24"/>
        </w:rPr>
        <w:t>Localización Regional</w:t>
      </w:r>
    </w:p>
    <w:p>
      <w:pPr>
        <w:pStyle w:val="BodyText"/>
        <w:rPr>
          <w:b/>
          <w:sz w:val="21"/>
        </w:rPr>
      </w:pPr>
    </w:p>
    <w:p>
      <w:pPr>
        <w:pStyle w:val="BodyText"/>
        <w:spacing w:line="249" w:lineRule="auto"/>
        <w:ind w:left="130" w:firstLine="170"/>
        <w:jc w:val="both"/>
      </w:pPr>
      <w:r>
        <w:rPr/>
        <w:t>A continuación se describe el área de estudio, sus características principales de localización, clima, edafología y geología, vegetación, fauna y</w:t>
      </w:r>
      <w:r>
        <w:rPr>
          <w:spacing w:val="51"/>
        </w:rPr>
        <w:t> </w:t>
      </w:r>
      <w:r>
        <w:rPr/>
        <w:t>socioeconómicas.</w:t>
      </w:r>
    </w:p>
    <w:p>
      <w:pPr>
        <w:pStyle w:val="BodyText"/>
        <w:spacing w:before="11"/>
      </w:pPr>
    </w:p>
    <w:p>
      <w:pPr>
        <w:pStyle w:val="BodyText"/>
        <w:spacing w:line="249" w:lineRule="auto"/>
        <w:ind w:left="130" w:firstLine="170"/>
        <w:jc w:val="both"/>
      </w:pPr>
      <w:r>
        <w:rPr/>
        <w:t>Como se mencionó anteriormente, el estudio se llevará a cabo al sureste del Estado de México, en los municipios de Malinalco, Tenancingo y Villa Guerrero, se localizan en el paralelo 18º 48’ 58” al 19º 57’ 07’’ de latitud norte y a los 99º 38’ 37” 98º 35’ 45” de longitud oeste. Con una superficie territorial aproximada de 614.19 Km</w:t>
      </w:r>
      <w:r>
        <w:rPr>
          <w:position w:val="7"/>
          <w:sz w:val="11"/>
        </w:rPr>
        <w:t>2</w:t>
      </w:r>
      <w:r>
        <w:rPr/>
        <w:t>. Presenta diferentes niveles de altitud, la parte más baja se presenta en el municipio de</w:t>
      </w:r>
      <w:r>
        <w:rPr>
          <w:spacing w:val="-33"/>
        </w:rPr>
        <w:t> </w:t>
      </w:r>
      <w:r>
        <w:rPr/>
        <w:t>Malinalco con</w:t>
      </w:r>
      <w:r>
        <w:rPr>
          <w:spacing w:val="18"/>
        </w:rPr>
        <w:t> </w:t>
      </w:r>
      <w:r>
        <w:rPr/>
        <w:t>1,580</w:t>
      </w:r>
      <w:r>
        <w:rPr>
          <w:spacing w:val="18"/>
        </w:rPr>
        <w:t> </w:t>
      </w:r>
      <w:r>
        <w:rPr/>
        <w:t>msnm,</w:t>
      </w:r>
      <w:r>
        <w:rPr>
          <w:spacing w:val="18"/>
        </w:rPr>
        <w:t> </w:t>
      </w:r>
      <w:r>
        <w:rPr/>
        <w:t>mientras</w:t>
      </w:r>
      <w:r>
        <w:rPr>
          <w:spacing w:val="18"/>
        </w:rPr>
        <w:t> </w:t>
      </w:r>
      <w:r>
        <w:rPr/>
        <w:t>que</w:t>
      </w:r>
      <w:r>
        <w:rPr>
          <w:spacing w:val="18"/>
        </w:rPr>
        <w:t> </w:t>
      </w:r>
      <w:r>
        <w:rPr/>
        <w:t>la</w:t>
      </w:r>
      <w:r>
        <w:rPr>
          <w:spacing w:val="18"/>
        </w:rPr>
        <w:t> </w:t>
      </w:r>
      <w:r>
        <w:rPr/>
        <w:t>parte</w:t>
      </w:r>
      <w:r>
        <w:rPr>
          <w:spacing w:val="18"/>
        </w:rPr>
        <w:t> </w:t>
      </w:r>
      <w:r>
        <w:rPr/>
        <w:t>más</w:t>
      </w:r>
      <w:r>
        <w:rPr>
          <w:spacing w:val="18"/>
        </w:rPr>
        <w:t> </w:t>
      </w:r>
      <w:r>
        <w:rPr/>
        <w:t>alta</w:t>
      </w:r>
      <w:r>
        <w:rPr>
          <w:spacing w:val="18"/>
        </w:rPr>
        <w:t> </w:t>
      </w:r>
      <w:r>
        <w:rPr/>
        <w:t>en</w:t>
      </w:r>
      <w:r>
        <w:rPr>
          <w:spacing w:val="18"/>
        </w:rPr>
        <w:t> </w:t>
      </w:r>
      <w:r>
        <w:rPr/>
        <w:t>Villa</w:t>
      </w:r>
      <w:r>
        <w:rPr>
          <w:spacing w:val="18"/>
        </w:rPr>
        <w:t> </w:t>
      </w:r>
      <w:r>
        <w:rPr/>
        <w:t>Guerrero</w:t>
      </w:r>
      <w:r>
        <w:rPr>
          <w:spacing w:val="18"/>
        </w:rPr>
        <w:t> </w:t>
      </w:r>
      <w:r>
        <w:rPr/>
        <w:t>con</w:t>
      </w:r>
      <w:r>
        <w:rPr>
          <w:spacing w:val="18"/>
        </w:rPr>
        <w:t> </w:t>
      </w:r>
      <w:r>
        <w:rPr/>
        <w:t>3,760</w:t>
      </w:r>
      <w:r>
        <w:rPr>
          <w:spacing w:val="18"/>
        </w:rPr>
        <w:t> </w:t>
      </w:r>
      <w:r>
        <w:rPr/>
        <w:t>metros</w:t>
      </w:r>
      <w:r>
        <w:rPr>
          <w:w w:val="101"/>
        </w:rPr>
        <w:t> </w:t>
      </w:r>
      <w:r>
        <w:rPr/>
        <w:t>sobre el nivel del</w:t>
      </w:r>
      <w:r>
        <w:rPr>
          <w:spacing w:val="3"/>
        </w:rPr>
        <w:t> </w:t>
      </w:r>
      <w:r>
        <w:rPr/>
        <w:t>mar.</w:t>
      </w:r>
    </w:p>
    <w:p>
      <w:pPr>
        <w:pStyle w:val="BodyText"/>
        <w:spacing w:before="11"/>
      </w:pPr>
    </w:p>
    <w:p>
      <w:pPr>
        <w:pStyle w:val="BodyText"/>
        <w:spacing w:line="249" w:lineRule="auto"/>
        <w:ind w:left="130" w:right="1" w:firstLine="170"/>
        <w:jc w:val="both"/>
      </w:pPr>
      <w:r>
        <w:rPr/>
        <w:t>Sus</w:t>
      </w:r>
      <w:r>
        <w:rPr>
          <w:spacing w:val="-22"/>
        </w:rPr>
        <w:t> </w:t>
      </w:r>
      <w:r>
        <w:rPr/>
        <w:t>límites</w:t>
      </w:r>
      <w:r>
        <w:rPr>
          <w:spacing w:val="-22"/>
        </w:rPr>
        <w:t> </w:t>
      </w:r>
      <w:r>
        <w:rPr/>
        <w:t>son</w:t>
      </w:r>
      <w:r>
        <w:rPr>
          <w:spacing w:val="-22"/>
        </w:rPr>
        <w:t> </w:t>
      </w:r>
      <w:r>
        <w:rPr/>
        <w:t>los</w:t>
      </w:r>
      <w:r>
        <w:rPr>
          <w:spacing w:val="-22"/>
        </w:rPr>
        <w:t> </w:t>
      </w:r>
      <w:r>
        <w:rPr/>
        <w:t>siguientes:</w:t>
      </w:r>
      <w:r>
        <w:rPr>
          <w:spacing w:val="-22"/>
        </w:rPr>
        <w:t> </w:t>
      </w:r>
      <w:r>
        <w:rPr/>
        <w:t>al</w:t>
      </w:r>
      <w:r>
        <w:rPr>
          <w:spacing w:val="-22"/>
        </w:rPr>
        <w:t> </w:t>
      </w:r>
      <w:r>
        <w:rPr/>
        <w:t>Norte</w:t>
      </w:r>
      <w:r>
        <w:rPr>
          <w:spacing w:val="-22"/>
        </w:rPr>
        <w:t> </w:t>
      </w:r>
      <w:r>
        <w:rPr/>
        <w:t>con</w:t>
      </w:r>
      <w:r>
        <w:rPr>
          <w:spacing w:val="-22"/>
        </w:rPr>
        <w:t> </w:t>
      </w:r>
      <w:r>
        <w:rPr/>
        <w:t>los</w:t>
      </w:r>
      <w:r>
        <w:rPr>
          <w:spacing w:val="-22"/>
        </w:rPr>
        <w:t> </w:t>
      </w:r>
      <w:r>
        <w:rPr/>
        <w:t>municipios</w:t>
      </w:r>
      <w:r>
        <w:rPr>
          <w:spacing w:val="-22"/>
        </w:rPr>
        <w:t> </w:t>
      </w:r>
      <w:r>
        <w:rPr/>
        <w:t>de</w:t>
      </w:r>
      <w:r>
        <w:rPr>
          <w:spacing w:val="-22"/>
        </w:rPr>
        <w:t> </w:t>
      </w:r>
      <w:r>
        <w:rPr/>
        <w:t>Toluca,</w:t>
      </w:r>
      <w:r>
        <w:rPr>
          <w:spacing w:val="-22"/>
        </w:rPr>
        <w:t> </w:t>
      </w:r>
      <w:r>
        <w:rPr/>
        <w:t>Tenango</w:t>
      </w:r>
      <w:r>
        <w:rPr>
          <w:spacing w:val="-22"/>
        </w:rPr>
        <w:t> </w:t>
      </w:r>
      <w:r>
        <w:rPr/>
        <w:t>del</w:t>
      </w:r>
      <w:r>
        <w:rPr>
          <w:spacing w:val="-22"/>
        </w:rPr>
        <w:t> </w:t>
      </w:r>
      <w:r>
        <w:rPr/>
        <w:t>Valle, Joquicingo</w:t>
      </w:r>
      <w:r>
        <w:rPr>
          <w:spacing w:val="-7"/>
        </w:rPr>
        <w:t> </w:t>
      </w:r>
      <w:r>
        <w:rPr/>
        <w:t>y</w:t>
      </w:r>
      <w:r>
        <w:rPr>
          <w:spacing w:val="-7"/>
        </w:rPr>
        <w:t> </w:t>
      </w:r>
      <w:r>
        <w:rPr/>
        <w:t>Ocuilan;</w:t>
      </w:r>
      <w:r>
        <w:rPr>
          <w:spacing w:val="-7"/>
        </w:rPr>
        <w:t> </w:t>
      </w:r>
      <w:r>
        <w:rPr/>
        <w:t>al</w:t>
      </w:r>
      <w:r>
        <w:rPr>
          <w:spacing w:val="-7"/>
        </w:rPr>
        <w:t> </w:t>
      </w:r>
      <w:r>
        <w:rPr/>
        <w:t>Sur</w:t>
      </w:r>
      <w:r>
        <w:rPr>
          <w:spacing w:val="-7"/>
        </w:rPr>
        <w:t> </w:t>
      </w:r>
      <w:r>
        <w:rPr/>
        <w:t>con</w:t>
      </w:r>
      <w:r>
        <w:rPr>
          <w:spacing w:val="-7"/>
        </w:rPr>
        <w:t> </w:t>
      </w:r>
      <w:r>
        <w:rPr/>
        <w:t>los</w:t>
      </w:r>
      <w:r>
        <w:rPr>
          <w:spacing w:val="-7"/>
        </w:rPr>
        <w:t> </w:t>
      </w:r>
      <w:r>
        <w:rPr/>
        <w:t>municipios</w:t>
      </w:r>
      <w:r>
        <w:rPr>
          <w:spacing w:val="-7"/>
        </w:rPr>
        <w:t> </w:t>
      </w:r>
      <w:r>
        <w:rPr/>
        <w:t>de</w:t>
      </w:r>
      <w:r>
        <w:rPr>
          <w:spacing w:val="-7"/>
        </w:rPr>
        <w:t> </w:t>
      </w:r>
      <w:r>
        <w:rPr/>
        <w:t>Ixtapan</w:t>
      </w:r>
      <w:r>
        <w:rPr>
          <w:spacing w:val="-7"/>
        </w:rPr>
        <w:t> </w:t>
      </w:r>
      <w:r>
        <w:rPr/>
        <w:t>de</w:t>
      </w:r>
      <w:r>
        <w:rPr>
          <w:spacing w:val="-7"/>
        </w:rPr>
        <w:t> </w:t>
      </w:r>
      <w:r>
        <w:rPr/>
        <w:t>la</w:t>
      </w:r>
      <w:r>
        <w:rPr>
          <w:spacing w:val="-7"/>
        </w:rPr>
        <w:t> </w:t>
      </w:r>
      <w:r>
        <w:rPr/>
        <w:t>Sal,</w:t>
      </w:r>
      <w:r>
        <w:rPr>
          <w:spacing w:val="-7"/>
        </w:rPr>
        <w:t> </w:t>
      </w:r>
      <w:r>
        <w:rPr/>
        <w:t>Zumpahuacán,</w:t>
      </w:r>
      <w:r>
        <w:rPr>
          <w:spacing w:val="-7"/>
        </w:rPr>
        <w:t> </w:t>
      </w:r>
      <w:r>
        <w:rPr/>
        <w:t>y</w:t>
      </w:r>
      <w:r>
        <w:rPr>
          <w:spacing w:val="-7"/>
        </w:rPr>
        <w:t> </w:t>
      </w:r>
      <w:r>
        <w:rPr/>
        <w:t>el Estado</w:t>
      </w:r>
      <w:r>
        <w:rPr>
          <w:spacing w:val="-9"/>
        </w:rPr>
        <w:t> </w:t>
      </w:r>
      <w:r>
        <w:rPr/>
        <w:t>de</w:t>
      </w:r>
      <w:r>
        <w:rPr>
          <w:spacing w:val="-9"/>
        </w:rPr>
        <w:t> </w:t>
      </w:r>
      <w:r>
        <w:rPr/>
        <w:t>Morelos;</w:t>
      </w:r>
      <w:r>
        <w:rPr>
          <w:spacing w:val="-9"/>
        </w:rPr>
        <w:t> </w:t>
      </w:r>
      <w:r>
        <w:rPr/>
        <w:t>al</w:t>
      </w:r>
      <w:r>
        <w:rPr>
          <w:spacing w:val="-9"/>
        </w:rPr>
        <w:t> </w:t>
      </w:r>
      <w:r>
        <w:rPr/>
        <w:t>Este</w:t>
      </w:r>
      <w:r>
        <w:rPr>
          <w:spacing w:val="-9"/>
        </w:rPr>
        <w:t> </w:t>
      </w:r>
      <w:r>
        <w:rPr/>
        <w:t>con</w:t>
      </w:r>
      <w:r>
        <w:rPr>
          <w:spacing w:val="-9"/>
        </w:rPr>
        <w:t> </w:t>
      </w:r>
      <w:r>
        <w:rPr/>
        <w:t>el</w:t>
      </w:r>
      <w:r>
        <w:rPr>
          <w:spacing w:val="-9"/>
        </w:rPr>
        <w:t> </w:t>
      </w:r>
      <w:r>
        <w:rPr/>
        <w:t>municipio</w:t>
      </w:r>
      <w:r>
        <w:rPr>
          <w:spacing w:val="-9"/>
        </w:rPr>
        <w:t> </w:t>
      </w:r>
      <w:r>
        <w:rPr/>
        <w:t>de</w:t>
      </w:r>
      <w:r>
        <w:rPr>
          <w:spacing w:val="-9"/>
        </w:rPr>
        <w:t> </w:t>
      </w:r>
      <w:r>
        <w:rPr/>
        <w:t>Ocuilan</w:t>
      </w:r>
      <w:r>
        <w:rPr>
          <w:spacing w:val="-9"/>
        </w:rPr>
        <w:t> </w:t>
      </w:r>
      <w:r>
        <w:rPr/>
        <w:t>y</w:t>
      </w:r>
      <w:r>
        <w:rPr>
          <w:spacing w:val="-9"/>
        </w:rPr>
        <w:t> </w:t>
      </w:r>
      <w:r>
        <w:rPr/>
        <w:t>el</w:t>
      </w:r>
      <w:r>
        <w:rPr>
          <w:spacing w:val="-9"/>
        </w:rPr>
        <w:t> </w:t>
      </w:r>
      <w:r>
        <w:rPr/>
        <w:t>Estado</w:t>
      </w:r>
      <w:r>
        <w:rPr>
          <w:spacing w:val="-9"/>
        </w:rPr>
        <w:t> </w:t>
      </w:r>
      <w:r>
        <w:rPr/>
        <w:t>de</w:t>
      </w:r>
      <w:r>
        <w:rPr>
          <w:spacing w:val="-9"/>
        </w:rPr>
        <w:t> </w:t>
      </w:r>
      <w:r>
        <w:rPr/>
        <w:t>Morelos;</w:t>
      </w:r>
      <w:r>
        <w:rPr>
          <w:spacing w:val="-9"/>
        </w:rPr>
        <w:t> </w:t>
      </w:r>
      <w:r>
        <w:rPr/>
        <w:t>al</w:t>
      </w:r>
      <w:r>
        <w:rPr>
          <w:spacing w:val="-9"/>
        </w:rPr>
        <w:t> </w:t>
      </w:r>
      <w:r>
        <w:rPr/>
        <w:t>Oeste con el municipio de Coatepec Harinas (Mapa</w:t>
      </w:r>
      <w:r>
        <w:rPr>
          <w:spacing w:val="16"/>
        </w:rPr>
        <w:t> </w:t>
      </w:r>
      <w:r>
        <w:rPr/>
        <w:t>2).</w:t>
      </w:r>
    </w:p>
    <w:p>
      <w:pPr>
        <w:pStyle w:val="BodyText"/>
        <w:spacing w:before="8"/>
        <w:rPr>
          <w:sz w:val="17"/>
        </w:rPr>
      </w:pPr>
    </w:p>
    <w:p>
      <w:pPr>
        <w:pStyle w:val="Heading1"/>
        <w:ind w:right="-7"/>
      </w:pPr>
      <w:r>
        <w:rPr/>
        <w:t>Clima Regional</w:t>
      </w:r>
    </w:p>
    <w:p>
      <w:pPr>
        <w:pStyle w:val="BodyText"/>
        <w:rPr>
          <w:b/>
          <w:sz w:val="21"/>
        </w:rPr>
      </w:pPr>
    </w:p>
    <w:p>
      <w:pPr>
        <w:pStyle w:val="BodyText"/>
        <w:spacing w:line="249" w:lineRule="auto"/>
        <w:ind w:left="130" w:firstLine="170"/>
        <w:jc w:val="both"/>
      </w:pPr>
      <w:r>
        <w:rPr/>
        <w:t>De acuerdo con la clasificación de Köppen, modificada por Enriqueta García, el</w:t>
      </w:r>
      <w:r>
        <w:rPr>
          <w:spacing w:val="-27"/>
        </w:rPr>
        <w:t> </w:t>
      </w:r>
      <w:r>
        <w:rPr/>
        <w:t>clima predominante es semicálido, subhúmedo con lluvias en verano, con una temperatura media</w:t>
      </w:r>
      <w:r>
        <w:rPr>
          <w:spacing w:val="-21"/>
        </w:rPr>
        <w:t> </w:t>
      </w:r>
      <w:r>
        <w:rPr/>
        <w:t>anual</w:t>
      </w:r>
      <w:r>
        <w:rPr>
          <w:spacing w:val="-21"/>
        </w:rPr>
        <w:t> </w:t>
      </w:r>
      <w:r>
        <w:rPr/>
        <w:t>de</w:t>
      </w:r>
      <w:r>
        <w:rPr>
          <w:spacing w:val="-21"/>
        </w:rPr>
        <w:t> </w:t>
      </w:r>
      <w:r>
        <w:rPr/>
        <w:t>18.5°C,</w:t>
      </w:r>
      <w:r>
        <w:rPr>
          <w:spacing w:val="-21"/>
        </w:rPr>
        <w:t> </w:t>
      </w:r>
      <w:r>
        <w:rPr/>
        <w:t>con</w:t>
      </w:r>
      <w:r>
        <w:rPr>
          <w:spacing w:val="-21"/>
        </w:rPr>
        <w:t> </w:t>
      </w:r>
      <w:r>
        <w:rPr/>
        <w:t>una</w:t>
      </w:r>
      <w:r>
        <w:rPr>
          <w:spacing w:val="-21"/>
        </w:rPr>
        <w:t> </w:t>
      </w:r>
      <w:r>
        <w:rPr/>
        <w:t>máxima</w:t>
      </w:r>
      <w:r>
        <w:rPr>
          <w:spacing w:val="-21"/>
        </w:rPr>
        <w:t> </w:t>
      </w:r>
      <w:r>
        <w:rPr/>
        <w:t>de</w:t>
      </w:r>
      <w:r>
        <w:rPr>
          <w:spacing w:val="-21"/>
        </w:rPr>
        <w:t> </w:t>
      </w:r>
      <w:r>
        <w:rPr/>
        <w:t>35.5°C</w:t>
      </w:r>
      <w:r>
        <w:rPr>
          <w:spacing w:val="-21"/>
        </w:rPr>
        <w:t> </w:t>
      </w:r>
      <w:r>
        <w:rPr/>
        <w:t>y</w:t>
      </w:r>
      <w:r>
        <w:rPr>
          <w:spacing w:val="-21"/>
        </w:rPr>
        <w:t> </w:t>
      </w:r>
      <w:r>
        <w:rPr/>
        <w:t>una</w:t>
      </w:r>
      <w:r>
        <w:rPr>
          <w:spacing w:val="-21"/>
        </w:rPr>
        <w:t> </w:t>
      </w:r>
      <w:r>
        <w:rPr/>
        <w:t>mínima</w:t>
      </w:r>
      <w:r>
        <w:rPr>
          <w:spacing w:val="-21"/>
        </w:rPr>
        <w:t> </w:t>
      </w:r>
      <w:r>
        <w:rPr/>
        <w:t>de</w:t>
      </w:r>
      <w:r>
        <w:rPr>
          <w:spacing w:val="-21"/>
        </w:rPr>
        <w:t> </w:t>
      </w:r>
      <w:r>
        <w:rPr/>
        <w:t>16.5ºC,</w:t>
      </w:r>
      <w:r>
        <w:rPr>
          <w:spacing w:val="-21"/>
        </w:rPr>
        <w:t> </w:t>
      </w:r>
      <w:r>
        <w:rPr/>
        <w:t>presentando precipitación pluvial en promedio de 1,305 mm. al año (García, 1982). En el siguiente cuadro se presentan las altitudes máximas y mínimas de los municipios y los tipos de clima asociados a la</w:t>
      </w:r>
      <w:r>
        <w:rPr>
          <w:spacing w:val="32"/>
        </w:rPr>
        <w:t> </w:t>
      </w:r>
      <w:r>
        <w:rPr/>
        <w:t>altitud.</w:t>
      </w:r>
    </w:p>
    <w:p>
      <w:pPr>
        <w:pStyle w:val="BodyText"/>
        <w:spacing w:before="8"/>
        <w:rPr>
          <w:sz w:val="12"/>
        </w:rPr>
      </w:pPr>
      <w:r>
        <w:rPr/>
        <w:br w:type="column"/>
      </w:r>
      <w:r>
        <w:rPr>
          <w:sz w:val="12"/>
        </w:rPr>
      </w:r>
    </w:p>
    <w:p>
      <w:pPr>
        <w:spacing w:before="0"/>
        <w:ind w:left="280" w:right="261" w:firstLine="0"/>
        <w:jc w:val="center"/>
        <w:rPr>
          <w:sz w:val="16"/>
        </w:rPr>
      </w:pPr>
      <w:r>
        <w:rPr>
          <w:color w:val="6D6E71"/>
          <w:sz w:val="16"/>
        </w:rPr>
        <w:t>Cuadro 1. Principales características geográficas del área de estudio.</w:t>
      </w:r>
    </w:p>
    <w:p>
      <w:pPr>
        <w:pStyle w:val="BodyText"/>
        <w:spacing w:before="10"/>
        <w:rPr>
          <w:sz w:val="8"/>
        </w:rPr>
      </w:pPr>
    </w:p>
    <w:tbl>
      <w:tblPr>
        <w:tblW w:w="0" w:type="auto"/>
        <w:jc w:val="left"/>
        <w:tblInd w:w="189"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1744"/>
        <w:gridCol w:w="1740"/>
        <w:gridCol w:w="4216"/>
      </w:tblGrid>
      <w:tr>
        <w:trPr>
          <w:trHeight w:val="475" w:hRule="exact"/>
        </w:trPr>
        <w:tc>
          <w:tcPr>
            <w:tcW w:w="1744" w:type="dxa"/>
            <w:tcBorders>
              <w:top w:val="nil"/>
              <w:left w:val="nil"/>
              <w:bottom w:val="dotted" w:sz="4" w:space="0" w:color="FFFFFF"/>
              <w:right w:val="single" w:sz="4" w:space="0" w:color="FFFFFF"/>
            </w:tcBorders>
            <w:shd w:val="clear" w:color="auto" w:fill="929292"/>
          </w:tcPr>
          <w:p>
            <w:pPr>
              <w:pStyle w:val="TableParagraph"/>
              <w:spacing w:before="6"/>
              <w:rPr>
                <w:sz w:val="12"/>
              </w:rPr>
            </w:pPr>
          </w:p>
          <w:p>
            <w:pPr>
              <w:pStyle w:val="TableParagraph"/>
              <w:ind w:left="523"/>
              <w:rPr>
                <w:sz w:val="16"/>
              </w:rPr>
            </w:pPr>
            <w:r>
              <w:rPr>
                <w:w w:val="105"/>
                <w:sz w:val="16"/>
              </w:rPr>
              <w:t>Municipio</w:t>
            </w:r>
          </w:p>
        </w:tc>
        <w:tc>
          <w:tcPr>
            <w:tcW w:w="1740"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44"/>
              <w:ind w:left="245" w:right="176" w:firstLine="105"/>
              <w:rPr>
                <w:sz w:val="16"/>
              </w:rPr>
            </w:pPr>
            <w:r>
              <w:rPr>
                <w:w w:val="105"/>
                <w:sz w:val="16"/>
              </w:rPr>
              <w:t>Altitud (msnm) Máxima - Mínima</w:t>
            </w:r>
          </w:p>
        </w:tc>
        <w:tc>
          <w:tcPr>
            <w:tcW w:w="4216" w:type="dxa"/>
            <w:tcBorders>
              <w:top w:val="nil"/>
              <w:left w:val="single" w:sz="4" w:space="0" w:color="FFFFFF"/>
              <w:bottom w:val="dotted" w:sz="4" w:space="0" w:color="FFFFFF"/>
              <w:right w:val="nil"/>
            </w:tcBorders>
            <w:shd w:val="clear" w:color="auto" w:fill="929292"/>
          </w:tcPr>
          <w:p>
            <w:pPr>
              <w:pStyle w:val="TableParagraph"/>
              <w:spacing w:before="6"/>
              <w:rPr>
                <w:sz w:val="12"/>
              </w:rPr>
            </w:pPr>
          </w:p>
          <w:p>
            <w:pPr>
              <w:pStyle w:val="TableParagraph"/>
              <w:ind w:left="1608" w:right="1611"/>
              <w:jc w:val="center"/>
              <w:rPr>
                <w:sz w:val="16"/>
              </w:rPr>
            </w:pPr>
            <w:r>
              <w:rPr>
                <w:sz w:val="16"/>
              </w:rPr>
              <w:t>Tipo de clima</w:t>
            </w:r>
          </w:p>
        </w:tc>
      </w:tr>
      <w:tr>
        <w:trPr>
          <w:trHeight w:val="452" w:hRule="exact"/>
        </w:trPr>
        <w:tc>
          <w:tcPr>
            <w:tcW w:w="1744" w:type="dxa"/>
            <w:tcBorders>
              <w:top w:val="dotted" w:sz="4" w:space="0" w:color="FFFFFF"/>
              <w:left w:val="nil"/>
            </w:tcBorders>
          </w:tcPr>
          <w:p>
            <w:pPr>
              <w:pStyle w:val="TableParagraph"/>
              <w:spacing w:before="128"/>
              <w:ind w:left="107"/>
              <w:rPr>
                <w:sz w:val="16"/>
              </w:rPr>
            </w:pPr>
            <w:r>
              <w:rPr>
                <w:sz w:val="16"/>
              </w:rPr>
              <w:t>Malinalco</w:t>
            </w:r>
          </w:p>
        </w:tc>
        <w:tc>
          <w:tcPr>
            <w:tcW w:w="1740" w:type="dxa"/>
            <w:tcBorders>
              <w:top w:val="dotted" w:sz="4" w:space="0" w:color="FFFFFF"/>
            </w:tcBorders>
          </w:tcPr>
          <w:p>
            <w:pPr>
              <w:pStyle w:val="TableParagraph"/>
              <w:spacing w:before="128"/>
              <w:ind w:left="102" w:right="176"/>
              <w:rPr>
                <w:sz w:val="16"/>
              </w:rPr>
            </w:pPr>
            <w:r>
              <w:rPr>
                <w:sz w:val="16"/>
              </w:rPr>
              <w:t>2,600 – 1000</w:t>
            </w:r>
          </w:p>
        </w:tc>
        <w:tc>
          <w:tcPr>
            <w:tcW w:w="4216" w:type="dxa"/>
            <w:tcBorders>
              <w:top w:val="dotted" w:sz="4" w:space="0" w:color="FFFFFF"/>
              <w:right w:val="nil"/>
            </w:tcBorders>
          </w:tcPr>
          <w:p>
            <w:pPr>
              <w:pStyle w:val="TableParagraph"/>
              <w:spacing w:line="261" w:lineRule="auto" w:before="28"/>
              <w:ind w:left="102"/>
              <w:rPr>
                <w:sz w:val="16"/>
              </w:rPr>
            </w:pPr>
            <w:r>
              <w:rPr>
                <w:sz w:val="16"/>
              </w:rPr>
              <w:t>Semicálido Subhúmedo, cálido subhúmedo y templado subhúmedo</w:t>
            </w:r>
          </w:p>
        </w:tc>
      </w:tr>
      <w:tr>
        <w:trPr>
          <w:trHeight w:val="407" w:hRule="exact"/>
        </w:trPr>
        <w:tc>
          <w:tcPr>
            <w:tcW w:w="1744" w:type="dxa"/>
            <w:tcBorders>
              <w:left w:val="nil"/>
              <w:bottom w:val="single" w:sz="4" w:space="0" w:color="FFFFFF"/>
            </w:tcBorders>
          </w:tcPr>
          <w:p>
            <w:pPr>
              <w:pStyle w:val="TableParagraph"/>
              <w:spacing w:line="160" w:lineRule="exact" w:before="47"/>
              <w:ind w:left="107"/>
              <w:rPr>
                <w:sz w:val="16"/>
              </w:rPr>
            </w:pPr>
            <w:r>
              <w:rPr>
                <w:sz w:val="16"/>
              </w:rPr>
              <w:t>Tenancingo</w:t>
            </w:r>
          </w:p>
          <w:p>
            <w:pPr>
              <w:pStyle w:val="TableParagraph"/>
              <w:tabs>
                <w:tab w:pos="1728" w:val="left" w:leader="none"/>
              </w:tabs>
              <w:spacing w:line="206" w:lineRule="exact"/>
              <w:ind w:left="34"/>
              <w:rPr>
                <w:sz w:val="20"/>
              </w:rPr>
            </w:pPr>
            <w:r>
              <w:rPr>
                <w:w w:val="100"/>
                <w:sz w:val="20"/>
                <w:u w:val="dotted" w:color="929292"/>
              </w:rPr>
              <w:t> </w:t>
            </w:r>
            <w:r>
              <w:rPr>
                <w:sz w:val="20"/>
                <w:u w:val="dotted" w:color="929292"/>
              </w:rPr>
              <w:tab/>
            </w:r>
          </w:p>
        </w:tc>
        <w:tc>
          <w:tcPr>
            <w:tcW w:w="1740" w:type="dxa"/>
            <w:tcBorders>
              <w:bottom w:val="single" w:sz="4" w:space="0" w:color="FFFFFF"/>
            </w:tcBorders>
          </w:tcPr>
          <w:p>
            <w:pPr>
              <w:pStyle w:val="TableParagraph"/>
              <w:spacing w:line="160" w:lineRule="exact" w:before="47"/>
              <w:ind w:left="102" w:right="176"/>
              <w:rPr>
                <w:sz w:val="16"/>
              </w:rPr>
            </w:pPr>
            <w:r>
              <w:rPr>
                <w:w w:val="105"/>
                <w:sz w:val="16"/>
              </w:rPr>
              <w:t>2,700 - 2,200</w:t>
            </w:r>
          </w:p>
          <w:p>
            <w:pPr>
              <w:pStyle w:val="TableParagraph"/>
              <w:tabs>
                <w:tab w:pos="1719" w:val="left" w:leader="none"/>
              </w:tabs>
              <w:spacing w:line="206" w:lineRule="exact"/>
              <w:ind w:left="25"/>
              <w:rPr>
                <w:sz w:val="20"/>
              </w:rPr>
            </w:pPr>
            <w:r>
              <w:rPr>
                <w:w w:val="100"/>
                <w:sz w:val="20"/>
                <w:u w:val="dotted" w:color="929292"/>
              </w:rPr>
              <w:t> </w:t>
            </w:r>
            <w:r>
              <w:rPr>
                <w:sz w:val="20"/>
                <w:u w:val="dotted" w:color="929292"/>
              </w:rPr>
              <w:tab/>
            </w:r>
          </w:p>
        </w:tc>
        <w:tc>
          <w:tcPr>
            <w:tcW w:w="4216" w:type="dxa"/>
            <w:tcBorders>
              <w:bottom w:val="single" w:sz="4" w:space="0" w:color="FFFFFF"/>
              <w:right w:val="nil"/>
            </w:tcBorders>
          </w:tcPr>
          <w:p>
            <w:pPr>
              <w:pStyle w:val="TableParagraph"/>
              <w:spacing w:line="160" w:lineRule="exact" w:before="47"/>
              <w:ind w:left="102"/>
              <w:rPr>
                <w:sz w:val="16"/>
              </w:rPr>
            </w:pPr>
            <w:r>
              <w:rPr>
                <w:sz w:val="16"/>
              </w:rPr>
              <w:t>Templado subhúmedo, semicálido  subhúmedo</w:t>
            </w:r>
          </w:p>
          <w:p>
            <w:pPr>
              <w:pStyle w:val="TableParagraph"/>
              <w:tabs>
                <w:tab w:pos="4191" w:val="left" w:leader="none"/>
              </w:tabs>
              <w:spacing w:line="206" w:lineRule="exact"/>
              <w:ind w:left="25"/>
              <w:rPr>
                <w:sz w:val="20"/>
              </w:rPr>
            </w:pPr>
            <w:r>
              <w:rPr>
                <w:w w:val="100"/>
                <w:sz w:val="20"/>
                <w:u w:val="dotted" w:color="929292"/>
              </w:rPr>
              <w:t> </w:t>
            </w:r>
            <w:r>
              <w:rPr>
                <w:sz w:val="20"/>
                <w:u w:val="dotted" w:color="929292"/>
              </w:rPr>
              <w:tab/>
            </w:r>
          </w:p>
        </w:tc>
      </w:tr>
      <w:tr>
        <w:trPr>
          <w:trHeight w:val="399" w:hRule="exact"/>
        </w:trPr>
        <w:tc>
          <w:tcPr>
            <w:tcW w:w="1744" w:type="dxa"/>
            <w:tcBorders>
              <w:top w:val="single" w:sz="4" w:space="0" w:color="FFFFFF"/>
              <w:left w:val="nil"/>
              <w:bottom w:val="nil"/>
            </w:tcBorders>
          </w:tcPr>
          <w:p>
            <w:pPr>
              <w:pStyle w:val="TableParagraph"/>
              <w:spacing w:line="132" w:lineRule="exact" w:before="120"/>
              <w:ind w:left="107"/>
              <w:rPr>
                <w:sz w:val="16"/>
              </w:rPr>
            </w:pPr>
            <w:r>
              <w:rPr>
                <w:sz w:val="16"/>
              </w:rPr>
              <w:t>Villa Guerrero</w:t>
            </w:r>
          </w:p>
          <w:p>
            <w:pPr>
              <w:pStyle w:val="TableParagraph"/>
              <w:tabs>
                <w:tab w:pos="1728" w:val="left" w:leader="none"/>
              </w:tabs>
              <w:spacing w:line="132" w:lineRule="exact"/>
              <w:ind w:left="34"/>
              <w:rPr>
                <w:sz w:val="16"/>
              </w:rPr>
            </w:pPr>
            <w:r>
              <w:rPr>
                <w:w w:val="100"/>
                <w:sz w:val="16"/>
                <w:u w:val="dotted" w:color="929292"/>
              </w:rPr>
              <w:t> </w:t>
            </w:r>
            <w:r>
              <w:rPr>
                <w:sz w:val="16"/>
                <w:u w:val="dotted" w:color="929292"/>
              </w:rPr>
              <w:tab/>
            </w:r>
          </w:p>
        </w:tc>
        <w:tc>
          <w:tcPr>
            <w:tcW w:w="1740" w:type="dxa"/>
            <w:tcBorders>
              <w:top w:val="single" w:sz="4" w:space="0" w:color="FFFFFF"/>
              <w:bottom w:val="single" w:sz="4" w:space="0" w:color="FFFFFF"/>
            </w:tcBorders>
          </w:tcPr>
          <w:p>
            <w:pPr>
              <w:pStyle w:val="TableParagraph"/>
              <w:spacing w:line="132" w:lineRule="exact" w:before="120"/>
              <w:ind w:left="102" w:right="176"/>
              <w:rPr>
                <w:sz w:val="16"/>
              </w:rPr>
            </w:pPr>
            <w:r>
              <w:rPr>
                <w:sz w:val="16"/>
              </w:rPr>
              <w:t>3800 – 1,400</w:t>
            </w:r>
          </w:p>
          <w:p>
            <w:pPr>
              <w:pStyle w:val="TableParagraph"/>
              <w:tabs>
                <w:tab w:pos="1719" w:val="left" w:leader="none"/>
              </w:tabs>
              <w:spacing w:line="132" w:lineRule="exact"/>
              <w:ind w:left="25"/>
              <w:rPr>
                <w:sz w:val="16"/>
              </w:rPr>
            </w:pPr>
            <w:r>
              <w:rPr>
                <w:w w:val="100"/>
                <w:sz w:val="16"/>
                <w:u w:val="dotted" w:color="929292"/>
              </w:rPr>
              <w:t> </w:t>
            </w:r>
            <w:r>
              <w:rPr>
                <w:sz w:val="16"/>
                <w:u w:val="dotted" w:color="929292"/>
              </w:rPr>
              <w:tab/>
            </w:r>
          </w:p>
        </w:tc>
        <w:tc>
          <w:tcPr>
            <w:tcW w:w="4216" w:type="dxa"/>
            <w:tcBorders>
              <w:top w:val="single" w:sz="4" w:space="0" w:color="FFFFFF"/>
              <w:bottom w:val="single" w:sz="4" w:space="0" w:color="FFFFFF"/>
              <w:right w:val="nil"/>
            </w:tcBorders>
          </w:tcPr>
          <w:p>
            <w:pPr>
              <w:pStyle w:val="TableParagraph"/>
              <w:spacing w:before="1"/>
              <w:ind w:left="102"/>
              <w:rPr>
                <w:sz w:val="16"/>
              </w:rPr>
            </w:pPr>
            <w:r>
              <w:rPr>
                <w:sz w:val="16"/>
              </w:rPr>
              <w:t>Templado subhúmedo, semicálido subhúmedo  y</w:t>
            </w:r>
          </w:p>
          <w:p>
            <w:pPr>
              <w:pStyle w:val="TableParagraph"/>
              <w:tabs>
                <w:tab w:pos="4191" w:val="left" w:leader="none"/>
              </w:tabs>
              <w:spacing w:before="16"/>
              <w:ind w:left="25"/>
              <w:rPr>
                <w:sz w:val="16"/>
              </w:rPr>
            </w:pPr>
            <w:r>
              <w:rPr>
                <w:w w:val="100"/>
                <w:sz w:val="16"/>
                <w:u w:val="dotted" w:color="929292"/>
              </w:rPr>
              <w:t> </w:t>
            </w:r>
            <w:r>
              <w:rPr>
                <w:spacing w:val="-12"/>
                <w:sz w:val="16"/>
                <w:u w:val="dotted" w:color="929292"/>
              </w:rPr>
              <w:t> </w:t>
            </w:r>
            <w:r>
              <w:rPr>
                <w:sz w:val="16"/>
                <w:u w:val="dotted" w:color="929292"/>
              </w:rPr>
              <w:t>semifrío</w:t>
            </w:r>
            <w:r>
              <w:rPr>
                <w:spacing w:val="11"/>
                <w:sz w:val="16"/>
                <w:u w:val="dotted" w:color="929292"/>
              </w:rPr>
              <w:t> </w:t>
            </w:r>
            <w:r>
              <w:rPr>
                <w:sz w:val="16"/>
                <w:u w:val="dotted" w:color="929292"/>
              </w:rPr>
              <w:t>subhúmedo</w:t>
              <w:tab/>
            </w:r>
          </w:p>
        </w:tc>
      </w:tr>
    </w:tbl>
    <w:p>
      <w:pPr>
        <w:spacing w:before="135"/>
        <w:ind w:left="280" w:right="261" w:firstLine="0"/>
        <w:jc w:val="center"/>
        <w:rPr>
          <w:sz w:val="16"/>
        </w:rPr>
      </w:pPr>
      <w:r>
        <w:rPr>
          <w:color w:val="6D6E71"/>
          <w:sz w:val="16"/>
        </w:rPr>
        <w:t>Fuente: Elaboración propia, con base en el compendio de información geográfica municipal, INEGI,  2010</w:t>
      </w:r>
    </w:p>
    <w:p>
      <w:pPr>
        <w:pStyle w:val="BodyText"/>
        <w:rPr>
          <w:sz w:val="16"/>
        </w:rPr>
      </w:pPr>
    </w:p>
    <w:p>
      <w:pPr>
        <w:pStyle w:val="BodyText"/>
        <w:rPr>
          <w:sz w:val="16"/>
        </w:rPr>
      </w:pPr>
    </w:p>
    <w:p>
      <w:pPr>
        <w:pStyle w:val="BodyText"/>
        <w:rPr>
          <w:sz w:val="16"/>
        </w:rPr>
      </w:pPr>
    </w:p>
    <w:p>
      <w:pPr>
        <w:pStyle w:val="BodyText"/>
        <w:spacing w:before="5"/>
        <w:rPr>
          <w:sz w:val="19"/>
        </w:rPr>
      </w:pPr>
    </w:p>
    <w:p>
      <w:pPr>
        <w:spacing w:line="312" w:lineRule="auto" w:before="0"/>
        <w:ind w:left="280" w:right="258" w:firstLine="0"/>
        <w:jc w:val="center"/>
        <w:rPr>
          <w:sz w:val="16"/>
        </w:rPr>
      </w:pPr>
      <w:r>
        <w:rPr>
          <w:color w:val="6D6E71"/>
          <w:sz w:val="16"/>
        </w:rPr>
        <w:t>Mapa 2. Localización de la región con los municipios de Malinalco, Tenancingo y Villa Guerrero en el contexto estatal</w:t>
      </w:r>
    </w:p>
    <w:p>
      <w:pPr>
        <w:pStyle w:val="BodyText"/>
        <w:spacing w:before="4"/>
        <w:rPr>
          <w:sz w:val="2"/>
        </w:rPr>
      </w:pPr>
    </w:p>
    <w:p>
      <w:pPr>
        <w:pStyle w:val="BodyText"/>
        <w:ind w:left="130"/>
      </w:pPr>
      <w:r>
        <w:rPr/>
        <w:drawing>
          <wp:inline distT="0" distB="0" distL="0" distR="0">
            <wp:extent cx="4960253" cy="3402329"/>
            <wp:effectExtent l="0" t="0" r="0" b="0"/>
            <wp:docPr id="61" name="image49.jpeg" descr=""/>
            <wp:cNvGraphicFramePr>
              <a:graphicFrameLocks noChangeAspect="1"/>
            </wp:cNvGraphicFramePr>
            <a:graphic>
              <a:graphicData uri="http://schemas.openxmlformats.org/drawingml/2006/picture">
                <pic:pic>
                  <pic:nvPicPr>
                    <pic:cNvPr id="62" name="image49.jpeg"/>
                    <pic:cNvPicPr/>
                  </pic:nvPicPr>
                  <pic:blipFill>
                    <a:blip r:embed="rId210" cstate="print"/>
                    <a:stretch>
                      <a:fillRect/>
                    </a:stretch>
                  </pic:blipFill>
                  <pic:spPr>
                    <a:xfrm>
                      <a:off x="0" y="0"/>
                      <a:ext cx="4960253" cy="3402329"/>
                    </a:xfrm>
                    <a:prstGeom prst="rect">
                      <a:avLst/>
                    </a:prstGeom>
                  </pic:spPr>
                </pic:pic>
              </a:graphicData>
            </a:graphic>
          </wp:inline>
        </w:drawing>
      </w:r>
      <w:r>
        <w:rPr/>
      </w:r>
    </w:p>
    <w:p>
      <w:pPr>
        <w:spacing w:before="137"/>
        <w:ind w:left="280" w:right="261" w:firstLine="0"/>
        <w:jc w:val="center"/>
        <w:rPr>
          <w:sz w:val="16"/>
        </w:rPr>
      </w:pPr>
      <w:r>
        <w:rPr>
          <w:color w:val="6D6E71"/>
          <w:sz w:val="16"/>
        </w:rPr>
        <w:t>Fuente: Elaboración propia, con base en el Marco Geoestadístico 2010 de INEGI.</w:t>
      </w:r>
    </w:p>
    <w:p>
      <w:pPr>
        <w:spacing w:after="0"/>
        <w:jc w:val="center"/>
        <w:rPr>
          <w:sz w:val="16"/>
        </w:rPr>
        <w:sectPr>
          <w:type w:val="continuous"/>
          <w:pgSz w:w="18830" w:h="12760" w:orient="landscape"/>
          <w:pgMar w:top="1420" w:bottom="280" w:left="720" w:right="680"/>
          <w:cols w:num="2" w:equalWidth="0">
            <w:col w:w="7842" w:space="1509"/>
            <w:col w:w="8079"/>
          </w:cols>
        </w:sectPr>
      </w:pPr>
    </w:p>
    <w:p>
      <w:pPr>
        <w:pStyle w:val="BodyText"/>
        <w:spacing w:before="8"/>
      </w:pPr>
    </w:p>
    <w:p>
      <w:pPr>
        <w:spacing w:after="0"/>
        <w:sectPr>
          <w:footerReference w:type="default" r:id="rId211"/>
          <w:pgSz w:w="18830" w:h="12760" w:orient="landscape"/>
          <w:pgMar w:footer="1036" w:header="522" w:top="820" w:bottom="1220" w:left="720" w:right="720"/>
        </w:sectPr>
      </w:pPr>
    </w:p>
    <w:p>
      <w:pPr>
        <w:pStyle w:val="Heading1"/>
        <w:spacing w:before="71"/>
        <w:ind w:left="291" w:right="-12"/>
      </w:pPr>
      <w:r>
        <w:rPr/>
        <w:t>Rasgos Hidrológicos de la Región</w:t>
      </w:r>
    </w:p>
    <w:p>
      <w:pPr>
        <w:pStyle w:val="BodyText"/>
        <w:rPr>
          <w:b/>
          <w:sz w:val="21"/>
        </w:rPr>
      </w:pPr>
    </w:p>
    <w:p>
      <w:pPr>
        <w:pStyle w:val="BodyText"/>
        <w:spacing w:line="249" w:lineRule="auto"/>
        <w:ind w:left="121" w:firstLine="170"/>
        <w:jc w:val="both"/>
      </w:pPr>
      <w:r>
        <w:rPr/>
        <w:t>La zona de estudio se ubica en la Región Hidrológica RH18-Balsas; en la Cuenca Hidrográfica</w:t>
      </w:r>
      <w:r>
        <w:rPr>
          <w:spacing w:val="-17"/>
        </w:rPr>
        <w:t> </w:t>
      </w:r>
      <w:r>
        <w:rPr/>
        <w:t>RH18F-R.</w:t>
      </w:r>
      <w:r>
        <w:rPr>
          <w:spacing w:val="-17"/>
        </w:rPr>
        <w:t> </w:t>
      </w:r>
      <w:r>
        <w:rPr/>
        <w:t>Grande</w:t>
      </w:r>
      <w:r>
        <w:rPr>
          <w:spacing w:val="-17"/>
        </w:rPr>
        <w:t> </w:t>
      </w:r>
      <w:r>
        <w:rPr/>
        <w:t>de</w:t>
      </w:r>
      <w:r>
        <w:rPr>
          <w:spacing w:val="-17"/>
        </w:rPr>
        <w:t> </w:t>
      </w:r>
      <w:r>
        <w:rPr/>
        <w:t>Amacuzac</w:t>
      </w:r>
      <w:r>
        <w:rPr>
          <w:spacing w:val="-17"/>
        </w:rPr>
        <w:t> </w:t>
      </w:r>
      <w:r>
        <w:rPr/>
        <w:t>y</w:t>
      </w:r>
      <w:r>
        <w:rPr>
          <w:spacing w:val="-17"/>
        </w:rPr>
        <w:t> </w:t>
      </w:r>
      <w:r>
        <w:rPr/>
        <w:t>en</w:t>
      </w:r>
      <w:r>
        <w:rPr>
          <w:spacing w:val="-17"/>
        </w:rPr>
        <w:t> </w:t>
      </w:r>
      <w:r>
        <w:rPr/>
        <w:t>la</w:t>
      </w:r>
      <w:r>
        <w:rPr>
          <w:spacing w:val="-17"/>
        </w:rPr>
        <w:t> </w:t>
      </w:r>
      <w:r>
        <w:rPr/>
        <w:t>Subcuenca</w:t>
      </w:r>
      <w:r>
        <w:rPr>
          <w:spacing w:val="-17"/>
        </w:rPr>
        <w:t> </w:t>
      </w:r>
      <w:r>
        <w:rPr/>
        <w:t>Hidrográfica</w:t>
      </w:r>
      <w:r>
        <w:rPr>
          <w:spacing w:val="-17"/>
        </w:rPr>
        <w:t> </w:t>
      </w:r>
      <w:r>
        <w:rPr/>
        <w:t>RH18Fe-R Coatlán</w:t>
      </w:r>
      <w:r>
        <w:rPr>
          <w:spacing w:val="-18"/>
        </w:rPr>
        <w:t> </w:t>
      </w:r>
      <w:r>
        <w:rPr/>
        <w:t>(INEGI,</w:t>
      </w:r>
      <w:r>
        <w:rPr>
          <w:spacing w:val="-18"/>
        </w:rPr>
        <w:t> </w:t>
      </w:r>
      <w:r>
        <w:rPr/>
        <w:t>2010;</w:t>
      </w:r>
      <w:r>
        <w:rPr>
          <w:spacing w:val="-18"/>
        </w:rPr>
        <w:t> </w:t>
      </w:r>
      <w:r>
        <w:rPr/>
        <w:t>Villareal,</w:t>
      </w:r>
      <w:r>
        <w:rPr>
          <w:spacing w:val="-18"/>
        </w:rPr>
        <w:t> </w:t>
      </w:r>
      <w:r>
        <w:rPr/>
        <w:t>2013).</w:t>
      </w:r>
    </w:p>
    <w:p>
      <w:pPr>
        <w:pStyle w:val="BodyText"/>
        <w:spacing w:before="8"/>
        <w:rPr>
          <w:sz w:val="17"/>
        </w:rPr>
      </w:pPr>
    </w:p>
    <w:p>
      <w:pPr>
        <w:pStyle w:val="Heading1"/>
        <w:ind w:left="291" w:right="-12"/>
      </w:pPr>
      <w:r>
        <w:rPr/>
        <w:t>Edafología y Geología Regional</w:t>
      </w:r>
    </w:p>
    <w:p>
      <w:pPr>
        <w:pStyle w:val="BodyText"/>
        <w:rPr>
          <w:b/>
          <w:sz w:val="21"/>
        </w:rPr>
      </w:pPr>
    </w:p>
    <w:p>
      <w:pPr>
        <w:pStyle w:val="BodyText"/>
        <w:spacing w:line="249" w:lineRule="auto"/>
        <w:ind w:left="121" w:firstLine="170"/>
        <w:jc w:val="both"/>
      </w:pPr>
      <w:r>
        <w:rPr/>
        <w:t>Los tipos de rocas presentes son ígneas y sedimentarias (Mapa 3). La composición principal</w:t>
      </w:r>
      <w:r>
        <w:rPr>
          <w:spacing w:val="28"/>
        </w:rPr>
        <w:t> </w:t>
      </w:r>
      <w:r>
        <w:rPr/>
        <w:t>del</w:t>
      </w:r>
      <w:r>
        <w:rPr>
          <w:spacing w:val="28"/>
        </w:rPr>
        <w:t> </w:t>
      </w:r>
      <w:r>
        <w:rPr/>
        <w:t>suelo</w:t>
      </w:r>
      <w:r>
        <w:rPr>
          <w:spacing w:val="28"/>
        </w:rPr>
        <w:t> </w:t>
      </w:r>
      <w:r>
        <w:rPr/>
        <w:t>es</w:t>
      </w:r>
      <w:r>
        <w:rPr>
          <w:spacing w:val="28"/>
        </w:rPr>
        <w:t> </w:t>
      </w:r>
      <w:r>
        <w:rPr/>
        <w:t>por</w:t>
      </w:r>
      <w:r>
        <w:rPr>
          <w:spacing w:val="28"/>
        </w:rPr>
        <w:t> </w:t>
      </w:r>
      <w:r>
        <w:rPr/>
        <w:t>Andosol,</w:t>
      </w:r>
      <w:r>
        <w:rPr>
          <w:spacing w:val="28"/>
        </w:rPr>
        <w:t> </w:t>
      </w:r>
      <w:r>
        <w:rPr/>
        <w:t>Vertisol,</w:t>
      </w:r>
      <w:r>
        <w:rPr>
          <w:spacing w:val="28"/>
        </w:rPr>
        <w:t> </w:t>
      </w:r>
      <w:r>
        <w:rPr/>
        <w:t>Luvisol</w:t>
      </w:r>
      <w:r>
        <w:rPr>
          <w:spacing w:val="28"/>
        </w:rPr>
        <w:t> </w:t>
      </w:r>
      <w:r>
        <w:rPr/>
        <w:t>y</w:t>
      </w:r>
      <w:r>
        <w:rPr>
          <w:spacing w:val="28"/>
        </w:rPr>
        <w:t> </w:t>
      </w:r>
      <w:r>
        <w:rPr/>
        <w:t>Feozem</w:t>
      </w:r>
      <w:r>
        <w:rPr>
          <w:spacing w:val="28"/>
        </w:rPr>
        <w:t> </w:t>
      </w:r>
      <w:r>
        <w:rPr/>
        <w:t>Háplico;</w:t>
      </w:r>
      <w:r>
        <w:rPr>
          <w:spacing w:val="28"/>
        </w:rPr>
        <w:t> </w:t>
      </w:r>
      <w:r>
        <w:rPr/>
        <w:t>sin</w:t>
      </w:r>
      <w:r>
        <w:rPr>
          <w:spacing w:val="28"/>
        </w:rPr>
        <w:t> </w:t>
      </w:r>
      <w:r>
        <w:rPr/>
        <w:t>embargo</w:t>
      </w:r>
      <w:r>
        <w:rPr>
          <w:w w:val="101"/>
        </w:rPr>
        <w:t> </w:t>
      </w:r>
      <w:r>
        <w:rPr/>
        <w:t>en algunas partes predomina la fase lítica, donde la pedregosidad puede restringir el paso de los aperos agrícolas. En las serranías predomina el Litosol, suelo incipiente</w:t>
      </w:r>
      <w:r>
        <w:rPr>
          <w:spacing w:val="-21"/>
        </w:rPr>
        <w:t> </w:t>
      </w:r>
      <w:r>
        <w:rPr/>
        <w:t>de escaso valor agrícola, pero aprovechable para la silvicultura y la vida</w:t>
      </w:r>
      <w:r>
        <w:rPr>
          <w:spacing w:val="22"/>
        </w:rPr>
        <w:t> </w:t>
      </w:r>
      <w:r>
        <w:rPr/>
        <w:t>silvestre.</w:t>
      </w:r>
    </w:p>
    <w:p>
      <w:pPr>
        <w:pStyle w:val="BodyText"/>
        <w:spacing w:before="8"/>
        <w:rPr>
          <w:sz w:val="17"/>
        </w:rPr>
      </w:pPr>
    </w:p>
    <w:p>
      <w:pPr>
        <w:pStyle w:val="Heading1"/>
        <w:ind w:left="291" w:right="-12"/>
      </w:pPr>
      <w:r>
        <w:rPr/>
        <w:t>Vegetación Regional</w:t>
      </w:r>
    </w:p>
    <w:p>
      <w:pPr>
        <w:pStyle w:val="BodyText"/>
        <w:rPr>
          <w:b/>
          <w:sz w:val="21"/>
        </w:rPr>
      </w:pPr>
    </w:p>
    <w:p>
      <w:pPr>
        <w:pStyle w:val="BodyText"/>
        <w:spacing w:line="249" w:lineRule="auto"/>
        <w:ind w:left="121" w:firstLine="170"/>
        <w:jc w:val="both"/>
      </w:pPr>
      <w:r>
        <w:rPr/>
        <w:t>En cuanto a la flora, la vegetación predominante en las tierras altas es</w:t>
      </w:r>
      <w:r>
        <w:rPr>
          <w:spacing w:val="54"/>
        </w:rPr>
        <w:t> </w:t>
      </w:r>
      <w:r>
        <w:rPr/>
        <w:t>bosque</w:t>
      </w:r>
      <w:r>
        <w:rPr>
          <w:spacing w:val="4"/>
        </w:rPr>
        <w:t> </w:t>
      </w:r>
      <w:r>
        <w:rPr/>
        <w:t>mixto</w:t>
      </w:r>
      <w:r>
        <w:rPr>
          <w:w w:val="103"/>
        </w:rPr>
        <w:t> </w:t>
      </w:r>
      <w:r>
        <w:rPr/>
        <w:t>de pino-encino y el bosque de pino. En partes más bajas, la selva baja caducifolia.    En</w:t>
      </w:r>
      <w:r>
        <w:rPr>
          <w:spacing w:val="45"/>
        </w:rPr>
        <w:t> </w:t>
      </w:r>
      <w:r>
        <w:rPr/>
        <w:t>los</w:t>
      </w:r>
      <w:r>
        <w:rPr>
          <w:spacing w:val="45"/>
        </w:rPr>
        <w:t> </w:t>
      </w:r>
      <w:r>
        <w:rPr/>
        <w:t>lugares</w:t>
      </w:r>
      <w:r>
        <w:rPr>
          <w:spacing w:val="45"/>
        </w:rPr>
        <w:t> </w:t>
      </w:r>
      <w:r>
        <w:rPr/>
        <w:t>perturbados</w:t>
      </w:r>
      <w:r>
        <w:rPr>
          <w:spacing w:val="45"/>
        </w:rPr>
        <w:t> </w:t>
      </w:r>
      <w:r>
        <w:rPr/>
        <w:t>por</w:t>
      </w:r>
      <w:r>
        <w:rPr>
          <w:spacing w:val="45"/>
        </w:rPr>
        <w:t> </w:t>
      </w:r>
      <w:r>
        <w:rPr/>
        <w:t>la</w:t>
      </w:r>
      <w:r>
        <w:rPr>
          <w:spacing w:val="45"/>
        </w:rPr>
        <w:t> </w:t>
      </w:r>
      <w:r>
        <w:rPr/>
        <w:t>actividad</w:t>
      </w:r>
      <w:r>
        <w:rPr>
          <w:spacing w:val="45"/>
        </w:rPr>
        <w:t> </w:t>
      </w:r>
      <w:r>
        <w:rPr/>
        <w:t>humana,</w:t>
      </w:r>
      <w:r>
        <w:rPr>
          <w:spacing w:val="45"/>
        </w:rPr>
        <w:t> </w:t>
      </w:r>
      <w:r>
        <w:rPr/>
        <w:t>se</w:t>
      </w:r>
      <w:r>
        <w:rPr>
          <w:spacing w:val="45"/>
        </w:rPr>
        <w:t> </w:t>
      </w:r>
      <w:r>
        <w:rPr/>
        <w:t>encuentran</w:t>
      </w:r>
      <w:r>
        <w:rPr>
          <w:spacing w:val="45"/>
        </w:rPr>
        <w:t> </w:t>
      </w:r>
      <w:r>
        <w:rPr/>
        <w:t>las</w:t>
      </w:r>
      <w:r>
        <w:rPr>
          <w:spacing w:val="45"/>
        </w:rPr>
        <w:t> </w:t>
      </w:r>
      <w:r>
        <w:rPr/>
        <w:t>siguientes</w:t>
      </w:r>
      <w:r>
        <w:rPr>
          <w:w w:val="100"/>
        </w:rPr>
        <w:t> </w:t>
      </w:r>
      <w:r>
        <w:rPr/>
        <w:t>especies: ahíles, álamo, sauces, ahuehuetes, guaje, tepehuaje, huajillo, timbre, palo dulce, chichicaxtle, encino, cedro, ciprés, fresno, ortiga, jara, carrizo y madroño; frutales como: aguacate, níspero, cítrico, ciruelos, zapote, plátano, durazno, manzano, peral, chirimoya, naranjo, guayaba, granada, chabacano, capulín y café; medicinales: árnica, borraja, pericón, poleo, quintonil, romero, ruda, cedrón, té de monte, tepozán, yerbabuena, higuerilla, mejorana, malva, manzanilla, salvia y mirto. Destaca el cultivo de flores como gladiola, rosa, pompón, clavel y el margaritón crisantemo y varias</w:t>
      </w:r>
      <w:r>
        <w:rPr>
          <w:spacing w:val="-18"/>
        </w:rPr>
        <w:t> </w:t>
      </w:r>
      <w:r>
        <w:rPr/>
        <w:t>flores de</w:t>
      </w:r>
      <w:r>
        <w:rPr>
          <w:spacing w:val="14"/>
        </w:rPr>
        <w:t> </w:t>
      </w:r>
      <w:r>
        <w:rPr/>
        <w:t>ornato.</w:t>
      </w:r>
    </w:p>
    <w:p>
      <w:pPr>
        <w:pStyle w:val="BodyText"/>
        <w:spacing w:line="249" w:lineRule="auto" w:before="109"/>
        <w:ind w:left="298" w:right="317"/>
        <w:jc w:val="center"/>
      </w:pPr>
      <w:r>
        <w:rPr/>
        <w:br w:type="column"/>
      </w:r>
      <w:r>
        <w:rPr>
          <w:color w:val="6D6E71"/>
        </w:rPr>
        <w:t>Mapa 3. Geología de la región con los municipios de Malinalco, Tenancingo y Villa Guerrero</w:t>
      </w:r>
    </w:p>
    <w:p>
      <w:pPr>
        <w:pStyle w:val="BodyText"/>
        <w:spacing w:before="11"/>
        <w:rPr>
          <w:sz w:val="8"/>
        </w:rPr>
      </w:pPr>
    </w:p>
    <w:p>
      <w:pPr>
        <w:pStyle w:val="BodyText"/>
        <w:ind w:left="121"/>
      </w:pPr>
      <w:r>
        <w:rPr/>
        <w:drawing>
          <wp:inline distT="0" distB="0" distL="0" distR="0">
            <wp:extent cx="4886705" cy="3696462"/>
            <wp:effectExtent l="0" t="0" r="0" b="0"/>
            <wp:docPr id="63" name="image50.jpeg" descr=""/>
            <wp:cNvGraphicFramePr>
              <a:graphicFrameLocks noChangeAspect="1"/>
            </wp:cNvGraphicFramePr>
            <a:graphic>
              <a:graphicData uri="http://schemas.openxmlformats.org/drawingml/2006/picture">
                <pic:pic>
                  <pic:nvPicPr>
                    <pic:cNvPr id="64" name="image50.jpeg"/>
                    <pic:cNvPicPr/>
                  </pic:nvPicPr>
                  <pic:blipFill>
                    <a:blip r:embed="rId212" cstate="print"/>
                    <a:stretch>
                      <a:fillRect/>
                    </a:stretch>
                  </pic:blipFill>
                  <pic:spPr>
                    <a:xfrm>
                      <a:off x="0" y="0"/>
                      <a:ext cx="4886705" cy="3696462"/>
                    </a:xfrm>
                    <a:prstGeom prst="rect">
                      <a:avLst/>
                    </a:prstGeom>
                  </pic:spPr>
                </pic:pic>
              </a:graphicData>
            </a:graphic>
          </wp:inline>
        </w:drawing>
      </w:r>
      <w:r>
        <w:rPr/>
      </w:r>
    </w:p>
    <w:p>
      <w:pPr>
        <w:spacing w:before="113"/>
        <w:ind w:left="298" w:right="317" w:firstLine="0"/>
        <w:jc w:val="center"/>
        <w:rPr>
          <w:sz w:val="16"/>
        </w:rPr>
      </w:pPr>
      <w:r>
        <w:rPr>
          <w:color w:val="6D6E71"/>
          <w:sz w:val="16"/>
        </w:rPr>
        <w:t>Fuente: Elaboración propia, con base en el Marco Geoestadístico 2010 de INEGI.</w:t>
      </w:r>
    </w:p>
    <w:p>
      <w:pPr>
        <w:spacing w:after="0"/>
        <w:jc w:val="center"/>
        <w:rPr>
          <w:sz w:val="16"/>
        </w:rPr>
        <w:sectPr>
          <w:type w:val="continuous"/>
          <w:pgSz w:w="18830" w:h="12760" w:orient="landscape"/>
          <w:pgMar w:top="1420" w:bottom="280" w:left="720" w:right="720"/>
          <w:cols w:num="2" w:equalWidth="0">
            <w:col w:w="7833" w:space="1596"/>
            <w:col w:w="7961"/>
          </w:cols>
        </w:sectPr>
      </w:pPr>
    </w:p>
    <w:p>
      <w:pPr>
        <w:pStyle w:val="BodyText"/>
        <w:spacing w:before="8"/>
      </w:pPr>
    </w:p>
    <w:p>
      <w:pPr>
        <w:spacing w:after="0"/>
        <w:sectPr>
          <w:footerReference w:type="default" r:id="rId213"/>
          <w:pgSz w:w="18830" w:h="12760" w:orient="landscape"/>
          <w:pgMar w:footer="1036" w:header="522" w:top="820" w:bottom="1220" w:left="720" w:right="720"/>
        </w:sectPr>
      </w:pPr>
    </w:p>
    <w:p>
      <w:pPr>
        <w:pStyle w:val="BodyText"/>
        <w:spacing w:before="8"/>
        <w:rPr>
          <w:sz w:val="12"/>
        </w:rPr>
      </w:pPr>
    </w:p>
    <w:p>
      <w:pPr>
        <w:spacing w:before="0"/>
        <w:ind w:left="534" w:right="0" w:firstLine="0"/>
        <w:jc w:val="left"/>
        <w:rPr>
          <w:sz w:val="16"/>
        </w:rPr>
      </w:pPr>
      <w:r>
        <w:rPr/>
        <w:drawing>
          <wp:anchor distT="0" distB="0" distL="0" distR="0" allowOverlap="1" layoutInCell="1" locked="0" behindDoc="0" simplePos="0" relativeHeight="7168">
            <wp:simplePos x="0" y="0"/>
            <wp:positionH relativeFrom="page">
              <wp:posOffset>526351</wp:posOffset>
            </wp:positionH>
            <wp:positionV relativeFrom="paragraph">
              <wp:posOffset>238100</wp:posOffset>
            </wp:positionV>
            <wp:extent cx="4912084" cy="4134566"/>
            <wp:effectExtent l="0" t="0" r="0" b="0"/>
            <wp:wrapNone/>
            <wp:docPr id="65" name="image51.jpeg" descr=""/>
            <wp:cNvGraphicFramePr>
              <a:graphicFrameLocks noChangeAspect="1"/>
            </wp:cNvGraphicFramePr>
            <a:graphic>
              <a:graphicData uri="http://schemas.openxmlformats.org/drawingml/2006/picture">
                <pic:pic>
                  <pic:nvPicPr>
                    <pic:cNvPr id="66" name="image51.jpeg"/>
                    <pic:cNvPicPr/>
                  </pic:nvPicPr>
                  <pic:blipFill>
                    <a:blip r:embed="rId214" cstate="print"/>
                    <a:stretch>
                      <a:fillRect/>
                    </a:stretch>
                  </pic:blipFill>
                  <pic:spPr>
                    <a:xfrm>
                      <a:off x="0" y="0"/>
                      <a:ext cx="4912084" cy="4134566"/>
                    </a:xfrm>
                    <a:prstGeom prst="rect">
                      <a:avLst/>
                    </a:prstGeom>
                  </pic:spPr>
                </pic:pic>
              </a:graphicData>
            </a:graphic>
          </wp:anchor>
        </w:drawing>
      </w:r>
      <w:r>
        <w:rPr>
          <w:color w:val="6D6E71"/>
          <w:sz w:val="16"/>
        </w:rPr>
        <w:t>Mapa 4. Uso del suelo de la región con los municipios de Malinalco, Tenancingo y Villa Guerrero</w:t>
      </w:r>
    </w:p>
    <w:p>
      <w:pPr>
        <w:pStyle w:val="Heading1"/>
        <w:spacing w:before="71"/>
        <w:ind w:left="278" w:right="827"/>
      </w:pPr>
      <w:r>
        <w:rPr>
          <w:b w:val="0"/>
        </w:rPr>
        <w:br w:type="column"/>
      </w:r>
      <w:r>
        <w:rPr/>
        <w:t>Fauna Regional</w:t>
      </w:r>
    </w:p>
    <w:p>
      <w:pPr>
        <w:pStyle w:val="BodyText"/>
        <w:rPr>
          <w:b/>
          <w:sz w:val="21"/>
        </w:rPr>
      </w:pPr>
    </w:p>
    <w:p>
      <w:pPr>
        <w:pStyle w:val="BodyText"/>
        <w:spacing w:line="249" w:lineRule="auto"/>
        <w:ind w:left="108" w:right="128" w:firstLine="170"/>
        <w:jc w:val="both"/>
      </w:pPr>
      <w:r>
        <w:rPr/>
        <w:t>En lo que se refiere a la fauna, encontramos aun: ardillas, venado, tejón, mapache, tlalcoyote, cacomixtle, zorrillo listado, coyote, zorro, gato montés, conejo, tlacuache, armadillo, y entre las aves predadoras tenemos: gavilán, halcón, lechuza, zopilotes, garzas,</w:t>
      </w:r>
      <w:r>
        <w:rPr>
          <w:spacing w:val="-11"/>
        </w:rPr>
        <w:t> </w:t>
      </w:r>
      <w:r>
        <w:rPr/>
        <w:t>cuervos</w:t>
      </w:r>
      <w:r>
        <w:rPr>
          <w:spacing w:val="-11"/>
        </w:rPr>
        <w:t> </w:t>
      </w:r>
      <w:r>
        <w:rPr/>
        <w:t>y</w:t>
      </w:r>
      <w:r>
        <w:rPr>
          <w:spacing w:val="-11"/>
        </w:rPr>
        <w:t> </w:t>
      </w:r>
      <w:r>
        <w:rPr/>
        <w:t>demás.</w:t>
      </w:r>
      <w:r>
        <w:rPr>
          <w:spacing w:val="-11"/>
        </w:rPr>
        <w:t> </w:t>
      </w:r>
      <w:r>
        <w:rPr/>
        <w:t>Reptiles</w:t>
      </w:r>
      <w:r>
        <w:rPr>
          <w:spacing w:val="-11"/>
        </w:rPr>
        <w:t> </w:t>
      </w:r>
      <w:r>
        <w:rPr/>
        <w:t>como</w:t>
      </w:r>
      <w:r>
        <w:rPr>
          <w:spacing w:val="-11"/>
        </w:rPr>
        <w:t> </w:t>
      </w:r>
      <w:r>
        <w:rPr/>
        <w:t>tortuga,</w:t>
      </w:r>
      <w:r>
        <w:rPr>
          <w:spacing w:val="-11"/>
        </w:rPr>
        <w:t> </w:t>
      </w:r>
      <w:r>
        <w:rPr/>
        <w:t>lagartija,</w:t>
      </w:r>
      <w:r>
        <w:rPr>
          <w:spacing w:val="-11"/>
        </w:rPr>
        <w:t> </w:t>
      </w:r>
      <w:r>
        <w:rPr/>
        <w:t>víbora</w:t>
      </w:r>
      <w:r>
        <w:rPr>
          <w:spacing w:val="-11"/>
        </w:rPr>
        <w:t> </w:t>
      </w:r>
      <w:r>
        <w:rPr/>
        <w:t>de</w:t>
      </w:r>
      <w:r>
        <w:rPr>
          <w:spacing w:val="-11"/>
        </w:rPr>
        <w:t> </w:t>
      </w:r>
      <w:r>
        <w:rPr/>
        <w:t>cascabel</w:t>
      </w:r>
      <w:r>
        <w:rPr>
          <w:spacing w:val="-11"/>
        </w:rPr>
        <w:t> </w:t>
      </w:r>
      <w:r>
        <w:rPr/>
        <w:t>y</w:t>
      </w:r>
      <w:r>
        <w:rPr>
          <w:spacing w:val="-11"/>
        </w:rPr>
        <w:t> </w:t>
      </w:r>
      <w:r>
        <w:rPr/>
        <w:t>distintas clases</w:t>
      </w:r>
      <w:r>
        <w:rPr>
          <w:spacing w:val="-5"/>
        </w:rPr>
        <w:t> </w:t>
      </w:r>
      <w:r>
        <w:rPr/>
        <w:t>de</w:t>
      </w:r>
      <w:r>
        <w:rPr>
          <w:spacing w:val="-5"/>
        </w:rPr>
        <w:t> </w:t>
      </w:r>
      <w:r>
        <w:rPr/>
        <w:t>serpientes.</w:t>
      </w:r>
      <w:r>
        <w:rPr>
          <w:spacing w:val="-5"/>
        </w:rPr>
        <w:t> </w:t>
      </w:r>
      <w:r>
        <w:rPr/>
        <w:t>En</w:t>
      </w:r>
      <w:r>
        <w:rPr>
          <w:spacing w:val="-5"/>
        </w:rPr>
        <w:t> </w:t>
      </w:r>
      <w:r>
        <w:rPr/>
        <w:t>arroyos</w:t>
      </w:r>
      <w:r>
        <w:rPr>
          <w:spacing w:val="-5"/>
        </w:rPr>
        <w:t> </w:t>
      </w:r>
      <w:r>
        <w:rPr/>
        <w:t>y</w:t>
      </w:r>
      <w:r>
        <w:rPr>
          <w:spacing w:val="-5"/>
        </w:rPr>
        <w:t> </w:t>
      </w:r>
      <w:r>
        <w:rPr/>
        <w:t>manantiales</w:t>
      </w:r>
      <w:r>
        <w:rPr>
          <w:spacing w:val="-5"/>
        </w:rPr>
        <w:t> </w:t>
      </w:r>
      <w:r>
        <w:rPr/>
        <w:t>se</w:t>
      </w:r>
      <w:r>
        <w:rPr>
          <w:spacing w:val="-5"/>
        </w:rPr>
        <w:t> </w:t>
      </w:r>
      <w:r>
        <w:rPr/>
        <w:t>encuentran</w:t>
      </w:r>
      <w:r>
        <w:rPr>
          <w:spacing w:val="-5"/>
        </w:rPr>
        <w:t> </w:t>
      </w:r>
      <w:r>
        <w:rPr/>
        <w:t>cangrejos</w:t>
      </w:r>
      <w:r>
        <w:rPr>
          <w:spacing w:val="-5"/>
        </w:rPr>
        <w:t> </w:t>
      </w:r>
      <w:r>
        <w:rPr/>
        <w:t>de</w:t>
      </w:r>
      <w:r>
        <w:rPr>
          <w:spacing w:val="-5"/>
        </w:rPr>
        <w:t> </w:t>
      </w:r>
      <w:r>
        <w:rPr/>
        <w:t>agua</w:t>
      </w:r>
      <w:r>
        <w:rPr>
          <w:spacing w:val="-5"/>
        </w:rPr>
        <w:t> </w:t>
      </w:r>
      <w:r>
        <w:rPr/>
        <w:t>dulce y</w:t>
      </w:r>
      <w:r>
        <w:rPr>
          <w:spacing w:val="14"/>
        </w:rPr>
        <w:t> </w:t>
      </w:r>
      <w:r>
        <w:rPr/>
        <w:t>otros.</w:t>
      </w:r>
    </w:p>
    <w:p>
      <w:pPr>
        <w:pStyle w:val="BodyText"/>
        <w:spacing w:before="11"/>
      </w:pPr>
    </w:p>
    <w:p>
      <w:pPr>
        <w:pStyle w:val="BodyText"/>
        <w:spacing w:line="249" w:lineRule="auto"/>
        <w:ind w:left="108" w:right="129" w:firstLine="170"/>
        <w:jc w:val="both"/>
      </w:pPr>
      <w:r>
        <w:rPr/>
        <w:t>Destaca</w:t>
      </w:r>
      <w:r>
        <w:rPr>
          <w:spacing w:val="-9"/>
        </w:rPr>
        <w:t> </w:t>
      </w:r>
      <w:r>
        <w:rPr/>
        <w:t>la</w:t>
      </w:r>
      <w:r>
        <w:rPr>
          <w:spacing w:val="-9"/>
        </w:rPr>
        <w:t> </w:t>
      </w:r>
      <w:r>
        <w:rPr/>
        <w:t>supervivencia</w:t>
      </w:r>
      <w:r>
        <w:rPr>
          <w:spacing w:val="-9"/>
        </w:rPr>
        <w:t> </w:t>
      </w:r>
      <w:r>
        <w:rPr/>
        <w:t>de</w:t>
      </w:r>
      <w:r>
        <w:rPr>
          <w:spacing w:val="-9"/>
        </w:rPr>
        <w:t> </w:t>
      </w:r>
      <w:r>
        <w:rPr/>
        <w:t>especies</w:t>
      </w:r>
      <w:r>
        <w:rPr>
          <w:spacing w:val="-9"/>
        </w:rPr>
        <w:t> </w:t>
      </w:r>
      <w:r>
        <w:rPr/>
        <w:t>en</w:t>
      </w:r>
      <w:r>
        <w:rPr>
          <w:spacing w:val="-9"/>
        </w:rPr>
        <w:t> </w:t>
      </w:r>
      <w:r>
        <w:rPr/>
        <w:t>extinción</w:t>
      </w:r>
      <w:r>
        <w:rPr>
          <w:spacing w:val="-9"/>
        </w:rPr>
        <w:t> </w:t>
      </w:r>
      <w:r>
        <w:rPr/>
        <w:t>como</w:t>
      </w:r>
      <w:r>
        <w:rPr>
          <w:spacing w:val="-9"/>
        </w:rPr>
        <w:t> </w:t>
      </w:r>
      <w:r>
        <w:rPr/>
        <w:t>son</w:t>
      </w:r>
      <w:r>
        <w:rPr>
          <w:spacing w:val="-9"/>
        </w:rPr>
        <w:t> </w:t>
      </w:r>
      <w:r>
        <w:rPr/>
        <w:t>el</w:t>
      </w:r>
      <w:r>
        <w:rPr>
          <w:spacing w:val="-9"/>
        </w:rPr>
        <w:t> </w:t>
      </w:r>
      <w:r>
        <w:rPr/>
        <w:t>halcón</w:t>
      </w:r>
      <w:r>
        <w:rPr>
          <w:spacing w:val="-9"/>
        </w:rPr>
        <w:t> </w:t>
      </w:r>
      <w:r>
        <w:rPr/>
        <w:t>dorado,</w:t>
      </w:r>
      <w:r>
        <w:rPr>
          <w:spacing w:val="-9"/>
        </w:rPr>
        <w:t> </w:t>
      </w:r>
      <w:r>
        <w:rPr/>
        <w:t>conejo teporingo o zacatuche, coyote, zorra y quebrantahuesos o coxcacuauhtli. Algunos campesinos cuentan en sus hogares con ganado doméstico, porcino, vacuno, caprino, aves de corral y</w:t>
      </w:r>
      <w:r>
        <w:rPr>
          <w:spacing w:val="10"/>
        </w:rPr>
        <w:t> </w:t>
      </w:r>
      <w:r>
        <w:rPr/>
        <w:t>equinos.</w:t>
      </w:r>
    </w:p>
    <w:p>
      <w:pPr>
        <w:pStyle w:val="BodyText"/>
        <w:spacing w:before="6"/>
      </w:pPr>
    </w:p>
    <w:p>
      <w:pPr>
        <w:pStyle w:val="Heading1"/>
        <w:spacing w:line="240" w:lineRule="exact"/>
        <w:ind w:left="278"/>
      </w:pPr>
      <w:r>
        <w:rPr/>
        <w:t>Caracterización socioeconómica del área de estudio con las doce localidades</w:t>
      </w:r>
    </w:p>
    <w:p>
      <w:pPr>
        <w:spacing w:before="207"/>
        <w:ind w:left="278" w:right="827" w:firstLine="0"/>
        <w:jc w:val="left"/>
        <w:rPr>
          <w:b/>
          <w:sz w:val="24"/>
        </w:rPr>
      </w:pPr>
      <w:r>
        <w:rPr>
          <w:b/>
          <w:sz w:val="24"/>
        </w:rPr>
        <w:t>Población</w:t>
      </w:r>
    </w:p>
    <w:p>
      <w:pPr>
        <w:pStyle w:val="BodyText"/>
        <w:rPr>
          <w:b/>
          <w:sz w:val="21"/>
        </w:rPr>
      </w:pPr>
    </w:p>
    <w:p>
      <w:pPr>
        <w:pStyle w:val="BodyText"/>
        <w:spacing w:line="249" w:lineRule="auto"/>
        <w:ind w:left="108" w:right="129" w:firstLine="170"/>
        <w:jc w:val="both"/>
      </w:pPr>
      <w:r>
        <w:rPr/>
        <w:t>La población total de las doce localidades, de acuerdo con los datos del censo de población y vivienda 2010, de INEGI (Instituto Nacional de Estadística y Geografía), son 45,812 habitantes, la población por municipio se distribuye de la siguiente manera: Tenancingo es el municipio con más población, le sigue Villa Guerrero y por último Malinalco. Las localidades con más habitantes son las cabeceras municipales, de estás la que tiene mayor población es Tenancingo de Degollado con 14,174 personas. La localidad con menor población es El Platanar del municipio de Malinalco con 609 habitantes.</w:t>
      </w:r>
    </w:p>
    <w:p>
      <w:pPr>
        <w:spacing w:after="0" w:line="249" w:lineRule="auto"/>
        <w:jc w:val="both"/>
        <w:sectPr>
          <w:type w:val="continuous"/>
          <w:pgSz w:w="18830" w:h="12760" w:orient="landscape"/>
          <w:pgMar w:top="1420" w:bottom="280" w:left="720" w:right="720"/>
          <w:cols w:num="2" w:equalWidth="0">
            <w:col w:w="7845" w:space="1586"/>
            <w:col w:w="7959"/>
          </w:cols>
        </w:sectPr>
      </w:pPr>
    </w:p>
    <w:p>
      <w:pPr>
        <w:pStyle w:val="BodyText"/>
        <w:rPr>
          <w:sz w:val="16"/>
        </w:rPr>
      </w:pPr>
    </w:p>
    <w:p>
      <w:pPr>
        <w:pStyle w:val="BodyText"/>
        <w:rPr>
          <w:sz w:val="16"/>
        </w:rPr>
      </w:pPr>
    </w:p>
    <w:p>
      <w:pPr>
        <w:pStyle w:val="BodyText"/>
        <w:rPr>
          <w:sz w:val="16"/>
        </w:rPr>
      </w:pPr>
    </w:p>
    <w:p>
      <w:pPr>
        <w:pStyle w:val="BodyText"/>
        <w:spacing w:before="11"/>
        <w:rPr>
          <w:sz w:val="17"/>
        </w:rPr>
      </w:pPr>
    </w:p>
    <w:p>
      <w:pPr>
        <w:spacing w:before="0"/>
        <w:ind w:left="1069" w:right="0" w:firstLine="0"/>
        <w:jc w:val="left"/>
        <w:rPr>
          <w:sz w:val="16"/>
        </w:rPr>
      </w:pPr>
      <w:r>
        <w:rPr>
          <w:color w:val="6D6E71"/>
          <w:sz w:val="16"/>
        </w:rPr>
        <w:t>Fuente: Elaboración propia, con base en el Marco Geoestadístico 2010 de INEGI.</w:t>
      </w:r>
    </w:p>
    <w:p>
      <w:pPr>
        <w:pStyle w:val="BodyText"/>
        <w:spacing w:before="1"/>
        <w:ind w:left="93" w:right="740"/>
        <w:jc w:val="center"/>
      </w:pPr>
      <w:r>
        <w:rPr/>
        <w:br w:type="column"/>
      </w:r>
      <w:r>
        <w:rPr>
          <w:color w:val="6D6E71"/>
        </w:rPr>
        <w:t>Gráfica1. Población total del área de estudio</w:t>
      </w:r>
    </w:p>
    <w:p>
      <w:pPr>
        <w:pStyle w:val="BodyText"/>
        <w:spacing w:before="8"/>
        <w:rPr>
          <w:sz w:val="15"/>
        </w:rPr>
      </w:pPr>
      <w:r>
        <w:rPr/>
        <w:drawing>
          <wp:anchor distT="0" distB="0" distL="0" distR="0" allowOverlap="1" layoutInCell="1" locked="0" behindDoc="0" simplePos="0" relativeHeight="7144">
            <wp:simplePos x="0" y="0"/>
            <wp:positionH relativeFrom="page">
              <wp:posOffset>7179094</wp:posOffset>
            </wp:positionH>
            <wp:positionV relativeFrom="paragraph">
              <wp:posOffset>139550</wp:posOffset>
            </wp:positionV>
            <wp:extent cx="3555840" cy="1738217"/>
            <wp:effectExtent l="0" t="0" r="0" b="0"/>
            <wp:wrapTopAndBottom/>
            <wp:docPr id="67" name="image52.png" descr=""/>
            <wp:cNvGraphicFramePr>
              <a:graphicFrameLocks noChangeAspect="1"/>
            </wp:cNvGraphicFramePr>
            <a:graphic>
              <a:graphicData uri="http://schemas.openxmlformats.org/drawingml/2006/picture">
                <pic:pic>
                  <pic:nvPicPr>
                    <pic:cNvPr id="68" name="image52.png"/>
                    <pic:cNvPicPr/>
                  </pic:nvPicPr>
                  <pic:blipFill>
                    <a:blip r:embed="rId215" cstate="print"/>
                    <a:stretch>
                      <a:fillRect/>
                    </a:stretch>
                  </pic:blipFill>
                  <pic:spPr>
                    <a:xfrm>
                      <a:off x="0" y="0"/>
                      <a:ext cx="3555840" cy="1738217"/>
                    </a:xfrm>
                    <a:prstGeom prst="rect">
                      <a:avLst/>
                    </a:prstGeom>
                  </pic:spPr>
                </pic:pic>
              </a:graphicData>
            </a:graphic>
          </wp:anchor>
        </w:drawing>
      </w:r>
    </w:p>
    <w:p>
      <w:pPr>
        <w:pStyle w:val="BodyText"/>
        <w:spacing w:before="8"/>
        <w:rPr>
          <w:sz w:val="15"/>
        </w:rPr>
      </w:pPr>
    </w:p>
    <w:p>
      <w:pPr>
        <w:spacing w:before="1"/>
        <w:ind w:left="93" w:right="740" w:firstLine="0"/>
        <w:jc w:val="center"/>
        <w:rPr>
          <w:sz w:val="16"/>
        </w:rPr>
      </w:pPr>
      <w:r>
        <w:rPr>
          <w:color w:val="6D6E71"/>
          <w:sz w:val="16"/>
        </w:rPr>
        <w:t>Fuente: Elaboración propia, con base en el Censo de Población y Vivienda 2010 de INEGI.</w:t>
      </w:r>
    </w:p>
    <w:p>
      <w:pPr>
        <w:spacing w:after="0"/>
        <w:jc w:val="center"/>
        <w:rPr>
          <w:sz w:val="16"/>
        </w:rPr>
        <w:sectPr>
          <w:type w:val="continuous"/>
          <w:pgSz w:w="18830" w:h="12760" w:orient="landscape"/>
          <w:pgMar w:top="1420" w:bottom="280" w:left="720" w:right="720"/>
          <w:cols w:num="2" w:equalWidth="0">
            <w:col w:w="7845" w:space="2213"/>
            <w:col w:w="7332"/>
          </w:cols>
        </w:sectPr>
      </w:pPr>
    </w:p>
    <w:p>
      <w:pPr>
        <w:pStyle w:val="BodyText"/>
        <w:spacing w:before="8"/>
      </w:pPr>
    </w:p>
    <w:p>
      <w:pPr>
        <w:spacing w:after="0"/>
        <w:sectPr>
          <w:footerReference w:type="default" r:id="rId216"/>
          <w:pgSz w:w="18830" w:h="12760" w:orient="landscape"/>
          <w:pgMar w:footer="1036" w:header="522" w:top="820" w:bottom="1220" w:left="720" w:right="720"/>
        </w:sectPr>
      </w:pPr>
    </w:p>
    <w:p>
      <w:pPr>
        <w:pStyle w:val="BodyText"/>
        <w:spacing w:line="249" w:lineRule="auto" w:before="109"/>
        <w:ind w:left="135" w:firstLine="170"/>
        <w:jc w:val="both"/>
      </w:pPr>
      <w:r>
        <w:rPr/>
        <w:t>Al comparar la población del área de estudio con la del Estado de México representa 0.30% de la población total de éste. Equivale a menos de 1% de la población mexiquense.</w:t>
      </w:r>
    </w:p>
    <w:p>
      <w:pPr>
        <w:pStyle w:val="BodyText"/>
        <w:spacing w:before="11"/>
      </w:pPr>
    </w:p>
    <w:p>
      <w:pPr>
        <w:pStyle w:val="BodyText"/>
        <w:spacing w:line="249" w:lineRule="auto"/>
        <w:ind w:left="135" w:firstLine="170"/>
        <w:jc w:val="both"/>
      </w:pPr>
      <w:r>
        <w:rPr/>
        <w:t>Del total de población, 23,830 corresponde a población femenina y 21,982 población</w:t>
      </w:r>
      <w:r>
        <w:rPr>
          <w:w w:val="102"/>
        </w:rPr>
        <w:t> </w:t>
      </w:r>
      <w:r>
        <w:rPr/>
        <w:t>masculina, en el área de estudio la diferencia poblacional en cuanto a género no es significativa.</w:t>
      </w:r>
    </w:p>
    <w:p>
      <w:pPr>
        <w:pStyle w:val="BodyText"/>
        <w:spacing w:before="2"/>
        <w:rPr>
          <w:sz w:val="24"/>
        </w:rPr>
      </w:pPr>
    </w:p>
    <w:p>
      <w:pPr>
        <w:spacing w:before="0"/>
        <w:ind w:left="741" w:right="606" w:firstLine="0"/>
        <w:jc w:val="center"/>
        <w:rPr>
          <w:sz w:val="16"/>
        </w:rPr>
      </w:pPr>
      <w:r>
        <w:rPr>
          <w:color w:val="6D6E71"/>
          <w:sz w:val="16"/>
        </w:rPr>
        <w:t>Gráfica 2. Población del área de estudio por género</w:t>
      </w:r>
    </w:p>
    <w:p>
      <w:pPr>
        <w:pStyle w:val="BodyText"/>
        <w:spacing w:before="5"/>
        <w:rPr>
          <w:sz w:val="11"/>
        </w:rPr>
      </w:pPr>
      <w:r>
        <w:rPr/>
        <w:drawing>
          <wp:anchor distT="0" distB="0" distL="0" distR="0" allowOverlap="1" layoutInCell="1" locked="0" behindDoc="0" simplePos="0" relativeHeight="7192">
            <wp:simplePos x="0" y="0"/>
            <wp:positionH relativeFrom="page">
              <wp:posOffset>1014907</wp:posOffset>
            </wp:positionH>
            <wp:positionV relativeFrom="paragraph">
              <wp:posOffset>108674</wp:posOffset>
            </wp:positionV>
            <wp:extent cx="3939135" cy="1480185"/>
            <wp:effectExtent l="0" t="0" r="0" b="0"/>
            <wp:wrapTopAndBottom/>
            <wp:docPr id="69" name="image53.jpeg" descr=""/>
            <wp:cNvGraphicFramePr>
              <a:graphicFrameLocks noChangeAspect="1"/>
            </wp:cNvGraphicFramePr>
            <a:graphic>
              <a:graphicData uri="http://schemas.openxmlformats.org/drawingml/2006/picture">
                <pic:pic>
                  <pic:nvPicPr>
                    <pic:cNvPr id="70" name="image53.jpeg"/>
                    <pic:cNvPicPr/>
                  </pic:nvPicPr>
                  <pic:blipFill>
                    <a:blip r:embed="rId217" cstate="print"/>
                    <a:stretch>
                      <a:fillRect/>
                    </a:stretch>
                  </pic:blipFill>
                  <pic:spPr>
                    <a:xfrm>
                      <a:off x="0" y="0"/>
                      <a:ext cx="3939135" cy="1480185"/>
                    </a:xfrm>
                    <a:prstGeom prst="rect">
                      <a:avLst/>
                    </a:prstGeom>
                  </pic:spPr>
                </pic:pic>
              </a:graphicData>
            </a:graphic>
          </wp:anchor>
        </w:drawing>
      </w:r>
    </w:p>
    <w:p>
      <w:pPr>
        <w:pStyle w:val="BodyText"/>
        <w:spacing w:before="3"/>
        <w:rPr>
          <w:sz w:val="14"/>
        </w:rPr>
      </w:pPr>
    </w:p>
    <w:p>
      <w:pPr>
        <w:spacing w:before="1"/>
        <w:ind w:left="741" w:right="606" w:firstLine="0"/>
        <w:jc w:val="center"/>
        <w:rPr>
          <w:sz w:val="16"/>
        </w:rPr>
      </w:pPr>
      <w:r>
        <w:rPr>
          <w:color w:val="6D6E71"/>
          <w:sz w:val="16"/>
        </w:rPr>
        <w:t>Fuente: Elaboración propia, con base en el Censo de Población y Vivienda 2010 de INEGI.</w:t>
      </w:r>
    </w:p>
    <w:p>
      <w:pPr>
        <w:pStyle w:val="BodyText"/>
        <w:spacing w:before="5"/>
        <w:rPr>
          <w:sz w:val="22"/>
        </w:rPr>
      </w:pPr>
    </w:p>
    <w:p>
      <w:pPr>
        <w:pStyle w:val="BodyText"/>
        <w:spacing w:line="249" w:lineRule="auto"/>
        <w:ind w:left="135" w:firstLine="170"/>
        <w:jc w:val="both"/>
      </w:pPr>
      <w:r>
        <w:rPr/>
        <w:t>La población del área de estudio se divide en 11,269 menores de edad, 30,387 adultos</w:t>
      </w:r>
      <w:r>
        <w:rPr>
          <w:spacing w:val="-10"/>
        </w:rPr>
        <w:t> </w:t>
      </w:r>
      <w:r>
        <w:rPr/>
        <w:t>y</w:t>
      </w:r>
      <w:r>
        <w:rPr>
          <w:spacing w:val="-11"/>
        </w:rPr>
        <w:t> </w:t>
      </w:r>
      <w:r>
        <w:rPr/>
        <w:t>4,156</w:t>
      </w:r>
      <w:r>
        <w:rPr>
          <w:spacing w:val="-11"/>
        </w:rPr>
        <w:t> </w:t>
      </w:r>
      <w:r>
        <w:rPr/>
        <w:t>personas</w:t>
      </w:r>
      <w:r>
        <w:rPr>
          <w:spacing w:val="-10"/>
        </w:rPr>
        <w:t> </w:t>
      </w:r>
      <w:r>
        <w:rPr/>
        <w:t>que</w:t>
      </w:r>
      <w:r>
        <w:rPr>
          <w:spacing w:val="-11"/>
        </w:rPr>
        <w:t> </w:t>
      </w:r>
      <w:r>
        <w:rPr/>
        <w:t>tienen</w:t>
      </w:r>
      <w:r>
        <w:rPr>
          <w:spacing w:val="-11"/>
        </w:rPr>
        <w:t> </w:t>
      </w:r>
      <w:r>
        <w:rPr/>
        <w:t>más</w:t>
      </w:r>
      <w:r>
        <w:rPr>
          <w:spacing w:val="-11"/>
        </w:rPr>
        <w:t> </w:t>
      </w:r>
      <w:r>
        <w:rPr/>
        <w:t>de</w:t>
      </w:r>
      <w:r>
        <w:rPr>
          <w:spacing w:val="-11"/>
        </w:rPr>
        <w:t> </w:t>
      </w:r>
      <w:r>
        <w:rPr/>
        <w:t>60</w:t>
      </w:r>
      <w:r>
        <w:rPr>
          <w:spacing w:val="-11"/>
        </w:rPr>
        <w:t> </w:t>
      </w:r>
      <w:r>
        <w:rPr/>
        <w:t>años.</w:t>
      </w:r>
      <w:r>
        <w:rPr>
          <w:spacing w:val="-11"/>
        </w:rPr>
        <w:t> </w:t>
      </w:r>
      <w:r>
        <w:rPr/>
        <w:t>El</w:t>
      </w:r>
      <w:r>
        <w:rPr>
          <w:spacing w:val="-11"/>
        </w:rPr>
        <w:t> </w:t>
      </w:r>
      <w:r>
        <w:rPr/>
        <w:t>grupo</w:t>
      </w:r>
      <w:r>
        <w:rPr>
          <w:spacing w:val="-11"/>
        </w:rPr>
        <w:t> </w:t>
      </w:r>
      <w:r>
        <w:rPr/>
        <w:t>de</w:t>
      </w:r>
      <w:r>
        <w:rPr>
          <w:spacing w:val="-11"/>
        </w:rPr>
        <w:t> </w:t>
      </w:r>
      <w:r>
        <w:rPr/>
        <w:t>edad</w:t>
      </w:r>
      <w:r>
        <w:rPr>
          <w:spacing w:val="-11"/>
        </w:rPr>
        <w:t> </w:t>
      </w:r>
      <w:r>
        <w:rPr/>
        <w:t>que</w:t>
      </w:r>
      <w:r>
        <w:rPr>
          <w:spacing w:val="-11"/>
        </w:rPr>
        <w:t> </w:t>
      </w:r>
      <w:r>
        <w:rPr/>
        <w:t>tiene</w:t>
      </w:r>
      <w:r>
        <w:rPr>
          <w:spacing w:val="-11"/>
        </w:rPr>
        <w:t> </w:t>
      </w:r>
      <w:r>
        <w:rPr/>
        <w:t>mayor población es el de adultos y se encuentra en los rangos de edad de 18 a 59 años, le siguen los menores de edad, por último los adultos</w:t>
      </w:r>
      <w:r>
        <w:rPr>
          <w:spacing w:val="-24"/>
        </w:rPr>
        <w:t> </w:t>
      </w:r>
      <w:r>
        <w:rPr/>
        <w:t>mayores.</w:t>
      </w:r>
    </w:p>
    <w:p>
      <w:pPr>
        <w:pStyle w:val="BodyText"/>
        <w:spacing w:before="11"/>
      </w:pPr>
    </w:p>
    <w:p>
      <w:pPr>
        <w:pStyle w:val="BodyText"/>
        <w:ind w:left="741" w:right="606"/>
        <w:jc w:val="center"/>
      </w:pPr>
      <w:r>
        <w:rPr>
          <w:color w:val="6D6E71"/>
        </w:rPr>
        <w:t>Gráfica 3. Grupos de edades en el área de estudio</w:t>
      </w:r>
    </w:p>
    <w:p>
      <w:pPr>
        <w:pStyle w:val="BodyText"/>
        <w:spacing w:before="2"/>
        <w:rPr>
          <w:sz w:val="14"/>
        </w:rPr>
      </w:pPr>
      <w:r>
        <w:rPr/>
        <w:drawing>
          <wp:anchor distT="0" distB="0" distL="0" distR="0" allowOverlap="1" layoutInCell="1" locked="0" behindDoc="0" simplePos="0" relativeHeight="7216">
            <wp:simplePos x="0" y="0"/>
            <wp:positionH relativeFrom="page">
              <wp:posOffset>1041196</wp:posOffset>
            </wp:positionH>
            <wp:positionV relativeFrom="paragraph">
              <wp:posOffset>128641</wp:posOffset>
            </wp:positionV>
            <wp:extent cx="3903068" cy="1589151"/>
            <wp:effectExtent l="0" t="0" r="0" b="0"/>
            <wp:wrapTopAndBottom/>
            <wp:docPr id="71" name="image54.png" descr=""/>
            <wp:cNvGraphicFramePr>
              <a:graphicFrameLocks noChangeAspect="1"/>
            </wp:cNvGraphicFramePr>
            <a:graphic>
              <a:graphicData uri="http://schemas.openxmlformats.org/drawingml/2006/picture">
                <pic:pic>
                  <pic:nvPicPr>
                    <pic:cNvPr id="72" name="image54.png"/>
                    <pic:cNvPicPr/>
                  </pic:nvPicPr>
                  <pic:blipFill>
                    <a:blip r:embed="rId218" cstate="print"/>
                    <a:stretch>
                      <a:fillRect/>
                    </a:stretch>
                  </pic:blipFill>
                  <pic:spPr>
                    <a:xfrm>
                      <a:off x="0" y="0"/>
                      <a:ext cx="3903068" cy="1589151"/>
                    </a:xfrm>
                    <a:prstGeom prst="rect">
                      <a:avLst/>
                    </a:prstGeom>
                  </pic:spPr>
                </pic:pic>
              </a:graphicData>
            </a:graphic>
          </wp:anchor>
        </w:drawing>
      </w:r>
    </w:p>
    <w:p>
      <w:pPr>
        <w:pStyle w:val="BodyText"/>
      </w:pPr>
    </w:p>
    <w:p>
      <w:pPr>
        <w:pStyle w:val="BodyText"/>
        <w:spacing w:before="7"/>
        <w:rPr>
          <w:sz w:val="17"/>
        </w:rPr>
      </w:pPr>
    </w:p>
    <w:p>
      <w:pPr>
        <w:spacing w:before="1"/>
        <w:ind w:left="741" w:right="606" w:firstLine="0"/>
        <w:jc w:val="center"/>
        <w:rPr>
          <w:sz w:val="16"/>
        </w:rPr>
      </w:pPr>
      <w:r>
        <w:rPr>
          <w:color w:val="6D6E71"/>
          <w:sz w:val="16"/>
        </w:rPr>
        <w:t>Fuente: Elaboración propia, con base en el Censo de Población y Vivienda 2010 de INEGI.</w:t>
      </w:r>
    </w:p>
    <w:p>
      <w:pPr>
        <w:pStyle w:val="Heading1"/>
        <w:spacing w:before="71"/>
        <w:ind w:left="372" w:right="108"/>
      </w:pPr>
      <w:r>
        <w:rPr>
          <w:b w:val="0"/>
        </w:rPr>
        <w:br w:type="column"/>
      </w:r>
      <w:r>
        <w:rPr/>
        <w:t>Características educativas</w:t>
      </w:r>
    </w:p>
    <w:p>
      <w:pPr>
        <w:pStyle w:val="BodyText"/>
        <w:rPr>
          <w:b/>
          <w:sz w:val="21"/>
        </w:rPr>
      </w:pPr>
    </w:p>
    <w:p>
      <w:pPr>
        <w:pStyle w:val="BodyText"/>
        <w:spacing w:line="249" w:lineRule="auto"/>
        <w:ind w:left="135" w:right="127" w:firstLine="170"/>
        <w:jc w:val="both"/>
      </w:pPr>
      <w:r>
        <w:rPr/>
        <w:t>En lo que respecta a la escolaridad, del total de la población en el área de estudio, 12,841 personas asisten a la escuela, 10,670 no asisten a la escuela, 8,560 poseen educación pos-básica, 7,513 cuenta con educación básica y 2,018 personas es analfabeta. En términos generales, la población cuenta con instrucción escolar básica. El analfabetismo es bajo.</w:t>
      </w:r>
    </w:p>
    <w:p>
      <w:pPr>
        <w:pStyle w:val="BodyText"/>
        <w:spacing w:before="11"/>
      </w:pPr>
    </w:p>
    <w:p>
      <w:pPr>
        <w:pStyle w:val="BodyText"/>
        <w:ind w:left="675" w:right="108"/>
      </w:pPr>
      <w:r>
        <w:rPr>
          <w:color w:val="6D6E71"/>
        </w:rPr>
        <w:t>Gráfica 4. Características educativas de la población en el área de estudio</w:t>
      </w:r>
    </w:p>
    <w:p>
      <w:pPr>
        <w:pStyle w:val="BodyText"/>
        <w:spacing w:before="2"/>
        <w:rPr>
          <w:sz w:val="13"/>
        </w:rPr>
      </w:pPr>
      <w:r>
        <w:rPr/>
        <w:drawing>
          <wp:anchor distT="0" distB="0" distL="0" distR="0" allowOverlap="1" layoutInCell="1" locked="0" behindDoc="0" simplePos="0" relativeHeight="7240">
            <wp:simplePos x="0" y="0"/>
            <wp:positionH relativeFrom="page">
              <wp:posOffset>7027316</wp:posOffset>
            </wp:positionH>
            <wp:positionV relativeFrom="paragraph">
              <wp:posOffset>121491</wp:posOffset>
            </wp:positionV>
            <wp:extent cx="3860204" cy="2671286"/>
            <wp:effectExtent l="0" t="0" r="0" b="0"/>
            <wp:wrapTopAndBottom/>
            <wp:docPr id="73" name="image55.png" descr=""/>
            <wp:cNvGraphicFramePr>
              <a:graphicFrameLocks noChangeAspect="1"/>
            </wp:cNvGraphicFramePr>
            <a:graphic>
              <a:graphicData uri="http://schemas.openxmlformats.org/drawingml/2006/picture">
                <pic:pic>
                  <pic:nvPicPr>
                    <pic:cNvPr id="74" name="image55.png"/>
                    <pic:cNvPicPr/>
                  </pic:nvPicPr>
                  <pic:blipFill>
                    <a:blip r:embed="rId219" cstate="print"/>
                    <a:stretch>
                      <a:fillRect/>
                    </a:stretch>
                  </pic:blipFill>
                  <pic:spPr>
                    <a:xfrm>
                      <a:off x="0" y="0"/>
                      <a:ext cx="3860204" cy="2671286"/>
                    </a:xfrm>
                    <a:prstGeom prst="rect">
                      <a:avLst/>
                    </a:prstGeom>
                  </pic:spPr>
                </pic:pic>
              </a:graphicData>
            </a:graphic>
          </wp:anchor>
        </w:drawing>
      </w:r>
    </w:p>
    <w:p>
      <w:pPr>
        <w:pStyle w:val="BodyText"/>
        <w:spacing w:before="7"/>
        <w:rPr>
          <w:sz w:val="15"/>
        </w:rPr>
      </w:pPr>
    </w:p>
    <w:p>
      <w:pPr>
        <w:spacing w:before="1"/>
        <w:ind w:left="761" w:right="108" w:firstLine="0"/>
        <w:jc w:val="left"/>
        <w:rPr>
          <w:sz w:val="16"/>
        </w:rPr>
      </w:pPr>
      <w:r>
        <w:rPr>
          <w:color w:val="6D6E71"/>
          <w:sz w:val="16"/>
        </w:rPr>
        <w:t>Fuente: Elaboración propia, con base en el Censo de Población y Vivienda 2010 de INEGI.</w:t>
      </w:r>
    </w:p>
    <w:p>
      <w:pPr>
        <w:pStyle w:val="BodyText"/>
        <w:spacing w:before="2"/>
        <w:rPr>
          <w:sz w:val="19"/>
        </w:rPr>
      </w:pPr>
    </w:p>
    <w:p>
      <w:pPr>
        <w:pStyle w:val="Heading1"/>
        <w:ind w:left="305" w:right="108"/>
      </w:pPr>
      <w:r>
        <w:rPr/>
        <w:t>Características económicas</w:t>
      </w:r>
    </w:p>
    <w:p>
      <w:pPr>
        <w:pStyle w:val="BodyText"/>
        <w:rPr>
          <w:b/>
          <w:sz w:val="21"/>
        </w:rPr>
      </w:pPr>
    </w:p>
    <w:p>
      <w:pPr>
        <w:pStyle w:val="BodyText"/>
        <w:spacing w:line="249" w:lineRule="auto"/>
        <w:ind w:left="135" w:right="128" w:firstLine="170"/>
        <w:jc w:val="both"/>
      </w:pPr>
      <w:r>
        <w:rPr/>
        <w:t>En cuanto a las características económicas, la población económicamente activa  son 18,792 personas y 14,868 personas son económicamente inactivas. Más de la mitad de la población se encuentra inmersa en alguna actividad productiva, el resto   de la población se encontraba económicamente inactiva porque no tenían trabajo en   el momento del censo, son jubilados, pensionados o tienen alguna limitación que les impide</w:t>
      </w:r>
      <w:r>
        <w:rPr>
          <w:spacing w:val="-5"/>
        </w:rPr>
        <w:t> </w:t>
      </w:r>
      <w:r>
        <w:rPr/>
        <w:t>trabajar.</w:t>
      </w:r>
    </w:p>
    <w:p>
      <w:pPr>
        <w:spacing w:after="0" w:line="249" w:lineRule="auto"/>
        <w:jc w:val="both"/>
        <w:sectPr>
          <w:type w:val="continuous"/>
          <w:pgSz w:w="18830" w:h="12760" w:orient="landscape"/>
          <w:pgMar w:top="1420" w:bottom="280" w:left="720" w:right="720"/>
          <w:cols w:num="2" w:equalWidth="0">
            <w:col w:w="7846" w:space="1560"/>
            <w:col w:w="7984"/>
          </w:cols>
        </w:sectPr>
      </w:pPr>
    </w:p>
    <w:p>
      <w:pPr>
        <w:pStyle w:val="BodyText"/>
        <w:spacing w:before="5"/>
        <w:rPr>
          <w:sz w:val="15"/>
        </w:rPr>
      </w:pPr>
    </w:p>
    <w:p>
      <w:pPr>
        <w:spacing w:after="0"/>
        <w:rPr>
          <w:sz w:val="15"/>
        </w:rPr>
        <w:sectPr>
          <w:footerReference w:type="default" r:id="rId220"/>
          <w:pgSz w:w="18830" w:h="12760" w:orient="landscape"/>
          <w:pgMar w:footer="1036" w:header="522" w:top="820" w:bottom="1220" w:left="720" w:right="720"/>
        </w:sectPr>
      </w:pPr>
    </w:p>
    <w:p>
      <w:pPr>
        <w:pStyle w:val="BodyText"/>
        <w:rPr>
          <w:sz w:val="18"/>
        </w:rPr>
      </w:pPr>
    </w:p>
    <w:p>
      <w:pPr>
        <w:spacing w:before="0"/>
        <w:ind w:left="759" w:right="607" w:firstLine="0"/>
        <w:jc w:val="center"/>
        <w:rPr>
          <w:sz w:val="16"/>
        </w:rPr>
      </w:pPr>
      <w:r>
        <w:rPr>
          <w:color w:val="6D6E71"/>
          <w:sz w:val="16"/>
        </w:rPr>
        <w:t>Gráfica 5. Características económicas de la población en el área de estudio</w:t>
      </w:r>
    </w:p>
    <w:p>
      <w:pPr>
        <w:pStyle w:val="BodyText"/>
        <w:spacing w:before="5"/>
        <w:rPr>
          <w:sz w:val="22"/>
        </w:rPr>
      </w:pPr>
    </w:p>
    <w:p>
      <w:pPr>
        <w:pStyle w:val="Heading3"/>
        <w:ind w:left="759" w:right="436"/>
        <w:jc w:val="center"/>
      </w:pPr>
      <w:r>
        <w:rPr/>
        <w:t>Características económicas en el área de estudio</w:t>
      </w:r>
    </w:p>
    <w:p>
      <w:pPr>
        <w:pStyle w:val="BodyText"/>
        <w:rPr>
          <w:b/>
        </w:rPr>
      </w:pPr>
    </w:p>
    <w:p>
      <w:pPr>
        <w:pStyle w:val="BodyText"/>
        <w:spacing w:before="7"/>
        <w:rPr>
          <w:b/>
          <w:sz w:val="14"/>
        </w:rPr>
      </w:pPr>
      <w:r>
        <w:rPr/>
        <w:drawing>
          <wp:anchor distT="0" distB="0" distL="0" distR="0" allowOverlap="1" layoutInCell="1" locked="0" behindDoc="0" simplePos="0" relativeHeight="7264">
            <wp:simplePos x="0" y="0"/>
            <wp:positionH relativeFrom="page">
              <wp:posOffset>1108430</wp:posOffset>
            </wp:positionH>
            <wp:positionV relativeFrom="paragraph">
              <wp:posOffset>131854</wp:posOffset>
            </wp:positionV>
            <wp:extent cx="3791640" cy="2032253"/>
            <wp:effectExtent l="0" t="0" r="0" b="0"/>
            <wp:wrapTopAndBottom/>
            <wp:docPr id="75" name="image56.png" descr=""/>
            <wp:cNvGraphicFramePr>
              <a:graphicFrameLocks noChangeAspect="1"/>
            </wp:cNvGraphicFramePr>
            <a:graphic>
              <a:graphicData uri="http://schemas.openxmlformats.org/drawingml/2006/picture">
                <pic:pic>
                  <pic:nvPicPr>
                    <pic:cNvPr id="76" name="image56.png"/>
                    <pic:cNvPicPr/>
                  </pic:nvPicPr>
                  <pic:blipFill>
                    <a:blip r:embed="rId221" cstate="print"/>
                    <a:stretch>
                      <a:fillRect/>
                    </a:stretch>
                  </pic:blipFill>
                  <pic:spPr>
                    <a:xfrm>
                      <a:off x="0" y="0"/>
                      <a:ext cx="3791640" cy="2032253"/>
                    </a:xfrm>
                    <a:prstGeom prst="rect">
                      <a:avLst/>
                    </a:prstGeom>
                  </pic:spPr>
                </pic:pic>
              </a:graphicData>
            </a:graphic>
          </wp:anchor>
        </w:drawing>
      </w:r>
    </w:p>
    <w:p>
      <w:pPr>
        <w:pStyle w:val="BodyText"/>
        <w:spacing w:before="2"/>
        <w:rPr>
          <w:b/>
          <w:sz w:val="19"/>
        </w:rPr>
      </w:pPr>
    </w:p>
    <w:p>
      <w:pPr>
        <w:spacing w:before="0"/>
        <w:ind w:left="759" w:right="607" w:firstLine="0"/>
        <w:jc w:val="center"/>
        <w:rPr>
          <w:sz w:val="16"/>
        </w:rPr>
      </w:pPr>
      <w:r>
        <w:rPr>
          <w:color w:val="6D6E71"/>
          <w:sz w:val="16"/>
        </w:rPr>
        <w:t>Fuente: Elaboración propia, con base en el Censo de Población y Vivienda 2010 de INEGI.</w:t>
      </w:r>
    </w:p>
    <w:p>
      <w:pPr>
        <w:pStyle w:val="BodyText"/>
        <w:spacing w:before="5"/>
        <w:rPr>
          <w:sz w:val="22"/>
        </w:rPr>
      </w:pPr>
    </w:p>
    <w:p>
      <w:pPr>
        <w:pStyle w:val="BodyText"/>
        <w:spacing w:line="249" w:lineRule="auto"/>
        <w:ind w:left="153" w:firstLine="170"/>
        <w:jc w:val="both"/>
      </w:pPr>
      <w:r>
        <w:rPr/>
        <w:t>Las personas que tienen derecho a recibir servicios médicos en alguna institución   de salud pública o privada, es de 27,490 habitantes, mientras qué la que no tienen derecho</w:t>
      </w:r>
      <w:r>
        <w:rPr>
          <w:spacing w:val="40"/>
        </w:rPr>
        <w:t> </w:t>
      </w:r>
      <w:r>
        <w:rPr/>
        <w:t>a</w:t>
      </w:r>
      <w:r>
        <w:rPr>
          <w:spacing w:val="40"/>
        </w:rPr>
        <w:t> </w:t>
      </w:r>
      <w:r>
        <w:rPr/>
        <w:t>recibir</w:t>
      </w:r>
      <w:r>
        <w:rPr>
          <w:spacing w:val="40"/>
        </w:rPr>
        <w:t> </w:t>
      </w:r>
      <w:r>
        <w:rPr/>
        <w:t>servicios</w:t>
      </w:r>
      <w:r>
        <w:rPr>
          <w:spacing w:val="40"/>
        </w:rPr>
        <w:t> </w:t>
      </w:r>
      <w:r>
        <w:rPr/>
        <w:t>médicos</w:t>
      </w:r>
      <w:r>
        <w:rPr>
          <w:spacing w:val="40"/>
        </w:rPr>
        <w:t> </w:t>
      </w:r>
      <w:r>
        <w:rPr/>
        <w:t>en</w:t>
      </w:r>
      <w:r>
        <w:rPr>
          <w:spacing w:val="40"/>
        </w:rPr>
        <w:t> </w:t>
      </w:r>
      <w:r>
        <w:rPr/>
        <w:t>ninguna</w:t>
      </w:r>
      <w:r>
        <w:rPr>
          <w:spacing w:val="40"/>
        </w:rPr>
        <w:t> </w:t>
      </w:r>
      <w:r>
        <w:rPr/>
        <w:t>institución</w:t>
      </w:r>
      <w:r>
        <w:rPr>
          <w:spacing w:val="40"/>
        </w:rPr>
        <w:t> </w:t>
      </w:r>
      <w:r>
        <w:rPr/>
        <w:t>pública</w:t>
      </w:r>
      <w:r>
        <w:rPr>
          <w:spacing w:val="40"/>
        </w:rPr>
        <w:t> </w:t>
      </w:r>
      <w:r>
        <w:rPr/>
        <w:t>o</w:t>
      </w:r>
      <w:r>
        <w:rPr>
          <w:spacing w:val="40"/>
        </w:rPr>
        <w:t> </w:t>
      </w:r>
      <w:r>
        <w:rPr/>
        <w:t>privada</w:t>
      </w:r>
      <w:r>
        <w:rPr>
          <w:spacing w:val="40"/>
        </w:rPr>
        <w:t> </w:t>
      </w:r>
      <w:r>
        <w:rPr/>
        <w:t>es</w:t>
      </w:r>
      <w:r>
        <w:rPr>
          <w:spacing w:val="40"/>
        </w:rPr>
        <w:t> </w:t>
      </w:r>
      <w:r>
        <w:rPr/>
        <w:t>de</w:t>
      </w:r>
      <w:r>
        <w:rPr>
          <w:w w:val="101"/>
        </w:rPr>
        <w:t> </w:t>
      </w:r>
      <w:r>
        <w:rPr/>
        <w:t>17,553 personas. Aproximadamente 60% de la población tiene acceso a atención médica y 38% no cuenta con este </w:t>
      </w:r>
      <w:r>
        <w:rPr>
          <w:spacing w:val="9"/>
        </w:rPr>
        <w:t> </w:t>
      </w:r>
      <w:r>
        <w:rPr/>
        <w:t>derecho.</w:t>
      </w:r>
    </w:p>
    <w:p>
      <w:pPr>
        <w:pStyle w:val="BodyText"/>
        <w:spacing w:before="8"/>
        <w:rPr>
          <w:sz w:val="17"/>
        </w:rPr>
      </w:pPr>
    </w:p>
    <w:p>
      <w:pPr>
        <w:pStyle w:val="Heading1"/>
        <w:ind w:left="323"/>
      </w:pPr>
      <w:r>
        <w:rPr/>
        <w:t>Características de las viviendas</w:t>
      </w:r>
    </w:p>
    <w:p>
      <w:pPr>
        <w:pStyle w:val="BodyText"/>
        <w:rPr>
          <w:b/>
          <w:sz w:val="21"/>
        </w:rPr>
      </w:pPr>
    </w:p>
    <w:p>
      <w:pPr>
        <w:pStyle w:val="BodyText"/>
        <w:spacing w:line="249" w:lineRule="auto"/>
        <w:ind w:left="153" w:firstLine="170"/>
        <w:jc w:val="both"/>
      </w:pPr>
      <w:r>
        <w:rPr/>
        <w:t>En los localidades hay un total de 12,990 viviendas, de las cuales 10,922 están habitadas, es decir que 84% de las casa habitación están ocupadas, con un promedio de 4 personas por vivienda. De las 10,922 viviendas, esto representa que 95% de    las casas son de materiales duraderos. En cuanto a dotación de servicios públicos básicos la mayoría cuenta con los servicios de luz eléctrica, agua entubada de la red pública y drenaje. El tipo de material de construcción que están hechas las viviendas son materiales</w:t>
      </w:r>
      <w:r>
        <w:rPr>
          <w:spacing w:val="10"/>
        </w:rPr>
        <w:t> </w:t>
      </w:r>
      <w:r>
        <w:rPr/>
        <w:t>duraderos.</w:t>
      </w:r>
    </w:p>
    <w:p>
      <w:pPr>
        <w:pStyle w:val="BodyText"/>
        <w:spacing w:before="75"/>
        <w:ind w:left="23"/>
        <w:jc w:val="center"/>
      </w:pPr>
      <w:r>
        <w:rPr/>
        <w:br w:type="column"/>
      </w:r>
      <w:r>
        <w:rPr/>
        <w:t>Gráfica 6. Características de las viviendas del área de estudio</w:t>
      </w:r>
    </w:p>
    <w:p>
      <w:pPr>
        <w:pStyle w:val="BodyText"/>
        <w:spacing w:before="10"/>
        <w:rPr>
          <w:sz w:val="29"/>
        </w:rPr>
      </w:pPr>
    </w:p>
    <w:p>
      <w:pPr>
        <w:pStyle w:val="Heading3"/>
        <w:spacing w:before="1"/>
        <w:ind w:left="193"/>
        <w:jc w:val="center"/>
      </w:pPr>
      <w:r>
        <w:rPr/>
        <w:t>Características de las viviendas en el área de estudio</w:t>
      </w:r>
    </w:p>
    <w:p>
      <w:pPr>
        <w:pStyle w:val="BodyText"/>
        <w:spacing w:before="2"/>
        <w:rPr>
          <w:b/>
          <w:sz w:val="15"/>
        </w:rPr>
      </w:pPr>
      <w:r>
        <w:rPr/>
        <w:drawing>
          <wp:anchor distT="0" distB="0" distL="0" distR="0" allowOverlap="1" layoutInCell="1" locked="0" behindDoc="0" simplePos="0" relativeHeight="7288">
            <wp:simplePos x="0" y="0"/>
            <wp:positionH relativeFrom="page">
              <wp:posOffset>6532816</wp:posOffset>
            </wp:positionH>
            <wp:positionV relativeFrom="paragraph">
              <wp:posOffset>135550</wp:posOffset>
            </wp:positionV>
            <wp:extent cx="4886992" cy="2752725"/>
            <wp:effectExtent l="0" t="0" r="0" b="0"/>
            <wp:wrapTopAndBottom/>
            <wp:docPr id="77" name="image57.png" descr=""/>
            <wp:cNvGraphicFramePr>
              <a:graphicFrameLocks noChangeAspect="1"/>
            </wp:cNvGraphicFramePr>
            <a:graphic>
              <a:graphicData uri="http://schemas.openxmlformats.org/drawingml/2006/picture">
                <pic:pic>
                  <pic:nvPicPr>
                    <pic:cNvPr id="78" name="image57.png"/>
                    <pic:cNvPicPr/>
                  </pic:nvPicPr>
                  <pic:blipFill>
                    <a:blip r:embed="rId222" cstate="print"/>
                    <a:stretch>
                      <a:fillRect/>
                    </a:stretch>
                  </pic:blipFill>
                  <pic:spPr>
                    <a:xfrm>
                      <a:off x="0" y="0"/>
                      <a:ext cx="4886992" cy="2752725"/>
                    </a:xfrm>
                    <a:prstGeom prst="rect">
                      <a:avLst/>
                    </a:prstGeom>
                  </pic:spPr>
                </pic:pic>
              </a:graphicData>
            </a:graphic>
          </wp:anchor>
        </w:drawing>
      </w:r>
    </w:p>
    <w:p>
      <w:pPr>
        <w:pStyle w:val="BodyText"/>
        <w:spacing w:before="5"/>
        <w:rPr>
          <w:b/>
          <w:sz w:val="23"/>
        </w:rPr>
      </w:pPr>
    </w:p>
    <w:p>
      <w:pPr>
        <w:spacing w:before="0"/>
        <w:ind w:left="23" w:right="0" w:firstLine="0"/>
        <w:jc w:val="center"/>
        <w:rPr>
          <w:sz w:val="16"/>
        </w:rPr>
      </w:pPr>
      <w:r>
        <w:rPr>
          <w:color w:val="6D6E71"/>
          <w:sz w:val="16"/>
        </w:rPr>
        <w:t>Fuente: Elaboración propia, con base en el Censo de Población y Vivienda 2010 de INEGI.</w:t>
      </w:r>
    </w:p>
    <w:p>
      <w:pPr>
        <w:pStyle w:val="BodyText"/>
        <w:spacing w:before="1"/>
        <w:rPr>
          <w:sz w:val="22"/>
        </w:rPr>
      </w:pPr>
    </w:p>
    <w:p>
      <w:pPr>
        <w:pStyle w:val="Heading1"/>
        <w:spacing w:line="240" w:lineRule="exact"/>
        <w:ind w:left="323" w:right="30"/>
      </w:pPr>
      <w:r>
        <w:rPr/>
        <w:t>Características socioeconómicas de las familias con huerto familiar</w:t>
      </w:r>
    </w:p>
    <w:p>
      <w:pPr>
        <w:pStyle w:val="BodyText"/>
        <w:spacing w:before="2"/>
        <w:rPr>
          <w:b/>
          <w:sz w:val="21"/>
        </w:rPr>
      </w:pPr>
    </w:p>
    <w:p>
      <w:pPr>
        <w:pStyle w:val="BodyText"/>
        <w:spacing w:line="249" w:lineRule="auto" w:before="1"/>
        <w:ind w:left="153" w:right="128" w:firstLine="170"/>
        <w:jc w:val="both"/>
      </w:pPr>
      <w:r>
        <w:rPr/>
        <w:t>En el cuadro 2 y gráfica 7 se muestra la proporción de entrevistados por género; es posible observar que tres cuartas partes de ellos fueron mujeres. Esto puede deberse a la hora de la entrevista, los hombres salieron al trabajo, y las mujeres estaban en la vivienda.</w:t>
      </w:r>
    </w:p>
    <w:p>
      <w:pPr>
        <w:tabs>
          <w:tab w:pos="1857" w:val="left" w:leader="none"/>
          <w:tab w:pos="6456" w:val="left" w:leader="none"/>
        </w:tabs>
        <w:spacing w:line="177" w:lineRule="exact" w:before="21"/>
        <w:ind w:left="23" w:right="0" w:firstLine="0"/>
        <w:jc w:val="center"/>
        <w:rPr>
          <w:sz w:val="16"/>
        </w:rPr>
      </w:pPr>
      <w:r>
        <w:rPr/>
        <w:pict>
          <v:line style="position:absolute;mso-position-horizontal-relative:page;mso-position-vertical-relative:paragraph;z-index:7312" from="545.12677pt,9.971205pt" to="545.12677pt,9.971205pt" stroked="true" strokeweight=".25pt" strokecolor="#929292">
            <w10:wrap type="none"/>
          </v:line>
        </w:pict>
      </w:r>
      <w:r>
        <w:rPr/>
        <w:pict>
          <v:group style="position:absolute;margin-left:674.776794pt;margin-top:9.845805pt;width:.25pt;height:34.450pt;mso-position-horizontal-relative:page;mso-position-vertical-relative:paragraph;z-index:-645448" coordorigin="13496,197" coordsize="5,689">
            <v:line style="position:absolute" from="13498,199" to="13498,199" stroked="true" strokeweight=".25pt" strokecolor="#929292"/>
            <v:line style="position:absolute" from="13498,207" to="13498,868" stroked="true" strokeweight=".250033pt" strokecolor="#929292">
              <v:stroke dashstyle="dash"/>
            </v:line>
            <v:shape style="position:absolute;left:0;top:3720;width:2;height:171" coordorigin="0,3720" coordsize="0,171" path="m13498,370l13498,370m13498,199l13498,199e" filled="false" stroked="true" strokeweight=".25pt" strokecolor="#929292">
              <v:path arrowok="t"/>
            </v:shape>
            <v:line style="position:absolute" from="13498,199" to="13498,199" stroked="true" strokeweight=".25pt" strokecolor="#929292"/>
            <v:line style="position:absolute" from="13498,370" to="13498,370" stroked="true" strokeweight=".25pt" strokecolor="#929292"/>
            <v:shape style="position:absolute;left:0;top:3720;width:2;height:171" coordorigin="0,3720" coordsize="0,171" path="m13498,541l13498,541m13498,370l13498,370e" filled="false" stroked="true" strokeweight=".25pt" strokecolor="#929292">
              <v:path arrowok="t"/>
            </v:shape>
            <v:line style="position:absolute" from="13498,370" to="13498,370" stroked="true" strokeweight=".25pt" strokecolor="#929292"/>
            <v:shape style="position:absolute;left:0;top:3720;width:2;height:171" coordorigin="0,3720" coordsize="0,171" path="m13498,712l13498,712m13498,541l13498,541e" filled="false" stroked="true" strokeweight=".25pt" strokecolor="#929292">
              <v:path arrowok="t"/>
            </v:shape>
            <v:line style="position:absolute" from="13498,883" to="13498,883" stroked="true" strokeweight=".25pt" strokecolor="#929292"/>
            <v:shape style="position:absolute;left:0;top:3720;width:2;height:171" coordorigin="0,3720" coordsize="0,171" path="m13498,883l13498,883m13498,712l13498,712m13498,883l13498,883e" filled="false" stroked="true" strokeweight=".25pt" strokecolor="#929292">
              <v:path arrowok="t"/>
            </v:shape>
            <w10:wrap type="none"/>
          </v:group>
        </w:pict>
      </w:r>
      <w:r>
        <w:rPr/>
        <w:pict>
          <v:group style="position:absolute;margin-left:755.176758pt;margin-top:9.845805pt;width:.25pt;height:34.450pt;mso-position-horizontal-relative:page;mso-position-vertical-relative:paragraph;z-index:-645424" coordorigin="15104,197" coordsize="5,689">
            <v:line style="position:absolute" from="15106,199" to="15106,199" stroked="true" strokeweight=".25pt" strokecolor="#929292"/>
            <v:line style="position:absolute" from="15106,207" to="15106,868" stroked="true" strokeweight=".250038pt" strokecolor="#929292">
              <v:stroke dashstyle="dash"/>
            </v:line>
            <v:shape style="position:absolute;left:0;top:3720;width:2;height:171" coordorigin="0,3720" coordsize="0,171" path="m15106,370l15106,370m15106,199l15106,199e" filled="false" stroked="true" strokeweight=".25pt" strokecolor="#929292">
              <v:path arrowok="t"/>
            </v:shape>
            <v:line style="position:absolute" from="15106,199" to="15106,199" stroked="true" strokeweight=".25pt" strokecolor="#929292"/>
            <v:line style="position:absolute" from="15106,370" to="15106,370" stroked="true" strokeweight=".25pt" strokecolor="#929292"/>
            <v:shape style="position:absolute;left:0;top:3720;width:2;height:171" coordorigin="0,3720" coordsize="0,171" path="m15106,541l15106,541m15106,370l15106,370e" filled="false" stroked="true" strokeweight=".25pt" strokecolor="#929292">
              <v:path arrowok="t"/>
            </v:shape>
            <v:line style="position:absolute" from="15106,370" to="15106,370" stroked="true" strokeweight=".25pt" strokecolor="#929292"/>
            <v:shape style="position:absolute;left:0;top:3720;width:2;height:171" coordorigin="0,3720" coordsize="0,171" path="m15106,712l15106,712m15106,541l15106,541e" filled="false" stroked="true" strokeweight=".25pt" strokecolor="#929292">
              <v:path arrowok="t"/>
            </v:shape>
            <v:line style="position:absolute" from="15106,883" to="15106,883" stroked="true" strokeweight=".25pt" strokecolor="#929292"/>
            <v:shape style="position:absolute;left:0;top:3720;width:2;height:171" coordorigin="0,3720" coordsize="0,171" path="m15106,883l15106,883m15106,712l15106,712m15106,883l15106,883e" filled="false" stroked="true" strokeweight=".25pt" strokecolor="#929292">
              <v:path arrowok="t"/>
            </v:shape>
            <w10:wrap type="none"/>
          </v:group>
        </w:pict>
      </w:r>
      <w:r>
        <w:rPr/>
        <w:pict>
          <v:line style="position:absolute;mso-position-horizontal-relative:page;mso-position-vertical-relative:paragraph;z-index:7384" from="866.526794pt,9.971205pt" to="866.526794pt,9.971205pt" stroked="true" strokeweight=".25pt" strokecolor="#929292">
            <w10:wrap type="none"/>
          </v:line>
        </w:pict>
      </w:r>
      <w:r>
        <w:rPr>
          <w:w w:val="100"/>
          <w:sz w:val="16"/>
          <w:shd w:fill="929292" w:color="auto" w:val="clear"/>
        </w:rPr>
        <w:t> </w:t>
      </w:r>
      <w:r>
        <w:rPr>
          <w:sz w:val="16"/>
          <w:shd w:fill="929292" w:color="auto" w:val="clear"/>
        </w:rPr>
        <w:tab/>
        <w:t>Cuadro 2. Género de los</w:t>
      </w:r>
      <w:r>
        <w:rPr>
          <w:spacing w:val="16"/>
          <w:sz w:val="16"/>
          <w:shd w:fill="929292" w:color="auto" w:val="clear"/>
        </w:rPr>
        <w:t> </w:t>
      </w:r>
      <w:r>
        <w:rPr>
          <w:sz w:val="16"/>
          <w:shd w:fill="929292" w:color="auto" w:val="clear"/>
        </w:rPr>
        <w:t>entrevistados</w:t>
        <w:tab/>
      </w:r>
    </w:p>
    <w:p>
      <w:pPr>
        <w:tabs>
          <w:tab w:pos="1909" w:val="left" w:leader="none"/>
          <w:tab w:pos="3189" w:val="left" w:leader="none"/>
          <w:tab w:pos="3800" w:val="left" w:leader="none"/>
          <w:tab w:pos="5351" w:val="right" w:leader="none"/>
          <w:tab w:pos="5727" w:val="left" w:leader="none"/>
          <w:tab w:pos="7215" w:val="left" w:leader="none"/>
        </w:tabs>
        <w:spacing w:line="170" w:lineRule="exact" w:before="7"/>
        <w:ind w:left="809" w:right="777" w:firstLine="0"/>
        <w:jc w:val="center"/>
        <w:rPr>
          <w:sz w:val="16"/>
        </w:rPr>
      </w:pPr>
      <w:r>
        <w:rPr/>
        <w:pict>
          <v:line style="position:absolute;mso-position-horizontal-relative:page;mso-position-vertical-relative:paragraph;z-index:7408" from="545.12677pt,8.569893pt" to="545.12677pt,8.569893pt" stroked="true" strokeweight=".25pt" strokecolor="#929292">
            <w10:wrap type="none"/>
          </v:line>
        </w:pict>
      </w:r>
      <w:r>
        <w:rPr/>
        <w:pict>
          <v:line style="position:absolute;mso-position-horizontal-relative:page;mso-position-vertical-relative:paragraph;z-index:7432" from="866.526794pt,8.569893pt" to="866.526794pt,8.569893pt" stroked="true" strokeweight=".25pt" strokecolor="#929292">
            <w10:wrap type="none"/>
          </v:line>
        </w:pict>
      </w:r>
      <w:r>
        <w:rPr>
          <w:w w:val="100"/>
          <w:sz w:val="16"/>
          <w:u w:val="dotted" w:color="929292"/>
        </w:rPr>
        <w:t> </w:t>
      </w:r>
      <w:r>
        <w:rPr>
          <w:sz w:val="16"/>
          <w:u w:val="dotted" w:color="929292"/>
        </w:rPr>
        <w:tab/>
        <w:t>Sexo</w:t>
        <w:tab/>
        <w:tab/>
        <w:t>Frecuencia</w:t>
        <w:tab/>
        <w:tab/>
        <w:t>Porcentaje</w:t>
        <w:tab/>
      </w:r>
      <w:r>
        <w:rPr>
          <w:sz w:val="16"/>
        </w:rPr>
        <w:t> Masculino</w:t>
        <w:tab/>
        <w:tab/>
        <w:t>42</w:t>
        <w:tab/>
        <w:tab/>
        <w:t>23.3</w:t>
      </w:r>
    </w:p>
    <w:p>
      <w:pPr>
        <w:tabs>
          <w:tab w:pos="2333" w:val="left" w:leader="none"/>
          <w:tab w:pos="4539" w:val="right" w:leader="none"/>
        </w:tabs>
        <w:spacing w:line="164" w:lineRule="exact" w:before="0"/>
        <w:ind w:left="11" w:right="0" w:firstLine="0"/>
        <w:jc w:val="center"/>
        <w:rPr>
          <w:sz w:val="16"/>
        </w:rPr>
      </w:pPr>
      <w:r>
        <w:rPr>
          <w:sz w:val="16"/>
        </w:rPr>
        <w:t>Femenino</w:t>
        <w:tab/>
        <w:t>138</w:t>
        <w:tab/>
        <w:t>76.7</w:t>
      </w:r>
    </w:p>
    <w:p>
      <w:pPr>
        <w:tabs>
          <w:tab w:pos="1913" w:val="left" w:leader="none"/>
          <w:tab w:pos="4060" w:val="left" w:leader="none"/>
          <w:tab w:pos="5911" w:val="left" w:leader="none"/>
          <w:tab w:pos="7215" w:val="left" w:leader="none"/>
        </w:tabs>
        <w:spacing w:line="384" w:lineRule="auto" w:before="0"/>
        <w:ind w:left="809" w:right="777" w:firstLine="0"/>
        <w:jc w:val="center"/>
        <w:rPr>
          <w:sz w:val="16"/>
        </w:rPr>
      </w:pPr>
      <w:r>
        <w:rPr/>
        <w:pict>
          <v:line style="position:absolute;mso-position-horizontal-relative:page;mso-position-vertical-relative:paragraph;z-index:7456" from="545.12677pt,8.93141pt" to="545.12677pt,8.93141pt" stroked="true" strokeweight=".25pt" strokecolor="#929292">
            <w10:wrap type="none"/>
          </v:line>
        </w:pict>
      </w:r>
      <w:r>
        <w:rPr/>
        <w:pict>
          <v:line style="position:absolute;mso-position-horizontal-relative:page;mso-position-vertical-relative:paragraph;z-index:7480" from="866.526794pt,8.93141pt" to="866.526794pt,8.93141pt" stroked="true" strokeweight=".25pt" strokecolor="#929292">
            <w10:wrap type="none"/>
          </v:line>
        </w:pict>
      </w:r>
      <w:r>
        <w:rPr>
          <w:w w:val="100"/>
          <w:sz w:val="16"/>
          <w:u w:val="dotted" w:color="929292"/>
        </w:rPr>
        <w:t> </w:t>
      </w:r>
      <w:r>
        <w:rPr>
          <w:sz w:val="16"/>
          <w:u w:val="dotted" w:color="929292"/>
        </w:rPr>
        <w:tab/>
        <w:t>Total</w:t>
        <w:tab/>
        <w:t>180</w:t>
        <w:tab/>
        <w:t>100.0</w:t>
        <w:tab/>
      </w:r>
      <w:r>
        <w:rPr>
          <w:sz w:val="16"/>
        </w:rPr>
        <w:t> </w:t>
      </w:r>
      <w:r>
        <w:rPr>
          <w:color w:val="6D6E71"/>
          <w:sz w:val="16"/>
        </w:rPr>
        <w:t>Fuente: Elaboración propia,</w:t>
      </w:r>
      <w:r>
        <w:rPr>
          <w:color w:val="6D6E71"/>
          <w:spacing w:val="7"/>
          <w:sz w:val="16"/>
        </w:rPr>
        <w:t> </w:t>
      </w:r>
      <w:r>
        <w:rPr>
          <w:color w:val="6D6E71"/>
          <w:sz w:val="16"/>
        </w:rPr>
        <w:t>2015.</w:t>
      </w:r>
    </w:p>
    <w:p>
      <w:pPr>
        <w:spacing w:after="0" w:line="384" w:lineRule="auto"/>
        <w:jc w:val="center"/>
        <w:rPr>
          <w:sz w:val="16"/>
        </w:rPr>
        <w:sectPr>
          <w:type w:val="continuous"/>
          <w:pgSz w:w="18830" w:h="12760" w:orient="landscape"/>
          <w:pgMar w:top="1420" w:bottom="280" w:left="720" w:right="720"/>
          <w:cols w:num="2" w:equalWidth="0">
            <w:col w:w="7865" w:space="1522"/>
            <w:col w:w="8003"/>
          </w:cols>
        </w:sectPr>
      </w:pPr>
    </w:p>
    <w:p>
      <w:pPr>
        <w:pStyle w:val="BodyText"/>
        <w:rPr>
          <w:sz w:val="16"/>
        </w:rPr>
      </w:pPr>
    </w:p>
    <w:p>
      <w:pPr>
        <w:pStyle w:val="BodyText"/>
        <w:spacing w:before="5"/>
        <w:rPr>
          <w:sz w:val="17"/>
        </w:rPr>
      </w:pPr>
    </w:p>
    <w:p>
      <w:pPr>
        <w:spacing w:before="0"/>
        <w:ind w:left="128" w:right="0" w:firstLine="0"/>
        <w:jc w:val="center"/>
        <w:rPr>
          <w:sz w:val="16"/>
        </w:rPr>
      </w:pPr>
      <w:r>
        <w:rPr>
          <w:color w:val="6D6E71"/>
          <w:sz w:val="16"/>
        </w:rPr>
        <w:t>Gráfica 7. Género de los entrevistados</w:t>
      </w:r>
    </w:p>
    <w:p>
      <w:pPr>
        <w:pStyle w:val="BodyText"/>
        <w:spacing w:before="9"/>
        <w:rPr>
          <w:sz w:val="9"/>
        </w:rPr>
      </w:pPr>
    </w:p>
    <w:p>
      <w:pPr>
        <w:pStyle w:val="BodyText"/>
        <w:ind w:left="2475"/>
      </w:pPr>
      <w:r>
        <w:rPr/>
        <w:drawing>
          <wp:inline distT="0" distB="0" distL="0" distR="0">
            <wp:extent cx="1930509" cy="1312164"/>
            <wp:effectExtent l="0" t="0" r="0" b="0"/>
            <wp:docPr id="79" name="image58.jpeg" descr=""/>
            <wp:cNvGraphicFramePr>
              <a:graphicFrameLocks noChangeAspect="1"/>
            </wp:cNvGraphicFramePr>
            <a:graphic>
              <a:graphicData uri="http://schemas.openxmlformats.org/drawingml/2006/picture">
                <pic:pic>
                  <pic:nvPicPr>
                    <pic:cNvPr id="80" name="image58.jpeg"/>
                    <pic:cNvPicPr/>
                  </pic:nvPicPr>
                  <pic:blipFill>
                    <a:blip r:embed="rId224" cstate="print"/>
                    <a:stretch>
                      <a:fillRect/>
                    </a:stretch>
                  </pic:blipFill>
                  <pic:spPr>
                    <a:xfrm>
                      <a:off x="0" y="0"/>
                      <a:ext cx="1930509" cy="1312164"/>
                    </a:xfrm>
                    <a:prstGeom prst="rect">
                      <a:avLst/>
                    </a:prstGeom>
                  </pic:spPr>
                </pic:pic>
              </a:graphicData>
            </a:graphic>
          </wp:inline>
        </w:drawing>
      </w:r>
      <w:r>
        <w:rPr/>
      </w:r>
    </w:p>
    <w:p>
      <w:pPr>
        <w:spacing w:before="36"/>
        <w:ind w:left="128" w:right="0" w:firstLine="0"/>
        <w:jc w:val="center"/>
        <w:rPr>
          <w:sz w:val="16"/>
        </w:rPr>
      </w:pPr>
      <w:r>
        <w:rPr>
          <w:color w:val="6D6E71"/>
          <w:sz w:val="16"/>
        </w:rPr>
        <w:t>Fuente: Elaboración propia, 2015.</w:t>
      </w:r>
    </w:p>
    <w:p>
      <w:pPr>
        <w:pStyle w:val="BodyText"/>
        <w:spacing w:before="5"/>
        <w:rPr>
          <w:sz w:val="22"/>
        </w:rPr>
      </w:pPr>
    </w:p>
    <w:p>
      <w:pPr>
        <w:pStyle w:val="BodyText"/>
        <w:spacing w:line="249" w:lineRule="auto"/>
        <w:ind w:left="129" w:firstLine="170"/>
        <w:jc w:val="both"/>
      </w:pPr>
      <w:r>
        <w:rPr/>
        <w:pict>
          <v:shape style="position:absolute;margin-left:81.331001pt;margin-top:49.380268pt;width:307.8pt;height:11.65pt;mso-position-horizontal-relative:page;mso-position-vertical-relative:paragraph;z-index:-644536" type="#_x0000_t202" filled="true" fillcolor="#929292" stroked="false">
            <v:textbox inset="0,0,0,0">
              <w:txbxContent>
                <w:p>
                  <w:pPr>
                    <w:spacing w:before="21"/>
                    <w:ind w:left="1689" w:right="0" w:firstLine="0"/>
                    <w:jc w:val="left"/>
                    <w:rPr>
                      <w:sz w:val="16"/>
                    </w:rPr>
                  </w:pPr>
                  <w:r>
                    <w:rPr>
                      <w:sz w:val="16"/>
                    </w:rPr>
                    <w:t>Cuadro 3. Edades de los entrevistados</w:t>
                  </w:r>
                </w:p>
              </w:txbxContent>
            </v:textbox>
            <v:fill type="solid"/>
            <w10:wrap type="none"/>
          </v:shape>
        </w:pict>
      </w:r>
      <w:r>
        <w:rPr/>
        <w:t>El cuadro 3 y gráfica 8 muestran los rangos de edad; una cuarta parte de los</w:t>
      </w:r>
      <w:r>
        <w:rPr>
          <w:w w:val="101"/>
        </w:rPr>
        <w:t> </w:t>
      </w:r>
      <w:r>
        <w:rPr/>
        <w:t>entrevistados tienen entre 41 a 50 años. Esto sugiere que la población que posee un huerto familiar son adultos.</w:t>
      </w:r>
    </w:p>
    <w:p>
      <w:pPr>
        <w:pStyle w:val="BodyText"/>
      </w:pPr>
    </w:p>
    <w:p>
      <w:pPr>
        <w:pStyle w:val="BodyText"/>
        <w:spacing w:before="8"/>
        <w:rPr>
          <w:sz w:val="22"/>
        </w:rPr>
      </w:pPr>
    </w:p>
    <w:tbl>
      <w:tblPr>
        <w:tblW w:w="0" w:type="auto"/>
        <w:jc w:val="left"/>
        <w:tblInd w:w="90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197"/>
        <w:gridCol w:w="1758"/>
        <w:gridCol w:w="2191"/>
      </w:tblGrid>
      <w:tr>
        <w:trPr>
          <w:trHeight w:val="171" w:hRule="exact"/>
        </w:trPr>
        <w:tc>
          <w:tcPr>
            <w:tcW w:w="2197" w:type="dxa"/>
            <w:tcBorders>
              <w:left w:val="nil"/>
              <w:right w:val="single" w:sz="4" w:space="0" w:color="929292"/>
            </w:tcBorders>
          </w:tcPr>
          <w:p>
            <w:pPr>
              <w:pStyle w:val="TableParagraph"/>
              <w:tabs>
                <w:tab w:pos="536" w:val="left" w:leader="none"/>
                <w:tab w:pos="2171" w:val="left" w:leader="none"/>
              </w:tabs>
              <w:spacing w:line="171" w:lineRule="exact"/>
              <w:ind w:left="20"/>
              <w:jc w:val="center"/>
              <w:rPr>
                <w:sz w:val="16"/>
              </w:rPr>
            </w:pPr>
            <w:r>
              <w:rPr>
                <w:w w:val="100"/>
                <w:sz w:val="16"/>
                <w:u w:val="dotted" w:color="929292"/>
              </w:rPr>
              <w:t> </w:t>
            </w:r>
            <w:r>
              <w:rPr>
                <w:sz w:val="16"/>
                <w:u w:val="dotted" w:color="929292"/>
              </w:rPr>
              <w:tab/>
              <w:t>Rango de</w:t>
            </w:r>
            <w:r>
              <w:rPr>
                <w:spacing w:val="5"/>
                <w:sz w:val="16"/>
                <w:u w:val="dotted" w:color="929292"/>
              </w:rPr>
              <w:t> </w:t>
            </w:r>
            <w:r>
              <w:rPr>
                <w:sz w:val="16"/>
                <w:u w:val="dotted" w:color="929292"/>
              </w:rPr>
              <w:t>edad</w:t>
              <w:tab/>
            </w:r>
          </w:p>
        </w:tc>
        <w:tc>
          <w:tcPr>
            <w:tcW w:w="1758" w:type="dxa"/>
            <w:tcBorders>
              <w:left w:val="single" w:sz="4" w:space="0" w:color="929292"/>
              <w:right w:val="single" w:sz="4" w:space="0" w:color="929292"/>
            </w:tcBorders>
          </w:tcPr>
          <w:p>
            <w:pPr>
              <w:pStyle w:val="TableParagraph"/>
              <w:tabs>
                <w:tab w:pos="469" w:val="left" w:leader="none"/>
                <w:tab w:pos="1728" w:val="left" w:leader="none"/>
              </w:tabs>
              <w:spacing w:line="171" w:lineRule="exact"/>
              <w:ind w:left="14"/>
              <w:jc w:val="center"/>
              <w:rPr>
                <w:sz w:val="16"/>
              </w:rPr>
            </w:pPr>
            <w:r>
              <w:rPr>
                <w:w w:val="100"/>
                <w:sz w:val="16"/>
                <w:u w:val="dotted" w:color="929292"/>
              </w:rPr>
              <w:t> </w:t>
            </w:r>
            <w:r>
              <w:rPr>
                <w:sz w:val="16"/>
                <w:u w:val="dotted" w:color="929292"/>
              </w:rPr>
              <w:tab/>
              <w:t>Frecuencia</w:t>
              <w:tab/>
            </w:r>
          </w:p>
        </w:tc>
        <w:tc>
          <w:tcPr>
            <w:tcW w:w="2191" w:type="dxa"/>
            <w:tcBorders>
              <w:left w:val="single" w:sz="4" w:space="0" w:color="929292"/>
              <w:right w:val="nil"/>
            </w:tcBorders>
          </w:tcPr>
          <w:p>
            <w:pPr>
              <w:pStyle w:val="TableParagraph"/>
              <w:tabs>
                <w:tab w:pos="694" w:val="left" w:leader="none"/>
                <w:tab w:pos="2155" w:val="left" w:leader="none"/>
              </w:tabs>
              <w:spacing w:line="171" w:lineRule="exact"/>
              <w:ind w:left="10"/>
              <w:jc w:val="center"/>
              <w:rPr>
                <w:sz w:val="16"/>
              </w:rPr>
            </w:pPr>
            <w:r>
              <w:rPr>
                <w:w w:val="100"/>
                <w:sz w:val="16"/>
                <w:u w:val="dotted" w:color="929292"/>
              </w:rPr>
              <w:t> </w:t>
            </w:r>
            <w:r>
              <w:rPr>
                <w:sz w:val="16"/>
                <w:u w:val="dotted" w:color="929292"/>
              </w:rPr>
              <w:tab/>
              <w:t>Porcentaje</w:t>
              <w:tab/>
            </w:r>
          </w:p>
        </w:tc>
      </w:tr>
      <w:tr>
        <w:trPr>
          <w:trHeight w:val="171" w:hRule="exact"/>
        </w:trPr>
        <w:tc>
          <w:tcPr>
            <w:tcW w:w="2197" w:type="dxa"/>
            <w:tcBorders>
              <w:left w:val="nil"/>
              <w:right w:val="single" w:sz="4" w:space="0" w:color="929292"/>
            </w:tcBorders>
          </w:tcPr>
          <w:p>
            <w:pPr>
              <w:pStyle w:val="TableParagraph"/>
              <w:tabs>
                <w:tab w:pos="1085" w:val="left" w:leader="none"/>
                <w:tab w:pos="2171" w:val="left" w:leader="none"/>
              </w:tabs>
              <w:spacing w:line="171" w:lineRule="exact"/>
              <w:ind w:left="20"/>
              <w:jc w:val="center"/>
              <w:rPr>
                <w:sz w:val="16"/>
              </w:rPr>
            </w:pPr>
            <w:r>
              <w:rPr>
                <w:w w:val="100"/>
                <w:sz w:val="16"/>
                <w:u w:val="dotted" w:color="929292"/>
              </w:rPr>
              <w:t> </w:t>
            </w:r>
            <w:r>
              <w:rPr>
                <w:sz w:val="16"/>
                <w:u w:val="dotted" w:color="929292"/>
              </w:rPr>
              <w:tab/>
              <w:t>20</w:t>
              <w:tab/>
            </w:r>
          </w:p>
        </w:tc>
        <w:tc>
          <w:tcPr>
            <w:tcW w:w="1758" w:type="dxa"/>
            <w:tcBorders>
              <w:left w:val="single" w:sz="4" w:space="0" w:color="929292"/>
              <w:right w:val="single" w:sz="4" w:space="0" w:color="929292"/>
            </w:tcBorders>
          </w:tcPr>
          <w:p>
            <w:pPr>
              <w:pStyle w:val="TableParagraph"/>
              <w:tabs>
                <w:tab w:pos="819" w:val="left" w:leader="none"/>
                <w:tab w:pos="1728" w:val="left" w:leader="none"/>
              </w:tabs>
              <w:spacing w:line="171" w:lineRule="exact"/>
              <w:ind w:left="14"/>
              <w:jc w:val="center"/>
              <w:rPr>
                <w:sz w:val="16"/>
              </w:rPr>
            </w:pPr>
            <w:r>
              <w:rPr>
                <w:w w:val="100"/>
                <w:sz w:val="16"/>
                <w:u w:val="dotted" w:color="929292"/>
              </w:rPr>
              <w:t> </w:t>
            </w:r>
            <w:r>
              <w:rPr>
                <w:sz w:val="16"/>
                <w:u w:val="dotted" w:color="929292"/>
              </w:rPr>
              <w:tab/>
              <w:t>3</w:t>
              <w:tab/>
            </w:r>
          </w:p>
        </w:tc>
        <w:tc>
          <w:tcPr>
            <w:tcW w:w="2191" w:type="dxa"/>
            <w:tcBorders>
              <w:left w:val="single" w:sz="4" w:space="0" w:color="929292"/>
              <w:right w:val="nil"/>
            </w:tcBorders>
          </w:tcPr>
          <w:p>
            <w:pPr>
              <w:pStyle w:val="TableParagraph"/>
              <w:tabs>
                <w:tab w:pos="966" w:val="left" w:leader="none"/>
                <w:tab w:pos="2155" w:val="left" w:leader="none"/>
              </w:tabs>
              <w:spacing w:line="171" w:lineRule="exact"/>
              <w:ind w:left="10"/>
              <w:jc w:val="center"/>
              <w:rPr>
                <w:sz w:val="16"/>
              </w:rPr>
            </w:pPr>
            <w:r>
              <w:rPr>
                <w:w w:val="100"/>
                <w:sz w:val="16"/>
                <w:u w:val="dotted" w:color="929292"/>
              </w:rPr>
              <w:t> </w:t>
            </w:r>
            <w:r>
              <w:rPr>
                <w:sz w:val="16"/>
                <w:u w:val="dotted" w:color="929292"/>
              </w:rPr>
              <w:tab/>
              <w:t>1.7</w:t>
              <w:tab/>
            </w:r>
          </w:p>
        </w:tc>
      </w:tr>
      <w:tr>
        <w:trPr>
          <w:trHeight w:val="171" w:hRule="exact"/>
        </w:trPr>
        <w:tc>
          <w:tcPr>
            <w:tcW w:w="2197" w:type="dxa"/>
            <w:tcBorders>
              <w:left w:val="nil"/>
              <w:right w:val="single" w:sz="4" w:space="0" w:color="929292"/>
            </w:tcBorders>
          </w:tcPr>
          <w:p>
            <w:pPr>
              <w:pStyle w:val="TableParagraph"/>
              <w:tabs>
                <w:tab w:pos="832" w:val="left" w:leader="none"/>
                <w:tab w:pos="2171" w:val="left" w:leader="none"/>
              </w:tabs>
              <w:spacing w:line="171" w:lineRule="exact"/>
              <w:ind w:left="20"/>
              <w:jc w:val="center"/>
              <w:rPr>
                <w:sz w:val="16"/>
              </w:rPr>
            </w:pPr>
            <w:r>
              <w:rPr>
                <w:w w:val="100"/>
                <w:sz w:val="16"/>
                <w:u w:val="dotted" w:color="929292"/>
              </w:rPr>
              <w:t> </w:t>
            </w:r>
            <w:r>
              <w:rPr>
                <w:sz w:val="16"/>
                <w:u w:val="dotted" w:color="929292"/>
              </w:rPr>
              <w:tab/>
            </w:r>
            <w:r>
              <w:rPr>
                <w:w w:val="105"/>
                <w:sz w:val="16"/>
                <w:u w:val="dotted" w:color="929292"/>
              </w:rPr>
              <w:t>21 -</w:t>
            </w:r>
            <w:r>
              <w:rPr>
                <w:spacing w:val="-17"/>
                <w:w w:val="105"/>
                <w:sz w:val="16"/>
                <w:u w:val="dotted" w:color="929292"/>
              </w:rPr>
              <w:t> </w:t>
            </w:r>
            <w:r>
              <w:rPr>
                <w:w w:val="105"/>
                <w:sz w:val="16"/>
                <w:u w:val="dotted" w:color="929292"/>
              </w:rPr>
              <w:t>30</w:t>
            </w:r>
            <w:r>
              <w:rPr>
                <w:sz w:val="16"/>
                <w:u w:val="dotted" w:color="929292"/>
              </w:rPr>
              <w:tab/>
            </w:r>
          </w:p>
        </w:tc>
        <w:tc>
          <w:tcPr>
            <w:tcW w:w="1758" w:type="dxa"/>
            <w:tcBorders>
              <w:left w:val="single" w:sz="4" w:space="0" w:color="929292"/>
              <w:right w:val="single" w:sz="4" w:space="0" w:color="929292"/>
            </w:tcBorders>
          </w:tcPr>
          <w:p>
            <w:pPr>
              <w:pStyle w:val="TableParagraph"/>
              <w:tabs>
                <w:tab w:pos="774" w:val="left" w:leader="none"/>
                <w:tab w:pos="1728" w:val="left" w:leader="none"/>
              </w:tabs>
              <w:spacing w:line="171" w:lineRule="exact"/>
              <w:ind w:left="14"/>
              <w:jc w:val="center"/>
              <w:rPr>
                <w:sz w:val="16"/>
              </w:rPr>
            </w:pPr>
            <w:r>
              <w:rPr>
                <w:w w:val="100"/>
                <w:sz w:val="16"/>
                <w:u w:val="dotted" w:color="929292"/>
              </w:rPr>
              <w:t> </w:t>
            </w:r>
            <w:r>
              <w:rPr>
                <w:sz w:val="16"/>
                <w:u w:val="dotted" w:color="929292"/>
              </w:rPr>
              <w:tab/>
              <w:t>30</w:t>
              <w:tab/>
            </w:r>
          </w:p>
        </w:tc>
        <w:tc>
          <w:tcPr>
            <w:tcW w:w="2191" w:type="dxa"/>
            <w:tcBorders>
              <w:left w:val="single" w:sz="4" w:space="0" w:color="929292"/>
              <w:right w:val="nil"/>
            </w:tcBorders>
          </w:tcPr>
          <w:p>
            <w:pPr>
              <w:pStyle w:val="TableParagraph"/>
              <w:tabs>
                <w:tab w:pos="922" w:val="left" w:leader="none"/>
                <w:tab w:pos="2155" w:val="left" w:leader="none"/>
              </w:tabs>
              <w:spacing w:line="171" w:lineRule="exact"/>
              <w:ind w:left="10"/>
              <w:jc w:val="center"/>
              <w:rPr>
                <w:sz w:val="16"/>
              </w:rPr>
            </w:pPr>
            <w:r>
              <w:rPr>
                <w:w w:val="100"/>
                <w:sz w:val="16"/>
                <w:u w:val="dotted" w:color="929292"/>
              </w:rPr>
              <w:t> </w:t>
            </w:r>
            <w:r>
              <w:rPr>
                <w:sz w:val="16"/>
                <w:u w:val="dotted" w:color="929292"/>
              </w:rPr>
              <w:tab/>
              <w:t>16.7</w:t>
              <w:tab/>
            </w:r>
          </w:p>
        </w:tc>
      </w:tr>
      <w:tr>
        <w:trPr>
          <w:trHeight w:val="171" w:hRule="exact"/>
        </w:trPr>
        <w:tc>
          <w:tcPr>
            <w:tcW w:w="2197" w:type="dxa"/>
            <w:tcBorders>
              <w:left w:val="nil"/>
              <w:right w:val="single" w:sz="4" w:space="0" w:color="929292"/>
            </w:tcBorders>
          </w:tcPr>
          <w:p>
            <w:pPr>
              <w:pStyle w:val="TableParagraph"/>
              <w:tabs>
                <w:tab w:pos="832" w:val="left" w:leader="none"/>
                <w:tab w:pos="2171" w:val="left" w:leader="none"/>
              </w:tabs>
              <w:spacing w:line="171" w:lineRule="exact"/>
              <w:ind w:left="20"/>
              <w:jc w:val="center"/>
              <w:rPr>
                <w:sz w:val="16"/>
              </w:rPr>
            </w:pPr>
            <w:r>
              <w:rPr>
                <w:w w:val="100"/>
                <w:sz w:val="16"/>
                <w:u w:val="dotted" w:color="929292"/>
              </w:rPr>
              <w:t> </w:t>
            </w:r>
            <w:r>
              <w:rPr>
                <w:sz w:val="16"/>
                <w:u w:val="dotted" w:color="929292"/>
              </w:rPr>
              <w:tab/>
            </w:r>
            <w:r>
              <w:rPr>
                <w:w w:val="105"/>
                <w:sz w:val="16"/>
                <w:u w:val="dotted" w:color="929292"/>
              </w:rPr>
              <w:t>31 -</w:t>
            </w:r>
            <w:r>
              <w:rPr>
                <w:spacing w:val="-17"/>
                <w:w w:val="105"/>
                <w:sz w:val="16"/>
                <w:u w:val="dotted" w:color="929292"/>
              </w:rPr>
              <w:t> </w:t>
            </w:r>
            <w:r>
              <w:rPr>
                <w:w w:val="105"/>
                <w:sz w:val="16"/>
                <w:u w:val="dotted" w:color="929292"/>
              </w:rPr>
              <w:t>40</w:t>
            </w:r>
            <w:r>
              <w:rPr>
                <w:sz w:val="16"/>
                <w:u w:val="dotted" w:color="929292"/>
              </w:rPr>
              <w:tab/>
            </w:r>
          </w:p>
        </w:tc>
        <w:tc>
          <w:tcPr>
            <w:tcW w:w="1758" w:type="dxa"/>
            <w:tcBorders>
              <w:left w:val="single" w:sz="4" w:space="0" w:color="929292"/>
              <w:right w:val="single" w:sz="4" w:space="0" w:color="929292"/>
            </w:tcBorders>
          </w:tcPr>
          <w:p>
            <w:pPr>
              <w:pStyle w:val="TableParagraph"/>
              <w:tabs>
                <w:tab w:pos="774" w:val="left" w:leader="none"/>
                <w:tab w:pos="1728" w:val="left" w:leader="none"/>
              </w:tabs>
              <w:spacing w:line="171" w:lineRule="exact"/>
              <w:ind w:left="14"/>
              <w:jc w:val="center"/>
              <w:rPr>
                <w:sz w:val="16"/>
              </w:rPr>
            </w:pPr>
            <w:r>
              <w:rPr>
                <w:w w:val="100"/>
                <w:sz w:val="16"/>
                <w:u w:val="dotted" w:color="929292"/>
              </w:rPr>
              <w:t> </w:t>
            </w:r>
            <w:r>
              <w:rPr>
                <w:sz w:val="16"/>
                <w:u w:val="dotted" w:color="929292"/>
              </w:rPr>
              <w:tab/>
              <w:t>27</w:t>
              <w:tab/>
            </w:r>
          </w:p>
        </w:tc>
        <w:tc>
          <w:tcPr>
            <w:tcW w:w="2191" w:type="dxa"/>
            <w:tcBorders>
              <w:left w:val="single" w:sz="4" w:space="0" w:color="929292"/>
              <w:right w:val="nil"/>
            </w:tcBorders>
          </w:tcPr>
          <w:p>
            <w:pPr>
              <w:pStyle w:val="TableParagraph"/>
              <w:tabs>
                <w:tab w:pos="921" w:val="left" w:leader="none"/>
                <w:tab w:pos="2155" w:val="left" w:leader="none"/>
              </w:tabs>
              <w:spacing w:line="171" w:lineRule="exact"/>
              <w:ind w:left="10"/>
              <w:jc w:val="center"/>
              <w:rPr>
                <w:sz w:val="16"/>
              </w:rPr>
            </w:pPr>
            <w:r>
              <w:rPr>
                <w:w w:val="100"/>
                <w:sz w:val="16"/>
                <w:u w:val="dotted" w:color="929292"/>
              </w:rPr>
              <w:t> </w:t>
            </w:r>
            <w:r>
              <w:rPr>
                <w:sz w:val="16"/>
                <w:u w:val="dotted" w:color="929292"/>
              </w:rPr>
              <w:tab/>
              <w:t>15.0</w:t>
              <w:tab/>
            </w:r>
          </w:p>
        </w:tc>
      </w:tr>
      <w:tr>
        <w:trPr>
          <w:trHeight w:val="171" w:hRule="exact"/>
        </w:trPr>
        <w:tc>
          <w:tcPr>
            <w:tcW w:w="2197" w:type="dxa"/>
            <w:tcBorders>
              <w:left w:val="nil"/>
              <w:right w:val="single" w:sz="4" w:space="0" w:color="929292"/>
            </w:tcBorders>
          </w:tcPr>
          <w:p>
            <w:pPr>
              <w:pStyle w:val="TableParagraph"/>
              <w:tabs>
                <w:tab w:pos="831" w:val="left" w:leader="none"/>
                <w:tab w:pos="2171" w:val="left" w:leader="none"/>
              </w:tabs>
              <w:spacing w:line="171" w:lineRule="exact"/>
              <w:ind w:left="20"/>
              <w:jc w:val="center"/>
              <w:rPr>
                <w:sz w:val="16"/>
              </w:rPr>
            </w:pPr>
            <w:r>
              <w:rPr>
                <w:w w:val="100"/>
                <w:sz w:val="16"/>
                <w:u w:val="dotted" w:color="929292"/>
              </w:rPr>
              <w:t> </w:t>
            </w:r>
            <w:r>
              <w:rPr>
                <w:sz w:val="16"/>
                <w:u w:val="dotted" w:color="929292"/>
              </w:rPr>
              <w:tab/>
            </w:r>
            <w:r>
              <w:rPr>
                <w:w w:val="105"/>
                <w:sz w:val="16"/>
                <w:u w:val="dotted" w:color="929292"/>
              </w:rPr>
              <w:t>41 -</w:t>
            </w:r>
            <w:r>
              <w:rPr>
                <w:spacing w:val="-17"/>
                <w:w w:val="105"/>
                <w:sz w:val="16"/>
                <w:u w:val="dotted" w:color="929292"/>
              </w:rPr>
              <w:t> </w:t>
            </w:r>
            <w:r>
              <w:rPr>
                <w:w w:val="105"/>
                <w:sz w:val="16"/>
                <w:u w:val="dotted" w:color="929292"/>
              </w:rPr>
              <w:t>50</w:t>
            </w:r>
            <w:r>
              <w:rPr>
                <w:sz w:val="16"/>
                <w:u w:val="dotted" w:color="929292"/>
              </w:rPr>
              <w:tab/>
            </w:r>
          </w:p>
        </w:tc>
        <w:tc>
          <w:tcPr>
            <w:tcW w:w="1758" w:type="dxa"/>
            <w:tcBorders>
              <w:left w:val="single" w:sz="4" w:space="0" w:color="929292"/>
              <w:right w:val="single" w:sz="4" w:space="0" w:color="929292"/>
            </w:tcBorders>
          </w:tcPr>
          <w:p>
            <w:pPr>
              <w:pStyle w:val="TableParagraph"/>
              <w:tabs>
                <w:tab w:pos="774" w:val="left" w:leader="none"/>
                <w:tab w:pos="1728" w:val="left" w:leader="none"/>
              </w:tabs>
              <w:spacing w:line="171" w:lineRule="exact"/>
              <w:ind w:left="14"/>
              <w:jc w:val="center"/>
              <w:rPr>
                <w:sz w:val="16"/>
              </w:rPr>
            </w:pPr>
            <w:r>
              <w:rPr>
                <w:w w:val="100"/>
                <w:sz w:val="16"/>
                <w:u w:val="dotted" w:color="929292"/>
              </w:rPr>
              <w:t> </w:t>
            </w:r>
            <w:r>
              <w:rPr>
                <w:sz w:val="16"/>
                <w:u w:val="dotted" w:color="929292"/>
              </w:rPr>
              <w:tab/>
              <w:t>39</w:t>
              <w:tab/>
            </w:r>
          </w:p>
        </w:tc>
        <w:tc>
          <w:tcPr>
            <w:tcW w:w="2191" w:type="dxa"/>
            <w:tcBorders>
              <w:left w:val="single" w:sz="4" w:space="0" w:color="929292"/>
              <w:right w:val="nil"/>
            </w:tcBorders>
          </w:tcPr>
          <w:p>
            <w:pPr>
              <w:pStyle w:val="TableParagraph"/>
              <w:tabs>
                <w:tab w:pos="921" w:val="left" w:leader="none"/>
                <w:tab w:pos="2155" w:val="left" w:leader="none"/>
              </w:tabs>
              <w:spacing w:line="171" w:lineRule="exact"/>
              <w:ind w:left="10"/>
              <w:jc w:val="center"/>
              <w:rPr>
                <w:sz w:val="16"/>
              </w:rPr>
            </w:pPr>
            <w:r>
              <w:rPr>
                <w:w w:val="100"/>
                <w:sz w:val="16"/>
                <w:u w:val="dotted" w:color="929292"/>
              </w:rPr>
              <w:t> </w:t>
            </w:r>
            <w:r>
              <w:rPr>
                <w:sz w:val="16"/>
                <w:u w:val="dotted" w:color="929292"/>
              </w:rPr>
              <w:tab/>
              <w:t>21.7</w:t>
              <w:tab/>
            </w:r>
          </w:p>
        </w:tc>
      </w:tr>
      <w:tr>
        <w:trPr>
          <w:trHeight w:val="171" w:hRule="exact"/>
        </w:trPr>
        <w:tc>
          <w:tcPr>
            <w:tcW w:w="2197" w:type="dxa"/>
            <w:tcBorders>
              <w:left w:val="nil"/>
              <w:right w:val="single" w:sz="4" w:space="0" w:color="929292"/>
            </w:tcBorders>
          </w:tcPr>
          <w:p>
            <w:pPr>
              <w:pStyle w:val="TableParagraph"/>
              <w:tabs>
                <w:tab w:pos="831" w:val="left" w:leader="none"/>
                <w:tab w:pos="2171" w:val="left" w:leader="none"/>
              </w:tabs>
              <w:spacing w:line="171" w:lineRule="exact"/>
              <w:ind w:left="20"/>
              <w:jc w:val="center"/>
              <w:rPr>
                <w:sz w:val="16"/>
              </w:rPr>
            </w:pPr>
            <w:r>
              <w:rPr>
                <w:w w:val="100"/>
                <w:sz w:val="16"/>
                <w:u w:val="dotted" w:color="929292"/>
              </w:rPr>
              <w:t> </w:t>
            </w:r>
            <w:r>
              <w:rPr>
                <w:sz w:val="16"/>
                <w:u w:val="dotted" w:color="929292"/>
              </w:rPr>
              <w:tab/>
            </w:r>
            <w:r>
              <w:rPr>
                <w:w w:val="105"/>
                <w:sz w:val="16"/>
                <w:u w:val="dotted" w:color="929292"/>
              </w:rPr>
              <w:t>51 -</w:t>
            </w:r>
            <w:r>
              <w:rPr>
                <w:spacing w:val="-17"/>
                <w:w w:val="105"/>
                <w:sz w:val="16"/>
                <w:u w:val="dotted" w:color="929292"/>
              </w:rPr>
              <w:t> </w:t>
            </w:r>
            <w:r>
              <w:rPr>
                <w:w w:val="105"/>
                <w:sz w:val="16"/>
                <w:u w:val="dotted" w:color="929292"/>
              </w:rPr>
              <w:t>60</w:t>
            </w:r>
            <w:r>
              <w:rPr>
                <w:sz w:val="16"/>
                <w:u w:val="dotted" w:color="929292"/>
              </w:rPr>
              <w:tab/>
            </w:r>
          </w:p>
        </w:tc>
        <w:tc>
          <w:tcPr>
            <w:tcW w:w="1758" w:type="dxa"/>
            <w:tcBorders>
              <w:left w:val="single" w:sz="4" w:space="0" w:color="929292"/>
              <w:right w:val="single" w:sz="4" w:space="0" w:color="929292"/>
            </w:tcBorders>
          </w:tcPr>
          <w:p>
            <w:pPr>
              <w:pStyle w:val="TableParagraph"/>
              <w:tabs>
                <w:tab w:pos="774" w:val="left" w:leader="none"/>
                <w:tab w:pos="1728" w:val="left" w:leader="none"/>
              </w:tabs>
              <w:spacing w:line="171" w:lineRule="exact"/>
              <w:ind w:left="14"/>
              <w:jc w:val="center"/>
              <w:rPr>
                <w:sz w:val="16"/>
              </w:rPr>
            </w:pPr>
            <w:r>
              <w:rPr>
                <w:w w:val="100"/>
                <w:sz w:val="16"/>
                <w:u w:val="dotted" w:color="929292"/>
              </w:rPr>
              <w:t> </w:t>
            </w:r>
            <w:r>
              <w:rPr>
                <w:sz w:val="16"/>
                <w:u w:val="dotted" w:color="929292"/>
              </w:rPr>
              <w:tab/>
              <w:t>27</w:t>
              <w:tab/>
            </w:r>
          </w:p>
        </w:tc>
        <w:tc>
          <w:tcPr>
            <w:tcW w:w="2191" w:type="dxa"/>
            <w:tcBorders>
              <w:left w:val="single" w:sz="4" w:space="0" w:color="929292"/>
              <w:right w:val="nil"/>
            </w:tcBorders>
          </w:tcPr>
          <w:p>
            <w:pPr>
              <w:pStyle w:val="TableParagraph"/>
              <w:tabs>
                <w:tab w:pos="921" w:val="left" w:leader="none"/>
                <w:tab w:pos="2155" w:val="left" w:leader="none"/>
              </w:tabs>
              <w:spacing w:line="171" w:lineRule="exact"/>
              <w:ind w:left="10"/>
              <w:jc w:val="center"/>
              <w:rPr>
                <w:sz w:val="16"/>
              </w:rPr>
            </w:pPr>
            <w:r>
              <w:rPr>
                <w:w w:val="100"/>
                <w:sz w:val="16"/>
                <w:u w:val="dotted" w:color="929292"/>
              </w:rPr>
              <w:t> </w:t>
            </w:r>
            <w:r>
              <w:rPr>
                <w:sz w:val="16"/>
                <w:u w:val="dotted" w:color="929292"/>
              </w:rPr>
              <w:tab/>
              <w:t>15.0</w:t>
              <w:tab/>
            </w:r>
          </w:p>
        </w:tc>
      </w:tr>
      <w:tr>
        <w:trPr>
          <w:trHeight w:val="171" w:hRule="exact"/>
        </w:trPr>
        <w:tc>
          <w:tcPr>
            <w:tcW w:w="2197" w:type="dxa"/>
            <w:tcBorders>
              <w:left w:val="nil"/>
              <w:right w:val="single" w:sz="4" w:space="0" w:color="929292"/>
            </w:tcBorders>
          </w:tcPr>
          <w:p>
            <w:pPr>
              <w:pStyle w:val="TableParagraph"/>
              <w:tabs>
                <w:tab w:pos="831" w:val="left" w:leader="none"/>
                <w:tab w:pos="2171" w:val="left" w:leader="none"/>
              </w:tabs>
              <w:spacing w:line="171" w:lineRule="exact"/>
              <w:ind w:left="20"/>
              <w:jc w:val="center"/>
              <w:rPr>
                <w:sz w:val="16"/>
              </w:rPr>
            </w:pPr>
            <w:r>
              <w:rPr>
                <w:w w:val="100"/>
                <w:sz w:val="16"/>
                <w:u w:val="dotted" w:color="929292"/>
              </w:rPr>
              <w:t> </w:t>
            </w:r>
            <w:r>
              <w:rPr>
                <w:sz w:val="16"/>
                <w:u w:val="dotted" w:color="929292"/>
              </w:rPr>
              <w:tab/>
            </w:r>
            <w:r>
              <w:rPr>
                <w:w w:val="105"/>
                <w:sz w:val="16"/>
                <w:u w:val="dotted" w:color="929292"/>
              </w:rPr>
              <w:t>61 -</w:t>
            </w:r>
            <w:r>
              <w:rPr>
                <w:spacing w:val="-17"/>
                <w:w w:val="105"/>
                <w:sz w:val="16"/>
                <w:u w:val="dotted" w:color="929292"/>
              </w:rPr>
              <w:t> </w:t>
            </w:r>
            <w:r>
              <w:rPr>
                <w:w w:val="105"/>
                <w:sz w:val="16"/>
                <w:u w:val="dotted" w:color="929292"/>
              </w:rPr>
              <w:t>70</w:t>
            </w:r>
            <w:r>
              <w:rPr>
                <w:sz w:val="16"/>
                <w:u w:val="dotted" w:color="929292"/>
              </w:rPr>
              <w:tab/>
            </w:r>
          </w:p>
        </w:tc>
        <w:tc>
          <w:tcPr>
            <w:tcW w:w="1758" w:type="dxa"/>
            <w:tcBorders>
              <w:left w:val="single" w:sz="4" w:space="0" w:color="929292"/>
              <w:right w:val="single" w:sz="4" w:space="0" w:color="929292"/>
            </w:tcBorders>
          </w:tcPr>
          <w:p>
            <w:pPr>
              <w:pStyle w:val="TableParagraph"/>
              <w:tabs>
                <w:tab w:pos="774" w:val="left" w:leader="none"/>
                <w:tab w:pos="1728" w:val="left" w:leader="none"/>
              </w:tabs>
              <w:spacing w:line="171" w:lineRule="exact"/>
              <w:ind w:left="14"/>
              <w:jc w:val="center"/>
              <w:rPr>
                <w:sz w:val="16"/>
              </w:rPr>
            </w:pPr>
            <w:r>
              <w:rPr>
                <w:w w:val="100"/>
                <w:sz w:val="16"/>
                <w:u w:val="dotted" w:color="929292"/>
              </w:rPr>
              <w:t> </w:t>
            </w:r>
            <w:r>
              <w:rPr>
                <w:sz w:val="16"/>
                <w:u w:val="dotted" w:color="929292"/>
              </w:rPr>
              <w:tab/>
              <w:t>30</w:t>
              <w:tab/>
            </w:r>
          </w:p>
        </w:tc>
        <w:tc>
          <w:tcPr>
            <w:tcW w:w="2191" w:type="dxa"/>
            <w:tcBorders>
              <w:left w:val="single" w:sz="4" w:space="0" w:color="929292"/>
              <w:right w:val="nil"/>
            </w:tcBorders>
          </w:tcPr>
          <w:p>
            <w:pPr>
              <w:pStyle w:val="TableParagraph"/>
              <w:tabs>
                <w:tab w:pos="921" w:val="left" w:leader="none"/>
                <w:tab w:pos="2155" w:val="left" w:leader="none"/>
              </w:tabs>
              <w:spacing w:line="171" w:lineRule="exact"/>
              <w:ind w:left="10"/>
              <w:jc w:val="center"/>
              <w:rPr>
                <w:sz w:val="16"/>
              </w:rPr>
            </w:pPr>
            <w:r>
              <w:rPr>
                <w:w w:val="100"/>
                <w:sz w:val="16"/>
                <w:u w:val="dotted" w:color="929292"/>
              </w:rPr>
              <w:t> </w:t>
            </w:r>
            <w:r>
              <w:rPr>
                <w:sz w:val="16"/>
                <w:u w:val="dotted" w:color="929292"/>
              </w:rPr>
              <w:tab/>
              <w:t>16.7</w:t>
              <w:tab/>
            </w:r>
          </w:p>
        </w:tc>
      </w:tr>
      <w:tr>
        <w:trPr>
          <w:trHeight w:val="171" w:hRule="exact"/>
        </w:trPr>
        <w:tc>
          <w:tcPr>
            <w:tcW w:w="2197" w:type="dxa"/>
            <w:tcBorders>
              <w:left w:val="nil"/>
              <w:right w:val="single" w:sz="4" w:space="0" w:color="929292"/>
            </w:tcBorders>
          </w:tcPr>
          <w:p>
            <w:pPr>
              <w:pStyle w:val="TableParagraph"/>
              <w:tabs>
                <w:tab w:pos="831" w:val="left" w:leader="none"/>
                <w:tab w:pos="2171" w:val="left" w:leader="none"/>
              </w:tabs>
              <w:spacing w:line="171" w:lineRule="exact"/>
              <w:ind w:left="20"/>
              <w:jc w:val="center"/>
              <w:rPr>
                <w:sz w:val="16"/>
              </w:rPr>
            </w:pPr>
            <w:r>
              <w:rPr>
                <w:w w:val="100"/>
                <w:sz w:val="16"/>
                <w:u w:val="dotted" w:color="929292"/>
              </w:rPr>
              <w:t> </w:t>
            </w:r>
            <w:r>
              <w:rPr>
                <w:sz w:val="16"/>
                <w:u w:val="dotted" w:color="929292"/>
              </w:rPr>
              <w:tab/>
            </w:r>
            <w:r>
              <w:rPr>
                <w:w w:val="105"/>
                <w:sz w:val="16"/>
                <w:u w:val="dotted" w:color="929292"/>
              </w:rPr>
              <w:t>71 -</w:t>
            </w:r>
            <w:r>
              <w:rPr>
                <w:spacing w:val="-17"/>
                <w:w w:val="105"/>
                <w:sz w:val="16"/>
                <w:u w:val="dotted" w:color="929292"/>
              </w:rPr>
              <w:t> </w:t>
            </w:r>
            <w:r>
              <w:rPr>
                <w:w w:val="105"/>
                <w:sz w:val="16"/>
                <w:u w:val="dotted" w:color="929292"/>
              </w:rPr>
              <w:t>80</w:t>
            </w:r>
            <w:r>
              <w:rPr>
                <w:sz w:val="16"/>
                <w:u w:val="dotted" w:color="929292"/>
              </w:rPr>
              <w:tab/>
            </w:r>
          </w:p>
        </w:tc>
        <w:tc>
          <w:tcPr>
            <w:tcW w:w="1758" w:type="dxa"/>
            <w:tcBorders>
              <w:left w:val="single" w:sz="4" w:space="0" w:color="929292"/>
              <w:right w:val="single" w:sz="4" w:space="0" w:color="929292"/>
            </w:tcBorders>
          </w:tcPr>
          <w:p>
            <w:pPr>
              <w:pStyle w:val="TableParagraph"/>
              <w:tabs>
                <w:tab w:pos="774" w:val="left" w:leader="none"/>
                <w:tab w:pos="1728" w:val="left" w:leader="none"/>
              </w:tabs>
              <w:spacing w:line="171" w:lineRule="exact"/>
              <w:ind w:left="14"/>
              <w:jc w:val="center"/>
              <w:rPr>
                <w:sz w:val="16"/>
              </w:rPr>
            </w:pPr>
            <w:r>
              <w:rPr>
                <w:w w:val="100"/>
                <w:sz w:val="16"/>
                <w:u w:val="dotted" w:color="929292"/>
              </w:rPr>
              <w:t> </w:t>
            </w:r>
            <w:r>
              <w:rPr>
                <w:sz w:val="16"/>
                <w:u w:val="dotted" w:color="929292"/>
              </w:rPr>
              <w:tab/>
              <w:t>18</w:t>
              <w:tab/>
            </w:r>
          </w:p>
        </w:tc>
        <w:tc>
          <w:tcPr>
            <w:tcW w:w="2191" w:type="dxa"/>
            <w:tcBorders>
              <w:left w:val="single" w:sz="4" w:space="0" w:color="929292"/>
              <w:right w:val="nil"/>
            </w:tcBorders>
          </w:tcPr>
          <w:p>
            <w:pPr>
              <w:pStyle w:val="TableParagraph"/>
              <w:tabs>
                <w:tab w:pos="921" w:val="left" w:leader="none"/>
                <w:tab w:pos="2155" w:val="left" w:leader="none"/>
              </w:tabs>
              <w:spacing w:line="171" w:lineRule="exact"/>
              <w:ind w:left="10"/>
              <w:jc w:val="center"/>
              <w:rPr>
                <w:sz w:val="16"/>
              </w:rPr>
            </w:pPr>
            <w:r>
              <w:rPr>
                <w:w w:val="100"/>
                <w:sz w:val="16"/>
                <w:u w:val="dotted" w:color="929292"/>
              </w:rPr>
              <w:t> </w:t>
            </w:r>
            <w:r>
              <w:rPr>
                <w:sz w:val="16"/>
                <w:u w:val="dotted" w:color="929292"/>
              </w:rPr>
              <w:tab/>
              <w:t>10.0</w:t>
              <w:tab/>
            </w:r>
          </w:p>
        </w:tc>
      </w:tr>
      <w:tr>
        <w:trPr>
          <w:trHeight w:val="171" w:hRule="exact"/>
        </w:trPr>
        <w:tc>
          <w:tcPr>
            <w:tcW w:w="2197" w:type="dxa"/>
            <w:tcBorders>
              <w:left w:val="nil"/>
              <w:right w:val="single" w:sz="4" w:space="0" w:color="929292"/>
            </w:tcBorders>
          </w:tcPr>
          <w:p>
            <w:pPr>
              <w:pStyle w:val="TableParagraph"/>
              <w:tabs>
                <w:tab w:pos="1040" w:val="left" w:leader="none"/>
                <w:tab w:pos="2171" w:val="left" w:leader="none"/>
              </w:tabs>
              <w:spacing w:line="171" w:lineRule="exact"/>
              <w:ind w:left="20"/>
              <w:jc w:val="center"/>
              <w:rPr>
                <w:sz w:val="16"/>
              </w:rPr>
            </w:pPr>
            <w:r>
              <w:rPr>
                <w:w w:val="100"/>
                <w:sz w:val="16"/>
                <w:u w:val="dotted" w:color="929292"/>
              </w:rPr>
              <w:t> </w:t>
            </w:r>
            <w:r>
              <w:rPr>
                <w:sz w:val="16"/>
                <w:u w:val="dotted" w:color="929292"/>
              </w:rPr>
              <w:tab/>
              <w:t>85</w:t>
              <w:tab/>
            </w:r>
          </w:p>
        </w:tc>
        <w:tc>
          <w:tcPr>
            <w:tcW w:w="1758" w:type="dxa"/>
            <w:tcBorders>
              <w:left w:val="single" w:sz="4" w:space="0" w:color="929292"/>
              <w:right w:val="single" w:sz="4" w:space="0" w:color="929292"/>
            </w:tcBorders>
          </w:tcPr>
          <w:p>
            <w:pPr>
              <w:pStyle w:val="TableParagraph"/>
              <w:tabs>
                <w:tab w:pos="818" w:val="left" w:leader="none"/>
                <w:tab w:pos="1728" w:val="left" w:leader="none"/>
              </w:tabs>
              <w:spacing w:line="171" w:lineRule="exact"/>
              <w:ind w:left="14"/>
              <w:jc w:val="center"/>
              <w:rPr>
                <w:sz w:val="16"/>
              </w:rPr>
            </w:pPr>
            <w:r>
              <w:rPr>
                <w:w w:val="100"/>
                <w:sz w:val="16"/>
                <w:u w:val="dotted" w:color="929292"/>
              </w:rPr>
              <w:t> </w:t>
            </w:r>
            <w:r>
              <w:rPr>
                <w:sz w:val="16"/>
                <w:u w:val="dotted" w:color="929292"/>
              </w:rPr>
              <w:tab/>
              <w:t>6</w:t>
              <w:tab/>
            </w:r>
          </w:p>
        </w:tc>
        <w:tc>
          <w:tcPr>
            <w:tcW w:w="2191" w:type="dxa"/>
            <w:tcBorders>
              <w:left w:val="single" w:sz="4" w:space="0" w:color="929292"/>
              <w:right w:val="nil"/>
            </w:tcBorders>
          </w:tcPr>
          <w:p>
            <w:pPr>
              <w:pStyle w:val="TableParagraph"/>
              <w:tabs>
                <w:tab w:pos="965" w:val="left" w:leader="none"/>
                <w:tab w:pos="2155" w:val="left" w:leader="none"/>
              </w:tabs>
              <w:spacing w:line="171" w:lineRule="exact"/>
              <w:ind w:left="10"/>
              <w:jc w:val="center"/>
              <w:rPr>
                <w:sz w:val="16"/>
              </w:rPr>
            </w:pPr>
            <w:r>
              <w:rPr>
                <w:w w:val="100"/>
                <w:sz w:val="16"/>
                <w:u w:val="dotted" w:color="929292"/>
              </w:rPr>
              <w:t> </w:t>
            </w:r>
            <w:r>
              <w:rPr>
                <w:sz w:val="16"/>
                <w:u w:val="dotted" w:color="929292"/>
              </w:rPr>
              <w:tab/>
              <w:t>3.3</w:t>
              <w:tab/>
            </w:r>
          </w:p>
        </w:tc>
      </w:tr>
      <w:tr>
        <w:trPr>
          <w:trHeight w:val="209" w:hRule="exact"/>
        </w:trPr>
        <w:tc>
          <w:tcPr>
            <w:tcW w:w="2197" w:type="dxa"/>
            <w:tcBorders>
              <w:left w:val="nil"/>
              <w:bottom w:val="dotted" w:sz="4" w:space="0" w:color="929292"/>
              <w:right w:val="single" w:sz="4" w:space="0" w:color="929292"/>
            </w:tcBorders>
          </w:tcPr>
          <w:p>
            <w:pPr>
              <w:pStyle w:val="TableParagraph"/>
              <w:spacing w:line="171" w:lineRule="exact"/>
              <w:ind w:left="20" w:right="21"/>
              <w:jc w:val="center"/>
              <w:rPr>
                <w:sz w:val="16"/>
              </w:rPr>
            </w:pPr>
            <w:r>
              <w:rPr>
                <w:sz w:val="16"/>
              </w:rPr>
              <w:t>Total</w:t>
            </w:r>
          </w:p>
        </w:tc>
        <w:tc>
          <w:tcPr>
            <w:tcW w:w="1758" w:type="dxa"/>
            <w:tcBorders>
              <w:left w:val="single" w:sz="4" w:space="0" w:color="929292"/>
              <w:bottom w:val="dotted" w:sz="4" w:space="0" w:color="929292"/>
              <w:right w:val="single" w:sz="4" w:space="0" w:color="929292"/>
            </w:tcBorders>
          </w:tcPr>
          <w:p>
            <w:pPr>
              <w:pStyle w:val="TableParagraph"/>
              <w:spacing w:line="171" w:lineRule="exact"/>
              <w:ind w:left="14" w:right="15"/>
              <w:jc w:val="center"/>
              <w:rPr>
                <w:sz w:val="16"/>
              </w:rPr>
            </w:pPr>
            <w:r>
              <w:rPr>
                <w:sz w:val="16"/>
              </w:rPr>
              <w:t>180</w:t>
            </w:r>
          </w:p>
        </w:tc>
        <w:tc>
          <w:tcPr>
            <w:tcW w:w="2191" w:type="dxa"/>
            <w:tcBorders>
              <w:left w:val="single" w:sz="4" w:space="0" w:color="929292"/>
              <w:bottom w:val="dotted" w:sz="4" w:space="0" w:color="929292"/>
              <w:right w:val="nil"/>
            </w:tcBorders>
          </w:tcPr>
          <w:p>
            <w:pPr>
              <w:pStyle w:val="TableParagraph"/>
              <w:spacing w:line="171" w:lineRule="exact"/>
              <w:jc w:val="center"/>
              <w:rPr>
                <w:sz w:val="16"/>
              </w:rPr>
            </w:pPr>
            <w:r>
              <w:rPr>
                <w:sz w:val="16"/>
              </w:rPr>
              <w:t>100.0</w:t>
            </w:r>
          </w:p>
        </w:tc>
      </w:tr>
    </w:tbl>
    <w:p>
      <w:pPr>
        <w:pStyle w:val="BodyText"/>
        <w:spacing w:before="5"/>
        <w:rPr>
          <w:sz w:val="16"/>
        </w:rPr>
      </w:pPr>
    </w:p>
    <w:p>
      <w:pPr>
        <w:spacing w:before="0"/>
        <w:ind w:left="126" w:right="0" w:firstLine="0"/>
        <w:jc w:val="center"/>
        <w:rPr>
          <w:sz w:val="16"/>
        </w:rPr>
      </w:pPr>
      <w:r>
        <w:rPr>
          <w:color w:val="6D6E71"/>
          <w:sz w:val="16"/>
        </w:rPr>
        <w:t>Fuente: Elaboración propia, 2015.</w:t>
      </w:r>
    </w:p>
    <w:p>
      <w:pPr>
        <w:pStyle w:val="BodyText"/>
        <w:rPr>
          <w:sz w:val="16"/>
        </w:rPr>
      </w:pPr>
    </w:p>
    <w:p>
      <w:pPr>
        <w:spacing w:before="112"/>
        <w:ind w:left="126" w:right="0" w:firstLine="0"/>
        <w:jc w:val="center"/>
        <w:rPr>
          <w:sz w:val="16"/>
        </w:rPr>
      </w:pPr>
      <w:r>
        <w:rPr>
          <w:color w:val="6D6E71"/>
          <w:sz w:val="16"/>
        </w:rPr>
        <w:t>Gráfica 8. Rango de edad de los entrevistados</w:t>
      </w:r>
    </w:p>
    <w:p>
      <w:pPr>
        <w:pStyle w:val="BodyText"/>
        <w:spacing w:before="6"/>
        <w:rPr>
          <w:sz w:val="7"/>
        </w:rPr>
      </w:pPr>
    </w:p>
    <w:p>
      <w:pPr>
        <w:pStyle w:val="BodyText"/>
        <w:ind w:left="2249"/>
      </w:pPr>
      <w:r>
        <w:rPr/>
        <w:drawing>
          <wp:inline distT="0" distB="0" distL="0" distR="0">
            <wp:extent cx="2194955" cy="1568196"/>
            <wp:effectExtent l="0" t="0" r="0" b="0"/>
            <wp:docPr id="81" name="image59.png" descr=""/>
            <wp:cNvGraphicFramePr>
              <a:graphicFrameLocks noChangeAspect="1"/>
            </wp:cNvGraphicFramePr>
            <a:graphic>
              <a:graphicData uri="http://schemas.openxmlformats.org/drawingml/2006/picture">
                <pic:pic>
                  <pic:nvPicPr>
                    <pic:cNvPr id="82" name="image59.png"/>
                    <pic:cNvPicPr/>
                  </pic:nvPicPr>
                  <pic:blipFill>
                    <a:blip r:embed="rId225" cstate="print"/>
                    <a:stretch>
                      <a:fillRect/>
                    </a:stretch>
                  </pic:blipFill>
                  <pic:spPr>
                    <a:xfrm>
                      <a:off x="0" y="0"/>
                      <a:ext cx="2194955" cy="1568196"/>
                    </a:xfrm>
                    <a:prstGeom prst="rect">
                      <a:avLst/>
                    </a:prstGeom>
                  </pic:spPr>
                </pic:pic>
              </a:graphicData>
            </a:graphic>
          </wp:inline>
        </w:drawing>
      </w:r>
      <w:r>
        <w:rPr/>
      </w:r>
    </w:p>
    <w:p>
      <w:pPr>
        <w:spacing w:before="140"/>
        <w:ind w:left="128" w:right="0" w:firstLine="0"/>
        <w:jc w:val="center"/>
        <w:rPr>
          <w:sz w:val="16"/>
        </w:rPr>
      </w:pPr>
      <w:r>
        <w:rPr>
          <w:color w:val="6D6E71"/>
          <w:sz w:val="16"/>
        </w:rPr>
        <w:t>Fuente: Elaboración propia, 2015.</w:t>
      </w:r>
    </w:p>
    <w:p>
      <w:pPr>
        <w:pStyle w:val="BodyText"/>
      </w:pPr>
      <w:r>
        <w:rPr/>
        <w:br w:type="column"/>
      </w:r>
      <w:r>
        <w:rPr/>
      </w:r>
    </w:p>
    <w:p>
      <w:pPr>
        <w:pStyle w:val="BodyText"/>
        <w:spacing w:line="249" w:lineRule="auto" w:before="117"/>
        <w:ind w:left="129" w:right="126" w:firstLine="170"/>
        <w:jc w:val="both"/>
      </w:pPr>
      <w:r>
        <w:rPr/>
        <w:t>En el cuadro 4 y gráfica 9 se muestra la ocupación de los entrevistados; es posible observar que en su mayoría son amas de casa. Esto se debe a que la mayoría de los entrevistados fueron mujeres.</w:t>
      </w:r>
    </w:p>
    <w:p>
      <w:pPr>
        <w:pStyle w:val="BodyText"/>
        <w:spacing w:before="11"/>
        <w:rPr>
          <w:sz w:val="29"/>
        </w:rPr>
      </w:pPr>
    </w:p>
    <w:p>
      <w:pPr>
        <w:tabs>
          <w:tab w:pos="1334" w:val="left" w:leader="none"/>
          <w:tab w:pos="5685" w:val="left" w:leader="none"/>
        </w:tabs>
        <w:spacing w:before="0"/>
        <w:ind w:left="0" w:right="0" w:firstLine="0"/>
        <w:jc w:val="center"/>
        <w:rPr>
          <w:sz w:val="16"/>
        </w:rPr>
      </w:pPr>
      <w:r>
        <w:rPr/>
        <w:pict>
          <v:group style="position:absolute;margin-left:698.365112pt;margin-top:10.338194pt;width:.5pt;height:166.85pt;mso-position-horizontal-relative:page;mso-position-vertical-relative:paragraph;z-index:-644632" coordorigin="13967,207" coordsize="10,3337">
            <v:line style="position:absolute" from="13972,389" to="13972,227" stroked="true" strokeweight=".5pt" strokecolor="#929292">
              <v:stroke dashstyle="dash"/>
            </v:line>
            <v:shape style="position:absolute;left:0;top:10299;width:2;height:207" coordorigin="0,10299" coordsize="0,207" path="m13972,418l13972,418m13972,212l13972,212e" filled="false" stroked="true" strokeweight=".5pt" strokecolor="#929292">
              <v:path arrowok="t"/>
            </v:shape>
            <v:line style="position:absolute" from="13972,418" to="13972,418" stroked="true" strokeweight=".5pt" strokecolor="#929292"/>
            <v:line style="position:absolute" from="13972,628" to="13972,433" stroked="true" strokeweight=".5pt" strokecolor="#929292">
              <v:stroke dashstyle="dash"/>
            </v:line>
            <v:shape style="position:absolute;left:0;top:10266;width:2;height:240" coordorigin="0,10266" coordsize="0,240" path="m13972,658l13972,658m13972,418l13972,418e" filled="false" stroked="true" strokeweight=".5pt" strokecolor="#929292">
              <v:path arrowok="t"/>
            </v:shape>
            <v:line style="position:absolute" from="13972,418" to="13972,418" stroked="true" strokeweight=".5pt" strokecolor="#929292"/>
            <v:line style="position:absolute" from="13972,658" to="13972,658" stroked="true" strokeweight=".5pt" strokecolor="#929292"/>
            <v:line style="position:absolute" from="13972,868" to="13972,673" stroked="true" strokeweight=".5pt" strokecolor="#929292">
              <v:stroke dashstyle="dash"/>
            </v:line>
            <v:shape style="position:absolute;left:0;top:10266;width:2;height:240" coordorigin="0,10266" coordsize="0,240" path="m13972,898l13972,898m13972,658l13972,658e" filled="false" stroked="true" strokeweight=".5pt" strokecolor="#929292">
              <v:path arrowok="t"/>
            </v:shape>
            <v:line style="position:absolute" from="13972,658" to="13972,658" stroked="true" strokeweight=".5pt" strokecolor="#929292"/>
            <v:line style="position:absolute" from="13972,898" to="13972,898" stroked="true" strokeweight=".5pt" strokecolor="#929292"/>
            <v:line style="position:absolute" from="13972,1108" to="13972,913" stroked="true" strokeweight=".5pt" strokecolor="#929292">
              <v:stroke dashstyle="dash"/>
            </v:line>
            <v:shape style="position:absolute;left:0;top:10266;width:2;height:240" coordorigin="0,10266" coordsize="0,240" path="m13972,1138l13972,1138m13972,898l13972,898e" filled="false" stroked="true" strokeweight=".5pt" strokecolor="#929292">
              <v:path arrowok="t"/>
            </v:shape>
            <v:line style="position:absolute" from="13972,898" to="13972,898" stroked="true" strokeweight=".5pt" strokecolor="#929292"/>
            <v:line style="position:absolute" from="13972,1138" to="13972,1138" stroked="true" strokeweight=".5pt" strokecolor="#929292"/>
            <v:line style="position:absolute" from="13972,1348" to="13972,1153" stroked="true" strokeweight=".5pt" strokecolor="#929292">
              <v:stroke dashstyle="dash"/>
            </v:line>
            <v:shape style="position:absolute;left:0;top:10266;width:2;height:240" coordorigin="0,10266" coordsize="0,240" path="m13972,1378l13972,1378m13972,1138l13972,1138e" filled="false" stroked="true" strokeweight=".5pt" strokecolor="#929292">
              <v:path arrowok="t"/>
            </v:shape>
            <v:line style="position:absolute" from="13972,1138" to="13972,1138" stroked="true" strokeweight=".5pt" strokecolor="#929292"/>
            <v:line style="position:absolute" from="13972,1378" to="13972,1378" stroked="true" strokeweight=".5pt" strokecolor="#929292"/>
            <v:line style="position:absolute" from="13972,1588" to="13972,1393" stroked="true" strokeweight=".5pt" strokecolor="#929292">
              <v:stroke dashstyle="dash"/>
            </v:line>
            <v:shape style="position:absolute;left:0;top:10266;width:2;height:240" coordorigin="0,10266" coordsize="0,240" path="m13972,1618l13972,1618m13972,1378l13972,1378e" filled="false" stroked="true" strokeweight=".5pt" strokecolor="#929292">
              <v:path arrowok="t"/>
            </v:shape>
            <v:line style="position:absolute" from="13972,1378" to="13972,1378" stroked="true" strokeweight=".5pt" strokecolor="#929292"/>
            <v:line style="position:absolute" from="13972,1618" to="13972,1618" stroked="true" strokeweight=".5pt" strokecolor="#929292"/>
            <v:line style="position:absolute" from="13972,1828" to="13972,1633" stroked="true" strokeweight=".5pt" strokecolor="#929292">
              <v:stroke dashstyle="dash"/>
            </v:line>
            <v:shape style="position:absolute;left:0;top:10266;width:2;height:240" coordorigin="0,10266" coordsize="0,240" path="m13972,1858l13972,1858m13972,1618l13972,1618e" filled="false" stroked="true" strokeweight=".5pt" strokecolor="#929292">
              <v:path arrowok="t"/>
            </v:shape>
            <v:line style="position:absolute" from="13972,1618" to="13972,1618" stroked="true" strokeweight=".5pt" strokecolor="#929292"/>
            <v:line style="position:absolute" from="13972,1858" to="13972,1858" stroked="true" strokeweight=".5pt" strokecolor="#929292"/>
            <v:line style="position:absolute" from="13972,2068" to="13972,1873" stroked="true" strokeweight=".5pt" strokecolor="#929292">
              <v:stroke dashstyle="dash"/>
            </v:line>
            <v:shape style="position:absolute;left:0;top:10266;width:2;height:240" coordorigin="0,10266" coordsize="0,240" path="m13972,2098l13972,2098m13972,1858l13972,1858e" filled="false" stroked="true" strokeweight=".5pt" strokecolor="#929292">
              <v:path arrowok="t"/>
            </v:shape>
            <v:line style="position:absolute" from="13972,1858" to="13972,1858" stroked="true" strokeweight=".5pt" strokecolor="#929292"/>
            <v:line style="position:absolute" from="13972,2098" to="13972,2098" stroked="true" strokeweight=".5pt" strokecolor="#929292"/>
            <v:line style="position:absolute" from="13972,2308" to="13972,2113" stroked="true" strokeweight=".5pt" strokecolor="#929292">
              <v:stroke dashstyle="dash"/>
            </v:line>
            <v:shape style="position:absolute;left:0;top:10266;width:2;height:240" coordorigin="0,10266" coordsize="0,240" path="m13972,2338l13972,2338m13972,2098l13972,2098e" filled="false" stroked="true" strokeweight=".5pt" strokecolor="#929292">
              <v:path arrowok="t"/>
            </v:shape>
            <v:line style="position:absolute" from="13972,2098" to="13972,2098" stroked="true" strokeweight=".5pt" strokecolor="#929292"/>
            <v:line style="position:absolute" from="13972,2338" to="13972,2338" stroked="true" strokeweight=".5pt" strokecolor="#929292"/>
            <v:line style="position:absolute" from="13972,2548" to="13972,2353" stroked="true" strokeweight=".5pt" strokecolor="#929292">
              <v:stroke dashstyle="dash"/>
            </v:line>
            <v:shape style="position:absolute;left:0;top:10266;width:2;height:240" coordorigin="0,10266" coordsize="0,240" path="m13972,2578l13972,2578m13972,2338l13972,2338e" filled="false" stroked="true" strokeweight=".5pt" strokecolor="#929292">
              <v:path arrowok="t"/>
            </v:shape>
            <v:line style="position:absolute" from="13972,2338" to="13972,2338" stroked="true" strokeweight=".5pt" strokecolor="#929292"/>
            <v:line style="position:absolute" from="13972,2578" to="13972,2578" stroked="true" strokeweight=".5pt" strokecolor="#929292"/>
            <v:line style="position:absolute" from="13972,2788" to="13972,2593" stroked="true" strokeweight=".5pt" strokecolor="#929292">
              <v:stroke dashstyle="dash"/>
            </v:line>
            <v:shape style="position:absolute;left:0;top:10266;width:2;height:240" coordorigin="0,10266" coordsize="0,240" path="m13972,2818l13972,2818m13972,2578l13972,2578e" filled="false" stroked="true" strokeweight=".5pt" strokecolor="#929292">
              <v:path arrowok="t"/>
            </v:shape>
            <v:line style="position:absolute" from="13972,2578" to="13972,2578" stroked="true" strokeweight=".5pt" strokecolor="#929292"/>
            <v:line style="position:absolute" from="13972,2818" to="13972,2818" stroked="true" strokeweight=".5pt" strokecolor="#929292"/>
            <v:line style="position:absolute" from="13972,3028" to="13972,2833" stroked="true" strokeweight=".5pt" strokecolor="#929292">
              <v:stroke dashstyle="dash"/>
            </v:line>
            <v:shape style="position:absolute;left:0;top:10266;width:2;height:240" coordorigin="0,10266" coordsize="0,240" path="m13972,3058l13972,3058m13972,2818l13972,2818e" filled="false" stroked="true" strokeweight=".5pt" strokecolor="#929292">
              <v:path arrowok="t"/>
            </v:shape>
            <v:line style="position:absolute" from="13972,2818" to="13972,2818" stroked="true" strokeweight=".5pt" strokecolor="#929292"/>
            <v:line style="position:absolute" from="13972,3058" to="13972,3058" stroked="true" strokeweight=".5pt" strokecolor="#929292"/>
            <v:line style="position:absolute" from="13972,3268" to="13972,3073" stroked="true" strokeweight=".5pt" strokecolor="#929292">
              <v:stroke dashstyle="dash"/>
            </v:line>
            <v:shape style="position:absolute;left:0;top:10266;width:2;height:240" coordorigin="0,10266" coordsize="0,240" path="m13972,3298l13972,3298m13972,3058l13972,3058e" filled="false" stroked="true" strokeweight=".5pt" strokecolor="#929292">
              <v:path arrowok="t"/>
            </v:shape>
            <v:line style="position:absolute" from="13972,3058" to="13972,3058" stroked="true" strokeweight=".5pt" strokecolor="#929292"/>
            <v:line style="position:absolute" from="13972,3298" to="13972,3298" stroked="true" strokeweight=".5pt" strokecolor="#929292"/>
            <v:line style="position:absolute" from="13972,3538" to="13972,3538" stroked="true" strokeweight=".5pt" strokecolor="#929292"/>
            <v:line style="position:absolute" from="13972,3508" to="13972,3313" stroked="true" strokeweight=".5pt" strokecolor="#929292">
              <v:stroke dashstyle="dash"/>
            </v:line>
            <v:shape style="position:absolute;left:0;top:10266;width:2;height:240" coordorigin="0,10266" coordsize="0,240" path="m13972,3538l13972,3538m13972,3298l13972,3298e" filled="false" stroked="true" strokeweight=".5pt" strokecolor="#929292">
              <v:path arrowok="t"/>
            </v:shape>
            <v:line style="position:absolute" from="13972,3298" to="13972,3298" stroked="true" strokeweight=".5pt" strokecolor="#929292"/>
            <v:line style="position:absolute" from="13972,3538" to="13972,3538" stroked="true" strokeweight=".5pt" strokecolor="#929292"/>
            <w10:wrap type="none"/>
          </v:group>
        </w:pict>
      </w:r>
      <w:r>
        <w:rPr/>
        <w:pict>
          <v:group style="position:absolute;margin-left:770.898193pt;margin-top:10.338194pt;width:.5pt;height:166.85pt;mso-position-horizontal-relative:page;mso-position-vertical-relative:paragraph;z-index:-644608" coordorigin="15418,207" coordsize="10,3337">
            <v:line style="position:absolute" from="15423,389" to="15423,227" stroked="true" strokeweight=".5pt" strokecolor="#929292">
              <v:stroke dashstyle="dash"/>
            </v:line>
            <v:shape style="position:absolute;left:0;top:10299;width:2;height:207" coordorigin="0,10299" coordsize="0,207" path="m15423,418l15423,418m15423,212l15423,212e" filled="false" stroked="true" strokeweight=".5pt" strokecolor="#929292">
              <v:path arrowok="t"/>
            </v:shape>
            <v:line style="position:absolute" from="15423,418" to="15423,418" stroked="true" strokeweight=".5pt" strokecolor="#929292"/>
            <v:line style="position:absolute" from="15423,628" to="15423,433" stroked="true" strokeweight=".5pt" strokecolor="#929292">
              <v:stroke dashstyle="dash"/>
            </v:line>
            <v:shape style="position:absolute;left:0;top:10266;width:2;height:240" coordorigin="0,10266" coordsize="0,240" path="m15423,658l15423,658m15423,418l15423,418e" filled="false" stroked="true" strokeweight=".5pt" strokecolor="#929292">
              <v:path arrowok="t"/>
            </v:shape>
            <v:line style="position:absolute" from="15423,418" to="15423,418" stroked="true" strokeweight=".5pt" strokecolor="#929292"/>
            <v:line style="position:absolute" from="15423,658" to="15423,658" stroked="true" strokeweight=".5pt" strokecolor="#929292"/>
            <v:line style="position:absolute" from="15423,868" to="15423,673" stroked="true" strokeweight=".5pt" strokecolor="#929292">
              <v:stroke dashstyle="dash"/>
            </v:line>
            <v:shape style="position:absolute;left:0;top:10266;width:2;height:240" coordorigin="0,10266" coordsize="0,240" path="m15423,898l15423,898m15423,658l15423,658e" filled="false" stroked="true" strokeweight=".5pt" strokecolor="#929292">
              <v:path arrowok="t"/>
            </v:shape>
            <v:line style="position:absolute" from="15423,658" to="15423,658" stroked="true" strokeweight=".5pt" strokecolor="#929292"/>
            <v:line style="position:absolute" from="15423,898" to="15423,898" stroked="true" strokeweight=".5pt" strokecolor="#929292"/>
            <v:line style="position:absolute" from="15423,1108" to="15423,913" stroked="true" strokeweight=".5pt" strokecolor="#929292">
              <v:stroke dashstyle="dash"/>
            </v:line>
            <v:shape style="position:absolute;left:0;top:10266;width:2;height:240" coordorigin="0,10266" coordsize="0,240" path="m15423,1138l15423,1138m15423,898l15423,898e" filled="false" stroked="true" strokeweight=".5pt" strokecolor="#929292">
              <v:path arrowok="t"/>
            </v:shape>
            <v:line style="position:absolute" from="15423,898" to="15423,898" stroked="true" strokeweight=".5pt" strokecolor="#929292"/>
            <v:line style="position:absolute" from="15423,1138" to="15423,1138" stroked="true" strokeweight=".5pt" strokecolor="#929292"/>
            <v:line style="position:absolute" from="15423,1348" to="15423,1153" stroked="true" strokeweight=".5pt" strokecolor="#929292">
              <v:stroke dashstyle="dash"/>
            </v:line>
            <v:shape style="position:absolute;left:0;top:10266;width:2;height:240" coordorigin="0,10266" coordsize="0,240" path="m15423,1378l15423,1378m15423,1138l15423,1138e" filled="false" stroked="true" strokeweight=".5pt" strokecolor="#929292">
              <v:path arrowok="t"/>
            </v:shape>
            <v:line style="position:absolute" from="15423,1138" to="15423,1138" stroked="true" strokeweight=".5pt" strokecolor="#929292"/>
            <v:line style="position:absolute" from="15423,1378" to="15423,1378" stroked="true" strokeweight=".5pt" strokecolor="#929292"/>
            <v:line style="position:absolute" from="15423,1588" to="15423,1393" stroked="true" strokeweight=".5pt" strokecolor="#929292">
              <v:stroke dashstyle="dash"/>
            </v:line>
            <v:shape style="position:absolute;left:0;top:10266;width:2;height:240" coordorigin="0,10266" coordsize="0,240" path="m15423,1618l15423,1618m15423,1378l15423,1378e" filled="false" stroked="true" strokeweight=".5pt" strokecolor="#929292">
              <v:path arrowok="t"/>
            </v:shape>
            <v:line style="position:absolute" from="15423,1378" to="15423,1378" stroked="true" strokeweight=".5pt" strokecolor="#929292"/>
            <v:line style="position:absolute" from="15423,1618" to="15423,1618" stroked="true" strokeweight=".5pt" strokecolor="#929292"/>
            <v:line style="position:absolute" from="15423,1828" to="15423,1633" stroked="true" strokeweight=".5pt" strokecolor="#929292">
              <v:stroke dashstyle="dash"/>
            </v:line>
            <v:shape style="position:absolute;left:0;top:10266;width:2;height:240" coordorigin="0,10266" coordsize="0,240" path="m15423,1858l15423,1858m15423,1618l15423,1618e" filled="false" stroked="true" strokeweight=".5pt" strokecolor="#929292">
              <v:path arrowok="t"/>
            </v:shape>
            <v:line style="position:absolute" from="15423,1618" to="15423,1618" stroked="true" strokeweight=".5pt" strokecolor="#929292"/>
            <v:line style="position:absolute" from="15423,1858" to="15423,1858" stroked="true" strokeweight=".5pt" strokecolor="#929292"/>
            <v:line style="position:absolute" from="15423,2068" to="15423,1873" stroked="true" strokeweight=".5pt" strokecolor="#929292">
              <v:stroke dashstyle="dash"/>
            </v:line>
            <v:shape style="position:absolute;left:0;top:10266;width:2;height:240" coordorigin="0,10266" coordsize="0,240" path="m15423,2098l15423,2098m15423,1858l15423,1858e" filled="false" stroked="true" strokeweight=".5pt" strokecolor="#929292">
              <v:path arrowok="t"/>
            </v:shape>
            <v:line style="position:absolute" from="15423,1858" to="15423,1858" stroked="true" strokeweight=".5pt" strokecolor="#929292"/>
            <v:line style="position:absolute" from="15423,2098" to="15423,2098" stroked="true" strokeweight=".5pt" strokecolor="#929292"/>
            <v:line style="position:absolute" from="15423,2308" to="15423,2113" stroked="true" strokeweight=".5pt" strokecolor="#929292">
              <v:stroke dashstyle="dash"/>
            </v:line>
            <v:shape style="position:absolute;left:0;top:10266;width:2;height:240" coordorigin="0,10266" coordsize="0,240" path="m15423,2338l15423,2338m15423,2098l15423,2098e" filled="false" stroked="true" strokeweight=".5pt" strokecolor="#929292">
              <v:path arrowok="t"/>
            </v:shape>
            <v:line style="position:absolute" from="15423,2098" to="15423,2098" stroked="true" strokeweight=".5pt" strokecolor="#929292"/>
            <v:line style="position:absolute" from="15423,2338" to="15423,2338" stroked="true" strokeweight=".5pt" strokecolor="#929292"/>
            <v:line style="position:absolute" from="15423,2548" to="15423,2353" stroked="true" strokeweight=".5pt" strokecolor="#929292">
              <v:stroke dashstyle="dash"/>
            </v:line>
            <v:shape style="position:absolute;left:0;top:10266;width:2;height:240" coordorigin="0,10266" coordsize="0,240" path="m15423,2578l15423,2578m15423,2338l15423,2338e" filled="false" stroked="true" strokeweight=".5pt" strokecolor="#929292">
              <v:path arrowok="t"/>
            </v:shape>
            <v:line style="position:absolute" from="15423,2338" to="15423,2338" stroked="true" strokeweight=".5pt" strokecolor="#929292"/>
            <v:line style="position:absolute" from="15423,2578" to="15423,2578" stroked="true" strokeweight=".5pt" strokecolor="#929292"/>
            <v:line style="position:absolute" from="15423,2788" to="15423,2593" stroked="true" strokeweight=".5pt" strokecolor="#929292">
              <v:stroke dashstyle="dash"/>
            </v:line>
            <v:shape style="position:absolute;left:0;top:10266;width:2;height:240" coordorigin="0,10266" coordsize="0,240" path="m15423,2818l15423,2818m15423,2578l15423,2578e" filled="false" stroked="true" strokeweight=".5pt" strokecolor="#929292">
              <v:path arrowok="t"/>
            </v:shape>
            <v:line style="position:absolute" from="15423,2578" to="15423,2578" stroked="true" strokeweight=".5pt" strokecolor="#929292"/>
            <v:line style="position:absolute" from="15423,2818" to="15423,2818" stroked="true" strokeweight=".5pt" strokecolor="#929292"/>
            <v:line style="position:absolute" from="15423,3028" to="15423,2833" stroked="true" strokeweight=".5pt" strokecolor="#929292">
              <v:stroke dashstyle="dash"/>
            </v:line>
            <v:shape style="position:absolute;left:0;top:10266;width:2;height:240" coordorigin="0,10266" coordsize="0,240" path="m15423,3058l15423,3058m15423,2818l15423,2818e" filled="false" stroked="true" strokeweight=".5pt" strokecolor="#929292">
              <v:path arrowok="t"/>
            </v:shape>
            <v:line style="position:absolute" from="15423,2818" to="15423,2818" stroked="true" strokeweight=".5pt" strokecolor="#929292"/>
            <v:line style="position:absolute" from="15423,3058" to="15423,3058" stroked="true" strokeweight=".5pt" strokecolor="#929292"/>
            <v:line style="position:absolute" from="15423,3268" to="15423,3073" stroked="true" strokeweight=".5pt" strokecolor="#929292">
              <v:stroke dashstyle="dash"/>
            </v:line>
            <v:shape style="position:absolute;left:0;top:10266;width:2;height:240" coordorigin="0,10266" coordsize="0,240" path="m15423,3298l15423,3298m15423,3058l15423,3058e" filled="false" stroked="true" strokeweight=".5pt" strokecolor="#929292">
              <v:path arrowok="t"/>
            </v:shape>
            <v:line style="position:absolute" from="15423,3058" to="15423,3058" stroked="true" strokeweight=".5pt" strokecolor="#929292"/>
            <v:line style="position:absolute" from="15423,3298" to="15423,3298" stroked="true" strokeweight=".5pt" strokecolor="#929292"/>
            <v:line style="position:absolute" from="15423,3538" to="15423,3538" stroked="true" strokeweight=".5pt" strokecolor="#929292"/>
            <v:line style="position:absolute" from="15423,3508" to="15423,3313" stroked="true" strokeweight=".5pt" strokecolor="#929292">
              <v:stroke dashstyle="dash"/>
            </v:line>
            <v:shape style="position:absolute;left:0;top:10266;width:2;height:240" coordorigin="0,10266" coordsize="0,240" path="m15423,3538l15423,3538m15423,3298l15423,3298e" filled="false" stroked="true" strokeweight=".5pt" strokecolor="#929292">
              <v:path arrowok="t"/>
            </v:shape>
            <v:line style="position:absolute" from="15423,3298" to="15423,3298" stroked="true" strokeweight=".5pt" strokecolor="#929292"/>
            <v:line style="position:absolute" from="15423,3538" to="15423,3538" stroked="true" strokeweight=".5pt" strokecolor="#929292"/>
            <w10:wrap type="none"/>
          </v:group>
        </w:pict>
      </w:r>
      <w:r>
        <w:rPr>
          <w:w w:val="100"/>
          <w:sz w:val="16"/>
          <w:shd w:fill="929292" w:color="auto" w:val="clear"/>
        </w:rPr>
        <w:t> </w:t>
      </w:r>
      <w:r>
        <w:rPr>
          <w:sz w:val="16"/>
          <w:shd w:fill="929292" w:color="auto" w:val="clear"/>
        </w:rPr>
        <w:tab/>
        <w:t>Cuadro 4. Ocupación de los</w:t>
      </w:r>
      <w:r>
        <w:rPr>
          <w:spacing w:val="37"/>
          <w:sz w:val="16"/>
          <w:shd w:fill="929292" w:color="auto" w:val="clear"/>
        </w:rPr>
        <w:t> </w:t>
      </w:r>
      <w:r>
        <w:rPr>
          <w:sz w:val="16"/>
          <w:shd w:fill="929292" w:color="auto" w:val="clear"/>
        </w:rPr>
        <w:t>entrevistados</w:t>
        <w:tab/>
      </w:r>
    </w:p>
    <w:p>
      <w:pPr>
        <w:tabs>
          <w:tab w:pos="938" w:val="left" w:leader="none"/>
          <w:tab w:pos="2662" w:val="left" w:leader="none"/>
          <w:tab w:pos="3008" w:val="left" w:leader="none"/>
          <w:tab w:pos="4113" w:val="left" w:leader="none"/>
          <w:tab w:pos="4512" w:val="left" w:leader="none"/>
          <w:tab w:pos="5644" w:val="left" w:leader="none"/>
        </w:tabs>
        <w:spacing w:before="56"/>
        <w:ind w:left="14" w:right="0" w:firstLine="0"/>
        <w:jc w:val="center"/>
        <w:rPr>
          <w:sz w:val="16"/>
        </w:rPr>
      </w:pPr>
      <w:r>
        <w:rPr>
          <w:w w:val="100"/>
          <w:sz w:val="16"/>
          <w:u w:val="dotted" w:color="929292"/>
        </w:rPr>
        <w:t> </w:t>
      </w:r>
      <w:r>
        <w:rPr>
          <w:sz w:val="16"/>
          <w:u w:val="dotted" w:color="929292"/>
        </w:rPr>
        <w:tab/>
        <w:t>Ocupación</w:t>
        <w:tab/>
      </w:r>
      <w:r>
        <w:rPr>
          <w:sz w:val="16"/>
          <w:u w:val="dotted" w:color="929292"/>
        </w:rPr>
        <w:t> Frecuencia</w:t>
        <w:tab/>
      </w:r>
      <w:r>
        <w:rPr>
          <w:sz w:val="16"/>
          <w:u w:val="dotted" w:color="929292"/>
        </w:rPr>
        <w:t> </w:t>
        <w:tab/>
        <w:t>Porcentaje</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861" w:val="left" w:leader="none"/>
          <w:tab w:pos="2662" w:val="left" w:leader="none"/>
          <w:tab w:pos="3269" w:val="left" w:leader="none"/>
          <w:tab w:pos="4113" w:val="left" w:leader="none"/>
          <w:tab w:pos="4740"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Ama</w:t>
      </w:r>
      <w:r>
        <w:rPr>
          <w:spacing w:val="-1"/>
          <w:sz w:val="16"/>
          <w:u w:val="dotted" w:color="929292"/>
        </w:rPr>
        <w:t> </w:t>
      </w:r>
      <w:r>
        <w:rPr>
          <w:sz w:val="16"/>
          <w:u w:val="dotted" w:color="929292"/>
        </w:rPr>
        <w:t>de</w:t>
      </w:r>
      <w:r>
        <w:rPr>
          <w:spacing w:val="-1"/>
          <w:sz w:val="16"/>
          <w:u w:val="dotted" w:color="929292"/>
        </w:rPr>
        <w:t> </w:t>
      </w:r>
      <w:r>
        <w:rPr>
          <w:sz w:val="16"/>
          <w:u w:val="dotted" w:color="929292"/>
        </w:rPr>
        <w:t>casa</w:t>
        <w:tab/>
      </w:r>
      <w:r>
        <w:rPr>
          <w:sz w:val="16"/>
          <w:u w:val="dotted" w:color="929292"/>
        </w:rPr>
        <w:t> </w:t>
        <w:tab/>
        <w:t>121</w:t>
        <w:tab/>
      </w:r>
      <w:r>
        <w:rPr>
          <w:sz w:val="16"/>
          <w:u w:val="dotted" w:color="929292"/>
        </w:rPr>
        <w:t> </w:t>
        <w:tab/>
        <w:t>67.2</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920" w:val="left" w:leader="none"/>
          <w:tab w:pos="2662" w:val="left" w:leader="none"/>
          <w:tab w:pos="3314" w:val="left" w:leader="none"/>
          <w:tab w:pos="4113" w:val="left" w:leader="none"/>
          <w:tab w:pos="4740"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Campesino</w:t>
        <w:tab/>
      </w:r>
      <w:r>
        <w:rPr>
          <w:sz w:val="16"/>
          <w:u w:val="dotted" w:color="929292"/>
        </w:rPr>
        <w:t> 23</w:t>
        <w:tab/>
      </w:r>
      <w:r>
        <w:rPr>
          <w:sz w:val="16"/>
          <w:u w:val="dotted" w:color="929292"/>
        </w:rPr>
        <w:t> </w:t>
        <w:tab/>
        <w:t>12.8</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870" w:val="left" w:leader="none"/>
          <w:tab w:pos="2662" w:val="left" w:leader="none"/>
          <w:tab w:pos="3314"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Comerciante</w:t>
        <w:tab/>
      </w:r>
      <w:r>
        <w:rPr>
          <w:sz w:val="16"/>
          <w:u w:val="dotted" w:color="929292"/>
        </w:rPr>
        <w:t> 17</w:t>
        <w:tab/>
      </w:r>
      <w:r>
        <w:rPr>
          <w:sz w:val="16"/>
          <w:u w:val="dotted" w:color="929292"/>
        </w:rPr>
        <w:t> </w:t>
        <w:tab/>
        <w:t>9.4</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949" w:val="left" w:leader="none"/>
          <w:tab w:pos="2662" w:val="left" w:leader="none"/>
          <w:tab w:pos="3358"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Estudiante</w:t>
        <w:tab/>
      </w:r>
      <w:r>
        <w:rPr>
          <w:sz w:val="16"/>
          <w:u w:val="dotted" w:color="929292"/>
        </w:rPr>
        <w:t> 5</w:t>
        <w:tab/>
      </w:r>
      <w:r>
        <w:rPr>
          <w:sz w:val="16"/>
          <w:u w:val="dotted" w:color="929292"/>
        </w:rPr>
        <w:t> </w:t>
        <w:tab/>
        <w:t>2.8</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966" w:val="left" w:leader="none"/>
          <w:tab w:pos="2662" w:val="left" w:leader="none"/>
          <w:tab w:pos="3358"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Empleado</w:t>
        <w:tab/>
      </w:r>
      <w:r>
        <w:rPr>
          <w:sz w:val="16"/>
          <w:u w:val="dotted" w:color="929292"/>
        </w:rPr>
        <w:t> 3</w:t>
        <w:tab/>
      </w:r>
      <w:r>
        <w:rPr>
          <w:sz w:val="16"/>
          <w:u w:val="dotted" w:color="929292"/>
        </w:rPr>
        <w:t> </w:t>
        <w:tab/>
        <w:t>1.7</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833" w:val="left" w:leader="none"/>
          <w:tab w:pos="2662" w:val="left" w:leader="none"/>
          <w:tab w:pos="3358"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Desempleado</w:t>
        <w:tab/>
      </w:r>
      <w:r>
        <w:rPr>
          <w:sz w:val="16"/>
          <w:u w:val="dotted" w:color="929292"/>
        </w:rPr>
        <w:t> 3</w:t>
        <w:tab/>
      </w:r>
      <w:r>
        <w:rPr>
          <w:sz w:val="16"/>
          <w:u w:val="dotted" w:color="929292"/>
        </w:rPr>
        <w:t> </w:t>
        <w:tab/>
        <w:t>1.7</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1023" w:val="left" w:leader="none"/>
          <w:tab w:pos="2662" w:val="left" w:leader="none"/>
          <w:tab w:pos="3358"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Jubilado</w:t>
        <w:tab/>
      </w:r>
      <w:r>
        <w:rPr>
          <w:sz w:val="16"/>
          <w:u w:val="dotted" w:color="929292"/>
        </w:rPr>
        <w:t> 2</w:t>
        <w:tab/>
      </w:r>
      <w:r>
        <w:rPr>
          <w:sz w:val="16"/>
          <w:u w:val="dotted" w:color="929292"/>
        </w:rPr>
        <w:t> </w:t>
        <w:tab/>
        <w:t>1.1</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1088" w:val="left" w:leader="none"/>
          <w:tab w:pos="2662" w:val="left" w:leader="none"/>
          <w:tab w:pos="3358"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Albañil</w:t>
        <w:tab/>
      </w:r>
      <w:r>
        <w:rPr>
          <w:sz w:val="16"/>
          <w:u w:val="dotted" w:color="929292"/>
        </w:rPr>
        <w:t> 2</w:t>
        <w:tab/>
      </w:r>
      <w:r>
        <w:rPr>
          <w:sz w:val="16"/>
          <w:u w:val="dotted" w:color="929292"/>
        </w:rPr>
        <w:t> </w:t>
        <w:tab/>
        <w:t>1.1</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816" w:val="left" w:leader="none"/>
          <w:tab w:pos="2662" w:val="left" w:leader="none"/>
          <w:tab w:pos="3358"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Discapacitado</w:t>
        <w:tab/>
      </w:r>
      <w:r>
        <w:rPr>
          <w:sz w:val="16"/>
          <w:u w:val="dotted" w:color="929292"/>
        </w:rPr>
        <w:t> 1</w:t>
        <w:tab/>
      </w:r>
      <w:r>
        <w:rPr>
          <w:sz w:val="16"/>
          <w:u w:val="dotted" w:color="929292"/>
        </w:rPr>
        <w:t> </w:t>
        <w:tab/>
        <w:t>0.6</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994" w:val="left" w:leader="none"/>
          <w:tab w:pos="2662" w:val="left" w:leader="none"/>
          <w:tab w:pos="3358"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Jornalero</w:t>
        <w:tab/>
      </w:r>
      <w:r>
        <w:rPr>
          <w:sz w:val="16"/>
          <w:u w:val="dotted" w:color="929292"/>
        </w:rPr>
        <w:t> 1</w:t>
        <w:tab/>
      </w:r>
      <w:r>
        <w:rPr>
          <w:sz w:val="16"/>
          <w:u w:val="dotted" w:color="929292"/>
        </w:rPr>
        <w:t> </w:t>
        <w:tab/>
        <w:t>0.6</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951" w:val="left" w:leader="none"/>
          <w:tab w:pos="2662" w:val="left" w:leader="none"/>
          <w:tab w:pos="3358"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Carpintero</w:t>
        <w:tab/>
      </w:r>
      <w:r>
        <w:rPr>
          <w:sz w:val="16"/>
          <w:u w:val="dotted" w:color="929292"/>
        </w:rPr>
        <w:t> 1</w:t>
        <w:tab/>
      </w:r>
      <w:r>
        <w:rPr>
          <w:sz w:val="16"/>
          <w:u w:val="dotted" w:color="929292"/>
        </w:rPr>
        <w:t> </w:t>
        <w:tab/>
        <w:t>0.6</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1068" w:val="left" w:leader="none"/>
          <w:tab w:pos="2662" w:val="left" w:leader="none"/>
          <w:tab w:pos="3358" w:val="left" w:leader="none"/>
          <w:tab w:pos="4113" w:val="left" w:leader="none"/>
          <w:tab w:pos="4785" w:val="left" w:leader="none"/>
          <w:tab w:pos="5644" w:val="left" w:leader="none"/>
        </w:tabs>
        <w:spacing w:before="36"/>
        <w:ind w:left="14" w:right="0" w:firstLine="0"/>
        <w:jc w:val="center"/>
        <w:rPr>
          <w:sz w:val="16"/>
        </w:rPr>
      </w:pPr>
      <w:r>
        <w:rPr>
          <w:w w:val="100"/>
          <w:sz w:val="16"/>
          <w:u w:val="dotted" w:color="929292"/>
        </w:rPr>
        <w:t> </w:t>
      </w:r>
      <w:r>
        <w:rPr>
          <w:sz w:val="16"/>
          <w:u w:val="dotted" w:color="929292"/>
        </w:rPr>
        <w:tab/>
        <w:t>Músico</w:t>
        <w:tab/>
      </w:r>
      <w:r>
        <w:rPr>
          <w:sz w:val="16"/>
          <w:u w:val="dotted" w:color="929292"/>
        </w:rPr>
        <w:t> 1</w:t>
        <w:tab/>
      </w:r>
      <w:r>
        <w:rPr>
          <w:sz w:val="16"/>
          <w:u w:val="dotted" w:color="929292"/>
        </w:rPr>
        <w:t> </w:t>
        <w:tab/>
        <w:t>0.6</w:t>
        <w:tab/>
      </w:r>
    </w:p>
    <w:p>
      <w:pPr>
        <w:tabs>
          <w:tab w:pos="6817" w:val="left" w:leader="none"/>
        </w:tabs>
        <w:spacing w:line="20" w:lineRule="exact"/>
        <w:ind w:left="11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2313" w:val="left" w:leader="none"/>
          <w:tab w:pos="3825" w:val="left" w:leader="none"/>
          <w:tab w:pos="4432" w:val="left" w:leader="none"/>
          <w:tab w:pos="5275" w:val="left" w:leader="none"/>
          <w:tab w:pos="5859" w:val="left" w:leader="none"/>
          <w:tab w:pos="6807" w:val="left" w:leader="none"/>
        </w:tabs>
        <w:spacing w:line="540" w:lineRule="auto" w:before="36"/>
        <w:ind w:left="1176" w:right="1160" w:firstLine="0"/>
        <w:jc w:val="center"/>
        <w:rPr>
          <w:sz w:val="16"/>
        </w:rPr>
      </w:pPr>
      <w:r>
        <w:rPr/>
        <w:pict>
          <v:line style="position:absolute;mso-position-horizontal-relative:page;mso-position-vertical-relative:paragraph;z-index:8200" from="563.936096pt,10.721294pt" to="563.936096pt,10.721294pt" stroked="true" strokeweight=".5pt" strokecolor="#929292">
            <w10:wrap type="none"/>
          </v:line>
        </w:pict>
      </w:r>
      <w:r>
        <w:rPr/>
        <w:pict>
          <v:line style="position:absolute;mso-position-horizontal-relative:page;mso-position-vertical-relative:paragraph;z-index:8224" from="847.717712pt,10.721294pt" to="847.717712pt,10.721294pt" stroked="true" strokeweight=".5pt" strokecolor="#929292">
            <w10:wrap type="none"/>
          </v:line>
        </w:pict>
      </w:r>
      <w:r>
        <w:rPr>
          <w:w w:val="100"/>
          <w:sz w:val="16"/>
          <w:u w:val="dotted" w:color="929292"/>
        </w:rPr>
        <w:t> </w:t>
      </w:r>
      <w:r>
        <w:rPr>
          <w:sz w:val="16"/>
          <w:u w:val="dotted" w:color="929292"/>
        </w:rPr>
        <w:tab/>
        <w:t>Total</w:t>
        <w:tab/>
      </w:r>
      <w:r>
        <w:rPr>
          <w:sz w:val="16"/>
          <w:u w:val="dotted" w:color="929292"/>
        </w:rPr>
        <w:t> 180</w:t>
        <w:tab/>
      </w:r>
      <w:r>
        <w:rPr>
          <w:sz w:val="16"/>
          <w:u w:val="dotted" w:color="929292"/>
        </w:rPr>
        <w:t> </w:t>
        <w:tab/>
        <w:t>100.0</w:t>
        <w:tab/>
      </w:r>
      <w:r>
        <w:rPr>
          <w:sz w:val="16"/>
        </w:rPr>
        <w:t> </w:t>
      </w:r>
      <w:r>
        <w:rPr>
          <w:color w:val="6D6E71"/>
          <w:sz w:val="16"/>
        </w:rPr>
        <w:t>Fuente: Elaboración propia,</w:t>
      </w:r>
      <w:r>
        <w:rPr>
          <w:color w:val="6D6E71"/>
          <w:spacing w:val="7"/>
          <w:sz w:val="16"/>
        </w:rPr>
        <w:t> </w:t>
      </w:r>
      <w:r>
        <w:rPr>
          <w:color w:val="6D6E71"/>
          <w:sz w:val="16"/>
        </w:rPr>
        <w:t>2015.</w:t>
      </w:r>
    </w:p>
    <w:p>
      <w:pPr>
        <w:spacing w:before="72"/>
        <w:ind w:left="0" w:right="0" w:firstLine="0"/>
        <w:jc w:val="center"/>
        <w:rPr>
          <w:sz w:val="16"/>
        </w:rPr>
      </w:pPr>
      <w:r>
        <w:rPr>
          <w:color w:val="6D6E71"/>
          <w:sz w:val="16"/>
        </w:rPr>
        <w:t>Gráfica 9. Ocupación de los entrevistados</w:t>
      </w:r>
    </w:p>
    <w:p>
      <w:pPr>
        <w:pStyle w:val="BodyText"/>
        <w:spacing w:before="9"/>
        <w:rPr>
          <w:sz w:val="14"/>
        </w:rPr>
      </w:pPr>
      <w:r>
        <w:rPr/>
        <w:drawing>
          <wp:anchor distT="0" distB="0" distL="0" distR="0" allowOverlap="1" layoutInCell="1" locked="0" behindDoc="0" simplePos="0" relativeHeight="8128">
            <wp:simplePos x="0" y="0"/>
            <wp:positionH relativeFrom="page">
              <wp:posOffset>6973162</wp:posOffset>
            </wp:positionH>
            <wp:positionV relativeFrom="paragraph">
              <wp:posOffset>132993</wp:posOffset>
            </wp:positionV>
            <wp:extent cx="3962971" cy="2387250"/>
            <wp:effectExtent l="0" t="0" r="0" b="0"/>
            <wp:wrapTopAndBottom/>
            <wp:docPr id="83" name="image60.png" descr=""/>
            <wp:cNvGraphicFramePr>
              <a:graphicFrameLocks noChangeAspect="1"/>
            </wp:cNvGraphicFramePr>
            <a:graphic>
              <a:graphicData uri="http://schemas.openxmlformats.org/drawingml/2006/picture">
                <pic:pic>
                  <pic:nvPicPr>
                    <pic:cNvPr id="84" name="image60.png"/>
                    <pic:cNvPicPr/>
                  </pic:nvPicPr>
                  <pic:blipFill>
                    <a:blip r:embed="rId226" cstate="print"/>
                    <a:stretch>
                      <a:fillRect/>
                    </a:stretch>
                  </pic:blipFill>
                  <pic:spPr>
                    <a:xfrm>
                      <a:off x="0" y="0"/>
                      <a:ext cx="3962971" cy="2387250"/>
                    </a:xfrm>
                    <a:prstGeom prst="rect">
                      <a:avLst/>
                    </a:prstGeom>
                  </pic:spPr>
                </pic:pic>
              </a:graphicData>
            </a:graphic>
          </wp:anchor>
        </w:drawing>
      </w:r>
    </w:p>
    <w:p>
      <w:pPr>
        <w:spacing w:before="138"/>
        <w:ind w:left="0" w:right="0" w:firstLine="0"/>
        <w:jc w:val="center"/>
        <w:rPr>
          <w:sz w:val="16"/>
        </w:rPr>
      </w:pPr>
      <w:r>
        <w:rPr>
          <w:color w:val="6D6E71"/>
          <w:sz w:val="16"/>
        </w:rPr>
        <w:t>Fuente: Elaboración propia, 2015.</w:t>
      </w:r>
    </w:p>
    <w:p>
      <w:pPr>
        <w:spacing w:after="0"/>
        <w:jc w:val="center"/>
        <w:rPr>
          <w:sz w:val="16"/>
        </w:rPr>
        <w:sectPr>
          <w:footerReference w:type="default" r:id="rId223"/>
          <w:pgSz w:w="18830" w:h="12760" w:orient="landscape"/>
          <w:pgMar w:footer="1036" w:header="522" w:top="820" w:bottom="1220" w:left="720" w:right="720"/>
          <w:cols w:num="2" w:equalWidth="0">
            <w:col w:w="7841" w:space="1571"/>
            <w:col w:w="7978"/>
          </w:cols>
        </w:sectPr>
      </w:pPr>
    </w:p>
    <w:p>
      <w:pPr>
        <w:pStyle w:val="BodyText"/>
        <w:spacing w:before="8"/>
        <w:rPr>
          <w:sz w:val="23"/>
        </w:rPr>
      </w:pPr>
    </w:p>
    <w:p>
      <w:pPr>
        <w:pStyle w:val="BodyText"/>
        <w:spacing w:line="249" w:lineRule="auto" w:before="74"/>
        <w:ind w:left="117" w:right="9552" w:firstLine="170"/>
        <w:jc w:val="both"/>
      </w:pPr>
      <w:r>
        <w:rPr/>
        <w:drawing>
          <wp:anchor distT="0" distB="0" distL="0" distR="0" allowOverlap="1" layoutInCell="1" locked="0" behindDoc="1" simplePos="0" relativeHeight="267791279">
            <wp:simplePos x="0" y="0"/>
            <wp:positionH relativeFrom="page">
              <wp:posOffset>6959795</wp:posOffset>
            </wp:positionH>
            <wp:positionV relativeFrom="paragraph">
              <wp:posOffset>13715</wp:posOffset>
            </wp:positionV>
            <wp:extent cx="4006609" cy="1333121"/>
            <wp:effectExtent l="0" t="0" r="0" b="0"/>
            <wp:wrapNone/>
            <wp:docPr id="85" name="image61.png" descr=""/>
            <wp:cNvGraphicFramePr>
              <a:graphicFrameLocks noChangeAspect="1"/>
            </wp:cNvGraphicFramePr>
            <a:graphic>
              <a:graphicData uri="http://schemas.openxmlformats.org/drawingml/2006/picture">
                <pic:pic>
                  <pic:nvPicPr>
                    <pic:cNvPr id="86" name="image61.png"/>
                    <pic:cNvPicPr/>
                  </pic:nvPicPr>
                  <pic:blipFill>
                    <a:blip r:embed="rId228" cstate="print"/>
                    <a:stretch>
                      <a:fillRect/>
                    </a:stretch>
                  </pic:blipFill>
                  <pic:spPr>
                    <a:xfrm>
                      <a:off x="0" y="0"/>
                      <a:ext cx="4006609" cy="1333121"/>
                    </a:xfrm>
                    <a:prstGeom prst="rect">
                      <a:avLst/>
                    </a:prstGeom>
                  </pic:spPr>
                </pic:pic>
              </a:graphicData>
            </a:graphic>
          </wp:anchor>
        </w:drawing>
      </w:r>
      <w:r>
        <w:rPr/>
        <w:t>El cuadro 5 y gráfica 10 muestra el ingreso mensual de los entrevistados; es posible observar</w:t>
      </w:r>
      <w:r>
        <w:rPr>
          <w:spacing w:val="-21"/>
        </w:rPr>
        <w:t> </w:t>
      </w:r>
      <w:r>
        <w:rPr/>
        <w:t>que</w:t>
      </w:r>
      <w:r>
        <w:rPr>
          <w:spacing w:val="-22"/>
        </w:rPr>
        <w:t> </w:t>
      </w:r>
      <w:r>
        <w:rPr/>
        <w:t>casi</w:t>
      </w:r>
      <w:r>
        <w:rPr>
          <w:spacing w:val="-22"/>
        </w:rPr>
        <w:t> </w:t>
      </w:r>
      <w:r>
        <w:rPr/>
        <w:t>la</w:t>
      </w:r>
      <w:r>
        <w:rPr>
          <w:spacing w:val="-22"/>
        </w:rPr>
        <w:t> </w:t>
      </w:r>
      <w:r>
        <w:rPr/>
        <w:t>mitad</w:t>
      </w:r>
      <w:r>
        <w:rPr>
          <w:spacing w:val="-22"/>
        </w:rPr>
        <w:t> </w:t>
      </w:r>
      <w:r>
        <w:rPr/>
        <w:t>de</w:t>
      </w:r>
      <w:r>
        <w:rPr>
          <w:spacing w:val="-22"/>
        </w:rPr>
        <w:t> </w:t>
      </w:r>
      <w:r>
        <w:rPr/>
        <w:t>los</w:t>
      </w:r>
      <w:r>
        <w:rPr>
          <w:spacing w:val="-22"/>
        </w:rPr>
        <w:t> </w:t>
      </w:r>
      <w:r>
        <w:rPr/>
        <w:t>que</w:t>
      </w:r>
      <w:r>
        <w:rPr>
          <w:spacing w:val="-22"/>
        </w:rPr>
        <w:t> </w:t>
      </w:r>
      <w:r>
        <w:rPr/>
        <w:t>respondieron</w:t>
      </w:r>
      <w:r>
        <w:rPr>
          <w:spacing w:val="-22"/>
        </w:rPr>
        <w:t> </w:t>
      </w:r>
      <w:r>
        <w:rPr/>
        <w:t>perciben</w:t>
      </w:r>
      <w:r>
        <w:rPr>
          <w:spacing w:val="-21"/>
        </w:rPr>
        <w:t> </w:t>
      </w:r>
      <w:r>
        <w:rPr/>
        <w:t>entre</w:t>
      </w:r>
      <w:r>
        <w:rPr>
          <w:spacing w:val="-21"/>
        </w:rPr>
        <w:t> </w:t>
      </w:r>
      <w:r>
        <w:rPr/>
        <w:t>1800</w:t>
      </w:r>
      <w:r>
        <w:rPr>
          <w:spacing w:val="-22"/>
        </w:rPr>
        <w:t> </w:t>
      </w:r>
      <w:r>
        <w:rPr/>
        <w:t>a</w:t>
      </w:r>
      <w:r>
        <w:rPr>
          <w:spacing w:val="-22"/>
        </w:rPr>
        <w:t> </w:t>
      </w:r>
      <w:r>
        <w:rPr/>
        <w:t>2900</w:t>
      </w:r>
      <w:r>
        <w:rPr>
          <w:spacing w:val="-22"/>
        </w:rPr>
        <w:t> </w:t>
      </w:r>
      <w:r>
        <w:rPr/>
        <w:t>pesos.</w:t>
      </w:r>
      <w:r>
        <w:rPr>
          <w:spacing w:val="-21"/>
        </w:rPr>
        <w:t> </w:t>
      </w:r>
      <w:r>
        <w:rPr/>
        <w:t>En esta pregunta se obtuvieron pocas respuestas porque la mayoría prefirió no</w:t>
      </w:r>
      <w:r>
        <w:rPr>
          <w:spacing w:val="-1"/>
        </w:rPr>
        <w:t> </w:t>
      </w:r>
      <w:r>
        <w:rPr/>
        <w:t>contestar.</w:t>
      </w:r>
    </w:p>
    <w:p>
      <w:pPr>
        <w:pStyle w:val="BodyText"/>
      </w:pPr>
    </w:p>
    <w:p>
      <w:pPr>
        <w:pStyle w:val="BodyText"/>
        <w:spacing w:before="10"/>
        <w:rPr>
          <w:sz w:val="29"/>
        </w:rPr>
      </w:pPr>
      <w:r>
        <w:rPr/>
        <w:pict>
          <v:line style="position:absolute;mso-position-horizontal-relative:page;mso-position-vertical-relative:paragraph;z-index:8272;mso-wrap-distance-left:0;mso-wrap-distance-right:0" from="203.3647pt,19.384977pt" to="203.3647pt,19.384977pt" stroked="true" strokeweight=".5pt" strokecolor="#929292">
            <w10:wrap type="topAndBottom"/>
          </v:line>
        </w:pict>
      </w:r>
      <w:r>
        <w:rPr/>
        <w:pict>
          <v:line style="position:absolute;mso-position-horizontal-relative:page;mso-position-vertical-relative:paragraph;z-index:8296;mso-wrap-distance-left:0;mso-wrap-distance-right:0" from="284.714813pt,19.384977pt" to="284.714813pt,19.384977pt" stroked="true" strokeweight=".5pt" strokecolor="#929292">
            <w10:wrap type="topAndBottom"/>
          </v:line>
        </w:pict>
      </w:r>
    </w:p>
    <w:p>
      <w:pPr>
        <w:pStyle w:val="BodyText"/>
      </w:pPr>
    </w:p>
    <w:p>
      <w:pPr>
        <w:pStyle w:val="BodyText"/>
      </w:pPr>
    </w:p>
    <w:p>
      <w:pPr>
        <w:pStyle w:val="BodyText"/>
        <w:rPr>
          <w:sz w:val="11"/>
        </w:rPr>
      </w:pPr>
    </w:p>
    <w:p>
      <w:pPr>
        <w:tabs>
          <w:tab w:pos="7217" w:val="left" w:leader="none"/>
        </w:tabs>
        <w:spacing w:line="20" w:lineRule="exact"/>
        <w:ind w:left="718"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spacing w:after="0" w:line="20" w:lineRule="exact"/>
        <w:rPr>
          <w:sz w:val="2"/>
        </w:rPr>
        <w:sectPr>
          <w:footerReference w:type="default" r:id="rId227"/>
          <w:pgSz w:w="18830" w:h="12760" w:orient="landscape"/>
          <w:pgMar w:footer="1036" w:header="522" w:top="820" w:bottom="1220" w:left="720" w:right="720"/>
        </w:sectPr>
      </w:pPr>
    </w:p>
    <w:p>
      <w:pPr>
        <w:pStyle w:val="BodyText"/>
        <w:spacing w:before="1"/>
        <w:rPr>
          <w:sz w:val="19"/>
        </w:rPr>
      </w:pPr>
    </w:p>
    <w:p>
      <w:pPr>
        <w:tabs>
          <w:tab w:pos="7217" w:val="left" w:leader="none"/>
        </w:tabs>
        <w:spacing w:line="20" w:lineRule="exact"/>
        <w:ind w:left="718"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BodyText"/>
        <w:spacing w:before="8"/>
        <w:rPr>
          <w:sz w:val="15"/>
        </w:rPr>
      </w:pPr>
      <w:r>
        <w:rPr/>
        <w:pict>
          <v:line style="position:absolute;mso-position-horizontal-relative:page;mso-position-vertical-relative:paragraph;z-index:8416;mso-wrap-distance-left:0;mso-wrap-distance-right:0" from="72.164803pt,11.25pt" to="72.164803pt,11.25pt" stroked="true" strokeweight=".5pt" strokecolor="#929292">
            <w10:wrap type="topAndBottom"/>
          </v:line>
        </w:pict>
      </w:r>
      <w:r>
        <w:rPr/>
        <w:pict>
          <v:line style="position:absolute;mso-position-horizontal-relative:page;mso-position-vertical-relative:paragraph;z-index:8440;mso-wrap-distance-left:0;mso-wrap-distance-right:0" from="397.114807pt,11.25pt" to="397.114807pt,11.25pt" stroked="true" strokeweight=".5pt" strokecolor="#929292">
            <w10:wrap type="topAndBottom"/>
          </v:line>
        </w:pict>
      </w:r>
      <w:r>
        <w:rPr/>
        <w:pict>
          <v:line style="position:absolute;mso-position-horizontal-relative:page;mso-position-vertical-relative:paragraph;z-index:8464;mso-wrap-distance-left:0;mso-wrap-distance-right:0" from="72.164803pt,23.25pt" to="72.164803pt,23.25pt" stroked="true" strokeweight=".5pt" strokecolor="#929292">
            <w10:wrap type="topAndBottom"/>
          </v:line>
        </w:pict>
      </w:r>
      <w:r>
        <w:rPr/>
        <w:pict>
          <v:line style="position:absolute;mso-position-horizontal-relative:page;mso-position-vertical-relative:paragraph;z-index:8488;mso-wrap-distance-left:0;mso-wrap-distance-right:0" from="397.114807pt,23.25pt" to="397.114807pt,23.25pt" stroked="true" strokeweight=".5pt" strokecolor="#929292">
            <w10:wrap type="topAndBottom"/>
          </v:line>
        </w:pict>
      </w:r>
    </w:p>
    <w:p>
      <w:pPr>
        <w:pStyle w:val="BodyText"/>
        <w:spacing w:before="1"/>
        <w:rPr>
          <w:sz w:val="14"/>
        </w:rPr>
      </w:pPr>
    </w:p>
    <w:p>
      <w:pPr>
        <w:pStyle w:val="BodyText"/>
        <w:rPr>
          <w:sz w:val="16"/>
        </w:rPr>
      </w:pPr>
    </w:p>
    <w:p>
      <w:pPr>
        <w:pStyle w:val="BodyText"/>
        <w:spacing w:before="4"/>
        <w:rPr>
          <w:sz w:val="22"/>
        </w:rPr>
      </w:pPr>
    </w:p>
    <w:p>
      <w:pPr>
        <w:spacing w:before="0"/>
        <w:ind w:left="465" w:right="348" w:firstLine="0"/>
        <w:jc w:val="center"/>
        <w:rPr>
          <w:sz w:val="16"/>
        </w:rPr>
      </w:pPr>
      <w:r>
        <w:rPr/>
        <w:pict>
          <v:shape style="position:absolute;margin-left:71.915001pt;margin-top:-108.498787pt;width:325.45pt;height:95.25pt;mso-position-horizontal-relative:page;mso-position-vertical-relative:paragraph;z-index:90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9"/>
                    <w:gridCol w:w="1627"/>
                    <w:gridCol w:w="2253"/>
                  </w:tblGrid>
                  <w:tr>
                    <w:trPr>
                      <w:trHeight w:val="344" w:hRule="exact"/>
                    </w:trPr>
                    <w:tc>
                      <w:tcPr>
                        <w:tcW w:w="6509" w:type="dxa"/>
                        <w:gridSpan w:val="3"/>
                        <w:shd w:val="clear" w:color="auto" w:fill="929292"/>
                      </w:tcPr>
                      <w:p>
                        <w:pPr>
                          <w:pStyle w:val="TableParagraph"/>
                          <w:spacing w:before="76"/>
                          <w:ind w:left="2314" w:right="2314"/>
                          <w:jc w:val="center"/>
                          <w:rPr>
                            <w:sz w:val="16"/>
                          </w:rPr>
                        </w:pPr>
                        <w:r>
                          <w:rPr>
                            <w:sz w:val="16"/>
                          </w:rPr>
                          <w:t>Cuadro 5. Ingreso familiar</w:t>
                        </w:r>
                      </w:p>
                    </w:tc>
                  </w:tr>
                  <w:tr>
                    <w:trPr>
                      <w:trHeight w:val="236" w:hRule="exact"/>
                    </w:trPr>
                    <w:tc>
                      <w:tcPr>
                        <w:tcW w:w="2629" w:type="dxa"/>
                        <w:tcBorders>
                          <w:bottom w:val="dotted" w:sz="4" w:space="0" w:color="929292"/>
                          <w:right w:val="dotted" w:sz="4" w:space="0" w:color="929292"/>
                        </w:tcBorders>
                      </w:tcPr>
                      <w:p>
                        <w:pPr>
                          <w:pStyle w:val="TableParagraph"/>
                          <w:spacing w:line="177" w:lineRule="exact"/>
                          <w:ind w:left="4"/>
                          <w:jc w:val="center"/>
                          <w:rPr>
                            <w:sz w:val="16"/>
                          </w:rPr>
                        </w:pPr>
                        <w:r>
                          <w:rPr>
                            <w:w w:val="105"/>
                            <w:sz w:val="16"/>
                          </w:rPr>
                          <w:t>Ingreso mensual</w:t>
                        </w:r>
                      </w:p>
                    </w:tc>
                    <w:tc>
                      <w:tcPr>
                        <w:tcW w:w="1627" w:type="dxa"/>
                        <w:tcBorders>
                          <w:left w:val="dotted" w:sz="4" w:space="0" w:color="929292"/>
                          <w:bottom w:val="dotted" w:sz="4" w:space="0" w:color="929292"/>
                          <w:right w:val="dotted" w:sz="4" w:space="0" w:color="929292"/>
                        </w:tcBorders>
                      </w:tcPr>
                      <w:p>
                        <w:pPr>
                          <w:pStyle w:val="TableParagraph"/>
                          <w:spacing w:line="177" w:lineRule="exact"/>
                          <w:jc w:val="center"/>
                          <w:rPr>
                            <w:sz w:val="16"/>
                          </w:rPr>
                        </w:pPr>
                        <w:r>
                          <w:rPr>
                            <w:w w:val="105"/>
                            <w:sz w:val="16"/>
                          </w:rPr>
                          <w:t>Frecuencia</w:t>
                        </w:r>
                      </w:p>
                    </w:tc>
                    <w:tc>
                      <w:tcPr>
                        <w:tcW w:w="2253" w:type="dxa"/>
                        <w:tcBorders>
                          <w:left w:val="dotted" w:sz="4" w:space="0" w:color="929292"/>
                          <w:bottom w:val="dotted" w:sz="4" w:space="0" w:color="929292"/>
                        </w:tcBorders>
                      </w:tcPr>
                      <w:p>
                        <w:pPr>
                          <w:pStyle w:val="TableParagraph"/>
                          <w:spacing w:line="177" w:lineRule="exact"/>
                          <w:ind w:left="4" w:right="7"/>
                          <w:jc w:val="center"/>
                          <w:rPr>
                            <w:sz w:val="16"/>
                          </w:rPr>
                        </w:pPr>
                        <w:r>
                          <w:rPr>
                            <w:w w:val="105"/>
                            <w:sz w:val="16"/>
                          </w:rPr>
                          <w:t>Porcentaje</w:t>
                        </w:r>
                      </w:p>
                    </w:tc>
                  </w:tr>
                  <w:tr>
                    <w:trPr>
                      <w:trHeight w:val="436" w:hRule="exact"/>
                    </w:trPr>
                    <w:tc>
                      <w:tcPr>
                        <w:tcW w:w="2629" w:type="dxa"/>
                        <w:tcBorders>
                          <w:top w:val="dotted" w:sz="4" w:space="0" w:color="929292"/>
                          <w:right w:val="dotted" w:sz="4" w:space="0" w:color="929292"/>
                        </w:tcBorders>
                      </w:tcPr>
                      <w:p>
                        <w:pPr>
                          <w:pStyle w:val="TableParagraph"/>
                          <w:spacing w:before="4"/>
                          <w:rPr>
                            <w:sz w:val="18"/>
                          </w:rPr>
                        </w:pPr>
                      </w:p>
                      <w:p>
                        <w:pPr>
                          <w:pStyle w:val="TableParagraph"/>
                          <w:tabs>
                            <w:tab w:pos="872" w:val="left" w:leader="none"/>
                            <w:tab w:pos="2603" w:val="left" w:leader="none"/>
                          </w:tabs>
                          <w:ind w:left="25"/>
                          <w:jc w:val="center"/>
                          <w:rPr>
                            <w:sz w:val="16"/>
                          </w:rPr>
                        </w:pPr>
                        <w:r>
                          <w:rPr>
                            <w:w w:val="100"/>
                            <w:sz w:val="16"/>
                            <w:u w:val="dotted" w:color="929292"/>
                          </w:rPr>
                          <w:t> </w:t>
                        </w:r>
                        <w:r>
                          <w:rPr>
                            <w:sz w:val="16"/>
                            <w:u w:val="dotted" w:color="929292"/>
                          </w:rPr>
                          <w:tab/>
                        </w:r>
                        <w:r>
                          <w:rPr>
                            <w:w w:val="105"/>
                            <w:sz w:val="16"/>
                            <w:u w:val="dotted" w:color="929292"/>
                          </w:rPr>
                          <w:t>1801 -</w:t>
                        </w:r>
                        <w:r>
                          <w:rPr>
                            <w:spacing w:val="-34"/>
                            <w:w w:val="105"/>
                            <w:sz w:val="16"/>
                            <w:u w:val="dotted" w:color="929292"/>
                          </w:rPr>
                          <w:t> </w:t>
                        </w:r>
                        <w:r>
                          <w:rPr>
                            <w:w w:val="105"/>
                            <w:sz w:val="16"/>
                            <w:u w:val="dotted" w:color="929292"/>
                          </w:rPr>
                          <w:t>2900</w:t>
                        </w:r>
                        <w:r>
                          <w:rPr>
                            <w:sz w:val="16"/>
                            <w:u w:val="dotted" w:color="929292"/>
                          </w:rPr>
                          <w:tab/>
                        </w:r>
                      </w:p>
                    </w:tc>
                    <w:tc>
                      <w:tcPr>
                        <w:tcW w:w="1627" w:type="dxa"/>
                        <w:tcBorders>
                          <w:top w:val="dotted" w:sz="4" w:space="0" w:color="929292"/>
                          <w:left w:val="dotted" w:sz="4" w:space="0" w:color="929292"/>
                          <w:right w:val="dotted" w:sz="4" w:space="0" w:color="929292"/>
                        </w:tcBorders>
                      </w:tcPr>
                      <w:p>
                        <w:pPr>
                          <w:pStyle w:val="TableParagraph"/>
                          <w:spacing w:before="4"/>
                          <w:rPr>
                            <w:sz w:val="18"/>
                          </w:rPr>
                        </w:pPr>
                      </w:p>
                      <w:p>
                        <w:pPr>
                          <w:pStyle w:val="TableParagraph"/>
                          <w:tabs>
                            <w:tab w:pos="753" w:val="left" w:leader="none"/>
                            <w:tab w:pos="1596" w:val="left" w:leader="none"/>
                          </w:tabs>
                          <w:ind w:left="15"/>
                          <w:jc w:val="center"/>
                          <w:rPr>
                            <w:sz w:val="16"/>
                          </w:rPr>
                        </w:pPr>
                        <w:r>
                          <w:rPr>
                            <w:w w:val="100"/>
                            <w:sz w:val="16"/>
                            <w:u w:val="dotted" w:color="929292"/>
                          </w:rPr>
                          <w:t> </w:t>
                        </w:r>
                        <w:r>
                          <w:rPr>
                            <w:sz w:val="16"/>
                            <w:u w:val="dotted" w:color="929292"/>
                          </w:rPr>
                          <w:tab/>
                          <w:t>5</w:t>
                          <w:tab/>
                        </w:r>
                      </w:p>
                    </w:tc>
                    <w:tc>
                      <w:tcPr>
                        <w:tcW w:w="2253" w:type="dxa"/>
                        <w:tcBorders>
                          <w:top w:val="dotted" w:sz="4" w:space="0" w:color="929292"/>
                          <w:left w:val="dotted" w:sz="4" w:space="0" w:color="929292"/>
                        </w:tcBorders>
                      </w:tcPr>
                      <w:p>
                        <w:pPr>
                          <w:pStyle w:val="TableParagraph"/>
                          <w:spacing w:before="4"/>
                          <w:rPr>
                            <w:sz w:val="18"/>
                          </w:rPr>
                        </w:pPr>
                      </w:p>
                      <w:p>
                        <w:pPr>
                          <w:pStyle w:val="TableParagraph"/>
                          <w:tabs>
                            <w:tab w:pos="945" w:val="left" w:leader="none"/>
                            <w:tab w:pos="2207" w:val="left" w:leader="none"/>
                          </w:tabs>
                          <w:ind w:left="4"/>
                          <w:jc w:val="center"/>
                          <w:rPr>
                            <w:sz w:val="16"/>
                          </w:rPr>
                        </w:pPr>
                        <w:r>
                          <w:rPr>
                            <w:w w:val="100"/>
                            <w:sz w:val="16"/>
                            <w:u w:val="dotted" w:color="929292"/>
                          </w:rPr>
                          <w:t> </w:t>
                        </w:r>
                        <w:r>
                          <w:rPr>
                            <w:sz w:val="16"/>
                            <w:u w:val="dotted" w:color="929292"/>
                          </w:rPr>
                          <w:tab/>
                          <w:t>45.4</w:t>
                          <w:tab/>
                        </w:r>
                      </w:p>
                    </w:tc>
                  </w:tr>
                  <w:tr>
                    <w:trPr>
                      <w:trHeight w:val="240" w:hRule="exact"/>
                    </w:trPr>
                    <w:tc>
                      <w:tcPr>
                        <w:tcW w:w="2629" w:type="dxa"/>
                        <w:tcBorders>
                          <w:right w:val="dotted" w:sz="4" w:space="0" w:color="929292"/>
                        </w:tcBorders>
                      </w:tcPr>
                      <w:p>
                        <w:pPr>
                          <w:pStyle w:val="TableParagraph"/>
                          <w:tabs>
                            <w:tab w:pos="872" w:val="left" w:leader="none"/>
                            <w:tab w:pos="2603" w:val="left" w:leader="none"/>
                          </w:tabs>
                          <w:spacing w:before="20"/>
                          <w:ind w:left="25"/>
                          <w:jc w:val="center"/>
                          <w:rPr>
                            <w:sz w:val="16"/>
                          </w:rPr>
                        </w:pPr>
                        <w:r>
                          <w:rPr>
                            <w:w w:val="100"/>
                            <w:sz w:val="16"/>
                            <w:u w:val="dotted" w:color="929292"/>
                          </w:rPr>
                          <w:t> </w:t>
                        </w:r>
                        <w:r>
                          <w:rPr>
                            <w:sz w:val="16"/>
                            <w:u w:val="dotted" w:color="929292"/>
                          </w:rPr>
                          <w:tab/>
                        </w:r>
                        <w:r>
                          <w:rPr>
                            <w:w w:val="105"/>
                            <w:sz w:val="16"/>
                            <w:u w:val="dotted" w:color="929292"/>
                          </w:rPr>
                          <w:t>2901 -</w:t>
                        </w:r>
                        <w:r>
                          <w:rPr>
                            <w:spacing w:val="-34"/>
                            <w:w w:val="105"/>
                            <w:sz w:val="16"/>
                            <w:u w:val="dotted" w:color="929292"/>
                          </w:rPr>
                          <w:t> </w:t>
                        </w:r>
                        <w:r>
                          <w:rPr>
                            <w:w w:val="105"/>
                            <w:sz w:val="16"/>
                            <w:u w:val="dotted" w:color="929292"/>
                          </w:rPr>
                          <w:t>4000</w:t>
                        </w:r>
                        <w:r>
                          <w:rPr>
                            <w:sz w:val="16"/>
                            <w:u w:val="dotted" w:color="929292"/>
                          </w:rPr>
                          <w:tab/>
                        </w:r>
                      </w:p>
                    </w:tc>
                    <w:tc>
                      <w:tcPr>
                        <w:tcW w:w="1627" w:type="dxa"/>
                        <w:tcBorders>
                          <w:left w:val="dotted" w:sz="4" w:space="0" w:color="929292"/>
                          <w:right w:val="dotted" w:sz="4" w:space="0" w:color="929292"/>
                        </w:tcBorders>
                      </w:tcPr>
                      <w:p>
                        <w:pPr>
                          <w:pStyle w:val="TableParagraph"/>
                          <w:tabs>
                            <w:tab w:pos="753" w:val="left" w:leader="none"/>
                            <w:tab w:pos="1596" w:val="left" w:leader="none"/>
                          </w:tabs>
                          <w:spacing w:before="20"/>
                          <w:ind w:left="15"/>
                          <w:jc w:val="center"/>
                          <w:rPr>
                            <w:sz w:val="16"/>
                          </w:rPr>
                        </w:pPr>
                        <w:r>
                          <w:rPr>
                            <w:w w:val="100"/>
                            <w:sz w:val="16"/>
                            <w:u w:val="dotted" w:color="929292"/>
                          </w:rPr>
                          <w:t> </w:t>
                        </w:r>
                        <w:r>
                          <w:rPr>
                            <w:sz w:val="16"/>
                            <w:u w:val="dotted" w:color="929292"/>
                          </w:rPr>
                          <w:tab/>
                          <w:t>2</w:t>
                          <w:tab/>
                        </w:r>
                      </w:p>
                    </w:tc>
                    <w:tc>
                      <w:tcPr>
                        <w:tcW w:w="2253" w:type="dxa"/>
                        <w:tcBorders>
                          <w:left w:val="dotted" w:sz="4" w:space="0" w:color="929292"/>
                        </w:tcBorders>
                      </w:tcPr>
                      <w:p>
                        <w:pPr>
                          <w:pStyle w:val="TableParagraph"/>
                          <w:tabs>
                            <w:tab w:pos="945" w:val="left" w:leader="none"/>
                            <w:tab w:pos="2207" w:val="left" w:leader="none"/>
                          </w:tabs>
                          <w:spacing w:before="20"/>
                          <w:ind w:left="4"/>
                          <w:jc w:val="center"/>
                          <w:rPr>
                            <w:sz w:val="16"/>
                          </w:rPr>
                        </w:pPr>
                        <w:r>
                          <w:rPr>
                            <w:w w:val="100"/>
                            <w:sz w:val="16"/>
                            <w:u w:val="dotted" w:color="929292"/>
                          </w:rPr>
                          <w:t> </w:t>
                        </w:r>
                        <w:r>
                          <w:rPr>
                            <w:sz w:val="16"/>
                            <w:u w:val="dotted" w:color="929292"/>
                          </w:rPr>
                          <w:tab/>
                          <w:t>18.2</w:t>
                          <w:tab/>
                        </w:r>
                      </w:p>
                    </w:tc>
                  </w:tr>
                  <w:tr>
                    <w:trPr>
                      <w:trHeight w:val="240" w:hRule="exact"/>
                    </w:trPr>
                    <w:tc>
                      <w:tcPr>
                        <w:tcW w:w="2629" w:type="dxa"/>
                        <w:tcBorders>
                          <w:right w:val="dotted" w:sz="4" w:space="0" w:color="929292"/>
                        </w:tcBorders>
                      </w:tcPr>
                      <w:p>
                        <w:pPr>
                          <w:pStyle w:val="TableParagraph"/>
                          <w:tabs>
                            <w:tab w:pos="872" w:val="left" w:leader="none"/>
                            <w:tab w:pos="2603" w:val="left" w:leader="none"/>
                          </w:tabs>
                          <w:spacing w:before="20"/>
                          <w:ind w:left="25"/>
                          <w:jc w:val="center"/>
                          <w:rPr>
                            <w:sz w:val="16"/>
                          </w:rPr>
                        </w:pPr>
                        <w:r>
                          <w:rPr>
                            <w:w w:val="100"/>
                            <w:sz w:val="16"/>
                            <w:u w:val="dotted" w:color="929292"/>
                          </w:rPr>
                          <w:t> </w:t>
                        </w:r>
                        <w:r>
                          <w:rPr>
                            <w:sz w:val="16"/>
                            <w:u w:val="dotted" w:color="929292"/>
                          </w:rPr>
                          <w:tab/>
                        </w:r>
                        <w:r>
                          <w:rPr>
                            <w:w w:val="105"/>
                            <w:sz w:val="16"/>
                            <w:u w:val="dotted" w:color="929292"/>
                          </w:rPr>
                          <w:t>4001 -</w:t>
                        </w:r>
                        <w:r>
                          <w:rPr>
                            <w:spacing w:val="-34"/>
                            <w:w w:val="105"/>
                            <w:sz w:val="16"/>
                            <w:u w:val="dotted" w:color="929292"/>
                          </w:rPr>
                          <w:t> </w:t>
                        </w:r>
                        <w:r>
                          <w:rPr>
                            <w:w w:val="105"/>
                            <w:sz w:val="16"/>
                            <w:u w:val="dotted" w:color="929292"/>
                          </w:rPr>
                          <w:t>5100</w:t>
                        </w:r>
                        <w:r>
                          <w:rPr>
                            <w:sz w:val="16"/>
                            <w:u w:val="dotted" w:color="929292"/>
                          </w:rPr>
                          <w:tab/>
                        </w:r>
                      </w:p>
                    </w:tc>
                    <w:tc>
                      <w:tcPr>
                        <w:tcW w:w="1627" w:type="dxa"/>
                        <w:tcBorders>
                          <w:left w:val="dotted" w:sz="4" w:space="0" w:color="929292"/>
                          <w:right w:val="dotted" w:sz="4" w:space="0" w:color="929292"/>
                        </w:tcBorders>
                      </w:tcPr>
                      <w:p>
                        <w:pPr>
                          <w:pStyle w:val="TableParagraph"/>
                          <w:tabs>
                            <w:tab w:pos="754" w:val="left" w:leader="none"/>
                            <w:tab w:pos="1596" w:val="left" w:leader="none"/>
                          </w:tabs>
                          <w:spacing w:before="20"/>
                          <w:ind w:left="15"/>
                          <w:jc w:val="center"/>
                          <w:rPr>
                            <w:sz w:val="16"/>
                          </w:rPr>
                        </w:pPr>
                        <w:r>
                          <w:rPr>
                            <w:w w:val="100"/>
                            <w:sz w:val="16"/>
                            <w:u w:val="dotted" w:color="929292"/>
                          </w:rPr>
                          <w:t> </w:t>
                        </w:r>
                        <w:r>
                          <w:rPr>
                            <w:sz w:val="16"/>
                            <w:u w:val="dotted" w:color="929292"/>
                          </w:rPr>
                          <w:tab/>
                          <w:t>1</w:t>
                          <w:tab/>
                        </w:r>
                      </w:p>
                    </w:tc>
                    <w:tc>
                      <w:tcPr>
                        <w:tcW w:w="2253" w:type="dxa"/>
                        <w:tcBorders>
                          <w:left w:val="dotted" w:sz="4" w:space="0" w:color="929292"/>
                        </w:tcBorders>
                      </w:tcPr>
                      <w:p>
                        <w:pPr>
                          <w:pStyle w:val="TableParagraph"/>
                          <w:tabs>
                            <w:tab w:pos="990" w:val="left" w:leader="none"/>
                            <w:tab w:pos="2207" w:val="left" w:leader="none"/>
                          </w:tabs>
                          <w:spacing w:before="20"/>
                          <w:ind w:left="4"/>
                          <w:jc w:val="center"/>
                          <w:rPr>
                            <w:sz w:val="16"/>
                          </w:rPr>
                        </w:pPr>
                        <w:r>
                          <w:rPr>
                            <w:w w:val="100"/>
                            <w:sz w:val="16"/>
                            <w:u w:val="dotted" w:color="929292"/>
                          </w:rPr>
                          <w:t> </w:t>
                        </w:r>
                        <w:r>
                          <w:rPr>
                            <w:sz w:val="16"/>
                            <w:u w:val="dotted" w:color="929292"/>
                          </w:rPr>
                          <w:tab/>
                          <w:t>9.1</w:t>
                          <w:tab/>
                        </w:r>
                      </w:p>
                    </w:tc>
                  </w:tr>
                  <w:tr>
                    <w:trPr>
                      <w:trHeight w:val="240" w:hRule="exact"/>
                    </w:trPr>
                    <w:tc>
                      <w:tcPr>
                        <w:tcW w:w="2629" w:type="dxa"/>
                        <w:tcBorders>
                          <w:right w:val="dotted" w:sz="4" w:space="0" w:color="929292"/>
                        </w:tcBorders>
                      </w:tcPr>
                      <w:p>
                        <w:pPr>
                          <w:pStyle w:val="TableParagraph"/>
                          <w:tabs>
                            <w:tab w:pos="873" w:val="left" w:leader="none"/>
                            <w:tab w:pos="2603" w:val="left" w:leader="none"/>
                          </w:tabs>
                          <w:spacing w:before="20"/>
                          <w:ind w:left="25"/>
                          <w:jc w:val="center"/>
                          <w:rPr>
                            <w:sz w:val="16"/>
                          </w:rPr>
                        </w:pPr>
                        <w:r>
                          <w:rPr>
                            <w:w w:val="100"/>
                            <w:sz w:val="16"/>
                            <w:u w:val="dotted" w:color="929292"/>
                          </w:rPr>
                          <w:t> </w:t>
                        </w:r>
                        <w:r>
                          <w:rPr>
                            <w:sz w:val="16"/>
                            <w:u w:val="dotted" w:color="929292"/>
                          </w:rPr>
                          <w:tab/>
                        </w:r>
                        <w:r>
                          <w:rPr>
                            <w:w w:val="105"/>
                            <w:sz w:val="16"/>
                            <w:u w:val="dotted" w:color="929292"/>
                          </w:rPr>
                          <w:t>5101 -</w:t>
                        </w:r>
                        <w:r>
                          <w:rPr>
                            <w:spacing w:val="-34"/>
                            <w:w w:val="105"/>
                            <w:sz w:val="16"/>
                            <w:u w:val="dotted" w:color="929292"/>
                          </w:rPr>
                          <w:t> </w:t>
                        </w:r>
                        <w:r>
                          <w:rPr>
                            <w:w w:val="105"/>
                            <w:sz w:val="16"/>
                            <w:u w:val="dotted" w:color="929292"/>
                          </w:rPr>
                          <w:t>6200</w:t>
                        </w:r>
                        <w:r>
                          <w:rPr>
                            <w:sz w:val="16"/>
                            <w:u w:val="dotted" w:color="929292"/>
                          </w:rPr>
                          <w:tab/>
                        </w:r>
                      </w:p>
                    </w:tc>
                    <w:tc>
                      <w:tcPr>
                        <w:tcW w:w="1627" w:type="dxa"/>
                        <w:tcBorders>
                          <w:left w:val="dotted" w:sz="4" w:space="0" w:color="929292"/>
                          <w:right w:val="dotted" w:sz="4" w:space="0" w:color="929292"/>
                        </w:tcBorders>
                      </w:tcPr>
                      <w:p>
                        <w:pPr>
                          <w:pStyle w:val="TableParagraph"/>
                          <w:tabs>
                            <w:tab w:pos="754" w:val="left" w:leader="none"/>
                            <w:tab w:pos="1596" w:val="left" w:leader="none"/>
                          </w:tabs>
                          <w:spacing w:before="20"/>
                          <w:ind w:left="15"/>
                          <w:jc w:val="center"/>
                          <w:rPr>
                            <w:sz w:val="16"/>
                          </w:rPr>
                        </w:pPr>
                        <w:r>
                          <w:rPr>
                            <w:w w:val="100"/>
                            <w:sz w:val="16"/>
                            <w:u w:val="dotted" w:color="929292"/>
                          </w:rPr>
                          <w:t> </w:t>
                        </w:r>
                        <w:r>
                          <w:rPr>
                            <w:sz w:val="16"/>
                            <w:u w:val="dotted" w:color="929292"/>
                          </w:rPr>
                          <w:tab/>
                          <w:t>3</w:t>
                          <w:tab/>
                        </w:r>
                      </w:p>
                    </w:tc>
                    <w:tc>
                      <w:tcPr>
                        <w:tcW w:w="2253" w:type="dxa"/>
                        <w:tcBorders>
                          <w:left w:val="dotted" w:sz="4" w:space="0" w:color="929292"/>
                        </w:tcBorders>
                      </w:tcPr>
                      <w:p>
                        <w:pPr>
                          <w:pStyle w:val="TableParagraph"/>
                          <w:tabs>
                            <w:tab w:pos="946" w:val="left" w:leader="none"/>
                            <w:tab w:pos="2207" w:val="left" w:leader="none"/>
                          </w:tabs>
                          <w:spacing w:before="20"/>
                          <w:ind w:left="4"/>
                          <w:jc w:val="center"/>
                          <w:rPr>
                            <w:sz w:val="16"/>
                          </w:rPr>
                        </w:pPr>
                        <w:r>
                          <w:rPr>
                            <w:w w:val="100"/>
                            <w:sz w:val="16"/>
                            <w:u w:val="dotted" w:color="929292"/>
                          </w:rPr>
                          <w:t> </w:t>
                        </w:r>
                        <w:r>
                          <w:rPr>
                            <w:sz w:val="16"/>
                            <w:u w:val="dotted" w:color="929292"/>
                          </w:rPr>
                          <w:tab/>
                          <w:t>27.3</w:t>
                          <w:tab/>
                        </w:r>
                      </w:p>
                    </w:tc>
                  </w:tr>
                  <w:tr>
                    <w:trPr>
                      <w:trHeight w:val="169" w:hRule="exact"/>
                    </w:trPr>
                    <w:tc>
                      <w:tcPr>
                        <w:tcW w:w="2629" w:type="dxa"/>
                        <w:tcBorders>
                          <w:right w:val="dotted" w:sz="4" w:space="0" w:color="929292"/>
                        </w:tcBorders>
                      </w:tcPr>
                      <w:p>
                        <w:pPr>
                          <w:pStyle w:val="TableParagraph"/>
                          <w:tabs>
                            <w:tab w:pos="1126" w:val="left" w:leader="none"/>
                            <w:tab w:pos="2603" w:val="left" w:leader="none"/>
                          </w:tabs>
                          <w:spacing w:before="20"/>
                          <w:ind w:left="25"/>
                          <w:jc w:val="center"/>
                          <w:rPr>
                            <w:sz w:val="16"/>
                          </w:rPr>
                        </w:pPr>
                        <w:r>
                          <w:rPr>
                            <w:w w:val="100"/>
                            <w:sz w:val="16"/>
                            <w:u w:val="dotted" w:color="929292"/>
                          </w:rPr>
                          <w:t> </w:t>
                        </w:r>
                        <w:r>
                          <w:rPr>
                            <w:sz w:val="16"/>
                            <w:u w:val="dotted" w:color="929292"/>
                          </w:rPr>
                          <w:tab/>
                          <w:t>Total</w:t>
                          <w:tab/>
                        </w:r>
                      </w:p>
                    </w:tc>
                    <w:tc>
                      <w:tcPr>
                        <w:tcW w:w="1627" w:type="dxa"/>
                        <w:tcBorders>
                          <w:left w:val="dotted" w:sz="4" w:space="0" w:color="929292"/>
                          <w:right w:val="dotted" w:sz="4" w:space="0" w:color="929292"/>
                        </w:tcBorders>
                      </w:tcPr>
                      <w:p>
                        <w:pPr>
                          <w:pStyle w:val="TableParagraph"/>
                          <w:tabs>
                            <w:tab w:pos="709" w:val="left" w:leader="none"/>
                            <w:tab w:pos="1596" w:val="left" w:leader="none"/>
                          </w:tabs>
                          <w:spacing w:before="20"/>
                          <w:ind w:left="15"/>
                          <w:jc w:val="center"/>
                          <w:rPr>
                            <w:sz w:val="16"/>
                          </w:rPr>
                        </w:pPr>
                        <w:r>
                          <w:rPr>
                            <w:w w:val="100"/>
                            <w:sz w:val="16"/>
                            <w:u w:val="dotted" w:color="929292"/>
                          </w:rPr>
                          <w:t> </w:t>
                        </w:r>
                        <w:r>
                          <w:rPr>
                            <w:sz w:val="16"/>
                            <w:u w:val="dotted" w:color="929292"/>
                          </w:rPr>
                          <w:tab/>
                          <w:t>11</w:t>
                          <w:tab/>
                        </w:r>
                      </w:p>
                    </w:tc>
                    <w:tc>
                      <w:tcPr>
                        <w:tcW w:w="2253" w:type="dxa"/>
                        <w:tcBorders>
                          <w:left w:val="dotted" w:sz="4" w:space="0" w:color="929292"/>
                        </w:tcBorders>
                      </w:tcPr>
                      <w:p>
                        <w:pPr>
                          <w:pStyle w:val="TableParagraph"/>
                          <w:tabs>
                            <w:tab w:pos="901" w:val="left" w:leader="none"/>
                            <w:tab w:pos="2207" w:val="left" w:leader="none"/>
                          </w:tabs>
                          <w:spacing w:before="20"/>
                          <w:ind w:left="4"/>
                          <w:jc w:val="center"/>
                          <w:rPr>
                            <w:sz w:val="16"/>
                          </w:rPr>
                        </w:pPr>
                        <w:r>
                          <w:rPr>
                            <w:w w:val="100"/>
                            <w:sz w:val="16"/>
                            <w:u w:val="dotted" w:color="929292"/>
                          </w:rPr>
                          <w:t> </w:t>
                        </w:r>
                        <w:r>
                          <w:rPr>
                            <w:sz w:val="16"/>
                            <w:u w:val="dotted" w:color="929292"/>
                          </w:rPr>
                          <w:tab/>
                          <w:t>100.0</w:t>
                          <w:tab/>
                        </w:r>
                      </w:p>
                    </w:tc>
                  </w:tr>
                </w:tbl>
                <w:p>
                  <w:pPr>
                    <w:pStyle w:val="BodyText"/>
                  </w:pPr>
                </w:p>
              </w:txbxContent>
            </v:textbox>
            <w10:wrap type="none"/>
          </v:shape>
        </w:pict>
      </w:r>
      <w:r>
        <w:rPr>
          <w:color w:val="6D6E71"/>
          <w:sz w:val="16"/>
        </w:rPr>
        <w:t>Fuente: Elaboración propia, 2015.</w:t>
      </w:r>
    </w:p>
    <w:p>
      <w:pPr>
        <w:pStyle w:val="BodyText"/>
        <w:rPr>
          <w:sz w:val="16"/>
        </w:rPr>
      </w:pPr>
    </w:p>
    <w:p>
      <w:pPr>
        <w:spacing w:before="112"/>
        <w:ind w:left="464" w:right="348" w:firstLine="0"/>
        <w:jc w:val="center"/>
        <w:rPr>
          <w:sz w:val="16"/>
        </w:rPr>
      </w:pPr>
      <w:r>
        <w:rPr>
          <w:color w:val="6D6E71"/>
          <w:sz w:val="16"/>
        </w:rPr>
        <w:t>Gráfica 10. Ingreso mensual</w:t>
      </w:r>
    </w:p>
    <w:p>
      <w:pPr>
        <w:pStyle w:val="BodyText"/>
        <w:spacing w:before="9"/>
        <w:rPr>
          <w:sz w:val="8"/>
        </w:rPr>
      </w:pPr>
      <w:r>
        <w:rPr/>
        <w:drawing>
          <wp:anchor distT="0" distB="0" distL="0" distR="0" allowOverlap="1" layoutInCell="1" locked="0" behindDoc="0" simplePos="0" relativeHeight="8512">
            <wp:simplePos x="0" y="0"/>
            <wp:positionH relativeFrom="page">
              <wp:posOffset>1060193</wp:posOffset>
            </wp:positionH>
            <wp:positionV relativeFrom="paragraph">
              <wp:posOffset>88900</wp:posOffset>
            </wp:positionV>
            <wp:extent cx="3820287" cy="1480185"/>
            <wp:effectExtent l="0" t="0" r="0" b="0"/>
            <wp:wrapTopAndBottom/>
            <wp:docPr id="87" name="image62.png" descr=""/>
            <wp:cNvGraphicFramePr>
              <a:graphicFrameLocks noChangeAspect="1"/>
            </wp:cNvGraphicFramePr>
            <a:graphic>
              <a:graphicData uri="http://schemas.openxmlformats.org/drawingml/2006/picture">
                <pic:pic>
                  <pic:nvPicPr>
                    <pic:cNvPr id="88" name="image62.png"/>
                    <pic:cNvPicPr/>
                  </pic:nvPicPr>
                  <pic:blipFill>
                    <a:blip r:embed="rId229" cstate="print"/>
                    <a:stretch>
                      <a:fillRect/>
                    </a:stretch>
                  </pic:blipFill>
                  <pic:spPr>
                    <a:xfrm>
                      <a:off x="0" y="0"/>
                      <a:ext cx="3820287" cy="1480185"/>
                    </a:xfrm>
                    <a:prstGeom prst="rect">
                      <a:avLst/>
                    </a:prstGeom>
                  </pic:spPr>
                </pic:pic>
              </a:graphicData>
            </a:graphic>
          </wp:anchor>
        </w:drawing>
      </w:r>
    </w:p>
    <w:p>
      <w:pPr>
        <w:pStyle w:val="BodyText"/>
        <w:rPr>
          <w:sz w:val="17"/>
        </w:rPr>
      </w:pPr>
    </w:p>
    <w:p>
      <w:pPr>
        <w:spacing w:before="0"/>
        <w:ind w:left="464" w:right="348" w:firstLine="0"/>
        <w:jc w:val="center"/>
        <w:rPr>
          <w:sz w:val="16"/>
        </w:rPr>
      </w:pPr>
      <w:r>
        <w:rPr>
          <w:color w:val="6D6E71"/>
          <w:sz w:val="16"/>
        </w:rPr>
        <w:t>Fuente: Elaboración propia, 2015.</w:t>
      </w:r>
    </w:p>
    <w:p>
      <w:pPr>
        <w:pStyle w:val="BodyText"/>
        <w:spacing w:before="5"/>
        <w:rPr>
          <w:sz w:val="22"/>
        </w:rPr>
      </w:pPr>
    </w:p>
    <w:p>
      <w:pPr>
        <w:pStyle w:val="BodyText"/>
        <w:spacing w:line="249" w:lineRule="auto"/>
        <w:ind w:left="117" w:firstLine="170"/>
        <w:jc w:val="both"/>
      </w:pPr>
      <w:r>
        <w:rPr/>
        <w:t>El cuadro 6 y gráfica 11 muestra la religión de los entrevistados, tres cuartas partes de ellos son católicos, es debido a que son municipios con poca población que no es católica.</w:t>
      </w:r>
    </w:p>
    <w:p>
      <w:pPr>
        <w:pStyle w:val="BodyText"/>
        <w:spacing w:before="5"/>
        <w:rPr>
          <w:sz w:val="2"/>
        </w:rPr>
      </w:pPr>
    </w:p>
    <w:tbl>
      <w:tblPr>
        <w:tblW w:w="0" w:type="auto"/>
        <w:jc w:val="left"/>
        <w:tblInd w:w="71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629"/>
        <w:gridCol w:w="1627"/>
        <w:gridCol w:w="2253"/>
      </w:tblGrid>
      <w:tr>
        <w:trPr>
          <w:trHeight w:val="171" w:hRule="exact"/>
        </w:trPr>
        <w:tc>
          <w:tcPr>
            <w:tcW w:w="6509" w:type="dxa"/>
            <w:gridSpan w:val="3"/>
            <w:tcBorders>
              <w:left w:val="dotted" w:sz="4" w:space="0" w:color="FFFFFF"/>
              <w:bottom w:val="dotted" w:sz="4" w:space="0" w:color="FFFFFF"/>
              <w:right w:val="dotted" w:sz="4" w:space="0" w:color="FFFFFF"/>
            </w:tcBorders>
            <w:shd w:val="clear" w:color="auto" w:fill="929292"/>
          </w:tcPr>
          <w:p>
            <w:pPr>
              <w:pStyle w:val="TableParagraph"/>
              <w:spacing w:line="171" w:lineRule="exact"/>
              <w:ind w:left="1843"/>
              <w:rPr>
                <w:sz w:val="16"/>
              </w:rPr>
            </w:pPr>
            <w:r>
              <w:rPr>
                <w:sz w:val="16"/>
              </w:rPr>
              <w:t>Cuadro 6. Religión de los entrevistados</w:t>
            </w:r>
          </w:p>
        </w:tc>
      </w:tr>
      <w:tr>
        <w:trPr>
          <w:trHeight w:val="171" w:hRule="exact"/>
        </w:trPr>
        <w:tc>
          <w:tcPr>
            <w:tcW w:w="2629" w:type="dxa"/>
            <w:tcBorders>
              <w:top w:val="dotted" w:sz="4" w:space="0" w:color="FFFFFF"/>
              <w:left w:val="nil"/>
              <w:right w:val="single" w:sz="4" w:space="0" w:color="929292"/>
            </w:tcBorders>
          </w:tcPr>
          <w:p>
            <w:pPr>
              <w:pStyle w:val="TableParagraph"/>
              <w:tabs>
                <w:tab w:pos="1014" w:val="left" w:leader="none"/>
                <w:tab w:pos="2613" w:val="left" w:leader="none"/>
              </w:tabs>
              <w:spacing w:line="171" w:lineRule="exact"/>
              <w:ind w:left="40"/>
              <w:rPr>
                <w:sz w:val="16"/>
              </w:rPr>
            </w:pPr>
            <w:r>
              <w:rPr>
                <w:w w:val="100"/>
                <w:sz w:val="16"/>
                <w:u w:val="dotted" w:color="929292"/>
              </w:rPr>
              <w:t> </w:t>
            </w:r>
            <w:r>
              <w:rPr>
                <w:sz w:val="16"/>
                <w:u w:val="dotted" w:color="929292"/>
              </w:rPr>
              <w:tab/>
            </w:r>
            <w:r>
              <w:rPr>
                <w:w w:val="105"/>
                <w:sz w:val="16"/>
                <w:u w:val="dotted" w:color="929292"/>
              </w:rPr>
              <w:t>Religión</w:t>
            </w:r>
            <w:r>
              <w:rPr>
                <w:sz w:val="16"/>
                <w:u w:val="dotted" w:color="929292"/>
              </w:rPr>
              <w:tab/>
            </w:r>
          </w:p>
        </w:tc>
        <w:tc>
          <w:tcPr>
            <w:tcW w:w="1627" w:type="dxa"/>
            <w:tcBorders>
              <w:top w:val="dotted" w:sz="4" w:space="0" w:color="FFFFFF"/>
              <w:left w:val="single" w:sz="4" w:space="0" w:color="929292"/>
              <w:right w:val="single" w:sz="4" w:space="0" w:color="929292"/>
            </w:tcBorders>
          </w:tcPr>
          <w:p>
            <w:pPr>
              <w:pStyle w:val="TableParagraph"/>
              <w:tabs>
                <w:tab w:pos="389" w:val="left" w:leader="none"/>
                <w:tab w:pos="1596" w:val="left" w:leader="none"/>
              </w:tabs>
              <w:spacing w:line="171" w:lineRule="exact"/>
              <w:ind w:left="15"/>
              <w:jc w:val="center"/>
              <w:rPr>
                <w:sz w:val="16"/>
              </w:rPr>
            </w:pPr>
            <w:r>
              <w:rPr>
                <w:w w:val="100"/>
                <w:sz w:val="16"/>
                <w:u w:val="dotted" w:color="929292"/>
              </w:rPr>
              <w:t> </w:t>
            </w:r>
            <w:r>
              <w:rPr>
                <w:sz w:val="16"/>
                <w:u w:val="dotted" w:color="929292"/>
              </w:rPr>
              <w:tab/>
            </w:r>
            <w:r>
              <w:rPr>
                <w:w w:val="105"/>
                <w:sz w:val="16"/>
                <w:u w:val="dotted" w:color="929292"/>
              </w:rPr>
              <w:t>Frecuencia</w:t>
            </w:r>
            <w:r>
              <w:rPr>
                <w:sz w:val="16"/>
                <w:u w:val="dotted" w:color="929292"/>
              </w:rPr>
              <w:tab/>
            </w:r>
          </w:p>
        </w:tc>
        <w:tc>
          <w:tcPr>
            <w:tcW w:w="2253" w:type="dxa"/>
            <w:tcBorders>
              <w:top w:val="dotted" w:sz="4" w:space="0" w:color="FFFFFF"/>
              <w:left w:val="single" w:sz="4" w:space="0" w:color="929292"/>
              <w:right w:val="nil"/>
            </w:tcBorders>
          </w:tcPr>
          <w:p>
            <w:pPr>
              <w:pStyle w:val="TableParagraph"/>
              <w:tabs>
                <w:tab w:pos="697" w:val="left" w:leader="none"/>
                <w:tab w:pos="2198" w:val="left" w:leader="none"/>
              </w:tabs>
              <w:spacing w:line="171" w:lineRule="exact"/>
              <w:jc w:val="center"/>
              <w:rPr>
                <w:sz w:val="16"/>
              </w:rPr>
            </w:pPr>
            <w:r>
              <w:rPr>
                <w:w w:val="100"/>
                <w:sz w:val="16"/>
                <w:u w:val="dotted" w:color="929292"/>
              </w:rPr>
              <w:t> </w:t>
            </w:r>
            <w:r>
              <w:rPr>
                <w:sz w:val="16"/>
                <w:u w:val="dotted" w:color="929292"/>
              </w:rPr>
              <w:tab/>
            </w:r>
            <w:r>
              <w:rPr>
                <w:w w:val="105"/>
                <w:sz w:val="16"/>
                <w:u w:val="dotted" w:color="929292"/>
              </w:rPr>
              <w:t>Porcentaje</w:t>
            </w:r>
            <w:r>
              <w:rPr>
                <w:sz w:val="16"/>
                <w:u w:val="dotted" w:color="929292"/>
              </w:rPr>
              <w:tab/>
            </w:r>
          </w:p>
        </w:tc>
      </w:tr>
      <w:tr>
        <w:trPr>
          <w:trHeight w:val="171" w:hRule="exact"/>
        </w:trPr>
        <w:tc>
          <w:tcPr>
            <w:tcW w:w="2629" w:type="dxa"/>
            <w:tcBorders>
              <w:left w:val="nil"/>
              <w:right w:val="single" w:sz="4" w:space="0" w:color="929292"/>
            </w:tcBorders>
          </w:tcPr>
          <w:p>
            <w:pPr>
              <w:pStyle w:val="TableParagraph"/>
              <w:tabs>
                <w:tab w:pos="2613" w:val="left" w:leader="none"/>
              </w:tabs>
              <w:spacing w:line="171" w:lineRule="exact"/>
              <w:ind w:left="40"/>
              <w:rPr>
                <w:sz w:val="16"/>
              </w:rPr>
            </w:pPr>
            <w:r>
              <w:rPr>
                <w:w w:val="100"/>
                <w:sz w:val="16"/>
                <w:u w:val="dotted" w:color="929292"/>
              </w:rPr>
              <w:t> </w:t>
            </w:r>
            <w:r>
              <w:rPr>
                <w:spacing w:val="-22"/>
                <w:sz w:val="16"/>
                <w:u w:val="dotted" w:color="929292"/>
              </w:rPr>
              <w:t> </w:t>
            </w:r>
            <w:r>
              <w:rPr>
                <w:sz w:val="16"/>
                <w:u w:val="dotted" w:color="929292"/>
              </w:rPr>
              <w:t>Católico</w:t>
              <w:tab/>
            </w:r>
          </w:p>
        </w:tc>
        <w:tc>
          <w:tcPr>
            <w:tcW w:w="1627" w:type="dxa"/>
            <w:tcBorders>
              <w:left w:val="single" w:sz="4" w:space="0" w:color="929292"/>
              <w:right w:val="single" w:sz="4" w:space="0" w:color="929292"/>
            </w:tcBorders>
          </w:tcPr>
          <w:p>
            <w:pPr>
              <w:pStyle w:val="TableParagraph"/>
              <w:tabs>
                <w:tab w:pos="664" w:val="left" w:leader="none"/>
                <w:tab w:pos="1596" w:val="left" w:leader="none"/>
              </w:tabs>
              <w:spacing w:line="171" w:lineRule="exact"/>
              <w:ind w:left="15"/>
              <w:jc w:val="center"/>
              <w:rPr>
                <w:sz w:val="16"/>
              </w:rPr>
            </w:pPr>
            <w:r>
              <w:rPr>
                <w:w w:val="100"/>
                <w:sz w:val="16"/>
                <w:u w:val="dotted" w:color="929292"/>
              </w:rPr>
              <w:t> </w:t>
            </w:r>
            <w:r>
              <w:rPr>
                <w:sz w:val="16"/>
                <w:u w:val="dotted" w:color="929292"/>
              </w:rPr>
              <w:tab/>
              <w:t>151</w:t>
              <w:tab/>
            </w:r>
          </w:p>
        </w:tc>
        <w:tc>
          <w:tcPr>
            <w:tcW w:w="2253" w:type="dxa"/>
            <w:tcBorders>
              <w:left w:val="single" w:sz="4" w:space="0" w:color="929292"/>
              <w:right w:val="nil"/>
            </w:tcBorders>
          </w:tcPr>
          <w:p>
            <w:pPr>
              <w:pStyle w:val="TableParagraph"/>
              <w:tabs>
                <w:tab w:pos="940" w:val="left" w:leader="none"/>
                <w:tab w:pos="2198" w:val="left" w:leader="none"/>
              </w:tabs>
              <w:spacing w:line="171" w:lineRule="exact"/>
              <w:jc w:val="center"/>
              <w:rPr>
                <w:sz w:val="16"/>
              </w:rPr>
            </w:pPr>
            <w:r>
              <w:rPr>
                <w:w w:val="100"/>
                <w:sz w:val="16"/>
                <w:u w:val="dotted" w:color="929292"/>
              </w:rPr>
              <w:t> </w:t>
            </w:r>
            <w:r>
              <w:rPr>
                <w:sz w:val="16"/>
                <w:u w:val="dotted" w:color="929292"/>
              </w:rPr>
              <w:tab/>
              <w:t>83.9</w:t>
              <w:tab/>
            </w:r>
          </w:p>
        </w:tc>
      </w:tr>
      <w:tr>
        <w:trPr>
          <w:trHeight w:val="171" w:hRule="exact"/>
        </w:trPr>
        <w:tc>
          <w:tcPr>
            <w:tcW w:w="2629" w:type="dxa"/>
            <w:tcBorders>
              <w:left w:val="nil"/>
              <w:right w:val="single" w:sz="4" w:space="0" w:color="929292"/>
            </w:tcBorders>
          </w:tcPr>
          <w:p>
            <w:pPr>
              <w:pStyle w:val="TableParagraph"/>
              <w:tabs>
                <w:tab w:pos="2613" w:val="left" w:leader="none"/>
              </w:tabs>
              <w:spacing w:line="171" w:lineRule="exact"/>
              <w:ind w:left="40"/>
              <w:rPr>
                <w:sz w:val="16"/>
              </w:rPr>
            </w:pPr>
            <w:r>
              <w:rPr>
                <w:w w:val="100"/>
                <w:sz w:val="16"/>
                <w:u w:val="dotted" w:color="929292"/>
              </w:rPr>
              <w:t> </w:t>
            </w:r>
            <w:r>
              <w:rPr>
                <w:spacing w:val="-22"/>
                <w:sz w:val="16"/>
                <w:u w:val="dotted" w:color="929292"/>
              </w:rPr>
              <w:t> </w:t>
            </w:r>
            <w:r>
              <w:rPr>
                <w:sz w:val="16"/>
                <w:u w:val="dotted" w:color="929292"/>
              </w:rPr>
              <w:t>Cristiano</w:t>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line="171" w:lineRule="exact"/>
              <w:ind w:left="15"/>
              <w:jc w:val="center"/>
              <w:rPr>
                <w:sz w:val="16"/>
              </w:rPr>
            </w:pPr>
            <w:r>
              <w:rPr>
                <w:w w:val="100"/>
                <w:sz w:val="16"/>
                <w:u w:val="dotted" w:color="929292"/>
              </w:rPr>
              <w:t> </w:t>
            </w:r>
            <w:r>
              <w:rPr>
                <w:sz w:val="16"/>
                <w:u w:val="dotted" w:color="929292"/>
              </w:rPr>
              <w:tab/>
              <w:t>11</w:t>
              <w:tab/>
            </w:r>
          </w:p>
        </w:tc>
        <w:tc>
          <w:tcPr>
            <w:tcW w:w="2253" w:type="dxa"/>
            <w:tcBorders>
              <w:left w:val="single" w:sz="4" w:space="0" w:color="929292"/>
              <w:right w:val="nil"/>
            </w:tcBorders>
          </w:tcPr>
          <w:p>
            <w:pPr>
              <w:pStyle w:val="TableParagraph"/>
              <w:tabs>
                <w:tab w:pos="985" w:val="left" w:leader="none"/>
                <w:tab w:pos="2198" w:val="left" w:leader="none"/>
              </w:tabs>
              <w:spacing w:line="171" w:lineRule="exact"/>
              <w:jc w:val="center"/>
              <w:rPr>
                <w:sz w:val="16"/>
              </w:rPr>
            </w:pPr>
            <w:r>
              <w:rPr>
                <w:w w:val="100"/>
                <w:sz w:val="16"/>
                <w:u w:val="dotted" w:color="929292"/>
              </w:rPr>
              <w:t> </w:t>
            </w:r>
            <w:r>
              <w:rPr>
                <w:sz w:val="16"/>
                <w:u w:val="dotted" w:color="929292"/>
              </w:rPr>
              <w:tab/>
              <w:t>6.1</w:t>
              <w:tab/>
            </w:r>
          </w:p>
        </w:tc>
      </w:tr>
      <w:tr>
        <w:trPr>
          <w:trHeight w:val="171" w:hRule="exact"/>
        </w:trPr>
        <w:tc>
          <w:tcPr>
            <w:tcW w:w="2629" w:type="dxa"/>
            <w:tcBorders>
              <w:left w:val="nil"/>
              <w:right w:val="single" w:sz="4" w:space="0" w:color="929292"/>
            </w:tcBorders>
          </w:tcPr>
          <w:p>
            <w:pPr>
              <w:pStyle w:val="TableParagraph"/>
              <w:tabs>
                <w:tab w:pos="2613" w:val="left" w:leader="none"/>
              </w:tabs>
              <w:spacing w:line="171" w:lineRule="exact"/>
              <w:ind w:left="40"/>
              <w:rPr>
                <w:sz w:val="16"/>
              </w:rPr>
            </w:pPr>
            <w:r>
              <w:rPr>
                <w:w w:val="100"/>
                <w:sz w:val="16"/>
                <w:u w:val="dotted" w:color="929292"/>
              </w:rPr>
              <w:t> </w:t>
            </w:r>
            <w:r>
              <w:rPr>
                <w:spacing w:val="-22"/>
                <w:sz w:val="16"/>
                <w:u w:val="dotted" w:color="929292"/>
              </w:rPr>
              <w:t> </w:t>
            </w:r>
            <w:r>
              <w:rPr>
                <w:sz w:val="16"/>
                <w:u w:val="dotted" w:color="929292"/>
              </w:rPr>
              <w:t>Protestante</w:t>
              <w:tab/>
            </w:r>
          </w:p>
        </w:tc>
        <w:tc>
          <w:tcPr>
            <w:tcW w:w="1627" w:type="dxa"/>
            <w:tcBorders>
              <w:left w:val="single" w:sz="4" w:space="0" w:color="929292"/>
              <w:right w:val="single" w:sz="4" w:space="0" w:color="929292"/>
            </w:tcBorders>
          </w:tcPr>
          <w:p>
            <w:pPr>
              <w:pStyle w:val="TableParagraph"/>
              <w:tabs>
                <w:tab w:pos="753" w:val="left" w:leader="none"/>
                <w:tab w:pos="1596" w:val="left" w:leader="none"/>
              </w:tabs>
              <w:spacing w:line="171" w:lineRule="exact"/>
              <w:ind w:left="15"/>
              <w:jc w:val="center"/>
              <w:rPr>
                <w:sz w:val="16"/>
              </w:rPr>
            </w:pPr>
            <w:r>
              <w:rPr>
                <w:w w:val="100"/>
                <w:sz w:val="16"/>
                <w:u w:val="dotted" w:color="929292"/>
              </w:rPr>
              <w:t> </w:t>
            </w:r>
            <w:r>
              <w:rPr>
                <w:sz w:val="16"/>
                <w:u w:val="dotted" w:color="929292"/>
              </w:rPr>
              <w:tab/>
              <w:t>9</w:t>
              <w:tab/>
            </w:r>
          </w:p>
        </w:tc>
        <w:tc>
          <w:tcPr>
            <w:tcW w:w="2253" w:type="dxa"/>
            <w:tcBorders>
              <w:left w:val="single" w:sz="4" w:space="0" w:color="929292"/>
              <w:right w:val="nil"/>
            </w:tcBorders>
          </w:tcPr>
          <w:p>
            <w:pPr>
              <w:pStyle w:val="TableParagraph"/>
              <w:tabs>
                <w:tab w:pos="985" w:val="left" w:leader="none"/>
                <w:tab w:pos="2198" w:val="left" w:leader="none"/>
              </w:tabs>
              <w:spacing w:line="171" w:lineRule="exact"/>
              <w:jc w:val="center"/>
              <w:rPr>
                <w:sz w:val="16"/>
              </w:rPr>
            </w:pPr>
            <w:r>
              <w:rPr>
                <w:w w:val="100"/>
                <w:sz w:val="16"/>
                <w:u w:val="dotted" w:color="929292"/>
              </w:rPr>
              <w:t> </w:t>
            </w:r>
            <w:r>
              <w:rPr>
                <w:sz w:val="16"/>
                <w:u w:val="dotted" w:color="929292"/>
              </w:rPr>
              <w:tab/>
              <w:t>5.0</w:t>
              <w:tab/>
            </w:r>
          </w:p>
        </w:tc>
      </w:tr>
      <w:tr>
        <w:trPr>
          <w:trHeight w:val="171" w:hRule="exact"/>
        </w:trPr>
        <w:tc>
          <w:tcPr>
            <w:tcW w:w="2629" w:type="dxa"/>
            <w:tcBorders>
              <w:left w:val="nil"/>
              <w:right w:val="single" w:sz="4" w:space="0" w:color="929292"/>
            </w:tcBorders>
          </w:tcPr>
          <w:p>
            <w:pPr>
              <w:pStyle w:val="TableParagraph"/>
              <w:tabs>
                <w:tab w:pos="2613" w:val="left" w:leader="none"/>
              </w:tabs>
              <w:spacing w:line="171" w:lineRule="exact"/>
              <w:ind w:left="40"/>
              <w:rPr>
                <w:sz w:val="16"/>
              </w:rPr>
            </w:pPr>
            <w:r>
              <w:rPr>
                <w:w w:val="100"/>
                <w:sz w:val="16"/>
                <w:u w:val="dotted" w:color="929292"/>
              </w:rPr>
              <w:t> </w:t>
            </w:r>
            <w:r>
              <w:rPr>
                <w:spacing w:val="-22"/>
                <w:sz w:val="16"/>
                <w:u w:val="dotted" w:color="929292"/>
              </w:rPr>
              <w:t> </w:t>
            </w:r>
            <w:r>
              <w:rPr>
                <w:sz w:val="16"/>
                <w:u w:val="dotted" w:color="929292"/>
              </w:rPr>
              <w:t>Adventista</w:t>
              <w:tab/>
            </w:r>
          </w:p>
        </w:tc>
        <w:tc>
          <w:tcPr>
            <w:tcW w:w="1627" w:type="dxa"/>
            <w:tcBorders>
              <w:left w:val="single" w:sz="4" w:space="0" w:color="929292"/>
              <w:right w:val="single" w:sz="4" w:space="0" w:color="929292"/>
            </w:tcBorders>
          </w:tcPr>
          <w:p>
            <w:pPr>
              <w:pStyle w:val="TableParagraph"/>
              <w:tabs>
                <w:tab w:pos="753" w:val="left" w:leader="none"/>
                <w:tab w:pos="1596" w:val="left" w:leader="none"/>
              </w:tabs>
              <w:spacing w:line="171" w:lineRule="exact"/>
              <w:ind w:left="15"/>
              <w:jc w:val="center"/>
              <w:rPr>
                <w:sz w:val="16"/>
              </w:rPr>
            </w:pPr>
            <w:r>
              <w:rPr>
                <w:w w:val="100"/>
                <w:sz w:val="16"/>
                <w:u w:val="dotted" w:color="929292"/>
              </w:rPr>
              <w:t> </w:t>
            </w:r>
            <w:r>
              <w:rPr>
                <w:sz w:val="16"/>
                <w:u w:val="dotted" w:color="929292"/>
              </w:rPr>
              <w:tab/>
              <w:t>5</w:t>
              <w:tab/>
            </w:r>
          </w:p>
        </w:tc>
        <w:tc>
          <w:tcPr>
            <w:tcW w:w="2253" w:type="dxa"/>
            <w:tcBorders>
              <w:left w:val="single" w:sz="4" w:space="0" w:color="929292"/>
              <w:right w:val="nil"/>
            </w:tcBorders>
          </w:tcPr>
          <w:p>
            <w:pPr>
              <w:pStyle w:val="TableParagraph"/>
              <w:tabs>
                <w:tab w:pos="985" w:val="left" w:leader="none"/>
                <w:tab w:pos="2198" w:val="left" w:leader="none"/>
              </w:tabs>
              <w:spacing w:line="171" w:lineRule="exact"/>
              <w:jc w:val="center"/>
              <w:rPr>
                <w:sz w:val="16"/>
              </w:rPr>
            </w:pPr>
            <w:r>
              <w:rPr>
                <w:w w:val="100"/>
                <w:sz w:val="16"/>
                <w:u w:val="dotted" w:color="929292"/>
              </w:rPr>
              <w:t> </w:t>
            </w:r>
            <w:r>
              <w:rPr>
                <w:sz w:val="16"/>
                <w:u w:val="dotted" w:color="929292"/>
              </w:rPr>
              <w:tab/>
              <w:t>2.8</w:t>
              <w:tab/>
            </w:r>
          </w:p>
        </w:tc>
      </w:tr>
      <w:tr>
        <w:trPr>
          <w:trHeight w:val="171" w:hRule="exact"/>
        </w:trPr>
        <w:tc>
          <w:tcPr>
            <w:tcW w:w="2629" w:type="dxa"/>
            <w:tcBorders>
              <w:left w:val="nil"/>
              <w:right w:val="single" w:sz="4" w:space="0" w:color="929292"/>
            </w:tcBorders>
          </w:tcPr>
          <w:p>
            <w:pPr>
              <w:pStyle w:val="TableParagraph"/>
              <w:tabs>
                <w:tab w:pos="2613" w:val="left" w:leader="none"/>
              </w:tabs>
              <w:spacing w:line="171" w:lineRule="exact"/>
              <w:ind w:left="40"/>
              <w:rPr>
                <w:sz w:val="16"/>
              </w:rPr>
            </w:pPr>
            <w:r>
              <w:rPr>
                <w:w w:val="100"/>
                <w:sz w:val="16"/>
                <w:u w:val="dotted" w:color="929292"/>
              </w:rPr>
              <w:t> </w:t>
            </w:r>
            <w:r>
              <w:rPr>
                <w:spacing w:val="-22"/>
                <w:sz w:val="16"/>
                <w:u w:val="dotted" w:color="929292"/>
              </w:rPr>
              <w:t> </w:t>
            </w:r>
            <w:r>
              <w:rPr>
                <w:sz w:val="16"/>
                <w:u w:val="dotted" w:color="929292"/>
              </w:rPr>
              <w:t>Testigo de</w:t>
            </w:r>
            <w:r>
              <w:rPr>
                <w:spacing w:val="5"/>
                <w:sz w:val="16"/>
                <w:u w:val="dotted" w:color="929292"/>
              </w:rPr>
              <w:t> </w:t>
            </w:r>
            <w:r>
              <w:rPr>
                <w:sz w:val="16"/>
                <w:u w:val="dotted" w:color="929292"/>
              </w:rPr>
              <w:t>Jehová</w:t>
              <w:tab/>
            </w:r>
          </w:p>
        </w:tc>
        <w:tc>
          <w:tcPr>
            <w:tcW w:w="1627" w:type="dxa"/>
            <w:tcBorders>
              <w:left w:val="single" w:sz="4" w:space="0" w:color="929292"/>
              <w:right w:val="single" w:sz="4" w:space="0" w:color="929292"/>
            </w:tcBorders>
          </w:tcPr>
          <w:p>
            <w:pPr>
              <w:pStyle w:val="TableParagraph"/>
              <w:tabs>
                <w:tab w:pos="753" w:val="left" w:leader="none"/>
                <w:tab w:pos="1596" w:val="left" w:leader="none"/>
              </w:tabs>
              <w:spacing w:line="171" w:lineRule="exact"/>
              <w:ind w:left="15"/>
              <w:jc w:val="center"/>
              <w:rPr>
                <w:sz w:val="16"/>
              </w:rPr>
            </w:pPr>
            <w:r>
              <w:rPr>
                <w:w w:val="100"/>
                <w:sz w:val="16"/>
                <w:u w:val="dotted" w:color="929292"/>
              </w:rPr>
              <w:t> </w:t>
            </w:r>
            <w:r>
              <w:rPr>
                <w:sz w:val="16"/>
                <w:u w:val="dotted" w:color="929292"/>
              </w:rPr>
              <w:tab/>
              <w:t>4</w:t>
              <w:tab/>
            </w:r>
          </w:p>
        </w:tc>
        <w:tc>
          <w:tcPr>
            <w:tcW w:w="2253" w:type="dxa"/>
            <w:tcBorders>
              <w:left w:val="single" w:sz="4" w:space="0" w:color="929292"/>
              <w:right w:val="nil"/>
            </w:tcBorders>
          </w:tcPr>
          <w:p>
            <w:pPr>
              <w:pStyle w:val="TableParagraph"/>
              <w:tabs>
                <w:tab w:pos="985" w:val="left" w:leader="none"/>
                <w:tab w:pos="2198" w:val="left" w:leader="none"/>
              </w:tabs>
              <w:spacing w:line="171" w:lineRule="exact"/>
              <w:jc w:val="center"/>
              <w:rPr>
                <w:sz w:val="16"/>
              </w:rPr>
            </w:pPr>
            <w:r>
              <w:rPr>
                <w:w w:val="100"/>
                <w:sz w:val="16"/>
                <w:u w:val="dotted" w:color="929292"/>
              </w:rPr>
              <w:t> </w:t>
            </w:r>
            <w:r>
              <w:rPr>
                <w:sz w:val="16"/>
                <w:u w:val="dotted" w:color="929292"/>
              </w:rPr>
              <w:tab/>
              <w:t>2.2</w:t>
              <w:tab/>
            </w:r>
          </w:p>
        </w:tc>
      </w:tr>
      <w:tr>
        <w:trPr>
          <w:trHeight w:val="161" w:hRule="exact"/>
        </w:trPr>
        <w:tc>
          <w:tcPr>
            <w:tcW w:w="2629" w:type="dxa"/>
            <w:tcBorders>
              <w:left w:val="nil"/>
              <w:bottom w:val="nil"/>
              <w:right w:val="single" w:sz="4" w:space="0" w:color="929292"/>
            </w:tcBorders>
          </w:tcPr>
          <w:p>
            <w:pPr>
              <w:pStyle w:val="TableParagraph"/>
              <w:spacing w:line="171" w:lineRule="exact"/>
              <w:ind w:left="107"/>
              <w:rPr>
                <w:sz w:val="16"/>
              </w:rPr>
            </w:pPr>
            <w:r>
              <w:rPr>
                <w:sz w:val="16"/>
              </w:rPr>
              <w:t>Total</w:t>
            </w:r>
          </w:p>
        </w:tc>
        <w:tc>
          <w:tcPr>
            <w:tcW w:w="1627" w:type="dxa"/>
            <w:tcBorders>
              <w:left w:val="single" w:sz="4" w:space="0" w:color="929292"/>
              <w:bottom w:val="nil"/>
              <w:right w:val="single" w:sz="4" w:space="0" w:color="929292"/>
            </w:tcBorders>
          </w:tcPr>
          <w:p>
            <w:pPr>
              <w:pStyle w:val="TableParagraph"/>
              <w:spacing w:line="171" w:lineRule="exact"/>
              <w:jc w:val="center"/>
              <w:rPr>
                <w:sz w:val="16"/>
              </w:rPr>
            </w:pPr>
            <w:r>
              <w:rPr>
                <w:sz w:val="16"/>
              </w:rPr>
              <w:t>180</w:t>
            </w:r>
          </w:p>
        </w:tc>
        <w:tc>
          <w:tcPr>
            <w:tcW w:w="2253" w:type="dxa"/>
            <w:tcBorders>
              <w:left w:val="single" w:sz="4" w:space="0" w:color="929292"/>
              <w:bottom w:val="nil"/>
              <w:right w:val="nil"/>
            </w:tcBorders>
          </w:tcPr>
          <w:p>
            <w:pPr>
              <w:pStyle w:val="TableParagraph"/>
              <w:spacing w:line="171" w:lineRule="exact"/>
              <w:ind w:left="4" w:right="6"/>
              <w:jc w:val="center"/>
              <w:rPr>
                <w:sz w:val="16"/>
              </w:rPr>
            </w:pPr>
            <w:r>
              <w:rPr>
                <w:sz w:val="16"/>
              </w:rPr>
              <w:t>100.0</w:t>
            </w:r>
          </w:p>
        </w:tc>
      </w:tr>
    </w:tbl>
    <w:p>
      <w:pPr>
        <w:spacing w:before="82"/>
        <w:ind w:left="465" w:right="348" w:firstLine="0"/>
        <w:jc w:val="center"/>
        <w:rPr>
          <w:sz w:val="16"/>
        </w:rPr>
      </w:pPr>
      <w:r>
        <w:rPr>
          <w:color w:val="6D6E71"/>
          <w:sz w:val="16"/>
        </w:rPr>
        <w:t>Fuente: Elaboración propia, 2015.</w:t>
      </w:r>
    </w:p>
    <w:p>
      <w:pPr>
        <w:pStyle w:val="BodyText"/>
        <w:rPr>
          <w:sz w:val="16"/>
        </w:rPr>
      </w:pPr>
    </w:p>
    <w:p>
      <w:pPr>
        <w:spacing w:before="112"/>
        <w:ind w:left="465" w:right="348" w:firstLine="0"/>
        <w:jc w:val="center"/>
        <w:rPr>
          <w:sz w:val="16"/>
        </w:rPr>
      </w:pPr>
      <w:r>
        <w:rPr>
          <w:color w:val="6D6E71"/>
          <w:sz w:val="16"/>
        </w:rPr>
        <w:t>Gráfica 11. Religión de los entrevistados</w:t>
      </w:r>
    </w:p>
    <w:p>
      <w:pPr>
        <w:spacing w:line="164" w:lineRule="exact" w:before="0"/>
        <w:ind w:left="0" w:right="12" w:firstLine="0"/>
        <w:jc w:val="center"/>
        <w:rPr>
          <w:sz w:val="16"/>
        </w:rPr>
      </w:pPr>
      <w:r>
        <w:rPr/>
        <w:br w:type="column"/>
      </w:r>
      <w:r>
        <w:rPr>
          <w:color w:val="6D6E71"/>
          <w:sz w:val="16"/>
        </w:rPr>
        <w:t>Fuente: Elaboración propia, 2015.</w:t>
      </w:r>
    </w:p>
    <w:p>
      <w:pPr>
        <w:pStyle w:val="BodyText"/>
        <w:spacing w:before="5"/>
        <w:rPr>
          <w:sz w:val="22"/>
        </w:rPr>
      </w:pPr>
    </w:p>
    <w:p>
      <w:pPr>
        <w:pStyle w:val="BodyText"/>
        <w:spacing w:line="249" w:lineRule="auto"/>
        <w:ind w:left="117" w:right="130" w:firstLine="170"/>
        <w:jc w:val="both"/>
      </w:pPr>
      <w:r>
        <w:rPr/>
        <w:t>En</w:t>
      </w:r>
      <w:r>
        <w:rPr>
          <w:spacing w:val="-5"/>
        </w:rPr>
        <w:t> </w:t>
      </w:r>
      <w:r>
        <w:rPr/>
        <w:t>el</w:t>
      </w:r>
      <w:r>
        <w:rPr>
          <w:spacing w:val="-5"/>
        </w:rPr>
        <w:t> </w:t>
      </w:r>
      <w:r>
        <w:rPr/>
        <w:t>cuadro</w:t>
      </w:r>
      <w:r>
        <w:rPr>
          <w:spacing w:val="-5"/>
        </w:rPr>
        <w:t> </w:t>
      </w:r>
      <w:r>
        <w:rPr/>
        <w:t>7</w:t>
      </w:r>
      <w:r>
        <w:rPr>
          <w:spacing w:val="-5"/>
        </w:rPr>
        <w:t> </w:t>
      </w:r>
      <w:r>
        <w:rPr/>
        <w:t>y</w:t>
      </w:r>
      <w:r>
        <w:rPr>
          <w:spacing w:val="-5"/>
        </w:rPr>
        <w:t> </w:t>
      </w:r>
      <w:r>
        <w:rPr/>
        <w:t>gráfica</w:t>
      </w:r>
      <w:r>
        <w:rPr>
          <w:spacing w:val="-5"/>
        </w:rPr>
        <w:t> </w:t>
      </w:r>
      <w:r>
        <w:rPr/>
        <w:t>12</w:t>
      </w:r>
      <w:r>
        <w:rPr>
          <w:spacing w:val="-5"/>
        </w:rPr>
        <w:t> </w:t>
      </w:r>
      <w:r>
        <w:rPr/>
        <w:t>se</w:t>
      </w:r>
      <w:r>
        <w:rPr>
          <w:spacing w:val="-5"/>
        </w:rPr>
        <w:t> </w:t>
      </w:r>
      <w:r>
        <w:rPr/>
        <w:t>observa</w:t>
      </w:r>
      <w:r>
        <w:rPr>
          <w:spacing w:val="-5"/>
        </w:rPr>
        <w:t> </w:t>
      </w:r>
      <w:r>
        <w:rPr/>
        <w:t>la</w:t>
      </w:r>
      <w:r>
        <w:rPr>
          <w:spacing w:val="-5"/>
        </w:rPr>
        <w:t> </w:t>
      </w:r>
      <w:r>
        <w:rPr/>
        <w:t>escolaridad</w:t>
      </w:r>
      <w:r>
        <w:rPr>
          <w:spacing w:val="-5"/>
        </w:rPr>
        <w:t> </w:t>
      </w:r>
      <w:r>
        <w:rPr/>
        <w:t>de</w:t>
      </w:r>
      <w:r>
        <w:rPr>
          <w:spacing w:val="-5"/>
        </w:rPr>
        <w:t> </w:t>
      </w:r>
      <w:r>
        <w:rPr/>
        <w:t>los</w:t>
      </w:r>
      <w:r>
        <w:rPr>
          <w:spacing w:val="-5"/>
        </w:rPr>
        <w:t> </w:t>
      </w:r>
      <w:r>
        <w:rPr/>
        <w:t>entrevistados,</w:t>
      </w:r>
      <w:r>
        <w:rPr>
          <w:spacing w:val="-5"/>
        </w:rPr>
        <w:t> </w:t>
      </w:r>
      <w:r>
        <w:rPr/>
        <w:t>en</w:t>
      </w:r>
      <w:r>
        <w:rPr>
          <w:spacing w:val="-5"/>
        </w:rPr>
        <w:t> </w:t>
      </w:r>
      <w:r>
        <w:rPr/>
        <w:t>general poseen nivel escolar básico. Esto puede deberse a que en su mayoría son amas de casa y tiene pocas posibilidades de</w:t>
      </w:r>
      <w:r>
        <w:rPr>
          <w:spacing w:val="-28"/>
        </w:rPr>
        <w:t> </w:t>
      </w:r>
      <w:r>
        <w:rPr/>
        <w:t>estudiar.</w:t>
      </w:r>
    </w:p>
    <w:p>
      <w:pPr>
        <w:pStyle w:val="BodyText"/>
        <w:spacing w:before="2"/>
        <w:rPr>
          <w:sz w:val="25"/>
        </w:rPr>
      </w:pPr>
    </w:p>
    <w:p>
      <w:pPr>
        <w:tabs>
          <w:tab w:pos="6121" w:val="left" w:leader="none"/>
        </w:tabs>
        <w:spacing w:before="0"/>
        <w:ind w:left="0" w:right="12" w:firstLine="0"/>
        <w:jc w:val="center"/>
        <w:rPr>
          <w:sz w:val="16"/>
        </w:rPr>
      </w:pPr>
      <w:r>
        <w:rPr>
          <w:w w:val="100"/>
          <w:sz w:val="16"/>
          <w:shd w:fill="929292" w:color="auto" w:val="clear"/>
        </w:rPr>
        <w:t> </w:t>
      </w:r>
      <w:r>
        <w:rPr>
          <w:spacing w:val="19"/>
          <w:sz w:val="16"/>
          <w:shd w:fill="929292" w:color="auto" w:val="clear"/>
        </w:rPr>
        <w:t> </w:t>
      </w:r>
      <w:r>
        <w:rPr>
          <w:sz w:val="16"/>
          <w:shd w:fill="929292" w:color="auto" w:val="clear"/>
        </w:rPr>
        <w:t>Cuadro 7. Escolaridad de los</w:t>
      </w:r>
      <w:r>
        <w:rPr>
          <w:spacing w:val="28"/>
          <w:sz w:val="16"/>
          <w:shd w:fill="929292" w:color="auto" w:val="clear"/>
        </w:rPr>
        <w:t> </w:t>
      </w:r>
      <w:r>
        <w:rPr>
          <w:sz w:val="16"/>
          <w:shd w:fill="929292" w:color="auto" w:val="clear"/>
        </w:rPr>
        <w:t>entrevistados</w:t>
        <w:tab/>
      </w:r>
    </w:p>
    <w:p>
      <w:pPr>
        <w:tabs>
          <w:tab w:pos="3221" w:val="left" w:leader="none"/>
          <w:tab w:pos="4539" w:val="left" w:leader="none"/>
          <w:tab w:pos="6067" w:val="left" w:leader="none"/>
        </w:tabs>
        <w:spacing w:line="177" w:lineRule="exact" w:before="15"/>
        <w:ind w:left="0" w:right="0" w:firstLine="0"/>
        <w:jc w:val="center"/>
        <w:rPr>
          <w:sz w:val="16"/>
        </w:rPr>
      </w:pPr>
      <w:r>
        <w:rPr/>
        <w:pict>
          <v:group style="position:absolute;margin-left:715.981079pt;margin-top:1.128101pt;width:.5pt;height:85.5pt;mso-position-horizontal-relative:page;mso-position-vertical-relative:paragraph;z-index:-644152" coordorigin="14320,23" coordsize="10,1710">
            <v:line style="position:absolute" from="14325,166" to="14325,41" stroked="true" strokeweight=".5pt" strokecolor="#929292">
              <v:stroke dashstyle="dash"/>
            </v:line>
            <v:shape style="position:absolute;left:0;top:7811;width:2;height:166" coordorigin="0,7811" coordsize="0,166" path="m14325,194l14325,194m14325,28l14325,28e" filled="false" stroked="true" strokeweight=".5pt" strokecolor="#929292">
              <v:path arrowok="t"/>
            </v:shape>
            <v:line style="position:absolute" from="14325,194" to="14325,194" stroked="true" strokeweight=".5pt" strokecolor="#929292"/>
            <v:line style="position:absolute" from="14325,336" to="14325,208" stroked="true" strokeweight=".5pt" strokecolor="#929292">
              <v:stroke dashstyle="dash"/>
            </v:line>
            <v:shape style="position:absolute;left:0;top:7806;width:2;height:171" coordorigin="0,7806" coordsize="0,171" path="m14325,364l14325,364m14325,193l14325,193e" filled="false" stroked="true" strokeweight=".5pt" strokecolor="#929292">
              <v:path arrowok="t"/>
            </v:shape>
            <v:line style="position:absolute" from="14325,194" to="14325,194" stroked="true" strokeweight=".5pt" strokecolor="#929292"/>
            <v:line style="position:absolute" from="14325,364" to="14325,364" stroked="true" strokeweight=".5pt" strokecolor="#929292"/>
            <v:line style="position:absolute" from="14325,507" to="14325,379" stroked="true" strokeweight=".5pt" strokecolor="#929292">
              <v:stroke dashstyle="dash"/>
            </v:line>
            <v:shape style="position:absolute;left:0;top:7806;width:2;height:171" coordorigin="0,7806" coordsize="0,171" path="m14325,535l14325,535m14325,364l14325,364e" filled="false" stroked="true" strokeweight=".5pt" strokecolor="#929292">
              <v:path arrowok="t"/>
            </v:shape>
            <v:line style="position:absolute" from="14325,364" to="14325,364" stroked="true" strokeweight=".5pt" strokecolor="#929292"/>
            <v:line style="position:absolute" from="14325,535" to="14325,535" stroked="true" strokeweight=".5pt" strokecolor="#929292"/>
            <v:line style="position:absolute" from="14325,678" to="14325,550" stroked="true" strokeweight=".5pt" strokecolor="#929292">
              <v:stroke dashstyle="dash"/>
            </v:line>
            <v:shape style="position:absolute;left:0;top:7806;width:2;height:171" coordorigin="0,7806" coordsize="0,171" path="m14325,706l14325,706m14325,535l14325,535e" filled="false" stroked="true" strokeweight=".5pt" strokecolor="#929292">
              <v:path arrowok="t"/>
            </v:shape>
            <v:line style="position:absolute" from="14325,535" to="14325,535" stroked="true" strokeweight=".5pt" strokecolor="#929292"/>
            <v:line style="position:absolute" from="14325,706" to="14325,706" stroked="true" strokeweight=".5pt" strokecolor="#929292"/>
            <v:line style="position:absolute" from="14325,849" to="14325,721" stroked="true" strokeweight=".5pt" strokecolor="#929292">
              <v:stroke dashstyle="dash"/>
            </v:line>
            <v:shape style="position:absolute;left:0;top:7806;width:2;height:171" coordorigin="0,7806" coordsize="0,171" path="m14325,877l14325,877m14325,706l14325,706e" filled="false" stroked="true" strokeweight=".5pt" strokecolor="#929292">
              <v:path arrowok="t"/>
            </v:shape>
            <v:line style="position:absolute" from="14325,706" to="14325,706" stroked="true" strokeweight=".5pt" strokecolor="#929292"/>
            <v:line style="position:absolute" from="14325,877" to="14325,877" stroked="true" strokeweight=".5pt" strokecolor="#929292"/>
            <v:line style="position:absolute" from="14325,1020" to="14325,891" stroked="true" strokeweight=".5pt" strokecolor="#929292">
              <v:stroke dashstyle="dash"/>
            </v:line>
            <v:shape style="position:absolute;left:0;top:7806;width:2;height:171" coordorigin="0,7806" coordsize="0,171" path="m14325,1048l14325,1048m14325,877l14325,877e" filled="false" stroked="true" strokeweight=".5pt" strokecolor="#929292">
              <v:path arrowok="t"/>
            </v:shape>
            <v:line style="position:absolute" from="14325,877" to="14325,877" stroked="true" strokeweight=".5pt" strokecolor="#929292"/>
            <v:line style="position:absolute" from="14325,1048" to="14325,1048" stroked="true" strokeweight=".5pt" strokecolor="#929292"/>
            <v:line style="position:absolute" from="14325,1191" to="14325,1062" stroked="true" strokeweight=".5pt" strokecolor="#929292">
              <v:stroke dashstyle="dash"/>
            </v:line>
            <v:shape style="position:absolute;left:0;top:7806;width:2;height:171" coordorigin="0,7806" coordsize="0,171" path="m14325,1219l14325,1219m14325,1048l14325,1048e" filled="false" stroked="true" strokeweight=".5pt" strokecolor="#929292">
              <v:path arrowok="t"/>
            </v:shape>
            <v:line style="position:absolute" from="14325,1048" to="14325,1048" stroked="true" strokeweight=".5pt" strokecolor="#929292"/>
            <v:line style="position:absolute" from="14325,1219" to="14325,1219" stroked="true" strokeweight=".5pt" strokecolor="#929292"/>
            <v:line style="position:absolute" from="14325,1362" to="14325,1233" stroked="true" strokeweight=".5pt" strokecolor="#929292">
              <v:stroke dashstyle="dash"/>
            </v:line>
            <v:shape style="position:absolute;left:0;top:7806;width:2;height:171" coordorigin="0,7806" coordsize="0,171" path="m14325,1390l14325,1390m14325,1219l14325,1219e" filled="false" stroked="true" strokeweight=".5pt" strokecolor="#929292">
              <v:path arrowok="t"/>
            </v:shape>
            <v:line style="position:absolute" from="14325,1219" to="14325,1219" stroked="true" strokeweight=".5pt" strokecolor="#929292"/>
            <v:line style="position:absolute" from="14325,1390" to="14325,1390" stroked="true" strokeweight=".5pt" strokecolor="#929292"/>
            <v:line style="position:absolute" from="14325,1532" to="14325,1404" stroked="true" strokeweight=".5pt" strokecolor="#929292">
              <v:stroke dashstyle="dash"/>
            </v:line>
            <v:shape style="position:absolute;left:0;top:7806;width:2;height:171" coordorigin="0,7806" coordsize="0,171" path="m14325,1561l14325,1561m14325,1390l14325,1390e" filled="false" stroked="true" strokeweight=".5pt" strokecolor="#929292">
              <v:path arrowok="t"/>
            </v:shape>
            <v:line style="position:absolute" from="14325,1390" to="14325,1390" stroked="true" strokeweight=".5pt" strokecolor="#929292"/>
            <v:line style="position:absolute" from="14325,1561" to="14325,1561" stroked="true" strokeweight=".5pt" strokecolor="#929292"/>
            <v:line style="position:absolute" from="14325,1699" to="14325,1575" stroked="true" strokeweight=".5pt" strokecolor="#929292">
              <v:stroke dashstyle="dash"/>
            </v:line>
            <v:shape style="position:absolute;left:0;top:7811;width:2;height:166" coordorigin="0,7811" coordsize="0,166" path="m14325,1727l14325,1727m14325,1561l14325,1561e" filled="false" stroked="true" strokeweight=".5pt" strokecolor="#929292">
              <v:path arrowok="t"/>
            </v:shape>
            <v:line style="position:absolute" from="14325,1561" to="14325,1561" stroked="true" strokeweight=".5pt" strokecolor="#929292"/>
            <w10:wrap type="none"/>
          </v:group>
        </w:pict>
      </w:r>
      <w:r>
        <w:rPr/>
        <w:pict>
          <v:group style="position:absolute;margin-left:781.886719pt;margin-top:1.128101pt;width:.5pt;height:85.5pt;mso-position-horizontal-relative:page;mso-position-vertical-relative:paragraph;z-index:-644128" coordorigin="15638,23" coordsize="10,1710">
            <v:line style="position:absolute" from="15643,166" to="15643,41" stroked="true" strokeweight=".5pt" strokecolor="#929292">
              <v:stroke dashstyle="dash"/>
            </v:line>
            <v:shape style="position:absolute;left:0;top:7811;width:2;height:166" coordorigin="0,7811" coordsize="0,166" path="m15643,194l15643,194m15643,28l15643,28e" filled="false" stroked="true" strokeweight=".5pt" strokecolor="#929292">
              <v:path arrowok="t"/>
            </v:shape>
            <v:line style="position:absolute" from="15643,194" to="15643,194" stroked="true" strokeweight=".5pt" strokecolor="#929292"/>
            <v:line style="position:absolute" from="15643,336" to="15643,208" stroked="true" strokeweight=".5pt" strokecolor="#929292">
              <v:stroke dashstyle="dash"/>
            </v:line>
            <v:shape style="position:absolute;left:0;top:7806;width:2;height:171" coordorigin="0,7806" coordsize="0,171" path="m15643,364l15643,364m15643,193l15643,193e" filled="false" stroked="true" strokeweight=".5pt" strokecolor="#929292">
              <v:path arrowok="t"/>
            </v:shape>
            <v:line style="position:absolute" from="15643,194" to="15643,194" stroked="true" strokeweight=".5pt" strokecolor="#929292"/>
            <v:line style="position:absolute" from="15643,364" to="15643,364" stroked="true" strokeweight=".5pt" strokecolor="#929292"/>
            <v:line style="position:absolute" from="15643,507" to="15643,379" stroked="true" strokeweight=".5pt" strokecolor="#929292">
              <v:stroke dashstyle="dash"/>
            </v:line>
            <v:shape style="position:absolute;left:0;top:7806;width:2;height:171" coordorigin="0,7806" coordsize="0,171" path="m15643,535l15643,535m15643,364l15643,364e" filled="false" stroked="true" strokeweight=".5pt" strokecolor="#929292">
              <v:path arrowok="t"/>
            </v:shape>
            <v:line style="position:absolute" from="15643,364" to="15643,364" stroked="true" strokeweight=".5pt" strokecolor="#929292"/>
            <v:line style="position:absolute" from="15643,535" to="15643,535" stroked="true" strokeweight=".5pt" strokecolor="#929292"/>
            <v:line style="position:absolute" from="15643,678" to="15643,550" stroked="true" strokeweight=".5pt" strokecolor="#929292">
              <v:stroke dashstyle="dash"/>
            </v:line>
            <v:shape style="position:absolute;left:0;top:7806;width:2;height:171" coordorigin="0,7806" coordsize="0,171" path="m15643,706l15643,706m15643,535l15643,535e" filled="false" stroked="true" strokeweight=".5pt" strokecolor="#929292">
              <v:path arrowok="t"/>
            </v:shape>
            <v:line style="position:absolute" from="15643,535" to="15643,535" stroked="true" strokeweight=".5pt" strokecolor="#929292"/>
            <v:line style="position:absolute" from="15643,706" to="15643,706" stroked="true" strokeweight=".5pt" strokecolor="#929292"/>
            <v:line style="position:absolute" from="15643,849" to="15643,721" stroked="true" strokeweight=".5pt" strokecolor="#929292">
              <v:stroke dashstyle="dash"/>
            </v:line>
            <v:shape style="position:absolute;left:0;top:7806;width:2;height:171" coordorigin="0,7806" coordsize="0,171" path="m15643,877l15643,877m15643,706l15643,706e" filled="false" stroked="true" strokeweight=".5pt" strokecolor="#929292">
              <v:path arrowok="t"/>
            </v:shape>
            <v:line style="position:absolute" from="15643,706" to="15643,706" stroked="true" strokeweight=".5pt" strokecolor="#929292"/>
            <v:line style="position:absolute" from="15643,877" to="15643,877" stroked="true" strokeweight=".5pt" strokecolor="#929292"/>
            <v:line style="position:absolute" from="15643,1020" to="15643,891" stroked="true" strokeweight=".5pt" strokecolor="#929292">
              <v:stroke dashstyle="dash"/>
            </v:line>
            <v:shape style="position:absolute;left:0;top:7806;width:2;height:171" coordorigin="0,7806" coordsize="0,171" path="m15643,1048l15643,1048m15643,877l15643,877e" filled="false" stroked="true" strokeweight=".5pt" strokecolor="#929292">
              <v:path arrowok="t"/>
            </v:shape>
            <v:line style="position:absolute" from="15643,877" to="15643,877" stroked="true" strokeweight=".5pt" strokecolor="#929292"/>
            <v:line style="position:absolute" from="15643,1048" to="15643,1048" stroked="true" strokeweight=".5pt" strokecolor="#929292"/>
            <v:line style="position:absolute" from="15643,1191" to="15643,1062" stroked="true" strokeweight=".5pt" strokecolor="#929292">
              <v:stroke dashstyle="dash"/>
            </v:line>
            <v:shape style="position:absolute;left:0;top:7806;width:2;height:171" coordorigin="0,7806" coordsize="0,171" path="m15643,1219l15643,1219m15643,1048l15643,1048e" filled="false" stroked="true" strokeweight=".5pt" strokecolor="#929292">
              <v:path arrowok="t"/>
            </v:shape>
            <v:line style="position:absolute" from="15643,1048" to="15643,1048" stroked="true" strokeweight=".5pt" strokecolor="#929292"/>
            <v:line style="position:absolute" from="15643,1219" to="15643,1219" stroked="true" strokeweight=".5pt" strokecolor="#929292"/>
            <v:line style="position:absolute" from="15643,1362" to="15643,1233" stroked="true" strokeweight=".5pt" strokecolor="#929292">
              <v:stroke dashstyle="dash"/>
            </v:line>
            <v:shape style="position:absolute;left:0;top:7806;width:2;height:171" coordorigin="0,7806" coordsize="0,171" path="m15643,1390l15643,1390m15643,1219l15643,1219e" filled="false" stroked="true" strokeweight=".5pt" strokecolor="#929292">
              <v:path arrowok="t"/>
            </v:shape>
            <v:line style="position:absolute" from="15643,1219" to="15643,1219" stroked="true" strokeweight=".5pt" strokecolor="#929292"/>
            <v:line style="position:absolute" from="15643,1390" to="15643,1390" stroked="true" strokeweight=".5pt" strokecolor="#929292"/>
            <v:line style="position:absolute" from="15643,1532" to="15643,1404" stroked="true" strokeweight=".5pt" strokecolor="#929292">
              <v:stroke dashstyle="dash"/>
            </v:line>
            <v:shape style="position:absolute;left:0;top:7806;width:2;height:171" coordorigin="0,7806" coordsize="0,171" path="m15643,1561l15643,1561m15643,1390l15643,1390e" filled="false" stroked="true" strokeweight=".5pt" strokecolor="#929292">
              <v:path arrowok="t"/>
            </v:shape>
            <v:line style="position:absolute" from="15643,1390" to="15643,1390" stroked="true" strokeweight=".5pt" strokecolor="#929292"/>
            <v:line style="position:absolute" from="15643,1561" to="15643,1561" stroked="true" strokeweight=".5pt" strokecolor="#929292"/>
            <v:line style="position:absolute" from="15643,1699" to="15643,1575" stroked="true" strokeweight=".5pt" strokecolor="#929292">
              <v:stroke dashstyle="dash"/>
            </v:line>
            <v:shape style="position:absolute;left:0;top:7811;width:2;height:166" coordorigin="0,7811" coordsize="0,166" path="m15643,1727l15643,1727m15643,1561l15643,1561e" filled="false" stroked="true" strokeweight=".5pt" strokecolor="#929292">
              <v:path arrowok="t"/>
            </v:shape>
            <v:line style="position:absolute" from="15643,1561" to="15643,1561" stroked="true" strokeweight=".5pt" strokecolor="#929292"/>
            <w10:wrap type="none"/>
          </v:group>
        </w:pict>
      </w:r>
      <w:r>
        <w:rPr/>
        <w:pict>
          <v:line style="position:absolute;mso-position-horizontal-relative:page;mso-position-vertical-relative:paragraph;z-index:8680" from="552.959473pt,9.675101pt" to="552.959473pt,9.675101pt" stroked="true" strokeweight=".5pt" strokecolor="#929292">
            <w10:wrap type="none"/>
          </v:line>
        </w:pict>
      </w:r>
      <w:r>
        <w:rPr/>
        <w:pict>
          <v:line style="position:absolute;mso-position-horizontal-relative:page;mso-position-vertical-relative:paragraph;z-index:8704" from="858.552673pt,9.675101pt" to="858.552673pt,9.675101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Escolaridad</w:t>
        <w:tab/>
      </w:r>
      <w:r>
        <w:rPr>
          <w:sz w:val="16"/>
          <w:u w:val="dotted" w:color="929292"/>
        </w:rPr>
        <w:t>Frecuencia</w:t>
        <w:tab/>
      </w:r>
      <w:r>
        <w:rPr>
          <w:sz w:val="16"/>
          <w:u w:val="dotted" w:color="929292"/>
        </w:rPr>
        <w:t>Porcentaje</w:t>
        <w:tab/>
      </w:r>
    </w:p>
    <w:p>
      <w:pPr>
        <w:tabs>
          <w:tab w:pos="3221" w:val="left" w:leader="none"/>
          <w:tab w:pos="4539" w:val="left" w:leader="none"/>
          <w:tab w:pos="6067" w:val="left" w:leader="none"/>
        </w:tabs>
        <w:spacing w:line="171" w:lineRule="exact" w:before="0"/>
        <w:ind w:left="0" w:right="0" w:firstLine="0"/>
        <w:jc w:val="center"/>
        <w:rPr>
          <w:sz w:val="16"/>
        </w:rPr>
      </w:pPr>
      <w:r>
        <w:rPr/>
        <w:pict>
          <v:line style="position:absolute;mso-position-horizontal-relative:page;mso-position-vertical-relative:paragraph;z-index:8728" from="552.959473pt,8.600088pt" to="552.959473pt,8.600088pt" stroked="true" strokeweight=".5pt" strokecolor="#929292">
            <w10:wrap type="none"/>
          </v:line>
        </w:pict>
      </w:r>
      <w:r>
        <w:rPr/>
        <w:pict>
          <v:line style="position:absolute;mso-position-horizontal-relative:page;mso-position-vertical-relative:paragraph;z-index:8752" from="858.552673pt,8.600088pt" to="858.552673pt,8.600088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Primaria</w:t>
        <w:tab/>
      </w:r>
      <w:r>
        <w:rPr>
          <w:sz w:val="16"/>
          <w:u w:val="dotted" w:color="929292"/>
        </w:rPr>
        <w:t>42</w:t>
        <w:tab/>
      </w:r>
      <w:r>
        <w:rPr>
          <w:sz w:val="16"/>
          <w:u w:val="dotted" w:color="929292"/>
        </w:rPr>
        <w:t>23.3</w:t>
        <w:tab/>
      </w:r>
    </w:p>
    <w:p>
      <w:pPr>
        <w:tabs>
          <w:tab w:pos="3221" w:val="left" w:leader="none"/>
          <w:tab w:pos="4539" w:val="left" w:leader="none"/>
          <w:tab w:pos="6067" w:val="left" w:leader="none"/>
        </w:tabs>
        <w:spacing w:line="171" w:lineRule="exact" w:before="0"/>
        <w:ind w:left="0" w:right="0" w:firstLine="0"/>
        <w:jc w:val="center"/>
        <w:rPr>
          <w:sz w:val="16"/>
        </w:rPr>
      </w:pPr>
      <w:r>
        <w:rPr/>
        <w:pict>
          <v:line style="position:absolute;mso-position-horizontal-relative:page;mso-position-vertical-relative:paragraph;z-index:8776" from="552.959473pt,8.602597pt" to="552.959473pt,8.602597pt" stroked="true" strokeweight=".5pt" strokecolor="#929292">
            <w10:wrap type="none"/>
          </v:line>
        </w:pict>
      </w:r>
      <w:r>
        <w:rPr/>
        <w:pict>
          <v:line style="position:absolute;mso-position-horizontal-relative:page;mso-position-vertical-relative:paragraph;z-index:8800" from="858.552673pt,8.602597pt" to="858.552673pt,8.602597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Primaria incompleta</w:t>
        <w:tab/>
      </w:r>
      <w:r>
        <w:rPr>
          <w:sz w:val="16"/>
          <w:u w:val="dotted" w:color="929292"/>
        </w:rPr>
        <w:t>57</w:t>
        <w:tab/>
      </w:r>
      <w:r>
        <w:rPr>
          <w:sz w:val="16"/>
          <w:u w:val="dotted" w:color="929292"/>
        </w:rPr>
        <w:t>31.7</w:t>
        <w:tab/>
      </w:r>
    </w:p>
    <w:p>
      <w:pPr>
        <w:tabs>
          <w:tab w:pos="3221" w:val="left" w:leader="none"/>
          <w:tab w:pos="4539" w:val="left" w:leader="none"/>
          <w:tab w:pos="6067" w:val="left" w:leader="none"/>
        </w:tabs>
        <w:spacing w:line="171" w:lineRule="exact" w:before="0"/>
        <w:ind w:left="0" w:right="0" w:firstLine="0"/>
        <w:jc w:val="center"/>
        <w:rPr>
          <w:sz w:val="16"/>
        </w:rPr>
      </w:pPr>
      <w:r>
        <w:rPr/>
        <w:pict>
          <v:line style="position:absolute;mso-position-horizontal-relative:page;mso-position-vertical-relative:paragraph;z-index:8824" from="552.959473pt,8.605206pt" to="552.959473pt,8.605206pt" stroked="true" strokeweight=".5pt" strokecolor="#929292">
            <w10:wrap type="none"/>
          </v:line>
        </w:pict>
      </w:r>
      <w:r>
        <w:rPr/>
        <w:pict>
          <v:line style="position:absolute;mso-position-horizontal-relative:page;mso-position-vertical-relative:paragraph;z-index:8848" from="858.552673pt,8.605206pt" to="858.552673pt,8.605206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Secundaria</w:t>
        <w:tab/>
      </w:r>
      <w:r>
        <w:rPr>
          <w:sz w:val="16"/>
          <w:u w:val="dotted" w:color="929292"/>
        </w:rPr>
        <w:t>41</w:t>
        <w:tab/>
      </w:r>
      <w:r>
        <w:rPr>
          <w:sz w:val="16"/>
          <w:u w:val="dotted" w:color="929292"/>
        </w:rPr>
        <w:t>22.8</w:t>
        <w:tab/>
      </w:r>
    </w:p>
    <w:p>
      <w:pPr>
        <w:tabs>
          <w:tab w:pos="3221" w:val="left" w:leader="none"/>
          <w:tab w:pos="4539" w:val="left" w:leader="none"/>
          <w:tab w:pos="6067" w:val="left" w:leader="none"/>
        </w:tabs>
        <w:spacing w:line="171" w:lineRule="exact" w:before="0"/>
        <w:ind w:left="0" w:right="0" w:firstLine="0"/>
        <w:jc w:val="center"/>
        <w:rPr>
          <w:sz w:val="16"/>
        </w:rPr>
      </w:pPr>
      <w:r>
        <w:rPr/>
        <w:pict>
          <v:line style="position:absolute;mso-position-horizontal-relative:page;mso-position-vertical-relative:paragraph;z-index:8872" from="552.959473pt,8.607800pt" to="552.959473pt,8.607800pt" stroked="true" strokeweight=".5pt" strokecolor="#929292">
            <w10:wrap type="none"/>
          </v:line>
        </w:pict>
      </w:r>
      <w:r>
        <w:rPr/>
        <w:pict>
          <v:line style="position:absolute;mso-position-horizontal-relative:page;mso-position-vertical-relative:paragraph;z-index:8896" from="858.552673pt,8.607800pt" to="858.552673pt,8.607800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Secundaria incompleta</w:t>
        <w:tab/>
      </w:r>
      <w:r>
        <w:rPr>
          <w:sz w:val="16"/>
          <w:u w:val="dotted" w:color="929292"/>
        </w:rPr>
        <w:t>1</w:t>
        <w:tab/>
      </w:r>
      <w:r>
        <w:rPr>
          <w:sz w:val="16"/>
          <w:u w:val="dotted" w:color="929292"/>
        </w:rPr>
        <w:t>0.6</w:t>
        <w:tab/>
      </w:r>
    </w:p>
    <w:p>
      <w:pPr>
        <w:tabs>
          <w:tab w:pos="3221" w:val="left" w:leader="none"/>
          <w:tab w:pos="4539" w:val="left" w:leader="none"/>
          <w:tab w:pos="6067" w:val="left" w:leader="none"/>
        </w:tabs>
        <w:spacing w:line="171" w:lineRule="exact" w:before="0"/>
        <w:ind w:left="0" w:right="0" w:firstLine="0"/>
        <w:jc w:val="center"/>
        <w:rPr>
          <w:sz w:val="16"/>
        </w:rPr>
      </w:pPr>
      <w:r>
        <w:rPr/>
        <w:pict>
          <v:line style="position:absolute;mso-position-horizontal-relative:page;mso-position-vertical-relative:paragraph;z-index:8920" from="552.959473pt,8.610293pt" to="552.959473pt,8.610293pt" stroked="true" strokeweight=".5pt" strokecolor="#929292">
            <w10:wrap type="none"/>
          </v:line>
        </w:pict>
      </w:r>
      <w:r>
        <w:rPr/>
        <w:pict>
          <v:line style="position:absolute;mso-position-horizontal-relative:page;mso-position-vertical-relative:paragraph;z-index:8944" from="858.552673pt,8.610293pt" to="858.552673pt,8.610293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Preparatoria</w:t>
        <w:tab/>
      </w:r>
      <w:r>
        <w:rPr>
          <w:sz w:val="16"/>
          <w:u w:val="dotted" w:color="929292"/>
        </w:rPr>
        <w:t>14</w:t>
        <w:tab/>
      </w:r>
      <w:r>
        <w:rPr>
          <w:sz w:val="16"/>
          <w:u w:val="dotted" w:color="929292"/>
        </w:rPr>
        <w:t>7.8</w:t>
        <w:tab/>
      </w:r>
    </w:p>
    <w:p>
      <w:pPr>
        <w:tabs>
          <w:tab w:pos="3221" w:val="left" w:leader="none"/>
          <w:tab w:pos="4539" w:val="left" w:leader="none"/>
          <w:tab w:pos="6067" w:val="left" w:leader="none"/>
        </w:tabs>
        <w:spacing w:line="171" w:lineRule="exact" w:before="0"/>
        <w:ind w:left="0" w:right="0" w:firstLine="0"/>
        <w:jc w:val="center"/>
        <w:rPr>
          <w:sz w:val="16"/>
        </w:rPr>
      </w:pPr>
      <w:r>
        <w:rPr/>
        <w:pict>
          <v:line style="position:absolute;mso-position-horizontal-relative:page;mso-position-vertical-relative:paragraph;z-index:8968" from="552.959473pt,8.612887pt" to="552.959473pt,8.612887pt" stroked="true" strokeweight=".5pt" strokecolor="#929292">
            <w10:wrap type="none"/>
          </v:line>
        </w:pict>
      </w:r>
      <w:r>
        <w:rPr/>
        <w:pict>
          <v:line style="position:absolute;mso-position-horizontal-relative:page;mso-position-vertical-relative:paragraph;z-index:8992" from="858.552673pt,8.612887pt" to="858.552673pt,8.612887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Preparatoria incompleta</w:t>
        <w:tab/>
      </w:r>
      <w:r>
        <w:rPr>
          <w:sz w:val="16"/>
          <w:u w:val="dotted" w:color="929292"/>
        </w:rPr>
        <w:t>2</w:t>
        <w:tab/>
      </w:r>
      <w:r>
        <w:rPr>
          <w:sz w:val="16"/>
          <w:u w:val="dotted" w:color="929292"/>
        </w:rPr>
        <w:t>1.1</w:t>
        <w:tab/>
      </w:r>
    </w:p>
    <w:p>
      <w:pPr>
        <w:tabs>
          <w:tab w:pos="3221" w:val="left" w:leader="none"/>
          <w:tab w:pos="4539" w:val="left" w:leader="none"/>
          <w:tab w:pos="6067" w:val="left" w:leader="none"/>
        </w:tabs>
        <w:spacing w:line="171" w:lineRule="exact" w:before="0"/>
        <w:ind w:left="0" w:right="0" w:firstLine="0"/>
        <w:jc w:val="center"/>
        <w:rPr>
          <w:sz w:val="16"/>
        </w:rPr>
      </w:pPr>
      <w:r>
        <w:rPr>
          <w:w w:val="100"/>
          <w:sz w:val="16"/>
          <w:u w:val="dotted" w:color="929292"/>
        </w:rPr>
        <w:t> </w:t>
      </w:r>
      <w:r>
        <w:rPr>
          <w:spacing w:val="-16"/>
          <w:sz w:val="16"/>
          <w:u w:val="dotted" w:color="929292"/>
        </w:rPr>
        <w:t> </w:t>
      </w:r>
      <w:r>
        <w:rPr>
          <w:sz w:val="16"/>
          <w:u w:val="dotted" w:color="929292"/>
        </w:rPr>
        <w:t>Licenciatura</w:t>
        <w:tab/>
      </w:r>
      <w:r>
        <w:rPr>
          <w:sz w:val="16"/>
          <w:u w:val="dotted" w:color="929292"/>
        </w:rPr>
        <w:t>6</w:t>
        <w:tab/>
      </w:r>
      <w:r>
        <w:rPr>
          <w:sz w:val="16"/>
          <w:u w:val="dotted" w:color="929292"/>
        </w:rPr>
        <w:t>3.3</w:t>
        <w:tab/>
      </w:r>
    </w:p>
    <w:p>
      <w:pPr>
        <w:tabs>
          <w:tab w:pos="7023" w:val="left" w:leader="none"/>
        </w:tabs>
        <w:spacing w:line="20" w:lineRule="exact"/>
        <w:ind w:left="91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4167" w:val="left" w:leader="none"/>
          <w:tab w:pos="4290" w:val="left" w:leader="none"/>
          <w:tab w:pos="5485" w:val="left" w:leader="none"/>
          <w:tab w:pos="5608" w:val="left" w:leader="none"/>
          <w:tab w:pos="7013" w:val="left" w:leader="none"/>
        </w:tabs>
        <w:spacing w:line="170" w:lineRule="exact" w:before="0"/>
        <w:ind w:left="1019" w:right="943" w:hanging="74"/>
        <w:jc w:val="left"/>
        <w:rPr>
          <w:sz w:val="16"/>
        </w:rPr>
      </w:pPr>
      <w:r>
        <w:rPr/>
        <w:pict>
          <v:line style="position:absolute;mso-position-horizontal-relative:page;mso-position-vertical-relative:paragraph;z-index:9016" from="552.959473pt,8.241705pt" to="552.959473pt,8.241705pt" stroked="true" strokeweight=".5pt" strokecolor="#929292">
            <w10:wrap type="none"/>
          </v:line>
        </w:pict>
      </w:r>
      <w:r>
        <w:rPr/>
        <w:pict>
          <v:line style="position:absolute;mso-position-horizontal-relative:page;mso-position-vertical-relative:paragraph;z-index:9040" from="858.552673pt,8.241705pt" to="858.552673pt,8.241705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Sin</w:t>
      </w:r>
      <w:r>
        <w:rPr>
          <w:spacing w:val="2"/>
          <w:sz w:val="16"/>
          <w:u w:val="dotted" w:color="929292"/>
        </w:rPr>
        <w:t> </w:t>
      </w:r>
      <w:r>
        <w:rPr>
          <w:sz w:val="16"/>
          <w:u w:val="dotted" w:color="929292"/>
        </w:rPr>
        <w:t>escolaridad</w:t>
        <w:tab/>
      </w:r>
      <w:r>
        <w:rPr>
          <w:sz w:val="16"/>
          <w:u w:val="dotted" w:color="929292"/>
        </w:rPr>
        <w:t> 17</w:t>
        <w:tab/>
      </w:r>
      <w:r>
        <w:rPr>
          <w:sz w:val="16"/>
          <w:u w:val="dotted" w:color="929292"/>
        </w:rPr>
        <w:t> 9.4</w:t>
        <w:tab/>
      </w:r>
      <w:r>
        <w:rPr>
          <w:sz w:val="16"/>
        </w:rPr>
        <w:t> Total</w:t>
        <w:tab/>
        <w:tab/>
        <w:t>180</w:t>
        <w:tab/>
        <w:tab/>
        <w:t>100.0</w:t>
      </w:r>
    </w:p>
    <w:p>
      <w:pPr>
        <w:pStyle w:val="BodyText"/>
        <w:spacing w:before="8"/>
        <w:rPr>
          <w:sz w:val="19"/>
        </w:rPr>
      </w:pPr>
    </w:p>
    <w:p>
      <w:pPr>
        <w:spacing w:before="1"/>
        <w:ind w:left="0" w:right="12" w:firstLine="0"/>
        <w:jc w:val="center"/>
        <w:rPr>
          <w:sz w:val="16"/>
        </w:rPr>
      </w:pPr>
      <w:r>
        <w:rPr>
          <w:color w:val="6D6E71"/>
          <w:sz w:val="16"/>
        </w:rPr>
        <w:t>Fuente: Elaboración propia, 2015.</w:t>
      </w:r>
    </w:p>
    <w:p>
      <w:pPr>
        <w:pStyle w:val="BodyText"/>
        <w:rPr>
          <w:sz w:val="16"/>
        </w:rPr>
      </w:pPr>
    </w:p>
    <w:p>
      <w:pPr>
        <w:spacing w:before="112"/>
        <w:ind w:left="0" w:right="12" w:firstLine="0"/>
        <w:jc w:val="center"/>
        <w:rPr>
          <w:sz w:val="16"/>
        </w:rPr>
      </w:pPr>
      <w:r>
        <w:rPr>
          <w:color w:val="6D6E71"/>
          <w:sz w:val="16"/>
        </w:rPr>
        <w:t>Gráfica 12. Escolaridad de los entrevistados</w:t>
      </w:r>
    </w:p>
    <w:p>
      <w:pPr>
        <w:pStyle w:val="BodyText"/>
        <w:spacing w:before="2"/>
        <w:rPr>
          <w:sz w:val="12"/>
        </w:rPr>
      </w:pPr>
      <w:r>
        <w:rPr/>
        <w:drawing>
          <wp:anchor distT="0" distB="0" distL="0" distR="0" allowOverlap="1" layoutInCell="1" locked="0" behindDoc="0" simplePos="0" relativeHeight="8584">
            <wp:simplePos x="0" y="0"/>
            <wp:positionH relativeFrom="page">
              <wp:posOffset>6696893</wp:posOffset>
            </wp:positionH>
            <wp:positionV relativeFrom="paragraph">
              <wp:posOffset>114116</wp:posOffset>
            </wp:positionV>
            <wp:extent cx="4554469" cy="1433512"/>
            <wp:effectExtent l="0" t="0" r="0" b="0"/>
            <wp:wrapTopAndBottom/>
            <wp:docPr id="89" name="image63.png" descr=""/>
            <wp:cNvGraphicFramePr>
              <a:graphicFrameLocks noChangeAspect="1"/>
            </wp:cNvGraphicFramePr>
            <a:graphic>
              <a:graphicData uri="http://schemas.openxmlformats.org/drawingml/2006/picture">
                <pic:pic>
                  <pic:nvPicPr>
                    <pic:cNvPr id="90" name="image63.png"/>
                    <pic:cNvPicPr/>
                  </pic:nvPicPr>
                  <pic:blipFill>
                    <a:blip r:embed="rId230" cstate="print"/>
                    <a:stretch>
                      <a:fillRect/>
                    </a:stretch>
                  </pic:blipFill>
                  <pic:spPr>
                    <a:xfrm>
                      <a:off x="0" y="0"/>
                      <a:ext cx="4554469" cy="1433512"/>
                    </a:xfrm>
                    <a:prstGeom prst="rect">
                      <a:avLst/>
                    </a:prstGeom>
                  </pic:spPr>
                </pic:pic>
              </a:graphicData>
            </a:graphic>
          </wp:anchor>
        </w:drawing>
      </w:r>
    </w:p>
    <w:p>
      <w:pPr>
        <w:pStyle w:val="BodyText"/>
      </w:pPr>
    </w:p>
    <w:p>
      <w:pPr>
        <w:spacing w:before="0"/>
        <w:ind w:left="0" w:right="12" w:firstLine="0"/>
        <w:jc w:val="center"/>
        <w:rPr>
          <w:sz w:val="16"/>
        </w:rPr>
      </w:pPr>
      <w:r>
        <w:rPr>
          <w:color w:val="6D6E71"/>
          <w:sz w:val="16"/>
        </w:rPr>
        <w:t>Fuente: Elaboración propia, 2015.</w:t>
      </w:r>
    </w:p>
    <w:p>
      <w:pPr>
        <w:spacing w:after="0"/>
        <w:jc w:val="center"/>
        <w:rPr>
          <w:sz w:val="16"/>
        </w:rPr>
        <w:sectPr>
          <w:type w:val="continuous"/>
          <w:pgSz w:w="18830" w:h="12760" w:orient="landscape"/>
          <w:pgMar w:top="1420" w:bottom="280" w:left="720" w:right="720"/>
          <w:cols w:num="2" w:equalWidth="0">
            <w:col w:w="7829" w:space="1593"/>
            <w:col w:w="7968"/>
          </w:cols>
        </w:sectPr>
      </w:pPr>
    </w:p>
    <w:p>
      <w:pPr>
        <w:pStyle w:val="BodyText"/>
        <w:spacing w:before="8"/>
        <w:rPr>
          <w:sz w:val="23"/>
        </w:rPr>
      </w:pPr>
    </w:p>
    <w:p>
      <w:pPr>
        <w:spacing w:after="0"/>
        <w:rPr>
          <w:sz w:val="23"/>
        </w:rPr>
        <w:sectPr>
          <w:footerReference w:type="default" r:id="rId231"/>
          <w:pgSz w:w="18830" w:h="12760" w:orient="landscape"/>
          <w:pgMar w:footer="1036" w:header="522" w:top="820" w:bottom="1220" w:left="720" w:right="720"/>
        </w:sectPr>
      </w:pPr>
    </w:p>
    <w:p>
      <w:pPr>
        <w:pStyle w:val="BodyText"/>
        <w:spacing w:line="249" w:lineRule="auto" w:before="74"/>
        <w:ind w:left="130" w:firstLine="170"/>
        <w:jc w:val="both"/>
      </w:pPr>
      <w:r>
        <w:rPr/>
        <w:t>El cuadro 8 y gráfica 13 muestra que dos terceras partes de los entrevistados son originarios de las localidades. Esto se puede deber a que existe poca inmigración en los municipios.</w:t>
      </w:r>
    </w:p>
    <w:p>
      <w:pPr>
        <w:tabs>
          <w:tab w:pos="1817" w:val="left" w:leader="none"/>
          <w:tab w:pos="6639" w:val="left" w:leader="none"/>
        </w:tabs>
        <w:spacing w:before="104"/>
        <w:ind w:left="130" w:right="0" w:firstLine="0"/>
        <w:jc w:val="center"/>
        <w:rPr>
          <w:sz w:val="16"/>
        </w:rPr>
      </w:pPr>
      <w:r>
        <w:rPr/>
        <w:pict>
          <v:group style="position:absolute;margin-left:203.750595pt;margin-top:15.538295pt;width:.5pt;height:46.85pt;mso-position-horizontal-relative:page;mso-position-vertical-relative:paragraph;z-index:-643552" coordorigin="4075,311" coordsize="10,937">
            <v:line style="position:absolute" from="4080,493" to="4080,331" stroked="true" strokeweight=".5pt" strokecolor="#929292">
              <v:stroke dashstyle="dash"/>
            </v:line>
            <v:shape style="position:absolute;left:0;top:10643;width:2;height:207" coordorigin="0,10643" coordsize="0,207" path="m4080,522l4080,522m4080,316l4080,316e" filled="false" stroked="true" strokeweight=".5pt" strokecolor="#929292">
              <v:path arrowok="t"/>
            </v:shape>
            <v:line style="position:absolute" from="4080,522" to="4080,522" stroked="true" strokeweight=".5pt" strokecolor="#929292"/>
            <v:line style="position:absolute" from="4080,732" to="4080,537" stroked="true" strokeweight=".5pt" strokecolor="#929292">
              <v:stroke dashstyle="dash"/>
            </v:line>
            <v:shape style="position:absolute;left:0;top:10610;width:2;height:240" coordorigin="0,10610" coordsize="0,240" path="m4080,762l4080,762m4080,522l4080,522e" filled="false" stroked="true" strokeweight=".5pt" strokecolor="#929292">
              <v:path arrowok="t"/>
            </v:shape>
            <v:line style="position:absolute" from="4080,522" to="4080,522" stroked="true" strokeweight=".5pt" strokecolor="#929292"/>
            <v:line style="position:absolute" from="4080,762" to="4080,762" stroked="true" strokeweight=".5pt" strokecolor="#929292"/>
            <v:line style="position:absolute" from="4080,972" to="4080,777" stroked="true" strokeweight=".5pt" strokecolor="#929292">
              <v:stroke dashstyle="dash"/>
            </v:line>
            <v:shape style="position:absolute;left:0;top:10610;width:2;height:240" coordorigin="0,10610" coordsize="0,240" path="m4080,1002l4080,1002m4080,762l4080,762e" filled="false" stroked="true" strokeweight=".5pt" strokecolor="#929292">
              <v:path arrowok="t"/>
            </v:shape>
            <v:line style="position:absolute" from="4080,762" to="4080,762" stroked="true" strokeweight=".5pt" strokecolor="#929292"/>
            <v:line style="position:absolute" from="4080,1002" to="4080,1002" stroked="true" strokeweight=".5pt" strokecolor="#929292"/>
            <v:line style="position:absolute" from="4080,1242" to="4080,1242" stroked="true" strokeweight=".5pt" strokecolor="#929292"/>
            <v:line style="position:absolute" from="4080,1212" to="4080,1017" stroked="true" strokeweight=".5pt" strokecolor="#929292">
              <v:stroke dashstyle="dash"/>
            </v:line>
            <v:shape style="position:absolute;left:0;top:10610;width:2;height:240" coordorigin="0,10610" coordsize="0,240" path="m4080,1242l4080,1242m4080,1002l4080,1002e" filled="false" stroked="true" strokeweight=".5pt" strokecolor="#929292">
              <v:path arrowok="t"/>
            </v:shape>
            <v:line style="position:absolute" from="4080,1002" to="4080,1002" stroked="true" strokeweight=".5pt" strokecolor="#929292"/>
            <v:line style="position:absolute" from="4080,1242" to="4080,1242" stroked="true" strokeweight=".5pt" strokecolor="#929292"/>
            <w10:wrap type="none"/>
          </v:group>
        </w:pict>
      </w:r>
      <w:r>
        <w:rPr/>
        <w:pict>
          <v:group style="position:absolute;margin-left:285.100586pt;margin-top:15.538295pt;width:.5pt;height:46.85pt;mso-position-horizontal-relative:page;mso-position-vertical-relative:paragraph;z-index:-643528" coordorigin="5702,311" coordsize="10,937">
            <v:line style="position:absolute" from="5707,493" to="5707,331" stroked="true" strokeweight=".5pt" strokecolor="#929292">
              <v:stroke dashstyle="dash"/>
            </v:line>
            <v:shape style="position:absolute;left:0;top:10643;width:2;height:207" coordorigin="0,10643" coordsize="0,207" path="m5707,522l5707,522m5707,316l5707,316e" filled="false" stroked="true" strokeweight=".5pt" strokecolor="#929292">
              <v:path arrowok="t"/>
            </v:shape>
            <v:line style="position:absolute" from="5707,522" to="5707,522" stroked="true" strokeweight=".5pt" strokecolor="#929292"/>
            <v:line style="position:absolute" from="5707,732" to="5707,537" stroked="true" strokeweight=".5pt" strokecolor="#929292">
              <v:stroke dashstyle="dash"/>
            </v:line>
            <v:shape style="position:absolute;left:0;top:10610;width:2;height:240" coordorigin="0,10610" coordsize="0,240" path="m5707,762l5707,762m5707,522l5707,522e" filled="false" stroked="true" strokeweight=".5pt" strokecolor="#929292">
              <v:path arrowok="t"/>
            </v:shape>
            <v:line style="position:absolute" from="5707,522" to="5707,522" stroked="true" strokeweight=".5pt" strokecolor="#929292"/>
            <v:line style="position:absolute" from="5707,762" to="5707,762" stroked="true" strokeweight=".5pt" strokecolor="#929292"/>
            <v:line style="position:absolute" from="5707,972" to="5707,777" stroked="true" strokeweight=".5pt" strokecolor="#929292">
              <v:stroke dashstyle="dash"/>
            </v:line>
            <v:shape style="position:absolute;left:0;top:10610;width:2;height:240" coordorigin="0,10610" coordsize="0,240" path="m5707,1002l5707,1002m5707,762l5707,762e" filled="false" stroked="true" strokeweight=".5pt" strokecolor="#929292">
              <v:path arrowok="t"/>
            </v:shape>
            <v:line style="position:absolute" from="5707,762" to="5707,762" stroked="true" strokeweight=".5pt" strokecolor="#929292"/>
            <v:line style="position:absolute" from="5707,1002" to="5707,1002" stroked="true" strokeweight=".5pt" strokecolor="#929292"/>
            <v:line style="position:absolute" from="5707,1242" to="5707,1242" stroked="true" strokeweight=".5pt" strokecolor="#929292"/>
            <v:line style="position:absolute" from="5707,1212" to="5707,1017" stroked="true" strokeweight=".5pt" strokecolor="#929292">
              <v:stroke dashstyle="dash"/>
            </v:line>
            <v:shape style="position:absolute;left:0;top:10610;width:2;height:240" coordorigin="0,10610" coordsize="0,240" path="m5707,1242l5707,1242m5707,1002l5707,1002e" filled="false" stroked="true" strokeweight=".5pt" strokecolor="#929292">
              <v:path arrowok="t"/>
            </v:shape>
            <v:line style="position:absolute" from="5707,1002" to="5707,1002" stroked="true" strokeweight=".5pt" strokecolor="#929292"/>
            <v:line style="position:absolute" from="5707,1242" to="5707,1242" stroked="true" strokeweight=".5pt" strokecolor="#929292"/>
            <w10:wrap type="none"/>
          </v:group>
        </w:pict>
      </w:r>
      <w:r>
        <w:rPr>
          <w:w w:val="100"/>
          <w:sz w:val="16"/>
          <w:shd w:fill="929292" w:color="auto" w:val="clear"/>
        </w:rPr>
        <w:t> </w:t>
      </w:r>
      <w:r>
        <w:rPr>
          <w:sz w:val="16"/>
          <w:shd w:fill="929292" w:color="auto" w:val="clear"/>
        </w:rPr>
        <w:tab/>
        <w:t>Cuadro 8. Procedencia de los</w:t>
      </w:r>
      <w:r>
        <w:rPr>
          <w:spacing w:val="31"/>
          <w:sz w:val="16"/>
          <w:shd w:fill="929292" w:color="auto" w:val="clear"/>
        </w:rPr>
        <w:t> </w:t>
      </w:r>
      <w:r>
        <w:rPr>
          <w:sz w:val="16"/>
          <w:shd w:fill="929292" w:color="auto" w:val="clear"/>
        </w:rPr>
        <w:t>entrevistados</w:t>
        <w:tab/>
      </w:r>
    </w:p>
    <w:p>
      <w:pPr>
        <w:tabs>
          <w:tab w:pos="2724" w:val="left" w:leader="none"/>
          <w:tab w:pos="3158" w:val="left" w:leader="none"/>
          <w:tab w:pos="4351" w:val="left" w:leader="none"/>
          <w:tab w:pos="5108" w:val="left" w:leader="none"/>
          <w:tab w:pos="6599" w:val="left" w:leader="none"/>
        </w:tabs>
        <w:spacing w:before="56"/>
        <w:ind w:left="145" w:right="0" w:firstLine="0"/>
        <w:jc w:val="center"/>
        <w:rPr>
          <w:sz w:val="16"/>
        </w:rPr>
      </w:pPr>
      <w:r>
        <w:rPr>
          <w:w w:val="100"/>
          <w:sz w:val="16"/>
          <w:u w:val="dotted" w:color="929292"/>
        </w:rPr>
        <w:t> </w:t>
      </w:r>
      <w:r>
        <w:rPr>
          <w:sz w:val="16"/>
          <w:u w:val="dotted" w:color="929292"/>
        </w:rPr>
        <w:t>   </w:t>
      </w:r>
      <w:r>
        <w:rPr>
          <w:spacing w:val="-6"/>
          <w:sz w:val="16"/>
          <w:u w:val="dotted" w:color="929292"/>
        </w:rPr>
        <w:t> </w:t>
      </w:r>
      <w:r>
        <w:rPr>
          <w:sz w:val="16"/>
          <w:u w:val="dotted" w:color="929292"/>
        </w:rPr>
        <w:t>Es originario de</w:t>
      </w:r>
      <w:r>
        <w:rPr>
          <w:spacing w:val="8"/>
          <w:sz w:val="16"/>
          <w:u w:val="dotted" w:color="929292"/>
        </w:rPr>
        <w:t> </w:t>
      </w:r>
      <w:r>
        <w:rPr>
          <w:sz w:val="16"/>
          <w:u w:val="dotted" w:color="929292"/>
        </w:rPr>
        <w:t>la</w:t>
      </w:r>
      <w:r>
        <w:rPr>
          <w:spacing w:val="2"/>
          <w:sz w:val="16"/>
          <w:u w:val="dotted" w:color="929292"/>
        </w:rPr>
        <w:t> </w:t>
      </w:r>
      <w:r>
        <w:rPr>
          <w:sz w:val="16"/>
          <w:u w:val="dotted" w:color="929292"/>
        </w:rPr>
        <w:t>comunidad</w:t>
        <w:tab/>
      </w:r>
      <w:r>
        <w:rPr>
          <w:sz w:val="16"/>
          <w:u w:val="dotted" w:color="929292"/>
        </w:rPr>
        <w:t> </w:t>
        <w:tab/>
        <w:t>Frecuencia</w:t>
        <w:tab/>
      </w:r>
      <w:r>
        <w:rPr>
          <w:sz w:val="16"/>
          <w:u w:val="dotted" w:color="929292"/>
        </w:rPr>
        <w:t> </w:t>
        <w:tab/>
        <w:t>Porcentaje</w:t>
        <w:tab/>
      </w:r>
    </w:p>
    <w:p>
      <w:pPr>
        <w:tabs>
          <w:tab w:pos="7230" w:val="left" w:leader="none"/>
        </w:tabs>
        <w:spacing w:line="20" w:lineRule="exact"/>
        <w:ind w:left="73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1355" w:val="left" w:leader="none"/>
          <w:tab w:pos="2724" w:val="left" w:leader="none"/>
          <w:tab w:pos="3419" w:val="left" w:leader="none"/>
          <w:tab w:pos="4351" w:val="left" w:leader="none"/>
          <w:tab w:pos="5336" w:val="left" w:leader="none"/>
          <w:tab w:pos="6599" w:val="left" w:leader="none"/>
        </w:tabs>
        <w:spacing w:before="36"/>
        <w:ind w:left="145" w:right="0" w:firstLine="0"/>
        <w:jc w:val="center"/>
        <w:rPr>
          <w:sz w:val="16"/>
        </w:rPr>
      </w:pPr>
      <w:r>
        <w:rPr>
          <w:w w:val="100"/>
          <w:sz w:val="16"/>
          <w:u w:val="dotted" w:color="929292"/>
        </w:rPr>
        <w:t> </w:t>
      </w:r>
      <w:r>
        <w:rPr>
          <w:sz w:val="16"/>
          <w:u w:val="dotted" w:color="929292"/>
        </w:rPr>
        <w:tab/>
        <w:t>Si</w:t>
        <w:tab/>
      </w:r>
      <w:r>
        <w:rPr>
          <w:sz w:val="16"/>
          <w:u w:val="dotted" w:color="929292"/>
        </w:rPr>
        <w:t> </w:t>
        <w:tab/>
        <w:t>104</w:t>
        <w:tab/>
      </w:r>
      <w:r>
        <w:rPr>
          <w:sz w:val="16"/>
          <w:u w:val="dotted" w:color="929292"/>
        </w:rPr>
        <w:t> </w:t>
        <w:tab/>
        <w:t>57.8</w:t>
        <w:tab/>
      </w:r>
    </w:p>
    <w:p>
      <w:pPr>
        <w:tabs>
          <w:tab w:pos="7230" w:val="left" w:leader="none"/>
        </w:tabs>
        <w:spacing w:line="20" w:lineRule="exact"/>
        <w:ind w:left="73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1320" w:val="left" w:leader="none"/>
          <w:tab w:pos="2724" w:val="left" w:leader="none"/>
          <w:tab w:pos="3463" w:val="left" w:leader="none"/>
          <w:tab w:pos="4351" w:val="left" w:leader="none"/>
          <w:tab w:pos="5336" w:val="left" w:leader="none"/>
          <w:tab w:pos="6599" w:val="left" w:leader="none"/>
        </w:tabs>
        <w:spacing w:before="36"/>
        <w:ind w:left="145" w:right="0" w:firstLine="0"/>
        <w:jc w:val="center"/>
        <w:rPr>
          <w:sz w:val="16"/>
        </w:rPr>
      </w:pPr>
      <w:r>
        <w:rPr>
          <w:w w:val="100"/>
          <w:sz w:val="16"/>
          <w:u w:val="dotted" w:color="929292"/>
        </w:rPr>
        <w:t> </w:t>
      </w:r>
      <w:r>
        <w:rPr>
          <w:sz w:val="16"/>
          <w:u w:val="dotted" w:color="929292"/>
        </w:rPr>
        <w:tab/>
        <w:t>No</w:t>
        <w:tab/>
      </w:r>
      <w:r>
        <w:rPr>
          <w:sz w:val="16"/>
          <w:u w:val="dotted" w:color="929292"/>
        </w:rPr>
        <w:t> </w:t>
        <w:tab/>
        <w:t>76</w:t>
        <w:tab/>
      </w:r>
      <w:r>
        <w:rPr>
          <w:sz w:val="16"/>
          <w:u w:val="dotted" w:color="929292"/>
        </w:rPr>
        <w:t> </w:t>
        <w:tab/>
        <w:t>42.2</w:t>
        <w:tab/>
      </w:r>
    </w:p>
    <w:p>
      <w:pPr>
        <w:tabs>
          <w:tab w:pos="7230" w:val="left" w:leader="none"/>
        </w:tabs>
        <w:spacing w:line="20" w:lineRule="exact"/>
        <w:ind w:left="73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tabs>
          <w:tab w:pos="1867" w:val="left" w:leader="none"/>
          <w:tab w:pos="3344" w:val="left" w:leader="none"/>
          <w:tab w:pos="4039" w:val="left" w:leader="none"/>
          <w:tab w:pos="4971" w:val="left" w:leader="none"/>
          <w:tab w:pos="5913" w:val="left" w:leader="none"/>
          <w:tab w:pos="7219" w:val="left" w:leader="none"/>
        </w:tabs>
        <w:spacing w:line="540" w:lineRule="auto" w:before="36"/>
        <w:ind w:left="766" w:right="618" w:firstLine="0"/>
        <w:jc w:val="center"/>
        <w:rPr>
          <w:sz w:val="16"/>
        </w:rPr>
      </w:pPr>
      <w:r>
        <w:rPr/>
        <w:pict>
          <v:line style="position:absolute;mso-position-horizontal-relative:page;mso-position-vertical-relative:paragraph;z-index:9280" from="72.800598pt,10.721294pt" to="72.800598pt,10.721294pt" stroked="true" strokeweight=".5pt" strokecolor="#929292">
            <w10:wrap type="none"/>
          </v:line>
        </w:pict>
      </w:r>
      <w:r>
        <w:rPr/>
        <w:pict>
          <v:line style="position:absolute;mso-position-horizontal-relative:page;mso-position-vertical-relative:paragraph;z-index:9304" from="397.75061pt,10.721294pt" to="397.75061pt,10.721294pt" stroked="true" strokeweight=".5pt" strokecolor="#929292">
            <w10:wrap type="none"/>
          </v:line>
        </w:pict>
      </w:r>
      <w:r>
        <w:rPr>
          <w:w w:val="100"/>
          <w:sz w:val="16"/>
          <w:u w:val="dotted" w:color="929292"/>
        </w:rPr>
        <w:t> </w:t>
      </w:r>
      <w:r>
        <w:rPr>
          <w:sz w:val="16"/>
          <w:u w:val="dotted" w:color="929292"/>
        </w:rPr>
        <w:tab/>
        <w:t>Total</w:t>
        <w:tab/>
      </w:r>
      <w:r>
        <w:rPr>
          <w:sz w:val="16"/>
          <w:u w:val="dotted" w:color="929292"/>
        </w:rPr>
        <w:t> 180</w:t>
        <w:tab/>
      </w:r>
      <w:r>
        <w:rPr>
          <w:sz w:val="16"/>
          <w:u w:val="dotted" w:color="929292"/>
        </w:rPr>
        <w:t> </w:t>
        <w:tab/>
        <w:t>100.0</w:t>
        <w:tab/>
      </w:r>
      <w:r>
        <w:rPr>
          <w:sz w:val="16"/>
        </w:rPr>
        <w:t> </w:t>
      </w:r>
      <w:r>
        <w:rPr>
          <w:color w:val="6D6E71"/>
          <w:sz w:val="16"/>
        </w:rPr>
        <w:t>Fuente: Elaboración propia,</w:t>
      </w:r>
      <w:r>
        <w:rPr>
          <w:color w:val="6D6E71"/>
          <w:spacing w:val="7"/>
          <w:sz w:val="16"/>
        </w:rPr>
        <w:t> </w:t>
      </w:r>
      <w:r>
        <w:rPr>
          <w:color w:val="6D6E71"/>
          <w:sz w:val="16"/>
        </w:rPr>
        <w:t>2015.</w:t>
      </w:r>
    </w:p>
    <w:p>
      <w:pPr>
        <w:spacing w:before="72"/>
        <w:ind w:left="130" w:right="0" w:firstLine="0"/>
        <w:jc w:val="center"/>
        <w:rPr>
          <w:sz w:val="16"/>
        </w:rPr>
      </w:pPr>
      <w:r>
        <w:rPr/>
        <w:drawing>
          <wp:anchor distT="0" distB="0" distL="0" distR="0" allowOverlap="1" layoutInCell="1" locked="0" behindDoc="1" simplePos="0" relativeHeight="267791999">
            <wp:simplePos x="0" y="0"/>
            <wp:positionH relativeFrom="page">
              <wp:posOffset>1730159</wp:posOffset>
            </wp:positionH>
            <wp:positionV relativeFrom="paragraph">
              <wp:posOffset>245722</wp:posOffset>
            </wp:positionV>
            <wp:extent cx="2515679" cy="1646999"/>
            <wp:effectExtent l="0" t="0" r="0" b="0"/>
            <wp:wrapNone/>
            <wp:docPr id="91" name="image64.png" descr=""/>
            <wp:cNvGraphicFramePr>
              <a:graphicFrameLocks noChangeAspect="1"/>
            </wp:cNvGraphicFramePr>
            <a:graphic>
              <a:graphicData uri="http://schemas.openxmlformats.org/drawingml/2006/picture">
                <pic:pic>
                  <pic:nvPicPr>
                    <pic:cNvPr id="92" name="image64.png"/>
                    <pic:cNvPicPr/>
                  </pic:nvPicPr>
                  <pic:blipFill>
                    <a:blip r:embed="rId232" cstate="print"/>
                    <a:stretch>
                      <a:fillRect/>
                    </a:stretch>
                  </pic:blipFill>
                  <pic:spPr>
                    <a:xfrm>
                      <a:off x="0" y="0"/>
                      <a:ext cx="2515679" cy="1646999"/>
                    </a:xfrm>
                    <a:prstGeom prst="rect">
                      <a:avLst/>
                    </a:prstGeom>
                  </pic:spPr>
                </pic:pic>
              </a:graphicData>
            </a:graphic>
          </wp:anchor>
        </w:drawing>
      </w:r>
      <w:r>
        <w:rPr>
          <w:color w:val="6D6E71"/>
          <w:sz w:val="16"/>
        </w:rPr>
        <w:t>Gráfica 13. Origen de los entrevistados</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before="120"/>
        <w:ind w:left="130" w:right="0" w:firstLine="0"/>
        <w:jc w:val="center"/>
        <w:rPr>
          <w:sz w:val="16"/>
        </w:rPr>
      </w:pPr>
      <w:r>
        <w:rPr>
          <w:color w:val="6D6E71"/>
          <w:sz w:val="16"/>
        </w:rPr>
        <w:t>Fuente: Elaboración propia, 2015.</w:t>
      </w:r>
    </w:p>
    <w:p>
      <w:pPr>
        <w:pStyle w:val="BodyText"/>
        <w:rPr>
          <w:sz w:val="16"/>
        </w:rPr>
      </w:pPr>
    </w:p>
    <w:p>
      <w:pPr>
        <w:pStyle w:val="BodyText"/>
        <w:spacing w:before="4"/>
        <w:rPr>
          <w:sz w:val="22"/>
        </w:rPr>
      </w:pPr>
    </w:p>
    <w:p>
      <w:pPr>
        <w:pStyle w:val="BodyText"/>
        <w:spacing w:line="216" w:lineRule="exact"/>
        <w:ind w:left="130" w:firstLine="567"/>
        <w:jc w:val="both"/>
      </w:pPr>
      <w:r>
        <w:rPr/>
        <w:t>En</w:t>
      </w:r>
      <w:r>
        <w:rPr>
          <w:spacing w:val="-9"/>
        </w:rPr>
        <w:t> </w:t>
      </w:r>
      <w:r>
        <w:rPr/>
        <w:t>el</w:t>
      </w:r>
      <w:r>
        <w:rPr>
          <w:spacing w:val="-9"/>
        </w:rPr>
        <w:t> </w:t>
      </w:r>
      <w:r>
        <w:rPr/>
        <w:t>cuadro</w:t>
      </w:r>
      <w:r>
        <w:rPr>
          <w:spacing w:val="-9"/>
        </w:rPr>
        <w:t> </w:t>
      </w:r>
      <w:r>
        <w:rPr/>
        <w:t>9</w:t>
      </w:r>
      <w:r>
        <w:rPr>
          <w:spacing w:val="-9"/>
        </w:rPr>
        <w:t> </w:t>
      </w:r>
      <w:r>
        <w:rPr/>
        <w:t>y</w:t>
      </w:r>
      <w:r>
        <w:rPr>
          <w:spacing w:val="-9"/>
        </w:rPr>
        <w:t> </w:t>
      </w:r>
      <w:r>
        <w:rPr/>
        <w:t>gráfica</w:t>
      </w:r>
      <w:r>
        <w:rPr>
          <w:spacing w:val="-9"/>
        </w:rPr>
        <w:t> </w:t>
      </w:r>
      <w:r>
        <w:rPr/>
        <w:t>14</w:t>
      </w:r>
      <w:r>
        <w:rPr>
          <w:spacing w:val="-9"/>
        </w:rPr>
        <w:t> </w:t>
      </w:r>
      <w:r>
        <w:rPr/>
        <w:t>se</w:t>
      </w:r>
      <w:r>
        <w:rPr>
          <w:spacing w:val="-9"/>
        </w:rPr>
        <w:t> </w:t>
      </w:r>
      <w:r>
        <w:rPr/>
        <w:t>observan</w:t>
      </w:r>
      <w:r>
        <w:rPr>
          <w:spacing w:val="-9"/>
        </w:rPr>
        <w:t> </w:t>
      </w:r>
      <w:r>
        <w:rPr/>
        <w:t>los</w:t>
      </w:r>
      <w:r>
        <w:rPr>
          <w:spacing w:val="-9"/>
        </w:rPr>
        <w:t> </w:t>
      </w:r>
      <w:r>
        <w:rPr/>
        <w:t>gustos</w:t>
      </w:r>
      <w:r>
        <w:rPr>
          <w:spacing w:val="-9"/>
        </w:rPr>
        <w:t> </w:t>
      </w:r>
      <w:r>
        <w:rPr/>
        <w:t>de</w:t>
      </w:r>
      <w:r>
        <w:rPr>
          <w:spacing w:val="-9"/>
        </w:rPr>
        <w:t> </w:t>
      </w:r>
      <w:r>
        <w:rPr/>
        <w:t>los</w:t>
      </w:r>
      <w:r>
        <w:rPr>
          <w:spacing w:val="-9"/>
        </w:rPr>
        <w:t> </w:t>
      </w:r>
      <w:r>
        <w:rPr/>
        <w:t>entrevistados</w:t>
      </w:r>
      <w:r>
        <w:rPr>
          <w:spacing w:val="-9"/>
        </w:rPr>
        <w:t> </w:t>
      </w:r>
      <w:r>
        <w:rPr/>
        <w:t>por</w:t>
      </w:r>
      <w:r>
        <w:rPr>
          <w:spacing w:val="-9"/>
        </w:rPr>
        <w:t> </w:t>
      </w:r>
      <w:r>
        <w:rPr/>
        <w:t>su</w:t>
      </w:r>
      <w:r>
        <w:rPr>
          <w:spacing w:val="-9"/>
        </w:rPr>
        <w:t> </w:t>
      </w:r>
      <w:r>
        <w:rPr/>
        <w:t>co- munidad,</w:t>
      </w:r>
      <w:r>
        <w:rPr>
          <w:spacing w:val="-4"/>
        </w:rPr>
        <w:t> </w:t>
      </w:r>
      <w:r>
        <w:rPr/>
        <w:t>siendo</w:t>
      </w:r>
      <w:r>
        <w:rPr>
          <w:spacing w:val="-4"/>
        </w:rPr>
        <w:t> </w:t>
      </w:r>
      <w:r>
        <w:rPr/>
        <w:t>el</w:t>
      </w:r>
      <w:r>
        <w:rPr>
          <w:spacing w:val="-4"/>
        </w:rPr>
        <w:t> </w:t>
      </w:r>
      <w:r>
        <w:rPr/>
        <w:t>clima</w:t>
      </w:r>
      <w:r>
        <w:rPr>
          <w:spacing w:val="-4"/>
        </w:rPr>
        <w:t> </w:t>
      </w:r>
      <w:r>
        <w:rPr/>
        <w:t>favorable</w:t>
      </w:r>
      <w:r>
        <w:rPr>
          <w:spacing w:val="-5"/>
        </w:rPr>
        <w:t> </w:t>
      </w:r>
      <w:r>
        <w:rPr/>
        <w:t>lo</w:t>
      </w:r>
      <w:r>
        <w:rPr>
          <w:spacing w:val="-4"/>
        </w:rPr>
        <w:t> </w:t>
      </w:r>
      <w:r>
        <w:rPr/>
        <w:t>que</w:t>
      </w:r>
      <w:r>
        <w:rPr>
          <w:spacing w:val="-4"/>
        </w:rPr>
        <w:t> </w:t>
      </w:r>
      <w:r>
        <w:rPr/>
        <w:t>más</w:t>
      </w:r>
      <w:r>
        <w:rPr>
          <w:spacing w:val="-4"/>
        </w:rPr>
        <w:t> </w:t>
      </w:r>
      <w:r>
        <w:rPr/>
        <w:t>les</w:t>
      </w:r>
      <w:r>
        <w:rPr>
          <w:spacing w:val="-4"/>
        </w:rPr>
        <w:t> </w:t>
      </w:r>
      <w:r>
        <w:rPr/>
        <w:t>agrada</w:t>
      </w:r>
      <w:r>
        <w:rPr>
          <w:spacing w:val="-4"/>
        </w:rPr>
        <w:t> </w:t>
      </w:r>
      <w:r>
        <w:rPr/>
        <w:t>a</w:t>
      </w:r>
      <w:r>
        <w:rPr>
          <w:spacing w:val="-4"/>
        </w:rPr>
        <w:t> </w:t>
      </w:r>
      <w:r>
        <w:rPr/>
        <w:t>las</w:t>
      </w:r>
      <w:r>
        <w:rPr>
          <w:spacing w:val="-4"/>
        </w:rPr>
        <w:t> </w:t>
      </w:r>
      <w:r>
        <w:rPr/>
        <w:t>personas.</w:t>
      </w:r>
      <w:r>
        <w:rPr>
          <w:spacing w:val="-4"/>
        </w:rPr>
        <w:t> </w:t>
      </w:r>
      <w:r>
        <w:rPr/>
        <w:t>Esto</w:t>
      </w:r>
      <w:r>
        <w:rPr>
          <w:spacing w:val="-4"/>
        </w:rPr>
        <w:t> </w:t>
      </w:r>
      <w:r>
        <w:rPr/>
        <w:t>se</w:t>
      </w:r>
      <w:r>
        <w:rPr>
          <w:spacing w:val="-4"/>
        </w:rPr>
        <w:t> </w:t>
      </w:r>
      <w:r>
        <w:rPr/>
        <w:t>debe al clima cálido subhúmedo benigno que prevalece en estos</w:t>
      </w:r>
      <w:r>
        <w:rPr>
          <w:spacing w:val="-25"/>
        </w:rPr>
        <w:t> </w:t>
      </w:r>
      <w:r>
        <w:rPr/>
        <w:t>municipios.</w:t>
      </w:r>
    </w:p>
    <w:p>
      <w:pPr>
        <w:pStyle w:val="BodyText"/>
      </w:pPr>
    </w:p>
    <w:p>
      <w:pPr>
        <w:spacing w:before="176"/>
        <w:ind w:left="130" w:right="0" w:firstLine="0"/>
        <w:jc w:val="center"/>
        <w:rPr>
          <w:sz w:val="16"/>
        </w:rPr>
      </w:pPr>
      <w:r>
        <w:rPr/>
        <w:pict>
          <v:line style="position:absolute;mso-position-horizontal-relative:page;mso-position-vertical-relative:paragraph;z-index:-643432" from="76.900597pt,46.20311pt" to="76.900597pt,46.20311pt" stroked="true" strokeweight=".5pt" strokecolor="#929292">
            <w10:wrap type="none"/>
          </v:line>
        </w:pict>
      </w:r>
      <w:r>
        <w:rPr/>
        <w:pict>
          <v:line style="position:absolute;mso-position-horizontal-relative:page;mso-position-vertical-relative:paragraph;z-index:-643408" from="393.650604pt,46.20311pt" to="393.650604pt,46.20311pt" stroked="true" strokeweight=".5pt" strokecolor="#929292">
            <w10:wrap type="none"/>
          </v:line>
        </w:pict>
      </w:r>
      <w:r>
        <w:rPr>
          <w:color w:val="6D6E71"/>
          <w:sz w:val="16"/>
        </w:rPr>
        <w:t>Cuadro 9. Qué le gusta de su comunidad</w:t>
      </w:r>
    </w:p>
    <w:p>
      <w:pPr>
        <w:pStyle w:val="BodyText"/>
        <w:spacing w:before="10"/>
        <w:rPr>
          <w:sz w:val="8"/>
        </w:rPr>
      </w:pPr>
    </w:p>
    <w:tbl>
      <w:tblPr>
        <w:tblW w:w="0" w:type="auto"/>
        <w:jc w:val="left"/>
        <w:tblInd w:w="8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20"/>
        <w:gridCol w:w="2325"/>
      </w:tblGrid>
      <w:tr>
        <w:trPr>
          <w:trHeight w:val="259" w:hRule="exact"/>
        </w:trPr>
        <w:tc>
          <w:tcPr>
            <w:tcW w:w="4020" w:type="dxa"/>
            <w:tcBorders>
              <w:right w:val="single" w:sz="4" w:space="0" w:color="FFFFFF"/>
            </w:tcBorders>
            <w:shd w:val="clear" w:color="auto" w:fill="929292"/>
          </w:tcPr>
          <w:p>
            <w:pPr>
              <w:pStyle w:val="TableParagraph"/>
              <w:spacing w:before="14"/>
              <w:ind w:left="1231"/>
              <w:rPr>
                <w:sz w:val="20"/>
              </w:rPr>
            </w:pPr>
            <w:r>
              <w:rPr>
                <w:sz w:val="20"/>
              </w:rPr>
              <w:t>Gusto por la comunidad</w:t>
            </w:r>
          </w:p>
        </w:tc>
        <w:tc>
          <w:tcPr>
            <w:tcW w:w="2325" w:type="dxa"/>
            <w:tcBorders>
              <w:left w:val="single" w:sz="4" w:space="0" w:color="FFFFFF"/>
            </w:tcBorders>
            <w:shd w:val="clear" w:color="auto" w:fill="929292"/>
          </w:tcPr>
          <w:p>
            <w:pPr>
              <w:pStyle w:val="TableParagraph"/>
              <w:spacing w:before="14"/>
              <w:ind w:left="958"/>
              <w:rPr>
                <w:sz w:val="20"/>
              </w:rPr>
            </w:pPr>
            <w:r>
              <w:rPr>
                <w:sz w:val="20"/>
              </w:rPr>
              <w:t>Respuestas</w:t>
            </w:r>
          </w:p>
        </w:tc>
      </w:tr>
      <w:tr>
        <w:trPr>
          <w:trHeight w:val="213" w:hRule="exact"/>
        </w:trPr>
        <w:tc>
          <w:tcPr>
            <w:tcW w:w="4020" w:type="dxa"/>
            <w:tcBorders>
              <w:right w:val="single" w:sz="4" w:space="0" w:color="929292"/>
            </w:tcBorders>
          </w:tcPr>
          <w:p>
            <w:pPr>
              <w:pStyle w:val="TableParagraph"/>
              <w:tabs>
                <w:tab w:pos="1563" w:val="left" w:leader="none"/>
                <w:tab w:pos="3969" w:val="left" w:leader="none"/>
              </w:tabs>
              <w:spacing w:line="216" w:lineRule="exact"/>
              <w:ind w:right="8"/>
              <w:jc w:val="right"/>
              <w:rPr>
                <w:sz w:val="20"/>
              </w:rPr>
            </w:pPr>
            <w:r>
              <w:rPr>
                <w:sz w:val="20"/>
                <w:u w:val="dotted" w:color="929292"/>
              </w:rPr>
              <w:t> </w:t>
              <w:tab/>
              <w:t>Clima</w:t>
            </w:r>
            <w:r>
              <w:rPr>
                <w:spacing w:val="-5"/>
                <w:sz w:val="20"/>
                <w:u w:val="dotted" w:color="929292"/>
              </w:rPr>
              <w:t> </w:t>
            </w:r>
            <w:r>
              <w:rPr>
                <w:sz w:val="20"/>
                <w:u w:val="dotted" w:color="929292"/>
              </w:rPr>
              <w:t>favorable</w:t>
              <w:tab/>
            </w:r>
          </w:p>
        </w:tc>
        <w:tc>
          <w:tcPr>
            <w:tcW w:w="2325" w:type="dxa"/>
            <w:tcBorders>
              <w:left w:val="single" w:sz="4" w:space="0" w:color="929292"/>
            </w:tcBorders>
          </w:tcPr>
          <w:p>
            <w:pPr>
              <w:pStyle w:val="TableParagraph"/>
              <w:tabs>
                <w:tab w:pos="1304" w:val="left" w:leader="none"/>
                <w:tab w:pos="2274" w:val="left" w:leader="none"/>
              </w:tabs>
              <w:spacing w:line="216" w:lineRule="exact"/>
              <w:ind w:right="18"/>
              <w:jc w:val="right"/>
              <w:rPr>
                <w:sz w:val="20"/>
              </w:rPr>
            </w:pPr>
            <w:r>
              <w:rPr>
                <w:sz w:val="20"/>
                <w:u w:val="dotted" w:color="929292"/>
              </w:rPr>
              <w:t> </w:t>
              <w:tab/>
            </w:r>
            <w:r>
              <w:rPr>
                <w:spacing w:val="-1"/>
                <w:sz w:val="20"/>
                <w:u w:val="dotted" w:color="929292"/>
              </w:rPr>
              <w:t>72</w:t>
              <w:tab/>
            </w:r>
          </w:p>
        </w:tc>
      </w:tr>
      <w:tr>
        <w:trPr>
          <w:trHeight w:val="202" w:hRule="exact"/>
        </w:trPr>
        <w:tc>
          <w:tcPr>
            <w:tcW w:w="4020" w:type="dxa"/>
            <w:tcBorders>
              <w:right w:val="single" w:sz="4" w:space="0" w:color="929292"/>
            </w:tcBorders>
          </w:tcPr>
          <w:p>
            <w:pPr>
              <w:pStyle w:val="TableParagraph"/>
              <w:tabs>
                <w:tab w:pos="1711" w:val="left" w:leader="none"/>
                <w:tab w:pos="3969" w:val="left" w:leader="none"/>
              </w:tabs>
              <w:spacing w:line="206" w:lineRule="exact"/>
              <w:ind w:right="8"/>
              <w:jc w:val="right"/>
              <w:rPr>
                <w:sz w:val="20"/>
              </w:rPr>
            </w:pPr>
            <w:r>
              <w:rPr>
                <w:sz w:val="20"/>
                <w:u w:val="dotted" w:color="929292"/>
              </w:rPr>
              <w:t> </w:t>
              <w:tab/>
            </w:r>
            <w:r>
              <w:rPr>
                <w:spacing w:val="-1"/>
                <w:sz w:val="20"/>
                <w:u w:val="dotted" w:color="929292"/>
              </w:rPr>
              <w:t>Tranquilidad</w:t>
              <w:tab/>
            </w:r>
          </w:p>
        </w:tc>
        <w:tc>
          <w:tcPr>
            <w:tcW w:w="2325" w:type="dxa"/>
            <w:tcBorders>
              <w:left w:val="single" w:sz="4" w:space="0" w:color="929292"/>
            </w:tcBorders>
          </w:tcPr>
          <w:p>
            <w:pPr>
              <w:pStyle w:val="TableParagraph"/>
              <w:tabs>
                <w:tab w:pos="1304" w:val="left" w:leader="none"/>
                <w:tab w:pos="2274" w:val="left" w:leader="none"/>
              </w:tabs>
              <w:spacing w:line="206" w:lineRule="exact"/>
              <w:ind w:right="18"/>
              <w:jc w:val="right"/>
              <w:rPr>
                <w:sz w:val="20"/>
              </w:rPr>
            </w:pPr>
            <w:r>
              <w:rPr>
                <w:sz w:val="20"/>
                <w:u w:val="dotted" w:color="929292"/>
              </w:rPr>
              <w:t> </w:t>
              <w:tab/>
            </w:r>
            <w:r>
              <w:rPr>
                <w:spacing w:val="-1"/>
                <w:sz w:val="20"/>
                <w:u w:val="dotted" w:color="929292"/>
              </w:rPr>
              <w:t>58</w:t>
              <w:tab/>
            </w:r>
          </w:p>
        </w:tc>
      </w:tr>
      <w:tr>
        <w:trPr>
          <w:trHeight w:val="202" w:hRule="exact"/>
        </w:trPr>
        <w:tc>
          <w:tcPr>
            <w:tcW w:w="4020" w:type="dxa"/>
            <w:tcBorders>
              <w:right w:val="single" w:sz="4" w:space="0" w:color="929292"/>
            </w:tcBorders>
          </w:tcPr>
          <w:p>
            <w:pPr>
              <w:pStyle w:val="TableParagraph"/>
              <w:tabs>
                <w:tab w:pos="1396" w:val="left" w:leader="none"/>
                <w:tab w:pos="3969" w:val="left" w:leader="none"/>
              </w:tabs>
              <w:spacing w:line="206" w:lineRule="exact"/>
              <w:ind w:right="8"/>
              <w:jc w:val="right"/>
              <w:rPr>
                <w:sz w:val="20"/>
              </w:rPr>
            </w:pPr>
            <w:r>
              <w:rPr>
                <w:sz w:val="20"/>
                <w:u w:val="dotted" w:color="929292"/>
              </w:rPr>
              <w:t> </w:t>
              <w:tab/>
              <w:t>Recursos</w:t>
            </w:r>
            <w:r>
              <w:rPr>
                <w:spacing w:val="-15"/>
                <w:sz w:val="20"/>
                <w:u w:val="dotted" w:color="929292"/>
              </w:rPr>
              <w:t> </w:t>
            </w:r>
            <w:r>
              <w:rPr>
                <w:sz w:val="20"/>
                <w:u w:val="dotted" w:color="929292"/>
              </w:rPr>
              <w:t>naturales</w:t>
              <w:tab/>
            </w:r>
          </w:p>
        </w:tc>
        <w:tc>
          <w:tcPr>
            <w:tcW w:w="2325" w:type="dxa"/>
            <w:tcBorders>
              <w:left w:val="single" w:sz="4" w:space="0" w:color="929292"/>
            </w:tcBorders>
          </w:tcPr>
          <w:p>
            <w:pPr>
              <w:pStyle w:val="TableParagraph"/>
              <w:tabs>
                <w:tab w:pos="1304" w:val="left" w:leader="none"/>
                <w:tab w:pos="2274" w:val="left" w:leader="none"/>
              </w:tabs>
              <w:spacing w:line="206" w:lineRule="exact"/>
              <w:ind w:right="18"/>
              <w:jc w:val="right"/>
              <w:rPr>
                <w:sz w:val="20"/>
              </w:rPr>
            </w:pPr>
            <w:r>
              <w:rPr>
                <w:sz w:val="20"/>
                <w:u w:val="dotted" w:color="929292"/>
              </w:rPr>
              <w:t> </w:t>
              <w:tab/>
            </w:r>
            <w:r>
              <w:rPr>
                <w:spacing w:val="-1"/>
                <w:sz w:val="20"/>
                <w:u w:val="dotted" w:color="929292"/>
              </w:rPr>
              <w:t>53</w:t>
              <w:tab/>
            </w:r>
          </w:p>
        </w:tc>
      </w:tr>
      <w:tr>
        <w:trPr>
          <w:trHeight w:val="163" w:hRule="exact"/>
        </w:trPr>
        <w:tc>
          <w:tcPr>
            <w:tcW w:w="4020" w:type="dxa"/>
            <w:tcBorders>
              <w:right w:val="single" w:sz="4" w:space="0" w:color="929292"/>
            </w:tcBorders>
          </w:tcPr>
          <w:p>
            <w:pPr>
              <w:pStyle w:val="TableParagraph"/>
              <w:tabs>
                <w:tab w:pos="1246" w:val="left" w:leader="none"/>
                <w:tab w:pos="3969" w:val="left" w:leader="none"/>
              </w:tabs>
              <w:spacing w:line="203" w:lineRule="exact"/>
              <w:ind w:right="8"/>
              <w:jc w:val="right"/>
              <w:rPr>
                <w:sz w:val="20"/>
              </w:rPr>
            </w:pPr>
            <w:r>
              <w:rPr>
                <w:sz w:val="20"/>
                <w:u w:val="dotted" w:color="929292"/>
              </w:rPr>
              <w:t> </w:t>
              <w:tab/>
              <w:t>Disponibilidad de</w:t>
            </w:r>
            <w:r>
              <w:rPr>
                <w:spacing w:val="-17"/>
                <w:sz w:val="20"/>
                <w:u w:val="dotted" w:color="929292"/>
              </w:rPr>
              <w:t> </w:t>
            </w:r>
            <w:r>
              <w:rPr>
                <w:sz w:val="20"/>
                <w:u w:val="dotted" w:color="929292"/>
              </w:rPr>
              <w:t>agua</w:t>
              <w:tab/>
            </w:r>
          </w:p>
        </w:tc>
        <w:tc>
          <w:tcPr>
            <w:tcW w:w="2325" w:type="dxa"/>
            <w:tcBorders>
              <w:left w:val="single" w:sz="4" w:space="0" w:color="929292"/>
            </w:tcBorders>
          </w:tcPr>
          <w:p>
            <w:pPr>
              <w:pStyle w:val="TableParagraph"/>
              <w:tabs>
                <w:tab w:pos="1304" w:val="left" w:leader="none"/>
                <w:tab w:pos="2274" w:val="left" w:leader="none"/>
              </w:tabs>
              <w:spacing w:line="203" w:lineRule="exact"/>
              <w:ind w:right="18"/>
              <w:jc w:val="right"/>
              <w:rPr>
                <w:sz w:val="20"/>
              </w:rPr>
            </w:pPr>
            <w:r>
              <w:rPr>
                <w:sz w:val="20"/>
                <w:u w:val="dotted" w:color="929292"/>
              </w:rPr>
              <w:t> </w:t>
              <w:tab/>
            </w:r>
            <w:r>
              <w:rPr>
                <w:spacing w:val="-1"/>
                <w:sz w:val="20"/>
                <w:u w:val="dotted" w:color="929292"/>
              </w:rPr>
              <w:t>25</w:t>
              <w:tab/>
            </w:r>
          </w:p>
        </w:tc>
      </w:tr>
    </w:tbl>
    <w:p>
      <w:pPr>
        <w:spacing w:before="114"/>
        <w:ind w:left="130" w:right="0" w:firstLine="0"/>
        <w:jc w:val="center"/>
        <w:rPr>
          <w:sz w:val="16"/>
        </w:rPr>
      </w:pPr>
      <w:r>
        <w:rPr/>
        <w:pict>
          <v:line style="position:absolute;mso-position-horizontal-relative:page;mso-position-vertical-relative:paragraph;z-index:-643384" from="76.900597pt,-18.781992pt" to="76.900597pt,-18.781992pt" stroked="true" strokeweight=".5pt" strokecolor="#929292">
            <w10:wrap type="none"/>
          </v:line>
        </w:pict>
      </w:r>
      <w:r>
        <w:rPr/>
        <w:pict>
          <v:line style="position:absolute;mso-position-horizontal-relative:page;mso-position-vertical-relative:paragraph;z-index:-643360" from="393.650604pt,-18.781992pt" to="393.650604pt,-18.781992pt" stroked="true" strokeweight=".5pt" strokecolor="#929292">
            <w10:wrap type="none"/>
          </v:line>
        </w:pict>
      </w:r>
      <w:r>
        <w:rPr/>
        <w:pict>
          <v:line style="position:absolute;mso-position-horizontal-relative:page;mso-position-vertical-relative:paragraph;z-index:-643336" from="76.900597pt,-8.667092pt" to="76.900597pt,-8.667092pt" stroked="true" strokeweight=".5pt" strokecolor="#929292">
            <w10:wrap type="none"/>
          </v:line>
        </w:pict>
      </w:r>
      <w:r>
        <w:rPr/>
        <w:pict>
          <v:line style="position:absolute;mso-position-horizontal-relative:page;mso-position-vertical-relative:paragraph;z-index:-643312" from="393.650604pt,-8.667092pt" to="393.650604pt,-8.667092pt" stroked="true" strokeweight=".5pt" strokecolor="#929292">
            <w10:wrap type="none"/>
          </v:line>
        </w:pict>
      </w:r>
      <w:r>
        <w:rPr>
          <w:color w:val="6D6E71"/>
          <w:sz w:val="16"/>
        </w:rPr>
        <w:t>Fuente: Elaboración propia, 2015.</w:t>
      </w:r>
    </w:p>
    <w:p>
      <w:pPr>
        <w:spacing w:before="112"/>
        <w:ind w:left="514" w:right="514" w:firstLine="0"/>
        <w:jc w:val="center"/>
        <w:rPr>
          <w:sz w:val="16"/>
        </w:rPr>
      </w:pPr>
      <w:r>
        <w:rPr/>
        <w:br w:type="column"/>
      </w:r>
      <w:r>
        <w:rPr>
          <w:color w:val="6D6E71"/>
          <w:sz w:val="16"/>
        </w:rPr>
        <w:t>Gráfica 14. Gusto por la comunidad</w:t>
      </w:r>
    </w:p>
    <w:p>
      <w:pPr>
        <w:pStyle w:val="BodyText"/>
        <w:spacing w:before="8"/>
        <w:rPr>
          <w:sz w:val="5"/>
        </w:rPr>
      </w:pPr>
    </w:p>
    <w:p>
      <w:pPr>
        <w:pStyle w:val="BodyText"/>
        <w:ind w:left="1642"/>
      </w:pPr>
      <w:r>
        <w:rPr/>
        <w:drawing>
          <wp:inline distT="0" distB="0" distL="0" distR="0">
            <wp:extent cx="2976907" cy="1297590"/>
            <wp:effectExtent l="0" t="0" r="0" b="0"/>
            <wp:docPr id="93" name="image65.jpeg" descr=""/>
            <wp:cNvGraphicFramePr>
              <a:graphicFrameLocks noChangeAspect="1"/>
            </wp:cNvGraphicFramePr>
            <a:graphic>
              <a:graphicData uri="http://schemas.openxmlformats.org/drawingml/2006/picture">
                <pic:pic>
                  <pic:nvPicPr>
                    <pic:cNvPr id="94" name="image65.jpeg"/>
                    <pic:cNvPicPr/>
                  </pic:nvPicPr>
                  <pic:blipFill>
                    <a:blip r:embed="rId233" cstate="print"/>
                    <a:stretch>
                      <a:fillRect/>
                    </a:stretch>
                  </pic:blipFill>
                  <pic:spPr>
                    <a:xfrm>
                      <a:off x="0" y="0"/>
                      <a:ext cx="2976907" cy="1297590"/>
                    </a:xfrm>
                    <a:prstGeom prst="rect">
                      <a:avLst/>
                    </a:prstGeom>
                  </pic:spPr>
                </pic:pic>
              </a:graphicData>
            </a:graphic>
          </wp:inline>
        </w:drawing>
      </w:r>
      <w:r>
        <w:rPr/>
      </w:r>
    </w:p>
    <w:p>
      <w:pPr>
        <w:spacing w:before="106"/>
        <w:ind w:left="514" w:right="514" w:firstLine="0"/>
        <w:jc w:val="center"/>
        <w:rPr>
          <w:sz w:val="16"/>
        </w:rPr>
      </w:pPr>
      <w:r>
        <w:rPr>
          <w:color w:val="6D6E71"/>
          <w:sz w:val="16"/>
        </w:rPr>
        <w:t>Fuente: Elaboración propia, 2015.</w:t>
      </w:r>
    </w:p>
    <w:p>
      <w:pPr>
        <w:pStyle w:val="BodyText"/>
        <w:spacing w:before="5"/>
        <w:rPr>
          <w:sz w:val="22"/>
        </w:rPr>
      </w:pPr>
    </w:p>
    <w:p>
      <w:pPr>
        <w:pStyle w:val="BodyText"/>
        <w:spacing w:line="249" w:lineRule="auto"/>
        <w:ind w:left="130" w:right="128" w:firstLine="170"/>
        <w:jc w:val="both"/>
      </w:pPr>
      <w:r>
        <w:rPr/>
        <w:t>En el cuadro 10 y gráfica 15 se muestra el número de años que los entrevistados tienen de vivir en las localidades, la mitad las personas viven en estos municipios hace 27 a 50 años. Esto puede deberse a que la mayoría son originarios de la comunidad.</w:t>
      </w:r>
    </w:p>
    <w:p>
      <w:pPr>
        <w:pStyle w:val="BodyText"/>
        <w:spacing w:before="2"/>
        <w:rPr>
          <w:sz w:val="24"/>
        </w:rPr>
      </w:pPr>
    </w:p>
    <w:p>
      <w:pPr>
        <w:spacing w:before="0"/>
        <w:ind w:left="514" w:right="514" w:firstLine="0"/>
        <w:jc w:val="center"/>
        <w:rPr>
          <w:sz w:val="16"/>
        </w:rPr>
      </w:pPr>
      <w:r>
        <w:rPr/>
        <w:pict>
          <v:line style="position:absolute;mso-position-horizontal-relative:page;mso-position-vertical-relative:paragraph;z-index:-643288" from="543.351685pt,52.550491pt" to="543.351685pt,52.550491pt" stroked="true" strokeweight=".5pt" strokecolor="#929292">
            <w10:wrap type="none"/>
          </v:line>
        </w:pict>
      </w:r>
      <w:r>
        <w:rPr/>
        <w:pict>
          <v:line style="position:absolute;mso-position-horizontal-relative:page;mso-position-vertical-relative:paragraph;z-index:-643264" from="868.301697pt,52.550491pt" to="868.301697pt,52.550491pt" stroked="true" strokeweight=".5pt" strokecolor="#929292">
            <w10:wrap type="none"/>
          </v:line>
        </w:pict>
      </w:r>
      <w:r>
        <w:rPr/>
        <w:pict>
          <v:line style="position:absolute;mso-position-horizontal-relative:page;mso-position-vertical-relative:paragraph;z-index:-643240" from="543.351685pt,61.097092pt" to="543.351685pt,61.097092pt" stroked="true" strokeweight=".5pt" strokecolor="#929292">
            <w10:wrap type="none"/>
          </v:line>
        </w:pict>
      </w:r>
      <w:r>
        <w:rPr/>
        <w:pict>
          <v:line style="position:absolute;mso-position-horizontal-relative:page;mso-position-vertical-relative:paragraph;z-index:-643216" from="868.301697pt,61.097092pt" to="868.301697pt,61.097092pt" stroked="true" strokeweight=".5pt" strokecolor="#929292">
            <w10:wrap type="none"/>
          </v:line>
        </w:pict>
      </w:r>
      <w:r>
        <w:rPr>
          <w:color w:val="6D6E71"/>
          <w:sz w:val="16"/>
        </w:rPr>
        <w:t>Cuadro 10. Años viviendo en la comunidad</w:t>
      </w:r>
    </w:p>
    <w:p>
      <w:pPr>
        <w:pStyle w:val="BodyText"/>
        <w:spacing w:before="10"/>
        <w:rPr>
          <w:sz w:val="8"/>
        </w:rPr>
      </w:pPr>
    </w:p>
    <w:tbl>
      <w:tblPr>
        <w:tblW w:w="0" w:type="auto"/>
        <w:jc w:val="left"/>
        <w:tblInd w:w="7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30"/>
        <w:gridCol w:w="1627"/>
        <w:gridCol w:w="2252"/>
      </w:tblGrid>
      <w:tr>
        <w:trPr>
          <w:trHeight w:val="343" w:hRule="exact"/>
        </w:trPr>
        <w:tc>
          <w:tcPr>
            <w:tcW w:w="2630" w:type="dxa"/>
            <w:tcBorders>
              <w:right w:val="single" w:sz="4" w:space="0" w:color="FFFFFF"/>
            </w:tcBorders>
            <w:shd w:val="clear" w:color="auto" w:fill="929292"/>
          </w:tcPr>
          <w:p>
            <w:pPr>
              <w:pStyle w:val="TableParagraph"/>
              <w:spacing w:before="21"/>
              <w:ind w:left="4"/>
              <w:jc w:val="center"/>
              <w:rPr>
                <w:sz w:val="16"/>
              </w:rPr>
            </w:pPr>
            <w:r>
              <w:rPr>
                <w:sz w:val="16"/>
              </w:rPr>
              <w:t>Años</w:t>
            </w:r>
          </w:p>
        </w:tc>
        <w:tc>
          <w:tcPr>
            <w:tcW w:w="1627" w:type="dxa"/>
            <w:tcBorders>
              <w:left w:val="single" w:sz="4" w:space="0" w:color="FFFFFF"/>
              <w:right w:val="single" w:sz="4" w:space="0" w:color="FFFFFF"/>
            </w:tcBorders>
            <w:shd w:val="clear" w:color="auto" w:fill="929292"/>
          </w:tcPr>
          <w:p>
            <w:pPr>
              <w:pStyle w:val="TableParagraph"/>
              <w:spacing w:before="21"/>
              <w:jc w:val="center"/>
              <w:rPr>
                <w:sz w:val="16"/>
              </w:rPr>
            </w:pPr>
            <w:r>
              <w:rPr>
                <w:sz w:val="16"/>
              </w:rPr>
              <w:t>Frecuencia</w:t>
            </w:r>
          </w:p>
        </w:tc>
        <w:tc>
          <w:tcPr>
            <w:tcW w:w="2252" w:type="dxa"/>
            <w:tcBorders>
              <w:left w:val="single" w:sz="4" w:space="0" w:color="FFFFFF"/>
            </w:tcBorders>
            <w:shd w:val="clear" w:color="auto" w:fill="929292"/>
          </w:tcPr>
          <w:p>
            <w:pPr>
              <w:pStyle w:val="TableParagraph"/>
              <w:spacing w:before="21"/>
              <w:ind w:left="4" w:right="7"/>
              <w:jc w:val="center"/>
              <w:rPr>
                <w:sz w:val="16"/>
              </w:rPr>
            </w:pPr>
            <w:r>
              <w:rPr>
                <w:sz w:val="16"/>
              </w:rPr>
              <w:t>Porcentaje</w:t>
            </w:r>
          </w:p>
        </w:tc>
      </w:tr>
      <w:tr>
        <w:trPr>
          <w:trHeight w:val="250" w:hRule="exact"/>
        </w:trPr>
        <w:tc>
          <w:tcPr>
            <w:tcW w:w="2630" w:type="dxa"/>
            <w:tcBorders>
              <w:bottom w:val="dotted" w:sz="4" w:space="0" w:color="929292"/>
              <w:right w:val="single" w:sz="4" w:space="0" w:color="929292"/>
            </w:tcBorders>
          </w:tcPr>
          <w:p>
            <w:pPr>
              <w:pStyle w:val="TableParagraph"/>
              <w:spacing w:line="176" w:lineRule="exact"/>
              <w:ind w:left="4"/>
              <w:jc w:val="center"/>
              <w:rPr>
                <w:sz w:val="16"/>
              </w:rPr>
            </w:pPr>
            <w:r>
              <w:rPr>
                <w:w w:val="99"/>
                <w:sz w:val="16"/>
              </w:rPr>
              <w:t>2</w:t>
            </w:r>
          </w:p>
        </w:tc>
        <w:tc>
          <w:tcPr>
            <w:tcW w:w="1627" w:type="dxa"/>
            <w:tcBorders>
              <w:left w:val="single" w:sz="4" w:space="0" w:color="929292"/>
              <w:bottom w:val="dotted" w:sz="4" w:space="0" w:color="929292"/>
              <w:right w:val="single" w:sz="4" w:space="0" w:color="929292"/>
            </w:tcBorders>
          </w:tcPr>
          <w:p>
            <w:pPr>
              <w:pStyle w:val="TableParagraph"/>
              <w:spacing w:line="176" w:lineRule="exact"/>
              <w:jc w:val="center"/>
              <w:rPr>
                <w:sz w:val="16"/>
              </w:rPr>
            </w:pPr>
            <w:r>
              <w:rPr>
                <w:w w:val="99"/>
                <w:sz w:val="16"/>
              </w:rPr>
              <w:t>1</w:t>
            </w:r>
          </w:p>
        </w:tc>
        <w:tc>
          <w:tcPr>
            <w:tcW w:w="2252" w:type="dxa"/>
            <w:tcBorders>
              <w:left w:val="single" w:sz="4" w:space="0" w:color="929292"/>
              <w:bottom w:val="dotted" w:sz="4" w:space="0" w:color="929292"/>
            </w:tcBorders>
          </w:tcPr>
          <w:p>
            <w:pPr>
              <w:pStyle w:val="TableParagraph"/>
              <w:spacing w:line="176" w:lineRule="exact"/>
              <w:ind w:left="4" w:right="7"/>
              <w:jc w:val="center"/>
              <w:rPr>
                <w:sz w:val="16"/>
              </w:rPr>
            </w:pPr>
            <w:r>
              <w:rPr>
                <w:sz w:val="16"/>
              </w:rPr>
              <w:t>0.6</w:t>
            </w:r>
          </w:p>
        </w:tc>
      </w:tr>
      <w:tr>
        <w:trPr>
          <w:trHeight w:val="177" w:hRule="exact"/>
        </w:trPr>
        <w:tc>
          <w:tcPr>
            <w:tcW w:w="2630" w:type="dxa"/>
            <w:tcBorders>
              <w:top w:val="dotted" w:sz="4" w:space="0" w:color="929292"/>
              <w:right w:val="single" w:sz="4" w:space="0" w:color="929292"/>
            </w:tcBorders>
          </w:tcPr>
          <w:p>
            <w:pPr>
              <w:pStyle w:val="TableParagraph"/>
              <w:tabs>
                <w:tab w:pos="1086" w:val="left" w:leader="none"/>
                <w:tab w:pos="2604" w:val="left" w:leader="none"/>
              </w:tabs>
              <w:spacing w:line="171" w:lineRule="exact"/>
              <w:ind w:left="25"/>
              <w:jc w:val="center"/>
              <w:rPr>
                <w:sz w:val="16"/>
              </w:rPr>
            </w:pPr>
            <w:r>
              <w:rPr>
                <w:w w:val="100"/>
                <w:sz w:val="16"/>
                <w:u w:val="dotted" w:color="929292"/>
              </w:rPr>
              <w:t> </w:t>
            </w:r>
            <w:r>
              <w:rPr>
                <w:sz w:val="16"/>
                <w:u w:val="dotted" w:color="929292"/>
              </w:rPr>
              <w:tab/>
              <w:t>3 –</w:t>
            </w:r>
            <w:r>
              <w:rPr>
                <w:spacing w:val="-10"/>
                <w:sz w:val="16"/>
                <w:u w:val="dotted" w:color="929292"/>
              </w:rPr>
              <w:t> </w:t>
            </w:r>
            <w:r>
              <w:rPr>
                <w:sz w:val="16"/>
                <w:u w:val="dotted" w:color="929292"/>
              </w:rPr>
              <w:t>14</w:t>
              <w:tab/>
            </w:r>
          </w:p>
        </w:tc>
        <w:tc>
          <w:tcPr>
            <w:tcW w:w="1627" w:type="dxa"/>
            <w:tcBorders>
              <w:top w:val="dotted" w:sz="4" w:space="0" w:color="929292"/>
              <w:left w:val="single" w:sz="4" w:space="0" w:color="929292"/>
              <w:right w:val="single" w:sz="4" w:space="0" w:color="929292"/>
            </w:tcBorders>
          </w:tcPr>
          <w:p>
            <w:pPr>
              <w:pStyle w:val="TableParagraph"/>
              <w:tabs>
                <w:tab w:pos="709" w:val="left" w:leader="none"/>
                <w:tab w:pos="1596" w:val="left" w:leader="none"/>
              </w:tabs>
              <w:spacing w:line="171" w:lineRule="exact"/>
              <w:ind w:left="15"/>
              <w:jc w:val="center"/>
              <w:rPr>
                <w:sz w:val="16"/>
              </w:rPr>
            </w:pPr>
            <w:r>
              <w:rPr>
                <w:w w:val="100"/>
                <w:sz w:val="16"/>
                <w:u w:val="dotted" w:color="929292"/>
              </w:rPr>
              <w:t> </w:t>
            </w:r>
            <w:r>
              <w:rPr>
                <w:sz w:val="16"/>
                <w:u w:val="dotted" w:color="929292"/>
              </w:rPr>
              <w:tab/>
              <w:t>16</w:t>
              <w:tab/>
            </w:r>
          </w:p>
        </w:tc>
        <w:tc>
          <w:tcPr>
            <w:tcW w:w="2252" w:type="dxa"/>
            <w:tcBorders>
              <w:top w:val="dotted" w:sz="4" w:space="0" w:color="929292"/>
              <w:left w:val="single" w:sz="4" w:space="0" w:color="929292"/>
            </w:tcBorders>
          </w:tcPr>
          <w:p>
            <w:pPr>
              <w:pStyle w:val="TableParagraph"/>
              <w:tabs>
                <w:tab w:pos="989" w:val="left" w:leader="none"/>
                <w:tab w:pos="2206" w:val="left" w:leader="none"/>
              </w:tabs>
              <w:spacing w:line="171" w:lineRule="exact"/>
              <w:ind w:left="4"/>
              <w:jc w:val="center"/>
              <w:rPr>
                <w:sz w:val="16"/>
              </w:rPr>
            </w:pPr>
            <w:r>
              <w:rPr>
                <w:w w:val="100"/>
                <w:sz w:val="16"/>
                <w:u w:val="dotted" w:color="929292"/>
              </w:rPr>
              <w:t> </w:t>
            </w:r>
            <w:r>
              <w:rPr>
                <w:sz w:val="16"/>
                <w:u w:val="dotted" w:color="929292"/>
              </w:rPr>
              <w:tab/>
              <w:t>8.9</w:t>
              <w:tab/>
            </w:r>
          </w:p>
        </w:tc>
      </w:tr>
      <w:tr>
        <w:trPr>
          <w:trHeight w:val="171" w:hRule="exact"/>
        </w:trPr>
        <w:tc>
          <w:tcPr>
            <w:tcW w:w="2630" w:type="dxa"/>
            <w:tcBorders>
              <w:right w:val="single" w:sz="4" w:space="0" w:color="929292"/>
            </w:tcBorders>
          </w:tcPr>
          <w:p>
            <w:pPr>
              <w:pStyle w:val="TableParagraph"/>
              <w:tabs>
                <w:tab w:pos="1042" w:val="left" w:leader="none"/>
                <w:tab w:pos="2604" w:val="left" w:leader="none"/>
              </w:tabs>
              <w:spacing w:line="170" w:lineRule="exact"/>
              <w:ind w:left="25"/>
              <w:jc w:val="center"/>
              <w:rPr>
                <w:sz w:val="16"/>
              </w:rPr>
            </w:pPr>
            <w:r>
              <w:rPr>
                <w:w w:val="100"/>
                <w:sz w:val="16"/>
                <w:u w:val="dotted" w:color="929292"/>
              </w:rPr>
              <w:t> </w:t>
            </w:r>
            <w:r>
              <w:rPr>
                <w:sz w:val="16"/>
                <w:u w:val="dotted" w:color="929292"/>
              </w:rPr>
              <w:tab/>
              <w:t>15 –</w:t>
            </w:r>
            <w:r>
              <w:rPr>
                <w:spacing w:val="-10"/>
                <w:sz w:val="16"/>
                <w:u w:val="dotted" w:color="929292"/>
              </w:rPr>
              <w:t> </w:t>
            </w:r>
            <w:r>
              <w:rPr>
                <w:sz w:val="16"/>
                <w:u w:val="dotted" w:color="929292"/>
              </w:rPr>
              <w:t>26</w:t>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line="170" w:lineRule="exact"/>
              <w:ind w:left="15"/>
              <w:jc w:val="center"/>
              <w:rPr>
                <w:sz w:val="16"/>
              </w:rPr>
            </w:pPr>
            <w:r>
              <w:rPr>
                <w:w w:val="100"/>
                <w:sz w:val="16"/>
                <w:u w:val="dotted" w:color="929292"/>
              </w:rPr>
              <w:t> </w:t>
            </w:r>
            <w:r>
              <w:rPr>
                <w:sz w:val="16"/>
                <w:u w:val="dotted" w:color="929292"/>
              </w:rPr>
              <w:tab/>
              <w:t>30</w:t>
              <w:tab/>
            </w:r>
          </w:p>
        </w:tc>
        <w:tc>
          <w:tcPr>
            <w:tcW w:w="2252" w:type="dxa"/>
            <w:tcBorders>
              <w:left w:val="single" w:sz="4" w:space="0" w:color="929292"/>
            </w:tcBorders>
          </w:tcPr>
          <w:p>
            <w:pPr>
              <w:pStyle w:val="TableParagraph"/>
              <w:tabs>
                <w:tab w:pos="945" w:val="left" w:leader="none"/>
                <w:tab w:pos="2206" w:val="left" w:leader="none"/>
              </w:tabs>
              <w:spacing w:line="170" w:lineRule="exact"/>
              <w:ind w:left="4"/>
              <w:jc w:val="center"/>
              <w:rPr>
                <w:sz w:val="16"/>
              </w:rPr>
            </w:pPr>
            <w:r>
              <w:rPr>
                <w:w w:val="100"/>
                <w:sz w:val="16"/>
                <w:u w:val="dotted" w:color="929292"/>
              </w:rPr>
              <w:t> </w:t>
            </w:r>
            <w:r>
              <w:rPr>
                <w:sz w:val="16"/>
                <w:u w:val="dotted" w:color="929292"/>
              </w:rPr>
              <w:tab/>
              <w:t>16.7</w:t>
              <w:tab/>
            </w:r>
          </w:p>
        </w:tc>
      </w:tr>
      <w:tr>
        <w:trPr>
          <w:trHeight w:val="171" w:hRule="exact"/>
        </w:trPr>
        <w:tc>
          <w:tcPr>
            <w:tcW w:w="2630" w:type="dxa"/>
            <w:tcBorders>
              <w:right w:val="single" w:sz="4" w:space="0" w:color="929292"/>
            </w:tcBorders>
          </w:tcPr>
          <w:p>
            <w:pPr>
              <w:pStyle w:val="TableParagraph"/>
              <w:tabs>
                <w:tab w:pos="1042" w:val="left" w:leader="none"/>
                <w:tab w:pos="2604" w:val="left" w:leader="none"/>
              </w:tabs>
              <w:spacing w:line="170" w:lineRule="exact"/>
              <w:ind w:left="25"/>
              <w:jc w:val="center"/>
              <w:rPr>
                <w:sz w:val="16"/>
              </w:rPr>
            </w:pPr>
            <w:r>
              <w:rPr>
                <w:w w:val="100"/>
                <w:sz w:val="16"/>
                <w:u w:val="dotted" w:color="929292"/>
              </w:rPr>
              <w:t> </w:t>
            </w:r>
            <w:r>
              <w:rPr>
                <w:sz w:val="16"/>
                <w:u w:val="dotted" w:color="929292"/>
              </w:rPr>
              <w:tab/>
              <w:t>27 –</w:t>
            </w:r>
            <w:r>
              <w:rPr>
                <w:spacing w:val="-10"/>
                <w:sz w:val="16"/>
                <w:u w:val="dotted" w:color="929292"/>
              </w:rPr>
              <w:t> </w:t>
            </w:r>
            <w:r>
              <w:rPr>
                <w:sz w:val="16"/>
                <w:u w:val="dotted" w:color="929292"/>
              </w:rPr>
              <w:t>38</w:t>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line="170" w:lineRule="exact"/>
              <w:ind w:left="15"/>
              <w:jc w:val="center"/>
              <w:rPr>
                <w:sz w:val="16"/>
              </w:rPr>
            </w:pPr>
            <w:r>
              <w:rPr>
                <w:w w:val="100"/>
                <w:sz w:val="16"/>
                <w:u w:val="dotted" w:color="929292"/>
              </w:rPr>
              <w:t> </w:t>
            </w:r>
            <w:r>
              <w:rPr>
                <w:sz w:val="16"/>
                <w:u w:val="dotted" w:color="929292"/>
              </w:rPr>
              <w:tab/>
              <w:t>43</w:t>
              <w:tab/>
            </w:r>
          </w:p>
        </w:tc>
        <w:tc>
          <w:tcPr>
            <w:tcW w:w="2252" w:type="dxa"/>
            <w:tcBorders>
              <w:left w:val="single" w:sz="4" w:space="0" w:color="929292"/>
            </w:tcBorders>
          </w:tcPr>
          <w:p>
            <w:pPr>
              <w:pStyle w:val="TableParagraph"/>
              <w:tabs>
                <w:tab w:pos="945" w:val="left" w:leader="none"/>
                <w:tab w:pos="2206" w:val="left" w:leader="none"/>
              </w:tabs>
              <w:spacing w:line="170" w:lineRule="exact"/>
              <w:ind w:left="4"/>
              <w:jc w:val="center"/>
              <w:rPr>
                <w:sz w:val="16"/>
              </w:rPr>
            </w:pPr>
            <w:r>
              <w:rPr>
                <w:w w:val="100"/>
                <w:sz w:val="16"/>
                <w:u w:val="dotted" w:color="929292"/>
              </w:rPr>
              <w:t> </w:t>
            </w:r>
            <w:r>
              <w:rPr>
                <w:sz w:val="16"/>
                <w:u w:val="dotted" w:color="929292"/>
              </w:rPr>
              <w:tab/>
              <w:t>23.9</w:t>
              <w:tab/>
            </w:r>
          </w:p>
        </w:tc>
      </w:tr>
      <w:tr>
        <w:trPr>
          <w:trHeight w:val="171" w:hRule="exact"/>
        </w:trPr>
        <w:tc>
          <w:tcPr>
            <w:tcW w:w="2630" w:type="dxa"/>
            <w:tcBorders>
              <w:right w:val="single" w:sz="4" w:space="0" w:color="929292"/>
            </w:tcBorders>
          </w:tcPr>
          <w:p>
            <w:pPr>
              <w:pStyle w:val="TableParagraph"/>
              <w:tabs>
                <w:tab w:pos="1042" w:val="left" w:leader="none"/>
                <w:tab w:pos="2604" w:val="left" w:leader="none"/>
              </w:tabs>
              <w:spacing w:line="170" w:lineRule="exact"/>
              <w:ind w:left="25"/>
              <w:jc w:val="center"/>
              <w:rPr>
                <w:sz w:val="16"/>
              </w:rPr>
            </w:pPr>
            <w:r>
              <w:rPr>
                <w:w w:val="100"/>
                <w:sz w:val="16"/>
                <w:u w:val="dotted" w:color="929292"/>
              </w:rPr>
              <w:t> </w:t>
            </w:r>
            <w:r>
              <w:rPr>
                <w:sz w:val="16"/>
                <w:u w:val="dotted" w:color="929292"/>
              </w:rPr>
              <w:tab/>
              <w:t>39 –</w:t>
            </w:r>
            <w:r>
              <w:rPr>
                <w:spacing w:val="-10"/>
                <w:sz w:val="16"/>
                <w:u w:val="dotted" w:color="929292"/>
              </w:rPr>
              <w:t> </w:t>
            </w:r>
            <w:r>
              <w:rPr>
                <w:sz w:val="16"/>
                <w:u w:val="dotted" w:color="929292"/>
              </w:rPr>
              <w:t>50</w:t>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line="170" w:lineRule="exact"/>
              <w:ind w:left="15"/>
              <w:jc w:val="center"/>
              <w:rPr>
                <w:sz w:val="16"/>
              </w:rPr>
            </w:pPr>
            <w:r>
              <w:rPr>
                <w:w w:val="100"/>
                <w:sz w:val="16"/>
                <w:u w:val="dotted" w:color="929292"/>
              </w:rPr>
              <w:t> </w:t>
            </w:r>
            <w:r>
              <w:rPr>
                <w:sz w:val="16"/>
                <w:u w:val="dotted" w:color="929292"/>
              </w:rPr>
              <w:tab/>
              <w:t>43</w:t>
              <w:tab/>
            </w:r>
          </w:p>
        </w:tc>
        <w:tc>
          <w:tcPr>
            <w:tcW w:w="2252" w:type="dxa"/>
            <w:tcBorders>
              <w:left w:val="single" w:sz="4" w:space="0" w:color="929292"/>
            </w:tcBorders>
          </w:tcPr>
          <w:p>
            <w:pPr>
              <w:pStyle w:val="TableParagraph"/>
              <w:tabs>
                <w:tab w:pos="945" w:val="left" w:leader="none"/>
                <w:tab w:pos="2206" w:val="left" w:leader="none"/>
              </w:tabs>
              <w:spacing w:line="170" w:lineRule="exact"/>
              <w:ind w:left="4"/>
              <w:jc w:val="center"/>
              <w:rPr>
                <w:sz w:val="16"/>
              </w:rPr>
            </w:pPr>
            <w:r>
              <w:rPr>
                <w:w w:val="100"/>
                <w:sz w:val="16"/>
                <w:u w:val="dotted" w:color="929292"/>
              </w:rPr>
              <w:t> </w:t>
            </w:r>
            <w:r>
              <w:rPr>
                <w:sz w:val="16"/>
                <w:u w:val="dotted" w:color="929292"/>
              </w:rPr>
              <w:tab/>
              <w:t>23.9</w:t>
              <w:tab/>
            </w:r>
          </w:p>
        </w:tc>
      </w:tr>
      <w:tr>
        <w:trPr>
          <w:trHeight w:val="171" w:hRule="exact"/>
        </w:trPr>
        <w:tc>
          <w:tcPr>
            <w:tcW w:w="2630" w:type="dxa"/>
            <w:tcBorders>
              <w:right w:val="single" w:sz="4" w:space="0" w:color="929292"/>
            </w:tcBorders>
          </w:tcPr>
          <w:p>
            <w:pPr>
              <w:pStyle w:val="TableParagraph"/>
              <w:tabs>
                <w:tab w:pos="1042" w:val="left" w:leader="none"/>
                <w:tab w:pos="2604" w:val="left" w:leader="none"/>
              </w:tabs>
              <w:spacing w:line="170" w:lineRule="exact"/>
              <w:ind w:left="25"/>
              <w:jc w:val="center"/>
              <w:rPr>
                <w:sz w:val="16"/>
              </w:rPr>
            </w:pPr>
            <w:r>
              <w:rPr>
                <w:w w:val="100"/>
                <w:sz w:val="16"/>
                <w:u w:val="dotted" w:color="929292"/>
              </w:rPr>
              <w:t> </w:t>
            </w:r>
            <w:r>
              <w:rPr>
                <w:sz w:val="16"/>
                <w:u w:val="dotted" w:color="929292"/>
              </w:rPr>
              <w:tab/>
              <w:t>51 –</w:t>
            </w:r>
            <w:r>
              <w:rPr>
                <w:spacing w:val="-10"/>
                <w:sz w:val="16"/>
                <w:u w:val="dotted" w:color="929292"/>
              </w:rPr>
              <w:t> </w:t>
            </w:r>
            <w:r>
              <w:rPr>
                <w:sz w:val="16"/>
                <w:u w:val="dotted" w:color="929292"/>
              </w:rPr>
              <w:t>62</w:t>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line="170" w:lineRule="exact"/>
              <w:ind w:left="15"/>
              <w:jc w:val="center"/>
              <w:rPr>
                <w:sz w:val="16"/>
              </w:rPr>
            </w:pPr>
            <w:r>
              <w:rPr>
                <w:w w:val="100"/>
                <w:sz w:val="16"/>
                <w:u w:val="dotted" w:color="929292"/>
              </w:rPr>
              <w:t> </w:t>
            </w:r>
            <w:r>
              <w:rPr>
                <w:sz w:val="16"/>
                <w:u w:val="dotted" w:color="929292"/>
              </w:rPr>
              <w:tab/>
              <w:t>21</w:t>
              <w:tab/>
            </w:r>
          </w:p>
        </w:tc>
        <w:tc>
          <w:tcPr>
            <w:tcW w:w="2252" w:type="dxa"/>
            <w:tcBorders>
              <w:left w:val="single" w:sz="4" w:space="0" w:color="929292"/>
            </w:tcBorders>
          </w:tcPr>
          <w:p>
            <w:pPr>
              <w:pStyle w:val="TableParagraph"/>
              <w:tabs>
                <w:tab w:pos="945" w:val="left" w:leader="none"/>
                <w:tab w:pos="2206" w:val="left" w:leader="none"/>
              </w:tabs>
              <w:spacing w:line="170" w:lineRule="exact"/>
              <w:ind w:left="4"/>
              <w:jc w:val="center"/>
              <w:rPr>
                <w:sz w:val="16"/>
              </w:rPr>
            </w:pPr>
            <w:r>
              <w:rPr>
                <w:w w:val="100"/>
                <w:sz w:val="16"/>
                <w:u w:val="dotted" w:color="929292"/>
              </w:rPr>
              <w:t> </w:t>
            </w:r>
            <w:r>
              <w:rPr>
                <w:sz w:val="16"/>
                <w:u w:val="dotted" w:color="929292"/>
              </w:rPr>
              <w:tab/>
              <w:t>11.7</w:t>
              <w:tab/>
            </w:r>
          </w:p>
        </w:tc>
      </w:tr>
      <w:tr>
        <w:trPr>
          <w:trHeight w:val="171" w:hRule="exact"/>
        </w:trPr>
        <w:tc>
          <w:tcPr>
            <w:tcW w:w="2630" w:type="dxa"/>
            <w:tcBorders>
              <w:right w:val="single" w:sz="4" w:space="0" w:color="929292"/>
            </w:tcBorders>
          </w:tcPr>
          <w:p>
            <w:pPr>
              <w:pStyle w:val="TableParagraph"/>
              <w:tabs>
                <w:tab w:pos="1042" w:val="left" w:leader="none"/>
                <w:tab w:pos="2604" w:val="left" w:leader="none"/>
              </w:tabs>
              <w:spacing w:line="170" w:lineRule="exact"/>
              <w:ind w:left="25"/>
              <w:jc w:val="center"/>
              <w:rPr>
                <w:sz w:val="16"/>
              </w:rPr>
            </w:pPr>
            <w:r>
              <w:rPr>
                <w:w w:val="100"/>
                <w:sz w:val="16"/>
                <w:u w:val="dotted" w:color="929292"/>
              </w:rPr>
              <w:t> </w:t>
            </w:r>
            <w:r>
              <w:rPr>
                <w:sz w:val="16"/>
                <w:u w:val="dotted" w:color="929292"/>
              </w:rPr>
              <w:tab/>
              <w:t>63 –</w:t>
            </w:r>
            <w:r>
              <w:rPr>
                <w:spacing w:val="-10"/>
                <w:sz w:val="16"/>
                <w:u w:val="dotted" w:color="929292"/>
              </w:rPr>
              <w:t> </w:t>
            </w:r>
            <w:r>
              <w:rPr>
                <w:sz w:val="16"/>
                <w:u w:val="dotted" w:color="929292"/>
              </w:rPr>
              <w:t>74</w:t>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line="170" w:lineRule="exact"/>
              <w:ind w:left="15"/>
              <w:jc w:val="center"/>
              <w:rPr>
                <w:sz w:val="16"/>
              </w:rPr>
            </w:pPr>
            <w:r>
              <w:rPr>
                <w:w w:val="100"/>
                <w:sz w:val="16"/>
                <w:u w:val="dotted" w:color="929292"/>
              </w:rPr>
              <w:t> </w:t>
            </w:r>
            <w:r>
              <w:rPr>
                <w:sz w:val="16"/>
                <w:u w:val="dotted" w:color="929292"/>
              </w:rPr>
              <w:tab/>
              <w:t>18</w:t>
              <w:tab/>
            </w:r>
          </w:p>
        </w:tc>
        <w:tc>
          <w:tcPr>
            <w:tcW w:w="2252" w:type="dxa"/>
            <w:tcBorders>
              <w:left w:val="single" w:sz="4" w:space="0" w:color="929292"/>
            </w:tcBorders>
          </w:tcPr>
          <w:p>
            <w:pPr>
              <w:pStyle w:val="TableParagraph"/>
              <w:tabs>
                <w:tab w:pos="945" w:val="left" w:leader="none"/>
                <w:tab w:pos="2206" w:val="left" w:leader="none"/>
              </w:tabs>
              <w:spacing w:line="170" w:lineRule="exact"/>
              <w:ind w:left="4"/>
              <w:jc w:val="center"/>
              <w:rPr>
                <w:sz w:val="16"/>
              </w:rPr>
            </w:pPr>
            <w:r>
              <w:rPr>
                <w:w w:val="100"/>
                <w:sz w:val="16"/>
                <w:u w:val="dotted" w:color="929292"/>
              </w:rPr>
              <w:t> </w:t>
            </w:r>
            <w:r>
              <w:rPr>
                <w:sz w:val="16"/>
                <w:u w:val="dotted" w:color="929292"/>
              </w:rPr>
              <w:tab/>
              <w:t>10.0</w:t>
              <w:tab/>
            </w:r>
          </w:p>
        </w:tc>
      </w:tr>
      <w:tr>
        <w:trPr>
          <w:trHeight w:val="171" w:hRule="exact"/>
        </w:trPr>
        <w:tc>
          <w:tcPr>
            <w:tcW w:w="2630" w:type="dxa"/>
            <w:tcBorders>
              <w:right w:val="single" w:sz="4" w:space="0" w:color="929292"/>
            </w:tcBorders>
          </w:tcPr>
          <w:p>
            <w:pPr>
              <w:pStyle w:val="TableParagraph"/>
              <w:tabs>
                <w:tab w:pos="1042" w:val="left" w:leader="none"/>
                <w:tab w:pos="2604" w:val="left" w:leader="none"/>
              </w:tabs>
              <w:spacing w:line="170" w:lineRule="exact"/>
              <w:ind w:left="25"/>
              <w:jc w:val="center"/>
              <w:rPr>
                <w:sz w:val="16"/>
              </w:rPr>
            </w:pPr>
            <w:r>
              <w:rPr>
                <w:w w:val="100"/>
                <w:sz w:val="16"/>
                <w:u w:val="dotted" w:color="929292"/>
              </w:rPr>
              <w:t> </w:t>
            </w:r>
            <w:r>
              <w:rPr>
                <w:sz w:val="16"/>
                <w:u w:val="dotted" w:color="929292"/>
              </w:rPr>
              <w:tab/>
              <w:t>75 –</w:t>
            </w:r>
            <w:r>
              <w:rPr>
                <w:spacing w:val="-10"/>
                <w:sz w:val="16"/>
                <w:u w:val="dotted" w:color="929292"/>
              </w:rPr>
              <w:t> </w:t>
            </w:r>
            <w:r>
              <w:rPr>
                <w:sz w:val="16"/>
                <w:u w:val="dotted" w:color="929292"/>
              </w:rPr>
              <w:t>86</w:t>
              <w:tab/>
            </w:r>
          </w:p>
        </w:tc>
        <w:tc>
          <w:tcPr>
            <w:tcW w:w="1627" w:type="dxa"/>
            <w:tcBorders>
              <w:left w:val="single" w:sz="4" w:space="0" w:color="929292"/>
              <w:right w:val="single" w:sz="4" w:space="0" w:color="929292"/>
            </w:tcBorders>
          </w:tcPr>
          <w:p>
            <w:pPr>
              <w:pStyle w:val="TableParagraph"/>
              <w:tabs>
                <w:tab w:pos="753" w:val="left" w:leader="none"/>
                <w:tab w:pos="1596" w:val="left" w:leader="none"/>
              </w:tabs>
              <w:spacing w:line="170" w:lineRule="exact"/>
              <w:ind w:left="15"/>
              <w:jc w:val="center"/>
              <w:rPr>
                <w:sz w:val="16"/>
              </w:rPr>
            </w:pPr>
            <w:r>
              <w:rPr>
                <w:w w:val="100"/>
                <w:sz w:val="16"/>
                <w:u w:val="dotted" w:color="929292"/>
              </w:rPr>
              <w:t> </w:t>
            </w:r>
            <w:r>
              <w:rPr>
                <w:sz w:val="16"/>
                <w:u w:val="dotted" w:color="929292"/>
              </w:rPr>
              <w:tab/>
              <w:t>8</w:t>
              <w:tab/>
            </w:r>
          </w:p>
        </w:tc>
        <w:tc>
          <w:tcPr>
            <w:tcW w:w="2252" w:type="dxa"/>
            <w:tcBorders>
              <w:left w:val="single" w:sz="4" w:space="0" w:color="929292"/>
            </w:tcBorders>
          </w:tcPr>
          <w:p>
            <w:pPr>
              <w:pStyle w:val="TableParagraph"/>
              <w:tabs>
                <w:tab w:pos="989" w:val="left" w:leader="none"/>
                <w:tab w:pos="2206" w:val="left" w:leader="none"/>
              </w:tabs>
              <w:spacing w:line="170" w:lineRule="exact"/>
              <w:ind w:left="4"/>
              <w:jc w:val="center"/>
              <w:rPr>
                <w:sz w:val="16"/>
              </w:rPr>
            </w:pPr>
            <w:r>
              <w:rPr>
                <w:w w:val="100"/>
                <w:sz w:val="16"/>
                <w:u w:val="dotted" w:color="929292"/>
              </w:rPr>
              <w:t> </w:t>
            </w:r>
            <w:r>
              <w:rPr>
                <w:sz w:val="16"/>
                <w:u w:val="dotted" w:color="929292"/>
              </w:rPr>
              <w:tab/>
              <w:t>4.4</w:t>
              <w:tab/>
            </w:r>
          </w:p>
        </w:tc>
      </w:tr>
      <w:tr>
        <w:trPr>
          <w:trHeight w:val="203" w:hRule="exact"/>
        </w:trPr>
        <w:tc>
          <w:tcPr>
            <w:tcW w:w="2630" w:type="dxa"/>
            <w:tcBorders>
              <w:bottom w:val="dotted" w:sz="4" w:space="0" w:color="929292"/>
              <w:right w:val="single" w:sz="4" w:space="0" w:color="929292"/>
            </w:tcBorders>
          </w:tcPr>
          <w:p>
            <w:pPr>
              <w:pStyle w:val="TableParagraph"/>
              <w:spacing w:line="170" w:lineRule="exact"/>
              <w:ind w:left="4"/>
              <w:jc w:val="center"/>
              <w:rPr>
                <w:sz w:val="16"/>
              </w:rPr>
            </w:pPr>
            <w:r>
              <w:rPr>
                <w:sz w:val="16"/>
              </w:rPr>
              <w:t>Total</w:t>
            </w:r>
          </w:p>
        </w:tc>
        <w:tc>
          <w:tcPr>
            <w:tcW w:w="1627" w:type="dxa"/>
            <w:tcBorders>
              <w:left w:val="single" w:sz="4" w:space="0" w:color="929292"/>
              <w:bottom w:val="dotted" w:sz="4" w:space="0" w:color="929292"/>
              <w:right w:val="single" w:sz="4" w:space="0" w:color="929292"/>
            </w:tcBorders>
          </w:tcPr>
          <w:p>
            <w:pPr>
              <w:pStyle w:val="TableParagraph"/>
              <w:spacing w:line="170" w:lineRule="exact"/>
              <w:jc w:val="center"/>
              <w:rPr>
                <w:sz w:val="16"/>
              </w:rPr>
            </w:pPr>
            <w:r>
              <w:rPr>
                <w:sz w:val="16"/>
              </w:rPr>
              <w:t>180</w:t>
            </w:r>
          </w:p>
        </w:tc>
        <w:tc>
          <w:tcPr>
            <w:tcW w:w="2252" w:type="dxa"/>
            <w:tcBorders>
              <w:left w:val="single" w:sz="4" w:space="0" w:color="929292"/>
              <w:bottom w:val="dotted" w:sz="4" w:space="0" w:color="929292"/>
            </w:tcBorders>
          </w:tcPr>
          <w:p>
            <w:pPr>
              <w:pStyle w:val="TableParagraph"/>
              <w:spacing w:line="170" w:lineRule="exact"/>
              <w:ind w:left="4" w:right="7"/>
              <w:jc w:val="center"/>
              <w:rPr>
                <w:sz w:val="16"/>
              </w:rPr>
            </w:pPr>
            <w:r>
              <w:rPr>
                <w:sz w:val="16"/>
              </w:rPr>
              <w:t>100.0</w:t>
            </w:r>
          </w:p>
        </w:tc>
      </w:tr>
    </w:tbl>
    <w:p>
      <w:pPr>
        <w:spacing w:before="109"/>
        <w:ind w:left="514" w:right="514" w:firstLine="0"/>
        <w:jc w:val="center"/>
        <w:rPr>
          <w:sz w:val="16"/>
        </w:rPr>
      </w:pPr>
      <w:r>
        <w:rPr/>
        <w:pict>
          <v:line style="position:absolute;mso-position-horizontal-relative:page;mso-position-vertical-relative:paragraph;z-index:-643192" from="543.351685pt,-44.879704pt" to="543.351685pt,-44.879704pt" stroked="true" strokeweight=".5pt" strokecolor="#929292">
            <w10:wrap type="none"/>
          </v:line>
        </w:pict>
      </w:r>
      <w:r>
        <w:rPr/>
        <w:pict>
          <v:line style="position:absolute;mso-position-horizontal-relative:page;mso-position-vertical-relative:paragraph;z-index:-643168" from="868.301697pt,-44.879704pt" to="868.301697pt,-44.879704pt" stroked="true" strokeweight=".5pt" strokecolor="#929292">
            <w10:wrap type="none"/>
          </v:line>
        </w:pict>
      </w:r>
      <w:r>
        <w:rPr/>
        <w:pict>
          <v:line style="position:absolute;mso-position-horizontal-relative:page;mso-position-vertical-relative:paragraph;z-index:-643144" from="543.351685pt,-36.333103pt" to="543.351685pt,-36.333103pt" stroked="true" strokeweight=".5pt" strokecolor="#929292">
            <w10:wrap type="none"/>
          </v:line>
        </w:pict>
      </w:r>
      <w:r>
        <w:rPr/>
        <w:pict>
          <v:line style="position:absolute;mso-position-horizontal-relative:page;mso-position-vertical-relative:paragraph;z-index:-643120" from="868.301697pt,-36.333103pt" to="868.301697pt,-36.333103pt" stroked="true" strokeweight=".5pt" strokecolor="#929292">
            <w10:wrap type="none"/>
          </v:line>
        </w:pict>
      </w:r>
      <w:r>
        <w:rPr/>
        <w:pict>
          <v:line style="position:absolute;mso-position-horizontal-relative:page;mso-position-vertical-relative:paragraph;z-index:-643096" from="543.351685pt,-27.786505pt" to="543.351685pt,-27.786505pt" stroked="true" strokeweight=".5pt" strokecolor="#929292">
            <w10:wrap type="none"/>
          </v:line>
        </w:pict>
      </w:r>
      <w:r>
        <w:rPr/>
        <w:pict>
          <v:line style="position:absolute;mso-position-horizontal-relative:page;mso-position-vertical-relative:paragraph;z-index:-643072" from="868.301697pt,-27.786505pt" to="868.301697pt,-27.786505pt" stroked="true" strokeweight=".5pt" strokecolor="#929292">
            <w10:wrap type="none"/>
          </v:line>
        </w:pict>
      </w:r>
      <w:r>
        <w:rPr/>
        <w:pict>
          <v:line style="position:absolute;mso-position-horizontal-relative:page;mso-position-vertical-relative:paragraph;z-index:-643048" from="543.351685pt,-19.240004pt" to="543.351685pt,-19.240004pt" stroked="true" strokeweight=".5pt" strokecolor="#929292">
            <w10:wrap type="none"/>
          </v:line>
        </w:pict>
      </w:r>
      <w:r>
        <w:rPr/>
        <w:pict>
          <v:line style="position:absolute;mso-position-horizontal-relative:page;mso-position-vertical-relative:paragraph;z-index:-643024" from="868.301697pt,-19.240004pt" to="868.301697pt,-19.240004pt" stroked="true" strokeweight=".5pt" strokecolor="#929292">
            <w10:wrap type="none"/>
          </v:line>
        </w:pict>
      </w:r>
      <w:r>
        <w:rPr/>
        <w:pict>
          <v:line style="position:absolute;mso-position-horizontal-relative:page;mso-position-vertical-relative:paragraph;z-index:-643000" from="543.351685pt,-10.693404pt" to="543.351685pt,-10.693404pt" stroked="true" strokeweight=".5pt" strokecolor="#929292">
            <w10:wrap type="none"/>
          </v:line>
        </w:pict>
      </w:r>
      <w:r>
        <w:rPr/>
        <w:pict>
          <v:line style="position:absolute;mso-position-horizontal-relative:page;mso-position-vertical-relative:paragraph;z-index:-642976" from="868.301697pt,-10.693404pt" to="868.301697pt,-10.693404pt" stroked="true" strokeweight=".5pt" strokecolor="#929292">
            <w10:wrap type="none"/>
          </v:line>
        </w:pict>
      </w:r>
      <w:r>
        <w:rPr>
          <w:color w:val="6D6E71"/>
          <w:sz w:val="16"/>
        </w:rPr>
        <w:t>Fuente: Elaboración propia, 2015.</w:t>
      </w:r>
    </w:p>
    <w:p>
      <w:pPr>
        <w:pStyle w:val="BodyText"/>
        <w:rPr>
          <w:sz w:val="16"/>
        </w:rPr>
      </w:pPr>
    </w:p>
    <w:p>
      <w:pPr>
        <w:pStyle w:val="BodyText"/>
        <w:rPr>
          <w:sz w:val="16"/>
        </w:rPr>
      </w:pPr>
    </w:p>
    <w:p>
      <w:pPr>
        <w:pStyle w:val="BodyText"/>
        <w:rPr>
          <w:sz w:val="16"/>
        </w:rPr>
      </w:pPr>
    </w:p>
    <w:p>
      <w:pPr>
        <w:pStyle w:val="BodyText"/>
        <w:spacing w:before="5"/>
        <w:rPr>
          <w:sz w:val="19"/>
        </w:rPr>
      </w:pPr>
    </w:p>
    <w:p>
      <w:pPr>
        <w:spacing w:before="0"/>
        <w:ind w:left="514" w:right="514" w:firstLine="0"/>
        <w:jc w:val="center"/>
        <w:rPr>
          <w:sz w:val="16"/>
        </w:rPr>
      </w:pPr>
      <w:r>
        <w:rPr>
          <w:color w:val="6D6E71"/>
          <w:sz w:val="16"/>
        </w:rPr>
        <w:t>Gráfica 15. Años viviendo en la localidad</w:t>
      </w:r>
    </w:p>
    <w:p>
      <w:pPr>
        <w:pStyle w:val="BodyText"/>
        <w:spacing w:before="10"/>
        <w:rPr>
          <w:sz w:val="6"/>
        </w:rPr>
      </w:pPr>
    </w:p>
    <w:p>
      <w:pPr>
        <w:pStyle w:val="BodyText"/>
        <w:ind w:left="1203"/>
      </w:pPr>
      <w:r>
        <w:rPr/>
        <w:drawing>
          <wp:inline distT="0" distB="0" distL="0" distR="0">
            <wp:extent cx="3538747" cy="1261872"/>
            <wp:effectExtent l="0" t="0" r="0" b="0"/>
            <wp:docPr id="95" name="image66.png" descr=""/>
            <wp:cNvGraphicFramePr>
              <a:graphicFrameLocks noChangeAspect="1"/>
            </wp:cNvGraphicFramePr>
            <a:graphic>
              <a:graphicData uri="http://schemas.openxmlformats.org/drawingml/2006/picture">
                <pic:pic>
                  <pic:nvPicPr>
                    <pic:cNvPr id="96" name="image66.png"/>
                    <pic:cNvPicPr/>
                  </pic:nvPicPr>
                  <pic:blipFill>
                    <a:blip r:embed="rId234" cstate="print"/>
                    <a:stretch>
                      <a:fillRect/>
                    </a:stretch>
                  </pic:blipFill>
                  <pic:spPr>
                    <a:xfrm>
                      <a:off x="0" y="0"/>
                      <a:ext cx="3538747" cy="1261872"/>
                    </a:xfrm>
                    <a:prstGeom prst="rect">
                      <a:avLst/>
                    </a:prstGeom>
                  </pic:spPr>
                </pic:pic>
              </a:graphicData>
            </a:graphic>
          </wp:inline>
        </w:drawing>
      </w:r>
      <w:r>
        <w:rPr/>
      </w:r>
    </w:p>
    <w:p>
      <w:pPr>
        <w:pStyle w:val="BodyText"/>
        <w:rPr>
          <w:sz w:val="13"/>
        </w:rPr>
      </w:pPr>
    </w:p>
    <w:p>
      <w:pPr>
        <w:spacing w:before="0"/>
        <w:ind w:left="514" w:right="514" w:firstLine="0"/>
        <w:jc w:val="center"/>
        <w:rPr>
          <w:sz w:val="16"/>
        </w:rPr>
      </w:pPr>
      <w:r>
        <w:rPr>
          <w:color w:val="6D6E71"/>
          <w:sz w:val="16"/>
        </w:rPr>
        <w:t>Fuente: Elaboración propia, 2015.</w:t>
      </w:r>
    </w:p>
    <w:p>
      <w:pPr>
        <w:spacing w:after="0"/>
        <w:jc w:val="center"/>
        <w:rPr>
          <w:sz w:val="16"/>
        </w:rPr>
        <w:sectPr>
          <w:type w:val="continuous"/>
          <w:pgSz w:w="18830" w:h="12760" w:orient="landscape"/>
          <w:pgMar w:top="1420" w:bottom="280" w:left="720" w:right="720"/>
          <w:cols w:num="2" w:equalWidth="0">
            <w:col w:w="7841" w:space="1570"/>
            <w:col w:w="7979"/>
          </w:cols>
        </w:sectPr>
      </w:pPr>
    </w:p>
    <w:p>
      <w:pPr>
        <w:pStyle w:val="BodyText"/>
        <w:spacing w:before="6"/>
        <w:rPr>
          <w:sz w:val="23"/>
        </w:rPr>
      </w:pPr>
    </w:p>
    <w:p>
      <w:pPr>
        <w:spacing w:after="0"/>
        <w:rPr>
          <w:sz w:val="23"/>
        </w:rPr>
        <w:sectPr>
          <w:footerReference w:type="default" r:id="rId235"/>
          <w:pgSz w:w="18830" w:h="12760" w:orient="landscape"/>
          <w:pgMar w:footer="1036" w:header="522" w:top="820" w:bottom="1220" w:left="720" w:right="720"/>
        </w:sectPr>
      </w:pPr>
    </w:p>
    <w:p>
      <w:pPr>
        <w:pStyle w:val="BodyText"/>
        <w:spacing w:line="249" w:lineRule="auto" w:before="76"/>
        <w:ind w:left="117" w:firstLine="170"/>
        <w:jc w:val="both"/>
      </w:pPr>
      <w:r>
        <w:rPr/>
        <w:t>El cuadro 11 y gráfica 16 muestra el número de habitantes que hay en las viviendas, dos</w:t>
      </w:r>
      <w:r>
        <w:rPr>
          <w:spacing w:val="-3"/>
        </w:rPr>
        <w:t> </w:t>
      </w:r>
      <w:r>
        <w:rPr/>
        <w:t>terceras</w:t>
      </w:r>
      <w:r>
        <w:rPr>
          <w:spacing w:val="-3"/>
        </w:rPr>
        <w:t> </w:t>
      </w:r>
      <w:r>
        <w:rPr/>
        <w:t>partes</w:t>
      </w:r>
      <w:r>
        <w:rPr>
          <w:spacing w:val="-3"/>
        </w:rPr>
        <w:t> </w:t>
      </w:r>
      <w:r>
        <w:rPr/>
        <w:t>de</w:t>
      </w:r>
      <w:r>
        <w:rPr>
          <w:spacing w:val="-3"/>
        </w:rPr>
        <w:t> </w:t>
      </w:r>
      <w:r>
        <w:rPr/>
        <w:t>los</w:t>
      </w:r>
      <w:r>
        <w:rPr>
          <w:spacing w:val="-3"/>
        </w:rPr>
        <w:t> </w:t>
      </w:r>
      <w:r>
        <w:rPr/>
        <w:t>hogares</w:t>
      </w:r>
      <w:r>
        <w:rPr>
          <w:spacing w:val="-3"/>
        </w:rPr>
        <w:t> </w:t>
      </w:r>
      <w:r>
        <w:rPr/>
        <w:t>cuentan</w:t>
      </w:r>
      <w:r>
        <w:rPr>
          <w:spacing w:val="-3"/>
        </w:rPr>
        <w:t> </w:t>
      </w:r>
      <w:r>
        <w:rPr/>
        <w:t>con</w:t>
      </w:r>
      <w:r>
        <w:rPr>
          <w:spacing w:val="-3"/>
        </w:rPr>
        <w:t> </w:t>
      </w:r>
      <w:r>
        <w:rPr/>
        <w:t>2</w:t>
      </w:r>
      <w:r>
        <w:rPr>
          <w:spacing w:val="-3"/>
        </w:rPr>
        <w:t> </w:t>
      </w:r>
      <w:r>
        <w:rPr/>
        <w:t>a</w:t>
      </w:r>
      <w:r>
        <w:rPr>
          <w:spacing w:val="-3"/>
        </w:rPr>
        <w:t> </w:t>
      </w:r>
      <w:r>
        <w:rPr/>
        <w:t>7</w:t>
      </w:r>
      <w:r>
        <w:rPr>
          <w:spacing w:val="-3"/>
        </w:rPr>
        <w:t> </w:t>
      </w:r>
      <w:r>
        <w:rPr/>
        <w:t>personas.</w:t>
      </w:r>
      <w:r>
        <w:rPr>
          <w:spacing w:val="-3"/>
        </w:rPr>
        <w:t> </w:t>
      </w:r>
      <w:r>
        <w:rPr/>
        <w:t>Esto</w:t>
      </w:r>
      <w:r>
        <w:rPr>
          <w:spacing w:val="-3"/>
        </w:rPr>
        <w:t> </w:t>
      </w:r>
      <w:r>
        <w:rPr/>
        <w:t>se</w:t>
      </w:r>
      <w:r>
        <w:rPr>
          <w:spacing w:val="-3"/>
        </w:rPr>
        <w:t> </w:t>
      </w:r>
      <w:r>
        <w:rPr/>
        <w:t>debe</w:t>
      </w:r>
      <w:r>
        <w:rPr>
          <w:spacing w:val="-3"/>
        </w:rPr>
        <w:t> </w:t>
      </w:r>
      <w:r>
        <w:rPr/>
        <w:t>a</w:t>
      </w:r>
      <w:r>
        <w:rPr>
          <w:spacing w:val="-3"/>
        </w:rPr>
        <w:t> </w:t>
      </w:r>
      <w:r>
        <w:rPr/>
        <w:t>que</w:t>
      </w:r>
      <w:r>
        <w:rPr>
          <w:spacing w:val="-3"/>
        </w:rPr>
        <w:t> </w:t>
      </w:r>
      <w:r>
        <w:rPr/>
        <w:t>las en estos municipios predominan las familias</w:t>
      </w:r>
      <w:r>
        <w:rPr>
          <w:spacing w:val="35"/>
        </w:rPr>
        <w:t> </w:t>
      </w:r>
      <w:r>
        <w:rPr/>
        <w:t>extensas.</w:t>
      </w:r>
    </w:p>
    <w:p>
      <w:pPr>
        <w:pStyle w:val="BodyText"/>
        <w:spacing w:before="2"/>
        <w:rPr>
          <w:sz w:val="24"/>
        </w:rPr>
      </w:pPr>
    </w:p>
    <w:p>
      <w:pPr>
        <w:spacing w:before="0"/>
        <w:ind w:left="1742" w:right="1625" w:firstLine="0"/>
        <w:jc w:val="center"/>
        <w:rPr>
          <w:sz w:val="16"/>
        </w:rPr>
      </w:pPr>
      <w:r>
        <w:rPr/>
        <w:pict>
          <v:line style="position:absolute;mso-position-horizontal-relative:page;mso-position-vertical-relative:paragraph;z-index:-642952" from="72.164803pt,36.228424pt" to="72.164803pt,36.228424pt" stroked="true" strokeweight=".5pt" strokecolor="#929292">
            <w10:wrap type="none"/>
          </v:line>
        </w:pict>
      </w:r>
      <w:r>
        <w:rPr/>
        <w:pict>
          <v:line style="position:absolute;mso-position-horizontal-relative:page;mso-position-vertical-relative:paragraph;z-index:-642928" from="397.114807pt,36.228424pt" to="397.114807pt,36.228424pt" stroked="true" strokeweight=".5pt" strokecolor="#929292">
            <w10:wrap type="none"/>
          </v:line>
        </w:pict>
      </w:r>
      <w:r>
        <w:rPr/>
        <w:pict>
          <v:line style="position:absolute;mso-position-horizontal-relative:page;mso-position-vertical-relative:paragraph;z-index:-642904" from="72.164803pt,48.228424pt" to="72.164803pt,48.228424pt" stroked="true" strokeweight=".5pt" strokecolor="#929292">
            <w10:wrap type="none"/>
          </v:line>
        </w:pict>
      </w:r>
      <w:r>
        <w:rPr/>
        <w:pict>
          <v:line style="position:absolute;mso-position-horizontal-relative:page;mso-position-vertical-relative:paragraph;z-index:-642880" from="397.114807pt,48.228424pt" to="397.114807pt,48.228424pt" stroked="true" strokeweight=".5pt" strokecolor="#929292">
            <w10:wrap type="none"/>
          </v:line>
        </w:pict>
      </w:r>
      <w:r>
        <w:rPr>
          <w:color w:val="6D6E71"/>
          <w:sz w:val="16"/>
        </w:rPr>
        <w:t>Cuadro 11. Habitantes en la vivienda</w:t>
      </w:r>
    </w:p>
    <w:p>
      <w:pPr>
        <w:pStyle w:val="BodyText"/>
        <w:spacing w:before="10"/>
        <w:rPr>
          <w:sz w:val="8"/>
        </w:rPr>
      </w:pPr>
    </w:p>
    <w:tbl>
      <w:tblPr>
        <w:tblW w:w="0" w:type="auto"/>
        <w:jc w:val="left"/>
        <w:tblInd w:w="7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9"/>
        <w:gridCol w:w="1627"/>
        <w:gridCol w:w="2253"/>
      </w:tblGrid>
      <w:tr>
        <w:trPr>
          <w:trHeight w:val="171" w:hRule="exact"/>
        </w:trPr>
        <w:tc>
          <w:tcPr>
            <w:tcW w:w="2629" w:type="dxa"/>
            <w:tcBorders>
              <w:right w:val="single" w:sz="4" w:space="0" w:color="FFFFFF"/>
            </w:tcBorders>
            <w:shd w:val="clear" w:color="auto" w:fill="929292"/>
          </w:tcPr>
          <w:p>
            <w:pPr>
              <w:pStyle w:val="TableParagraph"/>
              <w:spacing w:line="176" w:lineRule="exact"/>
              <w:ind w:left="5"/>
              <w:jc w:val="center"/>
              <w:rPr>
                <w:sz w:val="16"/>
              </w:rPr>
            </w:pPr>
            <w:r>
              <w:rPr>
                <w:sz w:val="16"/>
              </w:rPr>
              <w:t>Personas</w:t>
            </w:r>
          </w:p>
        </w:tc>
        <w:tc>
          <w:tcPr>
            <w:tcW w:w="1627" w:type="dxa"/>
            <w:tcBorders>
              <w:left w:val="single" w:sz="4" w:space="0" w:color="FFFFFF"/>
              <w:right w:val="single" w:sz="4" w:space="0" w:color="FFFFFF"/>
            </w:tcBorders>
            <w:shd w:val="clear" w:color="auto" w:fill="929292"/>
          </w:tcPr>
          <w:p>
            <w:pPr>
              <w:pStyle w:val="TableParagraph"/>
              <w:spacing w:line="176" w:lineRule="exact"/>
              <w:jc w:val="center"/>
              <w:rPr>
                <w:sz w:val="16"/>
              </w:rPr>
            </w:pPr>
            <w:r>
              <w:rPr>
                <w:sz w:val="16"/>
              </w:rPr>
              <w:t>Frecuencia</w:t>
            </w:r>
          </w:p>
        </w:tc>
        <w:tc>
          <w:tcPr>
            <w:tcW w:w="2253" w:type="dxa"/>
            <w:tcBorders>
              <w:left w:val="single" w:sz="4" w:space="0" w:color="FFFFFF"/>
            </w:tcBorders>
            <w:shd w:val="clear" w:color="auto" w:fill="929292"/>
          </w:tcPr>
          <w:p>
            <w:pPr>
              <w:pStyle w:val="TableParagraph"/>
              <w:spacing w:line="176" w:lineRule="exact"/>
              <w:ind w:left="4" w:right="6"/>
              <w:jc w:val="center"/>
              <w:rPr>
                <w:sz w:val="16"/>
              </w:rPr>
            </w:pPr>
            <w:r>
              <w:rPr>
                <w:sz w:val="16"/>
              </w:rPr>
              <w:t>Porcentaje</w:t>
            </w:r>
          </w:p>
        </w:tc>
      </w:tr>
      <w:tr>
        <w:trPr>
          <w:trHeight w:val="308" w:hRule="exact"/>
        </w:trPr>
        <w:tc>
          <w:tcPr>
            <w:tcW w:w="2629" w:type="dxa"/>
            <w:tcBorders>
              <w:right w:val="single" w:sz="4" w:space="0" w:color="929292"/>
            </w:tcBorders>
          </w:tcPr>
          <w:p>
            <w:pPr>
              <w:pStyle w:val="TableParagraph"/>
              <w:tabs>
                <w:tab w:pos="1259" w:val="left" w:leader="none"/>
                <w:tab w:pos="2603" w:val="left" w:leader="none"/>
              </w:tabs>
              <w:spacing w:before="88"/>
              <w:ind w:left="25"/>
              <w:jc w:val="center"/>
              <w:rPr>
                <w:sz w:val="16"/>
              </w:rPr>
            </w:pPr>
            <w:r>
              <w:rPr>
                <w:w w:val="100"/>
                <w:sz w:val="16"/>
                <w:u w:val="dotted" w:color="929292"/>
              </w:rPr>
              <w:t> </w:t>
            </w:r>
            <w:r>
              <w:rPr>
                <w:sz w:val="16"/>
                <w:u w:val="dotted" w:color="929292"/>
              </w:rPr>
              <w:tab/>
              <w:t>1</w:t>
              <w:tab/>
            </w:r>
          </w:p>
        </w:tc>
        <w:tc>
          <w:tcPr>
            <w:tcW w:w="1627" w:type="dxa"/>
            <w:tcBorders>
              <w:left w:val="single" w:sz="4" w:space="0" w:color="929292"/>
              <w:right w:val="single" w:sz="4" w:space="0" w:color="929292"/>
            </w:tcBorders>
          </w:tcPr>
          <w:p>
            <w:pPr>
              <w:pStyle w:val="TableParagraph"/>
              <w:tabs>
                <w:tab w:pos="753" w:val="left" w:leader="none"/>
                <w:tab w:pos="1596" w:val="left" w:leader="none"/>
              </w:tabs>
              <w:spacing w:before="88"/>
              <w:ind w:left="15"/>
              <w:jc w:val="center"/>
              <w:rPr>
                <w:sz w:val="16"/>
              </w:rPr>
            </w:pPr>
            <w:r>
              <w:rPr>
                <w:w w:val="100"/>
                <w:sz w:val="16"/>
                <w:u w:val="dotted" w:color="929292"/>
              </w:rPr>
              <w:t> </w:t>
            </w:r>
            <w:r>
              <w:rPr>
                <w:sz w:val="16"/>
                <w:u w:val="dotted" w:color="929292"/>
              </w:rPr>
              <w:tab/>
              <w:t>2</w:t>
              <w:tab/>
            </w:r>
          </w:p>
        </w:tc>
        <w:tc>
          <w:tcPr>
            <w:tcW w:w="2253" w:type="dxa"/>
            <w:tcBorders>
              <w:left w:val="single" w:sz="4" w:space="0" w:color="929292"/>
            </w:tcBorders>
          </w:tcPr>
          <w:p>
            <w:pPr>
              <w:pStyle w:val="TableParagraph"/>
              <w:tabs>
                <w:tab w:pos="990" w:val="left" w:leader="none"/>
                <w:tab w:pos="2207" w:val="left" w:leader="none"/>
              </w:tabs>
              <w:spacing w:before="88"/>
              <w:ind w:left="4"/>
              <w:jc w:val="center"/>
              <w:rPr>
                <w:sz w:val="16"/>
              </w:rPr>
            </w:pPr>
            <w:r>
              <w:rPr>
                <w:w w:val="100"/>
                <w:sz w:val="16"/>
                <w:u w:val="dotted" w:color="929292"/>
              </w:rPr>
              <w:t> </w:t>
            </w:r>
            <w:r>
              <w:rPr>
                <w:sz w:val="16"/>
                <w:u w:val="dotted" w:color="929292"/>
              </w:rPr>
              <w:tab/>
              <w:t>1.1</w:t>
              <w:tab/>
            </w:r>
          </w:p>
        </w:tc>
      </w:tr>
      <w:tr>
        <w:trPr>
          <w:trHeight w:val="240" w:hRule="exact"/>
        </w:trPr>
        <w:tc>
          <w:tcPr>
            <w:tcW w:w="2629" w:type="dxa"/>
            <w:tcBorders>
              <w:right w:val="single" w:sz="4" w:space="0" w:color="929292"/>
            </w:tcBorders>
          </w:tcPr>
          <w:p>
            <w:pPr>
              <w:pStyle w:val="TableParagraph"/>
              <w:tabs>
                <w:tab w:pos="1139" w:val="left" w:leader="none"/>
                <w:tab w:pos="2603" w:val="left" w:leader="none"/>
              </w:tabs>
              <w:spacing w:before="20"/>
              <w:ind w:left="25"/>
              <w:jc w:val="center"/>
              <w:rPr>
                <w:sz w:val="16"/>
              </w:rPr>
            </w:pPr>
            <w:r>
              <w:rPr>
                <w:w w:val="100"/>
                <w:sz w:val="16"/>
                <w:u w:val="dotted" w:color="929292"/>
              </w:rPr>
              <w:t> </w:t>
            </w:r>
            <w:r>
              <w:rPr>
                <w:sz w:val="16"/>
                <w:u w:val="dotted" w:color="929292"/>
              </w:rPr>
              <w:tab/>
            </w:r>
            <w:r>
              <w:rPr>
                <w:w w:val="105"/>
                <w:sz w:val="16"/>
                <w:u w:val="dotted" w:color="929292"/>
              </w:rPr>
              <w:t>2 -</w:t>
            </w:r>
            <w:r>
              <w:rPr>
                <w:spacing w:val="-8"/>
                <w:w w:val="105"/>
                <w:sz w:val="16"/>
                <w:u w:val="dotted" w:color="929292"/>
              </w:rPr>
              <w:t> </w:t>
            </w:r>
            <w:r>
              <w:rPr>
                <w:w w:val="105"/>
                <w:sz w:val="16"/>
                <w:u w:val="dotted" w:color="929292"/>
              </w:rPr>
              <w:t>7</w:t>
            </w:r>
            <w:r>
              <w:rPr>
                <w:sz w:val="16"/>
                <w:u w:val="dotted" w:color="929292"/>
              </w:rPr>
              <w:tab/>
            </w:r>
          </w:p>
        </w:tc>
        <w:tc>
          <w:tcPr>
            <w:tcW w:w="1627" w:type="dxa"/>
            <w:tcBorders>
              <w:left w:val="single" w:sz="4" w:space="0" w:color="929292"/>
              <w:right w:val="single" w:sz="4" w:space="0" w:color="929292"/>
            </w:tcBorders>
          </w:tcPr>
          <w:p>
            <w:pPr>
              <w:pStyle w:val="TableParagraph"/>
              <w:tabs>
                <w:tab w:pos="665" w:val="left" w:leader="none"/>
                <w:tab w:pos="1596" w:val="left" w:leader="none"/>
              </w:tabs>
              <w:spacing w:before="20"/>
              <w:ind w:left="15"/>
              <w:jc w:val="center"/>
              <w:rPr>
                <w:sz w:val="16"/>
              </w:rPr>
            </w:pPr>
            <w:r>
              <w:rPr>
                <w:w w:val="100"/>
                <w:sz w:val="16"/>
                <w:u w:val="dotted" w:color="929292"/>
              </w:rPr>
              <w:t> </w:t>
            </w:r>
            <w:r>
              <w:rPr>
                <w:sz w:val="16"/>
                <w:u w:val="dotted" w:color="929292"/>
              </w:rPr>
              <w:tab/>
              <w:t>154</w:t>
              <w:tab/>
            </w:r>
          </w:p>
        </w:tc>
        <w:tc>
          <w:tcPr>
            <w:tcW w:w="2253" w:type="dxa"/>
            <w:tcBorders>
              <w:left w:val="single" w:sz="4" w:space="0" w:color="929292"/>
            </w:tcBorders>
          </w:tcPr>
          <w:p>
            <w:pPr>
              <w:pStyle w:val="TableParagraph"/>
              <w:tabs>
                <w:tab w:pos="945" w:val="left" w:leader="none"/>
                <w:tab w:pos="2207" w:val="left" w:leader="none"/>
              </w:tabs>
              <w:spacing w:before="20"/>
              <w:ind w:left="4"/>
              <w:jc w:val="center"/>
              <w:rPr>
                <w:sz w:val="16"/>
              </w:rPr>
            </w:pPr>
            <w:r>
              <w:rPr>
                <w:w w:val="100"/>
                <w:sz w:val="16"/>
                <w:u w:val="dotted" w:color="929292"/>
              </w:rPr>
              <w:t> </w:t>
            </w:r>
            <w:r>
              <w:rPr>
                <w:sz w:val="16"/>
                <w:u w:val="dotted" w:color="929292"/>
              </w:rPr>
              <w:tab/>
              <w:t>85.6</w:t>
              <w:tab/>
            </w:r>
          </w:p>
        </w:tc>
      </w:tr>
      <w:tr>
        <w:trPr>
          <w:trHeight w:val="240" w:hRule="exact"/>
        </w:trPr>
        <w:tc>
          <w:tcPr>
            <w:tcW w:w="2629" w:type="dxa"/>
            <w:tcBorders>
              <w:right w:val="single" w:sz="4" w:space="0" w:color="929292"/>
            </w:tcBorders>
          </w:tcPr>
          <w:p>
            <w:pPr>
              <w:pStyle w:val="TableParagraph"/>
              <w:tabs>
                <w:tab w:pos="1095" w:val="left" w:leader="none"/>
                <w:tab w:pos="2603" w:val="left" w:leader="none"/>
              </w:tabs>
              <w:spacing w:before="20"/>
              <w:ind w:left="25"/>
              <w:jc w:val="center"/>
              <w:rPr>
                <w:sz w:val="16"/>
              </w:rPr>
            </w:pPr>
            <w:r>
              <w:rPr>
                <w:w w:val="100"/>
                <w:sz w:val="16"/>
                <w:u w:val="dotted" w:color="929292"/>
              </w:rPr>
              <w:t> </w:t>
            </w:r>
            <w:r>
              <w:rPr>
                <w:sz w:val="16"/>
                <w:u w:val="dotted" w:color="929292"/>
              </w:rPr>
              <w:tab/>
            </w:r>
            <w:r>
              <w:rPr>
                <w:w w:val="105"/>
                <w:sz w:val="16"/>
                <w:u w:val="dotted" w:color="929292"/>
              </w:rPr>
              <w:t>8 -</w:t>
            </w:r>
            <w:r>
              <w:rPr>
                <w:spacing w:val="-12"/>
                <w:w w:val="105"/>
                <w:sz w:val="16"/>
                <w:u w:val="dotted" w:color="929292"/>
              </w:rPr>
              <w:t> </w:t>
            </w:r>
            <w:r>
              <w:rPr>
                <w:w w:val="105"/>
                <w:sz w:val="16"/>
                <w:u w:val="dotted" w:color="929292"/>
              </w:rPr>
              <w:t>13</w:t>
            </w:r>
            <w:r>
              <w:rPr>
                <w:sz w:val="16"/>
                <w:u w:val="dotted" w:color="929292"/>
              </w:rPr>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before="20"/>
              <w:ind w:left="15"/>
              <w:jc w:val="center"/>
              <w:rPr>
                <w:sz w:val="16"/>
              </w:rPr>
            </w:pPr>
            <w:r>
              <w:rPr>
                <w:w w:val="100"/>
                <w:sz w:val="16"/>
                <w:u w:val="dotted" w:color="929292"/>
              </w:rPr>
              <w:t> </w:t>
            </w:r>
            <w:r>
              <w:rPr>
                <w:sz w:val="16"/>
                <w:u w:val="dotted" w:color="929292"/>
              </w:rPr>
              <w:tab/>
              <w:t>21</w:t>
              <w:tab/>
            </w:r>
          </w:p>
        </w:tc>
        <w:tc>
          <w:tcPr>
            <w:tcW w:w="2253" w:type="dxa"/>
            <w:tcBorders>
              <w:left w:val="single" w:sz="4" w:space="0" w:color="929292"/>
            </w:tcBorders>
          </w:tcPr>
          <w:p>
            <w:pPr>
              <w:pStyle w:val="TableParagraph"/>
              <w:tabs>
                <w:tab w:pos="946" w:val="left" w:leader="none"/>
                <w:tab w:pos="2207" w:val="left" w:leader="none"/>
              </w:tabs>
              <w:spacing w:before="20"/>
              <w:ind w:left="4"/>
              <w:jc w:val="center"/>
              <w:rPr>
                <w:sz w:val="16"/>
              </w:rPr>
            </w:pPr>
            <w:r>
              <w:rPr>
                <w:w w:val="100"/>
                <w:sz w:val="16"/>
                <w:u w:val="dotted" w:color="929292"/>
              </w:rPr>
              <w:t> </w:t>
            </w:r>
            <w:r>
              <w:rPr>
                <w:sz w:val="16"/>
                <w:u w:val="dotted" w:color="929292"/>
              </w:rPr>
              <w:tab/>
              <w:t>11.7</w:t>
              <w:tab/>
            </w:r>
          </w:p>
        </w:tc>
      </w:tr>
      <w:tr>
        <w:trPr>
          <w:trHeight w:val="240" w:hRule="exact"/>
        </w:trPr>
        <w:tc>
          <w:tcPr>
            <w:tcW w:w="2629" w:type="dxa"/>
            <w:tcBorders>
              <w:right w:val="single" w:sz="4" w:space="0" w:color="929292"/>
            </w:tcBorders>
          </w:tcPr>
          <w:p>
            <w:pPr>
              <w:pStyle w:val="TableParagraph"/>
              <w:tabs>
                <w:tab w:pos="1051" w:val="left" w:leader="none"/>
                <w:tab w:pos="2603" w:val="left" w:leader="none"/>
              </w:tabs>
              <w:spacing w:before="20"/>
              <w:ind w:left="25"/>
              <w:jc w:val="center"/>
              <w:rPr>
                <w:sz w:val="16"/>
              </w:rPr>
            </w:pPr>
            <w:r>
              <w:rPr>
                <w:w w:val="100"/>
                <w:sz w:val="16"/>
                <w:u w:val="dotted" w:color="929292"/>
              </w:rPr>
              <w:t> </w:t>
            </w:r>
            <w:r>
              <w:rPr>
                <w:sz w:val="16"/>
                <w:u w:val="dotted" w:color="929292"/>
              </w:rPr>
              <w:tab/>
            </w:r>
            <w:r>
              <w:rPr>
                <w:w w:val="105"/>
                <w:sz w:val="16"/>
                <w:u w:val="dotted" w:color="929292"/>
              </w:rPr>
              <w:t>14 -</w:t>
            </w:r>
            <w:r>
              <w:rPr>
                <w:spacing w:val="-17"/>
                <w:w w:val="105"/>
                <w:sz w:val="16"/>
                <w:u w:val="dotted" w:color="929292"/>
              </w:rPr>
              <w:t> </w:t>
            </w:r>
            <w:r>
              <w:rPr>
                <w:w w:val="105"/>
                <w:sz w:val="16"/>
                <w:u w:val="dotted" w:color="929292"/>
              </w:rPr>
              <w:t>19</w:t>
            </w:r>
            <w:r>
              <w:rPr>
                <w:sz w:val="16"/>
                <w:u w:val="dotted" w:color="929292"/>
              </w:rPr>
              <w:tab/>
            </w:r>
          </w:p>
        </w:tc>
        <w:tc>
          <w:tcPr>
            <w:tcW w:w="1627" w:type="dxa"/>
            <w:tcBorders>
              <w:left w:val="single" w:sz="4" w:space="0" w:color="929292"/>
              <w:right w:val="single" w:sz="4" w:space="0" w:color="929292"/>
            </w:tcBorders>
          </w:tcPr>
          <w:p>
            <w:pPr>
              <w:pStyle w:val="TableParagraph"/>
              <w:tabs>
                <w:tab w:pos="754" w:val="left" w:leader="none"/>
                <w:tab w:pos="1596" w:val="left" w:leader="none"/>
              </w:tabs>
              <w:spacing w:before="20"/>
              <w:ind w:left="15"/>
              <w:jc w:val="center"/>
              <w:rPr>
                <w:sz w:val="16"/>
              </w:rPr>
            </w:pPr>
            <w:r>
              <w:rPr>
                <w:w w:val="100"/>
                <w:sz w:val="16"/>
                <w:u w:val="dotted" w:color="929292"/>
              </w:rPr>
              <w:t> </w:t>
            </w:r>
            <w:r>
              <w:rPr>
                <w:sz w:val="16"/>
                <w:u w:val="dotted" w:color="929292"/>
              </w:rPr>
              <w:tab/>
              <w:t>3</w:t>
              <w:tab/>
            </w:r>
          </w:p>
        </w:tc>
        <w:tc>
          <w:tcPr>
            <w:tcW w:w="2253" w:type="dxa"/>
            <w:tcBorders>
              <w:left w:val="single" w:sz="4" w:space="0" w:color="929292"/>
            </w:tcBorders>
          </w:tcPr>
          <w:p>
            <w:pPr>
              <w:pStyle w:val="TableParagraph"/>
              <w:tabs>
                <w:tab w:pos="990" w:val="left" w:leader="none"/>
                <w:tab w:pos="2207" w:val="left" w:leader="none"/>
              </w:tabs>
              <w:spacing w:before="20"/>
              <w:ind w:left="4"/>
              <w:jc w:val="center"/>
              <w:rPr>
                <w:sz w:val="16"/>
              </w:rPr>
            </w:pPr>
            <w:r>
              <w:rPr>
                <w:w w:val="100"/>
                <w:sz w:val="16"/>
                <w:u w:val="dotted" w:color="929292"/>
              </w:rPr>
              <w:t> </w:t>
            </w:r>
            <w:r>
              <w:rPr>
                <w:sz w:val="16"/>
                <w:u w:val="dotted" w:color="929292"/>
              </w:rPr>
              <w:tab/>
              <w:t>1.7</w:t>
              <w:tab/>
            </w:r>
          </w:p>
        </w:tc>
      </w:tr>
      <w:tr>
        <w:trPr>
          <w:trHeight w:val="186" w:hRule="exact"/>
        </w:trPr>
        <w:tc>
          <w:tcPr>
            <w:tcW w:w="2629" w:type="dxa"/>
            <w:tcBorders>
              <w:right w:val="single" w:sz="4" w:space="0" w:color="929292"/>
            </w:tcBorders>
          </w:tcPr>
          <w:p>
            <w:pPr>
              <w:pStyle w:val="TableParagraph"/>
              <w:tabs>
                <w:tab w:pos="1127" w:val="left" w:leader="none"/>
                <w:tab w:pos="2603" w:val="left" w:leader="none"/>
              </w:tabs>
              <w:spacing w:before="20"/>
              <w:ind w:left="25"/>
              <w:jc w:val="center"/>
              <w:rPr>
                <w:sz w:val="16"/>
              </w:rPr>
            </w:pPr>
            <w:r>
              <w:rPr>
                <w:w w:val="100"/>
                <w:sz w:val="16"/>
                <w:u w:val="dotted" w:color="929292"/>
              </w:rPr>
              <w:t> </w:t>
            </w:r>
            <w:r>
              <w:rPr>
                <w:sz w:val="16"/>
                <w:u w:val="dotted" w:color="929292"/>
              </w:rPr>
              <w:tab/>
              <w:t>Total</w:t>
              <w:tab/>
            </w:r>
          </w:p>
        </w:tc>
        <w:tc>
          <w:tcPr>
            <w:tcW w:w="1627" w:type="dxa"/>
            <w:tcBorders>
              <w:left w:val="single" w:sz="4" w:space="0" w:color="929292"/>
              <w:right w:val="single" w:sz="4" w:space="0" w:color="929292"/>
            </w:tcBorders>
          </w:tcPr>
          <w:p>
            <w:pPr>
              <w:pStyle w:val="TableParagraph"/>
              <w:tabs>
                <w:tab w:pos="665" w:val="left" w:leader="none"/>
                <w:tab w:pos="1596" w:val="left" w:leader="none"/>
              </w:tabs>
              <w:spacing w:before="20"/>
              <w:ind w:left="15"/>
              <w:jc w:val="center"/>
              <w:rPr>
                <w:sz w:val="16"/>
              </w:rPr>
            </w:pPr>
            <w:r>
              <w:rPr>
                <w:w w:val="100"/>
                <w:sz w:val="16"/>
                <w:u w:val="dotted" w:color="929292"/>
              </w:rPr>
              <w:t> </w:t>
            </w:r>
            <w:r>
              <w:rPr>
                <w:sz w:val="16"/>
                <w:u w:val="dotted" w:color="929292"/>
              </w:rPr>
              <w:tab/>
              <w:t>180</w:t>
              <w:tab/>
            </w:r>
          </w:p>
        </w:tc>
        <w:tc>
          <w:tcPr>
            <w:tcW w:w="2253" w:type="dxa"/>
            <w:tcBorders>
              <w:left w:val="single" w:sz="4" w:space="0" w:color="929292"/>
            </w:tcBorders>
          </w:tcPr>
          <w:p>
            <w:pPr>
              <w:pStyle w:val="TableParagraph"/>
              <w:tabs>
                <w:tab w:pos="901" w:val="left" w:leader="none"/>
                <w:tab w:pos="2207" w:val="left" w:leader="none"/>
              </w:tabs>
              <w:spacing w:before="20"/>
              <w:ind w:left="4"/>
              <w:jc w:val="center"/>
              <w:rPr>
                <w:sz w:val="16"/>
              </w:rPr>
            </w:pPr>
            <w:r>
              <w:rPr>
                <w:w w:val="100"/>
                <w:sz w:val="16"/>
                <w:u w:val="dotted" w:color="929292"/>
              </w:rPr>
              <w:t> </w:t>
            </w:r>
            <w:r>
              <w:rPr>
                <w:sz w:val="16"/>
                <w:u w:val="dotted" w:color="929292"/>
              </w:rPr>
              <w:tab/>
              <w:t>100.0</w:t>
              <w:tab/>
            </w:r>
          </w:p>
        </w:tc>
      </w:tr>
    </w:tbl>
    <w:p>
      <w:pPr>
        <w:pStyle w:val="BodyText"/>
        <w:spacing w:before="7"/>
        <w:rPr>
          <w:sz w:val="21"/>
        </w:rPr>
      </w:pPr>
    </w:p>
    <w:p>
      <w:pPr>
        <w:spacing w:line="626" w:lineRule="auto" w:before="0"/>
        <w:ind w:left="2665" w:right="2544" w:hanging="1"/>
        <w:jc w:val="center"/>
        <w:rPr>
          <w:sz w:val="16"/>
        </w:rPr>
      </w:pPr>
      <w:r>
        <w:rPr/>
        <w:pict>
          <v:line style="position:absolute;mso-position-horizontal-relative:page;mso-position-vertical-relative:paragraph;z-index:-642856" from="72.164803pt,-35.775482pt" to="72.164803pt,-35.775482pt" stroked="true" strokeweight=".5pt" strokecolor="#929292">
            <w10:wrap type="none"/>
          </v:line>
        </w:pict>
      </w:r>
      <w:r>
        <w:rPr/>
        <w:pict>
          <v:line style="position:absolute;mso-position-horizontal-relative:page;mso-position-vertical-relative:paragraph;z-index:-642832" from="397.114807pt,-35.775482pt" to="397.114807pt,-35.775482pt" stroked="true" strokeweight=".5pt" strokecolor="#929292">
            <w10:wrap type="none"/>
          </v:line>
        </w:pict>
      </w:r>
      <w:r>
        <w:rPr/>
        <w:pict>
          <v:line style="position:absolute;mso-position-horizontal-relative:page;mso-position-vertical-relative:paragraph;z-index:-642808" from="72.164803pt,-23.775482pt" to="72.164803pt,-23.775482pt" stroked="true" strokeweight=".5pt" strokecolor="#929292">
            <w10:wrap type="none"/>
          </v:line>
        </w:pict>
      </w:r>
      <w:r>
        <w:rPr/>
        <w:pict>
          <v:line style="position:absolute;mso-position-horizontal-relative:page;mso-position-vertical-relative:paragraph;z-index:-642784" from="397.114807pt,-23.775482pt" to="397.114807pt,-23.775482pt" stroked="true" strokeweight=".5pt" strokecolor="#929292">
            <w10:wrap type="none"/>
          </v:line>
        </w:pict>
      </w:r>
      <w:r>
        <w:rPr/>
        <w:drawing>
          <wp:anchor distT="0" distB="0" distL="0" distR="0" allowOverlap="1" layoutInCell="1" locked="0" behindDoc="1" simplePos="0" relativeHeight="267792695">
            <wp:simplePos x="0" y="0"/>
            <wp:positionH relativeFrom="page">
              <wp:posOffset>889888</wp:posOffset>
            </wp:positionH>
            <wp:positionV relativeFrom="paragraph">
              <wp:posOffset>553895</wp:posOffset>
            </wp:positionV>
            <wp:extent cx="4180073" cy="1434447"/>
            <wp:effectExtent l="0" t="0" r="0" b="0"/>
            <wp:wrapNone/>
            <wp:docPr id="97" name="image67.png" descr=""/>
            <wp:cNvGraphicFramePr>
              <a:graphicFrameLocks noChangeAspect="1"/>
            </wp:cNvGraphicFramePr>
            <a:graphic>
              <a:graphicData uri="http://schemas.openxmlformats.org/drawingml/2006/picture">
                <pic:pic>
                  <pic:nvPicPr>
                    <pic:cNvPr id="98" name="image67.png"/>
                    <pic:cNvPicPr/>
                  </pic:nvPicPr>
                  <pic:blipFill>
                    <a:blip r:embed="rId236" cstate="print"/>
                    <a:stretch>
                      <a:fillRect/>
                    </a:stretch>
                  </pic:blipFill>
                  <pic:spPr>
                    <a:xfrm>
                      <a:off x="0" y="0"/>
                      <a:ext cx="4180073" cy="1434447"/>
                    </a:xfrm>
                    <a:prstGeom prst="rect">
                      <a:avLst/>
                    </a:prstGeom>
                  </pic:spPr>
                </pic:pic>
              </a:graphicData>
            </a:graphic>
          </wp:anchor>
        </w:drawing>
      </w:r>
      <w:r>
        <w:rPr>
          <w:color w:val="6D6E71"/>
          <w:sz w:val="16"/>
        </w:rPr>
        <w:t>Fuente: Elaboración propia, 2015. Gráfica 16. Habitantes en la vivienda</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rPr>
          <w:sz w:val="17"/>
        </w:rPr>
      </w:pPr>
    </w:p>
    <w:p>
      <w:pPr>
        <w:spacing w:before="1"/>
        <w:ind w:left="1742" w:right="1625" w:firstLine="0"/>
        <w:jc w:val="center"/>
        <w:rPr>
          <w:sz w:val="16"/>
        </w:rPr>
      </w:pPr>
      <w:r>
        <w:rPr>
          <w:color w:val="6D6E71"/>
          <w:sz w:val="16"/>
        </w:rPr>
        <w:t>Fuente: Elaboración propia, 2015.</w:t>
      </w:r>
    </w:p>
    <w:p>
      <w:pPr>
        <w:pStyle w:val="BodyText"/>
        <w:spacing w:before="5"/>
        <w:rPr>
          <w:sz w:val="22"/>
        </w:rPr>
      </w:pPr>
    </w:p>
    <w:p>
      <w:pPr>
        <w:pStyle w:val="BodyText"/>
        <w:spacing w:line="249" w:lineRule="auto"/>
        <w:ind w:left="117" w:firstLine="170"/>
        <w:jc w:val="both"/>
      </w:pPr>
      <w:r>
        <w:rPr/>
        <w:t>El cuadro 11 y gráfica 17 muestran si el huerto familiar ya existía cuando la familia llegó a habitar el predio, la mitad de los entrevistados ya contaba con el huerto cuando construyó su casa. Esto indica que se hizo la casa en un terreno con árboles.</w:t>
      </w:r>
    </w:p>
    <w:p>
      <w:pPr>
        <w:pStyle w:val="BodyText"/>
        <w:spacing w:before="2"/>
        <w:rPr>
          <w:sz w:val="24"/>
        </w:rPr>
      </w:pPr>
    </w:p>
    <w:p>
      <w:pPr>
        <w:spacing w:before="0"/>
        <w:ind w:left="1742" w:right="1625" w:firstLine="0"/>
        <w:jc w:val="center"/>
        <w:rPr>
          <w:sz w:val="16"/>
        </w:rPr>
      </w:pPr>
      <w:r>
        <w:rPr>
          <w:color w:val="6D6E71"/>
          <w:sz w:val="16"/>
        </w:rPr>
        <w:t>Cuadro 12. Cuándo llegó a vivir a su casa, ya estaba el huerto</w:t>
      </w:r>
    </w:p>
    <w:p>
      <w:pPr>
        <w:pStyle w:val="BodyText"/>
        <w:spacing w:before="10"/>
        <w:rPr>
          <w:sz w:val="8"/>
        </w:rPr>
      </w:pPr>
    </w:p>
    <w:tbl>
      <w:tblPr>
        <w:tblW w:w="0" w:type="auto"/>
        <w:jc w:val="left"/>
        <w:tblInd w:w="713"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2629"/>
        <w:gridCol w:w="1627"/>
        <w:gridCol w:w="2253"/>
      </w:tblGrid>
      <w:tr>
        <w:trPr>
          <w:trHeight w:val="266" w:hRule="exact"/>
        </w:trPr>
        <w:tc>
          <w:tcPr>
            <w:tcW w:w="2629" w:type="dxa"/>
            <w:tcBorders>
              <w:top w:val="nil"/>
              <w:left w:val="nil"/>
              <w:bottom w:val="dotted" w:sz="4" w:space="0" w:color="FFFFFF"/>
              <w:right w:val="single" w:sz="4" w:space="0" w:color="FFFFFF"/>
            </w:tcBorders>
            <w:shd w:val="clear" w:color="auto" w:fill="929292"/>
          </w:tcPr>
          <w:p>
            <w:pPr>
              <w:pStyle w:val="TableParagraph"/>
              <w:spacing w:before="40"/>
              <w:ind w:left="5"/>
              <w:jc w:val="center"/>
              <w:rPr>
                <w:sz w:val="16"/>
              </w:rPr>
            </w:pPr>
            <w:r>
              <w:rPr>
                <w:sz w:val="16"/>
              </w:rPr>
              <w:t>Existía el huerto</w:t>
            </w:r>
          </w:p>
        </w:tc>
        <w:tc>
          <w:tcPr>
            <w:tcW w:w="1627" w:type="dxa"/>
            <w:tcBorders>
              <w:top w:val="nil"/>
              <w:left w:val="single" w:sz="4" w:space="0" w:color="FFFFFF"/>
              <w:bottom w:val="dotted" w:sz="4" w:space="0" w:color="FFFFFF"/>
              <w:right w:val="single" w:sz="4" w:space="0" w:color="FFFFFF"/>
            </w:tcBorders>
            <w:shd w:val="clear" w:color="auto" w:fill="929292"/>
          </w:tcPr>
          <w:p>
            <w:pPr>
              <w:pStyle w:val="TableParagraph"/>
              <w:spacing w:before="40"/>
              <w:jc w:val="center"/>
              <w:rPr>
                <w:sz w:val="16"/>
              </w:rPr>
            </w:pPr>
            <w:r>
              <w:rPr>
                <w:sz w:val="16"/>
              </w:rPr>
              <w:t>Frecuencia</w:t>
            </w:r>
          </w:p>
        </w:tc>
        <w:tc>
          <w:tcPr>
            <w:tcW w:w="2253" w:type="dxa"/>
            <w:tcBorders>
              <w:top w:val="nil"/>
              <w:left w:val="single" w:sz="4" w:space="0" w:color="FFFFFF"/>
              <w:bottom w:val="dotted" w:sz="4" w:space="0" w:color="FFFFFF"/>
              <w:right w:val="nil"/>
            </w:tcBorders>
            <w:shd w:val="clear" w:color="auto" w:fill="929292"/>
          </w:tcPr>
          <w:p>
            <w:pPr>
              <w:pStyle w:val="TableParagraph"/>
              <w:spacing w:before="40"/>
              <w:ind w:left="4" w:right="7"/>
              <w:jc w:val="center"/>
              <w:rPr>
                <w:sz w:val="16"/>
              </w:rPr>
            </w:pPr>
            <w:r>
              <w:rPr>
                <w:sz w:val="16"/>
              </w:rPr>
              <w:t>Porcentaje</w:t>
            </w:r>
          </w:p>
        </w:tc>
      </w:tr>
      <w:tr>
        <w:trPr>
          <w:trHeight w:val="240" w:hRule="exact"/>
        </w:trPr>
        <w:tc>
          <w:tcPr>
            <w:tcW w:w="2629" w:type="dxa"/>
            <w:tcBorders>
              <w:top w:val="dotted" w:sz="4" w:space="0" w:color="FFFFFF"/>
              <w:left w:val="nil"/>
            </w:tcBorders>
          </w:tcPr>
          <w:p>
            <w:pPr>
              <w:pStyle w:val="TableParagraph"/>
              <w:spacing w:line="148" w:lineRule="exact"/>
              <w:ind w:left="4"/>
              <w:jc w:val="center"/>
              <w:rPr>
                <w:sz w:val="16"/>
              </w:rPr>
            </w:pPr>
            <w:r>
              <w:rPr>
                <w:sz w:val="16"/>
              </w:rPr>
              <w:t>Si</w:t>
            </w:r>
          </w:p>
        </w:tc>
        <w:tc>
          <w:tcPr>
            <w:tcW w:w="1627" w:type="dxa"/>
            <w:tcBorders>
              <w:top w:val="dotted" w:sz="4" w:space="0" w:color="FFFFFF"/>
            </w:tcBorders>
          </w:tcPr>
          <w:p>
            <w:pPr>
              <w:pStyle w:val="TableParagraph"/>
              <w:spacing w:line="148" w:lineRule="exact"/>
              <w:jc w:val="center"/>
              <w:rPr>
                <w:sz w:val="16"/>
              </w:rPr>
            </w:pPr>
            <w:r>
              <w:rPr>
                <w:sz w:val="16"/>
              </w:rPr>
              <w:t>94</w:t>
            </w:r>
          </w:p>
        </w:tc>
        <w:tc>
          <w:tcPr>
            <w:tcW w:w="2253" w:type="dxa"/>
            <w:tcBorders>
              <w:top w:val="dotted" w:sz="4" w:space="0" w:color="FFFFFF"/>
              <w:right w:val="nil"/>
            </w:tcBorders>
          </w:tcPr>
          <w:p>
            <w:pPr>
              <w:pStyle w:val="TableParagraph"/>
              <w:spacing w:line="148" w:lineRule="exact"/>
              <w:ind w:left="4" w:right="7"/>
              <w:jc w:val="center"/>
              <w:rPr>
                <w:sz w:val="16"/>
              </w:rPr>
            </w:pPr>
            <w:r>
              <w:rPr>
                <w:sz w:val="16"/>
              </w:rPr>
              <w:t>52.2</w:t>
            </w:r>
          </w:p>
        </w:tc>
      </w:tr>
      <w:tr>
        <w:trPr>
          <w:trHeight w:val="240" w:hRule="exact"/>
        </w:trPr>
        <w:tc>
          <w:tcPr>
            <w:tcW w:w="2629" w:type="dxa"/>
            <w:tcBorders>
              <w:left w:val="nil"/>
            </w:tcBorders>
          </w:tcPr>
          <w:p>
            <w:pPr>
              <w:pStyle w:val="TableParagraph"/>
              <w:spacing w:line="148" w:lineRule="exact"/>
              <w:ind w:left="4"/>
              <w:jc w:val="center"/>
              <w:rPr>
                <w:sz w:val="16"/>
              </w:rPr>
            </w:pPr>
            <w:r>
              <w:rPr>
                <w:sz w:val="16"/>
              </w:rPr>
              <w:t>No</w:t>
            </w:r>
          </w:p>
        </w:tc>
        <w:tc>
          <w:tcPr>
            <w:tcW w:w="1627" w:type="dxa"/>
          </w:tcPr>
          <w:p>
            <w:pPr>
              <w:pStyle w:val="TableParagraph"/>
              <w:spacing w:line="148" w:lineRule="exact"/>
              <w:jc w:val="center"/>
              <w:rPr>
                <w:sz w:val="16"/>
              </w:rPr>
            </w:pPr>
            <w:r>
              <w:rPr>
                <w:sz w:val="16"/>
              </w:rPr>
              <w:t>86</w:t>
            </w:r>
          </w:p>
        </w:tc>
        <w:tc>
          <w:tcPr>
            <w:tcW w:w="2253" w:type="dxa"/>
            <w:tcBorders>
              <w:right w:val="nil"/>
            </w:tcBorders>
          </w:tcPr>
          <w:p>
            <w:pPr>
              <w:pStyle w:val="TableParagraph"/>
              <w:spacing w:line="148" w:lineRule="exact"/>
              <w:ind w:left="4" w:right="7"/>
              <w:jc w:val="center"/>
              <w:rPr>
                <w:sz w:val="16"/>
              </w:rPr>
            </w:pPr>
            <w:r>
              <w:rPr>
                <w:sz w:val="16"/>
              </w:rPr>
              <w:t>47.8</w:t>
            </w:r>
          </w:p>
        </w:tc>
      </w:tr>
      <w:tr>
        <w:trPr>
          <w:trHeight w:val="246" w:hRule="exact"/>
        </w:trPr>
        <w:tc>
          <w:tcPr>
            <w:tcW w:w="2629" w:type="dxa"/>
            <w:tcBorders>
              <w:left w:val="nil"/>
              <w:bottom w:val="dotted" w:sz="4" w:space="0" w:color="929292"/>
            </w:tcBorders>
          </w:tcPr>
          <w:p>
            <w:pPr>
              <w:pStyle w:val="TableParagraph"/>
              <w:spacing w:line="148" w:lineRule="exact"/>
              <w:ind w:left="4"/>
              <w:jc w:val="center"/>
              <w:rPr>
                <w:sz w:val="16"/>
              </w:rPr>
            </w:pPr>
            <w:r>
              <w:rPr>
                <w:sz w:val="16"/>
              </w:rPr>
              <w:t>Total</w:t>
            </w:r>
          </w:p>
        </w:tc>
        <w:tc>
          <w:tcPr>
            <w:tcW w:w="1627" w:type="dxa"/>
            <w:tcBorders>
              <w:bottom w:val="dotted" w:sz="4" w:space="0" w:color="929292"/>
            </w:tcBorders>
          </w:tcPr>
          <w:p>
            <w:pPr>
              <w:pStyle w:val="TableParagraph"/>
              <w:spacing w:line="148" w:lineRule="exact"/>
              <w:jc w:val="center"/>
              <w:rPr>
                <w:sz w:val="16"/>
              </w:rPr>
            </w:pPr>
            <w:r>
              <w:rPr>
                <w:sz w:val="16"/>
              </w:rPr>
              <w:t>180</w:t>
            </w:r>
          </w:p>
        </w:tc>
        <w:tc>
          <w:tcPr>
            <w:tcW w:w="2253" w:type="dxa"/>
            <w:tcBorders>
              <w:bottom w:val="dotted" w:sz="4" w:space="0" w:color="929292"/>
              <w:right w:val="nil"/>
            </w:tcBorders>
          </w:tcPr>
          <w:p>
            <w:pPr>
              <w:pStyle w:val="TableParagraph"/>
              <w:spacing w:line="148" w:lineRule="exact"/>
              <w:ind w:left="4" w:right="7"/>
              <w:jc w:val="center"/>
              <w:rPr>
                <w:sz w:val="16"/>
              </w:rPr>
            </w:pPr>
            <w:r>
              <w:rPr>
                <w:sz w:val="16"/>
              </w:rPr>
              <w:t>100.0</w:t>
            </w:r>
          </w:p>
        </w:tc>
      </w:tr>
    </w:tbl>
    <w:p>
      <w:pPr>
        <w:pStyle w:val="BodyText"/>
        <w:spacing w:before="6"/>
        <w:rPr>
          <w:sz w:val="13"/>
        </w:rPr>
      </w:pPr>
    </w:p>
    <w:p>
      <w:pPr>
        <w:spacing w:before="0"/>
        <w:ind w:left="1742" w:right="1625" w:firstLine="0"/>
        <w:jc w:val="center"/>
        <w:rPr>
          <w:sz w:val="16"/>
        </w:rPr>
      </w:pPr>
      <w:r>
        <w:rPr>
          <w:color w:val="6D6E71"/>
          <w:sz w:val="16"/>
        </w:rPr>
        <w:t>Fuente: Elaboración propia, 2015.</w:t>
      </w:r>
    </w:p>
    <w:p>
      <w:pPr>
        <w:spacing w:before="114"/>
        <w:ind w:left="0" w:right="11" w:firstLine="0"/>
        <w:jc w:val="center"/>
        <w:rPr>
          <w:sz w:val="16"/>
        </w:rPr>
      </w:pPr>
      <w:r>
        <w:rPr/>
        <w:br w:type="column"/>
      </w:r>
      <w:r>
        <w:rPr>
          <w:color w:val="6D6E71"/>
          <w:sz w:val="16"/>
        </w:rPr>
        <w:t>Gráfica 17. Su casa contaba con huerto</w:t>
      </w:r>
    </w:p>
    <w:p>
      <w:pPr>
        <w:pStyle w:val="BodyText"/>
        <w:spacing w:before="10"/>
        <w:rPr>
          <w:sz w:val="7"/>
        </w:rPr>
      </w:pPr>
    </w:p>
    <w:p>
      <w:pPr>
        <w:pStyle w:val="BodyText"/>
        <w:ind w:left="2333"/>
      </w:pPr>
      <w:r>
        <w:rPr/>
        <w:drawing>
          <wp:inline distT="0" distB="0" distL="0" distR="0">
            <wp:extent cx="2096518" cy="1311021"/>
            <wp:effectExtent l="0" t="0" r="0" b="0"/>
            <wp:docPr id="99" name="image68.png" descr=""/>
            <wp:cNvGraphicFramePr>
              <a:graphicFrameLocks noChangeAspect="1"/>
            </wp:cNvGraphicFramePr>
            <a:graphic>
              <a:graphicData uri="http://schemas.openxmlformats.org/drawingml/2006/picture">
                <pic:pic>
                  <pic:nvPicPr>
                    <pic:cNvPr id="100" name="image68.png"/>
                    <pic:cNvPicPr/>
                  </pic:nvPicPr>
                  <pic:blipFill>
                    <a:blip r:embed="rId237" cstate="print"/>
                    <a:stretch>
                      <a:fillRect/>
                    </a:stretch>
                  </pic:blipFill>
                  <pic:spPr>
                    <a:xfrm>
                      <a:off x="0" y="0"/>
                      <a:ext cx="2096518" cy="1311021"/>
                    </a:xfrm>
                    <a:prstGeom prst="rect">
                      <a:avLst/>
                    </a:prstGeom>
                  </pic:spPr>
                </pic:pic>
              </a:graphicData>
            </a:graphic>
          </wp:inline>
        </w:drawing>
      </w:r>
      <w:r>
        <w:rPr/>
      </w:r>
    </w:p>
    <w:p>
      <w:pPr>
        <w:spacing w:before="60"/>
        <w:ind w:left="0" w:right="12" w:firstLine="0"/>
        <w:jc w:val="center"/>
        <w:rPr>
          <w:sz w:val="16"/>
        </w:rPr>
      </w:pPr>
      <w:r>
        <w:rPr>
          <w:color w:val="6D6E71"/>
          <w:sz w:val="16"/>
        </w:rPr>
        <w:t>Fuente: Elaboración propia, 2015.</w:t>
      </w:r>
    </w:p>
    <w:p>
      <w:pPr>
        <w:pStyle w:val="BodyText"/>
        <w:spacing w:before="5"/>
        <w:rPr>
          <w:sz w:val="22"/>
        </w:rPr>
      </w:pPr>
    </w:p>
    <w:p>
      <w:pPr>
        <w:pStyle w:val="BodyText"/>
        <w:spacing w:line="249" w:lineRule="auto"/>
        <w:ind w:left="117" w:right="128" w:firstLine="170"/>
        <w:jc w:val="both"/>
      </w:pPr>
      <w:r>
        <w:rPr/>
        <w:t>En</w:t>
      </w:r>
      <w:r>
        <w:rPr>
          <w:spacing w:val="-7"/>
        </w:rPr>
        <w:t> </w:t>
      </w:r>
      <w:r>
        <w:rPr/>
        <w:t>el</w:t>
      </w:r>
      <w:r>
        <w:rPr>
          <w:spacing w:val="-7"/>
        </w:rPr>
        <w:t> </w:t>
      </w:r>
      <w:r>
        <w:rPr/>
        <w:t>cuadro</w:t>
      </w:r>
      <w:r>
        <w:rPr>
          <w:spacing w:val="-7"/>
        </w:rPr>
        <w:t> </w:t>
      </w:r>
      <w:r>
        <w:rPr/>
        <w:t>13</w:t>
      </w:r>
      <w:r>
        <w:rPr>
          <w:spacing w:val="-7"/>
        </w:rPr>
        <w:t> </w:t>
      </w:r>
      <w:r>
        <w:rPr/>
        <w:t>y</w:t>
      </w:r>
      <w:r>
        <w:rPr>
          <w:spacing w:val="-7"/>
        </w:rPr>
        <w:t> </w:t>
      </w:r>
      <w:r>
        <w:rPr/>
        <w:t>gráfica</w:t>
      </w:r>
      <w:r>
        <w:rPr>
          <w:spacing w:val="-7"/>
        </w:rPr>
        <w:t> </w:t>
      </w:r>
      <w:r>
        <w:rPr/>
        <w:t>18</w:t>
      </w:r>
      <w:r>
        <w:rPr>
          <w:spacing w:val="-7"/>
        </w:rPr>
        <w:t> </w:t>
      </w:r>
      <w:r>
        <w:rPr/>
        <w:t>se</w:t>
      </w:r>
      <w:r>
        <w:rPr>
          <w:spacing w:val="-7"/>
        </w:rPr>
        <w:t> </w:t>
      </w:r>
      <w:r>
        <w:rPr/>
        <w:t>observa</w:t>
      </w:r>
      <w:r>
        <w:rPr>
          <w:spacing w:val="-7"/>
        </w:rPr>
        <w:t> </w:t>
      </w:r>
      <w:r>
        <w:rPr/>
        <w:t>el</w:t>
      </w:r>
      <w:r>
        <w:rPr>
          <w:spacing w:val="-7"/>
        </w:rPr>
        <w:t> </w:t>
      </w:r>
      <w:r>
        <w:rPr/>
        <w:t>número</w:t>
      </w:r>
      <w:r>
        <w:rPr>
          <w:spacing w:val="-7"/>
        </w:rPr>
        <w:t> </w:t>
      </w:r>
      <w:r>
        <w:rPr/>
        <w:t>de</w:t>
      </w:r>
      <w:r>
        <w:rPr>
          <w:spacing w:val="-7"/>
        </w:rPr>
        <w:t> </w:t>
      </w:r>
      <w:r>
        <w:rPr/>
        <w:t>años</w:t>
      </w:r>
      <w:r>
        <w:rPr>
          <w:spacing w:val="-7"/>
        </w:rPr>
        <w:t> </w:t>
      </w:r>
      <w:r>
        <w:rPr/>
        <w:t>que</w:t>
      </w:r>
      <w:r>
        <w:rPr>
          <w:spacing w:val="-7"/>
        </w:rPr>
        <w:t> </w:t>
      </w:r>
      <w:r>
        <w:rPr/>
        <w:t>las</w:t>
      </w:r>
      <w:r>
        <w:rPr>
          <w:spacing w:val="-7"/>
        </w:rPr>
        <w:t> </w:t>
      </w:r>
      <w:r>
        <w:rPr/>
        <w:t>familias</w:t>
      </w:r>
      <w:r>
        <w:rPr>
          <w:spacing w:val="-7"/>
        </w:rPr>
        <w:t> </w:t>
      </w:r>
      <w:r>
        <w:rPr/>
        <w:t>tienen</w:t>
      </w:r>
      <w:r>
        <w:rPr>
          <w:spacing w:val="-7"/>
        </w:rPr>
        <w:t> </w:t>
      </w:r>
      <w:r>
        <w:rPr/>
        <w:t>con el huerto familiar, casi la mitad de las familias tienen de a 6 a 29 años con su huerto, y casi otra cuarta parte tiene de 30 a 41 años. Esto indica que los huertos familiares no son recientes en la</w:t>
      </w:r>
      <w:r>
        <w:rPr>
          <w:spacing w:val="-6"/>
        </w:rPr>
        <w:t> </w:t>
      </w:r>
      <w:r>
        <w:rPr/>
        <w:t>zona.</w:t>
      </w:r>
    </w:p>
    <w:p>
      <w:pPr>
        <w:pStyle w:val="BodyText"/>
        <w:spacing w:before="4"/>
        <w:rPr>
          <w:sz w:val="23"/>
        </w:rPr>
      </w:pPr>
    </w:p>
    <w:tbl>
      <w:tblPr>
        <w:tblW w:w="0" w:type="auto"/>
        <w:jc w:val="left"/>
        <w:tblInd w:w="71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629"/>
        <w:gridCol w:w="1627"/>
        <w:gridCol w:w="2253"/>
      </w:tblGrid>
      <w:tr>
        <w:trPr>
          <w:trHeight w:val="283" w:hRule="exact"/>
        </w:trPr>
        <w:tc>
          <w:tcPr>
            <w:tcW w:w="6509" w:type="dxa"/>
            <w:gridSpan w:val="3"/>
            <w:tcBorders>
              <w:top w:val="nil"/>
              <w:left w:val="nil"/>
              <w:bottom w:val="dotted" w:sz="4" w:space="0" w:color="FFFFFF"/>
              <w:right w:val="nil"/>
            </w:tcBorders>
            <w:shd w:val="clear" w:color="auto" w:fill="929292"/>
          </w:tcPr>
          <w:p>
            <w:pPr>
              <w:pStyle w:val="TableParagraph"/>
              <w:spacing w:before="76"/>
              <w:ind w:left="1651"/>
              <w:rPr>
                <w:sz w:val="16"/>
              </w:rPr>
            </w:pPr>
            <w:r>
              <w:rPr>
                <w:sz w:val="16"/>
              </w:rPr>
              <w:t>Cuadro 13. Cuantos años tiene con el huerto</w:t>
            </w:r>
          </w:p>
        </w:tc>
      </w:tr>
      <w:tr>
        <w:trPr>
          <w:trHeight w:val="212" w:hRule="exact"/>
        </w:trPr>
        <w:tc>
          <w:tcPr>
            <w:tcW w:w="2629" w:type="dxa"/>
            <w:tcBorders>
              <w:top w:val="dotted" w:sz="4" w:space="0" w:color="FFFFFF"/>
              <w:left w:val="nil"/>
              <w:right w:val="single" w:sz="4" w:space="0" w:color="929292"/>
            </w:tcBorders>
          </w:tcPr>
          <w:p>
            <w:pPr>
              <w:pStyle w:val="TableParagraph"/>
              <w:tabs>
                <w:tab w:pos="641" w:val="left" w:leader="none"/>
                <w:tab w:pos="2613" w:val="left" w:leader="none"/>
              </w:tabs>
              <w:spacing w:before="28"/>
              <w:ind w:left="35"/>
              <w:rPr>
                <w:sz w:val="16"/>
              </w:rPr>
            </w:pPr>
            <w:r>
              <w:rPr>
                <w:w w:val="100"/>
                <w:sz w:val="16"/>
                <w:u w:val="dotted" w:color="929292"/>
              </w:rPr>
              <w:t> </w:t>
            </w:r>
            <w:r>
              <w:rPr>
                <w:sz w:val="16"/>
                <w:u w:val="dotted" w:color="929292"/>
              </w:rPr>
              <w:tab/>
              <w:t>Años con el</w:t>
            </w:r>
            <w:r>
              <w:rPr>
                <w:spacing w:val="11"/>
                <w:sz w:val="16"/>
                <w:u w:val="dotted" w:color="929292"/>
              </w:rPr>
              <w:t> </w:t>
            </w:r>
            <w:r>
              <w:rPr>
                <w:sz w:val="16"/>
                <w:u w:val="dotted" w:color="929292"/>
              </w:rPr>
              <w:t>huerto</w:t>
              <w:tab/>
            </w:r>
          </w:p>
        </w:tc>
        <w:tc>
          <w:tcPr>
            <w:tcW w:w="1627" w:type="dxa"/>
            <w:tcBorders>
              <w:top w:val="dotted" w:sz="4" w:space="0" w:color="FFFFFF"/>
              <w:left w:val="single" w:sz="4" w:space="0" w:color="929292"/>
              <w:right w:val="single" w:sz="4" w:space="0" w:color="929292"/>
            </w:tcBorders>
          </w:tcPr>
          <w:p>
            <w:pPr>
              <w:pStyle w:val="TableParagraph"/>
              <w:tabs>
                <w:tab w:pos="404" w:val="left" w:leader="none"/>
                <w:tab w:pos="1596" w:val="left" w:leader="none"/>
              </w:tabs>
              <w:spacing w:before="28"/>
              <w:ind w:left="15"/>
              <w:jc w:val="center"/>
              <w:rPr>
                <w:sz w:val="16"/>
              </w:rPr>
            </w:pPr>
            <w:r>
              <w:rPr>
                <w:w w:val="100"/>
                <w:sz w:val="16"/>
                <w:u w:val="dotted" w:color="929292"/>
              </w:rPr>
              <w:t> </w:t>
            </w:r>
            <w:r>
              <w:rPr>
                <w:sz w:val="16"/>
                <w:u w:val="dotted" w:color="929292"/>
              </w:rPr>
              <w:tab/>
              <w:t>Frecuencia</w:t>
              <w:tab/>
            </w:r>
          </w:p>
        </w:tc>
        <w:tc>
          <w:tcPr>
            <w:tcW w:w="2253" w:type="dxa"/>
            <w:tcBorders>
              <w:top w:val="dotted" w:sz="4" w:space="0" w:color="FFFFFF"/>
              <w:left w:val="single" w:sz="4" w:space="0" w:color="929292"/>
              <w:right w:val="nil"/>
            </w:tcBorders>
          </w:tcPr>
          <w:p>
            <w:pPr>
              <w:pStyle w:val="TableParagraph"/>
              <w:tabs>
                <w:tab w:pos="717" w:val="left" w:leader="none"/>
                <w:tab w:pos="2207" w:val="left" w:leader="none"/>
              </w:tabs>
              <w:spacing w:before="28"/>
              <w:ind w:left="4"/>
              <w:jc w:val="center"/>
              <w:rPr>
                <w:sz w:val="16"/>
              </w:rPr>
            </w:pPr>
            <w:r>
              <w:rPr>
                <w:w w:val="100"/>
                <w:sz w:val="16"/>
                <w:u w:val="dotted" w:color="929292"/>
              </w:rPr>
              <w:t> </w:t>
            </w:r>
            <w:r>
              <w:rPr>
                <w:sz w:val="16"/>
                <w:u w:val="dotted" w:color="929292"/>
              </w:rPr>
              <w:tab/>
              <w:t>Porcentaje</w:t>
              <w:tab/>
            </w:r>
          </w:p>
        </w:tc>
      </w:tr>
      <w:tr>
        <w:trPr>
          <w:trHeight w:val="240" w:hRule="exact"/>
        </w:trPr>
        <w:tc>
          <w:tcPr>
            <w:tcW w:w="2629" w:type="dxa"/>
            <w:tcBorders>
              <w:left w:val="nil"/>
              <w:right w:val="single" w:sz="4" w:space="0" w:color="929292"/>
            </w:tcBorders>
          </w:tcPr>
          <w:p>
            <w:pPr>
              <w:pStyle w:val="TableParagraph"/>
              <w:tabs>
                <w:tab w:pos="1269" w:val="left" w:leader="none"/>
                <w:tab w:pos="2613" w:val="left" w:leader="none"/>
              </w:tabs>
              <w:spacing w:before="56"/>
              <w:ind w:left="35"/>
              <w:rPr>
                <w:sz w:val="16"/>
              </w:rPr>
            </w:pPr>
            <w:r>
              <w:rPr>
                <w:w w:val="100"/>
                <w:sz w:val="16"/>
                <w:u w:val="dotted" w:color="929292"/>
              </w:rPr>
              <w:t> </w:t>
            </w:r>
            <w:r>
              <w:rPr>
                <w:sz w:val="16"/>
                <w:u w:val="dotted" w:color="929292"/>
              </w:rPr>
              <w:tab/>
              <w:t>5</w:t>
              <w:tab/>
            </w:r>
          </w:p>
        </w:tc>
        <w:tc>
          <w:tcPr>
            <w:tcW w:w="1627" w:type="dxa"/>
            <w:tcBorders>
              <w:left w:val="single" w:sz="4" w:space="0" w:color="929292"/>
              <w:right w:val="single" w:sz="4" w:space="0" w:color="929292"/>
            </w:tcBorders>
          </w:tcPr>
          <w:p>
            <w:pPr>
              <w:pStyle w:val="TableParagraph"/>
              <w:tabs>
                <w:tab w:pos="753" w:val="left" w:leader="none"/>
                <w:tab w:pos="1596" w:val="left" w:leader="none"/>
              </w:tabs>
              <w:spacing w:before="56"/>
              <w:ind w:left="15"/>
              <w:jc w:val="center"/>
              <w:rPr>
                <w:sz w:val="16"/>
              </w:rPr>
            </w:pPr>
            <w:r>
              <w:rPr>
                <w:w w:val="100"/>
                <w:sz w:val="16"/>
                <w:u w:val="dotted" w:color="929292"/>
              </w:rPr>
              <w:t> </w:t>
            </w:r>
            <w:r>
              <w:rPr>
                <w:sz w:val="16"/>
                <w:u w:val="dotted" w:color="929292"/>
              </w:rPr>
              <w:tab/>
              <w:t>1</w:t>
              <w:tab/>
            </w:r>
          </w:p>
        </w:tc>
        <w:tc>
          <w:tcPr>
            <w:tcW w:w="2253" w:type="dxa"/>
            <w:tcBorders>
              <w:left w:val="single" w:sz="4" w:space="0" w:color="929292"/>
              <w:right w:val="nil"/>
            </w:tcBorders>
          </w:tcPr>
          <w:p>
            <w:pPr>
              <w:pStyle w:val="TableParagraph"/>
              <w:tabs>
                <w:tab w:pos="990" w:val="left" w:leader="none"/>
                <w:tab w:pos="2207" w:val="left" w:leader="none"/>
              </w:tabs>
              <w:spacing w:before="56"/>
              <w:ind w:left="4"/>
              <w:jc w:val="center"/>
              <w:rPr>
                <w:sz w:val="16"/>
              </w:rPr>
            </w:pPr>
            <w:r>
              <w:rPr>
                <w:w w:val="100"/>
                <w:sz w:val="16"/>
                <w:u w:val="dotted" w:color="929292"/>
              </w:rPr>
              <w:t> </w:t>
            </w:r>
            <w:r>
              <w:rPr>
                <w:sz w:val="16"/>
                <w:u w:val="dotted" w:color="929292"/>
              </w:rPr>
              <w:tab/>
              <w:t>0.6</w:t>
              <w:tab/>
            </w:r>
          </w:p>
        </w:tc>
      </w:tr>
      <w:tr>
        <w:trPr>
          <w:trHeight w:val="240" w:hRule="exact"/>
        </w:trPr>
        <w:tc>
          <w:tcPr>
            <w:tcW w:w="2629" w:type="dxa"/>
            <w:tcBorders>
              <w:left w:val="nil"/>
              <w:right w:val="single" w:sz="4" w:space="0" w:color="929292"/>
            </w:tcBorders>
          </w:tcPr>
          <w:p>
            <w:pPr>
              <w:pStyle w:val="TableParagraph"/>
              <w:tabs>
                <w:tab w:pos="1105" w:val="left" w:leader="none"/>
                <w:tab w:pos="2613" w:val="left" w:leader="none"/>
              </w:tabs>
              <w:spacing w:before="56"/>
              <w:ind w:left="35"/>
              <w:rPr>
                <w:sz w:val="16"/>
              </w:rPr>
            </w:pPr>
            <w:r>
              <w:rPr>
                <w:w w:val="100"/>
                <w:sz w:val="16"/>
                <w:u w:val="dotted" w:color="929292"/>
              </w:rPr>
              <w:t> </w:t>
            </w:r>
            <w:r>
              <w:rPr>
                <w:sz w:val="16"/>
                <w:u w:val="dotted" w:color="929292"/>
              </w:rPr>
              <w:tab/>
            </w:r>
            <w:r>
              <w:rPr>
                <w:w w:val="105"/>
                <w:sz w:val="16"/>
                <w:u w:val="dotted" w:color="929292"/>
              </w:rPr>
              <w:t>6 -</w:t>
            </w:r>
            <w:r>
              <w:rPr>
                <w:spacing w:val="-12"/>
                <w:w w:val="105"/>
                <w:sz w:val="16"/>
                <w:u w:val="dotted" w:color="929292"/>
              </w:rPr>
              <w:t> </w:t>
            </w:r>
            <w:r>
              <w:rPr>
                <w:w w:val="105"/>
                <w:sz w:val="16"/>
                <w:u w:val="dotted" w:color="929292"/>
              </w:rPr>
              <w:t>17</w:t>
            </w:r>
            <w:r>
              <w:rPr>
                <w:sz w:val="16"/>
                <w:u w:val="dotted" w:color="929292"/>
              </w:rPr>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before="56"/>
              <w:ind w:left="15"/>
              <w:jc w:val="center"/>
              <w:rPr>
                <w:sz w:val="16"/>
              </w:rPr>
            </w:pPr>
            <w:r>
              <w:rPr>
                <w:w w:val="100"/>
                <w:sz w:val="16"/>
                <w:u w:val="dotted" w:color="929292"/>
              </w:rPr>
              <w:t> </w:t>
            </w:r>
            <w:r>
              <w:rPr>
                <w:sz w:val="16"/>
                <w:u w:val="dotted" w:color="929292"/>
              </w:rPr>
              <w:tab/>
              <w:t>47</w:t>
              <w:tab/>
            </w:r>
          </w:p>
        </w:tc>
        <w:tc>
          <w:tcPr>
            <w:tcW w:w="2253" w:type="dxa"/>
            <w:tcBorders>
              <w:left w:val="single" w:sz="4" w:space="0" w:color="929292"/>
              <w:right w:val="nil"/>
            </w:tcBorders>
          </w:tcPr>
          <w:p>
            <w:pPr>
              <w:pStyle w:val="TableParagraph"/>
              <w:tabs>
                <w:tab w:pos="945" w:val="left" w:leader="none"/>
                <w:tab w:pos="2207" w:val="left" w:leader="none"/>
              </w:tabs>
              <w:spacing w:before="56"/>
              <w:ind w:left="4"/>
              <w:jc w:val="center"/>
              <w:rPr>
                <w:sz w:val="16"/>
              </w:rPr>
            </w:pPr>
            <w:r>
              <w:rPr>
                <w:w w:val="100"/>
                <w:sz w:val="16"/>
                <w:u w:val="dotted" w:color="929292"/>
              </w:rPr>
              <w:t> </w:t>
            </w:r>
            <w:r>
              <w:rPr>
                <w:sz w:val="16"/>
                <w:u w:val="dotted" w:color="929292"/>
              </w:rPr>
              <w:tab/>
              <w:t>26.1</w:t>
              <w:tab/>
            </w:r>
          </w:p>
        </w:tc>
      </w:tr>
      <w:tr>
        <w:trPr>
          <w:trHeight w:val="240" w:hRule="exact"/>
        </w:trPr>
        <w:tc>
          <w:tcPr>
            <w:tcW w:w="2629" w:type="dxa"/>
            <w:tcBorders>
              <w:left w:val="nil"/>
              <w:right w:val="single" w:sz="4" w:space="0" w:color="929292"/>
            </w:tcBorders>
          </w:tcPr>
          <w:p>
            <w:pPr>
              <w:pStyle w:val="TableParagraph"/>
              <w:tabs>
                <w:tab w:pos="1060" w:val="left" w:leader="none"/>
                <w:tab w:pos="2613" w:val="left" w:leader="none"/>
              </w:tabs>
              <w:spacing w:before="56"/>
              <w:ind w:left="35"/>
              <w:rPr>
                <w:sz w:val="16"/>
              </w:rPr>
            </w:pPr>
            <w:r>
              <w:rPr>
                <w:w w:val="100"/>
                <w:sz w:val="16"/>
                <w:u w:val="dotted" w:color="929292"/>
              </w:rPr>
              <w:t> </w:t>
            </w:r>
            <w:r>
              <w:rPr>
                <w:sz w:val="16"/>
                <w:u w:val="dotted" w:color="929292"/>
              </w:rPr>
              <w:tab/>
            </w:r>
            <w:r>
              <w:rPr>
                <w:w w:val="105"/>
                <w:sz w:val="16"/>
                <w:u w:val="dotted" w:color="929292"/>
              </w:rPr>
              <w:t>18 -</w:t>
            </w:r>
            <w:r>
              <w:rPr>
                <w:spacing w:val="-17"/>
                <w:w w:val="105"/>
                <w:sz w:val="16"/>
                <w:u w:val="dotted" w:color="929292"/>
              </w:rPr>
              <w:t> </w:t>
            </w:r>
            <w:r>
              <w:rPr>
                <w:w w:val="105"/>
                <w:sz w:val="16"/>
                <w:u w:val="dotted" w:color="929292"/>
              </w:rPr>
              <w:t>29</w:t>
            </w:r>
            <w:r>
              <w:rPr>
                <w:sz w:val="16"/>
                <w:u w:val="dotted" w:color="929292"/>
              </w:rPr>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before="56"/>
              <w:ind w:left="15"/>
              <w:jc w:val="center"/>
              <w:rPr>
                <w:sz w:val="16"/>
              </w:rPr>
            </w:pPr>
            <w:r>
              <w:rPr>
                <w:w w:val="100"/>
                <w:sz w:val="16"/>
                <w:u w:val="dotted" w:color="929292"/>
              </w:rPr>
              <w:t> </w:t>
            </w:r>
            <w:r>
              <w:rPr>
                <w:sz w:val="16"/>
                <w:u w:val="dotted" w:color="929292"/>
              </w:rPr>
              <w:tab/>
              <w:t>52</w:t>
              <w:tab/>
            </w:r>
          </w:p>
        </w:tc>
        <w:tc>
          <w:tcPr>
            <w:tcW w:w="2253" w:type="dxa"/>
            <w:tcBorders>
              <w:left w:val="single" w:sz="4" w:space="0" w:color="929292"/>
              <w:right w:val="nil"/>
            </w:tcBorders>
          </w:tcPr>
          <w:p>
            <w:pPr>
              <w:pStyle w:val="TableParagraph"/>
              <w:tabs>
                <w:tab w:pos="945" w:val="left" w:leader="none"/>
                <w:tab w:pos="2207" w:val="left" w:leader="none"/>
              </w:tabs>
              <w:spacing w:before="56"/>
              <w:ind w:left="4"/>
              <w:jc w:val="center"/>
              <w:rPr>
                <w:sz w:val="16"/>
              </w:rPr>
            </w:pPr>
            <w:r>
              <w:rPr>
                <w:w w:val="100"/>
                <w:sz w:val="16"/>
                <w:u w:val="dotted" w:color="929292"/>
              </w:rPr>
              <w:t> </w:t>
            </w:r>
            <w:r>
              <w:rPr>
                <w:sz w:val="16"/>
                <w:u w:val="dotted" w:color="929292"/>
              </w:rPr>
              <w:tab/>
              <w:t>28.9</w:t>
              <w:tab/>
            </w:r>
          </w:p>
        </w:tc>
      </w:tr>
      <w:tr>
        <w:trPr>
          <w:trHeight w:val="240" w:hRule="exact"/>
        </w:trPr>
        <w:tc>
          <w:tcPr>
            <w:tcW w:w="2629" w:type="dxa"/>
            <w:tcBorders>
              <w:left w:val="nil"/>
              <w:right w:val="single" w:sz="4" w:space="0" w:color="929292"/>
            </w:tcBorders>
          </w:tcPr>
          <w:p>
            <w:pPr>
              <w:pStyle w:val="TableParagraph"/>
              <w:tabs>
                <w:tab w:pos="1060" w:val="left" w:leader="none"/>
                <w:tab w:pos="2613" w:val="left" w:leader="none"/>
              </w:tabs>
              <w:spacing w:before="56"/>
              <w:ind w:left="35"/>
              <w:rPr>
                <w:sz w:val="16"/>
              </w:rPr>
            </w:pPr>
            <w:r>
              <w:rPr>
                <w:w w:val="100"/>
                <w:sz w:val="16"/>
                <w:u w:val="dotted" w:color="929292"/>
              </w:rPr>
              <w:t> </w:t>
            </w:r>
            <w:r>
              <w:rPr>
                <w:sz w:val="16"/>
                <w:u w:val="dotted" w:color="929292"/>
              </w:rPr>
              <w:tab/>
            </w:r>
            <w:r>
              <w:rPr>
                <w:w w:val="105"/>
                <w:sz w:val="16"/>
                <w:u w:val="dotted" w:color="929292"/>
              </w:rPr>
              <w:t>30 -</w:t>
            </w:r>
            <w:r>
              <w:rPr>
                <w:spacing w:val="-17"/>
                <w:w w:val="105"/>
                <w:sz w:val="16"/>
                <w:u w:val="dotted" w:color="929292"/>
              </w:rPr>
              <w:t> </w:t>
            </w:r>
            <w:r>
              <w:rPr>
                <w:w w:val="105"/>
                <w:sz w:val="16"/>
                <w:u w:val="dotted" w:color="929292"/>
              </w:rPr>
              <w:t>41</w:t>
            </w:r>
            <w:r>
              <w:rPr>
                <w:sz w:val="16"/>
                <w:u w:val="dotted" w:color="929292"/>
              </w:rPr>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before="56"/>
              <w:ind w:left="15"/>
              <w:jc w:val="center"/>
              <w:rPr>
                <w:sz w:val="16"/>
              </w:rPr>
            </w:pPr>
            <w:r>
              <w:rPr>
                <w:w w:val="100"/>
                <w:sz w:val="16"/>
                <w:u w:val="dotted" w:color="929292"/>
              </w:rPr>
              <w:t> </w:t>
            </w:r>
            <w:r>
              <w:rPr>
                <w:sz w:val="16"/>
                <w:u w:val="dotted" w:color="929292"/>
              </w:rPr>
              <w:tab/>
              <w:t>41</w:t>
              <w:tab/>
            </w:r>
          </w:p>
        </w:tc>
        <w:tc>
          <w:tcPr>
            <w:tcW w:w="2253" w:type="dxa"/>
            <w:tcBorders>
              <w:left w:val="single" w:sz="4" w:space="0" w:color="929292"/>
              <w:right w:val="nil"/>
            </w:tcBorders>
          </w:tcPr>
          <w:p>
            <w:pPr>
              <w:pStyle w:val="TableParagraph"/>
              <w:tabs>
                <w:tab w:pos="945" w:val="left" w:leader="none"/>
                <w:tab w:pos="2207" w:val="left" w:leader="none"/>
              </w:tabs>
              <w:spacing w:before="56"/>
              <w:ind w:left="4"/>
              <w:jc w:val="center"/>
              <w:rPr>
                <w:sz w:val="16"/>
              </w:rPr>
            </w:pPr>
            <w:r>
              <w:rPr>
                <w:w w:val="100"/>
                <w:sz w:val="16"/>
                <w:u w:val="dotted" w:color="929292"/>
              </w:rPr>
              <w:t> </w:t>
            </w:r>
            <w:r>
              <w:rPr>
                <w:sz w:val="16"/>
                <w:u w:val="dotted" w:color="929292"/>
              </w:rPr>
              <w:tab/>
              <w:t>22.8</w:t>
              <w:tab/>
            </w:r>
          </w:p>
        </w:tc>
      </w:tr>
      <w:tr>
        <w:trPr>
          <w:trHeight w:val="240" w:hRule="exact"/>
        </w:trPr>
        <w:tc>
          <w:tcPr>
            <w:tcW w:w="2629" w:type="dxa"/>
            <w:tcBorders>
              <w:left w:val="nil"/>
              <w:right w:val="single" w:sz="4" w:space="0" w:color="929292"/>
            </w:tcBorders>
          </w:tcPr>
          <w:p>
            <w:pPr>
              <w:pStyle w:val="TableParagraph"/>
              <w:tabs>
                <w:tab w:pos="1060" w:val="left" w:leader="none"/>
                <w:tab w:pos="2613" w:val="left" w:leader="none"/>
              </w:tabs>
              <w:spacing w:before="56"/>
              <w:ind w:left="35"/>
              <w:rPr>
                <w:sz w:val="16"/>
              </w:rPr>
            </w:pPr>
            <w:r>
              <w:rPr>
                <w:w w:val="100"/>
                <w:sz w:val="16"/>
                <w:u w:val="dotted" w:color="929292"/>
              </w:rPr>
              <w:t> </w:t>
            </w:r>
            <w:r>
              <w:rPr>
                <w:sz w:val="16"/>
                <w:u w:val="dotted" w:color="929292"/>
              </w:rPr>
              <w:tab/>
            </w:r>
            <w:r>
              <w:rPr>
                <w:w w:val="105"/>
                <w:sz w:val="16"/>
                <w:u w:val="dotted" w:color="929292"/>
              </w:rPr>
              <w:t>42 -</w:t>
            </w:r>
            <w:r>
              <w:rPr>
                <w:spacing w:val="-17"/>
                <w:w w:val="105"/>
                <w:sz w:val="16"/>
                <w:u w:val="dotted" w:color="929292"/>
              </w:rPr>
              <w:t> </w:t>
            </w:r>
            <w:r>
              <w:rPr>
                <w:w w:val="105"/>
                <w:sz w:val="16"/>
                <w:u w:val="dotted" w:color="929292"/>
              </w:rPr>
              <w:t>53</w:t>
            </w:r>
            <w:r>
              <w:rPr>
                <w:sz w:val="16"/>
                <w:u w:val="dotted" w:color="929292"/>
              </w:rPr>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before="56"/>
              <w:ind w:left="15"/>
              <w:jc w:val="center"/>
              <w:rPr>
                <w:sz w:val="16"/>
              </w:rPr>
            </w:pPr>
            <w:r>
              <w:rPr>
                <w:w w:val="100"/>
                <w:sz w:val="16"/>
                <w:u w:val="dotted" w:color="929292"/>
              </w:rPr>
              <w:t> </w:t>
            </w:r>
            <w:r>
              <w:rPr>
                <w:sz w:val="16"/>
                <w:u w:val="dotted" w:color="929292"/>
              </w:rPr>
              <w:tab/>
              <w:t>16</w:t>
              <w:tab/>
            </w:r>
          </w:p>
        </w:tc>
        <w:tc>
          <w:tcPr>
            <w:tcW w:w="2253" w:type="dxa"/>
            <w:tcBorders>
              <w:left w:val="single" w:sz="4" w:space="0" w:color="929292"/>
              <w:right w:val="nil"/>
            </w:tcBorders>
          </w:tcPr>
          <w:p>
            <w:pPr>
              <w:pStyle w:val="TableParagraph"/>
              <w:tabs>
                <w:tab w:pos="990" w:val="left" w:leader="none"/>
                <w:tab w:pos="2207" w:val="left" w:leader="none"/>
              </w:tabs>
              <w:spacing w:before="56"/>
              <w:ind w:left="4"/>
              <w:jc w:val="center"/>
              <w:rPr>
                <w:sz w:val="16"/>
              </w:rPr>
            </w:pPr>
            <w:r>
              <w:rPr>
                <w:w w:val="100"/>
                <w:sz w:val="16"/>
                <w:u w:val="dotted" w:color="929292"/>
              </w:rPr>
              <w:t> </w:t>
            </w:r>
            <w:r>
              <w:rPr>
                <w:sz w:val="16"/>
                <w:u w:val="dotted" w:color="929292"/>
              </w:rPr>
              <w:tab/>
              <w:t>8.9</w:t>
              <w:tab/>
            </w:r>
          </w:p>
        </w:tc>
      </w:tr>
      <w:tr>
        <w:trPr>
          <w:trHeight w:val="240" w:hRule="exact"/>
        </w:trPr>
        <w:tc>
          <w:tcPr>
            <w:tcW w:w="2629" w:type="dxa"/>
            <w:tcBorders>
              <w:left w:val="nil"/>
              <w:right w:val="single" w:sz="4" w:space="0" w:color="929292"/>
            </w:tcBorders>
          </w:tcPr>
          <w:p>
            <w:pPr>
              <w:pStyle w:val="TableParagraph"/>
              <w:tabs>
                <w:tab w:pos="1060" w:val="left" w:leader="none"/>
                <w:tab w:pos="2613" w:val="left" w:leader="none"/>
              </w:tabs>
              <w:spacing w:before="56"/>
              <w:ind w:left="35"/>
              <w:rPr>
                <w:sz w:val="16"/>
              </w:rPr>
            </w:pPr>
            <w:r>
              <w:rPr>
                <w:w w:val="100"/>
                <w:sz w:val="16"/>
                <w:u w:val="dotted" w:color="929292"/>
              </w:rPr>
              <w:t> </w:t>
            </w:r>
            <w:r>
              <w:rPr>
                <w:sz w:val="16"/>
                <w:u w:val="dotted" w:color="929292"/>
              </w:rPr>
              <w:tab/>
            </w:r>
            <w:r>
              <w:rPr>
                <w:w w:val="105"/>
                <w:sz w:val="16"/>
                <w:u w:val="dotted" w:color="929292"/>
              </w:rPr>
              <w:t>54 -</w:t>
            </w:r>
            <w:r>
              <w:rPr>
                <w:spacing w:val="-17"/>
                <w:w w:val="105"/>
                <w:sz w:val="16"/>
                <w:u w:val="dotted" w:color="929292"/>
              </w:rPr>
              <w:t> </w:t>
            </w:r>
            <w:r>
              <w:rPr>
                <w:w w:val="105"/>
                <w:sz w:val="16"/>
                <w:u w:val="dotted" w:color="929292"/>
              </w:rPr>
              <w:t>65</w:t>
            </w:r>
            <w:r>
              <w:rPr>
                <w:sz w:val="16"/>
                <w:u w:val="dotted" w:color="929292"/>
              </w:rPr>
              <w:tab/>
            </w:r>
          </w:p>
        </w:tc>
        <w:tc>
          <w:tcPr>
            <w:tcW w:w="1627" w:type="dxa"/>
            <w:tcBorders>
              <w:left w:val="single" w:sz="4" w:space="0" w:color="929292"/>
              <w:right w:val="single" w:sz="4" w:space="0" w:color="929292"/>
            </w:tcBorders>
          </w:tcPr>
          <w:p>
            <w:pPr>
              <w:pStyle w:val="TableParagraph"/>
              <w:tabs>
                <w:tab w:pos="709" w:val="left" w:leader="none"/>
                <w:tab w:pos="1596" w:val="left" w:leader="none"/>
              </w:tabs>
              <w:spacing w:before="56"/>
              <w:ind w:left="15"/>
              <w:jc w:val="center"/>
              <w:rPr>
                <w:sz w:val="16"/>
              </w:rPr>
            </w:pPr>
            <w:r>
              <w:rPr>
                <w:w w:val="100"/>
                <w:sz w:val="16"/>
                <w:u w:val="dotted" w:color="929292"/>
              </w:rPr>
              <w:t> </w:t>
            </w:r>
            <w:r>
              <w:rPr>
                <w:sz w:val="16"/>
                <w:u w:val="dotted" w:color="929292"/>
              </w:rPr>
              <w:tab/>
              <w:t>18</w:t>
              <w:tab/>
            </w:r>
          </w:p>
        </w:tc>
        <w:tc>
          <w:tcPr>
            <w:tcW w:w="2253" w:type="dxa"/>
            <w:tcBorders>
              <w:left w:val="single" w:sz="4" w:space="0" w:color="929292"/>
              <w:right w:val="nil"/>
            </w:tcBorders>
          </w:tcPr>
          <w:p>
            <w:pPr>
              <w:pStyle w:val="TableParagraph"/>
              <w:tabs>
                <w:tab w:pos="945" w:val="left" w:leader="none"/>
                <w:tab w:pos="2207" w:val="left" w:leader="none"/>
              </w:tabs>
              <w:spacing w:before="56"/>
              <w:ind w:left="4"/>
              <w:jc w:val="center"/>
              <w:rPr>
                <w:sz w:val="16"/>
              </w:rPr>
            </w:pPr>
            <w:r>
              <w:rPr>
                <w:w w:val="100"/>
                <w:sz w:val="16"/>
                <w:u w:val="dotted" w:color="929292"/>
              </w:rPr>
              <w:t> </w:t>
            </w:r>
            <w:r>
              <w:rPr>
                <w:sz w:val="16"/>
                <w:u w:val="dotted" w:color="929292"/>
              </w:rPr>
              <w:tab/>
              <w:t>10.0</w:t>
              <w:tab/>
            </w:r>
          </w:p>
        </w:tc>
      </w:tr>
      <w:tr>
        <w:trPr>
          <w:trHeight w:val="240" w:hRule="exact"/>
        </w:trPr>
        <w:tc>
          <w:tcPr>
            <w:tcW w:w="2629" w:type="dxa"/>
            <w:tcBorders>
              <w:left w:val="nil"/>
              <w:right w:val="single" w:sz="4" w:space="0" w:color="929292"/>
            </w:tcBorders>
          </w:tcPr>
          <w:p>
            <w:pPr>
              <w:pStyle w:val="TableParagraph"/>
              <w:tabs>
                <w:tab w:pos="1060" w:val="left" w:leader="none"/>
                <w:tab w:pos="2613" w:val="left" w:leader="none"/>
              </w:tabs>
              <w:spacing w:before="56"/>
              <w:ind w:left="35"/>
              <w:rPr>
                <w:sz w:val="16"/>
              </w:rPr>
            </w:pPr>
            <w:r>
              <w:rPr>
                <w:w w:val="100"/>
                <w:sz w:val="16"/>
                <w:u w:val="dotted" w:color="929292"/>
              </w:rPr>
              <w:t> </w:t>
            </w:r>
            <w:r>
              <w:rPr>
                <w:sz w:val="16"/>
                <w:u w:val="dotted" w:color="929292"/>
              </w:rPr>
              <w:tab/>
            </w:r>
            <w:r>
              <w:rPr>
                <w:w w:val="105"/>
                <w:sz w:val="16"/>
                <w:u w:val="dotted" w:color="929292"/>
              </w:rPr>
              <w:t>66 -</w:t>
            </w:r>
            <w:r>
              <w:rPr>
                <w:spacing w:val="-17"/>
                <w:w w:val="105"/>
                <w:sz w:val="16"/>
                <w:u w:val="dotted" w:color="929292"/>
              </w:rPr>
              <w:t> </w:t>
            </w:r>
            <w:r>
              <w:rPr>
                <w:w w:val="105"/>
                <w:sz w:val="16"/>
                <w:u w:val="dotted" w:color="929292"/>
              </w:rPr>
              <w:t>77</w:t>
            </w:r>
            <w:r>
              <w:rPr>
                <w:sz w:val="16"/>
                <w:u w:val="dotted" w:color="929292"/>
              </w:rPr>
              <w:tab/>
            </w:r>
          </w:p>
        </w:tc>
        <w:tc>
          <w:tcPr>
            <w:tcW w:w="1627" w:type="dxa"/>
            <w:tcBorders>
              <w:left w:val="single" w:sz="4" w:space="0" w:color="929292"/>
              <w:right w:val="single" w:sz="4" w:space="0" w:color="929292"/>
            </w:tcBorders>
          </w:tcPr>
          <w:p>
            <w:pPr>
              <w:pStyle w:val="TableParagraph"/>
              <w:tabs>
                <w:tab w:pos="753" w:val="left" w:leader="none"/>
                <w:tab w:pos="1596" w:val="left" w:leader="none"/>
              </w:tabs>
              <w:spacing w:before="56"/>
              <w:ind w:left="15"/>
              <w:jc w:val="center"/>
              <w:rPr>
                <w:sz w:val="16"/>
              </w:rPr>
            </w:pPr>
            <w:r>
              <w:rPr>
                <w:w w:val="100"/>
                <w:sz w:val="16"/>
                <w:u w:val="dotted" w:color="929292"/>
              </w:rPr>
              <w:t> </w:t>
            </w:r>
            <w:r>
              <w:rPr>
                <w:sz w:val="16"/>
                <w:u w:val="dotted" w:color="929292"/>
              </w:rPr>
              <w:tab/>
              <w:t>3</w:t>
              <w:tab/>
            </w:r>
          </w:p>
        </w:tc>
        <w:tc>
          <w:tcPr>
            <w:tcW w:w="2253" w:type="dxa"/>
            <w:tcBorders>
              <w:left w:val="single" w:sz="4" w:space="0" w:color="929292"/>
              <w:right w:val="nil"/>
            </w:tcBorders>
          </w:tcPr>
          <w:p>
            <w:pPr>
              <w:pStyle w:val="TableParagraph"/>
              <w:tabs>
                <w:tab w:pos="990" w:val="left" w:leader="none"/>
                <w:tab w:pos="2207" w:val="left" w:leader="none"/>
              </w:tabs>
              <w:spacing w:before="56"/>
              <w:ind w:left="4"/>
              <w:jc w:val="center"/>
              <w:rPr>
                <w:sz w:val="16"/>
              </w:rPr>
            </w:pPr>
            <w:r>
              <w:rPr>
                <w:w w:val="100"/>
                <w:sz w:val="16"/>
                <w:u w:val="dotted" w:color="929292"/>
              </w:rPr>
              <w:t> </w:t>
            </w:r>
            <w:r>
              <w:rPr>
                <w:sz w:val="16"/>
                <w:u w:val="dotted" w:color="929292"/>
              </w:rPr>
              <w:tab/>
              <w:t>1.7</w:t>
              <w:tab/>
            </w:r>
          </w:p>
        </w:tc>
      </w:tr>
      <w:tr>
        <w:trPr>
          <w:trHeight w:val="240" w:hRule="exact"/>
        </w:trPr>
        <w:tc>
          <w:tcPr>
            <w:tcW w:w="2629" w:type="dxa"/>
            <w:tcBorders>
              <w:left w:val="nil"/>
              <w:right w:val="single" w:sz="4" w:space="0" w:color="929292"/>
            </w:tcBorders>
          </w:tcPr>
          <w:p>
            <w:pPr>
              <w:pStyle w:val="TableParagraph"/>
              <w:tabs>
                <w:tab w:pos="1060" w:val="left" w:leader="none"/>
                <w:tab w:pos="2613" w:val="left" w:leader="none"/>
              </w:tabs>
              <w:spacing w:before="56"/>
              <w:ind w:left="35"/>
              <w:rPr>
                <w:sz w:val="16"/>
              </w:rPr>
            </w:pPr>
            <w:r>
              <w:rPr>
                <w:w w:val="100"/>
                <w:sz w:val="16"/>
                <w:u w:val="dotted" w:color="929292"/>
              </w:rPr>
              <w:t> </w:t>
            </w:r>
            <w:r>
              <w:rPr>
                <w:sz w:val="16"/>
                <w:u w:val="dotted" w:color="929292"/>
              </w:rPr>
              <w:tab/>
            </w:r>
            <w:r>
              <w:rPr>
                <w:w w:val="105"/>
                <w:sz w:val="16"/>
                <w:u w:val="dotted" w:color="929292"/>
              </w:rPr>
              <w:t>78 -</w:t>
            </w:r>
            <w:r>
              <w:rPr>
                <w:spacing w:val="-17"/>
                <w:w w:val="105"/>
                <w:sz w:val="16"/>
                <w:u w:val="dotted" w:color="929292"/>
              </w:rPr>
              <w:t> </w:t>
            </w:r>
            <w:r>
              <w:rPr>
                <w:w w:val="105"/>
                <w:sz w:val="16"/>
                <w:u w:val="dotted" w:color="929292"/>
              </w:rPr>
              <w:t>89</w:t>
            </w:r>
            <w:r>
              <w:rPr>
                <w:sz w:val="16"/>
                <w:u w:val="dotted" w:color="929292"/>
              </w:rPr>
              <w:tab/>
            </w:r>
          </w:p>
        </w:tc>
        <w:tc>
          <w:tcPr>
            <w:tcW w:w="1627" w:type="dxa"/>
            <w:tcBorders>
              <w:left w:val="single" w:sz="4" w:space="0" w:color="929292"/>
              <w:right w:val="single" w:sz="4" w:space="0" w:color="929292"/>
            </w:tcBorders>
          </w:tcPr>
          <w:p>
            <w:pPr>
              <w:pStyle w:val="TableParagraph"/>
              <w:tabs>
                <w:tab w:pos="753" w:val="left" w:leader="none"/>
                <w:tab w:pos="1596" w:val="left" w:leader="none"/>
              </w:tabs>
              <w:spacing w:before="56"/>
              <w:ind w:left="15"/>
              <w:jc w:val="center"/>
              <w:rPr>
                <w:sz w:val="16"/>
              </w:rPr>
            </w:pPr>
            <w:r>
              <w:rPr>
                <w:w w:val="100"/>
                <w:sz w:val="16"/>
                <w:u w:val="dotted" w:color="929292"/>
              </w:rPr>
              <w:t> </w:t>
            </w:r>
            <w:r>
              <w:rPr>
                <w:sz w:val="16"/>
                <w:u w:val="dotted" w:color="929292"/>
              </w:rPr>
              <w:tab/>
              <w:t>2</w:t>
              <w:tab/>
            </w:r>
          </w:p>
        </w:tc>
        <w:tc>
          <w:tcPr>
            <w:tcW w:w="2253" w:type="dxa"/>
            <w:tcBorders>
              <w:left w:val="single" w:sz="4" w:space="0" w:color="929292"/>
              <w:right w:val="nil"/>
            </w:tcBorders>
          </w:tcPr>
          <w:p>
            <w:pPr>
              <w:pStyle w:val="TableParagraph"/>
              <w:tabs>
                <w:tab w:pos="990" w:val="left" w:leader="none"/>
                <w:tab w:pos="2207" w:val="left" w:leader="none"/>
              </w:tabs>
              <w:spacing w:before="56"/>
              <w:ind w:left="4"/>
              <w:jc w:val="center"/>
              <w:rPr>
                <w:sz w:val="16"/>
              </w:rPr>
            </w:pPr>
            <w:r>
              <w:rPr>
                <w:w w:val="100"/>
                <w:sz w:val="16"/>
                <w:u w:val="dotted" w:color="929292"/>
              </w:rPr>
              <w:t> </w:t>
            </w:r>
            <w:r>
              <w:rPr>
                <w:sz w:val="16"/>
                <w:u w:val="dotted" w:color="929292"/>
              </w:rPr>
              <w:tab/>
              <w:t>1.1</w:t>
              <w:tab/>
            </w:r>
          </w:p>
        </w:tc>
      </w:tr>
      <w:tr>
        <w:trPr>
          <w:trHeight w:val="240" w:hRule="exact"/>
        </w:trPr>
        <w:tc>
          <w:tcPr>
            <w:tcW w:w="2629" w:type="dxa"/>
            <w:tcBorders>
              <w:left w:val="nil"/>
              <w:bottom w:val="nil"/>
              <w:right w:val="single" w:sz="4" w:space="0" w:color="929292"/>
            </w:tcBorders>
          </w:tcPr>
          <w:p>
            <w:pPr>
              <w:pStyle w:val="TableParagraph"/>
              <w:tabs>
                <w:tab w:pos="1136" w:val="left" w:leader="none"/>
                <w:tab w:pos="2613" w:val="left" w:leader="none"/>
              </w:tabs>
              <w:spacing w:before="56"/>
              <w:ind w:left="35"/>
              <w:rPr>
                <w:sz w:val="16"/>
              </w:rPr>
            </w:pPr>
            <w:r>
              <w:rPr>
                <w:w w:val="100"/>
                <w:sz w:val="16"/>
                <w:u w:val="dotted" w:color="929292"/>
              </w:rPr>
              <w:t> </w:t>
            </w:r>
            <w:r>
              <w:rPr>
                <w:sz w:val="16"/>
                <w:u w:val="dotted" w:color="929292"/>
              </w:rPr>
              <w:tab/>
              <w:t>Total</w:t>
              <w:tab/>
            </w:r>
          </w:p>
        </w:tc>
        <w:tc>
          <w:tcPr>
            <w:tcW w:w="1627" w:type="dxa"/>
            <w:tcBorders>
              <w:left w:val="single" w:sz="4" w:space="0" w:color="929292"/>
              <w:right w:val="single" w:sz="4" w:space="0" w:color="929292"/>
            </w:tcBorders>
          </w:tcPr>
          <w:p>
            <w:pPr>
              <w:pStyle w:val="TableParagraph"/>
              <w:tabs>
                <w:tab w:pos="664" w:val="left" w:leader="none"/>
                <w:tab w:pos="1596" w:val="left" w:leader="none"/>
              </w:tabs>
              <w:spacing w:before="56"/>
              <w:ind w:left="15"/>
              <w:jc w:val="center"/>
              <w:rPr>
                <w:sz w:val="16"/>
              </w:rPr>
            </w:pPr>
            <w:r>
              <w:rPr>
                <w:w w:val="100"/>
                <w:sz w:val="16"/>
                <w:u w:val="dotted" w:color="929292"/>
              </w:rPr>
              <w:t> </w:t>
            </w:r>
            <w:r>
              <w:rPr>
                <w:sz w:val="16"/>
                <w:u w:val="dotted" w:color="929292"/>
              </w:rPr>
              <w:tab/>
              <w:t>180</w:t>
              <w:tab/>
            </w:r>
          </w:p>
        </w:tc>
        <w:tc>
          <w:tcPr>
            <w:tcW w:w="2253" w:type="dxa"/>
            <w:tcBorders>
              <w:left w:val="single" w:sz="4" w:space="0" w:color="929292"/>
              <w:right w:val="nil"/>
            </w:tcBorders>
          </w:tcPr>
          <w:p>
            <w:pPr>
              <w:pStyle w:val="TableParagraph"/>
              <w:tabs>
                <w:tab w:pos="901" w:val="left" w:leader="none"/>
                <w:tab w:pos="2207" w:val="left" w:leader="none"/>
              </w:tabs>
              <w:spacing w:before="56"/>
              <w:ind w:left="4"/>
              <w:jc w:val="center"/>
              <w:rPr>
                <w:sz w:val="16"/>
              </w:rPr>
            </w:pPr>
            <w:r>
              <w:rPr>
                <w:w w:val="100"/>
                <w:sz w:val="16"/>
                <w:u w:val="dotted" w:color="929292"/>
              </w:rPr>
              <w:t> </w:t>
            </w:r>
            <w:r>
              <w:rPr>
                <w:sz w:val="16"/>
                <w:u w:val="dotted" w:color="929292"/>
              </w:rPr>
              <w:tab/>
              <w:t>100.0</w:t>
              <w:tab/>
            </w:r>
          </w:p>
        </w:tc>
      </w:tr>
    </w:tbl>
    <w:p>
      <w:pPr>
        <w:pStyle w:val="BodyText"/>
      </w:pPr>
    </w:p>
    <w:p>
      <w:pPr>
        <w:spacing w:before="0"/>
        <w:ind w:left="0" w:right="12" w:firstLine="0"/>
        <w:jc w:val="center"/>
        <w:rPr>
          <w:sz w:val="16"/>
        </w:rPr>
      </w:pPr>
      <w:r>
        <w:rPr/>
        <w:pict>
          <v:line style="position:absolute;mso-position-horizontal-relative:page;mso-position-vertical-relative:paragraph;z-index:-642736" from="543.280884pt,-11.77469pt" to="543.280884pt,-11.77469pt" stroked="true" strokeweight=".5pt" strokecolor="#929292">
            <w10:wrap type="none"/>
          </v:line>
        </w:pict>
      </w:r>
      <w:r>
        <w:rPr/>
        <w:pict>
          <v:line style="position:absolute;mso-position-horizontal-relative:page;mso-position-vertical-relative:paragraph;z-index:-642712" from="868.230896pt,-11.77469pt" to="868.230896pt,-11.77469pt" stroked="true" strokeweight=".5pt" strokecolor="#929292">
            <w10:wrap type="none"/>
          </v:line>
        </w:pict>
      </w:r>
      <w:r>
        <w:rPr>
          <w:color w:val="6D6E71"/>
          <w:sz w:val="16"/>
        </w:rPr>
        <w:t>Fuente: Elaboración propia, 2015.</w:t>
      </w:r>
    </w:p>
    <w:p>
      <w:pPr>
        <w:pStyle w:val="BodyText"/>
        <w:rPr>
          <w:sz w:val="16"/>
        </w:rPr>
      </w:pPr>
    </w:p>
    <w:p>
      <w:pPr>
        <w:spacing w:before="112"/>
        <w:ind w:left="0" w:right="12" w:firstLine="0"/>
        <w:jc w:val="center"/>
        <w:rPr>
          <w:sz w:val="16"/>
        </w:rPr>
      </w:pPr>
      <w:r>
        <w:rPr>
          <w:color w:val="6D6E71"/>
          <w:sz w:val="16"/>
        </w:rPr>
        <w:t>Gráfica 18. Años que tienen con el huerto</w:t>
      </w:r>
    </w:p>
    <w:p>
      <w:pPr>
        <w:pStyle w:val="BodyText"/>
        <w:spacing w:before="11"/>
        <w:rPr>
          <w:sz w:val="11"/>
        </w:rPr>
      </w:pPr>
    </w:p>
    <w:p>
      <w:pPr>
        <w:pStyle w:val="BodyText"/>
        <w:ind w:left="1623"/>
      </w:pPr>
      <w:r>
        <w:rPr/>
        <w:drawing>
          <wp:inline distT="0" distB="0" distL="0" distR="0">
            <wp:extent cx="2977514" cy="1263015"/>
            <wp:effectExtent l="0" t="0" r="0" b="0"/>
            <wp:docPr id="101" name="image69.png" descr=""/>
            <wp:cNvGraphicFramePr>
              <a:graphicFrameLocks noChangeAspect="1"/>
            </wp:cNvGraphicFramePr>
            <a:graphic>
              <a:graphicData uri="http://schemas.openxmlformats.org/drawingml/2006/picture">
                <pic:pic>
                  <pic:nvPicPr>
                    <pic:cNvPr id="102" name="image69.png"/>
                    <pic:cNvPicPr/>
                  </pic:nvPicPr>
                  <pic:blipFill>
                    <a:blip r:embed="rId238" cstate="print"/>
                    <a:stretch>
                      <a:fillRect/>
                    </a:stretch>
                  </pic:blipFill>
                  <pic:spPr>
                    <a:xfrm>
                      <a:off x="0" y="0"/>
                      <a:ext cx="2977514" cy="1263015"/>
                    </a:xfrm>
                    <a:prstGeom prst="rect">
                      <a:avLst/>
                    </a:prstGeom>
                  </pic:spPr>
                </pic:pic>
              </a:graphicData>
            </a:graphic>
          </wp:inline>
        </w:drawing>
      </w:r>
      <w:r>
        <w:rPr/>
      </w:r>
    </w:p>
    <w:p>
      <w:pPr>
        <w:spacing w:before="89"/>
        <w:ind w:left="0" w:right="12" w:firstLine="0"/>
        <w:jc w:val="center"/>
        <w:rPr>
          <w:sz w:val="16"/>
        </w:rPr>
      </w:pPr>
      <w:r>
        <w:rPr>
          <w:color w:val="6D6E71"/>
          <w:sz w:val="16"/>
        </w:rPr>
        <w:t>Fuente: Elaboración propia, 2015.</w:t>
      </w:r>
    </w:p>
    <w:p>
      <w:pPr>
        <w:spacing w:after="0"/>
        <w:jc w:val="center"/>
        <w:rPr>
          <w:sz w:val="16"/>
        </w:rPr>
        <w:sectPr>
          <w:type w:val="continuous"/>
          <w:pgSz w:w="18830" w:h="12760" w:orient="landscape"/>
          <w:pgMar w:top="1420" w:bottom="280" w:left="720" w:right="720"/>
          <w:cols w:num="2" w:equalWidth="0">
            <w:col w:w="7828" w:space="1594"/>
            <w:col w:w="7968"/>
          </w:cols>
        </w:sectPr>
      </w:pPr>
    </w:p>
    <w:p>
      <w:pPr>
        <w:pStyle w:val="BodyText"/>
        <w:spacing w:before="8"/>
      </w:pPr>
    </w:p>
    <w:p>
      <w:pPr>
        <w:spacing w:after="0"/>
        <w:sectPr>
          <w:footerReference w:type="default" r:id="rId239"/>
          <w:pgSz w:w="18830" w:h="12760" w:orient="landscape"/>
          <w:pgMar w:footer="1036" w:header="522" w:top="820" w:bottom="1220" w:left="720" w:right="720"/>
        </w:sectPr>
      </w:pPr>
    </w:p>
    <w:p>
      <w:pPr>
        <w:pStyle w:val="Heading1"/>
        <w:spacing w:before="71"/>
        <w:ind w:left="301" w:right="3"/>
      </w:pPr>
      <w:r>
        <w:rPr/>
        <w:t>Problemática y potencialidad de los huertos familiares</w:t>
      </w:r>
    </w:p>
    <w:p>
      <w:pPr>
        <w:pStyle w:val="BodyText"/>
        <w:rPr>
          <w:b/>
          <w:sz w:val="21"/>
        </w:rPr>
      </w:pPr>
    </w:p>
    <w:p>
      <w:pPr>
        <w:pStyle w:val="BodyText"/>
        <w:spacing w:line="249" w:lineRule="auto"/>
        <w:ind w:left="78" w:firstLine="170"/>
        <w:jc w:val="right"/>
      </w:pPr>
      <w:r>
        <w:rPr/>
        <w:t>Se elaboró el diagnóstico de la problemática mediante un análisis FODA, dirigido</w:t>
      </w:r>
      <w:r>
        <w:rPr>
          <w:w w:val="103"/>
        </w:rPr>
        <w:t> </w:t>
      </w:r>
      <w:r>
        <w:rPr/>
        <w:t>a identificar la problemática social y ambiental de los huertos familiares; mediante</w:t>
      </w:r>
      <w:r>
        <w:rPr>
          <w:w w:val="100"/>
        </w:rPr>
        <w:t> </w:t>
      </w:r>
      <w:r>
        <w:rPr/>
        <w:t>observación directa en campo y entrevistas no estructuradas con la población, se</w:t>
      </w:r>
      <w:r>
        <w:rPr>
          <w:w w:val="98"/>
        </w:rPr>
        <w:t> </w:t>
      </w:r>
      <w:r>
        <w:rPr/>
        <w:t>detectaron las fortalezas, oportunidades, debilidades y amenazas, como un primer</w:t>
      </w:r>
      <w:r>
        <w:rPr>
          <w:w w:val="101"/>
        </w:rPr>
        <w:t> </w:t>
      </w:r>
      <w:r>
        <w:rPr/>
        <w:t>acercamiento para el análisis de los problemas que tienen relación con los AEHF, en el</w:t>
      </w:r>
      <w:r>
        <w:rPr>
          <w:w w:val="97"/>
        </w:rPr>
        <w:t> </w:t>
      </w:r>
      <w:r>
        <w:rPr/>
        <w:t>cuadro 14 se presentan las principales limitaciones y potenciales que se  identificaron.</w:t>
      </w:r>
    </w:p>
    <w:p>
      <w:pPr>
        <w:pStyle w:val="BodyText"/>
        <w:spacing w:before="11"/>
      </w:pPr>
    </w:p>
    <w:p>
      <w:pPr>
        <w:pStyle w:val="BodyText"/>
        <w:spacing w:line="249" w:lineRule="auto"/>
        <w:ind w:left="131" w:firstLine="170"/>
        <w:jc w:val="both"/>
      </w:pPr>
      <w:r>
        <w:rPr/>
        <w:t>La principal Fortaleza es que en estos agro ecosistemas se producen alimentos  para el autoconsumo familiar; de entre las oportunidades destaca el intercambio de  los productos para complementar la dieta familiar; de las debilidades es relevante la escasez de agua en algunas comunidades; y la mayor amenaza es la introducción de especies exóticas dentro del AEHF, lo que puede provocar un desequilibrio </w:t>
      </w:r>
      <w:r>
        <w:rPr>
          <w:spacing w:val="21"/>
        </w:rPr>
        <w:t> </w:t>
      </w:r>
      <w:r>
        <w:rPr/>
        <w:t>ecológico.</w:t>
      </w:r>
    </w:p>
    <w:p>
      <w:pPr>
        <w:pStyle w:val="BodyText"/>
        <w:spacing w:line="249" w:lineRule="auto" w:before="109"/>
        <w:ind w:left="131" w:right="127" w:firstLine="170"/>
        <w:jc w:val="both"/>
      </w:pPr>
      <w:r>
        <w:rPr/>
        <w:br w:type="column"/>
      </w:r>
      <w:r>
        <w:rPr/>
        <w:t>A</w:t>
      </w:r>
      <w:r>
        <w:rPr>
          <w:spacing w:val="-22"/>
        </w:rPr>
        <w:t> </w:t>
      </w:r>
      <w:r>
        <w:rPr/>
        <w:t>partir</w:t>
      </w:r>
      <w:r>
        <w:rPr>
          <w:spacing w:val="-22"/>
        </w:rPr>
        <w:t> </w:t>
      </w:r>
      <w:r>
        <w:rPr/>
        <w:t>del</w:t>
      </w:r>
      <w:r>
        <w:rPr>
          <w:spacing w:val="-22"/>
        </w:rPr>
        <w:t> </w:t>
      </w:r>
      <w:r>
        <w:rPr/>
        <w:t>análisis</w:t>
      </w:r>
      <w:r>
        <w:rPr>
          <w:spacing w:val="-22"/>
        </w:rPr>
        <w:t> </w:t>
      </w:r>
      <w:r>
        <w:rPr/>
        <w:t>FODA</w:t>
      </w:r>
      <w:r>
        <w:rPr>
          <w:spacing w:val="-22"/>
        </w:rPr>
        <w:t> </w:t>
      </w:r>
      <w:r>
        <w:rPr/>
        <w:t>se</w:t>
      </w:r>
      <w:r>
        <w:rPr>
          <w:spacing w:val="-22"/>
        </w:rPr>
        <w:t> </w:t>
      </w:r>
      <w:r>
        <w:rPr/>
        <w:t>proponen</w:t>
      </w:r>
      <w:r>
        <w:rPr>
          <w:spacing w:val="-22"/>
        </w:rPr>
        <w:t> </w:t>
      </w:r>
      <w:r>
        <w:rPr/>
        <w:t>las</w:t>
      </w:r>
      <w:r>
        <w:rPr>
          <w:spacing w:val="-22"/>
        </w:rPr>
        <w:t> </w:t>
      </w:r>
      <w:r>
        <w:rPr/>
        <w:t>estrategias</w:t>
      </w:r>
      <w:r>
        <w:rPr>
          <w:spacing w:val="-22"/>
        </w:rPr>
        <w:t> </w:t>
      </w:r>
      <w:r>
        <w:rPr/>
        <w:t>FO,</w:t>
      </w:r>
      <w:r>
        <w:rPr>
          <w:spacing w:val="-22"/>
        </w:rPr>
        <w:t> </w:t>
      </w:r>
      <w:r>
        <w:rPr/>
        <w:t>FA,</w:t>
      </w:r>
      <w:r>
        <w:rPr>
          <w:spacing w:val="-22"/>
        </w:rPr>
        <w:t> </w:t>
      </w:r>
      <w:r>
        <w:rPr/>
        <w:t>DO,</w:t>
      </w:r>
      <w:r>
        <w:rPr>
          <w:spacing w:val="-22"/>
        </w:rPr>
        <w:t> </w:t>
      </w:r>
      <w:r>
        <w:rPr/>
        <w:t>DA,</w:t>
      </w:r>
      <w:r>
        <w:rPr>
          <w:spacing w:val="-22"/>
        </w:rPr>
        <w:t> </w:t>
      </w:r>
      <w:r>
        <w:rPr/>
        <w:t>que</w:t>
      </w:r>
      <w:r>
        <w:rPr>
          <w:spacing w:val="-22"/>
        </w:rPr>
        <w:t> </w:t>
      </w:r>
      <w:r>
        <w:rPr/>
        <w:t>contribuyan a</w:t>
      </w:r>
      <w:r>
        <w:rPr>
          <w:spacing w:val="-14"/>
        </w:rPr>
        <w:t> </w:t>
      </w:r>
      <w:r>
        <w:rPr/>
        <w:t>mejorar</w:t>
      </w:r>
      <w:r>
        <w:rPr>
          <w:spacing w:val="-14"/>
        </w:rPr>
        <w:t> </w:t>
      </w:r>
      <w:r>
        <w:rPr/>
        <w:t>el</w:t>
      </w:r>
      <w:r>
        <w:rPr>
          <w:spacing w:val="-14"/>
        </w:rPr>
        <w:t> </w:t>
      </w:r>
      <w:r>
        <w:rPr/>
        <w:t>mantenimiento</w:t>
      </w:r>
      <w:r>
        <w:rPr>
          <w:spacing w:val="-14"/>
        </w:rPr>
        <w:t> </w:t>
      </w:r>
      <w:r>
        <w:rPr/>
        <w:t>de</w:t>
      </w:r>
      <w:r>
        <w:rPr>
          <w:spacing w:val="-14"/>
        </w:rPr>
        <w:t> </w:t>
      </w:r>
      <w:r>
        <w:rPr/>
        <w:t>los</w:t>
      </w:r>
      <w:r>
        <w:rPr>
          <w:spacing w:val="-14"/>
        </w:rPr>
        <w:t> </w:t>
      </w:r>
      <w:r>
        <w:rPr/>
        <w:t>AEHF</w:t>
      </w:r>
      <w:r>
        <w:rPr>
          <w:spacing w:val="-14"/>
        </w:rPr>
        <w:t> </w:t>
      </w:r>
      <w:r>
        <w:rPr/>
        <w:t>y</w:t>
      </w:r>
      <w:r>
        <w:rPr>
          <w:spacing w:val="-14"/>
        </w:rPr>
        <w:t> </w:t>
      </w:r>
      <w:r>
        <w:rPr/>
        <w:t>su</w:t>
      </w:r>
      <w:r>
        <w:rPr>
          <w:spacing w:val="-14"/>
        </w:rPr>
        <w:t> </w:t>
      </w:r>
      <w:r>
        <w:rPr/>
        <w:t>conservación</w:t>
      </w:r>
      <w:r>
        <w:rPr>
          <w:spacing w:val="-14"/>
        </w:rPr>
        <w:t> </w:t>
      </w:r>
      <w:r>
        <w:rPr/>
        <w:t>(Cuadro</w:t>
      </w:r>
      <w:r>
        <w:rPr>
          <w:spacing w:val="-14"/>
        </w:rPr>
        <w:t> </w:t>
      </w:r>
      <w:r>
        <w:rPr/>
        <w:t>15).</w:t>
      </w:r>
      <w:r>
        <w:rPr>
          <w:spacing w:val="-14"/>
        </w:rPr>
        <w:t> </w:t>
      </w:r>
      <w:r>
        <w:rPr/>
        <w:t>Para</w:t>
      </w:r>
      <w:r>
        <w:rPr>
          <w:spacing w:val="-14"/>
        </w:rPr>
        <w:t> </w:t>
      </w:r>
      <w:r>
        <w:rPr/>
        <w:t>maximizar las fortalezas y las oportunidades considerando la Estrategia Adaptativa (FO), se debe promover</w:t>
      </w:r>
      <w:r>
        <w:rPr>
          <w:spacing w:val="-6"/>
        </w:rPr>
        <w:t> </w:t>
      </w:r>
      <w:r>
        <w:rPr/>
        <w:t>en</w:t>
      </w:r>
      <w:r>
        <w:rPr>
          <w:spacing w:val="-6"/>
        </w:rPr>
        <w:t> </w:t>
      </w:r>
      <w:r>
        <w:rPr/>
        <w:t>la</w:t>
      </w:r>
      <w:r>
        <w:rPr>
          <w:spacing w:val="-6"/>
        </w:rPr>
        <w:t> </w:t>
      </w:r>
      <w:r>
        <w:rPr/>
        <w:t>región</w:t>
      </w:r>
      <w:r>
        <w:rPr>
          <w:spacing w:val="-6"/>
        </w:rPr>
        <w:t> </w:t>
      </w:r>
      <w:r>
        <w:rPr/>
        <w:t>la</w:t>
      </w:r>
      <w:r>
        <w:rPr>
          <w:spacing w:val="-6"/>
        </w:rPr>
        <w:t> </w:t>
      </w:r>
      <w:r>
        <w:rPr/>
        <w:t>relación</w:t>
      </w:r>
      <w:r>
        <w:rPr>
          <w:spacing w:val="-6"/>
        </w:rPr>
        <w:t> </w:t>
      </w:r>
      <w:r>
        <w:rPr/>
        <w:t>comunitaria</w:t>
      </w:r>
      <w:r>
        <w:rPr>
          <w:spacing w:val="-6"/>
        </w:rPr>
        <w:t> </w:t>
      </w:r>
      <w:r>
        <w:rPr/>
        <w:t>mediante</w:t>
      </w:r>
      <w:r>
        <w:rPr>
          <w:spacing w:val="-6"/>
        </w:rPr>
        <w:t> </w:t>
      </w:r>
      <w:r>
        <w:rPr/>
        <w:t>espacios</w:t>
      </w:r>
      <w:r>
        <w:rPr>
          <w:spacing w:val="-6"/>
        </w:rPr>
        <w:t> </w:t>
      </w:r>
      <w:r>
        <w:rPr/>
        <w:t>para</w:t>
      </w:r>
      <w:r>
        <w:rPr>
          <w:spacing w:val="-6"/>
        </w:rPr>
        <w:t> </w:t>
      </w:r>
      <w:r>
        <w:rPr/>
        <w:t>la</w:t>
      </w:r>
      <w:r>
        <w:rPr>
          <w:spacing w:val="-6"/>
        </w:rPr>
        <w:t> </w:t>
      </w:r>
      <w:r>
        <w:rPr/>
        <w:t>convivencia</w:t>
      </w:r>
      <w:r>
        <w:rPr>
          <w:spacing w:val="-6"/>
        </w:rPr>
        <w:t> </w:t>
      </w:r>
      <w:r>
        <w:rPr/>
        <w:t>en la comunidad. Para la Estrategia Defensiva (FA), que busca maximizar las fortalezas y minimizar</w:t>
      </w:r>
      <w:r>
        <w:rPr>
          <w:spacing w:val="-16"/>
        </w:rPr>
        <w:t> </w:t>
      </w:r>
      <w:r>
        <w:rPr/>
        <w:t>las</w:t>
      </w:r>
      <w:r>
        <w:rPr>
          <w:spacing w:val="-16"/>
        </w:rPr>
        <w:t> </w:t>
      </w:r>
      <w:r>
        <w:rPr/>
        <w:t>amenazas,</w:t>
      </w:r>
      <w:r>
        <w:rPr>
          <w:spacing w:val="-16"/>
        </w:rPr>
        <w:t> </w:t>
      </w:r>
      <w:r>
        <w:rPr/>
        <w:t>se</w:t>
      </w:r>
      <w:r>
        <w:rPr>
          <w:spacing w:val="-16"/>
        </w:rPr>
        <w:t> </w:t>
      </w:r>
      <w:r>
        <w:rPr/>
        <w:t>propone</w:t>
      </w:r>
      <w:r>
        <w:rPr>
          <w:spacing w:val="-16"/>
        </w:rPr>
        <w:t> </w:t>
      </w:r>
      <w:r>
        <w:rPr/>
        <w:t>hacer</w:t>
      </w:r>
      <w:r>
        <w:rPr>
          <w:spacing w:val="-16"/>
        </w:rPr>
        <w:t> </w:t>
      </w:r>
      <w:r>
        <w:rPr/>
        <w:t>una</w:t>
      </w:r>
      <w:r>
        <w:rPr>
          <w:spacing w:val="-16"/>
        </w:rPr>
        <w:t> </w:t>
      </w:r>
      <w:r>
        <w:rPr/>
        <w:t>estratificación</w:t>
      </w:r>
      <w:r>
        <w:rPr>
          <w:spacing w:val="-16"/>
        </w:rPr>
        <w:t> </w:t>
      </w:r>
      <w:r>
        <w:rPr/>
        <w:t>vertical</w:t>
      </w:r>
      <w:r>
        <w:rPr>
          <w:spacing w:val="-16"/>
        </w:rPr>
        <w:t> </w:t>
      </w:r>
      <w:r>
        <w:rPr/>
        <w:t>del</w:t>
      </w:r>
      <w:r>
        <w:rPr>
          <w:spacing w:val="-16"/>
        </w:rPr>
        <w:t> </w:t>
      </w:r>
      <w:r>
        <w:rPr/>
        <w:t>huerto</w:t>
      </w:r>
      <w:r>
        <w:rPr>
          <w:spacing w:val="-16"/>
        </w:rPr>
        <w:t> </w:t>
      </w:r>
      <w:r>
        <w:rPr/>
        <w:t>familiar, es decir, colocar árboles, arbustos y herbáceas intercalados, como una manera de proteger las especies</w:t>
      </w:r>
      <w:r>
        <w:rPr>
          <w:spacing w:val="16"/>
        </w:rPr>
        <w:t> </w:t>
      </w:r>
      <w:r>
        <w:rPr/>
        <w:t>presentes.</w:t>
      </w:r>
    </w:p>
    <w:p>
      <w:pPr>
        <w:pStyle w:val="BodyText"/>
        <w:spacing w:before="11"/>
      </w:pPr>
    </w:p>
    <w:p>
      <w:pPr>
        <w:pStyle w:val="BodyText"/>
        <w:spacing w:line="249" w:lineRule="auto"/>
        <w:ind w:left="131" w:right="128" w:firstLine="170"/>
        <w:jc w:val="both"/>
      </w:pPr>
      <w:r>
        <w:rPr/>
        <w:t>Para</w:t>
      </w:r>
      <w:r>
        <w:rPr>
          <w:spacing w:val="-7"/>
        </w:rPr>
        <w:t> </w:t>
      </w:r>
      <w:r>
        <w:rPr/>
        <w:t>la</w:t>
      </w:r>
      <w:r>
        <w:rPr>
          <w:spacing w:val="-7"/>
        </w:rPr>
        <w:t> </w:t>
      </w:r>
      <w:r>
        <w:rPr/>
        <w:t>Estrategia</w:t>
      </w:r>
      <w:r>
        <w:rPr>
          <w:spacing w:val="-7"/>
        </w:rPr>
        <w:t> </w:t>
      </w:r>
      <w:r>
        <w:rPr/>
        <w:t>Adaptativa</w:t>
      </w:r>
      <w:r>
        <w:rPr>
          <w:spacing w:val="-7"/>
        </w:rPr>
        <w:t> </w:t>
      </w:r>
      <w:r>
        <w:rPr/>
        <w:t>(DO)</w:t>
      </w:r>
      <w:r>
        <w:rPr>
          <w:spacing w:val="-7"/>
        </w:rPr>
        <w:t> </w:t>
      </w:r>
      <w:r>
        <w:rPr/>
        <w:t>que</w:t>
      </w:r>
      <w:r>
        <w:rPr>
          <w:spacing w:val="-7"/>
        </w:rPr>
        <w:t> </w:t>
      </w:r>
      <w:r>
        <w:rPr/>
        <w:t>plantea</w:t>
      </w:r>
      <w:r>
        <w:rPr>
          <w:spacing w:val="-7"/>
        </w:rPr>
        <w:t> </w:t>
      </w:r>
      <w:r>
        <w:rPr/>
        <w:t>minimizar</w:t>
      </w:r>
      <w:r>
        <w:rPr>
          <w:spacing w:val="-7"/>
        </w:rPr>
        <w:t> </w:t>
      </w:r>
      <w:r>
        <w:rPr/>
        <w:t>las</w:t>
      </w:r>
      <w:r>
        <w:rPr>
          <w:spacing w:val="-7"/>
        </w:rPr>
        <w:t> </w:t>
      </w:r>
      <w:r>
        <w:rPr/>
        <w:t>debilidades</w:t>
      </w:r>
      <w:r>
        <w:rPr>
          <w:spacing w:val="-7"/>
        </w:rPr>
        <w:t> </w:t>
      </w:r>
      <w:r>
        <w:rPr/>
        <w:t>y</w:t>
      </w:r>
      <w:r>
        <w:rPr>
          <w:spacing w:val="-7"/>
        </w:rPr>
        <w:t> </w:t>
      </w:r>
      <w:r>
        <w:rPr/>
        <w:t>maximizar las</w:t>
      </w:r>
      <w:r>
        <w:rPr>
          <w:spacing w:val="-8"/>
        </w:rPr>
        <w:t> </w:t>
      </w:r>
      <w:r>
        <w:rPr/>
        <w:t>oportunidades,</w:t>
      </w:r>
      <w:r>
        <w:rPr>
          <w:spacing w:val="-8"/>
        </w:rPr>
        <w:t> </w:t>
      </w:r>
      <w:r>
        <w:rPr/>
        <w:t>resalta</w:t>
      </w:r>
      <w:r>
        <w:rPr>
          <w:spacing w:val="-8"/>
        </w:rPr>
        <w:t> </w:t>
      </w:r>
      <w:r>
        <w:rPr/>
        <w:t>el</w:t>
      </w:r>
      <w:r>
        <w:rPr>
          <w:spacing w:val="-8"/>
        </w:rPr>
        <w:t> </w:t>
      </w:r>
      <w:r>
        <w:rPr/>
        <w:t>uso</w:t>
      </w:r>
      <w:r>
        <w:rPr>
          <w:spacing w:val="-8"/>
        </w:rPr>
        <w:t> </w:t>
      </w:r>
      <w:r>
        <w:rPr/>
        <w:t>de</w:t>
      </w:r>
      <w:r>
        <w:rPr>
          <w:spacing w:val="-8"/>
        </w:rPr>
        <w:t> </w:t>
      </w:r>
      <w:r>
        <w:rPr/>
        <w:t>técnicas</w:t>
      </w:r>
      <w:r>
        <w:rPr>
          <w:spacing w:val="-8"/>
        </w:rPr>
        <w:t> </w:t>
      </w:r>
      <w:r>
        <w:rPr/>
        <w:t>eficientes</w:t>
      </w:r>
      <w:r>
        <w:rPr>
          <w:spacing w:val="-8"/>
        </w:rPr>
        <w:t> </w:t>
      </w:r>
      <w:r>
        <w:rPr/>
        <w:t>para</w:t>
      </w:r>
      <w:r>
        <w:rPr>
          <w:spacing w:val="-8"/>
        </w:rPr>
        <w:t> </w:t>
      </w:r>
      <w:r>
        <w:rPr/>
        <w:t>el</w:t>
      </w:r>
      <w:r>
        <w:rPr>
          <w:spacing w:val="-8"/>
        </w:rPr>
        <w:t> </w:t>
      </w:r>
      <w:r>
        <w:rPr/>
        <w:t>riego</w:t>
      </w:r>
      <w:r>
        <w:rPr>
          <w:spacing w:val="-8"/>
        </w:rPr>
        <w:t> </w:t>
      </w:r>
      <w:r>
        <w:rPr/>
        <w:t>del</w:t>
      </w:r>
      <w:r>
        <w:rPr>
          <w:spacing w:val="-8"/>
        </w:rPr>
        <w:t> </w:t>
      </w:r>
      <w:r>
        <w:rPr/>
        <w:t>AEHF;</w:t>
      </w:r>
      <w:r>
        <w:rPr>
          <w:spacing w:val="-8"/>
        </w:rPr>
        <w:t> </w:t>
      </w:r>
      <w:r>
        <w:rPr/>
        <w:t>y</w:t>
      </w:r>
      <w:r>
        <w:rPr>
          <w:spacing w:val="-8"/>
        </w:rPr>
        <w:t> </w:t>
      </w:r>
      <w:r>
        <w:rPr/>
        <w:t>para</w:t>
      </w:r>
      <w:r>
        <w:rPr>
          <w:spacing w:val="-8"/>
        </w:rPr>
        <w:t> </w:t>
      </w:r>
      <w:r>
        <w:rPr/>
        <w:t>la Estrategia</w:t>
      </w:r>
      <w:r>
        <w:rPr>
          <w:spacing w:val="-18"/>
        </w:rPr>
        <w:t> </w:t>
      </w:r>
      <w:r>
        <w:rPr/>
        <w:t>de</w:t>
      </w:r>
      <w:r>
        <w:rPr>
          <w:spacing w:val="-18"/>
        </w:rPr>
        <w:t> </w:t>
      </w:r>
      <w:r>
        <w:rPr/>
        <w:t>Sobrevivencia</w:t>
      </w:r>
      <w:r>
        <w:rPr>
          <w:spacing w:val="-18"/>
        </w:rPr>
        <w:t> </w:t>
      </w:r>
      <w:r>
        <w:rPr/>
        <w:t>(DA)</w:t>
      </w:r>
      <w:r>
        <w:rPr>
          <w:spacing w:val="-18"/>
        </w:rPr>
        <w:t> </w:t>
      </w:r>
      <w:r>
        <w:rPr/>
        <w:t>dirigida</w:t>
      </w:r>
      <w:r>
        <w:rPr>
          <w:spacing w:val="-17"/>
        </w:rPr>
        <w:t> </w:t>
      </w:r>
      <w:r>
        <w:rPr/>
        <w:t>a</w:t>
      </w:r>
      <w:r>
        <w:rPr>
          <w:spacing w:val="-18"/>
        </w:rPr>
        <w:t> </w:t>
      </w:r>
      <w:r>
        <w:rPr/>
        <w:t>minimizar</w:t>
      </w:r>
      <w:r>
        <w:rPr>
          <w:spacing w:val="-18"/>
        </w:rPr>
        <w:t> </w:t>
      </w:r>
      <w:r>
        <w:rPr/>
        <w:t>las</w:t>
      </w:r>
      <w:r>
        <w:rPr>
          <w:spacing w:val="-18"/>
        </w:rPr>
        <w:t> </w:t>
      </w:r>
      <w:r>
        <w:rPr/>
        <w:t>debilidades</w:t>
      </w:r>
      <w:r>
        <w:rPr>
          <w:spacing w:val="-17"/>
        </w:rPr>
        <w:t> </w:t>
      </w:r>
      <w:r>
        <w:rPr/>
        <w:t>y</w:t>
      </w:r>
      <w:r>
        <w:rPr>
          <w:spacing w:val="-18"/>
        </w:rPr>
        <w:t> </w:t>
      </w:r>
      <w:r>
        <w:rPr/>
        <w:t>las</w:t>
      </w:r>
      <w:r>
        <w:rPr>
          <w:spacing w:val="-18"/>
        </w:rPr>
        <w:t> </w:t>
      </w:r>
      <w:r>
        <w:rPr/>
        <w:t>amenazas,</w:t>
      </w:r>
      <w:r>
        <w:rPr>
          <w:spacing w:val="-17"/>
        </w:rPr>
        <w:t> </w:t>
      </w:r>
      <w:r>
        <w:rPr/>
        <w:t>se propone eliminar especies exóticas que consuman una cantidad significativa de</w:t>
      </w:r>
      <w:r>
        <w:rPr>
          <w:spacing w:val="-2"/>
        </w:rPr>
        <w:t> </w:t>
      </w:r>
      <w:r>
        <w:rPr/>
        <w:t>agua.</w:t>
      </w:r>
    </w:p>
    <w:p>
      <w:pPr>
        <w:spacing w:after="0" w:line="249" w:lineRule="auto"/>
        <w:jc w:val="both"/>
        <w:sectPr>
          <w:type w:val="continuous"/>
          <w:pgSz w:w="18830" w:h="12760" w:orient="landscape"/>
          <w:pgMar w:top="1420" w:bottom="280" w:left="720" w:right="720"/>
          <w:cols w:num="2" w:equalWidth="0">
            <w:col w:w="7843" w:space="1568"/>
            <w:col w:w="7979"/>
          </w:cols>
        </w:sectPr>
      </w:pPr>
    </w:p>
    <w:p>
      <w:pPr>
        <w:pStyle w:val="BodyText"/>
        <w:spacing w:before="2"/>
        <w:rPr>
          <w:sz w:val="17"/>
        </w:rPr>
      </w:pPr>
    </w:p>
    <w:p>
      <w:pPr>
        <w:spacing w:after="0"/>
        <w:rPr>
          <w:sz w:val="17"/>
        </w:rPr>
        <w:sectPr>
          <w:type w:val="continuous"/>
          <w:pgSz w:w="18830" w:h="12760" w:orient="landscape"/>
          <w:pgMar w:top="1420" w:bottom="280" w:left="720" w:right="720"/>
        </w:sectPr>
      </w:pPr>
    </w:p>
    <w:p>
      <w:pPr>
        <w:pStyle w:val="BodyText"/>
        <w:rPr>
          <w:sz w:val="14"/>
        </w:rPr>
      </w:pPr>
    </w:p>
    <w:p>
      <w:pPr>
        <w:pStyle w:val="BodyText"/>
        <w:spacing w:before="3"/>
        <w:rPr>
          <w:sz w:val="15"/>
        </w:rPr>
      </w:pPr>
    </w:p>
    <w:p>
      <w:pPr>
        <w:spacing w:before="0"/>
        <w:ind w:left="1707" w:right="0" w:firstLine="0"/>
        <w:jc w:val="left"/>
        <w:rPr>
          <w:sz w:val="14"/>
        </w:rPr>
      </w:pPr>
      <w:r>
        <w:rPr/>
        <w:pict>
          <v:group style="position:absolute;margin-left:42.550499pt;margin-top:1.568024pt;width:385.05pt;height:276.55pt;mso-position-horizontal-relative:page;mso-position-vertical-relative:paragraph;z-index:-642688" coordorigin="851,31" coordsize="7701,5531">
            <v:line style="position:absolute" from="4675,2810" to="4675,51" stroked="true" strokeweight=".5pt" strokecolor="#929292">
              <v:stroke dashstyle="dash"/>
            </v:line>
            <v:shape style="position:absolute;left:0;top:4873;width:2;height:2804" coordorigin="0,4873" coordsize="0,2804" path="m4675,2840l4675,2840m4675,36l4675,36e" filled="false" stroked="true" strokeweight=".5pt" strokecolor="#929292">
              <v:path arrowok="t"/>
            </v:shape>
            <v:line style="position:absolute" from="886,2840" to="4660,2840" stroked="true" strokeweight=".5pt" strokecolor="#929292">
              <v:stroke dashstyle="dash"/>
            </v:line>
            <v:shape style="position:absolute;left:0;top:7677;width:3819;height:2" coordorigin="0,7677" coordsize="3819,0" path="m856,2840l856,2840m4675,2840l4675,2840e" filled="false" stroked="true" strokeweight=".5pt" strokecolor="#929292">
              <v:path arrowok="t"/>
            </v:shape>
            <v:line style="position:absolute" from="4675,5557" to="4675,2855" stroked="true" strokeweight=".5pt" strokecolor="#929292">
              <v:stroke dashstyle="dash"/>
            </v:line>
            <v:line style="position:absolute" from="4675,2840" to="4675,2840" stroked="true" strokeweight=".5pt" strokecolor="#929292"/>
            <v:line style="position:absolute" from="4705,2840" to="8531,2840" stroked="true" strokeweight=".5pt" strokecolor="#929292">
              <v:stroke dashstyle="dash"/>
            </v:line>
            <v:shape style="position:absolute;left:0;top:7677;width:3872;height:2" coordorigin="0,7677" coordsize="3872,0" path="m4675,2840l4675,2840m8546,2840l8546,2840e" filled="false" stroked="true" strokeweight=".5pt" strokecolor="#929292">
              <v:path arrowok="t"/>
            </v:shape>
            <w10:wrap type="none"/>
          </v:group>
        </w:pict>
      </w:r>
      <w:r>
        <w:rPr>
          <w:w w:val="105"/>
          <w:sz w:val="14"/>
        </w:rPr>
        <w:t>Fortalezas</w:t>
      </w:r>
    </w:p>
    <w:p>
      <w:pPr>
        <w:spacing w:before="55"/>
        <w:ind w:left="239" w:right="0" w:firstLine="0"/>
        <w:jc w:val="left"/>
        <w:rPr>
          <w:sz w:val="14"/>
        </w:rPr>
      </w:pPr>
      <w:r>
        <w:rPr>
          <w:sz w:val="14"/>
        </w:rPr>
        <w:t>F1. Producen alimento para autoconsumo</w:t>
      </w:r>
    </w:p>
    <w:p>
      <w:pPr>
        <w:spacing w:before="81"/>
        <w:ind w:left="196" w:right="-19" w:firstLine="0"/>
        <w:jc w:val="left"/>
        <w:rPr>
          <w:sz w:val="16"/>
        </w:rPr>
      </w:pPr>
      <w:r>
        <w:rPr/>
        <w:br w:type="column"/>
      </w:r>
      <w:r>
        <w:rPr>
          <w:color w:val="6D6E71"/>
          <w:sz w:val="16"/>
        </w:rPr>
        <w:t>Cuadro 14. Matriz</w:t>
      </w:r>
      <w:r>
        <w:rPr>
          <w:color w:val="6D6E71"/>
          <w:spacing w:val="-4"/>
          <w:sz w:val="16"/>
        </w:rPr>
        <w:t> </w:t>
      </w:r>
      <w:r>
        <w:rPr>
          <w:color w:val="6D6E71"/>
          <w:sz w:val="16"/>
        </w:rPr>
        <w:t>FODA</w:t>
      </w:r>
    </w:p>
    <w:p>
      <w:pPr>
        <w:pStyle w:val="BodyText"/>
        <w:rPr>
          <w:sz w:val="14"/>
        </w:rPr>
      </w:pPr>
      <w:r>
        <w:rPr/>
        <w:br w:type="column"/>
      </w:r>
      <w:r>
        <w:rPr>
          <w:sz w:val="14"/>
        </w:rPr>
      </w:r>
    </w:p>
    <w:p>
      <w:pPr>
        <w:pStyle w:val="BodyText"/>
        <w:rPr>
          <w:sz w:val="14"/>
        </w:rPr>
      </w:pPr>
    </w:p>
    <w:p>
      <w:pPr>
        <w:pStyle w:val="BodyText"/>
        <w:spacing w:before="7"/>
        <w:rPr>
          <w:sz w:val="17"/>
        </w:rPr>
      </w:pPr>
    </w:p>
    <w:p>
      <w:pPr>
        <w:spacing w:before="0"/>
        <w:ind w:left="239" w:right="-20" w:firstLine="0"/>
        <w:jc w:val="left"/>
        <w:rPr>
          <w:sz w:val="14"/>
        </w:rPr>
      </w:pPr>
      <w:r>
        <w:rPr>
          <w:w w:val="105"/>
          <w:sz w:val="14"/>
        </w:rPr>
        <w:t>Oportunidades</w:t>
      </w:r>
    </w:p>
    <w:p>
      <w:pPr>
        <w:spacing w:before="81"/>
        <w:ind w:left="239" w:right="0" w:firstLine="0"/>
        <w:jc w:val="left"/>
        <w:rPr>
          <w:sz w:val="16"/>
        </w:rPr>
      </w:pPr>
      <w:r>
        <w:rPr/>
        <w:br w:type="column"/>
      </w:r>
      <w:r>
        <w:rPr>
          <w:color w:val="6D6E71"/>
          <w:sz w:val="16"/>
        </w:rPr>
        <w:t>Cuadro 15. Matriz de estrategias FODA</w:t>
      </w:r>
    </w:p>
    <w:p>
      <w:pPr>
        <w:spacing w:after="0"/>
        <w:jc w:val="left"/>
        <w:rPr>
          <w:sz w:val="16"/>
        </w:rPr>
        <w:sectPr>
          <w:type w:val="continuous"/>
          <w:pgSz w:w="18830" w:h="12760" w:orient="landscape"/>
          <w:pgMar w:top="1420" w:bottom="280" w:left="720" w:right="720"/>
          <w:cols w:num="4" w:equalWidth="0">
            <w:col w:w="2872" w:space="40"/>
            <w:col w:w="1954" w:space="306"/>
            <w:col w:w="1204" w:space="5375"/>
            <w:col w:w="5639"/>
          </w:cols>
        </w:sectPr>
      </w:pPr>
    </w:p>
    <w:p>
      <w:pPr>
        <w:spacing w:before="55"/>
        <w:ind w:left="239" w:right="-15" w:firstLine="0"/>
        <w:jc w:val="left"/>
        <w:rPr>
          <w:sz w:val="14"/>
        </w:rPr>
      </w:pPr>
      <w:r>
        <w:rPr>
          <w:sz w:val="14"/>
        </w:rPr>
        <w:t>F2. Poseen amplia biodiversidad</w:t>
      </w:r>
    </w:p>
    <w:p>
      <w:pPr>
        <w:spacing w:before="55"/>
        <w:ind w:left="239" w:right="-15" w:firstLine="0"/>
        <w:jc w:val="left"/>
        <w:rPr>
          <w:sz w:val="14"/>
        </w:rPr>
      </w:pPr>
      <w:r>
        <w:rPr>
          <w:sz w:val="14"/>
        </w:rPr>
        <w:t>F3. Establecimiento de plantas, arbustos y árboles de acuerdo con los gustos e intereses de la familia</w:t>
      </w:r>
    </w:p>
    <w:p>
      <w:pPr>
        <w:spacing w:before="55"/>
        <w:ind w:left="239" w:right="-15" w:firstLine="0"/>
        <w:jc w:val="left"/>
        <w:rPr>
          <w:sz w:val="14"/>
        </w:rPr>
      </w:pPr>
      <w:r>
        <w:rPr>
          <w:sz w:val="14"/>
        </w:rPr>
        <w:t>F4. Conservación de germoplasma in situ</w:t>
      </w:r>
    </w:p>
    <w:p>
      <w:pPr>
        <w:spacing w:line="324" w:lineRule="auto" w:before="55"/>
        <w:ind w:left="239" w:right="-15" w:firstLine="0"/>
        <w:jc w:val="left"/>
        <w:rPr>
          <w:sz w:val="14"/>
        </w:rPr>
      </w:pPr>
      <w:r>
        <w:rPr>
          <w:sz w:val="14"/>
        </w:rPr>
        <w:t>F5. Requieren de pocos insumos para su mantenimiento F6. Crean clima agradable</w:t>
      </w:r>
    </w:p>
    <w:p>
      <w:pPr>
        <w:spacing w:before="1"/>
        <w:ind w:left="239" w:right="-15" w:firstLine="0"/>
        <w:jc w:val="left"/>
        <w:rPr>
          <w:sz w:val="14"/>
        </w:rPr>
      </w:pPr>
      <w:r>
        <w:rPr>
          <w:sz w:val="14"/>
        </w:rPr>
        <w:t>F7. Reciclaje de nutrientes</w:t>
      </w:r>
    </w:p>
    <w:p>
      <w:pPr>
        <w:spacing w:line="324" w:lineRule="auto" w:before="55"/>
        <w:ind w:left="239" w:right="1316" w:firstLine="0"/>
        <w:jc w:val="left"/>
        <w:rPr>
          <w:sz w:val="14"/>
        </w:rPr>
      </w:pPr>
      <w:r>
        <w:rPr>
          <w:sz w:val="14"/>
        </w:rPr>
        <w:t>F8. Generan servicios ambientales F9. Protege el suelo de la erosión</w:t>
      </w:r>
    </w:p>
    <w:p>
      <w:pPr>
        <w:spacing w:before="1"/>
        <w:ind w:left="239" w:right="-15" w:firstLine="0"/>
        <w:jc w:val="left"/>
        <w:rPr>
          <w:sz w:val="14"/>
        </w:rPr>
      </w:pPr>
      <w:r>
        <w:rPr>
          <w:sz w:val="14"/>
        </w:rPr>
        <w:t>F10. Utilizar el espacio para recreación o esparcimiento de las personas</w:t>
      </w:r>
    </w:p>
    <w:p>
      <w:pPr>
        <w:pStyle w:val="BodyText"/>
        <w:spacing w:before="5"/>
        <w:rPr>
          <w:sz w:val="14"/>
        </w:rPr>
      </w:pPr>
    </w:p>
    <w:p>
      <w:pPr>
        <w:spacing w:before="0"/>
        <w:ind w:left="1638" w:right="1360" w:firstLine="0"/>
        <w:jc w:val="center"/>
        <w:rPr>
          <w:sz w:val="14"/>
        </w:rPr>
      </w:pPr>
      <w:r>
        <w:rPr>
          <w:w w:val="105"/>
          <w:sz w:val="14"/>
        </w:rPr>
        <w:t>Debilidades</w:t>
      </w:r>
    </w:p>
    <w:p>
      <w:pPr>
        <w:spacing w:before="55"/>
        <w:ind w:left="239" w:right="-15" w:firstLine="0"/>
        <w:jc w:val="left"/>
        <w:rPr>
          <w:sz w:val="14"/>
        </w:rPr>
      </w:pPr>
      <w:r>
        <w:rPr>
          <w:sz w:val="14"/>
        </w:rPr>
        <w:t>D1. Escases de agua</w:t>
      </w:r>
    </w:p>
    <w:p>
      <w:pPr>
        <w:spacing w:before="55"/>
        <w:ind w:left="239" w:right="-15" w:firstLine="0"/>
        <w:jc w:val="left"/>
        <w:rPr>
          <w:sz w:val="14"/>
        </w:rPr>
      </w:pPr>
      <w:r>
        <w:rPr>
          <w:sz w:val="14"/>
        </w:rPr>
        <w:t>D2. División del terreno por el crecimiento de la familia</w:t>
      </w:r>
    </w:p>
    <w:p>
      <w:pPr>
        <w:spacing w:before="55"/>
        <w:ind w:left="239" w:right="475" w:firstLine="0"/>
        <w:jc w:val="left"/>
        <w:rPr>
          <w:sz w:val="14"/>
        </w:rPr>
      </w:pPr>
      <w:r>
        <w:rPr>
          <w:sz w:val="14"/>
        </w:rPr>
        <w:t>D3. No se transmite el conocimiento a las nuevas generaciones</w:t>
      </w:r>
    </w:p>
    <w:p>
      <w:pPr>
        <w:spacing w:line="324" w:lineRule="auto" w:before="55"/>
        <w:ind w:left="239" w:right="1316" w:firstLine="0"/>
        <w:jc w:val="left"/>
        <w:rPr>
          <w:sz w:val="14"/>
        </w:rPr>
      </w:pPr>
      <w:r>
        <w:rPr>
          <w:sz w:val="14"/>
        </w:rPr>
        <w:t>D4. Plagas en el agroecosistema D5. Falta de sucesión ecológica</w:t>
      </w:r>
    </w:p>
    <w:p>
      <w:pPr>
        <w:spacing w:before="1"/>
        <w:ind w:left="239" w:right="40" w:firstLine="0"/>
        <w:jc w:val="left"/>
        <w:rPr>
          <w:sz w:val="14"/>
        </w:rPr>
      </w:pPr>
      <w:r>
        <w:rPr>
          <w:sz w:val="14"/>
        </w:rPr>
        <w:t>D6. Desconocimiento de la importancia del huerto familiar</w:t>
      </w:r>
    </w:p>
    <w:p>
      <w:pPr>
        <w:spacing w:before="55"/>
        <w:ind w:left="239" w:right="-15" w:firstLine="0"/>
        <w:jc w:val="left"/>
        <w:rPr>
          <w:sz w:val="14"/>
        </w:rPr>
      </w:pPr>
      <w:r>
        <w:rPr>
          <w:sz w:val="14"/>
        </w:rPr>
        <w:t>D7. Escazas prácticas para el mantenimiento del huerto</w:t>
      </w:r>
    </w:p>
    <w:p>
      <w:pPr>
        <w:spacing w:before="55"/>
        <w:ind w:left="239" w:right="-15" w:firstLine="0"/>
        <w:jc w:val="left"/>
        <w:rPr>
          <w:sz w:val="14"/>
        </w:rPr>
      </w:pPr>
      <w:r>
        <w:rPr>
          <w:sz w:val="14"/>
        </w:rPr>
        <w:t>D8. El mantenimiento es realizado por personas mayores</w:t>
      </w:r>
      <w:r>
        <w:rPr>
          <w:w w:val="99"/>
          <w:sz w:val="14"/>
        </w:rPr>
        <w:t> </w:t>
      </w:r>
      <w:r>
        <w:rPr>
          <w:sz w:val="14"/>
        </w:rPr>
        <w:t>y mujeres</w:t>
      </w:r>
    </w:p>
    <w:p>
      <w:pPr>
        <w:spacing w:line="324" w:lineRule="auto" w:before="55"/>
        <w:ind w:left="239" w:right="662" w:firstLine="0"/>
        <w:jc w:val="left"/>
        <w:rPr>
          <w:sz w:val="14"/>
        </w:rPr>
      </w:pPr>
      <w:r>
        <w:rPr>
          <w:sz w:val="14"/>
        </w:rPr>
        <w:t>D9. Desinterés por continuar con el huerto D10. Falta de asesoría para el mantenimiento</w:t>
      </w:r>
    </w:p>
    <w:p>
      <w:pPr>
        <w:spacing w:before="27"/>
        <w:ind w:left="215" w:right="9806" w:firstLine="0"/>
        <w:jc w:val="left"/>
        <w:rPr>
          <w:sz w:val="14"/>
        </w:rPr>
      </w:pPr>
      <w:r>
        <w:rPr/>
        <w:br w:type="column"/>
      </w:r>
      <w:r>
        <w:rPr>
          <w:sz w:val="14"/>
        </w:rPr>
        <w:t>O1. Intercambio de productos</w:t>
      </w:r>
    </w:p>
    <w:p>
      <w:pPr>
        <w:spacing w:line="324" w:lineRule="auto" w:before="55"/>
        <w:ind w:left="215" w:right="9806" w:firstLine="0"/>
        <w:jc w:val="left"/>
        <w:rPr>
          <w:sz w:val="14"/>
        </w:rPr>
      </w:pPr>
      <w:r>
        <w:rPr/>
        <w:pict>
          <v:group style="position:absolute;margin-left:513.070923pt;margin-top:-26.790277pt;width:385.05pt;height:260.7pt;mso-position-horizontal-relative:page;mso-position-vertical-relative:paragraph;z-index:10168" coordorigin="10261,-536" coordsize="7701,5214">
            <v:line style="position:absolute" from="14076,4643" to="14076,-516" stroked="true" strokeweight=".5pt" strokecolor="#929292">
              <v:stroke dashstyle="dash"/>
            </v:line>
            <v:shape style="position:absolute;left:0;top:1906;width:2;height:5204" coordorigin="0,1906" coordsize="0,5204" path="m14076,4673l14076,4673m14076,-531l14076,-531e" filled="false" stroked="true" strokeweight=".5pt" strokecolor="#929292">
              <v:path arrowok="t"/>
            </v:shape>
            <v:line style="position:absolute" from="10296,4673" to="14061,4673" stroked="true" strokeweight=".5pt" strokecolor="#929292">
              <v:stroke dashstyle="dash"/>
            </v:line>
            <v:shape style="position:absolute;left:0;top:7110;width:3810;height:2" coordorigin="0,7110" coordsize="3810,0" path="m10266,4673l10266,4673m14076,4673l14076,4673e" filled="false" stroked="true" strokeweight=".5pt" strokecolor="#929292">
              <v:path arrowok="t"/>
            </v:shape>
            <v:line style="position:absolute" from="14106,4673" to="17942,4673" stroked="true" strokeweight=".5pt" strokecolor="#929292">
              <v:stroke dashstyle="dash"/>
            </v:line>
            <v:shape style="position:absolute;left:0;top:7110;width:3881;height:2" coordorigin="0,7110" coordsize="3881,0" path="m14076,4673l14076,4673m17957,4673l17957,4673e" filled="false" stroked="true" strokeweight=".5pt" strokecolor="#929292">
              <v:path arrowok="t"/>
            </v:shape>
            <v:shape style="position:absolute;left:10370;top:-525;width:3521;height:4926" type="#_x0000_t202" filled="false" stroked="false">
              <v:textbox inset="0,0,0,0">
                <w:txbxContent>
                  <w:p>
                    <w:pPr>
                      <w:spacing w:line="184" w:lineRule="exact" w:before="0"/>
                      <w:ind w:left="318" w:right="-18" w:hanging="157"/>
                      <w:jc w:val="left"/>
                      <w:rPr>
                        <w:sz w:val="18"/>
                      </w:rPr>
                    </w:pPr>
                    <w:r>
                      <w:rPr>
                        <w:w w:val="105"/>
                        <w:sz w:val="18"/>
                      </w:rPr>
                      <w:t>Estrategia FO, para maximizar tanto las</w:t>
                    </w:r>
                  </w:p>
                  <w:p>
                    <w:pPr>
                      <w:spacing w:before="13"/>
                      <w:ind w:left="318" w:right="-18" w:firstLine="0"/>
                      <w:jc w:val="left"/>
                      <w:rPr>
                        <w:sz w:val="18"/>
                      </w:rPr>
                    </w:pPr>
                    <w:r>
                      <w:rPr>
                        <w:w w:val="105"/>
                        <w:sz w:val="18"/>
                      </w:rPr>
                      <w:t>Fortalezas como las Oportunidades</w:t>
                    </w:r>
                  </w:p>
                  <w:p>
                    <w:pPr>
                      <w:spacing w:line="254" w:lineRule="auto" w:before="69"/>
                      <w:ind w:left="0" w:right="-18" w:firstLine="0"/>
                      <w:jc w:val="left"/>
                      <w:rPr>
                        <w:sz w:val="18"/>
                      </w:rPr>
                    </w:pPr>
                    <w:r>
                      <w:rPr>
                        <w:sz w:val="18"/>
                      </w:rPr>
                      <w:t>FO1. Generar espacios para</w:t>
                    </w:r>
                    <w:r>
                      <w:rPr>
                        <w:spacing w:val="-2"/>
                        <w:sz w:val="18"/>
                      </w:rPr>
                      <w:t> </w:t>
                    </w:r>
                    <w:r>
                      <w:rPr>
                        <w:sz w:val="18"/>
                      </w:rPr>
                      <w:t>convivencia</w:t>
                    </w:r>
                    <w:r>
                      <w:rPr>
                        <w:spacing w:val="-1"/>
                        <w:sz w:val="18"/>
                      </w:rPr>
                      <w:t> </w:t>
                    </w:r>
                    <w:r>
                      <w:rPr>
                        <w:sz w:val="18"/>
                      </w:rPr>
                      <w:t>de</w:t>
                    </w:r>
                    <w:r>
                      <w:rPr>
                        <w:w w:val="101"/>
                        <w:sz w:val="18"/>
                      </w:rPr>
                      <w:t> </w:t>
                    </w:r>
                    <w:r>
                      <w:rPr>
                        <w:sz w:val="18"/>
                      </w:rPr>
                      <w:t>los integrantes de la</w:t>
                    </w:r>
                    <w:r>
                      <w:rPr>
                        <w:spacing w:val="32"/>
                        <w:sz w:val="18"/>
                      </w:rPr>
                      <w:t> </w:t>
                    </w:r>
                    <w:r>
                      <w:rPr>
                        <w:sz w:val="18"/>
                      </w:rPr>
                      <w:t>comunidad</w:t>
                    </w:r>
                  </w:p>
                  <w:p>
                    <w:pPr>
                      <w:spacing w:before="57"/>
                      <w:ind w:left="0" w:right="-18" w:firstLine="0"/>
                      <w:jc w:val="left"/>
                      <w:rPr>
                        <w:sz w:val="18"/>
                      </w:rPr>
                    </w:pPr>
                    <w:r>
                      <w:rPr>
                        <w:sz w:val="18"/>
                      </w:rPr>
                      <w:t>FO2. Cultivar árboles de la regiónT</w:t>
                    </w:r>
                  </w:p>
                  <w:p>
                    <w:pPr>
                      <w:spacing w:line="254" w:lineRule="auto" w:before="69"/>
                      <w:ind w:left="0" w:right="-18" w:firstLine="0"/>
                      <w:jc w:val="left"/>
                      <w:rPr>
                        <w:sz w:val="18"/>
                      </w:rPr>
                    </w:pPr>
                    <w:r>
                      <w:rPr>
                        <w:sz w:val="18"/>
                      </w:rPr>
                      <w:t>FO3. Elaborar calendarios de producción y cosecha de los AEHF</w:t>
                    </w:r>
                  </w:p>
                  <w:p>
                    <w:pPr>
                      <w:spacing w:before="57"/>
                      <w:ind w:left="0" w:right="-18" w:firstLine="0"/>
                      <w:jc w:val="left"/>
                      <w:rPr>
                        <w:sz w:val="18"/>
                      </w:rPr>
                    </w:pPr>
                    <w:r>
                      <w:rPr>
                        <w:sz w:val="18"/>
                      </w:rPr>
                      <w:t>FO4. Seleccionar árboles semilleros</w:t>
                    </w:r>
                  </w:p>
                  <w:p>
                    <w:pPr>
                      <w:spacing w:line="254" w:lineRule="auto" w:before="69"/>
                      <w:ind w:left="0" w:right="29" w:firstLine="0"/>
                      <w:jc w:val="left"/>
                      <w:rPr>
                        <w:sz w:val="18"/>
                      </w:rPr>
                    </w:pPr>
                    <w:r>
                      <w:rPr>
                        <w:sz w:val="18"/>
                      </w:rPr>
                      <w:t>FO5. Rescatar prácticas para el manejo del AEHF</w:t>
                    </w:r>
                  </w:p>
                  <w:p>
                    <w:pPr>
                      <w:spacing w:line="254" w:lineRule="auto" w:before="57"/>
                      <w:ind w:left="0" w:right="-18" w:firstLine="0"/>
                      <w:jc w:val="left"/>
                      <w:rPr>
                        <w:sz w:val="18"/>
                      </w:rPr>
                    </w:pPr>
                    <w:r>
                      <w:rPr>
                        <w:sz w:val="18"/>
                      </w:rPr>
                      <w:t>FO6. Distribuir el trabajo entre todos los integrantes de la familia</w:t>
                    </w:r>
                  </w:p>
                  <w:p>
                    <w:pPr>
                      <w:spacing w:line="254" w:lineRule="auto" w:before="57"/>
                      <w:ind w:left="0" w:right="609" w:firstLine="0"/>
                      <w:jc w:val="left"/>
                      <w:rPr>
                        <w:sz w:val="18"/>
                      </w:rPr>
                    </w:pPr>
                    <w:r>
                      <w:rPr>
                        <w:sz w:val="18"/>
                      </w:rPr>
                      <w:t>FO7. Capacitar en la elaboración de composta</w:t>
                    </w:r>
                  </w:p>
                  <w:p>
                    <w:pPr>
                      <w:spacing w:line="254" w:lineRule="auto" w:before="57"/>
                      <w:ind w:left="0" w:right="9" w:firstLine="0"/>
                      <w:jc w:val="left"/>
                      <w:rPr>
                        <w:sz w:val="18"/>
                      </w:rPr>
                    </w:pPr>
                    <w:r>
                      <w:rPr>
                        <w:sz w:val="18"/>
                      </w:rPr>
                      <w:t>FO8. Enseñar a preparar diferentes platillos con los productos del AEHF</w:t>
                    </w:r>
                  </w:p>
                  <w:p>
                    <w:pPr>
                      <w:spacing w:line="254" w:lineRule="auto" w:before="57"/>
                      <w:ind w:left="0" w:right="169" w:firstLine="0"/>
                      <w:jc w:val="left"/>
                      <w:rPr>
                        <w:sz w:val="18"/>
                      </w:rPr>
                    </w:pPr>
                    <w:r>
                      <w:rPr>
                        <w:sz w:val="18"/>
                      </w:rPr>
                      <w:t>FO9. Destacar los beneficios ambientales que generan los AEHF</w:t>
                    </w:r>
                  </w:p>
                  <w:p>
                    <w:pPr>
                      <w:spacing w:line="254" w:lineRule="auto" w:before="57"/>
                      <w:ind w:left="0" w:right="49" w:firstLine="0"/>
                      <w:jc w:val="left"/>
                      <w:rPr>
                        <w:sz w:val="18"/>
                      </w:rPr>
                    </w:pPr>
                    <w:r>
                      <w:rPr>
                        <w:sz w:val="18"/>
                      </w:rPr>
                      <w:t>FO10. Fomentar actividades recreativas en el huerto</w:t>
                    </w:r>
                  </w:p>
                </w:txbxContent>
              </v:textbox>
              <w10:wrap type="none"/>
            </v:shape>
            <v:shape style="position:absolute;left:14184;top:-526;width:3661;height:4926" type="#_x0000_t202" filled="false" stroked="false">
              <v:textbox inset="0,0,0,0">
                <w:txbxContent>
                  <w:p>
                    <w:pPr>
                      <w:spacing w:line="184" w:lineRule="exact" w:before="0"/>
                      <w:ind w:left="305" w:right="0" w:firstLine="140"/>
                      <w:jc w:val="left"/>
                      <w:rPr>
                        <w:sz w:val="18"/>
                      </w:rPr>
                    </w:pPr>
                    <w:r>
                      <w:rPr>
                        <w:w w:val="105"/>
                        <w:sz w:val="18"/>
                      </w:rPr>
                      <w:t>Estrategia FA, para maximizar las</w:t>
                    </w:r>
                  </w:p>
                  <w:p>
                    <w:pPr>
                      <w:spacing w:before="13"/>
                      <w:ind w:left="305" w:right="0" w:firstLine="0"/>
                      <w:jc w:val="left"/>
                      <w:rPr>
                        <w:sz w:val="18"/>
                      </w:rPr>
                    </w:pPr>
                    <w:r>
                      <w:rPr>
                        <w:w w:val="105"/>
                        <w:sz w:val="18"/>
                      </w:rPr>
                      <w:t>Fortalezas y minimizar las Amenazas</w:t>
                    </w:r>
                  </w:p>
                  <w:p>
                    <w:pPr>
                      <w:spacing w:line="254" w:lineRule="auto" w:before="69"/>
                      <w:ind w:left="0" w:right="0" w:firstLine="0"/>
                      <w:jc w:val="left"/>
                      <w:rPr>
                        <w:sz w:val="18"/>
                      </w:rPr>
                    </w:pPr>
                    <w:r>
                      <w:rPr>
                        <w:sz w:val="18"/>
                      </w:rPr>
                      <w:t>FA1. Fomentar la estratificación dentro de los</w:t>
                    </w:r>
                    <w:r>
                      <w:rPr>
                        <w:w w:val="101"/>
                        <w:sz w:val="18"/>
                      </w:rPr>
                      <w:t> </w:t>
                    </w:r>
                    <w:r>
                      <w:rPr>
                        <w:sz w:val="18"/>
                      </w:rPr>
                      <w:t>huertos</w:t>
                    </w:r>
                  </w:p>
                  <w:p>
                    <w:pPr>
                      <w:spacing w:line="254" w:lineRule="auto" w:before="57"/>
                      <w:ind w:left="0" w:right="49" w:firstLine="0"/>
                      <w:jc w:val="left"/>
                      <w:rPr>
                        <w:sz w:val="18"/>
                      </w:rPr>
                    </w:pPr>
                    <w:r>
                      <w:rPr>
                        <w:sz w:val="18"/>
                      </w:rPr>
                      <w:t>FA2. Valorar económicamente al huerto para su preservación</w:t>
                    </w:r>
                  </w:p>
                  <w:p>
                    <w:pPr>
                      <w:spacing w:line="254" w:lineRule="auto" w:before="57"/>
                      <w:ind w:left="0" w:right="39" w:firstLine="0"/>
                      <w:jc w:val="left"/>
                      <w:rPr>
                        <w:sz w:val="18"/>
                      </w:rPr>
                    </w:pPr>
                    <w:r>
                      <w:rPr>
                        <w:sz w:val="18"/>
                      </w:rPr>
                      <w:t>FA3. Promover el consumo de la fruta a nivel regional</w:t>
                    </w:r>
                  </w:p>
                  <w:p>
                    <w:pPr>
                      <w:spacing w:before="57"/>
                      <w:ind w:left="0" w:right="0" w:firstLine="0"/>
                      <w:jc w:val="left"/>
                      <w:rPr>
                        <w:sz w:val="18"/>
                      </w:rPr>
                    </w:pPr>
                    <w:r>
                      <w:rPr>
                        <w:sz w:val="18"/>
                      </w:rPr>
                      <w:t>FA4. Controlar sistemáticamente las plagas</w:t>
                    </w:r>
                  </w:p>
                  <w:p>
                    <w:pPr>
                      <w:spacing w:line="254" w:lineRule="auto" w:before="69"/>
                      <w:ind w:left="0" w:right="209" w:firstLine="0"/>
                      <w:jc w:val="left"/>
                      <w:rPr>
                        <w:sz w:val="18"/>
                      </w:rPr>
                    </w:pPr>
                    <w:r>
                      <w:rPr>
                        <w:sz w:val="18"/>
                      </w:rPr>
                      <w:t>FA5. Interrelacionar los componentes en el manejo</w:t>
                    </w:r>
                  </w:p>
                  <w:p>
                    <w:pPr>
                      <w:spacing w:line="254" w:lineRule="auto" w:before="57"/>
                      <w:ind w:left="0" w:right="479" w:firstLine="0"/>
                      <w:jc w:val="left"/>
                      <w:rPr>
                        <w:sz w:val="18"/>
                      </w:rPr>
                    </w:pPr>
                    <w:r>
                      <w:rPr>
                        <w:sz w:val="18"/>
                      </w:rPr>
                      <w:t>FA6. Uso de preparados naturales para equilibrio del agroecosistema</w:t>
                    </w:r>
                  </w:p>
                  <w:p>
                    <w:pPr>
                      <w:spacing w:line="254" w:lineRule="auto" w:before="57"/>
                      <w:ind w:left="0" w:right="479" w:firstLine="0"/>
                      <w:jc w:val="left"/>
                      <w:rPr>
                        <w:sz w:val="18"/>
                      </w:rPr>
                    </w:pPr>
                    <w:r>
                      <w:rPr>
                        <w:sz w:val="18"/>
                      </w:rPr>
                      <w:t>FA7. Aprovechar los recursos naturales</w:t>
                    </w:r>
                    <w:r>
                      <w:rPr>
                        <w:w w:val="99"/>
                        <w:sz w:val="18"/>
                      </w:rPr>
                      <w:t> </w:t>
                    </w:r>
                    <w:r>
                      <w:rPr>
                        <w:sz w:val="18"/>
                      </w:rPr>
                      <w:t>locales para el mantenimiento</w:t>
                    </w:r>
                  </w:p>
                  <w:p>
                    <w:pPr>
                      <w:spacing w:line="254" w:lineRule="auto" w:before="57"/>
                      <w:ind w:left="0" w:right="579" w:firstLine="0"/>
                      <w:jc w:val="left"/>
                      <w:rPr>
                        <w:sz w:val="18"/>
                      </w:rPr>
                    </w:pPr>
                    <w:r>
                      <w:rPr>
                        <w:sz w:val="18"/>
                      </w:rPr>
                      <w:t>FA8. Aumentar el autoconsumo de los productos del AEHF</w:t>
                    </w:r>
                  </w:p>
                  <w:p>
                    <w:pPr>
                      <w:spacing w:before="57"/>
                      <w:ind w:left="0" w:right="0" w:firstLine="0"/>
                      <w:jc w:val="left"/>
                      <w:rPr>
                        <w:sz w:val="18"/>
                      </w:rPr>
                    </w:pPr>
                    <w:r>
                      <w:rPr>
                        <w:sz w:val="18"/>
                      </w:rPr>
                      <w:t>FA9. Aprovechar herbáceas ruderales</w:t>
                    </w:r>
                  </w:p>
                  <w:p>
                    <w:pPr>
                      <w:spacing w:line="254" w:lineRule="auto" w:before="69"/>
                      <w:ind w:left="0" w:right="459" w:firstLine="0"/>
                      <w:jc w:val="left"/>
                      <w:rPr>
                        <w:sz w:val="18"/>
                      </w:rPr>
                    </w:pPr>
                    <w:r>
                      <w:rPr>
                        <w:sz w:val="18"/>
                      </w:rPr>
                      <w:t>FA10. Destacar los beneficios sociales, ambientales y económicos de los AEHF</w:t>
                    </w:r>
                  </w:p>
                </w:txbxContent>
              </v:textbox>
              <w10:wrap type="none"/>
            </v:shape>
            <w10:wrap type="none"/>
          </v:group>
        </w:pict>
      </w:r>
      <w:r>
        <w:rPr>
          <w:sz w:val="14"/>
        </w:rPr>
        <w:t>O2. Intercambio de conocimientos entre las personas O3. Venta de excedentes del huerto</w:t>
      </w:r>
    </w:p>
    <w:p>
      <w:pPr>
        <w:spacing w:before="1"/>
        <w:ind w:left="215" w:right="9806" w:firstLine="0"/>
        <w:jc w:val="left"/>
        <w:rPr>
          <w:sz w:val="14"/>
        </w:rPr>
      </w:pPr>
      <w:r>
        <w:rPr>
          <w:sz w:val="14"/>
        </w:rPr>
        <w:t>O4. Requiere poco tiempo para su cuidado</w:t>
      </w:r>
    </w:p>
    <w:p>
      <w:pPr>
        <w:spacing w:before="55"/>
        <w:ind w:left="215" w:right="9806" w:firstLine="0"/>
        <w:jc w:val="left"/>
        <w:rPr>
          <w:sz w:val="14"/>
        </w:rPr>
      </w:pPr>
      <w:r>
        <w:rPr>
          <w:sz w:val="14"/>
        </w:rPr>
        <w:t>O5. Interrelación de los componentes del AEHF</w:t>
      </w:r>
    </w:p>
    <w:p>
      <w:pPr>
        <w:spacing w:before="55"/>
        <w:ind w:left="215" w:right="9806" w:firstLine="0"/>
        <w:jc w:val="left"/>
        <w:rPr>
          <w:sz w:val="14"/>
        </w:rPr>
      </w:pPr>
      <w:r>
        <w:rPr>
          <w:sz w:val="14"/>
        </w:rPr>
        <w:t>O6. Integración familiar para las actividades de mantenimiento</w:t>
      </w:r>
    </w:p>
    <w:p>
      <w:pPr>
        <w:spacing w:line="324" w:lineRule="auto" w:before="55"/>
        <w:ind w:left="215" w:right="10840" w:firstLine="0"/>
        <w:jc w:val="left"/>
        <w:rPr>
          <w:sz w:val="14"/>
        </w:rPr>
      </w:pPr>
      <w:r>
        <w:rPr>
          <w:sz w:val="14"/>
        </w:rPr>
        <w:t>O7. Conservación de vegetación local O8. Estrategia de seguridad alimentaria O9. Económicamente viables</w:t>
      </w:r>
    </w:p>
    <w:p>
      <w:pPr>
        <w:spacing w:before="1"/>
        <w:ind w:left="1710" w:right="0" w:hanging="1495"/>
        <w:jc w:val="left"/>
        <w:rPr>
          <w:sz w:val="14"/>
        </w:rPr>
      </w:pPr>
      <w:r>
        <w:rPr>
          <w:sz w:val="14"/>
        </w:rPr>
        <w:t>O10. Terapia ocupacional para personas que lo requieran</w:t>
      </w:r>
    </w:p>
    <w:p>
      <w:pPr>
        <w:pStyle w:val="BodyText"/>
        <w:spacing w:before="11"/>
        <w:rPr>
          <w:sz w:val="11"/>
        </w:rPr>
      </w:pPr>
    </w:p>
    <w:p>
      <w:pPr>
        <w:spacing w:before="0"/>
        <w:ind w:left="1700" w:right="11140" w:firstLine="0"/>
        <w:jc w:val="center"/>
        <w:rPr>
          <w:sz w:val="14"/>
        </w:rPr>
      </w:pPr>
      <w:r>
        <w:rPr>
          <w:sz w:val="14"/>
        </w:rPr>
        <w:t>Amenazas</w:t>
      </w:r>
    </w:p>
    <w:p>
      <w:pPr>
        <w:spacing w:before="55"/>
        <w:ind w:left="216" w:right="9806" w:firstLine="0"/>
        <w:jc w:val="left"/>
        <w:rPr>
          <w:sz w:val="14"/>
        </w:rPr>
      </w:pPr>
      <w:r>
        <w:rPr>
          <w:sz w:val="14"/>
        </w:rPr>
        <w:t>A1. Introducción de especies exóticas</w:t>
      </w:r>
    </w:p>
    <w:p>
      <w:pPr>
        <w:spacing w:before="55"/>
        <w:ind w:left="216" w:right="9806" w:firstLine="0"/>
        <w:jc w:val="left"/>
        <w:rPr>
          <w:sz w:val="14"/>
        </w:rPr>
      </w:pPr>
      <w:r>
        <w:rPr>
          <w:sz w:val="14"/>
        </w:rPr>
        <w:t>A2. Presión por el cambio de uso de suelo</w:t>
      </w:r>
    </w:p>
    <w:p>
      <w:pPr>
        <w:spacing w:before="55"/>
        <w:ind w:left="216" w:right="9806" w:firstLine="0"/>
        <w:jc w:val="left"/>
        <w:rPr>
          <w:sz w:val="14"/>
        </w:rPr>
      </w:pPr>
      <w:r>
        <w:rPr>
          <w:sz w:val="14"/>
        </w:rPr>
        <w:t>A3. Políticas públicas para crear invernaderos o huertos comerciales</w:t>
      </w:r>
    </w:p>
    <w:p>
      <w:pPr>
        <w:spacing w:line="324" w:lineRule="auto" w:before="55"/>
        <w:ind w:left="216" w:right="10412" w:firstLine="0"/>
        <w:jc w:val="left"/>
        <w:rPr>
          <w:sz w:val="14"/>
        </w:rPr>
      </w:pPr>
      <w:r>
        <w:rPr>
          <w:sz w:val="14"/>
        </w:rPr>
        <w:t>A4. Cambios en los ciclos de lluvia y sequía A5. Aumento o disminución de la temperatura A6. Resistencia o aparición de plagas</w:t>
      </w:r>
    </w:p>
    <w:p>
      <w:pPr>
        <w:spacing w:before="1"/>
        <w:ind w:left="216" w:right="9897" w:firstLine="0"/>
        <w:jc w:val="left"/>
        <w:rPr>
          <w:sz w:val="14"/>
        </w:rPr>
      </w:pPr>
      <w:r>
        <w:rPr>
          <w:sz w:val="14"/>
        </w:rPr>
        <w:t>A7. Uso de agroquímicos fuera del AEHF que afecte al huerto</w:t>
      </w:r>
    </w:p>
    <w:p>
      <w:pPr>
        <w:spacing w:before="55"/>
        <w:ind w:left="216" w:right="9806" w:firstLine="0"/>
        <w:jc w:val="left"/>
        <w:rPr>
          <w:sz w:val="14"/>
        </w:rPr>
      </w:pPr>
      <w:r>
        <w:rPr>
          <w:sz w:val="14"/>
        </w:rPr>
        <w:t>A8. Problemas económicos familiares que provoque vender su terreno</w:t>
      </w:r>
    </w:p>
    <w:p>
      <w:pPr>
        <w:spacing w:before="55"/>
        <w:ind w:left="216" w:right="9806" w:firstLine="0"/>
        <w:jc w:val="left"/>
        <w:rPr>
          <w:sz w:val="14"/>
        </w:rPr>
      </w:pPr>
      <w:r>
        <w:rPr>
          <w:sz w:val="14"/>
        </w:rPr>
        <w:t>A9. Crecimiento de la zona urbana</w:t>
      </w:r>
    </w:p>
    <w:p>
      <w:pPr>
        <w:spacing w:before="55"/>
        <w:ind w:left="216" w:right="0" w:firstLine="0"/>
        <w:jc w:val="left"/>
        <w:rPr>
          <w:sz w:val="14"/>
        </w:rPr>
      </w:pPr>
      <w:r>
        <w:rPr>
          <w:sz w:val="14"/>
        </w:rPr>
        <w:t>A10. Migración de las familias por problemas  económicos</w:t>
      </w:r>
    </w:p>
    <w:p>
      <w:pPr>
        <w:spacing w:after="0"/>
        <w:jc w:val="left"/>
        <w:rPr>
          <w:sz w:val="14"/>
        </w:rPr>
        <w:sectPr>
          <w:type w:val="continuous"/>
          <w:pgSz w:w="18830" w:h="12760" w:orient="landscape"/>
          <w:pgMar w:top="1420" w:bottom="280" w:left="720" w:right="720"/>
          <w:cols w:num="2" w:equalWidth="0">
            <w:col w:w="3808" w:space="40"/>
            <w:col w:w="13542"/>
          </w:cols>
        </w:sectPr>
      </w:pPr>
    </w:p>
    <w:p>
      <w:pPr>
        <w:pStyle w:val="BodyText"/>
        <w:spacing w:before="8"/>
        <w:rPr>
          <w:sz w:val="19"/>
        </w:rPr>
      </w:pPr>
    </w:p>
    <w:p>
      <w:pPr>
        <w:spacing w:before="81"/>
        <w:ind w:left="1640" w:right="0" w:firstLine="0"/>
        <w:jc w:val="left"/>
        <w:rPr>
          <w:sz w:val="16"/>
        </w:rPr>
      </w:pPr>
      <w:r>
        <w:rPr>
          <w:color w:val="6D6E71"/>
          <w:sz w:val="16"/>
        </w:rPr>
        <w:t>Fuente: Elaboración propia, con base en trabajo de campo, 2015.</w:t>
      </w:r>
    </w:p>
    <w:p>
      <w:pPr>
        <w:spacing w:after="0"/>
        <w:jc w:val="left"/>
        <w:rPr>
          <w:sz w:val="16"/>
        </w:rPr>
        <w:sectPr>
          <w:type w:val="continuous"/>
          <w:pgSz w:w="18830" w:h="12760" w:orient="landscape"/>
          <w:pgMar w:top="1420" w:bottom="280" w:left="720" w:right="720"/>
        </w:sectPr>
      </w:pPr>
    </w:p>
    <w:p>
      <w:pPr>
        <w:pStyle w:val="BodyText"/>
        <w:spacing w:before="8"/>
      </w:pPr>
    </w:p>
    <w:p>
      <w:pPr>
        <w:pStyle w:val="Heading1"/>
        <w:spacing w:before="71"/>
        <w:ind w:left="3777" w:right="184"/>
        <w:jc w:val="center"/>
      </w:pPr>
      <w:r>
        <w:rPr/>
        <w:pict>
          <v:group style="position:absolute;margin-left:43.033699pt;margin-top:1.095029pt;width:385.05pt;height:279.4pt;mso-position-horizontal-relative:page;mso-position-vertical-relative:paragraph;z-index:10240" coordorigin="861,22" coordsize="7701,5588">
            <v:line style="position:absolute" from="896,35" to="4660,35" stroked="true" strokeweight=".5pt" strokecolor="#929292">
              <v:stroke dashstyle="dash"/>
            </v:line>
            <v:shape style="position:absolute;left:0;top:11678;width:3810;height:2" coordorigin="0,11678" coordsize="3810,0" path="m866,35l866,35m4675,35l4675,35e" filled="false" stroked="true" strokeweight=".5pt" strokecolor="#929292">
              <v:path arrowok="t"/>
            </v:shape>
            <v:line style="position:absolute" from="4675,5541" to="4675,50" stroked="true" strokeweight=".5pt" strokecolor="#929292">
              <v:stroke dashstyle="dash"/>
            </v:line>
            <v:shape style="position:absolute;left:0;top:6143;width:2;height:5536" coordorigin="0,6143" coordsize="0,5536" path="m4675,5571l4675,5571m4675,35l4675,35e" filled="false" stroked="true" strokeweight=".5pt" strokecolor="#929292">
              <v:path arrowok="t"/>
            </v:shape>
            <v:line style="position:absolute" from="4705,35" to="8541,35" stroked="true" strokeweight=".5pt" strokecolor="#929292">
              <v:stroke dashstyle="dash"/>
            </v:line>
            <v:shape style="position:absolute;left:0;top:11678;width:3881;height:2" coordorigin="0,11678" coordsize="3881,0" path="m4675,35l4675,35m8556,35l8556,35e" filled="false" stroked="true" strokeweight=".5pt" strokecolor="#929292">
              <v:path arrowok="t"/>
            </v:shape>
            <v:shape style="position:absolute;left:969;top:23;width:3599;height:5587" type="#_x0000_t202" filled="false" stroked="false">
              <v:textbox inset="0,0,0,0">
                <w:txbxContent>
                  <w:p>
                    <w:pPr>
                      <w:spacing w:line="184" w:lineRule="exact" w:before="0"/>
                      <w:ind w:left="366" w:right="366" w:firstLine="0"/>
                      <w:jc w:val="center"/>
                      <w:rPr>
                        <w:sz w:val="18"/>
                      </w:rPr>
                    </w:pPr>
                    <w:r>
                      <w:rPr>
                        <w:w w:val="105"/>
                        <w:sz w:val="18"/>
                      </w:rPr>
                      <w:t>Estrategia DO, para minimizar las</w:t>
                    </w:r>
                  </w:p>
                  <w:p>
                    <w:pPr>
                      <w:spacing w:before="13"/>
                      <w:ind w:left="0" w:right="-17" w:firstLine="0"/>
                      <w:jc w:val="left"/>
                      <w:rPr>
                        <w:sz w:val="18"/>
                      </w:rPr>
                    </w:pPr>
                    <w:r>
                      <w:rPr>
                        <w:w w:val="105"/>
                        <w:sz w:val="18"/>
                      </w:rPr>
                      <w:t>Debilidades y maximizar las</w:t>
                    </w:r>
                    <w:r>
                      <w:rPr>
                        <w:spacing w:val="-39"/>
                        <w:w w:val="105"/>
                        <w:sz w:val="18"/>
                      </w:rPr>
                      <w:t> </w:t>
                    </w:r>
                    <w:r>
                      <w:rPr>
                        <w:w w:val="105"/>
                        <w:sz w:val="18"/>
                      </w:rPr>
                      <w:t>Oportunidades</w:t>
                    </w:r>
                  </w:p>
                  <w:p>
                    <w:pPr>
                      <w:spacing w:before="69"/>
                      <w:ind w:left="0" w:right="-17" w:firstLine="0"/>
                      <w:jc w:val="left"/>
                      <w:rPr>
                        <w:sz w:val="18"/>
                      </w:rPr>
                    </w:pPr>
                    <w:r>
                      <w:rPr>
                        <w:sz w:val="18"/>
                      </w:rPr>
                      <w:t>DO1. Promover técnicas eficientes de riego</w:t>
                    </w:r>
                  </w:p>
                  <w:p>
                    <w:pPr>
                      <w:spacing w:before="13"/>
                      <w:ind w:left="0" w:right="-17" w:firstLine="0"/>
                      <w:jc w:val="left"/>
                      <w:rPr>
                        <w:sz w:val="18"/>
                      </w:rPr>
                    </w:pPr>
                    <w:r>
                      <w:rPr>
                        <w:sz w:val="18"/>
                      </w:rPr>
                      <w:t>del AEHF</w:t>
                    </w:r>
                  </w:p>
                  <w:p>
                    <w:pPr>
                      <w:spacing w:line="254" w:lineRule="auto" w:before="69"/>
                      <w:ind w:left="0" w:right="707" w:firstLine="0"/>
                      <w:jc w:val="left"/>
                      <w:rPr>
                        <w:sz w:val="18"/>
                      </w:rPr>
                    </w:pPr>
                    <w:r>
                      <w:rPr>
                        <w:sz w:val="18"/>
                      </w:rPr>
                      <w:t>DO2. Distribución estratégica de los componentes del AEHF</w:t>
                    </w:r>
                  </w:p>
                  <w:p>
                    <w:pPr>
                      <w:spacing w:line="254" w:lineRule="auto" w:before="57"/>
                      <w:ind w:left="0" w:right="16" w:firstLine="0"/>
                      <w:jc w:val="left"/>
                      <w:rPr>
                        <w:sz w:val="18"/>
                      </w:rPr>
                    </w:pPr>
                    <w:r>
                      <w:rPr>
                        <w:sz w:val="18"/>
                      </w:rPr>
                      <w:t>DO3. Generar un artículo de divulgación con información del manejo del AEHF</w:t>
                    </w:r>
                  </w:p>
                  <w:p>
                    <w:pPr>
                      <w:spacing w:line="254" w:lineRule="auto" w:before="57"/>
                      <w:ind w:left="0" w:right="537" w:firstLine="0"/>
                      <w:jc w:val="left"/>
                      <w:rPr>
                        <w:sz w:val="18"/>
                      </w:rPr>
                    </w:pPr>
                    <w:r>
                      <w:rPr>
                        <w:sz w:val="18"/>
                      </w:rPr>
                      <w:t>DO4. Calendarizar actividades para el mantenimiento del AEHF</w:t>
                    </w:r>
                  </w:p>
                  <w:p>
                    <w:pPr>
                      <w:spacing w:line="254" w:lineRule="auto" w:before="57"/>
                      <w:ind w:left="0" w:right="557" w:firstLine="0"/>
                      <w:jc w:val="left"/>
                      <w:rPr>
                        <w:sz w:val="18"/>
                      </w:rPr>
                    </w:pPr>
                    <w:r>
                      <w:rPr>
                        <w:sz w:val="18"/>
                      </w:rPr>
                      <w:t>DO5. Promover la siembra de árboles jóvenes</w:t>
                    </w:r>
                  </w:p>
                  <w:p>
                    <w:pPr>
                      <w:spacing w:line="254" w:lineRule="auto" w:before="57"/>
                      <w:ind w:left="0" w:right="487" w:firstLine="0"/>
                      <w:jc w:val="left"/>
                      <w:rPr>
                        <w:sz w:val="18"/>
                      </w:rPr>
                    </w:pPr>
                    <w:r>
                      <w:rPr>
                        <w:sz w:val="18"/>
                      </w:rPr>
                      <w:t>DO6. Informar de la importancia de los AEHF</w:t>
                    </w:r>
                  </w:p>
                  <w:p>
                    <w:pPr>
                      <w:spacing w:line="254" w:lineRule="auto" w:before="57"/>
                      <w:ind w:left="0" w:right="957" w:firstLine="0"/>
                      <w:jc w:val="left"/>
                      <w:rPr>
                        <w:sz w:val="18"/>
                      </w:rPr>
                    </w:pPr>
                    <w:r>
                      <w:rPr>
                        <w:sz w:val="18"/>
                      </w:rPr>
                      <w:t>DO7. Aumentar prácticas para el mantenimiento del huerto</w:t>
                    </w:r>
                  </w:p>
                  <w:p>
                    <w:pPr>
                      <w:spacing w:line="254" w:lineRule="auto" w:before="57"/>
                      <w:ind w:left="0" w:right="377" w:firstLine="0"/>
                      <w:jc w:val="left"/>
                      <w:rPr>
                        <w:sz w:val="18"/>
                      </w:rPr>
                    </w:pPr>
                    <w:r>
                      <w:rPr>
                        <w:sz w:val="18"/>
                      </w:rPr>
                      <w:t>DO8. Distribuir actividades de acuerdo al esfuerzo que requiera para mejorar el mantenimiento del AEHF</w:t>
                    </w:r>
                  </w:p>
                  <w:p>
                    <w:pPr>
                      <w:spacing w:line="254" w:lineRule="auto" w:before="57"/>
                      <w:ind w:left="0" w:right="417" w:firstLine="0"/>
                      <w:jc w:val="left"/>
                      <w:rPr>
                        <w:sz w:val="18"/>
                      </w:rPr>
                    </w:pPr>
                    <w:r>
                      <w:rPr>
                        <w:sz w:val="18"/>
                      </w:rPr>
                      <w:t>DO9. Generar interés para conservar al huerto</w:t>
                    </w:r>
                  </w:p>
                  <w:p>
                    <w:pPr>
                      <w:spacing w:line="254" w:lineRule="auto" w:before="57"/>
                      <w:ind w:left="0" w:right="117" w:firstLine="0"/>
                      <w:jc w:val="left"/>
                      <w:rPr>
                        <w:sz w:val="18"/>
                      </w:rPr>
                    </w:pPr>
                    <w:r>
                      <w:rPr>
                        <w:sz w:val="18"/>
                      </w:rPr>
                      <w:t>DO10. Capacitar para el mantenimiento del AEHF</w:t>
                    </w:r>
                  </w:p>
                </w:txbxContent>
              </v:textbox>
              <w10:wrap type="none"/>
            </v:shape>
            <v:shape style="position:absolute;left:4783;top:22;width:3498;height:4926" type="#_x0000_t202" filled="false" stroked="false">
              <v:textbox inset="0,0,0,0">
                <w:txbxContent>
                  <w:p>
                    <w:pPr>
                      <w:spacing w:line="184" w:lineRule="exact" w:before="0"/>
                      <w:ind w:left="671" w:right="26" w:hanging="212"/>
                      <w:jc w:val="left"/>
                      <w:rPr>
                        <w:sz w:val="18"/>
                      </w:rPr>
                    </w:pPr>
                    <w:r>
                      <w:rPr>
                        <w:w w:val="105"/>
                        <w:sz w:val="18"/>
                      </w:rPr>
                      <w:t>Estrategia DA, para minimizar las</w:t>
                    </w:r>
                  </w:p>
                  <w:p>
                    <w:pPr>
                      <w:spacing w:before="13"/>
                      <w:ind w:left="671" w:right="26" w:firstLine="0"/>
                      <w:jc w:val="left"/>
                      <w:rPr>
                        <w:sz w:val="18"/>
                      </w:rPr>
                    </w:pPr>
                    <w:r>
                      <w:rPr>
                        <w:w w:val="105"/>
                        <w:sz w:val="18"/>
                      </w:rPr>
                      <w:t>Debilidades y las Amenazas</w:t>
                    </w:r>
                  </w:p>
                  <w:p>
                    <w:pPr>
                      <w:spacing w:line="254" w:lineRule="auto" w:before="69"/>
                      <w:ind w:left="0" w:right="556" w:firstLine="0"/>
                      <w:jc w:val="left"/>
                      <w:rPr>
                        <w:sz w:val="18"/>
                      </w:rPr>
                    </w:pPr>
                    <w:r>
                      <w:rPr>
                        <w:sz w:val="18"/>
                      </w:rPr>
                      <w:t>DA1. Eliminar especies exóticas que consuman demasiada agua</w:t>
                    </w:r>
                  </w:p>
                  <w:p>
                    <w:pPr>
                      <w:spacing w:line="254" w:lineRule="auto" w:before="57"/>
                      <w:ind w:left="0" w:right="26" w:firstLine="0"/>
                      <w:jc w:val="left"/>
                      <w:rPr>
                        <w:sz w:val="18"/>
                      </w:rPr>
                    </w:pPr>
                    <w:r>
                      <w:rPr>
                        <w:sz w:val="18"/>
                      </w:rPr>
                      <w:t>DA2. Aprovechar eficientemente el espacio del AEHF</w:t>
                    </w:r>
                  </w:p>
                  <w:p>
                    <w:pPr>
                      <w:spacing w:before="57"/>
                      <w:ind w:left="0" w:right="0" w:firstLine="0"/>
                      <w:jc w:val="both"/>
                      <w:rPr>
                        <w:sz w:val="18"/>
                      </w:rPr>
                    </w:pPr>
                    <w:r>
                      <w:rPr>
                        <w:sz w:val="18"/>
                      </w:rPr>
                      <w:t>DA3. Divulgar la importancia de los AEHF</w:t>
                    </w:r>
                  </w:p>
                  <w:p>
                    <w:pPr>
                      <w:spacing w:line="254" w:lineRule="auto" w:before="69"/>
                      <w:ind w:left="0" w:right="26" w:firstLine="0"/>
                      <w:jc w:val="left"/>
                      <w:rPr>
                        <w:sz w:val="18"/>
                      </w:rPr>
                    </w:pPr>
                    <w:r>
                      <w:rPr>
                        <w:sz w:val="18"/>
                      </w:rPr>
                      <w:t>DA4. Fertilizar al huerto para aumentar su resistencia a eventos extremos</w:t>
                    </w:r>
                  </w:p>
                  <w:p>
                    <w:pPr>
                      <w:spacing w:line="254" w:lineRule="auto" w:before="57"/>
                      <w:ind w:left="0" w:right="936" w:firstLine="0"/>
                      <w:jc w:val="left"/>
                      <w:rPr>
                        <w:sz w:val="18"/>
                      </w:rPr>
                    </w:pPr>
                    <w:r>
                      <w:rPr>
                        <w:sz w:val="18"/>
                      </w:rPr>
                      <w:t>DA5. Favorecer el policultivo de biodiversidad</w:t>
                    </w:r>
                  </w:p>
                  <w:p>
                    <w:pPr>
                      <w:spacing w:before="57"/>
                      <w:ind w:left="0" w:right="0" w:firstLine="0"/>
                      <w:jc w:val="both"/>
                      <w:rPr>
                        <w:sz w:val="18"/>
                      </w:rPr>
                    </w:pPr>
                    <w:r>
                      <w:rPr>
                        <w:sz w:val="18"/>
                      </w:rPr>
                      <w:t>DA6. Control natural de plagas</w:t>
                    </w:r>
                  </w:p>
                  <w:p>
                    <w:pPr>
                      <w:spacing w:line="254" w:lineRule="auto" w:before="69"/>
                      <w:ind w:left="0" w:right="708" w:firstLine="0"/>
                      <w:jc w:val="both"/>
                      <w:rPr>
                        <w:sz w:val="18"/>
                      </w:rPr>
                    </w:pPr>
                    <w:r>
                      <w:rPr>
                        <w:sz w:val="18"/>
                      </w:rPr>
                      <w:t>DA7. Aumentar la participación de los integrantes de la familia para el mantenimiento</w:t>
                    </w:r>
                  </w:p>
                  <w:p>
                    <w:pPr>
                      <w:spacing w:line="254" w:lineRule="auto" w:before="57"/>
                      <w:ind w:left="0" w:right="506" w:firstLine="0"/>
                      <w:jc w:val="left"/>
                      <w:rPr>
                        <w:sz w:val="18"/>
                      </w:rPr>
                    </w:pPr>
                    <w:r>
                      <w:rPr>
                        <w:sz w:val="18"/>
                      </w:rPr>
                      <w:t>DA8. Generar puntos de venta de los productos del AEHF</w:t>
                    </w:r>
                  </w:p>
                  <w:p>
                    <w:pPr>
                      <w:spacing w:before="57"/>
                      <w:ind w:left="0" w:right="0" w:firstLine="0"/>
                      <w:jc w:val="both"/>
                      <w:rPr>
                        <w:sz w:val="18"/>
                      </w:rPr>
                    </w:pPr>
                    <w:r>
                      <w:rPr>
                        <w:sz w:val="18"/>
                      </w:rPr>
                      <w:t>DA9. Promover el establecimiento de</w:t>
                    </w:r>
                    <w:r>
                      <w:rPr>
                        <w:spacing w:val="-5"/>
                        <w:sz w:val="18"/>
                      </w:rPr>
                      <w:t> </w:t>
                    </w:r>
                    <w:r>
                      <w:rPr>
                        <w:sz w:val="18"/>
                      </w:rPr>
                      <w:t>AEHF</w:t>
                    </w:r>
                  </w:p>
                  <w:p>
                    <w:pPr>
                      <w:spacing w:line="254" w:lineRule="auto" w:before="69"/>
                      <w:ind w:left="0" w:right="226" w:firstLine="0"/>
                      <w:jc w:val="left"/>
                      <w:rPr>
                        <w:sz w:val="18"/>
                      </w:rPr>
                    </w:pPr>
                    <w:r>
                      <w:rPr>
                        <w:sz w:val="18"/>
                      </w:rPr>
                      <w:t>DA10. Inculcar en los jóvenes la práctica tradicional de los AEHF</w:t>
                    </w:r>
                  </w:p>
                </w:txbxContent>
              </v:textbox>
              <w10:wrap type="none"/>
            </v:shape>
            <w10:wrap type="none"/>
          </v:group>
        </w:pict>
      </w:r>
      <w:r>
        <w:rPr/>
        <w:t>Conclusiones</w:t>
      </w:r>
    </w:p>
    <w:p>
      <w:pPr>
        <w:pStyle w:val="BodyText"/>
        <w:rPr>
          <w:b/>
          <w:sz w:val="21"/>
        </w:rPr>
      </w:pPr>
    </w:p>
    <w:p>
      <w:pPr>
        <w:pStyle w:val="BodyText"/>
        <w:spacing w:line="249" w:lineRule="auto"/>
        <w:ind w:left="9540" w:right="129" w:firstLine="170"/>
        <w:jc w:val="both"/>
      </w:pPr>
      <w:r>
        <w:rPr/>
        <w:t>Los huertos familiares permanecen como una estrategia familiar campesina que se ha desarrollado a lo largo de la historia,  forma parte  del conocimiento tradicional, y  ha sido transmitido de generación en generación. A través del manejo del huerto, se desarrolla</w:t>
      </w:r>
      <w:r>
        <w:rPr>
          <w:spacing w:val="-6"/>
        </w:rPr>
        <w:t> </w:t>
      </w:r>
      <w:r>
        <w:rPr/>
        <w:t>la</w:t>
      </w:r>
      <w:r>
        <w:rPr>
          <w:spacing w:val="-6"/>
        </w:rPr>
        <w:t> </w:t>
      </w:r>
      <w:r>
        <w:rPr/>
        <w:t>cultura,</w:t>
      </w:r>
      <w:r>
        <w:rPr>
          <w:spacing w:val="-6"/>
        </w:rPr>
        <w:t> </w:t>
      </w:r>
      <w:r>
        <w:rPr/>
        <w:t>porque</w:t>
      </w:r>
      <w:r>
        <w:rPr>
          <w:spacing w:val="-6"/>
        </w:rPr>
        <w:t> </w:t>
      </w:r>
      <w:r>
        <w:rPr/>
        <w:t>están</w:t>
      </w:r>
      <w:r>
        <w:rPr>
          <w:spacing w:val="-6"/>
        </w:rPr>
        <w:t> </w:t>
      </w:r>
      <w:r>
        <w:rPr/>
        <w:t>presentes</w:t>
      </w:r>
      <w:r>
        <w:rPr>
          <w:spacing w:val="-6"/>
        </w:rPr>
        <w:t> </w:t>
      </w:r>
      <w:r>
        <w:rPr/>
        <w:t>costumbres,</w:t>
      </w:r>
      <w:r>
        <w:rPr>
          <w:spacing w:val="-6"/>
        </w:rPr>
        <w:t> </w:t>
      </w:r>
      <w:r>
        <w:rPr/>
        <w:t>tradiciones</w:t>
      </w:r>
      <w:r>
        <w:rPr>
          <w:spacing w:val="-7"/>
        </w:rPr>
        <w:t> </w:t>
      </w:r>
      <w:r>
        <w:rPr/>
        <w:t>y</w:t>
      </w:r>
      <w:r>
        <w:rPr>
          <w:spacing w:val="-6"/>
        </w:rPr>
        <w:t> </w:t>
      </w:r>
      <w:r>
        <w:rPr/>
        <w:t>creencias</w:t>
      </w:r>
      <w:r>
        <w:rPr>
          <w:spacing w:val="-6"/>
        </w:rPr>
        <w:t> </w:t>
      </w:r>
      <w:r>
        <w:rPr/>
        <w:t>como el uso de objetos para la protección de plantas y la utilización de plantas para tratar padecimientos de enfermedades respiratorias, digestivas y de filiación</w:t>
      </w:r>
      <w:r>
        <w:rPr>
          <w:spacing w:val="-2"/>
        </w:rPr>
        <w:t> </w:t>
      </w:r>
      <w:r>
        <w:rPr/>
        <w:t>cultural.</w:t>
      </w:r>
    </w:p>
    <w:p>
      <w:pPr>
        <w:pStyle w:val="BodyText"/>
        <w:spacing w:before="11"/>
      </w:pPr>
    </w:p>
    <w:p>
      <w:pPr>
        <w:pStyle w:val="BodyText"/>
        <w:spacing w:line="249" w:lineRule="auto"/>
        <w:ind w:left="9540" w:right="129" w:firstLine="170"/>
        <w:jc w:val="both"/>
      </w:pPr>
      <w:r>
        <w:rPr/>
        <w:t>Al</w:t>
      </w:r>
      <w:r>
        <w:rPr>
          <w:spacing w:val="-15"/>
        </w:rPr>
        <w:t> </w:t>
      </w:r>
      <w:r>
        <w:rPr/>
        <w:t>ser</w:t>
      </w:r>
      <w:r>
        <w:rPr>
          <w:spacing w:val="-15"/>
        </w:rPr>
        <w:t> </w:t>
      </w:r>
      <w:r>
        <w:rPr/>
        <w:t>una</w:t>
      </w:r>
      <w:r>
        <w:rPr>
          <w:spacing w:val="-15"/>
        </w:rPr>
        <w:t> </w:t>
      </w:r>
      <w:r>
        <w:rPr/>
        <w:t>práctica</w:t>
      </w:r>
      <w:r>
        <w:rPr>
          <w:spacing w:val="-15"/>
        </w:rPr>
        <w:t> </w:t>
      </w:r>
      <w:r>
        <w:rPr/>
        <w:t>de</w:t>
      </w:r>
      <w:r>
        <w:rPr>
          <w:spacing w:val="-15"/>
        </w:rPr>
        <w:t> </w:t>
      </w:r>
      <w:r>
        <w:rPr/>
        <w:t>manejo</w:t>
      </w:r>
      <w:r>
        <w:rPr>
          <w:spacing w:val="-15"/>
        </w:rPr>
        <w:t> </w:t>
      </w:r>
      <w:r>
        <w:rPr/>
        <w:t>agroecológico</w:t>
      </w:r>
      <w:r>
        <w:rPr>
          <w:spacing w:val="-15"/>
        </w:rPr>
        <w:t> </w:t>
      </w:r>
      <w:r>
        <w:rPr/>
        <w:t>donde</w:t>
      </w:r>
      <w:r>
        <w:rPr>
          <w:spacing w:val="-15"/>
        </w:rPr>
        <w:t> </w:t>
      </w:r>
      <w:r>
        <w:rPr/>
        <w:t>participan</w:t>
      </w:r>
      <w:r>
        <w:rPr>
          <w:spacing w:val="-15"/>
        </w:rPr>
        <w:t> </w:t>
      </w:r>
      <w:r>
        <w:rPr/>
        <w:t>las</w:t>
      </w:r>
      <w:r>
        <w:rPr>
          <w:spacing w:val="-15"/>
        </w:rPr>
        <w:t> </w:t>
      </w:r>
      <w:r>
        <w:rPr/>
        <w:t>personas</w:t>
      </w:r>
      <w:r>
        <w:rPr>
          <w:spacing w:val="-15"/>
        </w:rPr>
        <w:t> </w:t>
      </w:r>
      <w:r>
        <w:rPr/>
        <w:t>y</w:t>
      </w:r>
      <w:r>
        <w:rPr>
          <w:spacing w:val="-15"/>
        </w:rPr>
        <w:t> </w:t>
      </w:r>
      <w:r>
        <w:rPr/>
        <w:t>se</w:t>
      </w:r>
      <w:r>
        <w:rPr>
          <w:spacing w:val="-15"/>
        </w:rPr>
        <w:t> </w:t>
      </w:r>
      <w:r>
        <w:rPr/>
        <w:t>imitan los procesos naturales de un ecosistema, se logra mantener en el tiempo y asegurar que la biodiversidad se preserve y la vulnerabilidad social disminuya. En ellos se han integrado la adaptación y conservación de especies arbóreas, arbustivas y herbáceas; lo que les permite integrarse como familia en la distribución del trabajo para el manejo del AEHF, y también relacionarse con otras familias por medio del intercambio de productos como frutos, hojas, semillas o</w:t>
      </w:r>
      <w:r>
        <w:rPr>
          <w:spacing w:val="-24"/>
        </w:rPr>
        <w:t> </w:t>
      </w:r>
      <w:r>
        <w:rPr/>
        <w:t>plantas.</w:t>
      </w:r>
    </w:p>
    <w:p>
      <w:pPr>
        <w:pStyle w:val="BodyText"/>
        <w:spacing w:before="11"/>
      </w:pPr>
    </w:p>
    <w:p>
      <w:pPr>
        <w:pStyle w:val="BodyText"/>
        <w:spacing w:line="249" w:lineRule="auto"/>
        <w:ind w:left="9540" w:right="129" w:firstLine="170"/>
        <w:jc w:val="both"/>
      </w:pPr>
      <w:r>
        <w:rPr/>
        <w:t>Los AEHF redundan en beneficio económico para las familias, ya que los</w:t>
      </w:r>
      <w:r>
        <w:rPr>
          <w:spacing w:val="-38"/>
        </w:rPr>
        <w:t> </w:t>
      </w:r>
      <w:r>
        <w:rPr/>
        <w:t>excedentes de productos del huerto se venden o intercambian contribuyendo con los ingresos familiares en épocas en las que el empleo es escaso, si bien el principal destino de los productos del AEHF es el autoconsumo. Son una alternativa de obtención de ingresos para</w:t>
      </w:r>
      <w:r>
        <w:rPr>
          <w:spacing w:val="-5"/>
        </w:rPr>
        <w:t> </w:t>
      </w:r>
      <w:r>
        <w:rPr/>
        <w:t>las</w:t>
      </w:r>
      <w:r>
        <w:rPr>
          <w:spacing w:val="-5"/>
        </w:rPr>
        <w:t> </w:t>
      </w:r>
      <w:r>
        <w:rPr/>
        <w:t>familias</w:t>
      </w:r>
      <w:r>
        <w:rPr>
          <w:spacing w:val="-5"/>
        </w:rPr>
        <w:t> </w:t>
      </w:r>
      <w:r>
        <w:rPr/>
        <w:t>derivados</w:t>
      </w:r>
      <w:r>
        <w:rPr>
          <w:spacing w:val="-4"/>
        </w:rPr>
        <w:t> </w:t>
      </w:r>
      <w:r>
        <w:rPr/>
        <w:t>de</w:t>
      </w:r>
      <w:r>
        <w:rPr>
          <w:spacing w:val="-5"/>
        </w:rPr>
        <w:t> </w:t>
      </w:r>
      <w:r>
        <w:rPr/>
        <w:t>la</w:t>
      </w:r>
      <w:r>
        <w:rPr>
          <w:spacing w:val="-5"/>
        </w:rPr>
        <w:t> </w:t>
      </w:r>
      <w:r>
        <w:rPr/>
        <w:t>venta</w:t>
      </w:r>
      <w:r>
        <w:rPr>
          <w:spacing w:val="-5"/>
        </w:rPr>
        <w:t> </w:t>
      </w:r>
      <w:r>
        <w:rPr/>
        <w:t>de</w:t>
      </w:r>
      <w:r>
        <w:rPr>
          <w:spacing w:val="-5"/>
        </w:rPr>
        <w:t> </w:t>
      </w:r>
      <w:r>
        <w:rPr/>
        <w:t>productos</w:t>
      </w:r>
      <w:r>
        <w:rPr>
          <w:spacing w:val="-4"/>
        </w:rPr>
        <w:t> </w:t>
      </w:r>
      <w:r>
        <w:rPr/>
        <w:t>excedentes</w:t>
      </w:r>
      <w:r>
        <w:rPr>
          <w:spacing w:val="-4"/>
        </w:rPr>
        <w:t> </w:t>
      </w:r>
      <w:r>
        <w:rPr/>
        <w:t>del</w:t>
      </w:r>
      <w:r>
        <w:rPr>
          <w:spacing w:val="-5"/>
        </w:rPr>
        <w:t> </w:t>
      </w:r>
      <w:r>
        <w:rPr/>
        <w:t>huerto</w:t>
      </w:r>
      <w:r>
        <w:rPr>
          <w:spacing w:val="-4"/>
        </w:rPr>
        <w:t> </w:t>
      </w:r>
      <w:r>
        <w:rPr/>
        <w:t>y</w:t>
      </w:r>
      <w:r>
        <w:rPr>
          <w:spacing w:val="-5"/>
        </w:rPr>
        <w:t> </w:t>
      </w:r>
      <w:r>
        <w:rPr/>
        <w:t>favorecen el ahorro familiar propiciado por el autoconsumo de los mismos, lo que aumenta la resiliencia socioeconómica de las</w:t>
      </w:r>
      <w:r>
        <w:rPr>
          <w:spacing w:val="-5"/>
        </w:rPr>
        <w:t> </w:t>
      </w:r>
      <w:r>
        <w:rPr/>
        <w:t>familias.</w:t>
      </w:r>
    </w:p>
    <w:p>
      <w:pPr>
        <w:pStyle w:val="BodyText"/>
        <w:spacing w:before="5"/>
        <w:rPr>
          <w:sz w:val="14"/>
        </w:rPr>
      </w:pPr>
    </w:p>
    <w:p>
      <w:pPr>
        <w:spacing w:after="0"/>
        <w:rPr>
          <w:sz w:val="14"/>
        </w:rPr>
        <w:sectPr>
          <w:footerReference w:type="default" r:id="rId240"/>
          <w:pgSz w:w="18830" w:h="12760" w:orient="landscape"/>
          <w:pgMar w:footer="1036" w:header="522" w:top="820" w:bottom="1220" w:left="720" w:right="720"/>
        </w:sectPr>
      </w:pPr>
    </w:p>
    <w:p>
      <w:pPr>
        <w:spacing w:before="112"/>
        <w:ind w:left="1649" w:right="0" w:firstLine="0"/>
        <w:jc w:val="left"/>
        <w:rPr>
          <w:sz w:val="16"/>
        </w:rPr>
      </w:pPr>
      <w:r>
        <w:rPr>
          <w:color w:val="6D6E71"/>
          <w:sz w:val="16"/>
        </w:rPr>
        <w:t>Fuente: Elaboración propia, con base en trabajo de campo, 2015.</w:t>
      </w:r>
    </w:p>
    <w:p>
      <w:pPr>
        <w:pStyle w:val="BodyText"/>
        <w:spacing w:line="249" w:lineRule="auto" w:before="75"/>
        <w:ind w:left="1649" w:right="129" w:firstLine="170"/>
        <w:jc w:val="both"/>
      </w:pPr>
      <w:r>
        <w:rPr/>
        <w:br w:type="column"/>
      </w:r>
      <w:r>
        <w:rPr/>
        <w:t>Los</w:t>
      </w:r>
      <w:r>
        <w:rPr>
          <w:spacing w:val="-10"/>
        </w:rPr>
        <w:t> </w:t>
      </w:r>
      <w:r>
        <w:rPr/>
        <w:t>huertos</w:t>
      </w:r>
      <w:r>
        <w:rPr>
          <w:spacing w:val="-9"/>
        </w:rPr>
        <w:t> </w:t>
      </w:r>
      <w:r>
        <w:rPr/>
        <w:t>familiares</w:t>
      </w:r>
      <w:r>
        <w:rPr>
          <w:spacing w:val="-10"/>
        </w:rPr>
        <w:t> </w:t>
      </w:r>
      <w:r>
        <w:rPr/>
        <w:t>a</w:t>
      </w:r>
      <w:r>
        <w:rPr>
          <w:spacing w:val="-10"/>
        </w:rPr>
        <w:t> </w:t>
      </w:r>
      <w:r>
        <w:rPr/>
        <w:t>nivel</w:t>
      </w:r>
      <w:r>
        <w:rPr>
          <w:spacing w:val="-10"/>
        </w:rPr>
        <w:t> </w:t>
      </w:r>
      <w:r>
        <w:rPr/>
        <w:t>local</w:t>
      </w:r>
      <w:r>
        <w:rPr>
          <w:spacing w:val="-10"/>
        </w:rPr>
        <w:t> </w:t>
      </w:r>
      <w:r>
        <w:rPr/>
        <w:t>proporcionan</w:t>
      </w:r>
      <w:r>
        <w:rPr>
          <w:spacing w:val="-9"/>
        </w:rPr>
        <w:t> </w:t>
      </w:r>
      <w:r>
        <w:rPr/>
        <w:t>seguridad</w:t>
      </w:r>
      <w:r>
        <w:rPr>
          <w:spacing w:val="-10"/>
        </w:rPr>
        <w:t> </w:t>
      </w:r>
      <w:r>
        <w:rPr/>
        <w:t>alimentaria</w:t>
      </w:r>
      <w:r>
        <w:rPr>
          <w:spacing w:val="-9"/>
        </w:rPr>
        <w:t> </w:t>
      </w:r>
      <w:r>
        <w:rPr/>
        <w:t>a</w:t>
      </w:r>
      <w:r>
        <w:rPr>
          <w:spacing w:val="-10"/>
        </w:rPr>
        <w:t> </w:t>
      </w:r>
      <w:r>
        <w:rPr/>
        <w:t>las</w:t>
      </w:r>
      <w:r>
        <w:rPr>
          <w:spacing w:val="-10"/>
        </w:rPr>
        <w:t> </w:t>
      </w:r>
      <w:r>
        <w:rPr/>
        <w:t>familias</w:t>
      </w:r>
      <w:r>
        <w:rPr>
          <w:spacing w:val="-10"/>
        </w:rPr>
        <w:t> </w:t>
      </w:r>
      <w:r>
        <w:rPr/>
        <w:t>y aumentan la sustentabilidad de las comunidades rurales, de ellos reciben protección y les</w:t>
      </w:r>
      <w:r>
        <w:rPr>
          <w:spacing w:val="-21"/>
        </w:rPr>
        <w:t> </w:t>
      </w:r>
      <w:r>
        <w:rPr/>
        <w:t>permiten</w:t>
      </w:r>
      <w:r>
        <w:rPr>
          <w:spacing w:val="-21"/>
        </w:rPr>
        <w:t> </w:t>
      </w:r>
      <w:r>
        <w:rPr/>
        <w:t>conservar</w:t>
      </w:r>
      <w:r>
        <w:rPr>
          <w:spacing w:val="-21"/>
        </w:rPr>
        <w:t> </w:t>
      </w:r>
      <w:r>
        <w:rPr/>
        <w:t>sus</w:t>
      </w:r>
      <w:r>
        <w:rPr>
          <w:spacing w:val="-21"/>
        </w:rPr>
        <w:t> </w:t>
      </w:r>
      <w:r>
        <w:rPr/>
        <w:t>recursos</w:t>
      </w:r>
      <w:r>
        <w:rPr>
          <w:spacing w:val="-21"/>
        </w:rPr>
        <w:t> </w:t>
      </w:r>
      <w:r>
        <w:rPr/>
        <w:t>naturales.</w:t>
      </w:r>
      <w:r>
        <w:rPr>
          <w:spacing w:val="-21"/>
        </w:rPr>
        <w:t> </w:t>
      </w:r>
      <w:r>
        <w:rPr/>
        <w:t>En</w:t>
      </w:r>
      <w:r>
        <w:rPr>
          <w:spacing w:val="-21"/>
        </w:rPr>
        <w:t> </w:t>
      </w:r>
      <w:r>
        <w:rPr/>
        <w:t>estos</w:t>
      </w:r>
      <w:r>
        <w:rPr>
          <w:spacing w:val="-21"/>
        </w:rPr>
        <w:t> </w:t>
      </w:r>
      <w:r>
        <w:rPr/>
        <w:t>agros</w:t>
      </w:r>
      <w:r>
        <w:rPr>
          <w:spacing w:val="-21"/>
        </w:rPr>
        <w:t> </w:t>
      </w:r>
      <w:r>
        <w:rPr/>
        <w:t>ecosistemas</w:t>
      </w:r>
      <w:r>
        <w:rPr>
          <w:spacing w:val="-20"/>
        </w:rPr>
        <w:t> </w:t>
      </w:r>
      <w:r>
        <w:rPr/>
        <w:t>se</w:t>
      </w:r>
      <w:r>
        <w:rPr>
          <w:spacing w:val="-21"/>
        </w:rPr>
        <w:t> </w:t>
      </w:r>
      <w:r>
        <w:rPr/>
        <w:t>favorecen las relaciones sociales de las familias al intercambiar conocimiento y productos que se obtienen</w:t>
      </w:r>
      <w:r>
        <w:rPr>
          <w:spacing w:val="-5"/>
        </w:rPr>
        <w:t> </w:t>
      </w:r>
      <w:r>
        <w:rPr/>
        <w:t>del</w:t>
      </w:r>
      <w:r>
        <w:rPr>
          <w:spacing w:val="-5"/>
        </w:rPr>
        <w:t> </w:t>
      </w:r>
      <w:r>
        <w:rPr/>
        <w:t>huerto,</w:t>
      </w:r>
      <w:r>
        <w:rPr>
          <w:spacing w:val="-5"/>
        </w:rPr>
        <w:t> </w:t>
      </w:r>
      <w:r>
        <w:rPr/>
        <w:t>evitando</w:t>
      </w:r>
      <w:r>
        <w:rPr>
          <w:spacing w:val="-5"/>
        </w:rPr>
        <w:t> </w:t>
      </w:r>
      <w:r>
        <w:rPr/>
        <w:t>así</w:t>
      </w:r>
      <w:r>
        <w:rPr>
          <w:spacing w:val="-5"/>
        </w:rPr>
        <w:t> </w:t>
      </w:r>
      <w:r>
        <w:rPr/>
        <w:t>la</w:t>
      </w:r>
      <w:r>
        <w:rPr>
          <w:spacing w:val="-5"/>
        </w:rPr>
        <w:t> </w:t>
      </w:r>
      <w:r>
        <w:rPr/>
        <w:t>exclusión</w:t>
      </w:r>
      <w:r>
        <w:rPr>
          <w:spacing w:val="-5"/>
        </w:rPr>
        <w:t> </w:t>
      </w:r>
      <w:r>
        <w:rPr/>
        <w:t>y</w:t>
      </w:r>
      <w:r>
        <w:rPr>
          <w:spacing w:val="-5"/>
        </w:rPr>
        <w:t> </w:t>
      </w:r>
      <w:r>
        <w:rPr/>
        <w:t>promoviendo</w:t>
      </w:r>
      <w:r>
        <w:rPr>
          <w:spacing w:val="-5"/>
        </w:rPr>
        <w:t> </w:t>
      </w:r>
      <w:r>
        <w:rPr/>
        <w:t>la</w:t>
      </w:r>
      <w:r>
        <w:rPr>
          <w:spacing w:val="-5"/>
        </w:rPr>
        <w:t> </w:t>
      </w:r>
      <w:r>
        <w:rPr/>
        <w:t>justica</w:t>
      </w:r>
      <w:r>
        <w:rPr>
          <w:spacing w:val="-5"/>
        </w:rPr>
        <w:t> </w:t>
      </w:r>
      <w:r>
        <w:rPr/>
        <w:t>social.</w:t>
      </w:r>
    </w:p>
    <w:p>
      <w:pPr>
        <w:spacing w:after="0" w:line="249" w:lineRule="auto"/>
        <w:jc w:val="both"/>
        <w:sectPr>
          <w:type w:val="continuous"/>
          <w:pgSz w:w="18830" w:h="12760" w:orient="landscape"/>
          <w:pgMar w:top="1420" w:bottom="280" w:left="720" w:right="720"/>
          <w:cols w:num="2" w:equalWidth="0">
            <w:col w:w="6342" w:space="1548"/>
            <w:col w:w="9500"/>
          </w:cols>
        </w:sectPr>
      </w:pPr>
    </w:p>
    <w:p>
      <w:pPr>
        <w:pStyle w:val="BodyText"/>
        <w:spacing w:before="8"/>
      </w:pPr>
    </w:p>
    <w:p>
      <w:pPr>
        <w:spacing w:after="0"/>
        <w:sectPr>
          <w:footerReference w:type="default" r:id="rId241"/>
          <w:pgSz w:w="18830" w:h="12760" w:orient="landscape"/>
          <w:pgMar w:footer="1036" w:header="522" w:top="820" w:bottom="1220" w:left="720" w:right="720"/>
        </w:sectPr>
      </w:pPr>
    </w:p>
    <w:p>
      <w:pPr>
        <w:pStyle w:val="Heading1"/>
        <w:spacing w:before="71"/>
        <w:ind w:left="296" w:right="-14"/>
      </w:pPr>
      <w:r>
        <w:rPr/>
        <w:t>Referencias bibliográficas</w:t>
      </w:r>
    </w:p>
    <w:p>
      <w:pPr>
        <w:pStyle w:val="BodyText"/>
        <w:rPr>
          <w:b/>
          <w:sz w:val="24"/>
        </w:rPr>
      </w:pPr>
    </w:p>
    <w:p>
      <w:pPr>
        <w:pStyle w:val="BodyText"/>
        <w:spacing w:line="249" w:lineRule="auto" w:before="205"/>
        <w:ind w:left="750" w:hanging="624"/>
        <w:jc w:val="both"/>
      </w:pPr>
      <w:r>
        <w:rPr/>
        <w:t>AFAC (Agricultura Familiar Agroecológica Campesina), 2011. Agricultura familiar agroecológica campesina en la comunidad andina. Una opción para mejorar la seguridad alimentaria y conservar la biodiversidad. Perú.</w:t>
      </w:r>
    </w:p>
    <w:p>
      <w:pPr>
        <w:pStyle w:val="BodyText"/>
        <w:spacing w:before="11"/>
      </w:pPr>
    </w:p>
    <w:p>
      <w:pPr>
        <w:pStyle w:val="BodyText"/>
        <w:ind w:left="126" w:right="-14"/>
      </w:pPr>
      <w:r>
        <w:rPr/>
        <w:t>Altieri</w:t>
      </w:r>
      <w:r>
        <w:rPr>
          <w:spacing w:val="-11"/>
        </w:rPr>
        <w:t> </w:t>
      </w:r>
      <w:r>
        <w:rPr/>
        <w:t>M.,</w:t>
      </w:r>
      <w:r>
        <w:rPr>
          <w:spacing w:val="-11"/>
        </w:rPr>
        <w:t> </w:t>
      </w:r>
      <w:r>
        <w:rPr/>
        <w:t>2009.</w:t>
      </w:r>
      <w:r>
        <w:rPr>
          <w:spacing w:val="-11"/>
        </w:rPr>
        <w:t> </w:t>
      </w:r>
      <w:r>
        <w:rPr/>
        <w:t>Vertientes</w:t>
      </w:r>
      <w:r>
        <w:rPr>
          <w:spacing w:val="-11"/>
        </w:rPr>
        <w:t> </w:t>
      </w:r>
      <w:r>
        <w:rPr/>
        <w:t>del</w:t>
      </w:r>
      <w:r>
        <w:rPr>
          <w:spacing w:val="-11"/>
        </w:rPr>
        <w:t> </w:t>
      </w:r>
      <w:r>
        <w:rPr/>
        <w:t>pensamiento</w:t>
      </w:r>
      <w:r>
        <w:rPr>
          <w:spacing w:val="-11"/>
        </w:rPr>
        <w:t> </w:t>
      </w:r>
      <w:r>
        <w:rPr/>
        <w:t>agroecológico:</w:t>
      </w:r>
      <w:r>
        <w:rPr>
          <w:spacing w:val="-11"/>
        </w:rPr>
        <w:t> </w:t>
      </w:r>
      <w:r>
        <w:rPr/>
        <w:t>fundamentos</w:t>
      </w:r>
      <w:r>
        <w:rPr>
          <w:spacing w:val="-11"/>
        </w:rPr>
        <w:t> </w:t>
      </w:r>
      <w:r>
        <w:rPr/>
        <w:t>y</w:t>
      </w:r>
      <w:r>
        <w:rPr>
          <w:spacing w:val="-11"/>
        </w:rPr>
        <w:t> </w:t>
      </w:r>
      <w:r>
        <w:rPr/>
        <w:t>aplicaciones.</w:t>
      </w:r>
    </w:p>
    <w:p>
      <w:pPr>
        <w:pStyle w:val="BodyText"/>
        <w:spacing w:before="10"/>
        <w:ind w:left="750" w:right="-14"/>
      </w:pPr>
      <w:r>
        <w:rPr/>
        <w:t>SOCLA. Medellín, Colombia.</w:t>
      </w:r>
    </w:p>
    <w:p>
      <w:pPr>
        <w:pStyle w:val="BodyText"/>
        <w:spacing w:before="8"/>
        <w:rPr>
          <w:sz w:val="21"/>
        </w:rPr>
      </w:pPr>
    </w:p>
    <w:p>
      <w:pPr>
        <w:pStyle w:val="BodyText"/>
        <w:spacing w:line="249" w:lineRule="auto"/>
        <w:ind w:left="750" w:hanging="624"/>
        <w:jc w:val="both"/>
      </w:pPr>
      <w:r>
        <w:rPr/>
        <w:t>Bertoni M., y López, M., 2010. Percepciones sociales ambientales. Valores y actitudes hacia</w:t>
      </w:r>
      <w:r>
        <w:rPr>
          <w:spacing w:val="-5"/>
        </w:rPr>
        <w:t> </w:t>
      </w:r>
      <w:r>
        <w:rPr/>
        <w:t>la</w:t>
      </w:r>
      <w:r>
        <w:rPr>
          <w:spacing w:val="-5"/>
        </w:rPr>
        <w:t> </w:t>
      </w:r>
      <w:r>
        <w:rPr/>
        <w:t>conservación</w:t>
      </w:r>
      <w:r>
        <w:rPr>
          <w:spacing w:val="-5"/>
        </w:rPr>
        <w:t> </w:t>
      </w:r>
      <w:r>
        <w:rPr/>
        <w:t>de</w:t>
      </w:r>
      <w:r>
        <w:rPr>
          <w:spacing w:val="-5"/>
        </w:rPr>
        <w:t> </w:t>
      </w:r>
      <w:r>
        <w:rPr/>
        <w:t>la</w:t>
      </w:r>
      <w:r>
        <w:rPr>
          <w:spacing w:val="-5"/>
        </w:rPr>
        <w:t> </w:t>
      </w:r>
      <w:r>
        <w:rPr/>
        <w:t>Reserva</w:t>
      </w:r>
      <w:r>
        <w:rPr>
          <w:spacing w:val="-5"/>
        </w:rPr>
        <w:t> </w:t>
      </w:r>
      <w:r>
        <w:rPr/>
        <w:t>de</w:t>
      </w:r>
      <w:r>
        <w:rPr>
          <w:spacing w:val="-5"/>
        </w:rPr>
        <w:t> </w:t>
      </w:r>
      <w:r>
        <w:rPr/>
        <w:t>Biosfera</w:t>
      </w:r>
      <w:r>
        <w:rPr>
          <w:spacing w:val="-5"/>
        </w:rPr>
        <w:t> </w:t>
      </w:r>
      <w:r>
        <w:rPr/>
        <w:t>“Parque</w:t>
      </w:r>
      <w:r>
        <w:rPr>
          <w:spacing w:val="-5"/>
        </w:rPr>
        <w:t> </w:t>
      </w:r>
      <w:r>
        <w:rPr/>
        <w:t>Atlántico</w:t>
      </w:r>
      <w:r>
        <w:rPr>
          <w:spacing w:val="-5"/>
        </w:rPr>
        <w:t> </w:t>
      </w:r>
      <w:r>
        <w:rPr/>
        <w:t>Mar</w:t>
      </w:r>
      <w:r>
        <w:rPr>
          <w:spacing w:val="-5"/>
        </w:rPr>
        <w:t> </w:t>
      </w:r>
      <w:r>
        <w:rPr/>
        <w:t>Chiquita” Argentina. Estudios y Perspectivas en Turismo. Volumen 19 (2010), pp 835 – 849.</w:t>
      </w:r>
    </w:p>
    <w:p>
      <w:pPr>
        <w:pStyle w:val="BodyText"/>
        <w:spacing w:before="11"/>
      </w:pPr>
    </w:p>
    <w:p>
      <w:pPr>
        <w:pStyle w:val="BodyText"/>
        <w:spacing w:line="249" w:lineRule="auto"/>
        <w:ind w:left="750" w:hanging="624"/>
        <w:jc w:val="both"/>
      </w:pPr>
      <w:r>
        <w:rPr/>
        <w:t>Cunha C., Sobral I., Jane L., 2010. Percepción ambiental como estrategia para el ecoturismo en unidades de conservación. Estudios y perspectivas en Turismo.</w:t>
      </w:r>
      <w:r>
        <w:rPr>
          <w:w w:val="100"/>
        </w:rPr>
        <w:t> </w:t>
      </w:r>
      <w:r>
        <w:rPr/>
        <w:t>Volumen 19 (2010), pp. 1121 – 1135.</w:t>
      </w:r>
    </w:p>
    <w:p>
      <w:pPr>
        <w:pStyle w:val="BodyText"/>
        <w:spacing w:before="11"/>
      </w:pPr>
    </w:p>
    <w:p>
      <w:pPr>
        <w:pStyle w:val="BodyText"/>
        <w:spacing w:line="249" w:lineRule="auto"/>
        <w:ind w:left="750" w:right="1" w:hanging="624"/>
        <w:jc w:val="both"/>
      </w:pPr>
      <w:r>
        <w:rPr/>
        <w:t>FAO</w:t>
      </w:r>
      <w:r>
        <w:rPr>
          <w:spacing w:val="-8"/>
        </w:rPr>
        <w:t> </w:t>
      </w:r>
      <w:r>
        <w:rPr/>
        <w:t>(Organización</w:t>
      </w:r>
      <w:r>
        <w:rPr>
          <w:spacing w:val="-8"/>
        </w:rPr>
        <w:t> </w:t>
      </w:r>
      <w:r>
        <w:rPr/>
        <w:t>de</w:t>
      </w:r>
      <w:r>
        <w:rPr>
          <w:spacing w:val="-8"/>
        </w:rPr>
        <w:t> </w:t>
      </w:r>
      <w:r>
        <w:rPr/>
        <w:t>las</w:t>
      </w:r>
      <w:r>
        <w:rPr>
          <w:spacing w:val="-8"/>
        </w:rPr>
        <w:t> </w:t>
      </w:r>
      <w:r>
        <w:rPr/>
        <w:t>Naciones</w:t>
      </w:r>
      <w:r>
        <w:rPr>
          <w:spacing w:val="-8"/>
        </w:rPr>
        <w:t> </w:t>
      </w:r>
      <w:r>
        <w:rPr/>
        <w:t>Unidas</w:t>
      </w:r>
      <w:r>
        <w:rPr>
          <w:spacing w:val="-8"/>
        </w:rPr>
        <w:t> </w:t>
      </w:r>
      <w:r>
        <w:rPr/>
        <w:t>para</w:t>
      </w:r>
      <w:r>
        <w:rPr>
          <w:spacing w:val="-8"/>
        </w:rPr>
        <w:t> </w:t>
      </w:r>
      <w:r>
        <w:rPr/>
        <w:t>la</w:t>
      </w:r>
      <w:r>
        <w:rPr>
          <w:spacing w:val="-8"/>
        </w:rPr>
        <w:t> </w:t>
      </w:r>
      <w:r>
        <w:rPr/>
        <w:t>Alimentación</w:t>
      </w:r>
      <w:r>
        <w:rPr>
          <w:spacing w:val="-8"/>
        </w:rPr>
        <w:t> </w:t>
      </w:r>
      <w:r>
        <w:rPr/>
        <w:t>y</w:t>
      </w:r>
      <w:r>
        <w:rPr>
          <w:spacing w:val="-8"/>
        </w:rPr>
        <w:t> </w:t>
      </w:r>
      <w:r>
        <w:rPr/>
        <w:t>la</w:t>
      </w:r>
      <w:r>
        <w:rPr>
          <w:spacing w:val="-8"/>
        </w:rPr>
        <w:t> </w:t>
      </w:r>
      <w:r>
        <w:rPr/>
        <w:t>Agricultura),</w:t>
      </w:r>
      <w:r>
        <w:rPr>
          <w:spacing w:val="-8"/>
        </w:rPr>
        <w:t> </w:t>
      </w:r>
      <w:r>
        <w:rPr/>
        <w:t>2005. Los</w:t>
      </w:r>
      <w:r>
        <w:rPr>
          <w:spacing w:val="-8"/>
        </w:rPr>
        <w:t> </w:t>
      </w:r>
      <w:r>
        <w:rPr/>
        <w:t>medios</w:t>
      </w:r>
      <w:r>
        <w:rPr>
          <w:spacing w:val="-8"/>
        </w:rPr>
        <w:t> </w:t>
      </w:r>
      <w:r>
        <w:rPr/>
        <w:t>de</w:t>
      </w:r>
      <w:r>
        <w:rPr>
          <w:spacing w:val="-8"/>
        </w:rPr>
        <w:t> </w:t>
      </w:r>
      <w:r>
        <w:rPr/>
        <w:t>vida</w:t>
      </w:r>
      <w:r>
        <w:rPr>
          <w:spacing w:val="-8"/>
        </w:rPr>
        <w:t> </w:t>
      </w:r>
      <w:r>
        <w:rPr/>
        <w:t>crecen</w:t>
      </w:r>
      <w:r>
        <w:rPr>
          <w:spacing w:val="-8"/>
        </w:rPr>
        <w:t> </w:t>
      </w:r>
      <w:r>
        <w:rPr/>
        <w:t>en</w:t>
      </w:r>
      <w:r>
        <w:rPr>
          <w:spacing w:val="-8"/>
        </w:rPr>
        <w:t> </w:t>
      </w:r>
      <w:r>
        <w:rPr/>
        <w:t>los</w:t>
      </w:r>
      <w:r>
        <w:rPr>
          <w:spacing w:val="-8"/>
        </w:rPr>
        <w:t> </w:t>
      </w:r>
      <w:r>
        <w:rPr/>
        <w:t>huertos.</w:t>
      </w:r>
      <w:r>
        <w:rPr>
          <w:spacing w:val="-8"/>
        </w:rPr>
        <w:t> </w:t>
      </w:r>
      <w:r>
        <w:rPr/>
        <w:t>Diversificación</w:t>
      </w:r>
      <w:r>
        <w:rPr>
          <w:spacing w:val="-8"/>
        </w:rPr>
        <w:t> </w:t>
      </w:r>
      <w:r>
        <w:rPr/>
        <w:t>de</w:t>
      </w:r>
      <w:r>
        <w:rPr>
          <w:spacing w:val="-8"/>
        </w:rPr>
        <w:t> </w:t>
      </w:r>
      <w:r>
        <w:rPr/>
        <w:t>los</w:t>
      </w:r>
      <w:r>
        <w:rPr>
          <w:spacing w:val="-8"/>
        </w:rPr>
        <w:t> </w:t>
      </w:r>
      <w:r>
        <w:rPr/>
        <w:t>ingresos</w:t>
      </w:r>
      <w:r>
        <w:rPr>
          <w:spacing w:val="-8"/>
        </w:rPr>
        <w:t> </w:t>
      </w:r>
      <w:r>
        <w:rPr/>
        <w:t>rurales mediante las huertas familiares.</w:t>
      </w:r>
      <w:r>
        <w:rPr>
          <w:spacing w:val="-5"/>
        </w:rPr>
        <w:t> </w:t>
      </w:r>
      <w:r>
        <w:rPr/>
        <w:t>Roma.</w:t>
      </w:r>
    </w:p>
    <w:p>
      <w:pPr>
        <w:pStyle w:val="BodyText"/>
        <w:spacing w:before="11"/>
      </w:pPr>
    </w:p>
    <w:p>
      <w:pPr>
        <w:pStyle w:val="BodyText"/>
        <w:spacing w:line="249" w:lineRule="auto"/>
        <w:ind w:left="750" w:hanging="624"/>
        <w:jc w:val="both"/>
      </w:pPr>
      <w:r>
        <w:rPr/>
        <w:t>FAO. (Organización de las Naciones Unidas para la Alimentación y la Agricultura), 2015. El estado mundial de la agricultura y la alimentación. La innovación en la agricultura familiar. Roma.</w:t>
      </w:r>
    </w:p>
    <w:p>
      <w:pPr>
        <w:pStyle w:val="BodyText"/>
        <w:spacing w:before="11"/>
      </w:pPr>
    </w:p>
    <w:p>
      <w:pPr>
        <w:pStyle w:val="BodyText"/>
        <w:spacing w:line="249" w:lineRule="auto"/>
        <w:ind w:left="750" w:hanging="624"/>
        <w:jc w:val="both"/>
      </w:pPr>
      <w:r>
        <w:rPr/>
        <w:t>Fernández Y., 2008. ¿Por qué estudiar las percepciones ambientales? Una revisión   de la literatura mexicana con énfasis en Áreas Naturales Protegidas. Espiral, Estudios sobre Estado y Sociedad Vol. XV, núm. 43, Septiembre/Diciembre de 2008, pp.</w:t>
      </w:r>
      <w:r>
        <w:rPr>
          <w:spacing w:val="25"/>
        </w:rPr>
        <w:t> </w:t>
      </w:r>
      <w:r>
        <w:rPr/>
        <w:t>179-202.</w:t>
      </w:r>
    </w:p>
    <w:p>
      <w:pPr>
        <w:pStyle w:val="BodyText"/>
        <w:spacing w:before="11"/>
      </w:pPr>
    </w:p>
    <w:p>
      <w:pPr>
        <w:pStyle w:val="BodyText"/>
        <w:spacing w:line="249" w:lineRule="auto"/>
        <w:ind w:left="750" w:hanging="624"/>
        <w:jc w:val="both"/>
      </w:pPr>
      <w:r>
        <w:rPr/>
        <w:t>García-Frapolli E., Toledo V., Martínez-Alier J., 2008. Apropiación de la Naturaleza por una Comunidad Maya-Yucateca: Un Análisis Económico-Ecológico. Revista Iberoamericana de Economía Ecológica Vol. 7: 27-42.</w:t>
      </w:r>
    </w:p>
    <w:p>
      <w:pPr>
        <w:pStyle w:val="BodyText"/>
        <w:spacing w:before="11"/>
      </w:pPr>
    </w:p>
    <w:p>
      <w:pPr>
        <w:pStyle w:val="BodyText"/>
        <w:spacing w:line="249" w:lineRule="auto"/>
        <w:ind w:left="750" w:hanging="624"/>
        <w:jc w:val="both"/>
      </w:pPr>
      <w:r>
        <w:rPr/>
        <w:t>Gaytán Á. C., Vibrans H., Navarro H., Jiménez M., 2001. Manejo de Huertos</w:t>
      </w:r>
      <w:r>
        <w:rPr>
          <w:spacing w:val="-30"/>
        </w:rPr>
        <w:t> </w:t>
      </w:r>
      <w:r>
        <w:rPr/>
        <w:t>Familiares Periurbanos de San Miguel Tlaixpan, Texcoco, Estado de México. Boletín de    la</w:t>
      </w:r>
      <w:r>
        <w:rPr>
          <w:spacing w:val="29"/>
        </w:rPr>
        <w:t> </w:t>
      </w:r>
      <w:r>
        <w:rPr/>
        <w:t>Sociedad</w:t>
      </w:r>
      <w:r>
        <w:rPr>
          <w:spacing w:val="29"/>
        </w:rPr>
        <w:t> </w:t>
      </w:r>
      <w:r>
        <w:rPr/>
        <w:t>Botánica</w:t>
      </w:r>
      <w:r>
        <w:rPr>
          <w:spacing w:val="29"/>
        </w:rPr>
        <w:t> </w:t>
      </w:r>
      <w:r>
        <w:rPr/>
        <w:t>de</w:t>
      </w:r>
      <w:r>
        <w:rPr>
          <w:spacing w:val="29"/>
        </w:rPr>
        <w:t> </w:t>
      </w:r>
      <w:r>
        <w:rPr/>
        <w:t>México.</w:t>
      </w:r>
      <w:r>
        <w:rPr>
          <w:spacing w:val="29"/>
        </w:rPr>
        <w:t> </w:t>
      </w:r>
      <w:r>
        <w:rPr/>
        <w:t>Boletín</w:t>
      </w:r>
      <w:r>
        <w:rPr>
          <w:spacing w:val="29"/>
        </w:rPr>
        <w:t> </w:t>
      </w:r>
      <w:r>
        <w:rPr/>
        <w:t>de</w:t>
      </w:r>
      <w:r>
        <w:rPr>
          <w:spacing w:val="29"/>
        </w:rPr>
        <w:t> </w:t>
      </w:r>
      <w:r>
        <w:rPr/>
        <w:t>la</w:t>
      </w:r>
      <w:r>
        <w:rPr>
          <w:spacing w:val="29"/>
        </w:rPr>
        <w:t> </w:t>
      </w:r>
      <w:r>
        <w:rPr/>
        <w:t>Sociedad</w:t>
      </w:r>
      <w:r>
        <w:rPr>
          <w:spacing w:val="29"/>
        </w:rPr>
        <w:t> </w:t>
      </w:r>
      <w:r>
        <w:rPr/>
        <w:t>Botánica</w:t>
      </w:r>
      <w:r>
        <w:rPr>
          <w:spacing w:val="29"/>
        </w:rPr>
        <w:t> </w:t>
      </w:r>
      <w:r>
        <w:rPr/>
        <w:t>de</w:t>
      </w:r>
      <w:r>
        <w:rPr>
          <w:spacing w:val="29"/>
        </w:rPr>
        <w:t> </w:t>
      </w:r>
      <w:r>
        <w:rPr/>
        <w:t>México</w:t>
      </w:r>
      <w:r>
        <w:rPr>
          <w:w w:val="102"/>
        </w:rPr>
        <w:t> </w:t>
      </w:r>
      <w:r>
        <w:rPr/>
        <w:t>Sociedad Botánica de México,</w:t>
      </w:r>
      <w:r>
        <w:rPr>
          <w:spacing w:val="46"/>
        </w:rPr>
        <w:t> </w:t>
      </w:r>
      <w:r>
        <w:rPr/>
        <w:t>A.C.</w:t>
      </w:r>
    </w:p>
    <w:p>
      <w:pPr>
        <w:pStyle w:val="BodyText"/>
        <w:spacing w:line="249" w:lineRule="auto" w:before="109"/>
        <w:ind w:left="750" w:right="128" w:hanging="624"/>
        <w:jc w:val="both"/>
      </w:pPr>
      <w:r>
        <w:rPr/>
        <w:br w:type="column"/>
      </w:r>
      <w:r>
        <w:rPr/>
        <w:t>Gazzano</w:t>
      </w:r>
      <w:r>
        <w:rPr>
          <w:spacing w:val="-5"/>
        </w:rPr>
        <w:t> </w:t>
      </w:r>
      <w:r>
        <w:rPr/>
        <w:t>I.,</w:t>
      </w:r>
      <w:r>
        <w:rPr>
          <w:spacing w:val="-5"/>
        </w:rPr>
        <w:t> </w:t>
      </w:r>
      <w:r>
        <w:rPr/>
        <w:t>Achkar</w:t>
      </w:r>
      <w:r>
        <w:rPr>
          <w:spacing w:val="-5"/>
        </w:rPr>
        <w:t> </w:t>
      </w:r>
      <w:r>
        <w:rPr/>
        <w:t>M.,</w:t>
      </w:r>
      <w:r>
        <w:rPr>
          <w:spacing w:val="-5"/>
        </w:rPr>
        <w:t> </w:t>
      </w:r>
      <w:r>
        <w:rPr/>
        <w:t>2013.</w:t>
      </w:r>
      <w:r>
        <w:rPr>
          <w:spacing w:val="-5"/>
        </w:rPr>
        <w:t> </w:t>
      </w:r>
      <w:r>
        <w:rPr/>
        <w:t>La</w:t>
      </w:r>
      <w:r>
        <w:rPr>
          <w:spacing w:val="-5"/>
        </w:rPr>
        <w:t> </w:t>
      </w:r>
      <w:r>
        <w:rPr/>
        <w:t>necesidad</w:t>
      </w:r>
      <w:r>
        <w:rPr>
          <w:spacing w:val="-5"/>
        </w:rPr>
        <w:t> </w:t>
      </w:r>
      <w:r>
        <w:rPr/>
        <w:t>de</w:t>
      </w:r>
      <w:r>
        <w:rPr>
          <w:spacing w:val="-5"/>
        </w:rPr>
        <w:t> </w:t>
      </w:r>
      <w:r>
        <w:rPr/>
        <w:t>redefinir</w:t>
      </w:r>
      <w:r>
        <w:rPr>
          <w:spacing w:val="-5"/>
        </w:rPr>
        <w:t> </w:t>
      </w:r>
      <w:r>
        <w:rPr/>
        <w:t>ambiente</w:t>
      </w:r>
      <w:r>
        <w:rPr>
          <w:spacing w:val="-5"/>
        </w:rPr>
        <w:t> </w:t>
      </w:r>
      <w:r>
        <w:rPr/>
        <w:t>en</w:t>
      </w:r>
      <w:r>
        <w:rPr>
          <w:spacing w:val="-5"/>
        </w:rPr>
        <w:t> </w:t>
      </w:r>
      <w:r>
        <w:rPr/>
        <w:t>el</w:t>
      </w:r>
      <w:r>
        <w:rPr>
          <w:spacing w:val="-5"/>
        </w:rPr>
        <w:t> </w:t>
      </w:r>
      <w:r>
        <w:rPr/>
        <w:t>debate</w:t>
      </w:r>
      <w:r>
        <w:rPr>
          <w:spacing w:val="-5"/>
        </w:rPr>
        <w:t> </w:t>
      </w:r>
      <w:r>
        <w:rPr/>
        <w:t>científico actual. Revista Gestión y Ambiente 16 (3):</w:t>
      </w:r>
      <w:r>
        <w:rPr>
          <w:spacing w:val="-9"/>
        </w:rPr>
        <w:t> </w:t>
      </w:r>
      <w:r>
        <w:rPr/>
        <w:t>7-15.</w:t>
      </w:r>
    </w:p>
    <w:p>
      <w:pPr>
        <w:pStyle w:val="BodyText"/>
        <w:spacing w:before="11"/>
      </w:pPr>
    </w:p>
    <w:p>
      <w:pPr>
        <w:pStyle w:val="BodyText"/>
        <w:ind w:left="126" w:right="37"/>
      </w:pPr>
      <w:r>
        <w:rPr/>
        <w:t>Gliessman S. R., 2002. Agroecología: Procesos ecológicos en agricultura    sostenible.</w:t>
      </w:r>
    </w:p>
    <w:p>
      <w:pPr>
        <w:pStyle w:val="BodyText"/>
        <w:spacing w:before="10"/>
        <w:ind w:left="302" w:right="5047"/>
        <w:jc w:val="center"/>
      </w:pPr>
      <w:r>
        <w:rPr/>
        <w:t>Costa Rica. 359pp.</w:t>
      </w:r>
    </w:p>
    <w:p>
      <w:pPr>
        <w:pStyle w:val="BodyText"/>
        <w:spacing w:before="8"/>
        <w:rPr>
          <w:sz w:val="21"/>
        </w:rPr>
      </w:pPr>
    </w:p>
    <w:p>
      <w:pPr>
        <w:pStyle w:val="BodyText"/>
        <w:spacing w:line="249" w:lineRule="auto"/>
        <w:ind w:left="750" w:right="128" w:hanging="624"/>
        <w:jc w:val="both"/>
      </w:pPr>
      <w:r>
        <w:rPr/>
        <w:t>Gliessman S. R., Rosado-May F. J., Guadarrama-Zugasti C., Jedlicka J., Cohn A., Mendez</w:t>
      </w:r>
      <w:r>
        <w:rPr>
          <w:spacing w:val="-5"/>
        </w:rPr>
        <w:t> </w:t>
      </w:r>
      <w:r>
        <w:rPr/>
        <w:t>V.</w:t>
      </w:r>
      <w:r>
        <w:rPr>
          <w:spacing w:val="-5"/>
        </w:rPr>
        <w:t> </w:t>
      </w:r>
      <w:r>
        <w:rPr/>
        <w:t>E.,</w:t>
      </w:r>
      <w:r>
        <w:rPr>
          <w:spacing w:val="-5"/>
        </w:rPr>
        <w:t> </w:t>
      </w:r>
      <w:r>
        <w:rPr/>
        <w:t>Cohen</w:t>
      </w:r>
      <w:r>
        <w:rPr>
          <w:spacing w:val="-5"/>
        </w:rPr>
        <w:t> </w:t>
      </w:r>
      <w:r>
        <w:rPr/>
        <w:t>R.,</w:t>
      </w:r>
      <w:r>
        <w:rPr>
          <w:spacing w:val="-5"/>
        </w:rPr>
        <w:t> </w:t>
      </w:r>
      <w:r>
        <w:rPr/>
        <w:t>Trujillo</w:t>
      </w:r>
      <w:r>
        <w:rPr>
          <w:spacing w:val="-5"/>
        </w:rPr>
        <w:t> </w:t>
      </w:r>
      <w:r>
        <w:rPr/>
        <w:t>L.,</w:t>
      </w:r>
      <w:r>
        <w:rPr>
          <w:spacing w:val="-5"/>
        </w:rPr>
        <w:t> </w:t>
      </w:r>
      <w:r>
        <w:rPr/>
        <w:t>Bacon</w:t>
      </w:r>
      <w:r>
        <w:rPr>
          <w:spacing w:val="-5"/>
        </w:rPr>
        <w:t> </w:t>
      </w:r>
      <w:r>
        <w:rPr/>
        <w:t>C.,</w:t>
      </w:r>
      <w:r>
        <w:rPr>
          <w:spacing w:val="-5"/>
        </w:rPr>
        <w:t> </w:t>
      </w:r>
      <w:r>
        <w:rPr/>
        <w:t>2007.</w:t>
      </w:r>
      <w:r>
        <w:rPr>
          <w:spacing w:val="-5"/>
        </w:rPr>
        <w:t> </w:t>
      </w:r>
      <w:r>
        <w:rPr/>
        <w:t>Agroecología:</w:t>
      </w:r>
      <w:r>
        <w:rPr>
          <w:spacing w:val="-5"/>
        </w:rPr>
        <w:t> </w:t>
      </w:r>
      <w:r>
        <w:rPr/>
        <w:t>promoviendo una transición hacia la sostenibilidad. Ecosistemas. 16(1)</w:t>
      </w:r>
      <w:r>
        <w:rPr>
          <w:spacing w:val="16"/>
        </w:rPr>
        <w:t> </w:t>
      </w:r>
      <w:r>
        <w:rPr/>
        <w:t>13-23.</w:t>
      </w:r>
    </w:p>
    <w:p>
      <w:pPr>
        <w:pStyle w:val="BodyText"/>
        <w:spacing w:before="11"/>
      </w:pPr>
    </w:p>
    <w:p>
      <w:pPr>
        <w:pStyle w:val="BodyText"/>
        <w:spacing w:line="249" w:lineRule="auto"/>
        <w:ind w:left="750" w:right="127" w:hanging="624"/>
        <w:jc w:val="both"/>
      </w:pPr>
      <w:r>
        <w:rPr/>
        <w:t>Gutiérrez</w:t>
      </w:r>
      <w:r>
        <w:rPr>
          <w:spacing w:val="-15"/>
        </w:rPr>
        <w:t> </w:t>
      </w:r>
      <w:r>
        <w:rPr/>
        <w:t>L.,</w:t>
      </w:r>
      <w:r>
        <w:rPr>
          <w:spacing w:val="-15"/>
        </w:rPr>
        <w:t> </w:t>
      </w:r>
      <w:r>
        <w:rPr/>
        <w:t>2003.</w:t>
      </w:r>
      <w:r>
        <w:rPr>
          <w:spacing w:val="-15"/>
        </w:rPr>
        <w:t> </w:t>
      </w:r>
      <w:r>
        <w:rPr/>
        <w:t>Etnobotánica</w:t>
      </w:r>
      <w:r>
        <w:rPr>
          <w:spacing w:val="-15"/>
        </w:rPr>
        <w:t> </w:t>
      </w:r>
      <w:r>
        <w:rPr/>
        <w:t>de</w:t>
      </w:r>
      <w:r>
        <w:rPr>
          <w:spacing w:val="-15"/>
        </w:rPr>
        <w:t> </w:t>
      </w:r>
      <w:r>
        <w:rPr/>
        <w:t>huertos</w:t>
      </w:r>
      <w:r>
        <w:rPr>
          <w:spacing w:val="-15"/>
        </w:rPr>
        <w:t> </w:t>
      </w:r>
      <w:r>
        <w:rPr/>
        <w:t>familiares</w:t>
      </w:r>
      <w:r>
        <w:rPr>
          <w:spacing w:val="-15"/>
        </w:rPr>
        <w:t> </w:t>
      </w:r>
      <w:r>
        <w:rPr/>
        <w:t>o</w:t>
      </w:r>
      <w:r>
        <w:rPr>
          <w:spacing w:val="-15"/>
        </w:rPr>
        <w:t> </w:t>
      </w:r>
      <w:r>
        <w:rPr/>
        <w:t>solares</w:t>
      </w:r>
      <w:r>
        <w:rPr>
          <w:spacing w:val="-15"/>
        </w:rPr>
        <w:t> </w:t>
      </w:r>
      <w:r>
        <w:rPr/>
        <w:t>en</w:t>
      </w:r>
      <w:r>
        <w:rPr>
          <w:spacing w:val="-15"/>
        </w:rPr>
        <w:t> </w:t>
      </w:r>
      <w:r>
        <w:rPr/>
        <w:t>el</w:t>
      </w:r>
      <w:r>
        <w:rPr>
          <w:spacing w:val="-15"/>
        </w:rPr>
        <w:t> </w:t>
      </w:r>
      <w:r>
        <w:rPr/>
        <w:t>poblado</w:t>
      </w:r>
      <w:r>
        <w:rPr>
          <w:spacing w:val="-15"/>
        </w:rPr>
        <w:t> </w:t>
      </w:r>
      <w:r>
        <w:rPr/>
        <w:t>de</w:t>
      </w:r>
      <w:r>
        <w:rPr>
          <w:spacing w:val="-15"/>
        </w:rPr>
        <w:t> </w:t>
      </w:r>
      <w:r>
        <w:rPr/>
        <w:t>Gabriel Esquinca Mpio. de San Fernando, Chiapas. Tesis de Licenciatura. Facultad de Ciencias, UNAM.</w:t>
      </w:r>
      <w:r>
        <w:rPr>
          <w:spacing w:val="21"/>
        </w:rPr>
        <w:t> </w:t>
      </w:r>
      <w:r>
        <w:rPr/>
        <w:t>México.</w:t>
      </w:r>
    </w:p>
    <w:p>
      <w:pPr>
        <w:pStyle w:val="BodyText"/>
        <w:spacing w:before="11"/>
      </w:pPr>
    </w:p>
    <w:p>
      <w:pPr>
        <w:pStyle w:val="BodyText"/>
        <w:spacing w:line="249" w:lineRule="auto"/>
        <w:ind w:left="750" w:right="128" w:hanging="624"/>
        <w:jc w:val="both"/>
      </w:pPr>
      <w:r>
        <w:rPr/>
        <w:t>GTZ (Agencia Alemana de Cooperación Técnica), 2008. Huertos familiares: tesoros de diversidad. Consultado el 3 de mayo de 2015. </w:t>
      </w:r>
      <w:hyperlink r:id="rId242">
        <w:r>
          <w:rPr>
            <w:u w:val="single"/>
          </w:rPr>
          <w:t>http://www2.gtz.de/dokumente/</w:t>
        </w:r>
      </w:hyperlink>
      <w:r>
        <w:rPr>
          <w:u w:val="single"/>
        </w:rPr>
        <w:t> </w:t>
      </w:r>
      <w:hyperlink r:id="rId242">
        <w:r>
          <w:rPr>
            <w:u w:val="single"/>
          </w:rPr>
          <w:t>bib/04-5108a4.pdf</w:t>
        </w:r>
      </w:hyperlink>
    </w:p>
    <w:p>
      <w:pPr>
        <w:pStyle w:val="BodyText"/>
        <w:spacing w:before="11"/>
      </w:pPr>
    </w:p>
    <w:p>
      <w:pPr>
        <w:pStyle w:val="BodyText"/>
        <w:spacing w:line="249" w:lineRule="auto"/>
        <w:ind w:left="750" w:right="129" w:hanging="624"/>
        <w:jc w:val="both"/>
      </w:pPr>
      <w:r>
        <w:rPr/>
        <w:t>INEGI (Instituto Nacional de Estadística, Geografía e Informática), 2009. Prontuario de información geográfica municipal de los Estados Unidos  Mexicanos</w:t>
      </w:r>
    </w:p>
    <w:p>
      <w:pPr>
        <w:pStyle w:val="BodyText"/>
        <w:spacing w:before="11"/>
      </w:pPr>
    </w:p>
    <w:p>
      <w:pPr>
        <w:pStyle w:val="BodyText"/>
        <w:ind w:left="126" w:right="37"/>
      </w:pPr>
      <w:r>
        <w:rPr/>
        <w:t>Malinalco, México. INEGI, México.</w:t>
      </w:r>
    </w:p>
    <w:p>
      <w:pPr>
        <w:pStyle w:val="BodyText"/>
        <w:spacing w:before="8"/>
        <w:rPr>
          <w:sz w:val="21"/>
        </w:rPr>
      </w:pPr>
    </w:p>
    <w:p>
      <w:pPr>
        <w:pStyle w:val="BodyText"/>
        <w:spacing w:line="249" w:lineRule="auto"/>
        <w:ind w:left="750" w:right="129" w:hanging="624"/>
        <w:jc w:val="both"/>
      </w:pPr>
      <w:r>
        <w:rPr/>
        <w:t>INEGI (Instituto Nacional de Estadística, Geografía e Informática, 2009. Prontuario de información geográfica municipal de los Estados Unidos  Mexicanos</w:t>
      </w:r>
    </w:p>
    <w:p>
      <w:pPr>
        <w:pStyle w:val="BodyText"/>
        <w:spacing w:before="11"/>
      </w:pPr>
    </w:p>
    <w:p>
      <w:pPr>
        <w:pStyle w:val="BodyText"/>
        <w:ind w:left="126" w:right="37"/>
      </w:pPr>
      <w:r>
        <w:rPr/>
        <w:t>Tenancingo, México. INEGI, México.</w:t>
      </w:r>
    </w:p>
    <w:p>
      <w:pPr>
        <w:pStyle w:val="BodyText"/>
        <w:spacing w:before="8"/>
        <w:rPr>
          <w:sz w:val="21"/>
        </w:rPr>
      </w:pPr>
    </w:p>
    <w:p>
      <w:pPr>
        <w:pStyle w:val="BodyText"/>
        <w:spacing w:line="249" w:lineRule="auto"/>
        <w:ind w:left="750" w:right="129" w:hanging="624"/>
        <w:jc w:val="both"/>
      </w:pPr>
      <w:r>
        <w:rPr/>
        <w:t>INEGI (Instituto Nacional de Estadística, Geografía e Informática), 2009. Prontuario de información geográfica municipal de los Estados Unidos  Mexicanos</w:t>
      </w:r>
    </w:p>
    <w:p>
      <w:pPr>
        <w:pStyle w:val="BodyText"/>
        <w:spacing w:before="11"/>
      </w:pPr>
    </w:p>
    <w:p>
      <w:pPr>
        <w:pStyle w:val="BodyText"/>
        <w:ind w:left="126" w:right="37"/>
      </w:pPr>
      <w:r>
        <w:rPr/>
        <w:t>Vila Guerrero, México. INEGI, México.</w:t>
      </w:r>
    </w:p>
    <w:p>
      <w:pPr>
        <w:pStyle w:val="BodyText"/>
        <w:spacing w:before="8"/>
        <w:rPr>
          <w:sz w:val="21"/>
        </w:rPr>
      </w:pPr>
    </w:p>
    <w:p>
      <w:pPr>
        <w:pStyle w:val="BodyText"/>
        <w:spacing w:line="249" w:lineRule="auto"/>
        <w:ind w:left="750" w:right="128" w:hanging="624"/>
        <w:jc w:val="both"/>
      </w:pPr>
      <w:r>
        <w:rPr/>
        <w:t>INEGI (Instituto Nacional de Estadística, Geografía e Informática), 2010. Marco Geoestadístico Nacional. INEGI, México.</w:t>
      </w:r>
    </w:p>
    <w:p>
      <w:pPr>
        <w:pStyle w:val="BodyText"/>
        <w:spacing w:before="11"/>
      </w:pPr>
    </w:p>
    <w:p>
      <w:pPr>
        <w:pStyle w:val="BodyText"/>
        <w:spacing w:line="249" w:lineRule="auto"/>
        <w:ind w:left="750" w:right="129" w:hanging="624"/>
        <w:jc w:val="both"/>
      </w:pPr>
      <w:r>
        <w:rPr/>
        <w:t>INEGI (Instituto Nacional de Estadística, Geografía e Informática), 2010. Censo de Población y Vivienda 2010. INEGI, México.</w:t>
      </w:r>
    </w:p>
    <w:p>
      <w:pPr>
        <w:pStyle w:val="BodyText"/>
        <w:spacing w:before="11"/>
      </w:pPr>
    </w:p>
    <w:p>
      <w:pPr>
        <w:pStyle w:val="BodyText"/>
        <w:spacing w:line="249" w:lineRule="auto"/>
        <w:ind w:left="750" w:right="128" w:hanging="624"/>
        <w:jc w:val="both"/>
      </w:pPr>
      <w:r>
        <w:rPr/>
        <w:t>Juan</w:t>
      </w:r>
      <w:r>
        <w:rPr>
          <w:spacing w:val="-9"/>
        </w:rPr>
        <w:t> </w:t>
      </w:r>
      <w:r>
        <w:rPr/>
        <w:t>J.,</w:t>
      </w:r>
      <w:r>
        <w:rPr>
          <w:spacing w:val="-9"/>
        </w:rPr>
        <w:t> </w:t>
      </w:r>
      <w:r>
        <w:rPr/>
        <w:t>2013.</w:t>
      </w:r>
      <w:r>
        <w:rPr>
          <w:spacing w:val="-9"/>
        </w:rPr>
        <w:t> </w:t>
      </w:r>
      <w:r>
        <w:rPr/>
        <w:t>Los</w:t>
      </w:r>
      <w:r>
        <w:rPr>
          <w:spacing w:val="-9"/>
        </w:rPr>
        <w:t> </w:t>
      </w:r>
      <w:r>
        <w:rPr/>
        <w:t>huertos</w:t>
      </w:r>
      <w:r>
        <w:rPr>
          <w:spacing w:val="-9"/>
        </w:rPr>
        <w:t> </w:t>
      </w:r>
      <w:r>
        <w:rPr/>
        <w:t>familiares</w:t>
      </w:r>
      <w:r>
        <w:rPr>
          <w:spacing w:val="-9"/>
        </w:rPr>
        <w:t> </w:t>
      </w:r>
      <w:r>
        <w:rPr/>
        <w:t>en</w:t>
      </w:r>
      <w:r>
        <w:rPr>
          <w:spacing w:val="-9"/>
        </w:rPr>
        <w:t> </w:t>
      </w:r>
      <w:r>
        <w:rPr/>
        <w:t>una</w:t>
      </w:r>
      <w:r>
        <w:rPr>
          <w:spacing w:val="-9"/>
        </w:rPr>
        <w:t> </w:t>
      </w:r>
      <w:r>
        <w:rPr/>
        <w:t>provincia</w:t>
      </w:r>
      <w:r>
        <w:rPr>
          <w:spacing w:val="-9"/>
        </w:rPr>
        <w:t> </w:t>
      </w:r>
      <w:r>
        <w:rPr/>
        <w:t>del</w:t>
      </w:r>
      <w:r>
        <w:rPr>
          <w:spacing w:val="-9"/>
        </w:rPr>
        <w:t> </w:t>
      </w:r>
      <w:r>
        <w:rPr/>
        <w:t>subtrópico</w:t>
      </w:r>
      <w:r>
        <w:rPr>
          <w:spacing w:val="-9"/>
        </w:rPr>
        <w:t> </w:t>
      </w:r>
      <w:r>
        <w:rPr/>
        <w:t>Mexicano.</w:t>
      </w:r>
      <w:r>
        <w:rPr>
          <w:spacing w:val="-9"/>
        </w:rPr>
        <w:t> </w:t>
      </w:r>
      <w:r>
        <w:rPr/>
        <w:t>Análisis espacial, económico y sociocultural. Ed.</w:t>
      </w:r>
      <w:r>
        <w:rPr>
          <w:spacing w:val="46"/>
        </w:rPr>
        <w:t> </w:t>
      </w:r>
      <w:r>
        <w:rPr/>
        <w:t>Eumed.</w:t>
      </w:r>
    </w:p>
    <w:p>
      <w:pPr>
        <w:spacing w:after="0" w:line="249" w:lineRule="auto"/>
        <w:jc w:val="both"/>
        <w:sectPr>
          <w:type w:val="continuous"/>
          <w:pgSz w:w="18830" w:h="12760" w:orient="landscape"/>
          <w:pgMar w:top="1420" w:bottom="280" w:left="720" w:right="720"/>
          <w:cols w:num="2" w:equalWidth="0">
            <w:col w:w="7838" w:space="1577"/>
            <w:col w:w="7975"/>
          </w:cols>
        </w:sectPr>
      </w:pPr>
    </w:p>
    <w:p>
      <w:pPr>
        <w:pStyle w:val="BodyText"/>
        <w:spacing w:before="6"/>
        <w:rPr>
          <w:sz w:val="23"/>
        </w:rPr>
      </w:pPr>
    </w:p>
    <w:p>
      <w:pPr>
        <w:spacing w:after="0"/>
        <w:rPr>
          <w:sz w:val="23"/>
        </w:rPr>
        <w:sectPr>
          <w:footerReference w:type="default" r:id="rId243"/>
          <w:pgSz w:w="18830" w:h="12760" w:orient="landscape"/>
          <w:pgMar w:footer="1036" w:header="522" w:top="820" w:bottom="1220" w:left="720" w:right="720"/>
        </w:sectPr>
      </w:pPr>
    </w:p>
    <w:p>
      <w:pPr>
        <w:pStyle w:val="BodyText"/>
        <w:spacing w:line="249" w:lineRule="auto" w:before="76"/>
        <w:ind w:left="750" w:hanging="624"/>
        <w:jc w:val="both"/>
      </w:pPr>
      <w:r>
        <w:rPr/>
        <w:t>Magaña</w:t>
      </w:r>
      <w:r>
        <w:rPr>
          <w:spacing w:val="-4"/>
        </w:rPr>
        <w:t> </w:t>
      </w:r>
      <w:r>
        <w:rPr/>
        <w:t>M.,</w:t>
      </w:r>
      <w:r>
        <w:rPr>
          <w:spacing w:val="-4"/>
        </w:rPr>
        <w:t> </w:t>
      </w:r>
      <w:r>
        <w:rPr/>
        <w:t>2012.</w:t>
      </w:r>
      <w:r>
        <w:rPr>
          <w:spacing w:val="-4"/>
        </w:rPr>
        <w:t> </w:t>
      </w:r>
      <w:r>
        <w:rPr/>
        <w:t>Etnobotánica</w:t>
      </w:r>
      <w:r>
        <w:rPr>
          <w:spacing w:val="-4"/>
        </w:rPr>
        <w:t> </w:t>
      </w:r>
      <w:r>
        <w:rPr/>
        <w:t>de</w:t>
      </w:r>
      <w:r>
        <w:rPr>
          <w:spacing w:val="-4"/>
        </w:rPr>
        <w:t> </w:t>
      </w:r>
      <w:r>
        <w:rPr/>
        <w:t>las</w:t>
      </w:r>
      <w:r>
        <w:rPr>
          <w:spacing w:val="-4"/>
        </w:rPr>
        <w:t> </w:t>
      </w:r>
      <w:r>
        <w:rPr/>
        <w:t>plantas</w:t>
      </w:r>
      <w:r>
        <w:rPr>
          <w:spacing w:val="-4"/>
        </w:rPr>
        <w:t> </w:t>
      </w:r>
      <w:r>
        <w:rPr/>
        <w:t>medicinales</w:t>
      </w:r>
      <w:r>
        <w:rPr>
          <w:spacing w:val="-4"/>
        </w:rPr>
        <w:t> </w:t>
      </w:r>
      <w:r>
        <w:rPr/>
        <w:t>en</w:t>
      </w:r>
      <w:r>
        <w:rPr>
          <w:spacing w:val="-4"/>
        </w:rPr>
        <w:t> </w:t>
      </w:r>
      <w:r>
        <w:rPr/>
        <w:t>los</w:t>
      </w:r>
      <w:r>
        <w:rPr>
          <w:spacing w:val="-4"/>
        </w:rPr>
        <w:t> </w:t>
      </w:r>
      <w:r>
        <w:rPr/>
        <w:t>huertos</w:t>
      </w:r>
      <w:r>
        <w:rPr>
          <w:spacing w:val="-4"/>
        </w:rPr>
        <w:t> </w:t>
      </w:r>
      <w:r>
        <w:rPr/>
        <w:t>familiares</w:t>
      </w:r>
      <w:r>
        <w:rPr>
          <w:spacing w:val="-4"/>
        </w:rPr>
        <w:t> </w:t>
      </w:r>
      <w:r>
        <w:rPr/>
        <w:t>de Tabasco. En: El huerto familiar del sureste de México. Secretaría de Recursos Naturales</w:t>
      </w:r>
      <w:r>
        <w:rPr>
          <w:spacing w:val="-7"/>
        </w:rPr>
        <w:t> </w:t>
      </w:r>
      <w:r>
        <w:rPr/>
        <w:t>y</w:t>
      </w:r>
      <w:r>
        <w:rPr>
          <w:spacing w:val="-7"/>
        </w:rPr>
        <w:t> </w:t>
      </w:r>
      <w:r>
        <w:rPr/>
        <w:t>Protección</w:t>
      </w:r>
      <w:r>
        <w:rPr>
          <w:spacing w:val="-7"/>
        </w:rPr>
        <w:t> </w:t>
      </w:r>
      <w:r>
        <w:rPr/>
        <w:t>Ambiental</w:t>
      </w:r>
      <w:r>
        <w:rPr>
          <w:spacing w:val="-7"/>
        </w:rPr>
        <w:t> </w:t>
      </w:r>
      <w:r>
        <w:rPr/>
        <w:t>del</w:t>
      </w:r>
      <w:r>
        <w:rPr>
          <w:spacing w:val="-7"/>
        </w:rPr>
        <w:t> </w:t>
      </w:r>
      <w:r>
        <w:rPr/>
        <w:t>Estado</w:t>
      </w:r>
      <w:r>
        <w:rPr>
          <w:spacing w:val="-7"/>
        </w:rPr>
        <w:t> </w:t>
      </w:r>
      <w:r>
        <w:rPr/>
        <w:t>de</w:t>
      </w:r>
      <w:r>
        <w:rPr>
          <w:spacing w:val="-7"/>
        </w:rPr>
        <w:t> </w:t>
      </w:r>
      <w:r>
        <w:rPr/>
        <w:t>Tabasco.</w:t>
      </w:r>
      <w:r>
        <w:rPr>
          <w:spacing w:val="-7"/>
        </w:rPr>
        <w:t> </w:t>
      </w:r>
      <w:r>
        <w:rPr/>
        <w:t>Colegio</w:t>
      </w:r>
      <w:r>
        <w:rPr>
          <w:spacing w:val="-7"/>
        </w:rPr>
        <w:t> </w:t>
      </w:r>
      <w:r>
        <w:rPr/>
        <w:t>de</w:t>
      </w:r>
      <w:r>
        <w:rPr>
          <w:spacing w:val="-7"/>
        </w:rPr>
        <w:t> </w:t>
      </w:r>
      <w:r>
        <w:rPr/>
        <w:t>la</w:t>
      </w:r>
      <w:r>
        <w:rPr>
          <w:spacing w:val="-7"/>
        </w:rPr>
        <w:t> </w:t>
      </w:r>
      <w:r>
        <w:rPr/>
        <w:t>Frontera Sur.</w:t>
      </w:r>
      <w:r>
        <w:rPr>
          <w:spacing w:val="22"/>
        </w:rPr>
        <w:t> </w:t>
      </w:r>
      <w:r>
        <w:rPr/>
        <w:t>176-196pp.</w:t>
      </w:r>
    </w:p>
    <w:p>
      <w:pPr>
        <w:pStyle w:val="BodyText"/>
        <w:spacing w:before="11"/>
      </w:pPr>
    </w:p>
    <w:p>
      <w:pPr>
        <w:pStyle w:val="BodyText"/>
        <w:spacing w:line="249" w:lineRule="auto"/>
        <w:ind w:left="750" w:hanging="624"/>
        <w:jc w:val="both"/>
      </w:pPr>
      <w:r>
        <w:rPr/>
        <w:t>Mariaca R., 2012. El huerto familiar del sureste de México. Secretaría de Recursos Naturales</w:t>
      </w:r>
      <w:r>
        <w:rPr>
          <w:spacing w:val="-7"/>
        </w:rPr>
        <w:t> </w:t>
      </w:r>
      <w:r>
        <w:rPr/>
        <w:t>y</w:t>
      </w:r>
      <w:r>
        <w:rPr>
          <w:spacing w:val="-7"/>
        </w:rPr>
        <w:t> </w:t>
      </w:r>
      <w:r>
        <w:rPr/>
        <w:t>Protección</w:t>
      </w:r>
      <w:r>
        <w:rPr>
          <w:spacing w:val="-7"/>
        </w:rPr>
        <w:t> </w:t>
      </w:r>
      <w:r>
        <w:rPr/>
        <w:t>Ambiental</w:t>
      </w:r>
      <w:r>
        <w:rPr>
          <w:spacing w:val="-7"/>
        </w:rPr>
        <w:t> </w:t>
      </w:r>
      <w:r>
        <w:rPr/>
        <w:t>del</w:t>
      </w:r>
      <w:r>
        <w:rPr>
          <w:spacing w:val="-7"/>
        </w:rPr>
        <w:t> </w:t>
      </w:r>
      <w:r>
        <w:rPr/>
        <w:t>Estado</w:t>
      </w:r>
      <w:r>
        <w:rPr>
          <w:spacing w:val="-7"/>
        </w:rPr>
        <w:t> </w:t>
      </w:r>
      <w:r>
        <w:rPr/>
        <w:t>de</w:t>
      </w:r>
      <w:r>
        <w:rPr>
          <w:spacing w:val="-7"/>
        </w:rPr>
        <w:t> </w:t>
      </w:r>
      <w:r>
        <w:rPr/>
        <w:t>Tabasco.</w:t>
      </w:r>
      <w:r>
        <w:rPr>
          <w:spacing w:val="-7"/>
        </w:rPr>
        <w:t> </w:t>
      </w:r>
      <w:r>
        <w:rPr/>
        <w:t>Colegio</w:t>
      </w:r>
      <w:r>
        <w:rPr>
          <w:spacing w:val="-7"/>
        </w:rPr>
        <w:t> </w:t>
      </w:r>
      <w:r>
        <w:rPr/>
        <w:t>de</w:t>
      </w:r>
      <w:r>
        <w:rPr>
          <w:spacing w:val="-7"/>
        </w:rPr>
        <w:t> </w:t>
      </w:r>
      <w:r>
        <w:rPr/>
        <w:t>la</w:t>
      </w:r>
      <w:r>
        <w:rPr>
          <w:spacing w:val="-7"/>
        </w:rPr>
        <w:t> </w:t>
      </w:r>
      <w:r>
        <w:rPr/>
        <w:t>Frontera Sur.</w:t>
      </w:r>
    </w:p>
    <w:p>
      <w:pPr>
        <w:pStyle w:val="BodyText"/>
        <w:spacing w:before="11"/>
      </w:pPr>
    </w:p>
    <w:p>
      <w:pPr>
        <w:pStyle w:val="BodyText"/>
        <w:spacing w:line="249" w:lineRule="auto"/>
        <w:ind w:left="750" w:right="1" w:hanging="624"/>
        <w:jc w:val="both"/>
      </w:pPr>
      <w:r>
        <w:rPr/>
        <w:t>Martínez B., Juan P., 2005. Los huertos: una estrategia para la subsistencia de las familias campesinas. An. Antrop., 39-II: 26-50pp.</w:t>
      </w:r>
    </w:p>
    <w:p>
      <w:pPr>
        <w:pStyle w:val="BodyText"/>
        <w:spacing w:before="11"/>
      </w:pPr>
    </w:p>
    <w:p>
      <w:pPr>
        <w:pStyle w:val="BodyText"/>
        <w:spacing w:line="249" w:lineRule="auto"/>
        <w:ind w:left="750" w:hanging="624"/>
        <w:jc w:val="both"/>
      </w:pPr>
      <w:r>
        <w:rPr/>
        <w:t>Massieu Y., Chapela F., 2007. Valoración de la biodiversidad y el conocimiento tradicional: ¿un recurso público o privado? En: Biodiversidad y conocimiento tradicional en la sociedad rural: entre el bien común y la propiedad privada. CEDRSSA, México.</w:t>
      </w:r>
    </w:p>
    <w:p>
      <w:pPr>
        <w:pStyle w:val="BodyText"/>
        <w:spacing w:before="11"/>
      </w:pPr>
    </w:p>
    <w:p>
      <w:pPr>
        <w:pStyle w:val="BodyText"/>
        <w:spacing w:line="249" w:lineRule="auto"/>
        <w:ind w:left="750" w:hanging="624"/>
        <w:jc w:val="both"/>
      </w:pPr>
      <w:r>
        <w:rPr/>
        <w:t>Rebollar</w:t>
      </w:r>
      <w:r>
        <w:rPr>
          <w:spacing w:val="-15"/>
        </w:rPr>
        <w:t> </w:t>
      </w:r>
      <w:r>
        <w:rPr/>
        <w:t>S.,</w:t>
      </w:r>
      <w:r>
        <w:rPr>
          <w:spacing w:val="-15"/>
        </w:rPr>
        <w:t> </w:t>
      </w:r>
      <w:r>
        <w:rPr/>
        <w:t>Santos</w:t>
      </w:r>
      <w:r>
        <w:rPr>
          <w:spacing w:val="-15"/>
        </w:rPr>
        <w:t> </w:t>
      </w:r>
      <w:r>
        <w:rPr/>
        <w:t>V.,</w:t>
      </w:r>
      <w:r>
        <w:rPr>
          <w:spacing w:val="-15"/>
        </w:rPr>
        <w:t> </w:t>
      </w:r>
      <w:r>
        <w:rPr/>
        <w:t>Tapia</w:t>
      </w:r>
      <w:r>
        <w:rPr>
          <w:spacing w:val="-15"/>
        </w:rPr>
        <w:t> </w:t>
      </w:r>
      <w:r>
        <w:rPr/>
        <w:t>A.,</w:t>
      </w:r>
      <w:r>
        <w:rPr>
          <w:spacing w:val="-15"/>
        </w:rPr>
        <w:t> </w:t>
      </w:r>
      <w:r>
        <w:rPr/>
        <w:t>Pérez</w:t>
      </w:r>
      <w:r>
        <w:rPr>
          <w:spacing w:val="-15"/>
        </w:rPr>
        <w:t> </w:t>
      </w:r>
      <w:r>
        <w:rPr/>
        <w:t>C.,</w:t>
      </w:r>
      <w:r>
        <w:rPr>
          <w:spacing w:val="-15"/>
        </w:rPr>
        <w:t> </w:t>
      </w:r>
      <w:r>
        <w:rPr/>
        <w:t>2008.</w:t>
      </w:r>
      <w:r>
        <w:rPr>
          <w:spacing w:val="-15"/>
        </w:rPr>
        <w:t> </w:t>
      </w:r>
      <w:r>
        <w:rPr/>
        <w:t>Huertos</w:t>
      </w:r>
      <w:r>
        <w:rPr>
          <w:spacing w:val="-15"/>
        </w:rPr>
        <w:t> </w:t>
      </w:r>
      <w:r>
        <w:rPr/>
        <w:t>Familiares.</w:t>
      </w:r>
      <w:r>
        <w:rPr>
          <w:spacing w:val="-15"/>
        </w:rPr>
        <w:t> </w:t>
      </w:r>
      <w:r>
        <w:rPr/>
        <w:t>Una</w:t>
      </w:r>
      <w:r>
        <w:rPr>
          <w:spacing w:val="-15"/>
        </w:rPr>
        <w:t> </w:t>
      </w:r>
      <w:r>
        <w:rPr/>
        <w:t>experiencia</w:t>
      </w:r>
      <w:r>
        <w:rPr>
          <w:spacing w:val="-15"/>
        </w:rPr>
        <w:t> </w:t>
      </w:r>
      <w:r>
        <w:rPr/>
        <w:t>en Chancah Veracruz, Quintana Roo. Polibotánica. Núm. 25, pp.</w:t>
      </w:r>
      <w:r>
        <w:rPr>
          <w:spacing w:val="27"/>
        </w:rPr>
        <w:t> </w:t>
      </w:r>
      <w:r>
        <w:rPr/>
        <w:t>135-154.</w:t>
      </w:r>
    </w:p>
    <w:p>
      <w:pPr>
        <w:pStyle w:val="BodyText"/>
        <w:spacing w:before="11"/>
      </w:pPr>
    </w:p>
    <w:p>
      <w:pPr>
        <w:pStyle w:val="BodyText"/>
        <w:spacing w:line="249" w:lineRule="auto"/>
        <w:ind w:left="750" w:hanging="624"/>
        <w:jc w:val="both"/>
      </w:pPr>
      <w:r>
        <w:rPr/>
        <w:t>Rigat M., Garnatje T., Vallés J., 2009. Estudio etnobotánico del alto valle del río Ter (Pirineo catalán): resultados preliminares sobre la biodiversidad de los huertos familiares. Ed. Botánica pirenaico-cantábrica en el siglo XXI, Universidad de Leon, Barcelona, España. pp. 399-408.</w:t>
      </w:r>
    </w:p>
    <w:p>
      <w:pPr>
        <w:pStyle w:val="BodyText"/>
        <w:spacing w:before="11"/>
      </w:pPr>
    </w:p>
    <w:p>
      <w:pPr>
        <w:pStyle w:val="BodyText"/>
        <w:spacing w:line="249" w:lineRule="auto"/>
        <w:ind w:left="750" w:hanging="624"/>
        <w:jc w:val="both"/>
      </w:pPr>
      <w:r>
        <w:rPr/>
        <w:t>Rivas G., Rodríguez A., 2013. El huerto familiar: algunas consideraciones para su establecimiento y manejo. Una forma de contribuir a la seguridad alimentaria. CATIE.</w:t>
      </w:r>
    </w:p>
    <w:p>
      <w:pPr>
        <w:pStyle w:val="BodyText"/>
        <w:spacing w:before="11"/>
      </w:pPr>
    </w:p>
    <w:p>
      <w:pPr>
        <w:pStyle w:val="BodyText"/>
        <w:spacing w:line="249" w:lineRule="auto"/>
        <w:ind w:left="750" w:right="1" w:hanging="624"/>
        <w:jc w:val="both"/>
      </w:pPr>
      <w:r>
        <w:rPr/>
        <w:t>Rivas G., 2014. Huertos familiares para la conservación de la agrobiodiversidad, la promoción de la seguridad alimentaria y la adaptación al cambio climático. Ambientico 243: 4-9.</w:t>
      </w:r>
    </w:p>
    <w:p>
      <w:pPr>
        <w:pStyle w:val="BodyText"/>
        <w:spacing w:before="11"/>
      </w:pPr>
    </w:p>
    <w:p>
      <w:pPr>
        <w:pStyle w:val="BodyText"/>
        <w:spacing w:line="249" w:lineRule="auto"/>
        <w:ind w:left="750" w:right="1" w:hanging="624"/>
        <w:jc w:val="both"/>
      </w:pPr>
      <w:r>
        <w:rPr/>
        <w:t>Santana M., Parra M., Salvatierra E., Arce A., Montagnini F., 2013. Políticas turísticas, actores sociales y ecoturismo en la península de Yucatán. Economía, Sociedad y Territorio. Vol. XIII, núm. 43, 2013, pp. 641-674.</w:t>
      </w:r>
    </w:p>
    <w:p>
      <w:pPr>
        <w:pStyle w:val="BodyText"/>
        <w:spacing w:before="11"/>
      </w:pPr>
    </w:p>
    <w:p>
      <w:pPr>
        <w:pStyle w:val="BodyText"/>
        <w:spacing w:line="249" w:lineRule="auto"/>
        <w:ind w:left="750" w:hanging="624"/>
        <w:jc w:val="both"/>
      </w:pPr>
      <w:r>
        <w:rPr/>
        <w:t>Santana M., Navarrete D., Mateo J., 2015. Riqueza de especies en huertos caseros de tres</w:t>
      </w:r>
      <w:r>
        <w:rPr>
          <w:spacing w:val="-6"/>
        </w:rPr>
        <w:t> </w:t>
      </w:r>
      <w:r>
        <w:rPr/>
        <w:t>municipios</w:t>
      </w:r>
      <w:r>
        <w:rPr>
          <w:spacing w:val="-6"/>
        </w:rPr>
        <w:t> </w:t>
      </w:r>
      <w:r>
        <w:rPr/>
        <w:t>de</w:t>
      </w:r>
      <w:r>
        <w:rPr>
          <w:spacing w:val="-6"/>
        </w:rPr>
        <w:t> </w:t>
      </w:r>
      <w:r>
        <w:rPr/>
        <w:t>la</w:t>
      </w:r>
      <w:r>
        <w:rPr>
          <w:spacing w:val="-6"/>
        </w:rPr>
        <w:t> </w:t>
      </w:r>
      <w:r>
        <w:rPr/>
        <w:t>región</w:t>
      </w:r>
      <w:r>
        <w:rPr>
          <w:spacing w:val="-6"/>
        </w:rPr>
        <w:t> </w:t>
      </w:r>
      <w:r>
        <w:rPr/>
        <w:t>Otomí</w:t>
      </w:r>
      <w:r>
        <w:rPr>
          <w:spacing w:val="-6"/>
        </w:rPr>
        <w:t> </w:t>
      </w:r>
      <w:r>
        <w:rPr/>
        <w:t>Tepehua,</w:t>
      </w:r>
      <w:r>
        <w:rPr>
          <w:spacing w:val="-6"/>
        </w:rPr>
        <w:t> </w:t>
      </w:r>
      <w:r>
        <w:rPr/>
        <w:t>Hidalgo,</w:t>
      </w:r>
      <w:r>
        <w:rPr>
          <w:spacing w:val="-6"/>
        </w:rPr>
        <w:t> </w:t>
      </w:r>
      <w:r>
        <w:rPr/>
        <w:t>México.</w:t>
      </w:r>
      <w:r>
        <w:rPr>
          <w:spacing w:val="-6"/>
        </w:rPr>
        <w:t> </w:t>
      </w:r>
      <w:r>
        <w:rPr/>
        <w:t>En:</w:t>
      </w:r>
      <w:r>
        <w:rPr>
          <w:spacing w:val="-6"/>
        </w:rPr>
        <w:t> </w:t>
      </w:r>
      <w:r>
        <w:rPr/>
        <w:t>Montagnini</w:t>
      </w:r>
      <w:r>
        <w:rPr>
          <w:spacing w:val="-6"/>
        </w:rPr>
        <w:t> </w:t>
      </w:r>
      <w:r>
        <w:rPr/>
        <w:t>F., Somarriba E., Murgueitio E., Fassola H., Eibl B., 2015. Sistemas agroforestales. Funciones productiva, socioeconómica y ambientales.</w:t>
      </w:r>
      <w:r>
        <w:rPr>
          <w:spacing w:val="38"/>
        </w:rPr>
        <w:t> </w:t>
      </w:r>
      <w:r>
        <w:rPr/>
        <w:t>CATIE.</w:t>
      </w:r>
    </w:p>
    <w:p>
      <w:pPr>
        <w:pStyle w:val="BodyText"/>
        <w:spacing w:line="249" w:lineRule="auto" w:before="76"/>
        <w:ind w:left="750" w:right="127" w:hanging="624"/>
        <w:jc w:val="both"/>
      </w:pPr>
      <w:r>
        <w:rPr/>
        <w:br w:type="column"/>
      </w:r>
      <w:r>
        <w:rPr/>
        <w:t>Sarandón S., y Flores C., 2014. Agroecología: bases teóricas para el diseño y manejo de Agroecosistemas sustentables. Edulp.</w:t>
      </w:r>
    </w:p>
    <w:p>
      <w:pPr>
        <w:pStyle w:val="BodyText"/>
        <w:spacing w:before="11"/>
      </w:pPr>
    </w:p>
    <w:p>
      <w:pPr>
        <w:pStyle w:val="BodyText"/>
        <w:spacing w:line="249" w:lineRule="auto"/>
        <w:ind w:left="750" w:right="129" w:hanging="624"/>
        <w:jc w:val="both"/>
      </w:pPr>
      <w:r>
        <w:rPr/>
        <w:t>Toledo V. M., 2005. La memoria tradicional: la importancia Agroecológica de los saberes locales. Leisa. 20(4):16-19pp.</w:t>
      </w:r>
    </w:p>
    <w:p>
      <w:pPr>
        <w:pStyle w:val="BodyText"/>
        <w:spacing w:before="11"/>
      </w:pPr>
    </w:p>
    <w:p>
      <w:pPr>
        <w:pStyle w:val="BodyText"/>
        <w:spacing w:line="249" w:lineRule="auto"/>
        <w:ind w:left="750" w:right="127" w:hanging="624"/>
        <w:jc w:val="both"/>
      </w:pPr>
      <w:r>
        <w:rPr/>
        <w:t>Vallejo B., Osorio M., Ramírez I., Nava G., Franco S., 2013. Análisis social sobre los habitantes de la comunidad de La Peñuela, Parque Nacional Nevado de</w:t>
      </w:r>
      <w:r>
        <w:rPr>
          <w:spacing w:val="-30"/>
        </w:rPr>
        <w:t> </w:t>
      </w:r>
      <w:r>
        <w:rPr/>
        <w:t>Toluca, México. Estudios y Perspectivas en Turismo. Volumen 22, núm. 3, 2013, pp. 425 –</w:t>
      </w:r>
      <w:r>
        <w:rPr>
          <w:spacing w:val="-12"/>
        </w:rPr>
        <w:t> </w:t>
      </w:r>
      <w:r>
        <w:rPr/>
        <w:t>449.</w:t>
      </w:r>
    </w:p>
    <w:p>
      <w:pPr>
        <w:pStyle w:val="BodyText"/>
        <w:spacing w:before="11"/>
      </w:pPr>
    </w:p>
    <w:p>
      <w:pPr>
        <w:pStyle w:val="BodyText"/>
        <w:spacing w:line="249" w:lineRule="auto"/>
        <w:ind w:left="750" w:right="128" w:hanging="624"/>
        <w:jc w:val="both"/>
      </w:pPr>
      <w:r>
        <w:rPr/>
        <w:t>White L., Juan J., Chávez C., Gutiérrez J., 2013. Flora medicinal en San Nicolás, municipio de Malinalco, Estado de México. Polibótanica. Núm. 35, pp.  173-206.</w:t>
      </w:r>
    </w:p>
    <w:p>
      <w:pPr>
        <w:spacing w:after="0" w:line="249" w:lineRule="auto"/>
        <w:jc w:val="both"/>
        <w:sectPr>
          <w:type w:val="continuous"/>
          <w:pgSz w:w="18830" w:h="12760" w:orient="landscape"/>
          <w:pgMar w:top="1420" w:bottom="280" w:left="720" w:right="720"/>
          <w:cols w:num="2" w:equalWidth="0">
            <w:col w:w="7838" w:space="1577"/>
            <w:col w:w="7975"/>
          </w:cols>
        </w:sectPr>
      </w:pPr>
    </w:p>
    <w:p>
      <w:pPr>
        <w:pStyle w:val="BodyText"/>
        <w:spacing w:before="10"/>
        <w:rPr>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7694" w:right="285"/>
        <w:jc w:val="center"/>
      </w:pPr>
      <w:r>
        <w:rPr>
          <w:spacing w:val="-5"/>
        </w:rPr>
        <w:t>Distribución espacial </w:t>
      </w:r>
      <w:r>
        <w:rPr>
          <w:spacing w:val="-3"/>
        </w:rPr>
        <w:t>de </w:t>
      </w:r>
      <w:r>
        <w:rPr>
          <w:spacing w:val="-4"/>
        </w:rPr>
        <w:t>los </w:t>
      </w:r>
      <w:r>
        <w:rPr>
          <w:spacing w:val="-5"/>
        </w:rPr>
        <w:t>huertos familiares </w:t>
      </w:r>
      <w:r>
        <w:rPr/>
        <w:t>y </w:t>
      </w:r>
      <w:r>
        <w:rPr>
          <w:spacing w:val="-5"/>
        </w:rPr>
        <w:t>características geográficas </w:t>
      </w:r>
      <w:r>
        <w:rPr>
          <w:spacing w:val="-3"/>
        </w:rPr>
        <w:t>en </w:t>
      </w:r>
      <w:r>
        <w:rPr>
          <w:spacing w:val="-5"/>
        </w:rPr>
        <w:t>Malinalco, Tenancingo </w:t>
      </w:r>
      <w:r>
        <w:rPr/>
        <w:t>y </w:t>
      </w:r>
      <w:r>
        <w:rPr>
          <w:spacing w:val="-4"/>
        </w:rPr>
        <w:t>Villa </w:t>
      </w:r>
      <w:r>
        <w:rPr>
          <w:spacing w:val="-5"/>
        </w:rPr>
        <w:t>Guerrero.</w:t>
      </w:r>
    </w:p>
    <w:p>
      <w:pPr>
        <w:spacing w:line="240" w:lineRule="exact" w:before="0"/>
        <w:ind w:left="7563" w:right="154" w:firstLine="0"/>
        <w:jc w:val="center"/>
        <w:rPr>
          <w:b/>
          <w:sz w:val="24"/>
        </w:rPr>
      </w:pPr>
      <w:r>
        <w:rPr>
          <w:b/>
          <w:spacing w:val="-5"/>
          <w:sz w:val="24"/>
        </w:rPr>
        <w:t>Estrategia comunitaria </w:t>
      </w:r>
      <w:r>
        <w:rPr>
          <w:b/>
          <w:spacing w:val="-4"/>
          <w:sz w:val="24"/>
        </w:rPr>
        <w:t>para </w:t>
      </w:r>
      <w:r>
        <w:rPr>
          <w:b/>
          <w:spacing w:val="-5"/>
          <w:sz w:val="24"/>
        </w:rPr>
        <w:t>conservar </w:t>
      </w:r>
      <w:r>
        <w:rPr>
          <w:b/>
          <w:spacing w:val="-3"/>
          <w:sz w:val="24"/>
        </w:rPr>
        <w:t>la </w:t>
      </w:r>
      <w:r>
        <w:rPr>
          <w:b/>
          <w:spacing w:val="-5"/>
          <w:sz w:val="24"/>
        </w:rPr>
        <w:t>biodiversidad </w:t>
      </w:r>
      <w:r>
        <w:rPr>
          <w:b/>
          <w:sz w:val="24"/>
        </w:rPr>
        <w:t>y </w:t>
      </w:r>
      <w:r>
        <w:rPr>
          <w:b/>
          <w:spacing w:val="-3"/>
          <w:sz w:val="24"/>
        </w:rPr>
        <w:t>la </w:t>
      </w:r>
      <w:r>
        <w:rPr>
          <w:b/>
          <w:spacing w:val="-5"/>
          <w:sz w:val="24"/>
        </w:rPr>
        <w:t>seguridad alimentaria rural.</w:t>
      </w:r>
    </w:p>
    <w:p>
      <w:pPr>
        <w:pStyle w:val="BodyText"/>
        <w:spacing w:before="5"/>
        <w:rPr>
          <w:b/>
          <w:sz w:val="24"/>
        </w:rPr>
      </w:pPr>
    </w:p>
    <w:p>
      <w:pPr>
        <w:spacing w:line="312" w:lineRule="auto" w:before="1"/>
        <w:ind w:left="13242" w:right="128" w:hanging="208"/>
        <w:jc w:val="right"/>
        <w:rPr>
          <w:sz w:val="16"/>
        </w:rPr>
      </w:pPr>
      <w:r>
        <w:rPr>
          <w:sz w:val="16"/>
        </w:rPr>
        <w:t>Jesús Gastón Gutiérrez Cedillo</w:t>
      </w:r>
      <w:r>
        <w:rPr>
          <w:w w:val="101"/>
          <w:sz w:val="16"/>
        </w:rPr>
        <w:t> </w:t>
      </w:r>
      <w:r>
        <w:rPr>
          <w:sz w:val="16"/>
        </w:rPr>
        <w:t>Xanat Antonio Némiga</w:t>
      </w:r>
      <w:r>
        <w:rPr>
          <w:w w:val="99"/>
          <w:sz w:val="16"/>
        </w:rPr>
        <w:t> </w:t>
      </w:r>
      <w:r>
        <w:rPr>
          <w:sz w:val="16"/>
        </w:rPr>
        <w:t>Miguel Ángel Balderas Plata</w:t>
      </w:r>
    </w:p>
    <w:p>
      <w:pPr>
        <w:spacing w:line="312" w:lineRule="auto" w:before="2"/>
        <w:ind w:left="12901" w:right="128" w:hanging="299"/>
        <w:jc w:val="right"/>
        <w:rPr>
          <w:sz w:val="16"/>
        </w:rPr>
      </w:pPr>
      <w:r>
        <w:rPr>
          <w:sz w:val="16"/>
        </w:rPr>
        <w:t>Carlos Constantino Morales Méndez</w:t>
      </w:r>
      <w:r>
        <w:rPr>
          <w:w w:val="100"/>
          <w:sz w:val="16"/>
        </w:rPr>
        <w:t> </w:t>
      </w:r>
      <w:r>
        <w:rPr>
          <w:sz w:val="16"/>
        </w:rPr>
        <w:t>Maria Raimunda Araujo Santana</w:t>
      </w:r>
      <w:r>
        <w:rPr>
          <w:w w:val="98"/>
          <w:sz w:val="16"/>
        </w:rPr>
        <w:t> </w:t>
      </w:r>
      <w:r>
        <w:rPr>
          <w:sz w:val="16"/>
        </w:rPr>
        <w:t>José Isabel Juan Pérez</w:t>
      </w:r>
    </w:p>
    <w:p>
      <w:pPr>
        <w:spacing w:line="312" w:lineRule="auto" w:before="2"/>
        <w:ind w:left="13175" w:right="128" w:firstLine="497"/>
        <w:jc w:val="right"/>
        <w:rPr>
          <w:sz w:val="16"/>
        </w:rPr>
      </w:pPr>
      <w:r>
        <w:rPr>
          <w:sz w:val="16"/>
        </w:rPr>
        <w:t>Laura</w:t>
      </w:r>
      <w:r>
        <w:rPr>
          <w:spacing w:val="-2"/>
          <w:sz w:val="16"/>
        </w:rPr>
        <w:t> </w:t>
      </w:r>
      <w:r>
        <w:rPr>
          <w:sz w:val="16"/>
        </w:rPr>
        <w:t>White</w:t>
      </w:r>
      <w:r>
        <w:rPr>
          <w:spacing w:val="-2"/>
          <w:sz w:val="16"/>
        </w:rPr>
        <w:t> </w:t>
      </w:r>
      <w:r>
        <w:rPr>
          <w:sz w:val="16"/>
        </w:rPr>
        <w:t>Olascoga</w:t>
      </w:r>
      <w:r>
        <w:rPr>
          <w:w w:val="100"/>
          <w:sz w:val="16"/>
        </w:rPr>
        <w:t> </w:t>
      </w:r>
      <w:r>
        <w:rPr>
          <w:sz w:val="16"/>
        </w:rPr>
        <w:t>María Cristina</w:t>
      </w:r>
      <w:r>
        <w:rPr>
          <w:spacing w:val="-17"/>
          <w:sz w:val="16"/>
        </w:rPr>
        <w:t> </w:t>
      </w:r>
      <w:r>
        <w:rPr>
          <w:sz w:val="16"/>
        </w:rPr>
        <w:t>Chávez</w:t>
      </w:r>
      <w:r>
        <w:rPr>
          <w:spacing w:val="-9"/>
          <w:sz w:val="16"/>
        </w:rPr>
        <w:t> </w:t>
      </w:r>
      <w:r>
        <w:rPr>
          <w:sz w:val="16"/>
        </w:rPr>
        <w:t>Mejía</w:t>
      </w:r>
      <w:r>
        <w:rPr>
          <w:w w:val="97"/>
          <w:sz w:val="16"/>
        </w:rPr>
        <w:t> </w:t>
      </w:r>
      <w:r>
        <w:rPr>
          <w:sz w:val="16"/>
        </w:rPr>
        <w:t>José Emilio</w:t>
      </w:r>
      <w:r>
        <w:rPr>
          <w:spacing w:val="-7"/>
          <w:sz w:val="16"/>
        </w:rPr>
        <w:t> </w:t>
      </w:r>
      <w:r>
        <w:rPr>
          <w:sz w:val="16"/>
        </w:rPr>
        <w:t>Baró</w:t>
      </w:r>
      <w:r>
        <w:rPr>
          <w:spacing w:val="-4"/>
          <w:sz w:val="16"/>
        </w:rPr>
        <w:t> </w:t>
      </w:r>
      <w:r>
        <w:rPr>
          <w:sz w:val="16"/>
        </w:rPr>
        <w:t>Suárez</w:t>
      </w:r>
      <w:r>
        <w:rPr>
          <w:w w:val="97"/>
          <w:sz w:val="16"/>
        </w:rPr>
        <w:t> </w:t>
      </w:r>
      <w:r>
        <w:rPr>
          <w:sz w:val="16"/>
        </w:rPr>
        <w:t>José Carmen</w:t>
      </w:r>
      <w:r>
        <w:rPr>
          <w:spacing w:val="-13"/>
          <w:sz w:val="16"/>
        </w:rPr>
        <w:t> </w:t>
      </w:r>
      <w:r>
        <w:rPr>
          <w:sz w:val="16"/>
        </w:rPr>
        <w:t>García</w:t>
      </w:r>
      <w:r>
        <w:rPr>
          <w:spacing w:val="-7"/>
          <w:sz w:val="16"/>
        </w:rPr>
        <w:t> </w:t>
      </w:r>
      <w:r>
        <w:rPr>
          <w:sz w:val="16"/>
        </w:rPr>
        <w:t>Flores</w:t>
      </w:r>
      <w:r>
        <w:rPr>
          <w:w w:val="98"/>
          <w:sz w:val="16"/>
        </w:rPr>
        <w:t> </w:t>
      </w:r>
      <w:r>
        <w:rPr>
          <w:sz w:val="16"/>
        </w:rPr>
        <w:t>Alba Karla González</w:t>
      </w:r>
      <w:r>
        <w:rPr>
          <w:spacing w:val="-23"/>
          <w:sz w:val="16"/>
        </w:rPr>
        <w:t> </w:t>
      </w:r>
      <w:r>
        <w:rPr>
          <w:sz w:val="16"/>
        </w:rPr>
        <w:t>Jiménez</w:t>
      </w:r>
    </w:p>
    <w:p>
      <w:pPr>
        <w:spacing w:before="2"/>
        <w:ind w:left="0" w:right="128" w:firstLine="0"/>
        <w:jc w:val="right"/>
        <w:rPr>
          <w:sz w:val="16"/>
        </w:rPr>
      </w:pPr>
      <w:r>
        <w:rPr>
          <w:sz w:val="16"/>
        </w:rPr>
        <w:t>Universidad Autónoma del Estado de México</w:t>
      </w:r>
    </w:p>
    <w:p>
      <w:pPr>
        <w:spacing w:before="56"/>
        <w:ind w:left="0" w:right="128" w:firstLine="0"/>
        <w:jc w:val="right"/>
        <w:rPr>
          <w:sz w:val="16"/>
        </w:rPr>
      </w:pPr>
      <w:hyperlink r:id="rId204">
        <w:r>
          <w:rPr>
            <w:sz w:val="16"/>
          </w:rPr>
          <w:t>jggc1321@yahoo.com.mx</w:t>
        </w:r>
      </w:hyperlink>
    </w:p>
    <w:p>
      <w:pPr>
        <w:pStyle w:val="BodyText"/>
        <w:spacing w:before="2"/>
        <w:rPr>
          <w:sz w:val="19"/>
        </w:rPr>
      </w:pPr>
    </w:p>
    <w:p>
      <w:pPr>
        <w:pStyle w:val="Heading2"/>
        <w:ind w:left="1599" w:right="474"/>
        <w:jc w:val="center"/>
        <w:rPr>
          <w:i/>
        </w:rPr>
      </w:pPr>
      <w:r>
        <w:rPr>
          <w:i/>
        </w:rPr>
        <w:t>Resumen</w:t>
      </w:r>
    </w:p>
    <w:p>
      <w:pPr>
        <w:pStyle w:val="BodyText"/>
        <w:rPr>
          <w:b/>
          <w:i/>
          <w:sz w:val="21"/>
        </w:rPr>
      </w:pPr>
    </w:p>
    <w:p>
      <w:pPr>
        <w:pStyle w:val="BodyText"/>
        <w:spacing w:line="249" w:lineRule="auto"/>
        <w:ind w:left="7541" w:right="127" w:firstLine="170"/>
        <w:jc w:val="both"/>
      </w:pPr>
      <w:r>
        <w:rPr/>
        <w:t>El objetivo principal del estudio es evaluar la importancia de los huertos familiares, como una estrategia comunitaria para conservación de la biodiversidad y seguridad alimentaria rural; y su potencial para prevenir la vulnerabilidad ambiental y social de las familias rurales. Se estudian huertos familiares en los municipios de Malinalco, Tenancingo y Villa Guerrero, al sur del Estado de México. Se valoran los beneficios     y servicios ambientales que los huertos generan a nivel regional; y los beneficios que proporcionan sobre el ingreso y calidad de vida de las  familias</w:t>
      </w:r>
    </w:p>
    <w:p>
      <w:pPr>
        <w:pStyle w:val="BodyText"/>
        <w:spacing w:before="11"/>
      </w:pPr>
    </w:p>
    <w:p>
      <w:pPr>
        <w:pStyle w:val="BodyText"/>
        <w:spacing w:line="249" w:lineRule="auto"/>
        <w:ind w:left="7541" w:right="127" w:firstLine="170"/>
        <w:jc w:val="both"/>
      </w:pPr>
      <w:r>
        <w:rPr/>
        <w:pict>
          <v:group style="position:absolute;margin-left:696.401978pt;margin-top:168.687286pt;width:18.850pt;height:61.8pt;mso-position-horizontal-relative:page;mso-position-vertical-relative:paragraph;z-index:10312" coordorigin="13928,3374" coordsize="377,1236">
            <v:rect style="position:absolute;left:13928;top:3374;width:377;height:1236" filled="true" fillcolor="#c7c8ca" stroked="false">
              <v:fill type="solid"/>
            </v:rect>
            <v:shape style="position:absolute;left:13928;top:3374;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223</w:t>
                    </w:r>
                  </w:p>
                </w:txbxContent>
              </v:textbox>
              <w10:wrap type="none"/>
            </v:shape>
            <w10:wrap type="none"/>
          </v:group>
        </w:pict>
      </w:r>
      <w:r>
        <w:rPr/>
        <w:t>Mediante observación sistemática en campo se analizan las prácticas y técnicas de manejo agroecológico, que contribuyen a la nutrición  e ingreso familiar. Para valorar  la importancia del huerto se realizan entrevistas estructuradas, mediante Análisis FODA y Análisis bajo el Enfoque del Marco Lógico, se elaborará el diagnóstico de los huertos como una oportunidad para la seguridad alimentaria, conservación de</w:t>
      </w:r>
      <w:r>
        <w:rPr>
          <w:spacing w:val="-31"/>
        </w:rPr>
        <w:t> </w:t>
      </w:r>
      <w:r>
        <w:rPr/>
        <w:t>recursos naturales, integración familiar y cohesión social. Esto permitirá la propuesta para su manejo</w:t>
      </w:r>
      <w:r>
        <w:rPr>
          <w:spacing w:val="10"/>
        </w:rPr>
        <w:t> </w:t>
      </w:r>
      <w:r>
        <w:rPr/>
        <w:t>sustentable.</w:t>
      </w:r>
    </w:p>
    <w:p>
      <w:pPr>
        <w:spacing w:after="0" w:line="249" w:lineRule="auto"/>
        <w:jc w:val="both"/>
        <w:sectPr>
          <w:headerReference w:type="default" r:id="rId244"/>
          <w:footerReference w:type="default" r:id="rId245"/>
          <w:pgSz w:w="18830" w:h="12760" w:orient="landscape"/>
          <w:pgMar w:header="482" w:footer="0" w:top="680" w:bottom="0" w:left="2720" w:right="720"/>
        </w:sectPr>
      </w:pPr>
    </w:p>
    <w:p>
      <w:pPr>
        <w:pStyle w:val="BodyText"/>
        <w:spacing w:before="8"/>
      </w:pPr>
    </w:p>
    <w:p>
      <w:pPr>
        <w:spacing w:after="0"/>
        <w:sectPr>
          <w:headerReference w:type="default" r:id="rId246"/>
          <w:footerReference w:type="default" r:id="rId247"/>
          <w:pgSz w:w="18830" w:h="12760" w:orient="landscape"/>
          <w:pgMar w:header="522" w:footer="1036" w:top="820" w:bottom="1220" w:left="720" w:right="720"/>
        </w:sectPr>
      </w:pPr>
    </w:p>
    <w:p>
      <w:pPr>
        <w:pStyle w:val="BodyText"/>
        <w:spacing w:line="249" w:lineRule="auto" w:before="109"/>
        <w:ind w:left="130" w:firstLine="170"/>
        <w:jc w:val="both"/>
      </w:pPr>
      <w:r>
        <w:rPr/>
        <w:t>El trabajo encuentra sustento teórico en la Geografía Ambiental (Bocco, 2004), la Agroecología (Altieri, 1995; Gliessman </w:t>
      </w:r>
      <w:r>
        <w:rPr>
          <w:i/>
        </w:rPr>
        <w:t>et al</w:t>
      </w:r>
      <w:r>
        <w:rPr/>
        <w:t>., 2007; Gutiérrez, 2008, 2011, 2012), la Ecología</w:t>
      </w:r>
      <w:r>
        <w:rPr>
          <w:spacing w:val="-22"/>
        </w:rPr>
        <w:t> </w:t>
      </w:r>
      <w:r>
        <w:rPr/>
        <w:t>Cultural</w:t>
      </w:r>
      <w:r>
        <w:rPr>
          <w:spacing w:val="-22"/>
        </w:rPr>
        <w:t> </w:t>
      </w:r>
      <w:r>
        <w:rPr/>
        <w:t>(Sauer,</w:t>
      </w:r>
      <w:r>
        <w:rPr>
          <w:spacing w:val="-22"/>
        </w:rPr>
        <w:t> </w:t>
      </w:r>
      <w:r>
        <w:rPr/>
        <w:t>1925</w:t>
      </w:r>
      <w:r>
        <w:rPr>
          <w:spacing w:val="-22"/>
        </w:rPr>
        <w:t> </w:t>
      </w:r>
      <w:r>
        <w:rPr/>
        <w:t>y</w:t>
      </w:r>
      <w:r>
        <w:rPr>
          <w:spacing w:val="-22"/>
        </w:rPr>
        <w:t> </w:t>
      </w:r>
      <w:r>
        <w:rPr/>
        <w:t>Steward,</w:t>
      </w:r>
      <w:r>
        <w:rPr>
          <w:spacing w:val="-22"/>
        </w:rPr>
        <w:t> </w:t>
      </w:r>
      <w:r>
        <w:rPr/>
        <w:t>1977),</w:t>
      </w:r>
      <w:r>
        <w:rPr>
          <w:spacing w:val="-22"/>
        </w:rPr>
        <w:t> </w:t>
      </w:r>
      <w:r>
        <w:rPr/>
        <w:t>y</w:t>
      </w:r>
      <w:r>
        <w:rPr>
          <w:spacing w:val="-22"/>
        </w:rPr>
        <w:t> </w:t>
      </w:r>
      <w:r>
        <w:rPr/>
        <w:t>la</w:t>
      </w:r>
      <w:r>
        <w:rPr>
          <w:spacing w:val="-22"/>
        </w:rPr>
        <w:t> </w:t>
      </w:r>
      <w:r>
        <w:rPr/>
        <w:t>Etnobotánica</w:t>
      </w:r>
      <w:r>
        <w:rPr>
          <w:spacing w:val="-22"/>
        </w:rPr>
        <w:t> </w:t>
      </w:r>
      <w:r>
        <w:rPr/>
        <w:t>(Hernández</w:t>
      </w:r>
      <w:r>
        <w:rPr>
          <w:spacing w:val="-22"/>
        </w:rPr>
        <w:t> </w:t>
      </w:r>
      <w:r>
        <w:rPr/>
        <w:t>X.,</w:t>
      </w:r>
      <w:r>
        <w:rPr>
          <w:spacing w:val="-22"/>
        </w:rPr>
        <w:t> </w:t>
      </w:r>
      <w:r>
        <w:rPr/>
        <w:t>1976). El soporte metodológico se retoma de la Planeación Geográfica Integral (Gutiérrez, 2013)</w:t>
      </w:r>
      <w:r>
        <w:rPr>
          <w:spacing w:val="-7"/>
        </w:rPr>
        <w:t> </w:t>
      </w:r>
      <w:r>
        <w:rPr/>
        <w:t>y</w:t>
      </w:r>
      <w:r>
        <w:rPr>
          <w:spacing w:val="-7"/>
        </w:rPr>
        <w:t> </w:t>
      </w:r>
      <w:r>
        <w:rPr/>
        <w:t>el</w:t>
      </w:r>
      <w:r>
        <w:rPr>
          <w:spacing w:val="-7"/>
        </w:rPr>
        <w:t> </w:t>
      </w:r>
      <w:r>
        <w:rPr/>
        <w:t>Análisis</w:t>
      </w:r>
      <w:r>
        <w:rPr>
          <w:spacing w:val="-7"/>
        </w:rPr>
        <w:t> </w:t>
      </w:r>
      <w:r>
        <w:rPr/>
        <w:t>Espacial</w:t>
      </w:r>
      <w:r>
        <w:rPr>
          <w:spacing w:val="-7"/>
        </w:rPr>
        <w:t> </w:t>
      </w:r>
      <w:r>
        <w:rPr/>
        <w:t>(Juan</w:t>
      </w:r>
      <w:r>
        <w:rPr>
          <w:spacing w:val="-7"/>
        </w:rPr>
        <w:t> </w:t>
      </w:r>
      <w:r>
        <w:rPr/>
        <w:t>y</w:t>
      </w:r>
      <w:r>
        <w:rPr>
          <w:spacing w:val="-7"/>
        </w:rPr>
        <w:t> </w:t>
      </w:r>
      <w:r>
        <w:rPr/>
        <w:t>Madrigal,</w:t>
      </w:r>
      <w:r>
        <w:rPr>
          <w:spacing w:val="-7"/>
        </w:rPr>
        <w:t> </w:t>
      </w:r>
      <w:r>
        <w:rPr/>
        <w:t>2005).</w:t>
      </w:r>
    </w:p>
    <w:p>
      <w:pPr>
        <w:pStyle w:val="BodyText"/>
        <w:spacing w:before="11"/>
      </w:pPr>
    </w:p>
    <w:p>
      <w:pPr>
        <w:pStyle w:val="BodyText"/>
        <w:spacing w:line="249" w:lineRule="auto"/>
        <w:ind w:left="130" w:firstLine="170"/>
        <w:jc w:val="both"/>
      </w:pPr>
      <w:r>
        <w:rPr>
          <w:b/>
          <w:i/>
        </w:rPr>
        <w:t>Palabras</w:t>
      </w:r>
      <w:r>
        <w:rPr>
          <w:b/>
          <w:i/>
          <w:spacing w:val="-5"/>
        </w:rPr>
        <w:t> </w:t>
      </w:r>
      <w:r>
        <w:rPr>
          <w:b/>
          <w:i/>
        </w:rPr>
        <w:t>clave:</w:t>
      </w:r>
      <w:r>
        <w:rPr>
          <w:b/>
          <w:i/>
          <w:spacing w:val="-5"/>
        </w:rPr>
        <w:t> </w:t>
      </w:r>
      <w:r>
        <w:rPr/>
        <w:t>estrategia</w:t>
      </w:r>
      <w:r>
        <w:rPr>
          <w:spacing w:val="-5"/>
        </w:rPr>
        <w:t> </w:t>
      </w:r>
      <w:r>
        <w:rPr/>
        <w:t>comunitaria,</w:t>
      </w:r>
      <w:r>
        <w:rPr>
          <w:spacing w:val="-5"/>
        </w:rPr>
        <w:t> </w:t>
      </w:r>
      <w:r>
        <w:rPr/>
        <w:t>huertos</w:t>
      </w:r>
      <w:r>
        <w:rPr>
          <w:spacing w:val="-5"/>
        </w:rPr>
        <w:t> </w:t>
      </w:r>
      <w:r>
        <w:rPr/>
        <w:t>familiares,</w:t>
      </w:r>
      <w:r>
        <w:rPr>
          <w:spacing w:val="-5"/>
        </w:rPr>
        <w:t> </w:t>
      </w:r>
      <w:r>
        <w:rPr/>
        <w:t>sur</w:t>
      </w:r>
      <w:r>
        <w:rPr>
          <w:spacing w:val="-5"/>
        </w:rPr>
        <w:t> </w:t>
      </w:r>
      <w:r>
        <w:rPr/>
        <w:t>del</w:t>
      </w:r>
      <w:r>
        <w:rPr>
          <w:spacing w:val="-5"/>
        </w:rPr>
        <w:t> </w:t>
      </w:r>
      <w:r>
        <w:rPr/>
        <w:t>Estado</w:t>
      </w:r>
      <w:r>
        <w:rPr>
          <w:spacing w:val="-5"/>
        </w:rPr>
        <w:t> </w:t>
      </w:r>
      <w:r>
        <w:rPr/>
        <w:t>de</w:t>
      </w:r>
      <w:r>
        <w:rPr>
          <w:spacing w:val="-5"/>
        </w:rPr>
        <w:t> </w:t>
      </w:r>
      <w:r>
        <w:rPr/>
        <w:t>México, vulnerabilidad ambiental y</w:t>
      </w:r>
      <w:r>
        <w:rPr>
          <w:spacing w:val="24"/>
        </w:rPr>
        <w:t> </w:t>
      </w:r>
      <w:r>
        <w:rPr/>
        <w:t>social.</w:t>
      </w:r>
    </w:p>
    <w:p>
      <w:pPr>
        <w:pStyle w:val="BodyText"/>
      </w:pPr>
    </w:p>
    <w:p>
      <w:pPr>
        <w:pStyle w:val="BodyText"/>
        <w:spacing w:before="5"/>
        <w:rPr>
          <w:sz w:val="21"/>
        </w:rPr>
      </w:pPr>
    </w:p>
    <w:p>
      <w:pPr>
        <w:pStyle w:val="Heading1"/>
        <w:spacing w:line="240" w:lineRule="exact"/>
        <w:ind w:left="1032" w:right="47" w:hanging="606"/>
      </w:pPr>
      <w:r>
        <w:rPr/>
        <w:t>Family Orchards: Community Strategy to Conserve Biodiversity, Alimentary Rural Security and to Prevent Social and</w:t>
      </w:r>
    </w:p>
    <w:p>
      <w:pPr>
        <w:spacing w:line="243" w:lineRule="exact" w:before="0"/>
        <w:ind w:left="2508" w:right="-7" w:firstLine="0"/>
        <w:jc w:val="left"/>
        <w:rPr>
          <w:b/>
          <w:sz w:val="24"/>
        </w:rPr>
      </w:pPr>
      <w:r>
        <w:rPr>
          <w:b/>
          <w:w w:val="95"/>
          <w:sz w:val="24"/>
        </w:rPr>
        <w:t>Environmental  Vulnerability</w:t>
      </w:r>
    </w:p>
    <w:p>
      <w:pPr>
        <w:pStyle w:val="Heading2"/>
        <w:spacing w:before="204"/>
        <w:ind w:right="-7"/>
        <w:rPr>
          <w:i/>
        </w:rPr>
      </w:pPr>
      <w:r>
        <w:rPr>
          <w:i/>
        </w:rPr>
        <w:t>Summary</w:t>
      </w:r>
    </w:p>
    <w:p>
      <w:pPr>
        <w:pStyle w:val="BodyText"/>
        <w:rPr>
          <w:b/>
          <w:i/>
          <w:sz w:val="21"/>
        </w:rPr>
      </w:pPr>
    </w:p>
    <w:p>
      <w:pPr>
        <w:pStyle w:val="BodyText"/>
        <w:spacing w:line="249" w:lineRule="auto"/>
        <w:ind w:left="101" w:firstLine="170"/>
        <w:jc w:val="right"/>
      </w:pPr>
      <w:r>
        <w:rPr/>
        <w:t>The main objective of the study is to evaluate the importance of family orchards, as a</w:t>
      </w:r>
      <w:r>
        <w:rPr>
          <w:w w:val="96"/>
        </w:rPr>
        <w:t> </w:t>
      </w:r>
      <w:r>
        <w:rPr/>
        <w:t>community strategy for biodiversity conservation and alimentary rural security; and their</w:t>
      </w:r>
      <w:r>
        <w:rPr>
          <w:w w:val="100"/>
        </w:rPr>
        <w:t> </w:t>
      </w:r>
      <w:r>
        <w:rPr/>
        <w:t>potential to prevent rural family’s social and environmental vulnerability. Are studied</w:t>
      </w:r>
      <w:r>
        <w:rPr>
          <w:w w:val="102"/>
        </w:rPr>
        <w:t> </w:t>
      </w:r>
      <w:r>
        <w:rPr/>
        <w:t>familiar orchards at municipalities of Malinalco, Tenancingo and Villa  Guerrero, State</w:t>
      </w:r>
      <w:r>
        <w:rPr>
          <w:w w:val="100"/>
        </w:rPr>
        <w:t> </w:t>
      </w:r>
      <w:r>
        <w:rPr/>
        <w:t>of México. Are valued benefits and environmental services generated by the orchards</w:t>
      </w:r>
      <w:r>
        <w:rPr>
          <w:w w:val="101"/>
        </w:rPr>
        <w:t> </w:t>
      </w:r>
      <w:r>
        <w:rPr/>
        <w:t>at the regional level; and the benefits that provide income and quality of life to  families.</w:t>
      </w:r>
    </w:p>
    <w:p>
      <w:pPr>
        <w:pStyle w:val="BodyText"/>
        <w:spacing w:before="11"/>
      </w:pPr>
    </w:p>
    <w:p>
      <w:pPr>
        <w:pStyle w:val="BodyText"/>
        <w:spacing w:line="249" w:lineRule="auto"/>
        <w:ind w:left="130" w:firstLine="170"/>
        <w:jc w:val="both"/>
      </w:pPr>
      <w:r>
        <w:rPr/>
        <w:t>Through systematic observation in field, are analyzed the practices and techniques  of agro ecological management, that contribute to nutrition and household income. To assess the importance of the orchard, structured interviews are carried out; through SWOT Analysis and analysis under the Logical Framework Approach, drawn up the diagnosis of the orchards, as an opportunity for food security, conservation of natural resources, family integration and social cohesion. This will enable the proposal for their sustainable</w:t>
      </w:r>
      <w:r>
        <w:rPr>
          <w:spacing w:val="6"/>
        </w:rPr>
        <w:t> </w:t>
      </w:r>
      <w:r>
        <w:rPr/>
        <w:t>management.</w:t>
      </w:r>
    </w:p>
    <w:p>
      <w:pPr>
        <w:pStyle w:val="BodyText"/>
        <w:spacing w:before="11"/>
      </w:pPr>
    </w:p>
    <w:p>
      <w:pPr>
        <w:pStyle w:val="BodyText"/>
        <w:spacing w:line="249" w:lineRule="auto"/>
        <w:ind w:left="130" w:firstLine="170"/>
        <w:jc w:val="both"/>
      </w:pPr>
      <w:r>
        <w:rPr/>
        <w:t>The work is theoretical support in Environmental Geography (Bocco, 2004), Agroecology</w:t>
      </w:r>
      <w:r>
        <w:rPr>
          <w:spacing w:val="-18"/>
        </w:rPr>
        <w:t> </w:t>
      </w:r>
      <w:r>
        <w:rPr/>
        <w:t>(Altieri,</w:t>
      </w:r>
      <w:r>
        <w:rPr>
          <w:spacing w:val="-18"/>
        </w:rPr>
        <w:t> </w:t>
      </w:r>
      <w:r>
        <w:rPr/>
        <w:t>1995;</w:t>
      </w:r>
      <w:r>
        <w:rPr>
          <w:spacing w:val="-18"/>
        </w:rPr>
        <w:t> </w:t>
      </w:r>
      <w:r>
        <w:rPr/>
        <w:t>Gliessman</w:t>
      </w:r>
      <w:r>
        <w:rPr>
          <w:spacing w:val="-18"/>
        </w:rPr>
        <w:t> </w:t>
      </w:r>
      <w:r>
        <w:rPr>
          <w:i/>
        </w:rPr>
        <w:t>et</w:t>
      </w:r>
      <w:r>
        <w:rPr>
          <w:i/>
          <w:spacing w:val="-18"/>
        </w:rPr>
        <w:t> </w:t>
      </w:r>
      <w:r>
        <w:rPr>
          <w:i/>
        </w:rPr>
        <w:t>al</w:t>
      </w:r>
      <w:r>
        <w:rPr/>
        <w:t>.,</w:t>
      </w:r>
      <w:r>
        <w:rPr>
          <w:spacing w:val="-18"/>
        </w:rPr>
        <w:t> </w:t>
      </w:r>
      <w:r>
        <w:rPr/>
        <w:t>2007;</w:t>
      </w:r>
      <w:r>
        <w:rPr>
          <w:spacing w:val="-18"/>
        </w:rPr>
        <w:t> </w:t>
      </w:r>
      <w:r>
        <w:rPr/>
        <w:t>Gutiérrez,</w:t>
      </w:r>
      <w:r>
        <w:rPr>
          <w:spacing w:val="-18"/>
        </w:rPr>
        <w:t> </w:t>
      </w:r>
      <w:r>
        <w:rPr/>
        <w:t>2008,</w:t>
      </w:r>
      <w:r>
        <w:rPr>
          <w:spacing w:val="-18"/>
        </w:rPr>
        <w:t> </w:t>
      </w:r>
      <w:r>
        <w:rPr/>
        <w:t>2011,</w:t>
      </w:r>
      <w:r>
        <w:rPr>
          <w:spacing w:val="-18"/>
        </w:rPr>
        <w:t> </w:t>
      </w:r>
      <w:r>
        <w:rPr/>
        <w:t>2012),</w:t>
      </w:r>
      <w:r>
        <w:rPr>
          <w:spacing w:val="21"/>
        </w:rPr>
        <w:t> </w:t>
      </w:r>
      <w:r>
        <w:rPr/>
        <w:t>Cultural Ecology (Sauer, 1925 and Steward, 1977), Etnobothanics (Hernández X., 1976). The methodological support takes the Integral Geographical Planning (Gutiérrez, 2013)</w:t>
      </w:r>
      <w:r>
        <w:rPr>
          <w:spacing w:val="-11"/>
        </w:rPr>
        <w:t> </w:t>
      </w:r>
      <w:r>
        <w:rPr/>
        <w:t>And Spatial Analysis (Juan and Madrigal,</w:t>
      </w:r>
      <w:r>
        <w:rPr>
          <w:spacing w:val="-20"/>
        </w:rPr>
        <w:t> </w:t>
      </w:r>
      <w:r>
        <w:rPr/>
        <w:t>2005).</w:t>
      </w:r>
    </w:p>
    <w:p>
      <w:pPr>
        <w:pStyle w:val="BodyText"/>
        <w:spacing w:before="11"/>
      </w:pPr>
    </w:p>
    <w:p>
      <w:pPr>
        <w:pStyle w:val="BodyText"/>
        <w:spacing w:line="249" w:lineRule="auto"/>
        <w:ind w:left="130" w:firstLine="170"/>
        <w:jc w:val="both"/>
      </w:pPr>
      <w:r>
        <w:rPr>
          <w:b/>
        </w:rPr>
        <w:t>Key words: </w:t>
      </w:r>
      <w:r>
        <w:rPr/>
        <w:t>comunitary strategy, familiar orchards, south of the State of México, social and environmental vulnerability.</w:t>
      </w:r>
    </w:p>
    <w:p>
      <w:pPr>
        <w:pStyle w:val="Heading1"/>
        <w:spacing w:before="71"/>
        <w:ind w:right="113"/>
      </w:pPr>
      <w:r>
        <w:rPr>
          <w:b w:val="0"/>
        </w:rPr>
        <w:br w:type="column"/>
      </w:r>
      <w:r>
        <w:rPr/>
        <w:t>Introducción</w:t>
      </w:r>
    </w:p>
    <w:p>
      <w:pPr>
        <w:pStyle w:val="BodyText"/>
        <w:rPr>
          <w:b/>
          <w:sz w:val="21"/>
        </w:rPr>
      </w:pPr>
    </w:p>
    <w:p>
      <w:pPr>
        <w:pStyle w:val="BodyText"/>
        <w:spacing w:line="249" w:lineRule="auto"/>
        <w:ind w:left="130" w:right="116" w:firstLine="170"/>
        <w:jc w:val="both"/>
      </w:pPr>
      <w:r>
        <w:rPr/>
        <w:t>Una necesidad estrechamente ligada con la vivienda es la alimentación que con la agricultura y ganadería han constituido una fuente de comida alterna y disponible. A lo largo de la historia, diferentes culturas han establecido sistemas que les permitan</w:t>
      </w:r>
      <w:r>
        <w:rPr>
          <w:spacing w:val="-27"/>
        </w:rPr>
        <w:t> </w:t>
      </w:r>
      <w:r>
        <w:rPr/>
        <w:t>tener alimento</w:t>
      </w:r>
      <w:r>
        <w:rPr>
          <w:spacing w:val="-11"/>
        </w:rPr>
        <w:t> </w:t>
      </w:r>
      <w:r>
        <w:rPr/>
        <w:t>disponible</w:t>
      </w:r>
      <w:r>
        <w:rPr>
          <w:spacing w:val="-11"/>
        </w:rPr>
        <w:t> </w:t>
      </w:r>
      <w:r>
        <w:rPr/>
        <w:t>cerca</w:t>
      </w:r>
      <w:r>
        <w:rPr>
          <w:spacing w:val="-11"/>
        </w:rPr>
        <w:t> </w:t>
      </w:r>
      <w:r>
        <w:rPr/>
        <w:t>de</w:t>
      </w:r>
      <w:r>
        <w:rPr>
          <w:spacing w:val="-11"/>
        </w:rPr>
        <w:t> </w:t>
      </w:r>
      <w:r>
        <w:rPr/>
        <w:t>sus</w:t>
      </w:r>
      <w:r>
        <w:rPr>
          <w:spacing w:val="-11"/>
        </w:rPr>
        <w:t> </w:t>
      </w:r>
      <w:r>
        <w:rPr/>
        <w:t>casas.</w:t>
      </w:r>
      <w:r>
        <w:rPr>
          <w:spacing w:val="-11"/>
        </w:rPr>
        <w:t> </w:t>
      </w:r>
      <w:r>
        <w:rPr/>
        <w:t>Los</w:t>
      </w:r>
      <w:r>
        <w:rPr>
          <w:spacing w:val="-11"/>
        </w:rPr>
        <w:t> </w:t>
      </w:r>
      <w:r>
        <w:rPr/>
        <w:t>huertos</w:t>
      </w:r>
      <w:r>
        <w:rPr>
          <w:spacing w:val="-11"/>
        </w:rPr>
        <w:t> </w:t>
      </w:r>
      <w:r>
        <w:rPr/>
        <w:t>suelen</w:t>
      </w:r>
      <w:r>
        <w:rPr>
          <w:spacing w:val="-11"/>
        </w:rPr>
        <w:t> </w:t>
      </w:r>
      <w:r>
        <w:rPr/>
        <w:t>ser</w:t>
      </w:r>
      <w:r>
        <w:rPr>
          <w:spacing w:val="-11"/>
        </w:rPr>
        <w:t> </w:t>
      </w:r>
      <w:r>
        <w:rPr/>
        <w:t>espacios</w:t>
      </w:r>
      <w:r>
        <w:rPr>
          <w:spacing w:val="-11"/>
        </w:rPr>
        <w:t> </w:t>
      </w:r>
      <w:r>
        <w:rPr/>
        <w:t>contiguos</w:t>
      </w:r>
      <w:r>
        <w:rPr>
          <w:spacing w:val="-11"/>
        </w:rPr>
        <w:t> </w:t>
      </w:r>
      <w:r>
        <w:rPr/>
        <w:t>a</w:t>
      </w:r>
      <w:r>
        <w:rPr>
          <w:spacing w:val="-11"/>
        </w:rPr>
        <w:t> </w:t>
      </w:r>
      <w:r>
        <w:rPr/>
        <w:t>las residencias de sus propietarios (Vogl </w:t>
      </w:r>
      <w:r>
        <w:rPr>
          <w:i/>
        </w:rPr>
        <w:t>et al</w:t>
      </w:r>
      <w:r>
        <w:rPr/>
        <w:t>. 2004) aunque algunas veces se encuentren a una cierta distancia de las mismas. Se trata de espacios complejos donde convergen numerosos elementos culturales, ecológicos, sociales y económicos (Gispert </w:t>
      </w:r>
      <w:r>
        <w:rPr>
          <w:i/>
        </w:rPr>
        <w:t>et al</w:t>
      </w:r>
      <w:r>
        <w:rPr/>
        <w:t>. 2004). Según Kumar y Nair (2006) este tipo de sistemas de producción han sido localizados en Asia, África oriental y América central. En Mesoamérica hogar de la civilización Maya, quienes durante siglos practicaron sistemas agrícolas sustentables, implicaban muchos cultivos nativos, estrategias de conservación del suelo, así como productos de alto valor para generar</w:t>
      </w:r>
      <w:r>
        <w:rPr>
          <w:spacing w:val="42"/>
        </w:rPr>
        <w:t> </w:t>
      </w:r>
      <w:r>
        <w:rPr/>
        <w:t>ingresos.</w:t>
      </w:r>
    </w:p>
    <w:p>
      <w:pPr>
        <w:pStyle w:val="BodyText"/>
        <w:spacing w:before="8"/>
        <w:rPr>
          <w:sz w:val="17"/>
        </w:rPr>
      </w:pPr>
    </w:p>
    <w:p>
      <w:pPr>
        <w:pStyle w:val="Heading1"/>
        <w:ind w:right="113"/>
      </w:pPr>
      <w:r>
        <w:rPr/>
        <w:t>Las preguntas de investigación se presentan a continuación:</w:t>
      </w:r>
    </w:p>
    <w:p>
      <w:pPr>
        <w:pStyle w:val="BodyText"/>
        <w:rPr>
          <w:b/>
          <w:sz w:val="21"/>
        </w:rPr>
      </w:pPr>
    </w:p>
    <w:p>
      <w:pPr>
        <w:pStyle w:val="ListParagraph"/>
        <w:numPr>
          <w:ilvl w:val="1"/>
          <w:numId w:val="17"/>
        </w:numPr>
        <w:tabs>
          <w:tab w:pos="661" w:val="left" w:leader="none"/>
        </w:tabs>
        <w:spacing w:line="249" w:lineRule="auto" w:before="0" w:after="0"/>
        <w:ind w:left="660" w:right="117" w:hanging="360"/>
        <w:jc w:val="left"/>
        <w:rPr>
          <w:sz w:val="20"/>
        </w:rPr>
      </w:pPr>
      <w:r>
        <w:rPr>
          <w:sz w:val="20"/>
        </w:rPr>
        <w:t>¿Cuáles son las características físico-geográficas, socioeconómicas y culturales de las familias que cultivan huertos</w:t>
      </w:r>
      <w:r>
        <w:rPr>
          <w:spacing w:val="17"/>
          <w:sz w:val="20"/>
        </w:rPr>
        <w:t> </w:t>
      </w:r>
      <w:r>
        <w:rPr>
          <w:sz w:val="20"/>
        </w:rPr>
        <w:t>familiares?</w:t>
      </w:r>
    </w:p>
    <w:p>
      <w:pPr>
        <w:pStyle w:val="ListParagraph"/>
        <w:numPr>
          <w:ilvl w:val="1"/>
          <w:numId w:val="17"/>
        </w:numPr>
        <w:tabs>
          <w:tab w:pos="661" w:val="left" w:leader="none"/>
        </w:tabs>
        <w:spacing w:line="249" w:lineRule="auto" w:before="1" w:after="0"/>
        <w:ind w:left="660" w:right="117" w:hanging="360"/>
        <w:jc w:val="left"/>
        <w:rPr>
          <w:sz w:val="20"/>
        </w:rPr>
      </w:pPr>
      <w:r>
        <w:rPr>
          <w:sz w:val="20"/>
        </w:rPr>
        <w:t>¿Cómo es la distribución y frecuencia de los huertos familiares en las doce localidades</w:t>
      </w:r>
      <w:r>
        <w:rPr>
          <w:spacing w:val="24"/>
          <w:sz w:val="20"/>
        </w:rPr>
        <w:t> </w:t>
      </w:r>
      <w:r>
        <w:rPr>
          <w:sz w:val="20"/>
        </w:rPr>
        <w:t>estudiadas?</w:t>
      </w:r>
    </w:p>
    <w:p>
      <w:pPr>
        <w:pStyle w:val="ListParagraph"/>
        <w:numPr>
          <w:ilvl w:val="1"/>
          <w:numId w:val="17"/>
        </w:numPr>
        <w:tabs>
          <w:tab w:pos="661" w:val="left" w:leader="none"/>
        </w:tabs>
        <w:spacing w:line="249" w:lineRule="auto" w:before="1" w:after="0"/>
        <w:ind w:left="660" w:right="118" w:hanging="360"/>
        <w:jc w:val="left"/>
        <w:rPr>
          <w:sz w:val="20"/>
        </w:rPr>
      </w:pPr>
      <w:r>
        <w:rPr>
          <w:sz w:val="20"/>
        </w:rPr>
        <w:t>¿Cuáles son los potenciales y limitaciones que presentan los huertos familiares</w:t>
      </w:r>
      <w:r>
        <w:rPr>
          <w:spacing w:val="-14"/>
          <w:sz w:val="20"/>
        </w:rPr>
        <w:t> </w:t>
      </w:r>
      <w:r>
        <w:rPr>
          <w:sz w:val="20"/>
        </w:rPr>
        <w:t>y las familias que los</w:t>
      </w:r>
      <w:r>
        <w:rPr>
          <w:spacing w:val="13"/>
          <w:sz w:val="20"/>
        </w:rPr>
        <w:t> </w:t>
      </w:r>
      <w:r>
        <w:rPr>
          <w:sz w:val="20"/>
        </w:rPr>
        <w:t>cultivan?</w:t>
      </w:r>
    </w:p>
    <w:p>
      <w:pPr>
        <w:pStyle w:val="ListParagraph"/>
        <w:numPr>
          <w:ilvl w:val="1"/>
          <w:numId w:val="17"/>
        </w:numPr>
        <w:tabs>
          <w:tab w:pos="661" w:val="left" w:leader="none"/>
        </w:tabs>
        <w:spacing w:line="249" w:lineRule="auto" w:before="1" w:after="0"/>
        <w:ind w:left="660" w:right="117" w:hanging="360"/>
        <w:jc w:val="both"/>
        <w:rPr>
          <w:sz w:val="20"/>
        </w:rPr>
      </w:pPr>
      <w:r>
        <w:rPr>
          <w:sz w:val="20"/>
        </w:rPr>
        <w:t>¿Cuáles son los productos tangibles, los servicios intangibles que las familias rurales obtienen de la AEHF, así como los beneficios sociales derivados de la permanencia de los Agro ecosistemas con Huertos</w:t>
      </w:r>
      <w:r>
        <w:rPr>
          <w:spacing w:val="27"/>
          <w:sz w:val="20"/>
        </w:rPr>
        <w:t> </w:t>
      </w:r>
      <w:r>
        <w:rPr>
          <w:sz w:val="20"/>
        </w:rPr>
        <w:t>Familiares?</w:t>
      </w:r>
    </w:p>
    <w:p>
      <w:pPr>
        <w:pStyle w:val="BodyText"/>
      </w:pPr>
    </w:p>
    <w:p>
      <w:pPr>
        <w:pStyle w:val="BodyText"/>
        <w:spacing w:before="6"/>
        <w:rPr>
          <w:sz w:val="18"/>
        </w:rPr>
      </w:pPr>
    </w:p>
    <w:p>
      <w:pPr>
        <w:pStyle w:val="Heading1"/>
        <w:ind w:right="113"/>
      </w:pPr>
      <w:r>
        <w:rPr/>
        <w:t>La hipótesis de trabajo establece que:</w:t>
      </w:r>
    </w:p>
    <w:p>
      <w:pPr>
        <w:pStyle w:val="BodyText"/>
        <w:rPr>
          <w:b/>
          <w:sz w:val="21"/>
        </w:rPr>
      </w:pPr>
    </w:p>
    <w:p>
      <w:pPr>
        <w:pStyle w:val="BodyText"/>
        <w:spacing w:line="249" w:lineRule="auto"/>
        <w:ind w:left="130" w:right="117" w:firstLine="170"/>
        <w:jc w:val="both"/>
      </w:pPr>
      <w:r>
        <w:rPr/>
        <w:t>El análisis espacial y agroecológico de los huertos familiares en la zona de estudio, permite</w:t>
      </w:r>
      <w:r>
        <w:rPr>
          <w:spacing w:val="-19"/>
        </w:rPr>
        <w:t> </w:t>
      </w:r>
      <w:r>
        <w:rPr/>
        <w:t>determinar</w:t>
      </w:r>
      <w:r>
        <w:rPr>
          <w:spacing w:val="-19"/>
        </w:rPr>
        <w:t> </w:t>
      </w:r>
      <w:r>
        <w:rPr/>
        <w:t>la</w:t>
      </w:r>
      <w:r>
        <w:rPr>
          <w:spacing w:val="-19"/>
        </w:rPr>
        <w:t> </w:t>
      </w:r>
      <w:r>
        <w:rPr>
          <w:spacing w:val="2"/>
        </w:rPr>
        <w:t>importanciay</w:t>
      </w:r>
      <w:r>
        <w:rPr>
          <w:spacing w:val="-19"/>
        </w:rPr>
        <w:t> </w:t>
      </w:r>
      <w:r>
        <w:rPr/>
        <w:t>permanencia</w:t>
      </w:r>
      <w:r>
        <w:rPr>
          <w:spacing w:val="-19"/>
        </w:rPr>
        <w:t> </w:t>
      </w:r>
      <w:r>
        <w:rPr/>
        <w:t>de</w:t>
      </w:r>
      <w:r>
        <w:rPr>
          <w:spacing w:val="-19"/>
        </w:rPr>
        <w:t> </w:t>
      </w:r>
      <w:r>
        <w:rPr/>
        <w:t>esta</w:t>
      </w:r>
      <w:r>
        <w:rPr>
          <w:spacing w:val="-19"/>
        </w:rPr>
        <w:t> </w:t>
      </w:r>
      <w:r>
        <w:rPr/>
        <w:t>tradiciónfamiliar</w:t>
      </w:r>
      <w:r>
        <w:rPr>
          <w:spacing w:val="-19"/>
        </w:rPr>
        <w:t> </w:t>
      </w:r>
      <w:r>
        <w:rPr/>
        <w:t>agroecológica, para</w:t>
      </w:r>
      <w:r>
        <w:rPr>
          <w:spacing w:val="-7"/>
        </w:rPr>
        <w:t> </w:t>
      </w:r>
      <w:r>
        <w:rPr/>
        <w:t>la</w:t>
      </w:r>
      <w:r>
        <w:rPr>
          <w:spacing w:val="-7"/>
        </w:rPr>
        <w:t> </w:t>
      </w:r>
      <w:r>
        <w:rPr/>
        <w:t>conservación</w:t>
      </w:r>
      <w:r>
        <w:rPr>
          <w:spacing w:val="-7"/>
        </w:rPr>
        <w:t> </w:t>
      </w:r>
      <w:r>
        <w:rPr/>
        <w:t>de</w:t>
      </w:r>
      <w:r>
        <w:rPr>
          <w:spacing w:val="-7"/>
        </w:rPr>
        <w:t> </w:t>
      </w:r>
      <w:r>
        <w:rPr/>
        <w:t>los</w:t>
      </w:r>
      <w:r>
        <w:rPr>
          <w:spacing w:val="-7"/>
        </w:rPr>
        <w:t> </w:t>
      </w:r>
      <w:r>
        <w:rPr/>
        <w:t>recursos</w:t>
      </w:r>
      <w:r>
        <w:rPr>
          <w:spacing w:val="-7"/>
        </w:rPr>
        <w:t> </w:t>
      </w:r>
      <w:r>
        <w:rPr/>
        <w:t>naturales</w:t>
      </w:r>
      <w:r>
        <w:rPr>
          <w:spacing w:val="-7"/>
        </w:rPr>
        <w:t> </w:t>
      </w:r>
      <w:r>
        <w:rPr/>
        <w:t>locales,</w:t>
      </w:r>
      <w:r>
        <w:rPr>
          <w:spacing w:val="-7"/>
        </w:rPr>
        <w:t> </w:t>
      </w:r>
      <w:r>
        <w:rPr/>
        <w:t>para</w:t>
      </w:r>
      <w:r>
        <w:rPr>
          <w:spacing w:val="-7"/>
        </w:rPr>
        <w:t> </w:t>
      </w:r>
      <w:r>
        <w:rPr/>
        <w:t>la</w:t>
      </w:r>
      <w:r>
        <w:rPr>
          <w:spacing w:val="-7"/>
        </w:rPr>
        <w:t> </w:t>
      </w:r>
      <w:r>
        <w:rPr/>
        <w:t>seguridad</w:t>
      </w:r>
      <w:r>
        <w:rPr>
          <w:spacing w:val="-7"/>
        </w:rPr>
        <w:t> </w:t>
      </w:r>
      <w:r>
        <w:rPr/>
        <w:t>alimentaria</w:t>
      </w:r>
      <w:r>
        <w:rPr>
          <w:spacing w:val="-7"/>
        </w:rPr>
        <w:t> </w:t>
      </w:r>
      <w:r>
        <w:rPr/>
        <w:t>de las familias rurales y para disminuir su vulnerabilidad ambiental y</w:t>
      </w:r>
      <w:r>
        <w:rPr>
          <w:spacing w:val="23"/>
        </w:rPr>
        <w:t> </w:t>
      </w:r>
      <w:r>
        <w:rPr/>
        <w:t>social.</w:t>
      </w:r>
    </w:p>
    <w:p>
      <w:pPr>
        <w:pStyle w:val="BodyText"/>
        <w:spacing w:before="8"/>
        <w:rPr>
          <w:sz w:val="17"/>
        </w:rPr>
      </w:pPr>
    </w:p>
    <w:p>
      <w:pPr>
        <w:pStyle w:val="Heading1"/>
        <w:ind w:right="113"/>
      </w:pPr>
      <w:r>
        <w:rPr/>
        <w:t>Los objetivos del estudio son los siguientes:</w:t>
      </w:r>
    </w:p>
    <w:p>
      <w:pPr>
        <w:pStyle w:val="BodyText"/>
        <w:rPr>
          <w:b/>
          <w:sz w:val="21"/>
        </w:rPr>
      </w:pPr>
    </w:p>
    <w:p>
      <w:pPr>
        <w:pStyle w:val="BodyText"/>
        <w:spacing w:line="249" w:lineRule="auto"/>
        <w:ind w:left="130" w:right="117" w:firstLine="170"/>
        <w:jc w:val="both"/>
      </w:pPr>
      <w:r>
        <w:rPr/>
        <w:t>El objetivo general es evaluar la importancia de los huertos familiares como una estrategia para la conservación de la biodiversidad y para la seguridad alimentaria de las</w:t>
      </w:r>
      <w:r>
        <w:rPr>
          <w:spacing w:val="-5"/>
        </w:rPr>
        <w:t> </w:t>
      </w:r>
      <w:r>
        <w:rPr/>
        <w:t>familias</w:t>
      </w:r>
      <w:r>
        <w:rPr>
          <w:spacing w:val="-5"/>
        </w:rPr>
        <w:t> </w:t>
      </w:r>
      <w:r>
        <w:rPr/>
        <w:t>rurales</w:t>
      </w:r>
      <w:r>
        <w:rPr>
          <w:spacing w:val="-5"/>
        </w:rPr>
        <w:t> </w:t>
      </w:r>
      <w:r>
        <w:rPr/>
        <w:t>en</w:t>
      </w:r>
      <w:r>
        <w:rPr>
          <w:spacing w:val="-5"/>
        </w:rPr>
        <w:t> </w:t>
      </w:r>
      <w:r>
        <w:rPr/>
        <w:t>los</w:t>
      </w:r>
      <w:r>
        <w:rPr>
          <w:spacing w:val="-5"/>
        </w:rPr>
        <w:t> </w:t>
      </w:r>
      <w:r>
        <w:rPr/>
        <w:t>municipios</w:t>
      </w:r>
      <w:r>
        <w:rPr>
          <w:spacing w:val="-5"/>
        </w:rPr>
        <w:t> </w:t>
      </w:r>
      <w:r>
        <w:rPr/>
        <w:t>de</w:t>
      </w:r>
      <w:r>
        <w:rPr>
          <w:spacing w:val="-5"/>
        </w:rPr>
        <w:t> </w:t>
      </w:r>
      <w:r>
        <w:rPr/>
        <w:t>Malinalco,</w:t>
      </w:r>
      <w:r>
        <w:rPr>
          <w:spacing w:val="-5"/>
        </w:rPr>
        <w:t> </w:t>
      </w:r>
      <w:r>
        <w:rPr/>
        <w:t>Tenancingo</w:t>
      </w:r>
      <w:r>
        <w:rPr>
          <w:spacing w:val="-5"/>
        </w:rPr>
        <w:t> </w:t>
      </w:r>
      <w:r>
        <w:rPr/>
        <w:t>y</w:t>
      </w:r>
      <w:r>
        <w:rPr>
          <w:spacing w:val="-5"/>
        </w:rPr>
        <w:t> </w:t>
      </w:r>
      <w:r>
        <w:rPr/>
        <w:t>Villa</w:t>
      </w:r>
      <w:r>
        <w:rPr>
          <w:spacing w:val="-5"/>
        </w:rPr>
        <w:t> </w:t>
      </w:r>
      <w:r>
        <w:rPr/>
        <w:t>Guerrero,</w:t>
      </w:r>
      <w:r>
        <w:rPr>
          <w:spacing w:val="-5"/>
        </w:rPr>
        <w:t> </w:t>
      </w:r>
      <w:r>
        <w:rPr/>
        <w:t>Estado de</w:t>
      </w:r>
      <w:r>
        <w:rPr>
          <w:spacing w:val="21"/>
        </w:rPr>
        <w:t> </w:t>
      </w:r>
      <w:r>
        <w:rPr/>
        <w:t>México.</w:t>
      </w:r>
    </w:p>
    <w:p>
      <w:pPr>
        <w:spacing w:after="0" w:line="249" w:lineRule="auto"/>
        <w:jc w:val="both"/>
        <w:sectPr>
          <w:type w:val="continuous"/>
          <w:pgSz w:w="18830" w:h="12760" w:orient="landscape"/>
          <w:pgMar w:top="1420" w:bottom="280" w:left="720" w:right="720"/>
          <w:cols w:num="2" w:equalWidth="0">
            <w:col w:w="7842" w:space="1580"/>
            <w:col w:w="7968"/>
          </w:cols>
        </w:sectPr>
      </w:pPr>
    </w:p>
    <w:p>
      <w:pPr>
        <w:pStyle w:val="BodyText"/>
        <w:spacing w:before="8"/>
      </w:pPr>
    </w:p>
    <w:p>
      <w:pPr>
        <w:spacing w:after="0"/>
        <w:sectPr>
          <w:footerReference w:type="default" r:id="rId248"/>
          <w:pgSz w:w="18830" w:h="12760" w:orient="landscape"/>
          <w:pgMar w:footer="1036" w:header="522" w:top="820" w:bottom="1220" w:left="720" w:right="720"/>
        </w:sectPr>
      </w:pPr>
    </w:p>
    <w:p>
      <w:pPr>
        <w:pStyle w:val="Heading1"/>
        <w:spacing w:before="71"/>
        <w:ind w:right="-7"/>
      </w:pPr>
      <w:r>
        <w:rPr/>
        <w:t>Los objetivos específicos son:</w:t>
      </w:r>
    </w:p>
    <w:p>
      <w:pPr>
        <w:pStyle w:val="BodyText"/>
        <w:rPr>
          <w:b/>
          <w:sz w:val="21"/>
        </w:rPr>
      </w:pPr>
    </w:p>
    <w:p>
      <w:pPr>
        <w:pStyle w:val="ListParagraph"/>
        <w:numPr>
          <w:ilvl w:val="0"/>
          <w:numId w:val="18"/>
        </w:numPr>
        <w:tabs>
          <w:tab w:pos="661" w:val="left" w:leader="none"/>
        </w:tabs>
        <w:spacing w:line="249" w:lineRule="auto" w:before="0" w:after="0"/>
        <w:ind w:left="660" w:right="0" w:hanging="360"/>
        <w:jc w:val="both"/>
        <w:rPr>
          <w:sz w:val="20"/>
        </w:rPr>
      </w:pPr>
      <w:r>
        <w:rPr>
          <w:sz w:val="20"/>
        </w:rPr>
        <w:t>Realizar la caracterización físico-geográfico, socioeconómica y cultural de las familias que cultivan huertos</w:t>
      </w:r>
      <w:r>
        <w:rPr>
          <w:spacing w:val="17"/>
          <w:sz w:val="20"/>
        </w:rPr>
        <w:t> </w:t>
      </w:r>
      <w:r>
        <w:rPr>
          <w:sz w:val="20"/>
        </w:rPr>
        <w:t>familiares</w:t>
      </w:r>
    </w:p>
    <w:p>
      <w:pPr>
        <w:pStyle w:val="ListParagraph"/>
        <w:numPr>
          <w:ilvl w:val="0"/>
          <w:numId w:val="18"/>
        </w:numPr>
        <w:tabs>
          <w:tab w:pos="661" w:val="left" w:leader="none"/>
        </w:tabs>
        <w:spacing w:line="249" w:lineRule="auto" w:before="1" w:after="0"/>
        <w:ind w:left="660" w:right="1" w:hanging="360"/>
        <w:jc w:val="both"/>
        <w:rPr>
          <w:sz w:val="20"/>
        </w:rPr>
      </w:pPr>
      <w:r>
        <w:rPr>
          <w:sz w:val="20"/>
        </w:rPr>
        <w:t>Mediante</w:t>
      </w:r>
      <w:r>
        <w:rPr>
          <w:spacing w:val="-12"/>
          <w:sz w:val="20"/>
        </w:rPr>
        <w:t> </w:t>
      </w:r>
      <w:r>
        <w:rPr>
          <w:sz w:val="20"/>
        </w:rPr>
        <w:t>análisis</w:t>
      </w:r>
      <w:r>
        <w:rPr>
          <w:spacing w:val="-12"/>
          <w:sz w:val="20"/>
        </w:rPr>
        <w:t> </w:t>
      </w:r>
      <w:r>
        <w:rPr>
          <w:sz w:val="20"/>
        </w:rPr>
        <w:t>espacial,</w:t>
      </w:r>
      <w:r>
        <w:rPr>
          <w:spacing w:val="-12"/>
          <w:sz w:val="20"/>
        </w:rPr>
        <w:t> </w:t>
      </w:r>
      <w:r>
        <w:rPr>
          <w:sz w:val="20"/>
        </w:rPr>
        <w:t>determinar</w:t>
      </w:r>
      <w:r>
        <w:rPr>
          <w:spacing w:val="-12"/>
          <w:sz w:val="20"/>
        </w:rPr>
        <w:t> </w:t>
      </w:r>
      <w:r>
        <w:rPr>
          <w:sz w:val="20"/>
        </w:rPr>
        <w:t>la</w:t>
      </w:r>
      <w:r>
        <w:rPr>
          <w:spacing w:val="-12"/>
          <w:sz w:val="20"/>
        </w:rPr>
        <w:t> </w:t>
      </w:r>
      <w:r>
        <w:rPr>
          <w:sz w:val="20"/>
        </w:rPr>
        <w:t>frecuencia</w:t>
      </w:r>
      <w:r>
        <w:rPr>
          <w:spacing w:val="-13"/>
          <w:sz w:val="20"/>
        </w:rPr>
        <w:t> </w:t>
      </w:r>
      <w:r>
        <w:rPr>
          <w:sz w:val="20"/>
        </w:rPr>
        <w:t>y</w:t>
      </w:r>
      <w:r>
        <w:rPr>
          <w:spacing w:val="-12"/>
          <w:sz w:val="20"/>
        </w:rPr>
        <w:t> </w:t>
      </w:r>
      <w:r>
        <w:rPr>
          <w:sz w:val="20"/>
        </w:rPr>
        <w:t>tendencias</w:t>
      </w:r>
      <w:r>
        <w:rPr>
          <w:spacing w:val="-13"/>
          <w:sz w:val="20"/>
        </w:rPr>
        <w:t> </w:t>
      </w:r>
      <w:r>
        <w:rPr>
          <w:sz w:val="20"/>
        </w:rPr>
        <w:t>espaciales</w:t>
      </w:r>
      <w:r>
        <w:rPr>
          <w:spacing w:val="-12"/>
          <w:sz w:val="20"/>
        </w:rPr>
        <w:t> </w:t>
      </w:r>
      <w:r>
        <w:rPr>
          <w:sz w:val="20"/>
        </w:rPr>
        <w:t>de</w:t>
      </w:r>
      <w:r>
        <w:rPr>
          <w:spacing w:val="-12"/>
          <w:sz w:val="20"/>
        </w:rPr>
        <w:t> </w:t>
      </w:r>
      <w:r>
        <w:rPr>
          <w:sz w:val="20"/>
        </w:rPr>
        <w:t>la distribución</w:t>
      </w:r>
      <w:r>
        <w:rPr>
          <w:spacing w:val="-6"/>
          <w:sz w:val="20"/>
        </w:rPr>
        <w:t> </w:t>
      </w:r>
      <w:r>
        <w:rPr>
          <w:sz w:val="20"/>
        </w:rPr>
        <w:t>de</w:t>
      </w:r>
      <w:r>
        <w:rPr>
          <w:spacing w:val="-6"/>
          <w:sz w:val="20"/>
        </w:rPr>
        <w:t> </w:t>
      </w:r>
      <w:r>
        <w:rPr>
          <w:sz w:val="20"/>
        </w:rPr>
        <w:t>los</w:t>
      </w:r>
      <w:r>
        <w:rPr>
          <w:spacing w:val="-6"/>
          <w:sz w:val="20"/>
        </w:rPr>
        <w:t> </w:t>
      </w:r>
      <w:r>
        <w:rPr>
          <w:sz w:val="20"/>
        </w:rPr>
        <w:t>huertos</w:t>
      </w:r>
      <w:r>
        <w:rPr>
          <w:spacing w:val="-6"/>
          <w:sz w:val="20"/>
        </w:rPr>
        <w:t> </w:t>
      </w:r>
      <w:r>
        <w:rPr>
          <w:sz w:val="20"/>
        </w:rPr>
        <w:t>familiares</w:t>
      </w:r>
      <w:r>
        <w:rPr>
          <w:spacing w:val="-7"/>
          <w:sz w:val="20"/>
        </w:rPr>
        <w:t> </w:t>
      </w:r>
      <w:r>
        <w:rPr>
          <w:sz w:val="20"/>
        </w:rPr>
        <w:t>en</w:t>
      </w:r>
      <w:r>
        <w:rPr>
          <w:spacing w:val="-6"/>
          <w:sz w:val="20"/>
        </w:rPr>
        <w:t> </w:t>
      </w:r>
      <w:r>
        <w:rPr>
          <w:sz w:val="20"/>
        </w:rPr>
        <w:t>las</w:t>
      </w:r>
      <w:r>
        <w:rPr>
          <w:spacing w:val="-6"/>
          <w:sz w:val="20"/>
        </w:rPr>
        <w:t> </w:t>
      </w:r>
      <w:r>
        <w:rPr>
          <w:sz w:val="20"/>
        </w:rPr>
        <w:t>doce</w:t>
      </w:r>
      <w:r>
        <w:rPr>
          <w:spacing w:val="-6"/>
          <w:sz w:val="20"/>
        </w:rPr>
        <w:t> </w:t>
      </w:r>
      <w:r>
        <w:rPr>
          <w:sz w:val="20"/>
        </w:rPr>
        <w:t>localidades</w:t>
      </w:r>
      <w:r>
        <w:rPr>
          <w:spacing w:val="-6"/>
          <w:sz w:val="20"/>
        </w:rPr>
        <w:t> </w:t>
      </w:r>
      <w:r>
        <w:rPr>
          <w:sz w:val="20"/>
        </w:rPr>
        <w:t>estudiadas.</w:t>
      </w:r>
    </w:p>
    <w:p>
      <w:pPr>
        <w:pStyle w:val="ListParagraph"/>
        <w:numPr>
          <w:ilvl w:val="0"/>
          <w:numId w:val="18"/>
        </w:numPr>
        <w:tabs>
          <w:tab w:pos="661" w:val="left" w:leader="none"/>
        </w:tabs>
        <w:spacing w:line="249" w:lineRule="auto" w:before="1" w:after="0"/>
        <w:ind w:left="660" w:right="1" w:hanging="360"/>
        <w:jc w:val="both"/>
        <w:rPr>
          <w:sz w:val="20"/>
        </w:rPr>
      </w:pPr>
      <w:r>
        <w:rPr>
          <w:sz w:val="20"/>
        </w:rPr>
        <w:t>Realizar un diagnóstico sobre los potenciales y limitaciones que presentan los huertos familiares y las familias que los</w:t>
      </w:r>
      <w:r>
        <w:rPr>
          <w:spacing w:val="-14"/>
          <w:sz w:val="20"/>
        </w:rPr>
        <w:t> </w:t>
      </w:r>
      <w:r>
        <w:rPr>
          <w:sz w:val="20"/>
        </w:rPr>
        <w:t>cultivan.</w:t>
      </w:r>
    </w:p>
    <w:p>
      <w:pPr>
        <w:pStyle w:val="ListParagraph"/>
        <w:numPr>
          <w:ilvl w:val="0"/>
          <w:numId w:val="18"/>
        </w:numPr>
        <w:tabs>
          <w:tab w:pos="661" w:val="left" w:leader="none"/>
        </w:tabs>
        <w:spacing w:line="249" w:lineRule="auto" w:before="1" w:after="0"/>
        <w:ind w:left="660" w:right="0" w:hanging="360"/>
        <w:jc w:val="both"/>
        <w:rPr>
          <w:sz w:val="20"/>
        </w:rPr>
      </w:pPr>
      <w:r>
        <w:rPr>
          <w:sz w:val="20"/>
        </w:rPr>
        <w:t>Identificar los productos tangibles, los servicios intangibles que las familias rurales obtienen de la AEHF, así como los beneficios sociales derivados de la permanencia de los Agro ecosistemas con Huertos</w:t>
      </w:r>
      <w:r>
        <w:rPr>
          <w:spacing w:val="-31"/>
          <w:sz w:val="20"/>
        </w:rPr>
        <w:t> </w:t>
      </w:r>
      <w:r>
        <w:rPr>
          <w:sz w:val="20"/>
        </w:rPr>
        <w:t>Familiares.</w:t>
      </w:r>
    </w:p>
    <w:p>
      <w:pPr>
        <w:pStyle w:val="BodyText"/>
      </w:pPr>
    </w:p>
    <w:p>
      <w:pPr>
        <w:pStyle w:val="BodyText"/>
        <w:spacing w:before="6"/>
        <w:rPr>
          <w:sz w:val="18"/>
        </w:rPr>
      </w:pPr>
    </w:p>
    <w:p>
      <w:pPr>
        <w:pStyle w:val="Heading1"/>
        <w:ind w:right="-7"/>
      </w:pPr>
      <w:r>
        <w:rPr/>
        <w:t>Consideraciones Teóricas</w:t>
      </w:r>
    </w:p>
    <w:p>
      <w:pPr>
        <w:pStyle w:val="BodyText"/>
        <w:rPr>
          <w:b/>
          <w:sz w:val="21"/>
        </w:rPr>
      </w:pPr>
    </w:p>
    <w:p>
      <w:pPr>
        <w:pStyle w:val="BodyText"/>
        <w:spacing w:line="249" w:lineRule="auto"/>
        <w:ind w:left="130" w:firstLine="170"/>
        <w:jc w:val="both"/>
      </w:pPr>
      <w:r>
        <w:rPr/>
        <w:t>De</w:t>
      </w:r>
      <w:r>
        <w:rPr>
          <w:spacing w:val="-14"/>
        </w:rPr>
        <w:t> </w:t>
      </w:r>
      <w:r>
        <w:rPr/>
        <w:t>acuerdo</w:t>
      </w:r>
      <w:r>
        <w:rPr>
          <w:spacing w:val="-14"/>
        </w:rPr>
        <w:t> </w:t>
      </w:r>
      <w:r>
        <w:rPr/>
        <w:t>con</w:t>
      </w:r>
      <w:r>
        <w:rPr>
          <w:spacing w:val="-14"/>
        </w:rPr>
        <w:t> </w:t>
      </w:r>
      <w:r>
        <w:rPr/>
        <w:t>Mariaca</w:t>
      </w:r>
      <w:r>
        <w:rPr>
          <w:spacing w:val="-14"/>
        </w:rPr>
        <w:t> </w:t>
      </w:r>
      <w:r>
        <w:rPr/>
        <w:t>(2012),</w:t>
      </w:r>
      <w:r>
        <w:rPr>
          <w:spacing w:val="-14"/>
        </w:rPr>
        <w:t> </w:t>
      </w:r>
      <w:r>
        <w:rPr/>
        <w:t>los</w:t>
      </w:r>
      <w:r>
        <w:rPr>
          <w:spacing w:val="-14"/>
        </w:rPr>
        <w:t> </w:t>
      </w:r>
      <w:r>
        <w:rPr/>
        <w:t>huertos</w:t>
      </w:r>
      <w:r>
        <w:rPr>
          <w:spacing w:val="-14"/>
        </w:rPr>
        <w:t> </w:t>
      </w:r>
      <w:r>
        <w:rPr/>
        <w:t>familiares</w:t>
      </w:r>
      <w:r>
        <w:rPr>
          <w:spacing w:val="-14"/>
        </w:rPr>
        <w:t> </w:t>
      </w:r>
      <w:r>
        <w:rPr/>
        <w:t>actuales</w:t>
      </w:r>
      <w:r>
        <w:rPr>
          <w:spacing w:val="-14"/>
        </w:rPr>
        <w:t> </w:t>
      </w:r>
      <w:r>
        <w:rPr/>
        <w:t>poseen</w:t>
      </w:r>
      <w:r>
        <w:rPr>
          <w:spacing w:val="-14"/>
        </w:rPr>
        <w:t> </w:t>
      </w:r>
      <w:r>
        <w:rPr/>
        <w:t>características particulares, son espacios bien definidos y delimitados alrededor de la casa</w:t>
      </w:r>
      <w:r>
        <w:rPr>
          <w:spacing w:val="-7"/>
        </w:rPr>
        <w:t> </w:t>
      </w:r>
      <w:r>
        <w:rPr/>
        <w:t>habitación, y</w:t>
      </w:r>
      <w:r>
        <w:rPr>
          <w:spacing w:val="-6"/>
        </w:rPr>
        <w:t> </w:t>
      </w:r>
      <w:r>
        <w:rPr/>
        <w:t>son</w:t>
      </w:r>
      <w:r>
        <w:rPr>
          <w:spacing w:val="-6"/>
        </w:rPr>
        <w:t> </w:t>
      </w:r>
      <w:r>
        <w:rPr/>
        <w:t>el</w:t>
      </w:r>
      <w:r>
        <w:rPr>
          <w:spacing w:val="-6"/>
        </w:rPr>
        <w:t> </w:t>
      </w:r>
      <w:r>
        <w:rPr/>
        <w:t>resultado</w:t>
      </w:r>
      <w:r>
        <w:rPr>
          <w:spacing w:val="-6"/>
        </w:rPr>
        <w:t> </w:t>
      </w:r>
      <w:r>
        <w:rPr/>
        <w:t>de</w:t>
      </w:r>
      <w:r>
        <w:rPr>
          <w:spacing w:val="-6"/>
        </w:rPr>
        <w:t> </w:t>
      </w:r>
      <w:r>
        <w:rPr/>
        <w:t>una</w:t>
      </w:r>
      <w:r>
        <w:rPr>
          <w:spacing w:val="-6"/>
        </w:rPr>
        <w:t> </w:t>
      </w:r>
      <w:r>
        <w:rPr/>
        <w:t>interrelación</w:t>
      </w:r>
      <w:r>
        <w:rPr>
          <w:spacing w:val="-6"/>
        </w:rPr>
        <w:t> </w:t>
      </w:r>
      <w:r>
        <w:rPr/>
        <w:t>entre</w:t>
      </w:r>
      <w:r>
        <w:rPr>
          <w:spacing w:val="-6"/>
        </w:rPr>
        <w:t> </w:t>
      </w:r>
      <w:r>
        <w:rPr/>
        <w:t>la</w:t>
      </w:r>
      <w:r>
        <w:rPr>
          <w:spacing w:val="-6"/>
        </w:rPr>
        <w:t> </w:t>
      </w:r>
      <w:r>
        <w:rPr/>
        <w:t>gente,</w:t>
      </w:r>
      <w:r>
        <w:rPr>
          <w:spacing w:val="-6"/>
        </w:rPr>
        <w:t> </w:t>
      </w:r>
      <w:r>
        <w:rPr/>
        <w:t>el</w:t>
      </w:r>
      <w:r>
        <w:rPr>
          <w:spacing w:val="-6"/>
        </w:rPr>
        <w:t> </w:t>
      </w:r>
      <w:r>
        <w:rPr/>
        <w:t>suelo,</w:t>
      </w:r>
      <w:r>
        <w:rPr>
          <w:spacing w:val="-6"/>
        </w:rPr>
        <w:t> </w:t>
      </w:r>
      <w:r>
        <w:rPr/>
        <w:t>agua,</w:t>
      </w:r>
      <w:r>
        <w:rPr>
          <w:spacing w:val="-6"/>
        </w:rPr>
        <w:t> </w:t>
      </w:r>
      <w:r>
        <w:rPr/>
        <w:t>animales</w:t>
      </w:r>
      <w:r>
        <w:rPr>
          <w:spacing w:val="-6"/>
        </w:rPr>
        <w:t> </w:t>
      </w:r>
      <w:r>
        <w:rPr/>
        <w:t>y</w:t>
      </w:r>
      <w:r>
        <w:rPr>
          <w:spacing w:val="-6"/>
        </w:rPr>
        <w:t> </w:t>
      </w:r>
      <w:r>
        <w:rPr/>
        <w:t>plantas (Alcorn, 2001; Gaytán y Vibrans, 2001; Juan et al., 2007). En estos sistemas, las actividades humanas influyen en las plantas cultivadas propiciando su desarrollo, y en la vegetación natural que existe en el área por medio de la selección inconsciente de especies silvestres fomentadas o toleradas (Alcorn,</w:t>
      </w:r>
      <w:r>
        <w:rPr>
          <w:spacing w:val="5"/>
        </w:rPr>
        <w:t> </w:t>
      </w:r>
      <w:r>
        <w:rPr/>
        <w:t>2001).</w:t>
      </w:r>
    </w:p>
    <w:p>
      <w:pPr>
        <w:pStyle w:val="BodyText"/>
        <w:spacing w:before="11"/>
      </w:pPr>
    </w:p>
    <w:p>
      <w:pPr>
        <w:pStyle w:val="BodyText"/>
        <w:spacing w:line="249" w:lineRule="auto"/>
        <w:ind w:left="130" w:firstLine="170"/>
        <w:jc w:val="both"/>
      </w:pPr>
      <w:r>
        <w:rPr/>
        <w:t>Los huertos familiares son terrenos donde se realiza una adaptación de especies arbóreas y arbustivas, al igual que de variedades, razas e individuos, por lo que se tiene una gran variabilidad genética (Jiménez et al., 1999). En estos sistemas se forman microclimas con árboles dando sombra, generando y produciendo hojarasca que contribuye al reciclaje de nutrimentos y mantenimiento de la fertilidad; entre otras plantas hay arbustos y herbáceas con diferentes requisitos de luz, evitando la pérdida de suelo por erosión y aumentando la captación de agua por infiltración (Gutiérrez, 2003; Martínez y Juan, 2005).</w:t>
      </w:r>
    </w:p>
    <w:p>
      <w:pPr>
        <w:pStyle w:val="BodyText"/>
        <w:spacing w:before="11"/>
      </w:pPr>
    </w:p>
    <w:p>
      <w:pPr>
        <w:pStyle w:val="BodyText"/>
        <w:spacing w:line="249" w:lineRule="auto"/>
        <w:ind w:left="130" w:firstLine="170"/>
        <w:jc w:val="both"/>
      </w:pPr>
      <w:r>
        <w:rPr/>
        <w:t>La asociación de los elementos hogar-alimento, que dan origen a los huertos familiares, los cuales proporcionan una fuente de alimentos básicos, combinaciones  de varios árboles y cultivos, en ocasiones animales domésticos, todo esto alrededor</w:t>
      </w:r>
      <w:r>
        <w:rPr>
          <w:spacing w:val="-20"/>
        </w:rPr>
        <w:t> </w:t>
      </w:r>
      <w:r>
        <w:rPr/>
        <w:t>de la vivienda. Este concepto desarrollado primordialmente en los entornos rurales y en la economía de subsistencia. Algunos nombres locales como Talun-Kebun y Pekarangan utilizados para diversos tipos de sistemas de producción en Indonesia; Shamba y Chagga</w:t>
      </w:r>
      <w:r>
        <w:rPr>
          <w:spacing w:val="-14"/>
        </w:rPr>
        <w:t> </w:t>
      </w:r>
      <w:r>
        <w:rPr/>
        <w:t>en</w:t>
      </w:r>
      <w:r>
        <w:rPr>
          <w:spacing w:val="-14"/>
        </w:rPr>
        <w:t> </w:t>
      </w:r>
      <w:r>
        <w:rPr/>
        <w:t>África</w:t>
      </w:r>
      <w:r>
        <w:rPr>
          <w:spacing w:val="-14"/>
        </w:rPr>
        <w:t> </w:t>
      </w:r>
      <w:r>
        <w:rPr/>
        <w:t>oriental</w:t>
      </w:r>
      <w:r>
        <w:rPr>
          <w:spacing w:val="-14"/>
        </w:rPr>
        <w:t> </w:t>
      </w:r>
      <w:r>
        <w:rPr/>
        <w:t>y</w:t>
      </w:r>
      <w:r>
        <w:rPr>
          <w:spacing w:val="-14"/>
        </w:rPr>
        <w:t> </w:t>
      </w:r>
      <w:r>
        <w:rPr/>
        <w:t>Huertos</w:t>
      </w:r>
      <w:r>
        <w:rPr>
          <w:spacing w:val="-14"/>
        </w:rPr>
        <w:t> </w:t>
      </w:r>
      <w:r>
        <w:rPr/>
        <w:t>Familiares</w:t>
      </w:r>
      <w:r>
        <w:rPr>
          <w:spacing w:val="-14"/>
        </w:rPr>
        <w:t> </w:t>
      </w:r>
      <w:r>
        <w:rPr/>
        <w:t>en</w:t>
      </w:r>
      <w:r>
        <w:rPr>
          <w:spacing w:val="-14"/>
        </w:rPr>
        <w:t> </w:t>
      </w:r>
      <w:r>
        <w:rPr/>
        <w:t>América</w:t>
      </w:r>
      <w:r>
        <w:rPr>
          <w:spacing w:val="-14"/>
        </w:rPr>
        <w:t> </w:t>
      </w:r>
      <w:r>
        <w:rPr/>
        <w:t>Central</w:t>
      </w:r>
      <w:r>
        <w:rPr>
          <w:spacing w:val="-14"/>
        </w:rPr>
        <w:t> </w:t>
      </w:r>
      <w:r>
        <w:rPr/>
        <w:t>(Kumar</w:t>
      </w:r>
      <w:r>
        <w:rPr>
          <w:spacing w:val="-14"/>
        </w:rPr>
        <w:t> </w:t>
      </w:r>
      <w:r>
        <w:rPr/>
        <w:t>y</w:t>
      </w:r>
      <w:r>
        <w:rPr>
          <w:spacing w:val="-14"/>
        </w:rPr>
        <w:t> </w:t>
      </w:r>
      <w:r>
        <w:rPr/>
        <w:t>Nair,</w:t>
      </w:r>
      <w:r>
        <w:rPr>
          <w:spacing w:val="-14"/>
        </w:rPr>
        <w:t> </w:t>
      </w:r>
      <w:r>
        <w:rPr/>
        <w:t>2006).</w:t>
      </w:r>
    </w:p>
    <w:p>
      <w:pPr>
        <w:pStyle w:val="BodyText"/>
        <w:spacing w:line="249" w:lineRule="auto" w:before="109"/>
        <w:ind w:left="130" w:right="127" w:firstLine="170"/>
        <w:jc w:val="both"/>
      </w:pPr>
      <w:r>
        <w:rPr/>
        <w:br w:type="column"/>
      </w:r>
      <w:r>
        <w:rPr/>
        <w:t>Se requieren “nuevas” técnicas de agricultura, prácticas de cultivo basadas en el conocimiento adecuado y profundo de los procesos ecológicos de los sistemas de producción, para enfocarlos hacia los cambios socioeconómicos que promuevan y permitan mejorar la producción del sistema, y que su renovación no esté en riesgo; promoviendo la sostenibilidad alimentaria (Gliessman et al., 2007).</w:t>
      </w:r>
    </w:p>
    <w:p>
      <w:pPr>
        <w:pStyle w:val="BodyText"/>
        <w:spacing w:before="11"/>
      </w:pPr>
    </w:p>
    <w:p>
      <w:pPr>
        <w:pStyle w:val="BodyText"/>
        <w:spacing w:line="249" w:lineRule="auto"/>
        <w:ind w:left="130" w:right="127" w:firstLine="170"/>
        <w:jc w:val="both"/>
      </w:pPr>
      <w:r>
        <w:rPr/>
        <w:t>Diferentes estudios han demostrado como el conocimiento tradicional que poseen los campesinos sobre su agricultura, son prácticas agrícolas sostenibles. Ejemplo de ello son los huertos familiares; policultivos basados en la siembra de una diversidad  de cultivos y variedades; que no dependen de insumos externos como plaguicidas, fertilizantes e irrigación artificial; poseen un reciclaje de nutrimentos; conservan la diversidad biológica, y están construidos sobre el conocimiento y la cultura tradicional (Gliessman,</w:t>
      </w:r>
      <w:r>
        <w:rPr>
          <w:spacing w:val="-10"/>
        </w:rPr>
        <w:t> </w:t>
      </w:r>
      <w:r>
        <w:rPr/>
        <w:t>2002;</w:t>
      </w:r>
      <w:r>
        <w:rPr>
          <w:spacing w:val="-10"/>
        </w:rPr>
        <w:t> </w:t>
      </w:r>
      <w:r>
        <w:rPr/>
        <w:t>Gliessman</w:t>
      </w:r>
      <w:r>
        <w:rPr>
          <w:spacing w:val="-10"/>
        </w:rPr>
        <w:t> </w:t>
      </w:r>
      <w:r>
        <w:rPr>
          <w:i/>
        </w:rPr>
        <w:t>et</w:t>
      </w:r>
      <w:r>
        <w:rPr>
          <w:i/>
          <w:spacing w:val="-10"/>
        </w:rPr>
        <w:t> </w:t>
      </w:r>
      <w:r>
        <w:rPr>
          <w:i/>
        </w:rPr>
        <w:t>al.,</w:t>
      </w:r>
      <w:r>
        <w:rPr>
          <w:i/>
          <w:spacing w:val="-10"/>
        </w:rPr>
        <w:t> </w:t>
      </w:r>
      <w:r>
        <w:rPr/>
        <w:t>2007).</w:t>
      </w:r>
    </w:p>
    <w:p>
      <w:pPr>
        <w:pStyle w:val="BodyText"/>
        <w:spacing w:before="11"/>
      </w:pPr>
    </w:p>
    <w:p>
      <w:pPr>
        <w:pStyle w:val="BodyText"/>
        <w:spacing w:line="249" w:lineRule="auto"/>
        <w:ind w:left="130" w:right="127" w:firstLine="170"/>
        <w:jc w:val="both"/>
      </w:pPr>
      <w:r>
        <w:rPr/>
        <w:t>Los huertos son agroecosistemas, a diferencia de la agricultura de monocultivo, (Rebollar</w:t>
      </w:r>
      <w:r>
        <w:rPr>
          <w:spacing w:val="-16"/>
        </w:rPr>
        <w:t> </w:t>
      </w:r>
      <w:r>
        <w:rPr>
          <w:i/>
        </w:rPr>
        <w:t>et</w:t>
      </w:r>
      <w:r>
        <w:rPr>
          <w:i/>
          <w:spacing w:val="-16"/>
        </w:rPr>
        <w:t> </w:t>
      </w:r>
      <w:r>
        <w:rPr>
          <w:i/>
        </w:rPr>
        <w:t>al</w:t>
      </w:r>
      <w:r>
        <w:rPr/>
        <w:t>.,</w:t>
      </w:r>
      <w:r>
        <w:rPr>
          <w:spacing w:val="-16"/>
        </w:rPr>
        <w:t> </w:t>
      </w:r>
      <w:r>
        <w:rPr/>
        <w:t>2008;</w:t>
      </w:r>
      <w:r>
        <w:rPr>
          <w:spacing w:val="-16"/>
        </w:rPr>
        <w:t> </w:t>
      </w:r>
      <w:r>
        <w:rPr/>
        <w:t>Mariaca,</w:t>
      </w:r>
      <w:r>
        <w:rPr>
          <w:spacing w:val="-16"/>
        </w:rPr>
        <w:t> </w:t>
      </w:r>
      <w:r>
        <w:rPr/>
        <w:t>2012),</w:t>
      </w:r>
      <w:r>
        <w:rPr>
          <w:spacing w:val="-16"/>
        </w:rPr>
        <w:t> </w:t>
      </w:r>
      <w:r>
        <w:rPr/>
        <w:t>son</w:t>
      </w:r>
      <w:r>
        <w:rPr>
          <w:spacing w:val="-16"/>
        </w:rPr>
        <w:t> </w:t>
      </w:r>
      <w:r>
        <w:rPr/>
        <w:t>ecológicamente</w:t>
      </w:r>
      <w:r>
        <w:rPr>
          <w:spacing w:val="-16"/>
        </w:rPr>
        <w:t> </w:t>
      </w:r>
      <w:r>
        <w:rPr/>
        <w:t>sustentables</w:t>
      </w:r>
      <w:r>
        <w:rPr>
          <w:spacing w:val="-16"/>
        </w:rPr>
        <w:t> </w:t>
      </w:r>
      <w:r>
        <w:rPr/>
        <w:t>y</w:t>
      </w:r>
      <w:r>
        <w:rPr>
          <w:spacing w:val="-16"/>
        </w:rPr>
        <w:t> </w:t>
      </w:r>
      <w:r>
        <w:rPr/>
        <w:t>estables</w:t>
      </w:r>
      <w:r>
        <w:rPr>
          <w:spacing w:val="-16"/>
        </w:rPr>
        <w:t> </w:t>
      </w:r>
      <w:r>
        <w:rPr/>
        <w:t>(Nair, 2001). Los productos alimenticios o de condimento que de ahí se obtienen satisfacen las necesidades básicas de la familia, proveyendo un complemento alimenticio  durante todo el año (Wezel y Bender, 2003). Así mismo, la diversidad vegetal de estos sistemas, provee de otros beneficios a las familias: plantas medicinales, condimento, plantas ceremoniales y ornamentales, productos para venta, alimento para animales domésticos, combustible, materiales para la construcción, cercos de protección y dormitorio para aves. Magaña (2012) señala que los huertos familiares son bancos    de información y almacén de plantas medicinales, hace hincapié en su conservación   y promoción dentro de las comunidades, lugares donde aún hay espacio para su ubicación.</w:t>
      </w:r>
    </w:p>
    <w:p>
      <w:pPr>
        <w:pStyle w:val="BodyText"/>
        <w:spacing w:before="11"/>
      </w:pPr>
    </w:p>
    <w:p>
      <w:pPr>
        <w:pStyle w:val="BodyText"/>
        <w:spacing w:line="249" w:lineRule="auto"/>
        <w:ind w:left="130" w:right="127" w:firstLine="170"/>
        <w:jc w:val="both"/>
      </w:pPr>
      <w:r>
        <w:rPr/>
        <w:t>Como lo muestra la figura 1, su presencia se debe a las condiciones favorables del clima, la distribución de las principales culturas y la diversidad de especies de flora y fauna sobre esta franja.</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249"/>
          <w:pgSz w:w="18830" w:h="12760" w:orient="landscape"/>
          <w:pgMar w:footer="1036" w:header="522" w:top="820" w:bottom="1220" w:left="720" w:right="720"/>
        </w:sectPr>
      </w:pPr>
    </w:p>
    <w:p>
      <w:pPr>
        <w:spacing w:before="114"/>
        <w:ind w:left="2207" w:right="2079" w:firstLine="0"/>
        <w:jc w:val="center"/>
        <w:rPr>
          <w:sz w:val="16"/>
        </w:rPr>
      </w:pPr>
      <w:r>
        <w:rPr>
          <w:color w:val="6D6E71"/>
          <w:sz w:val="16"/>
        </w:rPr>
        <w:t>Figura 1. Distribución global de huertos familiares</w:t>
      </w:r>
    </w:p>
    <w:p>
      <w:pPr>
        <w:pStyle w:val="BodyText"/>
        <w:spacing w:before="4"/>
        <w:rPr>
          <w:sz w:val="15"/>
        </w:rPr>
      </w:pPr>
      <w:r>
        <w:rPr/>
        <w:drawing>
          <wp:anchor distT="0" distB="0" distL="0" distR="0" allowOverlap="1" layoutInCell="1" locked="0" behindDoc="0" simplePos="0" relativeHeight="10336">
            <wp:simplePos x="0" y="0"/>
            <wp:positionH relativeFrom="page">
              <wp:posOffset>841463</wp:posOffset>
            </wp:positionH>
            <wp:positionV relativeFrom="paragraph">
              <wp:posOffset>137142</wp:posOffset>
            </wp:positionV>
            <wp:extent cx="4303175" cy="2139696"/>
            <wp:effectExtent l="0" t="0" r="0" b="0"/>
            <wp:wrapTopAndBottom/>
            <wp:docPr id="103" name="image70.png" descr=""/>
            <wp:cNvGraphicFramePr>
              <a:graphicFrameLocks noChangeAspect="1"/>
            </wp:cNvGraphicFramePr>
            <a:graphic>
              <a:graphicData uri="http://schemas.openxmlformats.org/drawingml/2006/picture">
                <pic:pic>
                  <pic:nvPicPr>
                    <pic:cNvPr id="104" name="image70.png"/>
                    <pic:cNvPicPr/>
                  </pic:nvPicPr>
                  <pic:blipFill>
                    <a:blip r:embed="rId250" cstate="print"/>
                    <a:stretch>
                      <a:fillRect/>
                    </a:stretch>
                  </pic:blipFill>
                  <pic:spPr>
                    <a:xfrm>
                      <a:off x="0" y="0"/>
                      <a:ext cx="4303175" cy="2139696"/>
                    </a:xfrm>
                    <a:prstGeom prst="rect">
                      <a:avLst/>
                    </a:prstGeom>
                  </pic:spPr>
                </pic:pic>
              </a:graphicData>
            </a:graphic>
          </wp:anchor>
        </w:drawing>
      </w:r>
    </w:p>
    <w:p>
      <w:pPr>
        <w:pStyle w:val="BodyText"/>
        <w:rPr>
          <w:sz w:val="16"/>
        </w:rPr>
      </w:pPr>
    </w:p>
    <w:p>
      <w:pPr>
        <w:pStyle w:val="BodyText"/>
        <w:rPr>
          <w:sz w:val="16"/>
        </w:rPr>
      </w:pPr>
    </w:p>
    <w:p>
      <w:pPr>
        <w:pStyle w:val="BodyText"/>
        <w:spacing w:before="4"/>
        <w:rPr>
          <w:sz w:val="13"/>
        </w:rPr>
      </w:pPr>
    </w:p>
    <w:p>
      <w:pPr>
        <w:spacing w:before="0"/>
        <w:ind w:left="2207" w:right="2079" w:firstLine="0"/>
        <w:jc w:val="center"/>
        <w:rPr>
          <w:sz w:val="16"/>
        </w:rPr>
      </w:pPr>
      <w:r>
        <w:rPr>
          <w:color w:val="6D6E71"/>
          <w:sz w:val="16"/>
        </w:rPr>
        <w:t>Fuente: Kumar y Nair, 2006</w:t>
      </w:r>
    </w:p>
    <w:p>
      <w:pPr>
        <w:pStyle w:val="BodyText"/>
        <w:spacing w:before="5"/>
        <w:rPr>
          <w:sz w:val="22"/>
        </w:rPr>
      </w:pPr>
    </w:p>
    <w:p>
      <w:pPr>
        <w:pStyle w:val="BodyText"/>
        <w:spacing w:line="249" w:lineRule="auto"/>
        <w:ind w:left="129" w:firstLine="170"/>
        <w:jc w:val="both"/>
      </w:pPr>
      <w:r>
        <w:rPr/>
        <w:t>La diversidad biológica y cultural de México es resultado de la forma, ubicación y topografía de su territorio, así como de las relaciones entre los grupos humanos y los ecosistemas.</w:t>
      </w:r>
      <w:r>
        <w:rPr>
          <w:spacing w:val="-26"/>
        </w:rPr>
        <w:t> </w:t>
      </w:r>
      <w:r>
        <w:rPr/>
        <w:t>Su</w:t>
      </w:r>
      <w:r>
        <w:rPr>
          <w:spacing w:val="-27"/>
        </w:rPr>
        <w:t> </w:t>
      </w:r>
      <w:r>
        <w:rPr/>
        <w:t>heterogeneidad</w:t>
      </w:r>
      <w:r>
        <w:rPr>
          <w:spacing w:val="-27"/>
        </w:rPr>
        <w:t> </w:t>
      </w:r>
      <w:r>
        <w:rPr/>
        <w:t>cultural,</w:t>
      </w:r>
      <w:r>
        <w:rPr>
          <w:spacing w:val="-27"/>
        </w:rPr>
        <w:t> </w:t>
      </w:r>
      <w:r>
        <w:rPr/>
        <w:t>social</w:t>
      </w:r>
      <w:r>
        <w:rPr>
          <w:spacing w:val="-27"/>
        </w:rPr>
        <w:t> </w:t>
      </w:r>
      <w:r>
        <w:rPr/>
        <w:t>y</w:t>
      </w:r>
      <w:r>
        <w:rPr>
          <w:spacing w:val="-27"/>
        </w:rPr>
        <w:t> </w:t>
      </w:r>
      <w:r>
        <w:rPr/>
        <w:t>económica</w:t>
      </w:r>
      <w:r>
        <w:rPr>
          <w:spacing w:val="-27"/>
        </w:rPr>
        <w:t> </w:t>
      </w:r>
      <w:r>
        <w:rPr/>
        <w:t>demanda</w:t>
      </w:r>
      <w:r>
        <w:rPr>
          <w:spacing w:val="-27"/>
        </w:rPr>
        <w:t> </w:t>
      </w:r>
      <w:r>
        <w:rPr/>
        <w:t>diferentes</w:t>
      </w:r>
      <w:r>
        <w:rPr>
          <w:spacing w:val="-26"/>
        </w:rPr>
        <w:t> </w:t>
      </w:r>
      <w:r>
        <w:rPr/>
        <w:t>formas de</w:t>
      </w:r>
      <w:r>
        <w:rPr>
          <w:spacing w:val="-14"/>
        </w:rPr>
        <w:t> </w:t>
      </w:r>
      <w:r>
        <w:rPr/>
        <w:t>uso</w:t>
      </w:r>
      <w:r>
        <w:rPr>
          <w:spacing w:val="-14"/>
        </w:rPr>
        <w:t> </w:t>
      </w:r>
      <w:r>
        <w:rPr/>
        <w:t>y</w:t>
      </w:r>
      <w:r>
        <w:rPr>
          <w:spacing w:val="-14"/>
        </w:rPr>
        <w:t> </w:t>
      </w:r>
      <w:r>
        <w:rPr/>
        <w:t>manejo</w:t>
      </w:r>
      <w:r>
        <w:rPr>
          <w:spacing w:val="-14"/>
        </w:rPr>
        <w:t> </w:t>
      </w:r>
      <w:r>
        <w:rPr/>
        <w:t>de</w:t>
      </w:r>
      <w:r>
        <w:rPr>
          <w:spacing w:val="-14"/>
        </w:rPr>
        <w:t> </w:t>
      </w:r>
      <w:r>
        <w:rPr/>
        <w:t>los</w:t>
      </w:r>
      <w:r>
        <w:rPr>
          <w:spacing w:val="-14"/>
        </w:rPr>
        <w:t> </w:t>
      </w:r>
      <w:r>
        <w:rPr/>
        <w:t>recursos</w:t>
      </w:r>
      <w:r>
        <w:rPr>
          <w:spacing w:val="-14"/>
        </w:rPr>
        <w:t> </w:t>
      </w:r>
      <w:r>
        <w:rPr/>
        <w:t>naturales</w:t>
      </w:r>
      <w:r>
        <w:rPr>
          <w:spacing w:val="-14"/>
        </w:rPr>
        <w:t> </w:t>
      </w:r>
      <w:r>
        <w:rPr/>
        <w:t>y</w:t>
      </w:r>
      <w:r>
        <w:rPr>
          <w:spacing w:val="-14"/>
        </w:rPr>
        <w:t> </w:t>
      </w:r>
      <w:r>
        <w:rPr/>
        <w:t>particulares</w:t>
      </w:r>
      <w:r>
        <w:rPr>
          <w:spacing w:val="-14"/>
        </w:rPr>
        <w:t> </w:t>
      </w:r>
      <w:r>
        <w:rPr/>
        <w:t>a</w:t>
      </w:r>
      <w:r>
        <w:rPr>
          <w:spacing w:val="-14"/>
        </w:rPr>
        <w:t> </w:t>
      </w:r>
      <w:r>
        <w:rPr/>
        <w:t>cada</w:t>
      </w:r>
      <w:r>
        <w:rPr>
          <w:spacing w:val="-14"/>
        </w:rPr>
        <w:t> </w:t>
      </w:r>
      <w:r>
        <w:rPr/>
        <w:t>caso</w:t>
      </w:r>
      <w:r>
        <w:rPr>
          <w:spacing w:val="-14"/>
        </w:rPr>
        <w:t> </w:t>
      </w:r>
      <w:r>
        <w:rPr/>
        <w:t>(CONABIO,</w:t>
      </w:r>
      <w:r>
        <w:rPr>
          <w:spacing w:val="-14"/>
        </w:rPr>
        <w:t> </w:t>
      </w:r>
      <w:r>
        <w:rPr/>
        <w:t>2006). Sin embargo, el modelo de desarrollo han inducido el deterioro del entorno ambiental impactando la calidad de vida de sus habitantes, pero sobre todo de los grupos de campesinos e indígenas, quienes dependen directamente de estos para sobrevivir, además, su pérdida deteriora la cultura ligada a su manejo y</w:t>
      </w:r>
      <w:r>
        <w:rPr>
          <w:spacing w:val="-32"/>
        </w:rPr>
        <w:t> </w:t>
      </w:r>
      <w:r>
        <w:rPr/>
        <w:t>uso.</w:t>
      </w:r>
    </w:p>
    <w:p>
      <w:pPr>
        <w:pStyle w:val="BodyText"/>
        <w:spacing w:before="11"/>
      </w:pPr>
    </w:p>
    <w:p>
      <w:pPr>
        <w:pStyle w:val="BodyText"/>
        <w:spacing w:line="249" w:lineRule="auto"/>
        <w:ind w:left="129" w:firstLine="170"/>
        <w:jc w:val="both"/>
      </w:pPr>
      <w:r>
        <w:rPr/>
        <w:t>Los</w:t>
      </w:r>
      <w:r>
        <w:rPr>
          <w:spacing w:val="-30"/>
        </w:rPr>
        <w:t> </w:t>
      </w:r>
      <w:r>
        <w:rPr/>
        <w:t>sistemas</w:t>
      </w:r>
      <w:r>
        <w:rPr>
          <w:spacing w:val="-30"/>
        </w:rPr>
        <w:t> </w:t>
      </w:r>
      <w:r>
        <w:rPr/>
        <w:t>múltiples</w:t>
      </w:r>
      <w:r>
        <w:rPr>
          <w:spacing w:val="-30"/>
        </w:rPr>
        <w:t> </w:t>
      </w:r>
      <w:r>
        <w:rPr/>
        <w:t>de</w:t>
      </w:r>
      <w:r>
        <w:rPr>
          <w:spacing w:val="-30"/>
        </w:rPr>
        <w:t> </w:t>
      </w:r>
      <w:r>
        <w:rPr/>
        <w:t>producción</w:t>
      </w:r>
      <w:r>
        <w:rPr>
          <w:spacing w:val="-30"/>
        </w:rPr>
        <w:t> </w:t>
      </w:r>
      <w:r>
        <w:rPr/>
        <w:t>campesina,</w:t>
      </w:r>
      <w:r>
        <w:rPr>
          <w:spacing w:val="-30"/>
        </w:rPr>
        <w:t> </w:t>
      </w:r>
      <w:r>
        <w:rPr/>
        <w:t>sistemas</w:t>
      </w:r>
      <w:r>
        <w:rPr>
          <w:spacing w:val="-30"/>
        </w:rPr>
        <w:t> </w:t>
      </w:r>
      <w:r>
        <w:rPr/>
        <w:t>multiuso</w:t>
      </w:r>
      <w:r>
        <w:rPr>
          <w:spacing w:val="-30"/>
        </w:rPr>
        <w:t> </w:t>
      </w:r>
      <w:r>
        <w:rPr/>
        <w:t>o</w:t>
      </w:r>
      <w:r>
        <w:rPr>
          <w:spacing w:val="-30"/>
        </w:rPr>
        <w:t> </w:t>
      </w:r>
      <w:r>
        <w:rPr/>
        <w:t>agroecosistemas tradicionales han sido una constante en las relaciones entre los seres humanos y su medio</w:t>
      </w:r>
      <w:r>
        <w:rPr>
          <w:spacing w:val="-19"/>
        </w:rPr>
        <w:t> </w:t>
      </w:r>
      <w:r>
        <w:rPr/>
        <w:t>ambiente</w:t>
      </w:r>
      <w:r>
        <w:rPr>
          <w:spacing w:val="-18"/>
        </w:rPr>
        <w:t> </w:t>
      </w:r>
      <w:r>
        <w:rPr/>
        <w:t>a</w:t>
      </w:r>
      <w:r>
        <w:rPr>
          <w:spacing w:val="-18"/>
        </w:rPr>
        <w:t> </w:t>
      </w:r>
      <w:r>
        <w:rPr/>
        <w:t>través</w:t>
      </w:r>
      <w:r>
        <w:rPr>
          <w:spacing w:val="-19"/>
        </w:rPr>
        <w:t> </w:t>
      </w:r>
      <w:r>
        <w:rPr/>
        <w:t>de</w:t>
      </w:r>
      <w:r>
        <w:rPr>
          <w:spacing w:val="-18"/>
        </w:rPr>
        <w:t> </w:t>
      </w:r>
      <w:r>
        <w:rPr/>
        <w:t>los</w:t>
      </w:r>
      <w:r>
        <w:rPr>
          <w:spacing w:val="-18"/>
        </w:rPr>
        <w:t> </w:t>
      </w:r>
      <w:r>
        <w:rPr/>
        <w:t>tiempos</w:t>
      </w:r>
      <w:r>
        <w:rPr>
          <w:spacing w:val="-19"/>
        </w:rPr>
        <w:t> </w:t>
      </w:r>
      <w:r>
        <w:rPr/>
        <w:t>en</w:t>
      </w:r>
      <w:r>
        <w:rPr>
          <w:spacing w:val="-18"/>
        </w:rPr>
        <w:t> </w:t>
      </w:r>
      <w:r>
        <w:rPr/>
        <w:t>casi</w:t>
      </w:r>
      <w:r>
        <w:rPr>
          <w:spacing w:val="-19"/>
        </w:rPr>
        <w:t> </w:t>
      </w:r>
      <w:r>
        <w:rPr/>
        <w:t>todas</w:t>
      </w:r>
      <w:r>
        <w:rPr>
          <w:spacing w:val="-19"/>
        </w:rPr>
        <w:t> </w:t>
      </w:r>
      <w:r>
        <w:rPr/>
        <w:t>las</w:t>
      </w:r>
      <w:r>
        <w:rPr>
          <w:spacing w:val="-18"/>
        </w:rPr>
        <w:t> </w:t>
      </w:r>
      <w:r>
        <w:rPr/>
        <w:t>regiones</w:t>
      </w:r>
      <w:r>
        <w:rPr>
          <w:spacing w:val="-19"/>
        </w:rPr>
        <w:t> </w:t>
      </w:r>
      <w:r>
        <w:rPr/>
        <w:t>templadas</w:t>
      </w:r>
      <w:r>
        <w:rPr>
          <w:spacing w:val="-19"/>
        </w:rPr>
        <w:t> </w:t>
      </w:r>
      <w:r>
        <w:rPr/>
        <w:t>y</w:t>
      </w:r>
      <w:r>
        <w:rPr>
          <w:spacing w:val="-18"/>
        </w:rPr>
        <w:t> </w:t>
      </w:r>
      <w:r>
        <w:rPr/>
        <w:t>tropicales del mundo. Se podría decir que son el resultado de la interacción y evolución paralela entre los ecosistemas y los diversos grupos culturales que los manejan (García </w:t>
      </w:r>
      <w:r>
        <w:rPr>
          <w:i/>
        </w:rPr>
        <w:t>et al</w:t>
      </w:r>
      <w:r>
        <w:rPr/>
        <w:t>., 2008).</w:t>
      </w:r>
      <w:r>
        <w:rPr>
          <w:spacing w:val="-15"/>
        </w:rPr>
        <w:t> </w:t>
      </w:r>
      <w:r>
        <w:rPr/>
        <w:t>El</w:t>
      </w:r>
      <w:r>
        <w:rPr>
          <w:spacing w:val="-15"/>
        </w:rPr>
        <w:t> </w:t>
      </w:r>
      <w:r>
        <w:rPr/>
        <w:t>desarrollo</w:t>
      </w:r>
      <w:r>
        <w:rPr>
          <w:spacing w:val="-15"/>
        </w:rPr>
        <w:t> </w:t>
      </w:r>
      <w:r>
        <w:rPr/>
        <w:t>de</w:t>
      </w:r>
      <w:r>
        <w:rPr>
          <w:spacing w:val="-15"/>
        </w:rPr>
        <w:t> </w:t>
      </w:r>
      <w:r>
        <w:rPr/>
        <w:t>estos</w:t>
      </w:r>
      <w:r>
        <w:rPr>
          <w:spacing w:val="-15"/>
        </w:rPr>
        <w:t> </w:t>
      </w:r>
      <w:r>
        <w:rPr/>
        <w:t>agroecosistemas</w:t>
      </w:r>
      <w:r>
        <w:rPr>
          <w:spacing w:val="-14"/>
        </w:rPr>
        <w:t> </w:t>
      </w:r>
      <w:r>
        <w:rPr/>
        <w:t>no</w:t>
      </w:r>
      <w:r>
        <w:rPr>
          <w:spacing w:val="-15"/>
        </w:rPr>
        <w:t> </w:t>
      </w:r>
      <w:r>
        <w:rPr/>
        <w:t>es</w:t>
      </w:r>
      <w:r>
        <w:rPr>
          <w:spacing w:val="-15"/>
        </w:rPr>
        <w:t> </w:t>
      </w:r>
      <w:r>
        <w:rPr/>
        <w:t>casual,</w:t>
      </w:r>
      <w:r>
        <w:rPr>
          <w:spacing w:val="-15"/>
        </w:rPr>
        <w:t> </w:t>
      </w:r>
      <w:r>
        <w:rPr/>
        <w:t>sino</w:t>
      </w:r>
      <w:r>
        <w:rPr>
          <w:spacing w:val="-15"/>
        </w:rPr>
        <w:t> </w:t>
      </w:r>
      <w:r>
        <w:rPr/>
        <w:t>que</w:t>
      </w:r>
      <w:r>
        <w:rPr>
          <w:spacing w:val="-15"/>
        </w:rPr>
        <w:t> </w:t>
      </w:r>
      <w:r>
        <w:rPr/>
        <w:t>está</w:t>
      </w:r>
      <w:r>
        <w:rPr>
          <w:spacing w:val="-15"/>
        </w:rPr>
        <w:t> </w:t>
      </w:r>
      <w:r>
        <w:rPr/>
        <w:t>basado</w:t>
      </w:r>
      <w:r>
        <w:rPr>
          <w:spacing w:val="-15"/>
        </w:rPr>
        <w:t> </w:t>
      </w:r>
      <w:r>
        <w:rPr/>
        <w:t>en</w:t>
      </w:r>
      <w:r>
        <w:rPr>
          <w:spacing w:val="-15"/>
        </w:rPr>
        <w:t> </w:t>
      </w:r>
      <w:r>
        <w:rPr/>
        <w:t>un profundo entendimiento de los elementos y las interacciones de la vegetación, guiada por sistemas complejos de clasificación etnobotánica. Esta clasificación ha</w:t>
      </w:r>
      <w:r>
        <w:rPr>
          <w:spacing w:val="34"/>
        </w:rPr>
        <w:t> </w:t>
      </w:r>
      <w:r>
        <w:rPr/>
        <w:t>permitido</w:t>
      </w:r>
      <w:r>
        <w:rPr>
          <w:spacing w:val="3"/>
        </w:rPr>
        <w:t> </w:t>
      </w:r>
      <w:r>
        <w:rPr/>
        <w:t>a</w:t>
      </w:r>
      <w:r>
        <w:rPr>
          <w:w w:val="99"/>
        </w:rPr>
        <w:t> </w:t>
      </w:r>
      <w:r>
        <w:rPr/>
        <w:t>campesinos asignar a cada unidad de paisaje una práctica productiva, obteniendo así una</w:t>
      </w:r>
      <w:r>
        <w:rPr>
          <w:spacing w:val="-8"/>
        </w:rPr>
        <w:t> </w:t>
      </w:r>
      <w:r>
        <w:rPr/>
        <w:t>diversidad</w:t>
      </w:r>
      <w:r>
        <w:rPr>
          <w:spacing w:val="-8"/>
        </w:rPr>
        <w:t> </w:t>
      </w:r>
      <w:r>
        <w:rPr/>
        <w:t>de</w:t>
      </w:r>
      <w:r>
        <w:rPr>
          <w:spacing w:val="-8"/>
        </w:rPr>
        <w:t> </w:t>
      </w:r>
      <w:r>
        <w:rPr/>
        <w:t>productos</w:t>
      </w:r>
      <w:r>
        <w:rPr>
          <w:spacing w:val="-7"/>
        </w:rPr>
        <w:t> </w:t>
      </w:r>
      <w:r>
        <w:rPr/>
        <w:t>vegetales</w:t>
      </w:r>
      <w:r>
        <w:rPr>
          <w:spacing w:val="-8"/>
        </w:rPr>
        <w:t> </w:t>
      </w:r>
      <w:r>
        <w:rPr/>
        <w:t>mediante</w:t>
      </w:r>
      <w:r>
        <w:rPr>
          <w:spacing w:val="-8"/>
        </w:rPr>
        <w:t> </w:t>
      </w:r>
      <w:r>
        <w:rPr/>
        <w:t>una</w:t>
      </w:r>
      <w:r>
        <w:rPr>
          <w:spacing w:val="-8"/>
        </w:rPr>
        <w:t> </w:t>
      </w:r>
      <w:r>
        <w:rPr/>
        <w:t>estrategia</w:t>
      </w:r>
      <w:r>
        <w:rPr>
          <w:spacing w:val="-7"/>
        </w:rPr>
        <w:t> </w:t>
      </w:r>
      <w:r>
        <w:rPr/>
        <w:t>de</w:t>
      </w:r>
      <w:r>
        <w:rPr>
          <w:spacing w:val="-8"/>
        </w:rPr>
        <w:t> </w:t>
      </w:r>
      <w:r>
        <w:rPr/>
        <w:t>uso</w:t>
      </w:r>
      <w:r>
        <w:rPr>
          <w:spacing w:val="-8"/>
        </w:rPr>
        <w:t> </w:t>
      </w:r>
      <w:r>
        <w:rPr/>
        <w:t>múltiple</w:t>
      </w:r>
      <w:r>
        <w:rPr>
          <w:spacing w:val="-8"/>
        </w:rPr>
        <w:t> </w:t>
      </w:r>
      <w:r>
        <w:rPr/>
        <w:t>(Toledo </w:t>
      </w:r>
      <w:r>
        <w:rPr>
          <w:i/>
        </w:rPr>
        <w:t>et al</w:t>
      </w:r>
      <w:r>
        <w:rPr/>
        <w:t>.,</w:t>
      </w:r>
      <w:r>
        <w:rPr>
          <w:spacing w:val="-9"/>
        </w:rPr>
        <w:t> </w:t>
      </w:r>
      <w:r>
        <w:rPr/>
        <w:t>1985).</w:t>
      </w:r>
    </w:p>
    <w:p>
      <w:pPr>
        <w:pStyle w:val="BodyText"/>
        <w:spacing w:line="249" w:lineRule="auto" w:before="76"/>
        <w:ind w:left="129" w:right="141" w:firstLine="170"/>
        <w:jc w:val="both"/>
      </w:pPr>
      <w:r>
        <w:rPr/>
        <w:br w:type="column"/>
      </w:r>
      <w:r>
        <w:rPr/>
        <w:t>Hacer mención de lo tradicional dentro de la agroecología, es pensar en estos agroecosistemas que presentan siglos de experiencia acumulada, de una constante interacción entre los campesinos y su medio, sin acceso a la información científica, subsidios externos, capital, crédito y mercados desarrollados (Altieri y Nicholls, 2000). Ahora</w:t>
      </w:r>
      <w:r>
        <w:rPr>
          <w:spacing w:val="-25"/>
        </w:rPr>
        <w:t> </w:t>
      </w:r>
      <w:r>
        <w:rPr/>
        <w:t>bien,</w:t>
      </w:r>
      <w:r>
        <w:rPr>
          <w:spacing w:val="-25"/>
        </w:rPr>
        <w:t> </w:t>
      </w:r>
      <w:r>
        <w:rPr/>
        <w:t>estos</w:t>
      </w:r>
      <w:r>
        <w:rPr>
          <w:spacing w:val="-25"/>
        </w:rPr>
        <w:t> </w:t>
      </w:r>
      <w:r>
        <w:rPr/>
        <w:t>agroecosistemas</w:t>
      </w:r>
      <w:r>
        <w:rPr>
          <w:spacing w:val="-25"/>
        </w:rPr>
        <w:t> </w:t>
      </w:r>
      <w:r>
        <w:rPr/>
        <w:t>no</w:t>
      </w:r>
      <w:r>
        <w:rPr>
          <w:spacing w:val="-25"/>
        </w:rPr>
        <w:t> </w:t>
      </w:r>
      <w:r>
        <w:rPr/>
        <w:t>han</w:t>
      </w:r>
      <w:r>
        <w:rPr>
          <w:spacing w:val="-25"/>
        </w:rPr>
        <w:t> </w:t>
      </w:r>
      <w:r>
        <w:rPr/>
        <w:t>llegado</w:t>
      </w:r>
      <w:r>
        <w:rPr>
          <w:spacing w:val="-25"/>
        </w:rPr>
        <w:t> </w:t>
      </w:r>
      <w:r>
        <w:rPr/>
        <w:t>así</w:t>
      </w:r>
      <w:r>
        <w:rPr>
          <w:spacing w:val="-25"/>
        </w:rPr>
        <w:t> </w:t>
      </w:r>
      <w:r>
        <w:rPr/>
        <w:t>hasta</w:t>
      </w:r>
      <w:r>
        <w:rPr>
          <w:spacing w:val="-25"/>
        </w:rPr>
        <w:t> </w:t>
      </w:r>
      <w:r>
        <w:rPr/>
        <w:t>nuestros</w:t>
      </w:r>
      <w:r>
        <w:rPr>
          <w:spacing w:val="-25"/>
        </w:rPr>
        <w:t> </w:t>
      </w:r>
      <w:r>
        <w:rPr/>
        <w:t>días,</w:t>
      </w:r>
      <w:r>
        <w:rPr>
          <w:spacing w:val="-25"/>
        </w:rPr>
        <w:t> </w:t>
      </w:r>
      <w:r>
        <w:rPr/>
        <w:t>sin</w:t>
      </w:r>
      <w:r>
        <w:rPr>
          <w:spacing w:val="-25"/>
        </w:rPr>
        <w:t> </w:t>
      </w:r>
      <w:r>
        <w:rPr/>
        <w:t>ningún</w:t>
      </w:r>
      <w:r>
        <w:rPr>
          <w:spacing w:val="-25"/>
        </w:rPr>
        <w:t> </w:t>
      </w:r>
      <w:r>
        <w:rPr/>
        <w:t>tipo de cambio, ya que han sufrido un proceso de coevolución entre la componente biótica y el grupo cultural que los ha manejado. El que estos agroecosistemas tradicionales</w:t>
      </w:r>
      <w:r>
        <w:rPr>
          <w:spacing w:val="-20"/>
        </w:rPr>
        <w:t> </w:t>
      </w:r>
      <w:r>
        <w:rPr/>
        <w:t>no se hayan convertido en monocultivos con alto grado de insumos externos, o sea, en sistemas agrícolas “modernos”, no quiere decir que se hayan mantenido estáticos a través del tiempo (García et al.,</w:t>
      </w:r>
      <w:r>
        <w:rPr>
          <w:spacing w:val="-24"/>
        </w:rPr>
        <w:t> </w:t>
      </w:r>
      <w:r>
        <w:rPr/>
        <w:t>2008).</w:t>
      </w:r>
    </w:p>
    <w:p>
      <w:pPr>
        <w:pStyle w:val="BodyText"/>
        <w:spacing w:before="11"/>
      </w:pPr>
    </w:p>
    <w:p>
      <w:pPr>
        <w:pStyle w:val="BodyText"/>
        <w:spacing w:line="249" w:lineRule="auto"/>
        <w:ind w:left="129" w:right="140" w:firstLine="170"/>
        <w:jc w:val="both"/>
      </w:pPr>
      <w:r>
        <w:rPr/>
        <w:t>Los huertos familiares pueden considerarse agroecosistemas tradicionales, o sistemas agroforestales indígenas. En los huertos familiares, como objeto de estudio, confluyen varias dimensiones, –biológica, social, económica– por tanto su análisis como sistema debe ser abordado desde una perspectiva holística. Los huertos de traspatio cumplen funciones ecológicas, sociales y económicas, aspectos que forman parte de la concepción de sostenibilidad, para determinarla se hace uso de</w:t>
      </w:r>
      <w:r>
        <w:rPr>
          <w:spacing w:val="-32"/>
        </w:rPr>
        <w:t> </w:t>
      </w:r>
      <w:r>
        <w:rPr/>
        <w:t>indicadores que son variables cuantitativas o cualitativas que miden tendencias de un proceso (Alcorn,</w:t>
      </w:r>
      <w:r>
        <w:rPr>
          <w:spacing w:val="-23"/>
        </w:rPr>
        <w:t> </w:t>
      </w:r>
      <w:r>
        <w:rPr/>
        <w:t>2001).</w:t>
      </w:r>
    </w:p>
    <w:p>
      <w:pPr>
        <w:pStyle w:val="BodyText"/>
        <w:spacing w:before="11"/>
      </w:pPr>
    </w:p>
    <w:p>
      <w:pPr>
        <w:pStyle w:val="BodyText"/>
        <w:spacing w:line="249" w:lineRule="auto"/>
        <w:ind w:left="129" w:right="140" w:firstLine="170"/>
        <w:jc w:val="both"/>
      </w:pPr>
      <w:r>
        <w:rPr/>
        <w:t>Una de las finalidades de los estudios ecológicos de vegetación es conocer la importancia de las diversas poblaciones dentro de la comunidad que forman, tratando de caracterizar e identificar el papel que juega cada especie dentro de ella y encontrar aquellas que regulan primordialmente dicho sistema. Entendida la dominancia como   la extensión de área cubierta, espacio ocupado o grado de control de una comunidad por</w:t>
      </w:r>
      <w:r>
        <w:rPr>
          <w:spacing w:val="-3"/>
        </w:rPr>
        <w:t> </w:t>
      </w:r>
      <w:r>
        <w:rPr/>
        <w:t>una</w:t>
      </w:r>
      <w:r>
        <w:rPr>
          <w:spacing w:val="-3"/>
        </w:rPr>
        <w:t> </w:t>
      </w:r>
      <w:r>
        <w:rPr/>
        <w:t>o</w:t>
      </w:r>
      <w:r>
        <w:rPr>
          <w:spacing w:val="-3"/>
        </w:rPr>
        <w:t> </w:t>
      </w:r>
      <w:r>
        <w:rPr/>
        <w:t>más</w:t>
      </w:r>
      <w:r>
        <w:rPr>
          <w:spacing w:val="-3"/>
        </w:rPr>
        <w:t> </w:t>
      </w:r>
      <w:r>
        <w:rPr/>
        <w:t>especies;</w:t>
      </w:r>
      <w:r>
        <w:rPr>
          <w:spacing w:val="-3"/>
        </w:rPr>
        <w:t> </w:t>
      </w:r>
      <w:r>
        <w:rPr/>
        <w:t>la</w:t>
      </w:r>
      <w:r>
        <w:rPr>
          <w:spacing w:val="-3"/>
        </w:rPr>
        <w:t> </w:t>
      </w:r>
      <w:r>
        <w:rPr/>
        <w:t>distribución</w:t>
      </w:r>
      <w:r>
        <w:rPr>
          <w:spacing w:val="-3"/>
        </w:rPr>
        <w:t> </w:t>
      </w:r>
      <w:r>
        <w:rPr/>
        <w:t>por</w:t>
      </w:r>
      <w:r>
        <w:rPr>
          <w:spacing w:val="-3"/>
        </w:rPr>
        <w:t> </w:t>
      </w:r>
      <w:r>
        <w:rPr/>
        <w:t>su</w:t>
      </w:r>
      <w:r>
        <w:rPr>
          <w:spacing w:val="-3"/>
        </w:rPr>
        <w:t> </w:t>
      </w:r>
      <w:r>
        <w:rPr/>
        <w:t>parte,</w:t>
      </w:r>
      <w:r>
        <w:rPr>
          <w:spacing w:val="-3"/>
        </w:rPr>
        <w:t> </w:t>
      </w:r>
      <w:r>
        <w:rPr/>
        <w:t>es</w:t>
      </w:r>
      <w:r>
        <w:rPr>
          <w:spacing w:val="-3"/>
        </w:rPr>
        <w:t> </w:t>
      </w:r>
      <w:r>
        <w:rPr/>
        <w:t>la</w:t>
      </w:r>
      <w:r>
        <w:rPr>
          <w:spacing w:val="-3"/>
        </w:rPr>
        <w:t> </w:t>
      </w:r>
      <w:r>
        <w:rPr/>
        <w:t>forma</w:t>
      </w:r>
      <w:r>
        <w:rPr>
          <w:spacing w:val="-3"/>
        </w:rPr>
        <w:t> </w:t>
      </w:r>
      <w:r>
        <w:rPr/>
        <w:t>en</w:t>
      </w:r>
      <w:r>
        <w:rPr>
          <w:spacing w:val="-3"/>
        </w:rPr>
        <w:t> </w:t>
      </w:r>
      <w:r>
        <w:rPr/>
        <w:t>que</w:t>
      </w:r>
      <w:r>
        <w:rPr>
          <w:spacing w:val="-3"/>
        </w:rPr>
        <w:t> </w:t>
      </w:r>
      <w:r>
        <w:rPr/>
        <w:t>una</w:t>
      </w:r>
      <w:r>
        <w:rPr>
          <w:spacing w:val="-3"/>
        </w:rPr>
        <w:t> </w:t>
      </w:r>
      <w:r>
        <w:rPr/>
        <w:t>especie</w:t>
      </w:r>
      <w:r>
        <w:rPr>
          <w:spacing w:val="-3"/>
        </w:rPr>
        <w:t> </w:t>
      </w:r>
      <w:r>
        <w:rPr/>
        <w:t>se encuentra repartida en la comunidad, se estima combinando la densidad y frecuencia de la aparición de las especies, la masa estaría directamente relacionada con la notoriedad de los individuos de la comunidad. La observación de las características   de la vegetación varían a lo largo de gradientes climáticos, ello ha llevado a que las relaciones</w:t>
      </w:r>
      <w:r>
        <w:rPr>
          <w:spacing w:val="-5"/>
        </w:rPr>
        <w:t> </w:t>
      </w:r>
      <w:r>
        <w:rPr/>
        <w:t>vegetación-ambiente</w:t>
      </w:r>
      <w:r>
        <w:rPr>
          <w:spacing w:val="-5"/>
        </w:rPr>
        <w:t> </w:t>
      </w:r>
      <w:r>
        <w:rPr/>
        <w:t>sean</w:t>
      </w:r>
      <w:r>
        <w:rPr>
          <w:spacing w:val="-5"/>
        </w:rPr>
        <w:t> </w:t>
      </w:r>
      <w:r>
        <w:rPr/>
        <w:t>por</w:t>
      </w:r>
      <w:r>
        <w:rPr>
          <w:spacing w:val="-5"/>
        </w:rPr>
        <w:t> </w:t>
      </w:r>
      <w:r>
        <w:rPr/>
        <w:t>lo</w:t>
      </w:r>
      <w:r>
        <w:rPr>
          <w:spacing w:val="-5"/>
        </w:rPr>
        <w:t> </w:t>
      </w:r>
      <w:r>
        <w:rPr/>
        <w:t>común</w:t>
      </w:r>
      <w:r>
        <w:rPr>
          <w:spacing w:val="-5"/>
        </w:rPr>
        <w:t> </w:t>
      </w:r>
      <w:r>
        <w:rPr/>
        <w:t>estudiadas</w:t>
      </w:r>
      <w:r>
        <w:rPr>
          <w:spacing w:val="-5"/>
        </w:rPr>
        <w:t> </w:t>
      </w:r>
      <w:r>
        <w:rPr/>
        <w:t>a</w:t>
      </w:r>
      <w:r>
        <w:rPr>
          <w:spacing w:val="-5"/>
        </w:rPr>
        <w:t> </w:t>
      </w:r>
      <w:r>
        <w:rPr/>
        <w:t>lo</w:t>
      </w:r>
      <w:r>
        <w:rPr>
          <w:spacing w:val="-5"/>
        </w:rPr>
        <w:t> </w:t>
      </w:r>
      <w:r>
        <w:rPr/>
        <w:t>largo</w:t>
      </w:r>
      <w:r>
        <w:rPr>
          <w:spacing w:val="-5"/>
        </w:rPr>
        <w:t> </w:t>
      </w:r>
      <w:r>
        <w:rPr/>
        <w:t>de</w:t>
      </w:r>
      <w:r>
        <w:rPr>
          <w:spacing w:val="-5"/>
        </w:rPr>
        <w:t> </w:t>
      </w:r>
      <w:r>
        <w:rPr/>
        <w:t>los</w:t>
      </w:r>
      <w:r>
        <w:rPr>
          <w:spacing w:val="-5"/>
        </w:rPr>
        <w:t> </w:t>
      </w:r>
      <w:r>
        <w:rPr/>
        <w:t>mismos gradientes.</w:t>
      </w:r>
    </w:p>
    <w:p>
      <w:pPr>
        <w:pStyle w:val="BodyText"/>
        <w:spacing w:before="11"/>
      </w:pPr>
    </w:p>
    <w:p>
      <w:pPr>
        <w:pStyle w:val="BodyText"/>
        <w:spacing w:line="249" w:lineRule="auto"/>
        <w:ind w:left="129" w:right="141" w:firstLine="170"/>
        <w:jc w:val="both"/>
      </w:pPr>
      <w:r>
        <w:rPr/>
        <w:t>El patrón espacial de una especie se refiere a la distribución en el espacio de los individuos pertenecientes a dicha especie, utilizando el vocablo patrón para designar</w:t>
      </w:r>
      <w:r>
        <w:rPr>
          <w:spacing w:val="-24"/>
        </w:rPr>
        <w:t> </w:t>
      </w:r>
      <w:r>
        <w:rPr/>
        <w:t>la organización o el ordenamiento espacial de los individuos. Así las variables tienen una distribución dada y las especies tienen un patrón determinado. Los individuos de una especie en una comunidad pueden hallarse ubicados al azar, a intervalos regulares o agregados formando manchones. Como consecuencia de que existe interdependencia de algunos factores ambientales y de que no todas las especies son independientes entre sí, la vegetación manifiesta un número finito de expresiones. Si bien los tipos de vegetación</w:t>
      </w:r>
      <w:r>
        <w:rPr>
          <w:spacing w:val="-9"/>
        </w:rPr>
        <w:t> </w:t>
      </w:r>
      <w:r>
        <w:rPr/>
        <w:t>que</w:t>
      </w:r>
      <w:r>
        <w:rPr>
          <w:spacing w:val="-9"/>
        </w:rPr>
        <w:t> </w:t>
      </w:r>
      <w:r>
        <w:rPr/>
        <w:t>se</w:t>
      </w:r>
      <w:r>
        <w:rPr>
          <w:spacing w:val="-9"/>
        </w:rPr>
        <w:t> </w:t>
      </w:r>
      <w:r>
        <w:rPr/>
        <w:t>repiten</w:t>
      </w:r>
      <w:r>
        <w:rPr>
          <w:spacing w:val="-9"/>
        </w:rPr>
        <w:t> </w:t>
      </w:r>
      <w:r>
        <w:rPr/>
        <w:t>en</w:t>
      </w:r>
      <w:r>
        <w:rPr>
          <w:spacing w:val="-9"/>
        </w:rPr>
        <w:t> </w:t>
      </w:r>
      <w:r>
        <w:rPr/>
        <w:t>distintas</w:t>
      </w:r>
      <w:r>
        <w:rPr>
          <w:spacing w:val="-9"/>
        </w:rPr>
        <w:t> </w:t>
      </w:r>
      <w:r>
        <w:rPr/>
        <w:t>zonas</w:t>
      </w:r>
      <w:r>
        <w:rPr>
          <w:spacing w:val="-9"/>
        </w:rPr>
        <w:t> </w:t>
      </w:r>
      <w:r>
        <w:rPr/>
        <w:t>y</w:t>
      </w:r>
      <w:r>
        <w:rPr>
          <w:spacing w:val="-9"/>
        </w:rPr>
        <w:t> </w:t>
      </w:r>
      <w:r>
        <w:rPr/>
        <w:t>situaciones</w:t>
      </w:r>
      <w:r>
        <w:rPr>
          <w:spacing w:val="-9"/>
        </w:rPr>
        <w:t> </w:t>
      </w:r>
      <w:r>
        <w:rPr/>
        <w:t>son</w:t>
      </w:r>
      <w:r>
        <w:rPr>
          <w:spacing w:val="-9"/>
        </w:rPr>
        <w:t> </w:t>
      </w:r>
      <w:r>
        <w:rPr/>
        <w:t>en</w:t>
      </w:r>
      <w:r>
        <w:rPr>
          <w:spacing w:val="-9"/>
        </w:rPr>
        <w:t> </w:t>
      </w:r>
      <w:r>
        <w:rPr/>
        <w:t>cierto</w:t>
      </w:r>
      <w:r>
        <w:rPr>
          <w:spacing w:val="-9"/>
        </w:rPr>
        <w:t> </w:t>
      </w:r>
      <w:r>
        <w:rPr/>
        <w:t>modo</w:t>
      </w:r>
      <w:r>
        <w:rPr>
          <w:spacing w:val="-9"/>
        </w:rPr>
        <w:t> </w:t>
      </w:r>
      <w:r>
        <w:rPr/>
        <w:t>similares,</w:t>
      </w:r>
    </w:p>
    <w:p>
      <w:pPr>
        <w:spacing w:after="0" w:line="249" w:lineRule="auto"/>
        <w:jc w:val="both"/>
        <w:sectPr>
          <w:type w:val="continuous"/>
          <w:pgSz w:w="18830" w:h="12760" w:orient="landscape"/>
          <w:pgMar w:top="1420" w:bottom="280" w:left="720" w:right="720"/>
          <w:cols w:num="2" w:equalWidth="0">
            <w:col w:w="7840" w:space="1560"/>
            <w:col w:w="7990"/>
          </w:cols>
        </w:sectPr>
      </w:pPr>
    </w:p>
    <w:p>
      <w:pPr>
        <w:pStyle w:val="BodyText"/>
        <w:spacing w:before="8"/>
      </w:pPr>
    </w:p>
    <w:p>
      <w:pPr>
        <w:spacing w:after="0"/>
        <w:sectPr>
          <w:footerReference w:type="default" r:id="rId251"/>
          <w:pgSz w:w="18830" w:h="12760" w:orient="landscape"/>
          <w:pgMar w:footer="1036" w:header="522" w:top="820" w:bottom="1220" w:left="720" w:right="720"/>
        </w:sectPr>
      </w:pPr>
    </w:p>
    <w:p>
      <w:pPr>
        <w:pStyle w:val="BodyText"/>
        <w:spacing w:line="249" w:lineRule="auto" w:before="109"/>
        <w:ind w:left="130"/>
        <w:jc w:val="both"/>
      </w:pPr>
      <w:r>
        <w:rPr/>
        <w:t>no existen dos espacios ocupados por comunidades idénticas. Esto se debe, en parte, al hecho de que la composición florística varía continuamente, ya sea por presiones naturales mismas o por acciones antropogénicas.</w:t>
      </w:r>
    </w:p>
    <w:p>
      <w:pPr>
        <w:pStyle w:val="BodyText"/>
        <w:spacing w:before="11"/>
      </w:pPr>
    </w:p>
    <w:p>
      <w:pPr>
        <w:pStyle w:val="BodyText"/>
        <w:spacing w:line="249" w:lineRule="auto"/>
        <w:ind w:left="130" w:firstLine="170"/>
        <w:jc w:val="both"/>
      </w:pPr>
      <w:r>
        <w:rPr/>
        <w:t>Actualmente, diversos estudios e investigaciones demuestran que las plantas alimentarias, así como las ornamentales y las medicinales, ocupan los tres primeros lugares de importancia en los huertos familiares o agroecosistemas (Vogl </w:t>
      </w:r>
      <w:r>
        <w:rPr>
          <w:i/>
        </w:rPr>
        <w:t>et al</w:t>
      </w:r>
      <w:r>
        <w:rPr/>
        <w:t>., 2002). Con base en este razonamiento, las investigaciones que se realizan en los espacios geográficos que ocupan los huertos familiares, proporcionan elementos valiosos de análisis para reconsiderar la importancia de las funciones y utilización de las partes de las plantas existentes en los huertos familiares (White, 2013).</w:t>
      </w:r>
    </w:p>
    <w:p>
      <w:pPr>
        <w:pStyle w:val="BodyText"/>
        <w:spacing w:before="11"/>
      </w:pPr>
    </w:p>
    <w:p>
      <w:pPr>
        <w:pStyle w:val="BodyText"/>
        <w:spacing w:line="249" w:lineRule="auto"/>
        <w:ind w:left="130" w:firstLine="170"/>
        <w:jc w:val="both"/>
      </w:pPr>
      <w:r>
        <w:rPr/>
        <w:t>El sistema tradicional de huerto </w:t>
      </w:r>
      <w:r>
        <w:rPr>
          <w:i/>
        </w:rPr>
        <w:t>pekarangan  </w:t>
      </w:r>
      <w:r>
        <w:rPr/>
        <w:t>de  Java  occidental  suele  contener 100 o más especies de plantas. De éstas, más o menos el 42 por ciento contribuye con materiales de construcción y combustible, 18 por ciento son árboles frutales, 14 por ciento son hortalizas, y el resto constituye plantas para ornamentos, medicinas, especies y cultivos comerciales. En México, por ejemplo, los Huastecas manejan un cierto</w:t>
      </w:r>
      <w:r>
        <w:rPr>
          <w:spacing w:val="-7"/>
        </w:rPr>
        <w:t> </w:t>
      </w:r>
      <w:r>
        <w:rPr/>
        <w:t>número</w:t>
      </w:r>
      <w:r>
        <w:rPr>
          <w:spacing w:val="-6"/>
        </w:rPr>
        <w:t> </w:t>
      </w:r>
      <w:r>
        <w:rPr/>
        <w:t>de</w:t>
      </w:r>
      <w:r>
        <w:rPr>
          <w:spacing w:val="-7"/>
        </w:rPr>
        <w:t> </w:t>
      </w:r>
      <w:r>
        <w:rPr/>
        <w:t>campos</w:t>
      </w:r>
      <w:r>
        <w:rPr>
          <w:spacing w:val="-7"/>
        </w:rPr>
        <w:t> </w:t>
      </w:r>
      <w:r>
        <w:rPr/>
        <w:t>agrícolas</w:t>
      </w:r>
      <w:r>
        <w:rPr>
          <w:spacing w:val="-6"/>
        </w:rPr>
        <w:t> </w:t>
      </w:r>
      <w:r>
        <w:rPr/>
        <w:t>y</w:t>
      </w:r>
      <w:r>
        <w:rPr>
          <w:spacing w:val="-7"/>
        </w:rPr>
        <w:t> </w:t>
      </w:r>
      <w:r>
        <w:rPr/>
        <w:t>otros</w:t>
      </w:r>
      <w:r>
        <w:rPr>
          <w:spacing w:val="-6"/>
        </w:rPr>
        <w:t> </w:t>
      </w:r>
      <w:r>
        <w:rPr/>
        <w:t>en</w:t>
      </w:r>
      <w:r>
        <w:rPr>
          <w:spacing w:val="-7"/>
        </w:rPr>
        <w:t> </w:t>
      </w:r>
      <w:r>
        <w:rPr/>
        <w:t>barbecho,</w:t>
      </w:r>
      <w:r>
        <w:rPr>
          <w:spacing w:val="-6"/>
        </w:rPr>
        <w:t> </w:t>
      </w:r>
      <w:r>
        <w:rPr/>
        <w:t>huertos</w:t>
      </w:r>
      <w:r>
        <w:rPr>
          <w:spacing w:val="-6"/>
        </w:rPr>
        <w:t> </w:t>
      </w:r>
      <w:r>
        <w:rPr/>
        <w:t>familiares</w:t>
      </w:r>
      <w:r>
        <w:rPr>
          <w:spacing w:val="-7"/>
        </w:rPr>
        <w:t> </w:t>
      </w:r>
      <w:r>
        <w:rPr/>
        <w:t>complejos</w:t>
      </w:r>
      <w:r>
        <w:rPr>
          <w:spacing w:val="-7"/>
        </w:rPr>
        <w:t> </w:t>
      </w:r>
      <w:r>
        <w:rPr/>
        <w:t>y predios forestales que en total suman unas 300 especies de plantas. Áreas pequeñas alrededor</w:t>
      </w:r>
      <w:r>
        <w:rPr>
          <w:spacing w:val="-5"/>
        </w:rPr>
        <w:t> </w:t>
      </w:r>
      <w:r>
        <w:rPr/>
        <w:t>de</w:t>
      </w:r>
      <w:r>
        <w:rPr>
          <w:spacing w:val="-5"/>
        </w:rPr>
        <w:t> </w:t>
      </w:r>
      <w:r>
        <w:rPr/>
        <w:t>las</w:t>
      </w:r>
      <w:r>
        <w:rPr>
          <w:spacing w:val="-5"/>
        </w:rPr>
        <w:t> </w:t>
      </w:r>
      <w:r>
        <w:rPr/>
        <w:t>casas</w:t>
      </w:r>
      <w:r>
        <w:rPr>
          <w:spacing w:val="-5"/>
        </w:rPr>
        <w:t> </w:t>
      </w:r>
      <w:r>
        <w:rPr/>
        <w:t>tienen</w:t>
      </w:r>
      <w:r>
        <w:rPr>
          <w:spacing w:val="-5"/>
        </w:rPr>
        <w:t> </w:t>
      </w:r>
      <w:r>
        <w:rPr/>
        <w:t>un</w:t>
      </w:r>
      <w:r>
        <w:rPr>
          <w:spacing w:val="-5"/>
        </w:rPr>
        <w:t> </w:t>
      </w:r>
      <w:r>
        <w:rPr/>
        <w:t>promedio</w:t>
      </w:r>
      <w:r>
        <w:rPr>
          <w:spacing w:val="-5"/>
        </w:rPr>
        <w:t> </w:t>
      </w:r>
      <w:r>
        <w:rPr/>
        <w:t>de</w:t>
      </w:r>
      <w:r>
        <w:rPr>
          <w:spacing w:val="-5"/>
        </w:rPr>
        <w:t> </w:t>
      </w:r>
      <w:r>
        <w:rPr/>
        <w:t>80</w:t>
      </w:r>
      <w:r>
        <w:rPr>
          <w:spacing w:val="-5"/>
        </w:rPr>
        <w:t> </w:t>
      </w:r>
      <w:r>
        <w:rPr/>
        <w:t>y</w:t>
      </w:r>
      <w:r>
        <w:rPr>
          <w:spacing w:val="-5"/>
        </w:rPr>
        <w:t> </w:t>
      </w:r>
      <w:r>
        <w:rPr/>
        <w:t>125</w:t>
      </w:r>
      <w:r>
        <w:rPr>
          <w:spacing w:val="-5"/>
        </w:rPr>
        <w:t> </w:t>
      </w:r>
      <w:r>
        <w:rPr/>
        <w:t>plantas</w:t>
      </w:r>
      <w:r>
        <w:rPr>
          <w:spacing w:val="-5"/>
        </w:rPr>
        <w:t> </w:t>
      </w:r>
      <w:r>
        <w:rPr/>
        <w:t>útiles,</w:t>
      </w:r>
      <w:r>
        <w:rPr>
          <w:spacing w:val="-5"/>
        </w:rPr>
        <w:t> </w:t>
      </w:r>
      <w:r>
        <w:rPr/>
        <w:t>la</w:t>
      </w:r>
      <w:r>
        <w:rPr>
          <w:spacing w:val="-5"/>
        </w:rPr>
        <w:t> </w:t>
      </w:r>
      <w:r>
        <w:rPr/>
        <w:t>mayoría</w:t>
      </w:r>
      <w:r>
        <w:rPr>
          <w:spacing w:val="-5"/>
        </w:rPr>
        <w:t> </w:t>
      </w:r>
      <w:r>
        <w:rPr/>
        <w:t>de</w:t>
      </w:r>
      <w:r>
        <w:rPr>
          <w:spacing w:val="-5"/>
        </w:rPr>
        <w:t> </w:t>
      </w:r>
      <w:r>
        <w:rPr/>
        <w:t>las cuales son plantas medicinales nativas (Alcorn,</w:t>
      </w:r>
      <w:r>
        <w:rPr>
          <w:spacing w:val="-21"/>
        </w:rPr>
        <w:t> </w:t>
      </w:r>
      <w:r>
        <w:rPr/>
        <w:t>2001).</w:t>
      </w:r>
    </w:p>
    <w:p>
      <w:pPr>
        <w:pStyle w:val="BodyText"/>
        <w:spacing w:before="11"/>
      </w:pPr>
    </w:p>
    <w:p>
      <w:pPr>
        <w:pStyle w:val="BodyText"/>
        <w:spacing w:line="249" w:lineRule="auto"/>
        <w:ind w:left="130" w:firstLine="170"/>
        <w:jc w:val="both"/>
      </w:pPr>
      <w:r>
        <w:rPr/>
        <w:t>En el área de estudio, Juan y Madrigal (2005) analizaron 100 huertos familiares de 66 comunidades, de 20 municipios en la zona de transición ecológica al sur del Estado de México, encontrando que el 68% de los productos de estos sistemas son utilizados con fines alimenticios, medicinales, religiosos, rituales, ambientales, ecológicos y socioculturales.</w:t>
      </w:r>
      <w:r>
        <w:rPr>
          <w:spacing w:val="-12"/>
        </w:rPr>
        <w:t> </w:t>
      </w:r>
      <w:r>
        <w:rPr/>
        <w:t>El</w:t>
      </w:r>
      <w:r>
        <w:rPr>
          <w:spacing w:val="-12"/>
        </w:rPr>
        <w:t> </w:t>
      </w:r>
      <w:r>
        <w:rPr/>
        <w:t>estudio</w:t>
      </w:r>
      <w:r>
        <w:rPr>
          <w:spacing w:val="-12"/>
        </w:rPr>
        <w:t> </w:t>
      </w:r>
      <w:r>
        <w:rPr/>
        <w:t>de</w:t>
      </w:r>
      <w:r>
        <w:rPr>
          <w:spacing w:val="-12"/>
        </w:rPr>
        <w:t> </w:t>
      </w:r>
      <w:r>
        <w:rPr/>
        <w:t>Albarrán</w:t>
      </w:r>
      <w:r>
        <w:rPr>
          <w:spacing w:val="-12"/>
        </w:rPr>
        <w:t> </w:t>
      </w:r>
      <w:r>
        <w:rPr/>
        <w:t>(2008)</w:t>
      </w:r>
      <w:r>
        <w:rPr>
          <w:spacing w:val="-12"/>
        </w:rPr>
        <w:t> </w:t>
      </w:r>
      <w:r>
        <w:rPr/>
        <w:t>analizó</w:t>
      </w:r>
      <w:r>
        <w:rPr>
          <w:spacing w:val="-12"/>
        </w:rPr>
        <w:t> </w:t>
      </w:r>
      <w:r>
        <w:rPr/>
        <w:t>21</w:t>
      </w:r>
      <w:r>
        <w:rPr>
          <w:spacing w:val="-12"/>
        </w:rPr>
        <w:t> </w:t>
      </w:r>
      <w:r>
        <w:rPr/>
        <w:t>huertos,</w:t>
      </w:r>
      <w:r>
        <w:rPr>
          <w:spacing w:val="-12"/>
        </w:rPr>
        <w:t> </w:t>
      </w:r>
      <w:r>
        <w:rPr/>
        <w:t>de</w:t>
      </w:r>
      <w:r>
        <w:rPr>
          <w:spacing w:val="-12"/>
        </w:rPr>
        <w:t> </w:t>
      </w:r>
      <w:r>
        <w:rPr/>
        <w:t>cuatro</w:t>
      </w:r>
      <w:r>
        <w:rPr>
          <w:spacing w:val="-13"/>
        </w:rPr>
        <w:t> </w:t>
      </w:r>
      <w:r>
        <w:rPr/>
        <w:t>barrios</w:t>
      </w:r>
      <w:r>
        <w:rPr>
          <w:spacing w:val="-12"/>
        </w:rPr>
        <w:t> </w:t>
      </w:r>
      <w:r>
        <w:rPr/>
        <w:t>de</w:t>
      </w:r>
      <w:r>
        <w:rPr>
          <w:spacing w:val="-12"/>
        </w:rPr>
        <w:t> </w:t>
      </w:r>
      <w:r>
        <w:rPr/>
        <w:t>la parte</w:t>
      </w:r>
      <w:r>
        <w:rPr>
          <w:spacing w:val="-14"/>
        </w:rPr>
        <w:t> </w:t>
      </w:r>
      <w:r>
        <w:rPr/>
        <w:t>sur</w:t>
      </w:r>
      <w:r>
        <w:rPr>
          <w:spacing w:val="-14"/>
        </w:rPr>
        <w:t> </w:t>
      </w:r>
      <w:r>
        <w:rPr/>
        <w:t>de</w:t>
      </w:r>
      <w:r>
        <w:rPr>
          <w:spacing w:val="-14"/>
        </w:rPr>
        <w:t> </w:t>
      </w:r>
      <w:r>
        <w:rPr/>
        <w:t>Malinalco,</w:t>
      </w:r>
      <w:r>
        <w:rPr>
          <w:spacing w:val="-14"/>
        </w:rPr>
        <w:t> </w:t>
      </w:r>
      <w:r>
        <w:rPr/>
        <w:t>registró</w:t>
      </w:r>
      <w:r>
        <w:rPr>
          <w:spacing w:val="-14"/>
        </w:rPr>
        <w:t> </w:t>
      </w:r>
      <w:r>
        <w:rPr/>
        <w:t>183</w:t>
      </w:r>
      <w:r>
        <w:rPr>
          <w:spacing w:val="-14"/>
        </w:rPr>
        <w:t> </w:t>
      </w:r>
      <w:r>
        <w:rPr/>
        <w:t>especies</w:t>
      </w:r>
      <w:r>
        <w:rPr>
          <w:spacing w:val="-14"/>
        </w:rPr>
        <w:t> </w:t>
      </w:r>
      <w:r>
        <w:rPr/>
        <w:t>y</w:t>
      </w:r>
      <w:r>
        <w:rPr>
          <w:spacing w:val="-14"/>
        </w:rPr>
        <w:t> </w:t>
      </w:r>
      <w:r>
        <w:rPr/>
        <w:t>158</w:t>
      </w:r>
      <w:r>
        <w:rPr>
          <w:spacing w:val="-14"/>
        </w:rPr>
        <w:t> </w:t>
      </w:r>
      <w:r>
        <w:rPr/>
        <w:t>géneros</w:t>
      </w:r>
      <w:r>
        <w:rPr>
          <w:spacing w:val="-14"/>
        </w:rPr>
        <w:t> </w:t>
      </w:r>
      <w:r>
        <w:rPr/>
        <w:t>pertenecientes</w:t>
      </w:r>
      <w:r>
        <w:rPr>
          <w:spacing w:val="-13"/>
        </w:rPr>
        <w:t> </w:t>
      </w:r>
      <w:r>
        <w:rPr/>
        <w:t>a</w:t>
      </w:r>
      <w:r>
        <w:rPr>
          <w:spacing w:val="-14"/>
        </w:rPr>
        <w:t> </w:t>
      </w:r>
      <w:r>
        <w:rPr/>
        <w:t>75</w:t>
      </w:r>
      <w:r>
        <w:rPr>
          <w:spacing w:val="-14"/>
        </w:rPr>
        <w:t> </w:t>
      </w:r>
      <w:r>
        <w:rPr/>
        <w:t>familias botánicas, las cuales se distribuyen en cinco categorías antropocéntricas: ornamental, medicinal, alimenticia, ritual, religioso y otros</w:t>
      </w:r>
      <w:r>
        <w:rPr>
          <w:spacing w:val="-22"/>
        </w:rPr>
        <w:t> </w:t>
      </w:r>
      <w:r>
        <w:rPr/>
        <w:t>usos.</w:t>
      </w:r>
    </w:p>
    <w:p>
      <w:pPr>
        <w:pStyle w:val="BodyText"/>
        <w:spacing w:before="8"/>
        <w:rPr>
          <w:sz w:val="17"/>
        </w:rPr>
      </w:pPr>
    </w:p>
    <w:p>
      <w:pPr>
        <w:pStyle w:val="Heading1"/>
        <w:ind w:right="-7"/>
      </w:pPr>
      <w:r>
        <w:rPr/>
        <w:t>Metodología</w:t>
      </w:r>
    </w:p>
    <w:p>
      <w:pPr>
        <w:pStyle w:val="BodyText"/>
        <w:rPr>
          <w:b/>
          <w:sz w:val="21"/>
        </w:rPr>
      </w:pPr>
    </w:p>
    <w:p>
      <w:pPr>
        <w:pStyle w:val="BodyText"/>
        <w:spacing w:line="249" w:lineRule="auto"/>
        <w:ind w:left="130" w:firstLine="170"/>
        <w:jc w:val="both"/>
      </w:pPr>
      <w:r>
        <w:rPr/>
        <w:t>Este estudio se está llevando a cabo en tres municipios al Sur del Estado de México que representa una región de importancia geográfica por ser una zona de transición entre los Imperios Biogeográficos Neartico y Neotropical, donde se practica la  tradición de los huertos familiares, los cuales tienen impactos ambientales, sociales y agroecológicos, gracias a los productos que se obtienen de esté con diferentes usos como alimenticio, medicinal, ornamental e ingresos por la venta de </w:t>
      </w:r>
      <w:r>
        <w:rPr>
          <w:spacing w:val="8"/>
        </w:rPr>
        <w:t> </w:t>
      </w:r>
      <w:r>
        <w:rPr/>
        <w:t>estos.</w:t>
      </w:r>
    </w:p>
    <w:p>
      <w:pPr>
        <w:pStyle w:val="Heading1"/>
        <w:spacing w:before="71"/>
        <w:ind w:right="896"/>
      </w:pPr>
      <w:r>
        <w:rPr>
          <w:b w:val="0"/>
        </w:rPr>
        <w:br w:type="column"/>
      </w:r>
      <w:r>
        <w:rPr/>
        <w:t>Caracterización Físico-Geográfica</w:t>
      </w:r>
    </w:p>
    <w:p>
      <w:pPr>
        <w:pStyle w:val="BodyText"/>
        <w:rPr>
          <w:b/>
          <w:sz w:val="21"/>
        </w:rPr>
      </w:pPr>
    </w:p>
    <w:p>
      <w:pPr>
        <w:pStyle w:val="BodyText"/>
        <w:spacing w:line="249" w:lineRule="auto"/>
        <w:ind w:left="130" w:right="140" w:firstLine="170"/>
        <w:jc w:val="both"/>
      </w:pPr>
      <w:r>
        <w:rPr/>
        <w:t>En</w:t>
      </w:r>
      <w:r>
        <w:rPr>
          <w:spacing w:val="-10"/>
        </w:rPr>
        <w:t> </w:t>
      </w:r>
      <w:r>
        <w:rPr/>
        <w:t>un</w:t>
      </w:r>
      <w:r>
        <w:rPr>
          <w:spacing w:val="-10"/>
        </w:rPr>
        <w:t> </w:t>
      </w:r>
      <w:r>
        <w:rPr/>
        <w:t>primer</w:t>
      </w:r>
      <w:r>
        <w:rPr>
          <w:spacing w:val="-10"/>
        </w:rPr>
        <w:t> </w:t>
      </w:r>
      <w:r>
        <w:rPr/>
        <w:t>momento</w:t>
      </w:r>
      <w:r>
        <w:rPr>
          <w:spacing w:val="-10"/>
        </w:rPr>
        <w:t> </w:t>
      </w:r>
      <w:r>
        <w:rPr/>
        <w:t>se</w:t>
      </w:r>
      <w:r>
        <w:rPr>
          <w:spacing w:val="-10"/>
        </w:rPr>
        <w:t> </w:t>
      </w:r>
      <w:r>
        <w:rPr/>
        <w:t>realizó</w:t>
      </w:r>
      <w:r>
        <w:rPr>
          <w:spacing w:val="-10"/>
        </w:rPr>
        <w:t> </w:t>
      </w:r>
      <w:r>
        <w:rPr/>
        <w:t>la</w:t>
      </w:r>
      <w:r>
        <w:rPr>
          <w:spacing w:val="-10"/>
        </w:rPr>
        <w:t> </w:t>
      </w:r>
      <w:r>
        <w:rPr/>
        <w:t>delimitación</w:t>
      </w:r>
      <w:r>
        <w:rPr>
          <w:spacing w:val="-10"/>
        </w:rPr>
        <w:t> </w:t>
      </w:r>
      <w:r>
        <w:rPr/>
        <w:t>del</w:t>
      </w:r>
      <w:r>
        <w:rPr>
          <w:spacing w:val="-10"/>
        </w:rPr>
        <w:t> </w:t>
      </w:r>
      <w:r>
        <w:rPr/>
        <w:t>área</w:t>
      </w:r>
      <w:r>
        <w:rPr>
          <w:spacing w:val="-10"/>
        </w:rPr>
        <w:t> </w:t>
      </w:r>
      <w:r>
        <w:rPr/>
        <w:t>de</w:t>
      </w:r>
      <w:r>
        <w:rPr>
          <w:spacing w:val="-10"/>
        </w:rPr>
        <w:t> </w:t>
      </w:r>
      <w:r>
        <w:rPr/>
        <w:t>estudio,</w:t>
      </w:r>
      <w:r>
        <w:rPr>
          <w:spacing w:val="-10"/>
        </w:rPr>
        <w:t> </w:t>
      </w:r>
      <w:r>
        <w:rPr/>
        <w:t>para</w:t>
      </w:r>
      <w:r>
        <w:rPr>
          <w:spacing w:val="-10"/>
        </w:rPr>
        <w:t> </w:t>
      </w:r>
      <w:r>
        <w:rPr/>
        <w:t>ello</w:t>
      </w:r>
      <w:r>
        <w:rPr>
          <w:spacing w:val="-10"/>
        </w:rPr>
        <w:t> </w:t>
      </w:r>
      <w:r>
        <w:rPr/>
        <w:t>se</w:t>
      </w:r>
      <w:r>
        <w:rPr>
          <w:spacing w:val="-10"/>
        </w:rPr>
        <w:t> </w:t>
      </w:r>
      <w:r>
        <w:rPr/>
        <w:t>tomó como</w:t>
      </w:r>
      <w:r>
        <w:rPr>
          <w:spacing w:val="-13"/>
        </w:rPr>
        <w:t> </w:t>
      </w:r>
      <w:r>
        <w:rPr/>
        <w:t>base</w:t>
      </w:r>
      <w:r>
        <w:rPr>
          <w:spacing w:val="-13"/>
        </w:rPr>
        <w:t> </w:t>
      </w:r>
      <w:r>
        <w:rPr/>
        <w:t>la</w:t>
      </w:r>
      <w:r>
        <w:rPr>
          <w:spacing w:val="-13"/>
        </w:rPr>
        <w:t> </w:t>
      </w:r>
      <w:r>
        <w:rPr/>
        <w:t>división</w:t>
      </w:r>
      <w:r>
        <w:rPr>
          <w:spacing w:val="-13"/>
        </w:rPr>
        <w:t> </w:t>
      </w:r>
      <w:r>
        <w:rPr/>
        <w:t>político-administrativo</w:t>
      </w:r>
      <w:r>
        <w:rPr>
          <w:spacing w:val="-15"/>
        </w:rPr>
        <w:t> </w:t>
      </w:r>
      <w:r>
        <w:rPr/>
        <w:t>del</w:t>
      </w:r>
      <w:r>
        <w:rPr>
          <w:spacing w:val="-13"/>
        </w:rPr>
        <w:t> </w:t>
      </w:r>
      <w:r>
        <w:rPr/>
        <w:t>Estado</w:t>
      </w:r>
      <w:r>
        <w:rPr>
          <w:spacing w:val="-13"/>
        </w:rPr>
        <w:t> </w:t>
      </w:r>
      <w:r>
        <w:rPr/>
        <w:t>de</w:t>
      </w:r>
      <w:r>
        <w:rPr>
          <w:spacing w:val="-13"/>
        </w:rPr>
        <w:t> </w:t>
      </w:r>
      <w:r>
        <w:rPr/>
        <w:t>México,</w:t>
      </w:r>
      <w:r>
        <w:rPr>
          <w:spacing w:val="-13"/>
        </w:rPr>
        <w:t> </w:t>
      </w:r>
      <w:r>
        <w:rPr/>
        <w:t>una</w:t>
      </w:r>
      <w:r>
        <w:rPr>
          <w:spacing w:val="-13"/>
        </w:rPr>
        <w:t> </w:t>
      </w:r>
      <w:r>
        <w:rPr/>
        <w:t>vez</w:t>
      </w:r>
      <w:r>
        <w:rPr>
          <w:spacing w:val="-13"/>
        </w:rPr>
        <w:t> </w:t>
      </w:r>
      <w:r>
        <w:rPr/>
        <w:t>determinada el</w:t>
      </w:r>
      <w:r>
        <w:rPr>
          <w:spacing w:val="-13"/>
        </w:rPr>
        <w:t> </w:t>
      </w:r>
      <w:r>
        <w:rPr/>
        <w:t>área</w:t>
      </w:r>
      <w:r>
        <w:rPr>
          <w:spacing w:val="-13"/>
        </w:rPr>
        <w:t> </w:t>
      </w:r>
      <w:r>
        <w:rPr/>
        <w:t>de</w:t>
      </w:r>
      <w:r>
        <w:rPr>
          <w:spacing w:val="-13"/>
        </w:rPr>
        <w:t> </w:t>
      </w:r>
      <w:r>
        <w:rPr/>
        <w:t>estudio</w:t>
      </w:r>
      <w:r>
        <w:rPr>
          <w:spacing w:val="-13"/>
        </w:rPr>
        <w:t> </w:t>
      </w:r>
      <w:r>
        <w:rPr/>
        <w:t>y</w:t>
      </w:r>
      <w:r>
        <w:rPr>
          <w:spacing w:val="-13"/>
        </w:rPr>
        <w:t> </w:t>
      </w:r>
      <w:r>
        <w:rPr/>
        <w:t>las</w:t>
      </w:r>
      <w:r>
        <w:rPr>
          <w:spacing w:val="-13"/>
        </w:rPr>
        <w:t> </w:t>
      </w:r>
      <w:r>
        <w:rPr/>
        <w:t>localidades</w:t>
      </w:r>
      <w:r>
        <w:rPr>
          <w:spacing w:val="-13"/>
        </w:rPr>
        <w:t> </w:t>
      </w:r>
      <w:r>
        <w:rPr/>
        <w:t>(Malinalco,</w:t>
      </w:r>
      <w:r>
        <w:rPr>
          <w:spacing w:val="-13"/>
        </w:rPr>
        <w:t> </w:t>
      </w:r>
      <w:r>
        <w:rPr/>
        <w:t>Tenancingo</w:t>
      </w:r>
      <w:r>
        <w:rPr>
          <w:spacing w:val="-13"/>
        </w:rPr>
        <w:t> </w:t>
      </w:r>
      <w:r>
        <w:rPr/>
        <w:t>y</w:t>
      </w:r>
      <w:r>
        <w:rPr>
          <w:spacing w:val="-13"/>
        </w:rPr>
        <w:t> </w:t>
      </w:r>
      <w:r>
        <w:rPr/>
        <w:t>Villa</w:t>
      </w:r>
      <w:r>
        <w:rPr>
          <w:spacing w:val="-13"/>
        </w:rPr>
        <w:t> </w:t>
      </w:r>
      <w:r>
        <w:rPr/>
        <w:t>Guerrero),</w:t>
      </w:r>
      <w:r>
        <w:rPr>
          <w:spacing w:val="-13"/>
        </w:rPr>
        <w:t> </w:t>
      </w:r>
      <w:r>
        <w:rPr/>
        <w:t>de</w:t>
      </w:r>
      <w:r>
        <w:rPr>
          <w:spacing w:val="-13"/>
        </w:rPr>
        <w:t> </w:t>
      </w:r>
      <w:r>
        <w:rPr/>
        <w:t>acuerdo con condiciones geográficas, sociales, económicas, ambientales y de biodiversidad,  se estudiaron espacialmente la cabecera municipal y tres localidades de cada municipio, esto permitió ubicar los huertos establecidos dentro del área urbana y en tres comunidades rurales. Donde la interacción de los factores fisiográficos, biológicos y socioculturales favorece una amplia agrobiodiversidad en los distintos </w:t>
      </w:r>
      <w:r>
        <w:rPr>
          <w:spacing w:val="30"/>
        </w:rPr>
        <w:t> </w:t>
      </w:r>
      <w:r>
        <w:rPr/>
        <w:t>ambientes.</w:t>
      </w:r>
    </w:p>
    <w:p>
      <w:pPr>
        <w:pStyle w:val="BodyText"/>
        <w:spacing w:before="11"/>
      </w:pPr>
    </w:p>
    <w:p>
      <w:pPr>
        <w:pStyle w:val="BodyText"/>
        <w:spacing w:line="249" w:lineRule="auto"/>
        <w:ind w:left="130" w:right="140" w:firstLine="170"/>
        <w:jc w:val="both"/>
      </w:pPr>
      <w:r>
        <w:rPr/>
        <w:t>Se procedió a la caracterización físico-geográfica, para la descripción de las características físicas se obtuvo información de las cartas geológica, edafológica y topográfica</w:t>
      </w:r>
      <w:r>
        <w:rPr>
          <w:spacing w:val="-6"/>
        </w:rPr>
        <w:t> </w:t>
      </w:r>
      <w:r>
        <w:rPr/>
        <w:t>de</w:t>
      </w:r>
      <w:r>
        <w:rPr>
          <w:spacing w:val="-6"/>
        </w:rPr>
        <w:t> </w:t>
      </w:r>
      <w:r>
        <w:rPr/>
        <w:t>INEGI,</w:t>
      </w:r>
      <w:r>
        <w:rPr>
          <w:spacing w:val="-6"/>
        </w:rPr>
        <w:t> </w:t>
      </w:r>
      <w:r>
        <w:rPr/>
        <w:t>escala</w:t>
      </w:r>
      <w:r>
        <w:rPr>
          <w:spacing w:val="-6"/>
        </w:rPr>
        <w:t> </w:t>
      </w:r>
      <w:r>
        <w:rPr/>
        <w:t>1:50,000.</w:t>
      </w:r>
      <w:r>
        <w:rPr>
          <w:spacing w:val="-6"/>
        </w:rPr>
        <w:t> </w:t>
      </w:r>
      <w:r>
        <w:rPr/>
        <w:t>Las</w:t>
      </w:r>
      <w:r>
        <w:rPr>
          <w:spacing w:val="-6"/>
        </w:rPr>
        <w:t> </w:t>
      </w:r>
      <w:r>
        <w:rPr/>
        <w:t>características</w:t>
      </w:r>
      <w:r>
        <w:rPr>
          <w:spacing w:val="-6"/>
        </w:rPr>
        <w:t> </w:t>
      </w:r>
      <w:r>
        <w:rPr/>
        <w:t>geográficas</w:t>
      </w:r>
      <w:r>
        <w:rPr>
          <w:spacing w:val="-6"/>
        </w:rPr>
        <w:t> </w:t>
      </w:r>
      <w:r>
        <w:rPr/>
        <w:t>se</w:t>
      </w:r>
      <w:r>
        <w:rPr>
          <w:spacing w:val="-6"/>
        </w:rPr>
        <w:t> </w:t>
      </w:r>
      <w:r>
        <w:rPr/>
        <w:t>determinaron mediante investigación bibliográfica respecto al clima, relieve, hidrografía y vegetación. Con métodos de representación cartográfica, se elaboraron mapas temáticos en los que se muestren las zonas cubiertas con vegetación, uso de suelo, climas y altimetría, entre otros. Y se identificaron tipos de rocas, de suelos y unidades geomorfológicas que ayudan a relacionar elementos en el área de trabajo con la presencia de huertos familiares. A partir de estos datos, se analizaron los elementos que ofrecen a los huertos familiares las condiciones para su establecimiento, y que favorece tener una alta diversidad florística en los huertos</w:t>
      </w:r>
      <w:r>
        <w:rPr>
          <w:spacing w:val="23"/>
        </w:rPr>
        <w:t> </w:t>
      </w:r>
      <w:r>
        <w:rPr/>
        <w:t>familiares.</w:t>
      </w:r>
    </w:p>
    <w:p>
      <w:pPr>
        <w:pStyle w:val="BodyText"/>
        <w:spacing w:before="8"/>
        <w:rPr>
          <w:sz w:val="17"/>
        </w:rPr>
      </w:pPr>
    </w:p>
    <w:p>
      <w:pPr>
        <w:pStyle w:val="Heading1"/>
        <w:ind w:right="896"/>
      </w:pPr>
      <w:r>
        <w:rPr/>
        <w:t>Caracterización Social y Económica</w:t>
      </w:r>
    </w:p>
    <w:p>
      <w:pPr>
        <w:pStyle w:val="BodyText"/>
        <w:rPr>
          <w:b/>
          <w:sz w:val="21"/>
        </w:rPr>
      </w:pPr>
    </w:p>
    <w:p>
      <w:pPr>
        <w:pStyle w:val="BodyText"/>
        <w:spacing w:line="249" w:lineRule="auto"/>
        <w:ind w:left="130" w:right="140" w:firstLine="170"/>
        <w:jc w:val="both"/>
      </w:pPr>
      <w:r>
        <w:rPr/>
        <w:t>Se realizó la caracterización social y económica por localidad con la finalidad de hacer un análisis comparativo sobre su población, nivel económico y de educación que presenta la zona tomando en cuenta datos del Censo de Población y Vivienda 2010. Esto permitió establecer las relaciones que hay entre las condiciones socioeconómicas y el huerto, para valorar el grado de importancia que les representa a las familias el contar</w:t>
      </w:r>
      <w:r>
        <w:rPr>
          <w:spacing w:val="-6"/>
        </w:rPr>
        <w:t> </w:t>
      </w:r>
      <w:r>
        <w:rPr/>
        <w:t>con</w:t>
      </w:r>
      <w:r>
        <w:rPr>
          <w:spacing w:val="-6"/>
        </w:rPr>
        <w:t> </w:t>
      </w:r>
      <w:r>
        <w:rPr/>
        <w:t>un</w:t>
      </w:r>
      <w:r>
        <w:rPr>
          <w:spacing w:val="-6"/>
        </w:rPr>
        <w:t> </w:t>
      </w:r>
      <w:r>
        <w:rPr/>
        <w:t>Agroecosistema</w:t>
      </w:r>
      <w:r>
        <w:rPr>
          <w:spacing w:val="-6"/>
        </w:rPr>
        <w:t> </w:t>
      </w:r>
      <w:r>
        <w:rPr/>
        <w:t>con</w:t>
      </w:r>
      <w:r>
        <w:rPr>
          <w:spacing w:val="-6"/>
        </w:rPr>
        <w:t> </w:t>
      </w:r>
      <w:r>
        <w:rPr/>
        <w:t>Huerto</w:t>
      </w:r>
      <w:r>
        <w:rPr>
          <w:spacing w:val="-6"/>
        </w:rPr>
        <w:t> </w:t>
      </w:r>
      <w:r>
        <w:rPr/>
        <w:t>Familiar</w:t>
      </w:r>
      <w:r>
        <w:rPr>
          <w:spacing w:val="-6"/>
        </w:rPr>
        <w:t> </w:t>
      </w:r>
      <w:r>
        <w:rPr/>
        <w:t>(AEHF).</w:t>
      </w:r>
      <w:r>
        <w:rPr>
          <w:spacing w:val="-6"/>
        </w:rPr>
        <w:t> </w:t>
      </w:r>
      <w:r>
        <w:rPr/>
        <w:t>Para</w:t>
      </w:r>
      <w:r>
        <w:rPr>
          <w:spacing w:val="-6"/>
        </w:rPr>
        <w:t> </w:t>
      </w:r>
      <w:r>
        <w:rPr/>
        <w:t>evaluar</w:t>
      </w:r>
      <w:r>
        <w:rPr>
          <w:spacing w:val="-6"/>
        </w:rPr>
        <w:t> </w:t>
      </w:r>
      <w:r>
        <w:rPr/>
        <w:t>la</w:t>
      </w:r>
      <w:r>
        <w:rPr>
          <w:spacing w:val="-6"/>
        </w:rPr>
        <w:t> </w:t>
      </w:r>
      <w:r>
        <w:rPr/>
        <w:t>importancia de los AEHF, se están llevando a cabo entrevistas estructuradas a los miembros de  las familias que se encargan del cuidado de los huertos familiares, con el objetivo de precisar la relevancia de los huertos como una alternativa agroforestal para obtener beneficios ambientales, sociales y</w:t>
      </w:r>
      <w:r>
        <w:rPr>
          <w:spacing w:val="46"/>
        </w:rPr>
        <w:t> </w:t>
      </w:r>
      <w:r>
        <w:rPr/>
        <w:t>económicos.</w:t>
      </w:r>
    </w:p>
    <w:p>
      <w:pPr>
        <w:pStyle w:val="BodyText"/>
        <w:spacing w:before="6"/>
      </w:pPr>
    </w:p>
    <w:p>
      <w:pPr>
        <w:pStyle w:val="Heading1"/>
        <w:spacing w:line="240" w:lineRule="exact"/>
        <w:ind w:right="896"/>
      </w:pPr>
      <w:r>
        <w:rPr/>
        <w:t>Análisis Espacial de la frecuencia y distribución de huertos familiares en las localidades estudiadas.</w:t>
      </w:r>
    </w:p>
    <w:p>
      <w:pPr>
        <w:pStyle w:val="BodyText"/>
        <w:spacing w:before="2"/>
        <w:rPr>
          <w:b/>
          <w:sz w:val="21"/>
        </w:rPr>
      </w:pPr>
    </w:p>
    <w:p>
      <w:pPr>
        <w:pStyle w:val="BodyText"/>
        <w:spacing w:line="249" w:lineRule="auto" w:before="1"/>
        <w:ind w:left="130" w:right="141" w:firstLine="170"/>
        <w:jc w:val="both"/>
      </w:pPr>
      <w:r>
        <w:rPr/>
        <w:t>El análisis espacial se realizó a través de fotointerpretación, a partir de imágenes de satélite</w:t>
      </w:r>
      <w:r>
        <w:rPr>
          <w:spacing w:val="-8"/>
        </w:rPr>
        <w:t> </w:t>
      </w:r>
      <w:r>
        <w:rPr/>
        <w:t>se</w:t>
      </w:r>
      <w:r>
        <w:rPr>
          <w:spacing w:val="-8"/>
        </w:rPr>
        <w:t> </w:t>
      </w:r>
      <w:r>
        <w:rPr/>
        <w:t>ubicaron</w:t>
      </w:r>
      <w:r>
        <w:rPr>
          <w:spacing w:val="-8"/>
        </w:rPr>
        <w:t> </w:t>
      </w:r>
      <w:r>
        <w:rPr/>
        <w:t>los</w:t>
      </w:r>
      <w:r>
        <w:rPr>
          <w:spacing w:val="-8"/>
        </w:rPr>
        <w:t> </w:t>
      </w:r>
      <w:r>
        <w:rPr/>
        <w:t>huertos</w:t>
      </w:r>
      <w:r>
        <w:rPr>
          <w:spacing w:val="-8"/>
        </w:rPr>
        <w:t> </w:t>
      </w:r>
      <w:r>
        <w:rPr/>
        <w:t>familiares</w:t>
      </w:r>
      <w:r>
        <w:rPr>
          <w:spacing w:val="-8"/>
        </w:rPr>
        <w:t> </w:t>
      </w:r>
      <w:r>
        <w:rPr/>
        <w:t>por</w:t>
      </w:r>
      <w:r>
        <w:rPr>
          <w:spacing w:val="-8"/>
        </w:rPr>
        <w:t> </w:t>
      </w:r>
      <w:r>
        <w:rPr/>
        <w:t>localidad,</w:t>
      </w:r>
      <w:r>
        <w:rPr>
          <w:spacing w:val="-8"/>
        </w:rPr>
        <w:t> </w:t>
      </w:r>
      <w:r>
        <w:rPr/>
        <w:t>mediante</w:t>
      </w:r>
      <w:r>
        <w:rPr>
          <w:spacing w:val="-8"/>
        </w:rPr>
        <w:t> </w:t>
      </w:r>
      <w:r>
        <w:rPr/>
        <w:t>verificación</w:t>
      </w:r>
      <w:r>
        <w:rPr>
          <w:spacing w:val="-8"/>
        </w:rPr>
        <w:t> </w:t>
      </w:r>
      <w:r>
        <w:rPr/>
        <w:t>en</w:t>
      </w:r>
      <w:r>
        <w:rPr>
          <w:spacing w:val="-8"/>
        </w:rPr>
        <w:t> </w:t>
      </w:r>
      <w:r>
        <w:rPr/>
        <w:t>campo se</w:t>
      </w:r>
      <w:r>
        <w:rPr>
          <w:spacing w:val="21"/>
        </w:rPr>
        <w:t> </w:t>
      </w:r>
      <w:r>
        <w:rPr/>
        <w:t>corrobora</w:t>
      </w:r>
      <w:r>
        <w:rPr>
          <w:spacing w:val="21"/>
        </w:rPr>
        <w:t> </w:t>
      </w:r>
      <w:r>
        <w:rPr/>
        <w:t>su</w:t>
      </w:r>
      <w:r>
        <w:rPr>
          <w:spacing w:val="21"/>
        </w:rPr>
        <w:t> </w:t>
      </w:r>
      <w:r>
        <w:rPr/>
        <w:t>geoposicionamiento,</w:t>
      </w:r>
      <w:r>
        <w:rPr>
          <w:spacing w:val="21"/>
        </w:rPr>
        <w:t> </w:t>
      </w:r>
      <w:r>
        <w:rPr/>
        <w:t>con</w:t>
      </w:r>
      <w:r>
        <w:rPr>
          <w:spacing w:val="21"/>
        </w:rPr>
        <w:t> </w:t>
      </w:r>
      <w:r>
        <w:rPr/>
        <w:t>el</w:t>
      </w:r>
      <w:r>
        <w:rPr>
          <w:spacing w:val="21"/>
        </w:rPr>
        <w:t> </w:t>
      </w:r>
      <w:r>
        <w:rPr/>
        <w:t>fin</w:t>
      </w:r>
      <w:r>
        <w:rPr>
          <w:spacing w:val="21"/>
        </w:rPr>
        <w:t> </w:t>
      </w:r>
      <w:r>
        <w:rPr/>
        <w:t>de</w:t>
      </w:r>
      <w:r>
        <w:rPr>
          <w:spacing w:val="21"/>
        </w:rPr>
        <w:t> </w:t>
      </w:r>
      <w:r>
        <w:rPr/>
        <w:t>analizar</w:t>
      </w:r>
      <w:r>
        <w:rPr>
          <w:spacing w:val="21"/>
        </w:rPr>
        <w:t> </w:t>
      </w:r>
      <w:r>
        <w:rPr/>
        <w:t>su</w:t>
      </w:r>
      <w:r>
        <w:rPr>
          <w:spacing w:val="21"/>
        </w:rPr>
        <w:t> </w:t>
      </w:r>
      <w:r>
        <w:rPr/>
        <w:t>distribución</w:t>
      </w:r>
      <w:r>
        <w:rPr>
          <w:spacing w:val="21"/>
        </w:rPr>
        <w:t> </w:t>
      </w:r>
      <w:r>
        <w:rPr/>
        <w:t>espacial</w:t>
      </w:r>
      <w:r>
        <w:rPr>
          <w:spacing w:val="21"/>
        </w:rPr>
        <w:t> </w:t>
      </w:r>
      <w:r>
        <w:rPr/>
        <w:t>y</w:t>
      </w:r>
    </w:p>
    <w:p>
      <w:pPr>
        <w:spacing w:after="0" w:line="249" w:lineRule="auto"/>
        <w:jc w:val="both"/>
        <w:sectPr>
          <w:type w:val="continuous"/>
          <w:pgSz w:w="18830" w:h="12760" w:orient="landscape"/>
          <w:pgMar w:top="1420" w:bottom="280" w:left="720" w:right="720"/>
          <w:cols w:num="2" w:equalWidth="0">
            <w:col w:w="7842" w:space="1556"/>
            <w:col w:w="7992"/>
          </w:cols>
        </w:sectPr>
      </w:pPr>
    </w:p>
    <w:p>
      <w:pPr>
        <w:pStyle w:val="BodyText"/>
        <w:spacing w:before="6"/>
        <w:rPr>
          <w:sz w:val="23"/>
        </w:rPr>
      </w:pPr>
    </w:p>
    <w:p>
      <w:pPr>
        <w:spacing w:after="0"/>
        <w:rPr>
          <w:sz w:val="23"/>
        </w:rPr>
        <w:sectPr>
          <w:footerReference w:type="default" r:id="rId252"/>
          <w:pgSz w:w="18830" w:h="12760" w:orient="landscape"/>
          <w:pgMar w:footer="1036" w:header="522" w:top="820" w:bottom="1220" w:left="720" w:right="720"/>
        </w:sectPr>
      </w:pPr>
    </w:p>
    <w:p>
      <w:pPr>
        <w:pStyle w:val="BodyText"/>
        <w:spacing w:line="240" w:lineRule="atLeast" w:before="66"/>
        <w:ind w:left="130"/>
        <w:jc w:val="both"/>
      </w:pPr>
      <w:r>
        <w:rPr/>
        <w:t>tendencias dentro del área de estudio. Posteriormente se hará una comparación entre la</w:t>
      </w:r>
      <w:r>
        <w:rPr>
          <w:spacing w:val="-7"/>
        </w:rPr>
        <w:t> </w:t>
      </w:r>
      <w:r>
        <w:rPr/>
        <w:t>zona</w:t>
      </w:r>
      <w:r>
        <w:rPr>
          <w:spacing w:val="-7"/>
        </w:rPr>
        <w:t> </w:t>
      </w:r>
      <w:r>
        <w:rPr/>
        <w:t>rural</w:t>
      </w:r>
      <w:r>
        <w:rPr>
          <w:spacing w:val="-7"/>
        </w:rPr>
        <w:t> </w:t>
      </w:r>
      <w:r>
        <w:rPr/>
        <w:t>y</w:t>
      </w:r>
      <w:r>
        <w:rPr>
          <w:spacing w:val="-7"/>
        </w:rPr>
        <w:t> </w:t>
      </w:r>
      <w:r>
        <w:rPr/>
        <w:t>la</w:t>
      </w:r>
      <w:r>
        <w:rPr>
          <w:spacing w:val="-7"/>
        </w:rPr>
        <w:t> </w:t>
      </w:r>
      <w:r>
        <w:rPr/>
        <w:t>cabecera</w:t>
      </w:r>
      <w:r>
        <w:rPr>
          <w:spacing w:val="-7"/>
        </w:rPr>
        <w:t> </w:t>
      </w:r>
      <w:r>
        <w:rPr/>
        <w:t>municipal</w:t>
      </w:r>
      <w:r>
        <w:rPr>
          <w:spacing w:val="-7"/>
        </w:rPr>
        <w:t> </w:t>
      </w:r>
      <w:r>
        <w:rPr/>
        <w:t>para</w:t>
      </w:r>
      <w:r>
        <w:rPr>
          <w:spacing w:val="-7"/>
        </w:rPr>
        <w:t> </w:t>
      </w:r>
      <w:r>
        <w:rPr/>
        <w:t>determinar</w:t>
      </w:r>
      <w:r>
        <w:rPr>
          <w:spacing w:val="-7"/>
        </w:rPr>
        <w:t> </w:t>
      </w:r>
      <w:r>
        <w:rPr/>
        <w:t>condiciones</w:t>
      </w:r>
      <w:r>
        <w:rPr>
          <w:spacing w:val="-7"/>
        </w:rPr>
        <w:t> </w:t>
      </w:r>
      <w:r>
        <w:rPr/>
        <w:t>sociales,</w:t>
      </w:r>
      <w:r>
        <w:rPr>
          <w:spacing w:val="-7"/>
        </w:rPr>
        <w:t> </w:t>
      </w:r>
      <w:r>
        <w:rPr/>
        <w:t>económicas</w:t>
      </w:r>
      <w:r>
        <w:rPr>
          <w:w w:val="101"/>
        </w:rPr>
        <w:t> </w:t>
      </w:r>
      <w:r>
        <w:rPr/>
        <w:t>y</w:t>
      </w:r>
      <w:r>
        <w:rPr>
          <w:spacing w:val="32"/>
        </w:rPr>
        <w:t> </w:t>
      </w:r>
      <w:r>
        <w:rPr/>
        <w:t>ambientales</w:t>
      </w:r>
      <w:r>
        <w:rPr>
          <w:spacing w:val="32"/>
        </w:rPr>
        <w:t> </w:t>
      </w:r>
      <w:r>
        <w:rPr/>
        <w:t>que</w:t>
      </w:r>
      <w:r>
        <w:rPr>
          <w:spacing w:val="32"/>
        </w:rPr>
        <w:t> </w:t>
      </w:r>
      <w:r>
        <w:rPr/>
        <w:t>favorecen</w:t>
      </w:r>
      <w:r>
        <w:rPr>
          <w:spacing w:val="32"/>
        </w:rPr>
        <w:t> </w:t>
      </w:r>
      <w:r>
        <w:rPr/>
        <w:t>o</w:t>
      </w:r>
      <w:r>
        <w:rPr>
          <w:spacing w:val="32"/>
        </w:rPr>
        <w:t> </w:t>
      </w:r>
      <w:r>
        <w:rPr/>
        <w:t>limitan</w:t>
      </w:r>
      <w:r>
        <w:rPr>
          <w:spacing w:val="32"/>
        </w:rPr>
        <w:t> </w:t>
      </w:r>
      <w:r>
        <w:rPr/>
        <w:t>su</w:t>
      </w:r>
      <w:r>
        <w:rPr>
          <w:spacing w:val="32"/>
        </w:rPr>
        <w:t> </w:t>
      </w:r>
      <w:r>
        <w:rPr/>
        <w:t>presencia.</w:t>
      </w:r>
      <w:r>
        <w:rPr>
          <w:spacing w:val="32"/>
        </w:rPr>
        <w:t> </w:t>
      </w:r>
      <w:r>
        <w:rPr/>
        <w:t>Con</w:t>
      </w:r>
      <w:r>
        <w:rPr>
          <w:spacing w:val="32"/>
        </w:rPr>
        <w:t> </w:t>
      </w:r>
      <w:r>
        <w:rPr/>
        <w:t>lo</w:t>
      </w:r>
      <w:r>
        <w:rPr>
          <w:spacing w:val="32"/>
        </w:rPr>
        <w:t> </w:t>
      </w:r>
      <w:r>
        <w:rPr/>
        <w:t>anterior</w:t>
      </w:r>
      <w:r>
        <w:rPr>
          <w:spacing w:val="32"/>
        </w:rPr>
        <w:t> </w:t>
      </w:r>
      <w:r>
        <w:rPr/>
        <w:t>se</w:t>
      </w:r>
      <w:r>
        <w:rPr>
          <w:spacing w:val="32"/>
        </w:rPr>
        <w:t> </w:t>
      </w:r>
      <w:r>
        <w:rPr/>
        <w:t>obtendrá</w:t>
      </w:r>
      <w:r>
        <w:rPr>
          <w:spacing w:val="32"/>
        </w:rPr>
        <w:t> </w:t>
      </w:r>
      <w:r>
        <w:rPr/>
        <w:t>la</w:t>
      </w:r>
      <w:r>
        <w:rPr>
          <w:w w:val="97"/>
        </w:rPr>
        <w:t> </w:t>
      </w:r>
      <w:r>
        <w:rPr/>
        <w:t>siguiente información: localización de los huertos por localidad, número de huertos presentes en las localidades, forma de los huertos familiares y tamaño de los huertos familiares. Con el fin de contar con un control estadístico de las áreas que cuentan</w:t>
      </w:r>
      <w:r>
        <w:rPr>
          <w:spacing w:val="-1"/>
        </w:rPr>
        <w:t> </w:t>
      </w:r>
      <w:r>
        <w:rPr/>
        <w:t>con</w:t>
      </w:r>
    </w:p>
    <w:p>
      <w:pPr>
        <w:spacing w:before="114"/>
        <w:ind w:left="333" w:right="0" w:firstLine="0"/>
        <w:jc w:val="left"/>
        <w:rPr>
          <w:sz w:val="16"/>
        </w:rPr>
      </w:pPr>
      <w:r>
        <w:rPr/>
        <w:br w:type="column"/>
      </w:r>
      <w:r>
        <w:rPr>
          <w:color w:val="6D6E71"/>
          <w:sz w:val="16"/>
        </w:rPr>
        <w:t>Cuadro 1. Etapas metodológicas para el estudio de Agro ecosistemas con Huertos Familiares (AEHF)</w:t>
      </w:r>
    </w:p>
    <w:p>
      <w:pPr>
        <w:spacing w:line="137" w:lineRule="exact" w:before="84"/>
        <w:ind w:left="203" w:right="0" w:firstLine="0"/>
        <w:jc w:val="left"/>
        <w:rPr>
          <w:sz w:val="16"/>
        </w:rPr>
      </w:pPr>
      <w:r>
        <w:rPr/>
        <w:pict>
          <v:group style="position:absolute;margin-left:590.770874pt;margin-top:5.141290pt;width:307.350pt;height:392.05pt;mso-position-horizontal-relative:page;mso-position-vertical-relative:paragraph;z-index:-642400" coordorigin="11815,103" coordsize="6147,7841">
            <v:line style="position:absolute" from="11820,402" to="11820,123" stroked="true" strokeweight=".5pt" strokecolor="#929292">
              <v:stroke dashstyle="dash"/>
            </v:line>
            <v:shape style="position:absolute;left:0;top:11025;width:2;height:324" coordorigin="0,11025" coordsize="0,324" path="m11820,431l11820,431m11820,108l11820,108e" filled="false" stroked="true" strokeweight=".5pt" strokecolor="#929292">
              <v:path arrowok="t"/>
            </v:shape>
            <v:line style="position:absolute" from="11820,431" to="11820,431" stroked="true" strokeweight=".5pt" strokecolor="#929292"/>
            <v:line style="position:absolute" from="11820,550" to="11820,446" stroked="true" strokeweight=".5pt" strokecolor="#929292">
              <v:stroke dashstyle="dash"/>
            </v:line>
            <v:shape style="position:absolute;left:0;top:11200;width:2;height:149" coordorigin="0,11200" coordsize="0,149" path="m11820,579l11820,579m11820,431l11820,431e" filled="false" stroked="true" strokeweight=".5pt" strokecolor="#929292">
              <v:path arrowok="t"/>
            </v:shape>
            <v:line style="position:absolute" from="11820,698" to="11820,594" stroked="true" strokeweight=".5pt" strokecolor="#929292">
              <v:stroke dashstyle="dash"/>
            </v:line>
            <v:shape style="position:absolute;left:0;top:11200;width:2;height:149" coordorigin="0,11200" coordsize="0,149" path="m11820,728l11820,728m11820,579l11820,579e" filled="false" stroked="true" strokeweight=".5pt" strokecolor="#929292">
              <v:path arrowok="t"/>
            </v:shape>
            <v:line style="position:absolute" from="11820,846" to="11820,742" stroked="true" strokeweight=".5pt" strokecolor="#929292">
              <v:stroke dashstyle="dash"/>
            </v:line>
            <v:shape style="position:absolute;left:0;top:11200;width:2;height:149" coordorigin="0,11200" coordsize="0,149" path="m11820,876l11820,876m11820,728l11820,728e" filled="false" stroked="true" strokeweight=".5pt" strokecolor="#929292">
              <v:path arrowok="t"/>
            </v:shape>
            <v:line style="position:absolute" from="11820,994" to="11820,891" stroked="true" strokeweight=".5pt" strokecolor="#929292">
              <v:stroke dashstyle="dash"/>
            </v:line>
            <v:shape style="position:absolute;left:0;top:11200;width:2;height:149" coordorigin="0,11200" coordsize="0,149" path="m11820,1024l11820,1024m11820,876l11820,876e" filled="false" stroked="true" strokeweight=".5pt" strokecolor="#929292">
              <v:path arrowok="t"/>
            </v:shape>
            <v:line style="position:absolute" from="11820,1143" to="11820,1039" stroked="true" strokeweight=".5pt" strokecolor="#929292">
              <v:stroke dashstyle="dash"/>
            </v:line>
            <v:shape style="position:absolute;left:0;top:11200;width:2;height:149" coordorigin="0,11200" coordsize="0,149" path="m11820,1172l11820,1172m11820,1024l11820,1024e" filled="false" stroked="true" strokeweight=".5pt" strokecolor="#929292">
              <v:path arrowok="t"/>
            </v:shape>
            <v:line style="position:absolute" from="13096,402" to="13096,123" stroked="true" strokeweight=".5pt" strokecolor="#929292">
              <v:stroke dashstyle="dash"/>
            </v:line>
            <v:shape style="position:absolute;left:0;top:11025;width:2;height:324" coordorigin="0,11025" coordsize="0,324" path="m13096,431l13096,431m13096,108l13096,108e" filled="false" stroked="true" strokeweight=".5pt" strokecolor="#929292">
              <v:path arrowok="t"/>
            </v:shape>
            <v:line style="position:absolute" from="11850,431" to="13082,431" stroked="true" strokeweight=".5pt" strokecolor="#929292">
              <v:stroke dashstyle="dash"/>
            </v:line>
            <v:shape style="position:absolute;left:0;top:11348;width:1276;height:2" coordorigin="0,11348" coordsize="1276,0" path="m11820,431l11820,431m13096,431l13096,431e" filled="false" stroked="true" strokeweight=".5pt" strokecolor="#929292">
              <v:path arrowok="t"/>
            </v:shape>
            <v:line style="position:absolute" from="13096,550" to="13096,446" stroked="true" strokeweight=".5pt" strokecolor="#929292">
              <v:stroke dashstyle="dash"/>
            </v:line>
            <v:shape style="position:absolute;left:0;top:11200;width:2;height:149" coordorigin="0,11200" coordsize="0,149" path="m13096,579l13096,579m13096,431l13096,431e" filled="false" stroked="true" strokeweight=".5pt" strokecolor="#929292">
              <v:path arrowok="t"/>
            </v:shape>
            <v:line style="position:absolute" from="13126,431" to="17942,431" stroked="true" strokeweight=".5pt" strokecolor="#929292">
              <v:stroke dashstyle="dash"/>
            </v:line>
            <v:shape style="position:absolute;left:0;top:11348;width:4861;height:2" coordorigin="0,11348" coordsize="4861,0" path="m13096,431l13096,431m17957,431l17957,431e" filled="false" stroked="true" strokeweight=".5pt" strokecolor="#929292">
              <v:path arrowok="t"/>
            </v:shape>
            <v:line style="position:absolute" from="13096,698" to="13096,594" stroked="true" strokeweight=".5pt" strokecolor="#929292">
              <v:stroke dashstyle="dash"/>
            </v:line>
            <v:shape style="position:absolute;left:0;top:11200;width:2;height:149" coordorigin="0,11200" coordsize="0,149" path="m13096,728l13096,728m13096,579l13096,579e" filled="false" stroked="true" strokeweight=".5pt" strokecolor="#929292">
              <v:path arrowok="t"/>
            </v:shape>
            <v:shape style="position:absolute;left:0;top:11348;width:4861;height:2" coordorigin="0,11348" coordsize="4861,0" path="m13096,579l13096,579m17957,579l17957,579e" filled="false" stroked="true" strokeweight=".5pt" strokecolor="#929292">
              <v:path arrowok="t"/>
            </v:shape>
            <v:line style="position:absolute" from="13096,846" to="13096,742" stroked="true" strokeweight=".5pt" strokecolor="#929292">
              <v:stroke dashstyle="dash"/>
            </v:line>
            <v:shape style="position:absolute;left:0;top:11200;width:2;height:149" coordorigin="0,11200" coordsize="0,149" path="m13096,876l13096,876m13096,728l13096,728e" filled="false" stroked="true" strokeweight=".5pt" strokecolor="#929292">
              <v:path arrowok="t"/>
            </v:shape>
            <v:shape style="position:absolute;left:0;top:11348;width:4861;height:2" coordorigin="0,11348" coordsize="4861,0" path="m13096,728l13096,728m17957,728l17957,728e" filled="false" stroked="true" strokeweight=".5pt" strokecolor="#929292">
              <v:path arrowok="t"/>
            </v:shape>
            <v:line style="position:absolute" from="13096,994" to="13096,891" stroked="true" strokeweight=".5pt" strokecolor="#929292">
              <v:stroke dashstyle="dash"/>
            </v:line>
            <v:shape style="position:absolute;left:0;top:11200;width:2;height:149" coordorigin="0,11200" coordsize="0,149" path="m13096,1024l13096,1024m13096,876l13096,876e" filled="false" stroked="true" strokeweight=".5pt" strokecolor="#929292">
              <v:path arrowok="t"/>
            </v:shape>
            <v:shape style="position:absolute;left:0;top:11348;width:4861;height:2" coordorigin="0,11348" coordsize="4861,0" path="m13096,876l13096,876m17957,876l17957,876e" filled="false" stroked="true" strokeweight=".5pt" strokecolor="#929292">
              <v:path arrowok="t"/>
            </v:shape>
            <v:line style="position:absolute" from="13096,1143" to="13096,1039" stroked="true" strokeweight=".5pt" strokecolor="#929292">
              <v:stroke dashstyle="dash"/>
            </v:line>
            <v:shape style="position:absolute;left:0;top:11200;width:2;height:149" coordorigin="0,11200" coordsize="0,149" path="m13096,1172l13096,1172m13096,1024l13096,1024e" filled="false" stroked="true" strokeweight=".5pt" strokecolor="#929292">
              <v:path arrowok="t"/>
            </v:shape>
            <v:shape style="position:absolute;left:0;top:11348;width:4861;height:2" coordorigin="0,11348" coordsize="4861,0" path="m13096,1024l13096,1024m17957,1024l17957,1024e" filled="false" stroked="true" strokeweight=".5pt" strokecolor="#929292">
              <v:path arrowok="t"/>
            </v:shape>
            <v:line style="position:absolute" from="11820,1291" to="11820,1187" stroked="true" strokeweight=".5pt" strokecolor="#929292">
              <v:stroke dashstyle="dash"/>
            </v:line>
            <v:shape style="position:absolute;left:0;top:11200;width:2;height:149" coordorigin="0,11200" coordsize="0,149" path="m11820,1321l11820,1321m11820,1172l11820,1172e" filled="false" stroked="true" strokeweight=".5pt" strokecolor="#929292">
              <v:path arrowok="t"/>
            </v:shape>
            <v:shape style="position:absolute;left:0;top:11348;width:1276;height:2" coordorigin="0,11348" coordsize="1276,0" path="m11820,1172l11820,1172m13096,1172l13096,1172e" filled="false" stroked="true" strokeweight=".5pt" strokecolor="#929292">
              <v:path arrowok="t"/>
            </v:shape>
            <v:line style="position:absolute" from="13096,1291" to="13096,1187" stroked="true" strokeweight=".5pt" strokecolor="#929292">
              <v:stroke dashstyle="dash"/>
            </v:line>
            <v:shape style="position:absolute;left:0;top:11200;width:2;height:149" coordorigin="0,11200" coordsize="0,149" path="m13096,1321l13096,1321m13096,1172l13096,1172e" filled="false" stroked="true" strokeweight=".5pt" strokecolor="#929292">
              <v:path arrowok="t"/>
            </v:shape>
            <v:shape style="position:absolute;left:0;top:11348;width:4861;height:2" coordorigin="0,11348" coordsize="4861,0" path="m13096,1172l13096,1172m17957,1172l17957,1172e" filled="false" stroked="true" strokeweight=".5pt" strokecolor="#929292">
              <v:path arrowok="t"/>
            </v:shape>
            <v:line style="position:absolute" from="11820,1439" to="11820,1335" stroked="true" strokeweight=".5pt" strokecolor="#929292">
              <v:stroke dashstyle="dash"/>
            </v:line>
            <v:shape style="position:absolute;left:0;top:11200;width:2;height:149" coordorigin="0,11200" coordsize="0,149" path="m11820,1469l11820,1469m11820,1321l11820,1321e" filled="false" stroked="true" strokeweight=".5pt" strokecolor="#929292">
              <v:path arrowok="t"/>
            </v:shape>
            <v:line style="position:absolute" from="11820,1587" to="11820,1484" stroked="true" strokeweight=".5pt" strokecolor="#929292">
              <v:stroke dashstyle="dash"/>
            </v:line>
            <v:shape style="position:absolute;left:0;top:11200;width:2;height:149" coordorigin="0,11200" coordsize="0,149" path="m11820,1617l11820,1617m11820,1469l11820,1469e" filled="false" stroked="true" strokeweight=".5pt" strokecolor="#929292">
              <v:path arrowok="t"/>
            </v:shape>
            <v:line style="position:absolute" from="11820,1736" to="11820,1632" stroked="true" strokeweight=".5pt" strokecolor="#929292">
              <v:stroke dashstyle="dash"/>
            </v:line>
            <v:shape style="position:absolute;left:0;top:11200;width:2;height:149" coordorigin="0,11200" coordsize="0,149" path="m11820,1765l11820,1765m11820,1617l11820,1617e" filled="false" stroked="true" strokeweight=".5pt" strokecolor="#929292">
              <v:path arrowok="t"/>
            </v:shape>
            <v:line style="position:absolute" from="11820,2064" to="11820,1780" stroked="true" strokeweight=".5pt" strokecolor="#929292">
              <v:stroke dashstyle="dash"/>
            </v:line>
            <v:shape style="position:absolute;left:0;top:11020;width:2;height:329" coordorigin="0,11020" coordsize="0,329" path="m11820,2094l11820,2094m11820,1765l11820,1765e" filled="false" stroked="true" strokeweight=".5pt" strokecolor="#929292">
              <v:path arrowok="t"/>
            </v:shape>
            <v:line style="position:absolute" from="11820,2212" to="11820,2108" stroked="true" strokeweight=".5pt" strokecolor="#929292">
              <v:stroke dashstyle="dash"/>
            </v:line>
            <v:shape style="position:absolute;left:0;top:11200;width:2;height:149" coordorigin="0,11200" coordsize="0,149" path="m11820,2242l11820,2242m11820,2094l11820,2094e" filled="false" stroked="true" strokeweight=".5pt" strokecolor="#929292">
              <v:path arrowok="t"/>
            </v:shape>
            <v:shape style="position:absolute;left:0;top:11348;width:1276;height:2" coordorigin="0,11348" coordsize="1276,0" path="m11820,1321l11820,1321m13096,1321l13096,1321e" filled="false" stroked="true" strokeweight=".5pt" strokecolor="#929292">
              <v:path arrowok="t"/>
            </v:shape>
            <v:line style="position:absolute" from="13096,1439" to="13096,1335" stroked="true" strokeweight=".5pt" strokecolor="#929292">
              <v:stroke dashstyle="dash"/>
            </v:line>
            <v:shape style="position:absolute;left:0;top:11200;width:2;height:149" coordorigin="0,11200" coordsize="0,149" path="m13096,1469l13096,1469m13096,1321l13096,1321e" filled="false" stroked="true" strokeweight=".5pt" strokecolor="#929292">
              <v:path arrowok="t"/>
            </v:shape>
            <v:shape style="position:absolute;left:0;top:11348;width:4861;height:2" coordorigin="0,11348" coordsize="4861,0" path="m13096,1321l13096,1321m17957,1321l17957,1321e" filled="false" stroked="true" strokeweight=".5pt" strokecolor="#929292">
              <v:path arrowok="t"/>
            </v:shape>
            <v:line style="position:absolute" from="13096,1587" to="13096,1484" stroked="true" strokeweight=".5pt" strokecolor="#929292">
              <v:stroke dashstyle="dash"/>
            </v:line>
            <v:shape style="position:absolute;left:0;top:11200;width:2;height:149" coordorigin="0,11200" coordsize="0,149" path="m13096,1617l13096,1617m13096,1469l13096,1469e" filled="false" stroked="true" strokeweight=".5pt" strokecolor="#929292">
              <v:path arrowok="t"/>
            </v:shape>
            <v:shape style="position:absolute;left:0;top:11348;width:4861;height:2" coordorigin="0,11348" coordsize="4861,0" path="m13096,1469l13096,1469m17957,1469l17957,1469e" filled="false" stroked="true" strokeweight=".5pt" strokecolor="#929292">
              <v:path arrowok="t"/>
            </v:shape>
            <v:line style="position:absolute" from="13096,1736" to="13096,1632" stroked="true" strokeweight=".5pt" strokecolor="#929292">
              <v:stroke dashstyle="dash"/>
            </v:line>
            <v:shape style="position:absolute;left:0;top:11200;width:2;height:149" coordorigin="0,11200" coordsize="0,149" path="m13096,1765l13096,1765m13096,1617l13096,1617e" filled="false" stroked="true" strokeweight=".5pt" strokecolor="#929292">
              <v:path arrowok="t"/>
            </v:shape>
            <v:shape style="position:absolute;left:0;top:11348;width:4861;height:2" coordorigin="0,11348" coordsize="4861,0" path="m13096,1617l13096,1617m17957,1617l17957,1617e" filled="false" stroked="true" strokeweight=".5pt" strokecolor="#929292">
              <v:path arrowok="t"/>
            </v:shape>
            <v:line style="position:absolute" from="13096,2064" to="13096,1780" stroked="true" strokeweight=".5pt" strokecolor="#929292">
              <v:stroke dashstyle="dash"/>
            </v:line>
            <v:shape style="position:absolute;left:0;top:11020;width:2;height:329" coordorigin="0,11020" coordsize="0,329" path="m13096,2094l13096,2094m13096,1765l13096,1765e" filled="false" stroked="true" strokeweight=".5pt" strokecolor="#929292">
              <v:path arrowok="t"/>
            </v:shape>
            <v:shape style="position:absolute;left:0;top:11348;width:4861;height:2" coordorigin="0,11348" coordsize="4861,0" path="m13096,1765l13096,1765m17957,1765l17957,1765e" filled="false" stroked="true" strokeweight=".5pt" strokecolor="#929292">
              <v:path arrowok="t"/>
            </v:shape>
            <v:line style="position:absolute" from="13096,2212" to="13096,2108" stroked="true" strokeweight=".5pt" strokecolor="#929292">
              <v:stroke dashstyle="dash"/>
            </v:line>
            <v:shape style="position:absolute;left:0;top:11200;width:2;height:149" coordorigin="0,11200" coordsize="0,149" path="m13096,2242l13096,2242m13096,2094l13096,2094e" filled="false" stroked="true" strokeweight=".5pt" strokecolor="#929292">
              <v:path arrowok="t"/>
            </v:shape>
            <v:shape style="position:absolute;left:0;top:11348;width:4861;height:2" coordorigin="0,11348" coordsize="4861,0" path="m13096,2094l13096,2094m17957,2094l17957,2094e" filled="false" stroked="true" strokeweight=".5pt" strokecolor="#929292">
              <v:path arrowok="t"/>
            </v:shape>
            <v:line style="position:absolute" from="11820,2242" to="11820,2242" stroked="true" strokeweight=".5pt" strokecolor="#929292"/>
            <v:line style="position:absolute" from="11820,2360" to="11820,2257" stroked="true" strokeweight=".5pt" strokecolor="#929292">
              <v:stroke dashstyle="dash"/>
            </v:line>
            <v:shape style="position:absolute;left:0;top:11200;width:2;height:149" coordorigin="0,11200" coordsize="0,149" path="m11820,2390l11820,2390m11820,2242l11820,2242e" filled="false" stroked="true" strokeweight=".5pt" strokecolor="#929292">
              <v:path arrowok="t"/>
            </v:shape>
            <v:line style="position:absolute" from="11820,2509" to="11820,2405" stroked="true" strokeweight=".5pt" strokecolor="#929292">
              <v:stroke dashstyle="dash"/>
            </v:line>
            <v:shape style="position:absolute;left:0;top:11200;width:2;height:149" coordorigin="0,11200" coordsize="0,149" path="m11820,2538l11820,2538m11820,2390l11820,2390e" filled="false" stroked="true" strokeweight=".5pt" strokecolor="#929292">
              <v:path arrowok="t"/>
            </v:shape>
            <v:line style="position:absolute" from="11820,2657" to="11820,2553" stroked="true" strokeweight=".5pt" strokecolor="#929292">
              <v:stroke dashstyle="dash"/>
            </v:line>
            <v:shape style="position:absolute;left:0;top:11200;width:2;height:149" coordorigin="0,11200" coordsize="0,149" path="m11820,2687l11820,2687m11820,2538l11820,2538e" filled="false" stroked="true" strokeweight=".5pt" strokecolor="#929292">
              <v:path arrowok="t"/>
            </v:shape>
            <v:shape style="position:absolute;left:0;top:11348;width:1276;height:2" coordorigin="0,11348" coordsize="1276,0" path="m11820,2242l11820,2242m13096,2242l13096,2242e" filled="false" stroked="true" strokeweight=".5pt" strokecolor="#929292">
              <v:path arrowok="t"/>
            </v:shape>
            <v:line style="position:absolute" from="13096,2360" to="13096,2257" stroked="true" strokeweight=".5pt" strokecolor="#929292">
              <v:stroke dashstyle="dash"/>
            </v:line>
            <v:shape style="position:absolute;left:0;top:11200;width:2;height:149" coordorigin="0,11200" coordsize="0,149" path="m13096,2390l13096,2390m13096,2242l13096,2242e" filled="false" stroked="true" strokeweight=".5pt" strokecolor="#929292">
              <v:path arrowok="t"/>
            </v:shape>
            <v:shape style="position:absolute;left:0;top:11348;width:4861;height:2" coordorigin="0,11348" coordsize="4861,0" path="m13096,2242l13096,2242m17957,2242l17957,2242e" filled="false" stroked="true" strokeweight=".5pt" strokecolor="#929292">
              <v:path arrowok="t"/>
            </v:shape>
            <v:line style="position:absolute" from="13096,2509" to="13096,2405" stroked="true" strokeweight=".5pt" strokecolor="#929292">
              <v:stroke dashstyle="dash"/>
            </v:line>
            <v:shape style="position:absolute;left:0;top:11200;width:2;height:149" coordorigin="0,11200" coordsize="0,149" path="m13096,2538l13096,2538m13096,2390l13096,2390e" filled="false" stroked="true" strokeweight=".5pt" strokecolor="#929292">
              <v:path arrowok="t"/>
            </v:shape>
            <v:shape style="position:absolute;left:0;top:11348;width:4861;height:2" coordorigin="0,11348" coordsize="4861,0" path="m13096,2390l13096,2390m17957,2390l17957,2390e" filled="false" stroked="true" strokeweight=".5pt" strokecolor="#929292">
              <v:path arrowok="t"/>
            </v:shape>
            <v:line style="position:absolute" from="13096,2657" to="13096,2553" stroked="true" strokeweight=".5pt" strokecolor="#929292">
              <v:stroke dashstyle="dash"/>
            </v:line>
            <v:shape style="position:absolute;left:0;top:11200;width:2;height:149" coordorigin="0,11200" coordsize="0,149" path="m13096,2687l13096,2687m13096,2538l13096,2538e" filled="false" stroked="true" strokeweight=".5pt" strokecolor="#929292">
              <v:path arrowok="t"/>
            </v:shape>
            <v:shape style="position:absolute;left:0;top:11348;width:4861;height:2" coordorigin="0,11348" coordsize="4861,0" path="m13096,2538l13096,2538m17957,2538l17957,2538e" filled="false" stroked="true" strokeweight=".5pt" strokecolor="#929292">
              <v:path arrowok="t"/>
            </v:shape>
            <v:line style="position:absolute" from="11820,2805" to="11820,2701" stroked="true" strokeweight=".5pt" strokecolor="#929292">
              <v:stroke dashstyle="dash"/>
            </v:line>
            <v:shape style="position:absolute;left:0;top:11200;width:2;height:149" coordorigin="0,11200" coordsize="0,149" path="m11820,2835l11820,2835m11820,2687l11820,2687e" filled="false" stroked="true" strokeweight=".5pt" strokecolor="#929292">
              <v:path arrowok="t"/>
            </v:shape>
            <v:line style="position:absolute" from="11820,2953" to="11820,2850" stroked="true" strokeweight=".5pt" strokecolor="#929292">
              <v:stroke dashstyle="dash"/>
            </v:line>
            <v:shape style="position:absolute;left:0;top:11200;width:2;height:149" coordorigin="0,11200" coordsize="0,149" path="m11820,2983l11820,2983m11820,2835l11820,2835e" filled="false" stroked="true" strokeweight=".5pt" strokecolor="#929292">
              <v:path arrowok="t"/>
            </v:shape>
            <v:line style="position:absolute" from="11820,3102" to="11820,2998" stroked="true" strokeweight=".5pt" strokecolor="#929292">
              <v:stroke dashstyle="dash"/>
            </v:line>
            <v:shape style="position:absolute;left:0;top:11200;width:2;height:149" coordorigin="0,11200" coordsize="0,149" path="m11820,3131l11820,3131m11820,2983l11820,2983e" filled="false" stroked="true" strokeweight=".5pt" strokecolor="#929292">
              <v:path arrowok="t"/>
            </v:shape>
            <v:shape style="position:absolute;left:0;top:11348;width:1276;height:2" coordorigin="0,11348" coordsize="1276,0" path="m11820,2687l11820,2687m13096,2687l13096,2687e" filled="false" stroked="true" strokeweight=".5pt" strokecolor="#929292">
              <v:path arrowok="t"/>
            </v:shape>
            <v:line style="position:absolute" from="13096,2805" to="13096,2701" stroked="true" strokeweight=".5pt" strokecolor="#929292">
              <v:stroke dashstyle="dash"/>
            </v:line>
            <v:shape style="position:absolute;left:0;top:11200;width:2;height:149" coordorigin="0,11200" coordsize="0,149" path="m13096,2835l13096,2835m13096,2687l13096,2687e" filled="false" stroked="true" strokeweight=".5pt" strokecolor="#929292">
              <v:path arrowok="t"/>
            </v:shape>
            <v:shape style="position:absolute;left:0;top:11348;width:4861;height:2" coordorigin="0,11348" coordsize="4861,0" path="m13096,2687l13096,2687m17957,2687l17957,2687e" filled="false" stroked="true" strokeweight=".5pt" strokecolor="#929292">
              <v:path arrowok="t"/>
            </v:shape>
            <v:line style="position:absolute" from="13096,2953" to="13096,2850" stroked="true" strokeweight=".5pt" strokecolor="#929292">
              <v:stroke dashstyle="dash"/>
            </v:line>
            <v:shape style="position:absolute;left:0;top:11200;width:2;height:149" coordorigin="0,11200" coordsize="0,149" path="m13096,2983l13096,2983m13096,2835l13096,2835e" filled="false" stroked="true" strokeweight=".5pt" strokecolor="#929292">
              <v:path arrowok="t"/>
            </v:shape>
            <v:shape style="position:absolute;left:0;top:11348;width:4861;height:2" coordorigin="0,11348" coordsize="4861,0" path="m13096,2835l13096,2835m17957,2835l17957,2835e" filled="false" stroked="true" strokeweight=".5pt" strokecolor="#929292">
              <v:path arrowok="t"/>
            </v:shape>
            <v:line style="position:absolute" from="13096,3102" to="13096,2998" stroked="true" strokeweight=".5pt" strokecolor="#929292">
              <v:stroke dashstyle="dash"/>
            </v:line>
            <v:shape style="position:absolute;left:0;top:11200;width:2;height:149" coordorigin="0,11200" coordsize="0,149" path="m13096,3131l13096,3131m13096,2983l13096,2983e" filled="false" stroked="true" strokeweight=".5pt" strokecolor="#929292">
              <v:path arrowok="t"/>
            </v:shape>
            <v:shape style="position:absolute;left:0;top:11348;width:4861;height:2" coordorigin="0,11348" coordsize="4861,0" path="m13096,2983l13096,2983m17957,2983l17957,2983e" filled="false" stroked="true" strokeweight=".5pt" strokecolor="#929292">
              <v:path arrowok="t"/>
            </v:shape>
            <v:line style="position:absolute" from="11820,3250" to="11820,3146" stroked="true" strokeweight=".5pt" strokecolor="#929292">
              <v:stroke dashstyle="dash"/>
            </v:line>
            <v:shape style="position:absolute;left:0;top:11200;width:2;height:149" coordorigin="0,11200" coordsize="0,149" path="m11820,3280l11820,3280m11820,3131l11820,3131e" filled="false" stroked="true" strokeweight=".5pt" strokecolor="#929292">
              <v:path arrowok="t"/>
            </v:shape>
            <v:line style="position:absolute" from="11820,3496" to="11820,3295" stroked="true" strokeweight=".5pt" strokecolor="#929292">
              <v:stroke dashstyle="dash"/>
            </v:line>
            <v:shape style="position:absolute;left:0;top:11101;width:2;height:247" coordorigin="0,11101" coordsize="0,247" path="m11820,3527l11820,3527m11820,3280l11820,3280e" filled="false" stroked="true" strokeweight=".5pt" strokecolor="#929292">
              <v:path arrowok="t"/>
            </v:shape>
            <v:shape style="position:absolute;left:0;top:11348;width:1276;height:2" coordorigin="0,11348" coordsize="1276,0" path="m11820,3131l11820,3131m13096,3131l13096,3131e" filled="false" stroked="true" strokeweight=".5pt" strokecolor="#929292">
              <v:path arrowok="t"/>
            </v:shape>
            <v:line style="position:absolute" from="13096,3250" to="13096,3146" stroked="true" strokeweight=".5pt" strokecolor="#929292">
              <v:stroke dashstyle="dash"/>
            </v:line>
            <v:shape style="position:absolute;left:0;top:11200;width:2;height:149" coordorigin="0,11200" coordsize="0,149" path="m13096,3280l13096,3280m13096,3131l13096,3131e" filled="false" stroked="true" strokeweight=".5pt" strokecolor="#929292">
              <v:path arrowok="t"/>
            </v:shape>
            <v:shape style="position:absolute;left:0;top:11348;width:4861;height:2" coordorigin="0,11348" coordsize="4861,0" path="m13096,3131l13096,3131m17957,3131l17957,3131e" filled="false" stroked="true" strokeweight=".5pt" strokecolor="#929292">
              <v:path arrowok="t"/>
            </v:shape>
            <v:line style="position:absolute" from="13096,3496" to="13096,3295" stroked="true" strokeweight=".5pt" strokecolor="#929292">
              <v:stroke dashstyle="dash"/>
            </v:line>
            <v:shape style="position:absolute;left:0;top:11101;width:2;height:247" coordorigin="0,11101" coordsize="0,247" path="m13096,3527l13096,3527m13096,3280l13096,3280e" filled="false" stroked="true" strokeweight=".5pt" strokecolor="#929292">
              <v:path arrowok="t"/>
            </v:shape>
            <v:shape style="position:absolute;left:0;top:11348;width:4861;height:2" coordorigin="0,11348" coordsize="4861,0" path="m13096,3280l13096,3280m17957,3280l17957,3280e" filled="false" stroked="true" strokeweight=".5pt" strokecolor="#929292">
              <v:path arrowok="t"/>
            </v:shape>
            <v:line style="position:absolute" from="11820,3527" to="11820,3527" stroked="true" strokeweight=".5pt" strokecolor="#929292"/>
            <v:line style="position:absolute" from="11820,3850" to="11820,3541" stroked="true" strokeweight=".5pt" strokecolor="#929292">
              <v:stroke dashstyle="dash"/>
            </v:line>
            <v:shape style="position:absolute;left:0;top:10995;width:2;height:353" coordorigin="0,10995" coordsize="0,353" path="m11820,3880l11820,3880m11820,3527l11820,3527e" filled="false" stroked="true" strokeweight=".5pt" strokecolor="#929292">
              <v:path arrowok="t"/>
            </v:shape>
            <v:shape style="position:absolute;left:0;top:11348;width:1276;height:2" coordorigin="0,11348" coordsize="1276,0" path="m11820,3527l11820,3527m13096,3527l13096,3527e" filled="false" stroked="true" strokeweight=".5pt" strokecolor="#929292">
              <v:path arrowok="t"/>
            </v:shape>
            <v:line style="position:absolute" from="13096,3850" to="13096,3541" stroked="true" strokeweight=".5pt" strokecolor="#929292">
              <v:stroke dashstyle="dash"/>
            </v:line>
            <v:shape style="position:absolute;left:0;top:10995;width:2;height:353" coordorigin="0,10995" coordsize="0,353" path="m13096,3880l13096,3880m13096,3527l13096,3527e" filled="false" stroked="true" strokeweight=".5pt" strokecolor="#929292">
              <v:path arrowok="t"/>
            </v:shape>
            <v:shape style="position:absolute;left:0;top:11348;width:4861;height:2" coordorigin="0,11348" coordsize="4861,0" path="m13096,3527l13096,3527m17957,3527l17957,3527e" filled="false" stroked="true" strokeweight=".5pt" strokecolor="#929292">
              <v:path arrowok="t"/>
            </v:shape>
            <v:line style="position:absolute" from="11820,3998" to="11820,3894" stroked="true" strokeweight=".5pt" strokecolor="#929292">
              <v:stroke dashstyle="dash"/>
            </v:line>
            <v:shape style="position:absolute;left:0;top:11200;width:2;height:149" coordorigin="0,11200" coordsize="0,149" path="m11820,4028l11820,4028m11820,3880l11820,3880e" filled="false" stroked="true" strokeweight=".5pt" strokecolor="#929292">
              <v:path arrowok="t"/>
            </v:shape>
            <v:line style="position:absolute" from="11850,3880" to="13082,3880" stroked="true" strokeweight=".5pt" strokecolor="#929292">
              <v:stroke dashstyle="dash"/>
            </v:line>
            <v:shape style="position:absolute;left:0;top:11348;width:1276;height:2" coordorigin="0,11348" coordsize="1276,0" path="m11820,3880l11820,3880m13096,3880l13096,3880e" filled="false" stroked="true" strokeweight=".5pt" strokecolor="#929292">
              <v:path arrowok="t"/>
            </v:shape>
            <v:line style="position:absolute" from="13096,3998" to="13096,3894" stroked="true" strokeweight=".5pt" strokecolor="#929292">
              <v:stroke dashstyle="dash"/>
            </v:line>
            <v:shape style="position:absolute;left:0;top:11200;width:2;height:149" coordorigin="0,11200" coordsize="0,149" path="m13096,4028l13096,4028m13096,3880l13096,3880e" filled="false" stroked="true" strokeweight=".5pt" strokecolor="#929292">
              <v:path arrowok="t"/>
            </v:shape>
            <v:line style="position:absolute" from="13126,3880" to="17942,3880" stroked="true" strokeweight=".5pt" strokecolor="#929292">
              <v:stroke dashstyle="dash"/>
            </v:line>
            <v:shape style="position:absolute;left:0;top:11348;width:4861;height:2" coordorigin="0,11348" coordsize="4861,0" path="m13096,3880l13096,3880m17957,3880l17957,3880e" filled="false" stroked="true" strokeweight=".5pt" strokecolor="#929292">
              <v:path arrowok="t"/>
            </v:shape>
            <v:line style="position:absolute" from="11820,4147" to="11820,4043" stroked="true" strokeweight=".5pt" strokecolor="#929292">
              <v:stroke dashstyle="dash"/>
            </v:line>
            <v:shape style="position:absolute;left:0;top:11200;width:2;height:149" coordorigin="0,11200" coordsize="0,149" path="m11820,4176l11820,4176m11820,4028l11820,4028e" filled="false" stroked="true" strokeweight=".5pt" strokecolor="#929292">
              <v:path arrowok="t"/>
            </v:shape>
            <v:shape style="position:absolute;left:0;top:11348;width:1276;height:2" coordorigin="0,11348" coordsize="1276,0" path="m11820,4028l11820,4028m13096,4028l13096,4028e" filled="false" stroked="true" strokeweight=".5pt" strokecolor="#929292">
              <v:path arrowok="t"/>
            </v:shape>
            <v:line style="position:absolute" from="13096,4147" to="13096,4043" stroked="true" strokeweight=".5pt" strokecolor="#929292">
              <v:stroke dashstyle="dash"/>
            </v:line>
            <v:shape style="position:absolute;left:0;top:11200;width:2;height:149" coordorigin="0,11200" coordsize="0,149" path="m13096,4176l13096,4176m13096,4028l13096,4028e" filled="false" stroked="true" strokeweight=".5pt" strokecolor="#929292">
              <v:path arrowok="t"/>
            </v:shape>
            <v:shape style="position:absolute;left:0;top:11348;width:4861;height:2" coordorigin="0,11348" coordsize="4861,0" path="m13096,4028l13096,4028m17957,4028l17957,4028e" filled="false" stroked="true" strokeweight=".5pt" strokecolor="#929292">
              <v:path arrowok="t"/>
            </v:shape>
            <v:line style="position:absolute" from="11820,4295" to="11820,4191" stroked="true" strokeweight=".5pt" strokecolor="#929292">
              <v:stroke dashstyle="dash"/>
            </v:line>
            <v:shape style="position:absolute;left:0;top:11200;width:2;height:149" coordorigin="0,11200" coordsize="0,149" path="m11820,4324l11820,4324m11820,4176l11820,4176e" filled="false" stroked="true" strokeweight=".5pt" strokecolor="#929292">
              <v:path arrowok="t"/>
            </v:shape>
            <v:shape style="position:absolute;left:0;top:11348;width:1276;height:2" coordorigin="0,11348" coordsize="1276,0" path="m11820,4176l11820,4176m13096,4176l13096,4176e" filled="false" stroked="true" strokeweight=".5pt" strokecolor="#929292">
              <v:path arrowok="t"/>
            </v:shape>
            <v:line style="position:absolute" from="13096,4295" to="13096,4191" stroked="true" strokeweight=".5pt" strokecolor="#929292">
              <v:stroke dashstyle="dash"/>
            </v:line>
            <v:shape style="position:absolute;left:0;top:11200;width:2;height:149" coordorigin="0,11200" coordsize="0,149" path="m13096,4324l13096,4324m13096,4176l13096,4176e" filled="false" stroked="true" strokeweight=".5pt" strokecolor="#929292">
              <v:path arrowok="t"/>
            </v:shape>
            <v:shape style="position:absolute;left:0;top:11348;width:4861;height:2" coordorigin="0,11348" coordsize="4861,0" path="m13096,4176l13096,4176m17957,4176l17957,4176e" filled="false" stroked="true" strokeweight=".5pt" strokecolor="#929292">
              <v:path arrowok="t"/>
            </v:shape>
            <v:line style="position:absolute" from="11820,4443" to="11820,4339" stroked="true" strokeweight=".5pt" strokecolor="#929292">
              <v:stroke dashstyle="dash"/>
            </v:line>
            <v:shape style="position:absolute;left:0;top:11200;width:2;height:149" coordorigin="0,11200" coordsize="0,149" path="m11820,4473l11820,4473m11820,4324l11820,4324e" filled="false" stroked="true" strokeweight=".5pt" strokecolor="#929292">
              <v:path arrowok="t"/>
            </v:shape>
            <v:shape style="position:absolute;left:0;top:11348;width:1276;height:2" coordorigin="0,11348" coordsize="1276,0" path="m11820,4324l11820,4324m13096,4324l13096,4324e" filled="false" stroked="true" strokeweight=".5pt" strokecolor="#929292">
              <v:path arrowok="t"/>
            </v:shape>
            <v:line style="position:absolute" from="13096,4443" to="13096,4339" stroked="true" strokeweight=".5pt" strokecolor="#929292">
              <v:stroke dashstyle="dash"/>
            </v:line>
            <v:shape style="position:absolute;left:0;top:11200;width:2;height:149" coordorigin="0,11200" coordsize="0,149" path="m13096,4473l13096,4473m13096,4324l13096,4324e" filled="false" stroked="true" strokeweight=".5pt" strokecolor="#929292">
              <v:path arrowok="t"/>
            </v:shape>
            <v:shape style="position:absolute;left:0;top:11348;width:4861;height:2" coordorigin="0,11348" coordsize="4861,0" path="m13096,4324l13096,4324m17957,4324l17957,4324e" filled="false" stroked="true" strokeweight=".5pt" strokecolor="#929292">
              <v:path arrowok="t"/>
            </v:shape>
            <v:line style="position:absolute" from="11820,4591" to="11820,4487" stroked="true" strokeweight=".5pt" strokecolor="#929292">
              <v:stroke dashstyle="dash"/>
            </v:line>
            <v:shape style="position:absolute;left:0;top:11200;width:2;height:149" coordorigin="0,11200" coordsize="0,149" path="m11820,4621l11820,4621m11820,4473l11820,4473e" filled="false" stroked="true" strokeweight=".5pt" strokecolor="#929292">
              <v:path arrowok="t"/>
            </v:shape>
            <v:shape style="position:absolute;left:0;top:11348;width:1276;height:2" coordorigin="0,11348" coordsize="1276,0" path="m11820,4473l11820,4473m13096,4473l13096,4473e" filled="false" stroked="true" strokeweight=".5pt" strokecolor="#929292">
              <v:path arrowok="t"/>
            </v:shape>
            <v:line style="position:absolute" from="13096,4591" to="13096,4487" stroked="true" strokeweight=".5pt" strokecolor="#929292">
              <v:stroke dashstyle="dash"/>
            </v:line>
            <v:shape style="position:absolute;left:0;top:11200;width:2;height:149" coordorigin="0,11200" coordsize="0,149" path="m13096,4621l13096,4621m13096,4473l13096,4473e" filled="false" stroked="true" strokeweight=".5pt" strokecolor="#929292">
              <v:path arrowok="t"/>
            </v:shape>
            <v:shape style="position:absolute;left:0;top:11348;width:4861;height:2" coordorigin="0,11348" coordsize="4861,0" path="m13096,4473l13096,4473m17957,4473l17957,4473e" filled="false" stroked="true" strokeweight=".5pt" strokecolor="#929292">
              <v:path arrowok="t"/>
            </v:shape>
            <v:line style="position:absolute" from="11820,4772" to="11820,4636" stroked="true" strokeweight=".5pt" strokecolor="#929292">
              <v:stroke dashstyle="dash"/>
            </v:line>
            <v:shape style="position:absolute;left:0;top:11167;width:2;height:181" coordorigin="0,11167" coordsize="0,181" path="m11820,4802l11820,4802m11820,4621l11820,4621e" filled="false" stroked="true" strokeweight=".5pt" strokecolor="#929292">
              <v:path arrowok="t"/>
            </v:shape>
            <v:shape style="position:absolute;left:0;top:11348;width:1276;height:2" coordorigin="0,11348" coordsize="1276,0" path="m11820,4621l11820,4621m13096,4621l13096,4621e" filled="false" stroked="true" strokeweight=".5pt" strokecolor="#929292">
              <v:path arrowok="t"/>
            </v:shape>
            <v:line style="position:absolute" from="13096,4772" to="13096,4636" stroked="true" strokeweight=".5pt" strokecolor="#929292">
              <v:stroke dashstyle="dash"/>
            </v:line>
            <v:shape style="position:absolute;left:0;top:11167;width:2;height:181" coordorigin="0,11167" coordsize="0,181" path="m13096,4802l13096,4802m13096,4621l13096,4621e" filled="false" stroked="true" strokeweight=".5pt" strokecolor="#929292">
              <v:path arrowok="t"/>
            </v:shape>
            <v:shape style="position:absolute;left:0;top:11348;width:4861;height:2" coordorigin="0,11348" coordsize="4861,0" path="m13096,4621l13096,4621m17957,4621l17957,4621e" filled="false" stroked="true" strokeweight=".5pt" strokecolor="#929292">
              <v:path arrowok="t"/>
            </v:shape>
            <v:line style="position:absolute" from="11820,4802" to="11820,4802" stroked="true" strokeweight=".5pt" strokecolor="#929292"/>
            <v:line style="position:absolute" from="11820,4921" to="11820,4817" stroked="true" strokeweight=".5pt" strokecolor="#929292">
              <v:stroke dashstyle="dash"/>
            </v:line>
            <v:shape style="position:absolute;left:0;top:11200;width:2;height:149" coordorigin="0,11200" coordsize="0,149" path="m11820,4950l11820,4950m11820,4802l11820,4802e" filled="false" stroked="true" strokeweight=".5pt" strokecolor="#929292">
              <v:path arrowok="t"/>
            </v:shape>
            <v:line style="position:absolute" from="11820,5069" to="11820,4965" stroked="true" strokeweight=".5pt" strokecolor="#929292">
              <v:stroke dashstyle="dash"/>
            </v:line>
            <v:shape style="position:absolute;left:0;top:11200;width:2;height:149" coordorigin="0,11200" coordsize="0,149" path="m11820,5098l11820,5098m11820,4950l11820,4950e" filled="false" stroked="true" strokeweight=".5pt" strokecolor="#929292">
              <v:path arrowok="t"/>
            </v:shape>
            <v:line style="position:absolute" from="11820,5217" to="11820,5113" stroked="true" strokeweight=".5pt" strokecolor="#929292">
              <v:stroke dashstyle="dash"/>
            </v:line>
            <v:shape style="position:absolute;left:0;top:11200;width:2;height:149" coordorigin="0,11200" coordsize="0,149" path="m11820,5247l11820,5247m11820,5098l11820,5098e" filled="false" stroked="true" strokeweight=".5pt" strokecolor="#929292">
              <v:path arrowok="t"/>
            </v:shape>
            <v:line style="position:absolute" from="11820,5640" to="11820,5262" stroked="true" strokeweight=".5pt" strokecolor="#929292">
              <v:stroke dashstyle="dash"/>
            </v:line>
            <v:shape style="position:absolute;left:0;top:10925;width:2;height:424" coordorigin="0,10925" coordsize="0,424" path="m11820,5670l11820,5670m11820,5247l11820,5247e" filled="false" stroked="true" strokeweight=".5pt" strokecolor="#929292">
              <v:path arrowok="t"/>
            </v:shape>
            <v:shape style="position:absolute;left:0;top:11348;width:1276;height:2" coordorigin="0,11348" coordsize="1276,0" path="m11820,4802l11820,4802m13096,4802l13096,4802e" filled="false" stroked="true" strokeweight=".5pt" strokecolor="#929292">
              <v:path arrowok="t"/>
            </v:shape>
            <v:line style="position:absolute" from="13096,4921" to="13096,4817" stroked="true" strokeweight=".5pt" strokecolor="#929292">
              <v:stroke dashstyle="dash"/>
            </v:line>
            <v:shape style="position:absolute;left:0;top:11200;width:2;height:149" coordorigin="0,11200" coordsize="0,149" path="m13096,4950l13096,4950m13096,4802l13096,4802e" filled="false" stroked="true" strokeweight=".5pt" strokecolor="#929292">
              <v:path arrowok="t"/>
            </v:shape>
            <v:shape style="position:absolute;left:0;top:11348;width:4861;height:2" coordorigin="0,11348" coordsize="4861,0" path="m13096,4802l13096,4802m17957,4802l17957,4802e" filled="false" stroked="true" strokeweight=".5pt" strokecolor="#929292">
              <v:path arrowok="t"/>
            </v:shape>
            <v:line style="position:absolute" from="13096,5069" to="13096,4965" stroked="true" strokeweight=".5pt" strokecolor="#929292">
              <v:stroke dashstyle="dash"/>
            </v:line>
            <v:shape style="position:absolute;left:0;top:11200;width:2;height:149" coordorigin="0,11200" coordsize="0,149" path="m13096,5098l13096,5098m13096,4950l13096,4950e" filled="false" stroked="true" strokeweight=".5pt" strokecolor="#929292">
              <v:path arrowok="t"/>
            </v:shape>
            <v:shape style="position:absolute;left:0;top:11348;width:4861;height:2" coordorigin="0,11348" coordsize="4861,0" path="m13096,4950l13096,4950m17957,4950l17957,4950e" filled="false" stroked="true" strokeweight=".5pt" strokecolor="#929292">
              <v:path arrowok="t"/>
            </v:shape>
            <v:line style="position:absolute" from="13096,5217" to="13096,5113" stroked="true" strokeweight=".5pt" strokecolor="#929292">
              <v:stroke dashstyle="dash"/>
            </v:line>
            <v:shape style="position:absolute;left:0;top:11200;width:2;height:149" coordorigin="0,11200" coordsize="0,149" path="m13096,5247l13096,5247m13096,5098l13096,5098e" filled="false" stroked="true" strokeweight=".5pt" strokecolor="#929292">
              <v:path arrowok="t"/>
            </v:shape>
            <v:shape style="position:absolute;left:0;top:11348;width:4861;height:2" coordorigin="0,11348" coordsize="4861,0" path="m13096,5098l13096,5098m17957,5098l17957,5098e" filled="false" stroked="true" strokeweight=".5pt" strokecolor="#929292">
              <v:path arrowok="t"/>
            </v:shape>
            <v:line style="position:absolute" from="13096,5640" to="13096,5262" stroked="true" strokeweight=".5pt" strokecolor="#929292">
              <v:stroke dashstyle="dash"/>
            </v:line>
            <v:shape style="position:absolute;left:0;top:10925;width:2;height:424" coordorigin="0,10925" coordsize="0,424" path="m13096,5670l13096,5670m13096,5247l13096,5247e" filled="false" stroked="true" strokeweight=".5pt" strokecolor="#929292">
              <v:path arrowok="t"/>
            </v:shape>
            <v:shape style="position:absolute;left:0;top:11348;width:4861;height:2" coordorigin="0,11348" coordsize="4861,0" path="m13096,5247l13096,5247m17957,5247l17957,5247e" filled="false" stroked="true" strokeweight=".5pt" strokecolor="#929292">
              <v:path arrowok="t"/>
            </v:shape>
            <v:line style="position:absolute" from="11820,5670" to="11820,5670" stroked="true" strokeweight=".5pt" strokecolor="#929292"/>
            <v:line style="position:absolute" from="11820,5789" to="11820,5685" stroked="true" strokeweight=".5pt" strokecolor="#929292">
              <v:stroke dashstyle="dash"/>
            </v:line>
            <v:shape style="position:absolute;left:0;top:11200;width:2;height:149" coordorigin="0,11200" coordsize="0,149" path="m11820,5818l11820,5818m11820,5670l11820,5670e" filled="false" stroked="true" strokeweight=".5pt" strokecolor="#929292">
              <v:path arrowok="t"/>
            </v:shape>
            <v:line style="position:absolute" from="11820,5937" to="11820,5833" stroked="true" strokeweight=".5pt" strokecolor="#929292">
              <v:stroke dashstyle="dash"/>
            </v:line>
            <v:shape style="position:absolute;left:0;top:11200;width:2;height:149" coordorigin="0,11200" coordsize="0,149" path="m11820,5967l11820,5967m11820,5818l11820,5818e" filled="false" stroked="true" strokeweight=".5pt" strokecolor="#929292">
              <v:path arrowok="t"/>
            </v:shape>
            <v:line style="position:absolute" from="11820,6265" to="11820,5982" stroked="true" strokeweight=".5pt" strokecolor="#929292">
              <v:stroke dashstyle="dash"/>
            </v:line>
            <v:shape style="position:absolute;left:0;top:11020;width:2;height:329" coordorigin="0,11020" coordsize="0,329" path="m11820,6295l11820,6295m11820,5967l11820,5967e" filled="false" stroked="true" strokeweight=".5pt" strokecolor="#929292">
              <v:path arrowok="t"/>
            </v:shape>
            <v:line style="position:absolute" from="11820,6593" to="11820,6310" stroked="true" strokeweight=".5pt" strokecolor="#929292">
              <v:stroke dashstyle="dash"/>
            </v:line>
            <v:shape style="position:absolute;left:0;top:11020;width:2;height:329" coordorigin="0,11020" coordsize="0,329" path="m11820,6623l11820,6623m11820,6295l11820,6295e" filled="false" stroked="true" strokeweight=".5pt" strokecolor="#929292">
              <v:path arrowok="t"/>
            </v:shape>
            <v:line style="position:absolute" from="11820,6922" to="11820,6638" stroked="true" strokeweight=".5pt" strokecolor="#929292">
              <v:stroke dashstyle="dash"/>
            </v:line>
            <v:shape style="position:absolute;left:0;top:11020;width:2;height:329" coordorigin="0,11020" coordsize="0,329" path="m11820,6951l11820,6951m11820,6623l11820,6623e" filled="false" stroked="true" strokeweight=".5pt" strokecolor="#929292">
              <v:path arrowok="t"/>
            </v:shape>
            <v:shape style="position:absolute;left:0;top:11348;width:1276;height:2" coordorigin="0,11348" coordsize="1276,0" path="m11820,5670l11820,5670m13096,5670l13096,5670e" filled="false" stroked="true" strokeweight=".5pt" strokecolor="#929292">
              <v:path arrowok="t"/>
            </v:shape>
            <v:line style="position:absolute" from="13096,5789" to="13096,5685" stroked="true" strokeweight=".5pt" strokecolor="#929292">
              <v:stroke dashstyle="dash"/>
            </v:line>
            <v:shape style="position:absolute;left:0;top:11200;width:2;height:149" coordorigin="0,11200" coordsize="0,149" path="m13096,5818l13096,5818m13096,5670l13096,5670e" filled="false" stroked="true" strokeweight=".5pt" strokecolor="#929292">
              <v:path arrowok="t"/>
            </v:shape>
            <v:line style="position:absolute" from="13126,5670" to="17942,5670" stroked="true" strokeweight=".5pt" strokecolor="#929292">
              <v:stroke dashstyle="dash"/>
            </v:line>
            <v:shape style="position:absolute;left:0;top:11348;width:4861;height:2" coordorigin="0,11348" coordsize="4861,0" path="m13096,5670l13096,5670m17957,5670l17957,5670e" filled="false" stroked="true" strokeweight=".5pt" strokecolor="#929292">
              <v:path arrowok="t"/>
            </v:shape>
            <v:line style="position:absolute" from="13096,5937" to="13096,5833" stroked="true" strokeweight=".5pt" strokecolor="#929292">
              <v:stroke dashstyle="dash"/>
            </v:line>
            <v:shape style="position:absolute;left:0;top:11200;width:2;height:149" coordorigin="0,11200" coordsize="0,149" path="m13096,5967l13096,5967m13096,5818l13096,5818e" filled="false" stroked="true" strokeweight=".5pt" strokecolor="#929292">
              <v:path arrowok="t"/>
            </v:shape>
            <v:shape style="position:absolute;left:0;top:11348;width:4861;height:2" coordorigin="0,11348" coordsize="4861,0" path="m13096,5818l13096,5818m17957,5818l17957,5818e" filled="false" stroked="true" strokeweight=".5pt" strokecolor="#929292">
              <v:path arrowok="t"/>
            </v:shape>
            <v:line style="position:absolute" from="13096,6265" to="13096,5982" stroked="true" strokeweight=".5pt" strokecolor="#929292">
              <v:stroke dashstyle="dash"/>
            </v:line>
            <v:shape style="position:absolute;left:0;top:11020;width:2;height:329" coordorigin="0,11020" coordsize="0,329" path="m13096,6295l13096,6295m13096,5967l13096,5967e" filled="false" stroked="true" strokeweight=".5pt" strokecolor="#929292">
              <v:path arrowok="t"/>
            </v:shape>
            <v:shape style="position:absolute;left:0;top:11348;width:4861;height:2" coordorigin="0,11348" coordsize="4861,0" path="m13096,5967l13096,5967m17957,5967l17957,5967e" filled="false" stroked="true" strokeweight=".5pt" strokecolor="#929292">
              <v:path arrowok="t"/>
            </v:shape>
            <v:line style="position:absolute" from="13096,6593" to="13096,6310" stroked="true" strokeweight=".5pt" strokecolor="#929292">
              <v:stroke dashstyle="dash"/>
            </v:line>
            <v:shape style="position:absolute;left:0;top:11020;width:2;height:329" coordorigin="0,11020" coordsize="0,329" path="m13096,6623l13096,6623m13096,6295l13096,6295e" filled="false" stroked="true" strokeweight=".5pt" strokecolor="#929292">
              <v:path arrowok="t"/>
            </v:shape>
            <v:shape style="position:absolute;left:0;top:11348;width:4861;height:2" coordorigin="0,11348" coordsize="4861,0" path="m13096,6295l13096,6295m17957,6295l17957,6295e" filled="false" stroked="true" strokeweight=".5pt" strokecolor="#929292">
              <v:path arrowok="t"/>
            </v:shape>
            <v:line style="position:absolute" from="13096,6922" to="13096,6638" stroked="true" strokeweight=".5pt" strokecolor="#929292">
              <v:stroke dashstyle="dash"/>
            </v:line>
            <v:shape style="position:absolute;left:0;top:11020;width:2;height:329" coordorigin="0,11020" coordsize="0,329" path="m13096,6951l13096,6951m13096,6623l13096,6623e" filled="false" stroked="true" strokeweight=".5pt" strokecolor="#929292">
              <v:path arrowok="t"/>
            </v:shape>
            <v:shape style="position:absolute;left:0;top:11348;width:4861;height:2" coordorigin="0,11348" coordsize="4861,0" path="m13096,6623l13096,6623m17957,6623l17957,6623e" filled="false" stroked="true" strokeweight=".5pt" strokecolor="#929292">
              <v:path arrowok="t"/>
            </v:shape>
            <v:line style="position:absolute" from="11820,7070" to="11820,6966" stroked="true" strokeweight=".5pt" strokecolor="#929292">
              <v:stroke dashstyle="dash"/>
            </v:line>
            <v:shape style="position:absolute;left:0;top:11200;width:2;height:149" coordorigin="0,11200" coordsize="0,149" path="m11820,7100l11820,7100m11820,6951l11820,6951e" filled="false" stroked="true" strokeweight=".5pt" strokecolor="#929292">
              <v:path arrowok="t"/>
            </v:shape>
            <v:line style="position:absolute" from="11820,7250" to="11820,7115" stroked="true" strokeweight=".5pt" strokecolor="#929292">
              <v:stroke dashstyle="dash"/>
            </v:line>
            <v:shape style="position:absolute;left:0;top:11168;width:2;height:180" coordorigin="0,11168" coordsize="0,180" path="m11820,7280l11820,7280m11820,7100l11820,7100e" filled="false" stroked="true" strokeweight=".5pt" strokecolor="#929292">
              <v:path arrowok="t"/>
            </v:shape>
            <v:shape style="position:absolute;left:0;top:11348;width:1276;height:2" coordorigin="0,11348" coordsize="1276,0" path="m11820,6951l11820,6951m13096,6951l13096,6951e" filled="false" stroked="true" strokeweight=".5pt" strokecolor="#929292">
              <v:path arrowok="t"/>
            </v:shape>
            <v:line style="position:absolute" from="13096,7070" to="13096,6966" stroked="true" strokeweight=".5pt" strokecolor="#929292">
              <v:stroke dashstyle="dash"/>
            </v:line>
            <v:shape style="position:absolute;left:0;top:11200;width:2;height:149" coordorigin="0,11200" coordsize="0,149" path="m13096,7100l13096,7100m13096,6951l13096,6951e" filled="false" stroked="true" strokeweight=".5pt" strokecolor="#929292">
              <v:path arrowok="t"/>
            </v:shape>
            <v:shape style="position:absolute;left:0;top:11348;width:4861;height:2" coordorigin="0,11348" coordsize="4861,0" path="m13096,6951l13096,6951m17957,6951l17957,6951e" filled="false" stroked="true" strokeweight=".5pt" strokecolor="#929292">
              <v:path arrowok="t"/>
            </v:shape>
            <v:line style="position:absolute" from="13096,7250" to="13096,7115" stroked="true" strokeweight=".5pt" strokecolor="#929292">
              <v:stroke dashstyle="dash"/>
            </v:line>
            <v:shape style="position:absolute;left:0;top:11168;width:2;height:180" coordorigin="0,11168" coordsize="0,180" path="m13096,7280l13096,7280m13096,7100l13096,7100e" filled="false" stroked="true" strokeweight=".5pt" strokecolor="#929292">
              <v:path arrowok="t"/>
            </v:shape>
            <v:shape style="position:absolute;left:0;top:11348;width:4861;height:2" coordorigin="0,11348" coordsize="4861,0" path="m13096,7100l13096,7100m17957,7100l17957,7100e" filled="false" stroked="true" strokeweight=".5pt" strokecolor="#929292">
              <v:path arrowok="t"/>
            </v:shape>
            <v:line style="position:absolute" from="11820,7398" to="11820,7295" stroked="true" strokeweight=".5pt" strokecolor="#929292">
              <v:stroke dashstyle="dash"/>
            </v:line>
            <v:shape style="position:absolute;left:0;top:11200;width:2;height:149" coordorigin="0,11200" coordsize="0,149" path="m11820,7428l11820,7428m11820,7280l11820,7280e" filled="false" stroked="true" strokeweight=".5pt" strokecolor="#929292">
              <v:path arrowok="t"/>
            </v:shape>
            <v:line style="position:absolute" from="11820,7938" to="11820,7443" stroked="true" strokeweight=".5pt" strokecolor="#929292">
              <v:stroke dashstyle="dash"/>
            </v:line>
            <v:line style="position:absolute" from="11820,7428" to="11820,7428" stroked="true" strokeweight=".5pt" strokecolor="#929292"/>
            <v:shape style="position:absolute;left:0;top:11348;width:1276;height:2" coordorigin="0,11348" coordsize="1276,0" path="m11820,7280l11820,7280m13096,7280l13096,7280e" filled="false" stroked="true" strokeweight=".5pt" strokecolor="#929292">
              <v:path arrowok="t"/>
            </v:shape>
            <v:line style="position:absolute" from="13096,7398" to="13096,7295" stroked="true" strokeweight=".5pt" strokecolor="#929292">
              <v:stroke dashstyle="dash"/>
            </v:line>
            <v:shape style="position:absolute;left:0;top:11200;width:2;height:149" coordorigin="0,11200" coordsize="0,149" path="m13096,7428l13096,7428m13096,7280l13096,7280e" filled="false" stroked="true" strokeweight=".5pt" strokecolor="#929292">
              <v:path arrowok="t"/>
            </v:shape>
            <v:shape style="position:absolute;left:0;top:11348;width:4861;height:2" coordorigin="0,11348" coordsize="4861,0" path="m13096,7280l13096,7280m17957,7280l17957,7280e" filled="false" stroked="true" strokeweight=".5pt" strokecolor="#929292">
              <v:path arrowok="t"/>
            </v:shape>
            <v:line style="position:absolute" from="13096,7938" to="13096,7443" stroked="true" strokeweight=".5pt" strokecolor="#929292">
              <v:stroke dashstyle="dash"/>
            </v:line>
            <v:line style="position:absolute" from="13096,7428" to="13096,7428" stroked="true" strokeweight=".5pt" strokecolor="#929292"/>
            <v:shape style="position:absolute;left:0;top:11348;width:4861;height:2" coordorigin="0,11348" coordsize="4861,0" path="m13096,7428l13096,7428m17957,7428l17957,7428e" filled="false" stroked="true" strokeweight=".5pt" strokecolor="#929292">
              <v:path arrowok="t"/>
            </v:shape>
            <v:shape style="position:absolute;left:11820;top:431;width:1276;height:3449" type="#_x0000_t202" filled="false" stroked="false">
              <v:textbox inset="0,0,0,0">
                <w:txbxContent>
                  <w:p>
                    <w:pPr>
                      <w:spacing w:line="240" w:lineRule="auto" w:before="0"/>
                      <w:rPr>
                        <w:sz w:val="16"/>
                      </w:rPr>
                    </w:pPr>
                  </w:p>
                  <w:p>
                    <w:pPr>
                      <w:spacing w:before="93"/>
                      <w:ind w:left="108" w:right="0" w:firstLine="0"/>
                      <w:jc w:val="left"/>
                      <w:rPr>
                        <w:sz w:val="16"/>
                      </w:rPr>
                    </w:pPr>
                    <w:r>
                      <w:rPr>
                        <w:sz w:val="16"/>
                      </w:rPr>
                      <w:t>Físico</w:t>
                    </w:r>
                  </w:p>
                  <w:p>
                    <w:pPr>
                      <w:tabs>
                        <w:tab w:pos="1261" w:val="left" w:leader="none"/>
                      </w:tabs>
                      <w:spacing w:line="166" w:lineRule="exact" w:before="113"/>
                      <w:ind w:left="29" w:right="0" w:firstLine="0"/>
                      <w:jc w:val="left"/>
                      <w:rPr>
                        <w:sz w:val="16"/>
                      </w:rPr>
                    </w:pPr>
                    <w:r>
                      <w:rPr>
                        <w:w w:val="100"/>
                        <w:sz w:val="16"/>
                        <w:u w:val="dotted" w:color="929292"/>
                      </w:rPr>
                      <w:t> </w:t>
                    </w:r>
                    <w:r>
                      <w:rPr>
                        <w:sz w:val="16"/>
                        <w:u w:val="dotted" w:color="929292"/>
                      </w:rPr>
                      <w:tab/>
                    </w:r>
                  </w:p>
                  <w:p>
                    <w:pPr>
                      <w:tabs>
                        <w:tab w:pos="1261" w:val="left" w:leader="none"/>
                      </w:tabs>
                      <w:spacing w:line="166" w:lineRule="exact" w:before="0"/>
                      <w:ind w:left="29" w:right="0" w:firstLine="0"/>
                      <w:jc w:val="left"/>
                      <w:rPr>
                        <w:sz w:val="16"/>
                      </w:rPr>
                    </w:pPr>
                    <w:r>
                      <w:rPr>
                        <w:w w:val="100"/>
                        <w:sz w:val="16"/>
                        <w:u w:val="dotted" w:color="929292"/>
                      </w:rPr>
                      <w:t> </w:t>
                    </w:r>
                    <w:r>
                      <w:rPr>
                        <w:spacing w:val="-11"/>
                        <w:sz w:val="16"/>
                        <w:u w:val="dotted" w:color="929292"/>
                      </w:rPr>
                      <w:t> </w:t>
                    </w:r>
                    <w:r>
                      <w:rPr>
                        <w:w w:val="105"/>
                        <w:sz w:val="16"/>
                        <w:u w:val="dotted" w:color="929292"/>
                      </w:rPr>
                      <w:t>Bióticos</w:t>
                      <w:tab/>
                    </w:r>
                  </w:p>
                  <w:p>
                    <w:pPr>
                      <w:spacing w:line="240" w:lineRule="auto" w:before="2"/>
                      <w:rPr>
                        <w:sz w:val="23"/>
                      </w:rPr>
                    </w:pPr>
                  </w:p>
                  <w:p>
                    <w:pPr>
                      <w:spacing w:line="180" w:lineRule="exact" w:before="0"/>
                      <w:ind w:left="108" w:right="0" w:firstLine="0"/>
                      <w:jc w:val="left"/>
                      <w:rPr>
                        <w:sz w:val="16"/>
                      </w:rPr>
                    </w:pPr>
                    <w:r>
                      <w:rPr>
                        <w:sz w:val="16"/>
                      </w:rPr>
                      <w:t>Socioeconó- </w:t>
                    </w:r>
                    <w:r>
                      <w:rPr>
                        <w:w w:val="105"/>
                        <w:sz w:val="16"/>
                      </w:rPr>
                      <w:t>micos</w:t>
                    </w:r>
                  </w:p>
                  <w:p>
                    <w:pPr>
                      <w:tabs>
                        <w:tab w:pos="1261" w:val="left" w:leader="none"/>
                      </w:tabs>
                      <w:spacing w:line="296" w:lineRule="exact" w:before="24"/>
                      <w:ind w:left="108" w:right="12" w:hanging="79"/>
                      <w:jc w:val="left"/>
                      <w:rPr>
                        <w:sz w:val="16"/>
                      </w:rPr>
                    </w:pPr>
                    <w:r>
                      <w:rPr>
                        <w:w w:val="100"/>
                        <w:sz w:val="16"/>
                        <w:u w:val="dotted" w:color="929292"/>
                      </w:rPr>
                      <w:t> </w:t>
                    </w:r>
                    <w:r>
                      <w:rPr>
                        <w:sz w:val="16"/>
                        <w:u w:val="dotted" w:color="929292"/>
                      </w:rPr>
                      <w:tab/>
                      <w:tab/>
                    </w:r>
                    <w:r>
                      <w:rPr>
                        <w:sz w:val="16"/>
                      </w:rPr>
                      <w:t> </w:t>
                    </w:r>
                    <w:r>
                      <w:rPr>
                        <w:w w:val="102"/>
                        <w:sz w:val="16"/>
                      </w:rPr>
                      <w:t>Ubicación</w:t>
                    </w:r>
                  </w:p>
                  <w:p>
                    <w:pPr>
                      <w:tabs>
                        <w:tab w:pos="1261" w:val="left" w:leader="none"/>
                      </w:tabs>
                      <w:spacing w:line="123" w:lineRule="exact" w:before="0"/>
                      <w:ind w:left="29" w:right="0" w:firstLine="0"/>
                      <w:jc w:val="left"/>
                      <w:rPr>
                        <w:sz w:val="16"/>
                      </w:rPr>
                    </w:pPr>
                    <w:r>
                      <w:rPr>
                        <w:w w:val="100"/>
                        <w:sz w:val="16"/>
                        <w:u w:val="dotted" w:color="929292"/>
                      </w:rPr>
                      <w:t> </w:t>
                    </w:r>
                    <w:r>
                      <w:rPr>
                        <w:sz w:val="16"/>
                        <w:u w:val="dotted" w:color="929292"/>
                      </w:rPr>
                      <w:tab/>
                    </w:r>
                  </w:p>
                  <w:p>
                    <w:pPr>
                      <w:spacing w:line="166" w:lineRule="exact" w:before="112"/>
                      <w:ind w:left="108" w:right="0" w:firstLine="0"/>
                      <w:jc w:val="left"/>
                      <w:rPr>
                        <w:sz w:val="16"/>
                      </w:rPr>
                    </w:pPr>
                    <w:r>
                      <w:rPr>
                        <w:sz w:val="16"/>
                      </w:rPr>
                      <w:t>Tamaño</w:t>
                    </w:r>
                  </w:p>
                  <w:p>
                    <w:pPr>
                      <w:tabs>
                        <w:tab w:pos="1261" w:val="left" w:leader="none"/>
                      </w:tabs>
                      <w:spacing w:line="166" w:lineRule="exact" w:before="0"/>
                      <w:ind w:left="29" w:right="0" w:firstLine="0"/>
                      <w:jc w:val="left"/>
                      <w:rPr>
                        <w:sz w:val="16"/>
                      </w:rPr>
                    </w:pPr>
                    <w:r>
                      <w:rPr>
                        <w:w w:val="100"/>
                        <w:sz w:val="16"/>
                        <w:u w:val="dotted" w:color="929292"/>
                      </w:rPr>
                      <w:t> </w:t>
                    </w:r>
                    <w:r>
                      <w:rPr>
                        <w:sz w:val="16"/>
                        <w:u w:val="dotted" w:color="929292"/>
                      </w:rPr>
                      <w:tab/>
                    </w:r>
                  </w:p>
                  <w:p>
                    <w:pPr>
                      <w:spacing w:before="87"/>
                      <w:ind w:left="29" w:right="0" w:firstLine="0"/>
                      <w:jc w:val="left"/>
                      <w:rPr>
                        <w:sz w:val="16"/>
                      </w:rPr>
                    </w:pPr>
                    <w:r>
                      <w:rPr>
                        <w:w w:val="100"/>
                        <w:position w:val="-6"/>
                        <w:sz w:val="16"/>
                        <w:u w:val="dotted" w:color="929292"/>
                      </w:rPr>
                      <w:t> </w:t>
                    </w:r>
                    <w:r>
                      <w:rPr>
                        <w:position w:val="-6"/>
                        <w:sz w:val="16"/>
                        <w:u w:val="dotted" w:color="929292"/>
                      </w:rPr>
                      <w:t> </w:t>
                    </w:r>
                    <w:r>
                      <w:rPr>
                        <w:sz w:val="16"/>
                      </w:rPr>
                      <w:t>Forma</w:t>
                    </w:r>
                  </w:p>
                  <w:p>
                    <w:pPr>
                      <w:spacing w:before="190"/>
                      <w:ind w:left="108" w:right="0" w:firstLine="0"/>
                      <w:jc w:val="left"/>
                      <w:rPr>
                        <w:sz w:val="16"/>
                      </w:rPr>
                    </w:pPr>
                    <w:r>
                      <w:rPr>
                        <w:sz w:val="16"/>
                      </w:rPr>
                      <w:t>Alimentación</w:t>
                    </w:r>
                  </w:p>
                </w:txbxContent>
              </v:textbox>
              <w10:wrap type="none"/>
            </v:shape>
            <w10:wrap type="none"/>
          </v:group>
        </w:pict>
      </w:r>
      <w:r>
        <w:rPr>
          <w:w w:val="105"/>
          <w:sz w:val="16"/>
        </w:rPr>
        <w:t>Etapa</w:t>
      </w:r>
    </w:p>
    <w:p>
      <w:pPr>
        <w:tabs>
          <w:tab w:pos="1639" w:val="left" w:leader="none"/>
          <w:tab w:pos="3038" w:val="left" w:leader="none"/>
        </w:tabs>
        <w:spacing w:line="209" w:lineRule="exact" w:before="0"/>
        <w:ind w:left="130" w:right="0" w:firstLine="0"/>
        <w:jc w:val="left"/>
        <w:rPr>
          <w:sz w:val="16"/>
        </w:rPr>
      </w:pPr>
      <w:r>
        <w:rPr/>
        <w:pict>
          <v:line style="position:absolute;mso-position-horizontal-relative:page;mso-position-vertical-relative:paragraph;z-index:10408" from="513.320923pt,10.502697pt" to="513.320923pt,10.502697pt" stroked="true" strokeweight=".5pt" strokecolor="#929292">
            <w10:wrap type="none"/>
          </v:line>
        </w:pict>
      </w:r>
      <w:r>
        <w:rPr>
          <w:w w:val="100"/>
          <w:position w:val="-8"/>
          <w:sz w:val="16"/>
          <w:u w:val="dotted" w:color="929292"/>
        </w:rPr>
        <w:t> </w:t>
      </w:r>
      <w:r>
        <w:rPr>
          <w:spacing w:val="-16"/>
          <w:position w:val="-8"/>
          <w:sz w:val="16"/>
          <w:u w:val="dotted" w:color="929292"/>
        </w:rPr>
        <w:t> </w:t>
      </w:r>
      <w:r>
        <w:rPr>
          <w:w w:val="105"/>
          <w:position w:val="-8"/>
          <w:sz w:val="16"/>
          <w:u w:val="dotted" w:color="929292"/>
        </w:rPr>
        <w:t>Metodológica</w:t>
        <w:tab/>
      </w:r>
      <w:r>
        <w:rPr>
          <w:w w:val="105"/>
          <w:sz w:val="16"/>
        </w:rPr>
        <w:t>Factor</w:t>
        <w:tab/>
        <w:t>Variables</w:t>
      </w:r>
    </w:p>
    <w:p>
      <w:pPr>
        <w:tabs>
          <w:tab w:pos="7775" w:val="left" w:leader="none"/>
        </w:tabs>
        <w:spacing w:line="148" w:lineRule="exact" w:before="0"/>
        <w:ind w:left="2960" w:right="0" w:firstLine="0"/>
        <w:jc w:val="left"/>
        <w:rPr>
          <w:sz w:val="16"/>
        </w:rPr>
      </w:pPr>
      <w:r>
        <w:rPr>
          <w:w w:val="100"/>
          <w:sz w:val="16"/>
          <w:u w:val="dotted" w:color="929292"/>
        </w:rPr>
        <w:t> </w:t>
      </w:r>
      <w:r>
        <w:rPr>
          <w:spacing w:val="-11"/>
          <w:sz w:val="16"/>
          <w:u w:val="dotted" w:color="929292"/>
        </w:rPr>
        <w:t> </w:t>
      </w:r>
      <w:r>
        <w:rPr>
          <w:sz w:val="16"/>
          <w:u w:val="dotted" w:color="929292"/>
        </w:rPr>
        <w:t>Localización: latitud, longitud y </w:t>
      </w:r>
      <w:r>
        <w:rPr>
          <w:spacing w:val="10"/>
          <w:sz w:val="16"/>
          <w:u w:val="dotted" w:color="929292"/>
        </w:rPr>
        <w:t> </w:t>
      </w:r>
      <w:r>
        <w:rPr>
          <w:sz w:val="16"/>
          <w:u w:val="dotted" w:color="929292"/>
        </w:rPr>
        <w:t>altitud</w:t>
        <w:tab/>
      </w:r>
    </w:p>
    <w:p>
      <w:pPr>
        <w:tabs>
          <w:tab w:pos="7775" w:val="left" w:leader="none"/>
        </w:tabs>
        <w:spacing w:line="148" w:lineRule="exact" w:before="0"/>
        <w:ind w:left="2960" w:right="0" w:firstLine="0"/>
        <w:jc w:val="left"/>
        <w:rPr>
          <w:sz w:val="16"/>
        </w:rPr>
      </w:pPr>
      <w:r>
        <w:rPr>
          <w:w w:val="100"/>
          <w:sz w:val="16"/>
          <w:u w:val="dotted" w:color="929292"/>
        </w:rPr>
        <w:t> </w:t>
      </w:r>
      <w:r>
        <w:rPr>
          <w:spacing w:val="-11"/>
          <w:sz w:val="16"/>
          <w:u w:val="dotted" w:color="929292"/>
        </w:rPr>
        <w:t> </w:t>
      </w:r>
      <w:r>
        <w:rPr>
          <w:sz w:val="16"/>
          <w:u w:val="dotted" w:color="929292"/>
        </w:rPr>
        <w:t>Fisiografía</w:t>
        <w:tab/>
      </w:r>
    </w:p>
    <w:p>
      <w:pPr>
        <w:tabs>
          <w:tab w:pos="7775" w:val="left" w:leader="none"/>
        </w:tabs>
        <w:spacing w:line="148" w:lineRule="exact" w:before="0"/>
        <w:ind w:left="2960" w:right="0" w:firstLine="0"/>
        <w:jc w:val="left"/>
        <w:rPr>
          <w:sz w:val="16"/>
        </w:rPr>
      </w:pPr>
      <w:r>
        <w:rPr>
          <w:w w:val="100"/>
          <w:sz w:val="16"/>
          <w:u w:val="dotted" w:color="929292"/>
        </w:rPr>
        <w:t> </w:t>
      </w:r>
      <w:r>
        <w:rPr>
          <w:spacing w:val="-11"/>
          <w:sz w:val="16"/>
          <w:u w:val="dotted" w:color="929292"/>
        </w:rPr>
        <w:t> </w:t>
      </w:r>
      <w:r>
        <w:rPr>
          <w:sz w:val="16"/>
          <w:u w:val="dotted" w:color="929292"/>
        </w:rPr>
        <w:t>Relieve</w:t>
        <w:tab/>
      </w:r>
    </w:p>
    <w:p>
      <w:pPr>
        <w:tabs>
          <w:tab w:pos="7775" w:val="left" w:leader="none"/>
        </w:tabs>
        <w:spacing w:line="148" w:lineRule="exact" w:before="0"/>
        <w:ind w:left="2960" w:right="0" w:firstLine="0"/>
        <w:jc w:val="left"/>
        <w:rPr>
          <w:sz w:val="16"/>
        </w:rPr>
      </w:pPr>
      <w:r>
        <w:rPr>
          <w:w w:val="100"/>
          <w:sz w:val="16"/>
          <w:u w:val="dotted" w:color="929292"/>
        </w:rPr>
        <w:t> </w:t>
      </w:r>
      <w:r>
        <w:rPr>
          <w:spacing w:val="-11"/>
          <w:sz w:val="16"/>
          <w:u w:val="dotted" w:color="929292"/>
        </w:rPr>
        <w:t> </w:t>
      </w:r>
      <w:r>
        <w:rPr>
          <w:sz w:val="16"/>
          <w:u w:val="dotted" w:color="929292"/>
        </w:rPr>
        <w:t>Clima</w:t>
        <w:tab/>
      </w:r>
    </w:p>
    <w:p>
      <w:pPr>
        <w:tabs>
          <w:tab w:pos="7775" w:val="left" w:leader="none"/>
        </w:tabs>
        <w:spacing w:line="150" w:lineRule="exact" w:before="0"/>
        <w:ind w:left="2960" w:right="0" w:firstLine="0"/>
        <w:jc w:val="left"/>
        <w:rPr>
          <w:sz w:val="16"/>
        </w:rPr>
      </w:pPr>
      <w:r>
        <w:rPr>
          <w:w w:val="100"/>
          <w:sz w:val="16"/>
          <w:u w:val="dotted" w:color="929292"/>
        </w:rPr>
        <w:t> </w:t>
      </w:r>
      <w:r>
        <w:rPr>
          <w:spacing w:val="-11"/>
          <w:sz w:val="16"/>
          <w:u w:val="dotted" w:color="929292"/>
        </w:rPr>
        <w:t> </w:t>
      </w:r>
      <w:r>
        <w:rPr>
          <w:sz w:val="16"/>
          <w:u w:val="dotted" w:color="929292"/>
        </w:rPr>
        <w:t>Suelos</w:t>
        <w:tab/>
      </w:r>
    </w:p>
    <w:p>
      <w:pPr>
        <w:spacing w:after="0" w:line="150" w:lineRule="exact"/>
        <w:jc w:val="left"/>
        <w:rPr>
          <w:sz w:val="16"/>
        </w:rPr>
        <w:sectPr>
          <w:type w:val="continuous"/>
          <w:pgSz w:w="18830" w:h="12760" w:orient="landscape"/>
          <w:pgMar w:top="1420" w:bottom="280" w:left="720" w:right="720"/>
          <w:cols w:num="2" w:equalWidth="0">
            <w:col w:w="7841" w:space="1605"/>
            <w:col w:w="7944"/>
          </w:cols>
        </w:sectPr>
      </w:pPr>
    </w:p>
    <w:p>
      <w:pPr>
        <w:pStyle w:val="BodyText"/>
        <w:spacing w:line="249" w:lineRule="auto" w:before="10"/>
        <w:ind w:left="130"/>
        <w:jc w:val="both"/>
      </w:pPr>
      <w:r>
        <w:rPr/>
        <w:t>un agroecosistema, se está estructurando un Sistema de Información Geográfica que permite la manipulación de la información estadística y cartográfica conjuntamente para su análisis.</w:t>
      </w:r>
    </w:p>
    <w:p>
      <w:pPr>
        <w:spacing w:line="127" w:lineRule="exact" w:before="0"/>
        <w:ind w:left="130" w:right="-14" w:firstLine="0"/>
        <w:jc w:val="left"/>
        <w:rPr>
          <w:sz w:val="16"/>
        </w:rPr>
      </w:pPr>
      <w:r>
        <w:rPr/>
        <w:br w:type="column"/>
      </w:r>
      <w:r>
        <w:rPr>
          <w:sz w:val="16"/>
        </w:rPr>
        <w:t>Caracterización</w:t>
      </w:r>
    </w:p>
    <w:p>
      <w:pPr>
        <w:spacing w:line="182" w:lineRule="exact" w:before="0"/>
        <w:ind w:left="130" w:right="-14" w:firstLine="0"/>
        <w:jc w:val="left"/>
        <w:rPr>
          <w:sz w:val="16"/>
        </w:rPr>
      </w:pPr>
      <w:r>
        <w:rPr>
          <w:sz w:val="16"/>
        </w:rPr>
        <w:t>Geográfica</w:t>
      </w:r>
    </w:p>
    <w:p>
      <w:pPr>
        <w:tabs>
          <w:tab w:pos="4945" w:val="left" w:leader="none"/>
        </w:tabs>
        <w:spacing w:line="112" w:lineRule="exact" w:before="0"/>
        <w:ind w:left="130" w:right="0" w:firstLine="0"/>
        <w:jc w:val="left"/>
        <w:rPr>
          <w:sz w:val="16"/>
        </w:rPr>
      </w:pPr>
      <w:r>
        <w:rPr/>
        <w:br w:type="column"/>
      </w:r>
      <w:r>
        <w:rPr>
          <w:w w:val="100"/>
          <w:sz w:val="16"/>
          <w:u w:val="dotted" w:color="929292"/>
        </w:rPr>
        <w:t> </w:t>
      </w:r>
      <w:r>
        <w:rPr>
          <w:spacing w:val="-11"/>
          <w:sz w:val="16"/>
          <w:u w:val="dotted" w:color="929292"/>
        </w:rPr>
        <w:t> </w:t>
      </w:r>
      <w:r>
        <w:rPr>
          <w:sz w:val="16"/>
          <w:u w:val="dotted" w:color="929292"/>
        </w:rPr>
        <w:t>Tipo de Vegetación</w:t>
      </w:r>
      <w:r>
        <w:rPr>
          <w:spacing w:val="4"/>
          <w:sz w:val="16"/>
          <w:u w:val="dotted" w:color="929292"/>
        </w:rPr>
        <w:t> </w:t>
      </w:r>
      <w:r>
        <w:rPr>
          <w:sz w:val="16"/>
          <w:u w:val="dotted" w:color="929292"/>
        </w:rPr>
        <w:t>Natural</w:t>
        <w:tab/>
      </w:r>
    </w:p>
    <w:p>
      <w:pPr>
        <w:tabs>
          <w:tab w:pos="4945" w:val="left" w:leader="none"/>
        </w:tabs>
        <w:spacing w:line="148" w:lineRule="exact" w:before="0"/>
        <w:ind w:left="130" w:right="0" w:firstLine="0"/>
        <w:jc w:val="left"/>
        <w:rPr>
          <w:sz w:val="16"/>
        </w:rPr>
      </w:pPr>
      <w:r>
        <w:rPr>
          <w:w w:val="100"/>
          <w:sz w:val="16"/>
          <w:u w:val="dotted" w:color="929292"/>
        </w:rPr>
        <w:t> </w:t>
      </w:r>
      <w:r>
        <w:rPr>
          <w:spacing w:val="-11"/>
          <w:sz w:val="16"/>
          <w:u w:val="dotted" w:color="929292"/>
        </w:rPr>
        <w:t> </w:t>
      </w:r>
      <w:r>
        <w:rPr>
          <w:sz w:val="16"/>
          <w:u w:val="dotted" w:color="929292"/>
        </w:rPr>
        <w:t>Población total de las</w:t>
      </w:r>
      <w:r>
        <w:rPr>
          <w:spacing w:val="34"/>
          <w:sz w:val="16"/>
          <w:u w:val="dotted" w:color="929292"/>
        </w:rPr>
        <w:t> </w:t>
      </w:r>
      <w:r>
        <w:rPr>
          <w:sz w:val="16"/>
          <w:u w:val="dotted" w:color="929292"/>
        </w:rPr>
        <w:t>localidades</w:t>
        <w:tab/>
      </w:r>
    </w:p>
    <w:p>
      <w:pPr>
        <w:tabs>
          <w:tab w:pos="4945" w:val="left" w:leader="none"/>
        </w:tabs>
        <w:spacing w:line="148" w:lineRule="exact" w:before="0"/>
        <w:ind w:left="130" w:right="0" w:firstLine="0"/>
        <w:jc w:val="left"/>
        <w:rPr>
          <w:sz w:val="16"/>
        </w:rPr>
      </w:pPr>
      <w:r>
        <w:rPr>
          <w:w w:val="100"/>
          <w:sz w:val="16"/>
          <w:u w:val="dotted" w:color="929292"/>
        </w:rPr>
        <w:t> </w:t>
      </w:r>
      <w:r>
        <w:rPr>
          <w:spacing w:val="-11"/>
          <w:sz w:val="16"/>
          <w:u w:val="dotted" w:color="929292"/>
        </w:rPr>
        <w:t> </w:t>
      </w:r>
      <w:r>
        <w:rPr>
          <w:sz w:val="16"/>
          <w:u w:val="dotted" w:color="929292"/>
        </w:rPr>
        <w:t>Estructura poblacional por género de las</w:t>
      </w:r>
      <w:r>
        <w:rPr>
          <w:spacing w:val="42"/>
          <w:sz w:val="16"/>
          <w:u w:val="dotted" w:color="929292"/>
        </w:rPr>
        <w:t> </w:t>
      </w:r>
      <w:r>
        <w:rPr>
          <w:sz w:val="16"/>
          <w:u w:val="dotted" w:color="929292"/>
        </w:rPr>
        <w:t>localidades</w:t>
        <w:tab/>
      </w:r>
    </w:p>
    <w:p>
      <w:pPr>
        <w:tabs>
          <w:tab w:pos="4945" w:val="left" w:leader="none"/>
        </w:tabs>
        <w:spacing w:line="148" w:lineRule="exact" w:before="14"/>
        <w:ind w:left="208" w:right="158" w:hanging="79"/>
        <w:jc w:val="left"/>
        <w:rPr>
          <w:sz w:val="16"/>
        </w:rPr>
      </w:pPr>
      <w:r>
        <w:rPr>
          <w:w w:val="100"/>
          <w:sz w:val="16"/>
          <w:u w:val="dotted" w:color="929292"/>
        </w:rPr>
        <w:t> </w:t>
      </w:r>
      <w:r>
        <w:rPr>
          <w:spacing w:val="-11"/>
          <w:sz w:val="16"/>
          <w:u w:val="dotted" w:color="929292"/>
        </w:rPr>
        <w:t> </w:t>
      </w:r>
      <w:r>
        <w:rPr>
          <w:sz w:val="16"/>
          <w:u w:val="dotted" w:color="929292"/>
        </w:rPr>
        <w:t>Estructura poblacional por edad de</w:t>
      </w:r>
      <w:r>
        <w:rPr>
          <w:spacing w:val="40"/>
          <w:sz w:val="16"/>
          <w:u w:val="dotted" w:color="929292"/>
        </w:rPr>
        <w:t> </w:t>
      </w:r>
      <w:r>
        <w:rPr>
          <w:sz w:val="16"/>
          <w:u w:val="dotted" w:color="929292"/>
        </w:rPr>
        <w:t>las</w:t>
      </w:r>
      <w:r>
        <w:rPr>
          <w:spacing w:val="8"/>
          <w:sz w:val="16"/>
          <w:u w:val="dotted" w:color="929292"/>
        </w:rPr>
        <w:t> </w:t>
      </w:r>
      <w:r>
        <w:rPr>
          <w:sz w:val="16"/>
          <w:u w:val="dotted" w:color="929292"/>
        </w:rPr>
        <w:t>localidades</w:t>
        <w:tab/>
      </w:r>
      <w:r>
        <w:rPr>
          <w:sz w:val="16"/>
        </w:rPr>
        <w:t> Actividades económicas y formas de agricultura de </w:t>
      </w:r>
      <w:r>
        <w:rPr>
          <w:spacing w:val="1"/>
          <w:sz w:val="16"/>
        </w:rPr>
        <w:t> </w:t>
      </w:r>
      <w:r>
        <w:rPr>
          <w:sz w:val="16"/>
        </w:rPr>
        <w:t>las</w:t>
      </w:r>
    </w:p>
    <w:p>
      <w:pPr>
        <w:tabs>
          <w:tab w:pos="4945" w:val="left" w:leader="none"/>
        </w:tabs>
        <w:spacing w:line="168" w:lineRule="exact" w:before="0"/>
        <w:ind w:left="130" w:right="0" w:firstLine="0"/>
        <w:jc w:val="left"/>
        <w:rPr>
          <w:sz w:val="16"/>
        </w:rPr>
      </w:pPr>
      <w:r>
        <w:rPr>
          <w:w w:val="100"/>
          <w:sz w:val="16"/>
          <w:u w:val="dotted" w:color="929292"/>
        </w:rPr>
        <w:t> </w:t>
      </w:r>
      <w:r>
        <w:rPr>
          <w:spacing w:val="-11"/>
          <w:sz w:val="16"/>
          <w:u w:val="dotted" w:color="929292"/>
        </w:rPr>
        <w:t> </w:t>
      </w:r>
      <w:r>
        <w:rPr>
          <w:sz w:val="16"/>
          <w:u w:val="dotted" w:color="929292"/>
        </w:rPr>
        <w:t>localidades</w:t>
        <w:tab/>
      </w:r>
    </w:p>
    <w:p>
      <w:pPr>
        <w:spacing w:after="0" w:line="168" w:lineRule="exact"/>
        <w:jc w:val="left"/>
        <w:rPr>
          <w:sz w:val="16"/>
        </w:rPr>
        <w:sectPr>
          <w:type w:val="continuous"/>
          <w:pgSz w:w="18830" w:h="12760" w:orient="landscape"/>
          <w:pgMar w:top="1420" w:bottom="280" w:left="720" w:right="720"/>
          <w:cols w:num="3" w:equalWidth="0">
            <w:col w:w="7841" w:space="1678"/>
            <w:col w:w="1248" w:space="1509"/>
            <w:col w:w="5114"/>
          </w:cols>
        </w:sectPr>
      </w:pPr>
    </w:p>
    <w:p>
      <w:pPr>
        <w:pStyle w:val="BodyText"/>
        <w:spacing w:before="8"/>
        <w:rPr>
          <w:sz w:val="27"/>
        </w:rPr>
      </w:pPr>
    </w:p>
    <w:p>
      <w:pPr>
        <w:pStyle w:val="Heading1"/>
        <w:spacing w:line="240" w:lineRule="exact"/>
        <w:ind w:right="-7"/>
      </w:pPr>
      <w:r>
        <w:rPr/>
        <w:t>Análisis de la Influencia de los Huertos sobre la Calidad de Vida Familiar.</w:t>
      </w:r>
    </w:p>
    <w:p>
      <w:pPr>
        <w:tabs>
          <w:tab w:pos="1809" w:val="left" w:leader="none"/>
          <w:tab w:pos="3130" w:val="left" w:leader="none"/>
          <w:tab w:pos="7945" w:val="left" w:leader="none"/>
        </w:tabs>
        <w:spacing w:line="147" w:lineRule="exact" w:before="0"/>
        <w:ind w:left="300" w:right="0" w:firstLine="0"/>
        <w:jc w:val="left"/>
        <w:rPr>
          <w:sz w:val="16"/>
        </w:rPr>
      </w:pPr>
      <w:r>
        <w:rPr/>
        <w:br w:type="column"/>
      </w:r>
      <w:r>
        <w:rPr>
          <w:w w:val="100"/>
          <w:sz w:val="16"/>
          <w:u w:val="dotted" w:color="929292"/>
        </w:rPr>
        <w:t> </w:t>
      </w:r>
      <w:r>
        <w:rPr>
          <w:sz w:val="16"/>
          <w:u w:val="dotted" w:color="929292"/>
        </w:rPr>
        <w:tab/>
      </w:r>
      <w:r>
        <w:rPr>
          <w:sz w:val="16"/>
        </w:rPr>
        <w:tab/>
      </w:r>
      <w:r>
        <w:rPr>
          <w:w w:val="100"/>
          <w:sz w:val="16"/>
          <w:u w:val="dotted" w:color="929292"/>
        </w:rPr>
        <w:t> </w:t>
      </w:r>
      <w:r>
        <w:rPr>
          <w:spacing w:val="-11"/>
          <w:sz w:val="16"/>
          <w:u w:val="dotted" w:color="929292"/>
        </w:rPr>
        <w:t> </w:t>
      </w:r>
      <w:r>
        <w:rPr>
          <w:sz w:val="16"/>
          <w:u w:val="dotted" w:color="929292"/>
        </w:rPr>
        <w:t>Características de las viviendas de las</w:t>
      </w:r>
      <w:r>
        <w:rPr>
          <w:spacing w:val="12"/>
          <w:sz w:val="16"/>
          <w:u w:val="dotted" w:color="929292"/>
        </w:rPr>
        <w:t> </w:t>
      </w:r>
      <w:r>
        <w:rPr>
          <w:sz w:val="16"/>
          <w:u w:val="dotted" w:color="929292"/>
        </w:rPr>
        <w:t>localidades</w:t>
        <w:tab/>
      </w:r>
    </w:p>
    <w:p>
      <w:pPr>
        <w:tabs>
          <w:tab w:pos="7945" w:val="left" w:leader="none"/>
        </w:tabs>
        <w:spacing w:line="148" w:lineRule="exact" w:before="0"/>
        <w:ind w:left="3130" w:right="0" w:firstLine="0"/>
        <w:jc w:val="left"/>
        <w:rPr>
          <w:sz w:val="16"/>
        </w:rPr>
      </w:pPr>
      <w:r>
        <w:rPr/>
        <w:pict>
          <v:line style="position:absolute;mso-position-horizontal-relative:page;mso-position-vertical-relative:paragraph;z-index:10432" from="513.320923pt,.014397pt" to="513.320923pt,.014397pt" stroked="true" strokeweight=".5pt" strokecolor="#929292">
            <w10:wrap type="none"/>
          </v:line>
        </w:pict>
      </w:r>
      <w:r>
        <w:rPr>
          <w:w w:val="100"/>
          <w:sz w:val="16"/>
          <w:u w:val="dotted" w:color="929292"/>
        </w:rPr>
        <w:t> </w:t>
      </w:r>
      <w:r>
        <w:rPr>
          <w:spacing w:val="-11"/>
          <w:sz w:val="16"/>
          <w:u w:val="dotted" w:color="929292"/>
        </w:rPr>
        <w:t> </w:t>
      </w:r>
      <w:r>
        <w:rPr>
          <w:sz w:val="16"/>
          <w:u w:val="dotted" w:color="929292"/>
        </w:rPr>
        <w:t>Número de huertos por</w:t>
      </w:r>
      <w:r>
        <w:rPr>
          <w:spacing w:val="34"/>
          <w:sz w:val="16"/>
          <w:u w:val="dotted" w:color="929292"/>
        </w:rPr>
        <w:t> </w:t>
      </w:r>
      <w:r>
        <w:rPr>
          <w:sz w:val="16"/>
          <w:u w:val="dotted" w:color="929292"/>
        </w:rPr>
        <w:t>localidad</w:t>
        <w:tab/>
      </w:r>
    </w:p>
    <w:p>
      <w:pPr>
        <w:tabs>
          <w:tab w:pos="7945" w:val="left" w:leader="none"/>
        </w:tabs>
        <w:spacing w:line="148" w:lineRule="exact" w:before="0"/>
        <w:ind w:left="3130" w:right="0" w:firstLine="0"/>
        <w:jc w:val="left"/>
        <w:rPr>
          <w:sz w:val="16"/>
        </w:rPr>
      </w:pPr>
      <w:r>
        <w:rPr>
          <w:w w:val="100"/>
          <w:sz w:val="16"/>
          <w:u w:val="dotted" w:color="929292"/>
        </w:rPr>
        <w:t> </w:t>
      </w:r>
      <w:r>
        <w:rPr>
          <w:spacing w:val="-11"/>
          <w:sz w:val="16"/>
          <w:u w:val="dotted" w:color="929292"/>
        </w:rPr>
        <w:t> </w:t>
      </w:r>
      <w:r>
        <w:rPr>
          <w:sz w:val="16"/>
          <w:u w:val="dotted" w:color="929292"/>
        </w:rPr>
        <w:t>Distribución de huertos por </w:t>
      </w:r>
      <w:r>
        <w:rPr>
          <w:spacing w:val="4"/>
          <w:sz w:val="16"/>
          <w:u w:val="dotted" w:color="929292"/>
        </w:rPr>
        <w:t> </w:t>
      </w:r>
      <w:r>
        <w:rPr>
          <w:sz w:val="16"/>
          <w:u w:val="dotted" w:color="929292"/>
        </w:rPr>
        <w:t>localidad</w:t>
        <w:tab/>
      </w:r>
    </w:p>
    <w:p>
      <w:pPr>
        <w:tabs>
          <w:tab w:pos="7945" w:val="left" w:leader="none"/>
        </w:tabs>
        <w:spacing w:line="148" w:lineRule="exact" w:before="0"/>
        <w:ind w:left="3130" w:right="0" w:firstLine="0"/>
        <w:jc w:val="left"/>
        <w:rPr>
          <w:sz w:val="16"/>
        </w:rPr>
      </w:pPr>
      <w:r>
        <w:rPr>
          <w:w w:val="100"/>
          <w:sz w:val="16"/>
          <w:u w:val="dotted" w:color="929292"/>
        </w:rPr>
        <w:t> </w:t>
      </w:r>
      <w:r>
        <w:rPr>
          <w:spacing w:val="-11"/>
          <w:sz w:val="16"/>
          <w:u w:val="dotted" w:color="929292"/>
        </w:rPr>
        <w:t> </w:t>
      </w:r>
      <w:r>
        <w:rPr>
          <w:sz w:val="16"/>
          <w:u w:val="dotted" w:color="929292"/>
        </w:rPr>
        <w:t>Frecuencia de huertos por</w:t>
      </w:r>
      <w:r>
        <w:rPr>
          <w:spacing w:val="28"/>
          <w:sz w:val="16"/>
          <w:u w:val="dotted" w:color="929292"/>
        </w:rPr>
        <w:t> </w:t>
      </w:r>
      <w:r>
        <w:rPr>
          <w:sz w:val="16"/>
          <w:u w:val="dotted" w:color="929292"/>
        </w:rPr>
        <w:t>localidad</w:t>
        <w:tab/>
      </w:r>
    </w:p>
    <w:p>
      <w:pPr>
        <w:tabs>
          <w:tab w:pos="7945" w:val="left" w:leader="none"/>
        </w:tabs>
        <w:spacing w:line="125" w:lineRule="exact" w:before="0"/>
        <w:ind w:left="3130" w:right="0" w:firstLine="0"/>
        <w:jc w:val="left"/>
        <w:rPr>
          <w:sz w:val="16"/>
        </w:rPr>
      </w:pPr>
      <w:r>
        <w:rPr>
          <w:w w:val="100"/>
          <w:sz w:val="16"/>
          <w:u w:val="dotted" w:color="929292"/>
        </w:rPr>
        <w:t> </w:t>
      </w:r>
      <w:r>
        <w:rPr>
          <w:spacing w:val="-11"/>
          <w:sz w:val="16"/>
          <w:u w:val="dotted" w:color="929292"/>
        </w:rPr>
        <w:t> </w:t>
      </w:r>
      <w:r>
        <w:rPr>
          <w:sz w:val="16"/>
          <w:u w:val="dotted" w:color="929292"/>
        </w:rPr>
        <w:t>Tamaño promedio de los</w:t>
      </w:r>
      <w:r>
        <w:rPr>
          <w:spacing w:val="22"/>
          <w:sz w:val="16"/>
          <w:u w:val="dotted" w:color="929292"/>
        </w:rPr>
        <w:t> </w:t>
      </w:r>
      <w:r>
        <w:rPr>
          <w:sz w:val="16"/>
          <w:u w:val="dotted" w:color="929292"/>
        </w:rPr>
        <w:t>huertos</w:t>
        <w:tab/>
      </w:r>
    </w:p>
    <w:p>
      <w:pPr>
        <w:spacing w:after="0" w:line="125" w:lineRule="exact"/>
        <w:jc w:val="left"/>
        <w:rPr>
          <w:sz w:val="16"/>
        </w:rPr>
        <w:sectPr>
          <w:type w:val="continuous"/>
          <w:pgSz w:w="18830" w:h="12760" w:orient="landscape"/>
          <w:pgMar w:top="1420" w:bottom="280" w:left="720" w:right="720"/>
          <w:cols w:num="2" w:equalWidth="0">
            <w:col w:w="7842" w:space="1434"/>
            <w:col w:w="8114"/>
          </w:cols>
        </w:sectPr>
      </w:pPr>
    </w:p>
    <w:p>
      <w:pPr>
        <w:pStyle w:val="BodyText"/>
        <w:spacing w:before="2"/>
        <w:rPr>
          <w:sz w:val="21"/>
        </w:rPr>
      </w:pPr>
    </w:p>
    <w:p>
      <w:pPr>
        <w:pStyle w:val="BodyText"/>
        <w:spacing w:line="192" w:lineRule="exact" w:before="1"/>
        <w:ind w:left="300" w:right="-12"/>
      </w:pPr>
      <w:r>
        <w:rPr/>
        <w:t>Para</w:t>
      </w:r>
      <w:r>
        <w:rPr>
          <w:spacing w:val="-6"/>
        </w:rPr>
        <w:t> </w:t>
      </w:r>
      <w:r>
        <w:rPr/>
        <w:t>complementar</w:t>
      </w:r>
      <w:r>
        <w:rPr>
          <w:spacing w:val="-6"/>
        </w:rPr>
        <w:t> </w:t>
      </w:r>
      <w:r>
        <w:rPr/>
        <w:t>los</w:t>
      </w:r>
      <w:r>
        <w:rPr>
          <w:spacing w:val="-6"/>
        </w:rPr>
        <w:t> </w:t>
      </w:r>
      <w:r>
        <w:rPr/>
        <w:t>datos</w:t>
      </w:r>
      <w:r>
        <w:rPr>
          <w:spacing w:val="-6"/>
        </w:rPr>
        <w:t> </w:t>
      </w:r>
      <w:r>
        <w:rPr/>
        <w:t>obtenidos</w:t>
      </w:r>
      <w:r>
        <w:rPr>
          <w:spacing w:val="-6"/>
        </w:rPr>
        <w:t> </w:t>
      </w:r>
      <w:r>
        <w:rPr/>
        <w:t>mediante</w:t>
      </w:r>
      <w:r>
        <w:rPr>
          <w:spacing w:val="-6"/>
        </w:rPr>
        <w:t> </w:t>
      </w:r>
      <w:r>
        <w:rPr/>
        <w:t>la</w:t>
      </w:r>
      <w:r>
        <w:rPr>
          <w:spacing w:val="-6"/>
        </w:rPr>
        <w:t> </w:t>
      </w:r>
      <w:r>
        <w:rPr/>
        <w:t>observación,</w:t>
      </w:r>
      <w:r>
        <w:rPr>
          <w:spacing w:val="-6"/>
        </w:rPr>
        <w:t> </w:t>
      </w:r>
      <w:r>
        <w:rPr/>
        <w:t>se</w:t>
      </w:r>
      <w:r>
        <w:rPr>
          <w:spacing w:val="-6"/>
        </w:rPr>
        <w:t> </w:t>
      </w:r>
      <w:r>
        <w:rPr/>
        <w:t>están</w:t>
      </w:r>
      <w:r>
        <w:rPr>
          <w:spacing w:val="-6"/>
        </w:rPr>
        <w:t> </w:t>
      </w:r>
      <w:r>
        <w:rPr/>
        <w:t>realizando</w:t>
      </w:r>
    </w:p>
    <w:p>
      <w:pPr>
        <w:spacing w:line="82" w:lineRule="exact" w:before="0"/>
        <w:ind w:left="300" w:right="-19" w:firstLine="0"/>
        <w:jc w:val="left"/>
        <w:rPr>
          <w:sz w:val="16"/>
        </w:rPr>
      </w:pPr>
      <w:r>
        <w:rPr/>
        <w:br w:type="column"/>
      </w:r>
      <w:r>
        <w:rPr>
          <w:sz w:val="16"/>
        </w:rPr>
        <w:t>Análisis</w:t>
      </w:r>
      <w:r>
        <w:rPr>
          <w:spacing w:val="-10"/>
          <w:sz w:val="16"/>
        </w:rPr>
        <w:t> </w:t>
      </w:r>
      <w:r>
        <w:rPr>
          <w:sz w:val="16"/>
        </w:rPr>
        <w:t>Espacial</w:t>
      </w:r>
    </w:p>
    <w:p>
      <w:pPr>
        <w:tabs>
          <w:tab w:pos="5115" w:val="left" w:leader="none"/>
        </w:tabs>
        <w:spacing w:line="89" w:lineRule="exact" w:before="0"/>
        <w:ind w:left="300" w:right="0" w:firstLine="0"/>
        <w:jc w:val="left"/>
        <w:rPr>
          <w:sz w:val="16"/>
        </w:rPr>
      </w:pPr>
      <w:r>
        <w:rPr/>
        <w:br w:type="column"/>
      </w:r>
      <w:r>
        <w:rPr>
          <w:w w:val="100"/>
          <w:sz w:val="16"/>
          <w:u w:val="dotted" w:color="929292"/>
        </w:rPr>
        <w:t> </w:t>
      </w:r>
      <w:r>
        <w:rPr>
          <w:spacing w:val="-11"/>
          <w:sz w:val="16"/>
          <w:u w:val="dotted" w:color="929292"/>
        </w:rPr>
        <w:t> </w:t>
      </w:r>
      <w:r>
        <w:rPr>
          <w:sz w:val="16"/>
          <w:u w:val="dotted" w:color="929292"/>
        </w:rPr>
        <w:t>Tamaño</w:t>
      </w:r>
      <w:r>
        <w:rPr>
          <w:spacing w:val="5"/>
          <w:sz w:val="16"/>
          <w:u w:val="dotted" w:color="929292"/>
        </w:rPr>
        <w:t> </w:t>
      </w:r>
      <w:r>
        <w:rPr>
          <w:sz w:val="16"/>
          <w:u w:val="dotted" w:color="929292"/>
        </w:rPr>
        <w:t>Máximo</w:t>
        <w:tab/>
      </w:r>
    </w:p>
    <w:p>
      <w:pPr>
        <w:tabs>
          <w:tab w:pos="5115" w:val="left" w:leader="none"/>
        </w:tabs>
        <w:spacing w:line="148" w:lineRule="exact" w:before="0"/>
        <w:ind w:left="300" w:right="0" w:firstLine="0"/>
        <w:jc w:val="left"/>
        <w:rPr>
          <w:sz w:val="16"/>
        </w:rPr>
      </w:pPr>
      <w:r>
        <w:rPr>
          <w:w w:val="100"/>
          <w:sz w:val="16"/>
          <w:u w:val="dotted" w:color="929292"/>
        </w:rPr>
        <w:t> </w:t>
      </w:r>
      <w:r>
        <w:rPr>
          <w:spacing w:val="-11"/>
          <w:sz w:val="16"/>
          <w:u w:val="dotted" w:color="929292"/>
        </w:rPr>
        <w:t> </w:t>
      </w:r>
      <w:r>
        <w:rPr>
          <w:sz w:val="16"/>
          <w:u w:val="dotted" w:color="929292"/>
        </w:rPr>
        <w:t>Tamaño</w:t>
      </w:r>
      <w:r>
        <w:rPr>
          <w:spacing w:val="-3"/>
          <w:sz w:val="16"/>
          <w:u w:val="dotted" w:color="929292"/>
        </w:rPr>
        <w:t> </w:t>
      </w:r>
      <w:r>
        <w:rPr>
          <w:sz w:val="16"/>
          <w:u w:val="dotted" w:color="929292"/>
        </w:rPr>
        <w:t>Mínimo</w:t>
        <w:tab/>
      </w:r>
    </w:p>
    <w:p>
      <w:pPr>
        <w:tabs>
          <w:tab w:pos="5115" w:val="left" w:leader="none"/>
        </w:tabs>
        <w:spacing w:line="166" w:lineRule="exact" w:before="0"/>
        <w:ind w:left="300" w:right="0" w:firstLine="0"/>
        <w:jc w:val="left"/>
        <w:rPr>
          <w:sz w:val="16"/>
        </w:rPr>
      </w:pPr>
      <w:r>
        <w:rPr>
          <w:w w:val="100"/>
          <w:sz w:val="16"/>
          <w:u w:val="dotted" w:color="929292"/>
        </w:rPr>
        <w:t> </w:t>
      </w:r>
      <w:r>
        <w:rPr>
          <w:spacing w:val="-11"/>
          <w:sz w:val="16"/>
          <w:u w:val="dotted" w:color="929292"/>
        </w:rPr>
        <w:t> </w:t>
      </w:r>
      <w:r>
        <w:rPr>
          <w:sz w:val="16"/>
          <w:u w:val="dotted" w:color="929292"/>
        </w:rPr>
        <w:t>Regular</w:t>
        <w:tab/>
      </w:r>
    </w:p>
    <w:p>
      <w:pPr>
        <w:spacing w:after="0" w:line="166" w:lineRule="exact"/>
        <w:jc w:val="left"/>
        <w:rPr>
          <w:sz w:val="16"/>
        </w:rPr>
        <w:sectPr>
          <w:type w:val="continuous"/>
          <w:pgSz w:w="18830" w:h="12760" w:orient="landscape"/>
          <w:pgMar w:top="1420" w:bottom="280" w:left="720" w:right="720"/>
          <w:cols w:num="3" w:equalWidth="0">
            <w:col w:w="7842" w:space="1507"/>
            <w:col w:w="1492" w:space="1265"/>
            <w:col w:w="5284"/>
          </w:cols>
        </w:sectPr>
      </w:pPr>
    </w:p>
    <w:p>
      <w:pPr>
        <w:pStyle w:val="BodyText"/>
        <w:spacing w:before="48"/>
        <w:ind w:left="130" w:right="-16"/>
      </w:pPr>
      <w:r>
        <w:rPr/>
        <w:t>entrevistas  informales,  y  también  se  aplican  entrevistas  semiestructuradas  a    las</w:t>
      </w:r>
    </w:p>
    <w:p>
      <w:pPr>
        <w:tabs>
          <w:tab w:pos="1639" w:val="left" w:leader="none"/>
          <w:tab w:pos="2960" w:val="left" w:leader="none"/>
          <w:tab w:pos="7775" w:val="left" w:leader="none"/>
        </w:tabs>
        <w:spacing w:line="165" w:lineRule="exact" w:before="0"/>
        <w:ind w:left="130" w:right="0" w:firstLine="0"/>
        <w:jc w:val="left"/>
        <w:rPr>
          <w:sz w:val="16"/>
        </w:rPr>
      </w:pPr>
      <w:r>
        <w:rPr/>
        <w:br w:type="column"/>
      </w:r>
      <w:r>
        <w:rPr>
          <w:w w:val="100"/>
          <w:sz w:val="16"/>
          <w:u w:val="dotted" w:color="929292"/>
        </w:rPr>
        <w:t> </w:t>
      </w:r>
      <w:r>
        <w:rPr>
          <w:sz w:val="16"/>
          <w:u w:val="dotted" w:color="929292"/>
        </w:rPr>
        <w:tab/>
      </w:r>
      <w:r>
        <w:rPr>
          <w:sz w:val="16"/>
        </w:rPr>
        <w:tab/>
      </w:r>
      <w:r>
        <w:rPr>
          <w:w w:val="100"/>
          <w:sz w:val="16"/>
          <w:u w:val="dotted" w:color="929292"/>
        </w:rPr>
        <w:t> </w:t>
      </w:r>
      <w:r>
        <w:rPr>
          <w:spacing w:val="-11"/>
          <w:sz w:val="16"/>
          <w:u w:val="dotted" w:color="929292"/>
        </w:rPr>
        <w:t> </w:t>
      </w:r>
      <w:r>
        <w:rPr>
          <w:sz w:val="16"/>
          <w:u w:val="dotted" w:color="929292"/>
        </w:rPr>
        <w:t>Irregular</w:t>
        <w:tab/>
      </w:r>
    </w:p>
    <w:p>
      <w:pPr>
        <w:spacing w:after="0" w:line="165" w:lineRule="exact"/>
        <w:jc w:val="left"/>
        <w:rPr>
          <w:sz w:val="16"/>
        </w:rPr>
        <w:sectPr>
          <w:type w:val="continuous"/>
          <w:pgSz w:w="18830" w:h="12760" w:orient="landscape"/>
          <w:pgMar w:top="1420" w:bottom="280" w:left="720" w:right="720"/>
          <w:cols w:num="2" w:equalWidth="0">
            <w:col w:w="7841" w:space="1605"/>
            <w:col w:w="7944"/>
          </w:cols>
        </w:sectPr>
      </w:pPr>
    </w:p>
    <w:p>
      <w:pPr>
        <w:pStyle w:val="BodyText"/>
        <w:spacing w:line="249" w:lineRule="auto" w:before="10"/>
        <w:ind w:left="130"/>
        <w:jc w:val="both"/>
      </w:pPr>
      <w:r>
        <w:rPr/>
        <w:pict>
          <v:line style="position:absolute;mso-position-horizontal-relative:page;mso-position-vertical-relative:paragraph;z-index:10456" from="513.320923pt,-4.094131pt" to="513.320923pt,-4.094131pt" stroked="true" strokeweight=".5pt" strokecolor="#929292">
            <w10:wrap type="none"/>
          </v:line>
        </w:pict>
      </w:r>
      <w:r>
        <w:rPr/>
        <w:t>familias de los 60 huertos que se seleccionaron para conocer las relaciones entre</w:t>
      </w:r>
      <w:r>
        <w:rPr>
          <w:spacing w:val="-8"/>
        </w:rPr>
        <w:t> </w:t>
      </w:r>
      <w:r>
        <w:rPr/>
        <w:t>cada componente del huerto, entradas y salidas de energía del agroecosistema, prácticas empleadas</w:t>
      </w:r>
      <w:r>
        <w:rPr>
          <w:spacing w:val="-7"/>
        </w:rPr>
        <w:t> </w:t>
      </w:r>
      <w:r>
        <w:rPr/>
        <w:t>en</w:t>
      </w:r>
      <w:r>
        <w:rPr>
          <w:spacing w:val="-7"/>
        </w:rPr>
        <w:t> </w:t>
      </w:r>
      <w:r>
        <w:rPr/>
        <w:t>el</w:t>
      </w:r>
      <w:r>
        <w:rPr>
          <w:spacing w:val="-7"/>
        </w:rPr>
        <w:t> </w:t>
      </w:r>
      <w:r>
        <w:rPr/>
        <w:t>huerto,</w:t>
      </w:r>
      <w:r>
        <w:rPr>
          <w:spacing w:val="-7"/>
        </w:rPr>
        <w:t> </w:t>
      </w:r>
      <w:r>
        <w:rPr/>
        <w:t>beneficios</w:t>
      </w:r>
      <w:r>
        <w:rPr>
          <w:spacing w:val="-7"/>
        </w:rPr>
        <w:t> </w:t>
      </w:r>
      <w:r>
        <w:rPr/>
        <w:t>en</w:t>
      </w:r>
      <w:r>
        <w:rPr>
          <w:spacing w:val="-7"/>
        </w:rPr>
        <w:t> </w:t>
      </w:r>
      <w:r>
        <w:rPr/>
        <w:t>la</w:t>
      </w:r>
      <w:r>
        <w:rPr>
          <w:spacing w:val="-7"/>
        </w:rPr>
        <w:t> </w:t>
      </w:r>
      <w:r>
        <w:rPr/>
        <w:t>alimentación,</w:t>
      </w:r>
      <w:r>
        <w:rPr>
          <w:spacing w:val="-7"/>
        </w:rPr>
        <w:t> </w:t>
      </w:r>
      <w:r>
        <w:rPr/>
        <w:t>en</w:t>
      </w:r>
      <w:r>
        <w:rPr>
          <w:spacing w:val="-7"/>
        </w:rPr>
        <w:t> </w:t>
      </w:r>
      <w:r>
        <w:rPr/>
        <w:t>la</w:t>
      </w:r>
      <w:r>
        <w:rPr>
          <w:spacing w:val="-7"/>
        </w:rPr>
        <w:t> </w:t>
      </w:r>
      <w:r>
        <w:rPr/>
        <w:t>economía</w:t>
      </w:r>
      <w:r>
        <w:rPr>
          <w:spacing w:val="-7"/>
        </w:rPr>
        <w:t> </w:t>
      </w:r>
      <w:r>
        <w:rPr/>
        <w:t>familiar,</w:t>
      </w:r>
      <w:r>
        <w:rPr>
          <w:spacing w:val="-7"/>
        </w:rPr>
        <w:t> </w:t>
      </w:r>
      <w:r>
        <w:rPr/>
        <w:t>sociales y</w:t>
      </w:r>
      <w:r>
        <w:rPr>
          <w:spacing w:val="19"/>
        </w:rPr>
        <w:t> </w:t>
      </w:r>
      <w:r>
        <w:rPr/>
        <w:t>ambientales</w:t>
      </w:r>
      <w:r>
        <w:rPr>
          <w:spacing w:val="19"/>
        </w:rPr>
        <w:t> </w:t>
      </w:r>
      <w:r>
        <w:rPr/>
        <w:t>a</w:t>
      </w:r>
      <w:r>
        <w:rPr>
          <w:spacing w:val="19"/>
        </w:rPr>
        <w:t> </w:t>
      </w:r>
      <w:r>
        <w:rPr/>
        <w:t>partir</w:t>
      </w:r>
      <w:r>
        <w:rPr>
          <w:spacing w:val="19"/>
        </w:rPr>
        <w:t> </w:t>
      </w:r>
      <w:r>
        <w:rPr/>
        <w:t>de</w:t>
      </w:r>
      <w:r>
        <w:rPr>
          <w:spacing w:val="19"/>
        </w:rPr>
        <w:t> </w:t>
      </w:r>
      <w:r>
        <w:rPr/>
        <w:t>los</w:t>
      </w:r>
      <w:r>
        <w:rPr>
          <w:spacing w:val="19"/>
        </w:rPr>
        <w:t> </w:t>
      </w:r>
      <w:r>
        <w:rPr/>
        <w:t>huertos</w:t>
      </w:r>
      <w:r>
        <w:rPr>
          <w:spacing w:val="19"/>
        </w:rPr>
        <w:t> </w:t>
      </w:r>
      <w:r>
        <w:rPr/>
        <w:t>familiares.</w:t>
      </w:r>
      <w:r>
        <w:rPr>
          <w:spacing w:val="19"/>
        </w:rPr>
        <w:t> </w:t>
      </w:r>
      <w:r>
        <w:rPr/>
        <w:t>Cómo</w:t>
      </w:r>
      <w:r>
        <w:rPr>
          <w:spacing w:val="19"/>
        </w:rPr>
        <w:t> </w:t>
      </w:r>
      <w:r>
        <w:rPr/>
        <w:t>los</w:t>
      </w:r>
      <w:r>
        <w:rPr>
          <w:spacing w:val="19"/>
        </w:rPr>
        <w:t> </w:t>
      </w:r>
      <w:r>
        <w:rPr/>
        <w:t>huertos</w:t>
      </w:r>
      <w:r>
        <w:rPr>
          <w:spacing w:val="19"/>
        </w:rPr>
        <w:t> </w:t>
      </w:r>
      <w:r>
        <w:rPr/>
        <w:t>familiares</w:t>
      </w:r>
      <w:r>
        <w:rPr>
          <w:spacing w:val="19"/>
        </w:rPr>
        <w:t> </w:t>
      </w:r>
      <w:r>
        <w:rPr/>
        <w:t>influyen</w:t>
      </w:r>
    </w:p>
    <w:p>
      <w:pPr>
        <w:spacing w:line="180" w:lineRule="exact" w:before="109"/>
        <w:ind w:left="130" w:right="-11" w:firstLine="0"/>
        <w:jc w:val="left"/>
        <w:rPr>
          <w:sz w:val="16"/>
        </w:rPr>
      </w:pPr>
      <w:r>
        <w:rPr/>
        <w:br w:type="column"/>
      </w:r>
      <w:r>
        <w:rPr>
          <w:sz w:val="16"/>
        </w:rPr>
        <w:t>Análisis de la Influencia de los Huertos sobre la</w:t>
      </w:r>
      <w:r>
        <w:rPr>
          <w:w w:val="97"/>
          <w:sz w:val="16"/>
        </w:rPr>
        <w:t> </w:t>
      </w:r>
      <w:r>
        <w:rPr>
          <w:sz w:val="16"/>
        </w:rPr>
        <w:t>Calidad de Vida Familiar</w:t>
      </w:r>
    </w:p>
    <w:p>
      <w:pPr>
        <w:spacing w:before="2"/>
        <w:ind w:left="1484" w:right="0" w:firstLine="0"/>
        <w:jc w:val="left"/>
        <w:rPr>
          <w:sz w:val="16"/>
        </w:rPr>
      </w:pPr>
      <w:r>
        <w:rPr/>
        <w:br w:type="column"/>
      </w:r>
      <w:r>
        <w:rPr>
          <w:sz w:val="16"/>
        </w:rPr>
        <w:t>Ingreso o producto del huerto dedicado a la  Alimentación</w:t>
      </w:r>
    </w:p>
    <w:p>
      <w:pPr>
        <w:tabs>
          <w:tab w:pos="1361" w:val="left" w:leader="none"/>
          <w:tab w:pos="6221" w:val="left" w:leader="none"/>
        </w:tabs>
        <w:spacing w:line="166" w:lineRule="exact" w:before="66"/>
        <w:ind w:left="130" w:right="0" w:firstLine="0"/>
        <w:jc w:val="left"/>
        <w:rPr>
          <w:sz w:val="16"/>
        </w:rPr>
      </w:pPr>
      <w:r>
        <w:rPr>
          <w:w w:val="100"/>
          <w:sz w:val="16"/>
          <w:u w:val="dotted" w:color="929292"/>
        </w:rPr>
        <w:t> </w:t>
      </w:r>
      <w:r>
        <w:rPr>
          <w:spacing w:val="-11"/>
          <w:sz w:val="16"/>
          <w:u w:val="dotted" w:color="929292"/>
        </w:rPr>
        <w:t> </w:t>
      </w:r>
      <w:r>
        <w:rPr>
          <w:sz w:val="16"/>
          <w:u w:val="dotted" w:color="929292"/>
        </w:rPr>
        <w:t>Vivienda</w:t>
        <w:tab/>
      </w:r>
      <w:r>
        <w:rPr>
          <w:sz w:val="16"/>
          <w:u w:val="dotted" w:color="929292"/>
        </w:rPr>
        <w:t>Ingreso o producto del huerto dedicado a la</w:t>
      </w:r>
      <w:r>
        <w:rPr>
          <w:spacing w:val="12"/>
          <w:sz w:val="16"/>
          <w:u w:val="dotted" w:color="929292"/>
        </w:rPr>
        <w:t> </w:t>
      </w:r>
      <w:r>
        <w:rPr>
          <w:sz w:val="16"/>
          <w:u w:val="dotted" w:color="929292"/>
        </w:rPr>
        <w:t>Vivienda</w:t>
        <w:tab/>
      </w:r>
    </w:p>
    <w:p>
      <w:pPr>
        <w:tabs>
          <w:tab w:pos="1361" w:val="left" w:leader="none"/>
          <w:tab w:pos="6221" w:val="left" w:leader="none"/>
        </w:tabs>
        <w:spacing w:line="148" w:lineRule="exact" w:before="0"/>
        <w:ind w:left="130" w:right="0" w:firstLine="0"/>
        <w:jc w:val="left"/>
        <w:rPr>
          <w:sz w:val="16"/>
        </w:rPr>
      </w:pPr>
      <w:r>
        <w:rPr>
          <w:w w:val="100"/>
          <w:sz w:val="16"/>
          <w:u w:val="dotted" w:color="929292"/>
        </w:rPr>
        <w:t> </w:t>
      </w:r>
      <w:r>
        <w:rPr>
          <w:spacing w:val="-11"/>
          <w:sz w:val="16"/>
          <w:u w:val="dotted" w:color="929292"/>
        </w:rPr>
        <w:t> </w:t>
      </w:r>
      <w:r>
        <w:rPr>
          <w:sz w:val="16"/>
          <w:u w:val="dotted" w:color="929292"/>
        </w:rPr>
        <w:t>Vestimenta</w:t>
        <w:tab/>
      </w:r>
      <w:r>
        <w:rPr>
          <w:sz w:val="16"/>
          <w:u w:val="dotted" w:color="929292"/>
        </w:rPr>
        <w:t>Ingreso o producto del huerto dedicado a la</w:t>
      </w:r>
      <w:r>
        <w:rPr>
          <w:spacing w:val="20"/>
          <w:sz w:val="16"/>
          <w:u w:val="dotted" w:color="929292"/>
        </w:rPr>
        <w:t> </w:t>
      </w:r>
      <w:r>
        <w:rPr>
          <w:sz w:val="16"/>
          <w:u w:val="dotted" w:color="929292"/>
        </w:rPr>
        <w:t>Vestimenta</w:t>
        <w:tab/>
      </w:r>
    </w:p>
    <w:p>
      <w:pPr>
        <w:tabs>
          <w:tab w:pos="1361" w:val="left" w:leader="none"/>
          <w:tab w:pos="6221" w:val="left" w:leader="none"/>
        </w:tabs>
        <w:spacing w:line="148" w:lineRule="exact" w:before="0"/>
        <w:ind w:left="130" w:right="0" w:firstLine="0"/>
        <w:jc w:val="left"/>
        <w:rPr>
          <w:sz w:val="16"/>
        </w:rPr>
      </w:pPr>
      <w:r>
        <w:rPr>
          <w:w w:val="100"/>
          <w:sz w:val="16"/>
          <w:u w:val="dotted" w:color="929292"/>
        </w:rPr>
        <w:t> </w:t>
      </w:r>
      <w:r>
        <w:rPr>
          <w:spacing w:val="-11"/>
          <w:sz w:val="16"/>
          <w:u w:val="dotted" w:color="929292"/>
        </w:rPr>
        <w:t> </w:t>
      </w:r>
      <w:r>
        <w:rPr>
          <w:sz w:val="16"/>
          <w:u w:val="dotted" w:color="929292"/>
        </w:rPr>
        <w:t>Salud</w:t>
        <w:tab/>
      </w:r>
      <w:r>
        <w:rPr>
          <w:sz w:val="16"/>
          <w:u w:val="dotted" w:color="929292"/>
        </w:rPr>
        <w:t>Ingreso o producto del huerto dedicado a la</w:t>
      </w:r>
      <w:r>
        <w:rPr>
          <w:spacing w:val="15"/>
          <w:sz w:val="16"/>
          <w:u w:val="dotted" w:color="929292"/>
        </w:rPr>
        <w:t> </w:t>
      </w:r>
      <w:r>
        <w:rPr>
          <w:sz w:val="16"/>
          <w:u w:val="dotted" w:color="929292"/>
        </w:rPr>
        <w:t>Salud</w:t>
        <w:tab/>
      </w:r>
    </w:p>
    <w:p>
      <w:pPr>
        <w:tabs>
          <w:tab w:pos="1361" w:val="left" w:leader="none"/>
          <w:tab w:pos="6221" w:val="left" w:leader="none"/>
        </w:tabs>
        <w:spacing w:line="148" w:lineRule="exact" w:before="0"/>
        <w:ind w:left="130" w:right="0" w:firstLine="0"/>
        <w:jc w:val="left"/>
        <w:rPr>
          <w:sz w:val="16"/>
        </w:rPr>
      </w:pPr>
      <w:r>
        <w:rPr>
          <w:w w:val="100"/>
          <w:sz w:val="16"/>
          <w:u w:val="dotted" w:color="929292"/>
        </w:rPr>
        <w:t> </w:t>
      </w:r>
      <w:r>
        <w:rPr>
          <w:spacing w:val="-11"/>
          <w:sz w:val="16"/>
          <w:u w:val="dotted" w:color="929292"/>
        </w:rPr>
        <w:t> </w:t>
      </w:r>
      <w:r>
        <w:rPr>
          <w:sz w:val="16"/>
          <w:u w:val="dotted" w:color="929292"/>
        </w:rPr>
        <w:t>Educación</w:t>
        <w:tab/>
      </w:r>
      <w:r>
        <w:rPr>
          <w:sz w:val="16"/>
          <w:u w:val="dotted" w:color="929292"/>
        </w:rPr>
        <w:t>Ingreso o producto del huerto dedicado a la</w:t>
      </w:r>
      <w:r>
        <w:rPr>
          <w:spacing w:val="29"/>
          <w:sz w:val="16"/>
          <w:u w:val="dotted" w:color="929292"/>
        </w:rPr>
        <w:t> </w:t>
      </w:r>
      <w:r>
        <w:rPr>
          <w:sz w:val="16"/>
          <w:u w:val="dotted" w:color="929292"/>
        </w:rPr>
        <w:t>Educación</w:t>
        <w:tab/>
      </w:r>
    </w:p>
    <w:p>
      <w:pPr>
        <w:tabs>
          <w:tab w:pos="1361" w:val="left" w:leader="none"/>
          <w:tab w:pos="6221" w:val="left" w:leader="none"/>
        </w:tabs>
        <w:spacing w:line="130" w:lineRule="exact" w:before="0"/>
        <w:ind w:left="130" w:right="0" w:firstLine="0"/>
        <w:jc w:val="left"/>
        <w:rPr>
          <w:sz w:val="16"/>
        </w:rPr>
      </w:pPr>
      <w:r>
        <w:rPr>
          <w:w w:val="100"/>
          <w:sz w:val="16"/>
          <w:u w:val="dotted" w:color="929292"/>
        </w:rPr>
        <w:t> </w:t>
      </w:r>
      <w:r>
        <w:rPr>
          <w:spacing w:val="-11"/>
          <w:sz w:val="16"/>
          <w:u w:val="dotted" w:color="929292"/>
        </w:rPr>
        <w:t> </w:t>
      </w:r>
      <w:r>
        <w:rPr>
          <w:sz w:val="16"/>
          <w:u w:val="dotted" w:color="929292"/>
        </w:rPr>
        <w:t>Ocupación</w:t>
        <w:tab/>
      </w:r>
      <w:r>
        <w:rPr>
          <w:sz w:val="16"/>
          <w:u w:val="dotted" w:color="929292"/>
        </w:rPr>
        <w:t>Ingreso o producto del huerto dedicado a la</w:t>
      </w:r>
      <w:r>
        <w:rPr>
          <w:spacing w:val="34"/>
          <w:sz w:val="16"/>
          <w:u w:val="dotted" w:color="929292"/>
        </w:rPr>
        <w:t> </w:t>
      </w:r>
      <w:r>
        <w:rPr>
          <w:sz w:val="16"/>
          <w:u w:val="dotted" w:color="929292"/>
        </w:rPr>
        <w:t>Ocupación</w:t>
        <w:tab/>
      </w:r>
    </w:p>
    <w:p>
      <w:pPr>
        <w:spacing w:after="0" w:line="130" w:lineRule="exact"/>
        <w:jc w:val="left"/>
        <w:rPr>
          <w:sz w:val="16"/>
        </w:rPr>
        <w:sectPr>
          <w:type w:val="continuous"/>
          <w:pgSz w:w="18830" w:h="12760" w:orient="landscape"/>
          <w:pgMar w:top="1420" w:bottom="280" w:left="720" w:right="720"/>
          <w:cols w:num="3" w:equalWidth="0">
            <w:col w:w="7842" w:space="1677"/>
            <w:col w:w="1313" w:space="167"/>
            <w:col w:w="6391"/>
          </w:cols>
        </w:sectPr>
      </w:pPr>
    </w:p>
    <w:p>
      <w:pPr>
        <w:tabs>
          <w:tab w:pos="9576" w:val="left" w:leader="none"/>
          <w:tab w:pos="11085" w:val="left" w:leader="none"/>
          <w:tab w:pos="12361" w:val="left" w:leader="none"/>
          <w:tab w:pos="17221" w:val="left" w:leader="none"/>
        </w:tabs>
        <w:spacing w:line="185" w:lineRule="exact" w:before="0"/>
        <w:ind w:left="130" w:right="0" w:firstLine="0"/>
        <w:jc w:val="left"/>
        <w:rPr>
          <w:sz w:val="16"/>
        </w:rPr>
      </w:pPr>
      <w:r>
        <w:rPr/>
        <w:pict>
          <v:line style="position:absolute;mso-position-horizontal-relative:page;mso-position-vertical-relative:paragraph;z-index:-642304" from="513.320923pt,9.192490pt" to="513.320923pt,9.192490pt" stroked="true" strokeweight=".5pt" strokecolor="#929292">
            <w10:wrap type="none"/>
          </v:line>
        </w:pict>
      </w:r>
      <w:r>
        <w:rPr>
          <w:sz w:val="20"/>
        </w:rPr>
        <w:t>sobre</w:t>
      </w:r>
      <w:r>
        <w:rPr>
          <w:spacing w:val="40"/>
          <w:sz w:val="20"/>
        </w:rPr>
        <w:t> </w:t>
      </w:r>
      <w:r>
        <w:rPr>
          <w:sz w:val="20"/>
        </w:rPr>
        <w:t>la</w:t>
      </w:r>
      <w:r>
        <w:rPr>
          <w:spacing w:val="40"/>
          <w:sz w:val="20"/>
        </w:rPr>
        <w:t> </w:t>
      </w:r>
      <w:r>
        <w:rPr>
          <w:sz w:val="20"/>
        </w:rPr>
        <w:t>calidad</w:t>
      </w:r>
      <w:r>
        <w:rPr>
          <w:spacing w:val="40"/>
          <w:sz w:val="20"/>
        </w:rPr>
        <w:t> </w:t>
      </w:r>
      <w:r>
        <w:rPr>
          <w:sz w:val="20"/>
        </w:rPr>
        <w:t>de</w:t>
      </w:r>
      <w:r>
        <w:rPr>
          <w:spacing w:val="40"/>
          <w:sz w:val="20"/>
        </w:rPr>
        <w:t> </w:t>
      </w:r>
      <w:r>
        <w:rPr>
          <w:sz w:val="20"/>
        </w:rPr>
        <w:t>vida</w:t>
      </w:r>
      <w:r>
        <w:rPr>
          <w:spacing w:val="40"/>
          <w:sz w:val="20"/>
        </w:rPr>
        <w:t> </w:t>
      </w:r>
      <w:r>
        <w:rPr>
          <w:sz w:val="20"/>
        </w:rPr>
        <w:t>de</w:t>
      </w:r>
      <w:r>
        <w:rPr>
          <w:spacing w:val="40"/>
          <w:sz w:val="20"/>
        </w:rPr>
        <w:t> </w:t>
      </w:r>
      <w:r>
        <w:rPr>
          <w:sz w:val="20"/>
        </w:rPr>
        <w:t>las</w:t>
      </w:r>
      <w:r>
        <w:rPr>
          <w:spacing w:val="40"/>
          <w:sz w:val="20"/>
        </w:rPr>
        <w:t> </w:t>
      </w:r>
      <w:r>
        <w:rPr>
          <w:sz w:val="20"/>
        </w:rPr>
        <w:t>familias,</w:t>
      </w:r>
      <w:r>
        <w:rPr>
          <w:spacing w:val="40"/>
          <w:sz w:val="20"/>
        </w:rPr>
        <w:t> </w:t>
      </w:r>
      <w:r>
        <w:rPr>
          <w:sz w:val="20"/>
        </w:rPr>
        <w:t>retomando</w:t>
      </w:r>
      <w:r>
        <w:rPr>
          <w:spacing w:val="40"/>
          <w:sz w:val="20"/>
        </w:rPr>
        <w:t> </w:t>
      </w:r>
      <w:r>
        <w:rPr>
          <w:sz w:val="20"/>
        </w:rPr>
        <w:t>indicadores</w:t>
      </w:r>
      <w:r>
        <w:rPr>
          <w:spacing w:val="40"/>
          <w:sz w:val="20"/>
        </w:rPr>
        <w:t> </w:t>
      </w:r>
      <w:r>
        <w:rPr>
          <w:sz w:val="20"/>
        </w:rPr>
        <w:t>empleados</w:t>
      </w:r>
      <w:r>
        <w:rPr>
          <w:spacing w:val="40"/>
          <w:sz w:val="20"/>
        </w:rPr>
        <w:t> </w:t>
      </w:r>
      <w:r>
        <w:rPr>
          <w:sz w:val="20"/>
        </w:rPr>
        <w:t>por</w:t>
      </w:r>
      <w:r>
        <w:rPr>
          <w:spacing w:val="40"/>
          <w:sz w:val="20"/>
        </w:rPr>
        <w:t> </w:t>
      </w:r>
      <w:r>
        <w:rPr>
          <w:sz w:val="20"/>
        </w:rPr>
        <w:t>la</w:t>
        <w:tab/>
      </w:r>
      <w:r>
        <w:rPr>
          <w:sz w:val="20"/>
          <w:u w:val="dotted" w:color="929292"/>
        </w:rPr>
        <w:tab/>
      </w:r>
      <w:r>
        <w:rPr>
          <w:sz w:val="16"/>
          <w:u w:val="dotted" w:color="929292"/>
        </w:rPr>
        <w:t>Recreación</w:t>
        <w:tab/>
      </w:r>
      <w:r>
        <w:rPr>
          <w:sz w:val="16"/>
          <w:u w:val="dotted" w:color="929292"/>
        </w:rPr>
        <w:t>Ingreso o producto del huerto dedicado a</w:t>
      </w:r>
      <w:r>
        <w:rPr>
          <w:spacing w:val="7"/>
          <w:sz w:val="16"/>
          <w:u w:val="dotted" w:color="929292"/>
        </w:rPr>
        <w:t> </w:t>
      </w:r>
      <w:r>
        <w:rPr>
          <w:sz w:val="16"/>
          <w:u w:val="dotted" w:color="929292"/>
        </w:rPr>
        <w:t>Recreación</w:t>
        <w:tab/>
      </w:r>
    </w:p>
    <w:p>
      <w:pPr>
        <w:spacing w:after="0" w:line="185" w:lineRule="exact"/>
        <w:jc w:val="left"/>
        <w:rPr>
          <w:sz w:val="16"/>
        </w:rPr>
        <w:sectPr>
          <w:type w:val="continuous"/>
          <w:pgSz w:w="18830" w:h="12760" w:orient="landscape"/>
          <w:pgMar w:top="1420" w:bottom="280" w:left="720" w:right="720"/>
        </w:sectPr>
      </w:pPr>
    </w:p>
    <w:p>
      <w:pPr>
        <w:pStyle w:val="BodyText"/>
        <w:spacing w:line="249" w:lineRule="auto" w:before="15"/>
        <w:ind w:left="130"/>
        <w:jc w:val="both"/>
      </w:pPr>
      <w:r>
        <w:rPr/>
        <w:t>ONU (Alimentación, Vivienda, Vestimenta, Salud, Educación, Ocupación y</w:t>
      </w:r>
      <w:r>
        <w:rPr>
          <w:spacing w:val="-18"/>
        </w:rPr>
        <w:t> </w:t>
      </w:r>
      <w:r>
        <w:rPr/>
        <w:t>Recreación) para resaltar su importancia social. La entrevista permite obtener la percepción de las familias acerca de la importancia de los AEHF, con el objetivo de precisar la</w:t>
      </w:r>
      <w:r>
        <w:rPr>
          <w:spacing w:val="5"/>
        </w:rPr>
        <w:t> </w:t>
      </w:r>
      <w:r>
        <w:rPr/>
        <w:t>relevancia</w:t>
      </w:r>
    </w:p>
    <w:p>
      <w:pPr>
        <w:spacing w:line="163" w:lineRule="exact" w:before="0"/>
        <w:ind w:left="130" w:right="-8" w:firstLine="0"/>
        <w:jc w:val="left"/>
        <w:rPr>
          <w:sz w:val="16"/>
        </w:rPr>
      </w:pPr>
      <w:r>
        <w:rPr/>
        <w:br w:type="column"/>
      </w:r>
      <w:r>
        <w:rPr>
          <w:sz w:val="16"/>
        </w:rPr>
        <w:t>Análisis de</w:t>
      </w:r>
    </w:p>
    <w:p>
      <w:pPr>
        <w:spacing w:line="180" w:lineRule="exact" w:before="4"/>
        <w:ind w:left="130" w:right="-8" w:firstLine="0"/>
        <w:jc w:val="left"/>
        <w:rPr>
          <w:sz w:val="16"/>
        </w:rPr>
      </w:pPr>
      <w:r>
        <w:rPr>
          <w:sz w:val="16"/>
        </w:rPr>
        <w:t>los Servicios Ambientales que los Huertos</w:t>
      </w:r>
    </w:p>
    <w:p>
      <w:pPr>
        <w:pStyle w:val="BodyText"/>
        <w:spacing w:before="3"/>
        <w:rPr>
          <w:sz w:val="22"/>
        </w:rPr>
      </w:pPr>
      <w:r>
        <w:rPr/>
        <w:br w:type="column"/>
      </w:r>
      <w:r>
        <w:rPr>
          <w:sz w:val="22"/>
        </w:rPr>
      </w:r>
    </w:p>
    <w:p>
      <w:pPr>
        <w:spacing w:line="180" w:lineRule="exact" w:before="0"/>
        <w:ind w:left="130" w:right="-14" w:firstLine="0"/>
        <w:jc w:val="left"/>
        <w:rPr>
          <w:sz w:val="16"/>
        </w:rPr>
      </w:pPr>
      <w:r>
        <w:rPr>
          <w:sz w:val="16"/>
        </w:rPr>
        <w:t>Servicios Intangibles</w:t>
      </w:r>
    </w:p>
    <w:p>
      <w:pPr>
        <w:tabs>
          <w:tab w:pos="4945" w:val="left" w:leader="none"/>
        </w:tabs>
        <w:spacing w:line="147" w:lineRule="exact" w:before="0"/>
        <w:ind w:left="130" w:right="0" w:firstLine="0"/>
        <w:jc w:val="left"/>
        <w:rPr>
          <w:sz w:val="16"/>
        </w:rPr>
      </w:pPr>
      <w:r>
        <w:rPr/>
        <w:br w:type="column"/>
      </w:r>
      <w:r>
        <w:rPr>
          <w:w w:val="100"/>
          <w:sz w:val="16"/>
          <w:u w:val="dotted" w:color="929292"/>
        </w:rPr>
        <w:t> </w:t>
      </w:r>
      <w:r>
        <w:rPr>
          <w:spacing w:val="-11"/>
          <w:sz w:val="16"/>
          <w:u w:val="dotted" w:color="929292"/>
        </w:rPr>
        <w:t> </w:t>
      </w:r>
      <w:r>
        <w:rPr>
          <w:sz w:val="16"/>
          <w:u w:val="dotted" w:color="929292"/>
        </w:rPr>
        <w:t>Servicios</w:t>
      </w:r>
      <w:r>
        <w:rPr>
          <w:spacing w:val="16"/>
          <w:sz w:val="16"/>
          <w:u w:val="dotted" w:color="929292"/>
        </w:rPr>
        <w:t> </w:t>
      </w:r>
      <w:r>
        <w:rPr>
          <w:sz w:val="16"/>
          <w:u w:val="dotted" w:color="929292"/>
        </w:rPr>
        <w:t>Ecológicos</w:t>
        <w:tab/>
      </w:r>
    </w:p>
    <w:p>
      <w:pPr>
        <w:tabs>
          <w:tab w:pos="4945" w:val="left" w:leader="none"/>
        </w:tabs>
        <w:spacing w:line="148" w:lineRule="exact" w:before="0"/>
        <w:ind w:left="130" w:right="0" w:firstLine="0"/>
        <w:jc w:val="left"/>
        <w:rPr>
          <w:sz w:val="16"/>
        </w:rPr>
      </w:pPr>
      <w:r>
        <w:rPr>
          <w:w w:val="100"/>
          <w:sz w:val="16"/>
          <w:u w:val="dotted" w:color="929292"/>
        </w:rPr>
        <w:t> </w:t>
      </w:r>
      <w:r>
        <w:rPr>
          <w:spacing w:val="-11"/>
          <w:sz w:val="16"/>
          <w:u w:val="dotted" w:color="929292"/>
        </w:rPr>
        <w:t> </w:t>
      </w:r>
      <w:r>
        <w:rPr>
          <w:sz w:val="16"/>
          <w:u w:val="dotted" w:color="929292"/>
        </w:rPr>
        <w:t>Servicios</w:t>
      </w:r>
      <w:r>
        <w:rPr>
          <w:spacing w:val="20"/>
          <w:sz w:val="16"/>
          <w:u w:val="dotted" w:color="929292"/>
        </w:rPr>
        <w:t> </w:t>
      </w:r>
      <w:r>
        <w:rPr>
          <w:sz w:val="16"/>
          <w:u w:val="dotted" w:color="929292"/>
        </w:rPr>
        <w:t>Atmosféricos</w:t>
        <w:tab/>
      </w:r>
    </w:p>
    <w:p>
      <w:pPr>
        <w:tabs>
          <w:tab w:pos="4945" w:val="left" w:leader="none"/>
        </w:tabs>
        <w:spacing w:line="166" w:lineRule="exact" w:before="0"/>
        <w:ind w:left="130" w:right="0" w:firstLine="0"/>
        <w:jc w:val="left"/>
        <w:rPr>
          <w:sz w:val="16"/>
        </w:rPr>
      </w:pPr>
      <w:r>
        <w:rPr>
          <w:w w:val="100"/>
          <w:sz w:val="16"/>
          <w:u w:val="dotted" w:color="929292"/>
        </w:rPr>
        <w:t> </w:t>
      </w:r>
      <w:r>
        <w:rPr>
          <w:spacing w:val="-11"/>
          <w:sz w:val="16"/>
          <w:u w:val="dotted" w:color="929292"/>
        </w:rPr>
        <w:t> </w:t>
      </w:r>
      <w:r>
        <w:rPr>
          <w:sz w:val="16"/>
          <w:u w:val="dotted" w:color="929292"/>
        </w:rPr>
        <w:t>Servicios</w:t>
      </w:r>
      <w:r>
        <w:rPr>
          <w:spacing w:val="8"/>
          <w:sz w:val="16"/>
          <w:u w:val="dotted" w:color="929292"/>
        </w:rPr>
        <w:t> </w:t>
      </w:r>
      <w:r>
        <w:rPr>
          <w:sz w:val="16"/>
          <w:u w:val="dotted" w:color="929292"/>
        </w:rPr>
        <w:t>Edáficos</w:t>
        <w:tab/>
      </w:r>
    </w:p>
    <w:p>
      <w:pPr>
        <w:spacing w:line="157" w:lineRule="exact" w:before="102"/>
        <w:ind w:left="208" w:right="0" w:firstLine="0"/>
        <w:jc w:val="left"/>
        <w:rPr>
          <w:sz w:val="16"/>
        </w:rPr>
      </w:pPr>
      <w:r>
        <w:rPr>
          <w:sz w:val="16"/>
        </w:rPr>
        <w:t>Servicios Hídricos</w:t>
      </w:r>
    </w:p>
    <w:p>
      <w:pPr>
        <w:spacing w:after="0" w:line="157" w:lineRule="exact"/>
        <w:jc w:val="left"/>
        <w:rPr>
          <w:sz w:val="16"/>
        </w:rPr>
        <w:sectPr>
          <w:type w:val="continuous"/>
          <w:pgSz w:w="18830" w:h="12760" w:orient="landscape"/>
          <w:pgMar w:top="1420" w:bottom="280" w:left="720" w:right="720"/>
          <w:cols w:num="4" w:equalWidth="0">
            <w:col w:w="7842" w:space="1677"/>
            <w:col w:w="1263" w:space="296"/>
            <w:col w:w="910" w:space="288"/>
            <w:col w:w="5114"/>
          </w:cols>
        </w:sectPr>
      </w:pPr>
    </w:p>
    <w:p>
      <w:pPr>
        <w:pStyle w:val="BodyText"/>
        <w:spacing w:line="249" w:lineRule="auto" w:before="1"/>
        <w:ind w:left="130" w:right="-16"/>
      </w:pPr>
      <w:r>
        <w:rPr/>
        <w:t>de los huertos como una alternativa que contribuye a la conservación ambiental, a la soberanía y seguridad alimentaria.</w:t>
      </w:r>
    </w:p>
    <w:p>
      <w:pPr>
        <w:tabs>
          <w:tab w:pos="1639" w:val="left" w:leader="none"/>
          <w:tab w:pos="2915" w:val="left" w:leader="none"/>
        </w:tabs>
        <w:spacing w:line="133" w:lineRule="exact" w:before="0"/>
        <w:ind w:left="130" w:right="0" w:firstLine="0"/>
        <w:jc w:val="left"/>
        <w:rPr>
          <w:sz w:val="16"/>
        </w:rPr>
      </w:pPr>
      <w:r>
        <w:rPr/>
        <w:br w:type="column"/>
      </w:r>
      <w:r>
        <w:rPr>
          <w:w w:val="100"/>
          <w:sz w:val="16"/>
          <w:u w:val="dotted" w:color="929292"/>
        </w:rPr>
        <w:t> </w:t>
      </w:r>
      <w:r>
        <w:rPr>
          <w:spacing w:val="-16"/>
          <w:sz w:val="16"/>
          <w:u w:val="dotted" w:color="929292"/>
        </w:rPr>
        <w:t> </w:t>
      </w:r>
      <w:r>
        <w:rPr>
          <w:sz w:val="16"/>
          <w:u w:val="dotted" w:color="929292"/>
        </w:rPr>
        <w:t>brindan</w:t>
        <w:tab/>
      </w:r>
      <w:r>
        <w:rPr>
          <w:sz w:val="16"/>
        </w:rPr>
        <w:t> </w:t>
      </w:r>
      <w:r>
        <w:rPr>
          <w:w w:val="100"/>
          <w:sz w:val="16"/>
          <w:u w:val="dotted" w:color="929292"/>
        </w:rPr>
        <w:t> </w:t>
      </w:r>
      <w:r>
        <w:rPr>
          <w:sz w:val="16"/>
          <w:u w:val="dotted" w:color="929292"/>
        </w:rPr>
        <w:tab/>
      </w:r>
    </w:p>
    <w:p>
      <w:pPr>
        <w:tabs>
          <w:tab w:pos="7775" w:val="left" w:leader="none"/>
        </w:tabs>
        <w:spacing w:line="148" w:lineRule="exact" w:before="0"/>
        <w:ind w:left="2960" w:right="0" w:firstLine="0"/>
        <w:jc w:val="left"/>
        <w:rPr>
          <w:sz w:val="16"/>
        </w:rPr>
      </w:pPr>
      <w:r>
        <w:rPr/>
        <w:pict>
          <v:line style="position:absolute;mso-position-horizontal-relative:page;mso-position-vertical-relative:paragraph;z-index:10504" from="513.320923pt,.005501pt" to="513.320923pt,.005501pt" stroked="true" strokeweight=".5pt" strokecolor="#929292">
            <w10:wrap type="none"/>
          </v:line>
        </w:pict>
      </w:r>
      <w:r>
        <w:rPr>
          <w:w w:val="100"/>
          <w:sz w:val="16"/>
          <w:u w:val="dotted" w:color="929292"/>
        </w:rPr>
        <w:t> </w:t>
      </w:r>
      <w:r>
        <w:rPr>
          <w:spacing w:val="-11"/>
          <w:sz w:val="16"/>
          <w:u w:val="dotted" w:color="929292"/>
        </w:rPr>
        <w:t> </w:t>
      </w:r>
      <w:r>
        <w:rPr>
          <w:sz w:val="16"/>
          <w:u w:val="dotted" w:color="929292"/>
        </w:rPr>
        <w:t>Fuente de recreación y</w:t>
      </w:r>
      <w:r>
        <w:rPr>
          <w:spacing w:val="-2"/>
          <w:sz w:val="16"/>
          <w:u w:val="dotted" w:color="929292"/>
        </w:rPr>
        <w:t> </w:t>
      </w:r>
      <w:r>
        <w:rPr>
          <w:sz w:val="16"/>
          <w:u w:val="dotted" w:color="929292"/>
        </w:rPr>
        <w:t>paisaje</w:t>
        <w:tab/>
      </w:r>
    </w:p>
    <w:p>
      <w:pPr>
        <w:tabs>
          <w:tab w:pos="7775" w:val="left" w:leader="none"/>
        </w:tabs>
        <w:spacing w:line="148" w:lineRule="exact" w:before="14"/>
        <w:ind w:left="3038" w:right="158" w:hanging="79"/>
        <w:jc w:val="left"/>
        <w:rPr>
          <w:sz w:val="16"/>
        </w:rPr>
      </w:pPr>
      <w:r>
        <w:rPr>
          <w:w w:val="100"/>
          <w:sz w:val="16"/>
          <w:u w:val="dotted" w:color="929292"/>
        </w:rPr>
        <w:t> </w:t>
      </w:r>
      <w:r>
        <w:rPr>
          <w:spacing w:val="-11"/>
          <w:sz w:val="16"/>
          <w:u w:val="dotted" w:color="929292"/>
        </w:rPr>
        <w:t> </w:t>
      </w:r>
      <w:r>
        <w:rPr>
          <w:sz w:val="16"/>
          <w:u w:val="dotted" w:color="929292"/>
        </w:rPr>
        <w:t>Propician la convivencia y</w:t>
      </w:r>
      <w:r>
        <w:rPr>
          <w:spacing w:val="8"/>
          <w:sz w:val="16"/>
          <w:u w:val="dotted" w:color="929292"/>
        </w:rPr>
        <w:t> </w:t>
      </w:r>
      <w:r>
        <w:rPr>
          <w:sz w:val="16"/>
          <w:u w:val="dotted" w:color="929292"/>
        </w:rPr>
        <w:t>relaciones</w:t>
      </w:r>
      <w:r>
        <w:rPr>
          <w:spacing w:val="2"/>
          <w:sz w:val="16"/>
          <w:u w:val="dotted" w:color="929292"/>
        </w:rPr>
        <w:t> </w:t>
      </w:r>
      <w:r>
        <w:rPr>
          <w:sz w:val="16"/>
          <w:u w:val="dotted" w:color="929292"/>
        </w:rPr>
        <w:t>familiares</w:t>
        <w:tab/>
      </w:r>
      <w:r>
        <w:rPr>
          <w:sz w:val="16"/>
        </w:rPr>
        <w:t> Favorecen la organización familiar para el manejo</w:t>
      </w:r>
      <w:r>
        <w:rPr>
          <w:spacing w:val="-8"/>
          <w:sz w:val="16"/>
        </w:rPr>
        <w:t> </w:t>
      </w:r>
      <w:r>
        <w:rPr>
          <w:sz w:val="16"/>
        </w:rPr>
        <w:t>y</w:t>
      </w:r>
    </w:p>
    <w:p>
      <w:pPr>
        <w:spacing w:after="0" w:line="148" w:lineRule="exact"/>
        <w:jc w:val="left"/>
        <w:rPr>
          <w:sz w:val="16"/>
        </w:rPr>
        <w:sectPr>
          <w:type w:val="continuous"/>
          <w:pgSz w:w="18830" w:h="12760" w:orient="landscape"/>
          <w:pgMar w:top="1420" w:bottom="280" w:left="720" w:right="720"/>
          <w:cols w:num="2" w:equalWidth="0">
            <w:col w:w="7841" w:space="1605"/>
            <w:col w:w="7944"/>
          </w:cols>
        </w:sectPr>
      </w:pPr>
    </w:p>
    <w:p>
      <w:pPr>
        <w:pStyle w:val="BodyText"/>
        <w:spacing w:before="10"/>
        <w:rPr>
          <w:sz w:val="28"/>
        </w:rPr>
      </w:pPr>
    </w:p>
    <w:p>
      <w:pPr>
        <w:pStyle w:val="Heading1"/>
        <w:ind w:right="-18"/>
      </w:pPr>
      <w:r>
        <w:rPr/>
        <w:t>Análisis de la</w:t>
      </w:r>
      <w:r>
        <w:rPr>
          <w:spacing w:val="-13"/>
        </w:rPr>
        <w:t> </w:t>
      </w:r>
      <w:r>
        <w:rPr/>
        <w:t>Problemática</w:t>
      </w:r>
    </w:p>
    <w:p>
      <w:pPr>
        <w:pStyle w:val="BodyText"/>
        <w:rPr>
          <w:b/>
          <w:sz w:val="16"/>
        </w:rPr>
      </w:pPr>
      <w:r>
        <w:rPr/>
        <w:br w:type="column"/>
      </w:r>
      <w:r>
        <w:rPr>
          <w:b/>
          <w:sz w:val="16"/>
        </w:rPr>
      </w:r>
    </w:p>
    <w:p>
      <w:pPr>
        <w:pStyle w:val="BodyText"/>
        <w:spacing w:before="1"/>
        <w:rPr>
          <w:b/>
          <w:sz w:val="13"/>
        </w:rPr>
      </w:pPr>
    </w:p>
    <w:p>
      <w:pPr>
        <w:spacing w:line="180" w:lineRule="exact" w:before="0"/>
        <w:ind w:left="300" w:right="0" w:firstLine="0"/>
        <w:jc w:val="left"/>
        <w:rPr>
          <w:sz w:val="16"/>
        </w:rPr>
      </w:pPr>
      <w:r>
        <w:rPr>
          <w:sz w:val="16"/>
        </w:rPr>
        <w:t>Análisis de los</w:t>
      </w:r>
      <w:r>
        <w:rPr>
          <w:spacing w:val="11"/>
          <w:sz w:val="16"/>
        </w:rPr>
        <w:t> </w:t>
      </w:r>
      <w:r>
        <w:rPr>
          <w:sz w:val="16"/>
        </w:rPr>
        <w:t>Beneficios</w:t>
      </w:r>
    </w:p>
    <w:p>
      <w:pPr>
        <w:spacing w:line="180" w:lineRule="exact" w:before="6"/>
        <w:ind w:left="300" w:right="-5" w:firstLine="0"/>
        <w:jc w:val="left"/>
        <w:rPr>
          <w:sz w:val="16"/>
        </w:rPr>
      </w:pPr>
      <w:r>
        <w:rPr/>
        <w:br w:type="column"/>
      </w:r>
      <w:r>
        <w:rPr>
          <w:w w:val="105"/>
          <w:sz w:val="16"/>
        </w:rPr>
        <w:t>Éticos- </w:t>
      </w:r>
      <w:r>
        <w:rPr>
          <w:sz w:val="16"/>
        </w:rPr>
        <w:t>estéticos</w:t>
      </w:r>
    </w:p>
    <w:p>
      <w:pPr>
        <w:tabs>
          <w:tab w:pos="5115" w:val="left" w:leader="none"/>
        </w:tabs>
        <w:spacing w:line="148" w:lineRule="exact" w:before="32"/>
        <w:ind w:left="378" w:right="158" w:hanging="79"/>
        <w:jc w:val="left"/>
        <w:rPr>
          <w:sz w:val="16"/>
        </w:rPr>
      </w:pPr>
      <w:r>
        <w:rPr/>
        <w:br w:type="column"/>
      </w:r>
      <w:r>
        <w:rPr>
          <w:w w:val="100"/>
          <w:sz w:val="16"/>
          <w:u w:val="dotted" w:color="929292"/>
        </w:rPr>
        <w:t> </w:t>
      </w:r>
      <w:r>
        <w:rPr>
          <w:spacing w:val="-11"/>
          <w:sz w:val="16"/>
          <w:u w:val="dotted" w:color="929292"/>
        </w:rPr>
        <w:t> </w:t>
      </w:r>
      <w:r>
        <w:rPr>
          <w:sz w:val="16"/>
          <w:u w:val="dotted" w:color="929292"/>
        </w:rPr>
        <w:t>mantenimiento de</w:t>
      </w:r>
      <w:r>
        <w:rPr>
          <w:spacing w:val="15"/>
          <w:sz w:val="16"/>
          <w:u w:val="dotted" w:color="929292"/>
        </w:rPr>
        <w:t> </w:t>
      </w:r>
      <w:r>
        <w:rPr>
          <w:sz w:val="16"/>
          <w:u w:val="dotted" w:color="929292"/>
        </w:rPr>
        <w:t>los</w:t>
      </w:r>
      <w:r>
        <w:rPr>
          <w:spacing w:val="7"/>
          <w:sz w:val="16"/>
          <w:u w:val="dotted" w:color="929292"/>
        </w:rPr>
        <w:t> </w:t>
      </w:r>
      <w:r>
        <w:rPr>
          <w:sz w:val="16"/>
          <w:u w:val="dotted" w:color="929292"/>
        </w:rPr>
        <w:t>huertos</w:t>
        <w:tab/>
      </w:r>
      <w:r>
        <w:rPr>
          <w:sz w:val="16"/>
        </w:rPr>
        <w:t> Propician la relación hombre-naturaleza en la</w:t>
      </w:r>
      <w:r>
        <w:rPr>
          <w:spacing w:val="3"/>
          <w:sz w:val="16"/>
        </w:rPr>
        <w:t> </w:t>
      </w:r>
      <w:r>
        <w:rPr>
          <w:sz w:val="16"/>
        </w:rPr>
        <w:t>nuevas</w:t>
      </w:r>
    </w:p>
    <w:p>
      <w:pPr>
        <w:tabs>
          <w:tab w:pos="5115" w:val="left" w:leader="none"/>
        </w:tabs>
        <w:spacing w:line="148" w:lineRule="exact" w:before="32"/>
        <w:ind w:left="378" w:right="158" w:hanging="79"/>
        <w:jc w:val="left"/>
        <w:rPr>
          <w:sz w:val="16"/>
        </w:rPr>
      </w:pPr>
      <w:r>
        <w:rPr>
          <w:w w:val="100"/>
          <w:sz w:val="16"/>
          <w:u w:val="dotted" w:color="929292"/>
        </w:rPr>
        <w:t> </w:t>
      </w:r>
      <w:r>
        <w:rPr>
          <w:spacing w:val="-11"/>
          <w:sz w:val="16"/>
          <w:u w:val="dotted" w:color="929292"/>
        </w:rPr>
        <w:t> </w:t>
      </w:r>
      <w:r>
        <w:rPr>
          <w:sz w:val="16"/>
          <w:u w:val="dotted" w:color="929292"/>
        </w:rPr>
        <w:t>generaciones</w:t>
        <w:tab/>
      </w:r>
      <w:r>
        <w:rPr>
          <w:sz w:val="16"/>
        </w:rPr>
        <w:t> Favorecen las relaciones comunitarias y el intercambio</w:t>
      </w:r>
      <w:r>
        <w:rPr>
          <w:spacing w:val="19"/>
          <w:sz w:val="16"/>
        </w:rPr>
        <w:t> </w:t>
      </w:r>
      <w:r>
        <w:rPr>
          <w:sz w:val="16"/>
        </w:rPr>
        <w:t>de</w:t>
      </w:r>
    </w:p>
    <w:p>
      <w:pPr>
        <w:spacing w:after="0" w:line="148" w:lineRule="exact"/>
        <w:jc w:val="left"/>
        <w:rPr>
          <w:sz w:val="16"/>
        </w:rPr>
        <w:sectPr>
          <w:type w:val="continuous"/>
          <w:pgSz w:w="18830" w:h="12760" w:orient="landscape"/>
          <w:pgMar w:top="1420" w:bottom="280" w:left="720" w:right="720"/>
          <w:cols w:num="4" w:equalWidth="0">
            <w:col w:w="3397" w:space="5952"/>
            <w:col w:w="1299" w:space="260"/>
            <w:col w:w="947" w:space="251"/>
            <w:col w:w="5284"/>
          </w:cols>
        </w:sectPr>
      </w:pPr>
    </w:p>
    <w:p>
      <w:pPr>
        <w:tabs>
          <w:tab w:pos="11130" w:val="left" w:leader="none"/>
          <w:tab w:pos="12361" w:val="left" w:leader="none"/>
          <w:tab w:pos="17221" w:val="left" w:leader="none"/>
        </w:tabs>
        <w:spacing w:line="130" w:lineRule="exact" w:before="0"/>
        <w:ind w:left="9649" w:right="0" w:firstLine="0"/>
        <w:jc w:val="left"/>
        <w:rPr>
          <w:sz w:val="16"/>
        </w:rPr>
      </w:pPr>
      <w:r>
        <w:rPr>
          <w:sz w:val="16"/>
        </w:rPr>
        <w:t>Sociales que los</w:t>
        <w:tab/>
      </w:r>
      <w:r>
        <w:rPr>
          <w:sz w:val="16"/>
          <w:u w:val="dotted" w:color="929292"/>
        </w:rPr>
        <w:tab/>
      </w:r>
      <w:r>
        <w:rPr>
          <w:position w:val="3"/>
          <w:sz w:val="16"/>
          <w:u w:val="dotted" w:color="929292"/>
        </w:rPr>
        <w:t>alimentos</w:t>
        <w:tab/>
      </w:r>
    </w:p>
    <w:p>
      <w:pPr>
        <w:spacing w:after="0" w:line="130" w:lineRule="exact"/>
        <w:jc w:val="left"/>
        <w:rPr>
          <w:sz w:val="16"/>
        </w:rPr>
        <w:sectPr>
          <w:type w:val="continuous"/>
          <w:pgSz w:w="18830" w:h="12760" w:orient="landscape"/>
          <w:pgMar w:top="1420" w:bottom="280" w:left="720" w:right="720"/>
        </w:sectPr>
      </w:pPr>
    </w:p>
    <w:p>
      <w:pPr>
        <w:pStyle w:val="BodyText"/>
        <w:spacing w:line="139" w:lineRule="exact" w:before="25"/>
        <w:ind w:left="300" w:right="-16"/>
      </w:pPr>
      <w:r>
        <w:rPr/>
        <w:t>Mediante el Análisis FODA y el Análisis bajo el Enfoque del Marco Lógico (EML),</w:t>
      </w:r>
    </w:p>
    <w:p>
      <w:pPr>
        <w:spacing w:line="120" w:lineRule="exact" w:before="43"/>
        <w:ind w:left="300" w:right="-8" w:firstLine="0"/>
        <w:jc w:val="left"/>
        <w:rPr>
          <w:sz w:val="16"/>
        </w:rPr>
      </w:pPr>
      <w:r>
        <w:rPr/>
        <w:br w:type="column"/>
      </w:r>
      <w:r>
        <w:rPr>
          <w:sz w:val="16"/>
        </w:rPr>
        <w:t>Huertos ofrecen</w:t>
      </w:r>
    </w:p>
    <w:p>
      <w:pPr>
        <w:spacing w:line="164" w:lineRule="exact" w:before="0"/>
        <w:ind w:left="300" w:right="-5" w:firstLine="0"/>
        <w:jc w:val="left"/>
        <w:rPr>
          <w:sz w:val="16"/>
        </w:rPr>
      </w:pPr>
      <w:r>
        <w:rPr/>
        <w:br w:type="column"/>
      </w:r>
      <w:r>
        <w:rPr>
          <w:sz w:val="16"/>
        </w:rPr>
        <w:t>Científico-</w:t>
      </w:r>
    </w:p>
    <w:p>
      <w:pPr>
        <w:tabs>
          <w:tab w:pos="5115" w:val="left" w:leader="none"/>
        </w:tabs>
        <w:spacing w:line="164" w:lineRule="exact" w:before="0"/>
        <w:ind w:left="300" w:right="0" w:firstLine="0"/>
        <w:jc w:val="left"/>
        <w:rPr>
          <w:sz w:val="16"/>
        </w:rPr>
      </w:pPr>
      <w:r>
        <w:rPr/>
        <w:br w:type="column"/>
      </w:r>
      <w:r>
        <w:rPr>
          <w:w w:val="100"/>
          <w:sz w:val="16"/>
          <w:u w:val="dotted" w:color="929292"/>
        </w:rPr>
        <w:t> </w:t>
      </w:r>
      <w:r>
        <w:rPr>
          <w:spacing w:val="-11"/>
          <w:sz w:val="16"/>
          <w:u w:val="dotted" w:color="929292"/>
        </w:rPr>
        <w:t> </w:t>
      </w:r>
      <w:r>
        <w:rPr>
          <w:sz w:val="16"/>
          <w:u w:val="dotted" w:color="929292"/>
        </w:rPr>
        <w:t>Permite la investigación sobre procesos</w:t>
      </w:r>
      <w:r>
        <w:rPr>
          <w:spacing w:val="25"/>
          <w:sz w:val="16"/>
          <w:u w:val="dotted" w:color="929292"/>
        </w:rPr>
        <w:t> </w:t>
      </w:r>
      <w:r>
        <w:rPr>
          <w:sz w:val="16"/>
          <w:u w:val="dotted" w:color="929292"/>
        </w:rPr>
        <w:t>naturales</w:t>
        <w:tab/>
      </w:r>
    </w:p>
    <w:p>
      <w:pPr>
        <w:spacing w:after="0" w:line="164" w:lineRule="exact"/>
        <w:jc w:val="left"/>
        <w:rPr>
          <w:sz w:val="16"/>
        </w:rPr>
        <w:sectPr>
          <w:type w:val="continuous"/>
          <w:pgSz w:w="18830" w:h="12760" w:orient="landscape"/>
          <w:pgMar w:top="1420" w:bottom="280" w:left="720" w:right="720"/>
          <w:cols w:num="4" w:equalWidth="0">
            <w:col w:w="7841" w:space="1508"/>
            <w:col w:w="1451" w:space="108"/>
            <w:col w:w="1036" w:space="162"/>
            <w:col w:w="5284"/>
          </w:cols>
        </w:sectPr>
      </w:pPr>
    </w:p>
    <w:p>
      <w:pPr>
        <w:tabs>
          <w:tab w:pos="12361" w:val="left" w:leader="none"/>
          <w:tab w:pos="17221" w:val="left" w:leader="none"/>
        </w:tabs>
        <w:spacing w:line="125" w:lineRule="exact" w:before="0"/>
        <w:ind w:left="11130" w:right="0" w:firstLine="0"/>
        <w:jc w:val="left"/>
        <w:rPr>
          <w:sz w:val="16"/>
        </w:rPr>
      </w:pPr>
      <w:r>
        <w:rPr>
          <w:w w:val="100"/>
          <w:sz w:val="16"/>
          <w:u w:val="dotted" w:color="929292"/>
        </w:rPr>
        <w:t> </w:t>
      </w:r>
      <w:r>
        <w:rPr>
          <w:spacing w:val="-11"/>
          <w:sz w:val="16"/>
          <w:u w:val="dotted" w:color="929292"/>
        </w:rPr>
        <w:t> </w:t>
      </w:r>
      <w:r>
        <w:rPr>
          <w:sz w:val="16"/>
          <w:u w:val="dotted" w:color="929292"/>
        </w:rPr>
        <w:t>educativos</w:t>
        <w:tab/>
      </w:r>
      <w:r>
        <w:rPr>
          <w:position w:val="2"/>
          <w:sz w:val="16"/>
          <w:u w:val="dotted" w:color="929292"/>
        </w:rPr>
        <w:t>Favorece la educación ambiental en agro ecosistemas</w:t>
      </w:r>
      <w:r>
        <w:rPr>
          <w:spacing w:val="15"/>
          <w:position w:val="2"/>
          <w:sz w:val="16"/>
          <w:u w:val="dotted" w:color="929292"/>
        </w:rPr>
        <w:t> </w:t>
      </w:r>
      <w:r>
        <w:rPr>
          <w:position w:val="2"/>
          <w:sz w:val="16"/>
          <w:u w:val="dotted" w:color="929292"/>
        </w:rPr>
        <w:t>diversos</w:t>
        <w:tab/>
      </w:r>
    </w:p>
    <w:p>
      <w:pPr>
        <w:spacing w:after="0" w:line="125" w:lineRule="exact"/>
        <w:jc w:val="left"/>
        <w:rPr>
          <w:sz w:val="16"/>
        </w:rPr>
        <w:sectPr>
          <w:type w:val="continuous"/>
          <w:pgSz w:w="18830" w:h="12760" w:orient="landscape"/>
          <w:pgMar w:top="1420" w:bottom="280" w:left="720" w:right="720"/>
        </w:sectPr>
      </w:pPr>
    </w:p>
    <w:p>
      <w:pPr>
        <w:pStyle w:val="BodyText"/>
        <w:spacing w:line="206" w:lineRule="exact"/>
        <w:ind w:left="130" w:right="-7"/>
      </w:pPr>
      <w:r>
        <w:rPr/>
        <w:t>se  elaborará  un  diagnóstico  de  los  huertos  familiares,  que  permita  identificar  las</w:t>
      </w:r>
    </w:p>
    <w:p>
      <w:pPr>
        <w:pStyle w:val="BodyText"/>
        <w:spacing w:line="240" w:lineRule="atLeast"/>
        <w:ind w:left="130" w:right="-1"/>
      </w:pPr>
      <w:r>
        <w:rPr/>
        <w:t>potencialidades que presentan los AEHF, como una forma para mejorar la seguridad alimentaria,  la  conservación  de  los  recursos  naturales,  la  integración  familiar  y la</w:t>
      </w:r>
    </w:p>
    <w:p>
      <w:pPr>
        <w:spacing w:line="180" w:lineRule="exact" w:before="25"/>
        <w:ind w:left="130" w:right="0" w:firstLine="0"/>
        <w:jc w:val="left"/>
        <w:rPr>
          <w:sz w:val="16"/>
        </w:rPr>
      </w:pPr>
      <w:r>
        <w:rPr/>
        <w:br w:type="column"/>
      </w:r>
      <w:r>
        <w:rPr>
          <w:sz w:val="16"/>
        </w:rPr>
        <w:t>Sustentabilid- ad y Seguridad</w:t>
      </w:r>
    </w:p>
    <w:p>
      <w:pPr>
        <w:tabs>
          <w:tab w:pos="4945" w:val="left" w:leader="none"/>
        </w:tabs>
        <w:spacing w:before="19"/>
        <w:ind w:left="130" w:right="0" w:firstLine="0"/>
        <w:jc w:val="left"/>
        <w:rPr>
          <w:sz w:val="16"/>
        </w:rPr>
      </w:pPr>
      <w:r>
        <w:rPr/>
        <w:br w:type="column"/>
      </w:r>
      <w:r>
        <w:rPr>
          <w:w w:val="100"/>
          <w:sz w:val="16"/>
          <w:u w:val="dotted" w:color="929292"/>
        </w:rPr>
        <w:t> </w:t>
      </w:r>
      <w:r>
        <w:rPr>
          <w:spacing w:val="-11"/>
          <w:sz w:val="16"/>
          <w:u w:val="dotted" w:color="929292"/>
        </w:rPr>
        <w:t> </w:t>
      </w:r>
      <w:r>
        <w:rPr>
          <w:sz w:val="16"/>
          <w:u w:val="dotted" w:color="929292"/>
        </w:rPr>
        <w:t>Aumentan la seguridad alimentaria de las familias</w:t>
      </w:r>
      <w:r>
        <w:rPr>
          <w:spacing w:val="-5"/>
          <w:sz w:val="16"/>
          <w:u w:val="dotted" w:color="929292"/>
        </w:rPr>
        <w:t> </w:t>
      </w:r>
      <w:r>
        <w:rPr>
          <w:sz w:val="16"/>
          <w:u w:val="dotted" w:color="929292"/>
        </w:rPr>
        <w:t>rurales</w:t>
        <w:tab/>
      </w:r>
    </w:p>
    <w:p>
      <w:pPr>
        <w:pStyle w:val="BodyText"/>
        <w:spacing w:before="10"/>
        <w:rPr>
          <w:sz w:val="13"/>
        </w:rPr>
      </w:pPr>
    </w:p>
    <w:p>
      <w:pPr>
        <w:spacing w:before="0"/>
        <w:ind w:left="208" w:right="0" w:firstLine="0"/>
        <w:jc w:val="left"/>
        <w:rPr>
          <w:sz w:val="16"/>
        </w:rPr>
      </w:pPr>
      <w:r>
        <w:rPr>
          <w:sz w:val="16"/>
        </w:rPr>
        <w:t>Mejoran la sustentabilidad de las localidades y regiones</w:t>
      </w:r>
    </w:p>
    <w:p>
      <w:pPr>
        <w:spacing w:after="0"/>
        <w:jc w:val="left"/>
        <w:rPr>
          <w:sz w:val="16"/>
        </w:rPr>
        <w:sectPr>
          <w:type w:val="continuous"/>
          <w:pgSz w:w="18830" w:h="12760" w:orient="landscape"/>
          <w:pgMar w:top="1420" w:bottom="280" w:left="720" w:right="720"/>
          <w:cols w:num="3" w:equalWidth="0">
            <w:col w:w="7842" w:space="3236"/>
            <w:col w:w="1124" w:space="74"/>
            <w:col w:w="5114"/>
          </w:cols>
        </w:sectPr>
      </w:pPr>
    </w:p>
    <w:p>
      <w:pPr>
        <w:pStyle w:val="BodyText"/>
        <w:spacing w:before="10"/>
        <w:ind w:left="130" w:right="-12"/>
      </w:pPr>
      <w:r>
        <w:rPr/>
        <w:t>cohesión social.</w:t>
      </w:r>
    </w:p>
    <w:p>
      <w:pPr>
        <w:pStyle w:val="BodyText"/>
        <w:spacing w:before="8"/>
        <w:rPr>
          <w:sz w:val="21"/>
        </w:rPr>
      </w:pPr>
    </w:p>
    <w:p>
      <w:pPr>
        <w:pStyle w:val="BodyText"/>
        <w:spacing w:line="249" w:lineRule="auto"/>
        <w:ind w:left="130" w:right="-12" w:firstLine="170"/>
      </w:pPr>
      <w:r>
        <w:rPr/>
        <w:t>De forma sintética las etapas metodológicas con los factores y variables que se analizan, se muestran en el Cuadro 1.</w:t>
      </w:r>
    </w:p>
    <w:p>
      <w:pPr>
        <w:tabs>
          <w:tab w:pos="1509" w:val="left" w:leader="none"/>
          <w:tab w:pos="2785" w:val="left" w:leader="none"/>
          <w:tab w:pos="7645" w:val="left" w:leader="none"/>
        </w:tabs>
        <w:spacing w:line="58" w:lineRule="exact" w:before="0"/>
        <w:ind w:left="0" w:right="27" w:firstLine="0"/>
        <w:jc w:val="center"/>
        <w:rPr>
          <w:sz w:val="16"/>
        </w:rPr>
      </w:pPr>
      <w:r>
        <w:rPr/>
        <w:br w:type="column"/>
      </w:r>
      <w:r>
        <w:rPr>
          <w:w w:val="100"/>
          <w:sz w:val="16"/>
          <w:u w:val="dotted" w:color="929292"/>
        </w:rPr>
        <w:t> </w:t>
      </w:r>
      <w:r>
        <w:rPr>
          <w:sz w:val="16"/>
          <w:u w:val="dotted" w:color="929292"/>
        </w:rPr>
        <w:tab/>
      </w:r>
      <w:r>
        <w:rPr>
          <w:sz w:val="16"/>
        </w:rPr>
        <w:t> </w:t>
      </w:r>
      <w:r>
        <w:rPr>
          <w:w w:val="100"/>
          <w:sz w:val="16"/>
          <w:u w:val="dotted" w:color="929292"/>
        </w:rPr>
        <w:t> </w:t>
      </w:r>
      <w:r>
        <w:rPr>
          <w:spacing w:val="-11"/>
          <w:sz w:val="16"/>
          <w:u w:val="dotted" w:color="929292"/>
        </w:rPr>
        <w:t> </w:t>
      </w:r>
      <w:r>
        <w:rPr>
          <w:sz w:val="16"/>
          <w:u w:val="dotted" w:color="929292"/>
        </w:rPr>
        <w:t>Alimentaria</w:t>
        <w:tab/>
      </w:r>
      <w:r>
        <w:rPr>
          <w:sz w:val="16"/>
        </w:rPr>
        <w:t> </w:t>
      </w:r>
      <w:r>
        <w:rPr>
          <w:w w:val="100"/>
          <w:sz w:val="16"/>
          <w:u w:val="dotted" w:color="929292"/>
        </w:rPr>
        <w:t> </w:t>
      </w:r>
      <w:r>
        <w:rPr>
          <w:sz w:val="16"/>
          <w:u w:val="dotted" w:color="929292"/>
        </w:rPr>
        <w:tab/>
      </w:r>
    </w:p>
    <w:p>
      <w:pPr>
        <w:pStyle w:val="BodyText"/>
        <w:spacing w:before="1"/>
      </w:pPr>
    </w:p>
    <w:p>
      <w:pPr>
        <w:spacing w:before="0"/>
        <w:ind w:left="0" w:right="32" w:firstLine="0"/>
        <w:jc w:val="center"/>
        <w:rPr>
          <w:sz w:val="16"/>
        </w:rPr>
      </w:pPr>
      <w:r>
        <w:rPr/>
        <w:pict>
          <v:line style="position:absolute;mso-position-horizontal-relative:page;mso-position-vertical-relative:paragraph;z-index:10528" from="513.320923pt,-12.465997pt" to="513.320923pt,-12.465997pt" stroked="true" strokeweight=".5pt" strokecolor="#929292">
            <w10:wrap type="none"/>
          </v:line>
        </w:pict>
      </w:r>
      <w:r>
        <w:rPr>
          <w:color w:val="6D6E71"/>
          <w:sz w:val="16"/>
        </w:rPr>
        <w:t>Fuente. Elaboración propia, 2014.</w:t>
      </w:r>
    </w:p>
    <w:p>
      <w:pPr>
        <w:spacing w:after="0"/>
        <w:jc w:val="center"/>
        <w:rPr>
          <w:sz w:val="16"/>
        </w:rPr>
        <w:sectPr>
          <w:type w:val="continuous"/>
          <w:pgSz w:w="18830" w:h="12760" w:orient="landscape"/>
          <w:pgMar w:top="1420" w:bottom="280" w:left="720" w:right="720"/>
          <w:cols w:num="2" w:equalWidth="0">
            <w:col w:w="7840" w:space="1605"/>
            <w:col w:w="7945"/>
          </w:cols>
        </w:sectPr>
      </w:pPr>
    </w:p>
    <w:p>
      <w:pPr>
        <w:pStyle w:val="BodyText"/>
        <w:spacing w:before="8"/>
      </w:pPr>
    </w:p>
    <w:p>
      <w:pPr>
        <w:spacing w:after="0"/>
        <w:sectPr>
          <w:headerReference w:type="default" r:id="rId253"/>
          <w:footerReference w:type="default" r:id="rId254"/>
          <w:pgSz w:w="18830" w:h="12760" w:orient="landscape"/>
          <w:pgMar w:header="522" w:footer="2693" w:top="820" w:bottom="2880" w:left="720" w:right="720"/>
        </w:sectPr>
      </w:pPr>
    </w:p>
    <w:p>
      <w:pPr>
        <w:pStyle w:val="Heading2"/>
        <w:spacing w:before="71"/>
        <w:ind w:right="-4"/>
        <w:rPr>
          <w:i/>
        </w:rPr>
      </w:pPr>
      <w:r>
        <w:rPr>
          <w:i/>
        </w:rPr>
        <w:t>Resultados y Discusión</w:t>
      </w:r>
    </w:p>
    <w:p>
      <w:pPr>
        <w:spacing w:line="236" w:lineRule="exact" w:before="204"/>
        <w:ind w:left="300" w:right="-4" w:firstLine="0"/>
        <w:jc w:val="left"/>
        <w:rPr>
          <w:b/>
          <w:i/>
          <w:sz w:val="24"/>
        </w:rPr>
      </w:pPr>
      <w:r>
        <w:rPr>
          <w:b/>
          <w:i/>
          <w:sz w:val="24"/>
        </w:rPr>
        <w:t>Caracterización Geográfica del Área de Estudio</w:t>
      </w:r>
    </w:p>
    <w:p>
      <w:pPr>
        <w:pStyle w:val="BodyText"/>
        <w:spacing w:before="8"/>
        <w:rPr>
          <w:b/>
          <w:i/>
          <w:sz w:val="12"/>
        </w:rPr>
      </w:pPr>
      <w:r>
        <w:rPr/>
        <w:br w:type="column"/>
      </w:r>
      <w:r>
        <w:rPr>
          <w:b/>
          <w:i/>
          <w:sz w:val="12"/>
        </w:rPr>
      </w:r>
    </w:p>
    <w:p>
      <w:pPr>
        <w:spacing w:before="0"/>
        <w:ind w:left="300" w:right="0" w:firstLine="0"/>
        <w:jc w:val="left"/>
        <w:rPr>
          <w:sz w:val="16"/>
        </w:rPr>
      </w:pPr>
      <w:r>
        <w:rPr>
          <w:color w:val="6D6E71"/>
          <w:sz w:val="16"/>
        </w:rPr>
        <w:t>Cuadro 2. Características geográficas naturales de los municipios en  estudio.</w:t>
      </w:r>
    </w:p>
    <w:p>
      <w:pPr>
        <w:pStyle w:val="BodyText"/>
        <w:spacing w:before="3"/>
        <w:rPr>
          <w:sz w:val="8"/>
        </w:rPr>
      </w:pPr>
    </w:p>
    <w:tbl>
      <w:tblPr>
        <w:tblW w:w="0" w:type="auto"/>
        <w:jc w:val="left"/>
        <w:tblInd w:w="-7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73"/>
        <w:gridCol w:w="2443"/>
        <w:gridCol w:w="2796"/>
      </w:tblGrid>
      <w:tr>
        <w:trPr>
          <w:trHeight w:val="171" w:hRule="exact"/>
        </w:trPr>
        <w:tc>
          <w:tcPr>
            <w:tcW w:w="2473" w:type="dxa"/>
            <w:tcBorders>
              <w:right w:val="single" w:sz="4" w:space="0" w:color="FFFFFF"/>
            </w:tcBorders>
            <w:shd w:val="clear" w:color="auto" w:fill="929292"/>
          </w:tcPr>
          <w:p>
            <w:pPr>
              <w:pStyle w:val="TableParagraph"/>
              <w:ind w:left="108"/>
              <w:rPr>
                <w:sz w:val="16"/>
              </w:rPr>
            </w:pPr>
            <w:r>
              <w:rPr>
                <w:sz w:val="16"/>
              </w:rPr>
              <w:t>MALINALCO</w:t>
            </w:r>
          </w:p>
        </w:tc>
        <w:tc>
          <w:tcPr>
            <w:tcW w:w="2443" w:type="dxa"/>
            <w:tcBorders>
              <w:left w:val="single" w:sz="4" w:space="0" w:color="FFFFFF"/>
              <w:right w:val="single" w:sz="4" w:space="0" w:color="FFFFFF"/>
            </w:tcBorders>
            <w:shd w:val="clear" w:color="auto" w:fill="929292"/>
          </w:tcPr>
          <w:p>
            <w:pPr>
              <w:pStyle w:val="TableParagraph"/>
              <w:ind w:left="102"/>
              <w:rPr>
                <w:sz w:val="16"/>
              </w:rPr>
            </w:pPr>
            <w:r>
              <w:rPr>
                <w:sz w:val="16"/>
              </w:rPr>
              <w:t>TENANCINGO</w:t>
            </w:r>
          </w:p>
        </w:tc>
        <w:tc>
          <w:tcPr>
            <w:tcW w:w="2796" w:type="dxa"/>
            <w:tcBorders>
              <w:left w:val="single" w:sz="4" w:space="0" w:color="FFFFFF"/>
            </w:tcBorders>
            <w:shd w:val="clear" w:color="auto" w:fill="929292"/>
          </w:tcPr>
          <w:p>
            <w:pPr>
              <w:pStyle w:val="TableParagraph"/>
              <w:ind w:left="102"/>
              <w:rPr>
                <w:sz w:val="16"/>
              </w:rPr>
            </w:pPr>
            <w:r>
              <w:rPr>
                <w:w w:val="95"/>
                <w:sz w:val="16"/>
              </w:rPr>
              <w:t>VILLA GUERRERO</w:t>
            </w:r>
          </w:p>
        </w:tc>
      </w:tr>
    </w:tbl>
    <w:p>
      <w:pPr>
        <w:tabs>
          <w:tab w:pos="2605" w:val="left" w:leader="none"/>
          <w:tab w:pos="4112" w:val="left" w:leader="none"/>
          <w:tab w:pos="6903" w:val="left" w:leader="none"/>
        </w:tabs>
        <w:spacing w:before="0"/>
        <w:ind w:left="1714" w:right="0" w:firstLine="0"/>
        <w:jc w:val="left"/>
        <w:rPr>
          <w:sz w:val="16"/>
        </w:rPr>
      </w:pPr>
      <w:r>
        <w:rPr/>
        <w:pict>
          <v:group style="position:absolute;margin-left:513.981873pt;margin-top:8.673689pt;width:122.4pt;height:164.5pt;mso-position-horizontal-relative:page;mso-position-vertical-relative:paragraph;z-index:-642208" coordorigin="10280,173" coordsize="2448,3290">
            <v:line style="position:absolute" from="10285,178" to="12708,178" stroked="true" strokeweight=".5pt" strokecolor="#929292">
              <v:stroke dashstyle="dash"/>
            </v:line>
            <v:line style="position:absolute" from="12723,178" to="12723,178" stroked="true" strokeweight=".5pt" strokecolor="#929292"/>
            <v:line style="position:absolute" from="12723,3428" to="12723,194" stroked="true" strokeweight=".5pt" strokecolor="#929292">
              <v:stroke dashstyle="dash"/>
            </v:line>
            <v:shape style="position:absolute;left:0;top:7803;width:2;height:3280" coordorigin="0,7803" coordsize="0,3280" path="m12723,3458l12723,3458m12723,178l12723,178e" filled="false" stroked="true" strokeweight=".5pt" strokecolor="#929292">
              <v:path arrowok="t"/>
            </v:shape>
            <v:line style="position:absolute" from="12723,178" to="12723,178" stroked="true" strokeweight=".5pt" strokecolor="#929292"/>
            <w10:wrap type="none"/>
          </v:group>
        </w:pict>
      </w:r>
      <w:r>
        <w:rPr/>
        <w:pict>
          <v:group style="position:absolute;margin-left:758.051025pt;margin-top:8.673689pt;width:.5pt;height:164.5pt;mso-position-horizontal-relative:page;mso-position-vertical-relative:paragraph;z-index:-642184" coordorigin="15161,173" coordsize="10,3290">
            <v:line style="position:absolute" from="15166,178" to="15166,178" stroked="true" strokeweight=".5pt" strokecolor="#929292"/>
            <v:line style="position:absolute" from="15166,3428" to="15166,194" stroked="true" strokeweight=".5pt" strokecolor="#929292">
              <v:stroke dashstyle="dash"/>
            </v:line>
            <v:shape style="position:absolute;left:0;top:7803;width:2;height:3280" coordorigin="0,7803" coordsize="0,3280" path="m15166,3458l15166,3458m15166,178l15166,178e" filled="false" stroked="true" strokeweight=".5pt" strokecolor="#929292">
              <v:path arrowok="t"/>
            </v:shape>
            <v:line style="position:absolute" from="15166,178" to="15166,178" stroked="true" strokeweight=".5pt" strokecolor="#929292"/>
            <w10:wrap type="none"/>
          </v:group>
        </w:pict>
      </w:r>
      <w:r>
        <w:rPr>
          <w:w w:val="100"/>
          <w:sz w:val="16"/>
          <w:u w:val="dotted" w:color="929292"/>
        </w:rPr>
        <w:t> </w:t>
      </w:r>
      <w:r>
        <w:rPr>
          <w:sz w:val="16"/>
          <w:u w:val="dotted" w:color="929292"/>
        </w:rPr>
        <w:tab/>
      </w:r>
      <w:r>
        <w:rPr>
          <w:w w:val="105"/>
          <w:sz w:val="16"/>
          <w:u w:val="dotted" w:color="929292"/>
        </w:rPr>
        <w:t>Localización</w:t>
      </w:r>
      <w:r>
        <w:rPr>
          <w:sz w:val="16"/>
          <w:u w:val="dotted" w:color="929292"/>
        </w:rPr>
        <w:tab/>
      </w:r>
      <w:r>
        <w:rPr>
          <w:sz w:val="16"/>
        </w:rPr>
        <w:t> </w:t>
      </w:r>
      <w:r>
        <w:rPr>
          <w:w w:val="100"/>
          <w:sz w:val="16"/>
          <w:u w:val="dotted" w:color="929292"/>
        </w:rPr>
        <w:t> </w:t>
      </w:r>
      <w:r>
        <w:rPr>
          <w:sz w:val="16"/>
          <w:u w:val="dotted" w:color="929292"/>
        </w:rPr>
        <w:tab/>
      </w:r>
    </w:p>
    <w:p>
      <w:pPr>
        <w:spacing w:after="0"/>
        <w:jc w:val="left"/>
        <w:rPr>
          <w:sz w:val="16"/>
        </w:rPr>
        <w:sectPr>
          <w:type w:val="continuous"/>
          <w:pgSz w:w="18830" w:h="12760" w:orient="landscape"/>
          <w:pgMar w:top="1420" w:bottom="280" w:left="720" w:right="720"/>
          <w:cols w:num="2" w:equalWidth="0">
            <w:col w:w="5732" w:space="4586"/>
            <w:col w:w="7072"/>
          </w:cols>
        </w:sectPr>
      </w:pPr>
    </w:p>
    <w:p>
      <w:pPr>
        <w:pStyle w:val="BodyText"/>
        <w:spacing w:before="6"/>
        <w:rPr>
          <w:sz w:val="24"/>
        </w:rPr>
      </w:pPr>
    </w:p>
    <w:p>
      <w:pPr>
        <w:pStyle w:val="BodyText"/>
        <w:spacing w:line="249" w:lineRule="auto"/>
        <w:ind w:left="130" w:firstLine="170"/>
      </w:pPr>
      <w:r>
        <w:rPr/>
        <w:t>La</w:t>
      </w:r>
      <w:r>
        <w:rPr>
          <w:spacing w:val="-5"/>
        </w:rPr>
        <w:t> </w:t>
      </w:r>
      <w:r>
        <w:rPr/>
        <w:t>presente</w:t>
      </w:r>
      <w:r>
        <w:rPr>
          <w:spacing w:val="-5"/>
        </w:rPr>
        <w:t> </w:t>
      </w:r>
      <w:r>
        <w:rPr/>
        <w:t>investigación</w:t>
      </w:r>
      <w:r>
        <w:rPr>
          <w:spacing w:val="-5"/>
        </w:rPr>
        <w:t> </w:t>
      </w:r>
      <w:r>
        <w:rPr/>
        <w:t>se</w:t>
      </w:r>
      <w:r>
        <w:rPr>
          <w:spacing w:val="-5"/>
        </w:rPr>
        <w:t> </w:t>
      </w:r>
      <w:r>
        <w:rPr/>
        <w:t>lleva</w:t>
      </w:r>
      <w:r>
        <w:rPr>
          <w:spacing w:val="-5"/>
        </w:rPr>
        <w:t> </w:t>
      </w:r>
      <w:r>
        <w:rPr/>
        <w:t>a</w:t>
      </w:r>
      <w:r>
        <w:rPr>
          <w:spacing w:val="-5"/>
        </w:rPr>
        <w:t> </w:t>
      </w:r>
      <w:r>
        <w:rPr/>
        <w:t>cabo</w:t>
      </w:r>
      <w:r>
        <w:rPr>
          <w:spacing w:val="-5"/>
        </w:rPr>
        <w:t> </w:t>
      </w:r>
      <w:r>
        <w:rPr/>
        <w:t>en</w:t>
      </w:r>
      <w:r>
        <w:rPr>
          <w:spacing w:val="-5"/>
        </w:rPr>
        <w:t> </w:t>
      </w:r>
      <w:r>
        <w:rPr/>
        <w:t>los</w:t>
      </w:r>
      <w:r>
        <w:rPr>
          <w:spacing w:val="-5"/>
        </w:rPr>
        <w:t> </w:t>
      </w:r>
      <w:r>
        <w:rPr/>
        <w:t>municipios</w:t>
      </w:r>
      <w:r>
        <w:rPr>
          <w:spacing w:val="-5"/>
        </w:rPr>
        <w:t> </w:t>
      </w:r>
      <w:r>
        <w:rPr/>
        <w:t>de</w:t>
      </w:r>
      <w:r>
        <w:rPr>
          <w:spacing w:val="-5"/>
        </w:rPr>
        <w:t> </w:t>
      </w:r>
      <w:r>
        <w:rPr/>
        <w:t>Malinalco,</w:t>
      </w:r>
      <w:r>
        <w:rPr>
          <w:spacing w:val="-5"/>
        </w:rPr>
        <w:t> </w:t>
      </w:r>
      <w:r>
        <w:rPr/>
        <w:t>Tenancingo y Villa Guerrero que se localizan al sur del Estado de México (Cuadro 2 y Figura</w:t>
      </w:r>
      <w:r>
        <w:rPr>
          <w:spacing w:val="-30"/>
        </w:rPr>
        <w:t> </w:t>
      </w:r>
      <w:r>
        <w:rPr/>
        <w:t>2).</w:t>
      </w:r>
    </w:p>
    <w:p>
      <w:pPr>
        <w:pStyle w:val="BodyText"/>
      </w:pPr>
    </w:p>
    <w:p>
      <w:pPr>
        <w:pStyle w:val="BodyText"/>
        <w:spacing w:before="1"/>
        <w:rPr>
          <w:sz w:val="25"/>
        </w:rPr>
      </w:pPr>
    </w:p>
    <w:p>
      <w:pPr>
        <w:spacing w:line="312" w:lineRule="auto" w:before="0"/>
        <w:ind w:left="2554" w:right="0" w:hanging="2273"/>
        <w:jc w:val="left"/>
        <w:rPr>
          <w:sz w:val="16"/>
        </w:rPr>
      </w:pPr>
      <w:r>
        <w:rPr>
          <w:color w:val="6D6E71"/>
          <w:sz w:val="16"/>
        </w:rPr>
        <w:t>Figura 2. . Localización de los municipios de Malinalco, Tenancingo y Villa Guerrero en el contexto de la Zona de Ecotono del estado de México.</w:t>
      </w:r>
    </w:p>
    <w:p>
      <w:pPr>
        <w:spacing w:line="165" w:lineRule="exact" w:before="0"/>
        <w:ind w:left="114" w:right="0" w:firstLine="0"/>
        <w:jc w:val="left"/>
        <w:rPr>
          <w:sz w:val="16"/>
        </w:rPr>
      </w:pPr>
      <w:r>
        <w:rPr/>
        <w:br w:type="column"/>
      </w:r>
      <w:r>
        <w:rPr>
          <w:sz w:val="16"/>
        </w:rPr>
        <w:t>Se ubica a los 19º 57’ 07’’ de</w:t>
      </w:r>
    </w:p>
    <w:p>
      <w:pPr>
        <w:spacing w:line="261" w:lineRule="auto" w:before="16"/>
        <w:ind w:left="114" w:right="0" w:firstLine="0"/>
        <w:jc w:val="left"/>
        <w:rPr>
          <w:sz w:val="16"/>
        </w:rPr>
      </w:pPr>
      <w:r>
        <w:rPr>
          <w:sz w:val="16"/>
        </w:rPr>
        <w:t>latitud norte y a los 99º 30’ 06’’ de longitud del Meridiano de Greenwich;</w:t>
      </w:r>
    </w:p>
    <w:p>
      <w:pPr>
        <w:pStyle w:val="BodyText"/>
        <w:rPr>
          <w:sz w:val="16"/>
        </w:rPr>
      </w:pPr>
    </w:p>
    <w:p>
      <w:pPr>
        <w:spacing w:line="261" w:lineRule="auto" w:before="129"/>
        <w:ind w:left="114" w:right="394" w:firstLine="0"/>
        <w:jc w:val="left"/>
        <w:rPr>
          <w:sz w:val="16"/>
        </w:rPr>
      </w:pPr>
      <w:r>
        <w:rPr>
          <w:sz w:val="16"/>
        </w:rPr>
        <w:t>Limita al norte con los municipios de Joquicingo y Ocuilan; al sur con el</w:t>
      </w:r>
    </w:p>
    <w:p>
      <w:pPr>
        <w:spacing w:line="261" w:lineRule="auto" w:before="0"/>
        <w:ind w:left="114" w:right="47" w:firstLine="0"/>
        <w:jc w:val="left"/>
        <w:rPr>
          <w:sz w:val="16"/>
        </w:rPr>
      </w:pPr>
      <w:r>
        <w:rPr>
          <w:sz w:val="16"/>
        </w:rPr>
        <w:t>municipio de Zumpahuacán y el estado de Morelos; al este con el municipio de Ocuilan</w:t>
      </w:r>
    </w:p>
    <w:p>
      <w:pPr>
        <w:spacing w:line="261" w:lineRule="auto" w:before="0"/>
        <w:ind w:left="114" w:right="0" w:firstLine="0"/>
        <w:jc w:val="left"/>
        <w:rPr>
          <w:sz w:val="16"/>
        </w:rPr>
      </w:pPr>
      <w:r>
        <w:rPr/>
        <w:drawing>
          <wp:anchor distT="0" distB="0" distL="0" distR="0" allowOverlap="1" layoutInCell="1" locked="0" behindDoc="0" simplePos="0" relativeHeight="10552">
            <wp:simplePos x="0" y="0"/>
            <wp:positionH relativeFrom="page">
              <wp:posOffset>529927</wp:posOffset>
            </wp:positionH>
            <wp:positionV relativeFrom="paragraph">
              <wp:posOffset>-241447</wp:posOffset>
            </wp:positionV>
            <wp:extent cx="4916144" cy="3401391"/>
            <wp:effectExtent l="0" t="0" r="0" b="0"/>
            <wp:wrapNone/>
            <wp:docPr id="105" name="image71.jpeg" descr=""/>
            <wp:cNvGraphicFramePr>
              <a:graphicFrameLocks noChangeAspect="1"/>
            </wp:cNvGraphicFramePr>
            <a:graphic>
              <a:graphicData uri="http://schemas.openxmlformats.org/drawingml/2006/picture">
                <pic:pic>
                  <pic:nvPicPr>
                    <pic:cNvPr id="106" name="image71.jpeg"/>
                    <pic:cNvPicPr/>
                  </pic:nvPicPr>
                  <pic:blipFill>
                    <a:blip r:embed="rId255" cstate="print"/>
                    <a:stretch>
                      <a:fillRect/>
                    </a:stretch>
                  </pic:blipFill>
                  <pic:spPr>
                    <a:xfrm>
                      <a:off x="0" y="0"/>
                      <a:ext cx="4916144" cy="3401391"/>
                    </a:xfrm>
                    <a:prstGeom prst="rect">
                      <a:avLst/>
                    </a:prstGeom>
                  </pic:spPr>
                </pic:pic>
              </a:graphicData>
            </a:graphic>
          </wp:anchor>
        </w:drawing>
      </w:r>
      <w:r>
        <w:rPr>
          <w:sz w:val="16"/>
        </w:rPr>
        <w:t>y el estado de Morelos; al oeste con los municipios de Tenancingo y Zumpahuacán, posee una extensión</w:t>
      </w:r>
      <w:r>
        <w:rPr>
          <w:spacing w:val="5"/>
          <w:sz w:val="16"/>
        </w:rPr>
        <w:t> </w:t>
      </w:r>
      <w:r>
        <w:rPr>
          <w:sz w:val="16"/>
        </w:rPr>
        <w:t>de</w:t>
      </w:r>
      <w:r>
        <w:rPr>
          <w:spacing w:val="1"/>
          <w:sz w:val="16"/>
        </w:rPr>
        <w:t> </w:t>
      </w:r>
      <w:r>
        <w:rPr>
          <w:sz w:val="16"/>
        </w:rPr>
        <w:t>186.28</w:t>
      </w:r>
      <w:r>
        <w:rPr>
          <w:w w:val="99"/>
          <w:sz w:val="16"/>
        </w:rPr>
        <w:t> </w:t>
      </w:r>
      <w:r>
        <w:rPr>
          <w:sz w:val="16"/>
        </w:rPr>
        <w:t>km².</w:t>
      </w:r>
    </w:p>
    <w:p>
      <w:pPr>
        <w:spacing w:line="165" w:lineRule="exact" w:before="0"/>
        <w:ind w:left="114" w:right="0" w:firstLine="0"/>
        <w:jc w:val="left"/>
        <w:rPr>
          <w:sz w:val="16"/>
        </w:rPr>
      </w:pPr>
      <w:r>
        <w:rPr/>
        <w:br w:type="column"/>
      </w:r>
      <w:r>
        <w:rPr>
          <w:sz w:val="16"/>
        </w:rPr>
        <w:t>Se ubica a los 19º 02' 25" la</w:t>
      </w:r>
    </w:p>
    <w:p>
      <w:pPr>
        <w:spacing w:line="261" w:lineRule="auto" w:before="16"/>
        <w:ind w:left="114" w:right="0" w:firstLine="0"/>
        <w:jc w:val="left"/>
        <w:rPr>
          <w:sz w:val="16"/>
        </w:rPr>
      </w:pPr>
      <w:r>
        <w:rPr>
          <w:sz w:val="16"/>
        </w:rPr>
        <w:t>latitud norte, y 99º 38' 37" de longitud oeste, con relación al meridiano de Greenwich.</w:t>
      </w:r>
    </w:p>
    <w:p>
      <w:pPr>
        <w:spacing w:line="261" w:lineRule="auto" w:before="56"/>
        <w:ind w:left="114" w:right="0" w:firstLine="0"/>
        <w:jc w:val="left"/>
        <w:rPr>
          <w:sz w:val="16"/>
        </w:rPr>
      </w:pPr>
      <w:r>
        <w:rPr>
          <w:sz w:val="16"/>
        </w:rPr>
        <w:t>Limita al norte con los municipios de Tenango del Valle y Joquicingo; al sur con el municipio</w:t>
      </w:r>
      <w:r>
        <w:rPr>
          <w:spacing w:val="15"/>
          <w:sz w:val="16"/>
        </w:rPr>
        <w:t> </w:t>
      </w:r>
      <w:r>
        <w:rPr>
          <w:sz w:val="16"/>
        </w:rPr>
        <w:t>de</w:t>
      </w:r>
      <w:r>
        <w:rPr>
          <w:spacing w:val="7"/>
          <w:sz w:val="16"/>
        </w:rPr>
        <w:t> </w:t>
      </w:r>
      <w:r>
        <w:rPr>
          <w:sz w:val="16"/>
        </w:rPr>
        <w:t>Zumpahuacán;</w:t>
      </w:r>
      <w:r>
        <w:rPr>
          <w:w w:val="100"/>
          <w:sz w:val="16"/>
        </w:rPr>
        <w:t> </w:t>
      </w:r>
      <w:r>
        <w:rPr>
          <w:sz w:val="16"/>
        </w:rPr>
        <w:t>al este con el municipio de Malinalco; al oeste con el municipio de Villa Guerrero, posee una extensión territorial de 160.18</w:t>
      </w:r>
      <w:r>
        <w:rPr>
          <w:spacing w:val="9"/>
          <w:sz w:val="16"/>
        </w:rPr>
        <w:t> </w:t>
      </w:r>
      <w:r>
        <w:rPr>
          <w:sz w:val="16"/>
        </w:rPr>
        <w:t>km².</w:t>
      </w:r>
    </w:p>
    <w:p>
      <w:pPr>
        <w:spacing w:line="165" w:lineRule="exact" w:before="0"/>
        <w:ind w:left="114" w:right="290" w:firstLine="0"/>
        <w:jc w:val="left"/>
        <w:rPr>
          <w:sz w:val="16"/>
        </w:rPr>
      </w:pPr>
      <w:r>
        <w:rPr/>
        <w:br w:type="column"/>
      </w:r>
      <w:r>
        <w:rPr>
          <w:sz w:val="16"/>
        </w:rPr>
        <w:t>Se ubica a los 18º 48’ 58 latitud</w:t>
      </w:r>
    </w:p>
    <w:p>
      <w:pPr>
        <w:spacing w:line="261" w:lineRule="auto" w:before="16"/>
        <w:ind w:left="114" w:right="290" w:firstLine="0"/>
        <w:jc w:val="left"/>
        <w:rPr>
          <w:sz w:val="16"/>
        </w:rPr>
      </w:pPr>
      <w:r>
        <w:rPr>
          <w:sz w:val="16"/>
        </w:rPr>
        <w:t>norte y 99º 36’ 28” de longitud oeste, con relación al meridiano de Greenwich.</w:t>
      </w:r>
    </w:p>
    <w:p>
      <w:pPr>
        <w:pStyle w:val="BodyText"/>
        <w:rPr>
          <w:sz w:val="16"/>
        </w:rPr>
      </w:pPr>
    </w:p>
    <w:p>
      <w:pPr>
        <w:spacing w:line="261" w:lineRule="auto" w:before="129"/>
        <w:ind w:left="114" w:right="468" w:firstLine="0"/>
        <w:jc w:val="left"/>
        <w:rPr>
          <w:sz w:val="16"/>
        </w:rPr>
      </w:pPr>
      <w:r>
        <w:rPr>
          <w:sz w:val="16"/>
        </w:rPr>
        <w:t>Límites con los municipios; al norte con Tenango del Valle, con</w:t>
      </w:r>
    </w:p>
    <w:p>
      <w:pPr>
        <w:spacing w:line="261" w:lineRule="auto" w:before="0"/>
        <w:ind w:left="114" w:right="246" w:firstLine="0"/>
        <w:jc w:val="left"/>
        <w:rPr>
          <w:sz w:val="16"/>
        </w:rPr>
      </w:pPr>
      <w:r>
        <w:rPr>
          <w:sz w:val="16"/>
        </w:rPr>
        <w:t>Zinacantepec, Toluca y Calimaya; al sur con Ixtapan de la Sal; al oriente con Tenancingo y Zumpahuacán; al poniente con Coatepec Harianas, posee una extensión de 267.73  km².</w:t>
      </w:r>
    </w:p>
    <w:p>
      <w:pPr>
        <w:spacing w:after="0" w:line="261" w:lineRule="auto"/>
        <w:jc w:val="left"/>
        <w:rPr>
          <w:sz w:val="16"/>
        </w:rPr>
        <w:sectPr>
          <w:type w:val="continuous"/>
          <w:pgSz w:w="18830" w:h="12760" w:orient="landscape"/>
          <w:pgMar w:top="1420" w:bottom="280" w:left="720" w:right="720"/>
          <w:cols w:num="4" w:equalWidth="0">
            <w:col w:w="7857" w:space="1666"/>
            <w:col w:w="2356" w:space="117"/>
            <w:col w:w="2317" w:space="126"/>
            <w:col w:w="2951"/>
          </w:cols>
        </w:sectPr>
      </w:pPr>
    </w:p>
    <w:p>
      <w:pPr>
        <w:tabs>
          <w:tab w:pos="12514" w:val="left" w:leader="none"/>
          <w:tab w:pos="17241" w:val="left" w:leader="none"/>
        </w:tabs>
        <w:spacing w:line="148" w:lineRule="exact" w:before="0"/>
        <w:ind w:left="9529" w:right="0" w:firstLine="0"/>
        <w:jc w:val="left"/>
        <w:rPr>
          <w:sz w:val="16"/>
        </w:rPr>
      </w:pPr>
      <w:r>
        <w:rPr>
          <w:w w:val="100"/>
          <w:sz w:val="16"/>
          <w:shd w:fill="E2E2E2" w:color="auto" w:val="clear"/>
        </w:rPr>
        <w:t> </w:t>
      </w:r>
      <w:r>
        <w:rPr>
          <w:sz w:val="16"/>
          <w:shd w:fill="E2E2E2" w:color="auto" w:val="clear"/>
        </w:rPr>
        <w:tab/>
        <w:t>Altitud: Mínima-</w:t>
      </w:r>
      <w:r>
        <w:rPr>
          <w:spacing w:val="26"/>
          <w:sz w:val="16"/>
          <w:shd w:fill="E2E2E2" w:color="auto" w:val="clear"/>
        </w:rPr>
        <w:t> </w:t>
      </w:r>
      <w:r>
        <w:rPr>
          <w:sz w:val="16"/>
          <w:shd w:fill="E2E2E2" w:color="auto" w:val="clear"/>
        </w:rPr>
        <w:t>Máxima</w:t>
        <w:tab/>
      </w:r>
    </w:p>
    <w:p>
      <w:pPr>
        <w:tabs>
          <w:tab w:pos="12110" w:val="left" w:leader="none"/>
          <w:tab w:pos="14553" w:val="left" w:leader="none"/>
        </w:tabs>
        <w:spacing w:line="171" w:lineRule="exact" w:before="0"/>
        <w:ind w:left="9637" w:right="0" w:firstLine="0"/>
        <w:jc w:val="left"/>
        <w:rPr>
          <w:sz w:val="16"/>
        </w:rPr>
      </w:pPr>
      <w:r>
        <w:rPr/>
        <w:pict>
          <v:group style="position:absolute;margin-left:635.877991pt;margin-top:.054197pt;width:.5pt;height:8.550pt;mso-position-horizontal-relative:page;mso-position-vertical-relative:paragraph;z-index:-642160" coordorigin="12718,1" coordsize="10,171">
            <v:line style="position:absolute" from="12723,135" to="12723,22" stroked="true" strokeweight=".5pt" strokecolor="#929292">
              <v:stroke dashstyle="dash"/>
            </v:line>
            <v:shape style="position:absolute;left:0;top:7288;width:2;height:161" coordorigin="0,7288" coordsize="0,161" path="m12723,167l12723,167m12723,6l12723,6e" filled="false" stroked="true" strokeweight=".5pt" strokecolor="#929292">
              <v:path arrowok="t"/>
            </v:shape>
            <w10:wrap type="none"/>
          </v:group>
        </w:pict>
      </w:r>
      <w:r>
        <w:rPr/>
        <w:pict>
          <v:group style="position:absolute;margin-left:758.051208pt;margin-top:.054197pt;width:.5pt;height:8.550pt;mso-position-horizontal-relative:page;mso-position-vertical-relative:paragraph;z-index:-642136" coordorigin="15161,1" coordsize="10,171">
            <v:line style="position:absolute" from="15166,135" to="15166,22" stroked="true" strokeweight=".5pt" strokecolor="#929292">
              <v:stroke dashstyle="dash"/>
            </v:line>
            <v:shape style="position:absolute;left:0;top:7288;width:2;height:161" coordorigin="0,7288" coordsize="0,161" path="m15166,167l15166,167m15166,6l15166,6e" filled="false" stroked="true" strokeweight=".5pt" strokecolor="#929292">
              <v:path arrowok="t"/>
            </v:shape>
            <w10:wrap type="none"/>
          </v:group>
        </w:pict>
      </w:r>
      <w:r>
        <w:rPr>
          <w:sz w:val="16"/>
        </w:rPr>
        <w:t>1067-2,622m.s.n.m.</w:t>
        <w:tab/>
        <w:t>2,060-2,490</w:t>
      </w:r>
      <w:r>
        <w:rPr>
          <w:spacing w:val="5"/>
          <w:sz w:val="16"/>
        </w:rPr>
        <w:t> </w:t>
      </w:r>
      <w:r>
        <w:rPr>
          <w:sz w:val="16"/>
        </w:rPr>
        <w:t>m.s.n.m.</w:t>
        <w:tab/>
        <w:t>1500-1,767m.s.n.m</w:t>
      </w:r>
    </w:p>
    <w:p>
      <w:pPr>
        <w:tabs>
          <w:tab w:pos="13181" w:val="left" w:leader="none"/>
          <w:tab w:pos="17241" w:val="left" w:leader="none"/>
        </w:tabs>
        <w:spacing w:line="177" w:lineRule="exact" w:before="0"/>
        <w:ind w:left="9529" w:right="0" w:firstLine="0"/>
        <w:jc w:val="left"/>
        <w:rPr>
          <w:sz w:val="16"/>
        </w:rPr>
      </w:pPr>
      <w:r>
        <w:rPr/>
        <w:pict>
          <v:group style="position:absolute;margin-left:635.877991pt;margin-top:8.604191pt;width:.5pt;height:105.6pt;mso-position-horizontal-relative:page;mso-position-vertical-relative:paragraph;z-index:-642112" coordorigin="12718,172" coordsize="10,2112">
            <v:line style="position:absolute" from="12723,2248" to="12723,192" stroked="true" strokeweight=".5pt" strokecolor="#929292">
              <v:stroke dashstyle="dash"/>
            </v:line>
            <v:shape style="position:absolute;left:0;top:5177;width:2;height:2102" coordorigin="0,5177" coordsize="0,2102" path="m12723,2278l12723,2278m12723,177l12723,177e" filled="false" stroked="true" strokeweight=".5pt" strokecolor="#929292">
              <v:path arrowok="t"/>
            </v:shape>
            <w10:wrap type="none"/>
          </v:group>
        </w:pict>
      </w:r>
      <w:r>
        <w:rPr/>
        <w:pict>
          <v:group style="position:absolute;margin-left:758.051208pt;margin-top:8.604191pt;width:.5pt;height:105.6pt;mso-position-horizontal-relative:page;mso-position-vertical-relative:paragraph;z-index:-642088" coordorigin="15161,172" coordsize="10,2112">
            <v:line style="position:absolute" from="15166,2248" to="15166,192" stroked="true" strokeweight=".5pt" strokecolor="#929292">
              <v:stroke dashstyle="dash"/>
            </v:line>
            <v:shape style="position:absolute;left:0;top:5177;width:2;height:2102" coordorigin="0,5177" coordsize="0,2102" path="m15166,2278l15166,2278m15166,177l15166,177e" filled="false" stroked="true" strokeweight=".5pt" strokecolor="#929292">
              <v:path arrowok="t"/>
            </v:shape>
            <w10:wrap type="none"/>
          </v:group>
        </w:pict>
      </w:r>
      <w:r>
        <w:rPr>
          <w:w w:val="100"/>
          <w:sz w:val="16"/>
          <w:shd w:fill="E2E2E2" w:color="auto" w:val="clear"/>
        </w:rPr>
        <w:t> </w:t>
      </w:r>
      <w:r>
        <w:rPr>
          <w:sz w:val="16"/>
          <w:shd w:fill="E2E2E2" w:color="auto" w:val="clear"/>
        </w:rPr>
        <w:tab/>
        <w:t>Clima</w:t>
        <w:tab/>
      </w:r>
    </w:p>
    <w:p>
      <w:pPr>
        <w:spacing w:after="0" w:line="177" w:lineRule="exact"/>
        <w:jc w:val="left"/>
        <w:rPr>
          <w:sz w:val="16"/>
        </w:rPr>
        <w:sectPr>
          <w:type w:val="continuous"/>
          <w:pgSz w:w="18830" w:h="12760" w:orient="landscape"/>
          <w:pgMar w:top="1420" w:bottom="280" w:left="720" w:right="720"/>
        </w:sectPr>
      </w:pPr>
    </w:p>
    <w:p>
      <w:pPr>
        <w:spacing w:line="171" w:lineRule="exact" w:before="0"/>
        <w:ind w:left="9637" w:right="0" w:firstLine="0"/>
        <w:jc w:val="left"/>
        <w:rPr>
          <w:sz w:val="16"/>
        </w:rPr>
      </w:pPr>
      <w:r>
        <w:rPr>
          <w:sz w:val="16"/>
        </w:rPr>
        <w:t>Zona alta: clima subhúmedo.</w:t>
      </w:r>
    </w:p>
    <w:p>
      <w:pPr>
        <w:spacing w:before="72"/>
        <w:ind w:left="9637" w:right="0" w:firstLine="0"/>
        <w:jc w:val="left"/>
        <w:rPr>
          <w:sz w:val="16"/>
        </w:rPr>
      </w:pPr>
      <w:r>
        <w:rPr>
          <w:sz w:val="16"/>
        </w:rPr>
        <w:t>Zona baja: cálido.</w:t>
      </w:r>
    </w:p>
    <w:p>
      <w:pPr>
        <w:pStyle w:val="BodyText"/>
        <w:rPr>
          <w:sz w:val="16"/>
        </w:rPr>
      </w:pPr>
    </w:p>
    <w:p>
      <w:pPr>
        <w:pStyle w:val="BodyText"/>
        <w:rPr>
          <w:sz w:val="16"/>
        </w:rPr>
      </w:pPr>
    </w:p>
    <w:p>
      <w:pPr>
        <w:pStyle w:val="BodyText"/>
        <w:spacing w:before="11"/>
        <w:rPr>
          <w:sz w:val="18"/>
        </w:rPr>
      </w:pPr>
    </w:p>
    <w:p>
      <w:pPr>
        <w:spacing w:line="261" w:lineRule="auto" w:before="0"/>
        <w:ind w:left="9637" w:right="6" w:firstLine="0"/>
        <w:jc w:val="left"/>
        <w:rPr>
          <w:sz w:val="16"/>
        </w:rPr>
      </w:pPr>
      <w:r>
        <w:rPr>
          <w:sz w:val="16"/>
        </w:rPr>
        <w:t>Temperatura media anual de 20°.</w:t>
      </w:r>
    </w:p>
    <w:p>
      <w:pPr>
        <w:pStyle w:val="BodyText"/>
        <w:rPr>
          <w:sz w:val="16"/>
        </w:rPr>
      </w:pPr>
    </w:p>
    <w:p>
      <w:pPr>
        <w:spacing w:line="261" w:lineRule="auto" w:before="129"/>
        <w:ind w:left="9637" w:right="0" w:firstLine="0"/>
        <w:jc w:val="left"/>
        <w:rPr>
          <w:sz w:val="16"/>
        </w:rPr>
      </w:pPr>
      <w:r>
        <w:rPr>
          <w:sz w:val="16"/>
        </w:rPr>
        <w:t>La precipitación pluvial es de</w:t>
      </w:r>
      <w:r>
        <w:rPr>
          <w:w w:val="101"/>
          <w:sz w:val="16"/>
        </w:rPr>
        <w:t> </w:t>
      </w:r>
      <w:r>
        <w:rPr>
          <w:sz w:val="16"/>
        </w:rPr>
        <w:t>1,177 mm al año.</w:t>
      </w:r>
    </w:p>
    <w:p>
      <w:pPr>
        <w:spacing w:line="171" w:lineRule="exact" w:before="0"/>
        <w:ind w:left="114" w:right="-2" w:firstLine="0"/>
        <w:jc w:val="left"/>
        <w:rPr>
          <w:sz w:val="16"/>
        </w:rPr>
      </w:pPr>
      <w:r>
        <w:rPr/>
        <w:br w:type="column"/>
      </w:r>
      <w:r>
        <w:rPr>
          <w:sz w:val="16"/>
        </w:rPr>
        <w:t>Zona alta: clima templado</w:t>
      </w:r>
    </w:p>
    <w:p>
      <w:pPr>
        <w:spacing w:before="16"/>
        <w:ind w:left="114" w:right="-2" w:firstLine="0"/>
        <w:jc w:val="left"/>
        <w:rPr>
          <w:sz w:val="16"/>
        </w:rPr>
      </w:pPr>
      <w:r>
        <w:rPr>
          <w:sz w:val="16"/>
        </w:rPr>
        <w:t>subhúmedo.</w:t>
      </w:r>
    </w:p>
    <w:p>
      <w:pPr>
        <w:spacing w:before="72"/>
        <w:ind w:left="114" w:right="-2" w:firstLine="0"/>
        <w:jc w:val="left"/>
        <w:rPr>
          <w:sz w:val="16"/>
        </w:rPr>
      </w:pPr>
      <w:r>
        <w:rPr>
          <w:sz w:val="16"/>
        </w:rPr>
        <w:t>Zona baja: clima semi cálido.</w:t>
      </w:r>
    </w:p>
    <w:p>
      <w:pPr>
        <w:pStyle w:val="BodyText"/>
        <w:rPr>
          <w:sz w:val="16"/>
        </w:rPr>
      </w:pPr>
    </w:p>
    <w:p>
      <w:pPr>
        <w:pStyle w:val="BodyText"/>
        <w:spacing w:before="7"/>
        <w:rPr>
          <w:sz w:val="12"/>
        </w:rPr>
      </w:pPr>
    </w:p>
    <w:p>
      <w:pPr>
        <w:spacing w:line="261" w:lineRule="auto" w:before="0"/>
        <w:ind w:left="114" w:right="7" w:firstLine="0"/>
        <w:jc w:val="left"/>
        <w:rPr>
          <w:sz w:val="16"/>
        </w:rPr>
      </w:pPr>
      <w:r>
        <w:rPr>
          <w:sz w:val="16"/>
        </w:rPr>
        <w:t>Temperatura media anual de 18.2ºC</w:t>
      </w:r>
    </w:p>
    <w:p>
      <w:pPr>
        <w:spacing w:line="261" w:lineRule="auto" w:before="56"/>
        <w:ind w:left="114" w:right="-2" w:firstLine="0"/>
        <w:jc w:val="left"/>
        <w:rPr>
          <w:sz w:val="16"/>
        </w:rPr>
      </w:pPr>
      <w:r>
        <w:rPr>
          <w:sz w:val="16"/>
        </w:rPr>
        <w:t>La precipitación pluvial es de 1,199.3 mm al año.</w:t>
      </w:r>
    </w:p>
    <w:p>
      <w:pPr>
        <w:spacing w:line="171" w:lineRule="exact" w:before="0"/>
        <w:ind w:left="114" w:right="601" w:firstLine="0"/>
        <w:jc w:val="left"/>
        <w:rPr>
          <w:sz w:val="16"/>
        </w:rPr>
      </w:pPr>
      <w:r>
        <w:rPr/>
        <w:br w:type="column"/>
      </w:r>
      <w:r>
        <w:rPr>
          <w:sz w:val="16"/>
        </w:rPr>
        <w:t>Zona alta: clima templado</w:t>
      </w:r>
    </w:p>
    <w:p>
      <w:pPr>
        <w:spacing w:before="16"/>
        <w:ind w:left="114" w:right="601" w:firstLine="0"/>
        <w:jc w:val="left"/>
        <w:rPr>
          <w:sz w:val="16"/>
        </w:rPr>
      </w:pPr>
      <w:r>
        <w:rPr>
          <w:sz w:val="16"/>
        </w:rPr>
        <w:t>subhúmedo.</w:t>
      </w:r>
    </w:p>
    <w:p>
      <w:pPr>
        <w:spacing w:before="72"/>
        <w:ind w:left="114" w:right="601" w:firstLine="0"/>
        <w:jc w:val="left"/>
        <w:rPr>
          <w:sz w:val="16"/>
        </w:rPr>
      </w:pPr>
      <w:r>
        <w:rPr>
          <w:sz w:val="16"/>
        </w:rPr>
        <w:t>Zona baja: cálido subhúmedo.</w:t>
      </w:r>
    </w:p>
    <w:p>
      <w:pPr>
        <w:pStyle w:val="BodyText"/>
        <w:rPr>
          <w:sz w:val="16"/>
        </w:rPr>
      </w:pPr>
    </w:p>
    <w:p>
      <w:pPr>
        <w:pStyle w:val="BodyText"/>
        <w:spacing w:before="7"/>
        <w:rPr>
          <w:sz w:val="12"/>
        </w:rPr>
      </w:pPr>
    </w:p>
    <w:p>
      <w:pPr>
        <w:spacing w:line="261" w:lineRule="auto" w:before="0"/>
        <w:ind w:left="114" w:right="601" w:firstLine="0"/>
        <w:jc w:val="left"/>
        <w:rPr>
          <w:sz w:val="16"/>
        </w:rPr>
      </w:pPr>
      <w:r>
        <w:rPr>
          <w:sz w:val="16"/>
        </w:rPr>
        <w:t>La temperatura media anual se encuentra a 18.1 °C.</w:t>
      </w:r>
    </w:p>
    <w:p>
      <w:pPr>
        <w:spacing w:line="261" w:lineRule="auto" w:before="56"/>
        <w:ind w:left="114" w:right="196" w:firstLine="0"/>
        <w:jc w:val="left"/>
        <w:rPr>
          <w:sz w:val="16"/>
        </w:rPr>
      </w:pPr>
      <w:r>
        <w:rPr>
          <w:sz w:val="16"/>
        </w:rPr>
        <w:t>La precipitación es de 747 mm al año.</w:t>
      </w:r>
    </w:p>
    <w:p>
      <w:pPr>
        <w:spacing w:after="0" w:line="261" w:lineRule="auto"/>
        <w:jc w:val="left"/>
        <w:rPr>
          <w:sz w:val="16"/>
        </w:rPr>
        <w:sectPr>
          <w:type w:val="continuous"/>
          <w:pgSz w:w="18830" w:h="12760" w:orient="landscape"/>
          <w:pgMar w:top="1420" w:bottom="280" w:left="720" w:right="720"/>
          <w:cols w:num="3" w:equalWidth="0">
            <w:col w:w="11718" w:space="278"/>
            <w:col w:w="2196" w:space="248"/>
            <w:col w:w="2950"/>
          </w:cols>
        </w:sectPr>
      </w:pPr>
    </w:p>
    <w:p>
      <w:pPr>
        <w:tabs>
          <w:tab w:pos="13006" w:val="left" w:leader="none"/>
          <w:tab w:pos="17241" w:val="left" w:leader="none"/>
        </w:tabs>
        <w:spacing w:line="155" w:lineRule="exact" w:before="0"/>
        <w:ind w:left="9529" w:right="0" w:firstLine="0"/>
        <w:jc w:val="left"/>
        <w:rPr>
          <w:sz w:val="16"/>
        </w:rPr>
      </w:pPr>
      <w:r>
        <w:rPr/>
        <w:pict>
          <v:group style="position:absolute;margin-left:513.981873pt;margin-top:7.476616pt;width:384.15pt;height:64.5pt;mso-position-horizontal-relative:page;mso-position-vertical-relative:paragraph;z-index:-642064" coordorigin="10280,150" coordsize="7683,1290">
            <v:line style="position:absolute" from="10285,1434" to="12708,1434" stroked="true" strokeweight=".5pt" strokecolor="#929292">
              <v:stroke dashstyle="dash"/>
            </v:line>
            <v:line style="position:absolute" from="12723,1434" to="12723,1434" stroked="true" strokeweight=".5pt" strokecolor="#929292"/>
            <v:line style="position:absolute" from="12723,1404" to="12723,169" stroked="true" strokeweight=".5pt" strokecolor="#929292">
              <v:stroke dashstyle="dash"/>
            </v:line>
            <v:shape style="position:absolute;left:0;top:3695;width:2;height:1280" coordorigin="0,3695" coordsize="0,1280" path="m12723,1434l12723,1434m12723,155l12723,155e" filled="false" stroked="true" strokeweight=".5pt" strokecolor="#929292">
              <v:path arrowok="t"/>
            </v:shape>
            <v:line style="position:absolute" from="12753,1434" to="15151,1434" stroked="true" strokeweight=".5pt" strokecolor="#929292">
              <v:stroke dashstyle="dash"/>
            </v:line>
            <v:shape style="position:absolute;left:0;top:4974;width:2444;height:2" coordorigin="0,4974" coordsize="2444,0" path="m12723,1434l12723,1434m15166,1434l15166,1434e" filled="false" stroked="true" strokeweight=".5pt" strokecolor="#929292">
              <v:path arrowok="t"/>
            </v:shape>
            <v:line style="position:absolute" from="15166,1404" to="15166,169" stroked="true" strokeweight=".5pt" strokecolor="#929292">
              <v:stroke dashstyle="dash"/>
            </v:line>
            <v:shape style="position:absolute;left:0;top:3695;width:2;height:1280" coordorigin="0,3695" coordsize="0,1280" path="m15166,1434l15166,1434m15166,155l15166,155e" filled="false" stroked="true" strokeweight=".5pt" strokecolor="#929292">
              <v:path arrowok="t"/>
            </v:shape>
            <v:line style="position:absolute" from="15196,1434" to="17942,1434" stroked="true" strokeweight=".5pt" strokecolor="#929292">
              <v:stroke dashstyle="dash"/>
            </v:line>
            <v:shape style="position:absolute;left:0;top:4974;width:2791;height:2" coordorigin="0,4974" coordsize="2791,0" path="m15166,1434l15166,1434m17957,1434l17957,1434e" filled="false" stroked="true" strokeweight=".5pt" strokecolor="#929292">
              <v:path arrowok="t"/>
            </v:shape>
            <w10:wrap type="none"/>
          </v:group>
        </w:pict>
      </w:r>
      <w:r>
        <w:rPr>
          <w:w w:val="100"/>
          <w:sz w:val="16"/>
          <w:shd w:fill="E2E2E2" w:color="auto" w:val="clear"/>
        </w:rPr>
        <w:t> </w:t>
      </w:r>
      <w:r>
        <w:rPr>
          <w:sz w:val="16"/>
          <w:shd w:fill="E2E2E2" w:color="auto" w:val="clear"/>
        </w:rPr>
        <w:tab/>
        <w:t>Edafología</w:t>
        <w:tab/>
      </w:r>
    </w:p>
    <w:p>
      <w:pPr>
        <w:spacing w:after="0" w:line="155" w:lineRule="exact"/>
        <w:jc w:val="left"/>
        <w:rPr>
          <w:sz w:val="16"/>
        </w:rPr>
        <w:sectPr>
          <w:type w:val="continuous"/>
          <w:pgSz w:w="18830" w:h="12760" w:orient="landscape"/>
          <w:pgMar w:top="1420" w:bottom="280" w:left="720" w:right="720"/>
        </w:sectPr>
      </w:pPr>
    </w:p>
    <w:p>
      <w:pPr>
        <w:spacing w:line="171" w:lineRule="exact" w:before="0"/>
        <w:ind w:left="9637" w:right="-12" w:firstLine="0"/>
        <w:jc w:val="left"/>
        <w:rPr>
          <w:sz w:val="16"/>
        </w:rPr>
      </w:pPr>
      <w:r>
        <w:rPr>
          <w:sz w:val="16"/>
        </w:rPr>
        <w:t>La clase de suelos más</w:t>
      </w:r>
    </w:p>
    <w:p>
      <w:pPr>
        <w:spacing w:line="261" w:lineRule="auto" w:before="16"/>
        <w:ind w:left="9637" w:right="-12" w:firstLine="0"/>
        <w:jc w:val="left"/>
        <w:rPr>
          <w:sz w:val="16"/>
        </w:rPr>
      </w:pPr>
      <w:r>
        <w:rPr>
          <w:sz w:val="16"/>
        </w:rPr>
        <w:t>frecuente que se encuentran</w:t>
      </w:r>
      <w:r>
        <w:rPr>
          <w:w w:val="100"/>
          <w:sz w:val="16"/>
        </w:rPr>
        <w:t> </w:t>
      </w:r>
      <w:r>
        <w:rPr>
          <w:sz w:val="16"/>
        </w:rPr>
        <w:t>en esta zona son: feozem háplico y litosol.</w:t>
      </w:r>
    </w:p>
    <w:p>
      <w:pPr>
        <w:spacing w:line="171" w:lineRule="exact" w:before="0"/>
        <w:ind w:left="114" w:right="-12" w:firstLine="0"/>
        <w:jc w:val="left"/>
        <w:rPr>
          <w:sz w:val="16"/>
        </w:rPr>
      </w:pPr>
      <w:r>
        <w:rPr/>
        <w:br w:type="column"/>
      </w:r>
      <w:r>
        <w:rPr>
          <w:sz w:val="16"/>
        </w:rPr>
        <w:t>La clase de suelos más</w:t>
      </w:r>
    </w:p>
    <w:p>
      <w:pPr>
        <w:spacing w:line="261" w:lineRule="auto" w:before="16"/>
        <w:ind w:left="114" w:right="-12" w:firstLine="0"/>
        <w:jc w:val="left"/>
        <w:rPr>
          <w:sz w:val="16"/>
        </w:rPr>
      </w:pPr>
      <w:r>
        <w:rPr>
          <w:sz w:val="16"/>
        </w:rPr>
        <w:t>frecuente que se encuentran</w:t>
      </w:r>
      <w:r>
        <w:rPr>
          <w:w w:val="100"/>
          <w:sz w:val="16"/>
        </w:rPr>
        <w:t> </w:t>
      </w:r>
      <w:r>
        <w:rPr>
          <w:sz w:val="16"/>
        </w:rPr>
        <w:t>en esta zona son: vertisol, pelico, feozem, háplico y el andosol húmico.</w:t>
      </w:r>
    </w:p>
    <w:p>
      <w:pPr>
        <w:spacing w:line="171" w:lineRule="exact" w:before="0"/>
        <w:ind w:left="114" w:right="196" w:firstLine="0"/>
        <w:jc w:val="left"/>
        <w:rPr>
          <w:sz w:val="16"/>
        </w:rPr>
      </w:pPr>
      <w:r>
        <w:rPr/>
        <w:br w:type="column"/>
      </w:r>
      <w:r>
        <w:rPr>
          <w:sz w:val="16"/>
        </w:rPr>
        <w:t>La clase de suelos más frecuente</w:t>
      </w:r>
    </w:p>
    <w:p>
      <w:pPr>
        <w:spacing w:line="261" w:lineRule="auto" w:before="16"/>
        <w:ind w:left="114" w:right="529" w:firstLine="0"/>
        <w:jc w:val="left"/>
        <w:rPr>
          <w:sz w:val="16"/>
        </w:rPr>
      </w:pPr>
      <w:r>
        <w:rPr>
          <w:sz w:val="16"/>
        </w:rPr>
        <w:t>que se encuentran en esta zona son: andosol, vertisol, luvisol, feozem.</w:t>
      </w:r>
    </w:p>
    <w:p>
      <w:pPr>
        <w:spacing w:after="0" w:line="261" w:lineRule="auto"/>
        <w:jc w:val="left"/>
        <w:rPr>
          <w:sz w:val="16"/>
        </w:rPr>
        <w:sectPr>
          <w:type w:val="continuous"/>
          <w:pgSz w:w="18830" w:h="12760" w:orient="landscape"/>
          <w:pgMar w:top="1420" w:bottom="280" w:left="720" w:right="720"/>
          <w:cols w:num="3" w:equalWidth="0">
            <w:col w:w="11683" w:space="313"/>
            <w:col w:w="2160" w:space="284"/>
            <w:col w:w="2950"/>
          </w:cols>
        </w:sectPr>
      </w:pPr>
    </w:p>
    <w:p>
      <w:pPr>
        <w:pStyle w:val="BodyText"/>
      </w:pPr>
    </w:p>
    <w:p>
      <w:pPr>
        <w:spacing w:after="0"/>
        <w:sectPr>
          <w:type w:val="continuous"/>
          <w:pgSz w:w="18830" w:h="12760" w:orient="landscape"/>
          <w:pgMar w:top="1420" w:bottom="280" w:left="720" w:right="720"/>
        </w:sectPr>
      </w:pPr>
    </w:p>
    <w:p>
      <w:pPr>
        <w:pStyle w:val="BodyText"/>
        <w:rPr>
          <w:sz w:val="16"/>
        </w:rPr>
      </w:pPr>
    </w:p>
    <w:p>
      <w:pPr>
        <w:pStyle w:val="BodyText"/>
        <w:rPr>
          <w:sz w:val="16"/>
        </w:rPr>
      </w:pPr>
    </w:p>
    <w:p>
      <w:pPr>
        <w:spacing w:before="102"/>
        <w:ind w:left="2760" w:right="2646" w:firstLine="0"/>
        <w:jc w:val="center"/>
        <w:rPr>
          <w:sz w:val="16"/>
        </w:rPr>
      </w:pPr>
      <w:r>
        <w:rPr>
          <w:color w:val="6D6E71"/>
          <w:sz w:val="16"/>
        </w:rPr>
        <w:t>Fuente. Elaboración propia, 2014.</w:t>
      </w:r>
    </w:p>
    <w:p>
      <w:pPr>
        <w:pStyle w:val="BodyText"/>
        <w:spacing w:before="1"/>
        <w:rPr>
          <w:sz w:val="15"/>
        </w:rPr>
      </w:pPr>
      <w:r>
        <w:rPr/>
        <w:br w:type="column"/>
      </w:r>
      <w:r>
        <w:rPr>
          <w:sz w:val="15"/>
        </w:rPr>
      </w:r>
    </w:p>
    <w:p>
      <w:pPr>
        <w:spacing w:line="240" w:lineRule="atLeast" w:before="0"/>
        <w:ind w:left="1486" w:right="0" w:hanging="1373"/>
        <w:jc w:val="left"/>
        <w:rPr>
          <w:sz w:val="16"/>
        </w:rPr>
      </w:pPr>
      <w:r>
        <w:rPr>
          <w:color w:val="6D6E71"/>
          <w:sz w:val="16"/>
        </w:rPr>
        <w:t>Fuente: </w:t>
      </w:r>
      <w:hyperlink r:id="rId256">
        <w:r>
          <w:rPr>
            <w:color w:val="6D6E71"/>
            <w:sz w:val="16"/>
          </w:rPr>
          <w:t>http://www.malinalco.gob.mx;</w:t>
        </w:r>
      </w:hyperlink>
      <w:r>
        <w:rPr>
          <w:color w:val="6D6E71"/>
          <w:sz w:val="16"/>
        </w:rPr>
        <w:t> </w:t>
      </w:r>
      <w:hyperlink r:id="rId257">
        <w:r>
          <w:rPr>
            <w:color w:val="6D6E71"/>
            <w:sz w:val="16"/>
          </w:rPr>
          <w:t>http://www.tenancingo.gob.mx;</w:t>
        </w:r>
      </w:hyperlink>
      <w:r>
        <w:rPr>
          <w:color w:val="6D6E71"/>
          <w:sz w:val="16"/>
        </w:rPr>
        <w:t> </w:t>
      </w:r>
      <w:hyperlink r:id="rId258">
        <w:r>
          <w:rPr>
            <w:color w:val="6D6E71"/>
            <w:sz w:val="16"/>
          </w:rPr>
          <w:t>http://www.villaguerrero.gob.mx</w:t>
        </w:r>
      </w:hyperlink>
    </w:p>
    <w:p>
      <w:pPr>
        <w:spacing w:after="0" w:line="240" w:lineRule="atLeast"/>
        <w:jc w:val="left"/>
        <w:rPr>
          <w:sz w:val="16"/>
        </w:rPr>
        <w:sectPr>
          <w:type w:val="continuous"/>
          <w:pgSz w:w="18830" w:h="12760" w:orient="landscape"/>
          <w:pgMar w:top="1420" w:bottom="280" w:left="720" w:right="720"/>
          <w:cols w:num="2" w:equalWidth="0">
            <w:col w:w="7857" w:space="2887"/>
            <w:col w:w="6646"/>
          </w:cols>
        </w:sectPr>
      </w:pPr>
    </w:p>
    <w:p>
      <w:pPr>
        <w:pStyle w:val="BodyText"/>
        <w:spacing w:before="6"/>
        <w:rPr>
          <w:sz w:val="23"/>
        </w:rPr>
      </w:pPr>
    </w:p>
    <w:p>
      <w:pPr>
        <w:spacing w:after="0"/>
        <w:rPr>
          <w:sz w:val="23"/>
        </w:rPr>
        <w:sectPr>
          <w:headerReference w:type="default" r:id="rId259"/>
          <w:footerReference w:type="default" r:id="rId260"/>
          <w:pgSz w:w="18830" w:h="12760" w:orient="landscape"/>
          <w:pgMar w:header="522" w:footer="1036" w:top="820" w:bottom="1220" w:left="720" w:right="720"/>
        </w:sectPr>
      </w:pPr>
    </w:p>
    <w:p>
      <w:pPr>
        <w:pStyle w:val="BodyText"/>
        <w:spacing w:line="249" w:lineRule="auto" w:before="76"/>
        <w:ind w:left="130" w:right="-7" w:firstLine="170"/>
      </w:pPr>
      <w:r>
        <w:rPr/>
        <w:t>A continuación se hace la descripción de las características socioeconómicas de las cabeceras municipales estudiadas (Cuadro 3).</w:t>
      </w:r>
    </w:p>
    <w:p>
      <w:pPr>
        <w:pStyle w:val="BodyText"/>
        <w:spacing w:before="2"/>
        <w:rPr>
          <w:sz w:val="24"/>
        </w:rPr>
      </w:pPr>
    </w:p>
    <w:p>
      <w:pPr>
        <w:spacing w:line="312" w:lineRule="auto" w:before="0"/>
        <w:ind w:left="2515" w:right="1299" w:hanging="1040"/>
        <w:jc w:val="left"/>
        <w:rPr>
          <w:sz w:val="16"/>
        </w:rPr>
      </w:pPr>
      <w:r>
        <w:rPr>
          <w:color w:val="6D6E71"/>
          <w:sz w:val="16"/>
        </w:rPr>
        <w:t>Cuadro 3. Características geográficas socioeconómicas por localidad de las cabeceras municipales estudiadas</w:t>
      </w:r>
    </w:p>
    <w:p>
      <w:pPr>
        <w:pStyle w:val="BodyText"/>
        <w:spacing w:line="249" w:lineRule="auto" w:before="76"/>
        <w:ind w:left="130" w:right="140" w:firstLine="170"/>
        <w:jc w:val="both"/>
      </w:pPr>
      <w:r>
        <w:rPr/>
        <w:br w:type="column"/>
      </w:r>
      <w:r>
        <w:rPr/>
        <w:t>El</w:t>
      </w:r>
      <w:r>
        <w:rPr>
          <w:spacing w:val="-4"/>
        </w:rPr>
        <w:t> </w:t>
      </w:r>
      <w:r>
        <w:rPr/>
        <w:t>área</w:t>
      </w:r>
      <w:r>
        <w:rPr>
          <w:spacing w:val="-4"/>
        </w:rPr>
        <w:t> </w:t>
      </w:r>
      <w:r>
        <w:rPr/>
        <w:t>de</w:t>
      </w:r>
      <w:r>
        <w:rPr>
          <w:spacing w:val="-4"/>
        </w:rPr>
        <w:t> </w:t>
      </w:r>
      <w:r>
        <w:rPr/>
        <w:t>estudio</w:t>
      </w:r>
      <w:r>
        <w:rPr>
          <w:spacing w:val="-4"/>
        </w:rPr>
        <w:t> </w:t>
      </w:r>
      <w:r>
        <w:rPr/>
        <w:t>está</w:t>
      </w:r>
      <w:r>
        <w:rPr>
          <w:spacing w:val="-4"/>
        </w:rPr>
        <w:t> </w:t>
      </w:r>
      <w:r>
        <w:rPr/>
        <w:t>constituida</w:t>
      </w:r>
      <w:r>
        <w:rPr>
          <w:spacing w:val="-4"/>
        </w:rPr>
        <w:t> </w:t>
      </w:r>
      <w:r>
        <w:rPr/>
        <w:t>por</w:t>
      </w:r>
      <w:r>
        <w:rPr>
          <w:spacing w:val="-4"/>
        </w:rPr>
        <w:t> </w:t>
      </w:r>
      <w:r>
        <w:rPr/>
        <w:t>tres</w:t>
      </w:r>
      <w:r>
        <w:rPr>
          <w:spacing w:val="-4"/>
        </w:rPr>
        <w:t> </w:t>
      </w:r>
      <w:r>
        <w:rPr/>
        <w:t>localidades</w:t>
      </w:r>
      <w:r>
        <w:rPr>
          <w:spacing w:val="-4"/>
        </w:rPr>
        <w:t> </w:t>
      </w:r>
      <w:r>
        <w:rPr/>
        <w:t>rurales</w:t>
      </w:r>
      <w:r>
        <w:rPr>
          <w:spacing w:val="-4"/>
        </w:rPr>
        <w:t> </w:t>
      </w:r>
      <w:r>
        <w:rPr/>
        <w:t>y</w:t>
      </w:r>
      <w:r>
        <w:rPr>
          <w:spacing w:val="-4"/>
        </w:rPr>
        <w:t> </w:t>
      </w:r>
      <w:r>
        <w:rPr/>
        <w:t>una</w:t>
      </w:r>
      <w:r>
        <w:rPr>
          <w:spacing w:val="-4"/>
        </w:rPr>
        <w:t> </w:t>
      </w:r>
      <w:r>
        <w:rPr/>
        <w:t>localidad</w:t>
      </w:r>
      <w:r>
        <w:rPr>
          <w:spacing w:val="-4"/>
        </w:rPr>
        <w:t> </w:t>
      </w:r>
      <w:r>
        <w:rPr/>
        <w:t>urbana de</w:t>
      </w:r>
      <w:r>
        <w:rPr>
          <w:spacing w:val="-13"/>
        </w:rPr>
        <w:t> </w:t>
      </w:r>
      <w:r>
        <w:rPr/>
        <w:t>cada</w:t>
      </w:r>
      <w:r>
        <w:rPr>
          <w:spacing w:val="-13"/>
        </w:rPr>
        <w:t> </w:t>
      </w:r>
      <w:r>
        <w:rPr/>
        <w:t>municipio.</w:t>
      </w:r>
      <w:r>
        <w:rPr>
          <w:spacing w:val="-13"/>
        </w:rPr>
        <w:t> </w:t>
      </w:r>
      <w:r>
        <w:rPr/>
        <w:t>Los</w:t>
      </w:r>
      <w:r>
        <w:rPr>
          <w:spacing w:val="-13"/>
        </w:rPr>
        <w:t> </w:t>
      </w:r>
      <w:r>
        <w:rPr/>
        <w:t>municipios</w:t>
      </w:r>
      <w:r>
        <w:rPr>
          <w:spacing w:val="-13"/>
        </w:rPr>
        <w:t> </w:t>
      </w:r>
      <w:r>
        <w:rPr/>
        <w:t>a</w:t>
      </w:r>
      <w:r>
        <w:rPr>
          <w:spacing w:val="-13"/>
        </w:rPr>
        <w:t> </w:t>
      </w:r>
      <w:r>
        <w:rPr/>
        <w:t>estudiar</w:t>
      </w:r>
      <w:r>
        <w:rPr>
          <w:spacing w:val="-13"/>
        </w:rPr>
        <w:t> </w:t>
      </w:r>
      <w:r>
        <w:rPr/>
        <w:t>son</w:t>
      </w:r>
      <w:r>
        <w:rPr>
          <w:spacing w:val="-13"/>
        </w:rPr>
        <w:t> </w:t>
      </w:r>
      <w:r>
        <w:rPr/>
        <w:t>Malinalco,</w:t>
      </w:r>
      <w:r>
        <w:rPr>
          <w:spacing w:val="-13"/>
        </w:rPr>
        <w:t> </w:t>
      </w:r>
      <w:r>
        <w:rPr/>
        <w:t>Tenancingo</w:t>
      </w:r>
      <w:r>
        <w:rPr>
          <w:spacing w:val="-13"/>
        </w:rPr>
        <w:t> </w:t>
      </w:r>
      <w:r>
        <w:rPr/>
        <w:t>y</w:t>
      </w:r>
      <w:r>
        <w:rPr>
          <w:spacing w:val="-13"/>
        </w:rPr>
        <w:t> </w:t>
      </w:r>
      <w:r>
        <w:rPr/>
        <w:t>Villa</w:t>
      </w:r>
      <w:r>
        <w:rPr>
          <w:spacing w:val="-13"/>
        </w:rPr>
        <w:t> </w:t>
      </w:r>
      <w:r>
        <w:rPr/>
        <w:t>Guerrero al sur del Estado de México, México. A continuación se enlistan las comunidades seleccionadas para la investigación (Cuadro 4 y Figura</w:t>
      </w:r>
      <w:r>
        <w:rPr>
          <w:spacing w:val="-10"/>
        </w:rPr>
        <w:t> </w:t>
      </w:r>
      <w:r>
        <w:rPr/>
        <w:t>3).</w:t>
      </w:r>
    </w:p>
    <w:p>
      <w:pPr>
        <w:pStyle w:val="BodyText"/>
        <w:spacing w:before="2"/>
        <w:rPr>
          <w:sz w:val="24"/>
        </w:rPr>
      </w:pPr>
    </w:p>
    <w:p>
      <w:pPr>
        <w:spacing w:before="0"/>
        <w:ind w:left="734" w:right="0" w:firstLine="0"/>
        <w:jc w:val="left"/>
        <w:rPr>
          <w:sz w:val="16"/>
        </w:rPr>
      </w:pPr>
      <w:r>
        <w:rPr/>
        <w:pict>
          <v:line style="position:absolute;mso-position-horizontal-relative:page;mso-position-vertical-relative:paragraph;z-index:-641920" from="880.890991pt,34.938591pt" to="880.890991pt,34.938591pt" stroked="true" strokeweight=".5pt" strokecolor="#929292">
            <w10:wrap type="none"/>
          </v:line>
        </w:pict>
      </w:r>
      <w:r>
        <w:rPr>
          <w:color w:val="6D6E71"/>
          <w:sz w:val="16"/>
        </w:rPr>
        <w:t>Cuadro 4. Localidades para el estudio de Agro ecosistemas con Huertos Familiares (AEHF)</w:t>
      </w:r>
    </w:p>
    <w:p>
      <w:pPr>
        <w:spacing w:after="0"/>
        <w:jc w:val="left"/>
        <w:rPr>
          <w:sz w:val="16"/>
        </w:rPr>
        <w:sectPr>
          <w:type w:val="continuous"/>
          <w:pgSz w:w="18830" w:h="12760" w:orient="landscape"/>
          <w:pgMar w:top="1420" w:bottom="280" w:left="720" w:right="720"/>
          <w:cols w:num="2" w:equalWidth="0">
            <w:col w:w="7842" w:space="1557"/>
            <w:col w:w="7991"/>
          </w:cols>
        </w:sectPr>
      </w:pPr>
    </w:p>
    <w:p>
      <w:pPr>
        <w:pStyle w:val="BodyText"/>
        <w:spacing w:before="7"/>
        <w:rPr>
          <w:sz w:val="10"/>
        </w:rPr>
      </w:pPr>
    </w:p>
    <w:tbl>
      <w:tblPr>
        <w:tblW w:w="0" w:type="auto"/>
        <w:jc w:val="left"/>
        <w:tblInd w:w="9864"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1384"/>
        <w:gridCol w:w="3397"/>
        <w:gridCol w:w="1128"/>
        <w:gridCol w:w="1129"/>
      </w:tblGrid>
      <w:tr>
        <w:trPr>
          <w:trHeight w:val="392" w:hRule="exact"/>
        </w:trPr>
        <w:tc>
          <w:tcPr>
            <w:tcW w:w="1384" w:type="dxa"/>
            <w:tcBorders>
              <w:top w:val="nil"/>
              <w:left w:val="nil"/>
              <w:bottom w:val="dotted" w:sz="4" w:space="0" w:color="929292"/>
            </w:tcBorders>
          </w:tcPr>
          <w:p>
            <w:pPr>
              <w:pStyle w:val="TableParagraph"/>
              <w:spacing w:before="91"/>
              <w:ind w:left="107"/>
              <w:rPr>
                <w:sz w:val="16"/>
              </w:rPr>
            </w:pPr>
            <w:r>
              <w:rPr>
                <w:w w:val="105"/>
                <w:sz w:val="16"/>
              </w:rPr>
              <w:t>Municipio</w:t>
            </w:r>
          </w:p>
        </w:tc>
        <w:tc>
          <w:tcPr>
            <w:tcW w:w="3397" w:type="dxa"/>
            <w:tcBorders>
              <w:top w:val="nil"/>
              <w:bottom w:val="dotted" w:sz="4" w:space="0" w:color="929292"/>
            </w:tcBorders>
          </w:tcPr>
          <w:p>
            <w:pPr>
              <w:pStyle w:val="TableParagraph"/>
              <w:spacing w:before="91"/>
              <w:ind w:left="102"/>
              <w:rPr>
                <w:sz w:val="16"/>
              </w:rPr>
            </w:pPr>
            <w:r>
              <w:rPr>
                <w:sz w:val="16"/>
              </w:rPr>
              <w:t>Comunidad</w:t>
            </w:r>
          </w:p>
        </w:tc>
        <w:tc>
          <w:tcPr>
            <w:tcW w:w="1128" w:type="dxa"/>
            <w:tcBorders>
              <w:top w:val="nil"/>
              <w:bottom w:val="dotted" w:sz="4" w:space="0" w:color="929292"/>
            </w:tcBorders>
          </w:tcPr>
          <w:p>
            <w:pPr>
              <w:pStyle w:val="TableParagraph"/>
              <w:spacing w:before="91"/>
              <w:ind w:left="102"/>
              <w:rPr>
                <w:sz w:val="16"/>
              </w:rPr>
            </w:pPr>
            <w:r>
              <w:rPr>
                <w:sz w:val="16"/>
              </w:rPr>
              <w:t>Población</w:t>
            </w:r>
          </w:p>
        </w:tc>
        <w:tc>
          <w:tcPr>
            <w:tcW w:w="1129" w:type="dxa"/>
            <w:tcBorders>
              <w:top w:val="nil"/>
              <w:bottom w:val="dotted" w:sz="4" w:space="0" w:color="929292"/>
              <w:right w:val="nil"/>
            </w:tcBorders>
          </w:tcPr>
          <w:p>
            <w:pPr>
              <w:pStyle w:val="TableParagraph"/>
              <w:spacing w:line="261" w:lineRule="auto"/>
              <w:ind w:left="102" w:right="487"/>
              <w:rPr>
                <w:sz w:val="16"/>
              </w:rPr>
            </w:pPr>
            <w:r>
              <w:rPr>
                <w:sz w:val="16"/>
              </w:rPr>
              <w:t>Altitud </w:t>
            </w:r>
            <w:r>
              <w:rPr>
                <w:w w:val="95"/>
                <w:sz w:val="16"/>
              </w:rPr>
              <w:t>(msnm)</w:t>
            </w:r>
          </w:p>
        </w:tc>
      </w:tr>
      <w:tr>
        <w:trPr>
          <w:trHeight w:val="133" w:hRule="exact"/>
        </w:trPr>
        <w:tc>
          <w:tcPr>
            <w:tcW w:w="1384" w:type="dxa"/>
            <w:vMerge w:val="restart"/>
            <w:tcBorders>
              <w:top w:val="dotted" w:sz="4" w:space="0" w:color="929292"/>
              <w:left w:val="nil"/>
            </w:tcBorders>
            <w:shd w:val="clear" w:color="auto" w:fill="E2E2E2"/>
          </w:tcPr>
          <w:p>
            <w:pPr>
              <w:pStyle w:val="TableParagraph"/>
              <w:spacing w:line="20" w:lineRule="exact"/>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spacing w:before="4"/>
              <w:rPr>
                <w:sz w:val="17"/>
              </w:rPr>
            </w:pPr>
          </w:p>
          <w:p>
            <w:pPr>
              <w:pStyle w:val="TableParagraph"/>
              <w:ind w:left="108"/>
              <w:rPr>
                <w:sz w:val="16"/>
              </w:rPr>
            </w:pPr>
            <w:r>
              <w:rPr>
                <w:sz w:val="16"/>
              </w:rPr>
              <w:t>Malinalco</w:t>
            </w:r>
          </w:p>
          <w:p>
            <w:pPr>
              <w:pStyle w:val="TableParagraph"/>
              <w:tabs>
                <w:tab w:pos="1368" w:val="left" w:leader="none"/>
              </w:tabs>
              <w:spacing w:before="41"/>
              <w:ind w:left="34"/>
              <w:rPr>
                <w:sz w:val="16"/>
              </w:rPr>
            </w:pPr>
            <w:r>
              <w:rPr>
                <w:w w:val="100"/>
                <w:sz w:val="16"/>
                <w:u w:val="dotted" w:color="929292"/>
              </w:rPr>
              <w:t> </w:t>
            </w:r>
            <w:r>
              <w:rPr>
                <w:sz w:val="16"/>
                <w:u w:val="dotted" w:color="929292"/>
              </w:rPr>
              <w:tab/>
            </w:r>
          </w:p>
        </w:tc>
        <w:tc>
          <w:tcPr>
            <w:tcW w:w="3397" w:type="dxa"/>
            <w:tcBorders>
              <w:top w:val="dotted" w:sz="4" w:space="0" w:color="929292"/>
              <w:bottom w:val="single" w:sz="4" w:space="0" w:color="FFFFFF"/>
            </w:tcBorders>
            <w:shd w:val="clear" w:color="auto" w:fill="E2E2E2"/>
          </w:tcPr>
          <w:p>
            <w:pPr>
              <w:pStyle w:val="TableParagraph"/>
              <w:tabs>
                <w:tab w:pos="3376" w:val="left" w:leader="none"/>
              </w:tabs>
              <w:spacing w:line="153" w:lineRule="exact"/>
              <w:ind w:left="25"/>
              <w:rPr>
                <w:sz w:val="16"/>
              </w:rPr>
            </w:pPr>
            <w:r>
              <w:rPr>
                <w:w w:val="100"/>
                <w:sz w:val="16"/>
                <w:u w:val="dotted" w:color="929292"/>
              </w:rPr>
              <w:t> </w:t>
            </w:r>
            <w:r>
              <w:rPr>
                <w:spacing w:val="-11"/>
                <w:sz w:val="16"/>
                <w:u w:val="dotted" w:color="929292"/>
              </w:rPr>
              <w:t> </w:t>
            </w:r>
            <w:r>
              <w:rPr>
                <w:sz w:val="16"/>
                <w:u w:val="dotted" w:color="929292"/>
              </w:rPr>
              <w:t>Cabecera Municipal de</w:t>
            </w:r>
            <w:r>
              <w:rPr>
                <w:spacing w:val="25"/>
                <w:sz w:val="16"/>
                <w:u w:val="dotted" w:color="929292"/>
              </w:rPr>
              <w:t> </w:t>
            </w:r>
            <w:r>
              <w:rPr>
                <w:sz w:val="16"/>
                <w:u w:val="dotted" w:color="929292"/>
              </w:rPr>
              <w:t>Malinalco</w:t>
              <w:tab/>
            </w:r>
          </w:p>
        </w:tc>
        <w:tc>
          <w:tcPr>
            <w:tcW w:w="1128" w:type="dxa"/>
            <w:tcBorders>
              <w:top w:val="dotted" w:sz="4" w:space="0" w:color="929292"/>
              <w:bottom w:val="single" w:sz="4" w:space="0" w:color="FFFFFF"/>
            </w:tcBorders>
            <w:shd w:val="clear" w:color="auto" w:fill="E2E2E2"/>
          </w:tcPr>
          <w:p>
            <w:pPr>
              <w:pStyle w:val="TableParagraph"/>
              <w:tabs>
                <w:tab w:pos="1108" w:val="left" w:leader="none"/>
              </w:tabs>
              <w:spacing w:line="153" w:lineRule="exact"/>
              <w:ind w:left="24"/>
              <w:rPr>
                <w:sz w:val="16"/>
              </w:rPr>
            </w:pPr>
            <w:r>
              <w:rPr>
                <w:w w:val="100"/>
                <w:sz w:val="16"/>
                <w:u w:val="dotted" w:color="929292"/>
              </w:rPr>
              <w:t> </w:t>
            </w:r>
            <w:r>
              <w:rPr>
                <w:spacing w:val="-11"/>
                <w:sz w:val="16"/>
                <w:u w:val="dotted" w:color="929292"/>
              </w:rPr>
              <w:t> </w:t>
            </w:r>
            <w:r>
              <w:rPr>
                <w:sz w:val="16"/>
                <w:u w:val="dotted" w:color="929292"/>
              </w:rPr>
              <w:t>8,045</w:t>
              <w:tab/>
            </w:r>
          </w:p>
        </w:tc>
        <w:tc>
          <w:tcPr>
            <w:tcW w:w="1129" w:type="dxa"/>
            <w:tcBorders>
              <w:top w:val="dotted" w:sz="4" w:space="0" w:color="929292"/>
              <w:bottom w:val="single" w:sz="4" w:space="0" w:color="FFFFFF"/>
              <w:right w:val="nil"/>
            </w:tcBorders>
            <w:shd w:val="clear" w:color="auto" w:fill="E2E2E2"/>
          </w:tcPr>
          <w:p>
            <w:pPr>
              <w:pStyle w:val="TableParagraph"/>
              <w:tabs>
                <w:tab w:pos="1103" w:val="left" w:leader="none"/>
              </w:tabs>
              <w:spacing w:line="153" w:lineRule="exact"/>
              <w:ind w:left="25"/>
              <w:rPr>
                <w:sz w:val="16"/>
              </w:rPr>
            </w:pPr>
            <w:r>
              <w:rPr>
                <w:w w:val="100"/>
                <w:sz w:val="16"/>
                <w:u w:val="dotted" w:color="929292"/>
              </w:rPr>
              <w:t> </w:t>
            </w:r>
            <w:r>
              <w:rPr>
                <w:spacing w:val="-12"/>
                <w:sz w:val="16"/>
                <w:u w:val="dotted" w:color="929292"/>
              </w:rPr>
              <w:t> </w:t>
            </w:r>
            <w:r>
              <w:rPr>
                <w:sz w:val="16"/>
                <w:u w:val="dotted" w:color="929292"/>
              </w:rPr>
              <w:t>1747</w:t>
              <w:tab/>
            </w:r>
          </w:p>
        </w:tc>
      </w:tr>
      <w:tr>
        <w:trPr>
          <w:trHeight w:val="193" w:hRule="exact"/>
        </w:trPr>
        <w:tc>
          <w:tcPr>
            <w:tcW w:w="1384" w:type="dxa"/>
            <w:vMerge/>
            <w:tcBorders>
              <w:left w:val="nil"/>
            </w:tcBorders>
            <w:shd w:val="clear" w:color="auto" w:fill="E2E2E2"/>
          </w:tcPr>
          <w:p>
            <w:pPr/>
          </w:p>
        </w:tc>
        <w:tc>
          <w:tcPr>
            <w:tcW w:w="3397" w:type="dxa"/>
            <w:tcBorders>
              <w:top w:val="single" w:sz="4" w:space="0" w:color="FFFFFF"/>
              <w:bottom w:val="single" w:sz="4" w:space="0" w:color="FFFFFF"/>
            </w:tcBorders>
            <w:shd w:val="clear" w:color="auto" w:fill="E2E2E2"/>
          </w:tcPr>
          <w:p>
            <w:pPr>
              <w:pStyle w:val="TableParagraph"/>
              <w:tabs>
                <w:tab w:pos="3376" w:val="left" w:leader="none"/>
              </w:tabs>
              <w:spacing w:line="183" w:lineRule="exact"/>
              <w:ind w:left="25"/>
              <w:rPr>
                <w:sz w:val="16"/>
              </w:rPr>
            </w:pPr>
            <w:r>
              <w:rPr>
                <w:w w:val="100"/>
                <w:sz w:val="16"/>
                <w:u w:val="dotted" w:color="929292"/>
              </w:rPr>
              <w:t> </w:t>
            </w:r>
            <w:r>
              <w:rPr>
                <w:spacing w:val="-11"/>
                <w:sz w:val="16"/>
                <w:u w:val="dotted" w:color="929292"/>
              </w:rPr>
              <w:t> </w:t>
            </w:r>
            <w:r>
              <w:rPr>
                <w:sz w:val="16"/>
                <w:u w:val="dotted" w:color="929292"/>
              </w:rPr>
              <w:t>San</w:t>
            </w:r>
            <w:r>
              <w:rPr>
                <w:spacing w:val="-1"/>
                <w:sz w:val="16"/>
                <w:u w:val="dotted" w:color="929292"/>
              </w:rPr>
              <w:t> </w:t>
            </w:r>
            <w:r>
              <w:rPr>
                <w:sz w:val="16"/>
                <w:u w:val="dotted" w:color="929292"/>
              </w:rPr>
              <w:t>Nicolás</w:t>
              <w:tab/>
            </w:r>
          </w:p>
        </w:tc>
        <w:tc>
          <w:tcPr>
            <w:tcW w:w="1128" w:type="dxa"/>
            <w:tcBorders>
              <w:top w:val="single" w:sz="4" w:space="0" w:color="FFFFFF"/>
              <w:bottom w:val="single" w:sz="4" w:space="0" w:color="FFFFFF"/>
            </w:tcBorders>
            <w:shd w:val="clear" w:color="auto" w:fill="E2E2E2"/>
          </w:tcPr>
          <w:p>
            <w:pPr>
              <w:pStyle w:val="TableParagraph"/>
              <w:tabs>
                <w:tab w:pos="1108" w:val="left" w:leader="none"/>
              </w:tabs>
              <w:spacing w:line="183" w:lineRule="exact"/>
              <w:ind w:left="24"/>
              <w:rPr>
                <w:sz w:val="16"/>
              </w:rPr>
            </w:pPr>
            <w:r>
              <w:rPr>
                <w:w w:val="100"/>
                <w:sz w:val="16"/>
                <w:u w:val="dotted" w:color="929292"/>
              </w:rPr>
              <w:t> </w:t>
            </w:r>
            <w:r>
              <w:rPr>
                <w:spacing w:val="-11"/>
                <w:sz w:val="16"/>
                <w:u w:val="dotted" w:color="929292"/>
              </w:rPr>
              <w:t> </w:t>
            </w:r>
            <w:r>
              <w:rPr>
                <w:sz w:val="16"/>
                <w:u w:val="dotted" w:color="929292"/>
              </w:rPr>
              <w:t>882</w:t>
              <w:tab/>
            </w:r>
          </w:p>
        </w:tc>
        <w:tc>
          <w:tcPr>
            <w:tcW w:w="1129" w:type="dxa"/>
            <w:tcBorders>
              <w:top w:val="single" w:sz="4" w:space="0" w:color="FFFFFF"/>
              <w:bottom w:val="single" w:sz="4" w:space="0" w:color="FFFFFF"/>
              <w:right w:val="nil"/>
            </w:tcBorders>
            <w:shd w:val="clear" w:color="auto" w:fill="E2E2E2"/>
          </w:tcPr>
          <w:p>
            <w:pPr>
              <w:pStyle w:val="TableParagraph"/>
              <w:tabs>
                <w:tab w:pos="1103" w:val="left" w:leader="none"/>
              </w:tabs>
              <w:spacing w:line="183" w:lineRule="exact"/>
              <w:ind w:left="25"/>
              <w:rPr>
                <w:sz w:val="16"/>
              </w:rPr>
            </w:pPr>
            <w:r>
              <w:rPr>
                <w:w w:val="100"/>
                <w:sz w:val="16"/>
                <w:u w:val="dotted" w:color="929292"/>
              </w:rPr>
              <w:t> </w:t>
            </w:r>
            <w:r>
              <w:rPr>
                <w:spacing w:val="-12"/>
                <w:sz w:val="16"/>
                <w:u w:val="dotted" w:color="929292"/>
              </w:rPr>
              <w:t> </w:t>
            </w:r>
            <w:r>
              <w:rPr>
                <w:sz w:val="16"/>
                <w:u w:val="dotted" w:color="929292"/>
              </w:rPr>
              <w:t>1964</w:t>
              <w:tab/>
            </w:r>
          </w:p>
        </w:tc>
      </w:tr>
      <w:tr>
        <w:trPr>
          <w:trHeight w:val="125" w:hRule="exact"/>
        </w:trPr>
        <w:tc>
          <w:tcPr>
            <w:tcW w:w="1384" w:type="dxa"/>
            <w:vMerge/>
            <w:tcBorders>
              <w:left w:val="nil"/>
            </w:tcBorders>
            <w:shd w:val="clear" w:color="auto" w:fill="E2E2E2"/>
          </w:tcPr>
          <w:p>
            <w:pPr/>
          </w:p>
        </w:tc>
        <w:tc>
          <w:tcPr>
            <w:tcW w:w="3397" w:type="dxa"/>
            <w:tcBorders>
              <w:top w:val="single" w:sz="4" w:space="0" w:color="FFFFFF"/>
              <w:bottom w:val="single" w:sz="4" w:space="0" w:color="FFFFFF"/>
            </w:tcBorders>
            <w:shd w:val="clear" w:color="auto" w:fill="E2E2E2"/>
          </w:tcPr>
          <w:p>
            <w:pPr>
              <w:pStyle w:val="TableParagraph"/>
              <w:tabs>
                <w:tab w:pos="3376" w:val="left" w:leader="none"/>
              </w:tabs>
              <w:spacing w:line="149" w:lineRule="exact"/>
              <w:ind w:left="25"/>
              <w:rPr>
                <w:sz w:val="16"/>
              </w:rPr>
            </w:pPr>
            <w:r>
              <w:rPr>
                <w:w w:val="100"/>
                <w:sz w:val="16"/>
                <w:u w:val="dotted" w:color="929292"/>
              </w:rPr>
              <w:t> </w:t>
            </w:r>
            <w:r>
              <w:rPr>
                <w:spacing w:val="-11"/>
                <w:sz w:val="16"/>
                <w:u w:val="dotted" w:color="929292"/>
              </w:rPr>
              <w:t> </w:t>
            </w:r>
            <w:r>
              <w:rPr>
                <w:sz w:val="16"/>
                <w:u w:val="dotted" w:color="929292"/>
              </w:rPr>
              <w:t>El</w:t>
            </w:r>
            <w:r>
              <w:rPr>
                <w:spacing w:val="-16"/>
                <w:sz w:val="16"/>
                <w:u w:val="dotted" w:color="929292"/>
              </w:rPr>
              <w:t> </w:t>
            </w:r>
            <w:r>
              <w:rPr>
                <w:sz w:val="16"/>
                <w:u w:val="dotted" w:color="929292"/>
              </w:rPr>
              <w:t>Platanar</w:t>
              <w:tab/>
            </w:r>
          </w:p>
        </w:tc>
        <w:tc>
          <w:tcPr>
            <w:tcW w:w="1128" w:type="dxa"/>
            <w:tcBorders>
              <w:top w:val="single" w:sz="4" w:space="0" w:color="FFFFFF"/>
              <w:bottom w:val="single" w:sz="4" w:space="0" w:color="FFFFFF"/>
            </w:tcBorders>
            <w:shd w:val="clear" w:color="auto" w:fill="E2E2E2"/>
          </w:tcPr>
          <w:p>
            <w:pPr>
              <w:pStyle w:val="TableParagraph"/>
              <w:tabs>
                <w:tab w:pos="1108" w:val="left" w:leader="none"/>
              </w:tabs>
              <w:spacing w:line="149" w:lineRule="exact"/>
              <w:ind w:left="24"/>
              <w:rPr>
                <w:sz w:val="16"/>
              </w:rPr>
            </w:pPr>
            <w:r>
              <w:rPr>
                <w:w w:val="100"/>
                <w:sz w:val="16"/>
                <w:u w:val="dotted" w:color="929292"/>
              </w:rPr>
              <w:t> </w:t>
            </w:r>
            <w:r>
              <w:rPr>
                <w:spacing w:val="-11"/>
                <w:sz w:val="16"/>
                <w:u w:val="dotted" w:color="929292"/>
              </w:rPr>
              <w:t> </w:t>
            </w:r>
            <w:r>
              <w:rPr>
                <w:sz w:val="16"/>
                <w:u w:val="dotted" w:color="929292"/>
              </w:rPr>
              <w:t>324</w:t>
              <w:tab/>
            </w:r>
          </w:p>
        </w:tc>
        <w:tc>
          <w:tcPr>
            <w:tcW w:w="1129" w:type="dxa"/>
            <w:tcBorders>
              <w:top w:val="single" w:sz="4" w:space="0" w:color="FFFFFF"/>
              <w:bottom w:val="single" w:sz="4" w:space="0" w:color="FFFFFF"/>
              <w:right w:val="nil"/>
            </w:tcBorders>
            <w:shd w:val="clear" w:color="auto" w:fill="E2E2E2"/>
          </w:tcPr>
          <w:p>
            <w:pPr>
              <w:pStyle w:val="TableParagraph"/>
              <w:tabs>
                <w:tab w:pos="1103" w:val="left" w:leader="none"/>
              </w:tabs>
              <w:spacing w:line="149" w:lineRule="exact"/>
              <w:ind w:left="25"/>
              <w:rPr>
                <w:sz w:val="16"/>
              </w:rPr>
            </w:pPr>
            <w:r>
              <w:rPr>
                <w:w w:val="100"/>
                <w:sz w:val="16"/>
                <w:u w:val="dotted" w:color="929292"/>
              </w:rPr>
              <w:t> </w:t>
            </w:r>
            <w:r>
              <w:rPr>
                <w:spacing w:val="-12"/>
                <w:sz w:val="16"/>
                <w:u w:val="dotted" w:color="929292"/>
              </w:rPr>
              <w:t> </w:t>
            </w:r>
            <w:r>
              <w:rPr>
                <w:sz w:val="16"/>
                <w:u w:val="dotted" w:color="929292"/>
              </w:rPr>
              <w:t>1306</w:t>
              <w:tab/>
            </w:r>
          </w:p>
        </w:tc>
      </w:tr>
      <w:tr>
        <w:trPr>
          <w:trHeight w:val="185" w:hRule="exact"/>
        </w:trPr>
        <w:tc>
          <w:tcPr>
            <w:tcW w:w="1384" w:type="dxa"/>
            <w:vMerge/>
            <w:tcBorders>
              <w:left w:val="nil"/>
              <w:bottom w:val="single" w:sz="4" w:space="0" w:color="FFFFFF"/>
            </w:tcBorders>
            <w:shd w:val="clear" w:color="auto" w:fill="E2E2E2"/>
          </w:tcPr>
          <w:p>
            <w:pPr/>
          </w:p>
        </w:tc>
        <w:tc>
          <w:tcPr>
            <w:tcW w:w="3397" w:type="dxa"/>
            <w:tcBorders>
              <w:top w:val="single" w:sz="4" w:space="0" w:color="FFFFFF"/>
              <w:bottom w:val="single" w:sz="4" w:space="0" w:color="FFFFFF"/>
            </w:tcBorders>
            <w:shd w:val="clear" w:color="auto" w:fill="E2E2E2"/>
          </w:tcPr>
          <w:p>
            <w:pPr>
              <w:pStyle w:val="TableParagraph"/>
              <w:tabs>
                <w:tab w:pos="3376" w:val="left" w:leader="none"/>
              </w:tabs>
              <w:spacing w:line="179" w:lineRule="exact"/>
              <w:ind w:left="25"/>
              <w:rPr>
                <w:sz w:val="16"/>
              </w:rPr>
            </w:pPr>
            <w:r>
              <w:rPr>
                <w:w w:val="100"/>
                <w:sz w:val="16"/>
                <w:u w:val="dotted" w:color="929292"/>
              </w:rPr>
              <w:t> </w:t>
            </w:r>
            <w:r>
              <w:rPr>
                <w:spacing w:val="-11"/>
                <w:sz w:val="16"/>
                <w:u w:val="dotted" w:color="929292"/>
              </w:rPr>
              <w:t> </w:t>
            </w:r>
            <w:r>
              <w:rPr>
                <w:sz w:val="16"/>
                <w:u w:val="dotted" w:color="929292"/>
              </w:rPr>
              <w:t>Colonia</w:t>
            </w:r>
            <w:r>
              <w:rPr>
                <w:spacing w:val="-4"/>
                <w:sz w:val="16"/>
                <w:u w:val="dotted" w:color="929292"/>
              </w:rPr>
              <w:t> </w:t>
            </w:r>
            <w:r>
              <w:rPr>
                <w:sz w:val="16"/>
                <w:u w:val="dotted" w:color="929292"/>
              </w:rPr>
              <w:t>Juárez</w:t>
              <w:tab/>
            </w:r>
          </w:p>
        </w:tc>
        <w:tc>
          <w:tcPr>
            <w:tcW w:w="1128" w:type="dxa"/>
            <w:tcBorders>
              <w:top w:val="single" w:sz="4" w:space="0" w:color="FFFFFF"/>
              <w:bottom w:val="single" w:sz="4" w:space="0" w:color="FFFFFF"/>
            </w:tcBorders>
            <w:shd w:val="clear" w:color="auto" w:fill="E2E2E2"/>
          </w:tcPr>
          <w:p>
            <w:pPr>
              <w:pStyle w:val="TableParagraph"/>
              <w:tabs>
                <w:tab w:pos="1108" w:val="left" w:leader="none"/>
              </w:tabs>
              <w:spacing w:line="179" w:lineRule="exact"/>
              <w:ind w:left="24"/>
              <w:rPr>
                <w:sz w:val="16"/>
              </w:rPr>
            </w:pPr>
            <w:r>
              <w:rPr>
                <w:w w:val="100"/>
                <w:sz w:val="16"/>
                <w:u w:val="dotted" w:color="929292"/>
              </w:rPr>
              <w:t> </w:t>
            </w:r>
            <w:r>
              <w:rPr>
                <w:spacing w:val="-11"/>
                <w:sz w:val="16"/>
                <w:u w:val="dotted" w:color="929292"/>
              </w:rPr>
              <w:t> </w:t>
            </w:r>
            <w:r>
              <w:rPr>
                <w:sz w:val="16"/>
                <w:u w:val="dotted" w:color="929292"/>
              </w:rPr>
              <w:t>757</w:t>
              <w:tab/>
            </w:r>
          </w:p>
        </w:tc>
        <w:tc>
          <w:tcPr>
            <w:tcW w:w="1129" w:type="dxa"/>
            <w:tcBorders>
              <w:top w:val="single" w:sz="4" w:space="0" w:color="FFFFFF"/>
              <w:bottom w:val="single" w:sz="4" w:space="0" w:color="FFFFFF"/>
              <w:right w:val="nil"/>
            </w:tcBorders>
            <w:shd w:val="clear" w:color="auto" w:fill="E2E2E2"/>
          </w:tcPr>
          <w:p>
            <w:pPr>
              <w:pStyle w:val="TableParagraph"/>
              <w:tabs>
                <w:tab w:pos="1103" w:val="left" w:leader="none"/>
              </w:tabs>
              <w:spacing w:line="179" w:lineRule="exact"/>
              <w:ind w:left="25"/>
              <w:rPr>
                <w:sz w:val="16"/>
              </w:rPr>
            </w:pPr>
            <w:r>
              <w:rPr>
                <w:w w:val="100"/>
                <w:sz w:val="16"/>
                <w:u w:val="dotted" w:color="929292"/>
              </w:rPr>
              <w:t> </w:t>
            </w:r>
            <w:r>
              <w:rPr>
                <w:spacing w:val="-12"/>
                <w:sz w:val="16"/>
                <w:u w:val="dotted" w:color="929292"/>
              </w:rPr>
              <w:t> </w:t>
            </w:r>
            <w:r>
              <w:rPr>
                <w:sz w:val="16"/>
                <w:u w:val="dotted" w:color="929292"/>
              </w:rPr>
              <w:t>1241</w:t>
              <w:tab/>
            </w:r>
          </w:p>
        </w:tc>
      </w:tr>
      <w:tr>
        <w:trPr>
          <w:trHeight w:val="246" w:hRule="exact"/>
        </w:trPr>
        <w:tc>
          <w:tcPr>
            <w:tcW w:w="1384" w:type="dxa"/>
            <w:vMerge w:val="restart"/>
            <w:tcBorders>
              <w:top w:val="single" w:sz="4" w:space="0" w:color="FFFFFF"/>
              <w:left w:val="nil"/>
            </w:tcBorders>
            <w:shd w:val="clear" w:color="auto" w:fill="F5F5F5"/>
          </w:tcPr>
          <w:p>
            <w:pPr>
              <w:pStyle w:val="TableParagraph"/>
              <w:spacing w:line="20" w:lineRule="exact"/>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rPr>
                <w:sz w:val="16"/>
              </w:rPr>
            </w:pPr>
          </w:p>
          <w:p>
            <w:pPr>
              <w:pStyle w:val="TableParagraph"/>
              <w:spacing w:before="128"/>
              <w:ind w:left="108"/>
              <w:rPr>
                <w:sz w:val="16"/>
              </w:rPr>
            </w:pPr>
            <w:r>
              <w:rPr>
                <w:sz w:val="16"/>
              </w:rPr>
              <w:t>Tenancingo</w:t>
            </w:r>
          </w:p>
          <w:p>
            <w:pPr>
              <w:pStyle w:val="TableParagraph"/>
              <w:spacing w:before="4"/>
              <w:rPr>
                <w:sz w:val="13"/>
              </w:rPr>
            </w:pPr>
          </w:p>
          <w:p>
            <w:pPr>
              <w:pStyle w:val="TableParagraph"/>
              <w:tabs>
                <w:tab w:pos="1368" w:val="left" w:leader="none"/>
              </w:tabs>
              <w:ind w:left="34"/>
              <w:rPr>
                <w:sz w:val="16"/>
              </w:rPr>
            </w:pPr>
            <w:r>
              <w:rPr>
                <w:w w:val="100"/>
                <w:sz w:val="16"/>
                <w:u w:val="dotted" w:color="929292"/>
              </w:rPr>
              <w:t> </w:t>
            </w:r>
            <w:r>
              <w:rPr>
                <w:sz w:val="16"/>
                <w:u w:val="dotted" w:color="929292"/>
              </w:rPr>
              <w:tab/>
            </w:r>
          </w:p>
        </w:tc>
        <w:tc>
          <w:tcPr>
            <w:tcW w:w="3397" w:type="dxa"/>
            <w:tcBorders>
              <w:top w:val="single" w:sz="4" w:space="0" w:color="FFFFFF"/>
            </w:tcBorders>
            <w:shd w:val="clear" w:color="auto" w:fill="F5F5F5"/>
          </w:tcPr>
          <w:p>
            <w:pPr>
              <w:pStyle w:val="TableParagraph"/>
              <w:spacing w:before="25"/>
              <w:ind w:left="102"/>
              <w:rPr>
                <w:sz w:val="16"/>
              </w:rPr>
            </w:pPr>
            <w:r>
              <w:rPr>
                <w:sz w:val="16"/>
              </w:rPr>
              <w:t>Cabecera Municipal de Tenancingo</w:t>
            </w:r>
          </w:p>
        </w:tc>
        <w:tc>
          <w:tcPr>
            <w:tcW w:w="1128" w:type="dxa"/>
            <w:tcBorders>
              <w:top w:val="single" w:sz="4" w:space="0" w:color="FFFFFF"/>
            </w:tcBorders>
            <w:shd w:val="clear" w:color="auto" w:fill="F5F5F5"/>
          </w:tcPr>
          <w:p>
            <w:pPr>
              <w:pStyle w:val="TableParagraph"/>
              <w:spacing w:before="25"/>
              <w:ind w:left="102"/>
              <w:rPr>
                <w:sz w:val="16"/>
              </w:rPr>
            </w:pPr>
            <w:r>
              <w:rPr>
                <w:sz w:val="16"/>
              </w:rPr>
              <w:t>14,174</w:t>
            </w:r>
          </w:p>
        </w:tc>
        <w:tc>
          <w:tcPr>
            <w:tcW w:w="1129" w:type="dxa"/>
            <w:tcBorders>
              <w:top w:val="single" w:sz="4" w:space="0" w:color="FFFFFF"/>
              <w:right w:val="nil"/>
            </w:tcBorders>
            <w:shd w:val="clear" w:color="auto" w:fill="F5F5F5"/>
          </w:tcPr>
          <w:p>
            <w:pPr>
              <w:pStyle w:val="TableParagraph"/>
              <w:spacing w:line="20" w:lineRule="exact"/>
              <w:ind w:left="1114" w:right="-55"/>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spacing w:before="5"/>
              <w:ind w:left="102"/>
              <w:rPr>
                <w:sz w:val="16"/>
              </w:rPr>
            </w:pPr>
            <w:r>
              <w:rPr>
                <w:sz w:val="16"/>
              </w:rPr>
              <w:t>2031</w:t>
            </w:r>
          </w:p>
        </w:tc>
      </w:tr>
      <w:tr>
        <w:trPr>
          <w:trHeight w:val="277" w:hRule="exact"/>
        </w:trPr>
        <w:tc>
          <w:tcPr>
            <w:tcW w:w="1384" w:type="dxa"/>
            <w:vMerge/>
            <w:tcBorders>
              <w:left w:val="nil"/>
            </w:tcBorders>
            <w:shd w:val="clear" w:color="auto" w:fill="F5F5F5"/>
          </w:tcPr>
          <w:p>
            <w:pPr/>
          </w:p>
        </w:tc>
        <w:tc>
          <w:tcPr>
            <w:tcW w:w="3397" w:type="dxa"/>
            <w:shd w:val="clear" w:color="auto" w:fill="F5F5F5"/>
          </w:tcPr>
          <w:p>
            <w:pPr>
              <w:pStyle w:val="TableParagraph"/>
              <w:spacing w:before="40"/>
              <w:ind w:left="102"/>
              <w:rPr>
                <w:sz w:val="16"/>
              </w:rPr>
            </w:pPr>
            <w:r>
              <w:rPr>
                <w:sz w:val="16"/>
              </w:rPr>
              <w:t>San Nicolás</w:t>
            </w:r>
          </w:p>
        </w:tc>
        <w:tc>
          <w:tcPr>
            <w:tcW w:w="1128" w:type="dxa"/>
            <w:shd w:val="clear" w:color="auto" w:fill="F5F5F5"/>
          </w:tcPr>
          <w:p>
            <w:pPr>
              <w:pStyle w:val="TableParagraph"/>
              <w:spacing w:before="40"/>
              <w:ind w:left="102"/>
              <w:rPr>
                <w:sz w:val="16"/>
              </w:rPr>
            </w:pPr>
            <w:r>
              <w:rPr>
                <w:sz w:val="16"/>
              </w:rPr>
              <w:t>1594</w:t>
            </w:r>
          </w:p>
        </w:tc>
        <w:tc>
          <w:tcPr>
            <w:tcW w:w="1129" w:type="dxa"/>
            <w:tcBorders>
              <w:right w:val="nil"/>
            </w:tcBorders>
            <w:shd w:val="clear" w:color="auto" w:fill="F5F5F5"/>
          </w:tcPr>
          <w:p>
            <w:pPr>
              <w:pStyle w:val="TableParagraph"/>
              <w:spacing w:before="40"/>
              <w:ind w:left="102"/>
              <w:rPr>
                <w:sz w:val="16"/>
              </w:rPr>
            </w:pPr>
            <w:r>
              <w:rPr>
                <w:sz w:val="16"/>
              </w:rPr>
              <w:t>2040</w:t>
            </w:r>
          </w:p>
        </w:tc>
      </w:tr>
      <w:tr>
        <w:trPr>
          <w:trHeight w:val="139" w:hRule="exact"/>
        </w:trPr>
        <w:tc>
          <w:tcPr>
            <w:tcW w:w="1384" w:type="dxa"/>
            <w:vMerge/>
            <w:tcBorders>
              <w:left w:val="nil"/>
            </w:tcBorders>
            <w:shd w:val="clear" w:color="auto" w:fill="F5F5F5"/>
          </w:tcPr>
          <w:p>
            <w:pPr/>
          </w:p>
        </w:tc>
        <w:tc>
          <w:tcPr>
            <w:tcW w:w="3397" w:type="dxa"/>
            <w:tcBorders>
              <w:bottom w:val="single" w:sz="4" w:space="0" w:color="FFFFFF"/>
            </w:tcBorders>
            <w:shd w:val="clear" w:color="auto" w:fill="F5F5F5"/>
          </w:tcPr>
          <w:p>
            <w:pPr>
              <w:pStyle w:val="TableParagraph"/>
              <w:tabs>
                <w:tab w:pos="3376" w:val="left" w:leader="none"/>
              </w:tabs>
              <w:spacing w:line="156" w:lineRule="exact"/>
              <w:ind w:left="25"/>
              <w:rPr>
                <w:sz w:val="16"/>
              </w:rPr>
            </w:pPr>
            <w:r>
              <w:rPr>
                <w:w w:val="100"/>
                <w:sz w:val="16"/>
                <w:u w:val="dotted" w:color="929292"/>
              </w:rPr>
              <w:t> </w:t>
            </w:r>
            <w:r>
              <w:rPr>
                <w:spacing w:val="-11"/>
                <w:sz w:val="16"/>
                <w:u w:val="dotted" w:color="929292"/>
              </w:rPr>
              <w:t> </w:t>
            </w:r>
            <w:r>
              <w:rPr>
                <w:sz w:val="16"/>
                <w:u w:val="dotted" w:color="929292"/>
              </w:rPr>
              <w:t>El</w:t>
            </w:r>
            <w:r>
              <w:rPr>
                <w:spacing w:val="-12"/>
                <w:sz w:val="16"/>
                <w:u w:val="dotted" w:color="929292"/>
              </w:rPr>
              <w:t> </w:t>
            </w:r>
            <w:r>
              <w:rPr>
                <w:sz w:val="16"/>
                <w:u w:val="dotted" w:color="929292"/>
              </w:rPr>
              <w:t>Carmen</w:t>
              <w:tab/>
            </w:r>
          </w:p>
        </w:tc>
        <w:tc>
          <w:tcPr>
            <w:tcW w:w="1128" w:type="dxa"/>
            <w:tcBorders>
              <w:bottom w:val="single" w:sz="4" w:space="0" w:color="FFFFFF"/>
            </w:tcBorders>
            <w:shd w:val="clear" w:color="auto" w:fill="F5F5F5"/>
          </w:tcPr>
          <w:p>
            <w:pPr>
              <w:pStyle w:val="TableParagraph"/>
              <w:tabs>
                <w:tab w:pos="1108" w:val="left" w:leader="none"/>
              </w:tabs>
              <w:spacing w:line="156" w:lineRule="exact"/>
              <w:ind w:left="24"/>
              <w:rPr>
                <w:sz w:val="16"/>
              </w:rPr>
            </w:pPr>
            <w:r>
              <w:rPr>
                <w:w w:val="100"/>
                <w:sz w:val="16"/>
                <w:u w:val="dotted" w:color="929292"/>
              </w:rPr>
              <w:t> </w:t>
            </w:r>
            <w:r>
              <w:rPr>
                <w:spacing w:val="-11"/>
                <w:sz w:val="16"/>
                <w:u w:val="dotted" w:color="929292"/>
              </w:rPr>
              <w:t> </w:t>
            </w:r>
            <w:r>
              <w:rPr>
                <w:sz w:val="16"/>
                <w:u w:val="dotted" w:color="929292"/>
              </w:rPr>
              <w:t>1032</w:t>
              <w:tab/>
            </w:r>
          </w:p>
        </w:tc>
        <w:tc>
          <w:tcPr>
            <w:tcW w:w="1129" w:type="dxa"/>
            <w:tcBorders>
              <w:bottom w:val="single" w:sz="4" w:space="0" w:color="FFFFFF"/>
              <w:right w:val="nil"/>
            </w:tcBorders>
            <w:shd w:val="clear" w:color="auto" w:fill="F5F5F5"/>
          </w:tcPr>
          <w:p>
            <w:pPr>
              <w:pStyle w:val="TableParagraph"/>
              <w:tabs>
                <w:tab w:pos="1103" w:val="left" w:leader="none"/>
              </w:tabs>
              <w:spacing w:line="156" w:lineRule="exact"/>
              <w:ind w:left="25"/>
              <w:rPr>
                <w:sz w:val="16"/>
              </w:rPr>
            </w:pPr>
            <w:r>
              <w:rPr>
                <w:w w:val="100"/>
                <w:sz w:val="16"/>
                <w:u w:val="dotted" w:color="929292"/>
              </w:rPr>
              <w:t> </w:t>
            </w:r>
            <w:r>
              <w:rPr>
                <w:spacing w:val="-12"/>
                <w:sz w:val="16"/>
                <w:u w:val="dotted" w:color="929292"/>
              </w:rPr>
              <w:t> </w:t>
            </w:r>
            <w:r>
              <w:rPr>
                <w:sz w:val="16"/>
                <w:u w:val="dotted" w:color="929292"/>
              </w:rPr>
              <w:t>2418</w:t>
              <w:tab/>
            </w:r>
          </w:p>
        </w:tc>
      </w:tr>
      <w:tr>
        <w:trPr>
          <w:trHeight w:val="198" w:hRule="exact"/>
        </w:trPr>
        <w:tc>
          <w:tcPr>
            <w:tcW w:w="1384" w:type="dxa"/>
            <w:vMerge/>
            <w:tcBorders>
              <w:left w:val="nil"/>
              <w:bottom w:val="single" w:sz="4" w:space="0" w:color="FFFFFF"/>
            </w:tcBorders>
            <w:shd w:val="clear" w:color="auto" w:fill="F5F5F5"/>
          </w:tcPr>
          <w:p>
            <w:pPr/>
          </w:p>
        </w:tc>
        <w:tc>
          <w:tcPr>
            <w:tcW w:w="3397" w:type="dxa"/>
            <w:tcBorders>
              <w:top w:val="single" w:sz="4" w:space="0" w:color="FFFFFF"/>
              <w:bottom w:val="single" w:sz="4" w:space="0" w:color="FFFFFF"/>
            </w:tcBorders>
            <w:shd w:val="clear" w:color="auto" w:fill="F5F5F5"/>
          </w:tcPr>
          <w:p>
            <w:pPr>
              <w:pStyle w:val="TableParagraph"/>
              <w:tabs>
                <w:tab w:pos="3376" w:val="left" w:leader="none"/>
              </w:tabs>
              <w:spacing w:before="1"/>
              <w:ind w:left="25"/>
              <w:rPr>
                <w:sz w:val="16"/>
              </w:rPr>
            </w:pPr>
            <w:r>
              <w:rPr>
                <w:w w:val="100"/>
                <w:sz w:val="16"/>
                <w:u w:val="dotted" w:color="929292"/>
              </w:rPr>
              <w:t> </w:t>
            </w:r>
            <w:r>
              <w:rPr>
                <w:spacing w:val="-11"/>
                <w:sz w:val="16"/>
                <w:u w:val="dotted" w:color="929292"/>
              </w:rPr>
              <w:t> </w:t>
            </w:r>
            <w:r>
              <w:rPr>
                <w:sz w:val="16"/>
                <w:u w:val="dotted" w:color="929292"/>
              </w:rPr>
              <w:t>Tenería</w:t>
              <w:tab/>
            </w:r>
          </w:p>
        </w:tc>
        <w:tc>
          <w:tcPr>
            <w:tcW w:w="1128" w:type="dxa"/>
            <w:tcBorders>
              <w:top w:val="single" w:sz="4" w:space="0" w:color="FFFFFF"/>
              <w:bottom w:val="single" w:sz="4" w:space="0" w:color="FFFFFF"/>
            </w:tcBorders>
            <w:shd w:val="clear" w:color="auto" w:fill="F5F5F5"/>
          </w:tcPr>
          <w:p>
            <w:pPr>
              <w:pStyle w:val="TableParagraph"/>
              <w:tabs>
                <w:tab w:pos="1108" w:val="left" w:leader="none"/>
              </w:tabs>
              <w:spacing w:before="1"/>
              <w:ind w:left="24"/>
              <w:rPr>
                <w:sz w:val="16"/>
              </w:rPr>
            </w:pPr>
            <w:r>
              <w:rPr>
                <w:w w:val="100"/>
                <w:sz w:val="16"/>
                <w:u w:val="dotted" w:color="929292"/>
              </w:rPr>
              <w:t> </w:t>
            </w:r>
            <w:r>
              <w:rPr>
                <w:spacing w:val="-11"/>
                <w:sz w:val="16"/>
                <w:u w:val="dotted" w:color="929292"/>
              </w:rPr>
              <w:t> </w:t>
            </w:r>
            <w:r>
              <w:rPr>
                <w:sz w:val="16"/>
                <w:u w:val="dotted" w:color="929292"/>
              </w:rPr>
              <w:t>2,402</w:t>
              <w:tab/>
            </w:r>
          </w:p>
        </w:tc>
        <w:tc>
          <w:tcPr>
            <w:tcW w:w="1129" w:type="dxa"/>
            <w:tcBorders>
              <w:top w:val="single" w:sz="4" w:space="0" w:color="FFFFFF"/>
              <w:bottom w:val="single" w:sz="4" w:space="0" w:color="FFFFFF"/>
              <w:right w:val="nil"/>
            </w:tcBorders>
            <w:shd w:val="clear" w:color="auto" w:fill="F5F5F5"/>
          </w:tcPr>
          <w:p>
            <w:pPr>
              <w:pStyle w:val="TableParagraph"/>
              <w:tabs>
                <w:tab w:pos="1103" w:val="left" w:leader="none"/>
              </w:tabs>
              <w:spacing w:before="1"/>
              <w:ind w:left="25"/>
              <w:rPr>
                <w:sz w:val="16"/>
              </w:rPr>
            </w:pPr>
            <w:r>
              <w:rPr>
                <w:w w:val="100"/>
                <w:sz w:val="16"/>
                <w:u w:val="dotted" w:color="929292"/>
              </w:rPr>
              <w:t> </w:t>
            </w:r>
            <w:r>
              <w:rPr>
                <w:spacing w:val="-12"/>
                <w:sz w:val="16"/>
                <w:u w:val="dotted" w:color="929292"/>
              </w:rPr>
              <w:t> </w:t>
            </w:r>
            <w:r>
              <w:rPr>
                <w:sz w:val="16"/>
                <w:u w:val="dotted" w:color="929292"/>
              </w:rPr>
              <w:t>2039</w:t>
              <w:tab/>
            </w:r>
          </w:p>
        </w:tc>
      </w:tr>
      <w:tr>
        <w:trPr>
          <w:trHeight w:val="160" w:hRule="exact"/>
        </w:trPr>
        <w:tc>
          <w:tcPr>
            <w:tcW w:w="1384" w:type="dxa"/>
            <w:vMerge w:val="restart"/>
            <w:tcBorders>
              <w:top w:val="single" w:sz="4" w:space="0" w:color="FFFFFF"/>
              <w:left w:val="nil"/>
            </w:tcBorders>
            <w:shd w:val="clear" w:color="auto" w:fill="E0E8F5"/>
          </w:tcPr>
          <w:p>
            <w:pPr>
              <w:pStyle w:val="TableParagraph"/>
              <w:spacing w:line="20" w:lineRule="exact"/>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TableParagraph"/>
              <w:rPr>
                <w:sz w:val="23"/>
              </w:rPr>
            </w:pPr>
          </w:p>
          <w:p>
            <w:pPr>
              <w:pStyle w:val="TableParagraph"/>
              <w:ind w:left="108"/>
              <w:rPr>
                <w:sz w:val="16"/>
              </w:rPr>
            </w:pPr>
            <w:r>
              <w:rPr>
                <w:sz w:val="16"/>
              </w:rPr>
              <w:t>Villa Guerrero</w:t>
            </w:r>
          </w:p>
        </w:tc>
        <w:tc>
          <w:tcPr>
            <w:tcW w:w="3397" w:type="dxa"/>
            <w:tcBorders>
              <w:top w:val="single" w:sz="4" w:space="0" w:color="FFFFFF"/>
              <w:bottom w:val="single" w:sz="4" w:space="0" w:color="FFFFFF"/>
            </w:tcBorders>
            <w:shd w:val="clear" w:color="auto" w:fill="E0E8F5"/>
          </w:tcPr>
          <w:p>
            <w:pPr>
              <w:pStyle w:val="TableParagraph"/>
              <w:tabs>
                <w:tab w:pos="3376" w:val="left" w:leader="none"/>
              </w:tabs>
              <w:spacing w:line="166" w:lineRule="exact"/>
              <w:ind w:left="25"/>
              <w:rPr>
                <w:sz w:val="16"/>
              </w:rPr>
            </w:pPr>
            <w:r>
              <w:rPr>
                <w:w w:val="100"/>
                <w:sz w:val="16"/>
                <w:u w:val="dotted" w:color="929292"/>
              </w:rPr>
              <w:t> </w:t>
            </w:r>
            <w:r>
              <w:rPr>
                <w:spacing w:val="-11"/>
                <w:sz w:val="16"/>
                <w:u w:val="dotted" w:color="929292"/>
              </w:rPr>
              <w:t> </w:t>
            </w:r>
            <w:r>
              <w:rPr>
                <w:sz w:val="16"/>
                <w:u w:val="dotted" w:color="929292"/>
              </w:rPr>
              <w:t>Cabecera Municipal de Villa</w:t>
            </w:r>
            <w:r>
              <w:rPr>
                <w:spacing w:val="-2"/>
                <w:sz w:val="16"/>
                <w:u w:val="dotted" w:color="929292"/>
              </w:rPr>
              <w:t> </w:t>
            </w:r>
            <w:r>
              <w:rPr>
                <w:sz w:val="16"/>
                <w:u w:val="dotted" w:color="929292"/>
              </w:rPr>
              <w:t>Guerrero</w:t>
              <w:tab/>
            </w:r>
          </w:p>
        </w:tc>
        <w:tc>
          <w:tcPr>
            <w:tcW w:w="1128" w:type="dxa"/>
            <w:tcBorders>
              <w:top w:val="single" w:sz="4" w:space="0" w:color="FFFFFF"/>
              <w:bottom w:val="single" w:sz="4" w:space="0" w:color="FFFFFF"/>
            </w:tcBorders>
            <w:shd w:val="clear" w:color="auto" w:fill="E0E8F5"/>
          </w:tcPr>
          <w:p>
            <w:pPr>
              <w:pStyle w:val="TableParagraph"/>
              <w:tabs>
                <w:tab w:pos="1108" w:val="left" w:leader="none"/>
              </w:tabs>
              <w:spacing w:line="166" w:lineRule="exact"/>
              <w:ind w:left="24"/>
              <w:rPr>
                <w:sz w:val="16"/>
              </w:rPr>
            </w:pPr>
            <w:r>
              <w:rPr>
                <w:w w:val="100"/>
                <w:sz w:val="16"/>
                <w:u w:val="dotted" w:color="929292"/>
              </w:rPr>
              <w:t> </w:t>
            </w:r>
            <w:r>
              <w:rPr>
                <w:spacing w:val="-11"/>
                <w:sz w:val="16"/>
                <w:u w:val="dotted" w:color="929292"/>
              </w:rPr>
              <w:t> </w:t>
            </w:r>
            <w:r>
              <w:rPr>
                <w:sz w:val="16"/>
                <w:u w:val="dotted" w:color="929292"/>
              </w:rPr>
              <w:t>9,509</w:t>
              <w:tab/>
            </w:r>
          </w:p>
        </w:tc>
        <w:tc>
          <w:tcPr>
            <w:tcW w:w="1129" w:type="dxa"/>
            <w:tcBorders>
              <w:top w:val="single" w:sz="4" w:space="0" w:color="FFFFFF"/>
              <w:bottom w:val="single" w:sz="4" w:space="0" w:color="FFFFFF"/>
              <w:right w:val="nil"/>
            </w:tcBorders>
            <w:shd w:val="clear" w:color="auto" w:fill="E0E8F5"/>
          </w:tcPr>
          <w:p>
            <w:pPr>
              <w:pStyle w:val="TableParagraph"/>
              <w:tabs>
                <w:tab w:pos="1103" w:val="left" w:leader="none"/>
              </w:tabs>
              <w:spacing w:line="166" w:lineRule="exact"/>
              <w:ind w:left="25"/>
              <w:rPr>
                <w:sz w:val="16"/>
              </w:rPr>
            </w:pPr>
            <w:r>
              <w:rPr>
                <w:w w:val="100"/>
                <w:sz w:val="16"/>
                <w:u w:val="dotted" w:color="929292"/>
              </w:rPr>
              <w:t> </w:t>
            </w:r>
            <w:r>
              <w:rPr>
                <w:spacing w:val="-12"/>
                <w:sz w:val="16"/>
                <w:u w:val="dotted" w:color="929292"/>
              </w:rPr>
              <w:t> </w:t>
            </w:r>
            <w:r>
              <w:rPr>
                <w:sz w:val="16"/>
                <w:u w:val="dotted" w:color="929292"/>
              </w:rPr>
              <w:t>2159</w:t>
              <w:tab/>
            </w:r>
          </w:p>
        </w:tc>
      </w:tr>
      <w:tr>
        <w:trPr>
          <w:trHeight w:val="180" w:hRule="exact"/>
        </w:trPr>
        <w:tc>
          <w:tcPr>
            <w:tcW w:w="1384" w:type="dxa"/>
            <w:vMerge/>
            <w:tcBorders>
              <w:left w:val="nil"/>
            </w:tcBorders>
            <w:shd w:val="clear" w:color="auto" w:fill="E0E8F5"/>
          </w:tcPr>
          <w:p>
            <w:pPr/>
          </w:p>
        </w:tc>
        <w:tc>
          <w:tcPr>
            <w:tcW w:w="3397" w:type="dxa"/>
            <w:tcBorders>
              <w:top w:val="single" w:sz="4" w:space="0" w:color="FFFFFF"/>
              <w:bottom w:val="single" w:sz="4" w:space="0" w:color="FFFFFF"/>
            </w:tcBorders>
            <w:shd w:val="clear" w:color="auto" w:fill="E0E8F5"/>
          </w:tcPr>
          <w:p>
            <w:pPr>
              <w:pStyle w:val="TableParagraph"/>
              <w:tabs>
                <w:tab w:pos="3376" w:val="left" w:leader="none"/>
              </w:tabs>
              <w:spacing w:line="176" w:lineRule="exact"/>
              <w:ind w:left="25"/>
              <w:rPr>
                <w:sz w:val="16"/>
              </w:rPr>
            </w:pPr>
            <w:r>
              <w:rPr>
                <w:w w:val="100"/>
                <w:sz w:val="16"/>
                <w:u w:val="dotted" w:color="929292"/>
              </w:rPr>
              <w:t> </w:t>
            </w:r>
            <w:r>
              <w:rPr>
                <w:spacing w:val="-11"/>
                <w:sz w:val="16"/>
                <w:u w:val="dotted" w:color="929292"/>
              </w:rPr>
              <w:t> </w:t>
            </w:r>
            <w:r>
              <w:rPr>
                <w:sz w:val="16"/>
                <w:u w:val="dotted" w:color="929292"/>
              </w:rPr>
              <w:t>Progreso</w:t>
            </w:r>
            <w:r>
              <w:rPr>
                <w:spacing w:val="10"/>
                <w:sz w:val="16"/>
                <w:u w:val="dotted" w:color="929292"/>
              </w:rPr>
              <w:t> </w:t>
            </w:r>
            <w:r>
              <w:rPr>
                <w:sz w:val="16"/>
                <w:u w:val="dotted" w:color="929292"/>
              </w:rPr>
              <w:t>Hidalgo</w:t>
              <w:tab/>
            </w:r>
          </w:p>
        </w:tc>
        <w:tc>
          <w:tcPr>
            <w:tcW w:w="1128" w:type="dxa"/>
            <w:tcBorders>
              <w:top w:val="single" w:sz="4" w:space="0" w:color="FFFFFF"/>
              <w:bottom w:val="single" w:sz="4" w:space="0" w:color="FFFFFF"/>
            </w:tcBorders>
            <w:shd w:val="clear" w:color="auto" w:fill="E0E8F5"/>
          </w:tcPr>
          <w:p>
            <w:pPr>
              <w:pStyle w:val="TableParagraph"/>
              <w:tabs>
                <w:tab w:pos="1108" w:val="left" w:leader="none"/>
              </w:tabs>
              <w:spacing w:line="176" w:lineRule="exact"/>
              <w:ind w:left="24"/>
              <w:rPr>
                <w:sz w:val="16"/>
              </w:rPr>
            </w:pPr>
            <w:r>
              <w:rPr>
                <w:w w:val="100"/>
                <w:sz w:val="16"/>
                <w:u w:val="dotted" w:color="929292"/>
              </w:rPr>
              <w:t> </w:t>
            </w:r>
            <w:r>
              <w:rPr>
                <w:spacing w:val="-11"/>
                <w:sz w:val="16"/>
                <w:u w:val="dotted" w:color="929292"/>
              </w:rPr>
              <w:t> </w:t>
            </w:r>
            <w:r>
              <w:rPr>
                <w:sz w:val="16"/>
                <w:u w:val="dotted" w:color="929292"/>
              </w:rPr>
              <w:t>1,010</w:t>
              <w:tab/>
            </w:r>
          </w:p>
        </w:tc>
        <w:tc>
          <w:tcPr>
            <w:tcW w:w="1129" w:type="dxa"/>
            <w:tcBorders>
              <w:top w:val="single" w:sz="4" w:space="0" w:color="FFFFFF"/>
              <w:bottom w:val="single" w:sz="4" w:space="0" w:color="FFFFFF"/>
              <w:right w:val="nil"/>
            </w:tcBorders>
            <w:shd w:val="clear" w:color="auto" w:fill="E0E8F5"/>
          </w:tcPr>
          <w:p>
            <w:pPr>
              <w:pStyle w:val="TableParagraph"/>
              <w:tabs>
                <w:tab w:pos="1103" w:val="left" w:leader="none"/>
              </w:tabs>
              <w:spacing w:line="176" w:lineRule="exact"/>
              <w:ind w:left="25"/>
              <w:rPr>
                <w:sz w:val="16"/>
              </w:rPr>
            </w:pPr>
            <w:r>
              <w:rPr>
                <w:w w:val="100"/>
                <w:sz w:val="16"/>
                <w:u w:val="dotted" w:color="929292"/>
              </w:rPr>
              <w:t> </w:t>
            </w:r>
            <w:r>
              <w:rPr>
                <w:spacing w:val="-12"/>
                <w:sz w:val="16"/>
                <w:u w:val="dotted" w:color="929292"/>
              </w:rPr>
              <w:t> </w:t>
            </w:r>
            <w:r>
              <w:rPr>
                <w:sz w:val="16"/>
                <w:u w:val="dotted" w:color="929292"/>
              </w:rPr>
              <w:t>1704</w:t>
              <w:tab/>
            </w:r>
          </w:p>
        </w:tc>
      </w:tr>
      <w:tr>
        <w:trPr>
          <w:trHeight w:val="201" w:hRule="exact"/>
        </w:trPr>
        <w:tc>
          <w:tcPr>
            <w:tcW w:w="1384" w:type="dxa"/>
            <w:vMerge/>
            <w:tcBorders>
              <w:left w:val="nil"/>
            </w:tcBorders>
            <w:shd w:val="clear" w:color="auto" w:fill="E0E8F5"/>
          </w:tcPr>
          <w:p>
            <w:pPr/>
          </w:p>
        </w:tc>
        <w:tc>
          <w:tcPr>
            <w:tcW w:w="3397" w:type="dxa"/>
            <w:tcBorders>
              <w:top w:val="single" w:sz="4" w:space="0" w:color="FFFFFF"/>
              <w:bottom w:val="single" w:sz="4" w:space="0" w:color="FFFFFF"/>
            </w:tcBorders>
            <w:shd w:val="clear" w:color="auto" w:fill="E0E8F5"/>
          </w:tcPr>
          <w:p>
            <w:pPr>
              <w:pStyle w:val="TableParagraph"/>
              <w:tabs>
                <w:tab w:pos="3376" w:val="left" w:leader="none"/>
              </w:tabs>
              <w:spacing w:before="2"/>
              <w:ind w:left="25"/>
              <w:rPr>
                <w:sz w:val="16"/>
              </w:rPr>
            </w:pPr>
            <w:r>
              <w:rPr>
                <w:w w:val="100"/>
                <w:sz w:val="16"/>
                <w:u w:val="dotted" w:color="929292"/>
              </w:rPr>
              <w:t> </w:t>
            </w:r>
            <w:r>
              <w:rPr>
                <w:spacing w:val="-11"/>
                <w:sz w:val="16"/>
                <w:u w:val="dotted" w:color="929292"/>
              </w:rPr>
              <w:t> </w:t>
            </w:r>
            <w:r>
              <w:rPr>
                <w:sz w:val="16"/>
                <w:u w:val="dotted" w:color="929292"/>
              </w:rPr>
              <w:t>Santa María</w:t>
            </w:r>
            <w:r>
              <w:rPr>
                <w:spacing w:val="-28"/>
                <w:sz w:val="16"/>
                <w:u w:val="dotted" w:color="929292"/>
              </w:rPr>
              <w:t> </w:t>
            </w:r>
            <w:r>
              <w:rPr>
                <w:sz w:val="16"/>
                <w:u w:val="dotted" w:color="929292"/>
              </w:rPr>
              <w:t>Aranzazú</w:t>
              <w:tab/>
            </w:r>
          </w:p>
        </w:tc>
        <w:tc>
          <w:tcPr>
            <w:tcW w:w="1128" w:type="dxa"/>
            <w:tcBorders>
              <w:top w:val="single" w:sz="4" w:space="0" w:color="FFFFFF"/>
              <w:bottom w:val="single" w:sz="4" w:space="0" w:color="FFFFFF"/>
            </w:tcBorders>
            <w:shd w:val="clear" w:color="auto" w:fill="E0E8F5"/>
          </w:tcPr>
          <w:p>
            <w:pPr>
              <w:pStyle w:val="TableParagraph"/>
              <w:tabs>
                <w:tab w:pos="1108" w:val="left" w:leader="none"/>
              </w:tabs>
              <w:spacing w:before="2"/>
              <w:ind w:left="24"/>
              <w:rPr>
                <w:sz w:val="16"/>
              </w:rPr>
            </w:pPr>
            <w:r>
              <w:rPr>
                <w:w w:val="100"/>
                <w:sz w:val="16"/>
                <w:u w:val="dotted" w:color="929292"/>
              </w:rPr>
              <w:t> </w:t>
            </w:r>
            <w:r>
              <w:rPr>
                <w:spacing w:val="-11"/>
                <w:sz w:val="16"/>
                <w:u w:val="dotted" w:color="929292"/>
              </w:rPr>
              <w:t> </w:t>
            </w:r>
            <w:r>
              <w:rPr>
                <w:sz w:val="16"/>
                <w:u w:val="dotted" w:color="929292"/>
              </w:rPr>
              <w:t>685</w:t>
              <w:tab/>
            </w:r>
          </w:p>
        </w:tc>
        <w:tc>
          <w:tcPr>
            <w:tcW w:w="1129" w:type="dxa"/>
            <w:tcBorders>
              <w:top w:val="single" w:sz="4" w:space="0" w:color="FFFFFF"/>
              <w:bottom w:val="single" w:sz="4" w:space="0" w:color="FFFFFF"/>
              <w:right w:val="nil"/>
            </w:tcBorders>
            <w:shd w:val="clear" w:color="auto" w:fill="E0E8F5"/>
          </w:tcPr>
          <w:p>
            <w:pPr>
              <w:pStyle w:val="TableParagraph"/>
              <w:tabs>
                <w:tab w:pos="1103" w:val="left" w:leader="none"/>
              </w:tabs>
              <w:spacing w:before="2"/>
              <w:ind w:left="25"/>
              <w:rPr>
                <w:sz w:val="16"/>
              </w:rPr>
            </w:pPr>
            <w:r>
              <w:rPr>
                <w:w w:val="100"/>
                <w:sz w:val="16"/>
                <w:u w:val="dotted" w:color="929292"/>
              </w:rPr>
              <w:t> </w:t>
            </w:r>
            <w:r>
              <w:rPr>
                <w:spacing w:val="-12"/>
                <w:sz w:val="16"/>
                <w:u w:val="dotted" w:color="929292"/>
              </w:rPr>
              <w:t> </w:t>
            </w:r>
            <w:r>
              <w:rPr>
                <w:sz w:val="16"/>
                <w:u w:val="dotted" w:color="929292"/>
              </w:rPr>
              <w:t>1880</w:t>
              <w:tab/>
            </w:r>
          </w:p>
        </w:tc>
      </w:tr>
      <w:tr>
        <w:trPr>
          <w:trHeight w:val="220" w:hRule="exact"/>
        </w:trPr>
        <w:tc>
          <w:tcPr>
            <w:tcW w:w="1384" w:type="dxa"/>
            <w:vMerge/>
            <w:tcBorders>
              <w:left w:val="nil"/>
              <w:bottom w:val="nil"/>
            </w:tcBorders>
            <w:shd w:val="clear" w:color="auto" w:fill="E0E8F5"/>
          </w:tcPr>
          <w:p>
            <w:pPr/>
          </w:p>
        </w:tc>
        <w:tc>
          <w:tcPr>
            <w:tcW w:w="3397" w:type="dxa"/>
            <w:tcBorders>
              <w:top w:val="single" w:sz="4" w:space="0" w:color="FFFFFF"/>
              <w:bottom w:val="nil"/>
            </w:tcBorders>
            <w:shd w:val="clear" w:color="auto" w:fill="E0E8F5"/>
          </w:tcPr>
          <w:p>
            <w:pPr>
              <w:pStyle w:val="TableParagraph"/>
              <w:spacing w:before="14"/>
              <w:ind w:left="102"/>
              <w:rPr>
                <w:sz w:val="16"/>
              </w:rPr>
            </w:pPr>
            <w:r>
              <w:rPr>
                <w:sz w:val="16"/>
              </w:rPr>
              <w:t>San Francisco</w:t>
            </w:r>
          </w:p>
        </w:tc>
        <w:tc>
          <w:tcPr>
            <w:tcW w:w="1128" w:type="dxa"/>
            <w:tcBorders>
              <w:top w:val="single" w:sz="4" w:space="0" w:color="FFFFFF"/>
              <w:bottom w:val="nil"/>
            </w:tcBorders>
            <w:shd w:val="clear" w:color="auto" w:fill="E0E8F5"/>
          </w:tcPr>
          <w:p>
            <w:pPr>
              <w:pStyle w:val="TableParagraph"/>
              <w:spacing w:before="14"/>
              <w:ind w:left="102"/>
              <w:rPr>
                <w:sz w:val="16"/>
              </w:rPr>
            </w:pPr>
            <w:r>
              <w:rPr>
                <w:sz w:val="16"/>
              </w:rPr>
              <w:t>3,165</w:t>
            </w:r>
          </w:p>
        </w:tc>
        <w:tc>
          <w:tcPr>
            <w:tcW w:w="1129" w:type="dxa"/>
            <w:tcBorders>
              <w:top w:val="single" w:sz="4" w:space="0" w:color="FFFFFF"/>
              <w:bottom w:val="nil"/>
              <w:right w:val="nil"/>
            </w:tcBorders>
            <w:shd w:val="clear" w:color="auto" w:fill="E0E8F5"/>
          </w:tcPr>
          <w:p>
            <w:pPr>
              <w:pStyle w:val="TableParagraph"/>
              <w:spacing w:before="14"/>
              <w:ind w:left="102"/>
              <w:rPr>
                <w:sz w:val="16"/>
              </w:rPr>
            </w:pPr>
            <w:r>
              <w:rPr>
                <w:sz w:val="16"/>
              </w:rPr>
              <w:t>2098</w:t>
            </w:r>
          </w:p>
        </w:tc>
      </w:tr>
    </w:tbl>
    <w:p>
      <w:pPr>
        <w:pStyle w:val="BodyText"/>
        <w:spacing w:before="3"/>
        <w:rPr>
          <w:sz w:val="7"/>
        </w:rPr>
      </w:pPr>
    </w:p>
    <w:p>
      <w:pPr>
        <w:spacing w:after="0"/>
        <w:rPr>
          <w:sz w:val="7"/>
        </w:rPr>
        <w:sectPr>
          <w:type w:val="continuous"/>
          <w:pgSz w:w="18830" w:h="12760" w:orient="landscape"/>
          <w:pgMar w:top="1420" w:bottom="280" w:left="720" w:right="72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before="97"/>
        <w:ind w:left="0" w:right="0" w:firstLine="0"/>
        <w:jc w:val="right"/>
        <w:rPr>
          <w:sz w:val="16"/>
        </w:rPr>
      </w:pPr>
      <w:r>
        <w:rPr>
          <w:color w:val="6D6E71"/>
          <w:sz w:val="16"/>
        </w:rPr>
        <w:t>Fuente: INEGI, 2010</w:t>
      </w:r>
    </w:p>
    <w:p>
      <w:pPr>
        <w:spacing w:before="80"/>
        <w:ind w:left="3959" w:right="1154" w:firstLine="0"/>
        <w:jc w:val="center"/>
        <w:rPr>
          <w:sz w:val="16"/>
        </w:rPr>
      </w:pPr>
      <w:r>
        <w:rPr/>
        <w:br w:type="column"/>
      </w:r>
      <w:r>
        <w:rPr>
          <w:color w:val="6D6E71"/>
          <w:sz w:val="16"/>
        </w:rPr>
        <w:t>Fuente. Elaboración propia, 2014.</w:t>
      </w:r>
    </w:p>
    <w:p>
      <w:pPr>
        <w:pStyle w:val="BodyText"/>
        <w:rPr>
          <w:sz w:val="16"/>
        </w:rPr>
      </w:pPr>
    </w:p>
    <w:p>
      <w:pPr>
        <w:spacing w:before="112"/>
        <w:ind w:left="3960" w:right="1154" w:firstLine="0"/>
        <w:jc w:val="center"/>
        <w:rPr>
          <w:sz w:val="16"/>
        </w:rPr>
      </w:pPr>
      <w:r>
        <w:rPr/>
        <w:pict>
          <v:line style="position:absolute;mso-position-horizontal-relative:page;mso-position-vertical-relative:paragraph;z-index:-641896" from="880.890991pt,-64.662994pt" to="880.890991pt,-64.662994pt" stroked="true" strokeweight=".5pt" strokecolor="#929292">
            <w10:wrap type="none"/>
          </v:line>
        </w:pict>
      </w:r>
      <w:r>
        <w:rPr/>
        <w:pict>
          <v:shape style="position:absolute;margin-left:42.52pt;margin-top:-174.897293pt;width:385.55pt;height:389.2pt;mso-position-horizontal-relative:page;mso-position-vertical-relative:paragraph;z-index:10912" type="#_x0000_t202" filled="false" stroked="false">
            <v:textbox inset="0,0,0,0">
              <w:txbxContent>
                <w:tbl>
                  <w:tblPr>
                    <w:tblW w:w="0" w:type="auto"/>
                    <w:jc w:val="left"/>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1157"/>
                    <w:gridCol w:w="1412"/>
                    <w:gridCol w:w="1415"/>
                    <w:gridCol w:w="1454"/>
                    <w:gridCol w:w="2262"/>
                  </w:tblGrid>
                  <w:tr>
                    <w:trPr>
                      <w:trHeight w:val="228" w:hRule="exact"/>
                    </w:trPr>
                    <w:tc>
                      <w:tcPr>
                        <w:tcW w:w="1157" w:type="dxa"/>
                        <w:tcBorders>
                          <w:top w:val="nil"/>
                          <w:left w:val="nil"/>
                          <w:bottom w:val="dotted" w:sz="4" w:space="0" w:color="FFFFFF"/>
                          <w:right w:val="single" w:sz="4" w:space="0" w:color="FFFFFF"/>
                        </w:tcBorders>
                        <w:shd w:val="clear" w:color="auto" w:fill="929292"/>
                      </w:tcPr>
                      <w:p>
                        <w:pPr>
                          <w:pStyle w:val="TableParagraph"/>
                          <w:spacing w:before="21"/>
                          <w:ind w:left="107"/>
                          <w:rPr>
                            <w:sz w:val="16"/>
                          </w:rPr>
                        </w:pPr>
                        <w:r>
                          <w:rPr>
                            <w:sz w:val="16"/>
                          </w:rPr>
                          <w:t>Localidad</w:t>
                        </w:r>
                      </w:p>
                    </w:tc>
                    <w:tc>
                      <w:tcPr>
                        <w:tcW w:w="1412" w:type="dxa"/>
                        <w:tcBorders>
                          <w:top w:val="nil"/>
                          <w:left w:val="single" w:sz="4" w:space="0" w:color="FFFFFF"/>
                          <w:bottom w:val="dotted" w:sz="4" w:space="0" w:color="FFFFFF"/>
                          <w:right w:val="single" w:sz="4" w:space="0" w:color="FFFFFF"/>
                        </w:tcBorders>
                        <w:shd w:val="clear" w:color="auto" w:fill="929292"/>
                      </w:tcPr>
                      <w:p>
                        <w:pPr>
                          <w:pStyle w:val="TableParagraph"/>
                          <w:spacing w:before="21"/>
                          <w:ind w:left="102"/>
                          <w:rPr>
                            <w:sz w:val="16"/>
                          </w:rPr>
                        </w:pPr>
                        <w:r>
                          <w:rPr>
                            <w:sz w:val="16"/>
                          </w:rPr>
                          <w:t>Población</w:t>
                        </w:r>
                      </w:p>
                    </w:tc>
                    <w:tc>
                      <w:tcPr>
                        <w:tcW w:w="1415" w:type="dxa"/>
                        <w:tcBorders>
                          <w:top w:val="nil"/>
                          <w:left w:val="single" w:sz="4" w:space="0" w:color="FFFFFF"/>
                          <w:bottom w:val="dotted" w:sz="4" w:space="0" w:color="FFFFFF"/>
                          <w:right w:val="single" w:sz="4" w:space="0" w:color="FFFFFF"/>
                        </w:tcBorders>
                        <w:shd w:val="clear" w:color="auto" w:fill="929292"/>
                      </w:tcPr>
                      <w:p>
                        <w:pPr>
                          <w:pStyle w:val="TableParagraph"/>
                          <w:spacing w:before="21"/>
                          <w:ind w:left="102" w:right="401"/>
                          <w:rPr>
                            <w:sz w:val="16"/>
                          </w:rPr>
                        </w:pPr>
                        <w:r>
                          <w:rPr>
                            <w:sz w:val="16"/>
                          </w:rPr>
                          <w:t>Educación</w:t>
                        </w:r>
                      </w:p>
                    </w:tc>
                    <w:tc>
                      <w:tcPr>
                        <w:tcW w:w="1454" w:type="dxa"/>
                        <w:tcBorders>
                          <w:top w:val="nil"/>
                          <w:left w:val="single" w:sz="4" w:space="0" w:color="FFFFFF"/>
                          <w:bottom w:val="dotted" w:sz="4" w:space="0" w:color="FFFFFF"/>
                          <w:right w:val="single" w:sz="4" w:space="0" w:color="FFFFFF"/>
                        </w:tcBorders>
                        <w:shd w:val="clear" w:color="auto" w:fill="929292"/>
                      </w:tcPr>
                      <w:p>
                        <w:pPr>
                          <w:pStyle w:val="TableParagraph"/>
                          <w:spacing w:before="21"/>
                          <w:ind w:left="102" w:right="155"/>
                          <w:rPr>
                            <w:sz w:val="16"/>
                          </w:rPr>
                        </w:pPr>
                        <w:r>
                          <w:rPr>
                            <w:sz w:val="16"/>
                          </w:rPr>
                          <w:t>Salud</w:t>
                        </w:r>
                      </w:p>
                    </w:tc>
                    <w:tc>
                      <w:tcPr>
                        <w:tcW w:w="2262" w:type="dxa"/>
                        <w:tcBorders>
                          <w:top w:val="nil"/>
                          <w:left w:val="single" w:sz="4" w:space="0" w:color="FFFFFF"/>
                          <w:bottom w:val="dotted" w:sz="4" w:space="0" w:color="FFFFFF"/>
                          <w:right w:val="nil"/>
                        </w:tcBorders>
                        <w:shd w:val="clear" w:color="auto" w:fill="929292"/>
                      </w:tcPr>
                      <w:p>
                        <w:pPr>
                          <w:pStyle w:val="TableParagraph"/>
                          <w:spacing w:before="21"/>
                          <w:ind w:left="103" w:right="226"/>
                          <w:rPr>
                            <w:sz w:val="16"/>
                          </w:rPr>
                        </w:pPr>
                        <w:r>
                          <w:rPr>
                            <w:sz w:val="16"/>
                          </w:rPr>
                          <w:t>Economía</w:t>
                        </w:r>
                      </w:p>
                    </w:tc>
                  </w:tr>
                  <w:tr>
                    <w:trPr>
                      <w:trHeight w:val="2571" w:hRule="exact"/>
                    </w:trPr>
                    <w:tc>
                      <w:tcPr>
                        <w:tcW w:w="1157" w:type="dxa"/>
                        <w:tcBorders>
                          <w:top w:val="dotted" w:sz="4" w:space="0" w:color="FFFFFF"/>
                          <w:left w:val="nil"/>
                          <w:bottom w:val="single" w:sz="4" w:space="0" w:color="FFFFFF"/>
                        </w:tcBorders>
                      </w:tcPr>
                      <w:p>
                        <w:pPr>
                          <w:pStyle w:val="TableParagraph"/>
                          <w:spacing w:line="171" w:lineRule="exact"/>
                          <w:ind w:left="108"/>
                          <w:rPr>
                            <w:sz w:val="16"/>
                          </w:rPr>
                        </w:pPr>
                        <w:r>
                          <w:rPr>
                            <w:sz w:val="16"/>
                          </w:rPr>
                          <w:t>Malinalco</w:t>
                        </w: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8"/>
                          <w:rPr>
                            <w:sz w:val="16"/>
                          </w:rPr>
                        </w:pPr>
                      </w:p>
                      <w:p>
                        <w:pPr>
                          <w:pStyle w:val="TableParagraph"/>
                          <w:tabs>
                            <w:tab w:pos="1141" w:val="left" w:leader="none"/>
                          </w:tabs>
                          <w:ind w:left="35"/>
                          <w:rPr>
                            <w:sz w:val="16"/>
                          </w:rPr>
                        </w:pPr>
                        <w:r>
                          <w:rPr>
                            <w:w w:val="100"/>
                            <w:sz w:val="16"/>
                            <w:u w:val="dotted" w:color="929292"/>
                          </w:rPr>
                          <w:t> </w:t>
                        </w:r>
                        <w:r>
                          <w:rPr>
                            <w:sz w:val="16"/>
                            <w:u w:val="dotted" w:color="929292"/>
                          </w:rPr>
                          <w:tab/>
                        </w:r>
                      </w:p>
                    </w:tc>
                    <w:tc>
                      <w:tcPr>
                        <w:tcW w:w="1412" w:type="dxa"/>
                        <w:tcBorders>
                          <w:top w:val="dotted" w:sz="4" w:space="0" w:color="FFFFFF"/>
                          <w:bottom w:val="single" w:sz="4" w:space="0" w:color="FFFFFF"/>
                        </w:tcBorders>
                      </w:tcPr>
                      <w:p>
                        <w:pPr>
                          <w:pStyle w:val="TableParagraph"/>
                          <w:spacing w:line="171" w:lineRule="exact"/>
                          <w:ind w:left="103"/>
                          <w:rPr>
                            <w:sz w:val="16"/>
                          </w:rPr>
                        </w:pPr>
                        <w:r>
                          <w:rPr>
                            <w:sz w:val="16"/>
                          </w:rPr>
                          <w:t>8,045 personas,</w:t>
                        </w:r>
                      </w:p>
                      <w:p>
                        <w:pPr>
                          <w:pStyle w:val="TableParagraph"/>
                          <w:spacing w:line="261" w:lineRule="auto" w:before="16"/>
                          <w:ind w:left="103" w:right="363"/>
                          <w:rPr>
                            <w:sz w:val="16"/>
                          </w:rPr>
                        </w:pPr>
                        <w:r>
                          <w:rPr>
                            <w:sz w:val="16"/>
                          </w:rPr>
                          <w:t>de las cuales 3,863 son masculinos  y</w:t>
                        </w:r>
                        <w:r>
                          <w:rPr>
                            <w:spacing w:val="-1"/>
                            <w:sz w:val="16"/>
                          </w:rPr>
                          <w:t> </w:t>
                        </w:r>
                        <w:r>
                          <w:rPr>
                            <w:sz w:val="16"/>
                          </w:rPr>
                          <w:t>4,182</w:t>
                        </w:r>
                      </w:p>
                      <w:p>
                        <w:pPr>
                          <w:pStyle w:val="TableParagraph"/>
                          <w:spacing w:line="261" w:lineRule="auto"/>
                          <w:ind w:left="103" w:right="149"/>
                          <w:rPr>
                            <w:sz w:val="16"/>
                          </w:rPr>
                        </w:pPr>
                        <w:r>
                          <w:rPr>
                            <w:sz w:val="16"/>
                          </w:rPr>
                          <w:t>femeninas. La población se divide en: 1,910 menores de edad, 5,399</w:t>
                        </w:r>
                      </w:p>
                      <w:p>
                        <w:pPr>
                          <w:pStyle w:val="TableParagraph"/>
                          <w:spacing w:line="261" w:lineRule="auto"/>
                          <w:ind w:left="103" w:right="273"/>
                          <w:rPr>
                            <w:sz w:val="16"/>
                          </w:rPr>
                        </w:pPr>
                        <w:r>
                          <w:rPr>
                            <w:sz w:val="16"/>
                          </w:rPr>
                          <w:t>adultos, y 736 tienen más de</w:t>
                        </w:r>
                      </w:p>
                      <w:p>
                        <w:pPr>
                          <w:pStyle w:val="TableParagraph"/>
                          <w:tabs>
                            <w:tab w:pos="1391" w:val="left" w:leader="none"/>
                          </w:tabs>
                          <w:ind w:left="25"/>
                          <w:rPr>
                            <w:sz w:val="16"/>
                          </w:rPr>
                        </w:pPr>
                        <w:r>
                          <w:rPr>
                            <w:w w:val="100"/>
                            <w:sz w:val="16"/>
                            <w:u w:val="dotted" w:color="929292"/>
                          </w:rPr>
                          <w:t> </w:t>
                        </w:r>
                        <w:r>
                          <w:rPr>
                            <w:spacing w:val="-11"/>
                            <w:sz w:val="16"/>
                            <w:u w:val="dotted" w:color="929292"/>
                          </w:rPr>
                          <w:t> </w:t>
                        </w:r>
                        <w:r>
                          <w:rPr>
                            <w:sz w:val="16"/>
                            <w:u w:val="dotted" w:color="929292"/>
                          </w:rPr>
                          <w:t>60</w:t>
                        </w:r>
                        <w:r>
                          <w:rPr>
                            <w:spacing w:val="-1"/>
                            <w:sz w:val="16"/>
                            <w:u w:val="dotted" w:color="929292"/>
                          </w:rPr>
                          <w:t> </w:t>
                        </w:r>
                        <w:r>
                          <w:rPr>
                            <w:sz w:val="16"/>
                            <w:u w:val="dotted" w:color="929292"/>
                          </w:rPr>
                          <w:t>años</w:t>
                          <w:tab/>
                        </w:r>
                      </w:p>
                    </w:tc>
                    <w:tc>
                      <w:tcPr>
                        <w:tcW w:w="1415" w:type="dxa"/>
                        <w:tcBorders>
                          <w:top w:val="dotted" w:sz="4" w:space="0" w:color="FFFFFF"/>
                          <w:bottom w:val="single" w:sz="4" w:space="0" w:color="FFFFFF"/>
                        </w:tcBorders>
                      </w:tcPr>
                      <w:p>
                        <w:pPr>
                          <w:pStyle w:val="TableParagraph"/>
                          <w:spacing w:line="171" w:lineRule="exact"/>
                          <w:ind w:left="103" w:right="401"/>
                          <w:rPr>
                            <w:sz w:val="16"/>
                          </w:rPr>
                        </w:pPr>
                        <w:r>
                          <w:rPr>
                            <w:sz w:val="16"/>
                          </w:rPr>
                          <w:t>Hay 512</w:t>
                        </w:r>
                      </w:p>
                      <w:p>
                        <w:pPr>
                          <w:pStyle w:val="TableParagraph"/>
                          <w:spacing w:line="261" w:lineRule="auto" w:before="16"/>
                          <w:ind w:left="103" w:right="401"/>
                          <w:rPr>
                            <w:sz w:val="16"/>
                          </w:rPr>
                        </w:pPr>
                        <w:r>
                          <w:rPr>
                            <w:sz w:val="16"/>
                          </w:rPr>
                          <w:t>analfabetos. Del total de la población 1,343 tienen escolaridad</w:t>
                        </w:r>
                      </w:p>
                      <w:p>
                        <w:pPr>
                          <w:pStyle w:val="TableParagraph"/>
                          <w:spacing w:line="261" w:lineRule="auto"/>
                          <w:ind w:left="103"/>
                          <w:rPr>
                            <w:sz w:val="16"/>
                          </w:rPr>
                        </w:pPr>
                        <w:r>
                          <w:rPr>
                            <w:sz w:val="16"/>
                          </w:rPr>
                          <w:t>básica y 1,194 cuentan con educación pos- básica</w:t>
                        </w:r>
                      </w:p>
                      <w:p>
                        <w:pPr>
                          <w:pStyle w:val="TableParagraph"/>
                          <w:rPr>
                            <w:sz w:val="16"/>
                          </w:rPr>
                        </w:pPr>
                      </w:p>
                      <w:p>
                        <w:pPr>
                          <w:pStyle w:val="TableParagraph"/>
                          <w:spacing w:before="8"/>
                          <w:rPr>
                            <w:sz w:val="18"/>
                          </w:rPr>
                        </w:pPr>
                      </w:p>
                      <w:p>
                        <w:pPr>
                          <w:pStyle w:val="TableParagraph"/>
                          <w:tabs>
                            <w:tab w:pos="1394" w:val="left" w:leader="none"/>
                          </w:tabs>
                          <w:spacing w:before="1"/>
                          <w:ind w:left="25"/>
                          <w:rPr>
                            <w:sz w:val="16"/>
                          </w:rPr>
                        </w:pPr>
                        <w:r>
                          <w:rPr>
                            <w:w w:val="100"/>
                            <w:sz w:val="16"/>
                            <w:u w:val="dotted" w:color="929292"/>
                          </w:rPr>
                          <w:t> </w:t>
                        </w:r>
                        <w:r>
                          <w:rPr>
                            <w:sz w:val="16"/>
                            <w:u w:val="dotted" w:color="929292"/>
                          </w:rPr>
                          <w:tab/>
                        </w:r>
                      </w:p>
                    </w:tc>
                    <w:tc>
                      <w:tcPr>
                        <w:tcW w:w="1454" w:type="dxa"/>
                        <w:tcBorders>
                          <w:top w:val="dotted" w:sz="4" w:space="0" w:color="FFFFFF"/>
                          <w:bottom w:val="single" w:sz="4" w:space="0" w:color="FFFFFF"/>
                        </w:tcBorders>
                      </w:tcPr>
                      <w:p>
                        <w:pPr>
                          <w:pStyle w:val="TableParagraph"/>
                          <w:spacing w:line="171" w:lineRule="exact"/>
                          <w:ind w:left="103" w:right="155"/>
                          <w:rPr>
                            <w:sz w:val="16"/>
                          </w:rPr>
                        </w:pPr>
                        <w:r>
                          <w:rPr>
                            <w:sz w:val="16"/>
                          </w:rPr>
                          <w:t>Derecho a</w:t>
                        </w:r>
                      </w:p>
                      <w:p>
                        <w:pPr>
                          <w:pStyle w:val="TableParagraph"/>
                          <w:spacing w:line="261" w:lineRule="auto" w:before="16"/>
                          <w:ind w:left="103" w:right="155"/>
                          <w:rPr>
                            <w:sz w:val="16"/>
                          </w:rPr>
                        </w:pPr>
                        <w:r>
                          <w:rPr>
                            <w:sz w:val="16"/>
                          </w:rPr>
                          <w:t>atención médica por el seguro social 4,674 habitantes</w:t>
                        </w: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tabs>
                            <w:tab w:pos="1433" w:val="left" w:leader="none"/>
                          </w:tabs>
                          <w:spacing w:before="112"/>
                          <w:ind w:left="25"/>
                          <w:rPr>
                            <w:sz w:val="16"/>
                          </w:rPr>
                        </w:pPr>
                        <w:r>
                          <w:rPr>
                            <w:w w:val="100"/>
                            <w:sz w:val="16"/>
                            <w:u w:val="dotted" w:color="929292"/>
                          </w:rPr>
                          <w:t> </w:t>
                        </w:r>
                        <w:r>
                          <w:rPr>
                            <w:sz w:val="16"/>
                            <w:u w:val="dotted" w:color="929292"/>
                          </w:rPr>
                          <w:tab/>
                        </w:r>
                      </w:p>
                    </w:tc>
                    <w:tc>
                      <w:tcPr>
                        <w:tcW w:w="2262" w:type="dxa"/>
                        <w:tcBorders>
                          <w:top w:val="dotted" w:sz="4" w:space="0" w:color="FFFFFF"/>
                          <w:bottom w:val="single" w:sz="4" w:space="0" w:color="FFFFFF"/>
                          <w:right w:val="nil"/>
                        </w:tcBorders>
                      </w:tcPr>
                      <w:p>
                        <w:pPr>
                          <w:pStyle w:val="TableParagraph"/>
                          <w:spacing w:line="171" w:lineRule="exact"/>
                          <w:ind w:left="103" w:right="226"/>
                          <w:rPr>
                            <w:sz w:val="16"/>
                          </w:rPr>
                        </w:pPr>
                        <w:r>
                          <w:rPr>
                            <w:sz w:val="16"/>
                          </w:rPr>
                          <w:t>3,314 personas</w:t>
                        </w:r>
                      </w:p>
                      <w:p>
                        <w:pPr>
                          <w:pStyle w:val="TableParagraph"/>
                          <w:spacing w:line="261" w:lineRule="auto" w:before="16"/>
                          <w:ind w:left="103" w:right="226"/>
                          <w:rPr>
                            <w:sz w:val="16"/>
                          </w:rPr>
                        </w:pPr>
                        <w:r>
                          <w:rPr>
                            <w:sz w:val="16"/>
                          </w:rPr>
                          <w:t>económicamente activas. El total de viviendas son</w:t>
                        </w:r>
                      </w:p>
                      <w:p>
                        <w:pPr>
                          <w:pStyle w:val="TableParagraph"/>
                          <w:spacing w:line="261" w:lineRule="auto"/>
                          <w:ind w:left="103" w:right="48"/>
                          <w:rPr>
                            <w:sz w:val="16"/>
                          </w:rPr>
                        </w:pPr>
                        <w:r>
                          <w:rPr>
                            <w:sz w:val="16"/>
                          </w:rPr>
                          <w:t>2,633. De estás, 2,018 están habitadas. 1,884 casas son de materiales duraderos, mientras que 95 son de materiales precarios. 1,771 casas poseen todos los servicios públicos, y sólo 68 no cuentan con servicios</w:t>
                        </w:r>
                      </w:p>
                      <w:p>
                        <w:pPr>
                          <w:pStyle w:val="TableParagraph"/>
                          <w:spacing w:before="4"/>
                          <w:rPr>
                            <w:sz w:val="17"/>
                          </w:rPr>
                        </w:pPr>
                      </w:p>
                      <w:p>
                        <w:pPr>
                          <w:pStyle w:val="TableParagraph"/>
                          <w:tabs>
                            <w:tab w:pos="2237" w:val="left" w:leader="none"/>
                          </w:tabs>
                          <w:ind w:left="25"/>
                          <w:rPr>
                            <w:sz w:val="16"/>
                          </w:rPr>
                        </w:pPr>
                        <w:r>
                          <w:rPr>
                            <w:w w:val="100"/>
                            <w:sz w:val="16"/>
                            <w:u w:val="dotted" w:color="929292"/>
                          </w:rPr>
                          <w:t> </w:t>
                        </w:r>
                        <w:r>
                          <w:rPr>
                            <w:sz w:val="16"/>
                            <w:u w:val="dotted" w:color="929292"/>
                          </w:rPr>
                          <w:tab/>
                        </w:r>
                      </w:p>
                    </w:tc>
                  </w:tr>
                  <w:tr>
                    <w:trPr>
                      <w:trHeight w:val="2609" w:hRule="exact"/>
                    </w:trPr>
                    <w:tc>
                      <w:tcPr>
                        <w:tcW w:w="1157" w:type="dxa"/>
                        <w:tcBorders>
                          <w:top w:val="single" w:sz="4" w:space="0" w:color="FFFFFF"/>
                          <w:left w:val="nil"/>
                        </w:tcBorders>
                      </w:tcPr>
                      <w:p>
                        <w:pPr>
                          <w:pStyle w:val="TableParagraph"/>
                          <w:spacing w:line="171" w:lineRule="exact"/>
                          <w:ind w:left="108"/>
                          <w:rPr>
                            <w:sz w:val="16"/>
                          </w:rPr>
                        </w:pPr>
                        <w:r>
                          <w:rPr>
                            <w:sz w:val="16"/>
                          </w:rPr>
                          <w:t>Tenancingo</w:t>
                        </w:r>
                      </w:p>
                      <w:p>
                        <w:pPr>
                          <w:pStyle w:val="TableParagraph"/>
                          <w:spacing w:line="261" w:lineRule="auto" w:before="16"/>
                          <w:ind w:left="108" w:right="303"/>
                          <w:rPr>
                            <w:sz w:val="16"/>
                          </w:rPr>
                        </w:pPr>
                        <w:r>
                          <w:rPr>
                            <w:sz w:val="16"/>
                          </w:rPr>
                          <w:t>de Degollado</w:t>
                        </w:r>
                      </w:p>
                    </w:tc>
                    <w:tc>
                      <w:tcPr>
                        <w:tcW w:w="1412" w:type="dxa"/>
                        <w:tcBorders>
                          <w:top w:val="single" w:sz="4" w:space="0" w:color="FFFFFF"/>
                        </w:tcBorders>
                      </w:tcPr>
                      <w:p>
                        <w:pPr>
                          <w:pStyle w:val="TableParagraph"/>
                          <w:spacing w:line="171" w:lineRule="exact"/>
                          <w:ind w:left="103"/>
                          <w:rPr>
                            <w:sz w:val="16"/>
                          </w:rPr>
                        </w:pPr>
                        <w:r>
                          <w:rPr>
                            <w:sz w:val="16"/>
                          </w:rPr>
                          <w:t>14,174</w:t>
                        </w:r>
                      </w:p>
                      <w:p>
                        <w:pPr>
                          <w:pStyle w:val="TableParagraph"/>
                          <w:spacing w:line="261" w:lineRule="auto" w:before="16"/>
                          <w:ind w:left="103" w:right="124"/>
                          <w:rPr>
                            <w:sz w:val="16"/>
                          </w:rPr>
                        </w:pPr>
                        <w:r>
                          <w:rPr>
                            <w:sz w:val="16"/>
                          </w:rPr>
                          <w:t>personas,  de los cuales 6,779 son masculinos y 7,395</w:t>
                        </w:r>
                      </w:p>
                      <w:p>
                        <w:pPr>
                          <w:pStyle w:val="TableParagraph"/>
                          <w:spacing w:line="261" w:lineRule="auto"/>
                          <w:ind w:left="103" w:right="149"/>
                          <w:rPr>
                            <w:sz w:val="16"/>
                          </w:rPr>
                        </w:pPr>
                        <w:r>
                          <w:rPr>
                            <w:sz w:val="16"/>
                          </w:rPr>
                          <w:t>femeninas. La población se divide en: 3,063 menores de edad, 9,515</w:t>
                        </w:r>
                      </w:p>
                      <w:p>
                        <w:pPr>
                          <w:pStyle w:val="TableParagraph"/>
                          <w:spacing w:line="261" w:lineRule="auto"/>
                          <w:ind w:left="103" w:right="149"/>
                          <w:rPr>
                            <w:sz w:val="16"/>
                          </w:rPr>
                        </w:pPr>
                        <w:r>
                          <w:rPr>
                            <w:sz w:val="16"/>
                          </w:rPr>
                          <w:t>adultos, y 1,596 tienen más de 60 años</w:t>
                        </w:r>
                      </w:p>
                    </w:tc>
                    <w:tc>
                      <w:tcPr>
                        <w:tcW w:w="1415" w:type="dxa"/>
                        <w:tcBorders>
                          <w:top w:val="single" w:sz="4" w:space="0" w:color="FFFFFF"/>
                        </w:tcBorders>
                      </w:tcPr>
                      <w:p>
                        <w:pPr>
                          <w:pStyle w:val="TableParagraph"/>
                          <w:spacing w:line="171" w:lineRule="exact"/>
                          <w:ind w:left="103" w:right="401"/>
                          <w:rPr>
                            <w:sz w:val="16"/>
                          </w:rPr>
                        </w:pPr>
                        <w:r>
                          <w:rPr>
                            <w:sz w:val="16"/>
                          </w:rPr>
                          <w:t>Hay 464</w:t>
                        </w:r>
                      </w:p>
                      <w:p>
                        <w:pPr>
                          <w:pStyle w:val="TableParagraph"/>
                          <w:spacing w:line="261" w:lineRule="auto" w:before="16"/>
                          <w:ind w:left="103" w:right="401"/>
                          <w:rPr>
                            <w:sz w:val="16"/>
                          </w:rPr>
                        </w:pPr>
                        <w:r>
                          <w:rPr>
                            <w:sz w:val="16"/>
                          </w:rPr>
                          <w:t>analfabetos. Del total de la población 2,456 tienen escolaridad</w:t>
                        </w:r>
                      </w:p>
                      <w:p>
                        <w:pPr>
                          <w:pStyle w:val="TableParagraph"/>
                          <w:spacing w:line="261" w:lineRule="auto"/>
                          <w:ind w:left="103"/>
                          <w:rPr>
                            <w:sz w:val="16"/>
                          </w:rPr>
                        </w:pPr>
                        <w:r>
                          <w:rPr>
                            <w:sz w:val="16"/>
                          </w:rPr>
                          <w:t>básica y 3,980 cuentan con educación pos- básica</w:t>
                        </w:r>
                      </w:p>
                    </w:tc>
                    <w:tc>
                      <w:tcPr>
                        <w:tcW w:w="1454" w:type="dxa"/>
                        <w:tcBorders>
                          <w:top w:val="single" w:sz="4" w:space="0" w:color="FFFFFF"/>
                        </w:tcBorders>
                      </w:tcPr>
                      <w:p>
                        <w:pPr>
                          <w:pStyle w:val="TableParagraph"/>
                          <w:spacing w:line="171" w:lineRule="exact"/>
                          <w:ind w:left="103" w:right="155"/>
                          <w:rPr>
                            <w:sz w:val="16"/>
                          </w:rPr>
                        </w:pPr>
                        <w:r>
                          <w:rPr>
                            <w:sz w:val="16"/>
                          </w:rPr>
                          <w:t>Derecho a</w:t>
                        </w:r>
                      </w:p>
                      <w:p>
                        <w:pPr>
                          <w:pStyle w:val="TableParagraph"/>
                          <w:spacing w:line="261" w:lineRule="auto" w:before="16"/>
                          <w:ind w:left="103" w:right="137"/>
                          <w:rPr>
                            <w:sz w:val="16"/>
                          </w:rPr>
                        </w:pPr>
                        <w:r>
                          <w:rPr>
                            <w:sz w:val="16"/>
                          </w:rPr>
                          <w:t>atención médica por el seguro social, tienen 6,638 habitantes</w:t>
                        </w:r>
                      </w:p>
                    </w:tc>
                    <w:tc>
                      <w:tcPr>
                        <w:tcW w:w="2262" w:type="dxa"/>
                        <w:tcBorders>
                          <w:top w:val="single" w:sz="4" w:space="0" w:color="FFFFFF"/>
                          <w:right w:val="nil"/>
                        </w:tcBorders>
                      </w:tcPr>
                      <w:p>
                        <w:pPr>
                          <w:pStyle w:val="TableParagraph"/>
                          <w:spacing w:line="171" w:lineRule="exact"/>
                          <w:ind w:left="103" w:right="226"/>
                          <w:rPr>
                            <w:sz w:val="16"/>
                          </w:rPr>
                        </w:pPr>
                        <w:r>
                          <w:rPr>
                            <w:sz w:val="16"/>
                          </w:rPr>
                          <w:t>5,855 personas</w:t>
                        </w:r>
                      </w:p>
                      <w:p>
                        <w:pPr>
                          <w:pStyle w:val="TableParagraph"/>
                          <w:spacing w:line="261" w:lineRule="auto" w:before="16"/>
                          <w:ind w:left="103" w:right="226"/>
                          <w:rPr>
                            <w:sz w:val="16"/>
                          </w:rPr>
                        </w:pPr>
                        <w:r>
                          <w:rPr>
                            <w:sz w:val="16"/>
                          </w:rPr>
                          <w:t>económicamente activas. El total de viviendas son</w:t>
                        </w:r>
                      </w:p>
                      <w:p>
                        <w:pPr>
                          <w:pStyle w:val="TableParagraph"/>
                          <w:spacing w:line="261" w:lineRule="auto"/>
                          <w:ind w:left="103" w:right="48"/>
                          <w:rPr>
                            <w:sz w:val="16"/>
                          </w:rPr>
                        </w:pPr>
                        <w:r>
                          <w:rPr>
                            <w:sz w:val="16"/>
                          </w:rPr>
                          <w:t>3,944. De estás, 3,394 están habitadas. 3,253 casas son de materiales duraderos,</w:t>
                        </w:r>
                      </w:p>
                      <w:p>
                        <w:pPr>
                          <w:pStyle w:val="TableParagraph"/>
                          <w:spacing w:line="261" w:lineRule="auto"/>
                          <w:ind w:left="103" w:right="226"/>
                          <w:rPr>
                            <w:sz w:val="16"/>
                          </w:rPr>
                        </w:pPr>
                        <w:r>
                          <w:rPr>
                            <w:sz w:val="16"/>
                          </w:rPr>
                          <w:t>y 102 son de materiales precarios. 3,244 casas poseen todos los servicios públicos, y sólo 33 no cuentan con servicios</w:t>
                        </w:r>
                      </w:p>
                    </w:tc>
                  </w:tr>
                  <w:tr>
                    <w:trPr>
                      <w:trHeight w:val="2371" w:hRule="exact"/>
                    </w:trPr>
                    <w:tc>
                      <w:tcPr>
                        <w:tcW w:w="1157" w:type="dxa"/>
                        <w:tcBorders>
                          <w:left w:val="nil"/>
                          <w:bottom w:val="nil"/>
                        </w:tcBorders>
                      </w:tcPr>
                      <w:p>
                        <w:pPr>
                          <w:pStyle w:val="TableParagraph"/>
                          <w:spacing w:line="171" w:lineRule="exact"/>
                          <w:ind w:left="108"/>
                          <w:rPr>
                            <w:sz w:val="16"/>
                          </w:rPr>
                        </w:pPr>
                        <w:r>
                          <w:rPr>
                            <w:sz w:val="16"/>
                          </w:rPr>
                          <w:t>Villa</w:t>
                        </w:r>
                      </w:p>
                      <w:p>
                        <w:pPr>
                          <w:pStyle w:val="TableParagraph"/>
                          <w:spacing w:before="16"/>
                          <w:ind w:left="108"/>
                          <w:rPr>
                            <w:sz w:val="16"/>
                          </w:rPr>
                        </w:pPr>
                        <w:r>
                          <w:rPr>
                            <w:sz w:val="16"/>
                          </w:rPr>
                          <w:t>Guerrero</w:t>
                        </w: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0"/>
                          <w:rPr>
                            <w:sz w:val="13"/>
                          </w:rPr>
                        </w:pPr>
                      </w:p>
                      <w:p>
                        <w:pPr>
                          <w:pStyle w:val="TableParagraph"/>
                          <w:tabs>
                            <w:tab w:pos="1141" w:val="left" w:leader="none"/>
                          </w:tabs>
                          <w:ind w:left="35"/>
                          <w:rPr>
                            <w:sz w:val="16"/>
                          </w:rPr>
                        </w:pPr>
                        <w:r>
                          <w:rPr>
                            <w:w w:val="100"/>
                            <w:sz w:val="16"/>
                            <w:u w:val="dotted" w:color="929292"/>
                          </w:rPr>
                          <w:t> </w:t>
                        </w:r>
                        <w:r>
                          <w:rPr>
                            <w:sz w:val="16"/>
                            <w:u w:val="dotted" w:color="929292"/>
                          </w:rPr>
                          <w:tab/>
                        </w:r>
                      </w:p>
                    </w:tc>
                    <w:tc>
                      <w:tcPr>
                        <w:tcW w:w="1412" w:type="dxa"/>
                        <w:tcBorders>
                          <w:bottom w:val="single" w:sz="4" w:space="0" w:color="FFFFFF"/>
                        </w:tcBorders>
                      </w:tcPr>
                      <w:p>
                        <w:pPr>
                          <w:pStyle w:val="TableParagraph"/>
                          <w:spacing w:line="171" w:lineRule="exact"/>
                          <w:ind w:left="103"/>
                          <w:rPr>
                            <w:sz w:val="16"/>
                          </w:rPr>
                        </w:pPr>
                        <w:r>
                          <w:rPr>
                            <w:sz w:val="16"/>
                          </w:rPr>
                          <w:t>9,509 personas,</w:t>
                        </w:r>
                      </w:p>
                      <w:p>
                        <w:pPr>
                          <w:pStyle w:val="TableParagraph"/>
                          <w:spacing w:line="261" w:lineRule="auto" w:before="16"/>
                          <w:ind w:left="103" w:right="222"/>
                          <w:rPr>
                            <w:sz w:val="16"/>
                          </w:rPr>
                        </w:pPr>
                        <w:r>
                          <w:rPr>
                            <w:sz w:val="16"/>
                          </w:rPr>
                          <w:t>de las cuales 4,494 son masculinos y 5,015 mujeres. La población se divide en: 2,379 menores</w:t>
                        </w:r>
                      </w:p>
                      <w:p>
                        <w:pPr>
                          <w:pStyle w:val="TableParagraph"/>
                          <w:ind w:left="103"/>
                          <w:rPr>
                            <w:sz w:val="16"/>
                          </w:rPr>
                        </w:pPr>
                        <w:r>
                          <w:rPr>
                            <w:sz w:val="16"/>
                          </w:rPr>
                          <w:t>de edad, 6,368</w:t>
                        </w:r>
                      </w:p>
                      <w:p>
                        <w:pPr>
                          <w:pStyle w:val="TableParagraph"/>
                          <w:spacing w:line="261" w:lineRule="auto" w:before="16"/>
                          <w:ind w:left="103" w:right="273"/>
                          <w:rPr>
                            <w:sz w:val="16"/>
                          </w:rPr>
                        </w:pPr>
                        <w:r>
                          <w:rPr>
                            <w:sz w:val="16"/>
                          </w:rPr>
                          <w:t>adultos, y 762 tienen más de</w:t>
                        </w:r>
                      </w:p>
                      <w:p>
                        <w:pPr>
                          <w:pStyle w:val="TableParagraph"/>
                          <w:tabs>
                            <w:tab w:pos="1391" w:val="left" w:leader="none"/>
                          </w:tabs>
                          <w:ind w:left="25"/>
                          <w:rPr>
                            <w:sz w:val="16"/>
                          </w:rPr>
                        </w:pPr>
                        <w:r>
                          <w:rPr>
                            <w:w w:val="100"/>
                            <w:sz w:val="16"/>
                            <w:u w:val="dotted" w:color="929292"/>
                          </w:rPr>
                          <w:t> </w:t>
                        </w:r>
                        <w:r>
                          <w:rPr>
                            <w:spacing w:val="-11"/>
                            <w:sz w:val="16"/>
                            <w:u w:val="dotted" w:color="929292"/>
                          </w:rPr>
                          <w:t> </w:t>
                        </w:r>
                        <w:r>
                          <w:rPr>
                            <w:sz w:val="16"/>
                            <w:u w:val="dotted" w:color="929292"/>
                          </w:rPr>
                          <w:t>60</w:t>
                        </w:r>
                        <w:r>
                          <w:rPr>
                            <w:spacing w:val="-1"/>
                            <w:sz w:val="16"/>
                            <w:u w:val="dotted" w:color="929292"/>
                          </w:rPr>
                          <w:t> </w:t>
                        </w:r>
                        <w:r>
                          <w:rPr>
                            <w:sz w:val="16"/>
                            <w:u w:val="dotted" w:color="929292"/>
                          </w:rPr>
                          <w:t>años</w:t>
                          <w:tab/>
                        </w:r>
                      </w:p>
                    </w:tc>
                    <w:tc>
                      <w:tcPr>
                        <w:tcW w:w="1415" w:type="dxa"/>
                        <w:tcBorders>
                          <w:bottom w:val="single" w:sz="4" w:space="0" w:color="FFFFFF"/>
                        </w:tcBorders>
                      </w:tcPr>
                      <w:p>
                        <w:pPr>
                          <w:pStyle w:val="TableParagraph"/>
                          <w:spacing w:line="171" w:lineRule="exact"/>
                          <w:ind w:left="103" w:right="401"/>
                          <w:rPr>
                            <w:sz w:val="16"/>
                          </w:rPr>
                        </w:pPr>
                        <w:r>
                          <w:rPr>
                            <w:sz w:val="16"/>
                          </w:rPr>
                          <w:t>Hay 257</w:t>
                        </w:r>
                      </w:p>
                      <w:p>
                        <w:pPr>
                          <w:pStyle w:val="TableParagraph"/>
                          <w:spacing w:line="261" w:lineRule="auto" w:before="16"/>
                          <w:ind w:left="103" w:right="401"/>
                          <w:rPr>
                            <w:sz w:val="16"/>
                          </w:rPr>
                        </w:pPr>
                        <w:r>
                          <w:rPr>
                            <w:sz w:val="16"/>
                          </w:rPr>
                          <w:t>analfabetos. Del total de la población 1,469 tienen escolaridad</w:t>
                        </w:r>
                      </w:p>
                      <w:p>
                        <w:pPr>
                          <w:pStyle w:val="TableParagraph"/>
                          <w:spacing w:line="261" w:lineRule="auto"/>
                          <w:ind w:left="103"/>
                          <w:rPr>
                            <w:sz w:val="16"/>
                          </w:rPr>
                        </w:pPr>
                        <w:r>
                          <w:rPr>
                            <w:sz w:val="16"/>
                          </w:rPr>
                          <w:t>básica y 1,963 cuentan con educación pos- básica</w:t>
                        </w:r>
                      </w:p>
                      <w:p>
                        <w:pPr>
                          <w:pStyle w:val="TableParagraph"/>
                          <w:spacing w:before="4"/>
                          <w:rPr>
                            <w:sz w:val="17"/>
                          </w:rPr>
                        </w:pPr>
                      </w:p>
                      <w:p>
                        <w:pPr>
                          <w:pStyle w:val="TableParagraph"/>
                          <w:tabs>
                            <w:tab w:pos="1394" w:val="left" w:leader="none"/>
                          </w:tabs>
                          <w:ind w:left="25"/>
                          <w:rPr>
                            <w:sz w:val="16"/>
                          </w:rPr>
                        </w:pPr>
                        <w:r>
                          <w:rPr>
                            <w:w w:val="100"/>
                            <w:sz w:val="16"/>
                            <w:u w:val="dotted" w:color="929292"/>
                          </w:rPr>
                          <w:t> </w:t>
                        </w:r>
                        <w:r>
                          <w:rPr>
                            <w:sz w:val="16"/>
                            <w:u w:val="dotted" w:color="929292"/>
                          </w:rPr>
                          <w:tab/>
                        </w:r>
                      </w:p>
                    </w:tc>
                    <w:tc>
                      <w:tcPr>
                        <w:tcW w:w="1454" w:type="dxa"/>
                        <w:tcBorders>
                          <w:bottom w:val="single" w:sz="4" w:space="0" w:color="FFFFFF"/>
                        </w:tcBorders>
                      </w:tcPr>
                      <w:p>
                        <w:pPr>
                          <w:pStyle w:val="TableParagraph"/>
                          <w:spacing w:line="171" w:lineRule="exact"/>
                          <w:ind w:left="103" w:right="155"/>
                          <w:rPr>
                            <w:sz w:val="16"/>
                          </w:rPr>
                        </w:pPr>
                        <w:r>
                          <w:rPr>
                            <w:sz w:val="16"/>
                          </w:rPr>
                          <w:t>Derecho a</w:t>
                        </w:r>
                      </w:p>
                      <w:p>
                        <w:pPr>
                          <w:pStyle w:val="TableParagraph"/>
                          <w:spacing w:line="261" w:lineRule="auto" w:before="16"/>
                          <w:ind w:left="103" w:right="137"/>
                          <w:rPr>
                            <w:sz w:val="16"/>
                          </w:rPr>
                        </w:pPr>
                        <w:r>
                          <w:rPr>
                            <w:sz w:val="16"/>
                          </w:rPr>
                          <w:t>atención médica por el seguro social, tienen 6,560 habitantes</w:t>
                        </w: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tabs>
                            <w:tab w:pos="1433" w:val="left" w:leader="none"/>
                          </w:tabs>
                          <w:spacing w:before="96"/>
                          <w:ind w:left="25"/>
                          <w:rPr>
                            <w:sz w:val="16"/>
                          </w:rPr>
                        </w:pPr>
                        <w:r>
                          <w:rPr>
                            <w:w w:val="100"/>
                            <w:sz w:val="16"/>
                            <w:u w:val="dotted" w:color="929292"/>
                          </w:rPr>
                          <w:t> </w:t>
                        </w:r>
                        <w:r>
                          <w:rPr>
                            <w:sz w:val="16"/>
                            <w:u w:val="dotted" w:color="929292"/>
                          </w:rPr>
                          <w:tab/>
                        </w:r>
                      </w:p>
                    </w:tc>
                    <w:tc>
                      <w:tcPr>
                        <w:tcW w:w="2262" w:type="dxa"/>
                        <w:tcBorders>
                          <w:bottom w:val="single" w:sz="4" w:space="0" w:color="FFFFFF"/>
                          <w:right w:val="nil"/>
                        </w:tcBorders>
                      </w:tcPr>
                      <w:p>
                        <w:pPr>
                          <w:pStyle w:val="TableParagraph"/>
                          <w:spacing w:line="171" w:lineRule="exact"/>
                          <w:ind w:left="103" w:right="226"/>
                          <w:rPr>
                            <w:sz w:val="16"/>
                          </w:rPr>
                        </w:pPr>
                        <w:r>
                          <w:rPr>
                            <w:sz w:val="16"/>
                          </w:rPr>
                          <w:t>4,318 personas</w:t>
                        </w:r>
                      </w:p>
                      <w:p>
                        <w:pPr>
                          <w:pStyle w:val="TableParagraph"/>
                          <w:spacing w:line="261" w:lineRule="auto" w:before="16"/>
                          <w:ind w:left="103" w:right="226"/>
                          <w:rPr>
                            <w:sz w:val="16"/>
                          </w:rPr>
                        </w:pPr>
                        <w:r>
                          <w:rPr>
                            <w:sz w:val="16"/>
                          </w:rPr>
                          <w:t>económicamente activas. El total de viviendas son</w:t>
                        </w:r>
                      </w:p>
                      <w:p>
                        <w:pPr>
                          <w:pStyle w:val="TableParagraph"/>
                          <w:spacing w:line="261" w:lineRule="auto"/>
                          <w:ind w:left="103" w:right="48"/>
                          <w:rPr>
                            <w:sz w:val="16"/>
                          </w:rPr>
                        </w:pPr>
                        <w:r>
                          <w:rPr>
                            <w:sz w:val="16"/>
                          </w:rPr>
                          <w:t>2,562. De estás, 2,248 están habitadas. 2,165 casas son de materiales duraderos, mientras que 75 son de materiales precarios. 2,155 casas poseen todos los servicios públicos, y sólo 20 no cuentan con servicios</w:t>
                        </w:r>
                      </w:p>
                      <w:p>
                        <w:pPr>
                          <w:pStyle w:val="TableParagraph"/>
                          <w:tabs>
                            <w:tab w:pos="2237" w:val="left" w:leader="none"/>
                          </w:tabs>
                          <w:ind w:left="25"/>
                          <w:rPr>
                            <w:sz w:val="16"/>
                          </w:rPr>
                        </w:pPr>
                        <w:r>
                          <w:rPr>
                            <w:w w:val="100"/>
                            <w:sz w:val="16"/>
                            <w:u w:val="dotted" w:color="929292"/>
                          </w:rPr>
                          <w:t> </w:t>
                        </w:r>
                        <w:r>
                          <w:rPr>
                            <w:sz w:val="16"/>
                            <w:u w:val="dotted" w:color="929292"/>
                          </w:rPr>
                          <w:tab/>
                        </w:r>
                      </w:p>
                    </w:tc>
                  </w:tr>
                </w:tbl>
                <w:p>
                  <w:pPr>
                    <w:pStyle w:val="BodyText"/>
                  </w:pPr>
                </w:p>
              </w:txbxContent>
            </v:textbox>
            <w10:wrap type="none"/>
          </v:shape>
        </w:pict>
      </w:r>
      <w:r>
        <w:rPr>
          <w:color w:val="6D6E71"/>
          <w:sz w:val="16"/>
        </w:rPr>
        <w:t>Figura 3. Las doce localidades estudiadas en el contexto de los tres  municipios</w:t>
      </w:r>
    </w:p>
    <w:p>
      <w:pPr>
        <w:pStyle w:val="BodyText"/>
        <w:spacing w:before="8"/>
        <w:rPr>
          <w:sz w:val="8"/>
        </w:rPr>
      </w:pPr>
      <w:r>
        <w:rPr/>
        <w:drawing>
          <wp:anchor distT="0" distB="0" distL="0" distR="0" allowOverlap="1" layoutInCell="1" locked="0" behindDoc="0" simplePos="0" relativeHeight="10840">
            <wp:simplePos x="0" y="0"/>
            <wp:positionH relativeFrom="page">
              <wp:posOffset>6708216</wp:posOffset>
            </wp:positionH>
            <wp:positionV relativeFrom="paragraph">
              <wp:posOffset>88550</wp:posOffset>
            </wp:positionV>
            <wp:extent cx="4522366" cy="2791682"/>
            <wp:effectExtent l="0" t="0" r="0" b="0"/>
            <wp:wrapTopAndBottom/>
            <wp:docPr id="107" name="image72.jpeg" descr=""/>
            <wp:cNvGraphicFramePr>
              <a:graphicFrameLocks noChangeAspect="1"/>
            </wp:cNvGraphicFramePr>
            <a:graphic>
              <a:graphicData uri="http://schemas.openxmlformats.org/drawingml/2006/picture">
                <pic:pic>
                  <pic:nvPicPr>
                    <pic:cNvPr id="108" name="image72.jpeg"/>
                    <pic:cNvPicPr/>
                  </pic:nvPicPr>
                  <pic:blipFill>
                    <a:blip r:embed="rId261" cstate="print"/>
                    <a:stretch>
                      <a:fillRect/>
                    </a:stretch>
                  </pic:blipFill>
                  <pic:spPr>
                    <a:xfrm>
                      <a:off x="0" y="0"/>
                      <a:ext cx="4522366" cy="2791682"/>
                    </a:xfrm>
                    <a:prstGeom prst="rect">
                      <a:avLst/>
                    </a:prstGeom>
                  </pic:spPr>
                </pic:pic>
              </a:graphicData>
            </a:graphic>
          </wp:anchor>
        </w:drawing>
      </w:r>
    </w:p>
    <w:p>
      <w:pPr>
        <w:spacing w:before="51"/>
        <w:ind w:left="3959" w:right="1154" w:firstLine="0"/>
        <w:jc w:val="center"/>
        <w:rPr>
          <w:sz w:val="16"/>
        </w:rPr>
      </w:pPr>
      <w:r>
        <w:rPr>
          <w:color w:val="6D6E71"/>
          <w:sz w:val="16"/>
        </w:rPr>
        <w:t>Fuente. Elaboración propia, 2014</w:t>
      </w:r>
    </w:p>
    <w:p>
      <w:pPr>
        <w:spacing w:after="0"/>
        <w:jc w:val="center"/>
        <w:rPr>
          <w:sz w:val="16"/>
        </w:rPr>
        <w:sectPr>
          <w:type w:val="continuous"/>
          <w:pgSz w:w="18830" w:h="12760" w:orient="landscape"/>
          <w:pgMar w:top="1420" w:bottom="280" w:left="720" w:right="720"/>
          <w:cols w:num="2" w:equalWidth="0">
            <w:col w:w="4708" w:space="1871"/>
            <w:col w:w="10811"/>
          </w:cols>
        </w:sectPr>
      </w:pPr>
    </w:p>
    <w:p>
      <w:pPr>
        <w:pStyle w:val="BodyText"/>
        <w:spacing w:before="8"/>
      </w:pPr>
    </w:p>
    <w:p>
      <w:pPr>
        <w:spacing w:after="0"/>
        <w:sectPr>
          <w:footerReference w:type="default" r:id="rId262"/>
          <w:pgSz w:w="18830" w:h="12760" w:orient="landscape"/>
          <w:pgMar w:footer="1036" w:header="522" w:top="820" w:bottom="1220" w:left="720" w:right="720"/>
        </w:sectPr>
      </w:pPr>
    </w:p>
    <w:p>
      <w:pPr>
        <w:pStyle w:val="Heading2"/>
        <w:spacing w:before="71"/>
        <w:ind w:left="299"/>
        <w:jc w:val="center"/>
        <w:rPr>
          <w:i/>
        </w:rPr>
      </w:pPr>
      <w:r>
        <w:rPr>
          <w:i/>
        </w:rPr>
        <w:t>Análisis Espacial Estadístico de las Localidades por Municipio</w:t>
      </w:r>
    </w:p>
    <w:p>
      <w:pPr>
        <w:pStyle w:val="BodyText"/>
        <w:rPr>
          <w:b/>
          <w:i/>
          <w:sz w:val="21"/>
        </w:rPr>
      </w:pPr>
    </w:p>
    <w:p>
      <w:pPr>
        <w:pStyle w:val="BodyText"/>
        <w:ind w:left="300" w:right="-12"/>
      </w:pPr>
      <w:r>
        <w:rPr/>
        <w:t>Se</w:t>
      </w:r>
      <w:r>
        <w:rPr>
          <w:spacing w:val="-17"/>
        </w:rPr>
        <w:t> </w:t>
      </w:r>
      <w:r>
        <w:rPr/>
        <w:t>presenta</w:t>
      </w:r>
      <w:r>
        <w:rPr>
          <w:spacing w:val="-17"/>
        </w:rPr>
        <w:t> </w:t>
      </w:r>
      <w:r>
        <w:rPr/>
        <w:t>el</w:t>
      </w:r>
      <w:r>
        <w:rPr>
          <w:spacing w:val="-17"/>
        </w:rPr>
        <w:t> </w:t>
      </w:r>
      <w:r>
        <w:rPr/>
        <w:t>Análisis</w:t>
      </w:r>
      <w:r>
        <w:rPr>
          <w:spacing w:val="-17"/>
        </w:rPr>
        <w:t> </w:t>
      </w:r>
      <w:r>
        <w:rPr/>
        <w:t>Espacial</w:t>
      </w:r>
      <w:r>
        <w:rPr>
          <w:spacing w:val="-17"/>
        </w:rPr>
        <w:t> </w:t>
      </w:r>
      <w:r>
        <w:rPr/>
        <w:t>de</w:t>
      </w:r>
      <w:r>
        <w:rPr>
          <w:spacing w:val="-17"/>
        </w:rPr>
        <w:t> </w:t>
      </w:r>
      <w:r>
        <w:rPr/>
        <w:t>los</w:t>
      </w:r>
      <w:r>
        <w:rPr>
          <w:spacing w:val="-17"/>
        </w:rPr>
        <w:t> </w:t>
      </w:r>
      <w:r>
        <w:rPr/>
        <w:t>huertos</w:t>
      </w:r>
      <w:r>
        <w:rPr>
          <w:spacing w:val="-17"/>
        </w:rPr>
        <w:t> </w:t>
      </w:r>
      <w:r>
        <w:rPr/>
        <w:t>familiares,</w:t>
      </w:r>
      <w:r>
        <w:rPr>
          <w:spacing w:val="-17"/>
        </w:rPr>
        <w:t> </w:t>
      </w:r>
      <w:r>
        <w:rPr/>
        <w:t>que</w:t>
      </w:r>
      <w:r>
        <w:rPr>
          <w:spacing w:val="-17"/>
        </w:rPr>
        <w:t> </w:t>
      </w:r>
      <w:r>
        <w:rPr/>
        <w:t>a</w:t>
      </w:r>
      <w:r>
        <w:rPr>
          <w:spacing w:val="-17"/>
        </w:rPr>
        <w:t> </w:t>
      </w:r>
      <w:r>
        <w:rPr/>
        <w:t>la</w:t>
      </w:r>
      <w:r>
        <w:rPr>
          <w:spacing w:val="-17"/>
        </w:rPr>
        <w:t> </w:t>
      </w:r>
      <w:r>
        <w:rPr/>
        <w:t>fecha</w:t>
      </w:r>
      <w:r>
        <w:rPr>
          <w:spacing w:val="-17"/>
        </w:rPr>
        <w:t> </w:t>
      </w:r>
      <w:r>
        <w:rPr/>
        <w:t>está</w:t>
      </w:r>
      <w:r>
        <w:rPr>
          <w:spacing w:val="-17"/>
        </w:rPr>
        <w:t> </w:t>
      </w:r>
      <w:r>
        <w:rPr/>
        <w:t>concluido</w:t>
      </w:r>
    </w:p>
    <w:p>
      <w:pPr>
        <w:pStyle w:val="BodyText"/>
      </w:pPr>
    </w:p>
    <w:p>
      <w:pPr>
        <w:pStyle w:val="BodyText"/>
        <w:spacing w:before="4"/>
        <w:rPr>
          <w:sz w:val="19"/>
        </w:rPr>
      </w:pPr>
    </w:p>
    <w:p>
      <w:pPr>
        <w:pStyle w:val="Heading2"/>
        <w:ind w:right="-7"/>
        <w:rPr>
          <w:i/>
        </w:rPr>
      </w:pPr>
      <w:r>
        <w:rPr>
          <w:i/>
        </w:rPr>
        <w:t>Municipio de Malinalco</w:t>
      </w:r>
    </w:p>
    <w:p>
      <w:pPr>
        <w:pStyle w:val="BodyText"/>
        <w:rPr>
          <w:b/>
          <w:i/>
          <w:sz w:val="21"/>
        </w:rPr>
      </w:pPr>
    </w:p>
    <w:p>
      <w:pPr>
        <w:pStyle w:val="BodyText"/>
        <w:spacing w:line="249" w:lineRule="auto"/>
        <w:ind w:left="130" w:firstLine="170"/>
        <w:jc w:val="both"/>
      </w:pPr>
      <w:r>
        <w:rPr/>
        <w:t>El análisis espacial en el municipio de Malinalco muestra que las cuatro localidades estudiadas presentan un total de 140 huertos. La localidad con la mayor superficie proporcional ocupada por huertos es El Platanar, seguida de San Nicolás, Colonia Juárez; y es la cabecera municipal la localidad que presenta la menor densidad         de superficie con huertos familiares. En números absolutos la localidad con mayor superficie de AEHF es la cabecera municipal, seguida de San Nicolás, El Platanar       y finalmente la Colonia Juárez. Al analizar el número de huertos se observa que la mayor cantidad de huertos se encuentran en la cabecera municipal, seguido de San Nicolás, El Platanar y Colonia Juárez. La superficie promedio de cada huerto es mayor en la cabecera municipal, seguido de El Platanar y de San Nicolás; los huertos más pequeños se observan en Colonia</w:t>
      </w:r>
      <w:r>
        <w:rPr>
          <w:spacing w:val="1"/>
        </w:rPr>
        <w:t> </w:t>
      </w:r>
      <w:r>
        <w:rPr/>
        <w:t>Juárez.</w:t>
      </w:r>
    </w:p>
    <w:p>
      <w:pPr>
        <w:pStyle w:val="BodyText"/>
        <w:spacing w:before="2"/>
        <w:rPr>
          <w:sz w:val="24"/>
        </w:rPr>
      </w:pPr>
    </w:p>
    <w:p>
      <w:pPr>
        <w:spacing w:line="312" w:lineRule="auto" w:before="0"/>
        <w:ind w:left="132" w:right="0" w:firstLine="0"/>
        <w:jc w:val="center"/>
        <w:rPr>
          <w:sz w:val="16"/>
        </w:rPr>
      </w:pPr>
      <w:r>
        <w:rPr>
          <w:color w:val="6D6E71"/>
          <w:sz w:val="16"/>
        </w:rPr>
        <w:t>Cuadro 5. Número de huertos familiares, superficie promedio de los huertos y proporción de superficie con huertos, respecto a la superficie total de las localidades en el municipio de  Malinalco</w:t>
      </w:r>
    </w:p>
    <w:p>
      <w:pPr>
        <w:pStyle w:val="BodyText"/>
        <w:spacing w:before="3"/>
        <w:rPr>
          <w:sz w:val="4"/>
        </w:rPr>
      </w:pPr>
    </w:p>
    <w:tbl>
      <w:tblPr>
        <w:tblW w:w="0" w:type="auto"/>
        <w:jc w:val="left"/>
        <w:tblInd w:w="397"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1614"/>
        <w:gridCol w:w="851"/>
        <w:gridCol w:w="1136"/>
        <w:gridCol w:w="1027"/>
        <w:gridCol w:w="943"/>
        <w:gridCol w:w="1605"/>
      </w:tblGrid>
      <w:tr>
        <w:trPr>
          <w:trHeight w:val="1374" w:hRule="exact"/>
        </w:trPr>
        <w:tc>
          <w:tcPr>
            <w:tcW w:w="1614" w:type="dxa"/>
            <w:tcBorders>
              <w:top w:val="nil"/>
              <w:left w:val="nil"/>
              <w:bottom w:val="dotted" w:sz="4" w:space="0" w:color="FFFFFF"/>
              <w:right w:val="single" w:sz="4" w:space="0" w:color="FFFFFF"/>
            </w:tcBorders>
            <w:shd w:val="clear" w:color="auto" w:fill="929292"/>
          </w:tcPr>
          <w:p>
            <w:pPr>
              <w:pStyle w:val="TableParagraph"/>
              <w:rPr>
                <w:sz w:val="16"/>
              </w:rPr>
            </w:pPr>
          </w:p>
          <w:p>
            <w:pPr>
              <w:pStyle w:val="TableParagraph"/>
              <w:rPr>
                <w:sz w:val="16"/>
              </w:rPr>
            </w:pPr>
          </w:p>
          <w:p>
            <w:pPr>
              <w:pStyle w:val="TableParagraph"/>
              <w:spacing w:before="131"/>
              <w:ind w:left="107"/>
              <w:rPr>
                <w:sz w:val="16"/>
              </w:rPr>
            </w:pPr>
            <w:r>
              <w:rPr>
                <w:sz w:val="16"/>
              </w:rPr>
              <w:t>Localidad</w:t>
            </w:r>
          </w:p>
        </w:tc>
        <w:tc>
          <w:tcPr>
            <w:tcW w:w="851" w:type="dxa"/>
            <w:tcBorders>
              <w:top w:val="nil"/>
              <w:left w:val="single" w:sz="4" w:space="0" w:color="FFFFFF"/>
              <w:bottom w:val="dotted" w:sz="4" w:space="0" w:color="FFFFFF"/>
              <w:right w:val="single" w:sz="4" w:space="0" w:color="FFFFFF"/>
            </w:tcBorders>
            <w:shd w:val="clear" w:color="auto" w:fill="929292"/>
          </w:tcPr>
          <w:p>
            <w:pPr>
              <w:pStyle w:val="TableParagraph"/>
              <w:rPr>
                <w:sz w:val="16"/>
              </w:rPr>
            </w:pPr>
          </w:p>
          <w:p>
            <w:pPr>
              <w:pStyle w:val="TableParagraph"/>
              <w:rPr>
                <w:sz w:val="16"/>
              </w:rPr>
            </w:pPr>
          </w:p>
          <w:p>
            <w:pPr>
              <w:pStyle w:val="TableParagraph"/>
              <w:spacing w:line="312" w:lineRule="auto" w:before="131"/>
              <w:ind w:left="103" w:right="157"/>
              <w:rPr>
                <w:sz w:val="16"/>
              </w:rPr>
            </w:pPr>
            <w:r>
              <w:rPr>
                <w:sz w:val="16"/>
              </w:rPr>
              <w:t>N° de Huertos</w:t>
            </w:r>
          </w:p>
        </w:tc>
        <w:tc>
          <w:tcPr>
            <w:tcW w:w="1136" w:type="dxa"/>
            <w:tcBorders>
              <w:top w:val="nil"/>
              <w:left w:val="single" w:sz="4" w:space="0" w:color="FFFFFF"/>
              <w:bottom w:val="dotted" w:sz="4" w:space="0" w:color="FFFFFF"/>
              <w:right w:val="single" w:sz="4" w:space="0" w:color="FFFFFF"/>
            </w:tcBorders>
            <w:shd w:val="clear" w:color="auto" w:fill="929292"/>
          </w:tcPr>
          <w:p>
            <w:pPr>
              <w:pStyle w:val="TableParagraph"/>
              <w:spacing w:before="6"/>
              <w:rPr>
                <w:sz w:val="22"/>
              </w:rPr>
            </w:pPr>
          </w:p>
          <w:p>
            <w:pPr>
              <w:pStyle w:val="TableParagraph"/>
              <w:spacing w:line="312" w:lineRule="auto"/>
              <w:ind w:left="103" w:right="95"/>
              <w:rPr>
                <w:sz w:val="16"/>
              </w:rPr>
            </w:pPr>
            <w:r>
              <w:rPr>
                <w:sz w:val="16"/>
              </w:rPr>
              <w:t>Superficie Promedio de los  Huertos</w:t>
            </w:r>
          </w:p>
        </w:tc>
        <w:tc>
          <w:tcPr>
            <w:tcW w:w="1027" w:type="dxa"/>
            <w:tcBorders>
              <w:top w:val="nil"/>
              <w:left w:val="single" w:sz="4" w:space="0" w:color="FFFFFF"/>
              <w:bottom w:val="dotted" w:sz="4" w:space="0" w:color="FFFFFF"/>
              <w:right w:val="single" w:sz="4" w:space="0" w:color="FFFFFF"/>
            </w:tcBorders>
            <w:shd w:val="clear" w:color="auto" w:fill="929292"/>
          </w:tcPr>
          <w:p>
            <w:pPr>
              <w:pStyle w:val="TableParagraph"/>
              <w:spacing w:line="312" w:lineRule="auto" w:before="19"/>
              <w:ind w:left="103" w:right="182"/>
              <w:rPr>
                <w:sz w:val="16"/>
              </w:rPr>
            </w:pPr>
            <w:r>
              <w:rPr>
                <w:sz w:val="16"/>
              </w:rPr>
              <w:t>Superficie Total Ocupada por Huertos</w:t>
            </w:r>
          </w:p>
          <w:p>
            <w:pPr>
              <w:pStyle w:val="TableParagraph"/>
              <w:spacing w:before="2"/>
              <w:ind w:left="103"/>
              <w:rPr>
                <w:sz w:val="16"/>
              </w:rPr>
            </w:pPr>
            <w:r>
              <w:rPr>
                <w:sz w:val="16"/>
              </w:rPr>
              <w:t>(m2)</w:t>
            </w:r>
          </w:p>
        </w:tc>
        <w:tc>
          <w:tcPr>
            <w:tcW w:w="943" w:type="dxa"/>
            <w:tcBorders>
              <w:top w:val="nil"/>
              <w:left w:val="single" w:sz="4" w:space="0" w:color="FFFFFF"/>
              <w:bottom w:val="dotted" w:sz="4" w:space="0" w:color="FFFFFF"/>
              <w:right w:val="single" w:sz="4" w:space="0" w:color="FFFFFF"/>
            </w:tcBorders>
            <w:shd w:val="clear" w:color="auto" w:fill="929292"/>
          </w:tcPr>
          <w:p>
            <w:pPr>
              <w:pStyle w:val="TableParagraph"/>
              <w:spacing w:before="6"/>
              <w:rPr>
                <w:sz w:val="22"/>
              </w:rPr>
            </w:pPr>
          </w:p>
          <w:p>
            <w:pPr>
              <w:pStyle w:val="TableParagraph"/>
              <w:ind w:left="103"/>
              <w:rPr>
                <w:sz w:val="16"/>
              </w:rPr>
            </w:pPr>
            <w:r>
              <w:rPr>
                <w:w w:val="112"/>
                <w:sz w:val="16"/>
              </w:rPr>
              <w:t>%</w:t>
            </w:r>
          </w:p>
          <w:p>
            <w:pPr>
              <w:pStyle w:val="TableParagraph"/>
              <w:spacing w:line="312" w:lineRule="auto" w:before="56"/>
              <w:ind w:left="103" w:right="160"/>
              <w:rPr>
                <w:sz w:val="16"/>
              </w:rPr>
            </w:pPr>
            <w:r>
              <w:rPr>
                <w:sz w:val="16"/>
              </w:rPr>
              <w:t>Ocupado por Huertos</w:t>
            </w:r>
          </w:p>
        </w:tc>
        <w:tc>
          <w:tcPr>
            <w:tcW w:w="1605" w:type="dxa"/>
            <w:tcBorders>
              <w:top w:val="nil"/>
              <w:left w:val="single" w:sz="4" w:space="0" w:color="FFFFFF"/>
              <w:bottom w:val="dotted" w:sz="4" w:space="0" w:color="FFFFFF"/>
              <w:right w:val="nil"/>
            </w:tcBorders>
            <w:shd w:val="clear" w:color="auto" w:fill="929292"/>
          </w:tcPr>
          <w:p>
            <w:pPr>
              <w:pStyle w:val="TableParagraph"/>
              <w:rPr>
                <w:sz w:val="16"/>
              </w:rPr>
            </w:pPr>
          </w:p>
          <w:p>
            <w:pPr>
              <w:pStyle w:val="TableParagraph"/>
              <w:rPr>
                <w:sz w:val="16"/>
              </w:rPr>
            </w:pPr>
          </w:p>
          <w:p>
            <w:pPr>
              <w:pStyle w:val="TableParagraph"/>
              <w:spacing w:line="312" w:lineRule="auto" w:before="131"/>
              <w:ind w:left="103" w:right="142"/>
              <w:rPr>
                <w:sz w:val="16"/>
              </w:rPr>
            </w:pPr>
            <w:r>
              <w:rPr>
                <w:sz w:val="16"/>
              </w:rPr>
              <w:t>Superficie Total de la Localidad (m2)</w:t>
            </w:r>
          </w:p>
        </w:tc>
      </w:tr>
      <w:tr>
        <w:trPr>
          <w:trHeight w:val="263" w:hRule="exact"/>
        </w:trPr>
        <w:tc>
          <w:tcPr>
            <w:tcW w:w="1614" w:type="dxa"/>
            <w:tcBorders>
              <w:top w:val="dotted" w:sz="4" w:space="0" w:color="FFFFFF"/>
              <w:left w:val="nil"/>
              <w:bottom w:val="single" w:sz="4" w:space="0" w:color="FFFFFF"/>
            </w:tcBorders>
          </w:tcPr>
          <w:p>
            <w:pPr>
              <w:pStyle w:val="TableParagraph"/>
              <w:tabs>
                <w:tab w:pos="1598" w:val="left" w:leader="none"/>
              </w:tabs>
              <w:spacing w:before="80"/>
              <w:ind w:left="34"/>
              <w:rPr>
                <w:sz w:val="16"/>
              </w:rPr>
            </w:pPr>
            <w:r>
              <w:rPr>
                <w:w w:val="100"/>
                <w:sz w:val="16"/>
                <w:u w:val="dotted" w:color="929292"/>
              </w:rPr>
              <w:t> </w:t>
            </w:r>
            <w:r>
              <w:rPr>
                <w:spacing w:val="-16"/>
                <w:sz w:val="16"/>
                <w:u w:val="dotted" w:color="929292"/>
              </w:rPr>
              <w:t> </w:t>
            </w:r>
            <w:r>
              <w:rPr>
                <w:sz w:val="16"/>
                <w:u w:val="dotted" w:color="929292"/>
              </w:rPr>
              <w:t>Colonia</w:t>
            </w:r>
            <w:r>
              <w:rPr>
                <w:spacing w:val="-4"/>
                <w:sz w:val="16"/>
                <w:u w:val="dotted" w:color="929292"/>
              </w:rPr>
              <w:t> </w:t>
            </w:r>
            <w:r>
              <w:rPr>
                <w:sz w:val="16"/>
                <w:u w:val="dotted" w:color="929292"/>
              </w:rPr>
              <w:t>Juárez</w:t>
              <w:tab/>
            </w:r>
          </w:p>
        </w:tc>
        <w:tc>
          <w:tcPr>
            <w:tcW w:w="851" w:type="dxa"/>
            <w:tcBorders>
              <w:top w:val="dotted" w:sz="4" w:space="0" w:color="FFFFFF"/>
              <w:bottom w:val="single" w:sz="4" w:space="0" w:color="FFFFFF"/>
            </w:tcBorders>
          </w:tcPr>
          <w:p>
            <w:pPr>
              <w:pStyle w:val="TableParagraph"/>
              <w:tabs>
                <w:tab w:pos="830" w:val="left" w:leader="none"/>
              </w:tabs>
              <w:spacing w:before="80"/>
              <w:ind w:left="25"/>
              <w:rPr>
                <w:sz w:val="16"/>
              </w:rPr>
            </w:pPr>
            <w:r>
              <w:rPr>
                <w:w w:val="100"/>
                <w:sz w:val="16"/>
                <w:u w:val="dotted" w:color="929292"/>
              </w:rPr>
              <w:t> </w:t>
            </w:r>
            <w:r>
              <w:rPr>
                <w:spacing w:val="-12"/>
                <w:sz w:val="16"/>
                <w:u w:val="dotted" w:color="929292"/>
              </w:rPr>
              <w:t> </w:t>
            </w:r>
            <w:r>
              <w:rPr>
                <w:sz w:val="16"/>
                <w:u w:val="dotted" w:color="929292"/>
              </w:rPr>
              <w:t>13</w:t>
              <w:tab/>
            </w:r>
          </w:p>
        </w:tc>
        <w:tc>
          <w:tcPr>
            <w:tcW w:w="1136" w:type="dxa"/>
            <w:tcBorders>
              <w:top w:val="dotted" w:sz="4" w:space="0" w:color="FFFFFF"/>
              <w:bottom w:val="single" w:sz="4" w:space="0" w:color="FFFFFF"/>
            </w:tcBorders>
          </w:tcPr>
          <w:p>
            <w:pPr>
              <w:pStyle w:val="TableParagraph"/>
              <w:tabs>
                <w:tab w:pos="1115" w:val="left" w:leader="none"/>
              </w:tabs>
              <w:spacing w:before="80"/>
              <w:ind w:left="24"/>
              <w:rPr>
                <w:sz w:val="16"/>
              </w:rPr>
            </w:pPr>
            <w:r>
              <w:rPr>
                <w:w w:val="100"/>
                <w:sz w:val="16"/>
                <w:u w:val="dotted" w:color="929292"/>
              </w:rPr>
              <w:t> </w:t>
            </w:r>
            <w:r>
              <w:rPr>
                <w:spacing w:val="-11"/>
                <w:sz w:val="16"/>
                <w:u w:val="dotted" w:color="929292"/>
              </w:rPr>
              <w:t> </w:t>
            </w:r>
            <w:r>
              <w:rPr>
                <w:sz w:val="16"/>
                <w:u w:val="dotted" w:color="929292"/>
              </w:rPr>
              <w:t>454</w:t>
              <w:tab/>
            </w:r>
          </w:p>
        </w:tc>
        <w:tc>
          <w:tcPr>
            <w:tcW w:w="1027" w:type="dxa"/>
            <w:tcBorders>
              <w:top w:val="dotted" w:sz="4" w:space="0" w:color="FFFFFF"/>
              <w:bottom w:val="single" w:sz="4" w:space="0" w:color="FFFFFF"/>
            </w:tcBorders>
          </w:tcPr>
          <w:p>
            <w:pPr>
              <w:pStyle w:val="TableParagraph"/>
              <w:tabs>
                <w:tab w:pos="1006" w:val="left" w:leader="none"/>
              </w:tabs>
              <w:spacing w:before="80"/>
              <w:ind w:left="25"/>
              <w:rPr>
                <w:sz w:val="16"/>
              </w:rPr>
            </w:pPr>
            <w:r>
              <w:rPr>
                <w:w w:val="100"/>
                <w:sz w:val="16"/>
                <w:u w:val="dotted" w:color="929292"/>
              </w:rPr>
              <w:t> </w:t>
            </w:r>
            <w:r>
              <w:rPr>
                <w:spacing w:val="-11"/>
                <w:sz w:val="16"/>
                <w:u w:val="dotted" w:color="929292"/>
              </w:rPr>
              <w:t> </w:t>
            </w:r>
            <w:r>
              <w:rPr>
                <w:sz w:val="16"/>
                <w:u w:val="dotted" w:color="929292"/>
              </w:rPr>
              <w:t>5</w:t>
            </w:r>
            <w:r>
              <w:rPr>
                <w:spacing w:val="-1"/>
                <w:sz w:val="16"/>
                <w:u w:val="dotted" w:color="929292"/>
              </w:rPr>
              <w:t> </w:t>
            </w:r>
            <w:r>
              <w:rPr>
                <w:sz w:val="16"/>
                <w:u w:val="dotted" w:color="929292"/>
              </w:rPr>
              <w:t>900</w:t>
              <w:tab/>
            </w:r>
          </w:p>
        </w:tc>
        <w:tc>
          <w:tcPr>
            <w:tcW w:w="943" w:type="dxa"/>
            <w:tcBorders>
              <w:top w:val="dotted" w:sz="4" w:space="0" w:color="FFFFFF"/>
              <w:bottom w:val="single" w:sz="4" w:space="0" w:color="FFFFFF"/>
            </w:tcBorders>
          </w:tcPr>
          <w:p>
            <w:pPr>
              <w:pStyle w:val="TableParagraph"/>
              <w:tabs>
                <w:tab w:pos="922" w:val="left" w:leader="none"/>
              </w:tabs>
              <w:spacing w:before="80"/>
              <w:ind w:left="25"/>
              <w:rPr>
                <w:sz w:val="16"/>
              </w:rPr>
            </w:pPr>
            <w:r>
              <w:rPr>
                <w:w w:val="100"/>
                <w:sz w:val="16"/>
                <w:u w:val="dotted" w:color="929292"/>
              </w:rPr>
              <w:t> </w:t>
            </w:r>
            <w:r>
              <w:rPr>
                <w:spacing w:val="-12"/>
                <w:sz w:val="16"/>
                <w:u w:val="dotted" w:color="929292"/>
              </w:rPr>
              <w:t> </w:t>
            </w:r>
            <w:r>
              <w:rPr>
                <w:sz w:val="16"/>
                <w:u w:val="dotted" w:color="929292"/>
              </w:rPr>
              <w:t>7.78</w:t>
              <w:tab/>
            </w:r>
          </w:p>
        </w:tc>
        <w:tc>
          <w:tcPr>
            <w:tcW w:w="1605" w:type="dxa"/>
            <w:tcBorders>
              <w:top w:val="dotted" w:sz="4" w:space="0" w:color="FFFFFF"/>
              <w:bottom w:val="single" w:sz="4" w:space="0" w:color="FFFFFF"/>
              <w:right w:val="nil"/>
            </w:tcBorders>
          </w:tcPr>
          <w:p>
            <w:pPr>
              <w:pStyle w:val="TableParagraph"/>
              <w:tabs>
                <w:tab w:pos="1579" w:val="left" w:leader="none"/>
              </w:tabs>
              <w:spacing w:before="80"/>
              <w:ind w:left="25"/>
              <w:rPr>
                <w:sz w:val="16"/>
              </w:rPr>
            </w:pPr>
            <w:r>
              <w:rPr>
                <w:w w:val="100"/>
                <w:sz w:val="16"/>
                <w:u w:val="dotted" w:color="929292"/>
              </w:rPr>
              <w:t> </w:t>
            </w:r>
            <w:r>
              <w:rPr>
                <w:spacing w:val="-11"/>
                <w:sz w:val="16"/>
                <w:u w:val="dotted" w:color="929292"/>
              </w:rPr>
              <w:t> </w:t>
            </w:r>
            <w:r>
              <w:rPr>
                <w:sz w:val="16"/>
                <w:u w:val="dotted" w:color="929292"/>
              </w:rPr>
              <w:t>75</w:t>
            </w:r>
            <w:r>
              <w:rPr>
                <w:spacing w:val="-1"/>
                <w:sz w:val="16"/>
                <w:u w:val="dotted" w:color="929292"/>
              </w:rPr>
              <w:t> </w:t>
            </w:r>
            <w:r>
              <w:rPr>
                <w:sz w:val="16"/>
                <w:u w:val="dotted" w:color="929292"/>
              </w:rPr>
              <w:t>828</w:t>
              <w:tab/>
            </w:r>
          </w:p>
        </w:tc>
      </w:tr>
      <w:tr>
        <w:trPr>
          <w:trHeight w:val="240" w:hRule="exact"/>
        </w:trPr>
        <w:tc>
          <w:tcPr>
            <w:tcW w:w="1614" w:type="dxa"/>
            <w:tcBorders>
              <w:top w:val="single" w:sz="4" w:space="0" w:color="FFFFFF"/>
              <w:left w:val="nil"/>
              <w:bottom w:val="single" w:sz="4" w:space="0" w:color="FFFFFF"/>
            </w:tcBorders>
          </w:tcPr>
          <w:p>
            <w:pPr>
              <w:pStyle w:val="TableParagraph"/>
              <w:tabs>
                <w:tab w:pos="1598" w:val="left" w:leader="none"/>
              </w:tabs>
              <w:spacing w:before="56"/>
              <w:ind w:left="34"/>
              <w:rPr>
                <w:sz w:val="16"/>
              </w:rPr>
            </w:pPr>
            <w:r>
              <w:rPr>
                <w:w w:val="100"/>
                <w:sz w:val="16"/>
                <w:u w:val="dotted" w:color="929292"/>
              </w:rPr>
              <w:t> </w:t>
            </w:r>
            <w:r>
              <w:rPr>
                <w:spacing w:val="-16"/>
                <w:sz w:val="16"/>
                <w:u w:val="dotted" w:color="929292"/>
              </w:rPr>
              <w:t> </w:t>
            </w:r>
            <w:r>
              <w:rPr>
                <w:sz w:val="16"/>
                <w:u w:val="dotted" w:color="929292"/>
              </w:rPr>
              <w:t>El</w:t>
            </w:r>
            <w:r>
              <w:rPr>
                <w:spacing w:val="-16"/>
                <w:sz w:val="16"/>
                <w:u w:val="dotted" w:color="929292"/>
              </w:rPr>
              <w:t> </w:t>
            </w:r>
            <w:r>
              <w:rPr>
                <w:sz w:val="16"/>
                <w:u w:val="dotted" w:color="929292"/>
              </w:rPr>
              <w:t>Platanar</w:t>
              <w:tab/>
            </w:r>
          </w:p>
        </w:tc>
        <w:tc>
          <w:tcPr>
            <w:tcW w:w="851" w:type="dxa"/>
            <w:tcBorders>
              <w:top w:val="single" w:sz="4" w:space="0" w:color="FFFFFF"/>
              <w:bottom w:val="single" w:sz="4" w:space="0" w:color="FFFFFF"/>
            </w:tcBorders>
          </w:tcPr>
          <w:p>
            <w:pPr>
              <w:pStyle w:val="TableParagraph"/>
              <w:tabs>
                <w:tab w:pos="830"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19</w:t>
              <w:tab/>
            </w:r>
          </w:p>
        </w:tc>
        <w:tc>
          <w:tcPr>
            <w:tcW w:w="1136" w:type="dxa"/>
            <w:tcBorders>
              <w:top w:val="single" w:sz="4" w:space="0" w:color="FFFFFF"/>
              <w:bottom w:val="single" w:sz="4" w:space="0" w:color="FFFFFF"/>
            </w:tcBorders>
          </w:tcPr>
          <w:p>
            <w:pPr>
              <w:pStyle w:val="TableParagraph"/>
              <w:tabs>
                <w:tab w:pos="1115" w:val="left" w:leader="none"/>
              </w:tabs>
              <w:spacing w:before="56"/>
              <w:ind w:left="24"/>
              <w:rPr>
                <w:sz w:val="16"/>
              </w:rPr>
            </w:pPr>
            <w:r>
              <w:rPr>
                <w:w w:val="100"/>
                <w:sz w:val="16"/>
                <w:u w:val="dotted" w:color="929292"/>
              </w:rPr>
              <w:t> </w:t>
            </w:r>
            <w:r>
              <w:rPr>
                <w:spacing w:val="-11"/>
                <w:sz w:val="16"/>
                <w:u w:val="dotted" w:color="929292"/>
              </w:rPr>
              <w:t> </w:t>
            </w:r>
            <w:r>
              <w:rPr>
                <w:sz w:val="16"/>
                <w:u w:val="dotted" w:color="929292"/>
              </w:rPr>
              <w:t>621</w:t>
              <w:tab/>
            </w:r>
          </w:p>
        </w:tc>
        <w:tc>
          <w:tcPr>
            <w:tcW w:w="1027" w:type="dxa"/>
            <w:tcBorders>
              <w:top w:val="single" w:sz="4" w:space="0" w:color="FFFFFF"/>
              <w:bottom w:val="single" w:sz="4" w:space="0" w:color="FFFFFF"/>
            </w:tcBorders>
          </w:tcPr>
          <w:p>
            <w:pPr>
              <w:pStyle w:val="TableParagraph"/>
              <w:tabs>
                <w:tab w:pos="1006"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11</w:t>
            </w:r>
            <w:r>
              <w:rPr>
                <w:spacing w:val="-1"/>
                <w:sz w:val="16"/>
                <w:u w:val="dotted" w:color="929292"/>
              </w:rPr>
              <w:t> </w:t>
            </w:r>
            <w:r>
              <w:rPr>
                <w:sz w:val="16"/>
                <w:u w:val="dotted" w:color="929292"/>
              </w:rPr>
              <w:t>790</w:t>
              <w:tab/>
            </w:r>
          </w:p>
        </w:tc>
        <w:tc>
          <w:tcPr>
            <w:tcW w:w="943" w:type="dxa"/>
            <w:tcBorders>
              <w:top w:val="single" w:sz="4" w:space="0" w:color="FFFFFF"/>
              <w:bottom w:val="single" w:sz="4" w:space="0" w:color="FFFFFF"/>
            </w:tcBorders>
          </w:tcPr>
          <w:p>
            <w:pPr>
              <w:pStyle w:val="TableParagraph"/>
              <w:tabs>
                <w:tab w:pos="922"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9.57</w:t>
              <w:tab/>
            </w:r>
          </w:p>
        </w:tc>
        <w:tc>
          <w:tcPr>
            <w:tcW w:w="1605" w:type="dxa"/>
            <w:tcBorders>
              <w:top w:val="single" w:sz="4" w:space="0" w:color="FFFFFF"/>
              <w:bottom w:val="single" w:sz="4" w:space="0" w:color="FFFFFF"/>
              <w:right w:val="nil"/>
            </w:tcBorders>
          </w:tcPr>
          <w:p>
            <w:pPr>
              <w:pStyle w:val="TableParagraph"/>
              <w:tabs>
                <w:tab w:pos="1579"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123</w:t>
            </w:r>
            <w:r>
              <w:rPr>
                <w:spacing w:val="-1"/>
                <w:sz w:val="16"/>
                <w:u w:val="dotted" w:color="929292"/>
              </w:rPr>
              <w:t> </w:t>
            </w:r>
            <w:r>
              <w:rPr>
                <w:sz w:val="16"/>
                <w:u w:val="dotted" w:color="929292"/>
              </w:rPr>
              <w:t>229</w:t>
              <w:tab/>
            </w:r>
          </w:p>
        </w:tc>
      </w:tr>
      <w:tr>
        <w:trPr>
          <w:trHeight w:val="240" w:hRule="exact"/>
        </w:trPr>
        <w:tc>
          <w:tcPr>
            <w:tcW w:w="1614" w:type="dxa"/>
            <w:tcBorders>
              <w:top w:val="single" w:sz="4" w:space="0" w:color="FFFFFF"/>
              <w:left w:val="nil"/>
              <w:bottom w:val="single" w:sz="4" w:space="0" w:color="FFFFFF"/>
            </w:tcBorders>
          </w:tcPr>
          <w:p>
            <w:pPr>
              <w:pStyle w:val="TableParagraph"/>
              <w:tabs>
                <w:tab w:pos="1598" w:val="left" w:leader="none"/>
              </w:tabs>
              <w:spacing w:before="56"/>
              <w:ind w:left="34"/>
              <w:rPr>
                <w:sz w:val="16"/>
              </w:rPr>
            </w:pPr>
            <w:r>
              <w:rPr>
                <w:w w:val="100"/>
                <w:sz w:val="16"/>
                <w:u w:val="dotted" w:color="929292"/>
              </w:rPr>
              <w:t> </w:t>
            </w:r>
            <w:r>
              <w:rPr>
                <w:spacing w:val="-16"/>
                <w:sz w:val="16"/>
                <w:u w:val="dotted" w:color="929292"/>
              </w:rPr>
              <w:t> </w:t>
            </w:r>
            <w:r>
              <w:rPr>
                <w:sz w:val="16"/>
                <w:u w:val="dotted" w:color="929292"/>
              </w:rPr>
              <w:t>San</w:t>
            </w:r>
            <w:r>
              <w:rPr>
                <w:spacing w:val="-1"/>
                <w:sz w:val="16"/>
                <w:u w:val="dotted" w:color="929292"/>
              </w:rPr>
              <w:t> </w:t>
            </w:r>
            <w:r>
              <w:rPr>
                <w:sz w:val="16"/>
                <w:u w:val="dotted" w:color="929292"/>
              </w:rPr>
              <w:t>Nicolás</w:t>
              <w:tab/>
            </w:r>
          </w:p>
        </w:tc>
        <w:tc>
          <w:tcPr>
            <w:tcW w:w="851" w:type="dxa"/>
            <w:tcBorders>
              <w:top w:val="single" w:sz="4" w:space="0" w:color="FFFFFF"/>
              <w:bottom w:val="single" w:sz="4" w:space="0" w:color="FFFFFF"/>
            </w:tcBorders>
          </w:tcPr>
          <w:p>
            <w:pPr>
              <w:pStyle w:val="TableParagraph"/>
              <w:tabs>
                <w:tab w:pos="830"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30</w:t>
              <w:tab/>
            </w:r>
          </w:p>
        </w:tc>
        <w:tc>
          <w:tcPr>
            <w:tcW w:w="1136" w:type="dxa"/>
            <w:tcBorders>
              <w:top w:val="single" w:sz="4" w:space="0" w:color="FFFFFF"/>
              <w:bottom w:val="single" w:sz="4" w:space="0" w:color="FFFFFF"/>
            </w:tcBorders>
          </w:tcPr>
          <w:p>
            <w:pPr>
              <w:pStyle w:val="TableParagraph"/>
              <w:tabs>
                <w:tab w:pos="1115" w:val="left" w:leader="none"/>
              </w:tabs>
              <w:spacing w:before="56"/>
              <w:ind w:left="24"/>
              <w:rPr>
                <w:sz w:val="16"/>
              </w:rPr>
            </w:pPr>
            <w:r>
              <w:rPr>
                <w:w w:val="100"/>
                <w:sz w:val="16"/>
                <w:u w:val="dotted" w:color="929292"/>
              </w:rPr>
              <w:t> </w:t>
            </w:r>
            <w:r>
              <w:rPr>
                <w:spacing w:val="-11"/>
                <w:sz w:val="16"/>
                <w:u w:val="dotted" w:color="929292"/>
              </w:rPr>
              <w:t> </w:t>
            </w:r>
            <w:r>
              <w:rPr>
                <w:sz w:val="16"/>
                <w:u w:val="dotted" w:color="929292"/>
              </w:rPr>
              <w:t>556</w:t>
              <w:tab/>
            </w:r>
          </w:p>
        </w:tc>
        <w:tc>
          <w:tcPr>
            <w:tcW w:w="1027" w:type="dxa"/>
            <w:tcBorders>
              <w:top w:val="single" w:sz="4" w:space="0" w:color="FFFFFF"/>
              <w:bottom w:val="single" w:sz="4" w:space="0" w:color="FFFFFF"/>
            </w:tcBorders>
          </w:tcPr>
          <w:p>
            <w:pPr>
              <w:pStyle w:val="TableParagraph"/>
              <w:tabs>
                <w:tab w:pos="1006"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18</w:t>
            </w:r>
            <w:r>
              <w:rPr>
                <w:spacing w:val="-1"/>
                <w:sz w:val="16"/>
                <w:u w:val="dotted" w:color="929292"/>
              </w:rPr>
              <w:t> </w:t>
            </w:r>
            <w:r>
              <w:rPr>
                <w:sz w:val="16"/>
                <w:u w:val="dotted" w:color="929292"/>
              </w:rPr>
              <w:t>641</w:t>
              <w:tab/>
            </w:r>
          </w:p>
        </w:tc>
        <w:tc>
          <w:tcPr>
            <w:tcW w:w="943" w:type="dxa"/>
            <w:tcBorders>
              <w:top w:val="single" w:sz="4" w:space="0" w:color="FFFFFF"/>
              <w:bottom w:val="single" w:sz="4" w:space="0" w:color="FFFFFF"/>
            </w:tcBorders>
          </w:tcPr>
          <w:p>
            <w:pPr>
              <w:pStyle w:val="TableParagraph"/>
              <w:tabs>
                <w:tab w:pos="922"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8.63</w:t>
              <w:tab/>
            </w:r>
          </w:p>
        </w:tc>
        <w:tc>
          <w:tcPr>
            <w:tcW w:w="1605" w:type="dxa"/>
            <w:tcBorders>
              <w:top w:val="single" w:sz="4" w:space="0" w:color="FFFFFF"/>
              <w:bottom w:val="single" w:sz="4" w:space="0" w:color="FFFFFF"/>
              <w:right w:val="nil"/>
            </w:tcBorders>
          </w:tcPr>
          <w:p>
            <w:pPr>
              <w:pStyle w:val="TableParagraph"/>
              <w:tabs>
                <w:tab w:pos="1579"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215</w:t>
            </w:r>
            <w:r>
              <w:rPr>
                <w:spacing w:val="-1"/>
                <w:sz w:val="16"/>
                <w:u w:val="dotted" w:color="929292"/>
              </w:rPr>
              <w:t> </w:t>
            </w:r>
            <w:r>
              <w:rPr>
                <w:sz w:val="16"/>
                <w:u w:val="dotted" w:color="929292"/>
              </w:rPr>
              <w:t>951</w:t>
              <w:tab/>
            </w:r>
          </w:p>
        </w:tc>
      </w:tr>
      <w:tr>
        <w:trPr>
          <w:trHeight w:val="281" w:hRule="exact"/>
        </w:trPr>
        <w:tc>
          <w:tcPr>
            <w:tcW w:w="1614" w:type="dxa"/>
            <w:tcBorders>
              <w:top w:val="single" w:sz="4" w:space="0" w:color="FFFFFF"/>
              <w:left w:val="nil"/>
              <w:bottom w:val="nil"/>
            </w:tcBorders>
          </w:tcPr>
          <w:p>
            <w:pPr>
              <w:pStyle w:val="TableParagraph"/>
              <w:spacing w:before="56"/>
              <w:ind w:left="108"/>
              <w:rPr>
                <w:sz w:val="16"/>
              </w:rPr>
            </w:pPr>
            <w:r>
              <w:rPr>
                <w:sz w:val="16"/>
              </w:rPr>
              <w:t>Cabecera</w:t>
            </w:r>
          </w:p>
        </w:tc>
        <w:tc>
          <w:tcPr>
            <w:tcW w:w="851" w:type="dxa"/>
            <w:tcBorders>
              <w:top w:val="single" w:sz="4" w:space="0" w:color="FFFFFF"/>
              <w:bottom w:val="nil"/>
            </w:tcBorders>
          </w:tcPr>
          <w:p>
            <w:pPr>
              <w:pStyle w:val="TableParagraph"/>
              <w:spacing w:before="56"/>
              <w:ind w:left="103" w:right="157"/>
              <w:rPr>
                <w:sz w:val="16"/>
              </w:rPr>
            </w:pPr>
            <w:r>
              <w:rPr>
                <w:sz w:val="16"/>
              </w:rPr>
              <w:t>78</w:t>
            </w:r>
          </w:p>
        </w:tc>
        <w:tc>
          <w:tcPr>
            <w:tcW w:w="1136" w:type="dxa"/>
            <w:tcBorders>
              <w:top w:val="single" w:sz="4" w:space="0" w:color="FFFFFF"/>
              <w:bottom w:val="nil"/>
            </w:tcBorders>
          </w:tcPr>
          <w:p>
            <w:pPr>
              <w:pStyle w:val="TableParagraph"/>
              <w:spacing w:before="56"/>
              <w:ind w:left="103" w:right="95"/>
              <w:rPr>
                <w:sz w:val="16"/>
              </w:rPr>
            </w:pPr>
            <w:r>
              <w:rPr>
                <w:sz w:val="16"/>
              </w:rPr>
              <w:t>874</w:t>
            </w:r>
          </w:p>
        </w:tc>
        <w:tc>
          <w:tcPr>
            <w:tcW w:w="1027" w:type="dxa"/>
            <w:tcBorders>
              <w:top w:val="single" w:sz="4" w:space="0" w:color="FFFFFF"/>
              <w:bottom w:val="nil"/>
            </w:tcBorders>
          </w:tcPr>
          <w:p>
            <w:pPr>
              <w:pStyle w:val="TableParagraph"/>
              <w:spacing w:before="56"/>
              <w:ind w:left="103"/>
              <w:rPr>
                <w:sz w:val="16"/>
              </w:rPr>
            </w:pPr>
            <w:r>
              <w:rPr>
                <w:sz w:val="16"/>
              </w:rPr>
              <w:t>53 749</w:t>
            </w:r>
          </w:p>
        </w:tc>
        <w:tc>
          <w:tcPr>
            <w:tcW w:w="943" w:type="dxa"/>
            <w:tcBorders>
              <w:top w:val="single" w:sz="4" w:space="0" w:color="FFFFFF"/>
              <w:bottom w:val="nil"/>
            </w:tcBorders>
          </w:tcPr>
          <w:p>
            <w:pPr>
              <w:pStyle w:val="TableParagraph"/>
              <w:spacing w:before="56"/>
              <w:ind w:left="103" w:right="160"/>
              <w:rPr>
                <w:sz w:val="16"/>
              </w:rPr>
            </w:pPr>
            <w:r>
              <w:rPr>
                <w:sz w:val="16"/>
              </w:rPr>
              <w:t>2.66</w:t>
            </w:r>
          </w:p>
        </w:tc>
        <w:tc>
          <w:tcPr>
            <w:tcW w:w="1605" w:type="dxa"/>
            <w:tcBorders>
              <w:top w:val="single" w:sz="4" w:space="0" w:color="FFFFFF"/>
              <w:bottom w:val="nil"/>
              <w:right w:val="nil"/>
            </w:tcBorders>
          </w:tcPr>
          <w:p>
            <w:pPr>
              <w:pStyle w:val="TableParagraph"/>
              <w:spacing w:before="56"/>
              <w:ind w:left="103" w:right="142"/>
              <w:rPr>
                <w:sz w:val="16"/>
              </w:rPr>
            </w:pPr>
            <w:r>
              <w:rPr>
                <w:sz w:val="16"/>
              </w:rPr>
              <w:t>2 016 851</w:t>
            </w:r>
          </w:p>
        </w:tc>
      </w:tr>
      <w:tr>
        <w:trPr>
          <w:trHeight w:val="199" w:hRule="exact"/>
        </w:trPr>
        <w:tc>
          <w:tcPr>
            <w:tcW w:w="1614" w:type="dxa"/>
            <w:tcBorders>
              <w:top w:val="nil"/>
              <w:left w:val="nil"/>
              <w:bottom w:val="single" w:sz="4" w:space="0" w:color="FFFFFF"/>
            </w:tcBorders>
          </w:tcPr>
          <w:p>
            <w:pPr>
              <w:pStyle w:val="TableParagraph"/>
              <w:tabs>
                <w:tab w:pos="1598" w:val="left" w:leader="none"/>
              </w:tabs>
              <w:spacing w:before="20"/>
              <w:ind w:left="34"/>
              <w:rPr>
                <w:sz w:val="16"/>
              </w:rPr>
            </w:pPr>
            <w:r>
              <w:rPr>
                <w:w w:val="100"/>
                <w:sz w:val="16"/>
                <w:u w:val="dotted" w:color="929292"/>
              </w:rPr>
              <w:t> </w:t>
            </w:r>
            <w:r>
              <w:rPr>
                <w:spacing w:val="-16"/>
                <w:sz w:val="16"/>
                <w:u w:val="dotted" w:color="929292"/>
              </w:rPr>
              <w:t> </w:t>
            </w:r>
            <w:r>
              <w:rPr>
                <w:sz w:val="16"/>
                <w:u w:val="dotted" w:color="929292"/>
              </w:rPr>
              <w:t>Municipal</w:t>
              <w:tab/>
            </w:r>
          </w:p>
        </w:tc>
        <w:tc>
          <w:tcPr>
            <w:tcW w:w="851" w:type="dxa"/>
            <w:tcBorders>
              <w:top w:val="nil"/>
              <w:bottom w:val="single" w:sz="4" w:space="0" w:color="FFFFFF"/>
            </w:tcBorders>
          </w:tcPr>
          <w:p>
            <w:pPr>
              <w:pStyle w:val="TableParagraph"/>
              <w:tabs>
                <w:tab w:pos="830" w:val="left" w:leader="none"/>
              </w:tabs>
              <w:spacing w:before="20"/>
              <w:ind w:left="25"/>
              <w:rPr>
                <w:sz w:val="16"/>
              </w:rPr>
            </w:pPr>
            <w:r>
              <w:rPr>
                <w:w w:val="100"/>
                <w:sz w:val="16"/>
                <w:u w:val="dotted" w:color="929292"/>
              </w:rPr>
              <w:t> </w:t>
            </w:r>
            <w:r>
              <w:rPr>
                <w:sz w:val="16"/>
                <w:u w:val="dotted" w:color="929292"/>
              </w:rPr>
              <w:tab/>
            </w:r>
          </w:p>
        </w:tc>
        <w:tc>
          <w:tcPr>
            <w:tcW w:w="1136" w:type="dxa"/>
            <w:tcBorders>
              <w:top w:val="nil"/>
              <w:bottom w:val="single" w:sz="4" w:space="0" w:color="FFFFFF"/>
            </w:tcBorders>
          </w:tcPr>
          <w:p>
            <w:pPr>
              <w:pStyle w:val="TableParagraph"/>
              <w:tabs>
                <w:tab w:pos="1115" w:val="left" w:leader="none"/>
              </w:tabs>
              <w:spacing w:before="20"/>
              <w:ind w:left="24"/>
              <w:rPr>
                <w:sz w:val="16"/>
              </w:rPr>
            </w:pPr>
            <w:r>
              <w:rPr>
                <w:w w:val="100"/>
                <w:sz w:val="16"/>
                <w:u w:val="dotted" w:color="929292"/>
              </w:rPr>
              <w:t> </w:t>
            </w:r>
            <w:r>
              <w:rPr>
                <w:sz w:val="16"/>
                <w:u w:val="dotted" w:color="929292"/>
              </w:rPr>
              <w:tab/>
            </w:r>
          </w:p>
        </w:tc>
        <w:tc>
          <w:tcPr>
            <w:tcW w:w="1027" w:type="dxa"/>
            <w:tcBorders>
              <w:top w:val="nil"/>
              <w:bottom w:val="single" w:sz="4" w:space="0" w:color="FFFFFF"/>
            </w:tcBorders>
          </w:tcPr>
          <w:p>
            <w:pPr>
              <w:pStyle w:val="TableParagraph"/>
              <w:tabs>
                <w:tab w:pos="1006" w:val="left" w:leader="none"/>
              </w:tabs>
              <w:spacing w:before="20"/>
              <w:ind w:left="25"/>
              <w:rPr>
                <w:sz w:val="16"/>
              </w:rPr>
            </w:pPr>
            <w:r>
              <w:rPr>
                <w:w w:val="100"/>
                <w:sz w:val="16"/>
                <w:u w:val="dotted" w:color="929292"/>
              </w:rPr>
              <w:t> </w:t>
            </w:r>
            <w:r>
              <w:rPr>
                <w:sz w:val="16"/>
                <w:u w:val="dotted" w:color="929292"/>
              </w:rPr>
              <w:tab/>
            </w:r>
          </w:p>
        </w:tc>
        <w:tc>
          <w:tcPr>
            <w:tcW w:w="943" w:type="dxa"/>
            <w:tcBorders>
              <w:top w:val="nil"/>
              <w:bottom w:val="single" w:sz="4" w:space="0" w:color="FFFFFF"/>
            </w:tcBorders>
          </w:tcPr>
          <w:p>
            <w:pPr>
              <w:pStyle w:val="TableParagraph"/>
              <w:tabs>
                <w:tab w:pos="922" w:val="left" w:leader="none"/>
              </w:tabs>
              <w:spacing w:before="20"/>
              <w:ind w:left="25"/>
              <w:rPr>
                <w:sz w:val="16"/>
              </w:rPr>
            </w:pPr>
            <w:r>
              <w:rPr>
                <w:w w:val="100"/>
                <w:sz w:val="16"/>
                <w:u w:val="dotted" w:color="929292"/>
              </w:rPr>
              <w:t> </w:t>
            </w:r>
            <w:r>
              <w:rPr>
                <w:sz w:val="16"/>
                <w:u w:val="dotted" w:color="929292"/>
              </w:rPr>
              <w:tab/>
            </w:r>
          </w:p>
        </w:tc>
        <w:tc>
          <w:tcPr>
            <w:tcW w:w="1605" w:type="dxa"/>
            <w:tcBorders>
              <w:top w:val="nil"/>
              <w:bottom w:val="single" w:sz="4" w:space="0" w:color="FFFFFF"/>
              <w:right w:val="nil"/>
            </w:tcBorders>
          </w:tcPr>
          <w:p>
            <w:pPr>
              <w:pStyle w:val="TableParagraph"/>
              <w:tabs>
                <w:tab w:pos="1579" w:val="left" w:leader="none"/>
              </w:tabs>
              <w:spacing w:before="20"/>
              <w:ind w:left="25"/>
              <w:rPr>
                <w:sz w:val="16"/>
              </w:rPr>
            </w:pPr>
            <w:r>
              <w:rPr>
                <w:w w:val="100"/>
                <w:sz w:val="16"/>
                <w:u w:val="dotted" w:color="929292"/>
              </w:rPr>
              <w:t> </w:t>
            </w:r>
            <w:r>
              <w:rPr>
                <w:sz w:val="16"/>
                <w:u w:val="dotted" w:color="929292"/>
              </w:rPr>
              <w:tab/>
            </w:r>
          </w:p>
        </w:tc>
      </w:tr>
      <w:tr>
        <w:trPr>
          <w:trHeight w:val="235" w:hRule="exact"/>
        </w:trPr>
        <w:tc>
          <w:tcPr>
            <w:tcW w:w="1614" w:type="dxa"/>
            <w:tcBorders>
              <w:top w:val="single" w:sz="4" w:space="0" w:color="FFFFFF"/>
              <w:left w:val="nil"/>
              <w:bottom w:val="nil"/>
            </w:tcBorders>
          </w:tcPr>
          <w:p>
            <w:pPr>
              <w:pStyle w:val="TableParagraph"/>
              <w:spacing w:before="56"/>
              <w:ind w:left="108"/>
              <w:rPr>
                <w:sz w:val="16"/>
              </w:rPr>
            </w:pPr>
            <w:r>
              <w:rPr>
                <w:sz w:val="16"/>
              </w:rPr>
              <w:t>Total/Promedio</w:t>
            </w:r>
          </w:p>
        </w:tc>
        <w:tc>
          <w:tcPr>
            <w:tcW w:w="851" w:type="dxa"/>
            <w:tcBorders>
              <w:top w:val="single" w:sz="4" w:space="0" w:color="FFFFFF"/>
              <w:bottom w:val="nil"/>
            </w:tcBorders>
          </w:tcPr>
          <w:p>
            <w:pPr>
              <w:pStyle w:val="TableParagraph"/>
              <w:spacing w:before="56"/>
              <w:ind w:left="103" w:right="157"/>
              <w:rPr>
                <w:sz w:val="16"/>
              </w:rPr>
            </w:pPr>
            <w:r>
              <w:rPr>
                <w:sz w:val="16"/>
              </w:rPr>
              <w:t>140</w:t>
            </w:r>
          </w:p>
        </w:tc>
        <w:tc>
          <w:tcPr>
            <w:tcW w:w="1136" w:type="dxa"/>
            <w:tcBorders>
              <w:top w:val="single" w:sz="4" w:space="0" w:color="FFFFFF"/>
              <w:bottom w:val="nil"/>
            </w:tcBorders>
          </w:tcPr>
          <w:p>
            <w:pPr>
              <w:pStyle w:val="TableParagraph"/>
              <w:spacing w:before="56"/>
              <w:ind w:left="103" w:right="95"/>
              <w:rPr>
                <w:sz w:val="16"/>
              </w:rPr>
            </w:pPr>
            <w:r>
              <w:rPr>
                <w:sz w:val="16"/>
              </w:rPr>
              <w:t>626</w:t>
            </w:r>
          </w:p>
        </w:tc>
        <w:tc>
          <w:tcPr>
            <w:tcW w:w="1027" w:type="dxa"/>
            <w:tcBorders>
              <w:top w:val="single" w:sz="4" w:space="0" w:color="FFFFFF"/>
              <w:bottom w:val="nil"/>
            </w:tcBorders>
          </w:tcPr>
          <w:p>
            <w:pPr>
              <w:pStyle w:val="TableParagraph"/>
              <w:spacing w:before="56"/>
              <w:ind w:left="103"/>
              <w:rPr>
                <w:sz w:val="16"/>
              </w:rPr>
            </w:pPr>
            <w:r>
              <w:rPr>
                <w:sz w:val="16"/>
              </w:rPr>
              <w:t>90 080</w:t>
            </w:r>
          </w:p>
        </w:tc>
        <w:tc>
          <w:tcPr>
            <w:tcW w:w="943" w:type="dxa"/>
            <w:tcBorders>
              <w:top w:val="single" w:sz="4" w:space="0" w:color="FFFFFF"/>
              <w:bottom w:val="nil"/>
            </w:tcBorders>
          </w:tcPr>
          <w:p>
            <w:pPr/>
          </w:p>
        </w:tc>
        <w:tc>
          <w:tcPr>
            <w:tcW w:w="1605" w:type="dxa"/>
            <w:tcBorders>
              <w:top w:val="single" w:sz="4" w:space="0" w:color="FFFFFF"/>
              <w:bottom w:val="nil"/>
              <w:right w:val="nil"/>
            </w:tcBorders>
          </w:tcPr>
          <w:p>
            <w:pPr>
              <w:pStyle w:val="TableParagraph"/>
              <w:spacing w:before="56"/>
              <w:ind w:left="103" w:right="142"/>
              <w:rPr>
                <w:sz w:val="16"/>
              </w:rPr>
            </w:pPr>
            <w:r>
              <w:rPr>
                <w:sz w:val="16"/>
              </w:rPr>
              <w:t>2 431 859</w:t>
            </w:r>
          </w:p>
        </w:tc>
      </w:tr>
    </w:tbl>
    <w:p>
      <w:pPr>
        <w:pStyle w:val="BodyText"/>
        <w:spacing w:before="10"/>
      </w:pPr>
    </w:p>
    <w:p>
      <w:pPr>
        <w:spacing w:before="0"/>
        <w:ind w:left="131" w:right="0" w:firstLine="0"/>
        <w:jc w:val="center"/>
        <w:rPr>
          <w:sz w:val="16"/>
        </w:rPr>
      </w:pPr>
      <w:r>
        <w:rPr>
          <w:color w:val="6D6E71"/>
          <w:sz w:val="16"/>
        </w:rPr>
        <w:t>Fuente: Elaboración propia, 2015.</w:t>
      </w:r>
    </w:p>
    <w:p>
      <w:pPr>
        <w:pStyle w:val="BodyText"/>
        <w:spacing w:before="8"/>
        <w:rPr>
          <w:sz w:val="12"/>
        </w:rPr>
      </w:pPr>
      <w:r>
        <w:rPr/>
        <w:br w:type="column"/>
      </w:r>
      <w:r>
        <w:rPr>
          <w:sz w:val="12"/>
        </w:rPr>
      </w:r>
    </w:p>
    <w:p>
      <w:pPr>
        <w:spacing w:line="312" w:lineRule="auto" w:before="0"/>
        <w:ind w:left="253" w:right="248" w:firstLine="0"/>
        <w:jc w:val="center"/>
        <w:rPr>
          <w:sz w:val="16"/>
        </w:rPr>
      </w:pPr>
      <w:r>
        <w:rPr>
          <w:color w:val="6D6E71"/>
          <w:sz w:val="16"/>
        </w:rPr>
        <w:t>Gráficas 1, 2, 3 y 4. Proporción de superficie con huertos, respecto a la superficie total de las localidades en el municipio de Malinalco</w:t>
      </w:r>
    </w:p>
    <w:p>
      <w:pPr>
        <w:pStyle w:val="BodyText"/>
        <w:spacing w:before="5"/>
        <w:rPr>
          <w:sz w:val="11"/>
        </w:rPr>
      </w:pPr>
    </w:p>
    <w:p>
      <w:pPr>
        <w:pStyle w:val="BodyText"/>
        <w:ind w:left="1398"/>
      </w:pPr>
      <w:r>
        <w:rPr/>
        <w:pict>
          <v:group style="width:258.3pt;height:214.35pt;mso-position-horizontal-relative:char;mso-position-vertical-relative:line" coordorigin="0,0" coordsize="5166,4287">
            <v:shape style="position:absolute;left:0;top:0;width:2944;height:2160" type="#_x0000_t75" stroked="false">
              <v:imagedata r:id="rId263" o:title=""/>
            </v:shape>
            <v:shape style="position:absolute;left:2317;top:0;width:2849;height:2160" type="#_x0000_t75" stroked="false">
              <v:imagedata r:id="rId264" o:title=""/>
            </v:shape>
            <v:shape style="position:absolute;left:6;top:2126;width:2644;height:2160" type="#_x0000_t75" stroked="false">
              <v:imagedata r:id="rId265" o:title=""/>
            </v:shape>
            <v:shape style="position:absolute;left:2329;top:2126;width:2837;height:2160" type="#_x0000_t75" stroked="false">
              <v:imagedata r:id="rId266" o:title=""/>
            </v:shape>
          </v:group>
        </w:pict>
      </w:r>
      <w:r>
        <w:rPr/>
      </w:r>
    </w:p>
    <w:p>
      <w:pPr>
        <w:spacing w:before="134"/>
        <w:ind w:left="2" w:right="0" w:firstLine="0"/>
        <w:jc w:val="center"/>
        <w:rPr>
          <w:sz w:val="16"/>
        </w:rPr>
      </w:pPr>
      <w:r>
        <w:rPr>
          <w:color w:val="6D6E71"/>
          <w:sz w:val="16"/>
        </w:rPr>
        <w:t>Fuente: Elaboración propia, 2015.</w:t>
      </w:r>
    </w:p>
    <w:p>
      <w:pPr>
        <w:pStyle w:val="BodyText"/>
        <w:spacing w:before="2"/>
        <w:rPr>
          <w:sz w:val="19"/>
        </w:rPr>
      </w:pPr>
    </w:p>
    <w:p>
      <w:pPr>
        <w:pStyle w:val="Heading1"/>
      </w:pPr>
      <w:r>
        <w:rPr/>
        <w:t>Municipio de Tenancingo</w:t>
      </w:r>
    </w:p>
    <w:p>
      <w:pPr>
        <w:pStyle w:val="BodyText"/>
        <w:rPr>
          <w:b/>
          <w:sz w:val="21"/>
        </w:rPr>
      </w:pPr>
    </w:p>
    <w:p>
      <w:pPr>
        <w:pStyle w:val="BodyText"/>
        <w:spacing w:line="249" w:lineRule="auto"/>
        <w:ind w:left="130" w:right="126" w:firstLine="170"/>
        <w:jc w:val="both"/>
      </w:pPr>
      <w:r>
        <w:rPr/>
        <w:t>El</w:t>
      </w:r>
      <w:r>
        <w:rPr>
          <w:spacing w:val="-7"/>
        </w:rPr>
        <w:t> </w:t>
      </w:r>
      <w:r>
        <w:rPr/>
        <w:t>análisis</w:t>
      </w:r>
      <w:r>
        <w:rPr>
          <w:spacing w:val="-7"/>
        </w:rPr>
        <w:t> </w:t>
      </w:r>
      <w:r>
        <w:rPr/>
        <w:t>espacial</w:t>
      </w:r>
      <w:r>
        <w:rPr>
          <w:spacing w:val="-7"/>
        </w:rPr>
        <w:t> </w:t>
      </w:r>
      <w:r>
        <w:rPr/>
        <w:t>en</w:t>
      </w:r>
      <w:r>
        <w:rPr>
          <w:spacing w:val="-7"/>
        </w:rPr>
        <w:t> </w:t>
      </w:r>
      <w:r>
        <w:rPr/>
        <w:t>el</w:t>
      </w:r>
      <w:r>
        <w:rPr>
          <w:spacing w:val="-7"/>
        </w:rPr>
        <w:t> </w:t>
      </w:r>
      <w:r>
        <w:rPr/>
        <w:t>municipio</w:t>
      </w:r>
      <w:r>
        <w:rPr>
          <w:spacing w:val="-7"/>
        </w:rPr>
        <w:t> </w:t>
      </w:r>
      <w:r>
        <w:rPr/>
        <w:t>de</w:t>
      </w:r>
      <w:r>
        <w:rPr>
          <w:spacing w:val="-7"/>
        </w:rPr>
        <w:t> </w:t>
      </w:r>
      <w:r>
        <w:rPr/>
        <w:t>Tenancingo</w:t>
      </w:r>
      <w:r>
        <w:rPr>
          <w:spacing w:val="-7"/>
        </w:rPr>
        <w:t> </w:t>
      </w:r>
      <w:r>
        <w:rPr/>
        <w:t>muestra</w:t>
      </w:r>
      <w:r>
        <w:rPr>
          <w:spacing w:val="-7"/>
        </w:rPr>
        <w:t> </w:t>
      </w:r>
      <w:r>
        <w:rPr/>
        <w:t>que</w:t>
      </w:r>
      <w:r>
        <w:rPr>
          <w:spacing w:val="-7"/>
        </w:rPr>
        <w:t> </w:t>
      </w:r>
      <w:r>
        <w:rPr/>
        <w:t>las</w:t>
      </w:r>
      <w:r>
        <w:rPr>
          <w:spacing w:val="-7"/>
        </w:rPr>
        <w:t> </w:t>
      </w:r>
      <w:r>
        <w:rPr/>
        <w:t>cuatro</w:t>
      </w:r>
      <w:r>
        <w:rPr>
          <w:spacing w:val="-7"/>
        </w:rPr>
        <w:t> </w:t>
      </w:r>
      <w:r>
        <w:rPr/>
        <w:t>localidades estudiadas presentan un total de 81 huertos. La localidad con la mayor superficie proporcional ocupada por huertos es Tenería, seguida de San Nicolás, El Carmen; y  es la cabecera municipal la localidad que presenta la menor densidad de superficie  con huertos familiares. En números absolutos la localidad con mayor superficie de AEHF es la cabecera municipal, seguida de Tenería, San Nicolás y finalmente la El Carmen.</w:t>
      </w:r>
      <w:r>
        <w:rPr>
          <w:spacing w:val="-5"/>
        </w:rPr>
        <w:t> </w:t>
      </w:r>
      <w:r>
        <w:rPr/>
        <w:t>Al</w:t>
      </w:r>
      <w:r>
        <w:rPr>
          <w:spacing w:val="-5"/>
        </w:rPr>
        <w:t> </w:t>
      </w:r>
      <w:r>
        <w:rPr/>
        <w:t>analizar</w:t>
      </w:r>
      <w:r>
        <w:rPr>
          <w:spacing w:val="-5"/>
        </w:rPr>
        <w:t> </w:t>
      </w:r>
      <w:r>
        <w:rPr/>
        <w:t>el</w:t>
      </w:r>
      <w:r>
        <w:rPr>
          <w:spacing w:val="-5"/>
        </w:rPr>
        <w:t> </w:t>
      </w:r>
      <w:r>
        <w:rPr/>
        <w:t>número</w:t>
      </w:r>
      <w:r>
        <w:rPr>
          <w:spacing w:val="-5"/>
        </w:rPr>
        <w:t> </w:t>
      </w:r>
      <w:r>
        <w:rPr/>
        <w:t>de</w:t>
      </w:r>
      <w:r>
        <w:rPr>
          <w:spacing w:val="-5"/>
        </w:rPr>
        <w:t> </w:t>
      </w:r>
      <w:r>
        <w:rPr/>
        <w:t>huertos</w:t>
      </w:r>
      <w:r>
        <w:rPr>
          <w:spacing w:val="-5"/>
        </w:rPr>
        <w:t> </w:t>
      </w:r>
      <w:r>
        <w:rPr/>
        <w:t>se</w:t>
      </w:r>
      <w:r>
        <w:rPr>
          <w:spacing w:val="-5"/>
        </w:rPr>
        <w:t> </w:t>
      </w:r>
      <w:r>
        <w:rPr/>
        <w:t>observa</w:t>
      </w:r>
      <w:r>
        <w:rPr>
          <w:spacing w:val="-5"/>
        </w:rPr>
        <w:t> </w:t>
      </w:r>
      <w:r>
        <w:rPr/>
        <w:t>que</w:t>
      </w:r>
      <w:r>
        <w:rPr>
          <w:spacing w:val="-5"/>
        </w:rPr>
        <w:t> </w:t>
      </w:r>
      <w:r>
        <w:rPr/>
        <w:t>la</w:t>
      </w:r>
      <w:r>
        <w:rPr>
          <w:spacing w:val="-5"/>
        </w:rPr>
        <w:t> </w:t>
      </w:r>
      <w:r>
        <w:rPr/>
        <w:t>mayor</w:t>
      </w:r>
      <w:r>
        <w:rPr>
          <w:spacing w:val="-5"/>
        </w:rPr>
        <w:t> </w:t>
      </w:r>
      <w:r>
        <w:rPr/>
        <w:t>cantidad</w:t>
      </w:r>
      <w:r>
        <w:rPr>
          <w:spacing w:val="-5"/>
        </w:rPr>
        <w:t> </w:t>
      </w:r>
      <w:r>
        <w:rPr/>
        <w:t>de</w:t>
      </w:r>
      <w:r>
        <w:rPr>
          <w:spacing w:val="-5"/>
        </w:rPr>
        <w:t> </w:t>
      </w:r>
      <w:r>
        <w:rPr/>
        <w:t>huertos se</w:t>
      </w:r>
      <w:r>
        <w:rPr>
          <w:spacing w:val="-5"/>
        </w:rPr>
        <w:t> </w:t>
      </w:r>
      <w:r>
        <w:rPr/>
        <w:t>encuentran</w:t>
      </w:r>
      <w:r>
        <w:rPr>
          <w:spacing w:val="-5"/>
        </w:rPr>
        <w:t> </w:t>
      </w:r>
      <w:r>
        <w:rPr/>
        <w:t>en</w:t>
      </w:r>
      <w:r>
        <w:rPr>
          <w:spacing w:val="-5"/>
        </w:rPr>
        <w:t> </w:t>
      </w:r>
      <w:r>
        <w:rPr/>
        <w:t>la</w:t>
      </w:r>
      <w:r>
        <w:rPr>
          <w:spacing w:val="-5"/>
        </w:rPr>
        <w:t> </w:t>
      </w:r>
      <w:r>
        <w:rPr/>
        <w:t>cabecera</w:t>
      </w:r>
      <w:r>
        <w:rPr>
          <w:spacing w:val="-5"/>
        </w:rPr>
        <w:t> </w:t>
      </w:r>
      <w:r>
        <w:rPr/>
        <w:t>municipal,</w:t>
      </w:r>
      <w:r>
        <w:rPr>
          <w:spacing w:val="-5"/>
        </w:rPr>
        <w:t> </w:t>
      </w:r>
      <w:r>
        <w:rPr/>
        <w:t>seguido</w:t>
      </w:r>
      <w:r>
        <w:rPr>
          <w:spacing w:val="-5"/>
        </w:rPr>
        <w:t> </w:t>
      </w:r>
      <w:r>
        <w:rPr/>
        <w:t>de</w:t>
      </w:r>
      <w:r>
        <w:rPr>
          <w:spacing w:val="-5"/>
        </w:rPr>
        <w:t> </w:t>
      </w:r>
      <w:r>
        <w:rPr/>
        <w:t>Tenería,</w:t>
      </w:r>
      <w:r>
        <w:rPr>
          <w:spacing w:val="-5"/>
        </w:rPr>
        <w:t> </w:t>
      </w:r>
      <w:r>
        <w:rPr/>
        <w:t>San</w:t>
      </w:r>
      <w:r>
        <w:rPr>
          <w:spacing w:val="-5"/>
        </w:rPr>
        <w:t> </w:t>
      </w:r>
      <w:r>
        <w:rPr/>
        <w:t>Nicolás</w:t>
      </w:r>
      <w:r>
        <w:rPr>
          <w:spacing w:val="-5"/>
        </w:rPr>
        <w:t> </w:t>
      </w:r>
      <w:r>
        <w:rPr/>
        <w:t>y</w:t>
      </w:r>
      <w:r>
        <w:rPr>
          <w:spacing w:val="-5"/>
        </w:rPr>
        <w:t> </w:t>
      </w:r>
      <w:r>
        <w:rPr/>
        <w:t>El</w:t>
      </w:r>
      <w:r>
        <w:rPr>
          <w:spacing w:val="-5"/>
        </w:rPr>
        <w:t> </w:t>
      </w:r>
      <w:r>
        <w:rPr/>
        <w:t>Carmen. La</w:t>
      </w:r>
      <w:r>
        <w:rPr>
          <w:spacing w:val="-7"/>
        </w:rPr>
        <w:t> </w:t>
      </w:r>
      <w:r>
        <w:rPr/>
        <w:t>superficie</w:t>
      </w:r>
      <w:r>
        <w:rPr>
          <w:spacing w:val="-7"/>
        </w:rPr>
        <w:t> </w:t>
      </w:r>
      <w:r>
        <w:rPr/>
        <w:t>promedio</w:t>
      </w:r>
      <w:r>
        <w:rPr>
          <w:spacing w:val="-7"/>
        </w:rPr>
        <w:t> </w:t>
      </w:r>
      <w:r>
        <w:rPr/>
        <w:t>de</w:t>
      </w:r>
      <w:r>
        <w:rPr>
          <w:spacing w:val="-7"/>
        </w:rPr>
        <w:t> </w:t>
      </w:r>
      <w:r>
        <w:rPr/>
        <w:t>cada</w:t>
      </w:r>
      <w:r>
        <w:rPr>
          <w:spacing w:val="-7"/>
        </w:rPr>
        <w:t> </w:t>
      </w:r>
      <w:r>
        <w:rPr/>
        <w:t>huerto</w:t>
      </w:r>
      <w:r>
        <w:rPr>
          <w:spacing w:val="-7"/>
        </w:rPr>
        <w:t> </w:t>
      </w:r>
      <w:r>
        <w:rPr/>
        <w:t>es</w:t>
      </w:r>
      <w:r>
        <w:rPr>
          <w:spacing w:val="-7"/>
        </w:rPr>
        <w:t> </w:t>
      </w:r>
      <w:r>
        <w:rPr/>
        <w:t>mayor</w:t>
      </w:r>
      <w:r>
        <w:rPr>
          <w:spacing w:val="-7"/>
        </w:rPr>
        <w:t> </w:t>
      </w:r>
      <w:r>
        <w:rPr/>
        <w:t>en</w:t>
      </w:r>
      <w:r>
        <w:rPr>
          <w:spacing w:val="-7"/>
        </w:rPr>
        <w:t> </w:t>
      </w:r>
      <w:r>
        <w:rPr/>
        <w:t>El</w:t>
      </w:r>
      <w:r>
        <w:rPr>
          <w:spacing w:val="-7"/>
        </w:rPr>
        <w:t> </w:t>
      </w:r>
      <w:r>
        <w:rPr/>
        <w:t>Carmen,</w:t>
      </w:r>
      <w:r>
        <w:rPr>
          <w:spacing w:val="-7"/>
        </w:rPr>
        <w:t> </w:t>
      </w:r>
      <w:r>
        <w:rPr/>
        <w:t>seguido</w:t>
      </w:r>
      <w:r>
        <w:rPr>
          <w:spacing w:val="-7"/>
        </w:rPr>
        <w:t> </w:t>
      </w:r>
      <w:r>
        <w:rPr/>
        <w:t>de</w:t>
      </w:r>
      <w:r>
        <w:rPr>
          <w:spacing w:val="-7"/>
        </w:rPr>
        <w:t> </w:t>
      </w:r>
      <w:r>
        <w:rPr/>
        <w:t>San</w:t>
      </w:r>
      <w:r>
        <w:rPr>
          <w:spacing w:val="-7"/>
        </w:rPr>
        <w:t> </w:t>
      </w:r>
      <w:r>
        <w:rPr/>
        <w:t>Nicolás y de Tenería; los huertos más pequeños se observan en la cabecera</w:t>
      </w:r>
      <w:r>
        <w:rPr>
          <w:spacing w:val="8"/>
        </w:rPr>
        <w:t> </w:t>
      </w:r>
      <w:r>
        <w:rPr/>
        <w:t>municipal.</w:t>
      </w:r>
    </w:p>
    <w:p>
      <w:pPr>
        <w:spacing w:after="0" w:line="249" w:lineRule="auto"/>
        <w:jc w:val="both"/>
        <w:sectPr>
          <w:type w:val="continuous"/>
          <w:pgSz w:w="18830" w:h="12760" w:orient="landscape"/>
          <w:pgMar w:top="1420" w:bottom="280" w:left="720" w:right="720"/>
          <w:cols w:num="2" w:equalWidth="0">
            <w:col w:w="7842" w:space="1570"/>
            <w:col w:w="7978"/>
          </w:cols>
        </w:sectPr>
      </w:pPr>
    </w:p>
    <w:p>
      <w:pPr>
        <w:spacing w:line="278" w:lineRule="auto" w:before="126"/>
        <w:ind w:left="116" w:right="0" w:firstLine="170"/>
        <w:jc w:val="both"/>
        <w:rPr>
          <w:sz w:val="18"/>
        </w:rPr>
      </w:pPr>
      <w:r>
        <w:rPr/>
        <w:pict>
          <v:rect style="position:absolute;margin-left:48.981003pt;margin-top:54.742287pt;width:361.250017pt;height:51.381002pt;mso-position-horizontal-relative:page;mso-position-vertical-relative:paragraph;z-index:-641728" filled="true" fillcolor="#929292" stroked="false">
            <v:fill type="solid"/>
            <w10:wrap type="none"/>
          </v:rect>
        </w:pict>
      </w:r>
      <w:r>
        <w:rPr>
          <w:color w:val="6D6E71"/>
          <w:sz w:val="18"/>
        </w:rPr>
        <w:t>Cuadro 6. . Número de huertos familiares, superficie promedio de los huertos y proporción    de superficie con huertos, respecto a la superficie total de las localidades en el municipio de Tenancingo</w:t>
      </w:r>
    </w:p>
    <w:p>
      <w:pPr>
        <w:pStyle w:val="BodyText"/>
        <w:spacing w:before="1" w:after="1"/>
        <w:rPr>
          <w:sz w:val="22"/>
        </w:rPr>
      </w:pPr>
    </w:p>
    <w:tbl>
      <w:tblPr>
        <w:tblW w:w="0" w:type="auto"/>
        <w:jc w:val="left"/>
        <w:tblInd w:w="364"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975"/>
        <w:gridCol w:w="992"/>
        <w:gridCol w:w="1134"/>
        <w:gridCol w:w="1134"/>
        <w:gridCol w:w="953"/>
        <w:gridCol w:w="1027"/>
      </w:tblGrid>
      <w:tr>
        <w:trPr>
          <w:trHeight w:val="1023" w:hRule="exact"/>
        </w:trPr>
        <w:tc>
          <w:tcPr>
            <w:tcW w:w="1975" w:type="dxa"/>
            <w:tcBorders>
              <w:top w:val="nil"/>
              <w:left w:val="nil"/>
            </w:tcBorders>
            <w:shd w:val="clear" w:color="auto" w:fill="929292"/>
          </w:tcPr>
          <w:p>
            <w:pPr>
              <w:pStyle w:val="TableParagraph"/>
              <w:spacing w:before="16"/>
              <w:jc w:val="center"/>
              <w:rPr>
                <w:sz w:val="16"/>
              </w:rPr>
            </w:pPr>
            <w:r>
              <w:rPr>
                <w:sz w:val="16"/>
              </w:rPr>
              <w:t>Localidad</w:t>
            </w:r>
          </w:p>
        </w:tc>
        <w:tc>
          <w:tcPr>
            <w:tcW w:w="992" w:type="dxa"/>
            <w:tcBorders>
              <w:top w:val="nil"/>
            </w:tcBorders>
            <w:shd w:val="clear" w:color="auto" w:fill="929292"/>
          </w:tcPr>
          <w:p>
            <w:pPr>
              <w:pStyle w:val="TableParagraph"/>
              <w:spacing w:line="261" w:lineRule="auto" w:before="16"/>
              <w:ind w:left="208" w:right="193" w:firstLine="80"/>
              <w:rPr>
                <w:sz w:val="16"/>
              </w:rPr>
            </w:pPr>
            <w:r>
              <w:rPr>
                <w:sz w:val="16"/>
              </w:rPr>
              <w:t>N° de Huertos</w:t>
            </w:r>
          </w:p>
        </w:tc>
        <w:tc>
          <w:tcPr>
            <w:tcW w:w="1134" w:type="dxa"/>
            <w:tcBorders>
              <w:top w:val="nil"/>
            </w:tcBorders>
            <w:shd w:val="clear" w:color="auto" w:fill="929292"/>
          </w:tcPr>
          <w:p>
            <w:pPr>
              <w:pStyle w:val="TableParagraph"/>
              <w:spacing w:line="261" w:lineRule="auto" w:before="16"/>
              <w:ind w:left="103" w:right="100"/>
              <w:jc w:val="center"/>
              <w:rPr>
                <w:sz w:val="16"/>
              </w:rPr>
            </w:pPr>
            <w:r>
              <w:rPr>
                <w:sz w:val="16"/>
              </w:rPr>
              <w:t>Superficie Promedio de los  Huertos</w:t>
            </w:r>
          </w:p>
        </w:tc>
        <w:tc>
          <w:tcPr>
            <w:tcW w:w="1134" w:type="dxa"/>
            <w:tcBorders>
              <w:top w:val="nil"/>
            </w:tcBorders>
            <w:shd w:val="clear" w:color="auto" w:fill="929292"/>
          </w:tcPr>
          <w:p>
            <w:pPr>
              <w:pStyle w:val="TableParagraph"/>
              <w:spacing w:line="261" w:lineRule="auto" w:before="16"/>
              <w:ind w:left="136" w:right="134"/>
              <w:jc w:val="center"/>
              <w:rPr>
                <w:sz w:val="16"/>
              </w:rPr>
            </w:pPr>
            <w:r>
              <w:rPr>
                <w:sz w:val="16"/>
              </w:rPr>
              <w:t>Superficie Total Ocupada por Huertos (m2)</w:t>
            </w:r>
          </w:p>
        </w:tc>
        <w:tc>
          <w:tcPr>
            <w:tcW w:w="953" w:type="dxa"/>
            <w:tcBorders>
              <w:top w:val="nil"/>
            </w:tcBorders>
            <w:shd w:val="clear" w:color="auto" w:fill="929292"/>
          </w:tcPr>
          <w:p>
            <w:pPr>
              <w:pStyle w:val="TableParagraph"/>
              <w:spacing w:before="16"/>
              <w:jc w:val="center"/>
              <w:rPr>
                <w:sz w:val="16"/>
              </w:rPr>
            </w:pPr>
            <w:r>
              <w:rPr>
                <w:w w:val="112"/>
                <w:sz w:val="16"/>
              </w:rPr>
              <w:t>%</w:t>
            </w:r>
          </w:p>
          <w:p>
            <w:pPr>
              <w:pStyle w:val="TableParagraph"/>
              <w:spacing w:line="261" w:lineRule="auto" w:before="16"/>
              <w:ind w:left="139" w:right="137"/>
              <w:jc w:val="center"/>
              <w:rPr>
                <w:sz w:val="16"/>
              </w:rPr>
            </w:pPr>
            <w:r>
              <w:rPr>
                <w:sz w:val="16"/>
              </w:rPr>
              <w:t>Ocupado por Huertos</w:t>
            </w:r>
          </w:p>
        </w:tc>
        <w:tc>
          <w:tcPr>
            <w:tcW w:w="1027" w:type="dxa"/>
            <w:tcBorders>
              <w:top w:val="nil"/>
              <w:right w:val="nil"/>
            </w:tcBorders>
            <w:shd w:val="clear" w:color="auto" w:fill="929292"/>
          </w:tcPr>
          <w:p>
            <w:pPr>
              <w:pStyle w:val="TableParagraph"/>
              <w:spacing w:line="261" w:lineRule="auto" w:before="16"/>
              <w:ind w:left="137" w:right="135"/>
              <w:jc w:val="center"/>
              <w:rPr>
                <w:sz w:val="16"/>
              </w:rPr>
            </w:pPr>
            <w:r>
              <w:rPr>
                <w:sz w:val="16"/>
              </w:rPr>
              <w:t>Superficie Total de la</w:t>
            </w:r>
            <w:r>
              <w:rPr>
                <w:w w:val="97"/>
                <w:sz w:val="16"/>
              </w:rPr>
              <w:t> </w:t>
            </w:r>
            <w:r>
              <w:rPr>
                <w:sz w:val="16"/>
              </w:rPr>
              <w:t>Localidad (m2)</w:t>
            </w:r>
          </w:p>
        </w:tc>
      </w:tr>
      <w:tr>
        <w:trPr>
          <w:trHeight w:val="171" w:hRule="exact"/>
        </w:trPr>
        <w:tc>
          <w:tcPr>
            <w:tcW w:w="1975" w:type="dxa"/>
            <w:tcBorders>
              <w:left w:val="nil"/>
              <w:right w:val="single" w:sz="4" w:space="0" w:color="929292"/>
            </w:tcBorders>
          </w:tcPr>
          <w:p>
            <w:pPr>
              <w:pStyle w:val="TableParagraph"/>
              <w:tabs>
                <w:tab w:pos="1950" w:val="left" w:leader="none"/>
              </w:tabs>
              <w:spacing w:line="171" w:lineRule="exact"/>
              <w:ind w:left="19"/>
              <w:jc w:val="center"/>
              <w:rPr>
                <w:sz w:val="16"/>
              </w:rPr>
            </w:pPr>
            <w:r>
              <w:rPr>
                <w:w w:val="100"/>
                <w:sz w:val="16"/>
                <w:u w:val="dotted" w:color="929292"/>
              </w:rPr>
              <w:t> </w:t>
            </w:r>
            <w:r>
              <w:rPr>
                <w:spacing w:val="-16"/>
                <w:sz w:val="16"/>
                <w:u w:val="dotted" w:color="929292"/>
              </w:rPr>
              <w:t> </w:t>
            </w:r>
            <w:r>
              <w:rPr>
                <w:sz w:val="16"/>
                <w:u w:val="dotted" w:color="929292"/>
              </w:rPr>
              <w:t>El</w:t>
            </w:r>
            <w:r>
              <w:rPr>
                <w:spacing w:val="-12"/>
                <w:sz w:val="16"/>
                <w:u w:val="dotted" w:color="929292"/>
              </w:rPr>
              <w:t> </w:t>
            </w:r>
            <w:r>
              <w:rPr>
                <w:sz w:val="16"/>
                <w:u w:val="dotted" w:color="929292"/>
              </w:rPr>
              <w:t>Carmen</w:t>
              <w:tab/>
            </w:r>
          </w:p>
        </w:tc>
        <w:tc>
          <w:tcPr>
            <w:tcW w:w="992" w:type="dxa"/>
            <w:tcBorders>
              <w:left w:val="single" w:sz="4" w:space="0" w:color="929292"/>
              <w:right w:val="single" w:sz="4" w:space="0" w:color="929292"/>
            </w:tcBorders>
          </w:tcPr>
          <w:p>
            <w:pPr>
              <w:pStyle w:val="TableParagraph"/>
              <w:tabs>
                <w:tab w:pos="961" w:val="left" w:leader="none"/>
              </w:tabs>
              <w:spacing w:line="171" w:lineRule="exact"/>
              <w:ind w:left="15"/>
              <w:jc w:val="center"/>
              <w:rPr>
                <w:sz w:val="16"/>
              </w:rPr>
            </w:pPr>
            <w:r>
              <w:rPr>
                <w:w w:val="100"/>
                <w:sz w:val="16"/>
                <w:u w:val="dotted" w:color="929292"/>
              </w:rPr>
              <w:t> </w:t>
            </w:r>
            <w:r>
              <w:rPr>
                <w:spacing w:val="-11"/>
                <w:sz w:val="16"/>
                <w:u w:val="dotted" w:color="929292"/>
              </w:rPr>
              <w:t> </w:t>
            </w:r>
            <w:r>
              <w:rPr>
                <w:sz w:val="16"/>
                <w:u w:val="dotted" w:color="929292"/>
              </w:rPr>
              <w:t>12</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537</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6</w:t>
            </w:r>
            <w:r>
              <w:rPr>
                <w:spacing w:val="-1"/>
                <w:sz w:val="16"/>
                <w:u w:val="dotted" w:color="929292"/>
              </w:rPr>
              <w:t> </w:t>
            </w:r>
            <w:r>
              <w:rPr>
                <w:sz w:val="16"/>
                <w:u w:val="dotted" w:color="929292"/>
              </w:rPr>
              <w:t>447</w:t>
              <w:tab/>
            </w:r>
          </w:p>
        </w:tc>
        <w:tc>
          <w:tcPr>
            <w:tcW w:w="953" w:type="dxa"/>
            <w:tcBorders>
              <w:left w:val="single" w:sz="4" w:space="0" w:color="929292"/>
              <w:right w:val="single" w:sz="4" w:space="0" w:color="929292"/>
            </w:tcBorders>
          </w:tcPr>
          <w:p>
            <w:pPr>
              <w:pStyle w:val="TableParagraph"/>
              <w:tabs>
                <w:tab w:pos="933"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3.13</w:t>
              <w:tab/>
            </w:r>
          </w:p>
        </w:tc>
        <w:tc>
          <w:tcPr>
            <w:tcW w:w="1027" w:type="dxa"/>
            <w:tcBorders>
              <w:left w:val="single" w:sz="4" w:space="0" w:color="929292"/>
              <w:right w:val="nil"/>
            </w:tcBorders>
          </w:tcPr>
          <w:p>
            <w:pPr>
              <w:pStyle w:val="TableParagraph"/>
              <w:tabs>
                <w:tab w:pos="991" w:val="left" w:leader="none"/>
              </w:tabs>
              <w:spacing w:line="171" w:lineRule="exact"/>
              <w:ind w:left="10"/>
              <w:jc w:val="center"/>
              <w:rPr>
                <w:sz w:val="16"/>
              </w:rPr>
            </w:pPr>
            <w:r>
              <w:rPr>
                <w:w w:val="100"/>
                <w:sz w:val="16"/>
                <w:u w:val="dotted" w:color="929292"/>
              </w:rPr>
              <w:t> </w:t>
            </w:r>
            <w:r>
              <w:rPr>
                <w:spacing w:val="-11"/>
                <w:sz w:val="16"/>
                <w:u w:val="dotted" w:color="929292"/>
              </w:rPr>
              <w:t> </w:t>
            </w:r>
            <w:r>
              <w:rPr>
                <w:sz w:val="16"/>
                <w:u w:val="dotted" w:color="929292"/>
              </w:rPr>
              <w:t>205</w:t>
            </w:r>
            <w:r>
              <w:rPr>
                <w:spacing w:val="-1"/>
                <w:sz w:val="16"/>
                <w:u w:val="dotted" w:color="929292"/>
              </w:rPr>
              <w:t> </w:t>
            </w:r>
            <w:r>
              <w:rPr>
                <w:sz w:val="16"/>
                <w:u w:val="dotted" w:color="929292"/>
              </w:rPr>
              <w:t>713</w:t>
              <w:tab/>
            </w:r>
          </w:p>
        </w:tc>
      </w:tr>
      <w:tr>
        <w:trPr>
          <w:trHeight w:val="171" w:hRule="exact"/>
        </w:trPr>
        <w:tc>
          <w:tcPr>
            <w:tcW w:w="1975" w:type="dxa"/>
            <w:tcBorders>
              <w:left w:val="nil"/>
              <w:right w:val="single" w:sz="4" w:space="0" w:color="929292"/>
            </w:tcBorders>
          </w:tcPr>
          <w:p>
            <w:pPr>
              <w:pStyle w:val="TableParagraph"/>
              <w:tabs>
                <w:tab w:pos="1950" w:val="left" w:leader="none"/>
              </w:tabs>
              <w:spacing w:line="171" w:lineRule="exact"/>
              <w:ind w:left="19"/>
              <w:jc w:val="center"/>
              <w:rPr>
                <w:sz w:val="16"/>
              </w:rPr>
            </w:pPr>
            <w:r>
              <w:rPr>
                <w:w w:val="100"/>
                <w:sz w:val="16"/>
                <w:u w:val="dotted" w:color="929292"/>
              </w:rPr>
              <w:t> </w:t>
            </w:r>
            <w:r>
              <w:rPr>
                <w:spacing w:val="-16"/>
                <w:sz w:val="16"/>
                <w:u w:val="dotted" w:color="929292"/>
              </w:rPr>
              <w:t> </w:t>
            </w:r>
            <w:r>
              <w:rPr>
                <w:sz w:val="16"/>
                <w:u w:val="dotted" w:color="929292"/>
              </w:rPr>
              <w:t>San</w:t>
            </w:r>
            <w:r>
              <w:rPr>
                <w:spacing w:val="-1"/>
                <w:sz w:val="16"/>
                <w:u w:val="dotted" w:color="929292"/>
              </w:rPr>
              <w:t> </w:t>
            </w:r>
            <w:r>
              <w:rPr>
                <w:sz w:val="16"/>
                <w:u w:val="dotted" w:color="929292"/>
              </w:rPr>
              <w:t>Nicolás</w:t>
              <w:tab/>
            </w:r>
          </w:p>
        </w:tc>
        <w:tc>
          <w:tcPr>
            <w:tcW w:w="992" w:type="dxa"/>
            <w:tcBorders>
              <w:left w:val="single" w:sz="4" w:space="0" w:color="929292"/>
              <w:right w:val="single" w:sz="4" w:space="0" w:color="929292"/>
            </w:tcBorders>
          </w:tcPr>
          <w:p>
            <w:pPr>
              <w:pStyle w:val="TableParagraph"/>
              <w:tabs>
                <w:tab w:pos="961" w:val="left" w:leader="none"/>
              </w:tabs>
              <w:spacing w:line="171" w:lineRule="exact"/>
              <w:ind w:left="15"/>
              <w:jc w:val="center"/>
              <w:rPr>
                <w:sz w:val="16"/>
              </w:rPr>
            </w:pPr>
            <w:r>
              <w:rPr>
                <w:w w:val="100"/>
                <w:sz w:val="16"/>
                <w:u w:val="dotted" w:color="929292"/>
              </w:rPr>
              <w:t> </w:t>
            </w:r>
            <w:r>
              <w:rPr>
                <w:spacing w:val="-11"/>
                <w:sz w:val="16"/>
                <w:u w:val="dotted" w:color="929292"/>
              </w:rPr>
              <w:t> </w:t>
            </w:r>
            <w:r>
              <w:rPr>
                <w:sz w:val="16"/>
                <w:u w:val="dotted" w:color="929292"/>
              </w:rPr>
              <w:t>15</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506</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9</w:t>
            </w:r>
            <w:r>
              <w:rPr>
                <w:spacing w:val="-1"/>
                <w:sz w:val="16"/>
                <w:u w:val="dotted" w:color="929292"/>
              </w:rPr>
              <w:t> </w:t>
            </w:r>
            <w:r>
              <w:rPr>
                <w:sz w:val="16"/>
                <w:u w:val="dotted" w:color="929292"/>
              </w:rPr>
              <w:t>088</w:t>
              <w:tab/>
            </w:r>
          </w:p>
        </w:tc>
        <w:tc>
          <w:tcPr>
            <w:tcW w:w="953" w:type="dxa"/>
            <w:tcBorders>
              <w:left w:val="single" w:sz="4" w:space="0" w:color="929292"/>
              <w:right w:val="single" w:sz="4" w:space="0" w:color="929292"/>
            </w:tcBorders>
          </w:tcPr>
          <w:p>
            <w:pPr>
              <w:pStyle w:val="TableParagraph"/>
              <w:tabs>
                <w:tab w:pos="933"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4.27</w:t>
              <w:tab/>
            </w:r>
          </w:p>
        </w:tc>
        <w:tc>
          <w:tcPr>
            <w:tcW w:w="1027" w:type="dxa"/>
            <w:tcBorders>
              <w:left w:val="single" w:sz="4" w:space="0" w:color="929292"/>
              <w:right w:val="nil"/>
            </w:tcBorders>
          </w:tcPr>
          <w:p>
            <w:pPr>
              <w:pStyle w:val="TableParagraph"/>
              <w:tabs>
                <w:tab w:pos="991" w:val="left" w:leader="none"/>
              </w:tabs>
              <w:spacing w:line="171" w:lineRule="exact"/>
              <w:ind w:left="10"/>
              <w:jc w:val="center"/>
              <w:rPr>
                <w:sz w:val="16"/>
              </w:rPr>
            </w:pPr>
            <w:r>
              <w:rPr>
                <w:w w:val="100"/>
                <w:sz w:val="16"/>
                <w:u w:val="dotted" w:color="929292"/>
              </w:rPr>
              <w:t> </w:t>
            </w:r>
            <w:r>
              <w:rPr>
                <w:spacing w:val="-11"/>
                <w:sz w:val="16"/>
                <w:u w:val="dotted" w:color="929292"/>
              </w:rPr>
              <w:t> </w:t>
            </w:r>
            <w:r>
              <w:rPr>
                <w:sz w:val="16"/>
                <w:u w:val="dotted" w:color="929292"/>
              </w:rPr>
              <w:t>213</w:t>
            </w:r>
            <w:r>
              <w:rPr>
                <w:spacing w:val="-1"/>
                <w:sz w:val="16"/>
                <w:u w:val="dotted" w:color="929292"/>
              </w:rPr>
              <w:t> </w:t>
            </w:r>
            <w:r>
              <w:rPr>
                <w:sz w:val="16"/>
                <w:u w:val="dotted" w:color="929292"/>
              </w:rPr>
              <w:t>083</w:t>
              <w:tab/>
            </w:r>
          </w:p>
        </w:tc>
      </w:tr>
      <w:tr>
        <w:trPr>
          <w:trHeight w:val="171" w:hRule="exact"/>
        </w:trPr>
        <w:tc>
          <w:tcPr>
            <w:tcW w:w="1975" w:type="dxa"/>
            <w:tcBorders>
              <w:left w:val="nil"/>
              <w:right w:val="single" w:sz="4" w:space="0" w:color="929292"/>
            </w:tcBorders>
          </w:tcPr>
          <w:p>
            <w:pPr>
              <w:pStyle w:val="TableParagraph"/>
              <w:tabs>
                <w:tab w:pos="1950" w:val="left" w:leader="none"/>
              </w:tabs>
              <w:spacing w:line="171" w:lineRule="exact"/>
              <w:ind w:left="19"/>
              <w:jc w:val="center"/>
              <w:rPr>
                <w:sz w:val="16"/>
              </w:rPr>
            </w:pPr>
            <w:r>
              <w:rPr>
                <w:w w:val="100"/>
                <w:sz w:val="16"/>
                <w:u w:val="dotted" w:color="929292"/>
              </w:rPr>
              <w:t> </w:t>
            </w:r>
            <w:r>
              <w:rPr>
                <w:spacing w:val="-16"/>
                <w:sz w:val="16"/>
                <w:u w:val="dotted" w:color="929292"/>
              </w:rPr>
              <w:t> </w:t>
            </w:r>
            <w:r>
              <w:rPr>
                <w:sz w:val="16"/>
                <w:u w:val="dotted" w:color="929292"/>
              </w:rPr>
              <w:t>Tenería</w:t>
              <w:tab/>
            </w:r>
          </w:p>
        </w:tc>
        <w:tc>
          <w:tcPr>
            <w:tcW w:w="992" w:type="dxa"/>
            <w:tcBorders>
              <w:left w:val="single" w:sz="4" w:space="0" w:color="929292"/>
              <w:right w:val="single" w:sz="4" w:space="0" w:color="929292"/>
            </w:tcBorders>
          </w:tcPr>
          <w:p>
            <w:pPr>
              <w:pStyle w:val="TableParagraph"/>
              <w:tabs>
                <w:tab w:pos="961" w:val="left" w:leader="none"/>
              </w:tabs>
              <w:spacing w:line="171" w:lineRule="exact"/>
              <w:ind w:left="15"/>
              <w:jc w:val="center"/>
              <w:rPr>
                <w:sz w:val="16"/>
              </w:rPr>
            </w:pPr>
            <w:r>
              <w:rPr>
                <w:w w:val="100"/>
                <w:sz w:val="16"/>
                <w:u w:val="dotted" w:color="929292"/>
              </w:rPr>
              <w:t> </w:t>
            </w:r>
            <w:r>
              <w:rPr>
                <w:spacing w:val="-11"/>
                <w:sz w:val="16"/>
                <w:u w:val="dotted" w:color="929292"/>
              </w:rPr>
              <w:t> </w:t>
            </w:r>
            <w:r>
              <w:rPr>
                <w:sz w:val="16"/>
                <w:u w:val="dotted" w:color="929292"/>
              </w:rPr>
              <w:t>21</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408</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10</w:t>
            </w:r>
            <w:r>
              <w:rPr>
                <w:spacing w:val="-1"/>
                <w:sz w:val="16"/>
                <w:u w:val="dotted" w:color="929292"/>
              </w:rPr>
              <w:t> </w:t>
            </w:r>
            <w:r>
              <w:rPr>
                <w:sz w:val="16"/>
                <w:u w:val="dotted" w:color="929292"/>
              </w:rPr>
              <w:t>070</w:t>
              <w:tab/>
            </w:r>
          </w:p>
        </w:tc>
        <w:tc>
          <w:tcPr>
            <w:tcW w:w="953" w:type="dxa"/>
            <w:tcBorders>
              <w:left w:val="single" w:sz="4" w:space="0" w:color="929292"/>
              <w:right w:val="single" w:sz="4" w:space="0" w:color="929292"/>
            </w:tcBorders>
          </w:tcPr>
          <w:p>
            <w:pPr>
              <w:pStyle w:val="TableParagraph"/>
              <w:tabs>
                <w:tab w:pos="933"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4.93</w:t>
              <w:tab/>
            </w:r>
          </w:p>
        </w:tc>
        <w:tc>
          <w:tcPr>
            <w:tcW w:w="1027" w:type="dxa"/>
            <w:tcBorders>
              <w:left w:val="single" w:sz="4" w:space="0" w:color="929292"/>
              <w:right w:val="nil"/>
            </w:tcBorders>
          </w:tcPr>
          <w:p>
            <w:pPr>
              <w:pStyle w:val="TableParagraph"/>
              <w:tabs>
                <w:tab w:pos="991" w:val="left" w:leader="none"/>
              </w:tabs>
              <w:spacing w:line="171" w:lineRule="exact"/>
              <w:ind w:left="10"/>
              <w:jc w:val="center"/>
              <w:rPr>
                <w:sz w:val="16"/>
              </w:rPr>
            </w:pPr>
            <w:r>
              <w:rPr>
                <w:w w:val="100"/>
                <w:sz w:val="16"/>
                <w:u w:val="dotted" w:color="929292"/>
              </w:rPr>
              <w:t> </w:t>
            </w:r>
            <w:r>
              <w:rPr>
                <w:spacing w:val="-11"/>
                <w:sz w:val="16"/>
                <w:u w:val="dotted" w:color="929292"/>
              </w:rPr>
              <w:t> </w:t>
            </w:r>
            <w:r>
              <w:rPr>
                <w:sz w:val="16"/>
                <w:u w:val="dotted" w:color="929292"/>
              </w:rPr>
              <w:t>204</w:t>
            </w:r>
            <w:r>
              <w:rPr>
                <w:spacing w:val="-1"/>
                <w:sz w:val="16"/>
                <w:u w:val="dotted" w:color="929292"/>
              </w:rPr>
              <w:t> </w:t>
            </w:r>
            <w:r>
              <w:rPr>
                <w:sz w:val="16"/>
                <w:u w:val="dotted" w:color="929292"/>
              </w:rPr>
              <w:t>287</w:t>
              <w:tab/>
            </w:r>
          </w:p>
        </w:tc>
      </w:tr>
      <w:tr>
        <w:trPr>
          <w:trHeight w:val="171" w:hRule="exact"/>
        </w:trPr>
        <w:tc>
          <w:tcPr>
            <w:tcW w:w="1975" w:type="dxa"/>
            <w:tcBorders>
              <w:left w:val="nil"/>
              <w:right w:val="single" w:sz="4" w:space="0" w:color="929292"/>
            </w:tcBorders>
          </w:tcPr>
          <w:p>
            <w:pPr>
              <w:pStyle w:val="TableParagraph"/>
              <w:tabs>
                <w:tab w:pos="1950" w:val="left" w:leader="none"/>
              </w:tabs>
              <w:spacing w:line="171" w:lineRule="exact"/>
              <w:ind w:left="19"/>
              <w:jc w:val="center"/>
              <w:rPr>
                <w:sz w:val="16"/>
              </w:rPr>
            </w:pPr>
            <w:r>
              <w:rPr>
                <w:w w:val="100"/>
                <w:sz w:val="16"/>
                <w:u w:val="dotted" w:color="929292"/>
              </w:rPr>
              <w:t> </w:t>
            </w:r>
            <w:r>
              <w:rPr>
                <w:spacing w:val="-16"/>
                <w:sz w:val="16"/>
                <w:u w:val="dotted" w:color="929292"/>
              </w:rPr>
              <w:t> </w:t>
            </w:r>
            <w:r>
              <w:rPr>
                <w:sz w:val="16"/>
                <w:u w:val="dotted" w:color="929292"/>
              </w:rPr>
              <w:t>Cabecera</w:t>
            </w:r>
            <w:r>
              <w:rPr>
                <w:spacing w:val="14"/>
                <w:sz w:val="16"/>
                <w:u w:val="dotted" w:color="929292"/>
              </w:rPr>
              <w:t> </w:t>
            </w:r>
            <w:r>
              <w:rPr>
                <w:sz w:val="16"/>
                <w:u w:val="dotted" w:color="929292"/>
              </w:rPr>
              <w:t>Municipal</w:t>
              <w:tab/>
            </w:r>
          </w:p>
        </w:tc>
        <w:tc>
          <w:tcPr>
            <w:tcW w:w="992" w:type="dxa"/>
            <w:tcBorders>
              <w:left w:val="single" w:sz="4" w:space="0" w:color="929292"/>
              <w:right w:val="single" w:sz="4" w:space="0" w:color="929292"/>
            </w:tcBorders>
          </w:tcPr>
          <w:p>
            <w:pPr>
              <w:pStyle w:val="TableParagraph"/>
              <w:tabs>
                <w:tab w:pos="961" w:val="left" w:leader="none"/>
              </w:tabs>
              <w:spacing w:line="171" w:lineRule="exact"/>
              <w:ind w:left="15"/>
              <w:jc w:val="center"/>
              <w:rPr>
                <w:sz w:val="16"/>
              </w:rPr>
            </w:pPr>
            <w:r>
              <w:rPr>
                <w:w w:val="100"/>
                <w:sz w:val="16"/>
                <w:u w:val="dotted" w:color="929292"/>
              </w:rPr>
              <w:t> </w:t>
            </w:r>
            <w:r>
              <w:rPr>
                <w:spacing w:val="-11"/>
                <w:sz w:val="16"/>
                <w:u w:val="dotted" w:color="929292"/>
              </w:rPr>
              <w:t> </w:t>
            </w:r>
            <w:r>
              <w:rPr>
                <w:sz w:val="16"/>
                <w:u w:val="dotted" w:color="929292"/>
              </w:rPr>
              <w:t>33</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365</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12</w:t>
            </w:r>
            <w:r>
              <w:rPr>
                <w:spacing w:val="-1"/>
                <w:sz w:val="16"/>
                <w:u w:val="dotted" w:color="929292"/>
              </w:rPr>
              <w:t> </w:t>
            </w:r>
            <w:r>
              <w:rPr>
                <w:sz w:val="16"/>
                <w:u w:val="dotted" w:color="929292"/>
              </w:rPr>
              <w:t>040</w:t>
              <w:tab/>
            </w:r>
          </w:p>
        </w:tc>
        <w:tc>
          <w:tcPr>
            <w:tcW w:w="953" w:type="dxa"/>
            <w:tcBorders>
              <w:left w:val="single" w:sz="4" w:space="0" w:color="929292"/>
              <w:right w:val="single" w:sz="4" w:space="0" w:color="929292"/>
            </w:tcBorders>
          </w:tcPr>
          <w:p>
            <w:pPr>
              <w:pStyle w:val="TableParagraph"/>
              <w:tabs>
                <w:tab w:pos="933"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0.94</w:t>
              <w:tab/>
            </w:r>
          </w:p>
        </w:tc>
        <w:tc>
          <w:tcPr>
            <w:tcW w:w="1027" w:type="dxa"/>
            <w:tcBorders>
              <w:left w:val="single" w:sz="4" w:space="0" w:color="929292"/>
              <w:right w:val="nil"/>
            </w:tcBorders>
          </w:tcPr>
          <w:p>
            <w:pPr>
              <w:pStyle w:val="TableParagraph"/>
              <w:spacing w:line="171" w:lineRule="exact"/>
              <w:ind w:left="10"/>
              <w:jc w:val="center"/>
              <w:rPr>
                <w:sz w:val="16"/>
              </w:rPr>
            </w:pPr>
            <w:r>
              <w:rPr>
                <w:w w:val="100"/>
                <w:sz w:val="16"/>
                <w:u w:val="dotted" w:color="929292"/>
              </w:rPr>
              <w:t> </w:t>
            </w:r>
            <w:r>
              <w:rPr>
                <w:sz w:val="16"/>
                <w:u w:val="dotted" w:color="929292"/>
              </w:rPr>
              <w:t> 1 283 722 </w:t>
            </w:r>
          </w:p>
        </w:tc>
      </w:tr>
      <w:tr>
        <w:trPr>
          <w:trHeight w:val="171" w:hRule="exact"/>
        </w:trPr>
        <w:tc>
          <w:tcPr>
            <w:tcW w:w="1975" w:type="dxa"/>
            <w:tcBorders>
              <w:left w:val="nil"/>
              <w:bottom w:val="nil"/>
              <w:right w:val="single" w:sz="4" w:space="0" w:color="929292"/>
            </w:tcBorders>
          </w:tcPr>
          <w:p>
            <w:pPr>
              <w:pStyle w:val="TableParagraph"/>
              <w:tabs>
                <w:tab w:pos="1950" w:val="left" w:leader="none"/>
              </w:tabs>
              <w:spacing w:line="171" w:lineRule="exact"/>
              <w:ind w:left="19"/>
              <w:jc w:val="center"/>
              <w:rPr>
                <w:sz w:val="16"/>
              </w:rPr>
            </w:pPr>
            <w:r>
              <w:rPr>
                <w:w w:val="100"/>
                <w:sz w:val="16"/>
                <w:u w:val="dotted" w:color="929292"/>
              </w:rPr>
              <w:t> </w:t>
            </w:r>
            <w:r>
              <w:rPr>
                <w:spacing w:val="-16"/>
                <w:sz w:val="16"/>
                <w:u w:val="dotted" w:color="929292"/>
              </w:rPr>
              <w:t> </w:t>
            </w:r>
            <w:r>
              <w:rPr>
                <w:sz w:val="16"/>
                <w:u w:val="dotted" w:color="929292"/>
              </w:rPr>
              <w:t>Total/Promedio</w:t>
              <w:tab/>
            </w:r>
          </w:p>
        </w:tc>
        <w:tc>
          <w:tcPr>
            <w:tcW w:w="992" w:type="dxa"/>
            <w:tcBorders>
              <w:left w:val="single" w:sz="4" w:space="0" w:color="929292"/>
              <w:right w:val="single" w:sz="4" w:space="0" w:color="929292"/>
            </w:tcBorders>
          </w:tcPr>
          <w:p>
            <w:pPr>
              <w:pStyle w:val="TableParagraph"/>
              <w:tabs>
                <w:tab w:pos="961" w:val="left" w:leader="none"/>
              </w:tabs>
              <w:spacing w:line="171" w:lineRule="exact"/>
              <w:ind w:left="15"/>
              <w:jc w:val="center"/>
              <w:rPr>
                <w:sz w:val="16"/>
              </w:rPr>
            </w:pPr>
            <w:r>
              <w:rPr>
                <w:w w:val="100"/>
                <w:sz w:val="16"/>
                <w:u w:val="dotted" w:color="929292"/>
              </w:rPr>
              <w:t> </w:t>
            </w:r>
            <w:r>
              <w:rPr>
                <w:spacing w:val="-11"/>
                <w:sz w:val="16"/>
                <w:u w:val="dotted" w:color="929292"/>
              </w:rPr>
              <w:t> </w:t>
            </w:r>
            <w:r>
              <w:rPr>
                <w:sz w:val="16"/>
                <w:u w:val="dotted" w:color="929292"/>
              </w:rPr>
              <w:t>81</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454</w:t>
              <w:tab/>
            </w:r>
          </w:p>
        </w:tc>
        <w:tc>
          <w:tcPr>
            <w:tcW w:w="1134" w:type="dxa"/>
            <w:tcBorders>
              <w:left w:val="single" w:sz="4" w:space="0" w:color="929292"/>
              <w:right w:val="single" w:sz="4" w:space="0" w:color="929292"/>
            </w:tcBorders>
          </w:tcPr>
          <w:p>
            <w:pPr>
              <w:pStyle w:val="TableParagraph"/>
              <w:tabs>
                <w:tab w:pos="1104"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37</w:t>
            </w:r>
            <w:r>
              <w:rPr>
                <w:spacing w:val="-1"/>
                <w:sz w:val="16"/>
                <w:u w:val="dotted" w:color="929292"/>
              </w:rPr>
              <w:t> </w:t>
            </w:r>
            <w:r>
              <w:rPr>
                <w:sz w:val="16"/>
                <w:u w:val="dotted" w:color="929292"/>
              </w:rPr>
              <w:t>645</w:t>
              <w:tab/>
            </w:r>
          </w:p>
        </w:tc>
        <w:tc>
          <w:tcPr>
            <w:tcW w:w="953" w:type="dxa"/>
            <w:tcBorders>
              <w:left w:val="single" w:sz="4" w:space="0" w:color="929292"/>
              <w:right w:val="single" w:sz="4" w:space="0" w:color="929292"/>
            </w:tcBorders>
          </w:tcPr>
          <w:p>
            <w:pPr>
              <w:pStyle w:val="TableParagraph"/>
              <w:tabs>
                <w:tab w:pos="933" w:val="left" w:leader="none"/>
              </w:tabs>
              <w:spacing w:line="171" w:lineRule="exact"/>
              <w:ind w:left="24"/>
              <w:rPr>
                <w:sz w:val="16"/>
              </w:rPr>
            </w:pPr>
            <w:r>
              <w:rPr>
                <w:w w:val="100"/>
                <w:sz w:val="16"/>
                <w:u w:val="dotted" w:color="929292"/>
              </w:rPr>
              <w:t> </w:t>
            </w:r>
            <w:r>
              <w:rPr>
                <w:sz w:val="16"/>
                <w:u w:val="dotted" w:color="929292"/>
              </w:rPr>
              <w:tab/>
            </w:r>
          </w:p>
        </w:tc>
        <w:tc>
          <w:tcPr>
            <w:tcW w:w="1027" w:type="dxa"/>
            <w:tcBorders>
              <w:left w:val="single" w:sz="4" w:space="0" w:color="929292"/>
              <w:right w:val="nil"/>
            </w:tcBorders>
          </w:tcPr>
          <w:p>
            <w:pPr>
              <w:pStyle w:val="TableParagraph"/>
              <w:spacing w:line="171" w:lineRule="exact"/>
              <w:ind w:left="10"/>
              <w:jc w:val="center"/>
              <w:rPr>
                <w:sz w:val="16"/>
              </w:rPr>
            </w:pPr>
            <w:r>
              <w:rPr>
                <w:w w:val="100"/>
                <w:sz w:val="16"/>
                <w:u w:val="dotted" w:color="929292"/>
              </w:rPr>
              <w:t> </w:t>
            </w:r>
            <w:r>
              <w:rPr>
                <w:sz w:val="16"/>
                <w:u w:val="dotted" w:color="929292"/>
              </w:rPr>
              <w:t> 1 906 805 </w:t>
            </w:r>
          </w:p>
        </w:tc>
      </w:tr>
    </w:tbl>
    <w:p>
      <w:pPr>
        <w:pStyle w:val="BodyText"/>
        <w:rPr>
          <w:sz w:val="18"/>
        </w:rPr>
      </w:pPr>
    </w:p>
    <w:p>
      <w:pPr>
        <w:pStyle w:val="BodyText"/>
        <w:rPr>
          <w:sz w:val="18"/>
        </w:rPr>
      </w:pPr>
    </w:p>
    <w:p>
      <w:pPr>
        <w:spacing w:line="312" w:lineRule="auto" w:before="108"/>
        <w:ind w:left="2880" w:right="22" w:hanging="2667"/>
        <w:jc w:val="left"/>
        <w:rPr>
          <w:sz w:val="16"/>
        </w:rPr>
      </w:pPr>
      <w:r>
        <w:rPr>
          <w:color w:val="6D6E71"/>
          <w:sz w:val="16"/>
        </w:rPr>
        <w:t>Gráficas 5, 6, 7 y 8. Proporción de superficie con huertos, respecto a la superficie total de las localidades en el municipio de Tenancingo</w:t>
      </w:r>
    </w:p>
    <w:p>
      <w:pPr>
        <w:pStyle w:val="BodyText"/>
        <w:spacing w:before="10"/>
        <w:rPr>
          <w:sz w:val="26"/>
        </w:rPr>
      </w:pPr>
      <w:r>
        <w:rPr/>
        <w:br w:type="column"/>
      </w:r>
      <w:r>
        <w:rPr>
          <w:sz w:val="26"/>
        </w:rPr>
      </w:r>
    </w:p>
    <w:p>
      <w:pPr>
        <w:pStyle w:val="Heading1"/>
        <w:ind w:left="286"/>
      </w:pPr>
      <w:r>
        <w:rPr/>
        <w:t>Municipio de Villa Guerrero</w:t>
      </w:r>
    </w:p>
    <w:p>
      <w:pPr>
        <w:pStyle w:val="BodyText"/>
        <w:rPr>
          <w:b/>
          <w:sz w:val="21"/>
        </w:rPr>
      </w:pPr>
    </w:p>
    <w:p>
      <w:pPr>
        <w:pStyle w:val="BodyText"/>
        <w:spacing w:line="249" w:lineRule="auto"/>
        <w:ind w:left="116" w:right="139" w:firstLine="170"/>
        <w:jc w:val="both"/>
      </w:pPr>
      <w:r>
        <w:rPr/>
        <w:t>El</w:t>
      </w:r>
      <w:r>
        <w:rPr>
          <w:spacing w:val="-21"/>
        </w:rPr>
        <w:t> </w:t>
      </w:r>
      <w:r>
        <w:rPr/>
        <w:t>análisis</w:t>
      </w:r>
      <w:r>
        <w:rPr>
          <w:spacing w:val="-21"/>
        </w:rPr>
        <w:t> </w:t>
      </w:r>
      <w:r>
        <w:rPr/>
        <w:t>espacial</w:t>
      </w:r>
      <w:r>
        <w:rPr>
          <w:spacing w:val="-21"/>
        </w:rPr>
        <w:t> </w:t>
      </w:r>
      <w:r>
        <w:rPr/>
        <w:t>en</w:t>
      </w:r>
      <w:r>
        <w:rPr>
          <w:spacing w:val="-21"/>
        </w:rPr>
        <w:t> </w:t>
      </w:r>
      <w:r>
        <w:rPr/>
        <w:t>el</w:t>
      </w:r>
      <w:r>
        <w:rPr>
          <w:spacing w:val="-21"/>
        </w:rPr>
        <w:t> </w:t>
      </w:r>
      <w:r>
        <w:rPr/>
        <w:t>municipio</w:t>
      </w:r>
      <w:r>
        <w:rPr>
          <w:spacing w:val="-21"/>
        </w:rPr>
        <w:t> </w:t>
      </w:r>
      <w:r>
        <w:rPr/>
        <w:t>de</w:t>
      </w:r>
      <w:r>
        <w:rPr>
          <w:spacing w:val="-21"/>
        </w:rPr>
        <w:t> </w:t>
      </w:r>
      <w:r>
        <w:rPr/>
        <w:t>Villa</w:t>
      </w:r>
      <w:r>
        <w:rPr>
          <w:spacing w:val="-21"/>
        </w:rPr>
        <w:t> </w:t>
      </w:r>
      <w:r>
        <w:rPr/>
        <w:t>Guerrero</w:t>
      </w:r>
      <w:r>
        <w:rPr>
          <w:spacing w:val="-21"/>
        </w:rPr>
        <w:t> </w:t>
      </w:r>
      <w:r>
        <w:rPr/>
        <w:t>muestra</w:t>
      </w:r>
      <w:r>
        <w:rPr>
          <w:spacing w:val="-21"/>
        </w:rPr>
        <w:t> </w:t>
      </w:r>
      <w:r>
        <w:rPr/>
        <w:t>que</w:t>
      </w:r>
      <w:r>
        <w:rPr>
          <w:spacing w:val="-21"/>
        </w:rPr>
        <w:t> </w:t>
      </w:r>
      <w:r>
        <w:rPr/>
        <w:t>las</w:t>
      </w:r>
      <w:r>
        <w:rPr>
          <w:spacing w:val="-21"/>
        </w:rPr>
        <w:t> </w:t>
      </w:r>
      <w:r>
        <w:rPr/>
        <w:t>cuatro</w:t>
      </w:r>
      <w:r>
        <w:rPr>
          <w:spacing w:val="-21"/>
        </w:rPr>
        <w:t> </w:t>
      </w:r>
      <w:r>
        <w:rPr/>
        <w:t>localidades estudiadas presentan un total de 113 huertos. La localidad con la mayor superficie proporcional ocupada por huertos es Progreso Hidalgo, seguida de la cabecera municipal, San Francisco; y es Santa María Aranzazú la localidad que presenta la menor</w:t>
      </w:r>
      <w:r>
        <w:rPr>
          <w:spacing w:val="-8"/>
        </w:rPr>
        <w:t> </w:t>
      </w:r>
      <w:r>
        <w:rPr/>
        <w:t>densidad</w:t>
      </w:r>
      <w:r>
        <w:rPr>
          <w:spacing w:val="-8"/>
        </w:rPr>
        <w:t> </w:t>
      </w:r>
      <w:r>
        <w:rPr/>
        <w:t>de</w:t>
      </w:r>
      <w:r>
        <w:rPr>
          <w:spacing w:val="-8"/>
        </w:rPr>
        <w:t> </w:t>
      </w:r>
      <w:r>
        <w:rPr/>
        <w:t>superficie</w:t>
      </w:r>
      <w:r>
        <w:rPr>
          <w:spacing w:val="-8"/>
        </w:rPr>
        <w:t> </w:t>
      </w:r>
      <w:r>
        <w:rPr/>
        <w:t>con</w:t>
      </w:r>
      <w:r>
        <w:rPr>
          <w:spacing w:val="-8"/>
        </w:rPr>
        <w:t> </w:t>
      </w:r>
      <w:r>
        <w:rPr/>
        <w:t>huertos</w:t>
      </w:r>
      <w:r>
        <w:rPr>
          <w:spacing w:val="-8"/>
        </w:rPr>
        <w:t> </w:t>
      </w:r>
      <w:r>
        <w:rPr/>
        <w:t>familiares.</w:t>
      </w:r>
      <w:r>
        <w:rPr>
          <w:spacing w:val="-8"/>
        </w:rPr>
        <w:t> </w:t>
      </w:r>
      <w:r>
        <w:rPr/>
        <w:t>En</w:t>
      </w:r>
      <w:r>
        <w:rPr>
          <w:spacing w:val="-8"/>
        </w:rPr>
        <w:t> </w:t>
      </w:r>
      <w:r>
        <w:rPr/>
        <w:t>números</w:t>
      </w:r>
      <w:r>
        <w:rPr>
          <w:spacing w:val="-8"/>
        </w:rPr>
        <w:t> </w:t>
      </w:r>
      <w:r>
        <w:rPr/>
        <w:t>absolutos</w:t>
      </w:r>
      <w:r>
        <w:rPr>
          <w:spacing w:val="-8"/>
        </w:rPr>
        <w:t> </w:t>
      </w:r>
      <w:r>
        <w:rPr/>
        <w:t>la</w:t>
      </w:r>
      <w:r>
        <w:rPr>
          <w:spacing w:val="-8"/>
        </w:rPr>
        <w:t> </w:t>
      </w:r>
      <w:r>
        <w:rPr/>
        <w:t>localidad con mayor superficie de AEHF es la cabecera municipal, seguida de San Francisco, Progreso</w:t>
      </w:r>
      <w:r>
        <w:rPr>
          <w:spacing w:val="-18"/>
        </w:rPr>
        <w:t> </w:t>
      </w:r>
      <w:r>
        <w:rPr/>
        <w:t>Hidalgo</w:t>
      </w:r>
      <w:r>
        <w:rPr>
          <w:spacing w:val="-18"/>
        </w:rPr>
        <w:t> </w:t>
      </w:r>
      <w:r>
        <w:rPr/>
        <w:t>y</w:t>
      </w:r>
      <w:r>
        <w:rPr>
          <w:spacing w:val="-18"/>
        </w:rPr>
        <w:t> </w:t>
      </w:r>
      <w:r>
        <w:rPr/>
        <w:t>finalmente</w:t>
      </w:r>
      <w:r>
        <w:rPr>
          <w:spacing w:val="-18"/>
        </w:rPr>
        <w:t> </w:t>
      </w:r>
      <w:r>
        <w:rPr/>
        <w:t>la</w:t>
      </w:r>
      <w:r>
        <w:rPr>
          <w:spacing w:val="-18"/>
        </w:rPr>
        <w:t> </w:t>
      </w:r>
      <w:r>
        <w:rPr/>
        <w:t>Santa</w:t>
      </w:r>
      <w:r>
        <w:rPr>
          <w:spacing w:val="-18"/>
        </w:rPr>
        <w:t> </w:t>
      </w:r>
      <w:r>
        <w:rPr/>
        <w:t>María</w:t>
      </w:r>
      <w:r>
        <w:rPr>
          <w:spacing w:val="-18"/>
        </w:rPr>
        <w:t> </w:t>
      </w:r>
      <w:r>
        <w:rPr/>
        <w:t>Aranzazú.</w:t>
      </w:r>
      <w:r>
        <w:rPr>
          <w:spacing w:val="-18"/>
        </w:rPr>
        <w:t> </w:t>
      </w:r>
      <w:r>
        <w:rPr/>
        <w:t>Al</w:t>
      </w:r>
      <w:r>
        <w:rPr>
          <w:spacing w:val="-18"/>
        </w:rPr>
        <w:t> </w:t>
      </w:r>
      <w:r>
        <w:rPr/>
        <w:t>analizar</w:t>
      </w:r>
      <w:r>
        <w:rPr>
          <w:spacing w:val="-18"/>
        </w:rPr>
        <w:t> </w:t>
      </w:r>
      <w:r>
        <w:rPr/>
        <w:t>el</w:t>
      </w:r>
      <w:r>
        <w:rPr>
          <w:spacing w:val="-18"/>
        </w:rPr>
        <w:t> </w:t>
      </w:r>
      <w:r>
        <w:rPr/>
        <w:t>número</w:t>
      </w:r>
      <w:r>
        <w:rPr>
          <w:spacing w:val="-18"/>
        </w:rPr>
        <w:t> </w:t>
      </w:r>
      <w:r>
        <w:rPr/>
        <w:t>de</w:t>
      </w:r>
      <w:r>
        <w:rPr>
          <w:spacing w:val="-18"/>
        </w:rPr>
        <w:t> </w:t>
      </w:r>
      <w:r>
        <w:rPr/>
        <w:t>huertos se observa que la mayor cantidad de huertos se encuentran en la cabecera municipal, seguido de Santa María Aranzazú, Progreso Hidalgo y San Francisco. La superficie promedio de cada huerto es mayor en San Francisco, seguido de Progreso Hidalgo     y de Santa María Aranzazú; los huertos más pequeños se observan en la cabecera municipal.</w:t>
      </w:r>
    </w:p>
    <w:p>
      <w:pPr>
        <w:pStyle w:val="BodyText"/>
      </w:pPr>
    </w:p>
    <w:p>
      <w:pPr>
        <w:pStyle w:val="BodyText"/>
        <w:spacing w:before="1"/>
        <w:rPr>
          <w:sz w:val="25"/>
        </w:rPr>
      </w:pPr>
    </w:p>
    <w:p>
      <w:pPr>
        <w:spacing w:line="312" w:lineRule="auto" w:before="0"/>
        <w:ind w:left="802" w:right="0" w:hanging="660"/>
        <w:jc w:val="left"/>
        <w:rPr>
          <w:sz w:val="16"/>
        </w:rPr>
      </w:pPr>
      <w:r>
        <w:rPr/>
        <w:pict>
          <v:shape style="position:absolute;margin-left:526.243042pt;margin-top:26.338276pt;width:357.95pt;height:58.55pt;mso-position-horizontal-relative:page;mso-position-vertical-relative:paragraph;z-index:-641680" coordorigin="10525,527" coordsize="7159,1171" path="m14244,527l13202,527,12202,527,10525,527,10525,1698,12202,1698,13202,1698,14244,1698,14244,527m17683,527l16239,527,15299,527,14244,527,14244,1698,15299,1698,16239,1698,17683,1698,17683,527e" filled="true" fillcolor="#929292" stroked="false">
            <v:path arrowok="t"/>
            <v:fill type="solid"/>
            <w10:wrap type="none"/>
          </v:shape>
        </w:pict>
      </w:r>
      <w:r>
        <w:rPr>
          <w:color w:val="6D6E71"/>
          <w:sz w:val="16"/>
        </w:rPr>
        <w:t>Cuadro 7. Número de huertos familiares, superficie promedio de los huertos y proporción de superficie con huertos, respecto a la superficie total de las localidades en el municipio de Villa Guerrero</w:t>
      </w:r>
    </w:p>
    <w:p>
      <w:pPr>
        <w:spacing w:after="0" w:line="312" w:lineRule="auto"/>
        <w:jc w:val="left"/>
        <w:rPr>
          <w:sz w:val="16"/>
        </w:rPr>
        <w:sectPr>
          <w:footerReference w:type="default" r:id="rId267"/>
          <w:pgSz w:w="18830" w:h="12760" w:orient="landscape"/>
          <w:pgMar w:footer="1036" w:header="522" w:top="820" w:bottom="1220" w:left="620" w:right="720"/>
          <w:cols w:num="2" w:equalWidth="0">
            <w:col w:w="7829" w:space="1683"/>
            <w:col w:w="7978"/>
          </w:cols>
        </w:sectPr>
      </w:pPr>
    </w:p>
    <w:p>
      <w:pPr>
        <w:pStyle w:val="BodyText"/>
        <w:spacing w:before="8"/>
        <w:rPr>
          <w:sz w:val="4"/>
        </w:rPr>
      </w:pPr>
    </w:p>
    <w:tbl>
      <w:tblPr>
        <w:tblW w:w="0" w:type="auto"/>
        <w:jc w:val="left"/>
        <w:tblInd w:w="9909"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1672"/>
        <w:gridCol w:w="1000"/>
        <w:gridCol w:w="1042"/>
        <w:gridCol w:w="1055"/>
        <w:gridCol w:w="940"/>
        <w:gridCol w:w="1439"/>
      </w:tblGrid>
      <w:tr>
        <w:trPr>
          <w:trHeight w:val="1166" w:hRule="exact"/>
        </w:trPr>
        <w:tc>
          <w:tcPr>
            <w:tcW w:w="1672" w:type="dxa"/>
            <w:tcBorders>
              <w:top w:val="nil"/>
              <w:left w:val="nil"/>
              <w:bottom w:val="single" w:sz="4" w:space="0" w:color="FFFFFF"/>
              <w:right w:val="single" w:sz="4" w:space="0" w:color="FFFFFF"/>
            </w:tcBorders>
            <w:shd w:val="clear" w:color="auto" w:fill="929292"/>
          </w:tcPr>
          <w:p>
            <w:pPr>
              <w:pStyle w:val="TableParagraph"/>
              <w:spacing w:line="171" w:lineRule="exact"/>
              <w:jc w:val="center"/>
              <w:rPr>
                <w:sz w:val="16"/>
              </w:rPr>
            </w:pPr>
            <w:r>
              <w:rPr>
                <w:sz w:val="16"/>
              </w:rPr>
              <w:t>Localidad</w:t>
            </w:r>
          </w:p>
        </w:tc>
        <w:tc>
          <w:tcPr>
            <w:tcW w:w="1000" w:type="dxa"/>
            <w:tcBorders>
              <w:top w:val="nil"/>
              <w:left w:val="single" w:sz="4" w:space="0" w:color="FFFFFF"/>
              <w:bottom w:val="single" w:sz="4" w:space="0" w:color="FFFFFF"/>
              <w:right w:val="single" w:sz="4" w:space="0" w:color="FFFFFF"/>
            </w:tcBorders>
            <w:shd w:val="clear" w:color="auto" w:fill="929292"/>
          </w:tcPr>
          <w:p>
            <w:pPr>
              <w:pStyle w:val="TableParagraph"/>
              <w:spacing w:line="171" w:lineRule="exact"/>
              <w:ind w:left="212" w:firstLine="80"/>
              <w:rPr>
                <w:sz w:val="16"/>
              </w:rPr>
            </w:pPr>
            <w:r>
              <w:rPr>
                <w:sz w:val="16"/>
              </w:rPr>
              <w:t>N° de</w:t>
            </w:r>
          </w:p>
          <w:p>
            <w:pPr>
              <w:pStyle w:val="TableParagraph"/>
              <w:spacing w:before="16"/>
              <w:ind w:left="212"/>
              <w:rPr>
                <w:sz w:val="16"/>
              </w:rPr>
            </w:pPr>
            <w:r>
              <w:rPr>
                <w:sz w:val="16"/>
              </w:rPr>
              <w:t>Huertos</w:t>
            </w:r>
          </w:p>
        </w:tc>
        <w:tc>
          <w:tcPr>
            <w:tcW w:w="1042" w:type="dxa"/>
            <w:tcBorders>
              <w:top w:val="nil"/>
              <w:left w:val="single" w:sz="4" w:space="0" w:color="FFFFFF"/>
              <w:bottom w:val="single" w:sz="4" w:space="0" w:color="FFFFFF"/>
              <w:right w:val="single" w:sz="4" w:space="0" w:color="FFFFFF"/>
            </w:tcBorders>
            <w:shd w:val="clear" w:color="auto" w:fill="929292"/>
          </w:tcPr>
          <w:p>
            <w:pPr>
              <w:pStyle w:val="TableParagraph"/>
              <w:spacing w:line="171" w:lineRule="exact"/>
              <w:ind w:left="140" w:right="140"/>
              <w:jc w:val="center"/>
              <w:rPr>
                <w:sz w:val="16"/>
              </w:rPr>
            </w:pPr>
            <w:r>
              <w:rPr>
                <w:sz w:val="16"/>
              </w:rPr>
              <w:t>Superficie</w:t>
            </w:r>
          </w:p>
          <w:p>
            <w:pPr>
              <w:pStyle w:val="TableParagraph"/>
              <w:spacing w:line="261" w:lineRule="auto" w:before="16"/>
              <w:ind w:left="140" w:right="138"/>
              <w:jc w:val="center"/>
              <w:rPr>
                <w:sz w:val="16"/>
              </w:rPr>
            </w:pPr>
            <w:r>
              <w:rPr>
                <w:sz w:val="16"/>
              </w:rPr>
              <w:t>Promedio de los Huertos</w:t>
            </w:r>
          </w:p>
        </w:tc>
        <w:tc>
          <w:tcPr>
            <w:tcW w:w="1055" w:type="dxa"/>
            <w:tcBorders>
              <w:top w:val="nil"/>
              <w:left w:val="single" w:sz="4" w:space="0" w:color="FFFFFF"/>
              <w:bottom w:val="single" w:sz="4" w:space="0" w:color="FFFFFF"/>
              <w:right w:val="single" w:sz="4" w:space="0" w:color="FFFFFF"/>
            </w:tcBorders>
            <w:shd w:val="clear" w:color="auto" w:fill="929292"/>
          </w:tcPr>
          <w:p>
            <w:pPr>
              <w:pStyle w:val="TableParagraph"/>
              <w:spacing w:line="171" w:lineRule="exact"/>
              <w:jc w:val="center"/>
              <w:rPr>
                <w:sz w:val="16"/>
              </w:rPr>
            </w:pPr>
            <w:r>
              <w:rPr>
                <w:sz w:val="16"/>
              </w:rPr>
              <w:t>Superficie</w:t>
            </w:r>
          </w:p>
          <w:p>
            <w:pPr>
              <w:pStyle w:val="TableParagraph"/>
              <w:spacing w:line="261" w:lineRule="auto" w:before="16"/>
              <w:ind w:left="193" w:right="191" w:hanging="1"/>
              <w:jc w:val="center"/>
              <w:rPr>
                <w:sz w:val="16"/>
              </w:rPr>
            </w:pPr>
            <w:r>
              <w:rPr>
                <w:sz w:val="16"/>
              </w:rPr>
              <w:t>Total Ocupada por Huertos (m2)</w:t>
            </w:r>
          </w:p>
        </w:tc>
        <w:tc>
          <w:tcPr>
            <w:tcW w:w="940" w:type="dxa"/>
            <w:tcBorders>
              <w:top w:val="nil"/>
              <w:left w:val="single" w:sz="4" w:space="0" w:color="FFFFFF"/>
              <w:bottom w:val="single" w:sz="4" w:space="0" w:color="FFFFFF"/>
              <w:right w:val="single" w:sz="4" w:space="0" w:color="FFFFFF"/>
            </w:tcBorders>
            <w:shd w:val="clear" w:color="auto" w:fill="929292"/>
          </w:tcPr>
          <w:p>
            <w:pPr>
              <w:pStyle w:val="TableParagraph"/>
              <w:spacing w:line="171" w:lineRule="exact"/>
              <w:jc w:val="center"/>
              <w:rPr>
                <w:sz w:val="16"/>
              </w:rPr>
            </w:pPr>
            <w:r>
              <w:rPr>
                <w:w w:val="112"/>
                <w:sz w:val="16"/>
              </w:rPr>
              <w:t>%</w:t>
            </w:r>
          </w:p>
          <w:p>
            <w:pPr>
              <w:pStyle w:val="TableParagraph"/>
              <w:spacing w:line="261" w:lineRule="auto" w:before="16"/>
              <w:ind w:left="133" w:right="130"/>
              <w:jc w:val="center"/>
              <w:rPr>
                <w:sz w:val="16"/>
              </w:rPr>
            </w:pPr>
            <w:r>
              <w:rPr>
                <w:sz w:val="16"/>
              </w:rPr>
              <w:t>Ocupado por Huertos</w:t>
            </w:r>
          </w:p>
        </w:tc>
        <w:tc>
          <w:tcPr>
            <w:tcW w:w="1439" w:type="dxa"/>
            <w:tcBorders>
              <w:top w:val="nil"/>
              <w:left w:val="single" w:sz="4" w:space="0" w:color="FFFFFF"/>
              <w:bottom w:val="single" w:sz="4" w:space="0" w:color="FFFFFF"/>
              <w:right w:val="nil"/>
            </w:tcBorders>
            <w:shd w:val="clear" w:color="auto" w:fill="929292"/>
          </w:tcPr>
          <w:p>
            <w:pPr>
              <w:pStyle w:val="TableParagraph"/>
              <w:spacing w:line="171" w:lineRule="exact"/>
              <w:ind w:left="172" w:hanging="14"/>
              <w:rPr>
                <w:sz w:val="16"/>
              </w:rPr>
            </w:pPr>
            <w:r>
              <w:rPr>
                <w:sz w:val="16"/>
              </w:rPr>
              <w:t>Superficie Total</w:t>
            </w:r>
          </w:p>
          <w:p>
            <w:pPr>
              <w:pStyle w:val="TableParagraph"/>
              <w:spacing w:line="261" w:lineRule="auto" w:before="16"/>
              <w:ind w:left="563" w:right="166" w:hanging="392"/>
              <w:rPr>
                <w:sz w:val="16"/>
              </w:rPr>
            </w:pPr>
            <w:r>
              <w:rPr>
                <w:sz w:val="16"/>
              </w:rPr>
              <w:t>de la Localidad (m2)</w:t>
            </w:r>
          </w:p>
        </w:tc>
      </w:tr>
      <w:tr>
        <w:trPr>
          <w:trHeight w:val="171" w:hRule="exact"/>
        </w:trPr>
        <w:tc>
          <w:tcPr>
            <w:tcW w:w="1672" w:type="dxa"/>
            <w:tcBorders>
              <w:top w:val="single" w:sz="4" w:space="0" w:color="FFFFFF"/>
              <w:left w:val="nil"/>
              <w:bottom w:val="single" w:sz="4" w:space="0" w:color="FFFFFF"/>
            </w:tcBorders>
          </w:tcPr>
          <w:p>
            <w:pPr>
              <w:pStyle w:val="TableParagraph"/>
              <w:spacing w:line="171" w:lineRule="exact"/>
              <w:ind w:left="19"/>
              <w:jc w:val="center"/>
              <w:rPr>
                <w:sz w:val="16"/>
              </w:rPr>
            </w:pPr>
            <w:r>
              <w:rPr>
                <w:w w:val="100"/>
                <w:sz w:val="16"/>
                <w:u w:val="dotted" w:color="929292"/>
              </w:rPr>
              <w:t> </w:t>
            </w:r>
            <w:r>
              <w:rPr>
                <w:sz w:val="16"/>
                <w:u w:val="dotted" w:color="929292"/>
              </w:rPr>
              <w:t>   Progreso Hidalgo </w:t>
            </w:r>
          </w:p>
        </w:tc>
        <w:tc>
          <w:tcPr>
            <w:tcW w:w="1000" w:type="dxa"/>
            <w:tcBorders>
              <w:top w:val="single" w:sz="4" w:space="0" w:color="FFFFFF"/>
              <w:bottom w:val="single" w:sz="4" w:space="0" w:color="FFFFFF"/>
            </w:tcBorders>
          </w:tcPr>
          <w:p>
            <w:pPr>
              <w:pStyle w:val="TableParagraph"/>
              <w:tabs>
                <w:tab w:pos="396" w:val="left" w:leader="none"/>
                <w:tab w:pos="969" w:val="left" w:leader="none"/>
              </w:tabs>
              <w:spacing w:line="171" w:lineRule="exact"/>
              <w:ind w:left="15"/>
              <w:jc w:val="center"/>
              <w:rPr>
                <w:sz w:val="16"/>
              </w:rPr>
            </w:pPr>
            <w:r>
              <w:rPr>
                <w:w w:val="100"/>
                <w:sz w:val="16"/>
                <w:u w:val="dotted" w:color="929292"/>
              </w:rPr>
              <w:t> </w:t>
            </w:r>
            <w:r>
              <w:rPr>
                <w:sz w:val="16"/>
                <w:u w:val="dotted" w:color="929292"/>
              </w:rPr>
              <w:tab/>
              <w:t>15</w:t>
              <w:tab/>
            </w:r>
          </w:p>
        </w:tc>
        <w:tc>
          <w:tcPr>
            <w:tcW w:w="1042" w:type="dxa"/>
            <w:tcBorders>
              <w:top w:val="single" w:sz="4" w:space="0" w:color="FFFFFF"/>
              <w:bottom w:val="single" w:sz="4" w:space="0" w:color="FFFFFF"/>
            </w:tcBorders>
          </w:tcPr>
          <w:p>
            <w:pPr>
              <w:pStyle w:val="TableParagraph"/>
              <w:tabs>
                <w:tab w:pos="372" w:val="left" w:leader="none"/>
                <w:tab w:pos="1012" w:val="left" w:leader="none"/>
              </w:tabs>
              <w:spacing w:line="171" w:lineRule="exact"/>
              <w:ind w:left="14"/>
              <w:jc w:val="center"/>
              <w:rPr>
                <w:sz w:val="16"/>
              </w:rPr>
            </w:pPr>
            <w:r>
              <w:rPr>
                <w:w w:val="100"/>
                <w:sz w:val="16"/>
                <w:u w:val="dotted" w:color="929292"/>
              </w:rPr>
              <w:t> </w:t>
            </w:r>
            <w:r>
              <w:rPr>
                <w:sz w:val="16"/>
                <w:u w:val="dotted" w:color="929292"/>
              </w:rPr>
              <w:tab/>
              <w:t>618</w:t>
              <w:tab/>
            </w:r>
          </w:p>
        </w:tc>
        <w:tc>
          <w:tcPr>
            <w:tcW w:w="1055" w:type="dxa"/>
            <w:tcBorders>
              <w:top w:val="single" w:sz="4" w:space="0" w:color="FFFFFF"/>
              <w:bottom w:val="single" w:sz="4" w:space="0" w:color="FFFFFF"/>
            </w:tcBorders>
          </w:tcPr>
          <w:p>
            <w:pPr>
              <w:pStyle w:val="TableParagraph"/>
              <w:tabs>
                <w:tab w:pos="312" w:val="left" w:leader="none"/>
                <w:tab w:pos="1024" w:val="left" w:leader="none"/>
              </w:tabs>
              <w:spacing w:line="171" w:lineRule="exact"/>
              <w:ind w:left="15"/>
              <w:jc w:val="center"/>
              <w:rPr>
                <w:sz w:val="16"/>
              </w:rPr>
            </w:pPr>
            <w:r>
              <w:rPr>
                <w:w w:val="100"/>
                <w:sz w:val="16"/>
                <w:u w:val="dotted" w:color="929292"/>
              </w:rPr>
              <w:t> </w:t>
            </w:r>
            <w:r>
              <w:rPr>
                <w:sz w:val="16"/>
                <w:u w:val="dotted" w:color="929292"/>
              </w:rPr>
              <w:tab/>
              <w:t>9</w:t>
            </w:r>
            <w:r>
              <w:rPr>
                <w:spacing w:val="-1"/>
                <w:sz w:val="16"/>
                <w:u w:val="dotted" w:color="929292"/>
              </w:rPr>
              <w:t> </w:t>
            </w:r>
            <w:r>
              <w:rPr>
                <w:sz w:val="16"/>
                <w:u w:val="dotted" w:color="929292"/>
              </w:rPr>
              <w:t>273</w:t>
              <w:tab/>
            </w:r>
          </w:p>
        </w:tc>
        <w:tc>
          <w:tcPr>
            <w:tcW w:w="940" w:type="dxa"/>
            <w:tcBorders>
              <w:top w:val="single" w:sz="4" w:space="0" w:color="FFFFFF"/>
              <w:bottom w:val="single" w:sz="4" w:space="0" w:color="FFFFFF"/>
            </w:tcBorders>
          </w:tcPr>
          <w:p>
            <w:pPr>
              <w:pStyle w:val="TableParagraph"/>
              <w:tabs>
                <w:tab w:pos="909" w:val="left" w:leader="none"/>
              </w:tabs>
              <w:spacing w:line="171" w:lineRule="exact"/>
              <w:ind w:left="15"/>
              <w:jc w:val="center"/>
              <w:rPr>
                <w:sz w:val="16"/>
              </w:rPr>
            </w:pPr>
            <w:r>
              <w:rPr>
                <w:w w:val="100"/>
                <w:sz w:val="16"/>
                <w:u w:val="dotted" w:color="929292"/>
              </w:rPr>
              <w:t> </w:t>
            </w:r>
            <w:r>
              <w:rPr>
                <w:sz w:val="16"/>
                <w:u w:val="dotted" w:color="929292"/>
              </w:rPr>
              <w:t>   </w:t>
            </w:r>
            <w:r>
              <w:rPr>
                <w:spacing w:val="17"/>
                <w:sz w:val="16"/>
                <w:u w:val="dotted" w:color="929292"/>
              </w:rPr>
              <w:t> </w:t>
            </w:r>
            <w:r>
              <w:rPr>
                <w:sz w:val="16"/>
                <w:u w:val="dotted" w:color="929292"/>
              </w:rPr>
              <w:t>20.08</w:t>
              <w:tab/>
            </w:r>
          </w:p>
        </w:tc>
        <w:tc>
          <w:tcPr>
            <w:tcW w:w="1439" w:type="dxa"/>
            <w:tcBorders>
              <w:top w:val="single" w:sz="4" w:space="0" w:color="FFFFFF"/>
              <w:bottom w:val="single" w:sz="4" w:space="0" w:color="FFFFFF"/>
              <w:right w:val="nil"/>
            </w:tcBorders>
          </w:tcPr>
          <w:p>
            <w:pPr>
              <w:pStyle w:val="TableParagraph"/>
              <w:tabs>
                <w:tab w:pos="457" w:val="left" w:leader="none"/>
                <w:tab w:pos="1403" w:val="left" w:leader="none"/>
              </w:tabs>
              <w:spacing w:line="171" w:lineRule="exact"/>
              <w:ind w:left="9"/>
              <w:jc w:val="center"/>
              <w:rPr>
                <w:sz w:val="16"/>
              </w:rPr>
            </w:pPr>
            <w:r>
              <w:rPr>
                <w:w w:val="100"/>
                <w:sz w:val="16"/>
                <w:u w:val="dotted" w:color="929292"/>
              </w:rPr>
              <w:t> </w:t>
            </w:r>
            <w:r>
              <w:rPr>
                <w:sz w:val="16"/>
                <w:u w:val="dotted" w:color="929292"/>
              </w:rPr>
              <w:tab/>
              <w:t>46</w:t>
            </w:r>
            <w:r>
              <w:rPr>
                <w:spacing w:val="-1"/>
                <w:sz w:val="16"/>
                <w:u w:val="dotted" w:color="929292"/>
              </w:rPr>
              <w:t> </w:t>
            </w:r>
            <w:r>
              <w:rPr>
                <w:sz w:val="16"/>
                <w:u w:val="dotted" w:color="929292"/>
              </w:rPr>
              <w:t>169</w:t>
              <w:tab/>
            </w:r>
          </w:p>
        </w:tc>
      </w:tr>
      <w:tr>
        <w:trPr>
          <w:trHeight w:val="218" w:hRule="exact"/>
        </w:trPr>
        <w:tc>
          <w:tcPr>
            <w:tcW w:w="1672" w:type="dxa"/>
            <w:tcBorders>
              <w:top w:val="single" w:sz="4" w:space="0" w:color="FFFFFF"/>
              <w:left w:val="nil"/>
            </w:tcBorders>
          </w:tcPr>
          <w:p>
            <w:pPr>
              <w:pStyle w:val="TableParagraph"/>
              <w:spacing w:line="171" w:lineRule="exact"/>
              <w:jc w:val="center"/>
              <w:rPr>
                <w:sz w:val="16"/>
              </w:rPr>
            </w:pPr>
            <w:r>
              <w:rPr>
                <w:sz w:val="16"/>
              </w:rPr>
              <w:t>San Francisco</w:t>
            </w:r>
          </w:p>
        </w:tc>
        <w:tc>
          <w:tcPr>
            <w:tcW w:w="1000" w:type="dxa"/>
            <w:tcBorders>
              <w:top w:val="single" w:sz="4" w:space="0" w:color="FFFFFF"/>
            </w:tcBorders>
          </w:tcPr>
          <w:p>
            <w:pPr>
              <w:pStyle w:val="TableParagraph"/>
              <w:spacing w:line="171" w:lineRule="exact"/>
              <w:jc w:val="center"/>
              <w:rPr>
                <w:sz w:val="16"/>
              </w:rPr>
            </w:pPr>
            <w:r>
              <w:rPr>
                <w:sz w:val="16"/>
              </w:rPr>
              <w:t>13</w:t>
            </w:r>
          </w:p>
        </w:tc>
        <w:tc>
          <w:tcPr>
            <w:tcW w:w="1042" w:type="dxa"/>
            <w:tcBorders>
              <w:top w:val="single" w:sz="4" w:space="0" w:color="FFFFFF"/>
            </w:tcBorders>
          </w:tcPr>
          <w:p>
            <w:pPr>
              <w:pStyle w:val="TableParagraph"/>
              <w:spacing w:line="171" w:lineRule="exact"/>
              <w:ind w:left="140" w:right="140"/>
              <w:jc w:val="center"/>
              <w:rPr>
                <w:sz w:val="16"/>
              </w:rPr>
            </w:pPr>
            <w:r>
              <w:rPr>
                <w:sz w:val="16"/>
              </w:rPr>
              <w:t>1011</w:t>
            </w:r>
          </w:p>
        </w:tc>
        <w:tc>
          <w:tcPr>
            <w:tcW w:w="1055" w:type="dxa"/>
            <w:tcBorders>
              <w:top w:val="single" w:sz="4" w:space="0" w:color="FFFFFF"/>
            </w:tcBorders>
          </w:tcPr>
          <w:p>
            <w:pPr>
              <w:pStyle w:val="TableParagraph"/>
              <w:spacing w:line="171" w:lineRule="exact"/>
              <w:jc w:val="center"/>
              <w:rPr>
                <w:sz w:val="16"/>
              </w:rPr>
            </w:pPr>
            <w:r>
              <w:rPr>
                <w:sz w:val="16"/>
              </w:rPr>
              <w:t>13 141</w:t>
            </w:r>
          </w:p>
        </w:tc>
        <w:tc>
          <w:tcPr>
            <w:tcW w:w="940" w:type="dxa"/>
            <w:tcBorders>
              <w:top w:val="single" w:sz="4" w:space="0" w:color="FFFFFF"/>
            </w:tcBorders>
          </w:tcPr>
          <w:p>
            <w:pPr>
              <w:pStyle w:val="TableParagraph"/>
              <w:spacing w:line="171" w:lineRule="exact"/>
              <w:ind w:left="130" w:right="130"/>
              <w:jc w:val="center"/>
              <w:rPr>
                <w:sz w:val="16"/>
              </w:rPr>
            </w:pPr>
            <w:r>
              <w:rPr>
                <w:sz w:val="16"/>
              </w:rPr>
              <w:t>0.96</w:t>
            </w:r>
          </w:p>
        </w:tc>
        <w:tc>
          <w:tcPr>
            <w:tcW w:w="1439" w:type="dxa"/>
            <w:tcBorders>
              <w:top w:val="single" w:sz="4" w:space="0" w:color="FFFFFF"/>
              <w:right w:val="nil"/>
            </w:tcBorders>
          </w:tcPr>
          <w:p>
            <w:pPr>
              <w:pStyle w:val="TableParagraph"/>
              <w:spacing w:line="171" w:lineRule="exact"/>
              <w:jc w:val="center"/>
              <w:rPr>
                <w:sz w:val="16"/>
              </w:rPr>
            </w:pPr>
            <w:r>
              <w:rPr>
                <w:sz w:val="16"/>
              </w:rPr>
              <w:t>1 368 949</w:t>
            </w:r>
          </w:p>
        </w:tc>
      </w:tr>
      <w:tr>
        <w:trPr>
          <w:trHeight w:val="192" w:hRule="exact"/>
        </w:trPr>
        <w:tc>
          <w:tcPr>
            <w:tcW w:w="1672" w:type="dxa"/>
            <w:tcBorders>
              <w:left w:val="nil"/>
              <w:bottom w:val="nil"/>
            </w:tcBorders>
          </w:tcPr>
          <w:p>
            <w:pPr>
              <w:pStyle w:val="TableParagraph"/>
              <w:spacing w:line="171" w:lineRule="exact"/>
              <w:jc w:val="center"/>
              <w:rPr>
                <w:sz w:val="16"/>
              </w:rPr>
            </w:pPr>
            <w:r>
              <w:rPr>
                <w:sz w:val="16"/>
              </w:rPr>
              <w:t>Santa María</w:t>
            </w:r>
          </w:p>
        </w:tc>
        <w:tc>
          <w:tcPr>
            <w:tcW w:w="1000" w:type="dxa"/>
            <w:tcBorders>
              <w:bottom w:val="nil"/>
            </w:tcBorders>
          </w:tcPr>
          <w:p>
            <w:pPr>
              <w:pStyle w:val="TableParagraph"/>
              <w:spacing w:line="171" w:lineRule="exact"/>
              <w:jc w:val="center"/>
              <w:rPr>
                <w:sz w:val="16"/>
              </w:rPr>
            </w:pPr>
            <w:r>
              <w:rPr>
                <w:sz w:val="16"/>
              </w:rPr>
              <w:t>18</w:t>
            </w:r>
          </w:p>
        </w:tc>
        <w:tc>
          <w:tcPr>
            <w:tcW w:w="1042" w:type="dxa"/>
            <w:tcBorders>
              <w:bottom w:val="nil"/>
            </w:tcBorders>
          </w:tcPr>
          <w:p>
            <w:pPr>
              <w:pStyle w:val="TableParagraph"/>
              <w:spacing w:line="171" w:lineRule="exact"/>
              <w:ind w:left="140" w:right="140"/>
              <w:jc w:val="center"/>
              <w:rPr>
                <w:sz w:val="16"/>
              </w:rPr>
            </w:pPr>
            <w:r>
              <w:rPr>
                <w:sz w:val="16"/>
              </w:rPr>
              <w:t>483</w:t>
            </w:r>
          </w:p>
        </w:tc>
        <w:tc>
          <w:tcPr>
            <w:tcW w:w="1055" w:type="dxa"/>
            <w:tcBorders>
              <w:bottom w:val="nil"/>
            </w:tcBorders>
          </w:tcPr>
          <w:p>
            <w:pPr>
              <w:pStyle w:val="TableParagraph"/>
              <w:spacing w:line="171" w:lineRule="exact"/>
              <w:jc w:val="center"/>
              <w:rPr>
                <w:sz w:val="16"/>
              </w:rPr>
            </w:pPr>
            <w:r>
              <w:rPr>
                <w:sz w:val="16"/>
              </w:rPr>
              <w:t>8 692</w:t>
            </w:r>
          </w:p>
        </w:tc>
        <w:tc>
          <w:tcPr>
            <w:tcW w:w="940" w:type="dxa"/>
            <w:tcBorders>
              <w:bottom w:val="nil"/>
            </w:tcBorders>
          </w:tcPr>
          <w:p>
            <w:pPr>
              <w:pStyle w:val="TableParagraph"/>
              <w:spacing w:line="171" w:lineRule="exact"/>
              <w:ind w:left="130" w:right="130"/>
              <w:jc w:val="center"/>
              <w:rPr>
                <w:sz w:val="16"/>
              </w:rPr>
            </w:pPr>
            <w:r>
              <w:rPr>
                <w:sz w:val="16"/>
              </w:rPr>
              <w:t>0.25</w:t>
            </w:r>
          </w:p>
        </w:tc>
        <w:tc>
          <w:tcPr>
            <w:tcW w:w="1439" w:type="dxa"/>
            <w:tcBorders>
              <w:bottom w:val="nil"/>
              <w:right w:val="nil"/>
            </w:tcBorders>
          </w:tcPr>
          <w:p>
            <w:pPr>
              <w:pStyle w:val="TableParagraph"/>
              <w:spacing w:line="171" w:lineRule="exact"/>
              <w:jc w:val="center"/>
              <w:rPr>
                <w:sz w:val="16"/>
              </w:rPr>
            </w:pPr>
            <w:r>
              <w:rPr>
                <w:sz w:val="16"/>
              </w:rPr>
              <w:t>3 418 737</w:t>
            </w:r>
          </w:p>
        </w:tc>
      </w:tr>
      <w:tr>
        <w:trPr>
          <w:trHeight w:val="179" w:hRule="exact"/>
        </w:trPr>
        <w:tc>
          <w:tcPr>
            <w:tcW w:w="1672" w:type="dxa"/>
            <w:tcBorders>
              <w:top w:val="nil"/>
              <w:left w:val="nil"/>
            </w:tcBorders>
          </w:tcPr>
          <w:p>
            <w:pPr>
              <w:pStyle w:val="TableParagraph"/>
              <w:jc w:val="center"/>
              <w:rPr>
                <w:sz w:val="16"/>
              </w:rPr>
            </w:pPr>
            <w:r>
              <w:rPr>
                <w:sz w:val="16"/>
              </w:rPr>
              <w:t>Aranzazú</w:t>
            </w:r>
          </w:p>
        </w:tc>
        <w:tc>
          <w:tcPr>
            <w:tcW w:w="1000" w:type="dxa"/>
            <w:tcBorders>
              <w:top w:val="nil"/>
              <w:bottom w:val="single" w:sz="4" w:space="0" w:color="FFFFFF"/>
            </w:tcBorders>
          </w:tcPr>
          <w:p>
            <w:pPr>
              <w:pStyle w:val="TableParagraph"/>
              <w:tabs>
                <w:tab w:pos="969" w:val="left" w:leader="none"/>
              </w:tabs>
              <w:ind w:left="15"/>
              <w:jc w:val="center"/>
              <w:rPr>
                <w:sz w:val="16"/>
              </w:rPr>
            </w:pPr>
            <w:r>
              <w:rPr>
                <w:w w:val="100"/>
                <w:sz w:val="16"/>
                <w:u w:val="dotted" w:color="929292"/>
              </w:rPr>
              <w:t> </w:t>
            </w:r>
            <w:r>
              <w:rPr>
                <w:sz w:val="16"/>
                <w:u w:val="dotted" w:color="929292"/>
              </w:rPr>
              <w:tab/>
            </w:r>
          </w:p>
        </w:tc>
        <w:tc>
          <w:tcPr>
            <w:tcW w:w="1042" w:type="dxa"/>
            <w:tcBorders>
              <w:top w:val="nil"/>
              <w:bottom w:val="single" w:sz="4" w:space="0" w:color="FFFFFF"/>
            </w:tcBorders>
          </w:tcPr>
          <w:p>
            <w:pPr>
              <w:pStyle w:val="TableParagraph"/>
              <w:tabs>
                <w:tab w:pos="1012" w:val="left" w:leader="none"/>
              </w:tabs>
              <w:ind w:left="14"/>
              <w:jc w:val="center"/>
              <w:rPr>
                <w:sz w:val="16"/>
              </w:rPr>
            </w:pPr>
            <w:r>
              <w:rPr>
                <w:w w:val="100"/>
                <w:sz w:val="16"/>
                <w:u w:val="dotted" w:color="929292"/>
              </w:rPr>
              <w:t> </w:t>
            </w:r>
            <w:r>
              <w:rPr>
                <w:sz w:val="16"/>
                <w:u w:val="dotted" w:color="929292"/>
              </w:rPr>
              <w:tab/>
            </w:r>
          </w:p>
        </w:tc>
        <w:tc>
          <w:tcPr>
            <w:tcW w:w="1055" w:type="dxa"/>
            <w:tcBorders>
              <w:top w:val="nil"/>
              <w:bottom w:val="single" w:sz="4" w:space="0" w:color="FFFFFF"/>
            </w:tcBorders>
          </w:tcPr>
          <w:p>
            <w:pPr>
              <w:pStyle w:val="TableParagraph"/>
              <w:tabs>
                <w:tab w:pos="1024" w:val="left" w:leader="none"/>
              </w:tabs>
              <w:ind w:left="15"/>
              <w:jc w:val="center"/>
              <w:rPr>
                <w:sz w:val="16"/>
              </w:rPr>
            </w:pPr>
            <w:r>
              <w:rPr>
                <w:w w:val="100"/>
                <w:sz w:val="16"/>
                <w:u w:val="dotted" w:color="929292"/>
              </w:rPr>
              <w:t> </w:t>
            </w:r>
            <w:r>
              <w:rPr>
                <w:sz w:val="16"/>
                <w:u w:val="dotted" w:color="929292"/>
              </w:rPr>
              <w:tab/>
            </w:r>
          </w:p>
        </w:tc>
        <w:tc>
          <w:tcPr>
            <w:tcW w:w="940" w:type="dxa"/>
            <w:tcBorders>
              <w:top w:val="nil"/>
              <w:bottom w:val="single" w:sz="4" w:space="0" w:color="FFFFFF"/>
            </w:tcBorders>
          </w:tcPr>
          <w:p>
            <w:pPr>
              <w:pStyle w:val="TableParagraph"/>
              <w:tabs>
                <w:tab w:pos="909" w:val="left" w:leader="none"/>
              </w:tabs>
              <w:ind w:left="15"/>
              <w:jc w:val="center"/>
              <w:rPr>
                <w:sz w:val="16"/>
              </w:rPr>
            </w:pPr>
            <w:r>
              <w:rPr>
                <w:w w:val="100"/>
                <w:sz w:val="16"/>
                <w:u w:val="dotted" w:color="929292"/>
              </w:rPr>
              <w:t> </w:t>
            </w:r>
            <w:r>
              <w:rPr>
                <w:sz w:val="16"/>
                <w:u w:val="dotted" w:color="929292"/>
              </w:rPr>
              <w:tab/>
            </w:r>
          </w:p>
        </w:tc>
        <w:tc>
          <w:tcPr>
            <w:tcW w:w="1439" w:type="dxa"/>
            <w:tcBorders>
              <w:top w:val="nil"/>
              <w:bottom w:val="single" w:sz="4" w:space="0" w:color="FFFFFF"/>
              <w:right w:val="nil"/>
            </w:tcBorders>
          </w:tcPr>
          <w:p>
            <w:pPr>
              <w:pStyle w:val="TableParagraph"/>
              <w:tabs>
                <w:tab w:pos="1403" w:val="left" w:leader="none"/>
              </w:tabs>
              <w:ind w:left="9"/>
              <w:jc w:val="center"/>
              <w:rPr>
                <w:sz w:val="16"/>
              </w:rPr>
            </w:pPr>
            <w:r>
              <w:rPr>
                <w:w w:val="100"/>
                <w:sz w:val="16"/>
                <w:u w:val="dotted" w:color="929292"/>
              </w:rPr>
              <w:t> </w:t>
            </w:r>
            <w:r>
              <w:rPr>
                <w:sz w:val="16"/>
                <w:u w:val="dotted" w:color="929292"/>
              </w:rPr>
              <w:tab/>
            </w:r>
          </w:p>
        </w:tc>
      </w:tr>
      <w:tr>
        <w:trPr>
          <w:trHeight w:val="171" w:hRule="exact"/>
        </w:trPr>
        <w:tc>
          <w:tcPr>
            <w:tcW w:w="1672" w:type="dxa"/>
            <w:tcBorders>
              <w:left w:val="nil"/>
              <w:bottom w:val="single" w:sz="4" w:space="0" w:color="FFFFFF"/>
            </w:tcBorders>
          </w:tcPr>
          <w:p>
            <w:pPr>
              <w:pStyle w:val="TableParagraph"/>
              <w:spacing w:line="171" w:lineRule="exact"/>
              <w:ind w:left="19"/>
              <w:jc w:val="center"/>
              <w:rPr>
                <w:sz w:val="16"/>
              </w:rPr>
            </w:pPr>
            <w:r>
              <w:rPr>
                <w:w w:val="100"/>
                <w:sz w:val="16"/>
                <w:u w:val="dotted" w:color="929292"/>
              </w:rPr>
              <w:t> </w:t>
            </w:r>
            <w:r>
              <w:rPr>
                <w:sz w:val="16"/>
                <w:u w:val="dotted" w:color="929292"/>
              </w:rPr>
              <w:t> Cabecera Municipal </w:t>
            </w:r>
          </w:p>
        </w:tc>
        <w:tc>
          <w:tcPr>
            <w:tcW w:w="1000" w:type="dxa"/>
            <w:tcBorders>
              <w:top w:val="single" w:sz="4" w:space="0" w:color="FFFFFF"/>
              <w:bottom w:val="single" w:sz="4" w:space="0" w:color="FFFFFF"/>
            </w:tcBorders>
          </w:tcPr>
          <w:p>
            <w:pPr>
              <w:pStyle w:val="TableParagraph"/>
              <w:tabs>
                <w:tab w:pos="396" w:val="left" w:leader="none"/>
                <w:tab w:pos="969" w:val="left" w:leader="none"/>
              </w:tabs>
              <w:spacing w:line="171" w:lineRule="exact"/>
              <w:ind w:left="15"/>
              <w:jc w:val="center"/>
              <w:rPr>
                <w:sz w:val="16"/>
              </w:rPr>
            </w:pPr>
            <w:r>
              <w:rPr>
                <w:w w:val="100"/>
                <w:sz w:val="16"/>
                <w:u w:val="dotted" w:color="929292"/>
              </w:rPr>
              <w:t> </w:t>
            </w:r>
            <w:r>
              <w:rPr>
                <w:sz w:val="16"/>
                <w:u w:val="dotted" w:color="929292"/>
              </w:rPr>
              <w:tab/>
              <w:t>67</w:t>
              <w:tab/>
            </w:r>
          </w:p>
        </w:tc>
        <w:tc>
          <w:tcPr>
            <w:tcW w:w="1042" w:type="dxa"/>
            <w:tcBorders>
              <w:top w:val="single" w:sz="4" w:space="0" w:color="FFFFFF"/>
              <w:bottom w:val="single" w:sz="4" w:space="0" w:color="FFFFFF"/>
            </w:tcBorders>
          </w:tcPr>
          <w:p>
            <w:pPr>
              <w:pStyle w:val="TableParagraph"/>
              <w:tabs>
                <w:tab w:pos="372" w:val="left" w:leader="none"/>
                <w:tab w:pos="1012" w:val="left" w:leader="none"/>
              </w:tabs>
              <w:spacing w:line="171" w:lineRule="exact"/>
              <w:ind w:left="14"/>
              <w:jc w:val="center"/>
              <w:rPr>
                <w:sz w:val="16"/>
              </w:rPr>
            </w:pPr>
            <w:r>
              <w:rPr>
                <w:w w:val="100"/>
                <w:sz w:val="16"/>
                <w:u w:val="dotted" w:color="929292"/>
              </w:rPr>
              <w:t> </w:t>
            </w:r>
            <w:r>
              <w:rPr>
                <w:sz w:val="16"/>
                <w:u w:val="dotted" w:color="929292"/>
              </w:rPr>
              <w:tab/>
              <w:t>455</w:t>
              <w:tab/>
            </w:r>
          </w:p>
        </w:tc>
        <w:tc>
          <w:tcPr>
            <w:tcW w:w="1055" w:type="dxa"/>
            <w:tcBorders>
              <w:top w:val="single" w:sz="4" w:space="0" w:color="FFFFFF"/>
              <w:bottom w:val="single" w:sz="4" w:space="0" w:color="FFFFFF"/>
            </w:tcBorders>
          </w:tcPr>
          <w:p>
            <w:pPr>
              <w:pStyle w:val="TableParagraph"/>
              <w:tabs>
                <w:tab w:pos="268" w:val="left" w:leader="none"/>
                <w:tab w:pos="1024" w:val="left" w:leader="none"/>
              </w:tabs>
              <w:spacing w:line="171" w:lineRule="exact"/>
              <w:ind w:left="15"/>
              <w:jc w:val="center"/>
              <w:rPr>
                <w:sz w:val="16"/>
              </w:rPr>
            </w:pPr>
            <w:r>
              <w:rPr>
                <w:w w:val="100"/>
                <w:sz w:val="16"/>
                <w:u w:val="dotted" w:color="929292"/>
              </w:rPr>
              <w:t> </w:t>
            </w:r>
            <w:r>
              <w:rPr>
                <w:sz w:val="16"/>
                <w:u w:val="dotted" w:color="929292"/>
              </w:rPr>
              <w:tab/>
              <w:t>30</w:t>
            </w:r>
            <w:r>
              <w:rPr>
                <w:spacing w:val="-1"/>
                <w:sz w:val="16"/>
                <w:u w:val="dotted" w:color="929292"/>
              </w:rPr>
              <w:t> </w:t>
            </w:r>
            <w:r>
              <w:rPr>
                <w:sz w:val="16"/>
                <w:u w:val="dotted" w:color="929292"/>
              </w:rPr>
              <w:t>471</w:t>
              <w:tab/>
            </w:r>
          </w:p>
        </w:tc>
        <w:tc>
          <w:tcPr>
            <w:tcW w:w="940" w:type="dxa"/>
            <w:tcBorders>
              <w:top w:val="single" w:sz="4" w:space="0" w:color="FFFFFF"/>
              <w:bottom w:val="single" w:sz="4" w:space="0" w:color="FFFFFF"/>
            </w:tcBorders>
          </w:tcPr>
          <w:p>
            <w:pPr>
              <w:pStyle w:val="TableParagraph"/>
              <w:tabs>
                <w:tab w:pos="299" w:val="left" w:leader="none"/>
                <w:tab w:pos="909" w:val="left" w:leader="none"/>
              </w:tabs>
              <w:spacing w:line="171" w:lineRule="exact"/>
              <w:ind w:left="15"/>
              <w:jc w:val="center"/>
              <w:rPr>
                <w:sz w:val="16"/>
              </w:rPr>
            </w:pPr>
            <w:r>
              <w:rPr>
                <w:w w:val="100"/>
                <w:sz w:val="16"/>
                <w:u w:val="dotted" w:color="929292"/>
              </w:rPr>
              <w:t> </w:t>
            </w:r>
            <w:r>
              <w:rPr>
                <w:sz w:val="16"/>
                <w:u w:val="dotted" w:color="929292"/>
              </w:rPr>
              <w:tab/>
              <w:t>1.35</w:t>
              <w:tab/>
            </w:r>
          </w:p>
        </w:tc>
        <w:tc>
          <w:tcPr>
            <w:tcW w:w="1439" w:type="dxa"/>
            <w:tcBorders>
              <w:top w:val="single" w:sz="4" w:space="0" w:color="FFFFFF"/>
              <w:bottom w:val="single" w:sz="4" w:space="0" w:color="FFFFFF"/>
              <w:right w:val="nil"/>
            </w:tcBorders>
          </w:tcPr>
          <w:p>
            <w:pPr>
              <w:pStyle w:val="TableParagraph"/>
              <w:tabs>
                <w:tab w:pos="346" w:val="left" w:leader="none"/>
                <w:tab w:pos="1403" w:val="left" w:leader="none"/>
              </w:tabs>
              <w:spacing w:line="171" w:lineRule="exact"/>
              <w:ind w:left="9"/>
              <w:jc w:val="center"/>
              <w:rPr>
                <w:sz w:val="16"/>
              </w:rPr>
            </w:pPr>
            <w:r>
              <w:rPr>
                <w:w w:val="100"/>
                <w:sz w:val="16"/>
                <w:u w:val="dotted" w:color="929292"/>
              </w:rPr>
              <w:t> </w:t>
            </w:r>
            <w:r>
              <w:rPr>
                <w:sz w:val="16"/>
                <w:u w:val="dotted" w:color="929292"/>
              </w:rPr>
              <w:tab/>
              <w:t>2 249</w:t>
            </w:r>
            <w:r>
              <w:rPr>
                <w:spacing w:val="-1"/>
                <w:sz w:val="16"/>
                <w:u w:val="dotted" w:color="929292"/>
              </w:rPr>
              <w:t> </w:t>
            </w:r>
            <w:r>
              <w:rPr>
                <w:sz w:val="16"/>
                <w:u w:val="dotted" w:color="929292"/>
              </w:rPr>
              <w:t>434</w:t>
              <w:tab/>
            </w:r>
          </w:p>
        </w:tc>
      </w:tr>
      <w:tr>
        <w:trPr>
          <w:trHeight w:val="171" w:hRule="exact"/>
        </w:trPr>
        <w:tc>
          <w:tcPr>
            <w:tcW w:w="1672" w:type="dxa"/>
            <w:tcBorders>
              <w:top w:val="single" w:sz="4" w:space="0" w:color="FFFFFF"/>
              <w:left w:val="nil"/>
              <w:bottom w:val="nil"/>
            </w:tcBorders>
          </w:tcPr>
          <w:p>
            <w:pPr>
              <w:pStyle w:val="TableParagraph"/>
              <w:tabs>
                <w:tab w:pos="272" w:val="left" w:leader="none"/>
                <w:tab w:pos="1647" w:val="left" w:leader="none"/>
              </w:tabs>
              <w:spacing w:line="171" w:lineRule="exact"/>
              <w:ind w:left="19"/>
              <w:jc w:val="center"/>
              <w:rPr>
                <w:sz w:val="16"/>
              </w:rPr>
            </w:pPr>
            <w:r>
              <w:rPr>
                <w:w w:val="100"/>
                <w:sz w:val="16"/>
                <w:u w:val="dotted" w:color="929292"/>
              </w:rPr>
              <w:t> </w:t>
            </w:r>
            <w:r>
              <w:rPr>
                <w:sz w:val="16"/>
                <w:u w:val="dotted" w:color="929292"/>
              </w:rPr>
              <w:tab/>
              <w:t>Total/Promedio</w:t>
              <w:tab/>
            </w:r>
          </w:p>
        </w:tc>
        <w:tc>
          <w:tcPr>
            <w:tcW w:w="1000" w:type="dxa"/>
            <w:tcBorders>
              <w:top w:val="single" w:sz="4" w:space="0" w:color="FFFFFF"/>
              <w:bottom w:val="single" w:sz="4" w:space="0" w:color="FFFFFF"/>
            </w:tcBorders>
          </w:tcPr>
          <w:p>
            <w:pPr>
              <w:pStyle w:val="TableParagraph"/>
              <w:tabs>
                <w:tab w:pos="351" w:val="left" w:leader="none"/>
                <w:tab w:pos="969" w:val="left" w:leader="none"/>
              </w:tabs>
              <w:spacing w:line="171" w:lineRule="exact"/>
              <w:ind w:left="15"/>
              <w:jc w:val="center"/>
              <w:rPr>
                <w:sz w:val="16"/>
              </w:rPr>
            </w:pPr>
            <w:r>
              <w:rPr>
                <w:w w:val="100"/>
                <w:sz w:val="16"/>
                <w:u w:val="dotted" w:color="929292"/>
              </w:rPr>
              <w:t> </w:t>
            </w:r>
            <w:r>
              <w:rPr>
                <w:sz w:val="16"/>
                <w:u w:val="dotted" w:color="929292"/>
              </w:rPr>
              <w:tab/>
              <w:t>113</w:t>
              <w:tab/>
            </w:r>
          </w:p>
        </w:tc>
        <w:tc>
          <w:tcPr>
            <w:tcW w:w="1042" w:type="dxa"/>
            <w:tcBorders>
              <w:top w:val="single" w:sz="4" w:space="0" w:color="FFFFFF"/>
              <w:bottom w:val="single" w:sz="4" w:space="0" w:color="FFFFFF"/>
            </w:tcBorders>
          </w:tcPr>
          <w:p>
            <w:pPr>
              <w:pStyle w:val="TableParagraph"/>
              <w:tabs>
                <w:tab w:pos="372" w:val="left" w:leader="none"/>
                <w:tab w:pos="1012" w:val="left" w:leader="none"/>
              </w:tabs>
              <w:spacing w:line="171" w:lineRule="exact"/>
              <w:ind w:left="14"/>
              <w:jc w:val="center"/>
              <w:rPr>
                <w:sz w:val="16"/>
              </w:rPr>
            </w:pPr>
            <w:r>
              <w:rPr>
                <w:w w:val="100"/>
                <w:sz w:val="16"/>
                <w:u w:val="dotted" w:color="929292"/>
              </w:rPr>
              <w:t> </w:t>
            </w:r>
            <w:r>
              <w:rPr>
                <w:sz w:val="16"/>
                <w:u w:val="dotted" w:color="929292"/>
              </w:rPr>
              <w:tab/>
              <w:t>642</w:t>
              <w:tab/>
            </w:r>
          </w:p>
        </w:tc>
        <w:tc>
          <w:tcPr>
            <w:tcW w:w="1055" w:type="dxa"/>
            <w:tcBorders>
              <w:top w:val="single" w:sz="4" w:space="0" w:color="FFFFFF"/>
              <w:bottom w:val="single" w:sz="4" w:space="0" w:color="FFFFFF"/>
            </w:tcBorders>
          </w:tcPr>
          <w:p>
            <w:pPr>
              <w:pStyle w:val="TableParagraph"/>
              <w:tabs>
                <w:tab w:pos="268" w:val="left" w:leader="none"/>
                <w:tab w:pos="1024" w:val="left" w:leader="none"/>
              </w:tabs>
              <w:spacing w:line="171" w:lineRule="exact"/>
              <w:ind w:left="15"/>
              <w:jc w:val="center"/>
              <w:rPr>
                <w:sz w:val="16"/>
              </w:rPr>
            </w:pPr>
            <w:r>
              <w:rPr>
                <w:w w:val="100"/>
                <w:sz w:val="16"/>
                <w:u w:val="dotted" w:color="929292"/>
              </w:rPr>
              <w:t> </w:t>
            </w:r>
            <w:r>
              <w:rPr>
                <w:sz w:val="16"/>
                <w:u w:val="dotted" w:color="929292"/>
              </w:rPr>
              <w:tab/>
              <w:t>61</w:t>
            </w:r>
            <w:r>
              <w:rPr>
                <w:spacing w:val="-1"/>
                <w:sz w:val="16"/>
                <w:u w:val="dotted" w:color="929292"/>
              </w:rPr>
              <w:t> </w:t>
            </w:r>
            <w:r>
              <w:rPr>
                <w:sz w:val="16"/>
                <w:u w:val="dotted" w:color="929292"/>
              </w:rPr>
              <w:t>577</w:t>
              <w:tab/>
            </w:r>
          </w:p>
        </w:tc>
        <w:tc>
          <w:tcPr>
            <w:tcW w:w="940" w:type="dxa"/>
            <w:tcBorders>
              <w:top w:val="single" w:sz="4" w:space="0" w:color="FFFFFF"/>
              <w:bottom w:val="single" w:sz="4" w:space="0" w:color="FFFFFF"/>
            </w:tcBorders>
          </w:tcPr>
          <w:p>
            <w:pPr>
              <w:pStyle w:val="TableParagraph"/>
              <w:tabs>
                <w:tab w:pos="909" w:val="left" w:leader="none"/>
              </w:tabs>
              <w:spacing w:line="171" w:lineRule="exact"/>
              <w:ind w:left="15"/>
              <w:jc w:val="center"/>
              <w:rPr>
                <w:sz w:val="16"/>
              </w:rPr>
            </w:pPr>
            <w:r>
              <w:rPr>
                <w:w w:val="100"/>
                <w:sz w:val="16"/>
                <w:u w:val="dotted" w:color="929292"/>
              </w:rPr>
              <w:t> </w:t>
            </w:r>
            <w:r>
              <w:rPr>
                <w:sz w:val="16"/>
                <w:u w:val="dotted" w:color="929292"/>
              </w:rPr>
              <w:tab/>
            </w:r>
          </w:p>
        </w:tc>
        <w:tc>
          <w:tcPr>
            <w:tcW w:w="1439" w:type="dxa"/>
            <w:tcBorders>
              <w:top w:val="single" w:sz="4" w:space="0" w:color="FFFFFF"/>
              <w:bottom w:val="single" w:sz="4" w:space="0" w:color="FFFFFF"/>
              <w:right w:val="nil"/>
            </w:tcBorders>
          </w:tcPr>
          <w:p>
            <w:pPr>
              <w:pStyle w:val="TableParagraph"/>
              <w:tabs>
                <w:tab w:pos="346" w:val="left" w:leader="none"/>
                <w:tab w:pos="1403" w:val="left" w:leader="none"/>
              </w:tabs>
              <w:spacing w:line="171" w:lineRule="exact"/>
              <w:ind w:left="9"/>
              <w:jc w:val="center"/>
              <w:rPr>
                <w:sz w:val="16"/>
              </w:rPr>
            </w:pPr>
            <w:r>
              <w:rPr>
                <w:w w:val="100"/>
                <w:sz w:val="16"/>
                <w:u w:val="dotted" w:color="929292"/>
              </w:rPr>
              <w:t> </w:t>
            </w:r>
            <w:r>
              <w:rPr>
                <w:sz w:val="16"/>
                <w:u w:val="dotted" w:color="929292"/>
              </w:rPr>
              <w:tab/>
              <w:t>7 083</w:t>
            </w:r>
            <w:r>
              <w:rPr>
                <w:spacing w:val="-1"/>
                <w:sz w:val="16"/>
                <w:u w:val="dotted" w:color="929292"/>
              </w:rPr>
              <w:t> </w:t>
            </w:r>
            <w:r>
              <w:rPr>
                <w:sz w:val="16"/>
                <w:u w:val="dotted" w:color="929292"/>
              </w:rPr>
              <w:t>289</w:t>
              <w:tab/>
            </w:r>
          </w:p>
        </w:tc>
      </w:tr>
    </w:tbl>
    <w:p>
      <w:pPr>
        <w:pStyle w:val="BodyText"/>
      </w:pPr>
    </w:p>
    <w:p>
      <w:pPr>
        <w:pStyle w:val="BodyText"/>
        <w:spacing w:before="3"/>
        <w:rPr>
          <w:sz w:val="21"/>
        </w:rPr>
      </w:pPr>
    </w:p>
    <w:p>
      <w:pPr>
        <w:spacing w:before="81"/>
        <w:ind w:left="0" w:right="2808" w:firstLine="0"/>
        <w:jc w:val="right"/>
        <w:rPr>
          <w:sz w:val="16"/>
        </w:rPr>
      </w:pPr>
      <w:r>
        <w:rPr/>
        <w:pict>
          <v:shape style="position:absolute;margin-left:51.448002pt;margin-top:-36.433590pt;width:162.5pt;height:109.5pt;mso-position-horizontal-relative:page;mso-position-vertical-relative:paragraph;z-index:-641776" type="#_x0000_t202" filled="false" stroked="false">
            <v:textbox inset="0,0,0,0">
              <w:txbxContent>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8"/>
                    <w:rPr>
                      <w:sz w:val="14"/>
                    </w:rPr>
                  </w:pPr>
                </w:p>
                <w:p>
                  <w:pPr>
                    <w:spacing w:line="179" w:lineRule="exact" w:before="1"/>
                    <w:ind w:left="0" w:right="0" w:firstLine="0"/>
                    <w:jc w:val="right"/>
                    <w:rPr>
                      <w:sz w:val="16"/>
                    </w:rPr>
                  </w:pPr>
                  <w:r>
                    <w:rPr>
                      <w:color w:val="6D6E71"/>
                      <w:sz w:val="16"/>
                    </w:rPr>
                    <w:t>Fuente: Elab</w:t>
                  </w:r>
                </w:p>
              </w:txbxContent>
            </v:textbox>
            <w10:wrap type="none"/>
          </v:shape>
        </w:pict>
      </w:r>
      <w:r>
        <w:rPr/>
        <w:pict>
          <v:shape style="position:absolute;margin-left:213.449005pt;margin-top:-39.126591pt;width:166.4pt;height:112.15pt;mso-position-horizontal-relative:page;mso-position-vertical-relative:paragraph;z-index:-641752" type="#_x0000_t202" filled="false" stroked="false">
            <v:textbox inset="0,0,0,0">
              <w:txbxContent>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5"/>
                    <w:rPr>
                      <w:sz w:val="19"/>
                    </w:rPr>
                  </w:pPr>
                </w:p>
                <w:p>
                  <w:pPr>
                    <w:spacing w:line="179" w:lineRule="exact" w:before="0"/>
                    <w:ind w:left="9" w:right="0" w:firstLine="0"/>
                    <w:jc w:val="left"/>
                    <w:rPr>
                      <w:sz w:val="16"/>
                    </w:rPr>
                  </w:pPr>
                  <w:r>
                    <w:rPr>
                      <w:color w:val="6D6E71"/>
                      <w:sz w:val="16"/>
                    </w:rPr>
                    <w:t>oración propia, 2015.</w:t>
                  </w:r>
                </w:p>
              </w:txbxContent>
            </v:textbox>
            <w10:wrap type="none"/>
          </v:shape>
        </w:pict>
      </w:r>
      <w:r>
        <w:rPr/>
        <w:pict>
          <v:group style="position:absolute;margin-left:51.448002pt;margin-top:-144.433594pt;width:328.4pt;height:216pt;mso-position-horizontal-relative:page;mso-position-vertical-relative:paragraph;z-index:11080" coordorigin="1029,-2889" coordsize="6568,4320">
            <v:shape style="position:absolute;left:1304;top:-2843;width:2965;height:2061" type="#_x0000_t75" stroked="false">
              <v:imagedata r:id="rId268" o:title=""/>
            </v:shape>
            <v:shape style="position:absolute;left:4218;top:-2889;width:3342;height:1959" type="#_x0000_t75" stroked="false">
              <v:imagedata r:id="rId269" o:title=""/>
            </v:shape>
            <v:shape style="position:absolute;left:1029;top:-729;width:3240;height:2136" type="#_x0000_t75" stroked="false">
              <v:imagedata r:id="rId270" o:title=""/>
            </v:shape>
            <v:shape style="position:absolute;left:4269;top:-783;width:3328;height:2214" type="#_x0000_t75" stroked="false">
              <v:imagedata r:id="rId271" o:title=""/>
            </v:shape>
            <w10:wrap type="none"/>
          </v:group>
        </w:pict>
      </w:r>
      <w:r>
        <w:rPr>
          <w:color w:val="6D6E71"/>
          <w:sz w:val="16"/>
        </w:rPr>
        <w:t>Fuente: Elaboración propia, 2015</w:t>
      </w:r>
    </w:p>
    <w:p>
      <w:pPr>
        <w:pStyle w:val="BodyText"/>
        <w:rPr>
          <w:sz w:val="16"/>
        </w:rPr>
      </w:pPr>
    </w:p>
    <w:p>
      <w:pPr>
        <w:spacing w:line="312" w:lineRule="auto" w:before="112"/>
        <w:ind w:left="9720" w:right="231" w:firstLine="0"/>
        <w:jc w:val="center"/>
        <w:rPr>
          <w:sz w:val="16"/>
        </w:rPr>
      </w:pPr>
      <w:r>
        <w:rPr>
          <w:color w:val="6D6E71"/>
          <w:sz w:val="16"/>
        </w:rPr>
        <w:t>Gráficas 9, 10, 11 y 12. Proporción de superficie con huertos, respecto a la superficie total de las localida- des en el municipio de Villa Guerrero</w:t>
      </w:r>
    </w:p>
    <w:p>
      <w:pPr>
        <w:pStyle w:val="BodyText"/>
        <w:spacing w:before="3"/>
        <w:rPr>
          <w:sz w:val="23"/>
        </w:rPr>
      </w:pPr>
      <w:r>
        <w:rPr/>
        <w:drawing>
          <wp:anchor distT="0" distB="0" distL="0" distR="0" allowOverlap="1" layoutInCell="1" locked="0" behindDoc="0" simplePos="0" relativeHeight="10960">
            <wp:simplePos x="0" y="0"/>
            <wp:positionH relativeFrom="page">
              <wp:posOffset>7554594</wp:posOffset>
            </wp:positionH>
            <wp:positionV relativeFrom="paragraph">
              <wp:posOffset>194657</wp:posOffset>
            </wp:positionV>
            <wp:extent cx="1287757" cy="1039653"/>
            <wp:effectExtent l="0" t="0" r="0" b="0"/>
            <wp:wrapTopAndBottom/>
            <wp:docPr id="109" name="image81.png" descr=""/>
            <wp:cNvGraphicFramePr>
              <a:graphicFrameLocks noChangeAspect="1"/>
            </wp:cNvGraphicFramePr>
            <a:graphic>
              <a:graphicData uri="http://schemas.openxmlformats.org/drawingml/2006/picture">
                <pic:pic>
                  <pic:nvPicPr>
                    <pic:cNvPr id="110" name="image81.png"/>
                    <pic:cNvPicPr/>
                  </pic:nvPicPr>
                  <pic:blipFill>
                    <a:blip r:embed="rId272" cstate="print"/>
                    <a:stretch>
                      <a:fillRect/>
                    </a:stretch>
                  </pic:blipFill>
                  <pic:spPr>
                    <a:xfrm>
                      <a:off x="0" y="0"/>
                      <a:ext cx="1287757" cy="1039653"/>
                    </a:xfrm>
                    <a:prstGeom prst="rect">
                      <a:avLst/>
                    </a:prstGeom>
                  </pic:spPr>
                </pic:pic>
              </a:graphicData>
            </a:graphic>
          </wp:anchor>
        </w:drawing>
      </w:r>
      <w:r>
        <w:rPr/>
        <w:drawing>
          <wp:anchor distT="0" distB="0" distL="0" distR="0" allowOverlap="1" layoutInCell="1" locked="0" behindDoc="0" simplePos="0" relativeHeight="10984">
            <wp:simplePos x="0" y="0"/>
            <wp:positionH relativeFrom="page">
              <wp:posOffset>9040494</wp:posOffset>
            </wp:positionH>
            <wp:positionV relativeFrom="paragraph">
              <wp:posOffset>194657</wp:posOffset>
            </wp:positionV>
            <wp:extent cx="1292211" cy="1039653"/>
            <wp:effectExtent l="0" t="0" r="0" b="0"/>
            <wp:wrapTopAndBottom/>
            <wp:docPr id="111" name="image82.png" descr=""/>
            <wp:cNvGraphicFramePr>
              <a:graphicFrameLocks noChangeAspect="1"/>
            </wp:cNvGraphicFramePr>
            <a:graphic>
              <a:graphicData uri="http://schemas.openxmlformats.org/drawingml/2006/picture">
                <pic:pic>
                  <pic:nvPicPr>
                    <pic:cNvPr id="112" name="image82.png"/>
                    <pic:cNvPicPr/>
                  </pic:nvPicPr>
                  <pic:blipFill>
                    <a:blip r:embed="rId273" cstate="print"/>
                    <a:stretch>
                      <a:fillRect/>
                    </a:stretch>
                  </pic:blipFill>
                  <pic:spPr>
                    <a:xfrm>
                      <a:off x="0" y="0"/>
                      <a:ext cx="1292211" cy="1039653"/>
                    </a:xfrm>
                    <a:prstGeom prst="rect">
                      <a:avLst/>
                    </a:prstGeom>
                  </pic:spPr>
                </pic:pic>
              </a:graphicData>
            </a:graphic>
          </wp:anchor>
        </w:drawing>
      </w:r>
    </w:p>
    <w:p>
      <w:pPr>
        <w:spacing w:after="0"/>
        <w:rPr>
          <w:sz w:val="23"/>
        </w:rPr>
        <w:sectPr>
          <w:type w:val="continuous"/>
          <w:pgSz w:w="18830" w:h="12760" w:orient="landscape"/>
          <w:pgMar w:top="1420" w:bottom="280" w:left="620" w:right="720"/>
        </w:sectPr>
      </w:pPr>
    </w:p>
    <w:p>
      <w:pPr>
        <w:pStyle w:val="BodyText"/>
        <w:spacing w:before="5"/>
        <w:rPr>
          <w:sz w:val="26"/>
        </w:rPr>
      </w:pPr>
    </w:p>
    <w:p>
      <w:pPr>
        <w:spacing w:line="240" w:lineRule="atLeast" w:before="24"/>
        <w:ind w:left="12587" w:right="0" w:hanging="3038"/>
        <w:jc w:val="left"/>
        <w:rPr>
          <w:sz w:val="16"/>
        </w:rPr>
      </w:pPr>
      <w:r>
        <w:rPr/>
        <w:drawing>
          <wp:anchor distT="0" distB="0" distL="0" distR="0" allowOverlap="1" layoutInCell="1" locked="0" behindDoc="0" simplePos="0" relativeHeight="11176">
            <wp:simplePos x="0" y="0"/>
            <wp:positionH relativeFrom="page">
              <wp:posOffset>1560118</wp:posOffset>
            </wp:positionH>
            <wp:positionV relativeFrom="paragraph">
              <wp:posOffset>-6294</wp:posOffset>
            </wp:positionV>
            <wp:extent cx="1246784" cy="1287665"/>
            <wp:effectExtent l="0" t="0" r="0" b="0"/>
            <wp:wrapNone/>
            <wp:docPr id="113" name="image83.png" descr=""/>
            <wp:cNvGraphicFramePr>
              <a:graphicFrameLocks noChangeAspect="1"/>
            </wp:cNvGraphicFramePr>
            <a:graphic>
              <a:graphicData uri="http://schemas.openxmlformats.org/drawingml/2006/picture">
                <pic:pic>
                  <pic:nvPicPr>
                    <pic:cNvPr id="114" name="image83.png"/>
                    <pic:cNvPicPr/>
                  </pic:nvPicPr>
                  <pic:blipFill>
                    <a:blip r:embed="rId275" cstate="print"/>
                    <a:stretch>
                      <a:fillRect/>
                    </a:stretch>
                  </pic:blipFill>
                  <pic:spPr>
                    <a:xfrm>
                      <a:off x="0" y="0"/>
                      <a:ext cx="1246784" cy="1287665"/>
                    </a:xfrm>
                    <a:prstGeom prst="rect">
                      <a:avLst/>
                    </a:prstGeom>
                  </pic:spPr>
                </pic:pic>
              </a:graphicData>
            </a:graphic>
          </wp:anchor>
        </w:drawing>
      </w:r>
      <w:r>
        <w:rPr/>
        <w:drawing>
          <wp:anchor distT="0" distB="0" distL="0" distR="0" allowOverlap="1" layoutInCell="1" locked="0" behindDoc="0" simplePos="0" relativeHeight="11200">
            <wp:simplePos x="0" y="0"/>
            <wp:positionH relativeFrom="page">
              <wp:posOffset>3036455</wp:posOffset>
            </wp:positionH>
            <wp:positionV relativeFrom="paragraph">
              <wp:posOffset>-6294</wp:posOffset>
            </wp:positionV>
            <wp:extent cx="1638134" cy="1348739"/>
            <wp:effectExtent l="0" t="0" r="0" b="0"/>
            <wp:wrapNone/>
            <wp:docPr id="115" name="image84.png" descr=""/>
            <wp:cNvGraphicFramePr>
              <a:graphicFrameLocks noChangeAspect="1"/>
            </wp:cNvGraphicFramePr>
            <a:graphic>
              <a:graphicData uri="http://schemas.openxmlformats.org/drawingml/2006/picture">
                <pic:pic>
                  <pic:nvPicPr>
                    <pic:cNvPr id="116" name="image84.png"/>
                    <pic:cNvPicPr/>
                  </pic:nvPicPr>
                  <pic:blipFill>
                    <a:blip r:embed="rId276" cstate="print"/>
                    <a:stretch>
                      <a:fillRect/>
                    </a:stretch>
                  </pic:blipFill>
                  <pic:spPr>
                    <a:xfrm>
                      <a:off x="0" y="0"/>
                      <a:ext cx="1638134" cy="1348739"/>
                    </a:xfrm>
                    <a:prstGeom prst="rect">
                      <a:avLst/>
                    </a:prstGeom>
                  </pic:spPr>
                </pic:pic>
              </a:graphicData>
            </a:graphic>
          </wp:anchor>
        </w:drawing>
      </w:r>
      <w:r>
        <w:rPr>
          <w:color w:val="6D6E71"/>
          <w:sz w:val="16"/>
        </w:rPr>
        <w:t>Gráfica 13. Análisis Espacial Comparativo entre localidades Urbanas y Rurales de la superficie ocupada por huertos familiares (m2)</w:t>
      </w:r>
    </w:p>
    <w:p>
      <w:pPr>
        <w:spacing w:after="0" w:line="240" w:lineRule="atLeast"/>
        <w:jc w:val="left"/>
        <w:rPr>
          <w:sz w:val="16"/>
        </w:rPr>
        <w:sectPr>
          <w:footerReference w:type="default" r:id="rId274"/>
          <w:pgSz w:w="18830" w:h="12760" w:orient="landscape"/>
          <w:pgMar w:footer="1036" w:header="522" w:top="820" w:bottom="1220" w:left="720" w:right="72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1"/>
        <w:rPr>
          <w:sz w:val="22"/>
        </w:rPr>
      </w:pPr>
    </w:p>
    <w:p>
      <w:pPr>
        <w:spacing w:before="0"/>
        <w:ind w:left="1606" w:right="1478" w:firstLine="0"/>
        <w:jc w:val="center"/>
        <w:rPr>
          <w:sz w:val="16"/>
        </w:rPr>
      </w:pPr>
      <w:r>
        <w:rPr>
          <w:color w:val="6D6E71"/>
          <w:sz w:val="16"/>
        </w:rPr>
        <w:t>Fuente: Elaboración propia, 2015.</w:t>
      </w:r>
    </w:p>
    <w:p>
      <w:pPr>
        <w:pStyle w:val="BodyText"/>
        <w:rPr>
          <w:sz w:val="16"/>
        </w:rPr>
      </w:pPr>
    </w:p>
    <w:p>
      <w:pPr>
        <w:pStyle w:val="BodyText"/>
        <w:rPr>
          <w:sz w:val="16"/>
        </w:rPr>
      </w:pPr>
    </w:p>
    <w:p>
      <w:pPr>
        <w:pStyle w:val="BodyText"/>
        <w:rPr>
          <w:sz w:val="16"/>
        </w:rPr>
      </w:pPr>
    </w:p>
    <w:p>
      <w:pPr>
        <w:pStyle w:val="BodyText"/>
        <w:spacing w:before="9"/>
        <w:rPr>
          <w:sz w:val="15"/>
        </w:rPr>
      </w:pPr>
    </w:p>
    <w:p>
      <w:pPr>
        <w:pStyle w:val="Heading1"/>
        <w:spacing w:line="240" w:lineRule="exact"/>
        <w:ind w:left="1609" w:right="1478"/>
        <w:jc w:val="center"/>
      </w:pPr>
      <w:r>
        <w:rPr/>
        <w:t>Análisis espacial estadístico comparativo</w:t>
      </w:r>
      <w:r>
        <w:rPr>
          <w:w w:val="100"/>
        </w:rPr>
        <w:t> </w:t>
      </w:r>
      <w:r>
        <w:rPr/>
        <w:t>entre localidades urbanas y rurales</w:t>
      </w:r>
    </w:p>
    <w:p>
      <w:pPr>
        <w:pStyle w:val="BodyText"/>
        <w:spacing w:before="2"/>
        <w:rPr>
          <w:b/>
          <w:sz w:val="21"/>
        </w:rPr>
      </w:pPr>
    </w:p>
    <w:p>
      <w:pPr>
        <w:pStyle w:val="BodyText"/>
        <w:spacing w:line="249" w:lineRule="auto" w:before="1"/>
        <w:ind w:left="129" w:firstLine="170"/>
        <w:jc w:val="both"/>
      </w:pPr>
      <w:r>
        <w:rPr/>
        <w:t>Al comparar las localidades rurales con las urbanas de cada municipio se observa que las tres cabeceras municipales poseen  mayor  superficie  ocupada  por  AEHF, que sus localidades rurales; Malinalco posee la mayor superficie y mayor número de huertos, seguido de Villa Guerrero y finalmente Tenancingo. La cabecera municipal de Malinalco</w:t>
      </w:r>
      <w:r>
        <w:rPr>
          <w:spacing w:val="-9"/>
        </w:rPr>
        <w:t> </w:t>
      </w:r>
      <w:r>
        <w:rPr/>
        <w:t>conserva</w:t>
      </w:r>
      <w:r>
        <w:rPr>
          <w:spacing w:val="-9"/>
        </w:rPr>
        <w:t> </w:t>
      </w:r>
      <w:r>
        <w:rPr/>
        <w:t>una</w:t>
      </w:r>
      <w:r>
        <w:rPr>
          <w:spacing w:val="-9"/>
        </w:rPr>
        <w:t> </w:t>
      </w:r>
      <w:r>
        <w:rPr/>
        <w:t>gran</w:t>
      </w:r>
      <w:r>
        <w:rPr>
          <w:spacing w:val="-9"/>
        </w:rPr>
        <w:t> </w:t>
      </w:r>
      <w:r>
        <w:rPr/>
        <w:t>superficie</w:t>
      </w:r>
      <w:r>
        <w:rPr>
          <w:spacing w:val="-9"/>
        </w:rPr>
        <w:t> </w:t>
      </w:r>
      <w:r>
        <w:rPr/>
        <w:t>y</w:t>
      </w:r>
      <w:r>
        <w:rPr>
          <w:spacing w:val="-9"/>
        </w:rPr>
        <w:t> </w:t>
      </w:r>
      <w:r>
        <w:rPr/>
        <w:t>número</w:t>
      </w:r>
      <w:r>
        <w:rPr>
          <w:spacing w:val="-9"/>
        </w:rPr>
        <w:t> </w:t>
      </w:r>
      <w:r>
        <w:rPr/>
        <w:t>de</w:t>
      </w:r>
      <w:r>
        <w:rPr>
          <w:spacing w:val="-9"/>
        </w:rPr>
        <w:t> </w:t>
      </w:r>
      <w:r>
        <w:rPr/>
        <w:t>AEHF,</w:t>
      </w:r>
      <w:r>
        <w:rPr>
          <w:spacing w:val="-9"/>
        </w:rPr>
        <w:t> </w:t>
      </w:r>
      <w:r>
        <w:rPr/>
        <w:t>le</w:t>
      </w:r>
      <w:r>
        <w:rPr>
          <w:spacing w:val="-9"/>
        </w:rPr>
        <w:t> </w:t>
      </w:r>
      <w:r>
        <w:rPr/>
        <w:t>sigue</w:t>
      </w:r>
      <w:r>
        <w:rPr>
          <w:spacing w:val="-9"/>
        </w:rPr>
        <w:t> </w:t>
      </w:r>
      <w:r>
        <w:rPr/>
        <w:t>la</w:t>
      </w:r>
      <w:r>
        <w:rPr>
          <w:spacing w:val="-9"/>
        </w:rPr>
        <w:t> </w:t>
      </w:r>
      <w:r>
        <w:rPr/>
        <w:t>de</w:t>
      </w:r>
      <w:r>
        <w:rPr>
          <w:spacing w:val="-9"/>
        </w:rPr>
        <w:t> </w:t>
      </w:r>
      <w:r>
        <w:rPr/>
        <w:t>Villa</w:t>
      </w:r>
      <w:r>
        <w:rPr>
          <w:spacing w:val="-9"/>
        </w:rPr>
        <w:t> </w:t>
      </w:r>
      <w:r>
        <w:rPr/>
        <w:t>Guerrero;</w:t>
      </w:r>
      <w:r>
        <w:rPr>
          <w:w w:val="99"/>
        </w:rPr>
        <w:t> </w:t>
      </w:r>
      <w:r>
        <w:rPr/>
        <w:t>la cabecera municipal de Tenancingo solo es ligeramente superior en superficie de AEHF que sus localidades</w:t>
      </w:r>
      <w:r>
        <w:rPr>
          <w:spacing w:val="-13"/>
        </w:rPr>
        <w:t> </w:t>
      </w:r>
      <w:r>
        <w:rPr/>
        <w:t>rurales.</w:t>
      </w:r>
    </w:p>
    <w:p>
      <w:pPr>
        <w:pStyle w:val="BodyText"/>
      </w:pPr>
    </w:p>
    <w:p>
      <w:pPr>
        <w:pStyle w:val="BodyText"/>
        <w:spacing w:before="1"/>
        <w:rPr>
          <w:sz w:val="25"/>
        </w:rPr>
      </w:pPr>
    </w:p>
    <w:p>
      <w:pPr>
        <w:spacing w:before="0"/>
        <w:ind w:left="1137" w:right="1009" w:firstLine="0"/>
        <w:jc w:val="center"/>
        <w:rPr>
          <w:sz w:val="16"/>
        </w:rPr>
      </w:pPr>
      <w:r>
        <w:rPr>
          <w:color w:val="6D6E71"/>
          <w:sz w:val="16"/>
        </w:rPr>
        <w:t>Cuadro 8. Análisis Espacial Estadístico Comparativo entre Localidades Urbanas</w:t>
      </w:r>
    </w:p>
    <w:p>
      <w:pPr>
        <w:pStyle w:val="BodyText"/>
        <w:spacing w:after="40"/>
        <w:rPr>
          <w:sz w:val="14"/>
        </w:rPr>
      </w:pPr>
      <w:r>
        <w:rPr/>
        <w:br w:type="column"/>
      </w:r>
      <w:r>
        <w:rPr>
          <w:sz w:val="14"/>
        </w:rPr>
      </w:r>
    </w:p>
    <w:p>
      <w:pPr>
        <w:pStyle w:val="BodyText"/>
        <w:ind w:left="411"/>
      </w:pPr>
      <w:r>
        <w:rPr/>
        <w:drawing>
          <wp:inline distT="0" distB="0" distL="0" distR="0">
            <wp:extent cx="3212179" cy="1675923"/>
            <wp:effectExtent l="0" t="0" r="0" b="0"/>
            <wp:docPr id="117" name="image85.png" descr=""/>
            <wp:cNvGraphicFramePr>
              <a:graphicFrameLocks noChangeAspect="1"/>
            </wp:cNvGraphicFramePr>
            <a:graphic>
              <a:graphicData uri="http://schemas.openxmlformats.org/drawingml/2006/picture">
                <pic:pic>
                  <pic:nvPicPr>
                    <pic:cNvPr id="118" name="image85.png"/>
                    <pic:cNvPicPr/>
                  </pic:nvPicPr>
                  <pic:blipFill>
                    <a:blip r:embed="rId277" cstate="print"/>
                    <a:stretch>
                      <a:fillRect/>
                    </a:stretch>
                  </pic:blipFill>
                  <pic:spPr>
                    <a:xfrm>
                      <a:off x="0" y="0"/>
                      <a:ext cx="3212179" cy="1675923"/>
                    </a:xfrm>
                    <a:prstGeom prst="rect">
                      <a:avLst/>
                    </a:prstGeom>
                  </pic:spPr>
                </pic:pic>
              </a:graphicData>
            </a:graphic>
          </wp:inline>
        </w:drawing>
      </w:r>
      <w:r>
        <w:rPr/>
      </w:r>
    </w:p>
    <w:p>
      <w:pPr>
        <w:pStyle w:val="BodyText"/>
        <w:rPr>
          <w:sz w:val="16"/>
        </w:rPr>
      </w:pPr>
    </w:p>
    <w:p>
      <w:pPr>
        <w:pStyle w:val="BodyText"/>
        <w:spacing w:before="1"/>
        <w:rPr>
          <w:sz w:val="13"/>
        </w:rPr>
      </w:pPr>
    </w:p>
    <w:p>
      <w:pPr>
        <w:spacing w:before="1"/>
        <w:ind w:left="122" w:right="1153" w:firstLine="0"/>
        <w:jc w:val="center"/>
        <w:rPr>
          <w:sz w:val="16"/>
        </w:rPr>
      </w:pPr>
      <w:r>
        <w:rPr>
          <w:color w:val="6D6E71"/>
          <w:sz w:val="16"/>
        </w:rPr>
        <w:t>Fuente: Elaboración propia, 2015.</w:t>
      </w:r>
    </w:p>
    <w:p>
      <w:pPr>
        <w:pStyle w:val="BodyText"/>
        <w:rPr>
          <w:sz w:val="16"/>
        </w:rPr>
      </w:pPr>
    </w:p>
    <w:p>
      <w:pPr>
        <w:spacing w:before="112"/>
        <w:ind w:left="122" w:right="1153" w:firstLine="0"/>
        <w:jc w:val="center"/>
        <w:rPr>
          <w:sz w:val="16"/>
        </w:rPr>
      </w:pPr>
      <w:r>
        <w:rPr/>
        <w:pict>
          <v:line style="position:absolute;mso-position-horizontal-relative:page;mso-position-vertical-relative:paragraph;z-index:11224" from="513.320923pt,78.590195pt" to="513.320923pt,78.590195pt" stroked="true" strokeweight=".5pt" strokecolor="#929292">
            <w10:wrap type="none"/>
          </v:line>
        </w:pict>
      </w:r>
      <w:r>
        <w:rPr/>
        <w:pict>
          <v:line style="position:absolute;mso-position-horizontal-relative:page;mso-position-vertical-relative:paragraph;z-index:11248" from="897.701172pt,78.590195pt" to="897.701172pt,78.590195pt" stroked="true" strokeweight=".5pt" strokecolor="#929292">
            <w10:wrap type="none"/>
          </v:line>
        </w:pict>
      </w:r>
      <w:r>
        <w:rPr>
          <w:color w:val="6D6E71"/>
          <w:sz w:val="16"/>
        </w:rPr>
        <w:t>Cuadro 9. Análisis Espacial Estadístico Comparativo entre Localidades Rurales</w:t>
      </w:r>
    </w:p>
    <w:p>
      <w:pPr>
        <w:spacing w:after="0"/>
        <w:jc w:val="center"/>
        <w:rPr>
          <w:sz w:val="16"/>
        </w:rPr>
        <w:sectPr>
          <w:type w:val="continuous"/>
          <w:pgSz w:w="18830" w:h="12760" w:orient="landscape"/>
          <w:pgMar w:top="1420" w:bottom="280" w:left="720" w:right="720"/>
          <w:cols w:num="2" w:equalWidth="0">
            <w:col w:w="7870" w:space="2575"/>
            <w:col w:w="6945"/>
          </w:cols>
        </w:sectPr>
      </w:pPr>
    </w:p>
    <w:p>
      <w:pPr>
        <w:pStyle w:val="BodyText"/>
      </w:pPr>
    </w:p>
    <w:p>
      <w:pPr>
        <w:pStyle w:val="BodyText"/>
        <w:spacing w:before="6" w:after="1"/>
        <w:rPr>
          <w:sz w:val="27"/>
        </w:rPr>
      </w:pPr>
    </w:p>
    <w:p>
      <w:pPr>
        <w:tabs>
          <w:tab w:pos="17229" w:val="left" w:leader="none"/>
        </w:tabs>
        <w:spacing w:line="20" w:lineRule="exact"/>
        <w:ind w:left="9541"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BodyText"/>
      </w:pPr>
    </w:p>
    <w:p>
      <w:pPr>
        <w:pStyle w:val="BodyText"/>
      </w:pPr>
    </w:p>
    <w:p>
      <w:pPr>
        <w:pStyle w:val="BodyText"/>
      </w:pPr>
    </w:p>
    <w:p>
      <w:pPr>
        <w:pStyle w:val="BodyText"/>
        <w:spacing w:before="8"/>
      </w:pPr>
    </w:p>
    <w:p>
      <w:pPr>
        <w:spacing w:before="0"/>
        <w:ind w:left="0" w:right="2774" w:firstLine="0"/>
        <w:jc w:val="right"/>
        <w:rPr>
          <w:sz w:val="16"/>
        </w:rPr>
      </w:pPr>
      <w:r>
        <w:rPr/>
        <w:pict>
          <v:line style="position:absolute;mso-position-horizontal-relative:page;mso-position-vertical-relative:paragraph;z-index:11272" from="513.320923pt,-81.345894pt" to="513.320923pt,-81.345894pt" stroked="true" strokeweight=".5pt" strokecolor="#929292">
            <w10:wrap type="none"/>
          </v:line>
        </w:pict>
      </w:r>
      <w:r>
        <w:rPr/>
        <w:pict>
          <v:line style="position:absolute;mso-position-horizontal-relative:page;mso-position-vertical-relative:paragraph;z-index:11296" from="897.701172pt,-81.345894pt" to="897.701172pt,-81.345894pt" stroked="true" strokeweight=".5pt" strokecolor="#929292">
            <w10:wrap type="none"/>
          </v:line>
        </w:pict>
      </w:r>
      <w:r>
        <w:rPr/>
        <w:pict>
          <v:shape style="position:absolute;margin-left:513.070984pt;margin-top:-156.913498pt;width:384.9pt;height:153.7pt;mso-position-horizontal-relative:page;mso-position-vertical-relative:paragraph;z-index:11320" type="#_x0000_t202" filled="false" stroked="false">
            <v:textbox inset="0,0,0,0">
              <w:txbxContent>
                <w:tbl>
                  <w:tblPr>
                    <w:tblW w:w="0" w:type="auto"/>
                    <w:jc w:val="lef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497"/>
                    <w:gridCol w:w="1708"/>
                    <w:gridCol w:w="964"/>
                    <w:gridCol w:w="1616"/>
                    <w:gridCol w:w="1088"/>
                    <w:gridCol w:w="1825"/>
                  </w:tblGrid>
                  <w:tr>
                    <w:trPr>
                      <w:trHeight w:val="828" w:hRule="exact"/>
                    </w:trPr>
                    <w:tc>
                      <w:tcPr>
                        <w:tcW w:w="497" w:type="dxa"/>
                        <w:tcBorders>
                          <w:top w:val="nil"/>
                          <w:left w:val="nil"/>
                          <w:bottom w:val="dotted" w:sz="4" w:space="0" w:color="FFFFFF"/>
                        </w:tcBorders>
                        <w:shd w:val="clear" w:color="auto" w:fill="929292"/>
                      </w:tcPr>
                      <w:p>
                        <w:pPr>
                          <w:pStyle w:val="TableParagraph"/>
                          <w:spacing w:line="176" w:lineRule="exact"/>
                          <w:ind w:left="107"/>
                          <w:rPr>
                            <w:sz w:val="16"/>
                          </w:rPr>
                        </w:pPr>
                        <w:r>
                          <w:rPr>
                            <w:sz w:val="16"/>
                          </w:rPr>
                          <w:t>No.</w:t>
                        </w:r>
                      </w:p>
                    </w:tc>
                    <w:tc>
                      <w:tcPr>
                        <w:tcW w:w="1708" w:type="dxa"/>
                        <w:tcBorders>
                          <w:top w:val="nil"/>
                          <w:bottom w:val="dotted" w:sz="4" w:space="0" w:color="FFFFFF"/>
                        </w:tcBorders>
                        <w:shd w:val="clear" w:color="auto" w:fill="929292"/>
                      </w:tcPr>
                      <w:p>
                        <w:pPr>
                          <w:pStyle w:val="TableParagraph"/>
                          <w:spacing w:line="176" w:lineRule="exact"/>
                          <w:ind w:left="102"/>
                          <w:rPr>
                            <w:sz w:val="16"/>
                          </w:rPr>
                        </w:pPr>
                        <w:r>
                          <w:rPr>
                            <w:sz w:val="16"/>
                          </w:rPr>
                          <w:t>Localidad</w:t>
                        </w:r>
                      </w:p>
                    </w:tc>
                    <w:tc>
                      <w:tcPr>
                        <w:tcW w:w="964" w:type="dxa"/>
                        <w:tcBorders>
                          <w:top w:val="nil"/>
                          <w:bottom w:val="dotted" w:sz="4" w:space="0" w:color="FFFFFF"/>
                        </w:tcBorders>
                        <w:shd w:val="clear" w:color="auto" w:fill="929292"/>
                      </w:tcPr>
                      <w:p>
                        <w:pPr>
                          <w:pStyle w:val="TableParagraph"/>
                          <w:spacing w:line="261" w:lineRule="auto"/>
                          <w:ind w:left="103" w:right="270"/>
                          <w:rPr>
                            <w:sz w:val="16"/>
                          </w:rPr>
                        </w:pPr>
                        <w:r>
                          <w:rPr>
                            <w:sz w:val="16"/>
                          </w:rPr>
                          <w:t>N° de Huertos</w:t>
                        </w:r>
                      </w:p>
                    </w:tc>
                    <w:tc>
                      <w:tcPr>
                        <w:tcW w:w="1616" w:type="dxa"/>
                        <w:tcBorders>
                          <w:top w:val="nil"/>
                          <w:bottom w:val="dotted" w:sz="4" w:space="0" w:color="FFFFFF"/>
                        </w:tcBorders>
                        <w:shd w:val="clear" w:color="auto" w:fill="929292"/>
                      </w:tcPr>
                      <w:p>
                        <w:pPr>
                          <w:pStyle w:val="TableParagraph"/>
                          <w:spacing w:line="261" w:lineRule="auto"/>
                          <w:ind w:left="103" w:right="371"/>
                          <w:rPr>
                            <w:sz w:val="16"/>
                          </w:rPr>
                        </w:pPr>
                        <w:r>
                          <w:rPr>
                            <w:sz w:val="16"/>
                          </w:rPr>
                          <w:t>Superficie Total Ocupada por Huertos (m2)</w:t>
                        </w:r>
                      </w:p>
                    </w:tc>
                    <w:tc>
                      <w:tcPr>
                        <w:tcW w:w="1088" w:type="dxa"/>
                        <w:tcBorders>
                          <w:top w:val="nil"/>
                          <w:bottom w:val="dotted" w:sz="4" w:space="0" w:color="FFFFFF"/>
                        </w:tcBorders>
                        <w:shd w:val="clear" w:color="auto" w:fill="929292"/>
                      </w:tcPr>
                      <w:p>
                        <w:pPr>
                          <w:pStyle w:val="TableParagraph"/>
                          <w:spacing w:line="176" w:lineRule="exact"/>
                          <w:ind w:left="103"/>
                          <w:rPr>
                            <w:sz w:val="16"/>
                          </w:rPr>
                        </w:pPr>
                        <w:r>
                          <w:rPr>
                            <w:w w:val="112"/>
                            <w:sz w:val="16"/>
                          </w:rPr>
                          <w:t>%</w:t>
                        </w:r>
                      </w:p>
                    </w:tc>
                    <w:tc>
                      <w:tcPr>
                        <w:tcW w:w="1825" w:type="dxa"/>
                        <w:tcBorders>
                          <w:top w:val="nil"/>
                          <w:bottom w:val="dotted" w:sz="4" w:space="0" w:color="FFFFFF"/>
                          <w:right w:val="nil"/>
                        </w:tcBorders>
                        <w:shd w:val="clear" w:color="auto" w:fill="929292"/>
                      </w:tcPr>
                      <w:p>
                        <w:pPr>
                          <w:pStyle w:val="TableParagraph"/>
                          <w:spacing w:line="261" w:lineRule="auto"/>
                          <w:ind w:left="103" w:right="193"/>
                          <w:rPr>
                            <w:sz w:val="16"/>
                          </w:rPr>
                        </w:pPr>
                        <w:r>
                          <w:rPr>
                            <w:sz w:val="16"/>
                          </w:rPr>
                          <w:t>Superficie Total de la Localidad Rural (m2)</w:t>
                        </w:r>
                      </w:p>
                    </w:tc>
                  </w:tr>
                  <w:tr>
                    <w:trPr>
                      <w:trHeight w:val="171" w:hRule="exact"/>
                    </w:trPr>
                    <w:tc>
                      <w:tcPr>
                        <w:tcW w:w="5873" w:type="dxa"/>
                        <w:gridSpan w:val="5"/>
                        <w:tcBorders>
                          <w:top w:val="dotted" w:sz="4" w:space="0" w:color="FFFFFF"/>
                          <w:left w:val="nil"/>
                          <w:bottom w:val="dotted" w:sz="4" w:space="0" w:color="929292"/>
                          <w:right w:val="nil"/>
                        </w:tcBorders>
                        <w:shd w:val="clear" w:color="auto" w:fill="E2E2E2"/>
                      </w:tcPr>
                      <w:p>
                        <w:pPr>
                          <w:pStyle w:val="TableParagraph"/>
                          <w:tabs>
                            <w:tab w:pos="2189" w:val="left" w:leader="none"/>
                            <w:tab w:pos="5857" w:val="left" w:leader="none"/>
                          </w:tabs>
                          <w:spacing w:line="172" w:lineRule="exact"/>
                          <w:ind w:left="526"/>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   </w:t>
                        </w:r>
                        <w:r>
                          <w:rPr>
                            <w:spacing w:val="-18"/>
                            <w:sz w:val="16"/>
                            <w:u w:val="dotted" w:color="929292"/>
                          </w:rPr>
                          <w:t> </w:t>
                        </w:r>
                        <w:r>
                          <w:rPr>
                            <w:sz w:val="16"/>
                            <w:u w:val="dotted" w:color="929292"/>
                          </w:rPr>
                          <w:t>Localidad</w:t>
                        </w:r>
                        <w:r>
                          <w:rPr>
                            <w:sz w:val="16"/>
                          </w:rPr>
                          <w:t>e</w:t>
                        </w:r>
                        <w:r>
                          <w:rPr>
                            <w:sz w:val="16"/>
                            <w:u w:val="dotted" w:color="929292"/>
                          </w:rPr>
                          <w:t>s del municipio de</w:t>
                        </w:r>
                        <w:r>
                          <w:rPr>
                            <w:spacing w:val="43"/>
                            <w:sz w:val="16"/>
                            <w:u w:val="dotted" w:color="929292"/>
                          </w:rPr>
                          <w:t> </w:t>
                        </w:r>
                        <w:r>
                          <w:rPr>
                            <w:sz w:val="16"/>
                            <w:u w:val="dotted" w:color="929292"/>
                          </w:rPr>
                          <w:t>Malinalco</w:t>
                          <w:tab/>
                        </w:r>
                      </w:p>
                    </w:tc>
                    <w:tc>
                      <w:tcPr>
                        <w:tcW w:w="1825" w:type="dxa"/>
                        <w:tcBorders>
                          <w:top w:val="dotted" w:sz="4" w:space="0" w:color="FFFFFF"/>
                          <w:left w:val="nil"/>
                          <w:bottom w:val="dotted" w:sz="4" w:space="0" w:color="FFFFFF"/>
                          <w:right w:val="nil"/>
                        </w:tcBorders>
                        <w:shd w:val="clear" w:color="auto" w:fill="E2E2E2"/>
                      </w:tcPr>
                      <w:p>
                        <w:pPr>
                          <w:pStyle w:val="TableParagraph"/>
                          <w:tabs>
                            <w:tab w:pos="1804" w:val="left" w:leader="none"/>
                          </w:tabs>
                          <w:spacing w:line="172" w:lineRule="exact"/>
                          <w:ind w:left="29"/>
                          <w:rPr>
                            <w:sz w:val="16"/>
                          </w:rPr>
                        </w:pPr>
                        <w:r>
                          <w:rPr>
                            <w:w w:val="100"/>
                            <w:sz w:val="16"/>
                            <w:u w:val="dotted" w:color="929292"/>
                          </w:rPr>
                          <w:t> </w:t>
                        </w:r>
                        <w:r>
                          <w:rPr>
                            <w:sz w:val="16"/>
                            <w:u w:val="dotted" w:color="929292"/>
                          </w:rPr>
                          <w:tab/>
                        </w:r>
                      </w:p>
                    </w:tc>
                  </w:tr>
                  <w:tr>
                    <w:trPr>
                      <w:trHeight w:val="171" w:hRule="exact"/>
                    </w:trPr>
                    <w:tc>
                      <w:tcPr>
                        <w:tcW w:w="497" w:type="dxa"/>
                        <w:tcBorders>
                          <w:top w:val="dotted" w:sz="4" w:space="0" w:color="929292"/>
                          <w:left w:val="nil"/>
                          <w:right w:val="single" w:sz="4" w:space="0" w:color="929292"/>
                        </w:tcBorders>
                      </w:tcPr>
                      <w:p>
                        <w:pPr>
                          <w:pStyle w:val="TableParagraph"/>
                          <w:tabs>
                            <w:tab w:pos="445" w:val="left" w:leader="none"/>
                          </w:tabs>
                          <w:spacing w:line="171" w:lineRule="exact"/>
                          <w:ind w:right="8"/>
                          <w:jc w:val="right"/>
                          <w:rPr>
                            <w:sz w:val="16"/>
                          </w:rPr>
                        </w:pPr>
                        <w:r>
                          <w:rPr>
                            <w:w w:val="100"/>
                            <w:sz w:val="16"/>
                            <w:u w:val="dotted" w:color="929292"/>
                          </w:rPr>
                          <w:t> </w:t>
                        </w:r>
                        <w:r>
                          <w:rPr>
                            <w:spacing w:val="-17"/>
                            <w:sz w:val="16"/>
                            <w:u w:val="dotted" w:color="929292"/>
                          </w:rPr>
                          <w:t> </w:t>
                        </w:r>
                        <w:r>
                          <w:rPr>
                            <w:w w:val="95"/>
                            <w:sz w:val="16"/>
                            <w:u w:val="dotted" w:color="929292"/>
                          </w:rPr>
                          <w:t>1</w:t>
                        </w:r>
                        <w:r>
                          <w:rPr>
                            <w:sz w:val="16"/>
                            <w:u w:val="dotted" w:color="929292"/>
                          </w:rPr>
                          <w:tab/>
                        </w:r>
                      </w:p>
                    </w:tc>
                    <w:tc>
                      <w:tcPr>
                        <w:tcW w:w="1708" w:type="dxa"/>
                        <w:tcBorders>
                          <w:top w:val="dotted" w:sz="4" w:space="0" w:color="FFFFFF"/>
                          <w:left w:val="single" w:sz="4" w:space="0" w:color="929292"/>
                          <w:right w:val="single" w:sz="4" w:space="0" w:color="929292"/>
                        </w:tcBorders>
                      </w:tcPr>
                      <w:p>
                        <w:pPr>
                          <w:pStyle w:val="TableParagraph"/>
                          <w:tabs>
                            <w:tab w:pos="1687"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Colonia</w:t>
                        </w:r>
                        <w:r>
                          <w:rPr>
                            <w:spacing w:val="-4"/>
                            <w:sz w:val="16"/>
                            <w:u w:val="dotted" w:color="929292"/>
                          </w:rPr>
                          <w:t> </w:t>
                        </w:r>
                        <w:r>
                          <w:rPr>
                            <w:sz w:val="16"/>
                            <w:u w:val="dotted" w:color="929292"/>
                          </w:rPr>
                          <w:t>Juárez</w:t>
                          <w:tab/>
                        </w:r>
                      </w:p>
                    </w:tc>
                    <w:tc>
                      <w:tcPr>
                        <w:tcW w:w="964" w:type="dxa"/>
                        <w:tcBorders>
                          <w:top w:val="dotted" w:sz="4" w:space="0" w:color="FFFFFF"/>
                          <w:left w:val="single" w:sz="4" w:space="0" w:color="929292"/>
                          <w:right w:val="single" w:sz="4" w:space="0" w:color="929292"/>
                        </w:tcBorders>
                      </w:tcPr>
                      <w:p>
                        <w:pPr>
                          <w:pStyle w:val="TableParagraph"/>
                          <w:tabs>
                            <w:tab w:pos="943"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13</w:t>
                          <w:tab/>
                        </w:r>
                      </w:p>
                    </w:tc>
                    <w:tc>
                      <w:tcPr>
                        <w:tcW w:w="1616" w:type="dxa"/>
                        <w:tcBorders>
                          <w:top w:val="dotted" w:sz="4" w:space="0" w:color="FFFFFF"/>
                          <w:left w:val="single" w:sz="4" w:space="0" w:color="929292"/>
                          <w:right w:val="single" w:sz="4" w:space="0" w:color="929292"/>
                        </w:tcBorders>
                      </w:tcPr>
                      <w:p>
                        <w:pPr>
                          <w:pStyle w:val="TableParagraph"/>
                          <w:tabs>
                            <w:tab w:pos="1595"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5</w:t>
                        </w:r>
                        <w:r>
                          <w:rPr>
                            <w:spacing w:val="-1"/>
                            <w:sz w:val="16"/>
                            <w:u w:val="dotted" w:color="929292"/>
                          </w:rPr>
                          <w:t> </w:t>
                        </w:r>
                        <w:r>
                          <w:rPr>
                            <w:sz w:val="16"/>
                            <w:u w:val="dotted" w:color="929292"/>
                          </w:rPr>
                          <w:t>900</w:t>
                          <w:tab/>
                        </w:r>
                      </w:p>
                    </w:tc>
                    <w:tc>
                      <w:tcPr>
                        <w:tcW w:w="1088" w:type="dxa"/>
                        <w:tcBorders>
                          <w:top w:val="dotted" w:sz="4" w:space="0" w:color="FFFFFF"/>
                          <w:left w:val="single" w:sz="4" w:space="0" w:color="929292"/>
                          <w:right w:val="single" w:sz="4" w:space="0" w:color="929292"/>
                        </w:tcBorders>
                      </w:tcPr>
                      <w:p>
                        <w:pPr>
                          <w:pStyle w:val="TableParagraph"/>
                          <w:tabs>
                            <w:tab w:pos="106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7.78</w:t>
                          <w:tab/>
                        </w:r>
                      </w:p>
                    </w:tc>
                    <w:tc>
                      <w:tcPr>
                        <w:tcW w:w="1825" w:type="dxa"/>
                        <w:tcBorders>
                          <w:top w:val="dotted" w:sz="4" w:space="0" w:color="FFFFFF"/>
                          <w:left w:val="single" w:sz="4" w:space="0" w:color="929292"/>
                          <w:right w:val="nil"/>
                        </w:tcBorders>
                      </w:tcPr>
                      <w:p>
                        <w:pPr>
                          <w:pStyle w:val="TableParagraph"/>
                          <w:tabs>
                            <w:tab w:pos="1799"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75</w:t>
                        </w:r>
                        <w:r>
                          <w:rPr>
                            <w:spacing w:val="-1"/>
                            <w:sz w:val="16"/>
                            <w:u w:val="dotted" w:color="929292"/>
                          </w:rPr>
                          <w:t> </w:t>
                        </w:r>
                        <w:r>
                          <w:rPr>
                            <w:sz w:val="16"/>
                            <w:u w:val="dotted" w:color="929292"/>
                          </w:rPr>
                          <w:t>828</w:t>
                          <w:tab/>
                        </w:r>
                      </w:p>
                    </w:tc>
                  </w:tr>
                  <w:tr>
                    <w:trPr>
                      <w:trHeight w:val="171" w:hRule="exact"/>
                    </w:trPr>
                    <w:tc>
                      <w:tcPr>
                        <w:tcW w:w="497" w:type="dxa"/>
                        <w:tcBorders>
                          <w:left w:val="nil"/>
                          <w:right w:val="single" w:sz="4" w:space="0" w:color="929292"/>
                        </w:tcBorders>
                      </w:tcPr>
                      <w:p>
                        <w:pPr>
                          <w:pStyle w:val="TableParagraph"/>
                          <w:tabs>
                            <w:tab w:pos="445" w:val="left" w:leader="none"/>
                          </w:tabs>
                          <w:spacing w:line="171" w:lineRule="exact"/>
                          <w:ind w:right="8"/>
                          <w:jc w:val="right"/>
                          <w:rPr>
                            <w:sz w:val="16"/>
                          </w:rPr>
                        </w:pPr>
                        <w:r>
                          <w:rPr>
                            <w:w w:val="100"/>
                            <w:sz w:val="16"/>
                            <w:u w:val="dotted" w:color="929292"/>
                          </w:rPr>
                          <w:t> </w:t>
                        </w:r>
                        <w:r>
                          <w:rPr>
                            <w:spacing w:val="-17"/>
                            <w:sz w:val="16"/>
                            <w:u w:val="dotted" w:color="929292"/>
                          </w:rPr>
                          <w:t> </w:t>
                        </w:r>
                        <w:r>
                          <w:rPr>
                            <w:w w:val="95"/>
                            <w:sz w:val="16"/>
                            <w:u w:val="dotted" w:color="929292"/>
                          </w:rPr>
                          <w:t>2</w:t>
                        </w:r>
                        <w:r>
                          <w:rPr>
                            <w:sz w:val="16"/>
                            <w:u w:val="dotted" w:color="929292"/>
                          </w:rPr>
                          <w:tab/>
                        </w:r>
                      </w:p>
                    </w:tc>
                    <w:tc>
                      <w:tcPr>
                        <w:tcW w:w="1708" w:type="dxa"/>
                        <w:tcBorders>
                          <w:left w:val="single" w:sz="4" w:space="0" w:color="929292"/>
                          <w:right w:val="single" w:sz="4" w:space="0" w:color="929292"/>
                        </w:tcBorders>
                      </w:tcPr>
                      <w:p>
                        <w:pPr>
                          <w:pStyle w:val="TableParagraph"/>
                          <w:tabs>
                            <w:tab w:pos="1687"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El</w:t>
                        </w:r>
                        <w:r>
                          <w:rPr>
                            <w:spacing w:val="-16"/>
                            <w:sz w:val="16"/>
                            <w:u w:val="dotted" w:color="929292"/>
                          </w:rPr>
                          <w:t> </w:t>
                        </w:r>
                        <w:r>
                          <w:rPr>
                            <w:sz w:val="16"/>
                            <w:u w:val="dotted" w:color="929292"/>
                          </w:rPr>
                          <w:t>Platanar</w:t>
                          <w:tab/>
                        </w:r>
                      </w:p>
                    </w:tc>
                    <w:tc>
                      <w:tcPr>
                        <w:tcW w:w="964" w:type="dxa"/>
                        <w:tcBorders>
                          <w:left w:val="single" w:sz="4" w:space="0" w:color="929292"/>
                          <w:right w:val="single" w:sz="4" w:space="0" w:color="929292"/>
                        </w:tcBorders>
                      </w:tcPr>
                      <w:p>
                        <w:pPr>
                          <w:pStyle w:val="TableParagraph"/>
                          <w:tabs>
                            <w:tab w:pos="943"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19</w:t>
                          <w:tab/>
                        </w:r>
                      </w:p>
                    </w:tc>
                    <w:tc>
                      <w:tcPr>
                        <w:tcW w:w="1616" w:type="dxa"/>
                        <w:tcBorders>
                          <w:left w:val="single" w:sz="4" w:space="0" w:color="929292"/>
                          <w:right w:val="single" w:sz="4" w:space="0" w:color="929292"/>
                        </w:tcBorders>
                      </w:tcPr>
                      <w:p>
                        <w:pPr>
                          <w:pStyle w:val="TableParagraph"/>
                          <w:tabs>
                            <w:tab w:pos="1595"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11</w:t>
                        </w:r>
                        <w:r>
                          <w:rPr>
                            <w:spacing w:val="-1"/>
                            <w:sz w:val="16"/>
                            <w:u w:val="dotted" w:color="929292"/>
                          </w:rPr>
                          <w:t> </w:t>
                        </w:r>
                        <w:r>
                          <w:rPr>
                            <w:sz w:val="16"/>
                            <w:u w:val="dotted" w:color="929292"/>
                          </w:rPr>
                          <w:t>790</w:t>
                          <w:tab/>
                        </w:r>
                      </w:p>
                    </w:tc>
                    <w:tc>
                      <w:tcPr>
                        <w:tcW w:w="1088" w:type="dxa"/>
                        <w:tcBorders>
                          <w:left w:val="single" w:sz="4" w:space="0" w:color="929292"/>
                          <w:right w:val="single" w:sz="4" w:space="0" w:color="929292"/>
                        </w:tcBorders>
                      </w:tcPr>
                      <w:p>
                        <w:pPr>
                          <w:pStyle w:val="TableParagraph"/>
                          <w:tabs>
                            <w:tab w:pos="106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9.57</w:t>
                          <w:tab/>
                        </w:r>
                      </w:p>
                    </w:tc>
                    <w:tc>
                      <w:tcPr>
                        <w:tcW w:w="1825" w:type="dxa"/>
                        <w:tcBorders>
                          <w:left w:val="single" w:sz="4" w:space="0" w:color="929292"/>
                          <w:right w:val="nil"/>
                        </w:tcBorders>
                      </w:tcPr>
                      <w:p>
                        <w:pPr>
                          <w:pStyle w:val="TableParagraph"/>
                          <w:tabs>
                            <w:tab w:pos="1799"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123</w:t>
                        </w:r>
                        <w:r>
                          <w:rPr>
                            <w:spacing w:val="-1"/>
                            <w:sz w:val="16"/>
                            <w:u w:val="dotted" w:color="929292"/>
                          </w:rPr>
                          <w:t> </w:t>
                        </w:r>
                        <w:r>
                          <w:rPr>
                            <w:sz w:val="16"/>
                            <w:u w:val="dotted" w:color="929292"/>
                          </w:rPr>
                          <w:t>229</w:t>
                          <w:tab/>
                        </w:r>
                      </w:p>
                    </w:tc>
                  </w:tr>
                  <w:tr>
                    <w:trPr>
                      <w:trHeight w:val="171" w:hRule="exact"/>
                    </w:trPr>
                    <w:tc>
                      <w:tcPr>
                        <w:tcW w:w="497" w:type="dxa"/>
                        <w:tcBorders>
                          <w:left w:val="nil"/>
                          <w:right w:val="single" w:sz="4" w:space="0" w:color="929292"/>
                        </w:tcBorders>
                      </w:tcPr>
                      <w:p>
                        <w:pPr>
                          <w:pStyle w:val="TableParagraph"/>
                          <w:tabs>
                            <w:tab w:pos="445" w:val="left" w:leader="none"/>
                          </w:tabs>
                          <w:spacing w:line="171" w:lineRule="exact"/>
                          <w:ind w:right="8"/>
                          <w:jc w:val="right"/>
                          <w:rPr>
                            <w:sz w:val="16"/>
                          </w:rPr>
                        </w:pPr>
                        <w:r>
                          <w:rPr>
                            <w:w w:val="100"/>
                            <w:sz w:val="16"/>
                            <w:u w:val="dotted" w:color="929292"/>
                          </w:rPr>
                          <w:t> </w:t>
                        </w:r>
                        <w:r>
                          <w:rPr>
                            <w:spacing w:val="-17"/>
                            <w:sz w:val="16"/>
                            <w:u w:val="dotted" w:color="929292"/>
                          </w:rPr>
                          <w:t> </w:t>
                        </w:r>
                        <w:r>
                          <w:rPr>
                            <w:w w:val="95"/>
                            <w:sz w:val="16"/>
                            <w:u w:val="dotted" w:color="929292"/>
                          </w:rPr>
                          <w:t>3</w:t>
                        </w:r>
                        <w:r>
                          <w:rPr>
                            <w:sz w:val="16"/>
                            <w:u w:val="dotted" w:color="929292"/>
                          </w:rPr>
                          <w:tab/>
                        </w:r>
                      </w:p>
                    </w:tc>
                    <w:tc>
                      <w:tcPr>
                        <w:tcW w:w="1708" w:type="dxa"/>
                        <w:tcBorders>
                          <w:left w:val="single" w:sz="4" w:space="0" w:color="929292"/>
                          <w:right w:val="single" w:sz="4" w:space="0" w:color="929292"/>
                        </w:tcBorders>
                      </w:tcPr>
                      <w:p>
                        <w:pPr>
                          <w:pStyle w:val="TableParagraph"/>
                          <w:tabs>
                            <w:tab w:pos="1687"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San</w:t>
                        </w:r>
                        <w:r>
                          <w:rPr>
                            <w:spacing w:val="-1"/>
                            <w:sz w:val="16"/>
                            <w:u w:val="dotted" w:color="929292"/>
                          </w:rPr>
                          <w:t> </w:t>
                        </w:r>
                        <w:r>
                          <w:rPr>
                            <w:sz w:val="16"/>
                            <w:u w:val="dotted" w:color="929292"/>
                          </w:rPr>
                          <w:t>Nicolás</w:t>
                          <w:tab/>
                        </w:r>
                      </w:p>
                    </w:tc>
                    <w:tc>
                      <w:tcPr>
                        <w:tcW w:w="964" w:type="dxa"/>
                        <w:tcBorders>
                          <w:left w:val="single" w:sz="4" w:space="0" w:color="929292"/>
                          <w:right w:val="single" w:sz="4" w:space="0" w:color="929292"/>
                        </w:tcBorders>
                      </w:tcPr>
                      <w:p>
                        <w:pPr>
                          <w:pStyle w:val="TableParagraph"/>
                          <w:tabs>
                            <w:tab w:pos="943"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30</w:t>
                          <w:tab/>
                        </w:r>
                      </w:p>
                    </w:tc>
                    <w:tc>
                      <w:tcPr>
                        <w:tcW w:w="1616" w:type="dxa"/>
                        <w:tcBorders>
                          <w:left w:val="single" w:sz="4" w:space="0" w:color="929292"/>
                          <w:right w:val="single" w:sz="4" w:space="0" w:color="929292"/>
                        </w:tcBorders>
                      </w:tcPr>
                      <w:p>
                        <w:pPr>
                          <w:pStyle w:val="TableParagraph"/>
                          <w:tabs>
                            <w:tab w:pos="1595"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18</w:t>
                        </w:r>
                        <w:r>
                          <w:rPr>
                            <w:spacing w:val="-1"/>
                            <w:sz w:val="16"/>
                            <w:u w:val="dotted" w:color="929292"/>
                          </w:rPr>
                          <w:t> </w:t>
                        </w:r>
                        <w:r>
                          <w:rPr>
                            <w:sz w:val="16"/>
                            <w:u w:val="dotted" w:color="929292"/>
                          </w:rPr>
                          <w:t>641</w:t>
                          <w:tab/>
                        </w:r>
                      </w:p>
                    </w:tc>
                    <w:tc>
                      <w:tcPr>
                        <w:tcW w:w="1088" w:type="dxa"/>
                        <w:tcBorders>
                          <w:left w:val="single" w:sz="4" w:space="0" w:color="929292"/>
                          <w:right w:val="single" w:sz="4" w:space="0" w:color="929292"/>
                        </w:tcBorders>
                      </w:tcPr>
                      <w:p>
                        <w:pPr>
                          <w:pStyle w:val="TableParagraph"/>
                          <w:tabs>
                            <w:tab w:pos="106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8.63</w:t>
                          <w:tab/>
                        </w:r>
                      </w:p>
                    </w:tc>
                    <w:tc>
                      <w:tcPr>
                        <w:tcW w:w="1825" w:type="dxa"/>
                        <w:tcBorders>
                          <w:left w:val="single" w:sz="4" w:space="0" w:color="929292"/>
                          <w:right w:val="nil"/>
                        </w:tcBorders>
                      </w:tcPr>
                      <w:p>
                        <w:pPr>
                          <w:pStyle w:val="TableParagraph"/>
                          <w:tabs>
                            <w:tab w:pos="1799"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215</w:t>
                        </w:r>
                        <w:r>
                          <w:rPr>
                            <w:spacing w:val="-1"/>
                            <w:sz w:val="16"/>
                            <w:u w:val="dotted" w:color="929292"/>
                          </w:rPr>
                          <w:t> </w:t>
                        </w:r>
                        <w:r>
                          <w:rPr>
                            <w:sz w:val="16"/>
                            <w:u w:val="dotted" w:color="929292"/>
                          </w:rPr>
                          <w:t>951</w:t>
                          <w:tab/>
                        </w:r>
                      </w:p>
                    </w:tc>
                  </w:tr>
                  <w:tr>
                    <w:trPr>
                      <w:trHeight w:val="171" w:hRule="exact"/>
                    </w:trPr>
                    <w:tc>
                      <w:tcPr>
                        <w:tcW w:w="5873" w:type="dxa"/>
                        <w:gridSpan w:val="5"/>
                        <w:tcBorders>
                          <w:left w:val="nil"/>
                          <w:bottom w:val="dotted" w:sz="4" w:space="0" w:color="929292"/>
                          <w:right w:val="nil"/>
                        </w:tcBorders>
                        <w:shd w:val="clear" w:color="auto" w:fill="E2E2E2"/>
                      </w:tcPr>
                      <w:p>
                        <w:pPr>
                          <w:pStyle w:val="TableParagraph"/>
                          <w:tabs>
                            <w:tab w:pos="481" w:val="left" w:leader="none"/>
                            <w:tab w:pos="2189" w:val="left" w:leader="none"/>
                            <w:tab w:pos="5857" w:val="left" w:leader="none"/>
                          </w:tabs>
                          <w:spacing w:line="171" w:lineRule="exact"/>
                          <w:ind w:left="35"/>
                          <w:rPr>
                            <w:sz w:val="16"/>
                          </w:rPr>
                        </w:pPr>
                        <w:r>
                          <w:rPr>
                            <w:color w:val="6D6E71"/>
                            <w:w w:val="100"/>
                            <w:position w:val="4"/>
                            <w:sz w:val="16"/>
                            <w:u w:val="dotted" w:color="929292"/>
                          </w:rPr>
                          <w:t> </w:t>
                        </w:r>
                        <w:r>
                          <w:rPr>
                            <w:color w:val="6D6E71"/>
                            <w:position w:val="4"/>
                            <w:sz w:val="16"/>
                            <w:u w:val="dotted" w:color="929292"/>
                          </w:rPr>
                          <w:tab/>
                        </w:r>
                        <w:r>
                          <w:rPr>
                            <w:color w:val="6D6E71"/>
                            <w:position w:val="4"/>
                            <w:sz w:val="16"/>
                          </w:rPr>
                          <w:t> </w:t>
                        </w:r>
                        <w:r>
                          <w:rPr>
                            <w:color w:val="6D6E71"/>
                            <w:w w:val="100"/>
                            <w:position w:val="4"/>
                            <w:sz w:val="16"/>
                            <w:u w:val="dotted" w:color="929292"/>
                          </w:rPr>
                          <w:t> </w:t>
                        </w:r>
                        <w:r>
                          <w:rPr>
                            <w:color w:val="6D6E71"/>
                            <w:position w:val="4"/>
                            <w:sz w:val="16"/>
                            <w:u w:val="dotted" w:color="929292"/>
                          </w:rPr>
                          <w:tab/>
                        </w:r>
                        <w:r>
                          <w:rPr>
                            <w:color w:val="6D6E71"/>
                            <w:position w:val="4"/>
                            <w:sz w:val="16"/>
                          </w:rPr>
                          <w:t> </w:t>
                        </w:r>
                        <w:r>
                          <w:rPr>
                            <w:w w:val="100"/>
                            <w:sz w:val="16"/>
                            <w:u w:val="dotted" w:color="929292"/>
                          </w:rPr>
                          <w:t> </w:t>
                        </w:r>
                        <w:r>
                          <w:rPr>
                            <w:sz w:val="16"/>
                            <w:u w:val="dotted" w:color="929292"/>
                          </w:rPr>
                          <w:t> </w:t>
                        </w:r>
                        <w:r>
                          <w:rPr>
                            <w:spacing w:val="-5"/>
                            <w:sz w:val="16"/>
                            <w:u w:val="dotted" w:color="929292"/>
                          </w:rPr>
                          <w:t> </w:t>
                        </w:r>
                        <w:r>
                          <w:rPr>
                            <w:sz w:val="16"/>
                            <w:u w:val="dotted" w:color="929292"/>
                          </w:rPr>
                          <w:t>Localidade</w:t>
                        </w:r>
                        <w:r>
                          <w:rPr>
                            <w:sz w:val="16"/>
                          </w:rPr>
                          <w:t>s del municipio de</w:t>
                        </w:r>
                        <w:r>
                          <w:rPr>
                            <w:spacing w:val="34"/>
                            <w:sz w:val="16"/>
                          </w:rPr>
                          <w:t> </w:t>
                        </w:r>
                        <w:r>
                          <w:rPr>
                            <w:sz w:val="16"/>
                          </w:rPr>
                          <w:t>Tena</w:t>
                        </w:r>
                        <w:r>
                          <w:rPr>
                            <w:sz w:val="16"/>
                            <w:u w:val="dotted" w:color="929292"/>
                          </w:rPr>
                          <w:t>ncingo</w:t>
                          <w:tab/>
                        </w:r>
                      </w:p>
                    </w:tc>
                    <w:tc>
                      <w:tcPr>
                        <w:tcW w:w="1825" w:type="dxa"/>
                        <w:tcBorders>
                          <w:left w:val="nil"/>
                          <w:bottom w:val="dotted" w:sz="4" w:space="0" w:color="FFFFFF"/>
                          <w:right w:val="nil"/>
                        </w:tcBorders>
                        <w:shd w:val="clear" w:color="auto" w:fill="E2E2E2"/>
                      </w:tcPr>
                      <w:p>
                        <w:pPr>
                          <w:pStyle w:val="TableParagraph"/>
                          <w:tabs>
                            <w:tab w:pos="1804" w:val="left" w:leader="none"/>
                          </w:tabs>
                          <w:spacing w:line="171" w:lineRule="exact"/>
                          <w:ind w:left="29"/>
                          <w:rPr>
                            <w:sz w:val="16"/>
                          </w:rPr>
                        </w:pPr>
                        <w:r>
                          <w:rPr>
                            <w:w w:val="100"/>
                            <w:sz w:val="16"/>
                            <w:u w:val="dotted" w:color="929292"/>
                          </w:rPr>
                          <w:t> </w:t>
                        </w:r>
                        <w:r>
                          <w:rPr>
                            <w:sz w:val="16"/>
                            <w:u w:val="dotted" w:color="929292"/>
                          </w:rPr>
                          <w:tab/>
                        </w:r>
                      </w:p>
                    </w:tc>
                  </w:tr>
                  <w:tr>
                    <w:trPr>
                      <w:trHeight w:val="171" w:hRule="exact"/>
                    </w:trPr>
                    <w:tc>
                      <w:tcPr>
                        <w:tcW w:w="497" w:type="dxa"/>
                        <w:tcBorders>
                          <w:top w:val="dotted" w:sz="4" w:space="0" w:color="FFFFFF"/>
                          <w:left w:val="nil"/>
                          <w:right w:val="single" w:sz="4" w:space="0" w:color="929292"/>
                        </w:tcBorders>
                      </w:tcPr>
                      <w:p>
                        <w:pPr>
                          <w:pStyle w:val="TableParagraph"/>
                          <w:tabs>
                            <w:tab w:pos="445" w:val="left" w:leader="none"/>
                          </w:tabs>
                          <w:spacing w:line="171" w:lineRule="exact"/>
                          <w:ind w:right="8"/>
                          <w:jc w:val="right"/>
                          <w:rPr>
                            <w:sz w:val="16"/>
                          </w:rPr>
                        </w:pPr>
                        <w:r>
                          <w:rPr>
                            <w:w w:val="100"/>
                            <w:sz w:val="16"/>
                            <w:u w:val="dotted" w:color="929292"/>
                          </w:rPr>
                          <w:t> </w:t>
                        </w:r>
                        <w:r>
                          <w:rPr>
                            <w:spacing w:val="-17"/>
                            <w:sz w:val="16"/>
                            <w:u w:val="dotted" w:color="929292"/>
                          </w:rPr>
                          <w:t> </w:t>
                        </w:r>
                        <w:r>
                          <w:rPr>
                            <w:w w:val="95"/>
                            <w:sz w:val="16"/>
                            <w:u w:val="dotted" w:color="929292"/>
                          </w:rPr>
                          <w:t>4</w:t>
                        </w:r>
                        <w:r>
                          <w:rPr>
                            <w:sz w:val="16"/>
                            <w:u w:val="dotted" w:color="929292"/>
                          </w:rPr>
                          <w:tab/>
                        </w:r>
                      </w:p>
                    </w:tc>
                    <w:tc>
                      <w:tcPr>
                        <w:tcW w:w="1708" w:type="dxa"/>
                        <w:tcBorders>
                          <w:top w:val="dotted" w:sz="4" w:space="0" w:color="FFFFFF"/>
                          <w:left w:val="single" w:sz="4" w:space="0" w:color="929292"/>
                          <w:right w:val="single" w:sz="4" w:space="0" w:color="929292"/>
                        </w:tcBorders>
                      </w:tcPr>
                      <w:p>
                        <w:pPr>
                          <w:pStyle w:val="TableParagraph"/>
                          <w:tabs>
                            <w:tab w:pos="1687"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El</w:t>
                        </w:r>
                        <w:r>
                          <w:rPr>
                            <w:spacing w:val="-12"/>
                            <w:sz w:val="16"/>
                            <w:u w:val="dotted" w:color="929292"/>
                          </w:rPr>
                          <w:t> </w:t>
                        </w:r>
                        <w:r>
                          <w:rPr>
                            <w:sz w:val="16"/>
                            <w:u w:val="dotted" w:color="929292"/>
                          </w:rPr>
                          <w:t>Carmen</w:t>
                          <w:tab/>
                        </w:r>
                      </w:p>
                    </w:tc>
                    <w:tc>
                      <w:tcPr>
                        <w:tcW w:w="964" w:type="dxa"/>
                        <w:tcBorders>
                          <w:top w:val="dotted" w:sz="4" w:space="0" w:color="FFFFFF"/>
                          <w:left w:val="single" w:sz="4" w:space="0" w:color="929292"/>
                          <w:right w:val="single" w:sz="4" w:space="0" w:color="929292"/>
                        </w:tcBorders>
                      </w:tcPr>
                      <w:p>
                        <w:pPr>
                          <w:pStyle w:val="TableParagraph"/>
                          <w:tabs>
                            <w:tab w:pos="943"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12</w:t>
                          <w:tab/>
                        </w:r>
                      </w:p>
                    </w:tc>
                    <w:tc>
                      <w:tcPr>
                        <w:tcW w:w="1616" w:type="dxa"/>
                        <w:tcBorders>
                          <w:top w:val="dotted" w:sz="4" w:space="0" w:color="929292"/>
                          <w:left w:val="single" w:sz="4" w:space="0" w:color="929292"/>
                          <w:right w:val="single" w:sz="4" w:space="0" w:color="929292"/>
                        </w:tcBorders>
                      </w:tcPr>
                      <w:p>
                        <w:pPr>
                          <w:pStyle w:val="TableParagraph"/>
                          <w:tabs>
                            <w:tab w:pos="1595"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6</w:t>
                        </w:r>
                        <w:r>
                          <w:rPr>
                            <w:spacing w:val="-1"/>
                            <w:sz w:val="16"/>
                            <w:u w:val="dotted" w:color="929292"/>
                          </w:rPr>
                          <w:t> </w:t>
                        </w:r>
                        <w:r>
                          <w:rPr>
                            <w:sz w:val="16"/>
                            <w:u w:val="dotted" w:color="929292"/>
                          </w:rPr>
                          <w:t>447</w:t>
                          <w:tab/>
                        </w:r>
                      </w:p>
                    </w:tc>
                    <w:tc>
                      <w:tcPr>
                        <w:tcW w:w="1088" w:type="dxa"/>
                        <w:tcBorders>
                          <w:top w:val="dotted" w:sz="4" w:space="0" w:color="FFFFFF"/>
                          <w:left w:val="single" w:sz="4" w:space="0" w:color="929292"/>
                          <w:right w:val="single" w:sz="4" w:space="0" w:color="929292"/>
                        </w:tcBorders>
                      </w:tcPr>
                      <w:p>
                        <w:pPr>
                          <w:pStyle w:val="TableParagraph"/>
                          <w:tabs>
                            <w:tab w:pos="106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3.13</w:t>
                          <w:tab/>
                        </w:r>
                      </w:p>
                    </w:tc>
                    <w:tc>
                      <w:tcPr>
                        <w:tcW w:w="1825" w:type="dxa"/>
                        <w:tcBorders>
                          <w:top w:val="dotted" w:sz="4" w:space="0" w:color="FFFFFF"/>
                          <w:left w:val="single" w:sz="4" w:space="0" w:color="929292"/>
                          <w:right w:val="nil"/>
                        </w:tcBorders>
                      </w:tcPr>
                      <w:p>
                        <w:pPr>
                          <w:pStyle w:val="TableParagraph"/>
                          <w:tabs>
                            <w:tab w:pos="1799"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205</w:t>
                        </w:r>
                        <w:r>
                          <w:rPr>
                            <w:spacing w:val="-1"/>
                            <w:sz w:val="16"/>
                            <w:u w:val="dotted" w:color="929292"/>
                          </w:rPr>
                          <w:t> </w:t>
                        </w:r>
                        <w:r>
                          <w:rPr>
                            <w:sz w:val="16"/>
                            <w:u w:val="dotted" w:color="929292"/>
                          </w:rPr>
                          <w:t>713</w:t>
                          <w:tab/>
                        </w:r>
                      </w:p>
                    </w:tc>
                  </w:tr>
                  <w:tr>
                    <w:trPr>
                      <w:trHeight w:val="171" w:hRule="exact"/>
                    </w:trPr>
                    <w:tc>
                      <w:tcPr>
                        <w:tcW w:w="497" w:type="dxa"/>
                        <w:tcBorders>
                          <w:left w:val="nil"/>
                          <w:right w:val="single" w:sz="4" w:space="0" w:color="929292"/>
                        </w:tcBorders>
                      </w:tcPr>
                      <w:p>
                        <w:pPr>
                          <w:pStyle w:val="TableParagraph"/>
                          <w:tabs>
                            <w:tab w:pos="445" w:val="left" w:leader="none"/>
                          </w:tabs>
                          <w:spacing w:line="171" w:lineRule="exact"/>
                          <w:ind w:right="8"/>
                          <w:jc w:val="right"/>
                          <w:rPr>
                            <w:sz w:val="16"/>
                          </w:rPr>
                        </w:pPr>
                        <w:r>
                          <w:rPr>
                            <w:w w:val="100"/>
                            <w:sz w:val="16"/>
                            <w:u w:val="dotted" w:color="929292"/>
                          </w:rPr>
                          <w:t> </w:t>
                        </w:r>
                        <w:r>
                          <w:rPr>
                            <w:spacing w:val="-17"/>
                            <w:sz w:val="16"/>
                            <w:u w:val="dotted" w:color="929292"/>
                          </w:rPr>
                          <w:t> </w:t>
                        </w:r>
                        <w:r>
                          <w:rPr>
                            <w:w w:val="95"/>
                            <w:sz w:val="16"/>
                            <w:u w:val="dotted" w:color="929292"/>
                          </w:rPr>
                          <w:t>5</w:t>
                        </w:r>
                        <w:r>
                          <w:rPr>
                            <w:sz w:val="16"/>
                            <w:u w:val="dotted" w:color="929292"/>
                          </w:rPr>
                          <w:tab/>
                        </w:r>
                      </w:p>
                    </w:tc>
                    <w:tc>
                      <w:tcPr>
                        <w:tcW w:w="1708" w:type="dxa"/>
                        <w:tcBorders>
                          <w:left w:val="single" w:sz="4" w:space="0" w:color="929292"/>
                          <w:right w:val="single" w:sz="4" w:space="0" w:color="929292"/>
                        </w:tcBorders>
                      </w:tcPr>
                      <w:p>
                        <w:pPr>
                          <w:pStyle w:val="TableParagraph"/>
                          <w:tabs>
                            <w:tab w:pos="1687"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San</w:t>
                        </w:r>
                        <w:r>
                          <w:rPr>
                            <w:spacing w:val="-1"/>
                            <w:sz w:val="16"/>
                            <w:u w:val="dotted" w:color="929292"/>
                          </w:rPr>
                          <w:t> </w:t>
                        </w:r>
                        <w:r>
                          <w:rPr>
                            <w:sz w:val="16"/>
                            <w:u w:val="dotted" w:color="929292"/>
                          </w:rPr>
                          <w:t>Nicolás</w:t>
                          <w:tab/>
                        </w:r>
                      </w:p>
                    </w:tc>
                    <w:tc>
                      <w:tcPr>
                        <w:tcW w:w="964" w:type="dxa"/>
                        <w:tcBorders>
                          <w:left w:val="single" w:sz="4" w:space="0" w:color="929292"/>
                          <w:right w:val="single" w:sz="4" w:space="0" w:color="929292"/>
                        </w:tcBorders>
                      </w:tcPr>
                      <w:p>
                        <w:pPr>
                          <w:pStyle w:val="TableParagraph"/>
                          <w:tabs>
                            <w:tab w:pos="943"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15</w:t>
                          <w:tab/>
                        </w:r>
                      </w:p>
                    </w:tc>
                    <w:tc>
                      <w:tcPr>
                        <w:tcW w:w="1616" w:type="dxa"/>
                        <w:tcBorders>
                          <w:left w:val="single" w:sz="4" w:space="0" w:color="929292"/>
                          <w:right w:val="single" w:sz="4" w:space="0" w:color="929292"/>
                        </w:tcBorders>
                      </w:tcPr>
                      <w:p>
                        <w:pPr>
                          <w:pStyle w:val="TableParagraph"/>
                          <w:tabs>
                            <w:tab w:pos="1595"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9</w:t>
                        </w:r>
                        <w:r>
                          <w:rPr>
                            <w:spacing w:val="-1"/>
                            <w:sz w:val="16"/>
                            <w:u w:val="dotted" w:color="929292"/>
                          </w:rPr>
                          <w:t> </w:t>
                        </w:r>
                        <w:r>
                          <w:rPr>
                            <w:sz w:val="16"/>
                            <w:u w:val="dotted" w:color="929292"/>
                          </w:rPr>
                          <w:t>088</w:t>
                          <w:tab/>
                        </w:r>
                      </w:p>
                    </w:tc>
                    <w:tc>
                      <w:tcPr>
                        <w:tcW w:w="1088" w:type="dxa"/>
                        <w:tcBorders>
                          <w:left w:val="single" w:sz="4" w:space="0" w:color="929292"/>
                          <w:right w:val="single" w:sz="4" w:space="0" w:color="929292"/>
                        </w:tcBorders>
                      </w:tcPr>
                      <w:p>
                        <w:pPr>
                          <w:pStyle w:val="TableParagraph"/>
                          <w:tabs>
                            <w:tab w:pos="106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4.27</w:t>
                          <w:tab/>
                        </w:r>
                      </w:p>
                    </w:tc>
                    <w:tc>
                      <w:tcPr>
                        <w:tcW w:w="1825" w:type="dxa"/>
                        <w:tcBorders>
                          <w:left w:val="single" w:sz="4" w:space="0" w:color="929292"/>
                          <w:right w:val="nil"/>
                        </w:tcBorders>
                      </w:tcPr>
                      <w:p>
                        <w:pPr>
                          <w:pStyle w:val="TableParagraph"/>
                          <w:tabs>
                            <w:tab w:pos="1799"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213</w:t>
                        </w:r>
                        <w:r>
                          <w:rPr>
                            <w:spacing w:val="-1"/>
                            <w:sz w:val="16"/>
                            <w:u w:val="dotted" w:color="929292"/>
                          </w:rPr>
                          <w:t> </w:t>
                        </w:r>
                        <w:r>
                          <w:rPr>
                            <w:sz w:val="16"/>
                            <w:u w:val="dotted" w:color="929292"/>
                          </w:rPr>
                          <w:t>083</w:t>
                          <w:tab/>
                        </w:r>
                      </w:p>
                    </w:tc>
                  </w:tr>
                  <w:tr>
                    <w:trPr>
                      <w:trHeight w:val="171" w:hRule="exact"/>
                    </w:trPr>
                    <w:tc>
                      <w:tcPr>
                        <w:tcW w:w="497" w:type="dxa"/>
                        <w:tcBorders>
                          <w:left w:val="nil"/>
                          <w:right w:val="single" w:sz="4" w:space="0" w:color="929292"/>
                        </w:tcBorders>
                      </w:tcPr>
                      <w:p>
                        <w:pPr>
                          <w:pStyle w:val="TableParagraph"/>
                          <w:tabs>
                            <w:tab w:pos="445" w:val="left" w:leader="none"/>
                          </w:tabs>
                          <w:spacing w:line="171" w:lineRule="exact"/>
                          <w:ind w:right="8"/>
                          <w:jc w:val="right"/>
                          <w:rPr>
                            <w:sz w:val="16"/>
                          </w:rPr>
                        </w:pPr>
                        <w:r>
                          <w:rPr>
                            <w:w w:val="100"/>
                            <w:sz w:val="16"/>
                            <w:u w:val="dotted" w:color="929292"/>
                          </w:rPr>
                          <w:t> </w:t>
                        </w:r>
                        <w:r>
                          <w:rPr>
                            <w:spacing w:val="-17"/>
                            <w:sz w:val="16"/>
                            <w:u w:val="dotted" w:color="929292"/>
                          </w:rPr>
                          <w:t> </w:t>
                        </w:r>
                        <w:r>
                          <w:rPr>
                            <w:w w:val="95"/>
                            <w:sz w:val="16"/>
                            <w:u w:val="dotted" w:color="929292"/>
                          </w:rPr>
                          <w:t>6</w:t>
                        </w:r>
                        <w:r>
                          <w:rPr>
                            <w:sz w:val="16"/>
                            <w:u w:val="dotted" w:color="929292"/>
                          </w:rPr>
                          <w:tab/>
                        </w:r>
                      </w:p>
                    </w:tc>
                    <w:tc>
                      <w:tcPr>
                        <w:tcW w:w="1708" w:type="dxa"/>
                        <w:tcBorders>
                          <w:left w:val="single" w:sz="4" w:space="0" w:color="929292"/>
                          <w:right w:val="single" w:sz="4" w:space="0" w:color="929292"/>
                        </w:tcBorders>
                      </w:tcPr>
                      <w:p>
                        <w:pPr>
                          <w:pStyle w:val="TableParagraph"/>
                          <w:tabs>
                            <w:tab w:pos="1687"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Tenería</w:t>
                          <w:tab/>
                        </w:r>
                      </w:p>
                    </w:tc>
                    <w:tc>
                      <w:tcPr>
                        <w:tcW w:w="964" w:type="dxa"/>
                        <w:tcBorders>
                          <w:left w:val="single" w:sz="4" w:space="0" w:color="929292"/>
                          <w:right w:val="single" w:sz="4" w:space="0" w:color="929292"/>
                        </w:tcBorders>
                      </w:tcPr>
                      <w:p>
                        <w:pPr>
                          <w:pStyle w:val="TableParagraph"/>
                          <w:tabs>
                            <w:tab w:pos="943"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21</w:t>
                          <w:tab/>
                        </w:r>
                      </w:p>
                    </w:tc>
                    <w:tc>
                      <w:tcPr>
                        <w:tcW w:w="1616" w:type="dxa"/>
                        <w:tcBorders>
                          <w:left w:val="single" w:sz="4" w:space="0" w:color="929292"/>
                          <w:right w:val="single" w:sz="4" w:space="0" w:color="929292"/>
                        </w:tcBorders>
                      </w:tcPr>
                      <w:p>
                        <w:pPr>
                          <w:pStyle w:val="TableParagraph"/>
                          <w:tabs>
                            <w:tab w:pos="1595"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10</w:t>
                        </w:r>
                        <w:r>
                          <w:rPr>
                            <w:spacing w:val="-1"/>
                            <w:sz w:val="16"/>
                            <w:u w:val="dotted" w:color="929292"/>
                          </w:rPr>
                          <w:t> </w:t>
                        </w:r>
                        <w:r>
                          <w:rPr>
                            <w:sz w:val="16"/>
                            <w:u w:val="dotted" w:color="929292"/>
                          </w:rPr>
                          <w:t>070</w:t>
                          <w:tab/>
                        </w:r>
                      </w:p>
                    </w:tc>
                    <w:tc>
                      <w:tcPr>
                        <w:tcW w:w="1088" w:type="dxa"/>
                        <w:tcBorders>
                          <w:left w:val="single" w:sz="4" w:space="0" w:color="929292"/>
                          <w:right w:val="single" w:sz="4" w:space="0" w:color="929292"/>
                        </w:tcBorders>
                      </w:tcPr>
                      <w:p>
                        <w:pPr>
                          <w:pStyle w:val="TableParagraph"/>
                          <w:tabs>
                            <w:tab w:pos="106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4.93</w:t>
                          <w:tab/>
                        </w:r>
                      </w:p>
                    </w:tc>
                    <w:tc>
                      <w:tcPr>
                        <w:tcW w:w="1825" w:type="dxa"/>
                        <w:tcBorders>
                          <w:left w:val="single" w:sz="4" w:space="0" w:color="929292"/>
                          <w:right w:val="nil"/>
                        </w:tcBorders>
                      </w:tcPr>
                      <w:p>
                        <w:pPr>
                          <w:pStyle w:val="TableParagraph"/>
                          <w:tabs>
                            <w:tab w:pos="1799"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204</w:t>
                        </w:r>
                        <w:r>
                          <w:rPr>
                            <w:spacing w:val="-1"/>
                            <w:sz w:val="16"/>
                            <w:u w:val="dotted" w:color="929292"/>
                          </w:rPr>
                          <w:t> </w:t>
                        </w:r>
                        <w:r>
                          <w:rPr>
                            <w:sz w:val="16"/>
                            <w:u w:val="dotted" w:color="929292"/>
                          </w:rPr>
                          <w:t>287</w:t>
                          <w:tab/>
                        </w:r>
                      </w:p>
                    </w:tc>
                  </w:tr>
                  <w:tr>
                    <w:trPr>
                      <w:trHeight w:val="171" w:hRule="exact"/>
                    </w:trPr>
                    <w:tc>
                      <w:tcPr>
                        <w:tcW w:w="5873" w:type="dxa"/>
                        <w:gridSpan w:val="5"/>
                        <w:tcBorders>
                          <w:left w:val="nil"/>
                          <w:right w:val="nil"/>
                        </w:tcBorders>
                        <w:shd w:val="clear" w:color="auto" w:fill="E2E2E2"/>
                      </w:tcPr>
                      <w:p>
                        <w:pPr>
                          <w:pStyle w:val="TableParagraph"/>
                          <w:tabs>
                            <w:tab w:pos="481" w:val="left" w:leader="none"/>
                            <w:tab w:pos="2189" w:val="left" w:leader="none"/>
                            <w:tab w:pos="5857" w:val="left" w:leader="none"/>
                          </w:tabs>
                          <w:spacing w:line="171" w:lineRule="exact"/>
                          <w:ind w:left="35"/>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spacing w:val="18"/>
                            <w:w w:val="100"/>
                            <w:sz w:val="16"/>
                            <w:u w:val="dotted" w:color="929292"/>
                          </w:rPr>
                          <w:t> </w:t>
                        </w:r>
                        <w:r>
                          <w:rPr>
                            <w:sz w:val="16"/>
                            <w:u w:val="dotted" w:color="929292"/>
                          </w:rPr>
                          <w:t>Localidades </w:t>
                        </w:r>
                        <w:r>
                          <w:rPr>
                            <w:sz w:val="16"/>
                            <w:u w:val="dotted" w:color="929292"/>
                          </w:rPr>
                          <w:t>del municipio de Villa</w:t>
                        </w:r>
                        <w:r>
                          <w:rPr>
                            <w:spacing w:val="16"/>
                            <w:sz w:val="16"/>
                            <w:u w:val="dotted" w:color="929292"/>
                          </w:rPr>
                          <w:t> </w:t>
                        </w:r>
                        <w:r>
                          <w:rPr>
                            <w:sz w:val="16"/>
                          </w:rPr>
                          <w:t>G</w:t>
                        </w:r>
                        <w:r>
                          <w:rPr>
                            <w:sz w:val="16"/>
                            <w:u w:val="dotted" w:color="929292"/>
                          </w:rPr>
                          <w:t>uerrero</w:t>
                          <w:tab/>
                        </w:r>
                      </w:p>
                    </w:tc>
                    <w:tc>
                      <w:tcPr>
                        <w:tcW w:w="1825" w:type="dxa"/>
                        <w:tcBorders>
                          <w:left w:val="nil"/>
                          <w:right w:val="nil"/>
                        </w:tcBorders>
                        <w:shd w:val="clear" w:color="auto" w:fill="E2E2E2"/>
                      </w:tcPr>
                      <w:p>
                        <w:pPr>
                          <w:pStyle w:val="TableParagraph"/>
                          <w:tabs>
                            <w:tab w:pos="1804" w:val="left" w:leader="none"/>
                          </w:tabs>
                          <w:spacing w:line="171" w:lineRule="exact"/>
                          <w:ind w:left="29"/>
                          <w:rPr>
                            <w:sz w:val="16"/>
                          </w:rPr>
                        </w:pPr>
                        <w:r>
                          <w:rPr>
                            <w:w w:val="100"/>
                            <w:sz w:val="16"/>
                            <w:u w:val="dotted" w:color="929292"/>
                          </w:rPr>
                          <w:t> </w:t>
                        </w:r>
                        <w:r>
                          <w:rPr>
                            <w:sz w:val="16"/>
                            <w:u w:val="dotted" w:color="929292"/>
                          </w:rPr>
                          <w:tab/>
                        </w:r>
                      </w:p>
                    </w:tc>
                  </w:tr>
                  <w:tr>
                    <w:trPr>
                      <w:trHeight w:val="171" w:hRule="exact"/>
                    </w:trPr>
                    <w:tc>
                      <w:tcPr>
                        <w:tcW w:w="497" w:type="dxa"/>
                        <w:tcBorders>
                          <w:left w:val="nil"/>
                          <w:right w:val="single" w:sz="4" w:space="0" w:color="929292"/>
                        </w:tcBorders>
                      </w:tcPr>
                      <w:p>
                        <w:pPr>
                          <w:pStyle w:val="TableParagraph"/>
                          <w:tabs>
                            <w:tab w:pos="445" w:val="left" w:leader="none"/>
                          </w:tabs>
                          <w:spacing w:line="171" w:lineRule="exact"/>
                          <w:ind w:right="8"/>
                          <w:jc w:val="right"/>
                          <w:rPr>
                            <w:sz w:val="16"/>
                          </w:rPr>
                        </w:pPr>
                        <w:r>
                          <w:rPr>
                            <w:w w:val="100"/>
                            <w:sz w:val="16"/>
                            <w:u w:val="dotted" w:color="929292"/>
                          </w:rPr>
                          <w:t> </w:t>
                        </w:r>
                        <w:r>
                          <w:rPr>
                            <w:spacing w:val="-17"/>
                            <w:sz w:val="16"/>
                            <w:u w:val="dotted" w:color="929292"/>
                          </w:rPr>
                          <w:t> </w:t>
                        </w:r>
                        <w:r>
                          <w:rPr>
                            <w:w w:val="95"/>
                            <w:sz w:val="16"/>
                            <w:u w:val="dotted" w:color="929292"/>
                          </w:rPr>
                          <w:t>7</w:t>
                        </w:r>
                        <w:r>
                          <w:rPr>
                            <w:sz w:val="16"/>
                            <w:u w:val="dotted" w:color="929292"/>
                          </w:rPr>
                          <w:tab/>
                        </w:r>
                      </w:p>
                    </w:tc>
                    <w:tc>
                      <w:tcPr>
                        <w:tcW w:w="1708" w:type="dxa"/>
                        <w:tcBorders>
                          <w:left w:val="single" w:sz="4" w:space="0" w:color="929292"/>
                          <w:right w:val="single" w:sz="4" w:space="0" w:color="929292"/>
                        </w:tcBorders>
                      </w:tcPr>
                      <w:p>
                        <w:pPr>
                          <w:pStyle w:val="TableParagraph"/>
                          <w:tabs>
                            <w:tab w:pos="1687"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Progreso</w:t>
                        </w:r>
                        <w:r>
                          <w:rPr>
                            <w:spacing w:val="10"/>
                            <w:sz w:val="16"/>
                            <w:u w:val="dotted" w:color="929292"/>
                          </w:rPr>
                          <w:t> </w:t>
                        </w:r>
                        <w:r>
                          <w:rPr>
                            <w:sz w:val="16"/>
                            <w:u w:val="dotted" w:color="929292"/>
                          </w:rPr>
                          <w:t>Hidalgo</w:t>
                          <w:tab/>
                        </w:r>
                      </w:p>
                    </w:tc>
                    <w:tc>
                      <w:tcPr>
                        <w:tcW w:w="964" w:type="dxa"/>
                        <w:tcBorders>
                          <w:left w:val="single" w:sz="4" w:space="0" w:color="929292"/>
                          <w:right w:val="single" w:sz="4" w:space="0" w:color="929292"/>
                        </w:tcBorders>
                      </w:tcPr>
                      <w:p>
                        <w:pPr>
                          <w:pStyle w:val="TableParagraph"/>
                          <w:tabs>
                            <w:tab w:pos="943"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15</w:t>
                          <w:tab/>
                        </w:r>
                      </w:p>
                    </w:tc>
                    <w:tc>
                      <w:tcPr>
                        <w:tcW w:w="1616" w:type="dxa"/>
                        <w:tcBorders>
                          <w:left w:val="single" w:sz="4" w:space="0" w:color="929292"/>
                          <w:right w:val="single" w:sz="4" w:space="0" w:color="929292"/>
                        </w:tcBorders>
                      </w:tcPr>
                      <w:p>
                        <w:pPr>
                          <w:pStyle w:val="TableParagraph"/>
                          <w:tabs>
                            <w:tab w:pos="1595"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9</w:t>
                        </w:r>
                        <w:r>
                          <w:rPr>
                            <w:spacing w:val="-1"/>
                            <w:sz w:val="16"/>
                            <w:u w:val="dotted" w:color="929292"/>
                          </w:rPr>
                          <w:t> </w:t>
                        </w:r>
                        <w:r>
                          <w:rPr>
                            <w:sz w:val="16"/>
                            <w:u w:val="dotted" w:color="929292"/>
                          </w:rPr>
                          <w:t>273</w:t>
                          <w:tab/>
                        </w:r>
                      </w:p>
                    </w:tc>
                    <w:tc>
                      <w:tcPr>
                        <w:tcW w:w="1088" w:type="dxa"/>
                        <w:tcBorders>
                          <w:left w:val="single" w:sz="4" w:space="0" w:color="929292"/>
                          <w:right w:val="single" w:sz="4" w:space="0" w:color="929292"/>
                        </w:tcBorders>
                      </w:tcPr>
                      <w:p>
                        <w:pPr>
                          <w:pStyle w:val="TableParagraph"/>
                          <w:tabs>
                            <w:tab w:pos="106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20.08</w:t>
                          <w:tab/>
                        </w:r>
                      </w:p>
                    </w:tc>
                    <w:tc>
                      <w:tcPr>
                        <w:tcW w:w="1825" w:type="dxa"/>
                        <w:tcBorders>
                          <w:left w:val="single" w:sz="4" w:space="0" w:color="929292"/>
                          <w:right w:val="nil"/>
                        </w:tcBorders>
                      </w:tcPr>
                      <w:p>
                        <w:pPr>
                          <w:pStyle w:val="TableParagraph"/>
                          <w:tabs>
                            <w:tab w:pos="1799"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46</w:t>
                        </w:r>
                        <w:r>
                          <w:rPr>
                            <w:spacing w:val="-1"/>
                            <w:sz w:val="16"/>
                            <w:u w:val="dotted" w:color="929292"/>
                          </w:rPr>
                          <w:t> </w:t>
                        </w:r>
                        <w:r>
                          <w:rPr>
                            <w:sz w:val="16"/>
                            <w:u w:val="dotted" w:color="929292"/>
                          </w:rPr>
                          <w:t>169</w:t>
                          <w:tab/>
                        </w:r>
                      </w:p>
                    </w:tc>
                  </w:tr>
                  <w:tr>
                    <w:trPr>
                      <w:trHeight w:val="171" w:hRule="exact"/>
                    </w:trPr>
                    <w:tc>
                      <w:tcPr>
                        <w:tcW w:w="497" w:type="dxa"/>
                        <w:tcBorders>
                          <w:left w:val="nil"/>
                          <w:right w:val="single" w:sz="4" w:space="0" w:color="929292"/>
                        </w:tcBorders>
                      </w:tcPr>
                      <w:p>
                        <w:pPr>
                          <w:pStyle w:val="TableParagraph"/>
                          <w:tabs>
                            <w:tab w:pos="445" w:val="left" w:leader="none"/>
                          </w:tabs>
                          <w:spacing w:line="171" w:lineRule="exact"/>
                          <w:ind w:right="8"/>
                          <w:jc w:val="right"/>
                          <w:rPr>
                            <w:sz w:val="16"/>
                          </w:rPr>
                        </w:pPr>
                        <w:r>
                          <w:rPr>
                            <w:w w:val="100"/>
                            <w:sz w:val="16"/>
                            <w:u w:val="dotted" w:color="929292"/>
                          </w:rPr>
                          <w:t> </w:t>
                        </w:r>
                        <w:r>
                          <w:rPr>
                            <w:spacing w:val="-17"/>
                            <w:sz w:val="16"/>
                            <w:u w:val="dotted" w:color="929292"/>
                          </w:rPr>
                          <w:t> </w:t>
                        </w:r>
                        <w:r>
                          <w:rPr>
                            <w:w w:val="95"/>
                            <w:sz w:val="16"/>
                            <w:u w:val="dotted" w:color="929292"/>
                          </w:rPr>
                          <w:t>8</w:t>
                        </w:r>
                        <w:r>
                          <w:rPr>
                            <w:sz w:val="16"/>
                            <w:u w:val="dotted" w:color="929292"/>
                          </w:rPr>
                          <w:tab/>
                        </w:r>
                      </w:p>
                    </w:tc>
                    <w:tc>
                      <w:tcPr>
                        <w:tcW w:w="1708" w:type="dxa"/>
                        <w:tcBorders>
                          <w:left w:val="single" w:sz="4" w:space="0" w:color="929292"/>
                          <w:right w:val="single" w:sz="4" w:space="0" w:color="929292"/>
                        </w:tcBorders>
                      </w:tcPr>
                      <w:p>
                        <w:pPr>
                          <w:pStyle w:val="TableParagraph"/>
                          <w:tabs>
                            <w:tab w:pos="1687"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San</w:t>
                        </w:r>
                        <w:r>
                          <w:rPr>
                            <w:spacing w:val="-1"/>
                            <w:sz w:val="16"/>
                            <w:u w:val="dotted" w:color="929292"/>
                          </w:rPr>
                          <w:t> </w:t>
                        </w:r>
                        <w:r>
                          <w:rPr>
                            <w:sz w:val="16"/>
                            <w:u w:val="dotted" w:color="929292"/>
                          </w:rPr>
                          <w:t>Francisco</w:t>
                          <w:tab/>
                        </w:r>
                      </w:p>
                    </w:tc>
                    <w:tc>
                      <w:tcPr>
                        <w:tcW w:w="964" w:type="dxa"/>
                        <w:tcBorders>
                          <w:left w:val="single" w:sz="4" w:space="0" w:color="929292"/>
                          <w:right w:val="single" w:sz="4" w:space="0" w:color="929292"/>
                        </w:tcBorders>
                      </w:tcPr>
                      <w:p>
                        <w:pPr>
                          <w:pStyle w:val="TableParagraph"/>
                          <w:tabs>
                            <w:tab w:pos="943"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13</w:t>
                          <w:tab/>
                        </w:r>
                      </w:p>
                    </w:tc>
                    <w:tc>
                      <w:tcPr>
                        <w:tcW w:w="1616" w:type="dxa"/>
                        <w:tcBorders>
                          <w:left w:val="single" w:sz="4" w:space="0" w:color="929292"/>
                          <w:right w:val="single" w:sz="4" w:space="0" w:color="929292"/>
                        </w:tcBorders>
                      </w:tcPr>
                      <w:p>
                        <w:pPr>
                          <w:pStyle w:val="TableParagraph"/>
                          <w:tabs>
                            <w:tab w:pos="1595"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13</w:t>
                        </w:r>
                        <w:r>
                          <w:rPr>
                            <w:spacing w:val="-1"/>
                            <w:sz w:val="16"/>
                            <w:u w:val="dotted" w:color="929292"/>
                          </w:rPr>
                          <w:t> </w:t>
                        </w:r>
                        <w:r>
                          <w:rPr>
                            <w:sz w:val="16"/>
                            <w:u w:val="dotted" w:color="929292"/>
                          </w:rPr>
                          <w:t>141</w:t>
                          <w:tab/>
                        </w:r>
                      </w:p>
                    </w:tc>
                    <w:tc>
                      <w:tcPr>
                        <w:tcW w:w="1088" w:type="dxa"/>
                        <w:tcBorders>
                          <w:left w:val="single" w:sz="4" w:space="0" w:color="929292"/>
                          <w:right w:val="single" w:sz="4" w:space="0" w:color="929292"/>
                        </w:tcBorders>
                      </w:tcPr>
                      <w:p>
                        <w:pPr>
                          <w:pStyle w:val="TableParagraph"/>
                          <w:tabs>
                            <w:tab w:pos="1067"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0.96</w:t>
                          <w:tab/>
                        </w:r>
                      </w:p>
                    </w:tc>
                    <w:tc>
                      <w:tcPr>
                        <w:tcW w:w="1825" w:type="dxa"/>
                        <w:tcBorders>
                          <w:left w:val="single" w:sz="4" w:space="0" w:color="929292"/>
                          <w:right w:val="nil"/>
                        </w:tcBorders>
                      </w:tcPr>
                      <w:p>
                        <w:pPr>
                          <w:pStyle w:val="TableParagraph"/>
                          <w:tabs>
                            <w:tab w:pos="1799"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1 368</w:t>
                        </w:r>
                        <w:r>
                          <w:rPr>
                            <w:spacing w:val="-1"/>
                            <w:sz w:val="16"/>
                            <w:u w:val="dotted" w:color="929292"/>
                          </w:rPr>
                          <w:t> </w:t>
                        </w:r>
                        <w:r>
                          <w:rPr>
                            <w:sz w:val="16"/>
                            <w:u w:val="dotted" w:color="929292"/>
                          </w:rPr>
                          <w:t>949</w:t>
                          <w:tab/>
                        </w:r>
                      </w:p>
                    </w:tc>
                  </w:tr>
                  <w:tr>
                    <w:trPr>
                      <w:trHeight w:val="366" w:hRule="exact"/>
                    </w:trPr>
                    <w:tc>
                      <w:tcPr>
                        <w:tcW w:w="497" w:type="dxa"/>
                        <w:tcBorders>
                          <w:left w:val="nil"/>
                          <w:bottom w:val="nil"/>
                          <w:right w:val="single" w:sz="4" w:space="0" w:color="929292"/>
                        </w:tcBorders>
                      </w:tcPr>
                      <w:p>
                        <w:pPr>
                          <w:pStyle w:val="TableParagraph"/>
                          <w:spacing w:line="171" w:lineRule="exact"/>
                          <w:ind w:left="107"/>
                          <w:rPr>
                            <w:sz w:val="16"/>
                          </w:rPr>
                        </w:pPr>
                        <w:r>
                          <w:rPr>
                            <w:w w:val="99"/>
                            <w:sz w:val="16"/>
                          </w:rPr>
                          <w:t>9</w:t>
                        </w:r>
                      </w:p>
                    </w:tc>
                    <w:tc>
                      <w:tcPr>
                        <w:tcW w:w="1708" w:type="dxa"/>
                        <w:tcBorders>
                          <w:left w:val="single" w:sz="4" w:space="0" w:color="929292"/>
                          <w:bottom w:val="nil"/>
                          <w:right w:val="single" w:sz="4" w:space="0" w:color="929292"/>
                        </w:tcBorders>
                      </w:tcPr>
                      <w:p>
                        <w:pPr>
                          <w:pStyle w:val="TableParagraph"/>
                          <w:spacing w:line="171" w:lineRule="exact"/>
                          <w:ind w:left="102"/>
                          <w:rPr>
                            <w:sz w:val="16"/>
                          </w:rPr>
                        </w:pPr>
                        <w:r>
                          <w:rPr>
                            <w:sz w:val="16"/>
                          </w:rPr>
                          <w:t>Santa María</w:t>
                        </w:r>
                      </w:p>
                      <w:p>
                        <w:pPr>
                          <w:pStyle w:val="TableParagraph"/>
                          <w:spacing w:before="16"/>
                          <w:ind w:left="102"/>
                          <w:rPr>
                            <w:sz w:val="16"/>
                          </w:rPr>
                        </w:pPr>
                        <w:r>
                          <w:rPr>
                            <w:sz w:val="16"/>
                          </w:rPr>
                          <w:t>Aranzazú</w:t>
                        </w:r>
                      </w:p>
                    </w:tc>
                    <w:tc>
                      <w:tcPr>
                        <w:tcW w:w="964" w:type="dxa"/>
                        <w:tcBorders>
                          <w:left w:val="single" w:sz="4" w:space="0" w:color="929292"/>
                          <w:bottom w:val="nil"/>
                          <w:right w:val="single" w:sz="4" w:space="0" w:color="929292"/>
                        </w:tcBorders>
                      </w:tcPr>
                      <w:p>
                        <w:pPr>
                          <w:pStyle w:val="TableParagraph"/>
                          <w:spacing w:line="171" w:lineRule="exact"/>
                          <w:ind w:left="103" w:right="270"/>
                          <w:rPr>
                            <w:sz w:val="16"/>
                          </w:rPr>
                        </w:pPr>
                        <w:r>
                          <w:rPr>
                            <w:sz w:val="16"/>
                          </w:rPr>
                          <w:t>18</w:t>
                        </w:r>
                      </w:p>
                    </w:tc>
                    <w:tc>
                      <w:tcPr>
                        <w:tcW w:w="1616" w:type="dxa"/>
                        <w:tcBorders>
                          <w:left w:val="single" w:sz="4" w:space="0" w:color="929292"/>
                          <w:bottom w:val="nil"/>
                          <w:right w:val="single" w:sz="4" w:space="0" w:color="929292"/>
                        </w:tcBorders>
                      </w:tcPr>
                      <w:p>
                        <w:pPr>
                          <w:pStyle w:val="TableParagraph"/>
                          <w:spacing w:line="171" w:lineRule="exact"/>
                          <w:ind w:left="103" w:right="371"/>
                          <w:rPr>
                            <w:sz w:val="16"/>
                          </w:rPr>
                        </w:pPr>
                        <w:r>
                          <w:rPr>
                            <w:sz w:val="16"/>
                          </w:rPr>
                          <w:t>8 692</w:t>
                        </w:r>
                      </w:p>
                    </w:tc>
                    <w:tc>
                      <w:tcPr>
                        <w:tcW w:w="1088" w:type="dxa"/>
                        <w:tcBorders>
                          <w:left w:val="single" w:sz="4" w:space="0" w:color="929292"/>
                          <w:bottom w:val="nil"/>
                          <w:right w:val="single" w:sz="4" w:space="0" w:color="929292"/>
                        </w:tcBorders>
                      </w:tcPr>
                      <w:p>
                        <w:pPr>
                          <w:pStyle w:val="TableParagraph"/>
                          <w:spacing w:line="171" w:lineRule="exact"/>
                          <w:ind w:left="103"/>
                          <w:rPr>
                            <w:sz w:val="16"/>
                          </w:rPr>
                        </w:pPr>
                        <w:r>
                          <w:rPr>
                            <w:sz w:val="16"/>
                          </w:rPr>
                          <w:t>0.25</w:t>
                        </w:r>
                      </w:p>
                    </w:tc>
                    <w:tc>
                      <w:tcPr>
                        <w:tcW w:w="1825" w:type="dxa"/>
                        <w:tcBorders>
                          <w:left w:val="single" w:sz="4" w:space="0" w:color="929292"/>
                          <w:bottom w:val="nil"/>
                          <w:right w:val="nil"/>
                        </w:tcBorders>
                      </w:tcPr>
                      <w:p>
                        <w:pPr>
                          <w:pStyle w:val="TableParagraph"/>
                          <w:spacing w:line="171" w:lineRule="exact"/>
                          <w:ind w:left="103" w:right="193"/>
                          <w:rPr>
                            <w:sz w:val="16"/>
                          </w:rPr>
                        </w:pPr>
                        <w:r>
                          <w:rPr>
                            <w:sz w:val="16"/>
                          </w:rPr>
                          <w:t>3 418 737</w:t>
                        </w:r>
                      </w:p>
                    </w:tc>
                  </w:tr>
                </w:tbl>
                <w:p>
                  <w:pPr>
                    <w:pStyle w:val="BodyText"/>
                  </w:pPr>
                </w:p>
              </w:txbxContent>
            </v:textbox>
            <w10:wrap type="none"/>
          </v:shape>
        </w:pict>
      </w:r>
      <w:r>
        <w:rPr/>
        <w:pict>
          <v:shape style="position:absolute;margin-left:42.199001pt;margin-top:-69.637489pt;width:385pt;height:81.4pt;mso-position-horizontal-relative:page;mso-position-vertical-relative:paragraph;z-index:11344" type="#_x0000_t202" filled="false" stroked="false">
            <v:textbox inset="0,0,0,0">
              <w:txbxContent>
                <w:tbl>
                  <w:tblPr>
                    <w:tblW w:w="0" w:type="auto"/>
                    <w:jc w:val="left"/>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2978"/>
                    <w:gridCol w:w="859"/>
                    <w:gridCol w:w="1568"/>
                    <w:gridCol w:w="567"/>
                    <w:gridCol w:w="1712"/>
                  </w:tblGrid>
                  <w:tr>
                    <w:trPr>
                      <w:trHeight w:val="862" w:hRule="exact"/>
                    </w:trPr>
                    <w:tc>
                      <w:tcPr>
                        <w:tcW w:w="2978" w:type="dxa"/>
                        <w:tcBorders>
                          <w:top w:val="nil"/>
                          <w:left w:val="nil"/>
                          <w:bottom w:val="dotted" w:sz="4" w:space="0" w:color="FFFFFF"/>
                          <w:right w:val="single" w:sz="4" w:space="0" w:color="FFFFFF"/>
                        </w:tcBorders>
                        <w:shd w:val="clear" w:color="auto" w:fill="929292"/>
                      </w:tcPr>
                      <w:p>
                        <w:pPr>
                          <w:pStyle w:val="TableParagraph"/>
                          <w:rPr>
                            <w:sz w:val="16"/>
                          </w:rPr>
                        </w:pPr>
                      </w:p>
                      <w:p>
                        <w:pPr>
                          <w:pStyle w:val="TableParagraph"/>
                          <w:spacing w:before="4"/>
                          <w:rPr>
                            <w:sz w:val="13"/>
                          </w:rPr>
                        </w:pPr>
                      </w:p>
                      <w:p>
                        <w:pPr>
                          <w:pStyle w:val="TableParagraph"/>
                          <w:ind w:left="107"/>
                          <w:rPr>
                            <w:sz w:val="16"/>
                          </w:rPr>
                        </w:pPr>
                        <w:r>
                          <w:rPr>
                            <w:sz w:val="16"/>
                          </w:rPr>
                          <w:t>Localidad</w:t>
                        </w:r>
                      </w:p>
                    </w:tc>
                    <w:tc>
                      <w:tcPr>
                        <w:tcW w:w="859" w:type="dxa"/>
                        <w:tcBorders>
                          <w:top w:val="nil"/>
                          <w:left w:val="single" w:sz="4" w:space="0" w:color="FFFFFF"/>
                          <w:bottom w:val="dotted" w:sz="4" w:space="0" w:color="FFFFFF"/>
                          <w:right w:val="single" w:sz="4" w:space="0" w:color="FFFFFF"/>
                        </w:tcBorders>
                        <w:shd w:val="clear" w:color="auto" w:fill="929292"/>
                      </w:tcPr>
                      <w:p>
                        <w:pPr>
                          <w:pStyle w:val="TableParagraph"/>
                          <w:spacing w:before="8"/>
                          <w:rPr>
                            <w:sz w:val="20"/>
                          </w:rPr>
                        </w:pPr>
                      </w:p>
                      <w:p>
                        <w:pPr>
                          <w:pStyle w:val="TableParagraph"/>
                          <w:spacing w:line="261" w:lineRule="auto"/>
                          <w:ind w:left="102" w:right="167"/>
                          <w:rPr>
                            <w:sz w:val="16"/>
                          </w:rPr>
                        </w:pPr>
                        <w:r>
                          <w:rPr>
                            <w:sz w:val="16"/>
                          </w:rPr>
                          <w:t>N° de Huertos</w:t>
                        </w:r>
                      </w:p>
                    </w:tc>
                    <w:tc>
                      <w:tcPr>
                        <w:tcW w:w="1568"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138"/>
                          <w:ind w:left="102" w:right="324"/>
                          <w:rPr>
                            <w:sz w:val="16"/>
                          </w:rPr>
                        </w:pPr>
                        <w:r>
                          <w:rPr>
                            <w:sz w:val="16"/>
                          </w:rPr>
                          <w:t>Superficie Total Ocupada por Huertos (m2)</w:t>
                        </w:r>
                      </w:p>
                    </w:tc>
                    <w:tc>
                      <w:tcPr>
                        <w:tcW w:w="567" w:type="dxa"/>
                        <w:tcBorders>
                          <w:top w:val="nil"/>
                          <w:left w:val="single" w:sz="4" w:space="0" w:color="FFFFFF"/>
                          <w:bottom w:val="dotted" w:sz="4" w:space="0" w:color="FFFFFF"/>
                          <w:right w:val="single" w:sz="4" w:space="0" w:color="FFFFFF"/>
                        </w:tcBorders>
                        <w:shd w:val="clear" w:color="auto" w:fill="929292"/>
                      </w:tcPr>
                      <w:p>
                        <w:pPr>
                          <w:pStyle w:val="TableParagraph"/>
                          <w:rPr>
                            <w:sz w:val="16"/>
                          </w:rPr>
                        </w:pPr>
                      </w:p>
                      <w:p>
                        <w:pPr>
                          <w:pStyle w:val="TableParagraph"/>
                          <w:spacing w:before="4"/>
                          <w:rPr>
                            <w:sz w:val="13"/>
                          </w:rPr>
                        </w:pPr>
                      </w:p>
                      <w:p>
                        <w:pPr>
                          <w:pStyle w:val="TableParagraph"/>
                          <w:ind w:right="189"/>
                          <w:jc w:val="center"/>
                          <w:rPr>
                            <w:sz w:val="16"/>
                          </w:rPr>
                        </w:pPr>
                        <w:r>
                          <w:rPr>
                            <w:w w:val="112"/>
                            <w:sz w:val="16"/>
                          </w:rPr>
                          <w:t>%</w:t>
                        </w:r>
                      </w:p>
                    </w:tc>
                    <w:tc>
                      <w:tcPr>
                        <w:tcW w:w="1712" w:type="dxa"/>
                        <w:tcBorders>
                          <w:top w:val="nil"/>
                          <w:left w:val="single" w:sz="4" w:space="0" w:color="FFFFFF"/>
                          <w:bottom w:val="dotted" w:sz="4" w:space="0" w:color="FFFFFF"/>
                          <w:right w:val="nil"/>
                        </w:tcBorders>
                        <w:shd w:val="clear" w:color="auto" w:fill="929292"/>
                      </w:tcPr>
                      <w:p>
                        <w:pPr>
                          <w:pStyle w:val="TableParagraph"/>
                          <w:spacing w:line="261" w:lineRule="auto" w:before="38"/>
                          <w:ind w:left="102" w:right="339"/>
                          <w:rPr>
                            <w:sz w:val="16"/>
                          </w:rPr>
                        </w:pPr>
                        <w:r>
                          <w:rPr>
                            <w:sz w:val="16"/>
                          </w:rPr>
                          <w:t>Superficie Total de la Cabecera Municipal Urbana (m2)</w:t>
                        </w:r>
                      </w:p>
                    </w:tc>
                  </w:tr>
                  <w:tr>
                    <w:trPr>
                      <w:trHeight w:val="227" w:hRule="exact"/>
                    </w:trPr>
                    <w:tc>
                      <w:tcPr>
                        <w:tcW w:w="2978" w:type="dxa"/>
                        <w:tcBorders>
                          <w:top w:val="dotted" w:sz="4" w:space="0" w:color="FFFFFF"/>
                          <w:left w:val="nil"/>
                        </w:tcBorders>
                      </w:tcPr>
                      <w:p>
                        <w:pPr>
                          <w:pStyle w:val="TableParagraph"/>
                          <w:spacing w:line="172" w:lineRule="exact"/>
                          <w:ind w:left="107"/>
                          <w:rPr>
                            <w:sz w:val="16"/>
                          </w:rPr>
                        </w:pPr>
                        <w:r>
                          <w:rPr>
                            <w:sz w:val="16"/>
                          </w:rPr>
                          <w:t>Cabecera Municipal Malinalco</w:t>
                        </w:r>
                      </w:p>
                    </w:tc>
                    <w:tc>
                      <w:tcPr>
                        <w:tcW w:w="859" w:type="dxa"/>
                        <w:tcBorders>
                          <w:top w:val="dotted" w:sz="4" w:space="0" w:color="FFFFFF"/>
                        </w:tcBorders>
                      </w:tcPr>
                      <w:p>
                        <w:pPr>
                          <w:pStyle w:val="TableParagraph"/>
                          <w:spacing w:line="172" w:lineRule="exact"/>
                          <w:ind w:left="102" w:right="167"/>
                          <w:rPr>
                            <w:sz w:val="16"/>
                          </w:rPr>
                        </w:pPr>
                        <w:r>
                          <w:rPr>
                            <w:sz w:val="16"/>
                          </w:rPr>
                          <w:t>78</w:t>
                        </w:r>
                      </w:p>
                    </w:tc>
                    <w:tc>
                      <w:tcPr>
                        <w:tcW w:w="1568" w:type="dxa"/>
                        <w:tcBorders>
                          <w:top w:val="dotted" w:sz="4" w:space="0" w:color="FFFFFF"/>
                        </w:tcBorders>
                      </w:tcPr>
                      <w:p>
                        <w:pPr>
                          <w:pStyle w:val="TableParagraph"/>
                          <w:spacing w:line="172" w:lineRule="exact"/>
                          <w:ind w:left="102" w:right="324"/>
                          <w:rPr>
                            <w:sz w:val="16"/>
                          </w:rPr>
                        </w:pPr>
                        <w:r>
                          <w:rPr>
                            <w:sz w:val="16"/>
                          </w:rPr>
                          <w:t>53 749</w:t>
                        </w:r>
                      </w:p>
                    </w:tc>
                    <w:tc>
                      <w:tcPr>
                        <w:tcW w:w="567" w:type="dxa"/>
                        <w:tcBorders>
                          <w:top w:val="dotted" w:sz="4" w:space="0" w:color="FFFFFF"/>
                        </w:tcBorders>
                      </w:tcPr>
                      <w:p>
                        <w:pPr>
                          <w:pStyle w:val="TableParagraph"/>
                          <w:spacing w:line="172" w:lineRule="exact"/>
                          <w:ind w:left="65" w:right="102"/>
                          <w:jc w:val="center"/>
                          <w:rPr>
                            <w:sz w:val="16"/>
                          </w:rPr>
                        </w:pPr>
                        <w:r>
                          <w:rPr>
                            <w:sz w:val="16"/>
                          </w:rPr>
                          <w:t>2.66</w:t>
                        </w:r>
                      </w:p>
                    </w:tc>
                    <w:tc>
                      <w:tcPr>
                        <w:tcW w:w="1712" w:type="dxa"/>
                        <w:tcBorders>
                          <w:top w:val="dotted" w:sz="4" w:space="0" w:color="FFFFFF"/>
                          <w:right w:val="nil"/>
                        </w:tcBorders>
                      </w:tcPr>
                      <w:p>
                        <w:pPr>
                          <w:pStyle w:val="TableParagraph"/>
                          <w:spacing w:line="172" w:lineRule="exact"/>
                          <w:ind w:left="102" w:right="339"/>
                          <w:rPr>
                            <w:sz w:val="16"/>
                          </w:rPr>
                        </w:pPr>
                        <w:r>
                          <w:rPr>
                            <w:sz w:val="16"/>
                          </w:rPr>
                          <w:t>2 016 851</w:t>
                        </w:r>
                      </w:p>
                    </w:tc>
                  </w:tr>
                  <w:tr>
                    <w:trPr>
                      <w:trHeight w:val="272" w:hRule="exact"/>
                    </w:trPr>
                    <w:tc>
                      <w:tcPr>
                        <w:tcW w:w="2978" w:type="dxa"/>
                        <w:tcBorders>
                          <w:left w:val="nil"/>
                        </w:tcBorders>
                      </w:tcPr>
                      <w:p>
                        <w:pPr>
                          <w:pStyle w:val="TableParagraph"/>
                          <w:spacing w:line="172" w:lineRule="exact"/>
                          <w:ind w:left="107"/>
                          <w:rPr>
                            <w:sz w:val="16"/>
                          </w:rPr>
                        </w:pPr>
                        <w:r>
                          <w:rPr>
                            <w:sz w:val="16"/>
                          </w:rPr>
                          <w:t>Cabecera Municipal Tenancingo</w:t>
                        </w:r>
                      </w:p>
                    </w:tc>
                    <w:tc>
                      <w:tcPr>
                        <w:tcW w:w="859" w:type="dxa"/>
                      </w:tcPr>
                      <w:p>
                        <w:pPr>
                          <w:pStyle w:val="TableParagraph"/>
                          <w:spacing w:line="172" w:lineRule="exact"/>
                          <w:ind w:left="102" w:right="167"/>
                          <w:rPr>
                            <w:sz w:val="16"/>
                          </w:rPr>
                        </w:pPr>
                        <w:r>
                          <w:rPr>
                            <w:w w:val="105"/>
                            <w:sz w:val="16"/>
                          </w:rPr>
                          <w:t>‘33</w:t>
                        </w:r>
                      </w:p>
                    </w:tc>
                    <w:tc>
                      <w:tcPr>
                        <w:tcW w:w="1568" w:type="dxa"/>
                      </w:tcPr>
                      <w:p>
                        <w:pPr>
                          <w:pStyle w:val="TableParagraph"/>
                          <w:spacing w:line="172" w:lineRule="exact"/>
                          <w:ind w:left="102" w:right="324"/>
                          <w:rPr>
                            <w:sz w:val="16"/>
                          </w:rPr>
                        </w:pPr>
                        <w:r>
                          <w:rPr>
                            <w:sz w:val="16"/>
                          </w:rPr>
                          <w:t>12 040</w:t>
                        </w:r>
                      </w:p>
                    </w:tc>
                    <w:tc>
                      <w:tcPr>
                        <w:tcW w:w="567" w:type="dxa"/>
                      </w:tcPr>
                      <w:p>
                        <w:pPr>
                          <w:pStyle w:val="TableParagraph"/>
                          <w:spacing w:line="172" w:lineRule="exact"/>
                          <w:ind w:left="65" w:right="102"/>
                          <w:jc w:val="center"/>
                          <w:rPr>
                            <w:sz w:val="16"/>
                          </w:rPr>
                        </w:pPr>
                        <w:r>
                          <w:rPr>
                            <w:sz w:val="16"/>
                          </w:rPr>
                          <w:t>0.94</w:t>
                        </w:r>
                      </w:p>
                    </w:tc>
                    <w:tc>
                      <w:tcPr>
                        <w:tcW w:w="1712" w:type="dxa"/>
                        <w:tcBorders>
                          <w:right w:val="nil"/>
                        </w:tcBorders>
                      </w:tcPr>
                      <w:p>
                        <w:pPr>
                          <w:pStyle w:val="TableParagraph"/>
                          <w:spacing w:line="172" w:lineRule="exact"/>
                          <w:ind w:left="102" w:right="339"/>
                          <w:rPr>
                            <w:sz w:val="16"/>
                          </w:rPr>
                        </w:pPr>
                        <w:r>
                          <w:rPr>
                            <w:sz w:val="16"/>
                          </w:rPr>
                          <w:t>1 283 722</w:t>
                        </w:r>
                      </w:p>
                    </w:tc>
                  </w:tr>
                  <w:tr>
                    <w:trPr>
                      <w:trHeight w:val="262" w:hRule="exact"/>
                    </w:trPr>
                    <w:tc>
                      <w:tcPr>
                        <w:tcW w:w="2978" w:type="dxa"/>
                        <w:tcBorders>
                          <w:left w:val="nil"/>
                          <w:bottom w:val="dotted" w:sz="4" w:space="0" w:color="929292"/>
                        </w:tcBorders>
                      </w:tcPr>
                      <w:p>
                        <w:pPr>
                          <w:pStyle w:val="TableParagraph"/>
                          <w:spacing w:line="172" w:lineRule="exact"/>
                          <w:ind w:left="107"/>
                          <w:rPr>
                            <w:sz w:val="16"/>
                          </w:rPr>
                        </w:pPr>
                        <w:r>
                          <w:rPr>
                            <w:sz w:val="16"/>
                          </w:rPr>
                          <w:t>Cabecera Municipal Villa Guerrero</w:t>
                        </w:r>
                      </w:p>
                    </w:tc>
                    <w:tc>
                      <w:tcPr>
                        <w:tcW w:w="859" w:type="dxa"/>
                        <w:tcBorders>
                          <w:bottom w:val="dotted" w:sz="4" w:space="0" w:color="929292"/>
                        </w:tcBorders>
                      </w:tcPr>
                      <w:p>
                        <w:pPr>
                          <w:pStyle w:val="TableParagraph"/>
                          <w:spacing w:line="172" w:lineRule="exact"/>
                          <w:ind w:left="102" w:right="167"/>
                          <w:rPr>
                            <w:sz w:val="16"/>
                          </w:rPr>
                        </w:pPr>
                        <w:r>
                          <w:rPr>
                            <w:sz w:val="16"/>
                          </w:rPr>
                          <w:t>67</w:t>
                        </w:r>
                      </w:p>
                    </w:tc>
                    <w:tc>
                      <w:tcPr>
                        <w:tcW w:w="1568" w:type="dxa"/>
                        <w:tcBorders>
                          <w:bottom w:val="dotted" w:sz="4" w:space="0" w:color="929292"/>
                        </w:tcBorders>
                      </w:tcPr>
                      <w:p>
                        <w:pPr>
                          <w:pStyle w:val="TableParagraph"/>
                          <w:spacing w:line="172" w:lineRule="exact"/>
                          <w:ind w:left="102" w:right="324"/>
                          <w:rPr>
                            <w:sz w:val="16"/>
                          </w:rPr>
                        </w:pPr>
                        <w:r>
                          <w:rPr>
                            <w:sz w:val="16"/>
                          </w:rPr>
                          <w:t>30 471</w:t>
                        </w:r>
                      </w:p>
                    </w:tc>
                    <w:tc>
                      <w:tcPr>
                        <w:tcW w:w="567" w:type="dxa"/>
                        <w:tcBorders>
                          <w:bottom w:val="dotted" w:sz="4" w:space="0" w:color="929292"/>
                        </w:tcBorders>
                      </w:tcPr>
                      <w:p>
                        <w:pPr>
                          <w:pStyle w:val="TableParagraph"/>
                          <w:spacing w:line="172" w:lineRule="exact"/>
                          <w:ind w:left="65" w:right="102"/>
                          <w:jc w:val="center"/>
                          <w:rPr>
                            <w:sz w:val="16"/>
                          </w:rPr>
                        </w:pPr>
                        <w:r>
                          <w:rPr>
                            <w:sz w:val="16"/>
                          </w:rPr>
                          <w:t>1.35</w:t>
                        </w:r>
                      </w:p>
                    </w:tc>
                    <w:tc>
                      <w:tcPr>
                        <w:tcW w:w="1712" w:type="dxa"/>
                        <w:tcBorders>
                          <w:bottom w:val="dotted" w:sz="4" w:space="0" w:color="929292"/>
                          <w:right w:val="nil"/>
                        </w:tcBorders>
                      </w:tcPr>
                      <w:p>
                        <w:pPr>
                          <w:pStyle w:val="TableParagraph"/>
                          <w:spacing w:line="172" w:lineRule="exact"/>
                          <w:ind w:left="102" w:right="339"/>
                          <w:rPr>
                            <w:sz w:val="16"/>
                          </w:rPr>
                        </w:pPr>
                        <w:r>
                          <w:rPr>
                            <w:sz w:val="16"/>
                          </w:rPr>
                          <w:t>2 249 434</w:t>
                        </w:r>
                      </w:p>
                    </w:tc>
                  </w:tr>
                </w:tbl>
                <w:p>
                  <w:pPr>
                    <w:pStyle w:val="BodyText"/>
                  </w:pPr>
                </w:p>
              </w:txbxContent>
            </v:textbox>
            <w10:wrap type="none"/>
          </v:shape>
        </w:pict>
      </w:r>
      <w:r>
        <w:rPr>
          <w:color w:val="6D6E71"/>
          <w:sz w:val="16"/>
        </w:rPr>
        <w:t>Fuente: Elaboración propia, 2015.</w:t>
      </w:r>
    </w:p>
    <w:p>
      <w:pPr>
        <w:pStyle w:val="BodyText"/>
        <w:rPr>
          <w:sz w:val="13"/>
        </w:rPr>
      </w:pPr>
    </w:p>
    <w:p>
      <w:pPr>
        <w:spacing w:after="0"/>
        <w:rPr>
          <w:sz w:val="13"/>
        </w:rPr>
        <w:sectPr>
          <w:type w:val="continuous"/>
          <w:pgSz w:w="18830" w:h="12760" w:orient="landscape"/>
          <w:pgMar w:top="1420" w:bottom="280" w:left="720" w:right="720"/>
        </w:sectPr>
      </w:pPr>
    </w:p>
    <w:p>
      <w:pPr>
        <w:pStyle w:val="BodyText"/>
        <w:spacing w:before="9"/>
        <w:rPr>
          <w:sz w:val="12"/>
        </w:rPr>
      </w:pPr>
    </w:p>
    <w:p>
      <w:pPr>
        <w:spacing w:before="0"/>
        <w:ind w:left="2789" w:right="-11" w:firstLine="0"/>
        <w:jc w:val="left"/>
        <w:rPr>
          <w:sz w:val="16"/>
        </w:rPr>
      </w:pPr>
      <w:r>
        <w:rPr>
          <w:color w:val="6D6E71"/>
          <w:sz w:val="16"/>
        </w:rPr>
        <w:t>Fuente: Elaboración propia, 2015.</w:t>
      </w:r>
    </w:p>
    <w:p>
      <w:pPr>
        <w:pStyle w:val="Heading1"/>
        <w:spacing w:before="72"/>
        <w:ind w:left="2959"/>
      </w:pPr>
      <w:r>
        <w:rPr>
          <w:b w:val="0"/>
        </w:rPr>
        <w:br w:type="column"/>
      </w:r>
      <w:r>
        <w:rPr/>
        <w:t>Análisis Espacial Estadístico Regional por Municipio Analizado</w:t>
      </w:r>
    </w:p>
    <w:p>
      <w:pPr>
        <w:pStyle w:val="BodyText"/>
        <w:rPr>
          <w:b/>
          <w:sz w:val="21"/>
        </w:rPr>
      </w:pPr>
    </w:p>
    <w:p>
      <w:pPr>
        <w:pStyle w:val="BodyText"/>
        <w:spacing w:line="249" w:lineRule="auto"/>
        <w:ind w:left="2789" w:right="127" w:firstLine="170"/>
        <w:jc w:val="both"/>
      </w:pPr>
      <w:r>
        <w:rPr/>
        <w:t>Al comparar los municipios analizados se observa que el municipio con mayor número de huertos es Malinalco, seguido por Villa Guerrero y finalmente Tenancingo. El municipio con la mayor superficie proporcional ocupada por AEHF es Malinalco, seguido de Tenancingo y finalmente Villa Guerrero. La superficie ocupada por huertos es mayor en Malinalco, seguida de Villa Guerrero y finalmente Tenancingo. El  tamaño</w:t>
      </w:r>
    </w:p>
    <w:p>
      <w:pPr>
        <w:spacing w:after="0" w:line="249" w:lineRule="auto"/>
        <w:jc w:val="both"/>
        <w:sectPr>
          <w:type w:val="continuous"/>
          <w:pgSz w:w="18830" w:h="12760" w:orient="landscape"/>
          <w:pgMar w:top="1420" w:bottom="280" w:left="720" w:right="720"/>
          <w:cols w:num="2" w:equalWidth="0">
            <w:col w:w="5209" w:space="1543"/>
            <w:col w:w="10638"/>
          </w:cols>
        </w:sectPr>
      </w:pPr>
    </w:p>
    <w:p>
      <w:pPr>
        <w:pStyle w:val="BodyText"/>
        <w:spacing w:before="6"/>
        <w:rPr>
          <w:sz w:val="23"/>
        </w:rPr>
      </w:pPr>
    </w:p>
    <w:p>
      <w:pPr>
        <w:spacing w:after="0"/>
        <w:rPr>
          <w:sz w:val="23"/>
        </w:rPr>
        <w:sectPr>
          <w:footerReference w:type="default" r:id="rId278"/>
          <w:pgSz w:w="18830" w:h="12760" w:orient="landscape"/>
          <w:pgMar w:footer="1036" w:header="522" w:top="820" w:bottom="1220" w:left="720" w:right="720"/>
        </w:sectPr>
      </w:pPr>
    </w:p>
    <w:p>
      <w:pPr>
        <w:pStyle w:val="BodyText"/>
        <w:spacing w:line="249" w:lineRule="auto" w:before="76"/>
        <w:ind w:left="130" w:right="-16"/>
      </w:pPr>
      <w:r>
        <w:rPr/>
        <w:t>promedio de los huertos es mayor en Villa Guerrero, casi igual que en Malinalco; los huertos más pequeños se encuentran en Tenancingo.</w:t>
      </w:r>
    </w:p>
    <w:p>
      <w:pPr>
        <w:pStyle w:val="BodyText"/>
        <w:spacing w:before="2"/>
        <w:rPr>
          <w:sz w:val="24"/>
        </w:rPr>
      </w:pPr>
    </w:p>
    <w:p>
      <w:pPr>
        <w:spacing w:before="0"/>
        <w:ind w:left="1333" w:right="-16" w:firstLine="0"/>
        <w:jc w:val="left"/>
        <w:rPr>
          <w:sz w:val="16"/>
        </w:rPr>
      </w:pPr>
      <w:r>
        <w:rPr>
          <w:color w:val="6D6E71"/>
          <w:sz w:val="16"/>
        </w:rPr>
        <w:t>Cuadro 10. Análisis Espacial Estadístico Regional por Municipio Analizado</w:t>
      </w:r>
    </w:p>
    <w:p>
      <w:pPr>
        <w:spacing w:before="114"/>
        <w:ind w:left="130" w:right="0" w:firstLine="0"/>
        <w:jc w:val="left"/>
        <w:rPr>
          <w:sz w:val="16"/>
        </w:rPr>
      </w:pPr>
      <w:r>
        <w:rPr/>
        <w:br w:type="column"/>
      </w:r>
      <w:r>
        <w:rPr>
          <w:color w:val="6D6E71"/>
          <w:sz w:val="16"/>
        </w:rPr>
        <w:t>Cuadro 11. Análisis FODA de los Agroecosistemas con Huertos Familiares</w:t>
      </w:r>
    </w:p>
    <w:p>
      <w:pPr>
        <w:spacing w:after="0"/>
        <w:jc w:val="left"/>
        <w:rPr>
          <w:sz w:val="16"/>
        </w:rPr>
        <w:sectPr>
          <w:type w:val="continuous"/>
          <w:pgSz w:w="18830" w:h="12760" w:orient="landscape"/>
          <w:pgMar w:top="1420" w:bottom="280" w:left="720" w:right="720"/>
          <w:cols w:num="2" w:equalWidth="0">
            <w:col w:w="7841" w:space="2768"/>
            <w:col w:w="6781"/>
          </w:cols>
        </w:sectPr>
      </w:pPr>
    </w:p>
    <w:p>
      <w:pPr>
        <w:pStyle w:val="BodyText"/>
        <w:spacing w:before="10"/>
        <w:rPr>
          <w:sz w:val="8"/>
        </w:rPr>
      </w:pPr>
    </w:p>
    <w:tbl>
      <w:tblPr>
        <w:tblW w:w="0" w:type="auto"/>
        <w:jc w:val="left"/>
        <w:tblInd w:w="125"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1614"/>
        <w:gridCol w:w="993"/>
        <w:gridCol w:w="1183"/>
        <w:gridCol w:w="1368"/>
        <w:gridCol w:w="567"/>
        <w:gridCol w:w="1976"/>
      </w:tblGrid>
      <w:tr>
        <w:trPr>
          <w:trHeight w:val="628" w:hRule="exact"/>
        </w:trPr>
        <w:tc>
          <w:tcPr>
            <w:tcW w:w="1614" w:type="dxa"/>
            <w:tcBorders>
              <w:top w:val="nil"/>
              <w:left w:val="nil"/>
              <w:bottom w:val="dotted" w:sz="4" w:space="0" w:color="FFFFFF"/>
              <w:right w:val="single" w:sz="4" w:space="0" w:color="FFFFFF"/>
            </w:tcBorders>
            <w:shd w:val="clear" w:color="auto" w:fill="929292"/>
          </w:tcPr>
          <w:p>
            <w:pPr>
              <w:pStyle w:val="TableParagraph"/>
              <w:spacing w:before="21"/>
              <w:ind w:left="107"/>
              <w:rPr>
                <w:sz w:val="16"/>
              </w:rPr>
            </w:pPr>
            <w:r>
              <w:rPr>
                <w:w w:val="105"/>
                <w:sz w:val="16"/>
              </w:rPr>
              <w:t>Municipio</w:t>
            </w:r>
          </w:p>
        </w:tc>
        <w:tc>
          <w:tcPr>
            <w:tcW w:w="993"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21"/>
              <w:ind w:left="103" w:right="299"/>
              <w:rPr>
                <w:sz w:val="16"/>
              </w:rPr>
            </w:pPr>
            <w:r>
              <w:rPr>
                <w:sz w:val="16"/>
              </w:rPr>
              <w:t>N° de Huertos</w:t>
            </w:r>
          </w:p>
        </w:tc>
        <w:tc>
          <w:tcPr>
            <w:tcW w:w="1183"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21"/>
              <w:ind w:left="102" w:right="143"/>
              <w:rPr>
                <w:sz w:val="16"/>
              </w:rPr>
            </w:pPr>
            <w:r>
              <w:rPr>
                <w:sz w:val="16"/>
              </w:rPr>
              <w:t>Superficie Promedio de los  Huertos</w:t>
            </w:r>
          </w:p>
        </w:tc>
        <w:tc>
          <w:tcPr>
            <w:tcW w:w="1368"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21"/>
              <w:ind w:left="103" w:right="123"/>
              <w:rPr>
                <w:sz w:val="16"/>
              </w:rPr>
            </w:pPr>
            <w:r>
              <w:rPr>
                <w:sz w:val="16"/>
              </w:rPr>
              <w:t>Superficie Total Ocupada por Huertos (m2)</w:t>
            </w:r>
          </w:p>
        </w:tc>
        <w:tc>
          <w:tcPr>
            <w:tcW w:w="567" w:type="dxa"/>
            <w:tcBorders>
              <w:top w:val="nil"/>
              <w:left w:val="single" w:sz="4" w:space="0" w:color="FFFFFF"/>
              <w:bottom w:val="dotted" w:sz="4" w:space="0" w:color="FFFFFF"/>
              <w:right w:val="single" w:sz="4" w:space="0" w:color="FFFFFF"/>
            </w:tcBorders>
            <w:shd w:val="clear" w:color="auto" w:fill="929292"/>
          </w:tcPr>
          <w:p>
            <w:pPr>
              <w:pStyle w:val="TableParagraph"/>
              <w:spacing w:before="21"/>
              <w:ind w:left="103"/>
              <w:rPr>
                <w:sz w:val="16"/>
              </w:rPr>
            </w:pPr>
            <w:r>
              <w:rPr>
                <w:w w:val="112"/>
                <w:sz w:val="16"/>
              </w:rPr>
              <w:t>%</w:t>
            </w:r>
          </w:p>
        </w:tc>
        <w:tc>
          <w:tcPr>
            <w:tcW w:w="1976" w:type="dxa"/>
            <w:tcBorders>
              <w:top w:val="nil"/>
              <w:left w:val="single" w:sz="4" w:space="0" w:color="FFFFFF"/>
              <w:bottom w:val="dotted" w:sz="4" w:space="0" w:color="FFFFFF"/>
              <w:right w:val="nil"/>
            </w:tcBorders>
            <w:shd w:val="clear" w:color="auto" w:fill="929292"/>
          </w:tcPr>
          <w:p>
            <w:pPr>
              <w:pStyle w:val="TableParagraph"/>
              <w:spacing w:line="261" w:lineRule="auto" w:before="21"/>
              <w:ind w:left="103" w:right="264"/>
              <w:rPr>
                <w:sz w:val="16"/>
              </w:rPr>
            </w:pPr>
            <w:r>
              <w:rPr>
                <w:sz w:val="16"/>
              </w:rPr>
              <w:t>Superficie Total de las Cuatro Localidades Estudiadas (m2)</w:t>
            </w:r>
          </w:p>
        </w:tc>
      </w:tr>
      <w:tr>
        <w:trPr>
          <w:trHeight w:val="238" w:hRule="exact"/>
        </w:trPr>
        <w:tc>
          <w:tcPr>
            <w:tcW w:w="1614" w:type="dxa"/>
            <w:tcBorders>
              <w:top w:val="dotted" w:sz="4" w:space="0" w:color="FFFFFF"/>
              <w:left w:val="nil"/>
            </w:tcBorders>
          </w:tcPr>
          <w:p>
            <w:pPr>
              <w:pStyle w:val="TableParagraph"/>
              <w:spacing w:line="171" w:lineRule="exact"/>
              <w:ind w:left="107"/>
              <w:rPr>
                <w:sz w:val="16"/>
              </w:rPr>
            </w:pPr>
            <w:r>
              <w:rPr>
                <w:sz w:val="16"/>
              </w:rPr>
              <w:t>Malinalco</w:t>
            </w:r>
          </w:p>
        </w:tc>
        <w:tc>
          <w:tcPr>
            <w:tcW w:w="993" w:type="dxa"/>
            <w:tcBorders>
              <w:top w:val="dotted" w:sz="4" w:space="0" w:color="FFFFFF"/>
            </w:tcBorders>
          </w:tcPr>
          <w:p>
            <w:pPr>
              <w:pStyle w:val="TableParagraph"/>
              <w:spacing w:line="171" w:lineRule="exact"/>
              <w:ind w:left="103" w:right="299"/>
              <w:rPr>
                <w:sz w:val="16"/>
              </w:rPr>
            </w:pPr>
            <w:r>
              <w:rPr>
                <w:sz w:val="16"/>
              </w:rPr>
              <w:t>140</w:t>
            </w:r>
          </w:p>
        </w:tc>
        <w:tc>
          <w:tcPr>
            <w:tcW w:w="1183" w:type="dxa"/>
            <w:tcBorders>
              <w:top w:val="dotted" w:sz="4" w:space="0" w:color="FFFFFF"/>
            </w:tcBorders>
          </w:tcPr>
          <w:p>
            <w:pPr>
              <w:pStyle w:val="TableParagraph"/>
              <w:spacing w:line="171" w:lineRule="exact"/>
              <w:ind w:left="102" w:right="143"/>
              <w:rPr>
                <w:sz w:val="16"/>
              </w:rPr>
            </w:pPr>
            <w:r>
              <w:rPr>
                <w:sz w:val="16"/>
              </w:rPr>
              <w:t>626</w:t>
            </w:r>
          </w:p>
        </w:tc>
        <w:tc>
          <w:tcPr>
            <w:tcW w:w="1368" w:type="dxa"/>
            <w:tcBorders>
              <w:top w:val="dotted" w:sz="4" w:space="0" w:color="FFFFFF"/>
            </w:tcBorders>
          </w:tcPr>
          <w:p>
            <w:pPr>
              <w:pStyle w:val="TableParagraph"/>
              <w:spacing w:line="171" w:lineRule="exact"/>
              <w:ind w:left="103" w:right="123"/>
              <w:rPr>
                <w:sz w:val="16"/>
              </w:rPr>
            </w:pPr>
            <w:r>
              <w:rPr>
                <w:sz w:val="16"/>
              </w:rPr>
              <w:t>90 080</w:t>
            </w:r>
          </w:p>
        </w:tc>
        <w:tc>
          <w:tcPr>
            <w:tcW w:w="567" w:type="dxa"/>
            <w:tcBorders>
              <w:top w:val="dotted" w:sz="4" w:space="0" w:color="FFFFFF"/>
            </w:tcBorders>
          </w:tcPr>
          <w:p>
            <w:pPr>
              <w:pStyle w:val="TableParagraph"/>
              <w:spacing w:line="171" w:lineRule="exact"/>
              <w:ind w:left="103"/>
              <w:rPr>
                <w:sz w:val="16"/>
              </w:rPr>
            </w:pPr>
            <w:r>
              <w:rPr>
                <w:sz w:val="16"/>
              </w:rPr>
              <w:t>3.70</w:t>
            </w:r>
          </w:p>
        </w:tc>
        <w:tc>
          <w:tcPr>
            <w:tcW w:w="1976" w:type="dxa"/>
            <w:tcBorders>
              <w:top w:val="dotted" w:sz="4" w:space="0" w:color="FFFFFF"/>
              <w:right w:val="nil"/>
            </w:tcBorders>
          </w:tcPr>
          <w:p>
            <w:pPr>
              <w:pStyle w:val="TableParagraph"/>
              <w:spacing w:line="171" w:lineRule="exact"/>
              <w:ind w:left="103" w:right="264"/>
              <w:rPr>
                <w:sz w:val="16"/>
              </w:rPr>
            </w:pPr>
            <w:r>
              <w:rPr>
                <w:sz w:val="16"/>
              </w:rPr>
              <w:t>2 431 859</w:t>
            </w:r>
          </w:p>
        </w:tc>
      </w:tr>
      <w:tr>
        <w:trPr>
          <w:trHeight w:val="344" w:hRule="exact"/>
        </w:trPr>
        <w:tc>
          <w:tcPr>
            <w:tcW w:w="1614" w:type="dxa"/>
            <w:tcBorders>
              <w:left w:val="nil"/>
            </w:tcBorders>
          </w:tcPr>
          <w:p>
            <w:pPr>
              <w:pStyle w:val="TableParagraph"/>
              <w:spacing w:line="171" w:lineRule="exact"/>
              <w:ind w:left="107"/>
              <w:rPr>
                <w:sz w:val="16"/>
              </w:rPr>
            </w:pPr>
            <w:r>
              <w:rPr>
                <w:sz w:val="16"/>
              </w:rPr>
              <w:t>Tenancingo</w:t>
            </w:r>
          </w:p>
        </w:tc>
        <w:tc>
          <w:tcPr>
            <w:tcW w:w="993" w:type="dxa"/>
          </w:tcPr>
          <w:p>
            <w:pPr>
              <w:pStyle w:val="TableParagraph"/>
              <w:spacing w:line="171" w:lineRule="exact"/>
              <w:ind w:left="103" w:right="299"/>
              <w:rPr>
                <w:sz w:val="16"/>
              </w:rPr>
            </w:pPr>
            <w:r>
              <w:rPr>
                <w:sz w:val="16"/>
              </w:rPr>
              <w:t>81</w:t>
            </w:r>
          </w:p>
        </w:tc>
        <w:tc>
          <w:tcPr>
            <w:tcW w:w="1183" w:type="dxa"/>
          </w:tcPr>
          <w:p>
            <w:pPr>
              <w:pStyle w:val="TableParagraph"/>
              <w:spacing w:line="171" w:lineRule="exact"/>
              <w:ind w:left="102" w:right="143"/>
              <w:rPr>
                <w:sz w:val="16"/>
              </w:rPr>
            </w:pPr>
            <w:r>
              <w:rPr>
                <w:sz w:val="16"/>
              </w:rPr>
              <w:t>454</w:t>
            </w:r>
          </w:p>
        </w:tc>
        <w:tc>
          <w:tcPr>
            <w:tcW w:w="1368" w:type="dxa"/>
          </w:tcPr>
          <w:p>
            <w:pPr>
              <w:pStyle w:val="TableParagraph"/>
              <w:spacing w:line="171" w:lineRule="exact"/>
              <w:ind w:left="103" w:right="123"/>
              <w:rPr>
                <w:sz w:val="16"/>
              </w:rPr>
            </w:pPr>
            <w:r>
              <w:rPr>
                <w:sz w:val="16"/>
              </w:rPr>
              <w:t>37 645</w:t>
            </w:r>
          </w:p>
        </w:tc>
        <w:tc>
          <w:tcPr>
            <w:tcW w:w="567" w:type="dxa"/>
          </w:tcPr>
          <w:p>
            <w:pPr>
              <w:pStyle w:val="TableParagraph"/>
              <w:spacing w:line="171" w:lineRule="exact"/>
              <w:ind w:left="103"/>
              <w:rPr>
                <w:sz w:val="16"/>
              </w:rPr>
            </w:pPr>
            <w:r>
              <w:rPr>
                <w:sz w:val="16"/>
              </w:rPr>
              <w:t>1.97</w:t>
            </w:r>
          </w:p>
        </w:tc>
        <w:tc>
          <w:tcPr>
            <w:tcW w:w="1976" w:type="dxa"/>
            <w:tcBorders>
              <w:right w:val="nil"/>
            </w:tcBorders>
          </w:tcPr>
          <w:p>
            <w:pPr>
              <w:pStyle w:val="TableParagraph"/>
              <w:spacing w:line="171" w:lineRule="exact"/>
              <w:ind w:left="103" w:right="264"/>
              <w:rPr>
                <w:sz w:val="16"/>
              </w:rPr>
            </w:pPr>
            <w:r>
              <w:rPr>
                <w:sz w:val="16"/>
              </w:rPr>
              <w:t>1 906 805</w:t>
            </w:r>
          </w:p>
        </w:tc>
      </w:tr>
      <w:tr>
        <w:trPr>
          <w:trHeight w:val="171" w:hRule="exact"/>
        </w:trPr>
        <w:tc>
          <w:tcPr>
            <w:tcW w:w="1614" w:type="dxa"/>
            <w:tcBorders>
              <w:left w:val="nil"/>
              <w:bottom w:val="single" w:sz="4" w:space="0" w:color="FFFFFF"/>
            </w:tcBorders>
          </w:tcPr>
          <w:p>
            <w:pPr>
              <w:pStyle w:val="TableParagraph"/>
              <w:tabs>
                <w:tab w:pos="1598" w:val="left" w:leader="none"/>
              </w:tabs>
              <w:spacing w:line="171" w:lineRule="exact"/>
              <w:ind w:left="34"/>
              <w:rPr>
                <w:sz w:val="16"/>
              </w:rPr>
            </w:pPr>
            <w:r>
              <w:rPr>
                <w:w w:val="100"/>
                <w:sz w:val="16"/>
                <w:u w:val="dotted" w:color="929292"/>
              </w:rPr>
              <w:t> </w:t>
            </w:r>
            <w:r>
              <w:rPr>
                <w:spacing w:val="-16"/>
                <w:sz w:val="16"/>
                <w:u w:val="dotted" w:color="929292"/>
              </w:rPr>
              <w:t> </w:t>
            </w:r>
            <w:r>
              <w:rPr>
                <w:sz w:val="16"/>
                <w:u w:val="dotted" w:color="929292"/>
              </w:rPr>
              <w:t>Villa</w:t>
            </w:r>
            <w:r>
              <w:rPr>
                <w:spacing w:val="-19"/>
                <w:sz w:val="16"/>
                <w:u w:val="dotted" w:color="929292"/>
              </w:rPr>
              <w:t> </w:t>
            </w:r>
            <w:r>
              <w:rPr>
                <w:sz w:val="16"/>
                <w:u w:val="dotted" w:color="929292"/>
              </w:rPr>
              <w:t>Guerrero</w:t>
              <w:tab/>
            </w:r>
          </w:p>
        </w:tc>
        <w:tc>
          <w:tcPr>
            <w:tcW w:w="993" w:type="dxa"/>
            <w:tcBorders>
              <w:bottom w:val="single" w:sz="4" w:space="0" w:color="FFFFFF"/>
            </w:tcBorders>
          </w:tcPr>
          <w:p>
            <w:pPr>
              <w:pStyle w:val="TableParagraph"/>
              <w:tabs>
                <w:tab w:pos="972"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113</w:t>
              <w:tab/>
            </w:r>
          </w:p>
        </w:tc>
        <w:tc>
          <w:tcPr>
            <w:tcW w:w="1183" w:type="dxa"/>
            <w:tcBorders>
              <w:bottom w:val="single" w:sz="4" w:space="0" w:color="FFFFFF"/>
            </w:tcBorders>
          </w:tcPr>
          <w:p>
            <w:pPr>
              <w:pStyle w:val="TableParagraph"/>
              <w:tabs>
                <w:tab w:pos="1162"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642</w:t>
              <w:tab/>
            </w:r>
          </w:p>
        </w:tc>
        <w:tc>
          <w:tcPr>
            <w:tcW w:w="1368" w:type="dxa"/>
            <w:tcBorders>
              <w:bottom w:val="single" w:sz="4" w:space="0" w:color="FFFFFF"/>
            </w:tcBorders>
          </w:tcPr>
          <w:p>
            <w:pPr>
              <w:pStyle w:val="TableParagraph"/>
              <w:tabs>
                <w:tab w:pos="1348"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61</w:t>
            </w:r>
            <w:r>
              <w:rPr>
                <w:spacing w:val="-1"/>
                <w:sz w:val="16"/>
                <w:u w:val="dotted" w:color="929292"/>
              </w:rPr>
              <w:t> </w:t>
            </w:r>
            <w:r>
              <w:rPr>
                <w:sz w:val="16"/>
                <w:u w:val="dotted" w:color="929292"/>
              </w:rPr>
              <w:t>577</w:t>
              <w:tab/>
            </w:r>
          </w:p>
        </w:tc>
        <w:tc>
          <w:tcPr>
            <w:tcW w:w="567" w:type="dxa"/>
            <w:tcBorders>
              <w:bottom w:val="single" w:sz="4" w:space="0" w:color="FFFFFF"/>
            </w:tcBorders>
          </w:tcPr>
          <w:p>
            <w:pPr>
              <w:pStyle w:val="TableParagraph"/>
              <w:spacing w:line="171" w:lineRule="exact"/>
              <w:ind w:left="24"/>
              <w:rPr>
                <w:sz w:val="16"/>
              </w:rPr>
            </w:pPr>
            <w:r>
              <w:rPr>
                <w:w w:val="100"/>
                <w:sz w:val="16"/>
                <w:u w:val="dotted" w:color="929292"/>
              </w:rPr>
              <w:t> </w:t>
            </w:r>
            <w:r>
              <w:rPr>
                <w:sz w:val="16"/>
                <w:u w:val="dotted" w:color="929292"/>
              </w:rPr>
              <w:t> 0.86 </w:t>
            </w:r>
          </w:p>
        </w:tc>
        <w:tc>
          <w:tcPr>
            <w:tcW w:w="1976" w:type="dxa"/>
            <w:tcBorders>
              <w:bottom w:val="single" w:sz="4" w:space="0" w:color="FFFFFF"/>
              <w:right w:val="nil"/>
            </w:tcBorders>
          </w:tcPr>
          <w:p>
            <w:pPr>
              <w:pStyle w:val="TableParagraph"/>
              <w:tabs>
                <w:tab w:pos="1950"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7 083</w:t>
            </w:r>
            <w:r>
              <w:rPr>
                <w:spacing w:val="-1"/>
                <w:sz w:val="16"/>
                <w:u w:val="dotted" w:color="929292"/>
              </w:rPr>
              <w:t> </w:t>
            </w:r>
            <w:r>
              <w:rPr>
                <w:sz w:val="16"/>
                <w:u w:val="dotted" w:color="929292"/>
              </w:rPr>
              <w:t>289</w:t>
              <w:tab/>
            </w:r>
          </w:p>
        </w:tc>
      </w:tr>
      <w:tr>
        <w:trPr>
          <w:trHeight w:val="256" w:hRule="exact"/>
        </w:trPr>
        <w:tc>
          <w:tcPr>
            <w:tcW w:w="1614" w:type="dxa"/>
            <w:tcBorders>
              <w:top w:val="single" w:sz="4" w:space="0" w:color="FFFFFF"/>
              <w:left w:val="nil"/>
              <w:bottom w:val="dotted" w:sz="4" w:space="0" w:color="929292"/>
            </w:tcBorders>
          </w:tcPr>
          <w:p>
            <w:pPr>
              <w:pStyle w:val="TableParagraph"/>
              <w:spacing w:line="171" w:lineRule="exact"/>
              <w:ind w:left="107"/>
              <w:rPr>
                <w:sz w:val="16"/>
              </w:rPr>
            </w:pPr>
            <w:r>
              <w:rPr>
                <w:sz w:val="16"/>
              </w:rPr>
              <w:t>Total/Promedio</w:t>
            </w:r>
          </w:p>
        </w:tc>
        <w:tc>
          <w:tcPr>
            <w:tcW w:w="993" w:type="dxa"/>
            <w:tcBorders>
              <w:top w:val="single" w:sz="4" w:space="0" w:color="FFFFFF"/>
              <w:bottom w:val="dotted" w:sz="4" w:space="0" w:color="929292"/>
            </w:tcBorders>
          </w:tcPr>
          <w:p>
            <w:pPr>
              <w:pStyle w:val="TableParagraph"/>
              <w:spacing w:line="171" w:lineRule="exact"/>
              <w:ind w:left="103" w:right="299"/>
              <w:rPr>
                <w:sz w:val="16"/>
              </w:rPr>
            </w:pPr>
            <w:r>
              <w:rPr>
                <w:sz w:val="16"/>
              </w:rPr>
              <w:t>334</w:t>
            </w:r>
          </w:p>
        </w:tc>
        <w:tc>
          <w:tcPr>
            <w:tcW w:w="1183" w:type="dxa"/>
            <w:tcBorders>
              <w:top w:val="single" w:sz="4" w:space="0" w:color="FFFFFF"/>
              <w:bottom w:val="dotted" w:sz="4" w:space="0" w:color="929292"/>
            </w:tcBorders>
          </w:tcPr>
          <w:p>
            <w:pPr>
              <w:pStyle w:val="TableParagraph"/>
              <w:spacing w:line="171" w:lineRule="exact"/>
              <w:ind w:left="102" w:right="143"/>
              <w:rPr>
                <w:sz w:val="16"/>
              </w:rPr>
            </w:pPr>
            <w:r>
              <w:rPr>
                <w:sz w:val="16"/>
              </w:rPr>
              <w:t>574</w:t>
            </w:r>
          </w:p>
        </w:tc>
        <w:tc>
          <w:tcPr>
            <w:tcW w:w="1368" w:type="dxa"/>
            <w:tcBorders>
              <w:top w:val="single" w:sz="4" w:space="0" w:color="FFFFFF"/>
              <w:bottom w:val="dotted" w:sz="4" w:space="0" w:color="929292"/>
            </w:tcBorders>
          </w:tcPr>
          <w:p>
            <w:pPr>
              <w:pStyle w:val="TableParagraph"/>
              <w:spacing w:line="171" w:lineRule="exact"/>
              <w:ind w:left="103" w:right="123"/>
              <w:rPr>
                <w:sz w:val="16"/>
              </w:rPr>
            </w:pPr>
            <w:r>
              <w:rPr>
                <w:sz w:val="16"/>
              </w:rPr>
              <w:t>189 302</w:t>
            </w:r>
          </w:p>
        </w:tc>
        <w:tc>
          <w:tcPr>
            <w:tcW w:w="567" w:type="dxa"/>
            <w:tcBorders>
              <w:top w:val="single" w:sz="4" w:space="0" w:color="FFFFFF"/>
              <w:bottom w:val="dotted" w:sz="4" w:space="0" w:color="929292"/>
            </w:tcBorders>
          </w:tcPr>
          <w:p>
            <w:pPr/>
          </w:p>
        </w:tc>
        <w:tc>
          <w:tcPr>
            <w:tcW w:w="1976" w:type="dxa"/>
            <w:tcBorders>
              <w:top w:val="single" w:sz="4" w:space="0" w:color="FFFFFF"/>
              <w:bottom w:val="dotted" w:sz="4" w:space="0" w:color="929292"/>
              <w:right w:val="nil"/>
            </w:tcBorders>
          </w:tcPr>
          <w:p>
            <w:pPr>
              <w:pStyle w:val="TableParagraph"/>
              <w:spacing w:line="171" w:lineRule="exact"/>
              <w:ind w:left="103" w:right="264"/>
              <w:rPr>
                <w:sz w:val="16"/>
              </w:rPr>
            </w:pPr>
            <w:r>
              <w:rPr>
                <w:sz w:val="16"/>
              </w:rPr>
              <w:t>11 421 953</w:t>
            </w:r>
          </w:p>
        </w:tc>
      </w:tr>
    </w:tbl>
    <w:p>
      <w:pPr>
        <w:pStyle w:val="BodyText"/>
        <w:spacing w:before="1"/>
        <w:rPr>
          <w:sz w:val="13"/>
        </w:rPr>
      </w:pPr>
    </w:p>
    <w:p>
      <w:pPr>
        <w:spacing w:before="81"/>
        <w:ind w:left="141" w:right="9550" w:firstLine="0"/>
        <w:jc w:val="center"/>
        <w:rPr>
          <w:sz w:val="16"/>
        </w:rPr>
      </w:pPr>
      <w:r>
        <w:rPr/>
        <w:pict>
          <v:group style="position:absolute;margin-left:513.070923pt;margin-top:-102.405548pt;width:385.05pt;height:378.95pt;mso-position-horizontal-relative:page;mso-position-vertical-relative:paragraph;z-index:11488" coordorigin="10261,-2048" coordsize="7701,7579">
            <v:line style="position:absolute" from="14086,1681" to="14086,-2012" stroked="true" strokeweight=".5pt" strokecolor="#929292">
              <v:stroke dashstyle="dash"/>
            </v:line>
            <v:shape style="position:absolute;left:0;top:4995;width:2;height:3738" coordorigin="0,4995" coordsize="0,3738" path="m14086,1711l14086,1711m14086,-2027l14086,-2027e" filled="false" stroked="true" strokeweight=".5pt" strokecolor="#929292">
              <v:path arrowok="t"/>
            </v:shape>
            <v:line style="position:absolute" from="10296,1711" to="14071,1711" stroked="true" strokeweight=".5pt" strokecolor="#929292">
              <v:stroke dashstyle="dash"/>
            </v:line>
            <v:shape style="position:absolute;left:0;top:8733;width:3820;height:2" coordorigin="0,8733" coordsize="3820,0" path="m10266,1711l10266,1711m14086,1711l14086,1711e" filled="false" stroked="true" strokeweight=".5pt" strokecolor="#929292">
              <v:path arrowok="t"/>
            </v:shape>
            <v:line style="position:absolute" from="14086,5496" to="14086,1726" stroked="true" strokeweight=".5pt" strokecolor="#929292">
              <v:stroke dashstyle="dash"/>
            </v:line>
            <v:shape style="position:absolute;left:0;top:4918;width:2;height:3815" coordorigin="0,4918" coordsize="0,3815" path="m14086,5526l14086,5526m14086,1711l14086,1711e" filled="false" stroked="true" strokeweight=".5pt" strokecolor="#929292">
              <v:path arrowok="t"/>
            </v:shape>
            <v:line style="position:absolute" from="14116,1711" to="17942,1711" stroked="true" strokeweight=".5pt" strokecolor="#929292">
              <v:stroke dashstyle="dash"/>
            </v:line>
            <v:shape style="position:absolute;left:0;top:8733;width:3871;height:2" coordorigin="0,8733" coordsize="3871,0" path="m14086,1711l14086,1711m17957,1711l17957,1711e" filled="false" stroked="true" strokeweight=".5pt" strokecolor="#929292">
              <v:path arrowok="t"/>
            </v:shape>
            <v:shape style="position:absolute;left:10369;top:-2048;width:3521;height:3526" type="#_x0000_t202" filled="false" stroked="false">
              <v:textbox inset="0,0,0,0">
                <w:txbxContent>
                  <w:p>
                    <w:pPr>
                      <w:spacing w:line="164" w:lineRule="exact" w:before="0"/>
                      <w:ind w:left="1391" w:right="1304" w:firstLine="0"/>
                      <w:jc w:val="center"/>
                      <w:rPr>
                        <w:sz w:val="16"/>
                      </w:rPr>
                    </w:pPr>
                    <w:r>
                      <w:rPr>
                        <w:w w:val="105"/>
                        <w:sz w:val="16"/>
                      </w:rPr>
                      <w:t>Fortalezas</w:t>
                    </w:r>
                  </w:p>
                  <w:p>
                    <w:pPr>
                      <w:spacing w:line="333" w:lineRule="auto" w:before="72"/>
                      <w:ind w:left="0" w:right="330" w:firstLine="0"/>
                      <w:jc w:val="left"/>
                      <w:rPr>
                        <w:sz w:val="16"/>
                      </w:rPr>
                    </w:pPr>
                    <w:r>
                      <w:rPr>
                        <w:sz w:val="16"/>
                      </w:rPr>
                      <w:t>F1. Producen alimento para autoconsumo F2. Poseen amplia biodiversidad</w:t>
                    </w:r>
                  </w:p>
                  <w:p>
                    <w:pPr>
                      <w:spacing w:line="261" w:lineRule="auto" w:before="3"/>
                      <w:ind w:left="0" w:right="0" w:firstLine="0"/>
                      <w:jc w:val="left"/>
                      <w:rPr>
                        <w:sz w:val="16"/>
                      </w:rPr>
                    </w:pPr>
                    <w:r>
                      <w:rPr>
                        <w:sz w:val="16"/>
                      </w:rPr>
                      <w:t>F3. Establecimiento de plantas, arbustos y árboles de acuerdo con los gustos e intereses de</w:t>
                    </w:r>
                    <w:r>
                      <w:rPr>
                        <w:w w:val="101"/>
                        <w:sz w:val="16"/>
                      </w:rPr>
                      <w:t> </w:t>
                    </w:r>
                    <w:r>
                      <w:rPr>
                        <w:sz w:val="16"/>
                      </w:rPr>
                      <w:t>la familia</w:t>
                    </w:r>
                  </w:p>
                  <w:p>
                    <w:pPr>
                      <w:spacing w:before="56"/>
                      <w:ind w:left="0" w:right="-18" w:firstLine="0"/>
                      <w:jc w:val="left"/>
                      <w:rPr>
                        <w:sz w:val="16"/>
                      </w:rPr>
                    </w:pPr>
                    <w:r>
                      <w:rPr>
                        <w:sz w:val="16"/>
                      </w:rPr>
                      <w:t>F4. Conservación de germoplasma in situ</w:t>
                    </w:r>
                  </w:p>
                  <w:p>
                    <w:pPr>
                      <w:spacing w:line="261" w:lineRule="auto" w:before="72"/>
                      <w:ind w:left="0" w:right="574" w:firstLine="0"/>
                      <w:jc w:val="left"/>
                      <w:rPr>
                        <w:sz w:val="16"/>
                      </w:rPr>
                    </w:pPr>
                    <w:r>
                      <w:rPr>
                        <w:sz w:val="16"/>
                      </w:rPr>
                      <w:t>F5. Requieren de pocos insumos para su mantenimiento</w:t>
                    </w:r>
                  </w:p>
                  <w:p>
                    <w:pPr>
                      <w:spacing w:line="333" w:lineRule="auto" w:before="56"/>
                      <w:ind w:left="0" w:right="1606" w:firstLine="0"/>
                      <w:jc w:val="left"/>
                      <w:rPr>
                        <w:sz w:val="16"/>
                      </w:rPr>
                    </w:pPr>
                    <w:r>
                      <w:rPr>
                        <w:sz w:val="16"/>
                      </w:rPr>
                      <w:t>F6. Crean clima agradable F7. Reciclaje de nutrientes</w:t>
                    </w:r>
                  </w:p>
                  <w:p>
                    <w:pPr>
                      <w:spacing w:line="333" w:lineRule="auto" w:before="3"/>
                      <w:ind w:left="0" w:right="837" w:firstLine="0"/>
                      <w:jc w:val="left"/>
                      <w:rPr>
                        <w:sz w:val="16"/>
                      </w:rPr>
                    </w:pPr>
                    <w:r>
                      <w:rPr>
                        <w:sz w:val="16"/>
                      </w:rPr>
                      <w:t>F8. Generan servicios ambientales F9. Protege el suelo de la erosión</w:t>
                    </w:r>
                  </w:p>
                  <w:p>
                    <w:pPr>
                      <w:spacing w:line="261" w:lineRule="auto" w:before="3"/>
                      <w:ind w:left="0" w:right="592" w:firstLine="0"/>
                      <w:jc w:val="left"/>
                      <w:rPr>
                        <w:sz w:val="16"/>
                      </w:rPr>
                    </w:pPr>
                    <w:r>
                      <w:rPr>
                        <w:sz w:val="16"/>
                      </w:rPr>
                      <w:t>F10. Utilizar el espacio para recreación o esparcimiento de las personas</w:t>
                    </w:r>
                  </w:p>
                </w:txbxContent>
              </v:textbox>
              <w10:wrap type="none"/>
            </v:shape>
            <v:shape style="position:absolute;left:14194;top:-2048;width:3400;height:3326" type="#_x0000_t202" filled="false" stroked="false">
              <v:textbox inset="0,0,0,0">
                <w:txbxContent>
                  <w:p>
                    <w:pPr>
                      <w:spacing w:line="164" w:lineRule="exact" w:before="0"/>
                      <w:ind w:left="1278" w:right="-9" w:firstLine="0"/>
                      <w:jc w:val="left"/>
                      <w:rPr>
                        <w:sz w:val="16"/>
                      </w:rPr>
                    </w:pPr>
                    <w:r>
                      <w:rPr>
                        <w:w w:val="105"/>
                        <w:sz w:val="16"/>
                      </w:rPr>
                      <w:t>Oportunidades</w:t>
                    </w:r>
                  </w:p>
                  <w:p>
                    <w:pPr>
                      <w:spacing w:line="261" w:lineRule="auto" w:before="72"/>
                      <w:ind w:left="0" w:right="-9" w:firstLine="0"/>
                      <w:jc w:val="left"/>
                      <w:rPr>
                        <w:sz w:val="16"/>
                      </w:rPr>
                    </w:pPr>
                    <w:r>
                      <w:rPr>
                        <w:sz w:val="16"/>
                      </w:rPr>
                      <w:t>O1. Intercambio de conocimientos entre las personas</w:t>
                    </w:r>
                  </w:p>
                  <w:p>
                    <w:pPr>
                      <w:spacing w:before="56"/>
                      <w:ind w:left="0" w:right="-9" w:firstLine="0"/>
                      <w:jc w:val="left"/>
                      <w:rPr>
                        <w:sz w:val="16"/>
                      </w:rPr>
                    </w:pPr>
                    <w:r>
                      <w:rPr>
                        <w:sz w:val="16"/>
                      </w:rPr>
                      <w:t>O2. Intercambio de productos</w:t>
                    </w:r>
                  </w:p>
                  <w:p>
                    <w:pPr>
                      <w:spacing w:before="72"/>
                      <w:ind w:left="0" w:right="-9" w:firstLine="0"/>
                      <w:jc w:val="left"/>
                      <w:rPr>
                        <w:sz w:val="16"/>
                      </w:rPr>
                    </w:pPr>
                    <w:r>
                      <w:rPr>
                        <w:sz w:val="16"/>
                      </w:rPr>
                      <w:t>O3. Venta de excedentes del huerto</w:t>
                    </w:r>
                  </w:p>
                  <w:p>
                    <w:pPr>
                      <w:spacing w:before="72"/>
                      <w:ind w:left="0" w:right="-9" w:firstLine="0"/>
                      <w:jc w:val="left"/>
                      <w:rPr>
                        <w:sz w:val="16"/>
                      </w:rPr>
                    </w:pPr>
                    <w:r>
                      <w:rPr>
                        <w:sz w:val="16"/>
                      </w:rPr>
                      <w:t>O4. Requiere poco tiempo para su cuidado</w:t>
                    </w:r>
                  </w:p>
                  <w:p>
                    <w:pPr>
                      <w:spacing w:before="72"/>
                      <w:ind w:left="0" w:right="-9" w:firstLine="0"/>
                      <w:jc w:val="left"/>
                      <w:rPr>
                        <w:sz w:val="16"/>
                      </w:rPr>
                    </w:pPr>
                    <w:r>
                      <w:rPr>
                        <w:sz w:val="16"/>
                      </w:rPr>
                      <w:t>O5. Interrelación de los componentes del AEHF</w:t>
                    </w:r>
                  </w:p>
                  <w:p>
                    <w:pPr>
                      <w:spacing w:line="261" w:lineRule="auto" w:before="72"/>
                      <w:ind w:left="0" w:right="-9" w:firstLine="0"/>
                      <w:jc w:val="left"/>
                      <w:rPr>
                        <w:sz w:val="16"/>
                      </w:rPr>
                    </w:pPr>
                    <w:r>
                      <w:rPr>
                        <w:sz w:val="16"/>
                      </w:rPr>
                      <w:t>O6. Integración familiar para las actividades de mantenimiento</w:t>
                    </w:r>
                  </w:p>
                  <w:p>
                    <w:pPr>
                      <w:spacing w:line="333" w:lineRule="auto" w:before="56"/>
                      <w:ind w:left="0" w:right="560" w:firstLine="0"/>
                      <w:jc w:val="left"/>
                      <w:rPr>
                        <w:sz w:val="16"/>
                      </w:rPr>
                    </w:pPr>
                    <w:r>
                      <w:rPr>
                        <w:sz w:val="16"/>
                      </w:rPr>
                      <w:t>O7. Conservación de vegetación local O8. Estrategia de seguridad alimentaria O9. Económicamente viables</w:t>
                    </w:r>
                  </w:p>
                  <w:p>
                    <w:pPr>
                      <w:spacing w:line="261" w:lineRule="auto" w:before="3"/>
                      <w:ind w:left="0" w:right="0" w:firstLine="0"/>
                      <w:jc w:val="left"/>
                      <w:rPr>
                        <w:sz w:val="16"/>
                      </w:rPr>
                    </w:pPr>
                    <w:r>
                      <w:rPr>
                        <w:sz w:val="16"/>
                      </w:rPr>
                      <w:t>O10. Terapia ocupacional para personas que lo requieran</w:t>
                    </w:r>
                  </w:p>
                </w:txbxContent>
              </v:textbox>
              <w10:wrap type="none"/>
            </v:shape>
            <v:shape style="position:absolute;left:10370;top:1699;width:3584;height:3726" type="#_x0000_t202" filled="false" stroked="false">
              <v:textbox inset="0,0,0,0">
                <w:txbxContent>
                  <w:p>
                    <w:pPr>
                      <w:spacing w:line="164" w:lineRule="exact" w:before="0"/>
                      <w:ind w:left="1367" w:right="0" w:firstLine="0"/>
                      <w:jc w:val="left"/>
                      <w:rPr>
                        <w:sz w:val="16"/>
                      </w:rPr>
                    </w:pPr>
                    <w:r>
                      <w:rPr>
                        <w:w w:val="105"/>
                        <w:sz w:val="16"/>
                      </w:rPr>
                      <w:t>Debilidades</w:t>
                    </w:r>
                  </w:p>
                  <w:p>
                    <w:pPr>
                      <w:spacing w:before="72"/>
                      <w:ind w:left="0" w:right="0" w:firstLine="0"/>
                      <w:jc w:val="left"/>
                      <w:rPr>
                        <w:sz w:val="16"/>
                      </w:rPr>
                    </w:pPr>
                    <w:r>
                      <w:rPr>
                        <w:sz w:val="16"/>
                      </w:rPr>
                      <w:t>D1. Escases de agua</w:t>
                    </w:r>
                  </w:p>
                  <w:p>
                    <w:pPr>
                      <w:spacing w:line="261" w:lineRule="auto" w:before="72"/>
                      <w:ind w:left="0" w:right="0" w:firstLine="0"/>
                      <w:jc w:val="left"/>
                      <w:rPr>
                        <w:sz w:val="16"/>
                      </w:rPr>
                    </w:pPr>
                    <w:r>
                      <w:rPr>
                        <w:sz w:val="16"/>
                      </w:rPr>
                      <w:t>D2. División del terreno por el crecimiento de la familia</w:t>
                    </w:r>
                  </w:p>
                  <w:p>
                    <w:pPr>
                      <w:spacing w:line="261" w:lineRule="auto" w:before="56"/>
                      <w:ind w:left="0" w:right="0" w:firstLine="0"/>
                      <w:jc w:val="left"/>
                      <w:rPr>
                        <w:sz w:val="16"/>
                      </w:rPr>
                    </w:pPr>
                    <w:r>
                      <w:rPr>
                        <w:sz w:val="16"/>
                      </w:rPr>
                      <w:t>D3. No se transmite el conocimiento a las nuevas generaciones</w:t>
                    </w:r>
                  </w:p>
                  <w:p>
                    <w:pPr>
                      <w:spacing w:line="333" w:lineRule="auto" w:before="56"/>
                      <w:ind w:left="0" w:right="962" w:firstLine="0"/>
                      <w:jc w:val="left"/>
                      <w:rPr>
                        <w:sz w:val="16"/>
                      </w:rPr>
                    </w:pPr>
                    <w:r>
                      <w:rPr>
                        <w:sz w:val="16"/>
                      </w:rPr>
                      <w:t>D4. Plagas en el agro ecosistema D5. Falta de sucesión ecológica</w:t>
                    </w:r>
                  </w:p>
                  <w:p>
                    <w:pPr>
                      <w:spacing w:line="261" w:lineRule="auto" w:before="3"/>
                      <w:ind w:left="0" w:right="0" w:firstLine="0"/>
                      <w:jc w:val="left"/>
                      <w:rPr>
                        <w:sz w:val="16"/>
                      </w:rPr>
                    </w:pPr>
                    <w:r>
                      <w:rPr>
                        <w:sz w:val="16"/>
                      </w:rPr>
                      <w:t>D6. Desconocimiento de la importancia del huerto</w:t>
                    </w:r>
                    <w:r>
                      <w:rPr>
                        <w:w w:val="101"/>
                        <w:sz w:val="16"/>
                      </w:rPr>
                      <w:t> </w:t>
                    </w:r>
                    <w:r>
                      <w:rPr>
                        <w:sz w:val="16"/>
                      </w:rPr>
                      <w:t>familiar</w:t>
                    </w:r>
                  </w:p>
                  <w:p>
                    <w:pPr>
                      <w:spacing w:line="261" w:lineRule="auto" w:before="56"/>
                      <w:ind w:left="0" w:right="95" w:firstLine="0"/>
                      <w:jc w:val="left"/>
                      <w:rPr>
                        <w:sz w:val="16"/>
                      </w:rPr>
                    </w:pPr>
                    <w:r>
                      <w:rPr>
                        <w:sz w:val="16"/>
                      </w:rPr>
                      <w:t>D7. Escazas prácticas para el mantenimiento del huerto</w:t>
                    </w:r>
                  </w:p>
                  <w:p>
                    <w:pPr>
                      <w:spacing w:line="261" w:lineRule="auto" w:before="56"/>
                      <w:ind w:left="0" w:right="148" w:firstLine="0"/>
                      <w:jc w:val="left"/>
                      <w:rPr>
                        <w:sz w:val="16"/>
                      </w:rPr>
                    </w:pPr>
                    <w:r>
                      <w:rPr>
                        <w:sz w:val="16"/>
                      </w:rPr>
                      <w:t>D8. El mantenimiento es realizado por personas mayores y mujeres</w:t>
                    </w:r>
                  </w:p>
                  <w:p>
                    <w:pPr>
                      <w:spacing w:line="256" w:lineRule="exact" w:before="2"/>
                      <w:ind w:left="0" w:right="259" w:firstLine="0"/>
                      <w:jc w:val="left"/>
                      <w:rPr>
                        <w:sz w:val="16"/>
                      </w:rPr>
                    </w:pPr>
                    <w:r>
                      <w:rPr>
                        <w:sz w:val="16"/>
                      </w:rPr>
                      <w:t>D9. Desinterés por continuar con el huerto D10. Falta de asesoría para el mantenimiento</w:t>
                    </w:r>
                  </w:p>
                </w:txbxContent>
              </v:textbox>
              <w10:wrap type="none"/>
            </v:shape>
            <v:shape style="position:absolute;left:14194;top:1699;width:3411;height:3526" type="#_x0000_t202" filled="false" stroked="false">
              <v:textbox inset="0,0,0,0">
                <w:txbxContent>
                  <w:p>
                    <w:pPr>
                      <w:spacing w:line="164" w:lineRule="exact" w:before="0"/>
                      <w:ind w:left="1431" w:right="1183" w:firstLine="0"/>
                      <w:jc w:val="center"/>
                      <w:rPr>
                        <w:sz w:val="16"/>
                      </w:rPr>
                    </w:pPr>
                    <w:r>
                      <w:rPr>
                        <w:sz w:val="16"/>
                      </w:rPr>
                      <w:t>Amenazas</w:t>
                    </w:r>
                  </w:p>
                  <w:p>
                    <w:pPr>
                      <w:spacing w:before="72"/>
                      <w:ind w:left="0" w:right="-7" w:firstLine="0"/>
                      <w:jc w:val="left"/>
                      <w:rPr>
                        <w:sz w:val="16"/>
                      </w:rPr>
                    </w:pPr>
                    <w:r>
                      <w:rPr>
                        <w:sz w:val="16"/>
                      </w:rPr>
                      <w:t>A1. Introducción de especies exóticas</w:t>
                    </w:r>
                  </w:p>
                  <w:p>
                    <w:pPr>
                      <w:spacing w:before="72"/>
                      <w:ind w:left="0" w:right="-7" w:firstLine="0"/>
                      <w:jc w:val="left"/>
                      <w:rPr>
                        <w:sz w:val="16"/>
                      </w:rPr>
                    </w:pPr>
                    <w:r>
                      <w:rPr>
                        <w:sz w:val="16"/>
                      </w:rPr>
                      <w:t>A2. Presión por el cambio de uso de suelo</w:t>
                    </w:r>
                  </w:p>
                  <w:p>
                    <w:pPr>
                      <w:spacing w:line="261" w:lineRule="auto" w:before="72"/>
                      <w:ind w:left="0" w:right="-7" w:firstLine="0"/>
                      <w:jc w:val="left"/>
                      <w:rPr>
                        <w:sz w:val="16"/>
                      </w:rPr>
                    </w:pPr>
                    <w:r>
                      <w:rPr>
                        <w:sz w:val="16"/>
                      </w:rPr>
                      <w:t>A3. Políticas públicas para crear invernaderos o</w:t>
                    </w:r>
                    <w:r>
                      <w:rPr>
                        <w:w w:val="103"/>
                        <w:sz w:val="16"/>
                      </w:rPr>
                      <w:t> </w:t>
                    </w:r>
                    <w:r>
                      <w:rPr>
                        <w:sz w:val="16"/>
                      </w:rPr>
                      <w:t>huertos comerciales</w:t>
                    </w:r>
                  </w:p>
                  <w:p>
                    <w:pPr>
                      <w:spacing w:line="333" w:lineRule="auto" w:before="56"/>
                      <w:ind w:left="0" w:right="78" w:firstLine="0"/>
                      <w:jc w:val="left"/>
                      <w:rPr>
                        <w:sz w:val="16"/>
                      </w:rPr>
                    </w:pPr>
                    <w:r>
                      <w:rPr>
                        <w:sz w:val="16"/>
                      </w:rPr>
                      <w:t>A4. Cambios en los ciclos de lluvia y sequía A5. Aumento o disminución de la temperatura A6. Resistencia o aparición de plagas</w:t>
                    </w:r>
                  </w:p>
                  <w:p>
                    <w:pPr>
                      <w:spacing w:line="261" w:lineRule="auto" w:before="3"/>
                      <w:ind w:left="0" w:right="144" w:firstLine="0"/>
                      <w:jc w:val="left"/>
                      <w:rPr>
                        <w:sz w:val="16"/>
                      </w:rPr>
                    </w:pPr>
                    <w:r>
                      <w:rPr>
                        <w:sz w:val="16"/>
                      </w:rPr>
                      <w:t>A7. Uso de agroquímicos fuera del AEHF que afecte al huerto</w:t>
                    </w:r>
                  </w:p>
                  <w:p>
                    <w:pPr>
                      <w:spacing w:line="261" w:lineRule="auto" w:before="56"/>
                      <w:ind w:left="0" w:right="-7" w:firstLine="0"/>
                      <w:jc w:val="left"/>
                      <w:rPr>
                        <w:sz w:val="16"/>
                      </w:rPr>
                    </w:pPr>
                    <w:r>
                      <w:rPr>
                        <w:sz w:val="16"/>
                      </w:rPr>
                      <w:t>A8. Problemas económicos familiares que provoque vender su terreno</w:t>
                    </w:r>
                  </w:p>
                  <w:p>
                    <w:pPr>
                      <w:spacing w:before="56"/>
                      <w:ind w:left="0" w:right="-7" w:firstLine="0"/>
                      <w:jc w:val="left"/>
                      <w:rPr>
                        <w:sz w:val="16"/>
                      </w:rPr>
                    </w:pPr>
                    <w:r>
                      <w:rPr>
                        <w:sz w:val="16"/>
                      </w:rPr>
                      <w:t>A9. Crecimiento de la zona urbana</w:t>
                    </w:r>
                  </w:p>
                  <w:p>
                    <w:pPr>
                      <w:spacing w:line="261" w:lineRule="auto" w:before="72"/>
                      <w:ind w:left="0" w:right="-7" w:firstLine="0"/>
                      <w:jc w:val="left"/>
                      <w:rPr>
                        <w:sz w:val="16"/>
                      </w:rPr>
                    </w:pPr>
                    <w:r>
                      <w:rPr>
                        <w:sz w:val="16"/>
                      </w:rPr>
                      <w:t>A10. Migración de las familias por problemas económicos</w:t>
                    </w:r>
                  </w:p>
                </w:txbxContent>
              </v:textbox>
              <w10:wrap type="none"/>
            </v:shape>
            <w10:wrap type="none"/>
          </v:group>
        </w:pict>
      </w:r>
      <w:r>
        <w:rPr>
          <w:color w:val="6D6E71"/>
          <w:sz w:val="16"/>
        </w:rPr>
        <w:t>Fuente: Elaboración propia, 2015.</w:t>
      </w:r>
    </w:p>
    <w:p>
      <w:pPr>
        <w:pStyle w:val="BodyText"/>
        <w:rPr>
          <w:sz w:val="16"/>
        </w:rPr>
      </w:pPr>
    </w:p>
    <w:p>
      <w:pPr>
        <w:spacing w:line="312" w:lineRule="auto" w:before="112"/>
        <w:ind w:left="141" w:right="9550" w:firstLine="0"/>
        <w:jc w:val="center"/>
        <w:rPr>
          <w:sz w:val="16"/>
        </w:rPr>
      </w:pPr>
      <w:r>
        <w:rPr/>
        <w:drawing>
          <wp:anchor distT="0" distB="0" distL="0" distR="0" allowOverlap="1" layoutInCell="1" locked="0" behindDoc="0" simplePos="0" relativeHeight="11368">
            <wp:simplePos x="0" y="0"/>
            <wp:positionH relativeFrom="page">
              <wp:posOffset>1226312</wp:posOffset>
            </wp:positionH>
            <wp:positionV relativeFrom="paragraph">
              <wp:posOffset>450999</wp:posOffset>
            </wp:positionV>
            <wp:extent cx="3512343" cy="2062448"/>
            <wp:effectExtent l="0" t="0" r="0" b="0"/>
            <wp:wrapTopAndBottom/>
            <wp:docPr id="119" name="image86.png" descr=""/>
            <wp:cNvGraphicFramePr>
              <a:graphicFrameLocks noChangeAspect="1"/>
            </wp:cNvGraphicFramePr>
            <a:graphic>
              <a:graphicData uri="http://schemas.openxmlformats.org/drawingml/2006/picture">
                <pic:pic>
                  <pic:nvPicPr>
                    <pic:cNvPr id="120" name="image86.png"/>
                    <pic:cNvPicPr/>
                  </pic:nvPicPr>
                  <pic:blipFill>
                    <a:blip r:embed="rId279" cstate="print"/>
                    <a:stretch>
                      <a:fillRect/>
                    </a:stretch>
                  </pic:blipFill>
                  <pic:spPr>
                    <a:xfrm>
                      <a:off x="0" y="0"/>
                      <a:ext cx="3512343" cy="2062448"/>
                    </a:xfrm>
                    <a:prstGeom prst="rect">
                      <a:avLst/>
                    </a:prstGeom>
                  </pic:spPr>
                </pic:pic>
              </a:graphicData>
            </a:graphic>
          </wp:anchor>
        </w:drawing>
      </w:r>
      <w:r>
        <w:rPr>
          <w:color w:val="6D6E71"/>
          <w:sz w:val="16"/>
        </w:rPr>
        <w:t>Gráfica 14. Análisis Comparativo Regional de la Superficie Total Estudiada y la Superficie Ocupada por Huertos por Municipio Analizado (ha)</w:t>
      </w:r>
    </w:p>
    <w:p>
      <w:pPr>
        <w:pStyle w:val="BodyText"/>
        <w:spacing w:before="9"/>
        <w:rPr>
          <w:sz w:val="17"/>
        </w:rPr>
      </w:pPr>
    </w:p>
    <w:p>
      <w:pPr>
        <w:spacing w:before="0"/>
        <w:ind w:left="142" w:right="9550" w:firstLine="0"/>
        <w:jc w:val="center"/>
        <w:rPr>
          <w:sz w:val="16"/>
        </w:rPr>
      </w:pPr>
      <w:r>
        <w:rPr>
          <w:color w:val="6D6E71"/>
          <w:sz w:val="16"/>
        </w:rPr>
        <w:t>Fuente: Elaboración propia, 2015.</w:t>
      </w:r>
    </w:p>
    <w:p>
      <w:pPr>
        <w:pStyle w:val="BodyText"/>
        <w:rPr>
          <w:sz w:val="16"/>
        </w:rPr>
      </w:pPr>
    </w:p>
    <w:p>
      <w:pPr>
        <w:pStyle w:val="BodyText"/>
        <w:rPr>
          <w:sz w:val="16"/>
        </w:rPr>
      </w:pPr>
    </w:p>
    <w:p>
      <w:pPr>
        <w:pStyle w:val="BodyText"/>
        <w:rPr>
          <w:sz w:val="16"/>
        </w:rPr>
      </w:pPr>
    </w:p>
    <w:p>
      <w:pPr>
        <w:pStyle w:val="BodyText"/>
        <w:spacing w:before="11"/>
        <w:rPr>
          <w:sz w:val="12"/>
        </w:rPr>
      </w:pPr>
    </w:p>
    <w:p>
      <w:pPr>
        <w:pStyle w:val="Heading1"/>
      </w:pPr>
      <w:r>
        <w:rPr/>
        <w:t>Diagnóstico de la Problemática mediante Análisis FODA</w:t>
      </w:r>
    </w:p>
    <w:p>
      <w:pPr>
        <w:pStyle w:val="BodyText"/>
        <w:spacing w:before="4"/>
        <w:rPr>
          <w:b/>
          <w:sz w:val="14"/>
        </w:rPr>
      </w:pPr>
    </w:p>
    <w:p>
      <w:pPr>
        <w:spacing w:after="0"/>
        <w:rPr>
          <w:sz w:val="14"/>
        </w:rPr>
        <w:sectPr>
          <w:type w:val="continuous"/>
          <w:pgSz w:w="18830" w:h="12760" w:orient="landscape"/>
          <w:pgMar w:top="1420" w:bottom="280" w:left="720" w:right="720"/>
        </w:sectPr>
      </w:pPr>
    </w:p>
    <w:p>
      <w:pPr>
        <w:pStyle w:val="BodyText"/>
        <w:spacing w:line="249" w:lineRule="auto" w:before="76"/>
        <w:ind w:left="130" w:firstLine="170"/>
        <w:jc w:val="both"/>
      </w:pPr>
      <w:r>
        <w:rPr/>
        <w:t>Una vez realizada la Caracterización Geográfica del área de estudio, se procedió a elaborar el Diagnóstico mediante Análisis de Fortalezas, Oportunidades, debilidades y Amenazas (FODA), obtenido por medio de entrevistas no estructuradas y observación directa en campo. El diagnóstico preliminar se muestra en el cuadro  11.</w:t>
      </w:r>
    </w:p>
    <w:p>
      <w:pPr>
        <w:spacing w:before="112"/>
        <w:ind w:left="130" w:right="0" w:firstLine="0"/>
        <w:jc w:val="left"/>
        <w:rPr>
          <w:sz w:val="16"/>
        </w:rPr>
      </w:pPr>
      <w:r>
        <w:rPr/>
        <w:br w:type="column"/>
      </w:r>
      <w:r>
        <w:rPr>
          <w:color w:val="6D6E71"/>
          <w:sz w:val="16"/>
        </w:rPr>
        <w:t>Fuente: Elaboración propia, 2015</w:t>
      </w:r>
    </w:p>
    <w:p>
      <w:pPr>
        <w:spacing w:after="0"/>
        <w:jc w:val="left"/>
        <w:rPr>
          <w:sz w:val="16"/>
        </w:rPr>
        <w:sectPr>
          <w:type w:val="continuous"/>
          <w:pgSz w:w="18830" w:h="12760" w:orient="landscape"/>
          <w:pgMar w:top="1420" w:bottom="280" w:left="720" w:right="720"/>
          <w:cols w:num="2" w:equalWidth="0">
            <w:col w:w="7841" w:space="4238"/>
            <w:col w:w="5311"/>
          </w:cols>
        </w:sectPr>
      </w:pPr>
    </w:p>
    <w:p>
      <w:pPr>
        <w:pStyle w:val="BodyText"/>
        <w:spacing w:before="8"/>
      </w:pPr>
    </w:p>
    <w:p>
      <w:pPr>
        <w:pStyle w:val="Heading1"/>
        <w:spacing w:line="240" w:lineRule="exact" w:before="104"/>
        <w:ind w:left="141" w:right="9550"/>
        <w:jc w:val="center"/>
      </w:pPr>
      <w:r>
        <w:rPr/>
        <w:pict>
          <v:shape style="position:absolute;margin-left:514.049072pt;margin-top:2.341517pt;width:382.25pt;height:329.6pt;mso-position-horizontal-relative:page;mso-position-vertical-relative:paragraph;z-index:11512" type="#_x0000_t202" filled="false" stroked="false">
            <v:textbox inset="0,0,0,0">
              <w:txbxContent>
                <w:tbl>
                  <w:tblPr>
                    <w:tblW w:w="0" w:type="auto"/>
                    <w:jc w:val="left"/>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2127"/>
                    <w:gridCol w:w="2481"/>
                    <w:gridCol w:w="3021"/>
                  </w:tblGrid>
                  <w:tr>
                    <w:trPr>
                      <w:trHeight w:val="6582" w:hRule="exact"/>
                    </w:trPr>
                    <w:tc>
                      <w:tcPr>
                        <w:tcW w:w="2127" w:type="dxa"/>
                        <w:tcBorders>
                          <w:left w:val="nil"/>
                        </w:tcBorders>
                      </w:tcPr>
                      <w:p>
                        <w:pPr>
                          <w:pStyle w:val="TableParagraph"/>
                          <w:spacing w:line="160" w:lineRule="exact"/>
                          <w:ind w:left="73"/>
                          <w:rPr>
                            <w:sz w:val="16"/>
                          </w:rPr>
                        </w:pPr>
                        <w:r>
                          <w:rPr>
                            <w:sz w:val="16"/>
                          </w:rPr>
                          <w:t>2.- No maderables</w:t>
                        </w:r>
                      </w:p>
                      <w:p>
                        <w:pPr>
                          <w:pStyle w:val="TableParagraph"/>
                          <w:numPr>
                            <w:ilvl w:val="0"/>
                            <w:numId w:val="19"/>
                          </w:numPr>
                          <w:tabs>
                            <w:tab w:pos="432" w:val="left" w:leader="none"/>
                            <w:tab w:pos="434" w:val="left" w:leader="none"/>
                          </w:tabs>
                          <w:spacing w:line="240" w:lineRule="auto" w:before="72" w:after="0"/>
                          <w:ind w:left="433" w:right="0" w:hanging="360"/>
                          <w:jc w:val="left"/>
                          <w:rPr>
                            <w:sz w:val="16"/>
                          </w:rPr>
                        </w:pPr>
                        <w:r>
                          <w:rPr>
                            <w:sz w:val="16"/>
                          </w:rPr>
                          <w:t>Resinas</w:t>
                        </w:r>
                      </w:p>
                      <w:p>
                        <w:pPr>
                          <w:pStyle w:val="TableParagraph"/>
                          <w:numPr>
                            <w:ilvl w:val="0"/>
                            <w:numId w:val="19"/>
                          </w:numPr>
                          <w:tabs>
                            <w:tab w:pos="432" w:val="left" w:leader="none"/>
                            <w:tab w:pos="434" w:val="left" w:leader="none"/>
                          </w:tabs>
                          <w:spacing w:line="240" w:lineRule="auto" w:before="71" w:after="0"/>
                          <w:ind w:left="433" w:right="0" w:hanging="360"/>
                          <w:jc w:val="left"/>
                          <w:rPr>
                            <w:sz w:val="16"/>
                          </w:rPr>
                        </w:pPr>
                        <w:r>
                          <w:rPr>
                            <w:sz w:val="16"/>
                          </w:rPr>
                          <w:t>Gomas</w:t>
                        </w:r>
                      </w:p>
                      <w:p>
                        <w:pPr>
                          <w:pStyle w:val="TableParagraph"/>
                          <w:numPr>
                            <w:ilvl w:val="0"/>
                            <w:numId w:val="19"/>
                          </w:numPr>
                          <w:tabs>
                            <w:tab w:pos="432" w:val="left" w:leader="none"/>
                            <w:tab w:pos="434" w:val="left" w:leader="none"/>
                          </w:tabs>
                          <w:spacing w:line="240" w:lineRule="auto" w:before="71" w:after="0"/>
                          <w:ind w:left="433" w:right="0" w:hanging="360"/>
                          <w:jc w:val="left"/>
                          <w:rPr>
                            <w:sz w:val="16"/>
                          </w:rPr>
                        </w:pPr>
                        <w:r>
                          <w:rPr>
                            <w:sz w:val="16"/>
                          </w:rPr>
                          <w:t>Pigmentos</w:t>
                        </w:r>
                      </w:p>
                      <w:p>
                        <w:pPr>
                          <w:pStyle w:val="TableParagraph"/>
                          <w:numPr>
                            <w:ilvl w:val="0"/>
                            <w:numId w:val="19"/>
                          </w:numPr>
                          <w:tabs>
                            <w:tab w:pos="432" w:val="left" w:leader="none"/>
                            <w:tab w:pos="434" w:val="left" w:leader="none"/>
                          </w:tabs>
                          <w:spacing w:line="240" w:lineRule="auto" w:before="71" w:after="0"/>
                          <w:ind w:left="433" w:right="0" w:hanging="360"/>
                          <w:jc w:val="left"/>
                          <w:rPr>
                            <w:sz w:val="16"/>
                          </w:rPr>
                        </w:pPr>
                        <w:r>
                          <w:rPr>
                            <w:sz w:val="16"/>
                          </w:rPr>
                          <w:t>Medicinas</w:t>
                        </w:r>
                      </w:p>
                      <w:p>
                        <w:pPr>
                          <w:pStyle w:val="TableParagraph"/>
                          <w:numPr>
                            <w:ilvl w:val="0"/>
                            <w:numId w:val="19"/>
                          </w:numPr>
                          <w:tabs>
                            <w:tab w:pos="432" w:val="left" w:leader="none"/>
                            <w:tab w:pos="434" w:val="left" w:leader="none"/>
                          </w:tabs>
                          <w:spacing w:line="240" w:lineRule="auto" w:before="71" w:after="0"/>
                          <w:ind w:left="433" w:right="0" w:hanging="360"/>
                          <w:jc w:val="left"/>
                          <w:rPr>
                            <w:sz w:val="16"/>
                          </w:rPr>
                        </w:pPr>
                        <w:r>
                          <w:rPr>
                            <w:sz w:val="16"/>
                          </w:rPr>
                          <w:t>Hormonas</w:t>
                        </w:r>
                      </w:p>
                      <w:p>
                        <w:pPr>
                          <w:pStyle w:val="TableParagraph"/>
                          <w:numPr>
                            <w:ilvl w:val="0"/>
                            <w:numId w:val="19"/>
                          </w:numPr>
                          <w:tabs>
                            <w:tab w:pos="432" w:val="left" w:leader="none"/>
                            <w:tab w:pos="434" w:val="left" w:leader="none"/>
                          </w:tabs>
                          <w:spacing w:line="240" w:lineRule="auto" w:before="71" w:after="0"/>
                          <w:ind w:left="433" w:right="0" w:hanging="360"/>
                          <w:jc w:val="left"/>
                          <w:rPr>
                            <w:sz w:val="16"/>
                          </w:rPr>
                        </w:pPr>
                        <w:r>
                          <w:rPr>
                            <w:sz w:val="16"/>
                          </w:rPr>
                          <w:t>Forrajes y</w:t>
                        </w:r>
                        <w:r>
                          <w:rPr>
                            <w:spacing w:val="-13"/>
                            <w:sz w:val="16"/>
                          </w:rPr>
                          <w:t> </w:t>
                        </w:r>
                        <w:r>
                          <w:rPr>
                            <w:sz w:val="16"/>
                          </w:rPr>
                          <w:t>semillas</w:t>
                        </w:r>
                      </w:p>
                      <w:p>
                        <w:pPr>
                          <w:pStyle w:val="TableParagraph"/>
                          <w:numPr>
                            <w:ilvl w:val="0"/>
                            <w:numId w:val="19"/>
                          </w:numPr>
                          <w:tabs>
                            <w:tab w:pos="432" w:val="left" w:leader="none"/>
                            <w:tab w:pos="434" w:val="left" w:leader="none"/>
                          </w:tabs>
                          <w:spacing w:line="259" w:lineRule="auto" w:before="71" w:after="0"/>
                          <w:ind w:left="433" w:right="717" w:hanging="360"/>
                          <w:jc w:val="left"/>
                          <w:rPr>
                            <w:sz w:val="16"/>
                          </w:rPr>
                        </w:pPr>
                        <w:r>
                          <w:rPr>
                            <w:w w:val="95"/>
                            <w:sz w:val="16"/>
                          </w:rPr>
                          <w:t>Especímenes </w:t>
                        </w:r>
                        <w:r>
                          <w:rPr>
                            <w:sz w:val="16"/>
                          </w:rPr>
                          <w:t>ornamentales</w:t>
                        </w:r>
                      </w:p>
                      <w:p>
                        <w:pPr>
                          <w:pStyle w:val="TableParagraph"/>
                          <w:numPr>
                            <w:ilvl w:val="0"/>
                            <w:numId w:val="19"/>
                          </w:numPr>
                          <w:tabs>
                            <w:tab w:pos="432" w:val="left" w:leader="none"/>
                            <w:tab w:pos="434" w:val="left" w:leader="none"/>
                          </w:tabs>
                          <w:spacing w:line="240" w:lineRule="auto" w:before="58" w:after="0"/>
                          <w:ind w:left="433" w:right="0" w:hanging="360"/>
                          <w:jc w:val="left"/>
                          <w:rPr>
                            <w:sz w:val="16"/>
                          </w:rPr>
                        </w:pPr>
                        <w:r>
                          <w:rPr>
                            <w:sz w:val="16"/>
                          </w:rPr>
                          <w:t>Mascotas</w:t>
                        </w:r>
                      </w:p>
                    </w:tc>
                    <w:tc>
                      <w:tcPr>
                        <w:tcW w:w="2481" w:type="dxa"/>
                      </w:tcPr>
                      <w:p>
                        <w:pPr>
                          <w:pStyle w:val="TableParagraph"/>
                          <w:spacing w:line="160" w:lineRule="exact"/>
                          <w:ind w:left="102" w:right="7"/>
                          <w:rPr>
                            <w:sz w:val="16"/>
                          </w:rPr>
                        </w:pPr>
                        <w:r>
                          <w:rPr>
                            <w:w w:val="105"/>
                            <w:sz w:val="16"/>
                          </w:rPr>
                          <w:t>2.- Atmosféricos</w:t>
                        </w:r>
                      </w:p>
                      <w:p>
                        <w:pPr>
                          <w:pStyle w:val="TableParagraph"/>
                          <w:numPr>
                            <w:ilvl w:val="0"/>
                            <w:numId w:val="20"/>
                          </w:numPr>
                          <w:tabs>
                            <w:tab w:pos="462" w:val="left" w:leader="none"/>
                            <w:tab w:pos="463" w:val="left" w:leader="none"/>
                          </w:tabs>
                          <w:spacing w:line="240" w:lineRule="auto" w:before="72" w:after="0"/>
                          <w:ind w:left="462" w:right="0" w:hanging="360"/>
                          <w:jc w:val="left"/>
                          <w:rPr>
                            <w:sz w:val="16"/>
                          </w:rPr>
                        </w:pPr>
                        <w:r>
                          <w:rPr>
                            <w:sz w:val="16"/>
                          </w:rPr>
                          <w:t>Regulación del</w:t>
                        </w:r>
                        <w:r>
                          <w:rPr>
                            <w:spacing w:val="8"/>
                            <w:sz w:val="16"/>
                          </w:rPr>
                          <w:t> </w:t>
                        </w:r>
                        <w:r>
                          <w:rPr>
                            <w:sz w:val="16"/>
                          </w:rPr>
                          <w:t>clima</w:t>
                        </w:r>
                      </w:p>
                      <w:p>
                        <w:pPr>
                          <w:pStyle w:val="TableParagraph"/>
                          <w:numPr>
                            <w:ilvl w:val="0"/>
                            <w:numId w:val="20"/>
                          </w:numPr>
                          <w:tabs>
                            <w:tab w:pos="462" w:val="left" w:leader="none"/>
                            <w:tab w:pos="463" w:val="left" w:leader="none"/>
                          </w:tabs>
                          <w:spacing w:line="259" w:lineRule="auto" w:before="71" w:after="0"/>
                          <w:ind w:left="462" w:right="580" w:hanging="360"/>
                          <w:jc w:val="left"/>
                          <w:rPr>
                            <w:sz w:val="16"/>
                          </w:rPr>
                        </w:pPr>
                        <w:r>
                          <w:rPr>
                            <w:sz w:val="16"/>
                          </w:rPr>
                          <w:t>Aporte de humedad al proceso de evapotranspiración</w:t>
                        </w:r>
                      </w:p>
                      <w:p>
                        <w:pPr>
                          <w:pStyle w:val="TableParagraph"/>
                          <w:numPr>
                            <w:ilvl w:val="0"/>
                            <w:numId w:val="20"/>
                          </w:numPr>
                          <w:tabs>
                            <w:tab w:pos="462" w:val="left" w:leader="none"/>
                            <w:tab w:pos="463" w:val="left" w:leader="none"/>
                          </w:tabs>
                          <w:spacing w:line="259" w:lineRule="auto" w:before="58" w:after="0"/>
                          <w:ind w:left="462" w:right="533" w:hanging="360"/>
                          <w:jc w:val="left"/>
                          <w:rPr>
                            <w:sz w:val="16"/>
                          </w:rPr>
                        </w:pPr>
                        <w:r>
                          <w:rPr>
                            <w:sz w:val="16"/>
                          </w:rPr>
                          <w:t>Regulación de la temperatura y</w:t>
                        </w:r>
                        <w:r>
                          <w:rPr>
                            <w:spacing w:val="14"/>
                            <w:sz w:val="16"/>
                          </w:rPr>
                          <w:t> </w:t>
                        </w:r>
                        <w:r>
                          <w:rPr>
                            <w:sz w:val="16"/>
                          </w:rPr>
                          <w:t>viento</w:t>
                        </w:r>
                      </w:p>
                      <w:p>
                        <w:pPr>
                          <w:pStyle w:val="TableParagraph"/>
                          <w:numPr>
                            <w:ilvl w:val="0"/>
                            <w:numId w:val="20"/>
                          </w:numPr>
                          <w:tabs>
                            <w:tab w:pos="462" w:val="left" w:leader="none"/>
                            <w:tab w:pos="463" w:val="left" w:leader="none"/>
                          </w:tabs>
                          <w:spacing w:line="240" w:lineRule="auto" w:before="58" w:after="0"/>
                          <w:ind w:left="462" w:right="0" w:hanging="360"/>
                          <w:jc w:val="left"/>
                          <w:rPr>
                            <w:sz w:val="16"/>
                          </w:rPr>
                        </w:pPr>
                        <w:r>
                          <w:rPr>
                            <w:sz w:val="16"/>
                          </w:rPr>
                          <w:t>Captura de CO2</w:t>
                        </w:r>
                        <w:r>
                          <w:rPr>
                            <w:spacing w:val="5"/>
                            <w:sz w:val="16"/>
                          </w:rPr>
                          <w:t> </w:t>
                        </w:r>
                        <w:r>
                          <w:rPr>
                            <w:sz w:val="16"/>
                          </w:rPr>
                          <w:t>y</w:t>
                        </w:r>
                      </w:p>
                      <w:p>
                        <w:pPr>
                          <w:pStyle w:val="TableParagraph"/>
                          <w:tabs>
                            <w:tab w:pos="462" w:val="left" w:leader="none"/>
                            <w:tab w:pos="2460" w:val="left" w:leader="none"/>
                          </w:tabs>
                          <w:spacing w:line="148" w:lineRule="exact" w:before="46"/>
                          <w:ind w:left="102" w:right="7" w:hanging="79"/>
                          <w:rPr>
                            <w:sz w:val="16"/>
                          </w:rPr>
                        </w:pPr>
                        <w:r>
                          <w:rPr>
                            <w:w w:val="100"/>
                            <w:sz w:val="16"/>
                            <w:u w:val="dotted" w:color="929292"/>
                          </w:rPr>
                          <w:t> </w:t>
                        </w:r>
                        <w:r>
                          <w:rPr>
                            <w:sz w:val="16"/>
                            <w:u w:val="dotted" w:color="929292"/>
                          </w:rPr>
                          <w:tab/>
                          <w:tab/>
                        </w:r>
                        <w:r>
                          <w:rPr>
                            <w:w w:val="101"/>
                            <w:sz w:val="16"/>
                            <w:u w:val="dotted" w:color="929292"/>
                          </w:rPr>
                          <w:t>liberació</w:t>
                        </w:r>
                        <w:r>
                          <w:rPr>
                            <w:w w:val="99"/>
                            <w:sz w:val="16"/>
                            <w:u w:val="dotted" w:color="929292"/>
                          </w:rPr>
                          <w:t>n</w:t>
                        </w:r>
                        <w:r>
                          <w:rPr>
                            <w:sz w:val="16"/>
                            <w:u w:val="dotted" w:color="929292"/>
                          </w:rPr>
                          <w:t> </w:t>
                        </w:r>
                        <w:r>
                          <w:rPr>
                            <w:w w:val="106"/>
                            <w:sz w:val="16"/>
                            <w:u w:val="dotted" w:color="929292"/>
                          </w:rPr>
                          <w:t>d</w:t>
                        </w:r>
                        <w:r>
                          <w:rPr>
                            <w:w w:val="96"/>
                            <w:sz w:val="16"/>
                            <w:u w:val="dotted" w:color="929292"/>
                          </w:rPr>
                          <w:t>e</w:t>
                        </w:r>
                        <w:r>
                          <w:rPr>
                            <w:sz w:val="16"/>
                            <w:u w:val="dotted" w:color="929292"/>
                          </w:rPr>
                          <w:t> </w:t>
                        </w:r>
                        <w:r>
                          <w:rPr>
                            <w:w w:val="97"/>
                            <w:sz w:val="16"/>
                            <w:u w:val="dotted" w:color="929292"/>
                          </w:rPr>
                          <w:t>O</w:t>
                        </w:r>
                        <w:r>
                          <w:rPr>
                            <w:w w:val="99"/>
                            <w:sz w:val="16"/>
                            <w:u w:val="dotted" w:color="929292"/>
                          </w:rPr>
                          <w:t>2</w:t>
                        </w:r>
                        <w:r>
                          <w:rPr>
                            <w:sz w:val="16"/>
                            <w:u w:val="dotted" w:color="929292"/>
                          </w:rPr>
                          <w:tab/>
                        </w:r>
                        <w:r>
                          <w:rPr>
                            <w:sz w:val="16"/>
                          </w:rPr>
                          <w:t> </w:t>
                        </w:r>
                        <w:r>
                          <w:rPr>
                            <w:w w:val="104"/>
                            <w:sz w:val="16"/>
                          </w:rPr>
                          <w:t>3.-</w:t>
                        </w:r>
                        <w:r>
                          <w:rPr>
                            <w:sz w:val="16"/>
                          </w:rPr>
                          <w:t> </w:t>
                        </w:r>
                        <w:r>
                          <w:rPr>
                            <w:w w:val="100"/>
                            <w:sz w:val="16"/>
                          </w:rPr>
                          <w:t>Edáficos</w:t>
                        </w:r>
                      </w:p>
                      <w:p>
                        <w:pPr>
                          <w:pStyle w:val="TableParagraph"/>
                          <w:numPr>
                            <w:ilvl w:val="0"/>
                            <w:numId w:val="20"/>
                          </w:numPr>
                          <w:tabs>
                            <w:tab w:pos="462" w:val="left" w:leader="none"/>
                            <w:tab w:pos="463" w:val="left" w:leader="none"/>
                          </w:tabs>
                          <w:spacing w:line="259" w:lineRule="auto" w:before="77" w:after="0"/>
                          <w:ind w:left="462" w:right="210" w:hanging="360"/>
                          <w:jc w:val="left"/>
                          <w:rPr>
                            <w:sz w:val="16"/>
                          </w:rPr>
                        </w:pPr>
                        <w:r>
                          <w:rPr>
                            <w:sz w:val="16"/>
                          </w:rPr>
                          <w:t>Protección del suelo contra el viento y la</w:t>
                        </w:r>
                        <w:r>
                          <w:rPr>
                            <w:spacing w:val="7"/>
                            <w:sz w:val="16"/>
                          </w:rPr>
                          <w:t> </w:t>
                        </w:r>
                        <w:r>
                          <w:rPr>
                            <w:sz w:val="16"/>
                          </w:rPr>
                          <w:t>lluvia</w:t>
                        </w:r>
                      </w:p>
                      <w:p>
                        <w:pPr>
                          <w:pStyle w:val="TableParagraph"/>
                          <w:numPr>
                            <w:ilvl w:val="0"/>
                            <w:numId w:val="20"/>
                          </w:numPr>
                          <w:tabs>
                            <w:tab w:pos="462" w:val="left" w:leader="none"/>
                            <w:tab w:pos="463" w:val="left" w:leader="none"/>
                          </w:tabs>
                          <w:spacing w:line="259" w:lineRule="auto" w:before="58" w:after="0"/>
                          <w:ind w:left="462" w:right="722" w:hanging="360"/>
                          <w:jc w:val="left"/>
                          <w:rPr>
                            <w:sz w:val="16"/>
                          </w:rPr>
                        </w:pPr>
                        <w:r>
                          <w:rPr>
                            <w:sz w:val="16"/>
                          </w:rPr>
                          <w:t>Aporte de materia orgánica al</w:t>
                        </w:r>
                        <w:r>
                          <w:rPr>
                            <w:spacing w:val="2"/>
                            <w:sz w:val="16"/>
                          </w:rPr>
                          <w:t> </w:t>
                        </w:r>
                        <w:r>
                          <w:rPr>
                            <w:sz w:val="16"/>
                          </w:rPr>
                          <w:t>suelo</w:t>
                        </w:r>
                      </w:p>
                      <w:p>
                        <w:pPr>
                          <w:pStyle w:val="TableParagraph"/>
                          <w:numPr>
                            <w:ilvl w:val="0"/>
                            <w:numId w:val="20"/>
                          </w:numPr>
                          <w:tabs>
                            <w:tab w:pos="462" w:val="left" w:leader="none"/>
                            <w:tab w:pos="463" w:val="left" w:leader="none"/>
                          </w:tabs>
                          <w:spacing w:line="259" w:lineRule="auto" w:before="58" w:after="0"/>
                          <w:ind w:left="462" w:right="384" w:hanging="360"/>
                          <w:jc w:val="left"/>
                          <w:rPr>
                            <w:sz w:val="16"/>
                          </w:rPr>
                        </w:pPr>
                        <w:r>
                          <w:rPr>
                            <w:sz w:val="16"/>
                          </w:rPr>
                          <w:t>Retención y acondicionamiento del suelo</w:t>
                        </w:r>
                      </w:p>
                      <w:p>
                        <w:pPr>
                          <w:pStyle w:val="TableParagraph"/>
                          <w:numPr>
                            <w:ilvl w:val="0"/>
                            <w:numId w:val="20"/>
                          </w:numPr>
                          <w:tabs>
                            <w:tab w:pos="462" w:val="left" w:leader="none"/>
                            <w:tab w:pos="463" w:val="left" w:leader="none"/>
                          </w:tabs>
                          <w:spacing w:line="259" w:lineRule="auto" w:before="58" w:after="0"/>
                          <w:ind w:left="462" w:right="248" w:hanging="360"/>
                          <w:jc w:val="left"/>
                          <w:rPr>
                            <w:sz w:val="16"/>
                          </w:rPr>
                        </w:pPr>
                        <w:r>
                          <w:rPr>
                            <w:sz w:val="16"/>
                          </w:rPr>
                          <w:t>Mantenimiento de la fertilidad y nutrientes del suelo</w:t>
                        </w:r>
                      </w:p>
                      <w:p>
                        <w:pPr>
                          <w:pStyle w:val="TableParagraph"/>
                          <w:numPr>
                            <w:ilvl w:val="0"/>
                            <w:numId w:val="20"/>
                          </w:numPr>
                          <w:tabs>
                            <w:tab w:pos="462" w:val="left" w:leader="none"/>
                            <w:tab w:pos="463" w:val="left" w:leader="none"/>
                          </w:tabs>
                          <w:spacing w:line="240" w:lineRule="auto" w:before="58" w:after="0"/>
                          <w:ind w:left="462" w:right="0" w:hanging="360"/>
                          <w:jc w:val="left"/>
                          <w:rPr>
                            <w:sz w:val="16"/>
                          </w:rPr>
                        </w:pPr>
                        <w:r>
                          <w:rPr>
                            <w:sz w:val="16"/>
                          </w:rPr>
                          <w:t>Disminución de la</w:t>
                        </w:r>
                        <w:r>
                          <w:rPr>
                            <w:spacing w:val="11"/>
                            <w:sz w:val="16"/>
                          </w:rPr>
                          <w:t> </w:t>
                        </w:r>
                        <w:r>
                          <w:rPr>
                            <w:sz w:val="16"/>
                          </w:rPr>
                          <w:t>erosión</w:t>
                        </w:r>
                      </w:p>
                      <w:p>
                        <w:pPr>
                          <w:pStyle w:val="TableParagraph"/>
                          <w:tabs>
                            <w:tab w:pos="462" w:val="left" w:leader="none"/>
                            <w:tab w:pos="2460" w:val="left" w:leader="none"/>
                          </w:tabs>
                          <w:spacing w:line="148" w:lineRule="exact" w:before="46"/>
                          <w:ind w:left="102" w:right="7" w:hanging="79"/>
                          <w:rPr>
                            <w:sz w:val="16"/>
                          </w:rPr>
                        </w:pPr>
                        <w:r>
                          <w:rPr>
                            <w:w w:val="100"/>
                            <w:sz w:val="16"/>
                            <w:u w:val="dotted" w:color="929292"/>
                          </w:rPr>
                          <w:t> </w:t>
                        </w:r>
                        <w:r>
                          <w:rPr>
                            <w:sz w:val="16"/>
                            <w:u w:val="dotted" w:color="929292"/>
                          </w:rPr>
                          <w:tab/>
                          <w:tab/>
                        </w:r>
                        <w:r>
                          <w:rPr>
                            <w:w w:val="100"/>
                            <w:sz w:val="16"/>
                            <w:u w:val="dotted" w:color="929292"/>
                          </w:rPr>
                          <w:t>hídric</w:t>
                        </w:r>
                        <w:r>
                          <w:rPr>
                            <w:w w:val="96"/>
                            <w:sz w:val="16"/>
                            <w:u w:val="dotted" w:color="929292"/>
                          </w:rPr>
                          <w:t>a</w:t>
                        </w:r>
                        <w:r>
                          <w:rPr>
                            <w:sz w:val="16"/>
                            <w:u w:val="dotted" w:color="929292"/>
                          </w:rPr>
                          <w:t> </w:t>
                        </w:r>
                        <w:r>
                          <w:rPr>
                            <w:w w:val="101"/>
                            <w:sz w:val="16"/>
                            <w:u w:val="dotted" w:color="929292"/>
                          </w:rPr>
                          <w:t>de</w:t>
                        </w:r>
                        <w:r>
                          <w:rPr>
                            <w:w w:val="99"/>
                            <w:sz w:val="16"/>
                            <w:u w:val="dotted" w:color="929292"/>
                          </w:rPr>
                          <w:t>l</w:t>
                        </w:r>
                        <w:r>
                          <w:rPr>
                            <w:sz w:val="16"/>
                            <w:u w:val="dotted" w:color="929292"/>
                          </w:rPr>
                          <w:t> </w:t>
                        </w:r>
                        <w:r>
                          <w:rPr>
                            <w:w w:val="98"/>
                            <w:sz w:val="16"/>
                            <w:u w:val="dotted" w:color="929292"/>
                          </w:rPr>
                          <w:t>suel</w:t>
                        </w:r>
                        <w:r>
                          <w:rPr>
                            <w:w w:val="103"/>
                            <w:sz w:val="16"/>
                            <w:u w:val="dotted" w:color="929292"/>
                          </w:rPr>
                          <w:t>o</w:t>
                        </w:r>
                        <w:r>
                          <w:rPr>
                            <w:sz w:val="16"/>
                            <w:u w:val="dotted" w:color="929292"/>
                          </w:rPr>
                          <w:tab/>
                        </w:r>
                        <w:r>
                          <w:rPr>
                            <w:sz w:val="16"/>
                          </w:rPr>
                          <w:t> </w:t>
                        </w:r>
                        <w:r>
                          <w:rPr>
                            <w:w w:val="104"/>
                            <w:sz w:val="16"/>
                          </w:rPr>
                          <w:t>4.-</w:t>
                        </w:r>
                        <w:r>
                          <w:rPr>
                            <w:sz w:val="16"/>
                          </w:rPr>
                          <w:t> </w:t>
                        </w:r>
                        <w:r>
                          <w:rPr>
                            <w:w w:val="100"/>
                            <w:sz w:val="16"/>
                          </w:rPr>
                          <w:t>Hídricos</w:t>
                        </w:r>
                      </w:p>
                      <w:p>
                        <w:pPr>
                          <w:pStyle w:val="TableParagraph"/>
                          <w:numPr>
                            <w:ilvl w:val="0"/>
                            <w:numId w:val="20"/>
                          </w:numPr>
                          <w:tabs>
                            <w:tab w:pos="462" w:val="left" w:leader="none"/>
                            <w:tab w:pos="463" w:val="left" w:leader="none"/>
                          </w:tabs>
                          <w:spacing w:line="259" w:lineRule="auto" w:before="77" w:after="0"/>
                          <w:ind w:left="462" w:right="435" w:hanging="360"/>
                          <w:jc w:val="left"/>
                          <w:rPr>
                            <w:sz w:val="16"/>
                          </w:rPr>
                        </w:pPr>
                        <w:r>
                          <w:rPr>
                            <w:sz w:val="16"/>
                          </w:rPr>
                          <w:t>Disminución de la escorrentía</w:t>
                        </w:r>
                        <w:r>
                          <w:rPr>
                            <w:spacing w:val="5"/>
                            <w:sz w:val="16"/>
                          </w:rPr>
                          <w:t> </w:t>
                        </w:r>
                        <w:r>
                          <w:rPr>
                            <w:sz w:val="16"/>
                          </w:rPr>
                          <w:t>superficial</w:t>
                        </w:r>
                      </w:p>
                      <w:p>
                        <w:pPr>
                          <w:pStyle w:val="TableParagraph"/>
                          <w:numPr>
                            <w:ilvl w:val="0"/>
                            <w:numId w:val="20"/>
                          </w:numPr>
                          <w:tabs>
                            <w:tab w:pos="462" w:val="left" w:leader="none"/>
                            <w:tab w:pos="463" w:val="left" w:leader="none"/>
                          </w:tabs>
                          <w:spacing w:line="240" w:lineRule="auto" w:before="58" w:after="0"/>
                          <w:ind w:left="462" w:right="0" w:hanging="360"/>
                          <w:jc w:val="left"/>
                          <w:rPr>
                            <w:sz w:val="16"/>
                          </w:rPr>
                        </w:pPr>
                        <w:r>
                          <w:rPr>
                            <w:sz w:val="16"/>
                          </w:rPr>
                          <w:t>Aumento de la</w:t>
                        </w:r>
                        <w:r>
                          <w:rPr>
                            <w:spacing w:val="20"/>
                            <w:sz w:val="16"/>
                          </w:rPr>
                          <w:t> </w:t>
                        </w:r>
                        <w:r>
                          <w:rPr>
                            <w:sz w:val="16"/>
                          </w:rPr>
                          <w:t>infiltración</w:t>
                        </w:r>
                      </w:p>
                      <w:p>
                        <w:pPr>
                          <w:pStyle w:val="TableParagraph"/>
                          <w:numPr>
                            <w:ilvl w:val="0"/>
                            <w:numId w:val="20"/>
                          </w:numPr>
                          <w:tabs>
                            <w:tab w:pos="462" w:val="left" w:leader="none"/>
                            <w:tab w:pos="463" w:val="left" w:leader="none"/>
                          </w:tabs>
                          <w:spacing w:line="259" w:lineRule="auto" w:before="71" w:after="0"/>
                          <w:ind w:left="462" w:right="183" w:hanging="360"/>
                          <w:jc w:val="left"/>
                          <w:rPr>
                            <w:sz w:val="16"/>
                          </w:rPr>
                        </w:pPr>
                        <w:r>
                          <w:rPr>
                            <w:sz w:val="16"/>
                          </w:rPr>
                          <w:t>Mayor recarga de acuíferos y disponibilidad de agua a nivel</w:t>
                        </w:r>
                        <w:r>
                          <w:rPr>
                            <w:spacing w:val="-8"/>
                            <w:sz w:val="16"/>
                          </w:rPr>
                          <w:t> </w:t>
                        </w:r>
                        <w:r>
                          <w:rPr>
                            <w:sz w:val="16"/>
                          </w:rPr>
                          <w:t>regional</w:t>
                        </w:r>
                      </w:p>
                    </w:tc>
                    <w:tc>
                      <w:tcPr>
                        <w:tcW w:w="3021" w:type="dxa"/>
                        <w:tcBorders>
                          <w:right w:val="nil"/>
                        </w:tcBorders>
                      </w:tcPr>
                      <w:p>
                        <w:pPr>
                          <w:pStyle w:val="TableParagraph"/>
                          <w:spacing w:line="160" w:lineRule="exact"/>
                          <w:ind w:left="102"/>
                          <w:rPr>
                            <w:sz w:val="16"/>
                          </w:rPr>
                        </w:pPr>
                        <w:r>
                          <w:rPr>
                            <w:sz w:val="16"/>
                          </w:rPr>
                          <w:t>2.- Científico-educativos</w:t>
                        </w:r>
                      </w:p>
                      <w:p>
                        <w:pPr>
                          <w:pStyle w:val="TableParagraph"/>
                          <w:numPr>
                            <w:ilvl w:val="0"/>
                            <w:numId w:val="21"/>
                          </w:numPr>
                          <w:tabs>
                            <w:tab w:pos="462" w:val="left" w:leader="none"/>
                            <w:tab w:pos="463" w:val="left" w:leader="none"/>
                          </w:tabs>
                          <w:spacing w:line="259" w:lineRule="auto" w:before="72" w:after="0"/>
                          <w:ind w:left="462" w:right="402" w:hanging="360"/>
                          <w:jc w:val="left"/>
                          <w:rPr>
                            <w:sz w:val="16"/>
                          </w:rPr>
                        </w:pPr>
                        <w:r>
                          <w:rPr>
                            <w:sz w:val="16"/>
                          </w:rPr>
                          <w:t>Permite la investigación sobre procesos</w:t>
                        </w:r>
                        <w:r>
                          <w:rPr>
                            <w:spacing w:val="11"/>
                            <w:sz w:val="16"/>
                          </w:rPr>
                          <w:t> </w:t>
                        </w:r>
                        <w:r>
                          <w:rPr>
                            <w:sz w:val="16"/>
                          </w:rPr>
                          <w:t>naturales</w:t>
                        </w:r>
                      </w:p>
                      <w:p>
                        <w:pPr>
                          <w:pStyle w:val="TableParagraph"/>
                          <w:numPr>
                            <w:ilvl w:val="0"/>
                            <w:numId w:val="21"/>
                          </w:numPr>
                          <w:tabs>
                            <w:tab w:pos="462" w:val="left" w:leader="none"/>
                            <w:tab w:pos="463" w:val="left" w:leader="none"/>
                          </w:tabs>
                          <w:spacing w:line="259" w:lineRule="auto" w:before="58" w:after="0"/>
                          <w:ind w:left="462" w:right="192" w:hanging="360"/>
                          <w:jc w:val="left"/>
                          <w:rPr>
                            <w:sz w:val="16"/>
                          </w:rPr>
                        </w:pPr>
                        <w:r>
                          <w:rPr>
                            <w:sz w:val="16"/>
                          </w:rPr>
                          <w:t>Favorece la educación ambiental en agro ecosistemas</w:t>
                        </w:r>
                        <w:r>
                          <w:rPr>
                            <w:spacing w:val="13"/>
                            <w:sz w:val="16"/>
                          </w:rPr>
                          <w:t> </w:t>
                        </w:r>
                        <w:r>
                          <w:rPr>
                            <w:sz w:val="16"/>
                          </w:rPr>
                          <w:t>diversos</w:t>
                        </w:r>
                      </w:p>
                      <w:p>
                        <w:pPr>
                          <w:pStyle w:val="TableParagraph"/>
                          <w:rPr>
                            <w:sz w:val="16"/>
                          </w:rPr>
                        </w:pPr>
                      </w:p>
                      <w:p>
                        <w:pPr>
                          <w:pStyle w:val="TableParagraph"/>
                          <w:rPr>
                            <w:sz w:val="16"/>
                          </w:rPr>
                        </w:pPr>
                      </w:p>
                      <w:p>
                        <w:pPr>
                          <w:pStyle w:val="TableParagraph"/>
                          <w:rPr>
                            <w:sz w:val="16"/>
                          </w:rPr>
                        </w:pPr>
                      </w:p>
                      <w:p>
                        <w:pPr>
                          <w:pStyle w:val="TableParagraph"/>
                          <w:spacing w:before="2"/>
                          <w:rPr>
                            <w:sz w:val="14"/>
                          </w:rPr>
                        </w:pPr>
                      </w:p>
                      <w:p>
                        <w:pPr>
                          <w:pStyle w:val="TableParagraph"/>
                          <w:tabs>
                            <w:tab w:pos="3015" w:val="left" w:leader="none"/>
                          </w:tabs>
                          <w:spacing w:line="166" w:lineRule="exact"/>
                          <w:ind w:left="25"/>
                          <w:rPr>
                            <w:sz w:val="16"/>
                          </w:rPr>
                        </w:pPr>
                        <w:r>
                          <w:rPr>
                            <w:w w:val="100"/>
                            <w:sz w:val="16"/>
                            <w:u w:val="dotted" w:color="929292"/>
                          </w:rPr>
                          <w:t> </w:t>
                        </w:r>
                        <w:r>
                          <w:rPr>
                            <w:sz w:val="16"/>
                            <w:u w:val="dotted" w:color="929292"/>
                          </w:rPr>
                          <w:tab/>
                        </w:r>
                      </w:p>
                      <w:p>
                        <w:pPr>
                          <w:pStyle w:val="TableParagraph"/>
                          <w:numPr>
                            <w:ilvl w:val="0"/>
                            <w:numId w:val="22"/>
                          </w:numPr>
                          <w:tabs>
                            <w:tab w:pos="281" w:val="left" w:leader="none"/>
                          </w:tabs>
                          <w:spacing w:line="166" w:lineRule="exact" w:before="0" w:after="0"/>
                          <w:ind w:left="280" w:right="0" w:hanging="178"/>
                          <w:jc w:val="left"/>
                          <w:rPr>
                            <w:sz w:val="16"/>
                          </w:rPr>
                        </w:pPr>
                        <w:r>
                          <w:rPr>
                            <w:sz w:val="16"/>
                          </w:rPr>
                          <w:t>Calidad de</w:t>
                        </w:r>
                        <w:r>
                          <w:rPr>
                            <w:spacing w:val="2"/>
                            <w:sz w:val="16"/>
                          </w:rPr>
                          <w:t> </w:t>
                        </w:r>
                        <w:r>
                          <w:rPr>
                            <w:sz w:val="16"/>
                          </w:rPr>
                          <w:t>Vida</w:t>
                        </w:r>
                      </w:p>
                      <w:p>
                        <w:pPr>
                          <w:pStyle w:val="TableParagraph"/>
                          <w:spacing w:line="261" w:lineRule="auto" w:before="72"/>
                          <w:ind w:left="102" w:right="350"/>
                          <w:rPr>
                            <w:sz w:val="16"/>
                          </w:rPr>
                        </w:pPr>
                        <w:r>
                          <w:rPr>
                            <w:sz w:val="16"/>
                          </w:rPr>
                          <w:t>Aumentan la diversidad y calidad de alimentos disponibles en la dieta familiar</w:t>
                        </w:r>
                        <w:r>
                          <w:rPr>
                            <w:spacing w:val="-1"/>
                            <w:sz w:val="16"/>
                          </w:rPr>
                          <w:t> </w:t>
                        </w:r>
                        <w:r>
                          <w:rPr>
                            <w:sz w:val="16"/>
                          </w:rPr>
                          <w:t>diaria</w:t>
                        </w:r>
                      </w:p>
                      <w:p>
                        <w:pPr>
                          <w:pStyle w:val="TableParagraph"/>
                          <w:spacing w:line="261" w:lineRule="auto" w:before="56"/>
                          <w:ind w:left="102"/>
                          <w:rPr>
                            <w:sz w:val="16"/>
                          </w:rPr>
                        </w:pPr>
                        <w:r>
                          <w:rPr>
                            <w:sz w:val="16"/>
                          </w:rPr>
                          <w:t>Mejoran el entorno y confort de las viviendas rurales</w:t>
                        </w:r>
                      </w:p>
                      <w:p>
                        <w:pPr>
                          <w:pStyle w:val="TableParagraph"/>
                          <w:spacing w:line="261" w:lineRule="auto" w:before="56"/>
                          <w:ind w:left="102" w:right="350"/>
                          <w:rPr>
                            <w:sz w:val="16"/>
                          </w:rPr>
                        </w:pPr>
                        <w:r>
                          <w:rPr>
                            <w:sz w:val="16"/>
                          </w:rPr>
                          <w:t>Contribuyen a la salud física y psicológica de niños y adultos</w:t>
                        </w:r>
                      </w:p>
                      <w:p>
                        <w:pPr>
                          <w:pStyle w:val="TableParagraph"/>
                          <w:spacing w:line="261" w:lineRule="auto" w:before="56"/>
                          <w:ind w:left="102" w:right="189"/>
                          <w:rPr>
                            <w:sz w:val="16"/>
                          </w:rPr>
                        </w:pPr>
                        <w:r>
                          <w:rPr>
                            <w:sz w:val="16"/>
                          </w:rPr>
                          <w:t>Ofrecen ocupación y oportunidades de ingreso a todos los miembros de la familia</w:t>
                        </w:r>
                      </w:p>
                      <w:p>
                        <w:pPr>
                          <w:pStyle w:val="TableParagraph"/>
                          <w:spacing w:before="56"/>
                          <w:ind w:left="102"/>
                          <w:rPr>
                            <w:sz w:val="16"/>
                          </w:rPr>
                        </w:pPr>
                        <w:r>
                          <w:rPr>
                            <w:sz w:val="16"/>
                          </w:rPr>
                          <w:t>Abren oportunidades para la</w:t>
                        </w:r>
                      </w:p>
                      <w:p>
                        <w:pPr>
                          <w:pStyle w:val="TableParagraph"/>
                          <w:tabs>
                            <w:tab w:pos="3015" w:val="left" w:leader="none"/>
                          </w:tabs>
                          <w:spacing w:line="166" w:lineRule="exact" w:before="16"/>
                          <w:ind w:left="25"/>
                          <w:rPr>
                            <w:sz w:val="16"/>
                          </w:rPr>
                        </w:pPr>
                        <w:r>
                          <w:rPr>
                            <w:w w:val="100"/>
                            <w:sz w:val="16"/>
                            <w:u w:val="dotted" w:color="929292"/>
                          </w:rPr>
                          <w:t> </w:t>
                        </w:r>
                        <w:r>
                          <w:rPr>
                            <w:spacing w:val="-12"/>
                            <w:sz w:val="16"/>
                            <w:u w:val="dotted" w:color="929292"/>
                          </w:rPr>
                          <w:t> </w:t>
                        </w:r>
                        <w:r>
                          <w:rPr>
                            <w:sz w:val="16"/>
                            <w:u w:val="dotted" w:color="929292"/>
                          </w:rPr>
                          <w:t>recreación local y el</w:t>
                        </w:r>
                        <w:r>
                          <w:rPr>
                            <w:spacing w:val="22"/>
                            <w:sz w:val="16"/>
                            <w:u w:val="dotted" w:color="929292"/>
                          </w:rPr>
                          <w:t> </w:t>
                        </w:r>
                        <w:r>
                          <w:rPr>
                            <w:sz w:val="16"/>
                            <w:u w:val="dotted" w:color="929292"/>
                          </w:rPr>
                          <w:t>Agroturismo</w:t>
                          <w:tab/>
                        </w:r>
                      </w:p>
                      <w:p>
                        <w:pPr>
                          <w:pStyle w:val="TableParagraph"/>
                          <w:numPr>
                            <w:ilvl w:val="0"/>
                            <w:numId w:val="22"/>
                          </w:numPr>
                          <w:tabs>
                            <w:tab w:pos="281" w:val="left" w:leader="none"/>
                          </w:tabs>
                          <w:spacing w:line="166" w:lineRule="exact" w:before="0" w:after="0"/>
                          <w:ind w:left="280" w:right="0" w:hanging="178"/>
                          <w:jc w:val="left"/>
                          <w:rPr>
                            <w:sz w:val="16"/>
                          </w:rPr>
                        </w:pPr>
                        <w:r>
                          <w:rPr>
                            <w:sz w:val="16"/>
                          </w:rPr>
                          <w:t>Sustentabilidad y</w:t>
                        </w:r>
                        <w:r>
                          <w:rPr>
                            <w:spacing w:val="4"/>
                            <w:sz w:val="16"/>
                          </w:rPr>
                          <w:t> </w:t>
                        </w:r>
                        <w:r>
                          <w:rPr>
                            <w:sz w:val="16"/>
                          </w:rPr>
                          <w:t>Soberanía</w:t>
                        </w:r>
                      </w:p>
                      <w:p>
                        <w:pPr>
                          <w:pStyle w:val="TableParagraph"/>
                          <w:numPr>
                            <w:ilvl w:val="0"/>
                            <w:numId w:val="23"/>
                          </w:numPr>
                          <w:tabs>
                            <w:tab w:pos="462" w:val="left" w:leader="none"/>
                            <w:tab w:pos="463" w:val="left" w:leader="none"/>
                          </w:tabs>
                          <w:spacing w:line="259" w:lineRule="auto" w:before="72" w:after="0"/>
                          <w:ind w:left="462" w:right="186" w:hanging="360"/>
                          <w:jc w:val="left"/>
                          <w:rPr>
                            <w:sz w:val="16"/>
                          </w:rPr>
                        </w:pPr>
                        <w:r>
                          <w:rPr>
                            <w:sz w:val="16"/>
                          </w:rPr>
                          <w:t>Aumentan la seguridad alimentaria de las familias</w:t>
                        </w:r>
                        <w:r>
                          <w:rPr>
                            <w:spacing w:val="-10"/>
                            <w:sz w:val="16"/>
                          </w:rPr>
                          <w:t> </w:t>
                        </w:r>
                        <w:r>
                          <w:rPr>
                            <w:sz w:val="16"/>
                          </w:rPr>
                          <w:t>rurales</w:t>
                        </w:r>
                      </w:p>
                      <w:p>
                        <w:pPr>
                          <w:pStyle w:val="TableParagraph"/>
                          <w:numPr>
                            <w:ilvl w:val="0"/>
                            <w:numId w:val="23"/>
                          </w:numPr>
                          <w:tabs>
                            <w:tab w:pos="462" w:val="left" w:leader="none"/>
                            <w:tab w:pos="463" w:val="left" w:leader="none"/>
                          </w:tabs>
                          <w:spacing w:line="259" w:lineRule="auto" w:before="58" w:after="0"/>
                          <w:ind w:left="462" w:right="201" w:hanging="360"/>
                          <w:jc w:val="left"/>
                          <w:rPr>
                            <w:sz w:val="16"/>
                          </w:rPr>
                        </w:pPr>
                        <w:r>
                          <w:rPr>
                            <w:sz w:val="16"/>
                          </w:rPr>
                          <w:t>Mejoran la sustentabilidad de las localidades y</w:t>
                        </w:r>
                        <w:r>
                          <w:rPr>
                            <w:spacing w:val="10"/>
                            <w:sz w:val="16"/>
                          </w:rPr>
                          <w:t> </w:t>
                        </w:r>
                        <w:r>
                          <w:rPr>
                            <w:sz w:val="16"/>
                          </w:rPr>
                          <w:t>regiones</w:t>
                        </w:r>
                      </w:p>
                      <w:p>
                        <w:pPr>
                          <w:pStyle w:val="TableParagraph"/>
                          <w:numPr>
                            <w:ilvl w:val="0"/>
                            <w:numId w:val="23"/>
                          </w:numPr>
                          <w:tabs>
                            <w:tab w:pos="462" w:val="left" w:leader="none"/>
                            <w:tab w:pos="463" w:val="left" w:leader="none"/>
                          </w:tabs>
                          <w:spacing w:line="259" w:lineRule="auto" w:before="58" w:after="0"/>
                          <w:ind w:left="462" w:right="633" w:hanging="360"/>
                          <w:jc w:val="left"/>
                          <w:rPr>
                            <w:sz w:val="16"/>
                          </w:rPr>
                        </w:pPr>
                        <w:r>
                          <w:rPr>
                            <w:sz w:val="16"/>
                          </w:rPr>
                          <w:t>Contribuyen a la</w:t>
                        </w:r>
                        <w:r>
                          <w:rPr>
                            <w:spacing w:val="-4"/>
                            <w:sz w:val="16"/>
                          </w:rPr>
                          <w:t> </w:t>
                        </w:r>
                        <w:r>
                          <w:rPr>
                            <w:sz w:val="16"/>
                          </w:rPr>
                          <w:t>soberanía alimentaria de los</w:t>
                        </w:r>
                        <w:r>
                          <w:rPr>
                            <w:spacing w:val="-7"/>
                            <w:sz w:val="16"/>
                          </w:rPr>
                          <w:t> </w:t>
                        </w:r>
                        <w:r>
                          <w:rPr>
                            <w:sz w:val="16"/>
                          </w:rPr>
                          <w:t>países</w:t>
                        </w:r>
                      </w:p>
                    </w:tc>
                  </w:tr>
                </w:tbl>
                <w:p>
                  <w:pPr>
                    <w:pStyle w:val="BodyText"/>
                  </w:pPr>
                </w:p>
              </w:txbxContent>
            </v:textbox>
            <w10:wrap type="none"/>
          </v:shape>
        </w:pict>
      </w:r>
      <w:r>
        <w:rPr/>
        <w:t>Bienes materiales y servicios ambientales que se obtienen de los AEHF y beneficios sociales derivados de la permanencia de los Agro ecosistemas con Huertos Familiares</w:t>
      </w:r>
    </w:p>
    <w:p>
      <w:pPr>
        <w:pStyle w:val="BodyText"/>
        <w:rPr>
          <w:b/>
          <w:sz w:val="24"/>
        </w:rPr>
      </w:pPr>
    </w:p>
    <w:p>
      <w:pPr>
        <w:pStyle w:val="BodyText"/>
        <w:rPr>
          <w:b/>
          <w:sz w:val="24"/>
        </w:rPr>
      </w:pPr>
    </w:p>
    <w:p>
      <w:pPr>
        <w:pStyle w:val="BodyText"/>
        <w:spacing w:line="249" w:lineRule="auto" w:before="172"/>
        <w:ind w:left="130" w:right="9538" w:firstLine="170"/>
        <w:jc w:val="both"/>
      </w:pPr>
      <w:r>
        <w:rPr/>
        <w:t>Del</w:t>
      </w:r>
      <w:r>
        <w:rPr>
          <w:spacing w:val="-8"/>
        </w:rPr>
        <w:t> </w:t>
      </w:r>
      <w:r>
        <w:rPr/>
        <w:t>diagnóstico</w:t>
      </w:r>
      <w:r>
        <w:rPr>
          <w:spacing w:val="-8"/>
        </w:rPr>
        <w:t> </w:t>
      </w:r>
      <w:r>
        <w:rPr/>
        <w:t>preliminar</w:t>
      </w:r>
      <w:r>
        <w:rPr>
          <w:spacing w:val="-8"/>
        </w:rPr>
        <w:t> </w:t>
      </w:r>
      <w:r>
        <w:rPr/>
        <w:t>fue</w:t>
      </w:r>
      <w:r>
        <w:rPr>
          <w:spacing w:val="-8"/>
        </w:rPr>
        <w:t> </w:t>
      </w:r>
      <w:r>
        <w:rPr/>
        <w:t>posible</w:t>
      </w:r>
      <w:r>
        <w:rPr>
          <w:spacing w:val="-8"/>
        </w:rPr>
        <w:t> </w:t>
      </w:r>
      <w:r>
        <w:rPr/>
        <w:t>identificar</w:t>
      </w:r>
      <w:r>
        <w:rPr>
          <w:spacing w:val="-8"/>
        </w:rPr>
        <w:t> </w:t>
      </w:r>
      <w:r>
        <w:rPr/>
        <w:t>Los</w:t>
      </w:r>
      <w:r>
        <w:rPr>
          <w:spacing w:val="-8"/>
        </w:rPr>
        <w:t> </w:t>
      </w:r>
      <w:r>
        <w:rPr/>
        <w:t>productos</w:t>
      </w:r>
      <w:r>
        <w:rPr>
          <w:spacing w:val="-8"/>
        </w:rPr>
        <w:t> </w:t>
      </w:r>
      <w:r>
        <w:rPr/>
        <w:t>tangibles,</w:t>
      </w:r>
      <w:r>
        <w:rPr>
          <w:spacing w:val="-8"/>
        </w:rPr>
        <w:t> </w:t>
      </w:r>
      <w:r>
        <w:rPr/>
        <w:t>los</w:t>
      </w:r>
      <w:r>
        <w:rPr>
          <w:spacing w:val="-8"/>
        </w:rPr>
        <w:t> </w:t>
      </w:r>
      <w:r>
        <w:rPr/>
        <w:t>servicios intangibles</w:t>
      </w:r>
      <w:r>
        <w:rPr>
          <w:spacing w:val="-17"/>
        </w:rPr>
        <w:t> </w:t>
      </w:r>
      <w:r>
        <w:rPr/>
        <w:t>que</w:t>
      </w:r>
      <w:r>
        <w:rPr>
          <w:spacing w:val="-17"/>
        </w:rPr>
        <w:t> </w:t>
      </w:r>
      <w:r>
        <w:rPr/>
        <w:t>las</w:t>
      </w:r>
      <w:r>
        <w:rPr>
          <w:spacing w:val="-17"/>
        </w:rPr>
        <w:t> </w:t>
      </w:r>
      <w:r>
        <w:rPr/>
        <w:t>familias</w:t>
      </w:r>
      <w:r>
        <w:rPr>
          <w:spacing w:val="-17"/>
        </w:rPr>
        <w:t> </w:t>
      </w:r>
      <w:r>
        <w:rPr/>
        <w:t>rurales</w:t>
      </w:r>
      <w:r>
        <w:rPr>
          <w:spacing w:val="-17"/>
        </w:rPr>
        <w:t> </w:t>
      </w:r>
      <w:r>
        <w:rPr/>
        <w:t>obtienen</w:t>
      </w:r>
      <w:r>
        <w:rPr>
          <w:spacing w:val="-17"/>
        </w:rPr>
        <w:t> </w:t>
      </w:r>
      <w:r>
        <w:rPr/>
        <w:t>de</w:t>
      </w:r>
      <w:r>
        <w:rPr>
          <w:spacing w:val="-17"/>
        </w:rPr>
        <w:t> </w:t>
      </w:r>
      <w:r>
        <w:rPr/>
        <w:t>la</w:t>
      </w:r>
      <w:r>
        <w:rPr>
          <w:spacing w:val="-17"/>
        </w:rPr>
        <w:t> </w:t>
      </w:r>
      <w:r>
        <w:rPr/>
        <w:t>AEHF,</w:t>
      </w:r>
      <w:r>
        <w:rPr>
          <w:spacing w:val="-17"/>
        </w:rPr>
        <w:t> </w:t>
      </w:r>
      <w:r>
        <w:rPr/>
        <w:t>así</w:t>
      </w:r>
      <w:r>
        <w:rPr>
          <w:spacing w:val="-17"/>
        </w:rPr>
        <w:t> </w:t>
      </w:r>
      <w:r>
        <w:rPr/>
        <w:t>como</w:t>
      </w:r>
      <w:r>
        <w:rPr>
          <w:spacing w:val="-17"/>
        </w:rPr>
        <w:t> </w:t>
      </w:r>
      <w:r>
        <w:rPr/>
        <w:t>los</w:t>
      </w:r>
      <w:r>
        <w:rPr>
          <w:spacing w:val="-17"/>
        </w:rPr>
        <w:t> </w:t>
      </w:r>
      <w:r>
        <w:rPr/>
        <w:t>beneficios</w:t>
      </w:r>
      <w:r>
        <w:rPr>
          <w:spacing w:val="-17"/>
        </w:rPr>
        <w:t> </w:t>
      </w:r>
      <w:r>
        <w:rPr/>
        <w:t>sociales derivados de la permanencia de los Agro ecosistemas con Huertos Familiares, que se observan en el cuadro</w:t>
      </w:r>
      <w:r>
        <w:rPr>
          <w:spacing w:val="10"/>
        </w:rPr>
        <w:t> </w:t>
      </w:r>
      <w:r>
        <w:rPr/>
        <w:t>6.</w:t>
      </w:r>
    </w:p>
    <w:p>
      <w:pPr>
        <w:pStyle w:val="BodyText"/>
        <w:spacing w:before="2"/>
        <w:rPr>
          <w:sz w:val="24"/>
        </w:rPr>
      </w:pPr>
    </w:p>
    <w:p>
      <w:pPr>
        <w:spacing w:line="312" w:lineRule="auto" w:before="0"/>
        <w:ind w:left="141" w:right="9550" w:firstLine="0"/>
        <w:jc w:val="center"/>
        <w:rPr>
          <w:sz w:val="16"/>
        </w:rPr>
      </w:pPr>
      <w:r>
        <w:rPr>
          <w:color w:val="6D6E71"/>
          <w:sz w:val="16"/>
        </w:rPr>
        <w:t>Cuadro 12. Bienes materiales, Servicios ambientales y Beneficios Sociales derivados de la permanencia de los Agro ecosistemas con Huertos Familiares (AEHF)</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6"/>
        </w:rPr>
      </w:pPr>
    </w:p>
    <w:p>
      <w:pPr>
        <w:spacing w:before="81"/>
        <w:ind w:left="0" w:right="2807" w:firstLine="0"/>
        <w:jc w:val="right"/>
        <w:rPr>
          <w:sz w:val="16"/>
        </w:rPr>
      </w:pPr>
      <w:r>
        <w:rPr/>
        <w:pict>
          <v:shape style="position:absolute;margin-left:42.27pt;margin-top:-149.533493pt;width:384.95pt;height:185.7pt;mso-position-horizontal-relative:page;mso-position-vertical-relative:paragraph;z-index:115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62"/>
                    <w:gridCol w:w="2481"/>
                    <w:gridCol w:w="3041"/>
                  </w:tblGrid>
                  <w:tr>
                    <w:trPr>
                      <w:trHeight w:val="828" w:hRule="exact"/>
                    </w:trPr>
                    <w:tc>
                      <w:tcPr>
                        <w:tcW w:w="2162" w:type="dxa"/>
                        <w:tcBorders>
                          <w:right w:val="single" w:sz="4" w:space="0" w:color="FFFFFF"/>
                        </w:tcBorders>
                        <w:shd w:val="clear" w:color="auto" w:fill="929292"/>
                      </w:tcPr>
                      <w:p>
                        <w:pPr>
                          <w:pStyle w:val="TableParagraph"/>
                          <w:spacing w:line="261" w:lineRule="auto" w:before="21"/>
                          <w:ind w:left="107" w:right="108"/>
                          <w:rPr>
                            <w:sz w:val="16"/>
                          </w:rPr>
                        </w:pPr>
                        <w:r>
                          <w:rPr>
                            <w:sz w:val="16"/>
                          </w:rPr>
                          <w:t>Bienes Tangibles derivados del Aprovechamiento de</w:t>
                        </w:r>
                        <w:r>
                          <w:rPr>
                            <w:spacing w:val="-1"/>
                            <w:sz w:val="16"/>
                          </w:rPr>
                          <w:t> </w:t>
                        </w:r>
                        <w:r>
                          <w:rPr>
                            <w:sz w:val="16"/>
                          </w:rPr>
                          <w:t>AEHF</w:t>
                        </w:r>
                      </w:p>
                    </w:tc>
                    <w:tc>
                      <w:tcPr>
                        <w:tcW w:w="2481" w:type="dxa"/>
                        <w:tcBorders>
                          <w:left w:val="single" w:sz="4" w:space="0" w:color="FFFFFF"/>
                          <w:right w:val="single" w:sz="4" w:space="0" w:color="FFFFFF"/>
                        </w:tcBorders>
                        <w:shd w:val="clear" w:color="auto" w:fill="929292"/>
                      </w:tcPr>
                      <w:p>
                        <w:pPr>
                          <w:pStyle w:val="TableParagraph"/>
                          <w:spacing w:line="261" w:lineRule="auto" w:before="21"/>
                          <w:ind w:left="102" w:right="445"/>
                          <w:rPr>
                            <w:sz w:val="16"/>
                          </w:rPr>
                        </w:pPr>
                        <w:r>
                          <w:rPr>
                            <w:sz w:val="16"/>
                          </w:rPr>
                          <w:t>Servicios Ambientales Intangibles derivados de la Conservación y Manejo de AEHF</w:t>
                        </w:r>
                      </w:p>
                    </w:tc>
                    <w:tc>
                      <w:tcPr>
                        <w:tcW w:w="3041" w:type="dxa"/>
                        <w:tcBorders>
                          <w:left w:val="single" w:sz="4" w:space="0" w:color="FFFFFF"/>
                        </w:tcBorders>
                        <w:shd w:val="clear" w:color="auto" w:fill="929292"/>
                      </w:tcPr>
                      <w:p>
                        <w:pPr>
                          <w:pStyle w:val="TableParagraph"/>
                          <w:spacing w:line="261" w:lineRule="auto" w:before="21"/>
                          <w:ind w:left="102" w:right="396"/>
                          <w:rPr>
                            <w:sz w:val="16"/>
                          </w:rPr>
                        </w:pPr>
                        <w:r>
                          <w:rPr>
                            <w:sz w:val="16"/>
                          </w:rPr>
                          <w:t>Beneficios Sociales derivados de la Permanencia de AEHF</w:t>
                        </w:r>
                      </w:p>
                    </w:tc>
                  </w:tr>
                  <w:tr>
                    <w:trPr>
                      <w:trHeight w:val="2881" w:hRule="exact"/>
                    </w:trPr>
                    <w:tc>
                      <w:tcPr>
                        <w:tcW w:w="2162" w:type="dxa"/>
                        <w:tcBorders>
                          <w:bottom w:val="dotted" w:sz="4" w:space="0" w:color="929292"/>
                          <w:right w:val="single" w:sz="4" w:space="0" w:color="929292"/>
                        </w:tcBorders>
                      </w:tcPr>
                      <w:p>
                        <w:pPr>
                          <w:pStyle w:val="TableParagraph"/>
                          <w:spacing w:line="165" w:lineRule="exact"/>
                          <w:ind w:left="107" w:right="108"/>
                          <w:rPr>
                            <w:sz w:val="16"/>
                          </w:rPr>
                        </w:pPr>
                        <w:r>
                          <w:rPr>
                            <w:sz w:val="16"/>
                          </w:rPr>
                          <w:t>1.- Maderables</w:t>
                        </w:r>
                      </w:p>
                      <w:p>
                        <w:pPr>
                          <w:pStyle w:val="TableParagraph"/>
                          <w:numPr>
                            <w:ilvl w:val="0"/>
                            <w:numId w:val="24"/>
                          </w:numPr>
                          <w:tabs>
                            <w:tab w:pos="467" w:val="left" w:leader="none"/>
                            <w:tab w:pos="468" w:val="left" w:leader="none"/>
                          </w:tabs>
                          <w:spacing w:line="240" w:lineRule="auto" w:before="72" w:after="0"/>
                          <w:ind w:left="467" w:right="0" w:hanging="360"/>
                          <w:jc w:val="left"/>
                          <w:rPr>
                            <w:sz w:val="16"/>
                          </w:rPr>
                        </w:pPr>
                        <w:r>
                          <w:rPr>
                            <w:sz w:val="16"/>
                          </w:rPr>
                          <w:t>Tablas</w:t>
                        </w:r>
                      </w:p>
                      <w:p>
                        <w:pPr>
                          <w:pStyle w:val="TableParagraph"/>
                          <w:numPr>
                            <w:ilvl w:val="0"/>
                            <w:numId w:val="24"/>
                          </w:numPr>
                          <w:tabs>
                            <w:tab w:pos="467" w:val="left" w:leader="none"/>
                            <w:tab w:pos="468" w:val="left" w:leader="none"/>
                          </w:tabs>
                          <w:spacing w:line="240" w:lineRule="auto" w:before="71" w:after="0"/>
                          <w:ind w:left="467" w:right="0" w:hanging="360"/>
                          <w:jc w:val="left"/>
                          <w:rPr>
                            <w:sz w:val="16"/>
                          </w:rPr>
                        </w:pPr>
                        <w:r>
                          <w:rPr>
                            <w:sz w:val="16"/>
                          </w:rPr>
                          <w:t>Polines</w:t>
                        </w:r>
                      </w:p>
                      <w:p>
                        <w:pPr>
                          <w:pStyle w:val="TableParagraph"/>
                          <w:numPr>
                            <w:ilvl w:val="0"/>
                            <w:numId w:val="24"/>
                          </w:numPr>
                          <w:tabs>
                            <w:tab w:pos="467" w:val="left" w:leader="none"/>
                            <w:tab w:pos="468" w:val="left" w:leader="none"/>
                          </w:tabs>
                          <w:spacing w:line="240" w:lineRule="auto" w:before="71" w:after="0"/>
                          <w:ind w:left="467" w:right="0" w:hanging="360"/>
                          <w:jc w:val="left"/>
                          <w:rPr>
                            <w:sz w:val="16"/>
                          </w:rPr>
                        </w:pPr>
                        <w:r>
                          <w:rPr>
                            <w:sz w:val="16"/>
                          </w:rPr>
                          <w:t>Vigas</w:t>
                        </w:r>
                      </w:p>
                      <w:p>
                        <w:pPr>
                          <w:pStyle w:val="TableParagraph"/>
                          <w:numPr>
                            <w:ilvl w:val="0"/>
                            <w:numId w:val="24"/>
                          </w:numPr>
                          <w:tabs>
                            <w:tab w:pos="467" w:val="left" w:leader="none"/>
                            <w:tab w:pos="468" w:val="left" w:leader="none"/>
                          </w:tabs>
                          <w:spacing w:line="240" w:lineRule="auto" w:before="71" w:after="0"/>
                          <w:ind w:left="467" w:right="0" w:hanging="360"/>
                          <w:jc w:val="left"/>
                          <w:rPr>
                            <w:sz w:val="16"/>
                          </w:rPr>
                        </w:pPr>
                        <w:r>
                          <w:rPr>
                            <w:sz w:val="16"/>
                          </w:rPr>
                          <w:t>Postes</w:t>
                        </w:r>
                      </w:p>
                      <w:p>
                        <w:pPr>
                          <w:pStyle w:val="TableParagraph"/>
                          <w:numPr>
                            <w:ilvl w:val="0"/>
                            <w:numId w:val="24"/>
                          </w:numPr>
                          <w:tabs>
                            <w:tab w:pos="467" w:val="left" w:leader="none"/>
                            <w:tab w:pos="468" w:val="left" w:leader="none"/>
                          </w:tabs>
                          <w:spacing w:line="240" w:lineRule="auto" w:before="71" w:after="0"/>
                          <w:ind w:left="467" w:right="0" w:hanging="360"/>
                          <w:jc w:val="left"/>
                          <w:rPr>
                            <w:sz w:val="16"/>
                          </w:rPr>
                        </w:pPr>
                        <w:r>
                          <w:rPr>
                            <w:sz w:val="16"/>
                          </w:rPr>
                          <w:t>Triplay</w:t>
                        </w:r>
                      </w:p>
                      <w:p>
                        <w:pPr>
                          <w:pStyle w:val="TableParagraph"/>
                          <w:numPr>
                            <w:ilvl w:val="0"/>
                            <w:numId w:val="24"/>
                          </w:numPr>
                          <w:tabs>
                            <w:tab w:pos="467" w:val="left" w:leader="none"/>
                            <w:tab w:pos="468" w:val="left" w:leader="none"/>
                          </w:tabs>
                          <w:spacing w:line="240" w:lineRule="auto" w:before="71" w:after="0"/>
                          <w:ind w:left="467" w:right="0" w:hanging="360"/>
                          <w:jc w:val="left"/>
                          <w:rPr>
                            <w:sz w:val="16"/>
                          </w:rPr>
                        </w:pPr>
                        <w:r>
                          <w:rPr>
                            <w:sz w:val="16"/>
                          </w:rPr>
                          <w:t>Duela</w:t>
                        </w:r>
                      </w:p>
                      <w:p>
                        <w:pPr>
                          <w:pStyle w:val="TableParagraph"/>
                          <w:numPr>
                            <w:ilvl w:val="0"/>
                            <w:numId w:val="24"/>
                          </w:numPr>
                          <w:tabs>
                            <w:tab w:pos="467" w:val="left" w:leader="none"/>
                            <w:tab w:pos="468" w:val="left" w:leader="none"/>
                          </w:tabs>
                          <w:spacing w:line="240" w:lineRule="auto" w:before="71" w:after="0"/>
                          <w:ind w:left="467" w:right="0" w:hanging="360"/>
                          <w:jc w:val="left"/>
                          <w:rPr>
                            <w:sz w:val="16"/>
                          </w:rPr>
                        </w:pPr>
                        <w:r>
                          <w:rPr>
                            <w:sz w:val="16"/>
                          </w:rPr>
                          <w:t>Lambrin</w:t>
                        </w:r>
                      </w:p>
                      <w:p>
                        <w:pPr>
                          <w:pStyle w:val="TableParagraph"/>
                          <w:numPr>
                            <w:ilvl w:val="0"/>
                            <w:numId w:val="24"/>
                          </w:numPr>
                          <w:tabs>
                            <w:tab w:pos="467" w:val="left" w:leader="none"/>
                            <w:tab w:pos="468" w:val="left" w:leader="none"/>
                          </w:tabs>
                          <w:spacing w:line="240" w:lineRule="auto" w:before="71" w:after="0"/>
                          <w:ind w:left="467" w:right="0" w:hanging="360"/>
                          <w:jc w:val="left"/>
                          <w:rPr>
                            <w:sz w:val="16"/>
                          </w:rPr>
                        </w:pPr>
                        <w:r>
                          <w:rPr>
                            <w:sz w:val="16"/>
                          </w:rPr>
                          <w:t>Balaustros</w:t>
                        </w:r>
                      </w:p>
                      <w:p>
                        <w:pPr>
                          <w:pStyle w:val="TableParagraph"/>
                          <w:numPr>
                            <w:ilvl w:val="0"/>
                            <w:numId w:val="24"/>
                          </w:numPr>
                          <w:tabs>
                            <w:tab w:pos="467" w:val="left" w:leader="none"/>
                            <w:tab w:pos="468" w:val="left" w:leader="none"/>
                          </w:tabs>
                          <w:spacing w:line="240" w:lineRule="auto" w:before="71" w:after="0"/>
                          <w:ind w:left="467" w:right="0" w:hanging="360"/>
                          <w:jc w:val="left"/>
                          <w:rPr>
                            <w:sz w:val="16"/>
                          </w:rPr>
                        </w:pPr>
                        <w:r>
                          <w:rPr>
                            <w:sz w:val="16"/>
                          </w:rPr>
                          <w:t>Muebles e</w:t>
                        </w:r>
                        <w:r>
                          <w:rPr>
                            <w:spacing w:val="5"/>
                            <w:sz w:val="16"/>
                          </w:rPr>
                          <w:t> </w:t>
                        </w:r>
                        <w:r>
                          <w:rPr>
                            <w:sz w:val="16"/>
                          </w:rPr>
                          <w:t>inmuebles</w:t>
                        </w:r>
                      </w:p>
                    </w:tc>
                    <w:tc>
                      <w:tcPr>
                        <w:tcW w:w="2481" w:type="dxa"/>
                        <w:tcBorders>
                          <w:left w:val="single" w:sz="4" w:space="0" w:color="929292"/>
                          <w:bottom w:val="dotted" w:sz="4" w:space="0" w:color="929292"/>
                          <w:right w:val="single" w:sz="4" w:space="0" w:color="929292"/>
                        </w:tcBorders>
                      </w:tcPr>
                      <w:p>
                        <w:pPr>
                          <w:pStyle w:val="TableParagraph"/>
                          <w:spacing w:line="165" w:lineRule="exact"/>
                          <w:ind w:left="102" w:right="7"/>
                          <w:rPr>
                            <w:sz w:val="16"/>
                          </w:rPr>
                        </w:pPr>
                        <w:r>
                          <w:rPr>
                            <w:w w:val="105"/>
                            <w:sz w:val="16"/>
                          </w:rPr>
                          <w:t>1.- Ecológicos</w:t>
                        </w:r>
                      </w:p>
                      <w:p>
                        <w:pPr>
                          <w:pStyle w:val="TableParagraph"/>
                          <w:numPr>
                            <w:ilvl w:val="0"/>
                            <w:numId w:val="25"/>
                          </w:numPr>
                          <w:tabs>
                            <w:tab w:pos="462" w:val="left" w:leader="none"/>
                            <w:tab w:pos="463" w:val="left" w:leader="none"/>
                          </w:tabs>
                          <w:spacing w:line="259" w:lineRule="auto" w:before="72" w:after="0"/>
                          <w:ind w:left="462" w:right="198" w:hanging="360"/>
                          <w:jc w:val="left"/>
                          <w:rPr>
                            <w:sz w:val="16"/>
                          </w:rPr>
                        </w:pPr>
                        <w:r>
                          <w:rPr>
                            <w:sz w:val="16"/>
                          </w:rPr>
                          <w:t>Conservación del Hábitat y los</w:t>
                        </w:r>
                        <w:r>
                          <w:rPr>
                            <w:spacing w:val="5"/>
                            <w:sz w:val="16"/>
                          </w:rPr>
                          <w:t> </w:t>
                        </w:r>
                        <w:r>
                          <w:rPr>
                            <w:sz w:val="16"/>
                          </w:rPr>
                          <w:t>Ecosistemas</w:t>
                        </w:r>
                      </w:p>
                      <w:p>
                        <w:pPr>
                          <w:pStyle w:val="TableParagraph"/>
                          <w:numPr>
                            <w:ilvl w:val="0"/>
                            <w:numId w:val="25"/>
                          </w:numPr>
                          <w:tabs>
                            <w:tab w:pos="462" w:val="left" w:leader="none"/>
                            <w:tab w:pos="463" w:val="left" w:leader="none"/>
                          </w:tabs>
                          <w:spacing w:line="259" w:lineRule="auto" w:before="58" w:after="0"/>
                          <w:ind w:left="462" w:right="631" w:hanging="360"/>
                          <w:jc w:val="left"/>
                          <w:rPr>
                            <w:sz w:val="16"/>
                          </w:rPr>
                        </w:pPr>
                        <w:r>
                          <w:rPr>
                            <w:sz w:val="16"/>
                          </w:rPr>
                          <w:t>Conservación de la Biodiversidad</w:t>
                        </w:r>
                      </w:p>
                      <w:p>
                        <w:pPr>
                          <w:pStyle w:val="TableParagraph"/>
                          <w:numPr>
                            <w:ilvl w:val="0"/>
                            <w:numId w:val="25"/>
                          </w:numPr>
                          <w:tabs>
                            <w:tab w:pos="462" w:val="left" w:leader="none"/>
                            <w:tab w:pos="463" w:val="left" w:leader="none"/>
                          </w:tabs>
                          <w:spacing w:line="261" w:lineRule="auto" w:before="58" w:after="0"/>
                          <w:ind w:left="462" w:right="136" w:hanging="360"/>
                          <w:jc w:val="left"/>
                          <w:rPr>
                            <w:sz w:val="16"/>
                          </w:rPr>
                        </w:pPr>
                        <w:r>
                          <w:rPr>
                            <w:sz w:val="16"/>
                          </w:rPr>
                          <w:t>Disminución de la Pérdida y Extinción de Especies, cada especie es un eslabón en la Cadena de generación de Servicios Ambientales</w:t>
                        </w:r>
                      </w:p>
                      <w:p>
                        <w:pPr>
                          <w:pStyle w:val="TableParagraph"/>
                          <w:numPr>
                            <w:ilvl w:val="0"/>
                            <w:numId w:val="25"/>
                          </w:numPr>
                          <w:tabs>
                            <w:tab w:pos="462" w:val="left" w:leader="none"/>
                            <w:tab w:pos="463" w:val="left" w:leader="none"/>
                          </w:tabs>
                          <w:spacing w:line="259" w:lineRule="auto" w:before="56" w:after="0"/>
                          <w:ind w:left="462" w:right="207" w:hanging="360"/>
                          <w:jc w:val="left"/>
                          <w:rPr>
                            <w:sz w:val="16"/>
                          </w:rPr>
                        </w:pPr>
                        <w:r>
                          <w:rPr>
                            <w:sz w:val="16"/>
                          </w:rPr>
                          <w:t>Mantienen los bancos de germoplasma</w:t>
                        </w:r>
                      </w:p>
                    </w:tc>
                    <w:tc>
                      <w:tcPr>
                        <w:tcW w:w="3041" w:type="dxa"/>
                        <w:tcBorders>
                          <w:left w:val="single" w:sz="4" w:space="0" w:color="929292"/>
                          <w:bottom w:val="dotted" w:sz="4" w:space="0" w:color="929292"/>
                        </w:tcBorders>
                      </w:tcPr>
                      <w:p>
                        <w:pPr>
                          <w:pStyle w:val="TableParagraph"/>
                          <w:spacing w:line="165" w:lineRule="exact"/>
                          <w:ind w:left="102" w:right="396"/>
                          <w:rPr>
                            <w:sz w:val="16"/>
                          </w:rPr>
                        </w:pPr>
                        <w:r>
                          <w:rPr>
                            <w:w w:val="105"/>
                            <w:sz w:val="16"/>
                          </w:rPr>
                          <w:t>1.- Éticos-estéticos</w:t>
                        </w:r>
                      </w:p>
                      <w:p>
                        <w:pPr>
                          <w:pStyle w:val="TableParagraph"/>
                          <w:numPr>
                            <w:ilvl w:val="0"/>
                            <w:numId w:val="26"/>
                          </w:numPr>
                          <w:tabs>
                            <w:tab w:pos="462" w:val="left" w:leader="none"/>
                            <w:tab w:pos="463" w:val="left" w:leader="none"/>
                          </w:tabs>
                          <w:spacing w:line="240" w:lineRule="auto" w:before="72" w:after="0"/>
                          <w:ind w:left="462" w:right="0" w:hanging="360"/>
                          <w:jc w:val="left"/>
                          <w:rPr>
                            <w:sz w:val="16"/>
                          </w:rPr>
                        </w:pPr>
                        <w:r>
                          <w:rPr>
                            <w:sz w:val="16"/>
                          </w:rPr>
                          <w:t>Fuente de recreación y</w:t>
                        </w:r>
                        <w:r>
                          <w:rPr>
                            <w:spacing w:val="-2"/>
                            <w:sz w:val="16"/>
                          </w:rPr>
                          <w:t> </w:t>
                        </w:r>
                        <w:r>
                          <w:rPr>
                            <w:sz w:val="16"/>
                          </w:rPr>
                          <w:t>paisaje</w:t>
                        </w:r>
                      </w:p>
                      <w:p>
                        <w:pPr>
                          <w:pStyle w:val="TableParagraph"/>
                          <w:numPr>
                            <w:ilvl w:val="0"/>
                            <w:numId w:val="26"/>
                          </w:numPr>
                          <w:tabs>
                            <w:tab w:pos="462" w:val="left" w:leader="none"/>
                            <w:tab w:pos="463" w:val="left" w:leader="none"/>
                          </w:tabs>
                          <w:spacing w:line="259" w:lineRule="auto" w:before="71" w:after="0"/>
                          <w:ind w:left="462" w:right="716" w:hanging="360"/>
                          <w:jc w:val="left"/>
                          <w:rPr>
                            <w:sz w:val="16"/>
                          </w:rPr>
                        </w:pPr>
                        <w:r>
                          <w:rPr>
                            <w:sz w:val="16"/>
                          </w:rPr>
                          <w:t>Propician la convivencia y relaciones</w:t>
                        </w:r>
                        <w:r>
                          <w:rPr>
                            <w:spacing w:val="-4"/>
                            <w:sz w:val="16"/>
                          </w:rPr>
                          <w:t> </w:t>
                        </w:r>
                        <w:r>
                          <w:rPr>
                            <w:sz w:val="16"/>
                          </w:rPr>
                          <w:t>familiares</w:t>
                        </w:r>
                      </w:p>
                      <w:p>
                        <w:pPr>
                          <w:pStyle w:val="TableParagraph"/>
                          <w:numPr>
                            <w:ilvl w:val="0"/>
                            <w:numId w:val="26"/>
                          </w:numPr>
                          <w:tabs>
                            <w:tab w:pos="462" w:val="left" w:leader="none"/>
                            <w:tab w:pos="463" w:val="left" w:leader="none"/>
                          </w:tabs>
                          <w:spacing w:line="259" w:lineRule="auto" w:before="58" w:after="0"/>
                          <w:ind w:left="462" w:right="138" w:hanging="360"/>
                          <w:jc w:val="left"/>
                          <w:rPr>
                            <w:sz w:val="16"/>
                          </w:rPr>
                        </w:pPr>
                        <w:r>
                          <w:rPr>
                            <w:sz w:val="16"/>
                          </w:rPr>
                          <w:t>Favorecen la organización</w:t>
                        </w:r>
                        <w:r>
                          <w:rPr>
                            <w:spacing w:val="-5"/>
                            <w:sz w:val="16"/>
                          </w:rPr>
                          <w:t> </w:t>
                        </w:r>
                        <w:r>
                          <w:rPr>
                            <w:sz w:val="16"/>
                          </w:rPr>
                          <w:t>familiar para el manejo y mantenimiento de los</w:t>
                        </w:r>
                        <w:r>
                          <w:rPr>
                            <w:spacing w:val="11"/>
                            <w:sz w:val="16"/>
                          </w:rPr>
                          <w:t> </w:t>
                        </w:r>
                        <w:r>
                          <w:rPr>
                            <w:sz w:val="16"/>
                          </w:rPr>
                          <w:t>huertos</w:t>
                        </w:r>
                      </w:p>
                      <w:p>
                        <w:pPr>
                          <w:pStyle w:val="TableParagraph"/>
                          <w:numPr>
                            <w:ilvl w:val="0"/>
                            <w:numId w:val="26"/>
                          </w:numPr>
                          <w:tabs>
                            <w:tab w:pos="462" w:val="left" w:leader="none"/>
                            <w:tab w:pos="463" w:val="left" w:leader="none"/>
                          </w:tabs>
                          <w:spacing w:line="259" w:lineRule="auto" w:before="58" w:after="0"/>
                          <w:ind w:left="462" w:right="464" w:hanging="360"/>
                          <w:jc w:val="left"/>
                          <w:rPr>
                            <w:sz w:val="16"/>
                          </w:rPr>
                        </w:pPr>
                        <w:r>
                          <w:rPr>
                            <w:sz w:val="16"/>
                          </w:rPr>
                          <w:t>Propician la relación hombre- naturaleza en la nuevas generaciones</w:t>
                        </w:r>
                      </w:p>
                      <w:p>
                        <w:pPr>
                          <w:pStyle w:val="TableParagraph"/>
                          <w:numPr>
                            <w:ilvl w:val="0"/>
                            <w:numId w:val="26"/>
                          </w:numPr>
                          <w:tabs>
                            <w:tab w:pos="462" w:val="left" w:leader="none"/>
                            <w:tab w:pos="463" w:val="left" w:leader="none"/>
                          </w:tabs>
                          <w:spacing w:line="259" w:lineRule="auto" w:before="58" w:after="0"/>
                          <w:ind w:left="462" w:right="247" w:hanging="360"/>
                          <w:jc w:val="left"/>
                          <w:rPr>
                            <w:sz w:val="16"/>
                          </w:rPr>
                        </w:pPr>
                        <w:r>
                          <w:rPr>
                            <w:sz w:val="16"/>
                          </w:rPr>
                          <w:t>Favorecen las relaciones comunitarias y el intercambio de alimentos</w:t>
                        </w:r>
                      </w:p>
                    </w:tc>
                  </w:tr>
                </w:tbl>
                <w:p>
                  <w:pPr>
                    <w:pStyle w:val="BodyText"/>
                  </w:pPr>
                </w:p>
              </w:txbxContent>
            </v:textbox>
            <w10:wrap type="none"/>
          </v:shape>
        </w:pict>
      </w:r>
      <w:r>
        <w:rPr>
          <w:color w:val="6D6E71"/>
          <w:sz w:val="16"/>
        </w:rPr>
        <w:t>Fuente: Elaboración propia, 2015</w:t>
      </w:r>
    </w:p>
    <w:p>
      <w:pPr>
        <w:spacing w:after="0"/>
        <w:jc w:val="right"/>
        <w:rPr>
          <w:sz w:val="16"/>
        </w:rPr>
        <w:sectPr>
          <w:footerReference w:type="default" r:id="rId280"/>
          <w:pgSz w:w="18830" w:h="12760" w:orient="landscape"/>
          <w:pgMar w:footer="1036" w:header="522" w:top="820" w:bottom="1220" w:left="720" w:right="720"/>
        </w:sectPr>
      </w:pPr>
    </w:p>
    <w:p>
      <w:pPr>
        <w:pStyle w:val="BodyText"/>
        <w:spacing w:before="8"/>
      </w:pPr>
    </w:p>
    <w:p>
      <w:pPr>
        <w:spacing w:after="0"/>
        <w:sectPr>
          <w:footerReference w:type="default" r:id="rId281"/>
          <w:pgSz w:w="18830" w:h="12760" w:orient="landscape"/>
          <w:pgMar w:footer="1036" w:header="522" w:top="820" w:bottom="1220" w:left="720" w:right="720"/>
        </w:sectPr>
      </w:pPr>
    </w:p>
    <w:p>
      <w:pPr>
        <w:pStyle w:val="Heading1"/>
        <w:spacing w:before="71"/>
        <w:ind w:left="433" w:right="-7"/>
      </w:pPr>
      <w:r>
        <w:rPr/>
        <w:t>Conclusiones</w:t>
      </w:r>
    </w:p>
    <w:p>
      <w:pPr>
        <w:pStyle w:val="BodyText"/>
        <w:rPr>
          <w:b/>
          <w:sz w:val="21"/>
        </w:rPr>
      </w:pPr>
    </w:p>
    <w:p>
      <w:pPr>
        <w:pStyle w:val="BodyText"/>
        <w:spacing w:line="249" w:lineRule="auto"/>
        <w:ind w:left="130" w:firstLine="170"/>
        <w:jc w:val="both"/>
      </w:pPr>
      <w:r>
        <w:rPr/>
        <w:t>Mediante la información obtenida es posible diagnosticar el cambio de comunidades vegetales cultivadas dentro de la zona y generar información actualizada sobre el estado de la vegetación en la zona sur del Estado de México. Los datos satelitales proporcionan una perspectiva amplia de la situación actual de la zona y aportan conocimiento detallado para la implementación de estrategias dirigidas a  mejorar estos agroecosistemas con beneficio local y regional. Si bien  la distribución espacial   y estructura de los huertos no es uniforme en las viviendas de las comunidades de la región, tampoco es uniforme la composición florística, ni la superficie de los </w:t>
      </w:r>
      <w:r>
        <w:rPr>
          <w:spacing w:val="41"/>
        </w:rPr>
        <w:t> </w:t>
      </w:r>
      <w:r>
        <w:rPr/>
        <w:t>huertos.</w:t>
      </w:r>
    </w:p>
    <w:p>
      <w:pPr>
        <w:pStyle w:val="BodyText"/>
        <w:spacing w:before="11"/>
      </w:pPr>
    </w:p>
    <w:p>
      <w:pPr>
        <w:pStyle w:val="BodyText"/>
        <w:spacing w:line="249" w:lineRule="auto"/>
        <w:ind w:left="130" w:firstLine="170"/>
        <w:jc w:val="both"/>
      </w:pPr>
      <w:r>
        <w:rPr/>
        <w:t>La aportación de este trabajo es mostrar como los huertos familiares, manejados adecuadamente contribuyen a la conservación de los recursos naturales y la biodiversidad, a la seguridad alimentaria de las familias rurales y a la disminución de su vulnerabilidad socioeconómica. Las prácticas y técnicas agroecológicas que las familias campesinas realizan en sus espacios, fomentan la conservación, manejo y creación de estos</w:t>
      </w:r>
      <w:r>
        <w:rPr>
          <w:spacing w:val="35"/>
        </w:rPr>
        <w:t> </w:t>
      </w:r>
      <w:r>
        <w:rPr/>
        <w:t>agroecosistemas.</w:t>
      </w:r>
    </w:p>
    <w:p>
      <w:pPr>
        <w:pStyle w:val="BodyText"/>
        <w:spacing w:before="11"/>
      </w:pPr>
    </w:p>
    <w:p>
      <w:pPr>
        <w:pStyle w:val="BodyText"/>
        <w:spacing w:line="249" w:lineRule="auto"/>
        <w:ind w:left="130" w:firstLine="170"/>
        <w:jc w:val="both"/>
      </w:pPr>
      <w:r>
        <w:rPr/>
        <w:t>Los</w:t>
      </w:r>
      <w:r>
        <w:rPr>
          <w:spacing w:val="-8"/>
        </w:rPr>
        <w:t> </w:t>
      </w:r>
      <w:r>
        <w:rPr/>
        <w:t>huertos</w:t>
      </w:r>
      <w:r>
        <w:rPr>
          <w:spacing w:val="-8"/>
        </w:rPr>
        <w:t> </w:t>
      </w:r>
      <w:r>
        <w:rPr/>
        <w:t>familiares</w:t>
      </w:r>
      <w:r>
        <w:rPr>
          <w:spacing w:val="-8"/>
        </w:rPr>
        <w:t> </w:t>
      </w:r>
      <w:r>
        <w:rPr/>
        <w:t>constituyen</w:t>
      </w:r>
      <w:r>
        <w:rPr>
          <w:spacing w:val="-8"/>
        </w:rPr>
        <w:t> </w:t>
      </w:r>
      <w:r>
        <w:rPr/>
        <w:t>una</w:t>
      </w:r>
      <w:r>
        <w:rPr>
          <w:spacing w:val="-8"/>
        </w:rPr>
        <w:t> </w:t>
      </w:r>
      <w:r>
        <w:rPr/>
        <w:t>práctica</w:t>
      </w:r>
      <w:r>
        <w:rPr>
          <w:spacing w:val="-8"/>
        </w:rPr>
        <w:t> </w:t>
      </w:r>
      <w:r>
        <w:rPr/>
        <w:t>con</w:t>
      </w:r>
      <w:r>
        <w:rPr>
          <w:spacing w:val="-8"/>
        </w:rPr>
        <w:t> </w:t>
      </w:r>
      <w:r>
        <w:rPr/>
        <w:t>la</w:t>
      </w:r>
      <w:r>
        <w:rPr>
          <w:spacing w:val="-8"/>
        </w:rPr>
        <w:t> </w:t>
      </w:r>
      <w:r>
        <w:rPr/>
        <w:t>que</w:t>
      </w:r>
      <w:r>
        <w:rPr>
          <w:spacing w:val="-8"/>
        </w:rPr>
        <w:t> </w:t>
      </w:r>
      <w:r>
        <w:rPr/>
        <w:t>las</w:t>
      </w:r>
      <w:r>
        <w:rPr>
          <w:spacing w:val="-8"/>
        </w:rPr>
        <w:t> </w:t>
      </w:r>
      <w:r>
        <w:rPr/>
        <w:t>familias</w:t>
      </w:r>
      <w:r>
        <w:rPr>
          <w:spacing w:val="-8"/>
        </w:rPr>
        <w:t> </w:t>
      </w:r>
      <w:r>
        <w:rPr/>
        <w:t>rurales</w:t>
      </w:r>
      <w:r>
        <w:rPr>
          <w:spacing w:val="-8"/>
        </w:rPr>
        <w:t> </w:t>
      </w:r>
      <w:r>
        <w:rPr/>
        <w:t>además de</w:t>
      </w:r>
      <w:r>
        <w:rPr>
          <w:spacing w:val="-15"/>
        </w:rPr>
        <w:t> </w:t>
      </w:r>
      <w:r>
        <w:rPr/>
        <w:t>contribuir</w:t>
      </w:r>
      <w:r>
        <w:rPr>
          <w:spacing w:val="-15"/>
        </w:rPr>
        <w:t> </w:t>
      </w:r>
      <w:r>
        <w:rPr/>
        <w:t>a</w:t>
      </w:r>
      <w:r>
        <w:rPr>
          <w:spacing w:val="-15"/>
        </w:rPr>
        <w:t> </w:t>
      </w:r>
      <w:r>
        <w:rPr/>
        <w:t>la</w:t>
      </w:r>
      <w:r>
        <w:rPr>
          <w:spacing w:val="-15"/>
        </w:rPr>
        <w:t> </w:t>
      </w:r>
      <w:r>
        <w:rPr/>
        <w:t>conservación</w:t>
      </w:r>
      <w:r>
        <w:rPr>
          <w:spacing w:val="-15"/>
        </w:rPr>
        <w:t> </w:t>
      </w:r>
      <w:r>
        <w:rPr/>
        <w:t>de</w:t>
      </w:r>
      <w:r>
        <w:rPr>
          <w:spacing w:val="-15"/>
        </w:rPr>
        <w:t> </w:t>
      </w:r>
      <w:r>
        <w:rPr/>
        <w:t>los</w:t>
      </w:r>
      <w:r>
        <w:rPr>
          <w:spacing w:val="-15"/>
        </w:rPr>
        <w:t> </w:t>
      </w:r>
      <w:r>
        <w:rPr/>
        <w:t>recursos</w:t>
      </w:r>
      <w:r>
        <w:rPr>
          <w:spacing w:val="-15"/>
        </w:rPr>
        <w:t> </w:t>
      </w:r>
      <w:r>
        <w:rPr/>
        <w:t>naturales</w:t>
      </w:r>
      <w:r>
        <w:rPr>
          <w:spacing w:val="-15"/>
        </w:rPr>
        <w:t> </w:t>
      </w:r>
      <w:r>
        <w:rPr/>
        <w:t>locales,</w:t>
      </w:r>
      <w:r>
        <w:rPr>
          <w:spacing w:val="-15"/>
        </w:rPr>
        <w:t> </w:t>
      </w:r>
      <w:r>
        <w:rPr/>
        <w:t>son</w:t>
      </w:r>
      <w:r>
        <w:rPr>
          <w:spacing w:val="-15"/>
        </w:rPr>
        <w:t> </w:t>
      </w:r>
      <w:r>
        <w:rPr/>
        <w:t>una</w:t>
      </w:r>
      <w:r>
        <w:rPr>
          <w:spacing w:val="-15"/>
        </w:rPr>
        <w:t> </w:t>
      </w:r>
      <w:r>
        <w:rPr/>
        <w:t>estrategia</w:t>
      </w:r>
      <w:r>
        <w:rPr>
          <w:spacing w:val="-15"/>
        </w:rPr>
        <w:t> </w:t>
      </w:r>
      <w:r>
        <w:rPr/>
        <w:t>para</w:t>
      </w:r>
      <w:r>
        <w:rPr>
          <w:w w:val="99"/>
        </w:rPr>
        <w:t> </w:t>
      </w:r>
      <w:r>
        <w:rPr/>
        <w:t>producir sus propios alimentos al establecer la plantación de los árboles de acuerdo    a sus gustos e intereses alimentarios. Esto lo han logrado a partir del manejo que realizan en estos ambientes, construyendo agroecosistemas a partir de las técnicas agroecológicas que han aprendido de sus</w:t>
      </w:r>
      <w:r>
        <w:rPr>
          <w:spacing w:val="52"/>
        </w:rPr>
        <w:t> </w:t>
      </w:r>
      <w:r>
        <w:rPr/>
        <w:t>antepasados.</w:t>
      </w:r>
    </w:p>
    <w:p>
      <w:pPr>
        <w:pStyle w:val="Heading1"/>
        <w:spacing w:before="71"/>
        <w:ind w:right="-10"/>
      </w:pPr>
      <w:r>
        <w:rPr>
          <w:b w:val="0"/>
        </w:rPr>
        <w:br w:type="column"/>
      </w:r>
      <w:r>
        <w:rPr/>
        <w:t>Referencias bibliográficas</w:t>
      </w:r>
    </w:p>
    <w:p>
      <w:pPr>
        <w:pStyle w:val="BodyText"/>
        <w:rPr>
          <w:b/>
          <w:sz w:val="24"/>
        </w:rPr>
      </w:pPr>
    </w:p>
    <w:p>
      <w:pPr>
        <w:pStyle w:val="BodyText"/>
        <w:spacing w:line="249" w:lineRule="auto" w:before="205"/>
        <w:ind w:left="754" w:right="128" w:hanging="624"/>
        <w:jc w:val="both"/>
      </w:pPr>
      <w:r>
        <w:rPr/>
        <w:t>Albarrán, M. F. J. (2008). Estudio Florístico de los Huertos familiares de la parte sur   de Malinalco, Estado de México. Tesis de Licenciatura. Facultad de Ciencias. Universidad Autónoma del Estado de México. Toluca, Estado de México, México. pp.</w:t>
      </w:r>
      <w:r>
        <w:rPr>
          <w:spacing w:val="33"/>
        </w:rPr>
        <w:t> </w:t>
      </w:r>
      <w:r>
        <w:rPr/>
        <w:t>80.</w:t>
      </w:r>
    </w:p>
    <w:p>
      <w:pPr>
        <w:pStyle w:val="BodyText"/>
        <w:spacing w:before="11"/>
      </w:pPr>
    </w:p>
    <w:p>
      <w:pPr>
        <w:pStyle w:val="BodyText"/>
        <w:ind w:left="130" w:right="-10"/>
      </w:pPr>
      <w:r>
        <w:rPr/>
        <w:t>Alcorn, J. (2001) Ámbito y objetivo de la etnobotánica en un mundo en desarrollo.</w:t>
      </w:r>
    </w:p>
    <w:p>
      <w:pPr>
        <w:pStyle w:val="BodyText"/>
        <w:spacing w:before="10"/>
        <w:ind w:left="754" w:right="-10"/>
      </w:pPr>
      <w:r>
        <w:rPr/>
        <w:t>Universidad Autónoma de Chapingo. Enero-Junio, 1:</w:t>
      </w:r>
      <w:r>
        <w:rPr>
          <w:spacing w:val="50"/>
        </w:rPr>
        <w:t> </w:t>
      </w:r>
      <w:r>
        <w:rPr/>
        <w:t>87-92.</w:t>
      </w:r>
    </w:p>
    <w:p>
      <w:pPr>
        <w:pStyle w:val="BodyText"/>
        <w:spacing w:before="8"/>
        <w:rPr>
          <w:sz w:val="21"/>
        </w:rPr>
      </w:pPr>
    </w:p>
    <w:p>
      <w:pPr>
        <w:pStyle w:val="BodyText"/>
        <w:spacing w:line="249" w:lineRule="auto"/>
        <w:ind w:left="754" w:right="128" w:hanging="624"/>
        <w:jc w:val="both"/>
      </w:pPr>
      <w:r>
        <w:rPr/>
        <w:t>Altieri, M. A. (1995). Agroecology: The sciencie of sustainable agriculture. Westview Press. 433.</w:t>
      </w:r>
    </w:p>
    <w:p>
      <w:pPr>
        <w:pStyle w:val="BodyText"/>
        <w:spacing w:before="11"/>
      </w:pPr>
    </w:p>
    <w:p>
      <w:pPr>
        <w:pStyle w:val="BodyText"/>
        <w:spacing w:line="249" w:lineRule="auto"/>
        <w:ind w:left="754" w:right="128" w:hanging="624"/>
        <w:jc w:val="both"/>
      </w:pPr>
      <w:r>
        <w:rPr/>
        <w:t>Altieri, M. y C. Nicholls, (2000). Agroecología. Teoría y práctica para una agricultura sustentable.</w:t>
      </w:r>
      <w:r>
        <w:rPr>
          <w:spacing w:val="-6"/>
        </w:rPr>
        <w:t> </w:t>
      </w:r>
      <w:r>
        <w:rPr/>
        <w:t>Programa</w:t>
      </w:r>
      <w:r>
        <w:rPr>
          <w:spacing w:val="-6"/>
        </w:rPr>
        <w:t> </w:t>
      </w:r>
      <w:r>
        <w:rPr/>
        <w:t>de</w:t>
      </w:r>
      <w:r>
        <w:rPr>
          <w:spacing w:val="-6"/>
        </w:rPr>
        <w:t> </w:t>
      </w:r>
      <w:r>
        <w:rPr/>
        <w:t>las</w:t>
      </w:r>
      <w:r>
        <w:rPr>
          <w:spacing w:val="-6"/>
        </w:rPr>
        <w:t> </w:t>
      </w:r>
      <w:r>
        <w:rPr/>
        <w:t>Naciones</w:t>
      </w:r>
      <w:r>
        <w:rPr>
          <w:spacing w:val="-6"/>
        </w:rPr>
        <w:t> </w:t>
      </w:r>
      <w:r>
        <w:rPr/>
        <w:t>Unidas</w:t>
      </w:r>
      <w:r>
        <w:rPr>
          <w:spacing w:val="-6"/>
        </w:rPr>
        <w:t> </w:t>
      </w:r>
      <w:r>
        <w:rPr/>
        <w:t>para</w:t>
      </w:r>
      <w:r>
        <w:rPr>
          <w:spacing w:val="-6"/>
        </w:rPr>
        <w:t> </w:t>
      </w:r>
      <w:r>
        <w:rPr/>
        <w:t>el</w:t>
      </w:r>
      <w:r>
        <w:rPr>
          <w:spacing w:val="-6"/>
        </w:rPr>
        <w:t> </w:t>
      </w:r>
      <w:r>
        <w:rPr/>
        <w:t>medio</w:t>
      </w:r>
      <w:r>
        <w:rPr>
          <w:spacing w:val="-6"/>
        </w:rPr>
        <w:t> </w:t>
      </w:r>
      <w:r>
        <w:rPr/>
        <w:t>Ambiente.</w:t>
      </w:r>
      <w:r>
        <w:rPr>
          <w:spacing w:val="-6"/>
        </w:rPr>
        <w:t> </w:t>
      </w:r>
      <w:r>
        <w:rPr/>
        <w:t>México. 257pp.</w:t>
      </w:r>
    </w:p>
    <w:p>
      <w:pPr>
        <w:pStyle w:val="BodyText"/>
        <w:spacing w:before="11"/>
      </w:pPr>
    </w:p>
    <w:p>
      <w:pPr>
        <w:pStyle w:val="BodyText"/>
        <w:spacing w:line="249" w:lineRule="auto"/>
        <w:ind w:left="754" w:right="127" w:hanging="624"/>
        <w:jc w:val="both"/>
      </w:pPr>
      <w:r>
        <w:rPr/>
        <w:t>Bocco, G. (2010). Geografía y Ciencias ambientales: ¿campos disciplinarios conexos</w:t>
      </w:r>
      <w:r>
        <w:rPr>
          <w:spacing w:val="-25"/>
        </w:rPr>
        <w:t> </w:t>
      </w:r>
      <w:r>
        <w:rPr/>
        <w:t>o redundancia epistémica? Investigación ambiental 2(2). Pp. 25-31.</w:t>
      </w:r>
      <w:r>
        <w:rPr>
          <w:spacing w:val="46"/>
        </w:rPr>
        <w:t> </w:t>
      </w:r>
      <w:r>
        <w:rPr/>
        <w:t>México.</w:t>
      </w:r>
    </w:p>
    <w:p>
      <w:pPr>
        <w:pStyle w:val="BodyText"/>
        <w:spacing w:before="11"/>
      </w:pPr>
    </w:p>
    <w:p>
      <w:pPr>
        <w:pStyle w:val="BodyText"/>
        <w:spacing w:line="249" w:lineRule="auto"/>
        <w:ind w:left="754" w:right="128" w:hanging="624"/>
        <w:jc w:val="both"/>
      </w:pPr>
      <w:r>
        <w:rPr/>
        <w:t>Gaytán Á. C. y Vibrans H. (2001). </w:t>
      </w:r>
      <w:hyperlink r:id="rId282">
        <w:r>
          <w:rPr/>
          <w:t>Manejo de Huertos Familiares Periurbanos de San</w:t>
        </w:r>
      </w:hyperlink>
      <w:r>
        <w:rPr/>
        <w:t> </w:t>
      </w:r>
      <w:hyperlink r:id="rId282">
        <w:r>
          <w:rPr/>
          <w:t>Miguel Tlaixpan, Texcoco, Estado de México. Boletín de la Sociedad Botánica</w:t>
        </w:r>
      </w:hyperlink>
      <w:r>
        <w:rPr/>
        <w:t> </w:t>
      </w:r>
      <w:hyperlink r:id="rId282">
        <w:r>
          <w:rPr/>
          <w:t>de México.</w:t>
        </w:r>
      </w:hyperlink>
      <w:r>
        <w:rPr/>
        <w:t> Boletín de la Sociedad Botánica de México Sociedad Botánica de México, A.C.</w:t>
      </w:r>
    </w:p>
    <w:p>
      <w:pPr>
        <w:pStyle w:val="BodyText"/>
        <w:spacing w:before="11"/>
      </w:pPr>
    </w:p>
    <w:p>
      <w:pPr>
        <w:pStyle w:val="BodyText"/>
        <w:spacing w:line="249" w:lineRule="auto"/>
        <w:ind w:left="754" w:right="128" w:hanging="624"/>
        <w:jc w:val="both"/>
      </w:pPr>
      <w:r>
        <w:rPr/>
        <w:t>García-Frapolli, E.; Toledo, V.; Martínez-Alier, J. (2008). Apropiación de la Naturaleza por una Comunidad MayaYucateca: Un Análisis Económico-Ecológico. Revista Iberoamericana de Economía Ecológica Vol. 7: 27-42.</w:t>
      </w:r>
    </w:p>
    <w:p>
      <w:pPr>
        <w:pStyle w:val="BodyText"/>
        <w:spacing w:before="11"/>
      </w:pPr>
    </w:p>
    <w:p>
      <w:pPr>
        <w:pStyle w:val="BodyText"/>
        <w:ind w:left="130" w:right="-10"/>
      </w:pPr>
      <w:r>
        <w:rPr/>
        <w:t>Gliessman, S. R. (2002). Agroecología: Procesos ecológicos en agricultura  sostenible.</w:t>
      </w:r>
    </w:p>
    <w:p>
      <w:pPr>
        <w:pStyle w:val="BodyText"/>
        <w:spacing w:before="10"/>
        <w:ind w:left="754" w:right="-10"/>
      </w:pPr>
      <w:r>
        <w:rPr/>
        <w:t>Costa Rica. 359pp.</w:t>
      </w:r>
    </w:p>
    <w:p>
      <w:pPr>
        <w:pStyle w:val="BodyText"/>
        <w:spacing w:before="8"/>
        <w:rPr>
          <w:sz w:val="21"/>
        </w:rPr>
      </w:pPr>
    </w:p>
    <w:p>
      <w:pPr>
        <w:pStyle w:val="BodyText"/>
        <w:ind w:left="130" w:right="-10"/>
      </w:pPr>
      <w:r>
        <w:rPr/>
        <w:t>Gliessman, S. R.; F. J. Rosado-May; C. Guadarrama-Zugasti; J. Jedlicka; A. Cohn;   V.</w:t>
      </w:r>
    </w:p>
    <w:p>
      <w:pPr>
        <w:pStyle w:val="ListParagraph"/>
        <w:numPr>
          <w:ilvl w:val="0"/>
          <w:numId w:val="27"/>
        </w:numPr>
        <w:tabs>
          <w:tab w:pos="986" w:val="left" w:leader="none"/>
        </w:tabs>
        <w:spacing w:line="249" w:lineRule="auto" w:before="10" w:after="0"/>
        <w:ind w:left="754" w:right="127" w:firstLine="0"/>
        <w:jc w:val="left"/>
        <w:rPr>
          <w:sz w:val="20"/>
        </w:rPr>
      </w:pPr>
      <w:r>
        <w:rPr>
          <w:sz w:val="20"/>
        </w:rPr>
        <w:t>Mendez; R. Cohen; L. Trujillo y C. Bacon. (2007). Agroecología:</w:t>
      </w:r>
      <w:r>
        <w:rPr>
          <w:spacing w:val="-20"/>
          <w:sz w:val="20"/>
        </w:rPr>
        <w:t> </w:t>
      </w:r>
      <w:r>
        <w:rPr>
          <w:sz w:val="20"/>
        </w:rPr>
        <w:t>promoviendo una transición hacia la sostenibilidad. Ecosistemas. 16(1)</w:t>
      </w:r>
      <w:r>
        <w:rPr>
          <w:spacing w:val="16"/>
          <w:sz w:val="20"/>
        </w:rPr>
        <w:t> </w:t>
      </w:r>
      <w:r>
        <w:rPr>
          <w:sz w:val="20"/>
        </w:rPr>
        <w:t>13-23.</w:t>
      </w:r>
    </w:p>
    <w:p>
      <w:pPr>
        <w:pStyle w:val="BodyText"/>
        <w:spacing w:before="11"/>
      </w:pPr>
    </w:p>
    <w:p>
      <w:pPr>
        <w:pStyle w:val="BodyText"/>
        <w:spacing w:line="249" w:lineRule="auto"/>
        <w:ind w:left="754" w:right="128" w:hanging="624"/>
        <w:jc w:val="both"/>
      </w:pPr>
      <w:r>
        <w:rPr/>
        <w:t>Gispert, M.; Moreno, E.; Gómez, A.; Díaz, A. y Álvarez, M. A. (2004). Els horts</w:t>
      </w:r>
      <w:r>
        <w:rPr>
          <w:spacing w:val="-16"/>
        </w:rPr>
        <w:t> </w:t>
      </w:r>
      <w:r>
        <w:rPr/>
        <w:t>familiars i les artigues del tropic mexica i cuba: un exemple de gestio sostenible. Revista Etnol. Cat. 24:</w:t>
      </w:r>
      <w:r>
        <w:rPr>
          <w:spacing w:val="14"/>
        </w:rPr>
        <w:t> </w:t>
      </w:r>
      <w:r>
        <w:rPr/>
        <w:t>76-87.</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283"/>
          <w:pgSz w:w="18830" w:h="12760" w:orient="landscape"/>
          <w:pgMar w:footer="1036" w:header="522" w:top="820" w:bottom="1220" w:left="720" w:right="720"/>
        </w:sectPr>
      </w:pPr>
    </w:p>
    <w:p>
      <w:pPr>
        <w:pStyle w:val="BodyText"/>
        <w:spacing w:line="249" w:lineRule="auto" w:before="76"/>
        <w:ind w:left="752" w:hanging="624"/>
        <w:jc w:val="both"/>
      </w:pPr>
      <w:r>
        <w:rPr/>
        <w:t>Gutiérrez, C.J.G.; Aguilera, G.L.I.; González, E.C.E. (2008). Agroecología y sustentabilidad. Convergencia. Revsita de Ciencias Sociales. Año 15, Núm. 46: 51-90.</w:t>
      </w:r>
    </w:p>
    <w:p>
      <w:pPr>
        <w:pStyle w:val="BodyText"/>
        <w:spacing w:before="11"/>
      </w:pPr>
    </w:p>
    <w:p>
      <w:pPr>
        <w:pStyle w:val="BodyText"/>
        <w:spacing w:line="249" w:lineRule="auto"/>
        <w:ind w:left="752" w:hanging="624"/>
        <w:jc w:val="both"/>
      </w:pPr>
      <w:r>
        <w:rPr/>
        <w:t>Gutiérrez C, J.G; Aguilera G, L.I.; González E., C.E; Juan P., J. I. 2011.Evaluación preliminar</w:t>
      </w:r>
      <w:r>
        <w:rPr>
          <w:spacing w:val="-15"/>
        </w:rPr>
        <w:t> </w:t>
      </w:r>
      <w:r>
        <w:rPr/>
        <w:t>de</w:t>
      </w:r>
      <w:r>
        <w:rPr>
          <w:spacing w:val="-15"/>
        </w:rPr>
        <w:t> </w:t>
      </w:r>
      <w:r>
        <w:rPr/>
        <w:t>la</w:t>
      </w:r>
      <w:r>
        <w:rPr>
          <w:spacing w:val="-15"/>
        </w:rPr>
        <w:t> </w:t>
      </w:r>
      <w:r>
        <w:rPr/>
        <w:t>sustentabilidad</w:t>
      </w:r>
      <w:r>
        <w:rPr>
          <w:spacing w:val="-15"/>
        </w:rPr>
        <w:t> </w:t>
      </w:r>
      <w:r>
        <w:rPr/>
        <w:t>de</w:t>
      </w:r>
      <w:r>
        <w:rPr>
          <w:spacing w:val="-15"/>
        </w:rPr>
        <w:t> </w:t>
      </w:r>
      <w:r>
        <w:rPr/>
        <w:t>una</w:t>
      </w:r>
      <w:r>
        <w:rPr>
          <w:spacing w:val="-15"/>
        </w:rPr>
        <w:t> </w:t>
      </w:r>
      <w:r>
        <w:rPr/>
        <w:t>propuesta</w:t>
      </w:r>
      <w:r>
        <w:rPr>
          <w:spacing w:val="-15"/>
        </w:rPr>
        <w:t> </w:t>
      </w:r>
      <w:r>
        <w:rPr/>
        <w:t>agroecológica,</w:t>
      </w:r>
      <w:r>
        <w:rPr>
          <w:spacing w:val="-15"/>
        </w:rPr>
        <w:t> </w:t>
      </w:r>
      <w:r>
        <w:rPr/>
        <w:t>en</w:t>
      </w:r>
      <w:r>
        <w:rPr>
          <w:spacing w:val="-15"/>
        </w:rPr>
        <w:t> </w:t>
      </w:r>
      <w:r>
        <w:rPr/>
        <w:t>el</w:t>
      </w:r>
      <w:r>
        <w:rPr>
          <w:spacing w:val="-15"/>
        </w:rPr>
        <w:t> </w:t>
      </w:r>
      <w:r>
        <w:rPr/>
        <w:t>Subtrópico del Altiplano Central de México. Tropical and Subtropical Agroecosystems, Vol. 14, núm.2, pp.</w:t>
      </w:r>
      <w:r>
        <w:rPr>
          <w:spacing w:val="29"/>
        </w:rPr>
        <w:t> </w:t>
      </w:r>
      <w:r>
        <w:rPr/>
        <w:t>567-580.</w:t>
      </w:r>
    </w:p>
    <w:p>
      <w:pPr>
        <w:pStyle w:val="BodyText"/>
        <w:spacing w:before="11"/>
      </w:pPr>
    </w:p>
    <w:p>
      <w:pPr>
        <w:pStyle w:val="BodyText"/>
        <w:spacing w:line="249" w:lineRule="auto"/>
        <w:ind w:left="752" w:hanging="624"/>
        <w:jc w:val="both"/>
      </w:pPr>
      <w:r>
        <w:rPr/>
        <w:t>Gutiérrez, C, J.G; Aguilera G,L.I.; González E.,C.E; Juan P.,J. I. (2012). Evaluación de la sustentabilidad posterior a una intervención agroecológica en el Subtrópico del Altiplano Central de México. Universidad Autónoma del Estado de Yucatán. Yucatán, México. Tropical and Subtropical Agroecosystems. Vol. 15, núm. 1,  pp.</w:t>
      </w:r>
      <w:r>
        <w:rPr>
          <w:spacing w:val="25"/>
        </w:rPr>
        <w:t> </w:t>
      </w:r>
      <w:r>
        <w:rPr/>
        <w:t>15-24.</w:t>
      </w:r>
    </w:p>
    <w:p>
      <w:pPr>
        <w:pStyle w:val="BodyText"/>
        <w:spacing w:before="11"/>
      </w:pPr>
    </w:p>
    <w:p>
      <w:pPr>
        <w:pStyle w:val="BodyText"/>
        <w:spacing w:line="249" w:lineRule="auto"/>
        <w:ind w:left="752" w:hanging="624"/>
        <w:jc w:val="both"/>
      </w:pPr>
      <w:r>
        <w:rPr/>
        <w:t>Gutiérrez, C. J. G. (2013). La Investigación Geográfica. Fundamentos, Métodos e Instrumentos. Dunken. Buenos Aires. 149pp.</w:t>
      </w:r>
    </w:p>
    <w:p>
      <w:pPr>
        <w:pStyle w:val="BodyText"/>
        <w:spacing w:before="11"/>
      </w:pPr>
    </w:p>
    <w:p>
      <w:pPr>
        <w:pStyle w:val="BodyText"/>
        <w:spacing w:line="249" w:lineRule="auto"/>
        <w:ind w:left="752" w:hanging="624"/>
        <w:jc w:val="both"/>
      </w:pPr>
      <w:r>
        <w:rPr/>
        <w:t>INEGI. (2010). XIII Censo Nacional de Población y Vivienda. Instituto Nacional de Estadística, Geografía e Informática. México, D. F</w:t>
      </w:r>
    </w:p>
    <w:p>
      <w:pPr>
        <w:pStyle w:val="BodyText"/>
        <w:spacing w:before="11"/>
      </w:pPr>
    </w:p>
    <w:p>
      <w:pPr>
        <w:pStyle w:val="BodyText"/>
        <w:spacing w:line="249" w:lineRule="auto"/>
        <w:ind w:left="752" w:hanging="624"/>
        <w:jc w:val="both"/>
      </w:pPr>
      <w:r>
        <w:rPr/>
        <w:t>Jiménez, O. J; M. R. Ruenes, M. y P. Montañez E. (1999) Agrobiovidersidad de los solares de la península de Yucatán. Red, Gestión de Recursos Naturales 14 30-40.</w:t>
      </w:r>
    </w:p>
    <w:p>
      <w:pPr>
        <w:pStyle w:val="BodyText"/>
        <w:spacing w:before="11"/>
      </w:pPr>
    </w:p>
    <w:p>
      <w:pPr>
        <w:pStyle w:val="BodyText"/>
        <w:ind w:left="128" w:right="-12"/>
      </w:pPr>
      <w:r>
        <w:rPr/>
        <w:t>Juan, P. J. (2013). Los huertos familiares en una provincia del subtrópico mexicano.</w:t>
      </w:r>
    </w:p>
    <w:p>
      <w:pPr>
        <w:pStyle w:val="BodyText"/>
        <w:spacing w:before="10"/>
        <w:ind w:left="752" w:right="-12"/>
      </w:pPr>
      <w:r>
        <w:rPr/>
        <w:t>Análisis espacial, económico y sociocultural. Eumed.  136pp.</w:t>
      </w:r>
    </w:p>
    <w:p>
      <w:pPr>
        <w:pStyle w:val="BodyText"/>
        <w:spacing w:before="8"/>
        <w:rPr>
          <w:sz w:val="21"/>
        </w:rPr>
      </w:pPr>
    </w:p>
    <w:p>
      <w:pPr>
        <w:pStyle w:val="BodyText"/>
        <w:spacing w:line="249" w:lineRule="auto"/>
        <w:ind w:left="752" w:hanging="624"/>
        <w:jc w:val="both"/>
      </w:pPr>
      <w:r>
        <w:rPr/>
        <w:t>Juan,</w:t>
      </w:r>
      <w:r>
        <w:rPr>
          <w:spacing w:val="-9"/>
        </w:rPr>
        <w:t> </w:t>
      </w:r>
      <w:r>
        <w:rPr/>
        <w:t>P.</w:t>
      </w:r>
      <w:r>
        <w:rPr>
          <w:spacing w:val="-9"/>
        </w:rPr>
        <w:t> </w:t>
      </w:r>
      <w:r>
        <w:rPr/>
        <w:t>J.</w:t>
      </w:r>
      <w:r>
        <w:rPr>
          <w:spacing w:val="-9"/>
        </w:rPr>
        <w:t> </w:t>
      </w:r>
      <w:r>
        <w:rPr/>
        <w:t>I.</w:t>
      </w:r>
      <w:r>
        <w:rPr>
          <w:spacing w:val="-9"/>
        </w:rPr>
        <w:t> </w:t>
      </w:r>
      <w:r>
        <w:rPr/>
        <w:t>y</w:t>
      </w:r>
      <w:r>
        <w:rPr>
          <w:spacing w:val="-9"/>
        </w:rPr>
        <w:t> </w:t>
      </w:r>
      <w:r>
        <w:rPr/>
        <w:t>D.</w:t>
      </w:r>
      <w:r>
        <w:rPr>
          <w:spacing w:val="-9"/>
        </w:rPr>
        <w:t> </w:t>
      </w:r>
      <w:r>
        <w:rPr/>
        <w:t>Madrigal</w:t>
      </w:r>
      <w:r>
        <w:rPr>
          <w:spacing w:val="-9"/>
        </w:rPr>
        <w:t> </w:t>
      </w:r>
      <w:r>
        <w:rPr/>
        <w:t>U.</w:t>
      </w:r>
      <w:r>
        <w:rPr>
          <w:spacing w:val="-9"/>
        </w:rPr>
        <w:t> </w:t>
      </w:r>
      <w:r>
        <w:rPr/>
        <w:t>(2005),</w:t>
      </w:r>
      <w:r>
        <w:rPr>
          <w:spacing w:val="-9"/>
        </w:rPr>
        <w:t> </w:t>
      </w:r>
      <w:r>
        <w:rPr/>
        <w:t>Huertos,</w:t>
      </w:r>
      <w:r>
        <w:rPr>
          <w:spacing w:val="-9"/>
        </w:rPr>
        <w:t> </w:t>
      </w:r>
      <w:r>
        <w:rPr/>
        <w:t>diversidad</w:t>
      </w:r>
      <w:r>
        <w:rPr>
          <w:spacing w:val="-9"/>
        </w:rPr>
        <w:t> </w:t>
      </w:r>
      <w:r>
        <w:rPr/>
        <w:t>y</w:t>
      </w:r>
      <w:r>
        <w:rPr>
          <w:spacing w:val="-9"/>
        </w:rPr>
        <w:t> </w:t>
      </w:r>
      <w:r>
        <w:rPr/>
        <w:t>alimentación</w:t>
      </w:r>
      <w:r>
        <w:rPr>
          <w:spacing w:val="-9"/>
        </w:rPr>
        <w:t> </w:t>
      </w:r>
      <w:r>
        <w:rPr/>
        <w:t>en</w:t>
      </w:r>
      <w:r>
        <w:rPr>
          <w:spacing w:val="-9"/>
        </w:rPr>
        <w:t> </w:t>
      </w:r>
      <w:r>
        <w:rPr/>
        <w:t>una</w:t>
      </w:r>
      <w:r>
        <w:rPr>
          <w:spacing w:val="-9"/>
        </w:rPr>
        <w:t> </w:t>
      </w:r>
      <w:r>
        <w:rPr/>
        <w:t>zona</w:t>
      </w:r>
      <w:r>
        <w:rPr>
          <w:spacing w:val="-9"/>
        </w:rPr>
        <w:t> </w:t>
      </w:r>
      <w:r>
        <w:rPr/>
        <w:t>de transición ecológica del Estado de México, Ciencia Ergo Sum, 12</w:t>
      </w:r>
      <w:r>
        <w:rPr>
          <w:spacing w:val="38"/>
        </w:rPr>
        <w:t> </w:t>
      </w:r>
      <w:r>
        <w:rPr/>
        <w:t>(001):54-63.</w:t>
      </w:r>
    </w:p>
    <w:p>
      <w:pPr>
        <w:pStyle w:val="BodyText"/>
        <w:spacing w:before="11"/>
      </w:pPr>
    </w:p>
    <w:p>
      <w:pPr>
        <w:pStyle w:val="BodyText"/>
        <w:spacing w:line="249" w:lineRule="auto"/>
        <w:ind w:left="752" w:hanging="624"/>
        <w:jc w:val="both"/>
      </w:pPr>
      <w:r>
        <w:rPr/>
        <w:t>Juan P. J. I; S. Rebollar R.; D. Madrigal U. y J. F. Monroy G. (2007). </w:t>
      </w:r>
      <w:hyperlink r:id="rId284">
        <w:r>
          <w:rPr/>
          <w:t>Huertos familiares</w:t>
        </w:r>
      </w:hyperlink>
      <w:r>
        <w:rPr/>
        <w:t> </w:t>
      </w:r>
      <w:hyperlink r:id="rId284">
        <w:r>
          <w:rPr/>
          <w:t>en la región sur del estado de México: funciones, importancia y manejo. En:</w:t>
        </w:r>
      </w:hyperlink>
      <w:r>
        <w:rPr/>
        <w:t> </w:t>
      </w:r>
      <w:hyperlink r:id="rId284">
        <w:r>
          <w:rPr/>
          <w:t>Monroy,</w:t>
        </w:r>
        <w:r>
          <w:rPr>
            <w:spacing w:val="-24"/>
          </w:rPr>
          <w:t> </w:t>
        </w:r>
        <w:r>
          <w:rPr/>
          <w:t>F.</w:t>
        </w:r>
        <w:r>
          <w:rPr>
            <w:spacing w:val="-24"/>
          </w:rPr>
          <w:t> </w:t>
        </w:r>
        <w:r>
          <w:rPr/>
          <w:t>G;</w:t>
        </w:r>
        <w:r>
          <w:rPr>
            <w:spacing w:val="-24"/>
          </w:rPr>
          <w:t> </w:t>
        </w:r>
        <w:r>
          <w:rPr/>
          <w:t>J.</w:t>
        </w:r>
        <w:r>
          <w:rPr>
            <w:spacing w:val="-24"/>
          </w:rPr>
          <w:t> </w:t>
        </w:r>
        <w:r>
          <w:rPr/>
          <w:t>I.</w:t>
        </w:r>
        <w:r>
          <w:rPr>
            <w:spacing w:val="-24"/>
          </w:rPr>
          <w:t> </w:t>
        </w:r>
        <w:r>
          <w:rPr/>
          <w:t>Juan-Pérez;</w:t>
        </w:r>
        <w:r>
          <w:rPr>
            <w:spacing w:val="-24"/>
          </w:rPr>
          <w:t> </w:t>
        </w:r>
        <w:r>
          <w:rPr/>
          <w:t>F.</w:t>
        </w:r>
        <w:r>
          <w:rPr>
            <w:spacing w:val="-24"/>
          </w:rPr>
          <w:t> </w:t>
        </w:r>
        <w:r>
          <w:rPr/>
          <w:t>Carreto</w:t>
        </w:r>
        <w:r>
          <w:rPr>
            <w:spacing w:val="-24"/>
          </w:rPr>
          <w:t> </w:t>
        </w:r>
        <w:r>
          <w:rPr/>
          <w:t>B.;</w:t>
        </w:r>
        <w:r>
          <w:rPr>
            <w:spacing w:val="-24"/>
          </w:rPr>
          <w:t> </w:t>
        </w:r>
        <w:r>
          <w:rPr/>
          <w:t>M.</w:t>
        </w:r>
        <w:r>
          <w:rPr>
            <w:spacing w:val="-24"/>
          </w:rPr>
          <w:t> </w:t>
        </w:r>
        <w:r>
          <w:rPr/>
          <w:t>A.</w:t>
        </w:r>
        <w:r>
          <w:rPr>
            <w:spacing w:val="-24"/>
          </w:rPr>
          <w:t> </w:t>
        </w:r>
        <w:r>
          <w:rPr/>
          <w:t>Balderas</w:t>
        </w:r>
        <w:r>
          <w:rPr>
            <w:spacing w:val="-24"/>
          </w:rPr>
          <w:t> </w:t>
        </w:r>
        <w:r>
          <w:rPr/>
          <w:t>Plata</w:t>
        </w:r>
        <w:r>
          <w:rPr>
            <w:spacing w:val="-24"/>
          </w:rPr>
          <w:t> </w:t>
        </w:r>
        <w:r>
          <w:rPr/>
          <w:t>(2007)</w:t>
        </w:r>
        <w:r>
          <w:rPr>
            <w:spacing w:val="-24"/>
          </w:rPr>
          <w:t> </w:t>
        </w:r>
        <w:r>
          <w:rPr/>
          <w:t>Territorio,</w:t>
        </w:r>
      </w:hyperlink>
      <w:r>
        <w:rPr/>
        <w:t> </w:t>
      </w:r>
      <w:hyperlink r:id="rId284">
        <w:r>
          <w:rPr/>
          <w:t>Agricultura y Ambiente. Enfoques en el siglo XXI. Universidad Autónoma del</w:t>
        </w:r>
      </w:hyperlink>
      <w:r>
        <w:rPr/>
        <w:t> </w:t>
      </w:r>
      <w:hyperlink r:id="rId284">
        <w:r>
          <w:rPr/>
          <w:t>Estado de México. </w:t>
        </w:r>
        <w:r>
          <w:rPr>
            <w:spacing w:val="13"/>
          </w:rPr>
          <w:t> </w:t>
        </w:r>
        <w:r>
          <w:rPr/>
          <w:t>México.125-150pp.</w:t>
        </w:r>
      </w:hyperlink>
    </w:p>
    <w:p>
      <w:pPr>
        <w:pStyle w:val="BodyText"/>
        <w:spacing w:before="11"/>
      </w:pPr>
    </w:p>
    <w:p>
      <w:pPr>
        <w:pStyle w:val="BodyText"/>
        <w:spacing w:line="249" w:lineRule="auto"/>
        <w:ind w:left="752" w:hanging="624"/>
        <w:jc w:val="both"/>
      </w:pPr>
      <w:r>
        <w:rPr/>
        <w:t>Kumar, B.M. y Nair P.K.R. (2006). Tropical Homegardens. A time-tested example of sustainable Agroforestry. Spriger. Netherlands. 379pp.</w:t>
      </w:r>
    </w:p>
    <w:p>
      <w:pPr>
        <w:pStyle w:val="BodyText"/>
        <w:spacing w:before="11"/>
      </w:pPr>
    </w:p>
    <w:p>
      <w:pPr>
        <w:pStyle w:val="BodyText"/>
        <w:spacing w:line="249" w:lineRule="auto"/>
        <w:ind w:left="752" w:hanging="624"/>
        <w:jc w:val="both"/>
      </w:pPr>
      <w:r>
        <w:rPr/>
        <w:t>Magaña, A. M. A. (2012). Etnobotánica de las plantas medicinales en los huertos familiares de Tabasco. En: El huerto familiar del sureste de México.   Secretaría</w:t>
      </w:r>
    </w:p>
    <w:p>
      <w:pPr>
        <w:pStyle w:val="BodyText"/>
        <w:spacing w:line="249" w:lineRule="auto" w:before="76"/>
        <w:ind w:left="752" w:right="151"/>
      </w:pPr>
      <w:r>
        <w:rPr/>
        <w:br w:type="column"/>
      </w:r>
      <w:r>
        <w:rPr/>
        <w:t>de Recursos Naturales y Protección Ambiental del Estado de Tabasco. Colegio de la Frontera Sur. 176-196pp.</w:t>
      </w:r>
    </w:p>
    <w:p>
      <w:pPr>
        <w:pStyle w:val="BodyText"/>
        <w:spacing w:before="11"/>
      </w:pPr>
    </w:p>
    <w:p>
      <w:pPr>
        <w:pStyle w:val="BodyText"/>
        <w:spacing w:line="249" w:lineRule="auto"/>
        <w:ind w:left="752" w:right="127" w:hanging="624"/>
        <w:jc w:val="both"/>
      </w:pPr>
      <w:r>
        <w:rPr/>
        <w:t>Mariaca,</w:t>
      </w:r>
      <w:r>
        <w:rPr>
          <w:spacing w:val="-5"/>
        </w:rPr>
        <w:t> </w:t>
      </w:r>
      <w:r>
        <w:rPr/>
        <w:t>R.</w:t>
      </w:r>
      <w:r>
        <w:rPr>
          <w:spacing w:val="-5"/>
        </w:rPr>
        <w:t> </w:t>
      </w:r>
      <w:r>
        <w:rPr/>
        <w:t>M.</w:t>
      </w:r>
      <w:r>
        <w:rPr>
          <w:spacing w:val="-5"/>
        </w:rPr>
        <w:t> </w:t>
      </w:r>
      <w:r>
        <w:rPr/>
        <w:t>(2012).</w:t>
      </w:r>
      <w:r>
        <w:rPr>
          <w:spacing w:val="-5"/>
        </w:rPr>
        <w:t> </w:t>
      </w:r>
      <w:r>
        <w:rPr/>
        <w:t>El</w:t>
      </w:r>
      <w:r>
        <w:rPr>
          <w:spacing w:val="-5"/>
        </w:rPr>
        <w:t> </w:t>
      </w:r>
      <w:r>
        <w:rPr/>
        <w:t>huerto</w:t>
      </w:r>
      <w:r>
        <w:rPr>
          <w:spacing w:val="-5"/>
        </w:rPr>
        <w:t> </w:t>
      </w:r>
      <w:r>
        <w:rPr/>
        <w:t>familiar</w:t>
      </w:r>
      <w:r>
        <w:rPr>
          <w:spacing w:val="-5"/>
        </w:rPr>
        <w:t> </w:t>
      </w:r>
      <w:r>
        <w:rPr/>
        <w:t>del</w:t>
      </w:r>
      <w:r>
        <w:rPr>
          <w:spacing w:val="-5"/>
        </w:rPr>
        <w:t> </w:t>
      </w:r>
      <w:r>
        <w:rPr/>
        <w:t>sureste</w:t>
      </w:r>
      <w:r>
        <w:rPr>
          <w:spacing w:val="-5"/>
        </w:rPr>
        <w:t> </w:t>
      </w:r>
      <w:r>
        <w:rPr/>
        <w:t>de</w:t>
      </w:r>
      <w:r>
        <w:rPr>
          <w:spacing w:val="-5"/>
        </w:rPr>
        <w:t> </w:t>
      </w:r>
      <w:r>
        <w:rPr/>
        <w:t>México.</w:t>
      </w:r>
      <w:r>
        <w:rPr>
          <w:spacing w:val="-5"/>
        </w:rPr>
        <w:t> </w:t>
      </w:r>
      <w:r>
        <w:rPr/>
        <w:t>Secretaría</w:t>
      </w:r>
      <w:r>
        <w:rPr>
          <w:spacing w:val="-5"/>
        </w:rPr>
        <w:t> </w:t>
      </w:r>
      <w:r>
        <w:rPr/>
        <w:t>de</w:t>
      </w:r>
      <w:r>
        <w:rPr>
          <w:spacing w:val="-5"/>
        </w:rPr>
        <w:t> </w:t>
      </w:r>
      <w:r>
        <w:rPr/>
        <w:t>Recursos Naturales</w:t>
      </w:r>
      <w:r>
        <w:rPr>
          <w:spacing w:val="-7"/>
        </w:rPr>
        <w:t> </w:t>
      </w:r>
      <w:r>
        <w:rPr/>
        <w:t>y</w:t>
      </w:r>
      <w:r>
        <w:rPr>
          <w:spacing w:val="-7"/>
        </w:rPr>
        <w:t> </w:t>
      </w:r>
      <w:r>
        <w:rPr/>
        <w:t>Protección</w:t>
      </w:r>
      <w:r>
        <w:rPr>
          <w:spacing w:val="-7"/>
        </w:rPr>
        <w:t> </w:t>
      </w:r>
      <w:r>
        <w:rPr/>
        <w:t>Ambiental</w:t>
      </w:r>
      <w:r>
        <w:rPr>
          <w:spacing w:val="-7"/>
        </w:rPr>
        <w:t> </w:t>
      </w:r>
      <w:r>
        <w:rPr/>
        <w:t>del</w:t>
      </w:r>
      <w:r>
        <w:rPr>
          <w:spacing w:val="-7"/>
        </w:rPr>
        <w:t> </w:t>
      </w:r>
      <w:r>
        <w:rPr/>
        <w:t>Estado</w:t>
      </w:r>
      <w:r>
        <w:rPr>
          <w:spacing w:val="-7"/>
        </w:rPr>
        <w:t> </w:t>
      </w:r>
      <w:r>
        <w:rPr/>
        <w:t>de</w:t>
      </w:r>
      <w:r>
        <w:rPr>
          <w:spacing w:val="-7"/>
        </w:rPr>
        <w:t> </w:t>
      </w:r>
      <w:r>
        <w:rPr/>
        <w:t>Tabasco.</w:t>
      </w:r>
      <w:r>
        <w:rPr>
          <w:spacing w:val="-7"/>
        </w:rPr>
        <w:t> </w:t>
      </w:r>
      <w:r>
        <w:rPr/>
        <w:t>Colegio</w:t>
      </w:r>
      <w:r>
        <w:rPr>
          <w:spacing w:val="-7"/>
        </w:rPr>
        <w:t> </w:t>
      </w:r>
      <w:r>
        <w:rPr/>
        <w:t>de</w:t>
      </w:r>
      <w:r>
        <w:rPr>
          <w:spacing w:val="-7"/>
        </w:rPr>
        <w:t> </w:t>
      </w:r>
      <w:r>
        <w:rPr/>
        <w:t>la</w:t>
      </w:r>
      <w:r>
        <w:rPr>
          <w:spacing w:val="-7"/>
        </w:rPr>
        <w:t> </w:t>
      </w:r>
      <w:r>
        <w:rPr/>
        <w:t>Frontera Sur.</w:t>
      </w:r>
      <w:r>
        <w:rPr>
          <w:spacing w:val="10"/>
        </w:rPr>
        <w:t> </w:t>
      </w:r>
      <w:r>
        <w:rPr/>
        <w:t>551pp.</w:t>
      </w:r>
    </w:p>
    <w:p>
      <w:pPr>
        <w:pStyle w:val="BodyText"/>
        <w:spacing w:before="11"/>
      </w:pPr>
    </w:p>
    <w:p>
      <w:pPr>
        <w:pStyle w:val="BodyText"/>
        <w:spacing w:line="249" w:lineRule="auto"/>
        <w:ind w:left="752" w:right="127" w:hanging="624"/>
        <w:jc w:val="both"/>
      </w:pPr>
      <w:r>
        <w:rPr/>
        <w:t>Nair, P. K. R. (2001). Do tropical homegardens elude science, or is it the other way around. Agroforestry Systems 53:</w:t>
      </w:r>
      <w:r>
        <w:rPr>
          <w:spacing w:val="50"/>
        </w:rPr>
        <w:t> </w:t>
      </w:r>
      <w:r>
        <w:rPr/>
        <w:t>239-245pp.</w:t>
      </w:r>
    </w:p>
    <w:p>
      <w:pPr>
        <w:pStyle w:val="BodyText"/>
        <w:spacing w:before="11"/>
      </w:pPr>
    </w:p>
    <w:p>
      <w:pPr>
        <w:pStyle w:val="BodyText"/>
        <w:spacing w:line="249" w:lineRule="auto"/>
        <w:ind w:left="752" w:right="127" w:hanging="624"/>
        <w:jc w:val="both"/>
      </w:pPr>
      <w:r>
        <w:rPr/>
        <w:t>Rebollar,</w:t>
      </w:r>
      <w:r>
        <w:rPr>
          <w:spacing w:val="-19"/>
        </w:rPr>
        <w:t> </w:t>
      </w:r>
      <w:r>
        <w:rPr/>
        <w:t>D.</w:t>
      </w:r>
      <w:r>
        <w:rPr>
          <w:spacing w:val="-19"/>
        </w:rPr>
        <w:t> </w:t>
      </w:r>
      <w:r>
        <w:rPr/>
        <w:t>S;</w:t>
      </w:r>
      <w:r>
        <w:rPr>
          <w:spacing w:val="-19"/>
        </w:rPr>
        <w:t> </w:t>
      </w:r>
      <w:r>
        <w:rPr/>
        <w:t>V.</w:t>
      </w:r>
      <w:r>
        <w:rPr>
          <w:spacing w:val="-19"/>
        </w:rPr>
        <w:t> </w:t>
      </w:r>
      <w:r>
        <w:rPr/>
        <w:t>Santos-Jiménez;</w:t>
      </w:r>
      <w:r>
        <w:rPr>
          <w:spacing w:val="-19"/>
        </w:rPr>
        <w:t> </w:t>
      </w:r>
      <w:r>
        <w:rPr/>
        <w:t>N.</w:t>
      </w:r>
      <w:r>
        <w:rPr>
          <w:spacing w:val="-19"/>
        </w:rPr>
        <w:t> </w:t>
      </w:r>
      <w:r>
        <w:rPr/>
        <w:t>A.</w:t>
      </w:r>
      <w:r>
        <w:rPr>
          <w:spacing w:val="-19"/>
        </w:rPr>
        <w:t> </w:t>
      </w:r>
      <w:r>
        <w:rPr/>
        <w:t>Tapia-Torres</w:t>
      </w:r>
      <w:r>
        <w:rPr>
          <w:spacing w:val="-19"/>
        </w:rPr>
        <w:t> </w:t>
      </w:r>
      <w:r>
        <w:rPr/>
        <w:t>y</w:t>
      </w:r>
      <w:r>
        <w:rPr>
          <w:spacing w:val="-19"/>
        </w:rPr>
        <w:t> </w:t>
      </w:r>
      <w:r>
        <w:rPr/>
        <w:t>C.</w:t>
      </w:r>
      <w:r>
        <w:rPr>
          <w:spacing w:val="-19"/>
        </w:rPr>
        <w:t> </w:t>
      </w:r>
      <w:r>
        <w:rPr/>
        <w:t>Pérez-Olvera.</w:t>
      </w:r>
      <w:r>
        <w:rPr>
          <w:spacing w:val="-19"/>
        </w:rPr>
        <w:t> </w:t>
      </w:r>
      <w:r>
        <w:rPr/>
        <w:t>(2008).</w:t>
      </w:r>
      <w:r>
        <w:rPr>
          <w:spacing w:val="-19"/>
        </w:rPr>
        <w:t> </w:t>
      </w:r>
      <w:r>
        <w:rPr/>
        <w:t>Huertos Familiares. Una experiencia en Chancah Veracruz, Quintana Roo. Polibotánica. 25</w:t>
      </w:r>
      <w:r>
        <w:rPr>
          <w:spacing w:val="25"/>
        </w:rPr>
        <w:t> </w:t>
      </w:r>
      <w:r>
        <w:rPr/>
        <w:t>135-154pp</w:t>
      </w:r>
    </w:p>
    <w:p>
      <w:pPr>
        <w:pStyle w:val="BodyText"/>
        <w:spacing w:before="11"/>
      </w:pPr>
    </w:p>
    <w:p>
      <w:pPr>
        <w:pStyle w:val="BodyText"/>
        <w:spacing w:line="249" w:lineRule="auto"/>
        <w:ind w:left="752" w:right="128" w:hanging="624"/>
        <w:jc w:val="both"/>
      </w:pPr>
      <w:r>
        <w:rPr/>
        <w:t>Rzedowski, J. y G. C. Rzendowski. (2001). Flora Fanerogámica del Valle de México. Instituto de Ecología, A. C., Centro Regional del Bajío, Comisión Nacional para el Conocimiento y Uso de la Biodiversidad (CONABIO). Pátzcuaro, Michoacán., 2da edición., Xalapa, Veracruz, Méx. Pp.1407.</w:t>
      </w:r>
    </w:p>
    <w:p>
      <w:pPr>
        <w:pStyle w:val="BodyText"/>
        <w:spacing w:before="11"/>
      </w:pPr>
    </w:p>
    <w:p>
      <w:pPr>
        <w:pStyle w:val="BodyText"/>
        <w:spacing w:line="249" w:lineRule="auto"/>
        <w:ind w:left="752" w:right="128" w:hanging="624"/>
        <w:jc w:val="both"/>
      </w:pPr>
      <w:r>
        <w:rPr/>
        <w:t>Steward, J. (1972). The concept and method of Cultural ecology. En: Julian Steward Evolution and ecology. University Illinois Pres.</w:t>
      </w:r>
    </w:p>
    <w:p>
      <w:pPr>
        <w:pStyle w:val="BodyText"/>
        <w:spacing w:before="11"/>
      </w:pPr>
    </w:p>
    <w:p>
      <w:pPr>
        <w:pStyle w:val="BodyText"/>
        <w:spacing w:line="249" w:lineRule="auto"/>
        <w:ind w:left="752" w:right="128" w:hanging="624"/>
        <w:jc w:val="both"/>
      </w:pPr>
      <w:r>
        <w:rPr/>
        <w:t>Toledo, V. M. (2005). La memoria tradicional: la importancia Agroecológica de los saberes locales. Leisa. 20(4):16-19pp.</w:t>
      </w:r>
    </w:p>
    <w:p>
      <w:pPr>
        <w:pStyle w:val="BodyText"/>
        <w:spacing w:before="11"/>
      </w:pPr>
    </w:p>
    <w:p>
      <w:pPr>
        <w:pStyle w:val="BodyText"/>
        <w:spacing w:line="249" w:lineRule="auto"/>
        <w:ind w:left="752" w:right="127" w:hanging="624"/>
        <w:jc w:val="both"/>
      </w:pPr>
      <w:r>
        <w:rPr/>
        <w:t>Vogl,</w:t>
      </w:r>
      <w:r>
        <w:rPr>
          <w:spacing w:val="-14"/>
        </w:rPr>
        <w:t> </w:t>
      </w:r>
      <w:r>
        <w:rPr/>
        <w:t>C.R.;</w:t>
      </w:r>
      <w:r>
        <w:rPr>
          <w:spacing w:val="-14"/>
        </w:rPr>
        <w:t> </w:t>
      </w:r>
      <w:r>
        <w:rPr/>
        <w:t>Vogl-Lukasser,</w:t>
      </w:r>
      <w:r>
        <w:rPr>
          <w:spacing w:val="-14"/>
        </w:rPr>
        <w:t> </w:t>
      </w:r>
      <w:r>
        <w:rPr/>
        <w:t>B.</w:t>
      </w:r>
      <w:r>
        <w:rPr>
          <w:spacing w:val="-14"/>
        </w:rPr>
        <w:t> </w:t>
      </w:r>
      <w:r>
        <w:rPr/>
        <w:t>y</w:t>
      </w:r>
      <w:r>
        <w:rPr>
          <w:spacing w:val="-14"/>
        </w:rPr>
        <w:t> </w:t>
      </w:r>
      <w:r>
        <w:rPr/>
        <w:t>Puri,</w:t>
      </w:r>
      <w:r>
        <w:rPr>
          <w:spacing w:val="-14"/>
        </w:rPr>
        <w:t> </w:t>
      </w:r>
      <w:r>
        <w:rPr/>
        <w:t>R.</w:t>
      </w:r>
      <w:r>
        <w:rPr>
          <w:spacing w:val="-14"/>
        </w:rPr>
        <w:t> </w:t>
      </w:r>
      <w:r>
        <w:rPr/>
        <w:t>K.</w:t>
      </w:r>
      <w:r>
        <w:rPr>
          <w:spacing w:val="-14"/>
        </w:rPr>
        <w:t> </w:t>
      </w:r>
      <w:r>
        <w:rPr/>
        <w:t>(2004).</w:t>
      </w:r>
      <w:r>
        <w:rPr>
          <w:spacing w:val="-14"/>
        </w:rPr>
        <w:t> </w:t>
      </w:r>
      <w:r>
        <w:rPr/>
        <w:t>Tools</w:t>
      </w:r>
      <w:r>
        <w:rPr>
          <w:spacing w:val="-14"/>
        </w:rPr>
        <w:t> </w:t>
      </w:r>
      <w:r>
        <w:rPr/>
        <w:t>and</w:t>
      </w:r>
      <w:r>
        <w:rPr>
          <w:spacing w:val="-14"/>
        </w:rPr>
        <w:t> </w:t>
      </w:r>
      <w:r>
        <w:rPr/>
        <w:t>methods</w:t>
      </w:r>
      <w:r>
        <w:rPr>
          <w:spacing w:val="-14"/>
        </w:rPr>
        <w:t> </w:t>
      </w:r>
      <w:r>
        <w:rPr/>
        <w:t>for</w:t>
      </w:r>
      <w:r>
        <w:rPr>
          <w:spacing w:val="-14"/>
        </w:rPr>
        <w:t> </w:t>
      </w:r>
      <w:r>
        <w:rPr/>
        <w:t>data</w:t>
      </w:r>
      <w:r>
        <w:rPr>
          <w:spacing w:val="-14"/>
        </w:rPr>
        <w:t> </w:t>
      </w:r>
      <w:r>
        <w:rPr/>
        <w:t>collections in ethnobotanical studies of homegardens. Field Meth. 16(3):</w:t>
      </w:r>
      <w:r>
        <w:rPr>
          <w:spacing w:val="38"/>
        </w:rPr>
        <w:t> </w:t>
      </w:r>
      <w:r>
        <w:rPr/>
        <w:t>285-306.</w:t>
      </w:r>
    </w:p>
    <w:p>
      <w:pPr>
        <w:pStyle w:val="BodyText"/>
        <w:spacing w:before="11"/>
      </w:pPr>
    </w:p>
    <w:p>
      <w:pPr>
        <w:pStyle w:val="BodyText"/>
        <w:spacing w:line="249" w:lineRule="auto"/>
        <w:ind w:left="752" w:right="128" w:hanging="624"/>
        <w:jc w:val="both"/>
      </w:pPr>
      <w:r>
        <w:rPr/>
        <w:t>Wezel, A. y S. Bender. (2003). Plant species diversity of homegardens of Cuba and its significance for household food supply.  Agroforestry  Systems 57 </w:t>
      </w:r>
      <w:r>
        <w:rPr>
          <w:spacing w:val="52"/>
        </w:rPr>
        <w:t> </w:t>
      </w:r>
      <w:r>
        <w:rPr/>
        <w:t>39-49pp.</w:t>
      </w:r>
    </w:p>
    <w:p>
      <w:pPr>
        <w:pStyle w:val="BodyText"/>
        <w:spacing w:before="11"/>
      </w:pPr>
    </w:p>
    <w:p>
      <w:pPr>
        <w:pStyle w:val="BodyText"/>
        <w:spacing w:line="249" w:lineRule="auto"/>
        <w:ind w:left="752" w:right="128" w:hanging="624"/>
        <w:jc w:val="both"/>
      </w:pPr>
      <w:r>
        <w:rPr/>
        <w:t>White, O. L. (2013). Conocimiento tradicional de los recursos vegetales: plantas medicinales y huertos familiares una aproximación teórico metodológica. Tesis de Doctorado. Facultad de Química. UAEM. Toluca, México.</w:t>
      </w:r>
    </w:p>
    <w:p>
      <w:pPr>
        <w:spacing w:after="0" w:line="249" w:lineRule="auto"/>
        <w:jc w:val="both"/>
        <w:sectPr>
          <w:type w:val="continuous"/>
          <w:pgSz w:w="18830" w:h="12760" w:orient="landscape"/>
          <w:pgMar w:top="1420" w:bottom="280" w:left="720" w:right="720"/>
          <w:cols w:num="2" w:equalWidth="0">
            <w:col w:w="7840" w:space="1573"/>
            <w:col w:w="7977"/>
          </w:cols>
        </w:sectPr>
      </w:pPr>
    </w:p>
    <w:p>
      <w:pPr>
        <w:pStyle w:val="BodyText"/>
        <w:spacing w:before="10"/>
        <w:rPr>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7565" w:right="154"/>
        <w:jc w:val="center"/>
      </w:pPr>
      <w:r>
        <w:rPr/>
        <w:t>Análisis de los impactos territoriales de la expansión urbana sobre los sistemas productivos de la subcuenca del rio Chalma: una propuesta metodológica</w:t>
      </w:r>
    </w:p>
    <w:p>
      <w:pPr>
        <w:pStyle w:val="BodyText"/>
        <w:rPr>
          <w:b/>
        </w:rPr>
      </w:pPr>
    </w:p>
    <w:p>
      <w:pPr>
        <w:pStyle w:val="BodyText"/>
        <w:spacing w:before="4"/>
        <w:rPr>
          <w:b/>
          <w:sz w:val="18"/>
        </w:rPr>
      </w:pPr>
    </w:p>
    <w:p>
      <w:pPr>
        <w:spacing w:after="0"/>
        <w:rPr>
          <w:sz w:val="18"/>
        </w:rPr>
        <w:sectPr>
          <w:headerReference w:type="default" r:id="rId285"/>
          <w:footerReference w:type="default" r:id="rId286"/>
          <w:pgSz w:w="18830" w:h="12760" w:orient="landscape"/>
          <w:pgMar w:header="482" w:footer="0" w:top="680" w:bottom="0" w:left="2720" w:right="720"/>
        </w:sect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5"/>
        <w:rPr>
          <w:b/>
          <w:sz w:val="23"/>
        </w:rPr>
      </w:pPr>
    </w:p>
    <w:p>
      <w:pPr>
        <w:spacing w:before="0"/>
        <w:ind w:left="0" w:right="0" w:firstLine="0"/>
        <w:jc w:val="right"/>
        <w:rPr>
          <w:b/>
          <w:sz w:val="24"/>
        </w:rPr>
      </w:pPr>
      <w:r>
        <w:rPr>
          <w:b/>
          <w:w w:val="95"/>
          <w:sz w:val="24"/>
        </w:rPr>
        <w:t>Resumen</w:t>
      </w:r>
    </w:p>
    <w:p>
      <w:pPr>
        <w:spacing w:before="81"/>
        <w:ind w:left="0" w:right="129" w:firstLine="0"/>
        <w:jc w:val="right"/>
        <w:rPr>
          <w:sz w:val="9"/>
        </w:rPr>
      </w:pPr>
      <w:r>
        <w:rPr/>
        <w:br w:type="column"/>
      </w:r>
      <w:r>
        <w:rPr>
          <w:sz w:val="16"/>
        </w:rPr>
        <w:t>Jesús Gastón Gutiérrez Cedillo </w:t>
      </w:r>
      <w:r>
        <w:rPr>
          <w:position w:val="5"/>
          <w:sz w:val="9"/>
        </w:rPr>
        <w:t>26 1</w:t>
      </w:r>
    </w:p>
    <w:p>
      <w:pPr>
        <w:spacing w:before="56"/>
        <w:ind w:left="0" w:right="129" w:firstLine="0"/>
        <w:jc w:val="right"/>
        <w:rPr>
          <w:sz w:val="9"/>
        </w:rPr>
      </w:pPr>
      <w:r>
        <w:rPr>
          <w:sz w:val="16"/>
        </w:rPr>
        <w:t>Alejandro Rafael Alvarado Granados</w:t>
      </w:r>
      <w:r>
        <w:rPr>
          <w:position w:val="5"/>
          <w:sz w:val="9"/>
        </w:rPr>
        <w:t>2</w:t>
      </w:r>
    </w:p>
    <w:p>
      <w:pPr>
        <w:spacing w:line="312" w:lineRule="auto" w:before="56"/>
        <w:ind w:left="4719" w:right="129" w:firstLine="2"/>
        <w:jc w:val="right"/>
        <w:rPr>
          <w:sz w:val="9"/>
        </w:rPr>
      </w:pPr>
      <w:r>
        <w:rPr>
          <w:sz w:val="16"/>
        </w:rPr>
        <w:t>Xanat Antonio Némiga</w:t>
      </w:r>
      <w:r>
        <w:rPr>
          <w:position w:val="5"/>
          <w:sz w:val="9"/>
        </w:rPr>
        <w:t>3</w:t>
      </w:r>
      <w:r>
        <w:rPr>
          <w:w w:val="103"/>
          <w:position w:val="5"/>
          <w:sz w:val="9"/>
        </w:rPr>
        <w:t> </w:t>
      </w:r>
      <w:r>
        <w:rPr>
          <w:sz w:val="16"/>
        </w:rPr>
        <w:t>Jerzy Makowski</w:t>
      </w:r>
      <w:r>
        <w:rPr>
          <w:position w:val="5"/>
          <w:sz w:val="9"/>
        </w:rPr>
        <w:t>4</w:t>
      </w:r>
      <w:r>
        <w:rPr>
          <w:w w:val="103"/>
          <w:position w:val="5"/>
          <w:sz w:val="9"/>
        </w:rPr>
        <w:t> </w:t>
      </w:r>
      <w:r>
        <w:rPr>
          <w:sz w:val="16"/>
        </w:rPr>
        <w:t>Elizabeth Díaz Cuenca</w:t>
      </w:r>
      <w:r>
        <w:rPr>
          <w:position w:val="5"/>
          <w:sz w:val="9"/>
        </w:rPr>
        <w:t>5</w:t>
      </w:r>
    </w:p>
    <w:p>
      <w:pPr>
        <w:spacing w:line="312" w:lineRule="auto" w:before="2"/>
        <w:ind w:left="4221" w:right="129" w:firstLine="91"/>
        <w:jc w:val="right"/>
        <w:rPr>
          <w:sz w:val="9"/>
        </w:rPr>
      </w:pPr>
      <w:r>
        <w:rPr>
          <w:sz w:val="16"/>
        </w:rPr>
        <w:t>Miguel Ángel Balderas Plata</w:t>
      </w:r>
      <w:r>
        <w:rPr>
          <w:position w:val="5"/>
          <w:sz w:val="9"/>
        </w:rPr>
        <w:t>6</w:t>
      </w:r>
      <w:r>
        <w:rPr>
          <w:w w:val="103"/>
          <w:position w:val="5"/>
          <w:sz w:val="9"/>
        </w:rPr>
        <w:t> </w:t>
      </w:r>
      <w:r>
        <w:rPr>
          <w:sz w:val="16"/>
        </w:rPr>
        <w:t>Carlos Alberto Pérez Ramírez</w:t>
      </w:r>
      <w:r>
        <w:rPr>
          <w:position w:val="5"/>
          <w:sz w:val="9"/>
        </w:rPr>
        <w:t>7</w:t>
      </w:r>
    </w:p>
    <w:p>
      <w:pPr>
        <w:spacing w:before="2"/>
        <w:ind w:left="0" w:right="129" w:firstLine="0"/>
        <w:jc w:val="right"/>
        <w:rPr>
          <w:sz w:val="9"/>
        </w:rPr>
      </w:pPr>
      <w:r>
        <w:rPr>
          <w:sz w:val="16"/>
        </w:rPr>
        <w:t>Carlos Constantino Morales Méndez</w:t>
      </w:r>
      <w:r>
        <w:rPr>
          <w:position w:val="5"/>
          <w:sz w:val="9"/>
        </w:rPr>
        <w:t>8</w:t>
      </w:r>
    </w:p>
    <w:p>
      <w:pPr>
        <w:spacing w:after="0"/>
        <w:jc w:val="right"/>
        <w:rPr>
          <w:sz w:val="9"/>
        </w:rPr>
        <w:sectPr>
          <w:type w:val="continuous"/>
          <w:pgSz w:w="18830" w:h="12760" w:orient="landscape"/>
          <w:pgMar w:top="1420" w:bottom="280" w:left="2720" w:right="720"/>
          <w:cols w:num="2" w:equalWidth="0">
            <w:col w:w="8790" w:space="40"/>
            <w:col w:w="6560"/>
          </w:cols>
        </w:sectPr>
      </w:pPr>
    </w:p>
    <w:p>
      <w:pPr>
        <w:pStyle w:val="BodyText"/>
        <w:spacing w:before="4"/>
        <w:rPr>
          <w:sz w:val="14"/>
        </w:rPr>
      </w:pPr>
    </w:p>
    <w:p>
      <w:pPr>
        <w:pStyle w:val="BodyText"/>
        <w:spacing w:line="249" w:lineRule="auto" w:before="76"/>
        <w:ind w:left="7540" w:right="129" w:firstLine="170"/>
        <w:jc w:val="both"/>
      </w:pPr>
      <w:r>
        <w:rPr/>
        <w:t>Este estudio plantea una propuesta metodológica para analizar los impactos ambientales y sociales que la expansión urbana tiene sobre los sistemas productivos agrícolas y ganaderos de la subcuenca del río Chalma. Para hacerlo, considera la evolución de la subcuenca en un periodo de 30 años, para lo que identifica y analiza:</w:t>
      </w:r>
    </w:p>
    <w:p>
      <w:pPr>
        <w:pStyle w:val="ListParagraph"/>
        <w:numPr>
          <w:ilvl w:val="1"/>
          <w:numId w:val="27"/>
        </w:numPr>
        <w:tabs>
          <w:tab w:pos="7756" w:val="left" w:leader="none"/>
        </w:tabs>
        <w:spacing w:line="249" w:lineRule="auto" w:before="1" w:after="0"/>
        <w:ind w:left="7540" w:right="128" w:firstLine="0"/>
        <w:jc w:val="both"/>
        <w:rPr>
          <w:sz w:val="20"/>
        </w:rPr>
      </w:pPr>
      <w:r>
        <w:rPr>
          <w:sz w:val="20"/>
        </w:rPr>
        <w:t>los cambios de uso del suelo y vegetación b) los cambios en los agro ecosistemas con huertos familiares (AEHF) en tres localidades rurales y una localidad urbana, c)  los cambios en la calidad de los suelos de los AEHF, comparados con los suelos       de terrenos con cultivos anuales; d) los cambios en el microclima de los huertos familiares en contraste con terrenos con cultivos anuales; e) el incremento de espacios e infraestructura destinados a la actividad turística; y f) los impactos provocados por   la generación de aguas residuales y de residuos sólidos. De este modo se propone una evaluación integral y multidisciplinaria de los impactos ambientales y sociales generados por la</w:t>
      </w:r>
      <w:r>
        <w:rPr>
          <w:spacing w:val="16"/>
          <w:sz w:val="20"/>
        </w:rPr>
        <w:t> </w:t>
      </w:r>
      <w:r>
        <w:rPr>
          <w:sz w:val="20"/>
        </w:rPr>
        <w:t>urbanización.</w:t>
      </w:r>
    </w:p>
    <w:p>
      <w:pPr>
        <w:pStyle w:val="BodyText"/>
        <w:spacing w:before="11"/>
      </w:pPr>
    </w:p>
    <w:p>
      <w:pPr>
        <w:pStyle w:val="BodyText"/>
        <w:spacing w:line="249" w:lineRule="auto"/>
        <w:ind w:left="7540" w:right="129" w:firstLine="170"/>
        <w:jc w:val="both"/>
      </w:pPr>
      <w:r>
        <w:rPr/>
        <w:t>La evaluación de los cambios de uso de suelo se basa en el análisis de cartografía generada mediante teledetección. El análisis comparativo del microclima se elaborará mediante mediciones en campo y análisis estadístico comparativo. Por su parte, el análisis comparativo de la calidad de los suelos, se realizará mediante muestreos en </w:t>
      </w:r>
      <w:r>
        <w:rPr>
          <w:spacing w:val="3"/>
        </w:rPr>
        <w:t>campoyanálisisdelaboratorio. Elanálisisdelincrementodelosespacioseinfraestructura </w:t>
      </w:r>
      <w:r>
        <w:rPr/>
        <w:t>destinado a la actividad turística se realizará mediante análisis cartográfico actual        y retrospectivo, así como entrevistas semiestructuradas y observación directa en campo, dirigidos a conocer su incidencia en el territorio, sus recursos, posibilidades</w:t>
      </w:r>
      <w:r>
        <w:rPr>
          <w:spacing w:val="31"/>
        </w:rPr>
        <w:t> </w:t>
      </w:r>
      <w:r>
        <w:rPr/>
        <w:t>de</w:t>
      </w:r>
    </w:p>
    <w:p>
      <w:pPr>
        <w:pStyle w:val="BodyText"/>
        <w:spacing w:before="3"/>
        <w:rPr>
          <w:sz w:val="11"/>
        </w:rPr>
      </w:pPr>
      <w:r>
        <w:rPr/>
        <w:pict>
          <v:line style="position:absolute;mso-position-horizontal-relative:page;mso-position-vertical-relative:paragraph;z-index:11584;mso-wrap-distance-left:0;mso-wrap-distance-right:0" from="513pt,8.934786pt" to="898.512pt,8.934786pt" stroked="true" strokeweight="1pt" strokecolor="#bcbec0">
            <w10:wrap type="topAndBottom"/>
          </v:line>
        </w:pict>
      </w:r>
    </w:p>
    <w:p>
      <w:pPr>
        <w:spacing w:before="79"/>
        <w:ind w:left="7557" w:right="0" w:firstLine="0"/>
        <w:jc w:val="both"/>
        <w:rPr>
          <w:sz w:val="14"/>
        </w:rPr>
      </w:pPr>
      <w:r>
        <w:rPr>
          <w:color w:val="6D6E71"/>
          <w:position w:val="5"/>
          <w:sz w:val="8"/>
        </w:rPr>
        <w:t>26 1, 3, 6 y 8 </w:t>
      </w:r>
      <w:r>
        <w:rPr>
          <w:color w:val="6D6E71"/>
          <w:sz w:val="14"/>
        </w:rPr>
        <w:t>Facultad de Geografía, Universidad Autónoma del Estado de México.</w:t>
      </w:r>
    </w:p>
    <w:p>
      <w:pPr>
        <w:spacing w:before="79"/>
        <w:ind w:left="7557" w:right="0" w:firstLine="0"/>
        <w:jc w:val="both"/>
        <w:rPr>
          <w:sz w:val="14"/>
        </w:rPr>
      </w:pPr>
      <w:r>
        <w:rPr>
          <w:color w:val="6D6E71"/>
          <w:position w:val="5"/>
          <w:sz w:val="8"/>
        </w:rPr>
        <w:t>2, 5 y 7 </w:t>
      </w:r>
      <w:r>
        <w:rPr>
          <w:color w:val="6D6E71"/>
          <w:sz w:val="14"/>
        </w:rPr>
        <w:t>Facultad de Planeación Urbana y Regional, Universidad Autónoma del Estado de México.</w:t>
      </w:r>
    </w:p>
    <w:p>
      <w:pPr>
        <w:spacing w:line="357" w:lineRule="auto" w:before="79"/>
        <w:ind w:left="7556" w:right="3275" w:firstLine="0"/>
        <w:jc w:val="left"/>
        <w:rPr>
          <w:sz w:val="14"/>
        </w:rPr>
      </w:pPr>
      <w:r>
        <w:rPr/>
        <w:pict>
          <v:group style="position:absolute;margin-left:696.401978pt;margin-top:37.823318pt;width:18.850pt;height:61.8pt;mso-position-horizontal-relative:page;mso-position-vertical-relative:paragraph;z-index:11632" coordorigin="13928,756" coordsize="377,1236">
            <v:rect style="position:absolute;left:13928;top:756;width:377;height:1236" filled="true" fillcolor="#c7c8ca" stroked="false">
              <v:fill type="solid"/>
            </v:rect>
            <v:shape style="position:absolute;left:13928;top:756;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253</w:t>
                    </w:r>
                  </w:p>
                </w:txbxContent>
              </v:textbox>
              <w10:wrap type="none"/>
            </v:shape>
            <w10:wrap type="none"/>
          </v:group>
        </w:pict>
      </w:r>
      <w:r>
        <w:rPr>
          <w:color w:val="6D6E71"/>
          <w:position w:val="5"/>
          <w:sz w:val="8"/>
        </w:rPr>
        <w:t>4 </w:t>
      </w:r>
      <w:r>
        <w:rPr>
          <w:color w:val="6D6E71"/>
          <w:sz w:val="14"/>
        </w:rPr>
        <w:t>Facultad de Geografía y Estudios Regionales, Universidad de Varsovia. E-mail: </w:t>
      </w:r>
      <w:hyperlink r:id="rId204">
        <w:r>
          <w:rPr>
            <w:color w:val="6D6E71"/>
            <w:sz w:val="14"/>
          </w:rPr>
          <w:t>jggc1321@yahoo.com.mx</w:t>
        </w:r>
      </w:hyperlink>
    </w:p>
    <w:p>
      <w:pPr>
        <w:spacing w:after="0" w:line="357" w:lineRule="auto"/>
        <w:jc w:val="left"/>
        <w:rPr>
          <w:sz w:val="14"/>
        </w:rPr>
        <w:sectPr>
          <w:type w:val="continuous"/>
          <w:pgSz w:w="18830" w:h="12760" w:orient="landscape"/>
          <w:pgMar w:top="1420" w:bottom="280" w:left="2720" w:right="720"/>
        </w:sectPr>
      </w:pPr>
    </w:p>
    <w:p>
      <w:pPr>
        <w:pStyle w:val="BodyText"/>
        <w:spacing w:before="6"/>
        <w:rPr>
          <w:sz w:val="23"/>
        </w:rPr>
      </w:pPr>
    </w:p>
    <w:p>
      <w:pPr>
        <w:spacing w:after="0"/>
        <w:rPr>
          <w:sz w:val="23"/>
        </w:rPr>
        <w:sectPr>
          <w:headerReference w:type="default" r:id="rId287"/>
          <w:footerReference w:type="default" r:id="rId288"/>
          <w:pgSz w:w="18830" w:h="12760" w:orient="landscape"/>
          <w:pgMar w:header="522" w:footer="1036" w:top="820" w:bottom="1220" w:left="720" w:right="720"/>
        </w:sectPr>
      </w:pPr>
    </w:p>
    <w:p>
      <w:pPr>
        <w:pStyle w:val="BodyText"/>
        <w:spacing w:line="249" w:lineRule="auto" w:before="76"/>
        <w:ind w:left="123"/>
        <w:jc w:val="both"/>
      </w:pPr>
      <w:r>
        <w:rPr/>
        <w:t>trabajo y elementos culturales. El incremento en la generación de aguas residuales y residuos</w:t>
      </w:r>
      <w:r>
        <w:rPr>
          <w:spacing w:val="-7"/>
        </w:rPr>
        <w:t> </w:t>
      </w:r>
      <w:r>
        <w:rPr/>
        <w:t>sólidos</w:t>
      </w:r>
      <w:r>
        <w:rPr>
          <w:spacing w:val="-7"/>
        </w:rPr>
        <w:t> </w:t>
      </w:r>
      <w:r>
        <w:rPr/>
        <w:t>incluirá</w:t>
      </w:r>
      <w:r>
        <w:rPr>
          <w:spacing w:val="-7"/>
        </w:rPr>
        <w:t> </w:t>
      </w:r>
      <w:r>
        <w:rPr/>
        <w:t>la</w:t>
      </w:r>
      <w:r>
        <w:rPr>
          <w:spacing w:val="-7"/>
        </w:rPr>
        <w:t> </w:t>
      </w:r>
      <w:r>
        <w:rPr/>
        <w:t>localización</w:t>
      </w:r>
      <w:r>
        <w:rPr>
          <w:spacing w:val="-7"/>
        </w:rPr>
        <w:t> </w:t>
      </w:r>
      <w:r>
        <w:rPr/>
        <w:t>de</w:t>
      </w:r>
      <w:r>
        <w:rPr>
          <w:spacing w:val="-7"/>
        </w:rPr>
        <w:t> </w:t>
      </w:r>
      <w:r>
        <w:rPr/>
        <w:t>los</w:t>
      </w:r>
      <w:r>
        <w:rPr>
          <w:spacing w:val="-7"/>
        </w:rPr>
        <w:t> </w:t>
      </w:r>
      <w:r>
        <w:rPr/>
        <w:t>sitios</w:t>
      </w:r>
      <w:r>
        <w:rPr>
          <w:spacing w:val="-7"/>
        </w:rPr>
        <w:t> </w:t>
      </w:r>
      <w:r>
        <w:rPr/>
        <w:t>de</w:t>
      </w:r>
      <w:r>
        <w:rPr>
          <w:spacing w:val="-7"/>
        </w:rPr>
        <w:t> </w:t>
      </w:r>
      <w:r>
        <w:rPr/>
        <w:t>descarga</w:t>
      </w:r>
      <w:r>
        <w:rPr>
          <w:spacing w:val="-7"/>
        </w:rPr>
        <w:t> </w:t>
      </w:r>
      <w:r>
        <w:rPr/>
        <w:t>y</w:t>
      </w:r>
      <w:r>
        <w:rPr>
          <w:spacing w:val="-7"/>
        </w:rPr>
        <w:t> </w:t>
      </w:r>
      <w:r>
        <w:rPr/>
        <w:t>depósito</w:t>
      </w:r>
      <w:r>
        <w:rPr>
          <w:spacing w:val="-7"/>
        </w:rPr>
        <w:t> </w:t>
      </w:r>
      <w:r>
        <w:rPr/>
        <w:t>de</w:t>
      </w:r>
      <w:r>
        <w:rPr>
          <w:spacing w:val="-7"/>
        </w:rPr>
        <w:t> </w:t>
      </w:r>
      <w:r>
        <w:rPr/>
        <w:t>residuos, mediante observación directa en campo y entrevistas con actores locales y regionales, el cálculo de volúmenes y georreferenciación con DGPS así como el muestreo de aguas residuales y caracterización de residuos. El análisis retrospectivo de residuos</w:t>
      </w:r>
      <w:r>
        <w:rPr>
          <w:spacing w:val="-23"/>
        </w:rPr>
        <w:t> </w:t>
      </w:r>
      <w:r>
        <w:rPr/>
        <w:t>se realizará de manera indirecta por medio de</w:t>
      </w:r>
      <w:r>
        <w:rPr>
          <w:spacing w:val="16"/>
        </w:rPr>
        <w:t> </w:t>
      </w:r>
      <w:r>
        <w:rPr/>
        <w:t>índices.</w:t>
      </w:r>
    </w:p>
    <w:p>
      <w:pPr>
        <w:pStyle w:val="BodyText"/>
        <w:spacing w:before="11"/>
      </w:pPr>
    </w:p>
    <w:p>
      <w:pPr>
        <w:pStyle w:val="BodyText"/>
        <w:spacing w:line="249" w:lineRule="auto"/>
        <w:ind w:left="123" w:firstLine="170"/>
        <w:jc w:val="both"/>
      </w:pPr>
      <w:r>
        <w:rPr/>
        <w:t>El</w:t>
      </w:r>
      <w:r>
        <w:rPr>
          <w:spacing w:val="-24"/>
        </w:rPr>
        <w:t> </w:t>
      </w:r>
      <w:r>
        <w:rPr/>
        <w:t>estudio</w:t>
      </w:r>
      <w:r>
        <w:rPr>
          <w:spacing w:val="-24"/>
        </w:rPr>
        <w:t> </w:t>
      </w:r>
      <w:r>
        <w:rPr/>
        <w:t>encuentra</w:t>
      </w:r>
      <w:r>
        <w:rPr>
          <w:spacing w:val="-24"/>
        </w:rPr>
        <w:t> </w:t>
      </w:r>
      <w:r>
        <w:rPr/>
        <w:t>sustento</w:t>
      </w:r>
      <w:r>
        <w:rPr>
          <w:spacing w:val="-24"/>
        </w:rPr>
        <w:t> </w:t>
      </w:r>
      <w:r>
        <w:rPr/>
        <w:t>teórico</w:t>
      </w:r>
      <w:r>
        <w:rPr>
          <w:spacing w:val="-24"/>
        </w:rPr>
        <w:t> </w:t>
      </w:r>
      <w:r>
        <w:rPr/>
        <w:t>en</w:t>
      </w:r>
      <w:r>
        <w:rPr>
          <w:spacing w:val="-24"/>
        </w:rPr>
        <w:t> </w:t>
      </w:r>
      <w:r>
        <w:rPr/>
        <w:t>Zimmermann</w:t>
      </w:r>
      <w:r>
        <w:rPr>
          <w:spacing w:val="-24"/>
        </w:rPr>
        <w:t> </w:t>
      </w:r>
      <w:r>
        <w:rPr/>
        <w:t>(1983),</w:t>
      </w:r>
      <w:r>
        <w:rPr>
          <w:spacing w:val="-24"/>
        </w:rPr>
        <w:t> </w:t>
      </w:r>
      <w:r>
        <w:rPr/>
        <w:t>De</w:t>
      </w:r>
      <w:r>
        <w:rPr>
          <w:spacing w:val="-24"/>
        </w:rPr>
        <w:t> </w:t>
      </w:r>
      <w:r>
        <w:rPr/>
        <w:t>Bolos</w:t>
      </w:r>
      <w:r>
        <w:rPr>
          <w:spacing w:val="-24"/>
        </w:rPr>
        <w:t> </w:t>
      </w:r>
      <w:r>
        <w:rPr/>
        <w:t>(1992),</w:t>
      </w:r>
      <w:r>
        <w:rPr>
          <w:spacing w:val="-24"/>
        </w:rPr>
        <w:t> </w:t>
      </w:r>
      <w:r>
        <w:rPr/>
        <w:t>Conesa (1997), Enkerlin et al. (1997), Peinado et al. (1999), Glasson et al. (1999), SEMARNAP (2000),</w:t>
      </w:r>
      <w:r>
        <w:rPr>
          <w:spacing w:val="-9"/>
        </w:rPr>
        <w:t> </w:t>
      </w:r>
      <w:r>
        <w:rPr/>
        <w:t>Dajoz</w:t>
      </w:r>
      <w:r>
        <w:rPr>
          <w:spacing w:val="-9"/>
        </w:rPr>
        <w:t> </w:t>
      </w:r>
      <w:r>
        <w:rPr/>
        <w:t>(2002),</w:t>
      </w:r>
      <w:r>
        <w:rPr>
          <w:spacing w:val="-9"/>
        </w:rPr>
        <w:t> </w:t>
      </w:r>
      <w:r>
        <w:rPr/>
        <w:t>Gómez</w:t>
      </w:r>
      <w:r>
        <w:rPr>
          <w:spacing w:val="-9"/>
        </w:rPr>
        <w:t> </w:t>
      </w:r>
      <w:r>
        <w:rPr/>
        <w:t>(2003)</w:t>
      </w:r>
      <w:r>
        <w:rPr>
          <w:spacing w:val="-9"/>
        </w:rPr>
        <w:t> </w:t>
      </w:r>
      <w:r>
        <w:rPr/>
        <w:t>y</w:t>
      </w:r>
      <w:r>
        <w:rPr>
          <w:spacing w:val="-9"/>
        </w:rPr>
        <w:t> </w:t>
      </w:r>
      <w:r>
        <w:rPr/>
        <w:t>Canter</w:t>
      </w:r>
      <w:r>
        <w:rPr>
          <w:spacing w:val="-9"/>
        </w:rPr>
        <w:t> </w:t>
      </w:r>
      <w:r>
        <w:rPr/>
        <w:t>(2003),</w:t>
      </w:r>
      <w:r>
        <w:rPr>
          <w:spacing w:val="-9"/>
        </w:rPr>
        <w:t> </w:t>
      </w:r>
      <w:r>
        <w:rPr/>
        <w:t>como</w:t>
      </w:r>
      <w:r>
        <w:rPr>
          <w:spacing w:val="-9"/>
        </w:rPr>
        <w:t> </w:t>
      </w:r>
      <w:r>
        <w:rPr/>
        <w:t>elementos</w:t>
      </w:r>
      <w:r>
        <w:rPr>
          <w:spacing w:val="-9"/>
        </w:rPr>
        <w:t> </w:t>
      </w:r>
      <w:r>
        <w:rPr/>
        <w:t>para</w:t>
      </w:r>
      <w:r>
        <w:rPr>
          <w:spacing w:val="-9"/>
        </w:rPr>
        <w:t> </w:t>
      </w:r>
      <w:r>
        <w:rPr/>
        <w:t>construir</w:t>
      </w:r>
      <w:r>
        <w:rPr>
          <w:spacing w:val="-9"/>
        </w:rPr>
        <w:t> </w:t>
      </w:r>
      <w:r>
        <w:rPr/>
        <w:t>un acercamiento multidisciplinario a los impactos de la </w:t>
      </w:r>
      <w:r>
        <w:rPr>
          <w:spacing w:val="23"/>
        </w:rPr>
        <w:t> </w:t>
      </w:r>
      <w:r>
        <w:rPr/>
        <w:t>urbanización.</w:t>
      </w:r>
    </w:p>
    <w:p>
      <w:pPr>
        <w:pStyle w:val="BodyText"/>
        <w:spacing w:before="11"/>
      </w:pPr>
    </w:p>
    <w:p>
      <w:pPr>
        <w:pStyle w:val="BodyText"/>
        <w:ind w:left="293"/>
      </w:pPr>
      <w:r>
        <w:rPr>
          <w:b/>
        </w:rPr>
        <w:t>Palabras clave: </w:t>
      </w:r>
      <w:r>
        <w:rPr/>
        <w:t>expansión urbana, impactos territoriales, sistemas  productivos.</w:t>
      </w:r>
    </w:p>
    <w:p>
      <w:pPr>
        <w:pStyle w:val="BodyText"/>
      </w:pPr>
    </w:p>
    <w:p>
      <w:pPr>
        <w:pStyle w:val="BodyText"/>
        <w:spacing w:before="2"/>
        <w:rPr>
          <w:sz w:val="22"/>
        </w:rPr>
      </w:pPr>
    </w:p>
    <w:p>
      <w:pPr>
        <w:pStyle w:val="Heading1"/>
        <w:spacing w:line="240" w:lineRule="exact"/>
        <w:ind w:left="224" w:hanging="21"/>
      </w:pPr>
      <w:r>
        <w:rPr/>
        <w:t>Territorial impacts from urban expansion over productive systems at Chalma river sub basin: A Methodological Framework Proposal</w:t>
      </w:r>
    </w:p>
    <w:p>
      <w:pPr>
        <w:spacing w:before="207"/>
        <w:ind w:left="293" w:right="0" w:firstLine="0"/>
        <w:jc w:val="left"/>
        <w:rPr>
          <w:b/>
          <w:sz w:val="24"/>
        </w:rPr>
      </w:pPr>
      <w:r>
        <w:rPr>
          <w:b/>
          <w:sz w:val="24"/>
        </w:rPr>
        <w:t>Abstract</w:t>
      </w:r>
    </w:p>
    <w:p>
      <w:pPr>
        <w:pStyle w:val="BodyText"/>
        <w:rPr>
          <w:b/>
          <w:sz w:val="21"/>
        </w:rPr>
      </w:pPr>
    </w:p>
    <w:p>
      <w:pPr>
        <w:pStyle w:val="BodyText"/>
        <w:spacing w:line="249" w:lineRule="auto"/>
        <w:ind w:left="123" w:firstLine="170"/>
        <w:jc w:val="both"/>
      </w:pPr>
      <w:r>
        <w:rPr/>
        <w:t>This study aims identify and evaluate the environmental and sociocultural impacts that urban expansion has over productive agricultural and cattle systems at the</w:t>
      </w:r>
      <w:r>
        <w:rPr>
          <w:spacing w:val="-11"/>
        </w:rPr>
        <w:t> </w:t>
      </w:r>
      <w:r>
        <w:rPr/>
        <w:t>Chalma river sub basin. To do so, it considers the historic evolution of the sub basin in the    last 30 years, identifying and quantifying: a) land use and vegetation changes ; b) changes that familiar orchards agroecosystems (FOAE) had suffered at three rural localities and one urban locality at basin interior; c) changes in soil quality at FOAE, in comparison with soils of terrains with annual crops; d) changes at FOEA microclimates in comparison with annual crops terrains; e) the increasing of spaces and infrastructure destined to touristic activities; and f) the growing impacts derived from generation of residual water and solid wastes. In such a way, it is proposed an integral and multi- disciplinary evaluation of the environmental and sociocultural impacts generated by the urbanization.</w:t>
      </w:r>
    </w:p>
    <w:p>
      <w:pPr>
        <w:pStyle w:val="BodyText"/>
        <w:spacing w:before="11"/>
      </w:pPr>
    </w:p>
    <w:p>
      <w:pPr>
        <w:pStyle w:val="BodyText"/>
        <w:spacing w:line="249" w:lineRule="auto"/>
        <w:ind w:left="123" w:firstLine="170"/>
        <w:jc w:val="both"/>
      </w:pPr>
      <w:r>
        <w:rPr/>
        <w:t>The land use and at FOAE changes analysis will be based on maps cartographic analysis, generated through remote sensing and field verification. The analysis about microclimates</w:t>
      </w:r>
      <w:r>
        <w:rPr>
          <w:spacing w:val="-11"/>
        </w:rPr>
        <w:t> </w:t>
      </w:r>
      <w:r>
        <w:rPr/>
        <w:t>will</w:t>
      </w:r>
      <w:r>
        <w:rPr>
          <w:spacing w:val="-11"/>
        </w:rPr>
        <w:t> </w:t>
      </w:r>
      <w:r>
        <w:rPr/>
        <w:t>be</w:t>
      </w:r>
      <w:r>
        <w:rPr>
          <w:spacing w:val="-11"/>
        </w:rPr>
        <w:t> </w:t>
      </w:r>
      <w:r>
        <w:rPr/>
        <w:t>made</w:t>
      </w:r>
      <w:r>
        <w:rPr>
          <w:spacing w:val="-11"/>
        </w:rPr>
        <w:t> </w:t>
      </w:r>
      <w:r>
        <w:rPr/>
        <w:t>mean</w:t>
      </w:r>
      <w:r>
        <w:rPr>
          <w:spacing w:val="-11"/>
        </w:rPr>
        <w:t> </w:t>
      </w:r>
      <w:r>
        <w:rPr/>
        <w:t>bye</w:t>
      </w:r>
      <w:r>
        <w:rPr>
          <w:spacing w:val="-11"/>
        </w:rPr>
        <w:t> </w:t>
      </w:r>
      <w:r>
        <w:rPr/>
        <w:t>on</w:t>
      </w:r>
      <w:r>
        <w:rPr>
          <w:spacing w:val="-11"/>
        </w:rPr>
        <w:t> </w:t>
      </w:r>
      <w:r>
        <w:rPr/>
        <w:t>field</w:t>
      </w:r>
      <w:r>
        <w:rPr>
          <w:spacing w:val="-11"/>
        </w:rPr>
        <w:t> </w:t>
      </w:r>
      <w:r>
        <w:rPr/>
        <w:t>measurements</w:t>
      </w:r>
      <w:r>
        <w:rPr>
          <w:spacing w:val="-11"/>
        </w:rPr>
        <w:t> </w:t>
      </w:r>
      <w:r>
        <w:rPr/>
        <w:t>and</w:t>
      </w:r>
      <w:r>
        <w:rPr>
          <w:spacing w:val="-11"/>
        </w:rPr>
        <w:t> </w:t>
      </w:r>
      <w:r>
        <w:rPr/>
        <w:t>statistical</w:t>
      </w:r>
      <w:r>
        <w:rPr>
          <w:spacing w:val="-11"/>
        </w:rPr>
        <w:t> </w:t>
      </w:r>
      <w:r>
        <w:rPr/>
        <w:t>comparative analysis.</w:t>
      </w:r>
      <w:r>
        <w:rPr>
          <w:spacing w:val="-19"/>
        </w:rPr>
        <w:t> </w:t>
      </w:r>
      <w:r>
        <w:rPr/>
        <w:t>The</w:t>
      </w:r>
      <w:r>
        <w:rPr>
          <w:spacing w:val="-19"/>
        </w:rPr>
        <w:t> </w:t>
      </w:r>
      <w:r>
        <w:rPr/>
        <w:t>soil</w:t>
      </w:r>
      <w:r>
        <w:rPr>
          <w:spacing w:val="-19"/>
        </w:rPr>
        <w:t> </w:t>
      </w:r>
      <w:r>
        <w:rPr/>
        <w:t>quality</w:t>
      </w:r>
      <w:r>
        <w:rPr>
          <w:spacing w:val="-19"/>
        </w:rPr>
        <w:t> </w:t>
      </w:r>
      <w:r>
        <w:rPr/>
        <w:t>comparative</w:t>
      </w:r>
      <w:r>
        <w:rPr>
          <w:spacing w:val="-19"/>
        </w:rPr>
        <w:t> </w:t>
      </w:r>
      <w:r>
        <w:rPr/>
        <w:t>analysis</w:t>
      </w:r>
      <w:r>
        <w:rPr>
          <w:spacing w:val="-19"/>
        </w:rPr>
        <w:t> </w:t>
      </w:r>
      <w:r>
        <w:rPr/>
        <w:t>is</w:t>
      </w:r>
      <w:r>
        <w:rPr>
          <w:spacing w:val="-19"/>
        </w:rPr>
        <w:t> </w:t>
      </w:r>
      <w:r>
        <w:rPr/>
        <w:t>based</w:t>
      </w:r>
      <w:r>
        <w:rPr>
          <w:spacing w:val="-19"/>
        </w:rPr>
        <w:t> </w:t>
      </w:r>
      <w:r>
        <w:rPr/>
        <w:t>on</w:t>
      </w:r>
      <w:r>
        <w:rPr>
          <w:spacing w:val="-19"/>
        </w:rPr>
        <w:t> </w:t>
      </w:r>
      <w:r>
        <w:rPr/>
        <w:t>field</w:t>
      </w:r>
      <w:r>
        <w:rPr>
          <w:spacing w:val="-19"/>
        </w:rPr>
        <w:t> </w:t>
      </w:r>
      <w:r>
        <w:rPr/>
        <w:t>sampling</w:t>
      </w:r>
      <w:r>
        <w:rPr>
          <w:spacing w:val="-19"/>
        </w:rPr>
        <w:t> </w:t>
      </w:r>
      <w:r>
        <w:rPr/>
        <w:t>and</w:t>
      </w:r>
      <w:r>
        <w:rPr>
          <w:spacing w:val="-19"/>
        </w:rPr>
        <w:t> </w:t>
      </w:r>
      <w:r>
        <w:rPr/>
        <w:t>laboratories analysis. The increasing spaces and infrastructure destined at touristic activity analysis will be based on actual and retrospective cartographic analysis, accomplished with semi</w:t>
      </w:r>
      <w:r>
        <w:rPr>
          <w:spacing w:val="-8"/>
        </w:rPr>
        <w:t> </w:t>
      </w:r>
      <w:r>
        <w:rPr/>
        <w:t>structured</w:t>
      </w:r>
      <w:r>
        <w:rPr>
          <w:spacing w:val="-8"/>
        </w:rPr>
        <w:t> </w:t>
      </w:r>
      <w:r>
        <w:rPr/>
        <w:t>interviews</w:t>
      </w:r>
      <w:r>
        <w:rPr>
          <w:spacing w:val="-8"/>
        </w:rPr>
        <w:t> </w:t>
      </w:r>
      <w:r>
        <w:rPr/>
        <w:t>and</w:t>
      </w:r>
      <w:r>
        <w:rPr>
          <w:spacing w:val="-8"/>
        </w:rPr>
        <w:t> </w:t>
      </w:r>
      <w:r>
        <w:rPr/>
        <w:t>in</w:t>
      </w:r>
      <w:r>
        <w:rPr>
          <w:spacing w:val="-8"/>
        </w:rPr>
        <w:t> </w:t>
      </w:r>
      <w:r>
        <w:rPr/>
        <w:t>field</w:t>
      </w:r>
      <w:r>
        <w:rPr>
          <w:spacing w:val="-8"/>
        </w:rPr>
        <w:t> </w:t>
      </w:r>
      <w:r>
        <w:rPr/>
        <w:t>direct</w:t>
      </w:r>
      <w:r>
        <w:rPr>
          <w:spacing w:val="-8"/>
        </w:rPr>
        <w:t> </w:t>
      </w:r>
      <w:r>
        <w:rPr/>
        <w:t>and</w:t>
      </w:r>
      <w:r>
        <w:rPr>
          <w:spacing w:val="-8"/>
        </w:rPr>
        <w:t> </w:t>
      </w:r>
      <w:r>
        <w:rPr/>
        <w:t>monumental</w:t>
      </w:r>
      <w:r>
        <w:rPr>
          <w:spacing w:val="-8"/>
        </w:rPr>
        <w:t> </w:t>
      </w:r>
      <w:r>
        <w:rPr/>
        <w:t>observation.</w:t>
      </w:r>
      <w:r>
        <w:rPr>
          <w:spacing w:val="-8"/>
        </w:rPr>
        <w:t> </w:t>
      </w:r>
      <w:r>
        <w:rPr/>
        <w:t>The</w:t>
      </w:r>
      <w:r>
        <w:rPr>
          <w:spacing w:val="-8"/>
        </w:rPr>
        <w:t> </w:t>
      </w:r>
      <w:r>
        <w:rPr/>
        <w:t>increase in generation of residual water and solid wastes will include the localization of residual water and solid wastes sites, in field direct observation, volume quantification and  </w:t>
      </w:r>
      <w:r>
        <w:rPr>
          <w:spacing w:val="11"/>
        </w:rPr>
        <w:t> </w:t>
      </w:r>
      <w:r>
        <w:rPr/>
        <w:t>geo</w:t>
      </w:r>
    </w:p>
    <w:p>
      <w:pPr>
        <w:pStyle w:val="BodyText"/>
        <w:spacing w:line="249" w:lineRule="auto" w:before="76"/>
        <w:ind w:right="129"/>
        <w:jc w:val="right"/>
      </w:pPr>
      <w:r>
        <w:rPr/>
        <w:br w:type="column"/>
      </w:r>
      <w:r>
        <w:rPr/>
        <w:t>localization with GPS; as well as sampling and characterization of residual water and</w:t>
      </w:r>
      <w:r>
        <w:rPr>
          <w:w w:val="101"/>
        </w:rPr>
        <w:t> </w:t>
      </w:r>
      <w:r>
        <w:rPr/>
        <w:t>solid wastes. The long term generation of wastes will be based in recognized indexes.</w:t>
      </w:r>
      <w:r>
        <w:rPr>
          <w:w w:val="100"/>
        </w:rPr>
        <w:t> </w:t>
      </w:r>
      <w:r>
        <w:rPr/>
        <w:t>The study finds theoretical support over Zimmermann (1983), De Bolos (1992), Conesa</w:t>
      </w:r>
      <w:r>
        <w:rPr>
          <w:w w:val="99"/>
        </w:rPr>
        <w:t> </w:t>
      </w:r>
      <w:r>
        <w:rPr/>
        <w:t>(1997), Enkerlin et al. (1997), Peinado et al. (1999), Glasson et al. (1999), SEMARNAP</w:t>
      </w:r>
      <w:r>
        <w:rPr>
          <w:w w:val="97"/>
        </w:rPr>
        <w:t> </w:t>
      </w:r>
      <w:r>
        <w:rPr/>
        <w:t>(2000), Dajoz (2002), Gómez (2003) and Canter (2003), as elements to build an attempt</w:t>
      </w:r>
    </w:p>
    <w:p>
      <w:pPr>
        <w:pStyle w:val="BodyText"/>
        <w:spacing w:before="1"/>
        <w:ind w:left="123"/>
      </w:pPr>
      <w:r>
        <w:rPr/>
        <w:t>for a multi-disciplinary understanding of the impacts of </w:t>
      </w:r>
      <w:r>
        <w:rPr>
          <w:spacing w:val="53"/>
        </w:rPr>
        <w:t> </w:t>
      </w:r>
      <w:r>
        <w:rPr/>
        <w:t>urbanization.</w:t>
      </w:r>
    </w:p>
    <w:p>
      <w:pPr>
        <w:pStyle w:val="BodyText"/>
        <w:spacing w:before="8"/>
        <w:rPr>
          <w:sz w:val="21"/>
        </w:rPr>
      </w:pPr>
    </w:p>
    <w:p>
      <w:pPr>
        <w:pStyle w:val="BodyText"/>
        <w:ind w:left="293"/>
      </w:pPr>
      <w:r>
        <w:rPr>
          <w:b/>
        </w:rPr>
        <w:t>Key words: </w:t>
      </w:r>
      <w:r>
        <w:rPr/>
        <w:t>Urban growth, territorial impacts, productive  systems.</w:t>
      </w:r>
    </w:p>
    <w:p>
      <w:pPr>
        <w:pStyle w:val="BodyText"/>
      </w:pPr>
    </w:p>
    <w:p>
      <w:pPr>
        <w:pStyle w:val="BodyText"/>
        <w:spacing w:before="4"/>
        <w:rPr>
          <w:sz w:val="19"/>
        </w:rPr>
      </w:pPr>
    </w:p>
    <w:p>
      <w:pPr>
        <w:pStyle w:val="Heading1"/>
        <w:ind w:left="293"/>
      </w:pPr>
      <w:r>
        <w:rPr/>
        <w:t>Introducción</w:t>
      </w:r>
    </w:p>
    <w:p>
      <w:pPr>
        <w:pStyle w:val="BodyText"/>
        <w:rPr>
          <w:b/>
          <w:sz w:val="21"/>
        </w:rPr>
      </w:pPr>
    </w:p>
    <w:p>
      <w:pPr>
        <w:pStyle w:val="BodyText"/>
        <w:spacing w:line="249" w:lineRule="auto"/>
        <w:ind w:left="123" w:right="128" w:firstLine="170"/>
        <w:jc w:val="both"/>
      </w:pPr>
      <w:r>
        <w:rPr/>
        <w:t>La urbanización acelerada es sin duda, una de las principales amenazas a los ecosistemas en general. De allí que sea sumamente importante documentar su presencia y magnitud en las diferentes escalas posibles. Por ello este estudio propone una mirada multi disciplinaria y de largo plazo a los impactos que ha generado el crecimiento</w:t>
      </w:r>
      <w:r>
        <w:rPr>
          <w:spacing w:val="-8"/>
        </w:rPr>
        <w:t> </w:t>
      </w:r>
      <w:r>
        <w:rPr/>
        <w:t>urbano</w:t>
      </w:r>
      <w:r>
        <w:rPr>
          <w:spacing w:val="-8"/>
        </w:rPr>
        <w:t> </w:t>
      </w:r>
      <w:r>
        <w:rPr/>
        <w:t>a</w:t>
      </w:r>
      <w:r>
        <w:rPr>
          <w:spacing w:val="-8"/>
        </w:rPr>
        <w:t> </w:t>
      </w:r>
      <w:r>
        <w:rPr/>
        <w:t>los</w:t>
      </w:r>
      <w:r>
        <w:rPr>
          <w:spacing w:val="-8"/>
        </w:rPr>
        <w:t> </w:t>
      </w:r>
      <w:r>
        <w:rPr/>
        <w:t>sistemas</w:t>
      </w:r>
      <w:r>
        <w:rPr>
          <w:spacing w:val="-8"/>
        </w:rPr>
        <w:t> </w:t>
      </w:r>
      <w:r>
        <w:rPr/>
        <w:t>productivos</w:t>
      </w:r>
      <w:r>
        <w:rPr>
          <w:spacing w:val="-8"/>
        </w:rPr>
        <w:t> </w:t>
      </w:r>
      <w:r>
        <w:rPr/>
        <w:t>de</w:t>
      </w:r>
      <w:r>
        <w:rPr>
          <w:spacing w:val="-8"/>
        </w:rPr>
        <w:t> </w:t>
      </w:r>
      <w:r>
        <w:rPr/>
        <w:t>la</w:t>
      </w:r>
      <w:r>
        <w:rPr>
          <w:spacing w:val="-8"/>
        </w:rPr>
        <w:t> </w:t>
      </w:r>
      <w:r>
        <w:rPr/>
        <w:t>subcuenca</w:t>
      </w:r>
      <w:r>
        <w:rPr>
          <w:spacing w:val="-8"/>
        </w:rPr>
        <w:t> </w:t>
      </w:r>
      <w:r>
        <w:rPr/>
        <w:t>del</w:t>
      </w:r>
      <w:r>
        <w:rPr>
          <w:spacing w:val="-8"/>
        </w:rPr>
        <w:t> </w:t>
      </w:r>
      <w:r>
        <w:rPr/>
        <w:t>río</w:t>
      </w:r>
      <w:r>
        <w:rPr>
          <w:spacing w:val="-8"/>
        </w:rPr>
        <w:t> </w:t>
      </w:r>
      <w:r>
        <w:rPr/>
        <w:t>Chalma,</w:t>
      </w:r>
      <w:r>
        <w:rPr>
          <w:spacing w:val="-8"/>
        </w:rPr>
        <w:t> </w:t>
      </w:r>
      <w:r>
        <w:rPr/>
        <w:t>ubicado en la cuenca de Malinalco, al sur del estado de México. El estado de México es uno de los principales generadores de empleo del país, lo que ha dado lugar a procesos de inmigración, que han generado una importante demanda</w:t>
      </w:r>
      <w:r>
        <w:rPr>
          <w:spacing w:val="49"/>
        </w:rPr>
        <w:t> </w:t>
      </w:r>
      <w:r>
        <w:rPr/>
        <w:t>inmobiliaria.</w:t>
      </w:r>
    </w:p>
    <w:p>
      <w:pPr>
        <w:pStyle w:val="BodyText"/>
        <w:spacing w:before="11"/>
      </w:pPr>
    </w:p>
    <w:p>
      <w:pPr>
        <w:pStyle w:val="BodyText"/>
        <w:spacing w:line="249" w:lineRule="auto"/>
        <w:ind w:left="123" w:right="129" w:firstLine="170"/>
        <w:jc w:val="both"/>
      </w:pPr>
      <w:r>
        <w:rPr/>
        <w:t>Este desarrollo inmobiliario ha sido especialmente fuerte en aquellas regiones con riquezas culturales y paisajísticas, y donde el clima hace especialmente atractivo        el desarrollo de residencias. Tal es el caso del Municipio y particularmente, de la subcuenca del río Chalma, cuyo clima, paisaje y presencia de elementos culturales hace especialmente atractivo el desarrollo inmobiliario y turístico. Sin embargo, no se cuenta a la fecha con un diagnóstico de largo plazo que permita entender los impactos que dicho desarrollo ha tenido sobre los ecosistemas productivos de la </w:t>
      </w:r>
      <w:r>
        <w:rPr>
          <w:spacing w:val="44"/>
        </w:rPr>
        <w:t> </w:t>
      </w:r>
      <w:r>
        <w:rPr/>
        <w:t>región.</w:t>
      </w:r>
    </w:p>
    <w:p>
      <w:pPr>
        <w:pStyle w:val="BodyText"/>
        <w:spacing w:before="11"/>
      </w:pPr>
    </w:p>
    <w:p>
      <w:pPr>
        <w:pStyle w:val="BodyText"/>
        <w:spacing w:line="249" w:lineRule="auto"/>
        <w:ind w:left="123" w:right="129" w:firstLine="170"/>
        <w:jc w:val="both"/>
      </w:pPr>
      <w:r>
        <w:rPr/>
        <w:t>Por ello, esta propuesta metodológica, presenta los elementos que pueden ser considerados para elaborar un diagnóstico integral y multidisciplinario de los impactos que la urbanización ha tenido sobre la subcuenca del río Chalma.</w:t>
      </w:r>
    </w:p>
    <w:p>
      <w:pPr>
        <w:pStyle w:val="BodyText"/>
        <w:spacing w:before="11"/>
      </w:pPr>
    </w:p>
    <w:p>
      <w:pPr>
        <w:pStyle w:val="BodyText"/>
        <w:spacing w:line="249" w:lineRule="auto"/>
        <w:ind w:left="123" w:right="129" w:firstLine="170"/>
        <w:jc w:val="both"/>
      </w:pPr>
      <w:r>
        <w:rPr/>
        <w:t>En un primer apartado, se presentan las consideraciones teóricas, la naturaleza, definición, tipología e historia del impacto ambiental en México, para posteriormente presentar algunos rasgos geográficos del área de estudio y finalmente se procede a aclarar los métodos con los que se desarrollará el diagnóstico de los impactos de la urbanización en los sistemas productivos de la región.</w:t>
      </w:r>
    </w:p>
    <w:p>
      <w:pPr>
        <w:spacing w:after="0" w:line="249" w:lineRule="auto"/>
        <w:jc w:val="both"/>
        <w:sectPr>
          <w:type w:val="continuous"/>
          <w:pgSz w:w="18830" w:h="12760" w:orient="landscape"/>
          <w:pgMar w:top="1420" w:bottom="280" w:left="720" w:right="720"/>
          <w:cols w:num="2" w:equalWidth="0">
            <w:col w:w="7836" w:space="1581"/>
            <w:col w:w="7973"/>
          </w:cols>
        </w:sectPr>
      </w:pPr>
    </w:p>
    <w:p>
      <w:pPr>
        <w:pStyle w:val="BodyText"/>
        <w:spacing w:before="8"/>
      </w:pPr>
    </w:p>
    <w:p>
      <w:pPr>
        <w:spacing w:after="0"/>
        <w:sectPr>
          <w:footerReference w:type="default" r:id="rId289"/>
          <w:pgSz w:w="18830" w:h="12760" w:orient="landscape"/>
          <w:pgMar w:footer="1036" w:header="522" w:top="820" w:bottom="1220" w:left="720" w:right="700"/>
        </w:sectPr>
      </w:pPr>
    </w:p>
    <w:p>
      <w:pPr>
        <w:pStyle w:val="Heading1"/>
        <w:spacing w:line="417" w:lineRule="auto" w:before="71"/>
        <w:ind w:left="302" w:right="4600"/>
        <w:rPr>
          <w:i/>
        </w:rPr>
      </w:pPr>
      <w:r>
        <w:rPr/>
        <w:t>Consideraciones teóricas El impacto ambiental</w:t>
      </w:r>
      <w:r>
        <w:rPr>
          <w:i/>
        </w:rPr>
        <w:t>.</w:t>
      </w:r>
    </w:p>
    <w:p>
      <w:pPr>
        <w:pStyle w:val="BodyText"/>
        <w:spacing w:line="249" w:lineRule="auto" w:before="43"/>
        <w:ind w:left="66" w:firstLine="170"/>
        <w:jc w:val="right"/>
      </w:pPr>
      <w:r>
        <w:rPr/>
        <w:t>El impacto ambiental es para De Bolós (1992), un efecto que una determinada acción</w:t>
      </w:r>
      <w:r>
        <w:rPr>
          <w:w w:val="102"/>
        </w:rPr>
        <w:t> </w:t>
      </w:r>
      <w:r>
        <w:rPr/>
        <w:t>directa del hombre sobre el medio produce en sus distintos componentes naturales.</w:t>
      </w:r>
      <w:r>
        <w:rPr>
          <w:w w:val="99"/>
        </w:rPr>
        <w:t> </w:t>
      </w:r>
      <w:r>
        <w:rPr/>
        <w:t>El efecto puede sobre uno, varios o todos estos y originar tanto una modificación de</w:t>
      </w:r>
      <w:r>
        <w:rPr>
          <w:w w:val="101"/>
        </w:rPr>
        <w:t> </w:t>
      </w:r>
      <w:r>
        <w:rPr/>
        <w:t>sus características naturales y funcionales como un cambio en morfología, color y olor.</w:t>
      </w:r>
      <w:r>
        <w:rPr>
          <w:w w:val="101"/>
        </w:rPr>
        <w:t> </w:t>
      </w:r>
      <w:r>
        <w:rPr/>
        <w:t>Concepto similar es manejado por Dajoz (2002) en el ámbito de la ecología, donde se</w:t>
      </w:r>
      <w:r>
        <w:rPr>
          <w:w w:val="98"/>
        </w:rPr>
        <w:t> </w:t>
      </w:r>
      <w:r>
        <w:rPr/>
        <w:t>definen como </w:t>
      </w:r>
      <w:r>
        <w:rPr>
          <w:i/>
        </w:rPr>
        <w:t>perturbaciones </w:t>
      </w:r>
      <w:r>
        <w:rPr/>
        <w:t>a los eventos separados en el tiempo que modifican una</w:t>
      </w:r>
      <w:r>
        <w:rPr>
          <w:w w:val="98"/>
        </w:rPr>
        <w:t> </w:t>
      </w:r>
      <w:r>
        <w:rPr/>
        <w:t>población, un ecosistema o un paisaje y cambia su estructura, su medio físico y su</w:t>
      </w:r>
      <w:r>
        <w:rPr>
          <w:w w:val="99"/>
        </w:rPr>
        <w:t> </w:t>
      </w:r>
      <w:r>
        <w:rPr/>
        <w:t>funcionamiento. Frecuentemente, las perturbaciones aumentan la heterogeneidad de</w:t>
      </w:r>
      <w:r>
        <w:rPr>
          <w:w w:val="101"/>
        </w:rPr>
        <w:t> </w:t>
      </w:r>
      <w:r>
        <w:rPr/>
        <w:t>los paisajes creando un mosaico de islas</w:t>
      </w:r>
      <w:r>
        <w:rPr>
          <w:position w:val="7"/>
          <w:sz w:val="11"/>
        </w:rPr>
        <w:t>27 </w:t>
      </w:r>
      <w:r>
        <w:rPr/>
        <w:t>más o menos inmerso dentro de una matriz;</w:t>
      </w:r>
      <w:r>
        <w:rPr>
          <w:w w:val="100"/>
        </w:rPr>
        <w:t> </w:t>
      </w:r>
      <w:r>
        <w:rPr/>
        <w:t>con nuevos medios que permiten la instalación de especies especializadas. Así mismo,</w:t>
      </w:r>
      <w:r>
        <w:rPr>
          <w:w w:val="101"/>
        </w:rPr>
        <w:t> </w:t>
      </w:r>
      <w:r>
        <w:rPr/>
        <w:t>la heterogeneidad espacial puede según los casos, acelerar o retardar la propagación</w:t>
      </w:r>
      <w:r>
        <w:rPr>
          <w:w w:val="102"/>
        </w:rPr>
        <w:t> </w:t>
      </w:r>
      <w:r>
        <w:rPr/>
        <w:t>de las perturbaciones, que cuando son demasiado intensas disminuyen la  diversidad.</w:t>
      </w:r>
    </w:p>
    <w:p>
      <w:pPr>
        <w:pStyle w:val="BodyText"/>
        <w:spacing w:before="11"/>
      </w:pPr>
    </w:p>
    <w:p>
      <w:pPr>
        <w:pStyle w:val="BodyText"/>
        <w:spacing w:line="249" w:lineRule="auto"/>
        <w:ind w:left="132" w:firstLine="170"/>
        <w:jc w:val="both"/>
      </w:pPr>
      <w:r>
        <w:rPr/>
        <w:t>Al tratar sobre los impactos, es preciso diferenciar los positivos de los negativos. Los primeros representan una mejora en las cualidades intrínsecas de los componentes  del medio físico o soaial, contribuyendo a aumentar su</w:t>
      </w:r>
      <w:r>
        <w:rPr>
          <w:spacing w:val="55"/>
        </w:rPr>
        <w:t> </w:t>
      </w:r>
      <w:r>
        <w:rPr/>
        <w:t>complejidad</w:t>
      </w:r>
      <w:r>
        <w:rPr>
          <w:spacing w:val="6"/>
        </w:rPr>
        <w:t> </w:t>
      </w:r>
      <w:r>
        <w:rPr/>
        <w:t>orgánico-funcional</w:t>
      </w:r>
      <w:r>
        <w:rPr>
          <w:w w:val="102"/>
        </w:rPr>
        <w:t> </w:t>
      </w:r>
      <w:r>
        <w:rPr/>
        <w:t>y su estabilidad natural. Los segundos suponen un empeoramiento de las cualidades naturales del medio, favoreciendo su desestabilización y conduciéndolo hacia una mayor simplicidad funcional concretada en una disminución biológica y de las reservas ecológicas de autorregulación (De Bolós,</w:t>
      </w:r>
      <w:r>
        <w:rPr>
          <w:spacing w:val="8"/>
        </w:rPr>
        <w:t> </w:t>
      </w:r>
      <w:r>
        <w:rPr/>
        <w:t>1992).</w:t>
      </w:r>
    </w:p>
    <w:p>
      <w:pPr>
        <w:pStyle w:val="BodyText"/>
        <w:spacing w:before="11"/>
      </w:pPr>
    </w:p>
    <w:p>
      <w:pPr>
        <w:pStyle w:val="BodyText"/>
        <w:spacing w:line="249" w:lineRule="auto"/>
        <w:ind w:left="132" w:firstLine="170"/>
        <w:jc w:val="both"/>
      </w:pPr>
      <w:r>
        <w:rPr/>
        <w:t>Conesa</w:t>
      </w:r>
      <w:r>
        <w:rPr>
          <w:spacing w:val="-4"/>
        </w:rPr>
        <w:t> </w:t>
      </w:r>
      <w:r>
        <w:rPr/>
        <w:t>(1997)</w:t>
      </w:r>
      <w:r>
        <w:rPr>
          <w:spacing w:val="-4"/>
        </w:rPr>
        <w:t> </w:t>
      </w:r>
      <w:r>
        <w:rPr/>
        <w:t>señala</w:t>
      </w:r>
      <w:r>
        <w:rPr>
          <w:spacing w:val="-4"/>
        </w:rPr>
        <w:t> </w:t>
      </w:r>
      <w:r>
        <w:rPr/>
        <w:t>que</w:t>
      </w:r>
      <w:r>
        <w:rPr>
          <w:spacing w:val="-4"/>
        </w:rPr>
        <w:t> </w:t>
      </w:r>
      <w:r>
        <w:rPr/>
        <w:t>hay</w:t>
      </w:r>
      <w:r>
        <w:rPr>
          <w:spacing w:val="-4"/>
        </w:rPr>
        <w:t> </w:t>
      </w:r>
      <w:r>
        <w:rPr/>
        <w:t>Impacto</w:t>
      </w:r>
      <w:r>
        <w:rPr>
          <w:spacing w:val="-4"/>
        </w:rPr>
        <w:t> </w:t>
      </w:r>
      <w:r>
        <w:rPr/>
        <w:t>Ambiental</w:t>
      </w:r>
      <w:r>
        <w:rPr>
          <w:spacing w:val="-4"/>
        </w:rPr>
        <w:t> </w:t>
      </w:r>
      <w:r>
        <w:rPr/>
        <w:t>(IA)</w:t>
      </w:r>
      <w:r>
        <w:rPr>
          <w:spacing w:val="-4"/>
        </w:rPr>
        <w:t> </w:t>
      </w:r>
      <w:r>
        <w:rPr/>
        <w:t>cuando</w:t>
      </w:r>
      <w:r>
        <w:rPr>
          <w:spacing w:val="-4"/>
        </w:rPr>
        <w:t> </w:t>
      </w:r>
      <w:r>
        <w:rPr/>
        <w:t>una</w:t>
      </w:r>
      <w:r>
        <w:rPr>
          <w:spacing w:val="-4"/>
        </w:rPr>
        <w:t> </w:t>
      </w:r>
      <w:r>
        <w:rPr/>
        <w:t>acción</w:t>
      </w:r>
      <w:r>
        <w:rPr>
          <w:spacing w:val="-4"/>
        </w:rPr>
        <w:t> </w:t>
      </w:r>
      <w:r>
        <w:rPr/>
        <w:t>o</w:t>
      </w:r>
      <w:r>
        <w:rPr>
          <w:spacing w:val="-4"/>
        </w:rPr>
        <w:t> </w:t>
      </w:r>
      <w:r>
        <w:rPr/>
        <w:t>actividad produce una alteración, favorable o desfavorable, en el medio o en alguno de sus componentes. Dicha acción puede ser un proyecto de ingeniería, un programa, un plan, una ley o disposición administrativa con implicaciones ambientales. Por último, Enkerlin </w:t>
      </w:r>
      <w:r>
        <w:rPr>
          <w:i/>
        </w:rPr>
        <w:t>et al. </w:t>
      </w:r>
      <w:r>
        <w:rPr/>
        <w:t>(1997), manifiestan que el impacto está constituido por los cambios      en las características ecológicas o “impacto ecológico”, como por los aspectos que residen en los “impactos socioeconómicos y culturales” del ambiente humano; ambos tipos van en detrimento de la productividad del ecosistema y de su capacidad para amortiguar los procesos degenerativos que impiden el desarrollo al disminuir la calidad de</w:t>
      </w:r>
      <w:r>
        <w:rPr>
          <w:spacing w:val="7"/>
        </w:rPr>
        <w:t> </w:t>
      </w:r>
      <w:r>
        <w:rPr/>
        <w:t>vida.</w:t>
      </w:r>
    </w:p>
    <w:p>
      <w:pPr>
        <w:pStyle w:val="BodyText"/>
      </w:pPr>
    </w:p>
    <w:p>
      <w:pPr>
        <w:pStyle w:val="BodyText"/>
      </w:pPr>
    </w:p>
    <w:p>
      <w:pPr>
        <w:pStyle w:val="BodyText"/>
      </w:pPr>
    </w:p>
    <w:p>
      <w:pPr>
        <w:pStyle w:val="BodyText"/>
        <w:spacing w:before="5"/>
        <w:rPr>
          <w:sz w:val="28"/>
        </w:rPr>
      </w:pPr>
    </w:p>
    <w:p>
      <w:pPr>
        <w:spacing w:line="357" w:lineRule="auto" w:before="0"/>
        <w:ind w:left="187" w:right="1" w:hanging="57"/>
        <w:jc w:val="both"/>
        <w:rPr>
          <w:sz w:val="14"/>
        </w:rPr>
      </w:pPr>
      <w:r>
        <w:rPr/>
        <w:pict>
          <v:line style="position:absolute;mso-position-horizontal-relative:page;mso-position-vertical-relative:paragraph;z-index:11680" from="42.519699pt,-7.62858pt" to="428.031699pt,-7.62858pt" stroked="true" strokeweight="1pt" strokecolor="#bcbec0">
            <w10:wrap type="none"/>
          </v:line>
        </w:pict>
      </w:r>
      <w:r>
        <w:rPr>
          <w:color w:val="6D6E71"/>
          <w:position w:val="5"/>
          <w:sz w:val="8"/>
        </w:rPr>
        <w:t>27</w:t>
      </w:r>
      <w:r>
        <w:rPr>
          <w:color w:val="6D6E71"/>
          <w:sz w:val="14"/>
        </w:rPr>
        <w:t>El paisaje puede conformarse en tres elementos, la matriz, la isla-mancha o rodal y el corredor. De tal forma cuando las perturbaciones modifican el tamaño de las islas y la conectividad, tienen influencia significativa sobre la abundancia de las especies y su movimiento (Dajoz, 2002).</w:t>
      </w:r>
    </w:p>
    <w:p>
      <w:pPr>
        <w:pStyle w:val="BodyText"/>
        <w:spacing w:line="249" w:lineRule="auto" w:before="109"/>
        <w:ind w:left="130" w:right="147" w:firstLine="170"/>
        <w:jc w:val="both"/>
      </w:pPr>
      <w:r>
        <w:rPr/>
        <w:br w:type="column"/>
      </w:r>
      <w:r>
        <w:rPr/>
        <w:t>Los conceptos presentados consideran el impacto como un “efecto o consecuencias de la incidencia humana sobre el medio o sus componentes” (Seoánez, 1995:390), no obstante en esta investigación, se considera también la incidencia de los elementos naturales como sujeto que ejerce impacto ambiental. De tal manera que en la presente investigación, por su origen los impactos se han clasificado en antrópicos y naturales. Gómez (2003) manifiesta que un impacto ambiental viene identificado por el efecto    de una acción simple de una actividad sobre un factor ambiental y ambos elementos, acción y factor, que deben quedar explícitos en la definición que se haga de él. En una situación y momento dado, la esencia de un impacto ambiental queda determinado   por dos elementos: su signo y su valor. Ambos, junto al tiempo y espacio, determinan la oportunidad de intervenir sobre un impacto actual o potencial y la prioridad con que debe</w:t>
      </w:r>
      <w:r>
        <w:rPr>
          <w:spacing w:val="3"/>
        </w:rPr>
        <w:t> </w:t>
      </w:r>
      <w:r>
        <w:rPr/>
        <w:t>hacerse.</w:t>
      </w:r>
    </w:p>
    <w:p>
      <w:pPr>
        <w:pStyle w:val="BodyText"/>
        <w:spacing w:before="11"/>
      </w:pPr>
    </w:p>
    <w:p>
      <w:pPr>
        <w:pStyle w:val="BodyText"/>
        <w:spacing w:line="249" w:lineRule="auto"/>
        <w:ind w:left="130" w:right="148" w:firstLine="170"/>
        <w:jc w:val="both"/>
      </w:pPr>
      <w:r>
        <w:rPr/>
        <w:t>Otros conceptos específicos que se desprenden del análisis del impacto ambiental   y su forma de evaluación, han sido definidos en los trabajos realizados por Conesa (1997)</w:t>
      </w:r>
      <w:r>
        <w:rPr>
          <w:spacing w:val="-6"/>
        </w:rPr>
        <w:t> </w:t>
      </w:r>
      <w:r>
        <w:rPr/>
        <w:t>y</w:t>
      </w:r>
      <w:r>
        <w:rPr>
          <w:spacing w:val="-6"/>
        </w:rPr>
        <w:t> </w:t>
      </w:r>
      <w:r>
        <w:rPr/>
        <w:t>Gómez</w:t>
      </w:r>
      <w:r>
        <w:rPr>
          <w:spacing w:val="-6"/>
        </w:rPr>
        <w:t> </w:t>
      </w:r>
      <w:r>
        <w:rPr/>
        <w:t>(2003)</w:t>
      </w:r>
      <w:r>
        <w:rPr>
          <w:spacing w:val="-6"/>
        </w:rPr>
        <w:t> </w:t>
      </w:r>
      <w:r>
        <w:rPr/>
        <w:t>y</w:t>
      </w:r>
      <w:r>
        <w:rPr>
          <w:spacing w:val="-6"/>
        </w:rPr>
        <w:t> </w:t>
      </w:r>
      <w:r>
        <w:rPr/>
        <w:t>se</w:t>
      </w:r>
      <w:r>
        <w:rPr>
          <w:spacing w:val="-6"/>
        </w:rPr>
        <w:t> </w:t>
      </w:r>
      <w:r>
        <w:rPr/>
        <w:t>presentan</w:t>
      </w:r>
      <w:r>
        <w:rPr>
          <w:spacing w:val="-6"/>
        </w:rPr>
        <w:t> </w:t>
      </w:r>
      <w:r>
        <w:rPr/>
        <w:t>a</w:t>
      </w:r>
      <w:r>
        <w:rPr>
          <w:spacing w:val="-6"/>
        </w:rPr>
        <w:t> </w:t>
      </w:r>
      <w:r>
        <w:rPr/>
        <w:t>continuación:</w:t>
      </w:r>
    </w:p>
    <w:p>
      <w:pPr>
        <w:pStyle w:val="BodyText"/>
        <w:spacing w:before="8"/>
      </w:pPr>
    </w:p>
    <w:p>
      <w:pPr>
        <w:pStyle w:val="BodyText"/>
        <w:ind w:left="470" w:right="147" w:firstLine="170"/>
        <w:jc w:val="both"/>
      </w:pPr>
      <w:r>
        <w:rPr>
          <w:rFonts w:ascii="Calibri" w:hAnsi="Calibri"/>
        </w:rPr>
        <w:t>» </w:t>
      </w:r>
      <w:r>
        <w:rPr/>
        <w:t>Espacio: identificación geográfica del área de extensión en la que se manifiesta el efecto.</w:t>
      </w:r>
    </w:p>
    <w:p>
      <w:pPr>
        <w:pStyle w:val="BodyText"/>
        <w:spacing w:line="244" w:lineRule="auto" w:before="7"/>
        <w:ind w:left="470" w:right="147" w:firstLine="170"/>
        <w:jc w:val="both"/>
      </w:pPr>
      <w:r>
        <w:rPr>
          <w:rFonts w:ascii="Calibri" w:hAnsi="Calibri"/>
        </w:rPr>
        <w:t>» </w:t>
      </w:r>
      <w:r>
        <w:rPr/>
        <w:t>Tiempo: toda modificación de los elementos o de los procesos evoluciona  hacia un nuevo equilibrio que paulatinamente, sino se ha superado la homeostasia del sistema, se va acercando al equilibrio</w:t>
      </w:r>
      <w:r>
        <w:rPr>
          <w:spacing w:val="27"/>
        </w:rPr>
        <w:t> </w:t>
      </w:r>
      <w:r>
        <w:rPr/>
        <w:t>inicial.</w:t>
      </w:r>
    </w:p>
    <w:p>
      <w:pPr>
        <w:pStyle w:val="BodyText"/>
        <w:spacing w:line="247" w:lineRule="auto" w:before="2"/>
        <w:ind w:left="470" w:right="148" w:firstLine="170"/>
        <w:jc w:val="both"/>
      </w:pPr>
      <w:r>
        <w:rPr>
          <w:rFonts w:ascii="Calibri" w:hAnsi="Calibri"/>
        </w:rPr>
        <w:t>» </w:t>
      </w:r>
      <w:r>
        <w:rPr/>
        <w:t>Signo: hace alusión al carácter benéfico (positivo) o perjudicial (negativo) de  los distintos agentes que va a actuar sobre los distintos factores a considerar.      En ocasiones el conocimiento de que se dispone no permite asegurar el carácter positivo o negativo del</w:t>
      </w:r>
      <w:r>
        <w:rPr>
          <w:spacing w:val="50"/>
        </w:rPr>
        <w:t> </w:t>
      </w:r>
      <w:r>
        <w:rPr/>
        <w:t>efecto.</w:t>
      </w:r>
    </w:p>
    <w:p>
      <w:pPr>
        <w:pStyle w:val="BodyText"/>
        <w:spacing w:line="247" w:lineRule="auto"/>
        <w:ind w:left="470" w:right="148" w:firstLine="170"/>
        <w:jc w:val="both"/>
      </w:pPr>
      <w:r>
        <w:rPr>
          <w:rFonts w:ascii="Calibri" w:hAnsi="Calibri"/>
        </w:rPr>
        <w:t>» </w:t>
      </w:r>
      <w:r>
        <w:rPr/>
        <w:t>Valor: mide la gravedad el impacto cuando es negativo y el grado de bondad cuando es positivo. El valor se refiere a la cantidad, calidad, grado y forma en que un factor ambiental es alterado y al significado ambiental de dicha alteración. La alteración se puede concretar en términos de:</w:t>
      </w:r>
    </w:p>
    <w:p>
      <w:pPr>
        <w:pStyle w:val="BodyText"/>
        <w:spacing w:before="1"/>
        <w:rPr>
          <w:sz w:val="21"/>
        </w:rPr>
      </w:pPr>
    </w:p>
    <w:p>
      <w:pPr>
        <w:pStyle w:val="ListParagraph"/>
        <w:numPr>
          <w:ilvl w:val="0"/>
          <w:numId w:val="28"/>
        </w:numPr>
        <w:tabs>
          <w:tab w:pos="1571" w:val="left" w:leader="none"/>
        </w:tabs>
        <w:spacing w:line="249" w:lineRule="auto" w:before="1" w:after="0"/>
        <w:ind w:left="1094" w:right="148" w:firstLine="340"/>
        <w:jc w:val="both"/>
        <w:rPr>
          <w:sz w:val="20"/>
        </w:rPr>
      </w:pPr>
      <w:r>
        <w:rPr>
          <w:sz w:val="20"/>
        </w:rPr>
        <w:t>Magnitud: representa la cantidad y calidad del factor modificado, en términos relativos al marco de referencia</w:t>
      </w:r>
      <w:r>
        <w:rPr>
          <w:spacing w:val="49"/>
          <w:sz w:val="20"/>
        </w:rPr>
        <w:t> </w:t>
      </w:r>
      <w:r>
        <w:rPr>
          <w:sz w:val="20"/>
        </w:rPr>
        <w:t>adoptado28.</w:t>
      </w:r>
    </w:p>
    <w:p>
      <w:pPr>
        <w:pStyle w:val="ListParagraph"/>
        <w:numPr>
          <w:ilvl w:val="0"/>
          <w:numId w:val="28"/>
        </w:numPr>
        <w:tabs>
          <w:tab w:pos="1571" w:val="left" w:leader="none"/>
        </w:tabs>
        <w:spacing w:line="249" w:lineRule="auto" w:before="1" w:after="0"/>
        <w:ind w:left="1094" w:right="147" w:firstLine="340"/>
        <w:jc w:val="both"/>
        <w:rPr>
          <w:sz w:val="20"/>
        </w:rPr>
      </w:pPr>
      <w:r>
        <w:rPr>
          <w:sz w:val="20"/>
        </w:rPr>
        <w:t>Incidencia: se refiere a la severidad, grado y forma de la alteración, viene</w:t>
      </w:r>
      <w:r>
        <w:rPr>
          <w:spacing w:val="-8"/>
          <w:sz w:val="20"/>
        </w:rPr>
        <w:t> </w:t>
      </w:r>
      <w:r>
        <w:rPr>
          <w:sz w:val="20"/>
        </w:rPr>
        <w:t>definida</w:t>
      </w:r>
      <w:r>
        <w:rPr>
          <w:spacing w:val="-8"/>
          <w:sz w:val="20"/>
        </w:rPr>
        <w:t> </w:t>
      </w:r>
      <w:r>
        <w:rPr>
          <w:sz w:val="20"/>
        </w:rPr>
        <w:t>por</w:t>
      </w:r>
      <w:r>
        <w:rPr>
          <w:spacing w:val="-8"/>
          <w:sz w:val="20"/>
        </w:rPr>
        <w:t> </w:t>
      </w:r>
      <w:r>
        <w:rPr>
          <w:sz w:val="20"/>
        </w:rPr>
        <w:t>la</w:t>
      </w:r>
      <w:r>
        <w:rPr>
          <w:spacing w:val="-8"/>
          <w:sz w:val="20"/>
        </w:rPr>
        <w:t> </w:t>
      </w:r>
      <w:r>
        <w:rPr>
          <w:sz w:val="20"/>
        </w:rPr>
        <w:t>intensidad</w:t>
      </w:r>
      <w:r>
        <w:rPr>
          <w:spacing w:val="-8"/>
          <w:sz w:val="20"/>
        </w:rPr>
        <w:t> </w:t>
      </w:r>
      <w:r>
        <w:rPr>
          <w:sz w:val="20"/>
        </w:rPr>
        <w:t>y</w:t>
      </w:r>
      <w:r>
        <w:rPr>
          <w:spacing w:val="-8"/>
          <w:sz w:val="20"/>
        </w:rPr>
        <w:t> </w:t>
      </w:r>
      <w:r>
        <w:rPr>
          <w:sz w:val="20"/>
        </w:rPr>
        <w:t>por</w:t>
      </w:r>
      <w:r>
        <w:rPr>
          <w:spacing w:val="-8"/>
          <w:sz w:val="20"/>
        </w:rPr>
        <w:t> </w:t>
      </w:r>
      <w:r>
        <w:rPr>
          <w:sz w:val="20"/>
        </w:rPr>
        <w:t>una</w:t>
      </w:r>
      <w:r>
        <w:rPr>
          <w:spacing w:val="-8"/>
          <w:sz w:val="20"/>
        </w:rPr>
        <w:t> </w:t>
      </w:r>
      <w:r>
        <w:rPr>
          <w:sz w:val="20"/>
        </w:rPr>
        <w:t>serie</w:t>
      </w:r>
      <w:r>
        <w:rPr>
          <w:spacing w:val="-8"/>
          <w:sz w:val="20"/>
        </w:rPr>
        <w:t> </w:t>
      </w:r>
      <w:r>
        <w:rPr>
          <w:sz w:val="20"/>
        </w:rPr>
        <w:t>de</w:t>
      </w:r>
      <w:r>
        <w:rPr>
          <w:spacing w:val="-8"/>
          <w:sz w:val="20"/>
        </w:rPr>
        <w:t> </w:t>
      </w:r>
      <w:r>
        <w:rPr>
          <w:sz w:val="20"/>
        </w:rPr>
        <w:t>atributos</w:t>
      </w:r>
      <w:r>
        <w:rPr>
          <w:spacing w:val="-8"/>
          <w:sz w:val="20"/>
        </w:rPr>
        <w:t> </w:t>
      </w:r>
      <w:r>
        <w:rPr>
          <w:sz w:val="20"/>
        </w:rPr>
        <w:t>de</w:t>
      </w:r>
      <w:r>
        <w:rPr>
          <w:spacing w:val="-8"/>
          <w:sz w:val="20"/>
        </w:rPr>
        <w:t> </w:t>
      </w:r>
      <w:r>
        <w:rPr>
          <w:sz w:val="20"/>
        </w:rPr>
        <w:t>tipo</w:t>
      </w:r>
      <w:r>
        <w:rPr>
          <w:spacing w:val="-8"/>
          <w:sz w:val="20"/>
        </w:rPr>
        <w:t> </w:t>
      </w:r>
      <w:r>
        <w:rPr>
          <w:sz w:val="20"/>
        </w:rPr>
        <w:t>cualitativo que caracterizan dicha</w:t>
      </w:r>
      <w:r>
        <w:rPr>
          <w:spacing w:val="24"/>
          <w:sz w:val="20"/>
        </w:rPr>
        <w:t> </w:t>
      </w:r>
      <w:r>
        <w:rPr>
          <w:sz w:val="20"/>
        </w:rPr>
        <w:t>alteración.</w:t>
      </w:r>
    </w:p>
    <w:p>
      <w:pPr>
        <w:pStyle w:val="BodyText"/>
      </w:pPr>
    </w:p>
    <w:p>
      <w:pPr>
        <w:pStyle w:val="BodyText"/>
        <w:spacing w:before="3"/>
        <w:rPr>
          <w:sz w:val="28"/>
        </w:rPr>
      </w:pPr>
      <w:r>
        <w:rPr/>
        <w:pict>
          <v:line style="position:absolute;mso-position-horizontal-relative:page;mso-position-vertical-relative:paragraph;z-index:11656;mso-wrap-distance-left:0;mso-wrap-distance-right:0" from="513pt,18.740463pt" to="900pt,18.740463pt" stroked="true" strokeweight="1pt" strokecolor="#bcbec0">
            <w10:wrap type="topAndBottom"/>
          </v:line>
        </w:pict>
      </w:r>
    </w:p>
    <w:p>
      <w:pPr>
        <w:spacing w:line="357" w:lineRule="auto" w:before="133"/>
        <w:ind w:left="187" w:right="120" w:hanging="57"/>
        <w:jc w:val="both"/>
        <w:rPr>
          <w:sz w:val="14"/>
        </w:rPr>
      </w:pPr>
      <w:r>
        <w:rPr>
          <w:color w:val="6D6E71"/>
          <w:position w:val="5"/>
          <w:sz w:val="8"/>
        </w:rPr>
        <w:t>28</w:t>
      </w:r>
      <w:r>
        <w:rPr>
          <w:color w:val="6D6E71"/>
          <w:sz w:val="14"/>
        </w:rPr>
        <w:t>Marco de referencia: espacio geográfico en relación con el cual se estima el valor de un impacto; surge del carácter</w:t>
      </w:r>
      <w:r>
        <w:rPr>
          <w:color w:val="6D6E71"/>
          <w:spacing w:val="-20"/>
          <w:sz w:val="14"/>
        </w:rPr>
        <w:t> </w:t>
      </w:r>
      <w:r>
        <w:rPr>
          <w:color w:val="6D6E71"/>
          <w:sz w:val="14"/>
        </w:rPr>
        <w:t>relativo de este valor: destruir 5 ha de suelo cultivable no puede tener el mismo significado en un lugar donde existan 10 000 ha cultivables</w:t>
      </w:r>
      <w:r>
        <w:rPr>
          <w:color w:val="6D6E71"/>
          <w:spacing w:val="-4"/>
          <w:sz w:val="14"/>
        </w:rPr>
        <w:t> </w:t>
      </w:r>
      <w:r>
        <w:rPr>
          <w:color w:val="6D6E71"/>
          <w:sz w:val="14"/>
        </w:rPr>
        <w:t>que</w:t>
      </w:r>
      <w:r>
        <w:rPr>
          <w:color w:val="6D6E71"/>
          <w:spacing w:val="-3"/>
          <w:sz w:val="14"/>
        </w:rPr>
        <w:t> </w:t>
      </w:r>
      <w:r>
        <w:rPr>
          <w:color w:val="6D6E71"/>
          <w:sz w:val="14"/>
        </w:rPr>
        <w:t>en</w:t>
      </w:r>
      <w:r>
        <w:rPr>
          <w:color w:val="6D6E71"/>
          <w:spacing w:val="-3"/>
          <w:sz w:val="14"/>
        </w:rPr>
        <w:t> </w:t>
      </w:r>
      <w:r>
        <w:rPr>
          <w:color w:val="6D6E71"/>
          <w:sz w:val="14"/>
        </w:rPr>
        <w:t>otro</w:t>
      </w:r>
      <w:r>
        <w:rPr>
          <w:color w:val="6D6E71"/>
          <w:spacing w:val="-3"/>
          <w:sz w:val="14"/>
        </w:rPr>
        <w:t> </w:t>
      </w:r>
      <w:r>
        <w:rPr>
          <w:color w:val="6D6E71"/>
          <w:sz w:val="14"/>
        </w:rPr>
        <w:t>donde</w:t>
      </w:r>
      <w:r>
        <w:rPr>
          <w:color w:val="6D6E71"/>
          <w:spacing w:val="-3"/>
          <w:sz w:val="14"/>
        </w:rPr>
        <w:t> </w:t>
      </w:r>
      <w:r>
        <w:rPr>
          <w:color w:val="6D6E71"/>
          <w:sz w:val="14"/>
        </w:rPr>
        <w:t>sólo</w:t>
      </w:r>
      <w:r>
        <w:rPr>
          <w:color w:val="6D6E71"/>
          <w:spacing w:val="-4"/>
          <w:sz w:val="14"/>
        </w:rPr>
        <w:t> </w:t>
      </w:r>
      <w:r>
        <w:rPr>
          <w:color w:val="6D6E71"/>
          <w:sz w:val="14"/>
        </w:rPr>
        <w:t>existan</w:t>
      </w:r>
      <w:r>
        <w:rPr>
          <w:color w:val="6D6E71"/>
          <w:spacing w:val="-3"/>
          <w:sz w:val="14"/>
        </w:rPr>
        <w:t> </w:t>
      </w:r>
      <w:r>
        <w:rPr>
          <w:color w:val="6D6E71"/>
          <w:sz w:val="14"/>
        </w:rPr>
        <w:t>10</w:t>
      </w:r>
      <w:r>
        <w:rPr>
          <w:color w:val="6D6E71"/>
          <w:spacing w:val="-3"/>
          <w:sz w:val="14"/>
        </w:rPr>
        <w:t> </w:t>
      </w:r>
      <w:r>
        <w:rPr>
          <w:color w:val="6D6E71"/>
          <w:sz w:val="14"/>
        </w:rPr>
        <w:t>con</w:t>
      </w:r>
      <w:r>
        <w:rPr>
          <w:color w:val="6D6E71"/>
          <w:spacing w:val="-3"/>
          <w:sz w:val="14"/>
        </w:rPr>
        <w:t> </w:t>
      </w:r>
      <w:r>
        <w:rPr>
          <w:color w:val="6D6E71"/>
          <w:sz w:val="14"/>
        </w:rPr>
        <w:t>esta</w:t>
      </w:r>
      <w:r>
        <w:rPr>
          <w:color w:val="6D6E71"/>
          <w:spacing w:val="-3"/>
          <w:sz w:val="14"/>
        </w:rPr>
        <w:t> </w:t>
      </w:r>
      <w:r>
        <w:rPr>
          <w:color w:val="6D6E71"/>
          <w:sz w:val="14"/>
        </w:rPr>
        <w:t>capacidad</w:t>
      </w:r>
      <w:r>
        <w:rPr>
          <w:color w:val="6D6E71"/>
          <w:spacing w:val="-4"/>
          <w:sz w:val="14"/>
        </w:rPr>
        <w:t> </w:t>
      </w:r>
      <w:r>
        <w:rPr>
          <w:color w:val="6D6E71"/>
          <w:sz w:val="14"/>
        </w:rPr>
        <w:t>(Gómez,</w:t>
      </w:r>
      <w:r>
        <w:rPr>
          <w:color w:val="6D6E71"/>
          <w:spacing w:val="-3"/>
          <w:sz w:val="14"/>
        </w:rPr>
        <w:t> </w:t>
      </w:r>
      <w:r>
        <w:rPr>
          <w:color w:val="6D6E71"/>
          <w:sz w:val="14"/>
        </w:rPr>
        <w:t>2003).</w:t>
      </w:r>
    </w:p>
    <w:p>
      <w:pPr>
        <w:spacing w:after="0" w:line="357" w:lineRule="auto"/>
        <w:jc w:val="both"/>
        <w:rPr>
          <w:sz w:val="14"/>
        </w:rPr>
        <w:sectPr>
          <w:type w:val="continuous"/>
          <w:pgSz w:w="18830" w:h="12760" w:orient="landscape"/>
          <w:pgMar w:top="1420" w:bottom="280" w:left="720" w:right="700"/>
          <w:cols w:num="2" w:equalWidth="0">
            <w:col w:w="7844" w:space="1567"/>
            <w:col w:w="7999"/>
          </w:cols>
        </w:sectPr>
      </w:pPr>
    </w:p>
    <w:p>
      <w:pPr>
        <w:pStyle w:val="BodyText"/>
        <w:spacing w:before="6"/>
        <w:rPr>
          <w:sz w:val="23"/>
        </w:rPr>
      </w:pPr>
    </w:p>
    <w:p>
      <w:pPr>
        <w:spacing w:after="0"/>
        <w:rPr>
          <w:sz w:val="23"/>
        </w:rPr>
        <w:sectPr>
          <w:footerReference w:type="default" r:id="rId290"/>
          <w:pgSz w:w="18830" w:h="12760" w:orient="landscape"/>
          <w:pgMar w:footer="1036" w:header="522" w:top="820" w:bottom="1220" w:left="720" w:right="720"/>
        </w:sectPr>
      </w:pPr>
    </w:p>
    <w:p>
      <w:pPr>
        <w:pStyle w:val="BodyText"/>
        <w:spacing w:line="249" w:lineRule="auto" w:before="76"/>
        <w:ind w:left="130" w:firstLine="170"/>
        <w:jc w:val="both"/>
      </w:pPr>
      <w:r>
        <w:rPr/>
        <w:t>En suma, los conceptos determinantes básicos de un impacto ambiental son la acción que lo causa, el factor alterado, el signo, el valor, el espacio donde se ubica y</w:t>
      </w:r>
      <w:r>
        <w:rPr>
          <w:spacing w:val="-21"/>
        </w:rPr>
        <w:t> </w:t>
      </w:r>
      <w:r>
        <w:rPr/>
        <w:t>el momento</w:t>
      </w:r>
      <w:r>
        <w:rPr>
          <w:spacing w:val="-3"/>
        </w:rPr>
        <w:t> </w:t>
      </w:r>
      <w:r>
        <w:rPr/>
        <w:t>en</w:t>
      </w:r>
      <w:r>
        <w:rPr>
          <w:spacing w:val="-3"/>
        </w:rPr>
        <w:t> </w:t>
      </w:r>
      <w:r>
        <w:rPr/>
        <w:t>que</w:t>
      </w:r>
      <w:r>
        <w:rPr>
          <w:spacing w:val="-3"/>
        </w:rPr>
        <w:t> </w:t>
      </w:r>
      <w:r>
        <w:rPr/>
        <w:t>se</w:t>
      </w:r>
      <w:r>
        <w:rPr>
          <w:spacing w:val="-3"/>
        </w:rPr>
        <w:t> </w:t>
      </w:r>
      <w:r>
        <w:rPr/>
        <w:t>produce,</w:t>
      </w:r>
      <w:r>
        <w:rPr>
          <w:spacing w:val="-3"/>
        </w:rPr>
        <w:t> </w:t>
      </w:r>
      <w:r>
        <w:rPr/>
        <w:t>así</w:t>
      </w:r>
      <w:r>
        <w:rPr>
          <w:spacing w:val="-3"/>
        </w:rPr>
        <w:t> </w:t>
      </w:r>
      <w:r>
        <w:rPr/>
        <w:t>como</w:t>
      </w:r>
      <w:r>
        <w:rPr>
          <w:spacing w:val="-3"/>
        </w:rPr>
        <w:t> </w:t>
      </w:r>
      <w:r>
        <w:rPr/>
        <w:t>su</w:t>
      </w:r>
      <w:r>
        <w:rPr>
          <w:spacing w:val="-3"/>
        </w:rPr>
        <w:t> </w:t>
      </w:r>
      <w:r>
        <w:rPr/>
        <w:t>evolución.</w:t>
      </w:r>
      <w:r>
        <w:rPr>
          <w:spacing w:val="-3"/>
        </w:rPr>
        <w:t> </w:t>
      </w:r>
      <w:r>
        <w:rPr/>
        <w:t>A</w:t>
      </w:r>
      <w:r>
        <w:rPr>
          <w:spacing w:val="-3"/>
        </w:rPr>
        <w:t> </w:t>
      </w:r>
      <w:r>
        <w:rPr/>
        <w:t>estos</w:t>
      </w:r>
      <w:r>
        <w:rPr>
          <w:spacing w:val="-3"/>
        </w:rPr>
        <w:t> </w:t>
      </w:r>
      <w:r>
        <w:rPr/>
        <w:t>habría</w:t>
      </w:r>
      <w:r>
        <w:rPr>
          <w:spacing w:val="-3"/>
        </w:rPr>
        <w:t> </w:t>
      </w:r>
      <w:r>
        <w:rPr/>
        <w:t>que</w:t>
      </w:r>
      <w:r>
        <w:rPr>
          <w:spacing w:val="-3"/>
        </w:rPr>
        <w:t> </w:t>
      </w:r>
      <w:r>
        <w:rPr/>
        <w:t>añadir</w:t>
      </w:r>
      <w:r>
        <w:rPr>
          <w:spacing w:val="-3"/>
        </w:rPr>
        <w:t> </w:t>
      </w:r>
      <w:r>
        <w:rPr/>
        <w:t>el</w:t>
      </w:r>
      <w:r>
        <w:rPr>
          <w:spacing w:val="-3"/>
        </w:rPr>
        <w:t> </w:t>
      </w:r>
      <w:r>
        <w:rPr/>
        <w:t>resto de</w:t>
      </w:r>
      <w:r>
        <w:rPr>
          <w:spacing w:val="28"/>
        </w:rPr>
        <w:t> </w:t>
      </w:r>
      <w:r>
        <w:rPr/>
        <w:t>los</w:t>
      </w:r>
      <w:r>
        <w:rPr>
          <w:spacing w:val="28"/>
        </w:rPr>
        <w:t> </w:t>
      </w:r>
      <w:r>
        <w:rPr/>
        <w:t>elementos</w:t>
      </w:r>
      <w:r>
        <w:rPr>
          <w:spacing w:val="28"/>
        </w:rPr>
        <w:t> </w:t>
      </w:r>
      <w:r>
        <w:rPr/>
        <w:t>que</w:t>
      </w:r>
      <w:r>
        <w:rPr>
          <w:spacing w:val="28"/>
        </w:rPr>
        <w:t> </w:t>
      </w:r>
      <w:r>
        <w:rPr/>
        <w:t>definen</w:t>
      </w:r>
      <w:r>
        <w:rPr>
          <w:spacing w:val="28"/>
        </w:rPr>
        <w:t> </w:t>
      </w:r>
      <w:r>
        <w:rPr/>
        <w:t>el</w:t>
      </w:r>
      <w:r>
        <w:rPr>
          <w:spacing w:val="28"/>
        </w:rPr>
        <w:t> </w:t>
      </w:r>
      <w:r>
        <w:rPr/>
        <w:t>diagnóstico</w:t>
      </w:r>
      <w:r>
        <w:rPr>
          <w:spacing w:val="28"/>
        </w:rPr>
        <w:t> </w:t>
      </w:r>
      <w:r>
        <w:rPr/>
        <w:t>de</w:t>
      </w:r>
      <w:r>
        <w:rPr>
          <w:spacing w:val="28"/>
        </w:rPr>
        <w:t> </w:t>
      </w:r>
      <w:r>
        <w:rPr/>
        <w:t>un</w:t>
      </w:r>
      <w:r>
        <w:rPr>
          <w:spacing w:val="28"/>
        </w:rPr>
        <w:t> </w:t>
      </w:r>
      <w:r>
        <w:rPr/>
        <w:t>impacto</w:t>
      </w:r>
      <w:r>
        <w:rPr>
          <w:spacing w:val="28"/>
        </w:rPr>
        <w:t> </w:t>
      </w:r>
      <w:r>
        <w:rPr/>
        <w:t>y</w:t>
      </w:r>
      <w:r>
        <w:rPr>
          <w:spacing w:val="28"/>
        </w:rPr>
        <w:t> </w:t>
      </w:r>
      <w:r>
        <w:rPr/>
        <w:t>el</w:t>
      </w:r>
      <w:r>
        <w:rPr>
          <w:spacing w:val="28"/>
        </w:rPr>
        <w:t> </w:t>
      </w:r>
      <w:r>
        <w:rPr/>
        <w:t>peso</w:t>
      </w:r>
      <w:r>
        <w:rPr>
          <w:spacing w:val="28"/>
        </w:rPr>
        <w:t> </w:t>
      </w:r>
      <w:r>
        <w:rPr/>
        <w:t>o</w:t>
      </w:r>
      <w:r>
        <w:rPr>
          <w:spacing w:val="28"/>
        </w:rPr>
        <w:t> </w:t>
      </w:r>
      <w:r>
        <w:rPr/>
        <w:t>importancia</w:t>
      </w:r>
      <w:r>
        <w:rPr>
          <w:w w:val="102"/>
        </w:rPr>
        <w:t> </w:t>
      </w:r>
      <w:r>
        <w:rPr/>
        <w:t>relativa del factor alterado, es decir, su contribución a la calidad ambiental en el ámbito geográfico.</w:t>
      </w:r>
    </w:p>
    <w:p>
      <w:pPr>
        <w:pStyle w:val="BodyText"/>
        <w:spacing w:before="11"/>
      </w:pPr>
    </w:p>
    <w:p>
      <w:pPr>
        <w:pStyle w:val="BodyText"/>
        <w:spacing w:line="249" w:lineRule="auto"/>
        <w:ind w:left="130" w:firstLine="170"/>
        <w:jc w:val="both"/>
      </w:pPr>
      <w:r>
        <w:rPr/>
        <w:t>Conesa (1997) distingue este último elemento como la Importancia del Impacto         y la define como el ratio mediante el cual medimos cualitativamente el impacto ambiental, en función, tanto del grado de intensidad de la alteración producida, como  la caracterización del efecto, que responde a su vez a los atributos que se describirán a continuación. Es importante advertir que la importancia del impacto no debe confundirse con la importancia del factor afectado, ya que éstos representan sólo una parte del medio</w:t>
      </w:r>
      <w:r>
        <w:rPr>
          <w:spacing w:val="29"/>
        </w:rPr>
        <w:t> </w:t>
      </w:r>
      <w:r>
        <w:rPr/>
        <w:t>ambiente.</w:t>
      </w:r>
    </w:p>
    <w:p>
      <w:pPr>
        <w:pStyle w:val="BodyText"/>
        <w:spacing w:before="8"/>
      </w:pPr>
    </w:p>
    <w:p>
      <w:pPr>
        <w:pStyle w:val="BodyText"/>
        <w:ind w:left="583" w:hanging="397"/>
        <w:jc w:val="both"/>
      </w:pPr>
      <w:r>
        <w:rPr>
          <w:rFonts w:ascii="Calibri" w:hAnsi="Calibri"/>
        </w:rPr>
        <w:t>» </w:t>
      </w:r>
      <w:r>
        <w:rPr/>
        <w:t>Frecuencia (F): alta, intermedia, baja. Se refiere a la presencia del agente en el  área.</w:t>
      </w:r>
    </w:p>
    <w:p>
      <w:pPr>
        <w:pStyle w:val="BodyText"/>
        <w:spacing w:before="7"/>
        <w:ind w:left="583" w:hanging="397"/>
        <w:jc w:val="both"/>
      </w:pPr>
      <w:r>
        <w:rPr>
          <w:rFonts w:ascii="Calibri" w:hAnsi="Calibri"/>
        </w:rPr>
        <w:t>» </w:t>
      </w:r>
      <w:r>
        <w:rPr/>
        <w:t>Intensidad (I): severa, moderada, baja. Se refiere al grado de incidencia de la  acción sobre el</w:t>
      </w:r>
      <w:r>
        <w:rPr>
          <w:spacing w:val="35"/>
        </w:rPr>
        <w:t> </w:t>
      </w:r>
      <w:r>
        <w:rPr/>
        <w:t>factor.</w:t>
      </w:r>
    </w:p>
    <w:p>
      <w:pPr>
        <w:pStyle w:val="BodyText"/>
        <w:spacing w:before="7"/>
        <w:ind w:left="583" w:right="1" w:hanging="397"/>
        <w:jc w:val="both"/>
      </w:pPr>
      <w:r>
        <w:rPr>
          <w:rFonts w:ascii="Calibri" w:hAnsi="Calibri"/>
        </w:rPr>
        <w:t>» </w:t>
      </w:r>
      <w:r>
        <w:rPr/>
        <w:t>Efecto (E): directo es el que tiene repercusión inmediata en algún factor ambiental, mientras que el indirecto es el que se deriva del primero.</w:t>
      </w:r>
    </w:p>
    <w:p>
      <w:pPr>
        <w:pStyle w:val="BodyText"/>
        <w:spacing w:line="247" w:lineRule="auto" w:before="7"/>
        <w:ind w:left="583" w:hanging="397"/>
        <w:jc w:val="both"/>
      </w:pPr>
      <w:r>
        <w:rPr>
          <w:rFonts w:ascii="Calibri" w:hAnsi="Calibri"/>
        </w:rPr>
        <w:t>»   </w:t>
      </w:r>
      <w:r>
        <w:rPr/>
        <w:t>Acumulación (A): acumulativo o simple. Efecto simple es el que se manifiesta en  un solo componente ambiental y no induce efectos secundarios ni acumulativos</w:t>
      </w:r>
      <w:r>
        <w:rPr>
          <w:spacing w:val="-29"/>
        </w:rPr>
        <w:t> </w:t>
      </w:r>
      <w:r>
        <w:rPr/>
        <w:t>ni sinérgicos.</w:t>
      </w:r>
      <w:r>
        <w:rPr>
          <w:spacing w:val="-8"/>
        </w:rPr>
        <w:t> </w:t>
      </w:r>
      <w:r>
        <w:rPr/>
        <w:t>Efecto</w:t>
      </w:r>
      <w:r>
        <w:rPr>
          <w:spacing w:val="-8"/>
        </w:rPr>
        <w:t> </w:t>
      </w:r>
      <w:r>
        <w:rPr/>
        <w:t>acumulativo</w:t>
      </w:r>
      <w:r>
        <w:rPr>
          <w:spacing w:val="-8"/>
        </w:rPr>
        <w:t> </w:t>
      </w:r>
      <w:r>
        <w:rPr/>
        <w:t>es</w:t>
      </w:r>
      <w:r>
        <w:rPr>
          <w:spacing w:val="-8"/>
        </w:rPr>
        <w:t> </w:t>
      </w:r>
      <w:r>
        <w:rPr/>
        <w:t>el</w:t>
      </w:r>
      <w:r>
        <w:rPr>
          <w:spacing w:val="-8"/>
        </w:rPr>
        <w:t> </w:t>
      </w:r>
      <w:r>
        <w:rPr/>
        <w:t>que</w:t>
      </w:r>
      <w:r>
        <w:rPr>
          <w:spacing w:val="-8"/>
        </w:rPr>
        <w:t> </w:t>
      </w:r>
      <w:r>
        <w:rPr/>
        <w:t>incrementa</w:t>
      </w:r>
      <w:r>
        <w:rPr>
          <w:spacing w:val="-8"/>
        </w:rPr>
        <w:t> </w:t>
      </w:r>
      <w:r>
        <w:rPr/>
        <w:t>progresivamente</w:t>
      </w:r>
      <w:r>
        <w:rPr>
          <w:spacing w:val="-8"/>
        </w:rPr>
        <w:t> </w:t>
      </w:r>
      <w:r>
        <w:rPr/>
        <w:t>su</w:t>
      </w:r>
      <w:r>
        <w:rPr>
          <w:spacing w:val="-8"/>
        </w:rPr>
        <w:t> </w:t>
      </w:r>
      <w:r>
        <w:rPr/>
        <w:t>gravedad [o beneficio] cuando se prolonga, por la acción que lo  genera.</w:t>
      </w:r>
    </w:p>
    <w:p>
      <w:pPr>
        <w:pStyle w:val="BodyText"/>
        <w:spacing w:line="244" w:lineRule="auto"/>
        <w:ind w:left="583" w:hanging="397"/>
        <w:jc w:val="both"/>
      </w:pPr>
      <w:r>
        <w:rPr>
          <w:rFonts w:ascii="Calibri" w:hAnsi="Calibri"/>
        </w:rPr>
        <w:t>» </w:t>
      </w:r>
      <w:r>
        <w:rPr/>
        <w:t>Sinergia (S): alta, media, baja. Significa reforzamiento, se produce cuando la coexistencia de varios efectos simples o acción simultánea supone un efecto mayor cuando las acciones actúan de manera independiente no simultánea.</w:t>
      </w:r>
    </w:p>
    <w:p>
      <w:pPr>
        <w:pStyle w:val="BodyText"/>
        <w:spacing w:line="244" w:lineRule="auto" w:before="2"/>
        <w:ind w:left="583" w:hanging="397"/>
        <w:jc w:val="both"/>
      </w:pPr>
      <w:r>
        <w:rPr>
          <w:rFonts w:ascii="Calibri" w:hAnsi="Calibri"/>
        </w:rPr>
        <w:t>»   </w:t>
      </w:r>
      <w:r>
        <w:rPr/>
        <w:t>Momento (M): a corto, mediano y largo plazo. Alude al tiempo que transcurre    entre la aparición de la acción y el comienzo del efecto sobre el factor de medio considerado.</w:t>
      </w:r>
    </w:p>
    <w:p>
      <w:pPr>
        <w:pStyle w:val="BodyText"/>
        <w:spacing w:line="244" w:lineRule="auto" w:before="2"/>
        <w:ind w:left="583" w:hanging="397"/>
        <w:jc w:val="both"/>
      </w:pPr>
      <w:r>
        <w:rPr>
          <w:rFonts w:ascii="Calibri" w:hAnsi="Calibri"/>
        </w:rPr>
        <w:t>» </w:t>
      </w:r>
      <w:r>
        <w:rPr/>
        <w:t>Persistencia (Pe): permanente, temporal. El efecto permanente supone una alteración de duración indefinida, mientras el temporal permanece un tiempo determinado.</w:t>
      </w:r>
    </w:p>
    <w:p>
      <w:pPr>
        <w:pStyle w:val="BodyText"/>
        <w:spacing w:line="247" w:lineRule="auto" w:before="2"/>
        <w:ind w:left="583" w:hanging="397"/>
        <w:jc w:val="both"/>
      </w:pPr>
      <w:r>
        <w:rPr>
          <w:rFonts w:ascii="Calibri" w:hAnsi="Calibri"/>
        </w:rPr>
        <w:t>»   </w:t>
      </w:r>
      <w:r>
        <w:rPr/>
        <w:t>Periodicidad  (Pd):  continuo,  periódico,  irregular.  Se  refiere  a  la  regularidad   de manifestación del efecto, bien sea de manera cíclica o recurrente (efecto periódico), de forma impredecible en el tiempo (efecto irregular; debiendo evaluarse en términos de probabilidad de ocurrencia), o constante en el tiempo (efecto</w:t>
      </w:r>
      <w:r>
        <w:rPr>
          <w:spacing w:val="6"/>
        </w:rPr>
        <w:t> </w:t>
      </w:r>
      <w:r>
        <w:rPr/>
        <w:t>continuo).</w:t>
      </w:r>
    </w:p>
    <w:p>
      <w:pPr>
        <w:pStyle w:val="BodyText"/>
        <w:spacing w:line="244" w:lineRule="auto"/>
        <w:ind w:left="583" w:hanging="397"/>
        <w:jc w:val="both"/>
      </w:pPr>
      <w:r>
        <w:rPr>
          <w:rFonts w:ascii="Calibri" w:hAnsi="Calibri"/>
        </w:rPr>
        <w:t>» </w:t>
      </w:r>
      <w:r>
        <w:rPr/>
        <w:t>Reversibilidad (Rv): a largo, medio y corto plazo. Se refiere a la posibilidad</w:t>
      </w:r>
      <w:r>
        <w:rPr>
          <w:spacing w:val="-9"/>
        </w:rPr>
        <w:t> </w:t>
      </w:r>
      <w:r>
        <w:rPr/>
        <w:t>natural del factor de retomar las condiciones iniciales previas a la afectación, una vez</w:t>
      </w:r>
      <w:r>
        <w:rPr>
          <w:spacing w:val="-37"/>
        </w:rPr>
        <w:t> </w:t>
      </w:r>
      <w:r>
        <w:rPr/>
        <w:t>que deja de actuar sobre</w:t>
      </w:r>
      <w:r>
        <w:rPr>
          <w:spacing w:val="17"/>
        </w:rPr>
        <w:t> </w:t>
      </w:r>
      <w:r>
        <w:rPr/>
        <w:t>éste.</w:t>
      </w:r>
    </w:p>
    <w:p>
      <w:pPr>
        <w:pStyle w:val="BodyText"/>
        <w:spacing w:line="247" w:lineRule="auto" w:before="74"/>
        <w:ind w:left="583" w:right="129" w:hanging="397"/>
        <w:jc w:val="both"/>
      </w:pPr>
      <w:r>
        <w:rPr/>
        <w:br w:type="column"/>
      </w:r>
      <w:r>
        <w:rPr>
          <w:rFonts w:ascii="Calibri" w:hAnsi="Calibri"/>
        </w:rPr>
        <w:t>» </w:t>
      </w:r>
      <w:r>
        <w:rPr/>
        <w:t>Recuperabilidad (Re): difícil, media, fácil. Se refiere a la posibilidad de reconstrucción, total o parcial, del factor afectado, es decir, la posibilidad de retornar a las condiciones iniciales previas, por medio de la intervención humana a través de medidas correctoras.</w:t>
      </w:r>
    </w:p>
    <w:p>
      <w:pPr>
        <w:pStyle w:val="BodyText"/>
      </w:pPr>
    </w:p>
    <w:p>
      <w:pPr>
        <w:pStyle w:val="BodyText"/>
        <w:spacing w:before="8"/>
        <w:rPr>
          <w:sz w:val="18"/>
        </w:rPr>
      </w:pPr>
    </w:p>
    <w:p>
      <w:pPr>
        <w:pStyle w:val="Heading1"/>
        <w:spacing w:before="1"/>
      </w:pPr>
      <w:r>
        <w:rPr/>
        <w:t>Tipología de los Impactos</w:t>
      </w:r>
    </w:p>
    <w:p>
      <w:pPr>
        <w:pStyle w:val="BodyText"/>
        <w:rPr>
          <w:b/>
          <w:sz w:val="21"/>
        </w:rPr>
      </w:pPr>
    </w:p>
    <w:p>
      <w:pPr>
        <w:pStyle w:val="BodyText"/>
        <w:spacing w:line="249" w:lineRule="auto"/>
        <w:ind w:left="130" w:right="129" w:firstLine="170"/>
        <w:jc w:val="both"/>
      </w:pPr>
      <w:r>
        <w:rPr/>
        <w:t>El</w:t>
      </w:r>
      <w:r>
        <w:rPr>
          <w:spacing w:val="-8"/>
        </w:rPr>
        <w:t> </w:t>
      </w:r>
      <w:r>
        <w:rPr/>
        <w:t>cuadro</w:t>
      </w:r>
      <w:r>
        <w:rPr>
          <w:spacing w:val="-8"/>
        </w:rPr>
        <w:t> </w:t>
      </w:r>
      <w:r>
        <w:rPr/>
        <w:t>1</w:t>
      </w:r>
      <w:r>
        <w:rPr>
          <w:spacing w:val="-8"/>
        </w:rPr>
        <w:t> </w:t>
      </w:r>
      <w:r>
        <w:rPr/>
        <w:t>expone</w:t>
      </w:r>
      <w:r>
        <w:rPr>
          <w:spacing w:val="-8"/>
        </w:rPr>
        <w:t> </w:t>
      </w:r>
      <w:r>
        <w:rPr/>
        <w:t>una</w:t>
      </w:r>
      <w:r>
        <w:rPr>
          <w:spacing w:val="-8"/>
        </w:rPr>
        <w:t> </w:t>
      </w:r>
      <w:r>
        <w:rPr/>
        <w:t>clasificación</w:t>
      </w:r>
      <w:r>
        <w:rPr>
          <w:spacing w:val="-8"/>
        </w:rPr>
        <w:t> </w:t>
      </w:r>
      <w:r>
        <w:rPr/>
        <w:t>de</w:t>
      </w:r>
      <w:r>
        <w:rPr>
          <w:spacing w:val="-8"/>
        </w:rPr>
        <w:t> </w:t>
      </w:r>
      <w:r>
        <w:rPr/>
        <w:t>los</w:t>
      </w:r>
      <w:r>
        <w:rPr>
          <w:spacing w:val="-8"/>
        </w:rPr>
        <w:t> </w:t>
      </w:r>
      <w:r>
        <w:rPr/>
        <w:t>distintos</w:t>
      </w:r>
      <w:r>
        <w:rPr>
          <w:spacing w:val="-8"/>
        </w:rPr>
        <w:t> </w:t>
      </w:r>
      <w:r>
        <w:rPr/>
        <w:t>tipos</w:t>
      </w:r>
      <w:r>
        <w:rPr>
          <w:spacing w:val="-8"/>
        </w:rPr>
        <w:t> </w:t>
      </w:r>
      <w:r>
        <w:rPr/>
        <w:t>de</w:t>
      </w:r>
      <w:r>
        <w:rPr>
          <w:spacing w:val="-8"/>
        </w:rPr>
        <w:t> </w:t>
      </w:r>
      <w:r>
        <w:rPr/>
        <w:t>impacto</w:t>
      </w:r>
      <w:r>
        <w:rPr>
          <w:spacing w:val="-8"/>
        </w:rPr>
        <w:t> </w:t>
      </w:r>
      <w:r>
        <w:rPr/>
        <w:t>que</w:t>
      </w:r>
      <w:r>
        <w:rPr>
          <w:spacing w:val="-8"/>
        </w:rPr>
        <w:t> </w:t>
      </w:r>
      <w:r>
        <w:rPr/>
        <w:t>tienen</w:t>
      </w:r>
      <w:r>
        <w:rPr>
          <w:spacing w:val="-8"/>
        </w:rPr>
        <w:t> </w:t>
      </w:r>
      <w:r>
        <w:rPr/>
        <w:t>lugar más</w:t>
      </w:r>
      <w:r>
        <w:rPr>
          <w:spacing w:val="-6"/>
        </w:rPr>
        <w:t> </w:t>
      </w:r>
      <w:r>
        <w:rPr/>
        <w:t>comúnmente</w:t>
      </w:r>
      <w:r>
        <w:rPr>
          <w:spacing w:val="-6"/>
        </w:rPr>
        <w:t> </w:t>
      </w:r>
      <w:r>
        <w:rPr/>
        <w:t>sobre</w:t>
      </w:r>
      <w:r>
        <w:rPr>
          <w:spacing w:val="-6"/>
        </w:rPr>
        <w:t> </w:t>
      </w:r>
      <w:r>
        <w:rPr/>
        <w:t>el</w:t>
      </w:r>
      <w:r>
        <w:rPr>
          <w:spacing w:val="-6"/>
        </w:rPr>
        <w:t> </w:t>
      </w:r>
      <w:r>
        <w:rPr/>
        <w:t>ambiente.</w:t>
      </w:r>
      <w:r>
        <w:rPr>
          <w:spacing w:val="-6"/>
        </w:rPr>
        <w:t> </w:t>
      </w:r>
      <w:r>
        <w:rPr/>
        <w:t>Ésta</w:t>
      </w:r>
      <w:r>
        <w:rPr>
          <w:spacing w:val="-6"/>
        </w:rPr>
        <w:t> </w:t>
      </w:r>
      <w:r>
        <w:rPr/>
        <w:t>clasificación</w:t>
      </w:r>
      <w:r>
        <w:rPr>
          <w:spacing w:val="-6"/>
        </w:rPr>
        <w:t> </w:t>
      </w:r>
      <w:r>
        <w:rPr/>
        <w:t>no</w:t>
      </w:r>
      <w:r>
        <w:rPr>
          <w:spacing w:val="-6"/>
        </w:rPr>
        <w:t> </w:t>
      </w:r>
      <w:r>
        <w:rPr/>
        <w:t>es</w:t>
      </w:r>
      <w:r>
        <w:rPr>
          <w:spacing w:val="-6"/>
        </w:rPr>
        <w:t> </w:t>
      </w:r>
      <w:r>
        <w:rPr/>
        <w:t>exhaustiva,</w:t>
      </w:r>
      <w:r>
        <w:rPr>
          <w:spacing w:val="-6"/>
        </w:rPr>
        <w:t> </w:t>
      </w:r>
      <w:r>
        <w:rPr/>
        <w:t>ni</w:t>
      </w:r>
      <w:r>
        <w:rPr>
          <w:spacing w:val="-6"/>
        </w:rPr>
        <w:t> </w:t>
      </w:r>
      <w:r>
        <w:rPr/>
        <w:t>excluyente, ya que pueden existir impactos no descritos; y un impacto concreto puede pertenecer  a la vez a dos o más grupos</w:t>
      </w:r>
      <w:r>
        <w:rPr>
          <w:spacing w:val="46"/>
        </w:rPr>
        <w:t> </w:t>
      </w:r>
      <w:r>
        <w:rPr/>
        <w:t>tipológicos.</w:t>
      </w:r>
    </w:p>
    <w:p>
      <w:pPr>
        <w:pStyle w:val="BodyText"/>
        <w:spacing w:before="2"/>
        <w:rPr>
          <w:sz w:val="24"/>
        </w:rPr>
      </w:pPr>
    </w:p>
    <w:p>
      <w:pPr>
        <w:spacing w:before="0"/>
        <w:ind w:left="1737" w:right="1738" w:firstLine="0"/>
        <w:jc w:val="center"/>
        <w:rPr>
          <w:sz w:val="16"/>
        </w:rPr>
      </w:pPr>
      <w:r>
        <w:rPr>
          <w:color w:val="6D6E71"/>
          <w:sz w:val="16"/>
        </w:rPr>
        <w:t>Cuadro 1. Tipología de los Impactos</w:t>
      </w:r>
    </w:p>
    <w:p>
      <w:pPr>
        <w:pStyle w:val="BodyText"/>
        <w:spacing w:before="10"/>
        <w:rPr>
          <w:sz w:val="8"/>
        </w:rPr>
      </w:pPr>
    </w:p>
    <w:tbl>
      <w:tblPr>
        <w:tblW w:w="0" w:type="auto"/>
        <w:jc w:val="left"/>
        <w:tblInd w:w="788"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3346"/>
        <w:gridCol w:w="3047"/>
      </w:tblGrid>
      <w:tr>
        <w:trPr>
          <w:trHeight w:val="330" w:hRule="exact"/>
        </w:trPr>
        <w:tc>
          <w:tcPr>
            <w:tcW w:w="3346" w:type="dxa"/>
            <w:tcBorders>
              <w:top w:val="nil"/>
              <w:left w:val="nil"/>
              <w:bottom w:val="dotted" w:sz="4" w:space="0" w:color="FFFFFF"/>
              <w:right w:val="single" w:sz="4" w:space="0" w:color="FFFFFF"/>
            </w:tcBorders>
            <w:shd w:val="clear" w:color="auto" w:fill="929292"/>
          </w:tcPr>
          <w:p>
            <w:pPr>
              <w:pStyle w:val="TableParagraph"/>
              <w:spacing w:before="21"/>
              <w:ind w:left="108"/>
              <w:rPr>
                <w:sz w:val="16"/>
              </w:rPr>
            </w:pPr>
            <w:r>
              <w:rPr>
                <w:sz w:val="16"/>
              </w:rPr>
              <w:t>Clasificación</w:t>
            </w:r>
          </w:p>
        </w:tc>
        <w:tc>
          <w:tcPr>
            <w:tcW w:w="3047" w:type="dxa"/>
            <w:tcBorders>
              <w:top w:val="nil"/>
              <w:left w:val="single" w:sz="4" w:space="0" w:color="FFFFFF"/>
              <w:bottom w:val="dotted" w:sz="4" w:space="0" w:color="FFFFFF"/>
              <w:right w:val="nil"/>
            </w:tcBorders>
            <w:shd w:val="clear" w:color="auto" w:fill="929292"/>
          </w:tcPr>
          <w:p>
            <w:pPr>
              <w:pStyle w:val="TableParagraph"/>
              <w:spacing w:before="21"/>
              <w:ind w:left="102"/>
              <w:rPr>
                <w:sz w:val="16"/>
              </w:rPr>
            </w:pPr>
            <w:r>
              <w:rPr>
                <w:w w:val="105"/>
                <w:sz w:val="16"/>
              </w:rPr>
              <w:t>Impacto</w:t>
            </w:r>
          </w:p>
        </w:tc>
      </w:tr>
      <w:tr>
        <w:trPr>
          <w:trHeight w:val="440" w:hRule="exact"/>
        </w:trPr>
        <w:tc>
          <w:tcPr>
            <w:tcW w:w="3346" w:type="dxa"/>
            <w:tcBorders>
              <w:top w:val="dotted" w:sz="4" w:space="0" w:color="FFFFFF"/>
              <w:left w:val="nil"/>
            </w:tcBorders>
          </w:tcPr>
          <w:p>
            <w:pPr>
              <w:pStyle w:val="TableParagraph"/>
              <w:spacing w:line="148" w:lineRule="exact"/>
              <w:ind w:left="108"/>
              <w:rPr>
                <w:sz w:val="16"/>
              </w:rPr>
            </w:pPr>
            <w:r>
              <w:rPr>
                <w:sz w:val="16"/>
              </w:rPr>
              <w:t>Por la Variación de la Calidad Ambiental</w:t>
            </w:r>
          </w:p>
        </w:tc>
        <w:tc>
          <w:tcPr>
            <w:tcW w:w="3047" w:type="dxa"/>
            <w:tcBorders>
              <w:top w:val="dotted" w:sz="4" w:space="0" w:color="FFFFFF"/>
              <w:right w:val="nil"/>
            </w:tcBorders>
          </w:tcPr>
          <w:p>
            <w:pPr>
              <w:pStyle w:val="TableParagraph"/>
              <w:spacing w:line="148" w:lineRule="exact"/>
              <w:ind w:left="102"/>
              <w:rPr>
                <w:sz w:val="16"/>
              </w:rPr>
            </w:pPr>
            <w:r>
              <w:rPr>
                <w:sz w:val="16"/>
              </w:rPr>
              <w:t>Positivo;</w:t>
            </w:r>
          </w:p>
          <w:p>
            <w:pPr>
              <w:pStyle w:val="TableParagraph"/>
              <w:spacing w:before="32"/>
              <w:ind w:left="102"/>
              <w:rPr>
                <w:sz w:val="16"/>
              </w:rPr>
            </w:pPr>
            <w:r>
              <w:rPr>
                <w:sz w:val="16"/>
              </w:rPr>
              <w:t>Negativo</w:t>
            </w:r>
          </w:p>
        </w:tc>
      </w:tr>
      <w:tr>
        <w:trPr>
          <w:trHeight w:val="774" w:hRule="exact"/>
        </w:trPr>
        <w:tc>
          <w:tcPr>
            <w:tcW w:w="3346" w:type="dxa"/>
            <w:tcBorders>
              <w:left w:val="nil"/>
              <w:bottom w:val="single" w:sz="4" w:space="0" w:color="FFFFFF"/>
            </w:tcBorders>
          </w:tcPr>
          <w:p>
            <w:pPr>
              <w:pStyle w:val="TableParagraph"/>
              <w:spacing w:line="148" w:lineRule="exact"/>
              <w:ind w:left="108"/>
              <w:rPr>
                <w:sz w:val="16"/>
              </w:rPr>
            </w:pPr>
            <w:r>
              <w:rPr>
                <w:sz w:val="16"/>
              </w:rPr>
              <w:t>Por la Intensidad</w:t>
            </w:r>
          </w:p>
          <w:p>
            <w:pPr>
              <w:pStyle w:val="TableParagraph"/>
              <w:rPr>
                <w:sz w:val="16"/>
              </w:rPr>
            </w:pPr>
          </w:p>
          <w:p>
            <w:pPr>
              <w:pStyle w:val="TableParagraph"/>
              <w:rPr>
                <w:sz w:val="16"/>
              </w:rPr>
            </w:pPr>
          </w:p>
          <w:p>
            <w:pPr>
              <w:pStyle w:val="TableParagraph"/>
              <w:tabs>
                <w:tab w:pos="3331" w:val="left" w:leader="none"/>
              </w:tabs>
              <w:spacing w:before="98"/>
              <w:ind w:left="35"/>
              <w:rPr>
                <w:sz w:val="16"/>
              </w:rPr>
            </w:pPr>
            <w:r>
              <w:rPr>
                <w:w w:val="100"/>
                <w:sz w:val="16"/>
                <w:u w:val="dotted" w:color="929292"/>
              </w:rPr>
              <w:t> </w:t>
            </w:r>
            <w:r>
              <w:rPr>
                <w:sz w:val="16"/>
                <w:u w:val="dotted" w:color="929292"/>
              </w:rPr>
              <w:tab/>
            </w:r>
          </w:p>
        </w:tc>
        <w:tc>
          <w:tcPr>
            <w:tcW w:w="3047" w:type="dxa"/>
            <w:tcBorders>
              <w:bottom w:val="single" w:sz="4" w:space="0" w:color="FFFFFF"/>
              <w:right w:val="nil"/>
            </w:tcBorders>
          </w:tcPr>
          <w:p>
            <w:pPr>
              <w:pStyle w:val="TableParagraph"/>
              <w:spacing w:line="148" w:lineRule="exact"/>
              <w:ind w:left="102"/>
              <w:rPr>
                <w:sz w:val="16"/>
              </w:rPr>
            </w:pPr>
            <w:r>
              <w:rPr>
                <w:sz w:val="16"/>
              </w:rPr>
              <w:t>Notable o Muy alto;</w:t>
            </w:r>
          </w:p>
          <w:p>
            <w:pPr>
              <w:pStyle w:val="TableParagraph"/>
              <w:spacing w:line="283" w:lineRule="auto" w:before="32"/>
              <w:ind w:left="102" w:right="2440"/>
              <w:rPr>
                <w:sz w:val="16"/>
              </w:rPr>
            </w:pPr>
            <w:r>
              <w:rPr>
                <w:sz w:val="16"/>
              </w:rPr>
              <w:t>Alto; Medio;</w:t>
            </w:r>
          </w:p>
          <w:p>
            <w:pPr>
              <w:pStyle w:val="TableParagraph"/>
              <w:tabs>
                <w:tab w:pos="3022" w:val="left" w:leader="none"/>
              </w:tabs>
              <w:ind w:left="25"/>
              <w:rPr>
                <w:sz w:val="16"/>
              </w:rPr>
            </w:pPr>
            <w:r>
              <w:rPr>
                <w:w w:val="100"/>
                <w:sz w:val="16"/>
                <w:u w:val="dotted" w:color="929292"/>
              </w:rPr>
              <w:t> </w:t>
            </w:r>
            <w:r>
              <w:rPr>
                <w:spacing w:val="-12"/>
                <w:sz w:val="16"/>
                <w:u w:val="dotted" w:color="929292"/>
              </w:rPr>
              <w:t> </w:t>
            </w:r>
            <w:r>
              <w:rPr>
                <w:sz w:val="16"/>
                <w:u w:val="dotted" w:color="929292"/>
              </w:rPr>
              <w:t>Mínimo o</w:t>
            </w:r>
            <w:r>
              <w:rPr>
                <w:spacing w:val="11"/>
                <w:sz w:val="16"/>
                <w:u w:val="dotted" w:color="929292"/>
              </w:rPr>
              <w:t> </w:t>
            </w:r>
            <w:r>
              <w:rPr>
                <w:sz w:val="16"/>
                <w:u w:val="dotted" w:color="929292"/>
              </w:rPr>
              <w:t>bajo</w:t>
              <w:tab/>
            </w:r>
          </w:p>
        </w:tc>
      </w:tr>
      <w:tr>
        <w:trPr>
          <w:trHeight w:val="774" w:hRule="exact"/>
        </w:trPr>
        <w:tc>
          <w:tcPr>
            <w:tcW w:w="3346" w:type="dxa"/>
            <w:tcBorders>
              <w:top w:val="single" w:sz="4" w:space="0" w:color="FFFFFF"/>
              <w:left w:val="nil"/>
              <w:bottom w:val="single" w:sz="4" w:space="0" w:color="FFFFFF"/>
            </w:tcBorders>
          </w:tcPr>
          <w:p>
            <w:pPr>
              <w:pStyle w:val="TableParagraph"/>
              <w:spacing w:line="148" w:lineRule="exact"/>
              <w:ind w:left="108"/>
              <w:rPr>
                <w:sz w:val="16"/>
              </w:rPr>
            </w:pPr>
            <w:r>
              <w:rPr>
                <w:sz w:val="16"/>
              </w:rPr>
              <w:t>Por la Extensión</w:t>
            </w:r>
          </w:p>
          <w:p>
            <w:pPr>
              <w:pStyle w:val="TableParagraph"/>
              <w:rPr>
                <w:sz w:val="16"/>
              </w:rPr>
            </w:pPr>
          </w:p>
          <w:p>
            <w:pPr>
              <w:pStyle w:val="TableParagraph"/>
              <w:spacing w:before="10"/>
              <w:rPr>
                <w:sz w:val="16"/>
              </w:rPr>
            </w:pPr>
          </w:p>
          <w:p>
            <w:pPr>
              <w:pStyle w:val="TableParagraph"/>
              <w:tabs>
                <w:tab w:pos="3331" w:val="left" w:leader="none"/>
              </w:tabs>
              <w:ind w:left="35"/>
              <w:rPr>
                <w:sz w:val="20"/>
              </w:rPr>
            </w:pPr>
            <w:r>
              <w:rPr>
                <w:w w:val="100"/>
                <w:sz w:val="20"/>
                <w:u w:val="dotted" w:color="929292"/>
              </w:rPr>
              <w:t> </w:t>
            </w:r>
            <w:r>
              <w:rPr>
                <w:sz w:val="20"/>
                <w:u w:val="dotted" w:color="929292"/>
              </w:rPr>
              <w:tab/>
            </w:r>
          </w:p>
        </w:tc>
        <w:tc>
          <w:tcPr>
            <w:tcW w:w="3047" w:type="dxa"/>
            <w:tcBorders>
              <w:top w:val="single" w:sz="4" w:space="0" w:color="FFFFFF"/>
              <w:bottom w:val="single" w:sz="4" w:space="0" w:color="FFFFFF"/>
              <w:right w:val="nil"/>
            </w:tcBorders>
          </w:tcPr>
          <w:p>
            <w:pPr>
              <w:pStyle w:val="TableParagraph"/>
              <w:spacing w:line="148" w:lineRule="exact"/>
              <w:ind w:left="102"/>
              <w:rPr>
                <w:sz w:val="16"/>
              </w:rPr>
            </w:pPr>
            <w:r>
              <w:rPr>
                <w:sz w:val="16"/>
              </w:rPr>
              <w:t>Puntual;</w:t>
            </w:r>
          </w:p>
          <w:p>
            <w:pPr>
              <w:pStyle w:val="TableParagraph"/>
              <w:spacing w:line="283" w:lineRule="auto" w:before="32"/>
              <w:ind w:left="102" w:right="2280"/>
              <w:rPr>
                <w:sz w:val="16"/>
              </w:rPr>
            </w:pPr>
            <w:r>
              <w:rPr>
                <w:sz w:val="16"/>
              </w:rPr>
              <w:t>Parcial; Extremo;</w:t>
            </w:r>
          </w:p>
          <w:p>
            <w:pPr>
              <w:pStyle w:val="TableParagraph"/>
              <w:tabs>
                <w:tab w:pos="3022" w:val="left" w:leader="none"/>
              </w:tabs>
              <w:ind w:left="25"/>
              <w:rPr>
                <w:sz w:val="16"/>
              </w:rPr>
            </w:pPr>
            <w:r>
              <w:rPr>
                <w:w w:val="100"/>
                <w:sz w:val="16"/>
                <w:u w:val="dotted" w:color="929292"/>
              </w:rPr>
              <w:t> </w:t>
            </w:r>
            <w:r>
              <w:rPr>
                <w:spacing w:val="-12"/>
                <w:sz w:val="16"/>
                <w:u w:val="dotted" w:color="929292"/>
              </w:rPr>
              <w:t> </w:t>
            </w:r>
            <w:r>
              <w:rPr>
                <w:sz w:val="16"/>
                <w:u w:val="dotted" w:color="929292"/>
              </w:rPr>
              <w:t>Total; de Ubicación</w:t>
            </w:r>
            <w:r>
              <w:rPr>
                <w:spacing w:val="25"/>
                <w:sz w:val="16"/>
                <w:u w:val="dotted" w:color="929292"/>
              </w:rPr>
              <w:t> </w:t>
            </w:r>
            <w:r>
              <w:rPr>
                <w:sz w:val="16"/>
                <w:u w:val="dotted" w:color="929292"/>
              </w:rPr>
              <w:t>crítica</w:t>
              <w:tab/>
            </w:r>
          </w:p>
        </w:tc>
      </w:tr>
      <w:tr>
        <w:trPr>
          <w:trHeight w:val="440" w:hRule="exact"/>
        </w:trPr>
        <w:tc>
          <w:tcPr>
            <w:tcW w:w="3346" w:type="dxa"/>
            <w:tcBorders>
              <w:top w:val="single" w:sz="4" w:space="0" w:color="FFFFFF"/>
              <w:left w:val="nil"/>
            </w:tcBorders>
          </w:tcPr>
          <w:p>
            <w:pPr>
              <w:pStyle w:val="TableParagraph"/>
              <w:spacing w:line="148" w:lineRule="exact"/>
              <w:ind w:left="108"/>
              <w:rPr>
                <w:sz w:val="16"/>
              </w:rPr>
            </w:pPr>
            <w:r>
              <w:rPr>
                <w:sz w:val="16"/>
              </w:rPr>
              <w:t>Por el Momento</w:t>
            </w:r>
          </w:p>
          <w:p>
            <w:pPr>
              <w:pStyle w:val="TableParagraph"/>
              <w:spacing w:before="32"/>
              <w:ind w:left="108"/>
              <w:rPr>
                <w:sz w:val="16"/>
              </w:rPr>
            </w:pPr>
            <w:r>
              <w:rPr>
                <w:sz w:val="16"/>
              </w:rPr>
              <w:t>en que se manifiesta</w:t>
            </w:r>
          </w:p>
        </w:tc>
        <w:tc>
          <w:tcPr>
            <w:tcW w:w="3047" w:type="dxa"/>
            <w:tcBorders>
              <w:top w:val="single" w:sz="4" w:space="0" w:color="FFFFFF"/>
              <w:right w:val="nil"/>
            </w:tcBorders>
          </w:tcPr>
          <w:p>
            <w:pPr>
              <w:pStyle w:val="TableParagraph"/>
              <w:spacing w:line="148" w:lineRule="exact"/>
              <w:ind w:left="102"/>
              <w:rPr>
                <w:sz w:val="16"/>
              </w:rPr>
            </w:pPr>
            <w:r>
              <w:rPr>
                <w:sz w:val="16"/>
              </w:rPr>
              <w:t>Latente (corto, medio y largo plazo);</w:t>
            </w:r>
          </w:p>
          <w:p>
            <w:pPr>
              <w:pStyle w:val="TableParagraph"/>
              <w:spacing w:before="32"/>
              <w:ind w:left="102"/>
              <w:rPr>
                <w:sz w:val="16"/>
              </w:rPr>
            </w:pPr>
            <w:r>
              <w:rPr>
                <w:sz w:val="16"/>
              </w:rPr>
              <w:t>Inmediato; de Momento crítico</w:t>
            </w:r>
          </w:p>
        </w:tc>
      </w:tr>
      <w:tr>
        <w:trPr>
          <w:trHeight w:val="440" w:hRule="exact"/>
        </w:trPr>
        <w:tc>
          <w:tcPr>
            <w:tcW w:w="3346" w:type="dxa"/>
            <w:tcBorders>
              <w:left w:val="nil"/>
            </w:tcBorders>
          </w:tcPr>
          <w:p>
            <w:pPr>
              <w:pStyle w:val="TableParagraph"/>
              <w:spacing w:line="148" w:lineRule="exact"/>
              <w:ind w:left="108"/>
              <w:rPr>
                <w:sz w:val="16"/>
              </w:rPr>
            </w:pPr>
            <w:r>
              <w:rPr>
                <w:sz w:val="16"/>
              </w:rPr>
              <w:t>Por su persistencia</w:t>
            </w:r>
          </w:p>
        </w:tc>
        <w:tc>
          <w:tcPr>
            <w:tcW w:w="3047" w:type="dxa"/>
            <w:tcBorders>
              <w:right w:val="nil"/>
            </w:tcBorders>
          </w:tcPr>
          <w:p>
            <w:pPr>
              <w:pStyle w:val="TableParagraph"/>
              <w:spacing w:line="148" w:lineRule="exact"/>
              <w:ind w:left="102"/>
              <w:rPr>
                <w:sz w:val="16"/>
              </w:rPr>
            </w:pPr>
            <w:r>
              <w:rPr>
                <w:sz w:val="16"/>
              </w:rPr>
              <w:t>Temporal;</w:t>
            </w:r>
          </w:p>
          <w:p>
            <w:pPr>
              <w:pStyle w:val="TableParagraph"/>
              <w:spacing w:before="32"/>
              <w:ind w:left="102"/>
              <w:rPr>
                <w:sz w:val="16"/>
              </w:rPr>
            </w:pPr>
            <w:r>
              <w:rPr>
                <w:sz w:val="16"/>
              </w:rPr>
              <w:t>Permanente</w:t>
            </w:r>
          </w:p>
        </w:tc>
      </w:tr>
      <w:tr>
        <w:trPr>
          <w:trHeight w:val="558" w:hRule="exact"/>
        </w:trPr>
        <w:tc>
          <w:tcPr>
            <w:tcW w:w="3346" w:type="dxa"/>
            <w:tcBorders>
              <w:left w:val="nil"/>
              <w:bottom w:val="single" w:sz="4" w:space="0" w:color="FFFFFF"/>
            </w:tcBorders>
          </w:tcPr>
          <w:p>
            <w:pPr>
              <w:pStyle w:val="TableParagraph"/>
              <w:spacing w:line="148" w:lineRule="exact"/>
              <w:ind w:left="108"/>
              <w:rPr>
                <w:sz w:val="16"/>
              </w:rPr>
            </w:pPr>
            <w:r>
              <w:rPr>
                <w:sz w:val="16"/>
              </w:rPr>
              <w:t>Por su Capacidad</w:t>
            </w:r>
          </w:p>
          <w:p>
            <w:pPr>
              <w:pStyle w:val="TableParagraph"/>
              <w:spacing w:line="158" w:lineRule="exact" w:before="32"/>
              <w:ind w:left="108"/>
              <w:rPr>
                <w:sz w:val="16"/>
              </w:rPr>
            </w:pPr>
            <w:r>
              <w:rPr>
                <w:sz w:val="16"/>
              </w:rPr>
              <w:t>de recuperación</w:t>
            </w:r>
          </w:p>
          <w:p>
            <w:pPr>
              <w:pStyle w:val="TableParagraph"/>
              <w:tabs>
                <w:tab w:pos="3331" w:val="left" w:leader="none"/>
              </w:tabs>
              <w:spacing w:line="204" w:lineRule="exact"/>
              <w:ind w:left="35"/>
              <w:rPr>
                <w:sz w:val="20"/>
              </w:rPr>
            </w:pPr>
            <w:r>
              <w:rPr>
                <w:w w:val="100"/>
                <w:sz w:val="20"/>
                <w:u w:val="dotted" w:color="929292"/>
              </w:rPr>
              <w:t> </w:t>
            </w:r>
            <w:r>
              <w:rPr>
                <w:sz w:val="20"/>
                <w:u w:val="dotted" w:color="929292"/>
              </w:rPr>
              <w:tab/>
            </w:r>
          </w:p>
        </w:tc>
        <w:tc>
          <w:tcPr>
            <w:tcW w:w="3047" w:type="dxa"/>
            <w:tcBorders>
              <w:bottom w:val="single" w:sz="4" w:space="0" w:color="FFFFFF"/>
              <w:right w:val="nil"/>
            </w:tcBorders>
          </w:tcPr>
          <w:p>
            <w:pPr>
              <w:pStyle w:val="TableParagraph"/>
              <w:spacing w:line="148" w:lineRule="exact"/>
              <w:ind w:left="102"/>
              <w:rPr>
                <w:sz w:val="16"/>
              </w:rPr>
            </w:pPr>
            <w:r>
              <w:rPr>
                <w:sz w:val="16"/>
              </w:rPr>
              <w:t>Irrecuperable; Irreversible;</w:t>
            </w:r>
          </w:p>
          <w:p>
            <w:pPr>
              <w:pStyle w:val="TableParagraph"/>
              <w:spacing w:before="32"/>
              <w:ind w:left="102"/>
              <w:rPr>
                <w:sz w:val="16"/>
              </w:rPr>
            </w:pPr>
            <w:r>
              <w:rPr>
                <w:sz w:val="16"/>
              </w:rPr>
              <w:t>Reversible; Mitigable;</w:t>
            </w:r>
          </w:p>
          <w:p>
            <w:pPr>
              <w:pStyle w:val="TableParagraph"/>
              <w:tabs>
                <w:tab w:pos="3022" w:val="left" w:leader="none"/>
              </w:tabs>
              <w:spacing w:before="32"/>
              <w:ind w:left="25"/>
              <w:rPr>
                <w:sz w:val="16"/>
              </w:rPr>
            </w:pPr>
            <w:r>
              <w:rPr>
                <w:w w:val="100"/>
                <w:sz w:val="16"/>
                <w:u w:val="dotted" w:color="929292"/>
              </w:rPr>
              <w:t> </w:t>
            </w:r>
            <w:r>
              <w:rPr>
                <w:spacing w:val="-12"/>
                <w:sz w:val="16"/>
                <w:u w:val="dotted" w:color="929292"/>
              </w:rPr>
              <w:t> </w:t>
            </w:r>
            <w:r>
              <w:rPr>
                <w:sz w:val="16"/>
                <w:u w:val="dotted" w:color="929292"/>
              </w:rPr>
              <w:t>Recuperable;</w:t>
            </w:r>
            <w:r>
              <w:rPr>
                <w:spacing w:val="-10"/>
                <w:sz w:val="16"/>
                <w:u w:val="dotted" w:color="929292"/>
              </w:rPr>
              <w:t> </w:t>
            </w:r>
            <w:r>
              <w:rPr>
                <w:sz w:val="16"/>
                <w:u w:val="dotted" w:color="929292"/>
              </w:rPr>
              <w:t>Fugaz</w:t>
              <w:tab/>
            </w:r>
          </w:p>
        </w:tc>
      </w:tr>
      <w:tr>
        <w:trPr>
          <w:trHeight w:val="440" w:hRule="exact"/>
        </w:trPr>
        <w:tc>
          <w:tcPr>
            <w:tcW w:w="3346" w:type="dxa"/>
            <w:tcBorders>
              <w:top w:val="single" w:sz="4" w:space="0" w:color="FFFFFF"/>
              <w:left w:val="nil"/>
              <w:bottom w:val="single" w:sz="4" w:space="0" w:color="FFFFFF"/>
            </w:tcBorders>
          </w:tcPr>
          <w:p>
            <w:pPr>
              <w:pStyle w:val="TableParagraph"/>
              <w:spacing w:line="147" w:lineRule="exact"/>
              <w:ind w:left="108"/>
              <w:rPr>
                <w:sz w:val="16"/>
              </w:rPr>
            </w:pPr>
            <w:r>
              <w:rPr>
                <w:sz w:val="16"/>
              </w:rPr>
              <w:t>Por la relación Causa – Efecto</w:t>
            </w:r>
          </w:p>
          <w:p>
            <w:pPr>
              <w:pStyle w:val="TableParagraph"/>
              <w:tabs>
                <w:tab w:pos="3331" w:val="left" w:leader="none"/>
              </w:tabs>
              <w:spacing w:before="87"/>
              <w:ind w:left="35"/>
              <w:rPr>
                <w:sz w:val="20"/>
              </w:rPr>
            </w:pPr>
            <w:r>
              <w:rPr>
                <w:w w:val="100"/>
                <w:sz w:val="20"/>
                <w:u w:val="dotted" w:color="929292"/>
              </w:rPr>
              <w:t> </w:t>
            </w:r>
            <w:r>
              <w:rPr>
                <w:sz w:val="20"/>
                <w:u w:val="dotted" w:color="929292"/>
              </w:rPr>
              <w:tab/>
            </w:r>
          </w:p>
        </w:tc>
        <w:tc>
          <w:tcPr>
            <w:tcW w:w="3047" w:type="dxa"/>
            <w:tcBorders>
              <w:top w:val="single" w:sz="4" w:space="0" w:color="FFFFFF"/>
              <w:right w:val="nil"/>
            </w:tcBorders>
          </w:tcPr>
          <w:p>
            <w:pPr>
              <w:pStyle w:val="TableParagraph"/>
              <w:spacing w:line="147" w:lineRule="exact"/>
              <w:ind w:left="102"/>
              <w:rPr>
                <w:sz w:val="16"/>
              </w:rPr>
            </w:pPr>
            <w:r>
              <w:rPr>
                <w:sz w:val="16"/>
              </w:rPr>
              <w:t>Directo;</w:t>
            </w:r>
          </w:p>
          <w:p>
            <w:pPr>
              <w:pStyle w:val="TableParagraph"/>
              <w:spacing w:before="32"/>
              <w:ind w:left="102"/>
              <w:rPr>
                <w:sz w:val="16"/>
              </w:rPr>
            </w:pPr>
            <w:r>
              <w:rPr>
                <w:sz w:val="16"/>
              </w:rPr>
              <w:t>Indirecto o secundario</w:t>
            </w:r>
          </w:p>
        </w:tc>
      </w:tr>
      <w:tr>
        <w:trPr>
          <w:trHeight w:val="558" w:hRule="exact"/>
        </w:trPr>
        <w:tc>
          <w:tcPr>
            <w:tcW w:w="3346" w:type="dxa"/>
            <w:tcBorders>
              <w:top w:val="single" w:sz="4" w:space="0" w:color="FFFFFF"/>
              <w:left w:val="nil"/>
              <w:bottom w:val="single" w:sz="4" w:space="0" w:color="FFFFFF"/>
            </w:tcBorders>
          </w:tcPr>
          <w:p>
            <w:pPr>
              <w:pStyle w:val="TableParagraph"/>
              <w:spacing w:line="147" w:lineRule="exact"/>
              <w:ind w:left="108"/>
              <w:rPr>
                <w:sz w:val="16"/>
              </w:rPr>
            </w:pPr>
            <w:r>
              <w:rPr>
                <w:sz w:val="16"/>
              </w:rPr>
              <w:t>Por la Interacción</w:t>
            </w:r>
          </w:p>
          <w:p>
            <w:pPr>
              <w:pStyle w:val="TableParagraph"/>
              <w:spacing w:before="32"/>
              <w:ind w:left="108"/>
              <w:rPr>
                <w:sz w:val="16"/>
              </w:rPr>
            </w:pPr>
            <w:r>
              <w:rPr>
                <w:w w:val="105"/>
                <w:sz w:val="16"/>
              </w:rPr>
              <w:t>de acciones y/o efectos</w:t>
            </w:r>
          </w:p>
          <w:p>
            <w:pPr>
              <w:pStyle w:val="TableParagraph"/>
              <w:tabs>
                <w:tab w:pos="3331" w:val="left" w:leader="none"/>
              </w:tabs>
              <w:spacing w:before="32"/>
              <w:ind w:left="35"/>
              <w:rPr>
                <w:sz w:val="16"/>
              </w:rPr>
            </w:pPr>
            <w:r>
              <w:rPr>
                <w:w w:val="100"/>
                <w:sz w:val="16"/>
                <w:u w:val="dotted" w:color="929292"/>
              </w:rPr>
              <w:t> </w:t>
            </w:r>
            <w:r>
              <w:rPr>
                <w:sz w:val="16"/>
                <w:u w:val="dotted" w:color="929292"/>
              </w:rPr>
              <w:tab/>
            </w:r>
          </w:p>
        </w:tc>
        <w:tc>
          <w:tcPr>
            <w:tcW w:w="3047" w:type="dxa"/>
            <w:tcBorders>
              <w:bottom w:val="single" w:sz="4" w:space="0" w:color="FFFFFF"/>
              <w:right w:val="nil"/>
            </w:tcBorders>
          </w:tcPr>
          <w:p>
            <w:pPr>
              <w:pStyle w:val="TableParagraph"/>
              <w:spacing w:line="147" w:lineRule="exact"/>
              <w:ind w:left="102"/>
              <w:rPr>
                <w:sz w:val="16"/>
              </w:rPr>
            </w:pPr>
            <w:r>
              <w:rPr>
                <w:sz w:val="16"/>
              </w:rPr>
              <w:t>Simple;</w:t>
            </w:r>
          </w:p>
          <w:p>
            <w:pPr>
              <w:pStyle w:val="TableParagraph"/>
              <w:spacing w:before="32"/>
              <w:ind w:left="102"/>
              <w:rPr>
                <w:sz w:val="16"/>
              </w:rPr>
            </w:pPr>
            <w:r>
              <w:rPr>
                <w:sz w:val="16"/>
              </w:rPr>
              <w:t>Acumulativo;</w:t>
            </w:r>
          </w:p>
          <w:p>
            <w:pPr>
              <w:pStyle w:val="TableParagraph"/>
              <w:tabs>
                <w:tab w:pos="3022" w:val="left" w:leader="none"/>
              </w:tabs>
              <w:spacing w:before="32"/>
              <w:ind w:left="25"/>
              <w:rPr>
                <w:sz w:val="16"/>
              </w:rPr>
            </w:pPr>
            <w:r>
              <w:rPr>
                <w:w w:val="100"/>
                <w:sz w:val="16"/>
                <w:u w:val="dotted" w:color="929292"/>
              </w:rPr>
              <w:t> </w:t>
            </w:r>
            <w:r>
              <w:rPr>
                <w:spacing w:val="-12"/>
                <w:sz w:val="16"/>
                <w:u w:val="dotted" w:color="929292"/>
              </w:rPr>
              <w:t> </w:t>
            </w:r>
            <w:r>
              <w:rPr>
                <w:sz w:val="16"/>
                <w:u w:val="dotted" w:color="929292"/>
              </w:rPr>
              <w:t>Sinérgico</w:t>
              <w:tab/>
            </w:r>
          </w:p>
        </w:tc>
      </w:tr>
      <w:tr>
        <w:trPr>
          <w:trHeight w:val="774" w:hRule="exact"/>
        </w:trPr>
        <w:tc>
          <w:tcPr>
            <w:tcW w:w="3346" w:type="dxa"/>
            <w:tcBorders>
              <w:top w:val="single" w:sz="4" w:space="0" w:color="FFFFFF"/>
              <w:left w:val="nil"/>
            </w:tcBorders>
          </w:tcPr>
          <w:p>
            <w:pPr>
              <w:pStyle w:val="TableParagraph"/>
              <w:spacing w:line="147" w:lineRule="exact"/>
              <w:ind w:left="108"/>
              <w:rPr>
                <w:sz w:val="16"/>
              </w:rPr>
            </w:pPr>
            <w:r>
              <w:rPr>
                <w:sz w:val="16"/>
              </w:rPr>
              <w:t>Por su periodicidad</w:t>
            </w:r>
          </w:p>
        </w:tc>
        <w:tc>
          <w:tcPr>
            <w:tcW w:w="3047" w:type="dxa"/>
            <w:tcBorders>
              <w:top w:val="single" w:sz="4" w:space="0" w:color="FFFFFF"/>
              <w:bottom w:val="single" w:sz="4" w:space="0" w:color="FFFFFF"/>
              <w:right w:val="nil"/>
            </w:tcBorders>
          </w:tcPr>
          <w:p>
            <w:pPr>
              <w:pStyle w:val="TableParagraph"/>
              <w:spacing w:line="147" w:lineRule="exact"/>
              <w:ind w:left="102"/>
              <w:rPr>
                <w:sz w:val="16"/>
              </w:rPr>
            </w:pPr>
            <w:r>
              <w:rPr>
                <w:sz w:val="16"/>
              </w:rPr>
              <w:t>Continuo;</w:t>
            </w:r>
          </w:p>
          <w:p>
            <w:pPr>
              <w:pStyle w:val="TableParagraph"/>
              <w:spacing w:line="283" w:lineRule="auto" w:before="32"/>
              <w:ind w:left="102" w:right="2039"/>
              <w:rPr>
                <w:sz w:val="16"/>
              </w:rPr>
            </w:pPr>
            <w:r>
              <w:rPr>
                <w:sz w:val="16"/>
              </w:rPr>
              <w:t>Discontinuo; Periódico;</w:t>
            </w:r>
          </w:p>
          <w:p>
            <w:pPr>
              <w:pStyle w:val="TableParagraph"/>
              <w:tabs>
                <w:tab w:pos="3022" w:val="left" w:leader="none"/>
              </w:tabs>
              <w:ind w:left="25"/>
              <w:rPr>
                <w:sz w:val="16"/>
              </w:rPr>
            </w:pPr>
            <w:r>
              <w:rPr>
                <w:w w:val="100"/>
                <w:sz w:val="16"/>
                <w:u w:val="dotted" w:color="929292"/>
              </w:rPr>
              <w:t> </w:t>
            </w:r>
            <w:r>
              <w:rPr>
                <w:spacing w:val="-12"/>
                <w:sz w:val="16"/>
                <w:u w:val="dotted" w:color="929292"/>
              </w:rPr>
              <w:t> </w:t>
            </w:r>
            <w:r>
              <w:rPr>
                <w:sz w:val="16"/>
                <w:u w:val="dotted" w:color="929292"/>
              </w:rPr>
              <w:t>de Aparición</w:t>
            </w:r>
            <w:r>
              <w:rPr>
                <w:spacing w:val="7"/>
                <w:sz w:val="16"/>
                <w:u w:val="dotted" w:color="929292"/>
              </w:rPr>
              <w:t> </w:t>
            </w:r>
            <w:r>
              <w:rPr>
                <w:sz w:val="16"/>
                <w:u w:val="dotted" w:color="929292"/>
              </w:rPr>
              <w:t>irregular</w:t>
              <w:tab/>
            </w:r>
          </w:p>
        </w:tc>
      </w:tr>
      <w:tr>
        <w:trPr>
          <w:trHeight w:val="558" w:hRule="exact"/>
        </w:trPr>
        <w:tc>
          <w:tcPr>
            <w:tcW w:w="3346" w:type="dxa"/>
            <w:tcBorders>
              <w:left w:val="nil"/>
              <w:bottom w:val="nil"/>
            </w:tcBorders>
          </w:tcPr>
          <w:p>
            <w:pPr>
              <w:pStyle w:val="TableParagraph"/>
              <w:spacing w:line="147" w:lineRule="exact"/>
              <w:ind w:left="108"/>
              <w:rPr>
                <w:sz w:val="16"/>
              </w:rPr>
            </w:pPr>
            <w:r>
              <w:rPr>
                <w:sz w:val="16"/>
              </w:rPr>
              <w:t>Por la Necesidad</w:t>
            </w:r>
          </w:p>
          <w:p>
            <w:pPr>
              <w:pStyle w:val="TableParagraph"/>
              <w:spacing w:before="32"/>
              <w:ind w:left="108"/>
              <w:rPr>
                <w:sz w:val="16"/>
              </w:rPr>
            </w:pPr>
            <w:r>
              <w:rPr>
                <w:sz w:val="16"/>
              </w:rPr>
              <w:t>de aplicación de medidas</w:t>
            </w:r>
          </w:p>
          <w:p>
            <w:pPr>
              <w:pStyle w:val="TableParagraph"/>
              <w:tabs>
                <w:tab w:pos="3331" w:val="left" w:leader="none"/>
              </w:tabs>
              <w:spacing w:before="32"/>
              <w:ind w:left="35"/>
              <w:rPr>
                <w:sz w:val="16"/>
              </w:rPr>
            </w:pPr>
            <w:r>
              <w:rPr>
                <w:w w:val="100"/>
                <w:sz w:val="16"/>
                <w:u w:val="dotted" w:color="929292"/>
              </w:rPr>
              <w:t> </w:t>
            </w:r>
            <w:r>
              <w:rPr>
                <w:spacing w:val="-17"/>
                <w:sz w:val="16"/>
                <w:u w:val="dotted" w:color="929292"/>
              </w:rPr>
              <w:t> </w:t>
            </w:r>
            <w:r>
              <w:rPr>
                <w:sz w:val="16"/>
                <w:u w:val="dotted" w:color="929292"/>
              </w:rPr>
              <w:t>correctoras</w:t>
              <w:tab/>
            </w:r>
          </w:p>
        </w:tc>
        <w:tc>
          <w:tcPr>
            <w:tcW w:w="3047" w:type="dxa"/>
            <w:tcBorders>
              <w:top w:val="single" w:sz="4" w:space="0" w:color="FFFFFF"/>
              <w:bottom w:val="single" w:sz="4" w:space="0" w:color="FFFFFF"/>
              <w:right w:val="nil"/>
            </w:tcBorders>
          </w:tcPr>
          <w:p>
            <w:pPr>
              <w:pStyle w:val="TableParagraph"/>
              <w:spacing w:line="147" w:lineRule="exact"/>
              <w:ind w:left="102"/>
              <w:rPr>
                <w:sz w:val="16"/>
              </w:rPr>
            </w:pPr>
            <w:r>
              <w:rPr>
                <w:sz w:val="16"/>
              </w:rPr>
              <w:t>Crítico;</w:t>
            </w:r>
          </w:p>
          <w:p>
            <w:pPr>
              <w:pStyle w:val="TableParagraph"/>
              <w:spacing w:before="32"/>
              <w:ind w:left="102"/>
              <w:rPr>
                <w:sz w:val="16"/>
              </w:rPr>
            </w:pPr>
            <w:r>
              <w:rPr>
                <w:sz w:val="16"/>
              </w:rPr>
              <w:t>Severo;</w:t>
            </w:r>
          </w:p>
          <w:p>
            <w:pPr>
              <w:pStyle w:val="TableParagraph"/>
              <w:tabs>
                <w:tab w:pos="3022" w:val="left" w:leader="none"/>
              </w:tabs>
              <w:spacing w:before="32"/>
              <w:ind w:left="25"/>
              <w:rPr>
                <w:sz w:val="16"/>
              </w:rPr>
            </w:pPr>
            <w:r>
              <w:rPr>
                <w:w w:val="100"/>
                <w:sz w:val="16"/>
                <w:u w:val="dotted" w:color="929292"/>
              </w:rPr>
              <w:t> </w:t>
            </w:r>
            <w:r>
              <w:rPr>
                <w:spacing w:val="-12"/>
                <w:sz w:val="16"/>
                <w:u w:val="dotted" w:color="929292"/>
              </w:rPr>
              <w:t> </w:t>
            </w:r>
            <w:r>
              <w:rPr>
                <w:sz w:val="16"/>
                <w:u w:val="dotted" w:color="929292"/>
              </w:rPr>
              <w:t>Moderado</w:t>
              <w:tab/>
            </w:r>
          </w:p>
        </w:tc>
      </w:tr>
    </w:tbl>
    <w:p>
      <w:pPr>
        <w:spacing w:before="101"/>
        <w:ind w:left="1737" w:right="1738" w:firstLine="0"/>
        <w:jc w:val="center"/>
        <w:rPr>
          <w:sz w:val="16"/>
        </w:rPr>
      </w:pPr>
      <w:r>
        <w:rPr>
          <w:color w:val="6D6E71"/>
          <w:sz w:val="16"/>
        </w:rPr>
        <w:t>Fuente: Conesa, 1997.</w:t>
      </w:r>
    </w:p>
    <w:p>
      <w:pPr>
        <w:spacing w:after="0"/>
        <w:jc w:val="center"/>
        <w:rPr>
          <w:sz w:val="16"/>
        </w:rPr>
        <w:sectPr>
          <w:type w:val="continuous"/>
          <w:pgSz w:w="18830" w:h="12760" w:orient="landscape"/>
          <w:pgMar w:top="1420" w:bottom="280" w:left="720" w:right="720"/>
          <w:cols w:num="2" w:equalWidth="0">
            <w:col w:w="7842" w:space="1567"/>
            <w:col w:w="7981"/>
          </w:cols>
        </w:sectPr>
      </w:pPr>
    </w:p>
    <w:p>
      <w:pPr>
        <w:pStyle w:val="BodyText"/>
        <w:spacing w:before="8"/>
      </w:pPr>
    </w:p>
    <w:p>
      <w:pPr>
        <w:spacing w:after="0"/>
        <w:sectPr>
          <w:footerReference w:type="default" r:id="rId291"/>
          <w:pgSz w:w="18830" w:h="12760" w:orient="landscape"/>
          <w:pgMar w:footer="1036" w:header="522" w:top="820" w:bottom="1220" w:left="720" w:right="720"/>
        </w:sectPr>
      </w:pPr>
    </w:p>
    <w:p>
      <w:pPr>
        <w:pStyle w:val="Heading1"/>
        <w:spacing w:before="71"/>
        <w:ind w:left="288"/>
      </w:pPr>
      <w:r>
        <w:rPr/>
        <w:t>Evolución de la Evaluación de Impacto Ambiental</w:t>
      </w:r>
    </w:p>
    <w:p>
      <w:pPr>
        <w:pStyle w:val="BodyText"/>
        <w:rPr>
          <w:b/>
          <w:sz w:val="21"/>
        </w:rPr>
      </w:pPr>
    </w:p>
    <w:p>
      <w:pPr>
        <w:pStyle w:val="BodyText"/>
        <w:spacing w:line="249" w:lineRule="auto"/>
        <w:ind w:left="118" w:firstLine="170"/>
        <w:jc w:val="right"/>
      </w:pPr>
      <w:r>
        <w:rPr>
          <w:spacing w:val="3"/>
        </w:rPr>
        <w:t>Desdeel</w:t>
      </w:r>
      <w:r>
        <w:rPr>
          <w:spacing w:val="-21"/>
        </w:rPr>
        <w:t> </w:t>
      </w:r>
      <w:r>
        <w:rPr>
          <w:spacing w:val="4"/>
        </w:rPr>
        <w:t>iniciodela</w:t>
      </w:r>
      <w:r>
        <w:rPr>
          <w:spacing w:val="-21"/>
        </w:rPr>
        <w:t> </w:t>
      </w:r>
      <w:r>
        <w:rPr/>
        <w:t>Revolución</w:t>
      </w:r>
      <w:r>
        <w:rPr>
          <w:spacing w:val="-21"/>
        </w:rPr>
        <w:t> </w:t>
      </w:r>
      <w:r>
        <w:rPr/>
        <w:t>Industrial,</w:t>
      </w:r>
      <w:r>
        <w:rPr>
          <w:spacing w:val="-21"/>
        </w:rPr>
        <w:t> </w:t>
      </w:r>
      <w:r>
        <w:rPr>
          <w:spacing w:val="3"/>
        </w:rPr>
        <w:t>hastala</w:t>
      </w:r>
      <w:r>
        <w:rPr>
          <w:spacing w:val="-21"/>
        </w:rPr>
        <w:t> </w:t>
      </w:r>
      <w:r>
        <w:rPr>
          <w:spacing w:val="4"/>
        </w:rPr>
        <w:t>décadadelosañossesentaysetenta,</w:t>
      </w:r>
      <w:r>
        <w:rPr>
          <w:w w:val="100"/>
        </w:rPr>
        <w:t> </w:t>
      </w:r>
      <w:r>
        <w:rPr/>
        <w:t>los</w:t>
      </w:r>
      <w:r>
        <w:rPr>
          <w:spacing w:val="-9"/>
        </w:rPr>
        <w:t> </w:t>
      </w:r>
      <w:r>
        <w:rPr/>
        <w:t>proyectos</w:t>
      </w:r>
      <w:r>
        <w:rPr>
          <w:spacing w:val="-9"/>
        </w:rPr>
        <w:t> </w:t>
      </w:r>
      <w:r>
        <w:rPr/>
        <w:t>de</w:t>
      </w:r>
      <w:r>
        <w:rPr>
          <w:spacing w:val="-9"/>
        </w:rPr>
        <w:t> </w:t>
      </w:r>
      <w:r>
        <w:rPr/>
        <w:t>cualquier</w:t>
      </w:r>
      <w:r>
        <w:rPr>
          <w:spacing w:val="-9"/>
        </w:rPr>
        <w:t> </w:t>
      </w:r>
      <w:r>
        <w:rPr/>
        <w:t>tipo</w:t>
      </w:r>
      <w:r>
        <w:rPr>
          <w:spacing w:val="-9"/>
        </w:rPr>
        <w:t> </w:t>
      </w:r>
      <w:r>
        <w:rPr/>
        <w:t>de</w:t>
      </w:r>
      <w:r>
        <w:rPr>
          <w:spacing w:val="-9"/>
        </w:rPr>
        <w:t> </w:t>
      </w:r>
      <w:r>
        <w:rPr/>
        <w:t>desarrollo</w:t>
      </w:r>
      <w:r>
        <w:rPr>
          <w:spacing w:val="-9"/>
        </w:rPr>
        <w:t> </w:t>
      </w:r>
      <w:r>
        <w:rPr/>
        <w:t>eran</w:t>
      </w:r>
      <w:r>
        <w:rPr>
          <w:spacing w:val="-9"/>
        </w:rPr>
        <w:t> </w:t>
      </w:r>
      <w:r>
        <w:rPr/>
        <w:t>juzgados</w:t>
      </w:r>
      <w:r>
        <w:rPr>
          <w:spacing w:val="-9"/>
        </w:rPr>
        <w:t> </w:t>
      </w:r>
      <w:r>
        <w:rPr/>
        <w:t>fundamentalmente</w:t>
      </w:r>
      <w:r>
        <w:rPr>
          <w:spacing w:val="-9"/>
        </w:rPr>
        <w:t> </w:t>
      </w:r>
      <w:r>
        <w:rPr/>
        <w:t>con</w:t>
      </w:r>
      <w:r>
        <w:rPr>
          <w:spacing w:val="-9"/>
        </w:rPr>
        <w:t> </w:t>
      </w:r>
      <w:r>
        <w:rPr/>
        <w:t>base</w:t>
      </w:r>
      <w:r>
        <w:rPr>
          <w:w w:val="99"/>
        </w:rPr>
        <w:t> </w:t>
      </w:r>
      <w:r>
        <w:rPr/>
        <w:t>a su viabilidad técnica y económica, en tanto que los impactos ambientales</w:t>
      </w:r>
      <w:r>
        <w:rPr>
          <w:spacing w:val="42"/>
        </w:rPr>
        <w:t> </w:t>
      </w:r>
      <w:r>
        <w:rPr/>
        <w:t>y</w:t>
      </w:r>
      <w:r>
        <w:rPr>
          <w:spacing w:val="8"/>
        </w:rPr>
        <w:t> </w:t>
      </w:r>
      <w:r>
        <w:rPr/>
        <w:t>sociales</w:t>
      </w:r>
      <w:r>
        <w:rPr>
          <w:w w:val="100"/>
        </w:rPr>
        <w:t> </w:t>
      </w:r>
      <w:r>
        <w:rPr/>
        <w:t>raramente</w:t>
      </w:r>
      <w:r>
        <w:rPr>
          <w:spacing w:val="29"/>
        </w:rPr>
        <w:t> </w:t>
      </w:r>
      <w:r>
        <w:rPr/>
        <w:t>eran</w:t>
      </w:r>
      <w:r>
        <w:rPr>
          <w:spacing w:val="29"/>
        </w:rPr>
        <w:t> </w:t>
      </w:r>
      <w:r>
        <w:rPr/>
        <w:t>examinados</w:t>
      </w:r>
      <w:r>
        <w:rPr>
          <w:spacing w:val="29"/>
        </w:rPr>
        <w:t> </w:t>
      </w:r>
      <w:r>
        <w:rPr/>
        <w:t>en</w:t>
      </w:r>
      <w:r>
        <w:rPr>
          <w:spacing w:val="29"/>
        </w:rPr>
        <w:t> </w:t>
      </w:r>
      <w:r>
        <w:rPr/>
        <w:t>forma</w:t>
      </w:r>
      <w:r>
        <w:rPr>
          <w:spacing w:val="29"/>
        </w:rPr>
        <w:t> </w:t>
      </w:r>
      <w:r>
        <w:rPr/>
        <w:t>explícita</w:t>
      </w:r>
      <w:r>
        <w:rPr>
          <w:spacing w:val="29"/>
        </w:rPr>
        <w:t> </w:t>
      </w:r>
      <w:r>
        <w:rPr/>
        <w:t>o</w:t>
      </w:r>
      <w:r>
        <w:rPr>
          <w:spacing w:val="29"/>
        </w:rPr>
        <w:t> </w:t>
      </w:r>
      <w:r>
        <w:rPr/>
        <w:t>rigurosa.</w:t>
      </w:r>
      <w:r>
        <w:rPr>
          <w:spacing w:val="29"/>
        </w:rPr>
        <w:t> </w:t>
      </w:r>
      <w:r>
        <w:rPr/>
        <w:t>Cuando</w:t>
      </w:r>
      <w:r>
        <w:rPr>
          <w:spacing w:val="29"/>
        </w:rPr>
        <w:t> </w:t>
      </w:r>
      <w:r>
        <w:rPr/>
        <w:t>se</w:t>
      </w:r>
      <w:r>
        <w:rPr>
          <w:spacing w:val="29"/>
        </w:rPr>
        <w:t> </w:t>
      </w:r>
      <w:r>
        <w:rPr/>
        <w:t>consideraban</w:t>
      </w:r>
      <w:r>
        <w:rPr>
          <w:w w:val="101"/>
        </w:rPr>
        <w:t> </w:t>
      </w:r>
      <w:r>
        <w:rPr/>
        <w:t>los</w:t>
      </w:r>
      <w:r>
        <w:rPr>
          <w:spacing w:val="23"/>
        </w:rPr>
        <w:t> </w:t>
      </w:r>
      <w:r>
        <w:rPr/>
        <w:t>impactos</w:t>
      </w:r>
      <w:r>
        <w:rPr>
          <w:spacing w:val="23"/>
        </w:rPr>
        <w:t> </w:t>
      </w:r>
      <w:r>
        <w:rPr/>
        <w:t>sociales</w:t>
      </w:r>
      <w:r>
        <w:rPr>
          <w:spacing w:val="23"/>
        </w:rPr>
        <w:t> </w:t>
      </w:r>
      <w:r>
        <w:rPr/>
        <w:t>y</w:t>
      </w:r>
      <w:r>
        <w:rPr>
          <w:spacing w:val="23"/>
        </w:rPr>
        <w:t> </w:t>
      </w:r>
      <w:r>
        <w:rPr/>
        <w:t>ambientales,</w:t>
      </w:r>
      <w:r>
        <w:rPr>
          <w:spacing w:val="23"/>
        </w:rPr>
        <w:t> </w:t>
      </w:r>
      <w:r>
        <w:rPr/>
        <w:t>las</w:t>
      </w:r>
      <w:r>
        <w:rPr>
          <w:spacing w:val="23"/>
        </w:rPr>
        <w:t> </w:t>
      </w:r>
      <w:r>
        <w:rPr/>
        <w:t>evaluaciones</w:t>
      </w:r>
      <w:r>
        <w:rPr>
          <w:spacing w:val="23"/>
        </w:rPr>
        <w:t> </w:t>
      </w:r>
      <w:r>
        <w:rPr/>
        <w:t>tomaban</w:t>
      </w:r>
      <w:r>
        <w:rPr>
          <w:spacing w:val="23"/>
        </w:rPr>
        <w:t> </w:t>
      </w:r>
      <w:r>
        <w:rPr/>
        <w:t>usualmente</w:t>
      </w:r>
      <w:r>
        <w:rPr>
          <w:spacing w:val="23"/>
        </w:rPr>
        <w:t> </w:t>
      </w:r>
      <w:r>
        <w:rPr/>
        <w:t>la</w:t>
      </w:r>
      <w:r>
        <w:rPr>
          <w:spacing w:val="23"/>
        </w:rPr>
        <w:t> </w:t>
      </w:r>
      <w:r>
        <w:rPr/>
        <w:t>forma</w:t>
      </w:r>
      <w:r>
        <w:rPr>
          <w:w w:val="101"/>
        </w:rPr>
        <w:t> </w:t>
      </w:r>
      <w:r>
        <w:rPr/>
        <w:t>de</w:t>
      </w:r>
      <w:r>
        <w:rPr>
          <w:spacing w:val="20"/>
        </w:rPr>
        <w:t> </w:t>
      </w:r>
      <w:r>
        <w:rPr/>
        <w:t>análisis</w:t>
      </w:r>
      <w:r>
        <w:rPr>
          <w:spacing w:val="20"/>
        </w:rPr>
        <w:t> </w:t>
      </w:r>
      <w:r>
        <w:rPr/>
        <w:t>de</w:t>
      </w:r>
      <w:r>
        <w:rPr>
          <w:spacing w:val="20"/>
        </w:rPr>
        <w:t> </w:t>
      </w:r>
      <w:r>
        <w:rPr/>
        <w:t>costo-beneficio,</w:t>
      </w:r>
      <w:r>
        <w:rPr>
          <w:spacing w:val="20"/>
        </w:rPr>
        <w:t> </w:t>
      </w:r>
      <w:r>
        <w:rPr/>
        <w:t>intentando</w:t>
      </w:r>
      <w:r>
        <w:rPr>
          <w:spacing w:val="20"/>
        </w:rPr>
        <w:t> </w:t>
      </w:r>
      <w:r>
        <w:rPr/>
        <w:t>expresar</w:t>
      </w:r>
      <w:r>
        <w:rPr>
          <w:spacing w:val="20"/>
        </w:rPr>
        <w:t> </w:t>
      </w:r>
      <w:r>
        <w:rPr/>
        <w:t>de</w:t>
      </w:r>
      <w:r>
        <w:rPr>
          <w:spacing w:val="20"/>
        </w:rPr>
        <w:t> </w:t>
      </w:r>
      <w:r>
        <w:rPr/>
        <w:t>este</w:t>
      </w:r>
      <w:r>
        <w:rPr>
          <w:spacing w:val="20"/>
        </w:rPr>
        <w:t> </w:t>
      </w:r>
      <w:r>
        <w:rPr/>
        <w:t>modo</w:t>
      </w:r>
      <w:r>
        <w:rPr>
          <w:spacing w:val="20"/>
        </w:rPr>
        <w:t> </w:t>
      </w:r>
      <w:r>
        <w:rPr/>
        <w:t>todos</w:t>
      </w:r>
      <w:r>
        <w:rPr>
          <w:spacing w:val="20"/>
        </w:rPr>
        <w:t> </w:t>
      </w:r>
      <w:r>
        <w:rPr/>
        <w:t>los</w:t>
      </w:r>
      <w:r>
        <w:rPr>
          <w:spacing w:val="20"/>
        </w:rPr>
        <w:t> </w:t>
      </w:r>
      <w:r>
        <w:rPr/>
        <w:t>impactos</w:t>
      </w:r>
      <w:r>
        <w:rPr>
          <w:w w:val="103"/>
        </w:rPr>
        <w:t> </w:t>
      </w:r>
      <w:r>
        <w:rPr/>
        <w:t>con</w:t>
      </w:r>
      <w:r>
        <w:rPr>
          <w:spacing w:val="26"/>
        </w:rPr>
        <w:t> </w:t>
      </w:r>
      <w:r>
        <w:rPr/>
        <w:t>base</w:t>
      </w:r>
      <w:r>
        <w:rPr>
          <w:spacing w:val="26"/>
        </w:rPr>
        <w:t> </w:t>
      </w:r>
      <w:r>
        <w:rPr/>
        <w:t>en</w:t>
      </w:r>
      <w:r>
        <w:rPr>
          <w:spacing w:val="26"/>
        </w:rPr>
        <w:t> </w:t>
      </w:r>
      <w:r>
        <w:rPr/>
        <w:t>costos</w:t>
      </w:r>
      <w:r>
        <w:rPr>
          <w:spacing w:val="26"/>
        </w:rPr>
        <w:t> </w:t>
      </w:r>
      <w:r>
        <w:rPr/>
        <w:t>de</w:t>
      </w:r>
      <w:r>
        <w:rPr>
          <w:spacing w:val="26"/>
        </w:rPr>
        <w:t> </w:t>
      </w:r>
      <w:r>
        <w:rPr/>
        <w:t>los</w:t>
      </w:r>
      <w:r>
        <w:rPr>
          <w:spacing w:val="26"/>
        </w:rPr>
        <w:t> </w:t>
      </w:r>
      <w:r>
        <w:rPr/>
        <w:t>recursos</w:t>
      </w:r>
      <w:r>
        <w:rPr>
          <w:spacing w:val="26"/>
        </w:rPr>
        <w:t> </w:t>
      </w:r>
      <w:r>
        <w:rPr/>
        <w:t>valorados</w:t>
      </w:r>
      <w:r>
        <w:rPr>
          <w:spacing w:val="26"/>
        </w:rPr>
        <w:t> </w:t>
      </w:r>
      <w:r>
        <w:rPr/>
        <w:t>en</w:t>
      </w:r>
      <w:r>
        <w:rPr>
          <w:spacing w:val="26"/>
        </w:rPr>
        <w:t> </w:t>
      </w:r>
      <w:r>
        <w:rPr/>
        <w:t>términos</w:t>
      </w:r>
      <w:r>
        <w:rPr>
          <w:spacing w:val="26"/>
        </w:rPr>
        <w:t> </w:t>
      </w:r>
      <w:r>
        <w:rPr/>
        <w:t>de</w:t>
      </w:r>
      <w:r>
        <w:rPr>
          <w:spacing w:val="26"/>
        </w:rPr>
        <w:t> </w:t>
      </w:r>
      <w:r>
        <w:rPr/>
        <w:t>mercadeo,</w:t>
      </w:r>
      <w:r>
        <w:rPr>
          <w:spacing w:val="26"/>
        </w:rPr>
        <w:t> </w:t>
      </w:r>
      <w:r>
        <w:rPr/>
        <w:t>cuando</w:t>
      </w:r>
      <w:r>
        <w:rPr>
          <w:spacing w:val="26"/>
        </w:rPr>
        <w:t> </w:t>
      </w:r>
      <w:r>
        <w:rPr/>
        <w:t>la</w:t>
      </w:r>
      <w:r>
        <w:rPr>
          <w:w w:val="97"/>
        </w:rPr>
        <w:t> </w:t>
      </w:r>
      <w:r>
        <w:rPr/>
        <w:t>realidad</w:t>
      </w:r>
      <w:r>
        <w:rPr>
          <w:spacing w:val="30"/>
        </w:rPr>
        <w:t> </w:t>
      </w:r>
      <w:r>
        <w:rPr/>
        <w:t>es</w:t>
      </w:r>
      <w:r>
        <w:rPr>
          <w:spacing w:val="30"/>
        </w:rPr>
        <w:t> </w:t>
      </w:r>
      <w:r>
        <w:rPr/>
        <w:t>que</w:t>
      </w:r>
      <w:r>
        <w:rPr>
          <w:spacing w:val="30"/>
        </w:rPr>
        <w:t> </w:t>
      </w:r>
      <w:r>
        <w:rPr/>
        <w:t>la</w:t>
      </w:r>
      <w:r>
        <w:rPr>
          <w:spacing w:val="30"/>
        </w:rPr>
        <w:t> </w:t>
      </w:r>
      <w:r>
        <w:rPr/>
        <w:t>mayoría</w:t>
      </w:r>
      <w:r>
        <w:rPr>
          <w:spacing w:val="30"/>
        </w:rPr>
        <w:t> </w:t>
      </w:r>
      <w:r>
        <w:rPr/>
        <w:t>de</w:t>
      </w:r>
      <w:r>
        <w:rPr>
          <w:spacing w:val="30"/>
        </w:rPr>
        <w:t> </w:t>
      </w:r>
      <w:r>
        <w:rPr/>
        <w:t>los</w:t>
      </w:r>
      <w:r>
        <w:rPr>
          <w:spacing w:val="30"/>
        </w:rPr>
        <w:t> </w:t>
      </w:r>
      <w:r>
        <w:rPr/>
        <w:t>impactos</w:t>
      </w:r>
      <w:r>
        <w:rPr>
          <w:spacing w:val="30"/>
        </w:rPr>
        <w:t> </w:t>
      </w:r>
      <w:r>
        <w:rPr/>
        <w:t>ambientales,</w:t>
      </w:r>
      <w:r>
        <w:rPr>
          <w:spacing w:val="30"/>
        </w:rPr>
        <w:t> </w:t>
      </w:r>
      <w:r>
        <w:rPr/>
        <w:t>sociales</w:t>
      </w:r>
      <w:r>
        <w:rPr>
          <w:spacing w:val="30"/>
        </w:rPr>
        <w:t> </w:t>
      </w:r>
      <w:r>
        <w:rPr/>
        <w:t>y</w:t>
      </w:r>
      <w:r>
        <w:rPr>
          <w:spacing w:val="30"/>
        </w:rPr>
        <w:t> </w:t>
      </w:r>
      <w:r>
        <w:rPr/>
        <w:t>de</w:t>
      </w:r>
      <w:r>
        <w:rPr>
          <w:spacing w:val="30"/>
        </w:rPr>
        <w:t> </w:t>
      </w:r>
      <w:r>
        <w:rPr/>
        <w:t>salud</w:t>
      </w:r>
      <w:r>
        <w:rPr>
          <w:spacing w:val="30"/>
        </w:rPr>
        <w:t> </w:t>
      </w:r>
      <w:r>
        <w:rPr/>
        <w:t>no</w:t>
      </w:r>
      <w:r>
        <w:rPr>
          <w:spacing w:val="30"/>
        </w:rPr>
        <w:t> </w:t>
      </w:r>
      <w:r>
        <w:rPr/>
        <w:t>se</w:t>
      </w:r>
      <w:r>
        <w:rPr>
          <w:w w:val="98"/>
        </w:rPr>
        <w:t> </w:t>
      </w:r>
      <w:r>
        <w:rPr/>
        <w:t>prestan fácilmente al análisis económico, dado que numerosos factores</w:t>
      </w:r>
      <w:r>
        <w:rPr>
          <w:spacing w:val="25"/>
        </w:rPr>
        <w:t> </w:t>
      </w:r>
      <w:r>
        <w:rPr/>
        <w:t>del</w:t>
      </w:r>
      <w:r>
        <w:rPr>
          <w:spacing w:val="15"/>
        </w:rPr>
        <w:t> </w:t>
      </w:r>
      <w:r>
        <w:rPr/>
        <w:t>ambiente</w:t>
      </w:r>
      <w:r>
        <w:rPr>
          <w:w w:val="100"/>
        </w:rPr>
        <w:t> </w:t>
      </w:r>
      <w:r>
        <w:rPr/>
        <w:t>natural</w:t>
      </w:r>
      <w:r>
        <w:rPr>
          <w:spacing w:val="-8"/>
        </w:rPr>
        <w:t> </w:t>
      </w:r>
      <w:r>
        <w:rPr/>
        <w:t>son</w:t>
      </w:r>
      <w:r>
        <w:rPr>
          <w:spacing w:val="-8"/>
        </w:rPr>
        <w:t> </w:t>
      </w:r>
      <w:r>
        <w:rPr/>
        <w:t>intangibles</w:t>
      </w:r>
      <w:r>
        <w:rPr>
          <w:spacing w:val="-8"/>
        </w:rPr>
        <w:t> </w:t>
      </w:r>
      <w:r>
        <w:rPr/>
        <w:t>y</w:t>
      </w:r>
      <w:r>
        <w:rPr>
          <w:spacing w:val="-8"/>
        </w:rPr>
        <w:t> </w:t>
      </w:r>
      <w:r>
        <w:rPr/>
        <w:t>comunes,</w:t>
      </w:r>
      <w:r>
        <w:rPr>
          <w:spacing w:val="-8"/>
        </w:rPr>
        <w:t> </w:t>
      </w:r>
      <w:r>
        <w:rPr/>
        <w:t>por</w:t>
      </w:r>
      <w:r>
        <w:rPr>
          <w:spacing w:val="-8"/>
        </w:rPr>
        <w:t> </w:t>
      </w:r>
      <w:r>
        <w:rPr/>
        <w:t>ejemplo</w:t>
      </w:r>
      <w:r>
        <w:rPr>
          <w:spacing w:val="-8"/>
        </w:rPr>
        <w:t> </w:t>
      </w:r>
      <w:r>
        <w:rPr/>
        <w:t>la</w:t>
      </w:r>
      <w:r>
        <w:rPr>
          <w:spacing w:val="-8"/>
        </w:rPr>
        <w:t> </w:t>
      </w:r>
      <w:r>
        <w:rPr/>
        <w:t>calidad</w:t>
      </w:r>
      <w:r>
        <w:rPr>
          <w:spacing w:val="-8"/>
        </w:rPr>
        <w:t> </w:t>
      </w:r>
      <w:r>
        <w:rPr/>
        <w:t>del</w:t>
      </w:r>
      <w:r>
        <w:rPr>
          <w:spacing w:val="-8"/>
        </w:rPr>
        <w:t> </w:t>
      </w:r>
      <w:r>
        <w:rPr/>
        <w:t>aire</w:t>
      </w:r>
      <w:r>
        <w:rPr>
          <w:spacing w:val="-8"/>
        </w:rPr>
        <w:t> </w:t>
      </w:r>
      <w:r>
        <w:rPr/>
        <w:t>(Glasson</w:t>
      </w:r>
      <w:r>
        <w:rPr>
          <w:spacing w:val="-8"/>
        </w:rPr>
        <w:t> </w:t>
      </w:r>
      <w:r>
        <w:rPr/>
        <w:t>et</w:t>
      </w:r>
      <w:r>
        <w:rPr>
          <w:spacing w:val="-8"/>
        </w:rPr>
        <w:t> </w:t>
      </w:r>
      <w:r>
        <w:rPr/>
        <w:t>al.,</w:t>
      </w:r>
      <w:r>
        <w:rPr>
          <w:spacing w:val="-8"/>
        </w:rPr>
        <w:t> </w:t>
      </w:r>
      <w:r>
        <w:rPr/>
        <w:t>1999).</w:t>
      </w:r>
    </w:p>
    <w:p>
      <w:pPr>
        <w:pStyle w:val="BodyText"/>
        <w:spacing w:before="11"/>
      </w:pPr>
    </w:p>
    <w:p>
      <w:pPr>
        <w:pStyle w:val="BodyText"/>
        <w:spacing w:line="249" w:lineRule="auto"/>
        <w:ind w:left="118" w:firstLine="170"/>
        <w:jc w:val="both"/>
      </w:pPr>
      <w:r>
        <w:rPr/>
        <w:t>Para Zimmermann (1983) la Evaluación de Impacto Ambiental (EIA) es una ayuda para la toma de decisiones, cuya finalidad no es impedir el desarrollo económico, sino servir como el principal medio de preservar conjuntos naturales no perturbados. Está destinada a alertar al que tiene que adoptar decisiones, a los organismos reguladores y al público, sobre las consecuencias ambientales de los proyectos. Esto con el fin de poder modificarlos si es necesario, a fin de evitar el deterioro ambiental, los errores de construcción y las pérdidas económicas ocasionadas por efectos negativos derivados. La EIA debe emplearse también para lograr el máximo de beneficios, sobre todo considerando aquellas alternativas que puedan reducir los costes de construcción, de funcionamiento o de protección </w:t>
      </w:r>
      <w:r>
        <w:rPr>
          <w:spacing w:val="13"/>
        </w:rPr>
        <w:t> </w:t>
      </w:r>
      <w:r>
        <w:rPr/>
        <w:t>ambiental.</w:t>
      </w:r>
    </w:p>
    <w:p>
      <w:pPr>
        <w:pStyle w:val="BodyText"/>
        <w:spacing w:before="11"/>
      </w:pPr>
    </w:p>
    <w:p>
      <w:pPr>
        <w:pStyle w:val="BodyText"/>
        <w:spacing w:line="249" w:lineRule="auto"/>
        <w:ind w:left="118" w:firstLine="170"/>
        <w:jc w:val="both"/>
      </w:pPr>
      <w:r>
        <w:rPr/>
        <w:t>Los antecedentes más lejanos se remontan a 1969 con la aprobación, por parte     del Congreso de los Estados Unidos de Norte América, de la Ley  Nacional  de  Política Ambiental (National Environmental Policy Act, NEPA). Siendo el primer país  en establecer la obligación de someter a procedimiento de evaluación de impacto ambiental la construcción de determinadas obras (Peinado y Sobrini, 1997). Esta normativa influyó en las ulteriores disposiciones europeas y sin embargo ambas partes establecían procedimientos con características muy </w:t>
      </w:r>
      <w:r>
        <w:rPr>
          <w:spacing w:val="5"/>
        </w:rPr>
        <w:t> </w:t>
      </w:r>
      <w:r>
        <w:rPr/>
        <w:t>diferentes.</w:t>
      </w:r>
    </w:p>
    <w:p>
      <w:pPr>
        <w:pStyle w:val="BodyText"/>
        <w:spacing w:before="11"/>
      </w:pPr>
    </w:p>
    <w:p>
      <w:pPr>
        <w:pStyle w:val="BodyText"/>
        <w:spacing w:line="249" w:lineRule="auto"/>
        <w:ind w:left="118" w:firstLine="170"/>
        <w:jc w:val="both"/>
      </w:pPr>
      <w:r>
        <w:rPr/>
        <w:t>En el ámbito de la Unión Europea, la legislación sobre EIA (directiva 85/337/CEE, aprobada en 1985) se sitúa a partir de la Conferencia de jefes de Estado comunitarios de Estocolmo de 1972 (Zimmermann, 1983). Luego, en 1973 es desarrollado</w:t>
      </w:r>
      <w:r>
        <w:rPr>
          <w:spacing w:val="46"/>
        </w:rPr>
        <w:t> </w:t>
      </w:r>
      <w:r>
        <w:rPr/>
        <w:t>en</w:t>
      </w:r>
      <w:r>
        <w:rPr>
          <w:spacing w:val="4"/>
        </w:rPr>
        <w:t> </w:t>
      </w:r>
      <w:r>
        <w:rPr/>
        <w:t>Israel</w:t>
      </w:r>
      <w:r>
        <w:rPr>
          <w:w w:val="97"/>
        </w:rPr>
        <w:t> </w:t>
      </w:r>
      <w:r>
        <w:rPr/>
        <w:t>un procedimiento para evaluar los impactos ambientales de las actividades humanas sobre el territorio, basado principalmente en la utilización de mapas de vulnerabilidad de</w:t>
      </w:r>
      <w:r>
        <w:rPr>
          <w:spacing w:val="-14"/>
        </w:rPr>
        <w:t> </w:t>
      </w:r>
      <w:r>
        <w:rPr/>
        <w:t>recursos.</w:t>
      </w:r>
      <w:r>
        <w:rPr>
          <w:spacing w:val="-14"/>
        </w:rPr>
        <w:t> </w:t>
      </w:r>
      <w:r>
        <w:rPr/>
        <w:t>Canadá,</w:t>
      </w:r>
      <w:r>
        <w:rPr>
          <w:spacing w:val="-14"/>
        </w:rPr>
        <w:t> </w:t>
      </w:r>
      <w:r>
        <w:rPr/>
        <w:t>1973;</w:t>
      </w:r>
      <w:r>
        <w:rPr>
          <w:spacing w:val="-14"/>
        </w:rPr>
        <w:t> </w:t>
      </w:r>
      <w:r>
        <w:rPr/>
        <w:t>Australia,</w:t>
      </w:r>
      <w:r>
        <w:rPr>
          <w:spacing w:val="-14"/>
        </w:rPr>
        <w:t> </w:t>
      </w:r>
      <w:r>
        <w:rPr/>
        <w:t>1974;</w:t>
      </w:r>
      <w:r>
        <w:rPr>
          <w:spacing w:val="-14"/>
        </w:rPr>
        <w:t> </w:t>
      </w:r>
      <w:r>
        <w:rPr/>
        <w:t>Nueva</w:t>
      </w:r>
      <w:r>
        <w:rPr>
          <w:spacing w:val="-14"/>
        </w:rPr>
        <w:t> </w:t>
      </w:r>
      <w:r>
        <w:rPr/>
        <w:t>Zelanda,</w:t>
      </w:r>
      <w:r>
        <w:rPr>
          <w:spacing w:val="-14"/>
        </w:rPr>
        <w:t> </w:t>
      </w:r>
      <w:r>
        <w:rPr/>
        <w:t>1974;</w:t>
      </w:r>
      <w:r>
        <w:rPr>
          <w:spacing w:val="-14"/>
        </w:rPr>
        <w:t> </w:t>
      </w:r>
      <w:r>
        <w:rPr/>
        <w:t>Alemania</w:t>
      </w:r>
      <w:r>
        <w:rPr>
          <w:spacing w:val="-14"/>
        </w:rPr>
        <w:t> </w:t>
      </w:r>
      <w:r>
        <w:rPr/>
        <w:t>occidental, 1974;</w:t>
      </w:r>
      <w:r>
        <w:rPr>
          <w:spacing w:val="-6"/>
        </w:rPr>
        <w:t> </w:t>
      </w:r>
      <w:r>
        <w:rPr/>
        <w:t>Francia,</w:t>
      </w:r>
      <w:r>
        <w:rPr>
          <w:spacing w:val="-6"/>
        </w:rPr>
        <w:t> </w:t>
      </w:r>
      <w:r>
        <w:rPr/>
        <w:t>1976</w:t>
      </w:r>
      <w:r>
        <w:rPr>
          <w:spacing w:val="-6"/>
        </w:rPr>
        <w:t> </w:t>
      </w:r>
      <w:r>
        <w:rPr/>
        <w:t>y</w:t>
      </w:r>
      <w:r>
        <w:rPr>
          <w:spacing w:val="-6"/>
        </w:rPr>
        <w:t> </w:t>
      </w:r>
      <w:r>
        <w:rPr/>
        <w:t>en</w:t>
      </w:r>
      <w:r>
        <w:rPr>
          <w:spacing w:val="-6"/>
        </w:rPr>
        <w:t> </w:t>
      </w:r>
      <w:r>
        <w:rPr/>
        <w:t>grado</w:t>
      </w:r>
      <w:r>
        <w:rPr>
          <w:spacing w:val="-6"/>
        </w:rPr>
        <w:t> </w:t>
      </w:r>
      <w:r>
        <w:rPr/>
        <w:t>muy</w:t>
      </w:r>
      <w:r>
        <w:rPr>
          <w:spacing w:val="-6"/>
        </w:rPr>
        <w:t> </w:t>
      </w:r>
      <w:r>
        <w:rPr/>
        <w:t>limitado</w:t>
      </w:r>
      <w:r>
        <w:rPr>
          <w:spacing w:val="-6"/>
        </w:rPr>
        <w:t> </w:t>
      </w:r>
      <w:r>
        <w:rPr/>
        <w:t>Irlanda,</w:t>
      </w:r>
      <w:r>
        <w:rPr>
          <w:spacing w:val="-6"/>
        </w:rPr>
        <w:t> </w:t>
      </w:r>
      <w:r>
        <w:rPr/>
        <w:t>1976,</w:t>
      </w:r>
      <w:r>
        <w:rPr>
          <w:spacing w:val="-6"/>
        </w:rPr>
        <w:t> </w:t>
      </w:r>
      <w:r>
        <w:rPr/>
        <w:t>han</w:t>
      </w:r>
      <w:r>
        <w:rPr>
          <w:spacing w:val="-6"/>
        </w:rPr>
        <w:t> </w:t>
      </w:r>
      <w:r>
        <w:rPr/>
        <w:t>sido</w:t>
      </w:r>
      <w:r>
        <w:rPr>
          <w:spacing w:val="-6"/>
        </w:rPr>
        <w:t> </w:t>
      </w:r>
      <w:r>
        <w:rPr/>
        <w:t>otros</w:t>
      </w:r>
      <w:r>
        <w:rPr>
          <w:spacing w:val="-6"/>
        </w:rPr>
        <w:t> </w:t>
      </w:r>
      <w:r>
        <w:rPr/>
        <w:t>de</w:t>
      </w:r>
      <w:r>
        <w:rPr>
          <w:spacing w:val="-6"/>
        </w:rPr>
        <w:t> </w:t>
      </w:r>
      <w:r>
        <w:rPr/>
        <w:t>los</w:t>
      </w:r>
      <w:r>
        <w:rPr>
          <w:spacing w:val="-6"/>
        </w:rPr>
        <w:t> </w:t>
      </w:r>
      <w:r>
        <w:rPr/>
        <w:t>países que han seguido pasos equivalentes en el camino de la evaluación ambiental</w:t>
      </w:r>
      <w:r>
        <w:rPr>
          <w:spacing w:val="-14"/>
        </w:rPr>
        <w:t> </w:t>
      </w:r>
      <w:r>
        <w:rPr/>
        <w:t>(Peinado et al., y Glasson et al.,</w:t>
      </w:r>
      <w:r>
        <w:rPr>
          <w:spacing w:val="-20"/>
        </w:rPr>
        <w:t> </w:t>
      </w:r>
      <w:r>
        <w:rPr/>
        <w:t>1999).</w:t>
      </w:r>
    </w:p>
    <w:p>
      <w:pPr>
        <w:pStyle w:val="BodyText"/>
        <w:spacing w:line="249" w:lineRule="auto" w:before="109"/>
        <w:ind w:left="118" w:right="127" w:firstLine="170"/>
        <w:jc w:val="both"/>
      </w:pPr>
      <w:r>
        <w:rPr/>
        <w:br w:type="column"/>
      </w:r>
      <w:r>
        <w:rPr/>
        <w:t>En</w:t>
      </w:r>
      <w:r>
        <w:rPr>
          <w:spacing w:val="-10"/>
        </w:rPr>
        <w:t> </w:t>
      </w:r>
      <w:r>
        <w:rPr/>
        <w:t>1985,</w:t>
      </w:r>
      <w:r>
        <w:rPr>
          <w:spacing w:val="-10"/>
        </w:rPr>
        <w:t> </w:t>
      </w:r>
      <w:r>
        <w:rPr/>
        <w:t>de</w:t>
      </w:r>
      <w:r>
        <w:rPr>
          <w:spacing w:val="-10"/>
        </w:rPr>
        <w:t> </w:t>
      </w:r>
      <w:r>
        <w:rPr/>
        <w:t>acuerdo</w:t>
      </w:r>
      <w:r>
        <w:rPr>
          <w:spacing w:val="-10"/>
        </w:rPr>
        <w:t> </w:t>
      </w:r>
      <w:r>
        <w:rPr/>
        <w:t>con</w:t>
      </w:r>
      <w:r>
        <w:rPr>
          <w:spacing w:val="-10"/>
        </w:rPr>
        <w:t> </w:t>
      </w:r>
      <w:r>
        <w:rPr/>
        <w:t>Enkerlin</w:t>
      </w:r>
      <w:r>
        <w:rPr>
          <w:spacing w:val="-10"/>
        </w:rPr>
        <w:t> </w:t>
      </w:r>
      <w:r>
        <w:rPr/>
        <w:t>et</w:t>
      </w:r>
      <w:r>
        <w:rPr>
          <w:spacing w:val="-10"/>
        </w:rPr>
        <w:t> </w:t>
      </w:r>
      <w:r>
        <w:rPr/>
        <w:t>al.</w:t>
      </w:r>
      <w:r>
        <w:rPr>
          <w:spacing w:val="-10"/>
        </w:rPr>
        <w:t> </w:t>
      </w:r>
      <w:r>
        <w:rPr/>
        <w:t>(1997),</w:t>
      </w:r>
      <w:r>
        <w:rPr>
          <w:spacing w:val="-10"/>
        </w:rPr>
        <w:t> </w:t>
      </w:r>
      <w:r>
        <w:rPr/>
        <w:t>eran</w:t>
      </w:r>
      <w:r>
        <w:rPr>
          <w:spacing w:val="-10"/>
        </w:rPr>
        <w:t> </w:t>
      </w:r>
      <w:r>
        <w:rPr/>
        <w:t>30</w:t>
      </w:r>
      <w:r>
        <w:rPr>
          <w:spacing w:val="-10"/>
        </w:rPr>
        <w:t> </w:t>
      </w:r>
      <w:r>
        <w:rPr/>
        <w:t>los</w:t>
      </w:r>
      <w:r>
        <w:rPr>
          <w:spacing w:val="-10"/>
        </w:rPr>
        <w:t> </w:t>
      </w:r>
      <w:r>
        <w:rPr/>
        <w:t>países</w:t>
      </w:r>
      <w:r>
        <w:rPr>
          <w:spacing w:val="-10"/>
        </w:rPr>
        <w:t> </w:t>
      </w:r>
      <w:r>
        <w:rPr/>
        <w:t>que</w:t>
      </w:r>
      <w:r>
        <w:rPr>
          <w:spacing w:val="-10"/>
        </w:rPr>
        <w:t> </w:t>
      </w:r>
      <w:r>
        <w:rPr/>
        <w:t>habían</w:t>
      </w:r>
      <w:r>
        <w:rPr>
          <w:spacing w:val="-10"/>
        </w:rPr>
        <w:t> </w:t>
      </w:r>
      <w:r>
        <w:rPr/>
        <w:t>incluido la realización de estudios de EIA como requisito para el desarrollo de proyectos. Después de la fragmentación de la Unión Soviética en 1991, la formación de nuevos países, llevó al incremento de legislaciones de EIA en muchos de éstos a principios y mediados de los noventa. A principios de dicha década, se vio un gran crecimiento en el</w:t>
      </w:r>
      <w:r>
        <w:rPr>
          <w:spacing w:val="-13"/>
        </w:rPr>
        <w:t> </w:t>
      </w:r>
      <w:r>
        <w:rPr/>
        <w:t>número</w:t>
      </w:r>
      <w:r>
        <w:rPr>
          <w:spacing w:val="-13"/>
        </w:rPr>
        <w:t> </w:t>
      </w:r>
      <w:r>
        <w:rPr/>
        <w:t>de</w:t>
      </w:r>
      <w:r>
        <w:rPr>
          <w:spacing w:val="-13"/>
        </w:rPr>
        <w:t> </w:t>
      </w:r>
      <w:r>
        <w:rPr/>
        <w:t>regulaciones</w:t>
      </w:r>
      <w:r>
        <w:rPr>
          <w:spacing w:val="-13"/>
        </w:rPr>
        <w:t> </w:t>
      </w:r>
      <w:r>
        <w:rPr/>
        <w:t>y</w:t>
      </w:r>
      <w:r>
        <w:rPr>
          <w:spacing w:val="-13"/>
        </w:rPr>
        <w:t> </w:t>
      </w:r>
      <w:r>
        <w:rPr/>
        <w:t>guías</w:t>
      </w:r>
      <w:r>
        <w:rPr>
          <w:spacing w:val="-13"/>
        </w:rPr>
        <w:t> </w:t>
      </w:r>
      <w:r>
        <w:rPr/>
        <w:t>de</w:t>
      </w:r>
      <w:r>
        <w:rPr>
          <w:spacing w:val="-13"/>
        </w:rPr>
        <w:t> </w:t>
      </w:r>
      <w:r>
        <w:rPr/>
        <w:t>EIA</w:t>
      </w:r>
      <w:r>
        <w:rPr>
          <w:spacing w:val="-13"/>
        </w:rPr>
        <w:t> </w:t>
      </w:r>
      <w:r>
        <w:rPr/>
        <w:t>establecidas</w:t>
      </w:r>
      <w:r>
        <w:rPr>
          <w:spacing w:val="-13"/>
        </w:rPr>
        <w:t> </w:t>
      </w:r>
      <w:r>
        <w:rPr/>
        <w:t>en</w:t>
      </w:r>
      <w:r>
        <w:rPr>
          <w:spacing w:val="-13"/>
        </w:rPr>
        <w:t> </w:t>
      </w:r>
      <w:r>
        <w:rPr/>
        <w:t>África</w:t>
      </w:r>
      <w:r>
        <w:rPr>
          <w:spacing w:val="-13"/>
        </w:rPr>
        <w:t> </w:t>
      </w:r>
      <w:r>
        <w:rPr/>
        <w:t>y</w:t>
      </w:r>
      <w:r>
        <w:rPr>
          <w:spacing w:val="-13"/>
        </w:rPr>
        <w:t> </w:t>
      </w:r>
      <w:r>
        <w:rPr/>
        <w:t>América</w:t>
      </w:r>
      <w:r>
        <w:rPr>
          <w:spacing w:val="-13"/>
        </w:rPr>
        <w:t> </w:t>
      </w:r>
      <w:r>
        <w:rPr/>
        <w:t>del</w:t>
      </w:r>
      <w:r>
        <w:rPr>
          <w:spacing w:val="-13"/>
        </w:rPr>
        <w:t> </w:t>
      </w:r>
      <w:r>
        <w:rPr/>
        <w:t>Sur.</w:t>
      </w:r>
      <w:r>
        <w:rPr>
          <w:spacing w:val="-13"/>
        </w:rPr>
        <w:t> </w:t>
      </w:r>
      <w:r>
        <w:rPr/>
        <w:t>Para 1996, más de 100 países tenían sistemas de</w:t>
      </w:r>
      <w:r>
        <w:rPr>
          <w:spacing w:val="-31"/>
        </w:rPr>
        <w:t> </w:t>
      </w:r>
      <w:r>
        <w:rPr/>
        <w:t>EIA.</w:t>
      </w:r>
    </w:p>
    <w:p>
      <w:pPr>
        <w:pStyle w:val="BodyText"/>
        <w:spacing w:before="11"/>
      </w:pPr>
    </w:p>
    <w:p>
      <w:pPr>
        <w:pStyle w:val="BodyText"/>
        <w:spacing w:line="249" w:lineRule="auto"/>
        <w:ind w:left="118" w:right="127" w:firstLine="170"/>
        <w:jc w:val="both"/>
      </w:pPr>
      <w:r>
        <w:rPr/>
        <w:t>Actualmente las evaluaciones se realizan a través de diversas metodologías entre las que podemos citar, de acuerdo con Conesa (1997) y Canter (2003): diagramas de red y gráficos (matrices de interacción y listas de chequeo simples y descriptivas); sistemas cartográficos (algebra de mapas de Tricart); análisis de sistemas; métodos basados en indicadores, índices e integración de la evaluación; métodos cuantitativos (Batelle-Columbus).</w:t>
      </w:r>
      <w:r>
        <w:rPr>
          <w:spacing w:val="-7"/>
        </w:rPr>
        <w:t> </w:t>
      </w:r>
      <w:r>
        <w:rPr/>
        <w:t>Canter</w:t>
      </w:r>
      <w:r>
        <w:rPr>
          <w:spacing w:val="-7"/>
        </w:rPr>
        <w:t> </w:t>
      </w:r>
      <w:r>
        <w:rPr/>
        <w:t>(2003)</w:t>
      </w:r>
      <w:r>
        <w:rPr>
          <w:spacing w:val="-7"/>
        </w:rPr>
        <w:t> </w:t>
      </w:r>
      <w:r>
        <w:rPr/>
        <w:t>explica</w:t>
      </w:r>
      <w:r>
        <w:rPr>
          <w:spacing w:val="-7"/>
        </w:rPr>
        <w:t> </w:t>
      </w:r>
      <w:r>
        <w:rPr/>
        <w:t>que</w:t>
      </w:r>
      <w:r>
        <w:rPr>
          <w:spacing w:val="-7"/>
        </w:rPr>
        <w:t> </w:t>
      </w:r>
      <w:r>
        <w:rPr/>
        <w:t>no</w:t>
      </w:r>
      <w:r>
        <w:rPr>
          <w:spacing w:val="-7"/>
        </w:rPr>
        <w:t> </w:t>
      </w:r>
      <w:r>
        <w:rPr/>
        <w:t>existe</w:t>
      </w:r>
      <w:r>
        <w:rPr>
          <w:spacing w:val="-7"/>
        </w:rPr>
        <w:t> </w:t>
      </w:r>
      <w:r>
        <w:rPr/>
        <w:t>una</w:t>
      </w:r>
      <w:r>
        <w:rPr>
          <w:spacing w:val="-7"/>
        </w:rPr>
        <w:t> </w:t>
      </w:r>
      <w:r>
        <w:rPr/>
        <w:t>metodología</w:t>
      </w:r>
      <w:r>
        <w:rPr>
          <w:spacing w:val="-7"/>
        </w:rPr>
        <w:t> </w:t>
      </w:r>
      <w:r>
        <w:rPr/>
        <w:t>universal</w:t>
      </w:r>
      <w:r>
        <w:rPr>
          <w:spacing w:val="-7"/>
        </w:rPr>
        <w:t> </w:t>
      </w:r>
      <w:r>
        <w:rPr/>
        <w:t>que pueda aplicarse a todos los tipos de proyecto o actividad en cualquier medio en el que se localice. Así mismo, señala que una perspectiva adecuada es la de considerar las metodologías como instrumentos que pueden utilizarse para facilitar el proceso de la EIA. En este sentido cada método que se utilice debe ser específico con los conceptos básicos derivados de las metodologías existentes. Podríamos llamar a estos métodos ad hoc. Las metodologías deben seleccionarse y diseñarse a partir de una valoración apropiada</w:t>
      </w:r>
      <w:r>
        <w:rPr>
          <w:spacing w:val="-6"/>
        </w:rPr>
        <w:t> </w:t>
      </w:r>
      <w:r>
        <w:rPr/>
        <w:t>y</w:t>
      </w:r>
      <w:r>
        <w:rPr>
          <w:spacing w:val="-6"/>
        </w:rPr>
        <w:t> </w:t>
      </w:r>
      <w:r>
        <w:rPr/>
        <w:t>de</w:t>
      </w:r>
      <w:r>
        <w:rPr>
          <w:spacing w:val="-6"/>
        </w:rPr>
        <w:t> </w:t>
      </w:r>
      <w:r>
        <w:rPr/>
        <w:t>la</w:t>
      </w:r>
      <w:r>
        <w:rPr>
          <w:spacing w:val="-6"/>
        </w:rPr>
        <w:t> </w:t>
      </w:r>
      <w:r>
        <w:rPr/>
        <w:t>experiencia</w:t>
      </w:r>
      <w:r>
        <w:rPr>
          <w:spacing w:val="-6"/>
        </w:rPr>
        <w:t> </w:t>
      </w:r>
      <w:r>
        <w:rPr/>
        <w:t>profesional,</w:t>
      </w:r>
      <w:r>
        <w:rPr>
          <w:spacing w:val="-6"/>
        </w:rPr>
        <w:t> </w:t>
      </w:r>
      <w:r>
        <w:rPr/>
        <w:t>debiendo</w:t>
      </w:r>
      <w:r>
        <w:rPr>
          <w:spacing w:val="-6"/>
        </w:rPr>
        <w:t> </w:t>
      </w:r>
      <w:r>
        <w:rPr/>
        <w:t>utilizarse</w:t>
      </w:r>
      <w:r>
        <w:rPr>
          <w:spacing w:val="-6"/>
        </w:rPr>
        <w:t> </w:t>
      </w:r>
      <w:r>
        <w:rPr/>
        <w:t>con</w:t>
      </w:r>
      <w:r>
        <w:rPr>
          <w:spacing w:val="-6"/>
        </w:rPr>
        <w:t> </w:t>
      </w:r>
      <w:r>
        <w:rPr/>
        <w:t>la</w:t>
      </w:r>
      <w:r>
        <w:rPr>
          <w:spacing w:val="-6"/>
        </w:rPr>
        <w:t> </w:t>
      </w:r>
      <w:r>
        <w:rPr/>
        <w:t>aplicación</w:t>
      </w:r>
      <w:r>
        <w:rPr>
          <w:spacing w:val="-6"/>
        </w:rPr>
        <w:t> </w:t>
      </w:r>
      <w:r>
        <w:rPr/>
        <w:t>continua de juicio crítico sobre los insumos de datos y el análisis e interpretación de </w:t>
      </w:r>
      <w:r>
        <w:rPr>
          <w:spacing w:val="2"/>
        </w:rPr>
        <w:t> </w:t>
      </w:r>
      <w:r>
        <w:rPr/>
        <w:t>resultados.</w:t>
      </w:r>
    </w:p>
    <w:p>
      <w:pPr>
        <w:pStyle w:val="BodyText"/>
        <w:spacing w:before="8"/>
        <w:rPr>
          <w:sz w:val="17"/>
        </w:rPr>
      </w:pPr>
    </w:p>
    <w:p>
      <w:pPr>
        <w:pStyle w:val="Heading1"/>
        <w:ind w:left="303"/>
      </w:pPr>
      <w:r>
        <w:rPr/>
        <w:t>Antecedentes de la Evaluación de Impacto Ambiental en México</w:t>
      </w:r>
    </w:p>
    <w:p>
      <w:pPr>
        <w:pStyle w:val="BodyText"/>
        <w:rPr>
          <w:b/>
          <w:sz w:val="21"/>
        </w:rPr>
      </w:pPr>
    </w:p>
    <w:p>
      <w:pPr>
        <w:pStyle w:val="BodyText"/>
        <w:spacing w:line="249" w:lineRule="auto"/>
        <w:ind w:left="118" w:right="127" w:firstLine="170"/>
        <w:jc w:val="both"/>
      </w:pPr>
      <w:r>
        <w:rPr/>
        <w:t>El primer instrumento jurídico en el país que reguló las actividades humanas en materia de contaminación ambiental fue la Ley Federal para Prevenir y Controlar la Contaminación Ambiental (LFPCCA), publicada en el Diario Oficial de la Federación   el 23 de marzo de 1971. Su contenido fue influido por la legislación estadounidense y por la visión particular que se tenía en México acerca de los problemas ambientales. Estos se observaban sobre todo desde la perspectiva de la salud pública, es decir,    se concentraba en el efecto de la contaminación sobre la salud humana o bien, en la condición del ambiente respecto a las condiciones insalubres. La aplicación de la ley y sus</w:t>
      </w:r>
      <w:r>
        <w:rPr>
          <w:spacing w:val="-6"/>
        </w:rPr>
        <w:t> </w:t>
      </w:r>
      <w:r>
        <w:rPr/>
        <w:t>reglamentos</w:t>
      </w:r>
      <w:r>
        <w:rPr>
          <w:spacing w:val="-6"/>
        </w:rPr>
        <w:t> </w:t>
      </w:r>
      <w:r>
        <w:rPr/>
        <w:t>correspondía</w:t>
      </w:r>
      <w:r>
        <w:rPr>
          <w:spacing w:val="-6"/>
        </w:rPr>
        <w:t> </w:t>
      </w:r>
      <w:r>
        <w:rPr/>
        <w:t>a</w:t>
      </w:r>
      <w:r>
        <w:rPr>
          <w:spacing w:val="-6"/>
        </w:rPr>
        <w:t> </w:t>
      </w:r>
      <w:r>
        <w:rPr/>
        <w:t>la</w:t>
      </w:r>
      <w:r>
        <w:rPr>
          <w:spacing w:val="-6"/>
        </w:rPr>
        <w:t> </w:t>
      </w:r>
      <w:r>
        <w:rPr/>
        <w:t>Secretaría</w:t>
      </w:r>
      <w:r>
        <w:rPr>
          <w:spacing w:val="-6"/>
        </w:rPr>
        <w:t> </w:t>
      </w:r>
      <w:r>
        <w:rPr/>
        <w:t>de</w:t>
      </w:r>
      <w:r>
        <w:rPr>
          <w:spacing w:val="-6"/>
        </w:rPr>
        <w:t> </w:t>
      </w:r>
      <w:r>
        <w:rPr/>
        <w:t>Salubridad</w:t>
      </w:r>
      <w:r>
        <w:rPr>
          <w:spacing w:val="-6"/>
        </w:rPr>
        <w:t> </w:t>
      </w:r>
      <w:r>
        <w:rPr/>
        <w:t>y</w:t>
      </w:r>
      <w:r>
        <w:rPr>
          <w:spacing w:val="-6"/>
        </w:rPr>
        <w:t> </w:t>
      </w:r>
      <w:r>
        <w:rPr/>
        <w:t>Asistencia,</w:t>
      </w:r>
      <w:r>
        <w:rPr>
          <w:spacing w:val="-6"/>
        </w:rPr>
        <w:t> </w:t>
      </w:r>
      <w:r>
        <w:rPr/>
        <w:t>a</w:t>
      </w:r>
      <w:r>
        <w:rPr>
          <w:spacing w:val="-6"/>
        </w:rPr>
        <w:t> </w:t>
      </w:r>
      <w:r>
        <w:rPr/>
        <w:t>través</w:t>
      </w:r>
      <w:r>
        <w:rPr>
          <w:spacing w:val="-6"/>
        </w:rPr>
        <w:t> </w:t>
      </w:r>
      <w:r>
        <w:rPr/>
        <w:t>de</w:t>
      </w:r>
      <w:r>
        <w:rPr>
          <w:spacing w:val="-6"/>
        </w:rPr>
        <w:t> </w:t>
      </w:r>
      <w:r>
        <w:rPr/>
        <w:t>la Subsecretaría de Mejoramiento del Ambiente (SEMARNAP,</w:t>
      </w:r>
      <w:r>
        <w:rPr>
          <w:spacing w:val="-36"/>
        </w:rPr>
        <w:t> </w:t>
      </w:r>
      <w:r>
        <w:rPr/>
        <w:t>2000).</w:t>
      </w:r>
    </w:p>
    <w:p>
      <w:pPr>
        <w:pStyle w:val="BodyText"/>
        <w:spacing w:before="11"/>
      </w:pPr>
    </w:p>
    <w:p>
      <w:pPr>
        <w:pStyle w:val="BodyText"/>
        <w:spacing w:line="249" w:lineRule="auto"/>
        <w:ind w:left="118" w:right="127" w:firstLine="170"/>
        <w:jc w:val="both"/>
      </w:pPr>
      <w:r>
        <w:rPr/>
        <w:t>En</w:t>
      </w:r>
      <w:r>
        <w:rPr>
          <w:spacing w:val="-10"/>
        </w:rPr>
        <w:t> </w:t>
      </w:r>
      <w:r>
        <w:rPr/>
        <w:t>1982</w:t>
      </w:r>
      <w:r>
        <w:rPr>
          <w:spacing w:val="-10"/>
        </w:rPr>
        <w:t> </w:t>
      </w:r>
      <w:r>
        <w:rPr/>
        <w:t>con</w:t>
      </w:r>
      <w:r>
        <w:rPr>
          <w:spacing w:val="-10"/>
        </w:rPr>
        <w:t> </w:t>
      </w:r>
      <w:r>
        <w:rPr/>
        <w:t>la</w:t>
      </w:r>
      <w:r>
        <w:rPr>
          <w:spacing w:val="-10"/>
        </w:rPr>
        <w:t> </w:t>
      </w:r>
      <w:r>
        <w:rPr/>
        <w:t>Ley</w:t>
      </w:r>
      <w:r>
        <w:rPr>
          <w:spacing w:val="-10"/>
        </w:rPr>
        <w:t> </w:t>
      </w:r>
      <w:r>
        <w:rPr/>
        <w:t>Federal</w:t>
      </w:r>
      <w:r>
        <w:rPr>
          <w:spacing w:val="-10"/>
        </w:rPr>
        <w:t> </w:t>
      </w:r>
      <w:r>
        <w:rPr/>
        <w:t>de</w:t>
      </w:r>
      <w:r>
        <w:rPr>
          <w:spacing w:val="-10"/>
        </w:rPr>
        <w:t> </w:t>
      </w:r>
      <w:r>
        <w:rPr/>
        <w:t>Protección</w:t>
      </w:r>
      <w:r>
        <w:rPr>
          <w:spacing w:val="-10"/>
        </w:rPr>
        <w:t> </w:t>
      </w:r>
      <w:r>
        <w:rPr/>
        <w:t>al</w:t>
      </w:r>
      <w:r>
        <w:rPr>
          <w:spacing w:val="-10"/>
        </w:rPr>
        <w:t> </w:t>
      </w:r>
      <w:r>
        <w:rPr/>
        <w:t>Ambiente</w:t>
      </w:r>
      <w:r>
        <w:rPr>
          <w:spacing w:val="-10"/>
        </w:rPr>
        <w:t> </w:t>
      </w:r>
      <w:r>
        <w:rPr/>
        <w:t>(LFPA)</w:t>
      </w:r>
      <w:r>
        <w:rPr>
          <w:spacing w:val="-10"/>
        </w:rPr>
        <w:t> </w:t>
      </w:r>
      <w:r>
        <w:rPr/>
        <w:t>se</w:t>
      </w:r>
      <w:r>
        <w:rPr>
          <w:spacing w:val="-10"/>
        </w:rPr>
        <w:t> </w:t>
      </w:r>
      <w:r>
        <w:rPr/>
        <w:t>abroga</w:t>
      </w:r>
      <w:r>
        <w:rPr>
          <w:spacing w:val="-10"/>
        </w:rPr>
        <w:t> </w:t>
      </w:r>
      <w:r>
        <w:rPr/>
        <w:t>la</w:t>
      </w:r>
      <w:r>
        <w:rPr>
          <w:spacing w:val="-10"/>
        </w:rPr>
        <w:t> </w:t>
      </w:r>
      <w:r>
        <w:rPr/>
        <w:t>LFPCCA</w:t>
      </w:r>
      <w:r>
        <w:rPr>
          <w:spacing w:val="-10"/>
        </w:rPr>
        <w:t> </w:t>
      </w:r>
      <w:r>
        <w:rPr/>
        <w:t>y desaparece</w:t>
      </w:r>
      <w:r>
        <w:rPr>
          <w:spacing w:val="-18"/>
        </w:rPr>
        <w:t> </w:t>
      </w:r>
      <w:r>
        <w:rPr/>
        <w:t>la</w:t>
      </w:r>
      <w:r>
        <w:rPr>
          <w:spacing w:val="-18"/>
        </w:rPr>
        <w:t> </w:t>
      </w:r>
      <w:r>
        <w:rPr/>
        <w:t>Subsecretaría</w:t>
      </w:r>
      <w:r>
        <w:rPr>
          <w:spacing w:val="-18"/>
        </w:rPr>
        <w:t> </w:t>
      </w:r>
      <w:r>
        <w:rPr/>
        <w:t>de</w:t>
      </w:r>
      <w:r>
        <w:rPr>
          <w:spacing w:val="-18"/>
        </w:rPr>
        <w:t> </w:t>
      </w:r>
      <w:r>
        <w:rPr/>
        <w:t>Mejoramiento</w:t>
      </w:r>
      <w:r>
        <w:rPr>
          <w:spacing w:val="-18"/>
        </w:rPr>
        <w:t> </w:t>
      </w:r>
      <w:r>
        <w:rPr/>
        <w:t>del</w:t>
      </w:r>
      <w:r>
        <w:rPr>
          <w:spacing w:val="-18"/>
        </w:rPr>
        <w:t> </w:t>
      </w:r>
      <w:r>
        <w:rPr/>
        <w:t>Ambiente,</w:t>
      </w:r>
      <w:r>
        <w:rPr>
          <w:spacing w:val="-18"/>
        </w:rPr>
        <w:t> </w:t>
      </w:r>
      <w:r>
        <w:rPr/>
        <w:t>creándose</w:t>
      </w:r>
      <w:r>
        <w:rPr>
          <w:spacing w:val="-18"/>
        </w:rPr>
        <w:t> </w:t>
      </w:r>
      <w:r>
        <w:rPr/>
        <w:t>así</w:t>
      </w:r>
      <w:r>
        <w:rPr>
          <w:spacing w:val="-18"/>
        </w:rPr>
        <w:t> </w:t>
      </w:r>
      <w:r>
        <w:rPr/>
        <w:t>la</w:t>
      </w:r>
      <w:r>
        <w:rPr>
          <w:spacing w:val="-18"/>
        </w:rPr>
        <w:t> </w:t>
      </w:r>
      <w:r>
        <w:rPr/>
        <w:t>Secretaría de</w:t>
      </w:r>
      <w:r>
        <w:rPr>
          <w:spacing w:val="-15"/>
        </w:rPr>
        <w:t> </w:t>
      </w:r>
      <w:r>
        <w:rPr/>
        <w:t>Desarrollo</w:t>
      </w:r>
      <w:r>
        <w:rPr>
          <w:spacing w:val="-15"/>
        </w:rPr>
        <w:t> </w:t>
      </w:r>
      <w:r>
        <w:rPr/>
        <w:t>Urbano</w:t>
      </w:r>
      <w:r>
        <w:rPr>
          <w:spacing w:val="-15"/>
        </w:rPr>
        <w:t> </w:t>
      </w:r>
      <w:r>
        <w:rPr/>
        <w:t>y</w:t>
      </w:r>
      <w:r>
        <w:rPr>
          <w:spacing w:val="-15"/>
        </w:rPr>
        <w:t> </w:t>
      </w:r>
      <w:r>
        <w:rPr/>
        <w:t>Ecología</w:t>
      </w:r>
      <w:r>
        <w:rPr>
          <w:spacing w:val="-15"/>
        </w:rPr>
        <w:t> </w:t>
      </w:r>
      <w:r>
        <w:rPr/>
        <w:t>para</w:t>
      </w:r>
      <w:r>
        <w:rPr>
          <w:spacing w:val="-15"/>
        </w:rPr>
        <w:t> </w:t>
      </w:r>
      <w:r>
        <w:rPr/>
        <w:t>trasladar,</w:t>
      </w:r>
      <w:r>
        <w:rPr>
          <w:spacing w:val="-15"/>
        </w:rPr>
        <w:t> </w:t>
      </w:r>
      <w:r>
        <w:rPr/>
        <w:t>al</w:t>
      </w:r>
      <w:r>
        <w:rPr>
          <w:spacing w:val="-15"/>
        </w:rPr>
        <w:t> </w:t>
      </w:r>
      <w:r>
        <w:rPr/>
        <w:t>menos</w:t>
      </w:r>
      <w:r>
        <w:rPr>
          <w:spacing w:val="-15"/>
        </w:rPr>
        <w:t> </w:t>
      </w:r>
      <w:r>
        <w:rPr/>
        <w:t>jurídicamente,</w:t>
      </w:r>
      <w:r>
        <w:rPr>
          <w:spacing w:val="-15"/>
        </w:rPr>
        <w:t> </w:t>
      </w:r>
      <w:r>
        <w:rPr/>
        <w:t>las</w:t>
      </w:r>
      <w:r>
        <w:rPr>
          <w:spacing w:val="-15"/>
        </w:rPr>
        <w:t> </w:t>
      </w:r>
      <w:r>
        <w:rPr/>
        <w:t>atribuciones ambientales del sector salud hacia un sector específico de desarrollo urbano, vivienda y</w:t>
      </w:r>
      <w:r>
        <w:rPr>
          <w:spacing w:val="-13"/>
        </w:rPr>
        <w:t> </w:t>
      </w:r>
      <w:r>
        <w:rPr/>
        <w:t>ecología.</w:t>
      </w:r>
      <w:r>
        <w:rPr>
          <w:spacing w:val="-13"/>
        </w:rPr>
        <w:t> </w:t>
      </w:r>
      <w:r>
        <w:rPr/>
        <w:t>A</w:t>
      </w:r>
      <w:r>
        <w:rPr>
          <w:spacing w:val="-13"/>
        </w:rPr>
        <w:t> </w:t>
      </w:r>
      <w:r>
        <w:rPr/>
        <w:t>su</w:t>
      </w:r>
      <w:r>
        <w:rPr>
          <w:spacing w:val="-13"/>
        </w:rPr>
        <w:t> </w:t>
      </w:r>
      <w:r>
        <w:rPr/>
        <w:t>vez,</w:t>
      </w:r>
      <w:r>
        <w:rPr>
          <w:spacing w:val="-13"/>
        </w:rPr>
        <w:t> </w:t>
      </w:r>
      <w:r>
        <w:rPr/>
        <w:t>se</w:t>
      </w:r>
      <w:r>
        <w:rPr>
          <w:spacing w:val="-13"/>
        </w:rPr>
        <w:t> </w:t>
      </w:r>
      <w:r>
        <w:rPr/>
        <w:t>creó</w:t>
      </w:r>
      <w:r>
        <w:rPr>
          <w:spacing w:val="-13"/>
        </w:rPr>
        <w:t> </w:t>
      </w:r>
      <w:r>
        <w:rPr/>
        <w:t>la</w:t>
      </w:r>
      <w:r>
        <w:rPr>
          <w:spacing w:val="-13"/>
        </w:rPr>
        <w:t> </w:t>
      </w:r>
      <w:r>
        <w:rPr/>
        <w:t>Subsecretaría</w:t>
      </w:r>
      <w:r>
        <w:rPr>
          <w:spacing w:val="-13"/>
        </w:rPr>
        <w:t> </w:t>
      </w:r>
      <w:r>
        <w:rPr/>
        <w:t>de</w:t>
      </w:r>
      <w:r>
        <w:rPr>
          <w:spacing w:val="-13"/>
        </w:rPr>
        <w:t> </w:t>
      </w:r>
      <w:r>
        <w:rPr/>
        <w:t>Ecología</w:t>
      </w:r>
      <w:r>
        <w:rPr>
          <w:spacing w:val="-13"/>
        </w:rPr>
        <w:t> </w:t>
      </w:r>
      <w:r>
        <w:rPr/>
        <w:t>y,</w:t>
      </w:r>
      <w:r>
        <w:rPr>
          <w:spacing w:val="-13"/>
        </w:rPr>
        <w:t> </w:t>
      </w:r>
      <w:r>
        <w:rPr/>
        <w:t>adscrita</w:t>
      </w:r>
      <w:r>
        <w:rPr>
          <w:spacing w:val="-13"/>
        </w:rPr>
        <w:t> </w:t>
      </w:r>
      <w:r>
        <w:rPr/>
        <w:t>a</w:t>
      </w:r>
      <w:r>
        <w:rPr>
          <w:spacing w:val="-13"/>
        </w:rPr>
        <w:t> </w:t>
      </w:r>
      <w:r>
        <w:rPr/>
        <w:t>ésta,</w:t>
      </w:r>
      <w:r>
        <w:rPr>
          <w:spacing w:val="-13"/>
        </w:rPr>
        <w:t> </w:t>
      </w:r>
      <w:r>
        <w:rPr/>
        <w:t>la</w:t>
      </w:r>
      <w:r>
        <w:rPr>
          <w:spacing w:val="-13"/>
        </w:rPr>
        <w:t> </w:t>
      </w:r>
      <w:r>
        <w:rPr/>
        <w:t>Dirección General de Ordenamiento Ecológico e Impacto Ambiental. De esta última dependía </w:t>
      </w:r>
      <w:r>
        <w:rPr>
          <w:spacing w:val="44"/>
        </w:rPr>
        <w:t> </w:t>
      </w:r>
      <w:r>
        <w:rPr/>
        <w:t>la</w:t>
      </w:r>
    </w:p>
    <w:p>
      <w:pPr>
        <w:spacing w:after="0" w:line="249" w:lineRule="auto"/>
        <w:jc w:val="both"/>
        <w:sectPr>
          <w:type w:val="continuous"/>
          <w:pgSz w:w="18830" w:h="12760" w:orient="landscape"/>
          <w:pgMar w:top="1420" w:bottom="280" w:left="720" w:right="720"/>
          <w:cols w:num="2" w:equalWidth="0">
            <w:col w:w="7830" w:space="1593"/>
            <w:col w:w="7967"/>
          </w:cols>
        </w:sectPr>
      </w:pPr>
    </w:p>
    <w:p>
      <w:pPr>
        <w:pStyle w:val="BodyText"/>
        <w:spacing w:before="6"/>
        <w:rPr>
          <w:sz w:val="23"/>
        </w:rPr>
      </w:pPr>
    </w:p>
    <w:p>
      <w:pPr>
        <w:spacing w:after="0"/>
        <w:rPr>
          <w:sz w:val="23"/>
        </w:rPr>
        <w:sectPr>
          <w:footerReference w:type="default" r:id="rId292"/>
          <w:pgSz w:w="18830" w:h="12760" w:orient="landscape"/>
          <w:pgMar w:footer="1036" w:header="522" w:top="820" w:bottom="1220" w:left="720" w:right="720"/>
        </w:sectPr>
      </w:pPr>
    </w:p>
    <w:p>
      <w:pPr>
        <w:pStyle w:val="BodyText"/>
        <w:spacing w:line="249" w:lineRule="auto" w:before="76"/>
        <w:ind w:left="131"/>
        <w:jc w:val="both"/>
      </w:pPr>
      <w:r>
        <w:rPr/>
        <w:t>Dirección Impacto Ambiental. Así, por primera vez existía una dirección especializada en impacto ambiental dentro de la administración pública federal. El 28 de enero de 1988 entra en vigor la Ley General del Equilibrio Ecológico y la Protección al Ambiente</w:t>
      </w:r>
    </w:p>
    <w:p>
      <w:pPr>
        <w:pStyle w:val="BodyText"/>
        <w:rPr>
          <w:sz w:val="16"/>
        </w:rPr>
      </w:pPr>
      <w:r>
        <w:rPr/>
        <w:br w:type="column"/>
      </w:r>
      <w:r>
        <w:rPr>
          <w:sz w:val="16"/>
        </w:rPr>
      </w:r>
    </w:p>
    <w:p>
      <w:pPr>
        <w:spacing w:line="250" w:lineRule="atLeast" w:before="143"/>
        <w:ind w:left="131" w:right="-13" w:firstLine="0"/>
        <w:jc w:val="left"/>
        <w:rPr>
          <w:sz w:val="16"/>
        </w:rPr>
      </w:pPr>
      <w:r>
        <w:rPr>
          <w:sz w:val="16"/>
        </w:rPr>
        <w:t>Altitud: Mínima-</w:t>
      </w:r>
    </w:p>
    <w:p>
      <w:pPr>
        <w:spacing w:before="114"/>
        <w:ind w:left="503" w:right="0" w:firstLine="0"/>
        <w:jc w:val="left"/>
        <w:rPr>
          <w:sz w:val="16"/>
        </w:rPr>
      </w:pPr>
      <w:r>
        <w:rPr/>
        <w:br w:type="column"/>
      </w:r>
      <w:r>
        <w:rPr>
          <w:color w:val="6D6E71"/>
          <w:sz w:val="16"/>
        </w:rPr>
        <w:t>Cuadro 2. Principales Características Geográficas de Malinalco</w:t>
      </w:r>
    </w:p>
    <w:p>
      <w:pPr>
        <w:pStyle w:val="BodyText"/>
        <w:spacing w:before="4"/>
        <w:rPr>
          <w:sz w:val="19"/>
        </w:rPr>
      </w:pPr>
    </w:p>
    <w:p>
      <w:pPr>
        <w:spacing w:before="1"/>
        <w:ind w:left="131" w:right="0" w:firstLine="0"/>
        <w:jc w:val="left"/>
        <w:rPr>
          <w:sz w:val="16"/>
        </w:rPr>
      </w:pPr>
      <w:r>
        <w:rPr/>
        <w:pict>
          <v:group style="position:absolute;margin-left:568.599976pt;margin-top:-5.983464pt;width:.5pt;height:185.7pt;mso-position-horizontal-relative:page;mso-position-vertical-relative:paragraph;z-index:-641056" coordorigin="11372,-120" coordsize="10,3714">
            <v:line style="position:absolute" from="11377,535" to="11377,-100" stroked="true" strokeweight=".5pt" strokecolor="#929292">
              <v:stroke dashstyle="dash"/>
            </v:line>
            <v:shape style="position:absolute;left:0;top:10446;width:2;height:680" coordorigin="0,10446" coordsize="0,680" path="m11377,565l11377,565m11377,-115l11377,-115e" filled="false" stroked="true" strokeweight=".5pt" strokecolor="#929292">
              <v:path arrowok="t"/>
            </v:shape>
            <v:line style="position:absolute" from="11377,565" to="11377,565" stroked="true" strokeweight=".5pt" strokecolor="#929292"/>
            <v:line style="position:absolute" from="11377,1475" to="11377,580" stroked="true" strokeweight=".5pt" strokecolor="#929292">
              <v:stroke dashstyle="dash"/>
            </v:line>
            <v:shape style="position:absolute;left:0;top:10185;width:2;height:942" coordorigin="0,10185" coordsize="0,942" path="m11377,1506l11377,1506m11377,565l11377,565e" filled="false" stroked="true" strokeweight=".5pt" strokecolor="#929292">
              <v:path arrowok="t"/>
            </v:shape>
            <v:line style="position:absolute" from="11377,565" to="11377,565" stroked="true" strokeweight=".5pt" strokecolor="#929292"/>
            <v:line style="position:absolute" from="11377,1506" to="11377,1506" stroked="true" strokeweight=".5pt" strokecolor="#929292"/>
            <v:line style="position:absolute" from="11377,1846" to="11377,1521" stroked="true" strokeweight=".5pt" strokecolor="#929292">
              <v:stroke dashstyle="dash"/>
            </v:line>
            <v:shape style="position:absolute;left:0;top:10755;width:2;height:371" coordorigin="0,10755" coordsize="0,371" path="m11377,1877l11377,1877m11377,1506l11377,1506e" filled="false" stroked="true" strokeweight=".5pt" strokecolor="#929292">
              <v:path arrowok="t"/>
            </v:shape>
            <v:line style="position:absolute" from="11377,1506" to="11377,1506" stroked="true" strokeweight=".5pt" strokecolor="#929292"/>
            <v:line style="position:absolute" from="11377,1877" to="11377,1877" stroked="true" strokeweight=".5pt" strokecolor="#929292"/>
            <v:line style="position:absolute" from="11377,2417" to="11377,1892" stroked="true" strokeweight=".5pt" strokecolor="#929292">
              <v:stroke dashstyle="dash"/>
            </v:line>
            <v:shape style="position:absolute;left:0;top:10555;width:2;height:571" coordorigin="0,10555" coordsize="0,571" path="m11377,2448l11377,2448m11377,1877l11377,1877e" filled="false" stroked="true" strokeweight=".5pt" strokecolor="#929292">
              <v:path arrowok="t"/>
            </v:shape>
            <v:line style="position:absolute" from="11377,1877" to="11377,1877" stroked="true" strokeweight=".5pt" strokecolor="#929292"/>
            <v:line style="position:absolute" from="11377,2448" to="11377,2448" stroked="true" strokeweight=".5pt" strokecolor="#929292"/>
            <v:line style="position:absolute" from="11377,3589" to="11377,3589" stroked="true" strokeweight=".5pt" strokecolor="#929292"/>
            <v:line style="position:absolute" from="11377,3559" to="11377,2463" stroked="true" strokeweight=".5pt" strokecolor="#929292">
              <v:stroke dashstyle="dash"/>
            </v:line>
            <v:shape style="position:absolute;left:0;top:9985;width:2;height:1141" coordorigin="0,9985" coordsize="0,1141" path="m11377,3589l11377,3589m11377,2448l11377,2448e" filled="false" stroked="true" strokeweight=".5pt" strokecolor="#929292">
              <v:path arrowok="t"/>
            </v:shape>
            <v:line style="position:absolute" from="11377,2448" to="11377,2448" stroked="true" strokeweight=".5pt" strokecolor="#929292"/>
            <v:line style="position:absolute" from="11377,3589" to="11377,3589" stroked="true" strokeweight=".5pt" strokecolor="#929292"/>
            <w10:wrap type="none"/>
          </v:group>
        </w:pict>
      </w:r>
      <w:r>
        <w:rPr>
          <w:sz w:val="16"/>
        </w:rPr>
        <w:t>1067-2,622m.s.n.m.</w:t>
      </w:r>
    </w:p>
    <w:p>
      <w:pPr>
        <w:spacing w:after="0"/>
        <w:jc w:val="left"/>
        <w:rPr>
          <w:sz w:val="16"/>
        </w:rPr>
        <w:sectPr>
          <w:type w:val="continuous"/>
          <w:pgSz w:w="18830" w:h="12760" w:orient="landscape"/>
          <w:pgMar w:top="1420" w:bottom="280" w:left="720" w:right="720"/>
          <w:cols w:num="3" w:equalWidth="0">
            <w:col w:w="7842" w:space="1675"/>
            <w:col w:w="716" w:space="401"/>
            <w:col w:w="6756"/>
          </w:cols>
        </w:sectPr>
      </w:pPr>
    </w:p>
    <w:p>
      <w:pPr>
        <w:pStyle w:val="BodyText"/>
        <w:spacing w:line="193" w:lineRule="exact"/>
        <w:ind w:left="131" w:right="-2"/>
      </w:pPr>
      <w:r>
        <w:rPr/>
        <w:t>(LGEEPA)</w:t>
      </w:r>
      <w:r>
        <w:rPr>
          <w:spacing w:val="-4"/>
        </w:rPr>
        <w:t> </w:t>
      </w:r>
      <w:r>
        <w:rPr/>
        <w:t>con</w:t>
      </w:r>
      <w:r>
        <w:rPr>
          <w:spacing w:val="-4"/>
        </w:rPr>
        <w:t> </w:t>
      </w:r>
      <w:r>
        <w:rPr/>
        <w:t>la</w:t>
      </w:r>
      <w:r>
        <w:rPr>
          <w:spacing w:val="-4"/>
        </w:rPr>
        <w:t> </w:t>
      </w:r>
      <w:r>
        <w:rPr/>
        <w:t>que</w:t>
      </w:r>
      <w:r>
        <w:rPr>
          <w:spacing w:val="-4"/>
        </w:rPr>
        <w:t> </w:t>
      </w:r>
      <w:r>
        <w:rPr/>
        <w:t>se</w:t>
      </w:r>
      <w:r>
        <w:rPr>
          <w:spacing w:val="-4"/>
        </w:rPr>
        <w:t> </w:t>
      </w:r>
      <w:r>
        <w:rPr/>
        <w:t>abrogó</w:t>
      </w:r>
      <w:r>
        <w:rPr>
          <w:spacing w:val="-4"/>
        </w:rPr>
        <w:t> </w:t>
      </w:r>
      <w:r>
        <w:rPr/>
        <w:t>la</w:t>
      </w:r>
      <w:r>
        <w:rPr>
          <w:spacing w:val="-4"/>
        </w:rPr>
        <w:t> </w:t>
      </w:r>
      <w:r>
        <w:rPr/>
        <w:t>LFPA;</w:t>
      </w:r>
      <w:r>
        <w:rPr>
          <w:spacing w:val="-4"/>
        </w:rPr>
        <w:t> </w:t>
      </w:r>
      <w:r>
        <w:rPr/>
        <w:t>de</w:t>
      </w:r>
      <w:r>
        <w:rPr>
          <w:spacing w:val="-4"/>
        </w:rPr>
        <w:t> </w:t>
      </w:r>
      <w:r>
        <w:rPr/>
        <w:t>ésta</w:t>
      </w:r>
      <w:r>
        <w:rPr>
          <w:spacing w:val="-4"/>
        </w:rPr>
        <w:t> </w:t>
      </w:r>
      <w:r>
        <w:rPr/>
        <w:t>se</w:t>
      </w:r>
      <w:r>
        <w:rPr>
          <w:spacing w:val="-4"/>
        </w:rPr>
        <w:t> </w:t>
      </w:r>
      <w:r>
        <w:rPr/>
        <w:t>derivó,</w:t>
      </w:r>
      <w:r>
        <w:rPr>
          <w:spacing w:val="-4"/>
        </w:rPr>
        <w:t> </w:t>
      </w:r>
      <w:r>
        <w:rPr/>
        <w:t>en</w:t>
      </w:r>
      <w:r>
        <w:rPr>
          <w:spacing w:val="-4"/>
        </w:rPr>
        <w:t> </w:t>
      </w:r>
      <w:r>
        <w:rPr/>
        <w:t>junio</w:t>
      </w:r>
      <w:r>
        <w:rPr>
          <w:spacing w:val="-4"/>
        </w:rPr>
        <w:t> </w:t>
      </w:r>
      <w:r>
        <w:rPr/>
        <w:t>del</w:t>
      </w:r>
      <w:r>
        <w:rPr>
          <w:spacing w:val="-4"/>
        </w:rPr>
        <w:t> </w:t>
      </w:r>
      <w:r>
        <w:rPr/>
        <w:t>mismo</w:t>
      </w:r>
      <w:r>
        <w:rPr>
          <w:spacing w:val="-4"/>
        </w:rPr>
        <w:t> </w:t>
      </w:r>
      <w:r>
        <w:rPr/>
        <w:t>año,</w:t>
      </w:r>
      <w:r>
        <w:rPr>
          <w:spacing w:val="-4"/>
        </w:rPr>
        <w:t> </w:t>
      </w:r>
      <w:r>
        <w:rPr/>
        <w:t>un</w:t>
      </w:r>
    </w:p>
    <w:p>
      <w:pPr>
        <w:pStyle w:val="BodyText"/>
        <w:spacing w:line="240" w:lineRule="atLeast"/>
        <w:ind w:left="131" w:right="-13"/>
      </w:pPr>
      <w:r>
        <w:rPr/>
        <w:t>reglamento en materia de impacto ambiental, de tal manera, por primera ocasión, se</w:t>
      </w:r>
      <w:r>
        <w:rPr>
          <w:w w:val="98"/>
        </w:rPr>
        <w:t> </w:t>
      </w:r>
      <w:r>
        <w:rPr/>
        <w:t>contaba con un marco legal sobre la Evaluación del Impacto Ambiental </w:t>
      </w:r>
      <w:r>
        <w:rPr>
          <w:spacing w:val="55"/>
        </w:rPr>
        <w:t> </w:t>
      </w:r>
      <w:r>
        <w:rPr/>
        <w:t>(SEMARNAP,</w:t>
      </w:r>
    </w:p>
    <w:p>
      <w:pPr>
        <w:tabs>
          <w:tab w:pos="1197" w:val="left" w:leader="none"/>
          <w:tab w:pos="7730" w:val="left" w:leader="none"/>
        </w:tabs>
        <w:spacing w:line="170" w:lineRule="exact" w:before="86"/>
        <w:ind w:left="1320" w:right="205" w:hanging="1190"/>
        <w:jc w:val="left"/>
        <w:rPr>
          <w:sz w:val="16"/>
        </w:rPr>
      </w:pPr>
      <w:r>
        <w:rPr/>
        <w:br w:type="column"/>
      </w:r>
      <w:r>
        <w:rPr>
          <w:w w:val="100"/>
          <w:sz w:val="16"/>
          <w:u w:val="dotted" w:color="929292"/>
        </w:rPr>
        <w:t> </w:t>
      </w:r>
      <w:r>
        <w:rPr>
          <w:spacing w:val="-16"/>
          <w:sz w:val="16"/>
          <w:u w:val="dotted" w:color="929292"/>
        </w:rPr>
        <w:t> </w:t>
      </w:r>
      <w:r>
        <w:rPr>
          <w:sz w:val="16"/>
          <w:u w:val="dotted" w:color="929292"/>
        </w:rPr>
        <w:t>Máxima</w:t>
        <w:tab/>
      </w:r>
      <w:r>
        <w:rPr>
          <w:sz w:val="16"/>
          <w:u w:val="dotted" w:color="929292"/>
        </w:rPr>
        <w:tab/>
        <w:tab/>
      </w:r>
      <w:r>
        <w:rPr>
          <w:sz w:val="16"/>
        </w:rPr>
        <w:t> Zona alta: clima</w:t>
      </w:r>
      <w:r>
        <w:rPr>
          <w:spacing w:val="20"/>
          <w:sz w:val="16"/>
        </w:rPr>
        <w:t> </w:t>
      </w:r>
      <w:r>
        <w:rPr>
          <w:sz w:val="16"/>
        </w:rPr>
        <w:t>subhúmedo.</w:t>
      </w:r>
    </w:p>
    <w:p>
      <w:pPr>
        <w:spacing w:line="148" w:lineRule="exact" w:before="72"/>
        <w:ind w:left="1320" w:right="205" w:firstLine="0"/>
        <w:jc w:val="left"/>
        <w:rPr>
          <w:sz w:val="16"/>
        </w:rPr>
      </w:pPr>
      <w:r>
        <w:rPr/>
        <w:pict>
          <v:line style="position:absolute;mso-position-horizontal-relative:page;mso-position-vertical-relative:paragraph;z-index:11752" from="513.25pt,-8.849483pt" to="513.25pt,-8.849483pt" stroked="true" strokeweight=".5pt" strokecolor="#929292">
            <w10:wrap type="none"/>
          </v:line>
        </w:pict>
      </w:r>
      <w:r>
        <w:rPr/>
        <w:pict>
          <v:line style="position:absolute;mso-position-horizontal-relative:page;mso-position-vertical-relative:paragraph;z-index:11776" from="895.5pt,-8.849483pt" to="895.5pt,-8.849483pt" stroked="true" strokeweight=".5pt" strokecolor="#929292">
            <w10:wrap type="none"/>
          </v:line>
        </w:pict>
      </w:r>
      <w:r>
        <w:rPr>
          <w:sz w:val="16"/>
        </w:rPr>
        <w:t>Zona baja: cálido.</w:t>
      </w:r>
    </w:p>
    <w:p>
      <w:pPr>
        <w:spacing w:after="0" w:line="148" w:lineRule="exact"/>
        <w:jc w:val="left"/>
        <w:rPr>
          <w:sz w:val="16"/>
        </w:rPr>
        <w:sectPr>
          <w:type w:val="continuous"/>
          <w:pgSz w:w="18830" w:h="12760" w:orient="landscape"/>
          <w:pgMar w:top="1420" w:bottom="280" w:left="720" w:right="720"/>
          <w:cols w:num="2" w:equalWidth="0">
            <w:col w:w="7842" w:space="1602"/>
            <w:col w:w="7946"/>
          </w:cols>
        </w:sectPr>
      </w:pPr>
    </w:p>
    <w:p>
      <w:pPr>
        <w:pStyle w:val="BodyText"/>
        <w:spacing w:before="10"/>
        <w:ind w:left="131" w:right="-4"/>
      </w:pPr>
      <w:r>
        <w:rPr/>
        <w:t>2000). En México desde 1988, se incorpora la elaboración de EIA como requisito  para</w:t>
      </w:r>
    </w:p>
    <w:p>
      <w:pPr>
        <w:spacing w:line="140" w:lineRule="exact" w:before="0"/>
        <w:ind w:left="131" w:right="-20" w:firstLine="0"/>
        <w:jc w:val="left"/>
        <w:rPr>
          <w:sz w:val="16"/>
        </w:rPr>
      </w:pPr>
      <w:r>
        <w:rPr/>
        <w:br w:type="column"/>
      </w:r>
      <w:r>
        <w:rPr>
          <w:sz w:val="16"/>
        </w:rPr>
        <w:t>Clima</w:t>
      </w:r>
    </w:p>
    <w:p>
      <w:pPr>
        <w:spacing w:before="84"/>
        <w:ind w:left="131" w:right="0" w:firstLine="0"/>
        <w:jc w:val="left"/>
        <w:rPr>
          <w:sz w:val="16"/>
        </w:rPr>
      </w:pPr>
      <w:r>
        <w:rPr/>
        <w:br w:type="column"/>
      </w:r>
      <w:r>
        <w:rPr>
          <w:sz w:val="16"/>
        </w:rPr>
        <w:t>Temperatura media anual de 20°.</w:t>
      </w:r>
    </w:p>
    <w:p>
      <w:pPr>
        <w:spacing w:after="0"/>
        <w:jc w:val="left"/>
        <w:rPr>
          <w:sz w:val="16"/>
        </w:rPr>
        <w:sectPr>
          <w:type w:val="continuous"/>
          <w:pgSz w:w="18830" w:h="12760" w:orient="landscape"/>
          <w:pgMar w:top="1420" w:bottom="280" w:left="720" w:right="720"/>
          <w:cols w:num="3" w:equalWidth="0">
            <w:col w:w="7841" w:space="1676"/>
            <w:col w:w="540" w:space="576"/>
            <w:col w:w="6757"/>
          </w:cols>
        </w:sectPr>
      </w:pPr>
    </w:p>
    <w:p>
      <w:pPr>
        <w:tabs>
          <w:tab w:pos="9574" w:val="left" w:leader="none"/>
          <w:tab w:pos="10641" w:val="left" w:leader="none"/>
          <w:tab w:pos="17174" w:val="left" w:leader="none"/>
        </w:tabs>
        <w:spacing w:line="246" w:lineRule="exact" w:before="0"/>
        <w:ind w:left="131" w:right="0" w:firstLine="0"/>
        <w:jc w:val="left"/>
        <w:rPr>
          <w:sz w:val="16"/>
        </w:rPr>
      </w:pPr>
      <w:r>
        <w:rPr>
          <w:sz w:val="20"/>
        </w:rPr>
        <w:t>proyectos</w:t>
      </w:r>
      <w:r>
        <w:rPr>
          <w:spacing w:val="19"/>
          <w:sz w:val="20"/>
        </w:rPr>
        <w:t> </w:t>
      </w:r>
      <w:r>
        <w:rPr>
          <w:sz w:val="20"/>
        </w:rPr>
        <w:t>que</w:t>
      </w:r>
      <w:r>
        <w:rPr>
          <w:spacing w:val="19"/>
          <w:sz w:val="20"/>
        </w:rPr>
        <w:t> </w:t>
      </w:r>
      <w:r>
        <w:rPr>
          <w:sz w:val="20"/>
        </w:rPr>
        <w:t>atenten</w:t>
      </w:r>
      <w:r>
        <w:rPr>
          <w:spacing w:val="20"/>
          <w:sz w:val="20"/>
        </w:rPr>
        <w:t> </w:t>
      </w:r>
      <w:r>
        <w:rPr>
          <w:sz w:val="20"/>
        </w:rPr>
        <w:t>contra</w:t>
      </w:r>
      <w:r>
        <w:rPr>
          <w:spacing w:val="20"/>
          <w:sz w:val="20"/>
        </w:rPr>
        <w:t> </w:t>
      </w:r>
      <w:r>
        <w:rPr>
          <w:sz w:val="20"/>
        </w:rPr>
        <w:t>el</w:t>
      </w:r>
      <w:r>
        <w:rPr>
          <w:spacing w:val="19"/>
          <w:sz w:val="20"/>
        </w:rPr>
        <w:t> </w:t>
      </w:r>
      <w:r>
        <w:rPr>
          <w:sz w:val="20"/>
        </w:rPr>
        <w:t>ambiente,</w:t>
      </w:r>
      <w:r>
        <w:rPr>
          <w:spacing w:val="19"/>
          <w:sz w:val="20"/>
        </w:rPr>
        <w:t> </w:t>
      </w:r>
      <w:r>
        <w:rPr>
          <w:sz w:val="20"/>
        </w:rPr>
        <w:t>aunque</w:t>
      </w:r>
      <w:r>
        <w:rPr>
          <w:spacing w:val="19"/>
          <w:sz w:val="20"/>
        </w:rPr>
        <w:t> </w:t>
      </w:r>
      <w:r>
        <w:rPr>
          <w:sz w:val="20"/>
        </w:rPr>
        <w:t>habían</w:t>
      </w:r>
      <w:r>
        <w:rPr>
          <w:spacing w:val="19"/>
          <w:sz w:val="20"/>
        </w:rPr>
        <w:t> </w:t>
      </w:r>
      <w:r>
        <w:rPr>
          <w:sz w:val="20"/>
        </w:rPr>
        <w:t>sido</w:t>
      </w:r>
      <w:r>
        <w:rPr>
          <w:spacing w:val="20"/>
          <w:sz w:val="20"/>
        </w:rPr>
        <w:t> </w:t>
      </w:r>
      <w:r>
        <w:rPr>
          <w:sz w:val="20"/>
        </w:rPr>
        <w:t>aplicados</w:t>
      </w:r>
      <w:r>
        <w:rPr>
          <w:spacing w:val="19"/>
          <w:sz w:val="20"/>
        </w:rPr>
        <w:t> </w:t>
      </w:r>
      <w:r>
        <w:rPr>
          <w:sz w:val="20"/>
        </w:rPr>
        <w:t>a</w:t>
      </w:r>
      <w:r>
        <w:rPr>
          <w:spacing w:val="20"/>
          <w:sz w:val="20"/>
        </w:rPr>
        <w:t> </w:t>
      </w:r>
      <w:r>
        <w:rPr>
          <w:sz w:val="20"/>
        </w:rPr>
        <w:t>partir</w:t>
      </w:r>
      <w:r>
        <w:rPr>
          <w:spacing w:val="19"/>
          <w:sz w:val="20"/>
        </w:rPr>
        <w:t> </w:t>
      </w:r>
      <w:r>
        <w:rPr>
          <w:sz w:val="20"/>
        </w:rPr>
        <w:t>de</w:t>
        <w:tab/>
      </w:r>
      <w:r>
        <w:rPr>
          <w:sz w:val="20"/>
          <w:u w:val="dotted" w:color="929292"/>
        </w:rPr>
        <w:tab/>
      </w:r>
      <w:r>
        <w:rPr>
          <w:position w:val="-4"/>
          <w:sz w:val="16"/>
          <w:u w:val="dotted" w:color="929292"/>
        </w:rPr>
        <w:t>La precipitación pluvial es de 1,177 mm al</w:t>
      </w:r>
      <w:r>
        <w:rPr>
          <w:spacing w:val="9"/>
          <w:position w:val="-4"/>
          <w:sz w:val="16"/>
          <w:u w:val="dotted" w:color="929292"/>
        </w:rPr>
        <w:t> </w:t>
      </w:r>
      <w:r>
        <w:rPr>
          <w:position w:val="-4"/>
          <w:sz w:val="16"/>
          <w:u w:val="dotted" w:color="929292"/>
        </w:rPr>
        <w:t>año</w:t>
        <w:tab/>
      </w:r>
    </w:p>
    <w:p>
      <w:pPr>
        <w:spacing w:after="0" w:line="246" w:lineRule="exact"/>
        <w:jc w:val="left"/>
        <w:rPr>
          <w:sz w:val="16"/>
        </w:rPr>
        <w:sectPr>
          <w:type w:val="continuous"/>
          <w:pgSz w:w="18830" w:h="12760" w:orient="landscape"/>
          <w:pgMar w:top="1420" w:bottom="280" w:left="720" w:right="720"/>
        </w:sectPr>
      </w:pPr>
    </w:p>
    <w:p>
      <w:pPr>
        <w:pStyle w:val="BodyText"/>
        <w:spacing w:line="206" w:lineRule="exact"/>
        <w:ind w:left="131" w:right="-16"/>
      </w:pPr>
      <w:r>
        <w:rPr/>
        <w:pict>
          <v:line style="position:absolute;mso-position-horizontal-relative:page;mso-position-vertical-relative:paragraph;z-index:11800" from="513.25pt,.265766pt" to="513.25pt,.265766pt" stroked="true" strokeweight=".5pt" strokecolor="#929292">
            <w10:wrap type="none"/>
          </v:line>
        </w:pict>
      </w:r>
      <w:r>
        <w:rPr/>
        <w:pict>
          <v:line style="position:absolute;mso-position-horizontal-relative:page;mso-position-vertical-relative:paragraph;z-index:11824" from="895.5pt,.265766pt" to="895.5pt,.265766pt" stroked="true" strokeweight=".5pt" strokecolor="#929292">
            <w10:wrap type="none"/>
          </v:line>
        </w:pict>
      </w:r>
      <w:r>
        <w:rPr/>
        <w:t>1977 para la evaluación preliminar de proyectos hidráulicos (SEMARNAP, 2000).</w:t>
      </w:r>
    </w:p>
    <w:p>
      <w:pPr>
        <w:pStyle w:val="BodyText"/>
        <w:spacing w:before="8"/>
        <w:rPr>
          <w:sz w:val="21"/>
        </w:rPr>
      </w:pPr>
    </w:p>
    <w:p>
      <w:pPr>
        <w:pStyle w:val="BodyText"/>
        <w:ind w:left="301" w:right="-16"/>
      </w:pPr>
      <w:r>
        <w:rPr/>
        <w:t>En México, el término Evaluación de Impacto Ambiental es utilizado para describir</w:t>
      </w:r>
    </w:p>
    <w:p>
      <w:pPr>
        <w:tabs>
          <w:tab w:pos="1320" w:val="left" w:leader="none"/>
        </w:tabs>
        <w:spacing w:line="239" w:lineRule="exact" w:before="0"/>
        <w:ind w:left="203" w:right="205" w:firstLine="0"/>
        <w:jc w:val="left"/>
        <w:rPr>
          <w:sz w:val="16"/>
        </w:rPr>
      </w:pPr>
      <w:r>
        <w:rPr/>
        <w:br w:type="column"/>
      </w:r>
      <w:r>
        <w:rPr>
          <w:position w:val="-9"/>
          <w:sz w:val="16"/>
        </w:rPr>
        <w:t>Edafología</w:t>
        <w:tab/>
      </w:r>
      <w:r>
        <w:rPr>
          <w:sz w:val="16"/>
        </w:rPr>
        <w:t>La clase de suelos más frecuente que se encuentran en esta zona son: feozem</w:t>
      </w:r>
      <w:r>
        <w:rPr>
          <w:spacing w:val="14"/>
          <w:sz w:val="16"/>
        </w:rPr>
        <w:t> </w:t>
      </w:r>
      <w:r>
        <w:rPr>
          <w:sz w:val="16"/>
        </w:rPr>
        <w:t>háplico</w:t>
      </w:r>
    </w:p>
    <w:p>
      <w:pPr>
        <w:tabs>
          <w:tab w:pos="1197" w:val="left" w:leader="none"/>
          <w:tab w:pos="7730" w:val="left" w:leader="none"/>
        </w:tabs>
        <w:spacing w:line="135" w:lineRule="exact" w:before="0"/>
        <w:ind w:left="131" w:right="0" w:firstLine="0"/>
        <w:jc w:val="left"/>
        <w:rPr>
          <w:sz w:val="16"/>
        </w:rPr>
      </w:pPr>
      <w:r>
        <w:rPr/>
        <w:pict>
          <v:line style="position:absolute;mso-position-horizontal-relative:page;mso-position-vertical-relative:paragraph;z-index:11848" from="513.25pt,6.84pt" to="513.25pt,6.84pt" stroked="true" strokeweight=".5pt" strokecolor="#929292">
            <w10:wrap type="none"/>
          </v:line>
        </w:pict>
      </w:r>
      <w:r>
        <w:rPr/>
        <w:pict>
          <v:line style="position:absolute;mso-position-horizontal-relative:page;mso-position-vertical-relative:paragraph;z-index:11872" from="895.5pt,6.84pt" to="895.5pt,6.84pt" stroked="true" strokeweight=".5pt" strokecolor="#929292">
            <w10:wrap type="none"/>
          </v:line>
        </w:pict>
      </w:r>
      <w:r>
        <w:rPr>
          <w:w w:val="100"/>
          <w:sz w:val="16"/>
          <w:u w:val="dotted" w:color="929292"/>
        </w:rPr>
        <w:t> </w:t>
      </w:r>
      <w:r>
        <w:rPr>
          <w:sz w:val="16"/>
          <w:u w:val="dotted" w:color="929292"/>
        </w:rPr>
        <w:tab/>
      </w:r>
      <w:r>
        <w:rPr>
          <w:sz w:val="16"/>
        </w:rPr>
        <w:t> </w:t>
      </w:r>
      <w:r>
        <w:rPr>
          <w:w w:val="100"/>
          <w:sz w:val="16"/>
          <w:u w:val="dotted" w:color="929292"/>
        </w:rPr>
        <w:t> </w:t>
      </w:r>
      <w:r>
        <w:rPr>
          <w:spacing w:val="-11"/>
          <w:sz w:val="16"/>
          <w:u w:val="dotted" w:color="929292"/>
        </w:rPr>
        <w:t> </w:t>
      </w:r>
      <w:r>
        <w:rPr>
          <w:sz w:val="16"/>
          <w:u w:val="dotted" w:color="929292"/>
        </w:rPr>
        <w:t>y</w:t>
      </w:r>
      <w:r>
        <w:rPr>
          <w:spacing w:val="11"/>
          <w:sz w:val="16"/>
          <w:u w:val="dotted" w:color="929292"/>
        </w:rPr>
        <w:t> </w:t>
      </w:r>
      <w:r>
        <w:rPr>
          <w:sz w:val="16"/>
          <w:u w:val="dotted" w:color="929292"/>
        </w:rPr>
        <w:t>litosol.</w:t>
        <w:tab/>
      </w:r>
    </w:p>
    <w:p>
      <w:pPr>
        <w:spacing w:line="177" w:lineRule="exact" w:before="0"/>
        <w:ind w:left="1320" w:right="205" w:firstLine="0"/>
        <w:jc w:val="left"/>
        <w:rPr>
          <w:sz w:val="16"/>
        </w:rPr>
      </w:pPr>
      <w:r>
        <w:rPr>
          <w:sz w:val="16"/>
        </w:rPr>
        <w:t>La vegetación predominante es: bosque mixto de pino - encino y el bosque de   pino,</w:t>
      </w:r>
    </w:p>
    <w:p>
      <w:pPr>
        <w:tabs>
          <w:tab w:pos="1320" w:val="left" w:leader="none"/>
        </w:tabs>
        <w:spacing w:line="152" w:lineRule="exact" w:before="16"/>
        <w:ind w:left="203" w:right="205" w:firstLine="0"/>
        <w:jc w:val="left"/>
        <w:rPr>
          <w:sz w:val="16"/>
        </w:rPr>
      </w:pPr>
      <w:r>
        <w:rPr>
          <w:sz w:val="16"/>
        </w:rPr>
        <w:t>Vegetación</w:t>
        <w:tab/>
        <w:t>bajas, la selva baja caducifolia, ahíles, sauces y ahuehuetes; guaje, tepehuaje,</w:t>
      </w:r>
      <w:r>
        <w:rPr>
          <w:spacing w:val="-19"/>
          <w:sz w:val="16"/>
        </w:rPr>
        <w:t> </w:t>
      </w:r>
      <w:r>
        <w:rPr>
          <w:sz w:val="16"/>
        </w:rPr>
        <w:t>huajillo,</w:t>
      </w:r>
    </w:p>
    <w:p>
      <w:pPr>
        <w:spacing w:after="0" w:line="152" w:lineRule="exact"/>
        <w:jc w:val="left"/>
        <w:rPr>
          <w:sz w:val="16"/>
        </w:rPr>
        <w:sectPr>
          <w:type w:val="continuous"/>
          <w:pgSz w:w="18830" w:h="12760" w:orient="landscape"/>
          <w:pgMar w:top="1420" w:bottom="280" w:left="720" w:right="720"/>
          <w:cols w:num="2" w:equalWidth="0">
            <w:col w:w="7841" w:space="1603"/>
            <w:col w:w="7946"/>
          </w:cols>
        </w:sectPr>
      </w:pPr>
    </w:p>
    <w:p>
      <w:pPr>
        <w:tabs>
          <w:tab w:pos="9574" w:val="left" w:leader="none"/>
          <w:tab w:pos="10641" w:val="left" w:leader="none"/>
          <w:tab w:pos="17174" w:val="left" w:leader="none"/>
        </w:tabs>
        <w:spacing w:line="237" w:lineRule="exact" w:before="0"/>
        <w:ind w:left="131" w:right="0" w:firstLine="0"/>
        <w:jc w:val="left"/>
        <w:rPr>
          <w:sz w:val="16"/>
        </w:rPr>
      </w:pPr>
      <w:r>
        <w:rPr/>
        <w:pict>
          <v:line style="position:absolute;mso-position-horizontal-relative:page;mso-position-vertical-relative:paragraph;z-index:11920" from="895.5pt,11.358866pt" to="895.5pt,11.358866pt" stroked="true" strokeweight=".5pt" strokecolor="#929292">
            <w10:wrap type="none"/>
          </v:line>
        </w:pict>
      </w:r>
      <w:r>
        <w:rPr>
          <w:sz w:val="20"/>
        </w:rPr>
        <w:t>el proceso jurídico administrativo impuesto por un gobierno a las agencias </w:t>
      </w:r>
      <w:r>
        <w:rPr>
          <w:spacing w:val="47"/>
          <w:sz w:val="20"/>
        </w:rPr>
        <w:t> </w:t>
      </w:r>
      <w:r>
        <w:rPr>
          <w:sz w:val="20"/>
        </w:rPr>
        <w:t>públicas</w:t>
      </w:r>
      <w:r>
        <w:rPr>
          <w:spacing w:val="8"/>
          <w:sz w:val="20"/>
        </w:rPr>
        <w:t> </w:t>
      </w:r>
      <w:r>
        <w:rPr>
          <w:sz w:val="20"/>
        </w:rPr>
        <w:t>o</w:t>
        <w:tab/>
      </w:r>
      <w:r>
        <w:rPr>
          <w:sz w:val="20"/>
          <w:u w:val="dotted" w:color="929292"/>
        </w:rPr>
        <w:tab/>
      </w:r>
      <w:r>
        <w:rPr>
          <w:position w:val="-3"/>
          <w:sz w:val="16"/>
          <w:u w:val="dotted" w:color="929292"/>
        </w:rPr>
        <w:t>timbre, palo dulce, aguacate, níspero, cítrico, ciruelos, zapote, plátano y</w:t>
      </w:r>
      <w:r>
        <w:rPr>
          <w:spacing w:val="17"/>
          <w:position w:val="-3"/>
          <w:sz w:val="16"/>
          <w:u w:val="dotted" w:color="929292"/>
        </w:rPr>
        <w:t> </w:t>
      </w:r>
      <w:r>
        <w:rPr>
          <w:position w:val="-3"/>
          <w:sz w:val="16"/>
          <w:u w:val="dotted" w:color="929292"/>
        </w:rPr>
        <w:t>café</w:t>
        <w:tab/>
      </w:r>
    </w:p>
    <w:p>
      <w:pPr>
        <w:spacing w:after="0" w:line="237" w:lineRule="exact"/>
        <w:jc w:val="left"/>
        <w:rPr>
          <w:sz w:val="16"/>
        </w:rPr>
        <w:sectPr>
          <w:type w:val="continuous"/>
          <w:pgSz w:w="18830" w:h="12760" w:orient="landscape"/>
          <w:pgMar w:top="1420" w:bottom="280" w:left="720" w:right="720"/>
        </w:sectPr>
      </w:pPr>
    </w:p>
    <w:p>
      <w:pPr>
        <w:pStyle w:val="BodyText"/>
        <w:spacing w:line="208" w:lineRule="exact"/>
        <w:ind w:left="131"/>
        <w:jc w:val="both"/>
      </w:pPr>
      <w:r>
        <w:rPr/>
        <w:t>privadas para aprobar, rechazar o modificar un proyecto o actividad desde su etapa de</w:t>
      </w:r>
    </w:p>
    <w:p>
      <w:pPr>
        <w:pStyle w:val="BodyText"/>
        <w:spacing w:line="249" w:lineRule="auto" w:before="10"/>
        <w:ind w:left="131"/>
        <w:jc w:val="both"/>
      </w:pPr>
      <w:r>
        <w:rPr/>
        <w:t>planeación, a través de un proceso o método analítico que permite identificar y evaluar los impactos potenciales que puede provocar un proyecto, programa o actividad sobre el medio ambiente. Se caracteriza por ser un estudio sistemático de carácter integral</w:t>
      </w:r>
    </w:p>
    <w:p>
      <w:pPr>
        <w:pStyle w:val="BodyText"/>
        <w:spacing w:line="20" w:lineRule="exact"/>
        <w:ind w:left="23"/>
        <w:rPr>
          <w:sz w:val="2"/>
        </w:rPr>
      </w:pPr>
      <w:r>
        <w:rPr/>
        <w:br w:type="column"/>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BodyText"/>
        <w:rPr>
          <w:sz w:val="16"/>
        </w:rPr>
      </w:pPr>
    </w:p>
    <w:p>
      <w:pPr>
        <w:pStyle w:val="BodyText"/>
        <w:spacing w:before="10"/>
        <w:rPr>
          <w:sz w:val="22"/>
        </w:rPr>
      </w:pPr>
    </w:p>
    <w:p>
      <w:pPr>
        <w:spacing w:before="0"/>
        <w:ind w:left="131" w:right="-9" w:firstLine="0"/>
        <w:jc w:val="left"/>
        <w:rPr>
          <w:sz w:val="16"/>
        </w:rPr>
      </w:pPr>
      <w:r>
        <w:rPr>
          <w:w w:val="95"/>
          <w:sz w:val="16"/>
        </w:rPr>
        <w:t>Fauna</w:t>
      </w:r>
    </w:p>
    <w:p>
      <w:pPr>
        <w:spacing w:line="166" w:lineRule="exact" w:before="0"/>
        <w:ind w:left="131" w:right="0" w:firstLine="0"/>
        <w:jc w:val="left"/>
        <w:rPr>
          <w:sz w:val="16"/>
        </w:rPr>
      </w:pPr>
      <w:r>
        <w:rPr/>
        <w:br w:type="column"/>
      </w:r>
      <w:r>
        <w:rPr>
          <w:sz w:val="16"/>
        </w:rPr>
        <w:t>Encontramos:</w:t>
      </w:r>
    </w:p>
    <w:p>
      <w:pPr>
        <w:spacing w:line="261" w:lineRule="auto" w:before="72"/>
        <w:ind w:left="131" w:right="0" w:firstLine="0"/>
        <w:jc w:val="left"/>
        <w:rPr>
          <w:sz w:val="16"/>
        </w:rPr>
      </w:pPr>
      <w:r>
        <w:rPr>
          <w:sz w:val="16"/>
        </w:rPr>
        <w:t>Mamíferos: venado, tejón, mapache, tlalcoyote, cacomixtle, zorrillo, coyote, zorro, gato montés, conejo, tlacuache, armadillo.</w:t>
      </w:r>
    </w:p>
    <w:p>
      <w:pPr>
        <w:spacing w:before="56"/>
        <w:ind w:left="131" w:right="0" w:firstLine="0"/>
        <w:jc w:val="left"/>
        <w:rPr>
          <w:sz w:val="16"/>
        </w:rPr>
      </w:pPr>
      <w:r>
        <w:rPr>
          <w:sz w:val="16"/>
        </w:rPr>
        <w:t>Aves: gavilán, halcón, lechuza, zopilotes, garzas, cuervos.</w:t>
      </w:r>
    </w:p>
    <w:p>
      <w:pPr>
        <w:spacing w:after="0"/>
        <w:jc w:val="left"/>
        <w:rPr>
          <w:sz w:val="16"/>
        </w:rPr>
        <w:sectPr>
          <w:type w:val="continuous"/>
          <w:pgSz w:w="18830" w:h="12760" w:orient="landscape"/>
          <w:pgMar w:top="1420" w:bottom="280" w:left="720" w:right="720"/>
          <w:cols w:num="3" w:equalWidth="0">
            <w:col w:w="7842" w:space="1675"/>
            <w:col w:w="573" w:space="544"/>
            <w:col w:w="6756"/>
          </w:cols>
        </w:sectPr>
      </w:pPr>
    </w:p>
    <w:p>
      <w:pPr>
        <w:tabs>
          <w:tab w:pos="9574" w:val="left" w:leader="none"/>
          <w:tab w:pos="10641" w:val="left" w:leader="none"/>
          <w:tab w:pos="17174" w:val="left" w:leader="none"/>
        </w:tabs>
        <w:spacing w:before="1"/>
        <w:ind w:left="131" w:right="0" w:firstLine="0"/>
        <w:jc w:val="left"/>
        <w:rPr>
          <w:sz w:val="16"/>
        </w:rPr>
      </w:pPr>
      <w:r>
        <w:rPr/>
        <w:pict>
          <v:line style="position:absolute;mso-position-horizontal-relative:page;mso-position-vertical-relative:paragraph;z-index:-640888" from="513.25pt,9.674569pt" to="513.25pt,9.674569pt" stroked="true" strokeweight=".5pt" strokecolor="#929292">
            <w10:wrap type="none"/>
          </v:line>
        </w:pict>
      </w:r>
      <w:r>
        <w:rPr/>
        <w:pict>
          <v:line style="position:absolute;mso-position-horizontal-relative:page;mso-position-vertical-relative:paragraph;z-index:11944" from="895.5pt,9.674569pt" to="895.5pt,9.674569pt" stroked="true" strokeweight=".5pt" strokecolor="#929292">
            <w10:wrap type="none"/>
          </v:line>
        </w:pict>
      </w:r>
      <w:r>
        <w:rPr>
          <w:sz w:val="20"/>
        </w:rPr>
        <w:t>que</w:t>
      </w:r>
      <w:r>
        <w:rPr>
          <w:spacing w:val="38"/>
          <w:sz w:val="20"/>
        </w:rPr>
        <w:t> </w:t>
      </w:r>
      <w:r>
        <w:rPr>
          <w:sz w:val="20"/>
        </w:rPr>
        <w:t>requiere</w:t>
      </w:r>
      <w:r>
        <w:rPr>
          <w:spacing w:val="38"/>
          <w:sz w:val="20"/>
        </w:rPr>
        <w:t> </w:t>
      </w:r>
      <w:r>
        <w:rPr>
          <w:sz w:val="20"/>
        </w:rPr>
        <w:t>la</w:t>
      </w:r>
      <w:r>
        <w:rPr>
          <w:spacing w:val="38"/>
          <w:sz w:val="20"/>
        </w:rPr>
        <w:t> </w:t>
      </w:r>
      <w:r>
        <w:rPr>
          <w:sz w:val="20"/>
        </w:rPr>
        <w:t>participación</w:t>
      </w:r>
      <w:r>
        <w:rPr>
          <w:spacing w:val="38"/>
          <w:sz w:val="20"/>
        </w:rPr>
        <w:t> </w:t>
      </w:r>
      <w:r>
        <w:rPr>
          <w:sz w:val="20"/>
        </w:rPr>
        <w:t>de</w:t>
      </w:r>
      <w:r>
        <w:rPr>
          <w:spacing w:val="38"/>
          <w:sz w:val="20"/>
        </w:rPr>
        <w:t> </w:t>
      </w:r>
      <w:r>
        <w:rPr>
          <w:sz w:val="20"/>
        </w:rPr>
        <w:t>un</w:t>
      </w:r>
      <w:r>
        <w:rPr>
          <w:spacing w:val="38"/>
          <w:sz w:val="20"/>
        </w:rPr>
        <w:t> </w:t>
      </w:r>
      <w:r>
        <w:rPr>
          <w:sz w:val="20"/>
        </w:rPr>
        <w:t>grupo</w:t>
      </w:r>
      <w:r>
        <w:rPr>
          <w:spacing w:val="38"/>
          <w:sz w:val="20"/>
        </w:rPr>
        <w:t> </w:t>
      </w:r>
      <w:r>
        <w:rPr>
          <w:sz w:val="20"/>
        </w:rPr>
        <w:t>multidisciplinario</w:t>
      </w:r>
      <w:r>
        <w:rPr>
          <w:spacing w:val="38"/>
          <w:sz w:val="20"/>
        </w:rPr>
        <w:t> </w:t>
      </w:r>
      <w:r>
        <w:rPr>
          <w:sz w:val="20"/>
        </w:rPr>
        <w:t>de</w:t>
      </w:r>
      <w:r>
        <w:rPr>
          <w:spacing w:val="38"/>
          <w:sz w:val="20"/>
        </w:rPr>
        <w:t> </w:t>
      </w:r>
      <w:r>
        <w:rPr>
          <w:sz w:val="20"/>
        </w:rPr>
        <w:t>especialistas,</w:t>
      </w:r>
      <w:r>
        <w:rPr>
          <w:spacing w:val="38"/>
          <w:sz w:val="20"/>
        </w:rPr>
        <w:t> </w:t>
      </w:r>
      <w:r>
        <w:rPr>
          <w:sz w:val="20"/>
        </w:rPr>
        <w:t>como</w:t>
        <w:tab/>
      </w:r>
      <w:r>
        <w:rPr>
          <w:sz w:val="20"/>
          <w:u w:val="dotted" w:color="929292"/>
        </w:rPr>
        <w:tab/>
      </w:r>
      <w:r>
        <w:rPr>
          <w:position w:val="2"/>
          <w:sz w:val="16"/>
          <w:u w:val="dotted" w:color="929292"/>
        </w:rPr>
        <w:t>Reptiles: tortuga, lagartija, víbora de cascabel y distintas clases de</w:t>
      </w:r>
      <w:r>
        <w:rPr>
          <w:spacing w:val="15"/>
          <w:position w:val="2"/>
          <w:sz w:val="16"/>
          <w:u w:val="dotted" w:color="929292"/>
        </w:rPr>
        <w:t> </w:t>
      </w:r>
      <w:r>
        <w:rPr>
          <w:position w:val="2"/>
          <w:sz w:val="16"/>
          <w:u w:val="dotted" w:color="929292"/>
        </w:rPr>
        <w:t>serpientes</w:t>
        <w:tab/>
      </w:r>
    </w:p>
    <w:p>
      <w:pPr>
        <w:spacing w:after="0"/>
        <w:jc w:val="left"/>
        <w:rPr>
          <w:sz w:val="16"/>
        </w:rPr>
        <w:sectPr>
          <w:type w:val="continuous"/>
          <w:pgSz w:w="18830" w:h="12760" w:orient="landscape"/>
          <w:pgMar w:top="1420" w:bottom="280" w:left="720" w:right="720"/>
        </w:sectPr>
      </w:pPr>
    </w:p>
    <w:p>
      <w:pPr>
        <w:pStyle w:val="BodyText"/>
        <w:spacing w:line="249" w:lineRule="auto" w:before="10"/>
        <w:ind w:left="131" w:right="3"/>
      </w:pPr>
      <w:r>
        <w:rPr/>
        <w:t>geógrafos, ecólogos, sociólogos, planificadores, ingenieros, economistas, entre otros </w:t>
      </w:r>
      <w:r>
        <w:rPr>
          <w:w w:val="95"/>
        </w:rPr>
        <w:t>(SEMARNAP, 2000).</w:t>
      </w:r>
    </w:p>
    <w:p>
      <w:pPr>
        <w:pStyle w:val="BodyText"/>
        <w:spacing w:before="11"/>
      </w:pPr>
    </w:p>
    <w:p>
      <w:pPr>
        <w:pStyle w:val="BodyText"/>
        <w:spacing w:line="249" w:lineRule="auto"/>
        <w:ind w:left="131" w:firstLine="170"/>
        <w:jc w:val="both"/>
      </w:pPr>
      <w:r>
        <w:rPr/>
        <w:t>De acuerdo con la LGEEPA, la Evaluación de Impacto Ambiental es el</w:t>
      </w:r>
      <w:r>
        <w:rPr>
          <w:spacing w:val="-26"/>
        </w:rPr>
        <w:t> </w:t>
      </w:r>
      <w:r>
        <w:rPr/>
        <w:t>procedimiento a través del cual la Secretaría del Medio Ambiente del Gobierno Federal establece    las condiciones a que se sujetará la realización de obras y actividades que puedan causar desequilibrio ecológico o rebasar los límites y condiciones establecidos en las disposiciones aplicables para proteger el ambiente y preservar los ecosistemas, a fin de evitar o reducir al mínimo sus efectos negativos sobre el medio ambiente. Para ello quienes pretendan llevar a cabo alguna obra o actividad especificada en la misma ley, requerirán</w:t>
      </w:r>
      <w:r>
        <w:rPr>
          <w:spacing w:val="-12"/>
        </w:rPr>
        <w:t> </w:t>
      </w:r>
      <w:r>
        <w:rPr/>
        <w:t>previamente</w:t>
      </w:r>
      <w:r>
        <w:rPr>
          <w:spacing w:val="-12"/>
        </w:rPr>
        <w:t> </w:t>
      </w:r>
      <w:r>
        <w:rPr/>
        <w:t>la</w:t>
      </w:r>
      <w:r>
        <w:rPr>
          <w:spacing w:val="-12"/>
        </w:rPr>
        <w:t> </w:t>
      </w:r>
      <w:r>
        <w:rPr/>
        <w:t>autorización</w:t>
      </w:r>
      <w:r>
        <w:rPr>
          <w:spacing w:val="-12"/>
        </w:rPr>
        <w:t> </w:t>
      </w:r>
      <w:r>
        <w:rPr/>
        <w:t>de</w:t>
      </w:r>
      <w:r>
        <w:rPr>
          <w:spacing w:val="-12"/>
        </w:rPr>
        <w:t> </w:t>
      </w:r>
      <w:r>
        <w:rPr/>
        <w:t>la</w:t>
      </w:r>
      <w:r>
        <w:rPr>
          <w:spacing w:val="-12"/>
        </w:rPr>
        <w:t> </w:t>
      </w:r>
      <w:r>
        <w:rPr/>
        <w:t>Secretaría</w:t>
      </w:r>
      <w:r>
        <w:rPr>
          <w:spacing w:val="-12"/>
        </w:rPr>
        <w:t> </w:t>
      </w:r>
      <w:r>
        <w:rPr/>
        <w:t>en</w:t>
      </w:r>
      <w:r>
        <w:rPr>
          <w:spacing w:val="-12"/>
        </w:rPr>
        <w:t> </w:t>
      </w:r>
      <w:r>
        <w:rPr/>
        <w:t>materia</w:t>
      </w:r>
      <w:r>
        <w:rPr>
          <w:spacing w:val="-12"/>
        </w:rPr>
        <w:t> </w:t>
      </w:r>
      <w:r>
        <w:rPr/>
        <w:t>de</w:t>
      </w:r>
      <w:r>
        <w:rPr>
          <w:spacing w:val="-12"/>
        </w:rPr>
        <w:t> </w:t>
      </w:r>
      <w:r>
        <w:rPr/>
        <w:t>impacto</w:t>
      </w:r>
      <w:r>
        <w:rPr>
          <w:spacing w:val="-12"/>
        </w:rPr>
        <w:t> </w:t>
      </w:r>
      <w:r>
        <w:rPr/>
        <w:t>ambiental (Estados Unidos Mexicanos,</w:t>
      </w:r>
      <w:r>
        <w:rPr>
          <w:spacing w:val="-2"/>
        </w:rPr>
        <w:t> </w:t>
      </w:r>
      <w:r>
        <w:rPr/>
        <w:t>2007).</w:t>
      </w:r>
    </w:p>
    <w:p>
      <w:pPr>
        <w:pStyle w:val="BodyText"/>
        <w:spacing w:before="6"/>
      </w:pPr>
    </w:p>
    <w:p>
      <w:pPr>
        <w:pStyle w:val="Heading1"/>
        <w:spacing w:line="240" w:lineRule="exact"/>
        <w:ind w:left="1666" w:right="3" w:hanging="1499"/>
      </w:pPr>
      <w:r>
        <w:rPr/>
        <w:t>Propuesta metodológica para el análisis de los impactos territoria- les de la expansión urbana en Malinalco.</w:t>
      </w:r>
    </w:p>
    <w:p>
      <w:pPr>
        <w:spacing w:before="207"/>
        <w:ind w:left="301" w:right="3" w:firstLine="0"/>
        <w:jc w:val="left"/>
        <w:rPr>
          <w:b/>
          <w:sz w:val="24"/>
        </w:rPr>
      </w:pPr>
      <w:r>
        <w:rPr>
          <w:b/>
          <w:sz w:val="24"/>
        </w:rPr>
        <w:t>Ubicación y características del área de estudio</w:t>
      </w:r>
    </w:p>
    <w:p>
      <w:pPr>
        <w:pStyle w:val="BodyText"/>
        <w:rPr>
          <w:b/>
          <w:sz w:val="21"/>
        </w:rPr>
      </w:pPr>
    </w:p>
    <w:p>
      <w:pPr>
        <w:pStyle w:val="BodyText"/>
        <w:spacing w:line="249" w:lineRule="auto"/>
        <w:ind w:left="131" w:firstLine="170"/>
        <w:jc w:val="both"/>
      </w:pPr>
      <w:r>
        <w:rPr/>
        <w:t>El área de estudio se ubica a los 19º 57’ 07’’ de latitud norte y a los 99º 30’ 06’’ de longitud del Meridiano de Greenwich; limita al norte con los municipios de Joquicingo y Ocuilan;</w:t>
      </w:r>
      <w:r>
        <w:rPr>
          <w:spacing w:val="-4"/>
        </w:rPr>
        <w:t> </w:t>
      </w:r>
      <w:r>
        <w:rPr/>
        <w:t>al</w:t>
      </w:r>
      <w:r>
        <w:rPr>
          <w:spacing w:val="-3"/>
        </w:rPr>
        <w:t> </w:t>
      </w:r>
      <w:r>
        <w:rPr/>
        <w:t>sur</w:t>
      </w:r>
      <w:r>
        <w:rPr>
          <w:spacing w:val="-3"/>
        </w:rPr>
        <w:t> </w:t>
      </w:r>
      <w:r>
        <w:rPr/>
        <w:t>con</w:t>
      </w:r>
      <w:r>
        <w:rPr>
          <w:spacing w:val="-3"/>
        </w:rPr>
        <w:t> </w:t>
      </w:r>
      <w:r>
        <w:rPr/>
        <w:t>el</w:t>
      </w:r>
      <w:r>
        <w:rPr>
          <w:spacing w:val="-3"/>
        </w:rPr>
        <w:t> </w:t>
      </w:r>
      <w:r>
        <w:rPr/>
        <w:t>municipio</w:t>
      </w:r>
      <w:r>
        <w:rPr>
          <w:spacing w:val="-3"/>
        </w:rPr>
        <w:t> </w:t>
      </w:r>
      <w:r>
        <w:rPr/>
        <w:t>de</w:t>
      </w:r>
      <w:r>
        <w:rPr>
          <w:spacing w:val="-3"/>
        </w:rPr>
        <w:t> </w:t>
      </w:r>
      <w:r>
        <w:rPr/>
        <w:t>Zumpahuacán</w:t>
      </w:r>
      <w:r>
        <w:rPr>
          <w:spacing w:val="-4"/>
        </w:rPr>
        <w:t> </w:t>
      </w:r>
      <w:r>
        <w:rPr/>
        <w:t>y</w:t>
      </w:r>
      <w:r>
        <w:rPr>
          <w:spacing w:val="-3"/>
        </w:rPr>
        <w:t> </w:t>
      </w:r>
      <w:r>
        <w:rPr/>
        <w:t>el</w:t>
      </w:r>
      <w:r>
        <w:rPr>
          <w:spacing w:val="-3"/>
        </w:rPr>
        <w:t> </w:t>
      </w:r>
      <w:r>
        <w:rPr/>
        <w:t>estado</w:t>
      </w:r>
      <w:r>
        <w:rPr>
          <w:spacing w:val="-3"/>
        </w:rPr>
        <w:t> </w:t>
      </w:r>
      <w:r>
        <w:rPr/>
        <w:t>de</w:t>
      </w:r>
      <w:r>
        <w:rPr>
          <w:spacing w:val="-3"/>
        </w:rPr>
        <w:t> </w:t>
      </w:r>
      <w:r>
        <w:rPr/>
        <w:t>Morelos;</w:t>
      </w:r>
      <w:r>
        <w:rPr>
          <w:spacing w:val="-3"/>
        </w:rPr>
        <w:t> </w:t>
      </w:r>
      <w:r>
        <w:rPr/>
        <w:t>al</w:t>
      </w:r>
      <w:r>
        <w:rPr>
          <w:spacing w:val="-3"/>
        </w:rPr>
        <w:t> </w:t>
      </w:r>
      <w:r>
        <w:rPr/>
        <w:t>este</w:t>
      </w:r>
      <w:r>
        <w:rPr>
          <w:spacing w:val="-3"/>
        </w:rPr>
        <w:t> </w:t>
      </w:r>
      <w:r>
        <w:rPr/>
        <w:t>con</w:t>
      </w:r>
      <w:r>
        <w:rPr>
          <w:spacing w:val="-3"/>
        </w:rPr>
        <w:t> </w:t>
      </w:r>
      <w:r>
        <w:rPr/>
        <w:t>el municipio</w:t>
      </w:r>
      <w:r>
        <w:rPr>
          <w:spacing w:val="-9"/>
        </w:rPr>
        <w:t> </w:t>
      </w:r>
      <w:r>
        <w:rPr/>
        <w:t>de</w:t>
      </w:r>
      <w:r>
        <w:rPr>
          <w:spacing w:val="-9"/>
        </w:rPr>
        <w:t> </w:t>
      </w:r>
      <w:r>
        <w:rPr/>
        <w:t>Ocuilan</w:t>
      </w:r>
      <w:r>
        <w:rPr>
          <w:spacing w:val="-10"/>
        </w:rPr>
        <w:t> </w:t>
      </w:r>
      <w:r>
        <w:rPr/>
        <w:t>y</w:t>
      </w:r>
      <w:r>
        <w:rPr>
          <w:spacing w:val="-9"/>
        </w:rPr>
        <w:t> </w:t>
      </w:r>
      <w:r>
        <w:rPr/>
        <w:t>el</w:t>
      </w:r>
      <w:r>
        <w:rPr>
          <w:spacing w:val="-9"/>
        </w:rPr>
        <w:t> </w:t>
      </w:r>
      <w:r>
        <w:rPr/>
        <w:t>estado</w:t>
      </w:r>
      <w:r>
        <w:rPr>
          <w:spacing w:val="-9"/>
        </w:rPr>
        <w:t> </w:t>
      </w:r>
      <w:r>
        <w:rPr/>
        <w:t>de</w:t>
      </w:r>
      <w:r>
        <w:rPr>
          <w:spacing w:val="-9"/>
        </w:rPr>
        <w:t> </w:t>
      </w:r>
      <w:r>
        <w:rPr/>
        <w:t>Morelos;</w:t>
      </w:r>
      <w:r>
        <w:rPr>
          <w:spacing w:val="-9"/>
        </w:rPr>
        <w:t> </w:t>
      </w:r>
      <w:r>
        <w:rPr/>
        <w:t>al</w:t>
      </w:r>
      <w:r>
        <w:rPr>
          <w:spacing w:val="-9"/>
        </w:rPr>
        <w:t> </w:t>
      </w:r>
      <w:r>
        <w:rPr/>
        <w:t>oeste</w:t>
      </w:r>
      <w:r>
        <w:rPr>
          <w:spacing w:val="-9"/>
        </w:rPr>
        <w:t> </w:t>
      </w:r>
      <w:r>
        <w:rPr/>
        <w:t>con</w:t>
      </w:r>
      <w:r>
        <w:rPr>
          <w:spacing w:val="-9"/>
        </w:rPr>
        <w:t> </w:t>
      </w:r>
      <w:r>
        <w:rPr/>
        <w:t>los</w:t>
      </w:r>
      <w:r>
        <w:rPr>
          <w:spacing w:val="-9"/>
        </w:rPr>
        <w:t> </w:t>
      </w:r>
      <w:r>
        <w:rPr/>
        <w:t>municipios</w:t>
      </w:r>
      <w:r>
        <w:rPr>
          <w:spacing w:val="-9"/>
        </w:rPr>
        <w:t> </w:t>
      </w:r>
      <w:r>
        <w:rPr/>
        <w:t>de</w:t>
      </w:r>
      <w:r>
        <w:rPr>
          <w:spacing w:val="-9"/>
        </w:rPr>
        <w:t> </w:t>
      </w:r>
      <w:r>
        <w:rPr/>
        <w:t>Tenancingo y Zumpahuacán, posee una extensión de 186.28 km². Las principales características geográficas del área de estudio se muestran en el cuadro</w:t>
      </w:r>
      <w:r>
        <w:rPr>
          <w:spacing w:val="-19"/>
        </w:rPr>
        <w:t> </w:t>
      </w:r>
      <w:r>
        <w:rPr/>
        <w:t>2.</w:t>
      </w:r>
    </w:p>
    <w:p>
      <w:pPr>
        <w:spacing w:before="47"/>
        <w:ind w:left="1738" w:right="1738" w:firstLine="0"/>
        <w:jc w:val="center"/>
        <w:rPr>
          <w:sz w:val="16"/>
        </w:rPr>
      </w:pPr>
      <w:r>
        <w:rPr/>
        <w:br w:type="column"/>
      </w:r>
      <w:r>
        <w:rPr>
          <w:color w:val="6D6E71"/>
          <w:sz w:val="16"/>
        </w:rPr>
        <w:t>Fuente: Elaboración propia, 2015.</w:t>
      </w:r>
    </w:p>
    <w:p>
      <w:pPr>
        <w:pStyle w:val="BodyText"/>
        <w:spacing w:before="5"/>
        <w:rPr>
          <w:sz w:val="22"/>
        </w:rPr>
      </w:pPr>
    </w:p>
    <w:p>
      <w:pPr>
        <w:pStyle w:val="BodyText"/>
        <w:spacing w:line="249" w:lineRule="auto" w:before="1"/>
        <w:ind w:left="131" w:right="130" w:firstLine="170"/>
        <w:jc w:val="both"/>
      </w:pPr>
      <w:r>
        <w:rPr/>
        <w:t>El área de estudio se ubica en la ladera sur del nevado de Toluca, en una región de transición ecológica entre la región biogeográfica Neártica y la región Neotropical. </w:t>
      </w:r>
      <w:r>
        <w:rPr>
          <w:spacing w:val="-2"/>
        </w:rPr>
        <w:t>Las </w:t>
      </w:r>
      <w:r>
        <w:rPr/>
        <w:t>características</w:t>
      </w:r>
      <w:r>
        <w:rPr>
          <w:spacing w:val="-17"/>
        </w:rPr>
        <w:t> </w:t>
      </w:r>
      <w:r>
        <w:rPr/>
        <w:t>del</w:t>
      </w:r>
      <w:r>
        <w:rPr>
          <w:spacing w:val="-17"/>
        </w:rPr>
        <w:t> </w:t>
      </w:r>
      <w:r>
        <w:rPr/>
        <w:t>relieve</w:t>
      </w:r>
      <w:r>
        <w:rPr>
          <w:spacing w:val="-17"/>
        </w:rPr>
        <w:t> </w:t>
      </w:r>
      <w:r>
        <w:rPr/>
        <w:t>e</w:t>
      </w:r>
      <w:r>
        <w:rPr>
          <w:spacing w:val="-17"/>
        </w:rPr>
        <w:t> </w:t>
      </w:r>
      <w:r>
        <w:rPr/>
        <w:t>hidrográficas</w:t>
      </w:r>
      <w:r>
        <w:rPr>
          <w:spacing w:val="-17"/>
        </w:rPr>
        <w:t> </w:t>
      </w:r>
      <w:r>
        <w:rPr/>
        <w:t>del</w:t>
      </w:r>
      <w:r>
        <w:rPr>
          <w:spacing w:val="-17"/>
        </w:rPr>
        <w:t> </w:t>
      </w:r>
      <w:r>
        <w:rPr/>
        <w:t>área</w:t>
      </w:r>
      <w:r>
        <w:rPr>
          <w:spacing w:val="-17"/>
        </w:rPr>
        <w:t> </w:t>
      </w:r>
      <w:r>
        <w:rPr/>
        <w:t>de</w:t>
      </w:r>
      <w:r>
        <w:rPr>
          <w:spacing w:val="-17"/>
        </w:rPr>
        <w:t> </w:t>
      </w:r>
      <w:r>
        <w:rPr/>
        <w:t>estudio</w:t>
      </w:r>
      <w:r>
        <w:rPr>
          <w:spacing w:val="-17"/>
        </w:rPr>
        <w:t> </w:t>
      </w:r>
      <w:r>
        <w:rPr/>
        <w:t>se</w:t>
      </w:r>
      <w:r>
        <w:rPr>
          <w:spacing w:val="-17"/>
        </w:rPr>
        <w:t> </w:t>
      </w:r>
      <w:r>
        <w:rPr/>
        <w:t>presentan</w:t>
      </w:r>
      <w:r>
        <w:rPr>
          <w:spacing w:val="-17"/>
        </w:rPr>
        <w:t> </w:t>
      </w:r>
      <w:r>
        <w:rPr/>
        <w:t>en</w:t>
      </w:r>
      <w:r>
        <w:rPr>
          <w:spacing w:val="-17"/>
        </w:rPr>
        <w:t> </w:t>
      </w:r>
      <w:r>
        <w:rPr/>
        <w:t>la</w:t>
      </w:r>
      <w:r>
        <w:rPr>
          <w:spacing w:val="-17"/>
        </w:rPr>
        <w:t> </w:t>
      </w:r>
      <w:r>
        <w:rPr/>
        <w:t>Figura</w:t>
      </w:r>
      <w:r>
        <w:rPr>
          <w:spacing w:val="-17"/>
        </w:rPr>
        <w:t> </w:t>
      </w:r>
      <w:r>
        <w:rPr/>
        <w:t>1.</w:t>
      </w:r>
    </w:p>
    <w:p>
      <w:pPr>
        <w:spacing w:after="0" w:line="249" w:lineRule="auto"/>
        <w:jc w:val="both"/>
        <w:sectPr>
          <w:type w:val="continuous"/>
          <w:pgSz w:w="18830" w:h="12760" w:orient="landscape"/>
          <w:pgMar w:top="1420" w:bottom="280" w:left="720" w:right="720"/>
          <w:cols w:num="2" w:equalWidth="0">
            <w:col w:w="7843" w:space="1566"/>
            <w:col w:w="7981"/>
          </w:cols>
        </w:sectPr>
      </w:pPr>
    </w:p>
    <w:p>
      <w:pPr>
        <w:pStyle w:val="BodyText"/>
        <w:spacing w:before="6"/>
        <w:rPr>
          <w:sz w:val="23"/>
        </w:rPr>
      </w:pPr>
    </w:p>
    <w:p>
      <w:pPr>
        <w:spacing w:after="0"/>
        <w:rPr>
          <w:sz w:val="23"/>
        </w:rPr>
        <w:sectPr>
          <w:footerReference w:type="default" r:id="rId293"/>
          <w:pgSz w:w="18830" w:h="12760" w:orient="landscape"/>
          <w:pgMar w:footer="1036" w:header="522" w:top="820" w:bottom="1220" w:left="720" w:right="720"/>
        </w:sectPr>
      </w:pPr>
    </w:p>
    <w:p>
      <w:pPr>
        <w:spacing w:line="312" w:lineRule="auto" w:before="114"/>
        <w:ind w:left="1572" w:right="1460" w:firstLine="0"/>
        <w:jc w:val="center"/>
        <w:rPr>
          <w:sz w:val="16"/>
        </w:rPr>
      </w:pPr>
      <w:r>
        <w:rPr>
          <w:color w:val="6D6E71"/>
          <w:sz w:val="16"/>
        </w:rPr>
        <w:t>Figura 1. Características del relieve e hidrográficas de la Cuenca de</w:t>
      </w:r>
      <w:r>
        <w:rPr>
          <w:color w:val="6D6E71"/>
          <w:w w:val="101"/>
          <w:sz w:val="16"/>
        </w:rPr>
        <w:t> </w:t>
      </w:r>
      <w:r>
        <w:rPr>
          <w:color w:val="6D6E71"/>
          <w:sz w:val="16"/>
        </w:rPr>
        <w:t>Malinalco.</w:t>
      </w:r>
    </w:p>
    <w:p>
      <w:pPr>
        <w:pStyle w:val="BodyText"/>
        <w:spacing w:before="10"/>
        <w:rPr>
          <w:sz w:val="9"/>
        </w:rPr>
      </w:pPr>
      <w:r>
        <w:rPr/>
        <w:drawing>
          <wp:anchor distT="0" distB="0" distL="0" distR="0" allowOverlap="1" layoutInCell="1" locked="0" behindDoc="0" simplePos="0" relativeHeight="11968">
            <wp:simplePos x="0" y="0"/>
            <wp:positionH relativeFrom="page">
              <wp:posOffset>526813</wp:posOffset>
            </wp:positionH>
            <wp:positionV relativeFrom="paragraph">
              <wp:posOffset>96822</wp:posOffset>
            </wp:positionV>
            <wp:extent cx="4895100" cy="3595878"/>
            <wp:effectExtent l="0" t="0" r="0" b="0"/>
            <wp:wrapTopAndBottom/>
            <wp:docPr id="121" name="image87.jpeg" descr=""/>
            <wp:cNvGraphicFramePr>
              <a:graphicFrameLocks noChangeAspect="1"/>
            </wp:cNvGraphicFramePr>
            <a:graphic>
              <a:graphicData uri="http://schemas.openxmlformats.org/drawingml/2006/picture">
                <pic:pic>
                  <pic:nvPicPr>
                    <pic:cNvPr id="122" name="image87.jpeg"/>
                    <pic:cNvPicPr/>
                  </pic:nvPicPr>
                  <pic:blipFill>
                    <a:blip r:embed="rId294" cstate="print"/>
                    <a:stretch>
                      <a:fillRect/>
                    </a:stretch>
                  </pic:blipFill>
                  <pic:spPr>
                    <a:xfrm>
                      <a:off x="0" y="0"/>
                      <a:ext cx="4895100" cy="3595878"/>
                    </a:xfrm>
                    <a:prstGeom prst="rect">
                      <a:avLst/>
                    </a:prstGeom>
                  </pic:spPr>
                </pic:pic>
              </a:graphicData>
            </a:graphic>
          </wp:anchor>
        </w:drawing>
      </w:r>
    </w:p>
    <w:p>
      <w:pPr>
        <w:pStyle w:val="BodyText"/>
        <w:spacing w:before="8"/>
        <w:rPr>
          <w:sz w:val="13"/>
        </w:rPr>
      </w:pPr>
    </w:p>
    <w:p>
      <w:pPr>
        <w:spacing w:before="0"/>
        <w:ind w:left="1569" w:right="1460" w:firstLine="0"/>
        <w:jc w:val="center"/>
        <w:rPr>
          <w:sz w:val="16"/>
        </w:rPr>
      </w:pPr>
      <w:r>
        <w:rPr>
          <w:color w:val="6D6E71"/>
          <w:sz w:val="16"/>
        </w:rPr>
        <w:t>Fuente: Elaboración propia, 2015</w:t>
      </w:r>
    </w:p>
    <w:p>
      <w:pPr>
        <w:pStyle w:val="BodyText"/>
        <w:spacing w:before="2"/>
        <w:rPr>
          <w:sz w:val="19"/>
        </w:rPr>
      </w:pPr>
    </w:p>
    <w:p>
      <w:pPr>
        <w:pStyle w:val="Heading1"/>
        <w:ind w:left="298"/>
      </w:pPr>
      <w:r>
        <w:rPr/>
        <w:t>Etapas metodológicas de la propuesta</w:t>
      </w:r>
    </w:p>
    <w:p>
      <w:pPr>
        <w:pStyle w:val="BodyText"/>
        <w:rPr>
          <w:b/>
          <w:sz w:val="21"/>
        </w:rPr>
      </w:pPr>
    </w:p>
    <w:p>
      <w:pPr>
        <w:pStyle w:val="BodyText"/>
        <w:ind w:left="298"/>
      </w:pPr>
      <w:r>
        <w:rPr/>
        <w:t>A</w:t>
      </w:r>
      <w:r>
        <w:rPr>
          <w:spacing w:val="-11"/>
        </w:rPr>
        <w:t> </w:t>
      </w:r>
      <w:r>
        <w:rPr/>
        <w:t>continuación</w:t>
      </w:r>
      <w:r>
        <w:rPr>
          <w:spacing w:val="-11"/>
        </w:rPr>
        <w:t> </w:t>
      </w:r>
      <w:r>
        <w:rPr/>
        <w:t>se</w:t>
      </w:r>
      <w:r>
        <w:rPr>
          <w:spacing w:val="-11"/>
        </w:rPr>
        <w:t> </w:t>
      </w:r>
      <w:r>
        <w:rPr/>
        <w:t>describen</w:t>
      </w:r>
      <w:r>
        <w:rPr>
          <w:spacing w:val="-11"/>
        </w:rPr>
        <w:t> </w:t>
      </w:r>
      <w:r>
        <w:rPr/>
        <w:t>las</w:t>
      </w:r>
      <w:r>
        <w:rPr>
          <w:spacing w:val="-11"/>
        </w:rPr>
        <w:t> </w:t>
      </w:r>
      <w:r>
        <w:rPr/>
        <w:t>etapas</w:t>
      </w:r>
      <w:r>
        <w:rPr>
          <w:spacing w:val="-11"/>
        </w:rPr>
        <w:t> </w:t>
      </w:r>
      <w:r>
        <w:rPr/>
        <w:t>metodológicas</w:t>
      </w:r>
      <w:r>
        <w:rPr>
          <w:spacing w:val="-11"/>
        </w:rPr>
        <w:t> </w:t>
      </w:r>
      <w:r>
        <w:rPr/>
        <w:t>que</w:t>
      </w:r>
      <w:r>
        <w:rPr>
          <w:spacing w:val="-11"/>
        </w:rPr>
        <w:t> </w:t>
      </w:r>
      <w:r>
        <w:rPr/>
        <w:t>conforman</w:t>
      </w:r>
      <w:r>
        <w:rPr>
          <w:spacing w:val="-11"/>
        </w:rPr>
        <w:t> </w:t>
      </w:r>
      <w:r>
        <w:rPr/>
        <w:t>esta</w:t>
      </w:r>
      <w:r>
        <w:rPr>
          <w:spacing w:val="-11"/>
        </w:rPr>
        <w:t> </w:t>
      </w:r>
      <w:r>
        <w:rPr/>
        <w:t>propuesta.</w:t>
      </w:r>
    </w:p>
    <w:p>
      <w:pPr>
        <w:pStyle w:val="BodyText"/>
        <w:spacing w:before="4"/>
        <w:rPr>
          <w:sz w:val="21"/>
        </w:rPr>
      </w:pPr>
    </w:p>
    <w:p>
      <w:pPr>
        <w:pStyle w:val="Heading1"/>
        <w:spacing w:line="240" w:lineRule="exact"/>
        <w:ind w:left="298" w:right="1"/>
      </w:pPr>
      <w:r>
        <w:rPr/>
        <w:t>Evaluación de impactos de la urbanización en la cobertura</w:t>
      </w:r>
      <w:r>
        <w:rPr>
          <w:spacing w:val="-36"/>
        </w:rPr>
        <w:t> </w:t>
      </w:r>
      <w:r>
        <w:rPr/>
        <w:t>vegetal de la Cuenca de</w:t>
      </w:r>
      <w:r>
        <w:rPr>
          <w:spacing w:val="29"/>
        </w:rPr>
        <w:t> </w:t>
      </w:r>
      <w:r>
        <w:rPr/>
        <w:t>Malinalco.</w:t>
      </w:r>
    </w:p>
    <w:p>
      <w:pPr>
        <w:pStyle w:val="BodyText"/>
        <w:spacing w:before="2"/>
        <w:rPr>
          <w:b/>
          <w:sz w:val="21"/>
        </w:rPr>
      </w:pPr>
    </w:p>
    <w:p>
      <w:pPr>
        <w:pStyle w:val="BodyText"/>
        <w:spacing w:line="249" w:lineRule="auto" w:before="1"/>
        <w:ind w:left="128" w:right="16" w:firstLine="170"/>
        <w:jc w:val="both"/>
      </w:pPr>
      <w:r>
        <w:rPr/>
        <w:t>La</w:t>
      </w:r>
      <w:r>
        <w:rPr>
          <w:spacing w:val="-4"/>
        </w:rPr>
        <w:t> </w:t>
      </w:r>
      <w:r>
        <w:rPr/>
        <w:t>evaluación</w:t>
      </w:r>
      <w:r>
        <w:rPr>
          <w:spacing w:val="-4"/>
        </w:rPr>
        <w:t> </w:t>
      </w:r>
      <w:r>
        <w:rPr/>
        <w:t>del</w:t>
      </w:r>
      <w:r>
        <w:rPr>
          <w:spacing w:val="-4"/>
        </w:rPr>
        <w:t> </w:t>
      </w:r>
      <w:r>
        <w:rPr/>
        <w:t>cambio</w:t>
      </w:r>
      <w:r>
        <w:rPr>
          <w:spacing w:val="-4"/>
        </w:rPr>
        <w:t> </w:t>
      </w:r>
      <w:r>
        <w:rPr/>
        <w:t>de</w:t>
      </w:r>
      <w:r>
        <w:rPr>
          <w:spacing w:val="-4"/>
        </w:rPr>
        <w:t> </w:t>
      </w:r>
      <w:r>
        <w:rPr/>
        <w:t>uso</w:t>
      </w:r>
      <w:r>
        <w:rPr>
          <w:spacing w:val="-4"/>
        </w:rPr>
        <w:t> </w:t>
      </w:r>
      <w:r>
        <w:rPr/>
        <w:t>de</w:t>
      </w:r>
      <w:r>
        <w:rPr>
          <w:spacing w:val="-4"/>
        </w:rPr>
        <w:t> </w:t>
      </w:r>
      <w:r>
        <w:rPr/>
        <w:t>suelo,</w:t>
      </w:r>
      <w:r>
        <w:rPr>
          <w:spacing w:val="-4"/>
        </w:rPr>
        <w:t> </w:t>
      </w:r>
      <w:r>
        <w:rPr/>
        <w:t>permite</w:t>
      </w:r>
      <w:r>
        <w:rPr>
          <w:spacing w:val="-4"/>
        </w:rPr>
        <w:t> </w:t>
      </w:r>
      <w:r>
        <w:rPr/>
        <w:t>establecer</w:t>
      </w:r>
      <w:r>
        <w:rPr>
          <w:spacing w:val="-4"/>
        </w:rPr>
        <w:t> </w:t>
      </w:r>
      <w:r>
        <w:rPr/>
        <w:t>la</w:t>
      </w:r>
      <w:r>
        <w:rPr>
          <w:spacing w:val="-4"/>
        </w:rPr>
        <w:t> </w:t>
      </w:r>
      <w:r>
        <w:rPr/>
        <w:t>magnitud</w:t>
      </w:r>
      <w:r>
        <w:rPr>
          <w:spacing w:val="-4"/>
        </w:rPr>
        <w:t> </w:t>
      </w:r>
      <w:r>
        <w:rPr/>
        <w:t>y</w:t>
      </w:r>
      <w:r>
        <w:rPr>
          <w:spacing w:val="-4"/>
        </w:rPr>
        <w:t> </w:t>
      </w:r>
      <w:r>
        <w:rPr/>
        <w:t>dirección del cambio entre categorías de uso de suelo, con la  finalidad de  explicar  sus  agentes causales y sus consecuencias. Para el estudio de los impactos de la urbanización en la cuenca de Malinalco, subcuenca del río Chalma, se desarrollará cartografía de dos periodos distinguiendo los usos de suelo: suelo urbano, suelo descubierto, agricultura, cuerpos de agua y los tipos de selvas, bosques y </w:t>
      </w:r>
      <w:r>
        <w:rPr>
          <w:spacing w:val="42"/>
        </w:rPr>
        <w:t> </w:t>
      </w:r>
      <w:r>
        <w:rPr/>
        <w:t>matorrales.</w:t>
      </w:r>
    </w:p>
    <w:p>
      <w:pPr>
        <w:pStyle w:val="BodyText"/>
        <w:spacing w:line="249" w:lineRule="auto" w:before="76"/>
        <w:ind w:left="109" w:right="127"/>
        <w:jc w:val="both"/>
      </w:pPr>
      <w:r>
        <w:rPr/>
        <w:br w:type="column"/>
      </w:r>
      <w:r>
        <w:rPr/>
        <w:t>El periodo se establece en función de la disponibilidad de información en escala adecuada</w:t>
      </w:r>
      <w:r>
        <w:rPr>
          <w:spacing w:val="-9"/>
        </w:rPr>
        <w:t> </w:t>
      </w:r>
      <w:r>
        <w:rPr/>
        <w:t>para</w:t>
      </w:r>
      <w:r>
        <w:rPr>
          <w:spacing w:val="-9"/>
        </w:rPr>
        <w:t> </w:t>
      </w:r>
      <w:r>
        <w:rPr/>
        <w:t>las</w:t>
      </w:r>
      <w:r>
        <w:rPr>
          <w:spacing w:val="-9"/>
        </w:rPr>
        <w:t> </w:t>
      </w:r>
      <w:r>
        <w:rPr/>
        <w:t>dimensiones</w:t>
      </w:r>
      <w:r>
        <w:rPr>
          <w:spacing w:val="-9"/>
        </w:rPr>
        <w:t> </w:t>
      </w:r>
      <w:r>
        <w:rPr/>
        <w:t>del</w:t>
      </w:r>
      <w:r>
        <w:rPr>
          <w:spacing w:val="-9"/>
        </w:rPr>
        <w:t> </w:t>
      </w:r>
      <w:r>
        <w:rPr/>
        <w:t>área</w:t>
      </w:r>
      <w:r>
        <w:rPr>
          <w:spacing w:val="-9"/>
        </w:rPr>
        <w:t> </w:t>
      </w:r>
      <w:r>
        <w:rPr/>
        <w:t>de</w:t>
      </w:r>
      <w:r>
        <w:rPr>
          <w:spacing w:val="-9"/>
        </w:rPr>
        <w:t> </w:t>
      </w:r>
      <w:r>
        <w:rPr/>
        <w:t>estudio.</w:t>
      </w:r>
      <w:r>
        <w:rPr>
          <w:spacing w:val="-9"/>
        </w:rPr>
        <w:t> </w:t>
      </w:r>
      <w:r>
        <w:rPr/>
        <w:t>Por</w:t>
      </w:r>
      <w:r>
        <w:rPr>
          <w:spacing w:val="-9"/>
        </w:rPr>
        <w:t> </w:t>
      </w:r>
      <w:r>
        <w:rPr/>
        <w:t>ejemplo,</w:t>
      </w:r>
      <w:r>
        <w:rPr>
          <w:spacing w:val="-9"/>
        </w:rPr>
        <w:t> </w:t>
      </w:r>
      <w:r>
        <w:rPr/>
        <w:t>las</w:t>
      </w:r>
      <w:r>
        <w:rPr>
          <w:spacing w:val="-9"/>
        </w:rPr>
        <w:t> </w:t>
      </w:r>
      <w:r>
        <w:rPr/>
        <w:t>imágenes</w:t>
      </w:r>
      <w:r>
        <w:rPr>
          <w:spacing w:val="-9"/>
        </w:rPr>
        <w:t> </w:t>
      </w:r>
      <w:r>
        <w:rPr/>
        <w:t>Landsat están disponibles desde 1970, pero por su tamaño de pixel no son recomendables para áreas de estudio pequeñas porque no cuentan con suficiente </w:t>
      </w:r>
      <w:r>
        <w:rPr>
          <w:spacing w:val="3"/>
        </w:rPr>
        <w:t> </w:t>
      </w:r>
      <w:r>
        <w:rPr/>
        <w:t>detalle.</w:t>
      </w:r>
    </w:p>
    <w:p>
      <w:pPr>
        <w:pStyle w:val="BodyText"/>
        <w:spacing w:before="11"/>
      </w:pPr>
    </w:p>
    <w:p>
      <w:pPr>
        <w:pStyle w:val="BodyText"/>
        <w:spacing w:line="249" w:lineRule="auto"/>
        <w:ind w:left="109" w:right="127" w:firstLine="170"/>
        <w:jc w:val="right"/>
      </w:pPr>
      <w:r>
        <w:rPr/>
        <w:t>En el caso de la cuenca de Malinalco, subcuenca del río Chalma, para desarrollar</w:t>
      </w:r>
      <w:r>
        <w:rPr>
          <w:w w:val="99"/>
        </w:rPr>
        <w:t> </w:t>
      </w:r>
      <w:r>
        <w:rPr/>
        <w:t>estudios de largo plazo se recomienda hacer uso de fotografía aérea, ya que permite</w:t>
      </w:r>
      <w:r>
        <w:rPr>
          <w:w w:val="101"/>
        </w:rPr>
        <w:t> </w:t>
      </w:r>
      <w:r>
        <w:rPr/>
        <w:t>contar con mayor detalle y ofrece un espacio de tiempo adecuado para este estudio.</w:t>
      </w:r>
      <w:r>
        <w:rPr>
          <w:w w:val="102"/>
        </w:rPr>
        <w:t> </w:t>
      </w:r>
      <w:r>
        <w:rPr/>
        <w:t>La comparación no se desarrollará directamente de fotografía a fotografía, si no de</w:t>
      </w:r>
      <w:r>
        <w:rPr>
          <w:w w:val="101"/>
        </w:rPr>
        <w:t> </w:t>
      </w:r>
      <w:r>
        <w:rPr/>
        <w:t>cartografía obtenida desde la foto inicial, hasta cartografía obtenida de la imagen</w:t>
      </w:r>
      <w:r>
        <w:rPr>
          <w:spacing w:val="53"/>
        </w:rPr>
        <w:t> </w:t>
      </w:r>
      <w:r>
        <w:rPr/>
        <w:t>final.</w:t>
      </w:r>
    </w:p>
    <w:p>
      <w:pPr>
        <w:pStyle w:val="BodyText"/>
        <w:spacing w:before="11"/>
      </w:pPr>
    </w:p>
    <w:p>
      <w:pPr>
        <w:pStyle w:val="BodyText"/>
        <w:spacing w:line="249" w:lineRule="auto"/>
        <w:ind w:left="109" w:right="127" w:firstLine="170"/>
        <w:jc w:val="both"/>
      </w:pPr>
      <w:r>
        <w:rPr/>
        <w:t>El estudio de los cambios en la cobertura vegetal, se hará reportando la superficie cubierta por las clases consideradas en el tiempo inicial y la superficie cubierta por las clases en el tiempo final, de forma general para toda la subcuenca. Posteriormente, haciendo uso de operadores y consultas espaciales en el sistema de información geográfica, se señalará en la cartografía las regiones que han presentado transiciones negativas (pérdida de vegetación). Conociendo estas regiones  de  pérdida  (conocidas como frentes de deforestación) se desarrollarán correlaciones espaciales para establecer si la presencia de  estas  zonas  se  relaciona  con  alguna  variable  del medio físico o socioeconómico. Por ejemplo; si las regiones más susceptibles de deforestación se ubican en algún tipo de suelo o geo forma específica o cualidad del terreno.</w:t>
      </w:r>
      <w:r>
        <w:rPr>
          <w:spacing w:val="-13"/>
        </w:rPr>
        <w:t> </w:t>
      </w:r>
      <w:r>
        <w:rPr/>
        <w:t>O</w:t>
      </w:r>
      <w:r>
        <w:rPr>
          <w:spacing w:val="-13"/>
        </w:rPr>
        <w:t> </w:t>
      </w:r>
      <w:r>
        <w:rPr/>
        <w:t>si</w:t>
      </w:r>
      <w:r>
        <w:rPr>
          <w:spacing w:val="-13"/>
        </w:rPr>
        <w:t> </w:t>
      </w:r>
      <w:r>
        <w:rPr/>
        <w:t>estas</w:t>
      </w:r>
      <w:r>
        <w:rPr>
          <w:spacing w:val="-13"/>
        </w:rPr>
        <w:t> </w:t>
      </w:r>
      <w:r>
        <w:rPr/>
        <w:t>zonas</w:t>
      </w:r>
      <w:r>
        <w:rPr>
          <w:spacing w:val="-13"/>
        </w:rPr>
        <w:t> </w:t>
      </w:r>
      <w:r>
        <w:rPr/>
        <w:t>se</w:t>
      </w:r>
      <w:r>
        <w:rPr>
          <w:spacing w:val="-13"/>
        </w:rPr>
        <w:t> </w:t>
      </w:r>
      <w:r>
        <w:rPr/>
        <w:t>presentan</w:t>
      </w:r>
      <w:r>
        <w:rPr>
          <w:spacing w:val="-13"/>
        </w:rPr>
        <w:t> </w:t>
      </w:r>
      <w:r>
        <w:rPr/>
        <w:t>en</w:t>
      </w:r>
      <w:r>
        <w:rPr>
          <w:spacing w:val="-13"/>
        </w:rPr>
        <w:t> </w:t>
      </w:r>
      <w:r>
        <w:rPr/>
        <w:t>las</w:t>
      </w:r>
      <w:r>
        <w:rPr>
          <w:spacing w:val="-13"/>
        </w:rPr>
        <w:t> </w:t>
      </w:r>
      <w:r>
        <w:rPr/>
        <w:t>cercanías</w:t>
      </w:r>
      <w:r>
        <w:rPr>
          <w:spacing w:val="-13"/>
        </w:rPr>
        <w:t> </w:t>
      </w:r>
      <w:r>
        <w:rPr/>
        <w:t>a</w:t>
      </w:r>
      <w:r>
        <w:rPr>
          <w:spacing w:val="-13"/>
        </w:rPr>
        <w:t> </w:t>
      </w:r>
      <w:r>
        <w:rPr/>
        <w:t>regiones</w:t>
      </w:r>
      <w:r>
        <w:rPr>
          <w:spacing w:val="-13"/>
        </w:rPr>
        <w:t> </w:t>
      </w:r>
      <w:r>
        <w:rPr/>
        <w:t>agrícolas</w:t>
      </w:r>
      <w:r>
        <w:rPr>
          <w:spacing w:val="-13"/>
        </w:rPr>
        <w:t> </w:t>
      </w:r>
      <w:r>
        <w:rPr/>
        <w:t>y</w:t>
      </w:r>
      <w:r>
        <w:rPr>
          <w:spacing w:val="-13"/>
        </w:rPr>
        <w:t> </w:t>
      </w:r>
      <w:r>
        <w:rPr/>
        <w:t>pecuarias o de ciudades y carreteras. Esta cartografía también será exportada al módulo Land Change</w:t>
      </w:r>
      <w:r>
        <w:rPr>
          <w:spacing w:val="-10"/>
        </w:rPr>
        <w:t> </w:t>
      </w:r>
      <w:r>
        <w:rPr/>
        <w:t>Modeler</w:t>
      </w:r>
      <w:r>
        <w:rPr>
          <w:spacing w:val="-10"/>
        </w:rPr>
        <w:t> </w:t>
      </w:r>
      <w:r>
        <w:rPr/>
        <w:t>del</w:t>
      </w:r>
      <w:r>
        <w:rPr>
          <w:spacing w:val="-10"/>
        </w:rPr>
        <w:t> </w:t>
      </w:r>
      <w:r>
        <w:rPr/>
        <w:t>software</w:t>
      </w:r>
      <w:r>
        <w:rPr>
          <w:spacing w:val="-10"/>
        </w:rPr>
        <w:t> </w:t>
      </w:r>
      <w:r>
        <w:rPr/>
        <w:t>Idrisi</w:t>
      </w:r>
      <w:r>
        <w:rPr>
          <w:spacing w:val="-10"/>
        </w:rPr>
        <w:t> </w:t>
      </w:r>
      <w:r>
        <w:rPr/>
        <w:t>selva,</w:t>
      </w:r>
      <w:r>
        <w:rPr>
          <w:spacing w:val="-10"/>
        </w:rPr>
        <w:t> </w:t>
      </w:r>
      <w:r>
        <w:rPr/>
        <w:t>para</w:t>
      </w:r>
      <w:r>
        <w:rPr>
          <w:spacing w:val="-10"/>
        </w:rPr>
        <w:t> </w:t>
      </w:r>
      <w:r>
        <w:rPr/>
        <w:t>establecer</w:t>
      </w:r>
      <w:r>
        <w:rPr>
          <w:spacing w:val="-10"/>
        </w:rPr>
        <w:t> </w:t>
      </w:r>
      <w:r>
        <w:rPr/>
        <w:t>y</w:t>
      </w:r>
      <w:r>
        <w:rPr>
          <w:spacing w:val="-10"/>
        </w:rPr>
        <w:t> </w:t>
      </w:r>
      <w:r>
        <w:rPr/>
        <w:t>documentar</w:t>
      </w:r>
      <w:r>
        <w:rPr>
          <w:spacing w:val="-10"/>
        </w:rPr>
        <w:t> </w:t>
      </w:r>
      <w:r>
        <w:rPr/>
        <w:t>las</w:t>
      </w:r>
      <w:r>
        <w:rPr>
          <w:spacing w:val="-10"/>
        </w:rPr>
        <w:t> </w:t>
      </w:r>
      <w:r>
        <w:rPr/>
        <w:t>transiciones sistemáticas entre categorías de uso de suelo. Este análisis permite establecer qué categorías están alimentando el crecimiento de superficie de otras categorías y las retroalimentaciones entre</w:t>
      </w:r>
      <w:r>
        <w:rPr>
          <w:spacing w:val="13"/>
        </w:rPr>
        <w:t> </w:t>
      </w:r>
      <w:r>
        <w:rPr/>
        <w:t>categorías.</w:t>
      </w:r>
    </w:p>
    <w:p>
      <w:pPr>
        <w:pStyle w:val="BodyText"/>
        <w:spacing w:before="11"/>
      </w:pPr>
    </w:p>
    <w:p>
      <w:pPr>
        <w:pStyle w:val="BodyText"/>
        <w:spacing w:line="249" w:lineRule="auto"/>
        <w:ind w:left="109" w:right="127" w:firstLine="170"/>
        <w:jc w:val="both"/>
      </w:pPr>
      <w:r>
        <w:rPr/>
        <w:t>Finalmente, la cartografía de regiones con vegetación será analizada con software especializado para establecer las variaciones en el número,  tamaño  y  la  conectividad entre fragmentos de vegetación en el periodo inicial y final. La dimensión y conectividad de los fragmentos es uno de los primeros indicadores de calidad del hábitat, ya que tamaños muy pequeños o muy dispersos de fragmentos, no permiten sostener las comunidades vegetales y animales, ni las interacciones ecológicas que garanticen la subsistencia del</w:t>
      </w:r>
      <w:r>
        <w:rPr>
          <w:spacing w:val="31"/>
        </w:rPr>
        <w:t> </w:t>
      </w:r>
      <w:r>
        <w:rPr/>
        <w:t>ecosistema.</w:t>
      </w:r>
    </w:p>
    <w:p>
      <w:pPr>
        <w:spacing w:after="0" w:line="249" w:lineRule="auto"/>
        <w:jc w:val="both"/>
        <w:sectPr>
          <w:type w:val="continuous"/>
          <w:pgSz w:w="18830" w:h="12760" w:orient="landscape"/>
          <w:pgMar w:top="1420" w:bottom="280" w:left="720" w:right="720"/>
          <w:cols w:num="2" w:equalWidth="0">
            <w:col w:w="7859" w:space="1573"/>
            <w:col w:w="7958"/>
          </w:cols>
        </w:sectPr>
      </w:pPr>
    </w:p>
    <w:p>
      <w:pPr>
        <w:pStyle w:val="BodyText"/>
        <w:spacing w:before="8"/>
      </w:pPr>
    </w:p>
    <w:p>
      <w:pPr>
        <w:spacing w:after="0"/>
        <w:sectPr>
          <w:footerReference w:type="default" r:id="rId295"/>
          <w:pgSz w:w="18830" w:h="12760" w:orient="landscape"/>
          <w:pgMar w:footer="1036" w:header="522" w:top="820" w:bottom="1220" w:left="720" w:right="720"/>
        </w:sectPr>
      </w:pPr>
    </w:p>
    <w:p>
      <w:pPr>
        <w:pStyle w:val="Heading1"/>
        <w:spacing w:line="240" w:lineRule="exact" w:before="104"/>
        <w:ind w:left="287" w:right="22"/>
      </w:pPr>
      <w:r>
        <w:rPr/>
        <w:t>Permanencia y evolución de AEHF en cuatro localidades de la Cuenca de Malinalco</w:t>
      </w:r>
    </w:p>
    <w:p>
      <w:pPr>
        <w:pStyle w:val="BodyText"/>
        <w:spacing w:before="2"/>
        <w:rPr>
          <w:b/>
          <w:sz w:val="21"/>
        </w:rPr>
      </w:pPr>
    </w:p>
    <w:p>
      <w:pPr>
        <w:pStyle w:val="BodyText"/>
        <w:spacing w:line="249" w:lineRule="auto" w:before="1"/>
        <w:ind w:left="117" w:firstLine="170"/>
        <w:jc w:val="both"/>
      </w:pPr>
      <w:r>
        <w:rPr/>
        <w:t>El análisis espacial de los AEHF se elaborará por medio de métodos de fotointerpretación cartográfica; este análisis permitirá realizar el análisis estadístico de las áreas que cuentan con estos agros ecosistemas, por medio del registro de todos los huertos de cada localidad.</w:t>
      </w:r>
    </w:p>
    <w:p>
      <w:pPr>
        <w:pStyle w:val="BodyText"/>
        <w:spacing w:before="11"/>
      </w:pPr>
    </w:p>
    <w:p>
      <w:pPr>
        <w:pStyle w:val="BodyText"/>
        <w:spacing w:line="249" w:lineRule="auto"/>
        <w:ind w:left="117" w:firstLine="170"/>
        <w:jc w:val="both"/>
      </w:pPr>
      <w:r>
        <w:rPr/>
        <w:t>Como</w:t>
      </w:r>
      <w:r>
        <w:rPr>
          <w:spacing w:val="-7"/>
        </w:rPr>
        <w:t> </w:t>
      </w:r>
      <w:r>
        <w:rPr/>
        <w:t>herramienta</w:t>
      </w:r>
      <w:r>
        <w:rPr>
          <w:spacing w:val="-7"/>
        </w:rPr>
        <w:t> </w:t>
      </w:r>
      <w:r>
        <w:rPr/>
        <w:t>del</w:t>
      </w:r>
      <w:r>
        <w:rPr>
          <w:spacing w:val="-7"/>
        </w:rPr>
        <w:t> </w:t>
      </w:r>
      <w:r>
        <w:rPr/>
        <w:t>análisis,</w:t>
      </w:r>
      <w:r>
        <w:rPr>
          <w:spacing w:val="-7"/>
        </w:rPr>
        <w:t> </w:t>
      </w:r>
      <w:r>
        <w:rPr/>
        <w:t>se</w:t>
      </w:r>
      <w:r>
        <w:rPr>
          <w:spacing w:val="-7"/>
        </w:rPr>
        <w:t> </w:t>
      </w:r>
      <w:r>
        <w:rPr/>
        <w:t>empleará</w:t>
      </w:r>
      <w:r>
        <w:rPr>
          <w:spacing w:val="-7"/>
        </w:rPr>
        <w:t> </w:t>
      </w:r>
      <w:r>
        <w:rPr/>
        <w:t>el</w:t>
      </w:r>
      <w:r>
        <w:rPr>
          <w:spacing w:val="-7"/>
        </w:rPr>
        <w:t> </w:t>
      </w:r>
      <w:r>
        <w:rPr/>
        <w:t>uso</w:t>
      </w:r>
      <w:r>
        <w:rPr>
          <w:spacing w:val="-7"/>
        </w:rPr>
        <w:t> </w:t>
      </w:r>
      <w:r>
        <w:rPr/>
        <w:t>de</w:t>
      </w:r>
      <w:r>
        <w:rPr>
          <w:spacing w:val="-7"/>
        </w:rPr>
        <w:t> </w:t>
      </w:r>
      <w:r>
        <w:rPr/>
        <w:t>imágenes</w:t>
      </w:r>
      <w:r>
        <w:rPr>
          <w:spacing w:val="-7"/>
        </w:rPr>
        <w:t> </w:t>
      </w:r>
      <w:r>
        <w:rPr/>
        <w:t>satelitales</w:t>
      </w:r>
      <w:r>
        <w:rPr>
          <w:spacing w:val="-7"/>
        </w:rPr>
        <w:t> </w:t>
      </w:r>
      <w:r>
        <w:rPr/>
        <w:t>de</w:t>
      </w:r>
      <w:r>
        <w:rPr>
          <w:spacing w:val="-7"/>
        </w:rPr>
        <w:t> </w:t>
      </w:r>
      <w:r>
        <w:rPr/>
        <w:t>la</w:t>
      </w:r>
      <w:r>
        <w:rPr>
          <w:spacing w:val="-7"/>
        </w:rPr>
        <w:t> </w:t>
      </w:r>
      <w:r>
        <w:rPr/>
        <w:t>zona de estudio, adquiridas mediante el Google Earth, la cual permitirá realizar el análisis</w:t>
      </w:r>
      <w:r>
        <w:rPr>
          <w:spacing w:val="-21"/>
        </w:rPr>
        <w:t> </w:t>
      </w:r>
      <w:r>
        <w:rPr/>
        <w:t>de las localidades con factibilidad para ser consideradas en el estudio y la localización de los huertos, lo que posteriormente será verificado mediante trabajo en </w:t>
      </w:r>
      <w:r>
        <w:rPr>
          <w:spacing w:val="23"/>
        </w:rPr>
        <w:t> </w:t>
      </w:r>
      <w:r>
        <w:rPr/>
        <w:t>campo.</w:t>
      </w:r>
    </w:p>
    <w:p>
      <w:pPr>
        <w:pStyle w:val="BodyText"/>
        <w:spacing w:before="11"/>
      </w:pPr>
    </w:p>
    <w:p>
      <w:pPr>
        <w:pStyle w:val="BodyText"/>
        <w:spacing w:line="249" w:lineRule="auto"/>
        <w:ind w:left="117" w:firstLine="170"/>
        <w:jc w:val="both"/>
      </w:pPr>
      <w:r>
        <w:rPr/>
        <w:t>Utilizando como base las imágenes satelitales y con el uso del software ArcGIS 10.2©Copyright 2015 ESRI, se obtendrá la localización de cada huerto y su superficie; este</w:t>
      </w:r>
      <w:r>
        <w:rPr>
          <w:spacing w:val="-8"/>
        </w:rPr>
        <w:t> </w:t>
      </w:r>
      <w:r>
        <w:rPr/>
        <w:t>procedimiento</w:t>
      </w:r>
      <w:r>
        <w:rPr>
          <w:spacing w:val="-8"/>
        </w:rPr>
        <w:t> </w:t>
      </w:r>
      <w:r>
        <w:rPr/>
        <w:t>permitirá</w:t>
      </w:r>
      <w:r>
        <w:rPr>
          <w:spacing w:val="-8"/>
        </w:rPr>
        <w:t> </w:t>
      </w:r>
      <w:r>
        <w:rPr/>
        <w:t>calcular</w:t>
      </w:r>
      <w:r>
        <w:rPr>
          <w:spacing w:val="-8"/>
        </w:rPr>
        <w:t> </w:t>
      </w:r>
      <w:r>
        <w:rPr/>
        <w:t>la</w:t>
      </w:r>
      <w:r>
        <w:rPr>
          <w:spacing w:val="-8"/>
        </w:rPr>
        <w:t> </w:t>
      </w:r>
      <w:r>
        <w:rPr/>
        <w:t>frecuencia</w:t>
      </w:r>
      <w:r>
        <w:rPr>
          <w:spacing w:val="-8"/>
        </w:rPr>
        <w:t> </w:t>
      </w:r>
      <w:r>
        <w:rPr/>
        <w:t>con</w:t>
      </w:r>
      <w:r>
        <w:rPr>
          <w:spacing w:val="-8"/>
        </w:rPr>
        <w:t> </w:t>
      </w:r>
      <w:r>
        <w:rPr/>
        <w:t>la</w:t>
      </w:r>
      <w:r>
        <w:rPr>
          <w:spacing w:val="-8"/>
        </w:rPr>
        <w:t> </w:t>
      </w:r>
      <w:r>
        <w:rPr/>
        <w:t>que</w:t>
      </w:r>
      <w:r>
        <w:rPr>
          <w:spacing w:val="-8"/>
        </w:rPr>
        <w:t> </w:t>
      </w:r>
      <w:r>
        <w:rPr/>
        <w:t>se</w:t>
      </w:r>
      <w:r>
        <w:rPr>
          <w:spacing w:val="-8"/>
        </w:rPr>
        <w:t> </w:t>
      </w:r>
      <w:r>
        <w:rPr/>
        <w:t>encuentran</w:t>
      </w:r>
      <w:r>
        <w:rPr>
          <w:spacing w:val="-8"/>
        </w:rPr>
        <w:t> </w:t>
      </w:r>
      <w:r>
        <w:rPr/>
        <w:t>los</w:t>
      </w:r>
      <w:r>
        <w:rPr>
          <w:spacing w:val="-8"/>
        </w:rPr>
        <w:t> </w:t>
      </w:r>
      <w:r>
        <w:rPr/>
        <w:t>huertos en las diferentes localidades, y el análisis de la distribución espacial de los</w:t>
      </w:r>
      <w:r>
        <w:rPr>
          <w:spacing w:val="22"/>
        </w:rPr>
        <w:t> </w:t>
      </w:r>
      <w:r>
        <w:rPr/>
        <w:t>AEHF.</w:t>
      </w:r>
    </w:p>
    <w:p>
      <w:pPr>
        <w:pStyle w:val="BodyText"/>
        <w:spacing w:before="11"/>
      </w:pPr>
    </w:p>
    <w:p>
      <w:pPr>
        <w:pStyle w:val="BodyText"/>
        <w:spacing w:line="249" w:lineRule="auto"/>
        <w:ind w:left="117" w:right="1" w:firstLine="170"/>
        <w:jc w:val="both"/>
      </w:pPr>
      <w:r>
        <w:rPr/>
        <w:t>El análisis espacial será dividido en el análisis estadístico obtenido de la base de datos y el análisis cartográfico, mediante la elaboración de cartografía  automatizada.</w:t>
      </w:r>
    </w:p>
    <w:p>
      <w:pPr>
        <w:pStyle w:val="BodyText"/>
      </w:pPr>
    </w:p>
    <w:p>
      <w:pPr>
        <w:pStyle w:val="BodyText"/>
        <w:spacing w:before="1"/>
        <w:rPr>
          <w:sz w:val="25"/>
        </w:rPr>
      </w:pPr>
    </w:p>
    <w:p>
      <w:pPr>
        <w:spacing w:before="0"/>
        <w:ind w:left="117" w:right="22" w:firstLine="0"/>
        <w:jc w:val="left"/>
        <w:rPr>
          <w:sz w:val="16"/>
        </w:rPr>
      </w:pPr>
      <w:r>
        <w:rPr>
          <w:sz w:val="16"/>
        </w:rPr>
        <w:t>Estos se  realizarán conforme a los siguientes pasos:</w:t>
      </w:r>
    </w:p>
    <w:p>
      <w:pPr>
        <w:pStyle w:val="BodyText"/>
        <w:spacing w:before="5"/>
        <w:rPr>
          <w:sz w:val="22"/>
        </w:rPr>
      </w:pPr>
    </w:p>
    <w:p>
      <w:pPr>
        <w:pStyle w:val="ListParagraph"/>
        <w:numPr>
          <w:ilvl w:val="1"/>
          <w:numId w:val="18"/>
        </w:numPr>
        <w:tabs>
          <w:tab w:pos="648" w:val="left" w:leader="none"/>
        </w:tabs>
        <w:spacing w:line="249" w:lineRule="auto" w:before="0" w:after="0"/>
        <w:ind w:left="647" w:right="0" w:hanging="360"/>
        <w:jc w:val="both"/>
        <w:rPr>
          <w:sz w:val="20"/>
        </w:rPr>
      </w:pPr>
      <w:r>
        <w:rPr>
          <w:sz w:val="20"/>
        </w:rPr>
        <w:t>Mediante recorridos sistemáticos en campo de la zona de estudio, se tomarán datos georreferenciados con un GPS, que corresponden a la ubicación espacial de las localidades y huertos ubicados en los municipios </w:t>
      </w:r>
      <w:r>
        <w:rPr>
          <w:spacing w:val="15"/>
          <w:sz w:val="20"/>
        </w:rPr>
        <w:t> </w:t>
      </w:r>
      <w:r>
        <w:rPr>
          <w:sz w:val="20"/>
        </w:rPr>
        <w:t>referidos.</w:t>
      </w:r>
    </w:p>
    <w:p>
      <w:pPr>
        <w:pStyle w:val="ListParagraph"/>
        <w:numPr>
          <w:ilvl w:val="1"/>
          <w:numId w:val="18"/>
        </w:numPr>
        <w:tabs>
          <w:tab w:pos="648" w:val="left" w:leader="none"/>
        </w:tabs>
        <w:spacing w:line="249" w:lineRule="auto" w:before="1" w:after="0"/>
        <w:ind w:left="647" w:right="0" w:hanging="360"/>
        <w:jc w:val="both"/>
        <w:rPr>
          <w:sz w:val="20"/>
        </w:rPr>
      </w:pPr>
      <w:r>
        <w:rPr>
          <w:sz w:val="20"/>
        </w:rPr>
        <w:t>Posteriormente se realizará la captura de datos, llevando a cabo la localización de cada huerto en Google Earth, para así obtener el análisis de la localización  de cada huerto. Con datos obtenidos en trabajo de campo y con ayuda de las imágenes satelitales se realizará digitalmente la delimitación y la obtención de</w:t>
      </w:r>
      <w:r>
        <w:rPr>
          <w:spacing w:val="-34"/>
          <w:sz w:val="20"/>
        </w:rPr>
        <w:t> </w:t>
      </w:r>
      <w:r>
        <w:rPr>
          <w:sz w:val="20"/>
        </w:rPr>
        <w:t>un polígono para cada</w:t>
      </w:r>
      <w:r>
        <w:rPr>
          <w:spacing w:val="24"/>
          <w:sz w:val="20"/>
        </w:rPr>
        <w:t> </w:t>
      </w:r>
      <w:r>
        <w:rPr>
          <w:sz w:val="20"/>
        </w:rPr>
        <w:t>huerto.</w:t>
      </w:r>
    </w:p>
    <w:p>
      <w:pPr>
        <w:pStyle w:val="ListParagraph"/>
        <w:numPr>
          <w:ilvl w:val="1"/>
          <w:numId w:val="18"/>
        </w:numPr>
        <w:tabs>
          <w:tab w:pos="648" w:val="left" w:leader="none"/>
        </w:tabs>
        <w:spacing w:line="249" w:lineRule="auto" w:before="1" w:after="0"/>
        <w:ind w:left="647" w:right="0" w:hanging="360"/>
        <w:jc w:val="both"/>
        <w:rPr>
          <w:sz w:val="20"/>
        </w:rPr>
      </w:pPr>
      <w:r>
        <w:rPr>
          <w:sz w:val="20"/>
        </w:rPr>
        <w:t>Para el análisis espacial cartográfico se procederá de la siguiente forma: Con estos polígonos y con el uso del software ArcGIS 10.2©Copyright 2015 ESRI, mediante la base de datos se realizará el cálculo de la superficie ocupada por cada huerto, lo que permitirá a su vez calcular la superficie que ocupan estos agro ecosistemas en cada localidad por </w:t>
      </w:r>
      <w:r>
        <w:rPr>
          <w:spacing w:val="12"/>
          <w:sz w:val="20"/>
        </w:rPr>
        <w:t> </w:t>
      </w:r>
      <w:r>
        <w:rPr>
          <w:sz w:val="20"/>
        </w:rPr>
        <w:t>municipio.</w:t>
      </w:r>
    </w:p>
    <w:p>
      <w:pPr>
        <w:pStyle w:val="ListParagraph"/>
        <w:numPr>
          <w:ilvl w:val="1"/>
          <w:numId w:val="18"/>
        </w:numPr>
        <w:tabs>
          <w:tab w:pos="648" w:val="left" w:leader="none"/>
        </w:tabs>
        <w:spacing w:line="249" w:lineRule="auto" w:before="1" w:after="0"/>
        <w:ind w:left="647" w:right="0" w:hanging="360"/>
        <w:jc w:val="both"/>
        <w:rPr>
          <w:sz w:val="20"/>
        </w:rPr>
      </w:pPr>
      <w:r>
        <w:rPr>
          <w:sz w:val="20"/>
        </w:rPr>
        <w:t>A partir de la base de datos se elaborarán mapas con la localización de los huertos</w:t>
      </w:r>
      <w:r>
        <w:rPr>
          <w:spacing w:val="-4"/>
          <w:sz w:val="20"/>
        </w:rPr>
        <w:t> </w:t>
      </w:r>
      <w:r>
        <w:rPr>
          <w:sz w:val="20"/>
        </w:rPr>
        <w:t>en</w:t>
      </w:r>
      <w:r>
        <w:rPr>
          <w:spacing w:val="-4"/>
          <w:sz w:val="20"/>
        </w:rPr>
        <w:t> </w:t>
      </w:r>
      <w:r>
        <w:rPr>
          <w:sz w:val="20"/>
        </w:rPr>
        <w:t>cada</w:t>
      </w:r>
      <w:r>
        <w:rPr>
          <w:spacing w:val="-4"/>
          <w:sz w:val="20"/>
        </w:rPr>
        <w:t> </w:t>
      </w:r>
      <w:r>
        <w:rPr>
          <w:sz w:val="20"/>
        </w:rPr>
        <w:t>localidad,</w:t>
      </w:r>
      <w:r>
        <w:rPr>
          <w:spacing w:val="-4"/>
          <w:sz w:val="20"/>
        </w:rPr>
        <w:t> </w:t>
      </w:r>
      <w:r>
        <w:rPr>
          <w:sz w:val="20"/>
        </w:rPr>
        <w:t>y</w:t>
      </w:r>
      <w:r>
        <w:rPr>
          <w:spacing w:val="-4"/>
          <w:sz w:val="20"/>
        </w:rPr>
        <w:t> </w:t>
      </w:r>
      <w:r>
        <w:rPr>
          <w:sz w:val="20"/>
        </w:rPr>
        <w:t>un</w:t>
      </w:r>
      <w:r>
        <w:rPr>
          <w:spacing w:val="-4"/>
          <w:sz w:val="20"/>
        </w:rPr>
        <w:t> </w:t>
      </w:r>
      <w:r>
        <w:rPr>
          <w:sz w:val="20"/>
        </w:rPr>
        <w:t>mapa</w:t>
      </w:r>
      <w:r>
        <w:rPr>
          <w:spacing w:val="-4"/>
          <w:sz w:val="20"/>
        </w:rPr>
        <w:t> </w:t>
      </w:r>
      <w:r>
        <w:rPr>
          <w:sz w:val="20"/>
        </w:rPr>
        <w:t>con</w:t>
      </w:r>
      <w:r>
        <w:rPr>
          <w:spacing w:val="-4"/>
          <w:sz w:val="20"/>
        </w:rPr>
        <w:t> </w:t>
      </w:r>
      <w:r>
        <w:rPr>
          <w:sz w:val="20"/>
        </w:rPr>
        <w:t>la</w:t>
      </w:r>
      <w:r>
        <w:rPr>
          <w:spacing w:val="-4"/>
          <w:sz w:val="20"/>
        </w:rPr>
        <w:t> </w:t>
      </w:r>
      <w:r>
        <w:rPr>
          <w:sz w:val="20"/>
        </w:rPr>
        <w:t>ubicación</w:t>
      </w:r>
      <w:r>
        <w:rPr>
          <w:spacing w:val="-4"/>
          <w:sz w:val="20"/>
        </w:rPr>
        <w:t> </w:t>
      </w:r>
      <w:r>
        <w:rPr>
          <w:sz w:val="20"/>
        </w:rPr>
        <w:t>de</w:t>
      </w:r>
      <w:r>
        <w:rPr>
          <w:spacing w:val="-4"/>
          <w:sz w:val="20"/>
        </w:rPr>
        <w:t> </w:t>
      </w:r>
      <w:r>
        <w:rPr>
          <w:sz w:val="20"/>
        </w:rPr>
        <w:t>las</w:t>
      </w:r>
      <w:r>
        <w:rPr>
          <w:spacing w:val="-4"/>
          <w:sz w:val="20"/>
        </w:rPr>
        <w:t> </w:t>
      </w:r>
      <w:r>
        <w:rPr>
          <w:sz w:val="20"/>
        </w:rPr>
        <w:t>localidades</w:t>
      </w:r>
      <w:r>
        <w:rPr>
          <w:spacing w:val="-4"/>
          <w:sz w:val="20"/>
        </w:rPr>
        <w:t> </w:t>
      </w:r>
      <w:r>
        <w:rPr>
          <w:sz w:val="20"/>
        </w:rPr>
        <w:t>en</w:t>
      </w:r>
      <w:r>
        <w:rPr>
          <w:spacing w:val="-4"/>
          <w:sz w:val="20"/>
        </w:rPr>
        <w:t> </w:t>
      </w:r>
      <w:r>
        <w:rPr>
          <w:sz w:val="20"/>
        </w:rPr>
        <w:t>cada municipio, y de los municipios en la región. Los mapas se construirán mediante digitalización de polígonos a partir de las imágenes de satélite en Google  </w:t>
      </w:r>
      <w:r>
        <w:rPr>
          <w:spacing w:val="53"/>
          <w:sz w:val="20"/>
        </w:rPr>
        <w:t> </w:t>
      </w:r>
      <w:r>
        <w:rPr>
          <w:sz w:val="20"/>
        </w:rPr>
        <w:t>Earth</w:t>
      </w:r>
    </w:p>
    <w:p>
      <w:pPr>
        <w:pStyle w:val="BodyText"/>
        <w:spacing w:line="249" w:lineRule="auto" w:before="109"/>
        <w:ind w:left="647"/>
      </w:pPr>
      <w:r>
        <w:rPr/>
        <w:br w:type="column"/>
      </w:r>
      <w:r>
        <w:rPr/>
        <w:t>en formato KML, que son exportadas ArcGIS 10.2 para obtenerlas en formato SHAPE.</w:t>
      </w:r>
    </w:p>
    <w:p>
      <w:pPr>
        <w:pStyle w:val="ListParagraph"/>
        <w:numPr>
          <w:ilvl w:val="1"/>
          <w:numId w:val="18"/>
        </w:numPr>
        <w:tabs>
          <w:tab w:pos="648" w:val="left" w:leader="none"/>
        </w:tabs>
        <w:spacing w:line="249" w:lineRule="auto" w:before="1" w:after="0"/>
        <w:ind w:left="647" w:right="129" w:hanging="360"/>
        <w:jc w:val="both"/>
        <w:rPr>
          <w:sz w:val="20"/>
        </w:rPr>
      </w:pPr>
      <w:r>
        <w:rPr>
          <w:sz w:val="20"/>
        </w:rPr>
        <w:t>Las variables calculadas mediante el análisis espacial estadístico son: número  de huertos, superficie promedio de los  huertos (m2), superficie total ocupada  por huertos (m2), % de la superficie ocupada por huertos, superficie total de la localidad (m2). Estas variables se obtendrán por localidad y</w:t>
      </w:r>
      <w:r>
        <w:rPr>
          <w:spacing w:val="45"/>
          <w:sz w:val="20"/>
        </w:rPr>
        <w:t> </w:t>
      </w:r>
      <w:r>
        <w:rPr>
          <w:sz w:val="20"/>
        </w:rPr>
        <w:t>municipio.</w:t>
      </w:r>
    </w:p>
    <w:p>
      <w:pPr>
        <w:pStyle w:val="ListParagraph"/>
        <w:numPr>
          <w:ilvl w:val="1"/>
          <w:numId w:val="18"/>
        </w:numPr>
        <w:tabs>
          <w:tab w:pos="648" w:val="left" w:leader="none"/>
        </w:tabs>
        <w:spacing w:line="249" w:lineRule="auto" w:before="1" w:after="0"/>
        <w:ind w:left="647" w:right="129" w:hanging="360"/>
        <w:jc w:val="both"/>
        <w:rPr>
          <w:sz w:val="20"/>
        </w:rPr>
      </w:pPr>
      <w:r>
        <w:rPr>
          <w:sz w:val="20"/>
        </w:rPr>
        <w:t>Con la información obtenida será posible realizar el análisis espacial estadístico comparativo entre localidades urbanas y rurales, de la superficie ocupada por huertos familiares (m2); así como entre las propias localidades</w:t>
      </w:r>
      <w:r>
        <w:rPr>
          <w:spacing w:val="-3"/>
          <w:sz w:val="20"/>
        </w:rPr>
        <w:t> </w:t>
      </w:r>
      <w:r>
        <w:rPr>
          <w:sz w:val="20"/>
        </w:rPr>
        <w:t>rurales</w:t>
      </w:r>
    </w:p>
    <w:p>
      <w:pPr>
        <w:pStyle w:val="BodyText"/>
        <w:spacing w:before="11"/>
      </w:pPr>
    </w:p>
    <w:p>
      <w:pPr>
        <w:pStyle w:val="BodyText"/>
        <w:spacing w:line="249" w:lineRule="auto"/>
        <w:ind w:left="117" w:right="129" w:firstLine="170"/>
        <w:jc w:val="both"/>
      </w:pPr>
      <w:r>
        <w:rPr/>
        <w:t>Estos procedimientos se aplicarán para los años de 1980 y 2015, con lo que finalmente será posible calcular la permanencia y evolución de los AEHF en el</w:t>
      </w:r>
      <w:r>
        <w:rPr>
          <w:spacing w:val="-28"/>
        </w:rPr>
        <w:t> </w:t>
      </w:r>
      <w:r>
        <w:rPr/>
        <w:t>período. El área de estudio para esta fase serán cuatro localidades de la Cuenca de Malinalco, tres localidades rurales y una urbana (Cuadro</w:t>
      </w:r>
      <w:r>
        <w:rPr>
          <w:spacing w:val="-17"/>
        </w:rPr>
        <w:t> </w:t>
      </w:r>
      <w:r>
        <w:rPr/>
        <w:t>3).</w:t>
      </w:r>
    </w:p>
    <w:p>
      <w:pPr>
        <w:pStyle w:val="BodyText"/>
        <w:spacing w:before="2"/>
        <w:rPr>
          <w:sz w:val="24"/>
        </w:rPr>
      </w:pPr>
    </w:p>
    <w:p>
      <w:pPr>
        <w:spacing w:before="0"/>
        <w:ind w:left="332" w:right="344" w:firstLine="0"/>
        <w:jc w:val="center"/>
        <w:rPr>
          <w:sz w:val="16"/>
        </w:rPr>
      </w:pPr>
      <w:r>
        <w:rPr>
          <w:color w:val="6D6E71"/>
          <w:sz w:val="16"/>
        </w:rPr>
        <w:t>Cuadro 3. Localidades a estudiar para el análisis espacial de AEHF</w:t>
      </w:r>
    </w:p>
    <w:p>
      <w:pPr>
        <w:pStyle w:val="BodyText"/>
        <w:spacing w:before="10"/>
        <w:rPr>
          <w:sz w:val="8"/>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5"/>
        <w:gridCol w:w="3420"/>
        <w:gridCol w:w="1134"/>
        <w:gridCol w:w="1417"/>
      </w:tblGrid>
      <w:tr>
        <w:trPr>
          <w:trHeight w:val="558" w:hRule="exact"/>
        </w:trPr>
        <w:tc>
          <w:tcPr>
            <w:tcW w:w="1435" w:type="dxa"/>
            <w:tcBorders>
              <w:right w:val="single" w:sz="4" w:space="0" w:color="FFFFFF"/>
            </w:tcBorders>
            <w:shd w:val="clear" w:color="auto" w:fill="929292"/>
          </w:tcPr>
          <w:p>
            <w:pPr>
              <w:pStyle w:val="TableParagraph"/>
              <w:spacing w:before="2"/>
              <w:rPr>
                <w:sz w:val="16"/>
              </w:rPr>
            </w:pPr>
          </w:p>
          <w:p>
            <w:pPr>
              <w:pStyle w:val="TableParagraph"/>
              <w:ind w:left="107"/>
              <w:rPr>
                <w:sz w:val="16"/>
              </w:rPr>
            </w:pPr>
            <w:r>
              <w:rPr>
                <w:w w:val="105"/>
                <w:sz w:val="16"/>
              </w:rPr>
              <w:t>Municipio</w:t>
            </w:r>
          </w:p>
        </w:tc>
        <w:tc>
          <w:tcPr>
            <w:tcW w:w="3420" w:type="dxa"/>
            <w:tcBorders>
              <w:left w:val="single" w:sz="4" w:space="0" w:color="FFFFFF"/>
              <w:right w:val="single" w:sz="4" w:space="0" w:color="FFFFFF"/>
            </w:tcBorders>
            <w:shd w:val="clear" w:color="auto" w:fill="929292"/>
          </w:tcPr>
          <w:p>
            <w:pPr>
              <w:pStyle w:val="TableParagraph"/>
              <w:spacing w:before="2"/>
              <w:rPr>
                <w:sz w:val="16"/>
              </w:rPr>
            </w:pPr>
          </w:p>
          <w:p>
            <w:pPr>
              <w:pStyle w:val="TableParagraph"/>
              <w:ind w:left="103"/>
              <w:rPr>
                <w:sz w:val="16"/>
              </w:rPr>
            </w:pPr>
            <w:r>
              <w:rPr>
                <w:sz w:val="16"/>
              </w:rPr>
              <w:t>Comunidad</w:t>
            </w:r>
          </w:p>
        </w:tc>
        <w:tc>
          <w:tcPr>
            <w:tcW w:w="1134" w:type="dxa"/>
            <w:tcBorders>
              <w:left w:val="single" w:sz="4" w:space="0" w:color="FFFFFF"/>
              <w:right w:val="single" w:sz="4" w:space="0" w:color="FFFFFF"/>
            </w:tcBorders>
            <w:shd w:val="clear" w:color="auto" w:fill="929292"/>
          </w:tcPr>
          <w:p>
            <w:pPr>
              <w:pStyle w:val="TableParagraph"/>
              <w:spacing w:before="2"/>
              <w:rPr>
                <w:sz w:val="16"/>
              </w:rPr>
            </w:pPr>
          </w:p>
          <w:p>
            <w:pPr>
              <w:pStyle w:val="TableParagraph"/>
              <w:ind w:left="103"/>
              <w:rPr>
                <w:sz w:val="16"/>
              </w:rPr>
            </w:pPr>
            <w:r>
              <w:rPr>
                <w:sz w:val="16"/>
              </w:rPr>
              <w:t>Población</w:t>
            </w:r>
          </w:p>
        </w:tc>
        <w:tc>
          <w:tcPr>
            <w:tcW w:w="1417" w:type="dxa"/>
            <w:tcBorders>
              <w:left w:val="single" w:sz="4" w:space="0" w:color="FFFFFF"/>
            </w:tcBorders>
            <w:shd w:val="clear" w:color="auto" w:fill="929292"/>
          </w:tcPr>
          <w:p>
            <w:pPr>
              <w:pStyle w:val="TableParagraph"/>
              <w:spacing w:before="2"/>
              <w:rPr>
                <w:sz w:val="16"/>
              </w:rPr>
            </w:pPr>
          </w:p>
          <w:p>
            <w:pPr>
              <w:pStyle w:val="TableParagraph"/>
              <w:ind w:left="102"/>
              <w:rPr>
                <w:sz w:val="16"/>
              </w:rPr>
            </w:pPr>
            <w:r>
              <w:rPr>
                <w:sz w:val="16"/>
              </w:rPr>
              <w:t>Altitud (msnm)</w:t>
            </w:r>
          </w:p>
        </w:tc>
      </w:tr>
      <w:tr>
        <w:trPr>
          <w:trHeight w:val="301" w:hRule="exact"/>
        </w:trPr>
        <w:tc>
          <w:tcPr>
            <w:tcW w:w="1435" w:type="dxa"/>
            <w:vMerge w:val="restart"/>
            <w:tcBorders>
              <w:right w:val="single" w:sz="4" w:space="0" w:color="929292"/>
            </w:tcBorders>
          </w:tcPr>
          <w:p>
            <w:pPr>
              <w:pStyle w:val="TableParagraph"/>
              <w:rPr>
                <w:sz w:val="16"/>
              </w:rPr>
            </w:pPr>
          </w:p>
          <w:p>
            <w:pPr>
              <w:pStyle w:val="TableParagraph"/>
              <w:rPr>
                <w:sz w:val="16"/>
              </w:rPr>
            </w:pPr>
          </w:p>
          <w:p>
            <w:pPr>
              <w:pStyle w:val="TableParagraph"/>
              <w:spacing w:before="4"/>
              <w:rPr>
                <w:sz w:val="22"/>
              </w:rPr>
            </w:pPr>
          </w:p>
          <w:p>
            <w:pPr>
              <w:pStyle w:val="TableParagraph"/>
              <w:ind w:left="107"/>
              <w:rPr>
                <w:sz w:val="16"/>
              </w:rPr>
            </w:pPr>
            <w:r>
              <w:rPr>
                <w:sz w:val="16"/>
              </w:rPr>
              <w:t>Malinalco</w:t>
            </w:r>
          </w:p>
        </w:tc>
        <w:tc>
          <w:tcPr>
            <w:tcW w:w="3420" w:type="dxa"/>
            <w:tcBorders>
              <w:left w:val="single" w:sz="4" w:space="0" w:color="929292"/>
              <w:bottom w:val="dotted" w:sz="4" w:space="0" w:color="929292"/>
              <w:right w:val="single" w:sz="4" w:space="0" w:color="929292"/>
            </w:tcBorders>
          </w:tcPr>
          <w:p>
            <w:pPr>
              <w:pStyle w:val="TableParagraph"/>
              <w:spacing w:before="55"/>
              <w:ind w:left="103"/>
              <w:rPr>
                <w:sz w:val="16"/>
              </w:rPr>
            </w:pPr>
            <w:r>
              <w:rPr>
                <w:sz w:val="16"/>
              </w:rPr>
              <w:t>Cabecera Municipal de Malinalco</w:t>
            </w:r>
          </w:p>
        </w:tc>
        <w:tc>
          <w:tcPr>
            <w:tcW w:w="1134" w:type="dxa"/>
            <w:tcBorders>
              <w:left w:val="single" w:sz="4" w:space="0" w:color="929292"/>
              <w:bottom w:val="dotted" w:sz="4" w:space="0" w:color="929292"/>
              <w:right w:val="single" w:sz="4" w:space="0" w:color="929292"/>
            </w:tcBorders>
          </w:tcPr>
          <w:p>
            <w:pPr>
              <w:pStyle w:val="TableParagraph"/>
              <w:spacing w:before="55"/>
              <w:ind w:left="103"/>
              <w:rPr>
                <w:sz w:val="16"/>
              </w:rPr>
            </w:pPr>
            <w:r>
              <w:rPr>
                <w:sz w:val="16"/>
              </w:rPr>
              <w:t>8,045</w:t>
            </w:r>
          </w:p>
        </w:tc>
        <w:tc>
          <w:tcPr>
            <w:tcW w:w="1417" w:type="dxa"/>
            <w:tcBorders>
              <w:left w:val="single" w:sz="4" w:space="0" w:color="929292"/>
              <w:bottom w:val="dotted" w:sz="4" w:space="0" w:color="929292"/>
            </w:tcBorders>
          </w:tcPr>
          <w:p>
            <w:pPr>
              <w:pStyle w:val="TableParagraph"/>
              <w:spacing w:before="55"/>
              <w:ind w:left="102"/>
              <w:rPr>
                <w:sz w:val="16"/>
              </w:rPr>
            </w:pPr>
            <w:r>
              <w:rPr>
                <w:sz w:val="16"/>
              </w:rPr>
              <w:t>1747</w:t>
            </w:r>
          </w:p>
        </w:tc>
      </w:tr>
      <w:tr>
        <w:trPr>
          <w:trHeight w:val="380" w:hRule="exact"/>
        </w:trPr>
        <w:tc>
          <w:tcPr>
            <w:tcW w:w="1435" w:type="dxa"/>
            <w:vMerge/>
            <w:tcBorders>
              <w:right w:val="single" w:sz="4" w:space="0" w:color="929292"/>
            </w:tcBorders>
          </w:tcPr>
          <w:p>
            <w:pPr/>
          </w:p>
        </w:tc>
        <w:tc>
          <w:tcPr>
            <w:tcW w:w="3420" w:type="dxa"/>
            <w:tcBorders>
              <w:top w:val="dotted" w:sz="4" w:space="0" w:color="929292"/>
              <w:left w:val="single" w:sz="4" w:space="0" w:color="929292"/>
              <w:bottom w:val="dotted" w:sz="4" w:space="0" w:color="929292"/>
              <w:right w:val="single" w:sz="4" w:space="0" w:color="929292"/>
            </w:tcBorders>
          </w:tcPr>
          <w:p>
            <w:pPr>
              <w:pStyle w:val="TableParagraph"/>
              <w:spacing w:before="92"/>
              <w:ind w:left="103"/>
              <w:rPr>
                <w:sz w:val="16"/>
              </w:rPr>
            </w:pPr>
            <w:r>
              <w:rPr>
                <w:sz w:val="16"/>
              </w:rPr>
              <w:t>San Nicolás</w:t>
            </w:r>
          </w:p>
        </w:tc>
        <w:tc>
          <w:tcPr>
            <w:tcW w:w="1134" w:type="dxa"/>
            <w:tcBorders>
              <w:top w:val="dotted" w:sz="4" w:space="0" w:color="929292"/>
              <w:left w:val="single" w:sz="4" w:space="0" w:color="929292"/>
              <w:bottom w:val="dotted" w:sz="4" w:space="0" w:color="929292"/>
              <w:right w:val="single" w:sz="4" w:space="0" w:color="929292"/>
            </w:tcBorders>
          </w:tcPr>
          <w:p>
            <w:pPr>
              <w:pStyle w:val="TableParagraph"/>
              <w:spacing w:before="92"/>
              <w:ind w:left="103"/>
              <w:rPr>
                <w:sz w:val="16"/>
              </w:rPr>
            </w:pPr>
            <w:r>
              <w:rPr>
                <w:sz w:val="16"/>
              </w:rPr>
              <w:t>882</w:t>
            </w:r>
          </w:p>
        </w:tc>
        <w:tc>
          <w:tcPr>
            <w:tcW w:w="1417" w:type="dxa"/>
            <w:tcBorders>
              <w:top w:val="dotted" w:sz="4" w:space="0" w:color="929292"/>
              <w:left w:val="single" w:sz="4" w:space="0" w:color="929292"/>
              <w:bottom w:val="dotted" w:sz="4" w:space="0" w:color="929292"/>
            </w:tcBorders>
          </w:tcPr>
          <w:p>
            <w:pPr>
              <w:pStyle w:val="TableParagraph"/>
              <w:spacing w:before="92"/>
              <w:ind w:left="102"/>
              <w:rPr>
                <w:sz w:val="16"/>
              </w:rPr>
            </w:pPr>
            <w:r>
              <w:rPr>
                <w:sz w:val="16"/>
              </w:rPr>
              <w:t>1964</w:t>
            </w:r>
          </w:p>
        </w:tc>
      </w:tr>
      <w:tr>
        <w:trPr>
          <w:trHeight w:val="380" w:hRule="exact"/>
        </w:trPr>
        <w:tc>
          <w:tcPr>
            <w:tcW w:w="1435" w:type="dxa"/>
            <w:vMerge/>
            <w:tcBorders>
              <w:right w:val="single" w:sz="4" w:space="0" w:color="929292"/>
            </w:tcBorders>
          </w:tcPr>
          <w:p>
            <w:pPr/>
          </w:p>
        </w:tc>
        <w:tc>
          <w:tcPr>
            <w:tcW w:w="3420" w:type="dxa"/>
            <w:tcBorders>
              <w:top w:val="dotted" w:sz="4" w:space="0" w:color="929292"/>
              <w:left w:val="single" w:sz="4" w:space="0" w:color="929292"/>
              <w:bottom w:val="dotted" w:sz="4" w:space="0" w:color="929292"/>
              <w:right w:val="single" w:sz="4" w:space="0" w:color="929292"/>
            </w:tcBorders>
          </w:tcPr>
          <w:p>
            <w:pPr>
              <w:pStyle w:val="TableParagraph"/>
              <w:spacing w:before="92"/>
              <w:ind w:left="103"/>
              <w:rPr>
                <w:sz w:val="16"/>
              </w:rPr>
            </w:pPr>
            <w:r>
              <w:rPr>
                <w:sz w:val="16"/>
              </w:rPr>
              <w:t>El Platanar</w:t>
            </w:r>
          </w:p>
        </w:tc>
        <w:tc>
          <w:tcPr>
            <w:tcW w:w="1134" w:type="dxa"/>
            <w:tcBorders>
              <w:top w:val="dotted" w:sz="4" w:space="0" w:color="929292"/>
              <w:left w:val="single" w:sz="4" w:space="0" w:color="929292"/>
              <w:bottom w:val="dotted" w:sz="4" w:space="0" w:color="929292"/>
              <w:right w:val="single" w:sz="4" w:space="0" w:color="929292"/>
            </w:tcBorders>
          </w:tcPr>
          <w:p>
            <w:pPr>
              <w:pStyle w:val="TableParagraph"/>
              <w:spacing w:before="92"/>
              <w:ind w:left="103"/>
              <w:rPr>
                <w:sz w:val="16"/>
              </w:rPr>
            </w:pPr>
            <w:r>
              <w:rPr>
                <w:sz w:val="16"/>
              </w:rPr>
              <w:t>324</w:t>
            </w:r>
          </w:p>
        </w:tc>
        <w:tc>
          <w:tcPr>
            <w:tcW w:w="1417" w:type="dxa"/>
            <w:tcBorders>
              <w:top w:val="dotted" w:sz="4" w:space="0" w:color="929292"/>
              <w:left w:val="single" w:sz="4" w:space="0" w:color="929292"/>
              <w:bottom w:val="dotted" w:sz="4" w:space="0" w:color="929292"/>
            </w:tcBorders>
          </w:tcPr>
          <w:p>
            <w:pPr>
              <w:pStyle w:val="TableParagraph"/>
              <w:spacing w:before="92"/>
              <w:ind w:left="102"/>
              <w:rPr>
                <w:sz w:val="16"/>
              </w:rPr>
            </w:pPr>
            <w:r>
              <w:rPr>
                <w:sz w:val="16"/>
              </w:rPr>
              <w:t>1306</w:t>
            </w:r>
          </w:p>
        </w:tc>
      </w:tr>
      <w:tr>
        <w:trPr>
          <w:trHeight w:val="351" w:hRule="exact"/>
        </w:trPr>
        <w:tc>
          <w:tcPr>
            <w:tcW w:w="1435" w:type="dxa"/>
            <w:vMerge/>
            <w:tcBorders>
              <w:right w:val="single" w:sz="4" w:space="0" w:color="929292"/>
            </w:tcBorders>
          </w:tcPr>
          <w:p>
            <w:pPr/>
          </w:p>
        </w:tc>
        <w:tc>
          <w:tcPr>
            <w:tcW w:w="3420" w:type="dxa"/>
            <w:tcBorders>
              <w:top w:val="dotted" w:sz="4" w:space="0" w:color="929292"/>
              <w:left w:val="single" w:sz="4" w:space="0" w:color="929292"/>
              <w:right w:val="single" w:sz="4" w:space="0" w:color="929292"/>
            </w:tcBorders>
          </w:tcPr>
          <w:p>
            <w:pPr>
              <w:pStyle w:val="TableParagraph"/>
              <w:spacing w:before="92"/>
              <w:ind w:left="103"/>
              <w:rPr>
                <w:sz w:val="16"/>
              </w:rPr>
            </w:pPr>
            <w:r>
              <w:rPr>
                <w:sz w:val="16"/>
              </w:rPr>
              <w:t>Colonia Juárez</w:t>
            </w:r>
          </w:p>
        </w:tc>
        <w:tc>
          <w:tcPr>
            <w:tcW w:w="1134" w:type="dxa"/>
            <w:tcBorders>
              <w:top w:val="dotted" w:sz="4" w:space="0" w:color="929292"/>
              <w:left w:val="single" w:sz="4" w:space="0" w:color="929292"/>
              <w:right w:val="single" w:sz="4" w:space="0" w:color="929292"/>
            </w:tcBorders>
          </w:tcPr>
          <w:p>
            <w:pPr>
              <w:pStyle w:val="TableParagraph"/>
              <w:spacing w:before="92"/>
              <w:ind w:left="103"/>
              <w:rPr>
                <w:sz w:val="16"/>
              </w:rPr>
            </w:pPr>
            <w:r>
              <w:rPr>
                <w:sz w:val="16"/>
              </w:rPr>
              <w:t>757</w:t>
            </w:r>
          </w:p>
        </w:tc>
        <w:tc>
          <w:tcPr>
            <w:tcW w:w="1417" w:type="dxa"/>
            <w:tcBorders>
              <w:top w:val="dotted" w:sz="4" w:space="0" w:color="929292"/>
              <w:left w:val="single" w:sz="4" w:space="0" w:color="929292"/>
            </w:tcBorders>
          </w:tcPr>
          <w:p>
            <w:pPr>
              <w:pStyle w:val="TableParagraph"/>
              <w:spacing w:before="92"/>
              <w:ind w:left="102"/>
              <w:rPr>
                <w:sz w:val="16"/>
              </w:rPr>
            </w:pPr>
            <w:r>
              <w:rPr>
                <w:sz w:val="16"/>
              </w:rPr>
              <w:t>1241</w:t>
            </w:r>
          </w:p>
        </w:tc>
      </w:tr>
    </w:tbl>
    <w:p>
      <w:pPr>
        <w:spacing w:before="143"/>
        <w:ind w:left="332" w:right="344" w:firstLine="0"/>
        <w:jc w:val="center"/>
        <w:rPr>
          <w:sz w:val="16"/>
        </w:rPr>
      </w:pPr>
      <w:r>
        <w:rPr>
          <w:color w:val="6D6E71"/>
          <w:sz w:val="16"/>
        </w:rPr>
        <w:t>Fuente: Elaboración propia, 2015</w:t>
      </w:r>
    </w:p>
    <w:p>
      <w:pPr>
        <w:pStyle w:val="BodyText"/>
        <w:rPr>
          <w:sz w:val="16"/>
        </w:rPr>
      </w:pPr>
    </w:p>
    <w:p>
      <w:pPr>
        <w:pStyle w:val="BodyText"/>
        <w:rPr>
          <w:sz w:val="16"/>
        </w:rPr>
      </w:pPr>
    </w:p>
    <w:p>
      <w:pPr>
        <w:pStyle w:val="BodyText"/>
        <w:rPr>
          <w:sz w:val="16"/>
        </w:rPr>
      </w:pPr>
    </w:p>
    <w:p>
      <w:pPr>
        <w:pStyle w:val="BodyText"/>
        <w:spacing w:before="9"/>
        <w:rPr>
          <w:sz w:val="15"/>
        </w:rPr>
      </w:pPr>
    </w:p>
    <w:p>
      <w:pPr>
        <w:pStyle w:val="Heading1"/>
        <w:spacing w:line="240" w:lineRule="exact" w:before="1"/>
        <w:ind w:left="332" w:right="346"/>
        <w:jc w:val="center"/>
      </w:pPr>
      <w:r>
        <w:rPr/>
        <w:t>Estudio comparativo de suelos en huertos familiares y terrenos agrícolas con cultivos anuales.</w:t>
      </w:r>
    </w:p>
    <w:p>
      <w:pPr>
        <w:pStyle w:val="BodyText"/>
        <w:spacing w:before="2"/>
        <w:rPr>
          <w:b/>
          <w:sz w:val="21"/>
        </w:rPr>
      </w:pPr>
    </w:p>
    <w:p>
      <w:pPr>
        <w:pStyle w:val="BodyText"/>
        <w:spacing w:line="249" w:lineRule="auto" w:before="1"/>
        <w:ind w:left="117" w:right="128" w:firstLine="170"/>
        <w:jc w:val="both"/>
      </w:pPr>
      <w:r>
        <w:rPr/>
        <w:t>Como</w:t>
      </w:r>
      <w:r>
        <w:rPr>
          <w:spacing w:val="-20"/>
        </w:rPr>
        <w:t> </w:t>
      </w:r>
      <w:r>
        <w:rPr/>
        <w:t>primera</w:t>
      </w:r>
      <w:r>
        <w:rPr>
          <w:spacing w:val="-20"/>
        </w:rPr>
        <w:t> </w:t>
      </w:r>
      <w:r>
        <w:rPr/>
        <w:t>etapa</w:t>
      </w:r>
      <w:r>
        <w:rPr>
          <w:spacing w:val="-20"/>
        </w:rPr>
        <w:t> </w:t>
      </w:r>
      <w:r>
        <w:rPr/>
        <w:t>de</w:t>
      </w:r>
      <w:r>
        <w:rPr>
          <w:spacing w:val="-20"/>
        </w:rPr>
        <w:t> </w:t>
      </w:r>
      <w:r>
        <w:rPr/>
        <w:t>esta</w:t>
      </w:r>
      <w:r>
        <w:rPr>
          <w:spacing w:val="-20"/>
        </w:rPr>
        <w:t> </w:t>
      </w:r>
      <w:r>
        <w:rPr/>
        <w:t>fase,</w:t>
      </w:r>
      <w:r>
        <w:rPr>
          <w:spacing w:val="-20"/>
        </w:rPr>
        <w:t> </w:t>
      </w:r>
      <w:r>
        <w:rPr/>
        <w:t>se</w:t>
      </w:r>
      <w:r>
        <w:rPr>
          <w:spacing w:val="-20"/>
        </w:rPr>
        <w:t> </w:t>
      </w:r>
      <w:r>
        <w:rPr/>
        <w:t>llevará</w:t>
      </w:r>
      <w:r>
        <w:rPr>
          <w:spacing w:val="-20"/>
        </w:rPr>
        <w:t> </w:t>
      </w:r>
      <w:r>
        <w:rPr/>
        <w:t>acabo</w:t>
      </w:r>
      <w:r>
        <w:rPr>
          <w:spacing w:val="-20"/>
        </w:rPr>
        <w:t> </w:t>
      </w:r>
      <w:r>
        <w:rPr/>
        <w:t>la</w:t>
      </w:r>
      <w:r>
        <w:rPr>
          <w:spacing w:val="-20"/>
        </w:rPr>
        <w:t> </w:t>
      </w:r>
      <w:r>
        <w:rPr/>
        <w:t>clasificación</w:t>
      </w:r>
      <w:r>
        <w:rPr>
          <w:spacing w:val="-20"/>
        </w:rPr>
        <w:t> </w:t>
      </w:r>
      <w:r>
        <w:rPr/>
        <w:t>campesina</w:t>
      </w:r>
      <w:r>
        <w:rPr>
          <w:spacing w:val="-20"/>
        </w:rPr>
        <w:t> </w:t>
      </w:r>
      <w:r>
        <w:rPr/>
        <w:t>de</w:t>
      </w:r>
      <w:r>
        <w:rPr>
          <w:spacing w:val="-20"/>
        </w:rPr>
        <w:t> </w:t>
      </w:r>
      <w:r>
        <w:rPr/>
        <w:t>tierras en la zona de estudio, para lo cual se realizarán recorridos de campo conjuntamente con los agricultores, con la finalidad de identificar las diferentes clases de tierras que se encuentran en el área de interés, para ello se tomará como referencia el manual para la cartografía de tierras campesinas de Ortiz et al. (1990). Esta metodología en forma resumida se presenta a continuación: a) selección de informantes, b) recorridos de campo para la caracterización y cartografía de clases de tierras campesinas. Una vez identificadas las clases de tierra a nivel local, se elaborará el mapa de clases de tierra que servirá de referencia para seleccionar los sitios representativos de muestreo asociado a la localización de los huertos</w:t>
      </w:r>
      <w:r>
        <w:rPr>
          <w:spacing w:val="26"/>
        </w:rPr>
        <w:t> </w:t>
      </w:r>
      <w:r>
        <w:rPr/>
        <w:t>familiares.</w:t>
      </w:r>
    </w:p>
    <w:p>
      <w:pPr>
        <w:spacing w:after="0" w:line="249" w:lineRule="auto"/>
        <w:jc w:val="both"/>
        <w:sectPr>
          <w:type w:val="continuous"/>
          <w:pgSz w:w="18830" w:h="12760" w:orient="landscape"/>
          <w:pgMar w:top="1420" w:bottom="280" w:left="720" w:right="720"/>
          <w:cols w:num="2" w:equalWidth="0">
            <w:col w:w="7829" w:space="1594"/>
            <w:col w:w="7967"/>
          </w:cols>
        </w:sectPr>
      </w:pPr>
    </w:p>
    <w:p>
      <w:pPr>
        <w:pStyle w:val="BodyText"/>
        <w:spacing w:before="6"/>
        <w:rPr>
          <w:sz w:val="23"/>
        </w:rPr>
      </w:pPr>
    </w:p>
    <w:p>
      <w:pPr>
        <w:spacing w:after="0"/>
        <w:rPr>
          <w:sz w:val="23"/>
        </w:rPr>
        <w:sectPr>
          <w:footerReference w:type="default" r:id="rId296"/>
          <w:pgSz w:w="18830" w:h="12760" w:orient="landscape"/>
          <w:pgMar w:footer="1036" w:header="522" w:top="820" w:bottom="1220" w:left="720" w:right="720"/>
        </w:sectPr>
      </w:pPr>
    </w:p>
    <w:p>
      <w:pPr>
        <w:pStyle w:val="BodyText"/>
        <w:spacing w:line="249" w:lineRule="auto" w:before="76"/>
        <w:ind w:left="130" w:firstLine="170"/>
        <w:jc w:val="both"/>
      </w:pPr>
      <w:r>
        <w:rPr/>
        <w:t>Para el muestreo, en cada uno de los sitios seleccionados asociados a los huertos familiares, así como dentro del mismo se colectarán muestras compuestas de suelos alteradas. Se tomarán los primeros 30 cm de la capa arable o cultivable del suelo, recogiendo una cantidad representativa (2 Kg), los que serán guardados en bolsas    de polietileno para preservar su humedad (Agronomy Nº 9, 1986; Hodgsong, 1987; Webster y Oliver, 1991). Éstas serán empleadas para determinar las características físicas y químicas de cada sitio</w:t>
      </w:r>
      <w:r>
        <w:rPr>
          <w:spacing w:val="39"/>
        </w:rPr>
        <w:t> </w:t>
      </w:r>
      <w:r>
        <w:rPr/>
        <w:t>seleccionado.</w:t>
      </w:r>
    </w:p>
    <w:p>
      <w:pPr>
        <w:pStyle w:val="BodyText"/>
        <w:spacing w:before="11"/>
      </w:pPr>
    </w:p>
    <w:p>
      <w:pPr>
        <w:pStyle w:val="BodyText"/>
        <w:spacing w:line="249" w:lineRule="auto"/>
        <w:ind w:left="130" w:firstLine="170"/>
        <w:jc w:val="both"/>
      </w:pPr>
      <w:r>
        <w:rPr/>
        <w:t>Los análisis de laboratorio para determinar propiedades asociadas a su uso y fertilidad se efectuarán de acuerdo con los procedimientos propuestos por el ISRIC (Van</w:t>
      </w:r>
      <w:r>
        <w:rPr>
          <w:spacing w:val="-11"/>
        </w:rPr>
        <w:t> </w:t>
      </w:r>
      <w:r>
        <w:rPr/>
        <w:t>Reeuwijk,</w:t>
      </w:r>
      <w:r>
        <w:rPr>
          <w:spacing w:val="-11"/>
        </w:rPr>
        <w:t> </w:t>
      </w:r>
      <w:r>
        <w:rPr/>
        <w:t>1993),</w:t>
      </w:r>
      <w:r>
        <w:rPr>
          <w:spacing w:val="-11"/>
        </w:rPr>
        <w:t> </w:t>
      </w:r>
      <w:r>
        <w:rPr/>
        <w:t>estos</w:t>
      </w:r>
      <w:r>
        <w:rPr>
          <w:spacing w:val="-11"/>
        </w:rPr>
        <w:t> </w:t>
      </w:r>
      <w:r>
        <w:rPr/>
        <w:t>son:</w:t>
      </w:r>
      <w:r>
        <w:rPr>
          <w:spacing w:val="-11"/>
        </w:rPr>
        <w:t> </w:t>
      </w:r>
      <w:r>
        <w:rPr/>
        <w:t>textura,</w:t>
      </w:r>
      <w:r>
        <w:rPr>
          <w:spacing w:val="-11"/>
        </w:rPr>
        <w:t> </w:t>
      </w:r>
      <w:r>
        <w:rPr/>
        <w:t>densidad</w:t>
      </w:r>
      <w:r>
        <w:rPr>
          <w:spacing w:val="-11"/>
        </w:rPr>
        <w:t> </w:t>
      </w:r>
      <w:r>
        <w:rPr/>
        <w:t>aparente</w:t>
      </w:r>
      <w:r>
        <w:rPr>
          <w:spacing w:val="-11"/>
        </w:rPr>
        <w:t> </w:t>
      </w:r>
      <w:r>
        <w:rPr/>
        <w:t>(Dap),</w:t>
      </w:r>
      <w:r>
        <w:rPr>
          <w:spacing w:val="-11"/>
        </w:rPr>
        <w:t> </w:t>
      </w:r>
      <w:r>
        <w:rPr/>
        <w:t>pH</w:t>
      </w:r>
      <w:r>
        <w:rPr>
          <w:spacing w:val="-11"/>
        </w:rPr>
        <w:t> </w:t>
      </w:r>
      <w:r>
        <w:rPr/>
        <w:t>en</w:t>
      </w:r>
      <w:r>
        <w:rPr>
          <w:spacing w:val="-11"/>
        </w:rPr>
        <w:t> </w:t>
      </w:r>
      <w:r>
        <w:rPr/>
        <w:t>agua</w:t>
      </w:r>
      <w:r>
        <w:rPr>
          <w:spacing w:val="-11"/>
        </w:rPr>
        <w:t> </w:t>
      </w:r>
      <w:r>
        <w:rPr/>
        <w:t>relación 1:1, carbono orgánico (CO), capacidad de intercambio catiónico (CIC), conductividad eléctrica</w:t>
      </w:r>
      <w:r>
        <w:rPr>
          <w:spacing w:val="-7"/>
        </w:rPr>
        <w:t> </w:t>
      </w:r>
      <w:r>
        <w:rPr/>
        <w:t>(CE),</w:t>
      </w:r>
      <w:r>
        <w:rPr>
          <w:spacing w:val="-7"/>
        </w:rPr>
        <w:t> </w:t>
      </w:r>
      <w:r>
        <w:rPr/>
        <w:t>cationes</w:t>
      </w:r>
      <w:r>
        <w:rPr>
          <w:spacing w:val="-7"/>
        </w:rPr>
        <w:t> </w:t>
      </w:r>
      <w:r>
        <w:rPr/>
        <w:t>intercambiables,</w:t>
      </w:r>
      <w:r>
        <w:rPr>
          <w:spacing w:val="-7"/>
        </w:rPr>
        <w:t> </w:t>
      </w:r>
      <w:r>
        <w:rPr/>
        <w:t>color</w:t>
      </w:r>
      <w:r>
        <w:rPr>
          <w:spacing w:val="-7"/>
        </w:rPr>
        <w:t> </w:t>
      </w:r>
      <w:r>
        <w:rPr/>
        <w:t>en</w:t>
      </w:r>
      <w:r>
        <w:rPr>
          <w:spacing w:val="-7"/>
        </w:rPr>
        <w:t> </w:t>
      </w:r>
      <w:r>
        <w:rPr/>
        <w:t>seco</w:t>
      </w:r>
      <w:r>
        <w:rPr>
          <w:spacing w:val="-7"/>
        </w:rPr>
        <w:t> </w:t>
      </w:r>
      <w:r>
        <w:rPr/>
        <w:t>y</w:t>
      </w:r>
      <w:r>
        <w:rPr>
          <w:spacing w:val="-7"/>
        </w:rPr>
        <w:t> </w:t>
      </w:r>
      <w:r>
        <w:rPr/>
        <w:t>húmedo</w:t>
      </w:r>
      <w:r>
        <w:rPr>
          <w:spacing w:val="-7"/>
        </w:rPr>
        <w:t> </w:t>
      </w:r>
      <w:r>
        <w:rPr/>
        <w:t>a</w:t>
      </w:r>
      <w:r>
        <w:rPr>
          <w:spacing w:val="-7"/>
        </w:rPr>
        <w:t> </w:t>
      </w:r>
      <w:r>
        <w:rPr/>
        <w:t>través</w:t>
      </w:r>
      <w:r>
        <w:rPr>
          <w:spacing w:val="-7"/>
        </w:rPr>
        <w:t> </w:t>
      </w:r>
      <w:r>
        <w:rPr/>
        <w:t>de</w:t>
      </w:r>
      <w:r>
        <w:rPr>
          <w:spacing w:val="-7"/>
        </w:rPr>
        <w:t> </w:t>
      </w:r>
      <w:r>
        <w:rPr/>
        <w:t>la</w:t>
      </w:r>
      <w:r>
        <w:rPr>
          <w:spacing w:val="-7"/>
        </w:rPr>
        <w:t> </w:t>
      </w:r>
      <w:r>
        <w:rPr/>
        <w:t>carta</w:t>
      </w:r>
      <w:r>
        <w:rPr>
          <w:spacing w:val="-7"/>
        </w:rPr>
        <w:t> </w:t>
      </w:r>
      <w:r>
        <w:rPr/>
        <w:t>de colores Munssell,  nitrógeno y</w:t>
      </w:r>
      <w:r>
        <w:rPr>
          <w:spacing w:val="46"/>
        </w:rPr>
        <w:t> </w:t>
      </w:r>
      <w:r>
        <w:rPr/>
        <w:t>fósforo.</w:t>
      </w:r>
    </w:p>
    <w:p>
      <w:pPr>
        <w:pStyle w:val="BodyText"/>
        <w:spacing w:before="11"/>
      </w:pPr>
    </w:p>
    <w:p>
      <w:pPr>
        <w:pStyle w:val="BodyText"/>
        <w:spacing w:line="249" w:lineRule="auto"/>
        <w:ind w:left="130" w:right="1" w:firstLine="170"/>
        <w:jc w:val="both"/>
      </w:pPr>
      <w:r>
        <w:rPr/>
        <w:t>Una vez obtenidos los resultados de los análisis de laboratorio se llevará un análisis estadístico comparativo entre los suelos dentro y fuera de los huertos  familiares.</w:t>
      </w:r>
    </w:p>
    <w:p>
      <w:pPr>
        <w:pStyle w:val="BodyText"/>
      </w:pPr>
    </w:p>
    <w:p>
      <w:pPr>
        <w:pStyle w:val="BodyText"/>
      </w:pPr>
    </w:p>
    <w:p>
      <w:pPr>
        <w:pStyle w:val="BodyText"/>
        <w:spacing w:before="3"/>
        <w:rPr>
          <w:sz w:val="22"/>
        </w:rPr>
      </w:pPr>
    </w:p>
    <w:p>
      <w:pPr>
        <w:pStyle w:val="Heading1"/>
        <w:spacing w:line="240" w:lineRule="exact"/>
        <w:ind w:left="180" w:right="48"/>
        <w:jc w:val="center"/>
      </w:pPr>
      <w:r>
        <w:rPr/>
        <w:t>Estudio comparativo de las características agroclimatológicas de</w:t>
      </w:r>
      <w:r>
        <w:rPr>
          <w:w w:val="101"/>
        </w:rPr>
        <w:t> </w:t>
      </w:r>
      <w:r>
        <w:rPr/>
        <w:t>los huertos familiares en contraste con la de terrenos agrícolas con cultivos anuales</w:t>
      </w:r>
    </w:p>
    <w:p>
      <w:pPr>
        <w:pStyle w:val="BodyText"/>
        <w:spacing w:before="2"/>
        <w:rPr>
          <w:b/>
          <w:sz w:val="21"/>
        </w:rPr>
      </w:pPr>
    </w:p>
    <w:p>
      <w:pPr>
        <w:pStyle w:val="BodyText"/>
        <w:spacing w:line="249" w:lineRule="auto" w:before="1"/>
        <w:ind w:left="130" w:firstLine="170"/>
        <w:jc w:val="both"/>
      </w:pPr>
      <w:r>
        <w:rPr/>
        <w:t>De acuerdo con Ruiz (2005), las características climáticas que se consideran para evaluar las fases y etapas en el crecimiento y desarrollo de las plantas, y que serán avaluados en este estudio, son las siguientes:</w:t>
      </w:r>
    </w:p>
    <w:p>
      <w:pPr>
        <w:pStyle w:val="BodyText"/>
        <w:spacing w:before="8"/>
      </w:pPr>
    </w:p>
    <w:p>
      <w:pPr>
        <w:pStyle w:val="ListParagraph"/>
        <w:numPr>
          <w:ilvl w:val="2"/>
          <w:numId w:val="18"/>
        </w:numPr>
        <w:tabs>
          <w:tab w:pos="851" w:val="left" w:leader="none"/>
        </w:tabs>
        <w:spacing w:line="247" w:lineRule="auto" w:before="0" w:after="0"/>
        <w:ind w:left="130" w:right="0" w:firstLine="510"/>
        <w:jc w:val="both"/>
        <w:rPr>
          <w:sz w:val="20"/>
        </w:rPr>
      </w:pPr>
      <w:r>
        <w:rPr>
          <w:spacing w:val="-3"/>
          <w:sz w:val="20"/>
        </w:rPr>
        <w:t>Temperatura </w:t>
      </w:r>
      <w:r>
        <w:rPr>
          <w:sz w:val="20"/>
        </w:rPr>
        <w:t>ambiente y temperatura media mensual. La temperatura  ambiente</w:t>
      </w:r>
      <w:r>
        <w:rPr>
          <w:spacing w:val="-8"/>
          <w:sz w:val="20"/>
        </w:rPr>
        <w:t> </w:t>
      </w:r>
      <w:r>
        <w:rPr>
          <w:sz w:val="20"/>
        </w:rPr>
        <w:t>se</w:t>
      </w:r>
      <w:r>
        <w:rPr>
          <w:spacing w:val="-8"/>
          <w:sz w:val="20"/>
        </w:rPr>
        <w:t> </w:t>
      </w:r>
      <w:r>
        <w:rPr>
          <w:sz w:val="20"/>
        </w:rPr>
        <w:t>mide</w:t>
      </w:r>
      <w:r>
        <w:rPr>
          <w:spacing w:val="-8"/>
          <w:sz w:val="20"/>
        </w:rPr>
        <w:t> </w:t>
      </w:r>
      <w:r>
        <w:rPr>
          <w:sz w:val="20"/>
        </w:rPr>
        <w:t>cada</w:t>
      </w:r>
      <w:r>
        <w:rPr>
          <w:spacing w:val="-8"/>
          <w:sz w:val="20"/>
        </w:rPr>
        <w:t> </w:t>
      </w:r>
      <w:r>
        <w:rPr>
          <w:sz w:val="20"/>
        </w:rPr>
        <w:t>semana</w:t>
      </w:r>
      <w:r>
        <w:rPr>
          <w:spacing w:val="40"/>
          <w:sz w:val="20"/>
        </w:rPr>
        <w:t> </w:t>
      </w:r>
      <w:r>
        <w:rPr>
          <w:sz w:val="20"/>
        </w:rPr>
        <w:t>y</w:t>
      </w:r>
      <w:r>
        <w:rPr>
          <w:spacing w:val="-8"/>
          <w:sz w:val="20"/>
        </w:rPr>
        <w:t> </w:t>
      </w:r>
      <w:r>
        <w:rPr>
          <w:sz w:val="20"/>
        </w:rPr>
        <w:t>con</w:t>
      </w:r>
      <w:r>
        <w:rPr>
          <w:spacing w:val="-8"/>
          <w:sz w:val="20"/>
        </w:rPr>
        <w:t> </w:t>
      </w:r>
      <w:r>
        <w:rPr>
          <w:sz w:val="20"/>
        </w:rPr>
        <w:t>la</w:t>
      </w:r>
      <w:r>
        <w:rPr>
          <w:spacing w:val="-8"/>
          <w:sz w:val="20"/>
        </w:rPr>
        <w:t> </w:t>
      </w:r>
      <w:r>
        <w:rPr>
          <w:sz w:val="20"/>
        </w:rPr>
        <w:t>temperatura</w:t>
      </w:r>
      <w:r>
        <w:rPr>
          <w:spacing w:val="-8"/>
          <w:sz w:val="20"/>
        </w:rPr>
        <w:t> </w:t>
      </w:r>
      <w:r>
        <w:rPr>
          <w:sz w:val="20"/>
        </w:rPr>
        <w:t>media</w:t>
      </w:r>
      <w:r>
        <w:rPr>
          <w:spacing w:val="-8"/>
          <w:sz w:val="20"/>
        </w:rPr>
        <w:t> </w:t>
      </w:r>
      <w:r>
        <w:rPr>
          <w:sz w:val="20"/>
        </w:rPr>
        <w:t>mensual</w:t>
      </w:r>
      <w:r>
        <w:rPr>
          <w:spacing w:val="-8"/>
          <w:sz w:val="20"/>
        </w:rPr>
        <w:t> </w:t>
      </w:r>
      <w:r>
        <w:rPr>
          <w:sz w:val="20"/>
        </w:rPr>
        <w:t>permite</w:t>
      </w:r>
      <w:r>
        <w:rPr>
          <w:spacing w:val="-8"/>
          <w:sz w:val="20"/>
        </w:rPr>
        <w:t> </w:t>
      </w:r>
      <w:r>
        <w:rPr>
          <w:sz w:val="20"/>
        </w:rPr>
        <w:t>comparar el comportamiento normal y estacional de las plantas. Las temperaturas medias mensuales y anuales se obtienen del Servicio Meteorológico</w:t>
      </w:r>
      <w:r>
        <w:rPr>
          <w:spacing w:val="26"/>
          <w:sz w:val="20"/>
        </w:rPr>
        <w:t> </w:t>
      </w:r>
      <w:r>
        <w:rPr>
          <w:sz w:val="20"/>
        </w:rPr>
        <w:t>Nacional.</w:t>
      </w:r>
    </w:p>
    <w:p>
      <w:pPr>
        <w:pStyle w:val="BodyText"/>
        <w:spacing w:before="10"/>
      </w:pPr>
    </w:p>
    <w:p>
      <w:pPr>
        <w:pStyle w:val="ListParagraph"/>
        <w:numPr>
          <w:ilvl w:val="0"/>
          <w:numId w:val="29"/>
        </w:numPr>
        <w:tabs>
          <w:tab w:pos="982" w:val="left" w:leader="none"/>
        </w:tabs>
        <w:spacing w:line="240" w:lineRule="auto" w:before="0" w:after="0"/>
        <w:ind w:left="981" w:right="0" w:hanging="425"/>
        <w:jc w:val="both"/>
        <w:rPr>
          <w:sz w:val="20"/>
        </w:rPr>
      </w:pPr>
      <w:r>
        <w:rPr>
          <w:sz w:val="20"/>
        </w:rPr>
        <w:t>Integral</w:t>
      </w:r>
      <w:r>
        <w:rPr>
          <w:spacing w:val="-7"/>
          <w:sz w:val="20"/>
        </w:rPr>
        <w:t> </w:t>
      </w:r>
      <w:r>
        <w:rPr>
          <w:sz w:val="20"/>
        </w:rPr>
        <w:t>térmica.</w:t>
      </w:r>
      <w:r>
        <w:rPr>
          <w:spacing w:val="-7"/>
          <w:sz w:val="20"/>
        </w:rPr>
        <w:t> </w:t>
      </w:r>
      <w:r>
        <w:rPr>
          <w:sz w:val="20"/>
        </w:rPr>
        <w:t>Para</w:t>
      </w:r>
      <w:r>
        <w:rPr>
          <w:spacing w:val="-7"/>
          <w:sz w:val="20"/>
        </w:rPr>
        <w:t> </w:t>
      </w:r>
      <w:r>
        <w:rPr>
          <w:sz w:val="20"/>
        </w:rPr>
        <w:t>el</w:t>
      </w:r>
      <w:r>
        <w:rPr>
          <w:spacing w:val="-7"/>
          <w:sz w:val="20"/>
        </w:rPr>
        <w:t> </w:t>
      </w:r>
      <w:r>
        <w:rPr>
          <w:sz w:val="20"/>
        </w:rPr>
        <w:t>ciclo</w:t>
      </w:r>
      <w:r>
        <w:rPr>
          <w:spacing w:val="-7"/>
          <w:sz w:val="20"/>
        </w:rPr>
        <w:t> </w:t>
      </w:r>
      <w:r>
        <w:rPr>
          <w:sz w:val="20"/>
        </w:rPr>
        <w:t>vital</w:t>
      </w:r>
      <w:r>
        <w:rPr>
          <w:spacing w:val="-7"/>
          <w:sz w:val="20"/>
        </w:rPr>
        <w:t> </w:t>
      </w:r>
      <w:r>
        <w:rPr>
          <w:sz w:val="20"/>
        </w:rPr>
        <w:t>se</w:t>
      </w:r>
      <w:r>
        <w:rPr>
          <w:spacing w:val="-7"/>
          <w:sz w:val="20"/>
        </w:rPr>
        <w:t> </w:t>
      </w:r>
      <w:r>
        <w:rPr>
          <w:sz w:val="20"/>
        </w:rPr>
        <w:t>elabora</w:t>
      </w:r>
      <w:r>
        <w:rPr>
          <w:spacing w:val="-7"/>
          <w:sz w:val="20"/>
        </w:rPr>
        <w:t> </w:t>
      </w:r>
      <w:r>
        <w:rPr>
          <w:sz w:val="20"/>
        </w:rPr>
        <w:t>la</w:t>
      </w:r>
      <w:r>
        <w:rPr>
          <w:spacing w:val="-7"/>
          <w:sz w:val="20"/>
        </w:rPr>
        <w:t> </w:t>
      </w:r>
      <w:r>
        <w:rPr>
          <w:sz w:val="20"/>
        </w:rPr>
        <w:t>integral</w:t>
      </w:r>
      <w:r>
        <w:rPr>
          <w:spacing w:val="-7"/>
          <w:sz w:val="20"/>
        </w:rPr>
        <w:t> </w:t>
      </w:r>
      <w:r>
        <w:rPr>
          <w:sz w:val="20"/>
        </w:rPr>
        <w:t>térmica</w:t>
      </w:r>
      <w:r>
        <w:rPr>
          <w:spacing w:val="-7"/>
          <w:sz w:val="20"/>
        </w:rPr>
        <w:t> </w:t>
      </w:r>
      <w:r>
        <w:rPr>
          <w:sz w:val="20"/>
        </w:rPr>
        <w:t>que</w:t>
      </w:r>
      <w:r>
        <w:rPr>
          <w:spacing w:val="-7"/>
          <w:sz w:val="20"/>
        </w:rPr>
        <w:t> </w:t>
      </w:r>
      <w:r>
        <w:rPr>
          <w:sz w:val="20"/>
        </w:rPr>
        <w:t>se</w:t>
      </w:r>
      <w:r>
        <w:rPr>
          <w:spacing w:val="-7"/>
          <w:sz w:val="20"/>
        </w:rPr>
        <w:t> </w:t>
      </w:r>
      <w:r>
        <w:rPr>
          <w:sz w:val="20"/>
        </w:rPr>
        <w:t>vincula con la tendencia de la temperatura de principio a fin del </w:t>
      </w:r>
      <w:r>
        <w:rPr>
          <w:spacing w:val="7"/>
          <w:sz w:val="20"/>
        </w:rPr>
        <w:t> </w:t>
      </w:r>
      <w:r>
        <w:rPr>
          <w:sz w:val="20"/>
        </w:rPr>
        <w:t>desarrollo.</w:t>
      </w:r>
    </w:p>
    <w:p>
      <w:pPr>
        <w:pStyle w:val="BodyText"/>
        <w:spacing w:before="5"/>
        <w:rPr>
          <w:sz w:val="21"/>
        </w:rPr>
      </w:pPr>
    </w:p>
    <w:p>
      <w:pPr>
        <w:pStyle w:val="ListParagraph"/>
        <w:numPr>
          <w:ilvl w:val="0"/>
          <w:numId w:val="29"/>
        </w:numPr>
        <w:tabs>
          <w:tab w:pos="982" w:val="left" w:leader="none"/>
        </w:tabs>
        <w:spacing w:line="240" w:lineRule="auto" w:before="0" w:after="0"/>
        <w:ind w:left="981" w:right="1" w:hanging="425"/>
        <w:jc w:val="both"/>
        <w:rPr>
          <w:sz w:val="20"/>
        </w:rPr>
      </w:pPr>
      <w:r>
        <w:rPr>
          <w:sz w:val="20"/>
        </w:rPr>
        <w:t>Periodo de confort. Dentro de la integral se identifica el periodo óptimo de las temperaturas para la manifestación de las fases</w:t>
      </w:r>
      <w:r>
        <w:rPr>
          <w:spacing w:val="34"/>
          <w:sz w:val="20"/>
        </w:rPr>
        <w:t> </w:t>
      </w:r>
      <w:r>
        <w:rPr>
          <w:sz w:val="20"/>
        </w:rPr>
        <w:t>fisiológicas.</w:t>
      </w:r>
    </w:p>
    <w:p>
      <w:pPr>
        <w:pStyle w:val="BodyText"/>
        <w:spacing w:before="5"/>
        <w:rPr>
          <w:sz w:val="21"/>
        </w:rPr>
      </w:pPr>
    </w:p>
    <w:p>
      <w:pPr>
        <w:pStyle w:val="ListParagraph"/>
        <w:numPr>
          <w:ilvl w:val="0"/>
          <w:numId w:val="29"/>
        </w:numPr>
        <w:tabs>
          <w:tab w:pos="982" w:val="left" w:leader="none"/>
        </w:tabs>
        <w:spacing w:line="244" w:lineRule="auto" w:before="0" w:after="0"/>
        <w:ind w:left="981" w:right="1" w:hanging="425"/>
        <w:jc w:val="both"/>
        <w:rPr>
          <w:sz w:val="20"/>
        </w:rPr>
      </w:pPr>
      <w:r>
        <w:rPr>
          <w:sz w:val="20"/>
        </w:rPr>
        <w:t>Periodos  de  incomodidad.  Se  identifican  las  temperaturas  letales  para  el desarrollo óptimo de las plantas. Este periodo está relacionado con las temperaturas máximas extremas y las mínimas</w:t>
      </w:r>
      <w:r>
        <w:rPr>
          <w:spacing w:val="2"/>
          <w:sz w:val="20"/>
        </w:rPr>
        <w:t> </w:t>
      </w:r>
      <w:r>
        <w:rPr>
          <w:sz w:val="20"/>
        </w:rPr>
        <w:t>extremas.</w:t>
      </w:r>
    </w:p>
    <w:p>
      <w:pPr>
        <w:pStyle w:val="ListParagraph"/>
        <w:numPr>
          <w:ilvl w:val="0"/>
          <w:numId w:val="29"/>
        </w:numPr>
        <w:tabs>
          <w:tab w:pos="982" w:val="left" w:leader="none"/>
        </w:tabs>
        <w:spacing w:line="240" w:lineRule="auto" w:before="74" w:after="0"/>
        <w:ind w:left="981" w:right="128" w:hanging="425"/>
        <w:jc w:val="both"/>
        <w:rPr>
          <w:sz w:val="20"/>
        </w:rPr>
      </w:pPr>
      <w:r>
        <w:rPr>
          <w:w w:val="100"/>
          <w:sz w:val="20"/>
        </w:rPr>
        <w:br w:type="column"/>
      </w:r>
      <w:r>
        <w:rPr>
          <w:sz w:val="20"/>
        </w:rPr>
        <w:t>Periodo acelerado y ralentizado. Temperaturas que brindan rapidez y lentitud al crecimiento y desarrollo de las</w:t>
      </w:r>
      <w:r>
        <w:rPr>
          <w:spacing w:val="23"/>
          <w:sz w:val="20"/>
        </w:rPr>
        <w:t> </w:t>
      </w:r>
      <w:r>
        <w:rPr>
          <w:sz w:val="20"/>
        </w:rPr>
        <w:t>plantas.</w:t>
      </w:r>
    </w:p>
    <w:p>
      <w:pPr>
        <w:pStyle w:val="BodyText"/>
        <w:spacing w:before="5"/>
        <w:rPr>
          <w:sz w:val="21"/>
        </w:rPr>
      </w:pPr>
    </w:p>
    <w:p>
      <w:pPr>
        <w:pStyle w:val="ListParagraph"/>
        <w:numPr>
          <w:ilvl w:val="2"/>
          <w:numId w:val="18"/>
        </w:numPr>
        <w:tabs>
          <w:tab w:pos="851" w:val="left" w:leader="none"/>
        </w:tabs>
        <w:spacing w:line="244" w:lineRule="auto" w:before="0" w:after="0"/>
        <w:ind w:left="130" w:right="127" w:firstLine="510"/>
        <w:jc w:val="both"/>
        <w:rPr>
          <w:sz w:val="20"/>
        </w:rPr>
      </w:pPr>
      <w:r>
        <w:rPr>
          <w:sz w:val="20"/>
        </w:rPr>
        <w:t>Precipitación y riego. Las plantas a la intemperie requieren de la precipitación de la temporada lluviosa y en época seca del riego. El importante identificar los requerimientos de agua para las plantas a lo largo del</w:t>
      </w:r>
      <w:r>
        <w:rPr>
          <w:spacing w:val="9"/>
          <w:sz w:val="20"/>
        </w:rPr>
        <w:t> </w:t>
      </w:r>
      <w:r>
        <w:rPr>
          <w:sz w:val="20"/>
        </w:rPr>
        <w:t>año.</w:t>
      </w:r>
    </w:p>
    <w:p>
      <w:pPr>
        <w:pStyle w:val="BodyText"/>
        <w:spacing w:before="1"/>
        <w:rPr>
          <w:sz w:val="21"/>
        </w:rPr>
      </w:pPr>
    </w:p>
    <w:p>
      <w:pPr>
        <w:pStyle w:val="ListParagraph"/>
        <w:numPr>
          <w:ilvl w:val="0"/>
          <w:numId w:val="30"/>
        </w:numPr>
        <w:tabs>
          <w:tab w:pos="982" w:val="left" w:leader="none"/>
        </w:tabs>
        <w:spacing w:line="247" w:lineRule="auto" w:before="0" w:after="0"/>
        <w:ind w:left="981" w:right="127" w:hanging="425"/>
        <w:jc w:val="both"/>
        <w:rPr>
          <w:sz w:val="20"/>
        </w:rPr>
      </w:pPr>
      <w:r>
        <w:rPr>
          <w:sz w:val="20"/>
        </w:rPr>
        <w:t>Requerimientos  de  precipitación  en  la  época  lluviosa.  Los  milímetros   de precipitación media mensual y anual. Medir la cantidad de lluvia y el comportamiento vegetal en los meses más lluviosos y en los con déficit de lluvias.</w:t>
      </w:r>
    </w:p>
    <w:p>
      <w:pPr>
        <w:pStyle w:val="BodyText"/>
        <w:spacing w:before="10"/>
      </w:pPr>
    </w:p>
    <w:p>
      <w:pPr>
        <w:pStyle w:val="ListParagraph"/>
        <w:numPr>
          <w:ilvl w:val="0"/>
          <w:numId w:val="30"/>
        </w:numPr>
        <w:tabs>
          <w:tab w:pos="982" w:val="left" w:leader="none"/>
        </w:tabs>
        <w:spacing w:line="244" w:lineRule="auto" w:before="0" w:after="0"/>
        <w:ind w:left="981" w:right="128" w:hanging="425"/>
        <w:jc w:val="both"/>
        <w:rPr>
          <w:sz w:val="20"/>
        </w:rPr>
      </w:pPr>
      <w:r>
        <w:rPr>
          <w:sz w:val="20"/>
        </w:rPr>
        <w:t>Requerimientos de riego en la época de estiaje. La cantidad de agua que    se infiltra en el suelo y la que se evapora, mediante un balance hidrológico (Thornhwaitte,</w:t>
      </w:r>
      <w:r>
        <w:rPr>
          <w:spacing w:val="-17"/>
          <w:sz w:val="20"/>
        </w:rPr>
        <w:t> </w:t>
      </w:r>
      <w:r>
        <w:rPr>
          <w:sz w:val="20"/>
        </w:rPr>
        <w:t>2007).</w:t>
      </w:r>
    </w:p>
    <w:p>
      <w:pPr>
        <w:pStyle w:val="BodyText"/>
        <w:spacing w:before="1"/>
        <w:rPr>
          <w:sz w:val="21"/>
        </w:rPr>
      </w:pPr>
    </w:p>
    <w:p>
      <w:pPr>
        <w:pStyle w:val="ListParagraph"/>
        <w:numPr>
          <w:ilvl w:val="2"/>
          <w:numId w:val="18"/>
        </w:numPr>
        <w:tabs>
          <w:tab w:pos="698" w:val="left" w:leader="none"/>
        </w:tabs>
        <w:spacing w:line="247" w:lineRule="auto" w:before="0" w:after="0"/>
        <w:ind w:left="697" w:right="128" w:hanging="360"/>
        <w:jc w:val="both"/>
        <w:rPr>
          <w:sz w:val="20"/>
        </w:rPr>
      </w:pPr>
      <w:r>
        <w:rPr>
          <w:sz w:val="20"/>
        </w:rPr>
        <w:t>Humedad relativa. La humedad atmosférica se vincula con la cantidad de precipitación y de riego a nivel microclima, es </w:t>
      </w:r>
      <w:r>
        <w:rPr>
          <w:spacing w:val="-4"/>
          <w:sz w:val="20"/>
        </w:rPr>
        <w:t>decir, </w:t>
      </w:r>
      <w:r>
        <w:rPr>
          <w:sz w:val="20"/>
        </w:rPr>
        <w:t>la cantidad de humedad alrededor de la planta. Las mediaciones se realizan con el higrómetro. Se identifican los periodos óptimos y críticos de exigencias de </w:t>
      </w:r>
      <w:r>
        <w:rPr>
          <w:spacing w:val="45"/>
          <w:sz w:val="20"/>
        </w:rPr>
        <w:t> </w:t>
      </w:r>
      <w:r>
        <w:rPr>
          <w:sz w:val="20"/>
        </w:rPr>
        <w:t>humedad.</w:t>
      </w:r>
    </w:p>
    <w:p>
      <w:pPr>
        <w:pStyle w:val="BodyText"/>
        <w:spacing w:before="10"/>
      </w:pPr>
    </w:p>
    <w:p>
      <w:pPr>
        <w:pStyle w:val="ListParagraph"/>
        <w:numPr>
          <w:ilvl w:val="2"/>
          <w:numId w:val="18"/>
        </w:numPr>
        <w:tabs>
          <w:tab w:pos="698" w:val="left" w:leader="none"/>
        </w:tabs>
        <w:spacing w:line="240" w:lineRule="auto" w:before="0" w:after="0"/>
        <w:ind w:left="697" w:right="127" w:hanging="283"/>
        <w:jc w:val="both"/>
        <w:rPr>
          <w:sz w:val="20"/>
        </w:rPr>
      </w:pPr>
      <w:r>
        <w:rPr>
          <w:sz w:val="20"/>
        </w:rPr>
        <w:t>Viento. Se miden la dirección y velocidad del viento. Las dos variables permiten conocer el confort y la deshidratación de las </w:t>
      </w:r>
      <w:r>
        <w:rPr>
          <w:spacing w:val="8"/>
          <w:sz w:val="20"/>
        </w:rPr>
        <w:t> </w:t>
      </w:r>
      <w:r>
        <w:rPr>
          <w:sz w:val="20"/>
        </w:rPr>
        <w:t>plantas.</w:t>
      </w:r>
    </w:p>
    <w:p>
      <w:pPr>
        <w:pStyle w:val="BodyText"/>
        <w:spacing w:before="5"/>
        <w:rPr>
          <w:sz w:val="21"/>
        </w:rPr>
      </w:pPr>
    </w:p>
    <w:p>
      <w:pPr>
        <w:pStyle w:val="ListParagraph"/>
        <w:numPr>
          <w:ilvl w:val="3"/>
          <w:numId w:val="18"/>
        </w:numPr>
        <w:tabs>
          <w:tab w:pos="851" w:val="left" w:leader="none"/>
        </w:tabs>
        <w:spacing w:line="240" w:lineRule="auto" w:before="0" w:after="0"/>
        <w:ind w:left="850" w:right="128" w:hanging="294"/>
        <w:jc w:val="left"/>
        <w:rPr>
          <w:sz w:val="20"/>
        </w:rPr>
      </w:pPr>
      <w:r>
        <w:rPr>
          <w:sz w:val="20"/>
        </w:rPr>
        <w:t>La dirección y la velocidad del viento. Contribuyen para instalación o construcción de cortinas contra el </w:t>
      </w:r>
      <w:r>
        <w:rPr>
          <w:spacing w:val="16"/>
          <w:sz w:val="20"/>
        </w:rPr>
        <w:t> </w:t>
      </w:r>
      <w:r>
        <w:rPr>
          <w:sz w:val="20"/>
        </w:rPr>
        <w:t>viento.</w:t>
      </w:r>
    </w:p>
    <w:p>
      <w:pPr>
        <w:pStyle w:val="BodyText"/>
        <w:spacing w:before="5"/>
        <w:rPr>
          <w:sz w:val="21"/>
        </w:rPr>
      </w:pPr>
    </w:p>
    <w:p>
      <w:pPr>
        <w:pStyle w:val="ListParagraph"/>
        <w:numPr>
          <w:ilvl w:val="3"/>
          <w:numId w:val="18"/>
        </w:numPr>
        <w:tabs>
          <w:tab w:pos="851" w:val="left" w:leader="none"/>
        </w:tabs>
        <w:spacing w:line="240" w:lineRule="auto" w:before="0" w:after="0"/>
        <w:ind w:left="136" w:right="127" w:firstLine="420"/>
        <w:jc w:val="right"/>
        <w:rPr>
          <w:sz w:val="20"/>
        </w:rPr>
      </w:pPr>
      <w:r>
        <w:rPr>
          <w:sz w:val="20"/>
        </w:rPr>
        <w:t>Las</w:t>
      </w:r>
      <w:r>
        <w:rPr>
          <w:spacing w:val="34"/>
          <w:sz w:val="20"/>
        </w:rPr>
        <w:t> </w:t>
      </w:r>
      <w:r>
        <w:rPr>
          <w:sz w:val="20"/>
        </w:rPr>
        <w:t>direcciones</w:t>
      </w:r>
      <w:r>
        <w:rPr>
          <w:spacing w:val="34"/>
          <w:sz w:val="20"/>
        </w:rPr>
        <w:t> </w:t>
      </w:r>
      <w:r>
        <w:rPr>
          <w:sz w:val="20"/>
        </w:rPr>
        <w:t>conducen</w:t>
      </w:r>
      <w:r>
        <w:rPr>
          <w:spacing w:val="34"/>
          <w:sz w:val="20"/>
        </w:rPr>
        <w:t> </w:t>
      </w:r>
      <w:r>
        <w:rPr>
          <w:sz w:val="20"/>
        </w:rPr>
        <w:t>a</w:t>
      </w:r>
      <w:r>
        <w:rPr>
          <w:spacing w:val="34"/>
          <w:sz w:val="20"/>
        </w:rPr>
        <w:t> </w:t>
      </w:r>
      <w:r>
        <w:rPr>
          <w:sz w:val="20"/>
        </w:rPr>
        <w:t>conocer</w:t>
      </w:r>
      <w:r>
        <w:rPr>
          <w:spacing w:val="34"/>
          <w:sz w:val="20"/>
        </w:rPr>
        <w:t> </w:t>
      </w:r>
      <w:r>
        <w:rPr>
          <w:sz w:val="20"/>
        </w:rPr>
        <w:t>las</w:t>
      </w:r>
      <w:r>
        <w:rPr>
          <w:spacing w:val="34"/>
          <w:sz w:val="20"/>
        </w:rPr>
        <w:t> </w:t>
      </w:r>
      <w:r>
        <w:rPr>
          <w:sz w:val="20"/>
        </w:rPr>
        <w:t>características</w:t>
      </w:r>
      <w:r>
        <w:rPr>
          <w:spacing w:val="34"/>
          <w:sz w:val="20"/>
        </w:rPr>
        <w:t> </w:t>
      </w:r>
      <w:r>
        <w:rPr>
          <w:sz w:val="20"/>
        </w:rPr>
        <w:t>térmicas</w:t>
      </w:r>
      <w:r>
        <w:rPr>
          <w:spacing w:val="34"/>
          <w:sz w:val="20"/>
        </w:rPr>
        <w:t> </w:t>
      </w:r>
      <w:r>
        <w:rPr>
          <w:sz w:val="20"/>
        </w:rPr>
        <w:t>del</w:t>
      </w:r>
      <w:r>
        <w:rPr>
          <w:spacing w:val="34"/>
          <w:sz w:val="20"/>
        </w:rPr>
        <w:t> </w:t>
      </w:r>
      <w:r>
        <w:rPr>
          <w:sz w:val="20"/>
        </w:rPr>
        <w:t>viento,</w:t>
      </w:r>
      <w:r>
        <w:rPr>
          <w:w w:val="101"/>
          <w:sz w:val="20"/>
        </w:rPr>
        <w:t> </w:t>
      </w:r>
      <w:r>
        <w:rPr>
          <w:sz w:val="20"/>
        </w:rPr>
        <w:t>para</w:t>
      </w:r>
      <w:r>
        <w:rPr>
          <w:spacing w:val="-10"/>
          <w:sz w:val="20"/>
        </w:rPr>
        <w:t> </w:t>
      </w:r>
      <w:r>
        <w:rPr>
          <w:sz w:val="20"/>
        </w:rPr>
        <w:t>prevenir</w:t>
      </w:r>
      <w:r>
        <w:rPr>
          <w:spacing w:val="-10"/>
          <w:sz w:val="20"/>
        </w:rPr>
        <w:t> </w:t>
      </w:r>
      <w:r>
        <w:rPr>
          <w:sz w:val="20"/>
        </w:rPr>
        <w:t>golpes</w:t>
      </w:r>
      <w:r>
        <w:rPr>
          <w:spacing w:val="-10"/>
          <w:sz w:val="20"/>
        </w:rPr>
        <w:t> </w:t>
      </w:r>
      <w:r>
        <w:rPr>
          <w:sz w:val="20"/>
        </w:rPr>
        <w:t>de</w:t>
      </w:r>
      <w:r>
        <w:rPr>
          <w:spacing w:val="-10"/>
          <w:sz w:val="20"/>
        </w:rPr>
        <w:t> </w:t>
      </w:r>
      <w:r>
        <w:rPr>
          <w:sz w:val="20"/>
        </w:rPr>
        <w:t>frío</w:t>
      </w:r>
      <w:r>
        <w:rPr>
          <w:spacing w:val="-10"/>
          <w:sz w:val="20"/>
        </w:rPr>
        <w:t> </w:t>
      </w:r>
      <w:r>
        <w:rPr>
          <w:sz w:val="20"/>
        </w:rPr>
        <w:t>o</w:t>
      </w:r>
      <w:r>
        <w:rPr>
          <w:spacing w:val="-10"/>
          <w:sz w:val="20"/>
        </w:rPr>
        <w:t> </w:t>
      </w:r>
      <w:r>
        <w:rPr>
          <w:sz w:val="20"/>
        </w:rPr>
        <w:t>de</w:t>
      </w:r>
      <w:r>
        <w:rPr>
          <w:spacing w:val="-10"/>
          <w:sz w:val="20"/>
        </w:rPr>
        <w:t> </w:t>
      </w:r>
      <w:r>
        <w:rPr>
          <w:sz w:val="20"/>
        </w:rPr>
        <w:t>calor</w:t>
      </w:r>
      <w:r>
        <w:rPr>
          <w:spacing w:val="-10"/>
          <w:sz w:val="20"/>
        </w:rPr>
        <w:t> </w:t>
      </w:r>
      <w:r>
        <w:rPr>
          <w:sz w:val="20"/>
        </w:rPr>
        <w:t>en</w:t>
      </w:r>
      <w:r>
        <w:rPr>
          <w:spacing w:val="-10"/>
          <w:sz w:val="20"/>
        </w:rPr>
        <w:t> </w:t>
      </w:r>
      <w:r>
        <w:rPr>
          <w:sz w:val="20"/>
        </w:rPr>
        <w:t>algunos</w:t>
      </w:r>
      <w:r>
        <w:rPr>
          <w:spacing w:val="-10"/>
          <w:sz w:val="20"/>
        </w:rPr>
        <w:t> </w:t>
      </w:r>
      <w:r>
        <w:rPr>
          <w:sz w:val="20"/>
        </w:rPr>
        <w:t>de</w:t>
      </w:r>
      <w:r>
        <w:rPr>
          <w:spacing w:val="-10"/>
          <w:sz w:val="20"/>
        </w:rPr>
        <w:t> </w:t>
      </w:r>
      <w:r>
        <w:rPr>
          <w:sz w:val="20"/>
        </w:rPr>
        <w:t>los</w:t>
      </w:r>
      <w:r>
        <w:rPr>
          <w:spacing w:val="-10"/>
          <w:sz w:val="20"/>
        </w:rPr>
        <w:t> </w:t>
      </w:r>
      <w:r>
        <w:rPr>
          <w:sz w:val="20"/>
        </w:rPr>
        <w:t>órganos</w:t>
      </w:r>
      <w:r>
        <w:rPr>
          <w:spacing w:val="-10"/>
          <w:sz w:val="20"/>
        </w:rPr>
        <w:t> </w:t>
      </w:r>
      <w:r>
        <w:rPr>
          <w:sz w:val="20"/>
        </w:rPr>
        <w:t>de</w:t>
      </w:r>
      <w:r>
        <w:rPr>
          <w:spacing w:val="-10"/>
          <w:sz w:val="20"/>
        </w:rPr>
        <w:t> </w:t>
      </w:r>
      <w:r>
        <w:rPr>
          <w:sz w:val="20"/>
        </w:rPr>
        <w:t>las</w:t>
      </w:r>
      <w:r>
        <w:rPr>
          <w:spacing w:val="-10"/>
          <w:sz w:val="20"/>
        </w:rPr>
        <w:t> </w:t>
      </w:r>
      <w:r>
        <w:rPr>
          <w:sz w:val="20"/>
        </w:rPr>
        <w:t>plantas.</w:t>
      </w:r>
    </w:p>
    <w:p>
      <w:pPr>
        <w:pStyle w:val="BodyText"/>
      </w:pPr>
    </w:p>
    <w:p>
      <w:pPr>
        <w:pStyle w:val="BodyText"/>
      </w:pPr>
    </w:p>
    <w:p>
      <w:pPr>
        <w:pStyle w:val="BodyText"/>
        <w:spacing w:before="1"/>
        <w:rPr>
          <w:sz w:val="23"/>
        </w:rPr>
      </w:pPr>
    </w:p>
    <w:p>
      <w:pPr>
        <w:pStyle w:val="Heading1"/>
        <w:spacing w:line="240" w:lineRule="exact"/>
        <w:ind w:left="3225" w:right="128" w:hanging="3090"/>
      </w:pPr>
      <w:r>
        <w:rPr/>
        <w:t>Marco de análisis sobre los impactos socio territoriales del turismo en Malinalco.</w:t>
      </w:r>
    </w:p>
    <w:p>
      <w:pPr>
        <w:pStyle w:val="BodyText"/>
        <w:spacing w:before="2"/>
        <w:rPr>
          <w:b/>
          <w:sz w:val="21"/>
        </w:rPr>
      </w:pPr>
    </w:p>
    <w:p>
      <w:pPr>
        <w:pStyle w:val="BodyText"/>
        <w:spacing w:line="249" w:lineRule="auto" w:before="1"/>
        <w:ind w:left="130" w:right="127" w:firstLine="170"/>
        <w:jc w:val="both"/>
      </w:pPr>
      <w:r>
        <w:rPr/>
        <w:t>En esta etapa metodológica se pretende avanzar en el análisis de los impactos territoriales generados por la actividad turística en la Cuenca de Malinalco, con énfasis en la cabecera municipal de Malinalco, debido a que ahí existen diversos recursos naturales</w:t>
      </w:r>
      <w:r>
        <w:rPr>
          <w:spacing w:val="-10"/>
        </w:rPr>
        <w:t> </w:t>
      </w:r>
      <w:r>
        <w:rPr/>
        <w:t>y</w:t>
      </w:r>
      <w:r>
        <w:rPr>
          <w:spacing w:val="-10"/>
        </w:rPr>
        <w:t> </w:t>
      </w:r>
      <w:r>
        <w:rPr/>
        <w:t>culturales</w:t>
      </w:r>
      <w:r>
        <w:rPr>
          <w:spacing w:val="-10"/>
        </w:rPr>
        <w:t> </w:t>
      </w:r>
      <w:r>
        <w:rPr/>
        <w:t>con</w:t>
      </w:r>
      <w:r>
        <w:rPr>
          <w:spacing w:val="-10"/>
        </w:rPr>
        <w:t> </w:t>
      </w:r>
      <w:r>
        <w:rPr/>
        <w:t>potencial</w:t>
      </w:r>
      <w:r>
        <w:rPr>
          <w:spacing w:val="-10"/>
        </w:rPr>
        <w:t> </w:t>
      </w:r>
      <w:r>
        <w:rPr/>
        <w:t>turístico,</w:t>
      </w:r>
      <w:r>
        <w:rPr>
          <w:spacing w:val="-10"/>
        </w:rPr>
        <w:t> </w:t>
      </w:r>
      <w:r>
        <w:rPr/>
        <w:t>relacionados</w:t>
      </w:r>
      <w:r>
        <w:rPr>
          <w:spacing w:val="-10"/>
        </w:rPr>
        <w:t> </w:t>
      </w:r>
      <w:r>
        <w:rPr/>
        <w:t>con</w:t>
      </w:r>
      <w:r>
        <w:rPr>
          <w:spacing w:val="-10"/>
        </w:rPr>
        <w:t> </w:t>
      </w:r>
      <w:r>
        <w:rPr/>
        <w:t>su</w:t>
      </w:r>
      <w:r>
        <w:rPr>
          <w:spacing w:val="-10"/>
        </w:rPr>
        <w:t> </w:t>
      </w:r>
      <w:r>
        <w:rPr/>
        <w:t>reciente</w:t>
      </w:r>
      <w:r>
        <w:rPr>
          <w:spacing w:val="-10"/>
        </w:rPr>
        <w:t> </w:t>
      </w:r>
      <w:r>
        <w:rPr/>
        <w:t>incorporación al programa federal “Pueblos Mágicos” y la creciente demanda de turistas y visitantes en el</w:t>
      </w:r>
      <w:r>
        <w:rPr>
          <w:spacing w:val="-9"/>
        </w:rPr>
        <w:t> </w:t>
      </w:r>
      <w:r>
        <w:rPr/>
        <w:t>lugar.</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297"/>
          <w:pgSz w:w="18830" w:h="12760" w:orient="landscape"/>
          <w:pgMar w:footer="1036" w:header="522" w:top="820" w:bottom="1220" w:left="720" w:right="720"/>
        </w:sectPr>
      </w:pPr>
    </w:p>
    <w:p>
      <w:pPr>
        <w:pStyle w:val="BodyText"/>
        <w:spacing w:line="249" w:lineRule="auto" w:before="76"/>
        <w:ind w:left="130" w:firstLine="170"/>
        <w:jc w:val="both"/>
      </w:pPr>
      <w:r>
        <w:rPr/>
        <w:t>Si bien la actividad turística, constituye una oportunidad para la dinamización económica de la región, a partir de la canalización de inversión pública para el desarrollo de infraestructura y equipamiento turístico, así como de capital privado para el desarrollo de nuevas empresas de servicios, e incluso una alternativa de ingresos económicos para la población, que logra insertarse positivamente en la prestación de servicios; también puede generar profundas problemáticas socio culturales y sobre los recursos naturales, que pueden poner en riesgo su continuidad.</w:t>
      </w:r>
    </w:p>
    <w:p>
      <w:pPr>
        <w:pStyle w:val="BodyText"/>
        <w:spacing w:before="11"/>
      </w:pPr>
    </w:p>
    <w:p>
      <w:pPr>
        <w:pStyle w:val="BodyText"/>
        <w:spacing w:line="249" w:lineRule="auto"/>
        <w:ind w:left="130" w:firstLine="170"/>
        <w:jc w:val="both"/>
      </w:pPr>
      <w:r>
        <w:rPr/>
        <w:t>En este sentido, el trabajo pretende analizar los impactos territoriales del turismo, asumidos como la alteración de las condiciones normales del entorno, producidas    por la propia dinámica de la actividad, aunque es preciso reconocer que dichas transformaciones pueden diferir por su carácter de incidencia en el territorio. De esta forma, es posible identificar el desarrollo de acciones que implican una mejoría en las condiciones económicas, políticas, sociales, culturales y sobre el aprovechamiento de los recursos, por ejemplo a partir del mejoramiento de la imagen urbana. Sin embargo, también</w:t>
      </w:r>
      <w:r>
        <w:rPr>
          <w:spacing w:val="-11"/>
        </w:rPr>
        <w:t> </w:t>
      </w:r>
      <w:r>
        <w:rPr/>
        <w:t>se</w:t>
      </w:r>
      <w:r>
        <w:rPr>
          <w:spacing w:val="-11"/>
        </w:rPr>
        <w:t> </w:t>
      </w:r>
      <w:r>
        <w:rPr/>
        <w:t>revelan</w:t>
      </w:r>
      <w:r>
        <w:rPr>
          <w:spacing w:val="-11"/>
        </w:rPr>
        <w:t> </w:t>
      </w:r>
      <w:r>
        <w:rPr/>
        <w:t>implicaciones</w:t>
      </w:r>
      <w:r>
        <w:rPr>
          <w:spacing w:val="-11"/>
        </w:rPr>
        <w:t> </w:t>
      </w:r>
      <w:r>
        <w:rPr/>
        <w:t>de</w:t>
      </w:r>
      <w:r>
        <w:rPr>
          <w:spacing w:val="-11"/>
        </w:rPr>
        <w:t> </w:t>
      </w:r>
      <w:r>
        <w:rPr/>
        <w:t>carácter</w:t>
      </w:r>
      <w:r>
        <w:rPr>
          <w:spacing w:val="-11"/>
        </w:rPr>
        <w:t> </w:t>
      </w:r>
      <w:r>
        <w:rPr/>
        <w:t>negativo</w:t>
      </w:r>
      <w:r>
        <w:rPr>
          <w:spacing w:val="-11"/>
        </w:rPr>
        <w:t> </w:t>
      </w:r>
      <w:r>
        <w:rPr/>
        <w:t>que</w:t>
      </w:r>
      <w:r>
        <w:rPr>
          <w:spacing w:val="-11"/>
        </w:rPr>
        <w:t> </w:t>
      </w:r>
      <w:r>
        <w:rPr/>
        <w:t>contradicen</w:t>
      </w:r>
      <w:r>
        <w:rPr>
          <w:spacing w:val="-11"/>
        </w:rPr>
        <w:t> </w:t>
      </w:r>
      <w:r>
        <w:rPr/>
        <w:t>las</w:t>
      </w:r>
      <w:r>
        <w:rPr>
          <w:spacing w:val="-11"/>
        </w:rPr>
        <w:t> </w:t>
      </w:r>
      <w:r>
        <w:rPr/>
        <w:t>pretensiones iniciales del impulso a la actividad, asociadas con la distribución restringida de los beneficios generados o el uso intensivo de los recursos naturales y culturales con</w:t>
      </w:r>
      <w:r>
        <w:rPr>
          <w:spacing w:val="-11"/>
        </w:rPr>
        <w:t> </w:t>
      </w:r>
      <w:r>
        <w:rPr/>
        <w:t>fines recreativos.</w:t>
      </w:r>
    </w:p>
    <w:p>
      <w:pPr>
        <w:pStyle w:val="BodyText"/>
        <w:spacing w:before="11"/>
      </w:pPr>
    </w:p>
    <w:p>
      <w:pPr>
        <w:pStyle w:val="BodyText"/>
        <w:spacing w:line="249" w:lineRule="auto"/>
        <w:ind w:left="130" w:right="1" w:firstLine="170"/>
        <w:jc w:val="both"/>
      </w:pPr>
      <w:r>
        <w:rPr/>
        <w:t>Con la finalidad de profundizar en el análisis de los impactos socio territoriales que</w:t>
      </w:r>
      <w:r>
        <w:rPr>
          <w:w w:val="101"/>
        </w:rPr>
        <w:t> </w:t>
      </w:r>
      <w:r>
        <w:rPr/>
        <w:t>genera la actividad turística en Malinalco, se retomará un enfoque de sistemas, que permitirá abordar la realidad a partir del análisis de los componentes, las dinámicas, niveles de integración de los ámbitos económico, político, sociocultural y biofísico que caracterizan la situación actual.</w:t>
      </w:r>
    </w:p>
    <w:p>
      <w:pPr>
        <w:pStyle w:val="BodyText"/>
        <w:spacing w:before="11"/>
      </w:pPr>
    </w:p>
    <w:p>
      <w:pPr>
        <w:pStyle w:val="BodyText"/>
        <w:spacing w:line="249" w:lineRule="auto"/>
        <w:ind w:left="130" w:right="1" w:firstLine="170"/>
        <w:jc w:val="both"/>
      </w:pPr>
      <w:r>
        <w:rPr/>
        <w:t>Para ello, será necesario definir una serie de criterios metodológicos que permitan identificar la incidencia de la actividad en el lugar de estudio (Cuadro 4).</w:t>
      </w:r>
    </w:p>
    <w:p>
      <w:pPr>
        <w:spacing w:before="114"/>
        <w:ind w:left="130" w:right="0" w:firstLine="0"/>
        <w:jc w:val="left"/>
        <w:rPr>
          <w:sz w:val="16"/>
        </w:rPr>
      </w:pPr>
      <w:r>
        <w:rPr/>
        <w:br w:type="column"/>
      </w:r>
      <w:r>
        <w:rPr>
          <w:color w:val="6D6E71"/>
          <w:sz w:val="16"/>
        </w:rPr>
        <w:t>Cuadro 4. Criterios metodológicos para identificar la incidencia de la actividad   turística.</w:t>
      </w:r>
    </w:p>
    <w:p>
      <w:pPr>
        <w:spacing w:after="0"/>
        <w:jc w:val="left"/>
        <w:rPr>
          <w:sz w:val="16"/>
        </w:rPr>
        <w:sectPr>
          <w:type w:val="continuous"/>
          <w:pgSz w:w="18830" w:h="12760" w:orient="landscape"/>
          <w:pgMar w:top="1420" w:bottom="280" w:left="720" w:right="720"/>
          <w:cols w:num="2" w:equalWidth="0">
            <w:col w:w="7842" w:space="2301"/>
            <w:col w:w="7247"/>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3"/>
        </w:rPr>
      </w:pPr>
    </w:p>
    <w:p>
      <w:pPr>
        <w:spacing w:before="81"/>
        <w:ind w:left="0" w:right="2709" w:firstLine="0"/>
        <w:jc w:val="right"/>
        <w:rPr>
          <w:sz w:val="16"/>
        </w:rPr>
      </w:pPr>
      <w:r>
        <w:rPr/>
        <w:pict>
          <v:shape style="position:absolute;margin-left:513pt;margin-top:-413.569pt;width:385.55pt;height:409.7pt;mso-position-horizontal-relative:page;mso-position-vertical-relative:paragraph;z-index:11992" type="#_x0000_t202" filled="false" stroked="false">
            <v:textbox inset="0,0,0,0">
              <w:txbxContent>
                <w:tbl>
                  <w:tblPr>
                    <w:tblW w:w="0" w:type="auto"/>
                    <w:jc w:val="lef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901"/>
                    <w:gridCol w:w="5799"/>
                  </w:tblGrid>
                  <w:tr>
                    <w:trPr>
                      <w:trHeight w:val="228" w:hRule="exact"/>
                    </w:trPr>
                    <w:tc>
                      <w:tcPr>
                        <w:tcW w:w="1901" w:type="dxa"/>
                        <w:tcBorders>
                          <w:top w:val="nil"/>
                          <w:left w:val="nil"/>
                          <w:bottom w:val="dotted" w:sz="4" w:space="0" w:color="FFFFFF"/>
                        </w:tcBorders>
                        <w:shd w:val="clear" w:color="auto" w:fill="929292"/>
                      </w:tcPr>
                      <w:p>
                        <w:pPr>
                          <w:pStyle w:val="TableParagraph"/>
                          <w:spacing w:before="21"/>
                          <w:ind w:left="107"/>
                          <w:rPr>
                            <w:sz w:val="16"/>
                          </w:rPr>
                        </w:pPr>
                        <w:r>
                          <w:rPr>
                            <w:w w:val="105"/>
                            <w:sz w:val="16"/>
                          </w:rPr>
                          <w:t>Ámbito</w:t>
                        </w:r>
                      </w:p>
                    </w:tc>
                    <w:tc>
                      <w:tcPr>
                        <w:tcW w:w="5799" w:type="dxa"/>
                        <w:tcBorders>
                          <w:top w:val="nil"/>
                          <w:bottom w:val="dotted" w:sz="4" w:space="0" w:color="FFFFFF"/>
                          <w:right w:val="nil"/>
                        </w:tcBorders>
                        <w:shd w:val="clear" w:color="auto" w:fill="929292"/>
                      </w:tcPr>
                      <w:p>
                        <w:pPr>
                          <w:pStyle w:val="TableParagraph"/>
                          <w:spacing w:before="21"/>
                          <w:ind w:left="102"/>
                          <w:rPr>
                            <w:sz w:val="16"/>
                          </w:rPr>
                        </w:pPr>
                        <w:r>
                          <w:rPr>
                            <w:sz w:val="16"/>
                          </w:rPr>
                          <w:t>Criterios de análisis</w:t>
                        </w:r>
                      </w:p>
                    </w:tc>
                  </w:tr>
                  <w:tr>
                    <w:trPr>
                      <w:trHeight w:val="1598" w:hRule="exact"/>
                    </w:trPr>
                    <w:tc>
                      <w:tcPr>
                        <w:tcW w:w="1901" w:type="dxa"/>
                        <w:tcBorders>
                          <w:top w:val="dotted" w:sz="4" w:space="0" w:color="FFFFFF"/>
                          <w:left w:val="nil"/>
                          <w:right w:val="single" w:sz="4" w:space="0" w:color="929292"/>
                        </w:tcBorders>
                      </w:tcPr>
                      <w:p>
                        <w:pPr>
                          <w:pStyle w:val="TableParagraph"/>
                          <w:rPr>
                            <w:sz w:val="16"/>
                          </w:rPr>
                        </w:pPr>
                      </w:p>
                      <w:p>
                        <w:pPr>
                          <w:pStyle w:val="TableParagraph"/>
                          <w:rPr>
                            <w:sz w:val="16"/>
                          </w:rPr>
                        </w:pPr>
                      </w:p>
                      <w:p>
                        <w:pPr>
                          <w:pStyle w:val="TableParagraph"/>
                          <w:rPr>
                            <w:sz w:val="16"/>
                          </w:rPr>
                        </w:pPr>
                      </w:p>
                      <w:p>
                        <w:pPr>
                          <w:pStyle w:val="TableParagraph"/>
                          <w:spacing w:before="10"/>
                          <w:rPr>
                            <w:sz w:val="12"/>
                          </w:rPr>
                        </w:pPr>
                      </w:p>
                      <w:p>
                        <w:pPr>
                          <w:pStyle w:val="TableParagraph"/>
                          <w:spacing w:before="1"/>
                          <w:ind w:left="107"/>
                          <w:rPr>
                            <w:sz w:val="16"/>
                          </w:rPr>
                        </w:pPr>
                        <w:r>
                          <w:rPr>
                            <w:sz w:val="16"/>
                          </w:rPr>
                          <w:t>Económico</w:t>
                        </w:r>
                      </w:p>
                      <w:p>
                        <w:pPr>
                          <w:pStyle w:val="TableParagraph"/>
                          <w:rPr>
                            <w:sz w:val="16"/>
                          </w:rPr>
                        </w:pPr>
                      </w:p>
                      <w:p>
                        <w:pPr>
                          <w:pStyle w:val="TableParagraph"/>
                          <w:rPr>
                            <w:sz w:val="16"/>
                          </w:rPr>
                        </w:pPr>
                      </w:p>
                      <w:p>
                        <w:pPr>
                          <w:pStyle w:val="TableParagraph"/>
                          <w:tabs>
                            <w:tab w:pos="1885" w:val="left" w:leader="none"/>
                          </w:tabs>
                          <w:spacing w:before="110"/>
                          <w:ind w:left="35"/>
                          <w:rPr>
                            <w:sz w:val="20"/>
                          </w:rPr>
                        </w:pPr>
                        <w:r>
                          <w:rPr>
                            <w:w w:val="100"/>
                            <w:sz w:val="20"/>
                            <w:u w:val="dotted" w:color="929292"/>
                          </w:rPr>
                          <w:t> </w:t>
                        </w:r>
                        <w:r>
                          <w:rPr>
                            <w:sz w:val="20"/>
                            <w:u w:val="dotted" w:color="929292"/>
                          </w:rPr>
                          <w:tab/>
                        </w:r>
                      </w:p>
                    </w:tc>
                    <w:tc>
                      <w:tcPr>
                        <w:tcW w:w="5799" w:type="dxa"/>
                        <w:tcBorders>
                          <w:top w:val="dotted" w:sz="4" w:space="0" w:color="FFFFFF"/>
                          <w:left w:val="single" w:sz="4" w:space="0" w:color="929292"/>
                          <w:right w:val="nil"/>
                        </w:tcBorders>
                      </w:tcPr>
                      <w:p>
                        <w:pPr>
                          <w:pStyle w:val="TableParagraph"/>
                          <w:numPr>
                            <w:ilvl w:val="0"/>
                            <w:numId w:val="31"/>
                          </w:numPr>
                          <w:tabs>
                            <w:tab w:pos="210" w:val="left" w:leader="none"/>
                          </w:tabs>
                          <w:spacing w:line="171" w:lineRule="exact" w:before="0" w:after="0"/>
                          <w:ind w:left="102" w:right="0" w:firstLine="0"/>
                          <w:jc w:val="left"/>
                          <w:rPr>
                            <w:sz w:val="16"/>
                          </w:rPr>
                        </w:pPr>
                        <w:r>
                          <w:rPr>
                            <w:sz w:val="16"/>
                          </w:rPr>
                          <w:t>adaptación de la población local hacia la prestación de servicios </w:t>
                        </w:r>
                        <w:r>
                          <w:rPr>
                            <w:spacing w:val="29"/>
                            <w:sz w:val="16"/>
                          </w:rPr>
                          <w:t> </w:t>
                        </w:r>
                        <w:r>
                          <w:rPr>
                            <w:sz w:val="16"/>
                          </w:rPr>
                          <w:t>turísticos,</w:t>
                        </w:r>
                      </w:p>
                      <w:p>
                        <w:pPr>
                          <w:pStyle w:val="TableParagraph"/>
                          <w:numPr>
                            <w:ilvl w:val="0"/>
                            <w:numId w:val="31"/>
                          </w:numPr>
                          <w:tabs>
                            <w:tab w:pos="210" w:val="left" w:leader="none"/>
                          </w:tabs>
                          <w:spacing w:line="261" w:lineRule="auto" w:before="72" w:after="0"/>
                          <w:ind w:left="102" w:right="657" w:firstLine="0"/>
                          <w:jc w:val="left"/>
                          <w:rPr>
                            <w:sz w:val="16"/>
                          </w:rPr>
                        </w:pPr>
                        <w:r>
                          <w:rPr>
                            <w:sz w:val="16"/>
                          </w:rPr>
                          <w:t>apoyos externos para la puesta en marcha de proyectos productivos familiares, grupales o comunitarios vinculados al</w:t>
                        </w:r>
                        <w:r>
                          <w:rPr>
                            <w:spacing w:val="40"/>
                            <w:sz w:val="16"/>
                          </w:rPr>
                          <w:t> </w:t>
                        </w:r>
                        <w:r>
                          <w:rPr>
                            <w:sz w:val="16"/>
                          </w:rPr>
                          <w:t>turismo,</w:t>
                        </w:r>
                      </w:p>
                      <w:p>
                        <w:pPr>
                          <w:pStyle w:val="TableParagraph"/>
                          <w:numPr>
                            <w:ilvl w:val="0"/>
                            <w:numId w:val="31"/>
                          </w:numPr>
                          <w:tabs>
                            <w:tab w:pos="210" w:val="left" w:leader="none"/>
                          </w:tabs>
                          <w:spacing w:line="240" w:lineRule="auto" w:before="56" w:after="0"/>
                          <w:ind w:left="209" w:right="0" w:hanging="107"/>
                          <w:jc w:val="left"/>
                          <w:rPr>
                            <w:sz w:val="16"/>
                          </w:rPr>
                        </w:pPr>
                        <w:r>
                          <w:rPr>
                            <w:sz w:val="16"/>
                          </w:rPr>
                          <w:t>posición que ocupan históricamente las comunidades en el </w:t>
                        </w:r>
                        <w:r>
                          <w:rPr>
                            <w:spacing w:val="21"/>
                            <w:sz w:val="16"/>
                          </w:rPr>
                          <w:t> </w:t>
                        </w:r>
                        <w:r>
                          <w:rPr>
                            <w:sz w:val="16"/>
                          </w:rPr>
                          <w:t>mercado,</w:t>
                        </w:r>
                      </w:p>
                      <w:p>
                        <w:pPr>
                          <w:pStyle w:val="TableParagraph"/>
                          <w:numPr>
                            <w:ilvl w:val="0"/>
                            <w:numId w:val="31"/>
                          </w:numPr>
                          <w:tabs>
                            <w:tab w:pos="210" w:val="left" w:leader="none"/>
                          </w:tabs>
                          <w:spacing w:line="240" w:lineRule="auto" w:before="72" w:after="0"/>
                          <w:ind w:left="209" w:right="0" w:hanging="107"/>
                          <w:jc w:val="left"/>
                          <w:rPr>
                            <w:sz w:val="16"/>
                          </w:rPr>
                        </w:pPr>
                        <w:r>
                          <w:rPr>
                            <w:sz w:val="16"/>
                          </w:rPr>
                          <w:t>aspiraciones comunes de desarrollo a nivel regional, con base</w:t>
                        </w:r>
                        <w:r>
                          <w:rPr>
                            <w:spacing w:val="21"/>
                            <w:sz w:val="16"/>
                          </w:rPr>
                          <w:t> </w:t>
                        </w:r>
                        <w:r>
                          <w:rPr>
                            <w:sz w:val="16"/>
                          </w:rPr>
                          <w:t>en</w:t>
                        </w:r>
                      </w:p>
                      <w:p>
                        <w:pPr>
                          <w:pStyle w:val="TableParagraph"/>
                          <w:spacing w:before="72"/>
                          <w:ind w:left="102"/>
                          <w:rPr>
                            <w:sz w:val="16"/>
                          </w:rPr>
                        </w:pPr>
                        <w:r>
                          <w:rPr>
                            <w:sz w:val="16"/>
                          </w:rPr>
                          <w:t>el aprovechamiento recreativo de sus recursos y la prestación de  servicios</w:t>
                        </w:r>
                      </w:p>
                      <w:p>
                        <w:pPr>
                          <w:pStyle w:val="TableParagraph"/>
                          <w:tabs>
                            <w:tab w:pos="5774" w:val="left" w:leader="none"/>
                          </w:tabs>
                          <w:spacing w:before="16"/>
                          <w:ind w:left="25"/>
                          <w:rPr>
                            <w:sz w:val="16"/>
                          </w:rPr>
                        </w:pPr>
                        <w:r>
                          <w:rPr>
                            <w:w w:val="100"/>
                            <w:sz w:val="16"/>
                            <w:u w:val="dotted" w:color="929292"/>
                          </w:rPr>
                          <w:t> </w:t>
                        </w:r>
                        <w:r>
                          <w:rPr>
                            <w:spacing w:val="-11"/>
                            <w:sz w:val="16"/>
                            <w:u w:val="dotted" w:color="929292"/>
                          </w:rPr>
                          <w:t> </w:t>
                        </w:r>
                        <w:r>
                          <w:rPr>
                            <w:sz w:val="16"/>
                            <w:u w:val="dotted" w:color="929292"/>
                          </w:rPr>
                          <w:t>turístico</w:t>
                          <w:tab/>
                        </w:r>
                      </w:p>
                    </w:tc>
                  </w:tr>
                  <w:tr>
                    <w:trPr>
                      <w:trHeight w:val="2424" w:hRule="exact"/>
                    </w:trPr>
                    <w:tc>
                      <w:tcPr>
                        <w:tcW w:w="1901" w:type="dxa"/>
                        <w:tcBorders>
                          <w:left w:val="nil"/>
                          <w:right w:val="single" w:sz="4" w:space="0" w:color="929292"/>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0"/>
                          <w:rPr>
                            <w:sz w:val="16"/>
                          </w:rPr>
                        </w:pPr>
                      </w:p>
                      <w:p>
                        <w:pPr>
                          <w:pStyle w:val="TableParagraph"/>
                          <w:ind w:left="107"/>
                          <w:rPr>
                            <w:sz w:val="16"/>
                          </w:rPr>
                        </w:pPr>
                        <w:r>
                          <w:rPr>
                            <w:sz w:val="16"/>
                          </w:rPr>
                          <w:t>Político</w:t>
                        </w: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1"/>
                          <w:rPr>
                            <w:sz w:val="17"/>
                          </w:rPr>
                        </w:pPr>
                      </w:p>
                      <w:p>
                        <w:pPr>
                          <w:pStyle w:val="TableParagraph"/>
                          <w:tabs>
                            <w:tab w:pos="1885" w:val="left" w:leader="none"/>
                          </w:tabs>
                          <w:ind w:left="35"/>
                          <w:rPr>
                            <w:sz w:val="16"/>
                          </w:rPr>
                        </w:pPr>
                        <w:r>
                          <w:rPr>
                            <w:w w:val="100"/>
                            <w:sz w:val="16"/>
                            <w:u w:val="dotted" w:color="929292"/>
                          </w:rPr>
                          <w:t> </w:t>
                        </w:r>
                        <w:r>
                          <w:rPr>
                            <w:sz w:val="16"/>
                            <w:u w:val="dotted" w:color="929292"/>
                          </w:rPr>
                          <w:tab/>
                        </w:r>
                      </w:p>
                    </w:tc>
                    <w:tc>
                      <w:tcPr>
                        <w:tcW w:w="5799" w:type="dxa"/>
                        <w:tcBorders>
                          <w:left w:val="single" w:sz="4" w:space="0" w:color="929292"/>
                          <w:right w:val="nil"/>
                        </w:tcBorders>
                      </w:tcPr>
                      <w:p>
                        <w:pPr>
                          <w:pStyle w:val="TableParagraph"/>
                          <w:numPr>
                            <w:ilvl w:val="0"/>
                            <w:numId w:val="32"/>
                          </w:numPr>
                          <w:tabs>
                            <w:tab w:pos="210" w:val="left" w:leader="none"/>
                          </w:tabs>
                          <w:spacing w:line="171" w:lineRule="exact" w:before="0" w:after="0"/>
                          <w:ind w:left="102" w:right="0" w:firstLine="0"/>
                          <w:jc w:val="left"/>
                          <w:rPr>
                            <w:sz w:val="16"/>
                          </w:rPr>
                        </w:pPr>
                        <w:r>
                          <w:rPr>
                            <w:sz w:val="16"/>
                          </w:rPr>
                          <w:t>configuración histórica de las instituciones </w:t>
                        </w:r>
                        <w:r>
                          <w:rPr>
                            <w:spacing w:val="7"/>
                            <w:sz w:val="16"/>
                          </w:rPr>
                          <w:t> </w:t>
                        </w:r>
                        <w:r>
                          <w:rPr>
                            <w:sz w:val="16"/>
                          </w:rPr>
                          <w:t>locales,</w:t>
                        </w:r>
                      </w:p>
                      <w:p>
                        <w:pPr>
                          <w:pStyle w:val="TableParagraph"/>
                          <w:numPr>
                            <w:ilvl w:val="0"/>
                            <w:numId w:val="32"/>
                          </w:numPr>
                          <w:tabs>
                            <w:tab w:pos="210" w:val="left" w:leader="none"/>
                          </w:tabs>
                          <w:spacing w:line="240" w:lineRule="auto" w:before="72" w:after="0"/>
                          <w:ind w:left="209" w:right="0" w:hanging="107"/>
                          <w:jc w:val="left"/>
                          <w:rPr>
                            <w:sz w:val="16"/>
                          </w:rPr>
                        </w:pPr>
                        <w:r>
                          <w:rPr>
                            <w:sz w:val="16"/>
                          </w:rPr>
                          <w:t>mecanismos de participación social en la toma de </w:t>
                        </w:r>
                        <w:r>
                          <w:rPr>
                            <w:spacing w:val="13"/>
                            <w:sz w:val="16"/>
                          </w:rPr>
                          <w:t> </w:t>
                        </w:r>
                        <w:r>
                          <w:rPr>
                            <w:sz w:val="16"/>
                          </w:rPr>
                          <w:t>decisiones,</w:t>
                        </w:r>
                      </w:p>
                      <w:p>
                        <w:pPr>
                          <w:pStyle w:val="TableParagraph"/>
                          <w:numPr>
                            <w:ilvl w:val="0"/>
                            <w:numId w:val="32"/>
                          </w:numPr>
                          <w:tabs>
                            <w:tab w:pos="210" w:val="left" w:leader="none"/>
                          </w:tabs>
                          <w:spacing w:line="240" w:lineRule="auto" w:before="72" w:after="0"/>
                          <w:ind w:left="209" w:right="0" w:hanging="107"/>
                          <w:jc w:val="left"/>
                          <w:rPr>
                            <w:sz w:val="16"/>
                          </w:rPr>
                        </w:pPr>
                        <w:r>
                          <w:rPr>
                            <w:sz w:val="16"/>
                          </w:rPr>
                          <w:t>autonomía y el consenso como vía para el acuerdo</w:t>
                        </w:r>
                        <w:r>
                          <w:rPr>
                            <w:spacing w:val="25"/>
                            <w:sz w:val="16"/>
                          </w:rPr>
                          <w:t> </w:t>
                        </w:r>
                        <w:r>
                          <w:rPr>
                            <w:sz w:val="16"/>
                          </w:rPr>
                          <w:t>común,</w:t>
                        </w:r>
                      </w:p>
                      <w:p>
                        <w:pPr>
                          <w:pStyle w:val="TableParagraph"/>
                          <w:numPr>
                            <w:ilvl w:val="0"/>
                            <w:numId w:val="32"/>
                          </w:numPr>
                          <w:tabs>
                            <w:tab w:pos="210" w:val="left" w:leader="none"/>
                          </w:tabs>
                          <w:spacing w:line="240" w:lineRule="auto" w:before="72" w:after="0"/>
                          <w:ind w:left="209" w:right="0" w:hanging="107"/>
                          <w:jc w:val="left"/>
                          <w:rPr>
                            <w:sz w:val="16"/>
                          </w:rPr>
                        </w:pPr>
                        <w:r>
                          <w:rPr>
                            <w:sz w:val="16"/>
                          </w:rPr>
                          <w:t>intervención del mercado y el debilitamiento de las estructuras </w:t>
                        </w:r>
                        <w:r>
                          <w:rPr>
                            <w:spacing w:val="9"/>
                            <w:sz w:val="16"/>
                          </w:rPr>
                          <w:t> </w:t>
                        </w:r>
                        <w:r>
                          <w:rPr>
                            <w:sz w:val="16"/>
                          </w:rPr>
                          <w:t>locales,</w:t>
                        </w:r>
                      </w:p>
                      <w:p>
                        <w:pPr>
                          <w:pStyle w:val="TableParagraph"/>
                          <w:numPr>
                            <w:ilvl w:val="0"/>
                            <w:numId w:val="32"/>
                          </w:numPr>
                          <w:tabs>
                            <w:tab w:pos="210" w:val="left" w:leader="none"/>
                          </w:tabs>
                          <w:spacing w:line="240" w:lineRule="auto" w:before="72" w:after="0"/>
                          <w:ind w:left="209" w:right="0" w:hanging="107"/>
                          <w:jc w:val="left"/>
                          <w:rPr>
                            <w:sz w:val="16"/>
                          </w:rPr>
                        </w:pPr>
                        <w:r>
                          <w:rPr>
                            <w:sz w:val="16"/>
                          </w:rPr>
                          <w:t>factores externos e internos que influyen en la estabilidad del</w:t>
                        </w:r>
                        <w:r>
                          <w:rPr>
                            <w:spacing w:val="36"/>
                            <w:sz w:val="16"/>
                          </w:rPr>
                          <w:t> </w:t>
                        </w:r>
                        <w:r>
                          <w:rPr>
                            <w:sz w:val="16"/>
                          </w:rPr>
                          <w:t>sistema,</w:t>
                        </w:r>
                      </w:p>
                      <w:p>
                        <w:pPr>
                          <w:pStyle w:val="TableParagraph"/>
                          <w:numPr>
                            <w:ilvl w:val="0"/>
                            <w:numId w:val="32"/>
                          </w:numPr>
                          <w:tabs>
                            <w:tab w:pos="210" w:val="left" w:leader="none"/>
                          </w:tabs>
                          <w:spacing w:line="240" w:lineRule="auto" w:before="72" w:after="0"/>
                          <w:ind w:left="209" w:right="0" w:hanging="107"/>
                          <w:jc w:val="left"/>
                          <w:rPr>
                            <w:sz w:val="16"/>
                          </w:rPr>
                        </w:pPr>
                        <w:r>
                          <w:rPr>
                            <w:sz w:val="16"/>
                          </w:rPr>
                          <w:t>acceso o restricción para el aprovechamiento de los </w:t>
                        </w:r>
                        <w:r>
                          <w:rPr>
                            <w:spacing w:val="6"/>
                            <w:sz w:val="16"/>
                          </w:rPr>
                          <w:t> </w:t>
                        </w:r>
                        <w:r>
                          <w:rPr>
                            <w:sz w:val="16"/>
                          </w:rPr>
                          <w:t>recursos</w:t>
                        </w:r>
                      </w:p>
                      <w:p>
                        <w:pPr>
                          <w:pStyle w:val="TableParagraph"/>
                          <w:numPr>
                            <w:ilvl w:val="0"/>
                            <w:numId w:val="32"/>
                          </w:numPr>
                          <w:tabs>
                            <w:tab w:pos="210" w:val="left" w:leader="none"/>
                          </w:tabs>
                          <w:spacing w:line="240" w:lineRule="auto" w:before="72" w:after="0"/>
                          <w:ind w:left="209" w:right="0" w:hanging="107"/>
                          <w:jc w:val="left"/>
                          <w:rPr>
                            <w:sz w:val="16"/>
                          </w:rPr>
                        </w:pPr>
                        <w:r>
                          <w:rPr>
                            <w:sz w:val="16"/>
                          </w:rPr>
                          <w:t>creación de nuevas estructuras para el</w:t>
                        </w:r>
                        <w:r>
                          <w:rPr>
                            <w:spacing w:val="25"/>
                            <w:sz w:val="16"/>
                          </w:rPr>
                          <w:t> </w:t>
                        </w:r>
                        <w:r>
                          <w:rPr>
                            <w:sz w:val="16"/>
                          </w:rPr>
                          <w:t>turismo,</w:t>
                        </w:r>
                      </w:p>
                      <w:p>
                        <w:pPr>
                          <w:pStyle w:val="TableParagraph"/>
                          <w:numPr>
                            <w:ilvl w:val="0"/>
                            <w:numId w:val="32"/>
                          </w:numPr>
                          <w:tabs>
                            <w:tab w:pos="210" w:val="left" w:leader="none"/>
                          </w:tabs>
                          <w:spacing w:line="261" w:lineRule="auto" w:before="72" w:after="0"/>
                          <w:ind w:left="102" w:right="423" w:firstLine="0"/>
                          <w:jc w:val="left"/>
                          <w:rPr>
                            <w:sz w:val="16"/>
                          </w:rPr>
                        </w:pPr>
                        <w:r>
                          <w:rPr>
                            <w:sz w:val="16"/>
                          </w:rPr>
                          <w:t>participación de otros actores como mujeres, niños y adultos mayores a partir del</w:t>
                        </w:r>
                        <w:r>
                          <w:rPr>
                            <w:spacing w:val="23"/>
                            <w:sz w:val="16"/>
                          </w:rPr>
                          <w:t> </w:t>
                        </w:r>
                        <w:r>
                          <w:rPr>
                            <w:sz w:val="16"/>
                          </w:rPr>
                          <w:t>turismo,</w:t>
                        </w:r>
                      </w:p>
                      <w:p>
                        <w:pPr>
                          <w:pStyle w:val="TableParagraph"/>
                          <w:tabs>
                            <w:tab w:pos="5774"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 conflictos entre los actores sociales por la dinámica de la </w:t>
                        </w:r>
                        <w:r>
                          <w:rPr>
                            <w:spacing w:val="36"/>
                            <w:sz w:val="16"/>
                            <w:u w:val="dotted" w:color="929292"/>
                          </w:rPr>
                          <w:t> </w:t>
                        </w:r>
                        <w:r>
                          <w:rPr>
                            <w:sz w:val="16"/>
                            <w:u w:val="dotted" w:color="929292"/>
                          </w:rPr>
                          <w:t>actividad.</w:t>
                          <w:tab/>
                        </w:r>
                      </w:p>
                    </w:tc>
                  </w:tr>
                  <w:tr>
                    <w:trPr>
                      <w:trHeight w:val="1884" w:hRule="exact"/>
                    </w:trPr>
                    <w:tc>
                      <w:tcPr>
                        <w:tcW w:w="1901" w:type="dxa"/>
                        <w:tcBorders>
                          <w:left w:val="nil"/>
                          <w:right w:val="single" w:sz="4" w:space="0" w:color="929292"/>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07"/>
                          <w:ind w:left="107"/>
                          <w:rPr>
                            <w:sz w:val="16"/>
                          </w:rPr>
                        </w:pPr>
                        <w:r>
                          <w:rPr>
                            <w:sz w:val="16"/>
                          </w:rPr>
                          <w:t>Sociocultural</w:t>
                        </w:r>
                      </w:p>
                      <w:p>
                        <w:pPr>
                          <w:pStyle w:val="TableParagraph"/>
                          <w:rPr>
                            <w:sz w:val="16"/>
                          </w:rPr>
                        </w:pPr>
                      </w:p>
                      <w:p>
                        <w:pPr>
                          <w:pStyle w:val="TableParagraph"/>
                          <w:rPr>
                            <w:sz w:val="16"/>
                          </w:rPr>
                        </w:pPr>
                      </w:p>
                      <w:p>
                        <w:pPr>
                          <w:pStyle w:val="TableParagraph"/>
                          <w:rPr>
                            <w:sz w:val="23"/>
                          </w:rPr>
                        </w:pPr>
                      </w:p>
                      <w:p>
                        <w:pPr>
                          <w:pStyle w:val="TableParagraph"/>
                          <w:tabs>
                            <w:tab w:pos="1885" w:val="left" w:leader="none"/>
                          </w:tabs>
                          <w:spacing w:before="1"/>
                          <w:ind w:left="35"/>
                          <w:rPr>
                            <w:sz w:val="20"/>
                          </w:rPr>
                        </w:pPr>
                        <w:r>
                          <w:rPr>
                            <w:w w:val="100"/>
                            <w:sz w:val="20"/>
                            <w:u w:val="dotted" w:color="929292"/>
                          </w:rPr>
                          <w:t> </w:t>
                        </w:r>
                        <w:r>
                          <w:rPr>
                            <w:sz w:val="20"/>
                            <w:u w:val="dotted" w:color="929292"/>
                          </w:rPr>
                          <w:tab/>
                        </w:r>
                      </w:p>
                    </w:tc>
                    <w:tc>
                      <w:tcPr>
                        <w:tcW w:w="5799" w:type="dxa"/>
                        <w:tcBorders>
                          <w:left w:val="single" w:sz="4" w:space="0" w:color="929292"/>
                          <w:right w:val="nil"/>
                        </w:tcBorders>
                      </w:tcPr>
                      <w:p>
                        <w:pPr>
                          <w:pStyle w:val="TableParagraph"/>
                          <w:numPr>
                            <w:ilvl w:val="0"/>
                            <w:numId w:val="33"/>
                          </w:numPr>
                          <w:tabs>
                            <w:tab w:pos="210" w:val="left" w:leader="none"/>
                          </w:tabs>
                          <w:spacing w:line="171" w:lineRule="exact" w:before="0" w:after="0"/>
                          <w:ind w:left="102" w:right="0" w:firstLine="0"/>
                          <w:jc w:val="left"/>
                          <w:rPr>
                            <w:sz w:val="16"/>
                          </w:rPr>
                        </w:pPr>
                        <w:r>
                          <w:rPr>
                            <w:sz w:val="16"/>
                          </w:rPr>
                          <w:t>la dinámica de la fiesta, los mecanismos de participación de los actores y </w:t>
                        </w:r>
                        <w:r>
                          <w:rPr>
                            <w:spacing w:val="18"/>
                            <w:sz w:val="16"/>
                          </w:rPr>
                          <w:t> </w:t>
                        </w:r>
                        <w:r>
                          <w:rPr>
                            <w:sz w:val="16"/>
                          </w:rPr>
                          <w:t>su</w:t>
                        </w:r>
                      </w:p>
                      <w:p>
                        <w:pPr>
                          <w:pStyle w:val="TableParagraph"/>
                          <w:spacing w:before="16"/>
                          <w:ind w:left="102"/>
                          <w:rPr>
                            <w:sz w:val="16"/>
                          </w:rPr>
                        </w:pPr>
                        <w:r>
                          <w:rPr>
                            <w:sz w:val="16"/>
                          </w:rPr>
                          <w:t>configuración para los visitantes,</w:t>
                        </w:r>
                      </w:p>
                      <w:p>
                        <w:pPr>
                          <w:pStyle w:val="TableParagraph"/>
                          <w:numPr>
                            <w:ilvl w:val="0"/>
                            <w:numId w:val="33"/>
                          </w:numPr>
                          <w:tabs>
                            <w:tab w:pos="210" w:val="left" w:leader="none"/>
                          </w:tabs>
                          <w:spacing w:line="261" w:lineRule="auto" w:before="72" w:after="0"/>
                          <w:ind w:left="102" w:right="221" w:firstLine="0"/>
                          <w:jc w:val="left"/>
                          <w:rPr>
                            <w:sz w:val="16"/>
                          </w:rPr>
                        </w:pPr>
                        <w:r>
                          <w:rPr>
                            <w:sz w:val="16"/>
                          </w:rPr>
                          <w:t>características actuales de la lengua tradicional respecto al número de hablantes, las causas de su detrimento y estrategias implementadas para su recuperación desde el</w:t>
                        </w:r>
                        <w:r>
                          <w:rPr>
                            <w:spacing w:val="25"/>
                            <w:sz w:val="16"/>
                          </w:rPr>
                          <w:t> </w:t>
                        </w:r>
                        <w:r>
                          <w:rPr>
                            <w:sz w:val="16"/>
                          </w:rPr>
                          <w:t>turismo,</w:t>
                        </w:r>
                      </w:p>
                      <w:p>
                        <w:pPr>
                          <w:pStyle w:val="TableParagraph"/>
                          <w:numPr>
                            <w:ilvl w:val="0"/>
                            <w:numId w:val="33"/>
                          </w:numPr>
                          <w:tabs>
                            <w:tab w:pos="210" w:val="left" w:leader="none"/>
                          </w:tabs>
                          <w:spacing w:line="261" w:lineRule="auto" w:before="56" w:after="0"/>
                          <w:ind w:left="102" w:right="349" w:firstLine="0"/>
                          <w:jc w:val="left"/>
                          <w:rPr>
                            <w:sz w:val="16"/>
                          </w:rPr>
                        </w:pPr>
                        <w:r>
                          <w:rPr>
                            <w:sz w:val="16"/>
                          </w:rPr>
                          <w:t>manifestaciones artísticas, música, vestido y alimentación cotidiana contemplado tanto su revaloración para la actividad, como la alteración de sus características originales a partir de las necesidades e intereses de</w:t>
                        </w:r>
                        <w:r>
                          <w:rPr>
                            <w:spacing w:val="12"/>
                            <w:sz w:val="16"/>
                          </w:rPr>
                          <w:t> </w:t>
                        </w:r>
                        <w:r>
                          <w:rPr>
                            <w:sz w:val="16"/>
                          </w:rPr>
                          <w:t>las</w:t>
                        </w:r>
                      </w:p>
                      <w:p>
                        <w:pPr>
                          <w:pStyle w:val="TableParagraph"/>
                          <w:tabs>
                            <w:tab w:pos="5774" w:val="left" w:leader="none"/>
                          </w:tabs>
                          <w:ind w:left="25"/>
                          <w:rPr>
                            <w:sz w:val="16"/>
                          </w:rPr>
                        </w:pPr>
                        <w:r>
                          <w:rPr>
                            <w:w w:val="100"/>
                            <w:sz w:val="16"/>
                            <w:u w:val="dotted" w:color="929292"/>
                          </w:rPr>
                          <w:t> </w:t>
                        </w:r>
                        <w:r>
                          <w:rPr>
                            <w:spacing w:val="-11"/>
                            <w:sz w:val="16"/>
                            <w:u w:val="dotted" w:color="929292"/>
                          </w:rPr>
                          <w:t> </w:t>
                        </w:r>
                        <w:r>
                          <w:rPr>
                            <w:sz w:val="16"/>
                            <w:u w:val="dotted" w:color="929292"/>
                          </w:rPr>
                          <w:t>corrientes</w:t>
                        </w:r>
                        <w:r>
                          <w:rPr>
                            <w:spacing w:val="14"/>
                            <w:sz w:val="16"/>
                            <w:u w:val="dotted" w:color="929292"/>
                          </w:rPr>
                          <w:t> </w:t>
                        </w:r>
                        <w:r>
                          <w:rPr>
                            <w:sz w:val="16"/>
                            <w:u w:val="dotted" w:color="929292"/>
                          </w:rPr>
                          <w:t>turísticas.</w:t>
                          <w:tab/>
                        </w:r>
                      </w:p>
                    </w:tc>
                  </w:tr>
                  <w:tr>
                    <w:trPr>
                      <w:trHeight w:val="2054" w:hRule="exact"/>
                    </w:trPr>
                    <w:tc>
                      <w:tcPr>
                        <w:tcW w:w="1901" w:type="dxa"/>
                        <w:tcBorders>
                          <w:left w:val="nil"/>
                          <w:bottom w:val="nil"/>
                          <w:right w:val="single" w:sz="4" w:space="0" w:color="929292"/>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8"/>
                          <w:rPr>
                            <w:sz w:val="16"/>
                          </w:rPr>
                        </w:pPr>
                      </w:p>
                      <w:p>
                        <w:pPr>
                          <w:pStyle w:val="TableParagraph"/>
                          <w:ind w:left="107"/>
                          <w:rPr>
                            <w:sz w:val="16"/>
                          </w:rPr>
                        </w:pPr>
                        <w:r>
                          <w:rPr>
                            <w:sz w:val="16"/>
                          </w:rPr>
                          <w:t>Biofísico</w:t>
                        </w:r>
                      </w:p>
                      <w:p>
                        <w:pPr>
                          <w:pStyle w:val="TableParagraph"/>
                          <w:rPr>
                            <w:sz w:val="16"/>
                          </w:rPr>
                        </w:pPr>
                      </w:p>
                      <w:p>
                        <w:pPr>
                          <w:pStyle w:val="TableParagraph"/>
                          <w:rPr>
                            <w:sz w:val="16"/>
                          </w:rPr>
                        </w:pPr>
                      </w:p>
                      <w:p>
                        <w:pPr>
                          <w:pStyle w:val="TableParagraph"/>
                          <w:rPr>
                            <w:sz w:val="16"/>
                          </w:rPr>
                        </w:pPr>
                      </w:p>
                      <w:p>
                        <w:pPr>
                          <w:pStyle w:val="TableParagraph"/>
                          <w:spacing w:before="10"/>
                          <w:rPr>
                            <w:sz w:val="17"/>
                          </w:rPr>
                        </w:pPr>
                      </w:p>
                      <w:p>
                        <w:pPr>
                          <w:pStyle w:val="TableParagraph"/>
                          <w:tabs>
                            <w:tab w:pos="1885" w:val="left" w:leader="none"/>
                          </w:tabs>
                          <w:ind w:left="35"/>
                          <w:rPr>
                            <w:sz w:val="16"/>
                          </w:rPr>
                        </w:pPr>
                        <w:r>
                          <w:rPr>
                            <w:w w:val="100"/>
                            <w:sz w:val="16"/>
                            <w:u w:val="dotted" w:color="929292"/>
                          </w:rPr>
                          <w:t> </w:t>
                        </w:r>
                        <w:r>
                          <w:rPr>
                            <w:sz w:val="16"/>
                            <w:u w:val="dotted" w:color="929292"/>
                          </w:rPr>
                          <w:tab/>
                        </w:r>
                      </w:p>
                    </w:tc>
                    <w:tc>
                      <w:tcPr>
                        <w:tcW w:w="5799" w:type="dxa"/>
                        <w:tcBorders>
                          <w:left w:val="single" w:sz="4" w:space="0" w:color="929292"/>
                          <w:right w:val="nil"/>
                        </w:tcBorders>
                      </w:tcPr>
                      <w:p>
                        <w:pPr>
                          <w:pStyle w:val="TableParagraph"/>
                          <w:numPr>
                            <w:ilvl w:val="0"/>
                            <w:numId w:val="34"/>
                          </w:numPr>
                          <w:tabs>
                            <w:tab w:pos="210" w:val="left" w:leader="none"/>
                          </w:tabs>
                          <w:spacing w:line="171" w:lineRule="exact" w:before="0" w:after="0"/>
                          <w:ind w:left="102" w:right="0" w:firstLine="0"/>
                          <w:jc w:val="left"/>
                          <w:rPr>
                            <w:sz w:val="16"/>
                          </w:rPr>
                        </w:pPr>
                        <w:r>
                          <w:rPr>
                            <w:sz w:val="16"/>
                          </w:rPr>
                          <w:t>condiciones físicas del entorno respecto a la localización, existencia </w:t>
                        </w:r>
                        <w:r>
                          <w:rPr>
                            <w:spacing w:val="5"/>
                            <w:sz w:val="16"/>
                          </w:rPr>
                          <w:t> </w:t>
                        </w:r>
                        <w:r>
                          <w:rPr>
                            <w:sz w:val="16"/>
                          </w:rPr>
                          <w:t>y</w:t>
                        </w:r>
                      </w:p>
                      <w:p>
                        <w:pPr>
                          <w:pStyle w:val="TableParagraph"/>
                          <w:spacing w:before="72"/>
                          <w:ind w:left="102"/>
                          <w:rPr>
                            <w:sz w:val="16"/>
                          </w:rPr>
                        </w:pPr>
                        <w:r>
                          <w:rPr>
                            <w:sz w:val="16"/>
                          </w:rPr>
                          <w:t>disponibilidad de recursos naturales,</w:t>
                        </w:r>
                      </w:p>
                      <w:p>
                        <w:pPr>
                          <w:pStyle w:val="TableParagraph"/>
                          <w:numPr>
                            <w:ilvl w:val="0"/>
                            <w:numId w:val="34"/>
                          </w:numPr>
                          <w:tabs>
                            <w:tab w:pos="210" w:val="left" w:leader="none"/>
                          </w:tabs>
                          <w:spacing w:line="261" w:lineRule="auto" w:before="72" w:after="0"/>
                          <w:ind w:left="102" w:right="690" w:firstLine="0"/>
                          <w:jc w:val="left"/>
                          <w:rPr>
                            <w:sz w:val="16"/>
                          </w:rPr>
                        </w:pPr>
                        <w:r>
                          <w:rPr>
                            <w:sz w:val="16"/>
                          </w:rPr>
                          <w:t>construcción simbólica del territorio y defensa a lo largo del proceso histórico,</w:t>
                        </w:r>
                      </w:p>
                      <w:p>
                        <w:pPr>
                          <w:pStyle w:val="TableParagraph"/>
                          <w:numPr>
                            <w:ilvl w:val="0"/>
                            <w:numId w:val="34"/>
                          </w:numPr>
                          <w:tabs>
                            <w:tab w:pos="210" w:val="left" w:leader="none"/>
                          </w:tabs>
                          <w:spacing w:line="261" w:lineRule="auto" w:before="56" w:after="0"/>
                          <w:ind w:left="102" w:right="464" w:firstLine="0"/>
                          <w:jc w:val="left"/>
                          <w:rPr>
                            <w:sz w:val="16"/>
                          </w:rPr>
                        </w:pPr>
                        <w:r>
                          <w:rPr>
                            <w:sz w:val="16"/>
                          </w:rPr>
                          <w:t>incidencia del mercado para la fragmentación y apropiación externa del territorio,</w:t>
                        </w:r>
                      </w:p>
                      <w:p>
                        <w:pPr>
                          <w:pStyle w:val="TableParagraph"/>
                          <w:numPr>
                            <w:ilvl w:val="0"/>
                            <w:numId w:val="34"/>
                          </w:numPr>
                          <w:tabs>
                            <w:tab w:pos="210" w:val="left" w:leader="none"/>
                          </w:tabs>
                          <w:spacing w:line="240" w:lineRule="auto" w:before="56" w:after="0"/>
                          <w:ind w:left="209" w:right="0" w:hanging="107"/>
                          <w:jc w:val="left"/>
                          <w:rPr>
                            <w:sz w:val="16"/>
                          </w:rPr>
                        </w:pPr>
                        <w:r>
                          <w:rPr>
                            <w:sz w:val="16"/>
                          </w:rPr>
                          <w:t>uso actual de los recursos con fines</w:t>
                        </w:r>
                        <w:r>
                          <w:rPr>
                            <w:spacing w:val="33"/>
                            <w:sz w:val="16"/>
                          </w:rPr>
                          <w:t> </w:t>
                        </w:r>
                        <w:r>
                          <w:rPr>
                            <w:sz w:val="16"/>
                          </w:rPr>
                          <w:t>recreativos,</w:t>
                        </w:r>
                      </w:p>
                      <w:p>
                        <w:pPr>
                          <w:pStyle w:val="TableParagraph"/>
                          <w:numPr>
                            <w:ilvl w:val="0"/>
                            <w:numId w:val="34"/>
                          </w:numPr>
                          <w:tabs>
                            <w:tab w:pos="210" w:val="left" w:leader="none"/>
                          </w:tabs>
                          <w:spacing w:line="240" w:lineRule="auto" w:before="72" w:after="0"/>
                          <w:ind w:left="209" w:right="0" w:hanging="107"/>
                          <w:jc w:val="left"/>
                          <w:rPr>
                            <w:sz w:val="16"/>
                          </w:rPr>
                        </w:pPr>
                        <w:r>
                          <w:rPr>
                            <w:sz w:val="16"/>
                          </w:rPr>
                          <w:t>impactos de carácter positivo y negativo que genera la actividad turística </w:t>
                        </w:r>
                        <w:r>
                          <w:rPr>
                            <w:spacing w:val="24"/>
                            <w:sz w:val="16"/>
                          </w:rPr>
                          <w:t> </w:t>
                        </w:r>
                        <w:r>
                          <w:rPr>
                            <w:sz w:val="16"/>
                          </w:rPr>
                          <w:t>en</w:t>
                        </w:r>
                      </w:p>
                      <w:p>
                        <w:pPr>
                          <w:pStyle w:val="TableParagraph"/>
                          <w:tabs>
                            <w:tab w:pos="5774" w:val="left" w:leader="none"/>
                          </w:tabs>
                          <w:spacing w:before="16"/>
                          <w:ind w:left="25"/>
                          <w:rPr>
                            <w:sz w:val="16"/>
                          </w:rPr>
                        </w:pPr>
                        <w:r>
                          <w:rPr>
                            <w:w w:val="100"/>
                            <w:sz w:val="16"/>
                            <w:u w:val="dotted" w:color="929292"/>
                          </w:rPr>
                          <w:t> </w:t>
                        </w:r>
                        <w:r>
                          <w:rPr>
                            <w:spacing w:val="-11"/>
                            <w:sz w:val="16"/>
                            <w:u w:val="dotted" w:color="929292"/>
                          </w:rPr>
                          <w:t> </w:t>
                        </w:r>
                        <w:r>
                          <w:rPr>
                            <w:sz w:val="16"/>
                            <w:u w:val="dotted" w:color="929292"/>
                          </w:rPr>
                          <w:t>el medio</w:t>
                        </w:r>
                        <w:r>
                          <w:rPr>
                            <w:spacing w:val="17"/>
                            <w:sz w:val="16"/>
                            <w:u w:val="dotted" w:color="929292"/>
                          </w:rPr>
                          <w:t> </w:t>
                        </w:r>
                        <w:r>
                          <w:rPr>
                            <w:sz w:val="16"/>
                            <w:u w:val="dotted" w:color="929292"/>
                          </w:rPr>
                          <w:t>biofísico.</w:t>
                          <w:tab/>
                        </w:r>
                      </w:p>
                    </w:tc>
                  </w:tr>
                </w:tbl>
                <w:p>
                  <w:pPr>
                    <w:pStyle w:val="BodyText"/>
                  </w:pPr>
                </w:p>
              </w:txbxContent>
            </v:textbox>
            <w10:wrap type="none"/>
          </v:shape>
        </w:pict>
      </w:r>
      <w:r>
        <w:rPr>
          <w:color w:val="6D6E71"/>
          <w:sz w:val="16"/>
        </w:rPr>
        <w:t>Fuente: Pérez-Ramírez, et.al. (2012)</w:t>
      </w:r>
    </w:p>
    <w:p>
      <w:pPr>
        <w:spacing w:after="0"/>
        <w:jc w:val="right"/>
        <w:rPr>
          <w:sz w:val="16"/>
        </w:rPr>
        <w:sectPr>
          <w:type w:val="continuous"/>
          <w:pgSz w:w="18830" w:h="12760" w:orient="landscape"/>
          <w:pgMar w:top="1420" w:bottom="280" w:left="720" w:right="720"/>
        </w:sectPr>
      </w:pPr>
    </w:p>
    <w:p>
      <w:pPr>
        <w:pStyle w:val="BodyText"/>
        <w:spacing w:before="6"/>
        <w:rPr>
          <w:sz w:val="23"/>
        </w:rPr>
      </w:pPr>
    </w:p>
    <w:p>
      <w:pPr>
        <w:spacing w:after="0"/>
        <w:rPr>
          <w:sz w:val="23"/>
        </w:rPr>
        <w:sectPr>
          <w:footerReference w:type="default" r:id="rId298"/>
          <w:pgSz w:w="18830" w:h="12760" w:orient="landscape"/>
          <w:pgMar w:footer="1036" w:header="522" w:top="820" w:bottom="1220" w:left="720" w:right="720"/>
        </w:sectPr>
      </w:pPr>
    </w:p>
    <w:p>
      <w:pPr>
        <w:pStyle w:val="BodyText"/>
        <w:spacing w:line="249" w:lineRule="auto" w:before="76"/>
        <w:ind w:left="131" w:firstLine="170"/>
        <w:jc w:val="both"/>
      </w:pPr>
      <w:r>
        <w:rPr/>
        <w:t>A partir del estos criterios de análisis, será posible el diseño de las etapas de investigación documental y de campo. Respecto a la primera, es necesario el acopio, análisis e interpretación de diversas fuentes de información como libros, revistas especializadas y científicas, bases de datos, documentos oficiales, reportes de investigación u otros con referencia al lugar de estudio. Para lo cual será necesario acudir a dependencias públicas, bibliotecas, centros de información, instituciones educativas u otros.</w:t>
      </w:r>
    </w:p>
    <w:p>
      <w:pPr>
        <w:pStyle w:val="BodyText"/>
        <w:spacing w:before="11"/>
      </w:pPr>
    </w:p>
    <w:p>
      <w:pPr>
        <w:pStyle w:val="BodyText"/>
        <w:spacing w:line="249" w:lineRule="auto"/>
        <w:ind w:left="131" w:firstLine="170"/>
        <w:jc w:val="both"/>
      </w:pPr>
      <w:r>
        <w:rPr/>
        <w:t>La etapa de investigación de campo, se llevará a cabo, mediante el diseño, prueba   y aplicación de diversos instrumentos de investigación, que permitan avanzar en el desarrollo del trabajo de campo, con la finalidad de comprender los impactos socio territoriales que el turismo está generando en Malinalco. De esta forma, se</w:t>
      </w:r>
      <w:r>
        <w:rPr>
          <w:spacing w:val="22"/>
        </w:rPr>
        <w:t> </w:t>
      </w:r>
      <w:r>
        <w:rPr/>
        <w:t>diseñarán:</w:t>
      </w:r>
    </w:p>
    <w:p>
      <w:pPr>
        <w:pStyle w:val="BodyText"/>
        <w:spacing w:before="11"/>
      </w:pPr>
    </w:p>
    <w:p>
      <w:pPr>
        <w:pStyle w:val="BodyText"/>
        <w:ind w:left="301" w:right="3"/>
      </w:pPr>
      <w:r>
        <w:rPr/>
        <w:t>Cédulas de observación de recursos naturales y culturales,</w:t>
      </w:r>
    </w:p>
    <w:p>
      <w:pPr>
        <w:pStyle w:val="BodyText"/>
        <w:tabs>
          <w:tab w:pos="851" w:val="left" w:leader="none"/>
        </w:tabs>
        <w:spacing w:line="242" w:lineRule="exact" w:before="7"/>
        <w:ind w:left="301" w:right="3"/>
      </w:pPr>
      <w:r>
        <w:rPr>
          <w:rFonts w:ascii="Calibri" w:hAnsi="Calibri"/>
        </w:rPr>
        <w:t>»</w:t>
        <w:tab/>
      </w:r>
      <w:r>
        <w:rPr/>
        <w:t>Lista de verificación de impacto ambiental</w:t>
      </w:r>
      <w:r>
        <w:rPr>
          <w:spacing w:val="9"/>
        </w:rPr>
        <w:t> </w:t>
      </w:r>
      <w:r>
        <w:rPr/>
        <w:t>(LVIA),</w:t>
      </w:r>
    </w:p>
    <w:p>
      <w:pPr>
        <w:pStyle w:val="BodyText"/>
        <w:tabs>
          <w:tab w:pos="851" w:val="left" w:leader="none"/>
        </w:tabs>
        <w:spacing w:line="242" w:lineRule="exact"/>
        <w:ind w:left="301" w:right="3"/>
      </w:pPr>
      <w:r>
        <w:rPr>
          <w:rFonts w:ascii="Calibri" w:hAnsi="Calibri"/>
        </w:rPr>
        <w:t>»</w:t>
        <w:tab/>
      </w:r>
      <w:r>
        <w:rPr/>
        <w:t>Matriz cruzada de impacto ambiental</w:t>
      </w:r>
      <w:r>
        <w:rPr>
          <w:spacing w:val="17"/>
        </w:rPr>
        <w:t> </w:t>
      </w:r>
      <w:r>
        <w:rPr/>
        <w:t>(MCIA),</w:t>
      </w:r>
    </w:p>
    <w:p>
      <w:pPr>
        <w:pStyle w:val="BodyText"/>
      </w:pPr>
    </w:p>
    <w:p>
      <w:pPr>
        <w:pStyle w:val="BodyText"/>
        <w:spacing w:before="7"/>
        <w:rPr>
          <w:sz w:val="21"/>
        </w:rPr>
      </w:pPr>
    </w:p>
    <w:p>
      <w:pPr>
        <w:pStyle w:val="BodyText"/>
        <w:ind w:left="301" w:right="3"/>
      </w:pPr>
      <w:r>
        <w:rPr/>
        <w:t>Guión de entrevista dirigida a la población, autoridades   locales y  visitantes.</w:t>
      </w:r>
    </w:p>
    <w:p>
      <w:pPr>
        <w:pStyle w:val="BodyText"/>
        <w:spacing w:before="8"/>
        <w:rPr>
          <w:sz w:val="21"/>
        </w:rPr>
      </w:pPr>
    </w:p>
    <w:p>
      <w:pPr>
        <w:pStyle w:val="BodyText"/>
        <w:spacing w:line="249" w:lineRule="auto"/>
        <w:ind w:left="131" w:firstLine="170"/>
        <w:jc w:val="both"/>
      </w:pPr>
      <w:r>
        <w:rPr/>
        <w:t>Con base en esta propuesta metodológica, será posible identificar si el turismo está contribuyendo a fortalecer o debilitar las condiciones de vida de la población local así como el adecuado aprovechamiento de los recursos naturales y culturales. De esta forma, el trabajo pretende analizar incidencia de la actividad, sobre las condiciones económicas, políticas, socio culturales e incluso biofísicas de la cabecera municipal   de Malinalco, a fin de contribuir a la discusión sobre los impactos territoriales de la expansión urbana en sistemas productivos de la cuenca </w:t>
      </w:r>
      <w:r>
        <w:rPr>
          <w:spacing w:val="4"/>
        </w:rPr>
        <w:t> </w:t>
      </w:r>
      <w:r>
        <w:rPr/>
        <w:t>respectiva.</w:t>
      </w:r>
    </w:p>
    <w:p>
      <w:pPr>
        <w:pStyle w:val="BodyText"/>
        <w:spacing w:before="6"/>
      </w:pPr>
    </w:p>
    <w:p>
      <w:pPr>
        <w:pStyle w:val="Heading1"/>
        <w:spacing w:line="240" w:lineRule="exact"/>
        <w:ind w:left="2753" w:right="3" w:hanging="2549"/>
      </w:pPr>
      <w:r>
        <w:rPr/>
        <w:t>Evaluación de impactos provocados por los residuos sólidos en la Cuenca de Malinalco.</w:t>
      </w:r>
    </w:p>
    <w:p>
      <w:pPr>
        <w:pStyle w:val="BodyText"/>
        <w:spacing w:before="2"/>
        <w:rPr>
          <w:b/>
          <w:sz w:val="21"/>
        </w:rPr>
      </w:pPr>
    </w:p>
    <w:p>
      <w:pPr>
        <w:pStyle w:val="BodyText"/>
        <w:spacing w:line="249" w:lineRule="auto" w:before="1"/>
        <w:ind w:left="131" w:right="1" w:firstLine="170"/>
        <w:jc w:val="both"/>
      </w:pPr>
      <w:r>
        <w:rPr/>
        <w:t>El proceso de urbanización ha provocado un incremento de los residuos sólidos, así como en la variación de su composición; según  el Informe de la SEMANAT</w:t>
      </w:r>
      <w:r>
        <w:rPr>
          <w:spacing w:val="-29"/>
        </w:rPr>
        <w:t> </w:t>
      </w:r>
      <w:r>
        <w:rPr/>
        <w:t>(2012:320-</w:t>
      </w:r>
    </w:p>
    <w:p>
      <w:pPr>
        <w:pStyle w:val="ListParagraph"/>
        <w:numPr>
          <w:ilvl w:val="0"/>
          <w:numId w:val="35"/>
        </w:numPr>
        <w:tabs>
          <w:tab w:pos="575" w:val="left" w:leader="none"/>
        </w:tabs>
        <w:spacing w:line="249" w:lineRule="auto" w:before="1" w:after="0"/>
        <w:ind w:left="131" w:right="0" w:firstLine="0"/>
        <w:jc w:val="both"/>
        <w:rPr>
          <w:sz w:val="20"/>
        </w:rPr>
      </w:pPr>
      <w:r>
        <w:rPr>
          <w:sz w:val="20"/>
        </w:rPr>
        <w:t>entre 2003 y 2011 el volumen de residuos aumentó en 25%, 112.5</w:t>
      </w:r>
      <w:r>
        <w:rPr>
          <w:spacing w:val="13"/>
          <w:sz w:val="20"/>
        </w:rPr>
        <w:t> </w:t>
      </w:r>
      <w:r>
        <w:rPr>
          <w:sz w:val="20"/>
        </w:rPr>
        <w:t>mil</w:t>
      </w:r>
      <w:r>
        <w:rPr>
          <w:spacing w:val="5"/>
          <w:sz w:val="20"/>
        </w:rPr>
        <w:t> </w:t>
      </w:r>
      <w:r>
        <w:rPr>
          <w:sz w:val="20"/>
        </w:rPr>
        <w:t>toneladas</w:t>
      </w:r>
      <w:r>
        <w:rPr>
          <w:w w:val="100"/>
          <w:sz w:val="20"/>
        </w:rPr>
        <w:t> </w:t>
      </w:r>
      <w:r>
        <w:rPr>
          <w:sz w:val="20"/>
        </w:rPr>
        <w:t>de RSU diariamente, y el Estado de México es la entidad federativa que genera la mayor cantidad a nivel nacional,   contribuyendo con un 16% del total. El volumen        y composición de los residuos representa un grave problema por los efectos de contaminación que se provocan en los recursos naturales como el agua, aire, suelo, fauna y</w:t>
      </w:r>
      <w:r>
        <w:rPr>
          <w:spacing w:val="-1"/>
          <w:sz w:val="20"/>
        </w:rPr>
        <w:t> </w:t>
      </w:r>
      <w:r>
        <w:rPr>
          <w:sz w:val="20"/>
        </w:rPr>
        <w:t>flora.</w:t>
      </w:r>
    </w:p>
    <w:p>
      <w:pPr>
        <w:pStyle w:val="BodyText"/>
        <w:spacing w:line="249" w:lineRule="auto" w:before="76"/>
        <w:ind w:left="131" w:right="127" w:firstLine="170"/>
        <w:jc w:val="both"/>
      </w:pPr>
      <w:r>
        <w:rPr/>
        <w:br w:type="column"/>
      </w:r>
      <w:r>
        <w:rPr/>
        <w:t>Las zonas urbanas son las áreas de mayor generación de residuos sólidos debido   al crecimiento de la población, hábitos de consumo, producción de bienes y servicios incontrolada con respecto a la cantidad y tipo de residuos que genera, formas de producción; la problemática se agrava debido al manejo inadecuado de los residuos, pues se experimentan prácticas como el desalojo de los residuos a “cielo abierto”, la quema de basura, el vertido hacia los cuerpos de agua y su consecuente infiltración a los mantos</w:t>
      </w:r>
      <w:r>
        <w:rPr>
          <w:spacing w:val="29"/>
        </w:rPr>
        <w:t> </w:t>
      </w:r>
      <w:r>
        <w:rPr/>
        <w:t>freáticos.</w:t>
      </w:r>
    </w:p>
    <w:p>
      <w:pPr>
        <w:pStyle w:val="BodyText"/>
        <w:spacing w:before="11"/>
      </w:pPr>
    </w:p>
    <w:p>
      <w:pPr>
        <w:pStyle w:val="BodyText"/>
        <w:spacing w:line="249" w:lineRule="auto"/>
        <w:ind w:left="131" w:right="127" w:firstLine="170"/>
        <w:jc w:val="both"/>
      </w:pPr>
      <w:r>
        <w:rPr/>
        <w:t>Existen diferente tipo de residuos sólidos, en este trabajo se estudiarán los Residuos Sólidos Urbanos (RSU), los cuales se definen como aquellos generados en las casas habitación,</w:t>
      </w:r>
      <w:r>
        <w:rPr>
          <w:spacing w:val="-24"/>
        </w:rPr>
        <w:t> </w:t>
      </w:r>
      <w:r>
        <w:rPr/>
        <w:t>que</w:t>
      </w:r>
      <w:r>
        <w:rPr>
          <w:spacing w:val="-24"/>
        </w:rPr>
        <w:t> </w:t>
      </w:r>
      <w:r>
        <w:rPr/>
        <w:t>resultan</w:t>
      </w:r>
      <w:r>
        <w:rPr>
          <w:spacing w:val="-24"/>
        </w:rPr>
        <w:t> </w:t>
      </w:r>
      <w:r>
        <w:rPr/>
        <w:t>de</w:t>
      </w:r>
      <w:r>
        <w:rPr>
          <w:spacing w:val="-24"/>
        </w:rPr>
        <w:t> </w:t>
      </w:r>
      <w:r>
        <w:rPr/>
        <w:t>la</w:t>
      </w:r>
      <w:r>
        <w:rPr>
          <w:spacing w:val="-24"/>
        </w:rPr>
        <w:t> </w:t>
      </w:r>
      <w:r>
        <w:rPr/>
        <w:t>eliminación</w:t>
      </w:r>
      <w:r>
        <w:rPr>
          <w:spacing w:val="-24"/>
        </w:rPr>
        <w:t> </w:t>
      </w:r>
      <w:r>
        <w:rPr/>
        <w:t>de</w:t>
      </w:r>
      <w:r>
        <w:rPr>
          <w:spacing w:val="-24"/>
        </w:rPr>
        <w:t> </w:t>
      </w:r>
      <w:r>
        <w:rPr/>
        <w:t>los</w:t>
      </w:r>
      <w:r>
        <w:rPr>
          <w:spacing w:val="-24"/>
        </w:rPr>
        <w:t> </w:t>
      </w:r>
      <w:r>
        <w:rPr/>
        <w:t>materiales</w:t>
      </w:r>
      <w:r>
        <w:rPr>
          <w:spacing w:val="-24"/>
        </w:rPr>
        <w:t> </w:t>
      </w:r>
      <w:r>
        <w:rPr/>
        <w:t>que</w:t>
      </w:r>
      <w:r>
        <w:rPr>
          <w:spacing w:val="-24"/>
        </w:rPr>
        <w:t> </w:t>
      </w:r>
      <w:r>
        <w:rPr/>
        <w:t>utilizan</w:t>
      </w:r>
      <w:r>
        <w:rPr>
          <w:spacing w:val="-24"/>
        </w:rPr>
        <w:t> </w:t>
      </w:r>
      <w:r>
        <w:rPr/>
        <w:t>en</w:t>
      </w:r>
      <w:r>
        <w:rPr>
          <w:spacing w:val="-24"/>
        </w:rPr>
        <w:t> </w:t>
      </w:r>
      <w:r>
        <w:rPr/>
        <w:t>sus</w:t>
      </w:r>
      <w:r>
        <w:rPr>
          <w:spacing w:val="-24"/>
        </w:rPr>
        <w:t> </w:t>
      </w:r>
      <w:r>
        <w:rPr/>
        <w:t>actividades domésticas,</w:t>
      </w:r>
      <w:r>
        <w:rPr>
          <w:spacing w:val="-8"/>
        </w:rPr>
        <w:t> </w:t>
      </w:r>
      <w:r>
        <w:rPr/>
        <w:t>de</w:t>
      </w:r>
      <w:r>
        <w:rPr>
          <w:spacing w:val="-8"/>
        </w:rPr>
        <w:t> </w:t>
      </w:r>
      <w:r>
        <w:rPr/>
        <w:t>los</w:t>
      </w:r>
      <w:r>
        <w:rPr>
          <w:spacing w:val="-8"/>
        </w:rPr>
        <w:t> </w:t>
      </w:r>
      <w:r>
        <w:rPr/>
        <w:t>productos</w:t>
      </w:r>
      <w:r>
        <w:rPr>
          <w:spacing w:val="-8"/>
        </w:rPr>
        <w:t> </w:t>
      </w:r>
      <w:r>
        <w:rPr/>
        <w:t>que</w:t>
      </w:r>
      <w:r>
        <w:rPr>
          <w:spacing w:val="-8"/>
        </w:rPr>
        <w:t> </w:t>
      </w:r>
      <w:r>
        <w:rPr/>
        <w:t>consumen</w:t>
      </w:r>
      <w:r>
        <w:rPr>
          <w:spacing w:val="-8"/>
        </w:rPr>
        <w:t> </w:t>
      </w:r>
      <w:r>
        <w:rPr/>
        <w:t>y</w:t>
      </w:r>
      <w:r>
        <w:rPr>
          <w:spacing w:val="-8"/>
        </w:rPr>
        <w:t> </w:t>
      </w:r>
      <w:r>
        <w:rPr/>
        <w:t>de</w:t>
      </w:r>
      <w:r>
        <w:rPr>
          <w:spacing w:val="-8"/>
        </w:rPr>
        <w:t> </w:t>
      </w:r>
      <w:r>
        <w:rPr/>
        <w:t>sus</w:t>
      </w:r>
      <w:r>
        <w:rPr>
          <w:spacing w:val="-8"/>
        </w:rPr>
        <w:t> </w:t>
      </w:r>
      <w:r>
        <w:rPr/>
        <w:t>envases,</w:t>
      </w:r>
      <w:r>
        <w:rPr>
          <w:spacing w:val="-8"/>
        </w:rPr>
        <w:t> </w:t>
      </w:r>
      <w:r>
        <w:rPr/>
        <w:t>embalajes</w:t>
      </w:r>
      <w:r>
        <w:rPr>
          <w:spacing w:val="-8"/>
        </w:rPr>
        <w:t> </w:t>
      </w:r>
      <w:r>
        <w:rPr/>
        <w:t>o</w:t>
      </w:r>
      <w:r>
        <w:rPr>
          <w:spacing w:val="-8"/>
        </w:rPr>
        <w:t> </w:t>
      </w:r>
      <w:r>
        <w:rPr/>
        <w:t>empaques; los residuos que provienen de cualquier otra actividad dentro de establecimientos o en la</w:t>
      </w:r>
      <w:r>
        <w:rPr>
          <w:spacing w:val="-6"/>
        </w:rPr>
        <w:t> </w:t>
      </w:r>
      <w:r>
        <w:rPr/>
        <w:t>vía</w:t>
      </w:r>
      <w:r>
        <w:rPr>
          <w:spacing w:val="-6"/>
        </w:rPr>
        <w:t> </w:t>
      </w:r>
      <w:r>
        <w:rPr/>
        <w:t>pública</w:t>
      </w:r>
      <w:r>
        <w:rPr>
          <w:spacing w:val="-6"/>
        </w:rPr>
        <w:t> </w:t>
      </w:r>
      <w:r>
        <w:rPr/>
        <w:t>que</w:t>
      </w:r>
      <w:r>
        <w:rPr>
          <w:spacing w:val="-6"/>
        </w:rPr>
        <w:t> </w:t>
      </w:r>
      <w:r>
        <w:rPr/>
        <w:t>genere</w:t>
      </w:r>
      <w:r>
        <w:rPr>
          <w:spacing w:val="-6"/>
        </w:rPr>
        <w:t> </w:t>
      </w:r>
      <w:r>
        <w:rPr/>
        <w:t>residuos</w:t>
      </w:r>
      <w:r>
        <w:rPr>
          <w:spacing w:val="-6"/>
        </w:rPr>
        <w:t> </w:t>
      </w:r>
      <w:r>
        <w:rPr/>
        <w:t>con</w:t>
      </w:r>
      <w:r>
        <w:rPr>
          <w:spacing w:val="-6"/>
        </w:rPr>
        <w:t> </w:t>
      </w:r>
      <w:r>
        <w:rPr/>
        <w:t>características</w:t>
      </w:r>
      <w:r>
        <w:rPr>
          <w:spacing w:val="-6"/>
        </w:rPr>
        <w:t> </w:t>
      </w:r>
      <w:r>
        <w:rPr/>
        <w:t>domiciliarias,</w:t>
      </w:r>
      <w:r>
        <w:rPr>
          <w:spacing w:val="-6"/>
        </w:rPr>
        <w:t> </w:t>
      </w:r>
      <w:r>
        <w:rPr/>
        <w:t>y</w:t>
      </w:r>
      <w:r>
        <w:rPr>
          <w:spacing w:val="-6"/>
        </w:rPr>
        <w:t> </w:t>
      </w:r>
      <w:r>
        <w:rPr/>
        <w:t>los</w:t>
      </w:r>
      <w:r>
        <w:rPr>
          <w:spacing w:val="-6"/>
        </w:rPr>
        <w:t> </w:t>
      </w:r>
      <w:r>
        <w:rPr/>
        <w:t>resultantes</w:t>
      </w:r>
      <w:r>
        <w:rPr>
          <w:spacing w:val="-6"/>
        </w:rPr>
        <w:t> </w:t>
      </w:r>
      <w:r>
        <w:rPr/>
        <w:t>de la</w:t>
      </w:r>
      <w:r>
        <w:rPr>
          <w:spacing w:val="-5"/>
        </w:rPr>
        <w:t> </w:t>
      </w:r>
      <w:r>
        <w:rPr/>
        <w:t>limpieza</w:t>
      </w:r>
      <w:r>
        <w:rPr>
          <w:spacing w:val="-5"/>
        </w:rPr>
        <w:t> </w:t>
      </w:r>
      <w:r>
        <w:rPr/>
        <w:t>de</w:t>
      </w:r>
      <w:r>
        <w:rPr>
          <w:spacing w:val="-5"/>
        </w:rPr>
        <w:t> </w:t>
      </w:r>
      <w:r>
        <w:rPr/>
        <w:t>las</w:t>
      </w:r>
      <w:r>
        <w:rPr>
          <w:spacing w:val="-5"/>
        </w:rPr>
        <w:t> </w:t>
      </w:r>
      <w:r>
        <w:rPr/>
        <w:t>vías</w:t>
      </w:r>
      <w:r>
        <w:rPr>
          <w:spacing w:val="-5"/>
        </w:rPr>
        <w:t> </w:t>
      </w:r>
      <w:r>
        <w:rPr/>
        <w:t>y</w:t>
      </w:r>
      <w:r>
        <w:rPr>
          <w:spacing w:val="-5"/>
        </w:rPr>
        <w:t> </w:t>
      </w:r>
      <w:r>
        <w:rPr/>
        <w:t>lugares</w:t>
      </w:r>
      <w:r>
        <w:rPr>
          <w:spacing w:val="-5"/>
        </w:rPr>
        <w:t> </w:t>
      </w:r>
      <w:r>
        <w:rPr/>
        <w:t>públicos,</w:t>
      </w:r>
      <w:r>
        <w:rPr>
          <w:spacing w:val="-5"/>
        </w:rPr>
        <w:t> </w:t>
      </w:r>
      <w:r>
        <w:rPr/>
        <w:t>siempre</w:t>
      </w:r>
      <w:r>
        <w:rPr>
          <w:spacing w:val="-5"/>
        </w:rPr>
        <w:t> </w:t>
      </w:r>
      <w:r>
        <w:rPr/>
        <w:t>que</w:t>
      </w:r>
      <w:r>
        <w:rPr>
          <w:spacing w:val="-5"/>
        </w:rPr>
        <w:t> </w:t>
      </w:r>
      <w:r>
        <w:rPr/>
        <w:t>no</w:t>
      </w:r>
      <w:r>
        <w:rPr>
          <w:spacing w:val="-5"/>
        </w:rPr>
        <w:t> </w:t>
      </w:r>
      <w:r>
        <w:rPr/>
        <w:t>sean</w:t>
      </w:r>
      <w:r>
        <w:rPr>
          <w:spacing w:val="-5"/>
        </w:rPr>
        <w:t> </w:t>
      </w:r>
      <w:r>
        <w:rPr/>
        <w:t>considerados</w:t>
      </w:r>
      <w:r>
        <w:rPr>
          <w:spacing w:val="-5"/>
        </w:rPr>
        <w:t> </w:t>
      </w:r>
      <w:r>
        <w:rPr/>
        <w:t>por</w:t>
      </w:r>
      <w:r>
        <w:rPr>
          <w:spacing w:val="-5"/>
        </w:rPr>
        <w:t> </w:t>
      </w:r>
      <w:r>
        <w:rPr/>
        <w:t>la</w:t>
      </w:r>
      <w:r>
        <w:rPr>
          <w:spacing w:val="-5"/>
        </w:rPr>
        <w:t> </w:t>
      </w:r>
      <w:r>
        <w:rPr/>
        <w:t>Ley en la materia, como residuos de otra índole (SEMARNAT,</w:t>
      </w:r>
      <w:r>
        <w:rPr>
          <w:spacing w:val="-36"/>
        </w:rPr>
        <w:t> </w:t>
      </w:r>
      <w:r>
        <w:rPr/>
        <w:t>2012).</w:t>
      </w:r>
    </w:p>
    <w:p>
      <w:pPr>
        <w:pStyle w:val="BodyText"/>
        <w:spacing w:before="11"/>
      </w:pPr>
    </w:p>
    <w:p>
      <w:pPr>
        <w:pStyle w:val="BodyText"/>
        <w:spacing w:line="249" w:lineRule="auto"/>
        <w:ind w:left="131" w:right="127" w:firstLine="170"/>
        <w:jc w:val="both"/>
      </w:pPr>
      <w:r>
        <w:rPr/>
        <w:t>Con la finalidad de estudiar el impacto que ha traído la urbanización en la</w:t>
      </w:r>
      <w:r>
        <w:rPr>
          <w:spacing w:val="-28"/>
        </w:rPr>
        <w:t> </w:t>
      </w:r>
      <w:r>
        <w:rPr/>
        <w:t>generación y disposición de RSU, se plantea una metodología la cual se basa en ciertos principios que surgen del enfoque teórico del Desarrollo Local Sustentable (DLS), este se define como el proceso endógeno de transformación de las localidades, en relación con     una estrategia de desarrollo local de políticas planteadas para conseguir una efectiva participación de su población en la solución de conflictos y aprovechamiento de oportunidades, para abordar de forma equilibrada e integrada, los aspectos sociales, económicos y ambientales en un contexto donde se realizan las actividades cotidianas (Boffil, 2009). En este enfoque teórico destacan los principios de multidisciplinariedad, participación de los agentes locales, uso de recursos locales, tradiciones y costumbre, organización de la producción, es decir, considerar lo que posee la comunidad para potencializarlos en beneficio de su desarrollo</w:t>
      </w:r>
      <w:r>
        <w:rPr>
          <w:spacing w:val="45"/>
        </w:rPr>
        <w:t> </w:t>
      </w:r>
      <w:r>
        <w:rPr/>
        <w:t>territorial.</w:t>
      </w:r>
    </w:p>
    <w:p>
      <w:pPr>
        <w:pStyle w:val="BodyText"/>
        <w:spacing w:before="11"/>
      </w:pPr>
    </w:p>
    <w:p>
      <w:pPr>
        <w:pStyle w:val="BodyText"/>
        <w:spacing w:line="249" w:lineRule="auto"/>
        <w:ind w:left="131" w:right="127" w:firstLine="170"/>
        <w:jc w:val="both"/>
      </w:pPr>
      <w:r>
        <w:rPr/>
        <w:t>En</w:t>
      </w:r>
      <w:r>
        <w:rPr>
          <w:spacing w:val="-8"/>
        </w:rPr>
        <w:t> </w:t>
      </w:r>
      <w:r>
        <w:rPr/>
        <w:t>este</w:t>
      </w:r>
      <w:r>
        <w:rPr>
          <w:spacing w:val="-8"/>
        </w:rPr>
        <w:t> </w:t>
      </w:r>
      <w:r>
        <w:rPr/>
        <w:t>enfoque</w:t>
      </w:r>
      <w:r>
        <w:rPr>
          <w:spacing w:val="-8"/>
        </w:rPr>
        <w:t> </w:t>
      </w:r>
      <w:r>
        <w:rPr/>
        <w:t>se</w:t>
      </w:r>
      <w:r>
        <w:rPr>
          <w:spacing w:val="42"/>
        </w:rPr>
        <w:t> </w:t>
      </w:r>
      <w:r>
        <w:rPr/>
        <w:t>destacan</w:t>
      </w:r>
      <w:r>
        <w:rPr>
          <w:spacing w:val="-8"/>
        </w:rPr>
        <w:t> </w:t>
      </w:r>
      <w:r>
        <w:rPr/>
        <w:t>dos</w:t>
      </w:r>
      <w:r>
        <w:rPr>
          <w:spacing w:val="-8"/>
        </w:rPr>
        <w:t> </w:t>
      </w:r>
      <w:r>
        <w:rPr/>
        <w:t>principios,</w:t>
      </w:r>
      <w:r>
        <w:rPr>
          <w:spacing w:val="-8"/>
        </w:rPr>
        <w:t> </w:t>
      </w:r>
      <w:r>
        <w:rPr/>
        <w:t>uno</w:t>
      </w:r>
      <w:r>
        <w:rPr>
          <w:spacing w:val="-8"/>
        </w:rPr>
        <w:t> </w:t>
      </w:r>
      <w:r>
        <w:rPr/>
        <w:t>es</w:t>
      </w:r>
      <w:r>
        <w:rPr>
          <w:spacing w:val="-8"/>
        </w:rPr>
        <w:t> </w:t>
      </w:r>
      <w:r>
        <w:rPr/>
        <w:t>la</w:t>
      </w:r>
      <w:r>
        <w:rPr>
          <w:spacing w:val="-8"/>
        </w:rPr>
        <w:t> </w:t>
      </w:r>
      <w:r>
        <w:rPr/>
        <w:t>visión</w:t>
      </w:r>
      <w:r>
        <w:rPr>
          <w:spacing w:val="-8"/>
        </w:rPr>
        <w:t> </w:t>
      </w:r>
      <w:r>
        <w:rPr/>
        <w:t>multidisciplinaria;</w:t>
      </w:r>
      <w:r>
        <w:rPr>
          <w:spacing w:val="-8"/>
        </w:rPr>
        <w:t> </w:t>
      </w:r>
      <w:r>
        <w:rPr/>
        <w:t>lo</w:t>
      </w:r>
      <w:r>
        <w:rPr>
          <w:spacing w:val="-8"/>
        </w:rPr>
        <w:t> </w:t>
      </w:r>
      <w:r>
        <w:rPr/>
        <w:t>cual implica</w:t>
      </w:r>
      <w:r>
        <w:rPr>
          <w:spacing w:val="-4"/>
        </w:rPr>
        <w:t> </w:t>
      </w:r>
      <w:r>
        <w:rPr/>
        <w:t>abordar</w:t>
      </w:r>
      <w:r>
        <w:rPr>
          <w:spacing w:val="-4"/>
        </w:rPr>
        <w:t> </w:t>
      </w:r>
      <w:r>
        <w:rPr/>
        <w:t>un</w:t>
      </w:r>
      <w:r>
        <w:rPr>
          <w:spacing w:val="-4"/>
        </w:rPr>
        <w:t> </w:t>
      </w:r>
      <w:r>
        <w:rPr/>
        <w:t>estudio</w:t>
      </w:r>
      <w:r>
        <w:rPr>
          <w:spacing w:val="-4"/>
        </w:rPr>
        <w:t> </w:t>
      </w:r>
      <w:r>
        <w:rPr/>
        <w:t>como</w:t>
      </w:r>
      <w:r>
        <w:rPr>
          <w:spacing w:val="-4"/>
        </w:rPr>
        <w:t> </w:t>
      </w:r>
      <w:r>
        <w:rPr/>
        <w:t>un</w:t>
      </w:r>
      <w:r>
        <w:rPr>
          <w:spacing w:val="-4"/>
        </w:rPr>
        <w:t> </w:t>
      </w:r>
      <w:r>
        <w:rPr/>
        <w:t>sistema</w:t>
      </w:r>
      <w:r>
        <w:rPr>
          <w:spacing w:val="-4"/>
        </w:rPr>
        <w:t> </w:t>
      </w:r>
      <w:r>
        <w:rPr/>
        <w:t>que</w:t>
      </w:r>
      <w:r>
        <w:rPr>
          <w:spacing w:val="-4"/>
        </w:rPr>
        <w:t> </w:t>
      </w:r>
      <w:r>
        <w:rPr/>
        <w:t>se</w:t>
      </w:r>
      <w:r>
        <w:rPr>
          <w:spacing w:val="-4"/>
        </w:rPr>
        <w:t> </w:t>
      </w:r>
      <w:r>
        <w:rPr/>
        <w:t>compone</w:t>
      </w:r>
      <w:r>
        <w:rPr>
          <w:spacing w:val="-4"/>
        </w:rPr>
        <w:t> </w:t>
      </w:r>
      <w:r>
        <w:rPr/>
        <w:t>de</w:t>
      </w:r>
      <w:r>
        <w:rPr>
          <w:spacing w:val="-4"/>
        </w:rPr>
        <w:t> </w:t>
      </w:r>
      <w:r>
        <w:rPr/>
        <w:t>diversos</w:t>
      </w:r>
      <w:r>
        <w:rPr>
          <w:spacing w:val="-4"/>
        </w:rPr>
        <w:t> </w:t>
      </w:r>
      <w:r>
        <w:rPr/>
        <w:t>subsistemas; se trata de comprender todos los elementos que forman un tema a estudiar, desde   las diferentes disciplinas para obtener un conocimiento más completo con relación a estudiarlo solo desde un punto de vista unidisciplinario. Esta visión es una herramienta esencial cuando se  trata de  examinar el impacto territorial, asimismo,  el caso de    los RSU implica comprender sus efectos o externalidades, los cuales rebasan a lo disciplinario</w:t>
      </w:r>
      <w:r>
        <w:rPr>
          <w:spacing w:val="-4"/>
        </w:rPr>
        <w:t> </w:t>
      </w:r>
      <w:r>
        <w:rPr/>
        <w:t>y</w:t>
      </w:r>
      <w:r>
        <w:rPr>
          <w:spacing w:val="-4"/>
        </w:rPr>
        <w:t> </w:t>
      </w:r>
      <w:r>
        <w:rPr/>
        <w:t>conlleva</w:t>
      </w:r>
      <w:r>
        <w:rPr>
          <w:spacing w:val="-4"/>
        </w:rPr>
        <w:t> </w:t>
      </w:r>
      <w:r>
        <w:rPr/>
        <w:t>la</w:t>
      </w:r>
      <w:r>
        <w:rPr>
          <w:spacing w:val="-4"/>
        </w:rPr>
        <w:t> </w:t>
      </w:r>
      <w:r>
        <w:rPr/>
        <w:t>necesidad</w:t>
      </w:r>
      <w:r>
        <w:rPr>
          <w:spacing w:val="-4"/>
        </w:rPr>
        <w:t> </w:t>
      </w:r>
      <w:r>
        <w:rPr/>
        <w:t>de</w:t>
      </w:r>
      <w:r>
        <w:rPr>
          <w:spacing w:val="-4"/>
        </w:rPr>
        <w:t> </w:t>
      </w:r>
      <w:r>
        <w:rPr/>
        <w:t>una</w:t>
      </w:r>
      <w:r>
        <w:rPr>
          <w:spacing w:val="-4"/>
        </w:rPr>
        <w:t> </w:t>
      </w:r>
      <w:r>
        <w:rPr/>
        <w:t>visión</w:t>
      </w:r>
      <w:r>
        <w:rPr>
          <w:spacing w:val="-4"/>
        </w:rPr>
        <w:t> </w:t>
      </w:r>
      <w:r>
        <w:rPr/>
        <w:t>holística,</w:t>
      </w:r>
      <w:r>
        <w:rPr>
          <w:spacing w:val="-4"/>
        </w:rPr>
        <w:t> </w:t>
      </w:r>
      <w:r>
        <w:rPr/>
        <w:t>de</w:t>
      </w:r>
      <w:r>
        <w:rPr>
          <w:spacing w:val="-4"/>
        </w:rPr>
        <w:t> </w:t>
      </w:r>
      <w:r>
        <w:rPr/>
        <w:t>esa</w:t>
      </w:r>
      <w:r>
        <w:rPr>
          <w:spacing w:val="-4"/>
        </w:rPr>
        <w:t> </w:t>
      </w:r>
      <w:r>
        <w:rPr/>
        <w:t>manera</w:t>
      </w:r>
      <w:r>
        <w:rPr>
          <w:spacing w:val="-4"/>
        </w:rPr>
        <w:t> </w:t>
      </w:r>
      <w:r>
        <w:rPr/>
        <w:t>se</w:t>
      </w:r>
      <w:r>
        <w:rPr>
          <w:spacing w:val="-4"/>
        </w:rPr>
        <w:t> </w:t>
      </w:r>
      <w:r>
        <w:rPr/>
        <w:t>obtendrá un mejor acercamiento a la realidad y una explicación más completa del caso de estudio (Pensado,</w:t>
      </w:r>
      <w:r>
        <w:rPr>
          <w:spacing w:val="-16"/>
        </w:rPr>
        <w:t> </w:t>
      </w:r>
      <w:r>
        <w:rPr/>
        <w:t>2011:7).</w:t>
      </w:r>
    </w:p>
    <w:p>
      <w:pPr>
        <w:spacing w:after="0" w:line="249" w:lineRule="auto"/>
        <w:jc w:val="both"/>
        <w:sectPr>
          <w:type w:val="continuous"/>
          <w:pgSz w:w="18830" w:h="12760" w:orient="landscape"/>
          <w:pgMar w:top="1420" w:bottom="280" w:left="720" w:right="720"/>
          <w:cols w:num="2" w:equalWidth="0">
            <w:col w:w="7843" w:space="1568"/>
            <w:col w:w="7979"/>
          </w:cols>
        </w:sectPr>
      </w:pPr>
    </w:p>
    <w:p>
      <w:pPr>
        <w:pStyle w:val="BodyText"/>
        <w:spacing w:before="6"/>
        <w:rPr>
          <w:sz w:val="23"/>
        </w:rPr>
      </w:pPr>
    </w:p>
    <w:p>
      <w:pPr>
        <w:pStyle w:val="BodyText"/>
        <w:spacing w:line="249" w:lineRule="auto" w:before="76"/>
        <w:ind w:left="131" w:right="9538" w:firstLine="170"/>
        <w:jc w:val="right"/>
      </w:pPr>
      <w:r>
        <w:rPr/>
        <w:pict>
          <v:group style="position:absolute;margin-left:513pt;margin-top:1.1795pt;width:385.05pt;height:213.15pt;mso-position-horizontal-relative:page;mso-position-vertical-relative:paragraph;z-index:12304" coordorigin="10260,24" coordsize="7701,4263">
            <v:line style="position:absolute" from="10295,29" to="11692,29" stroked="true" strokeweight=".5pt" strokecolor="#929292">
              <v:stroke dashstyle="dash"/>
            </v:line>
            <v:shape style="position:absolute;left:0;top:11646;width:1442;height:2" coordorigin="0,11646" coordsize="1442,0" path="m10265,29l10265,29m11707,29l11707,29e" filled="false" stroked="true" strokeweight=".5pt" strokecolor="#929292">
              <v:path arrowok="t"/>
            </v:shape>
            <v:line style="position:absolute" from="11707,1539" to="11707,44" stroked="true" strokeweight=".5pt" strokecolor="#929292">
              <v:stroke dashstyle="dash"/>
            </v:line>
            <v:shape style="position:absolute;left:0;top:10105;width:2;height:1541" coordorigin="0,10105" coordsize="0,1541" path="m11707,1570l11707,1570m11707,29l11707,29e" filled="false" stroked="true" strokeweight=".5pt" strokecolor="#929292">
              <v:path arrowok="t"/>
            </v:shape>
            <v:line style="position:absolute" from="11737,29" to="13978,29" stroked="true" strokeweight=".5pt" strokecolor="#929292">
              <v:stroke dashstyle="dash"/>
            </v:line>
            <v:shape style="position:absolute;left:0;top:11646;width:2286;height:2" coordorigin="0,11646" coordsize="2286,0" path="m11707,29l11707,29m13993,29l13993,29e" filled="false" stroked="true" strokeweight=".5pt" strokecolor="#929292">
              <v:path arrowok="t"/>
            </v:shape>
            <v:line style="position:absolute" from="13993,1539" to="13993,44" stroked="true" strokeweight=".5pt" strokecolor="#929292">
              <v:stroke dashstyle="dash"/>
            </v:line>
            <v:shape style="position:absolute;left:0;top:10105;width:2;height:1541" coordorigin="0,10105" coordsize="0,1541" path="m13993,1570l13993,1570m13993,29l13993,29e" filled="false" stroked="true" strokeweight=".5pt" strokecolor="#929292">
              <v:path arrowok="t"/>
            </v:shape>
            <v:line style="position:absolute" from="14023,29" to="17940,29" stroked="true" strokeweight=".5pt" strokecolor="#929292">
              <v:stroke dashstyle="dash"/>
            </v:line>
            <v:shape style="position:absolute;left:0;top:11646;width:3963;height:2" coordorigin="0,11646" coordsize="3963,0" path="m13993,29l13993,29m17955,29l17955,29e" filled="false" stroked="true" strokeweight=".5pt" strokecolor="#929292">
              <v:path arrowok="t"/>
            </v:shape>
            <v:shape style="position:absolute;left:0;top:11646;width:1442;height:2" coordorigin="0,11646" coordsize="1442,0" path="m10265,1570l10265,1570m11707,1570l11707,1570e" filled="false" stroked="true" strokeweight=".5pt" strokecolor="#929292">
              <v:path arrowok="t"/>
            </v:shape>
            <v:line style="position:absolute" from="11707,3024" to="11707,1585" stroked="true" strokeweight=".5pt" strokecolor="#929292">
              <v:stroke dashstyle="dash"/>
            </v:line>
            <v:shape style="position:absolute;left:0;top:10161;width:2;height:1485" coordorigin="0,10161" coordsize="0,1485" path="m11707,3054l11707,3054m11707,1570l11707,1570e" filled="false" stroked="true" strokeweight=".5pt" strokecolor="#929292">
              <v:path arrowok="t"/>
            </v:shape>
            <v:shape style="position:absolute;left:0;top:11646;width:2286;height:2" coordorigin="0,11646" coordsize="2286,0" path="m11707,1570l11707,1570m13993,1570l13993,1570e" filled="false" stroked="true" strokeweight=".5pt" strokecolor="#929292">
              <v:path arrowok="t"/>
            </v:shape>
            <v:line style="position:absolute" from="13993,3024" to="13993,1585" stroked="true" strokeweight=".5pt" strokecolor="#929292">
              <v:stroke dashstyle="dash"/>
            </v:line>
            <v:shape style="position:absolute;left:0;top:10161;width:2;height:1485" coordorigin="0,10161" coordsize="0,1485" path="m13993,3054l13993,3054m13993,1570l13993,1570e" filled="false" stroked="true" strokeweight=".5pt" strokecolor="#929292">
              <v:path arrowok="t"/>
            </v:shape>
            <v:shape style="position:absolute;left:0;top:11646;width:3963;height:2" coordorigin="0,11646" coordsize="3963,0" path="m13993,1570l13993,1570m17955,1570l17955,1570e" filled="false" stroked="true" strokeweight=".5pt" strokecolor="#929292">
              <v:path arrowok="t"/>
            </v:shape>
            <v:shape style="position:absolute;left:0;top:11646;width:1442;height:2" coordorigin="0,11646" coordsize="1442,0" path="m10265,3054l10265,3054m11707,3054l11707,3054e" filled="false" stroked="true" strokeweight=".5pt" strokecolor="#929292">
              <v:path arrowok="t"/>
            </v:shape>
            <v:line style="position:absolute" from="11707,4282" to="11707,4282" stroked="true" strokeweight=".5pt" strokecolor="#929292"/>
            <v:line style="position:absolute" from="11707,4252" to="11707,3069" stroked="true" strokeweight=".5pt" strokecolor="#929292">
              <v:stroke dashstyle="dash"/>
            </v:line>
            <v:shape style="position:absolute;left:0;top:10418;width:2;height:1228" coordorigin="0,10418" coordsize="0,1228" path="m11707,4282l11707,4282m11707,3054l11707,3054e" filled="false" stroked="true" strokeweight=".5pt" strokecolor="#929292">
              <v:path arrowok="t"/>
            </v:shape>
            <v:shape style="position:absolute;left:0;top:11646;width:2286;height:2" coordorigin="0,11646" coordsize="2286,0" path="m11707,3054l11707,3054m13993,3054l13993,3054e" filled="false" stroked="true" strokeweight=".5pt" strokecolor="#929292">
              <v:path arrowok="t"/>
            </v:shape>
            <v:shape style="position:absolute;left:0;top:11646;width:2286;height:2" coordorigin="0,11646" coordsize="2286,0" path="m11707,4282l11707,4282m13993,4282l13993,4282e" filled="false" stroked="true" strokeweight=".5pt" strokecolor="#929292">
              <v:path arrowok="t"/>
            </v:shape>
            <v:line style="position:absolute" from="13993,4252" to="13993,3069" stroked="true" strokeweight=".5pt" strokecolor="#929292">
              <v:stroke dashstyle="dash"/>
            </v:line>
            <v:shape style="position:absolute;left:0;top:10418;width:2;height:1228" coordorigin="0,10418" coordsize="0,1228" path="m13993,4282l13993,4282m13993,3054l13993,3054e" filled="false" stroked="true" strokeweight=".5pt" strokecolor="#929292">
              <v:path arrowok="t"/>
            </v:shape>
            <v:shape style="position:absolute;left:0;top:11646;width:3963;height:2" coordorigin="0,11646" coordsize="3963,0" path="m13993,3054l13993,3054m17955,3054l17955,3054e" filled="false" stroked="true" strokeweight=".5pt" strokecolor="#929292">
              <v:path arrowok="t"/>
            </v:shape>
            <v:shape style="position:absolute;left:0;top:11646;width:3963;height:2" coordorigin="0,11646" coordsize="3963,0" path="m13993,4282l13993,4282m17955,4282l17955,4282e" filled="false" stroked="true" strokeweight=".5pt" strokecolor="#929292">
              <v:path arrowok="t"/>
            </v:shape>
            <v:shape style="position:absolute;left:10368;top:726;width:807;height:160" type="#_x0000_t202" filled="false" stroked="false">
              <v:textbox inset="0,0,0,0">
                <w:txbxContent>
                  <w:p>
                    <w:pPr>
                      <w:spacing w:line="160" w:lineRule="exact" w:before="0"/>
                      <w:ind w:left="0" w:right="-5" w:firstLine="0"/>
                      <w:jc w:val="left"/>
                      <w:rPr>
                        <w:sz w:val="16"/>
                      </w:rPr>
                    </w:pPr>
                    <w:r>
                      <w:rPr>
                        <w:sz w:val="16"/>
                      </w:rPr>
                      <w:t>Económico</w:t>
                    </w:r>
                  </w:p>
                </w:txbxContent>
              </v:textbox>
              <w10:wrap type="none"/>
            </v:shape>
            <v:shape style="position:absolute;left:11815;top:41;width:2060;height:1330" type="#_x0000_t202" filled="false" stroked="false">
              <v:textbox inset="0,0,0,0">
                <w:txbxContent>
                  <w:p>
                    <w:pPr>
                      <w:spacing w:line="165" w:lineRule="exact" w:before="0"/>
                      <w:ind w:left="0" w:right="-6" w:firstLine="0"/>
                      <w:jc w:val="left"/>
                      <w:rPr>
                        <w:sz w:val="16"/>
                      </w:rPr>
                    </w:pPr>
                    <w:r>
                      <w:rPr>
                        <w:sz w:val="16"/>
                      </w:rPr>
                      <w:t>- Volumen de RSU que se</w:t>
                    </w:r>
                  </w:p>
                  <w:p>
                    <w:pPr>
                      <w:spacing w:before="16"/>
                      <w:ind w:left="0" w:right="-6" w:firstLine="0"/>
                      <w:jc w:val="left"/>
                      <w:rPr>
                        <w:sz w:val="16"/>
                      </w:rPr>
                    </w:pPr>
                    <w:r>
                      <w:rPr>
                        <w:sz w:val="16"/>
                      </w:rPr>
                      <w:t>generan</w:t>
                    </w:r>
                  </w:p>
                  <w:p>
                    <w:pPr>
                      <w:spacing w:before="72"/>
                      <w:ind w:left="0" w:right="-6" w:firstLine="0"/>
                      <w:jc w:val="left"/>
                      <w:rPr>
                        <w:sz w:val="16"/>
                      </w:rPr>
                    </w:pPr>
                    <w:r>
                      <w:rPr>
                        <w:sz w:val="16"/>
                      </w:rPr>
                      <w:t>-Composición de RSU</w:t>
                    </w:r>
                  </w:p>
                  <w:p>
                    <w:pPr>
                      <w:spacing w:line="261" w:lineRule="auto" w:before="72"/>
                      <w:ind w:left="0" w:right="-6" w:firstLine="0"/>
                      <w:jc w:val="left"/>
                      <w:rPr>
                        <w:sz w:val="16"/>
                      </w:rPr>
                    </w:pPr>
                    <w:r>
                      <w:rPr>
                        <w:sz w:val="16"/>
                      </w:rPr>
                      <w:t>-Actividades económicas y sus tipos de desechos</w:t>
                    </w:r>
                  </w:p>
                  <w:p>
                    <w:pPr>
                      <w:spacing w:line="179" w:lineRule="exact" w:before="56"/>
                      <w:ind w:left="0" w:right="-6" w:firstLine="0"/>
                      <w:jc w:val="left"/>
                      <w:rPr>
                        <w:sz w:val="16"/>
                      </w:rPr>
                    </w:pPr>
                    <w:r>
                      <w:rPr>
                        <w:sz w:val="16"/>
                      </w:rPr>
                      <w:t>-Valorización de los residuos</w:t>
                    </w:r>
                  </w:p>
                </w:txbxContent>
              </v:textbox>
              <w10:wrap type="none"/>
            </v:shape>
            <v:shape style="position:absolute;left:14101;top:240;width:3675;height:1130" type="#_x0000_t202" filled="false" stroked="false">
              <v:textbox inset="0,0,0,0">
                <w:txbxContent>
                  <w:p>
                    <w:pPr>
                      <w:spacing w:line="165" w:lineRule="exact" w:before="0"/>
                      <w:ind w:left="0" w:right="0" w:firstLine="0"/>
                      <w:jc w:val="left"/>
                      <w:rPr>
                        <w:sz w:val="16"/>
                      </w:rPr>
                    </w:pPr>
                    <w:r>
                      <w:rPr>
                        <w:sz w:val="16"/>
                      </w:rPr>
                      <w:t>- Peso y muestreo de RSU</w:t>
                    </w:r>
                  </w:p>
                  <w:p>
                    <w:pPr>
                      <w:spacing w:line="261" w:lineRule="auto" w:before="72"/>
                      <w:ind w:left="0" w:right="0" w:firstLine="0"/>
                      <w:jc w:val="left"/>
                      <w:rPr>
                        <w:sz w:val="16"/>
                      </w:rPr>
                    </w:pPr>
                    <w:r>
                      <w:rPr>
                        <w:sz w:val="16"/>
                      </w:rPr>
                      <w:t>-Costos de operación y mantenimiento del proceso</w:t>
                    </w:r>
                    <w:r>
                      <w:rPr>
                        <w:w w:val="102"/>
                        <w:sz w:val="16"/>
                      </w:rPr>
                      <w:t> </w:t>
                    </w:r>
                    <w:r>
                      <w:rPr>
                        <w:sz w:val="16"/>
                      </w:rPr>
                      <w:t>de recolección</w:t>
                    </w:r>
                  </w:p>
                  <w:p>
                    <w:pPr>
                      <w:spacing w:before="56"/>
                      <w:ind w:left="0" w:right="0" w:firstLine="0"/>
                      <w:jc w:val="left"/>
                      <w:rPr>
                        <w:sz w:val="16"/>
                      </w:rPr>
                    </w:pPr>
                    <w:r>
                      <w:rPr>
                        <w:sz w:val="16"/>
                      </w:rPr>
                      <w:t>-Ramas de actividades económicas</w:t>
                    </w:r>
                  </w:p>
                  <w:p>
                    <w:pPr>
                      <w:spacing w:line="179" w:lineRule="exact" w:before="72"/>
                      <w:ind w:left="0" w:right="0" w:firstLine="0"/>
                      <w:jc w:val="left"/>
                      <w:rPr>
                        <w:sz w:val="16"/>
                      </w:rPr>
                    </w:pPr>
                    <w:r>
                      <w:rPr>
                        <w:sz w:val="16"/>
                      </w:rPr>
                      <w:t>-Establecimientos de compra de  residuos</w:t>
                    </w:r>
                  </w:p>
                </w:txbxContent>
              </v:textbox>
              <w10:wrap type="none"/>
            </v:shape>
            <v:shape style="position:absolute;left:10295;top:1411;width:7646;height:531" type="#_x0000_t202" filled="false" stroked="false">
              <v:textbox inset="0,0,0,0">
                <w:txbxContent>
                  <w:p>
                    <w:pPr>
                      <w:tabs>
                        <w:tab w:pos="1396" w:val="left" w:leader="none"/>
                        <w:tab w:pos="3682" w:val="left" w:leader="none"/>
                        <w:tab w:pos="7645" w:val="left" w:leader="none"/>
                      </w:tabs>
                      <w:spacing w:line="158" w:lineRule="exact" w:before="0"/>
                      <w:ind w:left="0" w:right="0" w:firstLine="0"/>
                      <w:jc w:val="left"/>
                      <w:rPr>
                        <w:sz w:val="16"/>
                      </w:rPr>
                    </w:pPr>
                    <w:r>
                      <w:rPr>
                        <w:w w:val="100"/>
                        <w:sz w:val="16"/>
                        <w:u w:val="dotted" w:color="929292"/>
                      </w:rPr>
                      <w:t> </w:t>
                    </w:r>
                    <w:r>
                      <w:rPr>
                        <w:sz w:val="16"/>
                        <w:u w:val="dotted" w:color="929292"/>
                      </w:rPr>
                      <w:tab/>
                    </w:r>
                    <w:r>
                      <w:rPr>
                        <w:sz w:val="16"/>
                      </w:rPr>
                      <w:t> </w:t>
                    </w:r>
                    <w:r>
                      <w:rPr>
                        <w:w w:val="100"/>
                        <w:sz w:val="16"/>
                        <w:u w:val="dotted" w:color="929292"/>
                      </w:rPr>
                      <w:t> </w:t>
                    </w:r>
                    <w:r>
                      <w:rPr>
                        <w:spacing w:val="-11"/>
                        <w:sz w:val="16"/>
                        <w:u w:val="dotted" w:color="929292"/>
                      </w:rPr>
                      <w:t> </w:t>
                    </w:r>
                    <w:r>
                      <w:rPr>
                        <w:sz w:val="16"/>
                        <w:u w:val="dotted" w:color="929292"/>
                      </w:rPr>
                      <w:t>potenciales de su</w:t>
                    </w:r>
                    <w:r>
                      <w:rPr>
                        <w:spacing w:val="13"/>
                        <w:sz w:val="16"/>
                        <w:u w:val="dotted" w:color="929292"/>
                      </w:rPr>
                      <w:t> </w:t>
                    </w:r>
                    <w:r>
                      <w:rPr>
                        <w:sz w:val="16"/>
                        <w:u w:val="dotted" w:color="929292"/>
                      </w:rPr>
                      <w:t>reusó</w:t>
                      <w:tab/>
                    </w:r>
                    <w:r>
                      <w:rPr>
                        <w:sz w:val="16"/>
                      </w:rPr>
                      <w:t> </w:t>
                    </w:r>
                    <w:r>
                      <w:rPr>
                        <w:w w:val="100"/>
                        <w:sz w:val="16"/>
                        <w:u w:val="dotted" w:color="929292"/>
                      </w:rPr>
                      <w:t> </w:t>
                    </w:r>
                    <w:r>
                      <w:rPr>
                        <w:sz w:val="16"/>
                        <w:u w:val="dotted" w:color="929292"/>
                      </w:rPr>
                      <w:tab/>
                    </w:r>
                  </w:p>
                  <w:p>
                    <w:pPr>
                      <w:spacing w:line="261" w:lineRule="auto" w:before="0"/>
                      <w:ind w:left="1520" w:right="3522" w:firstLine="0"/>
                      <w:jc w:val="left"/>
                      <w:rPr>
                        <w:sz w:val="16"/>
                      </w:rPr>
                    </w:pPr>
                    <w:r>
                      <w:rPr>
                        <w:sz w:val="16"/>
                      </w:rPr>
                      <w:t>-El consumismo de bienes y servicios</w:t>
                    </w:r>
                  </w:p>
                </w:txbxContent>
              </v:textbox>
              <w10:wrap type="none"/>
            </v:shape>
            <v:shape style="position:absolute;left:10368;top:2238;width:934;height:160" type="#_x0000_t202" filled="false" stroked="false">
              <v:textbox inset="0,0,0,0">
                <w:txbxContent>
                  <w:p>
                    <w:pPr>
                      <w:spacing w:line="160" w:lineRule="exact" w:before="0"/>
                      <w:ind w:left="0" w:right="-2" w:firstLine="0"/>
                      <w:jc w:val="left"/>
                      <w:rPr>
                        <w:sz w:val="16"/>
                      </w:rPr>
                    </w:pPr>
                    <w:r>
                      <w:rPr>
                        <w:sz w:val="16"/>
                      </w:rPr>
                      <w:t>Sociocultural</w:t>
                    </w:r>
                  </w:p>
                </w:txbxContent>
              </v:textbox>
              <w10:wrap type="none"/>
            </v:shape>
            <v:shape style="position:absolute;left:11815;top:2038;width:2019;height:817" type="#_x0000_t202" filled="false" stroked="false">
              <v:textbox inset="0,0,0,0">
                <w:txbxContent>
                  <w:p>
                    <w:pPr>
                      <w:spacing w:line="165" w:lineRule="exact" w:before="0"/>
                      <w:ind w:left="0" w:right="0" w:firstLine="0"/>
                      <w:jc w:val="left"/>
                      <w:rPr>
                        <w:sz w:val="16"/>
                      </w:rPr>
                    </w:pPr>
                    <w:r>
                      <w:rPr>
                        <w:sz w:val="16"/>
                      </w:rPr>
                      <w:t>-Hábitos y costumbres en el</w:t>
                    </w:r>
                  </w:p>
                  <w:p>
                    <w:pPr>
                      <w:spacing w:before="16"/>
                      <w:ind w:left="0" w:right="0" w:firstLine="0"/>
                      <w:jc w:val="left"/>
                      <w:rPr>
                        <w:sz w:val="16"/>
                      </w:rPr>
                    </w:pPr>
                    <w:r>
                      <w:rPr>
                        <w:sz w:val="16"/>
                      </w:rPr>
                      <w:t>manejo de los residuos</w:t>
                    </w:r>
                  </w:p>
                  <w:p>
                    <w:pPr>
                      <w:spacing w:line="261" w:lineRule="auto" w:before="72"/>
                      <w:ind w:left="0" w:right="184" w:firstLine="0"/>
                      <w:jc w:val="left"/>
                      <w:rPr>
                        <w:sz w:val="16"/>
                      </w:rPr>
                    </w:pPr>
                    <w:r>
                      <w:rPr>
                        <w:sz w:val="16"/>
                      </w:rPr>
                      <w:t>-Organización de los agentes en la solución de</w:t>
                    </w:r>
                  </w:p>
                </w:txbxContent>
              </v:textbox>
              <w10:wrap type="none"/>
            </v:shape>
            <v:shape style="position:absolute;left:14101;top:1981;width:3192;height:674" type="#_x0000_t202" filled="false" stroked="false">
              <v:textbox inset="0,0,0,0">
                <w:txbxContent>
                  <w:p>
                    <w:pPr>
                      <w:spacing w:line="165" w:lineRule="exact" w:before="0"/>
                      <w:ind w:left="0" w:right="0" w:firstLine="0"/>
                      <w:jc w:val="left"/>
                      <w:rPr>
                        <w:sz w:val="16"/>
                      </w:rPr>
                    </w:pPr>
                    <w:r>
                      <w:rPr>
                        <w:sz w:val="16"/>
                      </w:rPr>
                      <w:t>-Percepción de los consumidores</w:t>
                    </w:r>
                  </w:p>
                  <w:p>
                    <w:pPr>
                      <w:spacing w:before="72"/>
                      <w:ind w:left="0" w:right="0" w:firstLine="0"/>
                      <w:jc w:val="left"/>
                      <w:rPr>
                        <w:sz w:val="16"/>
                      </w:rPr>
                    </w:pPr>
                    <w:r>
                      <w:rPr>
                        <w:sz w:val="16"/>
                      </w:rPr>
                      <w:t>-Percepción sobre el manejo de los residuos</w:t>
                    </w:r>
                  </w:p>
                  <w:p>
                    <w:pPr>
                      <w:spacing w:line="179" w:lineRule="exact" w:before="72"/>
                      <w:ind w:left="0" w:right="0" w:firstLine="0"/>
                      <w:jc w:val="left"/>
                      <w:rPr>
                        <w:sz w:val="16"/>
                      </w:rPr>
                    </w:pPr>
                    <w:r>
                      <w:rPr>
                        <w:sz w:val="16"/>
                      </w:rPr>
                      <w:t>-Formas de participación</w:t>
                    </w:r>
                  </w:p>
                </w:txbxContent>
              </v:textbox>
              <w10:wrap type="none"/>
            </v:shape>
            <v:shape style="position:absolute;left:10295;top:2895;width:7646;height:331" type="#_x0000_t202" filled="false" stroked="false">
              <v:textbox inset="0,0,0,0">
                <w:txbxContent>
                  <w:p>
                    <w:pPr>
                      <w:tabs>
                        <w:tab w:pos="1396" w:val="left" w:leader="none"/>
                        <w:tab w:pos="3682" w:val="left" w:leader="none"/>
                        <w:tab w:pos="7645" w:val="left" w:leader="none"/>
                      </w:tabs>
                      <w:spacing w:line="158" w:lineRule="exact" w:before="0"/>
                      <w:ind w:left="0" w:right="0" w:firstLine="0"/>
                      <w:jc w:val="left"/>
                      <w:rPr>
                        <w:sz w:val="16"/>
                      </w:rPr>
                    </w:pPr>
                    <w:r>
                      <w:rPr>
                        <w:w w:val="100"/>
                        <w:sz w:val="16"/>
                        <w:u w:val="dotted" w:color="929292"/>
                      </w:rPr>
                      <w:t> </w:t>
                    </w:r>
                    <w:r>
                      <w:rPr>
                        <w:sz w:val="16"/>
                        <w:u w:val="dotted" w:color="929292"/>
                      </w:rPr>
                      <w:tab/>
                    </w:r>
                    <w:r>
                      <w:rPr>
                        <w:sz w:val="16"/>
                      </w:rPr>
                      <w:t> </w:t>
                    </w:r>
                    <w:r>
                      <w:rPr>
                        <w:w w:val="100"/>
                        <w:sz w:val="16"/>
                        <w:u w:val="dotted" w:color="929292"/>
                      </w:rPr>
                      <w:t> </w:t>
                    </w:r>
                    <w:r>
                      <w:rPr>
                        <w:spacing w:val="-11"/>
                        <w:sz w:val="16"/>
                        <w:u w:val="dotted" w:color="929292"/>
                      </w:rPr>
                      <w:t> </w:t>
                    </w:r>
                    <w:r>
                      <w:rPr>
                        <w:sz w:val="16"/>
                        <w:u w:val="dotted" w:color="929292"/>
                      </w:rPr>
                      <w:t>sus</w:t>
                    </w:r>
                    <w:r>
                      <w:rPr>
                        <w:spacing w:val="11"/>
                        <w:sz w:val="16"/>
                        <w:u w:val="dotted" w:color="929292"/>
                      </w:rPr>
                      <w:t> </w:t>
                    </w:r>
                    <w:r>
                      <w:rPr>
                        <w:sz w:val="16"/>
                        <w:u w:val="dotted" w:color="929292"/>
                      </w:rPr>
                      <w:t>problemas</w:t>
                      <w:tab/>
                    </w:r>
                    <w:r>
                      <w:rPr>
                        <w:sz w:val="16"/>
                      </w:rPr>
                      <w:t> </w:t>
                    </w:r>
                    <w:r>
                      <w:rPr>
                        <w:w w:val="100"/>
                        <w:sz w:val="16"/>
                        <w:u w:val="dotted" w:color="929292"/>
                      </w:rPr>
                      <w:t> </w:t>
                    </w:r>
                    <w:r>
                      <w:rPr>
                        <w:sz w:val="16"/>
                        <w:u w:val="dotted" w:color="929292"/>
                      </w:rPr>
                      <w:tab/>
                    </w:r>
                  </w:p>
                  <w:p>
                    <w:pPr>
                      <w:spacing w:line="173" w:lineRule="exact" w:before="0"/>
                      <w:ind w:left="1520" w:right="0" w:firstLine="0"/>
                      <w:jc w:val="left"/>
                      <w:rPr>
                        <w:sz w:val="16"/>
                      </w:rPr>
                    </w:pPr>
                    <w:r>
                      <w:rPr>
                        <w:sz w:val="16"/>
                      </w:rPr>
                      <w:t>-Programas federales,</w:t>
                    </w:r>
                  </w:p>
                </w:txbxContent>
              </v:textbox>
              <w10:wrap type="none"/>
            </v:shape>
            <v:shape style="position:absolute;left:10368;top:3494;width:1005;height:360" type="#_x0000_t202" filled="false" stroked="false">
              <v:textbox inset="0,0,0,0">
                <w:txbxContent>
                  <w:p>
                    <w:pPr>
                      <w:spacing w:line="165" w:lineRule="exact" w:before="0"/>
                      <w:ind w:left="0" w:right="-3" w:firstLine="0"/>
                      <w:jc w:val="left"/>
                      <w:rPr>
                        <w:sz w:val="16"/>
                      </w:rPr>
                    </w:pPr>
                    <w:r>
                      <w:rPr>
                        <w:w w:val="105"/>
                        <w:sz w:val="16"/>
                      </w:rPr>
                      <w:t>Político-</w:t>
                    </w:r>
                  </w:p>
                  <w:p>
                    <w:pPr>
                      <w:spacing w:line="179" w:lineRule="exact" w:before="16"/>
                      <w:ind w:left="0" w:right="-3" w:firstLine="0"/>
                      <w:jc w:val="left"/>
                      <w:rPr>
                        <w:sz w:val="16"/>
                      </w:rPr>
                    </w:pPr>
                    <w:r>
                      <w:rPr>
                        <w:sz w:val="16"/>
                      </w:rPr>
                      <w:t>administrativo</w:t>
                    </w:r>
                  </w:p>
                </w:txbxContent>
              </v:textbox>
              <w10:wrap type="none"/>
            </v:shape>
            <v:shape style="position:absolute;left:11815;top:3265;width:1992;height:817" type="#_x0000_t202" filled="false" stroked="false">
              <v:textbox inset="0,0,0,0">
                <w:txbxContent>
                  <w:p>
                    <w:pPr>
                      <w:spacing w:line="165" w:lineRule="exact" w:before="0"/>
                      <w:ind w:left="0" w:right="-20" w:firstLine="0"/>
                      <w:jc w:val="left"/>
                      <w:rPr>
                        <w:sz w:val="16"/>
                      </w:rPr>
                    </w:pPr>
                    <w:r>
                      <w:rPr>
                        <w:sz w:val="16"/>
                      </w:rPr>
                      <w:t>estatales y municipales</w:t>
                    </w:r>
                  </w:p>
                  <w:p>
                    <w:pPr>
                      <w:spacing w:before="16"/>
                      <w:ind w:left="0" w:right="-20" w:firstLine="0"/>
                      <w:jc w:val="left"/>
                      <w:rPr>
                        <w:sz w:val="16"/>
                      </w:rPr>
                    </w:pPr>
                    <w:r>
                      <w:rPr>
                        <w:sz w:val="16"/>
                      </w:rPr>
                      <w:t>sobre el manejo de los</w:t>
                    </w:r>
                    <w:r>
                      <w:rPr>
                        <w:spacing w:val="-1"/>
                        <w:sz w:val="16"/>
                      </w:rPr>
                      <w:t> </w:t>
                    </w:r>
                    <w:r>
                      <w:rPr>
                        <w:sz w:val="16"/>
                      </w:rPr>
                      <w:t>RSU</w:t>
                    </w:r>
                  </w:p>
                  <w:p>
                    <w:pPr>
                      <w:spacing w:line="261" w:lineRule="auto" w:before="72"/>
                      <w:ind w:left="0" w:right="-20" w:firstLine="0"/>
                      <w:jc w:val="left"/>
                      <w:rPr>
                        <w:sz w:val="16"/>
                      </w:rPr>
                    </w:pPr>
                    <w:r>
                      <w:rPr>
                        <w:sz w:val="16"/>
                      </w:rPr>
                      <w:t>-Marco jurídico para el consumo y manejo de los</w:t>
                    </w:r>
                  </w:p>
                </w:txbxContent>
              </v:textbox>
              <w10:wrap type="none"/>
            </v:shape>
            <v:shape style="position:absolute;left:14101;top:3237;width:3660;height:617" type="#_x0000_t202" filled="false" stroked="false">
              <v:textbox inset="0,0,0,0">
                <w:txbxContent>
                  <w:p>
                    <w:pPr>
                      <w:spacing w:line="165" w:lineRule="exact" w:before="0"/>
                      <w:ind w:left="0" w:right="-15" w:firstLine="0"/>
                      <w:jc w:val="left"/>
                      <w:rPr>
                        <w:sz w:val="16"/>
                      </w:rPr>
                    </w:pPr>
                    <w:r>
                      <w:rPr>
                        <w:sz w:val="16"/>
                      </w:rPr>
                      <w:t>-Planes, programas y proyectos promovidos por  el</w:t>
                    </w:r>
                  </w:p>
                  <w:p>
                    <w:pPr>
                      <w:spacing w:before="16"/>
                      <w:ind w:left="0" w:right="-15" w:firstLine="0"/>
                      <w:jc w:val="left"/>
                      <w:rPr>
                        <w:sz w:val="16"/>
                      </w:rPr>
                    </w:pPr>
                    <w:r>
                      <w:rPr>
                        <w:sz w:val="16"/>
                      </w:rPr>
                      <w:t>gobierno para el manejo de los RSU</w:t>
                    </w:r>
                  </w:p>
                  <w:p>
                    <w:pPr>
                      <w:spacing w:line="179" w:lineRule="exact" w:before="72"/>
                      <w:ind w:left="0" w:right="-15" w:firstLine="0"/>
                      <w:jc w:val="left"/>
                      <w:rPr>
                        <w:sz w:val="16"/>
                      </w:rPr>
                    </w:pPr>
                    <w:r>
                      <w:rPr>
                        <w:sz w:val="16"/>
                      </w:rPr>
                      <w:t>-Reglamentos y normas para el manejo de los RSU</w:t>
                    </w:r>
                  </w:p>
                </w:txbxContent>
              </v:textbox>
              <w10:wrap type="none"/>
            </v:shape>
            <v:shape style="position:absolute;left:10295;top:4122;width:7646;height:160" type="#_x0000_t202" filled="false" stroked="false">
              <v:textbox inset="0,0,0,0">
                <w:txbxContent>
                  <w:p>
                    <w:pPr>
                      <w:tabs>
                        <w:tab w:pos="1396" w:val="left" w:leader="none"/>
                        <w:tab w:pos="3682" w:val="left" w:leader="none"/>
                        <w:tab w:pos="7645" w:val="left" w:leader="none"/>
                      </w:tabs>
                      <w:spacing w:line="160" w:lineRule="exact" w:before="0"/>
                      <w:ind w:left="0" w:right="0" w:firstLine="0"/>
                      <w:jc w:val="left"/>
                      <w:rPr>
                        <w:sz w:val="16"/>
                      </w:rPr>
                    </w:pPr>
                    <w:r>
                      <w:rPr>
                        <w:w w:val="100"/>
                        <w:sz w:val="16"/>
                        <w:u w:val="dotted" w:color="929292"/>
                      </w:rPr>
                      <w:t> </w:t>
                    </w:r>
                    <w:r>
                      <w:rPr>
                        <w:sz w:val="16"/>
                        <w:u w:val="dotted" w:color="929292"/>
                      </w:rPr>
                      <w:tab/>
                    </w:r>
                    <w:r>
                      <w:rPr>
                        <w:sz w:val="16"/>
                      </w:rPr>
                      <w:t> </w:t>
                    </w:r>
                    <w:r>
                      <w:rPr>
                        <w:w w:val="100"/>
                        <w:sz w:val="16"/>
                        <w:u w:val="dotted" w:color="929292"/>
                      </w:rPr>
                      <w:t> </w:t>
                    </w:r>
                    <w:r>
                      <w:rPr>
                        <w:spacing w:val="-11"/>
                        <w:sz w:val="16"/>
                        <w:u w:val="dotted" w:color="929292"/>
                      </w:rPr>
                      <w:t> </w:t>
                    </w:r>
                    <w:r>
                      <w:rPr>
                        <w:sz w:val="16"/>
                        <w:u w:val="dotted" w:color="929292"/>
                      </w:rPr>
                      <w:t>RSU</w:t>
                      <w:tab/>
                    </w:r>
                    <w:r>
                      <w:rPr>
                        <w:sz w:val="16"/>
                      </w:rPr>
                      <w:t> </w:t>
                    </w:r>
                    <w:r>
                      <w:rPr>
                        <w:w w:val="100"/>
                        <w:sz w:val="16"/>
                        <w:u w:val="dotted" w:color="929292"/>
                      </w:rPr>
                      <w:t> </w:t>
                    </w:r>
                    <w:r>
                      <w:rPr>
                        <w:sz w:val="16"/>
                        <w:u w:val="dotted" w:color="929292"/>
                      </w:rPr>
                      <w:tab/>
                    </w:r>
                  </w:p>
                </w:txbxContent>
              </v:textbox>
              <w10:wrap type="none"/>
            </v:shape>
            <w10:wrap type="none"/>
          </v:group>
        </w:pict>
      </w:r>
      <w:r>
        <w:rPr/>
        <w:t>Otro aspecto relevante del enfoque del Desarrollo Local Sustentable,</w:t>
      </w:r>
      <w:r>
        <w:rPr>
          <w:spacing w:val="16"/>
        </w:rPr>
        <w:t> </w:t>
      </w:r>
      <w:r>
        <w:rPr/>
        <w:t>es</w:t>
      </w:r>
      <w:r>
        <w:rPr>
          <w:spacing w:val="38"/>
        </w:rPr>
        <w:t> </w:t>
      </w:r>
      <w:r>
        <w:rPr/>
        <w:t>la</w:t>
      </w:r>
      <w:r>
        <w:rPr>
          <w:w w:val="97"/>
        </w:rPr>
        <w:t> </w:t>
      </w:r>
      <w:r>
        <w:rPr/>
        <w:t>participación de los agentes locales, pues son ellos quienes conocen</w:t>
      </w:r>
      <w:r>
        <w:rPr>
          <w:spacing w:val="35"/>
        </w:rPr>
        <w:t> </w:t>
      </w:r>
      <w:r>
        <w:rPr/>
        <w:t>y</w:t>
      </w:r>
      <w:r>
        <w:rPr>
          <w:spacing w:val="14"/>
        </w:rPr>
        <w:t> </w:t>
      </w:r>
      <w:r>
        <w:rPr/>
        <w:t>experimentan</w:t>
      </w:r>
      <w:r>
        <w:rPr>
          <w:w w:val="100"/>
        </w:rPr>
        <w:t> </w:t>
      </w:r>
      <w:r>
        <w:rPr/>
        <w:t>la problemática,  son  los  protagonistas  que  generan  los  residuos, </w:t>
      </w:r>
      <w:r>
        <w:rPr>
          <w:spacing w:val="20"/>
        </w:rPr>
        <w:t> </w:t>
      </w:r>
      <w:r>
        <w:rPr/>
        <w:t>pero </w:t>
      </w:r>
      <w:r>
        <w:rPr>
          <w:spacing w:val="20"/>
        </w:rPr>
        <w:t> </w:t>
      </w:r>
      <w:r>
        <w:rPr/>
        <w:t>también</w:t>
      </w:r>
      <w:r>
        <w:rPr>
          <w:w w:val="101"/>
        </w:rPr>
        <w:t> </w:t>
      </w:r>
      <w:r>
        <w:rPr/>
        <w:t>los ejecutores responsables de ofrecer propuestas para su manejo</w:t>
      </w:r>
      <w:r>
        <w:rPr>
          <w:spacing w:val="24"/>
        </w:rPr>
        <w:t> </w:t>
      </w:r>
      <w:r>
        <w:rPr/>
        <w:t>adecuado.</w:t>
      </w:r>
      <w:r>
        <w:rPr>
          <w:spacing w:val="52"/>
        </w:rPr>
        <w:t> </w:t>
      </w:r>
      <w:r>
        <w:rPr/>
        <w:t>La</w:t>
      </w:r>
      <w:r>
        <w:rPr>
          <w:w w:val="98"/>
        </w:rPr>
        <w:t> </w:t>
      </w:r>
      <w:r>
        <w:rPr/>
        <w:t>participación activa de éstos agentes es importante en la construcción</w:t>
      </w:r>
      <w:r>
        <w:rPr>
          <w:spacing w:val="24"/>
        </w:rPr>
        <w:t> </w:t>
      </w:r>
      <w:r>
        <w:rPr/>
        <w:t>de</w:t>
      </w:r>
      <w:r>
        <w:rPr>
          <w:spacing w:val="19"/>
        </w:rPr>
        <w:t> </w:t>
      </w:r>
      <w:r>
        <w:rPr/>
        <w:t>soluciones</w:t>
      </w:r>
      <w:r>
        <w:rPr>
          <w:w w:val="101"/>
        </w:rPr>
        <w:t> </w:t>
      </w:r>
      <w:r>
        <w:rPr/>
        <w:t>porque</w:t>
      </w:r>
      <w:r>
        <w:rPr>
          <w:spacing w:val="39"/>
        </w:rPr>
        <w:t> </w:t>
      </w:r>
      <w:r>
        <w:rPr/>
        <w:t>propicia</w:t>
      </w:r>
      <w:r>
        <w:rPr>
          <w:spacing w:val="39"/>
        </w:rPr>
        <w:t> </w:t>
      </w:r>
      <w:r>
        <w:rPr/>
        <w:t>la</w:t>
      </w:r>
      <w:r>
        <w:rPr>
          <w:spacing w:val="39"/>
        </w:rPr>
        <w:t> </w:t>
      </w:r>
      <w:r>
        <w:rPr/>
        <w:t>apropiación</w:t>
      </w:r>
      <w:r>
        <w:rPr>
          <w:spacing w:val="39"/>
        </w:rPr>
        <w:t> </w:t>
      </w:r>
      <w:r>
        <w:rPr/>
        <w:t>de</w:t>
      </w:r>
      <w:r>
        <w:rPr>
          <w:spacing w:val="39"/>
        </w:rPr>
        <w:t> </w:t>
      </w:r>
      <w:r>
        <w:rPr/>
        <w:t>las</w:t>
      </w:r>
      <w:r>
        <w:rPr>
          <w:spacing w:val="39"/>
        </w:rPr>
        <w:t> </w:t>
      </w:r>
      <w:r>
        <w:rPr/>
        <w:t>medidas</w:t>
      </w:r>
      <w:r>
        <w:rPr>
          <w:spacing w:val="39"/>
        </w:rPr>
        <w:t> </w:t>
      </w:r>
      <w:r>
        <w:rPr/>
        <w:t>y</w:t>
      </w:r>
      <w:r>
        <w:rPr>
          <w:spacing w:val="39"/>
        </w:rPr>
        <w:t> </w:t>
      </w:r>
      <w:r>
        <w:rPr/>
        <w:t>la</w:t>
      </w:r>
      <w:r>
        <w:rPr>
          <w:spacing w:val="39"/>
        </w:rPr>
        <w:t> </w:t>
      </w:r>
      <w:r>
        <w:rPr/>
        <w:t>ejecución</w:t>
      </w:r>
      <w:r>
        <w:rPr>
          <w:spacing w:val="39"/>
        </w:rPr>
        <w:t> </w:t>
      </w:r>
      <w:r>
        <w:rPr/>
        <w:t>de</w:t>
      </w:r>
      <w:r>
        <w:rPr>
          <w:spacing w:val="39"/>
        </w:rPr>
        <w:t> </w:t>
      </w:r>
      <w:r>
        <w:rPr/>
        <w:t>las</w:t>
      </w:r>
      <w:r>
        <w:rPr>
          <w:spacing w:val="39"/>
        </w:rPr>
        <w:t> </w:t>
      </w:r>
      <w:r>
        <w:rPr/>
        <w:t>mismas.</w:t>
      </w:r>
      <w:r>
        <w:rPr>
          <w:spacing w:val="39"/>
        </w:rPr>
        <w:t> </w:t>
      </w:r>
      <w:r>
        <w:rPr/>
        <w:t>Esta</w:t>
      </w:r>
      <w:r>
        <w:rPr>
          <w:w w:val="98"/>
        </w:rPr>
        <w:t> </w:t>
      </w:r>
      <w:r>
        <w:rPr/>
        <w:t>participación</w:t>
      </w:r>
      <w:r>
        <w:rPr>
          <w:spacing w:val="-9"/>
        </w:rPr>
        <w:t> </w:t>
      </w:r>
      <w:r>
        <w:rPr/>
        <w:t>debe</w:t>
      </w:r>
      <w:r>
        <w:rPr>
          <w:spacing w:val="-9"/>
        </w:rPr>
        <w:t> </w:t>
      </w:r>
      <w:r>
        <w:rPr/>
        <w:t>estar</w:t>
      </w:r>
      <w:r>
        <w:rPr>
          <w:spacing w:val="-9"/>
        </w:rPr>
        <w:t> </w:t>
      </w:r>
      <w:r>
        <w:rPr/>
        <w:t>en</w:t>
      </w:r>
      <w:r>
        <w:rPr>
          <w:spacing w:val="-9"/>
        </w:rPr>
        <w:t> </w:t>
      </w:r>
      <w:r>
        <w:rPr/>
        <w:t>las</w:t>
      </w:r>
      <w:r>
        <w:rPr>
          <w:spacing w:val="-9"/>
        </w:rPr>
        <w:t> </w:t>
      </w:r>
      <w:r>
        <w:rPr/>
        <w:t>diferentes</w:t>
      </w:r>
      <w:r>
        <w:rPr>
          <w:spacing w:val="-9"/>
        </w:rPr>
        <w:t> </w:t>
      </w:r>
      <w:r>
        <w:rPr/>
        <w:t>fases</w:t>
      </w:r>
      <w:r>
        <w:rPr>
          <w:spacing w:val="-9"/>
        </w:rPr>
        <w:t> </w:t>
      </w:r>
      <w:r>
        <w:rPr/>
        <w:t>del</w:t>
      </w:r>
      <w:r>
        <w:rPr>
          <w:spacing w:val="38"/>
        </w:rPr>
        <w:t> </w:t>
      </w:r>
      <w:r>
        <w:rPr/>
        <w:t>manejo</w:t>
      </w:r>
      <w:r>
        <w:rPr>
          <w:spacing w:val="-9"/>
        </w:rPr>
        <w:t> </w:t>
      </w:r>
      <w:r>
        <w:rPr/>
        <w:t>integral</w:t>
      </w:r>
      <w:r>
        <w:rPr>
          <w:spacing w:val="-9"/>
        </w:rPr>
        <w:t> </w:t>
      </w:r>
      <w:r>
        <w:rPr/>
        <w:t>de</w:t>
      </w:r>
      <w:r>
        <w:rPr>
          <w:spacing w:val="-9"/>
        </w:rPr>
        <w:t> </w:t>
      </w:r>
      <w:r>
        <w:rPr/>
        <w:t>los</w:t>
      </w:r>
      <w:r>
        <w:rPr>
          <w:spacing w:val="-9"/>
        </w:rPr>
        <w:t> </w:t>
      </w:r>
      <w:r>
        <w:rPr/>
        <w:t>residuos,</w:t>
      </w:r>
      <w:r>
        <w:rPr>
          <w:spacing w:val="-9"/>
        </w:rPr>
        <w:t> </w:t>
      </w:r>
      <w:r>
        <w:rPr/>
        <w:t>que</w:t>
      </w:r>
      <w:r>
        <w:rPr>
          <w:w w:val="101"/>
        </w:rPr>
        <w:t> </w:t>
      </w:r>
      <w:r>
        <w:rPr/>
        <w:t>establece la SEMARNAT (2012), siendo estas las siguientes:</w:t>
      </w:r>
      <w:r>
        <w:rPr>
          <w:spacing w:val="48"/>
        </w:rPr>
        <w:t> </w:t>
      </w:r>
      <w:r>
        <w:rPr/>
        <w:t>generación,</w:t>
      </w:r>
      <w:r>
        <w:rPr>
          <w:spacing w:val="6"/>
        </w:rPr>
        <w:t> </w:t>
      </w:r>
      <w:r>
        <w:rPr/>
        <w:t>recolección,</w:t>
      </w:r>
      <w:r>
        <w:rPr>
          <w:w w:val="102"/>
        </w:rPr>
        <w:t> </w:t>
      </w:r>
      <w:r>
        <w:rPr/>
        <w:t>transporte</w:t>
      </w:r>
      <w:r>
        <w:rPr>
          <w:spacing w:val="-4"/>
        </w:rPr>
        <w:t> </w:t>
      </w:r>
      <w:r>
        <w:rPr/>
        <w:t>y</w:t>
      </w:r>
      <w:r>
        <w:rPr>
          <w:spacing w:val="-4"/>
        </w:rPr>
        <w:t> </w:t>
      </w:r>
      <w:r>
        <w:rPr/>
        <w:t>disposición</w:t>
      </w:r>
      <w:r>
        <w:rPr>
          <w:spacing w:val="-4"/>
        </w:rPr>
        <w:t> </w:t>
      </w:r>
      <w:r>
        <w:rPr/>
        <w:t>final</w:t>
      </w:r>
      <w:r>
        <w:rPr>
          <w:spacing w:val="-4"/>
        </w:rPr>
        <w:t> </w:t>
      </w:r>
      <w:r>
        <w:rPr/>
        <w:t>de</w:t>
      </w:r>
      <w:r>
        <w:rPr>
          <w:spacing w:val="-4"/>
        </w:rPr>
        <w:t> </w:t>
      </w:r>
      <w:r>
        <w:rPr/>
        <w:t>los</w:t>
      </w:r>
      <w:r>
        <w:rPr>
          <w:spacing w:val="-4"/>
        </w:rPr>
        <w:t> </w:t>
      </w:r>
      <w:r>
        <w:rPr/>
        <w:t>residuos</w:t>
      </w:r>
      <w:r>
        <w:rPr>
          <w:spacing w:val="-4"/>
        </w:rPr>
        <w:t> </w:t>
      </w:r>
      <w:r>
        <w:rPr/>
        <w:t>y</w:t>
      </w:r>
      <w:r>
        <w:rPr>
          <w:spacing w:val="-4"/>
        </w:rPr>
        <w:t> </w:t>
      </w:r>
      <w:r>
        <w:rPr/>
        <w:t>en</w:t>
      </w:r>
      <w:r>
        <w:rPr>
          <w:spacing w:val="-4"/>
        </w:rPr>
        <w:t> </w:t>
      </w:r>
      <w:r>
        <w:rPr/>
        <w:t>su</w:t>
      </w:r>
      <w:r>
        <w:rPr>
          <w:spacing w:val="-4"/>
        </w:rPr>
        <w:t> </w:t>
      </w:r>
      <w:r>
        <w:rPr/>
        <w:t>caso</w:t>
      </w:r>
      <w:r>
        <w:rPr>
          <w:spacing w:val="-4"/>
        </w:rPr>
        <w:t> </w:t>
      </w:r>
      <w:r>
        <w:rPr/>
        <w:t>el</w:t>
      </w:r>
      <w:r>
        <w:rPr>
          <w:spacing w:val="-4"/>
        </w:rPr>
        <w:t> </w:t>
      </w:r>
      <w:r>
        <w:rPr/>
        <w:t>tratamiento</w:t>
      </w:r>
      <w:r>
        <w:rPr>
          <w:spacing w:val="-4"/>
        </w:rPr>
        <w:t> </w:t>
      </w:r>
      <w:r>
        <w:rPr/>
        <w:t>de</w:t>
      </w:r>
      <w:r>
        <w:rPr>
          <w:spacing w:val="-4"/>
        </w:rPr>
        <w:t> </w:t>
      </w:r>
      <w:r>
        <w:rPr/>
        <w:t>los</w:t>
      </w:r>
      <w:r>
        <w:rPr>
          <w:spacing w:val="-4"/>
        </w:rPr>
        <w:t> </w:t>
      </w:r>
      <w:r>
        <w:rPr/>
        <w:t>mismos.</w:t>
      </w:r>
    </w:p>
    <w:p>
      <w:pPr>
        <w:pStyle w:val="BodyText"/>
        <w:spacing w:before="11"/>
      </w:pPr>
    </w:p>
    <w:p>
      <w:pPr>
        <w:pStyle w:val="BodyText"/>
        <w:spacing w:line="249" w:lineRule="auto"/>
        <w:ind w:left="131" w:right="9537" w:firstLine="170"/>
        <w:jc w:val="both"/>
      </w:pPr>
      <w:r>
        <w:rPr/>
        <w:t>Bajo los principios descritos anteriormente, se contempla el proceso de planeación, como el instrumento para la cristalización de soluciones, se abordan las fases del proceso de planeación (Alvarado, 2012), las cuales se componen de las siguientes: Caracterización, Diagnóstico y Prospectiva, esta última se desagrega en el diseño de escenario y en la construcción de propuestas con base en los resultados de las fases anteriores, llegando a planes, programas o proyectos orientados a un manejo integral de los residuos.  En adelante se describirá cada una de las fases:</w:t>
      </w:r>
    </w:p>
    <w:p>
      <w:pPr>
        <w:pStyle w:val="BodyText"/>
        <w:spacing w:before="4"/>
        <w:rPr>
          <w:sz w:val="14"/>
        </w:rPr>
      </w:pPr>
    </w:p>
    <w:p>
      <w:pPr>
        <w:spacing w:after="0"/>
        <w:rPr>
          <w:sz w:val="14"/>
        </w:rPr>
        <w:sectPr>
          <w:footerReference w:type="default" r:id="rId299"/>
          <w:pgSz w:w="18830" w:h="12760" w:orient="landscape"/>
          <w:pgMar w:footer="1036" w:header="522" w:top="820" w:bottom="1220" w:left="720" w:right="720"/>
        </w:sectPr>
      </w:pPr>
    </w:p>
    <w:p>
      <w:pPr>
        <w:pStyle w:val="BodyText"/>
        <w:spacing w:line="249" w:lineRule="auto" w:before="76"/>
        <w:ind w:left="131" w:firstLine="170"/>
        <w:jc w:val="both"/>
      </w:pPr>
      <w:r>
        <w:rPr>
          <w:b/>
          <w:i/>
        </w:rPr>
        <w:t>Caracterización:</w:t>
      </w:r>
      <w:r>
        <w:rPr>
          <w:b/>
          <w:i/>
          <w:spacing w:val="-7"/>
        </w:rPr>
        <w:t> </w:t>
      </w:r>
      <w:r>
        <w:rPr/>
        <w:t>en</w:t>
      </w:r>
      <w:r>
        <w:rPr>
          <w:spacing w:val="-7"/>
        </w:rPr>
        <w:t> </w:t>
      </w:r>
      <w:r>
        <w:rPr/>
        <w:t>esta</w:t>
      </w:r>
      <w:r>
        <w:rPr>
          <w:spacing w:val="-7"/>
        </w:rPr>
        <w:t> </w:t>
      </w:r>
      <w:r>
        <w:rPr/>
        <w:t>fase</w:t>
      </w:r>
      <w:r>
        <w:rPr>
          <w:spacing w:val="-7"/>
        </w:rPr>
        <w:t> </w:t>
      </w:r>
      <w:r>
        <w:rPr/>
        <w:t>se</w:t>
      </w:r>
      <w:r>
        <w:rPr>
          <w:spacing w:val="-7"/>
        </w:rPr>
        <w:t> </w:t>
      </w:r>
      <w:r>
        <w:rPr/>
        <w:t>obtendrán</w:t>
      </w:r>
      <w:r>
        <w:rPr>
          <w:spacing w:val="-7"/>
        </w:rPr>
        <w:t> </w:t>
      </w:r>
      <w:r>
        <w:rPr/>
        <w:t>muestra</w:t>
      </w:r>
      <w:r>
        <w:rPr>
          <w:spacing w:val="-7"/>
        </w:rPr>
        <w:t> </w:t>
      </w:r>
      <w:r>
        <w:rPr/>
        <w:t>y</w:t>
      </w:r>
      <w:r>
        <w:rPr>
          <w:spacing w:val="-7"/>
        </w:rPr>
        <w:t> </w:t>
      </w:r>
      <w:r>
        <w:rPr/>
        <w:t>peso</w:t>
      </w:r>
      <w:r>
        <w:rPr>
          <w:spacing w:val="-7"/>
        </w:rPr>
        <w:t> </w:t>
      </w:r>
      <w:r>
        <w:rPr/>
        <w:t>de</w:t>
      </w:r>
      <w:r>
        <w:rPr>
          <w:spacing w:val="-7"/>
        </w:rPr>
        <w:t> </w:t>
      </w:r>
      <w:r>
        <w:rPr/>
        <w:t>residuos</w:t>
      </w:r>
      <w:r>
        <w:rPr>
          <w:spacing w:val="-7"/>
        </w:rPr>
        <w:t> </w:t>
      </w:r>
      <w:r>
        <w:rPr/>
        <w:t>para</w:t>
      </w:r>
      <w:r>
        <w:rPr>
          <w:spacing w:val="-7"/>
        </w:rPr>
        <w:t> </w:t>
      </w:r>
      <w:r>
        <w:rPr/>
        <w:t>estimar la composición y volumen de los residuos, también se obtendrá información sobre hábitos de consumo, sistema de servicio de limpia, características fisico-geograficos    y biofísicos y tradiciones costumbres perspectivas de la población, tendencias de población para definir tendencias de producción, es decir, se tomaran los</w:t>
      </w:r>
      <w:r>
        <w:rPr>
          <w:spacing w:val="-33"/>
        </w:rPr>
        <w:t> </w:t>
      </w:r>
      <w:r>
        <w:rPr/>
        <w:t>componentes desde los diversos sistemas que componen la situación de los RSU, en el cuadro 5 se muestran dichos</w:t>
      </w:r>
      <w:r>
        <w:rPr>
          <w:spacing w:val="33"/>
        </w:rPr>
        <w:t> </w:t>
      </w:r>
      <w:r>
        <w:rPr/>
        <w:t>subsistemas.</w:t>
      </w:r>
    </w:p>
    <w:p>
      <w:pPr>
        <w:pStyle w:val="BodyText"/>
        <w:spacing w:before="2"/>
        <w:rPr>
          <w:sz w:val="24"/>
        </w:rPr>
      </w:pPr>
    </w:p>
    <w:p>
      <w:pPr>
        <w:spacing w:before="0"/>
        <w:ind w:left="1332" w:right="3" w:firstLine="0"/>
        <w:jc w:val="left"/>
        <w:rPr>
          <w:sz w:val="16"/>
        </w:rPr>
      </w:pPr>
      <w:r>
        <w:rPr/>
        <w:pict>
          <v:shape style="position:absolute;margin-left:42.299999pt;margin-top:14.338293pt;width:385.8pt;height:125.75pt;mso-position-horizontal-relative:page;mso-position-vertical-relative:paragraph;z-index:12328" type="#_x0000_t202" filled="false" stroked="false">
            <v:textbox inset="0,0,0,0">
              <w:txbxContent>
                <w:tbl>
                  <w:tblPr>
                    <w:tblW w:w="0" w:type="auto"/>
                    <w:jc w:val="lef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447"/>
                    <w:gridCol w:w="2286"/>
                    <w:gridCol w:w="3967"/>
                  </w:tblGrid>
                  <w:tr>
                    <w:trPr>
                      <w:trHeight w:val="228" w:hRule="exact"/>
                    </w:trPr>
                    <w:tc>
                      <w:tcPr>
                        <w:tcW w:w="1447" w:type="dxa"/>
                        <w:tcBorders>
                          <w:top w:val="nil"/>
                          <w:left w:val="nil"/>
                          <w:bottom w:val="dotted" w:sz="4" w:space="0" w:color="FFFFFF"/>
                        </w:tcBorders>
                        <w:shd w:val="clear" w:color="auto" w:fill="929292"/>
                      </w:tcPr>
                      <w:p>
                        <w:pPr>
                          <w:pStyle w:val="TableParagraph"/>
                          <w:spacing w:before="21"/>
                          <w:ind w:left="108"/>
                          <w:rPr>
                            <w:sz w:val="16"/>
                          </w:rPr>
                        </w:pPr>
                        <w:r>
                          <w:rPr>
                            <w:sz w:val="16"/>
                          </w:rPr>
                          <w:t>Stubsistema</w:t>
                        </w:r>
                      </w:p>
                    </w:tc>
                    <w:tc>
                      <w:tcPr>
                        <w:tcW w:w="2286" w:type="dxa"/>
                        <w:tcBorders>
                          <w:top w:val="nil"/>
                          <w:bottom w:val="dotted" w:sz="4" w:space="0" w:color="FFFFFF"/>
                        </w:tcBorders>
                        <w:shd w:val="clear" w:color="auto" w:fill="929292"/>
                      </w:tcPr>
                      <w:p>
                        <w:pPr>
                          <w:pStyle w:val="TableParagraph"/>
                          <w:spacing w:before="21"/>
                          <w:ind w:left="103"/>
                          <w:rPr>
                            <w:sz w:val="16"/>
                          </w:rPr>
                        </w:pPr>
                        <w:r>
                          <w:rPr>
                            <w:sz w:val="16"/>
                          </w:rPr>
                          <w:t>Variables</w:t>
                        </w:r>
                      </w:p>
                    </w:tc>
                    <w:tc>
                      <w:tcPr>
                        <w:tcW w:w="3967" w:type="dxa"/>
                        <w:tcBorders>
                          <w:top w:val="nil"/>
                          <w:bottom w:val="dotted" w:sz="4" w:space="0" w:color="FFFFFF"/>
                          <w:right w:val="nil"/>
                        </w:tcBorders>
                        <w:shd w:val="clear" w:color="auto" w:fill="929292"/>
                      </w:tcPr>
                      <w:p>
                        <w:pPr>
                          <w:pStyle w:val="TableParagraph"/>
                          <w:spacing w:before="21"/>
                          <w:ind w:left="103" w:right="99"/>
                          <w:rPr>
                            <w:sz w:val="16"/>
                          </w:rPr>
                        </w:pPr>
                        <w:r>
                          <w:rPr>
                            <w:sz w:val="16"/>
                          </w:rPr>
                          <w:t>Indicadores</w:t>
                        </w:r>
                      </w:p>
                    </w:tc>
                  </w:tr>
                  <w:tr>
                    <w:trPr>
                      <w:trHeight w:val="1341" w:hRule="exact"/>
                    </w:trPr>
                    <w:tc>
                      <w:tcPr>
                        <w:tcW w:w="1447" w:type="dxa"/>
                        <w:tcBorders>
                          <w:top w:val="dotted" w:sz="4" w:space="0" w:color="FFFFFF"/>
                          <w:left w:val="nil"/>
                          <w:bottom w:val="single" w:sz="4" w:space="0" w:color="929292"/>
                          <w:right w:val="single" w:sz="4" w:space="0" w:color="929292"/>
                        </w:tcBorders>
                      </w:tcPr>
                      <w:p>
                        <w:pPr>
                          <w:pStyle w:val="TableParagraph"/>
                          <w:rPr>
                            <w:sz w:val="16"/>
                          </w:rPr>
                        </w:pPr>
                      </w:p>
                      <w:p>
                        <w:pPr>
                          <w:pStyle w:val="TableParagraph"/>
                          <w:rPr>
                            <w:sz w:val="16"/>
                          </w:rPr>
                        </w:pPr>
                      </w:p>
                      <w:p>
                        <w:pPr>
                          <w:pStyle w:val="TableParagraph"/>
                          <w:spacing w:before="9"/>
                          <w:rPr>
                            <w:sz w:val="17"/>
                          </w:rPr>
                        </w:pPr>
                      </w:p>
                      <w:p>
                        <w:pPr>
                          <w:pStyle w:val="TableParagraph"/>
                          <w:ind w:left="108"/>
                          <w:rPr>
                            <w:sz w:val="16"/>
                          </w:rPr>
                        </w:pPr>
                        <w:r>
                          <w:rPr>
                            <w:sz w:val="16"/>
                          </w:rPr>
                          <w:t>Biofísico</w:t>
                        </w:r>
                      </w:p>
                    </w:tc>
                    <w:tc>
                      <w:tcPr>
                        <w:tcW w:w="2286" w:type="dxa"/>
                        <w:tcBorders>
                          <w:top w:val="dotted" w:sz="4" w:space="0" w:color="FFFFFF"/>
                          <w:left w:val="single" w:sz="4" w:space="0" w:color="929292"/>
                          <w:right w:val="single" w:sz="4" w:space="0" w:color="929292"/>
                        </w:tcBorders>
                      </w:tcPr>
                      <w:p>
                        <w:pPr>
                          <w:pStyle w:val="TableParagraph"/>
                          <w:spacing w:line="261" w:lineRule="auto" w:before="116"/>
                          <w:ind w:left="103"/>
                          <w:rPr>
                            <w:sz w:val="16"/>
                          </w:rPr>
                        </w:pPr>
                        <w:r>
                          <w:rPr>
                            <w:sz w:val="16"/>
                          </w:rPr>
                          <w:t>-Impacto a los recursos naturales</w:t>
                        </w:r>
                      </w:p>
                      <w:p>
                        <w:pPr>
                          <w:pStyle w:val="TableParagraph"/>
                          <w:spacing w:before="56"/>
                          <w:ind w:left="103"/>
                          <w:rPr>
                            <w:sz w:val="16"/>
                          </w:rPr>
                        </w:pPr>
                        <w:r>
                          <w:rPr>
                            <w:sz w:val="16"/>
                          </w:rPr>
                          <w:t>-Afectación en la salud</w:t>
                        </w:r>
                      </w:p>
                      <w:p>
                        <w:pPr>
                          <w:pStyle w:val="TableParagraph"/>
                          <w:spacing w:line="200" w:lineRule="atLeast" w:before="56"/>
                          <w:ind w:left="103"/>
                          <w:rPr>
                            <w:sz w:val="16"/>
                          </w:rPr>
                        </w:pPr>
                        <w:r>
                          <w:rPr>
                            <w:sz w:val="16"/>
                          </w:rPr>
                          <w:t>-Características físico- geográficas</w:t>
                        </w:r>
                      </w:p>
                      <w:p>
                        <w:pPr>
                          <w:pStyle w:val="TableParagraph"/>
                          <w:tabs>
                            <w:tab w:pos="2265" w:val="left" w:leader="none"/>
                          </w:tabs>
                          <w:spacing w:line="128" w:lineRule="exact"/>
                          <w:ind w:left="25"/>
                          <w:rPr>
                            <w:sz w:val="16"/>
                          </w:rPr>
                        </w:pPr>
                        <w:r>
                          <w:rPr>
                            <w:w w:val="100"/>
                            <w:sz w:val="16"/>
                            <w:u w:val="dotted" w:color="929292"/>
                          </w:rPr>
                          <w:t> </w:t>
                        </w:r>
                        <w:r>
                          <w:rPr>
                            <w:sz w:val="16"/>
                            <w:u w:val="dotted" w:color="929292"/>
                          </w:rPr>
                          <w:tab/>
                        </w:r>
                      </w:p>
                    </w:tc>
                    <w:tc>
                      <w:tcPr>
                        <w:tcW w:w="3967" w:type="dxa"/>
                        <w:tcBorders>
                          <w:top w:val="dotted" w:sz="4" w:space="0" w:color="FFFFFF"/>
                          <w:left w:val="single" w:sz="4" w:space="0" w:color="929292"/>
                          <w:right w:val="nil"/>
                        </w:tcBorders>
                      </w:tcPr>
                      <w:p>
                        <w:pPr>
                          <w:pStyle w:val="TableParagraph"/>
                          <w:spacing w:line="171" w:lineRule="exact"/>
                          <w:ind w:left="103" w:right="99"/>
                          <w:rPr>
                            <w:sz w:val="16"/>
                          </w:rPr>
                        </w:pPr>
                        <w:r>
                          <w:rPr>
                            <w:sz w:val="16"/>
                          </w:rPr>
                          <w:t>-Presencia de malos olores y fauna nociva en</w:t>
                        </w:r>
                      </w:p>
                      <w:p>
                        <w:pPr>
                          <w:pStyle w:val="TableParagraph"/>
                          <w:spacing w:before="16"/>
                          <w:ind w:left="103" w:right="99"/>
                          <w:rPr>
                            <w:sz w:val="16"/>
                          </w:rPr>
                        </w:pPr>
                        <w:r>
                          <w:rPr>
                            <w:sz w:val="16"/>
                          </w:rPr>
                          <w:t>lugares de disposición final de RSU</w:t>
                        </w:r>
                      </w:p>
                      <w:p>
                        <w:pPr>
                          <w:pStyle w:val="TableParagraph"/>
                          <w:spacing w:before="72"/>
                          <w:ind w:left="103" w:right="99"/>
                          <w:rPr>
                            <w:sz w:val="16"/>
                          </w:rPr>
                        </w:pPr>
                        <w:r>
                          <w:rPr>
                            <w:sz w:val="16"/>
                          </w:rPr>
                          <w:t>-Ubicación del sistema hídrico</w:t>
                        </w:r>
                      </w:p>
                      <w:p>
                        <w:pPr>
                          <w:pStyle w:val="TableParagraph"/>
                          <w:spacing w:line="261" w:lineRule="auto" w:before="72"/>
                          <w:ind w:left="103" w:right="99"/>
                          <w:rPr>
                            <w:sz w:val="16"/>
                          </w:rPr>
                        </w:pPr>
                        <w:r>
                          <w:rPr>
                            <w:sz w:val="16"/>
                          </w:rPr>
                          <w:t>-Enfermedades estomacales u otras relacionadas con los impactos de los RSU</w:t>
                        </w:r>
                      </w:p>
                      <w:p>
                        <w:pPr>
                          <w:pStyle w:val="TableParagraph"/>
                          <w:tabs>
                            <w:tab w:pos="3942" w:val="left" w:leader="none"/>
                          </w:tabs>
                          <w:spacing w:before="56"/>
                          <w:ind w:left="25"/>
                          <w:rPr>
                            <w:sz w:val="16"/>
                          </w:rPr>
                        </w:pPr>
                        <w:r>
                          <w:rPr>
                            <w:w w:val="100"/>
                            <w:sz w:val="16"/>
                            <w:u w:val="dotted" w:color="929292"/>
                          </w:rPr>
                          <w:t> </w:t>
                        </w:r>
                        <w:r>
                          <w:rPr>
                            <w:spacing w:val="-11"/>
                            <w:sz w:val="16"/>
                            <w:u w:val="dotted" w:color="929292"/>
                          </w:rPr>
                          <w:t> </w:t>
                        </w:r>
                        <w:r>
                          <w:rPr>
                            <w:sz w:val="16"/>
                            <w:u w:val="dotted" w:color="929292"/>
                          </w:rPr>
                          <w:t>-Relieve, topografía, tipo de</w:t>
                        </w:r>
                        <w:r>
                          <w:rPr>
                            <w:spacing w:val="19"/>
                            <w:sz w:val="16"/>
                            <w:u w:val="dotted" w:color="929292"/>
                          </w:rPr>
                          <w:t> </w:t>
                        </w:r>
                        <w:r>
                          <w:rPr>
                            <w:sz w:val="16"/>
                            <w:u w:val="dotted" w:color="929292"/>
                          </w:rPr>
                          <w:t>suelo</w:t>
                          <w:tab/>
                        </w:r>
                      </w:p>
                    </w:tc>
                  </w:tr>
                  <w:tr>
                    <w:trPr>
                      <w:trHeight w:val="941" w:hRule="exact"/>
                    </w:trPr>
                    <w:tc>
                      <w:tcPr>
                        <w:tcW w:w="1447" w:type="dxa"/>
                        <w:tcBorders>
                          <w:top w:val="single" w:sz="4" w:space="0" w:color="929292"/>
                          <w:left w:val="nil"/>
                          <w:right w:val="single" w:sz="4" w:space="0" w:color="929292"/>
                        </w:tcBorders>
                      </w:tcPr>
                      <w:p>
                        <w:pPr>
                          <w:pStyle w:val="TableParagraph"/>
                          <w:rPr>
                            <w:sz w:val="16"/>
                          </w:rPr>
                        </w:pPr>
                      </w:p>
                      <w:p>
                        <w:pPr>
                          <w:pStyle w:val="TableParagraph"/>
                          <w:spacing w:before="4"/>
                          <w:rPr>
                            <w:sz w:val="16"/>
                          </w:rPr>
                        </w:pPr>
                      </w:p>
                      <w:p>
                        <w:pPr>
                          <w:pStyle w:val="TableParagraph"/>
                          <w:ind w:left="108"/>
                          <w:rPr>
                            <w:sz w:val="16"/>
                          </w:rPr>
                        </w:pPr>
                        <w:r>
                          <w:rPr>
                            <w:sz w:val="16"/>
                          </w:rPr>
                          <w:t>Tecnológico</w:t>
                        </w:r>
                      </w:p>
                      <w:p>
                        <w:pPr>
                          <w:pStyle w:val="TableParagraph"/>
                          <w:tabs>
                            <w:tab w:pos="1431" w:val="left" w:leader="none"/>
                          </w:tabs>
                          <w:spacing w:before="116"/>
                          <w:ind w:left="35"/>
                          <w:rPr>
                            <w:sz w:val="16"/>
                          </w:rPr>
                        </w:pPr>
                        <w:r>
                          <w:rPr>
                            <w:w w:val="100"/>
                            <w:sz w:val="16"/>
                            <w:u w:val="dotted" w:color="929292"/>
                          </w:rPr>
                          <w:t> </w:t>
                        </w:r>
                        <w:r>
                          <w:rPr>
                            <w:sz w:val="16"/>
                            <w:u w:val="dotted" w:color="929292"/>
                          </w:rPr>
                          <w:tab/>
                        </w:r>
                      </w:p>
                    </w:tc>
                    <w:tc>
                      <w:tcPr>
                        <w:tcW w:w="2286" w:type="dxa"/>
                        <w:tcBorders>
                          <w:left w:val="single" w:sz="4" w:space="0" w:color="929292"/>
                          <w:right w:val="single" w:sz="4" w:space="0" w:color="929292"/>
                        </w:tcBorders>
                      </w:tcPr>
                      <w:p>
                        <w:pPr>
                          <w:pStyle w:val="TableParagraph"/>
                          <w:spacing w:line="261" w:lineRule="auto" w:before="72"/>
                          <w:ind w:left="103" w:right="509"/>
                          <w:rPr>
                            <w:sz w:val="16"/>
                          </w:rPr>
                        </w:pPr>
                        <w:r>
                          <w:rPr>
                            <w:sz w:val="16"/>
                          </w:rPr>
                          <w:t>-Eficacia del proceso de manejo de los RSU:</w:t>
                        </w:r>
                      </w:p>
                      <w:p>
                        <w:pPr>
                          <w:pStyle w:val="TableParagraph"/>
                          <w:ind w:left="103"/>
                          <w:rPr>
                            <w:sz w:val="16"/>
                          </w:rPr>
                        </w:pPr>
                        <w:r>
                          <w:rPr>
                            <w:sz w:val="16"/>
                          </w:rPr>
                          <w:t>Generación, recolección,</w:t>
                        </w:r>
                      </w:p>
                      <w:p>
                        <w:pPr>
                          <w:pStyle w:val="TableParagraph"/>
                          <w:spacing w:before="16"/>
                          <w:ind w:left="25"/>
                          <w:rPr>
                            <w:sz w:val="16"/>
                          </w:rPr>
                        </w:pPr>
                        <w:r>
                          <w:rPr>
                            <w:w w:val="100"/>
                            <w:sz w:val="16"/>
                            <w:u w:val="dotted" w:color="929292"/>
                          </w:rPr>
                          <w:t> </w:t>
                        </w:r>
                        <w:r>
                          <w:rPr>
                            <w:sz w:val="16"/>
                            <w:u w:val="dotted" w:color="929292"/>
                          </w:rPr>
                          <w:t> transporte y disposición final </w:t>
                        </w:r>
                      </w:p>
                    </w:tc>
                    <w:tc>
                      <w:tcPr>
                        <w:tcW w:w="3967" w:type="dxa"/>
                        <w:tcBorders>
                          <w:left w:val="single" w:sz="4" w:space="0" w:color="929292"/>
                          <w:right w:val="nil"/>
                        </w:tcBorders>
                      </w:tcPr>
                      <w:p>
                        <w:pPr>
                          <w:pStyle w:val="TableParagraph"/>
                          <w:spacing w:line="171" w:lineRule="exact"/>
                          <w:ind w:left="103" w:right="99"/>
                          <w:rPr>
                            <w:sz w:val="16"/>
                          </w:rPr>
                        </w:pPr>
                        <w:r>
                          <w:rPr>
                            <w:sz w:val="16"/>
                          </w:rPr>
                          <w:t>-Formas de recolección</w:t>
                        </w:r>
                      </w:p>
                      <w:p>
                        <w:pPr>
                          <w:pStyle w:val="TableParagraph"/>
                          <w:spacing w:before="72"/>
                          <w:ind w:left="103" w:right="99"/>
                          <w:rPr>
                            <w:sz w:val="16"/>
                          </w:rPr>
                        </w:pPr>
                        <w:r>
                          <w:rPr>
                            <w:sz w:val="16"/>
                          </w:rPr>
                          <w:t>-Tipo y numero  de transporte para  recolección</w:t>
                        </w:r>
                      </w:p>
                      <w:p>
                        <w:pPr>
                          <w:pStyle w:val="TableParagraph"/>
                          <w:spacing w:before="72"/>
                          <w:ind w:left="103" w:right="99"/>
                          <w:rPr>
                            <w:sz w:val="16"/>
                          </w:rPr>
                        </w:pPr>
                        <w:r>
                          <w:rPr>
                            <w:sz w:val="16"/>
                          </w:rPr>
                          <w:t>-Lugares de disposición final</w:t>
                        </w:r>
                      </w:p>
                      <w:p>
                        <w:pPr>
                          <w:pStyle w:val="TableParagraph"/>
                          <w:tabs>
                            <w:tab w:pos="3942" w:val="left" w:leader="none"/>
                          </w:tabs>
                          <w:spacing w:before="72"/>
                          <w:ind w:left="25"/>
                          <w:rPr>
                            <w:sz w:val="16"/>
                          </w:rPr>
                        </w:pPr>
                        <w:r>
                          <w:rPr>
                            <w:w w:val="100"/>
                            <w:sz w:val="16"/>
                            <w:u w:val="dotted" w:color="929292"/>
                          </w:rPr>
                          <w:t> </w:t>
                        </w:r>
                        <w:r>
                          <w:rPr>
                            <w:spacing w:val="-11"/>
                            <w:sz w:val="16"/>
                            <w:u w:val="dotted" w:color="929292"/>
                          </w:rPr>
                          <w:t> </w:t>
                        </w:r>
                        <w:r>
                          <w:rPr>
                            <w:sz w:val="16"/>
                            <w:u w:val="dotted" w:color="929292"/>
                          </w:rPr>
                          <w:t>-Organización de asentamientos</w:t>
                        </w:r>
                        <w:r>
                          <w:rPr>
                            <w:spacing w:val="19"/>
                            <w:sz w:val="16"/>
                            <w:u w:val="dotted" w:color="929292"/>
                          </w:rPr>
                          <w:t> </w:t>
                        </w:r>
                        <w:r>
                          <w:rPr>
                            <w:sz w:val="16"/>
                            <w:u w:val="dotted" w:color="929292"/>
                          </w:rPr>
                          <w:t>humanos</w:t>
                          <w:tab/>
                        </w:r>
                      </w:p>
                    </w:tc>
                  </w:tr>
                </w:tbl>
                <w:p>
                  <w:pPr>
                    <w:pStyle w:val="BodyText"/>
                  </w:pPr>
                </w:p>
              </w:txbxContent>
            </v:textbox>
            <w10:wrap type="none"/>
          </v:shape>
        </w:pict>
      </w:r>
      <w:r>
        <w:rPr>
          <w:color w:val="6D6E71"/>
          <w:sz w:val="16"/>
        </w:rPr>
        <w:t>Cuadro 5. Caracterización de la situación de los residuos sólidos  urbanos.</w:t>
      </w:r>
    </w:p>
    <w:p>
      <w:pPr>
        <w:spacing w:before="113"/>
        <w:ind w:left="1738" w:right="1738" w:firstLine="0"/>
        <w:jc w:val="center"/>
        <w:rPr>
          <w:sz w:val="16"/>
        </w:rPr>
      </w:pPr>
      <w:r>
        <w:rPr/>
        <w:br w:type="column"/>
      </w:r>
      <w:r>
        <w:rPr>
          <w:color w:val="6D6E71"/>
          <w:sz w:val="16"/>
        </w:rPr>
        <w:t>Fuente: Elaboración propia, 2015</w:t>
      </w:r>
    </w:p>
    <w:p>
      <w:pPr>
        <w:pStyle w:val="BodyText"/>
        <w:spacing w:before="3"/>
        <w:rPr>
          <w:sz w:val="22"/>
        </w:rPr>
      </w:pPr>
    </w:p>
    <w:p>
      <w:pPr>
        <w:pStyle w:val="BodyText"/>
        <w:spacing w:line="247" w:lineRule="auto"/>
        <w:ind w:left="131" w:right="129" w:firstLine="170"/>
        <w:jc w:val="both"/>
      </w:pPr>
      <w:r>
        <w:rPr>
          <w:rFonts w:ascii="Calibri" w:hAnsi="Calibri"/>
        </w:rPr>
        <w:t>» </w:t>
      </w:r>
      <w:r>
        <w:rPr>
          <w:b/>
          <w:i/>
        </w:rPr>
        <w:t>Diagnóstico: </w:t>
      </w:r>
      <w:r>
        <w:rPr/>
        <w:t>en esta fase se sintetiza la problemática expuesta en la fase  anterior,</w:t>
      </w:r>
      <w:r>
        <w:rPr>
          <w:spacing w:val="-19"/>
        </w:rPr>
        <w:t> </w:t>
      </w:r>
      <w:r>
        <w:rPr/>
        <w:t>mediante</w:t>
      </w:r>
      <w:r>
        <w:rPr>
          <w:spacing w:val="-19"/>
        </w:rPr>
        <w:t> </w:t>
      </w:r>
      <w:r>
        <w:rPr/>
        <w:t>el</w:t>
      </w:r>
      <w:r>
        <w:rPr>
          <w:spacing w:val="-19"/>
        </w:rPr>
        <w:t> </w:t>
      </w:r>
      <w:r>
        <w:rPr/>
        <w:t>instrumento</w:t>
      </w:r>
      <w:r>
        <w:rPr>
          <w:spacing w:val="-19"/>
        </w:rPr>
        <w:t> </w:t>
      </w:r>
      <w:r>
        <w:rPr/>
        <w:t>del</w:t>
      </w:r>
      <w:r>
        <w:rPr>
          <w:spacing w:val="-19"/>
        </w:rPr>
        <w:t> </w:t>
      </w:r>
      <w:r>
        <w:rPr/>
        <w:t>Análisis</w:t>
      </w:r>
      <w:r>
        <w:rPr>
          <w:spacing w:val="-19"/>
        </w:rPr>
        <w:t> </w:t>
      </w:r>
      <w:r>
        <w:rPr/>
        <w:t>FODA</w:t>
      </w:r>
      <w:r>
        <w:rPr>
          <w:spacing w:val="-19"/>
        </w:rPr>
        <w:t> </w:t>
      </w:r>
      <w:r>
        <w:rPr/>
        <w:t>(Fortalezas,</w:t>
      </w:r>
      <w:r>
        <w:rPr>
          <w:spacing w:val="-19"/>
        </w:rPr>
        <w:t> </w:t>
      </w:r>
      <w:r>
        <w:rPr/>
        <w:t>Debilidades,</w:t>
      </w:r>
      <w:r>
        <w:rPr>
          <w:spacing w:val="-19"/>
        </w:rPr>
        <w:t> </w:t>
      </w:r>
      <w:r>
        <w:rPr/>
        <w:t>Amenazas y Oportunidades), tratando de tejer los puntos de confluencia de cada uno de los subsistemas estudiados e indicadores tratados, de tal manera que de esta síntesis surjan las estrategias para orientar las acciones que den solución al caso de</w:t>
      </w:r>
      <w:r>
        <w:rPr>
          <w:spacing w:val="47"/>
        </w:rPr>
        <w:t> </w:t>
      </w:r>
      <w:r>
        <w:rPr/>
        <w:t>estudio.</w:t>
      </w:r>
    </w:p>
    <w:p>
      <w:pPr>
        <w:pStyle w:val="BodyText"/>
        <w:spacing w:before="10"/>
      </w:pPr>
    </w:p>
    <w:p>
      <w:pPr>
        <w:pStyle w:val="BodyText"/>
        <w:spacing w:line="249" w:lineRule="auto"/>
        <w:ind w:left="131" w:right="129" w:firstLine="170"/>
        <w:jc w:val="both"/>
      </w:pPr>
      <w:r>
        <w:rPr>
          <w:rFonts w:ascii="Calibri" w:hAnsi="Calibri"/>
        </w:rPr>
        <w:t>» </w:t>
      </w:r>
      <w:r>
        <w:rPr>
          <w:b/>
          <w:i/>
        </w:rPr>
        <w:t>Prospectiva: </w:t>
      </w:r>
      <w:r>
        <w:rPr/>
        <w:t>después de obtener las estrategias, se procede a diseñar un documento que oriente las acciones, este puede ser un plan, programa o proyecto, según el nivel de desagregación que se defina. El proyecto es la unidad básica de la planeación cuyo nivel de detalle es mayor, o como aclara Miranda (2005:19), es la unidad operativa del desarrollo. Las etapas de un proyecto constituyen acciones de aproximaciones sucesivas hacia la toma de decisiones de movilizar recursos hacia un objetivo</w:t>
      </w:r>
      <w:r>
        <w:rPr>
          <w:spacing w:val="-11"/>
        </w:rPr>
        <w:t> </w:t>
      </w:r>
      <w:r>
        <w:rPr/>
        <w:t>determinado,</w:t>
      </w:r>
      <w:r>
        <w:rPr>
          <w:spacing w:val="-11"/>
        </w:rPr>
        <w:t> </w:t>
      </w:r>
      <w:r>
        <w:rPr/>
        <w:t>va</w:t>
      </w:r>
      <w:r>
        <w:rPr>
          <w:spacing w:val="-11"/>
        </w:rPr>
        <w:t> </w:t>
      </w:r>
      <w:r>
        <w:rPr/>
        <w:t>desde</w:t>
      </w:r>
      <w:r>
        <w:rPr>
          <w:spacing w:val="-11"/>
        </w:rPr>
        <w:t> </w:t>
      </w:r>
      <w:r>
        <w:rPr/>
        <w:t>la</w:t>
      </w:r>
      <w:r>
        <w:rPr>
          <w:spacing w:val="-11"/>
        </w:rPr>
        <w:t> </w:t>
      </w:r>
      <w:r>
        <w:rPr/>
        <w:t>fase</w:t>
      </w:r>
      <w:r>
        <w:rPr>
          <w:spacing w:val="-11"/>
        </w:rPr>
        <w:t> </w:t>
      </w:r>
      <w:r>
        <w:rPr/>
        <w:t>de</w:t>
      </w:r>
      <w:r>
        <w:rPr>
          <w:spacing w:val="-11"/>
        </w:rPr>
        <w:t> </w:t>
      </w:r>
      <w:r>
        <w:rPr/>
        <w:t>identificación</w:t>
      </w:r>
      <w:r>
        <w:rPr>
          <w:spacing w:val="-11"/>
        </w:rPr>
        <w:t> </w:t>
      </w:r>
      <w:r>
        <w:rPr/>
        <w:t>de</w:t>
      </w:r>
      <w:r>
        <w:rPr>
          <w:spacing w:val="-11"/>
        </w:rPr>
        <w:t> </w:t>
      </w:r>
      <w:r>
        <w:rPr/>
        <w:t>la</w:t>
      </w:r>
      <w:r>
        <w:rPr>
          <w:spacing w:val="-11"/>
        </w:rPr>
        <w:t> </w:t>
      </w:r>
      <w:r>
        <w:rPr/>
        <w:t>idea,</w:t>
      </w:r>
      <w:r>
        <w:rPr>
          <w:spacing w:val="-11"/>
        </w:rPr>
        <w:t> </w:t>
      </w:r>
      <w:r>
        <w:rPr/>
        <w:t>perfil,</w:t>
      </w:r>
      <w:r>
        <w:rPr>
          <w:spacing w:val="-11"/>
        </w:rPr>
        <w:t> </w:t>
      </w:r>
      <w:r>
        <w:rPr/>
        <w:t>pre</w:t>
      </w:r>
      <w:r>
        <w:rPr>
          <w:spacing w:val="-11"/>
        </w:rPr>
        <w:t> </w:t>
      </w:r>
      <w:r>
        <w:rPr/>
        <w:t>factibilidad, factibilidad, diseño, ejecución y operación (Miranda, 2005:31), en cada etapa se va trabajando la propuesta con mayor</w:t>
      </w:r>
      <w:r>
        <w:rPr>
          <w:spacing w:val="-19"/>
        </w:rPr>
        <w:t> </w:t>
      </w:r>
      <w:r>
        <w:rPr/>
        <w:t>detalle.</w:t>
      </w:r>
    </w:p>
    <w:p>
      <w:pPr>
        <w:spacing w:after="0" w:line="249" w:lineRule="auto"/>
        <w:jc w:val="both"/>
        <w:sectPr>
          <w:type w:val="continuous"/>
          <w:pgSz w:w="18830" w:h="12760" w:orient="landscape"/>
          <w:pgMar w:top="1420" w:bottom="280" w:left="720" w:right="720"/>
          <w:cols w:num="2" w:equalWidth="0">
            <w:col w:w="7843" w:space="1566"/>
            <w:col w:w="7981"/>
          </w:cols>
        </w:sectPr>
      </w:pPr>
    </w:p>
    <w:p>
      <w:pPr>
        <w:pStyle w:val="BodyText"/>
        <w:spacing w:before="8"/>
      </w:pPr>
    </w:p>
    <w:p>
      <w:pPr>
        <w:spacing w:after="0"/>
        <w:sectPr>
          <w:footerReference w:type="default" r:id="rId300"/>
          <w:pgSz w:w="18830" w:h="12760" w:orient="landscape"/>
          <w:pgMar w:footer="1036" w:header="522" w:top="820" w:bottom="1220" w:left="720" w:right="720"/>
        </w:sectPr>
      </w:pPr>
    </w:p>
    <w:p>
      <w:pPr>
        <w:pStyle w:val="Heading1"/>
        <w:spacing w:before="71"/>
        <w:ind w:left="301" w:right="3"/>
      </w:pPr>
      <w:r>
        <w:rPr/>
        <w:t>Metodología para el estudio del proceso de manejo del agua</w:t>
      </w:r>
    </w:p>
    <w:p>
      <w:pPr>
        <w:pStyle w:val="BodyText"/>
        <w:rPr>
          <w:b/>
          <w:sz w:val="21"/>
        </w:rPr>
      </w:pPr>
    </w:p>
    <w:p>
      <w:pPr>
        <w:pStyle w:val="BodyText"/>
        <w:spacing w:line="249" w:lineRule="auto"/>
        <w:ind w:left="131" w:firstLine="170"/>
        <w:jc w:val="both"/>
      </w:pPr>
      <w:r>
        <w:rPr/>
        <w:t>El proceso de manejo del agua es un concepto recientemente acuñado por Alvarado y otros (2012); contempla el tránsito del agua dentro de la sociedad, con la finalidad   de establecer intervenciones, a partir de conocer la cadena de acciones humanas en  el tránsito del agua que toma la sociedad de la naturaleza; por lo tanto, considera los comportamientos de los dos ámbitos y sus relaciones, para que dichas intervenciones no contravengan en otras esferas del mismo proceso, de las actividades humanas, o del funcionamiento de la</w:t>
      </w:r>
      <w:r>
        <w:rPr>
          <w:spacing w:val="12"/>
        </w:rPr>
        <w:t> </w:t>
      </w:r>
      <w:r>
        <w:rPr/>
        <w:t>naturaleza.</w:t>
      </w:r>
    </w:p>
    <w:p>
      <w:pPr>
        <w:pStyle w:val="BodyText"/>
        <w:spacing w:before="11"/>
      </w:pPr>
    </w:p>
    <w:p>
      <w:pPr>
        <w:pStyle w:val="BodyText"/>
        <w:spacing w:line="249" w:lineRule="auto"/>
        <w:ind w:left="131" w:firstLine="170"/>
        <w:jc w:val="both"/>
      </w:pPr>
      <w:r>
        <w:rPr/>
        <w:t>Este</w:t>
      </w:r>
      <w:r>
        <w:rPr>
          <w:spacing w:val="-17"/>
        </w:rPr>
        <w:t> </w:t>
      </w:r>
      <w:r>
        <w:rPr/>
        <w:t>concepto</w:t>
      </w:r>
      <w:r>
        <w:rPr>
          <w:spacing w:val="-17"/>
        </w:rPr>
        <w:t> </w:t>
      </w:r>
      <w:r>
        <w:rPr/>
        <w:t>nace</w:t>
      </w:r>
      <w:r>
        <w:rPr>
          <w:spacing w:val="-17"/>
        </w:rPr>
        <w:t> </w:t>
      </w:r>
      <w:r>
        <w:rPr/>
        <w:t>de</w:t>
      </w:r>
      <w:r>
        <w:rPr>
          <w:spacing w:val="-17"/>
        </w:rPr>
        <w:t> </w:t>
      </w:r>
      <w:r>
        <w:rPr/>
        <w:t>reconocer</w:t>
      </w:r>
      <w:r>
        <w:rPr>
          <w:spacing w:val="-17"/>
        </w:rPr>
        <w:t> </w:t>
      </w:r>
      <w:r>
        <w:rPr/>
        <w:t>que</w:t>
      </w:r>
      <w:r>
        <w:rPr>
          <w:spacing w:val="-17"/>
        </w:rPr>
        <w:t> </w:t>
      </w:r>
      <w:r>
        <w:rPr/>
        <w:t>por</w:t>
      </w:r>
      <w:r>
        <w:rPr>
          <w:spacing w:val="-17"/>
        </w:rPr>
        <w:t> </w:t>
      </w:r>
      <w:r>
        <w:rPr/>
        <w:t>la</w:t>
      </w:r>
      <w:r>
        <w:rPr>
          <w:spacing w:val="-17"/>
        </w:rPr>
        <w:t> </w:t>
      </w:r>
      <w:r>
        <w:rPr/>
        <w:t>vitalidad</w:t>
      </w:r>
      <w:r>
        <w:rPr>
          <w:spacing w:val="-17"/>
        </w:rPr>
        <w:t> </w:t>
      </w:r>
      <w:r>
        <w:rPr/>
        <w:t>del</w:t>
      </w:r>
      <w:r>
        <w:rPr>
          <w:spacing w:val="-17"/>
        </w:rPr>
        <w:t> </w:t>
      </w:r>
      <w:r>
        <w:rPr/>
        <w:t>recurso,</w:t>
      </w:r>
      <w:r>
        <w:rPr>
          <w:spacing w:val="-17"/>
        </w:rPr>
        <w:t> </w:t>
      </w:r>
      <w:r>
        <w:rPr/>
        <w:t>todas</w:t>
      </w:r>
      <w:r>
        <w:rPr>
          <w:spacing w:val="-17"/>
        </w:rPr>
        <w:t> </w:t>
      </w:r>
      <w:r>
        <w:rPr/>
        <w:t>las</w:t>
      </w:r>
      <w:r>
        <w:rPr>
          <w:spacing w:val="-17"/>
        </w:rPr>
        <w:t> </w:t>
      </w:r>
      <w:r>
        <w:rPr/>
        <w:t>sociedades en el mundo, y en todo momento, hacen uso del agua para satisfacer necesidades,     y que cada una lo hace de una manera particular, que responde a condicionantes específicas</w:t>
      </w:r>
      <w:r>
        <w:rPr>
          <w:spacing w:val="-9"/>
        </w:rPr>
        <w:t> </w:t>
      </w:r>
      <w:r>
        <w:rPr/>
        <w:t>de</w:t>
      </w:r>
      <w:r>
        <w:rPr>
          <w:spacing w:val="-9"/>
        </w:rPr>
        <w:t> </w:t>
      </w:r>
      <w:r>
        <w:rPr/>
        <w:t>diverso</w:t>
      </w:r>
      <w:r>
        <w:rPr>
          <w:spacing w:val="-9"/>
        </w:rPr>
        <w:t> </w:t>
      </w:r>
      <w:r>
        <w:rPr/>
        <w:t>orden,</w:t>
      </w:r>
      <w:r>
        <w:rPr>
          <w:spacing w:val="-9"/>
        </w:rPr>
        <w:t> </w:t>
      </w:r>
      <w:r>
        <w:rPr/>
        <w:t>que</w:t>
      </w:r>
      <w:r>
        <w:rPr>
          <w:spacing w:val="-9"/>
        </w:rPr>
        <w:t> </w:t>
      </w:r>
      <w:r>
        <w:rPr/>
        <w:t>le</w:t>
      </w:r>
      <w:r>
        <w:rPr>
          <w:spacing w:val="-9"/>
        </w:rPr>
        <w:t> </w:t>
      </w:r>
      <w:r>
        <w:rPr/>
        <w:t>da</w:t>
      </w:r>
      <w:r>
        <w:rPr>
          <w:spacing w:val="-9"/>
        </w:rPr>
        <w:t> </w:t>
      </w:r>
      <w:r>
        <w:rPr/>
        <w:t>connotaciones</w:t>
      </w:r>
      <w:r>
        <w:rPr>
          <w:spacing w:val="-9"/>
        </w:rPr>
        <w:t> </w:t>
      </w:r>
      <w:r>
        <w:rPr/>
        <w:t>diversas</w:t>
      </w:r>
      <w:r>
        <w:rPr>
          <w:spacing w:val="-9"/>
        </w:rPr>
        <w:t> </w:t>
      </w:r>
      <w:r>
        <w:rPr/>
        <w:t>al</w:t>
      </w:r>
      <w:r>
        <w:rPr>
          <w:spacing w:val="-9"/>
        </w:rPr>
        <w:t> </w:t>
      </w:r>
      <w:r>
        <w:rPr/>
        <w:t>mencionado</w:t>
      </w:r>
      <w:r>
        <w:rPr>
          <w:spacing w:val="-9"/>
        </w:rPr>
        <w:t> </w:t>
      </w:r>
      <w:r>
        <w:rPr/>
        <w:t>proceso. Así, cada sociedad aplica distintas tecnologías a su alcance, según los avances de    su momento, pero también de la condición biofísica que le ofrece el territorio donde   se realiza o realizará el manejo hídrico, ya sea para el aprovechamiento del líquido,   su saneamiento, desalojo, prevención contra inundaciones o cualquier intervención humana que requiere manipular el agua, independientemente de las</w:t>
      </w:r>
      <w:r>
        <w:rPr>
          <w:spacing w:val="15"/>
        </w:rPr>
        <w:t> </w:t>
      </w:r>
      <w:r>
        <w:rPr/>
        <w:t>finalidades.</w:t>
      </w:r>
    </w:p>
    <w:p>
      <w:pPr>
        <w:pStyle w:val="BodyText"/>
        <w:spacing w:before="11"/>
      </w:pPr>
    </w:p>
    <w:p>
      <w:pPr>
        <w:pStyle w:val="BodyText"/>
        <w:spacing w:line="249" w:lineRule="auto"/>
        <w:ind w:left="131" w:firstLine="170"/>
        <w:jc w:val="both"/>
      </w:pPr>
      <w:r>
        <w:rPr/>
        <w:t>En este orden de ideas, la propuesta metodológica que aquí se plantea, fue utilizada en la microcuenca del arroyo El Muerto, y ahora con las adecuaciones apropiadas a   la escala del estudio, pretende ser aplicada en al ámbito regional de la cuenca del río Chalma, para identificar y valorar los impactos territoriales de la expansión urbana,    en materia de agua, tanto por su apropiación, como por su descarga en los cuerpos receptores</w:t>
      </w:r>
      <w:r>
        <w:rPr>
          <w:spacing w:val="-7"/>
        </w:rPr>
        <w:t> </w:t>
      </w:r>
      <w:r>
        <w:rPr/>
        <w:t>de</w:t>
      </w:r>
      <w:r>
        <w:rPr>
          <w:spacing w:val="-7"/>
        </w:rPr>
        <w:t> </w:t>
      </w:r>
      <w:r>
        <w:rPr/>
        <w:t>la</w:t>
      </w:r>
      <w:r>
        <w:rPr>
          <w:spacing w:val="-7"/>
        </w:rPr>
        <w:t> </w:t>
      </w:r>
      <w:r>
        <w:rPr/>
        <w:t>zona</w:t>
      </w:r>
      <w:r>
        <w:rPr>
          <w:spacing w:val="-7"/>
        </w:rPr>
        <w:t> </w:t>
      </w:r>
      <w:r>
        <w:rPr/>
        <w:t>de</w:t>
      </w:r>
      <w:r>
        <w:rPr>
          <w:spacing w:val="-7"/>
        </w:rPr>
        <w:t> </w:t>
      </w:r>
      <w:r>
        <w:rPr/>
        <w:t>estudio,</w:t>
      </w:r>
      <w:r>
        <w:rPr>
          <w:spacing w:val="-7"/>
        </w:rPr>
        <w:t> </w:t>
      </w:r>
      <w:r>
        <w:rPr/>
        <w:t>con</w:t>
      </w:r>
      <w:r>
        <w:rPr>
          <w:spacing w:val="-7"/>
        </w:rPr>
        <w:t> </w:t>
      </w:r>
      <w:r>
        <w:rPr/>
        <w:t>la</w:t>
      </w:r>
      <w:r>
        <w:rPr>
          <w:spacing w:val="-7"/>
        </w:rPr>
        <w:t> </w:t>
      </w:r>
      <w:r>
        <w:rPr/>
        <w:t>finalidad</w:t>
      </w:r>
      <w:r>
        <w:rPr>
          <w:spacing w:val="-7"/>
        </w:rPr>
        <w:t> </w:t>
      </w:r>
      <w:r>
        <w:rPr/>
        <w:t>de</w:t>
      </w:r>
      <w:r>
        <w:rPr>
          <w:spacing w:val="-7"/>
        </w:rPr>
        <w:t> </w:t>
      </w:r>
      <w:r>
        <w:rPr/>
        <w:t>proponer</w:t>
      </w:r>
      <w:r>
        <w:rPr>
          <w:spacing w:val="-7"/>
        </w:rPr>
        <w:t> </w:t>
      </w:r>
      <w:r>
        <w:rPr/>
        <w:t>alternativas</w:t>
      </w:r>
      <w:r>
        <w:rPr>
          <w:spacing w:val="-7"/>
        </w:rPr>
        <w:t> </w:t>
      </w:r>
      <w:r>
        <w:rPr/>
        <w:t>de</w:t>
      </w:r>
      <w:r>
        <w:rPr>
          <w:spacing w:val="-7"/>
        </w:rPr>
        <w:t> </w:t>
      </w:r>
      <w:r>
        <w:rPr/>
        <w:t>mitigación para las transformaciones que desencadenan en impactos ambientales, atendiendolas desde las causas</w:t>
      </w:r>
      <w:r>
        <w:rPr>
          <w:spacing w:val="24"/>
        </w:rPr>
        <w:t> </w:t>
      </w:r>
      <w:r>
        <w:rPr/>
        <w:t>antropogénicas.</w:t>
      </w:r>
    </w:p>
    <w:p>
      <w:pPr>
        <w:pStyle w:val="BodyText"/>
        <w:spacing w:before="11"/>
      </w:pPr>
    </w:p>
    <w:p>
      <w:pPr>
        <w:pStyle w:val="BodyText"/>
        <w:spacing w:line="249" w:lineRule="auto"/>
        <w:ind w:left="131" w:right="1" w:firstLine="170"/>
        <w:jc w:val="both"/>
      </w:pPr>
      <w:r>
        <w:rPr>
          <w:spacing w:val="-3"/>
        </w:rPr>
        <w:t>Para </w:t>
      </w:r>
      <w:r>
        <w:rPr>
          <w:spacing w:val="-4"/>
        </w:rPr>
        <w:t>proceder </w:t>
      </w:r>
      <w:r>
        <w:rPr/>
        <w:t>al </w:t>
      </w:r>
      <w:r>
        <w:rPr>
          <w:spacing w:val="-4"/>
        </w:rPr>
        <w:t>estudio </w:t>
      </w:r>
      <w:r>
        <w:rPr>
          <w:spacing w:val="-3"/>
        </w:rPr>
        <w:t>del </w:t>
      </w:r>
      <w:r>
        <w:rPr>
          <w:spacing w:val="-4"/>
        </w:rPr>
        <w:t>mencionado proceso, </w:t>
      </w:r>
      <w:r>
        <w:rPr>
          <w:spacing w:val="-3"/>
        </w:rPr>
        <w:t>que </w:t>
      </w:r>
      <w:r>
        <w:rPr>
          <w:spacing w:val="-4"/>
        </w:rPr>
        <w:t>incluye </w:t>
      </w:r>
      <w:r>
        <w:rPr>
          <w:spacing w:val="-3"/>
        </w:rPr>
        <w:t>tres </w:t>
      </w:r>
      <w:r>
        <w:rPr>
          <w:spacing w:val="-4"/>
        </w:rPr>
        <w:t>fases </w:t>
      </w:r>
      <w:r>
        <w:rPr>
          <w:spacing w:val="-3"/>
        </w:rPr>
        <w:t>que son: </w:t>
      </w:r>
      <w:r>
        <w:rPr>
          <w:spacing w:val="-4"/>
        </w:rPr>
        <w:t>1) apropiación, </w:t>
      </w:r>
      <w:r>
        <w:rPr/>
        <w:t>2) </w:t>
      </w:r>
      <w:r>
        <w:rPr>
          <w:spacing w:val="-3"/>
        </w:rPr>
        <w:t>uso </w:t>
      </w:r>
      <w:r>
        <w:rPr/>
        <w:t>y </w:t>
      </w:r>
      <w:r>
        <w:rPr>
          <w:spacing w:val="-4"/>
        </w:rPr>
        <w:t>aprovechamiento, </w:t>
      </w:r>
      <w:r>
        <w:rPr/>
        <w:t>y 3) </w:t>
      </w:r>
      <w:r>
        <w:rPr>
          <w:spacing w:val="-4"/>
        </w:rPr>
        <w:t>descarga; </w:t>
      </w:r>
      <w:r>
        <w:rPr>
          <w:spacing w:val="-3"/>
        </w:rPr>
        <w:t>esta </w:t>
      </w:r>
      <w:r>
        <w:rPr>
          <w:spacing w:val="-4"/>
        </w:rPr>
        <w:t>secuencia </w:t>
      </w:r>
      <w:r>
        <w:rPr/>
        <w:t>se </w:t>
      </w:r>
      <w:r>
        <w:rPr>
          <w:spacing w:val="-4"/>
        </w:rPr>
        <w:t>considera como </w:t>
      </w:r>
      <w:r>
        <w:rPr/>
        <w:t>un </w:t>
      </w:r>
      <w:r>
        <w:rPr>
          <w:spacing w:val="-4"/>
        </w:rPr>
        <w:t>sistema abierto, </w:t>
      </w:r>
      <w:r>
        <w:rPr>
          <w:spacing w:val="-3"/>
        </w:rPr>
        <w:t>que </w:t>
      </w:r>
      <w:r>
        <w:rPr>
          <w:spacing w:val="-4"/>
        </w:rPr>
        <w:t>interactúa </w:t>
      </w:r>
      <w:r>
        <w:rPr>
          <w:spacing w:val="-3"/>
        </w:rPr>
        <w:t>con </w:t>
      </w:r>
      <w:r>
        <w:rPr/>
        <w:t>el </w:t>
      </w:r>
      <w:r>
        <w:rPr>
          <w:spacing w:val="-4"/>
        </w:rPr>
        <w:t>ciclo </w:t>
      </w:r>
      <w:r>
        <w:rPr>
          <w:spacing w:val="-3"/>
        </w:rPr>
        <w:t>del </w:t>
      </w:r>
      <w:r>
        <w:rPr>
          <w:spacing w:val="-4"/>
        </w:rPr>
        <w:t>agua, aunque </w:t>
      </w:r>
      <w:r>
        <w:rPr>
          <w:spacing w:val="-3"/>
        </w:rPr>
        <w:t>bajo </w:t>
      </w:r>
      <w:r>
        <w:rPr>
          <w:spacing w:val="-4"/>
        </w:rPr>
        <w:t>ciertas</w:t>
      </w:r>
      <w:r>
        <w:rPr>
          <w:spacing w:val="-35"/>
        </w:rPr>
        <w:t> </w:t>
      </w:r>
      <w:r>
        <w:rPr>
          <w:spacing w:val="-4"/>
        </w:rPr>
        <w:t>circunstancias </w:t>
      </w:r>
      <w:r>
        <w:rPr/>
        <w:t>de</w:t>
      </w:r>
      <w:r>
        <w:rPr>
          <w:spacing w:val="-12"/>
        </w:rPr>
        <w:t> </w:t>
      </w:r>
      <w:r>
        <w:rPr>
          <w:spacing w:val="-4"/>
        </w:rPr>
        <w:t>organización</w:t>
      </w:r>
      <w:r>
        <w:rPr>
          <w:spacing w:val="-12"/>
        </w:rPr>
        <w:t> </w:t>
      </w:r>
      <w:r>
        <w:rPr>
          <w:spacing w:val="-4"/>
        </w:rPr>
        <w:t>social,</w:t>
      </w:r>
      <w:r>
        <w:rPr>
          <w:spacing w:val="-12"/>
        </w:rPr>
        <w:t> </w:t>
      </w:r>
      <w:r>
        <w:rPr>
          <w:spacing w:val="-4"/>
        </w:rPr>
        <w:t>puede</w:t>
      </w:r>
      <w:r>
        <w:rPr>
          <w:spacing w:val="-12"/>
        </w:rPr>
        <w:t> </w:t>
      </w:r>
      <w:r>
        <w:rPr>
          <w:spacing w:val="-3"/>
        </w:rPr>
        <w:t>ser</w:t>
      </w:r>
      <w:r>
        <w:rPr>
          <w:spacing w:val="-12"/>
        </w:rPr>
        <w:t> </w:t>
      </w:r>
      <w:r>
        <w:rPr/>
        <w:t>un</w:t>
      </w:r>
      <w:r>
        <w:rPr>
          <w:spacing w:val="-12"/>
        </w:rPr>
        <w:t> </w:t>
      </w:r>
      <w:r>
        <w:rPr>
          <w:spacing w:val="-4"/>
        </w:rPr>
        <w:t>sistema</w:t>
      </w:r>
      <w:r>
        <w:rPr>
          <w:spacing w:val="-12"/>
        </w:rPr>
        <w:t> </w:t>
      </w:r>
      <w:r>
        <w:rPr>
          <w:spacing w:val="-4"/>
        </w:rPr>
        <w:t>cerrado</w:t>
      </w:r>
      <w:r>
        <w:rPr>
          <w:spacing w:val="-12"/>
        </w:rPr>
        <w:t> </w:t>
      </w:r>
      <w:r>
        <w:rPr/>
        <w:t>y</w:t>
      </w:r>
      <w:r>
        <w:rPr>
          <w:spacing w:val="-12"/>
        </w:rPr>
        <w:t> </w:t>
      </w:r>
      <w:r>
        <w:rPr>
          <w:spacing w:val="-4"/>
        </w:rPr>
        <w:t>paralelo</w:t>
      </w:r>
      <w:r>
        <w:rPr>
          <w:spacing w:val="-12"/>
        </w:rPr>
        <w:t> </w:t>
      </w:r>
      <w:r>
        <w:rPr/>
        <w:t>al</w:t>
      </w:r>
      <w:r>
        <w:rPr>
          <w:spacing w:val="-12"/>
        </w:rPr>
        <w:t> </w:t>
      </w:r>
      <w:r>
        <w:rPr>
          <w:spacing w:val="-4"/>
        </w:rPr>
        <w:t>ciclo</w:t>
      </w:r>
      <w:r>
        <w:rPr>
          <w:spacing w:val="-12"/>
        </w:rPr>
        <w:t> </w:t>
      </w:r>
      <w:r>
        <w:rPr>
          <w:spacing w:val="-3"/>
        </w:rPr>
        <w:t>del</w:t>
      </w:r>
      <w:r>
        <w:rPr>
          <w:spacing w:val="-12"/>
        </w:rPr>
        <w:t> </w:t>
      </w:r>
      <w:r>
        <w:rPr>
          <w:spacing w:val="-3"/>
        </w:rPr>
        <w:t>agua</w:t>
      </w:r>
      <w:r>
        <w:rPr>
          <w:spacing w:val="-12"/>
        </w:rPr>
        <w:t> </w:t>
      </w:r>
      <w:r>
        <w:rPr>
          <w:spacing w:val="-3"/>
        </w:rPr>
        <w:t>que</w:t>
      </w:r>
      <w:r>
        <w:rPr>
          <w:spacing w:val="-12"/>
        </w:rPr>
        <w:t> </w:t>
      </w:r>
      <w:r>
        <w:rPr>
          <w:spacing w:val="-4"/>
        </w:rPr>
        <w:t>ofrece </w:t>
      </w:r>
      <w:r>
        <w:rPr/>
        <w:t>la </w:t>
      </w:r>
      <w:r>
        <w:rPr>
          <w:spacing w:val="-4"/>
        </w:rPr>
        <w:t>naturaleza. Debido </w:t>
      </w:r>
      <w:r>
        <w:rPr/>
        <w:t>a la </w:t>
      </w:r>
      <w:r>
        <w:rPr>
          <w:spacing w:val="-4"/>
        </w:rPr>
        <w:t>complejidad </w:t>
      </w:r>
      <w:r>
        <w:rPr>
          <w:spacing w:val="-3"/>
        </w:rPr>
        <w:t>que </w:t>
      </w:r>
      <w:r>
        <w:rPr>
          <w:spacing w:val="-4"/>
        </w:rPr>
        <w:t>implica </w:t>
      </w:r>
      <w:r>
        <w:rPr/>
        <w:t>el </w:t>
      </w:r>
      <w:r>
        <w:rPr>
          <w:spacing w:val="-4"/>
        </w:rPr>
        <w:t>proceso, </w:t>
      </w:r>
      <w:r>
        <w:rPr>
          <w:spacing w:val="-3"/>
        </w:rPr>
        <w:t>este confluye con una </w:t>
      </w:r>
      <w:r>
        <w:rPr>
          <w:spacing w:val="-4"/>
        </w:rPr>
        <w:t>serie </w:t>
      </w:r>
      <w:r>
        <w:rPr/>
        <w:t>de </w:t>
      </w:r>
      <w:r>
        <w:rPr>
          <w:spacing w:val="-4"/>
        </w:rPr>
        <w:t>elementos </w:t>
      </w:r>
      <w:r>
        <w:rPr>
          <w:spacing w:val="-3"/>
        </w:rPr>
        <w:t>para </w:t>
      </w:r>
      <w:r>
        <w:rPr>
          <w:spacing w:val="-4"/>
        </w:rPr>
        <w:t>interactuar, </w:t>
      </w:r>
      <w:r>
        <w:rPr>
          <w:spacing w:val="-3"/>
        </w:rPr>
        <w:t>cada uno </w:t>
      </w:r>
      <w:r>
        <w:rPr/>
        <w:t>de </w:t>
      </w:r>
      <w:r>
        <w:rPr>
          <w:spacing w:val="-4"/>
        </w:rPr>
        <w:t>ellos </w:t>
      </w:r>
      <w:r>
        <w:rPr>
          <w:spacing w:val="-3"/>
        </w:rPr>
        <w:t>con </w:t>
      </w:r>
      <w:r>
        <w:rPr/>
        <w:t>su </w:t>
      </w:r>
      <w:r>
        <w:rPr>
          <w:spacing w:val="-4"/>
        </w:rPr>
        <w:t>propia dinámica </w:t>
      </w:r>
      <w:r>
        <w:rPr/>
        <w:t>y </w:t>
      </w:r>
      <w:r>
        <w:rPr>
          <w:spacing w:val="-4"/>
        </w:rPr>
        <w:t>complejidad. </w:t>
      </w:r>
      <w:r>
        <w:rPr>
          <w:spacing w:val="-3"/>
        </w:rPr>
        <w:t>Por </w:t>
      </w:r>
      <w:r>
        <w:rPr>
          <w:spacing w:val="-4"/>
        </w:rPr>
        <w:t>ello, dicho proceso complejo </w:t>
      </w:r>
      <w:r>
        <w:rPr/>
        <w:t>se </w:t>
      </w:r>
      <w:r>
        <w:rPr>
          <w:spacing w:val="-4"/>
        </w:rPr>
        <w:t>puede analizar </w:t>
      </w:r>
      <w:r>
        <w:rPr/>
        <w:t>a </w:t>
      </w:r>
      <w:r>
        <w:rPr>
          <w:spacing w:val="-4"/>
        </w:rPr>
        <w:t>partir </w:t>
      </w:r>
      <w:r>
        <w:rPr/>
        <w:t>de la </w:t>
      </w:r>
      <w:r>
        <w:rPr>
          <w:spacing w:val="-4"/>
        </w:rPr>
        <w:t>desagregación </w:t>
      </w:r>
      <w:r>
        <w:rPr/>
        <w:t>en </w:t>
      </w:r>
      <w:r>
        <w:rPr>
          <w:spacing w:val="-4"/>
        </w:rPr>
        <w:t>los cinco subsistemas </w:t>
      </w:r>
      <w:r>
        <w:rPr>
          <w:spacing w:val="-3"/>
        </w:rPr>
        <w:t>que </w:t>
      </w:r>
      <w:r>
        <w:rPr/>
        <w:t>lo </w:t>
      </w:r>
      <w:r>
        <w:rPr>
          <w:spacing w:val="-4"/>
        </w:rPr>
        <w:t>conforman </w:t>
      </w:r>
      <w:r>
        <w:rPr/>
        <w:t>y </w:t>
      </w:r>
      <w:r>
        <w:rPr>
          <w:spacing w:val="-3"/>
        </w:rPr>
        <w:t>que son: </w:t>
      </w:r>
      <w:r>
        <w:rPr>
          <w:spacing w:val="-4"/>
        </w:rPr>
        <w:t>biofísico, tecnológico, económico, socio- cultural </w:t>
      </w:r>
      <w:r>
        <w:rPr/>
        <w:t>y </w:t>
      </w:r>
      <w:r>
        <w:rPr>
          <w:spacing w:val="-4"/>
        </w:rPr>
        <w:t>político-administrativo. </w:t>
      </w:r>
      <w:r>
        <w:rPr>
          <w:spacing w:val="-3"/>
        </w:rPr>
        <w:t>Cada uno </w:t>
      </w:r>
      <w:r>
        <w:rPr/>
        <w:t>de </w:t>
      </w:r>
      <w:r>
        <w:rPr>
          <w:spacing w:val="-4"/>
        </w:rPr>
        <w:t>estos subsistemas tiene límites difusos por </w:t>
      </w:r>
      <w:r>
        <w:rPr/>
        <w:t>lo </w:t>
      </w:r>
      <w:r>
        <w:rPr>
          <w:spacing w:val="-3"/>
        </w:rPr>
        <w:t>que, </w:t>
      </w:r>
      <w:r>
        <w:rPr>
          <w:spacing w:val="-4"/>
        </w:rPr>
        <w:t>entre ellos existen traslapes </w:t>
      </w:r>
      <w:r>
        <w:rPr>
          <w:spacing w:val="-3"/>
        </w:rPr>
        <w:t>que </w:t>
      </w:r>
      <w:r>
        <w:rPr>
          <w:spacing w:val="-4"/>
        </w:rPr>
        <w:t>permiten observar </w:t>
      </w:r>
      <w:r>
        <w:rPr/>
        <w:t>a </w:t>
      </w:r>
      <w:r>
        <w:rPr>
          <w:spacing w:val="-3"/>
        </w:rPr>
        <w:t>los </w:t>
      </w:r>
      <w:r>
        <w:rPr>
          <w:spacing w:val="-4"/>
        </w:rPr>
        <w:t>mismos elemento desde distintas perspectivas, </w:t>
      </w:r>
      <w:r>
        <w:rPr>
          <w:spacing w:val="-3"/>
        </w:rPr>
        <w:t>que </w:t>
      </w:r>
      <w:r>
        <w:rPr>
          <w:spacing w:val="-4"/>
        </w:rPr>
        <w:t>ofrecen </w:t>
      </w:r>
      <w:r>
        <w:rPr>
          <w:spacing w:val="-3"/>
        </w:rPr>
        <w:t>más </w:t>
      </w:r>
      <w:r>
        <w:rPr/>
        <w:t>de </w:t>
      </w:r>
      <w:r>
        <w:rPr>
          <w:spacing w:val="-3"/>
        </w:rPr>
        <w:t>una </w:t>
      </w:r>
      <w:r>
        <w:rPr>
          <w:spacing w:val="-4"/>
        </w:rPr>
        <w:t>interpretación temática. </w:t>
      </w:r>
      <w:r>
        <w:rPr>
          <w:spacing w:val="-3"/>
        </w:rPr>
        <w:t>Sin </w:t>
      </w:r>
      <w:r>
        <w:rPr>
          <w:spacing w:val="-4"/>
        </w:rPr>
        <w:t>embargo, el objetivo </w:t>
      </w:r>
      <w:r>
        <w:rPr/>
        <w:t>es </w:t>
      </w:r>
      <w:r>
        <w:rPr>
          <w:spacing w:val="-4"/>
        </w:rPr>
        <w:t>integrar </w:t>
      </w:r>
      <w:r>
        <w:rPr/>
        <w:t>en un </w:t>
      </w:r>
      <w:r>
        <w:rPr>
          <w:spacing w:val="-3"/>
        </w:rPr>
        <w:t>solo </w:t>
      </w:r>
      <w:r>
        <w:rPr>
          <w:spacing w:val="-4"/>
        </w:rPr>
        <w:t>estudio, </w:t>
      </w:r>
      <w:r>
        <w:rPr/>
        <w:t>la </w:t>
      </w:r>
      <w:r>
        <w:rPr>
          <w:spacing w:val="-4"/>
        </w:rPr>
        <w:t>totalidad </w:t>
      </w:r>
      <w:r>
        <w:rPr>
          <w:spacing w:val="-3"/>
        </w:rPr>
        <w:t>del </w:t>
      </w:r>
      <w:r>
        <w:rPr>
          <w:spacing w:val="-4"/>
        </w:rPr>
        <w:t>proceso </w:t>
      </w:r>
      <w:r>
        <w:rPr/>
        <w:t>de </w:t>
      </w:r>
      <w:r>
        <w:rPr>
          <w:spacing w:val="-4"/>
        </w:rPr>
        <w:t>manejo </w:t>
      </w:r>
      <w:r>
        <w:rPr>
          <w:spacing w:val="-3"/>
        </w:rPr>
        <w:t>del agua </w:t>
      </w:r>
      <w:r>
        <w:rPr/>
        <w:t>y no</w:t>
      </w:r>
      <w:r>
        <w:rPr>
          <w:spacing w:val="-17"/>
        </w:rPr>
        <w:t> </w:t>
      </w:r>
      <w:r>
        <w:rPr>
          <w:spacing w:val="-4"/>
        </w:rPr>
        <w:t>la </w:t>
      </w:r>
      <w:r>
        <w:rPr>
          <w:spacing w:val="-3"/>
        </w:rPr>
        <w:t>suma </w:t>
      </w:r>
      <w:r>
        <w:rPr/>
        <w:t>de </w:t>
      </w:r>
      <w:r>
        <w:rPr>
          <w:spacing w:val="-3"/>
        </w:rPr>
        <w:t>sus </w:t>
      </w:r>
      <w:r>
        <w:rPr>
          <w:spacing w:val="-4"/>
        </w:rPr>
        <w:t>componentes </w:t>
      </w:r>
      <w:r>
        <w:rPr>
          <w:spacing w:val="-3"/>
        </w:rPr>
        <w:t>por</w:t>
      </w:r>
      <w:r>
        <w:rPr>
          <w:spacing w:val="19"/>
        </w:rPr>
        <w:t> </w:t>
      </w:r>
      <w:r>
        <w:rPr>
          <w:spacing w:val="-4"/>
        </w:rPr>
        <w:t>separado.</w:t>
      </w:r>
    </w:p>
    <w:p>
      <w:pPr>
        <w:pStyle w:val="BodyText"/>
        <w:spacing w:line="249" w:lineRule="auto" w:before="109"/>
        <w:ind w:left="131" w:right="128" w:firstLine="170"/>
        <w:jc w:val="both"/>
      </w:pPr>
      <w:r>
        <w:rPr/>
        <w:br w:type="column"/>
      </w:r>
      <w:r>
        <w:rPr/>
        <w:t>En tal sentido, los métodos utilizados para la comprensión de este proceso son:       el análisis y la síntesis; ambos métodos actúan en sentidos opuestos, para una comprensión cabal, no solo de los componentes, sino también de las interacciones  que le dan sentido a la totalidad, como una unidad, distinta a la suma de sus partes. Por lo anterior, una totalidad estudiada no tiene las propiedades de los componentes, ni es la suma de ellos, sino que es cualitativamente</w:t>
      </w:r>
      <w:r>
        <w:rPr>
          <w:spacing w:val="38"/>
        </w:rPr>
        <w:t> </w:t>
      </w:r>
      <w:r>
        <w:rPr/>
        <w:t>distinto.</w:t>
      </w:r>
    </w:p>
    <w:p>
      <w:pPr>
        <w:pStyle w:val="BodyText"/>
        <w:spacing w:before="11"/>
      </w:pPr>
    </w:p>
    <w:p>
      <w:pPr>
        <w:pStyle w:val="BodyText"/>
        <w:spacing w:line="249" w:lineRule="auto"/>
        <w:ind w:left="131" w:right="129" w:firstLine="170"/>
        <w:jc w:val="both"/>
      </w:pPr>
      <w:r>
        <w:rPr/>
        <w:t>A partir de lo anterior, el análisis es un método que permite la desintegración de    una unidad, para conocer con mayor profundidad sus partes, mientras que la síntesis es la reconfiguración de esos componentes, a partir de sus relaciones, que son necesarias para entender a la totalidad. En ese sentido, para el caso del proceso de manejo del agua, la comprensión de la articulación de los cinco subsistemas permite entender a la totalidad, mediante la aplicación de este binomio metodológico, que separa a sus subsistemas, para estudiarlo en detalle, para posteriormente integrar a sus componentes. Por su parte, la síntesis reconstruye a la unidad, luego del análisis, para entender a la totalidad, con sus propiedades y características, no solo de los componentes, para su cabal comprensión, con lo cual se logra una etapa cognitiva superior en la comprensión de una realidad</w:t>
      </w:r>
      <w:r>
        <w:rPr>
          <w:spacing w:val="38"/>
        </w:rPr>
        <w:t> </w:t>
      </w:r>
      <w:r>
        <w:rPr/>
        <w:t>compleja.</w:t>
      </w:r>
    </w:p>
    <w:p>
      <w:pPr>
        <w:pStyle w:val="BodyText"/>
        <w:spacing w:before="11"/>
      </w:pPr>
    </w:p>
    <w:p>
      <w:pPr>
        <w:pStyle w:val="BodyText"/>
        <w:spacing w:line="249" w:lineRule="auto"/>
        <w:ind w:left="131" w:right="128" w:firstLine="170"/>
        <w:jc w:val="both"/>
      </w:pPr>
      <w:r>
        <w:rPr/>
        <w:t>Es importante destacar que en la fase analítica, se aplican conceptos y</w:t>
      </w:r>
      <w:r>
        <w:rPr>
          <w:spacing w:val="-31"/>
        </w:rPr>
        <w:t> </w:t>
      </w:r>
      <w:r>
        <w:rPr/>
        <w:t>metodologías que</w:t>
      </w:r>
      <w:r>
        <w:rPr>
          <w:spacing w:val="-3"/>
        </w:rPr>
        <w:t> </w:t>
      </w:r>
      <w:r>
        <w:rPr/>
        <w:t>son</w:t>
      </w:r>
      <w:r>
        <w:rPr>
          <w:spacing w:val="-3"/>
        </w:rPr>
        <w:t> </w:t>
      </w:r>
      <w:r>
        <w:rPr/>
        <w:t>propias</w:t>
      </w:r>
      <w:r>
        <w:rPr>
          <w:spacing w:val="-3"/>
        </w:rPr>
        <w:t> </w:t>
      </w:r>
      <w:r>
        <w:rPr/>
        <w:t>de</w:t>
      </w:r>
      <w:r>
        <w:rPr>
          <w:spacing w:val="-3"/>
        </w:rPr>
        <w:t> </w:t>
      </w:r>
      <w:r>
        <w:rPr/>
        <w:t>cada</w:t>
      </w:r>
      <w:r>
        <w:rPr>
          <w:spacing w:val="-3"/>
        </w:rPr>
        <w:t> </w:t>
      </w:r>
      <w:r>
        <w:rPr/>
        <w:t>uno</w:t>
      </w:r>
      <w:r>
        <w:rPr>
          <w:spacing w:val="-3"/>
        </w:rPr>
        <w:t> </w:t>
      </w:r>
      <w:r>
        <w:rPr/>
        <w:t>de</w:t>
      </w:r>
      <w:r>
        <w:rPr>
          <w:spacing w:val="-3"/>
        </w:rPr>
        <w:t> </w:t>
      </w:r>
      <w:r>
        <w:rPr/>
        <w:t>los</w:t>
      </w:r>
      <w:r>
        <w:rPr>
          <w:spacing w:val="-3"/>
        </w:rPr>
        <w:t> </w:t>
      </w:r>
      <w:r>
        <w:rPr/>
        <w:t>campos</w:t>
      </w:r>
      <w:r>
        <w:rPr>
          <w:spacing w:val="-3"/>
        </w:rPr>
        <w:t> </w:t>
      </w:r>
      <w:r>
        <w:rPr/>
        <w:t>del</w:t>
      </w:r>
      <w:r>
        <w:rPr>
          <w:spacing w:val="-3"/>
        </w:rPr>
        <w:t> </w:t>
      </w:r>
      <w:r>
        <w:rPr/>
        <w:t>conocimiento</w:t>
      </w:r>
      <w:r>
        <w:rPr>
          <w:spacing w:val="-3"/>
        </w:rPr>
        <w:t> </w:t>
      </w:r>
      <w:r>
        <w:rPr/>
        <w:t>que</w:t>
      </w:r>
      <w:r>
        <w:rPr>
          <w:spacing w:val="-3"/>
        </w:rPr>
        <w:t> </w:t>
      </w:r>
      <w:r>
        <w:rPr/>
        <w:t>son</w:t>
      </w:r>
      <w:r>
        <w:rPr>
          <w:spacing w:val="-3"/>
        </w:rPr>
        <w:t> </w:t>
      </w:r>
      <w:r>
        <w:rPr/>
        <w:t>pertinentes</w:t>
      </w:r>
      <w:r>
        <w:rPr>
          <w:spacing w:val="-3"/>
        </w:rPr>
        <w:t> </w:t>
      </w:r>
      <w:r>
        <w:rPr/>
        <w:t>para cada subsistema, de tal manera que se recurre a una gama de disciplinas y saberes que incluyen: las ciencias naturales, las sociales y la ingeniería, para conocer diversas particularidades del proceso de manejo, desde ámbitos de la naturaleza, como de la economía, la política, la sociedad y la tecnología. Esto se aplica en un ámbito territorial específico</w:t>
      </w:r>
      <w:r>
        <w:rPr>
          <w:spacing w:val="-6"/>
        </w:rPr>
        <w:t> </w:t>
      </w:r>
      <w:r>
        <w:rPr/>
        <w:t>que</w:t>
      </w:r>
      <w:r>
        <w:rPr>
          <w:spacing w:val="-6"/>
        </w:rPr>
        <w:t> </w:t>
      </w:r>
      <w:r>
        <w:rPr/>
        <w:t>es</w:t>
      </w:r>
      <w:r>
        <w:rPr>
          <w:spacing w:val="-6"/>
        </w:rPr>
        <w:t> </w:t>
      </w:r>
      <w:r>
        <w:rPr/>
        <w:t>de</w:t>
      </w:r>
      <w:r>
        <w:rPr>
          <w:spacing w:val="-6"/>
        </w:rPr>
        <w:t> </w:t>
      </w:r>
      <w:r>
        <w:rPr/>
        <w:t>interés,</w:t>
      </w:r>
      <w:r>
        <w:rPr>
          <w:spacing w:val="-6"/>
        </w:rPr>
        <w:t> </w:t>
      </w:r>
      <w:r>
        <w:rPr/>
        <w:t>por</w:t>
      </w:r>
      <w:r>
        <w:rPr>
          <w:spacing w:val="-6"/>
        </w:rPr>
        <w:t> </w:t>
      </w:r>
      <w:r>
        <w:rPr/>
        <w:t>presentar</w:t>
      </w:r>
      <w:r>
        <w:rPr>
          <w:spacing w:val="-6"/>
        </w:rPr>
        <w:t> </w:t>
      </w:r>
      <w:r>
        <w:rPr/>
        <w:t>algún</w:t>
      </w:r>
      <w:r>
        <w:rPr>
          <w:spacing w:val="-6"/>
        </w:rPr>
        <w:t> </w:t>
      </w:r>
      <w:r>
        <w:rPr/>
        <w:t>problema</w:t>
      </w:r>
      <w:r>
        <w:rPr>
          <w:spacing w:val="-6"/>
        </w:rPr>
        <w:t> </w:t>
      </w:r>
      <w:r>
        <w:rPr/>
        <w:t>de</w:t>
      </w:r>
      <w:r>
        <w:rPr>
          <w:spacing w:val="-6"/>
        </w:rPr>
        <w:t> </w:t>
      </w:r>
      <w:r>
        <w:rPr/>
        <w:t>investigación,</w:t>
      </w:r>
      <w:r>
        <w:rPr>
          <w:spacing w:val="-6"/>
        </w:rPr>
        <w:t> </w:t>
      </w:r>
      <w:r>
        <w:rPr/>
        <w:t>que</w:t>
      </w:r>
      <w:r>
        <w:rPr>
          <w:spacing w:val="-6"/>
        </w:rPr>
        <w:t> </w:t>
      </w:r>
      <w:r>
        <w:rPr/>
        <w:t>puede ser a la vez un problema social, económico, ambiental, o las condicionantes para implantar uno o más proyectos, vinculados con el manejo del </w:t>
      </w:r>
      <w:r>
        <w:rPr>
          <w:spacing w:val="8"/>
        </w:rPr>
        <w:t> </w:t>
      </w:r>
      <w:r>
        <w:rPr/>
        <w:t>agua.</w:t>
      </w:r>
    </w:p>
    <w:p>
      <w:pPr>
        <w:pStyle w:val="BodyText"/>
        <w:spacing w:before="11"/>
      </w:pPr>
    </w:p>
    <w:p>
      <w:pPr>
        <w:pStyle w:val="BodyText"/>
        <w:spacing w:line="249" w:lineRule="auto"/>
        <w:ind w:left="131" w:right="128" w:firstLine="170"/>
        <w:jc w:val="both"/>
      </w:pPr>
      <w:r>
        <w:rPr/>
        <w:t>El proceso metodológico aplicado para el estudio del agua en la sociedad inicia    con la delimitación dela zona de estudio, que por tratarse del agua en sus distintos estados físicos, corresponde la cuenca hidrológica, que es la superficie de la corteza terrestre donde se concentra el agua que precipita sobre ella, bajo los supuestos de impermeabilidad de la zona comprendida y de ausencia de evapotranspiración; de  esta manera, el agua recibida, es conducida por gravedad, a través de un sistema de drenaje, hasta un punto de salida. Dicho punto, en el caso de la cuenca estudiada,    es la confluencia del río “Chalma” con el “Teporíca”, que es el río San Miguel, aguas abajo de la cabecera municipal de Malinalco. La mencionada confluencia es en un punto previo al encañonamiento del río Chalma, que inician los cerros “El Balcón” y “Clavelín”, al Sur de la localidad conocida como “Amate Amarillo”, del municipio de Malinalco, como se muestra en la figura</w:t>
      </w:r>
      <w:r>
        <w:rPr>
          <w:spacing w:val="24"/>
        </w:rPr>
        <w:t> </w:t>
      </w:r>
      <w:r>
        <w:rPr/>
        <w:t>2.</w:t>
      </w:r>
    </w:p>
    <w:p>
      <w:pPr>
        <w:spacing w:after="0" w:line="249" w:lineRule="auto"/>
        <w:jc w:val="both"/>
        <w:sectPr>
          <w:type w:val="continuous"/>
          <w:pgSz w:w="18830" w:h="12760" w:orient="landscape"/>
          <w:pgMar w:top="1420" w:bottom="280" w:left="720" w:right="720"/>
          <w:cols w:num="2" w:equalWidth="0">
            <w:col w:w="7843" w:space="1566"/>
            <w:col w:w="7981"/>
          </w:cols>
        </w:sectPr>
      </w:pPr>
    </w:p>
    <w:p>
      <w:pPr>
        <w:pStyle w:val="BodyText"/>
        <w:spacing w:before="6"/>
        <w:rPr>
          <w:sz w:val="23"/>
        </w:rPr>
      </w:pPr>
    </w:p>
    <w:p>
      <w:pPr>
        <w:spacing w:after="0"/>
        <w:rPr>
          <w:sz w:val="23"/>
        </w:rPr>
        <w:sectPr>
          <w:footerReference w:type="default" r:id="rId301"/>
          <w:pgSz w:w="18830" w:h="12760" w:orient="landscape"/>
          <w:pgMar w:footer="1036" w:header="522" w:top="820" w:bottom="1220" w:left="720" w:right="720"/>
        </w:sectPr>
      </w:pPr>
    </w:p>
    <w:p>
      <w:pPr>
        <w:pStyle w:val="BodyText"/>
        <w:spacing w:before="76"/>
        <w:ind w:left="2532"/>
      </w:pPr>
      <w:r>
        <w:rPr>
          <w:color w:val="6D6E71"/>
        </w:rPr>
        <w:t>Figura 2. Cuenca del río Chalma</w:t>
      </w:r>
    </w:p>
    <w:p>
      <w:pPr>
        <w:pStyle w:val="BodyText"/>
        <w:spacing w:before="6"/>
        <w:rPr>
          <w:sz w:val="11"/>
        </w:rPr>
      </w:pPr>
    </w:p>
    <w:p>
      <w:pPr>
        <w:pStyle w:val="BodyText"/>
        <w:ind w:left="1658"/>
      </w:pPr>
      <w:r>
        <w:rPr/>
        <w:drawing>
          <wp:inline distT="0" distB="0" distL="0" distR="0">
            <wp:extent cx="2940759" cy="3088386"/>
            <wp:effectExtent l="0" t="0" r="0" b="0"/>
            <wp:docPr id="123" name="image88.jpeg" descr=""/>
            <wp:cNvGraphicFramePr>
              <a:graphicFrameLocks noChangeAspect="1"/>
            </wp:cNvGraphicFramePr>
            <a:graphic>
              <a:graphicData uri="http://schemas.openxmlformats.org/drawingml/2006/picture">
                <pic:pic>
                  <pic:nvPicPr>
                    <pic:cNvPr id="124" name="image88.jpeg"/>
                    <pic:cNvPicPr/>
                  </pic:nvPicPr>
                  <pic:blipFill>
                    <a:blip r:embed="rId302" cstate="print"/>
                    <a:stretch>
                      <a:fillRect/>
                    </a:stretch>
                  </pic:blipFill>
                  <pic:spPr>
                    <a:xfrm>
                      <a:off x="0" y="0"/>
                      <a:ext cx="2940759" cy="3088386"/>
                    </a:xfrm>
                    <a:prstGeom prst="rect">
                      <a:avLst/>
                    </a:prstGeom>
                  </pic:spPr>
                </pic:pic>
              </a:graphicData>
            </a:graphic>
          </wp:inline>
        </w:drawing>
      </w:r>
      <w:r>
        <w:rPr/>
      </w:r>
    </w:p>
    <w:p>
      <w:pPr>
        <w:spacing w:before="91"/>
        <w:ind w:left="2049" w:right="0" w:firstLine="0"/>
        <w:jc w:val="left"/>
        <w:rPr>
          <w:sz w:val="16"/>
        </w:rPr>
      </w:pPr>
      <w:r>
        <w:rPr>
          <w:color w:val="6D6E71"/>
          <w:sz w:val="16"/>
        </w:rPr>
        <w:t>Fuente: Elaboración propia, con base en INEGI (1999)</w:t>
      </w:r>
    </w:p>
    <w:p>
      <w:pPr>
        <w:pStyle w:val="BodyText"/>
        <w:spacing w:before="5"/>
        <w:rPr>
          <w:sz w:val="22"/>
        </w:rPr>
      </w:pPr>
    </w:p>
    <w:p>
      <w:pPr>
        <w:pStyle w:val="BodyText"/>
        <w:spacing w:line="249" w:lineRule="auto"/>
        <w:ind w:left="115" w:firstLine="170"/>
        <w:jc w:val="both"/>
      </w:pPr>
      <w:r>
        <w:rPr/>
        <w:t>El estudio del proceso de manejo del agua sigue el proceso de planeación que consiste en: caracterización, diagnóstico, prospectiva y propuesta. En la  primera  etapa se analiza cada uno de los subsistemas dentro de la zona de estudio, a partir   de los lineamientos establecidos en Alvarado y otros (2012), para conocer los ámbitos temáticos donde se gesta y se desenvuelve el problema de</w:t>
      </w:r>
      <w:r>
        <w:rPr>
          <w:spacing w:val="52"/>
        </w:rPr>
        <w:t> </w:t>
      </w:r>
      <w:r>
        <w:rPr/>
        <w:t>investigación.</w:t>
      </w:r>
    </w:p>
    <w:p>
      <w:pPr>
        <w:pStyle w:val="BodyText"/>
        <w:spacing w:before="11"/>
      </w:pPr>
    </w:p>
    <w:p>
      <w:pPr>
        <w:pStyle w:val="BodyText"/>
        <w:spacing w:line="249" w:lineRule="auto"/>
        <w:ind w:left="115" w:firstLine="170"/>
        <w:jc w:val="both"/>
      </w:pPr>
      <w:r>
        <w:rPr/>
        <w:t>Posteriormente, se articulan los elementos relevantes que explican la problemática en el diagnóstico, así como aquellos que expresa las potencialidades del sistema para su atender la problemática, haciendo uso de los aspectos favorables disponibles. En esta parte del estudio se contempla la síntesis, a través de las articulaciones, que se mantienen para dar la unidad del sistema hasta la etapa de propuesta.</w:t>
      </w:r>
    </w:p>
    <w:p>
      <w:pPr>
        <w:pStyle w:val="BodyText"/>
        <w:spacing w:before="11"/>
      </w:pPr>
    </w:p>
    <w:p>
      <w:pPr>
        <w:pStyle w:val="BodyText"/>
        <w:spacing w:line="249" w:lineRule="auto"/>
        <w:ind w:left="115" w:firstLine="170"/>
        <w:jc w:val="both"/>
      </w:pPr>
      <w:r>
        <w:rPr/>
        <w:t>Cabe destacar que la metodología mencionada será aplicada para el estudio del problema de insuficiencia del líquido en la zona alta de la cabecera municipal de Malinalco y de otras localidades, así como del saneamiento de las aguas residuales, que se generan a partir de las actividades humanas dentro de la cuenca, y que        son descargadas sin ninguna depuración, dejando esta trabajo a las fuerzas de la naturaleza, que ya se encuentra sobrepasada por la cantidad de residuos en </w:t>
      </w:r>
      <w:r>
        <w:rPr>
          <w:spacing w:val="51"/>
        </w:rPr>
        <w:t> </w:t>
      </w:r>
      <w:r>
        <w:rPr/>
        <w:t>solución</w:t>
      </w:r>
    </w:p>
    <w:p>
      <w:pPr>
        <w:pStyle w:val="BodyText"/>
        <w:spacing w:line="249" w:lineRule="auto" w:before="76"/>
        <w:ind w:left="115" w:right="129"/>
        <w:jc w:val="both"/>
      </w:pPr>
      <w:r>
        <w:rPr/>
        <w:br w:type="column"/>
      </w:r>
      <w:r>
        <w:rPr/>
        <w:t>y en suspensión que contiene el agua que se reintegra a los cuerpos receptores, promoviendo con esto un problema de contaminación que reduce la calidad del  recurso aguas abajo. Por otra parte cabe preguntarse: ¿cuáles son las causas de la falta de líquido en algunas partes de la cuenca?; lo cual contrasta con otras en las que el recurso es abundante y permanente, pero puede</w:t>
      </w:r>
      <w:r>
        <w:rPr>
          <w:spacing w:val="19"/>
        </w:rPr>
        <w:t> </w:t>
      </w:r>
      <w:r>
        <w:rPr/>
        <w:t>escasear.</w:t>
      </w:r>
    </w:p>
    <w:p>
      <w:pPr>
        <w:pStyle w:val="BodyText"/>
      </w:pPr>
    </w:p>
    <w:p>
      <w:pPr>
        <w:pStyle w:val="BodyText"/>
      </w:pPr>
    </w:p>
    <w:p>
      <w:pPr>
        <w:pStyle w:val="BodyText"/>
        <w:spacing w:before="5"/>
        <w:rPr>
          <w:sz w:val="19"/>
        </w:rPr>
      </w:pPr>
    </w:p>
    <w:p>
      <w:pPr>
        <w:pStyle w:val="Heading1"/>
        <w:ind w:left="285"/>
      </w:pPr>
      <w:r>
        <w:rPr/>
        <w:t>Análisis de problemas y potencialidades</w:t>
      </w:r>
    </w:p>
    <w:p>
      <w:pPr>
        <w:pStyle w:val="BodyText"/>
        <w:rPr>
          <w:b/>
          <w:sz w:val="21"/>
        </w:rPr>
      </w:pPr>
    </w:p>
    <w:p>
      <w:pPr>
        <w:pStyle w:val="BodyText"/>
        <w:spacing w:line="249" w:lineRule="auto"/>
        <w:ind w:left="115" w:right="129" w:firstLine="170"/>
        <w:jc w:val="both"/>
      </w:pPr>
      <w:r>
        <w:rPr/>
        <w:t>El</w:t>
      </w:r>
      <w:r>
        <w:rPr>
          <w:spacing w:val="-24"/>
        </w:rPr>
        <w:t> </w:t>
      </w:r>
      <w:r>
        <w:rPr/>
        <w:t>análisis</w:t>
      </w:r>
      <w:r>
        <w:rPr>
          <w:spacing w:val="-24"/>
        </w:rPr>
        <w:t> </w:t>
      </w:r>
      <w:r>
        <w:rPr/>
        <w:t>de</w:t>
      </w:r>
      <w:r>
        <w:rPr>
          <w:spacing w:val="-24"/>
        </w:rPr>
        <w:t> </w:t>
      </w:r>
      <w:r>
        <w:rPr/>
        <w:t>la</w:t>
      </w:r>
      <w:r>
        <w:rPr>
          <w:spacing w:val="-24"/>
        </w:rPr>
        <w:t> </w:t>
      </w:r>
      <w:r>
        <w:rPr/>
        <w:t>problemática</w:t>
      </w:r>
      <w:r>
        <w:rPr>
          <w:spacing w:val="-24"/>
        </w:rPr>
        <w:t> </w:t>
      </w:r>
      <w:r>
        <w:rPr/>
        <w:t>que</w:t>
      </w:r>
      <w:r>
        <w:rPr>
          <w:spacing w:val="-24"/>
        </w:rPr>
        <w:t> </w:t>
      </w:r>
      <w:r>
        <w:rPr/>
        <w:t>enfrentan</w:t>
      </w:r>
      <w:r>
        <w:rPr>
          <w:spacing w:val="-24"/>
        </w:rPr>
        <w:t> </w:t>
      </w:r>
      <w:r>
        <w:rPr/>
        <w:t>los</w:t>
      </w:r>
      <w:r>
        <w:rPr>
          <w:spacing w:val="-24"/>
        </w:rPr>
        <w:t> </w:t>
      </w:r>
      <w:r>
        <w:rPr/>
        <w:t>habitantes</w:t>
      </w:r>
      <w:r>
        <w:rPr>
          <w:spacing w:val="-24"/>
        </w:rPr>
        <w:t> </w:t>
      </w:r>
      <w:r>
        <w:rPr/>
        <w:t>locales</w:t>
      </w:r>
      <w:r>
        <w:rPr>
          <w:spacing w:val="-24"/>
        </w:rPr>
        <w:t> </w:t>
      </w:r>
      <w:r>
        <w:rPr/>
        <w:t>para</w:t>
      </w:r>
      <w:r>
        <w:rPr>
          <w:spacing w:val="-24"/>
        </w:rPr>
        <w:t> </w:t>
      </w:r>
      <w:r>
        <w:rPr/>
        <w:t>la</w:t>
      </w:r>
      <w:r>
        <w:rPr>
          <w:spacing w:val="-24"/>
        </w:rPr>
        <w:t> </w:t>
      </w:r>
      <w:r>
        <w:rPr/>
        <w:t>conservación, restauración</w:t>
      </w:r>
      <w:r>
        <w:rPr>
          <w:spacing w:val="-4"/>
        </w:rPr>
        <w:t> </w:t>
      </w:r>
      <w:r>
        <w:rPr/>
        <w:t>e</w:t>
      </w:r>
      <w:r>
        <w:rPr>
          <w:spacing w:val="-4"/>
        </w:rPr>
        <w:t> </w:t>
      </w:r>
      <w:r>
        <w:rPr/>
        <w:t>instalación</w:t>
      </w:r>
      <w:r>
        <w:rPr>
          <w:spacing w:val="-4"/>
        </w:rPr>
        <w:t> </w:t>
      </w:r>
      <w:r>
        <w:rPr/>
        <w:t>de</w:t>
      </w:r>
      <w:r>
        <w:rPr>
          <w:spacing w:val="-4"/>
        </w:rPr>
        <w:t> </w:t>
      </w:r>
      <w:r>
        <w:rPr/>
        <w:t>sus</w:t>
      </w:r>
      <w:r>
        <w:rPr>
          <w:spacing w:val="-4"/>
        </w:rPr>
        <w:t> </w:t>
      </w:r>
      <w:r>
        <w:rPr/>
        <w:t>recursos</w:t>
      </w:r>
      <w:r>
        <w:rPr>
          <w:spacing w:val="-4"/>
        </w:rPr>
        <w:t> </w:t>
      </w:r>
      <w:r>
        <w:rPr/>
        <w:t>anturales,</w:t>
      </w:r>
      <w:r>
        <w:rPr>
          <w:spacing w:val="-4"/>
        </w:rPr>
        <w:t> </w:t>
      </w:r>
      <w:r>
        <w:rPr/>
        <w:t>se</w:t>
      </w:r>
      <w:r>
        <w:rPr>
          <w:spacing w:val="-4"/>
        </w:rPr>
        <w:t> </w:t>
      </w:r>
      <w:r>
        <w:rPr/>
        <w:t>realizará</w:t>
      </w:r>
      <w:r>
        <w:rPr>
          <w:spacing w:val="-4"/>
        </w:rPr>
        <w:t> </w:t>
      </w:r>
      <w:r>
        <w:rPr/>
        <w:t>por</w:t>
      </w:r>
      <w:r>
        <w:rPr>
          <w:spacing w:val="-4"/>
        </w:rPr>
        <w:t> </w:t>
      </w:r>
      <w:r>
        <w:rPr/>
        <w:t>medio</w:t>
      </w:r>
      <w:r>
        <w:rPr>
          <w:spacing w:val="-4"/>
        </w:rPr>
        <w:t> </w:t>
      </w:r>
      <w:r>
        <w:rPr/>
        <w:t>del</w:t>
      </w:r>
      <w:r>
        <w:rPr>
          <w:spacing w:val="-4"/>
        </w:rPr>
        <w:t> </w:t>
      </w:r>
      <w:r>
        <w:rPr/>
        <w:t>método etnográfico participativo. Se aplicarán entrevistas estructuradas, con preguntas relacionadas con la problemática que ellos perciben; con las alternativas de solución que ellos proponen para dar solución a esta problemática; y con las experiencias prácticas y aplicadas que ellos han implementado para instalar, conservar y restaurar sus huertos</w:t>
      </w:r>
      <w:r>
        <w:rPr>
          <w:spacing w:val="3"/>
        </w:rPr>
        <w:t> </w:t>
      </w:r>
      <w:r>
        <w:rPr/>
        <w:t>familiares.</w:t>
      </w:r>
    </w:p>
    <w:p>
      <w:pPr>
        <w:pStyle w:val="BodyText"/>
        <w:spacing w:before="11"/>
      </w:pPr>
    </w:p>
    <w:p>
      <w:pPr>
        <w:pStyle w:val="BodyText"/>
        <w:spacing w:line="249" w:lineRule="auto"/>
        <w:ind w:left="115" w:right="129" w:firstLine="170"/>
        <w:jc w:val="both"/>
      </w:pPr>
      <w:r>
        <w:rPr/>
        <w:t>Con los resultados obtenidos de la encuesta participativa de percepción, se realizará el</w:t>
      </w:r>
      <w:r>
        <w:rPr>
          <w:spacing w:val="-17"/>
        </w:rPr>
        <w:t> </w:t>
      </w:r>
      <w:r>
        <w:rPr/>
        <w:t>Análisis</w:t>
      </w:r>
      <w:r>
        <w:rPr>
          <w:spacing w:val="-17"/>
        </w:rPr>
        <w:t> </w:t>
      </w:r>
      <w:r>
        <w:rPr/>
        <w:t>FODA.</w:t>
      </w:r>
      <w:r>
        <w:rPr>
          <w:spacing w:val="-17"/>
        </w:rPr>
        <w:t> </w:t>
      </w:r>
      <w:r>
        <w:rPr/>
        <w:t>Para</w:t>
      </w:r>
      <w:r>
        <w:rPr>
          <w:spacing w:val="-17"/>
        </w:rPr>
        <w:t> </w:t>
      </w:r>
      <w:r>
        <w:rPr/>
        <w:t>la</w:t>
      </w:r>
      <w:r>
        <w:rPr>
          <w:spacing w:val="-17"/>
        </w:rPr>
        <w:t> </w:t>
      </w:r>
      <w:r>
        <w:rPr/>
        <w:t>evaluación</w:t>
      </w:r>
      <w:r>
        <w:rPr>
          <w:spacing w:val="-17"/>
        </w:rPr>
        <w:t> </w:t>
      </w:r>
      <w:r>
        <w:rPr/>
        <w:t>y</w:t>
      </w:r>
      <w:r>
        <w:rPr>
          <w:spacing w:val="-17"/>
        </w:rPr>
        <w:t> </w:t>
      </w:r>
      <w:r>
        <w:rPr/>
        <w:t>planificación</w:t>
      </w:r>
      <w:r>
        <w:rPr>
          <w:spacing w:val="-17"/>
        </w:rPr>
        <w:t> </w:t>
      </w:r>
      <w:r>
        <w:rPr/>
        <w:t>de</w:t>
      </w:r>
      <w:r>
        <w:rPr>
          <w:spacing w:val="-17"/>
        </w:rPr>
        <w:t> </w:t>
      </w:r>
      <w:r>
        <w:rPr/>
        <w:t>alternativas</w:t>
      </w:r>
      <w:r>
        <w:rPr>
          <w:spacing w:val="-17"/>
        </w:rPr>
        <w:t> </w:t>
      </w:r>
      <w:r>
        <w:rPr/>
        <w:t>se</w:t>
      </w:r>
      <w:r>
        <w:rPr>
          <w:spacing w:val="-17"/>
        </w:rPr>
        <w:t> </w:t>
      </w:r>
      <w:r>
        <w:rPr/>
        <w:t>aplicará</w:t>
      </w:r>
      <w:r>
        <w:rPr>
          <w:spacing w:val="-17"/>
        </w:rPr>
        <w:t> </w:t>
      </w:r>
      <w:r>
        <w:rPr/>
        <w:t>el</w:t>
      </w:r>
      <w:r>
        <w:rPr>
          <w:spacing w:val="-17"/>
        </w:rPr>
        <w:t> </w:t>
      </w:r>
      <w:r>
        <w:rPr/>
        <w:t>Análisis bajo el Enfoque del Marco Lógico</w:t>
      </w:r>
      <w:r>
        <w:rPr>
          <w:spacing w:val="5"/>
        </w:rPr>
        <w:t> </w:t>
      </w:r>
      <w:r>
        <w:rPr/>
        <w:t>(EML).</w:t>
      </w:r>
    </w:p>
    <w:p>
      <w:pPr>
        <w:pStyle w:val="BodyText"/>
      </w:pPr>
    </w:p>
    <w:p>
      <w:pPr>
        <w:pStyle w:val="BodyText"/>
        <w:spacing w:before="6"/>
        <w:rPr>
          <w:sz w:val="18"/>
        </w:rPr>
      </w:pPr>
    </w:p>
    <w:p>
      <w:pPr>
        <w:pStyle w:val="Heading1"/>
        <w:ind w:left="285"/>
      </w:pPr>
      <w:r>
        <w:rPr/>
        <w:t>Método para el Análisis FODA:</w:t>
      </w:r>
    </w:p>
    <w:p>
      <w:pPr>
        <w:pStyle w:val="BodyText"/>
        <w:rPr>
          <w:b/>
          <w:sz w:val="21"/>
        </w:rPr>
      </w:pPr>
    </w:p>
    <w:p>
      <w:pPr>
        <w:pStyle w:val="BodyText"/>
        <w:spacing w:line="249" w:lineRule="auto"/>
        <w:ind w:left="115" w:right="128" w:firstLine="170"/>
        <w:jc w:val="both"/>
      </w:pPr>
      <w:r>
        <w:rPr/>
        <w:t>El análisis FODA se utiliza principalmente, para los procesos de análisis, formulación de estrategias y resolución de problemas, tiene como objetivo identificar y analizar las Fortalezas,</w:t>
      </w:r>
      <w:r>
        <w:rPr>
          <w:spacing w:val="-5"/>
        </w:rPr>
        <w:t> </w:t>
      </w:r>
      <w:r>
        <w:rPr/>
        <w:t>Oportunidades,</w:t>
      </w:r>
      <w:r>
        <w:rPr>
          <w:spacing w:val="-5"/>
        </w:rPr>
        <w:t> </w:t>
      </w:r>
      <w:r>
        <w:rPr/>
        <w:t>Debilidades</w:t>
      </w:r>
      <w:r>
        <w:rPr>
          <w:spacing w:val="-5"/>
        </w:rPr>
        <w:t> </w:t>
      </w:r>
      <w:r>
        <w:rPr/>
        <w:t>y</w:t>
      </w:r>
      <w:r>
        <w:rPr>
          <w:spacing w:val="-5"/>
        </w:rPr>
        <w:t> </w:t>
      </w:r>
      <w:r>
        <w:rPr/>
        <w:t>Amenazas</w:t>
      </w:r>
      <w:r>
        <w:rPr>
          <w:spacing w:val="-5"/>
        </w:rPr>
        <w:t> </w:t>
      </w:r>
      <w:r>
        <w:rPr/>
        <w:t>de</w:t>
      </w:r>
      <w:r>
        <w:rPr>
          <w:spacing w:val="-5"/>
        </w:rPr>
        <w:t> </w:t>
      </w:r>
      <w:r>
        <w:rPr/>
        <w:t>una</w:t>
      </w:r>
      <w:r>
        <w:rPr>
          <w:spacing w:val="-5"/>
        </w:rPr>
        <w:t> </w:t>
      </w:r>
      <w:r>
        <w:rPr/>
        <w:t>Institución</w:t>
      </w:r>
      <w:r>
        <w:rPr>
          <w:spacing w:val="-5"/>
        </w:rPr>
        <w:t> </w:t>
      </w:r>
      <w:r>
        <w:rPr/>
        <w:t>u</w:t>
      </w:r>
      <w:r>
        <w:rPr>
          <w:spacing w:val="-5"/>
        </w:rPr>
        <w:t> </w:t>
      </w:r>
      <w:r>
        <w:rPr/>
        <w:t>Organización. Este análisis, se utiliza para desarrollar un plan que tome en consideración diferentes factores internos y externos, para así maximizar el potencial de las fortalezas y oportunidades, de esta manera minimizar el impacto de las debilidades y</w:t>
      </w:r>
      <w:r>
        <w:rPr>
          <w:spacing w:val="49"/>
        </w:rPr>
        <w:t> </w:t>
      </w:r>
      <w:r>
        <w:rPr/>
        <w:t>amenazas.</w:t>
      </w:r>
    </w:p>
    <w:p>
      <w:pPr>
        <w:pStyle w:val="BodyText"/>
        <w:spacing w:before="11"/>
      </w:pPr>
    </w:p>
    <w:p>
      <w:pPr>
        <w:pStyle w:val="BodyText"/>
        <w:spacing w:line="249" w:lineRule="auto"/>
        <w:ind w:left="115" w:right="129" w:firstLine="170"/>
        <w:jc w:val="both"/>
      </w:pPr>
      <w:r>
        <w:rPr/>
        <w:t>Para el análisis al interior se deben identificar aquellas condiciones que facilitan       el logro de los objetivos (fortalezas), las limitaciones que impiden el alcance de las metas de una manera eficiente y efectiva (debilidades). Para el análisis externo, es necesario analizar las condiciones o circunstancias que le den ventaja de su entorno (oportunidades), así como las tendencias del contexto que en cualquier momento pueden ser perjudiciales</w:t>
      </w:r>
      <w:r>
        <w:rPr>
          <w:spacing w:val="-32"/>
        </w:rPr>
        <w:t> </w:t>
      </w:r>
      <w:r>
        <w:rPr/>
        <w:t>(amenazas).</w:t>
      </w:r>
    </w:p>
    <w:p>
      <w:pPr>
        <w:pStyle w:val="BodyText"/>
        <w:spacing w:before="11"/>
      </w:pPr>
    </w:p>
    <w:p>
      <w:pPr>
        <w:pStyle w:val="BodyText"/>
        <w:spacing w:line="249" w:lineRule="auto"/>
        <w:ind w:left="115" w:right="129" w:firstLine="170"/>
        <w:jc w:val="both"/>
      </w:pPr>
      <w:r>
        <w:rPr/>
        <w:t>Los datos obtenidos del análisis interno y externo deben de estar organizados en un cuadro de la siguiente manera (Cuadro 6).</w:t>
      </w:r>
    </w:p>
    <w:p>
      <w:pPr>
        <w:spacing w:after="0" w:line="249" w:lineRule="auto"/>
        <w:jc w:val="both"/>
        <w:sectPr>
          <w:type w:val="continuous"/>
          <w:pgSz w:w="18830" w:h="12760" w:orient="landscape"/>
          <w:pgMar w:top="1420" w:bottom="280" w:left="720" w:right="720"/>
          <w:cols w:num="2" w:equalWidth="0">
            <w:col w:w="7827" w:space="1598"/>
            <w:col w:w="7965"/>
          </w:cols>
        </w:sectPr>
      </w:pPr>
    </w:p>
    <w:p>
      <w:pPr>
        <w:pStyle w:val="BodyText"/>
        <w:spacing w:before="6"/>
        <w:rPr>
          <w:sz w:val="23"/>
        </w:rPr>
      </w:pPr>
    </w:p>
    <w:p>
      <w:pPr>
        <w:spacing w:after="0"/>
        <w:rPr>
          <w:sz w:val="23"/>
        </w:rPr>
        <w:sectPr>
          <w:footerReference w:type="default" r:id="rId303"/>
          <w:pgSz w:w="18830" w:h="12760" w:orient="landscape"/>
          <w:pgMar w:footer="1036" w:header="522" w:top="820" w:bottom="1220" w:left="720" w:right="720"/>
        </w:sectPr>
      </w:pPr>
    </w:p>
    <w:p>
      <w:pPr>
        <w:spacing w:before="114"/>
        <w:ind w:left="246" w:right="128" w:firstLine="0"/>
        <w:jc w:val="center"/>
        <w:rPr>
          <w:sz w:val="16"/>
        </w:rPr>
      </w:pPr>
      <w:r>
        <w:rPr>
          <w:color w:val="6D6E71"/>
          <w:sz w:val="16"/>
        </w:rPr>
        <w:t>Cuadro 6. Estructura del análisis FODA</w:t>
      </w:r>
    </w:p>
    <w:p>
      <w:pPr>
        <w:pStyle w:val="BodyText"/>
        <w:spacing w:before="10"/>
        <w:rPr>
          <w:sz w:val="8"/>
        </w:rPr>
      </w:pPr>
    </w:p>
    <w:tbl>
      <w:tblPr>
        <w:tblW w:w="0" w:type="auto"/>
        <w:jc w:val="left"/>
        <w:tblInd w:w="719"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148"/>
        <w:gridCol w:w="2190"/>
        <w:gridCol w:w="2171"/>
      </w:tblGrid>
      <w:tr>
        <w:trPr>
          <w:trHeight w:val="433" w:hRule="exact"/>
        </w:trPr>
        <w:tc>
          <w:tcPr>
            <w:tcW w:w="2148" w:type="dxa"/>
            <w:tcBorders>
              <w:top w:val="nil"/>
              <w:left w:val="nil"/>
              <w:bottom w:val="dotted" w:sz="4" w:space="0" w:color="FFFFFF"/>
            </w:tcBorders>
            <w:shd w:val="clear" w:color="auto" w:fill="929292"/>
          </w:tcPr>
          <w:p>
            <w:pPr>
              <w:pStyle w:val="TableParagraph"/>
              <w:spacing w:before="19"/>
              <w:ind w:left="5"/>
              <w:jc w:val="center"/>
              <w:rPr>
                <w:sz w:val="16"/>
              </w:rPr>
            </w:pPr>
            <w:r>
              <w:rPr>
                <w:sz w:val="16"/>
              </w:rPr>
              <w:t>Análisis</w:t>
            </w:r>
          </w:p>
        </w:tc>
        <w:tc>
          <w:tcPr>
            <w:tcW w:w="2190" w:type="dxa"/>
            <w:tcBorders>
              <w:top w:val="nil"/>
              <w:bottom w:val="dotted" w:sz="4" w:space="0" w:color="FFFFFF"/>
            </w:tcBorders>
            <w:shd w:val="clear" w:color="auto" w:fill="929292"/>
          </w:tcPr>
          <w:p>
            <w:pPr>
              <w:pStyle w:val="TableParagraph"/>
              <w:spacing w:before="19"/>
              <w:jc w:val="center"/>
              <w:rPr>
                <w:sz w:val="16"/>
              </w:rPr>
            </w:pPr>
            <w:r>
              <w:rPr>
                <w:sz w:val="16"/>
              </w:rPr>
              <w:t>Positivo</w:t>
            </w:r>
          </w:p>
        </w:tc>
        <w:tc>
          <w:tcPr>
            <w:tcW w:w="2171" w:type="dxa"/>
            <w:tcBorders>
              <w:top w:val="nil"/>
              <w:bottom w:val="dotted" w:sz="4" w:space="0" w:color="FFFFFF"/>
              <w:right w:val="nil"/>
            </w:tcBorders>
            <w:shd w:val="clear" w:color="auto" w:fill="929292"/>
          </w:tcPr>
          <w:p>
            <w:pPr>
              <w:pStyle w:val="TableParagraph"/>
              <w:spacing w:before="19"/>
              <w:ind w:left="5" w:right="8"/>
              <w:jc w:val="center"/>
              <w:rPr>
                <w:sz w:val="16"/>
              </w:rPr>
            </w:pPr>
            <w:r>
              <w:rPr>
                <w:sz w:val="16"/>
              </w:rPr>
              <w:t>Negativo</w:t>
            </w:r>
          </w:p>
        </w:tc>
      </w:tr>
      <w:tr>
        <w:trPr>
          <w:trHeight w:val="245" w:hRule="exact"/>
        </w:trPr>
        <w:tc>
          <w:tcPr>
            <w:tcW w:w="2148" w:type="dxa"/>
            <w:tcBorders>
              <w:top w:val="dotted" w:sz="4" w:space="0" w:color="FFFFFF"/>
              <w:left w:val="nil"/>
              <w:right w:val="single" w:sz="4" w:space="0" w:color="929292"/>
            </w:tcBorders>
          </w:tcPr>
          <w:p>
            <w:pPr>
              <w:pStyle w:val="TableParagraph"/>
              <w:tabs>
                <w:tab w:pos="2122" w:val="left" w:leader="none"/>
              </w:tabs>
              <w:spacing w:before="61"/>
              <w:ind w:left="25"/>
              <w:jc w:val="center"/>
              <w:rPr>
                <w:sz w:val="16"/>
              </w:rPr>
            </w:pPr>
            <w:r>
              <w:rPr>
                <w:w w:val="100"/>
                <w:sz w:val="16"/>
                <w:u w:val="dotted" w:color="929292"/>
              </w:rPr>
              <w:t> </w:t>
            </w:r>
            <w:r>
              <w:rPr>
                <w:spacing w:val="-17"/>
                <w:sz w:val="16"/>
                <w:u w:val="dotted" w:color="929292"/>
              </w:rPr>
              <w:t> </w:t>
            </w:r>
            <w:r>
              <w:rPr>
                <w:sz w:val="16"/>
                <w:u w:val="dotted" w:color="929292"/>
              </w:rPr>
              <w:t>Interno</w:t>
              <w:tab/>
            </w:r>
          </w:p>
        </w:tc>
        <w:tc>
          <w:tcPr>
            <w:tcW w:w="2190" w:type="dxa"/>
            <w:tcBorders>
              <w:top w:val="dotted" w:sz="4" w:space="0" w:color="FFFFFF"/>
              <w:left w:val="single" w:sz="4" w:space="0" w:color="929292"/>
              <w:right w:val="single" w:sz="4" w:space="0" w:color="929292"/>
            </w:tcBorders>
          </w:tcPr>
          <w:p>
            <w:pPr>
              <w:pStyle w:val="TableParagraph"/>
              <w:tabs>
                <w:tab w:pos="2159" w:val="left" w:leader="none"/>
              </w:tabs>
              <w:spacing w:before="61"/>
              <w:ind w:left="15"/>
              <w:jc w:val="center"/>
              <w:rPr>
                <w:sz w:val="16"/>
              </w:rPr>
            </w:pPr>
            <w:r>
              <w:rPr>
                <w:w w:val="100"/>
                <w:sz w:val="16"/>
                <w:u w:val="dotted" w:color="929292"/>
              </w:rPr>
              <w:t> </w:t>
            </w:r>
            <w:r>
              <w:rPr>
                <w:spacing w:val="-11"/>
                <w:sz w:val="16"/>
                <w:u w:val="dotted" w:color="929292"/>
              </w:rPr>
              <w:t> </w:t>
            </w:r>
            <w:r>
              <w:rPr>
                <w:sz w:val="16"/>
                <w:u w:val="dotted" w:color="929292"/>
              </w:rPr>
              <w:t>Fortalezas</w:t>
              <w:tab/>
            </w:r>
          </w:p>
        </w:tc>
        <w:tc>
          <w:tcPr>
            <w:tcW w:w="2171" w:type="dxa"/>
            <w:tcBorders>
              <w:top w:val="dotted" w:sz="4" w:space="0" w:color="FFFFFF"/>
              <w:left w:val="single" w:sz="4" w:space="0" w:color="929292"/>
              <w:right w:val="nil"/>
            </w:tcBorders>
          </w:tcPr>
          <w:p>
            <w:pPr>
              <w:pStyle w:val="TableParagraph"/>
              <w:tabs>
                <w:tab w:pos="2125" w:val="left" w:leader="none"/>
              </w:tabs>
              <w:spacing w:before="61"/>
              <w:ind w:left="5"/>
              <w:jc w:val="center"/>
              <w:rPr>
                <w:sz w:val="16"/>
              </w:rPr>
            </w:pPr>
            <w:r>
              <w:rPr>
                <w:w w:val="100"/>
                <w:sz w:val="16"/>
                <w:u w:val="dotted" w:color="929292"/>
              </w:rPr>
              <w:t> </w:t>
            </w:r>
            <w:r>
              <w:rPr>
                <w:spacing w:val="-11"/>
                <w:sz w:val="16"/>
                <w:u w:val="dotted" w:color="929292"/>
              </w:rPr>
              <w:t> </w:t>
            </w:r>
            <w:r>
              <w:rPr>
                <w:sz w:val="16"/>
                <w:u w:val="dotted" w:color="929292"/>
              </w:rPr>
              <w:t>Debilidades</w:t>
              <w:tab/>
            </w:r>
          </w:p>
        </w:tc>
      </w:tr>
      <w:tr>
        <w:trPr>
          <w:trHeight w:val="240" w:hRule="exact"/>
        </w:trPr>
        <w:tc>
          <w:tcPr>
            <w:tcW w:w="2148" w:type="dxa"/>
            <w:tcBorders>
              <w:left w:val="nil"/>
              <w:bottom w:val="nil"/>
              <w:right w:val="single" w:sz="4" w:space="0" w:color="929292"/>
            </w:tcBorders>
          </w:tcPr>
          <w:p>
            <w:pPr>
              <w:pStyle w:val="TableParagraph"/>
              <w:tabs>
                <w:tab w:pos="2122" w:val="left" w:leader="none"/>
              </w:tabs>
              <w:spacing w:before="56"/>
              <w:ind w:left="25"/>
              <w:jc w:val="center"/>
              <w:rPr>
                <w:sz w:val="16"/>
              </w:rPr>
            </w:pPr>
            <w:r>
              <w:rPr>
                <w:w w:val="100"/>
                <w:sz w:val="16"/>
                <w:u w:val="dotted" w:color="929292"/>
              </w:rPr>
              <w:t> </w:t>
            </w:r>
            <w:r>
              <w:rPr>
                <w:spacing w:val="-16"/>
                <w:sz w:val="16"/>
                <w:u w:val="dotted" w:color="929292"/>
              </w:rPr>
              <w:t> </w:t>
            </w:r>
            <w:r>
              <w:rPr>
                <w:sz w:val="16"/>
                <w:u w:val="dotted" w:color="929292"/>
              </w:rPr>
              <w:t>Externo</w:t>
              <w:tab/>
            </w:r>
          </w:p>
        </w:tc>
        <w:tc>
          <w:tcPr>
            <w:tcW w:w="2190" w:type="dxa"/>
            <w:tcBorders>
              <w:left w:val="single" w:sz="4" w:space="0" w:color="929292"/>
              <w:right w:val="single" w:sz="4" w:space="0" w:color="929292"/>
            </w:tcBorders>
          </w:tcPr>
          <w:p>
            <w:pPr>
              <w:pStyle w:val="TableParagraph"/>
              <w:tabs>
                <w:tab w:pos="2159" w:val="left" w:leader="none"/>
              </w:tabs>
              <w:spacing w:before="56"/>
              <w:ind w:left="15"/>
              <w:jc w:val="center"/>
              <w:rPr>
                <w:sz w:val="16"/>
              </w:rPr>
            </w:pPr>
            <w:r>
              <w:rPr>
                <w:w w:val="100"/>
                <w:sz w:val="16"/>
                <w:u w:val="dotted" w:color="929292"/>
              </w:rPr>
              <w:t> </w:t>
            </w:r>
            <w:r>
              <w:rPr>
                <w:spacing w:val="-11"/>
                <w:sz w:val="16"/>
                <w:u w:val="dotted" w:color="929292"/>
              </w:rPr>
              <w:t> </w:t>
            </w:r>
            <w:r>
              <w:rPr>
                <w:sz w:val="16"/>
                <w:u w:val="dotted" w:color="929292"/>
              </w:rPr>
              <w:t>Oportunidades</w:t>
              <w:tab/>
            </w:r>
          </w:p>
        </w:tc>
        <w:tc>
          <w:tcPr>
            <w:tcW w:w="2171" w:type="dxa"/>
            <w:tcBorders>
              <w:left w:val="single" w:sz="4" w:space="0" w:color="929292"/>
              <w:right w:val="nil"/>
            </w:tcBorders>
          </w:tcPr>
          <w:p>
            <w:pPr>
              <w:pStyle w:val="TableParagraph"/>
              <w:tabs>
                <w:tab w:pos="2125" w:val="left" w:leader="none"/>
              </w:tabs>
              <w:spacing w:before="56"/>
              <w:ind w:left="5"/>
              <w:jc w:val="center"/>
              <w:rPr>
                <w:sz w:val="16"/>
              </w:rPr>
            </w:pPr>
            <w:r>
              <w:rPr>
                <w:w w:val="100"/>
                <w:sz w:val="16"/>
                <w:u w:val="dotted" w:color="929292"/>
              </w:rPr>
              <w:t> </w:t>
            </w:r>
            <w:r>
              <w:rPr>
                <w:spacing w:val="-11"/>
                <w:sz w:val="16"/>
                <w:u w:val="dotted" w:color="929292"/>
              </w:rPr>
              <w:t> </w:t>
            </w:r>
            <w:r>
              <w:rPr>
                <w:sz w:val="16"/>
                <w:u w:val="dotted" w:color="929292"/>
              </w:rPr>
              <w:t>Amenazas</w:t>
              <w:tab/>
            </w:r>
          </w:p>
        </w:tc>
      </w:tr>
    </w:tbl>
    <w:p>
      <w:pPr>
        <w:pStyle w:val="BodyText"/>
      </w:pPr>
    </w:p>
    <w:p>
      <w:pPr>
        <w:spacing w:before="0"/>
        <w:ind w:left="246" w:right="128" w:firstLine="0"/>
        <w:jc w:val="center"/>
        <w:rPr>
          <w:sz w:val="16"/>
        </w:rPr>
      </w:pPr>
      <w:r>
        <w:rPr>
          <w:color w:val="6D6E71"/>
          <w:sz w:val="16"/>
        </w:rPr>
        <w:t>Fuente: Gutiérrez, 2013</w:t>
      </w:r>
    </w:p>
    <w:p>
      <w:pPr>
        <w:pStyle w:val="BodyText"/>
        <w:spacing w:before="5"/>
        <w:rPr>
          <w:sz w:val="22"/>
        </w:rPr>
      </w:pPr>
    </w:p>
    <w:p>
      <w:pPr>
        <w:pStyle w:val="BodyText"/>
        <w:spacing w:line="249" w:lineRule="auto"/>
        <w:ind w:left="119" w:firstLine="170"/>
        <w:jc w:val="both"/>
      </w:pPr>
      <w:r>
        <w:rPr/>
        <w:t>La información obtenida a partir de la construcción del cuadro anterior, será la     base para poder desarrollar una estrategia que contenga y maximice las fortalezas y oportunidades; para así, reducir las debilidades y amenazas que no permiten obtener los objetivos</w:t>
      </w:r>
      <w:r>
        <w:rPr>
          <w:spacing w:val="35"/>
        </w:rPr>
        <w:t> </w:t>
      </w:r>
      <w:r>
        <w:rPr/>
        <w:t>planteados.</w:t>
      </w:r>
    </w:p>
    <w:p>
      <w:pPr>
        <w:pStyle w:val="BodyText"/>
        <w:spacing w:before="11"/>
      </w:pPr>
    </w:p>
    <w:p>
      <w:pPr>
        <w:pStyle w:val="BodyText"/>
        <w:spacing w:line="249" w:lineRule="auto"/>
        <w:ind w:left="119" w:firstLine="170"/>
        <w:jc w:val="both"/>
      </w:pPr>
      <w:r>
        <w:rPr/>
        <w:t>De acuerdo con Gutiérrez (2013), el análisis FODA es un método matricial y cualitativo, basado en el origen, temporalidad y efecto de los problemas, limitaciones   y potencialidades. Las amenazas y oportunidades provienen del exterior del sistema y son a futuro; las debilidades y fortalezas vienen del interior del sistema y existen en el presente</w:t>
      </w:r>
    </w:p>
    <w:p>
      <w:pPr>
        <w:pStyle w:val="BodyText"/>
      </w:pPr>
    </w:p>
    <w:p>
      <w:pPr>
        <w:pStyle w:val="BodyText"/>
        <w:spacing w:before="6"/>
        <w:rPr>
          <w:sz w:val="18"/>
        </w:rPr>
      </w:pPr>
    </w:p>
    <w:p>
      <w:pPr>
        <w:pStyle w:val="Heading1"/>
        <w:ind w:left="273" w:right="128"/>
        <w:jc w:val="center"/>
      </w:pPr>
      <w:r>
        <w:rPr/>
        <w:t>El FODA permite transitar de las problemáticas a las estrategias:</w:t>
      </w:r>
    </w:p>
    <w:p>
      <w:pPr>
        <w:pStyle w:val="BodyText"/>
        <w:spacing w:before="11"/>
        <w:rPr>
          <w:b/>
        </w:rPr>
      </w:pPr>
    </w:p>
    <w:p>
      <w:pPr>
        <w:pStyle w:val="BodyText"/>
        <w:ind w:left="1139"/>
      </w:pPr>
      <w:r>
        <w:rPr>
          <w:rFonts w:ascii="Trebuchet MS" w:hAnsi="Trebuchet MS"/>
        </w:rPr>
        <w:t>•</w:t>
      </w:r>
      <w:r>
        <w:rPr/>
        <w:t>DA: Sobrevivencia</w:t>
      </w:r>
    </w:p>
    <w:p>
      <w:pPr>
        <w:pStyle w:val="BodyText"/>
        <w:spacing w:before="7"/>
        <w:ind w:left="1139"/>
      </w:pPr>
      <w:r>
        <w:rPr>
          <w:rFonts w:ascii="Trebuchet MS" w:hAnsi="Trebuchet MS"/>
        </w:rPr>
        <w:t>•</w:t>
      </w:r>
      <w:r>
        <w:rPr/>
        <w:t>FA: Defensiva</w:t>
      </w:r>
    </w:p>
    <w:p>
      <w:pPr>
        <w:pStyle w:val="BodyText"/>
        <w:spacing w:before="7"/>
        <w:ind w:left="1139"/>
      </w:pPr>
      <w:r>
        <w:rPr>
          <w:rFonts w:ascii="Trebuchet MS" w:hAnsi="Trebuchet MS"/>
        </w:rPr>
        <w:t>•</w:t>
      </w:r>
      <w:r>
        <w:rPr/>
        <w:t>DO: Adaptativa</w:t>
      </w:r>
    </w:p>
    <w:p>
      <w:pPr>
        <w:pStyle w:val="BodyText"/>
        <w:spacing w:before="7"/>
        <w:ind w:left="1139"/>
      </w:pPr>
      <w:r>
        <w:rPr>
          <w:rFonts w:ascii="Trebuchet MS" w:hAnsi="Trebuchet MS"/>
        </w:rPr>
        <w:t>•</w:t>
      </w:r>
      <w:r>
        <w:rPr/>
        <w:t>FO: Ofensiva</w:t>
      </w:r>
    </w:p>
    <w:p>
      <w:pPr>
        <w:pStyle w:val="BodyText"/>
      </w:pPr>
    </w:p>
    <w:p>
      <w:pPr>
        <w:pStyle w:val="BodyText"/>
        <w:spacing w:before="2"/>
        <w:rPr>
          <w:sz w:val="19"/>
        </w:rPr>
      </w:pPr>
    </w:p>
    <w:p>
      <w:pPr>
        <w:pStyle w:val="Heading1"/>
        <w:ind w:left="289"/>
      </w:pPr>
      <w:r>
        <w:rPr/>
        <w:t>Método del Análisis bajo el Enfoque del Marco Lógico (EML)</w:t>
      </w:r>
    </w:p>
    <w:p>
      <w:pPr>
        <w:pStyle w:val="BodyText"/>
        <w:rPr>
          <w:b/>
          <w:sz w:val="21"/>
        </w:rPr>
      </w:pPr>
    </w:p>
    <w:p>
      <w:pPr>
        <w:pStyle w:val="BodyText"/>
        <w:spacing w:line="249" w:lineRule="auto"/>
        <w:ind w:left="119" w:firstLine="170"/>
        <w:jc w:val="both"/>
      </w:pPr>
      <w:r>
        <w:rPr/>
        <w:t>El Enfoque del Marco Lógico (EML) es una herramienta o método en el que se establece la planificación por objetivos que se utiliza de manera esencial, pero no exclusiva,</w:t>
      </w:r>
      <w:r>
        <w:rPr>
          <w:spacing w:val="-7"/>
        </w:rPr>
        <w:t> </w:t>
      </w:r>
      <w:r>
        <w:rPr/>
        <w:t>en</w:t>
      </w:r>
      <w:r>
        <w:rPr>
          <w:spacing w:val="-7"/>
        </w:rPr>
        <w:t> </w:t>
      </w:r>
      <w:r>
        <w:rPr/>
        <w:t>los</w:t>
      </w:r>
      <w:r>
        <w:rPr>
          <w:spacing w:val="-7"/>
        </w:rPr>
        <w:t> </w:t>
      </w:r>
      <w:r>
        <w:rPr/>
        <w:t>proyectos</w:t>
      </w:r>
      <w:r>
        <w:rPr>
          <w:spacing w:val="-7"/>
        </w:rPr>
        <w:t> </w:t>
      </w:r>
      <w:r>
        <w:rPr/>
        <w:t>de</w:t>
      </w:r>
      <w:r>
        <w:rPr>
          <w:spacing w:val="-7"/>
        </w:rPr>
        <w:t> </w:t>
      </w:r>
      <w:r>
        <w:rPr/>
        <w:t>gestión</w:t>
      </w:r>
      <w:r>
        <w:rPr>
          <w:spacing w:val="-7"/>
        </w:rPr>
        <w:t> </w:t>
      </w:r>
      <w:r>
        <w:rPr/>
        <w:t>y</w:t>
      </w:r>
      <w:r>
        <w:rPr>
          <w:spacing w:val="-7"/>
        </w:rPr>
        <w:t> </w:t>
      </w:r>
      <w:r>
        <w:rPr/>
        <w:t>cooperación</w:t>
      </w:r>
      <w:r>
        <w:rPr>
          <w:spacing w:val="-7"/>
        </w:rPr>
        <w:t> </w:t>
      </w:r>
      <w:r>
        <w:rPr/>
        <w:t>para</w:t>
      </w:r>
      <w:r>
        <w:rPr>
          <w:spacing w:val="-7"/>
        </w:rPr>
        <w:t> </w:t>
      </w:r>
      <w:r>
        <w:rPr/>
        <w:t>el</w:t>
      </w:r>
      <w:r>
        <w:rPr>
          <w:spacing w:val="-7"/>
        </w:rPr>
        <w:t> </w:t>
      </w:r>
      <w:r>
        <w:rPr/>
        <w:t>desarrollo.</w:t>
      </w:r>
      <w:r>
        <w:rPr>
          <w:spacing w:val="-7"/>
        </w:rPr>
        <w:t> </w:t>
      </w:r>
      <w:r>
        <w:rPr/>
        <w:t>Como</w:t>
      </w:r>
      <w:r>
        <w:rPr>
          <w:spacing w:val="-7"/>
        </w:rPr>
        <w:t> </w:t>
      </w:r>
      <w:r>
        <w:rPr/>
        <w:t>cualquier método de planificación se trata de un sistema de toma de decisiones que permite tomar decisiones mejores y más razonadas. De acuerdo a lo establecido por Camacho </w:t>
      </w:r>
      <w:r>
        <w:rPr>
          <w:i/>
        </w:rPr>
        <w:t>et al. </w:t>
      </w:r>
      <w:r>
        <w:rPr/>
        <w:t>2001, esta herramienta se usó como elemento esencial para analizar en</w:t>
      </w:r>
      <w:r>
        <w:rPr>
          <w:spacing w:val="-17"/>
        </w:rPr>
        <w:t> </w:t>
      </w:r>
      <w:r>
        <w:rPr/>
        <w:t>gabinete los problemas, diseñar objetivos, analizar las alternativas cualitativas y posteriormente diseñar las propuestas enfocadas a un desarrollo viable y sostenible de la región, teniendo presentes acciones de sensibilización y concientización </w:t>
      </w:r>
      <w:r>
        <w:rPr>
          <w:spacing w:val="10"/>
        </w:rPr>
        <w:t> </w:t>
      </w:r>
      <w:r>
        <w:rPr/>
        <w:t>social.</w:t>
      </w:r>
    </w:p>
    <w:p>
      <w:pPr>
        <w:pStyle w:val="BodyText"/>
        <w:spacing w:line="249" w:lineRule="auto" w:before="76"/>
        <w:ind w:left="119" w:right="127" w:firstLine="170"/>
        <w:jc w:val="both"/>
      </w:pPr>
      <w:r>
        <w:rPr/>
        <w:br w:type="column"/>
      </w:r>
      <w:r>
        <w:rPr/>
        <w:t>El EML contempla cuatro fases centrales que incluye un conjunto de categorías internas o sub etapas y algunas otras fases complementaras. Su importancia reside en la lógica circular y de flujos que subyace a la propuesta y no tanto en la denominación de cada etapa, que forma parte de convenciones y usos distintos, todos ellos en principio equivalentes y aceptables (Camacho </w:t>
      </w:r>
      <w:r>
        <w:rPr>
          <w:i/>
        </w:rPr>
        <w:t>et al. </w:t>
      </w:r>
      <w:r>
        <w:rPr/>
        <w:t>2001).</w:t>
      </w:r>
    </w:p>
    <w:p>
      <w:pPr>
        <w:pStyle w:val="BodyText"/>
      </w:pPr>
    </w:p>
    <w:p>
      <w:pPr>
        <w:pStyle w:val="BodyText"/>
        <w:spacing w:before="6"/>
        <w:rPr>
          <w:sz w:val="18"/>
        </w:rPr>
      </w:pPr>
    </w:p>
    <w:p>
      <w:pPr>
        <w:pStyle w:val="Heading1"/>
        <w:ind w:left="289" w:right="113"/>
      </w:pPr>
      <w:r>
        <w:rPr/>
        <w:t>Fases del EML:</w:t>
      </w:r>
    </w:p>
    <w:p>
      <w:pPr>
        <w:pStyle w:val="BodyText"/>
        <w:spacing w:before="1"/>
        <w:rPr>
          <w:b/>
          <w:sz w:val="19"/>
        </w:rPr>
      </w:pPr>
    </w:p>
    <w:p>
      <w:pPr>
        <w:pStyle w:val="ListParagraph"/>
        <w:numPr>
          <w:ilvl w:val="1"/>
          <w:numId w:val="35"/>
        </w:numPr>
        <w:tabs>
          <w:tab w:pos="971" w:val="left" w:leader="none"/>
        </w:tabs>
        <w:spacing w:line="247" w:lineRule="auto" w:before="0" w:after="0"/>
        <w:ind w:left="970" w:right="127" w:hanging="425"/>
        <w:jc w:val="both"/>
        <w:rPr>
          <w:sz w:val="20"/>
        </w:rPr>
      </w:pPr>
      <w:r>
        <w:rPr>
          <w:sz w:val="20"/>
        </w:rPr>
        <w:t>Identificación: constituye la fase menos formalizada del ciclo. Supone el mo- mento de gestación del proyecto y está orientada a sentar sus bases. Se trata, en esta fase de determinar cuáles son los problemas que han de re- solverse o en su caso, las oportunidades que pueden aprovecharse. Implica aproximarse a un cierto análisis de la realidad. Se trata de contextualizar y madurar la idea de aquello que se puede, se desea y es necesario</w:t>
      </w:r>
      <w:r>
        <w:rPr>
          <w:spacing w:val="5"/>
          <w:sz w:val="20"/>
        </w:rPr>
        <w:t> </w:t>
      </w:r>
      <w:r>
        <w:rPr>
          <w:spacing w:val="-4"/>
          <w:sz w:val="20"/>
        </w:rPr>
        <w:t>hacer.</w:t>
      </w:r>
    </w:p>
    <w:p>
      <w:pPr>
        <w:pStyle w:val="BodyText"/>
        <w:spacing w:before="1"/>
        <w:rPr>
          <w:sz w:val="21"/>
        </w:rPr>
      </w:pPr>
    </w:p>
    <w:p>
      <w:pPr>
        <w:pStyle w:val="BodyText"/>
        <w:spacing w:line="249" w:lineRule="auto" w:before="1"/>
        <w:ind w:left="119" w:right="127" w:firstLine="170"/>
        <w:jc w:val="both"/>
      </w:pPr>
      <w:r>
        <w:rPr/>
        <w:t>Algunas de las cuestiones relacionadas con la etapa de identificación tratan de responder a las preguntas de ¿Qué sucede? ¿Por qué sucede? ¿Cómo sucede? ¿A quiénes y cómo afecta? ¿Cómo se puede solucionar? El EML otorga una importancia central a esta fase ya que sobre ella se va a construir buena parte de la estructura, sistematización y lógica del</w:t>
      </w:r>
      <w:r>
        <w:rPr>
          <w:spacing w:val="53"/>
        </w:rPr>
        <w:t> </w:t>
      </w:r>
      <w:r>
        <w:rPr/>
        <w:t>proyecto.</w:t>
      </w:r>
    </w:p>
    <w:p>
      <w:pPr>
        <w:pStyle w:val="BodyText"/>
        <w:spacing w:before="11"/>
      </w:pPr>
    </w:p>
    <w:p>
      <w:pPr>
        <w:pStyle w:val="BodyText"/>
        <w:spacing w:line="249" w:lineRule="auto"/>
        <w:ind w:left="119" w:right="128" w:firstLine="170"/>
        <w:jc w:val="both"/>
      </w:pPr>
      <w:r>
        <w:rPr/>
        <w:t>Es así que los cuatro pasos iniciales del método, análisis de la participación, análisis de los problemas, análisis de objetivos y análisis de alternativas, constituyen la fase de identificación  del proyecto.</w:t>
      </w:r>
    </w:p>
    <w:p>
      <w:pPr>
        <w:pStyle w:val="BodyText"/>
        <w:rPr>
          <w:sz w:val="19"/>
        </w:rPr>
      </w:pPr>
    </w:p>
    <w:p>
      <w:pPr>
        <w:pStyle w:val="ListParagraph"/>
        <w:numPr>
          <w:ilvl w:val="1"/>
          <w:numId w:val="35"/>
        </w:numPr>
        <w:tabs>
          <w:tab w:pos="687" w:val="left" w:leader="none"/>
        </w:tabs>
        <w:spacing w:line="244" w:lineRule="auto" w:before="0" w:after="0"/>
        <w:ind w:left="686" w:right="128" w:hanging="425"/>
        <w:jc w:val="both"/>
        <w:rPr>
          <w:sz w:val="20"/>
        </w:rPr>
      </w:pPr>
      <w:r>
        <w:rPr>
          <w:sz w:val="20"/>
        </w:rPr>
        <w:t>Diseño: en ocasiones llamado también de formulación, trata de avanzar a partir de los análisis efectuados en la fase </w:t>
      </w:r>
      <w:r>
        <w:rPr>
          <w:spacing w:val="-3"/>
          <w:sz w:val="20"/>
        </w:rPr>
        <w:t>anterior. </w:t>
      </w:r>
      <w:r>
        <w:rPr>
          <w:sz w:val="20"/>
        </w:rPr>
        <w:t>Consiste, por tanto, en formalizar y organizar los resultados obtenidos en el proceso de identificación, estableciendo estrategias, plazos, recursos, costes, entre</w:t>
      </w:r>
      <w:r>
        <w:rPr>
          <w:spacing w:val="30"/>
          <w:sz w:val="20"/>
        </w:rPr>
        <w:t> </w:t>
      </w:r>
      <w:r>
        <w:rPr>
          <w:sz w:val="20"/>
        </w:rPr>
        <w:t>otros.</w:t>
      </w:r>
    </w:p>
    <w:p>
      <w:pPr>
        <w:pStyle w:val="BodyText"/>
        <w:spacing w:before="4"/>
        <w:rPr>
          <w:sz w:val="21"/>
        </w:rPr>
      </w:pPr>
    </w:p>
    <w:p>
      <w:pPr>
        <w:pStyle w:val="BodyText"/>
        <w:spacing w:line="249" w:lineRule="auto"/>
        <w:ind w:left="686" w:right="113" w:firstLine="23"/>
      </w:pPr>
      <w:r>
        <w:rPr/>
        <w:t>Supone responder, fundamentalmente, a preguntas tales como ¿Qué queremos hacer? Y ¿Cómo pretendemos realizarlo?, pero también a cuestiones del tipo de</w:t>
      </w:r>
    </w:p>
    <w:p>
      <w:pPr>
        <w:pStyle w:val="BodyText"/>
        <w:spacing w:line="249" w:lineRule="auto" w:before="1"/>
        <w:ind w:left="686" w:right="113"/>
      </w:pPr>
      <w:r>
        <w:rPr/>
        <w:t>¿a quién se dirige la acción? ¿Por qué y para que actuar? ¿Con quién, donde, cuando y con qué recursos?</w:t>
      </w:r>
    </w:p>
    <w:p>
      <w:pPr>
        <w:pStyle w:val="BodyText"/>
        <w:rPr>
          <w:sz w:val="19"/>
        </w:rPr>
      </w:pPr>
    </w:p>
    <w:p>
      <w:pPr>
        <w:pStyle w:val="ListParagraph"/>
        <w:numPr>
          <w:ilvl w:val="1"/>
          <w:numId w:val="35"/>
        </w:numPr>
        <w:tabs>
          <w:tab w:pos="687" w:val="left" w:leader="none"/>
        </w:tabs>
        <w:spacing w:line="244" w:lineRule="auto" w:before="0" w:after="0"/>
        <w:ind w:left="686" w:right="127" w:hanging="425"/>
        <w:jc w:val="both"/>
        <w:rPr>
          <w:sz w:val="20"/>
        </w:rPr>
      </w:pPr>
      <w:r>
        <w:rPr>
          <w:sz w:val="20"/>
        </w:rPr>
        <w:t>Ejecución y seguimiento: supone el momento de aplicación de los resultados  del diseño a la acción práctica de cooperación con intención de transformar   una determinada realidad. Se trata de llevar a cabo lo previsto, con lo que sus márgenes de maniobra dependerán de la calidad, consistencia y pertinencia del correspondiente</w:t>
      </w:r>
      <w:r>
        <w:rPr>
          <w:spacing w:val="28"/>
          <w:sz w:val="20"/>
        </w:rPr>
        <w:t> </w:t>
      </w:r>
      <w:r>
        <w:rPr>
          <w:sz w:val="20"/>
        </w:rPr>
        <w:t>diseño.</w:t>
      </w:r>
    </w:p>
    <w:p>
      <w:pPr>
        <w:spacing w:after="0" w:line="244" w:lineRule="auto"/>
        <w:jc w:val="both"/>
        <w:rPr>
          <w:sz w:val="20"/>
        </w:rPr>
        <w:sectPr>
          <w:type w:val="continuous"/>
          <w:pgSz w:w="18830" w:h="12760" w:orient="landscape"/>
          <w:pgMar w:top="1420" w:bottom="280" w:left="720" w:right="720"/>
          <w:cols w:num="2" w:equalWidth="0">
            <w:col w:w="7831" w:space="1591"/>
            <w:col w:w="7968"/>
          </w:cols>
        </w:sectPr>
      </w:pPr>
    </w:p>
    <w:p>
      <w:pPr>
        <w:pStyle w:val="BodyText"/>
        <w:spacing w:before="10"/>
        <w:rPr>
          <w:sz w:val="22"/>
        </w:rPr>
      </w:pPr>
    </w:p>
    <w:p>
      <w:pPr>
        <w:spacing w:after="0"/>
        <w:rPr>
          <w:sz w:val="22"/>
        </w:rPr>
        <w:sectPr>
          <w:footerReference w:type="default" r:id="rId304"/>
          <w:pgSz w:w="18830" w:h="12760" w:orient="landscape"/>
          <w:pgMar w:footer="1005" w:header="522" w:top="820" w:bottom="1200" w:left="720" w:right="720"/>
        </w:sectPr>
      </w:pPr>
    </w:p>
    <w:p>
      <w:pPr>
        <w:pStyle w:val="ListParagraph"/>
        <w:numPr>
          <w:ilvl w:val="1"/>
          <w:numId w:val="35"/>
        </w:numPr>
        <w:tabs>
          <w:tab w:pos="689" w:val="left" w:leader="none"/>
        </w:tabs>
        <w:spacing w:line="247" w:lineRule="auto" w:before="62" w:after="0"/>
        <w:ind w:left="688" w:right="0" w:hanging="425"/>
        <w:jc w:val="both"/>
        <w:rPr>
          <w:sz w:val="20"/>
        </w:rPr>
      </w:pPr>
      <w:r>
        <w:rPr>
          <w:sz w:val="20"/>
        </w:rPr>
        <w:t>Evaluación: la cuarta y última etapa central del ciclo de gestión es</w:t>
      </w:r>
      <w:r>
        <w:rPr>
          <w:spacing w:val="25"/>
          <w:sz w:val="20"/>
        </w:rPr>
        <w:t> </w:t>
      </w:r>
      <w:r>
        <w:rPr>
          <w:sz w:val="20"/>
        </w:rPr>
        <w:t>la</w:t>
      </w:r>
      <w:r>
        <w:rPr>
          <w:spacing w:val="2"/>
          <w:sz w:val="20"/>
        </w:rPr>
        <w:t> </w:t>
      </w:r>
      <w:r>
        <w:rPr>
          <w:sz w:val="20"/>
        </w:rPr>
        <w:t>evaluación.</w:t>
      </w:r>
      <w:r>
        <w:rPr>
          <w:w w:val="99"/>
          <w:sz w:val="20"/>
        </w:rPr>
        <w:t> </w:t>
      </w:r>
      <w:r>
        <w:rPr>
          <w:sz w:val="20"/>
        </w:rPr>
        <w:t>Diversas definiciones y tipologías pueden ser encontradas en numerosos ma- nuales</w:t>
      </w:r>
      <w:r>
        <w:rPr>
          <w:spacing w:val="-4"/>
          <w:sz w:val="20"/>
        </w:rPr>
        <w:t> </w:t>
      </w:r>
      <w:r>
        <w:rPr>
          <w:sz w:val="20"/>
        </w:rPr>
        <w:t>al</w:t>
      </w:r>
      <w:r>
        <w:rPr>
          <w:spacing w:val="-4"/>
          <w:sz w:val="20"/>
        </w:rPr>
        <w:t> </w:t>
      </w:r>
      <w:r>
        <w:rPr>
          <w:sz w:val="20"/>
        </w:rPr>
        <w:t>uso.</w:t>
      </w:r>
      <w:r>
        <w:rPr>
          <w:spacing w:val="-4"/>
          <w:sz w:val="20"/>
        </w:rPr>
        <w:t> </w:t>
      </w:r>
      <w:r>
        <w:rPr>
          <w:sz w:val="20"/>
        </w:rPr>
        <w:t>La</w:t>
      </w:r>
      <w:r>
        <w:rPr>
          <w:spacing w:val="-4"/>
          <w:sz w:val="20"/>
        </w:rPr>
        <w:t> </w:t>
      </w:r>
      <w:r>
        <w:rPr>
          <w:sz w:val="20"/>
        </w:rPr>
        <w:t>evaluación</w:t>
      </w:r>
      <w:r>
        <w:rPr>
          <w:spacing w:val="-4"/>
          <w:sz w:val="20"/>
        </w:rPr>
        <w:t> </w:t>
      </w:r>
      <w:r>
        <w:rPr>
          <w:sz w:val="20"/>
        </w:rPr>
        <w:t>es</w:t>
      </w:r>
      <w:r>
        <w:rPr>
          <w:spacing w:val="-4"/>
          <w:sz w:val="20"/>
        </w:rPr>
        <w:t> </w:t>
      </w:r>
      <w:r>
        <w:rPr>
          <w:sz w:val="20"/>
        </w:rPr>
        <w:t>la</w:t>
      </w:r>
      <w:r>
        <w:rPr>
          <w:spacing w:val="-4"/>
          <w:sz w:val="20"/>
        </w:rPr>
        <w:t> </w:t>
      </w:r>
      <w:r>
        <w:rPr>
          <w:sz w:val="20"/>
        </w:rPr>
        <w:t>fase</w:t>
      </w:r>
      <w:r>
        <w:rPr>
          <w:spacing w:val="-4"/>
          <w:sz w:val="20"/>
        </w:rPr>
        <w:t> </w:t>
      </w:r>
      <w:r>
        <w:rPr>
          <w:sz w:val="20"/>
        </w:rPr>
        <w:t>en</w:t>
      </w:r>
      <w:r>
        <w:rPr>
          <w:spacing w:val="-4"/>
          <w:sz w:val="20"/>
        </w:rPr>
        <w:t> </w:t>
      </w:r>
      <w:r>
        <w:rPr>
          <w:sz w:val="20"/>
        </w:rPr>
        <w:t>la</w:t>
      </w:r>
      <w:r>
        <w:rPr>
          <w:spacing w:val="-4"/>
          <w:sz w:val="20"/>
        </w:rPr>
        <w:t> </w:t>
      </w:r>
      <w:r>
        <w:rPr>
          <w:sz w:val="20"/>
        </w:rPr>
        <w:t>que</w:t>
      </w:r>
      <w:r>
        <w:rPr>
          <w:spacing w:val="-4"/>
          <w:sz w:val="20"/>
        </w:rPr>
        <w:t> </w:t>
      </w:r>
      <w:r>
        <w:rPr>
          <w:sz w:val="20"/>
        </w:rPr>
        <w:t>se</w:t>
      </w:r>
      <w:r>
        <w:rPr>
          <w:spacing w:val="-4"/>
          <w:sz w:val="20"/>
        </w:rPr>
        <w:t> </w:t>
      </w:r>
      <w:r>
        <w:rPr>
          <w:sz w:val="20"/>
        </w:rPr>
        <w:t>aprecia</w:t>
      </w:r>
      <w:r>
        <w:rPr>
          <w:spacing w:val="-4"/>
          <w:sz w:val="20"/>
        </w:rPr>
        <w:t> </w:t>
      </w:r>
      <w:r>
        <w:rPr>
          <w:sz w:val="20"/>
        </w:rPr>
        <w:t>y</w:t>
      </w:r>
      <w:r>
        <w:rPr>
          <w:spacing w:val="-4"/>
          <w:sz w:val="20"/>
        </w:rPr>
        <w:t> </w:t>
      </w:r>
      <w:r>
        <w:rPr>
          <w:sz w:val="20"/>
        </w:rPr>
        <w:t>valora</w:t>
      </w:r>
      <w:r>
        <w:rPr>
          <w:spacing w:val="-4"/>
          <w:sz w:val="20"/>
        </w:rPr>
        <w:t> </w:t>
      </w:r>
      <w:r>
        <w:rPr>
          <w:sz w:val="20"/>
        </w:rPr>
        <w:t>para</w:t>
      </w:r>
      <w:r>
        <w:rPr>
          <w:spacing w:val="-4"/>
          <w:sz w:val="20"/>
        </w:rPr>
        <w:t> </w:t>
      </w:r>
      <w:r>
        <w:rPr>
          <w:sz w:val="20"/>
        </w:rPr>
        <w:t>extraer conclusiones antes, durante y después de su ejecución. El EML ha venido incor- porando un conjunto de componentes, pertinencia, eficacia, eficiencia, impacto  y viabilidad como elementos básicos de atención en las prácticas </w:t>
      </w:r>
      <w:r>
        <w:rPr>
          <w:spacing w:val="15"/>
          <w:sz w:val="20"/>
        </w:rPr>
        <w:t> </w:t>
      </w:r>
      <w:r>
        <w:rPr>
          <w:sz w:val="20"/>
        </w:rPr>
        <w:t>evaluativas.</w:t>
      </w:r>
    </w:p>
    <w:p>
      <w:pPr>
        <w:pStyle w:val="BodyText"/>
        <w:spacing w:before="8"/>
      </w:pPr>
    </w:p>
    <w:p>
      <w:pPr>
        <w:pStyle w:val="Heading1"/>
        <w:spacing w:line="240" w:lineRule="exact" w:before="1"/>
        <w:ind w:left="291" w:right="-12"/>
      </w:pPr>
      <w:r>
        <w:rPr/>
        <w:t>Pasos del método para el Análisis bajo el Enfoque del Marco Lógico:</w:t>
      </w:r>
    </w:p>
    <w:p>
      <w:pPr>
        <w:pStyle w:val="BodyText"/>
        <w:spacing w:before="2"/>
        <w:rPr>
          <w:b/>
          <w:sz w:val="21"/>
        </w:rPr>
      </w:pPr>
    </w:p>
    <w:p>
      <w:pPr>
        <w:pStyle w:val="BodyText"/>
        <w:spacing w:line="249" w:lineRule="auto" w:before="1"/>
        <w:ind w:left="121" w:firstLine="170"/>
        <w:jc w:val="both"/>
      </w:pPr>
      <w:r>
        <w:rPr/>
        <w:t>Consta de cinco pasos de discusión que sistematizan las tareas imprescindibles durante las etapas de identificación y diseño de un proyecto de desarrollo. Los cuatro primeros pasos son pasos de la identificación y contribuye a sistematizar una de las fases más importantes de la vida de un proyecto que habitualmente tiende a quedar</w:t>
      </w:r>
      <w:r>
        <w:rPr>
          <w:spacing w:val="-29"/>
        </w:rPr>
        <w:t> </w:t>
      </w:r>
      <w:r>
        <w:rPr/>
        <w:t>en una nebulosa de generalidades. Esos pasos son los</w:t>
      </w:r>
      <w:r>
        <w:rPr>
          <w:spacing w:val="11"/>
        </w:rPr>
        <w:t> </w:t>
      </w:r>
      <w:r>
        <w:rPr/>
        <w:t>siguientes:</w:t>
      </w:r>
    </w:p>
    <w:p>
      <w:pPr>
        <w:pStyle w:val="BodyText"/>
        <w:rPr>
          <w:sz w:val="19"/>
        </w:rPr>
      </w:pPr>
    </w:p>
    <w:p>
      <w:pPr>
        <w:pStyle w:val="ListParagraph"/>
        <w:numPr>
          <w:ilvl w:val="0"/>
          <w:numId w:val="36"/>
        </w:numPr>
        <w:tabs>
          <w:tab w:pos="548" w:val="left" w:leader="none"/>
        </w:tabs>
        <w:spacing w:line="244" w:lineRule="auto" w:before="0" w:after="0"/>
        <w:ind w:left="547" w:right="0" w:hanging="283"/>
        <w:jc w:val="both"/>
        <w:rPr>
          <w:sz w:val="20"/>
        </w:rPr>
      </w:pPr>
      <w:r>
        <w:rPr>
          <w:sz w:val="20"/>
        </w:rPr>
        <w:t>Análisis de la participación: se pretenden dos cosas básicamente, en primer </w:t>
      </w:r>
      <w:r>
        <w:rPr>
          <w:spacing w:val="-4"/>
          <w:sz w:val="20"/>
        </w:rPr>
        <w:t>lugar, </w:t>
      </w:r>
      <w:r>
        <w:rPr>
          <w:sz w:val="20"/>
        </w:rPr>
        <w:t>se</w:t>
      </w:r>
      <w:r>
        <w:rPr>
          <w:spacing w:val="-15"/>
          <w:sz w:val="20"/>
        </w:rPr>
        <w:t> </w:t>
      </w:r>
      <w:r>
        <w:rPr>
          <w:sz w:val="20"/>
        </w:rPr>
        <w:t>trata</w:t>
      </w:r>
      <w:r>
        <w:rPr>
          <w:spacing w:val="-15"/>
          <w:sz w:val="20"/>
        </w:rPr>
        <w:t> </w:t>
      </w:r>
      <w:r>
        <w:rPr>
          <w:sz w:val="20"/>
        </w:rPr>
        <w:t>de</w:t>
      </w:r>
      <w:r>
        <w:rPr>
          <w:spacing w:val="-15"/>
          <w:sz w:val="20"/>
        </w:rPr>
        <w:t> </w:t>
      </w:r>
      <w:r>
        <w:rPr>
          <w:sz w:val="20"/>
        </w:rPr>
        <w:t>tener</w:t>
      </w:r>
      <w:r>
        <w:rPr>
          <w:spacing w:val="-15"/>
          <w:sz w:val="20"/>
        </w:rPr>
        <w:t> </w:t>
      </w:r>
      <w:r>
        <w:rPr>
          <w:sz w:val="20"/>
        </w:rPr>
        <w:t>una</w:t>
      </w:r>
      <w:r>
        <w:rPr>
          <w:spacing w:val="-15"/>
          <w:sz w:val="20"/>
        </w:rPr>
        <w:t> </w:t>
      </w:r>
      <w:r>
        <w:rPr>
          <w:sz w:val="20"/>
        </w:rPr>
        <w:t>visión</w:t>
      </w:r>
      <w:r>
        <w:rPr>
          <w:spacing w:val="-15"/>
          <w:sz w:val="20"/>
        </w:rPr>
        <w:t> </w:t>
      </w:r>
      <w:r>
        <w:rPr>
          <w:sz w:val="20"/>
        </w:rPr>
        <w:t>lo</w:t>
      </w:r>
      <w:r>
        <w:rPr>
          <w:spacing w:val="-15"/>
          <w:sz w:val="20"/>
        </w:rPr>
        <w:t> </w:t>
      </w:r>
      <w:r>
        <w:rPr>
          <w:sz w:val="20"/>
        </w:rPr>
        <w:t>más</w:t>
      </w:r>
      <w:r>
        <w:rPr>
          <w:spacing w:val="-15"/>
          <w:sz w:val="20"/>
        </w:rPr>
        <w:t> </w:t>
      </w:r>
      <w:r>
        <w:rPr>
          <w:sz w:val="20"/>
        </w:rPr>
        <w:t>precisa</w:t>
      </w:r>
      <w:r>
        <w:rPr>
          <w:spacing w:val="-15"/>
          <w:sz w:val="20"/>
        </w:rPr>
        <w:t> </w:t>
      </w:r>
      <w:r>
        <w:rPr>
          <w:sz w:val="20"/>
        </w:rPr>
        <w:t>posible,</w:t>
      </w:r>
      <w:r>
        <w:rPr>
          <w:spacing w:val="-15"/>
          <w:sz w:val="20"/>
        </w:rPr>
        <w:t> </w:t>
      </w:r>
      <w:r>
        <w:rPr>
          <w:sz w:val="20"/>
        </w:rPr>
        <w:t>de</w:t>
      </w:r>
      <w:r>
        <w:rPr>
          <w:spacing w:val="-15"/>
          <w:sz w:val="20"/>
        </w:rPr>
        <w:t> </w:t>
      </w:r>
      <w:r>
        <w:rPr>
          <w:sz w:val="20"/>
        </w:rPr>
        <w:t>la</w:t>
      </w:r>
      <w:r>
        <w:rPr>
          <w:spacing w:val="-15"/>
          <w:sz w:val="20"/>
        </w:rPr>
        <w:t> </w:t>
      </w:r>
      <w:r>
        <w:rPr>
          <w:sz w:val="20"/>
        </w:rPr>
        <w:t>realidad</w:t>
      </w:r>
      <w:r>
        <w:rPr>
          <w:spacing w:val="-15"/>
          <w:sz w:val="20"/>
        </w:rPr>
        <w:t> </w:t>
      </w:r>
      <w:r>
        <w:rPr>
          <w:sz w:val="20"/>
        </w:rPr>
        <w:t>social</w:t>
      </w:r>
      <w:r>
        <w:rPr>
          <w:spacing w:val="-15"/>
          <w:sz w:val="20"/>
        </w:rPr>
        <w:t> </w:t>
      </w:r>
      <w:r>
        <w:rPr>
          <w:sz w:val="20"/>
        </w:rPr>
        <w:t>sobre</w:t>
      </w:r>
      <w:r>
        <w:rPr>
          <w:spacing w:val="-15"/>
          <w:sz w:val="20"/>
        </w:rPr>
        <w:t> </w:t>
      </w:r>
      <w:r>
        <w:rPr>
          <w:sz w:val="20"/>
        </w:rPr>
        <w:t>la</w:t>
      </w:r>
      <w:r>
        <w:rPr>
          <w:spacing w:val="-15"/>
          <w:sz w:val="20"/>
        </w:rPr>
        <w:t> </w:t>
      </w:r>
      <w:r>
        <w:rPr>
          <w:sz w:val="20"/>
        </w:rPr>
        <w:t>cual el futuro proyecto pretende </w:t>
      </w:r>
      <w:r>
        <w:rPr>
          <w:spacing w:val="-3"/>
          <w:sz w:val="20"/>
        </w:rPr>
        <w:t>incidir. </w:t>
      </w:r>
      <w:r>
        <w:rPr>
          <w:sz w:val="20"/>
        </w:rPr>
        <w:t>Muchas intervenciones del desarrollo fracasan, por haber efectuado un diagnostico excesivamente superficial del contexto en el que se deben</w:t>
      </w:r>
      <w:r>
        <w:rPr>
          <w:spacing w:val="2"/>
          <w:sz w:val="20"/>
        </w:rPr>
        <w:t> </w:t>
      </w:r>
      <w:r>
        <w:rPr>
          <w:sz w:val="20"/>
        </w:rPr>
        <w:t>insertarse.</w:t>
      </w:r>
    </w:p>
    <w:p>
      <w:pPr>
        <w:pStyle w:val="BodyText"/>
        <w:spacing w:before="5"/>
        <w:rPr>
          <w:sz w:val="19"/>
        </w:rPr>
      </w:pPr>
    </w:p>
    <w:p>
      <w:pPr>
        <w:pStyle w:val="ListParagraph"/>
        <w:numPr>
          <w:ilvl w:val="0"/>
          <w:numId w:val="36"/>
        </w:numPr>
        <w:tabs>
          <w:tab w:pos="548" w:val="left" w:leader="none"/>
        </w:tabs>
        <w:spacing w:line="247" w:lineRule="auto" w:before="0" w:after="0"/>
        <w:ind w:left="547" w:right="0" w:hanging="283"/>
        <w:jc w:val="both"/>
        <w:rPr>
          <w:sz w:val="20"/>
        </w:rPr>
      </w:pPr>
      <w:r>
        <w:rPr>
          <w:sz w:val="20"/>
        </w:rPr>
        <w:t>Análisis de los problemas: Los problemas van siempre con las personas, o dicho de otra manera, no hay problemas sin personas. Por lo tanto, el llamado análisis de la situación es de hecho, el análisis de la participación más el análisis de problemas. De lo que se trata es de elaborar un diagrama de causas y efectos entre los distintos problemas identificados llamado árbol de problemas y que supone el documento quizás más característico de la identificación de proyectos de desarrollo según el Enfoque del Marco</w:t>
      </w:r>
      <w:r>
        <w:rPr>
          <w:spacing w:val="33"/>
          <w:sz w:val="20"/>
        </w:rPr>
        <w:t> </w:t>
      </w:r>
      <w:r>
        <w:rPr>
          <w:sz w:val="20"/>
        </w:rPr>
        <w:t>Lógico.</w:t>
      </w:r>
    </w:p>
    <w:p>
      <w:pPr>
        <w:pStyle w:val="BodyText"/>
        <w:spacing w:before="2"/>
        <w:rPr>
          <w:sz w:val="19"/>
        </w:rPr>
      </w:pPr>
    </w:p>
    <w:p>
      <w:pPr>
        <w:pStyle w:val="ListParagraph"/>
        <w:numPr>
          <w:ilvl w:val="0"/>
          <w:numId w:val="36"/>
        </w:numPr>
        <w:tabs>
          <w:tab w:pos="548" w:val="left" w:leader="none"/>
        </w:tabs>
        <w:spacing w:line="247" w:lineRule="auto" w:before="1" w:after="0"/>
        <w:ind w:left="547" w:right="0" w:hanging="283"/>
        <w:jc w:val="both"/>
        <w:rPr>
          <w:sz w:val="20"/>
        </w:rPr>
      </w:pPr>
      <w:r>
        <w:rPr>
          <w:sz w:val="20"/>
        </w:rPr>
        <w:t>Análisis de objetivos: se construye sobre los resultados obtenidos en el anterior análisis de los problemas. Los problemas que habían sido descritos como situaciones negativas percibidas como tal por algunas de los implicados, pasan ahora a ser definidos como estados alcanzados positivos que se establecen  sobre la resolución de los problemas anteriormente identificados. Es </w:t>
      </w:r>
      <w:r>
        <w:rPr>
          <w:spacing w:val="-4"/>
          <w:sz w:val="20"/>
        </w:rPr>
        <w:t>decir,  </w:t>
      </w:r>
      <w:r>
        <w:rPr>
          <w:sz w:val="20"/>
        </w:rPr>
        <w:t>para  el EML, los objetivos de desarrollo se construyen sobre la solución de problemas concretos que afectan a personas concretas y cuya definición y relaciones se han establecido en el paso</w:t>
      </w:r>
      <w:r>
        <w:rPr>
          <w:spacing w:val="32"/>
          <w:sz w:val="20"/>
        </w:rPr>
        <w:t> </w:t>
      </w:r>
      <w:r>
        <w:rPr>
          <w:spacing w:val="-3"/>
          <w:sz w:val="20"/>
        </w:rPr>
        <w:t>anterior.</w:t>
      </w:r>
    </w:p>
    <w:p>
      <w:pPr>
        <w:pStyle w:val="BodyText"/>
        <w:spacing w:before="8"/>
      </w:pPr>
    </w:p>
    <w:p>
      <w:pPr>
        <w:pStyle w:val="ListParagraph"/>
        <w:numPr>
          <w:ilvl w:val="0"/>
          <w:numId w:val="36"/>
        </w:numPr>
        <w:tabs>
          <w:tab w:pos="548" w:val="left" w:leader="none"/>
        </w:tabs>
        <w:spacing w:line="240" w:lineRule="exact" w:before="1" w:after="0"/>
        <w:ind w:left="547" w:right="0" w:hanging="283"/>
        <w:jc w:val="both"/>
        <w:rPr>
          <w:sz w:val="20"/>
        </w:rPr>
      </w:pPr>
      <w:r>
        <w:rPr>
          <w:sz w:val="20"/>
        </w:rPr>
        <w:t>Análisis de alternativas: es un paso fundamental dentro de la gestión de una intervención, aunque inevitablemente presenta un nivel de indefinición que resulta enojoso a la hora de plantear una explicación de carácter más bien esquemática  y</w:t>
      </w:r>
      <w:r>
        <w:rPr>
          <w:spacing w:val="10"/>
          <w:sz w:val="20"/>
        </w:rPr>
        <w:t> </w:t>
      </w:r>
      <w:r>
        <w:rPr>
          <w:sz w:val="20"/>
        </w:rPr>
        <w:t>superficial.</w:t>
      </w:r>
    </w:p>
    <w:p>
      <w:pPr>
        <w:pStyle w:val="ListParagraph"/>
        <w:numPr>
          <w:ilvl w:val="0"/>
          <w:numId w:val="36"/>
        </w:numPr>
        <w:tabs>
          <w:tab w:pos="548" w:val="left" w:leader="none"/>
        </w:tabs>
        <w:spacing w:line="244" w:lineRule="auto" w:before="62" w:after="0"/>
        <w:ind w:left="547" w:right="128" w:hanging="283"/>
        <w:jc w:val="both"/>
        <w:rPr>
          <w:sz w:val="20"/>
        </w:rPr>
      </w:pPr>
      <w:r>
        <w:rPr>
          <w:w w:val="101"/>
          <w:sz w:val="20"/>
        </w:rPr>
        <w:br w:type="column"/>
      </w:r>
      <w:r>
        <w:rPr>
          <w:sz w:val="20"/>
        </w:rPr>
        <w:t>Matriz de planificación del proyecto: es el documento-herramienta más caracte- rístico del enfoque del marco lógico. De hecho, el marco lógico comenzó siendo una matriz y hasta que se estableció la secuencia de pasos previos que conducen hasta ella, lo que constituye la principal originalidad del método, la identificación entre un término y otro fue</w:t>
      </w:r>
      <w:r>
        <w:rPr>
          <w:spacing w:val="27"/>
          <w:sz w:val="20"/>
        </w:rPr>
        <w:t> </w:t>
      </w:r>
      <w:r>
        <w:rPr>
          <w:sz w:val="20"/>
        </w:rPr>
        <w:t>absoluta.</w:t>
      </w:r>
    </w:p>
    <w:p>
      <w:pPr>
        <w:pStyle w:val="BodyText"/>
        <w:spacing w:before="4"/>
        <w:rPr>
          <w:sz w:val="21"/>
        </w:rPr>
      </w:pPr>
    </w:p>
    <w:p>
      <w:pPr>
        <w:pStyle w:val="BodyText"/>
        <w:spacing w:line="249" w:lineRule="auto"/>
        <w:ind w:left="121" w:right="128" w:firstLine="170"/>
        <w:jc w:val="both"/>
      </w:pPr>
      <w:r>
        <w:rPr/>
        <w:t>El EML es un método concreto para la planificación de proyectos por objetivos, utilizado</w:t>
      </w:r>
      <w:r>
        <w:rPr>
          <w:spacing w:val="-12"/>
        </w:rPr>
        <w:t> </w:t>
      </w:r>
      <w:r>
        <w:rPr/>
        <w:t>en</w:t>
      </w:r>
      <w:r>
        <w:rPr>
          <w:spacing w:val="-12"/>
        </w:rPr>
        <w:t> </w:t>
      </w:r>
      <w:r>
        <w:rPr/>
        <w:t>los</w:t>
      </w:r>
      <w:r>
        <w:rPr>
          <w:spacing w:val="-12"/>
        </w:rPr>
        <w:t> </w:t>
      </w:r>
      <w:r>
        <w:rPr/>
        <w:t>últimos</w:t>
      </w:r>
      <w:r>
        <w:rPr>
          <w:spacing w:val="-12"/>
        </w:rPr>
        <w:t> </w:t>
      </w:r>
      <w:r>
        <w:rPr/>
        <w:t>tiempos</w:t>
      </w:r>
      <w:r>
        <w:rPr>
          <w:spacing w:val="-13"/>
        </w:rPr>
        <w:t> </w:t>
      </w:r>
      <w:r>
        <w:rPr/>
        <w:t>entre</w:t>
      </w:r>
      <w:r>
        <w:rPr>
          <w:spacing w:val="-12"/>
        </w:rPr>
        <w:t> </w:t>
      </w:r>
      <w:r>
        <w:rPr/>
        <w:t>los</w:t>
      </w:r>
      <w:r>
        <w:rPr>
          <w:spacing w:val="-12"/>
        </w:rPr>
        <w:t> </w:t>
      </w:r>
      <w:r>
        <w:rPr/>
        <w:t>principales</w:t>
      </w:r>
      <w:r>
        <w:rPr>
          <w:spacing w:val="-12"/>
        </w:rPr>
        <w:t> </w:t>
      </w:r>
      <w:r>
        <w:rPr/>
        <w:t>agentes</w:t>
      </w:r>
      <w:r>
        <w:rPr>
          <w:spacing w:val="-12"/>
        </w:rPr>
        <w:t> </w:t>
      </w:r>
      <w:r>
        <w:rPr/>
        <w:t>e</w:t>
      </w:r>
      <w:r>
        <w:rPr>
          <w:spacing w:val="-12"/>
        </w:rPr>
        <w:t> </w:t>
      </w:r>
      <w:r>
        <w:rPr/>
        <w:t>instituciones</w:t>
      </w:r>
      <w:r>
        <w:rPr>
          <w:spacing w:val="-12"/>
        </w:rPr>
        <w:t> </w:t>
      </w:r>
      <w:r>
        <w:rPr/>
        <w:t>que</w:t>
      </w:r>
      <w:r>
        <w:rPr>
          <w:spacing w:val="-12"/>
        </w:rPr>
        <w:t> </w:t>
      </w:r>
      <w:r>
        <w:rPr/>
        <w:t>centran sus actividades en la cooperación internacional y el desarrollo. Las dudas acerca de la utilidad</w:t>
      </w:r>
      <w:r>
        <w:rPr>
          <w:spacing w:val="-6"/>
        </w:rPr>
        <w:t> </w:t>
      </w:r>
      <w:r>
        <w:rPr/>
        <w:t>práctica</w:t>
      </w:r>
      <w:r>
        <w:rPr>
          <w:spacing w:val="-6"/>
        </w:rPr>
        <w:t> </w:t>
      </w:r>
      <w:r>
        <w:rPr/>
        <w:t>de</w:t>
      </w:r>
      <w:r>
        <w:rPr>
          <w:spacing w:val="-6"/>
        </w:rPr>
        <w:t> </w:t>
      </w:r>
      <w:r>
        <w:rPr/>
        <w:t>esta</w:t>
      </w:r>
      <w:r>
        <w:rPr>
          <w:spacing w:val="-6"/>
        </w:rPr>
        <w:t> </w:t>
      </w:r>
      <w:r>
        <w:rPr/>
        <w:t>herramienta,</w:t>
      </w:r>
      <w:r>
        <w:rPr>
          <w:spacing w:val="-6"/>
        </w:rPr>
        <w:t> </w:t>
      </w:r>
      <w:r>
        <w:rPr/>
        <w:t>seguramente,</w:t>
      </w:r>
      <w:r>
        <w:rPr>
          <w:spacing w:val="-6"/>
        </w:rPr>
        <w:t> </w:t>
      </w:r>
      <w:r>
        <w:rPr/>
        <w:t>muy</w:t>
      </w:r>
      <w:r>
        <w:rPr>
          <w:spacing w:val="-6"/>
        </w:rPr>
        <w:t> </w:t>
      </w:r>
      <w:r>
        <w:rPr/>
        <w:t>justificadas,</w:t>
      </w:r>
      <w:r>
        <w:rPr>
          <w:spacing w:val="-6"/>
        </w:rPr>
        <w:t> </w:t>
      </w:r>
      <w:r>
        <w:rPr/>
        <w:t>es</w:t>
      </w:r>
      <w:r>
        <w:rPr>
          <w:spacing w:val="-6"/>
        </w:rPr>
        <w:t> </w:t>
      </w:r>
      <w:r>
        <w:rPr/>
        <w:t>que</w:t>
      </w:r>
      <w:r>
        <w:rPr>
          <w:spacing w:val="-6"/>
        </w:rPr>
        <w:t> </w:t>
      </w:r>
      <w:r>
        <w:rPr/>
        <w:t>el</w:t>
      </w:r>
      <w:r>
        <w:rPr>
          <w:spacing w:val="-6"/>
        </w:rPr>
        <w:t> </w:t>
      </w:r>
      <w:r>
        <w:rPr/>
        <w:t>Enfoque del Marco Lógico es un método del cual se habla mucho más, de lo que se aplica.      El peligro de esta técnica es que se ha convertido en una especie de procedimiento administrativo</w:t>
      </w:r>
      <w:r>
        <w:rPr>
          <w:spacing w:val="-6"/>
        </w:rPr>
        <w:t> </w:t>
      </w:r>
      <w:r>
        <w:rPr/>
        <w:t>para</w:t>
      </w:r>
      <w:r>
        <w:rPr>
          <w:spacing w:val="-6"/>
        </w:rPr>
        <w:t> </w:t>
      </w:r>
      <w:r>
        <w:rPr/>
        <w:t>justificar</w:t>
      </w:r>
      <w:r>
        <w:rPr>
          <w:spacing w:val="-6"/>
        </w:rPr>
        <w:t> </w:t>
      </w:r>
      <w:r>
        <w:rPr/>
        <w:t>la</w:t>
      </w:r>
      <w:r>
        <w:rPr>
          <w:spacing w:val="-6"/>
        </w:rPr>
        <w:t> </w:t>
      </w:r>
      <w:r>
        <w:rPr/>
        <w:t>asignación</w:t>
      </w:r>
      <w:r>
        <w:rPr>
          <w:spacing w:val="-6"/>
        </w:rPr>
        <w:t> </w:t>
      </w:r>
      <w:r>
        <w:rPr/>
        <w:t>de</w:t>
      </w:r>
      <w:r>
        <w:rPr>
          <w:spacing w:val="-6"/>
        </w:rPr>
        <w:t> </w:t>
      </w:r>
      <w:r>
        <w:rPr/>
        <w:t>fondos,</w:t>
      </w:r>
      <w:r>
        <w:rPr>
          <w:spacing w:val="-6"/>
        </w:rPr>
        <w:t> </w:t>
      </w:r>
      <w:r>
        <w:rPr/>
        <w:t>más</w:t>
      </w:r>
      <w:r>
        <w:rPr>
          <w:spacing w:val="-6"/>
        </w:rPr>
        <w:t> </w:t>
      </w:r>
      <w:r>
        <w:rPr/>
        <w:t>que</w:t>
      </w:r>
      <w:r>
        <w:rPr>
          <w:spacing w:val="-6"/>
        </w:rPr>
        <w:t> </w:t>
      </w:r>
      <w:r>
        <w:rPr/>
        <w:t>en</w:t>
      </w:r>
      <w:r>
        <w:rPr>
          <w:spacing w:val="-6"/>
        </w:rPr>
        <w:t> </w:t>
      </w:r>
      <w:r>
        <w:rPr/>
        <w:t>un</w:t>
      </w:r>
      <w:r>
        <w:rPr>
          <w:spacing w:val="-6"/>
        </w:rPr>
        <w:t> </w:t>
      </w:r>
      <w:r>
        <w:rPr/>
        <w:t>método</w:t>
      </w:r>
      <w:r>
        <w:rPr>
          <w:spacing w:val="-6"/>
        </w:rPr>
        <w:t> </w:t>
      </w:r>
      <w:r>
        <w:rPr/>
        <w:t>de</w:t>
      </w:r>
      <w:r>
        <w:rPr>
          <w:spacing w:val="-6"/>
        </w:rPr>
        <w:t> </w:t>
      </w:r>
      <w:r>
        <w:rPr/>
        <w:t>gestión de proyectos de</w:t>
      </w:r>
      <w:r>
        <w:rPr>
          <w:spacing w:val="-21"/>
        </w:rPr>
        <w:t> </w:t>
      </w:r>
      <w:r>
        <w:rPr/>
        <w:t>desarrollo.</w:t>
      </w:r>
    </w:p>
    <w:p>
      <w:pPr>
        <w:pStyle w:val="BodyText"/>
        <w:spacing w:before="11"/>
      </w:pPr>
    </w:p>
    <w:p>
      <w:pPr>
        <w:pStyle w:val="BodyText"/>
        <w:spacing w:line="249" w:lineRule="auto"/>
        <w:ind w:left="122" w:right="128" w:firstLine="170"/>
        <w:jc w:val="both"/>
      </w:pPr>
      <w:r>
        <w:rPr/>
        <w:t>De forma sintética en la figura 3 se observan las perspectivas metodológicas que conforman esta propuesta para el análisis de los impactos territoriales de la expansión urbana en sistemas productivos de la Cuenca de Malinalco.</w:t>
      </w:r>
    </w:p>
    <w:p>
      <w:pPr>
        <w:pStyle w:val="BodyText"/>
        <w:spacing w:before="2"/>
        <w:rPr>
          <w:sz w:val="24"/>
        </w:rPr>
      </w:pPr>
    </w:p>
    <w:p>
      <w:pPr>
        <w:spacing w:line="312" w:lineRule="auto" w:before="0"/>
        <w:ind w:left="222" w:right="229" w:firstLine="0"/>
        <w:jc w:val="center"/>
        <w:rPr>
          <w:sz w:val="16"/>
        </w:rPr>
      </w:pPr>
      <w:r>
        <w:rPr/>
        <w:pict>
          <v:group style="position:absolute;margin-left:514pt;margin-top:21.682068pt;width:385.85pt;height:207.4pt;mso-position-horizontal-relative:page;mso-position-vertical-relative:paragraph;z-index:-640408" coordorigin="10280,434" coordsize="7717,4148">
            <v:shape style="position:absolute;left:10280;top:1990;width:2202;height:477" type="#_x0000_t75" stroked="false">
              <v:imagedata r:id="rId305" o:title=""/>
            </v:shape>
            <v:shape style="position:absolute;left:12130;top:434;width:5867;height:4148" type="#_x0000_t75" stroked="false">
              <v:imagedata r:id="rId306" o:title=""/>
            </v:shape>
            <v:shape style="position:absolute;left:10602;top:2116;width:1707;height:200" type="#_x0000_t202" filled="false" stroked="false">
              <v:textbox inset="0,0,0,0">
                <w:txbxContent>
                  <w:p>
                    <w:pPr>
                      <w:spacing w:line="200" w:lineRule="exact" w:before="0"/>
                      <w:ind w:left="0" w:right="-3" w:firstLine="0"/>
                      <w:jc w:val="left"/>
                      <w:rPr>
                        <w:b/>
                        <w:sz w:val="20"/>
                      </w:rPr>
                    </w:pPr>
                    <w:r>
                      <w:rPr>
                        <w:b/>
                        <w:sz w:val="20"/>
                      </w:rPr>
                      <w:t>Cuenca Malinalco</w:t>
                    </w:r>
                  </w:p>
                </w:txbxContent>
              </v:textbox>
              <w10:wrap type="none"/>
            </v:shape>
            <w10:wrap type="none"/>
          </v:group>
        </w:pict>
      </w:r>
      <w:r>
        <w:rPr>
          <w:color w:val="6D6E71"/>
          <w:sz w:val="16"/>
        </w:rPr>
        <w:t>Figura 3. Perspectivas metodológicas para el análisis de los impactos territoriales de la expansión urbana en sistemas productivos.</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0"/>
        <w:rPr>
          <w:sz w:val="23"/>
        </w:rPr>
      </w:pPr>
    </w:p>
    <w:p>
      <w:pPr>
        <w:spacing w:before="0"/>
        <w:ind w:left="222" w:right="228" w:firstLine="0"/>
        <w:jc w:val="center"/>
        <w:rPr>
          <w:sz w:val="16"/>
        </w:rPr>
      </w:pPr>
      <w:r>
        <w:rPr>
          <w:color w:val="6D6E71"/>
          <w:sz w:val="16"/>
        </w:rPr>
        <w:t>Fuente: Elaboración propia, 2015</w:t>
      </w:r>
    </w:p>
    <w:p>
      <w:pPr>
        <w:spacing w:after="0"/>
        <w:jc w:val="center"/>
        <w:rPr>
          <w:sz w:val="16"/>
        </w:rPr>
        <w:sectPr>
          <w:type w:val="continuous"/>
          <w:pgSz w:w="18830" w:h="12760" w:orient="landscape"/>
          <w:pgMar w:top="1420" w:bottom="280" w:left="720" w:right="720"/>
          <w:cols w:num="2" w:equalWidth="0">
            <w:col w:w="7833" w:space="1586"/>
            <w:col w:w="7971"/>
          </w:cols>
        </w:sectPr>
      </w:pPr>
    </w:p>
    <w:p>
      <w:pPr>
        <w:pStyle w:val="BodyText"/>
        <w:spacing w:before="8"/>
      </w:pPr>
    </w:p>
    <w:p>
      <w:pPr>
        <w:spacing w:after="0"/>
        <w:sectPr>
          <w:footerReference w:type="default" r:id="rId307"/>
          <w:pgSz w:w="18830" w:h="12760" w:orient="landscape"/>
          <w:pgMar w:footer="1036" w:header="522" w:top="820" w:bottom="1220" w:left="720" w:right="720"/>
        </w:sectPr>
      </w:pPr>
    </w:p>
    <w:p>
      <w:pPr>
        <w:pStyle w:val="Heading1"/>
        <w:spacing w:before="71"/>
        <w:ind w:right="-7"/>
      </w:pPr>
      <w:r>
        <w:rPr/>
        <w:t>Conclusiones.</w:t>
      </w:r>
    </w:p>
    <w:p>
      <w:pPr>
        <w:pStyle w:val="BodyText"/>
        <w:rPr>
          <w:b/>
          <w:sz w:val="21"/>
        </w:rPr>
      </w:pPr>
    </w:p>
    <w:p>
      <w:pPr>
        <w:pStyle w:val="BodyText"/>
        <w:spacing w:line="249" w:lineRule="auto"/>
        <w:ind w:left="130" w:firstLine="170"/>
        <w:jc w:val="both"/>
      </w:pPr>
      <w:r>
        <w:rPr/>
        <w:t>Se presenta una propuesta multi disciplinaria, que atiende a la evolución de los procesos ambientales y socioeconómicos en una subcuenca de alta importancia ecológica en el sur de México y que sin embargo, ha estado sujeta a un relevante proceso</w:t>
      </w:r>
      <w:r>
        <w:rPr>
          <w:spacing w:val="-14"/>
        </w:rPr>
        <w:t> </w:t>
      </w:r>
      <w:r>
        <w:rPr/>
        <w:t>de</w:t>
      </w:r>
      <w:r>
        <w:rPr>
          <w:spacing w:val="-14"/>
        </w:rPr>
        <w:t> </w:t>
      </w:r>
      <w:r>
        <w:rPr/>
        <w:t>urbanización.</w:t>
      </w:r>
      <w:r>
        <w:rPr>
          <w:spacing w:val="-14"/>
        </w:rPr>
        <w:t> </w:t>
      </w:r>
      <w:r>
        <w:rPr/>
        <w:t>El</w:t>
      </w:r>
      <w:r>
        <w:rPr>
          <w:spacing w:val="-14"/>
        </w:rPr>
        <w:t> </w:t>
      </w:r>
      <w:r>
        <w:rPr/>
        <w:t>mayor</w:t>
      </w:r>
      <w:r>
        <w:rPr>
          <w:spacing w:val="-14"/>
        </w:rPr>
        <w:t> </w:t>
      </w:r>
      <w:r>
        <w:rPr/>
        <w:t>reto</w:t>
      </w:r>
      <w:r>
        <w:rPr>
          <w:spacing w:val="-14"/>
        </w:rPr>
        <w:t> </w:t>
      </w:r>
      <w:r>
        <w:rPr/>
        <w:t>que</w:t>
      </w:r>
      <w:r>
        <w:rPr>
          <w:spacing w:val="-14"/>
        </w:rPr>
        <w:t> </w:t>
      </w:r>
      <w:r>
        <w:rPr/>
        <w:t>presenta</w:t>
      </w:r>
      <w:r>
        <w:rPr>
          <w:spacing w:val="-14"/>
        </w:rPr>
        <w:t> </w:t>
      </w:r>
      <w:r>
        <w:rPr/>
        <w:t>esta</w:t>
      </w:r>
      <w:r>
        <w:rPr>
          <w:spacing w:val="-14"/>
        </w:rPr>
        <w:t> </w:t>
      </w:r>
      <w:r>
        <w:rPr/>
        <w:t>propuesta,</w:t>
      </w:r>
      <w:r>
        <w:rPr>
          <w:spacing w:val="-14"/>
        </w:rPr>
        <w:t> </w:t>
      </w:r>
      <w:r>
        <w:rPr/>
        <w:t>será</w:t>
      </w:r>
      <w:r>
        <w:rPr>
          <w:spacing w:val="-14"/>
        </w:rPr>
        <w:t> </w:t>
      </w:r>
      <w:r>
        <w:rPr/>
        <w:t>la</w:t>
      </w:r>
      <w:r>
        <w:rPr>
          <w:spacing w:val="-14"/>
        </w:rPr>
        <w:t> </w:t>
      </w:r>
      <w:r>
        <w:rPr/>
        <w:t>integración de indicadores cualitativos y cuantitativos y de largo plazo, para entender desde una perspectiva</w:t>
      </w:r>
      <w:r>
        <w:rPr>
          <w:spacing w:val="-4"/>
        </w:rPr>
        <w:t> </w:t>
      </w:r>
      <w:r>
        <w:rPr/>
        <w:t>integral</w:t>
      </w:r>
      <w:r>
        <w:rPr>
          <w:spacing w:val="-5"/>
        </w:rPr>
        <w:t> </w:t>
      </w:r>
      <w:r>
        <w:rPr/>
        <w:t>las</w:t>
      </w:r>
      <w:r>
        <w:rPr>
          <w:spacing w:val="-5"/>
        </w:rPr>
        <w:t> </w:t>
      </w:r>
      <w:r>
        <w:rPr/>
        <w:t>diferentes</w:t>
      </w:r>
      <w:r>
        <w:rPr>
          <w:spacing w:val="-4"/>
        </w:rPr>
        <w:t> </w:t>
      </w:r>
      <w:r>
        <w:rPr/>
        <w:t>facetas</w:t>
      </w:r>
      <w:r>
        <w:rPr>
          <w:spacing w:val="-5"/>
        </w:rPr>
        <w:t> </w:t>
      </w:r>
      <w:r>
        <w:rPr/>
        <w:t>del</w:t>
      </w:r>
      <w:r>
        <w:rPr>
          <w:spacing w:val="-5"/>
        </w:rPr>
        <w:t> </w:t>
      </w:r>
      <w:r>
        <w:rPr/>
        <w:t>impacto</w:t>
      </w:r>
      <w:r>
        <w:rPr>
          <w:spacing w:val="-5"/>
        </w:rPr>
        <w:t> </w:t>
      </w:r>
      <w:r>
        <w:rPr/>
        <w:t>de</w:t>
      </w:r>
      <w:r>
        <w:rPr>
          <w:spacing w:val="-5"/>
        </w:rPr>
        <w:t> </w:t>
      </w:r>
      <w:r>
        <w:rPr/>
        <w:t>la</w:t>
      </w:r>
      <w:r>
        <w:rPr>
          <w:spacing w:val="-5"/>
        </w:rPr>
        <w:t> </w:t>
      </w:r>
      <w:r>
        <w:rPr/>
        <w:t>urbanización</w:t>
      </w:r>
      <w:r>
        <w:rPr>
          <w:spacing w:val="-4"/>
        </w:rPr>
        <w:t> </w:t>
      </w:r>
      <w:r>
        <w:rPr/>
        <w:t>en</w:t>
      </w:r>
      <w:r>
        <w:rPr>
          <w:spacing w:val="-5"/>
        </w:rPr>
        <w:t> </w:t>
      </w:r>
      <w:r>
        <w:rPr/>
        <w:t>el</w:t>
      </w:r>
      <w:r>
        <w:rPr>
          <w:spacing w:val="-5"/>
        </w:rPr>
        <w:t> </w:t>
      </w:r>
      <w:r>
        <w:rPr/>
        <w:t>territorio y</w:t>
      </w:r>
      <w:r>
        <w:rPr>
          <w:spacing w:val="-5"/>
        </w:rPr>
        <w:t> </w:t>
      </w:r>
      <w:r>
        <w:rPr/>
        <w:t>los</w:t>
      </w:r>
      <w:r>
        <w:rPr>
          <w:spacing w:val="-5"/>
        </w:rPr>
        <w:t> </w:t>
      </w:r>
      <w:r>
        <w:rPr/>
        <w:t>vínculos</w:t>
      </w:r>
      <w:r>
        <w:rPr>
          <w:spacing w:val="-5"/>
        </w:rPr>
        <w:t> </w:t>
      </w:r>
      <w:r>
        <w:rPr/>
        <w:t>y</w:t>
      </w:r>
      <w:r>
        <w:rPr>
          <w:spacing w:val="-5"/>
        </w:rPr>
        <w:t> </w:t>
      </w:r>
      <w:r>
        <w:rPr/>
        <w:t>retroalimentaciones</w:t>
      </w:r>
      <w:r>
        <w:rPr>
          <w:spacing w:val="-5"/>
        </w:rPr>
        <w:t> </w:t>
      </w:r>
      <w:r>
        <w:rPr/>
        <w:t>que</w:t>
      </w:r>
      <w:r>
        <w:rPr>
          <w:spacing w:val="-5"/>
        </w:rPr>
        <w:t> </w:t>
      </w:r>
      <w:r>
        <w:rPr/>
        <w:t>se</w:t>
      </w:r>
      <w:r>
        <w:rPr>
          <w:spacing w:val="-5"/>
        </w:rPr>
        <w:t> </w:t>
      </w:r>
      <w:r>
        <w:rPr/>
        <w:t>establecen</w:t>
      </w:r>
      <w:r>
        <w:rPr>
          <w:spacing w:val="-4"/>
        </w:rPr>
        <w:t> </w:t>
      </w:r>
      <w:r>
        <w:rPr/>
        <w:t>entre</w:t>
      </w:r>
      <w:r>
        <w:rPr>
          <w:spacing w:val="-4"/>
        </w:rPr>
        <w:t> </w:t>
      </w:r>
      <w:r>
        <w:rPr/>
        <w:t>sociedad</w:t>
      </w:r>
      <w:r>
        <w:rPr>
          <w:spacing w:val="-5"/>
        </w:rPr>
        <w:t> </w:t>
      </w:r>
      <w:r>
        <w:rPr/>
        <w:t>y</w:t>
      </w:r>
      <w:r>
        <w:rPr>
          <w:spacing w:val="-5"/>
        </w:rPr>
        <w:t> </w:t>
      </w:r>
      <w:r>
        <w:rPr/>
        <w:t>naturaleza</w:t>
      </w:r>
      <w:r>
        <w:rPr>
          <w:spacing w:val="-4"/>
        </w:rPr>
        <w:t> </w:t>
      </w:r>
      <w:r>
        <w:rPr/>
        <w:t>a</w:t>
      </w:r>
      <w:r>
        <w:rPr>
          <w:spacing w:val="-5"/>
        </w:rPr>
        <w:t> </w:t>
      </w:r>
      <w:r>
        <w:rPr/>
        <w:t>lo largo del tiempo, durante este</w:t>
      </w:r>
      <w:r>
        <w:rPr>
          <w:spacing w:val="-24"/>
        </w:rPr>
        <w:t> </w:t>
      </w:r>
      <w:r>
        <w:rPr/>
        <w:t>proceso.</w:t>
      </w:r>
    </w:p>
    <w:p>
      <w:pPr>
        <w:pStyle w:val="Heading1"/>
        <w:spacing w:before="71"/>
        <w:ind w:right="-10"/>
      </w:pPr>
      <w:r>
        <w:rPr>
          <w:b w:val="0"/>
        </w:rPr>
        <w:br w:type="column"/>
      </w:r>
      <w:r>
        <w:rPr/>
        <w:t>Referencias bibliográficas</w:t>
      </w:r>
    </w:p>
    <w:p>
      <w:pPr>
        <w:pStyle w:val="BodyText"/>
        <w:rPr>
          <w:b/>
          <w:sz w:val="24"/>
        </w:rPr>
      </w:pPr>
    </w:p>
    <w:p>
      <w:pPr>
        <w:pStyle w:val="BodyText"/>
        <w:spacing w:line="249" w:lineRule="auto" w:before="205"/>
        <w:ind w:left="754" w:right="128" w:hanging="624"/>
        <w:jc w:val="both"/>
      </w:pPr>
      <w:r>
        <w:rPr/>
        <w:t>AFAC (Agricultura Familiar Agroecológica Campesina), 2011. Agricultura familiar agroecológica campesina en la comunidad andina. Una opción para mejorar la seguridad alimentaria y conservar la biodiversidad. Perú.</w:t>
      </w:r>
    </w:p>
    <w:p>
      <w:pPr>
        <w:pStyle w:val="BodyText"/>
        <w:spacing w:before="11"/>
      </w:pPr>
    </w:p>
    <w:p>
      <w:pPr>
        <w:pStyle w:val="BodyText"/>
        <w:ind w:left="130" w:right="-10"/>
      </w:pPr>
      <w:r>
        <w:rPr/>
        <w:t>Agronomy, 1986. Methods of soil analysis. No. 9, Madison Wisconsin.</w:t>
      </w:r>
      <w:r>
        <w:rPr>
          <w:spacing w:val="53"/>
        </w:rPr>
        <w:t> </w:t>
      </w:r>
      <w:r>
        <w:rPr/>
        <w:t>USA.</w:t>
      </w:r>
    </w:p>
    <w:p>
      <w:pPr>
        <w:pStyle w:val="BodyText"/>
        <w:spacing w:before="8"/>
        <w:rPr>
          <w:sz w:val="21"/>
        </w:rPr>
      </w:pPr>
    </w:p>
    <w:p>
      <w:pPr>
        <w:pStyle w:val="BodyText"/>
        <w:ind w:left="130" w:right="-10"/>
      </w:pPr>
      <w:r>
        <w:rPr/>
        <w:t>Altieri M., 2009. Vertientes del pensamiento agroecológico: fundamentos y aplicaciones.</w:t>
      </w:r>
    </w:p>
    <w:p>
      <w:pPr>
        <w:pStyle w:val="BodyText"/>
        <w:spacing w:before="10"/>
        <w:ind w:left="754" w:right="-10"/>
      </w:pPr>
      <w:r>
        <w:rPr/>
        <w:t>SOCLA. Medellín, Colombia.</w:t>
      </w:r>
    </w:p>
    <w:p>
      <w:pPr>
        <w:pStyle w:val="BodyText"/>
        <w:spacing w:before="8"/>
        <w:rPr>
          <w:sz w:val="21"/>
        </w:rPr>
      </w:pPr>
    </w:p>
    <w:p>
      <w:pPr>
        <w:pStyle w:val="BodyText"/>
        <w:spacing w:line="249" w:lineRule="auto"/>
        <w:ind w:left="754" w:right="127" w:hanging="624"/>
        <w:jc w:val="both"/>
      </w:pPr>
      <w:r>
        <w:rPr/>
        <w:t>Alvarado Granados Alejandro, (coord.) 2012, Experiencias en el tratamiento de aguas residuales en el Estado de México. México, Universidad Autónoma del Estado de México.</w:t>
      </w:r>
    </w:p>
    <w:p>
      <w:pPr>
        <w:pStyle w:val="BodyText"/>
        <w:spacing w:before="11"/>
      </w:pPr>
    </w:p>
    <w:p>
      <w:pPr>
        <w:pStyle w:val="BodyText"/>
        <w:spacing w:line="249" w:lineRule="auto"/>
        <w:ind w:left="754" w:right="127" w:hanging="624"/>
        <w:jc w:val="both"/>
      </w:pPr>
      <w:r>
        <w:rPr/>
        <w:t>Alvarado Granados, Alejandro Rafael, González Carmona, Emma y Díaz Cuenca, Elizabeth, 2012. “Los componentes del sistema del manejo del agua en una cuenca rural: aproximación metodológica”, en: Alvarado Granados Alejandro, (coord.), Experiencias en el tratamiento de aguas residuales en el Estado de México. México, Universidad Autónoma del Estado de  México.</w:t>
      </w:r>
    </w:p>
    <w:p>
      <w:pPr>
        <w:pStyle w:val="BodyText"/>
        <w:spacing w:before="11"/>
      </w:pPr>
    </w:p>
    <w:p>
      <w:pPr>
        <w:pStyle w:val="BodyText"/>
        <w:spacing w:line="249" w:lineRule="auto"/>
        <w:ind w:left="754" w:right="127" w:hanging="624"/>
        <w:jc w:val="both"/>
      </w:pPr>
      <w:r>
        <w:rPr/>
        <w:t>Boffil,</w:t>
      </w:r>
      <w:r>
        <w:rPr>
          <w:spacing w:val="-4"/>
        </w:rPr>
        <w:t> </w:t>
      </w:r>
      <w:r>
        <w:rPr/>
        <w:t>Sinai</w:t>
      </w:r>
      <w:r>
        <w:rPr>
          <w:spacing w:val="-4"/>
        </w:rPr>
        <w:t> </w:t>
      </w:r>
      <w:r>
        <w:rPr/>
        <w:t>y</w:t>
      </w:r>
      <w:r>
        <w:rPr>
          <w:spacing w:val="-4"/>
        </w:rPr>
        <w:t> </w:t>
      </w:r>
      <w:r>
        <w:rPr/>
        <w:t>otros,</w:t>
      </w:r>
      <w:r>
        <w:rPr>
          <w:spacing w:val="-4"/>
        </w:rPr>
        <w:t> </w:t>
      </w:r>
      <w:r>
        <w:rPr/>
        <w:t>2009.</w:t>
      </w:r>
      <w:r>
        <w:rPr>
          <w:spacing w:val="-4"/>
        </w:rPr>
        <w:t> </w:t>
      </w:r>
      <w:r>
        <w:rPr/>
        <w:t>Desarrollo</w:t>
      </w:r>
      <w:r>
        <w:rPr>
          <w:spacing w:val="-4"/>
        </w:rPr>
        <w:t> </w:t>
      </w:r>
      <w:r>
        <w:rPr/>
        <w:t>local</w:t>
      </w:r>
      <w:r>
        <w:rPr>
          <w:spacing w:val="-4"/>
        </w:rPr>
        <w:t> </w:t>
      </w:r>
      <w:r>
        <w:rPr/>
        <w:t>sostenible</w:t>
      </w:r>
      <w:r>
        <w:rPr>
          <w:spacing w:val="-4"/>
        </w:rPr>
        <w:t> </w:t>
      </w:r>
      <w:r>
        <w:rPr/>
        <w:t>a</w:t>
      </w:r>
      <w:r>
        <w:rPr>
          <w:spacing w:val="-4"/>
        </w:rPr>
        <w:t> </w:t>
      </w:r>
      <w:r>
        <w:rPr/>
        <w:t>partir</w:t>
      </w:r>
      <w:r>
        <w:rPr>
          <w:spacing w:val="-4"/>
        </w:rPr>
        <w:t> </w:t>
      </w:r>
      <w:r>
        <w:rPr/>
        <w:t>del</w:t>
      </w:r>
      <w:r>
        <w:rPr>
          <w:spacing w:val="-4"/>
        </w:rPr>
        <w:t> </w:t>
      </w:r>
      <w:r>
        <w:rPr/>
        <w:t>manejo</w:t>
      </w:r>
      <w:r>
        <w:rPr>
          <w:spacing w:val="-4"/>
        </w:rPr>
        <w:t> </w:t>
      </w:r>
      <w:r>
        <w:rPr/>
        <w:t>integrado</w:t>
      </w:r>
      <w:r>
        <w:rPr>
          <w:spacing w:val="-4"/>
        </w:rPr>
        <w:t> </w:t>
      </w:r>
      <w:r>
        <w:rPr/>
        <w:t>en</w:t>
      </w:r>
      <w:r>
        <w:rPr>
          <w:spacing w:val="-4"/>
        </w:rPr>
        <w:t> </w:t>
      </w:r>
      <w:r>
        <w:rPr/>
        <w:t>el Parque</w:t>
      </w:r>
      <w:r>
        <w:rPr>
          <w:spacing w:val="-13"/>
        </w:rPr>
        <w:t> </w:t>
      </w:r>
      <w:r>
        <w:rPr/>
        <w:t>Nacional</w:t>
      </w:r>
      <w:r>
        <w:rPr>
          <w:spacing w:val="-13"/>
        </w:rPr>
        <w:t> </w:t>
      </w:r>
      <w:r>
        <w:rPr/>
        <w:t>Caguanes</w:t>
      </w:r>
      <w:r>
        <w:rPr>
          <w:spacing w:val="-13"/>
        </w:rPr>
        <w:t> </w:t>
      </w:r>
      <w:r>
        <w:rPr/>
        <w:t>de</w:t>
      </w:r>
      <w:r>
        <w:rPr>
          <w:spacing w:val="-13"/>
        </w:rPr>
        <w:t> </w:t>
      </w:r>
      <w:r>
        <w:rPr/>
        <w:t>yaguajay”</w:t>
      </w:r>
      <w:r>
        <w:rPr>
          <w:spacing w:val="-13"/>
        </w:rPr>
        <w:t> </w:t>
      </w:r>
      <w:r>
        <w:rPr/>
        <w:t>en</w:t>
      </w:r>
      <w:r>
        <w:rPr>
          <w:spacing w:val="-13"/>
        </w:rPr>
        <w:t> </w:t>
      </w:r>
      <w:r>
        <w:rPr/>
        <w:t>Revista</w:t>
      </w:r>
      <w:r>
        <w:rPr>
          <w:spacing w:val="-13"/>
        </w:rPr>
        <w:t> </w:t>
      </w:r>
      <w:r>
        <w:rPr/>
        <w:t>Desarrollo</w:t>
      </w:r>
      <w:r>
        <w:rPr>
          <w:spacing w:val="-13"/>
        </w:rPr>
        <w:t> </w:t>
      </w:r>
      <w:r>
        <w:rPr/>
        <w:t>Local</w:t>
      </w:r>
      <w:r>
        <w:rPr>
          <w:spacing w:val="-13"/>
        </w:rPr>
        <w:t> </w:t>
      </w:r>
      <w:r>
        <w:rPr/>
        <w:t>Sostenible, Cuba: Eumed y Red</w:t>
      </w:r>
      <w:r>
        <w:rPr>
          <w:spacing w:val="6"/>
        </w:rPr>
        <w:t> </w:t>
      </w:r>
      <w:r>
        <w:rPr/>
        <w:t>Académica.</w:t>
      </w:r>
    </w:p>
    <w:p>
      <w:pPr>
        <w:pStyle w:val="BodyText"/>
        <w:spacing w:before="11"/>
      </w:pPr>
    </w:p>
    <w:p>
      <w:pPr>
        <w:pStyle w:val="BodyText"/>
        <w:spacing w:line="249" w:lineRule="auto"/>
        <w:ind w:left="754" w:right="128" w:hanging="624"/>
        <w:jc w:val="both"/>
      </w:pPr>
      <w:r>
        <w:rPr/>
        <w:t>Bertoni M., y López, M., 2010. Percepciones sociales ambientales. Valores y actitudes hacia</w:t>
      </w:r>
      <w:r>
        <w:rPr>
          <w:spacing w:val="-5"/>
        </w:rPr>
        <w:t> </w:t>
      </w:r>
      <w:r>
        <w:rPr/>
        <w:t>la</w:t>
      </w:r>
      <w:r>
        <w:rPr>
          <w:spacing w:val="-5"/>
        </w:rPr>
        <w:t> </w:t>
      </w:r>
      <w:r>
        <w:rPr/>
        <w:t>conservación</w:t>
      </w:r>
      <w:r>
        <w:rPr>
          <w:spacing w:val="-5"/>
        </w:rPr>
        <w:t> </w:t>
      </w:r>
      <w:r>
        <w:rPr/>
        <w:t>de</w:t>
      </w:r>
      <w:r>
        <w:rPr>
          <w:spacing w:val="-5"/>
        </w:rPr>
        <w:t> </w:t>
      </w:r>
      <w:r>
        <w:rPr/>
        <w:t>la</w:t>
      </w:r>
      <w:r>
        <w:rPr>
          <w:spacing w:val="-5"/>
        </w:rPr>
        <w:t> </w:t>
      </w:r>
      <w:r>
        <w:rPr/>
        <w:t>Reserva</w:t>
      </w:r>
      <w:r>
        <w:rPr>
          <w:spacing w:val="-5"/>
        </w:rPr>
        <w:t> </w:t>
      </w:r>
      <w:r>
        <w:rPr/>
        <w:t>de</w:t>
      </w:r>
      <w:r>
        <w:rPr>
          <w:spacing w:val="-5"/>
        </w:rPr>
        <w:t> </w:t>
      </w:r>
      <w:r>
        <w:rPr/>
        <w:t>Biosfera</w:t>
      </w:r>
      <w:r>
        <w:rPr>
          <w:spacing w:val="-5"/>
        </w:rPr>
        <w:t> </w:t>
      </w:r>
      <w:r>
        <w:rPr/>
        <w:t>“Parque</w:t>
      </w:r>
      <w:r>
        <w:rPr>
          <w:spacing w:val="-5"/>
        </w:rPr>
        <w:t> </w:t>
      </w:r>
      <w:r>
        <w:rPr/>
        <w:t>Atlántico</w:t>
      </w:r>
      <w:r>
        <w:rPr>
          <w:spacing w:val="-5"/>
        </w:rPr>
        <w:t> </w:t>
      </w:r>
      <w:r>
        <w:rPr/>
        <w:t>Mar</w:t>
      </w:r>
      <w:r>
        <w:rPr>
          <w:spacing w:val="-5"/>
        </w:rPr>
        <w:t> </w:t>
      </w:r>
      <w:r>
        <w:rPr/>
        <w:t>Chiquita” Argentina. Estudios y Perspectivas en Turismo. Volumen 19, Buenos</w:t>
      </w:r>
      <w:r>
        <w:rPr>
          <w:spacing w:val="-3"/>
        </w:rPr>
        <w:t> </w:t>
      </w:r>
      <w:r>
        <w:rPr/>
        <w:t>Aires.</w:t>
      </w:r>
    </w:p>
    <w:p>
      <w:pPr>
        <w:pStyle w:val="BodyText"/>
        <w:spacing w:before="11"/>
      </w:pPr>
    </w:p>
    <w:p>
      <w:pPr>
        <w:pStyle w:val="BodyText"/>
        <w:spacing w:line="249" w:lineRule="auto"/>
        <w:ind w:left="754" w:right="127" w:hanging="624"/>
        <w:jc w:val="both"/>
      </w:pPr>
      <w:r>
        <w:rPr/>
        <w:t>Conesa Fernández, Vicente, 2003. Guía metodológica para la evaluación del Impacto ambiental, reimpresión, Madrid: Ediciones</w:t>
      </w:r>
      <w:r>
        <w:rPr>
          <w:spacing w:val="50"/>
        </w:rPr>
        <w:t> </w:t>
      </w:r>
      <w:r>
        <w:rPr/>
        <w:t>Mundi-Prensa</w:t>
      </w:r>
    </w:p>
    <w:p>
      <w:pPr>
        <w:pStyle w:val="BodyText"/>
        <w:spacing w:before="11"/>
      </w:pPr>
    </w:p>
    <w:p>
      <w:pPr>
        <w:pStyle w:val="BodyText"/>
        <w:spacing w:line="249" w:lineRule="auto"/>
        <w:ind w:left="754" w:right="128" w:hanging="624"/>
        <w:jc w:val="both"/>
      </w:pPr>
      <w:r>
        <w:rPr/>
        <w:t>Cunha C., Sobral I., Jane L., 2010. Percepción ambiental como estrategia para el ecoturismo en unidades de conservación. Estudios y perspectivas en Turismo. Volumen 19, Buenos Aires</w:t>
      </w:r>
    </w:p>
    <w:p>
      <w:pPr>
        <w:pStyle w:val="BodyText"/>
        <w:spacing w:before="11"/>
      </w:pPr>
    </w:p>
    <w:p>
      <w:pPr>
        <w:pStyle w:val="BodyText"/>
        <w:spacing w:line="249" w:lineRule="auto"/>
        <w:ind w:left="754" w:right="128" w:hanging="624"/>
        <w:jc w:val="both"/>
      </w:pPr>
      <w:r>
        <w:rPr/>
        <w:t>Espinoza,</w:t>
      </w:r>
      <w:r>
        <w:rPr>
          <w:spacing w:val="-20"/>
        </w:rPr>
        <w:t> </w:t>
      </w:r>
      <w:r>
        <w:rPr/>
        <w:t>Guillermo,</w:t>
      </w:r>
      <w:r>
        <w:rPr>
          <w:spacing w:val="-20"/>
        </w:rPr>
        <w:t> </w:t>
      </w:r>
      <w:r>
        <w:rPr/>
        <w:t>2001.</w:t>
      </w:r>
      <w:r>
        <w:rPr>
          <w:spacing w:val="-20"/>
        </w:rPr>
        <w:t> </w:t>
      </w:r>
      <w:r>
        <w:rPr/>
        <w:t>Fundamentos</w:t>
      </w:r>
      <w:r>
        <w:rPr>
          <w:spacing w:val="-20"/>
        </w:rPr>
        <w:t> </w:t>
      </w:r>
      <w:r>
        <w:rPr/>
        <w:t>de</w:t>
      </w:r>
      <w:r>
        <w:rPr>
          <w:spacing w:val="-20"/>
        </w:rPr>
        <w:t> </w:t>
      </w:r>
      <w:r>
        <w:rPr/>
        <w:t>evaluación</w:t>
      </w:r>
      <w:r>
        <w:rPr>
          <w:spacing w:val="-20"/>
        </w:rPr>
        <w:t> </w:t>
      </w:r>
      <w:r>
        <w:rPr/>
        <w:t>de</w:t>
      </w:r>
      <w:r>
        <w:rPr>
          <w:spacing w:val="-20"/>
        </w:rPr>
        <w:t> </w:t>
      </w:r>
      <w:r>
        <w:rPr/>
        <w:t>impacto</w:t>
      </w:r>
      <w:r>
        <w:rPr>
          <w:spacing w:val="-20"/>
        </w:rPr>
        <w:t> </w:t>
      </w:r>
      <w:r>
        <w:rPr/>
        <w:t>ambiental,</w:t>
      </w:r>
      <w:r>
        <w:rPr>
          <w:spacing w:val="-20"/>
        </w:rPr>
        <w:t> </w:t>
      </w:r>
      <w:r>
        <w:rPr/>
        <w:t>Santiago: Banco Interamericano de Desarrollo / Centro de Estudios para el</w:t>
      </w:r>
      <w:r>
        <w:rPr>
          <w:spacing w:val="33"/>
        </w:rPr>
        <w:t> </w:t>
      </w:r>
      <w:r>
        <w:rPr/>
        <w:t>Desarrollo.</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308"/>
          <w:pgSz w:w="18830" w:h="12760" w:orient="landscape"/>
          <w:pgMar w:footer="1036" w:header="522" w:top="820" w:bottom="1220" w:left="720" w:right="720"/>
        </w:sectPr>
      </w:pPr>
    </w:p>
    <w:p>
      <w:pPr>
        <w:pStyle w:val="BodyText"/>
        <w:spacing w:line="249" w:lineRule="auto" w:before="76"/>
        <w:ind w:left="753" w:right="1" w:hanging="624"/>
        <w:jc w:val="both"/>
      </w:pPr>
      <w:r>
        <w:rPr/>
        <w:t>FAO</w:t>
      </w:r>
      <w:r>
        <w:rPr>
          <w:spacing w:val="-8"/>
        </w:rPr>
        <w:t> </w:t>
      </w:r>
      <w:r>
        <w:rPr/>
        <w:t>(Organización</w:t>
      </w:r>
      <w:r>
        <w:rPr>
          <w:spacing w:val="-8"/>
        </w:rPr>
        <w:t> </w:t>
      </w:r>
      <w:r>
        <w:rPr/>
        <w:t>de</w:t>
      </w:r>
      <w:r>
        <w:rPr>
          <w:spacing w:val="-8"/>
        </w:rPr>
        <w:t> </w:t>
      </w:r>
      <w:r>
        <w:rPr/>
        <w:t>las</w:t>
      </w:r>
      <w:r>
        <w:rPr>
          <w:spacing w:val="-8"/>
        </w:rPr>
        <w:t> </w:t>
      </w:r>
      <w:r>
        <w:rPr/>
        <w:t>Naciones</w:t>
      </w:r>
      <w:r>
        <w:rPr>
          <w:spacing w:val="-8"/>
        </w:rPr>
        <w:t> </w:t>
      </w:r>
      <w:r>
        <w:rPr/>
        <w:t>Unidas</w:t>
      </w:r>
      <w:r>
        <w:rPr>
          <w:spacing w:val="-8"/>
        </w:rPr>
        <w:t> </w:t>
      </w:r>
      <w:r>
        <w:rPr/>
        <w:t>para</w:t>
      </w:r>
      <w:r>
        <w:rPr>
          <w:spacing w:val="-8"/>
        </w:rPr>
        <w:t> </w:t>
      </w:r>
      <w:r>
        <w:rPr/>
        <w:t>la</w:t>
      </w:r>
      <w:r>
        <w:rPr>
          <w:spacing w:val="-8"/>
        </w:rPr>
        <w:t> </w:t>
      </w:r>
      <w:r>
        <w:rPr/>
        <w:t>Alimentación</w:t>
      </w:r>
      <w:r>
        <w:rPr>
          <w:spacing w:val="-8"/>
        </w:rPr>
        <w:t> </w:t>
      </w:r>
      <w:r>
        <w:rPr/>
        <w:t>y</w:t>
      </w:r>
      <w:r>
        <w:rPr>
          <w:spacing w:val="-8"/>
        </w:rPr>
        <w:t> </w:t>
      </w:r>
      <w:r>
        <w:rPr/>
        <w:t>la</w:t>
      </w:r>
      <w:r>
        <w:rPr>
          <w:spacing w:val="-8"/>
        </w:rPr>
        <w:t> </w:t>
      </w:r>
      <w:r>
        <w:rPr/>
        <w:t>Agricultura),</w:t>
      </w:r>
      <w:r>
        <w:rPr>
          <w:spacing w:val="-8"/>
        </w:rPr>
        <w:t> </w:t>
      </w:r>
      <w:r>
        <w:rPr/>
        <w:t>2005. Los</w:t>
      </w:r>
      <w:r>
        <w:rPr>
          <w:spacing w:val="-8"/>
        </w:rPr>
        <w:t> </w:t>
      </w:r>
      <w:r>
        <w:rPr/>
        <w:t>medios</w:t>
      </w:r>
      <w:r>
        <w:rPr>
          <w:spacing w:val="-8"/>
        </w:rPr>
        <w:t> </w:t>
      </w:r>
      <w:r>
        <w:rPr/>
        <w:t>de</w:t>
      </w:r>
      <w:r>
        <w:rPr>
          <w:spacing w:val="-8"/>
        </w:rPr>
        <w:t> </w:t>
      </w:r>
      <w:r>
        <w:rPr/>
        <w:t>vida</w:t>
      </w:r>
      <w:r>
        <w:rPr>
          <w:spacing w:val="-8"/>
        </w:rPr>
        <w:t> </w:t>
      </w:r>
      <w:r>
        <w:rPr/>
        <w:t>crecen</w:t>
      </w:r>
      <w:r>
        <w:rPr>
          <w:spacing w:val="-8"/>
        </w:rPr>
        <w:t> </w:t>
      </w:r>
      <w:r>
        <w:rPr/>
        <w:t>en</w:t>
      </w:r>
      <w:r>
        <w:rPr>
          <w:spacing w:val="-8"/>
        </w:rPr>
        <w:t> </w:t>
      </w:r>
      <w:r>
        <w:rPr/>
        <w:t>los</w:t>
      </w:r>
      <w:r>
        <w:rPr>
          <w:spacing w:val="-8"/>
        </w:rPr>
        <w:t> </w:t>
      </w:r>
      <w:r>
        <w:rPr/>
        <w:t>huertos.</w:t>
      </w:r>
      <w:r>
        <w:rPr>
          <w:spacing w:val="-8"/>
        </w:rPr>
        <w:t> </w:t>
      </w:r>
      <w:r>
        <w:rPr/>
        <w:t>Diversificación</w:t>
      </w:r>
      <w:r>
        <w:rPr>
          <w:spacing w:val="-8"/>
        </w:rPr>
        <w:t> </w:t>
      </w:r>
      <w:r>
        <w:rPr/>
        <w:t>de</w:t>
      </w:r>
      <w:r>
        <w:rPr>
          <w:spacing w:val="-8"/>
        </w:rPr>
        <w:t> </w:t>
      </w:r>
      <w:r>
        <w:rPr/>
        <w:t>los</w:t>
      </w:r>
      <w:r>
        <w:rPr>
          <w:spacing w:val="-8"/>
        </w:rPr>
        <w:t> </w:t>
      </w:r>
      <w:r>
        <w:rPr/>
        <w:t>ingresos</w:t>
      </w:r>
      <w:r>
        <w:rPr>
          <w:spacing w:val="-8"/>
        </w:rPr>
        <w:t> </w:t>
      </w:r>
      <w:r>
        <w:rPr/>
        <w:t>rurales mediante las huertas familiares.</w:t>
      </w:r>
      <w:r>
        <w:rPr>
          <w:spacing w:val="-5"/>
        </w:rPr>
        <w:t> </w:t>
      </w:r>
      <w:r>
        <w:rPr/>
        <w:t>Roma.</w:t>
      </w:r>
    </w:p>
    <w:p>
      <w:pPr>
        <w:pStyle w:val="BodyText"/>
        <w:spacing w:before="11"/>
      </w:pPr>
    </w:p>
    <w:p>
      <w:pPr>
        <w:pStyle w:val="BodyText"/>
        <w:spacing w:line="249" w:lineRule="auto"/>
        <w:ind w:left="753" w:hanging="624"/>
        <w:jc w:val="both"/>
      </w:pPr>
      <w:r>
        <w:rPr/>
        <w:t>FAO. (Organización de las Naciones Unidas para la Alimentación y la Agricultura), 2015. El estado mundial de la agricultura y la alimentación. La innovación en la agricultura familiar. Roma.</w:t>
      </w:r>
    </w:p>
    <w:p>
      <w:pPr>
        <w:pStyle w:val="BodyText"/>
        <w:spacing w:before="11"/>
      </w:pPr>
    </w:p>
    <w:p>
      <w:pPr>
        <w:pStyle w:val="BodyText"/>
        <w:spacing w:line="249" w:lineRule="auto"/>
        <w:ind w:left="753" w:right="1" w:hanging="624"/>
        <w:jc w:val="both"/>
      </w:pPr>
      <w:r>
        <w:rPr/>
        <w:t>Fernández Y., 2008. ¿Por qué estudiar las percepciones ambientales? Una revisión   de la literatura mexicana con énfasis en Áreas Naturales Protegidas. Espiral, Estudios sobre Estado y Sociedad Vol. XV, núm. 43,</w:t>
      </w:r>
      <w:r>
        <w:rPr>
          <w:spacing w:val="35"/>
        </w:rPr>
        <w:t> </w:t>
      </w:r>
      <w:r>
        <w:rPr/>
        <w:t>Septiembre/Diciembre.</w:t>
      </w:r>
    </w:p>
    <w:p>
      <w:pPr>
        <w:pStyle w:val="BodyText"/>
        <w:spacing w:before="11"/>
      </w:pPr>
    </w:p>
    <w:p>
      <w:pPr>
        <w:pStyle w:val="BodyText"/>
        <w:spacing w:line="249" w:lineRule="auto"/>
        <w:ind w:left="753" w:hanging="624"/>
        <w:jc w:val="both"/>
      </w:pPr>
      <w:r>
        <w:rPr/>
        <w:t>García-Frapolli E., Toledo V., Martínez-Alier J., 2008. Apropiación de la naturaleza por una comunidad Maya-Yucateca: Un Análisis Económico-Ecológico. Revista Iberoamericana de Economía Ecológica Vol. 7.</w:t>
      </w:r>
    </w:p>
    <w:p>
      <w:pPr>
        <w:pStyle w:val="BodyText"/>
        <w:spacing w:before="11"/>
      </w:pPr>
    </w:p>
    <w:p>
      <w:pPr>
        <w:pStyle w:val="BodyText"/>
        <w:spacing w:line="249" w:lineRule="auto"/>
        <w:ind w:left="753" w:hanging="624"/>
        <w:jc w:val="both"/>
      </w:pPr>
      <w:r>
        <w:rPr/>
        <w:t>Gaytán Á. C., Vibrans H., Navarro H., Jiménez M., 2001. Manejo de Huertos</w:t>
      </w:r>
      <w:r>
        <w:rPr>
          <w:spacing w:val="-30"/>
        </w:rPr>
        <w:t> </w:t>
      </w:r>
      <w:r>
        <w:rPr/>
        <w:t>Familiares Periurbanos de San Miguel Tlaixpan, Texcoco, Estado de México. Boletín de    la Sociedad Botánica de México. Boletín de la Sociedad Botánica de México Sociedad Botánica de México,</w:t>
      </w:r>
      <w:r>
        <w:rPr>
          <w:spacing w:val="46"/>
        </w:rPr>
        <w:t> </w:t>
      </w:r>
      <w:r>
        <w:rPr/>
        <w:t>A.C.</w:t>
      </w:r>
    </w:p>
    <w:p>
      <w:pPr>
        <w:pStyle w:val="BodyText"/>
        <w:spacing w:before="11"/>
      </w:pPr>
    </w:p>
    <w:p>
      <w:pPr>
        <w:pStyle w:val="BodyText"/>
        <w:spacing w:line="249" w:lineRule="auto"/>
        <w:ind w:left="753" w:hanging="624"/>
        <w:jc w:val="both"/>
      </w:pPr>
      <w:r>
        <w:rPr/>
        <w:t>Gazzano</w:t>
      </w:r>
      <w:r>
        <w:rPr>
          <w:spacing w:val="-5"/>
        </w:rPr>
        <w:t> </w:t>
      </w:r>
      <w:r>
        <w:rPr/>
        <w:t>I.,</w:t>
      </w:r>
      <w:r>
        <w:rPr>
          <w:spacing w:val="-5"/>
        </w:rPr>
        <w:t> </w:t>
      </w:r>
      <w:r>
        <w:rPr/>
        <w:t>Achkar</w:t>
      </w:r>
      <w:r>
        <w:rPr>
          <w:spacing w:val="-5"/>
        </w:rPr>
        <w:t> </w:t>
      </w:r>
      <w:r>
        <w:rPr/>
        <w:t>M.,</w:t>
      </w:r>
      <w:r>
        <w:rPr>
          <w:spacing w:val="-5"/>
        </w:rPr>
        <w:t> </w:t>
      </w:r>
      <w:r>
        <w:rPr/>
        <w:t>2013.</w:t>
      </w:r>
      <w:r>
        <w:rPr>
          <w:spacing w:val="-5"/>
        </w:rPr>
        <w:t> </w:t>
      </w:r>
      <w:r>
        <w:rPr/>
        <w:t>La</w:t>
      </w:r>
      <w:r>
        <w:rPr>
          <w:spacing w:val="-5"/>
        </w:rPr>
        <w:t> </w:t>
      </w:r>
      <w:r>
        <w:rPr/>
        <w:t>necesidad</w:t>
      </w:r>
      <w:r>
        <w:rPr>
          <w:spacing w:val="-5"/>
        </w:rPr>
        <w:t> </w:t>
      </w:r>
      <w:r>
        <w:rPr/>
        <w:t>de</w:t>
      </w:r>
      <w:r>
        <w:rPr>
          <w:spacing w:val="-5"/>
        </w:rPr>
        <w:t> </w:t>
      </w:r>
      <w:r>
        <w:rPr/>
        <w:t>redefinir</w:t>
      </w:r>
      <w:r>
        <w:rPr>
          <w:spacing w:val="-5"/>
        </w:rPr>
        <w:t> </w:t>
      </w:r>
      <w:r>
        <w:rPr/>
        <w:t>ambiente</w:t>
      </w:r>
      <w:r>
        <w:rPr>
          <w:spacing w:val="-5"/>
        </w:rPr>
        <w:t> </w:t>
      </w:r>
      <w:r>
        <w:rPr/>
        <w:t>en</w:t>
      </w:r>
      <w:r>
        <w:rPr>
          <w:spacing w:val="-5"/>
        </w:rPr>
        <w:t> </w:t>
      </w:r>
      <w:r>
        <w:rPr/>
        <w:t>el</w:t>
      </w:r>
      <w:r>
        <w:rPr>
          <w:spacing w:val="-5"/>
        </w:rPr>
        <w:t> </w:t>
      </w:r>
      <w:r>
        <w:rPr/>
        <w:t>debate</w:t>
      </w:r>
      <w:r>
        <w:rPr>
          <w:spacing w:val="-5"/>
        </w:rPr>
        <w:t> </w:t>
      </w:r>
      <w:r>
        <w:rPr/>
        <w:t>científico actual. Revista Gestión y Ambiente 16</w:t>
      </w:r>
      <w:r>
        <w:rPr>
          <w:spacing w:val="-20"/>
        </w:rPr>
        <w:t> </w:t>
      </w:r>
      <w:r>
        <w:rPr/>
        <w:t>(3)</w:t>
      </w:r>
    </w:p>
    <w:p>
      <w:pPr>
        <w:pStyle w:val="BodyText"/>
        <w:spacing w:before="11"/>
      </w:pPr>
    </w:p>
    <w:p>
      <w:pPr>
        <w:pStyle w:val="BodyText"/>
        <w:ind w:left="130" w:right="-7"/>
      </w:pPr>
      <w:r>
        <w:rPr/>
        <w:t>Gliessman S. R., 2002. Agroecología: Procesos ecológicos en agricultura    sostenible.</w:t>
      </w:r>
    </w:p>
    <w:p>
      <w:pPr>
        <w:pStyle w:val="BodyText"/>
        <w:spacing w:before="10"/>
        <w:ind w:left="753" w:right="-7"/>
      </w:pPr>
      <w:r>
        <w:rPr/>
        <w:t>Costa Rica.</w:t>
      </w:r>
    </w:p>
    <w:p>
      <w:pPr>
        <w:pStyle w:val="BodyText"/>
        <w:spacing w:before="8"/>
        <w:rPr>
          <w:sz w:val="21"/>
        </w:rPr>
      </w:pPr>
    </w:p>
    <w:p>
      <w:pPr>
        <w:pStyle w:val="BodyText"/>
        <w:spacing w:line="249" w:lineRule="auto"/>
        <w:ind w:left="753" w:hanging="624"/>
        <w:jc w:val="both"/>
      </w:pPr>
      <w:r>
        <w:rPr/>
        <w:t>Gliessman S. R., Rosado-May F. J., Guadarrama-Zugasti C., Jedlicka J., Cohn A., Mendez</w:t>
      </w:r>
      <w:r>
        <w:rPr>
          <w:spacing w:val="-5"/>
        </w:rPr>
        <w:t> </w:t>
      </w:r>
      <w:r>
        <w:rPr/>
        <w:t>V.</w:t>
      </w:r>
      <w:r>
        <w:rPr>
          <w:spacing w:val="-5"/>
        </w:rPr>
        <w:t> </w:t>
      </w:r>
      <w:r>
        <w:rPr/>
        <w:t>E.,</w:t>
      </w:r>
      <w:r>
        <w:rPr>
          <w:spacing w:val="-5"/>
        </w:rPr>
        <w:t> </w:t>
      </w:r>
      <w:r>
        <w:rPr/>
        <w:t>Cohen</w:t>
      </w:r>
      <w:r>
        <w:rPr>
          <w:spacing w:val="-5"/>
        </w:rPr>
        <w:t> </w:t>
      </w:r>
      <w:r>
        <w:rPr/>
        <w:t>R.,</w:t>
      </w:r>
      <w:r>
        <w:rPr>
          <w:spacing w:val="-5"/>
        </w:rPr>
        <w:t> </w:t>
      </w:r>
      <w:r>
        <w:rPr/>
        <w:t>Trujillo</w:t>
      </w:r>
      <w:r>
        <w:rPr>
          <w:spacing w:val="-5"/>
        </w:rPr>
        <w:t> </w:t>
      </w:r>
      <w:r>
        <w:rPr/>
        <w:t>L.,</w:t>
      </w:r>
      <w:r>
        <w:rPr>
          <w:spacing w:val="-5"/>
        </w:rPr>
        <w:t> </w:t>
      </w:r>
      <w:r>
        <w:rPr/>
        <w:t>Bacon</w:t>
      </w:r>
      <w:r>
        <w:rPr>
          <w:spacing w:val="-5"/>
        </w:rPr>
        <w:t> </w:t>
      </w:r>
      <w:r>
        <w:rPr/>
        <w:t>C.,</w:t>
      </w:r>
      <w:r>
        <w:rPr>
          <w:spacing w:val="-5"/>
        </w:rPr>
        <w:t> </w:t>
      </w:r>
      <w:r>
        <w:rPr/>
        <w:t>2007.</w:t>
      </w:r>
      <w:r>
        <w:rPr>
          <w:spacing w:val="-5"/>
        </w:rPr>
        <w:t> </w:t>
      </w:r>
      <w:r>
        <w:rPr/>
        <w:t>Agroecología:</w:t>
      </w:r>
      <w:r>
        <w:rPr>
          <w:spacing w:val="-5"/>
        </w:rPr>
        <w:t> </w:t>
      </w:r>
      <w:r>
        <w:rPr/>
        <w:t>promoviendo una transición hacia la sostenibilidad. Ecosistemas.</w:t>
      </w:r>
      <w:r>
        <w:rPr>
          <w:spacing w:val="5"/>
        </w:rPr>
        <w:t> </w:t>
      </w:r>
      <w:r>
        <w:rPr/>
        <w:t>16(1)</w:t>
      </w:r>
    </w:p>
    <w:p>
      <w:pPr>
        <w:pStyle w:val="BodyText"/>
        <w:spacing w:before="11"/>
      </w:pPr>
    </w:p>
    <w:p>
      <w:pPr>
        <w:pStyle w:val="BodyText"/>
        <w:spacing w:line="249" w:lineRule="auto"/>
        <w:ind w:left="753" w:hanging="624"/>
        <w:jc w:val="both"/>
      </w:pPr>
      <w:r>
        <w:rPr/>
        <w:t>Gutiérrez</w:t>
      </w:r>
      <w:r>
        <w:rPr>
          <w:spacing w:val="-15"/>
        </w:rPr>
        <w:t> </w:t>
      </w:r>
      <w:r>
        <w:rPr/>
        <w:t>L.,</w:t>
      </w:r>
      <w:r>
        <w:rPr>
          <w:spacing w:val="-15"/>
        </w:rPr>
        <w:t> </w:t>
      </w:r>
      <w:r>
        <w:rPr/>
        <w:t>2003.</w:t>
      </w:r>
      <w:r>
        <w:rPr>
          <w:spacing w:val="-15"/>
        </w:rPr>
        <w:t> </w:t>
      </w:r>
      <w:r>
        <w:rPr/>
        <w:t>Etnobotánica</w:t>
      </w:r>
      <w:r>
        <w:rPr>
          <w:spacing w:val="-15"/>
        </w:rPr>
        <w:t> </w:t>
      </w:r>
      <w:r>
        <w:rPr/>
        <w:t>de</w:t>
      </w:r>
      <w:r>
        <w:rPr>
          <w:spacing w:val="-15"/>
        </w:rPr>
        <w:t> </w:t>
      </w:r>
      <w:r>
        <w:rPr/>
        <w:t>huertos</w:t>
      </w:r>
      <w:r>
        <w:rPr>
          <w:spacing w:val="-15"/>
        </w:rPr>
        <w:t> </w:t>
      </w:r>
      <w:r>
        <w:rPr/>
        <w:t>familiares</w:t>
      </w:r>
      <w:r>
        <w:rPr>
          <w:spacing w:val="-15"/>
        </w:rPr>
        <w:t> </w:t>
      </w:r>
      <w:r>
        <w:rPr/>
        <w:t>o</w:t>
      </w:r>
      <w:r>
        <w:rPr>
          <w:spacing w:val="-15"/>
        </w:rPr>
        <w:t> </w:t>
      </w:r>
      <w:r>
        <w:rPr/>
        <w:t>solares</w:t>
      </w:r>
      <w:r>
        <w:rPr>
          <w:spacing w:val="-15"/>
        </w:rPr>
        <w:t> </w:t>
      </w:r>
      <w:r>
        <w:rPr/>
        <w:t>en</w:t>
      </w:r>
      <w:r>
        <w:rPr>
          <w:spacing w:val="-15"/>
        </w:rPr>
        <w:t> </w:t>
      </w:r>
      <w:r>
        <w:rPr/>
        <w:t>el</w:t>
      </w:r>
      <w:r>
        <w:rPr>
          <w:spacing w:val="-15"/>
        </w:rPr>
        <w:t> </w:t>
      </w:r>
      <w:r>
        <w:rPr/>
        <w:t>poblado</w:t>
      </w:r>
      <w:r>
        <w:rPr>
          <w:spacing w:val="-15"/>
        </w:rPr>
        <w:t> </w:t>
      </w:r>
      <w:r>
        <w:rPr/>
        <w:t>de</w:t>
      </w:r>
      <w:r>
        <w:rPr>
          <w:spacing w:val="-15"/>
        </w:rPr>
        <w:t> </w:t>
      </w:r>
      <w:r>
        <w:rPr/>
        <w:t>Gabriel Esquinca Mpio. de San Fernando, Chiapas. Tesis de Licenciatura. Facultad de Ciencias, UNAM.</w:t>
      </w:r>
      <w:r>
        <w:rPr>
          <w:spacing w:val="21"/>
        </w:rPr>
        <w:t> </w:t>
      </w:r>
      <w:r>
        <w:rPr/>
        <w:t>México.</w:t>
      </w:r>
    </w:p>
    <w:p>
      <w:pPr>
        <w:pStyle w:val="BodyText"/>
        <w:spacing w:before="11"/>
      </w:pPr>
    </w:p>
    <w:p>
      <w:pPr>
        <w:pStyle w:val="BodyText"/>
        <w:spacing w:line="249" w:lineRule="auto"/>
        <w:ind w:left="753" w:right="1" w:hanging="624"/>
        <w:jc w:val="both"/>
      </w:pPr>
      <w:r>
        <w:rPr/>
        <w:t>GTZ (Agencia Alemana de Cooperación Técnica), 2008. Huertos familiares: tesoros de diversidad. Consultado el 3 de mayo de 2015. </w:t>
      </w:r>
      <w:hyperlink r:id="rId309">
        <w:r>
          <w:rPr/>
          <w:t>http://www2.gtz.de/dokumente/</w:t>
        </w:r>
      </w:hyperlink>
      <w:r>
        <w:rPr/>
        <w:t> bib/04-5108a4.pdf</w:t>
      </w:r>
    </w:p>
    <w:p>
      <w:pPr>
        <w:pStyle w:val="BodyText"/>
        <w:spacing w:before="11"/>
      </w:pPr>
    </w:p>
    <w:p>
      <w:pPr>
        <w:pStyle w:val="BodyText"/>
        <w:ind w:left="130" w:right="-7"/>
      </w:pPr>
      <w:r>
        <w:rPr/>
        <w:t>Hodgson, J. M., 1987. Muestreo y descripción del suelo. Reverté. España.</w:t>
      </w:r>
    </w:p>
    <w:p>
      <w:pPr>
        <w:pStyle w:val="BodyText"/>
        <w:spacing w:line="249" w:lineRule="auto" w:before="76"/>
        <w:ind w:left="753" w:right="130" w:hanging="624"/>
        <w:jc w:val="both"/>
      </w:pPr>
      <w:r>
        <w:rPr/>
        <w:br w:type="column"/>
      </w:r>
      <w:r>
        <w:rPr/>
        <w:t>INEGI (Instituto Nacional de Estadística, Geografía e Informática), 2010. Marco Geoestadístico Nacional. INEGI, México.</w:t>
      </w:r>
    </w:p>
    <w:p>
      <w:pPr>
        <w:pStyle w:val="BodyText"/>
        <w:spacing w:before="11"/>
      </w:pPr>
    </w:p>
    <w:p>
      <w:pPr>
        <w:pStyle w:val="BodyText"/>
        <w:spacing w:line="249" w:lineRule="auto"/>
        <w:ind w:left="753" w:right="130" w:hanging="624"/>
        <w:jc w:val="both"/>
      </w:pPr>
      <w:r>
        <w:rPr/>
        <w:t>INEGI (Instituto Nacional de Estadística, Geografía e Informática), 2010. Censo de Población y Vivienda 2010. INEGI, México.</w:t>
      </w:r>
    </w:p>
    <w:p>
      <w:pPr>
        <w:pStyle w:val="BodyText"/>
        <w:spacing w:before="11"/>
      </w:pPr>
    </w:p>
    <w:p>
      <w:pPr>
        <w:pStyle w:val="BodyText"/>
        <w:spacing w:line="249" w:lineRule="auto"/>
        <w:ind w:left="753" w:right="130" w:hanging="624"/>
        <w:jc w:val="both"/>
      </w:pPr>
      <w:r>
        <w:rPr/>
        <w:t>INEGI (Instituto Nacional de Estadística, Geografía e Informática), 2009. Prontuario de información geográfica municipal de los Estados Unidos  Mexicanos</w:t>
      </w:r>
    </w:p>
    <w:p>
      <w:pPr>
        <w:pStyle w:val="BodyText"/>
        <w:spacing w:before="11"/>
      </w:pPr>
    </w:p>
    <w:p>
      <w:pPr>
        <w:pStyle w:val="BodyText"/>
        <w:ind w:left="130"/>
      </w:pPr>
      <w:r>
        <w:rPr/>
        <w:t>Malinalco, México. INEGI, México.</w:t>
      </w:r>
    </w:p>
    <w:p>
      <w:pPr>
        <w:pStyle w:val="BodyText"/>
        <w:spacing w:before="8"/>
        <w:rPr>
          <w:sz w:val="21"/>
        </w:rPr>
      </w:pPr>
    </w:p>
    <w:p>
      <w:pPr>
        <w:pStyle w:val="BodyText"/>
        <w:spacing w:line="249" w:lineRule="auto"/>
        <w:ind w:left="753" w:right="130" w:hanging="624"/>
        <w:jc w:val="both"/>
      </w:pPr>
      <w:r>
        <w:rPr/>
        <w:t>INEGI (Instituto Nacional de Estadística, Geografía e Informática, 2009. Prontuario de información geográfica municipal de los Estados Unidos  Mexicanos</w:t>
      </w:r>
    </w:p>
    <w:p>
      <w:pPr>
        <w:pStyle w:val="BodyText"/>
        <w:spacing w:before="11"/>
      </w:pPr>
    </w:p>
    <w:p>
      <w:pPr>
        <w:pStyle w:val="BodyText"/>
        <w:ind w:left="130"/>
      </w:pPr>
      <w:r>
        <w:rPr/>
        <w:t>Tenancingo, México. INEGI, México.</w:t>
      </w:r>
    </w:p>
    <w:p>
      <w:pPr>
        <w:pStyle w:val="BodyText"/>
        <w:spacing w:before="8"/>
        <w:rPr>
          <w:sz w:val="21"/>
        </w:rPr>
      </w:pPr>
    </w:p>
    <w:p>
      <w:pPr>
        <w:pStyle w:val="BodyText"/>
        <w:spacing w:line="249" w:lineRule="auto"/>
        <w:ind w:left="753" w:right="130" w:hanging="624"/>
        <w:jc w:val="both"/>
      </w:pPr>
      <w:r>
        <w:rPr/>
        <w:t>INEGI (Instituto Nacional de Estadística, Geografía e Informática), 2009. Prontuario de información geográfica municipal de los Estados Unidos  Mexicanos</w:t>
      </w:r>
    </w:p>
    <w:p>
      <w:pPr>
        <w:pStyle w:val="BodyText"/>
        <w:spacing w:before="11"/>
      </w:pPr>
    </w:p>
    <w:p>
      <w:pPr>
        <w:pStyle w:val="BodyText"/>
        <w:ind w:left="130"/>
      </w:pPr>
      <w:r>
        <w:rPr/>
        <w:t>Vila Guerrero, México. INEGI, México.</w:t>
      </w:r>
    </w:p>
    <w:p>
      <w:pPr>
        <w:pStyle w:val="BodyText"/>
        <w:spacing w:before="8"/>
        <w:rPr>
          <w:sz w:val="21"/>
        </w:rPr>
      </w:pPr>
    </w:p>
    <w:p>
      <w:pPr>
        <w:spacing w:line="249" w:lineRule="auto" w:before="0"/>
        <w:ind w:left="753" w:right="129" w:hanging="624"/>
        <w:jc w:val="both"/>
        <w:rPr>
          <w:sz w:val="20"/>
        </w:rPr>
      </w:pPr>
      <w:r>
        <w:rPr>
          <w:sz w:val="20"/>
        </w:rPr>
        <w:t>Instituto Nacional de Estadística,  Geografía  e  Informática  (INEGI),  1999,  </w:t>
      </w:r>
      <w:r>
        <w:rPr>
          <w:i/>
          <w:sz w:val="20"/>
        </w:rPr>
        <w:t>conjunto </w:t>
      </w:r>
      <w:r>
        <w:rPr>
          <w:i/>
          <w:sz w:val="20"/>
        </w:rPr>
        <w:t>de datos vectoriales de la carta topográfica E14A58, Tenancingo</w:t>
      </w:r>
      <w:r>
        <w:rPr>
          <w:sz w:val="20"/>
        </w:rPr>
        <w:t>, edición 1, Aguascalientes México.</w:t>
      </w:r>
    </w:p>
    <w:p>
      <w:pPr>
        <w:pStyle w:val="BodyText"/>
        <w:spacing w:before="11"/>
      </w:pPr>
    </w:p>
    <w:p>
      <w:pPr>
        <w:pStyle w:val="BodyText"/>
        <w:spacing w:line="249" w:lineRule="auto"/>
        <w:ind w:left="753" w:right="129" w:hanging="624"/>
        <w:jc w:val="both"/>
      </w:pPr>
      <w:r>
        <w:rPr/>
        <w:t>Juan</w:t>
      </w:r>
      <w:r>
        <w:rPr>
          <w:spacing w:val="-9"/>
        </w:rPr>
        <w:t> </w:t>
      </w:r>
      <w:r>
        <w:rPr/>
        <w:t>J.,</w:t>
      </w:r>
      <w:r>
        <w:rPr>
          <w:spacing w:val="-9"/>
        </w:rPr>
        <w:t> </w:t>
      </w:r>
      <w:r>
        <w:rPr/>
        <w:t>2013.</w:t>
      </w:r>
      <w:r>
        <w:rPr>
          <w:spacing w:val="-9"/>
        </w:rPr>
        <w:t> </w:t>
      </w:r>
      <w:r>
        <w:rPr/>
        <w:t>Los</w:t>
      </w:r>
      <w:r>
        <w:rPr>
          <w:spacing w:val="-9"/>
        </w:rPr>
        <w:t> </w:t>
      </w:r>
      <w:r>
        <w:rPr/>
        <w:t>huertos</w:t>
      </w:r>
      <w:r>
        <w:rPr>
          <w:spacing w:val="-9"/>
        </w:rPr>
        <w:t> </w:t>
      </w:r>
      <w:r>
        <w:rPr/>
        <w:t>familiares</w:t>
      </w:r>
      <w:r>
        <w:rPr>
          <w:spacing w:val="-9"/>
        </w:rPr>
        <w:t> </w:t>
      </w:r>
      <w:r>
        <w:rPr/>
        <w:t>en</w:t>
      </w:r>
      <w:r>
        <w:rPr>
          <w:spacing w:val="-9"/>
        </w:rPr>
        <w:t> </w:t>
      </w:r>
      <w:r>
        <w:rPr/>
        <w:t>una</w:t>
      </w:r>
      <w:r>
        <w:rPr>
          <w:spacing w:val="-9"/>
        </w:rPr>
        <w:t> </w:t>
      </w:r>
      <w:r>
        <w:rPr/>
        <w:t>provincia</w:t>
      </w:r>
      <w:r>
        <w:rPr>
          <w:spacing w:val="-9"/>
        </w:rPr>
        <w:t> </w:t>
      </w:r>
      <w:r>
        <w:rPr/>
        <w:t>del</w:t>
      </w:r>
      <w:r>
        <w:rPr>
          <w:spacing w:val="-9"/>
        </w:rPr>
        <w:t> </w:t>
      </w:r>
      <w:r>
        <w:rPr/>
        <w:t>subtrópico</w:t>
      </w:r>
      <w:r>
        <w:rPr>
          <w:spacing w:val="-9"/>
        </w:rPr>
        <w:t> </w:t>
      </w:r>
      <w:r>
        <w:rPr/>
        <w:t>Mexicano.</w:t>
      </w:r>
      <w:r>
        <w:rPr>
          <w:spacing w:val="-9"/>
        </w:rPr>
        <w:t> </w:t>
      </w:r>
      <w:r>
        <w:rPr/>
        <w:t>Análisis espacial, económico y sociocultural. Ed.</w:t>
      </w:r>
      <w:r>
        <w:rPr>
          <w:spacing w:val="46"/>
        </w:rPr>
        <w:t> </w:t>
      </w:r>
      <w:r>
        <w:rPr/>
        <w:t>Eumed.</w:t>
      </w:r>
    </w:p>
    <w:p>
      <w:pPr>
        <w:pStyle w:val="BodyText"/>
        <w:spacing w:before="11"/>
      </w:pPr>
    </w:p>
    <w:p>
      <w:pPr>
        <w:pStyle w:val="BodyText"/>
        <w:spacing w:line="249" w:lineRule="auto"/>
        <w:ind w:left="753" w:right="129" w:hanging="624"/>
        <w:jc w:val="both"/>
      </w:pPr>
      <w:r>
        <w:rPr/>
        <w:t>Magaña</w:t>
      </w:r>
      <w:r>
        <w:rPr>
          <w:spacing w:val="-4"/>
        </w:rPr>
        <w:t> </w:t>
      </w:r>
      <w:r>
        <w:rPr/>
        <w:t>M.,</w:t>
      </w:r>
      <w:r>
        <w:rPr>
          <w:spacing w:val="-4"/>
        </w:rPr>
        <w:t> </w:t>
      </w:r>
      <w:r>
        <w:rPr/>
        <w:t>2012.</w:t>
      </w:r>
      <w:r>
        <w:rPr>
          <w:spacing w:val="-4"/>
        </w:rPr>
        <w:t> </w:t>
      </w:r>
      <w:r>
        <w:rPr/>
        <w:t>Etnobotánica</w:t>
      </w:r>
      <w:r>
        <w:rPr>
          <w:spacing w:val="-4"/>
        </w:rPr>
        <w:t> </w:t>
      </w:r>
      <w:r>
        <w:rPr/>
        <w:t>de</w:t>
      </w:r>
      <w:r>
        <w:rPr>
          <w:spacing w:val="-4"/>
        </w:rPr>
        <w:t> </w:t>
      </w:r>
      <w:r>
        <w:rPr/>
        <w:t>las</w:t>
      </w:r>
      <w:r>
        <w:rPr>
          <w:spacing w:val="-4"/>
        </w:rPr>
        <w:t> </w:t>
      </w:r>
      <w:r>
        <w:rPr/>
        <w:t>plantas</w:t>
      </w:r>
      <w:r>
        <w:rPr>
          <w:spacing w:val="-4"/>
        </w:rPr>
        <w:t> </w:t>
      </w:r>
      <w:r>
        <w:rPr/>
        <w:t>medicinales</w:t>
      </w:r>
      <w:r>
        <w:rPr>
          <w:spacing w:val="-4"/>
        </w:rPr>
        <w:t> </w:t>
      </w:r>
      <w:r>
        <w:rPr/>
        <w:t>en</w:t>
      </w:r>
      <w:r>
        <w:rPr>
          <w:spacing w:val="-4"/>
        </w:rPr>
        <w:t> </w:t>
      </w:r>
      <w:r>
        <w:rPr/>
        <w:t>los</w:t>
      </w:r>
      <w:r>
        <w:rPr>
          <w:spacing w:val="-4"/>
        </w:rPr>
        <w:t> </w:t>
      </w:r>
      <w:r>
        <w:rPr/>
        <w:t>huertos</w:t>
      </w:r>
      <w:r>
        <w:rPr>
          <w:spacing w:val="-4"/>
        </w:rPr>
        <w:t> </w:t>
      </w:r>
      <w:r>
        <w:rPr/>
        <w:t>familiares</w:t>
      </w:r>
      <w:r>
        <w:rPr>
          <w:spacing w:val="-4"/>
        </w:rPr>
        <w:t> </w:t>
      </w:r>
      <w:r>
        <w:rPr/>
        <w:t>de Tabasco. En: El huerto familiar del sureste de México. Secretaría de Recursos Naturales</w:t>
      </w:r>
      <w:r>
        <w:rPr>
          <w:spacing w:val="-7"/>
        </w:rPr>
        <w:t> </w:t>
      </w:r>
      <w:r>
        <w:rPr/>
        <w:t>y</w:t>
      </w:r>
      <w:r>
        <w:rPr>
          <w:spacing w:val="-7"/>
        </w:rPr>
        <w:t> </w:t>
      </w:r>
      <w:r>
        <w:rPr/>
        <w:t>Protección</w:t>
      </w:r>
      <w:r>
        <w:rPr>
          <w:spacing w:val="-7"/>
        </w:rPr>
        <w:t> </w:t>
      </w:r>
      <w:r>
        <w:rPr/>
        <w:t>Ambiental</w:t>
      </w:r>
      <w:r>
        <w:rPr>
          <w:spacing w:val="-7"/>
        </w:rPr>
        <w:t> </w:t>
      </w:r>
      <w:r>
        <w:rPr/>
        <w:t>del</w:t>
      </w:r>
      <w:r>
        <w:rPr>
          <w:spacing w:val="-7"/>
        </w:rPr>
        <w:t> </w:t>
      </w:r>
      <w:r>
        <w:rPr/>
        <w:t>Estado</w:t>
      </w:r>
      <w:r>
        <w:rPr>
          <w:spacing w:val="-7"/>
        </w:rPr>
        <w:t> </w:t>
      </w:r>
      <w:r>
        <w:rPr/>
        <w:t>de</w:t>
      </w:r>
      <w:r>
        <w:rPr>
          <w:spacing w:val="-7"/>
        </w:rPr>
        <w:t> </w:t>
      </w:r>
      <w:r>
        <w:rPr/>
        <w:t>Tabasco.</w:t>
      </w:r>
      <w:r>
        <w:rPr>
          <w:spacing w:val="-7"/>
        </w:rPr>
        <w:t> </w:t>
      </w:r>
      <w:r>
        <w:rPr/>
        <w:t>Colegio</w:t>
      </w:r>
      <w:r>
        <w:rPr>
          <w:spacing w:val="-7"/>
        </w:rPr>
        <w:t> </w:t>
      </w:r>
      <w:r>
        <w:rPr/>
        <w:t>de</w:t>
      </w:r>
      <w:r>
        <w:rPr>
          <w:spacing w:val="-7"/>
        </w:rPr>
        <w:t> </w:t>
      </w:r>
      <w:r>
        <w:rPr/>
        <w:t>la</w:t>
      </w:r>
      <w:r>
        <w:rPr>
          <w:spacing w:val="-7"/>
        </w:rPr>
        <w:t> </w:t>
      </w:r>
      <w:r>
        <w:rPr/>
        <w:t>Frontera Sur.</w:t>
      </w:r>
    </w:p>
    <w:p>
      <w:pPr>
        <w:pStyle w:val="BodyText"/>
        <w:spacing w:before="11"/>
      </w:pPr>
    </w:p>
    <w:p>
      <w:pPr>
        <w:pStyle w:val="BodyText"/>
        <w:spacing w:line="249" w:lineRule="auto"/>
        <w:ind w:left="753" w:right="129" w:hanging="624"/>
        <w:jc w:val="both"/>
      </w:pPr>
      <w:r>
        <w:rPr/>
        <w:t>Mariaca R., 2012. El huerto familiar del sureste de México. Secretaría de Recursos Naturales</w:t>
      </w:r>
      <w:r>
        <w:rPr>
          <w:spacing w:val="-7"/>
        </w:rPr>
        <w:t> </w:t>
      </w:r>
      <w:r>
        <w:rPr/>
        <w:t>y</w:t>
      </w:r>
      <w:r>
        <w:rPr>
          <w:spacing w:val="-7"/>
        </w:rPr>
        <w:t> </w:t>
      </w:r>
      <w:r>
        <w:rPr/>
        <w:t>Protección</w:t>
      </w:r>
      <w:r>
        <w:rPr>
          <w:spacing w:val="-7"/>
        </w:rPr>
        <w:t> </w:t>
      </w:r>
      <w:r>
        <w:rPr/>
        <w:t>Ambiental</w:t>
      </w:r>
      <w:r>
        <w:rPr>
          <w:spacing w:val="-7"/>
        </w:rPr>
        <w:t> </w:t>
      </w:r>
      <w:r>
        <w:rPr/>
        <w:t>del</w:t>
      </w:r>
      <w:r>
        <w:rPr>
          <w:spacing w:val="-7"/>
        </w:rPr>
        <w:t> </w:t>
      </w:r>
      <w:r>
        <w:rPr/>
        <w:t>Estado</w:t>
      </w:r>
      <w:r>
        <w:rPr>
          <w:spacing w:val="-7"/>
        </w:rPr>
        <w:t> </w:t>
      </w:r>
      <w:r>
        <w:rPr/>
        <w:t>de</w:t>
      </w:r>
      <w:r>
        <w:rPr>
          <w:spacing w:val="-7"/>
        </w:rPr>
        <w:t> </w:t>
      </w:r>
      <w:r>
        <w:rPr/>
        <w:t>Tabasco.</w:t>
      </w:r>
      <w:r>
        <w:rPr>
          <w:spacing w:val="-7"/>
        </w:rPr>
        <w:t> </w:t>
      </w:r>
      <w:r>
        <w:rPr/>
        <w:t>Colegio</w:t>
      </w:r>
      <w:r>
        <w:rPr>
          <w:spacing w:val="-7"/>
        </w:rPr>
        <w:t> </w:t>
      </w:r>
      <w:r>
        <w:rPr/>
        <w:t>de</w:t>
      </w:r>
      <w:r>
        <w:rPr>
          <w:spacing w:val="-7"/>
        </w:rPr>
        <w:t> </w:t>
      </w:r>
      <w:r>
        <w:rPr/>
        <w:t>la</w:t>
      </w:r>
      <w:r>
        <w:rPr>
          <w:spacing w:val="-7"/>
        </w:rPr>
        <w:t> </w:t>
      </w:r>
      <w:r>
        <w:rPr/>
        <w:t>Frontera Sur.</w:t>
      </w:r>
    </w:p>
    <w:p>
      <w:pPr>
        <w:pStyle w:val="BodyText"/>
        <w:spacing w:before="11"/>
      </w:pPr>
    </w:p>
    <w:p>
      <w:pPr>
        <w:pStyle w:val="BodyText"/>
        <w:spacing w:line="249" w:lineRule="auto"/>
        <w:ind w:left="753" w:right="130" w:hanging="624"/>
        <w:jc w:val="both"/>
      </w:pPr>
      <w:r>
        <w:rPr/>
        <w:t>Martínez B., Juan P., 2005. Los huertos: una estrategia para la subsistencia de las familias campesinas. An. Antrop., 39-II:</w:t>
      </w:r>
    </w:p>
    <w:p>
      <w:pPr>
        <w:spacing w:after="0" w:line="249" w:lineRule="auto"/>
        <w:jc w:val="both"/>
        <w:sectPr>
          <w:type w:val="continuous"/>
          <w:pgSz w:w="18830" w:h="12760" w:orient="landscape"/>
          <w:pgMar w:top="1420" w:bottom="280" w:left="720" w:right="720"/>
          <w:cols w:num="2" w:equalWidth="0">
            <w:col w:w="7842" w:space="1568"/>
            <w:col w:w="7980"/>
          </w:cols>
        </w:sectPr>
      </w:pPr>
    </w:p>
    <w:p>
      <w:pPr>
        <w:pStyle w:val="BodyText"/>
        <w:spacing w:before="6"/>
        <w:rPr>
          <w:sz w:val="23"/>
        </w:rPr>
      </w:pPr>
    </w:p>
    <w:p>
      <w:pPr>
        <w:spacing w:after="0"/>
        <w:rPr>
          <w:sz w:val="23"/>
        </w:rPr>
        <w:sectPr>
          <w:footerReference w:type="default" r:id="rId310"/>
          <w:pgSz w:w="18830" w:h="12760" w:orient="landscape"/>
          <w:pgMar w:footer="1036" w:header="522" w:top="820" w:bottom="1220" w:left="720" w:right="720"/>
        </w:sectPr>
      </w:pPr>
    </w:p>
    <w:p>
      <w:pPr>
        <w:pStyle w:val="BodyText"/>
        <w:spacing w:line="249" w:lineRule="auto" w:before="76"/>
        <w:ind w:left="753" w:hanging="624"/>
        <w:jc w:val="both"/>
      </w:pPr>
      <w:r>
        <w:rPr/>
        <w:t>Massieu Y., Chapela F., 2007. Valoración de la biodiversidad y el conocimiento tradicional: ¿un recurso público o privado? En: Biodiversidad y conocimiento tradicional en la sociedad rural: entre el bien común y la propiedad privada. CEDRSSA, México.</w:t>
      </w:r>
    </w:p>
    <w:p>
      <w:pPr>
        <w:pStyle w:val="BodyText"/>
        <w:spacing w:before="11"/>
      </w:pPr>
    </w:p>
    <w:p>
      <w:pPr>
        <w:pStyle w:val="BodyText"/>
        <w:spacing w:line="249" w:lineRule="auto"/>
        <w:ind w:left="753" w:hanging="624"/>
        <w:jc w:val="both"/>
      </w:pPr>
      <w:r>
        <w:rPr/>
        <w:t>Miranda, Miranda Juan José, 2005. Gestión de Proyectos: Identificación, formulación y evaluación financiera, social y ambiental, MM editores,</w:t>
      </w:r>
      <w:r>
        <w:rPr>
          <w:spacing w:val="53"/>
        </w:rPr>
        <w:t> </w:t>
      </w:r>
      <w:r>
        <w:rPr/>
        <w:t>Colombia</w:t>
      </w:r>
    </w:p>
    <w:p>
      <w:pPr>
        <w:pStyle w:val="BodyText"/>
        <w:spacing w:before="11"/>
      </w:pPr>
    </w:p>
    <w:p>
      <w:pPr>
        <w:pStyle w:val="BodyText"/>
        <w:tabs>
          <w:tab w:pos="1691" w:val="left" w:leader="none"/>
        </w:tabs>
        <w:spacing w:line="249" w:lineRule="auto"/>
        <w:ind w:left="753" w:hanging="624"/>
        <w:jc w:val="both"/>
      </w:pPr>
      <w:r>
        <w:rPr/>
        <w:t>Naturales, 2012, Residuos sólidos urbanos y de manejo especial, [en línea] Disponible en:</w:t>
        <w:tab/>
      </w:r>
      <w:hyperlink r:id="rId311">
        <w:r>
          <w:rPr/>
          <w:t>http://www.semarnat.gob.mx/temas/residuos-solidos-urbanos-y-de-</w:t>
        </w:r>
      </w:hyperlink>
      <w:r>
        <w:rPr/>
        <w:t> manejo-especial   consultado:</w:t>
      </w:r>
      <w:r>
        <w:rPr>
          <w:spacing w:val="5"/>
        </w:rPr>
        <w:t> </w:t>
      </w:r>
      <w:r>
        <w:rPr/>
        <w:t>10/03/2015</w:t>
      </w:r>
    </w:p>
    <w:p>
      <w:pPr>
        <w:pStyle w:val="BodyText"/>
        <w:spacing w:before="11"/>
      </w:pPr>
    </w:p>
    <w:p>
      <w:pPr>
        <w:pStyle w:val="BodyText"/>
        <w:spacing w:line="249" w:lineRule="auto"/>
        <w:ind w:left="753" w:right="1" w:hanging="624"/>
        <w:jc w:val="both"/>
      </w:pPr>
      <w:r>
        <w:rPr/>
        <w:t>Ortiz</w:t>
      </w:r>
      <w:r>
        <w:rPr>
          <w:spacing w:val="-12"/>
        </w:rPr>
        <w:t> </w:t>
      </w:r>
      <w:r>
        <w:rPr/>
        <w:t>S.,</w:t>
      </w:r>
      <w:r>
        <w:rPr>
          <w:spacing w:val="-12"/>
        </w:rPr>
        <w:t> </w:t>
      </w:r>
      <w:r>
        <w:rPr/>
        <w:t>C.</w:t>
      </w:r>
      <w:r>
        <w:rPr>
          <w:spacing w:val="-12"/>
        </w:rPr>
        <w:t> </w:t>
      </w:r>
      <w:r>
        <w:rPr/>
        <w:t>A.,</w:t>
      </w:r>
      <w:r>
        <w:rPr>
          <w:spacing w:val="-12"/>
        </w:rPr>
        <w:t> </w:t>
      </w:r>
      <w:r>
        <w:rPr/>
        <w:t>D.</w:t>
      </w:r>
      <w:r>
        <w:rPr>
          <w:spacing w:val="-12"/>
        </w:rPr>
        <w:t> </w:t>
      </w:r>
      <w:r>
        <w:rPr/>
        <w:t>Pájaro</w:t>
      </w:r>
      <w:r>
        <w:rPr>
          <w:spacing w:val="-12"/>
        </w:rPr>
        <w:t> </w:t>
      </w:r>
      <w:r>
        <w:rPr/>
        <w:t>H.</w:t>
      </w:r>
      <w:r>
        <w:rPr>
          <w:spacing w:val="-12"/>
        </w:rPr>
        <w:t> </w:t>
      </w:r>
      <w:r>
        <w:rPr/>
        <w:t>y</w:t>
      </w:r>
      <w:r>
        <w:rPr>
          <w:spacing w:val="-12"/>
        </w:rPr>
        <w:t> </w:t>
      </w:r>
      <w:r>
        <w:rPr/>
        <w:t>V.</w:t>
      </w:r>
      <w:r>
        <w:rPr>
          <w:spacing w:val="-12"/>
        </w:rPr>
        <w:t> </w:t>
      </w:r>
      <w:r>
        <w:rPr/>
        <w:t>M.</w:t>
      </w:r>
      <w:r>
        <w:rPr>
          <w:spacing w:val="-12"/>
        </w:rPr>
        <w:t> </w:t>
      </w:r>
      <w:r>
        <w:rPr/>
        <w:t>Ordáz</w:t>
      </w:r>
      <w:r>
        <w:rPr>
          <w:spacing w:val="-12"/>
        </w:rPr>
        <w:t> </w:t>
      </w:r>
      <w:r>
        <w:rPr/>
        <w:t>Ch.</w:t>
      </w:r>
      <w:r>
        <w:rPr>
          <w:spacing w:val="-12"/>
        </w:rPr>
        <w:t> </w:t>
      </w:r>
      <w:r>
        <w:rPr/>
        <w:t>1990.</w:t>
      </w:r>
      <w:r>
        <w:rPr>
          <w:spacing w:val="-12"/>
        </w:rPr>
        <w:t> </w:t>
      </w:r>
      <w:r>
        <w:rPr/>
        <w:t>Manual</w:t>
      </w:r>
      <w:r>
        <w:rPr>
          <w:spacing w:val="-12"/>
        </w:rPr>
        <w:t> </w:t>
      </w:r>
      <w:r>
        <w:rPr/>
        <w:t>para</w:t>
      </w:r>
      <w:r>
        <w:rPr>
          <w:spacing w:val="-12"/>
        </w:rPr>
        <w:t> </w:t>
      </w:r>
      <w:r>
        <w:rPr/>
        <w:t>la</w:t>
      </w:r>
      <w:r>
        <w:rPr>
          <w:spacing w:val="-12"/>
        </w:rPr>
        <w:t> </w:t>
      </w:r>
      <w:r>
        <w:rPr/>
        <w:t>cartografía</w:t>
      </w:r>
      <w:r>
        <w:rPr>
          <w:spacing w:val="-12"/>
        </w:rPr>
        <w:t> </w:t>
      </w:r>
      <w:r>
        <w:rPr/>
        <w:t>de</w:t>
      </w:r>
      <w:r>
        <w:rPr>
          <w:spacing w:val="-12"/>
        </w:rPr>
        <w:t> </w:t>
      </w:r>
      <w:r>
        <w:rPr/>
        <w:t>clases de</w:t>
      </w:r>
      <w:r>
        <w:rPr>
          <w:spacing w:val="-7"/>
        </w:rPr>
        <w:t> </w:t>
      </w:r>
      <w:r>
        <w:rPr/>
        <w:t>tierras</w:t>
      </w:r>
      <w:r>
        <w:rPr>
          <w:spacing w:val="-7"/>
        </w:rPr>
        <w:t> </w:t>
      </w:r>
      <w:r>
        <w:rPr/>
        <w:t>campesinas.</w:t>
      </w:r>
      <w:r>
        <w:rPr>
          <w:spacing w:val="-7"/>
        </w:rPr>
        <w:t> </w:t>
      </w:r>
      <w:r>
        <w:rPr/>
        <w:t>Serie</w:t>
      </w:r>
      <w:r>
        <w:rPr>
          <w:spacing w:val="-7"/>
        </w:rPr>
        <w:t> </w:t>
      </w:r>
      <w:r>
        <w:rPr/>
        <w:t>cuadernos</w:t>
      </w:r>
      <w:r>
        <w:rPr>
          <w:spacing w:val="-7"/>
        </w:rPr>
        <w:t> </w:t>
      </w:r>
      <w:r>
        <w:rPr/>
        <w:t>de</w:t>
      </w:r>
      <w:r>
        <w:rPr>
          <w:spacing w:val="-7"/>
        </w:rPr>
        <w:t> </w:t>
      </w:r>
      <w:r>
        <w:rPr/>
        <w:t>Edafología</w:t>
      </w:r>
      <w:r>
        <w:rPr>
          <w:spacing w:val="-7"/>
        </w:rPr>
        <w:t> </w:t>
      </w:r>
      <w:r>
        <w:rPr/>
        <w:t>15.</w:t>
      </w:r>
      <w:r>
        <w:rPr>
          <w:spacing w:val="-7"/>
        </w:rPr>
        <w:t> </w:t>
      </w:r>
      <w:r>
        <w:rPr/>
        <w:t>Centro</w:t>
      </w:r>
      <w:r>
        <w:rPr>
          <w:spacing w:val="-7"/>
        </w:rPr>
        <w:t> </w:t>
      </w:r>
      <w:r>
        <w:rPr/>
        <w:t>de</w:t>
      </w:r>
      <w:r>
        <w:rPr>
          <w:spacing w:val="-7"/>
        </w:rPr>
        <w:t> </w:t>
      </w:r>
      <w:r>
        <w:rPr/>
        <w:t>Edafología,</w:t>
      </w:r>
      <w:r>
        <w:rPr>
          <w:w w:val="99"/>
        </w:rPr>
        <w:t> </w:t>
      </w:r>
      <w:r>
        <w:rPr/>
        <w:t>Colegio de Postgraduados, Montecillo, </w:t>
      </w:r>
      <w:r>
        <w:rPr>
          <w:spacing w:val="20"/>
        </w:rPr>
        <w:t> </w:t>
      </w:r>
      <w:r>
        <w:rPr/>
        <w:t>México.</w:t>
      </w:r>
    </w:p>
    <w:p>
      <w:pPr>
        <w:pStyle w:val="BodyText"/>
        <w:spacing w:before="11"/>
      </w:pPr>
    </w:p>
    <w:p>
      <w:pPr>
        <w:pStyle w:val="BodyText"/>
        <w:spacing w:line="249" w:lineRule="auto"/>
        <w:ind w:left="753" w:hanging="624"/>
        <w:jc w:val="both"/>
      </w:pPr>
      <w:r>
        <w:rPr/>
        <w:t>Pensado Leglise, Mario del Roble (Coord.) 2011. Territorio y ambiente:</w:t>
      </w:r>
      <w:r>
        <w:rPr>
          <w:spacing w:val="-32"/>
        </w:rPr>
        <w:t> </w:t>
      </w:r>
      <w:r>
        <w:rPr/>
        <w:t>aproximaciones metodológicas. Siglo XXI México: Secretaría de Medio Ambiente y</w:t>
      </w:r>
      <w:r>
        <w:rPr>
          <w:spacing w:val="37"/>
        </w:rPr>
        <w:t> </w:t>
      </w:r>
      <w:r>
        <w:rPr/>
        <w:t>Recursos</w:t>
      </w:r>
    </w:p>
    <w:p>
      <w:pPr>
        <w:pStyle w:val="BodyText"/>
        <w:spacing w:before="11"/>
      </w:pPr>
    </w:p>
    <w:p>
      <w:pPr>
        <w:pStyle w:val="BodyText"/>
        <w:ind w:left="130" w:right="-13"/>
      </w:pPr>
      <w:r>
        <w:rPr/>
        <w:t>Pérez-Ramírez,</w:t>
      </w:r>
      <w:r>
        <w:rPr>
          <w:spacing w:val="-6"/>
        </w:rPr>
        <w:t> </w:t>
      </w:r>
      <w:r>
        <w:rPr/>
        <w:t>C.,</w:t>
      </w:r>
      <w:r>
        <w:rPr>
          <w:spacing w:val="-6"/>
        </w:rPr>
        <w:t> </w:t>
      </w:r>
      <w:r>
        <w:rPr/>
        <w:t>Zizumbo-Villarreal,</w:t>
      </w:r>
      <w:r>
        <w:rPr>
          <w:spacing w:val="-6"/>
        </w:rPr>
        <w:t> </w:t>
      </w:r>
      <w:r>
        <w:rPr/>
        <w:t>L.,</w:t>
      </w:r>
      <w:r>
        <w:rPr>
          <w:spacing w:val="-6"/>
        </w:rPr>
        <w:t> </w:t>
      </w:r>
      <w:r>
        <w:rPr/>
        <w:t>Monterroso-Salvatierra,</w:t>
      </w:r>
      <w:r>
        <w:rPr>
          <w:spacing w:val="-6"/>
        </w:rPr>
        <w:t> </w:t>
      </w:r>
      <w:r>
        <w:rPr/>
        <w:t>N.,</w:t>
      </w:r>
      <w:r>
        <w:rPr>
          <w:spacing w:val="-6"/>
        </w:rPr>
        <w:t> </w:t>
      </w:r>
      <w:r>
        <w:rPr/>
        <w:t>y</w:t>
      </w:r>
      <w:r>
        <w:rPr>
          <w:spacing w:val="-6"/>
        </w:rPr>
        <w:t> </w:t>
      </w:r>
      <w:r>
        <w:rPr/>
        <w:t>Madrigal-Uribe,</w:t>
      </w:r>
    </w:p>
    <w:p>
      <w:pPr>
        <w:spacing w:line="249" w:lineRule="auto" w:before="10"/>
        <w:ind w:left="753" w:right="0" w:firstLine="0"/>
        <w:jc w:val="both"/>
        <w:rPr>
          <w:sz w:val="20"/>
        </w:rPr>
      </w:pPr>
      <w:r>
        <w:rPr>
          <w:sz w:val="20"/>
        </w:rPr>
        <w:t>D. (2012), </w:t>
      </w:r>
      <w:r>
        <w:rPr>
          <w:i/>
          <w:sz w:val="20"/>
        </w:rPr>
        <w:t>Marco metodológico para el estudio del turismo rural. </w:t>
      </w:r>
      <w:r>
        <w:rPr>
          <w:sz w:val="20"/>
        </w:rPr>
        <w:t>Perspectiva de análisis</w:t>
      </w:r>
      <w:r>
        <w:rPr>
          <w:spacing w:val="-8"/>
          <w:sz w:val="20"/>
        </w:rPr>
        <w:t> </w:t>
      </w:r>
      <w:r>
        <w:rPr>
          <w:sz w:val="20"/>
        </w:rPr>
        <w:t>desde</w:t>
      </w:r>
      <w:r>
        <w:rPr>
          <w:spacing w:val="-8"/>
          <w:sz w:val="20"/>
        </w:rPr>
        <w:t> </w:t>
      </w:r>
      <w:r>
        <w:rPr>
          <w:sz w:val="20"/>
        </w:rPr>
        <w:t>la</w:t>
      </w:r>
      <w:r>
        <w:rPr>
          <w:spacing w:val="-8"/>
          <w:sz w:val="20"/>
        </w:rPr>
        <w:t> </w:t>
      </w:r>
      <w:r>
        <w:rPr>
          <w:sz w:val="20"/>
        </w:rPr>
        <w:t>comunalidad,</w:t>
      </w:r>
      <w:r>
        <w:rPr>
          <w:spacing w:val="-8"/>
          <w:sz w:val="20"/>
        </w:rPr>
        <w:t> </w:t>
      </w:r>
      <w:r>
        <w:rPr>
          <w:sz w:val="20"/>
        </w:rPr>
        <w:t>Estudios</w:t>
      </w:r>
      <w:r>
        <w:rPr>
          <w:spacing w:val="-8"/>
          <w:sz w:val="20"/>
        </w:rPr>
        <w:t> </w:t>
      </w:r>
      <w:r>
        <w:rPr>
          <w:sz w:val="20"/>
        </w:rPr>
        <w:t>y</w:t>
      </w:r>
      <w:r>
        <w:rPr>
          <w:spacing w:val="-8"/>
          <w:sz w:val="20"/>
        </w:rPr>
        <w:t> </w:t>
      </w:r>
      <w:r>
        <w:rPr>
          <w:sz w:val="20"/>
        </w:rPr>
        <w:t>Perspectivas</w:t>
      </w:r>
      <w:r>
        <w:rPr>
          <w:spacing w:val="-8"/>
          <w:sz w:val="20"/>
        </w:rPr>
        <w:t> </w:t>
      </w:r>
      <w:r>
        <w:rPr>
          <w:sz w:val="20"/>
        </w:rPr>
        <w:t>en</w:t>
      </w:r>
      <w:r>
        <w:rPr>
          <w:spacing w:val="-8"/>
          <w:sz w:val="20"/>
        </w:rPr>
        <w:t> </w:t>
      </w:r>
      <w:r>
        <w:rPr>
          <w:sz w:val="20"/>
        </w:rPr>
        <w:t>Turismo,</w:t>
      </w:r>
      <w:r>
        <w:rPr>
          <w:spacing w:val="-8"/>
          <w:sz w:val="20"/>
        </w:rPr>
        <w:t> </w:t>
      </w:r>
      <w:r>
        <w:rPr>
          <w:sz w:val="20"/>
        </w:rPr>
        <w:t>volumen</w:t>
      </w:r>
      <w:r>
        <w:rPr>
          <w:spacing w:val="-8"/>
          <w:sz w:val="20"/>
        </w:rPr>
        <w:t> </w:t>
      </w:r>
      <w:r>
        <w:rPr>
          <w:sz w:val="20"/>
        </w:rPr>
        <w:t>21, Centro de Investigaciones y Estudios Turísticos. Buenos Aires,</w:t>
      </w:r>
      <w:r>
        <w:rPr>
          <w:spacing w:val="19"/>
          <w:sz w:val="20"/>
        </w:rPr>
        <w:t> </w:t>
      </w:r>
      <w:r>
        <w:rPr>
          <w:sz w:val="20"/>
        </w:rPr>
        <w:t>Argentina</w:t>
      </w:r>
    </w:p>
    <w:p>
      <w:pPr>
        <w:pStyle w:val="BodyText"/>
        <w:spacing w:before="11"/>
      </w:pPr>
    </w:p>
    <w:p>
      <w:pPr>
        <w:pStyle w:val="BodyText"/>
        <w:spacing w:line="249" w:lineRule="auto"/>
        <w:ind w:left="753" w:hanging="624"/>
        <w:jc w:val="both"/>
      </w:pPr>
      <w:r>
        <w:rPr/>
        <w:t>Rebollar</w:t>
      </w:r>
      <w:r>
        <w:rPr>
          <w:spacing w:val="-15"/>
        </w:rPr>
        <w:t> </w:t>
      </w:r>
      <w:r>
        <w:rPr/>
        <w:t>S.,</w:t>
      </w:r>
      <w:r>
        <w:rPr>
          <w:spacing w:val="-15"/>
        </w:rPr>
        <w:t> </w:t>
      </w:r>
      <w:r>
        <w:rPr/>
        <w:t>Santos</w:t>
      </w:r>
      <w:r>
        <w:rPr>
          <w:spacing w:val="-15"/>
        </w:rPr>
        <w:t> </w:t>
      </w:r>
      <w:r>
        <w:rPr/>
        <w:t>V.,</w:t>
      </w:r>
      <w:r>
        <w:rPr>
          <w:spacing w:val="-15"/>
        </w:rPr>
        <w:t> </w:t>
      </w:r>
      <w:r>
        <w:rPr/>
        <w:t>Tapia</w:t>
      </w:r>
      <w:r>
        <w:rPr>
          <w:spacing w:val="-15"/>
        </w:rPr>
        <w:t> </w:t>
      </w:r>
      <w:r>
        <w:rPr/>
        <w:t>A.,</w:t>
      </w:r>
      <w:r>
        <w:rPr>
          <w:spacing w:val="-15"/>
        </w:rPr>
        <w:t> </w:t>
      </w:r>
      <w:r>
        <w:rPr/>
        <w:t>Pérez</w:t>
      </w:r>
      <w:r>
        <w:rPr>
          <w:spacing w:val="-15"/>
        </w:rPr>
        <w:t> </w:t>
      </w:r>
      <w:r>
        <w:rPr/>
        <w:t>C.,</w:t>
      </w:r>
      <w:r>
        <w:rPr>
          <w:spacing w:val="-15"/>
        </w:rPr>
        <w:t> </w:t>
      </w:r>
      <w:r>
        <w:rPr/>
        <w:t>2008.</w:t>
      </w:r>
      <w:r>
        <w:rPr>
          <w:spacing w:val="-15"/>
        </w:rPr>
        <w:t> </w:t>
      </w:r>
      <w:r>
        <w:rPr/>
        <w:t>Huertos</w:t>
      </w:r>
      <w:r>
        <w:rPr>
          <w:spacing w:val="-15"/>
        </w:rPr>
        <w:t> </w:t>
      </w:r>
      <w:r>
        <w:rPr/>
        <w:t>Familiares.</w:t>
      </w:r>
      <w:r>
        <w:rPr>
          <w:spacing w:val="-15"/>
        </w:rPr>
        <w:t> </w:t>
      </w:r>
      <w:r>
        <w:rPr/>
        <w:t>Una</w:t>
      </w:r>
      <w:r>
        <w:rPr>
          <w:spacing w:val="-15"/>
        </w:rPr>
        <w:t> </w:t>
      </w:r>
      <w:r>
        <w:rPr/>
        <w:t>experiencia</w:t>
      </w:r>
      <w:r>
        <w:rPr>
          <w:spacing w:val="-15"/>
        </w:rPr>
        <w:t> </w:t>
      </w:r>
      <w:r>
        <w:rPr/>
        <w:t>en Chancah Veracruz, Quintana Roo. Polibotánica. Núm.</w:t>
      </w:r>
      <w:r>
        <w:rPr>
          <w:spacing w:val="1"/>
        </w:rPr>
        <w:t> </w:t>
      </w:r>
      <w:r>
        <w:rPr/>
        <w:t>25.</w:t>
      </w:r>
    </w:p>
    <w:p>
      <w:pPr>
        <w:pStyle w:val="BodyText"/>
        <w:spacing w:before="11"/>
      </w:pPr>
    </w:p>
    <w:p>
      <w:pPr>
        <w:pStyle w:val="BodyText"/>
        <w:spacing w:line="249" w:lineRule="auto"/>
        <w:ind w:left="753" w:hanging="624"/>
        <w:jc w:val="both"/>
      </w:pPr>
      <w:r>
        <w:rPr/>
        <w:t>Rigat M., Garnatje T., Vallés J., 2009. Estudio etnobotánico del alto valle del río Ter (Pirineo catalán): resultados preliminares sobre la biodiversidad de los huertos familiares. Ed. Botánica pirenaico-cantábrica en el siglo XXI, Universidad de Leon, Barcelona, España</w:t>
      </w:r>
    </w:p>
    <w:p>
      <w:pPr>
        <w:pStyle w:val="BodyText"/>
        <w:spacing w:before="11"/>
      </w:pPr>
    </w:p>
    <w:p>
      <w:pPr>
        <w:pStyle w:val="BodyText"/>
        <w:spacing w:line="249" w:lineRule="auto"/>
        <w:ind w:left="753" w:hanging="624"/>
        <w:jc w:val="both"/>
      </w:pPr>
      <w:r>
        <w:rPr/>
        <w:t>Rivas G., Rodríguez A., 2013. El huerto familiar: algunas consideraciones para su establecimiento y manejo. Una forma de contribuir a la seguridad alimentaria. CATIE.</w:t>
      </w:r>
    </w:p>
    <w:p>
      <w:pPr>
        <w:pStyle w:val="BodyText"/>
        <w:spacing w:before="11"/>
      </w:pPr>
    </w:p>
    <w:p>
      <w:pPr>
        <w:pStyle w:val="BodyText"/>
        <w:spacing w:line="249" w:lineRule="auto"/>
        <w:ind w:left="753" w:right="1" w:hanging="624"/>
        <w:jc w:val="both"/>
      </w:pPr>
      <w:r>
        <w:rPr/>
        <w:t>Rivas G., 2014. Huertos familiares para la conservación de la agrobiodiversidad, la promoción de la seguridad alimentaria y la adaptación al cambio climático. Ambientico</w:t>
      </w:r>
    </w:p>
    <w:p>
      <w:pPr>
        <w:pStyle w:val="BodyText"/>
        <w:spacing w:line="249" w:lineRule="auto" w:before="76"/>
        <w:ind w:left="753" w:right="130" w:hanging="624"/>
        <w:jc w:val="both"/>
      </w:pPr>
      <w:r>
        <w:rPr/>
        <w:br w:type="column"/>
      </w:r>
      <w:r>
        <w:rPr/>
        <w:t>Santana M., Parra M., Salvatierra E., Arce A., Montagnini F., 2013. Políticas turísticas, actores sociales y ecoturismo en la península de Yucatán. Economía, Sociedad y Territorio. Vol. XIII, núm. 43.</w:t>
      </w:r>
    </w:p>
    <w:p>
      <w:pPr>
        <w:pStyle w:val="BodyText"/>
        <w:spacing w:before="11"/>
      </w:pPr>
    </w:p>
    <w:p>
      <w:pPr>
        <w:pStyle w:val="BodyText"/>
        <w:spacing w:line="249" w:lineRule="auto"/>
        <w:ind w:left="753" w:right="129" w:hanging="624"/>
        <w:jc w:val="both"/>
      </w:pPr>
      <w:r>
        <w:rPr/>
        <w:t>Santana M., Navarrete D., Mateo J., 2015. Riqueza de especies en huertos caseros de tres</w:t>
      </w:r>
      <w:r>
        <w:rPr>
          <w:spacing w:val="-6"/>
        </w:rPr>
        <w:t> </w:t>
      </w:r>
      <w:r>
        <w:rPr/>
        <w:t>municipios</w:t>
      </w:r>
      <w:r>
        <w:rPr>
          <w:spacing w:val="-6"/>
        </w:rPr>
        <w:t> </w:t>
      </w:r>
      <w:r>
        <w:rPr/>
        <w:t>de</w:t>
      </w:r>
      <w:r>
        <w:rPr>
          <w:spacing w:val="-6"/>
        </w:rPr>
        <w:t> </w:t>
      </w:r>
      <w:r>
        <w:rPr/>
        <w:t>la</w:t>
      </w:r>
      <w:r>
        <w:rPr>
          <w:spacing w:val="-6"/>
        </w:rPr>
        <w:t> </w:t>
      </w:r>
      <w:r>
        <w:rPr/>
        <w:t>región</w:t>
      </w:r>
      <w:r>
        <w:rPr>
          <w:spacing w:val="-6"/>
        </w:rPr>
        <w:t> </w:t>
      </w:r>
      <w:r>
        <w:rPr/>
        <w:t>Otomí</w:t>
      </w:r>
      <w:r>
        <w:rPr>
          <w:spacing w:val="-6"/>
        </w:rPr>
        <w:t> </w:t>
      </w:r>
      <w:r>
        <w:rPr/>
        <w:t>Tepehua,</w:t>
      </w:r>
      <w:r>
        <w:rPr>
          <w:spacing w:val="-6"/>
        </w:rPr>
        <w:t> </w:t>
      </w:r>
      <w:r>
        <w:rPr/>
        <w:t>Hidalgo,</w:t>
      </w:r>
      <w:r>
        <w:rPr>
          <w:spacing w:val="-6"/>
        </w:rPr>
        <w:t> </w:t>
      </w:r>
      <w:r>
        <w:rPr/>
        <w:t>México.</w:t>
      </w:r>
      <w:r>
        <w:rPr>
          <w:spacing w:val="-6"/>
        </w:rPr>
        <w:t> </w:t>
      </w:r>
      <w:r>
        <w:rPr/>
        <w:t>En:</w:t>
      </w:r>
      <w:r>
        <w:rPr>
          <w:spacing w:val="-6"/>
        </w:rPr>
        <w:t> </w:t>
      </w:r>
      <w:r>
        <w:rPr/>
        <w:t>Montagnini</w:t>
      </w:r>
      <w:r>
        <w:rPr>
          <w:spacing w:val="-6"/>
        </w:rPr>
        <w:t> </w:t>
      </w:r>
      <w:r>
        <w:rPr/>
        <w:t>F., Somarriba E., Murgueitio E., Fassola H., Eibl B., 2015. Sistemas agroforestales. Funciones productivas, socioeconómicas y ambientales.</w:t>
      </w:r>
      <w:r>
        <w:rPr>
          <w:spacing w:val="38"/>
        </w:rPr>
        <w:t> </w:t>
      </w:r>
      <w:r>
        <w:rPr/>
        <w:t>CATIE.</w:t>
      </w:r>
    </w:p>
    <w:p>
      <w:pPr>
        <w:pStyle w:val="BodyText"/>
        <w:spacing w:before="11"/>
      </w:pPr>
    </w:p>
    <w:p>
      <w:pPr>
        <w:pStyle w:val="BodyText"/>
        <w:spacing w:line="249" w:lineRule="auto"/>
        <w:ind w:left="753" w:right="129" w:hanging="624"/>
        <w:jc w:val="both"/>
      </w:pPr>
      <w:r>
        <w:rPr/>
        <w:t>Sarandón S., y Flores C., 2014. Agroecología: bases teóricas para el diseño y manejo de Agroecosistemas sustentables. Edulp.</w:t>
      </w:r>
    </w:p>
    <w:p>
      <w:pPr>
        <w:pStyle w:val="BodyText"/>
        <w:spacing w:before="11"/>
      </w:pPr>
    </w:p>
    <w:p>
      <w:pPr>
        <w:pStyle w:val="BodyText"/>
        <w:spacing w:line="249" w:lineRule="auto"/>
        <w:ind w:left="753" w:right="130" w:hanging="624"/>
        <w:jc w:val="both"/>
      </w:pPr>
      <w:r>
        <w:rPr/>
        <w:t>Toledo V. M., 2005. La memoria tradicional: la importancia Agroecológica de los saberes locales. Leisa. 20(4).</w:t>
      </w:r>
    </w:p>
    <w:p>
      <w:pPr>
        <w:pStyle w:val="BodyText"/>
        <w:spacing w:before="11"/>
      </w:pPr>
    </w:p>
    <w:p>
      <w:pPr>
        <w:pStyle w:val="BodyText"/>
        <w:spacing w:line="249" w:lineRule="auto"/>
        <w:ind w:left="753" w:right="128" w:hanging="624"/>
        <w:jc w:val="both"/>
      </w:pPr>
      <w:r>
        <w:rPr/>
        <w:t>Vallejo B., Osorio M., Ramírez I., Nava G., Franco S., 2013. Análisis social sobre los habitantes de la comunidad de La Peñuela, Parque Nacional Nevado de</w:t>
      </w:r>
      <w:r>
        <w:rPr>
          <w:spacing w:val="-30"/>
        </w:rPr>
        <w:t> </w:t>
      </w:r>
      <w:r>
        <w:rPr/>
        <w:t>Toluca, México. Estudios y Perspectivas en Turismo. Volumen 22, núm.</w:t>
      </w:r>
      <w:r>
        <w:rPr>
          <w:spacing w:val="25"/>
        </w:rPr>
        <w:t> </w:t>
      </w:r>
      <w:r>
        <w:rPr/>
        <w:t>3.</w:t>
      </w:r>
    </w:p>
    <w:p>
      <w:pPr>
        <w:pStyle w:val="BodyText"/>
        <w:spacing w:before="11"/>
      </w:pPr>
    </w:p>
    <w:p>
      <w:pPr>
        <w:pStyle w:val="BodyText"/>
        <w:spacing w:line="249" w:lineRule="auto"/>
        <w:ind w:left="754" w:right="129" w:hanging="624"/>
        <w:jc w:val="both"/>
      </w:pPr>
      <w:r>
        <w:rPr/>
        <w:t>Van Reeuwijk, L.P. 1993. Procedures for soil analysis. Tech. Pap. Nº 9. 5</w:t>
      </w:r>
      <w:r>
        <w:rPr>
          <w:position w:val="7"/>
          <w:sz w:val="11"/>
        </w:rPr>
        <w:t>th </w:t>
      </w:r>
      <w:r>
        <w:rPr/>
        <w:t>ed. ISRIC, Wageningen, Netherlands.</w:t>
      </w:r>
    </w:p>
    <w:p>
      <w:pPr>
        <w:pStyle w:val="BodyText"/>
        <w:spacing w:before="11"/>
      </w:pPr>
    </w:p>
    <w:p>
      <w:pPr>
        <w:pStyle w:val="BodyText"/>
        <w:ind w:left="130"/>
      </w:pPr>
      <w:r>
        <w:rPr/>
        <w:t>Webster, R. and Oliver, M. A.  1991. Stadistical methods in soil land recourse  </w:t>
      </w:r>
      <w:r>
        <w:rPr>
          <w:spacing w:val="54"/>
        </w:rPr>
        <w:t> </w:t>
      </w:r>
      <w:r>
        <w:rPr/>
        <w:t>survey.</w:t>
      </w:r>
    </w:p>
    <w:p>
      <w:pPr>
        <w:pStyle w:val="BodyText"/>
        <w:spacing w:before="10"/>
        <w:ind w:left="754"/>
      </w:pPr>
      <w:r>
        <w:rPr/>
        <w:t>Oxford University Press. Geat Britain.</w:t>
      </w:r>
    </w:p>
    <w:p>
      <w:pPr>
        <w:pStyle w:val="BodyText"/>
        <w:spacing w:before="8"/>
        <w:rPr>
          <w:sz w:val="21"/>
        </w:rPr>
      </w:pPr>
    </w:p>
    <w:p>
      <w:pPr>
        <w:pStyle w:val="BodyText"/>
        <w:spacing w:line="249" w:lineRule="auto"/>
        <w:ind w:left="754" w:right="129" w:hanging="624"/>
        <w:jc w:val="both"/>
      </w:pPr>
      <w:r>
        <w:rPr/>
        <w:t>White L., Juan J., Chávez C., Gutiérrez J., 2013. Flora medicinal en San Nicolás, municipio de Malinalco, Estado de México. Polibótanica. Núm. 35. México, Instituto Politécnico Nacional, Escuela Nacional de Ciencias  Biológicas</w:t>
      </w:r>
    </w:p>
    <w:p>
      <w:pPr>
        <w:spacing w:after="0" w:line="249" w:lineRule="auto"/>
        <w:jc w:val="both"/>
        <w:sectPr>
          <w:type w:val="continuous"/>
          <w:pgSz w:w="18830" w:h="12760" w:orient="landscape"/>
          <w:pgMar w:top="1420" w:bottom="280" w:left="720" w:right="720"/>
          <w:cols w:num="2" w:equalWidth="0">
            <w:col w:w="7842" w:space="1568"/>
            <w:col w:w="7980"/>
          </w:cols>
        </w:sectPr>
      </w:pPr>
    </w:p>
    <w:p>
      <w:pPr>
        <w:pStyle w:val="BodyText"/>
        <w:spacing w:before="10"/>
        <w:rPr>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9938" w:right="156" w:hanging="2354"/>
      </w:pPr>
      <w:r>
        <w:rPr/>
        <w:t>Crecimiento urbano y conservación de Áreas Naturales Protegidas en el municipio de Toluca</w:t>
      </w:r>
    </w:p>
    <w:p>
      <w:pPr>
        <w:pStyle w:val="BodyText"/>
        <w:spacing w:before="5"/>
        <w:rPr>
          <w:b/>
          <w:sz w:val="17"/>
        </w:rPr>
      </w:pPr>
    </w:p>
    <w:p>
      <w:pPr>
        <w:spacing w:after="0"/>
        <w:rPr>
          <w:sz w:val="17"/>
        </w:rPr>
        <w:sectPr>
          <w:headerReference w:type="default" r:id="rId312"/>
          <w:footerReference w:type="default" r:id="rId313"/>
          <w:pgSz w:w="18830" w:h="12760" w:orient="landscape"/>
          <w:pgMar w:header="482" w:footer="0" w:top="680" w:bottom="0" w:left="2720" w:right="720"/>
        </w:sect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7"/>
        <w:rPr>
          <w:b/>
          <w:sz w:val="26"/>
        </w:rPr>
      </w:pPr>
    </w:p>
    <w:p>
      <w:pPr>
        <w:spacing w:before="0"/>
        <w:ind w:left="0" w:right="0" w:firstLine="0"/>
        <w:jc w:val="right"/>
        <w:rPr>
          <w:b/>
          <w:sz w:val="24"/>
        </w:rPr>
      </w:pPr>
      <w:r>
        <w:rPr>
          <w:b/>
          <w:w w:val="95"/>
          <w:sz w:val="24"/>
        </w:rPr>
        <w:t>Resumen</w:t>
      </w:r>
    </w:p>
    <w:p>
      <w:pPr>
        <w:spacing w:line="312" w:lineRule="auto" w:before="81"/>
        <w:ind w:left="4254" w:right="124" w:firstLine="186"/>
        <w:jc w:val="right"/>
        <w:rPr>
          <w:sz w:val="16"/>
        </w:rPr>
      </w:pPr>
      <w:r>
        <w:rPr/>
        <w:br w:type="column"/>
      </w:r>
      <w:r>
        <w:rPr>
          <w:sz w:val="16"/>
        </w:rPr>
        <w:t>Norma Hernández Ramírez</w:t>
      </w:r>
      <w:r>
        <w:rPr>
          <w:w w:val="96"/>
          <w:sz w:val="16"/>
        </w:rPr>
        <w:t> </w:t>
      </w:r>
      <w:r>
        <w:rPr>
          <w:sz w:val="16"/>
        </w:rPr>
        <w:t>Lilia Angélica Madrigal García</w:t>
      </w:r>
      <w:r>
        <w:rPr>
          <w:w w:val="97"/>
          <w:sz w:val="16"/>
        </w:rPr>
        <w:t> </w:t>
      </w:r>
      <w:r>
        <w:rPr>
          <w:sz w:val="16"/>
        </w:rPr>
        <w:t>Graciela M. Suárez Díaz</w:t>
      </w:r>
      <w:r>
        <w:rPr>
          <w:w w:val="94"/>
          <w:sz w:val="16"/>
        </w:rPr>
        <w:t> </w:t>
      </w:r>
      <w:r>
        <w:rPr>
          <w:sz w:val="16"/>
        </w:rPr>
        <w:t>Leopoldo Islas Flores</w:t>
      </w:r>
    </w:p>
    <w:p>
      <w:pPr>
        <w:spacing w:line="312" w:lineRule="auto" w:before="2"/>
        <w:ind w:left="3190" w:right="124" w:firstLine="189"/>
        <w:jc w:val="right"/>
        <w:rPr>
          <w:sz w:val="16"/>
        </w:rPr>
      </w:pPr>
      <w:r>
        <w:rPr>
          <w:sz w:val="16"/>
        </w:rPr>
        <w:t>Facultad de Planeación Urbana y Regional</w:t>
      </w:r>
      <w:r>
        <w:rPr>
          <w:w w:val="98"/>
          <w:sz w:val="16"/>
        </w:rPr>
        <w:t> </w:t>
      </w:r>
      <w:r>
        <w:rPr>
          <w:sz w:val="16"/>
        </w:rPr>
        <w:t>Universidad Autónoma del Estado de México</w:t>
      </w:r>
    </w:p>
    <w:p>
      <w:pPr>
        <w:spacing w:before="2"/>
        <w:ind w:left="0" w:right="124" w:firstLine="0"/>
        <w:jc w:val="right"/>
        <w:rPr>
          <w:sz w:val="16"/>
        </w:rPr>
      </w:pPr>
      <w:hyperlink r:id="rId314">
        <w:r>
          <w:rPr>
            <w:w w:val="95"/>
            <w:sz w:val="16"/>
          </w:rPr>
          <w:t>nhernandezr@uaemex.mx</w:t>
        </w:r>
      </w:hyperlink>
    </w:p>
    <w:p>
      <w:pPr>
        <w:spacing w:after="0"/>
        <w:jc w:val="right"/>
        <w:rPr>
          <w:sz w:val="16"/>
        </w:rPr>
        <w:sectPr>
          <w:type w:val="continuous"/>
          <w:pgSz w:w="18830" w:h="12760" w:orient="landscape"/>
          <w:pgMar w:top="1420" w:bottom="280" w:left="2720" w:right="720"/>
          <w:cols w:num="2" w:equalWidth="0">
            <w:col w:w="8796" w:space="40"/>
            <w:col w:w="6554"/>
          </w:cols>
        </w:sectPr>
      </w:pPr>
    </w:p>
    <w:p>
      <w:pPr>
        <w:pStyle w:val="BodyText"/>
        <w:spacing w:before="4"/>
        <w:rPr>
          <w:sz w:val="14"/>
        </w:rPr>
      </w:pPr>
    </w:p>
    <w:p>
      <w:pPr>
        <w:pStyle w:val="BodyText"/>
        <w:spacing w:line="249" w:lineRule="auto" w:before="76"/>
        <w:ind w:left="7545" w:right="123" w:firstLine="170"/>
        <w:jc w:val="both"/>
      </w:pPr>
      <w:r>
        <w:rPr/>
        <w:t>El propósito de este artículo es lograr una reflexión en relación al crecimiento urbano de las Ciudad de Toluca y la importancia de instrumentar políticas de conservación    de las Áreas Naturales Protegidas (ANP), por tanto, en el presente trabajo se realizó una revisión de estudios que documentan las debilidades y amenazas en cuanto a su implementación. Partimos del supuesto que las ANP son áreas de atención prioritaria para transformar las debilidades en fortalezas y las amenazas en oportunidades ahora que tenemos la oportunidad de ser proactivos en este tema que es decisivo en las ciudades, el de lograr un desarrollo urbano</w:t>
      </w:r>
      <w:r>
        <w:rPr>
          <w:spacing w:val="41"/>
        </w:rPr>
        <w:t> </w:t>
      </w:r>
      <w:r>
        <w:rPr/>
        <w:t>sustentable.</w:t>
      </w:r>
    </w:p>
    <w:p>
      <w:pPr>
        <w:pStyle w:val="BodyText"/>
        <w:spacing w:before="11"/>
      </w:pPr>
    </w:p>
    <w:p>
      <w:pPr>
        <w:pStyle w:val="BodyText"/>
        <w:spacing w:line="249" w:lineRule="auto"/>
        <w:ind w:left="7545" w:right="124" w:firstLine="170"/>
        <w:jc w:val="both"/>
      </w:pPr>
      <w:r>
        <w:rPr>
          <w:b/>
          <w:i/>
        </w:rPr>
        <w:t>Palabras clave</w:t>
      </w:r>
      <w:r>
        <w:rPr/>
        <w:t>: Crecimiento urbano, políticas de conservación, Áreas Naturales Protegidas (ANP).</w:t>
      </w:r>
    </w:p>
    <w:p>
      <w:pPr>
        <w:pStyle w:val="BodyText"/>
        <w:spacing w:before="8"/>
        <w:rPr>
          <w:sz w:val="17"/>
        </w:rPr>
      </w:pPr>
    </w:p>
    <w:p>
      <w:pPr>
        <w:pStyle w:val="Heading2"/>
        <w:ind w:left="1615" w:right="474"/>
        <w:jc w:val="center"/>
        <w:rPr>
          <w:i/>
        </w:rPr>
      </w:pPr>
      <w:r>
        <w:rPr>
          <w:i/>
        </w:rPr>
        <w:t>Summary</w:t>
      </w:r>
    </w:p>
    <w:p>
      <w:pPr>
        <w:pStyle w:val="BodyText"/>
        <w:rPr>
          <w:b/>
          <w:i/>
          <w:sz w:val="21"/>
        </w:rPr>
      </w:pPr>
    </w:p>
    <w:p>
      <w:pPr>
        <w:pStyle w:val="BodyText"/>
        <w:spacing w:line="249" w:lineRule="auto"/>
        <w:ind w:left="7545" w:right="123" w:firstLine="170"/>
        <w:jc w:val="both"/>
      </w:pPr>
      <w:r>
        <w:rPr/>
        <w:t>The aim of this paper is generate a reflection around urban growth and the implementation of conservation policies in Protected Natural Areas (PNA), that’s why the present paper reviewed some studies documenting the weaknesses and threats in their management and implementation. Therefore, we start from the assumption that PNA are focus to transforming weaknesses into strengths and threats in opportunities, now we have the opportunity to be proactive on that critical issue inside the cities, that of achieving sustainable urban development.</w:t>
      </w:r>
    </w:p>
    <w:p>
      <w:pPr>
        <w:pStyle w:val="BodyText"/>
        <w:spacing w:before="11"/>
      </w:pPr>
    </w:p>
    <w:p>
      <w:pPr>
        <w:pStyle w:val="BodyText"/>
        <w:ind w:left="7715" w:right="156"/>
      </w:pPr>
      <w:r>
        <w:rPr/>
        <w:pict>
          <v:group style="position:absolute;margin-left:696.401978pt;margin-top:108.687286pt;width:18.850pt;height:61.8pt;mso-position-horizontal-relative:page;mso-position-vertical-relative:paragraph;z-index:12448" coordorigin="13928,2174" coordsize="377,1236">
            <v:rect style="position:absolute;left:13928;top:2174;width:377;height:1236" filled="true" fillcolor="#c7c8ca" stroked="false">
              <v:fill type="solid"/>
            </v:rect>
            <v:shape style="position:absolute;left:13928;top:2174;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291</w:t>
                    </w:r>
                  </w:p>
                </w:txbxContent>
              </v:textbox>
              <w10:wrap type="none"/>
            </v:shape>
            <w10:wrap type="none"/>
          </v:group>
        </w:pict>
      </w:r>
      <w:r>
        <w:rPr>
          <w:b/>
          <w:i/>
        </w:rPr>
        <w:t>Key words: </w:t>
      </w:r>
      <w:r>
        <w:rPr/>
        <w:t>Urban growth, conservation policies, Protected Natural Areas (PNA).</w:t>
      </w:r>
    </w:p>
    <w:p>
      <w:pPr>
        <w:spacing w:after="0"/>
        <w:sectPr>
          <w:type w:val="continuous"/>
          <w:pgSz w:w="18830" w:h="12760" w:orient="landscape"/>
          <w:pgMar w:top="1420" w:bottom="280" w:left="2720" w:right="720"/>
        </w:sectPr>
      </w:pPr>
    </w:p>
    <w:p>
      <w:pPr>
        <w:pStyle w:val="BodyText"/>
        <w:spacing w:before="8"/>
      </w:pPr>
    </w:p>
    <w:p>
      <w:pPr>
        <w:spacing w:after="0"/>
        <w:sectPr>
          <w:headerReference w:type="default" r:id="rId315"/>
          <w:footerReference w:type="default" r:id="rId316"/>
          <w:pgSz w:w="18830" w:h="12760" w:orient="landscape"/>
          <w:pgMar w:header="522" w:footer="1036" w:top="820" w:bottom="1220" w:left="720" w:right="720"/>
        </w:sectPr>
      </w:pPr>
    </w:p>
    <w:p>
      <w:pPr>
        <w:pStyle w:val="Heading1"/>
        <w:spacing w:before="71"/>
        <w:ind w:left="301" w:right="3"/>
      </w:pPr>
      <w:r>
        <w:rPr/>
        <w:t>Introducción</w:t>
      </w:r>
    </w:p>
    <w:p>
      <w:pPr>
        <w:pStyle w:val="BodyText"/>
        <w:rPr>
          <w:b/>
          <w:sz w:val="21"/>
        </w:rPr>
      </w:pPr>
    </w:p>
    <w:p>
      <w:pPr>
        <w:pStyle w:val="BodyText"/>
        <w:spacing w:line="249" w:lineRule="auto"/>
        <w:ind w:left="131" w:firstLine="170"/>
        <w:jc w:val="both"/>
      </w:pPr>
      <w:r>
        <w:rPr/>
        <w:t>Ante los problemas que vivimos a diario en nuestras colonias, ciudades o</w:t>
      </w:r>
      <w:r>
        <w:rPr>
          <w:spacing w:val="-31"/>
        </w:rPr>
        <w:t> </w:t>
      </w:r>
      <w:r>
        <w:rPr/>
        <w:t>municipios, o cuando ocurren desastres originados por fenómenos meteorológicos es común escuchar en declaraciones de la población e incluso de algunos funcionarios públicos que “no existió planeación” o que esos “asentamientos humanos no fueron planeados” y por tanto es un tema que incide directamente en el ámbito profesional tanto de la Planeación Territorial como de las Ciencias</w:t>
      </w:r>
      <w:r>
        <w:rPr>
          <w:spacing w:val="12"/>
        </w:rPr>
        <w:t> </w:t>
      </w:r>
      <w:r>
        <w:rPr/>
        <w:t>Ambientales.</w:t>
      </w:r>
    </w:p>
    <w:p>
      <w:pPr>
        <w:pStyle w:val="BodyText"/>
        <w:spacing w:before="11"/>
      </w:pPr>
    </w:p>
    <w:p>
      <w:pPr>
        <w:pStyle w:val="BodyText"/>
        <w:spacing w:line="249" w:lineRule="auto"/>
        <w:ind w:left="131" w:firstLine="170"/>
        <w:jc w:val="both"/>
      </w:pPr>
      <w:r>
        <w:rPr/>
        <w:t>Como resultado de la revisión de los documentos normativos de la planeación territorial y de los instrumentos de política ambiental encontramos que los Planes de Desarrollo Estatal y Municipal así como los Programas de Manejo vigentes de las ANP, cuentan con una escasa visión prospectiva en su análisis y por tanto no pueden preverse situaciones al mediano y largo</w:t>
      </w:r>
      <w:r>
        <w:rPr>
          <w:spacing w:val="16"/>
        </w:rPr>
        <w:t> </w:t>
      </w:r>
      <w:r>
        <w:rPr/>
        <w:t>plazos.</w:t>
      </w:r>
    </w:p>
    <w:p>
      <w:pPr>
        <w:pStyle w:val="BodyText"/>
        <w:spacing w:before="11"/>
      </w:pPr>
    </w:p>
    <w:p>
      <w:pPr>
        <w:pStyle w:val="BodyText"/>
        <w:spacing w:line="249" w:lineRule="auto"/>
        <w:ind w:left="131" w:firstLine="170"/>
        <w:jc w:val="both"/>
      </w:pPr>
      <w:r>
        <w:rPr/>
        <w:t>“…la prospectiva no sólo es una herramienta de análisis sino un instrumento que contribuye a la creación de sentido más amplio, como reflexión sobre el futuro, nos conduce a la anticipación…” (Miklos, 2014:24)</w:t>
      </w:r>
    </w:p>
    <w:p>
      <w:pPr>
        <w:pStyle w:val="BodyText"/>
        <w:spacing w:before="11"/>
      </w:pPr>
    </w:p>
    <w:p>
      <w:pPr>
        <w:pStyle w:val="BodyText"/>
        <w:spacing w:line="249" w:lineRule="auto"/>
        <w:ind w:left="131" w:firstLine="170"/>
        <w:jc w:val="both"/>
      </w:pPr>
      <w:r>
        <w:rPr/>
        <w:t>De ahí la importancia de revisar la forma en que se elaboran los instrumentos normativos del territorio y de la política ambiental cuyo deber ser es el de guiar el quehacer de la administración pública. Es necesario incorporar esta nueva forma de pensar, que las estrategias ante la problemática territorial y ambiental sea proactiva     y no reactiva como ocurre actualmente en las áreas encargadas de la planeación territorial y</w:t>
      </w:r>
      <w:r>
        <w:rPr>
          <w:spacing w:val="17"/>
        </w:rPr>
        <w:t> </w:t>
      </w:r>
      <w:r>
        <w:rPr/>
        <w:t>ambiental.</w:t>
      </w:r>
    </w:p>
    <w:p>
      <w:pPr>
        <w:pStyle w:val="BodyText"/>
        <w:spacing w:before="11"/>
      </w:pPr>
    </w:p>
    <w:p>
      <w:pPr>
        <w:pStyle w:val="BodyText"/>
        <w:spacing w:line="249" w:lineRule="auto"/>
        <w:ind w:left="131" w:firstLine="170"/>
        <w:jc w:val="both"/>
      </w:pPr>
      <w:r>
        <w:rPr/>
        <w:t>“…la prospectiva además de mirar más lejos y mirar mejor implica la participación de todos los involucrados en la construcción de futuros compartidos desde la concepción del proyecto hasta la consecución del mismo.” (Montero, 2014:  131).</w:t>
      </w:r>
    </w:p>
    <w:p>
      <w:pPr>
        <w:pStyle w:val="BodyText"/>
        <w:spacing w:before="11"/>
      </w:pPr>
    </w:p>
    <w:p>
      <w:pPr>
        <w:pStyle w:val="BodyText"/>
        <w:spacing w:line="249" w:lineRule="auto"/>
        <w:ind w:left="131" w:firstLine="170"/>
        <w:jc w:val="both"/>
      </w:pPr>
      <w:r>
        <w:rPr/>
        <w:t>Ello</w:t>
      </w:r>
      <w:r>
        <w:rPr>
          <w:spacing w:val="-6"/>
        </w:rPr>
        <w:t> </w:t>
      </w:r>
      <w:r>
        <w:rPr/>
        <w:t>implica</w:t>
      </w:r>
      <w:r>
        <w:rPr>
          <w:spacing w:val="-6"/>
        </w:rPr>
        <w:t> </w:t>
      </w:r>
      <w:r>
        <w:rPr/>
        <w:t>establecer</w:t>
      </w:r>
      <w:r>
        <w:rPr>
          <w:spacing w:val="-6"/>
        </w:rPr>
        <w:t> </w:t>
      </w:r>
      <w:r>
        <w:rPr/>
        <w:t>nuevas</w:t>
      </w:r>
      <w:r>
        <w:rPr>
          <w:spacing w:val="-6"/>
        </w:rPr>
        <w:t> </w:t>
      </w:r>
      <w:r>
        <w:rPr/>
        <w:t>formas</w:t>
      </w:r>
      <w:r>
        <w:rPr>
          <w:spacing w:val="-6"/>
        </w:rPr>
        <w:t> </w:t>
      </w:r>
      <w:r>
        <w:rPr/>
        <w:t>de</w:t>
      </w:r>
      <w:r>
        <w:rPr>
          <w:spacing w:val="-6"/>
        </w:rPr>
        <w:t> </w:t>
      </w:r>
      <w:r>
        <w:rPr/>
        <w:t>participación</w:t>
      </w:r>
      <w:r>
        <w:rPr>
          <w:spacing w:val="-6"/>
        </w:rPr>
        <w:t> </w:t>
      </w:r>
      <w:r>
        <w:rPr/>
        <w:t>social</w:t>
      </w:r>
      <w:r>
        <w:rPr>
          <w:spacing w:val="-6"/>
        </w:rPr>
        <w:t> </w:t>
      </w:r>
      <w:r>
        <w:rPr/>
        <w:t>para</w:t>
      </w:r>
      <w:r>
        <w:rPr>
          <w:spacing w:val="-6"/>
        </w:rPr>
        <w:t> </w:t>
      </w:r>
      <w:r>
        <w:rPr/>
        <w:t>lograr</w:t>
      </w:r>
      <w:r>
        <w:rPr>
          <w:spacing w:val="-6"/>
        </w:rPr>
        <w:t> </w:t>
      </w:r>
      <w:r>
        <w:rPr/>
        <w:t>un</w:t>
      </w:r>
      <w:r>
        <w:rPr>
          <w:spacing w:val="-6"/>
        </w:rPr>
        <w:t> </w:t>
      </w:r>
      <w:r>
        <w:rPr/>
        <w:t>consenso entre los sectores involucrados y proponer esquemas donde los inconvenientes sean menores y con ello también proponer un modelo de desarrollo sustentable para la ciudad de Toluca los próximos años, ente el acelerado proceso de</w:t>
      </w:r>
      <w:r>
        <w:rPr>
          <w:spacing w:val="10"/>
        </w:rPr>
        <w:t> </w:t>
      </w:r>
      <w:r>
        <w:rPr/>
        <w:t>crecimiento</w:t>
      </w:r>
      <w:r>
        <w:rPr>
          <w:spacing w:val="6"/>
        </w:rPr>
        <w:t> </w:t>
      </w:r>
      <w:r>
        <w:rPr/>
        <w:t>urbano</w:t>
      </w:r>
      <w:r>
        <w:rPr>
          <w:w w:val="101"/>
        </w:rPr>
        <w:t> </w:t>
      </w:r>
      <w:r>
        <w:rPr/>
        <w:t>que experimenta y donde la conservación de las ANP será un eje fundamental que suscite el cuidado de la</w:t>
      </w:r>
      <w:r>
        <w:rPr>
          <w:spacing w:val="53"/>
        </w:rPr>
        <w:t> </w:t>
      </w:r>
      <w:r>
        <w:rPr/>
        <w:t>biodiversidad.</w:t>
      </w:r>
    </w:p>
    <w:p>
      <w:pPr>
        <w:pStyle w:val="BodyText"/>
        <w:spacing w:before="11"/>
      </w:pPr>
    </w:p>
    <w:p>
      <w:pPr>
        <w:pStyle w:val="BodyText"/>
        <w:spacing w:line="249" w:lineRule="auto"/>
        <w:ind w:left="131" w:firstLine="170"/>
        <w:jc w:val="both"/>
      </w:pPr>
      <w:r>
        <w:rPr/>
        <w:t>“La articulación de núcleos de población secundarios de muy diversos tamaños a    la dinámica urbana de la ciudad de Toluca, se constituye en uno de los mecanismos principales de  un  proceso  de  desdoblamiento  metropolitano  periférico…asociado  al consumo de espacios rurales y tierras ejidales para uso habitacional popular…” (Orozco,</w:t>
      </w:r>
      <w:r>
        <w:rPr>
          <w:spacing w:val="-5"/>
        </w:rPr>
        <w:t> </w:t>
      </w:r>
      <w:r>
        <w:rPr/>
        <w:t>2006:s/p)</w:t>
      </w:r>
    </w:p>
    <w:p>
      <w:pPr>
        <w:pStyle w:val="BodyText"/>
        <w:spacing w:line="249" w:lineRule="auto" w:before="109"/>
        <w:ind w:left="131" w:right="129" w:firstLine="170"/>
        <w:jc w:val="both"/>
      </w:pPr>
      <w:r>
        <w:rPr/>
        <w:br w:type="column"/>
      </w:r>
      <w:r>
        <w:rPr/>
        <w:t>Por</w:t>
      </w:r>
      <w:r>
        <w:rPr>
          <w:spacing w:val="-4"/>
        </w:rPr>
        <w:t> </w:t>
      </w:r>
      <w:r>
        <w:rPr/>
        <w:t>tanto</w:t>
      </w:r>
      <w:r>
        <w:rPr>
          <w:spacing w:val="-4"/>
        </w:rPr>
        <w:t> </w:t>
      </w:r>
      <w:r>
        <w:rPr/>
        <w:t>el</w:t>
      </w:r>
      <w:r>
        <w:rPr>
          <w:spacing w:val="-4"/>
        </w:rPr>
        <w:t> </w:t>
      </w:r>
      <w:r>
        <w:rPr/>
        <w:t>objetivo</w:t>
      </w:r>
      <w:r>
        <w:rPr>
          <w:spacing w:val="-4"/>
        </w:rPr>
        <w:t> </w:t>
      </w:r>
      <w:r>
        <w:rPr/>
        <w:t>general</w:t>
      </w:r>
      <w:r>
        <w:rPr>
          <w:spacing w:val="-4"/>
        </w:rPr>
        <w:t> </w:t>
      </w:r>
      <w:r>
        <w:rPr/>
        <w:t>de</w:t>
      </w:r>
      <w:r>
        <w:rPr>
          <w:spacing w:val="-4"/>
        </w:rPr>
        <w:t> </w:t>
      </w:r>
      <w:r>
        <w:rPr/>
        <w:t>este</w:t>
      </w:r>
      <w:r>
        <w:rPr>
          <w:spacing w:val="-4"/>
        </w:rPr>
        <w:t> </w:t>
      </w:r>
      <w:r>
        <w:rPr/>
        <w:t>trabajo</w:t>
      </w:r>
      <w:r>
        <w:rPr>
          <w:spacing w:val="-4"/>
        </w:rPr>
        <w:t> </w:t>
      </w:r>
      <w:r>
        <w:rPr/>
        <w:t>es</w:t>
      </w:r>
      <w:r>
        <w:rPr>
          <w:spacing w:val="-4"/>
        </w:rPr>
        <w:t> </w:t>
      </w:r>
      <w:r>
        <w:rPr/>
        <w:t>definir</w:t>
      </w:r>
      <w:r>
        <w:rPr>
          <w:spacing w:val="-4"/>
        </w:rPr>
        <w:t> </w:t>
      </w:r>
      <w:r>
        <w:rPr/>
        <w:t>las</w:t>
      </w:r>
      <w:r>
        <w:rPr>
          <w:spacing w:val="-4"/>
        </w:rPr>
        <w:t> </w:t>
      </w:r>
      <w:r>
        <w:rPr/>
        <w:t>áreas</w:t>
      </w:r>
      <w:r>
        <w:rPr>
          <w:spacing w:val="-4"/>
        </w:rPr>
        <w:t> </w:t>
      </w:r>
      <w:r>
        <w:rPr/>
        <w:t>de</w:t>
      </w:r>
      <w:r>
        <w:rPr>
          <w:spacing w:val="-4"/>
        </w:rPr>
        <w:t> </w:t>
      </w:r>
      <w:r>
        <w:rPr/>
        <w:t>atención</w:t>
      </w:r>
      <w:r>
        <w:rPr>
          <w:spacing w:val="-4"/>
        </w:rPr>
        <w:t> </w:t>
      </w:r>
      <w:r>
        <w:rPr/>
        <w:t>prioritaria y estrategias para las ANP en el municipio de Toluca para promover su desarrollo sustentable, derivado del análisis de Fortalezas, Oportunidades, Debilidades y </w:t>
      </w:r>
      <w:r>
        <w:rPr>
          <w:w w:val="95"/>
        </w:rPr>
        <w:t>Amenazas</w:t>
      </w:r>
      <w:r>
        <w:rPr>
          <w:spacing w:val="23"/>
          <w:w w:val="95"/>
        </w:rPr>
        <w:t> </w:t>
      </w:r>
      <w:r>
        <w:rPr>
          <w:w w:val="95"/>
        </w:rPr>
        <w:t>(FODA).</w:t>
      </w:r>
    </w:p>
    <w:p>
      <w:pPr>
        <w:pStyle w:val="BodyText"/>
        <w:spacing w:before="11"/>
      </w:pPr>
    </w:p>
    <w:p>
      <w:pPr>
        <w:pStyle w:val="BodyText"/>
        <w:spacing w:line="249" w:lineRule="auto"/>
        <w:ind w:left="131" w:right="129" w:firstLine="170"/>
        <w:jc w:val="both"/>
      </w:pPr>
      <w:r>
        <w:rPr/>
        <w:t>Tomando como base la siguiente pregunta de investigación: ¿cómo lograr que las ANP promuevan la sustentabilidad en el municipio de Toluca? en congruencia con las políticas de desarrollo urbano.</w:t>
      </w:r>
    </w:p>
    <w:p>
      <w:pPr>
        <w:pStyle w:val="BodyText"/>
        <w:spacing w:before="11"/>
      </w:pPr>
    </w:p>
    <w:p>
      <w:pPr>
        <w:pStyle w:val="BodyText"/>
        <w:spacing w:line="249" w:lineRule="auto"/>
        <w:ind w:left="131" w:right="129" w:firstLine="170"/>
        <w:jc w:val="both"/>
      </w:pPr>
      <w:r>
        <w:rPr/>
        <w:t>Para</w:t>
      </w:r>
      <w:r>
        <w:rPr>
          <w:spacing w:val="-10"/>
        </w:rPr>
        <w:t> </w:t>
      </w:r>
      <w:r>
        <w:rPr/>
        <w:t>dar</w:t>
      </w:r>
      <w:r>
        <w:rPr>
          <w:spacing w:val="-10"/>
        </w:rPr>
        <w:t> </w:t>
      </w:r>
      <w:r>
        <w:rPr/>
        <w:t>respuesta</w:t>
      </w:r>
      <w:r>
        <w:rPr>
          <w:spacing w:val="-10"/>
        </w:rPr>
        <w:t> </w:t>
      </w:r>
      <w:r>
        <w:rPr/>
        <w:t>a</w:t>
      </w:r>
      <w:r>
        <w:rPr>
          <w:spacing w:val="-10"/>
        </w:rPr>
        <w:t> </w:t>
      </w:r>
      <w:r>
        <w:rPr/>
        <w:t>esta</w:t>
      </w:r>
      <w:r>
        <w:rPr>
          <w:spacing w:val="-10"/>
        </w:rPr>
        <w:t> </w:t>
      </w:r>
      <w:r>
        <w:rPr/>
        <w:t>pregunta</w:t>
      </w:r>
      <w:r>
        <w:rPr>
          <w:spacing w:val="-10"/>
        </w:rPr>
        <w:t> </w:t>
      </w:r>
      <w:r>
        <w:rPr/>
        <w:t>se</w:t>
      </w:r>
      <w:r>
        <w:rPr>
          <w:spacing w:val="-10"/>
        </w:rPr>
        <w:t> </w:t>
      </w:r>
      <w:r>
        <w:rPr/>
        <w:t>realizó</w:t>
      </w:r>
      <w:r>
        <w:rPr>
          <w:spacing w:val="-10"/>
        </w:rPr>
        <w:t> </w:t>
      </w:r>
      <w:r>
        <w:rPr/>
        <w:t>una</w:t>
      </w:r>
      <w:r>
        <w:rPr>
          <w:spacing w:val="-10"/>
        </w:rPr>
        <w:t> </w:t>
      </w:r>
      <w:r>
        <w:rPr/>
        <w:t>revisión</w:t>
      </w:r>
      <w:r>
        <w:rPr>
          <w:spacing w:val="-10"/>
        </w:rPr>
        <w:t> </w:t>
      </w:r>
      <w:r>
        <w:rPr/>
        <w:t>de</w:t>
      </w:r>
      <w:r>
        <w:rPr>
          <w:spacing w:val="-10"/>
        </w:rPr>
        <w:t> </w:t>
      </w:r>
      <w:r>
        <w:rPr/>
        <w:t>artículos</w:t>
      </w:r>
      <w:r>
        <w:rPr>
          <w:spacing w:val="-10"/>
        </w:rPr>
        <w:t> </w:t>
      </w:r>
      <w:r>
        <w:rPr/>
        <w:t>especializados así como del Plan de Desarrollo Municipal vigente, con dicha información se integró un análisis FODA y se definieron tres áreas de atención</w:t>
      </w:r>
      <w:r>
        <w:rPr>
          <w:spacing w:val="-7"/>
        </w:rPr>
        <w:t> </w:t>
      </w:r>
      <w:r>
        <w:rPr/>
        <w:t>prioritaria.</w:t>
      </w:r>
    </w:p>
    <w:p>
      <w:pPr>
        <w:pStyle w:val="BodyText"/>
        <w:spacing w:before="11"/>
      </w:pPr>
    </w:p>
    <w:p>
      <w:pPr>
        <w:pStyle w:val="BodyText"/>
        <w:spacing w:line="249" w:lineRule="auto"/>
        <w:ind w:left="131" w:right="129" w:firstLine="170"/>
        <w:jc w:val="both"/>
      </w:pPr>
      <w:r>
        <w:rPr/>
        <w:t>Finalmente se presentan las estrategias a seguir para promover un modelo de desarrollo sustentable en el municipio de Toluca para los próximos años, las cuales deberán incorporarse en los documentos normativos de planeación territorial y en los instrumentos de política ambiental.</w:t>
      </w:r>
    </w:p>
    <w:p>
      <w:pPr>
        <w:pStyle w:val="BodyText"/>
        <w:spacing w:before="8"/>
        <w:rPr>
          <w:sz w:val="17"/>
        </w:rPr>
      </w:pPr>
    </w:p>
    <w:p>
      <w:pPr>
        <w:pStyle w:val="Heading1"/>
        <w:ind w:left="301"/>
      </w:pPr>
      <w:r>
        <w:rPr/>
        <w:t>Antecedentes</w:t>
      </w:r>
    </w:p>
    <w:p>
      <w:pPr>
        <w:pStyle w:val="BodyText"/>
        <w:rPr>
          <w:b/>
          <w:sz w:val="21"/>
        </w:rPr>
      </w:pPr>
    </w:p>
    <w:p>
      <w:pPr>
        <w:pStyle w:val="BodyText"/>
        <w:spacing w:line="249" w:lineRule="auto"/>
        <w:ind w:left="131" w:right="129" w:firstLine="170"/>
        <w:jc w:val="both"/>
      </w:pPr>
      <w:r>
        <w:rPr/>
        <w:t>Nos encontramos viviendo en un mundo urbano, cada vez más la población a     nivel mundial se localiza en ciudades. Las ciudades son ahora los espacios donde     se concentran actividades económicas, infraestructuras, servicios especializados, tecnologías de la información y la comunicación, vialidades y </w:t>
      </w:r>
      <w:r>
        <w:rPr>
          <w:spacing w:val="15"/>
        </w:rPr>
        <w:t> </w:t>
      </w:r>
      <w:r>
        <w:rPr/>
        <w:t>equipamientos.</w:t>
      </w:r>
    </w:p>
    <w:p>
      <w:pPr>
        <w:pStyle w:val="BodyText"/>
        <w:spacing w:before="11"/>
      </w:pPr>
    </w:p>
    <w:p>
      <w:pPr>
        <w:pStyle w:val="BodyText"/>
        <w:spacing w:line="249" w:lineRule="auto"/>
        <w:ind w:left="131" w:right="130" w:firstLine="170"/>
        <w:jc w:val="both"/>
      </w:pPr>
      <w:r>
        <w:rPr/>
        <w:t>“Actualmente, el mundo se enfrenta a un fenómeno nuevo: desde 2008, por primera vez en la historia de la humanidad, más de la mitad de la población vive en ciudades… Para 2030, los asentamientos urbanos del mundo en desarrollo representarán 80% de la población urbana mundial…” (Garrocho, 2013:27)</w:t>
      </w:r>
    </w:p>
    <w:p>
      <w:pPr>
        <w:pStyle w:val="BodyText"/>
        <w:spacing w:before="11"/>
      </w:pPr>
    </w:p>
    <w:p>
      <w:pPr>
        <w:pStyle w:val="BodyText"/>
        <w:spacing w:line="249" w:lineRule="auto"/>
        <w:ind w:left="131" w:right="129" w:firstLine="170"/>
        <w:jc w:val="both"/>
      </w:pPr>
      <w:r>
        <w:rPr/>
        <w:t>Ello implica un reto ya que así como las ciudades ofertan una serie de satisfactores que inciden en el mejoramiento de la calidad de vida de sus habitantes, también están generando una serie de problemas en su entorno.</w:t>
      </w:r>
    </w:p>
    <w:p>
      <w:pPr>
        <w:pStyle w:val="BodyText"/>
        <w:spacing w:before="11"/>
      </w:pPr>
    </w:p>
    <w:p>
      <w:pPr>
        <w:pStyle w:val="BodyText"/>
        <w:spacing w:line="249" w:lineRule="auto"/>
        <w:ind w:left="131" w:right="129" w:firstLine="170"/>
        <w:jc w:val="both"/>
      </w:pPr>
      <w:r>
        <w:rPr/>
        <w:t>“Las áreas urbanas van apareciendo como las responsables de los problemas medioambientales que amenazan la tierra. Hoy día las ciudades contribuyen a la contaminación global (una proporción superior al 75%) y utilizan más del 70% de la energía consumida por la humanidad” (López, 2004: 11)</w:t>
      </w:r>
    </w:p>
    <w:p>
      <w:pPr>
        <w:pStyle w:val="BodyText"/>
        <w:spacing w:before="11"/>
      </w:pPr>
    </w:p>
    <w:p>
      <w:pPr>
        <w:pStyle w:val="BodyText"/>
        <w:spacing w:line="249" w:lineRule="auto"/>
        <w:ind w:left="131" w:right="129" w:firstLine="170"/>
        <w:jc w:val="both"/>
      </w:pPr>
      <w:r>
        <w:rPr/>
        <w:t>Además de desechar aguas residuales, generar residuos sólidos, ocupan la mayor parte de suelo con vocación agrícola, las áreas verdes son deficientes en relación  con</w:t>
      </w:r>
    </w:p>
    <w:p>
      <w:pPr>
        <w:spacing w:after="0" w:line="249" w:lineRule="auto"/>
        <w:jc w:val="both"/>
        <w:sectPr>
          <w:type w:val="continuous"/>
          <w:pgSz w:w="18830" w:h="12760" w:orient="landscape"/>
          <w:pgMar w:top="1420" w:bottom="280" w:left="720" w:right="720"/>
          <w:cols w:num="2" w:equalWidth="0">
            <w:col w:w="7843" w:space="1566"/>
            <w:col w:w="7981"/>
          </w:cols>
        </w:sectPr>
      </w:pPr>
    </w:p>
    <w:p>
      <w:pPr>
        <w:pStyle w:val="BodyText"/>
        <w:spacing w:before="6"/>
        <w:rPr>
          <w:sz w:val="23"/>
        </w:rPr>
      </w:pPr>
    </w:p>
    <w:p>
      <w:pPr>
        <w:spacing w:after="0"/>
        <w:rPr>
          <w:sz w:val="23"/>
        </w:rPr>
        <w:sectPr>
          <w:footerReference w:type="default" r:id="rId317"/>
          <w:pgSz w:w="18830" w:h="12760" w:orient="landscape"/>
          <w:pgMar w:footer="1036" w:header="522" w:top="820" w:bottom="1220" w:left="720" w:right="720"/>
        </w:sectPr>
      </w:pPr>
    </w:p>
    <w:p>
      <w:pPr>
        <w:pStyle w:val="BodyText"/>
        <w:spacing w:line="249" w:lineRule="auto" w:before="76"/>
        <w:ind w:left="131"/>
        <w:jc w:val="both"/>
      </w:pPr>
      <w:r>
        <w:rPr/>
        <w:t>el promedio per cápita recomendado por la Organización Mundial de la Salud que oscila entre los 9 y 11m</w:t>
      </w:r>
      <w:r>
        <w:rPr>
          <w:position w:val="7"/>
          <w:sz w:val="11"/>
        </w:rPr>
        <w:t>2</w:t>
      </w:r>
      <w:r>
        <w:rPr/>
        <w:t>, existe contaminación del aire, existe pérdida de especies entre otros.</w:t>
      </w:r>
    </w:p>
    <w:p>
      <w:pPr>
        <w:pStyle w:val="BodyText"/>
        <w:spacing w:before="11"/>
      </w:pPr>
    </w:p>
    <w:p>
      <w:pPr>
        <w:pStyle w:val="BodyText"/>
        <w:spacing w:line="249" w:lineRule="auto"/>
        <w:ind w:left="131" w:firstLine="170"/>
        <w:jc w:val="both"/>
      </w:pPr>
      <w:r>
        <w:rPr/>
        <w:t>“Particularmente</w:t>
      </w:r>
      <w:r>
        <w:rPr>
          <w:spacing w:val="-7"/>
        </w:rPr>
        <w:t> </w:t>
      </w:r>
      <w:r>
        <w:rPr/>
        <w:t>en</w:t>
      </w:r>
      <w:r>
        <w:rPr>
          <w:spacing w:val="-7"/>
        </w:rPr>
        <w:t> </w:t>
      </w:r>
      <w:r>
        <w:rPr/>
        <w:t>América</w:t>
      </w:r>
      <w:r>
        <w:rPr>
          <w:spacing w:val="-7"/>
        </w:rPr>
        <w:t> </w:t>
      </w:r>
      <w:r>
        <w:rPr/>
        <w:t>Latina,</w:t>
      </w:r>
      <w:r>
        <w:rPr>
          <w:spacing w:val="-7"/>
        </w:rPr>
        <w:t> </w:t>
      </w:r>
      <w:r>
        <w:rPr/>
        <w:t>las</w:t>
      </w:r>
      <w:r>
        <w:rPr>
          <w:spacing w:val="-7"/>
        </w:rPr>
        <w:t> </w:t>
      </w:r>
      <w:r>
        <w:rPr/>
        <w:t>ciudades</w:t>
      </w:r>
      <w:r>
        <w:rPr>
          <w:spacing w:val="-7"/>
        </w:rPr>
        <w:t> </w:t>
      </w:r>
      <w:r>
        <w:rPr/>
        <w:t>muestran</w:t>
      </w:r>
      <w:r>
        <w:rPr>
          <w:spacing w:val="-7"/>
        </w:rPr>
        <w:t> </w:t>
      </w:r>
      <w:r>
        <w:rPr/>
        <w:t>enormes</w:t>
      </w:r>
      <w:r>
        <w:rPr>
          <w:spacing w:val="-7"/>
        </w:rPr>
        <w:t> </w:t>
      </w:r>
      <w:r>
        <w:rPr/>
        <w:t>contradicciones, abismales desigualdades, graves carencias y dificultades políticas y  sociales…Se trata de urbes que han acumulado durante muchas décadas demandas insatisfechas, rezagos no atendidos…son lugares marcados por la segregación, los contrastes…y el deterioro ambiental”. (Cabrero,</w:t>
      </w:r>
      <w:r>
        <w:rPr>
          <w:spacing w:val="13"/>
        </w:rPr>
        <w:t> </w:t>
      </w:r>
      <w:r>
        <w:rPr/>
        <w:t>2011:11)</w:t>
      </w:r>
    </w:p>
    <w:p>
      <w:pPr>
        <w:pStyle w:val="BodyText"/>
        <w:spacing w:before="11"/>
      </w:pPr>
    </w:p>
    <w:p>
      <w:pPr>
        <w:pStyle w:val="BodyText"/>
        <w:spacing w:line="249" w:lineRule="auto"/>
        <w:ind w:left="131" w:firstLine="170"/>
        <w:jc w:val="both"/>
      </w:pPr>
      <w:r>
        <w:rPr/>
        <w:t>México no ha sido ajeno a este proceso que se experimenta a nivel mundial y Latinoamericano, estamos haciendo un uso intensivo de los recursos naturales y también del suelo.</w:t>
      </w:r>
    </w:p>
    <w:p>
      <w:pPr>
        <w:pStyle w:val="BodyText"/>
        <w:spacing w:before="11"/>
      </w:pPr>
    </w:p>
    <w:p>
      <w:pPr>
        <w:pStyle w:val="BodyText"/>
        <w:spacing w:line="249" w:lineRule="auto"/>
        <w:ind w:left="131" w:firstLine="170"/>
        <w:jc w:val="both"/>
      </w:pPr>
      <w:r>
        <w:rPr/>
        <w:t>“En los albores del siglo XXI, la mayoría de la población mexicana vive en grandes ciudades.</w:t>
      </w:r>
      <w:r>
        <w:rPr>
          <w:spacing w:val="-15"/>
        </w:rPr>
        <w:t> </w:t>
      </w:r>
      <w:r>
        <w:rPr/>
        <w:t>En</w:t>
      </w:r>
      <w:r>
        <w:rPr>
          <w:spacing w:val="-15"/>
        </w:rPr>
        <w:t> </w:t>
      </w:r>
      <w:r>
        <w:rPr/>
        <w:t>1990</w:t>
      </w:r>
      <w:r>
        <w:rPr>
          <w:spacing w:val="-15"/>
        </w:rPr>
        <w:t> </w:t>
      </w:r>
      <w:r>
        <w:rPr/>
        <w:t>sólo</w:t>
      </w:r>
      <w:r>
        <w:rPr>
          <w:spacing w:val="-15"/>
        </w:rPr>
        <w:t> </w:t>
      </w:r>
      <w:r>
        <w:rPr/>
        <w:t>uno</w:t>
      </w:r>
      <w:r>
        <w:rPr>
          <w:spacing w:val="-15"/>
        </w:rPr>
        <w:t> </w:t>
      </w:r>
      <w:r>
        <w:rPr/>
        <w:t>de</w:t>
      </w:r>
      <w:r>
        <w:rPr>
          <w:spacing w:val="-15"/>
        </w:rPr>
        <w:t> </w:t>
      </w:r>
      <w:r>
        <w:rPr/>
        <w:t>cada</w:t>
      </w:r>
      <w:r>
        <w:rPr>
          <w:spacing w:val="-15"/>
        </w:rPr>
        <w:t> </w:t>
      </w:r>
      <w:r>
        <w:rPr/>
        <w:t>cuatro</w:t>
      </w:r>
      <w:r>
        <w:rPr>
          <w:spacing w:val="-15"/>
        </w:rPr>
        <w:t> </w:t>
      </w:r>
      <w:r>
        <w:rPr/>
        <w:t>habitantes</w:t>
      </w:r>
      <w:r>
        <w:rPr>
          <w:spacing w:val="-15"/>
        </w:rPr>
        <w:t> </w:t>
      </w:r>
      <w:r>
        <w:rPr/>
        <w:t>vivía</w:t>
      </w:r>
      <w:r>
        <w:rPr>
          <w:spacing w:val="-15"/>
        </w:rPr>
        <w:t> </w:t>
      </w:r>
      <w:r>
        <w:rPr/>
        <w:t>en</w:t>
      </w:r>
      <w:r>
        <w:rPr>
          <w:spacing w:val="-15"/>
        </w:rPr>
        <w:t> </w:t>
      </w:r>
      <w:r>
        <w:rPr/>
        <w:t>centros</w:t>
      </w:r>
      <w:r>
        <w:rPr>
          <w:spacing w:val="-15"/>
        </w:rPr>
        <w:t> </w:t>
      </w:r>
      <w:r>
        <w:rPr/>
        <w:t>urbanos</w:t>
      </w:r>
      <w:r>
        <w:rPr>
          <w:spacing w:val="-15"/>
        </w:rPr>
        <w:t> </w:t>
      </w:r>
      <w:r>
        <w:rPr/>
        <w:t>mayores a los dos mil habitantes. Ahora la proporción es de tres a cuatro”. (op.cit: </w:t>
      </w:r>
      <w:r>
        <w:rPr>
          <w:spacing w:val="23"/>
        </w:rPr>
        <w:t> </w:t>
      </w:r>
      <w:r>
        <w:rPr/>
        <w:t>52).</w:t>
      </w:r>
    </w:p>
    <w:p>
      <w:pPr>
        <w:pStyle w:val="BodyText"/>
        <w:spacing w:before="11"/>
      </w:pPr>
    </w:p>
    <w:p>
      <w:pPr>
        <w:pStyle w:val="BodyText"/>
        <w:spacing w:line="249" w:lineRule="auto"/>
        <w:ind w:left="131" w:firstLine="170"/>
        <w:jc w:val="both"/>
      </w:pPr>
      <w:r>
        <w:rPr/>
        <w:t>Debido</w:t>
      </w:r>
      <w:r>
        <w:rPr>
          <w:spacing w:val="-10"/>
        </w:rPr>
        <w:t> </w:t>
      </w:r>
      <w:r>
        <w:rPr/>
        <w:t>a</w:t>
      </w:r>
      <w:r>
        <w:rPr>
          <w:spacing w:val="-10"/>
        </w:rPr>
        <w:t> </w:t>
      </w:r>
      <w:r>
        <w:rPr/>
        <w:t>su</w:t>
      </w:r>
      <w:r>
        <w:rPr>
          <w:spacing w:val="-10"/>
        </w:rPr>
        <w:t> </w:t>
      </w:r>
      <w:r>
        <w:rPr/>
        <w:t>cercanía</w:t>
      </w:r>
      <w:r>
        <w:rPr>
          <w:spacing w:val="-10"/>
        </w:rPr>
        <w:t> </w:t>
      </w:r>
      <w:r>
        <w:rPr/>
        <w:t>con</w:t>
      </w:r>
      <w:r>
        <w:rPr>
          <w:spacing w:val="-10"/>
        </w:rPr>
        <w:t> </w:t>
      </w:r>
      <w:r>
        <w:rPr/>
        <w:t>la</w:t>
      </w:r>
      <w:r>
        <w:rPr>
          <w:spacing w:val="-10"/>
        </w:rPr>
        <w:t> </w:t>
      </w:r>
      <w:r>
        <w:rPr/>
        <w:t>capital</w:t>
      </w:r>
      <w:r>
        <w:rPr>
          <w:spacing w:val="-10"/>
        </w:rPr>
        <w:t> </w:t>
      </w:r>
      <w:r>
        <w:rPr/>
        <w:t>de</w:t>
      </w:r>
      <w:r>
        <w:rPr>
          <w:spacing w:val="-10"/>
        </w:rPr>
        <w:t> </w:t>
      </w:r>
      <w:r>
        <w:rPr/>
        <w:t>país,</w:t>
      </w:r>
      <w:r>
        <w:rPr>
          <w:spacing w:val="-10"/>
        </w:rPr>
        <w:t> </w:t>
      </w:r>
      <w:r>
        <w:rPr/>
        <w:t>el</w:t>
      </w:r>
      <w:r>
        <w:rPr>
          <w:spacing w:val="-10"/>
        </w:rPr>
        <w:t> </w:t>
      </w:r>
      <w:r>
        <w:rPr/>
        <w:t>Estado</w:t>
      </w:r>
      <w:r>
        <w:rPr>
          <w:spacing w:val="-10"/>
        </w:rPr>
        <w:t> </w:t>
      </w:r>
      <w:r>
        <w:rPr/>
        <w:t>de</w:t>
      </w:r>
      <w:r>
        <w:rPr>
          <w:spacing w:val="-10"/>
        </w:rPr>
        <w:t> </w:t>
      </w:r>
      <w:r>
        <w:rPr/>
        <w:t>México</w:t>
      </w:r>
      <w:r>
        <w:rPr>
          <w:spacing w:val="-10"/>
        </w:rPr>
        <w:t> </w:t>
      </w:r>
      <w:r>
        <w:rPr/>
        <w:t>también</w:t>
      </w:r>
      <w:r>
        <w:rPr>
          <w:spacing w:val="-10"/>
        </w:rPr>
        <w:t> </w:t>
      </w:r>
      <w:r>
        <w:rPr/>
        <w:t>experimentó los efectos del proceso de industrialización a nivel Nacional al constituirse en la opción más funcional para ubicar tanto fuentes de empleo como vivienda, principalmente en  la Zona Oriente (municipios colindantes al Distrito Federal) y zona centro (aledaños a Toluca, la ciudad</w:t>
      </w:r>
      <w:r>
        <w:rPr>
          <w:spacing w:val="13"/>
        </w:rPr>
        <w:t> </w:t>
      </w:r>
      <w:r>
        <w:rPr/>
        <w:t>capital).</w:t>
      </w:r>
    </w:p>
    <w:p>
      <w:pPr>
        <w:pStyle w:val="BodyText"/>
        <w:spacing w:before="11"/>
      </w:pPr>
    </w:p>
    <w:p>
      <w:pPr>
        <w:pStyle w:val="BodyText"/>
        <w:spacing w:line="249" w:lineRule="auto"/>
        <w:ind w:left="131" w:firstLine="170"/>
        <w:jc w:val="both"/>
      </w:pPr>
      <w:r>
        <w:rPr/>
        <w:t>“El patrón de ocupación territorial de concentración-polarización comandado por      la ciudad de Toluca, sigue vigente como una condición estructural de su hegemonía demográfica, económica y urbana...El aumento de la población absoluta, la presión demográfica sobre la tierra y los precios del suelo en las localidades urbanas importantes, son los factores que en localidades de menor jerarquía están induciendo la conformación de un nuevo patrón de ocupación territorial disperso y policéntrico”. (Orozco, 2006:</w:t>
      </w:r>
      <w:r>
        <w:rPr>
          <w:spacing w:val="-5"/>
        </w:rPr>
        <w:t> </w:t>
      </w:r>
      <w:r>
        <w:rPr/>
        <w:t>s/p)</w:t>
      </w:r>
    </w:p>
    <w:p>
      <w:pPr>
        <w:pStyle w:val="BodyText"/>
        <w:spacing w:before="11"/>
      </w:pPr>
    </w:p>
    <w:p>
      <w:pPr>
        <w:pStyle w:val="BodyText"/>
        <w:spacing w:line="249" w:lineRule="auto"/>
        <w:ind w:left="131" w:firstLine="170"/>
        <w:jc w:val="both"/>
      </w:pPr>
      <w:r>
        <w:rPr/>
        <w:t>Por tanto se enfatiza la realización de una crítica al modelo de crecimiento urbano  de la ciudad de Toluca capital del Estado de México y cabecera de la segunda       Zona Metropolitana en importancia dentro del Estado, destacar la importancia que representan las ANP como parte de esta estrategia de conservación del hábitat de las especies, de superficies que permiten la recarga de manto freáticos subterráneos y como superficies que permiten mitigar los impactos generados por la contaminación y sobreexplotación de recursos naturales. Aunado a ello, la instrumentación de políticas de conservación de la ANP, permiten la generación de un modelo de desarrollo sustentable en las</w:t>
      </w:r>
      <w:r>
        <w:rPr>
          <w:spacing w:val="17"/>
        </w:rPr>
        <w:t> </w:t>
      </w:r>
      <w:r>
        <w:rPr/>
        <w:t>ciudades.</w:t>
      </w:r>
    </w:p>
    <w:p>
      <w:pPr>
        <w:pStyle w:val="BodyText"/>
        <w:spacing w:line="249" w:lineRule="auto" w:before="76"/>
        <w:ind w:left="131" w:right="129" w:firstLine="170"/>
        <w:jc w:val="both"/>
      </w:pPr>
      <w:r>
        <w:rPr/>
        <w:br w:type="column"/>
      </w:r>
      <w:r>
        <w:rPr/>
        <w:t>“El crecimiento económico y la concentración de población de la ciudad de Toluca es resultado, en gran medida, de un proceso de cambio en las estructuras sociales ligado a la dinámica económica interna acelerada y a la interrelación funcional muy estrecha con la capital del país”. (Baca, 2015: 291)</w:t>
      </w:r>
    </w:p>
    <w:p>
      <w:pPr>
        <w:pStyle w:val="BodyText"/>
        <w:spacing w:before="11"/>
      </w:pPr>
    </w:p>
    <w:p>
      <w:pPr>
        <w:pStyle w:val="BodyText"/>
        <w:spacing w:line="249" w:lineRule="auto"/>
        <w:ind w:left="131" w:right="130" w:firstLine="170"/>
        <w:jc w:val="both"/>
      </w:pPr>
      <w:r>
        <w:rPr/>
        <w:t>Por tanto, su cercanía con el Distrito Federal, las oportunidades de educación y empleo, son algunos de los factores que han propiciado el crecimiento urbano en la ciudad de Toluca, en detrimento del</w:t>
      </w:r>
      <w:r>
        <w:rPr>
          <w:spacing w:val="50"/>
        </w:rPr>
        <w:t> </w:t>
      </w:r>
      <w:r>
        <w:rPr/>
        <w:t>ambiente.</w:t>
      </w:r>
    </w:p>
    <w:p>
      <w:pPr>
        <w:pStyle w:val="BodyText"/>
        <w:spacing w:before="11"/>
      </w:pPr>
    </w:p>
    <w:p>
      <w:pPr>
        <w:pStyle w:val="BodyText"/>
        <w:spacing w:line="249" w:lineRule="auto"/>
        <w:ind w:left="131" w:right="129" w:firstLine="170"/>
        <w:jc w:val="both"/>
      </w:pPr>
      <w:r>
        <w:rPr/>
        <w:t>“Los</w:t>
      </w:r>
      <w:r>
        <w:rPr>
          <w:spacing w:val="-9"/>
        </w:rPr>
        <w:t> </w:t>
      </w:r>
      <w:r>
        <w:rPr/>
        <w:t>procesos</w:t>
      </w:r>
      <w:r>
        <w:rPr>
          <w:spacing w:val="-9"/>
        </w:rPr>
        <w:t> </w:t>
      </w:r>
      <w:r>
        <w:rPr/>
        <w:t>urbanos</w:t>
      </w:r>
      <w:r>
        <w:rPr>
          <w:spacing w:val="-9"/>
        </w:rPr>
        <w:t> </w:t>
      </w:r>
      <w:r>
        <w:rPr/>
        <w:t>se</w:t>
      </w:r>
      <w:r>
        <w:rPr>
          <w:spacing w:val="-9"/>
        </w:rPr>
        <w:t> </w:t>
      </w:r>
      <w:r>
        <w:rPr/>
        <w:t>alimentan</w:t>
      </w:r>
      <w:r>
        <w:rPr>
          <w:spacing w:val="-9"/>
        </w:rPr>
        <w:t> </w:t>
      </w:r>
      <w:r>
        <w:rPr/>
        <w:t>de</w:t>
      </w:r>
      <w:r>
        <w:rPr>
          <w:spacing w:val="-9"/>
        </w:rPr>
        <w:t> </w:t>
      </w:r>
      <w:r>
        <w:rPr/>
        <w:t>la</w:t>
      </w:r>
      <w:r>
        <w:rPr>
          <w:spacing w:val="-9"/>
        </w:rPr>
        <w:t> </w:t>
      </w:r>
      <w:r>
        <w:rPr/>
        <w:t>sobreexplotación</w:t>
      </w:r>
      <w:r>
        <w:rPr>
          <w:spacing w:val="-9"/>
        </w:rPr>
        <w:t> </w:t>
      </w:r>
      <w:r>
        <w:rPr/>
        <w:t>de</w:t>
      </w:r>
      <w:r>
        <w:rPr>
          <w:spacing w:val="-9"/>
        </w:rPr>
        <w:t> </w:t>
      </w:r>
      <w:r>
        <w:rPr/>
        <w:t>los</w:t>
      </w:r>
      <w:r>
        <w:rPr>
          <w:spacing w:val="-9"/>
        </w:rPr>
        <w:t> </w:t>
      </w:r>
      <w:r>
        <w:rPr/>
        <w:t>recursos</w:t>
      </w:r>
      <w:r>
        <w:rPr>
          <w:spacing w:val="-9"/>
        </w:rPr>
        <w:t> </w:t>
      </w:r>
      <w:r>
        <w:rPr/>
        <w:t>naturales, la destrucción del entorno ecológico, el agotamiento de los mantos freáticos, la saturación</w:t>
      </w:r>
      <w:r>
        <w:rPr>
          <w:spacing w:val="-12"/>
        </w:rPr>
        <w:t> </w:t>
      </w:r>
      <w:r>
        <w:rPr/>
        <w:t>del</w:t>
      </w:r>
      <w:r>
        <w:rPr>
          <w:spacing w:val="-12"/>
        </w:rPr>
        <w:t> </w:t>
      </w:r>
      <w:r>
        <w:rPr/>
        <w:t>aire</w:t>
      </w:r>
      <w:r>
        <w:rPr>
          <w:spacing w:val="-12"/>
        </w:rPr>
        <w:t> </w:t>
      </w:r>
      <w:r>
        <w:rPr/>
        <w:t>y</w:t>
      </w:r>
      <w:r>
        <w:rPr>
          <w:spacing w:val="-12"/>
        </w:rPr>
        <w:t> </w:t>
      </w:r>
      <w:r>
        <w:rPr/>
        <w:t>la</w:t>
      </w:r>
      <w:r>
        <w:rPr>
          <w:spacing w:val="-12"/>
        </w:rPr>
        <w:t> </w:t>
      </w:r>
      <w:r>
        <w:rPr/>
        <w:t>acumulación</w:t>
      </w:r>
      <w:r>
        <w:rPr>
          <w:spacing w:val="-12"/>
        </w:rPr>
        <w:t> </w:t>
      </w:r>
      <w:r>
        <w:rPr/>
        <w:t>de</w:t>
      </w:r>
      <w:r>
        <w:rPr>
          <w:spacing w:val="-12"/>
        </w:rPr>
        <w:t> </w:t>
      </w:r>
      <w:r>
        <w:rPr/>
        <w:t>basura,</w:t>
      </w:r>
      <w:r>
        <w:rPr>
          <w:spacing w:val="-12"/>
        </w:rPr>
        <w:t> </w:t>
      </w:r>
      <w:r>
        <w:rPr/>
        <w:t>por</w:t>
      </w:r>
      <w:r>
        <w:rPr>
          <w:spacing w:val="-12"/>
        </w:rPr>
        <w:t> </w:t>
      </w:r>
      <w:r>
        <w:rPr/>
        <w:t>mencionar</w:t>
      </w:r>
      <w:r>
        <w:rPr>
          <w:spacing w:val="-12"/>
        </w:rPr>
        <w:t> </w:t>
      </w:r>
      <w:r>
        <w:rPr/>
        <w:t>algunos</w:t>
      </w:r>
      <w:r>
        <w:rPr>
          <w:spacing w:val="-12"/>
        </w:rPr>
        <w:t> </w:t>
      </w:r>
      <w:r>
        <w:rPr/>
        <w:t>de</w:t>
      </w:r>
      <w:r>
        <w:rPr>
          <w:spacing w:val="-12"/>
        </w:rPr>
        <w:t> </w:t>
      </w:r>
      <w:r>
        <w:rPr/>
        <w:t>los</w:t>
      </w:r>
      <w:r>
        <w:rPr>
          <w:spacing w:val="-12"/>
        </w:rPr>
        <w:t> </w:t>
      </w:r>
      <w:r>
        <w:rPr/>
        <w:t>problemas ambientales de las áreas urbanas del mundo contemporáneo.” (Moreno, 2011:</w:t>
      </w:r>
      <w:r>
        <w:rPr>
          <w:spacing w:val="34"/>
        </w:rPr>
        <w:t> </w:t>
      </w:r>
      <w:r>
        <w:rPr/>
        <w:t>225)</w:t>
      </w:r>
    </w:p>
    <w:p>
      <w:pPr>
        <w:pStyle w:val="BodyText"/>
        <w:spacing w:before="11"/>
      </w:pPr>
    </w:p>
    <w:p>
      <w:pPr>
        <w:pStyle w:val="BodyText"/>
        <w:spacing w:line="247" w:lineRule="auto"/>
        <w:ind w:left="131" w:right="129" w:firstLine="170"/>
        <w:jc w:val="both"/>
      </w:pPr>
      <w:r>
        <w:rPr/>
        <w:t>Problemas que se presentan en la Ciudad de Toluca, ya que a diario nos toca vivir algunos de los efectos de ese modelo de crecimiento, cuando atravesamos vialidades congestionadas, con basura, falta de áreas verdes, falta de señalamiento, obras en </w:t>
      </w:r>
      <w:r>
        <w:rPr>
          <w:rFonts w:ascii="Tahoma" w:hAnsi="Tahoma"/>
        </w:rPr>
        <w:t>diversos puntos sin ningún orden o en horas pico, sistemas de transporte ineficientes </w:t>
      </w:r>
      <w:r>
        <w:rPr/>
        <w:t>solo por mencionar algunos.</w:t>
      </w:r>
    </w:p>
    <w:p>
      <w:pPr>
        <w:pStyle w:val="BodyText"/>
        <w:spacing w:before="1"/>
        <w:rPr>
          <w:sz w:val="21"/>
        </w:rPr>
      </w:pPr>
    </w:p>
    <w:p>
      <w:pPr>
        <w:pStyle w:val="BodyText"/>
        <w:spacing w:line="249" w:lineRule="auto" w:before="1"/>
        <w:ind w:left="131" w:right="129" w:firstLine="170"/>
        <w:jc w:val="both"/>
      </w:pPr>
      <w:r>
        <w:rPr/>
        <w:t>De ahí la necesidad de centrar nuestra atención sobre las ANP, estos espacios que pretenden conservar la biodiversidad y consolidarse como factor fundamental en las ciudades porque ¿qué ciudad hemos construido? y ¿qué ciudad tendremos en el mediano y largo plazos?.</w:t>
      </w:r>
    </w:p>
    <w:p>
      <w:pPr>
        <w:pStyle w:val="BodyText"/>
        <w:spacing w:before="11"/>
      </w:pPr>
    </w:p>
    <w:p>
      <w:pPr>
        <w:pStyle w:val="BodyText"/>
        <w:spacing w:line="244" w:lineRule="auto"/>
        <w:ind w:left="131" w:right="130" w:firstLine="170"/>
        <w:jc w:val="both"/>
      </w:pPr>
      <w:r>
        <w:rPr/>
        <w:t>Con base en el Plan de Desarrollo Urbano 2013-2015 el municipio de Toluca cuenta </w:t>
      </w:r>
      <w:r>
        <w:rPr>
          <w:rFonts w:ascii="Tahoma" w:hAnsi="Tahoma"/>
        </w:rPr>
        <w:t>con una superficie total de 42,952.14 hectáreas, de las cuales el 49% está clasificado </w:t>
      </w:r>
      <w:r>
        <w:rPr/>
        <w:t>como ANP. Cuadro No.1.</w:t>
      </w:r>
    </w:p>
    <w:p>
      <w:pPr>
        <w:pStyle w:val="BodyText"/>
        <w:spacing w:before="7"/>
        <w:rPr>
          <w:sz w:val="24"/>
        </w:rPr>
      </w:pPr>
    </w:p>
    <w:p>
      <w:pPr>
        <w:spacing w:before="0"/>
        <w:ind w:left="1738" w:right="1738" w:firstLine="0"/>
        <w:jc w:val="center"/>
        <w:rPr>
          <w:sz w:val="16"/>
        </w:rPr>
      </w:pPr>
      <w:r>
        <w:rPr>
          <w:color w:val="6D6E71"/>
          <w:sz w:val="16"/>
        </w:rPr>
        <w:t>Cuadro No.1. Superficie Total y ANP en el municipio de Toluca</w:t>
      </w:r>
    </w:p>
    <w:p>
      <w:pPr>
        <w:pStyle w:val="BodyText"/>
        <w:spacing w:before="10"/>
        <w:rPr>
          <w:sz w:val="8"/>
        </w:rPr>
      </w:pPr>
    </w:p>
    <w:tbl>
      <w:tblPr>
        <w:tblW w:w="0" w:type="auto"/>
        <w:jc w:val="left"/>
        <w:tblInd w:w="102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662"/>
        <w:gridCol w:w="1701"/>
        <w:gridCol w:w="1551"/>
      </w:tblGrid>
      <w:tr>
        <w:trPr>
          <w:trHeight w:val="171" w:hRule="exact"/>
        </w:trPr>
        <w:tc>
          <w:tcPr>
            <w:tcW w:w="2662" w:type="dxa"/>
            <w:tcBorders>
              <w:top w:val="nil"/>
              <w:left w:val="nil"/>
              <w:bottom w:val="dotted" w:sz="4" w:space="0" w:color="FFFFFF"/>
            </w:tcBorders>
            <w:shd w:val="clear" w:color="auto" w:fill="929292"/>
          </w:tcPr>
          <w:p>
            <w:pPr>
              <w:pStyle w:val="TableParagraph"/>
              <w:spacing w:line="176" w:lineRule="exact"/>
              <w:ind w:left="5"/>
              <w:jc w:val="center"/>
              <w:rPr>
                <w:sz w:val="16"/>
              </w:rPr>
            </w:pPr>
            <w:r>
              <w:rPr>
                <w:w w:val="105"/>
                <w:sz w:val="16"/>
              </w:rPr>
              <w:t>Ámbito</w:t>
            </w:r>
          </w:p>
        </w:tc>
        <w:tc>
          <w:tcPr>
            <w:tcW w:w="1701" w:type="dxa"/>
            <w:tcBorders>
              <w:top w:val="nil"/>
              <w:bottom w:val="dotted" w:sz="4" w:space="0" w:color="FFFFFF"/>
            </w:tcBorders>
            <w:shd w:val="clear" w:color="auto" w:fill="929292"/>
          </w:tcPr>
          <w:p>
            <w:pPr>
              <w:pStyle w:val="TableParagraph"/>
              <w:spacing w:line="176" w:lineRule="exact"/>
              <w:jc w:val="center"/>
              <w:rPr>
                <w:sz w:val="16"/>
              </w:rPr>
            </w:pPr>
            <w:r>
              <w:rPr>
                <w:sz w:val="16"/>
              </w:rPr>
              <w:t>Superficie (ha.)</w:t>
            </w:r>
          </w:p>
        </w:tc>
        <w:tc>
          <w:tcPr>
            <w:tcW w:w="1551" w:type="dxa"/>
            <w:tcBorders>
              <w:top w:val="nil"/>
              <w:bottom w:val="dotted" w:sz="4" w:space="0" w:color="FFFFFF"/>
              <w:right w:val="nil"/>
            </w:tcBorders>
            <w:shd w:val="clear" w:color="auto" w:fill="929292"/>
          </w:tcPr>
          <w:p>
            <w:pPr>
              <w:pStyle w:val="TableParagraph"/>
              <w:spacing w:line="176" w:lineRule="exact"/>
              <w:ind w:left="4" w:right="7"/>
              <w:jc w:val="center"/>
              <w:rPr>
                <w:sz w:val="16"/>
              </w:rPr>
            </w:pPr>
            <w:r>
              <w:rPr>
                <w:sz w:val="16"/>
              </w:rPr>
              <w:t>Porcentaje</w:t>
            </w:r>
          </w:p>
        </w:tc>
      </w:tr>
      <w:tr>
        <w:trPr>
          <w:trHeight w:val="267" w:hRule="exact"/>
        </w:trPr>
        <w:tc>
          <w:tcPr>
            <w:tcW w:w="2662" w:type="dxa"/>
            <w:tcBorders>
              <w:top w:val="dotted" w:sz="4" w:space="0" w:color="FFFFFF"/>
              <w:left w:val="nil"/>
              <w:right w:val="single" w:sz="4" w:space="0" w:color="929292"/>
            </w:tcBorders>
          </w:tcPr>
          <w:p>
            <w:pPr>
              <w:pStyle w:val="TableParagraph"/>
              <w:tabs>
                <w:tab w:pos="972" w:val="left" w:leader="none"/>
                <w:tab w:pos="2637" w:val="left" w:leader="none"/>
              </w:tabs>
              <w:spacing w:before="83"/>
              <w:ind w:left="24"/>
              <w:jc w:val="center"/>
              <w:rPr>
                <w:sz w:val="16"/>
              </w:rPr>
            </w:pPr>
            <w:r>
              <w:rPr>
                <w:w w:val="100"/>
                <w:sz w:val="16"/>
                <w:u w:val="dotted" w:color="929292"/>
              </w:rPr>
              <w:t> </w:t>
            </w:r>
            <w:r>
              <w:rPr>
                <w:sz w:val="16"/>
                <w:u w:val="dotted" w:color="929292"/>
              </w:rPr>
              <w:tab/>
            </w:r>
            <w:r>
              <w:rPr>
                <w:w w:val="105"/>
                <w:sz w:val="16"/>
                <w:u w:val="dotted" w:color="929292"/>
              </w:rPr>
              <w:t>Municipio</w:t>
            </w:r>
            <w:r>
              <w:rPr>
                <w:sz w:val="16"/>
                <w:u w:val="dotted" w:color="929292"/>
              </w:rPr>
              <w:tab/>
            </w:r>
          </w:p>
        </w:tc>
        <w:tc>
          <w:tcPr>
            <w:tcW w:w="1701" w:type="dxa"/>
            <w:tcBorders>
              <w:top w:val="dotted" w:sz="4" w:space="0" w:color="FFFFFF"/>
              <w:left w:val="single" w:sz="4" w:space="0" w:color="929292"/>
              <w:right w:val="single" w:sz="4" w:space="0" w:color="929292"/>
            </w:tcBorders>
          </w:tcPr>
          <w:p>
            <w:pPr>
              <w:pStyle w:val="TableParagraph"/>
              <w:tabs>
                <w:tab w:pos="479" w:val="left" w:leader="none"/>
                <w:tab w:pos="1671" w:val="left" w:leader="none"/>
              </w:tabs>
              <w:spacing w:before="83"/>
              <w:ind w:left="14"/>
              <w:jc w:val="center"/>
              <w:rPr>
                <w:sz w:val="16"/>
              </w:rPr>
            </w:pPr>
            <w:r>
              <w:rPr>
                <w:w w:val="100"/>
                <w:sz w:val="16"/>
                <w:u w:val="dotted" w:color="929292"/>
              </w:rPr>
              <w:t> </w:t>
            </w:r>
            <w:r>
              <w:rPr>
                <w:sz w:val="16"/>
                <w:u w:val="dotted" w:color="929292"/>
              </w:rPr>
              <w:tab/>
              <w:t>42,952.14</w:t>
              <w:tab/>
            </w:r>
          </w:p>
        </w:tc>
        <w:tc>
          <w:tcPr>
            <w:tcW w:w="1551" w:type="dxa"/>
            <w:tcBorders>
              <w:top w:val="dotted" w:sz="4" w:space="0" w:color="FFFFFF"/>
              <w:left w:val="single" w:sz="4" w:space="0" w:color="929292"/>
              <w:right w:val="nil"/>
            </w:tcBorders>
          </w:tcPr>
          <w:p>
            <w:pPr>
              <w:pStyle w:val="TableParagraph"/>
              <w:tabs>
                <w:tab w:pos="617" w:val="left" w:leader="none"/>
                <w:tab w:pos="1506" w:val="left" w:leader="none"/>
              </w:tabs>
              <w:spacing w:before="83"/>
              <w:ind w:left="4"/>
              <w:jc w:val="center"/>
              <w:rPr>
                <w:sz w:val="16"/>
              </w:rPr>
            </w:pPr>
            <w:r>
              <w:rPr>
                <w:w w:val="100"/>
                <w:sz w:val="16"/>
                <w:u w:val="dotted" w:color="929292"/>
              </w:rPr>
              <w:t> </w:t>
            </w:r>
            <w:r>
              <w:rPr>
                <w:sz w:val="16"/>
                <w:u w:val="dotted" w:color="929292"/>
              </w:rPr>
              <w:tab/>
              <w:t>100</w:t>
              <w:tab/>
            </w:r>
          </w:p>
        </w:tc>
      </w:tr>
      <w:tr>
        <w:trPr>
          <w:trHeight w:val="240" w:hRule="exact"/>
        </w:trPr>
        <w:tc>
          <w:tcPr>
            <w:tcW w:w="2662" w:type="dxa"/>
            <w:tcBorders>
              <w:left w:val="nil"/>
              <w:bottom w:val="nil"/>
              <w:right w:val="single" w:sz="4" w:space="0" w:color="929292"/>
            </w:tcBorders>
          </w:tcPr>
          <w:p>
            <w:pPr>
              <w:pStyle w:val="TableParagraph"/>
              <w:tabs>
                <w:tab w:pos="507" w:val="left" w:leader="none"/>
                <w:tab w:pos="2637" w:val="left" w:leader="none"/>
              </w:tabs>
              <w:spacing w:before="56"/>
              <w:ind w:left="24"/>
              <w:jc w:val="center"/>
              <w:rPr>
                <w:sz w:val="16"/>
              </w:rPr>
            </w:pPr>
            <w:r>
              <w:rPr>
                <w:w w:val="100"/>
                <w:sz w:val="16"/>
                <w:u w:val="dotted" w:color="929292"/>
              </w:rPr>
              <w:t> </w:t>
            </w:r>
            <w:r>
              <w:rPr>
                <w:sz w:val="16"/>
                <w:u w:val="dotted" w:color="929292"/>
              </w:rPr>
              <w:tab/>
              <w:t>Área Natural</w:t>
            </w:r>
            <w:r>
              <w:rPr>
                <w:spacing w:val="-2"/>
                <w:sz w:val="16"/>
                <w:u w:val="dotted" w:color="929292"/>
              </w:rPr>
              <w:t> </w:t>
            </w:r>
            <w:r>
              <w:rPr>
                <w:sz w:val="16"/>
                <w:u w:val="dotted" w:color="929292"/>
              </w:rPr>
              <w:t>Protegida</w:t>
              <w:tab/>
            </w:r>
          </w:p>
        </w:tc>
        <w:tc>
          <w:tcPr>
            <w:tcW w:w="1701" w:type="dxa"/>
            <w:tcBorders>
              <w:left w:val="single" w:sz="4" w:space="0" w:color="929292"/>
              <w:right w:val="single" w:sz="4" w:space="0" w:color="929292"/>
            </w:tcBorders>
          </w:tcPr>
          <w:p>
            <w:pPr>
              <w:pStyle w:val="TableParagraph"/>
              <w:tabs>
                <w:tab w:pos="479" w:val="left" w:leader="none"/>
                <w:tab w:pos="1671" w:val="left" w:leader="none"/>
              </w:tabs>
              <w:spacing w:before="56"/>
              <w:ind w:left="14"/>
              <w:jc w:val="center"/>
              <w:rPr>
                <w:sz w:val="16"/>
              </w:rPr>
            </w:pPr>
            <w:r>
              <w:rPr>
                <w:w w:val="100"/>
                <w:sz w:val="16"/>
                <w:u w:val="dotted" w:color="929292"/>
              </w:rPr>
              <w:t> </w:t>
            </w:r>
            <w:r>
              <w:rPr>
                <w:sz w:val="16"/>
                <w:u w:val="dotted" w:color="929292"/>
              </w:rPr>
              <w:tab/>
              <w:t>21,173.44</w:t>
              <w:tab/>
            </w:r>
          </w:p>
        </w:tc>
        <w:tc>
          <w:tcPr>
            <w:tcW w:w="1551" w:type="dxa"/>
            <w:tcBorders>
              <w:left w:val="single" w:sz="4" w:space="0" w:color="929292"/>
              <w:right w:val="nil"/>
            </w:tcBorders>
          </w:tcPr>
          <w:p>
            <w:pPr>
              <w:pStyle w:val="TableParagraph"/>
              <w:tabs>
                <w:tab w:pos="594" w:val="left" w:leader="none"/>
                <w:tab w:pos="1506" w:val="left" w:leader="none"/>
              </w:tabs>
              <w:spacing w:before="56"/>
              <w:ind w:left="4"/>
              <w:jc w:val="center"/>
              <w:rPr>
                <w:sz w:val="16"/>
              </w:rPr>
            </w:pPr>
            <w:r>
              <w:rPr>
                <w:w w:val="100"/>
                <w:sz w:val="16"/>
                <w:u w:val="dotted" w:color="929292"/>
              </w:rPr>
              <w:t> </w:t>
            </w:r>
            <w:r>
              <w:rPr>
                <w:sz w:val="16"/>
                <w:u w:val="dotted" w:color="929292"/>
              </w:rPr>
              <w:tab/>
              <w:t>49.2</w:t>
              <w:tab/>
            </w:r>
          </w:p>
        </w:tc>
      </w:tr>
    </w:tbl>
    <w:p>
      <w:pPr>
        <w:pStyle w:val="BodyText"/>
      </w:pPr>
    </w:p>
    <w:p>
      <w:pPr>
        <w:spacing w:before="0"/>
        <w:ind w:left="1738" w:right="1738" w:firstLine="0"/>
        <w:jc w:val="center"/>
        <w:rPr>
          <w:sz w:val="16"/>
        </w:rPr>
      </w:pPr>
      <w:r>
        <w:rPr/>
        <w:pict>
          <v:line style="position:absolute;mso-position-horizontal-relative:page;mso-position-vertical-relative:paragraph;z-index:-640312" from="558.146423pt,-11.775498pt" to="558.146423pt,-11.775498pt" stroked="true" strokeweight=".5pt" strokecolor="#929292">
            <w10:wrap type="none"/>
          </v:line>
        </w:pict>
      </w:r>
      <w:r>
        <w:rPr/>
        <w:pict>
          <v:line style="position:absolute;mso-position-horizontal-relative:page;mso-position-vertical-relative:paragraph;z-index:-640288" from="853.365417pt,-11.775498pt" to="853.365417pt,-11.775498pt" stroked="true" strokeweight=".5pt" strokecolor="#929292">
            <w10:wrap type="none"/>
          </v:line>
        </w:pict>
      </w:r>
      <w:r>
        <w:rPr>
          <w:color w:val="6D6E71"/>
          <w:sz w:val="16"/>
        </w:rPr>
        <w:t>Fuente: H. Ayuntamiento de Toluca 2012.</w:t>
      </w:r>
    </w:p>
    <w:p>
      <w:pPr>
        <w:pStyle w:val="BodyText"/>
        <w:spacing w:before="5"/>
        <w:rPr>
          <w:sz w:val="22"/>
        </w:rPr>
      </w:pPr>
    </w:p>
    <w:p>
      <w:pPr>
        <w:pStyle w:val="BodyText"/>
        <w:spacing w:line="249" w:lineRule="auto"/>
        <w:ind w:left="131" w:right="129" w:firstLine="170"/>
        <w:jc w:val="both"/>
      </w:pPr>
      <w:r>
        <w:rPr/>
        <w:t>El municipio de Toluca cuenta con 6 ANP: el Parque Nacional Nevado de Toluca (Sección Toluca), Parque Estatal Sierra Morelos, Parque Estatal Alameda Poniente “San José de la Pila” (Alameda 2000), Parque Matlazincas (El Calvario), Santuario del Agua</w:t>
      </w:r>
      <w:r>
        <w:rPr>
          <w:spacing w:val="-9"/>
        </w:rPr>
        <w:t> </w:t>
      </w:r>
      <w:r>
        <w:rPr/>
        <w:t>y</w:t>
      </w:r>
      <w:r>
        <w:rPr>
          <w:spacing w:val="-9"/>
        </w:rPr>
        <w:t> </w:t>
      </w:r>
      <w:r>
        <w:rPr/>
        <w:t>Forestal</w:t>
      </w:r>
      <w:r>
        <w:rPr>
          <w:spacing w:val="-9"/>
        </w:rPr>
        <w:t> </w:t>
      </w:r>
      <w:r>
        <w:rPr/>
        <w:t>Subcuenca</w:t>
      </w:r>
      <w:r>
        <w:rPr>
          <w:spacing w:val="-9"/>
        </w:rPr>
        <w:t> </w:t>
      </w:r>
      <w:r>
        <w:rPr/>
        <w:t>Tributaria</w:t>
      </w:r>
      <w:r>
        <w:rPr>
          <w:spacing w:val="-9"/>
        </w:rPr>
        <w:t> </w:t>
      </w:r>
      <w:r>
        <w:rPr/>
        <w:t>Presa</w:t>
      </w:r>
      <w:r>
        <w:rPr>
          <w:spacing w:val="-9"/>
        </w:rPr>
        <w:t> </w:t>
      </w:r>
      <w:r>
        <w:rPr/>
        <w:t>José</w:t>
      </w:r>
      <w:r>
        <w:rPr>
          <w:spacing w:val="-9"/>
        </w:rPr>
        <w:t> </w:t>
      </w:r>
      <w:r>
        <w:rPr/>
        <w:t>Antonio</w:t>
      </w:r>
      <w:r>
        <w:rPr>
          <w:spacing w:val="-9"/>
        </w:rPr>
        <w:t> </w:t>
      </w:r>
      <w:r>
        <w:rPr/>
        <w:t>Alzate</w:t>
      </w:r>
      <w:r>
        <w:rPr>
          <w:spacing w:val="-9"/>
        </w:rPr>
        <w:t> </w:t>
      </w:r>
      <w:r>
        <w:rPr/>
        <w:t>y</w:t>
      </w:r>
      <w:r>
        <w:rPr>
          <w:spacing w:val="-9"/>
        </w:rPr>
        <w:t> </w:t>
      </w:r>
      <w:r>
        <w:rPr/>
        <w:t>el</w:t>
      </w:r>
      <w:r>
        <w:rPr>
          <w:spacing w:val="-9"/>
        </w:rPr>
        <w:t> </w:t>
      </w:r>
      <w:r>
        <w:rPr/>
        <w:t>Parque</w:t>
      </w:r>
      <w:r>
        <w:rPr>
          <w:spacing w:val="-9"/>
        </w:rPr>
        <w:t> </w:t>
      </w:r>
      <w:r>
        <w:rPr/>
        <w:t>Ecológico, Recreativo y Turístico, Zoológico de Zacango, que en conjunto representan una superficie de 21,173.44 hectáreas. Cuadro</w:t>
      </w:r>
      <w:r>
        <w:rPr>
          <w:spacing w:val="24"/>
        </w:rPr>
        <w:t> </w:t>
      </w:r>
      <w:r>
        <w:rPr/>
        <w:t>No.2.</w:t>
      </w:r>
    </w:p>
    <w:p>
      <w:pPr>
        <w:spacing w:after="0" w:line="249" w:lineRule="auto"/>
        <w:jc w:val="both"/>
        <w:sectPr>
          <w:type w:val="continuous"/>
          <w:pgSz w:w="18830" w:h="12760" w:orient="landscape"/>
          <w:pgMar w:top="1420" w:bottom="280" w:left="720" w:right="720"/>
          <w:cols w:num="2" w:equalWidth="0">
            <w:col w:w="7843" w:space="1566"/>
            <w:col w:w="7981"/>
          </w:cols>
        </w:sectPr>
      </w:pPr>
    </w:p>
    <w:p>
      <w:pPr>
        <w:pStyle w:val="BodyText"/>
        <w:spacing w:before="5"/>
        <w:rPr>
          <w:sz w:val="26"/>
        </w:rPr>
      </w:pPr>
    </w:p>
    <w:p>
      <w:pPr>
        <w:spacing w:after="0"/>
        <w:rPr>
          <w:sz w:val="26"/>
        </w:rPr>
        <w:sectPr>
          <w:footerReference w:type="default" r:id="rId318"/>
          <w:pgSz w:w="18830" w:h="12760" w:orient="landscape"/>
          <w:pgMar w:footer="1036" w:header="522" w:top="820" w:bottom="1220" w:left="720" w:right="720"/>
        </w:sectPr>
      </w:pPr>
    </w:p>
    <w:p>
      <w:pPr>
        <w:spacing w:before="80"/>
        <w:ind w:left="1625" w:right="0" w:firstLine="0"/>
        <w:jc w:val="left"/>
        <w:rPr>
          <w:sz w:val="16"/>
        </w:rPr>
      </w:pPr>
      <w:r>
        <w:rPr/>
        <w:pict>
          <v:shape style="position:absolute;margin-left:68.8955pt;margin-top:18.588823pt;width:332.3pt;height:94.9pt;mso-position-horizontal-relative:page;mso-position-vertical-relative:paragraph;z-index:12544" type="#_x0000_t202" filled="false" stroked="false">
            <v:textbox inset="0,0,0,0">
              <w:txbxContent>
                <w:tbl>
                  <w:tblPr>
                    <w:tblW w:w="0" w:type="auto"/>
                    <w:jc w:val="left"/>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4288"/>
                    <w:gridCol w:w="1418"/>
                    <w:gridCol w:w="924"/>
                  </w:tblGrid>
                  <w:tr>
                    <w:trPr>
                      <w:trHeight w:val="423" w:hRule="exact"/>
                    </w:trPr>
                    <w:tc>
                      <w:tcPr>
                        <w:tcW w:w="4288" w:type="dxa"/>
                        <w:tcBorders>
                          <w:top w:val="nil"/>
                          <w:left w:val="nil"/>
                          <w:bottom w:val="single" w:sz="4" w:space="0" w:color="FFFFFF"/>
                          <w:right w:val="single" w:sz="4" w:space="0" w:color="FFFFFF"/>
                        </w:tcBorders>
                        <w:shd w:val="clear" w:color="auto" w:fill="929292"/>
                      </w:tcPr>
                      <w:p>
                        <w:pPr>
                          <w:pStyle w:val="TableParagraph"/>
                          <w:spacing w:before="16"/>
                          <w:ind w:left="103"/>
                          <w:rPr>
                            <w:sz w:val="16"/>
                          </w:rPr>
                        </w:pPr>
                        <w:r>
                          <w:rPr>
                            <w:sz w:val="16"/>
                          </w:rPr>
                          <w:t>Nombre</w:t>
                        </w:r>
                      </w:p>
                    </w:tc>
                    <w:tc>
                      <w:tcPr>
                        <w:tcW w:w="1418" w:type="dxa"/>
                        <w:tcBorders>
                          <w:top w:val="nil"/>
                          <w:left w:val="single" w:sz="4" w:space="0" w:color="FFFFFF"/>
                          <w:bottom w:val="single" w:sz="4" w:space="0" w:color="FFFFFF"/>
                          <w:right w:val="single" w:sz="4" w:space="0" w:color="FFFFFF"/>
                        </w:tcBorders>
                        <w:shd w:val="clear" w:color="auto" w:fill="929292"/>
                      </w:tcPr>
                      <w:p>
                        <w:pPr>
                          <w:pStyle w:val="TableParagraph"/>
                          <w:spacing w:before="16"/>
                          <w:ind w:left="103"/>
                          <w:rPr>
                            <w:sz w:val="16"/>
                          </w:rPr>
                        </w:pPr>
                        <w:r>
                          <w:rPr>
                            <w:sz w:val="16"/>
                          </w:rPr>
                          <w:t>Superficie (ha)</w:t>
                        </w:r>
                      </w:p>
                    </w:tc>
                    <w:tc>
                      <w:tcPr>
                        <w:tcW w:w="924" w:type="dxa"/>
                        <w:tcBorders>
                          <w:top w:val="nil"/>
                          <w:left w:val="single" w:sz="4" w:space="0" w:color="FFFFFF"/>
                          <w:bottom w:val="single" w:sz="4" w:space="0" w:color="FFFFFF"/>
                          <w:right w:val="nil"/>
                        </w:tcBorders>
                        <w:shd w:val="clear" w:color="auto" w:fill="929292"/>
                      </w:tcPr>
                      <w:p>
                        <w:pPr>
                          <w:pStyle w:val="TableParagraph"/>
                          <w:spacing w:line="261" w:lineRule="auto" w:before="16"/>
                          <w:ind w:left="103" w:right="235"/>
                          <w:rPr>
                            <w:sz w:val="16"/>
                          </w:rPr>
                        </w:pPr>
                        <w:r>
                          <w:rPr>
                            <w:sz w:val="16"/>
                          </w:rPr>
                          <w:t>Año de Decreto</w:t>
                        </w:r>
                      </w:p>
                    </w:tc>
                  </w:tr>
                  <w:tr>
                    <w:trPr>
                      <w:trHeight w:val="124" w:hRule="exact"/>
                    </w:trPr>
                    <w:tc>
                      <w:tcPr>
                        <w:tcW w:w="4288" w:type="dxa"/>
                        <w:tcBorders>
                          <w:top w:val="single" w:sz="4" w:space="0" w:color="FFFFFF"/>
                          <w:left w:val="nil"/>
                          <w:bottom w:val="single" w:sz="4" w:space="0" w:color="FFFFFF"/>
                        </w:tcBorders>
                      </w:tcPr>
                      <w:p>
                        <w:pPr>
                          <w:pStyle w:val="TableParagraph"/>
                          <w:tabs>
                            <w:tab w:pos="4273" w:val="left" w:leader="none"/>
                          </w:tabs>
                          <w:spacing w:line="148" w:lineRule="exact"/>
                          <w:ind w:left="29"/>
                          <w:rPr>
                            <w:sz w:val="16"/>
                          </w:rPr>
                        </w:pPr>
                        <w:r>
                          <w:rPr>
                            <w:w w:val="100"/>
                            <w:sz w:val="16"/>
                            <w:u w:val="dotted" w:color="929292"/>
                          </w:rPr>
                          <w:t> </w:t>
                        </w:r>
                        <w:r>
                          <w:rPr>
                            <w:spacing w:val="-16"/>
                            <w:sz w:val="16"/>
                            <w:u w:val="dotted" w:color="929292"/>
                          </w:rPr>
                          <w:t> </w:t>
                        </w:r>
                        <w:r>
                          <w:rPr>
                            <w:sz w:val="16"/>
                            <w:u w:val="dotted" w:color="929292"/>
                          </w:rPr>
                          <w:t>Parque Nacional Nevado de Toluca (Sección</w:t>
                        </w:r>
                        <w:r>
                          <w:rPr>
                            <w:spacing w:val="-11"/>
                            <w:sz w:val="16"/>
                            <w:u w:val="dotted" w:color="929292"/>
                          </w:rPr>
                          <w:t> </w:t>
                        </w:r>
                        <w:r>
                          <w:rPr>
                            <w:sz w:val="16"/>
                            <w:u w:val="dotted" w:color="929292"/>
                          </w:rPr>
                          <w:t>Toluca)</w:t>
                          <w:tab/>
                        </w:r>
                      </w:p>
                    </w:tc>
                    <w:tc>
                      <w:tcPr>
                        <w:tcW w:w="1418" w:type="dxa"/>
                        <w:tcBorders>
                          <w:top w:val="single" w:sz="4" w:space="0" w:color="FFFFFF"/>
                          <w:bottom w:val="single" w:sz="4" w:space="0" w:color="FFFFFF"/>
                        </w:tcBorders>
                      </w:tcPr>
                      <w:p>
                        <w:pPr>
                          <w:pStyle w:val="TableParagraph"/>
                          <w:tabs>
                            <w:tab w:pos="1397" w:val="left" w:leader="none"/>
                          </w:tabs>
                          <w:spacing w:line="148" w:lineRule="exact"/>
                          <w:ind w:left="25"/>
                          <w:rPr>
                            <w:sz w:val="16"/>
                          </w:rPr>
                        </w:pPr>
                        <w:r>
                          <w:rPr>
                            <w:w w:val="100"/>
                            <w:sz w:val="16"/>
                            <w:u w:val="dotted" w:color="929292"/>
                          </w:rPr>
                          <w:t> </w:t>
                        </w:r>
                        <w:r>
                          <w:rPr>
                            <w:spacing w:val="-11"/>
                            <w:sz w:val="16"/>
                            <w:u w:val="dotted" w:color="929292"/>
                          </w:rPr>
                          <w:t> </w:t>
                        </w:r>
                        <w:r>
                          <w:rPr>
                            <w:sz w:val="16"/>
                            <w:u w:val="dotted" w:color="929292"/>
                          </w:rPr>
                          <w:t>8,046.00</w:t>
                          <w:tab/>
                        </w:r>
                      </w:p>
                    </w:tc>
                    <w:tc>
                      <w:tcPr>
                        <w:tcW w:w="924" w:type="dxa"/>
                        <w:tcBorders>
                          <w:top w:val="single" w:sz="4" w:space="0" w:color="FFFFFF"/>
                          <w:bottom w:val="single" w:sz="4" w:space="0" w:color="FFFFFF"/>
                          <w:right w:val="nil"/>
                        </w:tcBorders>
                      </w:tcPr>
                      <w:p>
                        <w:pPr>
                          <w:pStyle w:val="TableParagraph"/>
                          <w:tabs>
                            <w:tab w:pos="904" w:val="left" w:leader="none"/>
                          </w:tabs>
                          <w:spacing w:line="148" w:lineRule="exact"/>
                          <w:ind w:left="24"/>
                          <w:rPr>
                            <w:sz w:val="16"/>
                          </w:rPr>
                        </w:pPr>
                        <w:r>
                          <w:rPr>
                            <w:w w:val="100"/>
                            <w:sz w:val="16"/>
                            <w:u w:val="dotted" w:color="929292"/>
                          </w:rPr>
                          <w:t> </w:t>
                        </w:r>
                        <w:r>
                          <w:rPr>
                            <w:spacing w:val="-11"/>
                            <w:sz w:val="16"/>
                            <w:u w:val="dotted" w:color="929292"/>
                          </w:rPr>
                          <w:t> </w:t>
                        </w:r>
                        <w:r>
                          <w:rPr>
                            <w:sz w:val="16"/>
                            <w:u w:val="dotted" w:color="929292"/>
                          </w:rPr>
                          <w:t>1936</w:t>
                          <w:tab/>
                        </w:r>
                      </w:p>
                    </w:tc>
                  </w:tr>
                  <w:tr>
                    <w:trPr>
                      <w:trHeight w:val="124" w:hRule="exact"/>
                    </w:trPr>
                    <w:tc>
                      <w:tcPr>
                        <w:tcW w:w="4288" w:type="dxa"/>
                        <w:tcBorders>
                          <w:top w:val="single" w:sz="4" w:space="0" w:color="FFFFFF"/>
                          <w:left w:val="nil"/>
                          <w:bottom w:val="single" w:sz="4" w:space="0" w:color="FFFFFF"/>
                        </w:tcBorders>
                      </w:tcPr>
                      <w:p>
                        <w:pPr>
                          <w:pStyle w:val="TableParagraph"/>
                          <w:tabs>
                            <w:tab w:pos="4273" w:val="left" w:leader="none"/>
                          </w:tabs>
                          <w:spacing w:line="148" w:lineRule="exact"/>
                          <w:ind w:left="29"/>
                          <w:rPr>
                            <w:sz w:val="16"/>
                          </w:rPr>
                        </w:pPr>
                        <w:r>
                          <w:rPr>
                            <w:w w:val="100"/>
                            <w:sz w:val="16"/>
                            <w:u w:val="dotted" w:color="929292"/>
                          </w:rPr>
                          <w:t> </w:t>
                        </w:r>
                        <w:r>
                          <w:rPr>
                            <w:spacing w:val="-16"/>
                            <w:sz w:val="16"/>
                            <w:u w:val="dotted" w:color="929292"/>
                          </w:rPr>
                          <w:t> </w:t>
                        </w:r>
                        <w:r>
                          <w:rPr>
                            <w:sz w:val="16"/>
                            <w:u w:val="dotted" w:color="929292"/>
                          </w:rPr>
                          <w:t>Parque Estatal Sierra</w:t>
                        </w:r>
                        <w:r>
                          <w:rPr>
                            <w:spacing w:val="-7"/>
                            <w:sz w:val="16"/>
                            <w:u w:val="dotted" w:color="929292"/>
                          </w:rPr>
                          <w:t> </w:t>
                        </w:r>
                        <w:r>
                          <w:rPr>
                            <w:sz w:val="16"/>
                            <w:u w:val="dotted" w:color="929292"/>
                          </w:rPr>
                          <w:t>Morelos</w:t>
                          <w:tab/>
                        </w:r>
                      </w:p>
                    </w:tc>
                    <w:tc>
                      <w:tcPr>
                        <w:tcW w:w="1418" w:type="dxa"/>
                        <w:tcBorders>
                          <w:top w:val="single" w:sz="4" w:space="0" w:color="FFFFFF"/>
                          <w:bottom w:val="single" w:sz="4" w:space="0" w:color="FFFFFF"/>
                        </w:tcBorders>
                      </w:tcPr>
                      <w:p>
                        <w:pPr>
                          <w:pStyle w:val="TableParagraph"/>
                          <w:tabs>
                            <w:tab w:pos="1397" w:val="left" w:leader="none"/>
                          </w:tabs>
                          <w:spacing w:line="148" w:lineRule="exact"/>
                          <w:ind w:left="25"/>
                          <w:rPr>
                            <w:sz w:val="16"/>
                          </w:rPr>
                        </w:pPr>
                        <w:r>
                          <w:rPr>
                            <w:w w:val="100"/>
                            <w:sz w:val="16"/>
                            <w:u w:val="dotted" w:color="929292"/>
                          </w:rPr>
                          <w:t> </w:t>
                        </w:r>
                        <w:r>
                          <w:rPr>
                            <w:spacing w:val="-11"/>
                            <w:sz w:val="16"/>
                            <w:u w:val="dotted" w:color="929292"/>
                          </w:rPr>
                          <w:t> </w:t>
                        </w:r>
                        <w:r>
                          <w:rPr>
                            <w:sz w:val="16"/>
                            <w:u w:val="dotted" w:color="929292"/>
                          </w:rPr>
                          <w:t>1,255.09</w:t>
                          <w:tab/>
                        </w:r>
                      </w:p>
                    </w:tc>
                    <w:tc>
                      <w:tcPr>
                        <w:tcW w:w="924" w:type="dxa"/>
                        <w:tcBorders>
                          <w:top w:val="single" w:sz="4" w:space="0" w:color="FFFFFF"/>
                          <w:bottom w:val="single" w:sz="4" w:space="0" w:color="FFFFFF"/>
                          <w:right w:val="nil"/>
                        </w:tcBorders>
                      </w:tcPr>
                      <w:p>
                        <w:pPr>
                          <w:pStyle w:val="TableParagraph"/>
                          <w:tabs>
                            <w:tab w:pos="904" w:val="left" w:leader="none"/>
                          </w:tabs>
                          <w:spacing w:line="148" w:lineRule="exact"/>
                          <w:ind w:left="24"/>
                          <w:rPr>
                            <w:sz w:val="16"/>
                          </w:rPr>
                        </w:pPr>
                        <w:r>
                          <w:rPr>
                            <w:w w:val="100"/>
                            <w:sz w:val="16"/>
                            <w:u w:val="dotted" w:color="929292"/>
                          </w:rPr>
                          <w:t> </w:t>
                        </w:r>
                        <w:r>
                          <w:rPr>
                            <w:spacing w:val="-11"/>
                            <w:sz w:val="16"/>
                            <w:u w:val="dotted" w:color="929292"/>
                          </w:rPr>
                          <w:t> </w:t>
                        </w:r>
                        <w:r>
                          <w:rPr>
                            <w:sz w:val="16"/>
                            <w:u w:val="dotted" w:color="929292"/>
                          </w:rPr>
                          <w:t>1976</w:t>
                          <w:tab/>
                        </w:r>
                      </w:p>
                    </w:tc>
                  </w:tr>
                  <w:tr>
                    <w:trPr>
                      <w:trHeight w:val="324" w:hRule="exact"/>
                    </w:trPr>
                    <w:tc>
                      <w:tcPr>
                        <w:tcW w:w="4288" w:type="dxa"/>
                        <w:tcBorders>
                          <w:top w:val="single" w:sz="4" w:space="0" w:color="FFFFFF"/>
                          <w:left w:val="nil"/>
                          <w:bottom w:val="single" w:sz="4" w:space="0" w:color="FFFFFF"/>
                        </w:tcBorders>
                      </w:tcPr>
                      <w:p>
                        <w:pPr>
                          <w:pStyle w:val="TableParagraph"/>
                          <w:spacing w:line="148" w:lineRule="exact"/>
                          <w:ind w:left="103"/>
                          <w:rPr>
                            <w:sz w:val="16"/>
                          </w:rPr>
                        </w:pPr>
                        <w:r>
                          <w:rPr>
                            <w:sz w:val="16"/>
                          </w:rPr>
                          <w:t>Parque Estatal Alameda Poniente “San José de la Pila”</w:t>
                        </w:r>
                      </w:p>
                      <w:p>
                        <w:pPr>
                          <w:pStyle w:val="TableParagraph"/>
                          <w:tabs>
                            <w:tab w:pos="4273" w:val="left" w:leader="none"/>
                          </w:tabs>
                          <w:spacing w:before="16"/>
                          <w:ind w:left="29"/>
                          <w:rPr>
                            <w:sz w:val="16"/>
                          </w:rPr>
                        </w:pPr>
                        <w:r>
                          <w:rPr>
                            <w:w w:val="100"/>
                            <w:sz w:val="16"/>
                            <w:u w:val="dotted" w:color="929292"/>
                          </w:rPr>
                          <w:t> </w:t>
                        </w:r>
                        <w:r>
                          <w:rPr>
                            <w:spacing w:val="-16"/>
                            <w:sz w:val="16"/>
                            <w:u w:val="dotted" w:color="929292"/>
                          </w:rPr>
                          <w:t> </w:t>
                        </w:r>
                        <w:r>
                          <w:rPr>
                            <w:sz w:val="16"/>
                            <w:u w:val="dotted" w:color="929292"/>
                          </w:rPr>
                          <w:t>(Alameda</w:t>
                        </w:r>
                        <w:r>
                          <w:rPr>
                            <w:spacing w:val="-27"/>
                            <w:sz w:val="16"/>
                            <w:u w:val="dotted" w:color="929292"/>
                          </w:rPr>
                          <w:t> </w:t>
                        </w:r>
                        <w:r>
                          <w:rPr>
                            <w:sz w:val="16"/>
                            <w:u w:val="dotted" w:color="929292"/>
                          </w:rPr>
                          <w:t>2000)</w:t>
                          <w:tab/>
                        </w:r>
                      </w:p>
                    </w:tc>
                    <w:tc>
                      <w:tcPr>
                        <w:tcW w:w="1418" w:type="dxa"/>
                        <w:tcBorders>
                          <w:top w:val="single" w:sz="4" w:space="0" w:color="FFFFFF"/>
                        </w:tcBorders>
                      </w:tcPr>
                      <w:p>
                        <w:pPr>
                          <w:pStyle w:val="TableParagraph"/>
                          <w:spacing w:before="64"/>
                          <w:ind w:left="103"/>
                          <w:rPr>
                            <w:sz w:val="16"/>
                          </w:rPr>
                        </w:pPr>
                        <w:r>
                          <w:rPr>
                            <w:sz w:val="16"/>
                          </w:rPr>
                          <w:t>176.32</w:t>
                        </w:r>
                      </w:p>
                    </w:tc>
                    <w:tc>
                      <w:tcPr>
                        <w:tcW w:w="924" w:type="dxa"/>
                        <w:tcBorders>
                          <w:top w:val="single" w:sz="4" w:space="0" w:color="FFFFFF"/>
                          <w:right w:val="nil"/>
                        </w:tcBorders>
                      </w:tcPr>
                      <w:p>
                        <w:pPr>
                          <w:pStyle w:val="TableParagraph"/>
                          <w:spacing w:before="64"/>
                          <w:ind w:left="103" w:right="235"/>
                          <w:rPr>
                            <w:sz w:val="16"/>
                          </w:rPr>
                        </w:pPr>
                        <w:r>
                          <w:rPr>
                            <w:sz w:val="16"/>
                          </w:rPr>
                          <w:t>1993</w:t>
                        </w:r>
                      </w:p>
                    </w:tc>
                  </w:tr>
                  <w:tr>
                    <w:trPr>
                      <w:trHeight w:val="124" w:hRule="exact"/>
                    </w:trPr>
                    <w:tc>
                      <w:tcPr>
                        <w:tcW w:w="4288" w:type="dxa"/>
                        <w:tcBorders>
                          <w:top w:val="single" w:sz="4" w:space="0" w:color="FFFFFF"/>
                          <w:left w:val="nil"/>
                          <w:bottom w:val="single" w:sz="4" w:space="0" w:color="FFFFFF"/>
                        </w:tcBorders>
                      </w:tcPr>
                      <w:p>
                        <w:pPr>
                          <w:pStyle w:val="TableParagraph"/>
                          <w:tabs>
                            <w:tab w:pos="4273" w:val="left" w:leader="none"/>
                          </w:tabs>
                          <w:spacing w:line="148" w:lineRule="exact"/>
                          <w:ind w:left="29"/>
                          <w:rPr>
                            <w:sz w:val="16"/>
                          </w:rPr>
                        </w:pPr>
                        <w:r>
                          <w:rPr>
                            <w:w w:val="100"/>
                            <w:sz w:val="16"/>
                            <w:u w:val="dotted" w:color="929292"/>
                          </w:rPr>
                          <w:t> </w:t>
                        </w:r>
                        <w:r>
                          <w:rPr>
                            <w:spacing w:val="-16"/>
                            <w:sz w:val="16"/>
                            <w:u w:val="dotted" w:color="929292"/>
                          </w:rPr>
                          <w:t> </w:t>
                        </w:r>
                        <w:r>
                          <w:rPr>
                            <w:sz w:val="16"/>
                            <w:u w:val="dotted" w:color="929292"/>
                          </w:rPr>
                          <w:t>Parque</w:t>
                        </w:r>
                        <w:r>
                          <w:rPr>
                            <w:spacing w:val="-12"/>
                            <w:sz w:val="16"/>
                            <w:u w:val="dotted" w:color="929292"/>
                          </w:rPr>
                          <w:t> </w:t>
                        </w:r>
                        <w:r>
                          <w:rPr>
                            <w:sz w:val="16"/>
                            <w:u w:val="dotted" w:color="929292"/>
                          </w:rPr>
                          <w:t>Matlazincas</w:t>
                        </w:r>
                        <w:r>
                          <w:rPr>
                            <w:spacing w:val="-12"/>
                            <w:sz w:val="16"/>
                            <w:u w:val="dotted" w:color="929292"/>
                          </w:rPr>
                          <w:t> </w:t>
                        </w:r>
                        <w:r>
                          <w:rPr>
                            <w:sz w:val="16"/>
                            <w:u w:val="dotted" w:color="929292"/>
                          </w:rPr>
                          <w:t>(El</w:t>
                        </w:r>
                        <w:r>
                          <w:rPr>
                            <w:spacing w:val="-12"/>
                            <w:sz w:val="16"/>
                            <w:u w:val="dotted" w:color="929292"/>
                          </w:rPr>
                          <w:t> </w:t>
                        </w:r>
                        <w:r>
                          <w:rPr>
                            <w:sz w:val="16"/>
                            <w:u w:val="dotted" w:color="929292"/>
                          </w:rPr>
                          <w:t>Calvario)</w:t>
                          <w:tab/>
                        </w:r>
                      </w:p>
                    </w:tc>
                    <w:tc>
                      <w:tcPr>
                        <w:tcW w:w="1418" w:type="dxa"/>
                        <w:tcBorders>
                          <w:bottom w:val="single" w:sz="4" w:space="0" w:color="FFFFFF"/>
                        </w:tcBorders>
                      </w:tcPr>
                      <w:p>
                        <w:pPr>
                          <w:pStyle w:val="TableParagraph"/>
                          <w:tabs>
                            <w:tab w:pos="1397" w:val="left" w:leader="none"/>
                          </w:tabs>
                          <w:spacing w:line="148" w:lineRule="exact"/>
                          <w:ind w:left="25"/>
                          <w:rPr>
                            <w:sz w:val="16"/>
                          </w:rPr>
                        </w:pPr>
                        <w:r>
                          <w:rPr>
                            <w:w w:val="100"/>
                            <w:sz w:val="16"/>
                            <w:u w:val="dotted" w:color="929292"/>
                          </w:rPr>
                          <w:t> </w:t>
                        </w:r>
                        <w:r>
                          <w:rPr>
                            <w:spacing w:val="-11"/>
                            <w:sz w:val="16"/>
                            <w:u w:val="dotted" w:color="929292"/>
                          </w:rPr>
                          <w:t> </w:t>
                        </w:r>
                        <w:r>
                          <w:rPr>
                            <w:sz w:val="16"/>
                            <w:u w:val="dotted" w:color="929292"/>
                          </w:rPr>
                          <w:t>8.03</w:t>
                          <w:tab/>
                        </w:r>
                      </w:p>
                    </w:tc>
                    <w:tc>
                      <w:tcPr>
                        <w:tcW w:w="924" w:type="dxa"/>
                        <w:tcBorders>
                          <w:bottom w:val="single" w:sz="4" w:space="0" w:color="FFFFFF"/>
                          <w:right w:val="nil"/>
                        </w:tcBorders>
                      </w:tcPr>
                      <w:p>
                        <w:pPr>
                          <w:pStyle w:val="TableParagraph"/>
                          <w:tabs>
                            <w:tab w:pos="904" w:val="left" w:leader="none"/>
                          </w:tabs>
                          <w:spacing w:line="148" w:lineRule="exact"/>
                          <w:ind w:left="24"/>
                          <w:rPr>
                            <w:sz w:val="16"/>
                          </w:rPr>
                        </w:pPr>
                        <w:r>
                          <w:rPr>
                            <w:w w:val="100"/>
                            <w:sz w:val="16"/>
                            <w:u w:val="dotted" w:color="929292"/>
                          </w:rPr>
                          <w:t> </w:t>
                        </w:r>
                        <w:r>
                          <w:rPr>
                            <w:spacing w:val="-10"/>
                            <w:sz w:val="16"/>
                            <w:u w:val="dotted" w:color="929292"/>
                          </w:rPr>
                          <w:t> </w:t>
                        </w:r>
                        <w:r>
                          <w:rPr>
                            <w:sz w:val="16"/>
                            <w:u w:val="dotted" w:color="929292"/>
                          </w:rPr>
                          <w:t>S/D</w:t>
                          <w:tab/>
                        </w:r>
                      </w:p>
                    </w:tc>
                  </w:tr>
                  <w:tr>
                    <w:trPr>
                      <w:trHeight w:val="324" w:hRule="exact"/>
                    </w:trPr>
                    <w:tc>
                      <w:tcPr>
                        <w:tcW w:w="4288" w:type="dxa"/>
                        <w:tcBorders>
                          <w:top w:val="single" w:sz="4" w:space="0" w:color="FFFFFF"/>
                          <w:left w:val="nil"/>
                          <w:bottom w:val="single" w:sz="4" w:space="0" w:color="FFFFFF"/>
                        </w:tcBorders>
                      </w:tcPr>
                      <w:p>
                        <w:pPr>
                          <w:pStyle w:val="TableParagraph"/>
                          <w:spacing w:line="148" w:lineRule="exact"/>
                          <w:ind w:left="103"/>
                          <w:rPr>
                            <w:sz w:val="16"/>
                          </w:rPr>
                        </w:pPr>
                        <w:r>
                          <w:rPr>
                            <w:sz w:val="16"/>
                          </w:rPr>
                          <w:t>Santuario del Agua y Forestal Subcuenca Tributaria</w:t>
                        </w:r>
                      </w:p>
                      <w:p>
                        <w:pPr>
                          <w:pStyle w:val="TableParagraph"/>
                          <w:tabs>
                            <w:tab w:pos="4273" w:val="left" w:leader="none"/>
                          </w:tabs>
                          <w:spacing w:before="16"/>
                          <w:ind w:left="29"/>
                          <w:rPr>
                            <w:sz w:val="16"/>
                          </w:rPr>
                        </w:pPr>
                        <w:r>
                          <w:rPr>
                            <w:w w:val="100"/>
                            <w:sz w:val="16"/>
                            <w:u w:val="dotted" w:color="929292"/>
                          </w:rPr>
                          <w:t> </w:t>
                        </w:r>
                        <w:r>
                          <w:rPr>
                            <w:spacing w:val="-16"/>
                            <w:sz w:val="16"/>
                            <w:u w:val="dotted" w:color="929292"/>
                          </w:rPr>
                          <w:t> </w:t>
                        </w:r>
                        <w:r>
                          <w:rPr>
                            <w:sz w:val="16"/>
                            <w:u w:val="dotted" w:color="929292"/>
                          </w:rPr>
                          <w:t>Presa José Antonio</w:t>
                        </w:r>
                        <w:r>
                          <w:rPr>
                            <w:spacing w:val="-5"/>
                            <w:sz w:val="16"/>
                            <w:u w:val="dotted" w:color="929292"/>
                          </w:rPr>
                          <w:t> </w:t>
                        </w:r>
                        <w:r>
                          <w:rPr>
                            <w:sz w:val="16"/>
                            <w:u w:val="dotted" w:color="929292"/>
                          </w:rPr>
                          <w:t>Alzate</w:t>
                          <w:tab/>
                        </w:r>
                      </w:p>
                    </w:tc>
                    <w:tc>
                      <w:tcPr>
                        <w:tcW w:w="1418" w:type="dxa"/>
                        <w:tcBorders>
                          <w:top w:val="single" w:sz="4" w:space="0" w:color="FFFFFF"/>
                        </w:tcBorders>
                      </w:tcPr>
                      <w:p>
                        <w:pPr>
                          <w:pStyle w:val="TableParagraph"/>
                          <w:spacing w:before="64"/>
                          <w:ind w:left="103"/>
                          <w:rPr>
                            <w:sz w:val="16"/>
                          </w:rPr>
                        </w:pPr>
                        <w:r>
                          <w:rPr>
                            <w:sz w:val="16"/>
                          </w:rPr>
                          <w:t>11,529.00</w:t>
                        </w:r>
                      </w:p>
                    </w:tc>
                    <w:tc>
                      <w:tcPr>
                        <w:tcW w:w="924" w:type="dxa"/>
                        <w:tcBorders>
                          <w:top w:val="single" w:sz="4" w:space="0" w:color="FFFFFF"/>
                          <w:right w:val="nil"/>
                        </w:tcBorders>
                      </w:tcPr>
                      <w:p>
                        <w:pPr/>
                      </w:p>
                    </w:tc>
                  </w:tr>
                  <w:tr>
                    <w:trPr>
                      <w:trHeight w:val="324" w:hRule="exact"/>
                    </w:trPr>
                    <w:tc>
                      <w:tcPr>
                        <w:tcW w:w="4288" w:type="dxa"/>
                        <w:tcBorders>
                          <w:top w:val="single" w:sz="4" w:space="0" w:color="FFFFFF"/>
                          <w:left w:val="nil"/>
                          <w:bottom w:val="single" w:sz="4" w:space="0" w:color="FFFFFF"/>
                        </w:tcBorders>
                      </w:tcPr>
                      <w:p>
                        <w:pPr>
                          <w:pStyle w:val="TableParagraph"/>
                          <w:spacing w:line="148" w:lineRule="exact"/>
                          <w:ind w:left="103"/>
                          <w:rPr>
                            <w:sz w:val="16"/>
                          </w:rPr>
                        </w:pPr>
                        <w:r>
                          <w:rPr>
                            <w:sz w:val="16"/>
                          </w:rPr>
                          <w:t>Parque Ecológico, Recreativo y Turístico, Zoológico de</w:t>
                        </w:r>
                      </w:p>
                      <w:p>
                        <w:pPr>
                          <w:pStyle w:val="TableParagraph"/>
                          <w:tabs>
                            <w:tab w:pos="4273" w:val="left" w:leader="none"/>
                          </w:tabs>
                          <w:spacing w:before="16"/>
                          <w:ind w:left="29"/>
                          <w:rPr>
                            <w:sz w:val="16"/>
                          </w:rPr>
                        </w:pPr>
                        <w:r>
                          <w:rPr>
                            <w:w w:val="100"/>
                            <w:sz w:val="16"/>
                            <w:u w:val="dotted" w:color="929292"/>
                          </w:rPr>
                          <w:t> </w:t>
                        </w:r>
                        <w:r>
                          <w:rPr>
                            <w:spacing w:val="-16"/>
                            <w:sz w:val="16"/>
                            <w:u w:val="dotted" w:color="929292"/>
                          </w:rPr>
                          <w:t> </w:t>
                        </w:r>
                        <w:r>
                          <w:rPr>
                            <w:sz w:val="16"/>
                            <w:u w:val="dotted" w:color="929292"/>
                          </w:rPr>
                          <w:t>Zacango</w:t>
                          <w:tab/>
                        </w:r>
                      </w:p>
                    </w:tc>
                    <w:tc>
                      <w:tcPr>
                        <w:tcW w:w="1418" w:type="dxa"/>
                      </w:tcPr>
                      <w:p>
                        <w:pPr>
                          <w:pStyle w:val="TableParagraph"/>
                          <w:spacing w:before="64"/>
                          <w:ind w:left="103"/>
                          <w:rPr>
                            <w:sz w:val="16"/>
                          </w:rPr>
                        </w:pPr>
                        <w:r>
                          <w:rPr>
                            <w:sz w:val="16"/>
                          </w:rPr>
                          <w:t>159.00</w:t>
                        </w:r>
                      </w:p>
                    </w:tc>
                    <w:tc>
                      <w:tcPr>
                        <w:tcW w:w="924" w:type="dxa"/>
                        <w:tcBorders>
                          <w:right w:val="nil"/>
                        </w:tcBorders>
                      </w:tcPr>
                      <w:p>
                        <w:pPr>
                          <w:pStyle w:val="TableParagraph"/>
                          <w:spacing w:before="64"/>
                          <w:ind w:left="103" w:right="235"/>
                          <w:rPr>
                            <w:sz w:val="16"/>
                          </w:rPr>
                        </w:pPr>
                        <w:r>
                          <w:rPr>
                            <w:sz w:val="16"/>
                          </w:rPr>
                          <w:t>1981</w:t>
                        </w:r>
                      </w:p>
                    </w:tc>
                  </w:tr>
                </w:tbl>
                <w:p>
                  <w:pPr>
                    <w:pStyle w:val="BodyText"/>
                  </w:pPr>
                </w:p>
              </w:txbxContent>
            </v:textbox>
            <w10:wrap type="none"/>
          </v:shape>
        </w:pict>
      </w:r>
      <w:r>
        <w:rPr>
          <w:color w:val="6D6E71"/>
          <w:sz w:val="16"/>
        </w:rPr>
        <w:t>Cuadro No.2. Áreas Naturales Protegidas del municipio de Toluca</w:t>
      </w:r>
    </w:p>
    <w:p>
      <w:pPr>
        <w:pStyle w:val="BodyText"/>
        <w:spacing w:before="10"/>
        <w:rPr>
          <w:sz w:val="8"/>
        </w:rPr>
      </w:pPr>
    </w:p>
    <w:p>
      <w:pPr>
        <w:pStyle w:val="BodyText"/>
        <w:ind w:left="657"/>
      </w:pPr>
      <w:r>
        <w:rPr/>
        <w:pict>
          <v:group style="width:332.05pt;height:21.4pt;mso-position-horizontal-relative:char;mso-position-vertical-relative:line" coordorigin="0,0" coordsize="6641,428">
            <v:rect style="position:absolute;left:0;top:0;width:4293;height:428" filled="true" fillcolor="#929292" stroked="false">
              <v:fill type="solid"/>
            </v:rect>
            <v:rect style="position:absolute;left:4293;top:0;width:1418;height:428" filled="true" fillcolor="#929292" stroked="false">
              <v:fill type="solid"/>
            </v:rect>
            <v:rect style="position:absolute;left:5711;top:0;width:929;height:428" filled="true" fillcolor="#929292" stroked="false">
              <v:fill type="solid"/>
            </v:rect>
          </v:group>
        </w:pict>
      </w:r>
      <w:r>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5"/>
        </w:rPr>
      </w:pPr>
    </w:p>
    <w:p>
      <w:pPr>
        <w:tabs>
          <w:tab w:pos="4936" w:val="left" w:leader="none"/>
          <w:tab w:pos="6354" w:val="left" w:leader="none"/>
        </w:tabs>
        <w:spacing w:line="484" w:lineRule="auto" w:before="0"/>
        <w:ind w:left="1646" w:right="1477" w:hanging="954"/>
        <w:jc w:val="left"/>
        <w:rPr>
          <w:sz w:val="16"/>
        </w:rPr>
      </w:pPr>
      <w:r>
        <w:rPr>
          <w:w w:val="100"/>
          <w:sz w:val="16"/>
          <w:u w:val="dotted" w:color="929292"/>
        </w:rPr>
        <w:t> </w:t>
      </w:r>
      <w:r>
        <w:rPr>
          <w:spacing w:val="-15"/>
          <w:sz w:val="16"/>
          <w:u w:val="dotted" w:color="929292"/>
        </w:rPr>
        <w:t> </w:t>
      </w:r>
      <w:r>
        <w:rPr>
          <w:sz w:val="16"/>
          <w:u w:val="dotted" w:color="929292"/>
        </w:rPr>
        <w:t>Total</w:t>
        <w:tab/>
        <w:tab/>
      </w:r>
      <w:r>
        <w:rPr>
          <w:sz w:val="16"/>
          <w:u w:val="dotted" w:color="929292"/>
        </w:rPr>
        <w:t> 21,173.44</w:t>
        <w:tab/>
      </w:r>
      <w:r>
        <w:rPr>
          <w:color w:val="6D6E71"/>
          <w:sz w:val="16"/>
        </w:rPr>
        <w:t>Fuente:</w:t>
      </w:r>
      <w:r>
        <w:rPr>
          <w:color w:val="6D6E71"/>
          <w:spacing w:val="-1"/>
          <w:sz w:val="16"/>
        </w:rPr>
        <w:t> </w:t>
      </w:r>
      <w:r>
        <w:rPr>
          <w:color w:val="6D6E71"/>
          <w:sz w:val="16"/>
        </w:rPr>
        <w:t>Elaborado con base en H. Ayuntamiento de Toluca.</w:t>
      </w:r>
      <w:r>
        <w:rPr>
          <w:color w:val="6D6E71"/>
          <w:spacing w:val="16"/>
          <w:sz w:val="16"/>
        </w:rPr>
        <w:t> </w:t>
      </w:r>
      <w:r>
        <w:rPr>
          <w:color w:val="6D6E71"/>
          <w:sz w:val="16"/>
        </w:rPr>
        <w:t>2012</w:t>
      </w:r>
    </w:p>
    <w:p>
      <w:pPr>
        <w:pStyle w:val="BodyText"/>
        <w:spacing w:line="249" w:lineRule="auto" w:before="76"/>
        <w:ind w:left="123" w:firstLine="170"/>
        <w:jc w:val="both"/>
      </w:pPr>
      <w:r>
        <w:rPr/>
        <w:t>Estas ANP fueron decretadas la primera de ellas en 1936 (Nevado de Toluca) hasta 1993 (Alameda Poniente – Alameda 2000) y en relación a la ubicación de estas 6 ANP podemos señalar que 3 de ellas se ubican dentro el área urbana de Toluca, lo que implica que representen espacios de contención del crecimiento  urbano.</w:t>
      </w:r>
    </w:p>
    <w:p>
      <w:pPr>
        <w:pStyle w:val="BodyText"/>
        <w:spacing w:before="11"/>
      </w:pPr>
    </w:p>
    <w:p>
      <w:pPr>
        <w:pStyle w:val="BodyText"/>
        <w:spacing w:line="249" w:lineRule="auto"/>
        <w:ind w:left="123" w:firstLine="170"/>
        <w:jc w:val="both"/>
      </w:pPr>
      <w:r>
        <w:rPr/>
        <w:t>Ahora bien, según datos del Plan de Desarrollo Urbano de Toluca vigente, en las últimas tres décadas el crecimiento demográfico en el municipio de Toluca ha sido el siguiente: para 1990 contaba con 487,612 habitantes, en el año 2000 tenía 666,596 y para</w:t>
      </w:r>
      <w:r>
        <w:rPr>
          <w:spacing w:val="-9"/>
        </w:rPr>
        <w:t> </w:t>
      </w:r>
      <w:r>
        <w:rPr/>
        <w:t>2010</w:t>
      </w:r>
      <w:r>
        <w:rPr>
          <w:spacing w:val="-9"/>
        </w:rPr>
        <w:t> </w:t>
      </w:r>
      <w:r>
        <w:rPr/>
        <w:t>se</w:t>
      </w:r>
      <w:r>
        <w:rPr>
          <w:spacing w:val="-9"/>
        </w:rPr>
        <w:t> </w:t>
      </w:r>
      <w:r>
        <w:rPr/>
        <w:t>registraron</w:t>
      </w:r>
      <w:r>
        <w:rPr>
          <w:spacing w:val="-9"/>
        </w:rPr>
        <w:t> </w:t>
      </w:r>
      <w:r>
        <w:rPr/>
        <w:t>819,561</w:t>
      </w:r>
      <w:r>
        <w:rPr>
          <w:spacing w:val="-8"/>
        </w:rPr>
        <w:t> </w:t>
      </w:r>
      <w:r>
        <w:rPr/>
        <w:t>habitantes,</w:t>
      </w:r>
      <w:r>
        <w:rPr>
          <w:spacing w:val="-8"/>
        </w:rPr>
        <w:t> </w:t>
      </w:r>
      <w:r>
        <w:rPr/>
        <w:t>lo</w:t>
      </w:r>
      <w:r>
        <w:rPr>
          <w:spacing w:val="-9"/>
        </w:rPr>
        <w:t> </w:t>
      </w:r>
      <w:r>
        <w:rPr/>
        <w:t>que</w:t>
      </w:r>
      <w:r>
        <w:rPr>
          <w:spacing w:val="-9"/>
        </w:rPr>
        <w:t> </w:t>
      </w:r>
      <w:r>
        <w:rPr/>
        <w:t>representa</w:t>
      </w:r>
      <w:r>
        <w:rPr>
          <w:spacing w:val="-9"/>
        </w:rPr>
        <w:t> </w:t>
      </w:r>
      <w:r>
        <w:rPr/>
        <w:t>un</w:t>
      </w:r>
      <w:r>
        <w:rPr>
          <w:spacing w:val="-9"/>
        </w:rPr>
        <w:t> </w:t>
      </w:r>
      <w:r>
        <w:rPr/>
        <w:t>incremento</w:t>
      </w:r>
      <w:r>
        <w:rPr>
          <w:spacing w:val="-8"/>
        </w:rPr>
        <w:t> </w:t>
      </w:r>
      <w:r>
        <w:rPr/>
        <w:t>del</w:t>
      </w:r>
      <w:r>
        <w:rPr>
          <w:spacing w:val="-9"/>
        </w:rPr>
        <w:t> </w:t>
      </w:r>
      <w:r>
        <w:rPr/>
        <w:t>60%. En</w:t>
      </w:r>
      <w:r>
        <w:rPr>
          <w:spacing w:val="-7"/>
        </w:rPr>
        <w:t> </w:t>
      </w:r>
      <w:r>
        <w:rPr/>
        <w:t>relación</w:t>
      </w:r>
      <w:r>
        <w:rPr>
          <w:spacing w:val="-7"/>
        </w:rPr>
        <w:t> </w:t>
      </w:r>
      <w:r>
        <w:rPr/>
        <w:t>a</w:t>
      </w:r>
      <w:r>
        <w:rPr>
          <w:spacing w:val="-7"/>
        </w:rPr>
        <w:t> </w:t>
      </w:r>
      <w:r>
        <w:rPr/>
        <w:t>la</w:t>
      </w:r>
      <w:r>
        <w:rPr>
          <w:spacing w:val="-7"/>
        </w:rPr>
        <w:t> </w:t>
      </w:r>
      <w:r>
        <w:rPr/>
        <w:t>vivienda</w:t>
      </w:r>
      <w:r>
        <w:rPr>
          <w:spacing w:val="-7"/>
        </w:rPr>
        <w:t> </w:t>
      </w:r>
      <w:r>
        <w:rPr/>
        <w:t>ha</w:t>
      </w:r>
      <w:r>
        <w:rPr>
          <w:spacing w:val="-7"/>
        </w:rPr>
        <w:t> </w:t>
      </w:r>
      <w:r>
        <w:rPr/>
        <w:t>pasado</w:t>
      </w:r>
      <w:r>
        <w:rPr>
          <w:spacing w:val="-7"/>
        </w:rPr>
        <w:t> </w:t>
      </w:r>
      <w:r>
        <w:rPr/>
        <w:t>de</w:t>
      </w:r>
      <w:r>
        <w:rPr>
          <w:spacing w:val="-7"/>
        </w:rPr>
        <w:t> </w:t>
      </w:r>
      <w:r>
        <w:rPr/>
        <w:t>92,743</w:t>
      </w:r>
      <w:r>
        <w:rPr>
          <w:spacing w:val="-7"/>
        </w:rPr>
        <w:t> </w:t>
      </w:r>
      <w:r>
        <w:rPr/>
        <w:t>viviendas</w:t>
      </w:r>
      <w:r>
        <w:rPr>
          <w:spacing w:val="-7"/>
        </w:rPr>
        <w:t> </w:t>
      </w:r>
      <w:r>
        <w:rPr/>
        <w:t>en</w:t>
      </w:r>
      <w:r>
        <w:rPr>
          <w:spacing w:val="-7"/>
        </w:rPr>
        <w:t> </w:t>
      </w:r>
      <w:r>
        <w:rPr/>
        <w:t>1970</w:t>
      </w:r>
      <w:r>
        <w:rPr>
          <w:spacing w:val="-7"/>
        </w:rPr>
        <w:t> </w:t>
      </w:r>
      <w:r>
        <w:rPr/>
        <w:t>a</w:t>
      </w:r>
      <w:r>
        <w:rPr>
          <w:spacing w:val="-7"/>
        </w:rPr>
        <w:t> </w:t>
      </w:r>
      <w:r>
        <w:rPr/>
        <w:t>199,</w:t>
      </w:r>
      <w:r>
        <w:rPr>
          <w:spacing w:val="-7"/>
        </w:rPr>
        <w:t> </w:t>
      </w:r>
      <w:r>
        <w:rPr/>
        <w:t>825</w:t>
      </w:r>
      <w:r>
        <w:rPr>
          <w:spacing w:val="-7"/>
        </w:rPr>
        <w:t> </w:t>
      </w:r>
      <w:r>
        <w:rPr/>
        <w:t>para</w:t>
      </w:r>
      <w:r>
        <w:rPr>
          <w:spacing w:val="-7"/>
        </w:rPr>
        <w:t> </w:t>
      </w:r>
      <w:r>
        <w:rPr/>
        <w:t>2010; lo que representa un incremento del 46% es decir, 107,072 viviendas adicionales, en treinta años casi se duplicó el total de viviendas. (Ver Figura</w:t>
      </w:r>
      <w:r>
        <w:rPr>
          <w:spacing w:val="-19"/>
        </w:rPr>
        <w:t> </w:t>
      </w:r>
      <w:r>
        <w:rPr/>
        <w:t>1).</w:t>
      </w:r>
    </w:p>
    <w:p>
      <w:pPr>
        <w:spacing w:before="80"/>
        <w:ind w:left="1549" w:right="0" w:firstLine="52"/>
        <w:jc w:val="left"/>
        <w:rPr>
          <w:sz w:val="16"/>
        </w:rPr>
      </w:pPr>
      <w:r>
        <w:rPr/>
        <w:br w:type="column"/>
      </w:r>
      <w:r>
        <w:rPr>
          <w:color w:val="6D6E71"/>
          <w:sz w:val="16"/>
        </w:rPr>
        <w:t>Figura 1. Estructura Urbana y Usos del Suelo, municipio de Toluca</w:t>
      </w:r>
    </w:p>
    <w:p>
      <w:pPr>
        <w:pStyle w:val="BodyText"/>
        <w:spacing w:before="1"/>
        <w:rPr>
          <w:sz w:val="7"/>
        </w:rPr>
      </w:pPr>
    </w:p>
    <w:p>
      <w:pPr>
        <w:pStyle w:val="BodyText"/>
        <w:ind w:left="203"/>
      </w:pPr>
      <w:r>
        <w:rPr/>
        <w:drawing>
          <wp:inline distT="0" distB="0" distL="0" distR="0">
            <wp:extent cx="4823464" cy="4328160"/>
            <wp:effectExtent l="0" t="0" r="0" b="0"/>
            <wp:docPr id="125" name="image91.jpeg" descr=""/>
            <wp:cNvGraphicFramePr>
              <a:graphicFrameLocks noChangeAspect="1"/>
            </wp:cNvGraphicFramePr>
            <a:graphic>
              <a:graphicData uri="http://schemas.openxmlformats.org/drawingml/2006/picture">
                <pic:pic>
                  <pic:nvPicPr>
                    <pic:cNvPr id="126" name="image91.jpeg"/>
                    <pic:cNvPicPr/>
                  </pic:nvPicPr>
                  <pic:blipFill>
                    <a:blip r:embed="rId319" cstate="print"/>
                    <a:stretch>
                      <a:fillRect/>
                    </a:stretch>
                  </pic:blipFill>
                  <pic:spPr>
                    <a:xfrm>
                      <a:off x="0" y="0"/>
                      <a:ext cx="4823464" cy="4328160"/>
                    </a:xfrm>
                    <a:prstGeom prst="rect">
                      <a:avLst/>
                    </a:prstGeom>
                  </pic:spPr>
                </pic:pic>
              </a:graphicData>
            </a:graphic>
          </wp:inline>
        </w:drawing>
      </w:r>
      <w:r>
        <w:rPr/>
      </w:r>
    </w:p>
    <w:p>
      <w:pPr>
        <w:spacing w:before="118"/>
        <w:ind w:left="1549" w:right="0" w:firstLine="0"/>
        <w:jc w:val="left"/>
        <w:rPr>
          <w:sz w:val="16"/>
        </w:rPr>
      </w:pPr>
      <w:r>
        <w:rPr>
          <w:color w:val="6D6E71"/>
          <w:sz w:val="16"/>
        </w:rPr>
        <w:t>Fuente: Plan Municipal de Desarrollo Urbano de Toluca 2013 -2015.</w:t>
      </w:r>
    </w:p>
    <w:p>
      <w:pPr>
        <w:pStyle w:val="BodyText"/>
        <w:spacing w:before="5"/>
        <w:rPr>
          <w:sz w:val="22"/>
        </w:rPr>
      </w:pPr>
    </w:p>
    <w:p>
      <w:pPr>
        <w:pStyle w:val="BodyText"/>
        <w:spacing w:line="249" w:lineRule="auto"/>
        <w:ind w:left="123" w:right="128" w:firstLine="170"/>
        <w:jc w:val="both"/>
      </w:pPr>
      <w:r>
        <w:rPr/>
        <w:t>En el año 2000 surgen los siguientes desarrollos inmobiliarios: “Villas Santín, Los Suces, el Olimpo, Geo Villas, La Floresta, Misiones de Santa Esperanza, Conjunto Urbano Jesús García Lovera y Galaxia, ubicados al Oriente del Municipio (San Mateo Otzacatipan y San Pedro Totoltepec).” (H. Ayuntamiento de Toluca, 2013: 55)</w:t>
      </w:r>
    </w:p>
    <w:p>
      <w:pPr>
        <w:pStyle w:val="BodyText"/>
        <w:spacing w:before="11"/>
      </w:pPr>
    </w:p>
    <w:p>
      <w:pPr>
        <w:pStyle w:val="BodyText"/>
        <w:spacing w:line="249" w:lineRule="auto"/>
        <w:ind w:left="123" w:right="129" w:firstLine="170"/>
        <w:jc w:val="both"/>
      </w:pPr>
      <w:r>
        <w:rPr/>
        <w:t>El</w:t>
      </w:r>
      <w:r>
        <w:rPr>
          <w:spacing w:val="-6"/>
        </w:rPr>
        <w:t> </w:t>
      </w:r>
      <w:r>
        <w:rPr/>
        <w:t>uso</w:t>
      </w:r>
      <w:r>
        <w:rPr>
          <w:spacing w:val="-6"/>
        </w:rPr>
        <w:t> </w:t>
      </w:r>
      <w:r>
        <w:rPr/>
        <w:t>de</w:t>
      </w:r>
      <w:r>
        <w:rPr>
          <w:spacing w:val="-6"/>
        </w:rPr>
        <w:t> </w:t>
      </w:r>
      <w:r>
        <w:rPr/>
        <w:t>suelo</w:t>
      </w:r>
      <w:r>
        <w:rPr>
          <w:spacing w:val="-6"/>
        </w:rPr>
        <w:t> </w:t>
      </w:r>
      <w:r>
        <w:rPr/>
        <w:t>urbano</w:t>
      </w:r>
      <w:r>
        <w:rPr>
          <w:spacing w:val="-6"/>
        </w:rPr>
        <w:t> </w:t>
      </w:r>
      <w:r>
        <w:rPr/>
        <w:t>en</w:t>
      </w:r>
      <w:r>
        <w:rPr>
          <w:spacing w:val="-6"/>
        </w:rPr>
        <w:t> </w:t>
      </w:r>
      <w:r>
        <w:rPr/>
        <w:t>el</w:t>
      </w:r>
      <w:r>
        <w:rPr>
          <w:spacing w:val="-6"/>
        </w:rPr>
        <w:t> </w:t>
      </w:r>
      <w:r>
        <w:rPr/>
        <w:t>año</w:t>
      </w:r>
      <w:r>
        <w:rPr>
          <w:spacing w:val="-6"/>
        </w:rPr>
        <w:t> </w:t>
      </w:r>
      <w:r>
        <w:rPr/>
        <w:t>2000</w:t>
      </w:r>
      <w:r>
        <w:rPr>
          <w:spacing w:val="-6"/>
        </w:rPr>
        <w:t> </w:t>
      </w:r>
      <w:r>
        <w:rPr/>
        <w:t>fue</w:t>
      </w:r>
      <w:r>
        <w:rPr>
          <w:spacing w:val="-6"/>
        </w:rPr>
        <w:t> </w:t>
      </w:r>
      <w:r>
        <w:rPr/>
        <w:t>de</w:t>
      </w:r>
      <w:r>
        <w:rPr>
          <w:spacing w:val="-6"/>
        </w:rPr>
        <w:t> </w:t>
      </w:r>
      <w:r>
        <w:rPr/>
        <w:t>16,039.52</w:t>
      </w:r>
      <w:r>
        <w:rPr>
          <w:spacing w:val="-6"/>
        </w:rPr>
        <w:t> </w:t>
      </w:r>
      <w:r>
        <w:rPr/>
        <w:t>hectáreas</w:t>
      </w:r>
      <w:r>
        <w:rPr>
          <w:spacing w:val="-6"/>
        </w:rPr>
        <w:t> </w:t>
      </w:r>
      <w:r>
        <w:rPr/>
        <w:t>y</w:t>
      </w:r>
      <w:r>
        <w:rPr>
          <w:spacing w:val="-6"/>
        </w:rPr>
        <w:t> </w:t>
      </w:r>
      <w:r>
        <w:rPr/>
        <w:t>para</w:t>
      </w:r>
      <w:r>
        <w:rPr>
          <w:spacing w:val="-6"/>
        </w:rPr>
        <w:t> </w:t>
      </w:r>
      <w:r>
        <w:rPr/>
        <w:t>el</w:t>
      </w:r>
      <w:r>
        <w:rPr>
          <w:spacing w:val="-6"/>
        </w:rPr>
        <w:t> </w:t>
      </w:r>
      <w:r>
        <w:rPr/>
        <w:t>año</w:t>
      </w:r>
      <w:r>
        <w:rPr>
          <w:spacing w:val="-6"/>
        </w:rPr>
        <w:t> </w:t>
      </w:r>
      <w:r>
        <w:rPr/>
        <w:t>2010 fue de 17,815.5 hectáreas, en diez años se incorporaron 1,775.98 hectáreas más, lo que representó un incremento promedio de 177 hectáreas por año, con los impactos que esto representa para el ambiente. (Figura</w:t>
      </w:r>
      <w:r>
        <w:rPr>
          <w:spacing w:val="-25"/>
        </w:rPr>
        <w:t> </w:t>
      </w:r>
      <w:r>
        <w:rPr/>
        <w:t>1).</w:t>
      </w:r>
    </w:p>
    <w:p>
      <w:pPr>
        <w:spacing w:after="0" w:line="249" w:lineRule="auto"/>
        <w:jc w:val="both"/>
        <w:sectPr>
          <w:type w:val="continuous"/>
          <w:pgSz w:w="18830" w:h="12760" w:orient="landscape"/>
          <w:pgMar w:top="1420" w:bottom="280" w:left="720" w:right="720"/>
          <w:cols w:num="2" w:equalWidth="0">
            <w:col w:w="7834" w:space="1583"/>
            <w:col w:w="7973"/>
          </w:cols>
        </w:sectPr>
      </w:pPr>
    </w:p>
    <w:p>
      <w:pPr>
        <w:pStyle w:val="BodyText"/>
        <w:spacing w:before="6"/>
        <w:rPr>
          <w:sz w:val="23"/>
        </w:rPr>
      </w:pPr>
    </w:p>
    <w:p>
      <w:pPr>
        <w:spacing w:after="0"/>
        <w:rPr>
          <w:sz w:val="23"/>
        </w:rPr>
        <w:sectPr>
          <w:footerReference w:type="default" r:id="rId320"/>
          <w:pgSz w:w="18830" w:h="12760" w:orient="landscape"/>
          <w:pgMar w:footer="1036" w:header="522" w:top="820" w:bottom="1220" w:left="720" w:right="720"/>
        </w:sectPr>
      </w:pPr>
    </w:p>
    <w:p>
      <w:pPr>
        <w:pStyle w:val="BodyText"/>
        <w:spacing w:line="249" w:lineRule="auto" w:before="76"/>
        <w:ind w:left="123" w:firstLine="170"/>
        <w:jc w:val="both"/>
      </w:pPr>
      <w:r>
        <w:rPr/>
        <w:t>Como parte del análisis ambiental del Programa Regional 2012-2017, Región XIII a la cual pertenece el municipio de Toluca, se señala que las ANP “…además de la tala clandestina experimentan fenómenos como incendios inducidos, pastoreo excesivo, ocupación ilegal de tierra en las zonas periféricas o incluso en las reservas naturales, teniendo como consecuencia la alteración del hábitat por la eliminación de la cubierta vegetal y el suelo forestal, la desaparición de la fauna local, así como la contaminación de cuerpos de agua y zonas de recarga”. (GEM, 2012:51)</w:t>
      </w:r>
    </w:p>
    <w:p>
      <w:pPr>
        <w:pStyle w:val="BodyText"/>
        <w:spacing w:before="11"/>
      </w:pPr>
    </w:p>
    <w:p>
      <w:pPr>
        <w:pStyle w:val="BodyText"/>
        <w:spacing w:line="249" w:lineRule="auto"/>
        <w:ind w:left="123" w:firstLine="170"/>
        <w:jc w:val="both"/>
      </w:pPr>
      <w:r>
        <w:rPr/>
        <w:t>Además define que la política para las ANP será de protección, es decir, su finalidad es promover la permanencia de ecosistemas nativos de las unidades ambientales</w:t>
      </w:r>
      <w:r>
        <w:rPr>
          <w:spacing w:val="-15"/>
        </w:rPr>
        <w:t> </w:t>
      </w:r>
      <w:r>
        <w:rPr/>
        <w:t>para salvaguardar la</w:t>
      </w:r>
      <w:r>
        <w:rPr>
          <w:spacing w:val="17"/>
        </w:rPr>
        <w:t> </w:t>
      </w:r>
      <w:r>
        <w:rPr/>
        <w:t>biodiversidad.</w:t>
      </w:r>
    </w:p>
    <w:p>
      <w:pPr>
        <w:pStyle w:val="BodyText"/>
        <w:spacing w:before="11"/>
      </w:pPr>
    </w:p>
    <w:p>
      <w:pPr>
        <w:pStyle w:val="BodyText"/>
        <w:spacing w:line="249" w:lineRule="auto"/>
        <w:ind w:left="123" w:firstLine="170"/>
        <w:jc w:val="both"/>
      </w:pPr>
      <w:r>
        <w:rPr/>
        <w:t>Con</w:t>
      </w:r>
      <w:r>
        <w:rPr>
          <w:spacing w:val="-18"/>
        </w:rPr>
        <w:t> </w:t>
      </w:r>
      <w:r>
        <w:rPr/>
        <w:t>base</w:t>
      </w:r>
      <w:r>
        <w:rPr>
          <w:spacing w:val="-18"/>
        </w:rPr>
        <w:t> </w:t>
      </w:r>
      <w:r>
        <w:rPr/>
        <w:t>en</w:t>
      </w:r>
      <w:r>
        <w:rPr>
          <w:spacing w:val="-18"/>
        </w:rPr>
        <w:t> </w:t>
      </w:r>
      <w:r>
        <w:rPr/>
        <w:t>lo</w:t>
      </w:r>
      <w:r>
        <w:rPr>
          <w:spacing w:val="-18"/>
        </w:rPr>
        <w:t> </w:t>
      </w:r>
      <w:r>
        <w:rPr/>
        <w:t>anterior</w:t>
      </w:r>
      <w:r>
        <w:rPr>
          <w:spacing w:val="-18"/>
        </w:rPr>
        <w:t> </w:t>
      </w:r>
      <w:r>
        <w:rPr/>
        <w:t>y</w:t>
      </w:r>
      <w:r>
        <w:rPr>
          <w:spacing w:val="-18"/>
        </w:rPr>
        <w:t> </w:t>
      </w:r>
      <w:r>
        <w:rPr/>
        <w:t>retomado</w:t>
      </w:r>
      <w:r>
        <w:rPr>
          <w:spacing w:val="-18"/>
        </w:rPr>
        <w:t> </w:t>
      </w:r>
      <w:r>
        <w:rPr/>
        <w:t>a</w:t>
      </w:r>
      <w:r>
        <w:rPr>
          <w:spacing w:val="-18"/>
        </w:rPr>
        <w:t> </w:t>
      </w:r>
      <w:r>
        <w:rPr/>
        <w:t>Orozco</w:t>
      </w:r>
      <w:r>
        <w:rPr>
          <w:spacing w:val="-18"/>
        </w:rPr>
        <w:t> </w:t>
      </w:r>
      <w:r>
        <w:rPr/>
        <w:t>(2006)</w:t>
      </w:r>
      <w:r>
        <w:rPr>
          <w:spacing w:val="-18"/>
        </w:rPr>
        <w:t> </w:t>
      </w:r>
      <w:r>
        <w:rPr/>
        <w:t>el</w:t>
      </w:r>
      <w:r>
        <w:rPr>
          <w:spacing w:val="-18"/>
        </w:rPr>
        <w:t> </w:t>
      </w:r>
      <w:r>
        <w:rPr/>
        <w:t>municipio</w:t>
      </w:r>
      <w:r>
        <w:rPr>
          <w:spacing w:val="-18"/>
        </w:rPr>
        <w:t> </w:t>
      </w:r>
      <w:r>
        <w:rPr/>
        <w:t>de</w:t>
      </w:r>
      <w:r>
        <w:rPr>
          <w:spacing w:val="-18"/>
        </w:rPr>
        <w:t> </w:t>
      </w:r>
      <w:r>
        <w:rPr/>
        <w:t>Toluca</w:t>
      </w:r>
      <w:r>
        <w:rPr>
          <w:spacing w:val="-18"/>
        </w:rPr>
        <w:t> </w:t>
      </w:r>
      <w:r>
        <w:rPr/>
        <w:t>presenta</w:t>
      </w:r>
      <w:r>
        <w:rPr>
          <w:spacing w:val="-18"/>
        </w:rPr>
        <w:t> </w:t>
      </w:r>
      <w:r>
        <w:rPr/>
        <w:t>un modelo de crecimiento urbano disperso y policéntrico, lo que implica que anualmente se incorporen en promedio 177 hectáreas y con ello el cambio de uso de suelo de agrícola a urbano, así como pérdida de biodiversidad y por tanto presión en las </w:t>
      </w:r>
      <w:r>
        <w:rPr>
          <w:spacing w:val="7"/>
        </w:rPr>
        <w:t> </w:t>
      </w:r>
      <w:r>
        <w:rPr/>
        <w:t>ANP.</w:t>
      </w:r>
    </w:p>
    <w:p>
      <w:pPr>
        <w:pStyle w:val="BodyText"/>
        <w:spacing w:line="249" w:lineRule="auto" w:before="1"/>
        <w:ind w:left="123" w:right="1" w:firstLine="170"/>
        <w:jc w:val="both"/>
      </w:pPr>
      <w:r>
        <w:rPr/>
        <w:t>Algunos autores han analizado la problemática en cuanto a la administración y operación de las ANP y se presentan a continuación.</w:t>
      </w:r>
    </w:p>
    <w:p>
      <w:pPr>
        <w:pStyle w:val="BodyText"/>
        <w:spacing w:before="11"/>
      </w:pPr>
    </w:p>
    <w:p>
      <w:pPr>
        <w:pStyle w:val="BodyText"/>
        <w:spacing w:line="249" w:lineRule="auto"/>
        <w:ind w:left="123" w:firstLine="170"/>
        <w:jc w:val="both"/>
      </w:pPr>
      <w:r>
        <w:rPr/>
        <w:t>Brenner</w:t>
      </w:r>
      <w:r>
        <w:rPr>
          <w:spacing w:val="-4"/>
        </w:rPr>
        <w:t> </w:t>
      </w:r>
      <w:r>
        <w:rPr/>
        <w:t>(2010)</w:t>
      </w:r>
      <w:r>
        <w:rPr>
          <w:spacing w:val="-4"/>
        </w:rPr>
        <w:t> </w:t>
      </w:r>
      <w:r>
        <w:rPr/>
        <w:t>señala</w:t>
      </w:r>
      <w:r>
        <w:rPr>
          <w:spacing w:val="-4"/>
        </w:rPr>
        <w:t> </w:t>
      </w:r>
      <w:r>
        <w:rPr/>
        <w:t>que</w:t>
      </w:r>
      <w:r>
        <w:rPr>
          <w:spacing w:val="-4"/>
        </w:rPr>
        <w:t> </w:t>
      </w:r>
      <w:r>
        <w:rPr/>
        <w:t>en</w:t>
      </w:r>
      <w:r>
        <w:rPr>
          <w:spacing w:val="-4"/>
        </w:rPr>
        <w:t> </w:t>
      </w:r>
      <w:r>
        <w:rPr/>
        <w:t>las</w:t>
      </w:r>
      <w:r>
        <w:rPr>
          <w:spacing w:val="-4"/>
        </w:rPr>
        <w:t> </w:t>
      </w:r>
      <w:r>
        <w:rPr/>
        <w:t>dos</w:t>
      </w:r>
      <w:r>
        <w:rPr>
          <w:spacing w:val="-4"/>
        </w:rPr>
        <w:t> </w:t>
      </w:r>
      <w:r>
        <w:rPr/>
        <w:t>últimas</w:t>
      </w:r>
      <w:r>
        <w:rPr>
          <w:spacing w:val="-4"/>
        </w:rPr>
        <w:t> </w:t>
      </w:r>
      <w:r>
        <w:rPr/>
        <w:t>décadas</w:t>
      </w:r>
      <w:r>
        <w:rPr>
          <w:spacing w:val="-4"/>
        </w:rPr>
        <w:t> </w:t>
      </w:r>
      <w:r>
        <w:rPr/>
        <w:t>han</w:t>
      </w:r>
      <w:r>
        <w:rPr>
          <w:spacing w:val="-4"/>
        </w:rPr>
        <w:t> </w:t>
      </w:r>
      <w:r>
        <w:rPr/>
        <w:t>sido</w:t>
      </w:r>
      <w:r>
        <w:rPr>
          <w:spacing w:val="-4"/>
        </w:rPr>
        <w:t> </w:t>
      </w:r>
      <w:r>
        <w:rPr/>
        <w:t>muchos</w:t>
      </w:r>
      <w:r>
        <w:rPr>
          <w:spacing w:val="-4"/>
        </w:rPr>
        <w:t> </w:t>
      </w:r>
      <w:r>
        <w:rPr/>
        <w:t>los</w:t>
      </w:r>
      <w:r>
        <w:rPr>
          <w:spacing w:val="-4"/>
        </w:rPr>
        <w:t> </w:t>
      </w:r>
      <w:r>
        <w:rPr/>
        <w:t>impactos que se han generado en el ambiente como resultado de la actividad económica, por tanto el tema ambiental es parte de la agenda y dentro de ésta, uno de los temas más discutidos es la gestión de las Áreas Naturales</w:t>
      </w:r>
      <w:r>
        <w:rPr>
          <w:spacing w:val="30"/>
        </w:rPr>
        <w:t> </w:t>
      </w:r>
      <w:r>
        <w:rPr/>
        <w:t>Protegidas.</w:t>
      </w:r>
    </w:p>
    <w:p>
      <w:pPr>
        <w:pStyle w:val="BodyText"/>
        <w:spacing w:before="11"/>
      </w:pPr>
    </w:p>
    <w:p>
      <w:pPr>
        <w:pStyle w:val="BodyText"/>
        <w:spacing w:line="249" w:lineRule="auto"/>
        <w:ind w:left="123" w:right="1" w:firstLine="170"/>
        <w:jc w:val="both"/>
      </w:pPr>
      <w:r>
        <w:rPr/>
        <w:t>Con</w:t>
      </w:r>
      <w:r>
        <w:rPr>
          <w:spacing w:val="-17"/>
        </w:rPr>
        <w:t> </w:t>
      </w:r>
      <w:r>
        <w:rPr/>
        <w:t>su</w:t>
      </w:r>
      <w:r>
        <w:rPr>
          <w:spacing w:val="-17"/>
        </w:rPr>
        <w:t> </w:t>
      </w:r>
      <w:r>
        <w:rPr/>
        <w:t>análisis</w:t>
      </w:r>
      <w:r>
        <w:rPr>
          <w:spacing w:val="-17"/>
        </w:rPr>
        <w:t> </w:t>
      </w:r>
      <w:r>
        <w:rPr/>
        <w:t>del</w:t>
      </w:r>
      <w:r>
        <w:rPr>
          <w:spacing w:val="-17"/>
        </w:rPr>
        <w:t> </w:t>
      </w:r>
      <w:r>
        <w:rPr/>
        <w:t>ANP</w:t>
      </w:r>
      <w:r>
        <w:rPr>
          <w:spacing w:val="-17"/>
        </w:rPr>
        <w:t> </w:t>
      </w:r>
      <w:r>
        <w:rPr/>
        <w:t>Reserva</w:t>
      </w:r>
      <w:r>
        <w:rPr>
          <w:spacing w:val="-17"/>
        </w:rPr>
        <w:t> </w:t>
      </w:r>
      <w:r>
        <w:rPr/>
        <w:t>de</w:t>
      </w:r>
      <w:r>
        <w:rPr>
          <w:spacing w:val="-17"/>
        </w:rPr>
        <w:t> </w:t>
      </w:r>
      <w:r>
        <w:rPr/>
        <w:t>la</w:t>
      </w:r>
      <w:r>
        <w:rPr>
          <w:spacing w:val="-17"/>
        </w:rPr>
        <w:t> </w:t>
      </w:r>
      <w:r>
        <w:rPr/>
        <w:t>Biosfera</w:t>
      </w:r>
      <w:r>
        <w:rPr>
          <w:spacing w:val="-17"/>
        </w:rPr>
        <w:t> </w:t>
      </w:r>
      <w:r>
        <w:rPr/>
        <w:t>de</w:t>
      </w:r>
      <w:r>
        <w:rPr>
          <w:spacing w:val="-17"/>
        </w:rPr>
        <w:t> </w:t>
      </w:r>
      <w:r>
        <w:rPr/>
        <w:t>Sian</w:t>
      </w:r>
      <w:r>
        <w:rPr>
          <w:spacing w:val="-17"/>
        </w:rPr>
        <w:t> </w:t>
      </w:r>
      <w:r>
        <w:rPr/>
        <w:t>Kaán</w:t>
      </w:r>
      <w:r>
        <w:rPr>
          <w:spacing w:val="-17"/>
        </w:rPr>
        <w:t> </w:t>
      </w:r>
      <w:r>
        <w:rPr/>
        <w:t>en</w:t>
      </w:r>
      <w:r>
        <w:rPr>
          <w:spacing w:val="-17"/>
        </w:rPr>
        <w:t> </w:t>
      </w:r>
      <w:r>
        <w:rPr/>
        <w:t>Quinta</w:t>
      </w:r>
      <w:r>
        <w:rPr>
          <w:spacing w:val="-17"/>
        </w:rPr>
        <w:t> </w:t>
      </w:r>
      <w:r>
        <w:rPr/>
        <w:t>Roo</w:t>
      </w:r>
      <w:r>
        <w:rPr>
          <w:spacing w:val="-17"/>
        </w:rPr>
        <w:t> </w:t>
      </w:r>
      <w:r>
        <w:rPr/>
        <w:t>y</w:t>
      </w:r>
      <w:r>
        <w:rPr>
          <w:spacing w:val="-17"/>
        </w:rPr>
        <w:t> </w:t>
      </w:r>
      <w:r>
        <w:rPr/>
        <w:t>después de haber aplicado una serie de entrevistas concluye que dentro del ANP existen diversos actores sociales que persiguen objetivos diferentes y por lo tanto surge el conflicto entre la corriente conservacionista y los que están a favor del uso directo de los recursos naturales (caza, pesca,</w:t>
      </w:r>
      <w:r>
        <w:rPr>
          <w:spacing w:val="-6"/>
        </w:rPr>
        <w:t> </w:t>
      </w:r>
      <w:r>
        <w:rPr/>
        <w:t>turismo).</w:t>
      </w:r>
    </w:p>
    <w:p>
      <w:pPr>
        <w:pStyle w:val="BodyText"/>
        <w:spacing w:before="11"/>
      </w:pPr>
    </w:p>
    <w:p>
      <w:pPr>
        <w:pStyle w:val="BodyText"/>
        <w:spacing w:line="249" w:lineRule="auto"/>
        <w:ind w:left="123" w:firstLine="170"/>
        <w:jc w:val="both"/>
      </w:pPr>
      <w:r>
        <w:rPr/>
        <w:t>De ahí que se requiera un ejercicio de gestión y mediación entre los sectores involucrados o afectados, es entonces cuando se debe lograr un equilibrio entre  el  uso sustentable de los recursos naturales pero respetando también las fuentes de empleo así como usos y costumbres de sus habitantes, en este caso las autoridades responsables de su administración deben conciliar dichos </w:t>
      </w:r>
      <w:r>
        <w:rPr>
          <w:spacing w:val="12"/>
        </w:rPr>
        <w:t> </w:t>
      </w:r>
      <w:r>
        <w:rPr/>
        <w:t>intereses.</w:t>
      </w:r>
    </w:p>
    <w:p>
      <w:pPr>
        <w:pStyle w:val="BodyText"/>
        <w:spacing w:before="11"/>
      </w:pPr>
    </w:p>
    <w:p>
      <w:pPr>
        <w:pStyle w:val="BodyText"/>
        <w:spacing w:line="249" w:lineRule="auto"/>
        <w:ind w:left="123" w:firstLine="170"/>
        <w:jc w:val="both"/>
      </w:pPr>
      <w:r>
        <w:rPr/>
        <w:t>Pinkus (2014) señala que algunos de los problemas con la administración de las ANP en México es la falta de coordinación entre el nivel federal, estatal y municipal,  así como lo complicado que consiste en tener un Plan de Manejo, aunado a la falta de participación de los habitantes en la toma de </w:t>
      </w:r>
      <w:r>
        <w:rPr>
          <w:spacing w:val="12"/>
        </w:rPr>
        <w:t> </w:t>
      </w:r>
      <w:r>
        <w:rPr/>
        <w:t>decisiones.</w:t>
      </w:r>
    </w:p>
    <w:p>
      <w:pPr>
        <w:pStyle w:val="BodyText"/>
        <w:spacing w:line="249" w:lineRule="auto" w:before="76"/>
        <w:ind w:left="123" w:right="128" w:firstLine="170"/>
        <w:jc w:val="right"/>
      </w:pPr>
      <w:r>
        <w:rPr/>
        <w:br w:type="column"/>
      </w:r>
      <w:r>
        <w:rPr/>
        <w:t>Señala que debe existir vinculación entre academia y gobierno para vigilar que se</w:t>
      </w:r>
      <w:r>
        <w:rPr>
          <w:w w:val="98"/>
        </w:rPr>
        <w:t> </w:t>
      </w:r>
      <w:r>
        <w:rPr/>
        <w:t>ejerzan los planes de manejo y que se otorgue vigilancia para que realmente exista la</w:t>
      </w:r>
      <w:r>
        <w:rPr>
          <w:w w:val="97"/>
        </w:rPr>
        <w:t> </w:t>
      </w:r>
      <w:r>
        <w:rPr/>
        <w:t>conservación de recursos, además destaca la importancia de la educación  ambiental.</w:t>
      </w:r>
    </w:p>
    <w:p>
      <w:pPr>
        <w:pStyle w:val="BodyText"/>
        <w:spacing w:before="11"/>
      </w:pPr>
    </w:p>
    <w:p>
      <w:pPr>
        <w:pStyle w:val="BodyText"/>
        <w:spacing w:line="249" w:lineRule="auto"/>
        <w:ind w:left="123" w:right="128" w:firstLine="170"/>
        <w:jc w:val="both"/>
      </w:pPr>
      <w:r>
        <w:rPr/>
        <w:t>Villalobos</w:t>
      </w:r>
      <w:r>
        <w:rPr>
          <w:spacing w:val="-7"/>
        </w:rPr>
        <w:t> </w:t>
      </w:r>
      <w:r>
        <w:rPr/>
        <w:t>(2000)</w:t>
      </w:r>
      <w:r>
        <w:rPr>
          <w:spacing w:val="-7"/>
        </w:rPr>
        <w:t> </w:t>
      </w:r>
      <w:r>
        <w:rPr/>
        <w:t>comenta</w:t>
      </w:r>
      <w:r>
        <w:rPr>
          <w:spacing w:val="-7"/>
        </w:rPr>
        <w:t> </w:t>
      </w:r>
      <w:r>
        <w:rPr/>
        <w:t>que</w:t>
      </w:r>
      <w:r>
        <w:rPr>
          <w:spacing w:val="-7"/>
        </w:rPr>
        <w:t> </w:t>
      </w:r>
      <w:r>
        <w:rPr/>
        <w:t>un</w:t>
      </w:r>
      <w:r>
        <w:rPr>
          <w:spacing w:val="-7"/>
        </w:rPr>
        <w:t> </w:t>
      </w:r>
      <w:r>
        <w:rPr/>
        <w:t>aspecto</w:t>
      </w:r>
      <w:r>
        <w:rPr>
          <w:spacing w:val="-7"/>
        </w:rPr>
        <w:t> </w:t>
      </w:r>
      <w:r>
        <w:rPr/>
        <w:t>fundamental</w:t>
      </w:r>
      <w:r>
        <w:rPr>
          <w:spacing w:val="-7"/>
        </w:rPr>
        <w:t> </w:t>
      </w:r>
      <w:r>
        <w:rPr/>
        <w:t>es</w:t>
      </w:r>
      <w:r>
        <w:rPr>
          <w:spacing w:val="-7"/>
        </w:rPr>
        <w:t> </w:t>
      </w:r>
      <w:r>
        <w:rPr/>
        <w:t>la</w:t>
      </w:r>
      <w:r>
        <w:rPr>
          <w:spacing w:val="-7"/>
        </w:rPr>
        <w:t> </w:t>
      </w:r>
      <w:r>
        <w:rPr/>
        <w:t>falta</w:t>
      </w:r>
      <w:r>
        <w:rPr>
          <w:spacing w:val="-7"/>
        </w:rPr>
        <w:t> </w:t>
      </w:r>
      <w:r>
        <w:rPr/>
        <w:t>de</w:t>
      </w:r>
      <w:r>
        <w:rPr>
          <w:spacing w:val="-7"/>
        </w:rPr>
        <w:t> </w:t>
      </w:r>
      <w:r>
        <w:rPr/>
        <w:t>recursos,</w:t>
      </w:r>
      <w:r>
        <w:rPr>
          <w:spacing w:val="-7"/>
        </w:rPr>
        <w:t> </w:t>
      </w:r>
      <w:r>
        <w:rPr/>
        <w:t>ya</w:t>
      </w:r>
      <w:r>
        <w:rPr>
          <w:spacing w:val="-7"/>
        </w:rPr>
        <w:t> </w:t>
      </w:r>
      <w:r>
        <w:rPr/>
        <w:t>que no</w:t>
      </w:r>
      <w:r>
        <w:rPr>
          <w:spacing w:val="-5"/>
        </w:rPr>
        <w:t> </w:t>
      </w:r>
      <w:r>
        <w:rPr/>
        <w:t>se</w:t>
      </w:r>
      <w:r>
        <w:rPr>
          <w:spacing w:val="-5"/>
        </w:rPr>
        <w:t> </w:t>
      </w:r>
      <w:r>
        <w:rPr/>
        <w:t>dan</w:t>
      </w:r>
      <w:r>
        <w:rPr>
          <w:spacing w:val="-5"/>
        </w:rPr>
        <w:t> </w:t>
      </w:r>
      <w:r>
        <w:rPr/>
        <w:t>opciones</w:t>
      </w:r>
      <w:r>
        <w:rPr>
          <w:spacing w:val="-5"/>
        </w:rPr>
        <w:t> </w:t>
      </w:r>
      <w:r>
        <w:rPr/>
        <w:t>viables</w:t>
      </w:r>
      <w:r>
        <w:rPr>
          <w:spacing w:val="-5"/>
        </w:rPr>
        <w:t> </w:t>
      </w:r>
      <w:r>
        <w:rPr/>
        <w:t>a</w:t>
      </w:r>
      <w:r>
        <w:rPr>
          <w:spacing w:val="-5"/>
        </w:rPr>
        <w:t> </w:t>
      </w:r>
      <w:r>
        <w:rPr/>
        <w:t>los</w:t>
      </w:r>
      <w:r>
        <w:rPr>
          <w:spacing w:val="-5"/>
        </w:rPr>
        <w:t> </w:t>
      </w:r>
      <w:r>
        <w:rPr/>
        <w:t>habitantes</w:t>
      </w:r>
      <w:r>
        <w:rPr>
          <w:spacing w:val="-5"/>
        </w:rPr>
        <w:t> </w:t>
      </w:r>
      <w:r>
        <w:rPr/>
        <w:t>de</w:t>
      </w:r>
      <w:r>
        <w:rPr>
          <w:spacing w:val="-5"/>
        </w:rPr>
        <w:t> </w:t>
      </w:r>
      <w:r>
        <w:rPr/>
        <w:t>la</w:t>
      </w:r>
      <w:r>
        <w:rPr>
          <w:spacing w:val="-5"/>
        </w:rPr>
        <w:t> </w:t>
      </w:r>
      <w:r>
        <w:rPr/>
        <w:t>ANP</w:t>
      </w:r>
      <w:r>
        <w:rPr>
          <w:spacing w:val="-5"/>
        </w:rPr>
        <w:t> </w:t>
      </w:r>
      <w:r>
        <w:rPr/>
        <w:t>u</w:t>
      </w:r>
      <w:r>
        <w:rPr>
          <w:spacing w:val="-5"/>
        </w:rPr>
        <w:t> </w:t>
      </w:r>
      <w:r>
        <w:rPr/>
        <w:t>opciones</w:t>
      </w:r>
      <w:r>
        <w:rPr>
          <w:spacing w:val="-5"/>
        </w:rPr>
        <w:t> </w:t>
      </w:r>
      <w:r>
        <w:rPr/>
        <w:t>de</w:t>
      </w:r>
      <w:r>
        <w:rPr>
          <w:spacing w:val="-5"/>
        </w:rPr>
        <w:t> </w:t>
      </w:r>
      <w:r>
        <w:rPr/>
        <w:t>aprovechamiento. Aunado a ello la falta de participación social, pues solo se decretan las ANP y en ese momento es todos y cada uno de los asentamientos humanos que se ubiquen en ella deberá sujetarse a las disposiciones</w:t>
      </w:r>
      <w:r>
        <w:rPr>
          <w:spacing w:val="27"/>
        </w:rPr>
        <w:t> </w:t>
      </w:r>
      <w:r>
        <w:rPr/>
        <w:t>aplicables.</w:t>
      </w:r>
    </w:p>
    <w:p>
      <w:pPr>
        <w:pStyle w:val="BodyText"/>
        <w:spacing w:before="11"/>
      </w:pPr>
    </w:p>
    <w:p>
      <w:pPr>
        <w:pStyle w:val="BodyText"/>
        <w:spacing w:line="249" w:lineRule="auto"/>
        <w:ind w:left="123" w:right="127" w:firstLine="170"/>
        <w:jc w:val="both"/>
      </w:pPr>
      <w:r>
        <w:rPr/>
        <w:t>Ello</w:t>
      </w:r>
      <w:r>
        <w:rPr>
          <w:spacing w:val="-18"/>
        </w:rPr>
        <w:t> </w:t>
      </w:r>
      <w:r>
        <w:rPr/>
        <w:t>genera</w:t>
      </w:r>
      <w:r>
        <w:rPr>
          <w:spacing w:val="-18"/>
        </w:rPr>
        <w:t> </w:t>
      </w:r>
      <w:r>
        <w:rPr/>
        <w:t>un</w:t>
      </w:r>
      <w:r>
        <w:rPr>
          <w:spacing w:val="-18"/>
        </w:rPr>
        <w:t> </w:t>
      </w:r>
      <w:r>
        <w:rPr/>
        <w:t>ambiente</w:t>
      </w:r>
      <w:r>
        <w:rPr>
          <w:spacing w:val="-18"/>
        </w:rPr>
        <w:t> </w:t>
      </w:r>
      <w:r>
        <w:rPr/>
        <w:t>adverso,</w:t>
      </w:r>
      <w:r>
        <w:rPr>
          <w:spacing w:val="-18"/>
        </w:rPr>
        <w:t> </w:t>
      </w:r>
      <w:r>
        <w:rPr/>
        <w:t>ya</w:t>
      </w:r>
      <w:r>
        <w:rPr>
          <w:spacing w:val="-18"/>
        </w:rPr>
        <w:t> </w:t>
      </w:r>
      <w:r>
        <w:rPr/>
        <w:t>que</w:t>
      </w:r>
      <w:r>
        <w:rPr>
          <w:spacing w:val="-18"/>
        </w:rPr>
        <w:t> </w:t>
      </w:r>
      <w:r>
        <w:rPr/>
        <w:t>la</w:t>
      </w:r>
      <w:r>
        <w:rPr>
          <w:spacing w:val="-18"/>
        </w:rPr>
        <w:t> </w:t>
      </w:r>
      <w:r>
        <w:rPr/>
        <w:t>población</w:t>
      </w:r>
      <w:r>
        <w:rPr>
          <w:spacing w:val="-18"/>
        </w:rPr>
        <w:t> </w:t>
      </w:r>
      <w:r>
        <w:rPr/>
        <w:t>que</w:t>
      </w:r>
      <w:r>
        <w:rPr>
          <w:spacing w:val="-18"/>
        </w:rPr>
        <w:t> </w:t>
      </w:r>
      <w:r>
        <w:rPr/>
        <w:t>ahí</w:t>
      </w:r>
      <w:r>
        <w:rPr>
          <w:spacing w:val="-18"/>
        </w:rPr>
        <w:t> </w:t>
      </w:r>
      <w:r>
        <w:rPr/>
        <w:t>habita</w:t>
      </w:r>
      <w:r>
        <w:rPr>
          <w:spacing w:val="-18"/>
        </w:rPr>
        <w:t> </w:t>
      </w:r>
      <w:r>
        <w:rPr/>
        <w:t>se</w:t>
      </w:r>
      <w:r>
        <w:rPr>
          <w:spacing w:val="-18"/>
        </w:rPr>
        <w:t> </w:t>
      </w:r>
      <w:r>
        <w:rPr/>
        <w:t>siente</w:t>
      </w:r>
      <w:r>
        <w:rPr>
          <w:spacing w:val="-18"/>
        </w:rPr>
        <w:t> </w:t>
      </w:r>
      <w:r>
        <w:rPr/>
        <w:t>relegada y limitada en su actuar. Desde ahí existe un problema con las instituciones que tiene a tarea de</w:t>
      </w:r>
      <w:r>
        <w:rPr>
          <w:spacing w:val="6"/>
        </w:rPr>
        <w:t> </w:t>
      </w:r>
      <w:r>
        <w:rPr/>
        <w:t>administrarlas.</w:t>
      </w:r>
    </w:p>
    <w:p>
      <w:pPr>
        <w:pStyle w:val="BodyText"/>
        <w:spacing w:before="11"/>
      </w:pPr>
    </w:p>
    <w:p>
      <w:pPr>
        <w:pStyle w:val="BodyText"/>
        <w:spacing w:line="249" w:lineRule="auto"/>
        <w:ind w:left="123" w:right="127" w:firstLine="170"/>
        <w:jc w:val="both"/>
      </w:pPr>
      <w:r>
        <w:rPr/>
        <w:t>Jiménez (2014) señala que las ANP tienen fuertes presiones debido al crecimiento demográfico, hábitos de consumo y autoconsumo, no obstante deben seguirse promoviendo. Por tanto como ya se ha señalado en estudios que anteceden deben buscarse los mecanismos y esquemas de participación para que se promueva tanto la conservación como el sustento de los que ahí habitan.</w:t>
      </w:r>
    </w:p>
    <w:p>
      <w:pPr>
        <w:pStyle w:val="BodyText"/>
        <w:spacing w:before="11"/>
      </w:pPr>
    </w:p>
    <w:p>
      <w:pPr>
        <w:pStyle w:val="BodyText"/>
        <w:spacing w:line="249" w:lineRule="auto"/>
        <w:ind w:left="123" w:right="127" w:firstLine="170"/>
        <w:jc w:val="both"/>
      </w:pPr>
      <w:r>
        <w:rPr/>
        <w:t>Como parte de las propuestas para fortalecer el manejo de las ANP surge por un parte la zonificación y por otra el cambio de denominación y cobertura territorial, para tener una mejor administración de las mismas.</w:t>
      </w:r>
    </w:p>
    <w:p>
      <w:pPr>
        <w:pStyle w:val="BodyText"/>
        <w:spacing w:before="11"/>
      </w:pPr>
    </w:p>
    <w:p>
      <w:pPr>
        <w:pStyle w:val="BodyText"/>
        <w:spacing w:line="249" w:lineRule="auto"/>
        <w:ind w:left="123" w:right="128" w:firstLine="170"/>
        <w:jc w:val="both"/>
      </w:pPr>
      <w:r>
        <w:rPr/>
        <w:t>González (2014) propone que las ANP cuenten con una zonificación acorde a los aspectos sociales y económicos así como plantear programas de compensación vía ingresos en aquellas zonas donde se oferten servicios turísticos (ecoturismo) regulado en cada ANP y con base en su declaratoria.</w:t>
      </w:r>
    </w:p>
    <w:p>
      <w:pPr>
        <w:pStyle w:val="BodyText"/>
        <w:spacing w:before="11"/>
      </w:pPr>
    </w:p>
    <w:p>
      <w:pPr>
        <w:pStyle w:val="BodyText"/>
        <w:spacing w:line="249" w:lineRule="auto"/>
        <w:ind w:left="123" w:right="128" w:firstLine="170"/>
        <w:jc w:val="both"/>
      </w:pPr>
      <w:r>
        <w:rPr/>
        <w:t>Para ello será indispensable contar con los diagnósticos respectivos, así como</w:t>
      </w:r>
      <w:r>
        <w:rPr>
          <w:spacing w:val="-32"/>
        </w:rPr>
        <w:t> </w:t>
      </w:r>
      <w:r>
        <w:rPr/>
        <w:t>bases de datos y cartografía digitalizada como una primera </w:t>
      </w:r>
      <w:r>
        <w:rPr>
          <w:spacing w:val="8"/>
        </w:rPr>
        <w:t> </w:t>
      </w:r>
      <w:r>
        <w:rPr/>
        <w:t>acción.</w:t>
      </w:r>
    </w:p>
    <w:p>
      <w:pPr>
        <w:pStyle w:val="BodyText"/>
        <w:spacing w:before="11"/>
      </w:pPr>
    </w:p>
    <w:p>
      <w:pPr>
        <w:pStyle w:val="BodyText"/>
        <w:spacing w:line="249" w:lineRule="auto"/>
        <w:ind w:left="123" w:right="128" w:firstLine="170"/>
        <w:jc w:val="both"/>
      </w:pPr>
      <w:r>
        <w:rPr/>
        <w:t>Toledo (2005) señala que no solo hay que hablar de Áreas Naturales Protegidas  sino debe manejarse el término de corredor biológico, es decir su propuesta gira en torno al cambio de conceptos y además de generar desde el punto de vista legal y administrativo esta figura que rebase límites político administrativos, situación que desde su origen representa un</w:t>
      </w:r>
      <w:r>
        <w:rPr>
          <w:spacing w:val="16"/>
        </w:rPr>
        <w:t> </w:t>
      </w:r>
      <w:r>
        <w:rPr/>
        <w:t>reto.</w:t>
      </w:r>
    </w:p>
    <w:p>
      <w:pPr>
        <w:pStyle w:val="BodyText"/>
        <w:spacing w:before="11"/>
      </w:pPr>
    </w:p>
    <w:p>
      <w:pPr>
        <w:pStyle w:val="BodyText"/>
        <w:spacing w:line="249" w:lineRule="auto"/>
        <w:ind w:left="123" w:right="127" w:firstLine="170"/>
        <w:jc w:val="both"/>
      </w:pPr>
      <w:r>
        <w:rPr/>
        <w:t>Con base en lo anterior se elaboró el análisis de Fortalezas, Oportunidades, Debilidades y Amenazas (FODA) de las Áreas Naturales Protegidas en el Estado de México en el Cuadro No.3.</w:t>
      </w:r>
    </w:p>
    <w:p>
      <w:pPr>
        <w:spacing w:after="0" w:line="249" w:lineRule="auto"/>
        <w:jc w:val="both"/>
        <w:sectPr>
          <w:type w:val="continuous"/>
          <w:pgSz w:w="18830" w:h="12760" w:orient="landscape"/>
          <w:pgMar w:top="1420" w:bottom="280" w:left="720" w:right="720"/>
          <w:cols w:num="2" w:equalWidth="0">
            <w:col w:w="7836" w:space="1582"/>
            <w:col w:w="7972"/>
          </w:cols>
        </w:sectPr>
      </w:pPr>
    </w:p>
    <w:p>
      <w:pPr>
        <w:pStyle w:val="BodyText"/>
        <w:spacing w:before="8"/>
      </w:pPr>
    </w:p>
    <w:p>
      <w:pPr>
        <w:spacing w:after="0"/>
        <w:sectPr>
          <w:footerReference w:type="default" r:id="rId321"/>
          <w:pgSz w:w="18830" w:h="12760" w:orient="landscape"/>
          <w:pgMar w:footer="1036" w:header="522" w:top="820" w:bottom="1220" w:left="720" w:right="720"/>
        </w:sectPr>
      </w:pPr>
    </w:p>
    <w:p>
      <w:pPr>
        <w:pStyle w:val="BodyText"/>
        <w:spacing w:before="8"/>
        <w:rPr>
          <w:sz w:val="12"/>
        </w:rPr>
      </w:pPr>
    </w:p>
    <w:p>
      <w:pPr>
        <w:spacing w:before="0"/>
        <w:ind w:left="392" w:right="0" w:firstLine="0"/>
        <w:jc w:val="left"/>
        <w:rPr>
          <w:sz w:val="16"/>
        </w:rPr>
      </w:pPr>
      <w:r>
        <w:rPr>
          <w:color w:val="6D6E71"/>
          <w:sz w:val="16"/>
        </w:rPr>
        <w:t>Cuadro No. 3. FODA de las Áreas Naturales Protegidas del Estado de México y municipio de Toluca.</w:t>
      </w:r>
    </w:p>
    <w:p>
      <w:pPr>
        <w:pStyle w:val="BodyText"/>
        <w:spacing w:before="10"/>
        <w:rPr>
          <w:sz w:val="8"/>
        </w:rPr>
      </w:pPr>
    </w:p>
    <w:tbl>
      <w:tblPr>
        <w:tblW w:w="0" w:type="auto"/>
        <w:jc w:val="left"/>
        <w:tblInd w:w="13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28"/>
        <w:gridCol w:w="3872"/>
      </w:tblGrid>
      <w:tr>
        <w:trPr>
          <w:trHeight w:val="256" w:hRule="exact"/>
        </w:trPr>
        <w:tc>
          <w:tcPr>
            <w:tcW w:w="3828" w:type="dxa"/>
            <w:tcBorders>
              <w:bottom w:val="dotted" w:sz="4" w:space="0" w:color="FFFFFF"/>
              <w:right w:val="single" w:sz="4" w:space="0" w:color="FFFFFF"/>
            </w:tcBorders>
            <w:shd w:val="clear" w:color="auto" w:fill="929292"/>
          </w:tcPr>
          <w:p>
            <w:pPr>
              <w:pStyle w:val="TableParagraph"/>
              <w:spacing w:before="12"/>
              <w:ind w:left="1430" w:right="1255"/>
              <w:jc w:val="center"/>
              <w:rPr>
                <w:sz w:val="20"/>
              </w:rPr>
            </w:pPr>
            <w:r>
              <w:rPr>
                <w:w w:val="105"/>
                <w:sz w:val="20"/>
              </w:rPr>
              <w:t>Fortalezas</w:t>
            </w:r>
          </w:p>
        </w:tc>
        <w:tc>
          <w:tcPr>
            <w:tcW w:w="3872" w:type="dxa"/>
            <w:tcBorders>
              <w:left w:val="single" w:sz="4" w:space="0" w:color="FFFFFF"/>
              <w:bottom w:val="dotted" w:sz="4" w:space="0" w:color="FFFFFF"/>
            </w:tcBorders>
            <w:shd w:val="clear" w:color="auto" w:fill="929292"/>
          </w:tcPr>
          <w:p>
            <w:pPr>
              <w:pStyle w:val="TableParagraph"/>
              <w:spacing w:before="12"/>
              <w:ind w:left="1307" w:right="1142"/>
              <w:jc w:val="center"/>
              <w:rPr>
                <w:sz w:val="20"/>
              </w:rPr>
            </w:pPr>
            <w:r>
              <w:rPr>
                <w:w w:val="105"/>
                <w:sz w:val="20"/>
              </w:rPr>
              <w:t>Oportunidades</w:t>
            </w:r>
          </w:p>
        </w:tc>
      </w:tr>
      <w:tr>
        <w:trPr>
          <w:trHeight w:val="2553" w:hRule="exact"/>
        </w:trPr>
        <w:tc>
          <w:tcPr>
            <w:tcW w:w="3828" w:type="dxa"/>
            <w:tcBorders>
              <w:top w:val="dotted" w:sz="4" w:space="0" w:color="FFFFFF"/>
              <w:bottom w:val="dotted" w:sz="4" w:space="0" w:color="FFFFFF"/>
              <w:right w:val="single" w:sz="4" w:space="0" w:color="929292"/>
            </w:tcBorders>
          </w:tcPr>
          <w:p>
            <w:pPr>
              <w:pStyle w:val="TableParagraph"/>
              <w:spacing w:before="10"/>
              <w:rPr>
                <w:sz w:val="16"/>
              </w:rPr>
            </w:pPr>
          </w:p>
          <w:p>
            <w:pPr>
              <w:pStyle w:val="TableParagraph"/>
              <w:numPr>
                <w:ilvl w:val="0"/>
                <w:numId w:val="37"/>
              </w:numPr>
              <w:tabs>
                <w:tab w:pos="638" w:val="left" w:leader="none"/>
                <w:tab w:pos="639" w:val="left" w:leader="none"/>
              </w:tabs>
              <w:spacing w:line="247" w:lineRule="auto" w:before="1" w:after="0"/>
              <w:ind w:left="638" w:right="207" w:hanging="360"/>
              <w:jc w:val="left"/>
              <w:rPr>
                <w:sz w:val="20"/>
              </w:rPr>
            </w:pPr>
            <w:r>
              <w:rPr>
                <w:sz w:val="20"/>
              </w:rPr>
              <w:t>ANP reconocidas como instrumento de política</w:t>
            </w:r>
            <w:r>
              <w:rPr>
                <w:spacing w:val="39"/>
                <w:sz w:val="20"/>
              </w:rPr>
              <w:t> </w:t>
            </w:r>
            <w:r>
              <w:rPr>
                <w:sz w:val="20"/>
              </w:rPr>
              <w:t>ambiental</w:t>
            </w:r>
          </w:p>
          <w:p>
            <w:pPr>
              <w:pStyle w:val="TableParagraph"/>
              <w:spacing w:before="3"/>
              <w:ind w:left="278"/>
              <w:rPr>
                <w:rFonts w:ascii="Trebuchet MS" w:hAnsi="Trebuchet MS"/>
                <w:sz w:val="20"/>
              </w:rPr>
            </w:pPr>
            <w:r>
              <w:rPr>
                <w:rFonts w:ascii="Trebuchet MS" w:hAnsi="Trebuchet MS"/>
                <w:w w:val="95"/>
                <w:sz w:val="20"/>
              </w:rPr>
              <w:t>•</w:t>
            </w:r>
          </w:p>
          <w:p>
            <w:pPr>
              <w:pStyle w:val="TableParagraph"/>
              <w:numPr>
                <w:ilvl w:val="0"/>
                <w:numId w:val="37"/>
              </w:numPr>
              <w:tabs>
                <w:tab w:pos="638" w:val="left" w:leader="none"/>
                <w:tab w:pos="639" w:val="left" w:leader="none"/>
              </w:tabs>
              <w:spacing w:line="240" w:lineRule="auto" w:before="7" w:after="0"/>
              <w:ind w:left="638" w:right="0" w:hanging="360"/>
              <w:jc w:val="left"/>
              <w:rPr>
                <w:sz w:val="20"/>
              </w:rPr>
            </w:pPr>
            <w:r>
              <w:rPr>
                <w:sz w:val="20"/>
              </w:rPr>
              <w:t>Marco normativo y</w:t>
            </w:r>
            <w:r>
              <w:rPr>
                <w:spacing w:val="25"/>
                <w:sz w:val="20"/>
              </w:rPr>
              <w:t> </w:t>
            </w:r>
            <w:r>
              <w:rPr>
                <w:sz w:val="20"/>
              </w:rPr>
              <w:t>legal</w:t>
            </w:r>
          </w:p>
          <w:p>
            <w:pPr>
              <w:pStyle w:val="TableParagraph"/>
              <w:spacing w:before="7"/>
              <w:ind w:left="278"/>
              <w:rPr>
                <w:rFonts w:ascii="Trebuchet MS" w:hAnsi="Trebuchet MS"/>
                <w:sz w:val="20"/>
              </w:rPr>
            </w:pPr>
            <w:r>
              <w:rPr>
                <w:rFonts w:ascii="Trebuchet MS" w:hAnsi="Trebuchet MS"/>
                <w:w w:val="95"/>
                <w:sz w:val="20"/>
              </w:rPr>
              <w:t>•</w:t>
            </w:r>
          </w:p>
          <w:p>
            <w:pPr>
              <w:pStyle w:val="TableParagraph"/>
              <w:numPr>
                <w:ilvl w:val="0"/>
                <w:numId w:val="37"/>
              </w:numPr>
              <w:tabs>
                <w:tab w:pos="638" w:val="left" w:leader="none"/>
                <w:tab w:pos="639" w:val="left" w:leader="none"/>
              </w:tabs>
              <w:spacing w:line="249" w:lineRule="auto" w:before="7" w:after="0"/>
              <w:ind w:left="638" w:right="230" w:hanging="360"/>
              <w:jc w:val="left"/>
              <w:rPr>
                <w:sz w:val="20"/>
              </w:rPr>
            </w:pPr>
            <w:r>
              <w:rPr>
                <w:sz w:val="20"/>
              </w:rPr>
              <w:t>Sistematización de información en el Sistema de ANP del</w:t>
            </w:r>
            <w:r>
              <w:rPr>
                <w:spacing w:val="-5"/>
                <w:sz w:val="20"/>
              </w:rPr>
              <w:t> </w:t>
            </w:r>
            <w:r>
              <w:rPr>
                <w:sz w:val="20"/>
              </w:rPr>
              <w:t>Estado de México (SANPEM) de la CEPANAF</w:t>
            </w:r>
          </w:p>
        </w:tc>
        <w:tc>
          <w:tcPr>
            <w:tcW w:w="3872" w:type="dxa"/>
            <w:tcBorders>
              <w:top w:val="dotted" w:sz="4" w:space="0" w:color="FFFFFF"/>
              <w:left w:val="single" w:sz="4" w:space="0" w:color="929292"/>
              <w:bottom w:val="dotted" w:sz="4" w:space="0" w:color="FFFFFF"/>
            </w:tcBorders>
          </w:tcPr>
          <w:p>
            <w:pPr>
              <w:pStyle w:val="TableParagraph"/>
              <w:numPr>
                <w:ilvl w:val="0"/>
                <w:numId w:val="38"/>
              </w:numPr>
              <w:tabs>
                <w:tab w:pos="633" w:val="left" w:leader="none"/>
                <w:tab w:pos="634" w:val="left" w:leader="none"/>
              </w:tabs>
              <w:spacing w:line="187" w:lineRule="exact" w:before="0" w:after="0"/>
              <w:ind w:left="633" w:right="0" w:hanging="360"/>
              <w:jc w:val="left"/>
              <w:rPr>
                <w:sz w:val="20"/>
              </w:rPr>
            </w:pPr>
            <w:r>
              <w:rPr>
                <w:sz w:val="20"/>
              </w:rPr>
              <w:t>Las ANP forman parte</w:t>
            </w:r>
            <w:r>
              <w:rPr>
                <w:spacing w:val="6"/>
                <w:sz w:val="20"/>
              </w:rPr>
              <w:t> </w:t>
            </w:r>
            <w:r>
              <w:rPr>
                <w:sz w:val="20"/>
              </w:rPr>
              <w:t>de</w:t>
            </w:r>
          </w:p>
          <w:p>
            <w:pPr>
              <w:pStyle w:val="TableParagraph"/>
              <w:spacing w:line="249" w:lineRule="auto" w:before="8"/>
              <w:ind w:left="633" w:right="912"/>
              <w:rPr>
                <w:sz w:val="20"/>
              </w:rPr>
            </w:pPr>
            <w:r>
              <w:rPr>
                <w:sz w:val="20"/>
              </w:rPr>
              <w:t>una estrategia mundial de conservación</w:t>
            </w:r>
          </w:p>
          <w:p>
            <w:pPr>
              <w:pStyle w:val="TableParagraph"/>
              <w:spacing w:before="1"/>
              <w:ind w:left="273"/>
              <w:rPr>
                <w:rFonts w:ascii="Trebuchet MS" w:hAnsi="Trebuchet MS"/>
                <w:sz w:val="20"/>
              </w:rPr>
            </w:pPr>
            <w:r>
              <w:rPr>
                <w:rFonts w:ascii="Trebuchet MS" w:hAnsi="Trebuchet MS"/>
                <w:w w:val="95"/>
                <w:sz w:val="20"/>
              </w:rPr>
              <w:t>•</w:t>
            </w:r>
          </w:p>
          <w:p>
            <w:pPr>
              <w:pStyle w:val="TableParagraph"/>
              <w:numPr>
                <w:ilvl w:val="0"/>
                <w:numId w:val="38"/>
              </w:numPr>
              <w:tabs>
                <w:tab w:pos="633" w:val="left" w:leader="none"/>
                <w:tab w:pos="634" w:val="left" w:leader="none"/>
              </w:tabs>
              <w:spacing w:line="249" w:lineRule="auto" w:before="7" w:after="0"/>
              <w:ind w:left="633" w:right="546" w:hanging="360"/>
              <w:jc w:val="left"/>
              <w:rPr>
                <w:sz w:val="20"/>
              </w:rPr>
            </w:pPr>
            <w:r>
              <w:rPr>
                <w:sz w:val="20"/>
              </w:rPr>
              <w:t>Organismos Internacionales preocupados por conservar el ambiente y la</w:t>
            </w:r>
            <w:r>
              <w:rPr>
                <w:spacing w:val="28"/>
                <w:sz w:val="20"/>
              </w:rPr>
              <w:t> </w:t>
            </w:r>
            <w:r>
              <w:rPr>
                <w:sz w:val="20"/>
              </w:rPr>
              <w:t>biodiversidad</w:t>
            </w:r>
          </w:p>
          <w:p>
            <w:pPr>
              <w:pStyle w:val="TableParagraph"/>
              <w:spacing w:before="1"/>
              <w:ind w:left="273"/>
              <w:rPr>
                <w:rFonts w:ascii="Trebuchet MS" w:hAnsi="Trebuchet MS"/>
                <w:sz w:val="20"/>
              </w:rPr>
            </w:pPr>
            <w:r>
              <w:rPr>
                <w:rFonts w:ascii="Trebuchet MS" w:hAnsi="Trebuchet MS"/>
                <w:w w:val="95"/>
                <w:sz w:val="20"/>
              </w:rPr>
              <w:t>•</w:t>
            </w:r>
          </w:p>
          <w:p>
            <w:pPr>
              <w:pStyle w:val="TableParagraph"/>
              <w:numPr>
                <w:ilvl w:val="0"/>
                <w:numId w:val="38"/>
              </w:numPr>
              <w:tabs>
                <w:tab w:pos="633" w:val="left" w:leader="none"/>
                <w:tab w:pos="634" w:val="left" w:leader="none"/>
              </w:tabs>
              <w:spacing w:line="249" w:lineRule="auto" w:before="7" w:after="0"/>
              <w:ind w:left="633" w:right="224" w:hanging="360"/>
              <w:jc w:val="left"/>
              <w:rPr>
                <w:sz w:val="20"/>
              </w:rPr>
            </w:pPr>
            <w:r>
              <w:rPr>
                <w:sz w:val="20"/>
              </w:rPr>
              <w:t>44.8% de la superficie del Estado de México está clasificada como ANP</w:t>
            </w:r>
          </w:p>
        </w:tc>
      </w:tr>
      <w:tr>
        <w:trPr>
          <w:trHeight w:val="256" w:hRule="exact"/>
        </w:trPr>
        <w:tc>
          <w:tcPr>
            <w:tcW w:w="3828" w:type="dxa"/>
            <w:tcBorders>
              <w:top w:val="dotted" w:sz="4" w:space="0" w:color="FFFFFF"/>
              <w:bottom w:val="dotted" w:sz="4" w:space="0" w:color="FFFFFF"/>
              <w:right w:val="single" w:sz="4" w:space="0" w:color="FFFFFF"/>
            </w:tcBorders>
            <w:shd w:val="clear" w:color="auto" w:fill="929292"/>
          </w:tcPr>
          <w:p>
            <w:pPr>
              <w:pStyle w:val="TableParagraph"/>
              <w:spacing w:before="6"/>
              <w:ind w:left="1430" w:right="1255"/>
              <w:jc w:val="center"/>
              <w:rPr>
                <w:sz w:val="20"/>
              </w:rPr>
            </w:pPr>
            <w:r>
              <w:rPr>
                <w:w w:val="105"/>
                <w:sz w:val="20"/>
              </w:rPr>
              <w:t>Debilidades</w:t>
            </w:r>
          </w:p>
        </w:tc>
        <w:tc>
          <w:tcPr>
            <w:tcW w:w="3872" w:type="dxa"/>
            <w:tcBorders>
              <w:top w:val="dotted" w:sz="4" w:space="0" w:color="FFFFFF"/>
              <w:left w:val="single" w:sz="4" w:space="0" w:color="FFFFFF"/>
              <w:bottom w:val="dotted" w:sz="4" w:space="0" w:color="FFFFFF"/>
            </w:tcBorders>
            <w:shd w:val="clear" w:color="auto" w:fill="929292"/>
          </w:tcPr>
          <w:p>
            <w:pPr>
              <w:pStyle w:val="TableParagraph"/>
              <w:spacing w:before="6"/>
              <w:ind w:left="1307" w:right="1087"/>
              <w:jc w:val="center"/>
              <w:rPr>
                <w:sz w:val="20"/>
              </w:rPr>
            </w:pPr>
            <w:r>
              <w:rPr>
                <w:sz w:val="20"/>
              </w:rPr>
              <w:t>Amenazas</w:t>
            </w:r>
          </w:p>
        </w:tc>
      </w:tr>
      <w:tr>
        <w:trPr>
          <w:trHeight w:val="3263" w:hRule="exact"/>
        </w:trPr>
        <w:tc>
          <w:tcPr>
            <w:tcW w:w="3828" w:type="dxa"/>
            <w:tcBorders>
              <w:top w:val="dotted" w:sz="4" w:space="0" w:color="FFFFFF"/>
              <w:right w:val="single" w:sz="4" w:space="0" w:color="929292"/>
            </w:tcBorders>
          </w:tcPr>
          <w:p>
            <w:pPr>
              <w:pStyle w:val="TableParagraph"/>
              <w:numPr>
                <w:ilvl w:val="0"/>
                <w:numId w:val="39"/>
              </w:numPr>
              <w:tabs>
                <w:tab w:pos="638" w:val="left" w:leader="none"/>
                <w:tab w:pos="639" w:val="left" w:leader="none"/>
              </w:tabs>
              <w:spacing w:line="187" w:lineRule="exact" w:before="0" w:after="0"/>
              <w:ind w:left="638" w:right="0" w:hanging="360"/>
              <w:jc w:val="left"/>
              <w:rPr>
                <w:sz w:val="20"/>
              </w:rPr>
            </w:pPr>
            <w:r>
              <w:rPr>
                <w:sz w:val="20"/>
              </w:rPr>
              <w:t>Diferentes grupos sociales y</w:t>
            </w:r>
            <w:r>
              <w:rPr>
                <w:spacing w:val="24"/>
                <w:sz w:val="20"/>
              </w:rPr>
              <w:t> </w:t>
            </w:r>
            <w:r>
              <w:rPr>
                <w:sz w:val="20"/>
              </w:rPr>
              <w:t>por</w:t>
            </w:r>
          </w:p>
          <w:p>
            <w:pPr>
              <w:pStyle w:val="TableParagraph"/>
              <w:spacing w:before="8"/>
              <w:ind w:left="638"/>
              <w:rPr>
                <w:sz w:val="20"/>
              </w:rPr>
            </w:pPr>
            <w:r>
              <w:rPr>
                <w:sz w:val="20"/>
              </w:rPr>
              <w:t>tanto intereses diferentes</w:t>
            </w:r>
          </w:p>
          <w:p>
            <w:pPr>
              <w:pStyle w:val="TableParagraph"/>
              <w:numPr>
                <w:ilvl w:val="0"/>
                <w:numId w:val="39"/>
              </w:numPr>
              <w:tabs>
                <w:tab w:pos="638" w:val="left" w:leader="none"/>
                <w:tab w:pos="639" w:val="left" w:leader="none"/>
              </w:tabs>
              <w:spacing w:line="240" w:lineRule="auto" w:before="10" w:after="0"/>
              <w:ind w:left="638" w:right="0" w:hanging="360"/>
              <w:jc w:val="left"/>
              <w:rPr>
                <w:sz w:val="20"/>
              </w:rPr>
            </w:pPr>
            <w:r>
              <w:rPr>
                <w:sz w:val="20"/>
              </w:rPr>
              <w:t>Falta de</w:t>
            </w:r>
            <w:r>
              <w:rPr>
                <w:spacing w:val="3"/>
                <w:sz w:val="20"/>
              </w:rPr>
              <w:t> </w:t>
            </w:r>
            <w:r>
              <w:rPr>
                <w:sz w:val="20"/>
              </w:rPr>
              <w:t>recursos</w:t>
            </w:r>
          </w:p>
          <w:p>
            <w:pPr>
              <w:pStyle w:val="TableParagraph"/>
              <w:numPr>
                <w:ilvl w:val="0"/>
                <w:numId w:val="39"/>
              </w:numPr>
              <w:tabs>
                <w:tab w:pos="638" w:val="left" w:leader="none"/>
                <w:tab w:pos="639" w:val="left" w:leader="none"/>
              </w:tabs>
              <w:spacing w:line="247" w:lineRule="auto" w:before="7" w:after="0"/>
              <w:ind w:left="638" w:right="160" w:hanging="360"/>
              <w:jc w:val="left"/>
              <w:rPr>
                <w:sz w:val="20"/>
              </w:rPr>
            </w:pPr>
            <w:r>
              <w:rPr>
                <w:sz w:val="20"/>
              </w:rPr>
              <w:t>Falta de aplicación de los Programas de Manejo de las</w:t>
            </w:r>
            <w:r>
              <w:rPr>
                <w:spacing w:val="-2"/>
                <w:sz w:val="20"/>
              </w:rPr>
              <w:t> </w:t>
            </w:r>
            <w:r>
              <w:rPr>
                <w:sz w:val="20"/>
              </w:rPr>
              <w:t>ANP</w:t>
            </w:r>
          </w:p>
          <w:p>
            <w:pPr>
              <w:pStyle w:val="TableParagraph"/>
              <w:numPr>
                <w:ilvl w:val="0"/>
                <w:numId w:val="39"/>
              </w:numPr>
              <w:tabs>
                <w:tab w:pos="638" w:val="left" w:leader="none"/>
                <w:tab w:pos="639" w:val="left" w:leader="none"/>
              </w:tabs>
              <w:spacing w:line="240" w:lineRule="auto" w:before="3" w:after="0"/>
              <w:ind w:left="638" w:right="0" w:hanging="360"/>
              <w:jc w:val="left"/>
              <w:rPr>
                <w:sz w:val="20"/>
              </w:rPr>
            </w:pPr>
            <w:r>
              <w:rPr>
                <w:sz w:val="20"/>
              </w:rPr>
              <w:t>No existen estudios</w:t>
            </w:r>
            <w:r>
              <w:rPr>
                <w:spacing w:val="54"/>
                <w:sz w:val="20"/>
              </w:rPr>
              <w:t> </w:t>
            </w:r>
            <w:r>
              <w:rPr>
                <w:sz w:val="20"/>
              </w:rPr>
              <w:t>prospectivos</w:t>
            </w:r>
          </w:p>
          <w:p>
            <w:pPr>
              <w:pStyle w:val="TableParagraph"/>
              <w:numPr>
                <w:ilvl w:val="0"/>
                <w:numId w:val="39"/>
              </w:numPr>
              <w:tabs>
                <w:tab w:pos="638" w:val="left" w:leader="none"/>
                <w:tab w:pos="639" w:val="left" w:leader="none"/>
              </w:tabs>
              <w:spacing w:line="249" w:lineRule="auto" w:before="7" w:after="0"/>
              <w:ind w:left="638" w:right="197" w:hanging="360"/>
              <w:jc w:val="left"/>
              <w:rPr>
                <w:sz w:val="20"/>
              </w:rPr>
            </w:pPr>
            <w:r>
              <w:rPr>
                <w:sz w:val="20"/>
              </w:rPr>
              <w:t>Falta de participación social en la integración de los Programas de Manejo</w:t>
            </w:r>
          </w:p>
          <w:p>
            <w:pPr>
              <w:pStyle w:val="TableParagraph"/>
              <w:numPr>
                <w:ilvl w:val="0"/>
                <w:numId w:val="39"/>
              </w:numPr>
              <w:tabs>
                <w:tab w:pos="638" w:val="left" w:leader="none"/>
                <w:tab w:pos="639" w:val="left" w:leader="none"/>
              </w:tabs>
              <w:spacing w:line="247" w:lineRule="auto" w:before="1" w:after="0"/>
              <w:ind w:left="638" w:right="271" w:hanging="360"/>
              <w:jc w:val="left"/>
              <w:rPr>
                <w:sz w:val="20"/>
              </w:rPr>
            </w:pPr>
            <w:r>
              <w:rPr>
                <w:sz w:val="20"/>
              </w:rPr>
              <w:t>No se atienden al 100% las ANP del Estado de</w:t>
            </w:r>
            <w:r>
              <w:rPr>
                <w:spacing w:val="28"/>
                <w:sz w:val="20"/>
              </w:rPr>
              <w:t> </w:t>
            </w:r>
            <w:r>
              <w:rPr>
                <w:sz w:val="20"/>
              </w:rPr>
              <w:t>México</w:t>
            </w:r>
          </w:p>
          <w:p>
            <w:pPr>
              <w:pStyle w:val="TableParagraph"/>
              <w:numPr>
                <w:ilvl w:val="0"/>
                <w:numId w:val="39"/>
              </w:numPr>
              <w:tabs>
                <w:tab w:pos="638" w:val="left" w:leader="none"/>
                <w:tab w:pos="639" w:val="left" w:leader="none"/>
              </w:tabs>
              <w:spacing w:line="249" w:lineRule="auto" w:before="3" w:after="0"/>
              <w:ind w:left="638" w:right="148" w:hanging="360"/>
              <w:jc w:val="left"/>
              <w:rPr>
                <w:sz w:val="20"/>
              </w:rPr>
            </w:pPr>
            <w:r>
              <w:rPr>
                <w:sz w:val="20"/>
              </w:rPr>
              <w:t>Falta difusión sobre las ANP  entre la población de la ciudad de Toluca</w:t>
            </w:r>
          </w:p>
        </w:tc>
        <w:tc>
          <w:tcPr>
            <w:tcW w:w="3872" w:type="dxa"/>
            <w:tcBorders>
              <w:top w:val="dotted" w:sz="4" w:space="0" w:color="FFFFFF"/>
              <w:left w:val="single" w:sz="4" w:space="0" w:color="929292"/>
            </w:tcBorders>
          </w:tcPr>
          <w:p>
            <w:pPr>
              <w:pStyle w:val="TableParagraph"/>
              <w:numPr>
                <w:ilvl w:val="0"/>
                <w:numId w:val="40"/>
              </w:numPr>
              <w:tabs>
                <w:tab w:pos="633" w:val="left" w:leader="none"/>
                <w:tab w:pos="634" w:val="left" w:leader="none"/>
              </w:tabs>
              <w:spacing w:line="187" w:lineRule="exact" w:before="0" w:after="0"/>
              <w:ind w:left="633" w:right="0" w:hanging="360"/>
              <w:jc w:val="left"/>
              <w:rPr>
                <w:sz w:val="20"/>
              </w:rPr>
            </w:pPr>
            <w:r>
              <w:rPr>
                <w:sz w:val="20"/>
              </w:rPr>
              <w:t>No existe integración</w:t>
            </w:r>
            <w:r>
              <w:rPr>
                <w:spacing w:val="20"/>
                <w:sz w:val="20"/>
              </w:rPr>
              <w:t> </w:t>
            </w:r>
            <w:r>
              <w:rPr>
                <w:sz w:val="20"/>
              </w:rPr>
              <w:t>entre</w:t>
            </w:r>
          </w:p>
          <w:p>
            <w:pPr>
              <w:pStyle w:val="TableParagraph"/>
              <w:spacing w:line="249" w:lineRule="auto" w:before="8"/>
              <w:ind w:left="633" w:right="179"/>
              <w:rPr>
                <w:sz w:val="20"/>
              </w:rPr>
            </w:pPr>
            <w:r>
              <w:rPr>
                <w:sz w:val="20"/>
              </w:rPr>
              <w:t>instrumentos normativos de planeación y Programas e Manejo</w:t>
            </w:r>
          </w:p>
          <w:p>
            <w:pPr>
              <w:pStyle w:val="TableParagraph"/>
              <w:numPr>
                <w:ilvl w:val="0"/>
                <w:numId w:val="40"/>
              </w:numPr>
              <w:tabs>
                <w:tab w:pos="633" w:val="left" w:leader="none"/>
                <w:tab w:pos="634" w:val="left" w:leader="none"/>
              </w:tabs>
              <w:spacing w:line="249" w:lineRule="auto" w:before="1" w:after="0"/>
              <w:ind w:left="633" w:right="145" w:hanging="360"/>
              <w:jc w:val="left"/>
              <w:rPr>
                <w:sz w:val="20"/>
              </w:rPr>
            </w:pPr>
            <w:r>
              <w:rPr>
                <w:sz w:val="20"/>
              </w:rPr>
              <w:t>Las atribuciones en materia de protección al ambiente recaen en mayor medida en el ámbito</w:t>
            </w:r>
            <w:r>
              <w:rPr>
                <w:spacing w:val="28"/>
                <w:sz w:val="20"/>
              </w:rPr>
              <w:t> </w:t>
            </w:r>
            <w:r>
              <w:rPr>
                <w:sz w:val="20"/>
              </w:rPr>
              <w:t>estatal</w:t>
            </w:r>
          </w:p>
          <w:p>
            <w:pPr>
              <w:pStyle w:val="TableParagraph"/>
              <w:numPr>
                <w:ilvl w:val="0"/>
                <w:numId w:val="40"/>
              </w:numPr>
              <w:tabs>
                <w:tab w:pos="633" w:val="left" w:leader="none"/>
                <w:tab w:pos="634" w:val="left" w:leader="none"/>
              </w:tabs>
              <w:spacing w:line="249" w:lineRule="auto" w:before="1" w:after="0"/>
              <w:ind w:left="633" w:right="264" w:hanging="360"/>
              <w:jc w:val="left"/>
              <w:rPr>
                <w:sz w:val="20"/>
              </w:rPr>
            </w:pPr>
            <w:r>
              <w:rPr>
                <w:sz w:val="20"/>
              </w:rPr>
              <w:t>Existen infinidad de instrumentos normativos en el ámbito federal, estatal y</w:t>
            </w:r>
            <w:r>
              <w:rPr>
                <w:spacing w:val="18"/>
                <w:sz w:val="20"/>
              </w:rPr>
              <w:t> </w:t>
            </w:r>
            <w:r>
              <w:rPr>
                <w:sz w:val="20"/>
              </w:rPr>
              <w:t>municipal</w:t>
            </w:r>
          </w:p>
          <w:p>
            <w:pPr>
              <w:pStyle w:val="TableParagraph"/>
              <w:numPr>
                <w:ilvl w:val="0"/>
                <w:numId w:val="40"/>
              </w:numPr>
              <w:tabs>
                <w:tab w:pos="633" w:val="left" w:leader="none"/>
                <w:tab w:pos="634" w:val="left" w:leader="none"/>
              </w:tabs>
              <w:spacing w:line="249" w:lineRule="auto" w:before="1" w:after="0"/>
              <w:ind w:left="633" w:right="131" w:hanging="360"/>
              <w:jc w:val="left"/>
              <w:rPr>
                <w:sz w:val="20"/>
              </w:rPr>
            </w:pPr>
            <w:r>
              <w:rPr>
                <w:sz w:val="20"/>
              </w:rPr>
              <w:t>La población desconoce la existencia de ANP en la Ciudad de Toluca y también su importancia en la conservación de la Biodiversidad</w:t>
            </w:r>
          </w:p>
        </w:tc>
      </w:tr>
    </w:tbl>
    <w:p>
      <w:pPr>
        <w:spacing w:before="105"/>
        <w:ind w:left="1031" w:right="895" w:firstLine="0"/>
        <w:jc w:val="center"/>
        <w:rPr>
          <w:sz w:val="16"/>
        </w:rPr>
      </w:pPr>
      <w:r>
        <w:rPr>
          <w:color w:val="6D6E71"/>
          <w:sz w:val="16"/>
        </w:rPr>
        <w:t>Fuente: Elaboración propia.</w:t>
      </w:r>
    </w:p>
    <w:p>
      <w:pPr>
        <w:pStyle w:val="BodyText"/>
        <w:spacing w:before="5"/>
        <w:rPr>
          <w:sz w:val="22"/>
        </w:rPr>
      </w:pPr>
    </w:p>
    <w:p>
      <w:pPr>
        <w:pStyle w:val="BodyText"/>
        <w:spacing w:line="249" w:lineRule="auto"/>
        <w:ind w:left="137" w:firstLine="170"/>
        <w:jc w:val="both"/>
      </w:pPr>
      <w:r>
        <w:rPr/>
        <w:t>Por tanto podemos apreciar que actualmente son más las Debilidades y Amenazas que las Fortalezas y Oportunidades, lo que requerirá de un mayor compromiso para revertir esta situación.</w:t>
      </w:r>
    </w:p>
    <w:p>
      <w:pPr>
        <w:pStyle w:val="BodyText"/>
        <w:spacing w:before="11"/>
      </w:pPr>
    </w:p>
    <w:p>
      <w:pPr>
        <w:pStyle w:val="BodyText"/>
        <w:ind w:left="307"/>
      </w:pPr>
      <w:r>
        <w:rPr/>
        <w:t>Con base en lo anterior, las áreas de atención prioritaria son:</w:t>
      </w:r>
    </w:p>
    <w:p>
      <w:pPr>
        <w:pStyle w:val="ListParagraph"/>
        <w:numPr>
          <w:ilvl w:val="0"/>
          <w:numId w:val="41"/>
        </w:numPr>
        <w:tabs>
          <w:tab w:pos="667" w:val="left" w:leader="none"/>
          <w:tab w:pos="668" w:val="left" w:leader="none"/>
        </w:tabs>
        <w:spacing w:line="240" w:lineRule="auto" w:before="10" w:after="0"/>
        <w:ind w:left="667" w:right="0" w:hanging="360"/>
        <w:jc w:val="left"/>
        <w:rPr>
          <w:sz w:val="20"/>
        </w:rPr>
      </w:pPr>
      <w:r>
        <w:rPr>
          <w:sz w:val="20"/>
        </w:rPr>
        <w:t>Falta de recursos económicos para el mantenimiento de las</w:t>
      </w:r>
      <w:r>
        <w:rPr>
          <w:spacing w:val="31"/>
          <w:sz w:val="20"/>
        </w:rPr>
        <w:t> </w:t>
      </w:r>
      <w:r>
        <w:rPr>
          <w:sz w:val="20"/>
        </w:rPr>
        <w:t>ANP.</w:t>
      </w:r>
    </w:p>
    <w:p>
      <w:pPr>
        <w:pStyle w:val="ListParagraph"/>
        <w:numPr>
          <w:ilvl w:val="0"/>
          <w:numId w:val="41"/>
        </w:numPr>
        <w:tabs>
          <w:tab w:pos="667" w:val="left" w:leader="none"/>
          <w:tab w:pos="668" w:val="left" w:leader="none"/>
        </w:tabs>
        <w:spacing w:line="247" w:lineRule="auto" w:before="7" w:after="0"/>
        <w:ind w:left="667" w:right="1" w:hanging="360"/>
        <w:jc w:val="left"/>
        <w:rPr>
          <w:sz w:val="20"/>
        </w:rPr>
      </w:pPr>
      <w:r>
        <w:rPr>
          <w:sz w:val="20"/>
        </w:rPr>
        <w:t>Falta de participación social en la integración de los Programas de Manejo de la ANP, lo que genera conflictos entre autoridades y población que habita en </w:t>
      </w:r>
      <w:r>
        <w:rPr>
          <w:spacing w:val="7"/>
          <w:sz w:val="20"/>
        </w:rPr>
        <w:t> </w:t>
      </w:r>
      <w:r>
        <w:rPr>
          <w:sz w:val="20"/>
        </w:rPr>
        <w:t>ellas.</w:t>
      </w:r>
    </w:p>
    <w:p>
      <w:pPr>
        <w:pStyle w:val="ListParagraph"/>
        <w:numPr>
          <w:ilvl w:val="0"/>
          <w:numId w:val="41"/>
        </w:numPr>
        <w:tabs>
          <w:tab w:pos="667" w:val="left" w:leader="none"/>
          <w:tab w:pos="668" w:val="left" w:leader="none"/>
        </w:tabs>
        <w:spacing w:line="247" w:lineRule="auto" w:before="3" w:after="0"/>
        <w:ind w:left="667" w:right="1" w:hanging="360"/>
        <w:jc w:val="left"/>
        <w:rPr>
          <w:sz w:val="20"/>
        </w:rPr>
      </w:pPr>
      <w:r>
        <w:rPr>
          <w:sz w:val="20"/>
        </w:rPr>
        <w:t>Falta</w:t>
      </w:r>
      <w:r>
        <w:rPr>
          <w:spacing w:val="-10"/>
          <w:sz w:val="20"/>
        </w:rPr>
        <w:t> </w:t>
      </w:r>
      <w:r>
        <w:rPr>
          <w:sz w:val="20"/>
        </w:rPr>
        <w:t>información</w:t>
      </w:r>
      <w:r>
        <w:rPr>
          <w:spacing w:val="-10"/>
          <w:sz w:val="20"/>
        </w:rPr>
        <w:t> </w:t>
      </w:r>
      <w:r>
        <w:rPr>
          <w:sz w:val="20"/>
        </w:rPr>
        <w:t>sobre</w:t>
      </w:r>
      <w:r>
        <w:rPr>
          <w:spacing w:val="-10"/>
          <w:sz w:val="20"/>
        </w:rPr>
        <w:t> </w:t>
      </w:r>
      <w:r>
        <w:rPr>
          <w:sz w:val="20"/>
        </w:rPr>
        <w:t>la</w:t>
      </w:r>
      <w:r>
        <w:rPr>
          <w:spacing w:val="-10"/>
          <w:sz w:val="20"/>
        </w:rPr>
        <w:t> </w:t>
      </w:r>
      <w:r>
        <w:rPr>
          <w:sz w:val="20"/>
        </w:rPr>
        <w:t>importancia</w:t>
      </w:r>
      <w:r>
        <w:rPr>
          <w:spacing w:val="-10"/>
          <w:sz w:val="20"/>
        </w:rPr>
        <w:t> </w:t>
      </w:r>
      <w:r>
        <w:rPr>
          <w:sz w:val="20"/>
        </w:rPr>
        <w:t>de</w:t>
      </w:r>
      <w:r>
        <w:rPr>
          <w:spacing w:val="-10"/>
          <w:sz w:val="20"/>
        </w:rPr>
        <w:t> </w:t>
      </w:r>
      <w:r>
        <w:rPr>
          <w:sz w:val="20"/>
        </w:rPr>
        <w:t>conservar</w:t>
      </w:r>
      <w:r>
        <w:rPr>
          <w:spacing w:val="-10"/>
          <w:sz w:val="20"/>
        </w:rPr>
        <w:t> </w:t>
      </w:r>
      <w:r>
        <w:rPr>
          <w:sz w:val="20"/>
        </w:rPr>
        <w:t>las</w:t>
      </w:r>
      <w:r>
        <w:rPr>
          <w:spacing w:val="-10"/>
          <w:sz w:val="20"/>
        </w:rPr>
        <w:t> </w:t>
      </w:r>
      <w:r>
        <w:rPr>
          <w:sz w:val="20"/>
        </w:rPr>
        <w:t>ANP</w:t>
      </w:r>
      <w:r>
        <w:rPr>
          <w:spacing w:val="36"/>
          <w:sz w:val="20"/>
        </w:rPr>
        <w:t> </w:t>
      </w:r>
      <w:r>
        <w:rPr>
          <w:sz w:val="20"/>
        </w:rPr>
        <w:t>frente</w:t>
      </w:r>
      <w:r>
        <w:rPr>
          <w:spacing w:val="-10"/>
          <w:sz w:val="20"/>
        </w:rPr>
        <w:t> </w:t>
      </w:r>
      <w:r>
        <w:rPr>
          <w:sz w:val="20"/>
        </w:rPr>
        <w:t>al</w:t>
      </w:r>
      <w:r>
        <w:rPr>
          <w:spacing w:val="-10"/>
          <w:sz w:val="20"/>
        </w:rPr>
        <w:t> </w:t>
      </w:r>
      <w:r>
        <w:rPr>
          <w:sz w:val="20"/>
        </w:rPr>
        <w:t>crecimiento urbano.</w:t>
      </w:r>
    </w:p>
    <w:p>
      <w:pPr>
        <w:pStyle w:val="Heading1"/>
        <w:spacing w:before="71"/>
        <w:ind w:left="307"/>
      </w:pPr>
      <w:r>
        <w:rPr>
          <w:b w:val="0"/>
        </w:rPr>
        <w:br w:type="column"/>
      </w:r>
      <w:r>
        <w:rPr/>
        <w:t>Consideraciones Teóricas</w:t>
      </w:r>
    </w:p>
    <w:p>
      <w:pPr>
        <w:pStyle w:val="BodyText"/>
        <w:rPr>
          <w:b/>
          <w:sz w:val="21"/>
        </w:rPr>
      </w:pPr>
    </w:p>
    <w:p>
      <w:pPr>
        <w:pStyle w:val="BodyText"/>
        <w:spacing w:line="249" w:lineRule="auto"/>
        <w:ind w:left="137" w:right="116" w:firstLine="170"/>
        <w:jc w:val="both"/>
      </w:pPr>
      <w:r>
        <w:rPr/>
        <w:t>Originalmente en el año de 1870, los Parques de Yellowstone en Estados Unidos y el Parque Royal en Australia fueron creados con fines recreativos pero actualmente son manejadas para cumplir con objetivos sociales, económicos y ambientales “…    las áreas protegidas son utilizadas para una gran variedad de objetivos, entre los que se encuentran: investigación científica, protección de la vida silvestre, preservación    de especies y ecosistemas, mantenimiento de servicios ambientales, protección de características específicas naturales y culturales, turismo y recreación, educación, uso sostenible de los recursos de los ecosistemas naturales y mantenimiento de atributos naturales y culturales”. (Garcés, 2013:</w:t>
      </w:r>
      <w:r>
        <w:rPr>
          <w:spacing w:val="-13"/>
        </w:rPr>
        <w:t> </w:t>
      </w:r>
      <w:r>
        <w:rPr/>
        <w:t>6)</w:t>
      </w:r>
    </w:p>
    <w:p>
      <w:pPr>
        <w:pStyle w:val="BodyText"/>
        <w:spacing w:before="11"/>
      </w:pPr>
    </w:p>
    <w:p>
      <w:pPr>
        <w:pStyle w:val="BodyText"/>
        <w:spacing w:line="249" w:lineRule="auto"/>
        <w:ind w:left="137" w:right="114" w:firstLine="170"/>
        <w:jc w:val="both"/>
      </w:pPr>
      <w:r>
        <w:rPr/>
        <w:t>Actualmente “…la definición más utilizada de Área Protegida es la de UICN (Unión Internacional para la Conservación de la Naturaleza): un área de tierra y/o mar especialmente dedicada a la protección y mantenimiento de la biodiversidad biológica y de recursos naturales y culturales asociados, manejados a través de medios legales u otros medios efectivos”. (op. cit:</w:t>
      </w:r>
      <w:r>
        <w:rPr>
          <w:spacing w:val="54"/>
        </w:rPr>
        <w:t> </w:t>
      </w:r>
      <w:r>
        <w:rPr/>
        <w:t>6).</w:t>
      </w:r>
    </w:p>
    <w:p>
      <w:pPr>
        <w:pStyle w:val="BodyText"/>
        <w:spacing w:before="11"/>
      </w:pPr>
    </w:p>
    <w:p>
      <w:pPr>
        <w:pStyle w:val="BodyText"/>
        <w:spacing w:line="249" w:lineRule="auto"/>
        <w:ind w:left="137" w:right="115" w:firstLine="170"/>
        <w:jc w:val="both"/>
      </w:pPr>
      <w:r>
        <w:rPr/>
        <w:t>Por tanto la autora concluye que las ANP son fundamentales para la supervivencia humana y entonces ¿cómo hacer compatible la conservación de recursos naturales y el crecimiento urbano en las ciudades?.</w:t>
      </w:r>
    </w:p>
    <w:p>
      <w:pPr>
        <w:pStyle w:val="BodyText"/>
        <w:spacing w:before="11"/>
      </w:pPr>
    </w:p>
    <w:p>
      <w:pPr>
        <w:pStyle w:val="BodyText"/>
        <w:spacing w:line="249" w:lineRule="auto"/>
        <w:ind w:left="137" w:right="115" w:firstLine="170"/>
        <w:jc w:val="both"/>
      </w:pPr>
      <w:r>
        <w:rPr/>
        <w:t>Porque hablar de crecimiento urbano comprende una serie de elementos entre ellos población, superficie, actividades económicas entre otros “…un patrón espacial puede ser entendido como las regularidades espaciales que resultan de las relaciones entre elementos… de estructuras y de procesos que condicionan o bien definen el desarrollo de una ciudad…”(Azócar, 2010: 88)</w:t>
      </w:r>
    </w:p>
    <w:p>
      <w:pPr>
        <w:pStyle w:val="BodyText"/>
        <w:spacing w:before="11"/>
      </w:pPr>
    </w:p>
    <w:p>
      <w:pPr>
        <w:pStyle w:val="BodyText"/>
        <w:spacing w:line="249" w:lineRule="auto"/>
        <w:ind w:left="137" w:right="114" w:firstLine="170"/>
        <w:jc w:val="both"/>
      </w:pPr>
      <w:r>
        <w:rPr/>
        <w:t>Así dos factores que convergen y condicionan el tipo de crecimiento en las ciudades son</w:t>
      </w:r>
      <w:r>
        <w:rPr>
          <w:spacing w:val="-12"/>
        </w:rPr>
        <w:t> </w:t>
      </w:r>
      <w:r>
        <w:rPr/>
        <w:t>el</w:t>
      </w:r>
      <w:r>
        <w:rPr>
          <w:spacing w:val="-12"/>
        </w:rPr>
        <w:t> </w:t>
      </w:r>
      <w:r>
        <w:rPr/>
        <w:t>tiempo</w:t>
      </w:r>
      <w:r>
        <w:rPr>
          <w:spacing w:val="33"/>
        </w:rPr>
        <w:t> </w:t>
      </w:r>
      <w:r>
        <w:rPr/>
        <w:t>y</w:t>
      </w:r>
      <w:r>
        <w:rPr>
          <w:spacing w:val="-12"/>
        </w:rPr>
        <w:t> </w:t>
      </w:r>
      <w:r>
        <w:rPr/>
        <w:t>el</w:t>
      </w:r>
      <w:r>
        <w:rPr>
          <w:spacing w:val="-12"/>
        </w:rPr>
        <w:t> </w:t>
      </w:r>
      <w:r>
        <w:rPr/>
        <w:t>espacio,</w:t>
      </w:r>
      <w:r>
        <w:rPr>
          <w:spacing w:val="-12"/>
        </w:rPr>
        <w:t> </w:t>
      </w:r>
      <w:r>
        <w:rPr/>
        <w:t>que</w:t>
      </w:r>
      <w:r>
        <w:rPr>
          <w:spacing w:val="-12"/>
        </w:rPr>
        <w:t> </w:t>
      </w:r>
      <w:r>
        <w:rPr/>
        <w:t>aplican</w:t>
      </w:r>
      <w:r>
        <w:rPr>
          <w:spacing w:val="-12"/>
        </w:rPr>
        <w:t> </w:t>
      </w:r>
      <w:r>
        <w:rPr/>
        <w:t>para</w:t>
      </w:r>
      <w:r>
        <w:rPr>
          <w:spacing w:val="-12"/>
        </w:rPr>
        <w:t> </w:t>
      </w:r>
      <w:r>
        <w:rPr/>
        <w:t>nuestro</w:t>
      </w:r>
      <w:r>
        <w:rPr>
          <w:spacing w:val="-12"/>
        </w:rPr>
        <w:t> </w:t>
      </w:r>
      <w:r>
        <w:rPr/>
        <w:t>caso</w:t>
      </w:r>
      <w:r>
        <w:rPr>
          <w:spacing w:val="-12"/>
        </w:rPr>
        <w:t> </w:t>
      </w:r>
      <w:r>
        <w:rPr/>
        <w:t>de</w:t>
      </w:r>
      <w:r>
        <w:rPr>
          <w:spacing w:val="-12"/>
        </w:rPr>
        <w:t> </w:t>
      </w:r>
      <w:r>
        <w:rPr/>
        <w:t>estudio</w:t>
      </w:r>
      <w:r>
        <w:rPr>
          <w:spacing w:val="-12"/>
        </w:rPr>
        <w:t> </w:t>
      </w:r>
      <w:r>
        <w:rPr/>
        <w:t>que</w:t>
      </w:r>
      <w:r>
        <w:rPr>
          <w:spacing w:val="-12"/>
        </w:rPr>
        <w:t> </w:t>
      </w:r>
      <w:r>
        <w:rPr/>
        <w:t>es</w:t>
      </w:r>
      <w:r>
        <w:rPr>
          <w:spacing w:val="-12"/>
        </w:rPr>
        <w:t> </w:t>
      </w:r>
      <w:r>
        <w:rPr/>
        <w:t>el</w:t>
      </w:r>
      <w:r>
        <w:rPr>
          <w:spacing w:val="-12"/>
        </w:rPr>
        <w:t> </w:t>
      </w:r>
      <w:r>
        <w:rPr/>
        <w:t>municipio Toluca.</w:t>
      </w:r>
    </w:p>
    <w:p>
      <w:pPr>
        <w:pStyle w:val="BodyText"/>
        <w:spacing w:before="11"/>
      </w:pPr>
    </w:p>
    <w:p>
      <w:pPr>
        <w:pStyle w:val="BodyText"/>
        <w:spacing w:line="249" w:lineRule="auto"/>
        <w:ind w:left="137" w:right="117" w:firstLine="170"/>
        <w:jc w:val="both"/>
      </w:pPr>
      <w:r>
        <w:rPr/>
        <w:t>Se tomará como referencia la Teoría de Casos porque se adapta a los objetivos   que propone este estudio “…los diversos métodos de investigación social tiene sus ventajas y desventajas según el tipo de problema abordado y sus circunstancias…los casos son particularmente válidos cuando se presentan preguntas del “cómo” o “por qué”…Son más explicativas y llevan fácilmente al estudio de casos…” (Yacuzzi,</w:t>
      </w:r>
      <w:r>
        <w:rPr>
          <w:spacing w:val="41"/>
        </w:rPr>
        <w:t> </w:t>
      </w:r>
      <w:r>
        <w:rPr/>
        <w:t>:6)</w:t>
      </w:r>
    </w:p>
    <w:p>
      <w:pPr>
        <w:pStyle w:val="BodyText"/>
        <w:spacing w:before="11"/>
      </w:pPr>
    </w:p>
    <w:p>
      <w:pPr>
        <w:pStyle w:val="BodyText"/>
        <w:spacing w:line="249" w:lineRule="auto"/>
        <w:ind w:left="137" w:right="115" w:firstLine="170"/>
        <w:jc w:val="both"/>
      </w:pPr>
      <w:r>
        <w:rPr/>
        <w:t>Ya que algunos de los cuestionamientos que dan origen a este análisis son precisamente ¿cómo será el modelo de crecimiento en el municipio de Toluca los próximos</w:t>
      </w:r>
      <w:r>
        <w:rPr>
          <w:spacing w:val="-15"/>
        </w:rPr>
        <w:t> </w:t>
      </w:r>
      <w:r>
        <w:rPr/>
        <w:t>años?</w:t>
      </w:r>
      <w:r>
        <w:rPr>
          <w:spacing w:val="-15"/>
        </w:rPr>
        <w:t> </w:t>
      </w:r>
      <w:r>
        <w:rPr/>
        <w:t>Además</w:t>
      </w:r>
      <w:r>
        <w:rPr>
          <w:spacing w:val="-15"/>
        </w:rPr>
        <w:t> </w:t>
      </w:r>
      <w:r>
        <w:rPr/>
        <w:t>de</w:t>
      </w:r>
      <w:r>
        <w:rPr>
          <w:spacing w:val="-15"/>
        </w:rPr>
        <w:t> </w:t>
      </w:r>
      <w:r>
        <w:rPr/>
        <w:t>¿por</w:t>
      </w:r>
      <w:r>
        <w:rPr>
          <w:spacing w:val="-15"/>
        </w:rPr>
        <w:t> </w:t>
      </w:r>
      <w:r>
        <w:rPr/>
        <w:t>qué</w:t>
      </w:r>
      <w:r>
        <w:rPr>
          <w:spacing w:val="-15"/>
        </w:rPr>
        <w:t> </w:t>
      </w:r>
      <w:r>
        <w:rPr/>
        <w:t>no</w:t>
      </w:r>
      <w:r>
        <w:rPr>
          <w:spacing w:val="-15"/>
        </w:rPr>
        <w:t> </w:t>
      </w:r>
      <w:r>
        <w:rPr/>
        <w:t>existe</w:t>
      </w:r>
      <w:r>
        <w:rPr>
          <w:spacing w:val="-15"/>
        </w:rPr>
        <w:t> </w:t>
      </w:r>
      <w:r>
        <w:rPr/>
        <w:t>un</w:t>
      </w:r>
      <w:r>
        <w:rPr>
          <w:spacing w:val="-15"/>
        </w:rPr>
        <w:t> </w:t>
      </w:r>
      <w:r>
        <w:rPr/>
        <w:t>adecuado</w:t>
      </w:r>
      <w:r>
        <w:rPr>
          <w:spacing w:val="-15"/>
        </w:rPr>
        <w:t> </w:t>
      </w:r>
      <w:r>
        <w:rPr/>
        <w:t>manejo</w:t>
      </w:r>
      <w:r>
        <w:rPr>
          <w:spacing w:val="-15"/>
        </w:rPr>
        <w:t> </w:t>
      </w:r>
      <w:r>
        <w:rPr/>
        <w:t>y</w:t>
      </w:r>
      <w:r>
        <w:rPr>
          <w:spacing w:val="-15"/>
        </w:rPr>
        <w:t> </w:t>
      </w:r>
      <w:r>
        <w:rPr/>
        <w:t>administración</w:t>
      </w:r>
      <w:r>
        <w:rPr>
          <w:spacing w:val="-15"/>
        </w:rPr>
        <w:t> </w:t>
      </w:r>
      <w:r>
        <w:rPr/>
        <w:t>de las ANP en el municipio de Toluca? y la reiterada pregunta de ¿cómo hacer</w:t>
      </w:r>
      <w:r>
        <w:rPr>
          <w:spacing w:val="-32"/>
        </w:rPr>
        <w:t> </w:t>
      </w:r>
      <w:r>
        <w:rPr/>
        <w:t>compatible</w:t>
      </w:r>
    </w:p>
    <w:p>
      <w:pPr>
        <w:spacing w:after="0" w:line="249" w:lineRule="auto"/>
        <w:jc w:val="both"/>
        <w:sectPr>
          <w:type w:val="continuous"/>
          <w:pgSz w:w="18830" w:h="12760" w:orient="landscape"/>
          <w:pgMar w:top="1420" w:bottom="280" w:left="720" w:right="720"/>
          <w:cols w:num="2" w:equalWidth="0">
            <w:col w:w="7850" w:space="1567"/>
            <w:col w:w="7973"/>
          </w:cols>
        </w:sectPr>
      </w:pPr>
    </w:p>
    <w:p>
      <w:pPr>
        <w:pStyle w:val="BodyText"/>
        <w:spacing w:before="6"/>
        <w:rPr>
          <w:sz w:val="23"/>
        </w:rPr>
      </w:pPr>
    </w:p>
    <w:p>
      <w:pPr>
        <w:spacing w:after="0"/>
        <w:rPr>
          <w:sz w:val="23"/>
        </w:rPr>
        <w:sectPr>
          <w:footerReference w:type="default" r:id="rId322"/>
          <w:pgSz w:w="18830" w:h="12760" w:orient="landscape"/>
          <w:pgMar w:footer="1036" w:header="522" w:top="820" w:bottom="1220" w:left="720" w:right="720"/>
        </w:sectPr>
      </w:pPr>
    </w:p>
    <w:p>
      <w:pPr>
        <w:pStyle w:val="BodyText"/>
        <w:spacing w:line="249" w:lineRule="auto" w:before="76"/>
        <w:ind w:left="123"/>
      </w:pPr>
      <w:r>
        <w:rPr/>
        <w:t>el crecimiento urbano y la protección de los recursos naturales y la biodiversidad en el municipio  de Toluca?</w:t>
      </w:r>
    </w:p>
    <w:p>
      <w:pPr>
        <w:pStyle w:val="BodyText"/>
        <w:spacing w:before="11"/>
      </w:pPr>
    </w:p>
    <w:p>
      <w:pPr>
        <w:pStyle w:val="BodyText"/>
        <w:spacing w:line="249" w:lineRule="auto"/>
        <w:ind w:left="123" w:firstLine="170"/>
        <w:jc w:val="both"/>
      </w:pPr>
      <w:r>
        <w:rPr/>
        <w:t>Ahora bien en el ámbito Federal la administración de las ANP le corresponde a la Comisión  Nacional  de  Áreas  Protegidas  (CONANP),  órgano  desconcentrado  de  la Secretaría de Medio Ambiente y Recursos Naturales creada en el año 2000, que estipula que un ANP “…constituyen porciones terrestres o acuáticas del territorio nacional representativas de los diversos ecosistemas, en donde el ambiente original  no ha sido sustancialmente alterado o bien son áreas que requieren ser preservadas y restauradas y que proveen una serie de beneficios y servicios ambientales:” (Gobierno de la República:</w:t>
      </w:r>
      <w:r>
        <w:rPr>
          <w:spacing w:val="-9"/>
        </w:rPr>
        <w:t> </w:t>
      </w:r>
      <w:r>
        <w:rPr/>
        <w:t>2014:12)</w:t>
      </w:r>
    </w:p>
    <w:p>
      <w:pPr>
        <w:pStyle w:val="BodyText"/>
        <w:spacing w:before="11"/>
      </w:pPr>
    </w:p>
    <w:p>
      <w:pPr>
        <w:pStyle w:val="BodyText"/>
        <w:spacing w:line="249" w:lineRule="auto"/>
        <w:ind w:left="123" w:firstLine="170"/>
        <w:jc w:val="both"/>
      </w:pPr>
      <w:r>
        <w:rPr/>
        <w:t>Las ANP se crean por Decreto Presidencial y es a través de lo dispuesto en la Ley General</w:t>
      </w:r>
      <w:r>
        <w:rPr>
          <w:spacing w:val="-8"/>
        </w:rPr>
        <w:t> </w:t>
      </w:r>
      <w:r>
        <w:rPr/>
        <w:t>del</w:t>
      </w:r>
      <w:r>
        <w:rPr>
          <w:spacing w:val="-8"/>
        </w:rPr>
        <w:t> </w:t>
      </w:r>
      <w:r>
        <w:rPr/>
        <w:t>Equilibrio</w:t>
      </w:r>
      <w:r>
        <w:rPr>
          <w:spacing w:val="-8"/>
        </w:rPr>
        <w:t> </w:t>
      </w:r>
      <w:r>
        <w:rPr/>
        <w:t>Ecológico</w:t>
      </w:r>
      <w:r>
        <w:rPr>
          <w:spacing w:val="-8"/>
        </w:rPr>
        <w:t> </w:t>
      </w:r>
      <w:r>
        <w:rPr/>
        <w:t>y</w:t>
      </w:r>
      <w:r>
        <w:rPr>
          <w:spacing w:val="-8"/>
        </w:rPr>
        <w:t> </w:t>
      </w:r>
      <w:r>
        <w:rPr/>
        <w:t>la</w:t>
      </w:r>
      <w:r>
        <w:rPr>
          <w:spacing w:val="-8"/>
        </w:rPr>
        <w:t> </w:t>
      </w:r>
      <w:r>
        <w:rPr/>
        <w:t>Protección</w:t>
      </w:r>
      <w:r>
        <w:rPr>
          <w:spacing w:val="-8"/>
        </w:rPr>
        <w:t> </w:t>
      </w:r>
      <w:r>
        <w:rPr/>
        <w:t>al</w:t>
      </w:r>
      <w:r>
        <w:rPr>
          <w:spacing w:val="-8"/>
        </w:rPr>
        <w:t> </w:t>
      </w:r>
      <w:r>
        <w:rPr/>
        <w:t>Ambiente</w:t>
      </w:r>
      <w:r>
        <w:rPr>
          <w:spacing w:val="-8"/>
        </w:rPr>
        <w:t> </w:t>
      </w:r>
      <w:r>
        <w:rPr/>
        <w:t>(LEEGEPA)</w:t>
      </w:r>
      <w:r>
        <w:rPr>
          <w:spacing w:val="-8"/>
        </w:rPr>
        <w:t> </w:t>
      </w:r>
      <w:r>
        <w:rPr/>
        <w:t>y</w:t>
      </w:r>
      <w:r>
        <w:rPr>
          <w:spacing w:val="-8"/>
        </w:rPr>
        <w:t> </w:t>
      </w:r>
      <w:r>
        <w:rPr/>
        <w:t>su</w:t>
      </w:r>
      <w:r>
        <w:rPr>
          <w:spacing w:val="-8"/>
        </w:rPr>
        <w:t> </w:t>
      </w:r>
      <w:r>
        <w:rPr/>
        <w:t>Programa de Manejo donde se establecen las actividades que podrán realizarse en</w:t>
      </w:r>
      <w:r>
        <w:rPr>
          <w:spacing w:val="25"/>
        </w:rPr>
        <w:t> </w:t>
      </w:r>
      <w:r>
        <w:rPr/>
        <w:t>ellas.</w:t>
      </w:r>
    </w:p>
    <w:p>
      <w:pPr>
        <w:pStyle w:val="BodyText"/>
        <w:spacing w:before="11"/>
      </w:pPr>
    </w:p>
    <w:p>
      <w:pPr>
        <w:pStyle w:val="BodyText"/>
        <w:spacing w:line="249" w:lineRule="auto"/>
        <w:ind w:left="123" w:right="1" w:firstLine="170"/>
        <w:jc w:val="both"/>
      </w:pPr>
      <w:r>
        <w:rPr/>
        <w:t>Por tanto el Plan de Manejo “…es el instrumento que específica las políticas, estrategias y actividades permitidas, compatibles con la conservación, protección y aprovechamiento de sus recursos naturales para un desarrollo sustentable…”(ibídem</w:t>
      </w:r>
    </w:p>
    <w:p>
      <w:pPr>
        <w:pStyle w:val="BodyText"/>
        <w:spacing w:before="1"/>
        <w:ind w:left="293"/>
      </w:pPr>
      <w:r>
        <w:rPr>
          <w:w w:val="77"/>
        </w:rPr>
        <w:t>)</w:t>
      </w:r>
    </w:p>
    <w:p>
      <w:pPr>
        <w:pStyle w:val="BodyText"/>
        <w:spacing w:line="249" w:lineRule="auto" w:before="10"/>
        <w:ind w:left="123" w:right="1" w:firstLine="170"/>
        <w:jc w:val="both"/>
      </w:pPr>
      <w:r>
        <w:rPr/>
        <w:t>Es así como se estable la relación entre el territorio y el ambiente, pero como ya lo analizaron diversos autores, en la realidad estos instrumentos no operan como tal.</w:t>
      </w:r>
    </w:p>
    <w:p>
      <w:pPr>
        <w:pStyle w:val="BodyText"/>
        <w:spacing w:before="11"/>
      </w:pPr>
    </w:p>
    <w:p>
      <w:pPr>
        <w:pStyle w:val="BodyText"/>
        <w:spacing w:line="249" w:lineRule="auto"/>
        <w:ind w:left="123" w:firstLine="170"/>
        <w:jc w:val="both"/>
      </w:pPr>
      <w:r>
        <w:rPr/>
        <w:t>En el ámbito estatal le corresponde a la Secretaría de Medio Ambiente a través de la Comisión Estatal de Parques Naturales y de la Fauna (CEPANAF).</w:t>
      </w:r>
    </w:p>
    <w:p>
      <w:pPr>
        <w:pStyle w:val="BodyText"/>
        <w:spacing w:before="11"/>
      </w:pPr>
    </w:p>
    <w:p>
      <w:pPr>
        <w:pStyle w:val="BodyText"/>
        <w:spacing w:line="249" w:lineRule="auto"/>
        <w:ind w:left="123" w:firstLine="170"/>
        <w:jc w:val="both"/>
      </w:pPr>
      <w:r>
        <w:rPr/>
        <w:t>Con base en la página de la CEPANAF, el Estado de México cuenta con 90 ANP divididas en ocho categorías y con una superficie aproximada de 1, 008, 574.04 hectáreas, si consideramos que el Estado de México cuenta con una superficie de 2,249,995 hectáreas, entonces el 44% del Estado esta decretado como ANP. Así     que los porcentajes del municipio de Toluca son muy semejantes al estatal, pues la superficie decretada para la conservación actualmente oscila entre el 40% y </w:t>
      </w:r>
      <w:r>
        <w:rPr>
          <w:spacing w:val="37"/>
        </w:rPr>
        <w:t> </w:t>
      </w:r>
      <w:r>
        <w:rPr/>
        <w:t>50%.</w:t>
      </w:r>
    </w:p>
    <w:p>
      <w:pPr>
        <w:pStyle w:val="BodyText"/>
        <w:spacing w:before="8"/>
        <w:rPr>
          <w:sz w:val="17"/>
        </w:rPr>
      </w:pPr>
    </w:p>
    <w:p>
      <w:pPr>
        <w:pStyle w:val="Heading1"/>
        <w:ind w:left="293"/>
      </w:pPr>
      <w:r>
        <w:rPr/>
        <w:t>Metodología</w:t>
      </w:r>
    </w:p>
    <w:p>
      <w:pPr>
        <w:pStyle w:val="BodyText"/>
        <w:rPr>
          <w:b/>
          <w:sz w:val="21"/>
        </w:rPr>
      </w:pPr>
    </w:p>
    <w:p>
      <w:pPr>
        <w:pStyle w:val="BodyText"/>
        <w:spacing w:line="249" w:lineRule="auto"/>
        <w:ind w:left="123" w:firstLine="170"/>
        <w:jc w:val="both"/>
      </w:pPr>
      <w:r>
        <w:rPr/>
        <w:t>Para la elaboración de este documento se realizó una consulta de información        de fuentes bibliográficas, hemerográficas y ciberográficas, es decir, investigación documental.</w:t>
      </w:r>
    </w:p>
    <w:p>
      <w:pPr>
        <w:pStyle w:val="BodyText"/>
        <w:spacing w:line="249" w:lineRule="auto" w:before="76"/>
        <w:ind w:left="123" w:right="128" w:firstLine="170"/>
        <w:jc w:val="both"/>
      </w:pPr>
      <w:r>
        <w:rPr/>
        <w:br w:type="column"/>
      </w:r>
      <w:r>
        <w:rPr/>
        <w:t>Con dicha revisión se elaboró un análisis de Fortalezas, Oportunidades, Debilidades y Amenazas (FODA) para determinar las áreas de atención prioritaria en relación al crecimiento urbano en el municipio de Toluca  y la conservación de las ANP.</w:t>
      </w:r>
    </w:p>
    <w:p>
      <w:pPr>
        <w:pStyle w:val="BodyText"/>
        <w:spacing w:line="249" w:lineRule="auto" w:before="1"/>
        <w:ind w:left="123" w:right="127" w:firstLine="170"/>
        <w:jc w:val="both"/>
      </w:pPr>
      <w:r>
        <w:rPr/>
        <w:t>Para dar respuesta a los siguientes cuestionamientos: ¿cómo será el modelo de crecimiento en el municipio de Toluca los próximos años?¿por qué no existe un adecuado manejo y administración de las ANP en el municipio de Toluca? y ¿cómo hacer compatible el crecimiento urbano, la protección de los recursos naturales y la biodiversidad en el municipio de Toluca?</w:t>
      </w:r>
    </w:p>
    <w:p>
      <w:pPr>
        <w:pStyle w:val="BodyText"/>
        <w:spacing w:before="11"/>
      </w:pPr>
    </w:p>
    <w:p>
      <w:pPr>
        <w:pStyle w:val="BodyText"/>
        <w:spacing w:line="249" w:lineRule="auto"/>
        <w:ind w:left="123" w:right="127" w:firstLine="170"/>
        <w:jc w:val="both"/>
      </w:pPr>
      <w:r>
        <w:rPr/>
        <w:t>Finalmente</w:t>
      </w:r>
      <w:r>
        <w:rPr>
          <w:spacing w:val="-5"/>
        </w:rPr>
        <w:t> </w:t>
      </w:r>
      <w:r>
        <w:rPr/>
        <w:t>se</w:t>
      </w:r>
      <w:r>
        <w:rPr>
          <w:spacing w:val="-5"/>
        </w:rPr>
        <w:t> </w:t>
      </w:r>
      <w:r>
        <w:rPr/>
        <w:t>presentan</w:t>
      </w:r>
      <w:r>
        <w:rPr>
          <w:spacing w:val="-5"/>
        </w:rPr>
        <w:t> </w:t>
      </w:r>
      <w:r>
        <w:rPr/>
        <w:t>las</w:t>
      </w:r>
      <w:r>
        <w:rPr>
          <w:spacing w:val="-5"/>
        </w:rPr>
        <w:t> </w:t>
      </w:r>
      <w:r>
        <w:rPr/>
        <w:t>conclusiones</w:t>
      </w:r>
      <w:r>
        <w:rPr>
          <w:spacing w:val="-5"/>
        </w:rPr>
        <w:t> </w:t>
      </w:r>
      <w:r>
        <w:rPr/>
        <w:t>donde</w:t>
      </w:r>
      <w:r>
        <w:rPr>
          <w:spacing w:val="-5"/>
        </w:rPr>
        <w:t> </w:t>
      </w:r>
      <w:r>
        <w:rPr/>
        <w:t>se</w:t>
      </w:r>
      <w:r>
        <w:rPr>
          <w:spacing w:val="-5"/>
        </w:rPr>
        <w:t> </w:t>
      </w:r>
      <w:r>
        <w:rPr/>
        <w:t>incluyen</w:t>
      </w:r>
      <w:r>
        <w:rPr>
          <w:spacing w:val="-5"/>
        </w:rPr>
        <w:t> </w:t>
      </w:r>
      <w:r>
        <w:rPr/>
        <w:t>una</w:t>
      </w:r>
      <w:r>
        <w:rPr>
          <w:spacing w:val="-5"/>
        </w:rPr>
        <w:t> </w:t>
      </w:r>
      <w:r>
        <w:rPr/>
        <w:t>serie</w:t>
      </w:r>
      <w:r>
        <w:rPr>
          <w:spacing w:val="-5"/>
        </w:rPr>
        <w:t> </w:t>
      </w:r>
      <w:r>
        <w:rPr/>
        <w:t>de</w:t>
      </w:r>
      <w:r>
        <w:rPr>
          <w:spacing w:val="-5"/>
        </w:rPr>
        <w:t> </w:t>
      </w:r>
      <w:r>
        <w:rPr/>
        <w:t>estrategias a seguir para fortalecer los instrumentos normativos de la planeación territorial y los instrumentos de política ambiental a través de un modelo de desarrollo </w:t>
      </w:r>
      <w:r>
        <w:rPr>
          <w:spacing w:val="19"/>
        </w:rPr>
        <w:t> </w:t>
      </w:r>
      <w:r>
        <w:rPr/>
        <w:t>sustentable.</w:t>
      </w:r>
    </w:p>
    <w:p>
      <w:pPr>
        <w:pStyle w:val="BodyText"/>
        <w:spacing w:before="8"/>
        <w:rPr>
          <w:sz w:val="17"/>
        </w:rPr>
      </w:pPr>
    </w:p>
    <w:p>
      <w:pPr>
        <w:pStyle w:val="Heading1"/>
        <w:ind w:left="293"/>
      </w:pPr>
      <w:r>
        <w:rPr/>
        <w:t>Conclusiones</w:t>
      </w:r>
    </w:p>
    <w:p>
      <w:pPr>
        <w:pStyle w:val="BodyText"/>
        <w:rPr>
          <w:b/>
          <w:sz w:val="21"/>
        </w:rPr>
      </w:pPr>
    </w:p>
    <w:p>
      <w:pPr>
        <w:pStyle w:val="BodyText"/>
        <w:spacing w:line="249" w:lineRule="auto"/>
        <w:ind w:left="123" w:right="127" w:firstLine="170"/>
        <w:jc w:val="both"/>
      </w:pPr>
      <w:r>
        <w:rPr/>
        <w:t>Si bien el Estado de México y por consiguiente los municipios que lo integran cuentan con un marco legal que sustenta  la existencia de las ANP y toda una serie   de disposiciones que deberían de cumplirse, en la realidad su aplicación no es la correcta y en gran parte se debe a que no se cuenta con los recursos económicos ni  el capital humano suficiente, lo que nos lleva a la siguiente reflexión: ¿qué estamos dispuestos</w:t>
      </w:r>
      <w:r>
        <w:rPr>
          <w:spacing w:val="-4"/>
        </w:rPr>
        <w:t> </w:t>
      </w:r>
      <w:r>
        <w:rPr/>
        <w:t>a</w:t>
      </w:r>
      <w:r>
        <w:rPr>
          <w:spacing w:val="-4"/>
        </w:rPr>
        <w:t> </w:t>
      </w:r>
      <w:r>
        <w:rPr/>
        <w:t>aportar</w:t>
      </w:r>
      <w:r>
        <w:rPr>
          <w:spacing w:val="-4"/>
        </w:rPr>
        <w:t> </w:t>
      </w:r>
      <w:r>
        <w:rPr/>
        <w:t>para</w:t>
      </w:r>
      <w:r>
        <w:rPr>
          <w:spacing w:val="-4"/>
        </w:rPr>
        <w:t> </w:t>
      </w:r>
      <w:r>
        <w:rPr/>
        <w:t>dar</w:t>
      </w:r>
      <w:r>
        <w:rPr>
          <w:spacing w:val="-4"/>
        </w:rPr>
        <w:t> </w:t>
      </w:r>
      <w:r>
        <w:rPr/>
        <w:t>solución</w:t>
      </w:r>
      <w:r>
        <w:rPr>
          <w:spacing w:val="-4"/>
        </w:rPr>
        <w:t> </w:t>
      </w:r>
      <w:r>
        <w:rPr/>
        <w:t>a</w:t>
      </w:r>
      <w:r>
        <w:rPr>
          <w:spacing w:val="-2"/>
        </w:rPr>
        <w:t> </w:t>
      </w:r>
      <w:r>
        <w:rPr/>
        <w:t>este</w:t>
      </w:r>
      <w:r>
        <w:rPr>
          <w:spacing w:val="-4"/>
        </w:rPr>
        <w:t> </w:t>
      </w:r>
      <w:r>
        <w:rPr/>
        <w:t>problema</w:t>
      </w:r>
      <w:r>
        <w:rPr>
          <w:spacing w:val="-4"/>
        </w:rPr>
        <w:t> </w:t>
      </w:r>
      <w:r>
        <w:rPr/>
        <w:t>que</w:t>
      </w:r>
      <w:r>
        <w:rPr>
          <w:spacing w:val="-2"/>
        </w:rPr>
        <w:t> </w:t>
      </w:r>
      <w:r>
        <w:rPr/>
        <w:t>no</w:t>
      </w:r>
      <w:r>
        <w:rPr>
          <w:spacing w:val="-4"/>
        </w:rPr>
        <w:t> </w:t>
      </w:r>
      <w:r>
        <w:rPr/>
        <w:t>es</w:t>
      </w:r>
      <w:r>
        <w:rPr>
          <w:spacing w:val="-2"/>
        </w:rPr>
        <w:t> </w:t>
      </w:r>
      <w:r>
        <w:rPr/>
        <w:t>exclusivo</w:t>
      </w:r>
      <w:r>
        <w:rPr>
          <w:spacing w:val="-4"/>
        </w:rPr>
        <w:t> </w:t>
      </w:r>
      <w:r>
        <w:rPr/>
        <w:t>del</w:t>
      </w:r>
      <w:r>
        <w:rPr>
          <w:spacing w:val="-4"/>
        </w:rPr>
        <w:t> </w:t>
      </w:r>
      <w:r>
        <w:rPr/>
        <w:t>estado, ni del municipio de Toluca? Pues cada uno de nosotros podemos aportar algo desde  el ámbito en el que nos</w:t>
      </w:r>
      <w:r>
        <w:rPr>
          <w:spacing w:val="20"/>
        </w:rPr>
        <w:t> </w:t>
      </w:r>
      <w:r>
        <w:rPr/>
        <w:t>desarrollemos.</w:t>
      </w:r>
    </w:p>
    <w:p>
      <w:pPr>
        <w:pStyle w:val="BodyText"/>
        <w:spacing w:before="11"/>
      </w:pPr>
    </w:p>
    <w:p>
      <w:pPr>
        <w:pStyle w:val="BodyText"/>
        <w:spacing w:line="249" w:lineRule="auto"/>
        <w:ind w:left="123" w:right="129" w:firstLine="170"/>
        <w:jc w:val="both"/>
      </w:pPr>
      <w:r>
        <w:rPr/>
        <w:t>Así que comenzamos por señalar algunas estrategias a tender en cada una de las áreas de atención prioritaria aplicables para el municipio de Toluca:</w:t>
      </w:r>
    </w:p>
    <w:p>
      <w:pPr>
        <w:pStyle w:val="BodyText"/>
        <w:rPr>
          <w:sz w:val="19"/>
        </w:rPr>
      </w:pPr>
    </w:p>
    <w:p>
      <w:pPr>
        <w:pStyle w:val="ListParagraph"/>
        <w:numPr>
          <w:ilvl w:val="1"/>
          <w:numId w:val="36"/>
        </w:numPr>
        <w:tabs>
          <w:tab w:pos="833" w:val="left" w:leader="none"/>
        </w:tabs>
        <w:spacing w:line="244" w:lineRule="auto" w:before="0" w:after="0"/>
        <w:ind w:left="832" w:right="128" w:hanging="283"/>
        <w:jc w:val="both"/>
        <w:rPr>
          <w:sz w:val="20"/>
        </w:rPr>
      </w:pPr>
      <w:r>
        <w:rPr>
          <w:sz w:val="20"/>
        </w:rPr>
        <w:t>Falta de recursos: Deben fortalecerse los esquemas para conservar las ANP del</w:t>
      </w:r>
      <w:r>
        <w:rPr>
          <w:spacing w:val="-7"/>
          <w:sz w:val="20"/>
        </w:rPr>
        <w:t> </w:t>
      </w:r>
      <w:r>
        <w:rPr>
          <w:sz w:val="20"/>
        </w:rPr>
        <w:t>municipio</w:t>
      </w:r>
      <w:r>
        <w:rPr>
          <w:spacing w:val="-7"/>
          <w:sz w:val="20"/>
        </w:rPr>
        <w:t> </w:t>
      </w:r>
      <w:r>
        <w:rPr>
          <w:sz w:val="20"/>
        </w:rPr>
        <w:t>de</w:t>
      </w:r>
      <w:r>
        <w:rPr>
          <w:spacing w:val="-7"/>
          <w:sz w:val="20"/>
        </w:rPr>
        <w:t> </w:t>
      </w:r>
      <w:r>
        <w:rPr>
          <w:spacing w:val="-4"/>
          <w:sz w:val="20"/>
        </w:rPr>
        <w:t>Toluca</w:t>
      </w:r>
      <w:r>
        <w:rPr>
          <w:spacing w:val="-7"/>
          <w:sz w:val="20"/>
        </w:rPr>
        <w:t> </w:t>
      </w:r>
      <w:r>
        <w:rPr>
          <w:sz w:val="20"/>
        </w:rPr>
        <w:t>a</w:t>
      </w:r>
      <w:r>
        <w:rPr>
          <w:spacing w:val="-7"/>
          <w:sz w:val="20"/>
        </w:rPr>
        <w:t> </w:t>
      </w:r>
      <w:r>
        <w:rPr>
          <w:sz w:val="20"/>
        </w:rPr>
        <w:t>través</w:t>
      </w:r>
      <w:r>
        <w:rPr>
          <w:spacing w:val="-7"/>
          <w:sz w:val="20"/>
        </w:rPr>
        <w:t> </w:t>
      </w:r>
      <w:r>
        <w:rPr>
          <w:sz w:val="20"/>
        </w:rPr>
        <w:t>de</w:t>
      </w:r>
      <w:r>
        <w:rPr>
          <w:spacing w:val="-7"/>
          <w:sz w:val="20"/>
        </w:rPr>
        <w:t> </w:t>
      </w:r>
      <w:r>
        <w:rPr>
          <w:sz w:val="20"/>
        </w:rPr>
        <w:t>la</w:t>
      </w:r>
      <w:r>
        <w:rPr>
          <w:spacing w:val="-7"/>
          <w:sz w:val="20"/>
        </w:rPr>
        <w:t> </w:t>
      </w:r>
      <w:r>
        <w:rPr>
          <w:sz w:val="20"/>
        </w:rPr>
        <w:t>conformación</w:t>
      </w:r>
      <w:r>
        <w:rPr>
          <w:spacing w:val="-7"/>
          <w:sz w:val="20"/>
        </w:rPr>
        <w:t> </w:t>
      </w:r>
      <w:r>
        <w:rPr>
          <w:sz w:val="20"/>
        </w:rPr>
        <w:t>de</w:t>
      </w:r>
      <w:r>
        <w:rPr>
          <w:spacing w:val="-7"/>
          <w:sz w:val="20"/>
        </w:rPr>
        <w:t> </w:t>
      </w:r>
      <w:r>
        <w:rPr>
          <w:sz w:val="20"/>
        </w:rPr>
        <w:t>Fideicomisos</w:t>
      </w:r>
      <w:r>
        <w:rPr>
          <w:spacing w:val="-7"/>
          <w:sz w:val="20"/>
        </w:rPr>
        <w:t> </w:t>
      </w:r>
      <w:r>
        <w:rPr>
          <w:sz w:val="20"/>
        </w:rPr>
        <w:t>o</w:t>
      </w:r>
      <w:r>
        <w:rPr>
          <w:spacing w:val="-7"/>
          <w:sz w:val="20"/>
        </w:rPr>
        <w:t> </w:t>
      </w:r>
      <w:r>
        <w:rPr>
          <w:sz w:val="20"/>
        </w:rPr>
        <w:t>Alianzas Estratégicas con sectores público, social y privado. Mediante organización     de eventos culturales donde las ganancias se destinen al mantenimiento permanente de las</w:t>
      </w:r>
      <w:r>
        <w:rPr>
          <w:spacing w:val="-5"/>
          <w:sz w:val="20"/>
        </w:rPr>
        <w:t> </w:t>
      </w:r>
      <w:r>
        <w:rPr>
          <w:spacing w:val="-9"/>
          <w:sz w:val="20"/>
        </w:rPr>
        <w:t>ANP.</w:t>
      </w:r>
    </w:p>
    <w:p>
      <w:pPr>
        <w:pStyle w:val="BodyText"/>
        <w:spacing w:before="5"/>
        <w:rPr>
          <w:sz w:val="19"/>
        </w:rPr>
      </w:pPr>
    </w:p>
    <w:p>
      <w:pPr>
        <w:pStyle w:val="ListParagraph"/>
        <w:numPr>
          <w:ilvl w:val="1"/>
          <w:numId w:val="36"/>
        </w:numPr>
        <w:tabs>
          <w:tab w:pos="833" w:val="left" w:leader="none"/>
        </w:tabs>
        <w:spacing w:line="247" w:lineRule="auto" w:before="0" w:after="0"/>
        <w:ind w:left="832" w:right="127" w:hanging="283"/>
        <w:jc w:val="both"/>
        <w:rPr>
          <w:sz w:val="20"/>
        </w:rPr>
      </w:pPr>
      <w:r>
        <w:rPr>
          <w:sz w:val="20"/>
        </w:rPr>
        <w:t>Falta</w:t>
      </w:r>
      <w:r>
        <w:rPr>
          <w:spacing w:val="-23"/>
          <w:sz w:val="20"/>
        </w:rPr>
        <w:t> </w:t>
      </w:r>
      <w:r>
        <w:rPr>
          <w:sz w:val="20"/>
        </w:rPr>
        <w:t>de</w:t>
      </w:r>
      <w:r>
        <w:rPr>
          <w:spacing w:val="-23"/>
          <w:sz w:val="20"/>
        </w:rPr>
        <w:t> </w:t>
      </w:r>
      <w:r>
        <w:rPr>
          <w:sz w:val="20"/>
        </w:rPr>
        <w:t>participación</w:t>
      </w:r>
      <w:r>
        <w:rPr>
          <w:spacing w:val="-23"/>
          <w:sz w:val="20"/>
        </w:rPr>
        <w:t> </w:t>
      </w:r>
      <w:r>
        <w:rPr>
          <w:sz w:val="20"/>
        </w:rPr>
        <w:t>social</w:t>
      </w:r>
      <w:r>
        <w:rPr>
          <w:spacing w:val="-23"/>
          <w:sz w:val="20"/>
        </w:rPr>
        <w:t> </w:t>
      </w:r>
      <w:r>
        <w:rPr>
          <w:sz w:val="20"/>
        </w:rPr>
        <w:t>en</w:t>
      </w:r>
      <w:r>
        <w:rPr>
          <w:spacing w:val="-23"/>
          <w:sz w:val="20"/>
        </w:rPr>
        <w:t> </w:t>
      </w:r>
      <w:r>
        <w:rPr>
          <w:sz w:val="20"/>
        </w:rPr>
        <w:t>la</w:t>
      </w:r>
      <w:r>
        <w:rPr>
          <w:spacing w:val="-23"/>
          <w:sz w:val="20"/>
        </w:rPr>
        <w:t> </w:t>
      </w:r>
      <w:r>
        <w:rPr>
          <w:sz w:val="20"/>
        </w:rPr>
        <w:t>integración</w:t>
      </w:r>
      <w:r>
        <w:rPr>
          <w:spacing w:val="-23"/>
          <w:sz w:val="20"/>
        </w:rPr>
        <w:t> </w:t>
      </w:r>
      <w:r>
        <w:rPr>
          <w:sz w:val="20"/>
        </w:rPr>
        <w:t>e</w:t>
      </w:r>
      <w:r>
        <w:rPr>
          <w:spacing w:val="-23"/>
          <w:sz w:val="20"/>
        </w:rPr>
        <w:t> </w:t>
      </w:r>
      <w:r>
        <w:rPr>
          <w:sz w:val="20"/>
        </w:rPr>
        <w:t>implementación</w:t>
      </w:r>
      <w:r>
        <w:rPr>
          <w:spacing w:val="-23"/>
          <w:sz w:val="20"/>
        </w:rPr>
        <w:t> </w:t>
      </w:r>
      <w:r>
        <w:rPr>
          <w:sz w:val="20"/>
        </w:rPr>
        <w:t>de</w:t>
      </w:r>
      <w:r>
        <w:rPr>
          <w:spacing w:val="-23"/>
          <w:sz w:val="20"/>
        </w:rPr>
        <w:t> </w:t>
      </w:r>
      <w:r>
        <w:rPr>
          <w:sz w:val="20"/>
        </w:rPr>
        <w:t>los</w:t>
      </w:r>
      <w:r>
        <w:rPr>
          <w:spacing w:val="-23"/>
          <w:sz w:val="20"/>
        </w:rPr>
        <w:t> </w:t>
      </w:r>
      <w:r>
        <w:rPr>
          <w:sz w:val="20"/>
        </w:rPr>
        <w:t>Programas de Manejo: en los Programas de Manejo deberá existir una propuesta o una serie de alterativas consensadas con los habitantes y en apego a sus usos      y costumbres que les permitan obtener beneficios desarrollando proyectos productivos sustentables. Para ello se deberá contar con la asesoría de la Secretaría de Desarrollo Agropecuario del Gobierno del Estado de México y  de</w:t>
      </w:r>
      <w:r>
        <w:rPr>
          <w:spacing w:val="-4"/>
          <w:sz w:val="20"/>
        </w:rPr>
        <w:t> </w:t>
      </w:r>
      <w:r>
        <w:rPr>
          <w:sz w:val="20"/>
        </w:rPr>
        <w:t>la</w:t>
      </w:r>
      <w:r>
        <w:rPr>
          <w:spacing w:val="-4"/>
          <w:sz w:val="20"/>
        </w:rPr>
        <w:t> </w:t>
      </w:r>
      <w:r>
        <w:rPr>
          <w:sz w:val="20"/>
        </w:rPr>
        <w:t>Secretaría</w:t>
      </w:r>
      <w:r>
        <w:rPr>
          <w:spacing w:val="-4"/>
          <w:sz w:val="20"/>
        </w:rPr>
        <w:t> </w:t>
      </w:r>
      <w:r>
        <w:rPr>
          <w:sz w:val="20"/>
        </w:rPr>
        <w:t>de</w:t>
      </w:r>
      <w:r>
        <w:rPr>
          <w:spacing w:val="-4"/>
          <w:sz w:val="20"/>
        </w:rPr>
        <w:t> </w:t>
      </w:r>
      <w:r>
        <w:rPr>
          <w:spacing w:val="-3"/>
          <w:sz w:val="20"/>
        </w:rPr>
        <w:t>Turismo.</w:t>
      </w:r>
      <w:r>
        <w:rPr>
          <w:spacing w:val="-4"/>
          <w:sz w:val="20"/>
        </w:rPr>
        <w:t> </w:t>
      </w:r>
      <w:r>
        <w:rPr>
          <w:sz w:val="20"/>
        </w:rPr>
        <w:t>Es</w:t>
      </w:r>
      <w:r>
        <w:rPr>
          <w:spacing w:val="-4"/>
          <w:sz w:val="20"/>
        </w:rPr>
        <w:t> </w:t>
      </w:r>
      <w:r>
        <w:rPr>
          <w:sz w:val="20"/>
        </w:rPr>
        <w:t>en</w:t>
      </w:r>
      <w:r>
        <w:rPr>
          <w:spacing w:val="-4"/>
          <w:sz w:val="20"/>
        </w:rPr>
        <w:t> </w:t>
      </w:r>
      <w:r>
        <w:rPr>
          <w:sz w:val="20"/>
        </w:rPr>
        <w:t>este</w:t>
      </w:r>
      <w:r>
        <w:rPr>
          <w:spacing w:val="-4"/>
          <w:sz w:val="20"/>
        </w:rPr>
        <w:t> </w:t>
      </w:r>
      <w:r>
        <w:rPr>
          <w:sz w:val="20"/>
        </w:rPr>
        <w:t>punto</w:t>
      </w:r>
      <w:r>
        <w:rPr>
          <w:spacing w:val="-4"/>
          <w:sz w:val="20"/>
        </w:rPr>
        <w:t> </w:t>
      </w:r>
      <w:r>
        <w:rPr>
          <w:sz w:val="20"/>
        </w:rPr>
        <w:t>es</w:t>
      </w:r>
      <w:r>
        <w:rPr>
          <w:spacing w:val="-4"/>
          <w:sz w:val="20"/>
        </w:rPr>
        <w:t> </w:t>
      </w:r>
      <w:r>
        <w:rPr>
          <w:sz w:val="20"/>
        </w:rPr>
        <w:t>donde</w:t>
      </w:r>
      <w:r>
        <w:rPr>
          <w:spacing w:val="-4"/>
          <w:sz w:val="20"/>
        </w:rPr>
        <w:t> </w:t>
      </w:r>
      <w:r>
        <w:rPr>
          <w:sz w:val="20"/>
        </w:rPr>
        <w:t>es</w:t>
      </w:r>
      <w:r>
        <w:rPr>
          <w:spacing w:val="-4"/>
          <w:sz w:val="20"/>
        </w:rPr>
        <w:t> </w:t>
      </w:r>
      <w:r>
        <w:rPr>
          <w:sz w:val="20"/>
        </w:rPr>
        <w:t>indispensable</w:t>
      </w:r>
      <w:r>
        <w:rPr>
          <w:spacing w:val="-4"/>
          <w:sz w:val="20"/>
        </w:rPr>
        <w:t> </w:t>
      </w:r>
      <w:r>
        <w:rPr>
          <w:sz w:val="20"/>
        </w:rPr>
        <w:t>hacer énfasis en los estudios</w:t>
      </w:r>
      <w:r>
        <w:rPr>
          <w:spacing w:val="38"/>
          <w:sz w:val="20"/>
        </w:rPr>
        <w:t> </w:t>
      </w:r>
      <w:r>
        <w:rPr>
          <w:sz w:val="20"/>
        </w:rPr>
        <w:t>prospectivos.</w:t>
      </w:r>
    </w:p>
    <w:p>
      <w:pPr>
        <w:spacing w:after="0" w:line="247" w:lineRule="auto"/>
        <w:jc w:val="both"/>
        <w:rPr>
          <w:sz w:val="20"/>
        </w:rPr>
        <w:sectPr>
          <w:type w:val="continuous"/>
          <w:pgSz w:w="18830" w:h="12760" w:orient="landscape"/>
          <w:pgMar w:top="1420" w:bottom="280" w:left="720" w:right="720"/>
          <w:cols w:num="2" w:equalWidth="0">
            <w:col w:w="7835" w:space="1583"/>
            <w:col w:w="7972"/>
          </w:cols>
        </w:sectPr>
      </w:pPr>
    </w:p>
    <w:p>
      <w:pPr>
        <w:pStyle w:val="BodyText"/>
        <w:spacing w:before="8"/>
      </w:pPr>
    </w:p>
    <w:p>
      <w:pPr>
        <w:spacing w:after="0"/>
        <w:sectPr>
          <w:footerReference w:type="default" r:id="rId323"/>
          <w:pgSz w:w="18830" w:h="12760" w:orient="landscape"/>
          <w:pgMar w:footer="1036" w:header="522" w:top="820" w:bottom="1220" w:left="720" w:right="720"/>
        </w:sectPr>
      </w:pPr>
    </w:p>
    <w:p>
      <w:pPr>
        <w:pStyle w:val="ListParagraph"/>
        <w:numPr>
          <w:ilvl w:val="1"/>
          <w:numId w:val="36"/>
        </w:numPr>
        <w:tabs>
          <w:tab w:pos="847" w:val="left" w:leader="none"/>
        </w:tabs>
        <w:spacing w:line="247" w:lineRule="auto" w:before="87" w:after="0"/>
        <w:ind w:left="846" w:right="0" w:hanging="283"/>
        <w:jc w:val="both"/>
        <w:rPr>
          <w:sz w:val="20"/>
        </w:rPr>
      </w:pPr>
      <w:r>
        <w:rPr>
          <w:sz w:val="20"/>
        </w:rPr>
        <w:t>Falta</w:t>
      </w:r>
      <w:r>
        <w:rPr>
          <w:spacing w:val="-7"/>
          <w:sz w:val="20"/>
        </w:rPr>
        <w:t> </w:t>
      </w:r>
      <w:r>
        <w:rPr>
          <w:sz w:val="20"/>
        </w:rPr>
        <w:t>información</w:t>
      </w:r>
      <w:r>
        <w:rPr>
          <w:spacing w:val="-7"/>
          <w:sz w:val="20"/>
        </w:rPr>
        <w:t> </w:t>
      </w:r>
      <w:r>
        <w:rPr>
          <w:sz w:val="20"/>
        </w:rPr>
        <w:t>sobre</w:t>
      </w:r>
      <w:r>
        <w:rPr>
          <w:spacing w:val="-7"/>
          <w:sz w:val="20"/>
        </w:rPr>
        <w:t> </w:t>
      </w:r>
      <w:r>
        <w:rPr>
          <w:sz w:val="20"/>
        </w:rPr>
        <w:t>las</w:t>
      </w:r>
      <w:r>
        <w:rPr>
          <w:spacing w:val="-7"/>
          <w:sz w:val="20"/>
        </w:rPr>
        <w:t> </w:t>
      </w:r>
      <w:r>
        <w:rPr>
          <w:sz w:val="20"/>
        </w:rPr>
        <w:t>ANP:</w:t>
      </w:r>
      <w:r>
        <w:rPr>
          <w:spacing w:val="-7"/>
          <w:sz w:val="20"/>
        </w:rPr>
        <w:t> </w:t>
      </w:r>
      <w:r>
        <w:rPr>
          <w:sz w:val="20"/>
        </w:rPr>
        <w:t>para</w:t>
      </w:r>
      <w:r>
        <w:rPr>
          <w:spacing w:val="-7"/>
          <w:sz w:val="20"/>
        </w:rPr>
        <w:t> </w:t>
      </w:r>
      <w:r>
        <w:rPr>
          <w:sz w:val="20"/>
        </w:rPr>
        <w:t>ello</w:t>
      </w:r>
      <w:r>
        <w:rPr>
          <w:spacing w:val="-7"/>
          <w:sz w:val="20"/>
        </w:rPr>
        <w:t> </w:t>
      </w:r>
      <w:r>
        <w:rPr>
          <w:sz w:val="20"/>
        </w:rPr>
        <w:t>deberá</w:t>
      </w:r>
      <w:r>
        <w:rPr>
          <w:spacing w:val="-7"/>
          <w:sz w:val="20"/>
        </w:rPr>
        <w:t> </w:t>
      </w:r>
      <w:r>
        <w:rPr>
          <w:sz w:val="20"/>
        </w:rPr>
        <w:t>implementarse</w:t>
      </w:r>
      <w:r>
        <w:rPr>
          <w:spacing w:val="-7"/>
          <w:sz w:val="20"/>
        </w:rPr>
        <w:t> </w:t>
      </w:r>
      <w:r>
        <w:rPr>
          <w:sz w:val="20"/>
        </w:rPr>
        <w:t>una</w:t>
      </w:r>
      <w:r>
        <w:rPr>
          <w:spacing w:val="-7"/>
          <w:sz w:val="20"/>
        </w:rPr>
        <w:t> </w:t>
      </w:r>
      <w:r>
        <w:rPr>
          <w:sz w:val="20"/>
        </w:rPr>
        <w:t>campaña masiva</w:t>
      </w:r>
      <w:r>
        <w:rPr>
          <w:spacing w:val="-8"/>
          <w:sz w:val="20"/>
        </w:rPr>
        <w:t> </w:t>
      </w:r>
      <w:r>
        <w:rPr>
          <w:sz w:val="20"/>
        </w:rPr>
        <w:t>de</w:t>
      </w:r>
      <w:r>
        <w:rPr>
          <w:spacing w:val="-8"/>
          <w:sz w:val="20"/>
        </w:rPr>
        <w:t> </w:t>
      </w:r>
      <w:r>
        <w:rPr>
          <w:sz w:val="20"/>
        </w:rPr>
        <w:t>información</w:t>
      </w:r>
      <w:r>
        <w:rPr>
          <w:spacing w:val="-8"/>
          <w:sz w:val="20"/>
        </w:rPr>
        <w:t> </w:t>
      </w:r>
      <w:r>
        <w:rPr>
          <w:sz w:val="20"/>
        </w:rPr>
        <w:t>y</w:t>
      </w:r>
      <w:r>
        <w:rPr>
          <w:spacing w:val="-8"/>
          <w:sz w:val="20"/>
        </w:rPr>
        <w:t> </w:t>
      </w:r>
      <w:r>
        <w:rPr>
          <w:sz w:val="20"/>
        </w:rPr>
        <w:t>sensibilización</w:t>
      </w:r>
      <w:r>
        <w:rPr>
          <w:spacing w:val="-8"/>
          <w:sz w:val="20"/>
        </w:rPr>
        <w:t> </w:t>
      </w:r>
      <w:r>
        <w:rPr>
          <w:sz w:val="20"/>
        </w:rPr>
        <w:t>sobre</w:t>
      </w:r>
      <w:r>
        <w:rPr>
          <w:spacing w:val="-8"/>
          <w:sz w:val="20"/>
        </w:rPr>
        <w:t> </w:t>
      </w:r>
      <w:r>
        <w:rPr>
          <w:sz w:val="20"/>
        </w:rPr>
        <w:t>¿qué</w:t>
      </w:r>
      <w:r>
        <w:rPr>
          <w:spacing w:val="-8"/>
          <w:sz w:val="20"/>
        </w:rPr>
        <w:t> </w:t>
      </w:r>
      <w:r>
        <w:rPr>
          <w:sz w:val="20"/>
        </w:rPr>
        <w:t>es</w:t>
      </w:r>
      <w:r>
        <w:rPr>
          <w:spacing w:val="-8"/>
          <w:sz w:val="20"/>
        </w:rPr>
        <w:t> </w:t>
      </w:r>
      <w:r>
        <w:rPr>
          <w:sz w:val="20"/>
        </w:rPr>
        <w:t>un</w:t>
      </w:r>
      <w:r>
        <w:rPr>
          <w:spacing w:val="-8"/>
          <w:sz w:val="20"/>
        </w:rPr>
        <w:t> </w:t>
      </w:r>
      <w:r>
        <w:rPr>
          <w:sz w:val="20"/>
        </w:rPr>
        <w:t>ANP?</w:t>
      </w:r>
      <w:r>
        <w:rPr>
          <w:spacing w:val="-8"/>
          <w:sz w:val="20"/>
        </w:rPr>
        <w:t> </w:t>
      </w:r>
      <w:r>
        <w:rPr>
          <w:sz w:val="20"/>
        </w:rPr>
        <w:t>y</w:t>
      </w:r>
      <w:r>
        <w:rPr>
          <w:spacing w:val="-8"/>
          <w:sz w:val="20"/>
        </w:rPr>
        <w:t> </w:t>
      </w:r>
      <w:r>
        <w:rPr>
          <w:sz w:val="20"/>
        </w:rPr>
        <w:t>su</w:t>
      </w:r>
      <w:r>
        <w:rPr>
          <w:spacing w:val="-8"/>
          <w:sz w:val="20"/>
        </w:rPr>
        <w:t> </w:t>
      </w:r>
      <w:r>
        <w:rPr>
          <w:sz w:val="20"/>
        </w:rPr>
        <w:t>función</w:t>
      </w:r>
      <w:r>
        <w:rPr>
          <w:spacing w:val="-8"/>
          <w:sz w:val="20"/>
        </w:rPr>
        <w:t> </w:t>
      </w:r>
      <w:r>
        <w:rPr>
          <w:sz w:val="20"/>
        </w:rPr>
        <w:t>en el ambiente, ya que como habitantes de la Ciudad de </w:t>
      </w:r>
      <w:r>
        <w:rPr>
          <w:spacing w:val="-4"/>
          <w:sz w:val="20"/>
        </w:rPr>
        <w:t>Toluca </w:t>
      </w:r>
      <w:r>
        <w:rPr>
          <w:sz w:val="20"/>
        </w:rPr>
        <w:t>desconocemos la existencia</w:t>
      </w:r>
      <w:r>
        <w:rPr>
          <w:spacing w:val="-13"/>
          <w:sz w:val="20"/>
        </w:rPr>
        <w:t> </w:t>
      </w:r>
      <w:r>
        <w:rPr>
          <w:sz w:val="20"/>
        </w:rPr>
        <w:t>de</w:t>
      </w:r>
      <w:r>
        <w:rPr>
          <w:spacing w:val="-13"/>
          <w:sz w:val="20"/>
        </w:rPr>
        <w:t> </w:t>
      </w:r>
      <w:r>
        <w:rPr>
          <w:sz w:val="20"/>
        </w:rPr>
        <w:t>la</w:t>
      </w:r>
      <w:r>
        <w:rPr>
          <w:spacing w:val="-13"/>
          <w:sz w:val="20"/>
        </w:rPr>
        <w:t> </w:t>
      </w:r>
      <w:r>
        <w:rPr>
          <w:sz w:val="20"/>
        </w:rPr>
        <w:t>ANP</w:t>
      </w:r>
      <w:r>
        <w:rPr>
          <w:spacing w:val="-13"/>
          <w:sz w:val="20"/>
        </w:rPr>
        <w:t> </w:t>
      </w:r>
      <w:r>
        <w:rPr>
          <w:sz w:val="20"/>
        </w:rPr>
        <w:t>así</w:t>
      </w:r>
      <w:r>
        <w:rPr>
          <w:spacing w:val="-13"/>
          <w:sz w:val="20"/>
        </w:rPr>
        <w:t> </w:t>
      </w:r>
      <w:r>
        <w:rPr>
          <w:sz w:val="20"/>
        </w:rPr>
        <w:t>como</w:t>
      </w:r>
      <w:r>
        <w:rPr>
          <w:spacing w:val="-13"/>
          <w:sz w:val="20"/>
        </w:rPr>
        <w:t> </w:t>
      </w:r>
      <w:r>
        <w:rPr>
          <w:sz w:val="20"/>
        </w:rPr>
        <w:t>la</w:t>
      </w:r>
      <w:r>
        <w:rPr>
          <w:spacing w:val="-13"/>
          <w:sz w:val="20"/>
        </w:rPr>
        <w:t> </w:t>
      </w:r>
      <w:r>
        <w:rPr>
          <w:sz w:val="20"/>
        </w:rPr>
        <w:t>función</w:t>
      </w:r>
      <w:r>
        <w:rPr>
          <w:spacing w:val="-13"/>
          <w:sz w:val="20"/>
        </w:rPr>
        <w:t> </w:t>
      </w:r>
      <w:r>
        <w:rPr>
          <w:sz w:val="20"/>
        </w:rPr>
        <w:t>que</w:t>
      </w:r>
      <w:r>
        <w:rPr>
          <w:spacing w:val="-13"/>
          <w:sz w:val="20"/>
        </w:rPr>
        <w:t> </w:t>
      </w:r>
      <w:r>
        <w:rPr>
          <w:sz w:val="20"/>
        </w:rPr>
        <w:t>desempeñan</w:t>
      </w:r>
      <w:r>
        <w:rPr>
          <w:spacing w:val="-13"/>
          <w:sz w:val="20"/>
        </w:rPr>
        <w:t> </w:t>
      </w:r>
      <w:r>
        <w:rPr>
          <w:sz w:val="20"/>
        </w:rPr>
        <w:t>en</w:t>
      </w:r>
      <w:r>
        <w:rPr>
          <w:spacing w:val="-13"/>
          <w:sz w:val="20"/>
        </w:rPr>
        <w:t> </w:t>
      </w:r>
      <w:r>
        <w:rPr>
          <w:sz w:val="20"/>
        </w:rPr>
        <w:t>nuestra</w:t>
      </w:r>
      <w:r>
        <w:rPr>
          <w:spacing w:val="-13"/>
          <w:sz w:val="20"/>
        </w:rPr>
        <w:t> </w:t>
      </w:r>
      <w:r>
        <w:rPr>
          <w:sz w:val="20"/>
        </w:rPr>
        <w:t>vida.</w:t>
      </w:r>
      <w:r>
        <w:rPr>
          <w:spacing w:val="-13"/>
          <w:sz w:val="20"/>
        </w:rPr>
        <w:t> </w:t>
      </w:r>
      <w:r>
        <w:rPr>
          <w:sz w:val="20"/>
        </w:rPr>
        <w:t>Sólo así</w:t>
      </w:r>
      <w:r>
        <w:rPr>
          <w:spacing w:val="-16"/>
          <w:sz w:val="20"/>
        </w:rPr>
        <w:t> </w:t>
      </w:r>
      <w:r>
        <w:rPr>
          <w:sz w:val="20"/>
        </w:rPr>
        <w:t>se</w:t>
      </w:r>
      <w:r>
        <w:rPr>
          <w:spacing w:val="-16"/>
          <w:sz w:val="20"/>
        </w:rPr>
        <w:t> </w:t>
      </w:r>
      <w:r>
        <w:rPr>
          <w:sz w:val="20"/>
        </w:rPr>
        <w:t>podrá</w:t>
      </w:r>
      <w:r>
        <w:rPr>
          <w:spacing w:val="-16"/>
          <w:sz w:val="20"/>
        </w:rPr>
        <w:t> </w:t>
      </w:r>
      <w:r>
        <w:rPr>
          <w:sz w:val="20"/>
        </w:rPr>
        <w:t>asimilar</w:t>
      </w:r>
      <w:r>
        <w:rPr>
          <w:spacing w:val="-16"/>
          <w:sz w:val="20"/>
        </w:rPr>
        <w:t> </w:t>
      </w:r>
      <w:r>
        <w:rPr>
          <w:sz w:val="20"/>
        </w:rPr>
        <w:t>la</w:t>
      </w:r>
      <w:r>
        <w:rPr>
          <w:spacing w:val="-16"/>
          <w:sz w:val="20"/>
        </w:rPr>
        <w:t> </w:t>
      </w:r>
      <w:r>
        <w:rPr>
          <w:sz w:val="20"/>
        </w:rPr>
        <w:t>exigencia</w:t>
      </w:r>
      <w:r>
        <w:rPr>
          <w:spacing w:val="-16"/>
          <w:sz w:val="20"/>
        </w:rPr>
        <w:t> </w:t>
      </w:r>
      <w:r>
        <w:rPr>
          <w:sz w:val="20"/>
        </w:rPr>
        <w:t>de</w:t>
      </w:r>
      <w:r>
        <w:rPr>
          <w:spacing w:val="-16"/>
          <w:sz w:val="20"/>
        </w:rPr>
        <w:t> </w:t>
      </w:r>
      <w:r>
        <w:rPr>
          <w:sz w:val="20"/>
        </w:rPr>
        <w:t>conservarlas</w:t>
      </w:r>
      <w:r>
        <w:rPr>
          <w:spacing w:val="23"/>
          <w:sz w:val="20"/>
        </w:rPr>
        <w:t> </w:t>
      </w:r>
      <w:r>
        <w:rPr>
          <w:sz w:val="20"/>
        </w:rPr>
        <w:t>ante</w:t>
      </w:r>
      <w:r>
        <w:rPr>
          <w:spacing w:val="-16"/>
          <w:sz w:val="20"/>
        </w:rPr>
        <w:t> </w:t>
      </w:r>
      <w:r>
        <w:rPr>
          <w:sz w:val="20"/>
        </w:rPr>
        <w:t>el</w:t>
      </w:r>
      <w:r>
        <w:rPr>
          <w:spacing w:val="-16"/>
          <w:sz w:val="20"/>
        </w:rPr>
        <w:t> </w:t>
      </w:r>
      <w:r>
        <w:rPr>
          <w:sz w:val="20"/>
        </w:rPr>
        <w:t>modelo</w:t>
      </w:r>
      <w:r>
        <w:rPr>
          <w:spacing w:val="-16"/>
          <w:sz w:val="20"/>
        </w:rPr>
        <w:t> </w:t>
      </w:r>
      <w:r>
        <w:rPr>
          <w:sz w:val="20"/>
        </w:rPr>
        <w:t>de</w:t>
      </w:r>
      <w:r>
        <w:rPr>
          <w:spacing w:val="-16"/>
          <w:sz w:val="20"/>
        </w:rPr>
        <w:t> </w:t>
      </w:r>
      <w:r>
        <w:rPr>
          <w:sz w:val="20"/>
        </w:rPr>
        <w:t>crecimiento urbano que se está promoviendo en la ciudad, disperso y </w:t>
      </w:r>
      <w:r>
        <w:rPr>
          <w:spacing w:val="30"/>
          <w:sz w:val="20"/>
        </w:rPr>
        <w:t> </w:t>
      </w:r>
      <w:r>
        <w:rPr>
          <w:sz w:val="20"/>
        </w:rPr>
        <w:t>policéntrico.</w:t>
      </w:r>
    </w:p>
    <w:p>
      <w:pPr>
        <w:pStyle w:val="Heading1"/>
        <w:spacing w:before="71"/>
        <w:ind w:left="733"/>
      </w:pPr>
      <w:r>
        <w:rPr>
          <w:b w:val="0"/>
        </w:rPr>
        <w:br w:type="column"/>
      </w:r>
      <w:r>
        <w:rPr/>
        <w:t>Referencias bibliográficas</w:t>
      </w:r>
    </w:p>
    <w:p>
      <w:pPr>
        <w:pStyle w:val="BodyText"/>
        <w:rPr>
          <w:b/>
          <w:sz w:val="24"/>
        </w:rPr>
      </w:pPr>
    </w:p>
    <w:p>
      <w:pPr>
        <w:pStyle w:val="BodyText"/>
        <w:spacing w:before="205"/>
        <w:ind w:left="563"/>
      </w:pPr>
      <w:r>
        <w:rPr/>
        <w:t>Cabrero Mendoza, E. (2011). Ciudades Mexicanas. Desafíos en Concierto. (1ª ed.).</w:t>
      </w:r>
    </w:p>
    <w:p>
      <w:pPr>
        <w:pStyle w:val="BodyText"/>
        <w:spacing w:before="10"/>
        <w:ind w:left="1187"/>
      </w:pPr>
      <w:r>
        <w:rPr/>
        <w:t>México: FCE.</w:t>
      </w:r>
    </w:p>
    <w:p>
      <w:pPr>
        <w:pStyle w:val="BodyText"/>
        <w:spacing w:before="8"/>
        <w:rPr>
          <w:sz w:val="21"/>
        </w:rPr>
      </w:pPr>
    </w:p>
    <w:p>
      <w:pPr>
        <w:pStyle w:val="BodyText"/>
        <w:spacing w:line="249" w:lineRule="auto"/>
        <w:ind w:left="1187" w:right="129" w:hanging="624"/>
        <w:jc w:val="both"/>
      </w:pPr>
      <w:r>
        <w:rPr/>
        <w:t>Garrocho Rangel, C. (2013). Dinámica de las ciudades de México en el siglo XXI. Cinco</w:t>
      </w:r>
      <w:r>
        <w:rPr>
          <w:spacing w:val="-4"/>
        </w:rPr>
        <w:t> </w:t>
      </w:r>
      <w:r>
        <w:rPr/>
        <w:t>vectores</w:t>
      </w:r>
      <w:r>
        <w:rPr>
          <w:spacing w:val="-4"/>
        </w:rPr>
        <w:t> </w:t>
      </w:r>
      <w:r>
        <w:rPr/>
        <w:t>clave</w:t>
      </w:r>
      <w:r>
        <w:rPr>
          <w:spacing w:val="-4"/>
        </w:rPr>
        <w:t> </w:t>
      </w:r>
      <w:r>
        <w:rPr/>
        <w:t>para</w:t>
      </w:r>
      <w:r>
        <w:rPr>
          <w:spacing w:val="-4"/>
        </w:rPr>
        <w:t> </w:t>
      </w:r>
      <w:r>
        <w:rPr/>
        <w:t>el</w:t>
      </w:r>
      <w:r>
        <w:rPr>
          <w:spacing w:val="-4"/>
        </w:rPr>
        <w:t> </w:t>
      </w:r>
      <w:r>
        <w:rPr/>
        <w:t>desarrollo</w:t>
      </w:r>
      <w:r>
        <w:rPr>
          <w:spacing w:val="-4"/>
        </w:rPr>
        <w:t> </w:t>
      </w:r>
      <w:r>
        <w:rPr/>
        <w:t>sostenible.</w:t>
      </w:r>
      <w:r>
        <w:rPr>
          <w:spacing w:val="-4"/>
        </w:rPr>
        <w:t> </w:t>
      </w:r>
      <w:r>
        <w:rPr/>
        <w:t>(1ª</w:t>
      </w:r>
      <w:r>
        <w:rPr>
          <w:spacing w:val="-4"/>
        </w:rPr>
        <w:t> </w:t>
      </w:r>
      <w:r>
        <w:rPr/>
        <w:t>ed.)</w:t>
      </w:r>
      <w:r>
        <w:rPr>
          <w:spacing w:val="-4"/>
        </w:rPr>
        <w:t> </w:t>
      </w:r>
      <w:r>
        <w:rPr/>
        <w:t>México:</w:t>
      </w:r>
      <w:r>
        <w:rPr>
          <w:spacing w:val="-4"/>
        </w:rPr>
        <w:t> </w:t>
      </w:r>
      <w:r>
        <w:rPr/>
        <w:t>CONAPO.</w:t>
      </w:r>
      <w:r>
        <w:rPr>
          <w:spacing w:val="-4"/>
        </w:rPr>
        <w:t> </w:t>
      </w:r>
      <w:r>
        <w:rPr/>
        <w:t>El Colegio</w:t>
      </w:r>
      <w:r>
        <w:rPr>
          <w:spacing w:val="13"/>
        </w:rPr>
        <w:t> </w:t>
      </w:r>
      <w:r>
        <w:rPr/>
        <w:t>Mexiquense.</w:t>
      </w:r>
    </w:p>
    <w:p>
      <w:pPr>
        <w:pStyle w:val="BodyText"/>
        <w:spacing w:before="11"/>
      </w:pPr>
    </w:p>
    <w:p>
      <w:pPr>
        <w:pStyle w:val="BodyText"/>
        <w:spacing w:line="249" w:lineRule="auto"/>
        <w:ind w:left="1187" w:right="129" w:hanging="624"/>
        <w:jc w:val="both"/>
      </w:pPr>
      <w:r>
        <w:rPr/>
        <w:t>Hernández</w:t>
      </w:r>
      <w:r>
        <w:rPr>
          <w:spacing w:val="-13"/>
        </w:rPr>
        <w:t> </w:t>
      </w:r>
      <w:r>
        <w:rPr/>
        <w:t>Sampieri,</w:t>
      </w:r>
      <w:r>
        <w:rPr>
          <w:spacing w:val="-13"/>
        </w:rPr>
        <w:t> </w:t>
      </w:r>
      <w:r>
        <w:rPr/>
        <w:t>R.,</w:t>
      </w:r>
      <w:r>
        <w:rPr>
          <w:spacing w:val="-13"/>
        </w:rPr>
        <w:t> </w:t>
      </w:r>
      <w:r>
        <w:rPr/>
        <w:t>Fernández</w:t>
      </w:r>
      <w:r>
        <w:rPr>
          <w:spacing w:val="-13"/>
        </w:rPr>
        <w:t> </w:t>
      </w:r>
      <w:r>
        <w:rPr/>
        <w:t>Collado</w:t>
      </w:r>
      <w:r>
        <w:rPr>
          <w:spacing w:val="-13"/>
        </w:rPr>
        <w:t> </w:t>
      </w:r>
      <w:r>
        <w:rPr/>
        <w:t>C.</w:t>
      </w:r>
      <w:r>
        <w:rPr>
          <w:spacing w:val="-13"/>
        </w:rPr>
        <w:t> </w:t>
      </w:r>
      <w:r>
        <w:rPr/>
        <w:t>&amp;</w:t>
      </w:r>
      <w:r>
        <w:rPr>
          <w:spacing w:val="-13"/>
        </w:rPr>
        <w:t> </w:t>
      </w:r>
      <w:r>
        <w:rPr/>
        <w:t>Baptista</w:t>
      </w:r>
      <w:r>
        <w:rPr>
          <w:spacing w:val="-13"/>
        </w:rPr>
        <w:t> </w:t>
      </w:r>
      <w:r>
        <w:rPr/>
        <w:t>Lucio,</w:t>
      </w:r>
      <w:r>
        <w:rPr>
          <w:spacing w:val="-13"/>
        </w:rPr>
        <w:t> </w:t>
      </w:r>
      <w:r>
        <w:rPr/>
        <w:t>P.</w:t>
      </w:r>
      <w:r>
        <w:rPr>
          <w:spacing w:val="-13"/>
        </w:rPr>
        <w:t> </w:t>
      </w:r>
      <w:r>
        <w:rPr/>
        <w:t>(2003).</w:t>
      </w:r>
      <w:r>
        <w:rPr>
          <w:spacing w:val="-13"/>
        </w:rPr>
        <w:t> </w:t>
      </w:r>
      <w:r>
        <w:rPr/>
        <w:t>Metodología de la Investigación. Mc Graw Hill,</w:t>
      </w:r>
      <w:r>
        <w:rPr>
          <w:spacing w:val="42"/>
        </w:rPr>
        <w:t> </w:t>
      </w:r>
      <w:r>
        <w:rPr/>
        <w:t>México.</w:t>
      </w:r>
    </w:p>
    <w:p>
      <w:pPr>
        <w:pStyle w:val="BodyText"/>
        <w:spacing w:before="11"/>
      </w:pPr>
    </w:p>
    <w:p>
      <w:pPr>
        <w:pStyle w:val="BodyText"/>
        <w:spacing w:line="249" w:lineRule="auto"/>
        <w:ind w:left="1187" w:right="130" w:hanging="624"/>
        <w:jc w:val="both"/>
      </w:pPr>
      <w:r>
        <w:rPr/>
        <w:t>López</w:t>
      </w:r>
      <w:r>
        <w:rPr>
          <w:spacing w:val="-5"/>
        </w:rPr>
        <w:t> </w:t>
      </w:r>
      <w:r>
        <w:rPr/>
        <w:t>Bernal,</w:t>
      </w:r>
      <w:r>
        <w:rPr>
          <w:spacing w:val="-5"/>
        </w:rPr>
        <w:t> </w:t>
      </w:r>
      <w:r>
        <w:rPr/>
        <w:t>O.</w:t>
      </w:r>
      <w:r>
        <w:rPr>
          <w:spacing w:val="-5"/>
        </w:rPr>
        <w:t> </w:t>
      </w:r>
      <w:r>
        <w:rPr/>
        <w:t>(2004).La</w:t>
      </w:r>
      <w:r>
        <w:rPr>
          <w:spacing w:val="-5"/>
        </w:rPr>
        <w:t> </w:t>
      </w:r>
      <w:r>
        <w:rPr/>
        <w:t>sustentabilidad</w:t>
      </w:r>
      <w:r>
        <w:rPr>
          <w:spacing w:val="-5"/>
        </w:rPr>
        <w:t> </w:t>
      </w:r>
      <w:r>
        <w:rPr/>
        <w:t>Urbana.</w:t>
      </w:r>
      <w:r>
        <w:rPr>
          <w:spacing w:val="-5"/>
        </w:rPr>
        <w:t> </w:t>
      </w:r>
      <w:r>
        <w:rPr/>
        <w:t>Revista</w:t>
      </w:r>
      <w:r>
        <w:rPr>
          <w:spacing w:val="-5"/>
        </w:rPr>
        <w:t> </w:t>
      </w:r>
      <w:r>
        <w:rPr/>
        <w:t>Bitácora.</w:t>
      </w:r>
      <w:r>
        <w:rPr>
          <w:spacing w:val="-5"/>
        </w:rPr>
        <w:t> </w:t>
      </w:r>
      <w:r>
        <w:rPr/>
        <w:t>Enero-</w:t>
      </w:r>
      <w:r>
        <w:rPr>
          <w:spacing w:val="-5"/>
        </w:rPr>
        <w:t> </w:t>
      </w:r>
      <w:r>
        <w:rPr/>
        <w:t>Diciembre 2004,</w:t>
      </w:r>
      <w:r>
        <w:rPr>
          <w:spacing w:val="11"/>
        </w:rPr>
        <w:t> </w:t>
      </w:r>
      <w:r>
        <w:rPr/>
        <w:t>8-14.</w:t>
      </w:r>
    </w:p>
    <w:p>
      <w:pPr>
        <w:pStyle w:val="BodyText"/>
        <w:spacing w:before="11"/>
      </w:pPr>
    </w:p>
    <w:p>
      <w:pPr>
        <w:pStyle w:val="BodyText"/>
        <w:spacing w:line="249" w:lineRule="auto"/>
        <w:ind w:left="1187" w:right="130" w:hanging="624"/>
        <w:jc w:val="both"/>
      </w:pPr>
      <w:r>
        <w:rPr/>
        <w:t>Moreno Plata, M. (2011). Las funciones energéticas rurales para sustentar las zonas urbanas. Revista Espacios Públicos. Septiembre- diciembre 2011.  223-247.</w:t>
      </w:r>
    </w:p>
    <w:p>
      <w:pPr>
        <w:pStyle w:val="BodyText"/>
        <w:spacing w:before="11"/>
      </w:pPr>
    </w:p>
    <w:p>
      <w:pPr>
        <w:pStyle w:val="BodyText"/>
        <w:spacing w:line="249" w:lineRule="auto"/>
        <w:ind w:left="1187" w:right="129" w:hanging="624"/>
        <w:jc w:val="both"/>
      </w:pPr>
      <w:r>
        <w:rPr/>
        <w:t>Miklos, T., Jiménez, E. &amp; Arroyo, M. (2014). Prospectiva, gobernabilidad y riesgo político. Instrumentos para la acción. (1ª ed.) . México: LIMUSA.</w:t>
      </w:r>
    </w:p>
    <w:p>
      <w:pPr>
        <w:pStyle w:val="BodyText"/>
        <w:spacing w:before="11"/>
      </w:pPr>
    </w:p>
    <w:p>
      <w:pPr>
        <w:pStyle w:val="BodyText"/>
        <w:spacing w:line="249" w:lineRule="auto"/>
        <w:ind w:left="1187" w:right="129" w:hanging="624"/>
        <w:jc w:val="both"/>
      </w:pPr>
      <w:r>
        <w:rPr/>
        <w:t>Montero Olivares, S. (2014). Una visión Prospectiva de la Administración Pública para la Sociedad Mundial al 20150. (1ª ed.). México: IAPEM.</w:t>
      </w:r>
    </w:p>
    <w:p>
      <w:pPr>
        <w:pStyle w:val="BodyText"/>
        <w:spacing w:before="8"/>
        <w:rPr>
          <w:sz w:val="17"/>
        </w:rPr>
      </w:pPr>
    </w:p>
    <w:p>
      <w:pPr>
        <w:pStyle w:val="Heading1"/>
        <w:ind w:left="733"/>
      </w:pPr>
      <w:r>
        <w:rPr/>
        <w:t>Ciberográficas</w:t>
      </w:r>
    </w:p>
    <w:p>
      <w:pPr>
        <w:pStyle w:val="BodyText"/>
        <w:rPr>
          <w:b/>
          <w:sz w:val="21"/>
        </w:rPr>
      </w:pPr>
    </w:p>
    <w:p>
      <w:pPr>
        <w:pStyle w:val="BodyText"/>
        <w:spacing w:line="249" w:lineRule="auto"/>
        <w:ind w:left="1187" w:right="129" w:hanging="624"/>
        <w:jc w:val="both"/>
      </w:pPr>
      <w:r>
        <w:rPr/>
        <w:t>Azócar</w:t>
      </w:r>
      <w:r>
        <w:rPr>
          <w:spacing w:val="-29"/>
        </w:rPr>
        <w:t> </w:t>
      </w:r>
      <w:r>
        <w:rPr/>
        <w:t>García,</w:t>
      </w:r>
      <w:r>
        <w:rPr>
          <w:spacing w:val="-29"/>
        </w:rPr>
        <w:t> </w:t>
      </w:r>
      <w:r>
        <w:rPr/>
        <w:t>Gerardo,</w:t>
      </w:r>
      <w:r>
        <w:rPr>
          <w:spacing w:val="-29"/>
        </w:rPr>
        <w:t> </w:t>
      </w:r>
      <w:r>
        <w:rPr/>
        <w:t>Aguayo</w:t>
      </w:r>
      <w:r>
        <w:rPr>
          <w:spacing w:val="-29"/>
        </w:rPr>
        <w:t> </w:t>
      </w:r>
      <w:r>
        <w:rPr/>
        <w:t>Arias,</w:t>
      </w:r>
      <w:r>
        <w:rPr>
          <w:spacing w:val="-29"/>
        </w:rPr>
        <w:t> </w:t>
      </w:r>
      <w:r>
        <w:rPr/>
        <w:t>Mauricio,</w:t>
      </w:r>
      <w:r>
        <w:rPr>
          <w:spacing w:val="-29"/>
        </w:rPr>
        <w:t> </w:t>
      </w:r>
      <w:r>
        <w:rPr/>
        <w:t>Henríquez</w:t>
      </w:r>
      <w:r>
        <w:rPr>
          <w:spacing w:val="-29"/>
        </w:rPr>
        <w:t> </w:t>
      </w:r>
      <w:r>
        <w:rPr/>
        <w:t>Ruiz,</w:t>
      </w:r>
      <w:r>
        <w:rPr>
          <w:spacing w:val="-29"/>
        </w:rPr>
        <w:t> </w:t>
      </w:r>
      <w:r>
        <w:rPr/>
        <w:t>Cristian,</w:t>
      </w:r>
      <w:r>
        <w:rPr>
          <w:spacing w:val="-29"/>
        </w:rPr>
        <w:t> </w:t>
      </w:r>
      <w:r>
        <w:rPr/>
        <w:t>Vega</w:t>
      </w:r>
      <w:r>
        <w:rPr>
          <w:spacing w:val="-29"/>
        </w:rPr>
        <w:t> </w:t>
      </w:r>
      <w:r>
        <w:rPr/>
        <w:t>Montero, Claudia, Sanhueza Contreras, Rodrigo. Patrones de crecimiento urbano en la Patagonia</w:t>
      </w:r>
      <w:r>
        <w:rPr>
          <w:spacing w:val="-10"/>
        </w:rPr>
        <w:t> </w:t>
      </w:r>
      <w:r>
        <w:rPr/>
        <w:t>chilena:</w:t>
      </w:r>
      <w:r>
        <w:rPr>
          <w:spacing w:val="-10"/>
        </w:rPr>
        <w:t> </w:t>
      </w:r>
      <w:r>
        <w:rPr/>
        <w:t>el</w:t>
      </w:r>
      <w:r>
        <w:rPr>
          <w:spacing w:val="-10"/>
        </w:rPr>
        <w:t> </w:t>
      </w:r>
      <w:r>
        <w:rPr/>
        <w:t>caso</w:t>
      </w:r>
      <w:r>
        <w:rPr>
          <w:spacing w:val="-10"/>
        </w:rPr>
        <w:t> </w:t>
      </w:r>
      <w:r>
        <w:rPr/>
        <w:t>de</w:t>
      </w:r>
      <w:r>
        <w:rPr>
          <w:spacing w:val="-10"/>
        </w:rPr>
        <w:t> </w:t>
      </w:r>
      <w:r>
        <w:rPr/>
        <w:t>la</w:t>
      </w:r>
      <w:r>
        <w:rPr>
          <w:spacing w:val="-10"/>
        </w:rPr>
        <w:t> </w:t>
      </w:r>
      <w:r>
        <w:rPr/>
        <w:t>ciudad</w:t>
      </w:r>
      <w:r>
        <w:rPr>
          <w:spacing w:val="-10"/>
        </w:rPr>
        <w:t> </w:t>
      </w:r>
      <w:r>
        <w:rPr/>
        <w:t>de</w:t>
      </w:r>
      <w:r>
        <w:rPr>
          <w:spacing w:val="-10"/>
        </w:rPr>
        <w:t> </w:t>
      </w:r>
      <w:r>
        <w:rPr/>
        <w:t>CoyhaiqueRevista</w:t>
      </w:r>
      <w:r>
        <w:rPr>
          <w:spacing w:val="-10"/>
        </w:rPr>
        <w:t> </w:t>
      </w:r>
      <w:r>
        <w:rPr/>
        <w:t>de</w:t>
      </w:r>
      <w:r>
        <w:rPr>
          <w:spacing w:val="-10"/>
        </w:rPr>
        <w:t> </w:t>
      </w:r>
      <w:r>
        <w:rPr/>
        <w:t>Geografía</w:t>
      </w:r>
      <w:r>
        <w:rPr>
          <w:spacing w:val="-10"/>
        </w:rPr>
        <w:t> </w:t>
      </w:r>
      <w:r>
        <w:rPr/>
        <w:t>Norte Grande [en linea] 2010, (Septiembre-Sin mes) : [Fecha de consulta: 21 de junio de 2015] Disponible </w:t>
      </w:r>
      <w:hyperlink r:id="rId324">
        <w:r>
          <w:rPr/>
          <w:t>en:&lt;http://www.redalyc.org/articulo.oa?id=30016622005&gt;</w:t>
        </w:r>
      </w:hyperlink>
      <w:r>
        <w:rPr/>
        <w:t> ISSN</w:t>
      </w:r>
      <w:r>
        <w:rPr>
          <w:spacing w:val="-1"/>
        </w:rPr>
        <w:t> </w:t>
      </w:r>
      <w:r>
        <w:rPr/>
        <w:t>0379-8682</w:t>
      </w:r>
    </w:p>
    <w:p>
      <w:pPr>
        <w:pStyle w:val="BodyText"/>
        <w:spacing w:before="11"/>
      </w:pPr>
    </w:p>
    <w:p>
      <w:pPr>
        <w:pStyle w:val="BodyText"/>
        <w:spacing w:line="249" w:lineRule="auto"/>
        <w:ind w:left="1187" w:right="129" w:hanging="624"/>
        <w:jc w:val="both"/>
      </w:pPr>
      <w:r>
        <w:rPr/>
        <w:t>Baca Tavira, Norma, Castillo, Fernández, Dídimo. Precarización Ocupacional por Género en Zona Metropolitana de la Ciudad de Toluca. Revista Convergencia [en línea] 2015, (enero – abril 2015). Recuperado el 22 de junio de 2015.</w:t>
      </w:r>
    </w:p>
    <w:p>
      <w:pPr>
        <w:pStyle w:val="BodyText"/>
        <w:spacing w:before="11"/>
      </w:pPr>
    </w:p>
    <w:p>
      <w:pPr>
        <w:pStyle w:val="BodyText"/>
        <w:spacing w:line="249" w:lineRule="auto"/>
        <w:ind w:left="1187" w:right="131" w:hanging="624"/>
        <w:jc w:val="both"/>
      </w:pPr>
      <w:r>
        <w:rPr/>
        <w:t>Brenner, Ludger. (2010). Gobernanza ambiental, actores sociales y conflictos en </w:t>
      </w:r>
      <w:r>
        <w:rPr>
          <w:spacing w:val="-2"/>
        </w:rPr>
        <w:t>las </w:t>
      </w:r>
      <w:r>
        <w:rPr/>
        <w:t>Áreas Naturales Protegidas mexicanas. Revista mexicana de sociología, </w:t>
      </w:r>
      <w:r>
        <w:rPr>
          <w:spacing w:val="-2"/>
        </w:rPr>
        <w:t>72(2), </w:t>
      </w:r>
      <w:r>
        <w:rPr/>
        <w:t>283-310. Recuperado en 16 de junio de 2015, de </w:t>
      </w:r>
      <w:hyperlink r:id="rId325">
        <w:r>
          <w:rPr/>
          <w:t>http://www.scielo.org.mx/</w:t>
        </w:r>
      </w:hyperlink>
      <w:r>
        <w:rPr/>
        <w:t> </w:t>
      </w:r>
      <w:r>
        <w:rPr>
          <w:spacing w:val="-2"/>
        </w:rPr>
        <w:t>scielo.php?script=sci_arttext&amp;pid=S0188-25032010000200004&amp;lng=es&amp;tlng=es.</w:t>
      </w:r>
    </w:p>
    <w:p>
      <w:pPr>
        <w:spacing w:after="0" w:line="249" w:lineRule="auto"/>
        <w:jc w:val="both"/>
        <w:sectPr>
          <w:type w:val="continuous"/>
          <w:pgSz w:w="18830" w:h="12760" w:orient="landscape"/>
          <w:pgMar w:top="1420" w:bottom="280" w:left="720" w:right="720"/>
          <w:cols w:num="2" w:equalWidth="0">
            <w:col w:w="7849" w:space="1127"/>
            <w:col w:w="8414"/>
          </w:cols>
        </w:sectPr>
      </w:pPr>
    </w:p>
    <w:p>
      <w:pPr>
        <w:pStyle w:val="BodyText"/>
        <w:spacing w:before="6"/>
        <w:rPr>
          <w:sz w:val="23"/>
        </w:rPr>
      </w:pPr>
    </w:p>
    <w:p>
      <w:pPr>
        <w:spacing w:after="0"/>
        <w:rPr>
          <w:sz w:val="23"/>
        </w:rPr>
        <w:sectPr>
          <w:footerReference w:type="default" r:id="rId326"/>
          <w:pgSz w:w="18830" w:h="12760" w:orient="landscape"/>
          <w:pgMar w:footer="1036" w:header="522" w:top="820" w:bottom="1220" w:left="720" w:right="720"/>
        </w:sectPr>
      </w:pPr>
    </w:p>
    <w:p>
      <w:pPr>
        <w:pStyle w:val="BodyText"/>
        <w:spacing w:line="249" w:lineRule="auto" w:before="76"/>
        <w:ind w:left="747" w:hanging="624"/>
        <w:jc w:val="both"/>
      </w:pPr>
      <w:r>
        <w:rPr/>
        <w:t>CEPANAF. Portal en línea. Recuperado en: </w:t>
      </w:r>
      <w:hyperlink r:id="rId327">
        <w:r>
          <w:rPr>
            <w:color w:val="0077CA"/>
            <w:u w:val="single" w:color="0077CA"/>
          </w:rPr>
          <w:t>http://portal2.edomex.gob.mx/cepanaf/</w:t>
        </w:r>
      </w:hyperlink>
      <w:r>
        <w:rPr>
          <w:color w:val="0077CA"/>
          <w:u w:val="single" w:color="0077CA"/>
        </w:rPr>
        <w:t> </w:t>
      </w:r>
      <w:hyperlink r:id="rId327">
        <w:r>
          <w:rPr>
            <w:color w:val="0077CA"/>
            <w:u w:val="single" w:color="0077CA"/>
          </w:rPr>
          <w:t>areas_naturales_protegidas/categorias_areas_protegidas/index.htm</w:t>
        </w:r>
      </w:hyperlink>
    </w:p>
    <w:p>
      <w:pPr>
        <w:pStyle w:val="BodyText"/>
        <w:spacing w:before="11"/>
      </w:pPr>
    </w:p>
    <w:p>
      <w:pPr>
        <w:pStyle w:val="BodyText"/>
        <w:spacing w:line="249" w:lineRule="auto"/>
        <w:ind w:left="747" w:hanging="624"/>
        <w:jc w:val="both"/>
      </w:pPr>
      <w:r>
        <w:rPr/>
        <w:t>Garcés</w:t>
      </w:r>
      <w:r>
        <w:rPr>
          <w:spacing w:val="-16"/>
        </w:rPr>
        <w:t> </w:t>
      </w:r>
      <w:r>
        <w:rPr/>
        <w:t>Jaramillo,</w:t>
      </w:r>
      <w:r>
        <w:rPr>
          <w:spacing w:val="-16"/>
        </w:rPr>
        <w:t> </w:t>
      </w:r>
      <w:r>
        <w:rPr/>
        <w:t>S.</w:t>
      </w:r>
      <w:r>
        <w:rPr>
          <w:spacing w:val="-16"/>
        </w:rPr>
        <w:t> </w:t>
      </w:r>
      <w:r>
        <w:rPr/>
        <w:t>(2013).</w:t>
      </w:r>
      <w:r>
        <w:rPr>
          <w:spacing w:val="-16"/>
        </w:rPr>
        <w:t> </w:t>
      </w:r>
      <w:r>
        <w:rPr/>
        <w:t>Aprendiendo</w:t>
      </w:r>
      <w:r>
        <w:rPr>
          <w:spacing w:val="-16"/>
        </w:rPr>
        <w:t> </w:t>
      </w:r>
      <w:r>
        <w:rPr/>
        <w:t>acerca</w:t>
      </w:r>
      <w:r>
        <w:rPr>
          <w:spacing w:val="-16"/>
        </w:rPr>
        <w:t> </w:t>
      </w:r>
      <w:r>
        <w:rPr/>
        <w:t>de</w:t>
      </w:r>
      <w:r>
        <w:rPr>
          <w:spacing w:val="-16"/>
        </w:rPr>
        <w:t> </w:t>
      </w:r>
      <w:r>
        <w:rPr/>
        <w:t>las</w:t>
      </w:r>
      <w:r>
        <w:rPr>
          <w:spacing w:val="-16"/>
        </w:rPr>
        <w:t> </w:t>
      </w:r>
      <w:r>
        <w:rPr/>
        <w:t>áreas</w:t>
      </w:r>
      <w:r>
        <w:rPr>
          <w:spacing w:val="-16"/>
        </w:rPr>
        <w:t> </w:t>
      </w:r>
      <w:r>
        <w:rPr/>
        <w:t>protegidas.</w:t>
      </w:r>
      <w:r>
        <w:rPr>
          <w:spacing w:val="-16"/>
        </w:rPr>
        <w:t> </w:t>
      </w:r>
      <w:r>
        <w:rPr/>
        <w:t>Letras</w:t>
      </w:r>
      <w:r>
        <w:rPr>
          <w:spacing w:val="-16"/>
        </w:rPr>
        <w:t> </w:t>
      </w:r>
      <w:r>
        <w:rPr/>
        <w:t>Verdes. Revista</w:t>
      </w:r>
      <w:r>
        <w:rPr>
          <w:spacing w:val="-12"/>
        </w:rPr>
        <w:t> </w:t>
      </w:r>
      <w:r>
        <w:rPr/>
        <w:t>Latinoamericana</w:t>
      </w:r>
      <w:r>
        <w:rPr>
          <w:spacing w:val="-12"/>
        </w:rPr>
        <w:t> </w:t>
      </w:r>
      <w:r>
        <w:rPr/>
        <w:t>De</w:t>
      </w:r>
      <w:r>
        <w:rPr>
          <w:spacing w:val="-12"/>
        </w:rPr>
        <w:t> </w:t>
      </w:r>
      <w:r>
        <w:rPr/>
        <w:t>Estudios</w:t>
      </w:r>
      <w:r>
        <w:rPr>
          <w:spacing w:val="-12"/>
        </w:rPr>
        <w:t> </w:t>
      </w:r>
      <w:r>
        <w:rPr/>
        <w:t>Socioambientales,</w:t>
      </w:r>
      <w:r>
        <w:rPr>
          <w:spacing w:val="-12"/>
        </w:rPr>
        <w:t> </w:t>
      </w:r>
      <w:r>
        <w:rPr/>
        <w:t>0(2),</w:t>
      </w:r>
      <w:r>
        <w:rPr>
          <w:spacing w:val="-12"/>
        </w:rPr>
        <w:t> </w:t>
      </w:r>
      <w:r>
        <w:rPr/>
        <w:t>6-7.</w:t>
      </w:r>
      <w:r>
        <w:rPr>
          <w:spacing w:val="-12"/>
        </w:rPr>
        <w:t> </w:t>
      </w:r>
      <w:r>
        <w:rPr/>
        <w:t>doi:10.17141/ letrasverdes.2.2008.810. Recuperado de: </w:t>
      </w:r>
      <w:hyperlink r:id="rId328">
        <w:r>
          <w:rPr>
            <w:color w:val="0077CA"/>
            <w:u w:val="single" w:color="0077CA"/>
          </w:rPr>
          <w:t>http://revistas.flacsoandes.edu.ec/</w:t>
        </w:r>
      </w:hyperlink>
      <w:r>
        <w:rPr>
          <w:color w:val="0077CA"/>
          <w:u w:val="single" w:color="0077CA"/>
        </w:rPr>
        <w:t> </w:t>
      </w:r>
      <w:hyperlink r:id="rId328">
        <w:r>
          <w:rPr>
            <w:color w:val="0077CA"/>
            <w:u w:val="single" w:color="0077CA"/>
          </w:rPr>
          <w:t>letrasverdes/rt/captureCite/810/776/ApaCitationPlugin</w:t>
        </w:r>
      </w:hyperlink>
    </w:p>
    <w:p>
      <w:pPr>
        <w:pStyle w:val="BodyText"/>
        <w:spacing w:before="11"/>
      </w:pPr>
    </w:p>
    <w:p>
      <w:pPr>
        <w:pStyle w:val="BodyText"/>
        <w:spacing w:line="249" w:lineRule="auto"/>
        <w:ind w:left="747" w:hanging="624"/>
        <w:jc w:val="both"/>
      </w:pPr>
      <w:r>
        <w:rPr/>
        <w:t>GEM. (2012). Programa Regional 2012-2017. Región XIII Toluca. Recuperado de: </w:t>
      </w:r>
      <w:hyperlink r:id="rId329">
        <w:r>
          <w:rPr>
            <w:color w:val="0077CA"/>
            <w:u w:val="single" w:color="0077CA"/>
          </w:rPr>
          <w:t>http://portal2.edomex.gob.mx/copladem/programas/regionales/groups/public/</w:t>
        </w:r>
      </w:hyperlink>
      <w:r>
        <w:rPr>
          <w:color w:val="0077CA"/>
          <w:u w:val="single" w:color="0077CA"/>
        </w:rPr>
        <w:t> </w:t>
      </w:r>
      <w:hyperlink r:id="rId329">
        <w:r>
          <w:rPr>
            <w:color w:val="0077CA"/>
            <w:u w:val="single" w:color="0077CA"/>
          </w:rPr>
          <w:t>documents/edomex_archivo/copladem_pdf_rxiii_toluca.pdf</w:t>
        </w:r>
      </w:hyperlink>
    </w:p>
    <w:p>
      <w:pPr>
        <w:pStyle w:val="BodyText"/>
        <w:spacing w:before="11"/>
      </w:pPr>
    </w:p>
    <w:p>
      <w:pPr>
        <w:pStyle w:val="BodyText"/>
        <w:spacing w:line="249" w:lineRule="auto"/>
        <w:ind w:left="747" w:hanging="624"/>
        <w:jc w:val="both"/>
      </w:pPr>
      <w:r>
        <w:rPr/>
        <w:t>Gobierno de la República. (2014). Programa Nacional de Áreas Naturales Protegidas 2014 – 2018. Recuperado de: </w:t>
      </w:r>
      <w:hyperlink r:id="rId330">
        <w:r>
          <w:rPr>
            <w:color w:val="0077CA"/>
            <w:u w:val="single" w:color="0077CA"/>
          </w:rPr>
          <w:t>http://entorno.conanp.gob.mx/documentos/</w:t>
        </w:r>
      </w:hyperlink>
      <w:r>
        <w:rPr>
          <w:color w:val="0077CA"/>
          <w:u w:val="single" w:color="0077CA"/>
        </w:rPr>
        <w:t> </w:t>
      </w:r>
      <w:hyperlink r:id="rId330">
        <w:r>
          <w:rPr>
            <w:color w:val="0077CA"/>
            <w:u w:val="single" w:color="0077CA"/>
          </w:rPr>
          <w:t>PNANP.pdf</w:t>
        </w:r>
      </w:hyperlink>
    </w:p>
    <w:p>
      <w:pPr>
        <w:pStyle w:val="BodyText"/>
        <w:spacing w:before="11"/>
      </w:pPr>
    </w:p>
    <w:p>
      <w:pPr>
        <w:pStyle w:val="BodyText"/>
        <w:spacing w:line="249" w:lineRule="auto"/>
        <w:ind w:left="747" w:hanging="624"/>
        <w:jc w:val="both"/>
      </w:pPr>
      <w:r>
        <w:rPr/>
        <w:t>González Ocampo, H. A., Cortés-Calva, P., Íñiguez Dávalos, L. I. &amp; Ortega-Rubio, A. (2014).</w:t>
      </w:r>
      <w:r>
        <w:rPr>
          <w:spacing w:val="-21"/>
        </w:rPr>
        <w:t> </w:t>
      </w:r>
      <w:r>
        <w:rPr/>
        <w:t>Las</w:t>
      </w:r>
      <w:r>
        <w:rPr>
          <w:spacing w:val="-21"/>
        </w:rPr>
        <w:t> </w:t>
      </w:r>
      <w:r>
        <w:rPr/>
        <w:t>áreas</w:t>
      </w:r>
      <w:r>
        <w:rPr>
          <w:spacing w:val="-20"/>
        </w:rPr>
        <w:t> </w:t>
      </w:r>
      <w:r>
        <w:rPr/>
        <w:t>naturales</w:t>
      </w:r>
      <w:r>
        <w:rPr>
          <w:spacing w:val="-20"/>
        </w:rPr>
        <w:t> </w:t>
      </w:r>
      <w:r>
        <w:rPr/>
        <w:t>protegidas</w:t>
      </w:r>
      <w:r>
        <w:rPr>
          <w:spacing w:val="-20"/>
        </w:rPr>
        <w:t> </w:t>
      </w:r>
      <w:r>
        <w:rPr/>
        <w:t>de</w:t>
      </w:r>
      <w:r>
        <w:rPr>
          <w:spacing w:val="-21"/>
        </w:rPr>
        <w:t> </w:t>
      </w:r>
      <w:r>
        <w:rPr/>
        <w:t>México.</w:t>
      </w:r>
      <w:r>
        <w:rPr>
          <w:spacing w:val="-21"/>
        </w:rPr>
        <w:t> </w:t>
      </w:r>
      <w:r>
        <w:rPr/>
        <w:t>Investigación</w:t>
      </w:r>
      <w:r>
        <w:rPr>
          <w:spacing w:val="-21"/>
        </w:rPr>
        <w:t> </w:t>
      </w:r>
      <w:r>
        <w:rPr/>
        <w:t>y</w:t>
      </w:r>
      <w:r>
        <w:rPr>
          <w:spacing w:val="-21"/>
        </w:rPr>
        <w:t> </w:t>
      </w:r>
      <w:r>
        <w:rPr/>
        <w:t>Ciencia,</w:t>
      </w:r>
      <w:r>
        <w:rPr>
          <w:spacing w:val="-20"/>
        </w:rPr>
        <w:t> </w:t>
      </w:r>
      <w:r>
        <w:rPr/>
        <w:t>22(60) 7-15.  Recuperado  de</w:t>
      </w:r>
      <w:r>
        <w:rPr>
          <w:spacing w:val="-10"/>
        </w:rPr>
        <w:t> </w:t>
      </w:r>
      <w:hyperlink r:id="rId331">
        <w:r>
          <w:rPr>
            <w:color w:val="0077CA"/>
            <w:u w:val="single" w:color="0077CA"/>
          </w:rPr>
          <w:t>http://www.redalyc.org/articulo.oa?id=67431160002</w:t>
        </w:r>
      </w:hyperlink>
    </w:p>
    <w:p>
      <w:pPr>
        <w:pStyle w:val="BodyText"/>
        <w:spacing w:before="11"/>
      </w:pPr>
    </w:p>
    <w:p>
      <w:pPr>
        <w:pStyle w:val="BodyText"/>
        <w:spacing w:line="249" w:lineRule="auto"/>
        <w:ind w:left="747" w:hanging="624"/>
        <w:jc w:val="both"/>
      </w:pPr>
      <w:r>
        <w:rPr/>
        <w:t>Jiménez Sierra, C. L., Sosa Ramírez, J., Cortés-Calva, P., Breceda Solís Cámara, A., Íñiguez Dávalos, L. I. &amp; Ortega-Rubio, A. (2014). México país megadiverso y la relevancia</w:t>
      </w:r>
      <w:r>
        <w:rPr>
          <w:spacing w:val="-7"/>
        </w:rPr>
        <w:t> </w:t>
      </w:r>
      <w:r>
        <w:rPr/>
        <w:t>de</w:t>
      </w:r>
      <w:r>
        <w:rPr>
          <w:spacing w:val="-7"/>
        </w:rPr>
        <w:t> </w:t>
      </w:r>
      <w:r>
        <w:rPr/>
        <w:t>las</w:t>
      </w:r>
      <w:r>
        <w:rPr>
          <w:spacing w:val="-7"/>
        </w:rPr>
        <w:t> </w:t>
      </w:r>
      <w:r>
        <w:rPr/>
        <w:t>áreas</w:t>
      </w:r>
      <w:r>
        <w:rPr>
          <w:spacing w:val="-7"/>
        </w:rPr>
        <w:t> </w:t>
      </w:r>
      <w:r>
        <w:rPr/>
        <w:t>naturales</w:t>
      </w:r>
      <w:r>
        <w:rPr>
          <w:spacing w:val="-7"/>
        </w:rPr>
        <w:t> </w:t>
      </w:r>
      <w:r>
        <w:rPr/>
        <w:t>protegidas.</w:t>
      </w:r>
      <w:r>
        <w:rPr>
          <w:spacing w:val="-7"/>
        </w:rPr>
        <w:t> </w:t>
      </w:r>
      <w:r>
        <w:rPr/>
        <w:t>Investigación</w:t>
      </w:r>
      <w:r>
        <w:rPr>
          <w:spacing w:val="-8"/>
        </w:rPr>
        <w:t> </w:t>
      </w:r>
      <w:r>
        <w:rPr/>
        <w:t>y</w:t>
      </w:r>
      <w:r>
        <w:rPr>
          <w:spacing w:val="-7"/>
        </w:rPr>
        <w:t> </w:t>
      </w:r>
      <w:r>
        <w:rPr/>
        <w:t>Ciencia,</w:t>
      </w:r>
      <w:r>
        <w:rPr>
          <w:spacing w:val="-7"/>
        </w:rPr>
        <w:t> </w:t>
      </w:r>
      <w:r>
        <w:rPr/>
        <w:t>22(60)</w:t>
      </w:r>
      <w:r>
        <w:rPr>
          <w:spacing w:val="-7"/>
        </w:rPr>
        <w:t> </w:t>
      </w:r>
      <w:r>
        <w:rPr/>
        <w:t>16-</w:t>
      </w:r>
    </w:p>
    <w:p>
      <w:pPr>
        <w:pStyle w:val="BodyText"/>
        <w:spacing w:before="1"/>
        <w:ind w:left="747"/>
      </w:pPr>
      <w:r>
        <w:rPr/>
        <w:t>22. Recuperado de </w:t>
      </w:r>
      <w:hyperlink r:id="rId332">
        <w:r>
          <w:rPr/>
          <w:t>http://www.redalyc.org/articulo.oa?id=67431160003</w:t>
        </w:r>
      </w:hyperlink>
    </w:p>
    <w:p>
      <w:pPr>
        <w:pStyle w:val="BodyText"/>
        <w:spacing w:before="8"/>
        <w:rPr>
          <w:sz w:val="21"/>
        </w:rPr>
      </w:pPr>
    </w:p>
    <w:p>
      <w:pPr>
        <w:pStyle w:val="BodyText"/>
        <w:spacing w:line="249" w:lineRule="auto"/>
        <w:ind w:left="747" w:hanging="624"/>
        <w:jc w:val="both"/>
      </w:pPr>
      <w:r>
        <w:rPr/>
        <w:t>Orozco Hernández, María Estela. (2006). Interpretive scenarios: Tendencies in the transformation of rural and outlying spaces of the metropolitan area of the city of Toluca. Investigaciones geográficas, (60), 110-126. Recuperado en 22 de junio de 2015, de </w:t>
      </w:r>
      <w:hyperlink r:id="rId333">
        <w:r>
          <w:rPr/>
          <w:t>http://www.scielo.org.mx/scielo.php?script=sci_arttext&amp;pid=S0188-</w:t>
        </w:r>
      </w:hyperlink>
      <w:r>
        <w:rPr/>
        <w:t> 46112006000200007&amp;lng=es&amp;tlng=en. .</w:t>
      </w:r>
    </w:p>
    <w:p>
      <w:pPr>
        <w:pStyle w:val="BodyText"/>
        <w:spacing w:before="11"/>
      </w:pPr>
    </w:p>
    <w:p>
      <w:pPr>
        <w:pStyle w:val="BodyText"/>
        <w:spacing w:line="249" w:lineRule="auto"/>
        <w:ind w:left="747" w:hanging="624"/>
        <w:jc w:val="both"/>
      </w:pPr>
      <w:r>
        <w:rPr/>
        <w:t>Pinkus</w:t>
      </w:r>
      <w:r>
        <w:rPr>
          <w:spacing w:val="-34"/>
        </w:rPr>
        <w:t> </w:t>
      </w:r>
      <w:r>
        <w:rPr/>
        <w:t>Rendón,</w:t>
      </w:r>
      <w:r>
        <w:rPr>
          <w:spacing w:val="-34"/>
        </w:rPr>
        <w:t> </w:t>
      </w:r>
      <w:r>
        <w:rPr/>
        <w:t>M.</w:t>
      </w:r>
      <w:r>
        <w:rPr>
          <w:spacing w:val="-34"/>
        </w:rPr>
        <w:t> </w:t>
      </w:r>
      <w:r>
        <w:rPr/>
        <w:t>J.,</w:t>
      </w:r>
      <w:r>
        <w:rPr>
          <w:spacing w:val="-34"/>
        </w:rPr>
        <w:t> </w:t>
      </w:r>
      <w:r>
        <w:rPr/>
        <w:t>Pinkus</w:t>
      </w:r>
      <w:r>
        <w:rPr>
          <w:spacing w:val="-34"/>
        </w:rPr>
        <w:t> </w:t>
      </w:r>
      <w:r>
        <w:rPr/>
        <w:t>Rendón,</w:t>
      </w:r>
      <w:r>
        <w:rPr>
          <w:spacing w:val="-34"/>
        </w:rPr>
        <w:t> </w:t>
      </w:r>
      <w:r>
        <w:rPr/>
        <w:t>M.</w:t>
      </w:r>
      <w:r>
        <w:rPr>
          <w:spacing w:val="-34"/>
        </w:rPr>
        <w:t> </w:t>
      </w:r>
      <w:r>
        <w:rPr>
          <w:spacing w:val="7"/>
        </w:rPr>
        <w:t>Á.&amp;</w:t>
      </w:r>
      <w:r>
        <w:rPr>
          <w:spacing w:val="-34"/>
        </w:rPr>
        <w:t> </w:t>
      </w:r>
      <w:r>
        <w:rPr/>
        <w:t>Ortega-Rubio,</w:t>
      </w:r>
      <w:r>
        <w:rPr>
          <w:spacing w:val="-35"/>
        </w:rPr>
        <w:t> </w:t>
      </w:r>
      <w:r>
        <w:rPr/>
        <w:t>A.</w:t>
      </w:r>
      <w:r>
        <w:rPr>
          <w:spacing w:val="-34"/>
        </w:rPr>
        <w:t> </w:t>
      </w:r>
      <w:r>
        <w:rPr/>
        <w:t>(2014).</w:t>
      </w:r>
      <w:r>
        <w:rPr>
          <w:spacing w:val="-34"/>
        </w:rPr>
        <w:t> </w:t>
      </w:r>
      <w:r>
        <w:rPr/>
        <w:t>Recomendaciones para el manejo sustentable en las áreas naturales protegidas de México. Investigación y Ciencia, 22(60) 102-110. Recuperado de </w:t>
      </w:r>
      <w:hyperlink r:id="rId334">
        <w:r>
          <w:rPr>
            <w:color w:val="0077CA"/>
            <w:u w:val="single" w:color="0077CA"/>
          </w:rPr>
          <w:t>http://www.redalyc.</w:t>
        </w:r>
      </w:hyperlink>
      <w:r>
        <w:rPr>
          <w:color w:val="0077CA"/>
          <w:u w:val="single" w:color="0077CA"/>
        </w:rPr>
        <w:t> </w:t>
      </w:r>
      <w:hyperlink r:id="rId334">
        <w:r>
          <w:rPr>
            <w:color w:val="0077CA"/>
            <w:u w:val="single" w:color="0077CA"/>
          </w:rPr>
          <w:t>org/articulo.oa?id=67431160013</w:t>
        </w:r>
      </w:hyperlink>
    </w:p>
    <w:p>
      <w:pPr>
        <w:pStyle w:val="BodyText"/>
        <w:spacing w:before="11"/>
      </w:pPr>
    </w:p>
    <w:p>
      <w:pPr>
        <w:pStyle w:val="BodyText"/>
        <w:spacing w:line="249" w:lineRule="auto"/>
        <w:ind w:left="747" w:hanging="624"/>
        <w:jc w:val="both"/>
      </w:pPr>
      <w:r>
        <w:rPr/>
        <w:t>Plan</w:t>
      </w:r>
      <w:r>
        <w:rPr>
          <w:spacing w:val="-12"/>
        </w:rPr>
        <w:t> </w:t>
      </w:r>
      <w:r>
        <w:rPr/>
        <w:t>Municipal</w:t>
      </w:r>
      <w:r>
        <w:rPr>
          <w:spacing w:val="-12"/>
        </w:rPr>
        <w:t> </w:t>
      </w:r>
      <w:r>
        <w:rPr/>
        <w:t>de</w:t>
      </w:r>
      <w:r>
        <w:rPr>
          <w:spacing w:val="-12"/>
        </w:rPr>
        <w:t> </w:t>
      </w:r>
      <w:r>
        <w:rPr/>
        <w:t>Desarrollo</w:t>
      </w:r>
      <w:r>
        <w:rPr>
          <w:spacing w:val="-12"/>
        </w:rPr>
        <w:t> </w:t>
      </w:r>
      <w:r>
        <w:rPr/>
        <w:t>Urbano</w:t>
      </w:r>
      <w:r>
        <w:rPr>
          <w:spacing w:val="-12"/>
        </w:rPr>
        <w:t> </w:t>
      </w:r>
      <w:r>
        <w:rPr/>
        <w:t>de</w:t>
      </w:r>
      <w:r>
        <w:rPr>
          <w:spacing w:val="-12"/>
        </w:rPr>
        <w:t> </w:t>
      </w:r>
      <w:r>
        <w:rPr/>
        <w:t>Toluca</w:t>
      </w:r>
      <w:r>
        <w:rPr>
          <w:spacing w:val="-13"/>
        </w:rPr>
        <w:t> </w:t>
      </w:r>
      <w:r>
        <w:rPr/>
        <w:t>2013-2015.Consultado</w:t>
      </w:r>
      <w:r>
        <w:rPr>
          <w:spacing w:val="-12"/>
        </w:rPr>
        <w:t> </w:t>
      </w:r>
      <w:r>
        <w:rPr/>
        <w:t>en</w:t>
      </w:r>
      <w:r>
        <w:rPr>
          <w:spacing w:val="-12"/>
        </w:rPr>
        <w:t> </w:t>
      </w:r>
      <w:hyperlink r:id="rId335">
        <w:r>
          <w:rPr/>
          <w:t>http://portal2.</w:t>
        </w:r>
      </w:hyperlink>
      <w:r>
        <w:rPr/>
        <w:t> edomex.gob.mx/sedur/planes_de_desarrollo/planes_municipales/toluca/index. htm</w:t>
      </w:r>
    </w:p>
    <w:p>
      <w:pPr>
        <w:pStyle w:val="BodyText"/>
        <w:spacing w:line="249" w:lineRule="auto" w:before="76"/>
        <w:ind w:left="747" w:right="129" w:hanging="624"/>
        <w:jc w:val="both"/>
      </w:pPr>
      <w:r>
        <w:rPr/>
        <w:br w:type="column"/>
      </w:r>
      <w:r>
        <w:rPr/>
        <w:t>Toledo,</w:t>
      </w:r>
      <w:r>
        <w:rPr>
          <w:spacing w:val="-26"/>
        </w:rPr>
        <w:t> </w:t>
      </w:r>
      <w:r>
        <w:rPr/>
        <w:t>V.</w:t>
      </w:r>
      <w:r>
        <w:rPr>
          <w:spacing w:val="-25"/>
        </w:rPr>
        <w:t> </w:t>
      </w:r>
      <w:r>
        <w:rPr/>
        <w:t>M.</w:t>
      </w:r>
      <w:r>
        <w:rPr>
          <w:spacing w:val="-25"/>
        </w:rPr>
        <w:t> </w:t>
      </w:r>
      <w:r>
        <w:rPr/>
        <w:t>(2005).</w:t>
      </w:r>
      <w:r>
        <w:rPr>
          <w:spacing w:val="-25"/>
        </w:rPr>
        <w:t> </w:t>
      </w:r>
      <w:r>
        <w:rPr/>
        <w:t>Repensar</w:t>
      </w:r>
      <w:r>
        <w:rPr>
          <w:spacing w:val="-25"/>
        </w:rPr>
        <w:t> </w:t>
      </w:r>
      <w:r>
        <w:rPr/>
        <w:t>la</w:t>
      </w:r>
      <w:r>
        <w:rPr>
          <w:spacing w:val="-25"/>
        </w:rPr>
        <w:t> </w:t>
      </w:r>
      <w:r>
        <w:rPr/>
        <w:t>conservación:</w:t>
      </w:r>
      <w:r>
        <w:rPr>
          <w:spacing w:val="-25"/>
        </w:rPr>
        <w:t> </w:t>
      </w:r>
      <w:r>
        <w:rPr/>
        <w:t>¿áreas</w:t>
      </w:r>
      <w:r>
        <w:rPr>
          <w:spacing w:val="-25"/>
        </w:rPr>
        <w:t> </w:t>
      </w:r>
      <w:r>
        <w:rPr/>
        <w:t>naturales</w:t>
      </w:r>
      <w:r>
        <w:rPr>
          <w:spacing w:val="-25"/>
        </w:rPr>
        <w:t> </w:t>
      </w:r>
      <w:r>
        <w:rPr/>
        <w:t>protegidas</w:t>
      </w:r>
      <w:r>
        <w:rPr>
          <w:spacing w:val="-25"/>
        </w:rPr>
        <w:t> </w:t>
      </w:r>
      <w:r>
        <w:rPr/>
        <w:t>o</w:t>
      </w:r>
      <w:r>
        <w:rPr>
          <w:spacing w:val="-25"/>
        </w:rPr>
        <w:t> </w:t>
      </w:r>
      <w:r>
        <w:rPr/>
        <w:t>estrategia bioregional?. Gaceta Ecológica, (77) 67-83. Recuperado de http://www.redalyc. org/articulo.oa?id=53907705</w:t>
      </w:r>
    </w:p>
    <w:p>
      <w:pPr>
        <w:pStyle w:val="BodyText"/>
        <w:spacing w:before="11"/>
      </w:pPr>
    </w:p>
    <w:p>
      <w:pPr>
        <w:pStyle w:val="BodyText"/>
        <w:spacing w:line="249" w:lineRule="auto"/>
        <w:ind w:left="747" w:right="128" w:hanging="624"/>
        <w:jc w:val="both"/>
      </w:pPr>
      <w:r>
        <w:rPr/>
        <w:t>Villalobos , I. (2000). Áreas naturales protegidas: instrumento estratégico para la conservación de la biodiversidad. Gaceta Ecológica, (54) 24-34. Recuperado de </w:t>
      </w:r>
      <w:hyperlink r:id="rId336">
        <w:r>
          <w:rPr>
            <w:color w:val="0077CA"/>
            <w:u w:val="single" w:color="0077CA"/>
          </w:rPr>
          <w:t>http://www.redalyc.org/articulo.oa?id=53905402</w:t>
        </w:r>
      </w:hyperlink>
    </w:p>
    <w:p>
      <w:pPr>
        <w:pStyle w:val="BodyText"/>
        <w:spacing w:before="11"/>
      </w:pPr>
    </w:p>
    <w:p>
      <w:pPr>
        <w:pStyle w:val="BodyText"/>
        <w:spacing w:line="249" w:lineRule="auto"/>
        <w:ind w:left="747" w:right="127" w:hanging="624"/>
        <w:jc w:val="both"/>
      </w:pPr>
      <w:r>
        <w:rPr/>
        <w:t>Yacuzzi, E. (s/f). El estudio de caso como metodología de investigación: Teoría, Mecanismos Causales, Validación. 1-37.</w:t>
      </w:r>
    </w:p>
    <w:p>
      <w:pPr>
        <w:spacing w:after="0" w:line="249" w:lineRule="auto"/>
        <w:jc w:val="both"/>
        <w:sectPr>
          <w:type w:val="continuous"/>
          <w:pgSz w:w="18830" w:h="12760" w:orient="landscape"/>
          <w:pgMar w:top="1420" w:bottom="280" w:left="720" w:right="720"/>
          <w:cols w:num="2" w:equalWidth="0">
            <w:col w:w="7835" w:space="1583"/>
            <w:col w:w="7972"/>
          </w:cols>
        </w:sectPr>
      </w:pPr>
    </w:p>
    <w:p>
      <w:pPr>
        <w:pStyle w:val="BodyText"/>
        <w:spacing w:before="10"/>
        <w:rPr>
          <w:sz w:val="11"/>
        </w:rPr>
      </w:pPr>
      <w:r>
        <w:rPr/>
        <w:pict>
          <v:group style="position:absolute;margin-left:696.401978pt;margin-top:576pt;width:18.850pt;height:61.8pt;mso-position-horizontal-relative:page;mso-position-vertical-relative:page;z-index:12640" coordorigin="13928,11520" coordsize="377,1236">
            <v:rect style="position:absolute;left:13928;top:11520;width:377;height:1236" filled="true" fillcolor="#c7c8ca" stroked="false">
              <v:fill type="solid"/>
            </v:rect>
            <v:shape style="position:absolute;left:13928;top:11520;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309</w:t>
                    </w:r>
                  </w:p>
                </w:txbxContent>
              </v:textbox>
              <w10:wrap type="none"/>
            </v:shape>
            <w10:wrap type="none"/>
          </v:group>
        </w:pict>
      </w: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8076" w:right="156" w:firstLine="24"/>
      </w:pPr>
      <w:r>
        <w:rPr/>
        <w:t>Proceso de suburbanización y las migraciones en la Zona Metropolitana de Cracovia (ZMC) entre los siglos XX y XXI</w:t>
      </w:r>
    </w:p>
    <w:p>
      <w:pPr>
        <w:pStyle w:val="BodyText"/>
        <w:spacing w:before="7"/>
        <w:rPr>
          <w:b/>
          <w:sz w:val="23"/>
        </w:rPr>
      </w:pPr>
    </w:p>
    <w:p>
      <w:pPr>
        <w:spacing w:line="297" w:lineRule="auto" w:before="0"/>
        <w:ind w:left="14074" w:right="128" w:hanging="351"/>
        <w:jc w:val="both"/>
        <w:rPr>
          <w:sz w:val="9"/>
        </w:rPr>
      </w:pPr>
      <w:r>
        <w:rPr>
          <w:rFonts w:ascii="Tahoma" w:hAnsi="Tahoma"/>
          <w:w w:val="105"/>
          <w:sz w:val="16"/>
        </w:rPr>
        <w:t>Mirosław</w:t>
      </w:r>
      <w:r>
        <w:rPr>
          <w:rFonts w:ascii="Tahoma" w:hAnsi="Tahoma"/>
          <w:spacing w:val="-32"/>
          <w:w w:val="105"/>
          <w:sz w:val="16"/>
        </w:rPr>
        <w:t> </w:t>
      </w:r>
      <w:r>
        <w:rPr>
          <w:rFonts w:ascii="Tahoma" w:hAnsi="Tahoma"/>
          <w:w w:val="105"/>
          <w:sz w:val="16"/>
        </w:rPr>
        <w:t>Wójtowicz</w:t>
      </w:r>
      <w:r>
        <w:rPr>
          <w:w w:val="105"/>
          <w:position w:val="5"/>
          <w:sz w:val="9"/>
        </w:rPr>
        <w:t>30 </w:t>
      </w:r>
      <w:r>
        <w:rPr>
          <w:rFonts w:ascii="Tahoma" w:hAnsi="Tahoma"/>
          <w:w w:val="105"/>
          <w:sz w:val="16"/>
        </w:rPr>
        <w:t>Sławomir</w:t>
      </w:r>
      <w:r>
        <w:rPr>
          <w:rFonts w:ascii="Tahoma" w:hAnsi="Tahoma"/>
          <w:spacing w:val="-32"/>
          <w:w w:val="105"/>
          <w:sz w:val="16"/>
        </w:rPr>
        <w:t> </w:t>
      </w:r>
      <w:r>
        <w:rPr>
          <w:rFonts w:ascii="Tahoma" w:hAnsi="Tahoma"/>
          <w:w w:val="105"/>
          <w:sz w:val="16"/>
        </w:rPr>
        <w:t>Kurek</w:t>
      </w:r>
      <w:r>
        <w:rPr>
          <w:w w:val="105"/>
          <w:position w:val="5"/>
          <w:sz w:val="9"/>
        </w:rPr>
        <w:t>1 </w:t>
      </w:r>
      <w:r>
        <w:rPr>
          <w:rFonts w:ascii="Tahoma" w:hAnsi="Tahoma"/>
          <w:w w:val="105"/>
          <w:sz w:val="16"/>
        </w:rPr>
        <w:t>Jadwiga</w:t>
      </w:r>
      <w:r>
        <w:rPr>
          <w:rFonts w:ascii="Tahoma" w:hAnsi="Tahoma"/>
          <w:spacing w:val="-15"/>
          <w:w w:val="105"/>
          <w:sz w:val="16"/>
        </w:rPr>
        <w:t> </w:t>
      </w:r>
      <w:r>
        <w:rPr>
          <w:rFonts w:ascii="Tahoma" w:hAnsi="Tahoma"/>
          <w:w w:val="105"/>
          <w:sz w:val="16"/>
        </w:rPr>
        <w:t>Gałka</w:t>
      </w:r>
      <w:r>
        <w:rPr>
          <w:w w:val="105"/>
          <w:position w:val="5"/>
          <w:sz w:val="9"/>
        </w:rPr>
        <w:t>31</w:t>
      </w:r>
    </w:p>
    <w:p>
      <w:pPr>
        <w:pStyle w:val="BodyText"/>
        <w:spacing w:before="3"/>
        <w:rPr>
          <w:sz w:val="15"/>
        </w:rPr>
      </w:pPr>
    </w:p>
    <w:p>
      <w:pPr>
        <w:pStyle w:val="Heading2"/>
        <w:ind w:left="1663" w:right="474"/>
        <w:jc w:val="center"/>
        <w:rPr>
          <w:i/>
        </w:rPr>
      </w:pPr>
      <w:r>
        <w:rPr>
          <w:i/>
        </w:rPr>
        <w:t>Resumen:</w:t>
      </w:r>
    </w:p>
    <w:p>
      <w:pPr>
        <w:pStyle w:val="BodyText"/>
        <w:rPr>
          <w:b/>
          <w:i/>
          <w:sz w:val="21"/>
        </w:rPr>
      </w:pPr>
    </w:p>
    <w:p>
      <w:pPr>
        <w:pStyle w:val="BodyText"/>
        <w:spacing w:line="249" w:lineRule="auto"/>
        <w:ind w:left="7540" w:right="127" w:firstLine="170"/>
        <w:jc w:val="both"/>
      </w:pPr>
      <w:r>
        <w:rPr/>
        <w:t>El objetivo de este trabajo es investigar los cambios en el número y la concentración espacial de la población en la Zona Metropolitana de Cracovia (ZMC). También se han examinado</w:t>
      </w:r>
      <w:r>
        <w:rPr>
          <w:spacing w:val="-11"/>
        </w:rPr>
        <w:t> </w:t>
      </w:r>
      <w:r>
        <w:rPr/>
        <w:t>los</w:t>
      </w:r>
      <w:r>
        <w:rPr>
          <w:spacing w:val="-11"/>
        </w:rPr>
        <w:t> </w:t>
      </w:r>
      <w:r>
        <w:rPr/>
        <w:t>cambios</w:t>
      </w:r>
      <w:r>
        <w:rPr>
          <w:spacing w:val="-11"/>
        </w:rPr>
        <w:t> </w:t>
      </w:r>
      <w:r>
        <w:rPr/>
        <w:t>del</w:t>
      </w:r>
      <w:r>
        <w:rPr>
          <w:spacing w:val="-11"/>
        </w:rPr>
        <w:t> </w:t>
      </w:r>
      <w:r>
        <w:rPr/>
        <w:t>crecimiento</w:t>
      </w:r>
      <w:r>
        <w:rPr>
          <w:spacing w:val="-11"/>
        </w:rPr>
        <w:t> </w:t>
      </w:r>
      <w:r>
        <w:rPr/>
        <w:t>natural</w:t>
      </w:r>
      <w:r>
        <w:rPr>
          <w:spacing w:val="-11"/>
        </w:rPr>
        <w:t> </w:t>
      </w:r>
      <w:r>
        <w:rPr/>
        <w:t>y</w:t>
      </w:r>
      <w:r>
        <w:rPr>
          <w:spacing w:val="-11"/>
        </w:rPr>
        <w:t> </w:t>
      </w:r>
      <w:r>
        <w:rPr/>
        <w:t>saldo</w:t>
      </w:r>
      <w:r>
        <w:rPr>
          <w:spacing w:val="-11"/>
        </w:rPr>
        <w:t> </w:t>
      </w:r>
      <w:r>
        <w:rPr/>
        <w:t>migratorio</w:t>
      </w:r>
      <w:r>
        <w:rPr>
          <w:spacing w:val="-11"/>
        </w:rPr>
        <w:t> </w:t>
      </w:r>
      <w:r>
        <w:rPr/>
        <w:t>para</w:t>
      </w:r>
      <w:r>
        <w:rPr>
          <w:spacing w:val="-11"/>
        </w:rPr>
        <w:t> </w:t>
      </w:r>
      <w:r>
        <w:rPr/>
        <w:t>definir</w:t>
      </w:r>
      <w:r>
        <w:rPr>
          <w:spacing w:val="-11"/>
        </w:rPr>
        <w:t> </w:t>
      </w:r>
      <w:r>
        <w:rPr/>
        <w:t>intensidad y direcciones del proceso de suburbanización. Las investigaciones llevadas a cabo</w:t>
      </w:r>
      <w:r>
        <w:rPr>
          <w:spacing w:val="-36"/>
        </w:rPr>
        <w:t> </w:t>
      </w:r>
      <w:r>
        <w:rPr/>
        <w:t>han permitido establecer que en el periodo examinado el proceso de suburbanización se  ha desarrollado en dos fases. La primera abarcó los años 1990-2001 y se caracterizó por un desarrollo más lento de este proceso. La segunda fase que abarcó los años 2002-2013 se caracterizó por la aceleración del proceso de suburbanización, cuya manifestación especialmente visible fue un flujo migratorio relativamente alto hacia la zona suburbana, en su mayoría constituido por migrantes de Cracovia. El creciente proceso de suburbanización aumentó también la escala y el alcance espacial de los desplazamientos al trabajo, lo que intensificó los vínculos funcionales de Cracovia con las zonas</w:t>
      </w:r>
      <w:r>
        <w:rPr>
          <w:spacing w:val="13"/>
        </w:rPr>
        <w:t> </w:t>
      </w:r>
      <w:r>
        <w:rPr/>
        <w:t>circundantes.</w:t>
      </w:r>
    </w:p>
    <w:p>
      <w:pPr>
        <w:pStyle w:val="BodyText"/>
        <w:spacing w:before="11"/>
      </w:pPr>
    </w:p>
    <w:p>
      <w:pPr>
        <w:pStyle w:val="BodyText"/>
        <w:spacing w:line="249" w:lineRule="auto"/>
        <w:ind w:left="7540" w:right="128" w:firstLine="170"/>
        <w:jc w:val="both"/>
      </w:pPr>
      <w:r>
        <w:rPr>
          <w:b/>
          <w:i/>
        </w:rPr>
        <w:t>Palabras</w:t>
      </w:r>
      <w:r>
        <w:rPr>
          <w:b/>
          <w:i/>
          <w:spacing w:val="-10"/>
        </w:rPr>
        <w:t> </w:t>
      </w:r>
      <w:r>
        <w:rPr>
          <w:b/>
          <w:i/>
        </w:rPr>
        <w:t>claves:</w:t>
      </w:r>
      <w:r>
        <w:rPr>
          <w:b/>
          <w:i/>
          <w:spacing w:val="-10"/>
        </w:rPr>
        <w:t> </w:t>
      </w:r>
      <w:r>
        <w:rPr/>
        <w:t>Cracovia,</w:t>
      </w:r>
      <w:r>
        <w:rPr>
          <w:spacing w:val="-10"/>
        </w:rPr>
        <w:t> </w:t>
      </w:r>
      <w:r>
        <w:rPr/>
        <w:t>Zona</w:t>
      </w:r>
      <w:r>
        <w:rPr>
          <w:spacing w:val="-10"/>
        </w:rPr>
        <w:t> </w:t>
      </w:r>
      <w:r>
        <w:rPr/>
        <w:t>Metropolitana</w:t>
      </w:r>
      <w:r>
        <w:rPr>
          <w:spacing w:val="-10"/>
        </w:rPr>
        <w:t> </w:t>
      </w:r>
      <w:r>
        <w:rPr/>
        <w:t>de</w:t>
      </w:r>
      <w:r>
        <w:rPr>
          <w:spacing w:val="-10"/>
        </w:rPr>
        <w:t> </w:t>
      </w:r>
      <w:r>
        <w:rPr/>
        <w:t>Cracovia</w:t>
      </w:r>
      <w:r>
        <w:rPr>
          <w:spacing w:val="-10"/>
        </w:rPr>
        <w:t> </w:t>
      </w:r>
      <w:r>
        <w:rPr/>
        <w:t>(ZMC),</w:t>
      </w:r>
      <w:r>
        <w:rPr>
          <w:spacing w:val="-10"/>
        </w:rPr>
        <w:t> </w:t>
      </w:r>
      <w:r>
        <w:rPr/>
        <w:t>suburbanización, metropolización, migración,</w:t>
      </w:r>
      <w:r>
        <w:rPr>
          <w:spacing w:val="50"/>
        </w:rPr>
        <w:t> </w:t>
      </w:r>
      <w:r>
        <w:rPr/>
        <w:t>desplazamientos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3"/>
        </w:rPr>
      </w:pPr>
      <w:r>
        <w:rPr/>
        <w:pict>
          <v:line style="position:absolute;mso-position-horizontal-relative:page;mso-position-vertical-relative:paragraph;z-index:12592;mso-wrap-distance-left:0;mso-wrap-distance-right:0" from="513.070923pt,15.689666pt" to="898.582923pt,15.689666pt" stroked="true" strokeweight="1pt" strokecolor="#bcbec0">
            <w10:wrap type="topAndBottom"/>
          </v:line>
        </w:pict>
      </w:r>
    </w:p>
    <w:p>
      <w:pPr>
        <w:spacing w:line="357" w:lineRule="auto" w:before="75"/>
        <w:ind w:left="7541" w:right="2062" w:firstLine="0"/>
        <w:jc w:val="left"/>
        <w:rPr>
          <w:sz w:val="14"/>
        </w:rPr>
      </w:pPr>
      <w:r>
        <w:rPr>
          <w:color w:val="6D6E71"/>
          <w:position w:val="5"/>
          <w:sz w:val="8"/>
        </w:rPr>
        <w:t>30</w:t>
      </w:r>
      <w:r>
        <w:rPr>
          <w:color w:val="6D6E71"/>
          <w:sz w:val="14"/>
        </w:rPr>
        <w:t>Instituto de Geografía, Universidad Pedagógica de Cracovia</w:t>
      </w:r>
      <w:hyperlink r:id="rId339">
        <w:r>
          <w:rPr>
            <w:color w:val="6D6E71"/>
            <w:sz w:val="14"/>
          </w:rPr>
          <w:t>, mwojt@up.krakow.pl;</w:t>
        </w:r>
      </w:hyperlink>
      <w:r>
        <w:rPr>
          <w:color w:val="6D6E71"/>
          <w:sz w:val="14"/>
        </w:rPr>
        <w:t> </w:t>
      </w:r>
      <w:r>
        <w:rPr>
          <w:color w:val="6D6E71"/>
          <w:position w:val="5"/>
          <w:sz w:val="8"/>
        </w:rPr>
        <w:t>31</w:t>
      </w:r>
      <w:r>
        <w:rPr>
          <w:color w:val="6D6E71"/>
          <w:sz w:val="14"/>
        </w:rPr>
        <w:t>Instituto de Geografía y Ordenación del Territorio, Universidad Jagiellonica de Cracovia. </w:t>
      </w:r>
      <w:hyperlink r:id="rId339">
        <w:r>
          <w:rPr>
            <w:color w:val="6D6E71"/>
            <w:sz w:val="14"/>
          </w:rPr>
          <w:t>mwojt@up.krakow.pl</w:t>
        </w:r>
      </w:hyperlink>
    </w:p>
    <w:p>
      <w:pPr>
        <w:spacing w:after="0" w:line="357" w:lineRule="auto"/>
        <w:jc w:val="left"/>
        <w:rPr>
          <w:sz w:val="14"/>
        </w:rPr>
        <w:sectPr>
          <w:headerReference w:type="default" r:id="rId337"/>
          <w:footerReference w:type="default" r:id="rId338"/>
          <w:pgSz w:w="18830" w:h="12760" w:orient="landscape"/>
          <w:pgMar w:header="482" w:footer="0" w:top="680" w:bottom="0" w:left="2720" w:right="720"/>
        </w:sectPr>
      </w:pPr>
    </w:p>
    <w:p>
      <w:pPr>
        <w:pStyle w:val="BodyText"/>
        <w:spacing w:before="8"/>
      </w:pPr>
    </w:p>
    <w:p>
      <w:pPr>
        <w:spacing w:after="0"/>
        <w:sectPr>
          <w:headerReference w:type="default" r:id="rId340"/>
          <w:footerReference w:type="default" r:id="rId341"/>
          <w:pgSz w:w="18830" w:h="12760" w:orient="landscape"/>
          <w:pgMar w:header="522" w:footer="1036" w:top="820" w:bottom="1220" w:left="720" w:right="720"/>
        </w:sectPr>
      </w:pPr>
    </w:p>
    <w:p>
      <w:pPr>
        <w:pStyle w:val="Heading1"/>
        <w:spacing w:line="240" w:lineRule="exact" w:before="104"/>
        <w:ind w:left="757" w:right="3" w:firstLine="170"/>
      </w:pPr>
      <w:r>
        <w:rPr/>
        <w:t>Suburbanization process and migrations in the Krakow Metropolitan Area (KMA) at the turn of 20 and 21 century</w:t>
      </w:r>
    </w:p>
    <w:p>
      <w:pPr>
        <w:pStyle w:val="Heading2"/>
        <w:spacing w:before="207"/>
        <w:ind w:left="367" w:right="3"/>
        <w:rPr>
          <w:i/>
        </w:rPr>
      </w:pPr>
      <w:r>
        <w:rPr>
          <w:i/>
        </w:rPr>
        <w:t>Abstract:</w:t>
      </w:r>
    </w:p>
    <w:p>
      <w:pPr>
        <w:pStyle w:val="BodyText"/>
        <w:rPr>
          <w:b/>
          <w:i/>
          <w:sz w:val="21"/>
        </w:rPr>
      </w:pPr>
    </w:p>
    <w:p>
      <w:pPr>
        <w:pStyle w:val="BodyText"/>
        <w:spacing w:line="249" w:lineRule="auto"/>
        <w:ind w:left="131" w:firstLine="170"/>
        <w:jc w:val="both"/>
      </w:pPr>
      <w:r>
        <w:rPr/>
        <w:t>The aim of the study is to examine changes in the number and concentration of      the population within the Krakow Metropolitan Area (KMA). The changes in the natural increase and net migration were also examined in order to determine the strength and direction of suburbanization processes. The studies have shown that in the analyzed period</w:t>
      </w:r>
      <w:r>
        <w:rPr>
          <w:spacing w:val="-6"/>
        </w:rPr>
        <w:t> </w:t>
      </w:r>
      <w:r>
        <w:rPr/>
        <w:t>suburbanization</w:t>
      </w:r>
      <w:r>
        <w:rPr>
          <w:spacing w:val="-6"/>
        </w:rPr>
        <w:t> </w:t>
      </w:r>
      <w:r>
        <w:rPr/>
        <w:t>process</w:t>
      </w:r>
      <w:r>
        <w:rPr>
          <w:spacing w:val="-6"/>
        </w:rPr>
        <w:t> </w:t>
      </w:r>
      <w:r>
        <w:rPr/>
        <w:t>was</w:t>
      </w:r>
      <w:r>
        <w:rPr>
          <w:spacing w:val="-6"/>
        </w:rPr>
        <w:t> </w:t>
      </w:r>
      <w:r>
        <w:rPr/>
        <w:t>conducted</w:t>
      </w:r>
      <w:r>
        <w:rPr>
          <w:spacing w:val="-6"/>
        </w:rPr>
        <w:t> </w:t>
      </w:r>
      <w:r>
        <w:rPr/>
        <w:t>in</w:t>
      </w:r>
      <w:r>
        <w:rPr>
          <w:spacing w:val="-6"/>
        </w:rPr>
        <w:t> </w:t>
      </w:r>
      <w:r>
        <w:rPr/>
        <w:t>two</w:t>
      </w:r>
      <w:r>
        <w:rPr>
          <w:spacing w:val="-6"/>
        </w:rPr>
        <w:t> </w:t>
      </w:r>
      <w:r>
        <w:rPr/>
        <w:t>phases.</w:t>
      </w:r>
      <w:r>
        <w:rPr>
          <w:spacing w:val="-6"/>
        </w:rPr>
        <w:t> </w:t>
      </w:r>
      <w:r>
        <w:rPr/>
        <w:t>The</w:t>
      </w:r>
      <w:r>
        <w:rPr>
          <w:spacing w:val="-6"/>
        </w:rPr>
        <w:t> </w:t>
      </w:r>
      <w:r>
        <w:rPr/>
        <w:t>first</w:t>
      </w:r>
      <w:r>
        <w:rPr>
          <w:spacing w:val="-6"/>
        </w:rPr>
        <w:t> </w:t>
      </w:r>
      <w:r>
        <w:rPr/>
        <w:t>one</w:t>
      </w:r>
      <w:r>
        <w:rPr>
          <w:spacing w:val="-6"/>
        </w:rPr>
        <w:t> </w:t>
      </w:r>
      <w:r>
        <w:rPr/>
        <w:t>covered</w:t>
      </w:r>
      <w:r>
        <w:rPr>
          <w:spacing w:val="-6"/>
        </w:rPr>
        <w:t> </w:t>
      </w:r>
      <w:r>
        <w:rPr/>
        <w:t>the years</w:t>
      </w:r>
      <w:r>
        <w:rPr>
          <w:spacing w:val="-6"/>
        </w:rPr>
        <w:t> </w:t>
      </w:r>
      <w:r>
        <w:rPr/>
        <w:t>1990-2001</w:t>
      </w:r>
      <w:r>
        <w:rPr>
          <w:spacing w:val="-6"/>
        </w:rPr>
        <w:t> </w:t>
      </w:r>
      <w:r>
        <w:rPr/>
        <w:t>and</w:t>
      </w:r>
      <w:r>
        <w:rPr>
          <w:spacing w:val="-6"/>
        </w:rPr>
        <w:t> </w:t>
      </w:r>
      <w:r>
        <w:rPr/>
        <w:t>was</w:t>
      </w:r>
      <w:r>
        <w:rPr>
          <w:spacing w:val="-6"/>
        </w:rPr>
        <w:t> </w:t>
      </w:r>
      <w:r>
        <w:rPr/>
        <w:t>characterized</w:t>
      </w:r>
      <w:r>
        <w:rPr>
          <w:spacing w:val="-6"/>
        </w:rPr>
        <w:t> </w:t>
      </w:r>
      <w:r>
        <w:rPr/>
        <w:t>by</w:t>
      </w:r>
      <w:r>
        <w:rPr>
          <w:spacing w:val="-6"/>
        </w:rPr>
        <w:t> </w:t>
      </w:r>
      <w:r>
        <w:rPr/>
        <w:t>a</w:t>
      </w:r>
      <w:r>
        <w:rPr>
          <w:spacing w:val="-6"/>
        </w:rPr>
        <w:t> </w:t>
      </w:r>
      <w:r>
        <w:rPr/>
        <w:t>slower</w:t>
      </w:r>
      <w:r>
        <w:rPr>
          <w:spacing w:val="-6"/>
        </w:rPr>
        <w:t> </w:t>
      </w:r>
      <w:r>
        <w:rPr/>
        <w:t>course</w:t>
      </w:r>
      <w:r>
        <w:rPr>
          <w:spacing w:val="-6"/>
        </w:rPr>
        <w:t> </w:t>
      </w:r>
      <w:r>
        <w:rPr/>
        <w:t>of</w:t>
      </w:r>
      <w:r>
        <w:rPr>
          <w:spacing w:val="-6"/>
        </w:rPr>
        <w:t> </w:t>
      </w:r>
      <w:r>
        <w:rPr/>
        <w:t>this</w:t>
      </w:r>
      <w:r>
        <w:rPr>
          <w:spacing w:val="-6"/>
        </w:rPr>
        <w:t> </w:t>
      </w:r>
      <w:r>
        <w:rPr/>
        <w:t>process.</w:t>
      </w:r>
      <w:r>
        <w:rPr>
          <w:spacing w:val="-6"/>
        </w:rPr>
        <w:t> </w:t>
      </w:r>
      <w:r>
        <w:rPr/>
        <w:t>The</w:t>
      </w:r>
      <w:r>
        <w:rPr>
          <w:spacing w:val="-6"/>
        </w:rPr>
        <w:t> </w:t>
      </w:r>
      <w:r>
        <w:rPr/>
        <w:t>second phase, covering the years 2002-2013, was characterized by the acceleration of the process of suburbanization, which particularly was manifested by relatively high influx of migration to suburban areas, where more than half of migrants embraced previous inhabitants</w:t>
      </w:r>
      <w:r>
        <w:rPr>
          <w:spacing w:val="40"/>
        </w:rPr>
        <w:t> </w:t>
      </w:r>
      <w:r>
        <w:rPr/>
        <w:t>of</w:t>
      </w:r>
      <w:r>
        <w:rPr>
          <w:spacing w:val="40"/>
        </w:rPr>
        <w:t> </w:t>
      </w:r>
      <w:r>
        <w:rPr/>
        <w:t>Krakow.</w:t>
      </w:r>
      <w:r>
        <w:rPr>
          <w:spacing w:val="40"/>
        </w:rPr>
        <w:t> </w:t>
      </w:r>
      <w:r>
        <w:rPr/>
        <w:t>The</w:t>
      </w:r>
      <w:r>
        <w:rPr>
          <w:spacing w:val="40"/>
        </w:rPr>
        <w:t> </w:t>
      </w:r>
      <w:r>
        <w:rPr/>
        <w:t>ongoing</w:t>
      </w:r>
      <w:r>
        <w:rPr>
          <w:spacing w:val="40"/>
        </w:rPr>
        <w:t> </w:t>
      </w:r>
      <w:r>
        <w:rPr/>
        <w:t>process</w:t>
      </w:r>
      <w:r>
        <w:rPr>
          <w:spacing w:val="40"/>
        </w:rPr>
        <w:t> </w:t>
      </w:r>
      <w:r>
        <w:rPr/>
        <w:t>of</w:t>
      </w:r>
      <w:r>
        <w:rPr>
          <w:spacing w:val="40"/>
        </w:rPr>
        <w:t> </w:t>
      </w:r>
      <w:r>
        <w:rPr/>
        <w:t>suburbanization</w:t>
      </w:r>
      <w:r>
        <w:rPr>
          <w:spacing w:val="40"/>
        </w:rPr>
        <w:t> </w:t>
      </w:r>
      <w:r>
        <w:rPr/>
        <w:t>has</w:t>
      </w:r>
      <w:r>
        <w:rPr>
          <w:spacing w:val="40"/>
        </w:rPr>
        <w:t> </w:t>
      </w:r>
      <w:r>
        <w:rPr/>
        <w:t>also</w:t>
      </w:r>
      <w:r>
        <w:rPr>
          <w:spacing w:val="40"/>
        </w:rPr>
        <w:t> </w:t>
      </w:r>
      <w:r>
        <w:rPr/>
        <w:t>increased</w:t>
      </w:r>
      <w:r>
        <w:rPr>
          <w:w w:val="100"/>
        </w:rPr>
        <w:t> </w:t>
      </w:r>
      <w:r>
        <w:rPr/>
        <w:t>the scale and spatial extent of commuting, which enhanced functional connections of Krakow with surrounding</w:t>
      </w:r>
      <w:r>
        <w:rPr>
          <w:spacing w:val="28"/>
        </w:rPr>
        <w:t> </w:t>
      </w:r>
      <w:r>
        <w:rPr/>
        <w:t>areas.</w:t>
      </w:r>
    </w:p>
    <w:p>
      <w:pPr>
        <w:pStyle w:val="BodyText"/>
        <w:spacing w:before="11"/>
      </w:pPr>
    </w:p>
    <w:p>
      <w:pPr>
        <w:pStyle w:val="BodyText"/>
        <w:spacing w:line="249" w:lineRule="auto"/>
        <w:ind w:left="131" w:right="1" w:firstLine="170"/>
        <w:jc w:val="both"/>
      </w:pPr>
      <w:r>
        <w:rPr>
          <w:b/>
          <w:i/>
        </w:rPr>
        <w:t>Keywords: </w:t>
      </w:r>
      <w:r>
        <w:rPr/>
        <w:t>Krakow, Krakow Metropolitan Area (KMA), suburbanization, metropolization,  migration, commuting</w:t>
      </w:r>
    </w:p>
    <w:p>
      <w:pPr>
        <w:pStyle w:val="BodyText"/>
        <w:spacing w:before="8"/>
        <w:rPr>
          <w:sz w:val="17"/>
        </w:rPr>
      </w:pPr>
    </w:p>
    <w:p>
      <w:pPr>
        <w:pStyle w:val="Heading2"/>
        <w:ind w:left="301" w:right="3"/>
        <w:rPr>
          <w:i/>
        </w:rPr>
      </w:pPr>
      <w:r>
        <w:rPr>
          <w:i/>
        </w:rPr>
        <w:t>Introducción</w:t>
      </w:r>
    </w:p>
    <w:p>
      <w:pPr>
        <w:pStyle w:val="BodyText"/>
        <w:rPr>
          <w:b/>
          <w:i/>
          <w:sz w:val="21"/>
        </w:rPr>
      </w:pPr>
    </w:p>
    <w:p>
      <w:pPr>
        <w:pStyle w:val="BodyText"/>
        <w:spacing w:line="249" w:lineRule="auto"/>
        <w:ind w:left="131" w:firstLine="170"/>
        <w:jc w:val="both"/>
      </w:pPr>
      <w:r>
        <w:rPr/>
        <w:t>Entre</w:t>
      </w:r>
      <w:r>
        <w:rPr>
          <w:spacing w:val="-12"/>
        </w:rPr>
        <w:t> </w:t>
      </w:r>
      <w:r>
        <w:rPr/>
        <w:t>los</w:t>
      </w:r>
      <w:r>
        <w:rPr>
          <w:spacing w:val="-12"/>
        </w:rPr>
        <w:t> </w:t>
      </w:r>
      <w:r>
        <w:rPr/>
        <w:t>cambios</w:t>
      </w:r>
      <w:r>
        <w:rPr>
          <w:spacing w:val="-12"/>
        </w:rPr>
        <w:t> </w:t>
      </w:r>
      <w:r>
        <w:rPr/>
        <w:t>más</w:t>
      </w:r>
      <w:r>
        <w:rPr>
          <w:spacing w:val="-12"/>
        </w:rPr>
        <w:t> </w:t>
      </w:r>
      <w:r>
        <w:rPr/>
        <w:t>importantes</w:t>
      </w:r>
      <w:r>
        <w:rPr>
          <w:spacing w:val="-12"/>
        </w:rPr>
        <w:t> </w:t>
      </w:r>
      <w:r>
        <w:rPr/>
        <w:t>en</w:t>
      </w:r>
      <w:r>
        <w:rPr>
          <w:spacing w:val="-12"/>
        </w:rPr>
        <w:t> </w:t>
      </w:r>
      <w:r>
        <w:rPr/>
        <w:t>la</w:t>
      </w:r>
      <w:r>
        <w:rPr>
          <w:spacing w:val="-12"/>
        </w:rPr>
        <w:t> </w:t>
      </w:r>
      <w:r>
        <w:rPr/>
        <w:t>distribución</w:t>
      </w:r>
      <w:r>
        <w:rPr>
          <w:spacing w:val="-12"/>
        </w:rPr>
        <w:t> </w:t>
      </w:r>
      <w:r>
        <w:rPr/>
        <w:t>de</w:t>
      </w:r>
      <w:r>
        <w:rPr>
          <w:spacing w:val="-12"/>
        </w:rPr>
        <w:t> </w:t>
      </w:r>
      <w:r>
        <w:rPr/>
        <w:t>la</w:t>
      </w:r>
      <w:r>
        <w:rPr>
          <w:spacing w:val="-12"/>
        </w:rPr>
        <w:t> </w:t>
      </w:r>
      <w:r>
        <w:rPr/>
        <w:t>población</w:t>
      </w:r>
      <w:r>
        <w:rPr>
          <w:spacing w:val="-12"/>
        </w:rPr>
        <w:t> </w:t>
      </w:r>
      <w:r>
        <w:rPr/>
        <w:t>de</w:t>
      </w:r>
      <w:r>
        <w:rPr>
          <w:spacing w:val="-12"/>
        </w:rPr>
        <w:t> </w:t>
      </w:r>
      <w:r>
        <w:rPr/>
        <w:t>Polonia</w:t>
      </w:r>
      <w:r>
        <w:rPr>
          <w:spacing w:val="-12"/>
        </w:rPr>
        <w:t> </w:t>
      </w:r>
      <w:r>
        <w:rPr/>
        <w:t>desde el inicio de los años 90 del siglo XX hay que destacar una concentración creciente de población en zonas metropolitanas, movimientos dentro de las zonas metropolitanas, principalmente de ciudades centrales a zonas suburbanas, así como una despoblación de zonas periféricas. Se puede observar un desarrollo intensivo de las zonas que rodean las grandes e incluso medianas ciudades, lo que es el resultado de procesos de suburbanización, reflejados por el flujo de población a las zonas suburbanas, el desarrollo de construcción de viviendas, el traslado de industrias y de servicios, así como el creciente desarrollo de infraestructura. Las áreas que se encuentran en la zona de influencia de los mayores centros urbanos pierden rápidamente su carácter rural y agrario, las parcelas agrícolas se transforman en parcelas edificables, se desarrolla la construcción de viviendas, se crean nuevas empresas industriales y       de servicios. La población que vive en zonas suburbanas también cambia desde el punto de vista de sus rasgos demográficos (como la estructura de edad y sexo, los comportamientos reproductivos) o socioeconómicos (como el nivel de educación, la estructura de empleo y el nivel de ingresos). Con el desarrollo de la red de transporte  y sobre todo con la popularización de automóviles, aumenta también el impacto de     la ciudad en las zonas ubicadas más lejos, debido a los desplazamientos al trabajo y   a</w:t>
      </w:r>
      <w:r>
        <w:rPr>
          <w:spacing w:val="19"/>
        </w:rPr>
        <w:t> </w:t>
      </w:r>
      <w:r>
        <w:rPr/>
        <w:t>las</w:t>
      </w:r>
      <w:r>
        <w:rPr>
          <w:spacing w:val="19"/>
        </w:rPr>
        <w:t> </w:t>
      </w:r>
      <w:r>
        <w:rPr/>
        <w:t>escuelas,</w:t>
      </w:r>
      <w:r>
        <w:rPr>
          <w:spacing w:val="19"/>
        </w:rPr>
        <w:t> </w:t>
      </w:r>
      <w:r>
        <w:rPr/>
        <w:t>así</w:t>
      </w:r>
      <w:r>
        <w:rPr>
          <w:spacing w:val="19"/>
        </w:rPr>
        <w:t> </w:t>
      </w:r>
      <w:r>
        <w:rPr/>
        <w:t>como</w:t>
      </w:r>
      <w:r>
        <w:rPr>
          <w:spacing w:val="19"/>
        </w:rPr>
        <w:t> </w:t>
      </w:r>
      <w:r>
        <w:rPr/>
        <w:t>al</w:t>
      </w:r>
      <w:r>
        <w:rPr>
          <w:spacing w:val="19"/>
        </w:rPr>
        <w:t> </w:t>
      </w:r>
      <w:r>
        <w:rPr/>
        <w:t>uso</w:t>
      </w:r>
      <w:r>
        <w:rPr>
          <w:spacing w:val="19"/>
        </w:rPr>
        <w:t> </w:t>
      </w:r>
      <w:r>
        <w:rPr/>
        <w:t>cada</w:t>
      </w:r>
      <w:r>
        <w:rPr>
          <w:spacing w:val="19"/>
        </w:rPr>
        <w:t> </w:t>
      </w:r>
      <w:r>
        <w:rPr/>
        <w:t>vez</w:t>
      </w:r>
      <w:r>
        <w:rPr>
          <w:spacing w:val="19"/>
        </w:rPr>
        <w:t> </w:t>
      </w:r>
      <w:r>
        <w:rPr/>
        <w:t>más</w:t>
      </w:r>
      <w:r>
        <w:rPr>
          <w:spacing w:val="19"/>
        </w:rPr>
        <w:t> </w:t>
      </w:r>
      <w:r>
        <w:rPr/>
        <w:t>frecuente</w:t>
      </w:r>
      <w:r>
        <w:rPr>
          <w:spacing w:val="19"/>
        </w:rPr>
        <w:t> </w:t>
      </w:r>
      <w:r>
        <w:rPr/>
        <w:t>de</w:t>
      </w:r>
      <w:r>
        <w:rPr>
          <w:spacing w:val="19"/>
        </w:rPr>
        <w:t> </w:t>
      </w:r>
      <w:r>
        <w:rPr/>
        <w:t>los</w:t>
      </w:r>
      <w:r>
        <w:rPr>
          <w:spacing w:val="19"/>
        </w:rPr>
        <w:t> </w:t>
      </w:r>
      <w:r>
        <w:rPr/>
        <w:t>servicios</w:t>
      </w:r>
      <w:r>
        <w:rPr>
          <w:spacing w:val="19"/>
        </w:rPr>
        <w:t> </w:t>
      </w:r>
      <w:r>
        <w:rPr/>
        <w:t>disponibles</w:t>
      </w:r>
    </w:p>
    <w:p>
      <w:pPr>
        <w:pStyle w:val="BodyText"/>
        <w:spacing w:line="249" w:lineRule="auto" w:before="109"/>
        <w:ind w:left="131" w:right="127"/>
        <w:jc w:val="both"/>
      </w:pPr>
      <w:r>
        <w:rPr/>
        <w:br w:type="column"/>
      </w:r>
      <w:r>
        <w:rPr/>
        <w:t>en la ciudad como las compras en hipermercados o el uso de polideportivos (Garcia- López, 2012). El desarrollo de automóviles ha contribuido al progreso de procesos     de suburbanización en las zonas más alejadas de las rutas principales de transporte, aunque se puede observar una mayor intensidad de este fenómeno a lo largo de las carreteras de circunvalación a causa de una mejor accesibilidad (Gutiérrez y Gómez, 1999). La desconcentración de población y la descentralización de empleo no siempre llevan a una disminución de frecuencia de los desplazamientos al trabajo, ya que a los lugares de empleo localizados en la zona suburbana viajan normalmente habitantes  de otros municipios, mientras que los habitantes de un municipio donde se ha creado una nueva empresa a menudo viajan a otras localidades. Este fenómeno se llama el “desperdicio de desplazamientos” (García-Palomares,</w:t>
      </w:r>
      <w:r>
        <w:rPr>
          <w:spacing w:val="34"/>
        </w:rPr>
        <w:t> </w:t>
      </w:r>
      <w:r>
        <w:rPr/>
        <w:t>2010).</w:t>
      </w:r>
    </w:p>
    <w:p>
      <w:pPr>
        <w:pStyle w:val="BodyText"/>
        <w:spacing w:before="11"/>
      </w:pPr>
    </w:p>
    <w:p>
      <w:pPr>
        <w:pStyle w:val="BodyText"/>
        <w:spacing w:line="249" w:lineRule="auto"/>
        <w:ind w:left="131" w:right="127" w:firstLine="170"/>
        <w:jc w:val="both"/>
      </w:pPr>
      <w:r>
        <w:rPr/>
        <w:t>Con el desarrollo de la suburbanización aumenta el número de personas que viajan al trabajo, así como las distancias y las direcciones de los desplazamientos y el uso  de coches (Keserű, 2013). El traslado de la actividad industrial y de servicios fuera     de la ciudad central favorece la formación de nuevas direcciones de desplazamientos al trabajo (Kurek, Rachwał, Wójtowicz, 2014). Mientras tanto, las migraciones a las zonas suburbanas resultan en la necesidad de tener más coches en casa, lo que es</w:t>
      </w:r>
      <w:r>
        <w:rPr>
          <w:spacing w:val="-24"/>
        </w:rPr>
        <w:t> </w:t>
      </w:r>
      <w:r>
        <w:rPr/>
        <w:t>un resultado del empeoramiento del nivel del transporte público en Polonia después del año</w:t>
      </w:r>
      <w:r>
        <w:rPr>
          <w:spacing w:val="-8"/>
        </w:rPr>
        <w:t> </w:t>
      </w:r>
      <w:r>
        <w:rPr/>
        <w:t>1989,</w:t>
      </w:r>
      <w:r>
        <w:rPr>
          <w:spacing w:val="-8"/>
        </w:rPr>
        <w:t> </w:t>
      </w:r>
      <w:r>
        <w:rPr/>
        <w:t>así</w:t>
      </w:r>
      <w:r>
        <w:rPr>
          <w:spacing w:val="-8"/>
        </w:rPr>
        <w:t> </w:t>
      </w:r>
      <w:r>
        <w:rPr/>
        <w:t>como</w:t>
      </w:r>
      <w:r>
        <w:rPr>
          <w:spacing w:val="-8"/>
        </w:rPr>
        <w:t> </w:t>
      </w:r>
      <w:r>
        <w:rPr/>
        <w:t>de</w:t>
      </w:r>
      <w:r>
        <w:rPr>
          <w:spacing w:val="-8"/>
        </w:rPr>
        <w:t> </w:t>
      </w:r>
      <w:r>
        <w:rPr/>
        <w:t>la</w:t>
      </w:r>
      <w:r>
        <w:rPr>
          <w:spacing w:val="-8"/>
        </w:rPr>
        <w:t> </w:t>
      </w:r>
      <w:r>
        <w:rPr/>
        <w:t>falta</w:t>
      </w:r>
      <w:r>
        <w:rPr>
          <w:spacing w:val="-8"/>
        </w:rPr>
        <w:t> </w:t>
      </w:r>
      <w:r>
        <w:rPr/>
        <w:t>de</w:t>
      </w:r>
      <w:r>
        <w:rPr>
          <w:spacing w:val="-8"/>
        </w:rPr>
        <w:t> </w:t>
      </w:r>
      <w:r>
        <w:rPr/>
        <w:t>cooperación</w:t>
      </w:r>
      <w:r>
        <w:rPr>
          <w:spacing w:val="-8"/>
        </w:rPr>
        <w:t> </w:t>
      </w:r>
      <w:r>
        <w:rPr/>
        <w:t>entre</w:t>
      </w:r>
      <w:r>
        <w:rPr>
          <w:spacing w:val="-8"/>
        </w:rPr>
        <w:t> </w:t>
      </w:r>
      <w:r>
        <w:rPr/>
        <w:t>las</w:t>
      </w:r>
      <w:r>
        <w:rPr>
          <w:spacing w:val="-8"/>
        </w:rPr>
        <w:t> </w:t>
      </w:r>
      <w:r>
        <w:rPr/>
        <w:t>autoridades</w:t>
      </w:r>
      <w:r>
        <w:rPr>
          <w:spacing w:val="-8"/>
        </w:rPr>
        <w:t> </w:t>
      </w:r>
      <w:r>
        <w:rPr/>
        <w:t>de</w:t>
      </w:r>
      <w:r>
        <w:rPr>
          <w:spacing w:val="-8"/>
        </w:rPr>
        <w:t> </w:t>
      </w:r>
      <w:r>
        <w:rPr/>
        <w:t>la</w:t>
      </w:r>
      <w:r>
        <w:rPr>
          <w:spacing w:val="-8"/>
        </w:rPr>
        <w:t> </w:t>
      </w:r>
      <w:r>
        <w:rPr/>
        <w:t>ciudad</w:t>
      </w:r>
      <w:r>
        <w:rPr>
          <w:spacing w:val="-8"/>
        </w:rPr>
        <w:t> </w:t>
      </w:r>
      <w:r>
        <w:rPr/>
        <w:t>central con los municipios limítrofes para crear una red integrada de transporte metropolitano (Więcław-Michniewska, 2010). Empresas privadas de transporte intentan llenar este hueco,</w:t>
      </w:r>
      <w:r>
        <w:rPr>
          <w:spacing w:val="-7"/>
        </w:rPr>
        <w:t> </w:t>
      </w:r>
      <w:r>
        <w:rPr/>
        <w:t>pero</w:t>
      </w:r>
      <w:r>
        <w:rPr>
          <w:spacing w:val="-7"/>
        </w:rPr>
        <w:t> </w:t>
      </w:r>
      <w:r>
        <w:rPr/>
        <w:t>la</w:t>
      </w:r>
      <w:r>
        <w:rPr>
          <w:spacing w:val="-7"/>
        </w:rPr>
        <w:t> </w:t>
      </w:r>
      <w:r>
        <w:rPr/>
        <w:t>red</w:t>
      </w:r>
      <w:r>
        <w:rPr>
          <w:spacing w:val="-7"/>
        </w:rPr>
        <w:t> </w:t>
      </w:r>
      <w:r>
        <w:rPr/>
        <w:t>de</w:t>
      </w:r>
      <w:r>
        <w:rPr>
          <w:spacing w:val="-7"/>
        </w:rPr>
        <w:t> </w:t>
      </w:r>
      <w:r>
        <w:rPr/>
        <w:t>transporte</w:t>
      </w:r>
      <w:r>
        <w:rPr>
          <w:spacing w:val="-7"/>
        </w:rPr>
        <w:t> </w:t>
      </w:r>
      <w:r>
        <w:rPr/>
        <w:t>creada</w:t>
      </w:r>
      <w:r>
        <w:rPr>
          <w:spacing w:val="-7"/>
        </w:rPr>
        <w:t> </w:t>
      </w:r>
      <w:r>
        <w:rPr/>
        <w:t>por</w:t>
      </w:r>
      <w:r>
        <w:rPr>
          <w:spacing w:val="-7"/>
        </w:rPr>
        <w:t> </w:t>
      </w:r>
      <w:r>
        <w:rPr/>
        <w:t>ellas</w:t>
      </w:r>
      <w:r>
        <w:rPr>
          <w:spacing w:val="-7"/>
        </w:rPr>
        <w:t> </w:t>
      </w:r>
      <w:r>
        <w:rPr/>
        <w:t>es</w:t>
      </w:r>
      <w:r>
        <w:rPr>
          <w:spacing w:val="-7"/>
        </w:rPr>
        <w:t> </w:t>
      </w:r>
      <w:r>
        <w:rPr/>
        <w:t>relativamente</w:t>
      </w:r>
      <w:r>
        <w:rPr>
          <w:spacing w:val="-7"/>
        </w:rPr>
        <w:t> </w:t>
      </w:r>
      <w:r>
        <w:rPr/>
        <w:t>limitada</w:t>
      </w:r>
      <w:r>
        <w:rPr>
          <w:spacing w:val="-7"/>
        </w:rPr>
        <w:t> </w:t>
      </w:r>
      <w:r>
        <w:rPr/>
        <w:t>y</w:t>
      </w:r>
      <w:r>
        <w:rPr>
          <w:spacing w:val="-7"/>
        </w:rPr>
        <w:t> </w:t>
      </w:r>
      <w:r>
        <w:rPr/>
        <w:t>no</w:t>
      </w:r>
      <w:r>
        <w:rPr>
          <w:spacing w:val="-7"/>
        </w:rPr>
        <w:t> </w:t>
      </w:r>
      <w:r>
        <w:rPr/>
        <w:t>asegura un número suficiente de conexiones, sobre todo los fines de semana y los días</w:t>
      </w:r>
      <w:r>
        <w:rPr>
          <w:spacing w:val="-23"/>
        </w:rPr>
        <w:t> </w:t>
      </w:r>
      <w:r>
        <w:rPr/>
        <w:t>festivos (Micek, 2010). Por eso para los habitantes de las ciudades y los suburbios de hoy el coche se ha vuelto el único medio de transporte capaz de cumplir con los retos del ritmo rápido de la vida contemporánea (Komornicki,</w:t>
      </w:r>
      <w:r>
        <w:rPr>
          <w:spacing w:val="43"/>
        </w:rPr>
        <w:t> </w:t>
      </w:r>
      <w:r>
        <w:rPr/>
        <w:t>2011).</w:t>
      </w:r>
    </w:p>
    <w:p>
      <w:pPr>
        <w:pStyle w:val="BodyText"/>
        <w:spacing w:before="11"/>
      </w:pPr>
    </w:p>
    <w:p>
      <w:pPr>
        <w:pStyle w:val="BodyText"/>
        <w:spacing w:line="249" w:lineRule="auto"/>
        <w:ind w:left="131" w:right="127" w:firstLine="170"/>
        <w:jc w:val="both"/>
      </w:pPr>
      <w:r>
        <w:rPr/>
        <w:t>La población que migra a las zonas suburbanas traslada allí también el estilo de vida de la ciudad y el modelo de familia moderno, normalmente sin perder las relaciones con la ciudad central, debido a los desplazamientos al trabajo y el uso de diversos servicios.</w:t>
      </w:r>
      <w:r>
        <w:rPr>
          <w:spacing w:val="-6"/>
        </w:rPr>
        <w:t> </w:t>
      </w:r>
      <w:r>
        <w:rPr/>
        <w:t>Esto</w:t>
      </w:r>
      <w:r>
        <w:rPr>
          <w:spacing w:val="-6"/>
        </w:rPr>
        <w:t> </w:t>
      </w:r>
      <w:r>
        <w:rPr/>
        <w:t>lleva</w:t>
      </w:r>
      <w:r>
        <w:rPr>
          <w:spacing w:val="-4"/>
        </w:rPr>
        <w:t> </w:t>
      </w:r>
      <w:r>
        <w:rPr/>
        <w:t>a</w:t>
      </w:r>
      <w:r>
        <w:rPr>
          <w:spacing w:val="-6"/>
        </w:rPr>
        <w:t> </w:t>
      </w:r>
      <w:r>
        <w:rPr/>
        <w:t>un</w:t>
      </w:r>
      <w:r>
        <w:rPr>
          <w:spacing w:val="-4"/>
        </w:rPr>
        <w:t> </w:t>
      </w:r>
      <w:r>
        <w:rPr/>
        <w:t>aumento</w:t>
      </w:r>
      <w:r>
        <w:rPr>
          <w:spacing w:val="-6"/>
        </w:rPr>
        <w:t> </w:t>
      </w:r>
      <w:r>
        <w:rPr/>
        <w:t>de</w:t>
      </w:r>
      <w:r>
        <w:rPr>
          <w:spacing w:val="-4"/>
        </w:rPr>
        <w:t> </w:t>
      </w:r>
      <w:r>
        <w:rPr/>
        <w:t>movilidad</w:t>
      </w:r>
      <w:r>
        <w:rPr>
          <w:spacing w:val="-6"/>
        </w:rPr>
        <w:t> </w:t>
      </w:r>
      <w:r>
        <w:rPr/>
        <w:t>de</w:t>
      </w:r>
      <w:r>
        <w:rPr>
          <w:spacing w:val="-6"/>
        </w:rPr>
        <w:t> </w:t>
      </w:r>
      <w:r>
        <w:rPr/>
        <w:t>las</w:t>
      </w:r>
      <w:r>
        <w:rPr>
          <w:spacing w:val="-4"/>
        </w:rPr>
        <w:t> </w:t>
      </w:r>
      <w:r>
        <w:rPr/>
        <w:t>personas</w:t>
      </w:r>
      <w:r>
        <w:rPr>
          <w:spacing w:val="-4"/>
        </w:rPr>
        <w:t> </w:t>
      </w:r>
      <w:r>
        <w:rPr/>
        <w:t>que</w:t>
      </w:r>
      <w:r>
        <w:rPr>
          <w:spacing w:val="-4"/>
        </w:rPr>
        <w:t> </w:t>
      </w:r>
      <w:r>
        <w:rPr/>
        <w:t>viven</w:t>
      </w:r>
      <w:r>
        <w:rPr>
          <w:spacing w:val="-6"/>
        </w:rPr>
        <w:t> </w:t>
      </w:r>
      <w:r>
        <w:rPr/>
        <w:t>en</w:t>
      </w:r>
      <w:r>
        <w:rPr>
          <w:spacing w:val="-4"/>
        </w:rPr>
        <w:t> </w:t>
      </w:r>
      <w:r>
        <w:rPr/>
        <w:t>las</w:t>
      </w:r>
      <w:r>
        <w:rPr>
          <w:spacing w:val="-6"/>
        </w:rPr>
        <w:t> </w:t>
      </w:r>
      <w:r>
        <w:rPr/>
        <w:t>zonas metropolitanas, así como al aumento del tiempo de los desplazamientos de cada      día que se vuelven más dispersos y complejos, a pesar de la descentralización de la industria y de los servicios (Gutiérrez y García-Palomares, 2007; Kajdanek, 2011). Los estudios sobre la actividad espacio-temporal de los habitantes de la zona suburbana de Praga han demostrado fuertes relaciones de la población que trabaja y estudia    con la ciudad central durante los días laborales, mientras que los fines de semana un aumento de movilidad dentro de los suburbios (Novak, Sykora</w:t>
      </w:r>
      <w:r>
        <w:rPr>
          <w:spacing w:val="42"/>
        </w:rPr>
        <w:t> </w:t>
      </w:r>
      <w:r>
        <w:rPr/>
        <w:t>2007).</w:t>
      </w:r>
    </w:p>
    <w:p>
      <w:pPr>
        <w:spacing w:after="0" w:line="249" w:lineRule="auto"/>
        <w:jc w:val="both"/>
        <w:sectPr>
          <w:type w:val="continuous"/>
          <w:pgSz w:w="18830" w:h="12760" w:orient="landscape"/>
          <w:pgMar w:top="1420" w:bottom="280" w:left="720" w:right="720"/>
          <w:cols w:num="2" w:equalWidth="0">
            <w:col w:w="7843" w:space="1568"/>
            <w:col w:w="7979"/>
          </w:cols>
        </w:sectPr>
      </w:pPr>
    </w:p>
    <w:p>
      <w:pPr>
        <w:pStyle w:val="BodyText"/>
        <w:spacing w:before="8"/>
      </w:pPr>
    </w:p>
    <w:p>
      <w:pPr>
        <w:spacing w:after="0"/>
        <w:sectPr>
          <w:footerReference w:type="default" r:id="rId342"/>
          <w:pgSz w:w="18830" w:h="12760" w:orient="landscape"/>
          <w:pgMar w:footer="1036" w:header="522" w:top="820" w:bottom="1220" w:left="720" w:right="720"/>
        </w:sectPr>
      </w:pPr>
    </w:p>
    <w:p>
      <w:pPr>
        <w:pStyle w:val="Heading1"/>
        <w:spacing w:before="71"/>
        <w:ind w:left="296" w:right="-7"/>
      </w:pPr>
      <w:r>
        <w:rPr/>
        <w:t>Objetivo, alcance y ámbito de investigación</w:t>
      </w:r>
    </w:p>
    <w:p>
      <w:pPr>
        <w:pStyle w:val="BodyText"/>
        <w:rPr>
          <w:b/>
          <w:sz w:val="21"/>
        </w:rPr>
      </w:pPr>
    </w:p>
    <w:p>
      <w:pPr>
        <w:pStyle w:val="BodyText"/>
        <w:spacing w:line="249" w:lineRule="auto"/>
        <w:ind w:left="126" w:firstLine="170"/>
        <w:jc w:val="both"/>
      </w:pPr>
      <w:r>
        <w:rPr/>
        <w:pict>
          <v:group style="position:absolute;margin-left:590.670898pt;margin-top:279.46109pt;width:1pt;height:1pt;mso-position-horizontal-relative:page;mso-position-vertical-relative:paragraph;z-index:12760" coordorigin="11813,5589" coordsize="20,20">
            <v:line style="position:absolute" from="11823,5599" to="11823,5599" stroked="true" strokeweight="1pt" strokecolor="#929292"/>
            <v:line style="position:absolute" from="11823,5599" to="11823,5599" stroked="true" strokeweight="1pt" strokecolor="#929292"/>
            <v:line style="position:absolute" from="11823,5599" to="11823,5599" stroked="true" strokeweight="1pt" strokecolor="#929292"/>
            <v:line style="position:absolute" from="11823,5599" to="11823,5599" stroked="true" strokeweight="1pt" strokecolor="#929292"/>
            <w10:wrap type="none"/>
          </v:group>
        </w:pict>
      </w:r>
      <w:r>
        <w:rPr/>
        <w:pict>
          <v:group style="position:absolute;margin-left:640.270874pt;margin-top:258.964203pt;width:1pt;height:1pt;mso-position-horizontal-relative:page;mso-position-vertical-relative:paragraph;z-index:-640000" coordorigin="12805,5179" coordsize="20,20">
            <v:line style="position:absolute" from="12815,5189" to="12815,5189" stroked="true" strokeweight="1pt" strokecolor="#929292"/>
            <v:line style="position:absolute" from="12815,5189" to="12815,5189" stroked="true" strokeweight="1pt" strokecolor="#929292"/>
            <v:line style="position:absolute" from="12815,5189" to="12815,5189" stroked="true" strokeweight="1pt" strokecolor="#929292"/>
            <w10:wrap type="none"/>
          </v:group>
        </w:pict>
      </w:r>
      <w:r>
        <w:rPr/>
        <w:pict>
          <v:group style="position:absolute;margin-left:640.270874pt;margin-top:279.46109pt;width:1pt;height:1pt;mso-position-horizontal-relative:page;mso-position-vertical-relative:paragraph;z-index:12808" coordorigin="12805,5589" coordsize="20,20">
            <v:line style="position:absolute" from="12815,5599" to="12815,5599" stroked="true" strokeweight="1pt" strokecolor="#929292"/>
            <v:line style="position:absolute" from="12815,5599" to="12815,5599" stroked="true" strokeweight="1pt" strokecolor="#929292"/>
            <v:line style="position:absolute" from="12815,5599" to="12815,5599" stroked="true" strokeweight="1pt" strokecolor="#929292"/>
            <v:line style="position:absolute" from="12815,5599" to="12815,5599" stroked="true" strokeweight="1pt" strokecolor="#929292"/>
            <w10:wrap type="none"/>
          </v:group>
        </w:pict>
      </w:r>
      <w:r>
        <w:rPr/>
        <w:pict>
          <v:group style="position:absolute;margin-left:687.818909pt;margin-top:279.46109pt;width:1pt;height:1pt;mso-position-horizontal-relative:page;mso-position-vertical-relative:paragraph;z-index:12832" coordorigin="13756,5589" coordsize="20,20">
            <v:line style="position:absolute" from="13766,5599" to="13766,5599" stroked="true" strokeweight="1pt" strokecolor="#929292"/>
            <v:line style="position:absolute" from="13766,5599" to="13766,5599" stroked="true" strokeweight="1pt" strokecolor="#929292"/>
            <v:line style="position:absolute" from="13766,5599" to="13766,5599" stroked="true" strokeweight="1pt" strokecolor="#929292"/>
            <v:line style="position:absolute" from="13766,5599" to="13766,5599" stroked="true" strokeweight="1pt" strokecolor="#929292"/>
            <w10:wrap type="none"/>
          </v:group>
        </w:pict>
      </w:r>
      <w:r>
        <w:rPr/>
        <w:pict>
          <v:group style="position:absolute;margin-left:793.918884pt;margin-top:258.964203pt;width:1pt;height:1pt;mso-position-horizontal-relative:page;mso-position-vertical-relative:paragraph;z-index:12880" coordorigin="15878,5179" coordsize="20,20">
            <v:line style="position:absolute" from="15888,5189" to="15888,5189" stroked="true" strokeweight="1pt" strokecolor="#929292"/>
            <v:line style="position:absolute" from="15888,5189" to="15888,5189" stroked="true" strokeweight="1pt" strokecolor="#929292"/>
            <v:line style="position:absolute" from="15888,5189" to="15888,5189" stroked="true" strokeweight="1pt" strokecolor="#929292"/>
            <w10:wrap type="none"/>
          </v:group>
        </w:pict>
      </w:r>
      <w:r>
        <w:rPr/>
        <w:pict>
          <v:line style="position:absolute;mso-position-horizontal-relative:page;mso-position-vertical-relative:paragraph;z-index:12952" from="513.570923pt,279.961212pt" to="513.570923pt,279.961212pt" stroked="true" strokeweight="1pt" strokecolor="#929292">
            <w10:wrap type="none"/>
          </v:line>
        </w:pict>
      </w:r>
      <w:r>
        <w:rPr/>
        <w:pict>
          <v:group style="position:absolute;margin-left:590.670898pt;margin-top:292.372986pt;width:1pt;height:1pt;mso-position-horizontal-relative:page;mso-position-vertical-relative:paragraph;z-index:12976" coordorigin="11813,5847" coordsize="20,20">
            <v:line style="position:absolute" from="11823,5857" to="11823,5857" stroked="true" strokeweight="1pt" strokecolor="#929292"/>
            <v:line style="position:absolute" from="11823,5857" to="11823,5857" stroked="true" strokeweight="1pt" strokecolor="#929292"/>
            <v:line style="position:absolute" from="11823,5857" to="11823,5857" stroked="true" strokeweight="1pt" strokecolor="#929292"/>
            <v:line style="position:absolute" from="11823,5857" to="11823,5857" stroked="true" strokeweight="1pt" strokecolor="#929292"/>
            <w10:wrap type="none"/>
          </v:group>
        </w:pict>
      </w:r>
      <w:r>
        <w:rPr/>
        <w:pict>
          <v:group style="position:absolute;margin-left:640.270874pt;margin-top:292.372986pt;width:1pt;height:1pt;mso-position-horizontal-relative:page;mso-position-vertical-relative:paragraph;z-index:13000" coordorigin="12805,5847" coordsize="20,20">
            <v:line style="position:absolute" from="12815,5857" to="12815,5857" stroked="true" strokeweight="1pt" strokecolor="#929292"/>
            <v:line style="position:absolute" from="12815,5857" to="12815,5857" stroked="true" strokeweight="1pt" strokecolor="#929292"/>
            <v:line style="position:absolute" from="12815,5857" to="12815,5857" stroked="true" strokeweight="1pt" strokecolor="#929292"/>
            <v:line style="position:absolute" from="12815,5857" to="12815,5857" stroked="true" strokeweight="1pt" strokecolor="#929292"/>
            <w10:wrap type="none"/>
          </v:group>
        </w:pict>
      </w:r>
      <w:r>
        <w:rPr/>
        <w:pict>
          <v:group style="position:absolute;margin-left:687.818909pt;margin-top:292.372986pt;width:1pt;height:1pt;mso-position-horizontal-relative:page;mso-position-vertical-relative:paragraph;z-index:13024" coordorigin="13756,5847" coordsize="20,20">
            <v:line style="position:absolute" from="13766,5857" to="13766,5857" stroked="true" strokeweight="1pt" strokecolor="#929292"/>
            <v:line style="position:absolute" from="13766,5857" to="13766,5857" stroked="true" strokeweight="1pt" strokecolor="#929292"/>
            <v:line style="position:absolute" from="13766,5857" to="13766,5857" stroked="true" strokeweight="1pt" strokecolor="#929292"/>
            <v:line style="position:absolute" from="13766,5857" to="13766,5857" stroked="true" strokeweight="1pt" strokecolor="#929292"/>
            <w10:wrap type="none"/>
          </v:group>
        </w:pict>
      </w:r>
      <w:r>
        <w:rPr/>
        <w:pict>
          <v:line style="position:absolute;mso-position-horizontal-relative:page;mso-position-vertical-relative:paragraph;z-index:13144" from="513.570923pt,292.873108pt" to="513.570923pt,292.873108pt" stroked="true" strokeweight="1pt" strokecolor="#929292">
            <w10:wrap type="none"/>
          </v:line>
        </w:pict>
      </w:r>
      <w:r>
        <w:rPr/>
        <w:t>El objetivo de este trabajo es definir los cambios en el número y la concentración espacial de la población dentro de la Zona Metropolitana de Cracovia. También se han investigado los cambios del movimiento natural y migratorio, con el objetivo de definir la intensidad y las direcciones de los procesos de suburbanización. Estos cambios   han sido estudiados en referencia al concepto del ciclo de vida de la ciudad (Berg et  al. 1982). También se han examinado los flujos migratorios de la población dentro de   y hacia la ZMC, basándose en las estadísticas oficiales de cambios de domicilio del registro de la población. Hay que subrayar que un gran problema con las estadísticas migratorias oficiales es que la población inmigrante no se empadrona ni cumple las leyes migratorias. Por eso los datos sobre el número de habitantes empadronados presentan un error de subestimación del número de nuevos inmigrantes y aunque no se pueden utilizar para el análisis del nivel y de la intensidad absolutos de la</w:t>
      </w:r>
      <w:r>
        <w:rPr>
          <w:spacing w:val="-32"/>
        </w:rPr>
        <w:t> </w:t>
      </w:r>
      <w:r>
        <w:rPr/>
        <w:t>migración, basándonos</w:t>
      </w:r>
      <w:r>
        <w:rPr>
          <w:spacing w:val="-17"/>
        </w:rPr>
        <w:t> </w:t>
      </w:r>
      <w:r>
        <w:rPr/>
        <w:t>en</w:t>
      </w:r>
      <w:r>
        <w:rPr>
          <w:spacing w:val="-17"/>
        </w:rPr>
        <w:t> </w:t>
      </w:r>
      <w:r>
        <w:rPr/>
        <w:t>ellos</w:t>
      </w:r>
      <w:r>
        <w:rPr>
          <w:spacing w:val="-17"/>
        </w:rPr>
        <w:t> </w:t>
      </w:r>
      <w:r>
        <w:rPr/>
        <w:t>podemos</w:t>
      </w:r>
      <w:r>
        <w:rPr>
          <w:spacing w:val="-17"/>
        </w:rPr>
        <w:t> </w:t>
      </w:r>
      <w:r>
        <w:rPr/>
        <w:t>analizar</w:t>
      </w:r>
      <w:r>
        <w:rPr>
          <w:spacing w:val="-17"/>
        </w:rPr>
        <w:t> </w:t>
      </w:r>
      <w:r>
        <w:rPr/>
        <w:t>las</w:t>
      </w:r>
      <w:r>
        <w:rPr>
          <w:spacing w:val="-17"/>
        </w:rPr>
        <w:t> </w:t>
      </w:r>
      <w:r>
        <w:rPr/>
        <w:t>relaciones</w:t>
      </w:r>
      <w:r>
        <w:rPr>
          <w:spacing w:val="-17"/>
        </w:rPr>
        <w:t> </w:t>
      </w:r>
      <w:r>
        <w:rPr/>
        <w:t>espaciales</w:t>
      </w:r>
      <w:r>
        <w:rPr>
          <w:spacing w:val="-17"/>
        </w:rPr>
        <w:t> </w:t>
      </w:r>
      <w:r>
        <w:rPr/>
        <w:t>y</w:t>
      </w:r>
      <w:r>
        <w:rPr>
          <w:spacing w:val="-17"/>
        </w:rPr>
        <w:t> </w:t>
      </w:r>
      <w:r>
        <w:rPr/>
        <w:t>definir</w:t>
      </w:r>
      <w:r>
        <w:rPr>
          <w:spacing w:val="-17"/>
        </w:rPr>
        <w:t> </w:t>
      </w:r>
      <w:r>
        <w:rPr/>
        <w:t>la</w:t>
      </w:r>
      <w:r>
        <w:rPr>
          <w:spacing w:val="-17"/>
        </w:rPr>
        <w:t> </w:t>
      </w:r>
      <w:r>
        <w:rPr/>
        <w:t>participación de la migración desde el centro hacia el exterior de la zona metropolitana. A veces ocurre que las formalidades de empadronamiento se cumplen varios años después de la mudanza, lo que dificulta aún más el análisis de las direcciones y de la intensidad</w:t>
      </w:r>
      <w:r>
        <w:rPr>
          <w:spacing w:val="-20"/>
        </w:rPr>
        <w:t> </w:t>
      </w:r>
      <w:r>
        <w:rPr/>
        <w:t>de migraciones.</w:t>
      </w:r>
      <w:r>
        <w:rPr>
          <w:spacing w:val="-11"/>
        </w:rPr>
        <w:t> </w:t>
      </w:r>
      <w:r>
        <w:rPr/>
        <w:t>Según</w:t>
      </w:r>
      <w:r>
        <w:rPr>
          <w:spacing w:val="-11"/>
        </w:rPr>
        <w:t> </w:t>
      </w:r>
      <w:r>
        <w:rPr/>
        <w:t>las</w:t>
      </w:r>
      <w:r>
        <w:rPr>
          <w:spacing w:val="-11"/>
        </w:rPr>
        <w:t> </w:t>
      </w:r>
      <w:r>
        <w:rPr/>
        <w:t>estimaciones</w:t>
      </w:r>
      <w:r>
        <w:rPr>
          <w:spacing w:val="-11"/>
        </w:rPr>
        <w:t> </w:t>
      </w:r>
      <w:r>
        <w:rPr/>
        <w:t>de</w:t>
      </w:r>
      <w:r>
        <w:rPr>
          <w:spacing w:val="-11"/>
        </w:rPr>
        <w:t> </w:t>
      </w:r>
      <w:r>
        <w:rPr/>
        <w:t>Śleszyński</w:t>
      </w:r>
      <w:r>
        <w:rPr>
          <w:spacing w:val="-11"/>
        </w:rPr>
        <w:t> </w:t>
      </w:r>
      <w:r>
        <w:rPr/>
        <w:t>(2011),</w:t>
      </w:r>
      <w:r>
        <w:rPr>
          <w:spacing w:val="-11"/>
        </w:rPr>
        <w:t> </w:t>
      </w:r>
      <w:r>
        <w:rPr/>
        <w:t>en</w:t>
      </w:r>
      <w:r>
        <w:rPr>
          <w:spacing w:val="-11"/>
        </w:rPr>
        <w:t> </w:t>
      </w:r>
      <w:r>
        <w:rPr/>
        <w:t>las</w:t>
      </w:r>
      <w:r>
        <w:rPr>
          <w:spacing w:val="-11"/>
        </w:rPr>
        <w:t> </w:t>
      </w:r>
      <w:r>
        <w:rPr/>
        <w:t>zonas</w:t>
      </w:r>
      <w:r>
        <w:rPr>
          <w:spacing w:val="-11"/>
        </w:rPr>
        <w:t> </w:t>
      </w:r>
      <w:r>
        <w:rPr/>
        <w:t>suburbanas</w:t>
      </w:r>
      <w:r>
        <w:rPr>
          <w:spacing w:val="-11"/>
        </w:rPr>
        <w:t> </w:t>
      </w:r>
      <w:r>
        <w:rPr/>
        <w:t>de las ciudades más grandes la subestimación del verdadero número de habitantes llega a</w:t>
      </w:r>
      <w:r>
        <w:rPr>
          <w:spacing w:val="18"/>
        </w:rPr>
        <w:t> </w:t>
      </w:r>
      <w:r>
        <w:rPr/>
        <w:t>veces</w:t>
      </w:r>
      <w:r>
        <w:rPr>
          <w:spacing w:val="18"/>
        </w:rPr>
        <w:t> </w:t>
      </w:r>
      <w:r>
        <w:rPr/>
        <w:t>hasta</w:t>
      </w:r>
      <w:r>
        <w:rPr>
          <w:spacing w:val="18"/>
        </w:rPr>
        <w:t> </w:t>
      </w:r>
      <w:r>
        <w:rPr/>
        <w:t>el</w:t>
      </w:r>
      <w:r>
        <w:rPr>
          <w:spacing w:val="18"/>
        </w:rPr>
        <w:t> </w:t>
      </w:r>
      <w:r>
        <w:rPr/>
        <w:t>20-30%,</w:t>
      </w:r>
      <w:r>
        <w:rPr>
          <w:spacing w:val="18"/>
        </w:rPr>
        <w:t> </w:t>
      </w:r>
      <w:r>
        <w:rPr/>
        <w:t>sobre</w:t>
      </w:r>
      <w:r>
        <w:rPr>
          <w:spacing w:val="18"/>
        </w:rPr>
        <w:t> </w:t>
      </w:r>
      <w:r>
        <w:rPr/>
        <w:t>todo</w:t>
      </w:r>
      <w:r>
        <w:rPr>
          <w:spacing w:val="18"/>
        </w:rPr>
        <w:t> </w:t>
      </w:r>
      <w:r>
        <w:rPr/>
        <w:t>en</w:t>
      </w:r>
      <w:r>
        <w:rPr>
          <w:spacing w:val="18"/>
        </w:rPr>
        <w:t> </w:t>
      </w:r>
      <w:r>
        <w:rPr/>
        <w:t>el</w:t>
      </w:r>
      <w:r>
        <w:rPr>
          <w:spacing w:val="18"/>
        </w:rPr>
        <w:t> </w:t>
      </w:r>
      <w:r>
        <w:rPr/>
        <w:t>caso</w:t>
      </w:r>
      <w:r>
        <w:rPr>
          <w:spacing w:val="18"/>
        </w:rPr>
        <w:t> </w:t>
      </w:r>
      <w:r>
        <w:rPr/>
        <w:t>de</w:t>
      </w:r>
      <w:r>
        <w:rPr>
          <w:spacing w:val="18"/>
        </w:rPr>
        <w:t> </w:t>
      </w:r>
      <w:r>
        <w:rPr/>
        <w:t>personas</w:t>
      </w:r>
      <w:r>
        <w:rPr>
          <w:spacing w:val="18"/>
        </w:rPr>
        <w:t> </w:t>
      </w:r>
      <w:r>
        <w:rPr/>
        <w:t>de</w:t>
      </w:r>
      <w:r>
        <w:rPr>
          <w:spacing w:val="18"/>
        </w:rPr>
        <w:t> </w:t>
      </w:r>
      <w:r>
        <w:rPr/>
        <w:t>25-34</w:t>
      </w:r>
      <w:r>
        <w:rPr>
          <w:spacing w:val="18"/>
        </w:rPr>
        <w:t> </w:t>
      </w:r>
      <w:r>
        <w:rPr/>
        <w:t>años,</w:t>
      </w:r>
      <w:r>
        <w:rPr>
          <w:spacing w:val="18"/>
        </w:rPr>
        <w:t> </w:t>
      </w:r>
      <w:r>
        <w:rPr/>
        <w:t>que</w:t>
      </w:r>
      <w:r>
        <w:rPr>
          <w:spacing w:val="18"/>
        </w:rPr>
        <w:t> </w:t>
      </w:r>
      <w:r>
        <w:rPr/>
        <w:t>se</w:t>
      </w:r>
      <w:r>
        <w:rPr>
          <w:w w:val="98"/>
        </w:rPr>
        <w:t> </w:t>
      </w:r>
      <w:r>
        <w:rPr/>
        <w:t>caracterizan por una mayor</w:t>
      </w:r>
      <w:r>
        <w:rPr>
          <w:spacing w:val="32"/>
        </w:rPr>
        <w:t> </w:t>
      </w:r>
      <w:r>
        <w:rPr/>
        <w:t>movilidad.</w:t>
      </w:r>
    </w:p>
    <w:p>
      <w:pPr>
        <w:pStyle w:val="BodyText"/>
        <w:spacing w:before="8"/>
        <w:rPr>
          <w:sz w:val="12"/>
        </w:rPr>
      </w:pPr>
      <w:r>
        <w:rPr/>
        <w:br w:type="column"/>
      </w:r>
      <w:r>
        <w:rPr>
          <w:sz w:val="12"/>
        </w:rPr>
      </w:r>
    </w:p>
    <w:p>
      <w:pPr>
        <w:spacing w:before="0"/>
        <w:ind w:left="116" w:right="130" w:firstLine="0"/>
        <w:jc w:val="center"/>
        <w:rPr>
          <w:sz w:val="16"/>
        </w:rPr>
      </w:pPr>
      <w:r>
        <w:rPr>
          <w:color w:val="6D6E71"/>
          <w:sz w:val="16"/>
        </w:rPr>
        <w:t>Figura 1. La extensión espacial de la Zona Metropolitana de Cracovia (ZMC)</w:t>
      </w:r>
    </w:p>
    <w:p>
      <w:pPr>
        <w:pStyle w:val="BodyText"/>
        <w:spacing w:before="4"/>
        <w:rPr>
          <w:sz w:val="3"/>
        </w:rPr>
      </w:pPr>
    </w:p>
    <w:p>
      <w:pPr>
        <w:pStyle w:val="BodyText"/>
        <w:ind w:left="1943"/>
      </w:pPr>
      <w:r>
        <w:rPr/>
        <w:drawing>
          <wp:inline distT="0" distB="0" distL="0" distR="0">
            <wp:extent cx="2574396" cy="2564892"/>
            <wp:effectExtent l="0" t="0" r="0" b="0"/>
            <wp:docPr id="127" name="image92.jpeg" descr=""/>
            <wp:cNvGraphicFramePr>
              <a:graphicFrameLocks noChangeAspect="1"/>
            </wp:cNvGraphicFramePr>
            <a:graphic>
              <a:graphicData uri="http://schemas.openxmlformats.org/drawingml/2006/picture">
                <pic:pic>
                  <pic:nvPicPr>
                    <pic:cNvPr id="128" name="image92.jpeg"/>
                    <pic:cNvPicPr/>
                  </pic:nvPicPr>
                  <pic:blipFill>
                    <a:blip r:embed="rId343" cstate="print"/>
                    <a:stretch>
                      <a:fillRect/>
                    </a:stretch>
                  </pic:blipFill>
                  <pic:spPr>
                    <a:xfrm>
                      <a:off x="0" y="0"/>
                      <a:ext cx="2574396" cy="2564892"/>
                    </a:xfrm>
                    <a:prstGeom prst="rect">
                      <a:avLst/>
                    </a:prstGeom>
                  </pic:spPr>
                </pic:pic>
              </a:graphicData>
            </a:graphic>
          </wp:inline>
        </w:drawing>
      </w:r>
      <w:r>
        <w:rPr/>
      </w:r>
    </w:p>
    <w:p>
      <w:pPr>
        <w:pStyle w:val="BodyText"/>
        <w:spacing w:before="10"/>
        <w:rPr>
          <w:sz w:val="18"/>
        </w:rPr>
      </w:pPr>
    </w:p>
    <w:p>
      <w:pPr>
        <w:spacing w:before="0"/>
        <w:ind w:left="116" w:right="130" w:firstLine="0"/>
        <w:jc w:val="center"/>
        <w:rPr>
          <w:sz w:val="16"/>
        </w:rPr>
      </w:pPr>
      <w:r>
        <w:rPr>
          <w:color w:val="6D6E71"/>
          <w:sz w:val="16"/>
        </w:rPr>
        <w:t>Fuente: elaboración propia a partir del Plan de Ordenación del Territorio del Provincia de Malopolska,  2003.</w:t>
      </w:r>
    </w:p>
    <w:p>
      <w:pPr>
        <w:pStyle w:val="BodyText"/>
        <w:rPr>
          <w:sz w:val="16"/>
        </w:rPr>
      </w:pPr>
    </w:p>
    <w:p>
      <w:pPr>
        <w:pStyle w:val="BodyText"/>
        <w:spacing w:before="8"/>
        <w:rPr>
          <w:sz w:val="16"/>
        </w:rPr>
      </w:pPr>
    </w:p>
    <w:p>
      <w:pPr>
        <w:spacing w:before="0"/>
        <w:ind w:left="116" w:right="130" w:firstLine="0"/>
        <w:jc w:val="center"/>
        <w:rPr>
          <w:sz w:val="16"/>
        </w:rPr>
      </w:pPr>
      <w:r>
        <w:rPr/>
        <w:pict>
          <v:group style="position:absolute;margin-left:590.670898pt;margin-top:14.342407pt;width:1pt;height:15.75pt;mso-position-horizontal-relative:page;mso-position-vertical-relative:paragraph;z-index:12664" coordorigin="11813,287" coordsize="20,315">
            <v:line style="position:absolute" from="11823,533" to="11823,326" stroked="true" strokeweight="1pt" strokecolor="#929292">
              <v:stroke dashstyle="dash"/>
            </v:line>
            <v:shape style="position:absolute;left:0;top:6197;width:2;height:295" coordorigin="0,6197" coordsize="0,295" path="m11823,592l11823,592m11823,297l11823,297e" filled="false" stroked="true" strokeweight="1pt" strokecolor="#929292">
              <v:path arrowok="t"/>
            </v:shape>
            <v:line style="position:absolute" from="11823,592" to="11823,592" stroked="true" strokeweight="1pt" strokecolor="#929292"/>
            <v:line style="position:absolute" from="11823,592" to="11823,592" stroked="true" strokeweight="1pt" strokecolor="#929292"/>
            <w10:wrap type="none"/>
          </v:group>
        </w:pict>
      </w:r>
      <w:r>
        <w:rPr/>
        <w:pict>
          <v:group style="position:absolute;margin-left:687.818909pt;margin-top:14.342407pt;width:1pt;height:15.75pt;mso-position-horizontal-relative:page;mso-position-vertical-relative:paragraph;z-index:-640096" coordorigin="13756,287" coordsize="20,315">
            <v:line style="position:absolute" from="13766,533" to="13766,326" stroked="true" strokeweight="1pt" strokecolor="#929292">
              <v:stroke dashstyle="dash"/>
            </v:line>
            <v:shape style="position:absolute;left:0;top:6197;width:2;height:295" coordorigin="0,6197" coordsize="0,295" path="m13766,592l13766,592m13766,297l13766,297e" filled="false" stroked="true" strokeweight="1pt" strokecolor="#929292">
              <v:path arrowok="t"/>
            </v:shape>
            <v:line style="position:absolute" from="13766,592" to="13766,592" stroked="true" strokeweight="1pt" strokecolor="#929292"/>
            <v:line style="position:absolute" from="13766,592" to="13766,592" stroked="true" strokeweight="1pt" strokecolor="#929292"/>
            <w10:wrap type="none"/>
          </v:group>
        </w:pict>
      </w:r>
      <w:r>
        <w:rPr/>
        <w:pict>
          <v:group style="position:absolute;margin-left:744.418884pt;margin-top:14.342407pt;width:1pt;height:15.75pt;mso-position-horizontal-relative:page;mso-position-vertical-relative:paragraph;z-index:12712" coordorigin="14888,287" coordsize="20,315">
            <v:line style="position:absolute" from="14898,533" to="14898,326" stroked="true" strokeweight="1pt" strokecolor="#929292">
              <v:stroke dashstyle="dash"/>
            </v:line>
            <v:shape style="position:absolute;left:0;top:6197;width:2;height:295" coordorigin="0,6197" coordsize="0,295" path="m14898,592l14898,592m14898,297l14898,297e" filled="false" stroked="true" strokeweight="1pt" strokecolor="#929292">
              <v:path arrowok="t"/>
            </v:shape>
            <v:line style="position:absolute" from="14898,592" to="14898,592" stroked="true" strokeweight="1pt" strokecolor="#929292"/>
            <v:line style="position:absolute" from="14898,592" to="14898,592" stroked="true" strokeweight="1pt" strokecolor="#929292"/>
            <w10:wrap type="none"/>
          </v:group>
        </w:pict>
      </w:r>
      <w:r>
        <w:rPr/>
        <w:pict>
          <v:group style="position:absolute;margin-left:835.999878pt;margin-top:14.342407pt;width:1pt;height:15.75pt;mso-position-horizontal-relative:page;mso-position-vertical-relative:paragraph;z-index:-640048" coordorigin="16720,287" coordsize="20,315">
            <v:line style="position:absolute" from="16730,533" to="16730,326" stroked="true" strokeweight="1pt" strokecolor="#929292">
              <v:stroke dashstyle="dash"/>
            </v:line>
            <v:shape style="position:absolute;left:0;top:6197;width:2;height:295" coordorigin="0,6197" coordsize="0,295" path="m16730,592l16730,592m16730,297l16730,297e" filled="false" stroked="true" strokeweight="1pt" strokecolor="#929292">
              <v:path arrowok="t"/>
            </v:shape>
            <v:line style="position:absolute" from="16730,592" to="16730,592" stroked="true" strokeweight="1pt" strokecolor="#929292"/>
            <v:line style="position:absolute" from="16730,592" to="16730,592" stroked="true" strokeweight="1pt" strokecolor="#929292"/>
            <w10:wrap type="none"/>
          </v:group>
        </w:pict>
      </w:r>
      <w:r>
        <w:rPr/>
        <w:pict>
          <v:group style="position:absolute;margin-left:744.418884pt;margin-top:49.588909pt;width:1pt;height:1pt;mso-position-horizontal-relative:page;mso-position-vertical-relative:paragraph;z-index:12856" coordorigin="14888,992" coordsize="20,20">
            <v:line style="position:absolute" from="14898,1002" to="14898,1002" stroked="true" strokeweight="1pt" strokecolor="#929292"/>
            <v:line style="position:absolute" from="14898,1002" to="14898,1002" stroked="true" strokeweight="1pt" strokecolor="#929292"/>
            <v:line style="position:absolute" from="14898,1002" to="14898,1002" stroked="true" strokeweight="1pt" strokecolor="#929292"/>
            <v:line style="position:absolute" from="14898,1002" to="14898,1002" stroked="true" strokeweight="1pt" strokecolor="#929292"/>
            <w10:wrap type="none"/>
          </v:group>
        </w:pict>
      </w:r>
      <w:r>
        <w:rPr/>
        <w:pict>
          <v:group style="position:absolute;margin-left:744.418884pt;margin-top:62.500809pt;width:1pt;height:1pt;mso-position-horizontal-relative:page;mso-position-vertical-relative:paragraph;z-index:13048" coordorigin="14888,1250" coordsize="20,20">
            <v:line style="position:absolute" from="14898,1260" to="14898,1260" stroked="true" strokeweight="1pt" strokecolor="#929292"/>
            <v:line style="position:absolute" from="14898,1260" to="14898,1260" stroked="true" strokeweight="1pt" strokecolor="#929292"/>
            <v:line style="position:absolute" from="14898,1260" to="14898,1260" stroked="true" strokeweight="1pt" strokecolor="#929292"/>
            <v:line style="position:absolute" from="14898,1260" to="14898,1260" stroked="true" strokeweight="1pt" strokecolor="#929292"/>
            <w10:wrap type="none"/>
          </v:group>
        </w:pict>
      </w:r>
      <w:r>
        <w:rPr>
          <w:color w:val="6D6E71"/>
          <w:sz w:val="16"/>
        </w:rPr>
        <w:t>Tabla 1. División administrativa y población de la Zona Metropolitana de  Cracovia</w:t>
      </w:r>
    </w:p>
    <w:p>
      <w:pPr>
        <w:spacing w:after="0"/>
        <w:jc w:val="center"/>
        <w:rPr>
          <w:sz w:val="16"/>
        </w:rPr>
        <w:sectPr>
          <w:type w:val="continuous"/>
          <w:pgSz w:w="18830" w:h="12760" w:orient="landscape"/>
          <w:pgMar w:top="1420" w:bottom="280" w:left="720" w:right="720"/>
          <w:cols w:num="2" w:equalWidth="0">
            <w:col w:w="7842" w:space="1585"/>
            <w:col w:w="7963"/>
          </w:cols>
        </w:sectPr>
      </w:pPr>
    </w:p>
    <w:p>
      <w:pPr>
        <w:pStyle w:val="BodyText"/>
        <w:spacing w:before="11"/>
      </w:pPr>
    </w:p>
    <w:p>
      <w:pPr>
        <w:pStyle w:val="BodyText"/>
        <w:spacing w:line="249" w:lineRule="auto"/>
        <w:ind w:left="126" w:firstLine="170"/>
        <w:jc w:val="both"/>
      </w:pPr>
      <w:r>
        <w:rPr/>
        <w:t>El alcance espacial del estudio abarca la Zona Metropolitana de Cracovia dividida   en tres zonas (la ciudad central, la zona suburbana, la zona de los desplazamientos), además</w:t>
      </w:r>
      <w:r>
        <w:rPr>
          <w:spacing w:val="-8"/>
        </w:rPr>
        <w:t> </w:t>
      </w:r>
      <w:r>
        <w:rPr/>
        <w:t>dividida</w:t>
      </w:r>
      <w:r>
        <w:rPr>
          <w:spacing w:val="-8"/>
        </w:rPr>
        <w:t> </w:t>
      </w:r>
      <w:r>
        <w:rPr/>
        <w:t>en</w:t>
      </w:r>
      <w:r>
        <w:rPr>
          <w:spacing w:val="-8"/>
        </w:rPr>
        <w:t> </w:t>
      </w:r>
      <w:r>
        <w:rPr/>
        <w:t>municipios</w:t>
      </w:r>
      <w:r>
        <w:rPr>
          <w:spacing w:val="-8"/>
        </w:rPr>
        <w:t> </w:t>
      </w:r>
      <w:r>
        <w:rPr/>
        <w:t>y</w:t>
      </w:r>
      <w:r>
        <w:rPr>
          <w:spacing w:val="-8"/>
        </w:rPr>
        <w:t> </w:t>
      </w:r>
      <w:r>
        <w:rPr/>
        <w:t>localidades.</w:t>
      </w:r>
      <w:r>
        <w:rPr>
          <w:spacing w:val="-8"/>
        </w:rPr>
        <w:t> </w:t>
      </w:r>
      <w:r>
        <w:rPr/>
        <w:t>La</w:t>
      </w:r>
      <w:r>
        <w:rPr>
          <w:spacing w:val="-8"/>
        </w:rPr>
        <w:t> </w:t>
      </w:r>
      <w:r>
        <w:rPr/>
        <w:t>Zona</w:t>
      </w:r>
      <w:r>
        <w:rPr>
          <w:spacing w:val="-8"/>
        </w:rPr>
        <w:t> </w:t>
      </w:r>
      <w:r>
        <w:rPr/>
        <w:t>Metropolitana</w:t>
      </w:r>
      <w:r>
        <w:rPr>
          <w:spacing w:val="-8"/>
        </w:rPr>
        <w:t> </w:t>
      </w:r>
      <w:r>
        <w:rPr/>
        <w:t>de</w:t>
      </w:r>
      <w:r>
        <w:rPr>
          <w:spacing w:val="-8"/>
        </w:rPr>
        <w:t> </w:t>
      </w:r>
      <w:r>
        <w:rPr/>
        <w:t>Cracovia</w:t>
      </w:r>
      <w:r>
        <w:rPr>
          <w:spacing w:val="-8"/>
        </w:rPr>
        <w:t> </w:t>
      </w:r>
      <w:r>
        <w:rPr/>
        <w:t>(ZMC) es una región funcional compuesta de la ciudad con estatus de distrito, Cracovia, junto con un grupo de 50 municipios circundantes que forman parte de 8 distritos (entre</w:t>
      </w:r>
      <w:r>
        <w:rPr>
          <w:spacing w:val="-23"/>
        </w:rPr>
        <w:t> </w:t>
      </w:r>
      <w:r>
        <w:rPr/>
        <w:t>ellos 1 municipio urbano, 14 municipios urbano-rurales y 35 municipios rurales). Dividiendo el área en zonas rurales y urbanas, la ZMC cuenta con 65 unidades espaciales a las que pertenece Cracovia y 15 ciudades más pequeñas, así como 49 municipios </w:t>
      </w:r>
      <w:r>
        <w:rPr>
          <w:spacing w:val="5"/>
        </w:rPr>
        <w:t> </w:t>
      </w:r>
      <w:r>
        <w:rPr/>
        <w:t>rurales</w:t>
      </w:r>
    </w:p>
    <w:p>
      <w:pPr>
        <w:tabs>
          <w:tab w:pos="2069" w:val="left" w:leader="none"/>
        </w:tabs>
        <w:spacing w:before="150"/>
        <w:ind w:left="126" w:right="0" w:firstLine="0"/>
        <w:jc w:val="left"/>
        <w:rPr>
          <w:sz w:val="16"/>
        </w:rPr>
      </w:pPr>
      <w:r>
        <w:rPr/>
        <w:br w:type="column"/>
      </w:r>
      <w:r>
        <w:rPr>
          <w:w w:val="105"/>
          <w:position w:val="10"/>
          <w:sz w:val="16"/>
        </w:rPr>
        <w:t>Área</w:t>
        <w:tab/>
      </w:r>
      <w:r>
        <w:rPr>
          <w:w w:val="105"/>
          <w:sz w:val="16"/>
        </w:rPr>
        <w:t>Número</w:t>
      </w:r>
      <w:r>
        <w:rPr>
          <w:spacing w:val="-14"/>
          <w:w w:val="105"/>
          <w:sz w:val="16"/>
        </w:rPr>
        <w:t> </w:t>
      </w:r>
      <w:r>
        <w:rPr>
          <w:w w:val="105"/>
          <w:sz w:val="16"/>
        </w:rPr>
        <w:t>de</w:t>
      </w:r>
    </w:p>
    <w:p>
      <w:pPr>
        <w:tabs>
          <w:tab w:pos="1958" w:val="left" w:leader="none"/>
        </w:tabs>
        <w:spacing w:before="125"/>
        <w:ind w:left="126" w:right="0" w:firstLine="0"/>
        <w:jc w:val="left"/>
        <w:rPr>
          <w:sz w:val="16"/>
        </w:rPr>
      </w:pPr>
      <w:r>
        <w:rPr/>
        <w:br w:type="column"/>
      </w:r>
      <w:r>
        <w:rPr>
          <w:w w:val="105"/>
          <w:sz w:val="16"/>
        </w:rPr>
        <w:t>Población</w:t>
      </w:r>
      <w:r>
        <w:rPr>
          <w:spacing w:val="-8"/>
          <w:w w:val="105"/>
          <w:sz w:val="16"/>
        </w:rPr>
        <w:t> </w:t>
      </w:r>
      <w:r>
        <w:rPr>
          <w:w w:val="105"/>
          <w:sz w:val="16"/>
        </w:rPr>
        <w:t>en</w:t>
      </w:r>
      <w:r>
        <w:rPr>
          <w:spacing w:val="-8"/>
          <w:w w:val="105"/>
          <w:sz w:val="16"/>
        </w:rPr>
        <w:t> </w:t>
      </w:r>
      <w:r>
        <w:rPr>
          <w:w w:val="105"/>
          <w:sz w:val="16"/>
        </w:rPr>
        <w:t>2013</w:t>
        <w:tab/>
      </w:r>
      <w:r>
        <w:rPr>
          <w:w w:val="105"/>
          <w:position w:val="2"/>
          <w:sz w:val="16"/>
        </w:rPr>
        <w:t>Densidad</w:t>
      </w:r>
    </w:p>
    <w:p>
      <w:pPr>
        <w:spacing w:after="0"/>
        <w:jc w:val="left"/>
        <w:rPr>
          <w:sz w:val="16"/>
        </w:rPr>
        <w:sectPr>
          <w:type w:val="continuous"/>
          <w:pgSz w:w="18830" w:h="12760" w:orient="landscape"/>
          <w:pgMar w:top="1420" w:bottom="280" w:left="720" w:right="720"/>
          <w:cols w:num="3" w:equalWidth="0">
            <w:col w:w="7842" w:space="3278"/>
            <w:col w:w="2888" w:space="187"/>
            <w:col w:w="3195"/>
          </w:cols>
        </w:sectPr>
      </w:pPr>
    </w:p>
    <w:p>
      <w:pPr>
        <w:pStyle w:val="BodyText"/>
        <w:spacing w:before="1"/>
        <w:ind w:left="126" w:right="-16"/>
      </w:pPr>
      <w:r>
        <w:rPr/>
        <w:pict>
          <v:group style="position:absolute;margin-left:793.918884pt;margin-top:-68.488914pt;width:1pt;height:1pt;mso-position-horizontal-relative:page;mso-position-vertical-relative:paragraph;z-index:12904" coordorigin="15878,-1370" coordsize="20,20">
            <v:line style="position:absolute" from="15888,-1360" to="15888,-1360" stroked="true" strokeweight="1pt" strokecolor="#929292"/>
            <v:line style="position:absolute" from="15888,-1360" to="15888,-1360" stroked="true" strokeweight="1pt" strokecolor="#929292"/>
            <v:line style="position:absolute" from="15888,-1360" to="15888,-1360" stroked="true" strokeweight="1pt" strokecolor="#929292"/>
            <v:line style="position:absolute" from="15888,-1360" to="15888,-1360" stroked="true" strokeweight="1pt" strokecolor="#929292"/>
            <w10:wrap type="none"/>
          </v:group>
        </w:pict>
      </w:r>
      <w:r>
        <w:rPr/>
        <w:pict>
          <v:group style="position:absolute;margin-left:835.999878pt;margin-top:-68.488914pt;width:1pt;height:1pt;mso-position-horizontal-relative:page;mso-position-vertical-relative:paragraph;z-index:12928" coordorigin="16720,-1370" coordsize="20,20">
            <v:line style="position:absolute" from="16730,-1360" to="16730,-1360" stroked="true" strokeweight="1pt" strokecolor="#929292"/>
            <v:line style="position:absolute" from="16730,-1360" to="16730,-1360" stroked="true" strokeweight="1pt" strokecolor="#929292"/>
            <v:line style="position:absolute" from="16730,-1360" to="16730,-1360" stroked="true" strokeweight="1pt" strokecolor="#929292"/>
            <v:line style="position:absolute" from="16730,-1360" to="16730,-1360" stroked="true" strokeweight="1pt" strokecolor="#929292"/>
            <w10:wrap type="none"/>
          </v:group>
        </w:pict>
      </w:r>
      <w:r>
        <w:rPr/>
        <w:pict>
          <v:group style="position:absolute;margin-left:793.918884pt;margin-top:-55.577015pt;width:1pt;height:1pt;mso-position-horizontal-relative:page;mso-position-vertical-relative:paragraph;z-index:13072" coordorigin="15878,-1112" coordsize="20,20">
            <v:line style="position:absolute" from="15888,-1102" to="15888,-1102" stroked="true" strokeweight="1pt" strokecolor="#929292"/>
            <v:line style="position:absolute" from="15888,-1102" to="15888,-1102" stroked="true" strokeweight="1pt" strokecolor="#929292"/>
            <v:line style="position:absolute" from="15888,-1102" to="15888,-1102" stroked="true" strokeweight="1pt" strokecolor="#929292"/>
            <v:line style="position:absolute" from="15888,-1102" to="15888,-1102" stroked="true" strokeweight="1pt" strokecolor="#929292"/>
            <w10:wrap type="none"/>
          </v:group>
        </w:pict>
      </w:r>
      <w:r>
        <w:rPr/>
        <w:pict>
          <v:group style="position:absolute;margin-left:835.999878pt;margin-top:-55.577015pt;width:1pt;height:1pt;mso-position-horizontal-relative:page;mso-position-vertical-relative:paragraph;z-index:13096" coordorigin="16720,-1112" coordsize="20,20">
            <v:line style="position:absolute" from="16730,-1102" to="16730,-1102" stroked="true" strokeweight="1pt" strokecolor="#929292"/>
            <v:line style="position:absolute" from="16730,-1102" to="16730,-1102" stroked="true" strokeweight="1pt" strokecolor="#929292"/>
            <v:line style="position:absolute" from="16730,-1102" to="16730,-1102" stroked="true" strokeweight="1pt" strokecolor="#929292"/>
            <v:line style="position:absolute" from="16730,-1102" to="16730,-1102" stroked="true" strokeweight="1pt" strokecolor="#929292"/>
            <w10:wrap type="none"/>
          </v:group>
        </w:pict>
      </w:r>
      <w:r>
        <w:rPr/>
        <w:pict>
          <v:line style="position:absolute;mso-position-horizontal-relative:page;mso-position-vertical-relative:paragraph;z-index:13120" from="893.681091pt,-67.988815pt" to="893.681091pt,-67.988815pt" stroked="true" strokeweight="1pt" strokecolor="#929292">
            <w10:wrap type="none"/>
          </v:line>
        </w:pict>
      </w:r>
      <w:r>
        <w:rPr/>
        <w:pict>
          <v:group style="position:absolute;margin-left:590.670898pt;margin-top:-42.665115pt;width:1pt;height:1pt;mso-position-horizontal-relative:page;mso-position-vertical-relative:paragraph;z-index:13168" coordorigin="11813,-853" coordsize="20,20">
            <v:line style="position:absolute" from="11823,-843" to="11823,-843" stroked="true" strokeweight="1pt" strokecolor="#929292"/>
            <v:line style="position:absolute" from="11823,-843" to="11823,-843" stroked="true" strokeweight="1pt" strokecolor="#929292"/>
            <v:line style="position:absolute" from="11823,-843" to="11823,-843" stroked="true" strokeweight="1pt" strokecolor="#929292"/>
            <v:line style="position:absolute" from="11823,-843" to="11823,-843" stroked="true" strokeweight="1pt" strokecolor="#929292"/>
            <w10:wrap type="none"/>
          </v:group>
        </w:pict>
      </w:r>
      <w:r>
        <w:rPr/>
        <w:pict>
          <v:group style="position:absolute;margin-left:640.270874pt;margin-top:-42.665115pt;width:1pt;height:1pt;mso-position-horizontal-relative:page;mso-position-vertical-relative:paragraph;z-index:13192" coordorigin="12805,-853" coordsize="20,20">
            <v:line style="position:absolute" from="12815,-843" to="12815,-843" stroked="true" strokeweight="1pt" strokecolor="#929292"/>
            <v:line style="position:absolute" from="12815,-843" to="12815,-843" stroked="true" strokeweight="1pt" strokecolor="#929292"/>
            <v:line style="position:absolute" from="12815,-843" to="12815,-843" stroked="true" strokeweight="1pt" strokecolor="#929292"/>
            <v:line style="position:absolute" from="12815,-843" to="12815,-843" stroked="true" strokeweight="1pt" strokecolor="#929292"/>
            <w10:wrap type="none"/>
          </v:group>
        </w:pict>
      </w:r>
      <w:r>
        <w:rPr/>
        <w:pict>
          <v:group style="position:absolute;margin-left:687.818909pt;margin-top:-42.665115pt;width:1pt;height:1pt;mso-position-horizontal-relative:page;mso-position-vertical-relative:paragraph;z-index:13216" coordorigin="13756,-853" coordsize="20,20">
            <v:line style="position:absolute" from="13766,-843" to="13766,-843" stroked="true" strokeweight="1pt" strokecolor="#929292"/>
            <v:line style="position:absolute" from="13766,-843" to="13766,-843" stroked="true" strokeweight="1pt" strokecolor="#929292"/>
            <v:line style="position:absolute" from="13766,-843" to="13766,-843" stroked="true" strokeweight="1pt" strokecolor="#929292"/>
            <v:line style="position:absolute" from="13766,-843" to="13766,-843" stroked="true" strokeweight="1pt" strokecolor="#929292"/>
            <w10:wrap type="none"/>
          </v:group>
        </w:pict>
      </w:r>
      <w:r>
        <w:rPr/>
        <w:pict>
          <v:group style="position:absolute;margin-left:744.418884pt;margin-top:-42.665115pt;width:1pt;height:1pt;mso-position-horizontal-relative:page;mso-position-vertical-relative:paragraph;z-index:13240" coordorigin="14888,-853" coordsize="20,20">
            <v:line style="position:absolute" from="14898,-843" to="14898,-843" stroked="true" strokeweight="1pt" strokecolor="#929292"/>
            <v:line style="position:absolute" from="14898,-843" to="14898,-843" stroked="true" strokeweight="1pt" strokecolor="#929292"/>
            <v:line style="position:absolute" from="14898,-843" to="14898,-843" stroked="true" strokeweight="1pt" strokecolor="#929292"/>
            <v:line style="position:absolute" from="14898,-843" to="14898,-843" stroked="true" strokeweight="1pt" strokecolor="#929292"/>
            <w10:wrap type="none"/>
          </v:group>
        </w:pict>
      </w:r>
      <w:r>
        <w:rPr/>
        <w:pict>
          <v:group style="position:absolute;margin-left:793.918884pt;margin-top:-42.665115pt;width:1pt;height:1pt;mso-position-horizontal-relative:page;mso-position-vertical-relative:paragraph;z-index:13264" coordorigin="15878,-853" coordsize="20,20">
            <v:line style="position:absolute" from="15888,-843" to="15888,-843" stroked="true" strokeweight="1pt" strokecolor="#929292"/>
            <v:line style="position:absolute" from="15888,-843" to="15888,-843" stroked="true" strokeweight="1pt" strokecolor="#929292"/>
            <v:line style="position:absolute" from="15888,-843" to="15888,-843" stroked="true" strokeweight="1pt" strokecolor="#929292"/>
            <v:line style="position:absolute" from="15888,-843" to="15888,-843" stroked="true" strokeweight="1pt" strokecolor="#929292"/>
            <w10:wrap type="none"/>
          </v:group>
        </w:pict>
      </w:r>
      <w:r>
        <w:rPr/>
        <w:pict>
          <v:group style="position:absolute;margin-left:835.999878pt;margin-top:-42.665115pt;width:1pt;height:1pt;mso-position-horizontal-relative:page;mso-position-vertical-relative:paragraph;z-index:13288" coordorigin="16720,-853" coordsize="20,20">
            <v:line style="position:absolute" from="16730,-843" to="16730,-843" stroked="true" strokeweight="1pt" strokecolor="#929292"/>
            <v:line style="position:absolute" from="16730,-843" to="16730,-843" stroked="true" strokeweight="1pt" strokecolor="#929292"/>
            <v:line style="position:absolute" from="16730,-843" to="16730,-843" stroked="true" strokeweight="1pt" strokecolor="#929292"/>
            <v:line style="position:absolute" from="16730,-843" to="16730,-843" stroked="true" strokeweight="1pt" strokecolor="#929292"/>
            <w10:wrap type="none"/>
          </v:group>
        </w:pict>
      </w:r>
      <w:r>
        <w:rPr/>
        <w:pict>
          <v:line style="position:absolute;mso-position-horizontal-relative:page;mso-position-vertical-relative:paragraph;z-index:13312" from="893.681091pt,-55.076916pt" to="893.681091pt,-55.076916pt" stroked="true" strokeweight="1pt" strokecolor="#929292">
            <w10:wrap type="none"/>
          </v:line>
        </w:pict>
      </w:r>
      <w:r>
        <w:rPr/>
        <w:pict>
          <v:line style="position:absolute;mso-position-horizontal-relative:page;mso-position-vertical-relative:paragraph;z-index:13336" from="513.570923pt,-42.165016pt" to="513.570923pt,-42.165016pt" stroked="true" strokeweight="1pt" strokecolor="#929292">
            <w10:wrap type="none"/>
          </v:line>
        </w:pict>
      </w:r>
      <w:r>
        <w:rPr/>
        <w:pict>
          <v:group style="position:absolute;margin-left:590.670898pt;margin-top:-19.753216pt;width:1pt;height:1pt;mso-position-horizontal-relative:page;mso-position-vertical-relative:paragraph;z-index:13360" coordorigin="11813,-395" coordsize="20,20">
            <v:line style="position:absolute" from="11823,-385" to="11823,-385" stroked="true" strokeweight="1pt" strokecolor="#929292"/>
            <v:line style="position:absolute" from="11823,-385" to="11823,-385" stroked="true" strokeweight="1pt" strokecolor="#929292"/>
            <v:line style="position:absolute" from="11823,-385" to="11823,-385" stroked="true" strokeweight="1pt" strokecolor="#929292"/>
            <v:line style="position:absolute" from="11823,-385" to="11823,-385" stroked="true" strokeweight="1pt" strokecolor="#929292"/>
            <w10:wrap type="none"/>
          </v:group>
        </w:pict>
      </w:r>
      <w:r>
        <w:rPr/>
        <w:pict>
          <v:group style="position:absolute;margin-left:640.270874pt;margin-top:-19.753216pt;width:1pt;height:1pt;mso-position-horizontal-relative:page;mso-position-vertical-relative:paragraph;z-index:13384" coordorigin="12805,-395" coordsize="20,20">
            <v:line style="position:absolute" from="12815,-385" to="12815,-385" stroked="true" strokeweight="1pt" strokecolor="#929292"/>
            <v:line style="position:absolute" from="12815,-385" to="12815,-385" stroked="true" strokeweight="1pt" strokecolor="#929292"/>
            <v:line style="position:absolute" from="12815,-385" to="12815,-385" stroked="true" strokeweight="1pt" strokecolor="#929292"/>
            <v:line style="position:absolute" from="12815,-385" to="12815,-385" stroked="true" strokeweight="1pt" strokecolor="#929292"/>
            <w10:wrap type="none"/>
          </v:group>
        </w:pict>
      </w:r>
      <w:r>
        <w:rPr/>
        <w:pict>
          <v:group style="position:absolute;margin-left:687.818909pt;margin-top:-19.753216pt;width:1pt;height:1pt;mso-position-horizontal-relative:page;mso-position-vertical-relative:paragraph;z-index:13408" coordorigin="13756,-395" coordsize="20,20">
            <v:line style="position:absolute" from="13766,-385" to="13766,-385" stroked="true" strokeweight="1pt" strokecolor="#929292"/>
            <v:line style="position:absolute" from="13766,-385" to="13766,-385" stroked="true" strokeweight="1pt" strokecolor="#929292"/>
            <v:line style="position:absolute" from="13766,-385" to="13766,-385" stroked="true" strokeweight="1pt" strokecolor="#929292"/>
            <v:line style="position:absolute" from="13766,-385" to="13766,-385" stroked="true" strokeweight="1pt" strokecolor="#929292"/>
            <w10:wrap type="none"/>
          </v:group>
        </w:pict>
      </w:r>
      <w:r>
        <w:rPr/>
        <w:pict>
          <v:group style="position:absolute;margin-left:744.418884pt;margin-top:-19.753216pt;width:1pt;height:1pt;mso-position-horizontal-relative:page;mso-position-vertical-relative:paragraph;z-index:13432" coordorigin="14888,-395" coordsize="20,20">
            <v:line style="position:absolute" from="14898,-385" to="14898,-385" stroked="true" strokeweight="1pt" strokecolor="#929292"/>
            <v:line style="position:absolute" from="14898,-385" to="14898,-385" stroked="true" strokeweight="1pt" strokecolor="#929292"/>
            <v:line style="position:absolute" from="14898,-385" to="14898,-385" stroked="true" strokeweight="1pt" strokecolor="#929292"/>
            <v:line style="position:absolute" from="14898,-385" to="14898,-385" stroked="true" strokeweight="1pt" strokecolor="#929292"/>
            <w10:wrap type="none"/>
          </v:group>
        </w:pict>
      </w:r>
      <w:r>
        <w:rPr/>
        <w:pict>
          <v:group style="position:absolute;margin-left:793.918884pt;margin-top:-19.753216pt;width:1pt;height:1pt;mso-position-horizontal-relative:page;mso-position-vertical-relative:paragraph;z-index:13456" coordorigin="15878,-395" coordsize="20,20">
            <v:line style="position:absolute" from="15888,-385" to="15888,-385" stroked="true" strokeweight="1pt" strokecolor="#929292"/>
            <v:line style="position:absolute" from="15888,-385" to="15888,-385" stroked="true" strokeweight="1pt" strokecolor="#929292"/>
            <v:line style="position:absolute" from="15888,-385" to="15888,-385" stroked="true" strokeweight="1pt" strokecolor="#929292"/>
            <v:line style="position:absolute" from="15888,-385" to="15888,-385" stroked="true" strokeweight="1pt" strokecolor="#929292"/>
            <w10:wrap type="none"/>
          </v:group>
        </w:pict>
      </w:r>
      <w:r>
        <w:rPr/>
        <w:pict>
          <v:group style="position:absolute;margin-left:835.999878pt;margin-top:-19.753216pt;width:1pt;height:1pt;mso-position-horizontal-relative:page;mso-position-vertical-relative:paragraph;z-index:13480" coordorigin="16720,-395" coordsize="20,20">
            <v:line style="position:absolute" from="16730,-385" to="16730,-385" stroked="true" strokeweight="1pt" strokecolor="#929292"/>
            <v:line style="position:absolute" from="16730,-385" to="16730,-385" stroked="true" strokeweight="1pt" strokecolor="#929292"/>
            <v:line style="position:absolute" from="16730,-385" to="16730,-385" stroked="true" strokeweight="1pt" strokecolor="#929292"/>
            <v:line style="position:absolute" from="16730,-385" to="16730,-385" stroked="true" strokeweight="1pt" strokecolor="#929292"/>
            <w10:wrap type="none"/>
          </v:group>
        </w:pict>
      </w:r>
      <w:r>
        <w:rPr/>
        <w:pict>
          <v:line style="position:absolute;mso-position-horizontal-relative:page;mso-position-vertical-relative:paragraph;z-index:13504" from="893.681091pt,-42.165016pt" to="893.681091pt,-42.165016pt" stroked="true" strokeweight="1pt" strokecolor="#929292">
            <w10:wrap type="none"/>
          </v:line>
        </w:pict>
      </w:r>
      <w:r>
        <w:rPr/>
        <w:pict>
          <v:line style="position:absolute;mso-position-horizontal-relative:page;mso-position-vertical-relative:paragraph;z-index:13528" from="513.570923pt,-19.253115pt" to="513.570923pt,-19.253115pt" stroked="true" strokeweight="1pt" strokecolor="#929292">
            <w10:wrap type="none"/>
          </v:line>
        </w:pict>
      </w:r>
      <w:r>
        <w:rPr/>
        <w:pict>
          <v:line style="position:absolute;mso-position-horizontal-relative:page;mso-position-vertical-relative:paragraph;z-index:13552" from="513.570923pt,-6.341216pt" to="513.570923pt,-6.341216pt" stroked="true" strokeweight="1pt" strokecolor="#929292">
            <w10:wrap type="none"/>
          </v:line>
        </w:pict>
      </w:r>
      <w:r>
        <w:rPr/>
        <w:pict>
          <v:group style="position:absolute;margin-left:590.670898pt;margin-top:-6.841216pt;width:1pt;height:1pt;mso-position-horizontal-relative:page;mso-position-vertical-relative:paragraph;z-index:13576" coordorigin="11813,-137" coordsize="20,20">
            <v:line style="position:absolute" from="11823,-127" to="11823,-127" stroked="true" strokeweight="1pt" strokecolor="#929292"/>
            <v:shape style="position:absolute;left:0;top:4131;width:2;height:2" coordorigin="0,4131" coordsize="0,0" path="m11823,-127l11823,-127m11823,-127l11823,-127e" filled="false" stroked="true" strokeweight="1pt" strokecolor="#929292">
              <v:path arrowok="t"/>
            </v:shape>
            <w10:wrap type="none"/>
          </v:group>
        </w:pict>
      </w:r>
      <w:r>
        <w:rPr/>
        <w:pict>
          <v:group style="position:absolute;margin-left:640.270874pt;margin-top:-6.841216pt;width:1pt;height:1pt;mso-position-horizontal-relative:page;mso-position-vertical-relative:paragraph;z-index:13600" coordorigin="12805,-137" coordsize="20,20">
            <v:line style="position:absolute" from="12815,-127" to="12815,-127" stroked="true" strokeweight="1pt" strokecolor="#929292"/>
            <v:shape style="position:absolute;left:0;top:4131;width:2;height:2" coordorigin="0,4131" coordsize="0,0" path="m12815,-127l12815,-127m12815,-127l12815,-127e" filled="false" stroked="true" strokeweight="1pt" strokecolor="#929292">
              <v:path arrowok="t"/>
            </v:shape>
            <w10:wrap type="none"/>
          </v:group>
        </w:pict>
      </w:r>
      <w:r>
        <w:rPr/>
        <w:pict>
          <v:group style="position:absolute;margin-left:687.818909pt;margin-top:-6.841216pt;width:1pt;height:1pt;mso-position-horizontal-relative:page;mso-position-vertical-relative:paragraph;z-index:13624" coordorigin="13756,-137" coordsize="20,20">
            <v:line style="position:absolute" from="13766,-127" to="13766,-127" stroked="true" strokeweight="1pt" strokecolor="#929292"/>
            <v:shape style="position:absolute;left:0;top:4131;width:2;height:2" coordorigin="0,4131" coordsize="0,0" path="m13766,-127l13766,-127m13766,-127l13766,-127e" filled="false" stroked="true" strokeweight="1pt" strokecolor="#929292">
              <v:path arrowok="t"/>
            </v:shape>
            <w10:wrap type="none"/>
          </v:group>
        </w:pict>
      </w:r>
      <w:r>
        <w:rPr/>
        <w:pict>
          <v:group style="position:absolute;margin-left:744.418884pt;margin-top:-6.841216pt;width:1pt;height:1pt;mso-position-horizontal-relative:page;mso-position-vertical-relative:paragraph;z-index:13648" coordorigin="14888,-137" coordsize="20,20">
            <v:line style="position:absolute" from="14898,-127" to="14898,-127" stroked="true" strokeweight="1pt" strokecolor="#929292"/>
            <v:shape style="position:absolute;left:0;top:4131;width:2;height:2" coordorigin="0,4131" coordsize="0,0" path="m14898,-127l14898,-127m14898,-127l14898,-127e" filled="false" stroked="true" strokeweight="1pt" strokecolor="#929292">
              <v:path arrowok="t"/>
            </v:shape>
            <w10:wrap type="none"/>
          </v:group>
        </w:pict>
      </w:r>
      <w:r>
        <w:rPr/>
        <w:pict>
          <v:group style="position:absolute;margin-left:793.918884pt;margin-top:-6.841216pt;width:1pt;height:1pt;mso-position-horizontal-relative:page;mso-position-vertical-relative:paragraph;z-index:13672" coordorigin="15878,-137" coordsize="20,20">
            <v:line style="position:absolute" from="15888,-127" to="15888,-127" stroked="true" strokeweight="1pt" strokecolor="#929292"/>
            <v:shape style="position:absolute;left:0;top:4131;width:2;height:2" coordorigin="0,4131" coordsize="0,0" path="m15888,-127l15888,-127m15888,-127l15888,-127e" filled="false" stroked="true" strokeweight="1pt" strokecolor="#929292">
              <v:path arrowok="t"/>
            </v:shape>
            <w10:wrap type="none"/>
          </v:group>
        </w:pict>
      </w:r>
      <w:r>
        <w:rPr/>
        <w:pict>
          <v:group style="position:absolute;margin-left:835.999878pt;margin-top:-6.841216pt;width:1pt;height:1pt;mso-position-horizontal-relative:page;mso-position-vertical-relative:paragraph;z-index:13696" coordorigin="16720,-137" coordsize="20,20">
            <v:line style="position:absolute" from="16730,-127" to="16730,-127" stroked="true" strokeweight="1pt" strokecolor="#929292"/>
            <v:shape style="position:absolute;left:0;top:4131;width:2;height:2" coordorigin="0,4131" coordsize="0,0" path="m16730,-127l16730,-127m16730,-127l16730,-127e" filled="false" stroked="true" strokeweight="1pt" strokecolor="#929292">
              <v:path arrowok="t"/>
            </v:shape>
            <w10:wrap type="none"/>
          </v:group>
        </w:pict>
      </w:r>
      <w:r>
        <w:rPr/>
        <w:pict>
          <v:line style="position:absolute;mso-position-horizontal-relative:page;mso-position-vertical-relative:paragraph;z-index:13720" from="893.681091pt,-19.253115pt" to="893.681091pt,-19.253115pt" stroked="true" strokeweight="1pt" strokecolor="#929292">
            <w10:wrap type="none"/>
          </v:line>
        </w:pict>
      </w:r>
      <w:r>
        <w:rPr/>
        <w:pict>
          <v:line style="position:absolute;mso-position-horizontal-relative:page;mso-position-vertical-relative:paragraph;z-index:13744" from="893.681091pt,-6.341216pt" to="893.681091pt,-6.341216pt" stroked="true" strokeweight="1pt" strokecolor="#929292">
            <w10:wrap type="none"/>
          </v:line>
        </w:pict>
      </w:r>
      <w:r>
        <w:rPr/>
        <w:pict>
          <v:shape style="position:absolute;margin-left:516.555481pt;margin-top:-88.485413pt;width:375.65pt;height:83.15pt;mso-position-horizontal-relative:page;mso-position-vertical-relative:paragraph;z-index:13768" type="#_x0000_t202" filled="false" stroked="false">
            <v:textbox inset="0,0,0,0">
              <w:txbxContent>
                <w:tbl>
                  <w:tblPr>
                    <w:tblW w:w="0" w:type="auto"/>
                    <w:jc w:val="left"/>
                    <w:tblBorders>
                      <w:top w:val="dotted" w:sz="8" w:space="0" w:color="929292"/>
                      <w:left w:val="dotted" w:sz="8" w:space="0" w:color="929292"/>
                      <w:bottom w:val="dotted" w:sz="8" w:space="0" w:color="929292"/>
                      <w:right w:val="dotted" w:sz="8" w:space="0" w:color="929292"/>
                      <w:insideH w:val="dotted" w:sz="8" w:space="0" w:color="929292"/>
                      <w:insideV w:val="dotted" w:sz="8" w:space="0" w:color="929292"/>
                    </w:tblBorders>
                    <w:tblLayout w:type="fixed"/>
                    <w:tblCellMar>
                      <w:top w:w="0" w:type="dxa"/>
                      <w:left w:w="0" w:type="dxa"/>
                      <w:bottom w:w="0" w:type="dxa"/>
                      <w:right w:w="0" w:type="dxa"/>
                    </w:tblCellMar>
                    <w:tblLook w:val="01E0"/>
                  </w:tblPr>
                  <w:tblGrid>
                    <w:gridCol w:w="1492"/>
                    <w:gridCol w:w="992"/>
                    <w:gridCol w:w="951"/>
                    <w:gridCol w:w="1132"/>
                    <w:gridCol w:w="990"/>
                    <w:gridCol w:w="842"/>
                    <w:gridCol w:w="1114"/>
                  </w:tblGrid>
                  <w:tr>
                    <w:trPr>
                      <w:trHeight w:val="410" w:hRule="exact"/>
                    </w:trPr>
                    <w:tc>
                      <w:tcPr>
                        <w:tcW w:w="1492" w:type="dxa"/>
                        <w:tcBorders>
                          <w:top w:val="nil"/>
                          <w:left w:val="nil"/>
                        </w:tcBorders>
                      </w:tcPr>
                      <w:p>
                        <w:pPr>
                          <w:pStyle w:val="TableParagraph"/>
                          <w:spacing w:line="143" w:lineRule="exact"/>
                          <w:ind w:left="74" w:right="188"/>
                          <w:rPr>
                            <w:sz w:val="16"/>
                          </w:rPr>
                        </w:pPr>
                        <w:r>
                          <w:rPr>
                            <w:w w:val="105"/>
                            <w:sz w:val="16"/>
                          </w:rPr>
                          <w:t>Zona</w:t>
                        </w:r>
                      </w:p>
                    </w:tc>
                    <w:tc>
                      <w:tcPr>
                        <w:tcW w:w="992" w:type="dxa"/>
                      </w:tcPr>
                      <w:p>
                        <w:pPr>
                          <w:pStyle w:val="TableParagraph"/>
                          <w:spacing w:before="26"/>
                          <w:ind w:left="134"/>
                          <w:rPr>
                            <w:sz w:val="16"/>
                          </w:rPr>
                        </w:pPr>
                        <w:r>
                          <w:rPr>
                            <w:w w:val="105"/>
                            <w:sz w:val="16"/>
                          </w:rPr>
                          <w:t>en km2</w:t>
                        </w:r>
                      </w:p>
                    </w:tc>
                    <w:tc>
                      <w:tcPr>
                        <w:tcW w:w="951" w:type="dxa"/>
                      </w:tcPr>
                      <w:p>
                        <w:pPr>
                          <w:pStyle w:val="TableParagraph"/>
                          <w:spacing w:before="26"/>
                          <w:ind w:left="134"/>
                          <w:rPr>
                            <w:sz w:val="16"/>
                          </w:rPr>
                        </w:pPr>
                        <w:r>
                          <w:rPr>
                            <w:w w:val="105"/>
                            <w:sz w:val="16"/>
                          </w:rPr>
                          <w:t>en %</w:t>
                        </w:r>
                      </w:p>
                    </w:tc>
                    <w:tc>
                      <w:tcPr>
                        <w:tcW w:w="1132" w:type="dxa"/>
                        <w:tcBorders>
                          <w:top w:val="nil"/>
                        </w:tcBorders>
                      </w:tcPr>
                      <w:p>
                        <w:pPr>
                          <w:pStyle w:val="TableParagraph"/>
                          <w:spacing w:before="59"/>
                          <w:ind w:left="133"/>
                          <w:rPr>
                            <w:sz w:val="16"/>
                          </w:rPr>
                        </w:pPr>
                        <w:r>
                          <w:rPr>
                            <w:w w:val="105"/>
                            <w:sz w:val="16"/>
                          </w:rPr>
                          <w:t>municipios</w:t>
                        </w:r>
                      </w:p>
                    </w:tc>
                    <w:tc>
                      <w:tcPr>
                        <w:tcW w:w="990" w:type="dxa"/>
                      </w:tcPr>
                      <w:p>
                        <w:pPr>
                          <w:pStyle w:val="TableParagraph"/>
                          <w:spacing w:before="26"/>
                          <w:ind w:left="134"/>
                          <w:rPr>
                            <w:sz w:val="16"/>
                          </w:rPr>
                        </w:pPr>
                        <w:r>
                          <w:rPr>
                            <w:w w:val="105"/>
                            <w:sz w:val="16"/>
                          </w:rPr>
                          <w:t>en miles</w:t>
                        </w:r>
                      </w:p>
                    </w:tc>
                    <w:tc>
                      <w:tcPr>
                        <w:tcW w:w="842" w:type="dxa"/>
                      </w:tcPr>
                      <w:p>
                        <w:pPr>
                          <w:pStyle w:val="TableParagraph"/>
                          <w:tabs>
                            <w:tab w:pos="801" w:val="left" w:leader="none"/>
                          </w:tabs>
                          <w:spacing w:line="66" w:lineRule="exact"/>
                          <w:ind w:left="50"/>
                          <w:rPr>
                            <w:sz w:val="16"/>
                          </w:rPr>
                        </w:pPr>
                        <w:r>
                          <w:rPr>
                            <w:w w:val="100"/>
                            <w:sz w:val="16"/>
                          </w:rPr>
                          <w:t> </w:t>
                        </w:r>
                        <w:r>
                          <w:rPr>
                            <w:sz w:val="16"/>
                          </w:rPr>
                          <w:tab/>
                        </w:r>
                      </w:p>
                      <w:p>
                        <w:pPr>
                          <w:pStyle w:val="TableParagraph"/>
                          <w:spacing w:line="144" w:lineRule="exact"/>
                          <w:ind w:left="134"/>
                          <w:rPr>
                            <w:sz w:val="16"/>
                          </w:rPr>
                        </w:pPr>
                        <w:r>
                          <w:rPr>
                            <w:w w:val="105"/>
                            <w:sz w:val="16"/>
                          </w:rPr>
                          <w:t>en %</w:t>
                        </w:r>
                      </w:p>
                    </w:tc>
                    <w:tc>
                      <w:tcPr>
                        <w:tcW w:w="1114" w:type="dxa"/>
                        <w:tcBorders>
                          <w:top w:val="nil"/>
                          <w:right w:val="nil"/>
                        </w:tcBorders>
                      </w:tcPr>
                      <w:p>
                        <w:pPr>
                          <w:pStyle w:val="TableParagraph"/>
                          <w:spacing w:line="115" w:lineRule="exact"/>
                          <w:ind w:left="134"/>
                          <w:rPr>
                            <w:sz w:val="16"/>
                          </w:rPr>
                        </w:pPr>
                        <w:r>
                          <w:rPr>
                            <w:w w:val="105"/>
                            <w:sz w:val="16"/>
                          </w:rPr>
                          <w:t>de</w:t>
                        </w:r>
                      </w:p>
                      <w:p>
                        <w:pPr>
                          <w:pStyle w:val="TableParagraph"/>
                          <w:spacing w:before="72"/>
                          <w:ind w:left="134"/>
                          <w:rPr>
                            <w:sz w:val="16"/>
                          </w:rPr>
                        </w:pPr>
                        <w:r>
                          <w:rPr>
                            <w:w w:val="105"/>
                            <w:sz w:val="16"/>
                          </w:rPr>
                          <w:t>población</w:t>
                        </w:r>
                      </w:p>
                    </w:tc>
                  </w:tr>
                  <w:tr>
                    <w:trPr>
                      <w:trHeight w:val="258" w:hRule="exact"/>
                    </w:trPr>
                    <w:tc>
                      <w:tcPr>
                        <w:tcW w:w="1492" w:type="dxa"/>
                        <w:tcBorders>
                          <w:left w:val="nil"/>
                        </w:tcBorders>
                      </w:tcPr>
                      <w:p>
                        <w:pPr>
                          <w:pStyle w:val="TableParagraph"/>
                          <w:spacing w:before="26"/>
                          <w:ind w:left="74" w:right="188"/>
                          <w:rPr>
                            <w:sz w:val="16"/>
                          </w:rPr>
                        </w:pPr>
                        <w:r>
                          <w:rPr>
                            <w:sz w:val="16"/>
                          </w:rPr>
                          <w:t>Cracovia</w:t>
                        </w:r>
                      </w:p>
                    </w:tc>
                    <w:tc>
                      <w:tcPr>
                        <w:tcW w:w="992" w:type="dxa"/>
                      </w:tcPr>
                      <w:p>
                        <w:pPr>
                          <w:pStyle w:val="TableParagraph"/>
                          <w:spacing w:before="26"/>
                          <w:ind w:left="133"/>
                          <w:rPr>
                            <w:sz w:val="16"/>
                          </w:rPr>
                        </w:pPr>
                        <w:r>
                          <w:rPr>
                            <w:sz w:val="16"/>
                          </w:rPr>
                          <w:t>326,8</w:t>
                        </w:r>
                      </w:p>
                    </w:tc>
                    <w:tc>
                      <w:tcPr>
                        <w:tcW w:w="951" w:type="dxa"/>
                      </w:tcPr>
                      <w:p>
                        <w:pPr>
                          <w:pStyle w:val="TableParagraph"/>
                          <w:spacing w:before="26"/>
                          <w:ind w:left="133"/>
                          <w:rPr>
                            <w:sz w:val="16"/>
                          </w:rPr>
                        </w:pPr>
                        <w:r>
                          <w:rPr>
                            <w:sz w:val="16"/>
                          </w:rPr>
                          <w:t>8,0</w:t>
                        </w:r>
                      </w:p>
                    </w:tc>
                    <w:tc>
                      <w:tcPr>
                        <w:tcW w:w="1132" w:type="dxa"/>
                      </w:tcPr>
                      <w:p>
                        <w:pPr>
                          <w:pStyle w:val="TableParagraph"/>
                          <w:spacing w:before="26"/>
                          <w:ind w:left="133"/>
                          <w:rPr>
                            <w:sz w:val="16"/>
                          </w:rPr>
                        </w:pPr>
                        <w:r>
                          <w:rPr>
                            <w:w w:val="99"/>
                            <w:sz w:val="16"/>
                          </w:rPr>
                          <w:t>1</w:t>
                        </w:r>
                      </w:p>
                    </w:tc>
                    <w:tc>
                      <w:tcPr>
                        <w:tcW w:w="990" w:type="dxa"/>
                      </w:tcPr>
                      <w:p>
                        <w:pPr>
                          <w:pStyle w:val="TableParagraph"/>
                          <w:spacing w:before="26"/>
                          <w:ind w:left="133"/>
                          <w:rPr>
                            <w:sz w:val="16"/>
                          </w:rPr>
                        </w:pPr>
                        <w:r>
                          <w:rPr>
                            <w:sz w:val="16"/>
                          </w:rPr>
                          <w:t>759,0</w:t>
                        </w:r>
                      </w:p>
                    </w:tc>
                    <w:tc>
                      <w:tcPr>
                        <w:tcW w:w="842" w:type="dxa"/>
                      </w:tcPr>
                      <w:p>
                        <w:pPr>
                          <w:pStyle w:val="TableParagraph"/>
                          <w:spacing w:before="26"/>
                          <w:ind w:left="133"/>
                          <w:rPr>
                            <w:sz w:val="16"/>
                          </w:rPr>
                        </w:pPr>
                        <w:r>
                          <w:rPr>
                            <w:sz w:val="16"/>
                          </w:rPr>
                          <w:t>50,7</w:t>
                        </w:r>
                      </w:p>
                    </w:tc>
                    <w:tc>
                      <w:tcPr>
                        <w:tcW w:w="1114" w:type="dxa"/>
                        <w:tcBorders>
                          <w:right w:val="nil"/>
                        </w:tcBorders>
                      </w:tcPr>
                      <w:p>
                        <w:pPr>
                          <w:pStyle w:val="TableParagraph"/>
                          <w:spacing w:before="26"/>
                          <w:ind w:left="133"/>
                          <w:rPr>
                            <w:sz w:val="16"/>
                          </w:rPr>
                        </w:pPr>
                        <w:r>
                          <w:rPr>
                            <w:sz w:val="16"/>
                          </w:rPr>
                          <w:t>2322</w:t>
                        </w:r>
                      </w:p>
                    </w:tc>
                  </w:tr>
                  <w:tr>
                    <w:trPr>
                      <w:trHeight w:val="258" w:hRule="exact"/>
                    </w:trPr>
                    <w:tc>
                      <w:tcPr>
                        <w:tcW w:w="1492" w:type="dxa"/>
                        <w:tcBorders>
                          <w:left w:val="nil"/>
                        </w:tcBorders>
                      </w:tcPr>
                      <w:p>
                        <w:pPr>
                          <w:pStyle w:val="TableParagraph"/>
                          <w:spacing w:before="26"/>
                          <w:ind w:left="73" w:right="188"/>
                          <w:rPr>
                            <w:sz w:val="16"/>
                          </w:rPr>
                        </w:pPr>
                        <w:r>
                          <w:rPr>
                            <w:sz w:val="16"/>
                          </w:rPr>
                          <w:t>Zona suburbana</w:t>
                        </w:r>
                      </w:p>
                    </w:tc>
                    <w:tc>
                      <w:tcPr>
                        <w:tcW w:w="992" w:type="dxa"/>
                      </w:tcPr>
                      <w:p>
                        <w:pPr>
                          <w:pStyle w:val="TableParagraph"/>
                          <w:spacing w:before="26"/>
                          <w:ind w:left="133"/>
                          <w:rPr>
                            <w:sz w:val="16"/>
                          </w:rPr>
                        </w:pPr>
                        <w:r>
                          <w:rPr>
                            <w:sz w:val="16"/>
                          </w:rPr>
                          <w:t>900,3</w:t>
                        </w:r>
                      </w:p>
                    </w:tc>
                    <w:tc>
                      <w:tcPr>
                        <w:tcW w:w="951" w:type="dxa"/>
                      </w:tcPr>
                      <w:p>
                        <w:pPr>
                          <w:pStyle w:val="TableParagraph"/>
                          <w:spacing w:before="26"/>
                          <w:ind w:left="133"/>
                          <w:rPr>
                            <w:sz w:val="16"/>
                          </w:rPr>
                        </w:pPr>
                        <w:r>
                          <w:rPr>
                            <w:sz w:val="16"/>
                          </w:rPr>
                          <w:t>22,1</w:t>
                        </w:r>
                      </w:p>
                    </w:tc>
                    <w:tc>
                      <w:tcPr>
                        <w:tcW w:w="1132" w:type="dxa"/>
                      </w:tcPr>
                      <w:p>
                        <w:pPr>
                          <w:pStyle w:val="TableParagraph"/>
                          <w:spacing w:before="26"/>
                          <w:ind w:left="133"/>
                          <w:rPr>
                            <w:sz w:val="16"/>
                          </w:rPr>
                        </w:pPr>
                        <w:r>
                          <w:rPr>
                            <w:sz w:val="16"/>
                          </w:rPr>
                          <w:t>12</w:t>
                        </w:r>
                      </w:p>
                    </w:tc>
                    <w:tc>
                      <w:tcPr>
                        <w:tcW w:w="990" w:type="dxa"/>
                      </w:tcPr>
                      <w:p>
                        <w:pPr>
                          <w:pStyle w:val="TableParagraph"/>
                          <w:spacing w:before="26"/>
                          <w:ind w:left="133"/>
                          <w:rPr>
                            <w:sz w:val="16"/>
                          </w:rPr>
                        </w:pPr>
                        <w:r>
                          <w:rPr>
                            <w:sz w:val="16"/>
                          </w:rPr>
                          <w:t>276,3</w:t>
                        </w:r>
                      </w:p>
                    </w:tc>
                    <w:tc>
                      <w:tcPr>
                        <w:tcW w:w="842" w:type="dxa"/>
                      </w:tcPr>
                      <w:p>
                        <w:pPr>
                          <w:pStyle w:val="TableParagraph"/>
                          <w:spacing w:before="26"/>
                          <w:ind w:left="133"/>
                          <w:rPr>
                            <w:sz w:val="16"/>
                          </w:rPr>
                        </w:pPr>
                        <w:r>
                          <w:rPr>
                            <w:sz w:val="16"/>
                          </w:rPr>
                          <w:t>18,4</w:t>
                        </w:r>
                      </w:p>
                    </w:tc>
                    <w:tc>
                      <w:tcPr>
                        <w:tcW w:w="1114" w:type="dxa"/>
                        <w:tcBorders>
                          <w:right w:val="nil"/>
                        </w:tcBorders>
                      </w:tcPr>
                      <w:p>
                        <w:pPr>
                          <w:pStyle w:val="TableParagraph"/>
                          <w:spacing w:before="26"/>
                          <w:ind w:left="133"/>
                          <w:rPr>
                            <w:sz w:val="16"/>
                          </w:rPr>
                        </w:pPr>
                        <w:r>
                          <w:rPr>
                            <w:sz w:val="16"/>
                          </w:rPr>
                          <w:t>307</w:t>
                        </w:r>
                      </w:p>
                    </w:tc>
                  </w:tr>
                  <w:tr>
                    <w:trPr>
                      <w:trHeight w:val="458" w:hRule="exact"/>
                    </w:trPr>
                    <w:tc>
                      <w:tcPr>
                        <w:tcW w:w="1492" w:type="dxa"/>
                        <w:tcBorders>
                          <w:left w:val="nil"/>
                        </w:tcBorders>
                      </w:tcPr>
                      <w:p>
                        <w:pPr>
                          <w:pStyle w:val="TableParagraph"/>
                          <w:spacing w:line="261" w:lineRule="auto" w:before="26"/>
                          <w:ind w:left="73" w:right="188"/>
                          <w:rPr>
                            <w:sz w:val="16"/>
                          </w:rPr>
                        </w:pPr>
                        <w:r>
                          <w:rPr>
                            <w:sz w:val="16"/>
                          </w:rPr>
                          <w:t>Zona de los desplazamientos</w:t>
                        </w:r>
                      </w:p>
                    </w:tc>
                    <w:tc>
                      <w:tcPr>
                        <w:tcW w:w="992" w:type="dxa"/>
                      </w:tcPr>
                      <w:p>
                        <w:pPr>
                          <w:pStyle w:val="TableParagraph"/>
                          <w:spacing w:before="26"/>
                          <w:ind w:left="133"/>
                          <w:rPr>
                            <w:sz w:val="16"/>
                          </w:rPr>
                        </w:pPr>
                        <w:r>
                          <w:rPr>
                            <w:sz w:val="16"/>
                          </w:rPr>
                          <w:t>2.841.4</w:t>
                        </w:r>
                      </w:p>
                    </w:tc>
                    <w:tc>
                      <w:tcPr>
                        <w:tcW w:w="951" w:type="dxa"/>
                      </w:tcPr>
                      <w:p>
                        <w:pPr>
                          <w:pStyle w:val="TableParagraph"/>
                          <w:spacing w:before="26"/>
                          <w:ind w:left="133"/>
                          <w:rPr>
                            <w:sz w:val="16"/>
                          </w:rPr>
                        </w:pPr>
                        <w:r>
                          <w:rPr>
                            <w:sz w:val="16"/>
                          </w:rPr>
                          <w:t>69,9</w:t>
                        </w:r>
                      </w:p>
                    </w:tc>
                    <w:tc>
                      <w:tcPr>
                        <w:tcW w:w="1132" w:type="dxa"/>
                      </w:tcPr>
                      <w:p>
                        <w:pPr>
                          <w:pStyle w:val="TableParagraph"/>
                          <w:spacing w:before="26"/>
                          <w:ind w:left="133"/>
                          <w:rPr>
                            <w:sz w:val="16"/>
                          </w:rPr>
                        </w:pPr>
                        <w:r>
                          <w:rPr>
                            <w:sz w:val="16"/>
                          </w:rPr>
                          <w:t>38</w:t>
                        </w:r>
                      </w:p>
                    </w:tc>
                    <w:tc>
                      <w:tcPr>
                        <w:tcW w:w="990" w:type="dxa"/>
                      </w:tcPr>
                      <w:p>
                        <w:pPr>
                          <w:pStyle w:val="TableParagraph"/>
                          <w:spacing w:before="26"/>
                          <w:ind w:left="133"/>
                          <w:rPr>
                            <w:sz w:val="16"/>
                          </w:rPr>
                        </w:pPr>
                        <w:r>
                          <w:rPr>
                            <w:sz w:val="16"/>
                          </w:rPr>
                          <w:t>463,2</w:t>
                        </w:r>
                      </w:p>
                    </w:tc>
                    <w:tc>
                      <w:tcPr>
                        <w:tcW w:w="842" w:type="dxa"/>
                      </w:tcPr>
                      <w:p>
                        <w:pPr>
                          <w:pStyle w:val="TableParagraph"/>
                          <w:spacing w:before="26"/>
                          <w:ind w:left="133"/>
                          <w:rPr>
                            <w:sz w:val="16"/>
                          </w:rPr>
                        </w:pPr>
                        <w:r>
                          <w:rPr>
                            <w:sz w:val="16"/>
                          </w:rPr>
                          <w:t>30,9</w:t>
                        </w:r>
                      </w:p>
                    </w:tc>
                    <w:tc>
                      <w:tcPr>
                        <w:tcW w:w="1114" w:type="dxa"/>
                        <w:tcBorders>
                          <w:right w:val="nil"/>
                        </w:tcBorders>
                      </w:tcPr>
                      <w:p>
                        <w:pPr>
                          <w:pStyle w:val="TableParagraph"/>
                          <w:spacing w:before="26"/>
                          <w:ind w:left="133"/>
                          <w:rPr>
                            <w:sz w:val="16"/>
                          </w:rPr>
                        </w:pPr>
                        <w:r>
                          <w:rPr>
                            <w:sz w:val="16"/>
                          </w:rPr>
                          <w:t>163</w:t>
                        </w:r>
                      </w:p>
                    </w:tc>
                  </w:tr>
                  <w:tr>
                    <w:trPr>
                      <w:trHeight w:val="258" w:hRule="exact"/>
                    </w:trPr>
                    <w:tc>
                      <w:tcPr>
                        <w:tcW w:w="1492" w:type="dxa"/>
                        <w:tcBorders>
                          <w:left w:val="nil"/>
                        </w:tcBorders>
                      </w:tcPr>
                      <w:p>
                        <w:pPr>
                          <w:pStyle w:val="TableParagraph"/>
                          <w:spacing w:before="26"/>
                          <w:ind w:left="73" w:right="188"/>
                          <w:rPr>
                            <w:sz w:val="16"/>
                          </w:rPr>
                        </w:pPr>
                        <w:r>
                          <w:rPr>
                            <w:sz w:val="16"/>
                          </w:rPr>
                          <w:t>Total ZMC</w:t>
                        </w:r>
                      </w:p>
                    </w:tc>
                    <w:tc>
                      <w:tcPr>
                        <w:tcW w:w="992" w:type="dxa"/>
                      </w:tcPr>
                      <w:p>
                        <w:pPr>
                          <w:pStyle w:val="TableParagraph"/>
                          <w:spacing w:before="26"/>
                          <w:ind w:left="132"/>
                          <w:rPr>
                            <w:sz w:val="16"/>
                          </w:rPr>
                        </w:pPr>
                        <w:r>
                          <w:rPr>
                            <w:sz w:val="16"/>
                          </w:rPr>
                          <w:t>4.068,6</w:t>
                        </w:r>
                      </w:p>
                    </w:tc>
                    <w:tc>
                      <w:tcPr>
                        <w:tcW w:w="951" w:type="dxa"/>
                      </w:tcPr>
                      <w:p>
                        <w:pPr>
                          <w:pStyle w:val="TableParagraph"/>
                          <w:spacing w:before="26"/>
                          <w:ind w:left="132"/>
                          <w:rPr>
                            <w:sz w:val="16"/>
                          </w:rPr>
                        </w:pPr>
                        <w:r>
                          <w:rPr>
                            <w:sz w:val="16"/>
                          </w:rPr>
                          <w:t>100,0</w:t>
                        </w:r>
                      </w:p>
                    </w:tc>
                    <w:tc>
                      <w:tcPr>
                        <w:tcW w:w="1132" w:type="dxa"/>
                      </w:tcPr>
                      <w:p>
                        <w:pPr>
                          <w:pStyle w:val="TableParagraph"/>
                          <w:spacing w:before="26"/>
                          <w:ind w:left="132"/>
                          <w:rPr>
                            <w:sz w:val="16"/>
                          </w:rPr>
                        </w:pPr>
                        <w:r>
                          <w:rPr>
                            <w:sz w:val="16"/>
                          </w:rPr>
                          <w:t>51</w:t>
                        </w:r>
                      </w:p>
                    </w:tc>
                    <w:tc>
                      <w:tcPr>
                        <w:tcW w:w="990" w:type="dxa"/>
                      </w:tcPr>
                      <w:p>
                        <w:pPr>
                          <w:pStyle w:val="TableParagraph"/>
                          <w:spacing w:before="26"/>
                          <w:ind w:left="132"/>
                          <w:rPr>
                            <w:sz w:val="16"/>
                          </w:rPr>
                        </w:pPr>
                        <w:r>
                          <w:rPr>
                            <w:sz w:val="16"/>
                          </w:rPr>
                          <w:t>1.498,5</w:t>
                        </w:r>
                      </w:p>
                    </w:tc>
                    <w:tc>
                      <w:tcPr>
                        <w:tcW w:w="842" w:type="dxa"/>
                      </w:tcPr>
                      <w:p>
                        <w:pPr>
                          <w:pStyle w:val="TableParagraph"/>
                          <w:spacing w:before="26"/>
                          <w:ind w:left="132"/>
                          <w:rPr>
                            <w:sz w:val="16"/>
                          </w:rPr>
                        </w:pPr>
                        <w:r>
                          <w:rPr>
                            <w:sz w:val="16"/>
                          </w:rPr>
                          <w:t>100,0</w:t>
                        </w:r>
                      </w:p>
                    </w:tc>
                    <w:tc>
                      <w:tcPr>
                        <w:tcW w:w="1114" w:type="dxa"/>
                        <w:tcBorders>
                          <w:right w:val="nil"/>
                        </w:tcBorders>
                      </w:tcPr>
                      <w:p>
                        <w:pPr>
                          <w:pStyle w:val="TableParagraph"/>
                          <w:spacing w:before="26"/>
                          <w:ind w:left="132"/>
                          <w:rPr>
                            <w:sz w:val="16"/>
                          </w:rPr>
                        </w:pPr>
                        <w:r>
                          <w:rPr>
                            <w:sz w:val="16"/>
                          </w:rPr>
                          <w:t>368</w:t>
                        </w:r>
                      </w:p>
                    </w:tc>
                  </w:tr>
                </w:tbl>
                <w:p>
                  <w:pPr>
                    <w:pStyle w:val="BodyText"/>
                  </w:pPr>
                </w:p>
              </w:txbxContent>
            </v:textbox>
            <w10:wrap type="none"/>
          </v:shape>
        </w:pict>
      </w:r>
      <w:r>
        <w:rPr/>
        <w:t>o partes rurales de municipios urbano-rurales (Fig. 1 y Tab. 1).</w:t>
      </w:r>
    </w:p>
    <w:p>
      <w:pPr>
        <w:spacing w:before="38"/>
        <w:ind w:left="282" w:right="37" w:firstLine="0"/>
        <w:jc w:val="left"/>
        <w:rPr>
          <w:sz w:val="16"/>
        </w:rPr>
      </w:pPr>
      <w:r>
        <w:rPr/>
        <w:br w:type="column"/>
      </w:r>
      <w:r>
        <w:rPr>
          <w:color w:val="6D6E71"/>
          <w:sz w:val="16"/>
        </w:rPr>
        <w:t>Fuente: elaboración propia a partir de datos del Banco de Datos Locales, Oficina Central de  Estadística</w:t>
      </w:r>
    </w:p>
    <w:p>
      <w:pPr>
        <w:pStyle w:val="BodyText"/>
        <w:spacing w:before="5"/>
        <w:rPr>
          <w:sz w:val="22"/>
        </w:rPr>
      </w:pPr>
    </w:p>
    <w:p>
      <w:pPr>
        <w:pStyle w:val="BodyText"/>
        <w:spacing w:line="249" w:lineRule="auto"/>
        <w:ind w:left="126" w:right="127" w:firstLine="170"/>
        <w:jc w:val="both"/>
      </w:pPr>
      <w:r>
        <w:rPr/>
        <w:t>La Zona Metropolitana de Cracovia ha sido establecida en la resolución Núm. XV/174/03 de la Asamblea de la Provincia de Malopolska del 22 de diciembre de 2003. Como criterio para delimitar la ZMC se ha elegido la intensidad de viajes al trabajo, y  el límite de la zona de los desplazamientos entre las unidades arriba del 15% del total de la población activa que viaja cada día a la ciudad central (Zborowski et al, 2010).   En</w:t>
      </w:r>
      <w:r>
        <w:rPr>
          <w:spacing w:val="-3"/>
        </w:rPr>
        <w:t> </w:t>
      </w:r>
      <w:r>
        <w:rPr/>
        <w:t>la</w:t>
      </w:r>
      <w:r>
        <w:rPr>
          <w:spacing w:val="-3"/>
        </w:rPr>
        <w:t> </w:t>
      </w:r>
      <w:r>
        <w:rPr/>
        <w:t>región</w:t>
      </w:r>
      <w:r>
        <w:rPr>
          <w:spacing w:val="-3"/>
        </w:rPr>
        <w:t> </w:t>
      </w:r>
      <w:r>
        <w:rPr/>
        <w:t>de</w:t>
      </w:r>
      <w:r>
        <w:rPr>
          <w:spacing w:val="-3"/>
        </w:rPr>
        <w:t> </w:t>
      </w:r>
      <w:r>
        <w:rPr/>
        <w:t>la</w:t>
      </w:r>
      <w:r>
        <w:rPr>
          <w:spacing w:val="-3"/>
        </w:rPr>
        <w:t> </w:t>
      </w:r>
      <w:r>
        <w:rPr/>
        <w:t>ZMC</w:t>
      </w:r>
      <w:r>
        <w:rPr>
          <w:spacing w:val="-3"/>
        </w:rPr>
        <w:t> </w:t>
      </w:r>
      <w:r>
        <w:rPr/>
        <w:t>así</w:t>
      </w:r>
      <w:r>
        <w:rPr>
          <w:spacing w:val="-3"/>
        </w:rPr>
        <w:t> </w:t>
      </w:r>
      <w:r>
        <w:rPr/>
        <w:t>delimitada,</w:t>
      </w:r>
      <w:r>
        <w:rPr>
          <w:spacing w:val="-3"/>
        </w:rPr>
        <w:t> </w:t>
      </w:r>
      <w:r>
        <w:rPr/>
        <w:t>vivían</w:t>
      </w:r>
      <w:r>
        <w:rPr>
          <w:spacing w:val="-3"/>
        </w:rPr>
        <w:t> </w:t>
      </w:r>
      <w:r>
        <w:rPr/>
        <w:t>en</w:t>
      </w:r>
      <w:r>
        <w:rPr>
          <w:spacing w:val="-3"/>
        </w:rPr>
        <w:t> </w:t>
      </w:r>
      <w:r>
        <w:rPr/>
        <w:t>2013,</w:t>
      </w:r>
      <w:r>
        <w:rPr>
          <w:spacing w:val="-3"/>
        </w:rPr>
        <w:t> </w:t>
      </w:r>
      <w:r>
        <w:rPr/>
        <w:t>1´498</w:t>
      </w:r>
      <w:r>
        <w:rPr>
          <w:spacing w:val="-3"/>
        </w:rPr>
        <w:t> </w:t>
      </w:r>
      <w:r>
        <w:rPr/>
        <w:t>mil</w:t>
      </w:r>
      <w:r>
        <w:rPr>
          <w:spacing w:val="-3"/>
        </w:rPr>
        <w:t> </w:t>
      </w:r>
      <w:r>
        <w:rPr/>
        <w:t>personas,</w:t>
      </w:r>
      <w:r>
        <w:rPr>
          <w:spacing w:val="-3"/>
        </w:rPr>
        <w:t> </w:t>
      </w:r>
      <w:r>
        <w:rPr/>
        <w:t>de</w:t>
      </w:r>
      <w:r>
        <w:rPr>
          <w:spacing w:val="-3"/>
        </w:rPr>
        <w:t> </w:t>
      </w:r>
      <w:r>
        <w:rPr/>
        <w:t>ellas</w:t>
      </w:r>
      <w:r>
        <w:rPr>
          <w:spacing w:val="-3"/>
        </w:rPr>
        <w:t> </w:t>
      </w:r>
      <w:r>
        <w:rPr/>
        <w:t>759 mil en Cracovia, lo que constituía un 50.7% de la población de la región metropolitana (Tab. 1). Hay que notar que la participación de Cracovia en la población de la ZMC disminuye, ya que en 1988 fue de un 54,2% (Kurek, Gałka, Wójtowicz,</w:t>
      </w:r>
      <w:r>
        <w:rPr>
          <w:spacing w:val="12"/>
        </w:rPr>
        <w:t> </w:t>
      </w:r>
      <w:r>
        <w:rPr/>
        <w:t>2014).</w:t>
      </w:r>
    </w:p>
    <w:p>
      <w:pPr>
        <w:spacing w:after="0" w:line="249" w:lineRule="auto"/>
        <w:jc w:val="both"/>
        <w:sectPr>
          <w:type w:val="continuous"/>
          <w:pgSz w:w="18830" w:h="12760" w:orient="landscape"/>
          <w:pgMar w:top="1420" w:bottom="280" w:left="720" w:right="720"/>
          <w:cols w:num="2" w:equalWidth="0">
            <w:col w:w="5677" w:space="3738"/>
            <w:col w:w="7975"/>
          </w:cols>
        </w:sectPr>
      </w:pPr>
    </w:p>
    <w:p>
      <w:pPr>
        <w:pStyle w:val="BodyText"/>
        <w:spacing w:before="8"/>
      </w:pPr>
    </w:p>
    <w:p>
      <w:pPr>
        <w:spacing w:after="0"/>
        <w:sectPr>
          <w:footerReference w:type="default" r:id="rId344"/>
          <w:pgSz w:w="18830" w:h="12760" w:orient="landscape"/>
          <w:pgMar w:footer="1036" w:header="522" w:top="820" w:bottom="1220" w:left="720" w:right="720"/>
        </w:sectPr>
      </w:pPr>
    </w:p>
    <w:p>
      <w:pPr>
        <w:pStyle w:val="Heading1"/>
        <w:spacing w:before="71"/>
        <w:ind w:right="-7"/>
      </w:pPr>
      <w:r>
        <w:rPr/>
        <w:t>Cambios de la población y las migraciones en la ZMC</w:t>
      </w:r>
    </w:p>
    <w:p>
      <w:pPr>
        <w:pStyle w:val="BodyText"/>
        <w:rPr>
          <w:b/>
          <w:sz w:val="21"/>
        </w:rPr>
      </w:pPr>
    </w:p>
    <w:p>
      <w:pPr>
        <w:pStyle w:val="BodyText"/>
        <w:spacing w:line="249" w:lineRule="auto"/>
        <w:ind w:left="130" w:firstLine="170"/>
        <w:jc w:val="both"/>
      </w:pPr>
      <w:r>
        <w:rPr/>
        <w:t>Los procesos de suburbanización demográfica tienen influencia en la formación de las relaciones ciudad-campo, y sobre todo ciudad-zona suburbana. Desde el punto de vista</w:t>
      </w:r>
      <w:r>
        <w:rPr>
          <w:spacing w:val="-7"/>
        </w:rPr>
        <w:t> </w:t>
      </w:r>
      <w:r>
        <w:rPr/>
        <w:t>administrativo,</w:t>
      </w:r>
      <w:r>
        <w:rPr>
          <w:spacing w:val="-7"/>
        </w:rPr>
        <w:t> </w:t>
      </w:r>
      <w:r>
        <w:rPr/>
        <w:t>un</w:t>
      </w:r>
      <w:r>
        <w:rPr>
          <w:spacing w:val="-7"/>
        </w:rPr>
        <w:t> </w:t>
      </w:r>
      <w:r>
        <w:rPr/>
        <w:t>resultado</w:t>
      </w:r>
      <w:r>
        <w:rPr>
          <w:spacing w:val="-7"/>
        </w:rPr>
        <w:t> </w:t>
      </w:r>
      <w:r>
        <w:rPr/>
        <w:t>de</w:t>
      </w:r>
      <w:r>
        <w:rPr>
          <w:spacing w:val="-7"/>
        </w:rPr>
        <w:t> </w:t>
      </w:r>
      <w:r>
        <w:rPr/>
        <w:t>los</w:t>
      </w:r>
      <w:r>
        <w:rPr>
          <w:spacing w:val="-7"/>
        </w:rPr>
        <w:t> </w:t>
      </w:r>
      <w:r>
        <w:rPr/>
        <w:t>procesos</w:t>
      </w:r>
      <w:r>
        <w:rPr>
          <w:spacing w:val="-7"/>
        </w:rPr>
        <w:t> </w:t>
      </w:r>
      <w:r>
        <w:rPr/>
        <w:t>de</w:t>
      </w:r>
      <w:r>
        <w:rPr>
          <w:spacing w:val="-7"/>
        </w:rPr>
        <w:t> </w:t>
      </w:r>
      <w:r>
        <w:rPr/>
        <w:t>suburbanización</w:t>
      </w:r>
      <w:r>
        <w:rPr>
          <w:spacing w:val="-7"/>
        </w:rPr>
        <w:t> </w:t>
      </w:r>
      <w:r>
        <w:rPr/>
        <w:t>es</w:t>
      </w:r>
      <w:r>
        <w:rPr>
          <w:spacing w:val="-7"/>
        </w:rPr>
        <w:t> </w:t>
      </w:r>
      <w:r>
        <w:rPr/>
        <w:t>la</w:t>
      </w:r>
      <w:r>
        <w:rPr>
          <w:spacing w:val="-7"/>
        </w:rPr>
        <w:t> </w:t>
      </w:r>
      <w:r>
        <w:rPr/>
        <w:t>bajada</w:t>
      </w:r>
      <w:r>
        <w:rPr>
          <w:spacing w:val="-7"/>
        </w:rPr>
        <w:t> </w:t>
      </w:r>
      <w:r>
        <w:rPr/>
        <w:t>de</w:t>
      </w:r>
      <w:r>
        <w:rPr>
          <w:spacing w:val="-7"/>
        </w:rPr>
        <w:t> </w:t>
      </w:r>
      <w:r>
        <w:rPr/>
        <w:t>la población de la ciudad central y el aumento de la población en las zonas que rodean el núcleo urbano. La bajada de la población en la ciudades tiene un aspecto únicamente territorial, y no funcional, ya que la población que se traslada a los suburbios a</w:t>
      </w:r>
      <w:r>
        <w:rPr>
          <w:spacing w:val="-24"/>
        </w:rPr>
        <w:t> </w:t>
      </w:r>
      <w:r>
        <w:rPr/>
        <w:t>menudo no pierde el contacto con la ciudad central, volviéndose así una parte del llamado sistema</w:t>
      </w:r>
      <w:r>
        <w:rPr>
          <w:spacing w:val="-5"/>
        </w:rPr>
        <w:t> </w:t>
      </w:r>
      <w:r>
        <w:rPr/>
        <w:t>urbano</w:t>
      </w:r>
      <w:r>
        <w:rPr>
          <w:spacing w:val="-4"/>
        </w:rPr>
        <w:t> </w:t>
      </w:r>
      <w:r>
        <w:rPr/>
        <w:t>diurno</w:t>
      </w:r>
      <w:r>
        <w:rPr>
          <w:spacing w:val="-5"/>
        </w:rPr>
        <w:t> </w:t>
      </w:r>
      <w:r>
        <w:rPr/>
        <w:t>(Śleszyński,</w:t>
      </w:r>
      <w:r>
        <w:rPr>
          <w:spacing w:val="-5"/>
        </w:rPr>
        <w:t> </w:t>
      </w:r>
      <w:r>
        <w:rPr/>
        <w:t>2006).</w:t>
      </w:r>
      <w:r>
        <w:rPr>
          <w:spacing w:val="-5"/>
        </w:rPr>
        <w:t> </w:t>
      </w:r>
      <w:r>
        <w:rPr/>
        <w:t>Sin</w:t>
      </w:r>
      <w:r>
        <w:rPr>
          <w:spacing w:val="-4"/>
        </w:rPr>
        <w:t> </w:t>
      </w:r>
      <w:r>
        <w:rPr/>
        <w:t>embargo,</w:t>
      </w:r>
      <w:r>
        <w:rPr>
          <w:spacing w:val="-5"/>
        </w:rPr>
        <w:t> </w:t>
      </w:r>
      <w:r>
        <w:rPr/>
        <w:t>hay</w:t>
      </w:r>
      <w:r>
        <w:rPr>
          <w:spacing w:val="-4"/>
        </w:rPr>
        <w:t> </w:t>
      </w:r>
      <w:r>
        <w:rPr/>
        <w:t>que</w:t>
      </w:r>
      <w:r>
        <w:rPr>
          <w:spacing w:val="-5"/>
        </w:rPr>
        <w:t> </w:t>
      </w:r>
      <w:r>
        <w:rPr/>
        <w:t>recordar</w:t>
      </w:r>
      <w:r>
        <w:rPr>
          <w:spacing w:val="-5"/>
        </w:rPr>
        <w:t> </w:t>
      </w:r>
      <w:r>
        <w:rPr/>
        <w:t>que</w:t>
      </w:r>
      <w:r>
        <w:rPr>
          <w:spacing w:val="-5"/>
        </w:rPr>
        <w:t> </w:t>
      </w:r>
      <w:r>
        <w:rPr/>
        <w:t>no</w:t>
      </w:r>
      <w:r>
        <w:rPr>
          <w:spacing w:val="-5"/>
        </w:rPr>
        <w:t> </w:t>
      </w:r>
      <w:r>
        <w:rPr/>
        <w:t>todos los desplazamientos a la zona suburbana provienen de la ciudad central, ya que entre los elementos del crecimiento hay también los flujos de población proveniente de  fuera de la zona metropolitana y los desplazamientos dentro de la zona suburbana.    El</w:t>
      </w:r>
      <w:r>
        <w:rPr>
          <w:spacing w:val="31"/>
        </w:rPr>
        <w:t> </w:t>
      </w:r>
      <w:r>
        <w:rPr/>
        <w:t>aspecto</w:t>
      </w:r>
      <w:r>
        <w:rPr>
          <w:spacing w:val="31"/>
        </w:rPr>
        <w:t> </w:t>
      </w:r>
      <w:r>
        <w:rPr/>
        <w:t>más</w:t>
      </w:r>
      <w:r>
        <w:rPr>
          <w:spacing w:val="31"/>
        </w:rPr>
        <w:t> </w:t>
      </w:r>
      <w:r>
        <w:rPr/>
        <w:t>importante</w:t>
      </w:r>
      <w:r>
        <w:rPr>
          <w:spacing w:val="31"/>
        </w:rPr>
        <w:t> </w:t>
      </w:r>
      <w:r>
        <w:rPr/>
        <w:t>de</w:t>
      </w:r>
      <w:r>
        <w:rPr>
          <w:spacing w:val="31"/>
        </w:rPr>
        <w:t> </w:t>
      </w:r>
      <w:r>
        <w:rPr/>
        <w:t>la</w:t>
      </w:r>
      <w:r>
        <w:rPr>
          <w:spacing w:val="31"/>
        </w:rPr>
        <w:t> </w:t>
      </w:r>
      <w:r>
        <w:rPr/>
        <w:t>suburbanización</w:t>
      </w:r>
      <w:r>
        <w:rPr>
          <w:spacing w:val="31"/>
        </w:rPr>
        <w:t> </w:t>
      </w:r>
      <w:r>
        <w:rPr/>
        <w:t>demográfica</w:t>
      </w:r>
      <w:r>
        <w:rPr>
          <w:spacing w:val="31"/>
        </w:rPr>
        <w:t> </w:t>
      </w:r>
      <w:r>
        <w:rPr/>
        <w:t>es</w:t>
      </w:r>
      <w:r>
        <w:rPr>
          <w:spacing w:val="31"/>
        </w:rPr>
        <w:t> </w:t>
      </w:r>
      <w:r>
        <w:rPr/>
        <w:t>el</w:t>
      </w:r>
      <w:r>
        <w:rPr>
          <w:spacing w:val="31"/>
        </w:rPr>
        <w:t> </w:t>
      </w:r>
      <w:r>
        <w:rPr/>
        <w:t>aumento</w:t>
      </w:r>
      <w:r>
        <w:rPr>
          <w:spacing w:val="31"/>
        </w:rPr>
        <w:t> </w:t>
      </w:r>
      <w:r>
        <w:rPr/>
        <w:t>de</w:t>
      </w:r>
      <w:r>
        <w:rPr>
          <w:spacing w:val="31"/>
        </w:rPr>
        <w:t> </w:t>
      </w:r>
      <w:r>
        <w:rPr/>
        <w:t>la</w:t>
      </w:r>
      <w:r>
        <w:rPr>
          <w:w w:val="97"/>
        </w:rPr>
        <w:t> </w:t>
      </w:r>
      <w:r>
        <w:rPr/>
        <w:t>población,</w:t>
      </w:r>
      <w:r>
        <w:rPr>
          <w:spacing w:val="-3"/>
        </w:rPr>
        <w:t> </w:t>
      </w:r>
      <w:r>
        <w:rPr/>
        <w:t>sobre</w:t>
      </w:r>
      <w:r>
        <w:rPr>
          <w:spacing w:val="-3"/>
        </w:rPr>
        <w:t> </w:t>
      </w:r>
      <w:r>
        <w:rPr/>
        <w:t>todo</w:t>
      </w:r>
      <w:r>
        <w:rPr>
          <w:spacing w:val="-3"/>
        </w:rPr>
        <w:t> </w:t>
      </w:r>
      <w:r>
        <w:rPr/>
        <w:t>a</w:t>
      </w:r>
      <w:r>
        <w:rPr>
          <w:spacing w:val="-3"/>
        </w:rPr>
        <w:t> </w:t>
      </w:r>
      <w:r>
        <w:rPr/>
        <w:t>causa</w:t>
      </w:r>
      <w:r>
        <w:rPr>
          <w:spacing w:val="-3"/>
        </w:rPr>
        <w:t> </w:t>
      </w:r>
      <w:r>
        <w:rPr/>
        <w:t>de</w:t>
      </w:r>
      <w:r>
        <w:rPr>
          <w:spacing w:val="-3"/>
        </w:rPr>
        <w:t> </w:t>
      </w:r>
      <w:r>
        <w:rPr/>
        <w:t>un</w:t>
      </w:r>
      <w:r>
        <w:rPr>
          <w:spacing w:val="-3"/>
        </w:rPr>
        <w:t> </w:t>
      </w:r>
      <w:r>
        <w:rPr/>
        <w:t>saldo</w:t>
      </w:r>
      <w:r>
        <w:rPr>
          <w:spacing w:val="-3"/>
        </w:rPr>
        <w:t> </w:t>
      </w:r>
      <w:r>
        <w:rPr/>
        <w:t>migratorio</w:t>
      </w:r>
      <w:r>
        <w:rPr>
          <w:spacing w:val="-3"/>
        </w:rPr>
        <w:t> </w:t>
      </w:r>
      <w:r>
        <w:rPr/>
        <w:t>positivo.</w:t>
      </w:r>
      <w:r>
        <w:rPr>
          <w:spacing w:val="-3"/>
        </w:rPr>
        <w:t> </w:t>
      </w:r>
      <w:r>
        <w:rPr/>
        <w:t>En</w:t>
      </w:r>
      <w:r>
        <w:rPr>
          <w:spacing w:val="-3"/>
        </w:rPr>
        <w:t> </w:t>
      </w:r>
      <w:r>
        <w:rPr/>
        <w:t>el</w:t>
      </w:r>
      <w:r>
        <w:rPr>
          <w:spacing w:val="-3"/>
        </w:rPr>
        <w:t> </w:t>
      </w:r>
      <w:r>
        <w:rPr/>
        <w:t>periodo</w:t>
      </w:r>
      <w:r>
        <w:rPr>
          <w:spacing w:val="-3"/>
        </w:rPr>
        <w:t> </w:t>
      </w:r>
      <w:r>
        <w:rPr/>
        <w:t>entre</w:t>
      </w:r>
      <w:r>
        <w:rPr>
          <w:spacing w:val="-3"/>
        </w:rPr>
        <w:t> </w:t>
      </w:r>
      <w:r>
        <w:rPr/>
        <w:t>1988 y</w:t>
      </w:r>
      <w:r>
        <w:rPr>
          <w:spacing w:val="-9"/>
        </w:rPr>
        <w:t> </w:t>
      </w:r>
      <w:r>
        <w:rPr/>
        <w:t>2013</w:t>
      </w:r>
      <w:r>
        <w:rPr>
          <w:spacing w:val="-9"/>
        </w:rPr>
        <w:t> </w:t>
      </w:r>
      <w:r>
        <w:rPr/>
        <w:t>el</w:t>
      </w:r>
      <w:r>
        <w:rPr>
          <w:spacing w:val="-9"/>
        </w:rPr>
        <w:t> </w:t>
      </w:r>
      <w:r>
        <w:rPr/>
        <w:t>número</w:t>
      </w:r>
      <w:r>
        <w:rPr>
          <w:spacing w:val="-9"/>
        </w:rPr>
        <w:t> </w:t>
      </w:r>
      <w:r>
        <w:rPr/>
        <w:t>de</w:t>
      </w:r>
      <w:r>
        <w:rPr>
          <w:spacing w:val="-9"/>
        </w:rPr>
        <w:t> </w:t>
      </w:r>
      <w:r>
        <w:rPr/>
        <w:t>habitantes</w:t>
      </w:r>
      <w:r>
        <w:rPr>
          <w:spacing w:val="-9"/>
        </w:rPr>
        <w:t> </w:t>
      </w:r>
      <w:r>
        <w:rPr/>
        <w:t>de</w:t>
      </w:r>
      <w:r>
        <w:rPr>
          <w:spacing w:val="-9"/>
        </w:rPr>
        <w:t> </w:t>
      </w:r>
      <w:r>
        <w:rPr/>
        <w:t>la</w:t>
      </w:r>
      <w:r>
        <w:rPr>
          <w:spacing w:val="-9"/>
        </w:rPr>
        <w:t> </w:t>
      </w:r>
      <w:r>
        <w:rPr/>
        <w:t>ZMC</w:t>
      </w:r>
      <w:r>
        <w:rPr>
          <w:spacing w:val="-9"/>
        </w:rPr>
        <w:t> </w:t>
      </w:r>
      <w:r>
        <w:rPr/>
        <w:t>aumentó</w:t>
      </w:r>
      <w:r>
        <w:rPr>
          <w:spacing w:val="-9"/>
        </w:rPr>
        <w:t> </w:t>
      </w:r>
      <w:r>
        <w:rPr/>
        <w:t>en</w:t>
      </w:r>
      <w:r>
        <w:rPr>
          <w:spacing w:val="-9"/>
        </w:rPr>
        <w:t> </w:t>
      </w:r>
      <w:r>
        <w:rPr/>
        <w:t>8,8%</w:t>
      </w:r>
      <w:r>
        <w:rPr>
          <w:spacing w:val="-9"/>
        </w:rPr>
        <w:t> </w:t>
      </w:r>
      <w:r>
        <w:rPr/>
        <w:t>(de</w:t>
      </w:r>
      <w:r>
        <w:rPr>
          <w:spacing w:val="-9"/>
        </w:rPr>
        <w:t> </w:t>
      </w:r>
      <w:r>
        <w:rPr/>
        <w:t>116</w:t>
      </w:r>
      <w:r>
        <w:rPr>
          <w:spacing w:val="-9"/>
        </w:rPr>
        <w:t> </w:t>
      </w:r>
      <w:r>
        <w:rPr/>
        <w:t>mil),</w:t>
      </w:r>
      <w:r>
        <w:rPr>
          <w:spacing w:val="-9"/>
        </w:rPr>
        <w:t> </w:t>
      </w:r>
      <w:r>
        <w:rPr/>
        <w:t>pero</w:t>
      </w:r>
      <w:r>
        <w:rPr>
          <w:spacing w:val="-9"/>
        </w:rPr>
        <w:t> </w:t>
      </w:r>
      <w:r>
        <w:rPr/>
        <w:t>el</w:t>
      </w:r>
      <w:r>
        <w:rPr>
          <w:spacing w:val="-9"/>
        </w:rPr>
        <w:t> </w:t>
      </w:r>
      <w:r>
        <w:rPr/>
        <w:t>mayor</w:t>
      </w:r>
      <w:r>
        <w:rPr>
          <w:w w:val="100"/>
        </w:rPr>
        <w:t> </w:t>
      </w:r>
      <w:r>
        <w:rPr/>
        <w:t>aumento se observó en la zona suburbana (26,7%), y en segundo lugar en la zona de los desplazamientos, en 12,3% (Fig. 2). Esto significa una gran intensidad de procesos de suburbanización, entre la tercera y la cuarta fase del ciclo demográfico urbano. Al mismo tiempo, la población de Cracovia aumentó en sólo un 1,7%. No obstante, hay que tener en cuenta que estos datos conciernen a las personas que cumplieron los trámites de empadronamiento, así que el aumento real de la población de Cracovia pudo ser más</w:t>
      </w:r>
      <w:r>
        <w:rPr>
          <w:spacing w:val="17"/>
        </w:rPr>
        <w:t> </w:t>
      </w:r>
      <w:r>
        <w:rPr/>
        <w:t>grande.</w:t>
      </w:r>
    </w:p>
    <w:p>
      <w:pPr>
        <w:pStyle w:val="BodyText"/>
        <w:spacing w:before="2"/>
        <w:rPr>
          <w:sz w:val="24"/>
        </w:rPr>
      </w:pPr>
    </w:p>
    <w:p>
      <w:pPr>
        <w:spacing w:line="312" w:lineRule="auto" w:before="0"/>
        <w:ind w:left="3402" w:right="-7" w:hanging="3091"/>
        <w:jc w:val="left"/>
        <w:rPr>
          <w:sz w:val="16"/>
        </w:rPr>
      </w:pPr>
      <w:r>
        <w:rPr>
          <w:color w:val="6D6E71"/>
          <w:sz w:val="16"/>
        </w:rPr>
        <w:t>Figura 2. Cambios en la población de las diferentes zonas de la Zona Metropolitana de Cracovia en los años 1988-2013</w:t>
      </w:r>
    </w:p>
    <w:p>
      <w:pPr>
        <w:pStyle w:val="BodyText"/>
        <w:ind w:left="1534"/>
      </w:pPr>
      <w:r>
        <w:rPr/>
        <w:drawing>
          <wp:inline distT="0" distB="0" distL="0" distR="0">
            <wp:extent cx="3089433" cy="2216467"/>
            <wp:effectExtent l="0" t="0" r="0" b="0"/>
            <wp:docPr id="129" name="image93.png" descr=""/>
            <wp:cNvGraphicFramePr>
              <a:graphicFrameLocks noChangeAspect="1"/>
            </wp:cNvGraphicFramePr>
            <a:graphic>
              <a:graphicData uri="http://schemas.openxmlformats.org/drawingml/2006/picture">
                <pic:pic>
                  <pic:nvPicPr>
                    <pic:cNvPr id="130" name="image93.png"/>
                    <pic:cNvPicPr/>
                  </pic:nvPicPr>
                  <pic:blipFill>
                    <a:blip r:embed="rId345" cstate="print"/>
                    <a:stretch>
                      <a:fillRect/>
                    </a:stretch>
                  </pic:blipFill>
                  <pic:spPr>
                    <a:xfrm>
                      <a:off x="0" y="0"/>
                      <a:ext cx="3089433" cy="2216467"/>
                    </a:xfrm>
                    <a:prstGeom prst="rect">
                      <a:avLst/>
                    </a:prstGeom>
                  </pic:spPr>
                </pic:pic>
              </a:graphicData>
            </a:graphic>
          </wp:inline>
        </w:drawing>
      </w:r>
      <w:r>
        <w:rPr/>
      </w:r>
    </w:p>
    <w:p>
      <w:pPr>
        <w:spacing w:before="111"/>
        <w:ind w:left="129" w:right="0" w:firstLine="0"/>
        <w:jc w:val="center"/>
        <w:rPr>
          <w:sz w:val="16"/>
        </w:rPr>
      </w:pPr>
      <w:r>
        <w:rPr>
          <w:color w:val="6D6E71"/>
          <w:sz w:val="16"/>
        </w:rPr>
        <w:t>Fuente: elaboración propia a partir de datos de la Oficina Central de Estadística.</w:t>
      </w:r>
    </w:p>
    <w:p>
      <w:pPr>
        <w:pStyle w:val="BodyText"/>
        <w:spacing w:line="249" w:lineRule="auto" w:before="109"/>
        <w:ind w:left="130" w:right="127" w:firstLine="170"/>
        <w:jc w:val="both"/>
      </w:pPr>
      <w:r>
        <w:rPr/>
        <w:br w:type="column"/>
      </w:r>
      <w:r>
        <w:rPr/>
        <w:t>El mayor impacto en el crecimiento real de la población en la Zona Metropolitana de Cracovia se observa en el saldo migratorio. En el periodo 1995-2013, su participación varias</w:t>
      </w:r>
      <w:r>
        <w:rPr>
          <w:spacing w:val="-5"/>
        </w:rPr>
        <w:t> </w:t>
      </w:r>
      <w:r>
        <w:rPr/>
        <w:t>veces</w:t>
      </w:r>
      <w:r>
        <w:rPr>
          <w:spacing w:val="-5"/>
        </w:rPr>
        <w:t> </w:t>
      </w:r>
      <w:r>
        <w:rPr/>
        <w:t>superó</w:t>
      </w:r>
      <w:r>
        <w:rPr>
          <w:spacing w:val="-5"/>
        </w:rPr>
        <w:t> </w:t>
      </w:r>
      <w:r>
        <w:rPr/>
        <w:t>el</w:t>
      </w:r>
      <w:r>
        <w:rPr>
          <w:spacing w:val="-5"/>
        </w:rPr>
        <w:t> </w:t>
      </w:r>
      <w:r>
        <w:rPr/>
        <w:t>100%</w:t>
      </w:r>
      <w:r>
        <w:rPr>
          <w:spacing w:val="-5"/>
        </w:rPr>
        <w:t> </w:t>
      </w:r>
      <w:r>
        <w:rPr/>
        <w:t>del</w:t>
      </w:r>
      <w:r>
        <w:rPr>
          <w:spacing w:val="-5"/>
        </w:rPr>
        <w:t> </w:t>
      </w:r>
      <w:r>
        <w:rPr/>
        <w:t>valor</w:t>
      </w:r>
      <w:r>
        <w:rPr>
          <w:spacing w:val="-5"/>
        </w:rPr>
        <w:t> </w:t>
      </w:r>
      <w:r>
        <w:rPr/>
        <w:t>del</w:t>
      </w:r>
      <w:r>
        <w:rPr>
          <w:spacing w:val="-5"/>
        </w:rPr>
        <w:t> </w:t>
      </w:r>
      <w:r>
        <w:rPr/>
        <w:t>crecimiento</w:t>
      </w:r>
      <w:r>
        <w:rPr>
          <w:spacing w:val="-5"/>
        </w:rPr>
        <w:t> </w:t>
      </w:r>
      <w:r>
        <w:rPr/>
        <w:t>real,</w:t>
      </w:r>
      <w:r>
        <w:rPr>
          <w:spacing w:val="-5"/>
        </w:rPr>
        <w:t> </w:t>
      </w:r>
      <w:r>
        <w:rPr/>
        <w:t>compensando</w:t>
      </w:r>
      <w:r>
        <w:rPr>
          <w:spacing w:val="-5"/>
        </w:rPr>
        <w:t> </w:t>
      </w:r>
      <w:r>
        <w:rPr/>
        <w:t>con</w:t>
      </w:r>
      <w:r>
        <w:rPr>
          <w:spacing w:val="-5"/>
        </w:rPr>
        <w:t> </w:t>
      </w:r>
      <w:r>
        <w:rPr/>
        <w:t>creces</w:t>
      </w:r>
      <w:r>
        <w:rPr>
          <w:spacing w:val="-5"/>
        </w:rPr>
        <w:t> </w:t>
      </w:r>
      <w:r>
        <w:rPr/>
        <w:t>el crecimiento natural negativo (en los años 1997, 1999, 2001-2003). En los últimos</w:t>
      </w:r>
      <w:r>
        <w:rPr>
          <w:spacing w:val="-33"/>
        </w:rPr>
        <w:t> </w:t>
      </w:r>
      <w:r>
        <w:rPr/>
        <w:t>años, la participación del crecimiento natural tuvo valores positivos (en 2008 constituyó el 38%, desde aquel entonces se observa una bajada de la participación del crecimiento natural en el crecimiento real, hasta el 23% en 2013). Existe una gran diferencia en la participación de los diferentes componentes del crecimiento de la población entre la zona suburbana y la zona de los desplazamientos. En la zona suburbana aún en 1995 la participación del crecimiento natural en el crecimiento real de la población fue de  1/3, mientras que en 2003 alcanzó valores negativos, y desde 2008 mantiene un nivel de 10-15%. Varios factores pueden contribuir a este aumento en los últimos años: un aumento</w:t>
      </w:r>
      <w:r>
        <w:rPr>
          <w:spacing w:val="-6"/>
        </w:rPr>
        <w:t> </w:t>
      </w:r>
      <w:r>
        <w:rPr/>
        <w:t>general</w:t>
      </w:r>
      <w:r>
        <w:rPr>
          <w:spacing w:val="-6"/>
        </w:rPr>
        <w:t> </w:t>
      </w:r>
      <w:r>
        <w:rPr/>
        <w:t>del</w:t>
      </w:r>
      <w:r>
        <w:rPr>
          <w:spacing w:val="-6"/>
        </w:rPr>
        <w:t> </w:t>
      </w:r>
      <w:r>
        <w:rPr/>
        <w:t>nivel</w:t>
      </w:r>
      <w:r>
        <w:rPr>
          <w:spacing w:val="-6"/>
        </w:rPr>
        <w:t> </w:t>
      </w:r>
      <w:r>
        <w:rPr/>
        <w:t>de</w:t>
      </w:r>
      <w:r>
        <w:rPr>
          <w:spacing w:val="-6"/>
        </w:rPr>
        <w:t> </w:t>
      </w:r>
      <w:r>
        <w:rPr/>
        <w:t>nacimientos</w:t>
      </w:r>
      <w:r>
        <w:rPr>
          <w:spacing w:val="-6"/>
        </w:rPr>
        <w:t> </w:t>
      </w:r>
      <w:r>
        <w:rPr/>
        <w:t>en</w:t>
      </w:r>
      <w:r>
        <w:rPr>
          <w:spacing w:val="-6"/>
        </w:rPr>
        <w:t> </w:t>
      </w:r>
      <w:r>
        <w:rPr/>
        <w:t>Polonia</w:t>
      </w:r>
      <w:r>
        <w:rPr>
          <w:spacing w:val="-6"/>
        </w:rPr>
        <w:t> </w:t>
      </w:r>
      <w:r>
        <w:rPr/>
        <w:t>(en</w:t>
      </w:r>
      <w:r>
        <w:rPr>
          <w:spacing w:val="-6"/>
        </w:rPr>
        <w:t> </w:t>
      </w:r>
      <w:r>
        <w:rPr/>
        <w:t>comparación</w:t>
      </w:r>
      <w:r>
        <w:rPr>
          <w:spacing w:val="-6"/>
        </w:rPr>
        <w:t> </w:t>
      </w:r>
      <w:r>
        <w:rPr/>
        <w:t>con</w:t>
      </w:r>
      <w:r>
        <w:rPr>
          <w:spacing w:val="-6"/>
        </w:rPr>
        <w:t> </w:t>
      </w:r>
      <w:r>
        <w:rPr/>
        <w:t>el</w:t>
      </w:r>
      <w:r>
        <w:rPr>
          <w:spacing w:val="-6"/>
        </w:rPr>
        <w:t> </w:t>
      </w:r>
      <w:r>
        <w:rPr/>
        <w:t>año</w:t>
      </w:r>
      <w:r>
        <w:rPr>
          <w:spacing w:val="-6"/>
        </w:rPr>
        <w:t> </w:t>
      </w:r>
      <w:r>
        <w:rPr/>
        <w:t>2003, la llamada “depresión de nacimientos”), la afluencia a la zona suburbana de familias con niños o de familias que han planeado tener hijos, y una menor intensidad de migraciones durante la crisis económica después del boom inmobiliario. Por otra parte, en</w:t>
      </w:r>
      <w:r>
        <w:rPr>
          <w:spacing w:val="-5"/>
        </w:rPr>
        <w:t> </w:t>
      </w:r>
      <w:r>
        <w:rPr/>
        <w:t>la</w:t>
      </w:r>
      <w:r>
        <w:rPr>
          <w:spacing w:val="-5"/>
        </w:rPr>
        <w:t> </w:t>
      </w:r>
      <w:r>
        <w:rPr/>
        <w:t>zona</w:t>
      </w:r>
      <w:r>
        <w:rPr>
          <w:spacing w:val="-5"/>
        </w:rPr>
        <w:t> </w:t>
      </w:r>
      <w:r>
        <w:rPr/>
        <w:t>de</w:t>
      </w:r>
      <w:r>
        <w:rPr>
          <w:spacing w:val="-5"/>
        </w:rPr>
        <w:t> </w:t>
      </w:r>
      <w:r>
        <w:rPr/>
        <w:t>los</w:t>
      </w:r>
      <w:r>
        <w:rPr>
          <w:spacing w:val="-5"/>
        </w:rPr>
        <w:t> </w:t>
      </w:r>
      <w:r>
        <w:rPr/>
        <w:t>desplazamientos</w:t>
      </w:r>
      <w:r>
        <w:rPr>
          <w:spacing w:val="-5"/>
        </w:rPr>
        <w:t> </w:t>
      </w:r>
      <w:r>
        <w:rPr/>
        <w:t>se</w:t>
      </w:r>
      <w:r>
        <w:rPr>
          <w:spacing w:val="-5"/>
        </w:rPr>
        <w:t> </w:t>
      </w:r>
      <w:r>
        <w:rPr/>
        <w:t>observa</w:t>
      </w:r>
      <w:r>
        <w:rPr>
          <w:spacing w:val="-5"/>
        </w:rPr>
        <w:t> </w:t>
      </w:r>
      <w:r>
        <w:rPr/>
        <w:t>una</w:t>
      </w:r>
      <w:r>
        <w:rPr>
          <w:spacing w:val="-5"/>
        </w:rPr>
        <w:t> </w:t>
      </w:r>
      <w:r>
        <w:rPr/>
        <w:t>participación</w:t>
      </w:r>
      <w:r>
        <w:rPr>
          <w:spacing w:val="-5"/>
        </w:rPr>
        <w:t> </w:t>
      </w:r>
      <w:r>
        <w:rPr/>
        <w:t>mucho</w:t>
      </w:r>
      <w:r>
        <w:rPr>
          <w:spacing w:val="-5"/>
        </w:rPr>
        <w:t> </w:t>
      </w:r>
      <w:r>
        <w:rPr/>
        <w:t>más</w:t>
      </w:r>
      <w:r>
        <w:rPr>
          <w:spacing w:val="-5"/>
        </w:rPr>
        <w:t> </w:t>
      </w:r>
      <w:r>
        <w:rPr/>
        <w:t>grande</w:t>
      </w:r>
      <w:r>
        <w:rPr>
          <w:spacing w:val="-5"/>
        </w:rPr>
        <w:t> </w:t>
      </w:r>
      <w:r>
        <w:rPr/>
        <w:t>del crecimiento natural, que hasta el año 2002 constituyó más de la mitad del crecimiento real y en los últimos años alcanza los 45%. Una participación considerablemente    más grande del crecimiento natural en el crecimiento total de la población en esta  zona procede del tradicionalmente alto nivel de reproducción, sobre todo en el sur     de la Provincia de Malopolska, así como de un menor flujo migratorio a las áreas que constituyen las periferias de la ZMC (Kurek, Gałka, Wójtowicz,</w:t>
      </w:r>
      <w:r>
        <w:rPr>
          <w:spacing w:val="8"/>
        </w:rPr>
        <w:t> </w:t>
      </w:r>
      <w:r>
        <w:rPr/>
        <w:t>2014).</w:t>
      </w:r>
    </w:p>
    <w:p>
      <w:pPr>
        <w:pStyle w:val="BodyText"/>
        <w:spacing w:before="11"/>
      </w:pPr>
    </w:p>
    <w:p>
      <w:pPr>
        <w:pStyle w:val="BodyText"/>
        <w:spacing w:line="249" w:lineRule="auto"/>
        <w:ind w:left="130" w:right="127" w:firstLine="170"/>
        <w:jc w:val="both"/>
      </w:pPr>
      <w:r>
        <w:rPr/>
        <w:t>En cuanto al nivel del crecimiento natural hasta el año 2009, de las tres zonas delimitadas de la ZMC la que se distinguió por valores más altos fue la zona de los desplazamientos, ubicada en su periferia. Actualmente, un nivel un poco más alto      de crecimiento natural se observa en la zona suburbana. Esto es causado por una afluencia migratoria significativa en los últimos años, sobre todo de gente joven, lo que ha contribuido al aumento del crecimiento natural que en 2003 alcanzó todavía valores negativos. A partir de los años 90, la tendencia ascendente se ha observado también en Cracovia, pero sólo desde 2008 se han notado valores positivos del crecimiento natural. También hay que observar que después del año 2010 en todas las zonas de  la ZMC se ha presentado una pequeña baja del crecimiento natural, lo que puede relacionarse con la crisis económica, requisitos más estrictos para obtener créditos hipotecarios y un menor flujo de inmigrantes (Fig.</w:t>
      </w:r>
      <w:r>
        <w:rPr>
          <w:spacing w:val="9"/>
        </w:rPr>
        <w:t> </w:t>
      </w:r>
      <w:r>
        <w:rPr/>
        <w:t>3).</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346"/>
          <w:pgSz w:w="18830" w:h="12760" w:orient="landscape"/>
          <w:pgMar w:footer="1036" w:header="522" w:top="820" w:bottom="1220" w:left="720" w:right="720"/>
        </w:sectPr>
      </w:pPr>
    </w:p>
    <w:p>
      <w:pPr>
        <w:spacing w:line="312" w:lineRule="auto" w:before="114"/>
        <w:ind w:left="149" w:right="37" w:firstLine="0"/>
        <w:jc w:val="center"/>
        <w:rPr>
          <w:sz w:val="16"/>
        </w:rPr>
      </w:pPr>
      <w:r>
        <w:rPr>
          <w:color w:val="6D6E71"/>
          <w:sz w:val="16"/>
        </w:rPr>
        <w:t>Figura 3. Cambios en la tasa de crecimiento natural por zonas en la Zona Metropolitana de Cracovia en los años 1995-2013</w:t>
      </w:r>
    </w:p>
    <w:p>
      <w:pPr>
        <w:pStyle w:val="BodyText"/>
        <w:spacing w:before="1"/>
        <w:rPr>
          <w:sz w:val="2"/>
        </w:rPr>
      </w:pPr>
    </w:p>
    <w:p>
      <w:pPr>
        <w:pStyle w:val="BodyText"/>
        <w:ind w:left="1610"/>
      </w:pPr>
      <w:r>
        <w:rPr/>
        <w:drawing>
          <wp:inline distT="0" distB="0" distL="0" distR="0">
            <wp:extent cx="3007042" cy="2394108"/>
            <wp:effectExtent l="0" t="0" r="0" b="0"/>
            <wp:docPr id="131" name="image94.jpeg" descr=""/>
            <wp:cNvGraphicFramePr>
              <a:graphicFrameLocks noChangeAspect="1"/>
            </wp:cNvGraphicFramePr>
            <a:graphic>
              <a:graphicData uri="http://schemas.openxmlformats.org/drawingml/2006/picture">
                <pic:pic>
                  <pic:nvPicPr>
                    <pic:cNvPr id="132" name="image94.jpeg"/>
                    <pic:cNvPicPr/>
                  </pic:nvPicPr>
                  <pic:blipFill>
                    <a:blip r:embed="rId347" cstate="print"/>
                    <a:stretch>
                      <a:fillRect/>
                    </a:stretch>
                  </pic:blipFill>
                  <pic:spPr>
                    <a:xfrm>
                      <a:off x="0" y="0"/>
                      <a:ext cx="3007042" cy="2394108"/>
                    </a:xfrm>
                    <a:prstGeom prst="rect">
                      <a:avLst/>
                    </a:prstGeom>
                  </pic:spPr>
                </pic:pic>
              </a:graphicData>
            </a:graphic>
          </wp:inline>
        </w:drawing>
      </w:r>
      <w:r>
        <w:rPr/>
      </w:r>
    </w:p>
    <w:p>
      <w:pPr>
        <w:pStyle w:val="BodyText"/>
        <w:rPr>
          <w:sz w:val="16"/>
        </w:rPr>
      </w:pPr>
    </w:p>
    <w:p>
      <w:pPr>
        <w:spacing w:before="103"/>
        <w:ind w:left="147" w:right="37" w:firstLine="0"/>
        <w:jc w:val="center"/>
        <w:rPr>
          <w:sz w:val="16"/>
        </w:rPr>
      </w:pPr>
      <w:r>
        <w:rPr>
          <w:color w:val="6D6E71"/>
          <w:sz w:val="16"/>
        </w:rPr>
        <w:t>Fuente: elaboración propia a partir de datos de la Oficina Central de Estadística.</w:t>
      </w:r>
    </w:p>
    <w:p>
      <w:pPr>
        <w:pStyle w:val="BodyText"/>
        <w:spacing w:before="5"/>
        <w:rPr>
          <w:sz w:val="22"/>
        </w:rPr>
      </w:pPr>
    </w:p>
    <w:p>
      <w:pPr>
        <w:pStyle w:val="BodyText"/>
        <w:spacing w:line="249" w:lineRule="auto"/>
        <w:ind w:left="111" w:firstLine="170"/>
        <w:jc w:val="both"/>
      </w:pPr>
      <w:r>
        <w:rPr/>
        <w:t>Hasta el inicio de los años 90 del siglo XX el esquema de migraciones internas en Polonia fue relativamente simple, ya que lo dominaron los flujos de población de zonas rurales</w:t>
      </w:r>
      <w:r>
        <w:rPr>
          <w:spacing w:val="-8"/>
        </w:rPr>
        <w:t> </w:t>
      </w:r>
      <w:r>
        <w:rPr/>
        <w:t>a</w:t>
      </w:r>
      <w:r>
        <w:rPr>
          <w:spacing w:val="-8"/>
        </w:rPr>
        <w:t> </w:t>
      </w:r>
      <w:r>
        <w:rPr/>
        <w:t>las</w:t>
      </w:r>
      <w:r>
        <w:rPr>
          <w:spacing w:val="-8"/>
        </w:rPr>
        <w:t> </w:t>
      </w:r>
      <w:r>
        <w:rPr/>
        <w:t>ciudades.</w:t>
      </w:r>
      <w:r>
        <w:rPr>
          <w:spacing w:val="-8"/>
        </w:rPr>
        <w:t> </w:t>
      </w:r>
      <w:r>
        <w:rPr/>
        <w:t>La</w:t>
      </w:r>
      <w:r>
        <w:rPr>
          <w:spacing w:val="-8"/>
        </w:rPr>
        <w:t> </w:t>
      </w:r>
      <w:r>
        <w:rPr/>
        <w:t>falta</w:t>
      </w:r>
      <w:r>
        <w:rPr>
          <w:spacing w:val="-8"/>
        </w:rPr>
        <w:t> </w:t>
      </w:r>
      <w:r>
        <w:rPr/>
        <w:t>de</w:t>
      </w:r>
      <w:r>
        <w:rPr>
          <w:spacing w:val="-8"/>
        </w:rPr>
        <w:t> </w:t>
      </w:r>
      <w:r>
        <w:rPr/>
        <w:t>inversiones</w:t>
      </w:r>
      <w:r>
        <w:rPr>
          <w:spacing w:val="-8"/>
        </w:rPr>
        <w:t> </w:t>
      </w:r>
      <w:r>
        <w:rPr/>
        <w:t>en</w:t>
      </w:r>
      <w:r>
        <w:rPr>
          <w:spacing w:val="-8"/>
        </w:rPr>
        <w:t> </w:t>
      </w:r>
      <w:r>
        <w:rPr/>
        <w:t>el</w:t>
      </w:r>
      <w:r>
        <w:rPr>
          <w:spacing w:val="-8"/>
        </w:rPr>
        <w:t> </w:t>
      </w:r>
      <w:r>
        <w:rPr/>
        <w:t>medio</w:t>
      </w:r>
      <w:r>
        <w:rPr>
          <w:spacing w:val="-8"/>
        </w:rPr>
        <w:t> </w:t>
      </w:r>
      <w:r>
        <w:rPr/>
        <w:t>rural</w:t>
      </w:r>
      <w:r>
        <w:rPr>
          <w:spacing w:val="-8"/>
        </w:rPr>
        <w:t> </w:t>
      </w:r>
      <w:r>
        <w:rPr/>
        <w:t>y</w:t>
      </w:r>
      <w:r>
        <w:rPr>
          <w:spacing w:val="-8"/>
        </w:rPr>
        <w:t> </w:t>
      </w:r>
      <w:r>
        <w:rPr/>
        <w:t>un</w:t>
      </w:r>
      <w:r>
        <w:rPr>
          <w:spacing w:val="-8"/>
        </w:rPr>
        <w:t> </w:t>
      </w:r>
      <w:r>
        <w:rPr/>
        <w:t>mercado</w:t>
      </w:r>
      <w:r>
        <w:rPr>
          <w:spacing w:val="-8"/>
        </w:rPr>
        <w:t> </w:t>
      </w:r>
      <w:r>
        <w:rPr/>
        <w:t>de</w:t>
      </w:r>
      <w:r>
        <w:rPr>
          <w:spacing w:val="-8"/>
        </w:rPr>
        <w:t> </w:t>
      </w:r>
      <w:r>
        <w:rPr/>
        <w:t>trabajo limitado en el campo fueron importantes factores de empuje hacia las ciudades, que  se urbanizaban e industrializaban rápidamente (Gawryszewski, 1989; Korcelli, 1990). La transformación política y económica que se realizó después del año 1989 cambió fundamentalmente las condiciones socioeconómicas en Polonia, lo que tuvo una influencia decisiva en los comportamientos migratorios de la población. Los efectos   de la transformación económica tuvieron un impacto especialmente fuerte en las</w:t>
      </w:r>
      <w:r>
        <w:rPr>
          <w:spacing w:val="-18"/>
        </w:rPr>
        <w:t> </w:t>
      </w:r>
      <w:r>
        <w:rPr/>
        <w:t>zonas rurales,</w:t>
      </w:r>
      <w:r>
        <w:rPr>
          <w:spacing w:val="-5"/>
        </w:rPr>
        <w:t> </w:t>
      </w:r>
      <w:r>
        <w:rPr/>
        <w:t>donde</w:t>
      </w:r>
      <w:r>
        <w:rPr>
          <w:spacing w:val="-5"/>
        </w:rPr>
        <w:t> </w:t>
      </w:r>
      <w:r>
        <w:rPr/>
        <w:t>ya</w:t>
      </w:r>
      <w:r>
        <w:rPr>
          <w:spacing w:val="-5"/>
        </w:rPr>
        <w:t> </w:t>
      </w:r>
      <w:r>
        <w:rPr/>
        <w:t>durante</w:t>
      </w:r>
      <w:r>
        <w:rPr>
          <w:spacing w:val="-5"/>
        </w:rPr>
        <w:t> </w:t>
      </w:r>
      <w:r>
        <w:rPr/>
        <w:t>el</w:t>
      </w:r>
      <w:r>
        <w:rPr>
          <w:spacing w:val="-5"/>
        </w:rPr>
        <w:t> </w:t>
      </w:r>
      <w:r>
        <w:rPr/>
        <w:t>socialismo</w:t>
      </w:r>
      <w:r>
        <w:rPr>
          <w:spacing w:val="-5"/>
        </w:rPr>
        <w:t> </w:t>
      </w:r>
      <w:r>
        <w:rPr/>
        <w:t>no</w:t>
      </w:r>
      <w:r>
        <w:rPr>
          <w:spacing w:val="-5"/>
        </w:rPr>
        <w:t> </w:t>
      </w:r>
      <w:r>
        <w:rPr/>
        <w:t>se</w:t>
      </w:r>
      <w:r>
        <w:rPr>
          <w:spacing w:val="-5"/>
        </w:rPr>
        <w:t> </w:t>
      </w:r>
      <w:r>
        <w:rPr/>
        <w:t>habían</w:t>
      </w:r>
      <w:r>
        <w:rPr>
          <w:spacing w:val="-5"/>
        </w:rPr>
        <w:t> </w:t>
      </w:r>
      <w:r>
        <w:rPr/>
        <w:t>producido</w:t>
      </w:r>
      <w:r>
        <w:rPr>
          <w:spacing w:val="-5"/>
        </w:rPr>
        <w:t> </w:t>
      </w:r>
      <w:r>
        <w:rPr/>
        <w:t>inversiones</w:t>
      </w:r>
      <w:r>
        <w:rPr>
          <w:spacing w:val="-5"/>
        </w:rPr>
        <w:t> </w:t>
      </w:r>
      <w:r>
        <w:rPr/>
        <w:t>suficientes, mientras que las ciudades, sobre todo los centros urbanos grandes y multifuncionales, después del “choque” inicial se adaptaron mucho más rápidamente a la</w:t>
      </w:r>
      <w:r>
        <w:rPr>
          <w:spacing w:val="5"/>
        </w:rPr>
        <w:t> </w:t>
      </w:r>
      <w:r>
        <w:rPr/>
        <w:t>nueva realidad</w:t>
      </w:r>
      <w:r>
        <w:rPr>
          <w:w w:val="100"/>
        </w:rPr>
        <w:t> </w:t>
      </w:r>
      <w:r>
        <w:rPr/>
        <w:t>y empezaron a desarrollarse económicamente. Al inicio de la transformación, las</w:t>
      </w:r>
      <w:r>
        <w:rPr>
          <w:spacing w:val="-33"/>
        </w:rPr>
        <w:t> </w:t>
      </w:r>
      <w:r>
        <w:rPr/>
        <w:t>zonas suburbanas seguían siendo descuidadas en cuanto a la infraestructura de transporte   y tenían poco acceso a servicios, lo que considerablemente reducía la propensión de la nueva clase media a la “huida” a los suburbios. Un factor adicional que detenía a  los migrantes potenciales en las ciudades era el índice de motorización relativamente bajo que, junto con la falta de un transporte público eficiente, también apagaba el entusiasmo por la vida en los suburbios (Korcelli, 1994; Korcelli,</w:t>
      </w:r>
      <w:r>
        <w:rPr>
          <w:spacing w:val="20"/>
        </w:rPr>
        <w:t> </w:t>
      </w:r>
      <w:r>
        <w:rPr/>
        <w:t>1995).</w:t>
      </w:r>
    </w:p>
    <w:p>
      <w:pPr>
        <w:pStyle w:val="BodyText"/>
        <w:spacing w:line="249" w:lineRule="auto" w:before="76"/>
        <w:ind w:left="111" w:right="129" w:firstLine="170"/>
        <w:jc w:val="both"/>
      </w:pPr>
      <w:r>
        <w:rPr/>
        <w:br w:type="column"/>
      </w:r>
      <w:r>
        <w:rPr/>
        <w:t>En la década de los 90 del siglo XX no sólo los factores económicos y la falta de infraestructura frenaban el proceso del flujo migratorio de  grandes  ciudades  a  la zona suburbana. También hay que recordar que a causa del crecimiento territorial     de las ciudades durante el socialismo, la mayoría de ellas tenía todavía en sus límites administrativos mucho espacio libre para la construcción de viviendas, que en </w:t>
      </w:r>
      <w:r>
        <w:rPr>
          <w:spacing w:val="-2"/>
        </w:rPr>
        <w:t>primer </w:t>
      </w:r>
      <w:r>
        <w:rPr/>
        <w:t>lugar interesaba a las empresas inmobiliarias y las cooperativas que construían</w:t>
      </w:r>
      <w:r>
        <w:rPr>
          <w:spacing w:val="-33"/>
        </w:rPr>
        <w:t> </w:t>
      </w:r>
      <w:r>
        <w:rPr>
          <w:spacing w:val="-2"/>
        </w:rPr>
        <w:t>nuevas </w:t>
      </w:r>
      <w:r>
        <w:rPr/>
        <w:t>viviendas.</w:t>
      </w:r>
      <w:r>
        <w:rPr>
          <w:spacing w:val="-13"/>
        </w:rPr>
        <w:t> </w:t>
      </w:r>
      <w:r>
        <w:rPr/>
        <w:t>Estas</w:t>
      </w:r>
      <w:r>
        <w:rPr>
          <w:spacing w:val="-13"/>
        </w:rPr>
        <w:t> </w:t>
      </w:r>
      <w:r>
        <w:rPr/>
        <w:t>gozaban</w:t>
      </w:r>
      <w:r>
        <w:rPr>
          <w:spacing w:val="-13"/>
        </w:rPr>
        <w:t> </w:t>
      </w:r>
      <w:r>
        <w:rPr/>
        <w:t>en</w:t>
      </w:r>
      <w:r>
        <w:rPr>
          <w:spacing w:val="-13"/>
        </w:rPr>
        <w:t> </w:t>
      </w:r>
      <w:r>
        <w:rPr/>
        <w:t>los</w:t>
      </w:r>
      <w:r>
        <w:rPr>
          <w:spacing w:val="-13"/>
        </w:rPr>
        <w:t> </w:t>
      </w:r>
      <w:r>
        <w:rPr/>
        <w:t>años</w:t>
      </w:r>
      <w:r>
        <w:rPr>
          <w:spacing w:val="-13"/>
        </w:rPr>
        <w:t> </w:t>
      </w:r>
      <w:r>
        <w:rPr/>
        <w:t>90</w:t>
      </w:r>
      <w:r>
        <w:rPr>
          <w:spacing w:val="-13"/>
        </w:rPr>
        <w:t> </w:t>
      </w:r>
      <w:r>
        <w:rPr/>
        <w:t>de</w:t>
      </w:r>
      <w:r>
        <w:rPr>
          <w:spacing w:val="-13"/>
        </w:rPr>
        <w:t> </w:t>
      </w:r>
      <w:r>
        <w:rPr/>
        <w:t>más</w:t>
      </w:r>
      <w:r>
        <w:rPr>
          <w:spacing w:val="-13"/>
        </w:rPr>
        <w:t> </w:t>
      </w:r>
      <w:r>
        <w:rPr/>
        <w:t>popularidad</w:t>
      </w:r>
      <w:r>
        <w:rPr>
          <w:spacing w:val="-13"/>
        </w:rPr>
        <w:t> </w:t>
      </w:r>
      <w:r>
        <w:rPr/>
        <w:t>entre</w:t>
      </w:r>
      <w:r>
        <w:rPr>
          <w:spacing w:val="-13"/>
        </w:rPr>
        <w:t> </w:t>
      </w:r>
      <w:r>
        <w:rPr/>
        <w:t>la</w:t>
      </w:r>
      <w:r>
        <w:rPr>
          <w:spacing w:val="-13"/>
        </w:rPr>
        <w:t> </w:t>
      </w:r>
      <w:r>
        <w:rPr/>
        <w:t>nueva</w:t>
      </w:r>
      <w:r>
        <w:rPr>
          <w:spacing w:val="-13"/>
        </w:rPr>
        <w:t> </w:t>
      </w:r>
      <w:r>
        <w:rPr/>
        <w:t>clase</w:t>
      </w:r>
      <w:r>
        <w:rPr>
          <w:spacing w:val="-13"/>
        </w:rPr>
        <w:t> </w:t>
      </w:r>
      <w:r>
        <w:rPr/>
        <w:t>media porque garantizaban una mejor calidad de viviendas en comparación con los </w:t>
      </w:r>
      <w:r>
        <w:rPr>
          <w:spacing w:val="-2"/>
        </w:rPr>
        <w:t>viejos </w:t>
      </w:r>
      <w:r>
        <w:rPr/>
        <w:t>edificios</w:t>
      </w:r>
      <w:r>
        <w:rPr>
          <w:spacing w:val="-6"/>
        </w:rPr>
        <w:t> </w:t>
      </w:r>
      <w:r>
        <w:rPr/>
        <w:t>de</w:t>
      </w:r>
      <w:r>
        <w:rPr>
          <w:spacing w:val="-6"/>
        </w:rPr>
        <w:t> </w:t>
      </w:r>
      <w:r>
        <w:rPr/>
        <w:t>apartamentos</w:t>
      </w:r>
      <w:r>
        <w:rPr>
          <w:spacing w:val="-6"/>
        </w:rPr>
        <w:t> </w:t>
      </w:r>
      <w:r>
        <w:rPr/>
        <w:t>postsocialistas,</w:t>
      </w:r>
      <w:r>
        <w:rPr>
          <w:spacing w:val="-6"/>
        </w:rPr>
        <w:t> </w:t>
      </w:r>
      <w:r>
        <w:rPr/>
        <w:t>y</w:t>
      </w:r>
      <w:r>
        <w:rPr>
          <w:spacing w:val="-6"/>
        </w:rPr>
        <w:t> </w:t>
      </w:r>
      <w:r>
        <w:rPr/>
        <w:t>al</w:t>
      </w:r>
      <w:r>
        <w:rPr>
          <w:spacing w:val="-6"/>
        </w:rPr>
        <w:t> </w:t>
      </w:r>
      <w:r>
        <w:rPr/>
        <w:t>mismo</w:t>
      </w:r>
      <w:r>
        <w:rPr>
          <w:spacing w:val="-6"/>
        </w:rPr>
        <w:t> </w:t>
      </w:r>
      <w:r>
        <w:rPr/>
        <w:t>tiempo</w:t>
      </w:r>
      <w:r>
        <w:rPr>
          <w:spacing w:val="-6"/>
        </w:rPr>
        <w:t> </w:t>
      </w:r>
      <w:r>
        <w:rPr/>
        <w:t>quedaban</w:t>
      </w:r>
      <w:r>
        <w:rPr>
          <w:spacing w:val="-6"/>
        </w:rPr>
        <w:t> </w:t>
      </w:r>
      <w:r>
        <w:rPr/>
        <w:t>cerca</w:t>
      </w:r>
      <w:r>
        <w:rPr>
          <w:spacing w:val="-6"/>
        </w:rPr>
        <w:t> </w:t>
      </w:r>
      <w:r>
        <w:rPr/>
        <w:t>del</w:t>
      </w:r>
      <w:r>
        <w:rPr>
          <w:spacing w:val="-6"/>
        </w:rPr>
        <w:t> </w:t>
      </w:r>
      <w:r>
        <w:rPr>
          <w:spacing w:val="-2"/>
        </w:rPr>
        <w:t>centro </w:t>
      </w:r>
      <w:r>
        <w:rPr/>
        <w:t>de la ciudad, facilitando los viajes al trabajo o a la escuela y posibilitando un </w:t>
      </w:r>
      <w:r>
        <w:rPr>
          <w:spacing w:val="-2"/>
        </w:rPr>
        <w:t>acceso </w:t>
      </w:r>
      <w:r>
        <w:rPr/>
        <w:t>más fácil a otros servicios en la ciudad. Es por eso que al inicio una gran parte de </w:t>
      </w:r>
      <w:r>
        <w:rPr>
          <w:spacing w:val="-2"/>
        </w:rPr>
        <w:t>las </w:t>
      </w:r>
      <w:r>
        <w:rPr/>
        <w:t>migraciones</w:t>
      </w:r>
      <w:r>
        <w:rPr>
          <w:spacing w:val="-7"/>
        </w:rPr>
        <w:t> </w:t>
      </w:r>
      <w:r>
        <w:rPr/>
        <w:t>en</w:t>
      </w:r>
      <w:r>
        <w:rPr>
          <w:spacing w:val="-7"/>
        </w:rPr>
        <w:t> </w:t>
      </w:r>
      <w:r>
        <w:rPr/>
        <w:t>la</w:t>
      </w:r>
      <w:r>
        <w:rPr>
          <w:spacing w:val="-7"/>
        </w:rPr>
        <w:t> </w:t>
      </w:r>
      <w:r>
        <w:rPr/>
        <w:t>región</w:t>
      </w:r>
      <w:r>
        <w:rPr>
          <w:spacing w:val="-7"/>
        </w:rPr>
        <w:t> </w:t>
      </w:r>
      <w:r>
        <w:rPr/>
        <w:t>urbana</w:t>
      </w:r>
      <w:r>
        <w:rPr>
          <w:spacing w:val="-7"/>
        </w:rPr>
        <w:t> </w:t>
      </w:r>
      <w:r>
        <w:rPr/>
        <w:t>se</w:t>
      </w:r>
      <w:r>
        <w:rPr>
          <w:spacing w:val="-7"/>
        </w:rPr>
        <w:t> </w:t>
      </w:r>
      <w:r>
        <w:rPr/>
        <w:t>hacía</w:t>
      </w:r>
      <w:r>
        <w:rPr>
          <w:spacing w:val="-7"/>
        </w:rPr>
        <w:t> </w:t>
      </w:r>
      <w:r>
        <w:rPr/>
        <w:t>entre</w:t>
      </w:r>
      <w:r>
        <w:rPr>
          <w:spacing w:val="-7"/>
        </w:rPr>
        <w:t> </w:t>
      </w:r>
      <w:r>
        <w:rPr/>
        <w:t>los</w:t>
      </w:r>
      <w:r>
        <w:rPr>
          <w:spacing w:val="-7"/>
        </w:rPr>
        <w:t> </w:t>
      </w:r>
      <w:r>
        <w:rPr/>
        <w:t>barrios</w:t>
      </w:r>
      <w:r>
        <w:rPr>
          <w:spacing w:val="-7"/>
        </w:rPr>
        <w:t> </w:t>
      </w:r>
      <w:r>
        <w:rPr/>
        <w:t>centrales</w:t>
      </w:r>
      <w:r>
        <w:rPr>
          <w:spacing w:val="-7"/>
        </w:rPr>
        <w:t> </w:t>
      </w:r>
      <w:r>
        <w:rPr/>
        <w:t>o</w:t>
      </w:r>
      <w:r>
        <w:rPr>
          <w:spacing w:val="-7"/>
        </w:rPr>
        <w:t> </w:t>
      </w:r>
      <w:r>
        <w:rPr/>
        <w:t>los</w:t>
      </w:r>
      <w:r>
        <w:rPr>
          <w:spacing w:val="-7"/>
        </w:rPr>
        <w:t> </w:t>
      </w:r>
      <w:r>
        <w:rPr/>
        <w:t>vecinos</w:t>
      </w:r>
      <w:r>
        <w:rPr>
          <w:spacing w:val="-7"/>
        </w:rPr>
        <w:t> </w:t>
      </w:r>
      <w:r>
        <w:rPr>
          <w:spacing w:val="-2"/>
        </w:rPr>
        <w:t>viejos </w:t>
      </w:r>
      <w:r>
        <w:rPr/>
        <w:t>barrios de viviendas y los nuevos barrios que aparecían fuera del centro, pero todavía dentro de los límites de la ciudad. En la práctica, pues, los migrantes se quedaban en la</w:t>
      </w:r>
      <w:r>
        <w:rPr>
          <w:spacing w:val="-7"/>
        </w:rPr>
        <w:t> </w:t>
      </w:r>
      <w:r>
        <w:rPr/>
        <w:t>ciudad</w:t>
      </w:r>
      <w:r>
        <w:rPr>
          <w:spacing w:val="-7"/>
        </w:rPr>
        <w:t> </w:t>
      </w:r>
      <w:r>
        <w:rPr/>
        <w:t>y</w:t>
      </w:r>
      <w:r>
        <w:rPr>
          <w:spacing w:val="-7"/>
        </w:rPr>
        <w:t> </w:t>
      </w:r>
      <w:r>
        <w:rPr/>
        <w:t>sus</w:t>
      </w:r>
      <w:r>
        <w:rPr>
          <w:spacing w:val="-7"/>
        </w:rPr>
        <w:t> </w:t>
      </w:r>
      <w:r>
        <w:rPr/>
        <w:t>mudanzas</w:t>
      </w:r>
      <w:r>
        <w:rPr>
          <w:spacing w:val="-7"/>
        </w:rPr>
        <w:t> </w:t>
      </w:r>
      <w:r>
        <w:rPr/>
        <w:t>no</w:t>
      </w:r>
      <w:r>
        <w:rPr>
          <w:spacing w:val="-7"/>
        </w:rPr>
        <w:t> </w:t>
      </w:r>
      <w:r>
        <w:rPr/>
        <w:t>se</w:t>
      </w:r>
      <w:r>
        <w:rPr>
          <w:spacing w:val="-7"/>
        </w:rPr>
        <w:t> </w:t>
      </w:r>
      <w:r>
        <w:rPr/>
        <w:t>registraban</w:t>
      </w:r>
      <w:r>
        <w:rPr>
          <w:spacing w:val="-7"/>
        </w:rPr>
        <w:t> </w:t>
      </w:r>
      <w:r>
        <w:rPr/>
        <w:t>en</w:t>
      </w:r>
      <w:r>
        <w:rPr>
          <w:spacing w:val="-7"/>
        </w:rPr>
        <w:t> </w:t>
      </w:r>
      <w:r>
        <w:rPr/>
        <w:t>las</w:t>
      </w:r>
      <w:r>
        <w:rPr>
          <w:spacing w:val="-7"/>
        </w:rPr>
        <w:t> </w:t>
      </w:r>
      <w:r>
        <w:rPr/>
        <w:t>estadísticas</w:t>
      </w:r>
      <w:r>
        <w:rPr>
          <w:spacing w:val="-7"/>
        </w:rPr>
        <w:t> </w:t>
      </w:r>
      <w:r>
        <w:rPr/>
        <w:t>migratorias.</w:t>
      </w:r>
      <w:r>
        <w:rPr>
          <w:spacing w:val="-7"/>
        </w:rPr>
        <w:t> </w:t>
      </w:r>
      <w:r>
        <w:rPr/>
        <w:t>Un</w:t>
      </w:r>
      <w:r>
        <w:rPr>
          <w:spacing w:val="-7"/>
        </w:rPr>
        <w:t> </w:t>
      </w:r>
      <w:r>
        <w:rPr/>
        <w:t>proceso parecido</w:t>
      </w:r>
      <w:r>
        <w:rPr>
          <w:spacing w:val="-5"/>
        </w:rPr>
        <w:t> </w:t>
      </w:r>
      <w:r>
        <w:rPr/>
        <w:t>se</w:t>
      </w:r>
      <w:r>
        <w:rPr>
          <w:spacing w:val="-5"/>
        </w:rPr>
        <w:t> </w:t>
      </w:r>
      <w:r>
        <w:rPr/>
        <w:t>observó</w:t>
      </w:r>
      <w:r>
        <w:rPr>
          <w:spacing w:val="-5"/>
        </w:rPr>
        <w:t> </w:t>
      </w:r>
      <w:r>
        <w:rPr/>
        <w:t>también</w:t>
      </w:r>
      <w:r>
        <w:rPr>
          <w:spacing w:val="-5"/>
        </w:rPr>
        <w:t> </w:t>
      </w:r>
      <w:r>
        <w:rPr/>
        <w:t>en</w:t>
      </w:r>
      <w:r>
        <w:rPr>
          <w:spacing w:val="-5"/>
        </w:rPr>
        <w:t> </w:t>
      </w:r>
      <w:r>
        <w:rPr/>
        <w:t>otras</w:t>
      </w:r>
      <w:r>
        <w:rPr>
          <w:spacing w:val="-5"/>
        </w:rPr>
        <w:t> </w:t>
      </w:r>
      <w:r>
        <w:rPr/>
        <w:t>ciudades</w:t>
      </w:r>
      <w:r>
        <w:rPr>
          <w:spacing w:val="-5"/>
        </w:rPr>
        <w:t> </w:t>
      </w:r>
      <w:r>
        <w:rPr/>
        <w:t>de</w:t>
      </w:r>
      <w:r>
        <w:rPr>
          <w:spacing w:val="-5"/>
        </w:rPr>
        <w:t> </w:t>
      </w:r>
      <w:r>
        <w:rPr/>
        <w:t>Europa</w:t>
      </w:r>
      <w:r>
        <w:rPr>
          <w:spacing w:val="-5"/>
        </w:rPr>
        <w:t> </w:t>
      </w:r>
      <w:r>
        <w:rPr/>
        <w:t>Central</w:t>
      </w:r>
      <w:r>
        <w:rPr>
          <w:spacing w:val="-5"/>
        </w:rPr>
        <w:t> </w:t>
      </w:r>
      <w:r>
        <w:rPr/>
        <w:t>que</w:t>
      </w:r>
      <w:r>
        <w:rPr>
          <w:spacing w:val="-5"/>
        </w:rPr>
        <w:t> </w:t>
      </w:r>
      <w:r>
        <w:rPr/>
        <w:t>H.</w:t>
      </w:r>
      <w:r>
        <w:rPr>
          <w:spacing w:val="-5"/>
        </w:rPr>
        <w:t> </w:t>
      </w:r>
      <w:r>
        <w:rPr/>
        <w:t>Kok</w:t>
      </w:r>
      <w:r>
        <w:rPr>
          <w:spacing w:val="-5"/>
        </w:rPr>
        <w:t> </w:t>
      </w:r>
      <w:r>
        <w:rPr/>
        <w:t>(1999,</w:t>
      </w:r>
      <w:r>
        <w:rPr>
          <w:spacing w:val="-5"/>
        </w:rPr>
        <w:t> </w:t>
      </w:r>
      <w:r>
        <w:rPr/>
        <w:t>p.</w:t>
      </w:r>
    </w:p>
    <w:p>
      <w:pPr>
        <w:pStyle w:val="BodyText"/>
        <w:spacing w:line="249" w:lineRule="auto" w:before="1"/>
        <w:ind w:left="111" w:right="129"/>
        <w:jc w:val="both"/>
      </w:pPr>
      <w:r>
        <w:rPr/>
        <w:t>55)</w:t>
      </w:r>
      <w:r>
        <w:rPr>
          <w:spacing w:val="-29"/>
        </w:rPr>
        <w:t> </w:t>
      </w:r>
      <w:r>
        <w:rPr/>
        <w:t>denomina</w:t>
      </w:r>
      <w:r>
        <w:rPr>
          <w:spacing w:val="-29"/>
        </w:rPr>
        <w:t> </w:t>
      </w:r>
      <w:r>
        <w:rPr/>
        <w:t>“la</w:t>
      </w:r>
      <w:r>
        <w:rPr>
          <w:spacing w:val="-29"/>
        </w:rPr>
        <w:t> </w:t>
      </w:r>
      <w:r>
        <w:rPr/>
        <w:t>forma</w:t>
      </w:r>
      <w:r>
        <w:rPr>
          <w:spacing w:val="-29"/>
        </w:rPr>
        <w:t> </w:t>
      </w:r>
      <w:r>
        <w:rPr/>
        <w:t>socialista</w:t>
      </w:r>
      <w:r>
        <w:rPr>
          <w:spacing w:val="-29"/>
        </w:rPr>
        <w:t> </w:t>
      </w:r>
      <w:r>
        <w:rPr/>
        <w:t>de</w:t>
      </w:r>
      <w:r>
        <w:rPr>
          <w:spacing w:val="-29"/>
        </w:rPr>
        <w:t> </w:t>
      </w:r>
      <w:r>
        <w:rPr/>
        <w:t>suburbanización”</w:t>
      </w:r>
      <w:r>
        <w:rPr>
          <w:spacing w:val="-29"/>
        </w:rPr>
        <w:t> </w:t>
      </w:r>
      <w:r>
        <w:rPr/>
        <w:t>(</w:t>
      </w:r>
      <w:r>
        <w:rPr>
          <w:i/>
        </w:rPr>
        <w:t>‘socialist</w:t>
      </w:r>
      <w:r>
        <w:rPr>
          <w:i/>
          <w:spacing w:val="-29"/>
        </w:rPr>
        <w:t> </w:t>
      </w:r>
      <w:r>
        <w:rPr>
          <w:i/>
        </w:rPr>
        <w:t>form</w:t>
      </w:r>
      <w:r>
        <w:rPr>
          <w:i/>
          <w:spacing w:val="-29"/>
        </w:rPr>
        <w:t> </w:t>
      </w:r>
      <w:r>
        <w:rPr>
          <w:i/>
        </w:rPr>
        <w:t>of</w:t>
      </w:r>
      <w:r>
        <w:rPr>
          <w:i/>
          <w:spacing w:val="-29"/>
        </w:rPr>
        <w:t> </w:t>
      </w:r>
      <w:r>
        <w:rPr>
          <w:i/>
        </w:rPr>
        <w:t>suburbanization’</w:t>
      </w:r>
      <w:r>
        <w:rPr/>
        <w:t>). Estos procesos fueron muy visibles también en el caso de Cracovia, donde a partir de los años 60 y hasta finales de los 90 aparecieron alrededor de 30 barrios de viviendas con rasgos de edificación suburbana. Las encuestas realizadas entre los habitantes de nuevos</w:t>
      </w:r>
      <w:r>
        <w:rPr>
          <w:spacing w:val="-20"/>
        </w:rPr>
        <w:t> </w:t>
      </w:r>
      <w:r>
        <w:rPr/>
        <w:t>barrios</w:t>
      </w:r>
      <w:r>
        <w:rPr>
          <w:spacing w:val="-20"/>
        </w:rPr>
        <w:t> </w:t>
      </w:r>
      <w:r>
        <w:rPr/>
        <w:t>de</w:t>
      </w:r>
      <w:r>
        <w:rPr>
          <w:spacing w:val="-20"/>
        </w:rPr>
        <w:t> </w:t>
      </w:r>
      <w:r>
        <w:rPr/>
        <w:t>viviendas</w:t>
      </w:r>
      <w:r>
        <w:rPr>
          <w:spacing w:val="-20"/>
        </w:rPr>
        <w:t> </w:t>
      </w:r>
      <w:r>
        <w:rPr/>
        <w:t>mostraron</w:t>
      </w:r>
      <w:r>
        <w:rPr>
          <w:spacing w:val="-20"/>
        </w:rPr>
        <w:t> </w:t>
      </w:r>
      <w:r>
        <w:rPr/>
        <w:t>que</w:t>
      </w:r>
      <w:r>
        <w:rPr>
          <w:spacing w:val="-20"/>
        </w:rPr>
        <w:t> </w:t>
      </w:r>
      <w:r>
        <w:rPr/>
        <w:t>casi</w:t>
      </w:r>
      <w:r>
        <w:rPr>
          <w:spacing w:val="-20"/>
        </w:rPr>
        <w:t> </w:t>
      </w:r>
      <w:r>
        <w:rPr/>
        <w:t>el</w:t>
      </w:r>
      <w:r>
        <w:rPr>
          <w:spacing w:val="-20"/>
        </w:rPr>
        <w:t> </w:t>
      </w:r>
      <w:r>
        <w:rPr/>
        <w:t>89%</w:t>
      </w:r>
      <w:r>
        <w:rPr>
          <w:spacing w:val="-20"/>
        </w:rPr>
        <w:t> </w:t>
      </w:r>
      <w:r>
        <w:rPr/>
        <w:t>de</w:t>
      </w:r>
      <w:r>
        <w:rPr>
          <w:spacing w:val="-20"/>
        </w:rPr>
        <w:t> </w:t>
      </w:r>
      <w:r>
        <w:rPr/>
        <w:t>sus</w:t>
      </w:r>
      <w:r>
        <w:rPr>
          <w:spacing w:val="-20"/>
        </w:rPr>
        <w:t> </w:t>
      </w:r>
      <w:r>
        <w:rPr/>
        <w:t>habitantes</w:t>
      </w:r>
      <w:r>
        <w:rPr>
          <w:spacing w:val="-20"/>
        </w:rPr>
        <w:t> </w:t>
      </w:r>
      <w:r>
        <w:rPr/>
        <w:t>habían</w:t>
      </w:r>
      <w:r>
        <w:rPr>
          <w:spacing w:val="-20"/>
        </w:rPr>
        <w:t> </w:t>
      </w:r>
      <w:r>
        <w:rPr>
          <w:spacing w:val="-2"/>
        </w:rPr>
        <w:t>mudado </w:t>
      </w:r>
      <w:r>
        <w:rPr/>
        <w:t>allí</w:t>
      </w:r>
      <w:r>
        <w:rPr>
          <w:spacing w:val="-13"/>
        </w:rPr>
        <w:t> </w:t>
      </w:r>
      <w:r>
        <w:rPr/>
        <w:t>de</w:t>
      </w:r>
      <w:r>
        <w:rPr>
          <w:spacing w:val="-13"/>
        </w:rPr>
        <w:t> </w:t>
      </w:r>
      <w:r>
        <w:rPr/>
        <w:t>otras</w:t>
      </w:r>
      <w:r>
        <w:rPr>
          <w:spacing w:val="-13"/>
        </w:rPr>
        <w:t> </w:t>
      </w:r>
      <w:r>
        <w:rPr/>
        <w:t>partes</w:t>
      </w:r>
      <w:r>
        <w:rPr>
          <w:spacing w:val="-13"/>
        </w:rPr>
        <w:t> </w:t>
      </w:r>
      <w:r>
        <w:rPr/>
        <w:t>de</w:t>
      </w:r>
      <w:r>
        <w:rPr>
          <w:spacing w:val="-13"/>
        </w:rPr>
        <w:t> </w:t>
      </w:r>
      <w:r>
        <w:rPr/>
        <w:t>Cracovia</w:t>
      </w:r>
      <w:r>
        <w:rPr>
          <w:spacing w:val="-13"/>
        </w:rPr>
        <w:t> </w:t>
      </w:r>
      <w:r>
        <w:rPr/>
        <w:t>(Więcław-Michniewska,</w:t>
      </w:r>
      <w:r>
        <w:rPr>
          <w:spacing w:val="-13"/>
        </w:rPr>
        <w:t> </w:t>
      </w:r>
      <w:r>
        <w:rPr/>
        <w:t>2006,</w:t>
      </w:r>
      <w:r>
        <w:rPr>
          <w:spacing w:val="-13"/>
        </w:rPr>
        <w:t> </w:t>
      </w:r>
      <w:r>
        <w:rPr/>
        <w:t>p.</w:t>
      </w:r>
      <w:r>
        <w:rPr>
          <w:spacing w:val="-13"/>
        </w:rPr>
        <w:t> </w:t>
      </w:r>
      <w:r>
        <w:rPr/>
        <w:t>93).</w:t>
      </w:r>
    </w:p>
    <w:p>
      <w:pPr>
        <w:pStyle w:val="BodyText"/>
        <w:spacing w:before="11"/>
      </w:pPr>
    </w:p>
    <w:p>
      <w:pPr>
        <w:pStyle w:val="BodyText"/>
        <w:spacing w:line="249" w:lineRule="auto"/>
        <w:ind w:left="111" w:right="127" w:firstLine="170"/>
        <w:jc w:val="both"/>
      </w:pPr>
      <w:r>
        <w:rPr/>
        <w:t>Una tendencia general observada entre finales de los 80 y principios de los 90 del siglo</w:t>
      </w:r>
      <w:r>
        <w:rPr>
          <w:spacing w:val="-13"/>
        </w:rPr>
        <w:t> </w:t>
      </w:r>
      <w:r>
        <w:rPr/>
        <w:t>XX</w:t>
      </w:r>
      <w:r>
        <w:rPr>
          <w:spacing w:val="-13"/>
        </w:rPr>
        <w:t> </w:t>
      </w:r>
      <w:r>
        <w:rPr/>
        <w:t>fue</w:t>
      </w:r>
      <w:r>
        <w:rPr>
          <w:spacing w:val="-13"/>
        </w:rPr>
        <w:t> </w:t>
      </w:r>
      <w:r>
        <w:rPr/>
        <w:t>una</w:t>
      </w:r>
      <w:r>
        <w:rPr>
          <w:spacing w:val="-13"/>
        </w:rPr>
        <w:t> </w:t>
      </w:r>
      <w:r>
        <w:rPr/>
        <w:t>migración</w:t>
      </w:r>
      <w:r>
        <w:rPr>
          <w:spacing w:val="-13"/>
        </w:rPr>
        <w:t> </w:t>
      </w:r>
      <w:r>
        <w:rPr/>
        <w:t>menos</w:t>
      </w:r>
      <w:r>
        <w:rPr>
          <w:spacing w:val="-13"/>
        </w:rPr>
        <w:t> </w:t>
      </w:r>
      <w:r>
        <w:rPr/>
        <w:t>intensa</w:t>
      </w:r>
      <w:r>
        <w:rPr>
          <w:spacing w:val="-13"/>
        </w:rPr>
        <w:t> </w:t>
      </w:r>
      <w:r>
        <w:rPr/>
        <w:t>y</w:t>
      </w:r>
      <w:r>
        <w:rPr>
          <w:spacing w:val="-13"/>
        </w:rPr>
        <w:t> </w:t>
      </w:r>
      <w:r>
        <w:rPr/>
        <w:t>una</w:t>
      </w:r>
      <w:r>
        <w:rPr>
          <w:spacing w:val="-13"/>
        </w:rPr>
        <w:t> </w:t>
      </w:r>
      <w:r>
        <w:rPr/>
        <w:t>inversión</w:t>
      </w:r>
      <w:r>
        <w:rPr>
          <w:spacing w:val="-13"/>
        </w:rPr>
        <w:t> </w:t>
      </w:r>
      <w:r>
        <w:rPr/>
        <w:t>en</w:t>
      </w:r>
      <w:r>
        <w:rPr>
          <w:spacing w:val="-13"/>
        </w:rPr>
        <w:t> </w:t>
      </w:r>
      <w:r>
        <w:rPr/>
        <w:t>sus</w:t>
      </w:r>
      <w:r>
        <w:rPr>
          <w:spacing w:val="-13"/>
        </w:rPr>
        <w:t> </w:t>
      </w:r>
      <w:r>
        <w:rPr/>
        <w:t>direcciones</w:t>
      </w:r>
      <w:r>
        <w:rPr>
          <w:spacing w:val="-13"/>
        </w:rPr>
        <w:t> </w:t>
      </w:r>
      <w:r>
        <w:rPr/>
        <w:t>principales (Korcelli 1995; Kupiszewski et al, 1998; Kupiszewski, 2005). Estos cambios se vieron también en el caso de los municipios que forman la Zona Metropolitana de Cracovia,  lo que se confirma en los valores bajos de la tasa del saldo migratorio registrado        en Cracovia y los municipios circundantes (Fig. 4). En el mismo periodo cambiaron también las direcciones de los flujos migratorios, ya que en las zonas rurales alrededor de Cracovia se registraba cada vez menos emigración de la población. El proceso de inversión de los flujos migratorios se realizó más rápidamente en los municipios de la zona suburbana que limitan directamente con Cracovia, donde ya a partir de 1991 se notó un saldo migratorio positivo. En cambio, esta transformación duró mucho más tiempo en los municipios que forman la zona de los desplazamientos, ubicados mucho más lejos de la ciudad y caracterizados por un carácter más rural. En el caso de esta zona sólo desde 1994 la tasa de migración ha empezado a alcanzar valores positivos. También vale la pena señalar que en el caso de la ZMC comportamientos migratorios diferentes se han notados en Cracovia. Mientras que en la escala del país las zonas urbanas empezaron al inicio de los años 90 a tener el saldo migratorio negativo, en Cracovia el saldo generalmente siguió siendo positivo, con excepción del 2007, por lo menos</w:t>
      </w:r>
      <w:r>
        <w:rPr>
          <w:spacing w:val="-6"/>
        </w:rPr>
        <w:t> </w:t>
      </w:r>
      <w:r>
        <w:rPr/>
        <w:t>según</w:t>
      </w:r>
      <w:r>
        <w:rPr>
          <w:spacing w:val="-6"/>
        </w:rPr>
        <w:t> </w:t>
      </w:r>
      <w:r>
        <w:rPr/>
        <w:t>los</w:t>
      </w:r>
      <w:r>
        <w:rPr>
          <w:spacing w:val="-6"/>
        </w:rPr>
        <w:t> </w:t>
      </w:r>
      <w:r>
        <w:rPr/>
        <w:t>datos</w:t>
      </w:r>
      <w:r>
        <w:rPr>
          <w:spacing w:val="-6"/>
        </w:rPr>
        <w:t> </w:t>
      </w:r>
      <w:r>
        <w:rPr/>
        <w:t>de</w:t>
      </w:r>
      <w:r>
        <w:rPr>
          <w:spacing w:val="-6"/>
        </w:rPr>
        <w:t> </w:t>
      </w:r>
      <w:r>
        <w:rPr/>
        <w:t>empadronamiento</w:t>
      </w:r>
      <w:r>
        <w:rPr>
          <w:spacing w:val="-6"/>
        </w:rPr>
        <w:t> </w:t>
      </w:r>
      <w:r>
        <w:rPr/>
        <w:t>(Fig.</w:t>
      </w:r>
      <w:r>
        <w:rPr>
          <w:spacing w:val="-6"/>
        </w:rPr>
        <w:t> </w:t>
      </w:r>
      <w:r>
        <w:rPr/>
        <w:t>4).</w:t>
      </w:r>
      <w:r>
        <w:rPr>
          <w:spacing w:val="-6"/>
        </w:rPr>
        <w:t> </w:t>
      </w:r>
      <w:r>
        <w:rPr/>
        <w:t>Este</w:t>
      </w:r>
      <w:r>
        <w:rPr>
          <w:spacing w:val="-6"/>
        </w:rPr>
        <w:t> </w:t>
      </w:r>
      <w:r>
        <w:rPr/>
        <w:t>fenómeno</w:t>
      </w:r>
      <w:r>
        <w:rPr>
          <w:spacing w:val="-6"/>
        </w:rPr>
        <w:t> </w:t>
      </w:r>
      <w:r>
        <w:rPr/>
        <w:t>se</w:t>
      </w:r>
      <w:r>
        <w:rPr>
          <w:spacing w:val="-6"/>
        </w:rPr>
        <w:t> </w:t>
      </w:r>
      <w:r>
        <w:rPr/>
        <w:t>puede</w:t>
      </w:r>
      <w:r>
        <w:rPr>
          <w:spacing w:val="-6"/>
        </w:rPr>
        <w:t> </w:t>
      </w:r>
      <w:r>
        <w:rPr/>
        <w:t>explicar</w:t>
      </w:r>
    </w:p>
    <w:p>
      <w:pPr>
        <w:spacing w:after="0" w:line="249" w:lineRule="auto"/>
        <w:jc w:val="both"/>
        <w:sectPr>
          <w:type w:val="continuous"/>
          <w:pgSz w:w="18830" w:h="12760" w:orient="landscape"/>
          <w:pgMar w:top="1420" w:bottom="280" w:left="720" w:right="720"/>
          <w:cols w:num="2" w:equalWidth="0">
            <w:col w:w="7823" w:space="1608"/>
            <w:col w:w="7959"/>
          </w:cols>
        </w:sectPr>
      </w:pPr>
    </w:p>
    <w:p>
      <w:pPr>
        <w:pStyle w:val="BodyText"/>
        <w:spacing w:before="6"/>
        <w:rPr>
          <w:sz w:val="23"/>
        </w:rPr>
      </w:pPr>
    </w:p>
    <w:p>
      <w:pPr>
        <w:spacing w:after="0"/>
        <w:rPr>
          <w:sz w:val="23"/>
        </w:rPr>
        <w:sectPr>
          <w:footerReference w:type="default" r:id="rId348"/>
          <w:pgSz w:w="18830" w:h="12760" w:orient="landscape"/>
          <w:pgMar w:footer="1036" w:header="522" w:top="820" w:bottom="1220" w:left="720" w:right="720"/>
        </w:sectPr>
      </w:pPr>
    </w:p>
    <w:p>
      <w:pPr>
        <w:pStyle w:val="BodyText"/>
        <w:spacing w:line="249" w:lineRule="auto" w:before="76"/>
        <w:ind w:left="121"/>
        <w:jc w:val="both"/>
      </w:pPr>
      <w:r>
        <w:rPr/>
        <w:t>por una atractividad migratoria excepcionalmente alta de la ciudad, que es un centro económico multifuncional que se adapta relativamente bien a las nuevas condiciones del mercado. Tampoco se puede ignorar el hecho de que Cracovia es el segundo centro académico más grande del país, que cada año atrae una multitud de nuevos estudiantes de los que una gran parte se queda en la ciudad después de los estudios. Como ya se ha mencionado anteriormente, en el periodo de posguerra se produjo     un importante desarrollo espacial de Cracovia gracias a la incorporación de pueblos limítrofes</w:t>
      </w:r>
      <w:r>
        <w:rPr>
          <w:spacing w:val="-15"/>
        </w:rPr>
        <w:t> </w:t>
      </w:r>
      <w:r>
        <w:rPr/>
        <w:t>(Mydel</w:t>
      </w:r>
      <w:r>
        <w:rPr>
          <w:spacing w:val="-15"/>
        </w:rPr>
        <w:t> </w:t>
      </w:r>
      <w:r>
        <w:rPr/>
        <w:t>1994;</w:t>
      </w:r>
      <w:r>
        <w:rPr>
          <w:spacing w:val="-15"/>
        </w:rPr>
        <w:t> </w:t>
      </w:r>
      <w:r>
        <w:rPr/>
        <w:t>1996),</w:t>
      </w:r>
      <w:r>
        <w:rPr>
          <w:spacing w:val="-15"/>
        </w:rPr>
        <w:t> </w:t>
      </w:r>
      <w:r>
        <w:rPr/>
        <w:t>así</w:t>
      </w:r>
      <w:r>
        <w:rPr>
          <w:spacing w:val="-15"/>
        </w:rPr>
        <w:t> </w:t>
      </w:r>
      <w:r>
        <w:rPr/>
        <w:t>que</w:t>
      </w:r>
      <w:r>
        <w:rPr>
          <w:spacing w:val="-15"/>
        </w:rPr>
        <w:t> </w:t>
      </w:r>
      <w:r>
        <w:rPr/>
        <w:t>en</w:t>
      </w:r>
      <w:r>
        <w:rPr>
          <w:spacing w:val="-15"/>
        </w:rPr>
        <w:t> </w:t>
      </w:r>
      <w:r>
        <w:rPr/>
        <w:t>la</w:t>
      </w:r>
      <w:r>
        <w:rPr>
          <w:spacing w:val="-15"/>
        </w:rPr>
        <w:t> </w:t>
      </w:r>
      <w:r>
        <w:rPr/>
        <w:t>ciudad</w:t>
      </w:r>
      <w:r>
        <w:rPr>
          <w:spacing w:val="-15"/>
        </w:rPr>
        <w:t> </w:t>
      </w:r>
      <w:r>
        <w:rPr/>
        <w:t>todavía</w:t>
      </w:r>
      <w:r>
        <w:rPr>
          <w:spacing w:val="-15"/>
        </w:rPr>
        <w:t> </w:t>
      </w:r>
      <w:r>
        <w:rPr/>
        <w:t>se</w:t>
      </w:r>
      <w:r>
        <w:rPr>
          <w:spacing w:val="-15"/>
        </w:rPr>
        <w:t> </w:t>
      </w:r>
      <w:r>
        <w:rPr/>
        <w:t>encuentran</w:t>
      </w:r>
      <w:r>
        <w:rPr>
          <w:spacing w:val="-15"/>
        </w:rPr>
        <w:t> </w:t>
      </w:r>
      <w:r>
        <w:rPr/>
        <w:t>grandes</w:t>
      </w:r>
      <w:r>
        <w:rPr>
          <w:spacing w:val="-15"/>
        </w:rPr>
        <w:t> </w:t>
      </w:r>
      <w:r>
        <w:rPr/>
        <w:t>zonas no urbanizadas que desde los años 90 gradualmente se urbanizan. Teniendo esto en cuenta, no es difícil de explicar el continuo crecimiento migratorio en Cracovia (Fig. 4). También hay que suponer que en el caso de su desarrollo económico y del</w:t>
      </w:r>
      <w:r>
        <w:rPr>
          <w:spacing w:val="-32"/>
        </w:rPr>
        <w:t> </w:t>
      </w:r>
      <w:r>
        <w:rPr/>
        <w:t>crecimiento de empleo, las reservas de espacio libre y una actividad de construcción que sigue siendo relativamente alta pueden contribuir a mantener el saldo migratorio positivo en los años</w:t>
      </w:r>
      <w:r>
        <w:rPr>
          <w:spacing w:val="6"/>
        </w:rPr>
        <w:t> </w:t>
      </w:r>
      <w:r>
        <w:rPr/>
        <w:t>siguientes.</w:t>
      </w:r>
    </w:p>
    <w:p>
      <w:pPr>
        <w:pStyle w:val="BodyText"/>
        <w:spacing w:before="2"/>
        <w:rPr>
          <w:sz w:val="24"/>
        </w:rPr>
      </w:pPr>
    </w:p>
    <w:p>
      <w:pPr>
        <w:spacing w:line="312" w:lineRule="auto" w:before="0"/>
        <w:ind w:left="821" w:right="699" w:firstLine="0"/>
        <w:jc w:val="center"/>
        <w:rPr>
          <w:sz w:val="16"/>
        </w:rPr>
      </w:pPr>
      <w:r>
        <w:rPr>
          <w:color w:val="6D6E71"/>
          <w:sz w:val="16"/>
        </w:rPr>
        <w:t>Figura 4. Tasa de migración neta por zonas en la Zona Metropolitana de Cracovia (ZMC) en los años 1990-2012</w:t>
      </w:r>
    </w:p>
    <w:p>
      <w:pPr>
        <w:pStyle w:val="BodyText"/>
        <w:rPr>
          <w:sz w:val="5"/>
        </w:rPr>
      </w:pPr>
    </w:p>
    <w:p>
      <w:pPr>
        <w:pStyle w:val="BodyText"/>
        <w:ind w:left="1219"/>
      </w:pPr>
      <w:r>
        <w:rPr/>
        <w:drawing>
          <wp:inline distT="0" distB="0" distL="0" distR="0">
            <wp:extent cx="3493770" cy="2353627"/>
            <wp:effectExtent l="0" t="0" r="0" b="0"/>
            <wp:docPr id="133" name="image95.png" descr=""/>
            <wp:cNvGraphicFramePr>
              <a:graphicFrameLocks noChangeAspect="1"/>
            </wp:cNvGraphicFramePr>
            <a:graphic>
              <a:graphicData uri="http://schemas.openxmlformats.org/drawingml/2006/picture">
                <pic:pic>
                  <pic:nvPicPr>
                    <pic:cNvPr id="134" name="image95.png"/>
                    <pic:cNvPicPr/>
                  </pic:nvPicPr>
                  <pic:blipFill>
                    <a:blip r:embed="rId349" cstate="print"/>
                    <a:stretch>
                      <a:fillRect/>
                    </a:stretch>
                  </pic:blipFill>
                  <pic:spPr>
                    <a:xfrm>
                      <a:off x="0" y="0"/>
                      <a:ext cx="3493770" cy="2353627"/>
                    </a:xfrm>
                    <a:prstGeom prst="rect">
                      <a:avLst/>
                    </a:prstGeom>
                  </pic:spPr>
                </pic:pic>
              </a:graphicData>
            </a:graphic>
          </wp:inline>
        </w:drawing>
      </w:r>
      <w:r>
        <w:rPr/>
      </w:r>
    </w:p>
    <w:p>
      <w:pPr>
        <w:pStyle w:val="BodyText"/>
        <w:rPr>
          <w:sz w:val="16"/>
        </w:rPr>
      </w:pPr>
    </w:p>
    <w:p>
      <w:pPr>
        <w:spacing w:before="134"/>
        <w:ind w:left="120" w:right="0" w:firstLine="0"/>
        <w:jc w:val="center"/>
        <w:rPr>
          <w:sz w:val="16"/>
        </w:rPr>
      </w:pPr>
      <w:r>
        <w:rPr>
          <w:color w:val="6D6E71"/>
          <w:sz w:val="16"/>
        </w:rPr>
        <w:t>Fuente: Elaboración propia a partir de datos de la Oficina Central de Estadística.</w:t>
      </w:r>
    </w:p>
    <w:p>
      <w:pPr>
        <w:pStyle w:val="BodyText"/>
        <w:spacing w:before="5"/>
        <w:rPr>
          <w:sz w:val="22"/>
        </w:rPr>
      </w:pPr>
    </w:p>
    <w:p>
      <w:pPr>
        <w:pStyle w:val="BodyText"/>
        <w:spacing w:line="249" w:lineRule="auto"/>
        <w:ind w:left="121" w:firstLine="170"/>
        <w:jc w:val="both"/>
      </w:pPr>
      <w:r>
        <w:rPr/>
        <w:t>El segundo elemento importante de los cambios en la diferenciación regional de migraciones</w:t>
      </w:r>
      <w:r>
        <w:rPr>
          <w:spacing w:val="-19"/>
        </w:rPr>
        <w:t> </w:t>
      </w:r>
      <w:r>
        <w:rPr/>
        <w:t>en</w:t>
      </w:r>
      <w:r>
        <w:rPr>
          <w:spacing w:val="-19"/>
        </w:rPr>
        <w:t> </w:t>
      </w:r>
      <w:r>
        <w:rPr/>
        <w:t>el</w:t>
      </w:r>
      <w:r>
        <w:rPr>
          <w:spacing w:val="-19"/>
        </w:rPr>
        <w:t> </w:t>
      </w:r>
      <w:r>
        <w:rPr/>
        <w:t>marco</w:t>
      </w:r>
      <w:r>
        <w:rPr>
          <w:spacing w:val="-19"/>
        </w:rPr>
        <w:t> </w:t>
      </w:r>
      <w:r>
        <w:rPr/>
        <w:t>de</w:t>
      </w:r>
      <w:r>
        <w:rPr>
          <w:spacing w:val="-19"/>
        </w:rPr>
        <w:t> </w:t>
      </w:r>
      <w:r>
        <w:rPr/>
        <w:t>la</w:t>
      </w:r>
      <w:r>
        <w:rPr>
          <w:spacing w:val="-19"/>
        </w:rPr>
        <w:t> </w:t>
      </w:r>
      <w:r>
        <w:rPr/>
        <w:t>ZMC</w:t>
      </w:r>
      <w:r>
        <w:rPr>
          <w:spacing w:val="-19"/>
        </w:rPr>
        <w:t> </w:t>
      </w:r>
      <w:r>
        <w:rPr/>
        <w:t>es</w:t>
      </w:r>
      <w:r>
        <w:rPr>
          <w:spacing w:val="-19"/>
        </w:rPr>
        <w:t> </w:t>
      </w:r>
      <w:r>
        <w:rPr/>
        <w:t>el</w:t>
      </w:r>
      <w:r>
        <w:rPr>
          <w:spacing w:val="-19"/>
        </w:rPr>
        <w:t> </w:t>
      </w:r>
      <w:r>
        <w:rPr/>
        <w:t>aumento</w:t>
      </w:r>
      <w:r>
        <w:rPr>
          <w:spacing w:val="-19"/>
        </w:rPr>
        <w:t> </w:t>
      </w:r>
      <w:r>
        <w:rPr/>
        <w:t>visible</w:t>
      </w:r>
      <w:r>
        <w:rPr>
          <w:spacing w:val="-19"/>
        </w:rPr>
        <w:t> </w:t>
      </w:r>
      <w:r>
        <w:rPr/>
        <w:t>del</w:t>
      </w:r>
      <w:r>
        <w:rPr>
          <w:spacing w:val="-19"/>
        </w:rPr>
        <w:t> </w:t>
      </w:r>
      <w:r>
        <w:rPr/>
        <w:t>valor</w:t>
      </w:r>
      <w:r>
        <w:rPr>
          <w:spacing w:val="-19"/>
        </w:rPr>
        <w:t> </w:t>
      </w:r>
      <w:r>
        <w:rPr/>
        <w:t>de</w:t>
      </w:r>
      <w:r>
        <w:rPr>
          <w:spacing w:val="-19"/>
        </w:rPr>
        <w:t> </w:t>
      </w:r>
      <w:r>
        <w:rPr/>
        <w:t>la</w:t>
      </w:r>
      <w:r>
        <w:rPr>
          <w:spacing w:val="-19"/>
        </w:rPr>
        <w:t> </w:t>
      </w:r>
      <w:r>
        <w:rPr/>
        <w:t>tasa</w:t>
      </w:r>
      <w:r>
        <w:rPr>
          <w:spacing w:val="-19"/>
        </w:rPr>
        <w:t> </w:t>
      </w:r>
      <w:r>
        <w:rPr/>
        <w:t>de</w:t>
      </w:r>
      <w:r>
        <w:rPr>
          <w:spacing w:val="-19"/>
        </w:rPr>
        <w:t> </w:t>
      </w:r>
      <w:r>
        <w:rPr/>
        <w:t>migración en la zona suburbana desde 1995. El crecimiento migratorio en esta zona a partir de la segunda</w:t>
      </w:r>
      <w:r>
        <w:rPr>
          <w:spacing w:val="-24"/>
        </w:rPr>
        <w:t> </w:t>
      </w:r>
      <w:r>
        <w:rPr/>
        <w:t>mitad</w:t>
      </w:r>
      <w:r>
        <w:rPr>
          <w:spacing w:val="-24"/>
        </w:rPr>
        <w:t> </w:t>
      </w:r>
      <w:r>
        <w:rPr/>
        <w:t>de</w:t>
      </w:r>
      <w:r>
        <w:rPr>
          <w:spacing w:val="-24"/>
        </w:rPr>
        <w:t> </w:t>
      </w:r>
      <w:r>
        <w:rPr/>
        <w:t>los</w:t>
      </w:r>
      <w:r>
        <w:rPr>
          <w:spacing w:val="-24"/>
        </w:rPr>
        <w:t> </w:t>
      </w:r>
      <w:r>
        <w:rPr/>
        <w:t>años</w:t>
      </w:r>
      <w:r>
        <w:rPr>
          <w:spacing w:val="-24"/>
        </w:rPr>
        <w:t> </w:t>
      </w:r>
      <w:r>
        <w:rPr/>
        <w:t>90</w:t>
      </w:r>
      <w:r>
        <w:rPr>
          <w:spacing w:val="-24"/>
        </w:rPr>
        <w:t> </w:t>
      </w:r>
      <w:r>
        <w:rPr/>
        <w:t>del</w:t>
      </w:r>
      <w:r>
        <w:rPr>
          <w:spacing w:val="-24"/>
        </w:rPr>
        <w:t> </w:t>
      </w:r>
      <w:r>
        <w:rPr/>
        <w:t>siglo</w:t>
      </w:r>
      <w:r>
        <w:rPr>
          <w:spacing w:val="-24"/>
        </w:rPr>
        <w:t> </w:t>
      </w:r>
      <w:r>
        <w:rPr/>
        <w:t>XX</w:t>
      </w:r>
      <w:r>
        <w:rPr>
          <w:spacing w:val="-24"/>
        </w:rPr>
        <w:t> </w:t>
      </w:r>
      <w:r>
        <w:rPr/>
        <w:t>empezó</w:t>
      </w:r>
      <w:r>
        <w:rPr>
          <w:spacing w:val="-24"/>
        </w:rPr>
        <w:t> </w:t>
      </w:r>
      <w:r>
        <w:rPr/>
        <w:t>a</w:t>
      </w:r>
      <w:r>
        <w:rPr>
          <w:spacing w:val="-24"/>
        </w:rPr>
        <w:t> </w:t>
      </w:r>
      <w:r>
        <w:rPr/>
        <w:t>tener</w:t>
      </w:r>
      <w:r>
        <w:rPr>
          <w:spacing w:val="-24"/>
        </w:rPr>
        <w:t> </w:t>
      </w:r>
      <w:r>
        <w:rPr/>
        <w:t>valores</w:t>
      </w:r>
      <w:r>
        <w:rPr>
          <w:spacing w:val="-24"/>
        </w:rPr>
        <w:t> </w:t>
      </w:r>
      <w:r>
        <w:rPr/>
        <w:t>visiblemente</w:t>
      </w:r>
      <w:r>
        <w:rPr>
          <w:spacing w:val="-24"/>
        </w:rPr>
        <w:t> </w:t>
      </w:r>
      <w:r>
        <w:rPr/>
        <w:t>diferentes de los observados en otras partes de la ZMC. En los años 1995-2002, los valores del saldo migratorio en la zona suburbana crecieron de casi 4% hasta 6,6%, para</w:t>
      </w:r>
      <w:r>
        <w:rPr>
          <w:spacing w:val="8"/>
        </w:rPr>
        <w:t> </w:t>
      </w:r>
      <w:r>
        <w:rPr/>
        <w:t>alcanzar</w:t>
      </w:r>
    </w:p>
    <w:p>
      <w:pPr>
        <w:pStyle w:val="BodyText"/>
        <w:spacing w:line="249" w:lineRule="auto" w:before="76"/>
        <w:ind w:left="121" w:right="127"/>
        <w:jc w:val="both"/>
      </w:pPr>
      <w:r>
        <w:rPr/>
        <w:br w:type="column"/>
      </w:r>
      <w:r>
        <w:rPr/>
        <w:t>en</w:t>
      </w:r>
      <w:r>
        <w:rPr>
          <w:spacing w:val="-4"/>
        </w:rPr>
        <w:t> </w:t>
      </w:r>
      <w:r>
        <w:rPr/>
        <w:t>el</w:t>
      </w:r>
      <w:r>
        <w:rPr>
          <w:spacing w:val="-4"/>
        </w:rPr>
        <w:t> </w:t>
      </w:r>
      <w:r>
        <w:rPr/>
        <w:t>siguiente</w:t>
      </w:r>
      <w:r>
        <w:rPr>
          <w:spacing w:val="-4"/>
        </w:rPr>
        <w:t> </w:t>
      </w:r>
      <w:r>
        <w:rPr/>
        <w:t>periodo</w:t>
      </w:r>
      <w:r>
        <w:rPr>
          <w:spacing w:val="-4"/>
        </w:rPr>
        <w:t> </w:t>
      </w:r>
      <w:r>
        <w:rPr/>
        <w:t>valores</w:t>
      </w:r>
      <w:r>
        <w:rPr>
          <w:spacing w:val="-4"/>
        </w:rPr>
        <w:t> </w:t>
      </w:r>
      <w:r>
        <w:rPr/>
        <w:t>aún</w:t>
      </w:r>
      <w:r>
        <w:rPr>
          <w:spacing w:val="-4"/>
        </w:rPr>
        <w:t> </w:t>
      </w:r>
      <w:r>
        <w:rPr/>
        <w:t>más</w:t>
      </w:r>
      <w:r>
        <w:rPr>
          <w:spacing w:val="-4"/>
        </w:rPr>
        <w:t> </w:t>
      </w:r>
      <w:r>
        <w:rPr/>
        <w:t>altos,</w:t>
      </w:r>
      <w:r>
        <w:rPr>
          <w:spacing w:val="-4"/>
        </w:rPr>
        <w:t> </w:t>
      </w:r>
      <w:r>
        <w:rPr/>
        <w:t>que</w:t>
      </w:r>
      <w:r>
        <w:rPr>
          <w:spacing w:val="-4"/>
        </w:rPr>
        <w:t> </w:t>
      </w:r>
      <w:r>
        <w:rPr/>
        <w:t>llegaron</w:t>
      </w:r>
      <w:r>
        <w:rPr>
          <w:spacing w:val="-4"/>
        </w:rPr>
        <w:t> </w:t>
      </w:r>
      <w:r>
        <w:rPr/>
        <w:t>hasta</w:t>
      </w:r>
      <w:r>
        <w:rPr>
          <w:spacing w:val="-4"/>
        </w:rPr>
        <w:t> </w:t>
      </w:r>
      <w:r>
        <w:rPr/>
        <w:t>un</w:t>
      </w:r>
      <w:r>
        <w:rPr>
          <w:spacing w:val="-4"/>
        </w:rPr>
        <w:t> </w:t>
      </w:r>
      <w:r>
        <w:rPr/>
        <w:t>máximo</w:t>
      </w:r>
      <w:r>
        <w:rPr>
          <w:spacing w:val="-4"/>
        </w:rPr>
        <w:t> </w:t>
      </w:r>
      <w:r>
        <w:rPr/>
        <w:t>del</w:t>
      </w:r>
      <w:r>
        <w:rPr>
          <w:spacing w:val="-4"/>
        </w:rPr>
        <w:t> </w:t>
      </w:r>
      <w:r>
        <w:rPr/>
        <w:t>12,7% en 2010 (Fig. 4). Basándose en los cambios de datos migratorios analizados, se</w:t>
      </w:r>
      <w:r>
        <w:rPr>
          <w:spacing w:val="-21"/>
        </w:rPr>
        <w:t> </w:t>
      </w:r>
      <w:r>
        <w:rPr/>
        <w:t>puede constatar que los inicios del proceso de suburbanización en la zona suburbana de Cracovia empezaron ya en la segunda mitad de los años 90 y aceleraron un año antes de la adhesión de Polonia a la Unión Europea. Al mismo tiempo, vale la pena observar que</w:t>
      </w:r>
      <w:r>
        <w:rPr>
          <w:spacing w:val="-7"/>
        </w:rPr>
        <w:t> </w:t>
      </w:r>
      <w:r>
        <w:rPr/>
        <w:t>también</w:t>
      </w:r>
      <w:r>
        <w:rPr>
          <w:spacing w:val="-7"/>
        </w:rPr>
        <w:t> </w:t>
      </w:r>
      <w:r>
        <w:rPr/>
        <w:t>a</w:t>
      </w:r>
      <w:r>
        <w:rPr>
          <w:spacing w:val="-7"/>
        </w:rPr>
        <w:t> </w:t>
      </w:r>
      <w:r>
        <w:rPr/>
        <w:t>partir</w:t>
      </w:r>
      <w:r>
        <w:rPr>
          <w:spacing w:val="-7"/>
        </w:rPr>
        <w:t> </w:t>
      </w:r>
      <w:r>
        <w:rPr/>
        <w:t>de</w:t>
      </w:r>
      <w:r>
        <w:rPr>
          <w:spacing w:val="-7"/>
        </w:rPr>
        <w:t> </w:t>
      </w:r>
      <w:r>
        <w:rPr/>
        <w:t>2003</w:t>
      </w:r>
      <w:r>
        <w:rPr>
          <w:spacing w:val="-7"/>
        </w:rPr>
        <w:t> </w:t>
      </w:r>
      <w:r>
        <w:rPr/>
        <w:t>los</w:t>
      </w:r>
      <w:r>
        <w:rPr>
          <w:spacing w:val="-7"/>
        </w:rPr>
        <w:t> </w:t>
      </w:r>
      <w:r>
        <w:rPr/>
        <w:t>valores</w:t>
      </w:r>
      <w:r>
        <w:rPr>
          <w:spacing w:val="-7"/>
        </w:rPr>
        <w:t> </w:t>
      </w:r>
      <w:r>
        <w:rPr/>
        <w:t>de</w:t>
      </w:r>
      <w:r>
        <w:rPr>
          <w:spacing w:val="-7"/>
        </w:rPr>
        <w:t> </w:t>
      </w:r>
      <w:r>
        <w:rPr/>
        <w:t>la</w:t>
      </w:r>
      <w:r>
        <w:rPr>
          <w:spacing w:val="-7"/>
        </w:rPr>
        <w:t> </w:t>
      </w:r>
      <w:r>
        <w:rPr/>
        <w:t>tasa</w:t>
      </w:r>
      <w:r>
        <w:rPr>
          <w:spacing w:val="-7"/>
        </w:rPr>
        <w:t> </w:t>
      </w:r>
      <w:r>
        <w:rPr/>
        <w:t>de</w:t>
      </w:r>
      <w:r>
        <w:rPr>
          <w:spacing w:val="-7"/>
        </w:rPr>
        <w:t> </w:t>
      </w:r>
      <w:r>
        <w:rPr/>
        <w:t>saldo</w:t>
      </w:r>
      <w:r>
        <w:rPr>
          <w:spacing w:val="-7"/>
        </w:rPr>
        <w:t> </w:t>
      </w:r>
      <w:r>
        <w:rPr/>
        <w:t>migratorio</w:t>
      </w:r>
      <w:r>
        <w:rPr>
          <w:spacing w:val="-7"/>
        </w:rPr>
        <w:t> </w:t>
      </w:r>
      <w:r>
        <w:rPr/>
        <w:t>en</w:t>
      </w:r>
      <w:r>
        <w:rPr>
          <w:spacing w:val="-7"/>
        </w:rPr>
        <w:t> </w:t>
      </w:r>
      <w:r>
        <w:rPr/>
        <w:t>la</w:t>
      </w:r>
      <w:r>
        <w:rPr>
          <w:spacing w:val="-7"/>
        </w:rPr>
        <w:t> </w:t>
      </w:r>
      <w:r>
        <w:rPr/>
        <w:t>zona</w:t>
      </w:r>
      <w:r>
        <w:rPr>
          <w:spacing w:val="-7"/>
        </w:rPr>
        <w:t> </w:t>
      </w:r>
      <w:r>
        <w:rPr/>
        <w:t>de</w:t>
      </w:r>
      <w:r>
        <w:rPr>
          <w:spacing w:val="-7"/>
        </w:rPr>
        <w:t> </w:t>
      </w:r>
      <w:r>
        <w:rPr/>
        <w:t>los desplazamientos empezaron a superar estos observados en Cracovia, lo que se hizo aún más visible después del año 2005. Esto puede ser una señal de una ampliación gradual de los procesos de suburbanización fuera de la zona suburbana, aunque por  el momento, basándose en los valores de la tasa de saldo migratorio, cabe mencionar que el crecimiento migratorio en la zona de los desplazamientos todavía sigue siendo relativamente bajo (Fig.</w:t>
      </w:r>
      <w:r>
        <w:rPr>
          <w:spacing w:val="-27"/>
        </w:rPr>
        <w:t> </w:t>
      </w:r>
      <w:r>
        <w:rPr/>
        <w:t>4).</w:t>
      </w:r>
    </w:p>
    <w:p>
      <w:pPr>
        <w:pStyle w:val="BodyText"/>
        <w:spacing w:before="11"/>
      </w:pPr>
    </w:p>
    <w:p>
      <w:pPr>
        <w:pStyle w:val="BodyText"/>
        <w:spacing w:line="249" w:lineRule="auto"/>
        <w:ind w:left="121" w:right="127" w:firstLine="170"/>
        <w:jc w:val="both"/>
      </w:pPr>
      <w:r>
        <w:rPr/>
        <w:t>Para</w:t>
      </w:r>
      <w:r>
        <w:rPr>
          <w:spacing w:val="-9"/>
        </w:rPr>
        <w:t> </w:t>
      </w:r>
      <w:r>
        <w:rPr/>
        <w:t>determinar</w:t>
      </w:r>
      <w:r>
        <w:rPr>
          <w:spacing w:val="-9"/>
        </w:rPr>
        <w:t> </w:t>
      </w:r>
      <w:r>
        <w:rPr/>
        <w:t>la</w:t>
      </w:r>
      <w:r>
        <w:rPr>
          <w:spacing w:val="-9"/>
        </w:rPr>
        <w:t> </w:t>
      </w:r>
      <w:r>
        <w:rPr/>
        <w:t>escala</w:t>
      </w:r>
      <w:r>
        <w:rPr>
          <w:spacing w:val="-9"/>
        </w:rPr>
        <w:t> </w:t>
      </w:r>
      <w:r>
        <w:rPr/>
        <w:t>y</w:t>
      </w:r>
      <w:r>
        <w:rPr>
          <w:spacing w:val="-9"/>
        </w:rPr>
        <w:t> </w:t>
      </w:r>
      <w:r>
        <w:rPr/>
        <w:t>la</w:t>
      </w:r>
      <w:r>
        <w:rPr>
          <w:spacing w:val="-9"/>
        </w:rPr>
        <w:t> </w:t>
      </w:r>
      <w:r>
        <w:rPr/>
        <w:t>importancia</w:t>
      </w:r>
      <w:r>
        <w:rPr>
          <w:spacing w:val="-9"/>
        </w:rPr>
        <w:t> </w:t>
      </w:r>
      <w:r>
        <w:rPr/>
        <w:t>del</w:t>
      </w:r>
      <w:r>
        <w:rPr>
          <w:spacing w:val="-9"/>
        </w:rPr>
        <w:t> </w:t>
      </w:r>
      <w:r>
        <w:rPr/>
        <w:t>proceso</w:t>
      </w:r>
      <w:r>
        <w:rPr>
          <w:spacing w:val="-9"/>
        </w:rPr>
        <w:t> </w:t>
      </w:r>
      <w:r>
        <w:rPr/>
        <w:t>de</w:t>
      </w:r>
      <w:r>
        <w:rPr>
          <w:spacing w:val="-9"/>
        </w:rPr>
        <w:t> </w:t>
      </w:r>
      <w:r>
        <w:rPr/>
        <w:t>suburbanización</w:t>
      </w:r>
      <w:r>
        <w:rPr>
          <w:spacing w:val="-9"/>
        </w:rPr>
        <w:t> </w:t>
      </w:r>
      <w:r>
        <w:rPr/>
        <w:t>en</w:t>
      </w:r>
      <w:r>
        <w:rPr>
          <w:spacing w:val="-9"/>
        </w:rPr>
        <w:t> </w:t>
      </w:r>
      <w:r>
        <w:rPr/>
        <w:t>la</w:t>
      </w:r>
      <w:r>
        <w:rPr>
          <w:spacing w:val="-9"/>
        </w:rPr>
        <w:t> </w:t>
      </w:r>
      <w:r>
        <w:rPr/>
        <w:t>ZMC, resulta especialmente importante analizar los cambios migratorios entre Cracovia y los municipios circundantes. Teniendo en cuenta el hecho de que uno de los indicadores de este proceso es la redistribución de la población de la ciudad central en la zona suburbana, es importante definir la magnitud y las direcciones del flujo migratorio de Cracovia a los diferentes municipios y zonas de la</w:t>
      </w:r>
      <w:r>
        <w:rPr>
          <w:spacing w:val="35"/>
        </w:rPr>
        <w:t> </w:t>
      </w:r>
      <w:r>
        <w:rPr/>
        <w:t>ZMC.</w:t>
      </w:r>
    </w:p>
    <w:p>
      <w:pPr>
        <w:pStyle w:val="BodyText"/>
        <w:spacing w:before="11"/>
      </w:pPr>
    </w:p>
    <w:p>
      <w:pPr>
        <w:pStyle w:val="BodyText"/>
        <w:spacing w:line="249" w:lineRule="auto"/>
        <w:ind w:left="121" w:right="127" w:firstLine="170"/>
        <w:jc w:val="both"/>
      </w:pPr>
      <w:r>
        <w:rPr/>
        <w:t>En la zona suburbana, aparte del año 1990, se registró un saldo migratorio positivo con Cracovia, lo que confirma una afluencia mucho mayor de la ciudad a la zona examinada. Cabe mencionar que hasta 2001 los valores del saldo migratorio llegaban hasta alrededor de 4%, mientras que en los años siguientes empezaron a subir mucho más, alcanzando en 2010 el valor de 9,5%. Esto es una señal de un aumento mucho mayor del flujo migratorio de Cracovia a la zona suburbana, lo que hay que interpretar como una muestra clara de una aceleración del proceso de suburbanización. En el caso de la zona de los desplazamientos, el saldo migratorio negativo con Cracovia se mantuvo hasta la mitad de los años 90. Esto demuestra una dominación mucho más larga</w:t>
      </w:r>
      <w:r>
        <w:rPr>
          <w:spacing w:val="-4"/>
        </w:rPr>
        <w:t> </w:t>
      </w:r>
      <w:r>
        <w:rPr/>
        <w:t>de</w:t>
      </w:r>
      <w:r>
        <w:rPr>
          <w:spacing w:val="-4"/>
        </w:rPr>
        <w:t> </w:t>
      </w:r>
      <w:r>
        <w:rPr/>
        <w:t>la</w:t>
      </w:r>
      <w:r>
        <w:rPr>
          <w:spacing w:val="-4"/>
        </w:rPr>
        <w:t> </w:t>
      </w:r>
      <w:r>
        <w:rPr/>
        <w:t>emigración</w:t>
      </w:r>
      <w:r>
        <w:rPr>
          <w:spacing w:val="-4"/>
        </w:rPr>
        <w:t> </w:t>
      </w:r>
      <w:r>
        <w:rPr/>
        <w:t>de</w:t>
      </w:r>
      <w:r>
        <w:rPr>
          <w:spacing w:val="-4"/>
        </w:rPr>
        <w:t> </w:t>
      </w:r>
      <w:r>
        <w:rPr/>
        <w:t>esta</w:t>
      </w:r>
      <w:r>
        <w:rPr>
          <w:spacing w:val="-4"/>
        </w:rPr>
        <w:t> </w:t>
      </w:r>
      <w:r>
        <w:rPr/>
        <w:t>zona</w:t>
      </w:r>
      <w:r>
        <w:rPr>
          <w:spacing w:val="-4"/>
        </w:rPr>
        <w:t> </w:t>
      </w:r>
      <w:r>
        <w:rPr/>
        <w:t>a</w:t>
      </w:r>
      <w:r>
        <w:rPr>
          <w:spacing w:val="-4"/>
        </w:rPr>
        <w:t> </w:t>
      </w:r>
      <w:r>
        <w:rPr/>
        <w:t>la</w:t>
      </w:r>
      <w:r>
        <w:rPr>
          <w:spacing w:val="-4"/>
        </w:rPr>
        <w:t> </w:t>
      </w:r>
      <w:r>
        <w:rPr/>
        <w:t>ciudad</w:t>
      </w:r>
      <w:r>
        <w:rPr>
          <w:spacing w:val="-4"/>
        </w:rPr>
        <w:t> </w:t>
      </w:r>
      <w:r>
        <w:rPr/>
        <w:t>central.</w:t>
      </w:r>
      <w:r>
        <w:rPr>
          <w:spacing w:val="-4"/>
        </w:rPr>
        <w:t> </w:t>
      </w:r>
      <w:r>
        <w:rPr/>
        <w:t>Sin</w:t>
      </w:r>
      <w:r>
        <w:rPr>
          <w:spacing w:val="-4"/>
        </w:rPr>
        <w:t> </w:t>
      </w:r>
      <w:r>
        <w:rPr/>
        <w:t>embargo,</w:t>
      </w:r>
      <w:r>
        <w:rPr>
          <w:spacing w:val="-4"/>
        </w:rPr>
        <w:t> </w:t>
      </w:r>
      <w:r>
        <w:rPr/>
        <w:t>hay</w:t>
      </w:r>
      <w:r>
        <w:rPr>
          <w:spacing w:val="-4"/>
        </w:rPr>
        <w:t> </w:t>
      </w:r>
      <w:r>
        <w:rPr/>
        <w:t>que</w:t>
      </w:r>
      <w:r>
        <w:rPr>
          <w:spacing w:val="-4"/>
        </w:rPr>
        <w:t> </w:t>
      </w:r>
      <w:r>
        <w:rPr/>
        <w:t>subrayar que la tasa de saldo migratorio alcanzó niveles muy bajos, tanto en la primera como</w:t>
      </w:r>
      <w:r>
        <w:rPr>
          <w:spacing w:val="-20"/>
        </w:rPr>
        <w:t> </w:t>
      </w:r>
      <w:r>
        <w:rPr/>
        <w:t>en la segunda mitad de los años 90. Basándose en esto, se puede constatar que el flujo migratorio entre Cracovia y la zona suburbana tuvo en esa década un impacto limitado en la población total de esta zona. No obstante, vale la pena mencionar que desde 2004 la tasa de saldo migratorio ha empezado a crecer, alcanzando el valor de 1,8% en los años 2010-2011 (Fig. 5). Esto es una señal de un flujo cada vez más grande de población de Cracovia a esta zona, aunque dicho flujo es incomparablemente menor que la migración a la zona</w:t>
      </w:r>
      <w:r>
        <w:rPr>
          <w:spacing w:val="9"/>
        </w:rPr>
        <w:t> </w:t>
      </w:r>
      <w:r>
        <w:rPr/>
        <w:t>suburbana.</w:t>
      </w:r>
    </w:p>
    <w:p>
      <w:pPr>
        <w:pStyle w:val="BodyText"/>
        <w:spacing w:before="11"/>
      </w:pPr>
    </w:p>
    <w:p>
      <w:pPr>
        <w:pStyle w:val="BodyText"/>
        <w:spacing w:line="249" w:lineRule="auto"/>
        <w:ind w:left="121" w:right="127" w:firstLine="170"/>
        <w:jc w:val="both"/>
      </w:pPr>
      <w:r>
        <w:rPr/>
        <w:t>El aumento del flujo migratorio de Cracovia a la zona de los desplazamientos se puede también interpretar como el inicio del proceso de contraurbanización. Esta tendencia es todavía poco acentuada, pero para un grupo cada vez más numeroso</w:t>
      </w:r>
    </w:p>
    <w:p>
      <w:pPr>
        <w:spacing w:after="0" w:line="249" w:lineRule="auto"/>
        <w:jc w:val="both"/>
        <w:sectPr>
          <w:type w:val="continuous"/>
          <w:pgSz w:w="18830" w:h="12760" w:orient="landscape"/>
          <w:pgMar w:top="1420" w:bottom="280" w:left="720" w:right="720"/>
          <w:cols w:num="2" w:equalWidth="0">
            <w:col w:w="7833" w:space="1588"/>
            <w:col w:w="7969"/>
          </w:cols>
        </w:sectPr>
      </w:pPr>
    </w:p>
    <w:p>
      <w:pPr>
        <w:pStyle w:val="BodyText"/>
        <w:spacing w:before="6"/>
        <w:rPr>
          <w:sz w:val="23"/>
        </w:rPr>
      </w:pPr>
    </w:p>
    <w:p>
      <w:pPr>
        <w:spacing w:after="0"/>
        <w:rPr>
          <w:sz w:val="23"/>
        </w:rPr>
        <w:sectPr>
          <w:footerReference w:type="default" r:id="rId350"/>
          <w:pgSz w:w="18830" w:h="12760" w:orient="landscape"/>
          <w:pgMar w:footer="1036" w:header="522" w:top="820" w:bottom="1220" w:left="720" w:right="720"/>
        </w:sectPr>
      </w:pPr>
    </w:p>
    <w:p>
      <w:pPr>
        <w:pStyle w:val="BodyText"/>
        <w:spacing w:line="249" w:lineRule="auto" w:before="76"/>
        <w:ind w:left="121"/>
        <w:jc w:val="both"/>
      </w:pPr>
      <w:r>
        <w:rPr/>
        <w:t>de habitantes de Cracovia las migraciones a zonas rurales situadas a gran distancia del centro de la zona metropolitana son cada vez más populares y frecuentes con la moda de “vivir en el campo”. A menudo son migraciones de personas mayores a las</w:t>
      </w:r>
      <w:r>
        <w:rPr>
          <w:w w:val="98"/>
        </w:rPr>
        <w:t> </w:t>
      </w:r>
      <w:r>
        <w:rPr/>
        <w:t>segundas casas, que tenían ya en esta zona y que adaptan para que sirvan durante todo el año. En cambio, entre los jóvenes migrantes a la zona de los desplazamientos predominan las familias cuya actividad laboral no requiere desplazamientos cotidianos al trabajo a Cracovia, ya que se puede realizar a distancia o exige sólo ocasionales contactos directos con el lugar de trabajo (Grzeszczak 1996; 2000).</w:t>
      </w:r>
    </w:p>
    <w:p>
      <w:pPr>
        <w:pStyle w:val="BodyText"/>
        <w:spacing w:before="2"/>
        <w:rPr>
          <w:sz w:val="24"/>
        </w:rPr>
      </w:pPr>
    </w:p>
    <w:p>
      <w:pPr>
        <w:spacing w:line="312" w:lineRule="auto" w:before="0"/>
        <w:ind w:left="199" w:right="77" w:firstLine="0"/>
        <w:jc w:val="center"/>
        <w:rPr>
          <w:sz w:val="16"/>
        </w:rPr>
      </w:pPr>
      <w:r>
        <w:rPr>
          <w:color w:val="6D6E71"/>
          <w:sz w:val="16"/>
        </w:rPr>
        <w:t>Figura 5. Tasa de migración neta entre la zona suburbana, de los desplazamientos y Cracovia en los años</w:t>
      </w:r>
      <w:r>
        <w:rPr>
          <w:color w:val="6D6E71"/>
          <w:w w:val="99"/>
          <w:sz w:val="16"/>
        </w:rPr>
        <w:t> </w:t>
      </w:r>
      <w:r>
        <w:rPr>
          <w:color w:val="6D6E71"/>
          <w:sz w:val="16"/>
        </w:rPr>
        <w:t>1990-2012</w:t>
      </w:r>
    </w:p>
    <w:p>
      <w:pPr>
        <w:pStyle w:val="BodyText"/>
        <w:ind w:left="775"/>
      </w:pPr>
      <w:r>
        <w:rPr/>
        <w:drawing>
          <wp:inline distT="0" distB="0" distL="0" distR="0">
            <wp:extent cx="4042791" cy="2484310"/>
            <wp:effectExtent l="0" t="0" r="0" b="0"/>
            <wp:docPr id="135" name="image96.png" descr=""/>
            <wp:cNvGraphicFramePr>
              <a:graphicFrameLocks noChangeAspect="1"/>
            </wp:cNvGraphicFramePr>
            <a:graphic>
              <a:graphicData uri="http://schemas.openxmlformats.org/drawingml/2006/picture">
                <pic:pic>
                  <pic:nvPicPr>
                    <pic:cNvPr id="136" name="image96.png"/>
                    <pic:cNvPicPr/>
                  </pic:nvPicPr>
                  <pic:blipFill>
                    <a:blip r:embed="rId351" cstate="print"/>
                    <a:stretch>
                      <a:fillRect/>
                    </a:stretch>
                  </pic:blipFill>
                  <pic:spPr>
                    <a:xfrm>
                      <a:off x="0" y="0"/>
                      <a:ext cx="4042791" cy="2484310"/>
                    </a:xfrm>
                    <a:prstGeom prst="rect">
                      <a:avLst/>
                    </a:prstGeom>
                  </pic:spPr>
                </pic:pic>
              </a:graphicData>
            </a:graphic>
          </wp:inline>
        </w:drawing>
      </w:r>
      <w:r>
        <w:rPr/>
      </w:r>
    </w:p>
    <w:p>
      <w:pPr>
        <w:pStyle w:val="BodyText"/>
        <w:spacing w:before="8"/>
        <w:rPr>
          <w:sz w:val="14"/>
        </w:rPr>
      </w:pPr>
    </w:p>
    <w:p>
      <w:pPr>
        <w:spacing w:before="0"/>
        <w:ind w:left="120" w:right="0" w:firstLine="0"/>
        <w:jc w:val="center"/>
        <w:rPr>
          <w:sz w:val="16"/>
        </w:rPr>
      </w:pPr>
      <w:r>
        <w:rPr>
          <w:color w:val="6D6E71"/>
          <w:sz w:val="16"/>
        </w:rPr>
        <w:t>Fuente: elaboración propia a partir de datos de la Oficina Central de Estadística.</w:t>
      </w:r>
    </w:p>
    <w:p>
      <w:pPr>
        <w:pStyle w:val="BodyText"/>
        <w:spacing w:before="5"/>
        <w:rPr>
          <w:sz w:val="22"/>
        </w:rPr>
      </w:pPr>
    </w:p>
    <w:p>
      <w:pPr>
        <w:pStyle w:val="BodyText"/>
        <w:spacing w:line="249" w:lineRule="auto"/>
        <w:ind w:left="121" w:firstLine="170"/>
        <w:jc w:val="both"/>
      </w:pPr>
      <w:r>
        <w:rPr/>
        <w:t>Las tendencias de contraurbanización anteriormente mencionadas en la zona de   los desplazamientos se puede también observar comparando  la  participación  del flujo migratorio de Cracovia a esta zona. Desde 2003 los inmigrantes de esta ciudad constituyen</w:t>
      </w:r>
      <w:r>
        <w:rPr>
          <w:spacing w:val="-6"/>
        </w:rPr>
        <w:t> </w:t>
      </w:r>
      <w:r>
        <w:rPr/>
        <w:t>alrededor</w:t>
      </w:r>
      <w:r>
        <w:rPr>
          <w:spacing w:val="-6"/>
        </w:rPr>
        <w:t> </w:t>
      </w:r>
      <w:r>
        <w:rPr/>
        <w:t>de</w:t>
      </w:r>
      <w:r>
        <w:rPr>
          <w:spacing w:val="-6"/>
        </w:rPr>
        <w:t> </w:t>
      </w:r>
      <w:r>
        <w:rPr/>
        <w:t>un</w:t>
      </w:r>
      <w:r>
        <w:rPr>
          <w:spacing w:val="-6"/>
        </w:rPr>
        <w:t> </w:t>
      </w:r>
      <w:r>
        <w:rPr/>
        <w:t>cuarto</w:t>
      </w:r>
      <w:r>
        <w:rPr>
          <w:spacing w:val="-6"/>
        </w:rPr>
        <w:t> </w:t>
      </w:r>
      <w:r>
        <w:rPr/>
        <w:t>del</w:t>
      </w:r>
      <w:r>
        <w:rPr>
          <w:spacing w:val="-6"/>
        </w:rPr>
        <w:t> </w:t>
      </w:r>
      <w:r>
        <w:rPr/>
        <w:t>flujo</w:t>
      </w:r>
      <w:r>
        <w:rPr>
          <w:spacing w:val="-6"/>
        </w:rPr>
        <w:t> </w:t>
      </w:r>
      <w:r>
        <w:rPr/>
        <w:t>migratorio</w:t>
      </w:r>
      <w:r>
        <w:rPr>
          <w:spacing w:val="-6"/>
        </w:rPr>
        <w:t> </w:t>
      </w:r>
      <w:r>
        <w:rPr/>
        <w:t>a</w:t>
      </w:r>
      <w:r>
        <w:rPr>
          <w:spacing w:val="-6"/>
        </w:rPr>
        <w:t> </w:t>
      </w:r>
      <w:r>
        <w:rPr/>
        <w:t>la</w:t>
      </w:r>
      <w:r>
        <w:rPr>
          <w:spacing w:val="-6"/>
        </w:rPr>
        <w:t> </w:t>
      </w:r>
      <w:r>
        <w:rPr/>
        <w:t>zona</w:t>
      </w:r>
      <w:r>
        <w:rPr>
          <w:spacing w:val="-6"/>
        </w:rPr>
        <w:t> </w:t>
      </w:r>
      <w:r>
        <w:rPr/>
        <w:t>de</w:t>
      </w:r>
      <w:r>
        <w:rPr>
          <w:spacing w:val="-6"/>
        </w:rPr>
        <w:t> </w:t>
      </w:r>
      <w:r>
        <w:rPr/>
        <w:t>los</w:t>
      </w:r>
      <w:r>
        <w:rPr>
          <w:spacing w:val="-6"/>
        </w:rPr>
        <w:t> </w:t>
      </w:r>
      <w:r>
        <w:rPr/>
        <w:t>desplazamientos y en los años 2010-2011 su participación subió incluso hasta más del 28%. También cabe mencionar que en los años 90 la participación de la afluencia de Cracovia a esta zona</w:t>
      </w:r>
      <w:r>
        <w:rPr>
          <w:spacing w:val="-9"/>
        </w:rPr>
        <w:t> </w:t>
      </w:r>
      <w:r>
        <w:rPr/>
        <w:t>no</w:t>
      </w:r>
      <w:r>
        <w:rPr>
          <w:spacing w:val="-9"/>
        </w:rPr>
        <w:t> </w:t>
      </w:r>
      <w:r>
        <w:rPr/>
        <w:t>superaba</w:t>
      </w:r>
      <w:r>
        <w:rPr>
          <w:spacing w:val="-9"/>
        </w:rPr>
        <w:t> </w:t>
      </w:r>
      <w:r>
        <w:rPr/>
        <w:t>el</w:t>
      </w:r>
      <w:r>
        <w:rPr>
          <w:spacing w:val="-9"/>
        </w:rPr>
        <w:t> </w:t>
      </w:r>
      <w:r>
        <w:rPr/>
        <w:t>20%,</w:t>
      </w:r>
      <w:r>
        <w:rPr>
          <w:spacing w:val="-9"/>
        </w:rPr>
        <w:t> </w:t>
      </w:r>
      <w:r>
        <w:rPr/>
        <w:t>así</w:t>
      </w:r>
      <w:r>
        <w:rPr>
          <w:spacing w:val="-9"/>
        </w:rPr>
        <w:t> </w:t>
      </w:r>
      <w:r>
        <w:rPr/>
        <w:t>que</w:t>
      </w:r>
      <w:r>
        <w:rPr>
          <w:spacing w:val="-9"/>
        </w:rPr>
        <w:t> </w:t>
      </w:r>
      <w:r>
        <w:rPr/>
        <w:t>los</w:t>
      </w:r>
      <w:r>
        <w:rPr>
          <w:spacing w:val="-9"/>
        </w:rPr>
        <w:t> </w:t>
      </w:r>
      <w:r>
        <w:rPr/>
        <w:t>valores</w:t>
      </w:r>
      <w:r>
        <w:rPr>
          <w:spacing w:val="-9"/>
        </w:rPr>
        <w:t> </w:t>
      </w:r>
      <w:r>
        <w:rPr/>
        <w:t>crecientes</w:t>
      </w:r>
      <w:r>
        <w:rPr>
          <w:spacing w:val="-9"/>
        </w:rPr>
        <w:t> </w:t>
      </w:r>
      <w:r>
        <w:rPr/>
        <w:t>registrados</w:t>
      </w:r>
      <w:r>
        <w:rPr>
          <w:spacing w:val="-9"/>
        </w:rPr>
        <w:t> </w:t>
      </w:r>
      <w:r>
        <w:rPr/>
        <w:t>en</w:t>
      </w:r>
      <w:r>
        <w:rPr>
          <w:spacing w:val="-9"/>
        </w:rPr>
        <w:t> </w:t>
      </w:r>
      <w:r>
        <w:rPr/>
        <w:t>los</w:t>
      </w:r>
      <w:r>
        <w:rPr>
          <w:spacing w:val="-9"/>
        </w:rPr>
        <w:t> </w:t>
      </w:r>
      <w:r>
        <w:rPr/>
        <w:t>últimos</w:t>
      </w:r>
      <w:r>
        <w:rPr>
          <w:spacing w:val="-9"/>
        </w:rPr>
        <w:t> </w:t>
      </w:r>
      <w:r>
        <w:rPr/>
        <w:t>años son</w:t>
      </w:r>
      <w:r>
        <w:rPr>
          <w:spacing w:val="-5"/>
        </w:rPr>
        <w:t> </w:t>
      </w:r>
      <w:r>
        <w:rPr/>
        <w:t>una</w:t>
      </w:r>
      <w:r>
        <w:rPr>
          <w:spacing w:val="-5"/>
        </w:rPr>
        <w:t> </w:t>
      </w:r>
      <w:r>
        <w:rPr/>
        <w:t>expresión</w:t>
      </w:r>
      <w:r>
        <w:rPr>
          <w:spacing w:val="-5"/>
        </w:rPr>
        <w:t> </w:t>
      </w:r>
      <w:r>
        <w:rPr/>
        <w:t>o</w:t>
      </w:r>
      <w:r>
        <w:rPr>
          <w:spacing w:val="-5"/>
        </w:rPr>
        <w:t> </w:t>
      </w:r>
      <w:r>
        <w:rPr/>
        <w:t>de</w:t>
      </w:r>
      <w:r>
        <w:rPr>
          <w:spacing w:val="-5"/>
        </w:rPr>
        <w:t> </w:t>
      </w:r>
      <w:r>
        <w:rPr/>
        <w:t>la</w:t>
      </w:r>
      <w:r>
        <w:rPr>
          <w:spacing w:val="-5"/>
        </w:rPr>
        <w:t> </w:t>
      </w:r>
      <w:r>
        <w:rPr/>
        <w:t>difusión</w:t>
      </w:r>
      <w:r>
        <w:rPr>
          <w:spacing w:val="-5"/>
        </w:rPr>
        <w:t> </w:t>
      </w:r>
      <w:r>
        <w:rPr/>
        <w:t>del</w:t>
      </w:r>
      <w:r>
        <w:rPr>
          <w:spacing w:val="-5"/>
        </w:rPr>
        <w:t> </w:t>
      </w:r>
      <w:r>
        <w:rPr/>
        <w:t>proceso</w:t>
      </w:r>
      <w:r>
        <w:rPr>
          <w:spacing w:val="-5"/>
        </w:rPr>
        <w:t> </w:t>
      </w:r>
      <w:r>
        <w:rPr/>
        <w:t>de</w:t>
      </w:r>
      <w:r>
        <w:rPr>
          <w:spacing w:val="-5"/>
        </w:rPr>
        <w:t> </w:t>
      </w:r>
      <w:r>
        <w:rPr/>
        <w:t>suburbanización,</w:t>
      </w:r>
      <w:r>
        <w:rPr>
          <w:spacing w:val="-5"/>
        </w:rPr>
        <w:t> </w:t>
      </w:r>
      <w:r>
        <w:rPr/>
        <w:t>o</w:t>
      </w:r>
      <w:r>
        <w:rPr>
          <w:spacing w:val="-5"/>
        </w:rPr>
        <w:t> </w:t>
      </w:r>
      <w:r>
        <w:rPr/>
        <w:t>de</w:t>
      </w:r>
      <w:r>
        <w:rPr>
          <w:spacing w:val="-5"/>
        </w:rPr>
        <w:t> </w:t>
      </w:r>
      <w:r>
        <w:rPr/>
        <w:t>la</w:t>
      </w:r>
      <w:r>
        <w:rPr>
          <w:spacing w:val="-5"/>
        </w:rPr>
        <w:t> </w:t>
      </w:r>
      <w:r>
        <w:rPr/>
        <w:t>aparición</w:t>
      </w:r>
      <w:r>
        <w:rPr>
          <w:spacing w:val="-5"/>
        </w:rPr>
        <w:t> </w:t>
      </w:r>
      <w:r>
        <w:rPr/>
        <w:t>de las ya mencionadas tendencias de contraurbanización (Fig.</w:t>
      </w:r>
      <w:r>
        <w:rPr>
          <w:spacing w:val="4"/>
        </w:rPr>
        <w:t> </w:t>
      </w:r>
      <w:r>
        <w:rPr/>
        <w:t>6).</w:t>
      </w:r>
    </w:p>
    <w:p>
      <w:pPr>
        <w:pStyle w:val="BodyText"/>
        <w:spacing w:line="249" w:lineRule="auto" w:before="76"/>
        <w:ind w:left="121" w:right="127" w:firstLine="170"/>
        <w:jc w:val="both"/>
      </w:pPr>
      <w:r>
        <w:rPr/>
        <w:br w:type="column"/>
      </w:r>
      <w:r>
        <w:rPr/>
        <w:t>En</w:t>
      </w:r>
      <w:r>
        <w:rPr>
          <w:spacing w:val="-9"/>
        </w:rPr>
        <w:t> </w:t>
      </w:r>
      <w:r>
        <w:rPr/>
        <w:t>el</w:t>
      </w:r>
      <w:r>
        <w:rPr>
          <w:spacing w:val="-9"/>
        </w:rPr>
        <w:t> </w:t>
      </w:r>
      <w:r>
        <w:rPr/>
        <w:t>caso</w:t>
      </w:r>
      <w:r>
        <w:rPr>
          <w:spacing w:val="-9"/>
        </w:rPr>
        <w:t> </w:t>
      </w:r>
      <w:r>
        <w:rPr/>
        <w:t>de</w:t>
      </w:r>
      <w:r>
        <w:rPr>
          <w:spacing w:val="-9"/>
        </w:rPr>
        <w:t> </w:t>
      </w:r>
      <w:r>
        <w:rPr/>
        <w:t>la</w:t>
      </w:r>
      <w:r>
        <w:rPr>
          <w:spacing w:val="-9"/>
        </w:rPr>
        <w:t> </w:t>
      </w:r>
      <w:r>
        <w:rPr/>
        <w:t>zona</w:t>
      </w:r>
      <w:r>
        <w:rPr>
          <w:spacing w:val="-9"/>
        </w:rPr>
        <w:t> </w:t>
      </w:r>
      <w:r>
        <w:rPr/>
        <w:t>suburbana,</w:t>
      </w:r>
      <w:r>
        <w:rPr>
          <w:spacing w:val="-9"/>
        </w:rPr>
        <w:t> </w:t>
      </w:r>
      <w:r>
        <w:rPr/>
        <w:t>la</w:t>
      </w:r>
      <w:r>
        <w:rPr>
          <w:spacing w:val="-9"/>
        </w:rPr>
        <w:t> </w:t>
      </w:r>
      <w:r>
        <w:rPr/>
        <w:t>dominación</w:t>
      </w:r>
      <w:r>
        <w:rPr>
          <w:spacing w:val="-9"/>
        </w:rPr>
        <w:t> </w:t>
      </w:r>
      <w:r>
        <w:rPr/>
        <w:t>de</w:t>
      </w:r>
      <w:r>
        <w:rPr>
          <w:spacing w:val="-9"/>
        </w:rPr>
        <w:t> </w:t>
      </w:r>
      <w:r>
        <w:rPr/>
        <w:t>la</w:t>
      </w:r>
      <w:r>
        <w:rPr>
          <w:spacing w:val="-9"/>
        </w:rPr>
        <w:t> </w:t>
      </w:r>
      <w:r>
        <w:rPr/>
        <w:t>afluencia</w:t>
      </w:r>
      <w:r>
        <w:rPr>
          <w:spacing w:val="-9"/>
        </w:rPr>
        <w:t> </w:t>
      </w:r>
      <w:r>
        <w:rPr/>
        <w:t>de</w:t>
      </w:r>
      <w:r>
        <w:rPr>
          <w:spacing w:val="-9"/>
        </w:rPr>
        <w:t> </w:t>
      </w:r>
      <w:r>
        <w:rPr/>
        <w:t>Cracovia</w:t>
      </w:r>
      <w:r>
        <w:rPr>
          <w:spacing w:val="-9"/>
        </w:rPr>
        <w:t> </w:t>
      </w:r>
      <w:r>
        <w:rPr/>
        <w:t>es</w:t>
      </w:r>
      <w:r>
        <w:rPr>
          <w:spacing w:val="-9"/>
        </w:rPr>
        <w:t> </w:t>
      </w:r>
      <w:r>
        <w:rPr/>
        <w:t>mucho más visible. Mientras que en los años 1990-1997 su participación aumentó de más   del 38% hasta más del 48%, en la parte siguiente del periodo estudiado se mantenía encima del nivel del 50% del total de inmigraciones, alcanzando el valor máximo en 2004 (Fig. 6). Una participación tan grande de los migrantes de Cracovia en el flujo      a la zona suburbana parece ser una prueba convincente del desarrollo del proceso    de suburbanización, para el que la dispersión de la población es uno de los índices principales.</w:t>
      </w:r>
    </w:p>
    <w:p>
      <w:pPr>
        <w:pStyle w:val="BodyText"/>
        <w:spacing w:before="2"/>
        <w:rPr>
          <w:sz w:val="24"/>
        </w:rPr>
      </w:pPr>
    </w:p>
    <w:p>
      <w:pPr>
        <w:spacing w:line="312" w:lineRule="auto" w:before="0"/>
        <w:ind w:left="190" w:right="198" w:firstLine="0"/>
        <w:jc w:val="center"/>
        <w:rPr>
          <w:sz w:val="16"/>
        </w:rPr>
      </w:pPr>
      <w:r>
        <w:rPr>
          <w:color w:val="6D6E71"/>
          <w:sz w:val="16"/>
        </w:rPr>
        <w:t>Figura 6. Porcentaje de la afluencia migratoria de Cracovia en la afluencia migratoria total a la zona subur- bana y a la zona de los desplazamientos en los años 1990-2012</w:t>
      </w:r>
    </w:p>
    <w:p>
      <w:pPr>
        <w:pStyle w:val="BodyText"/>
        <w:spacing w:before="10"/>
        <w:rPr>
          <w:sz w:val="4"/>
        </w:rPr>
      </w:pPr>
    </w:p>
    <w:p>
      <w:pPr>
        <w:pStyle w:val="BodyText"/>
        <w:ind w:left="1128"/>
      </w:pPr>
      <w:r>
        <w:rPr/>
        <w:drawing>
          <wp:inline distT="0" distB="0" distL="0" distR="0">
            <wp:extent cx="3627119" cy="2087879"/>
            <wp:effectExtent l="0" t="0" r="0" b="0"/>
            <wp:docPr id="137" name="image97.png" descr=""/>
            <wp:cNvGraphicFramePr>
              <a:graphicFrameLocks noChangeAspect="1"/>
            </wp:cNvGraphicFramePr>
            <a:graphic>
              <a:graphicData uri="http://schemas.openxmlformats.org/drawingml/2006/picture">
                <pic:pic>
                  <pic:nvPicPr>
                    <pic:cNvPr id="138" name="image97.png"/>
                    <pic:cNvPicPr/>
                  </pic:nvPicPr>
                  <pic:blipFill>
                    <a:blip r:embed="rId352" cstate="print"/>
                    <a:stretch>
                      <a:fillRect/>
                    </a:stretch>
                  </pic:blipFill>
                  <pic:spPr>
                    <a:xfrm>
                      <a:off x="0" y="0"/>
                      <a:ext cx="3627119" cy="2087879"/>
                    </a:xfrm>
                    <a:prstGeom prst="rect">
                      <a:avLst/>
                    </a:prstGeom>
                  </pic:spPr>
                </pic:pic>
              </a:graphicData>
            </a:graphic>
          </wp:inline>
        </w:drawing>
      </w:r>
      <w:r>
        <w:rPr/>
      </w:r>
    </w:p>
    <w:p>
      <w:pPr>
        <w:pStyle w:val="BodyText"/>
        <w:spacing w:before="5"/>
        <w:rPr>
          <w:sz w:val="22"/>
        </w:rPr>
      </w:pPr>
    </w:p>
    <w:p>
      <w:pPr>
        <w:spacing w:before="0"/>
        <w:ind w:left="190" w:right="197" w:firstLine="0"/>
        <w:jc w:val="center"/>
        <w:rPr>
          <w:sz w:val="16"/>
        </w:rPr>
      </w:pPr>
      <w:r>
        <w:rPr>
          <w:color w:val="6D6E71"/>
          <w:sz w:val="16"/>
        </w:rPr>
        <w:t>Fuente: elaboración propia a partir de datos de la Oficina Central de Estadística.</w:t>
      </w:r>
    </w:p>
    <w:p>
      <w:pPr>
        <w:pStyle w:val="BodyText"/>
        <w:spacing w:before="5"/>
        <w:rPr>
          <w:sz w:val="22"/>
        </w:rPr>
      </w:pPr>
    </w:p>
    <w:p>
      <w:pPr>
        <w:pStyle w:val="BodyText"/>
        <w:spacing w:line="249" w:lineRule="auto"/>
        <w:ind w:left="121" w:right="127" w:firstLine="170"/>
        <w:jc w:val="both"/>
      </w:pPr>
      <w:r>
        <w:rPr/>
        <w:t>Un análisis preciso de la participación de la afluencia migratoria de Cracovia a        los diferentes municipios de la ZMC en los años 1990-2012 permite constatar que      en el caso de la mayoría de los municipios de la zona suburbana esta participación superó el 50%, alcanzando los valores más altos en Zielonki (68,6%), Kocmyrzów (63,2%), Michałowice (62,6%) y Wielka Wieś (61,8%). La participación más baja se ha observado en el caso del municipio urbano-rural Krzeszowice, donde inmigrantes de Cracovia constituyeron el 24,9% de la afluencia a la ciudad y el 22,3% de la afluencia  a la parte rural. En los municipios de la zona de los desplazamientos se observa una participación mucho más baja de la afluencia desde el centro de la zona metropolitana. Valores especialmente bajos se observaron en los siguientes municipios: Wadowice parte</w:t>
      </w:r>
      <w:r>
        <w:rPr>
          <w:spacing w:val="-9"/>
        </w:rPr>
        <w:t> </w:t>
      </w:r>
      <w:r>
        <w:rPr/>
        <w:t>rural</w:t>
      </w:r>
      <w:r>
        <w:rPr>
          <w:spacing w:val="-9"/>
        </w:rPr>
        <w:t> </w:t>
      </w:r>
      <w:r>
        <w:rPr/>
        <w:t>(3,1%)</w:t>
      </w:r>
      <w:r>
        <w:rPr>
          <w:spacing w:val="-9"/>
        </w:rPr>
        <w:t> </w:t>
      </w:r>
      <w:r>
        <w:rPr/>
        <w:t>y</w:t>
      </w:r>
      <w:r>
        <w:rPr>
          <w:spacing w:val="-9"/>
        </w:rPr>
        <w:t> </w:t>
      </w:r>
      <w:r>
        <w:rPr/>
        <w:t>urbana</w:t>
      </w:r>
      <w:r>
        <w:rPr>
          <w:spacing w:val="-9"/>
        </w:rPr>
        <w:t> </w:t>
      </w:r>
      <w:r>
        <w:rPr/>
        <w:t>(7,7%),</w:t>
      </w:r>
      <w:r>
        <w:rPr>
          <w:spacing w:val="-9"/>
        </w:rPr>
        <w:t> </w:t>
      </w:r>
      <w:r>
        <w:rPr/>
        <w:t>Stryszów</w:t>
      </w:r>
      <w:r>
        <w:rPr>
          <w:spacing w:val="-9"/>
        </w:rPr>
        <w:t> </w:t>
      </w:r>
      <w:r>
        <w:rPr/>
        <w:t>(6,1%),</w:t>
      </w:r>
      <w:r>
        <w:rPr>
          <w:spacing w:val="-9"/>
        </w:rPr>
        <w:t> </w:t>
      </w:r>
      <w:r>
        <w:rPr/>
        <w:t>Kalwaria</w:t>
      </w:r>
      <w:r>
        <w:rPr>
          <w:spacing w:val="-9"/>
        </w:rPr>
        <w:t> </w:t>
      </w:r>
      <w:r>
        <w:rPr/>
        <w:t>Zebrzydowska</w:t>
      </w:r>
      <w:r>
        <w:rPr>
          <w:spacing w:val="-9"/>
        </w:rPr>
        <w:t> </w:t>
      </w:r>
      <w:r>
        <w:rPr/>
        <w:t>parte</w:t>
      </w:r>
      <w:r>
        <w:rPr>
          <w:spacing w:val="-9"/>
        </w:rPr>
        <w:t> </w:t>
      </w:r>
      <w:r>
        <w:rPr/>
        <w:t>rural (10,0%), Nowy Wiśnicz parte urbana (9,5%), Trzyciąż (9,9%). También hubo una baja participación de afluencia de Cracovia a los municipios periféricos ubicados en el límite este,</w:t>
      </w:r>
      <w:r>
        <w:rPr>
          <w:spacing w:val="-9"/>
        </w:rPr>
        <w:t> </w:t>
      </w:r>
      <w:r>
        <w:rPr/>
        <w:t>sur</w:t>
      </w:r>
      <w:r>
        <w:rPr>
          <w:spacing w:val="-9"/>
        </w:rPr>
        <w:t> </w:t>
      </w:r>
      <w:r>
        <w:rPr/>
        <w:t>y</w:t>
      </w:r>
      <w:r>
        <w:rPr>
          <w:spacing w:val="-9"/>
        </w:rPr>
        <w:t> </w:t>
      </w:r>
      <w:r>
        <w:rPr/>
        <w:t>norte</w:t>
      </w:r>
      <w:r>
        <w:rPr>
          <w:spacing w:val="-9"/>
        </w:rPr>
        <w:t> </w:t>
      </w:r>
      <w:r>
        <w:rPr/>
        <w:t>de</w:t>
      </w:r>
      <w:r>
        <w:rPr>
          <w:spacing w:val="-9"/>
        </w:rPr>
        <w:t> </w:t>
      </w:r>
      <w:r>
        <w:rPr/>
        <w:t>la</w:t>
      </w:r>
      <w:r>
        <w:rPr>
          <w:spacing w:val="-9"/>
        </w:rPr>
        <w:t> </w:t>
      </w:r>
      <w:r>
        <w:rPr/>
        <w:t>ZMC</w:t>
      </w:r>
      <w:r>
        <w:rPr>
          <w:spacing w:val="-9"/>
        </w:rPr>
        <w:t> </w:t>
      </w:r>
      <w:r>
        <w:rPr/>
        <w:t>(Fig.</w:t>
      </w:r>
      <w:r>
        <w:rPr>
          <w:spacing w:val="-9"/>
        </w:rPr>
        <w:t> </w:t>
      </w:r>
      <w:r>
        <w:rPr/>
        <w:t>7).</w:t>
      </w:r>
      <w:r>
        <w:rPr>
          <w:spacing w:val="-9"/>
        </w:rPr>
        <w:t> </w:t>
      </w:r>
      <w:r>
        <w:rPr/>
        <w:t>Esto</w:t>
      </w:r>
      <w:r>
        <w:rPr>
          <w:spacing w:val="-9"/>
        </w:rPr>
        <w:t> </w:t>
      </w:r>
      <w:r>
        <w:rPr/>
        <w:t>permite</w:t>
      </w:r>
      <w:r>
        <w:rPr>
          <w:spacing w:val="-9"/>
        </w:rPr>
        <w:t> </w:t>
      </w:r>
      <w:r>
        <w:rPr/>
        <w:t>constatar</w:t>
      </w:r>
      <w:r>
        <w:rPr>
          <w:spacing w:val="-9"/>
        </w:rPr>
        <w:t> </w:t>
      </w:r>
      <w:r>
        <w:rPr/>
        <w:t>que</w:t>
      </w:r>
      <w:r>
        <w:rPr>
          <w:spacing w:val="-9"/>
        </w:rPr>
        <w:t> </w:t>
      </w:r>
      <w:r>
        <w:rPr/>
        <w:t>la</w:t>
      </w:r>
      <w:r>
        <w:rPr>
          <w:spacing w:val="-9"/>
        </w:rPr>
        <w:t> </w:t>
      </w:r>
      <w:r>
        <w:rPr/>
        <w:t>atractividad</w:t>
      </w:r>
      <w:r>
        <w:rPr>
          <w:spacing w:val="-9"/>
        </w:rPr>
        <w:t> </w:t>
      </w:r>
      <w:r>
        <w:rPr/>
        <w:t>migratoria</w:t>
      </w:r>
    </w:p>
    <w:p>
      <w:pPr>
        <w:spacing w:after="0" w:line="249" w:lineRule="auto"/>
        <w:jc w:val="both"/>
        <w:sectPr>
          <w:type w:val="continuous"/>
          <w:pgSz w:w="18830" w:h="12760" w:orient="landscape"/>
          <w:pgMar w:top="1420" w:bottom="280" w:left="720" w:right="720"/>
          <w:cols w:num="2" w:equalWidth="0">
            <w:col w:w="7833" w:space="1588"/>
            <w:col w:w="7969"/>
          </w:cols>
        </w:sectPr>
      </w:pPr>
    </w:p>
    <w:p>
      <w:pPr>
        <w:pStyle w:val="BodyText"/>
        <w:spacing w:before="6"/>
        <w:rPr>
          <w:sz w:val="23"/>
        </w:rPr>
      </w:pPr>
    </w:p>
    <w:p>
      <w:pPr>
        <w:spacing w:after="0"/>
        <w:rPr>
          <w:sz w:val="23"/>
        </w:rPr>
        <w:sectPr>
          <w:footerReference w:type="default" r:id="rId353"/>
          <w:pgSz w:w="18830" w:h="12760" w:orient="landscape"/>
          <w:pgMar w:footer="1036" w:header="522" w:top="820" w:bottom="1220" w:left="720" w:right="720"/>
        </w:sectPr>
      </w:pPr>
    </w:p>
    <w:p>
      <w:pPr>
        <w:pStyle w:val="BodyText"/>
        <w:spacing w:line="249" w:lineRule="auto" w:before="76"/>
        <w:ind w:left="131" w:right="1"/>
        <w:jc w:val="both"/>
      </w:pPr>
      <w:r>
        <w:rPr/>
        <w:t>de los municipios para los habitantes de Cracovia se relaciona muy fuertemente con</w:t>
      </w:r>
      <w:r>
        <w:rPr>
          <w:spacing w:val="-38"/>
        </w:rPr>
        <w:t> </w:t>
      </w:r>
      <w:r>
        <w:rPr/>
        <w:t>su cercanía del centro de la zona metropolitana, así como su accesibilidad en transporte, incluyendo la cualidad de carreteras y su capacidad. Por esta razón, en los municipios situados a lo largo de las carreteras que salen de Cracovia se observa una afluencia mucho más grande que en los ubicados más</w:t>
      </w:r>
      <w:r>
        <w:rPr>
          <w:spacing w:val="54"/>
        </w:rPr>
        <w:t> </w:t>
      </w:r>
      <w:r>
        <w:rPr/>
        <w:t>periféricamente.</w:t>
      </w:r>
    </w:p>
    <w:p>
      <w:pPr>
        <w:pStyle w:val="BodyText"/>
        <w:spacing w:before="2"/>
        <w:rPr>
          <w:sz w:val="24"/>
        </w:rPr>
      </w:pPr>
    </w:p>
    <w:p>
      <w:pPr>
        <w:spacing w:line="312" w:lineRule="auto" w:before="0"/>
        <w:ind w:left="204" w:right="72" w:firstLine="0"/>
        <w:jc w:val="center"/>
        <w:rPr>
          <w:sz w:val="16"/>
        </w:rPr>
      </w:pPr>
      <w:r>
        <w:rPr>
          <w:color w:val="6D6E71"/>
          <w:sz w:val="16"/>
        </w:rPr>
        <w:t>Figura 7. La participación de la afluencia de Cracovia en la afluencia migratoria total a los municipios de la ZMC en el periodo 1990-2012</w:t>
      </w:r>
    </w:p>
    <w:p>
      <w:pPr>
        <w:pStyle w:val="BodyText"/>
        <w:ind w:left="684"/>
      </w:pPr>
      <w:r>
        <w:rPr/>
        <w:drawing>
          <wp:inline distT="0" distB="0" distL="0" distR="0">
            <wp:extent cx="4192523" cy="2248281"/>
            <wp:effectExtent l="0" t="0" r="0" b="0"/>
            <wp:docPr id="139" name="image98.png" descr=""/>
            <wp:cNvGraphicFramePr>
              <a:graphicFrameLocks noChangeAspect="1"/>
            </wp:cNvGraphicFramePr>
            <a:graphic>
              <a:graphicData uri="http://schemas.openxmlformats.org/drawingml/2006/picture">
                <pic:pic>
                  <pic:nvPicPr>
                    <pic:cNvPr id="140" name="image98.png"/>
                    <pic:cNvPicPr/>
                  </pic:nvPicPr>
                  <pic:blipFill>
                    <a:blip r:embed="rId354" cstate="print"/>
                    <a:stretch>
                      <a:fillRect/>
                    </a:stretch>
                  </pic:blipFill>
                  <pic:spPr>
                    <a:xfrm>
                      <a:off x="0" y="0"/>
                      <a:ext cx="4192523" cy="2248281"/>
                    </a:xfrm>
                    <a:prstGeom prst="rect">
                      <a:avLst/>
                    </a:prstGeom>
                  </pic:spPr>
                </pic:pic>
              </a:graphicData>
            </a:graphic>
          </wp:inline>
        </w:drawing>
      </w:r>
      <w:r>
        <w:rPr/>
      </w:r>
    </w:p>
    <w:p>
      <w:pPr>
        <w:spacing w:before="42"/>
        <w:ind w:left="201" w:right="72" w:firstLine="0"/>
        <w:jc w:val="center"/>
        <w:rPr>
          <w:b/>
          <w:sz w:val="18"/>
        </w:rPr>
      </w:pPr>
      <w:r>
        <w:rPr>
          <w:color w:val="6D6E71"/>
          <w:sz w:val="16"/>
        </w:rPr>
        <w:t>Fuente: elaboración propia a partir de datos de la Oficina Central de Estadística</w:t>
      </w:r>
      <w:r>
        <w:rPr>
          <w:b/>
          <w:color w:val="6D6E71"/>
          <w:sz w:val="18"/>
        </w:rPr>
        <w:t>.</w:t>
      </w:r>
    </w:p>
    <w:p>
      <w:pPr>
        <w:pStyle w:val="BodyText"/>
        <w:spacing w:before="1"/>
        <w:rPr>
          <w:b/>
          <w:sz w:val="22"/>
        </w:rPr>
      </w:pPr>
    </w:p>
    <w:p>
      <w:pPr>
        <w:pStyle w:val="BodyText"/>
        <w:spacing w:line="249" w:lineRule="auto"/>
        <w:ind w:left="131" w:firstLine="170"/>
        <w:jc w:val="right"/>
      </w:pPr>
      <w:r>
        <w:rPr/>
        <w:t>Para los habitantes de Cracovia los municipios más atractivos para la</w:t>
      </w:r>
      <w:r>
        <w:rPr>
          <w:spacing w:val="14"/>
        </w:rPr>
        <w:t> </w:t>
      </w:r>
      <w:r>
        <w:rPr/>
        <w:t>migración</w:t>
      </w:r>
      <w:r>
        <w:rPr>
          <w:spacing w:val="6"/>
        </w:rPr>
        <w:t> </w:t>
      </w:r>
      <w:r>
        <w:rPr>
          <w:spacing w:val="-2"/>
        </w:rPr>
        <w:t>son</w:t>
      </w:r>
      <w:r>
        <w:rPr>
          <w:spacing w:val="-2"/>
          <w:w w:val="101"/>
        </w:rPr>
        <w:t> </w:t>
      </w:r>
      <w:r>
        <w:rPr/>
        <w:t>los que se encuentran en la zona suburbana, sobre todo los municipios</w:t>
      </w:r>
      <w:r>
        <w:rPr>
          <w:spacing w:val="20"/>
        </w:rPr>
        <w:t> </w:t>
      </w:r>
      <w:r>
        <w:rPr/>
        <w:t>limítrofes</w:t>
      </w:r>
      <w:r>
        <w:rPr>
          <w:spacing w:val="11"/>
        </w:rPr>
        <w:t> </w:t>
      </w:r>
      <w:r>
        <w:rPr>
          <w:spacing w:val="-2"/>
        </w:rPr>
        <w:t>con</w:t>
      </w:r>
      <w:r>
        <w:rPr>
          <w:spacing w:val="-2"/>
          <w:w w:val="103"/>
        </w:rPr>
        <w:t> </w:t>
      </w:r>
      <w:r>
        <w:rPr/>
        <w:t>la</w:t>
      </w:r>
      <w:r>
        <w:rPr>
          <w:spacing w:val="15"/>
        </w:rPr>
        <w:t> </w:t>
      </w:r>
      <w:r>
        <w:rPr/>
        <w:t>ciudad.</w:t>
      </w:r>
      <w:r>
        <w:rPr>
          <w:spacing w:val="15"/>
        </w:rPr>
        <w:t> </w:t>
      </w:r>
      <w:r>
        <w:rPr/>
        <w:t>En</w:t>
      </w:r>
      <w:r>
        <w:rPr>
          <w:spacing w:val="15"/>
        </w:rPr>
        <w:t> </w:t>
      </w:r>
      <w:r>
        <w:rPr/>
        <w:t>la</w:t>
      </w:r>
      <w:r>
        <w:rPr>
          <w:spacing w:val="15"/>
        </w:rPr>
        <w:t> </w:t>
      </w:r>
      <w:r>
        <w:rPr/>
        <w:t>mayoría</w:t>
      </w:r>
      <w:r>
        <w:rPr>
          <w:spacing w:val="15"/>
        </w:rPr>
        <w:t> </w:t>
      </w:r>
      <w:r>
        <w:rPr/>
        <w:t>de</w:t>
      </w:r>
      <w:r>
        <w:rPr>
          <w:spacing w:val="15"/>
        </w:rPr>
        <w:t> </w:t>
      </w:r>
      <w:r>
        <w:rPr/>
        <w:t>ellos,</w:t>
      </w:r>
      <w:r>
        <w:rPr>
          <w:spacing w:val="15"/>
        </w:rPr>
        <w:t> </w:t>
      </w:r>
      <w:r>
        <w:rPr/>
        <w:t>en</w:t>
      </w:r>
      <w:r>
        <w:rPr>
          <w:spacing w:val="15"/>
        </w:rPr>
        <w:t> </w:t>
      </w:r>
      <w:r>
        <w:rPr/>
        <w:t>el</w:t>
      </w:r>
      <w:r>
        <w:rPr>
          <w:spacing w:val="15"/>
        </w:rPr>
        <w:t> </w:t>
      </w:r>
      <w:r>
        <w:rPr/>
        <w:t>periodo</w:t>
      </w:r>
      <w:r>
        <w:rPr>
          <w:spacing w:val="15"/>
        </w:rPr>
        <w:t> </w:t>
      </w:r>
      <w:r>
        <w:rPr/>
        <w:t>analizado</w:t>
      </w:r>
      <w:r>
        <w:rPr>
          <w:spacing w:val="15"/>
        </w:rPr>
        <w:t> </w:t>
      </w:r>
      <w:r>
        <w:rPr/>
        <w:t>la</w:t>
      </w:r>
      <w:r>
        <w:rPr>
          <w:spacing w:val="15"/>
        </w:rPr>
        <w:t> </w:t>
      </w:r>
      <w:r>
        <w:rPr/>
        <w:t>inmigración</w:t>
      </w:r>
      <w:r>
        <w:rPr>
          <w:spacing w:val="15"/>
        </w:rPr>
        <w:t> </w:t>
      </w:r>
      <w:r>
        <w:rPr/>
        <w:t>de</w:t>
      </w:r>
      <w:r>
        <w:rPr>
          <w:spacing w:val="15"/>
        </w:rPr>
        <w:t> </w:t>
      </w:r>
      <w:r>
        <w:rPr/>
        <w:t>Cracovia</w:t>
      </w:r>
      <w:r>
        <w:rPr>
          <w:spacing w:val="-2"/>
          <w:w w:val="100"/>
        </w:rPr>
        <w:t> </w:t>
      </w:r>
      <w:r>
        <w:rPr/>
        <w:t>constituyó</w:t>
      </w:r>
      <w:r>
        <w:rPr>
          <w:spacing w:val="-15"/>
        </w:rPr>
        <w:t> </w:t>
      </w:r>
      <w:r>
        <w:rPr/>
        <w:t>más</w:t>
      </w:r>
      <w:r>
        <w:rPr>
          <w:spacing w:val="-15"/>
        </w:rPr>
        <w:t> </w:t>
      </w:r>
      <w:r>
        <w:rPr/>
        <w:t>de</w:t>
      </w:r>
      <w:r>
        <w:rPr>
          <w:spacing w:val="-15"/>
        </w:rPr>
        <w:t> </w:t>
      </w:r>
      <w:r>
        <w:rPr/>
        <w:t>la</w:t>
      </w:r>
      <w:r>
        <w:rPr>
          <w:spacing w:val="-15"/>
        </w:rPr>
        <w:t> </w:t>
      </w:r>
      <w:r>
        <w:rPr/>
        <w:t>mitad</w:t>
      </w:r>
      <w:r>
        <w:rPr>
          <w:spacing w:val="-15"/>
        </w:rPr>
        <w:t> </w:t>
      </w:r>
      <w:r>
        <w:rPr/>
        <w:t>de</w:t>
      </w:r>
      <w:r>
        <w:rPr>
          <w:spacing w:val="-15"/>
        </w:rPr>
        <w:t> </w:t>
      </w:r>
      <w:r>
        <w:rPr/>
        <w:t>la</w:t>
      </w:r>
      <w:r>
        <w:rPr>
          <w:spacing w:val="-15"/>
        </w:rPr>
        <w:t> </w:t>
      </w:r>
      <w:r>
        <w:rPr/>
        <w:t>afluencia</w:t>
      </w:r>
      <w:r>
        <w:rPr>
          <w:spacing w:val="-15"/>
        </w:rPr>
        <w:t> </w:t>
      </w:r>
      <w:r>
        <w:rPr/>
        <w:t>migratoria</w:t>
      </w:r>
      <w:r>
        <w:rPr>
          <w:spacing w:val="-15"/>
        </w:rPr>
        <w:t> </w:t>
      </w:r>
      <w:r>
        <w:rPr/>
        <w:t>total</w:t>
      </w:r>
      <w:r>
        <w:rPr>
          <w:spacing w:val="-15"/>
        </w:rPr>
        <w:t> </w:t>
      </w:r>
      <w:r>
        <w:rPr/>
        <w:t>en</w:t>
      </w:r>
      <w:r>
        <w:rPr>
          <w:spacing w:val="-15"/>
        </w:rPr>
        <w:t> </w:t>
      </w:r>
      <w:r>
        <w:rPr/>
        <w:t>los</w:t>
      </w:r>
      <w:r>
        <w:rPr>
          <w:spacing w:val="-15"/>
        </w:rPr>
        <w:t> </w:t>
      </w:r>
      <w:r>
        <w:rPr/>
        <w:t>años</w:t>
      </w:r>
      <w:r>
        <w:rPr>
          <w:spacing w:val="-15"/>
        </w:rPr>
        <w:t> </w:t>
      </w:r>
      <w:r>
        <w:rPr/>
        <w:t>1990-2012</w:t>
      </w:r>
      <w:r>
        <w:rPr>
          <w:spacing w:val="-15"/>
        </w:rPr>
        <w:t> </w:t>
      </w:r>
      <w:r>
        <w:rPr/>
        <w:t>(Fig.</w:t>
      </w:r>
      <w:r>
        <w:rPr>
          <w:spacing w:val="-15"/>
        </w:rPr>
        <w:t> </w:t>
      </w:r>
      <w:r>
        <w:rPr>
          <w:spacing w:val="-2"/>
        </w:rPr>
        <w:t>7).</w:t>
      </w:r>
    </w:p>
    <w:p>
      <w:pPr>
        <w:pStyle w:val="BodyText"/>
        <w:spacing w:before="11"/>
      </w:pPr>
    </w:p>
    <w:p>
      <w:pPr>
        <w:pStyle w:val="BodyText"/>
        <w:spacing w:line="249" w:lineRule="auto"/>
        <w:ind w:left="131" w:firstLine="170"/>
        <w:jc w:val="both"/>
      </w:pPr>
      <w:r>
        <w:rPr/>
        <w:t>Resumiendo el análisis de flujos migratorios en la ZMC provenientes de los registros oficiales</w:t>
      </w:r>
      <w:r>
        <w:rPr>
          <w:spacing w:val="-24"/>
        </w:rPr>
        <w:t> </w:t>
      </w:r>
      <w:r>
        <w:rPr/>
        <w:t>de</w:t>
      </w:r>
      <w:r>
        <w:rPr>
          <w:spacing w:val="-24"/>
        </w:rPr>
        <w:t> </w:t>
      </w:r>
      <w:r>
        <w:rPr/>
        <w:t>empadronamiento,</w:t>
      </w:r>
      <w:r>
        <w:rPr>
          <w:spacing w:val="-24"/>
        </w:rPr>
        <w:t> </w:t>
      </w:r>
      <w:r>
        <w:rPr/>
        <w:t>hay</w:t>
      </w:r>
      <w:r>
        <w:rPr>
          <w:spacing w:val="-24"/>
        </w:rPr>
        <w:t> </w:t>
      </w:r>
      <w:r>
        <w:rPr/>
        <w:t>que</w:t>
      </w:r>
      <w:r>
        <w:rPr>
          <w:spacing w:val="-24"/>
        </w:rPr>
        <w:t> </w:t>
      </w:r>
      <w:r>
        <w:rPr/>
        <w:t>notar</w:t>
      </w:r>
      <w:r>
        <w:rPr>
          <w:spacing w:val="-24"/>
        </w:rPr>
        <w:t> </w:t>
      </w:r>
      <w:r>
        <w:rPr/>
        <w:t>que</w:t>
      </w:r>
      <w:r>
        <w:rPr>
          <w:spacing w:val="-24"/>
        </w:rPr>
        <w:t> </w:t>
      </w:r>
      <w:r>
        <w:rPr/>
        <w:t>a</w:t>
      </w:r>
      <w:r>
        <w:rPr>
          <w:spacing w:val="-24"/>
        </w:rPr>
        <w:t> </w:t>
      </w:r>
      <w:r>
        <w:rPr/>
        <w:t>pesar</w:t>
      </w:r>
      <w:r>
        <w:rPr>
          <w:spacing w:val="-24"/>
        </w:rPr>
        <w:t> </w:t>
      </w:r>
      <w:r>
        <w:rPr/>
        <w:t>del</w:t>
      </w:r>
      <w:r>
        <w:rPr>
          <w:spacing w:val="-24"/>
        </w:rPr>
        <w:t> </w:t>
      </w:r>
      <w:r>
        <w:rPr>
          <w:spacing w:val="2"/>
        </w:rPr>
        <w:t>procesode</w:t>
      </w:r>
      <w:r>
        <w:rPr>
          <w:spacing w:val="-24"/>
        </w:rPr>
        <w:t> </w:t>
      </w:r>
      <w:r>
        <w:rPr/>
        <w:t>suburbanización y</w:t>
      </w:r>
      <w:r>
        <w:rPr>
          <w:spacing w:val="-5"/>
        </w:rPr>
        <w:t> </w:t>
      </w:r>
      <w:r>
        <w:rPr/>
        <w:t>redistribución</w:t>
      </w:r>
      <w:r>
        <w:rPr>
          <w:spacing w:val="-5"/>
        </w:rPr>
        <w:t> </w:t>
      </w:r>
      <w:r>
        <w:rPr/>
        <w:t>de</w:t>
      </w:r>
      <w:r>
        <w:rPr>
          <w:spacing w:val="-5"/>
        </w:rPr>
        <w:t> </w:t>
      </w:r>
      <w:r>
        <w:rPr/>
        <w:t>la</w:t>
      </w:r>
      <w:r>
        <w:rPr>
          <w:spacing w:val="-5"/>
        </w:rPr>
        <w:t> </w:t>
      </w:r>
      <w:r>
        <w:rPr/>
        <w:t>población</w:t>
      </w:r>
      <w:r>
        <w:rPr>
          <w:spacing w:val="-5"/>
        </w:rPr>
        <w:t> </w:t>
      </w:r>
      <w:r>
        <w:rPr/>
        <w:t>de</w:t>
      </w:r>
      <w:r>
        <w:rPr>
          <w:spacing w:val="-5"/>
        </w:rPr>
        <w:t> </w:t>
      </w:r>
      <w:r>
        <w:rPr/>
        <w:t>Cracovia</w:t>
      </w:r>
      <w:r>
        <w:rPr>
          <w:spacing w:val="-5"/>
        </w:rPr>
        <w:t> </w:t>
      </w:r>
      <w:r>
        <w:rPr/>
        <w:t>a</w:t>
      </w:r>
      <w:r>
        <w:rPr>
          <w:spacing w:val="-5"/>
        </w:rPr>
        <w:t> </w:t>
      </w:r>
      <w:r>
        <w:rPr/>
        <w:t>las</w:t>
      </w:r>
      <w:r>
        <w:rPr>
          <w:spacing w:val="-5"/>
        </w:rPr>
        <w:t> </w:t>
      </w:r>
      <w:r>
        <w:rPr/>
        <w:t>zonas</w:t>
      </w:r>
      <w:r>
        <w:rPr>
          <w:spacing w:val="-5"/>
        </w:rPr>
        <w:t> </w:t>
      </w:r>
      <w:r>
        <w:rPr/>
        <w:t>exteriores</w:t>
      </w:r>
      <w:r>
        <w:rPr>
          <w:spacing w:val="-5"/>
        </w:rPr>
        <w:t> </w:t>
      </w:r>
      <w:r>
        <w:rPr/>
        <w:t>de</w:t>
      </w:r>
      <w:r>
        <w:rPr>
          <w:spacing w:val="-5"/>
        </w:rPr>
        <w:t> </w:t>
      </w:r>
      <w:r>
        <w:rPr/>
        <w:t>la</w:t>
      </w:r>
      <w:r>
        <w:rPr>
          <w:spacing w:val="-5"/>
        </w:rPr>
        <w:t> </w:t>
      </w:r>
      <w:r>
        <w:rPr/>
        <w:t>ZMC,</w:t>
      </w:r>
      <w:r>
        <w:rPr>
          <w:spacing w:val="-5"/>
        </w:rPr>
        <w:t> </w:t>
      </w:r>
      <w:r>
        <w:rPr/>
        <w:t>la</w:t>
      </w:r>
      <w:r>
        <w:rPr>
          <w:spacing w:val="-5"/>
        </w:rPr>
        <w:t> </w:t>
      </w:r>
      <w:r>
        <w:rPr/>
        <w:t>ciudad mantuvo en total un saldo migratorio positivo. En el periodo estudiado de 23 años el saldo</w:t>
      </w:r>
      <w:r>
        <w:rPr>
          <w:spacing w:val="-4"/>
        </w:rPr>
        <w:t> </w:t>
      </w:r>
      <w:r>
        <w:rPr/>
        <w:t>migratorio</w:t>
      </w:r>
      <w:r>
        <w:rPr>
          <w:spacing w:val="-4"/>
        </w:rPr>
        <w:t> </w:t>
      </w:r>
      <w:r>
        <w:rPr/>
        <w:t>total</w:t>
      </w:r>
      <w:r>
        <w:rPr>
          <w:spacing w:val="-4"/>
        </w:rPr>
        <w:t> </w:t>
      </w:r>
      <w:r>
        <w:rPr/>
        <w:t>de</w:t>
      </w:r>
      <w:r>
        <w:rPr>
          <w:spacing w:val="-4"/>
        </w:rPr>
        <w:t> </w:t>
      </w:r>
      <w:r>
        <w:rPr/>
        <w:t>Cracovia</w:t>
      </w:r>
      <w:r>
        <w:rPr>
          <w:spacing w:val="-4"/>
        </w:rPr>
        <w:t> </w:t>
      </w:r>
      <w:r>
        <w:rPr/>
        <w:t>fue</w:t>
      </w:r>
      <w:r>
        <w:rPr>
          <w:spacing w:val="-4"/>
        </w:rPr>
        <w:t> </w:t>
      </w:r>
      <w:r>
        <w:rPr/>
        <w:t>de</w:t>
      </w:r>
      <w:r>
        <w:rPr>
          <w:spacing w:val="-4"/>
        </w:rPr>
        <w:t> </w:t>
      </w:r>
      <w:r>
        <w:rPr/>
        <w:t>21,4</w:t>
      </w:r>
      <w:r>
        <w:rPr>
          <w:spacing w:val="-4"/>
        </w:rPr>
        <w:t> </w:t>
      </w:r>
      <w:r>
        <w:rPr/>
        <w:t>mil</w:t>
      </w:r>
      <w:r>
        <w:rPr>
          <w:spacing w:val="-4"/>
        </w:rPr>
        <w:t> </w:t>
      </w:r>
      <w:r>
        <w:rPr/>
        <w:t>personas.</w:t>
      </w:r>
      <w:r>
        <w:rPr>
          <w:spacing w:val="-4"/>
        </w:rPr>
        <w:t> </w:t>
      </w:r>
      <w:r>
        <w:rPr/>
        <w:t>Este</w:t>
      </w:r>
      <w:r>
        <w:rPr>
          <w:spacing w:val="-4"/>
        </w:rPr>
        <w:t> </w:t>
      </w:r>
      <w:r>
        <w:rPr/>
        <w:t>resultado</w:t>
      </w:r>
      <w:r>
        <w:rPr>
          <w:spacing w:val="-4"/>
        </w:rPr>
        <w:t> </w:t>
      </w:r>
      <w:r>
        <w:rPr/>
        <w:t>se</w:t>
      </w:r>
      <w:r>
        <w:rPr>
          <w:spacing w:val="-4"/>
        </w:rPr>
        <w:t> </w:t>
      </w:r>
      <w:r>
        <w:rPr/>
        <w:t>compone de</w:t>
      </w:r>
      <w:r>
        <w:rPr>
          <w:spacing w:val="25"/>
        </w:rPr>
        <w:t> </w:t>
      </w:r>
      <w:r>
        <w:rPr/>
        <w:t>la</w:t>
      </w:r>
      <w:r>
        <w:rPr>
          <w:spacing w:val="25"/>
        </w:rPr>
        <w:t> </w:t>
      </w:r>
      <w:r>
        <w:rPr/>
        <w:t>afluencia</w:t>
      </w:r>
      <w:r>
        <w:rPr>
          <w:spacing w:val="25"/>
        </w:rPr>
        <w:t> </w:t>
      </w:r>
      <w:r>
        <w:rPr/>
        <w:t>migratoria</w:t>
      </w:r>
      <w:r>
        <w:rPr>
          <w:spacing w:val="25"/>
        </w:rPr>
        <w:t> </w:t>
      </w:r>
      <w:r>
        <w:rPr/>
        <w:t>de</w:t>
      </w:r>
      <w:r>
        <w:rPr>
          <w:spacing w:val="25"/>
        </w:rPr>
        <w:t> </w:t>
      </w:r>
      <w:r>
        <w:rPr/>
        <w:t>otras</w:t>
      </w:r>
      <w:r>
        <w:rPr>
          <w:spacing w:val="25"/>
        </w:rPr>
        <w:t> </w:t>
      </w:r>
      <w:r>
        <w:rPr/>
        <w:t>partes</w:t>
      </w:r>
      <w:r>
        <w:rPr>
          <w:spacing w:val="25"/>
        </w:rPr>
        <w:t> </w:t>
      </w:r>
      <w:r>
        <w:rPr/>
        <w:t>del</w:t>
      </w:r>
      <w:r>
        <w:rPr>
          <w:spacing w:val="25"/>
        </w:rPr>
        <w:t> </w:t>
      </w:r>
      <w:r>
        <w:rPr/>
        <w:t>voivodato</w:t>
      </w:r>
      <w:r>
        <w:rPr>
          <w:spacing w:val="25"/>
        </w:rPr>
        <w:t> </w:t>
      </w:r>
      <w:r>
        <w:rPr/>
        <w:t>de</w:t>
      </w:r>
      <w:r>
        <w:rPr>
          <w:spacing w:val="25"/>
        </w:rPr>
        <w:t> </w:t>
      </w:r>
      <w:r>
        <w:rPr/>
        <w:t>Pequeña</w:t>
      </w:r>
      <w:r>
        <w:rPr>
          <w:spacing w:val="25"/>
        </w:rPr>
        <w:t> </w:t>
      </w:r>
      <w:r>
        <w:rPr/>
        <w:t>Polonia</w:t>
      </w:r>
      <w:r>
        <w:rPr>
          <w:spacing w:val="25"/>
        </w:rPr>
        <w:t> </w:t>
      </w:r>
      <w:r>
        <w:rPr/>
        <w:t>que</w:t>
      </w:r>
      <w:r>
        <w:rPr>
          <w:spacing w:val="25"/>
        </w:rPr>
        <w:t> </w:t>
      </w:r>
      <w:r>
        <w:rPr/>
        <w:t>no</w:t>
      </w:r>
      <w:r>
        <w:rPr>
          <w:w w:val="101"/>
        </w:rPr>
        <w:t> </w:t>
      </w:r>
      <w:r>
        <w:rPr/>
        <w:t>forman parte de la ZMC, y sobre todo de la afluencia de otros voivodatos. En el primer caso el saldo migratorio fue de 13,4 mil y en el segundo de 43,3 mil personas. Vale la pena poner énfasis en la afluencia especialmente alta de otros voivodatos que fue de 78,1 mil personas en comparación con una emigración hacia ellos de sólo 34,8 mil personas, lo que hizo que la ciudad en los 23 años analizados tuvo un saldo migratorio muy</w:t>
      </w:r>
      <w:r>
        <w:rPr>
          <w:spacing w:val="18"/>
        </w:rPr>
        <w:t> </w:t>
      </w:r>
      <w:r>
        <w:rPr/>
        <w:t>positivo</w:t>
      </w:r>
      <w:r>
        <w:rPr>
          <w:spacing w:val="18"/>
        </w:rPr>
        <w:t> </w:t>
      </w:r>
      <w:r>
        <w:rPr/>
        <w:t>con</w:t>
      </w:r>
      <w:r>
        <w:rPr>
          <w:spacing w:val="18"/>
        </w:rPr>
        <w:t> </w:t>
      </w:r>
      <w:r>
        <w:rPr/>
        <w:t>otros</w:t>
      </w:r>
      <w:r>
        <w:rPr>
          <w:spacing w:val="18"/>
        </w:rPr>
        <w:t> </w:t>
      </w:r>
      <w:r>
        <w:rPr/>
        <w:t>voivodatos.</w:t>
      </w:r>
      <w:r>
        <w:rPr>
          <w:spacing w:val="18"/>
        </w:rPr>
        <w:t> </w:t>
      </w:r>
      <w:r>
        <w:rPr/>
        <w:t>Esto</w:t>
      </w:r>
      <w:r>
        <w:rPr>
          <w:spacing w:val="18"/>
        </w:rPr>
        <w:t> </w:t>
      </w:r>
      <w:r>
        <w:rPr/>
        <w:t>jugó</w:t>
      </w:r>
      <w:r>
        <w:rPr>
          <w:spacing w:val="18"/>
        </w:rPr>
        <w:t> </w:t>
      </w:r>
      <w:r>
        <w:rPr/>
        <w:t>un</w:t>
      </w:r>
      <w:r>
        <w:rPr>
          <w:spacing w:val="18"/>
        </w:rPr>
        <w:t> </w:t>
      </w:r>
      <w:r>
        <w:rPr/>
        <w:t>papel</w:t>
      </w:r>
      <w:r>
        <w:rPr>
          <w:spacing w:val="18"/>
        </w:rPr>
        <w:t> </w:t>
      </w:r>
      <w:r>
        <w:rPr/>
        <w:t>decisivo</w:t>
      </w:r>
      <w:r>
        <w:rPr>
          <w:spacing w:val="18"/>
        </w:rPr>
        <w:t> </w:t>
      </w:r>
      <w:r>
        <w:rPr/>
        <w:t>al</w:t>
      </w:r>
      <w:r>
        <w:rPr>
          <w:spacing w:val="18"/>
        </w:rPr>
        <w:t> </w:t>
      </w:r>
      <w:r>
        <w:rPr/>
        <w:t>mantener</w:t>
      </w:r>
      <w:r>
        <w:rPr>
          <w:spacing w:val="18"/>
        </w:rPr>
        <w:t> </w:t>
      </w:r>
      <w:r>
        <w:rPr/>
        <w:t>un</w:t>
      </w:r>
      <w:r>
        <w:rPr>
          <w:spacing w:val="18"/>
        </w:rPr>
        <w:t> </w:t>
      </w:r>
      <w:r>
        <w:rPr/>
        <w:t>saldo</w:t>
      </w:r>
    </w:p>
    <w:p>
      <w:pPr>
        <w:pStyle w:val="BodyText"/>
        <w:spacing w:line="249" w:lineRule="auto" w:before="76"/>
        <w:ind w:left="131" w:right="113"/>
      </w:pPr>
      <w:r>
        <w:rPr/>
        <w:br w:type="column"/>
      </w:r>
      <w:r>
        <w:rPr/>
        <w:t>migratorio positivo en Cracovia, ya que en el caso del flujo migratorio dentro de la ZMC y con el extranjero la ciudad tiene un saldo negativo (Fig. 8).</w:t>
      </w:r>
    </w:p>
    <w:p>
      <w:pPr>
        <w:pStyle w:val="BodyText"/>
        <w:spacing w:before="2"/>
        <w:rPr>
          <w:sz w:val="24"/>
        </w:rPr>
      </w:pPr>
    </w:p>
    <w:p>
      <w:pPr>
        <w:spacing w:before="0"/>
        <w:ind w:left="514" w:right="514" w:firstLine="0"/>
        <w:jc w:val="center"/>
        <w:rPr>
          <w:sz w:val="16"/>
        </w:rPr>
      </w:pPr>
      <w:r>
        <w:rPr>
          <w:color w:val="6D6E71"/>
          <w:sz w:val="16"/>
        </w:rPr>
        <w:t>Figura 8. Esquema de flujos migratorios en Cracovia en los años 1990-2012</w:t>
      </w:r>
    </w:p>
    <w:p>
      <w:pPr>
        <w:pStyle w:val="BodyText"/>
        <w:spacing w:before="3"/>
        <w:rPr>
          <w:sz w:val="6"/>
        </w:rPr>
      </w:pPr>
    </w:p>
    <w:p>
      <w:pPr>
        <w:pStyle w:val="BodyText"/>
        <w:ind w:left="1182"/>
      </w:pPr>
      <w:r>
        <w:rPr/>
        <w:drawing>
          <wp:inline distT="0" distB="0" distL="0" distR="0">
            <wp:extent cx="3536921" cy="1920621"/>
            <wp:effectExtent l="0" t="0" r="0" b="0"/>
            <wp:docPr id="141" name="image99.png" descr=""/>
            <wp:cNvGraphicFramePr>
              <a:graphicFrameLocks noChangeAspect="1"/>
            </wp:cNvGraphicFramePr>
            <a:graphic>
              <a:graphicData uri="http://schemas.openxmlformats.org/drawingml/2006/picture">
                <pic:pic>
                  <pic:nvPicPr>
                    <pic:cNvPr id="142" name="image99.png"/>
                    <pic:cNvPicPr/>
                  </pic:nvPicPr>
                  <pic:blipFill>
                    <a:blip r:embed="rId355" cstate="print"/>
                    <a:stretch>
                      <a:fillRect/>
                    </a:stretch>
                  </pic:blipFill>
                  <pic:spPr>
                    <a:xfrm>
                      <a:off x="0" y="0"/>
                      <a:ext cx="3536921" cy="1920621"/>
                    </a:xfrm>
                    <a:prstGeom prst="rect">
                      <a:avLst/>
                    </a:prstGeom>
                  </pic:spPr>
                </pic:pic>
              </a:graphicData>
            </a:graphic>
          </wp:inline>
        </w:drawing>
      </w:r>
      <w:r>
        <w:rPr/>
      </w:r>
    </w:p>
    <w:p>
      <w:pPr>
        <w:spacing w:before="79"/>
        <w:ind w:left="514" w:right="514" w:firstLine="0"/>
        <w:jc w:val="center"/>
        <w:rPr>
          <w:sz w:val="16"/>
        </w:rPr>
      </w:pPr>
      <w:r>
        <w:rPr>
          <w:color w:val="6D6E71"/>
          <w:sz w:val="16"/>
        </w:rPr>
        <w:t>Fuente: elaboración propia a partir de datos de la Oficina Central de Estadística.</w:t>
      </w:r>
    </w:p>
    <w:p>
      <w:pPr>
        <w:pStyle w:val="BodyText"/>
        <w:spacing w:before="5"/>
        <w:rPr>
          <w:sz w:val="22"/>
        </w:rPr>
      </w:pPr>
    </w:p>
    <w:p>
      <w:pPr>
        <w:pStyle w:val="BodyText"/>
        <w:spacing w:line="249" w:lineRule="auto"/>
        <w:ind w:left="131" w:right="127" w:firstLine="170"/>
        <w:jc w:val="both"/>
      </w:pPr>
      <w:r>
        <w:rPr/>
        <w:t>En el periodo estudiado la mayor emigración de Cracovia se observó a la zona suburbana, 45,0 mil personas. Teniendo en cuenta la afluencia relativamente limitada de esta zona a la ciudad, que fue de sólo 16,8 mil personas, el resultado fue un saldo migratorio negativo de -28,2 mil personas. También en relación con la zona de los desplazamientos Cracovia notó una relación negativa entre la emigración que fue de 22,7 mil personas y la inmigración de los municipios de esta zona que alcanzó 16,2 mil personas, lo que hizo que la balanza migratoria de la ciudad fue de -6,5 mil personas. También el saldo migratorio de Cracovia con el extranjero es desfavorable, aunque a causa de la baja emigración registrada los datos indican que el saldo migratorio total es de sólo –0,5 mil personas (Fig. 8). El esquema de flujos migratorios de Cracovia realizado a base de los datos de registros de empadronamiento permite confirmar la presencia del proceso de suburbanización que se manifiesta en una balanza</w:t>
      </w:r>
      <w:r>
        <w:rPr>
          <w:spacing w:val="-39"/>
        </w:rPr>
        <w:t> </w:t>
      </w:r>
      <w:r>
        <w:rPr/>
        <w:t>migratoria negativa, sobre todo con la zona de suburbanización, pero también con la zona de   los desplazamientos. Por otra parte, los efectos demográficos de la suburbanización  en Cracovia no son visibles, e incluso se puede decir que desaparecen gracias a una afluencia masiva de inmigrantes, sobre todo de otros voivodatos (principalmente del sudeste</w:t>
      </w:r>
      <w:r>
        <w:rPr>
          <w:spacing w:val="-7"/>
        </w:rPr>
        <w:t> </w:t>
      </w:r>
      <w:r>
        <w:rPr/>
        <w:t>de</w:t>
      </w:r>
      <w:r>
        <w:rPr>
          <w:spacing w:val="-7"/>
        </w:rPr>
        <w:t> </w:t>
      </w:r>
      <w:r>
        <w:rPr/>
        <w:t>Polonia)</w:t>
      </w:r>
      <w:r>
        <w:rPr>
          <w:spacing w:val="-7"/>
        </w:rPr>
        <w:t> </w:t>
      </w:r>
      <w:r>
        <w:rPr/>
        <w:t>y</w:t>
      </w:r>
      <w:r>
        <w:rPr>
          <w:spacing w:val="-7"/>
        </w:rPr>
        <w:t> </w:t>
      </w:r>
      <w:r>
        <w:rPr/>
        <w:t>de</w:t>
      </w:r>
      <w:r>
        <w:rPr>
          <w:spacing w:val="-7"/>
        </w:rPr>
        <w:t> </w:t>
      </w:r>
      <w:r>
        <w:rPr/>
        <w:t>áreas</w:t>
      </w:r>
      <w:r>
        <w:rPr>
          <w:spacing w:val="-7"/>
        </w:rPr>
        <w:t> </w:t>
      </w:r>
      <w:r>
        <w:rPr/>
        <w:t>periféricas</w:t>
      </w:r>
      <w:r>
        <w:rPr>
          <w:spacing w:val="-7"/>
        </w:rPr>
        <w:t> </w:t>
      </w:r>
      <w:r>
        <w:rPr/>
        <w:t>de</w:t>
      </w:r>
      <w:r>
        <w:rPr>
          <w:spacing w:val="-7"/>
        </w:rPr>
        <w:t> </w:t>
      </w:r>
      <w:r>
        <w:rPr/>
        <w:t>la</w:t>
      </w:r>
      <w:r>
        <w:rPr>
          <w:spacing w:val="-7"/>
        </w:rPr>
        <w:t> </w:t>
      </w:r>
      <w:r>
        <w:rPr/>
        <w:t>Provincia</w:t>
      </w:r>
      <w:r>
        <w:rPr>
          <w:spacing w:val="-7"/>
        </w:rPr>
        <w:t> </w:t>
      </w:r>
      <w:r>
        <w:rPr/>
        <w:t>de</w:t>
      </w:r>
      <w:r>
        <w:rPr>
          <w:spacing w:val="-7"/>
        </w:rPr>
        <w:t> </w:t>
      </w:r>
      <w:r>
        <w:rPr/>
        <w:t>Malopolska</w:t>
      </w:r>
      <w:r>
        <w:rPr>
          <w:spacing w:val="-7"/>
        </w:rPr>
        <w:t> </w:t>
      </w:r>
      <w:r>
        <w:rPr/>
        <w:t>que</w:t>
      </w:r>
      <w:r>
        <w:rPr>
          <w:spacing w:val="-7"/>
        </w:rPr>
        <w:t> </w:t>
      </w:r>
      <w:r>
        <w:rPr/>
        <w:t>no</w:t>
      </w:r>
      <w:r>
        <w:rPr>
          <w:spacing w:val="-7"/>
        </w:rPr>
        <w:t> </w:t>
      </w:r>
      <w:r>
        <w:rPr/>
        <w:t>forman parte de la ZMC. Es gracias a la balanza migratoria positiva de estas dos direcciones que Cracovia en el periodo estudiado tuvo un saldo migratorio positivo que alcanzó, como ya se ha mencionado, más de 21 mil personas. Esto impidió una despoblación profunda de la ciudad que sería inevitable con el bajo crecimiento natural y la balanza migratoria negativa con otras zonas de la</w:t>
      </w:r>
      <w:r>
        <w:rPr>
          <w:spacing w:val="31"/>
        </w:rPr>
        <w:t> </w:t>
      </w:r>
      <w:r>
        <w:rPr/>
        <w:t>ZMC.</w:t>
      </w:r>
    </w:p>
    <w:p>
      <w:pPr>
        <w:spacing w:after="0" w:line="249" w:lineRule="auto"/>
        <w:jc w:val="both"/>
        <w:sectPr>
          <w:type w:val="continuous"/>
          <w:pgSz w:w="18830" w:h="12760" w:orient="landscape"/>
          <w:pgMar w:top="1420" w:bottom="280" w:left="720" w:right="720"/>
          <w:cols w:num="2" w:equalWidth="0">
            <w:col w:w="7843" w:space="1568"/>
            <w:col w:w="7979"/>
          </w:cols>
        </w:sectPr>
      </w:pPr>
    </w:p>
    <w:p>
      <w:pPr>
        <w:pStyle w:val="BodyText"/>
        <w:spacing w:before="6"/>
        <w:rPr>
          <w:sz w:val="23"/>
        </w:rPr>
      </w:pPr>
    </w:p>
    <w:p>
      <w:pPr>
        <w:spacing w:after="0"/>
        <w:rPr>
          <w:sz w:val="23"/>
        </w:rPr>
        <w:sectPr>
          <w:footerReference w:type="default" r:id="rId356"/>
          <w:pgSz w:w="18830" w:h="12760" w:orient="landscape"/>
          <w:pgMar w:footer="1036" w:header="522" w:top="820" w:bottom="1220" w:left="720" w:right="720"/>
        </w:sectPr>
      </w:pPr>
    </w:p>
    <w:p>
      <w:pPr>
        <w:pStyle w:val="BodyText"/>
        <w:spacing w:line="249" w:lineRule="auto" w:before="76"/>
        <w:ind w:left="130" w:firstLine="170"/>
        <w:jc w:val="both"/>
      </w:pPr>
      <w:r>
        <w:rPr/>
        <w:t>La balanza migratoria elaborada para la zona suburbana a base de los datos de los registros de empadronamiento también señala que el saldo migratorio total en los 23 años analizados fue positivo y alcanzó 38,7 mil personas. La afluencia de la población fue un factor importante que influyó en el crecimiento real de la población en esta  zona. Un papel especialmente importante desempeñó el alto saldo migratorio con Cracovia que alcanzó 28,2 mil personas, lo que constituye el 72,9% del valor total del saldo migratorio de la zona suburbana con las demás áreas analizadas. También cabe mencionar que en esta zona se observó un saldo migratorio total positivo en relación con todas las áreas comparadas, lo que puede significar que es muy atractiva para el asentamiento, ya que atrae no sólo a los habitantes de Cracovia que se suburbanizan, sino también a personas de la zona de los desplazamientos, de otros municipios de    la Provincia de Malopolska, así como de otros voivodatos. Los datos menos fiables  son tanto el saldo positivo de flujos migratorios internacionales como su valor total.   En vista de los datos oficiales de la zona suburbana, en los años 1990-2012 emigraron al extranjero sólo 1,3 mil personas, mientras que llegaron desde el extranjero menos de 1,4 mil personas. También cabe destacar que más de 11,4 mil personas migraron dentro de la zona suburbana. En el modelo de crecimiento de la población de la     zona metropolitana (Ford, 1999), comentado en el capítulo introductorio, este tipo      de migración se llama “retención de población”. En el caso de la zona suburbana se compone de flujos de población entre los municipios de dicha zona, así como de flujos entre las partes rurales y urbanas de los municipios urbano-rurales (Fig.</w:t>
      </w:r>
      <w:r>
        <w:rPr>
          <w:spacing w:val="1"/>
        </w:rPr>
        <w:t> </w:t>
      </w:r>
      <w:r>
        <w:rPr/>
        <w:t>9).</w:t>
      </w:r>
    </w:p>
    <w:p>
      <w:pPr>
        <w:pStyle w:val="BodyText"/>
        <w:spacing w:before="2"/>
        <w:rPr>
          <w:sz w:val="24"/>
        </w:rPr>
      </w:pPr>
    </w:p>
    <w:p>
      <w:pPr>
        <w:spacing w:before="0"/>
        <w:ind w:left="129" w:right="0" w:firstLine="0"/>
        <w:jc w:val="center"/>
        <w:rPr>
          <w:sz w:val="16"/>
        </w:rPr>
      </w:pPr>
      <w:r>
        <w:rPr>
          <w:color w:val="6D6E71"/>
          <w:sz w:val="16"/>
        </w:rPr>
        <w:t>Figura 9. Esquema de flujos migratorios en la zona suburbana en los años 1990-2012</w:t>
      </w:r>
    </w:p>
    <w:p>
      <w:pPr>
        <w:pStyle w:val="BodyText"/>
        <w:spacing w:before="3"/>
        <w:rPr>
          <w:sz w:val="6"/>
        </w:rPr>
      </w:pPr>
    </w:p>
    <w:p>
      <w:pPr>
        <w:pStyle w:val="BodyText"/>
        <w:ind w:left="923"/>
      </w:pPr>
      <w:r>
        <w:rPr/>
        <w:drawing>
          <wp:inline distT="0" distB="0" distL="0" distR="0">
            <wp:extent cx="3893057" cy="2533459"/>
            <wp:effectExtent l="0" t="0" r="0" b="0"/>
            <wp:docPr id="143" name="image100.png" descr=""/>
            <wp:cNvGraphicFramePr>
              <a:graphicFrameLocks noChangeAspect="1"/>
            </wp:cNvGraphicFramePr>
            <a:graphic>
              <a:graphicData uri="http://schemas.openxmlformats.org/drawingml/2006/picture">
                <pic:pic>
                  <pic:nvPicPr>
                    <pic:cNvPr id="144" name="image100.png"/>
                    <pic:cNvPicPr/>
                  </pic:nvPicPr>
                  <pic:blipFill>
                    <a:blip r:embed="rId357" cstate="print"/>
                    <a:stretch>
                      <a:fillRect/>
                    </a:stretch>
                  </pic:blipFill>
                  <pic:spPr>
                    <a:xfrm>
                      <a:off x="0" y="0"/>
                      <a:ext cx="3893057" cy="2533459"/>
                    </a:xfrm>
                    <a:prstGeom prst="rect">
                      <a:avLst/>
                    </a:prstGeom>
                  </pic:spPr>
                </pic:pic>
              </a:graphicData>
            </a:graphic>
          </wp:inline>
        </w:drawing>
      </w:r>
      <w:r>
        <w:rPr/>
      </w:r>
    </w:p>
    <w:p>
      <w:pPr>
        <w:spacing w:before="74"/>
        <w:ind w:left="129" w:right="0" w:firstLine="0"/>
        <w:jc w:val="center"/>
        <w:rPr>
          <w:sz w:val="16"/>
        </w:rPr>
      </w:pPr>
      <w:r>
        <w:rPr>
          <w:color w:val="6D6E71"/>
          <w:sz w:val="16"/>
        </w:rPr>
        <w:t>Fuente: elaboración propia a partir de datos de la Oficina Central de Estadística.</w:t>
      </w:r>
    </w:p>
    <w:p>
      <w:pPr>
        <w:pStyle w:val="BodyText"/>
      </w:pPr>
      <w:r>
        <w:rPr/>
        <w:br w:type="column"/>
      </w:r>
      <w:r>
        <w:rPr/>
      </w:r>
    </w:p>
    <w:p>
      <w:pPr>
        <w:pStyle w:val="BodyText"/>
        <w:spacing w:before="4"/>
        <w:rPr>
          <w:sz w:val="28"/>
        </w:rPr>
      </w:pPr>
    </w:p>
    <w:p>
      <w:pPr>
        <w:pStyle w:val="BodyText"/>
        <w:spacing w:line="249" w:lineRule="auto"/>
        <w:ind w:left="130" w:right="127" w:firstLine="170"/>
        <w:jc w:val="both"/>
      </w:pPr>
      <w:r>
        <w:rPr/>
        <w:t>La</w:t>
      </w:r>
      <w:r>
        <w:rPr>
          <w:spacing w:val="-7"/>
        </w:rPr>
        <w:t> </w:t>
      </w:r>
      <w:r>
        <w:rPr/>
        <w:t>balanza</w:t>
      </w:r>
      <w:r>
        <w:rPr>
          <w:spacing w:val="-7"/>
        </w:rPr>
        <w:t> </w:t>
      </w:r>
      <w:r>
        <w:rPr/>
        <w:t>migratoria</w:t>
      </w:r>
      <w:r>
        <w:rPr>
          <w:spacing w:val="-7"/>
        </w:rPr>
        <w:t> </w:t>
      </w:r>
      <w:r>
        <w:rPr/>
        <w:t>realizada</w:t>
      </w:r>
      <w:r>
        <w:rPr>
          <w:spacing w:val="-7"/>
        </w:rPr>
        <w:t> </w:t>
      </w:r>
      <w:r>
        <w:rPr/>
        <w:t>para</w:t>
      </w:r>
      <w:r>
        <w:rPr>
          <w:spacing w:val="-7"/>
        </w:rPr>
        <w:t> </w:t>
      </w:r>
      <w:r>
        <w:rPr/>
        <w:t>la</w:t>
      </w:r>
      <w:r>
        <w:rPr>
          <w:spacing w:val="-7"/>
        </w:rPr>
        <w:t> </w:t>
      </w:r>
      <w:r>
        <w:rPr/>
        <w:t>zona</w:t>
      </w:r>
      <w:r>
        <w:rPr>
          <w:spacing w:val="-7"/>
        </w:rPr>
        <w:t> </w:t>
      </w:r>
      <w:r>
        <w:rPr/>
        <w:t>de</w:t>
      </w:r>
      <w:r>
        <w:rPr>
          <w:spacing w:val="-7"/>
        </w:rPr>
        <w:t> </w:t>
      </w:r>
      <w:r>
        <w:rPr/>
        <w:t>los</w:t>
      </w:r>
      <w:r>
        <w:rPr>
          <w:spacing w:val="-7"/>
        </w:rPr>
        <w:t> </w:t>
      </w:r>
      <w:r>
        <w:rPr/>
        <w:t>desplazamientos</w:t>
      </w:r>
      <w:r>
        <w:rPr>
          <w:spacing w:val="-7"/>
        </w:rPr>
        <w:t> </w:t>
      </w:r>
      <w:r>
        <w:rPr/>
        <w:t>también</w:t>
      </w:r>
      <w:r>
        <w:rPr>
          <w:spacing w:val="-7"/>
        </w:rPr>
        <w:t> </w:t>
      </w:r>
      <w:r>
        <w:rPr/>
        <w:t>alcanzó un valor total positivo en el periodo analizado, de 11,4 mil personas. Así como en el caso</w:t>
      </w:r>
      <w:r>
        <w:rPr>
          <w:spacing w:val="-5"/>
        </w:rPr>
        <w:t> </w:t>
      </w:r>
      <w:r>
        <w:rPr/>
        <w:t>de</w:t>
      </w:r>
      <w:r>
        <w:rPr>
          <w:spacing w:val="-5"/>
        </w:rPr>
        <w:t> </w:t>
      </w:r>
      <w:r>
        <w:rPr/>
        <w:t>la</w:t>
      </w:r>
      <w:r>
        <w:rPr>
          <w:spacing w:val="-5"/>
        </w:rPr>
        <w:t> </w:t>
      </w:r>
      <w:r>
        <w:rPr/>
        <w:t>zona</w:t>
      </w:r>
      <w:r>
        <w:rPr>
          <w:spacing w:val="-5"/>
        </w:rPr>
        <w:t> </w:t>
      </w:r>
      <w:r>
        <w:rPr/>
        <w:t>suburbana,</w:t>
      </w:r>
      <w:r>
        <w:rPr>
          <w:spacing w:val="-5"/>
        </w:rPr>
        <w:t> </w:t>
      </w:r>
      <w:r>
        <w:rPr/>
        <w:t>se</w:t>
      </w:r>
      <w:r>
        <w:rPr>
          <w:spacing w:val="-5"/>
        </w:rPr>
        <w:t> </w:t>
      </w:r>
      <w:r>
        <w:rPr/>
        <w:t>registró</w:t>
      </w:r>
      <w:r>
        <w:rPr>
          <w:spacing w:val="-5"/>
        </w:rPr>
        <w:t> </w:t>
      </w:r>
      <w:r>
        <w:rPr/>
        <w:t>el</w:t>
      </w:r>
      <w:r>
        <w:rPr>
          <w:spacing w:val="-5"/>
        </w:rPr>
        <w:t> </w:t>
      </w:r>
      <w:r>
        <w:rPr/>
        <w:t>mayor</w:t>
      </w:r>
      <w:r>
        <w:rPr>
          <w:spacing w:val="-5"/>
        </w:rPr>
        <w:t> </w:t>
      </w:r>
      <w:r>
        <w:rPr/>
        <w:t>saldo</w:t>
      </w:r>
      <w:r>
        <w:rPr>
          <w:spacing w:val="-5"/>
        </w:rPr>
        <w:t> </w:t>
      </w:r>
      <w:r>
        <w:rPr/>
        <w:t>migratorio</w:t>
      </w:r>
      <w:r>
        <w:rPr>
          <w:spacing w:val="-5"/>
        </w:rPr>
        <w:t> </w:t>
      </w:r>
      <w:r>
        <w:rPr/>
        <w:t>positivo</w:t>
      </w:r>
      <w:r>
        <w:rPr>
          <w:spacing w:val="-5"/>
        </w:rPr>
        <w:t> </w:t>
      </w:r>
      <w:r>
        <w:rPr/>
        <w:t>con</w:t>
      </w:r>
      <w:r>
        <w:rPr>
          <w:spacing w:val="-5"/>
        </w:rPr>
        <w:t> </w:t>
      </w:r>
      <w:r>
        <w:rPr/>
        <w:t>Cracovia, que alcanzó 6,5 mil personas, lo que constituyó el 57,0% del valor del saldo migratorio total de la zona de los desplazamientos con las demás áreas analizadas. Cabe señalar que</w:t>
      </w:r>
      <w:r>
        <w:rPr>
          <w:spacing w:val="-8"/>
        </w:rPr>
        <w:t> </w:t>
      </w:r>
      <w:r>
        <w:rPr/>
        <w:t>en</w:t>
      </w:r>
      <w:r>
        <w:rPr>
          <w:spacing w:val="-8"/>
        </w:rPr>
        <w:t> </w:t>
      </w:r>
      <w:r>
        <w:rPr/>
        <w:t>los</w:t>
      </w:r>
      <w:r>
        <w:rPr>
          <w:spacing w:val="-8"/>
        </w:rPr>
        <w:t> </w:t>
      </w:r>
      <w:r>
        <w:rPr/>
        <w:t>23</w:t>
      </w:r>
      <w:r>
        <w:rPr>
          <w:spacing w:val="-8"/>
        </w:rPr>
        <w:t> </w:t>
      </w:r>
      <w:r>
        <w:rPr/>
        <w:t>años</w:t>
      </w:r>
      <w:r>
        <w:rPr>
          <w:spacing w:val="-8"/>
        </w:rPr>
        <w:t> </w:t>
      </w:r>
      <w:r>
        <w:rPr/>
        <w:t>estudiados</w:t>
      </w:r>
      <w:r>
        <w:rPr>
          <w:spacing w:val="-8"/>
        </w:rPr>
        <w:t> </w:t>
      </w:r>
      <w:r>
        <w:rPr/>
        <w:t>la</w:t>
      </w:r>
      <w:r>
        <w:rPr>
          <w:spacing w:val="-8"/>
        </w:rPr>
        <w:t> </w:t>
      </w:r>
      <w:r>
        <w:rPr/>
        <w:t>zona</w:t>
      </w:r>
      <w:r>
        <w:rPr>
          <w:spacing w:val="-8"/>
        </w:rPr>
        <w:t> </w:t>
      </w:r>
      <w:r>
        <w:rPr/>
        <w:t>de</w:t>
      </w:r>
      <w:r>
        <w:rPr>
          <w:spacing w:val="-8"/>
        </w:rPr>
        <w:t> </w:t>
      </w:r>
      <w:r>
        <w:rPr/>
        <w:t>los</w:t>
      </w:r>
      <w:r>
        <w:rPr>
          <w:spacing w:val="-8"/>
        </w:rPr>
        <w:t> </w:t>
      </w:r>
      <w:r>
        <w:rPr/>
        <w:t>desplazamientos</w:t>
      </w:r>
      <w:r>
        <w:rPr>
          <w:spacing w:val="-8"/>
        </w:rPr>
        <w:t> </w:t>
      </w:r>
      <w:r>
        <w:rPr/>
        <w:t>tiene</w:t>
      </w:r>
      <w:r>
        <w:rPr>
          <w:spacing w:val="-8"/>
        </w:rPr>
        <w:t> </w:t>
      </w:r>
      <w:r>
        <w:rPr/>
        <w:t>un</w:t>
      </w:r>
      <w:r>
        <w:rPr>
          <w:spacing w:val="-8"/>
        </w:rPr>
        <w:t> </w:t>
      </w:r>
      <w:r>
        <w:rPr/>
        <w:t>saldo</w:t>
      </w:r>
      <w:r>
        <w:rPr>
          <w:spacing w:val="-8"/>
        </w:rPr>
        <w:t> </w:t>
      </w:r>
      <w:r>
        <w:rPr/>
        <w:t>migratorio ligeramente negativo con la zona suburbana, lo que indicaría mayor atractividad de las áreas suburbanas. También se puede considerar como un vestigio de las migraciones por</w:t>
      </w:r>
      <w:r>
        <w:rPr>
          <w:spacing w:val="-4"/>
        </w:rPr>
        <w:t> </w:t>
      </w:r>
      <w:r>
        <w:rPr/>
        <w:t>etapas</w:t>
      </w:r>
      <w:r>
        <w:rPr>
          <w:spacing w:val="-4"/>
        </w:rPr>
        <w:t> </w:t>
      </w:r>
      <w:r>
        <w:rPr/>
        <w:t>a</w:t>
      </w:r>
      <w:r>
        <w:rPr>
          <w:spacing w:val="-4"/>
        </w:rPr>
        <w:t> </w:t>
      </w:r>
      <w:r>
        <w:rPr/>
        <w:t>las</w:t>
      </w:r>
      <w:r>
        <w:rPr>
          <w:spacing w:val="-4"/>
        </w:rPr>
        <w:t> </w:t>
      </w:r>
      <w:r>
        <w:rPr/>
        <w:t>ciudades</w:t>
      </w:r>
      <w:r>
        <w:rPr>
          <w:spacing w:val="-4"/>
        </w:rPr>
        <w:t> </w:t>
      </w:r>
      <w:r>
        <w:rPr/>
        <w:t>en</w:t>
      </w:r>
      <w:r>
        <w:rPr>
          <w:spacing w:val="-4"/>
        </w:rPr>
        <w:t> </w:t>
      </w:r>
      <w:r>
        <w:rPr/>
        <w:t>vías</w:t>
      </w:r>
      <w:r>
        <w:rPr>
          <w:spacing w:val="-4"/>
        </w:rPr>
        <w:t> </w:t>
      </w:r>
      <w:r>
        <w:rPr/>
        <w:t>de</w:t>
      </w:r>
      <w:r>
        <w:rPr>
          <w:spacing w:val="-4"/>
        </w:rPr>
        <w:t> </w:t>
      </w:r>
      <w:r>
        <w:rPr/>
        <w:t>industrialización</w:t>
      </w:r>
      <w:r>
        <w:rPr>
          <w:spacing w:val="-4"/>
        </w:rPr>
        <w:t> </w:t>
      </w:r>
      <w:r>
        <w:rPr/>
        <w:t>en</w:t>
      </w:r>
      <w:r>
        <w:rPr>
          <w:spacing w:val="-4"/>
        </w:rPr>
        <w:t> </w:t>
      </w:r>
      <w:r>
        <w:rPr/>
        <w:t>el</w:t>
      </w:r>
      <w:r>
        <w:rPr>
          <w:spacing w:val="-4"/>
        </w:rPr>
        <w:t> </w:t>
      </w:r>
      <w:r>
        <w:rPr/>
        <w:t>periodo</w:t>
      </w:r>
      <w:r>
        <w:rPr>
          <w:spacing w:val="-4"/>
        </w:rPr>
        <w:t> </w:t>
      </w:r>
      <w:r>
        <w:rPr/>
        <w:t>de</w:t>
      </w:r>
      <w:r>
        <w:rPr>
          <w:spacing w:val="-4"/>
        </w:rPr>
        <w:t> </w:t>
      </w:r>
      <w:r>
        <w:rPr/>
        <w:t>posguerra.</w:t>
      </w:r>
      <w:r>
        <w:rPr>
          <w:spacing w:val="-4"/>
        </w:rPr>
        <w:t> </w:t>
      </w:r>
      <w:r>
        <w:rPr/>
        <w:t>En</w:t>
      </w:r>
      <w:r>
        <w:rPr>
          <w:spacing w:val="-4"/>
        </w:rPr>
        <w:t> </w:t>
      </w:r>
      <w:r>
        <w:rPr/>
        <w:t>la zona de los desplazamientos se observó también un valor especialmente alto de flujos dentro de la zona que tuvieron el carácter de “retención migratoria”. Durante el periodo analizado, en los flujos migratorios entre los municipios de esta zona participaron 36 mil personas, mucho más que en las migraciones parecidas en la zona suburbana. Parece, sin embargo, que la cantidad de estos movimientos dentro de una zona es en gran parte un resultado del número total de la población que vive en la zona (Fig.</w:t>
      </w:r>
      <w:r>
        <w:rPr>
          <w:spacing w:val="18"/>
        </w:rPr>
        <w:t> </w:t>
      </w:r>
      <w:r>
        <w:rPr/>
        <w:t>10).</w:t>
      </w:r>
    </w:p>
    <w:p>
      <w:pPr>
        <w:pStyle w:val="BodyText"/>
      </w:pPr>
    </w:p>
    <w:p>
      <w:pPr>
        <w:pStyle w:val="BodyText"/>
        <w:spacing w:before="1"/>
        <w:rPr>
          <w:sz w:val="25"/>
        </w:rPr>
      </w:pPr>
    </w:p>
    <w:p>
      <w:pPr>
        <w:spacing w:before="0"/>
        <w:ind w:left="0" w:right="0" w:firstLine="0"/>
        <w:jc w:val="center"/>
        <w:rPr>
          <w:sz w:val="16"/>
        </w:rPr>
      </w:pPr>
      <w:r>
        <w:rPr>
          <w:color w:val="6D6E71"/>
          <w:sz w:val="16"/>
        </w:rPr>
        <w:t>Figura 10. Esquema de flujos migratorios en la zona de los desplazamientos en los años 1990-2012</w:t>
      </w:r>
    </w:p>
    <w:p>
      <w:pPr>
        <w:pStyle w:val="BodyText"/>
        <w:spacing w:before="9"/>
        <w:rPr>
          <w:sz w:val="8"/>
        </w:rPr>
      </w:pPr>
    </w:p>
    <w:p>
      <w:pPr>
        <w:pStyle w:val="BodyText"/>
        <w:ind w:left="1113"/>
      </w:pPr>
      <w:r>
        <w:rPr/>
        <w:drawing>
          <wp:inline distT="0" distB="0" distL="0" distR="0">
            <wp:extent cx="3643502" cy="2788253"/>
            <wp:effectExtent l="0" t="0" r="0" b="0"/>
            <wp:docPr id="145" name="image101.png" descr=""/>
            <wp:cNvGraphicFramePr>
              <a:graphicFrameLocks noChangeAspect="1"/>
            </wp:cNvGraphicFramePr>
            <a:graphic>
              <a:graphicData uri="http://schemas.openxmlformats.org/drawingml/2006/picture">
                <pic:pic>
                  <pic:nvPicPr>
                    <pic:cNvPr id="146" name="image101.png"/>
                    <pic:cNvPicPr/>
                  </pic:nvPicPr>
                  <pic:blipFill>
                    <a:blip r:embed="rId358" cstate="print"/>
                    <a:stretch>
                      <a:fillRect/>
                    </a:stretch>
                  </pic:blipFill>
                  <pic:spPr>
                    <a:xfrm>
                      <a:off x="0" y="0"/>
                      <a:ext cx="3643502" cy="2788253"/>
                    </a:xfrm>
                    <a:prstGeom prst="rect">
                      <a:avLst/>
                    </a:prstGeom>
                  </pic:spPr>
                </pic:pic>
              </a:graphicData>
            </a:graphic>
          </wp:inline>
        </w:drawing>
      </w:r>
      <w:r>
        <w:rPr/>
      </w:r>
    </w:p>
    <w:p>
      <w:pPr>
        <w:spacing w:before="124"/>
        <w:ind w:left="514" w:right="514" w:firstLine="0"/>
        <w:jc w:val="center"/>
        <w:rPr>
          <w:sz w:val="16"/>
        </w:rPr>
      </w:pPr>
      <w:r>
        <w:rPr>
          <w:color w:val="6D6E71"/>
          <w:sz w:val="16"/>
        </w:rPr>
        <w:t>Fuente: elaboración propia a partir de datos de la Oficina Central de Estadística.</w:t>
      </w:r>
    </w:p>
    <w:p>
      <w:pPr>
        <w:spacing w:after="0"/>
        <w:jc w:val="center"/>
        <w:rPr>
          <w:sz w:val="16"/>
        </w:rPr>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359"/>
          <w:pgSz w:w="18830" w:h="12760" w:orient="landscape"/>
          <w:pgMar w:footer="1036" w:header="522" w:top="820" w:bottom="1220" w:left="720" w:right="720"/>
        </w:sectPr>
      </w:pPr>
    </w:p>
    <w:p>
      <w:pPr>
        <w:pStyle w:val="BodyText"/>
        <w:spacing w:line="249" w:lineRule="auto" w:before="76"/>
        <w:ind w:left="131" w:firstLine="170"/>
        <w:jc w:val="both"/>
      </w:pPr>
      <w:r>
        <w:rPr/>
        <w:t>Resumiendo los resultados presentados en los esquemas de flujos migratorios en las zonas analizadas de la Zona Metropolitana de Cracovia, hay que constatar que las tres tienen el saldo migratorio total positivo, lo que tiene una influencia positiva en el crecimiento</w:t>
      </w:r>
      <w:r>
        <w:rPr>
          <w:spacing w:val="-7"/>
        </w:rPr>
        <w:t> </w:t>
      </w:r>
      <w:r>
        <w:rPr/>
        <w:t>real</w:t>
      </w:r>
      <w:r>
        <w:rPr>
          <w:spacing w:val="-7"/>
        </w:rPr>
        <w:t> </w:t>
      </w:r>
      <w:r>
        <w:rPr/>
        <w:t>en</w:t>
      </w:r>
      <w:r>
        <w:rPr>
          <w:spacing w:val="-7"/>
        </w:rPr>
        <w:t> </w:t>
      </w:r>
      <w:r>
        <w:rPr/>
        <w:t>cada</w:t>
      </w:r>
      <w:r>
        <w:rPr>
          <w:spacing w:val="-7"/>
        </w:rPr>
        <w:t> </w:t>
      </w:r>
      <w:r>
        <w:rPr/>
        <w:t>una</w:t>
      </w:r>
      <w:r>
        <w:rPr>
          <w:spacing w:val="-7"/>
        </w:rPr>
        <w:t> </w:t>
      </w:r>
      <w:r>
        <w:rPr/>
        <w:t>de</w:t>
      </w:r>
      <w:r>
        <w:rPr>
          <w:spacing w:val="-7"/>
        </w:rPr>
        <w:t> </w:t>
      </w:r>
      <w:r>
        <w:rPr/>
        <w:t>ellas.</w:t>
      </w:r>
      <w:r>
        <w:rPr>
          <w:spacing w:val="-7"/>
        </w:rPr>
        <w:t> </w:t>
      </w:r>
      <w:r>
        <w:rPr/>
        <w:t>Al</w:t>
      </w:r>
      <w:r>
        <w:rPr>
          <w:spacing w:val="-7"/>
        </w:rPr>
        <w:t> </w:t>
      </w:r>
      <w:r>
        <w:rPr/>
        <w:t>mismo</w:t>
      </w:r>
      <w:r>
        <w:rPr>
          <w:spacing w:val="-7"/>
        </w:rPr>
        <w:t> </w:t>
      </w:r>
      <w:r>
        <w:rPr/>
        <w:t>tiempo,</w:t>
      </w:r>
      <w:r>
        <w:rPr>
          <w:spacing w:val="-7"/>
        </w:rPr>
        <w:t> </w:t>
      </w:r>
      <w:r>
        <w:rPr/>
        <w:t>en</w:t>
      </w:r>
      <w:r>
        <w:rPr>
          <w:spacing w:val="-7"/>
        </w:rPr>
        <w:t> </w:t>
      </w:r>
      <w:r>
        <w:rPr/>
        <w:t>el</w:t>
      </w:r>
      <w:r>
        <w:rPr>
          <w:spacing w:val="-7"/>
        </w:rPr>
        <w:t> </w:t>
      </w:r>
      <w:r>
        <w:rPr/>
        <w:t>caso</w:t>
      </w:r>
      <w:r>
        <w:rPr>
          <w:spacing w:val="-7"/>
        </w:rPr>
        <w:t> </w:t>
      </w:r>
      <w:r>
        <w:rPr/>
        <w:t>de</w:t>
      </w:r>
      <w:r>
        <w:rPr>
          <w:spacing w:val="-7"/>
        </w:rPr>
        <w:t> </w:t>
      </w:r>
      <w:r>
        <w:rPr/>
        <w:t>Cracovia</w:t>
      </w:r>
      <w:r>
        <w:rPr>
          <w:spacing w:val="-7"/>
        </w:rPr>
        <w:t> </w:t>
      </w:r>
      <w:r>
        <w:rPr/>
        <w:t>se</w:t>
      </w:r>
      <w:r>
        <w:rPr>
          <w:spacing w:val="-7"/>
        </w:rPr>
        <w:t> </w:t>
      </w:r>
      <w:r>
        <w:rPr/>
        <w:t>hace muy visible el proceso de suburbanización, ya que la ciudad tiene el saldo migratorio negativo tanto con la zona de los desplazamientos como la suburbana. No obstante, Cracovia sigue siendo muy atractiva para los habitantes de otras partes del voivodato de la Provincia de Malopolska y del resto del país, y es gracias a una gran afluencia  de estas direcciones que mantiene el saldo migratorio total positivo. En cambio, para ambas zonas exteriores de la ZMC el factor que determina el saldo migratorio positivo es precisamente la afluencia de migrantes de</w:t>
      </w:r>
      <w:r>
        <w:rPr>
          <w:spacing w:val="20"/>
        </w:rPr>
        <w:t> </w:t>
      </w:r>
      <w:r>
        <w:rPr/>
        <w:t>Cracovia.</w:t>
      </w:r>
    </w:p>
    <w:p>
      <w:pPr>
        <w:pStyle w:val="BodyText"/>
        <w:spacing w:before="6"/>
      </w:pPr>
    </w:p>
    <w:p>
      <w:pPr>
        <w:pStyle w:val="Heading1"/>
        <w:spacing w:line="240" w:lineRule="exact"/>
        <w:ind w:left="301" w:right="3"/>
      </w:pPr>
      <w:r>
        <w:rPr/>
        <w:t>La suburbanización y los cambios en el tamaño y la estructura espacial de los desplazamientos al trabajo en la ZMC</w:t>
      </w:r>
    </w:p>
    <w:p>
      <w:pPr>
        <w:pStyle w:val="BodyText"/>
        <w:rPr>
          <w:b/>
          <w:sz w:val="24"/>
        </w:rPr>
      </w:pPr>
    </w:p>
    <w:p>
      <w:pPr>
        <w:pStyle w:val="BodyText"/>
        <w:spacing w:line="249" w:lineRule="auto" w:before="208"/>
        <w:ind w:left="131" w:firstLine="170"/>
        <w:jc w:val="both"/>
      </w:pPr>
      <w:r>
        <w:rPr/>
        <w:t>A consecuencia del desarrollo de los procesos de suburbanización que causan las migraciones</w:t>
      </w:r>
      <w:r>
        <w:rPr>
          <w:spacing w:val="-6"/>
        </w:rPr>
        <w:t> </w:t>
      </w:r>
      <w:r>
        <w:rPr/>
        <w:t>de</w:t>
      </w:r>
      <w:r>
        <w:rPr>
          <w:spacing w:val="-6"/>
        </w:rPr>
        <w:t> </w:t>
      </w:r>
      <w:r>
        <w:rPr/>
        <w:t>los</w:t>
      </w:r>
      <w:r>
        <w:rPr>
          <w:spacing w:val="-6"/>
        </w:rPr>
        <w:t> </w:t>
      </w:r>
      <w:r>
        <w:rPr/>
        <w:t>habitantes</w:t>
      </w:r>
      <w:r>
        <w:rPr>
          <w:spacing w:val="-6"/>
        </w:rPr>
        <w:t> </w:t>
      </w:r>
      <w:r>
        <w:rPr/>
        <w:t>a</w:t>
      </w:r>
      <w:r>
        <w:rPr>
          <w:spacing w:val="-6"/>
        </w:rPr>
        <w:t> </w:t>
      </w:r>
      <w:r>
        <w:rPr/>
        <w:t>las</w:t>
      </w:r>
      <w:r>
        <w:rPr>
          <w:spacing w:val="-6"/>
        </w:rPr>
        <w:t> </w:t>
      </w:r>
      <w:r>
        <w:rPr/>
        <w:t>zonas</w:t>
      </w:r>
      <w:r>
        <w:rPr>
          <w:spacing w:val="-6"/>
        </w:rPr>
        <w:t> </w:t>
      </w:r>
      <w:r>
        <w:rPr/>
        <w:t>exteriores</w:t>
      </w:r>
      <w:r>
        <w:rPr>
          <w:spacing w:val="-6"/>
        </w:rPr>
        <w:t> </w:t>
      </w:r>
      <w:r>
        <w:rPr/>
        <w:t>de</w:t>
      </w:r>
      <w:r>
        <w:rPr>
          <w:spacing w:val="-6"/>
        </w:rPr>
        <w:t> </w:t>
      </w:r>
      <w:r>
        <w:rPr/>
        <w:t>la</w:t>
      </w:r>
      <w:r>
        <w:rPr>
          <w:spacing w:val="-6"/>
        </w:rPr>
        <w:t> </w:t>
      </w:r>
      <w:r>
        <w:rPr/>
        <w:t>ZMC,</w:t>
      </w:r>
      <w:r>
        <w:rPr>
          <w:spacing w:val="-6"/>
        </w:rPr>
        <w:t> </w:t>
      </w:r>
      <w:r>
        <w:rPr/>
        <w:t>un</w:t>
      </w:r>
      <w:r>
        <w:rPr>
          <w:spacing w:val="-6"/>
        </w:rPr>
        <w:t> </w:t>
      </w:r>
      <w:r>
        <w:rPr/>
        <w:t>papel</w:t>
      </w:r>
      <w:r>
        <w:rPr>
          <w:spacing w:val="-6"/>
        </w:rPr>
        <w:t> </w:t>
      </w:r>
      <w:r>
        <w:rPr/>
        <w:t>cada</w:t>
      </w:r>
      <w:r>
        <w:rPr>
          <w:spacing w:val="-6"/>
        </w:rPr>
        <w:t> </w:t>
      </w:r>
      <w:r>
        <w:rPr/>
        <w:t>vez</w:t>
      </w:r>
      <w:r>
        <w:rPr>
          <w:spacing w:val="-6"/>
        </w:rPr>
        <w:t> </w:t>
      </w:r>
      <w:r>
        <w:rPr/>
        <w:t>más importante juegan los movimientos cotidianos relacionados con </w:t>
      </w:r>
      <w:r>
        <w:rPr>
          <w:spacing w:val="33"/>
        </w:rPr>
        <w:t> </w:t>
      </w:r>
      <w:r>
        <w:rPr/>
        <w:t>los</w:t>
      </w:r>
      <w:r>
        <w:rPr>
          <w:spacing w:val="28"/>
        </w:rPr>
        <w:t> </w:t>
      </w:r>
      <w:r>
        <w:rPr/>
        <w:t>desplazamientos</w:t>
      </w:r>
      <w:r>
        <w:rPr>
          <w:w w:val="100"/>
        </w:rPr>
        <w:t> </w:t>
      </w:r>
      <w:r>
        <w:rPr/>
        <w:t>al trabajo o a la escuela. Una importancia particular en el funcionamiento de la zona metropolitana tienen los viajes al trabajo, que es un fenómeno cada vez más frecuente con</w:t>
      </w:r>
      <w:r>
        <w:rPr>
          <w:spacing w:val="-9"/>
        </w:rPr>
        <w:t> </w:t>
      </w:r>
      <w:r>
        <w:rPr/>
        <w:t>el</w:t>
      </w:r>
      <w:r>
        <w:rPr>
          <w:spacing w:val="-9"/>
        </w:rPr>
        <w:t> </w:t>
      </w:r>
      <w:r>
        <w:rPr/>
        <w:t>desarrollo</w:t>
      </w:r>
      <w:r>
        <w:rPr>
          <w:spacing w:val="-9"/>
        </w:rPr>
        <w:t> </w:t>
      </w:r>
      <w:r>
        <w:rPr/>
        <w:t>de</w:t>
      </w:r>
      <w:r>
        <w:rPr>
          <w:spacing w:val="-9"/>
        </w:rPr>
        <w:t> </w:t>
      </w:r>
      <w:r>
        <w:rPr/>
        <w:t>la</w:t>
      </w:r>
      <w:r>
        <w:rPr>
          <w:spacing w:val="-9"/>
        </w:rPr>
        <w:t> </w:t>
      </w:r>
      <w:r>
        <w:rPr/>
        <w:t>suburbanización.</w:t>
      </w:r>
      <w:r>
        <w:rPr>
          <w:spacing w:val="-9"/>
        </w:rPr>
        <w:t> </w:t>
      </w:r>
      <w:r>
        <w:rPr/>
        <w:t>Los</w:t>
      </w:r>
      <w:r>
        <w:rPr>
          <w:spacing w:val="-9"/>
        </w:rPr>
        <w:t> </w:t>
      </w:r>
      <w:r>
        <w:rPr/>
        <w:t>habitantes</w:t>
      </w:r>
      <w:r>
        <w:rPr>
          <w:spacing w:val="-9"/>
        </w:rPr>
        <w:t> </w:t>
      </w:r>
      <w:r>
        <w:rPr/>
        <w:t>que</w:t>
      </w:r>
      <w:r>
        <w:rPr>
          <w:spacing w:val="-9"/>
        </w:rPr>
        <w:t> </w:t>
      </w:r>
      <w:r>
        <w:rPr/>
        <w:t>se</w:t>
      </w:r>
      <w:r>
        <w:rPr>
          <w:spacing w:val="-9"/>
        </w:rPr>
        <w:t> </w:t>
      </w:r>
      <w:r>
        <w:rPr/>
        <w:t>trasladan</w:t>
      </w:r>
      <w:r>
        <w:rPr>
          <w:spacing w:val="-9"/>
        </w:rPr>
        <w:t> </w:t>
      </w:r>
      <w:r>
        <w:rPr/>
        <w:t>a</w:t>
      </w:r>
      <w:r>
        <w:rPr>
          <w:spacing w:val="-9"/>
        </w:rPr>
        <w:t> </w:t>
      </w:r>
      <w:r>
        <w:rPr/>
        <w:t>los</w:t>
      </w:r>
      <w:r>
        <w:rPr>
          <w:spacing w:val="-9"/>
        </w:rPr>
        <w:t> </w:t>
      </w:r>
      <w:r>
        <w:rPr/>
        <w:t>suburbios no pierden el contacto con la ciudad central, que es el núcleo de la zona metropolitana y al mismo tiempo el principal mercado de trabajo. La población que se dispersa sigue en relación funcional con la ciudad central, que es el mayor lugar de trabajo, pero también el centro de comercio, de educación, de cultura, de ocio y de otros servicios especializados.</w:t>
      </w:r>
    </w:p>
    <w:p>
      <w:pPr>
        <w:pStyle w:val="BodyText"/>
        <w:spacing w:before="11"/>
      </w:pPr>
    </w:p>
    <w:p>
      <w:pPr>
        <w:pStyle w:val="BodyText"/>
        <w:spacing w:line="249" w:lineRule="auto"/>
        <w:ind w:left="131" w:firstLine="170"/>
        <w:jc w:val="both"/>
      </w:pPr>
      <w:r>
        <w:rPr/>
        <w:t>En vista de los datos facilitados por la Oficina Central de Estadística</w:t>
      </w:r>
      <w:r>
        <w:rPr>
          <w:spacing w:val="-38"/>
        </w:rPr>
        <w:t> </w:t>
      </w:r>
      <w:r>
        <w:rPr/>
        <w:t>polaca,</w:t>
      </w:r>
      <w:r>
        <w:rPr>
          <w:spacing w:val="-4"/>
        </w:rPr>
        <w:t> </w:t>
      </w:r>
      <w:r>
        <w:rPr/>
        <w:t>Cracovia</w:t>
      </w:r>
      <w:r>
        <w:rPr>
          <w:w w:val="100"/>
        </w:rPr>
        <w:t> </w:t>
      </w:r>
      <w:r>
        <w:rPr/>
        <w:t>es el mayor centro en cuanto a los desplazamientos al trabajo en la Provincia de Malopolska. En 2006 llegaban a trabajar en la ciudad más de 58,4 mil trabajadores y hasta</w:t>
      </w:r>
      <w:r>
        <w:rPr>
          <w:spacing w:val="-6"/>
        </w:rPr>
        <w:t> </w:t>
      </w:r>
      <w:r>
        <w:rPr/>
        <w:t>2011</w:t>
      </w:r>
      <w:r>
        <w:rPr>
          <w:spacing w:val="-6"/>
        </w:rPr>
        <w:t> </w:t>
      </w:r>
      <w:r>
        <w:rPr/>
        <w:t>su</w:t>
      </w:r>
      <w:r>
        <w:rPr>
          <w:spacing w:val="-6"/>
        </w:rPr>
        <w:t> </w:t>
      </w:r>
      <w:r>
        <w:rPr/>
        <w:t>número</w:t>
      </w:r>
      <w:r>
        <w:rPr>
          <w:spacing w:val="-6"/>
        </w:rPr>
        <w:t> </w:t>
      </w:r>
      <w:r>
        <w:rPr/>
        <w:t>alcanzó</w:t>
      </w:r>
      <w:r>
        <w:rPr>
          <w:spacing w:val="-6"/>
        </w:rPr>
        <w:t> </w:t>
      </w:r>
      <w:r>
        <w:rPr/>
        <w:t>a</w:t>
      </w:r>
      <w:r>
        <w:rPr>
          <w:spacing w:val="-6"/>
        </w:rPr>
        <w:t> </w:t>
      </w:r>
      <w:r>
        <w:rPr/>
        <w:t>más</w:t>
      </w:r>
      <w:r>
        <w:rPr>
          <w:spacing w:val="-6"/>
        </w:rPr>
        <w:t> </w:t>
      </w:r>
      <w:r>
        <w:rPr/>
        <w:t>de</w:t>
      </w:r>
      <w:r>
        <w:rPr>
          <w:spacing w:val="-6"/>
        </w:rPr>
        <w:t> </w:t>
      </w:r>
      <w:r>
        <w:rPr/>
        <w:t>91,3</w:t>
      </w:r>
      <w:r>
        <w:rPr>
          <w:spacing w:val="-6"/>
        </w:rPr>
        <w:t> </w:t>
      </w:r>
      <w:r>
        <w:rPr/>
        <w:t>mil</w:t>
      </w:r>
      <w:r>
        <w:rPr>
          <w:spacing w:val="-6"/>
        </w:rPr>
        <w:t> </w:t>
      </w:r>
      <w:r>
        <w:rPr/>
        <w:t>personas.</w:t>
      </w:r>
      <w:r>
        <w:rPr>
          <w:spacing w:val="-6"/>
        </w:rPr>
        <w:t> </w:t>
      </w:r>
      <w:r>
        <w:rPr/>
        <w:t>No</w:t>
      </w:r>
      <w:r>
        <w:rPr>
          <w:spacing w:val="-6"/>
        </w:rPr>
        <w:t> </w:t>
      </w:r>
      <w:r>
        <w:rPr/>
        <w:t>obstante,</w:t>
      </w:r>
      <w:r>
        <w:rPr>
          <w:spacing w:val="-6"/>
        </w:rPr>
        <w:t> </w:t>
      </w:r>
      <w:r>
        <w:rPr/>
        <w:t>el</w:t>
      </w:r>
      <w:r>
        <w:rPr>
          <w:spacing w:val="-6"/>
        </w:rPr>
        <w:t> </w:t>
      </w:r>
      <w:r>
        <w:rPr/>
        <w:t>crecimiento de desplazamientos al trabajo observado, que llegó al 56,4%, fue mucho más lento    en comparación con el crecimiento dinámico de desplazamientos al trabajo fuera de   la ciudad, que en el periodo estudiado subió de un 248,1% (Tab. 2). Por un lado, esto puede indicar el desarrollo del proceso de suburbanización de la industria y de los servicios, ya que el número de viajes al trabajo de Cracovia a los municipios de la</w:t>
      </w:r>
      <w:r>
        <w:rPr>
          <w:spacing w:val="-31"/>
        </w:rPr>
        <w:t> </w:t>
      </w:r>
      <w:r>
        <w:rPr/>
        <w:t>zona suburbana y de la zona de los desplazamientos se duplicó, de 4,35 a 8,7 mil y de 1,1   a 2,2 mil personas, respectivamente. No obstante, el mayor aumento se observó en    el caso de viajes al trabajo hacia fuera de la ZMC, cuyo número aumentó siete veces, de 2,4 mil a 17,3 mil personas (Fig. 11). Teniendo en cuenta que los destinos de los viajes al trabajo fuera de la ZMC fueron sobre todo otros grandes centro urbanos,</w:t>
      </w:r>
      <w:r>
        <w:rPr>
          <w:spacing w:val="39"/>
        </w:rPr>
        <w:t> </w:t>
      </w:r>
      <w:r>
        <w:rPr/>
        <w:t>esto</w:t>
      </w:r>
    </w:p>
    <w:p>
      <w:pPr>
        <w:pStyle w:val="BodyText"/>
        <w:spacing w:line="249" w:lineRule="auto" w:before="76"/>
        <w:ind w:left="131" w:right="127"/>
        <w:jc w:val="both"/>
      </w:pPr>
      <w:r>
        <w:rPr/>
        <w:br w:type="column"/>
      </w:r>
      <w:r>
        <w:rPr/>
        <w:t>significaría más bien un desarrollo más rápido del proceso de metropolización y del crecimiento de importancia de vínculos funcionales entre Cracovia y otras grandes ciudades en Polonia. En este contexto, el aumento de viajes al trabajo de Cracovia      a zonas exteriores de la ZMC no es tan espectacular, aunque en 2011 alcanzó 10,9  mil personas, lo que constituyó el 38,6% del número total de los desplazamientos al trabajo de Cracovia (Fig. 11). Vale también la pena subrayar que Cracovia, a</w:t>
      </w:r>
      <w:r>
        <w:rPr>
          <w:spacing w:val="-32"/>
        </w:rPr>
        <w:t> </w:t>
      </w:r>
      <w:r>
        <w:rPr/>
        <w:t>diferencia de las demás zonas de la ZMC, se caracteriza por una alta balanza positiva de viajes al trabajo que alcanzó más de 50,5 mil personas en 2006 y hasta 2011 subió de casi 25%, hasta el nivel de 63 mil personas (Tab. 2). La situación es diferente en el caso   de la zona suburbana, donde la balanza de la movilidad profesional cotidiana de la población es negativa y esta tendencia se profundiza. En el periodo estudiado, el saldo de desplazamientos bajó de casi 8%, de -12,4 a -13,4 mil personas. También cabe mencionar que al mismo tiempo el balance en la zona de los desplazamientos bajó    de casi 41%, de -16,9 a -23,8 mil personas. Esto significa que el número de salidas al trabajo de los habitantes de esta zona a municipios situados fuera de ella es mucho más grande. Al mismo tiempo cabe mencionar que en la zona de los desplazamientos el nivel de los viajes “internos” al trabajo, es decir entre municipios dentro de esta zona, aumentó de un 16,6%: en 2006 alcanzaron 15,7 mil y en 2011 más de 18,3 mil personas. En comparación, en la zona suburbana el aumento de este tipo de viajes al trabajo fue mucho más grande y superó el 46%, pero el número total de personas que viajaban así al trabajo en valores absolutos fue mucho menor, ya que en 2011 apenas superó 8,5 mil</w:t>
      </w:r>
      <w:r>
        <w:rPr>
          <w:spacing w:val="14"/>
        </w:rPr>
        <w:t> </w:t>
      </w:r>
      <w:r>
        <w:rPr/>
        <w:t>personas.</w:t>
      </w:r>
    </w:p>
    <w:p>
      <w:pPr>
        <w:pStyle w:val="BodyText"/>
        <w:spacing w:before="2"/>
        <w:rPr>
          <w:sz w:val="24"/>
        </w:rPr>
      </w:pPr>
    </w:p>
    <w:p>
      <w:pPr>
        <w:spacing w:line="312" w:lineRule="auto" w:before="0"/>
        <w:ind w:left="204" w:right="201" w:firstLine="0"/>
        <w:jc w:val="center"/>
        <w:rPr>
          <w:sz w:val="16"/>
        </w:rPr>
      </w:pPr>
      <w:r>
        <w:rPr>
          <w:color w:val="6D6E71"/>
          <w:sz w:val="16"/>
        </w:rPr>
        <w:t>Tabla 2. Los desplazamientos al trabajo en diferentes zonas de la Zona Metropolitana de Cracovia (ZMC) en 2006 y 2011</w:t>
      </w:r>
    </w:p>
    <w:p>
      <w:pPr>
        <w:pStyle w:val="BodyText"/>
        <w:spacing w:before="1"/>
        <w:rPr>
          <w:sz w:val="3"/>
        </w:rPr>
      </w:pPr>
    </w:p>
    <w:tbl>
      <w:tblPr>
        <w:tblW w:w="0" w:type="auto"/>
        <w:jc w:val="left"/>
        <w:tblInd w:w="375"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3839"/>
        <w:gridCol w:w="796"/>
        <w:gridCol w:w="796"/>
        <w:gridCol w:w="1781"/>
      </w:tblGrid>
      <w:tr>
        <w:trPr>
          <w:trHeight w:val="428" w:hRule="exact"/>
        </w:trPr>
        <w:tc>
          <w:tcPr>
            <w:tcW w:w="7211" w:type="dxa"/>
            <w:gridSpan w:val="4"/>
            <w:tcBorders>
              <w:top w:val="nil"/>
              <w:left w:val="nil"/>
              <w:bottom w:val="nil"/>
              <w:right w:val="nil"/>
            </w:tcBorders>
            <w:shd w:val="clear" w:color="auto" w:fill="929292"/>
          </w:tcPr>
          <w:p>
            <w:pPr>
              <w:pStyle w:val="TableParagraph"/>
              <w:tabs>
                <w:tab w:pos="795" w:val="left" w:leader="none"/>
                <w:tab w:pos="1591" w:val="left" w:leader="none"/>
              </w:tabs>
              <w:spacing w:before="33"/>
              <w:ind w:right="686"/>
              <w:jc w:val="right"/>
              <w:rPr>
                <w:sz w:val="16"/>
              </w:rPr>
            </w:pPr>
            <w:r>
              <w:rPr>
                <w:sz w:val="16"/>
              </w:rPr>
              <w:t>2006</w:t>
              <w:tab/>
              <w:t>2011</w:t>
              <w:tab/>
              <w:t>Cambio en</w:t>
            </w:r>
            <w:r>
              <w:rPr>
                <w:spacing w:val="23"/>
                <w:sz w:val="16"/>
              </w:rPr>
              <w:t> </w:t>
            </w:r>
            <w:r>
              <w:rPr>
                <w:sz w:val="16"/>
              </w:rPr>
              <w:t>%</w:t>
            </w:r>
          </w:p>
          <w:p>
            <w:pPr>
              <w:pStyle w:val="TableParagraph"/>
              <w:spacing w:before="16"/>
              <w:ind w:right="708"/>
              <w:jc w:val="right"/>
              <w:rPr>
                <w:sz w:val="16"/>
              </w:rPr>
            </w:pPr>
            <w:r>
              <w:rPr>
                <w:w w:val="95"/>
                <w:sz w:val="16"/>
              </w:rPr>
              <w:t>(2006=100%)</w:t>
            </w:r>
          </w:p>
        </w:tc>
      </w:tr>
      <w:tr>
        <w:trPr>
          <w:trHeight w:val="171" w:hRule="exact"/>
        </w:trPr>
        <w:tc>
          <w:tcPr>
            <w:tcW w:w="7211" w:type="dxa"/>
            <w:gridSpan w:val="4"/>
            <w:tcBorders>
              <w:top w:val="nil"/>
              <w:left w:val="nil"/>
              <w:bottom w:val="single" w:sz="4" w:space="0" w:color="FFFFFF"/>
              <w:right w:val="nil"/>
            </w:tcBorders>
            <w:shd w:val="clear" w:color="auto" w:fill="E2E2E2"/>
          </w:tcPr>
          <w:p>
            <w:pPr>
              <w:pStyle w:val="TableParagraph"/>
              <w:tabs>
                <w:tab w:pos="3823" w:val="left" w:leader="none"/>
                <w:tab w:pos="4619" w:val="left" w:leader="none"/>
                <w:tab w:pos="5415" w:val="left" w:leader="none"/>
                <w:tab w:pos="7191" w:val="left" w:leader="none"/>
              </w:tabs>
              <w:spacing w:before="5"/>
              <w:ind w:left="34"/>
              <w:rPr>
                <w:sz w:val="16"/>
              </w:rPr>
            </w:pPr>
            <w:r>
              <w:rPr>
                <w:w w:val="100"/>
                <w:sz w:val="16"/>
                <w:u w:val="dotted" w:color="929292"/>
              </w:rPr>
              <w:t> </w:t>
            </w:r>
            <w:r>
              <w:rPr>
                <w:spacing w:val="-16"/>
                <w:sz w:val="16"/>
                <w:u w:val="dotted" w:color="929292"/>
              </w:rPr>
              <w:t> </w:t>
            </w:r>
            <w:r>
              <w:rPr>
                <w:sz w:val="16"/>
                <w:u w:val="dotted" w:color="929292"/>
              </w:rPr>
              <w:t>Cracovia</w:t>
              <w:tab/>
            </w:r>
            <w:r>
              <w:rPr>
                <w:sz w:val="16"/>
              </w:rPr>
              <w:t> </w:t>
            </w:r>
            <w:r>
              <w:rPr>
                <w:w w:val="100"/>
                <w:sz w:val="16"/>
                <w:u w:val="dotted" w:color="929292"/>
              </w:rPr>
              <w:t> </w:t>
            </w:r>
            <w:r>
              <w:rPr>
                <w:sz w:val="16"/>
                <w:u w:val="dotted" w:color="929292"/>
              </w:rPr>
              <w:tab/>
            </w:r>
            <w:r>
              <w:rPr>
                <w:spacing w:val="-1"/>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tc>
      </w:tr>
      <w:tr>
        <w:trPr>
          <w:trHeight w:val="171" w:hRule="exact"/>
        </w:trPr>
        <w:tc>
          <w:tcPr>
            <w:tcW w:w="3839" w:type="dxa"/>
            <w:tcBorders>
              <w:top w:val="single" w:sz="4" w:space="0" w:color="FFFFFF"/>
              <w:left w:val="nil"/>
              <w:bottom w:val="single" w:sz="4" w:space="0" w:color="FFFFFF"/>
            </w:tcBorders>
          </w:tcPr>
          <w:p>
            <w:pPr>
              <w:pStyle w:val="TableParagraph"/>
              <w:tabs>
                <w:tab w:pos="3823" w:val="left" w:leader="none"/>
              </w:tabs>
              <w:ind w:left="34"/>
              <w:rPr>
                <w:sz w:val="16"/>
              </w:rPr>
            </w:pPr>
            <w:r>
              <w:rPr>
                <w:w w:val="100"/>
                <w:sz w:val="16"/>
                <w:u w:val="dotted" w:color="929292"/>
              </w:rPr>
              <w:t> </w:t>
            </w:r>
            <w:r>
              <w:rPr>
                <w:spacing w:val="-16"/>
                <w:sz w:val="16"/>
                <w:u w:val="dotted" w:color="929292"/>
              </w:rPr>
              <w:t> </w:t>
            </w:r>
            <w:r>
              <w:rPr>
                <w:sz w:val="16"/>
                <w:u w:val="dotted" w:color="929292"/>
              </w:rPr>
              <w:t>Llegadas al</w:t>
            </w:r>
            <w:r>
              <w:rPr>
                <w:spacing w:val="4"/>
                <w:sz w:val="16"/>
                <w:u w:val="dotted" w:color="929292"/>
              </w:rPr>
              <w:t> </w:t>
            </w:r>
            <w:r>
              <w:rPr>
                <w:sz w:val="16"/>
                <w:u w:val="dotted" w:color="929292"/>
              </w:rPr>
              <w:t>trabajo</w:t>
              <w:tab/>
            </w:r>
          </w:p>
        </w:tc>
        <w:tc>
          <w:tcPr>
            <w:tcW w:w="796" w:type="dxa"/>
            <w:tcBorders>
              <w:top w:val="single" w:sz="4" w:space="0" w:color="FFFFFF"/>
              <w:bottom w:val="single" w:sz="4" w:space="0" w:color="FFFFFF"/>
            </w:tcBorders>
          </w:tcPr>
          <w:p>
            <w:pPr>
              <w:pStyle w:val="TableParagraph"/>
              <w:ind w:right="7"/>
              <w:jc w:val="right"/>
              <w:rPr>
                <w:sz w:val="16"/>
              </w:rPr>
            </w:pPr>
            <w:r>
              <w:rPr>
                <w:w w:val="100"/>
                <w:sz w:val="16"/>
                <w:u w:val="dotted" w:color="929292"/>
              </w:rPr>
              <w:t> </w:t>
            </w:r>
            <w:r>
              <w:rPr>
                <w:sz w:val="16"/>
                <w:u w:val="dotted" w:color="929292"/>
              </w:rPr>
              <w:t> 58 405 </w:t>
            </w:r>
          </w:p>
        </w:tc>
        <w:tc>
          <w:tcPr>
            <w:tcW w:w="796" w:type="dxa"/>
            <w:tcBorders>
              <w:top w:val="single" w:sz="4" w:space="0" w:color="FFFFFF"/>
              <w:bottom w:val="single" w:sz="4" w:space="0" w:color="FFFFFF"/>
            </w:tcBorders>
          </w:tcPr>
          <w:p>
            <w:pPr>
              <w:pStyle w:val="TableParagraph"/>
              <w:ind w:left="14"/>
              <w:jc w:val="center"/>
              <w:rPr>
                <w:sz w:val="16"/>
              </w:rPr>
            </w:pPr>
            <w:r>
              <w:rPr>
                <w:w w:val="100"/>
                <w:sz w:val="16"/>
                <w:u w:val="dotted" w:color="929292"/>
              </w:rPr>
              <w:t> </w:t>
            </w:r>
            <w:r>
              <w:rPr>
                <w:sz w:val="16"/>
                <w:u w:val="dotted" w:color="929292"/>
              </w:rPr>
              <w:t> 91 317 </w:t>
            </w:r>
          </w:p>
        </w:tc>
        <w:tc>
          <w:tcPr>
            <w:tcW w:w="1781" w:type="dxa"/>
            <w:tcBorders>
              <w:top w:val="single" w:sz="4" w:space="0" w:color="FFFFFF"/>
              <w:bottom w:val="single" w:sz="4" w:space="0" w:color="FFFFFF"/>
              <w:right w:val="nil"/>
            </w:tcBorders>
          </w:tcPr>
          <w:p>
            <w:pPr>
              <w:pStyle w:val="TableParagraph"/>
              <w:tabs>
                <w:tab w:pos="1755" w:val="left" w:leader="none"/>
              </w:tabs>
              <w:ind w:left="25"/>
              <w:rPr>
                <w:sz w:val="16"/>
              </w:rPr>
            </w:pPr>
            <w:r>
              <w:rPr>
                <w:w w:val="100"/>
                <w:sz w:val="16"/>
                <w:u w:val="dotted" w:color="929292"/>
              </w:rPr>
              <w:t> </w:t>
            </w:r>
            <w:r>
              <w:rPr>
                <w:spacing w:val="-12"/>
                <w:sz w:val="16"/>
                <w:u w:val="dotted" w:color="929292"/>
              </w:rPr>
              <w:t> </w:t>
            </w:r>
            <w:r>
              <w:rPr>
                <w:sz w:val="16"/>
                <w:u w:val="dotted" w:color="929292"/>
              </w:rPr>
              <w:t>156,4</w:t>
              <w:tab/>
            </w:r>
          </w:p>
        </w:tc>
      </w:tr>
      <w:tr>
        <w:trPr>
          <w:trHeight w:val="215" w:hRule="exact"/>
        </w:trPr>
        <w:tc>
          <w:tcPr>
            <w:tcW w:w="3839" w:type="dxa"/>
            <w:tcBorders>
              <w:top w:val="single" w:sz="4" w:space="0" w:color="FFFFFF"/>
              <w:left w:val="nil"/>
            </w:tcBorders>
          </w:tcPr>
          <w:p>
            <w:pPr>
              <w:pStyle w:val="TableParagraph"/>
              <w:ind w:left="108"/>
              <w:rPr>
                <w:sz w:val="16"/>
              </w:rPr>
            </w:pPr>
            <w:r>
              <w:rPr>
                <w:sz w:val="16"/>
              </w:rPr>
              <w:t>Salidas al trabajo</w:t>
            </w:r>
          </w:p>
        </w:tc>
        <w:tc>
          <w:tcPr>
            <w:tcW w:w="796" w:type="dxa"/>
            <w:tcBorders>
              <w:top w:val="single" w:sz="4" w:space="0" w:color="FFFFFF"/>
            </w:tcBorders>
          </w:tcPr>
          <w:p>
            <w:pPr>
              <w:pStyle w:val="TableParagraph"/>
              <w:ind w:left="102"/>
              <w:rPr>
                <w:sz w:val="16"/>
              </w:rPr>
            </w:pPr>
            <w:r>
              <w:rPr>
                <w:sz w:val="16"/>
              </w:rPr>
              <w:t>7 869</w:t>
            </w:r>
          </w:p>
        </w:tc>
        <w:tc>
          <w:tcPr>
            <w:tcW w:w="796" w:type="dxa"/>
            <w:tcBorders>
              <w:top w:val="single" w:sz="4" w:space="0" w:color="FFFFFF"/>
            </w:tcBorders>
          </w:tcPr>
          <w:p>
            <w:pPr>
              <w:pStyle w:val="TableParagraph"/>
              <w:ind w:left="14" w:right="102"/>
              <w:jc w:val="center"/>
              <w:rPr>
                <w:sz w:val="16"/>
              </w:rPr>
            </w:pPr>
            <w:r>
              <w:rPr>
                <w:sz w:val="16"/>
              </w:rPr>
              <w:t>28 241</w:t>
            </w:r>
          </w:p>
        </w:tc>
        <w:tc>
          <w:tcPr>
            <w:tcW w:w="1781" w:type="dxa"/>
            <w:tcBorders>
              <w:top w:val="single" w:sz="4" w:space="0" w:color="FFFFFF"/>
              <w:right w:val="nil"/>
            </w:tcBorders>
          </w:tcPr>
          <w:p>
            <w:pPr>
              <w:pStyle w:val="TableParagraph"/>
              <w:ind w:left="102"/>
              <w:rPr>
                <w:sz w:val="16"/>
              </w:rPr>
            </w:pPr>
            <w:r>
              <w:rPr>
                <w:sz w:val="16"/>
              </w:rPr>
              <w:t>358,9</w:t>
            </w:r>
          </w:p>
        </w:tc>
      </w:tr>
      <w:tr>
        <w:trPr>
          <w:trHeight w:val="171" w:hRule="exact"/>
        </w:trPr>
        <w:tc>
          <w:tcPr>
            <w:tcW w:w="3839" w:type="dxa"/>
            <w:tcBorders>
              <w:left w:val="nil"/>
              <w:bottom w:val="single" w:sz="4" w:space="0" w:color="FFFFFF"/>
            </w:tcBorders>
          </w:tcPr>
          <w:p>
            <w:pPr>
              <w:pStyle w:val="TableParagraph"/>
              <w:tabs>
                <w:tab w:pos="3823" w:val="left" w:leader="none"/>
              </w:tabs>
              <w:ind w:left="34"/>
              <w:rPr>
                <w:sz w:val="16"/>
              </w:rPr>
            </w:pPr>
            <w:r>
              <w:rPr>
                <w:w w:val="100"/>
                <w:sz w:val="16"/>
                <w:u w:val="dotted" w:color="929292"/>
              </w:rPr>
              <w:t> </w:t>
            </w:r>
            <w:r>
              <w:rPr>
                <w:spacing w:val="-16"/>
                <w:sz w:val="16"/>
                <w:u w:val="dotted" w:color="929292"/>
              </w:rPr>
              <w:t> </w:t>
            </w:r>
            <w:r>
              <w:rPr>
                <w:sz w:val="16"/>
                <w:u w:val="dotted" w:color="929292"/>
              </w:rPr>
              <w:t>Saldo</w:t>
              <w:tab/>
            </w:r>
          </w:p>
        </w:tc>
        <w:tc>
          <w:tcPr>
            <w:tcW w:w="796" w:type="dxa"/>
            <w:tcBorders>
              <w:bottom w:val="single" w:sz="4" w:space="0" w:color="FFFFFF"/>
            </w:tcBorders>
          </w:tcPr>
          <w:p>
            <w:pPr>
              <w:pStyle w:val="TableParagraph"/>
              <w:ind w:right="7"/>
              <w:jc w:val="right"/>
              <w:rPr>
                <w:sz w:val="16"/>
              </w:rPr>
            </w:pPr>
            <w:r>
              <w:rPr>
                <w:w w:val="100"/>
                <w:sz w:val="16"/>
                <w:u w:val="dotted" w:color="929292"/>
              </w:rPr>
              <w:t> </w:t>
            </w:r>
            <w:r>
              <w:rPr>
                <w:sz w:val="16"/>
                <w:u w:val="dotted" w:color="929292"/>
              </w:rPr>
              <w:t> 50 536 </w:t>
            </w:r>
          </w:p>
        </w:tc>
        <w:tc>
          <w:tcPr>
            <w:tcW w:w="796" w:type="dxa"/>
            <w:tcBorders>
              <w:bottom w:val="single" w:sz="4" w:space="0" w:color="FFFFFF"/>
            </w:tcBorders>
          </w:tcPr>
          <w:p>
            <w:pPr>
              <w:pStyle w:val="TableParagraph"/>
              <w:ind w:left="14"/>
              <w:jc w:val="center"/>
              <w:rPr>
                <w:sz w:val="16"/>
              </w:rPr>
            </w:pPr>
            <w:r>
              <w:rPr>
                <w:w w:val="100"/>
                <w:sz w:val="16"/>
                <w:u w:val="dotted" w:color="929292"/>
              </w:rPr>
              <w:t> </w:t>
            </w:r>
            <w:r>
              <w:rPr>
                <w:sz w:val="16"/>
                <w:u w:val="dotted" w:color="929292"/>
              </w:rPr>
              <w:t> 63 076 </w:t>
            </w:r>
          </w:p>
        </w:tc>
        <w:tc>
          <w:tcPr>
            <w:tcW w:w="1781" w:type="dxa"/>
            <w:tcBorders>
              <w:bottom w:val="single" w:sz="4" w:space="0" w:color="FFFFFF"/>
              <w:right w:val="nil"/>
            </w:tcBorders>
          </w:tcPr>
          <w:p>
            <w:pPr>
              <w:pStyle w:val="TableParagraph"/>
              <w:tabs>
                <w:tab w:pos="1755" w:val="left" w:leader="none"/>
              </w:tabs>
              <w:ind w:left="25"/>
              <w:rPr>
                <w:sz w:val="16"/>
              </w:rPr>
            </w:pPr>
            <w:r>
              <w:rPr>
                <w:w w:val="100"/>
                <w:sz w:val="16"/>
                <w:u w:val="dotted" w:color="929292"/>
              </w:rPr>
              <w:t> </w:t>
            </w:r>
            <w:r>
              <w:rPr>
                <w:spacing w:val="-12"/>
                <w:sz w:val="16"/>
                <w:u w:val="dotted" w:color="929292"/>
              </w:rPr>
              <w:t> </w:t>
            </w:r>
            <w:r>
              <w:rPr>
                <w:sz w:val="16"/>
                <w:u w:val="dotted" w:color="929292"/>
              </w:rPr>
              <w:t>124,8</w:t>
              <w:tab/>
            </w:r>
          </w:p>
        </w:tc>
      </w:tr>
    </w:tbl>
    <w:p>
      <w:pPr>
        <w:tabs>
          <w:tab w:pos="3804" w:val="left" w:leader="none"/>
          <w:tab w:pos="4600" w:val="left" w:leader="none"/>
          <w:tab w:pos="5396" w:val="left" w:leader="none"/>
          <w:tab w:pos="7171" w:val="left" w:leader="none"/>
        </w:tabs>
        <w:spacing w:before="1"/>
        <w:ind w:left="15" w:right="0" w:firstLine="0"/>
        <w:jc w:val="center"/>
        <w:rPr>
          <w:sz w:val="16"/>
        </w:rPr>
      </w:pPr>
      <w:r>
        <w:rPr/>
        <w:pict>
          <v:line style="position:absolute;mso-position-horizontal-relative:page;mso-position-vertical-relative:paragraph;z-index:-638944" from="525.793274pt,17.5277pt" to="525.793274pt,17.5277pt" stroked="true" strokeweight=".5pt" strokecolor="#929292">
            <w10:wrap type="none"/>
          </v:line>
        </w:pict>
      </w:r>
      <w:r>
        <w:rPr/>
        <w:pict>
          <v:line style="position:absolute;mso-position-horizontal-relative:page;mso-position-vertical-relative:paragraph;z-index:-638920" from="885.860291pt,17.5277pt" to="885.860291pt,17.5277pt" stroked="true" strokeweight=".5pt" strokecolor="#929292">
            <w10:wrap type="none"/>
          </v:line>
        </w:pict>
      </w:r>
      <w:r>
        <w:rPr/>
        <w:pict>
          <v:line style="position:absolute;mso-position-horizontal-relative:page;mso-position-vertical-relative:paragraph;z-index:-638896" from="525.793274pt,26.074301pt" to="525.793274pt,26.074301pt" stroked="true" strokeweight=".5pt" strokecolor="#929292">
            <w10:wrap type="none"/>
          </v:line>
        </w:pict>
      </w:r>
      <w:r>
        <w:rPr/>
        <w:pict>
          <v:line style="position:absolute;mso-position-horizontal-relative:page;mso-position-vertical-relative:paragraph;z-index:-638872" from="885.860291pt,26.074301pt" to="885.860291pt,26.074301pt" stroked="true" strokeweight=".5pt" strokecolor="#929292">
            <w10:wrap type="none"/>
          </v:line>
        </w:pict>
      </w:r>
      <w:r>
        <w:rPr/>
        <w:pict>
          <v:line style="position:absolute;mso-position-horizontal-relative:page;mso-position-vertical-relative:paragraph;z-index:-638848" from="525.793274pt,34.6208pt" to="525.793274pt,34.6208pt" stroked="true" strokeweight=".5pt" strokecolor="#929292">
            <w10:wrap type="none"/>
          </v:line>
        </w:pict>
      </w:r>
      <w:r>
        <w:rPr/>
        <w:pict>
          <v:line style="position:absolute;mso-position-horizontal-relative:page;mso-position-vertical-relative:paragraph;z-index:-638824" from="885.860291pt,34.6208pt" to="885.860291pt,34.6208pt" stroked="true" strokeweight=".5pt" strokecolor="#929292">
            <w10:wrap type="none"/>
          </v:line>
        </w:pict>
      </w:r>
      <w:r>
        <w:rPr/>
        <w:pict>
          <v:shape style="position:absolute;margin-left:525.543274pt;margin-top:51.463902pt;width:360.85pt;height:34.7pt;mso-position-horizontal-relative:page;mso-position-vertical-relative:paragraph;z-index:13984" type="#_x0000_t202" filled="false" stroked="false">
            <v:textbox inset="0,0,0,0">
              <w:txbxContent>
                <w:tbl>
                  <w:tblPr>
                    <w:tblW w:w="0" w:type="auto"/>
                    <w:jc w:val="lef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3834"/>
                    <w:gridCol w:w="796"/>
                    <w:gridCol w:w="796"/>
                    <w:gridCol w:w="1776"/>
                  </w:tblGrid>
                  <w:tr>
                    <w:trPr>
                      <w:trHeight w:val="171" w:hRule="exact"/>
                    </w:trPr>
                    <w:tc>
                      <w:tcPr>
                        <w:tcW w:w="3834" w:type="dxa"/>
                        <w:tcBorders>
                          <w:left w:val="nil"/>
                          <w:right w:val="single" w:sz="4" w:space="0" w:color="929292"/>
                        </w:tcBorders>
                      </w:tcPr>
                      <w:p>
                        <w:pPr>
                          <w:pStyle w:val="TableParagraph"/>
                          <w:tabs>
                            <w:tab w:pos="3788" w:val="left" w:leader="none"/>
                          </w:tabs>
                          <w:spacing w:line="171" w:lineRule="exact"/>
                          <w:ind w:right="7"/>
                          <w:jc w:val="right"/>
                          <w:rPr>
                            <w:sz w:val="16"/>
                          </w:rPr>
                        </w:pPr>
                        <w:r>
                          <w:rPr>
                            <w:w w:val="100"/>
                            <w:sz w:val="16"/>
                            <w:u w:val="dotted" w:color="929292"/>
                          </w:rPr>
                          <w:t> </w:t>
                        </w:r>
                        <w:r>
                          <w:rPr>
                            <w:spacing w:val="-16"/>
                            <w:sz w:val="16"/>
                            <w:u w:val="dotted" w:color="929292"/>
                          </w:rPr>
                          <w:t> </w:t>
                        </w:r>
                        <w:r>
                          <w:rPr>
                            <w:sz w:val="16"/>
                            <w:u w:val="dotted" w:color="929292"/>
                          </w:rPr>
                          <w:t>Llegadas al</w:t>
                        </w:r>
                        <w:r>
                          <w:rPr>
                            <w:spacing w:val="4"/>
                            <w:sz w:val="16"/>
                            <w:u w:val="dotted" w:color="929292"/>
                          </w:rPr>
                          <w:t> </w:t>
                        </w:r>
                        <w:r>
                          <w:rPr>
                            <w:sz w:val="16"/>
                            <w:u w:val="dotted" w:color="929292"/>
                          </w:rPr>
                          <w:t>trabajo</w:t>
                          <w:tab/>
                        </w:r>
                      </w:p>
                    </w:tc>
                    <w:tc>
                      <w:tcPr>
                        <w:tcW w:w="796" w:type="dxa"/>
                        <w:tcBorders>
                          <w:left w:val="single" w:sz="4" w:space="0" w:color="929292"/>
                          <w:right w:val="single" w:sz="4" w:space="0" w:color="929292"/>
                        </w:tcBorders>
                      </w:tcPr>
                      <w:p>
                        <w:pPr>
                          <w:pStyle w:val="TableParagraph"/>
                          <w:tabs>
                            <w:tab w:pos="751" w:val="left" w:leader="none"/>
                          </w:tabs>
                          <w:spacing w:line="171" w:lineRule="exact"/>
                          <w:ind w:right="7"/>
                          <w:jc w:val="right"/>
                          <w:rPr>
                            <w:sz w:val="16"/>
                          </w:rPr>
                        </w:pPr>
                        <w:r>
                          <w:rPr>
                            <w:w w:val="100"/>
                            <w:sz w:val="16"/>
                            <w:u w:val="dotted" w:color="929292"/>
                          </w:rPr>
                          <w:t> </w:t>
                        </w:r>
                        <w:r>
                          <w:rPr>
                            <w:spacing w:val="-11"/>
                            <w:sz w:val="16"/>
                            <w:u w:val="dotted" w:color="929292"/>
                          </w:rPr>
                          <w:t> </w:t>
                        </w:r>
                        <w:r>
                          <w:rPr>
                            <w:sz w:val="16"/>
                            <w:u w:val="dotted" w:color="929292"/>
                          </w:rPr>
                          <w:t>6</w:t>
                        </w:r>
                        <w:r>
                          <w:rPr>
                            <w:spacing w:val="-1"/>
                            <w:sz w:val="16"/>
                            <w:u w:val="dotted" w:color="929292"/>
                          </w:rPr>
                          <w:t> </w:t>
                        </w:r>
                        <w:r>
                          <w:rPr>
                            <w:sz w:val="16"/>
                            <w:u w:val="dotted" w:color="929292"/>
                          </w:rPr>
                          <w:t>697</w:t>
                          <w:tab/>
                        </w:r>
                      </w:p>
                    </w:tc>
                    <w:tc>
                      <w:tcPr>
                        <w:tcW w:w="796" w:type="dxa"/>
                        <w:tcBorders>
                          <w:left w:val="single" w:sz="4" w:space="0" w:color="929292"/>
                          <w:right w:val="single" w:sz="4" w:space="0" w:color="929292"/>
                        </w:tcBorders>
                      </w:tcPr>
                      <w:p>
                        <w:pPr>
                          <w:pStyle w:val="TableParagraph"/>
                          <w:tabs>
                            <w:tab w:pos="751" w:val="left" w:leader="none"/>
                          </w:tabs>
                          <w:spacing w:line="171" w:lineRule="exact"/>
                          <w:ind w:right="7"/>
                          <w:jc w:val="right"/>
                          <w:rPr>
                            <w:sz w:val="16"/>
                          </w:rPr>
                        </w:pPr>
                        <w:r>
                          <w:rPr>
                            <w:w w:val="100"/>
                            <w:sz w:val="16"/>
                            <w:u w:val="dotted" w:color="929292"/>
                          </w:rPr>
                          <w:t> </w:t>
                        </w:r>
                        <w:r>
                          <w:rPr>
                            <w:spacing w:val="-11"/>
                            <w:sz w:val="16"/>
                            <w:u w:val="dotted" w:color="929292"/>
                          </w:rPr>
                          <w:t> </w:t>
                        </w:r>
                        <w:r>
                          <w:rPr>
                            <w:sz w:val="16"/>
                            <w:u w:val="dotted" w:color="929292"/>
                          </w:rPr>
                          <w:t>8</w:t>
                        </w:r>
                        <w:r>
                          <w:rPr>
                            <w:spacing w:val="-1"/>
                            <w:sz w:val="16"/>
                            <w:u w:val="dotted" w:color="929292"/>
                          </w:rPr>
                          <w:t> </w:t>
                        </w:r>
                        <w:r>
                          <w:rPr>
                            <w:sz w:val="16"/>
                            <w:u w:val="dotted" w:color="929292"/>
                          </w:rPr>
                          <w:t>788</w:t>
                          <w:tab/>
                        </w:r>
                      </w:p>
                    </w:tc>
                    <w:tc>
                      <w:tcPr>
                        <w:tcW w:w="1776" w:type="dxa"/>
                        <w:tcBorders>
                          <w:left w:val="single" w:sz="4" w:space="0" w:color="929292"/>
                          <w:right w:val="nil"/>
                        </w:tcBorders>
                      </w:tcPr>
                      <w:p>
                        <w:pPr>
                          <w:pStyle w:val="TableParagraph"/>
                          <w:tabs>
                            <w:tab w:pos="1730" w:val="left" w:leader="none"/>
                          </w:tabs>
                          <w:spacing w:line="171" w:lineRule="exact"/>
                          <w:ind w:right="13"/>
                          <w:jc w:val="right"/>
                          <w:rPr>
                            <w:sz w:val="16"/>
                          </w:rPr>
                        </w:pPr>
                        <w:r>
                          <w:rPr>
                            <w:w w:val="100"/>
                            <w:sz w:val="16"/>
                            <w:u w:val="dotted" w:color="929292"/>
                          </w:rPr>
                          <w:t> </w:t>
                        </w:r>
                        <w:r>
                          <w:rPr>
                            <w:spacing w:val="-12"/>
                            <w:sz w:val="16"/>
                            <w:u w:val="dotted" w:color="929292"/>
                          </w:rPr>
                          <w:t> </w:t>
                        </w:r>
                        <w:r>
                          <w:rPr>
                            <w:w w:val="95"/>
                            <w:sz w:val="16"/>
                            <w:u w:val="dotted" w:color="929292"/>
                          </w:rPr>
                          <w:t>131,2</w:t>
                        </w:r>
                        <w:r>
                          <w:rPr>
                            <w:sz w:val="16"/>
                            <w:u w:val="dotted" w:color="929292"/>
                          </w:rPr>
                          <w:tab/>
                        </w:r>
                      </w:p>
                    </w:tc>
                  </w:tr>
                  <w:tr>
                    <w:trPr>
                      <w:trHeight w:val="171" w:hRule="exact"/>
                    </w:trPr>
                    <w:tc>
                      <w:tcPr>
                        <w:tcW w:w="3834" w:type="dxa"/>
                        <w:tcBorders>
                          <w:left w:val="nil"/>
                          <w:right w:val="single" w:sz="4" w:space="0" w:color="929292"/>
                        </w:tcBorders>
                      </w:tcPr>
                      <w:p>
                        <w:pPr>
                          <w:pStyle w:val="TableParagraph"/>
                          <w:tabs>
                            <w:tab w:pos="3788" w:val="left" w:leader="none"/>
                          </w:tabs>
                          <w:spacing w:line="171" w:lineRule="exact"/>
                          <w:ind w:right="7"/>
                          <w:jc w:val="right"/>
                          <w:rPr>
                            <w:sz w:val="16"/>
                          </w:rPr>
                        </w:pPr>
                        <w:r>
                          <w:rPr>
                            <w:w w:val="100"/>
                            <w:sz w:val="16"/>
                            <w:u w:val="dotted" w:color="929292"/>
                          </w:rPr>
                          <w:t> </w:t>
                        </w:r>
                        <w:r>
                          <w:rPr>
                            <w:spacing w:val="-16"/>
                            <w:sz w:val="16"/>
                            <w:u w:val="dotted" w:color="929292"/>
                          </w:rPr>
                          <w:t> </w:t>
                        </w:r>
                        <w:r>
                          <w:rPr>
                            <w:sz w:val="16"/>
                            <w:u w:val="dotted" w:color="929292"/>
                          </w:rPr>
                          <w:t>Salidas al</w:t>
                        </w:r>
                        <w:r>
                          <w:rPr>
                            <w:spacing w:val="2"/>
                            <w:sz w:val="16"/>
                            <w:u w:val="dotted" w:color="929292"/>
                          </w:rPr>
                          <w:t> </w:t>
                        </w:r>
                        <w:r>
                          <w:rPr>
                            <w:sz w:val="16"/>
                            <w:u w:val="dotted" w:color="929292"/>
                          </w:rPr>
                          <w:t>trabajo</w:t>
                          <w:tab/>
                        </w:r>
                      </w:p>
                    </w:tc>
                    <w:tc>
                      <w:tcPr>
                        <w:tcW w:w="796" w:type="dxa"/>
                        <w:tcBorders>
                          <w:left w:val="single" w:sz="4" w:space="0" w:color="929292"/>
                          <w:right w:val="single" w:sz="4" w:space="0" w:color="929292"/>
                        </w:tcBorders>
                      </w:tcPr>
                      <w:p>
                        <w:pPr>
                          <w:pStyle w:val="TableParagraph"/>
                          <w:spacing w:line="171" w:lineRule="exact"/>
                          <w:ind w:right="7"/>
                          <w:jc w:val="right"/>
                          <w:rPr>
                            <w:sz w:val="16"/>
                          </w:rPr>
                        </w:pPr>
                        <w:r>
                          <w:rPr>
                            <w:w w:val="100"/>
                            <w:sz w:val="16"/>
                            <w:u w:val="dotted" w:color="929292"/>
                          </w:rPr>
                          <w:t> </w:t>
                        </w:r>
                        <w:r>
                          <w:rPr>
                            <w:sz w:val="16"/>
                            <w:u w:val="dotted" w:color="929292"/>
                          </w:rPr>
                          <w:t> 23 585 </w:t>
                        </w:r>
                      </w:p>
                    </w:tc>
                    <w:tc>
                      <w:tcPr>
                        <w:tcW w:w="796" w:type="dxa"/>
                        <w:tcBorders>
                          <w:left w:val="single" w:sz="4" w:space="0" w:color="929292"/>
                          <w:right w:val="single" w:sz="4" w:space="0" w:color="929292"/>
                        </w:tcBorders>
                      </w:tcPr>
                      <w:p>
                        <w:pPr>
                          <w:pStyle w:val="TableParagraph"/>
                          <w:spacing w:line="171" w:lineRule="exact"/>
                          <w:ind w:right="7"/>
                          <w:jc w:val="right"/>
                          <w:rPr>
                            <w:sz w:val="16"/>
                          </w:rPr>
                        </w:pPr>
                        <w:r>
                          <w:rPr>
                            <w:w w:val="100"/>
                            <w:sz w:val="16"/>
                            <w:u w:val="dotted" w:color="929292"/>
                          </w:rPr>
                          <w:t> </w:t>
                        </w:r>
                        <w:r>
                          <w:rPr>
                            <w:sz w:val="16"/>
                            <w:u w:val="dotted" w:color="929292"/>
                          </w:rPr>
                          <w:t> 32 561 </w:t>
                        </w:r>
                      </w:p>
                    </w:tc>
                    <w:tc>
                      <w:tcPr>
                        <w:tcW w:w="1776" w:type="dxa"/>
                        <w:tcBorders>
                          <w:left w:val="single" w:sz="4" w:space="0" w:color="929292"/>
                          <w:right w:val="nil"/>
                        </w:tcBorders>
                      </w:tcPr>
                      <w:p>
                        <w:pPr>
                          <w:pStyle w:val="TableParagraph"/>
                          <w:tabs>
                            <w:tab w:pos="1730" w:val="left" w:leader="none"/>
                          </w:tabs>
                          <w:spacing w:line="171" w:lineRule="exact"/>
                          <w:ind w:right="13"/>
                          <w:jc w:val="right"/>
                          <w:rPr>
                            <w:sz w:val="16"/>
                          </w:rPr>
                        </w:pPr>
                        <w:r>
                          <w:rPr>
                            <w:w w:val="100"/>
                            <w:sz w:val="16"/>
                            <w:u w:val="dotted" w:color="929292"/>
                          </w:rPr>
                          <w:t> </w:t>
                        </w:r>
                        <w:r>
                          <w:rPr>
                            <w:spacing w:val="-12"/>
                            <w:sz w:val="16"/>
                            <w:u w:val="dotted" w:color="929292"/>
                          </w:rPr>
                          <w:t> </w:t>
                        </w:r>
                        <w:r>
                          <w:rPr>
                            <w:w w:val="95"/>
                            <w:sz w:val="16"/>
                            <w:u w:val="dotted" w:color="929292"/>
                          </w:rPr>
                          <w:t>138,1</w:t>
                        </w:r>
                        <w:r>
                          <w:rPr>
                            <w:sz w:val="16"/>
                            <w:u w:val="dotted" w:color="929292"/>
                          </w:rPr>
                          <w:tab/>
                        </w:r>
                      </w:p>
                    </w:tc>
                  </w:tr>
                  <w:tr>
                    <w:trPr>
                      <w:trHeight w:val="171" w:hRule="exact"/>
                    </w:trPr>
                    <w:tc>
                      <w:tcPr>
                        <w:tcW w:w="3834" w:type="dxa"/>
                        <w:tcBorders>
                          <w:left w:val="nil"/>
                          <w:right w:val="single" w:sz="4" w:space="0" w:color="929292"/>
                        </w:tcBorders>
                      </w:tcPr>
                      <w:p>
                        <w:pPr>
                          <w:pStyle w:val="TableParagraph"/>
                          <w:tabs>
                            <w:tab w:pos="3788" w:val="left" w:leader="none"/>
                          </w:tabs>
                          <w:spacing w:line="171" w:lineRule="exact"/>
                          <w:ind w:right="7"/>
                          <w:jc w:val="right"/>
                          <w:rPr>
                            <w:sz w:val="16"/>
                          </w:rPr>
                        </w:pPr>
                        <w:r>
                          <w:rPr>
                            <w:w w:val="100"/>
                            <w:sz w:val="16"/>
                            <w:u w:val="dotted" w:color="929292"/>
                          </w:rPr>
                          <w:t> </w:t>
                        </w:r>
                        <w:r>
                          <w:rPr>
                            <w:spacing w:val="-16"/>
                            <w:sz w:val="16"/>
                            <w:u w:val="dotted" w:color="929292"/>
                          </w:rPr>
                          <w:t> </w:t>
                        </w:r>
                        <w:r>
                          <w:rPr>
                            <w:sz w:val="16"/>
                            <w:u w:val="dotted" w:color="929292"/>
                          </w:rPr>
                          <w:t>Saldo</w:t>
                          <w:tab/>
                        </w:r>
                      </w:p>
                    </w:tc>
                    <w:tc>
                      <w:tcPr>
                        <w:tcW w:w="796" w:type="dxa"/>
                        <w:tcBorders>
                          <w:left w:val="single" w:sz="4" w:space="0" w:color="929292"/>
                          <w:right w:val="single" w:sz="4" w:space="0" w:color="929292"/>
                        </w:tcBorders>
                      </w:tcPr>
                      <w:p>
                        <w:pPr>
                          <w:pStyle w:val="TableParagraph"/>
                          <w:spacing w:line="171" w:lineRule="exact"/>
                          <w:ind w:right="7"/>
                          <w:jc w:val="right"/>
                          <w:rPr>
                            <w:sz w:val="16"/>
                          </w:rPr>
                        </w:pPr>
                        <w:r>
                          <w:rPr>
                            <w:w w:val="100"/>
                            <w:sz w:val="16"/>
                            <w:u w:val="dotted" w:color="929292"/>
                          </w:rPr>
                          <w:t> </w:t>
                        </w:r>
                        <w:r>
                          <w:rPr>
                            <w:sz w:val="16"/>
                            <w:u w:val="dotted" w:color="929292"/>
                          </w:rPr>
                          <w:t> -16 888 </w:t>
                        </w:r>
                      </w:p>
                    </w:tc>
                    <w:tc>
                      <w:tcPr>
                        <w:tcW w:w="796" w:type="dxa"/>
                        <w:tcBorders>
                          <w:left w:val="single" w:sz="4" w:space="0" w:color="929292"/>
                          <w:right w:val="single" w:sz="4" w:space="0" w:color="929292"/>
                        </w:tcBorders>
                      </w:tcPr>
                      <w:p>
                        <w:pPr>
                          <w:pStyle w:val="TableParagraph"/>
                          <w:spacing w:line="171" w:lineRule="exact"/>
                          <w:ind w:right="7"/>
                          <w:jc w:val="right"/>
                          <w:rPr>
                            <w:sz w:val="16"/>
                          </w:rPr>
                        </w:pPr>
                        <w:r>
                          <w:rPr>
                            <w:w w:val="100"/>
                            <w:sz w:val="16"/>
                            <w:u w:val="dotted" w:color="929292"/>
                          </w:rPr>
                          <w:t> </w:t>
                        </w:r>
                        <w:r>
                          <w:rPr>
                            <w:sz w:val="16"/>
                            <w:u w:val="dotted" w:color="929292"/>
                          </w:rPr>
                          <w:t> -23 773 </w:t>
                        </w:r>
                      </w:p>
                    </w:tc>
                    <w:tc>
                      <w:tcPr>
                        <w:tcW w:w="1776" w:type="dxa"/>
                        <w:tcBorders>
                          <w:left w:val="single" w:sz="4" w:space="0" w:color="929292"/>
                          <w:right w:val="nil"/>
                        </w:tcBorders>
                      </w:tcPr>
                      <w:p>
                        <w:pPr>
                          <w:pStyle w:val="TableParagraph"/>
                          <w:tabs>
                            <w:tab w:pos="1730" w:val="left" w:leader="none"/>
                          </w:tabs>
                          <w:spacing w:line="171" w:lineRule="exact"/>
                          <w:ind w:right="13"/>
                          <w:jc w:val="right"/>
                          <w:rPr>
                            <w:sz w:val="16"/>
                          </w:rPr>
                        </w:pPr>
                        <w:r>
                          <w:rPr>
                            <w:w w:val="100"/>
                            <w:sz w:val="16"/>
                            <w:u w:val="dotted" w:color="929292"/>
                          </w:rPr>
                          <w:t> </w:t>
                        </w:r>
                        <w:r>
                          <w:rPr>
                            <w:spacing w:val="-12"/>
                            <w:sz w:val="16"/>
                            <w:u w:val="dotted" w:color="929292"/>
                          </w:rPr>
                          <w:t> </w:t>
                        </w:r>
                        <w:r>
                          <w:rPr>
                            <w:w w:val="95"/>
                            <w:sz w:val="16"/>
                            <w:u w:val="dotted" w:color="929292"/>
                          </w:rPr>
                          <w:t>140,8</w:t>
                        </w:r>
                        <w:r>
                          <w:rPr>
                            <w:sz w:val="16"/>
                            <w:u w:val="dotted" w:color="929292"/>
                          </w:rPr>
                          <w:tab/>
                        </w:r>
                      </w:p>
                    </w:tc>
                  </w:tr>
                  <w:tr>
                    <w:trPr>
                      <w:trHeight w:val="171" w:hRule="exact"/>
                    </w:trPr>
                    <w:tc>
                      <w:tcPr>
                        <w:tcW w:w="3834" w:type="dxa"/>
                        <w:tcBorders>
                          <w:left w:val="nil"/>
                          <w:bottom w:val="nil"/>
                          <w:right w:val="single" w:sz="4" w:space="0" w:color="929292"/>
                        </w:tcBorders>
                      </w:tcPr>
                      <w:p>
                        <w:pPr>
                          <w:pStyle w:val="TableParagraph"/>
                          <w:tabs>
                            <w:tab w:pos="3788" w:val="left" w:leader="none"/>
                          </w:tabs>
                          <w:spacing w:line="171" w:lineRule="exact"/>
                          <w:ind w:right="7"/>
                          <w:jc w:val="right"/>
                          <w:rPr>
                            <w:sz w:val="16"/>
                          </w:rPr>
                        </w:pPr>
                        <w:r>
                          <w:rPr>
                            <w:w w:val="100"/>
                            <w:sz w:val="16"/>
                            <w:u w:val="dotted" w:color="929292"/>
                          </w:rPr>
                          <w:t> </w:t>
                        </w:r>
                        <w:r>
                          <w:rPr>
                            <w:spacing w:val="-16"/>
                            <w:sz w:val="16"/>
                            <w:u w:val="dotted" w:color="929292"/>
                          </w:rPr>
                          <w:t> </w:t>
                        </w:r>
                        <w:r>
                          <w:rPr>
                            <w:sz w:val="16"/>
                            <w:u w:val="dotted" w:color="929292"/>
                          </w:rPr>
                          <w:t>Viajes al trabajo dentro de la</w:t>
                        </w:r>
                        <w:r>
                          <w:rPr>
                            <w:spacing w:val="-2"/>
                            <w:sz w:val="16"/>
                            <w:u w:val="dotted" w:color="929292"/>
                          </w:rPr>
                          <w:t> </w:t>
                        </w:r>
                        <w:r>
                          <w:rPr>
                            <w:sz w:val="16"/>
                            <w:u w:val="dotted" w:color="929292"/>
                          </w:rPr>
                          <w:t>zona</w:t>
                          <w:tab/>
                        </w:r>
                      </w:p>
                    </w:tc>
                    <w:tc>
                      <w:tcPr>
                        <w:tcW w:w="796" w:type="dxa"/>
                        <w:tcBorders>
                          <w:left w:val="single" w:sz="4" w:space="0" w:color="929292"/>
                          <w:right w:val="single" w:sz="4" w:space="0" w:color="929292"/>
                        </w:tcBorders>
                      </w:tcPr>
                      <w:p>
                        <w:pPr>
                          <w:pStyle w:val="TableParagraph"/>
                          <w:spacing w:line="171" w:lineRule="exact"/>
                          <w:ind w:right="7"/>
                          <w:jc w:val="right"/>
                          <w:rPr>
                            <w:sz w:val="16"/>
                          </w:rPr>
                        </w:pPr>
                        <w:r>
                          <w:rPr>
                            <w:w w:val="100"/>
                            <w:sz w:val="16"/>
                            <w:u w:val="dotted" w:color="929292"/>
                          </w:rPr>
                          <w:t> </w:t>
                        </w:r>
                        <w:r>
                          <w:rPr>
                            <w:sz w:val="16"/>
                            <w:u w:val="dotted" w:color="929292"/>
                          </w:rPr>
                          <w:t> 15 740 </w:t>
                        </w:r>
                      </w:p>
                    </w:tc>
                    <w:tc>
                      <w:tcPr>
                        <w:tcW w:w="796" w:type="dxa"/>
                        <w:tcBorders>
                          <w:left w:val="single" w:sz="4" w:space="0" w:color="929292"/>
                          <w:right w:val="single" w:sz="4" w:space="0" w:color="929292"/>
                        </w:tcBorders>
                      </w:tcPr>
                      <w:p>
                        <w:pPr>
                          <w:pStyle w:val="TableParagraph"/>
                          <w:spacing w:line="171" w:lineRule="exact"/>
                          <w:ind w:right="7"/>
                          <w:jc w:val="right"/>
                          <w:rPr>
                            <w:sz w:val="16"/>
                          </w:rPr>
                        </w:pPr>
                        <w:r>
                          <w:rPr>
                            <w:w w:val="100"/>
                            <w:sz w:val="16"/>
                            <w:u w:val="dotted" w:color="929292"/>
                          </w:rPr>
                          <w:t> </w:t>
                        </w:r>
                        <w:r>
                          <w:rPr>
                            <w:sz w:val="16"/>
                            <w:u w:val="dotted" w:color="929292"/>
                          </w:rPr>
                          <w:t> 18 352 </w:t>
                        </w:r>
                      </w:p>
                    </w:tc>
                    <w:tc>
                      <w:tcPr>
                        <w:tcW w:w="1776" w:type="dxa"/>
                        <w:tcBorders>
                          <w:left w:val="single" w:sz="4" w:space="0" w:color="929292"/>
                          <w:right w:val="nil"/>
                        </w:tcBorders>
                      </w:tcPr>
                      <w:p>
                        <w:pPr>
                          <w:pStyle w:val="TableParagraph"/>
                          <w:tabs>
                            <w:tab w:pos="1730" w:val="left" w:leader="none"/>
                          </w:tabs>
                          <w:spacing w:line="171" w:lineRule="exact"/>
                          <w:ind w:right="13"/>
                          <w:jc w:val="right"/>
                          <w:rPr>
                            <w:sz w:val="16"/>
                          </w:rPr>
                        </w:pPr>
                        <w:r>
                          <w:rPr>
                            <w:w w:val="100"/>
                            <w:sz w:val="16"/>
                            <w:u w:val="dotted" w:color="929292"/>
                          </w:rPr>
                          <w:t> </w:t>
                        </w:r>
                        <w:r>
                          <w:rPr>
                            <w:spacing w:val="-12"/>
                            <w:sz w:val="16"/>
                            <w:u w:val="dotted" w:color="929292"/>
                          </w:rPr>
                          <w:t> </w:t>
                        </w:r>
                        <w:r>
                          <w:rPr>
                            <w:w w:val="95"/>
                            <w:sz w:val="16"/>
                            <w:u w:val="dotted" w:color="929292"/>
                          </w:rPr>
                          <w:t>116,6</w:t>
                        </w:r>
                        <w:r>
                          <w:rPr>
                            <w:sz w:val="16"/>
                            <w:u w:val="dotted" w:color="929292"/>
                          </w:rPr>
                          <w:tab/>
                        </w:r>
                      </w:p>
                    </w:tc>
                  </w:tr>
                </w:tbl>
                <w:p>
                  <w:pPr>
                    <w:pStyle w:val="BodyText"/>
                  </w:pPr>
                </w:p>
              </w:txbxContent>
            </v:textbox>
            <w10:wrap type="none"/>
          </v:shape>
        </w:pict>
      </w:r>
      <w:r>
        <w:rPr>
          <w:w w:val="100"/>
          <w:sz w:val="16"/>
          <w:u w:val="dotted" w:color="929292"/>
        </w:rPr>
        <w:t> </w:t>
      </w:r>
      <w:r>
        <w:rPr>
          <w:spacing w:val="-16"/>
          <w:sz w:val="16"/>
          <w:u w:val="dotted" w:color="929292"/>
        </w:rPr>
        <w:t> </w:t>
      </w:r>
      <w:r>
        <w:rPr>
          <w:sz w:val="16"/>
          <w:u w:val="dotted" w:color="929292"/>
        </w:rPr>
        <w:t>Zona</w:t>
      </w:r>
      <w:r>
        <w:rPr>
          <w:spacing w:val="5"/>
          <w:sz w:val="16"/>
          <w:u w:val="dotted" w:color="929292"/>
        </w:rPr>
        <w:t> </w:t>
      </w:r>
      <w:r>
        <w:rPr>
          <w:sz w:val="16"/>
          <w:u w:val="dotted" w:color="929292"/>
        </w:rPr>
        <w:t>suburbana</w:t>
        <w:tab/>
      </w:r>
      <w:r>
        <w:rPr>
          <w:sz w:val="16"/>
        </w:rPr>
        <w:t> </w:t>
      </w:r>
      <w:r>
        <w:rPr>
          <w:w w:val="100"/>
          <w:sz w:val="16"/>
          <w:u w:val="dotted" w:color="929292"/>
        </w:rPr>
        <w:t> </w:t>
      </w:r>
      <w:r>
        <w:rPr>
          <w:sz w:val="16"/>
          <w:u w:val="dotted" w:color="929292"/>
        </w:rPr>
        <w:tab/>
      </w:r>
      <w:r>
        <w:rPr>
          <w:spacing w:val="-1"/>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tbl>
      <w:tblPr>
        <w:tblW w:w="0" w:type="auto"/>
        <w:jc w:val="left"/>
        <w:tblInd w:w="3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39"/>
        <w:gridCol w:w="796"/>
        <w:gridCol w:w="796"/>
        <w:gridCol w:w="1781"/>
      </w:tblGrid>
      <w:tr>
        <w:trPr>
          <w:trHeight w:val="163" w:hRule="exact"/>
        </w:trPr>
        <w:tc>
          <w:tcPr>
            <w:tcW w:w="3839" w:type="dxa"/>
            <w:tcBorders>
              <w:right w:val="dotted" w:sz="4" w:space="0" w:color="929292"/>
            </w:tcBorders>
          </w:tcPr>
          <w:p>
            <w:pPr>
              <w:pStyle w:val="TableParagraph"/>
              <w:tabs>
                <w:tab w:pos="3813" w:val="left" w:leader="none"/>
              </w:tabs>
              <w:spacing w:line="162" w:lineRule="exact"/>
              <w:ind w:left="24"/>
              <w:jc w:val="center"/>
              <w:rPr>
                <w:sz w:val="16"/>
              </w:rPr>
            </w:pPr>
            <w:r>
              <w:rPr>
                <w:w w:val="100"/>
                <w:sz w:val="16"/>
                <w:u w:val="dotted" w:color="929292"/>
              </w:rPr>
              <w:t> </w:t>
            </w:r>
            <w:r>
              <w:rPr>
                <w:spacing w:val="-16"/>
                <w:sz w:val="16"/>
                <w:u w:val="dotted" w:color="929292"/>
              </w:rPr>
              <w:t> </w:t>
            </w:r>
            <w:r>
              <w:rPr>
                <w:sz w:val="16"/>
                <w:u w:val="dotted" w:color="929292"/>
              </w:rPr>
              <w:t>Llegadas al</w:t>
            </w:r>
            <w:r>
              <w:rPr>
                <w:spacing w:val="4"/>
                <w:sz w:val="16"/>
                <w:u w:val="dotted" w:color="929292"/>
              </w:rPr>
              <w:t> </w:t>
            </w:r>
            <w:r>
              <w:rPr>
                <w:sz w:val="16"/>
                <w:u w:val="dotted" w:color="929292"/>
              </w:rPr>
              <w:t>trabajo</w:t>
              <w:tab/>
            </w:r>
          </w:p>
        </w:tc>
        <w:tc>
          <w:tcPr>
            <w:tcW w:w="796" w:type="dxa"/>
            <w:tcBorders>
              <w:left w:val="dotted" w:sz="4" w:space="0" w:color="929292"/>
              <w:right w:val="dotted" w:sz="4" w:space="0" w:color="929292"/>
            </w:tcBorders>
          </w:tcPr>
          <w:p>
            <w:pPr>
              <w:pStyle w:val="TableParagraph"/>
              <w:tabs>
                <w:tab w:pos="766" w:val="left" w:leader="none"/>
              </w:tabs>
              <w:spacing w:line="162" w:lineRule="exact"/>
              <w:ind w:left="14"/>
              <w:jc w:val="center"/>
              <w:rPr>
                <w:sz w:val="16"/>
              </w:rPr>
            </w:pPr>
            <w:r>
              <w:rPr>
                <w:w w:val="100"/>
                <w:sz w:val="16"/>
                <w:u w:val="dotted" w:color="929292"/>
              </w:rPr>
              <w:t> </w:t>
            </w:r>
            <w:r>
              <w:rPr>
                <w:spacing w:val="-11"/>
                <w:sz w:val="16"/>
                <w:u w:val="dotted" w:color="929292"/>
              </w:rPr>
              <w:t> </w:t>
            </w:r>
            <w:r>
              <w:rPr>
                <w:sz w:val="16"/>
                <w:u w:val="dotted" w:color="929292"/>
              </w:rPr>
              <w:t>9</w:t>
            </w:r>
            <w:r>
              <w:rPr>
                <w:spacing w:val="-1"/>
                <w:sz w:val="16"/>
                <w:u w:val="dotted" w:color="929292"/>
              </w:rPr>
              <w:t> </w:t>
            </w:r>
            <w:r>
              <w:rPr>
                <w:sz w:val="16"/>
                <w:u w:val="dotted" w:color="929292"/>
              </w:rPr>
              <w:t>347</w:t>
              <w:tab/>
            </w:r>
          </w:p>
        </w:tc>
        <w:tc>
          <w:tcPr>
            <w:tcW w:w="796" w:type="dxa"/>
            <w:tcBorders>
              <w:left w:val="dotted" w:sz="4" w:space="0" w:color="929292"/>
              <w:right w:val="dotted" w:sz="4" w:space="0" w:color="929292"/>
            </w:tcBorders>
          </w:tcPr>
          <w:p>
            <w:pPr>
              <w:pStyle w:val="TableParagraph"/>
              <w:spacing w:line="162" w:lineRule="exact"/>
              <w:ind w:left="14"/>
              <w:jc w:val="center"/>
              <w:rPr>
                <w:sz w:val="16"/>
              </w:rPr>
            </w:pPr>
            <w:r>
              <w:rPr>
                <w:w w:val="100"/>
                <w:sz w:val="16"/>
                <w:u w:val="dotted" w:color="929292"/>
              </w:rPr>
              <w:t> </w:t>
            </w:r>
            <w:r>
              <w:rPr>
                <w:sz w:val="16"/>
                <w:u w:val="dotted" w:color="929292"/>
              </w:rPr>
              <w:t> 14 637 </w:t>
            </w:r>
          </w:p>
        </w:tc>
        <w:tc>
          <w:tcPr>
            <w:tcW w:w="1781" w:type="dxa"/>
            <w:tcBorders>
              <w:left w:val="dotted" w:sz="4" w:space="0" w:color="929292"/>
            </w:tcBorders>
          </w:tcPr>
          <w:p>
            <w:pPr>
              <w:pStyle w:val="TableParagraph"/>
              <w:tabs>
                <w:tab w:pos="1755" w:val="left" w:leader="none"/>
              </w:tabs>
              <w:spacing w:line="162" w:lineRule="exact"/>
              <w:ind w:left="25"/>
              <w:rPr>
                <w:sz w:val="16"/>
              </w:rPr>
            </w:pPr>
            <w:r>
              <w:rPr>
                <w:w w:val="100"/>
                <w:sz w:val="16"/>
                <w:u w:val="dotted" w:color="929292"/>
              </w:rPr>
              <w:t> </w:t>
            </w:r>
            <w:r>
              <w:rPr>
                <w:spacing w:val="-12"/>
                <w:sz w:val="16"/>
                <w:u w:val="dotted" w:color="929292"/>
              </w:rPr>
              <w:t> </w:t>
            </w:r>
            <w:r>
              <w:rPr>
                <w:sz w:val="16"/>
                <w:u w:val="dotted" w:color="929292"/>
              </w:rPr>
              <w:t>156,6</w:t>
              <w:tab/>
            </w:r>
          </w:p>
        </w:tc>
      </w:tr>
      <w:tr>
        <w:trPr>
          <w:trHeight w:val="171" w:hRule="exact"/>
        </w:trPr>
        <w:tc>
          <w:tcPr>
            <w:tcW w:w="3839" w:type="dxa"/>
            <w:tcBorders>
              <w:right w:val="dotted" w:sz="4" w:space="0" w:color="929292"/>
            </w:tcBorders>
          </w:tcPr>
          <w:p>
            <w:pPr>
              <w:pStyle w:val="TableParagraph"/>
              <w:tabs>
                <w:tab w:pos="3813" w:val="left" w:leader="none"/>
              </w:tabs>
              <w:spacing w:line="170" w:lineRule="exact"/>
              <w:ind w:left="24"/>
              <w:jc w:val="center"/>
              <w:rPr>
                <w:sz w:val="16"/>
              </w:rPr>
            </w:pPr>
            <w:r>
              <w:rPr>
                <w:w w:val="100"/>
                <w:sz w:val="16"/>
                <w:u w:val="dotted" w:color="929292"/>
              </w:rPr>
              <w:t> </w:t>
            </w:r>
            <w:r>
              <w:rPr>
                <w:spacing w:val="-16"/>
                <w:sz w:val="16"/>
                <w:u w:val="dotted" w:color="929292"/>
              </w:rPr>
              <w:t> </w:t>
            </w:r>
            <w:r>
              <w:rPr>
                <w:sz w:val="16"/>
                <w:u w:val="dotted" w:color="929292"/>
              </w:rPr>
              <w:t>Salidas al</w:t>
            </w:r>
            <w:r>
              <w:rPr>
                <w:spacing w:val="2"/>
                <w:sz w:val="16"/>
                <w:u w:val="dotted" w:color="929292"/>
              </w:rPr>
              <w:t> </w:t>
            </w:r>
            <w:r>
              <w:rPr>
                <w:sz w:val="16"/>
                <w:u w:val="dotted" w:color="929292"/>
              </w:rPr>
              <w:t>trabajo</w:t>
              <w:tab/>
            </w:r>
          </w:p>
        </w:tc>
        <w:tc>
          <w:tcPr>
            <w:tcW w:w="796" w:type="dxa"/>
            <w:tcBorders>
              <w:left w:val="dotted" w:sz="4" w:space="0" w:color="929292"/>
              <w:right w:val="dotted" w:sz="4" w:space="0" w:color="929292"/>
            </w:tcBorders>
          </w:tcPr>
          <w:p>
            <w:pPr>
              <w:pStyle w:val="TableParagraph"/>
              <w:spacing w:line="170" w:lineRule="exact"/>
              <w:ind w:left="14"/>
              <w:jc w:val="center"/>
              <w:rPr>
                <w:sz w:val="16"/>
              </w:rPr>
            </w:pPr>
            <w:r>
              <w:rPr>
                <w:w w:val="100"/>
                <w:sz w:val="16"/>
                <w:u w:val="dotted" w:color="929292"/>
              </w:rPr>
              <w:t> </w:t>
            </w:r>
            <w:r>
              <w:rPr>
                <w:sz w:val="16"/>
                <w:u w:val="dotted" w:color="929292"/>
              </w:rPr>
              <w:t> 21 748 </w:t>
            </w:r>
          </w:p>
        </w:tc>
        <w:tc>
          <w:tcPr>
            <w:tcW w:w="796" w:type="dxa"/>
            <w:tcBorders>
              <w:left w:val="dotted" w:sz="4" w:space="0" w:color="929292"/>
              <w:right w:val="dotted" w:sz="4" w:space="0" w:color="929292"/>
            </w:tcBorders>
          </w:tcPr>
          <w:p>
            <w:pPr>
              <w:pStyle w:val="TableParagraph"/>
              <w:spacing w:line="170" w:lineRule="exact"/>
              <w:ind w:left="14"/>
              <w:jc w:val="center"/>
              <w:rPr>
                <w:sz w:val="16"/>
              </w:rPr>
            </w:pPr>
            <w:r>
              <w:rPr>
                <w:w w:val="100"/>
                <w:sz w:val="16"/>
                <w:u w:val="dotted" w:color="929292"/>
              </w:rPr>
              <w:t> </w:t>
            </w:r>
            <w:r>
              <w:rPr>
                <w:sz w:val="16"/>
                <w:u w:val="dotted" w:color="929292"/>
              </w:rPr>
              <w:t> 28 006 </w:t>
            </w:r>
          </w:p>
        </w:tc>
        <w:tc>
          <w:tcPr>
            <w:tcW w:w="1781" w:type="dxa"/>
            <w:tcBorders>
              <w:left w:val="dotted" w:sz="4" w:space="0" w:color="929292"/>
            </w:tcBorders>
          </w:tcPr>
          <w:p>
            <w:pPr>
              <w:pStyle w:val="TableParagraph"/>
              <w:tabs>
                <w:tab w:pos="1755" w:val="left" w:leader="none"/>
              </w:tabs>
              <w:spacing w:line="170" w:lineRule="exact"/>
              <w:ind w:left="25"/>
              <w:rPr>
                <w:sz w:val="16"/>
              </w:rPr>
            </w:pPr>
            <w:r>
              <w:rPr>
                <w:w w:val="100"/>
                <w:sz w:val="16"/>
                <w:u w:val="dotted" w:color="929292"/>
              </w:rPr>
              <w:t> </w:t>
            </w:r>
            <w:r>
              <w:rPr>
                <w:spacing w:val="-12"/>
                <w:sz w:val="16"/>
                <w:u w:val="dotted" w:color="929292"/>
              </w:rPr>
              <w:t> </w:t>
            </w:r>
            <w:r>
              <w:rPr>
                <w:sz w:val="16"/>
                <w:u w:val="dotted" w:color="929292"/>
              </w:rPr>
              <w:t>128,8</w:t>
              <w:tab/>
            </w:r>
          </w:p>
        </w:tc>
      </w:tr>
      <w:tr>
        <w:trPr>
          <w:trHeight w:val="171" w:hRule="exact"/>
        </w:trPr>
        <w:tc>
          <w:tcPr>
            <w:tcW w:w="3839" w:type="dxa"/>
            <w:tcBorders>
              <w:right w:val="dotted" w:sz="4" w:space="0" w:color="929292"/>
            </w:tcBorders>
          </w:tcPr>
          <w:p>
            <w:pPr>
              <w:pStyle w:val="TableParagraph"/>
              <w:tabs>
                <w:tab w:pos="3813" w:val="left" w:leader="none"/>
              </w:tabs>
              <w:spacing w:line="170" w:lineRule="exact"/>
              <w:ind w:left="24"/>
              <w:jc w:val="center"/>
              <w:rPr>
                <w:sz w:val="16"/>
              </w:rPr>
            </w:pPr>
            <w:r>
              <w:rPr>
                <w:w w:val="100"/>
                <w:sz w:val="16"/>
                <w:u w:val="dotted" w:color="929292"/>
              </w:rPr>
              <w:t> </w:t>
            </w:r>
            <w:r>
              <w:rPr>
                <w:spacing w:val="-16"/>
                <w:sz w:val="16"/>
                <w:u w:val="dotted" w:color="929292"/>
              </w:rPr>
              <w:t> </w:t>
            </w:r>
            <w:r>
              <w:rPr>
                <w:sz w:val="16"/>
                <w:u w:val="dotted" w:color="929292"/>
              </w:rPr>
              <w:t>Saldo</w:t>
              <w:tab/>
            </w:r>
          </w:p>
        </w:tc>
        <w:tc>
          <w:tcPr>
            <w:tcW w:w="796" w:type="dxa"/>
            <w:tcBorders>
              <w:left w:val="dotted" w:sz="4" w:space="0" w:color="929292"/>
              <w:right w:val="dotted" w:sz="4" w:space="0" w:color="929292"/>
            </w:tcBorders>
          </w:tcPr>
          <w:p>
            <w:pPr>
              <w:pStyle w:val="TableParagraph"/>
              <w:spacing w:line="170" w:lineRule="exact"/>
              <w:ind w:left="14"/>
              <w:jc w:val="center"/>
              <w:rPr>
                <w:sz w:val="16"/>
              </w:rPr>
            </w:pPr>
            <w:r>
              <w:rPr>
                <w:w w:val="100"/>
                <w:sz w:val="16"/>
                <w:u w:val="dotted" w:color="929292"/>
              </w:rPr>
              <w:t> </w:t>
            </w:r>
            <w:r>
              <w:rPr>
                <w:sz w:val="16"/>
                <w:u w:val="dotted" w:color="929292"/>
              </w:rPr>
              <w:t> -12 401 </w:t>
            </w:r>
          </w:p>
        </w:tc>
        <w:tc>
          <w:tcPr>
            <w:tcW w:w="796" w:type="dxa"/>
            <w:tcBorders>
              <w:left w:val="dotted" w:sz="4" w:space="0" w:color="929292"/>
              <w:right w:val="dotted" w:sz="4" w:space="0" w:color="929292"/>
            </w:tcBorders>
          </w:tcPr>
          <w:p>
            <w:pPr>
              <w:pStyle w:val="TableParagraph"/>
              <w:spacing w:line="170" w:lineRule="exact"/>
              <w:ind w:left="14"/>
              <w:jc w:val="center"/>
              <w:rPr>
                <w:sz w:val="16"/>
              </w:rPr>
            </w:pPr>
            <w:r>
              <w:rPr>
                <w:w w:val="100"/>
                <w:sz w:val="16"/>
                <w:u w:val="dotted" w:color="929292"/>
              </w:rPr>
              <w:t> </w:t>
            </w:r>
            <w:r>
              <w:rPr>
                <w:sz w:val="16"/>
                <w:u w:val="dotted" w:color="929292"/>
              </w:rPr>
              <w:t> -13 369 </w:t>
            </w:r>
          </w:p>
        </w:tc>
        <w:tc>
          <w:tcPr>
            <w:tcW w:w="1781" w:type="dxa"/>
            <w:tcBorders>
              <w:left w:val="dotted" w:sz="4" w:space="0" w:color="929292"/>
            </w:tcBorders>
          </w:tcPr>
          <w:p>
            <w:pPr>
              <w:pStyle w:val="TableParagraph"/>
              <w:tabs>
                <w:tab w:pos="1755" w:val="left" w:leader="none"/>
              </w:tabs>
              <w:spacing w:line="170" w:lineRule="exact"/>
              <w:ind w:left="25"/>
              <w:rPr>
                <w:sz w:val="16"/>
              </w:rPr>
            </w:pPr>
            <w:r>
              <w:rPr>
                <w:w w:val="100"/>
                <w:sz w:val="16"/>
                <w:u w:val="dotted" w:color="929292"/>
              </w:rPr>
              <w:t> </w:t>
            </w:r>
            <w:r>
              <w:rPr>
                <w:spacing w:val="-12"/>
                <w:sz w:val="16"/>
                <w:u w:val="dotted" w:color="929292"/>
              </w:rPr>
              <w:t> </w:t>
            </w:r>
            <w:r>
              <w:rPr>
                <w:sz w:val="16"/>
                <w:u w:val="dotted" w:color="929292"/>
              </w:rPr>
              <w:t>107,8</w:t>
              <w:tab/>
            </w:r>
          </w:p>
        </w:tc>
      </w:tr>
      <w:tr>
        <w:trPr>
          <w:trHeight w:val="165" w:hRule="exact"/>
        </w:trPr>
        <w:tc>
          <w:tcPr>
            <w:tcW w:w="3839" w:type="dxa"/>
            <w:tcBorders>
              <w:right w:val="dotted" w:sz="4" w:space="0" w:color="929292"/>
            </w:tcBorders>
          </w:tcPr>
          <w:p>
            <w:pPr>
              <w:pStyle w:val="TableParagraph"/>
              <w:tabs>
                <w:tab w:pos="3838" w:val="left" w:leader="none"/>
              </w:tabs>
              <w:spacing w:line="170" w:lineRule="exact"/>
              <w:ind w:left="5" w:right="-5"/>
              <w:jc w:val="center"/>
              <w:rPr>
                <w:sz w:val="16"/>
              </w:rPr>
            </w:pPr>
            <w:r>
              <w:rPr>
                <w:w w:val="100"/>
                <w:sz w:val="16"/>
                <w:u w:val="single" w:color="FFFFFF"/>
              </w:rPr>
              <w:t> </w:t>
            </w:r>
            <w:r>
              <w:rPr>
                <w:spacing w:val="14"/>
                <w:sz w:val="16"/>
                <w:u w:val="single" w:color="FFFFFF"/>
              </w:rPr>
              <w:t> </w:t>
            </w:r>
            <w:r>
              <w:rPr>
                <w:sz w:val="16"/>
                <w:u w:val="dotted" w:color="929292"/>
              </w:rPr>
              <w:t>Viaje</w:t>
            </w:r>
            <w:r>
              <w:rPr>
                <w:sz w:val="16"/>
              </w:rPr>
              <w:t>s </w:t>
            </w:r>
            <w:r>
              <w:rPr>
                <w:sz w:val="16"/>
                <w:u w:val="dotted" w:color="929292"/>
              </w:rPr>
              <w:t>a</w:t>
            </w:r>
            <w:r>
              <w:rPr>
                <w:sz w:val="16"/>
              </w:rPr>
              <w:t>l </w:t>
            </w:r>
            <w:r>
              <w:rPr>
                <w:sz w:val="16"/>
                <w:u w:val="dotted" w:color="929292"/>
              </w:rPr>
              <w:t>trabaj</w:t>
            </w:r>
            <w:r>
              <w:rPr>
                <w:sz w:val="16"/>
              </w:rPr>
              <w:t>o </w:t>
            </w:r>
            <w:r>
              <w:rPr>
                <w:sz w:val="16"/>
                <w:u w:val="dotted" w:color="929292"/>
              </w:rPr>
              <w:t>dentr</w:t>
            </w:r>
            <w:r>
              <w:rPr>
                <w:sz w:val="16"/>
              </w:rPr>
              <w:t>o </w:t>
            </w:r>
            <w:r>
              <w:rPr>
                <w:sz w:val="16"/>
                <w:u w:val="dotted" w:color="929292"/>
              </w:rPr>
              <w:t>d</w:t>
            </w:r>
            <w:r>
              <w:rPr>
                <w:sz w:val="16"/>
              </w:rPr>
              <w:t>e </w:t>
            </w:r>
            <w:r>
              <w:rPr>
                <w:sz w:val="16"/>
                <w:u w:val="dotted" w:color="929292"/>
              </w:rPr>
              <w:t>l</w:t>
            </w:r>
            <w:r>
              <w:rPr>
                <w:sz w:val="16"/>
              </w:rPr>
              <w:t>a</w:t>
            </w:r>
            <w:r>
              <w:rPr>
                <w:spacing w:val="-2"/>
                <w:sz w:val="16"/>
              </w:rPr>
              <w:t> </w:t>
            </w:r>
            <w:r>
              <w:rPr>
                <w:sz w:val="16"/>
                <w:u w:val="dotted" w:color="929292"/>
              </w:rPr>
              <w:t>zon</w:t>
            </w:r>
            <w:r>
              <w:rPr>
                <w:sz w:val="16"/>
              </w:rPr>
              <w:t>a</w:t>
              <w:tab/>
            </w:r>
          </w:p>
        </w:tc>
        <w:tc>
          <w:tcPr>
            <w:tcW w:w="796" w:type="dxa"/>
            <w:tcBorders>
              <w:left w:val="dotted" w:sz="4" w:space="0" w:color="929292"/>
              <w:right w:val="dotted" w:sz="4" w:space="0" w:color="929292"/>
            </w:tcBorders>
          </w:tcPr>
          <w:p>
            <w:pPr>
              <w:pStyle w:val="TableParagraph"/>
              <w:tabs>
                <w:tab w:pos="790" w:val="left" w:leader="none"/>
              </w:tabs>
              <w:spacing w:line="170" w:lineRule="exact"/>
              <w:ind w:left="-5" w:right="-5"/>
              <w:jc w:val="center"/>
              <w:rPr>
                <w:sz w:val="16"/>
              </w:rPr>
            </w:pPr>
            <w:r>
              <w:rPr>
                <w:w w:val="100"/>
                <w:sz w:val="16"/>
                <w:u w:val="single" w:color="FFFFFF"/>
              </w:rPr>
              <w:t> </w:t>
            </w:r>
            <w:r>
              <w:rPr>
                <w:spacing w:val="19"/>
                <w:sz w:val="16"/>
                <w:u w:val="single" w:color="FFFFFF"/>
              </w:rPr>
              <w:t> </w:t>
            </w:r>
            <w:r>
              <w:rPr>
                <w:sz w:val="16"/>
                <w:u w:val="single" w:color="FFFFFF"/>
              </w:rPr>
              <w:t>5</w:t>
            </w:r>
            <w:r>
              <w:rPr>
                <w:spacing w:val="-1"/>
                <w:sz w:val="16"/>
                <w:u w:val="single" w:color="FFFFFF"/>
              </w:rPr>
              <w:t> </w:t>
            </w:r>
            <w:r>
              <w:rPr>
                <w:sz w:val="16"/>
                <w:u w:val="dotted" w:color="929292"/>
              </w:rPr>
              <w:t>85</w:t>
            </w:r>
            <w:r>
              <w:rPr>
                <w:sz w:val="16"/>
              </w:rPr>
              <w:t>2</w:t>
              <w:tab/>
            </w:r>
          </w:p>
        </w:tc>
        <w:tc>
          <w:tcPr>
            <w:tcW w:w="796" w:type="dxa"/>
            <w:tcBorders>
              <w:left w:val="dotted" w:sz="4" w:space="0" w:color="929292"/>
              <w:right w:val="dotted" w:sz="4" w:space="0" w:color="929292"/>
            </w:tcBorders>
          </w:tcPr>
          <w:p>
            <w:pPr>
              <w:pStyle w:val="TableParagraph"/>
              <w:tabs>
                <w:tab w:pos="790" w:val="left" w:leader="none"/>
              </w:tabs>
              <w:spacing w:line="170" w:lineRule="exact"/>
              <w:ind w:left="-5" w:right="-5"/>
              <w:jc w:val="center"/>
              <w:rPr>
                <w:sz w:val="16"/>
              </w:rPr>
            </w:pPr>
            <w:r>
              <w:rPr>
                <w:w w:val="100"/>
                <w:sz w:val="16"/>
                <w:u w:val="single" w:color="FFFFFF"/>
              </w:rPr>
              <w:t> </w:t>
            </w:r>
            <w:r>
              <w:rPr>
                <w:spacing w:val="19"/>
                <w:sz w:val="16"/>
                <w:u w:val="single" w:color="FFFFFF"/>
              </w:rPr>
              <w:t> </w:t>
            </w:r>
            <w:r>
              <w:rPr>
                <w:sz w:val="16"/>
                <w:u w:val="single" w:color="FFFFFF"/>
              </w:rPr>
              <w:t>8</w:t>
            </w:r>
            <w:r>
              <w:rPr>
                <w:spacing w:val="-1"/>
                <w:sz w:val="16"/>
                <w:u w:val="single" w:color="FFFFFF"/>
              </w:rPr>
              <w:t> </w:t>
            </w:r>
            <w:r>
              <w:rPr>
                <w:sz w:val="16"/>
                <w:u w:val="dotted" w:color="929292"/>
              </w:rPr>
              <w:t>55</w:t>
            </w:r>
            <w:r>
              <w:rPr>
                <w:sz w:val="16"/>
              </w:rPr>
              <w:t>7</w:t>
              <w:tab/>
            </w:r>
          </w:p>
        </w:tc>
        <w:tc>
          <w:tcPr>
            <w:tcW w:w="1781" w:type="dxa"/>
            <w:tcBorders>
              <w:left w:val="dotted" w:sz="4" w:space="0" w:color="929292"/>
            </w:tcBorders>
          </w:tcPr>
          <w:p>
            <w:pPr>
              <w:pStyle w:val="TableParagraph"/>
              <w:tabs>
                <w:tab w:pos="1770" w:val="left" w:leader="none"/>
              </w:tabs>
              <w:spacing w:line="170" w:lineRule="exact"/>
              <w:ind w:left="-5"/>
              <w:rPr>
                <w:sz w:val="16"/>
              </w:rPr>
            </w:pPr>
            <w:r>
              <w:rPr>
                <w:w w:val="100"/>
                <w:sz w:val="16"/>
                <w:u w:val="single" w:color="FFFFFF"/>
              </w:rPr>
              <w:t> </w:t>
            </w:r>
            <w:r>
              <w:rPr>
                <w:spacing w:val="19"/>
                <w:sz w:val="16"/>
                <w:u w:val="single" w:color="FFFFFF"/>
              </w:rPr>
              <w:t> </w:t>
            </w:r>
            <w:r>
              <w:rPr>
                <w:sz w:val="16"/>
                <w:u w:val="dotted" w:color="929292"/>
              </w:rPr>
              <w:t>146,</w:t>
            </w:r>
            <w:r>
              <w:rPr>
                <w:sz w:val="16"/>
              </w:rPr>
              <w:t>2</w:t>
              <w:tab/>
            </w:r>
          </w:p>
        </w:tc>
      </w:tr>
      <w:tr>
        <w:trPr>
          <w:trHeight w:val="171" w:hRule="exact"/>
        </w:trPr>
        <w:tc>
          <w:tcPr>
            <w:tcW w:w="3839" w:type="dxa"/>
            <w:shd w:val="clear" w:color="auto" w:fill="E2E2E2"/>
          </w:tcPr>
          <w:p>
            <w:pPr>
              <w:pStyle w:val="TableParagraph"/>
              <w:tabs>
                <w:tab w:pos="3808" w:val="left" w:leader="none"/>
              </w:tabs>
              <w:spacing w:line="176" w:lineRule="exact"/>
              <w:ind w:left="19"/>
              <w:jc w:val="center"/>
              <w:rPr>
                <w:sz w:val="16"/>
              </w:rPr>
            </w:pPr>
            <w:r>
              <w:rPr>
                <w:w w:val="100"/>
                <w:sz w:val="16"/>
                <w:u w:val="dotted" w:color="929292"/>
              </w:rPr>
              <w:t> </w:t>
            </w:r>
            <w:r>
              <w:rPr>
                <w:spacing w:val="-16"/>
                <w:sz w:val="16"/>
                <w:u w:val="dotted" w:color="929292"/>
              </w:rPr>
              <w:t> </w:t>
            </w:r>
            <w:r>
              <w:rPr>
                <w:sz w:val="16"/>
                <w:u w:val="dotted" w:color="929292"/>
              </w:rPr>
              <w:t>Zona de los</w:t>
            </w:r>
            <w:r>
              <w:rPr>
                <w:spacing w:val="13"/>
                <w:sz w:val="16"/>
                <w:u w:val="dotted" w:color="929292"/>
              </w:rPr>
              <w:t> </w:t>
            </w:r>
            <w:r>
              <w:rPr>
                <w:sz w:val="16"/>
                <w:u w:val="dotted" w:color="929292"/>
              </w:rPr>
              <w:t>desplazamientos</w:t>
              <w:tab/>
            </w:r>
          </w:p>
        </w:tc>
        <w:tc>
          <w:tcPr>
            <w:tcW w:w="3373" w:type="dxa"/>
            <w:gridSpan w:val="3"/>
            <w:shd w:val="clear" w:color="auto" w:fill="E2E2E2"/>
          </w:tcPr>
          <w:p>
            <w:pPr>
              <w:pStyle w:val="TableParagraph"/>
              <w:tabs>
                <w:tab w:pos="781" w:val="left" w:leader="none"/>
                <w:tab w:pos="1577" w:val="left" w:leader="none"/>
                <w:tab w:pos="3352" w:val="left" w:leader="none"/>
              </w:tabs>
              <w:spacing w:line="176" w:lineRule="exact"/>
              <w:ind w:left="29"/>
              <w:rPr>
                <w:sz w:val="16"/>
              </w:rPr>
            </w:pPr>
            <w:r>
              <w:rPr>
                <w:w w:val="100"/>
                <w:sz w:val="16"/>
                <w:u w:val="dotted" w:color="929292"/>
              </w:rPr>
              <w:t> </w:t>
            </w:r>
            <w:r>
              <w:rPr>
                <w:sz w:val="16"/>
                <w:u w:val="dotted" w:color="929292"/>
              </w:rPr>
              <w:tab/>
            </w:r>
            <w:r>
              <w:rPr>
                <w:spacing w:val="-1"/>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tc>
      </w:tr>
    </w:tbl>
    <w:p>
      <w:pPr>
        <w:pStyle w:val="BodyText"/>
      </w:pPr>
    </w:p>
    <w:p>
      <w:pPr>
        <w:pStyle w:val="BodyText"/>
      </w:pPr>
    </w:p>
    <w:p>
      <w:pPr>
        <w:pStyle w:val="BodyText"/>
        <w:spacing w:before="4"/>
        <w:rPr>
          <w:sz w:val="16"/>
        </w:rPr>
      </w:pPr>
      <w:r>
        <w:rPr/>
        <w:pict>
          <v:line style="position:absolute;mso-position-horizontal-relative:page;mso-position-vertical-relative:paragraph;z-index:13792;mso-wrap-distance-left:0;mso-wrap-distance-right:0" from="525.793274pt,11.632236pt" to="525.793274pt,11.632236pt" stroked="true" strokeweight=".5pt" strokecolor="#929292">
            <w10:wrap type="topAndBottom"/>
          </v:line>
        </w:pict>
      </w:r>
      <w:r>
        <w:rPr/>
        <w:pict>
          <v:line style="position:absolute;mso-position-horizontal-relative:page;mso-position-vertical-relative:paragraph;z-index:13816;mso-wrap-distance-left:0;mso-wrap-distance-right:0" from="885.860291pt,11.632236pt" to="885.860291pt,11.632236pt" stroked="true" strokeweight=".5pt" strokecolor="#929292">
            <w10:wrap type="topAndBottom"/>
          </v:line>
        </w:pict>
      </w:r>
    </w:p>
    <w:p>
      <w:pPr>
        <w:pStyle w:val="BodyText"/>
        <w:spacing w:before="1"/>
        <w:rPr>
          <w:sz w:val="15"/>
        </w:rPr>
      </w:pPr>
    </w:p>
    <w:p>
      <w:pPr>
        <w:spacing w:line="312" w:lineRule="auto" w:before="0"/>
        <w:ind w:left="203" w:right="202" w:firstLine="0"/>
        <w:jc w:val="center"/>
        <w:rPr>
          <w:sz w:val="16"/>
        </w:rPr>
      </w:pPr>
      <w:r>
        <w:rPr>
          <w:color w:val="6D6E71"/>
          <w:sz w:val="16"/>
        </w:rPr>
        <w:t>* - Las estadísticas incluyen únicamente los desplazamientos de y a municipios que no pertenecen a la zona.</w:t>
      </w:r>
    </w:p>
    <w:p>
      <w:pPr>
        <w:spacing w:after="0" w:line="312" w:lineRule="auto"/>
        <w:jc w:val="center"/>
        <w:rPr>
          <w:sz w:val="16"/>
        </w:rPr>
        <w:sectPr>
          <w:type w:val="continuous"/>
          <w:pgSz w:w="18830" w:h="12760" w:orient="landscape"/>
          <w:pgMar w:top="1420" w:bottom="280" w:left="720" w:right="720"/>
          <w:cols w:num="2" w:equalWidth="0">
            <w:col w:w="7843" w:space="1568"/>
            <w:col w:w="7979"/>
          </w:cols>
        </w:sectPr>
      </w:pPr>
    </w:p>
    <w:p>
      <w:pPr>
        <w:pStyle w:val="BodyText"/>
        <w:spacing w:before="5"/>
        <w:rPr>
          <w:sz w:val="26"/>
        </w:rPr>
      </w:pPr>
    </w:p>
    <w:p>
      <w:pPr>
        <w:spacing w:after="0"/>
        <w:rPr>
          <w:sz w:val="26"/>
        </w:rPr>
        <w:sectPr>
          <w:footerReference w:type="default" r:id="rId360"/>
          <w:pgSz w:w="18830" w:h="12760" w:orient="landscape"/>
          <w:pgMar w:footer="1036" w:header="522" w:top="820" w:bottom="1220" w:left="720" w:right="720"/>
        </w:sectPr>
      </w:pPr>
    </w:p>
    <w:p>
      <w:pPr>
        <w:spacing w:before="80"/>
        <w:ind w:left="202" w:right="72" w:firstLine="0"/>
        <w:jc w:val="center"/>
        <w:rPr>
          <w:sz w:val="16"/>
        </w:rPr>
      </w:pPr>
      <w:r>
        <w:rPr>
          <w:color w:val="6D6E71"/>
          <w:sz w:val="16"/>
        </w:rPr>
        <w:t>Fuente: elaboración propia a partir de datos de la Oficina Central de Estadística.</w:t>
      </w:r>
    </w:p>
    <w:p>
      <w:pPr>
        <w:pStyle w:val="BodyText"/>
        <w:spacing w:before="5"/>
        <w:rPr>
          <w:sz w:val="22"/>
        </w:rPr>
      </w:pPr>
    </w:p>
    <w:p>
      <w:pPr>
        <w:pStyle w:val="BodyText"/>
        <w:spacing w:line="249" w:lineRule="auto"/>
        <w:ind w:left="131" w:firstLine="170"/>
        <w:jc w:val="both"/>
      </w:pPr>
      <w:r>
        <w:rPr/>
        <w:t>En</w:t>
      </w:r>
      <w:r>
        <w:rPr>
          <w:spacing w:val="-6"/>
        </w:rPr>
        <w:t> </w:t>
      </w:r>
      <w:r>
        <w:rPr/>
        <w:t>el</w:t>
      </w:r>
      <w:r>
        <w:rPr>
          <w:spacing w:val="-6"/>
        </w:rPr>
        <w:t> </w:t>
      </w:r>
      <w:r>
        <w:rPr/>
        <w:t>caso</w:t>
      </w:r>
      <w:r>
        <w:rPr>
          <w:spacing w:val="-6"/>
        </w:rPr>
        <w:t> </w:t>
      </w:r>
      <w:r>
        <w:rPr/>
        <w:t>de</w:t>
      </w:r>
      <w:r>
        <w:rPr>
          <w:spacing w:val="-6"/>
        </w:rPr>
        <w:t> </w:t>
      </w:r>
      <w:r>
        <w:rPr/>
        <w:t>las</w:t>
      </w:r>
      <w:r>
        <w:rPr>
          <w:spacing w:val="-6"/>
        </w:rPr>
        <w:t> </w:t>
      </w:r>
      <w:r>
        <w:rPr/>
        <w:t>dos</w:t>
      </w:r>
      <w:r>
        <w:rPr>
          <w:spacing w:val="-6"/>
        </w:rPr>
        <w:t> </w:t>
      </w:r>
      <w:r>
        <w:rPr/>
        <w:t>zonas</w:t>
      </w:r>
      <w:r>
        <w:rPr>
          <w:spacing w:val="-6"/>
        </w:rPr>
        <w:t> </w:t>
      </w:r>
      <w:r>
        <w:rPr/>
        <w:t>exteriores</w:t>
      </w:r>
      <w:r>
        <w:rPr>
          <w:spacing w:val="-6"/>
        </w:rPr>
        <w:t> </w:t>
      </w:r>
      <w:r>
        <w:rPr/>
        <w:t>de</w:t>
      </w:r>
      <w:r>
        <w:rPr>
          <w:spacing w:val="-6"/>
        </w:rPr>
        <w:t> </w:t>
      </w:r>
      <w:r>
        <w:rPr/>
        <w:t>la</w:t>
      </w:r>
      <w:r>
        <w:rPr>
          <w:spacing w:val="-6"/>
        </w:rPr>
        <w:t> </w:t>
      </w:r>
      <w:r>
        <w:rPr/>
        <w:t>ZMC,</w:t>
      </w:r>
      <w:r>
        <w:rPr>
          <w:spacing w:val="-6"/>
        </w:rPr>
        <w:t> </w:t>
      </w:r>
      <w:r>
        <w:rPr/>
        <w:t>el</w:t>
      </w:r>
      <w:r>
        <w:rPr>
          <w:spacing w:val="-6"/>
        </w:rPr>
        <w:t> </w:t>
      </w:r>
      <w:r>
        <w:rPr/>
        <w:t>flujo</w:t>
      </w:r>
      <w:r>
        <w:rPr>
          <w:spacing w:val="-6"/>
        </w:rPr>
        <w:t> </w:t>
      </w:r>
      <w:r>
        <w:rPr/>
        <w:t>principal</w:t>
      </w:r>
      <w:r>
        <w:rPr>
          <w:spacing w:val="-6"/>
        </w:rPr>
        <w:t> </w:t>
      </w:r>
      <w:r>
        <w:rPr/>
        <w:t>de</w:t>
      </w:r>
      <w:r>
        <w:rPr>
          <w:spacing w:val="-6"/>
        </w:rPr>
        <w:t> </w:t>
      </w:r>
      <w:r>
        <w:rPr/>
        <w:t>viajes</w:t>
      </w:r>
      <w:r>
        <w:rPr>
          <w:spacing w:val="-6"/>
        </w:rPr>
        <w:t> </w:t>
      </w:r>
      <w:r>
        <w:rPr/>
        <w:t>al</w:t>
      </w:r>
      <w:r>
        <w:rPr>
          <w:spacing w:val="-6"/>
        </w:rPr>
        <w:t> </w:t>
      </w:r>
      <w:r>
        <w:rPr/>
        <w:t>trabajo fuera</w:t>
      </w:r>
      <w:r>
        <w:rPr>
          <w:spacing w:val="-5"/>
        </w:rPr>
        <w:t> </w:t>
      </w:r>
      <w:r>
        <w:rPr/>
        <w:t>de</w:t>
      </w:r>
      <w:r>
        <w:rPr>
          <w:spacing w:val="-5"/>
        </w:rPr>
        <w:t> </w:t>
      </w:r>
      <w:r>
        <w:rPr/>
        <w:t>ellas</w:t>
      </w:r>
      <w:r>
        <w:rPr>
          <w:spacing w:val="-5"/>
        </w:rPr>
        <w:t> </w:t>
      </w:r>
      <w:r>
        <w:rPr/>
        <w:t>se</w:t>
      </w:r>
      <w:r>
        <w:rPr>
          <w:spacing w:val="-5"/>
        </w:rPr>
        <w:t> </w:t>
      </w:r>
      <w:r>
        <w:rPr/>
        <w:t>dirige</w:t>
      </w:r>
      <w:r>
        <w:rPr>
          <w:spacing w:val="-5"/>
        </w:rPr>
        <w:t> </w:t>
      </w:r>
      <w:r>
        <w:rPr/>
        <w:t>a</w:t>
      </w:r>
      <w:r>
        <w:rPr>
          <w:spacing w:val="-5"/>
        </w:rPr>
        <w:t> </w:t>
      </w:r>
      <w:r>
        <w:rPr/>
        <w:t>Cracovia.</w:t>
      </w:r>
      <w:r>
        <w:rPr>
          <w:spacing w:val="-5"/>
        </w:rPr>
        <w:t> </w:t>
      </w:r>
      <w:r>
        <w:rPr/>
        <w:t>En</w:t>
      </w:r>
      <w:r>
        <w:rPr>
          <w:spacing w:val="-5"/>
        </w:rPr>
        <w:t> </w:t>
      </w:r>
      <w:r>
        <w:rPr/>
        <w:t>el</w:t>
      </w:r>
      <w:r>
        <w:rPr>
          <w:spacing w:val="-5"/>
        </w:rPr>
        <w:t> </w:t>
      </w:r>
      <w:r>
        <w:rPr/>
        <w:t>caso</w:t>
      </w:r>
      <w:r>
        <w:rPr>
          <w:spacing w:val="-5"/>
        </w:rPr>
        <w:t> </w:t>
      </w:r>
      <w:r>
        <w:rPr/>
        <w:t>de</w:t>
      </w:r>
      <w:r>
        <w:rPr>
          <w:spacing w:val="-5"/>
        </w:rPr>
        <w:t> </w:t>
      </w:r>
      <w:r>
        <w:rPr/>
        <w:t>la</w:t>
      </w:r>
      <w:r>
        <w:rPr>
          <w:spacing w:val="-5"/>
        </w:rPr>
        <w:t> </w:t>
      </w:r>
      <w:r>
        <w:rPr/>
        <w:t>zona</w:t>
      </w:r>
      <w:r>
        <w:rPr>
          <w:spacing w:val="-5"/>
        </w:rPr>
        <w:t> </w:t>
      </w:r>
      <w:r>
        <w:rPr/>
        <w:t>suburbana,</w:t>
      </w:r>
      <w:r>
        <w:rPr>
          <w:spacing w:val="-5"/>
        </w:rPr>
        <w:t> </w:t>
      </w:r>
      <w:r>
        <w:rPr/>
        <w:t>la</w:t>
      </w:r>
      <w:r>
        <w:rPr>
          <w:spacing w:val="-5"/>
        </w:rPr>
        <w:t> </w:t>
      </w:r>
      <w:r>
        <w:rPr/>
        <w:t>participación</w:t>
      </w:r>
      <w:r>
        <w:rPr>
          <w:spacing w:val="-5"/>
        </w:rPr>
        <w:t> </w:t>
      </w:r>
      <w:r>
        <w:rPr/>
        <w:t>de salidas al trabajo a Cracovia en el total de salidas al trabajo fuera de la zona alcanzó  el 88,3% en 2006 y el 86,8% en 2011, mientras que en el caso de la zona de los desplazamientos</w:t>
      </w:r>
      <w:r>
        <w:rPr>
          <w:spacing w:val="-5"/>
        </w:rPr>
        <w:t> </w:t>
      </w:r>
      <w:r>
        <w:rPr/>
        <w:t>llegó</w:t>
      </w:r>
      <w:r>
        <w:rPr>
          <w:spacing w:val="-5"/>
        </w:rPr>
        <w:t> </w:t>
      </w:r>
      <w:r>
        <w:rPr/>
        <w:t>al</w:t>
      </w:r>
      <w:r>
        <w:rPr>
          <w:spacing w:val="-4"/>
        </w:rPr>
        <w:t> </w:t>
      </w:r>
      <w:r>
        <w:rPr/>
        <w:t>72,5%</w:t>
      </w:r>
      <w:r>
        <w:rPr>
          <w:spacing w:val="-5"/>
        </w:rPr>
        <w:t> </w:t>
      </w:r>
      <w:r>
        <w:rPr/>
        <w:t>y</w:t>
      </w:r>
      <w:r>
        <w:rPr>
          <w:spacing w:val="-4"/>
        </w:rPr>
        <w:t> </w:t>
      </w:r>
      <w:r>
        <w:rPr/>
        <w:t>al</w:t>
      </w:r>
      <w:r>
        <w:rPr>
          <w:spacing w:val="-4"/>
        </w:rPr>
        <w:t> </w:t>
      </w:r>
      <w:r>
        <w:rPr/>
        <w:t>69,4%,</w:t>
      </w:r>
      <w:r>
        <w:rPr>
          <w:spacing w:val="-5"/>
        </w:rPr>
        <w:t> </w:t>
      </w:r>
      <w:r>
        <w:rPr/>
        <w:t>respectivamente.</w:t>
      </w:r>
      <w:r>
        <w:rPr>
          <w:spacing w:val="-5"/>
        </w:rPr>
        <w:t> </w:t>
      </w:r>
      <w:r>
        <w:rPr/>
        <w:t>Si</w:t>
      </w:r>
      <w:r>
        <w:rPr>
          <w:spacing w:val="-4"/>
        </w:rPr>
        <w:t> </w:t>
      </w:r>
      <w:r>
        <w:rPr/>
        <w:t>en</w:t>
      </w:r>
      <w:r>
        <w:rPr>
          <w:spacing w:val="-5"/>
        </w:rPr>
        <w:t> </w:t>
      </w:r>
      <w:r>
        <w:rPr/>
        <w:t>el</w:t>
      </w:r>
      <w:r>
        <w:rPr>
          <w:spacing w:val="-4"/>
        </w:rPr>
        <w:t> </w:t>
      </w:r>
      <w:r>
        <w:rPr/>
        <w:t>estudio</w:t>
      </w:r>
      <w:r>
        <w:rPr>
          <w:spacing w:val="-5"/>
        </w:rPr>
        <w:t> </w:t>
      </w:r>
      <w:r>
        <w:rPr/>
        <w:t>incluimos también los viajes cotidianos al trabajo a municipios situados dentro de la zona analizada, la participación de desplazamientos al trabajo a Cracovia baja visiblemente: en</w:t>
      </w:r>
      <w:r>
        <w:rPr>
          <w:spacing w:val="-10"/>
        </w:rPr>
        <w:t> </w:t>
      </w:r>
      <w:r>
        <w:rPr/>
        <w:t>el</w:t>
      </w:r>
      <w:r>
        <w:rPr>
          <w:spacing w:val="-10"/>
        </w:rPr>
        <w:t> </w:t>
      </w:r>
      <w:r>
        <w:rPr/>
        <w:t>caso</w:t>
      </w:r>
      <w:r>
        <w:rPr>
          <w:spacing w:val="-10"/>
        </w:rPr>
        <w:t> </w:t>
      </w:r>
      <w:r>
        <w:rPr/>
        <w:t>de</w:t>
      </w:r>
      <w:r>
        <w:rPr>
          <w:spacing w:val="-10"/>
        </w:rPr>
        <w:t> </w:t>
      </w:r>
      <w:r>
        <w:rPr/>
        <w:t>la</w:t>
      </w:r>
      <w:r>
        <w:rPr>
          <w:spacing w:val="-10"/>
        </w:rPr>
        <w:t> </w:t>
      </w:r>
      <w:r>
        <w:rPr/>
        <w:t>zona</w:t>
      </w:r>
      <w:r>
        <w:rPr>
          <w:spacing w:val="-10"/>
        </w:rPr>
        <w:t> </w:t>
      </w:r>
      <w:r>
        <w:rPr/>
        <w:t>suburbana</w:t>
      </w:r>
      <w:r>
        <w:rPr>
          <w:spacing w:val="-10"/>
        </w:rPr>
        <w:t> </w:t>
      </w:r>
      <w:r>
        <w:rPr/>
        <w:t>llega</w:t>
      </w:r>
      <w:r>
        <w:rPr>
          <w:spacing w:val="-10"/>
        </w:rPr>
        <w:t> </w:t>
      </w:r>
      <w:r>
        <w:rPr/>
        <w:t>al</w:t>
      </w:r>
      <w:r>
        <w:rPr>
          <w:spacing w:val="-10"/>
        </w:rPr>
        <w:t> </w:t>
      </w:r>
      <w:r>
        <w:rPr/>
        <w:t>69,6%</w:t>
      </w:r>
      <w:r>
        <w:rPr>
          <w:spacing w:val="-10"/>
        </w:rPr>
        <w:t> </w:t>
      </w:r>
      <w:r>
        <w:rPr/>
        <w:t>en</w:t>
      </w:r>
      <w:r>
        <w:rPr>
          <w:spacing w:val="-10"/>
        </w:rPr>
        <w:t> </w:t>
      </w:r>
      <w:r>
        <w:rPr/>
        <w:t>2006</w:t>
      </w:r>
      <w:r>
        <w:rPr>
          <w:spacing w:val="-10"/>
        </w:rPr>
        <w:t> </w:t>
      </w:r>
      <w:r>
        <w:rPr/>
        <w:t>y</w:t>
      </w:r>
      <w:r>
        <w:rPr>
          <w:spacing w:val="-10"/>
        </w:rPr>
        <w:t> </w:t>
      </w:r>
      <w:r>
        <w:rPr/>
        <w:t>al</w:t>
      </w:r>
      <w:r>
        <w:rPr>
          <w:spacing w:val="-10"/>
        </w:rPr>
        <w:t> </w:t>
      </w:r>
      <w:r>
        <w:rPr/>
        <w:t>66,5%</w:t>
      </w:r>
      <w:r>
        <w:rPr>
          <w:spacing w:val="-10"/>
        </w:rPr>
        <w:t> </w:t>
      </w:r>
      <w:r>
        <w:rPr/>
        <w:t>en</w:t>
      </w:r>
      <w:r>
        <w:rPr>
          <w:spacing w:val="-10"/>
        </w:rPr>
        <w:t> </w:t>
      </w:r>
      <w:r>
        <w:rPr/>
        <w:t>2011</w:t>
      </w:r>
      <w:r>
        <w:rPr>
          <w:spacing w:val="-10"/>
        </w:rPr>
        <w:t> </w:t>
      </w:r>
      <w:r>
        <w:rPr/>
        <w:t>y</w:t>
      </w:r>
      <w:r>
        <w:rPr>
          <w:spacing w:val="-10"/>
        </w:rPr>
        <w:t> </w:t>
      </w:r>
      <w:r>
        <w:rPr/>
        <w:t>en</w:t>
      </w:r>
      <w:r>
        <w:rPr>
          <w:spacing w:val="-10"/>
        </w:rPr>
        <w:t> </w:t>
      </w:r>
      <w:r>
        <w:rPr/>
        <w:t>la</w:t>
      </w:r>
      <w:r>
        <w:rPr>
          <w:spacing w:val="-10"/>
        </w:rPr>
        <w:t> </w:t>
      </w:r>
      <w:r>
        <w:rPr/>
        <w:t>zona de los desplazamientos al 43,5% y al 44,4%, respectivamente (Fig.</w:t>
      </w:r>
      <w:r>
        <w:rPr>
          <w:spacing w:val="34"/>
        </w:rPr>
        <w:t> </w:t>
      </w:r>
      <w:r>
        <w:rPr/>
        <w:t>11).</w:t>
      </w:r>
    </w:p>
    <w:p>
      <w:pPr>
        <w:pStyle w:val="BodyText"/>
        <w:spacing w:before="11"/>
      </w:pPr>
    </w:p>
    <w:p>
      <w:pPr>
        <w:pStyle w:val="BodyText"/>
        <w:spacing w:line="249" w:lineRule="auto"/>
        <w:ind w:left="131" w:right="1" w:firstLine="170"/>
        <w:jc w:val="both"/>
      </w:pPr>
      <w:r>
        <w:rPr/>
        <w:t>Esto demuestra que la participación de los viajes al trabajo a municipios vecinos es mucho más frecuente en la zona de los desplazamientos. En cambio, las salidas de la zona</w:t>
      </w:r>
      <w:r>
        <w:rPr>
          <w:spacing w:val="-14"/>
        </w:rPr>
        <w:t> </w:t>
      </w:r>
      <w:r>
        <w:rPr/>
        <w:t>suburbana</w:t>
      </w:r>
      <w:r>
        <w:rPr>
          <w:spacing w:val="-14"/>
        </w:rPr>
        <w:t> </w:t>
      </w:r>
      <w:r>
        <w:rPr/>
        <w:t>se</w:t>
      </w:r>
      <w:r>
        <w:rPr>
          <w:spacing w:val="-14"/>
        </w:rPr>
        <w:t> </w:t>
      </w:r>
      <w:r>
        <w:rPr/>
        <w:t>concentran</w:t>
      </w:r>
      <w:r>
        <w:rPr>
          <w:spacing w:val="-14"/>
        </w:rPr>
        <w:t> </w:t>
      </w:r>
      <w:r>
        <w:rPr/>
        <w:t>mucho</w:t>
      </w:r>
      <w:r>
        <w:rPr>
          <w:spacing w:val="-14"/>
        </w:rPr>
        <w:t> </w:t>
      </w:r>
      <w:r>
        <w:rPr/>
        <w:t>más</w:t>
      </w:r>
      <w:r>
        <w:rPr>
          <w:spacing w:val="-14"/>
        </w:rPr>
        <w:t> </w:t>
      </w:r>
      <w:r>
        <w:rPr/>
        <w:t>en</w:t>
      </w:r>
      <w:r>
        <w:rPr>
          <w:spacing w:val="-14"/>
        </w:rPr>
        <w:t> </w:t>
      </w:r>
      <w:r>
        <w:rPr/>
        <w:t>Cracovia,</w:t>
      </w:r>
      <w:r>
        <w:rPr>
          <w:spacing w:val="-14"/>
        </w:rPr>
        <w:t> </w:t>
      </w:r>
      <w:r>
        <w:rPr/>
        <w:t>aunque</w:t>
      </w:r>
      <w:r>
        <w:rPr>
          <w:spacing w:val="-14"/>
        </w:rPr>
        <w:t> </w:t>
      </w:r>
      <w:r>
        <w:rPr/>
        <w:t>en</w:t>
      </w:r>
      <w:r>
        <w:rPr>
          <w:spacing w:val="-14"/>
        </w:rPr>
        <w:t> </w:t>
      </w:r>
      <w:r>
        <w:rPr/>
        <w:t>el</w:t>
      </w:r>
      <w:r>
        <w:rPr>
          <w:spacing w:val="-14"/>
        </w:rPr>
        <w:t> </w:t>
      </w:r>
      <w:r>
        <w:rPr/>
        <w:t>periodo</w:t>
      </w:r>
      <w:r>
        <w:rPr>
          <w:spacing w:val="-14"/>
        </w:rPr>
        <w:t> </w:t>
      </w:r>
      <w:r>
        <w:rPr/>
        <w:t>estudiado se observa una baja visible de la participación de viajes a esta ciudad, lo que se puede relacionar con numerosas nuevas inversiones en la industria y los servicios en la zona. Estas pararon y detuvieron una gran parte de los movimientos al trabajo que antes se dirigían a la ciudad, mientras que actualmente se dirigen a otros mercados de trabajo de rápido crecimiento en la zona, como p.ej. los municipios Zabierzów, </w:t>
      </w:r>
      <w:r>
        <w:rPr>
          <w:spacing w:val="-2"/>
        </w:rPr>
        <w:t>Niepołomice, </w:t>
      </w:r>
      <w:r>
        <w:rPr/>
        <w:t>Wieliczka</w:t>
      </w:r>
      <w:r>
        <w:rPr>
          <w:spacing w:val="-15"/>
        </w:rPr>
        <w:t> </w:t>
      </w:r>
      <w:r>
        <w:rPr/>
        <w:t>o</w:t>
      </w:r>
      <w:r>
        <w:rPr>
          <w:spacing w:val="-15"/>
        </w:rPr>
        <w:t> </w:t>
      </w:r>
      <w:r>
        <w:rPr/>
        <w:t>Skawina</w:t>
      </w:r>
      <w:r>
        <w:rPr>
          <w:spacing w:val="-15"/>
        </w:rPr>
        <w:t> </w:t>
      </w:r>
      <w:r>
        <w:rPr/>
        <w:t>(Huculak</w:t>
      </w:r>
      <w:r>
        <w:rPr>
          <w:spacing w:val="-15"/>
        </w:rPr>
        <w:t> </w:t>
      </w:r>
      <w:r>
        <w:rPr/>
        <w:t>et</w:t>
      </w:r>
      <w:r>
        <w:rPr>
          <w:spacing w:val="-15"/>
        </w:rPr>
        <w:t> </w:t>
      </w:r>
      <w:r>
        <w:rPr/>
        <w:t>al,</w:t>
      </w:r>
      <w:r>
        <w:rPr>
          <w:spacing w:val="-15"/>
        </w:rPr>
        <w:t> </w:t>
      </w:r>
      <w:r>
        <w:rPr/>
        <w:t>2013;</w:t>
      </w:r>
      <w:r>
        <w:rPr>
          <w:spacing w:val="-15"/>
        </w:rPr>
        <w:t> </w:t>
      </w:r>
      <w:r>
        <w:rPr/>
        <w:t>Kurek,</w:t>
      </w:r>
      <w:r>
        <w:rPr>
          <w:spacing w:val="-15"/>
        </w:rPr>
        <w:t> </w:t>
      </w:r>
      <w:r>
        <w:rPr/>
        <w:t>Rachwał,</w:t>
      </w:r>
      <w:r>
        <w:rPr>
          <w:spacing w:val="-15"/>
        </w:rPr>
        <w:t> </w:t>
      </w:r>
      <w:r>
        <w:rPr/>
        <w:t>Wójtowicz,</w:t>
      </w:r>
      <w:r>
        <w:rPr>
          <w:spacing w:val="-15"/>
        </w:rPr>
        <w:t> </w:t>
      </w:r>
      <w:r>
        <w:rPr>
          <w:spacing w:val="-2"/>
        </w:rPr>
        <w:t>2014).</w:t>
      </w:r>
    </w:p>
    <w:p>
      <w:pPr>
        <w:pStyle w:val="BodyText"/>
      </w:pPr>
    </w:p>
    <w:p>
      <w:pPr>
        <w:pStyle w:val="BodyText"/>
        <w:spacing w:before="1"/>
        <w:rPr>
          <w:sz w:val="25"/>
        </w:rPr>
      </w:pPr>
    </w:p>
    <w:p>
      <w:pPr>
        <w:spacing w:line="312" w:lineRule="auto" w:before="0"/>
        <w:ind w:left="204" w:right="72" w:firstLine="0"/>
        <w:jc w:val="center"/>
        <w:rPr>
          <w:sz w:val="16"/>
        </w:rPr>
      </w:pPr>
      <w:r>
        <w:rPr/>
        <w:drawing>
          <wp:anchor distT="0" distB="0" distL="0" distR="0" allowOverlap="1" layoutInCell="1" locked="0" behindDoc="0" simplePos="0" relativeHeight="14008">
            <wp:simplePos x="0" y="0"/>
            <wp:positionH relativeFrom="page">
              <wp:posOffset>1036069</wp:posOffset>
            </wp:positionH>
            <wp:positionV relativeFrom="paragraph">
              <wp:posOffset>335124</wp:posOffset>
            </wp:positionV>
            <wp:extent cx="3904648" cy="2508531"/>
            <wp:effectExtent l="0" t="0" r="0" b="0"/>
            <wp:wrapNone/>
            <wp:docPr id="147" name="image102.png" descr=""/>
            <wp:cNvGraphicFramePr>
              <a:graphicFrameLocks noChangeAspect="1"/>
            </wp:cNvGraphicFramePr>
            <a:graphic>
              <a:graphicData uri="http://schemas.openxmlformats.org/drawingml/2006/picture">
                <pic:pic>
                  <pic:nvPicPr>
                    <pic:cNvPr id="148" name="image102.png"/>
                    <pic:cNvPicPr/>
                  </pic:nvPicPr>
                  <pic:blipFill>
                    <a:blip r:embed="rId361" cstate="print"/>
                    <a:stretch>
                      <a:fillRect/>
                    </a:stretch>
                  </pic:blipFill>
                  <pic:spPr>
                    <a:xfrm>
                      <a:off x="0" y="0"/>
                      <a:ext cx="3904648" cy="2508531"/>
                    </a:xfrm>
                    <a:prstGeom prst="rect">
                      <a:avLst/>
                    </a:prstGeom>
                  </pic:spPr>
                </pic:pic>
              </a:graphicData>
            </a:graphic>
          </wp:anchor>
        </w:drawing>
      </w:r>
      <w:r>
        <w:rPr>
          <w:color w:val="6D6E71"/>
          <w:sz w:val="16"/>
        </w:rPr>
        <w:t>Figura 11. Esquema de los desplazamientos entre las diferentes zonas de la ZMC y municipios fuera de la ZMC en 2006 y 2011</w:t>
      </w:r>
    </w:p>
    <w:p>
      <w:pPr>
        <w:spacing w:before="80"/>
        <w:ind w:left="1142" w:right="-10" w:firstLine="0"/>
        <w:jc w:val="left"/>
        <w:rPr>
          <w:sz w:val="16"/>
        </w:rPr>
      </w:pPr>
      <w:r>
        <w:rPr/>
        <w:br w:type="column"/>
      </w:r>
      <w:r>
        <w:rPr>
          <w:color w:val="6D6E71"/>
          <w:sz w:val="16"/>
        </w:rPr>
        <w:t>Fuente: elaboración propia a partir de datos de la Oficina Central de Estadística</w:t>
      </w:r>
    </w:p>
    <w:p>
      <w:pPr>
        <w:pStyle w:val="BodyText"/>
        <w:spacing w:before="5"/>
        <w:rPr>
          <w:sz w:val="22"/>
        </w:rPr>
      </w:pPr>
    </w:p>
    <w:p>
      <w:pPr>
        <w:pStyle w:val="BodyText"/>
        <w:spacing w:line="249" w:lineRule="auto"/>
        <w:ind w:left="131" w:right="127" w:firstLine="170"/>
        <w:jc w:val="both"/>
      </w:pPr>
      <w:r>
        <w:rPr/>
        <w:t>También cabe mencionar los cambios en los viajes al trabajo a Cracovia de ambas zonas exteriores de la ZMC. En el periodo estudiado su número aumentó de casi un 26,6%</w:t>
      </w:r>
      <w:r>
        <w:rPr>
          <w:spacing w:val="-19"/>
        </w:rPr>
        <w:t> </w:t>
      </w:r>
      <w:r>
        <w:rPr/>
        <w:t>en</w:t>
      </w:r>
      <w:r>
        <w:rPr>
          <w:spacing w:val="-19"/>
        </w:rPr>
        <w:t> </w:t>
      </w:r>
      <w:r>
        <w:rPr/>
        <w:t>el</w:t>
      </w:r>
      <w:r>
        <w:rPr>
          <w:spacing w:val="-19"/>
        </w:rPr>
        <w:t> </w:t>
      </w:r>
      <w:r>
        <w:rPr/>
        <w:t>caso</w:t>
      </w:r>
      <w:r>
        <w:rPr>
          <w:spacing w:val="-19"/>
        </w:rPr>
        <w:t> </w:t>
      </w:r>
      <w:r>
        <w:rPr/>
        <w:t>de</w:t>
      </w:r>
      <w:r>
        <w:rPr>
          <w:spacing w:val="-19"/>
        </w:rPr>
        <w:t> </w:t>
      </w:r>
      <w:r>
        <w:rPr/>
        <w:t>la</w:t>
      </w:r>
      <w:r>
        <w:rPr>
          <w:spacing w:val="-19"/>
        </w:rPr>
        <w:t> </w:t>
      </w:r>
      <w:r>
        <w:rPr/>
        <w:t>zona</w:t>
      </w:r>
      <w:r>
        <w:rPr>
          <w:spacing w:val="-19"/>
        </w:rPr>
        <w:t> </w:t>
      </w:r>
      <w:r>
        <w:rPr/>
        <w:t>suburbana</w:t>
      </w:r>
      <w:r>
        <w:rPr>
          <w:spacing w:val="-19"/>
        </w:rPr>
        <w:t> </w:t>
      </w:r>
      <w:r>
        <w:rPr/>
        <w:t>y</w:t>
      </w:r>
      <w:r>
        <w:rPr>
          <w:spacing w:val="-19"/>
        </w:rPr>
        <w:t> </w:t>
      </w:r>
      <w:r>
        <w:rPr/>
        <w:t>de</w:t>
      </w:r>
      <w:r>
        <w:rPr>
          <w:spacing w:val="-19"/>
        </w:rPr>
        <w:t> </w:t>
      </w:r>
      <w:r>
        <w:rPr/>
        <w:t>un</w:t>
      </w:r>
      <w:r>
        <w:rPr>
          <w:spacing w:val="-19"/>
        </w:rPr>
        <w:t> </w:t>
      </w:r>
      <w:r>
        <w:rPr/>
        <w:t>32,2%</w:t>
      </w:r>
      <w:r>
        <w:rPr>
          <w:spacing w:val="-19"/>
        </w:rPr>
        <w:t> </w:t>
      </w:r>
      <w:r>
        <w:rPr/>
        <w:t>en</w:t>
      </w:r>
      <w:r>
        <w:rPr>
          <w:spacing w:val="-19"/>
        </w:rPr>
        <w:t> </w:t>
      </w:r>
      <w:r>
        <w:rPr/>
        <w:t>la</w:t>
      </w:r>
      <w:r>
        <w:rPr>
          <w:spacing w:val="-19"/>
        </w:rPr>
        <w:t> </w:t>
      </w:r>
      <w:r>
        <w:rPr/>
        <w:t>zona</w:t>
      </w:r>
      <w:r>
        <w:rPr>
          <w:spacing w:val="-19"/>
        </w:rPr>
        <w:t> </w:t>
      </w:r>
      <w:r>
        <w:rPr/>
        <w:t>de</w:t>
      </w:r>
      <w:r>
        <w:rPr>
          <w:spacing w:val="-19"/>
        </w:rPr>
        <w:t> </w:t>
      </w:r>
      <w:r>
        <w:rPr/>
        <w:t>los</w:t>
      </w:r>
      <w:r>
        <w:rPr>
          <w:spacing w:val="-19"/>
        </w:rPr>
        <w:t> </w:t>
      </w:r>
      <w:r>
        <w:rPr/>
        <w:t>desplazamientos. La</w:t>
      </w:r>
      <w:r>
        <w:rPr>
          <w:spacing w:val="-7"/>
        </w:rPr>
        <w:t> </w:t>
      </w:r>
      <w:r>
        <w:rPr/>
        <w:t>comparación</w:t>
      </w:r>
      <w:r>
        <w:rPr>
          <w:spacing w:val="-7"/>
        </w:rPr>
        <w:t> </w:t>
      </w:r>
      <w:r>
        <w:rPr/>
        <w:t>de</w:t>
      </w:r>
      <w:r>
        <w:rPr>
          <w:spacing w:val="-7"/>
        </w:rPr>
        <w:t> </w:t>
      </w:r>
      <w:r>
        <w:rPr/>
        <w:t>estos</w:t>
      </w:r>
      <w:r>
        <w:rPr>
          <w:spacing w:val="-7"/>
        </w:rPr>
        <w:t> </w:t>
      </w:r>
      <w:r>
        <w:rPr/>
        <w:t>valores</w:t>
      </w:r>
      <w:r>
        <w:rPr>
          <w:spacing w:val="-7"/>
        </w:rPr>
        <w:t> </w:t>
      </w:r>
      <w:r>
        <w:rPr/>
        <w:t>con</w:t>
      </w:r>
      <w:r>
        <w:rPr>
          <w:spacing w:val="-7"/>
        </w:rPr>
        <w:t> </w:t>
      </w:r>
      <w:r>
        <w:rPr/>
        <w:t>el</w:t>
      </w:r>
      <w:r>
        <w:rPr>
          <w:spacing w:val="-7"/>
        </w:rPr>
        <w:t> </w:t>
      </w:r>
      <w:r>
        <w:rPr/>
        <w:t>índice</w:t>
      </w:r>
      <w:r>
        <w:rPr>
          <w:spacing w:val="-7"/>
        </w:rPr>
        <w:t> </w:t>
      </w:r>
      <w:r>
        <w:rPr/>
        <w:t>del</w:t>
      </w:r>
      <w:r>
        <w:rPr>
          <w:spacing w:val="-7"/>
        </w:rPr>
        <w:t> </w:t>
      </w:r>
      <w:r>
        <w:rPr/>
        <w:t>crecimiento</w:t>
      </w:r>
      <w:r>
        <w:rPr>
          <w:spacing w:val="-7"/>
        </w:rPr>
        <w:t> </w:t>
      </w:r>
      <w:r>
        <w:rPr/>
        <w:t>total</w:t>
      </w:r>
      <w:r>
        <w:rPr>
          <w:spacing w:val="-7"/>
        </w:rPr>
        <w:t> </w:t>
      </w:r>
      <w:r>
        <w:rPr/>
        <w:t>de</w:t>
      </w:r>
      <w:r>
        <w:rPr>
          <w:spacing w:val="-7"/>
        </w:rPr>
        <w:t> </w:t>
      </w:r>
      <w:r>
        <w:rPr/>
        <w:t>desplazamientos al trabajo de estas zonas muestra que en el periodo analizado los viajes a Cracovia en ambos casos se caracterizaban por un crecimiento más lento. Esto puede señalar una disminución de la demanda de mano de obra por parte de Cracovia, en comparación con el crecimiento más rápido del número de desplazamientos al trabajo dentro de la zona suburbana y el mayor ritmo de crecimiento de salidas al trabajo de la zona de los desplazamientos a la zona suburbana y hacia fuera de la ZMC (Fig.</w:t>
      </w:r>
      <w:r>
        <w:rPr>
          <w:spacing w:val="-26"/>
        </w:rPr>
        <w:t> </w:t>
      </w:r>
      <w:r>
        <w:rPr/>
        <w:t>11).</w:t>
      </w:r>
    </w:p>
    <w:p>
      <w:pPr>
        <w:pStyle w:val="BodyText"/>
        <w:spacing w:before="11"/>
      </w:pPr>
    </w:p>
    <w:p>
      <w:pPr>
        <w:pStyle w:val="BodyText"/>
        <w:spacing w:line="249" w:lineRule="auto"/>
        <w:ind w:left="131" w:right="129" w:firstLine="170"/>
        <w:jc w:val="both"/>
      </w:pPr>
      <w:r>
        <w:rPr/>
        <w:t>Los cambios señalados anteriormente indican la reducción de la importancia de Cracovia en el crecimiento de los desplazamientos al trabajo, pero no cambian la tendencia dominante en la que la ciudad permanece como el principal destino de la movilidad cotidiana de los trabajadores que viven en las zonas exteriores de la ZMC.  El mayor flujo de viajes a Cracovia, tanto en 2006 como en 2011, provenía de la parte rural</w:t>
      </w:r>
      <w:r>
        <w:rPr>
          <w:spacing w:val="-13"/>
        </w:rPr>
        <w:t> </w:t>
      </w:r>
      <w:r>
        <w:rPr/>
        <w:t>del</w:t>
      </w:r>
      <w:r>
        <w:rPr>
          <w:spacing w:val="-13"/>
        </w:rPr>
        <w:t> </w:t>
      </w:r>
      <w:r>
        <w:rPr/>
        <w:t>municipio</w:t>
      </w:r>
      <w:r>
        <w:rPr>
          <w:spacing w:val="-13"/>
        </w:rPr>
        <w:t> </w:t>
      </w:r>
      <w:r>
        <w:rPr/>
        <w:t>de</w:t>
      </w:r>
      <w:r>
        <w:rPr>
          <w:spacing w:val="-13"/>
        </w:rPr>
        <w:t> </w:t>
      </w:r>
      <w:r>
        <w:rPr/>
        <w:t>Wieliczka</w:t>
      </w:r>
      <w:r>
        <w:rPr>
          <w:spacing w:val="-13"/>
        </w:rPr>
        <w:t> </w:t>
      </w:r>
      <w:r>
        <w:rPr/>
        <w:t>(Tab.</w:t>
      </w:r>
      <w:r>
        <w:rPr>
          <w:spacing w:val="-13"/>
        </w:rPr>
        <w:t> </w:t>
      </w:r>
      <w:r>
        <w:rPr/>
        <w:t>3).</w:t>
      </w:r>
      <w:r>
        <w:rPr>
          <w:spacing w:val="-13"/>
        </w:rPr>
        <w:t> </w:t>
      </w:r>
      <w:r>
        <w:rPr/>
        <w:t>El</w:t>
      </w:r>
      <w:r>
        <w:rPr>
          <w:spacing w:val="-13"/>
        </w:rPr>
        <w:t> </w:t>
      </w:r>
      <w:r>
        <w:rPr/>
        <w:t>municipio</w:t>
      </w:r>
      <w:r>
        <w:rPr>
          <w:spacing w:val="-13"/>
        </w:rPr>
        <w:t> </w:t>
      </w:r>
      <w:r>
        <w:rPr/>
        <w:t>se</w:t>
      </w:r>
      <w:r>
        <w:rPr>
          <w:spacing w:val="-13"/>
        </w:rPr>
        <w:t> </w:t>
      </w:r>
      <w:r>
        <w:rPr/>
        <w:t>sitúa</w:t>
      </w:r>
      <w:r>
        <w:rPr>
          <w:spacing w:val="-13"/>
        </w:rPr>
        <w:t> </w:t>
      </w:r>
      <w:r>
        <w:rPr/>
        <w:t>en</w:t>
      </w:r>
      <w:r>
        <w:rPr>
          <w:spacing w:val="-13"/>
        </w:rPr>
        <w:t> </w:t>
      </w:r>
      <w:r>
        <w:rPr/>
        <w:t>las</w:t>
      </w:r>
      <w:r>
        <w:rPr>
          <w:spacing w:val="-13"/>
        </w:rPr>
        <w:t> </w:t>
      </w:r>
      <w:r>
        <w:rPr/>
        <w:t>inmediaciones</w:t>
      </w:r>
      <w:r>
        <w:rPr>
          <w:spacing w:val="-13"/>
        </w:rPr>
        <w:t> </w:t>
      </w:r>
      <w:r>
        <w:rPr/>
        <w:t>de</w:t>
      </w:r>
      <w:r>
        <w:rPr>
          <w:spacing w:val="-13"/>
        </w:rPr>
        <w:t> </w:t>
      </w:r>
      <w:r>
        <w:rPr/>
        <w:t>la ciudad y en los últimos años se caracterizaba por una alta actividad de construcción y, a</w:t>
      </w:r>
      <w:r>
        <w:rPr>
          <w:spacing w:val="-5"/>
        </w:rPr>
        <w:t> </w:t>
      </w:r>
      <w:r>
        <w:rPr/>
        <w:t>consecuencia,</w:t>
      </w:r>
      <w:r>
        <w:rPr>
          <w:spacing w:val="-5"/>
        </w:rPr>
        <w:t> </w:t>
      </w:r>
      <w:r>
        <w:rPr/>
        <w:t>por</w:t>
      </w:r>
      <w:r>
        <w:rPr>
          <w:spacing w:val="-5"/>
        </w:rPr>
        <w:t> </w:t>
      </w:r>
      <w:r>
        <w:rPr/>
        <w:t>un</w:t>
      </w:r>
      <w:r>
        <w:rPr>
          <w:spacing w:val="-5"/>
        </w:rPr>
        <w:t> </w:t>
      </w:r>
      <w:r>
        <w:rPr/>
        <w:t>rápido</w:t>
      </w:r>
      <w:r>
        <w:rPr>
          <w:spacing w:val="-5"/>
        </w:rPr>
        <w:t> </w:t>
      </w:r>
      <w:r>
        <w:rPr/>
        <w:t>proceso</w:t>
      </w:r>
      <w:r>
        <w:rPr>
          <w:spacing w:val="-5"/>
        </w:rPr>
        <w:t> </w:t>
      </w:r>
      <w:r>
        <w:rPr/>
        <w:t>de</w:t>
      </w:r>
      <w:r>
        <w:rPr>
          <w:spacing w:val="-5"/>
        </w:rPr>
        <w:t> </w:t>
      </w:r>
      <w:r>
        <w:rPr/>
        <w:t>suburbanización</w:t>
      </w:r>
      <w:r>
        <w:rPr>
          <w:spacing w:val="-5"/>
        </w:rPr>
        <w:t> </w:t>
      </w:r>
      <w:r>
        <w:rPr/>
        <w:t>residencial</w:t>
      </w:r>
      <w:r>
        <w:rPr>
          <w:spacing w:val="-5"/>
        </w:rPr>
        <w:t> </w:t>
      </w:r>
      <w:r>
        <w:rPr/>
        <w:t>(Wójtowicz</w:t>
      </w:r>
      <w:r>
        <w:rPr>
          <w:spacing w:val="-5"/>
        </w:rPr>
        <w:t> </w:t>
      </w:r>
      <w:r>
        <w:rPr/>
        <w:t>et</w:t>
      </w:r>
      <w:r>
        <w:rPr>
          <w:spacing w:val="-5"/>
        </w:rPr>
        <w:t> </w:t>
      </w:r>
      <w:r>
        <w:rPr>
          <w:spacing w:val="-2"/>
        </w:rPr>
        <w:t>al, 2013).</w:t>
      </w:r>
    </w:p>
    <w:p>
      <w:pPr>
        <w:pStyle w:val="BodyText"/>
        <w:spacing w:before="11"/>
      </w:pPr>
    </w:p>
    <w:p>
      <w:pPr>
        <w:pStyle w:val="BodyText"/>
        <w:spacing w:line="249" w:lineRule="auto"/>
        <w:ind w:left="131" w:right="127" w:firstLine="170"/>
        <w:jc w:val="both"/>
      </w:pPr>
      <w:r>
        <w:rPr/>
        <w:t>El segundo municipio con más salidas al trabajo a Cracovia en 2006 fue Zabierzów. En el caso de este municipio el número de personas que viajaban al trabajo a</w:t>
      </w:r>
      <w:r>
        <w:rPr>
          <w:spacing w:val="-32"/>
        </w:rPr>
        <w:t> </w:t>
      </w:r>
      <w:r>
        <w:rPr/>
        <w:t>Cracovia en el periodo estudiado aumentó de más de 1,9 a casi 2,2 mil personas, pero lo que  es aún más interesante es el crecimiento mucho más dinámico del número de llegadas al trabajo al municipio de habitantes de Cracovia (de más de 1,2 a más de 2,4 mil personas). Esto llevó a una situación interesante, porque en 2011 dicho municipio   tuvo el saldo de desplazamientos al trabajo positivo con Cracovia, lo que no ocurrió   en ningún otro municipio de la ZMC (Tab. 3). Zabierzów pertenece a los municipios que se caracterizan por una suburbanización residencial muy rápida, pero también    su localización ventajosa cerca de la confluencia de la carretera de circunvalación de Cracovia con la autopista A4 en la dirección de Alta Silesia ha hecho que es también una área de rápida suburbanización industrial y de servicios. Un factor especialmente importante que atrae a trabajadores de Cracovia es el llamado Kraków Business Park, localizado en Zabierzów, que emplea casi 6 mil personas en el sector de servicios a empresas, así como el aeropuerto en Balice (Trzepacz, Więcław-Michniewska, 2007; Kurek, Rachwał, Wójtowicz,</w:t>
      </w:r>
      <w:r>
        <w:rPr>
          <w:spacing w:val="6"/>
        </w:rPr>
        <w:t> </w:t>
      </w:r>
      <w:r>
        <w:rPr/>
        <w:t>2014).</w:t>
      </w:r>
    </w:p>
    <w:p>
      <w:pPr>
        <w:pStyle w:val="BodyText"/>
        <w:spacing w:before="11"/>
      </w:pPr>
    </w:p>
    <w:p>
      <w:pPr>
        <w:pStyle w:val="BodyText"/>
        <w:spacing w:line="249" w:lineRule="auto"/>
        <w:ind w:left="131" w:right="127" w:firstLine="170"/>
        <w:jc w:val="both"/>
      </w:pPr>
      <w:r>
        <w:rPr/>
        <w:t>Aparte</w:t>
      </w:r>
      <w:r>
        <w:rPr>
          <w:spacing w:val="-11"/>
        </w:rPr>
        <w:t> </w:t>
      </w:r>
      <w:r>
        <w:rPr/>
        <w:t>de</w:t>
      </w:r>
      <w:r>
        <w:rPr>
          <w:spacing w:val="-11"/>
        </w:rPr>
        <w:t> </w:t>
      </w:r>
      <w:r>
        <w:rPr/>
        <w:t>los</w:t>
      </w:r>
      <w:r>
        <w:rPr>
          <w:spacing w:val="-11"/>
        </w:rPr>
        <w:t> </w:t>
      </w:r>
      <w:r>
        <w:rPr/>
        <w:t>dos</w:t>
      </w:r>
      <w:r>
        <w:rPr>
          <w:spacing w:val="-11"/>
        </w:rPr>
        <w:t> </w:t>
      </w:r>
      <w:r>
        <w:rPr/>
        <w:t>casos</w:t>
      </w:r>
      <w:r>
        <w:rPr>
          <w:spacing w:val="-11"/>
        </w:rPr>
        <w:t> </w:t>
      </w:r>
      <w:r>
        <w:rPr/>
        <w:t>ya</w:t>
      </w:r>
      <w:r>
        <w:rPr>
          <w:spacing w:val="-11"/>
        </w:rPr>
        <w:t> </w:t>
      </w:r>
      <w:r>
        <w:rPr/>
        <w:t>presentados</w:t>
      </w:r>
      <w:r>
        <w:rPr>
          <w:spacing w:val="-11"/>
        </w:rPr>
        <w:t> </w:t>
      </w:r>
      <w:r>
        <w:rPr/>
        <w:t>de</w:t>
      </w:r>
      <w:r>
        <w:rPr>
          <w:spacing w:val="-11"/>
        </w:rPr>
        <w:t> </w:t>
      </w:r>
      <w:r>
        <w:rPr/>
        <w:t>municipios</w:t>
      </w:r>
      <w:r>
        <w:rPr>
          <w:spacing w:val="-11"/>
        </w:rPr>
        <w:t> </w:t>
      </w:r>
      <w:r>
        <w:rPr/>
        <w:t>situados</w:t>
      </w:r>
      <w:r>
        <w:rPr>
          <w:spacing w:val="-11"/>
        </w:rPr>
        <w:t> </w:t>
      </w:r>
      <w:r>
        <w:rPr/>
        <w:t>en</w:t>
      </w:r>
      <w:r>
        <w:rPr>
          <w:spacing w:val="-11"/>
        </w:rPr>
        <w:t> </w:t>
      </w:r>
      <w:r>
        <w:rPr/>
        <w:t>la</w:t>
      </w:r>
      <w:r>
        <w:rPr>
          <w:spacing w:val="-11"/>
        </w:rPr>
        <w:t> </w:t>
      </w:r>
      <w:r>
        <w:rPr/>
        <w:t>zona</w:t>
      </w:r>
      <w:r>
        <w:rPr>
          <w:spacing w:val="-11"/>
        </w:rPr>
        <w:t> </w:t>
      </w:r>
      <w:r>
        <w:rPr/>
        <w:t>suburbana, entre  las  demás  direcciones  que  generan  el  mayor  número  de  </w:t>
      </w:r>
      <w:r>
        <w:rPr>
          <w:spacing w:val="34"/>
        </w:rPr>
        <w:t> </w:t>
      </w:r>
      <w:r>
        <w:rPr/>
        <w:t>desplazamientos</w:t>
      </w:r>
    </w:p>
    <w:p>
      <w:pPr>
        <w:spacing w:after="0" w:line="249" w:lineRule="auto"/>
        <w:jc w:val="both"/>
        <w:sectPr>
          <w:type w:val="continuous"/>
          <w:pgSz w:w="18830" w:h="12760" w:orient="landscape"/>
          <w:pgMar w:top="1420" w:bottom="280" w:left="720" w:right="720"/>
          <w:cols w:num="2" w:equalWidth="0">
            <w:col w:w="7843" w:space="1568"/>
            <w:col w:w="7979"/>
          </w:cols>
        </w:sectPr>
      </w:pPr>
    </w:p>
    <w:p>
      <w:pPr>
        <w:pStyle w:val="BodyText"/>
        <w:spacing w:before="6"/>
        <w:rPr>
          <w:sz w:val="23"/>
        </w:rPr>
      </w:pPr>
    </w:p>
    <w:p>
      <w:pPr>
        <w:spacing w:after="0"/>
        <w:rPr>
          <w:sz w:val="23"/>
        </w:rPr>
        <w:sectPr>
          <w:footerReference w:type="default" r:id="rId362"/>
          <w:pgSz w:w="18830" w:h="12760" w:orient="landscape"/>
          <w:pgMar w:footer="1036" w:header="522" w:top="820" w:bottom="1220" w:left="720" w:right="720"/>
        </w:sectPr>
      </w:pPr>
    </w:p>
    <w:p>
      <w:pPr>
        <w:pStyle w:val="BodyText"/>
        <w:spacing w:line="249" w:lineRule="auto" w:before="76"/>
        <w:ind w:left="131"/>
        <w:jc w:val="both"/>
      </w:pPr>
      <w:r>
        <w:rPr/>
        <w:t>al trabajo destacan otros municipios ubicados en esta zona que tienen una fuerte relación</w:t>
      </w:r>
      <w:r>
        <w:rPr>
          <w:spacing w:val="-4"/>
        </w:rPr>
        <w:t> </w:t>
      </w:r>
      <w:r>
        <w:rPr/>
        <w:t>con</w:t>
      </w:r>
      <w:r>
        <w:rPr>
          <w:spacing w:val="-4"/>
        </w:rPr>
        <w:t> </w:t>
      </w:r>
      <w:r>
        <w:rPr/>
        <w:t>Cracovia</w:t>
      </w:r>
      <w:r>
        <w:rPr>
          <w:spacing w:val="-4"/>
        </w:rPr>
        <w:t> </w:t>
      </w:r>
      <w:r>
        <w:rPr/>
        <w:t>en</w:t>
      </w:r>
      <w:r>
        <w:rPr>
          <w:spacing w:val="-4"/>
        </w:rPr>
        <w:t> </w:t>
      </w:r>
      <w:r>
        <w:rPr/>
        <w:t>cuanto</w:t>
      </w:r>
      <w:r>
        <w:rPr>
          <w:spacing w:val="-4"/>
        </w:rPr>
        <w:t> </w:t>
      </w:r>
      <w:r>
        <w:rPr/>
        <w:t>a</w:t>
      </w:r>
      <w:r>
        <w:rPr>
          <w:spacing w:val="-4"/>
        </w:rPr>
        <w:t> </w:t>
      </w:r>
      <w:r>
        <w:rPr/>
        <w:t>los</w:t>
      </w:r>
      <w:r>
        <w:rPr>
          <w:spacing w:val="-4"/>
        </w:rPr>
        <w:t> </w:t>
      </w:r>
      <w:r>
        <w:rPr/>
        <w:t>desplazamientos</w:t>
      </w:r>
      <w:r>
        <w:rPr>
          <w:spacing w:val="-4"/>
        </w:rPr>
        <w:t> </w:t>
      </w:r>
      <w:r>
        <w:rPr/>
        <w:t>al</w:t>
      </w:r>
      <w:r>
        <w:rPr>
          <w:spacing w:val="-4"/>
        </w:rPr>
        <w:t> </w:t>
      </w:r>
      <w:r>
        <w:rPr/>
        <w:t>trabajo.</w:t>
      </w:r>
      <w:r>
        <w:rPr>
          <w:spacing w:val="-4"/>
        </w:rPr>
        <w:t> </w:t>
      </w:r>
      <w:r>
        <w:rPr/>
        <w:t>Los</w:t>
      </w:r>
      <w:r>
        <w:rPr>
          <w:spacing w:val="-4"/>
        </w:rPr>
        <w:t> </w:t>
      </w:r>
      <w:r>
        <w:rPr/>
        <w:t>ejemplos</w:t>
      </w:r>
      <w:r>
        <w:rPr>
          <w:spacing w:val="-4"/>
        </w:rPr>
        <w:t> </w:t>
      </w:r>
      <w:r>
        <w:rPr/>
        <w:t>son</w:t>
      </w:r>
      <w:r>
        <w:rPr>
          <w:spacing w:val="-4"/>
        </w:rPr>
        <w:t> </w:t>
      </w:r>
      <w:r>
        <w:rPr/>
        <w:t>los municipios Zielonki, Liszki, ciudad de Wieliczka y ciudad de Skawina, donde las</w:t>
      </w:r>
      <w:r>
        <w:rPr>
          <w:spacing w:val="-23"/>
        </w:rPr>
        <w:t> </w:t>
      </w:r>
      <w:r>
        <w:rPr/>
        <w:t>salidas a esta ciudad aumentaron de un 39,6%, 10,5%, 23,3% y 25,8%, respectivamente</w:t>
      </w:r>
      <w:r>
        <w:rPr>
          <w:spacing w:val="-29"/>
        </w:rPr>
        <w:t> </w:t>
      </w:r>
      <w:r>
        <w:rPr/>
        <w:t>(Tab. 3). En el caso de los municipios mencionados, y sobre todo los dos primeros, rurales, el aumento observado de desplazamientos es sobre todo el resultado de la creciente suburbanización residencial (Kurek, Gałka, Wójtowicz,</w:t>
      </w:r>
      <w:r>
        <w:rPr>
          <w:spacing w:val="1"/>
        </w:rPr>
        <w:t> </w:t>
      </w:r>
      <w:r>
        <w:rPr/>
        <w:t>2014).</w:t>
      </w:r>
    </w:p>
    <w:p>
      <w:pPr>
        <w:pStyle w:val="BodyText"/>
        <w:spacing w:before="2"/>
        <w:rPr>
          <w:sz w:val="24"/>
        </w:rPr>
      </w:pPr>
    </w:p>
    <w:p>
      <w:pPr>
        <w:spacing w:before="0"/>
        <w:ind w:left="202" w:right="72" w:firstLine="0"/>
        <w:jc w:val="center"/>
        <w:rPr>
          <w:sz w:val="16"/>
        </w:rPr>
      </w:pPr>
      <w:r>
        <w:rPr/>
        <w:pict>
          <v:group style="position:absolute;margin-left:42.550701pt;margin-top:47.938492pt;width:22.35pt;height:42.9pt;mso-position-horizontal-relative:page;mso-position-vertical-relative:paragraph;z-index:-638752" coordorigin="851,959" coordsize="447,858">
            <v:shape style="position:absolute;left:851;top:959;width:447;height:307" type="#_x0000_t75" stroked="false">
              <v:imagedata r:id="rId363" o:title=""/>
            </v:shape>
            <v:shape style="position:absolute;left:851;top:1256;width:447;height:283" type="#_x0000_t75" stroked="false">
              <v:imagedata r:id="rId364" o:title=""/>
            </v:shape>
            <v:shape style="position:absolute;left:851;top:1529;width:447;height:288" type="#_x0000_t75" stroked="false">
              <v:imagedata r:id="rId365" o:title=""/>
            </v:shape>
            <w10:wrap type="none"/>
          </v:group>
        </w:pict>
      </w:r>
      <w:r>
        <w:rPr/>
        <w:pict>
          <v:group style="position:absolute;margin-left:42.550701pt;margin-top:116.888496pt;width:22.35pt;height:46.6pt;mso-position-horizontal-relative:page;mso-position-vertical-relative:paragraph;z-index:-638728" coordorigin="851,2338" coordsize="447,932">
            <v:shape style="position:absolute;left:851;top:2338;width:447;height:407" type="#_x0000_t75" stroked="false">
              <v:imagedata r:id="rId366" o:title=""/>
            </v:shape>
            <v:shape style="position:absolute;left:851;top:2735;width:447;height:264" type="#_x0000_t75" stroked="false">
              <v:imagedata r:id="rId367" o:title=""/>
            </v:shape>
            <v:shape style="position:absolute;left:851;top:2989;width:447;height:281" type="#_x0000_t75" stroked="false">
              <v:imagedata r:id="rId368" o:title=""/>
            </v:shape>
            <w10:wrap type="none"/>
          </v:group>
        </w:pict>
      </w:r>
      <w:r>
        <w:rPr>
          <w:color w:val="6D6E71"/>
          <w:sz w:val="16"/>
        </w:rPr>
        <w:t>Tab.3. Las direcciones principales de los desplazamientos dentro de la ZMC en 2006 y  2011.</w:t>
      </w:r>
    </w:p>
    <w:p>
      <w:pPr>
        <w:pStyle w:val="BodyText"/>
        <w:spacing w:before="10"/>
        <w:rPr>
          <w:sz w:val="8"/>
        </w:rPr>
      </w:pPr>
    </w:p>
    <w:tbl>
      <w:tblPr>
        <w:tblW w:w="0" w:type="auto"/>
        <w:jc w:val="left"/>
        <w:tblInd w:w="136"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437"/>
        <w:gridCol w:w="2662"/>
        <w:gridCol w:w="717"/>
        <w:gridCol w:w="3111"/>
        <w:gridCol w:w="712"/>
      </w:tblGrid>
      <w:tr>
        <w:trPr>
          <w:trHeight w:val="677" w:hRule="exact"/>
        </w:trPr>
        <w:tc>
          <w:tcPr>
            <w:tcW w:w="437" w:type="dxa"/>
            <w:tcBorders>
              <w:top w:val="nil"/>
              <w:left w:val="nil"/>
              <w:bottom w:val="single" w:sz="4" w:space="0" w:color="FFFFFF"/>
              <w:right w:val="dotted" w:sz="4" w:space="0" w:color="FFFFFF"/>
            </w:tcBorders>
          </w:tcPr>
          <w:p>
            <w:pPr/>
          </w:p>
        </w:tc>
        <w:tc>
          <w:tcPr>
            <w:tcW w:w="2662" w:type="dxa"/>
            <w:tcBorders>
              <w:top w:val="nil"/>
              <w:left w:val="dotted" w:sz="4" w:space="0" w:color="FFFFFF"/>
              <w:bottom w:val="single" w:sz="4" w:space="0" w:color="FFFFFF"/>
              <w:right w:val="dotted" w:sz="4" w:space="0" w:color="FFFFFF"/>
            </w:tcBorders>
            <w:shd w:val="clear" w:color="auto" w:fill="929292"/>
          </w:tcPr>
          <w:p>
            <w:pPr>
              <w:pStyle w:val="TableParagraph"/>
              <w:spacing w:line="261" w:lineRule="auto" w:before="143"/>
              <w:ind w:left="103" w:right="670"/>
              <w:rPr>
                <w:sz w:val="16"/>
              </w:rPr>
            </w:pPr>
            <w:r>
              <w:rPr>
                <w:w w:val="105"/>
                <w:sz w:val="16"/>
              </w:rPr>
              <w:t>Municipio de residencia -</w:t>
            </w:r>
            <w:r>
              <w:rPr>
                <w:w w:val="116"/>
                <w:sz w:val="16"/>
              </w:rPr>
              <w:t> </w:t>
            </w:r>
            <w:r>
              <w:rPr>
                <w:w w:val="105"/>
                <w:sz w:val="16"/>
              </w:rPr>
              <w:t>municipio de trabajo</w:t>
            </w:r>
          </w:p>
        </w:tc>
        <w:tc>
          <w:tcPr>
            <w:tcW w:w="717" w:type="dxa"/>
            <w:tcBorders>
              <w:top w:val="nil"/>
              <w:left w:val="dotted" w:sz="4" w:space="0" w:color="FFFFFF"/>
              <w:right w:val="dotted" w:sz="4" w:space="0" w:color="FFFFFF"/>
            </w:tcBorders>
          </w:tcPr>
          <w:p>
            <w:pPr>
              <w:pStyle w:val="TableParagraph"/>
              <w:spacing w:before="1"/>
              <w:rPr>
                <w:sz w:val="21"/>
              </w:rPr>
            </w:pPr>
          </w:p>
          <w:p>
            <w:pPr>
              <w:pStyle w:val="TableParagraph"/>
              <w:ind w:left="84" w:right="227"/>
              <w:jc w:val="center"/>
              <w:rPr>
                <w:sz w:val="16"/>
              </w:rPr>
            </w:pPr>
            <w:r>
              <w:rPr>
                <w:sz w:val="16"/>
              </w:rPr>
              <w:t>2006</w:t>
            </w:r>
          </w:p>
        </w:tc>
        <w:tc>
          <w:tcPr>
            <w:tcW w:w="3111" w:type="dxa"/>
            <w:tcBorders>
              <w:top w:val="nil"/>
              <w:left w:val="dotted" w:sz="4" w:space="0" w:color="FFFFFF"/>
              <w:bottom w:val="single" w:sz="4" w:space="0" w:color="FFFFFF"/>
              <w:right w:val="dotted" w:sz="4" w:space="0" w:color="FFFFFF"/>
            </w:tcBorders>
            <w:shd w:val="clear" w:color="auto" w:fill="929292"/>
          </w:tcPr>
          <w:p>
            <w:pPr>
              <w:pStyle w:val="TableParagraph"/>
              <w:spacing w:line="261" w:lineRule="auto" w:before="143"/>
              <w:ind w:left="102" w:right="130"/>
              <w:rPr>
                <w:sz w:val="16"/>
              </w:rPr>
            </w:pPr>
            <w:r>
              <w:rPr>
                <w:w w:val="105"/>
                <w:sz w:val="16"/>
              </w:rPr>
              <w:t>Municipio de residencia - municipio de trabajo</w:t>
            </w:r>
          </w:p>
        </w:tc>
        <w:tc>
          <w:tcPr>
            <w:tcW w:w="712" w:type="dxa"/>
            <w:tcBorders>
              <w:top w:val="nil"/>
              <w:left w:val="dotted" w:sz="4" w:space="0" w:color="FFFFFF"/>
              <w:right w:val="nil"/>
            </w:tcBorders>
          </w:tcPr>
          <w:p>
            <w:pPr>
              <w:pStyle w:val="TableParagraph"/>
              <w:spacing w:before="1"/>
              <w:rPr>
                <w:sz w:val="21"/>
              </w:rPr>
            </w:pPr>
          </w:p>
          <w:p>
            <w:pPr>
              <w:pStyle w:val="TableParagraph"/>
              <w:ind w:left="84" w:right="227"/>
              <w:jc w:val="center"/>
              <w:rPr>
                <w:sz w:val="16"/>
              </w:rPr>
            </w:pPr>
            <w:r>
              <w:rPr>
                <w:sz w:val="16"/>
              </w:rPr>
              <w:t>2011</w:t>
            </w:r>
          </w:p>
        </w:tc>
      </w:tr>
      <w:tr>
        <w:trPr>
          <w:trHeight w:val="297" w:hRule="exact"/>
        </w:trPr>
        <w:tc>
          <w:tcPr>
            <w:tcW w:w="437" w:type="dxa"/>
            <w:tcBorders>
              <w:top w:val="single" w:sz="4" w:space="0" w:color="FFFFFF"/>
              <w:left w:val="nil"/>
              <w:bottom w:val="single" w:sz="4" w:space="0" w:color="FFFFFF"/>
              <w:right w:val="dotted" w:sz="4" w:space="0" w:color="FFFFFF"/>
            </w:tcBorders>
          </w:tcPr>
          <w:p>
            <w:pPr>
              <w:pStyle w:val="TableParagraph"/>
              <w:spacing w:before="50"/>
              <w:ind w:left="102"/>
              <w:rPr>
                <w:sz w:val="16"/>
              </w:rPr>
            </w:pPr>
            <w:r>
              <w:rPr>
                <w:w w:val="99"/>
                <w:sz w:val="16"/>
              </w:rPr>
              <w:t>1</w:t>
            </w:r>
          </w:p>
        </w:tc>
        <w:tc>
          <w:tcPr>
            <w:tcW w:w="2662" w:type="dxa"/>
            <w:tcBorders>
              <w:top w:val="single" w:sz="4" w:space="0" w:color="FFFFFF"/>
              <w:left w:val="dotted" w:sz="4" w:space="0" w:color="FFFFFF"/>
              <w:right w:val="dotted" w:sz="4" w:space="0" w:color="929292"/>
            </w:tcBorders>
          </w:tcPr>
          <w:p>
            <w:pPr>
              <w:pStyle w:val="TableParagraph"/>
              <w:spacing w:before="50"/>
              <w:ind w:left="102"/>
              <w:rPr>
                <w:sz w:val="16"/>
              </w:rPr>
            </w:pPr>
            <w:r>
              <w:rPr>
                <w:sz w:val="16"/>
              </w:rPr>
              <w:t>Wieliczka (rural) – Cracovia</w:t>
            </w:r>
          </w:p>
        </w:tc>
        <w:tc>
          <w:tcPr>
            <w:tcW w:w="717" w:type="dxa"/>
            <w:tcBorders>
              <w:left w:val="dotted" w:sz="4" w:space="0" w:color="929292"/>
              <w:right w:val="dotted" w:sz="4" w:space="0" w:color="929292"/>
            </w:tcBorders>
          </w:tcPr>
          <w:p>
            <w:pPr>
              <w:pStyle w:val="TableParagraph"/>
              <w:spacing w:before="50"/>
              <w:ind w:left="84" w:right="227"/>
              <w:jc w:val="center"/>
              <w:rPr>
                <w:sz w:val="16"/>
              </w:rPr>
            </w:pPr>
            <w:r>
              <w:rPr>
                <w:sz w:val="16"/>
              </w:rPr>
              <w:t>2602</w:t>
            </w:r>
          </w:p>
        </w:tc>
        <w:tc>
          <w:tcPr>
            <w:tcW w:w="3111" w:type="dxa"/>
            <w:tcBorders>
              <w:top w:val="single" w:sz="4" w:space="0" w:color="FFFFFF"/>
              <w:left w:val="dotted" w:sz="4" w:space="0" w:color="929292"/>
              <w:right w:val="dotted" w:sz="4" w:space="0" w:color="929292"/>
            </w:tcBorders>
          </w:tcPr>
          <w:p>
            <w:pPr>
              <w:pStyle w:val="TableParagraph"/>
              <w:spacing w:before="50"/>
              <w:ind w:left="102" w:right="130"/>
              <w:rPr>
                <w:sz w:val="16"/>
              </w:rPr>
            </w:pPr>
            <w:r>
              <w:rPr>
                <w:sz w:val="16"/>
              </w:rPr>
              <w:t>Wieliczka (rural) - Cracovia</w:t>
            </w:r>
          </w:p>
        </w:tc>
        <w:tc>
          <w:tcPr>
            <w:tcW w:w="712" w:type="dxa"/>
            <w:tcBorders>
              <w:left w:val="dotted" w:sz="4" w:space="0" w:color="929292"/>
              <w:right w:val="nil"/>
            </w:tcBorders>
          </w:tcPr>
          <w:p>
            <w:pPr>
              <w:pStyle w:val="TableParagraph"/>
              <w:spacing w:before="50"/>
              <w:ind w:left="84" w:right="227"/>
              <w:jc w:val="center"/>
              <w:rPr>
                <w:sz w:val="16"/>
              </w:rPr>
            </w:pPr>
            <w:r>
              <w:rPr>
                <w:sz w:val="16"/>
              </w:rPr>
              <w:t>3360</w:t>
            </w:r>
          </w:p>
        </w:tc>
      </w:tr>
      <w:tr>
        <w:trPr>
          <w:trHeight w:val="273" w:hRule="exact"/>
        </w:trPr>
        <w:tc>
          <w:tcPr>
            <w:tcW w:w="437" w:type="dxa"/>
            <w:tcBorders>
              <w:top w:val="single" w:sz="4" w:space="0" w:color="FFFFFF"/>
              <w:left w:val="nil"/>
              <w:bottom w:val="single" w:sz="4" w:space="0" w:color="FFFFFF"/>
              <w:right w:val="dotted" w:sz="4" w:space="0" w:color="FFFFFF"/>
            </w:tcBorders>
          </w:tcPr>
          <w:p>
            <w:pPr>
              <w:pStyle w:val="TableParagraph"/>
              <w:spacing w:before="38"/>
              <w:ind w:left="102"/>
              <w:rPr>
                <w:sz w:val="16"/>
              </w:rPr>
            </w:pPr>
            <w:r>
              <w:rPr>
                <w:w w:val="99"/>
                <w:sz w:val="16"/>
              </w:rPr>
              <w:t>2</w:t>
            </w:r>
          </w:p>
        </w:tc>
        <w:tc>
          <w:tcPr>
            <w:tcW w:w="2662" w:type="dxa"/>
            <w:tcBorders>
              <w:left w:val="dotted" w:sz="4" w:space="0" w:color="FFFFFF"/>
              <w:right w:val="dotted" w:sz="4" w:space="0" w:color="929292"/>
            </w:tcBorders>
          </w:tcPr>
          <w:p>
            <w:pPr>
              <w:pStyle w:val="TableParagraph"/>
              <w:spacing w:before="38"/>
              <w:ind w:left="102" w:right="670"/>
              <w:rPr>
                <w:sz w:val="16"/>
              </w:rPr>
            </w:pPr>
            <w:r>
              <w:rPr>
                <w:sz w:val="16"/>
              </w:rPr>
              <w:t>Zabierzów – Cracovia</w:t>
            </w:r>
          </w:p>
        </w:tc>
        <w:tc>
          <w:tcPr>
            <w:tcW w:w="717" w:type="dxa"/>
            <w:tcBorders>
              <w:left w:val="dotted" w:sz="4" w:space="0" w:color="929292"/>
              <w:right w:val="dotted" w:sz="4" w:space="0" w:color="929292"/>
            </w:tcBorders>
          </w:tcPr>
          <w:p>
            <w:pPr>
              <w:pStyle w:val="TableParagraph"/>
              <w:spacing w:before="38"/>
              <w:ind w:left="84" w:right="227"/>
              <w:jc w:val="center"/>
              <w:rPr>
                <w:sz w:val="16"/>
              </w:rPr>
            </w:pPr>
            <w:r>
              <w:rPr>
                <w:sz w:val="16"/>
              </w:rPr>
              <w:t>1953</w:t>
            </w:r>
          </w:p>
        </w:tc>
        <w:tc>
          <w:tcPr>
            <w:tcW w:w="3111" w:type="dxa"/>
            <w:tcBorders>
              <w:left w:val="dotted" w:sz="4" w:space="0" w:color="929292"/>
              <w:right w:val="dotted" w:sz="4" w:space="0" w:color="929292"/>
            </w:tcBorders>
          </w:tcPr>
          <w:p>
            <w:pPr>
              <w:pStyle w:val="TableParagraph"/>
              <w:spacing w:before="38"/>
              <w:ind w:left="102" w:right="130"/>
              <w:rPr>
                <w:sz w:val="16"/>
              </w:rPr>
            </w:pPr>
            <w:r>
              <w:rPr>
                <w:sz w:val="16"/>
              </w:rPr>
              <w:t>Cracovia - Zabierzów</w:t>
            </w:r>
          </w:p>
        </w:tc>
        <w:tc>
          <w:tcPr>
            <w:tcW w:w="712" w:type="dxa"/>
            <w:tcBorders>
              <w:left w:val="dotted" w:sz="4" w:space="0" w:color="929292"/>
              <w:right w:val="nil"/>
            </w:tcBorders>
          </w:tcPr>
          <w:p>
            <w:pPr>
              <w:pStyle w:val="TableParagraph"/>
              <w:spacing w:before="38"/>
              <w:ind w:left="84" w:right="227"/>
              <w:jc w:val="center"/>
              <w:rPr>
                <w:sz w:val="16"/>
              </w:rPr>
            </w:pPr>
            <w:r>
              <w:rPr>
                <w:sz w:val="16"/>
              </w:rPr>
              <w:t>2442</w:t>
            </w:r>
          </w:p>
        </w:tc>
      </w:tr>
      <w:tr>
        <w:trPr>
          <w:trHeight w:val="278" w:hRule="exact"/>
        </w:trPr>
        <w:tc>
          <w:tcPr>
            <w:tcW w:w="437" w:type="dxa"/>
            <w:tcBorders>
              <w:top w:val="single" w:sz="4" w:space="0" w:color="FFFFFF"/>
              <w:left w:val="nil"/>
              <w:right w:val="dotted" w:sz="4" w:space="0" w:color="FFFFFF"/>
            </w:tcBorders>
          </w:tcPr>
          <w:p>
            <w:pPr>
              <w:pStyle w:val="TableParagraph"/>
              <w:spacing w:before="41"/>
              <w:ind w:left="102"/>
              <w:rPr>
                <w:sz w:val="16"/>
              </w:rPr>
            </w:pPr>
            <w:r>
              <w:rPr>
                <w:w w:val="99"/>
                <w:sz w:val="16"/>
              </w:rPr>
              <w:t>3</w:t>
            </w:r>
          </w:p>
        </w:tc>
        <w:tc>
          <w:tcPr>
            <w:tcW w:w="2662" w:type="dxa"/>
            <w:tcBorders>
              <w:left w:val="dotted" w:sz="4" w:space="0" w:color="FFFFFF"/>
              <w:right w:val="dotted" w:sz="4" w:space="0" w:color="929292"/>
            </w:tcBorders>
          </w:tcPr>
          <w:p>
            <w:pPr>
              <w:pStyle w:val="TableParagraph"/>
              <w:spacing w:before="41"/>
              <w:ind w:left="102" w:right="670"/>
              <w:rPr>
                <w:sz w:val="16"/>
              </w:rPr>
            </w:pPr>
            <w:r>
              <w:rPr>
                <w:sz w:val="16"/>
              </w:rPr>
              <w:t>Liszki –Cracovia</w:t>
            </w:r>
          </w:p>
        </w:tc>
        <w:tc>
          <w:tcPr>
            <w:tcW w:w="717" w:type="dxa"/>
            <w:tcBorders>
              <w:left w:val="dotted" w:sz="4" w:space="0" w:color="929292"/>
              <w:right w:val="dotted" w:sz="4" w:space="0" w:color="929292"/>
            </w:tcBorders>
          </w:tcPr>
          <w:p>
            <w:pPr>
              <w:pStyle w:val="TableParagraph"/>
              <w:spacing w:before="41"/>
              <w:ind w:left="84" w:right="227"/>
              <w:jc w:val="center"/>
              <w:rPr>
                <w:sz w:val="16"/>
              </w:rPr>
            </w:pPr>
            <w:r>
              <w:rPr>
                <w:sz w:val="16"/>
              </w:rPr>
              <w:t>1796</w:t>
            </w:r>
          </w:p>
        </w:tc>
        <w:tc>
          <w:tcPr>
            <w:tcW w:w="3111" w:type="dxa"/>
            <w:tcBorders>
              <w:left w:val="dotted" w:sz="4" w:space="0" w:color="929292"/>
              <w:right w:val="dotted" w:sz="4" w:space="0" w:color="929292"/>
            </w:tcBorders>
          </w:tcPr>
          <w:p>
            <w:pPr>
              <w:pStyle w:val="TableParagraph"/>
              <w:spacing w:before="41"/>
              <w:ind w:left="102" w:right="130"/>
              <w:rPr>
                <w:sz w:val="16"/>
              </w:rPr>
            </w:pPr>
            <w:r>
              <w:rPr>
                <w:sz w:val="16"/>
              </w:rPr>
              <w:t>Zabierzów - Cracovia</w:t>
            </w:r>
          </w:p>
        </w:tc>
        <w:tc>
          <w:tcPr>
            <w:tcW w:w="712" w:type="dxa"/>
            <w:tcBorders>
              <w:left w:val="dotted" w:sz="4" w:space="0" w:color="929292"/>
              <w:right w:val="nil"/>
            </w:tcBorders>
          </w:tcPr>
          <w:p>
            <w:pPr>
              <w:pStyle w:val="TableParagraph"/>
              <w:spacing w:before="41"/>
              <w:ind w:left="84" w:right="227"/>
              <w:jc w:val="center"/>
              <w:rPr>
                <w:sz w:val="16"/>
              </w:rPr>
            </w:pPr>
            <w:r>
              <w:rPr>
                <w:sz w:val="16"/>
              </w:rPr>
              <w:t>2188</w:t>
            </w:r>
          </w:p>
        </w:tc>
      </w:tr>
      <w:tr>
        <w:trPr>
          <w:trHeight w:val="531" w:hRule="exact"/>
        </w:trPr>
        <w:tc>
          <w:tcPr>
            <w:tcW w:w="437" w:type="dxa"/>
            <w:tcBorders>
              <w:left w:val="nil"/>
              <w:bottom w:val="single" w:sz="4" w:space="0" w:color="FFFFFF"/>
              <w:right w:val="dotted" w:sz="4" w:space="0" w:color="929292"/>
            </w:tcBorders>
          </w:tcPr>
          <w:p>
            <w:pPr>
              <w:pStyle w:val="TableParagraph"/>
              <w:spacing w:before="6"/>
              <w:rPr>
                <w:sz w:val="14"/>
              </w:rPr>
            </w:pPr>
          </w:p>
          <w:p>
            <w:pPr>
              <w:pStyle w:val="TableParagraph"/>
              <w:ind w:left="102"/>
              <w:rPr>
                <w:sz w:val="16"/>
              </w:rPr>
            </w:pPr>
            <w:r>
              <w:rPr>
                <w:w w:val="99"/>
                <w:sz w:val="16"/>
              </w:rPr>
              <w:t>4</w:t>
            </w:r>
          </w:p>
        </w:tc>
        <w:tc>
          <w:tcPr>
            <w:tcW w:w="2662" w:type="dxa"/>
            <w:tcBorders>
              <w:left w:val="dotted" w:sz="4" w:space="0" w:color="929292"/>
              <w:right w:val="dotted" w:sz="4" w:space="0" w:color="929292"/>
            </w:tcBorders>
          </w:tcPr>
          <w:p>
            <w:pPr>
              <w:pStyle w:val="TableParagraph"/>
              <w:spacing w:line="261" w:lineRule="auto" w:before="67"/>
              <w:ind w:left="102"/>
              <w:rPr>
                <w:sz w:val="16"/>
              </w:rPr>
            </w:pPr>
            <w:r>
              <w:rPr>
                <w:sz w:val="16"/>
              </w:rPr>
              <w:t>Wadowice (rural) – Wadowice (ciudad)</w:t>
            </w:r>
          </w:p>
        </w:tc>
        <w:tc>
          <w:tcPr>
            <w:tcW w:w="717" w:type="dxa"/>
            <w:tcBorders>
              <w:left w:val="dotted" w:sz="4" w:space="0" w:color="929292"/>
              <w:right w:val="dotted" w:sz="4" w:space="0" w:color="929292"/>
            </w:tcBorders>
          </w:tcPr>
          <w:p>
            <w:pPr>
              <w:pStyle w:val="TableParagraph"/>
              <w:spacing w:before="6"/>
              <w:rPr>
                <w:sz w:val="14"/>
              </w:rPr>
            </w:pPr>
          </w:p>
          <w:p>
            <w:pPr>
              <w:pStyle w:val="TableParagraph"/>
              <w:ind w:left="84" w:right="227"/>
              <w:jc w:val="center"/>
              <w:rPr>
                <w:sz w:val="16"/>
              </w:rPr>
            </w:pPr>
            <w:r>
              <w:rPr>
                <w:sz w:val="16"/>
              </w:rPr>
              <w:t>1685</w:t>
            </w:r>
          </w:p>
        </w:tc>
        <w:tc>
          <w:tcPr>
            <w:tcW w:w="3111" w:type="dxa"/>
            <w:tcBorders>
              <w:left w:val="dotted" w:sz="4" w:space="0" w:color="929292"/>
              <w:right w:val="dotted" w:sz="4" w:space="0" w:color="929292"/>
            </w:tcBorders>
          </w:tcPr>
          <w:p>
            <w:pPr>
              <w:pStyle w:val="TableParagraph"/>
              <w:spacing w:before="6"/>
              <w:rPr>
                <w:sz w:val="14"/>
              </w:rPr>
            </w:pPr>
          </w:p>
          <w:p>
            <w:pPr>
              <w:pStyle w:val="TableParagraph"/>
              <w:ind w:left="102" w:right="130"/>
              <w:rPr>
                <w:sz w:val="16"/>
              </w:rPr>
            </w:pPr>
            <w:r>
              <w:rPr>
                <w:sz w:val="16"/>
              </w:rPr>
              <w:t>Wieliczka (ciudad) - Cracovia</w:t>
            </w:r>
          </w:p>
        </w:tc>
        <w:tc>
          <w:tcPr>
            <w:tcW w:w="712" w:type="dxa"/>
            <w:tcBorders>
              <w:left w:val="dotted" w:sz="4" w:space="0" w:color="929292"/>
              <w:right w:val="nil"/>
            </w:tcBorders>
          </w:tcPr>
          <w:p>
            <w:pPr>
              <w:pStyle w:val="TableParagraph"/>
              <w:spacing w:before="6"/>
              <w:rPr>
                <w:sz w:val="14"/>
              </w:rPr>
            </w:pPr>
          </w:p>
          <w:p>
            <w:pPr>
              <w:pStyle w:val="TableParagraph"/>
              <w:ind w:left="84" w:right="227"/>
              <w:jc w:val="center"/>
              <w:rPr>
                <w:sz w:val="16"/>
              </w:rPr>
            </w:pPr>
            <w:r>
              <w:rPr>
                <w:sz w:val="16"/>
              </w:rPr>
              <w:t>2019</w:t>
            </w:r>
          </w:p>
        </w:tc>
      </w:tr>
      <w:tr>
        <w:trPr>
          <w:trHeight w:val="397" w:hRule="exact"/>
        </w:trPr>
        <w:tc>
          <w:tcPr>
            <w:tcW w:w="437" w:type="dxa"/>
            <w:tcBorders>
              <w:top w:val="single" w:sz="4" w:space="0" w:color="FFFFFF"/>
              <w:left w:val="nil"/>
              <w:bottom w:val="single" w:sz="4" w:space="0" w:color="FFFFFF"/>
              <w:right w:val="dotted" w:sz="4" w:space="0" w:color="FFFFFF"/>
            </w:tcBorders>
          </w:tcPr>
          <w:p>
            <w:pPr>
              <w:pStyle w:val="TableParagraph"/>
              <w:spacing w:before="100"/>
              <w:ind w:left="102"/>
              <w:rPr>
                <w:sz w:val="16"/>
              </w:rPr>
            </w:pPr>
            <w:r>
              <w:rPr>
                <w:w w:val="99"/>
                <w:sz w:val="16"/>
              </w:rPr>
              <w:t>5</w:t>
            </w:r>
          </w:p>
        </w:tc>
        <w:tc>
          <w:tcPr>
            <w:tcW w:w="2662" w:type="dxa"/>
            <w:tcBorders>
              <w:left w:val="dotted" w:sz="4" w:space="0" w:color="FFFFFF"/>
              <w:right w:val="dotted" w:sz="4" w:space="0" w:color="929292"/>
            </w:tcBorders>
          </w:tcPr>
          <w:p>
            <w:pPr>
              <w:pStyle w:val="TableParagraph"/>
              <w:spacing w:before="100"/>
              <w:ind w:left="102"/>
              <w:rPr>
                <w:sz w:val="16"/>
              </w:rPr>
            </w:pPr>
            <w:r>
              <w:rPr>
                <w:sz w:val="16"/>
              </w:rPr>
              <w:t>Wieliczka (ciudad) - Cracovia</w:t>
            </w:r>
          </w:p>
        </w:tc>
        <w:tc>
          <w:tcPr>
            <w:tcW w:w="717" w:type="dxa"/>
            <w:tcBorders>
              <w:left w:val="dotted" w:sz="4" w:space="0" w:color="929292"/>
              <w:right w:val="dotted" w:sz="4" w:space="0" w:color="929292"/>
            </w:tcBorders>
          </w:tcPr>
          <w:p>
            <w:pPr>
              <w:pStyle w:val="TableParagraph"/>
              <w:spacing w:before="100"/>
              <w:ind w:left="84" w:right="227"/>
              <w:jc w:val="center"/>
              <w:rPr>
                <w:sz w:val="16"/>
              </w:rPr>
            </w:pPr>
            <w:r>
              <w:rPr>
                <w:sz w:val="16"/>
              </w:rPr>
              <w:t>1638</w:t>
            </w:r>
          </w:p>
        </w:tc>
        <w:tc>
          <w:tcPr>
            <w:tcW w:w="3111" w:type="dxa"/>
            <w:tcBorders>
              <w:left w:val="dotted" w:sz="4" w:space="0" w:color="929292"/>
              <w:right w:val="dotted" w:sz="4" w:space="0" w:color="929292"/>
            </w:tcBorders>
          </w:tcPr>
          <w:p>
            <w:pPr>
              <w:pStyle w:val="TableParagraph"/>
              <w:spacing w:before="100"/>
              <w:ind w:left="102" w:right="130"/>
              <w:rPr>
                <w:sz w:val="16"/>
              </w:rPr>
            </w:pPr>
            <w:r>
              <w:rPr>
                <w:w w:val="105"/>
                <w:sz w:val="16"/>
              </w:rPr>
              <w:t>Liszki - Cracovia</w:t>
            </w:r>
          </w:p>
        </w:tc>
        <w:tc>
          <w:tcPr>
            <w:tcW w:w="712" w:type="dxa"/>
            <w:tcBorders>
              <w:left w:val="dotted" w:sz="4" w:space="0" w:color="929292"/>
              <w:right w:val="nil"/>
            </w:tcBorders>
          </w:tcPr>
          <w:p>
            <w:pPr>
              <w:pStyle w:val="TableParagraph"/>
              <w:spacing w:before="100"/>
              <w:ind w:left="84" w:right="227"/>
              <w:jc w:val="center"/>
              <w:rPr>
                <w:sz w:val="16"/>
              </w:rPr>
            </w:pPr>
            <w:r>
              <w:rPr>
                <w:sz w:val="16"/>
              </w:rPr>
              <w:t>1984</w:t>
            </w:r>
          </w:p>
        </w:tc>
      </w:tr>
      <w:tr>
        <w:trPr>
          <w:trHeight w:val="254" w:hRule="exact"/>
        </w:trPr>
        <w:tc>
          <w:tcPr>
            <w:tcW w:w="437" w:type="dxa"/>
            <w:tcBorders>
              <w:top w:val="single" w:sz="4" w:space="0" w:color="FFFFFF"/>
              <w:left w:val="nil"/>
              <w:bottom w:val="single" w:sz="4" w:space="0" w:color="FFFFFF"/>
              <w:right w:val="dotted" w:sz="4" w:space="0" w:color="FFFFFF"/>
            </w:tcBorders>
          </w:tcPr>
          <w:p>
            <w:pPr>
              <w:pStyle w:val="TableParagraph"/>
              <w:spacing w:before="29"/>
              <w:ind w:left="102"/>
              <w:rPr>
                <w:sz w:val="16"/>
              </w:rPr>
            </w:pPr>
            <w:r>
              <w:rPr>
                <w:w w:val="99"/>
                <w:sz w:val="16"/>
              </w:rPr>
              <w:t>6</w:t>
            </w:r>
          </w:p>
        </w:tc>
        <w:tc>
          <w:tcPr>
            <w:tcW w:w="2662" w:type="dxa"/>
            <w:tcBorders>
              <w:left w:val="dotted" w:sz="4" w:space="0" w:color="FFFFFF"/>
              <w:right w:val="dotted" w:sz="4" w:space="0" w:color="929292"/>
            </w:tcBorders>
          </w:tcPr>
          <w:p>
            <w:pPr>
              <w:pStyle w:val="TableParagraph"/>
              <w:spacing w:before="29"/>
              <w:ind w:left="102"/>
              <w:rPr>
                <w:sz w:val="16"/>
              </w:rPr>
            </w:pPr>
            <w:r>
              <w:rPr>
                <w:sz w:val="16"/>
              </w:rPr>
              <w:t>Skawina (ciudad) - Cracovia</w:t>
            </w:r>
          </w:p>
        </w:tc>
        <w:tc>
          <w:tcPr>
            <w:tcW w:w="717" w:type="dxa"/>
            <w:tcBorders>
              <w:left w:val="dotted" w:sz="4" w:space="0" w:color="929292"/>
              <w:right w:val="dotted" w:sz="4" w:space="0" w:color="929292"/>
            </w:tcBorders>
          </w:tcPr>
          <w:p>
            <w:pPr>
              <w:pStyle w:val="TableParagraph"/>
              <w:spacing w:before="29"/>
              <w:ind w:left="84" w:right="227"/>
              <w:jc w:val="center"/>
              <w:rPr>
                <w:sz w:val="16"/>
              </w:rPr>
            </w:pPr>
            <w:r>
              <w:rPr>
                <w:sz w:val="16"/>
              </w:rPr>
              <w:t>1438</w:t>
            </w:r>
          </w:p>
        </w:tc>
        <w:tc>
          <w:tcPr>
            <w:tcW w:w="3111" w:type="dxa"/>
            <w:tcBorders>
              <w:left w:val="dotted" w:sz="4" w:space="0" w:color="929292"/>
              <w:right w:val="dotted" w:sz="4" w:space="0" w:color="929292"/>
            </w:tcBorders>
          </w:tcPr>
          <w:p>
            <w:pPr>
              <w:pStyle w:val="TableParagraph"/>
              <w:spacing w:before="29"/>
              <w:ind w:left="102" w:right="130"/>
              <w:rPr>
                <w:sz w:val="16"/>
              </w:rPr>
            </w:pPr>
            <w:r>
              <w:rPr>
                <w:w w:val="105"/>
                <w:sz w:val="16"/>
              </w:rPr>
              <w:t>Zielonki - Cracovia</w:t>
            </w:r>
          </w:p>
        </w:tc>
        <w:tc>
          <w:tcPr>
            <w:tcW w:w="712" w:type="dxa"/>
            <w:tcBorders>
              <w:left w:val="dotted" w:sz="4" w:space="0" w:color="929292"/>
              <w:right w:val="nil"/>
            </w:tcBorders>
          </w:tcPr>
          <w:p>
            <w:pPr>
              <w:pStyle w:val="TableParagraph"/>
              <w:spacing w:before="29"/>
              <w:ind w:left="84" w:right="227"/>
              <w:jc w:val="center"/>
              <w:rPr>
                <w:sz w:val="16"/>
              </w:rPr>
            </w:pPr>
            <w:r>
              <w:rPr>
                <w:sz w:val="16"/>
              </w:rPr>
              <w:t>1936</w:t>
            </w:r>
          </w:p>
        </w:tc>
      </w:tr>
      <w:tr>
        <w:trPr>
          <w:trHeight w:val="271" w:hRule="exact"/>
        </w:trPr>
        <w:tc>
          <w:tcPr>
            <w:tcW w:w="437" w:type="dxa"/>
            <w:tcBorders>
              <w:top w:val="single" w:sz="4" w:space="0" w:color="FFFFFF"/>
              <w:left w:val="nil"/>
              <w:right w:val="dotted" w:sz="4" w:space="0" w:color="FFFFFF"/>
            </w:tcBorders>
          </w:tcPr>
          <w:p>
            <w:pPr>
              <w:pStyle w:val="TableParagraph"/>
              <w:spacing w:before="37"/>
              <w:ind w:left="102"/>
              <w:rPr>
                <w:sz w:val="16"/>
              </w:rPr>
            </w:pPr>
            <w:r>
              <w:rPr>
                <w:w w:val="99"/>
                <w:sz w:val="16"/>
              </w:rPr>
              <w:t>7</w:t>
            </w:r>
          </w:p>
        </w:tc>
        <w:tc>
          <w:tcPr>
            <w:tcW w:w="2662" w:type="dxa"/>
            <w:tcBorders>
              <w:left w:val="dotted" w:sz="4" w:space="0" w:color="FFFFFF"/>
              <w:right w:val="dotted" w:sz="4" w:space="0" w:color="929292"/>
            </w:tcBorders>
          </w:tcPr>
          <w:p>
            <w:pPr>
              <w:pStyle w:val="TableParagraph"/>
              <w:spacing w:before="37"/>
              <w:ind w:left="102" w:right="670"/>
              <w:rPr>
                <w:sz w:val="16"/>
              </w:rPr>
            </w:pPr>
            <w:r>
              <w:rPr>
                <w:w w:val="105"/>
                <w:sz w:val="16"/>
              </w:rPr>
              <w:t>Zielonki - Cracovia</w:t>
            </w:r>
          </w:p>
        </w:tc>
        <w:tc>
          <w:tcPr>
            <w:tcW w:w="717" w:type="dxa"/>
            <w:tcBorders>
              <w:left w:val="dotted" w:sz="4" w:space="0" w:color="929292"/>
              <w:right w:val="dotted" w:sz="4" w:space="0" w:color="929292"/>
            </w:tcBorders>
          </w:tcPr>
          <w:p>
            <w:pPr>
              <w:pStyle w:val="TableParagraph"/>
              <w:spacing w:before="37"/>
              <w:ind w:left="84" w:right="227"/>
              <w:jc w:val="center"/>
              <w:rPr>
                <w:sz w:val="16"/>
              </w:rPr>
            </w:pPr>
            <w:r>
              <w:rPr>
                <w:sz w:val="16"/>
              </w:rPr>
              <w:t>1387</w:t>
            </w:r>
          </w:p>
        </w:tc>
        <w:tc>
          <w:tcPr>
            <w:tcW w:w="3111" w:type="dxa"/>
            <w:tcBorders>
              <w:left w:val="dotted" w:sz="4" w:space="0" w:color="929292"/>
              <w:right w:val="dotted" w:sz="4" w:space="0" w:color="929292"/>
            </w:tcBorders>
          </w:tcPr>
          <w:p>
            <w:pPr>
              <w:pStyle w:val="TableParagraph"/>
              <w:spacing w:before="37"/>
              <w:ind w:left="102" w:right="130"/>
              <w:rPr>
                <w:sz w:val="16"/>
              </w:rPr>
            </w:pPr>
            <w:r>
              <w:rPr>
                <w:sz w:val="16"/>
              </w:rPr>
              <w:t>Skawina (ciudad) - Cracovia</w:t>
            </w:r>
          </w:p>
        </w:tc>
        <w:tc>
          <w:tcPr>
            <w:tcW w:w="712" w:type="dxa"/>
            <w:tcBorders>
              <w:left w:val="dotted" w:sz="4" w:space="0" w:color="929292"/>
              <w:right w:val="nil"/>
            </w:tcBorders>
          </w:tcPr>
          <w:p>
            <w:pPr>
              <w:pStyle w:val="TableParagraph"/>
              <w:spacing w:before="37"/>
              <w:ind w:left="84" w:right="227"/>
              <w:jc w:val="center"/>
              <w:rPr>
                <w:sz w:val="16"/>
              </w:rPr>
            </w:pPr>
            <w:r>
              <w:rPr>
                <w:sz w:val="16"/>
              </w:rPr>
              <w:t>1809</w:t>
            </w:r>
          </w:p>
        </w:tc>
      </w:tr>
      <w:tr>
        <w:trPr>
          <w:trHeight w:val="473" w:hRule="exact"/>
        </w:trPr>
        <w:tc>
          <w:tcPr>
            <w:tcW w:w="437" w:type="dxa"/>
            <w:tcBorders>
              <w:left w:val="nil"/>
              <w:bottom w:val="single" w:sz="4" w:space="0" w:color="FFFFFF"/>
              <w:right w:val="dotted" w:sz="4" w:space="0" w:color="929292"/>
            </w:tcBorders>
          </w:tcPr>
          <w:p>
            <w:pPr>
              <w:pStyle w:val="TableParagraph"/>
              <w:spacing w:before="138"/>
              <w:ind w:left="102"/>
              <w:rPr>
                <w:sz w:val="16"/>
              </w:rPr>
            </w:pPr>
            <w:r>
              <w:rPr>
                <w:w w:val="99"/>
                <w:sz w:val="16"/>
              </w:rPr>
              <w:t>8</w:t>
            </w:r>
          </w:p>
        </w:tc>
        <w:tc>
          <w:tcPr>
            <w:tcW w:w="2662" w:type="dxa"/>
            <w:tcBorders>
              <w:left w:val="dotted" w:sz="4" w:space="0" w:color="929292"/>
              <w:right w:val="dotted" w:sz="4" w:space="0" w:color="929292"/>
            </w:tcBorders>
          </w:tcPr>
          <w:p>
            <w:pPr>
              <w:pStyle w:val="TableParagraph"/>
              <w:spacing w:before="6"/>
              <w:rPr>
                <w:sz w:val="13"/>
              </w:rPr>
            </w:pPr>
          </w:p>
          <w:p>
            <w:pPr>
              <w:pStyle w:val="TableParagraph"/>
              <w:ind w:left="102"/>
              <w:rPr>
                <w:sz w:val="16"/>
              </w:rPr>
            </w:pPr>
            <w:r>
              <w:rPr>
                <w:sz w:val="16"/>
              </w:rPr>
              <w:t>Myślenice (rural) – Myślenice villa</w:t>
            </w:r>
          </w:p>
        </w:tc>
        <w:tc>
          <w:tcPr>
            <w:tcW w:w="717" w:type="dxa"/>
            <w:tcBorders>
              <w:left w:val="dotted" w:sz="4" w:space="0" w:color="929292"/>
              <w:right w:val="dotted" w:sz="4" w:space="0" w:color="929292"/>
            </w:tcBorders>
          </w:tcPr>
          <w:p>
            <w:pPr>
              <w:pStyle w:val="TableParagraph"/>
              <w:spacing w:before="138"/>
              <w:ind w:left="84" w:right="227"/>
              <w:jc w:val="center"/>
              <w:rPr>
                <w:sz w:val="16"/>
              </w:rPr>
            </w:pPr>
            <w:r>
              <w:rPr>
                <w:sz w:val="16"/>
              </w:rPr>
              <w:t>1357</w:t>
            </w:r>
          </w:p>
        </w:tc>
        <w:tc>
          <w:tcPr>
            <w:tcW w:w="3111" w:type="dxa"/>
            <w:tcBorders>
              <w:left w:val="dotted" w:sz="4" w:space="0" w:color="929292"/>
              <w:right w:val="dotted" w:sz="4" w:space="0" w:color="929292"/>
            </w:tcBorders>
          </w:tcPr>
          <w:p>
            <w:pPr>
              <w:pStyle w:val="TableParagraph"/>
              <w:spacing w:before="138"/>
              <w:ind w:left="102" w:right="130"/>
              <w:rPr>
                <w:sz w:val="16"/>
              </w:rPr>
            </w:pPr>
            <w:r>
              <w:rPr>
                <w:sz w:val="16"/>
              </w:rPr>
              <w:t>Wadowice(rural) – Wadowice villa</w:t>
            </w:r>
          </w:p>
        </w:tc>
        <w:tc>
          <w:tcPr>
            <w:tcW w:w="712" w:type="dxa"/>
            <w:tcBorders>
              <w:left w:val="dotted" w:sz="4" w:space="0" w:color="929292"/>
              <w:right w:val="nil"/>
            </w:tcBorders>
          </w:tcPr>
          <w:p>
            <w:pPr>
              <w:pStyle w:val="TableParagraph"/>
              <w:spacing w:before="138"/>
              <w:ind w:left="84" w:right="227"/>
              <w:jc w:val="center"/>
              <w:rPr>
                <w:sz w:val="16"/>
              </w:rPr>
            </w:pPr>
            <w:r>
              <w:rPr>
                <w:sz w:val="16"/>
              </w:rPr>
              <w:t>1686</w:t>
            </w:r>
          </w:p>
        </w:tc>
      </w:tr>
      <w:tr>
        <w:trPr>
          <w:trHeight w:val="423" w:hRule="exact"/>
        </w:trPr>
        <w:tc>
          <w:tcPr>
            <w:tcW w:w="437" w:type="dxa"/>
            <w:tcBorders>
              <w:top w:val="single" w:sz="4" w:space="0" w:color="FFFFFF"/>
              <w:left w:val="nil"/>
              <w:bottom w:val="single" w:sz="4" w:space="0" w:color="FFFFFF"/>
              <w:right w:val="dotted" w:sz="4" w:space="0" w:color="FFFFFF"/>
            </w:tcBorders>
          </w:tcPr>
          <w:p>
            <w:pPr>
              <w:pStyle w:val="TableParagraph"/>
              <w:spacing w:before="113"/>
              <w:ind w:left="102"/>
              <w:rPr>
                <w:sz w:val="16"/>
              </w:rPr>
            </w:pPr>
            <w:r>
              <w:rPr>
                <w:w w:val="99"/>
                <w:sz w:val="16"/>
              </w:rPr>
              <w:t>9</w:t>
            </w:r>
          </w:p>
        </w:tc>
        <w:tc>
          <w:tcPr>
            <w:tcW w:w="2662" w:type="dxa"/>
            <w:tcBorders>
              <w:left w:val="dotted" w:sz="4" w:space="0" w:color="FFFFFF"/>
              <w:right w:val="dotted" w:sz="4" w:space="0" w:color="929292"/>
            </w:tcBorders>
          </w:tcPr>
          <w:p>
            <w:pPr>
              <w:pStyle w:val="TableParagraph"/>
              <w:spacing w:before="113"/>
              <w:ind w:left="102" w:right="670"/>
              <w:rPr>
                <w:sz w:val="16"/>
              </w:rPr>
            </w:pPr>
            <w:r>
              <w:rPr>
                <w:sz w:val="16"/>
              </w:rPr>
              <w:t>Cracovia - Zabierzów</w:t>
            </w:r>
          </w:p>
        </w:tc>
        <w:tc>
          <w:tcPr>
            <w:tcW w:w="717" w:type="dxa"/>
            <w:tcBorders>
              <w:left w:val="dotted" w:sz="4" w:space="0" w:color="929292"/>
              <w:right w:val="dotted" w:sz="4" w:space="0" w:color="929292"/>
            </w:tcBorders>
          </w:tcPr>
          <w:p>
            <w:pPr>
              <w:pStyle w:val="TableParagraph"/>
              <w:spacing w:before="113"/>
              <w:ind w:left="84" w:right="227"/>
              <w:jc w:val="center"/>
              <w:rPr>
                <w:sz w:val="16"/>
              </w:rPr>
            </w:pPr>
            <w:r>
              <w:rPr>
                <w:sz w:val="16"/>
              </w:rPr>
              <w:t>1266</w:t>
            </w:r>
          </w:p>
        </w:tc>
        <w:tc>
          <w:tcPr>
            <w:tcW w:w="3111" w:type="dxa"/>
            <w:tcBorders>
              <w:left w:val="dotted" w:sz="4" w:space="0" w:color="929292"/>
              <w:right w:val="dotted" w:sz="4" w:space="0" w:color="929292"/>
            </w:tcBorders>
          </w:tcPr>
          <w:p>
            <w:pPr>
              <w:pStyle w:val="TableParagraph"/>
              <w:spacing w:before="2"/>
              <w:rPr>
                <w:sz w:val="14"/>
              </w:rPr>
            </w:pPr>
          </w:p>
          <w:p>
            <w:pPr>
              <w:pStyle w:val="TableParagraph"/>
              <w:ind w:left="102" w:right="130"/>
              <w:rPr>
                <w:sz w:val="16"/>
              </w:rPr>
            </w:pPr>
            <w:r>
              <w:rPr>
                <w:sz w:val="16"/>
              </w:rPr>
              <w:t>Myślenice (rural) – Myślenice villa</w:t>
            </w:r>
          </w:p>
        </w:tc>
        <w:tc>
          <w:tcPr>
            <w:tcW w:w="712" w:type="dxa"/>
            <w:tcBorders>
              <w:left w:val="dotted" w:sz="4" w:space="0" w:color="929292"/>
              <w:right w:val="nil"/>
            </w:tcBorders>
          </w:tcPr>
          <w:p>
            <w:pPr>
              <w:pStyle w:val="TableParagraph"/>
              <w:spacing w:before="113"/>
              <w:ind w:left="84" w:right="227"/>
              <w:jc w:val="center"/>
              <w:rPr>
                <w:sz w:val="16"/>
              </w:rPr>
            </w:pPr>
            <w:r>
              <w:rPr>
                <w:sz w:val="16"/>
              </w:rPr>
              <w:t>1618</w:t>
            </w:r>
          </w:p>
        </w:tc>
      </w:tr>
      <w:tr>
        <w:trPr>
          <w:trHeight w:val="273" w:hRule="exact"/>
        </w:trPr>
        <w:tc>
          <w:tcPr>
            <w:tcW w:w="437" w:type="dxa"/>
            <w:tcBorders>
              <w:top w:val="single" w:sz="4" w:space="0" w:color="FFFFFF"/>
              <w:left w:val="nil"/>
              <w:bottom w:val="single" w:sz="4" w:space="0" w:color="FFFFFF"/>
              <w:right w:val="dotted" w:sz="4" w:space="0" w:color="FFFFFF"/>
            </w:tcBorders>
          </w:tcPr>
          <w:p>
            <w:pPr>
              <w:pStyle w:val="TableParagraph"/>
              <w:spacing w:before="38"/>
              <w:ind w:left="102"/>
              <w:rPr>
                <w:sz w:val="16"/>
              </w:rPr>
            </w:pPr>
            <w:r>
              <w:rPr>
                <w:sz w:val="16"/>
              </w:rPr>
              <w:t>10</w:t>
            </w:r>
          </w:p>
        </w:tc>
        <w:tc>
          <w:tcPr>
            <w:tcW w:w="2662" w:type="dxa"/>
            <w:tcBorders>
              <w:left w:val="dotted" w:sz="4" w:space="0" w:color="FFFFFF"/>
              <w:right w:val="dotted" w:sz="4" w:space="0" w:color="929292"/>
            </w:tcBorders>
          </w:tcPr>
          <w:p>
            <w:pPr>
              <w:pStyle w:val="TableParagraph"/>
              <w:spacing w:before="38"/>
              <w:ind w:left="102"/>
              <w:rPr>
                <w:sz w:val="16"/>
              </w:rPr>
            </w:pPr>
            <w:r>
              <w:rPr>
                <w:sz w:val="16"/>
              </w:rPr>
              <w:t>Bochnia (rural) – Bochnia villa</w:t>
            </w:r>
          </w:p>
        </w:tc>
        <w:tc>
          <w:tcPr>
            <w:tcW w:w="717" w:type="dxa"/>
            <w:tcBorders>
              <w:left w:val="dotted" w:sz="4" w:space="0" w:color="929292"/>
              <w:right w:val="dotted" w:sz="4" w:space="0" w:color="929292"/>
            </w:tcBorders>
          </w:tcPr>
          <w:p>
            <w:pPr>
              <w:pStyle w:val="TableParagraph"/>
              <w:spacing w:before="38"/>
              <w:ind w:left="84" w:right="227"/>
              <w:jc w:val="center"/>
              <w:rPr>
                <w:sz w:val="16"/>
              </w:rPr>
            </w:pPr>
            <w:r>
              <w:rPr>
                <w:sz w:val="16"/>
              </w:rPr>
              <w:t>1251</w:t>
            </w:r>
          </w:p>
        </w:tc>
        <w:tc>
          <w:tcPr>
            <w:tcW w:w="3111" w:type="dxa"/>
            <w:tcBorders>
              <w:left w:val="dotted" w:sz="4" w:space="0" w:color="929292"/>
              <w:right w:val="dotted" w:sz="4" w:space="0" w:color="929292"/>
            </w:tcBorders>
          </w:tcPr>
          <w:p>
            <w:pPr>
              <w:pStyle w:val="TableParagraph"/>
              <w:spacing w:before="38"/>
              <w:ind w:left="102" w:right="130"/>
              <w:rPr>
                <w:sz w:val="16"/>
              </w:rPr>
            </w:pPr>
            <w:r>
              <w:rPr>
                <w:sz w:val="16"/>
              </w:rPr>
              <w:t>Kocmyrzów Luborzyca – Cracovia</w:t>
            </w:r>
          </w:p>
        </w:tc>
        <w:tc>
          <w:tcPr>
            <w:tcW w:w="712" w:type="dxa"/>
            <w:tcBorders>
              <w:left w:val="dotted" w:sz="4" w:space="0" w:color="929292"/>
              <w:right w:val="nil"/>
            </w:tcBorders>
          </w:tcPr>
          <w:p>
            <w:pPr>
              <w:pStyle w:val="TableParagraph"/>
              <w:spacing w:before="38"/>
              <w:ind w:left="84" w:right="227"/>
              <w:jc w:val="center"/>
              <w:rPr>
                <w:sz w:val="16"/>
              </w:rPr>
            </w:pPr>
            <w:r>
              <w:rPr>
                <w:sz w:val="16"/>
              </w:rPr>
              <w:t>1555</w:t>
            </w:r>
          </w:p>
        </w:tc>
      </w:tr>
      <w:tr>
        <w:trPr>
          <w:trHeight w:val="281" w:hRule="exact"/>
        </w:trPr>
        <w:tc>
          <w:tcPr>
            <w:tcW w:w="437" w:type="dxa"/>
            <w:tcBorders>
              <w:top w:val="single" w:sz="4" w:space="0" w:color="FFFFFF"/>
              <w:left w:val="nil"/>
              <w:bottom w:val="nil"/>
              <w:right w:val="dotted" w:sz="4" w:space="0" w:color="FFFFFF"/>
            </w:tcBorders>
          </w:tcPr>
          <w:p>
            <w:pPr/>
          </w:p>
        </w:tc>
        <w:tc>
          <w:tcPr>
            <w:tcW w:w="2662" w:type="dxa"/>
            <w:tcBorders>
              <w:left w:val="dotted" w:sz="4" w:space="0" w:color="FFFFFF"/>
              <w:bottom w:val="dotted" w:sz="4" w:space="0" w:color="929292"/>
              <w:right w:val="dotted" w:sz="4" w:space="0" w:color="929292"/>
            </w:tcBorders>
          </w:tcPr>
          <w:p>
            <w:pPr>
              <w:pStyle w:val="TableParagraph"/>
              <w:spacing w:before="42"/>
              <w:ind w:left="103" w:right="670"/>
              <w:rPr>
                <w:sz w:val="16"/>
              </w:rPr>
            </w:pPr>
            <w:r>
              <w:rPr>
                <w:sz w:val="16"/>
              </w:rPr>
              <w:t>Total</w:t>
            </w:r>
          </w:p>
        </w:tc>
        <w:tc>
          <w:tcPr>
            <w:tcW w:w="717" w:type="dxa"/>
            <w:tcBorders>
              <w:left w:val="dotted" w:sz="4" w:space="0" w:color="929292"/>
              <w:bottom w:val="dotted" w:sz="4" w:space="0" w:color="929292"/>
              <w:right w:val="dotted" w:sz="4" w:space="0" w:color="929292"/>
            </w:tcBorders>
          </w:tcPr>
          <w:p>
            <w:pPr>
              <w:pStyle w:val="TableParagraph"/>
              <w:spacing w:before="42"/>
              <w:ind w:left="84" w:right="138"/>
              <w:jc w:val="center"/>
              <w:rPr>
                <w:sz w:val="16"/>
              </w:rPr>
            </w:pPr>
            <w:r>
              <w:rPr>
                <w:sz w:val="16"/>
              </w:rPr>
              <w:t>16373</w:t>
            </w:r>
          </w:p>
        </w:tc>
        <w:tc>
          <w:tcPr>
            <w:tcW w:w="3111" w:type="dxa"/>
            <w:tcBorders>
              <w:left w:val="dotted" w:sz="4" w:space="0" w:color="929292"/>
              <w:bottom w:val="dotted" w:sz="4" w:space="0" w:color="929292"/>
              <w:right w:val="dotted" w:sz="4" w:space="0" w:color="929292"/>
            </w:tcBorders>
          </w:tcPr>
          <w:p>
            <w:pPr>
              <w:pStyle w:val="TableParagraph"/>
              <w:spacing w:before="42"/>
              <w:ind w:left="102" w:right="130"/>
              <w:rPr>
                <w:sz w:val="16"/>
              </w:rPr>
            </w:pPr>
            <w:r>
              <w:rPr>
                <w:sz w:val="16"/>
              </w:rPr>
              <w:t>Total</w:t>
            </w:r>
          </w:p>
        </w:tc>
        <w:tc>
          <w:tcPr>
            <w:tcW w:w="712" w:type="dxa"/>
            <w:tcBorders>
              <w:left w:val="dotted" w:sz="4" w:space="0" w:color="929292"/>
              <w:bottom w:val="dotted" w:sz="4" w:space="0" w:color="929292"/>
              <w:right w:val="nil"/>
            </w:tcBorders>
          </w:tcPr>
          <w:p>
            <w:pPr>
              <w:pStyle w:val="TableParagraph"/>
              <w:spacing w:before="42"/>
              <w:ind w:left="84" w:right="138"/>
              <w:jc w:val="center"/>
              <w:rPr>
                <w:sz w:val="16"/>
              </w:rPr>
            </w:pPr>
            <w:r>
              <w:rPr>
                <w:sz w:val="16"/>
              </w:rPr>
              <w:t>20597</w:t>
            </w:r>
          </w:p>
        </w:tc>
      </w:tr>
    </w:tbl>
    <w:p>
      <w:pPr>
        <w:spacing w:before="80"/>
        <w:ind w:left="202" w:right="72" w:firstLine="0"/>
        <w:jc w:val="center"/>
        <w:rPr>
          <w:sz w:val="16"/>
        </w:rPr>
      </w:pPr>
      <w:r>
        <w:rPr/>
        <w:pict>
          <v:group style="position:absolute;margin-left:42.550701pt;margin-top:-49.356091pt;width:22.35pt;height:49.35pt;mso-position-horizontal-relative:page;mso-position-vertical-relative:paragraph;z-index:-638704" coordorigin="851,-987" coordsize="447,987">
            <v:shape style="position:absolute;left:851;top:-987;width:447;height:433" type="#_x0000_t75" stroked="false">
              <v:imagedata r:id="rId369" o:title=""/>
            </v:shape>
            <v:shape style="position:absolute;left:851;top:-564;width:447;height:283" type="#_x0000_t75" stroked="false">
              <v:imagedata r:id="rId364" o:title=""/>
            </v:shape>
            <v:shape style="position:absolute;left:851;top:-291;width:447;height:291" type="#_x0000_t75" stroked="false">
              <v:imagedata r:id="rId370" o:title=""/>
            </v:shape>
            <w10:wrap type="none"/>
          </v:group>
        </w:pict>
      </w:r>
      <w:r>
        <w:rPr>
          <w:color w:val="6D6E71"/>
          <w:sz w:val="16"/>
        </w:rPr>
        <w:t>Fuente: elaboración propia a partir de datos de la Oficina Central de Estadística.</w:t>
      </w:r>
    </w:p>
    <w:p>
      <w:pPr>
        <w:pStyle w:val="BodyText"/>
        <w:spacing w:before="5"/>
        <w:rPr>
          <w:sz w:val="22"/>
        </w:rPr>
      </w:pPr>
    </w:p>
    <w:p>
      <w:pPr>
        <w:pStyle w:val="BodyText"/>
        <w:spacing w:line="249" w:lineRule="auto"/>
        <w:ind w:left="131" w:firstLine="170"/>
        <w:jc w:val="both"/>
      </w:pPr>
      <w:r>
        <w:rPr/>
        <w:t>Basándose en los principales flujos de desplazamientos al trabajo presentados aquí, se puede constatar que para la mayoría de los municipios en la zona suburbana de Cracovia sigue siendo la dirección principal de viajes al trabajo. La importancia de la ciudad como mercado laboral aumenta también a lo largo de las principales vías de comunicación, lo que pueden señalar los valores de la participación de Cracovia como destino de los desplazamientos al trabajo desde los municipios situados en el noreste, norte, sureste y sur de Cracovia (Fig. 12). También cabe mencionar la participación relativamente baja de salidas a esta ciudad de los municipios que rodean</w:t>
      </w:r>
      <w:r>
        <w:rPr>
          <w:spacing w:val="46"/>
        </w:rPr>
        <w:t> </w:t>
      </w:r>
      <w:r>
        <w:rPr/>
        <w:t>las</w:t>
      </w:r>
      <w:r>
        <w:rPr>
          <w:spacing w:val="3"/>
        </w:rPr>
        <w:t> </w:t>
      </w:r>
      <w:r>
        <w:rPr/>
        <w:t>ciudades</w:t>
      </w:r>
      <w:r>
        <w:rPr>
          <w:w w:val="101"/>
        </w:rPr>
        <w:t> </w:t>
      </w:r>
      <w:r>
        <w:rPr/>
        <w:t>relativamente grandes del sur de la zona de los desplazamientos, como Bochnia, Myślenice y Wadowice. Estas ciudades  son,  pues,  mercados  laborales  locales  a los que se dirigen los trabajadores de las áreas rurales vecinas y de los municipios limítrofes. En sus alrededores también se observan procesos de suburbanización </w:t>
      </w:r>
      <w:r>
        <w:rPr>
          <w:spacing w:val="49"/>
        </w:rPr>
        <w:t> </w:t>
      </w:r>
      <w:r>
        <w:rPr/>
        <w:t>que</w:t>
      </w:r>
    </w:p>
    <w:p>
      <w:pPr>
        <w:pStyle w:val="BodyText"/>
        <w:spacing w:line="249" w:lineRule="auto" w:before="76"/>
        <w:ind w:left="131" w:right="127"/>
        <w:jc w:val="both"/>
      </w:pPr>
      <w:r>
        <w:rPr/>
        <w:br w:type="column"/>
      </w:r>
      <w:r>
        <w:rPr/>
        <w:t>incitan a una parte de los habitantes a migrar de estas ciudades a las zonas rurales de estos</w:t>
      </w:r>
      <w:r>
        <w:rPr>
          <w:spacing w:val="-8"/>
        </w:rPr>
        <w:t> </w:t>
      </w:r>
      <w:r>
        <w:rPr/>
        <w:t>municipios</w:t>
      </w:r>
      <w:r>
        <w:rPr>
          <w:spacing w:val="-8"/>
        </w:rPr>
        <w:t> </w:t>
      </w:r>
      <w:r>
        <w:rPr/>
        <w:t>o</w:t>
      </w:r>
      <w:r>
        <w:rPr>
          <w:spacing w:val="-8"/>
        </w:rPr>
        <w:t> </w:t>
      </w:r>
      <w:r>
        <w:rPr/>
        <w:t>a</w:t>
      </w:r>
      <w:r>
        <w:rPr>
          <w:spacing w:val="-8"/>
        </w:rPr>
        <w:t> </w:t>
      </w:r>
      <w:r>
        <w:rPr/>
        <w:t>las</w:t>
      </w:r>
      <w:r>
        <w:rPr>
          <w:spacing w:val="-8"/>
        </w:rPr>
        <w:t> </w:t>
      </w:r>
      <w:r>
        <w:rPr/>
        <w:t>unidades</w:t>
      </w:r>
      <w:r>
        <w:rPr>
          <w:spacing w:val="-8"/>
        </w:rPr>
        <w:t> </w:t>
      </w:r>
      <w:r>
        <w:rPr/>
        <w:t>vecinas,</w:t>
      </w:r>
      <w:r>
        <w:rPr>
          <w:spacing w:val="-8"/>
        </w:rPr>
        <w:t> </w:t>
      </w:r>
      <w:r>
        <w:rPr/>
        <w:t>lo</w:t>
      </w:r>
      <w:r>
        <w:rPr>
          <w:spacing w:val="-8"/>
        </w:rPr>
        <w:t> </w:t>
      </w:r>
      <w:r>
        <w:rPr/>
        <w:t>que</w:t>
      </w:r>
      <w:r>
        <w:rPr>
          <w:spacing w:val="-8"/>
        </w:rPr>
        <w:t> </w:t>
      </w:r>
      <w:r>
        <w:rPr/>
        <w:t>es</w:t>
      </w:r>
      <w:r>
        <w:rPr>
          <w:spacing w:val="-8"/>
        </w:rPr>
        <w:t> </w:t>
      </w:r>
      <w:r>
        <w:rPr/>
        <w:t>un</w:t>
      </w:r>
      <w:r>
        <w:rPr>
          <w:spacing w:val="-8"/>
        </w:rPr>
        <w:t> </w:t>
      </w:r>
      <w:r>
        <w:rPr/>
        <w:t>factor</w:t>
      </w:r>
      <w:r>
        <w:rPr>
          <w:spacing w:val="-8"/>
        </w:rPr>
        <w:t> </w:t>
      </w:r>
      <w:r>
        <w:rPr/>
        <w:t>que</w:t>
      </w:r>
      <w:r>
        <w:rPr>
          <w:spacing w:val="-8"/>
        </w:rPr>
        <w:t> </w:t>
      </w:r>
      <w:r>
        <w:rPr/>
        <w:t>genera</w:t>
      </w:r>
      <w:r>
        <w:rPr>
          <w:spacing w:val="-8"/>
        </w:rPr>
        <w:t> </w:t>
      </w:r>
      <w:r>
        <w:rPr/>
        <w:t>relativamente grandes flujos migratorios (Kurek, Gałka, Wójtowicz, 2014). Esto es particularmente visible en el caso de las ciudades que desarrollan activamente su base industrial y los servicios,</w:t>
      </w:r>
      <w:r>
        <w:rPr>
          <w:spacing w:val="-19"/>
        </w:rPr>
        <w:t> </w:t>
      </w:r>
      <w:r>
        <w:rPr/>
        <w:t>creando</w:t>
      </w:r>
      <w:r>
        <w:rPr>
          <w:spacing w:val="-19"/>
        </w:rPr>
        <w:t> </w:t>
      </w:r>
      <w:r>
        <w:rPr/>
        <w:t>en</w:t>
      </w:r>
      <w:r>
        <w:rPr>
          <w:spacing w:val="-19"/>
        </w:rPr>
        <w:t> </w:t>
      </w:r>
      <w:r>
        <w:rPr/>
        <w:t>su</w:t>
      </w:r>
      <w:r>
        <w:rPr>
          <w:spacing w:val="-19"/>
        </w:rPr>
        <w:t> </w:t>
      </w:r>
      <w:r>
        <w:rPr/>
        <w:t>territorio</w:t>
      </w:r>
      <w:r>
        <w:rPr>
          <w:spacing w:val="-19"/>
        </w:rPr>
        <w:t> </w:t>
      </w:r>
      <w:r>
        <w:rPr/>
        <w:t>las</w:t>
      </w:r>
      <w:r>
        <w:rPr>
          <w:spacing w:val="-19"/>
        </w:rPr>
        <w:t> </w:t>
      </w:r>
      <w:r>
        <w:rPr/>
        <w:t>llamadas</w:t>
      </w:r>
      <w:r>
        <w:rPr>
          <w:spacing w:val="-19"/>
        </w:rPr>
        <w:t> </w:t>
      </w:r>
      <w:r>
        <w:rPr/>
        <w:t>Zonas</w:t>
      </w:r>
      <w:r>
        <w:rPr>
          <w:spacing w:val="-19"/>
        </w:rPr>
        <w:t> </w:t>
      </w:r>
      <w:r>
        <w:rPr/>
        <w:t>de</w:t>
      </w:r>
      <w:r>
        <w:rPr>
          <w:spacing w:val="-19"/>
        </w:rPr>
        <w:t> </w:t>
      </w:r>
      <w:r>
        <w:rPr/>
        <w:t>Actividad</w:t>
      </w:r>
      <w:r>
        <w:rPr>
          <w:spacing w:val="-19"/>
        </w:rPr>
        <w:t> </w:t>
      </w:r>
      <w:r>
        <w:rPr/>
        <w:t>Económica</w:t>
      </w:r>
      <w:r>
        <w:rPr>
          <w:spacing w:val="-19"/>
        </w:rPr>
        <w:t> </w:t>
      </w:r>
      <w:r>
        <w:rPr/>
        <w:t>que</w:t>
      </w:r>
      <w:r>
        <w:rPr>
          <w:spacing w:val="-19"/>
        </w:rPr>
        <w:t> </w:t>
      </w:r>
      <w:r>
        <w:rPr/>
        <w:t>atraen nuevas inversiones (p.ej. Myślenice, Dobczyce, Wieliczka, Skawina, Niepołomice), lo que</w:t>
      </w:r>
      <w:r>
        <w:rPr>
          <w:spacing w:val="-13"/>
        </w:rPr>
        <w:t> </w:t>
      </w:r>
      <w:r>
        <w:rPr/>
        <w:t>aumenta</w:t>
      </w:r>
      <w:r>
        <w:rPr>
          <w:spacing w:val="-13"/>
        </w:rPr>
        <w:t> </w:t>
      </w:r>
      <w:r>
        <w:rPr/>
        <w:t>el</w:t>
      </w:r>
      <w:r>
        <w:rPr>
          <w:spacing w:val="-13"/>
        </w:rPr>
        <w:t> </w:t>
      </w:r>
      <w:r>
        <w:rPr/>
        <w:t>empleo</w:t>
      </w:r>
      <w:r>
        <w:rPr>
          <w:spacing w:val="-13"/>
        </w:rPr>
        <w:t> </w:t>
      </w:r>
      <w:r>
        <w:rPr/>
        <w:t>en</w:t>
      </w:r>
      <w:r>
        <w:rPr>
          <w:spacing w:val="-13"/>
        </w:rPr>
        <w:t> </w:t>
      </w:r>
      <w:r>
        <w:rPr/>
        <w:t>estas</w:t>
      </w:r>
      <w:r>
        <w:rPr>
          <w:spacing w:val="-13"/>
        </w:rPr>
        <w:t> </w:t>
      </w:r>
      <w:r>
        <w:rPr/>
        <w:t>ciudades</w:t>
      </w:r>
      <w:r>
        <w:rPr>
          <w:spacing w:val="-13"/>
        </w:rPr>
        <w:t> </w:t>
      </w:r>
      <w:r>
        <w:rPr/>
        <w:t>(Kurek,</w:t>
      </w:r>
      <w:r>
        <w:rPr>
          <w:spacing w:val="-13"/>
        </w:rPr>
        <w:t> </w:t>
      </w:r>
      <w:r>
        <w:rPr/>
        <w:t>Rachwał,</w:t>
      </w:r>
      <w:r>
        <w:rPr>
          <w:spacing w:val="-13"/>
        </w:rPr>
        <w:t> </w:t>
      </w:r>
      <w:r>
        <w:rPr/>
        <w:t>Wójtowicz,</w:t>
      </w:r>
      <w:r>
        <w:rPr>
          <w:spacing w:val="-13"/>
        </w:rPr>
        <w:t> </w:t>
      </w:r>
      <w:r>
        <w:rPr/>
        <w:t>2014).</w:t>
      </w:r>
      <w:r>
        <w:rPr>
          <w:spacing w:val="-13"/>
        </w:rPr>
        <w:t> </w:t>
      </w:r>
      <w:r>
        <w:rPr/>
        <w:t>Similares procesos de suburbanización de pequeñas ciudades en Baja Silesia, que también han resultado en un aumento de desplazamientos al trabajo de sus antiguos habitantes, han sido descritos por K. Kajdanek</w:t>
      </w:r>
      <w:r>
        <w:rPr>
          <w:spacing w:val="9"/>
        </w:rPr>
        <w:t> </w:t>
      </w:r>
      <w:r>
        <w:rPr/>
        <w:t>(2012).</w:t>
      </w:r>
    </w:p>
    <w:p>
      <w:pPr>
        <w:pStyle w:val="BodyText"/>
        <w:spacing w:before="2"/>
        <w:rPr>
          <w:sz w:val="24"/>
        </w:rPr>
      </w:pPr>
    </w:p>
    <w:p>
      <w:pPr>
        <w:spacing w:line="312" w:lineRule="auto" w:before="0"/>
        <w:ind w:left="204" w:right="202" w:firstLine="0"/>
        <w:jc w:val="center"/>
        <w:rPr>
          <w:sz w:val="16"/>
        </w:rPr>
      </w:pPr>
      <w:r>
        <w:rPr>
          <w:color w:val="6D6E71"/>
          <w:sz w:val="16"/>
        </w:rPr>
        <w:t>Figura 12. La importancia de Cracovia en el volumen total de viajes al trabajo de los municipios de la ZMC en 2011</w:t>
      </w:r>
    </w:p>
    <w:p>
      <w:pPr>
        <w:pStyle w:val="BodyText"/>
        <w:rPr>
          <w:sz w:val="4"/>
        </w:rPr>
      </w:pPr>
    </w:p>
    <w:p>
      <w:pPr>
        <w:pStyle w:val="BodyText"/>
        <w:ind w:left="1073"/>
      </w:pPr>
      <w:r>
        <w:rPr/>
        <w:drawing>
          <wp:inline distT="0" distB="0" distL="0" distR="0">
            <wp:extent cx="3691910" cy="2222373"/>
            <wp:effectExtent l="0" t="0" r="0" b="0"/>
            <wp:docPr id="149" name="image111.png" descr=""/>
            <wp:cNvGraphicFramePr>
              <a:graphicFrameLocks noChangeAspect="1"/>
            </wp:cNvGraphicFramePr>
            <a:graphic>
              <a:graphicData uri="http://schemas.openxmlformats.org/drawingml/2006/picture">
                <pic:pic>
                  <pic:nvPicPr>
                    <pic:cNvPr id="150" name="image111.png"/>
                    <pic:cNvPicPr/>
                  </pic:nvPicPr>
                  <pic:blipFill>
                    <a:blip r:embed="rId371" cstate="print"/>
                    <a:stretch>
                      <a:fillRect/>
                    </a:stretch>
                  </pic:blipFill>
                  <pic:spPr>
                    <a:xfrm>
                      <a:off x="0" y="0"/>
                      <a:ext cx="3691910" cy="2222373"/>
                    </a:xfrm>
                    <a:prstGeom prst="rect">
                      <a:avLst/>
                    </a:prstGeom>
                  </pic:spPr>
                </pic:pic>
              </a:graphicData>
            </a:graphic>
          </wp:inline>
        </w:drawing>
      </w:r>
      <w:r>
        <w:rPr/>
      </w:r>
    </w:p>
    <w:p>
      <w:pPr>
        <w:spacing w:before="56"/>
        <w:ind w:left="514" w:right="514" w:firstLine="0"/>
        <w:jc w:val="center"/>
        <w:rPr>
          <w:sz w:val="16"/>
        </w:rPr>
      </w:pPr>
      <w:r>
        <w:rPr>
          <w:color w:val="6D6E71"/>
          <w:sz w:val="16"/>
        </w:rPr>
        <w:t>Fuente: elaboración propia a partir de datos de la Oficina Central de Estadística.</w:t>
      </w:r>
    </w:p>
    <w:p>
      <w:pPr>
        <w:pStyle w:val="BodyText"/>
        <w:spacing w:before="5"/>
        <w:rPr>
          <w:sz w:val="22"/>
        </w:rPr>
      </w:pPr>
    </w:p>
    <w:p>
      <w:pPr>
        <w:pStyle w:val="BodyText"/>
        <w:spacing w:line="249" w:lineRule="auto"/>
        <w:ind w:left="131" w:right="127" w:firstLine="170"/>
        <w:jc w:val="both"/>
      </w:pPr>
      <w:r>
        <w:rPr/>
        <w:t>Resumiendo los cambios del tamaño y de la estructura espacial de los desplazamientos al trabajo observados en la Zona Metropolitana de Cracovia, cabe destacar que por una parte se notó un aumento de la intensidad de viajes al trabajo   en el periodo estudiado 2006-2011, y por otra aumentó también la diversidad de su estructura espacial. El crecimiento de la importancia de salidas al trabajo de Cracovia hacia fuera de la ZMC puede señalar el desarrollo del proceso de metropolización y    el aumento de vínculos funcionales entre Cracovia y otros grandes centros urbanos   en Polonia. En  cambio,  el  desarrollo  de  la  suburbanización  residencial  aumentó  el número de viajes a Cracovia tanto en la zona suburbana como en la zona de los desplazamientos. Al mismo tiempo, se observaron más desplazamientos de Cracovia  a la zona suburbana, así como aumentó la movilidad de trabajadores dentro de esta zona,</w:t>
      </w:r>
      <w:r>
        <w:rPr>
          <w:spacing w:val="13"/>
        </w:rPr>
        <w:t> </w:t>
      </w:r>
      <w:r>
        <w:rPr/>
        <w:t>lo</w:t>
      </w:r>
      <w:r>
        <w:rPr>
          <w:spacing w:val="13"/>
        </w:rPr>
        <w:t> </w:t>
      </w:r>
      <w:r>
        <w:rPr/>
        <w:t>que</w:t>
      </w:r>
      <w:r>
        <w:rPr>
          <w:spacing w:val="13"/>
        </w:rPr>
        <w:t> </w:t>
      </w:r>
      <w:r>
        <w:rPr/>
        <w:t>indica</w:t>
      </w:r>
      <w:r>
        <w:rPr>
          <w:spacing w:val="13"/>
        </w:rPr>
        <w:t> </w:t>
      </w:r>
      <w:r>
        <w:rPr/>
        <w:t>el</w:t>
      </w:r>
      <w:r>
        <w:rPr>
          <w:spacing w:val="13"/>
        </w:rPr>
        <w:t> </w:t>
      </w:r>
      <w:r>
        <w:rPr/>
        <w:t>desplazamiento</w:t>
      </w:r>
      <w:r>
        <w:rPr>
          <w:spacing w:val="13"/>
        </w:rPr>
        <w:t> </w:t>
      </w:r>
      <w:r>
        <w:rPr/>
        <w:t>de</w:t>
      </w:r>
      <w:r>
        <w:rPr>
          <w:spacing w:val="13"/>
        </w:rPr>
        <w:t> </w:t>
      </w:r>
      <w:r>
        <w:rPr/>
        <w:t>una</w:t>
      </w:r>
      <w:r>
        <w:rPr>
          <w:spacing w:val="13"/>
        </w:rPr>
        <w:t> </w:t>
      </w:r>
      <w:r>
        <w:rPr/>
        <w:t>parte</w:t>
      </w:r>
      <w:r>
        <w:rPr>
          <w:spacing w:val="13"/>
        </w:rPr>
        <w:t> </w:t>
      </w:r>
      <w:r>
        <w:rPr/>
        <w:t>de</w:t>
      </w:r>
      <w:r>
        <w:rPr>
          <w:spacing w:val="13"/>
        </w:rPr>
        <w:t> </w:t>
      </w:r>
      <w:r>
        <w:rPr/>
        <w:t>puestos</w:t>
      </w:r>
      <w:r>
        <w:rPr>
          <w:spacing w:val="13"/>
        </w:rPr>
        <w:t> </w:t>
      </w:r>
      <w:r>
        <w:rPr/>
        <w:t>de</w:t>
      </w:r>
      <w:r>
        <w:rPr>
          <w:spacing w:val="13"/>
        </w:rPr>
        <w:t> </w:t>
      </w:r>
      <w:r>
        <w:rPr/>
        <w:t>trabajo</w:t>
      </w:r>
      <w:r>
        <w:rPr>
          <w:spacing w:val="13"/>
        </w:rPr>
        <w:t> </w:t>
      </w:r>
      <w:r>
        <w:rPr/>
        <w:t>fuera</w:t>
      </w:r>
      <w:r>
        <w:rPr>
          <w:spacing w:val="13"/>
        </w:rPr>
        <w:t> </w:t>
      </w:r>
      <w:r>
        <w:rPr/>
        <w:t>de</w:t>
      </w:r>
      <w:r>
        <w:rPr>
          <w:spacing w:val="13"/>
        </w:rPr>
        <w:t> </w:t>
      </w:r>
      <w:r>
        <w:rPr/>
        <w:t>la</w:t>
      </w:r>
    </w:p>
    <w:p>
      <w:pPr>
        <w:spacing w:after="0" w:line="249" w:lineRule="auto"/>
        <w:jc w:val="both"/>
        <w:sectPr>
          <w:type w:val="continuous"/>
          <w:pgSz w:w="18830" w:h="12760" w:orient="landscape"/>
          <w:pgMar w:top="1420" w:bottom="280" w:left="720" w:right="720"/>
          <w:cols w:num="2" w:equalWidth="0">
            <w:col w:w="7843" w:space="1568"/>
            <w:col w:w="7979"/>
          </w:cols>
        </w:sectPr>
      </w:pPr>
    </w:p>
    <w:p>
      <w:pPr>
        <w:pStyle w:val="BodyText"/>
        <w:spacing w:before="6"/>
        <w:rPr>
          <w:sz w:val="23"/>
        </w:rPr>
      </w:pPr>
    </w:p>
    <w:p>
      <w:pPr>
        <w:spacing w:after="0"/>
        <w:rPr>
          <w:sz w:val="23"/>
        </w:rPr>
        <w:sectPr>
          <w:footerReference w:type="default" r:id="rId372"/>
          <w:pgSz w:w="18830" w:h="12760" w:orient="landscape"/>
          <w:pgMar w:footer="1036" w:header="522" w:top="820" w:bottom="1220" w:left="720" w:right="720"/>
        </w:sectPr>
      </w:pPr>
    </w:p>
    <w:p>
      <w:pPr>
        <w:pStyle w:val="BodyText"/>
        <w:spacing w:line="249" w:lineRule="auto" w:before="76"/>
        <w:ind w:left="131"/>
        <w:jc w:val="both"/>
      </w:pPr>
      <w:r>
        <w:rPr/>
        <w:t>ciudad central (suburbanización económica). Se formaron también mercados laborales locales en otras ciudades de la ZMC y en algunos municipios rurales (Zabierzów), lo que está relacionado con el desplazamiento de una parte de empresas industriales    de Cracovia. Hay que suponer que con la continuación del desarrollo de procesos de suburbanización, la intensidad de los desplazamientos al trabajo se hará cada vez</w:t>
      </w:r>
      <w:r>
        <w:rPr>
          <w:spacing w:val="-24"/>
        </w:rPr>
        <w:t> </w:t>
      </w:r>
      <w:r>
        <w:rPr/>
        <w:t>más grande y sus direcciones se caracterizarán por una complejidad aún mayor a causa de la descentralización de la industria y de los servicios. Esto será un verdadero desafío para el sistema de transporte público de adaptar su funcionalidad a las necesidades</w:t>
      </w:r>
      <w:r>
        <w:rPr>
          <w:spacing w:val="-20"/>
        </w:rPr>
        <w:t> </w:t>
      </w:r>
      <w:r>
        <w:rPr/>
        <w:t>de los habitantes, lo que les animaría a usarlo en vez de generar una circulación cada</w:t>
      </w:r>
      <w:r>
        <w:rPr>
          <w:spacing w:val="-19"/>
        </w:rPr>
        <w:t> </w:t>
      </w:r>
      <w:r>
        <w:rPr/>
        <w:t>vez más grande de automóviles</w:t>
      </w:r>
      <w:r>
        <w:rPr>
          <w:spacing w:val="32"/>
        </w:rPr>
        <w:t> </w:t>
      </w:r>
      <w:r>
        <w:rPr/>
        <w:t>privados.</w:t>
      </w:r>
    </w:p>
    <w:p>
      <w:pPr>
        <w:pStyle w:val="BodyText"/>
        <w:spacing w:before="8"/>
        <w:rPr>
          <w:sz w:val="17"/>
        </w:rPr>
      </w:pPr>
    </w:p>
    <w:p>
      <w:pPr>
        <w:pStyle w:val="Heading1"/>
        <w:ind w:left="301" w:right="3"/>
      </w:pPr>
      <w:r>
        <w:rPr/>
        <w:t>Conclusiones</w:t>
      </w:r>
    </w:p>
    <w:p>
      <w:pPr>
        <w:pStyle w:val="BodyText"/>
        <w:rPr>
          <w:b/>
          <w:sz w:val="21"/>
        </w:rPr>
      </w:pPr>
    </w:p>
    <w:p>
      <w:pPr>
        <w:pStyle w:val="BodyText"/>
        <w:spacing w:line="249" w:lineRule="auto"/>
        <w:ind w:left="131" w:firstLine="170"/>
        <w:jc w:val="both"/>
      </w:pPr>
      <w:r>
        <w:rPr/>
        <w:t>En el periodo estudiado en la Zona Metropolitana de Cracovia podemos indicar dos fases del proceso de suburbanización. La primera abarcó los años 1990-2001 y se caracterizó por una emigración relativamente limitada de la ciudad central a las zonas exteriores. Durante este periodo cambiaron las direcciones de los flujos migratorios, así que las zonas exteriores de la ZMC que al inicio de los años 90 tuvieron un saldo migratorio negativo se convirtieron en áreas con la dominación de afluencia migratoria. La</w:t>
      </w:r>
      <w:r>
        <w:rPr>
          <w:spacing w:val="-13"/>
        </w:rPr>
        <w:t> </w:t>
      </w:r>
      <w:r>
        <w:rPr/>
        <w:t>segunda</w:t>
      </w:r>
      <w:r>
        <w:rPr>
          <w:spacing w:val="-13"/>
        </w:rPr>
        <w:t> </w:t>
      </w:r>
      <w:r>
        <w:rPr/>
        <w:t>fase,</w:t>
      </w:r>
      <w:r>
        <w:rPr>
          <w:spacing w:val="-13"/>
        </w:rPr>
        <w:t> </w:t>
      </w:r>
      <w:r>
        <w:rPr/>
        <w:t>que</w:t>
      </w:r>
      <w:r>
        <w:rPr>
          <w:spacing w:val="-13"/>
        </w:rPr>
        <w:t> </w:t>
      </w:r>
      <w:r>
        <w:rPr/>
        <w:t>abarcó</w:t>
      </w:r>
      <w:r>
        <w:rPr>
          <w:spacing w:val="-13"/>
        </w:rPr>
        <w:t> </w:t>
      </w:r>
      <w:r>
        <w:rPr/>
        <w:t>los</w:t>
      </w:r>
      <w:r>
        <w:rPr>
          <w:spacing w:val="-13"/>
        </w:rPr>
        <w:t> </w:t>
      </w:r>
      <w:r>
        <w:rPr/>
        <w:t>años</w:t>
      </w:r>
      <w:r>
        <w:rPr>
          <w:spacing w:val="-13"/>
        </w:rPr>
        <w:t> </w:t>
      </w:r>
      <w:r>
        <w:rPr/>
        <w:t>2002-2013,</w:t>
      </w:r>
      <w:r>
        <w:rPr>
          <w:spacing w:val="-13"/>
        </w:rPr>
        <w:t> </w:t>
      </w:r>
      <w:r>
        <w:rPr/>
        <w:t>se</w:t>
      </w:r>
      <w:r>
        <w:rPr>
          <w:spacing w:val="-13"/>
        </w:rPr>
        <w:t> </w:t>
      </w:r>
      <w:r>
        <w:rPr/>
        <w:t>caracterizó</w:t>
      </w:r>
      <w:r>
        <w:rPr>
          <w:spacing w:val="-13"/>
        </w:rPr>
        <w:t> </w:t>
      </w:r>
      <w:r>
        <w:rPr/>
        <w:t>por</w:t>
      </w:r>
      <w:r>
        <w:rPr>
          <w:spacing w:val="-13"/>
        </w:rPr>
        <w:t> </w:t>
      </w:r>
      <w:r>
        <w:rPr/>
        <w:t>un</w:t>
      </w:r>
      <w:r>
        <w:rPr>
          <w:spacing w:val="-13"/>
        </w:rPr>
        <w:t> </w:t>
      </w:r>
      <w:r>
        <w:rPr/>
        <w:t>aumento</w:t>
      </w:r>
      <w:r>
        <w:rPr>
          <w:spacing w:val="-13"/>
        </w:rPr>
        <w:t> </w:t>
      </w:r>
      <w:r>
        <w:rPr/>
        <w:t>brusco de</w:t>
      </w:r>
      <w:r>
        <w:rPr>
          <w:spacing w:val="-8"/>
        </w:rPr>
        <w:t> </w:t>
      </w:r>
      <w:r>
        <w:rPr/>
        <w:t>la</w:t>
      </w:r>
      <w:r>
        <w:rPr>
          <w:spacing w:val="-8"/>
        </w:rPr>
        <w:t> </w:t>
      </w:r>
      <w:r>
        <w:rPr/>
        <w:t>afluencia</w:t>
      </w:r>
      <w:r>
        <w:rPr>
          <w:spacing w:val="-8"/>
        </w:rPr>
        <w:t> </w:t>
      </w:r>
      <w:r>
        <w:rPr/>
        <w:t>migratoria</w:t>
      </w:r>
      <w:r>
        <w:rPr>
          <w:spacing w:val="-8"/>
        </w:rPr>
        <w:t> </w:t>
      </w:r>
      <w:r>
        <w:rPr/>
        <w:t>a</w:t>
      </w:r>
      <w:r>
        <w:rPr>
          <w:spacing w:val="-8"/>
        </w:rPr>
        <w:t> </w:t>
      </w:r>
      <w:r>
        <w:rPr/>
        <w:t>la</w:t>
      </w:r>
      <w:r>
        <w:rPr>
          <w:spacing w:val="-8"/>
        </w:rPr>
        <w:t> </w:t>
      </w:r>
      <w:r>
        <w:rPr/>
        <w:t>zona</w:t>
      </w:r>
      <w:r>
        <w:rPr>
          <w:spacing w:val="-8"/>
        </w:rPr>
        <w:t> </w:t>
      </w:r>
      <w:r>
        <w:rPr/>
        <w:t>suburbana,</w:t>
      </w:r>
      <w:r>
        <w:rPr>
          <w:spacing w:val="-8"/>
        </w:rPr>
        <w:t> </w:t>
      </w:r>
      <w:r>
        <w:rPr/>
        <w:t>en</w:t>
      </w:r>
      <w:r>
        <w:rPr>
          <w:spacing w:val="-8"/>
        </w:rPr>
        <w:t> </w:t>
      </w:r>
      <w:r>
        <w:rPr/>
        <w:t>la</w:t>
      </w:r>
      <w:r>
        <w:rPr>
          <w:spacing w:val="-8"/>
        </w:rPr>
        <w:t> </w:t>
      </w:r>
      <w:r>
        <w:rPr/>
        <w:t>que</w:t>
      </w:r>
      <w:r>
        <w:rPr>
          <w:spacing w:val="-8"/>
        </w:rPr>
        <w:t> </w:t>
      </w:r>
      <w:r>
        <w:rPr/>
        <w:t>el</w:t>
      </w:r>
      <w:r>
        <w:rPr>
          <w:spacing w:val="-8"/>
        </w:rPr>
        <w:t> </w:t>
      </w:r>
      <w:r>
        <w:rPr/>
        <w:t>proceso</w:t>
      </w:r>
      <w:r>
        <w:rPr>
          <w:spacing w:val="-8"/>
        </w:rPr>
        <w:t> </w:t>
      </w:r>
      <w:r>
        <w:rPr/>
        <w:t>de</w:t>
      </w:r>
      <w:r>
        <w:rPr>
          <w:spacing w:val="-8"/>
        </w:rPr>
        <w:t> </w:t>
      </w:r>
      <w:r>
        <w:rPr/>
        <w:t>suburbanización se produjo de manera repentina. Lo confirmó además el hecho de que los habitantes de Cracovia constituían más de la mitad de la afluencia migratoria a esta zona. En los años 1990-2012, la zona suburbana fue la parte de la ZMC de mayor crecimiento. La población</w:t>
      </w:r>
      <w:r>
        <w:rPr>
          <w:spacing w:val="-14"/>
        </w:rPr>
        <w:t> </w:t>
      </w:r>
      <w:r>
        <w:rPr/>
        <w:t>de</w:t>
      </w:r>
      <w:r>
        <w:rPr>
          <w:spacing w:val="-14"/>
        </w:rPr>
        <w:t> </w:t>
      </w:r>
      <w:r>
        <w:rPr/>
        <w:t>esta</w:t>
      </w:r>
      <w:r>
        <w:rPr>
          <w:spacing w:val="-14"/>
        </w:rPr>
        <w:t> </w:t>
      </w:r>
      <w:r>
        <w:rPr/>
        <w:t>zona</w:t>
      </w:r>
      <w:r>
        <w:rPr>
          <w:spacing w:val="-14"/>
        </w:rPr>
        <w:t> </w:t>
      </w:r>
      <w:r>
        <w:rPr/>
        <w:t>aumentó</w:t>
      </w:r>
      <w:r>
        <w:rPr>
          <w:spacing w:val="-14"/>
        </w:rPr>
        <w:t> </w:t>
      </w:r>
      <w:r>
        <w:rPr/>
        <w:t>de</w:t>
      </w:r>
      <w:r>
        <w:rPr>
          <w:spacing w:val="-14"/>
        </w:rPr>
        <w:t> </w:t>
      </w:r>
      <w:r>
        <w:rPr/>
        <w:t>más</w:t>
      </w:r>
      <w:r>
        <w:rPr>
          <w:spacing w:val="-14"/>
        </w:rPr>
        <w:t> </w:t>
      </w:r>
      <w:r>
        <w:rPr/>
        <w:t>del</w:t>
      </w:r>
      <w:r>
        <w:rPr>
          <w:spacing w:val="-14"/>
        </w:rPr>
        <w:t> </w:t>
      </w:r>
      <w:r>
        <w:rPr/>
        <w:t>24%</w:t>
      </w:r>
      <w:r>
        <w:rPr>
          <w:spacing w:val="-14"/>
        </w:rPr>
        <w:t> </w:t>
      </w:r>
      <w:r>
        <w:rPr/>
        <w:t>(53,1</w:t>
      </w:r>
      <w:r>
        <w:rPr>
          <w:spacing w:val="-14"/>
        </w:rPr>
        <w:t> </w:t>
      </w:r>
      <w:r>
        <w:rPr/>
        <w:t>mil</w:t>
      </w:r>
      <w:r>
        <w:rPr>
          <w:spacing w:val="-14"/>
        </w:rPr>
        <w:t> </w:t>
      </w:r>
      <w:r>
        <w:rPr/>
        <w:t>personas),</w:t>
      </w:r>
      <w:r>
        <w:rPr>
          <w:spacing w:val="-14"/>
        </w:rPr>
        <w:t> </w:t>
      </w:r>
      <w:r>
        <w:rPr/>
        <w:t>de</w:t>
      </w:r>
      <w:r>
        <w:rPr>
          <w:spacing w:val="-14"/>
        </w:rPr>
        <w:t> </w:t>
      </w:r>
      <w:r>
        <w:rPr/>
        <w:t>lo</w:t>
      </w:r>
      <w:r>
        <w:rPr>
          <w:spacing w:val="-14"/>
        </w:rPr>
        <w:t> </w:t>
      </w:r>
      <w:r>
        <w:rPr/>
        <w:t>que</w:t>
      </w:r>
      <w:r>
        <w:rPr>
          <w:spacing w:val="-14"/>
        </w:rPr>
        <w:t> </w:t>
      </w:r>
      <w:r>
        <w:rPr/>
        <w:t>el</w:t>
      </w:r>
      <w:r>
        <w:rPr>
          <w:spacing w:val="-14"/>
        </w:rPr>
        <w:t> </w:t>
      </w:r>
      <w:r>
        <w:rPr/>
        <w:t>72,3% (38,4 mil personas) constituyó el saldo migratorio positivo. También cabe mencionar que en la situación de un bajo crecimiento demográfico prolongado en Polonia, en algunos años incluso negativo, los flujos migratorios serán factor principal del aumento de población en las ciudades y las áreas circundantes. La afluencia migratoria será a su vez muy fuertemente dependiente de la situación económica de la ciudad, de su potencial económico, científico, cultural, social y de la situación de la vivienda. Las autoridades de las grandes ciudades, que están conscientes de la importancia de       la migración para el desarrollo de los centros urbanos que administran, animan de manera</w:t>
      </w:r>
      <w:r>
        <w:rPr>
          <w:spacing w:val="-9"/>
        </w:rPr>
        <w:t> </w:t>
      </w:r>
      <w:r>
        <w:rPr/>
        <w:t>cada</w:t>
      </w:r>
      <w:r>
        <w:rPr>
          <w:spacing w:val="-9"/>
        </w:rPr>
        <w:t> </w:t>
      </w:r>
      <w:r>
        <w:rPr/>
        <w:t>vez</w:t>
      </w:r>
      <w:r>
        <w:rPr>
          <w:spacing w:val="-9"/>
        </w:rPr>
        <w:t> </w:t>
      </w:r>
      <w:r>
        <w:rPr/>
        <w:t>más</w:t>
      </w:r>
      <w:r>
        <w:rPr>
          <w:spacing w:val="-9"/>
        </w:rPr>
        <w:t> </w:t>
      </w:r>
      <w:r>
        <w:rPr/>
        <w:t>activa</w:t>
      </w:r>
      <w:r>
        <w:rPr>
          <w:spacing w:val="-9"/>
        </w:rPr>
        <w:t> </w:t>
      </w:r>
      <w:r>
        <w:rPr/>
        <w:t>a</w:t>
      </w:r>
      <w:r>
        <w:rPr>
          <w:spacing w:val="-9"/>
        </w:rPr>
        <w:t> </w:t>
      </w:r>
      <w:r>
        <w:rPr/>
        <w:t>las</w:t>
      </w:r>
      <w:r>
        <w:rPr>
          <w:spacing w:val="-9"/>
        </w:rPr>
        <w:t> </w:t>
      </w:r>
      <w:r>
        <w:rPr/>
        <w:t>personas</w:t>
      </w:r>
      <w:r>
        <w:rPr>
          <w:spacing w:val="-9"/>
        </w:rPr>
        <w:t> </w:t>
      </w:r>
      <w:r>
        <w:rPr/>
        <w:t>jóvenes</w:t>
      </w:r>
      <w:r>
        <w:rPr>
          <w:spacing w:val="-9"/>
        </w:rPr>
        <w:t> </w:t>
      </w:r>
      <w:r>
        <w:rPr/>
        <w:t>a</w:t>
      </w:r>
      <w:r>
        <w:rPr>
          <w:spacing w:val="-9"/>
        </w:rPr>
        <w:t> </w:t>
      </w:r>
      <w:r>
        <w:rPr/>
        <w:t>estudiar</w:t>
      </w:r>
      <w:r>
        <w:rPr>
          <w:spacing w:val="-9"/>
        </w:rPr>
        <w:t> </w:t>
      </w:r>
      <w:r>
        <w:rPr/>
        <w:t>y</w:t>
      </w:r>
      <w:r>
        <w:rPr>
          <w:spacing w:val="-9"/>
        </w:rPr>
        <w:t> </w:t>
      </w:r>
      <w:r>
        <w:rPr/>
        <w:t>los</w:t>
      </w:r>
      <w:r>
        <w:rPr>
          <w:spacing w:val="-9"/>
        </w:rPr>
        <w:t> </w:t>
      </w:r>
      <w:r>
        <w:rPr/>
        <w:t>graduados</w:t>
      </w:r>
      <w:r>
        <w:rPr>
          <w:spacing w:val="-9"/>
        </w:rPr>
        <w:t> </w:t>
      </w:r>
      <w:r>
        <w:rPr/>
        <w:t>de</w:t>
      </w:r>
      <w:r>
        <w:rPr>
          <w:spacing w:val="-9"/>
        </w:rPr>
        <w:t> </w:t>
      </w:r>
      <w:r>
        <w:rPr/>
        <w:t>otras ciudades a buscar trabajo en su ciudad. Por otra parte, intentan también</w:t>
      </w:r>
      <w:r>
        <w:rPr>
          <w:spacing w:val="25"/>
        </w:rPr>
        <w:t> </w:t>
      </w:r>
      <w:r>
        <w:rPr/>
        <w:t>atraer</w:t>
      </w:r>
      <w:r>
        <w:rPr>
          <w:spacing w:val="2"/>
        </w:rPr>
        <w:t> </w:t>
      </w:r>
      <w:r>
        <w:rPr/>
        <w:t>nuevas</w:t>
      </w:r>
      <w:r>
        <w:rPr>
          <w:w w:val="98"/>
        </w:rPr>
        <w:t> </w:t>
      </w:r>
      <w:r>
        <w:rPr/>
        <w:t>inversiones que crean puestos de trabajo y así aumenta la atractividad de la ciudad para los potenciales</w:t>
      </w:r>
      <w:r>
        <w:rPr>
          <w:spacing w:val="24"/>
        </w:rPr>
        <w:t> </w:t>
      </w:r>
      <w:r>
        <w:rPr/>
        <w:t>inmigrantes.</w:t>
      </w:r>
    </w:p>
    <w:p>
      <w:pPr>
        <w:pStyle w:val="BodyText"/>
        <w:spacing w:before="11"/>
      </w:pPr>
    </w:p>
    <w:p>
      <w:pPr>
        <w:pStyle w:val="BodyText"/>
        <w:spacing w:line="249" w:lineRule="auto"/>
        <w:ind w:left="131" w:firstLine="170"/>
        <w:jc w:val="both"/>
      </w:pPr>
      <w:r>
        <w:rPr/>
        <w:t>La aceleración del proceso de suburbanización  observada  en  los  años  2002-  2013 fue un efecto de la mejora de la situación económica del país y del aumento     del poder adquisitivo de la población, lo que influyó en el cambio de preferencias        de</w:t>
      </w:r>
      <w:r>
        <w:rPr>
          <w:spacing w:val="15"/>
        </w:rPr>
        <w:t> </w:t>
      </w:r>
      <w:r>
        <w:rPr/>
        <w:t>vivienda</w:t>
      </w:r>
      <w:r>
        <w:rPr>
          <w:spacing w:val="15"/>
        </w:rPr>
        <w:t> </w:t>
      </w:r>
      <w:r>
        <w:rPr/>
        <w:t>y</w:t>
      </w:r>
      <w:r>
        <w:rPr>
          <w:spacing w:val="15"/>
        </w:rPr>
        <w:t> </w:t>
      </w:r>
      <w:r>
        <w:rPr/>
        <w:t>creó</w:t>
      </w:r>
      <w:r>
        <w:rPr>
          <w:spacing w:val="15"/>
        </w:rPr>
        <w:t> </w:t>
      </w:r>
      <w:r>
        <w:rPr/>
        <w:t>una</w:t>
      </w:r>
      <w:r>
        <w:rPr>
          <w:spacing w:val="15"/>
        </w:rPr>
        <w:t> </w:t>
      </w:r>
      <w:r>
        <w:rPr/>
        <w:t>demanda</w:t>
      </w:r>
      <w:r>
        <w:rPr>
          <w:spacing w:val="15"/>
        </w:rPr>
        <w:t> </w:t>
      </w:r>
      <w:r>
        <w:rPr/>
        <w:t>creciente</w:t>
      </w:r>
      <w:r>
        <w:rPr>
          <w:spacing w:val="15"/>
        </w:rPr>
        <w:t> </w:t>
      </w:r>
      <w:r>
        <w:rPr/>
        <w:t>de</w:t>
      </w:r>
      <w:r>
        <w:rPr>
          <w:spacing w:val="15"/>
        </w:rPr>
        <w:t> </w:t>
      </w:r>
      <w:r>
        <w:rPr/>
        <w:t>viviendas</w:t>
      </w:r>
      <w:r>
        <w:rPr>
          <w:spacing w:val="15"/>
        </w:rPr>
        <w:t> </w:t>
      </w:r>
      <w:r>
        <w:rPr/>
        <w:t>en</w:t>
      </w:r>
      <w:r>
        <w:rPr>
          <w:spacing w:val="15"/>
        </w:rPr>
        <w:t> </w:t>
      </w:r>
      <w:r>
        <w:rPr/>
        <w:t>casas</w:t>
      </w:r>
      <w:r>
        <w:rPr>
          <w:spacing w:val="15"/>
        </w:rPr>
        <w:t> </w:t>
      </w:r>
      <w:r>
        <w:rPr/>
        <w:t>fuera</w:t>
      </w:r>
      <w:r>
        <w:rPr>
          <w:spacing w:val="15"/>
        </w:rPr>
        <w:t> </w:t>
      </w:r>
      <w:r>
        <w:rPr/>
        <w:t>de</w:t>
      </w:r>
      <w:r>
        <w:rPr>
          <w:spacing w:val="15"/>
        </w:rPr>
        <w:t> </w:t>
      </w:r>
      <w:r>
        <w:rPr/>
        <w:t>la</w:t>
      </w:r>
      <w:r>
        <w:rPr>
          <w:spacing w:val="15"/>
        </w:rPr>
        <w:t> </w:t>
      </w:r>
      <w:r>
        <w:rPr/>
        <w:t>ciudad.</w:t>
      </w:r>
    </w:p>
    <w:p>
      <w:pPr>
        <w:pStyle w:val="BodyText"/>
        <w:spacing w:line="249" w:lineRule="auto" w:before="76"/>
        <w:ind w:left="131" w:right="127"/>
        <w:jc w:val="both"/>
      </w:pPr>
      <w:r>
        <w:rPr/>
        <w:br w:type="column"/>
      </w:r>
      <w:r>
        <w:rPr/>
        <w:t>Esta demanda fue además reforzada por las reducciones de impuestos para las personas que obtuvieron un crédito hipotecario. El tercer factor que aceleró el proceso de suburbanización fue la baja de los intereses de los préstamos hipotecarios y la posibilidad de obtener tal préstamo con más facilidad. También cabe mencionar que   el proceso de suburbanización fue además reforzado por el aumento de precios de la vivienda en Cracovia, lo que hizo el traslado a los suburbios más atractivo, ya que por el mismo precio se pudo comprar una casa mucho más </w:t>
      </w:r>
      <w:r>
        <w:rPr>
          <w:spacing w:val="13"/>
        </w:rPr>
        <w:t> </w:t>
      </w:r>
      <w:r>
        <w:rPr/>
        <w:t>grande.</w:t>
      </w:r>
    </w:p>
    <w:p>
      <w:pPr>
        <w:pStyle w:val="BodyText"/>
        <w:spacing w:before="11"/>
      </w:pPr>
    </w:p>
    <w:p>
      <w:pPr>
        <w:pStyle w:val="BodyText"/>
        <w:spacing w:line="249" w:lineRule="auto"/>
        <w:ind w:left="131" w:right="127" w:firstLine="170"/>
        <w:jc w:val="both"/>
      </w:pPr>
      <w:r>
        <w:rPr/>
        <w:t>El desarrollo del proceso de suburbanización contribuyó al aumento de los desplazamientos al trabajo y de la movilidad cotidiana de la población dentro de la ZMC.</w:t>
      </w:r>
      <w:r>
        <w:rPr>
          <w:spacing w:val="-10"/>
        </w:rPr>
        <w:t> </w:t>
      </w:r>
      <w:r>
        <w:rPr/>
        <w:t>En</w:t>
      </w:r>
      <w:r>
        <w:rPr>
          <w:spacing w:val="-10"/>
        </w:rPr>
        <w:t> </w:t>
      </w:r>
      <w:r>
        <w:rPr/>
        <w:t>los</w:t>
      </w:r>
      <w:r>
        <w:rPr>
          <w:spacing w:val="-10"/>
        </w:rPr>
        <w:t> </w:t>
      </w:r>
      <w:r>
        <w:rPr/>
        <w:t>años</w:t>
      </w:r>
      <w:r>
        <w:rPr>
          <w:spacing w:val="-10"/>
        </w:rPr>
        <w:t> </w:t>
      </w:r>
      <w:r>
        <w:rPr/>
        <w:t>2006-2011,</w:t>
      </w:r>
      <w:r>
        <w:rPr>
          <w:spacing w:val="-10"/>
        </w:rPr>
        <w:t> </w:t>
      </w:r>
      <w:r>
        <w:rPr/>
        <w:t>el</w:t>
      </w:r>
      <w:r>
        <w:rPr>
          <w:spacing w:val="-10"/>
        </w:rPr>
        <w:t> </w:t>
      </w:r>
      <w:r>
        <w:rPr/>
        <w:t>número</w:t>
      </w:r>
      <w:r>
        <w:rPr>
          <w:spacing w:val="-10"/>
        </w:rPr>
        <w:t> </w:t>
      </w:r>
      <w:r>
        <w:rPr/>
        <w:t>de</w:t>
      </w:r>
      <w:r>
        <w:rPr>
          <w:spacing w:val="-10"/>
        </w:rPr>
        <w:t> </w:t>
      </w:r>
      <w:r>
        <w:rPr/>
        <w:t>personas</w:t>
      </w:r>
      <w:r>
        <w:rPr>
          <w:spacing w:val="-10"/>
        </w:rPr>
        <w:t> </w:t>
      </w:r>
      <w:r>
        <w:rPr/>
        <w:t>que</w:t>
      </w:r>
      <w:r>
        <w:rPr>
          <w:spacing w:val="-10"/>
        </w:rPr>
        <w:t> </w:t>
      </w:r>
      <w:r>
        <w:rPr/>
        <w:t>viajaban</w:t>
      </w:r>
      <w:r>
        <w:rPr>
          <w:spacing w:val="-10"/>
        </w:rPr>
        <w:t> </w:t>
      </w:r>
      <w:r>
        <w:rPr/>
        <w:t>al</w:t>
      </w:r>
      <w:r>
        <w:rPr>
          <w:spacing w:val="-10"/>
        </w:rPr>
        <w:t> </w:t>
      </w:r>
      <w:r>
        <w:rPr/>
        <w:t>trabajo</w:t>
      </w:r>
      <w:r>
        <w:rPr>
          <w:spacing w:val="-10"/>
        </w:rPr>
        <w:t> </w:t>
      </w:r>
      <w:r>
        <w:rPr/>
        <w:t>a</w:t>
      </w:r>
      <w:r>
        <w:rPr>
          <w:spacing w:val="-10"/>
        </w:rPr>
        <w:t> </w:t>
      </w:r>
      <w:r>
        <w:rPr/>
        <w:t>Cracovia aumentó de un 56,4%, de 58,4 a 91,3 mil personas. Al mismo tiempo, el número de habitantes de Cracovia que viajaban al trabajo fuera de la ciudad aumentó de un 258,9%, de 7,8 a 28,2 mil personas. Por una parte, la creciente importancia de salidas al trabajo de Cracovia puede indicar también el desarrollo de la suburbanización económica, que consiste en el desplazamiento de empresas industriales y de servicios a</w:t>
      </w:r>
      <w:r>
        <w:rPr>
          <w:spacing w:val="-4"/>
        </w:rPr>
        <w:t> </w:t>
      </w:r>
      <w:r>
        <w:rPr/>
        <w:t>zonas</w:t>
      </w:r>
      <w:r>
        <w:rPr>
          <w:spacing w:val="-4"/>
        </w:rPr>
        <w:t> </w:t>
      </w:r>
      <w:r>
        <w:rPr/>
        <w:t>exteriores</w:t>
      </w:r>
      <w:r>
        <w:rPr>
          <w:spacing w:val="-4"/>
        </w:rPr>
        <w:t> </w:t>
      </w:r>
      <w:r>
        <w:rPr/>
        <w:t>de</w:t>
      </w:r>
      <w:r>
        <w:rPr>
          <w:spacing w:val="-4"/>
        </w:rPr>
        <w:t> </w:t>
      </w:r>
      <w:r>
        <w:rPr/>
        <w:t>la</w:t>
      </w:r>
      <w:r>
        <w:rPr>
          <w:spacing w:val="-4"/>
        </w:rPr>
        <w:t> </w:t>
      </w:r>
      <w:r>
        <w:rPr/>
        <w:t>ZMC.</w:t>
      </w:r>
      <w:r>
        <w:rPr>
          <w:spacing w:val="-4"/>
        </w:rPr>
        <w:t> </w:t>
      </w:r>
      <w:r>
        <w:rPr/>
        <w:t>Por</w:t>
      </w:r>
      <w:r>
        <w:rPr>
          <w:spacing w:val="-4"/>
        </w:rPr>
        <w:t> </w:t>
      </w:r>
      <w:r>
        <w:rPr/>
        <w:t>otra</w:t>
      </w:r>
      <w:r>
        <w:rPr>
          <w:spacing w:val="-4"/>
        </w:rPr>
        <w:t> </w:t>
      </w:r>
      <w:r>
        <w:rPr/>
        <w:t>parte,</w:t>
      </w:r>
      <w:r>
        <w:rPr>
          <w:spacing w:val="-4"/>
        </w:rPr>
        <w:t> </w:t>
      </w:r>
      <w:r>
        <w:rPr/>
        <w:t>entre</w:t>
      </w:r>
      <w:r>
        <w:rPr>
          <w:spacing w:val="-4"/>
        </w:rPr>
        <w:t> </w:t>
      </w:r>
      <w:r>
        <w:rPr/>
        <w:t>los</w:t>
      </w:r>
      <w:r>
        <w:rPr>
          <w:spacing w:val="-4"/>
        </w:rPr>
        <w:t> </w:t>
      </w:r>
      <w:r>
        <w:rPr/>
        <w:t>que</w:t>
      </w:r>
      <w:r>
        <w:rPr>
          <w:spacing w:val="-4"/>
        </w:rPr>
        <w:t> </w:t>
      </w:r>
      <w:r>
        <w:rPr/>
        <w:t>salen</w:t>
      </w:r>
      <w:r>
        <w:rPr>
          <w:spacing w:val="-4"/>
        </w:rPr>
        <w:t> </w:t>
      </w:r>
      <w:r>
        <w:rPr/>
        <w:t>al</w:t>
      </w:r>
      <w:r>
        <w:rPr>
          <w:spacing w:val="-4"/>
        </w:rPr>
        <w:t> </w:t>
      </w:r>
      <w:r>
        <w:rPr/>
        <w:t>trabajo</w:t>
      </w:r>
      <w:r>
        <w:rPr>
          <w:spacing w:val="-4"/>
        </w:rPr>
        <w:t> </w:t>
      </w:r>
      <w:r>
        <w:rPr/>
        <w:t>de</w:t>
      </w:r>
      <w:r>
        <w:rPr>
          <w:spacing w:val="-4"/>
        </w:rPr>
        <w:t> </w:t>
      </w:r>
      <w:r>
        <w:rPr/>
        <w:t>Cracovia un grupo cada vez mayor son las personas que viajan fuera de la ZMC, en la mayoría de</w:t>
      </w:r>
      <w:r>
        <w:rPr>
          <w:spacing w:val="-8"/>
        </w:rPr>
        <w:t> </w:t>
      </w:r>
      <w:r>
        <w:rPr/>
        <w:t>los</w:t>
      </w:r>
      <w:r>
        <w:rPr>
          <w:spacing w:val="-8"/>
        </w:rPr>
        <w:t> </w:t>
      </w:r>
      <w:r>
        <w:rPr/>
        <w:t>casos</w:t>
      </w:r>
      <w:r>
        <w:rPr>
          <w:spacing w:val="-8"/>
        </w:rPr>
        <w:t> </w:t>
      </w:r>
      <w:r>
        <w:rPr/>
        <w:t>a</w:t>
      </w:r>
      <w:r>
        <w:rPr>
          <w:spacing w:val="-8"/>
        </w:rPr>
        <w:t> </w:t>
      </w:r>
      <w:r>
        <w:rPr/>
        <w:t>otras</w:t>
      </w:r>
      <w:r>
        <w:rPr>
          <w:spacing w:val="-8"/>
        </w:rPr>
        <w:t> </w:t>
      </w:r>
      <w:r>
        <w:rPr/>
        <w:t>grandes</w:t>
      </w:r>
      <w:r>
        <w:rPr>
          <w:spacing w:val="-8"/>
        </w:rPr>
        <w:t> </w:t>
      </w:r>
      <w:r>
        <w:rPr/>
        <w:t>ciudades</w:t>
      </w:r>
      <w:r>
        <w:rPr>
          <w:spacing w:val="-8"/>
        </w:rPr>
        <w:t> </w:t>
      </w:r>
      <w:r>
        <w:rPr/>
        <w:t>en</w:t>
      </w:r>
      <w:r>
        <w:rPr>
          <w:spacing w:val="-8"/>
        </w:rPr>
        <w:t> </w:t>
      </w:r>
      <w:r>
        <w:rPr/>
        <w:t>el</w:t>
      </w:r>
      <w:r>
        <w:rPr>
          <w:spacing w:val="-8"/>
        </w:rPr>
        <w:t> </w:t>
      </w:r>
      <w:r>
        <w:rPr/>
        <w:t>país</w:t>
      </w:r>
      <w:r>
        <w:rPr>
          <w:spacing w:val="-8"/>
        </w:rPr>
        <w:t> </w:t>
      </w:r>
      <w:r>
        <w:rPr/>
        <w:t>(Varsovia,</w:t>
      </w:r>
      <w:r>
        <w:rPr>
          <w:spacing w:val="-8"/>
        </w:rPr>
        <w:t> </w:t>
      </w:r>
      <w:r>
        <w:rPr/>
        <w:t>Katowice,</w:t>
      </w:r>
      <w:r>
        <w:rPr>
          <w:spacing w:val="-8"/>
        </w:rPr>
        <w:t> </w:t>
      </w:r>
      <w:r>
        <w:rPr/>
        <w:t>Breslavia),</w:t>
      </w:r>
      <w:r>
        <w:rPr>
          <w:spacing w:val="-8"/>
        </w:rPr>
        <w:t> </w:t>
      </w:r>
      <w:r>
        <w:rPr/>
        <w:t>lo</w:t>
      </w:r>
      <w:r>
        <w:rPr>
          <w:spacing w:val="-8"/>
        </w:rPr>
        <w:t> </w:t>
      </w:r>
      <w:r>
        <w:rPr/>
        <w:t>que puede señalar el desarrollo del proceso de metropolización y el aumento de vínculos funcionales de Cracovia con otros grandes centros urbanos en Polonia. Hay que suponer que con el desarrollo de los procesos de suburbanización y el mejoramiento de</w:t>
      </w:r>
      <w:r>
        <w:rPr>
          <w:spacing w:val="-4"/>
        </w:rPr>
        <w:t> </w:t>
      </w:r>
      <w:r>
        <w:rPr/>
        <w:t>la</w:t>
      </w:r>
      <w:r>
        <w:rPr>
          <w:spacing w:val="-4"/>
        </w:rPr>
        <w:t> </w:t>
      </w:r>
      <w:r>
        <w:rPr/>
        <w:t>red</w:t>
      </w:r>
      <w:r>
        <w:rPr>
          <w:spacing w:val="-4"/>
        </w:rPr>
        <w:t> </w:t>
      </w:r>
      <w:r>
        <w:rPr/>
        <w:t>de</w:t>
      </w:r>
      <w:r>
        <w:rPr>
          <w:spacing w:val="-4"/>
        </w:rPr>
        <w:t> </w:t>
      </w:r>
      <w:r>
        <w:rPr/>
        <w:t>transporte</w:t>
      </w:r>
      <w:r>
        <w:rPr>
          <w:spacing w:val="-4"/>
        </w:rPr>
        <w:t> </w:t>
      </w:r>
      <w:r>
        <w:rPr/>
        <w:t>la</w:t>
      </w:r>
      <w:r>
        <w:rPr>
          <w:spacing w:val="-4"/>
        </w:rPr>
        <w:t> </w:t>
      </w:r>
      <w:r>
        <w:rPr/>
        <w:t>intensidad</w:t>
      </w:r>
      <w:r>
        <w:rPr>
          <w:spacing w:val="-4"/>
        </w:rPr>
        <w:t> </w:t>
      </w:r>
      <w:r>
        <w:rPr/>
        <w:t>de</w:t>
      </w:r>
      <w:r>
        <w:rPr>
          <w:spacing w:val="-4"/>
        </w:rPr>
        <w:t> </w:t>
      </w:r>
      <w:r>
        <w:rPr/>
        <w:t>los</w:t>
      </w:r>
      <w:r>
        <w:rPr>
          <w:spacing w:val="-4"/>
        </w:rPr>
        <w:t> </w:t>
      </w:r>
      <w:r>
        <w:rPr/>
        <w:t>desplazamientos</w:t>
      </w:r>
      <w:r>
        <w:rPr>
          <w:spacing w:val="-4"/>
        </w:rPr>
        <w:t> </w:t>
      </w:r>
      <w:r>
        <w:rPr/>
        <w:t>al</w:t>
      </w:r>
      <w:r>
        <w:rPr>
          <w:spacing w:val="-4"/>
        </w:rPr>
        <w:t> </w:t>
      </w:r>
      <w:r>
        <w:rPr/>
        <w:t>trabajo</w:t>
      </w:r>
      <w:r>
        <w:rPr>
          <w:spacing w:val="-4"/>
        </w:rPr>
        <w:t> </w:t>
      </w:r>
      <w:r>
        <w:rPr/>
        <w:t>aumentará</w:t>
      </w:r>
      <w:r>
        <w:rPr>
          <w:spacing w:val="-4"/>
        </w:rPr>
        <w:t> </w:t>
      </w:r>
      <w:r>
        <w:rPr/>
        <w:t>y</w:t>
      </w:r>
      <w:r>
        <w:rPr>
          <w:spacing w:val="-4"/>
        </w:rPr>
        <w:t> </w:t>
      </w:r>
      <w:r>
        <w:rPr/>
        <w:t>sus direcciones serán aún más complejas y</w:t>
      </w:r>
      <w:r>
        <w:rPr>
          <w:spacing w:val="17"/>
        </w:rPr>
        <w:t> </w:t>
      </w:r>
      <w:r>
        <w:rPr/>
        <w:t>largas.</w:t>
      </w:r>
    </w:p>
    <w:p>
      <w:pPr>
        <w:spacing w:after="0" w:line="249" w:lineRule="auto"/>
        <w:jc w:val="both"/>
        <w:sectPr>
          <w:type w:val="continuous"/>
          <w:pgSz w:w="18830" w:h="12760" w:orient="landscape"/>
          <w:pgMar w:top="1420" w:bottom="280" w:left="720" w:right="720"/>
          <w:cols w:num="2" w:equalWidth="0">
            <w:col w:w="7843" w:space="1567"/>
            <w:col w:w="7980"/>
          </w:cols>
        </w:sectPr>
      </w:pPr>
    </w:p>
    <w:p>
      <w:pPr>
        <w:pStyle w:val="BodyText"/>
        <w:spacing w:before="8"/>
      </w:pPr>
    </w:p>
    <w:p>
      <w:pPr>
        <w:spacing w:after="0"/>
        <w:sectPr>
          <w:footerReference w:type="default" r:id="rId373"/>
          <w:pgSz w:w="18830" w:h="12760" w:orient="landscape"/>
          <w:pgMar w:footer="1036" w:header="522" w:top="820" w:bottom="1220" w:left="720" w:right="720"/>
        </w:sectPr>
      </w:pPr>
    </w:p>
    <w:p>
      <w:pPr>
        <w:pStyle w:val="Heading1"/>
        <w:spacing w:before="71"/>
        <w:ind w:left="301" w:right="3"/>
      </w:pPr>
      <w:r>
        <w:rPr/>
        <w:t>Referencias bibliográficas</w:t>
      </w:r>
    </w:p>
    <w:p>
      <w:pPr>
        <w:pStyle w:val="BodyText"/>
        <w:rPr>
          <w:b/>
          <w:sz w:val="24"/>
        </w:rPr>
      </w:pPr>
    </w:p>
    <w:p>
      <w:pPr>
        <w:spacing w:line="249" w:lineRule="auto" w:before="205"/>
        <w:ind w:left="754" w:right="0" w:hanging="624"/>
        <w:jc w:val="both"/>
        <w:rPr>
          <w:sz w:val="20"/>
        </w:rPr>
      </w:pPr>
      <w:r>
        <w:rPr>
          <w:sz w:val="20"/>
        </w:rPr>
        <w:t>Berg,</w:t>
      </w:r>
      <w:r>
        <w:rPr>
          <w:spacing w:val="-19"/>
          <w:sz w:val="20"/>
        </w:rPr>
        <w:t> </w:t>
      </w:r>
      <w:r>
        <w:rPr>
          <w:sz w:val="20"/>
        </w:rPr>
        <w:t>L.</w:t>
      </w:r>
      <w:r>
        <w:rPr>
          <w:spacing w:val="-19"/>
          <w:sz w:val="20"/>
        </w:rPr>
        <w:t> </w:t>
      </w:r>
      <w:r>
        <w:rPr>
          <w:sz w:val="20"/>
        </w:rPr>
        <w:t>van</w:t>
      </w:r>
      <w:r>
        <w:rPr>
          <w:spacing w:val="-19"/>
          <w:sz w:val="20"/>
        </w:rPr>
        <w:t> </w:t>
      </w:r>
      <w:r>
        <w:rPr>
          <w:sz w:val="20"/>
        </w:rPr>
        <w:t>den,</w:t>
      </w:r>
      <w:r>
        <w:rPr>
          <w:spacing w:val="-19"/>
          <w:sz w:val="20"/>
        </w:rPr>
        <w:t> </w:t>
      </w:r>
      <w:r>
        <w:rPr>
          <w:sz w:val="20"/>
        </w:rPr>
        <w:t>Drewett,</w:t>
      </w:r>
      <w:r>
        <w:rPr>
          <w:spacing w:val="-19"/>
          <w:sz w:val="20"/>
        </w:rPr>
        <w:t> </w:t>
      </w:r>
      <w:r>
        <w:rPr>
          <w:sz w:val="20"/>
        </w:rPr>
        <w:t>R.,</w:t>
      </w:r>
      <w:r>
        <w:rPr>
          <w:spacing w:val="-19"/>
          <w:sz w:val="20"/>
        </w:rPr>
        <w:t> </w:t>
      </w:r>
      <w:r>
        <w:rPr>
          <w:sz w:val="20"/>
        </w:rPr>
        <w:t>Klassen,</w:t>
      </w:r>
      <w:r>
        <w:rPr>
          <w:spacing w:val="-19"/>
          <w:sz w:val="20"/>
        </w:rPr>
        <w:t> </w:t>
      </w:r>
      <w:r>
        <w:rPr>
          <w:sz w:val="20"/>
        </w:rPr>
        <w:t>L.,</w:t>
      </w:r>
      <w:r>
        <w:rPr>
          <w:spacing w:val="-19"/>
          <w:sz w:val="20"/>
        </w:rPr>
        <w:t> </w:t>
      </w:r>
      <w:r>
        <w:rPr>
          <w:sz w:val="20"/>
        </w:rPr>
        <w:t>Rossi,</w:t>
      </w:r>
      <w:r>
        <w:rPr>
          <w:spacing w:val="-19"/>
          <w:sz w:val="20"/>
        </w:rPr>
        <w:t> </w:t>
      </w:r>
      <w:r>
        <w:rPr>
          <w:sz w:val="20"/>
        </w:rPr>
        <w:t>A.,</w:t>
      </w:r>
      <w:r>
        <w:rPr>
          <w:spacing w:val="-19"/>
          <w:sz w:val="20"/>
        </w:rPr>
        <w:t> </w:t>
      </w:r>
      <w:r>
        <w:rPr>
          <w:sz w:val="20"/>
        </w:rPr>
        <w:t>Vijverberg,</w:t>
      </w:r>
      <w:r>
        <w:rPr>
          <w:spacing w:val="-19"/>
          <w:sz w:val="20"/>
        </w:rPr>
        <w:t> </w:t>
      </w:r>
      <w:r>
        <w:rPr>
          <w:sz w:val="20"/>
        </w:rPr>
        <w:t>C.</w:t>
      </w:r>
      <w:r>
        <w:rPr>
          <w:spacing w:val="-19"/>
          <w:sz w:val="20"/>
        </w:rPr>
        <w:t> </w:t>
      </w:r>
      <w:r>
        <w:rPr>
          <w:sz w:val="20"/>
        </w:rPr>
        <w:t>(1982).</w:t>
      </w:r>
      <w:r>
        <w:rPr>
          <w:spacing w:val="-19"/>
          <w:sz w:val="20"/>
        </w:rPr>
        <w:t> </w:t>
      </w:r>
      <w:r>
        <w:rPr>
          <w:i/>
          <w:sz w:val="20"/>
        </w:rPr>
        <w:t>Urban</w:t>
      </w:r>
      <w:r>
        <w:rPr>
          <w:i/>
          <w:spacing w:val="-19"/>
          <w:sz w:val="20"/>
        </w:rPr>
        <w:t> </w:t>
      </w:r>
      <w:r>
        <w:rPr>
          <w:i/>
          <w:sz w:val="20"/>
        </w:rPr>
        <w:t>Europe: </w:t>
      </w:r>
      <w:r>
        <w:rPr>
          <w:i/>
          <w:sz w:val="20"/>
        </w:rPr>
        <w:t>A Study of Growth and Decline</w:t>
      </w:r>
      <w:r>
        <w:rPr>
          <w:sz w:val="20"/>
        </w:rPr>
        <w:t>. Oxford:</w:t>
      </w:r>
      <w:r>
        <w:rPr>
          <w:spacing w:val="39"/>
          <w:sz w:val="20"/>
        </w:rPr>
        <w:t> </w:t>
      </w:r>
      <w:r>
        <w:rPr>
          <w:sz w:val="20"/>
        </w:rPr>
        <w:t>Pergamon.</w:t>
      </w:r>
    </w:p>
    <w:p>
      <w:pPr>
        <w:pStyle w:val="BodyText"/>
        <w:spacing w:before="11"/>
      </w:pPr>
    </w:p>
    <w:p>
      <w:pPr>
        <w:spacing w:line="249" w:lineRule="auto" w:before="0"/>
        <w:ind w:left="754" w:right="0" w:hanging="624"/>
        <w:jc w:val="both"/>
        <w:rPr>
          <w:sz w:val="20"/>
        </w:rPr>
      </w:pPr>
      <w:r>
        <w:rPr>
          <w:sz w:val="20"/>
        </w:rPr>
        <w:t>Ford, T. (1999). Understanding population growth in the peri-urban region.</w:t>
      </w:r>
      <w:r>
        <w:rPr>
          <w:spacing w:val="-9"/>
          <w:sz w:val="20"/>
        </w:rPr>
        <w:t> </w:t>
      </w:r>
      <w:r>
        <w:rPr>
          <w:i/>
          <w:sz w:val="20"/>
        </w:rPr>
        <w:t>International </w:t>
      </w:r>
      <w:r>
        <w:rPr>
          <w:i/>
          <w:sz w:val="20"/>
        </w:rPr>
        <w:t>Journal of Population Geography</w:t>
      </w:r>
      <w:r>
        <w:rPr>
          <w:sz w:val="20"/>
        </w:rPr>
        <w:t>, 5,</w:t>
      </w:r>
      <w:r>
        <w:rPr>
          <w:spacing w:val="1"/>
          <w:sz w:val="20"/>
        </w:rPr>
        <w:t> </w:t>
      </w:r>
      <w:r>
        <w:rPr>
          <w:sz w:val="20"/>
        </w:rPr>
        <w:t>297–311.</w:t>
      </w:r>
    </w:p>
    <w:p>
      <w:pPr>
        <w:pStyle w:val="BodyText"/>
        <w:spacing w:before="11"/>
      </w:pPr>
    </w:p>
    <w:p>
      <w:pPr>
        <w:pStyle w:val="BodyText"/>
        <w:spacing w:line="249" w:lineRule="auto"/>
        <w:ind w:left="754" w:hanging="624"/>
        <w:jc w:val="both"/>
      </w:pPr>
      <w:r>
        <w:rPr/>
        <w:t>Garcia-López, M.-À. (2012). Urban spatial structure, suburbanization and</w:t>
      </w:r>
      <w:r>
        <w:rPr>
          <w:spacing w:val="-35"/>
        </w:rPr>
        <w:t> </w:t>
      </w:r>
      <w:r>
        <w:rPr/>
        <w:t>transportation in Barcelona. </w:t>
      </w:r>
      <w:r>
        <w:rPr>
          <w:i/>
        </w:rPr>
        <w:t>Journal of Urban Economics</w:t>
      </w:r>
      <w:r>
        <w:rPr/>
        <w:t>, 72,</w:t>
      </w:r>
      <w:r>
        <w:rPr>
          <w:spacing w:val="9"/>
        </w:rPr>
        <w:t> </w:t>
      </w:r>
      <w:r>
        <w:rPr/>
        <w:t>176–190.</w:t>
      </w:r>
    </w:p>
    <w:p>
      <w:pPr>
        <w:pStyle w:val="BodyText"/>
        <w:spacing w:before="11"/>
      </w:pPr>
    </w:p>
    <w:p>
      <w:pPr>
        <w:pStyle w:val="BodyText"/>
        <w:spacing w:line="249" w:lineRule="auto"/>
        <w:ind w:left="754" w:hanging="624"/>
        <w:jc w:val="both"/>
      </w:pPr>
      <w:r>
        <w:rPr/>
        <w:t>García-Palomares,</w:t>
      </w:r>
      <w:r>
        <w:rPr>
          <w:spacing w:val="-16"/>
        </w:rPr>
        <w:t> </w:t>
      </w:r>
      <w:r>
        <w:rPr/>
        <w:t>J.C.</w:t>
      </w:r>
      <w:r>
        <w:rPr>
          <w:spacing w:val="-16"/>
        </w:rPr>
        <w:t> </w:t>
      </w:r>
      <w:r>
        <w:rPr/>
        <w:t>(2010).</w:t>
      </w:r>
      <w:r>
        <w:rPr>
          <w:spacing w:val="-16"/>
        </w:rPr>
        <w:t> </w:t>
      </w:r>
      <w:r>
        <w:rPr/>
        <w:t>Urban</w:t>
      </w:r>
      <w:r>
        <w:rPr>
          <w:spacing w:val="-16"/>
        </w:rPr>
        <w:t> </w:t>
      </w:r>
      <w:r>
        <w:rPr/>
        <w:t>sprawl</w:t>
      </w:r>
      <w:r>
        <w:rPr>
          <w:spacing w:val="-16"/>
        </w:rPr>
        <w:t> </w:t>
      </w:r>
      <w:r>
        <w:rPr/>
        <w:t>and</w:t>
      </w:r>
      <w:r>
        <w:rPr>
          <w:spacing w:val="-16"/>
        </w:rPr>
        <w:t> </w:t>
      </w:r>
      <w:r>
        <w:rPr/>
        <w:t>travel</w:t>
      </w:r>
      <w:r>
        <w:rPr>
          <w:spacing w:val="-16"/>
        </w:rPr>
        <w:t> </w:t>
      </w:r>
      <w:r>
        <w:rPr/>
        <w:t>to</w:t>
      </w:r>
      <w:r>
        <w:rPr>
          <w:spacing w:val="-16"/>
        </w:rPr>
        <w:t> </w:t>
      </w:r>
      <w:r>
        <w:rPr/>
        <w:t>work:</w:t>
      </w:r>
      <w:r>
        <w:rPr>
          <w:spacing w:val="-16"/>
        </w:rPr>
        <w:t> </w:t>
      </w:r>
      <w:r>
        <w:rPr/>
        <w:t>the</w:t>
      </w:r>
      <w:r>
        <w:rPr>
          <w:spacing w:val="-16"/>
        </w:rPr>
        <w:t> </w:t>
      </w:r>
      <w:r>
        <w:rPr/>
        <w:t>case</w:t>
      </w:r>
      <w:r>
        <w:rPr>
          <w:spacing w:val="-16"/>
        </w:rPr>
        <w:t> </w:t>
      </w:r>
      <w:r>
        <w:rPr/>
        <w:t>of</w:t>
      </w:r>
      <w:r>
        <w:rPr>
          <w:spacing w:val="-16"/>
        </w:rPr>
        <w:t> </w:t>
      </w:r>
      <w:r>
        <w:rPr/>
        <w:t>metropolitan area of Madrid. </w:t>
      </w:r>
      <w:r>
        <w:rPr>
          <w:i/>
        </w:rPr>
        <w:t>Journal of Transport Geography</w:t>
      </w:r>
      <w:r>
        <w:rPr/>
        <w:t>, 18(2),</w:t>
      </w:r>
      <w:r>
        <w:rPr>
          <w:spacing w:val="-25"/>
        </w:rPr>
        <w:t> </w:t>
      </w:r>
      <w:r>
        <w:rPr/>
        <w:t>197–213.</w:t>
      </w:r>
    </w:p>
    <w:p>
      <w:pPr>
        <w:pStyle w:val="BodyText"/>
        <w:spacing w:before="11"/>
      </w:pPr>
    </w:p>
    <w:p>
      <w:pPr>
        <w:pStyle w:val="BodyText"/>
        <w:spacing w:line="249" w:lineRule="auto"/>
        <w:ind w:left="754" w:hanging="624"/>
        <w:jc w:val="both"/>
      </w:pPr>
      <w:r>
        <w:rPr/>
        <w:t>Gawryszewski, A. (1989). Przestrzenna ruchliwość ludności Polski, 1952–1985. Wrocław–Warszawa: Prace Habilitacyjne, Instytut Geografii i Przestrzennego Zagospodarowania PAN.</w:t>
      </w:r>
    </w:p>
    <w:p>
      <w:pPr>
        <w:pStyle w:val="BodyText"/>
        <w:spacing w:before="11"/>
      </w:pPr>
    </w:p>
    <w:p>
      <w:pPr>
        <w:spacing w:before="0"/>
        <w:ind w:left="131" w:right="3" w:firstLine="0"/>
        <w:jc w:val="left"/>
        <w:rPr>
          <w:i/>
          <w:sz w:val="20"/>
        </w:rPr>
      </w:pPr>
      <w:r>
        <w:rPr>
          <w:sz w:val="20"/>
        </w:rPr>
        <w:t>Grzeszczak, J. (1996). </w:t>
      </w:r>
      <w:r>
        <w:rPr>
          <w:i/>
          <w:sz w:val="20"/>
        </w:rPr>
        <w:t>Tendencje kontrurbanizacyjne w krajach Europy Zachodniej.</w:t>
      </w:r>
    </w:p>
    <w:p>
      <w:pPr>
        <w:spacing w:before="10"/>
        <w:ind w:left="754" w:right="3" w:firstLine="0"/>
        <w:jc w:val="left"/>
        <w:rPr>
          <w:i/>
          <w:sz w:val="20"/>
        </w:rPr>
      </w:pPr>
      <w:r>
        <w:rPr>
          <w:i/>
          <w:sz w:val="20"/>
        </w:rPr>
        <w:t>Wrocław: Wydawnictwo Continuo.</w:t>
      </w:r>
    </w:p>
    <w:p>
      <w:pPr>
        <w:pStyle w:val="BodyText"/>
        <w:spacing w:before="8"/>
        <w:rPr>
          <w:i/>
          <w:sz w:val="21"/>
        </w:rPr>
      </w:pPr>
    </w:p>
    <w:p>
      <w:pPr>
        <w:pStyle w:val="BodyText"/>
        <w:spacing w:line="249" w:lineRule="auto"/>
        <w:ind w:left="754" w:right="1" w:hanging="624"/>
        <w:jc w:val="both"/>
      </w:pPr>
      <w:r>
        <w:rPr/>
        <w:t>Grzeszczak, J. (2000). Kontrurbanizacja – idea i rzeczywistość. Przegląd</w:t>
      </w:r>
      <w:r>
        <w:rPr>
          <w:spacing w:val="-33"/>
        </w:rPr>
        <w:t> </w:t>
      </w:r>
      <w:r>
        <w:rPr/>
        <w:t>Geograficzny, </w:t>
      </w:r>
      <w:r>
        <w:rPr>
          <w:w w:val="95"/>
        </w:rPr>
        <w:t>72(4),</w:t>
      </w:r>
      <w:r>
        <w:rPr>
          <w:spacing w:val="29"/>
          <w:w w:val="95"/>
        </w:rPr>
        <w:t> </w:t>
      </w:r>
      <w:r>
        <w:rPr>
          <w:w w:val="95"/>
        </w:rPr>
        <w:t>373–393.</w:t>
      </w:r>
    </w:p>
    <w:p>
      <w:pPr>
        <w:pStyle w:val="BodyText"/>
        <w:spacing w:before="11"/>
      </w:pPr>
    </w:p>
    <w:p>
      <w:pPr>
        <w:pStyle w:val="BodyText"/>
        <w:spacing w:line="249" w:lineRule="auto"/>
        <w:ind w:left="754" w:hanging="624"/>
        <w:jc w:val="both"/>
      </w:pPr>
      <w:r>
        <w:rPr/>
        <w:t>Gutiérrez, J., García-Palomares, J.C. (2007). New spatial patterns of mobility within metropolitan area of Madrid: towards more complex and dispersed flow networks. </w:t>
      </w:r>
      <w:r>
        <w:rPr>
          <w:i/>
        </w:rPr>
        <w:t>Journal of Transport Geography</w:t>
      </w:r>
      <w:r>
        <w:rPr/>
        <w:t>, 15, 18–30.</w:t>
      </w:r>
    </w:p>
    <w:p>
      <w:pPr>
        <w:pStyle w:val="BodyText"/>
        <w:spacing w:before="11"/>
      </w:pPr>
    </w:p>
    <w:p>
      <w:pPr>
        <w:pStyle w:val="BodyText"/>
        <w:spacing w:line="249" w:lineRule="auto"/>
        <w:ind w:left="754" w:hanging="624"/>
        <w:jc w:val="both"/>
      </w:pPr>
      <w:r>
        <w:rPr/>
        <w:t>Gutiérrez, J., Gómez, G. (1999). The impact of orbital motorways on intra-metropolitan accessibility: the case of Madrid’s M-40. </w:t>
      </w:r>
      <w:r>
        <w:rPr>
          <w:i/>
        </w:rPr>
        <w:t>Journal of Transport Geography</w:t>
      </w:r>
      <w:r>
        <w:rPr/>
        <w:t>, 7, 1–15.</w:t>
      </w:r>
    </w:p>
    <w:p>
      <w:pPr>
        <w:pStyle w:val="BodyText"/>
        <w:spacing w:before="11"/>
      </w:pPr>
    </w:p>
    <w:p>
      <w:pPr>
        <w:pStyle w:val="BodyText"/>
        <w:spacing w:line="249" w:lineRule="auto"/>
        <w:ind w:left="754" w:right="1" w:hanging="624"/>
        <w:jc w:val="both"/>
      </w:pPr>
      <w:r>
        <w:rPr/>
        <w:t>Huculak,</w:t>
      </w:r>
      <w:r>
        <w:rPr>
          <w:spacing w:val="-8"/>
        </w:rPr>
        <w:t> </w:t>
      </w:r>
      <w:r>
        <w:rPr/>
        <w:t>M.,</w:t>
      </w:r>
      <w:r>
        <w:rPr>
          <w:spacing w:val="-8"/>
        </w:rPr>
        <w:t> </w:t>
      </w:r>
      <w:r>
        <w:rPr/>
        <w:t>Dej,</w:t>
      </w:r>
      <w:r>
        <w:rPr>
          <w:spacing w:val="-8"/>
        </w:rPr>
        <w:t> </w:t>
      </w:r>
      <w:r>
        <w:rPr/>
        <w:t>M.,</w:t>
      </w:r>
      <w:r>
        <w:rPr>
          <w:spacing w:val="-8"/>
        </w:rPr>
        <w:t> </w:t>
      </w:r>
      <w:r>
        <w:rPr/>
        <w:t>Jarczewski,</w:t>
      </w:r>
      <w:r>
        <w:rPr>
          <w:spacing w:val="-8"/>
        </w:rPr>
        <w:t> </w:t>
      </w:r>
      <w:r>
        <w:rPr/>
        <w:t>W.</w:t>
      </w:r>
      <w:r>
        <w:rPr>
          <w:spacing w:val="-8"/>
        </w:rPr>
        <w:t> </w:t>
      </w:r>
      <w:r>
        <w:rPr/>
        <w:t>(2013).</w:t>
      </w:r>
      <w:r>
        <w:rPr>
          <w:spacing w:val="-8"/>
        </w:rPr>
        <w:t> </w:t>
      </w:r>
      <w:r>
        <w:rPr/>
        <w:t>Powiązania</w:t>
      </w:r>
      <w:r>
        <w:rPr>
          <w:spacing w:val="-8"/>
        </w:rPr>
        <w:t> </w:t>
      </w:r>
      <w:r>
        <w:rPr/>
        <w:t>infrastrukturalne</w:t>
      </w:r>
      <w:r>
        <w:rPr>
          <w:spacing w:val="-8"/>
        </w:rPr>
        <w:t> </w:t>
      </w:r>
      <w:r>
        <w:rPr/>
        <w:t>i</w:t>
      </w:r>
      <w:r>
        <w:rPr>
          <w:spacing w:val="-8"/>
        </w:rPr>
        <w:t> </w:t>
      </w:r>
      <w:r>
        <w:rPr/>
        <w:t>funkcjonalne gmin wiejskich w ramach obszaru metropolitalnego – przypadek Krakowskiego Obszaru Metropolitalnego. </w:t>
      </w:r>
      <w:r>
        <w:rPr>
          <w:i/>
        </w:rPr>
        <w:t>Studia Obszarów Wiejskich</w:t>
      </w:r>
      <w:r>
        <w:rPr/>
        <w:t>, 34,</w:t>
      </w:r>
      <w:r>
        <w:rPr>
          <w:spacing w:val="5"/>
        </w:rPr>
        <w:t> </w:t>
      </w:r>
      <w:r>
        <w:rPr/>
        <w:t>131–148.</w:t>
      </w:r>
    </w:p>
    <w:p>
      <w:pPr>
        <w:pStyle w:val="BodyText"/>
        <w:spacing w:before="11"/>
      </w:pPr>
    </w:p>
    <w:p>
      <w:pPr>
        <w:pStyle w:val="BodyText"/>
        <w:spacing w:line="249" w:lineRule="auto"/>
        <w:ind w:left="754" w:hanging="624"/>
        <w:jc w:val="both"/>
      </w:pPr>
      <w:r>
        <w:rPr/>
        <w:t>Kajdanek, K. (2011). Pomiędzy miastem a wsią. Suburbanizacja na przykładzie osiedli podmiejskich Wrocławia. Kraków: NOMOS.</w:t>
      </w:r>
    </w:p>
    <w:p>
      <w:pPr>
        <w:pStyle w:val="BodyText"/>
        <w:spacing w:before="11"/>
      </w:pPr>
    </w:p>
    <w:p>
      <w:pPr>
        <w:spacing w:before="0"/>
        <w:ind w:left="131" w:right="3" w:firstLine="0"/>
        <w:jc w:val="left"/>
        <w:rPr>
          <w:sz w:val="20"/>
        </w:rPr>
      </w:pPr>
      <w:r>
        <w:rPr>
          <w:sz w:val="20"/>
        </w:rPr>
        <w:t>Kajdanek, K. (2012). </w:t>
      </w:r>
      <w:r>
        <w:rPr>
          <w:i/>
          <w:sz w:val="20"/>
        </w:rPr>
        <w:t>Suburbanizacja po polsku</w:t>
      </w:r>
      <w:r>
        <w:rPr>
          <w:sz w:val="20"/>
        </w:rPr>
        <w:t>. Kraków: NOMOS.</w:t>
      </w:r>
    </w:p>
    <w:p>
      <w:pPr>
        <w:spacing w:line="249" w:lineRule="auto" w:before="109"/>
        <w:ind w:left="754" w:right="128" w:hanging="624"/>
        <w:jc w:val="both"/>
        <w:rPr>
          <w:sz w:val="20"/>
        </w:rPr>
      </w:pPr>
      <w:r>
        <w:rPr/>
        <w:br w:type="column"/>
      </w:r>
      <w:r>
        <w:rPr>
          <w:sz w:val="20"/>
        </w:rPr>
        <w:t>Keserű, I. (2013). </w:t>
      </w:r>
      <w:r>
        <w:rPr>
          <w:i/>
          <w:sz w:val="20"/>
        </w:rPr>
        <w:t>Post-suburban transformation in the functional urban region of </w:t>
      </w:r>
      <w:r>
        <w:rPr>
          <w:i/>
          <w:sz w:val="20"/>
        </w:rPr>
        <w:t>Budapest</w:t>
      </w:r>
      <w:r>
        <w:rPr>
          <w:i/>
          <w:spacing w:val="-5"/>
          <w:sz w:val="20"/>
        </w:rPr>
        <w:t> </w:t>
      </w:r>
      <w:r>
        <w:rPr>
          <w:i/>
          <w:sz w:val="20"/>
        </w:rPr>
        <w:t>in</w:t>
      </w:r>
      <w:r>
        <w:rPr>
          <w:i/>
          <w:spacing w:val="-5"/>
          <w:sz w:val="20"/>
        </w:rPr>
        <w:t> </w:t>
      </w:r>
      <w:r>
        <w:rPr>
          <w:i/>
          <w:sz w:val="20"/>
        </w:rPr>
        <w:t>the</w:t>
      </w:r>
      <w:r>
        <w:rPr>
          <w:i/>
          <w:spacing w:val="-5"/>
          <w:sz w:val="20"/>
        </w:rPr>
        <w:t> </w:t>
      </w:r>
      <w:r>
        <w:rPr>
          <w:i/>
          <w:sz w:val="20"/>
        </w:rPr>
        <w:t>context</w:t>
      </w:r>
      <w:r>
        <w:rPr>
          <w:i/>
          <w:spacing w:val="-5"/>
          <w:sz w:val="20"/>
        </w:rPr>
        <w:t> </w:t>
      </w:r>
      <w:r>
        <w:rPr>
          <w:i/>
          <w:sz w:val="20"/>
        </w:rPr>
        <w:t>of</w:t>
      </w:r>
      <w:r>
        <w:rPr>
          <w:i/>
          <w:spacing w:val="-5"/>
          <w:sz w:val="20"/>
        </w:rPr>
        <w:t> </w:t>
      </w:r>
      <w:r>
        <w:rPr>
          <w:i/>
          <w:sz w:val="20"/>
        </w:rPr>
        <w:t>changing</w:t>
      </w:r>
      <w:r>
        <w:rPr>
          <w:i/>
          <w:spacing w:val="-5"/>
          <w:sz w:val="20"/>
        </w:rPr>
        <w:t> </w:t>
      </w:r>
      <w:r>
        <w:rPr>
          <w:i/>
          <w:sz w:val="20"/>
        </w:rPr>
        <w:t>commuting</w:t>
      </w:r>
      <w:r>
        <w:rPr>
          <w:i/>
          <w:spacing w:val="-5"/>
          <w:sz w:val="20"/>
        </w:rPr>
        <w:t> </w:t>
      </w:r>
      <w:r>
        <w:rPr>
          <w:i/>
          <w:sz w:val="20"/>
        </w:rPr>
        <w:t>patterns</w:t>
      </w:r>
      <w:r>
        <w:rPr>
          <w:sz w:val="20"/>
        </w:rPr>
        <w:t>.</w:t>
      </w:r>
      <w:r>
        <w:rPr>
          <w:spacing w:val="-5"/>
          <w:sz w:val="20"/>
        </w:rPr>
        <w:t> </w:t>
      </w:r>
      <w:r>
        <w:rPr>
          <w:sz w:val="20"/>
        </w:rPr>
        <w:t>PhD</w:t>
      </w:r>
      <w:r>
        <w:rPr>
          <w:spacing w:val="-5"/>
          <w:sz w:val="20"/>
        </w:rPr>
        <w:t> </w:t>
      </w:r>
      <w:r>
        <w:rPr>
          <w:sz w:val="20"/>
        </w:rPr>
        <w:t>Thesis,</w:t>
      </w:r>
      <w:r>
        <w:rPr>
          <w:spacing w:val="-5"/>
          <w:sz w:val="20"/>
        </w:rPr>
        <w:t> </w:t>
      </w:r>
      <w:r>
        <w:rPr>
          <w:sz w:val="20"/>
        </w:rPr>
        <w:t>University of</w:t>
      </w:r>
      <w:r>
        <w:rPr>
          <w:spacing w:val="2"/>
          <w:sz w:val="20"/>
        </w:rPr>
        <w:t> </w:t>
      </w:r>
      <w:r>
        <w:rPr>
          <w:sz w:val="20"/>
        </w:rPr>
        <w:t>Szeged.</w:t>
      </w:r>
    </w:p>
    <w:p>
      <w:pPr>
        <w:pStyle w:val="BodyText"/>
        <w:spacing w:before="11"/>
      </w:pPr>
    </w:p>
    <w:p>
      <w:pPr>
        <w:pStyle w:val="BodyText"/>
        <w:ind w:left="131" w:right="-10"/>
      </w:pPr>
      <w:r>
        <w:rPr/>
        <w:t>Kok, H. (1999). Migration from the city to the countryside in Hungary and Poland.</w:t>
      </w:r>
    </w:p>
    <w:p>
      <w:pPr>
        <w:spacing w:before="10"/>
        <w:ind w:left="754" w:right="-10" w:firstLine="0"/>
        <w:jc w:val="left"/>
        <w:rPr>
          <w:sz w:val="20"/>
        </w:rPr>
      </w:pPr>
      <w:r>
        <w:rPr>
          <w:i/>
          <w:sz w:val="20"/>
        </w:rPr>
        <w:t>GeoJournal</w:t>
      </w:r>
      <w:r>
        <w:rPr>
          <w:sz w:val="20"/>
        </w:rPr>
        <w:t>, 49, 53–62.</w:t>
      </w:r>
    </w:p>
    <w:p>
      <w:pPr>
        <w:pStyle w:val="BodyText"/>
        <w:spacing w:before="8"/>
        <w:rPr>
          <w:sz w:val="21"/>
        </w:rPr>
      </w:pPr>
    </w:p>
    <w:p>
      <w:pPr>
        <w:pStyle w:val="BodyText"/>
        <w:spacing w:line="249" w:lineRule="auto"/>
        <w:ind w:left="754" w:right="128" w:hanging="624"/>
        <w:jc w:val="both"/>
      </w:pPr>
      <w:r>
        <w:rPr/>
        <w:t>Komornicki, T. (2011). Przemiany mobilności codziennej Polaków na tle rozwoju motoryzacji. </w:t>
      </w:r>
      <w:r>
        <w:rPr>
          <w:i/>
        </w:rPr>
        <w:t>Prace Geograficzne</w:t>
      </w:r>
      <w:r>
        <w:rPr/>
        <w:t>, 227. Warszawa: IGiPZ PAN.</w:t>
      </w:r>
    </w:p>
    <w:p>
      <w:pPr>
        <w:pStyle w:val="BodyText"/>
        <w:spacing w:before="11"/>
      </w:pPr>
    </w:p>
    <w:p>
      <w:pPr>
        <w:pStyle w:val="BodyText"/>
        <w:spacing w:line="249" w:lineRule="auto"/>
        <w:ind w:left="754" w:right="128" w:hanging="624"/>
        <w:jc w:val="both"/>
      </w:pPr>
      <w:r>
        <w:rPr/>
        <w:t>Korcelli, P. (1990). Recent urban and population change in Poland. </w:t>
      </w:r>
      <w:r>
        <w:rPr>
          <w:i/>
        </w:rPr>
        <w:t>Geoforum</w:t>
      </w:r>
      <w:r>
        <w:rPr/>
        <w:t>, 21(2), 173–184.</w:t>
      </w:r>
    </w:p>
    <w:p>
      <w:pPr>
        <w:pStyle w:val="BodyText"/>
        <w:spacing w:before="11"/>
      </w:pPr>
    </w:p>
    <w:p>
      <w:pPr>
        <w:pStyle w:val="BodyText"/>
        <w:ind w:left="131" w:right="-10"/>
      </w:pPr>
      <w:r>
        <w:rPr/>
        <w:t>Korcelli,  P.  (1994).  On  interrelations  between  internal  and  international  migration.</w:t>
      </w:r>
    </w:p>
    <w:p>
      <w:pPr>
        <w:pStyle w:val="BodyText"/>
        <w:spacing w:before="10"/>
        <w:ind w:left="754" w:right="-10"/>
      </w:pPr>
      <w:r>
        <w:rPr/>
        <w:t>Innovation, 7(2), 151–163.</w:t>
      </w:r>
    </w:p>
    <w:p>
      <w:pPr>
        <w:pStyle w:val="BodyText"/>
        <w:spacing w:before="8"/>
        <w:rPr>
          <w:sz w:val="21"/>
        </w:rPr>
      </w:pPr>
    </w:p>
    <w:p>
      <w:pPr>
        <w:pStyle w:val="BodyText"/>
        <w:ind w:left="131" w:right="-10"/>
      </w:pPr>
      <w:r>
        <w:rPr/>
        <w:t>Korcelli, P. (1995). Regional Patterns in Poland’s Transformation: the First Five  Years.</w:t>
      </w:r>
    </w:p>
    <w:p>
      <w:pPr>
        <w:spacing w:before="10"/>
        <w:ind w:left="754" w:right="-10" w:firstLine="0"/>
        <w:jc w:val="left"/>
        <w:rPr>
          <w:sz w:val="20"/>
        </w:rPr>
      </w:pPr>
      <w:r>
        <w:rPr>
          <w:i/>
          <w:sz w:val="20"/>
        </w:rPr>
        <w:t>Zeszyty IGiPZ PAN</w:t>
      </w:r>
      <w:r>
        <w:rPr>
          <w:sz w:val="20"/>
        </w:rPr>
        <w:t>, 34. Warszawa: IGiPZ PAN.</w:t>
      </w:r>
    </w:p>
    <w:p>
      <w:pPr>
        <w:pStyle w:val="BodyText"/>
        <w:spacing w:before="8"/>
        <w:rPr>
          <w:sz w:val="21"/>
        </w:rPr>
      </w:pPr>
    </w:p>
    <w:p>
      <w:pPr>
        <w:spacing w:line="249" w:lineRule="auto" w:before="0"/>
        <w:ind w:left="754" w:right="128" w:hanging="624"/>
        <w:jc w:val="both"/>
        <w:rPr>
          <w:sz w:val="20"/>
        </w:rPr>
      </w:pPr>
      <w:r>
        <w:rPr>
          <w:sz w:val="20"/>
        </w:rPr>
        <w:t>Kupiszewski, M., Durham, H., Rees, P. (1998). Internal migration and urban change in Poland. </w:t>
      </w:r>
      <w:r>
        <w:rPr>
          <w:i/>
          <w:sz w:val="20"/>
        </w:rPr>
        <w:t>European Journal of Population</w:t>
      </w:r>
      <w:r>
        <w:rPr>
          <w:sz w:val="20"/>
        </w:rPr>
        <w:t>, 14, 265–290.</w:t>
      </w:r>
    </w:p>
    <w:p>
      <w:pPr>
        <w:pStyle w:val="BodyText"/>
        <w:spacing w:before="11"/>
      </w:pPr>
    </w:p>
    <w:p>
      <w:pPr>
        <w:spacing w:line="249" w:lineRule="auto" w:before="0"/>
        <w:ind w:left="754" w:right="127" w:hanging="624"/>
        <w:jc w:val="both"/>
        <w:rPr>
          <w:sz w:val="20"/>
        </w:rPr>
      </w:pPr>
      <w:r>
        <w:rPr>
          <w:sz w:val="20"/>
        </w:rPr>
        <w:t>Kupiszewski, M. (2005). </w:t>
      </w:r>
      <w:r>
        <w:rPr>
          <w:i/>
          <w:sz w:val="20"/>
        </w:rPr>
        <w:t>Migration in Poland in the period of transition: The adjustment </w:t>
      </w:r>
      <w:r>
        <w:rPr>
          <w:i/>
          <w:sz w:val="20"/>
        </w:rPr>
        <w:t>to the labour market change</w:t>
      </w:r>
      <w:r>
        <w:rPr>
          <w:sz w:val="20"/>
        </w:rPr>
        <w:t>. Institute of Economic Research Hitotsubashi University, Economic Research Series, 40(266). </w:t>
      </w:r>
      <w:hyperlink r:id="rId374">
        <w:r>
          <w:rPr>
            <w:sz w:val="20"/>
          </w:rPr>
          <w:t>http://hermes-ir.lib.hit-u.ac.jp/</w:t>
        </w:r>
      </w:hyperlink>
      <w:r>
        <w:rPr>
          <w:sz w:val="20"/>
        </w:rPr>
        <w:t> rs/bitstream/10086/14282/1/pie_dp266.pdf</w:t>
      </w:r>
    </w:p>
    <w:p>
      <w:pPr>
        <w:pStyle w:val="BodyText"/>
        <w:spacing w:before="11"/>
      </w:pPr>
    </w:p>
    <w:p>
      <w:pPr>
        <w:pStyle w:val="BodyText"/>
        <w:spacing w:line="249" w:lineRule="auto"/>
        <w:ind w:left="754" w:right="128" w:hanging="624"/>
        <w:jc w:val="both"/>
      </w:pPr>
      <w:r>
        <w:rPr/>
        <w:t>Kurek, S., Gałka, J., Wójtowicz, M. (2015). Wpływ suburbanizacji na przemiany wybranych struktur demograficznych i powiązań funkcjonalno-przestrzennych   w Krakowskim Obszarze Metropolitalnym. Kraków: Wydawnictwo Instytutu Geografii Uniwersytetu Pedagogicznego w</w:t>
      </w:r>
      <w:r>
        <w:rPr>
          <w:spacing w:val="40"/>
        </w:rPr>
        <w:t> </w:t>
      </w:r>
      <w:r>
        <w:rPr/>
        <w:t>Krakowie.</w:t>
      </w:r>
    </w:p>
    <w:p>
      <w:pPr>
        <w:pStyle w:val="BodyText"/>
        <w:spacing w:before="11"/>
      </w:pPr>
    </w:p>
    <w:p>
      <w:pPr>
        <w:pStyle w:val="BodyText"/>
        <w:spacing w:line="249" w:lineRule="auto"/>
        <w:ind w:left="754" w:right="128" w:hanging="624"/>
        <w:jc w:val="both"/>
      </w:pPr>
      <w:r>
        <w:rPr/>
        <w:t>Kurek,</w:t>
      </w:r>
      <w:r>
        <w:rPr>
          <w:spacing w:val="-12"/>
        </w:rPr>
        <w:t> </w:t>
      </w:r>
      <w:r>
        <w:rPr/>
        <w:t>S.,</w:t>
      </w:r>
      <w:r>
        <w:rPr>
          <w:spacing w:val="-12"/>
        </w:rPr>
        <w:t> </w:t>
      </w:r>
      <w:r>
        <w:rPr/>
        <w:t>Rachwał,</w:t>
      </w:r>
      <w:r>
        <w:rPr>
          <w:spacing w:val="-12"/>
        </w:rPr>
        <w:t> </w:t>
      </w:r>
      <w:r>
        <w:rPr/>
        <w:t>T.,</w:t>
      </w:r>
      <w:r>
        <w:rPr>
          <w:spacing w:val="-12"/>
        </w:rPr>
        <w:t> </w:t>
      </w:r>
      <w:r>
        <w:rPr/>
        <w:t>Wójtowicz,</w:t>
      </w:r>
      <w:r>
        <w:rPr>
          <w:spacing w:val="-12"/>
        </w:rPr>
        <w:t> </w:t>
      </w:r>
      <w:r>
        <w:rPr/>
        <w:t>M.</w:t>
      </w:r>
      <w:r>
        <w:rPr>
          <w:spacing w:val="-12"/>
        </w:rPr>
        <w:t> </w:t>
      </w:r>
      <w:r>
        <w:rPr/>
        <w:t>(2014).</w:t>
      </w:r>
      <w:r>
        <w:rPr>
          <w:spacing w:val="-12"/>
        </w:rPr>
        <w:t> </w:t>
      </w:r>
      <w:r>
        <w:rPr/>
        <w:t>Industrial</w:t>
      </w:r>
      <w:r>
        <w:rPr>
          <w:spacing w:val="-12"/>
        </w:rPr>
        <w:t> </w:t>
      </w:r>
      <w:r>
        <w:rPr/>
        <w:t>and</w:t>
      </w:r>
      <w:r>
        <w:rPr>
          <w:spacing w:val="-12"/>
        </w:rPr>
        <w:t> </w:t>
      </w:r>
      <w:r>
        <w:rPr/>
        <w:t>commercial</w:t>
      </w:r>
      <w:r>
        <w:rPr>
          <w:spacing w:val="-12"/>
        </w:rPr>
        <w:t> </w:t>
      </w:r>
      <w:r>
        <w:rPr/>
        <w:t>suburbanization in</w:t>
      </w:r>
      <w:r>
        <w:rPr>
          <w:spacing w:val="-20"/>
        </w:rPr>
        <w:t> </w:t>
      </w:r>
      <w:r>
        <w:rPr/>
        <w:t>post-socialist</w:t>
      </w:r>
      <w:r>
        <w:rPr>
          <w:spacing w:val="-20"/>
        </w:rPr>
        <w:t> </w:t>
      </w:r>
      <w:r>
        <w:rPr/>
        <w:t>city:</w:t>
      </w:r>
      <w:r>
        <w:rPr>
          <w:spacing w:val="-20"/>
        </w:rPr>
        <w:t> </w:t>
      </w:r>
      <w:r>
        <w:rPr/>
        <w:t>the</w:t>
      </w:r>
      <w:r>
        <w:rPr>
          <w:spacing w:val="-20"/>
        </w:rPr>
        <w:t> </w:t>
      </w:r>
      <w:r>
        <w:rPr/>
        <w:t>Krakow</w:t>
      </w:r>
      <w:r>
        <w:rPr>
          <w:spacing w:val="-20"/>
        </w:rPr>
        <w:t> </w:t>
      </w:r>
      <w:r>
        <w:rPr/>
        <w:t>Metropolitan</w:t>
      </w:r>
      <w:r>
        <w:rPr>
          <w:spacing w:val="-20"/>
        </w:rPr>
        <w:t> </w:t>
      </w:r>
      <w:r>
        <w:rPr/>
        <w:t>Area</w:t>
      </w:r>
      <w:r>
        <w:rPr>
          <w:spacing w:val="-20"/>
        </w:rPr>
        <w:t> </w:t>
      </w:r>
      <w:r>
        <w:rPr/>
        <w:t>(Poland).</w:t>
      </w:r>
      <w:r>
        <w:rPr>
          <w:spacing w:val="-20"/>
        </w:rPr>
        <w:t> </w:t>
      </w:r>
      <w:r>
        <w:rPr/>
        <w:t>Annales</w:t>
      </w:r>
      <w:r>
        <w:rPr>
          <w:spacing w:val="-20"/>
        </w:rPr>
        <w:t> </w:t>
      </w:r>
      <w:r>
        <w:rPr/>
        <w:t>Universitatis Paedagogicae Cracoviensis, Studia Geographica, 5,</w:t>
      </w:r>
      <w:r>
        <w:rPr>
          <w:spacing w:val="8"/>
        </w:rPr>
        <w:t> </w:t>
      </w:r>
      <w:r>
        <w:rPr/>
        <w:t>55–76.</w:t>
      </w:r>
    </w:p>
    <w:p>
      <w:pPr>
        <w:pStyle w:val="BodyText"/>
        <w:spacing w:before="11"/>
      </w:pPr>
    </w:p>
    <w:p>
      <w:pPr>
        <w:pStyle w:val="BodyText"/>
        <w:spacing w:line="249" w:lineRule="auto"/>
        <w:ind w:left="754" w:right="127" w:hanging="624"/>
        <w:jc w:val="both"/>
      </w:pPr>
      <w:r>
        <w:rPr/>
        <w:t>Micek,</w:t>
      </w:r>
      <w:r>
        <w:rPr>
          <w:spacing w:val="-10"/>
        </w:rPr>
        <w:t> </w:t>
      </w:r>
      <w:r>
        <w:rPr/>
        <w:t>G.</w:t>
      </w:r>
      <w:r>
        <w:rPr>
          <w:spacing w:val="-10"/>
        </w:rPr>
        <w:t> </w:t>
      </w:r>
      <w:r>
        <w:rPr/>
        <w:t>(2010).</w:t>
      </w:r>
      <w:r>
        <w:rPr>
          <w:spacing w:val="-10"/>
        </w:rPr>
        <w:t> </w:t>
      </w:r>
      <w:r>
        <w:rPr/>
        <w:t>Oddziaływanie</w:t>
      </w:r>
      <w:r>
        <w:rPr>
          <w:spacing w:val="-10"/>
        </w:rPr>
        <w:t> </w:t>
      </w:r>
      <w:r>
        <w:rPr/>
        <w:t>firm</w:t>
      </w:r>
      <w:r>
        <w:rPr>
          <w:spacing w:val="-10"/>
        </w:rPr>
        <w:t> </w:t>
      </w:r>
      <w:r>
        <w:rPr/>
        <w:t>transportu</w:t>
      </w:r>
      <w:r>
        <w:rPr>
          <w:spacing w:val="-10"/>
        </w:rPr>
        <w:t> </w:t>
      </w:r>
      <w:r>
        <w:rPr/>
        <w:t>pasażerskiego</w:t>
      </w:r>
      <w:r>
        <w:rPr>
          <w:spacing w:val="-10"/>
        </w:rPr>
        <w:t> </w:t>
      </w:r>
      <w:r>
        <w:rPr/>
        <w:t>na</w:t>
      </w:r>
      <w:r>
        <w:rPr>
          <w:spacing w:val="-10"/>
        </w:rPr>
        <w:t> </w:t>
      </w:r>
      <w:r>
        <w:rPr/>
        <w:t>rozwój</w:t>
      </w:r>
      <w:r>
        <w:rPr>
          <w:spacing w:val="-10"/>
        </w:rPr>
        <w:t> </w:t>
      </w:r>
      <w:r>
        <w:rPr/>
        <w:t>Krakowskiego Obszaru Metropolitalnego. </w:t>
      </w:r>
      <w:r>
        <w:rPr>
          <w:i/>
        </w:rPr>
        <w:t>Prace Geograficzne IGiGP UJ</w:t>
      </w:r>
      <w:r>
        <w:rPr/>
        <w:t>, 124,</w:t>
      </w:r>
      <w:r>
        <w:rPr>
          <w:spacing w:val="-14"/>
        </w:rPr>
        <w:t> </w:t>
      </w:r>
      <w:r>
        <w:rPr/>
        <w:t>29–43.</w:t>
      </w:r>
    </w:p>
    <w:p>
      <w:pPr>
        <w:pStyle w:val="BodyText"/>
        <w:spacing w:before="11"/>
      </w:pPr>
    </w:p>
    <w:p>
      <w:pPr>
        <w:pStyle w:val="BodyText"/>
        <w:ind w:left="131" w:right="-10"/>
      </w:pPr>
      <w:r>
        <w:rPr/>
        <w:t>Mydel, R. (1994). Rozwój urbanistyczny miasta Krakowa po drugiej wojnie    światowej.</w:t>
      </w:r>
    </w:p>
    <w:p>
      <w:pPr>
        <w:pStyle w:val="BodyText"/>
        <w:spacing w:before="10"/>
        <w:ind w:left="754" w:right="-10"/>
      </w:pPr>
      <w:r>
        <w:rPr/>
        <w:t>Kraków: Wydawnictwo Secesja.</w:t>
      </w:r>
    </w:p>
    <w:p>
      <w:pPr>
        <w:spacing w:after="0"/>
        <w:sectPr>
          <w:type w:val="continuous"/>
          <w:pgSz w:w="18830" w:h="12760" w:orient="landscape"/>
          <w:pgMar w:top="1420" w:bottom="280" w:left="720" w:right="720"/>
          <w:cols w:num="2" w:equalWidth="0">
            <w:col w:w="7843" w:space="1568"/>
            <w:col w:w="7979"/>
          </w:cols>
        </w:sectPr>
      </w:pPr>
    </w:p>
    <w:p>
      <w:pPr>
        <w:pStyle w:val="BodyText"/>
        <w:spacing w:before="6"/>
        <w:rPr>
          <w:sz w:val="23"/>
        </w:rPr>
      </w:pPr>
    </w:p>
    <w:p>
      <w:pPr>
        <w:spacing w:after="0"/>
        <w:rPr>
          <w:sz w:val="23"/>
        </w:rPr>
        <w:sectPr>
          <w:footerReference w:type="default" r:id="rId375"/>
          <w:pgSz w:w="18830" w:h="12760" w:orient="landscape"/>
          <w:pgMar w:footer="1036" w:header="522" w:top="820" w:bottom="1220" w:left="720" w:right="720"/>
        </w:sectPr>
      </w:pPr>
    </w:p>
    <w:p>
      <w:pPr>
        <w:spacing w:line="249" w:lineRule="auto" w:before="76"/>
        <w:ind w:left="758" w:right="0" w:hanging="624"/>
        <w:jc w:val="both"/>
        <w:rPr>
          <w:sz w:val="20"/>
        </w:rPr>
      </w:pPr>
      <w:r>
        <w:rPr>
          <w:sz w:val="20"/>
        </w:rPr>
        <w:t>Mydel,</w:t>
      </w:r>
      <w:r>
        <w:rPr>
          <w:spacing w:val="-6"/>
          <w:sz w:val="20"/>
        </w:rPr>
        <w:t> </w:t>
      </w:r>
      <w:r>
        <w:rPr>
          <w:sz w:val="20"/>
        </w:rPr>
        <w:t>R.</w:t>
      </w:r>
      <w:r>
        <w:rPr>
          <w:spacing w:val="-6"/>
          <w:sz w:val="20"/>
        </w:rPr>
        <w:t> </w:t>
      </w:r>
      <w:r>
        <w:rPr>
          <w:sz w:val="20"/>
        </w:rPr>
        <w:t>(1996).</w:t>
      </w:r>
      <w:r>
        <w:rPr>
          <w:spacing w:val="-6"/>
          <w:sz w:val="20"/>
        </w:rPr>
        <w:t> </w:t>
      </w:r>
      <w:r>
        <w:rPr>
          <w:sz w:val="20"/>
        </w:rPr>
        <w:t>Terytorialny</w:t>
      </w:r>
      <w:r>
        <w:rPr>
          <w:spacing w:val="-6"/>
          <w:sz w:val="20"/>
        </w:rPr>
        <w:t> </w:t>
      </w:r>
      <w:r>
        <w:rPr>
          <w:sz w:val="20"/>
        </w:rPr>
        <w:t>wzrost</w:t>
      </w:r>
      <w:r>
        <w:rPr>
          <w:spacing w:val="-6"/>
          <w:sz w:val="20"/>
        </w:rPr>
        <w:t> </w:t>
      </w:r>
      <w:r>
        <w:rPr>
          <w:sz w:val="20"/>
        </w:rPr>
        <w:t>i</w:t>
      </w:r>
      <w:r>
        <w:rPr>
          <w:spacing w:val="-6"/>
          <w:sz w:val="20"/>
        </w:rPr>
        <w:t> </w:t>
      </w:r>
      <w:r>
        <w:rPr>
          <w:sz w:val="20"/>
        </w:rPr>
        <w:t>ewolucja</w:t>
      </w:r>
      <w:r>
        <w:rPr>
          <w:spacing w:val="-6"/>
          <w:sz w:val="20"/>
        </w:rPr>
        <w:t> </w:t>
      </w:r>
      <w:r>
        <w:rPr>
          <w:sz w:val="20"/>
        </w:rPr>
        <w:t>struktury</w:t>
      </w:r>
      <w:r>
        <w:rPr>
          <w:spacing w:val="-6"/>
          <w:sz w:val="20"/>
        </w:rPr>
        <w:t> </w:t>
      </w:r>
      <w:r>
        <w:rPr>
          <w:sz w:val="20"/>
        </w:rPr>
        <w:t>przestrzennej</w:t>
      </w:r>
      <w:r>
        <w:rPr>
          <w:spacing w:val="-6"/>
          <w:sz w:val="20"/>
        </w:rPr>
        <w:t> </w:t>
      </w:r>
      <w:r>
        <w:rPr>
          <w:sz w:val="20"/>
        </w:rPr>
        <w:t>miasta</w:t>
      </w:r>
      <w:r>
        <w:rPr>
          <w:spacing w:val="-6"/>
          <w:sz w:val="20"/>
        </w:rPr>
        <w:t> </w:t>
      </w:r>
      <w:r>
        <w:rPr>
          <w:sz w:val="20"/>
        </w:rPr>
        <w:t>Krakowa w okresie 1946–1990. </w:t>
      </w:r>
      <w:r>
        <w:rPr>
          <w:i/>
          <w:sz w:val="20"/>
        </w:rPr>
        <w:t>Folia Geographica, Series Geographica-Oeconomica</w:t>
      </w:r>
      <w:r>
        <w:rPr>
          <w:sz w:val="20"/>
        </w:rPr>
        <w:t>, 27–28,</w:t>
      </w:r>
      <w:r>
        <w:rPr>
          <w:spacing w:val="-23"/>
          <w:sz w:val="20"/>
        </w:rPr>
        <w:t> </w:t>
      </w:r>
      <w:r>
        <w:rPr>
          <w:sz w:val="20"/>
        </w:rPr>
        <w:t>279–296.</w:t>
      </w:r>
    </w:p>
    <w:p>
      <w:pPr>
        <w:pStyle w:val="BodyText"/>
        <w:spacing w:before="11"/>
      </w:pPr>
    </w:p>
    <w:p>
      <w:pPr>
        <w:pStyle w:val="BodyText"/>
        <w:spacing w:line="249" w:lineRule="auto"/>
        <w:ind w:left="758" w:hanging="624"/>
        <w:jc w:val="both"/>
      </w:pPr>
      <w:r>
        <w:rPr/>
        <w:t>Novák, J., Sýkora, L. (2007). A city in motion: time-space activity and mobility patterns of suburban inhabitants and the structuration of the spatial organization of the Prague metropolitan area. </w:t>
      </w:r>
      <w:r>
        <w:rPr>
          <w:i/>
        </w:rPr>
        <w:t>Geografiska Annaler</w:t>
      </w:r>
      <w:r>
        <w:rPr/>
        <w:t>, 89B(2), 147–167.</w:t>
      </w:r>
    </w:p>
    <w:p>
      <w:pPr>
        <w:pStyle w:val="BodyText"/>
        <w:spacing w:before="11"/>
      </w:pPr>
    </w:p>
    <w:p>
      <w:pPr>
        <w:spacing w:line="249" w:lineRule="auto" w:before="0"/>
        <w:ind w:left="758" w:right="0" w:hanging="624"/>
        <w:jc w:val="both"/>
        <w:rPr>
          <w:i/>
          <w:sz w:val="20"/>
        </w:rPr>
      </w:pPr>
      <w:r>
        <w:rPr>
          <w:sz w:val="20"/>
        </w:rPr>
        <w:t>Śleszyński, P. (2006). </w:t>
      </w:r>
      <w:r>
        <w:rPr>
          <w:i/>
          <w:sz w:val="20"/>
        </w:rPr>
        <w:t>Demograficzny wymiar suburbanizacji. In: S. Kozłowski (ed.), </w:t>
      </w:r>
      <w:r>
        <w:rPr>
          <w:sz w:val="20"/>
        </w:rPr>
        <w:t>Ż</w:t>
      </w:r>
      <w:r>
        <w:rPr>
          <w:i/>
          <w:sz w:val="20"/>
        </w:rPr>
        <w:t>ywiołowe rozprzestrzenianie si</w:t>
      </w:r>
      <w:r>
        <w:rPr>
          <w:sz w:val="20"/>
        </w:rPr>
        <w:t>ę </w:t>
      </w:r>
      <w:r>
        <w:rPr>
          <w:i/>
          <w:sz w:val="20"/>
        </w:rPr>
        <w:t>miast. Narastaj</w:t>
      </w:r>
      <w:r>
        <w:rPr>
          <w:sz w:val="20"/>
        </w:rPr>
        <w:t>ą</w:t>
      </w:r>
      <w:r>
        <w:rPr>
          <w:i/>
          <w:sz w:val="20"/>
        </w:rPr>
        <w:t>cy problem aglomeracji </w:t>
      </w:r>
      <w:r>
        <w:rPr>
          <w:i/>
          <w:sz w:val="20"/>
        </w:rPr>
        <w:t>miejskich w Polsce. Katolicki Uniwersytet Lubelski Jana Pawła II, Katedra Ochrony </w:t>
      </w:r>
      <w:r>
        <w:rPr>
          <w:sz w:val="20"/>
        </w:rPr>
        <w:t>Ś</w:t>
      </w:r>
      <w:r>
        <w:rPr>
          <w:i/>
          <w:sz w:val="20"/>
        </w:rPr>
        <w:t>rodowiska; Polska Akademia Nauk, Komitet „Człowiek i </w:t>
      </w:r>
      <w:r>
        <w:rPr>
          <w:sz w:val="20"/>
        </w:rPr>
        <w:t>Ś</w:t>
      </w:r>
      <w:r>
        <w:rPr>
          <w:i/>
          <w:sz w:val="20"/>
        </w:rPr>
        <w:t>rodowisko” </w:t>
      </w:r>
      <w:r>
        <w:rPr>
          <w:i/>
          <w:sz w:val="20"/>
        </w:rPr>
        <w:t>przy Prezydium PAN, Białystok, Lublin, Warszawa.</w:t>
      </w:r>
    </w:p>
    <w:p>
      <w:pPr>
        <w:pStyle w:val="BodyText"/>
        <w:spacing w:before="11"/>
        <w:rPr>
          <w:i/>
        </w:rPr>
      </w:pPr>
    </w:p>
    <w:p>
      <w:pPr>
        <w:pStyle w:val="BodyText"/>
        <w:spacing w:line="249" w:lineRule="auto"/>
        <w:ind w:left="758" w:hanging="624"/>
        <w:jc w:val="both"/>
      </w:pPr>
      <w:r>
        <w:rPr/>
        <w:t>Śleszyński, P. (2011). Oszacowanie rzeczywistej liczby ludności gmin województwa mazowieckiego z wykorzystaniem danych GUS. </w:t>
      </w:r>
      <w:r>
        <w:rPr>
          <w:i/>
        </w:rPr>
        <w:t>Studia Demograficzne</w:t>
      </w:r>
      <w:r>
        <w:rPr/>
        <w:t>, 2(160), 35–57.</w:t>
      </w:r>
    </w:p>
    <w:p>
      <w:pPr>
        <w:pStyle w:val="BodyText"/>
        <w:spacing w:before="11"/>
      </w:pPr>
    </w:p>
    <w:p>
      <w:pPr>
        <w:pStyle w:val="BodyText"/>
        <w:spacing w:line="249" w:lineRule="auto"/>
        <w:ind w:left="758" w:hanging="624"/>
        <w:jc w:val="both"/>
      </w:pPr>
      <w:r>
        <w:rPr/>
        <w:t>Śleszyński, P. (2012). Kierunki dojazdów do pracy. Wiadomości Statystyczne, 11, 59– 75.</w:t>
      </w:r>
    </w:p>
    <w:p>
      <w:pPr>
        <w:pStyle w:val="BodyText"/>
        <w:spacing w:before="11"/>
      </w:pPr>
    </w:p>
    <w:p>
      <w:pPr>
        <w:pStyle w:val="BodyText"/>
        <w:spacing w:line="249" w:lineRule="auto"/>
        <w:ind w:left="758" w:right="1" w:hanging="624"/>
        <w:jc w:val="both"/>
      </w:pPr>
      <w:r>
        <w:rPr/>
        <w:t>Trzepacz, P., Więcław-Michniewska, J. (2007). Infrastructural determinants of spatial structure in Cracow’s suburban zone – a case study of the Michałowice and Zabierzów communities. </w:t>
      </w:r>
      <w:r>
        <w:rPr>
          <w:i/>
        </w:rPr>
        <w:t>Europa XXI</w:t>
      </w:r>
      <w:r>
        <w:rPr/>
        <w:t>, 16, 63-78.</w:t>
      </w:r>
    </w:p>
    <w:p>
      <w:pPr>
        <w:pStyle w:val="BodyText"/>
        <w:spacing w:before="11"/>
      </w:pPr>
    </w:p>
    <w:p>
      <w:pPr>
        <w:pStyle w:val="BodyText"/>
        <w:spacing w:line="249" w:lineRule="auto"/>
        <w:ind w:left="758" w:hanging="624"/>
        <w:jc w:val="both"/>
      </w:pPr>
      <w:r>
        <w:rPr/>
        <w:t>Więcław-Michniewska, J. (2006). Krakowskie suburbia i ich społeczności. Kraków: Wydawnictwo IGiGP UJ.</w:t>
      </w:r>
    </w:p>
    <w:p>
      <w:pPr>
        <w:pStyle w:val="BodyText"/>
        <w:spacing w:before="11"/>
      </w:pPr>
    </w:p>
    <w:p>
      <w:pPr>
        <w:pStyle w:val="BodyText"/>
        <w:spacing w:line="249" w:lineRule="auto"/>
        <w:ind w:left="758" w:right="1" w:hanging="624"/>
        <w:jc w:val="both"/>
      </w:pPr>
      <w:r>
        <w:rPr/>
        <w:t>Więcław-Michniewska, J. (2010). Transport w Krakowskim Obszarze Metropolitalnym  w opinii przedstawicieli samorządu lokalnego. </w:t>
      </w:r>
      <w:r>
        <w:rPr>
          <w:i/>
        </w:rPr>
        <w:t>Prace Geograficzne IGiGP UJ</w:t>
      </w:r>
      <w:r>
        <w:rPr/>
        <w:t>, 124,</w:t>
      </w:r>
      <w:r>
        <w:rPr>
          <w:spacing w:val="-12"/>
        </w:rPr>
        <w:t> </w:t>
      </w:r>
      <w:r>
        <w:rPr/>
        <w:t>45–58.</w:t>
      </w:r>
    </w:p>
    <w:p>
      <w:pPr>
        <w:pStyle w:val="BodyText"/>
        <w:spacing w:before="11"/>
      </w:pPr>
    </w:p>
    <w:p>
      <w:pPr>
        <w:spacing w:line="249" w:lineRule="auto" w:before="0"/>
        <w:ind w:left="758" w:right="0" w:hanging="624"/>
        <w:jc w:val="both"/>
        <w:rPr>
          <w:sz w:val="20"/>
        </w:rPr>
      </w:pPr>
      <w:r>
        <w:rPr>
          <w:sz w:val="20"/>
        </w:rPr>
        <w:t>Wójtowicz, M., Kurek, S., Gałka, J. (2014). </w:t>
      </w:r>
      <w:r>
        <w:rPr>
          <w:i/>
          <w:sz w:val="20"/>
        </w:rPr>
        <w:t>Suburbanization in the Krakow Metropolitan </w:t>
      </w:r>
      <w:r>
        <w:rPr>
          <w:i/>
          <w:sz w:val="20"/>
        </w:rPr>
        <w:t>Region</w:t>
      </w:r>
      <w:r>
        <w:rPr>
          <w:i/>
          <w:spacing w:val="-12"/>
          <w:sz w:val="20"/>
        </w:rPr>
        <w:t> </w:t>
      </w:r>
      <w:r>
        <w:rPr>
          <w:i/>
          <w:sz w:val="20"/>
        </w:rPr>
        <w:t>(KMR)</w:t>
      </w:r>
      <w:r>
        <w:rPr>
          <w:i/>
          <w:spacing w:val="-12"/>
          <w:sz w:val="20"/>
        </w:rPr>
        <w:t> </w:t>
      </w:r>
      <w:r>
        <w:rPr>
          <w:i/>
          <w:sz w:val="20"/>
        </w:rPr>
        <w:t>in</w:t>
      </w:r>
      <w:r>
        <w:rPr>
          <w:i/>
          <w:spacing w:val="-12"/>
          <w:sz w:val="20"/>
        </w:rPr>
        <w:t> </w:t>
      </w:r>
      <w:r>
        <w:rPr>
          <w:i/>
          <w:sz w:val="20"/>
        </w:rPr>
        <w:t>the</w:t>
      </w:r>
      <w:r>
        <w:rPr>
          <w:i/>
          <w:spacing w:val="-12"/>
          <w:sz w:val="20"/>
        </w:rPr>
        <w:t> </w:t>
      </w:r>
      <w:r>
        <w:rPr>
          <w:i/>
          <w:sz w:val="20"/>
        </w:rPr>
        <w:t>years</w:t>
      </w:r>
      <w:r>
        <w:rPr>
          <w:i/>
          <w:spacing w:val="-12"/>
          <w:sz w:val="20"/>
        </w:rPr>
        <w:t> </w:t>
      </w:r>
      <w:r>
        <w:rPr>
          <w:i/>
          <w:sz w:val="20"/>
        </w:rPr>
        <w:t>1995–2010</w:t>
      </w:r>
      <w:r>
        <w:rPr>
          <w:sz w:val="20"/>
        </w:rPr>
        <w:t>.</w:t>
      </w:r>
      <w:r>
        <w:rPr>
          <w:spacing w:val="-12"/>
          <w:sz w:val="20"/>
        </w:rPr>
        <w:t> </w:t>
      </w:r>
      <w:r>
        <w:rPr>
          <w:sz w:val="20"/>
        </w:rPr>
        <w:t>In:</w:t>
      </w:r>
      <w:r>
        <w:rPr>
          <w:spacing w:val="-12"/>
          <w:sz w:val="20"/>
        </w:rPr>
        <w:t> </w:t>
      </w:r>
      <w:r>
        <w:rPr>
          <w:sz w:val="20"/>
        </w:rPr>
        <w:t>M.</w:t>
      </w:r>
      <w:r>
        <w:rPr>
          <w:spacing w:val="-12"/>
          <w:sz w:val="20"/>
        </w:rPr>
        <w:t> </w:t>
      </w:r>
      <w:r>
        <w:rPr>
          <w:sz w:val="20"/>
        </w:rPr>
        <w:t>Czerny,</w:t>
      </w:r>
      <w:r>
        <w:rPr>
          <w:spacing w:val="-12"/>
          <w:sz w:val="20"/>
        </w:rPr>
        <w:t> </w:t>
      </w:r>
      <w:r>
        <w:rPr>
          <w:sz w:val="20"/>
        </w:rPr>
        <w:t>G.</w:t>
      </w:r>
      <w:r>
        <w:rPr>
          <w:spacing w:val="-12"/>
          <w:sz w:val="20"/>
        </w:rPr>
        <w:t> </w:t>
      </w:r>
      <w:r>
        <w:rPr>
          <w:sz w:val="20"/>
        </w:rPr>
        <w:t>Hoyos,</w:t>
      </w:r>
      <w:r>
        <w:rPr>
          <w:spacing w:val="-12"/>
          <w:sz w:val="20"/>
        </w:rPr>
        <w:t> </w:t>
      </w:r>
      <w:r>
        <w:rPr>
          <w:sz w:val="20"/>
        </w:rPr>
        <w:t>Suburbanization Versus Peripheral Sustainability of Rural-Urban Areas Fringes. New York: Nova Publishers,</w:t>
      </w:r>
      <w:r>
        <w:rPr>
          <w:spacing w:val="-12"/>
          <w:sz w:val="20"/>
        </w:rPr>
        <w:t> </w:t>
      </w:r>
      <w:r>
        <w:rPr>
          <w:sz w:val="20"/>
        </w:rPr>
        <w:t>123–146.</w:t>
      </w:r>
    </w:p>
    <w:p>
      <w:pPr>
        <w:pStyle w:val="BodyText"/>
        <w:spacing w:before="11"/>
      </w:pPr>
    </w:p>
    <w:p>
      <w:pPr>
        <w:spacing w:line="249" w:lineRule="auto" w:before="0"/>
        <w:ind w:left="758" w:right="0" w:hanging="624"/>
        <w:jc w:val="both"/>
        <w:rPr>
          <w:i/>
          <w:sz w:val="20"/>
        </w:rPr>
      </w:pPr>
      <w:r>
        <w:rPr>
          <w:sz w:val="20"/>
        </w:rPr>
        <w:t>Zborowski, A., Chaberko, T., Grad, N., Kretowicz, P. (2010). </w:t>
      </w:r>
      <w:r>
        <w:rPr>
          <w:i/>
          <w:sz w:val="20"/>
        </w:rPr>
        <w:t>Delimitacja Krakowskiego </w:t>
      </w:r>
      <w:r>
        <w:rPr>
          <w:i/>
          <w:sz w:val="20"/>
        </w:rPr>
        <w:t>Obszaru Metropolitalnego. In: Badanie funkcji, potencjału oraz trendów rozwojowych miast w województwie małopolskim. Badanie realizowane na zlecenie Urz</w:t>
      </w:r>
      <w:r>
        <w:rPr>
          <w:sz w:val="20"/>
        </w:rPr>
        <w:t>ę</w:t>
      </w:r>
      <w:r>
        <w:rPr>
          <w:i/>
          <w:sz w:val="20"/>
        </w:rPr>
        <w:t>du Marszałkowskiego Województwa Małopolskiego,  Departament</w:t>
      </w:r>
    </w:p>
    <w:p>
      <w:pPr>
        <w:spacing w:line="249" w:lineRule="auto" w:before="76"/>
        <w:ind w:left="135" w:right="128" w:firstLine="0"/>
        <w:jc w:val="both"/>
        <w:rPr>
          <w:i/>
          <w:sz w:val="20"/>
        </w:rPr>
      </w:pPr>
      <w:r>
        <w:rPr/>
        <w:br w:type="column"/>
      </w:r>
      <w:r>
        <w:rPr>
          <w:i/>
          <w:sz w:val="20"/>
        </w:rPr>
        <w:t>Polityki Regionalnej w ramach projektu systemu Programu Operacyjnego  </w:t>
      </w:r>
      <w:r>
        <w:rPr>
          <w:i/>
          <w:sz w:val="20"/>
        </w:rPr>
        <w:t>Kapitał Ludzki „Małopolskie Obserwatorium Polityki Rozwoju – etap I”. Projekt zrealizowany przez IGiGP oraz ISP UJ pod kierunkiem B. Doma</w:t>
      </w:r>
      <w:r>
        <w:rPr>
          <w:sz w:val="20"/>
        </w:rPr>
        <w:t>ń</w:t>
      </w:r>
      <w:r>
        <w:rPr>
          <w:i/>
          <w:sz w:val="20"/>
        </w:rPr>
        <w:t>skiego i A. </w:t>
      </w:r>
      <w:r>
        <w:rPr>
          <w:i/>
          <w:sz w:val="20"/>
        </w:rPr>
        <w:t>Noworóla. Kraków,</w:t>
      </w:r>
      <w:r>
        <w:rPr>
          <w:i/>
          <w:spacing w:val="-2"/>
          <w:sz w:val="20"/>
        </w:rPr>
        <w:t> </w:t>
      </w:r>
      <w:r>
        <w:rPr>
          <w:i/>
          <w:sz w:val="20"/>
        </w:rPr>
        <w:t>473–516.</w:t>
      </w:r>
    </w:p>
    <w:p>
      <w:pPr>
        <w:spacing w:after="0" w:line="249" w:lineRule="auto"/>
        <w:jc w:val="both"/>
        <w:rPr>
          <w:sz w:val="20"/>
        </w:rPr>
        <w:sectPr>
          <w:type w:val="continuous"/>
          <w:pgSz w:w="18830" w:h="12760" w:orient="landscape"/>
          <w:pgMar w:top="1420" w:bottom="280" w:left="720" w:right="720"/>
          <w:cols w:num="2" w:equalWidth="0">
            <w:col w:w="7847" w:space="2183"/>
            <w:col w:w="7360"/>
          </w:cols>
        </w:sectPr>
      </w:pPr>
    </w:p>
    <w:p>
      <w:pPr>
        <w:pStyle w:val="BodyText"/>
        <w:spacing w:before="10"/>
        <w:rPr>
          <w:i/>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rPr>
          <w:i/>
        </w:rPr>
      </w:pPr>
    </w:p>
    <w:p>
      <w:pPr>
        <w:pStyle w:val="Heading1"/>
        <w:spacing w:line="240" w:lineRule="exact" w:before="104"/>
        <w:ind w:left="10368" w:right="156" w:hanging="2597"/>
      </w:pPr>
      <w:r>
        <w:rPr/>
        <w:t>Expansión urbana, poblamiento y política territorial en la región centro de México.</w:t>
      </w:r>
    </w:p>
    <w:p>
      <w:pPr>
        <w:pStyle w:val="BodyText"/>
        <w:spacing w:before="5"/>
        <w:rPr>
          <w:b/>
          <w:sz w:val="17"/>
        </w:rPr>
      </w:pPr>
    </w:p>
    <w:p>
      <w:pPr>
        <w:spacing w:after="0"/>
        <w:rPr>
          <w:sz w:val="17"/>
        </w:rPr>
        <w:sectPr>
          <w:headerReference w:type="default" r:id="rId376"/>
          <w:footerReference w:type="default" r:id="rId377"/>
          <w:pgSz w:w="18830" w:h="12760" w:orient="landscape"/>
          <w:pgMar w:header="482" w:footer="0" w:top="680" w:bottom="0" w:left="2720" w:right="720"/>
        </w:sectPr>
      </w:pPr>
    </w:p>
    <w:p>
      <w:pPr>
        <w:pStyle w:val="BodyText"/>
        <w:rPr>
          <w:b/>
          <w:sz w:val="24"/>
        </w:rPr>
      </w:pPr>
    </w:p>
    <w:p>
      <w:pPr>
        <w:pStyle w:val="BodyText"/>
        <w:rPr>
          <w:b/>
          <w:sz w:val="24"/>
        </w:rPr>
      </w:pPr>
    </w:p>
    <w:p>
      <w:pPr>
        <w:pStyle w:val="BodyText"/>
        <w:rPr>
          <w:b/>
          <w:sz w:val="24"/>
        </w:rPr>
      </w:pPr>
    </w:p>
    <w:p>
      <w:pPr>
        <w:pStyle w:val="BodyText"/>
        <w:spacing w:before="10"/>
        <w:rPr>
          <w:b/>
          <w:sz w:val="32"/>
        </w:rPr>
      </w:pPr>
    </w:p>
    <w:p>
      <w:pPr>
        <w:pStyle w:val="Heading2"/>
        <w:ind w:left="0"/>
        <w:jc w:val="right"/>
        <w:rPr>
          <w:i/>
        </w:rPr>
      </w:pPr>
      <w:r>
        <w:rPr>
          <w:i/>
        </w:rPr>
        <w:t>Resumen</w:t>
      </w:r>
    </w:p>
    <w:p>
      <w:pPr>
        <w:spacing w:line="312" w:lineRule="auto" w:before="81"/>
        <w:ind w:left="4510" w:right="127" w:firstLine="323"/>
        <w:jc w:val="right"/>
        <w:rPr>
          <w:sz w:val="16"/>
        </w:rPr>
      </w:pPr>
      <w:r>
        <w:rPr/>
        <w:br w:type="column"/>
      </w:r>
      <w:r>
        <w:rPr>
          <w:sz w:val="16"/>
        </w:rPr>
        <w:t>Israel Vázquez Moran</w:t>
      </w:r>
      <w:r>
        <w:rPr>
          <w:w w:val="101"/>
          <w:sz w:val="16"/>
        </w:rPr>
        <w:t> </w:t>
      </w:r>
      <w:r>
        <w:rPr>
          <w:sz w:val="16"/>
        </w:rPr>
        <w:t>Guadalupe Hoyos Castillo</w:t>
      </w:r>
    </w:p>
    <w:p>
      <w:pPr>
        <w:spacing w:line="312" w:lineRule="auto" w:before="2"/>
        <w:ind w:left="3185" w:right="127" w:firstLine="189"/>
        <w:jc w:val="right"/>
        <w:rPr>
          <w:sz w:val="16"/>
        </w:rPr>
      </w:pPr>
      <w:r>
        <w:rPr>
          <w:sz w:val="16"/>
        </w:rPr>
        <w:t>Facultad de Planeación Urbana y Regional</w:t>
      </w:r>
      <w:r>
        <w:rPr>
          <w:w w:val="98"/>
          <w:sz w:val="16"/>
        </w:rPr>
        <w:t> </w:t>
      </w:r>
      <w:r>
        <w:rPr>
          <w:sz w:val="16"/>
        </w:rPr>
        <w:t>Universidad Autónoma del Estado de México</w:t>
      </w:r>
    </w:p>
    <w:p>
      <w:pPr>
        <w:spacing w:before="2"/>
        <w:ind w:left="0" w:right="127" w:firstLine="0"/>
        <w:jc w:val="right"/>
        <w:rPr>
          <w:sz w:val="16"/>
        </w:rPr>
      </w:pPr>
      <w:hyperlink r:id="rId378">
        <w:r>
          <w:rPr>
            <w:w w:val="95"/>
            <w:sz w:val="16"/>
          </w:rPr>
          <w:t>israelvm90@gmail.com</w:t>
        </w:r>
      </w:hyperlink>
    </w:p>
    <w:p>
      <w:pPr>
        <w:spacing w:after="0"/>
        <w:jc w:val="right"/>
        <w:rPr>
          <w:sz w:val="16"/>
        </w:rPr>
        <w:sectPr>
          <w:type w:val="continuous"/>
          <w:pgSz w:w="18830" w:h="12760" w:orient="landscape"/>
          <w:pgMar w:top="1420" w:bottom="280" w:left="2720" w:right="720"/>
          <w:cols w:num="2" w:equalWidth="0">
            <w:col w:w="8797" w:space="40"/>
            <w:col w:w="6553"/>
          </w:cols>
        </w:sectPr>
      </w:pPr>
    </w:p>
    <w:p>
      <w:pPr>
        <w:pStyle w:val="BodyText"/>
        <w:spacing w:before="4"/>
        <w:rPr>
          <w:sz w:val="14"/>
        </w:rPr>
      </w:pPr>
      <w:r>
        <w:rPr/>
        <w:pict>
          <v:group style="position:absolute;margin-left:696.401978pt;margin-top:576pt;width:18.850pt;height:61.8pt;mso-position-horizontal-relative:page;mso-position-vertical-relative:page;z-index:14152" coordorigin="13928,11520" coordsize="377,1236">
            <v:rect style="position:absolute;left:13928;top:11520;width:377;height:1236" filled="true" fillcolor="#c7c8ca" stroked="false">
              <v:fill type="solid"/>
            </v:rect>
            <v:shape style="position:absolute;left:13928;top:11520;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339</w:t>
                    </w:r>
                  </w:p>
                </w:txbxContent>
              </v:textbox>
              <w10:wrap type="none"/>
            </v:shape>
            <w10:wrap type="none"/>
          </v:group>
        </w:pict>
      </w:r>
    </w:p>
    <w:p>
      <w:pPr>
        <w:pStyle w:val="BodyText"/>
        <w:spacing w:line="249" w:lineRule="auto" w:before="76"/>
        <w:ind w:left="7542" w:right="126" w:firstLine="170"/>
        <w:jc w:val="both"/>
      </w:pPr>
      <w:r>
        <w:rPr/>
        <w:t>El objetivo del trabajo es examinar el impacto del proceso de expansión urbana      en la formación de estructuras territoriales para las que se identifican políticas de ordenamiento de la Región Centro de México para los años de 2000 a 2010. Los procesos</w:t>
      </w:r>
      <w:r>
        <w:rPr>
          <w:spacing w:val="-4"/>
        </w:rPr>
        <w:t> </w:t>
      </w:r>
      <w:r>
        <w:rPr/>
        <w:t>actuales</w:t>
      </w:r>
      <w:r>
        <w:rPr>
          <w:spacing w:val="-4"/>
        </w:rPr>
        <w:t> </w:t>
      </w:r>
      <w:r>
        <w:rPr/>
        <w:t>de</w:t>
      </w:r>
      <w:r>
        <w:rPr>
          <w:spacing w:val="-4"/>
        </w:rPr>
        <w:t> </w:t>
      </w:r>
      <w:r>
        <w:rPr/>
        <w:t>urbanización</w:t>
      </w:r>
      <w:r>
        <w:rPr>
          <w:spacing w:val="-4"/>
        </w:rPr>
        <w:t> </w:t>
      </w:r>
      <w:r>
        <w:rPr/>
        <w:t>modifican</w:t>
      </w:r>
      <w:r>
        <w:rPr>
          <w:spacing w:val="-4"/>
        </w:rPr>
        <w:t> </w:t>
      </w:r>
      <w:r>
        <w:rPr/>
        <w:t>el</w:t>
      </w:r>
      <w:r>
        <w:rPr>
          <w:spacing w:val="-4"/>
        </w:rPr>
        <w:t> </w:t>
      </w:r>
      <w:r>
        <w:rPr/>
        <w:t>sistema</w:t>
      </w:r>
      <w:r>
        <w:rPr>
          <w:spacing w:val="-4"/>
        </w:rPr>
        <w:t> </w:t>
      </w:r>
      <w:r>
        <w:rPr/>
        <w:t>urbano</w:t>
      </w:r>
      <w:r>
        <w:rPr>
          <w:spacing w:val="-4"/>
        </w:rPr>
        <w:t> </w:t>
      </w:r>
      <w:r>
        <w:rPr/>
        <w:t>nacional</w:t>
      </w:r>
      <w:r>
        <w:rPr>
          <w:spacing w:val="-4"/>
        </w:rPr>
        <w:t> </w:t>
      </w:r>
      <w:r>
        <w:rPr/>
        <w:t>y</w:t>
      </w:r>
      <w:r>
        <w:rPr>
          <w:spacing w:val="-4"/>
        </w:rPr>
        <w:t> </w:t>
      </w:r>
      <w:r>
        <w:rPr/>
        <w:t>en</w:t>
      </w:r>
      <w:r>
        <w:rPr>
          <w:spacing w:val="-4"/>
        </w:rPr>
        <w:t> </w:t>
      </w:r>
      <w:r>
        <w:rPr/>
        <w:t>particular los sistemas urbanos regionales y los de poblamiento del territorio. Con base en información de población total por localidades y municipios para las siete entidades   de la región se encuentra que ésta presenta patrones de concentración, procesos de transición y descentralización que revelan estructuras complejas sobrepuestas y otras inéditas.</w:t>
      </w:r>
    </w:p>
    <w:p>
      <w:pPr>
        <w:pStyle w:val="BodyText"/>
        <w:spacing w:before="11"/>
      </w:pPr>
    </w:p>
    <w:p>
      <w:pPr>
        <w:pStyle w:val="BodyText"/>
        <w:ind w:left="7712" w:right="156"/>
      </w:pPr>
      <w:r>
        <w:rPr>
          <w:b/>
          <w:i/>
        </w:rPr>
        <w:t>Palabras clave: </w:t>
      </w:r>
      <w:r>
        <w:rPr/>
        <w:t>expansión urbana, estructuras territoriales, política territorial</w:t>
      </w:r>
    </w:p>
    <w:p>
      <w:pPr>
        <w:pStyle w:val="BodyText"/>
        <w:spacing w:before="5"/>
        <w:rPr>
          <w:sz w:val="18"/>
        </w:rPr>
      </w:pPr>
    </w:p>
    <w:p>
      <w:pPr>
        <w:pStyle w:val="Heading2"/>
        <w:ind w:left="1493" w:right="474"/>
        <w:jc w:val="center"/>
        <w:rPr>
          <w:i/>
        </w:rPr>
      </w:pPr>
      <w:r>
        <w:rPr>
          <w:i/>
        </w:rPr>
        <w:t>Abstract</w:t>
      </w:r>
    </w:p>
    <w:p>
      <w:pPr>
        <w:pStyle w:val="BodyText"/>
        <w:rPr>
          <w:b/>
          <w:i/>
          <w:sz w:val="21"/>
        </w:rPr>
      </w:pPr>
    </w:p>
    <w:p>
      <w:pPr>
        <w:pStyle w:val="BodyText"/>
        <w:spacing w:line="249" w:lineRule="auto"/>
        <w:ind w:left="7542" w:right="126" w:firstLine="170"/>
        <w:jc w:val="both"/>
      </w:pPr>
      <w:r>
        <w:rPr/>
        <w:t>The aim of the study is to examine the impact of urban expansion over the territorial structures since its formation; for this purpose, management policies have been identified in the Central Region of Mexico from 2000 to 2010. Current urbanization processes have modified the national urban system, particularly, regional urban and settlement systems. Based on total population data by cities and municipalities for  each of the seven entities of the region, it has been found that concentration patterns, transition processes and decentralization, reveal complex overlapping structures and unprecedented structures as</w:t>
      </w:r>
      <w:r>
        <w:rPr>
          <w:spacing w:val="39"/>
        </w:rPr>
        <w:t> </w:t>
      </w:r>
      <w:r>
        <w:rPr/>
        <w:t>well.</w:t>
      </w:r>
    </w:p>
    <w:p>
      <w:pPr>
        <w:pStyle w:val="BodyText"/>
        <w:spacing w:before="11"/>
      </w:pPr>
    </w:p>
    <w:p>
      <w:pPr>
        <w:pStyle w:val="BodyText"/>
        <w:ind w:left="7712" w:right="156"/>
      </w:pPr>
      <w:r>
        <w:rPr>
          <w:b/>
          <w:i/>
        </w:rPr>
        <w:t>Key words: </w:t>
      </w:r>
      <w:r>
        <w:rPr/>
        <w:t>urban expansion, territorial structures, territorial policy</w:t>
      </w:r>
    </w:p>
    <w:p>
      <w:pPr>
        <w:spacing w:after="0"/>
        <w:sectPr>
          <w:type w:val="continuous"/>
          <w:pgSz w:w="18830" w:h="12760" w:orient="landscape"/>
          <w:pgMar w:top="1420" w:bottom="280" w:left="2720" w:right="720"/>
        </w:sectPr>
      </w:pPr>
    </w:p>
    <w:p>
      <w:pPr>
        <w:pStyle w:val="BodyText"/>
        <w:spacing w:before="8"/>
      </w:pPr>
    </w:p>
    <w:p>
      <w:pPr>
        <w:spacing w:after="0"/>
        <w:sectPr>
          <w:headerReference w:type="default" r:id="rId379"/>
          <w:footerReference w:type="default" r:id="rId380"/>
          <w:pgSz w:w="18830" w:h="12760" w:orient="landscape"/>
          <w:pgMar w:header="522" w:footer="1036" w:top="820" w:bottom="1220" w:left="720" w:right="720"/>
        </w:sectPr>
      </w:pPr>
    </w:p>
    <w:p>
      <w:pPr>
        <w:pStyle w:val="Heading1"/>
        <w:spacing w:before="71"/>
        <w:ind w:left="307" w:right="-5"/>
      </w:pPr>
      <w:r>
        <w:rPr/>
        <w:t>Introducción</w:t>
      </w:r>
    </w:p>
    <w:p>
      <w:pPr>
        <w:pStyle w:val="BodyText"/>
        <w:rPr>
          <w:b/>
          <w:sz w:val="21"/>
        </w:rPr>
      </w:pPr>
    </w:p>
    <w:p>
      <w:pPr>
        <w:pStyle w:val="BodyText"/>
        <w:spacing w:line="249" w:lineRule="auto"/>
        <w:ind w:left="137" w:firstLine="170"/>
        <w:jc w:val="both"/>
      </w:pPr>
      <w:r>
        <w:rPr/>
        <w:t>El proceso de urbanización implica al mismo tiempo incremento en el grado de urbanización, aumento del número de ciudades y desarrollo de los sistemas urbano</w:t>
      </w:r>
    </w:p>
    <w:p>
      <w:pPr>
        <w:pStyle w:val="BodyText"/>
        <w:spacing w:line="249" w:lineRule="auto" w:before="1"/>
        <w:ind w:left="137"/>
        <w:jc w:val="both"/>
      </w:pPr>
      <w:r>
        <w:rPr/>
        <w:t>- regionales, en la perspectiva de la evolución del sistema de ciudades. A mayor evolución</w:t>
      </w:r>
      <w:r>
        <w:rPr>
          <w:spacing w:val="-10"/>
        </w:rPr>
        <w:t> </w:t>
      </w:r>
      <w:r>
        <w:rPr/>
        <w:t>urbana</w:t>
      </w:r>
      <w:r>
        <w:rPr>
          <w:spacing w:val="-10"/>
        </w:rPr>
        <w:t> </w:t>
      </w:r>
      <w:r>
        <w:rPr/>
        <w:t>se</w:t>
      </w:r>
      <w:r>
        <w:rPr>
          <w:spacing w:val="-10"/>
        </w:rPr>
        <w:t> </w:t>
      </w:r>
      <w:r>
        <w:rPr/>
        <w:t>esperan</w:t>
      </w:r>
      <w:r>
        <w:rPr>
          <w:spacing w:val="-10"/>
        </w:rPr>
        <w:t> </w:t>
      </w:r>
      <w:r>
        <w:rPr/>
        <w:t>nuevas</w:t>
      </w:r>
      <w:r>
        <w:rPr>
          <w:spacing w:val="-10"/>
        </w:rPr>
        <w:t> </w:t>
      </w:r>
      <w:r>
        <w:rPr/>
        <w:t>formas</w:t>
      </w:r>
      <w:r>
        <w:rPr>
          <w:spacing w:val="-10"/>
        </w:rPr>
        <w:t> </w:t>
      </w:r>
      <w:r>
        <w:rPr/>
        <w:t>de</w:t>
      </w:r>
      <w:r>
        <w:rPr>
          <w:spacing w:val="-10"/>
        </w:rPr>
        <w:t> </w:t>
      </w:r>
      <w:r>
        <w:rPr/>
        <w:t>ocupación</w:t>
      </w:r>
      <w:r>
        <w:rPr>
          <w:spacing w:val="-10"/>
        </w:rPr>
        <w:t> </w:t>
      </w:r>
      <w:r>
        <w:rPr/>
        <w:t>del</w:t>
      </w:r>
      <w:r>
        <w:rPr>
          <w:spacing w:val="-10"/>
        </w:rPr>
        <w:t> </w:t>
      </w:r>
      <w:r>
        <w:rPr/>
        <w:t>territorio</w:t>
      </w:r>
      <w:r>
        <w:rPr>
          <w:spacing w:val="-10"/>
        </w:rPr>
        <w:t> </w:t>
      </w:r>
      <w:r>
        <w:rPr/>
        <w:t>y</w:t>
      </w:r>
      <w:r>
        <w:rPr>
          <w:spacing w:val="-10"/>
        </w:rPr>
        <w:t> </w:t>
      </w:r>
      <w:r>
        <w:rPr/>
        <w:t>del</w:t>
      </w:r>
      <w:r>
        <w:rPr>
          <w:spacing w:val="-10"/>
        </w:rPr>
        <w:t> </w:t>
      </w:r>
      <w:r>
        <w:rPr/>
        <w:t>incremento de interrelación de todo orden y grado entre ciudades (Pacione, 2005). Los patrones de distribución que fueron identificados en sistemas urbanos más evolucionados en décadas pasadas dieron lugar a conceptos como megalópolis (Gottmann, 1961), metroplex (Meltzer, 1984), y regiones urbanas policéntricas (Champion, 2001) (Citado por Sobrino, 2011); dichos conceptos pretendían explicar las transformaciones de las ciudades y del territorio, destacando la formación de otras estructuras territoriales originadas por los cambios en los sistemas, los subsistemas y las regiones urbanas. Aquel proceso que da inicio en los años setenta en el orden internacional en México empezó su registro en la década del ochenta con grados diversos de comprobación y discusión</w:t>
      </w:r>
      <w:r>
        <w:rPr>
          <w:spacing w:val="10"/>
        </w:rPr>
        <w:t> </w:t>
      </w:r>
      <w:r>
        <w:rPr/>
        <w:t>analítica.</w:t>
      </w:r>
    </w:p>
    <w:p>
      <w:pPr>
        <w:pStyle w:val="BodyText"/>
        <w:spacing w:before="11"/>
      </w:pPr>
    </w:p>
    <w:p>
      <w:pPr>
        <w:pStyle w:val="BodyText"/>
        <w:spacing w:line="249" w:lineRule="auto"/>
        <w:ind w:left="137" w:firstLine="170"/>
        <w:jc w:val="both"/>
      </w:pPr>
      <w:r>
        <w:rPr/>
        <w:t>En</w:t>
      </w:r>
      <w:r>
        <w:rPr>
          <w:spacing w:val="-3"/>
        </w:rPr>
        <w:t> </w:t>
      </w:r>
      <w:r>
        <w:rPr/>
        <w:t>México,</w:t>
      </w:r>
      <w:r>
        <w:rPr>
          <w:spacing w:val="-3"/>
        </w:rPr>
        <w:t> </w:t>
      </w:r>
      <w:r>
        <w:rPr/>
        <w:t>entre</w:t>
      </w:r>
      <w:r>
        <w:rPr>
          <w:spacing w:val="-3"/>
        </w:rPr>
        <w:t> </w:t>
      </w:r>
      <w:r>
        <w:rPr/>
        <w:t>1980</w:t>
      </w:r>
      <w:r>
        <w:rPr>
          <w:spacing w:val="-3"/>
        </w:rPr>
        <w:t> </w:t>
      </w:r>
      <w:r>
        <w:rPr/>
        <w:t>y</w:t>
      </w:r>
      <w:r>
        <w:rPr>
          <w:spacing w:val="-3"/>
        </w:rPr>
        <w:t> </w:t>
      </w:r>
      <w:r>
        <w:rPr/>
        <w:t>2010</w:t>
      </w:r>
      <w:r>
        <w:rPr>
          <w:spacing w:val="-3"/>
        </w:rPr>
        <w:t> </w:t>
      </w:r>
      <w:r>
        <w:rPr/>
        <w:t>la</w:t>
      </w:r>
      <w:r>
        <w:rPr>
          <w:spacing w:val="-3"/>
        </w:rPr>
        <w:t> </w:t>
      </w:r>
      <w:r>
        <w:rPr/>
        <w:t>población</w:t>
      </w:r>
      <w:r>
        <w:rPr>
          <w:spacing w:val="-3"/>
        </w:rPr>
        <w:t> </w:t>
      </w:r>
      <w:r>
        <w:rPr/>
        <w:t>del</w:t>
      </w:r>
      <w:r>
        <w:rPr>
          <w:spacing w:val="-3"/>
        </w:rPr>
        <w:t> </w:t>
      </w:r>
      <w:r>
        <w:rPr/>
        <w:t>país</w:t>
      </w:r>
      <w:r>
        <w:rPr>
          <w:spacing w:val="-3"/>
        </w:rPr>
        <w:t> </w:t>
      </w:r>
      <w:r>
        <w:rPr/>
        <w:t>se</w:t>
      </w:r>
      <w:r>
        <w:rPr>
          <w:spacing w:val="-3"/>
        </w:rPr>
        <w:t> </w:t>
      </w:r>
      <w:r>
        <w:rPr/>
        <w:t>elevó</w:t>
      </w:r>
      <w:r>
        <w:rPr>
          <w:spacing w:val="-3"/>
        </w:rPr>
        <w:t> </w:t>
      </w:r>
      <w:r>
        <w:rPr/>
        <w:t>de</w:t>
      </w:r>
      <w:r>
        <w:rPr>
          <w:spacing w:val="-3"/>
        </w:rPr>
        <w:t> </w:t>
      </w:r>
      <w:r>
        <w:rPr/>
        <w:t>66.8</w:t>
      </w:r>
      <w:r>
        <w:rPr>
          <w:spacing w:val="-3"/>
        </w:rPr>
        <w:t> </w:t>
      </w:r>
      <w:r>
        <w:rPr/>
        <w:t>a</w:t>
      </w:r>
      <w:r>
        <w:rPr>
          <w:spacing w:val="-3"/>
        </w:rPr>
        <w:t> </w:t>
      </w:r>
      <w:r>
        <w:rPr/>
        <w:t>112.3</w:t>
      </w:r>
      <w:r>
        <w:rPr>
          <w:spacing w:val="-3"/>
        </w:rPr>
        <w:t> </w:t>
      </w:r>
      <w:r>
        <w:rPr/>
        <w:t>millones de</w:t>
      </w:r>
      <w:r>
        <w:rPr>
          <w:spacing w:val="-5"/>
        </w:rPr>
        <w:t> </w:t>
      </w:r>
      <w:r>
        <w:rPr/>
        <w:t>habitantes,</w:t>
      </w:r>
      <w:r>
        <w:rPr>
          <w:spacing w:val="-5"/>
        </w:rPr>
        <w:t> </w:t>
      </w:r>
      <w:r>
        <w:rPr/>
        <w:t>con</w:t>
      </w:r>
      <w:r>
        <w:rPr>
          <w:spacing w:val="-5"/>
        </w:rPr>
        <w:t> </w:t>
      </w:r>
      <w:r>
        <w:rPr/>
        <w:t>una</w:t>
      </w:r>
      <w:r>
        <w:rPr>
          <w:spacing w:val="-5"/>
        </w:rPr>
        <w:t> </w:t>
      </w:r>
      <w:r>
        <w:rPr/>
        <w:t>tasa</w:t>
      </w:r>
      <w:r>
        <w:rPr>
          <w:spacing w:val="-5"/>
        </w:rPr>
        <w:t> </w:t>
      </w:r>
      <w:r>
        <w:rPr/>
        <w:t>de</w:t>
      </w:r>
      <w:r>
        <w:rPr>
          <w:spacing w:val="-5"/>
        </w:rPr>
        <w:t> </w:t>
      </w:r>
      <w:r>
        <w:rPr/>
        <w:t>crecimiento</w:t>
      </w:r>
      <w:r>
        <w:rPr>
          <w:spacing w:val="-5"/>
        </w:rPr>
        <w:t> </w:t>
      </w:r>
      <w:r>
        <w:rPr/>
        <w:t>promedio</w:t>
      </w:r>
      <w:r>
        <w:rPr>
          <w:spacing w:val="-5"/>
        </w:rPr>
        <w:t> </w:t>
      </w:r>
      <w:r>
        <w:rPr/>
        <w:t>anual</w:t>
      </w:r>
      <w:r>
        <w:rPr>
          <w:spacing w:val="-5"/>
        </w:rPr>
        <w:t> </w:t>
      </w:r>
      <w:r>
        <w:rPr/>
        <w:t>(TCPA)</w:t>
      </w:r>
      <w:r>
        <w:rPr>
          <w:spacing w:val="-5"/>
        </w:rPr>
        <w:t> </w:t>
      </w:r>
      <w:r>
        <w:rPr/>
        <w:t>de</w:t>
      </w:r>
      <w:r>
        <w:rPr>
          <w:spacing w:val="-5"/>
        </w:rPr>
        <w:t> </w:t>
      </w:r>
      <w:r>
        <w:rPr/>
        <w:t>1.</w:t>
      </w:r>
      <w:r>
        <w:rPr>
          <w:spacing w:val="-5"/>
        </w:rPr>
        <w:t> </w:t>
      </w:r>
      <w:r>
        <w:rPr/>
        <w:t>%;</w:t>
      </w:r>
      <w:r>
        <w:rPr>
          <w:spacing w:val="-5"/>
        </w:rPr>
        <w:t> </w:t>
      </w:r>
      <w:r>
        <w:rPr/>
        <w:t>a</w:t>
      </w:r>
      <w:r>
        <w:rPr>
          <w:spacing w:val="-5"/>
        </w:rPr>
        <w:t> </w:t>
      </w:r>
      <w:r>
        <w:rPr/>
        <w:t>su</w:t>
      </w:r>
      <w:r>
        <w:rPr>
          <w:spacing w:val="-5"/>
        </w:rPr>
        <w:t> </w:t>
      </w:r>
      <w:r>
        <w:rPr/>
        <w:t>vez</w:t>
      </w:r>
      <w:r>
        <w:rPr>
          <w:spacing w:val="-5"/>
        </w:rPr>
        <w:t> </w:t>
      </w:r>
      <w:r>
        <w:rPr/>
        <w:t>el grado</w:t>
      </w:r>
      <w:r>
        <w:rPr>
          <w:spacing w:val="-7"/>
        </w:rPr>
        <w:t> </w:t>
      </w:r>
      <w:r>
        <w:rPr/>
        <w:t>de</w:t>
      </w:r>
      <w:r>
        <w:rPr>
          <w:spacing w:val="-7"/>
        </w:rPr>
        <w:t> </w:t>
      </w:r>
      <w:r>
        <w:rPr/>
        <w:t>urbanización</w:t>
      </w:r>
      <w:r>
        <w:rPr>
          <w:spacing w:val="-7"/>
        </w:rPr>
        <w:t> </w:t>
      </w:r>
      <w:r>
        <w:rPr/>
        <w:t>cambió</w:t>
      </w:r>
      <w:r>
        <w:rPr>
          <w:spacing w:val="-7"/>
        </w:rPr>
        <w:t> </w:t>
      </w:r>
      <w:r>
        <w:rPr/>
        <w:t>de</w:t>
      </w:r>
      <w:r>
        <w:rPr>
          <w:spacing w:val="-7"/>
        </w:rPr>
        <w:t> </w:t>
      </w:r>
      <w:r>
        <w:rPr/>
        <w:t>51.8</w:t>
      </w:r>
      <w:r>
        <w:rPr>
          <w:spacing w:val="-6"/>
        </w:rPr>
        <w:t> </w:t>
      </w:r>
      <w:r>
        <w:rPr/>
        <w:t>a</w:t>
      </w:r>
      <w:r>
        <w:rPr>
          <w:spacing w:val="-7"/>
        </w:rPr>
        <w:t> </w:t>
      </w:r>
      <w:r>
        <w:rPr/>
        <w:t>62.5%</w:t>
      </w:r>
      <w:r>
        <w:rPr>
          <w:spacing w:val="-7"/>
        </w:rPr>
        <w:t> </w:t>
      </w:r>
      <w:r>
        <w:rPr/>
        <w:t>entre</w:t>
      </w:r>
      <w:r>
        <w:rPr>
          <w:spacing w:val="-7"/>
        </w:rPr>
        <w:t> </w:t>
      </w:r>
      <w:r>
        <w:rPr/>
        <w:t>1980</w:t>
      </w:r>
      <w:r>
        <w:rPr>
          <w:spacing w:val="-6"/>
        </w:rPr>
        <w:t> </w:t>
      </w:r>
      <w:r>
        <w:rPr/>
        <w:t>y</w:t>
      </w:r>
      <w:r>
        <w:rPr>
          <w:spacing w:val="-7"/>
        </w:rPr>
        <w:t> </w:t>
      </w:r>
      <w:r>
        <w:rPr/>
        <w:t>2010.</w:t>
      </w:r>
      <w:r>
        <w:rPr>
          <w:spacing w:val="-7"/>
        </w:rPr>
        <w:t> </w:t>
      </w:r>
      <w:r>
        <w:rPr/>
        <w:t>La</w:t>
      </w:r>
      <w:r>
        <w:rPr>
          <w:spacing w:val="-6"/>
        </w:rPr>
        <w:t> </w:t>
      </w:r>
      <w:r>
        <w:rPr/>
        <w:t>población</w:t>
      </w:r>
      <w:r>
        <w:rPr>
          <w:spacing w:val="-7"/>
        </w:rPr>
        <w:t> </w:t>
      </w:r>
      <w:r>
        <w:rPr/>
        <w:t>urbana en el año 2010, fue de 79 millones de habitantes con una TCPA de 2.2% y la</w:t>
      </w:r>
      <w:r>
        <w:rPr>
          <w:spacing w:val="-34"/>
        </w:rPr>
        <w:t> </w:t>
      </w:r>
      <w:r>
        <w:rPr/>
        <w:t>población total del país de 1.7% promedio anual, es decir, la población urbana crece más rápido que la población total nacional (Sobrino, 2011). Tal proceso puede ser indicativo de cambio en las dinámicas</w:t>
      </w:r>
      <w:r>
        <w:rPr>
          <w:spacing w:val="21"/>
        </w:rPr>
        <w:t> </w:t>
      </w:r>
      <w:r>
        <w:rPr/>
        <w:t>urbanas.</w:t>
      </w:r>
    </w:p>
    <w:p>
      <w:pPr>
        <w:pStyle w:val="BodyText"/>
        <w:spacing w:before="11"/>
      </w:pPr>
    </w:p>
    <w:p>
      <w:pPr>
        <w:pStyle w:val="BodyText"/>
        <w:spacing w:line="249" w:lineRule="auto"/>
        <w:ind w:left="137" w:firstLine="170"/>
        <w:jc w:val="both"/>
      </w:pPr>
      <w:r>
        <w:rPr/>
        <w:t>Sobrino (2011) señala que la región urbana del centro es la de mayor complejidad y concentración poblacional y económica; dice que se trata del nodo central. La Zona Metropolitana de la Ciudad de México (ZMCM) presenta una forma radial, organizada  a través de las autopistas 57, México-Querétaro; 130, México-Pachuca; 132, México- Tulancingo; 95, México-Cuernavaca, y 15, México-Toluca; su población en 2010 fue</w:t>
      </w:r>
      <w:r>
        <w:rPr>
          <w:spacing w:val="-21"/>
        </w:rPr>
        <w:t> </w:t>
      </w:r>
      <w:r>
        <w:rPr/>
        <w:t>de</w:t>
      </w:r>
    </w:p>
    <w:p>
      <w:pPr>
        <w:pStyle w:val="ListParagraph"/>
        <w:numPr>
          <w:ilvl w:val="1"/>
          <w:numId w:val="42"/>
        </w:numPr>
        <w:tabs>
          <w:tab w:pos="583" w:val="left" w:leader="none"/>
        </w:tabs>
        <w:spacing w:line="240" w:lineRule="auto" w:before="1" w:after="0"/>
        <w:ind w:left="582" w:right="0" w:hanging="445"/>
        <w:jc w:val="both"/>
        <w:rPr>
          <w:sz w:val="20"/>
        </w:rPr>
      </w:pPr>
      <w:r>
        <w:rPr>
          <w:sz w:val="20"/>
        </w:rPr>
        <w:t>millones de habitantes, 21.5% del total </w:t>
      </w:r>
      <w:r>
        <w:rPr>
          <w:spacing w:val="5"/>
          <w:sz w:val="20"/>
        </w:rPr>
        <w:t> </w:t>
      </w:r>
      <w:r>
        <w:rPr>
          <w:sz w:val="20"/>
        </w:rPr>
        <w:t>nacional.</w:t>
      </w:r>
    </w:p>
    <w:p>
      <w:pPr>
        <w:pStyle w:val="BodyText"/>
        <w:spacing w:before="8"/>
        <w:rPr>
          <w:sz w:val="21"/>
        </w:rPr>
      </w:pPr>
    </w:p>
    <w:p>
      <w:pPr>
        <w:pStyle w:val="BodyText"/>
        <w:spacing w:line="249" w:lineRule="auto"/>
        <w:ind w:left="137" w:firstLine="170"/>
        <w:jc w:val="both"/>
      </w:pPr>
      <w:r>
        <w:rPr/>
        <w:t>Así, bajo el examen de la estructura funcional de la red de ciudades de México, Garrocho (2012) identifica las interacciones de la Zona Metropolitana del Valle de México (ZMVM) en la región centro y a nivel nacional, ésta tenía 19.2 millones de habitantes en 2010 y su población vinculada era de 44.4 millones más, lo que genera</w:t>
      </w:r>
      <w:r>
        <w:rPr>
          <w:w w:val="98"/>
        </w:rPr>
        <w:t> </w:t>
      </w:r>
      <w:r>
        <w:rPr/>
        <w:t>una población total articulada funcionalmente a la ZMVM de 63.7 millones de personas del total del país. No obstante el predominio nacional y el papel jerárquico, existe una diversidad de redes urbanas regionales.</w:t>
      </w:r>
    </w:p>
    <w:p>
      <w:pPr>
        <w:pStyle w:val="BodyText"/>
        <w:spacing w:line="249" w:lineRule="auto" w:before="109"/>
        <w:ind w:left="137" w:right="127" w:firstLine="170"/>
        <w:jc w:val="both"/>
      </w:pPr>
      <w:r>
        <w:rPr/>
        <w:br w:type="column"/>
      </w:r>
      <w:r>
        <w:rPr/>
        <w:t>Por su parte Galindo y Delgado (2006) identifican espacios nuevos de ruralidad a consecuencia de la dinámica poblacional en la corona regional de la ciudad de México, destacan que los municipios que alcanzaron alto y muy alto dinamismo y difusión predominan al interior de la corona regional y forman periurbanos cercanos de las zonas metropolitanas de las ciudades de México, Toluca, Puebla y Cuernavaca.</w:t>
      </w:r>
    </w:p>
    <w:p>
      <w:pPr>
        <w:pStyle w:val="BodyText"/>
        <w:spacing w:before="11"/>
      </w:pPr>
    </w:p>
    <w:p>
      <w:pPr>
        <w:pStyle w:val="BodyText"/>
        <w:spacing w:line="249" w:lineRule="auto"/>
        <w:ind w:left="137" w:right="127" w:firstLine="170"/>
        <w:jc w:val="both"/>
      </w:pPr>
      <w:r>
        <w:rPr/>
        <w:t>El proceso de urbanización en el territorio nacional es tan importante tanto como el proceso de poblamiento, es decir que no sólo son dinámicas urbanas sino también   las de ocupación del territorio. En las regiones se configuran sistemas y subsistemas funcionales de distinto orden que impactan la formación de constelación de ciudades y de asentamientos rurales por igual, con lo cual se reconfiguran estructuras regionales. En particular la región centro de México, reporta un  importante  dinamismo,  las  zonas metropolitanas presentan procesos de suburbanización, de periurbanización,   de rururbanización, el incremento de ciudades medianas y pequeñas propicia el reforzamiento de regiones urbanas y el policentrismo intrarregional. La evolución del sistema urbano da lugar a esquemas de expansión urbana</w:t>
      </w:r>
      <w:r>
        <w:rPr>
          <w:spacing w:val="19"/>
        </w:rPr>
        <w:t> </w:t>
      </w:r>
      <w:r>
        <w:rPr/>
        <w:t>diversa.</w:t>
      </w:r>
    </w:p>
    <w:p>
      <w:pPr>
        <w:pStyle w:val="BodyText"/>
        <w:spacing w:before="11"/>
      </w:pPr>
    </w:p>
    <w:p>
      <w:pPr>
        <w:pStyle w:val="BodyText"/>
        <w:spacing w:line="249" w:lineRule="auto"/>
        <w:ind w:left="137" w:right="127" w:firstLine="170"/>
        <w:jc w:val="both"/>
      </w:pPr>
      <w:r>
        <w:rPr/>
        <w:t>Debido a que los procesos de poblamiento y de urbanización del territorio caminan   a la misma vez o en paralelo, el estudio de las actuales estructuras territoriales debe tener un enfoque urbano-regional. Por lo tanto el objetivo de este trabajo es examinar las estructuras territoriales que genera la actual expansión urbana de la región centro de México e identificar la existencia de políticas territoriales para ordenar y modelar la nueva fase urbana en el período de</w:t>
      </w:r>
      <w:r>
        <w:rPr>
          <w:spacing w:val="1"/>
        </w:rPr>
        <w:t> </w:t>
      </w:r>
      <w:r>
        <w:rPr/>
        <w:t>2000-2010.</w:t>
      </w:r>
    </w:p>
    <w:p>
      <w:pPr>
        <w:pStyle w:val="BodyText"/>
        <w:spacing w:before="11"/>
      </w:pPr>
    </w:p>
    <w:p>
      <w:pPr>
        <w:pStyle w:val="BodyText"/>
        <w:spacing w:line="249" w:lineRule="auto"/>
        <w:ind w:left="137" w:right="127" w:firstLine="170"/>
        <w:jc w:val="both"/>
      </w:pPr>
      <w:r>
        <w:rPr/>
        <w:t>La estructura del trabajo, después de la introducción, se integra  en primer punto   por la revisión de consideraciones teóricas de la expansión urbana y poblamiento; en segundo punto presenta los patrones de distribución de la población y las estructuras territoriales. En el tercer apartado del trabajo se hace la revisión a los documentos     de planeación para identificar la existencia de políticas de ordenamiento; y al final las ideas</w:t>
      </w:r>
      <w:r>
        <w:rPr>
          <w:spacing w:val="17"/>
        </w:rPr>
        <w:t> </w:t>
      </w:r>
      <w:r>
        <w:rPr/>
        <w:t>concluyentes.</w:t>
      </w:r>
    </w:p>
    <w:p>
      <w:pPr>
        <w:pStyle w:val="BodyText"/>
        <w:spacing w:before="6"/>
      </w:pPr>
    </w:p>
    <w:p>
      <w:pPr>
        <w:pStyle w:val="Heading1"/>
        <w:spacing w:line="240" w:lineRule="exact"/>
        <w:ind w:left="307" w:hanging="57"/>
      </w:pPr>
      <w:r>
        <w:rPr/>
        <w:t>Consideraciones conceptuales para las estructuras territoriales actuales</w:t>
      </w:r>
    </w:p>
    <w:p>
      <w:pPr>
        <w:pStyle w:val="BodyText"/>
        <w:spacing w:before="2"/>
        <w:rPr>
          <w:b/>
          <w:sz w:val="21"/>
        </w:rPr>
      </w:pPr>
    </w:p>
    <w:p>
      <w:pPr>
        <w:pStyle w:val="BodyText"/>
        <w:spacing w:line="249" w:lineRule="auto" w:before="1"/>
        <w:ind w:left="137" w:right="127" w:firstLine="170"/>
        <w:jc w:val="both"/>
      </w:pPr>
      <w:r>
        <w:rPr/>
        <w:t>Para comprender los procesos modeladores de las estructuras territoriales, se debe tener en cuenta que “las ciudades son parte de un complejo sistema de interrelaciones urbanas, y elementos importantes en la economía, en la sociedad y en la organización política de regiones y naciones” (Pacione, 2005, p.122).</w:t>
      </w:r>
    </w:p>
    <w:p>
      <w:pPr>
        <w:pStyle w:val="BodyText"/>
        <w:spacing w:before="11"/>
      </w:pPr>
    </w:p>
    <w:p>
      <w:pPr>
        <w:pStyle w:val="BodyText"/>
        <w:spacing w:line="249" w:lineRule="auto"/>
        <w:ind w:left="137" w:right="127" w:firstLine="170"/>
        <w:jc w:val="both"/>
      </w:pPr>
      <w:r>
        <w:rPr/>
        <w:t>El sistema urbano nacional, refiere a un conjunto de pueblos y ciudades que se unen de tal manera que cualquier cambio importante en la población, la vitalidad económica, empleo o prestación de servicio de uno tendrá repercusiones para los otros lugares.</w:t>
      </w:r>
    </w:p>
    <w:p>
      <w:pPr>
        <w:spacing w:after="0" w:line="249" w:lineRule="auto"/>
        <w:jc w:val="both"/>
        <w:sectPr>
          <w:type w:val="continuous"/>
          <w:pgSz w:w="18830" w:h="12760" w:orient="landscape"/>
          <w:pgMar w:top="1420" w:bottom="280" w:left="720" w:right="720"/>
          <w:cols w:num="2" w:equalWidth="0">
            <w:col w:w="7849" w:space="1554"/>
            <w:col w:w="7987"/>
          </w:cols>
        </w:sectPr>
      </w:pPr>
    </w:p>
    <w:p>
      <w:pPr>
        <w:pStyle w:val="BodyText"/>
        <w:spacing w:before="6"/>
        <w:rPr>
          <w:sz w:val="23"/>
        </w:rPr>
      </w:pPr>
    </w:p>
    <w:p>
      <w:pPr>
        <w:spacing w:after="0"/>
        <w:rPr>
          <w:sz w:val="23"/>
        </w:rPr>
        <w:sectPr>
          <w:footerReference w:type="default" r:id="rId381"/>
          <w:pgSz w:w="18830" w:h="12760" w:orient="landscape"/>
          <w:pgMar w:footer="1036" w:header="522" w:top="820" w:bottom="1220" w:left="720" w:right="720"/>
        </w:sectPr>
      </w:pPr>
    </w:p>
    <w:p>
      <w:pPr>
        <w:pStyle w:val="BodyText"/>
        <w:spacing w:line="249" w:lineRule="auto" w:before="76"/>
        <w:ind w:left="136"/>
        <w:jc w:val="both"/>
      </w:pPr>
      <w:r>
        <w:rPr/>
        <w:t>Por otro lado, la clasificación de las ciudades dentro del sistema urbano nacional corresponde a sus funciones y características, ya que la mayoría de las ciudades incorporan una combinación de funciones, donde la importancia relativa de cada</w:t>
      </w:r>
      <w:r>
        <w:rPr>
          <w:w w:val="101"/>
        </w:rPr>
        <w:t> </w:t>
      </w:r>
      <w:r>
        <w:rPr/>
        <w:t>variable depende de su conexión con otras  ciudades.</w:t>
      </w:r>
    </w:p>
    <w:p>
      <w:pPr>
        <w:pStyle w:val="BodyText"/>
        <w:spacing w:before="11"/>
      </w:pPr>
    </w:p>
    <w:p>
      <w:pPr>
        <w:pStyle w:val="BodyText"/>
        <w:spacing w:line="249" w:lineRule="auto"/>
        <w:ind w:left="136" w:firstLine="170"/>
        <w:jc w:val="both"/>
      </w:pPr>
      <w:r>
        <w:rPr/>
        <w:t>Las teorías y construcciones conceptuales más referidas en la bibliografía especializada para abordar la comprensión de las estructuras urbanas son las que a continuación se mencionan en forma breve.</w:t>
      </w:r>
    </w:p>
    <w:p>
      <w:pPr>
        <w:pStyle w:val="BodyText"/>
        <w:spacing w:before="11"/>
      </w:pPr>
    </w:p>
    <w:p>
      <w:pPr>
        <w:pStyle w:val="BodyText"/>
        <w:spacing w:line="249" w:lineRule="auto"/>
        <w:ind w:left="136" w:firstLine="170"/>
        <w:jc w:val="both"/>
      </w:pPr>
      <w:r>
        <w:rPr/>
        <w:t>La Teoría del Lugar del Central de Christaller 1933, de gran influencia por muchas décadas, los aportes han sido significativos para explicar la organización de los asentamientos humanos, en relación al área del mercado de los bienes y los servicios y de la población atendida, permite identificar un esquema jerárquico de centralidades, sin embargo, actualmente existen más factores que intervienen en la redistribución por el desarrollo territorial y local que complejiza las relaciones, por lo que pierden</w:t>
      </w:r>
      <w:r>
        <w:rPr>
          <w:spacing w:val="-20"/>
        </w:rPr>
        <w:t> </w:t>
      </w:r>
      <w:r>
        <w:rPr/>
        <w:t>vigencia los supuestos</w:t>
      </w:r>
      <w:r>
        <w:rPr>
          <w:spacing w:val="32"/>
        </w:rPr>
        <w:t> </w:t>
      </w:r>
      <w:r>
        <w:rPr/>
        <w:t>básicos.</w:t>
      </w:r>
    </w:p>
    <w:p>
      <w:pPr>
        <w:pStyle w:val="BodyText"/>
        <w:spacing w:before="11"/>
      </w:pPr>
    </w:p>
    <w:p>
      <w:pPr>
        <w:pStyle w:val="BodyText"/>
        <w:spacing w:line="249" w:lineRule="auto"/>
        <w:ind w:left="136" w:firstLine="170"/>
        <w:jc w:val="both"/>
      </w:pPr>
      <w:r>
        <w:rPr/>
        <w:t>La teoría de la difusión espacial de Morril 1963, es abordada desde diversas perspectivas, </w:t>
      </w:r>
      <w:r>
        <w:rPr>
          <w:spacing w:val="3"/>
        </w:rPr>
        <w:t>encuantoalosasentamientoshumanos. Seplanteaqueelcomportamiento </w:t>
      </w:r>
      <w:r>
        <w:rPr/>
        <w:t>de las personas, genera y hace crecer los asentamientos y líneas de transporte, lo</w:t>
      </w:r>
      <w:r>
        <w:rPr>
          <w:spacing w:val="-34"/>
        </w:rPr>
        <w:t> </w:t>
      </w:r>
      <w:r>
        <w:rPr/>
        <w:t>cual ocurre gradualmente con el tiempo y puede ser descrito como al azar dentro de ciertas condiciones limitantes. Toma en cuenta cuatro factores (Citado por Pacione, 2005): Las condiciones económicas y sociales; las condiciones espaciales o geográficas; el previo conocimiento de que el desarrollo ocurre gradualmente con el tiempo; y el pleno conocimiento de que hay un elemento de incertidumbre o indeterminación en todas las conductas.</w:t>
      </w:r>
    </w:p>
    <w:p>
      <w:pPr>
        <w:pStyle w:val="BodyText"/>
        <w:spacing w:before="11"/>
      </w:pPr>
    </w:p>
    <w:p>
      <w:pPr>
        <w:pStyle w:val="BodyText"/>
        <w:spacing w:line="249" w:lineRule="auto"/>
        <w:ind w:left="136" w:firstLine="170"/>
        <w:jc w:val="both"/>
      </w:pPr>
      <w:r>
        <w:rPr/>
        <w:t>El proceso de desconcentración urbana es un fenómeno estructural cuya tendencia se ha generalizado, caracterizado para los Estados Unidos por B. Berry 1976 (Citado por Dematteis, 1998, p.17) “La contraurbanización es un proceso de desconcentración poblacional; implica un movimiento de un estado de máxima concentración a otro de menor concentración”. Dicho proceso también se presentó en ciudades europeas en los</w:t>
      </w:r>
      <w:r>
        <w:rPr>
          <w:spacing w:val="-10"/>
        </w:rPr>
        <w:t> </w:t>
      </w:r>
      <w:r>
        <w:rPr/>
        <w:t>años</w:t>
      </w:r>
      <w:r>
        <w:rPr>
          <w:spacing w:val="-10"/>
        </w:rPr>
        <w:t> </w:t>
      </w:r>
      <w:r>
        <w:rPr/>
        <w:t>sesenta</w:t>
      </w:r>
      <w:r>
        <w:rPr>
          <w:spacing w:val="-10"/>
        </w:rPr>
        <w:t> </w:t>
      </w:r>
      <w:r>
        <w:rPr/>
        <w:t>y</w:t>
      </w:r>
      <w:r>
        <w:rPr>
          <w:spacing w:val="-10"/>
        </w:rPr>
        <w:t> </w:t>
      </w:r>
      <w:r>
        <w:rPr/>
        <w:t>ochenta,</w:t>
      </w:r>
      <w:r>
        <w:rPr>
          <w:spacing w:val="-10"/>
        </w:rPr>
        <w:t> </w:t>
      </w:r>
      <w:r>
        <w:rPr/>
        <w:t>en</w:t>
      </w:r>
      <w:r>
        <w:rPr>
          <w:spacing w:val="-10"/>
        </w:rPr>
        <w:t> </w:t>
      </w:r>
      <w:r>
        <w:rPr/>
        <w:t>parte</w:t>
      </w:r>
      <w:r>
        <w:rPr>
          <w:spacing w:val="-10"/>
        </w:rPr>
        <w:t> </w:t>
      </w:r>
      <w:r>
        <w:rPr/>
        <w:t>relacionado</w:t>
      </w:r>
      <w:r>
        <w:rPr>
          <w:spacing w:val="-10"/>
        </w:rPr>
        <w:t> </w:t>
      </w:r>
      <w:r>
        <w:rPr/>
        <w:t>con</w:t>
      </w:r>
      <w:r>
        <w:rPr>
          <w:spacing w:val="-10"/>
        </w:rPr>
        <w:t> </w:t>
      </w:r>
      <w:r>
        <w:rPr/>
        <w:t>la</w:t>
      </w:r>
      <w:r>
        <w:rPr>
          <w:spacing w:val="-10"/>
        </w:rPr>
        <w:t> </w:t>
      </w:r>
      <w:r>
        <w:rPr/>
        <w:t>transición</w:t>
      </w:r>
      <w:r>
        <w:rPr>
          <w:spacing w:val="-10"/>
        </w:rPr>
        <w:t> </w:t>
      </w:r>
      <w:r>
        <w:rPr/>
        <w:t>demográfica</w:t>
      </w:r>
      <w:r>
        <w:rPr>
          <w:spacing w:val="-10"/>
        </w:rPr>
        <w:t> </w:t>
      </w:r>
      <w:r>
        <w:rPr/>
        <w:t>negativa de las grandes ciudades y el crecimiento generalizado de los centros urbanos</w:t>
      </w:r>
      <w:r>
        <w:rPr>
          <w:spacing w:val="-26"/>
        </w:rPr>
        <w:t> </w:t>
      </w:r>
      <w:r>
        <w:rPr/>
        <w:t>menores o incluso rurales, tras un largo periodo de declive o de crecimiento menos fuerte respecto al de las ciudades medias y grandes. La contraurbanización según Cardoso (2011),</w:t>
      </w:r>
      <w:r>
        <w:rPr>
          <w:spacing w:val="-9"/>
        </w:rPr>
        <w:t> </w:t>
      </w:r>
      <w:r>
        <w:rPr/>
        <w:t>se</w:t>
      </w:r>
      <w:r>
        <w:rPr>
          <w:spacing w:val="-9"/>
        </w:rPr>
        <w:t> </w:t>
      </w:r>
      <w:r>
        <w:rPr/>
        <w:t>presenta</w:t>
      </w:r>
      <w:r>
        <w:rPr>
          <w:spacing w:val="-9"/>
        </w:rPr>
        <w:t> </w:t>
      </w:r>
      <w:r>
        <w:rPr/>
        <w:t>en</w:t>
      </w:r>
      <w:r>
        <w:rPr>
          <w:spacing w:val="-9"/>
        </w:rPr>
        <w:t> </w:t>
      </w:r>
      <w:r>
        <w:rPr/>
        <w:t>gran</w:t>
      </w:r>
      <w:r>
        <w:rPr>
          <w:spacing w:val="-9"/>
        </w:rPr>
        <w:t> </w:t>
      </w:r>
      <w:r>
        <w:rPr/>
        <w:t>parte</w:t>
      </w:r>
      <w:r>
        <w:rPr>
          <w:spacing w:val="-9"/>
        </w:rPr>
        <w:t> </w:t>
      </w:r>
      <w:r>
        <w:rPr/>
        <w:t>de</w:t>
      </w:r>
      <w:r>
        <w:rPr>
          <w:spacing w:val="-9"/>
        </w:rPr>
        <w:t> </w:t>
      </w:r>
      <w:r>
        <w:rPr/>
        <w:t>los</w:t>
      </w:r>
      <w:r>
        <w:rPr>
          <w:spacing w:val="-9"/>
        </w:rPr>
        <w:t> </w:t>
      </w:r>
      <w:r>
        <w:rPr/>
        <w:t>países</w:t>
      </w:r>
      <w:r>
        <w:rPr>
          <w:spacing w:val="-9"/>
        </w:rPr>
        <w:t> </w:t>
      </w:r>
      <w:r>
        <w:rPr/>
        <w:t>del</w:t>
      </w:r>
      <w:r>
        <w:rPr>
          <w:spacing w:val="-9"/>
        </w:rPr>
        <w:t> </w:t>
      </w:r>
      <w:r>
        <w:rPr/>
        <w:t>mundo</w:t>
      </w:r>
      <w:r>
        <w:rPr>
          <w:spacing w:val="-9"/>
        </w:rPr>
        <w:t> </w:t>
      </w:r>
      <w:r>
        <w:rPr/>
        <w:t>que</w:t>
      </w:r>
      <w:r>
        <w:rPr>
          <w:spacing w:val="-9"/>
        </w:rPr>
        <w:t> </w:t>
      </w:r>
      <w:r>
        <w:rPr/>
        <w:t>registran</w:t>
      </w:r>
      <w:r>
        <w:rPr>
          <w:spacing w:val="-9"/>
        </w:rPr>
        <w:t> </w:t>
      </w:r>
      <w:r>
        <w:rPr/>
        <w:t>cambios</w:t>
      </w:r>
      <w:r>
        <w:rPr>
          <w:spacing w:val="-9"/>
        </w:rPr>
        <w:t> </w:t>
      </w:r>
      <w:r>
        <w:rPr/>
        <w:t>desde la década de 1970, como parte de un proceso posindustrial, “el proceso de</w:t>
      </w:r>
      <w:r>
        <w:rPr>
          <w:spacing w:val="-10"/>
        </w:rPr>
        <w:t> </w:t>
      </w:r>
      <w:r>
        <w:rPr/>
        <w:t>movimiento desconcentrado de personas y actividades económicas desde las áreas</w:t>
      </w:r>
      <w:r>
        <w:rPr>
          <w:spacing w:val="14"/>
        </w:rPr>
        <w:t> </w:t>
      </w:r>
      <w:r>
        <w:rPr/>
        <w:t>urbanas</w:t>
      </w:r>
      <w:r>
        <w:rPr>
          <w:spacing w:val="1"/>
        </w:rPr>
        <w:t> </w:t>
      </w:r>
      <w:r>
        <w:rPr/>
        <w:t>hacia</w:t>
      </w:r>
      <w:r>
        <w:rPr>
          <w:w w:val="99"/>
        </w:rPr>
        <w:t> </w:t>
      </w:r>
      <w:r>
        <w:rPr/>
        <w:t>las rurales implica la aceleración de la desconcentración en las áreas urbanas y el consiguiente crecimiento en determinadas áreas rurales de los países desarrollados” (Ferrás, 1998, Citado por Cardoso, 2013,</w:t>
      </w:r>
      <w:r>
        <w:rPr>
          <w:spacing w:val="-2"/>
        </w:rPr>
        <w:t> </w:t>
      </w:r>
      <w:r>
        <w:rPr/>
        <w:t>p.130).</w:t>
      </w:r>
    </w:p>
    <w:p>
      <w:pPr>
        <w:pStyle w:val="BodyText"/>
        <w:spacing w:line="249" w:lineRule="auto" w:before="76"/>
        <w:ind w:left="136" w:right="127" w:firstLine="170"/>
        <w:jc w:val="both"/>
      </w:pPr>
      <w:r>
        <w:rPr/>
        <w:br w:type="column"/>
      </w:r>
      <w:r>
        <w:rPr/>
        <w:t>El modelo descentralizado tiende al policentrismo, tal como Solís y Troitiño (2012) señalan, las principales configuraciones territoriales ya no están centradas en un sistema urbano de tipo monocéntrico y jerárquico sino en dinámicas urbano regionales policéntricas que observan dos tendencias: la región urbana policéntrica como realidad socioespacial en expansión y la región urbana policéntrica como construcción política. La</w:t>
      </w:r>
      <w:r>
        <w:rPr>
          <w:spacing w:val="-4"/>
        </w:rPr>
        <w:t> </w:t>
      </w:r>
      <w:r>
        <w:rPr/>
        <w:t>idea</w:t>
      </w:r>
      <w:r>
        <w:rPr>
          <w:spacing w:val="-4"/>
        </w:rPr>
        <w:t> </w:t>
      </w:r>
      <w:r>
        <w:rPr/>
        <w:t>de</w:t>
      </w:r>
      <w:r>
        <w:rPr>
          <w:spacing w:val="-4"/>
        </w:rPr>
        <w:t> </w:t>
      </w:r>
      <w:r>
        <w:rPr/>
        <w:t>policentrismo</w:t>
      </w:r>
      <w:r>
        <w:rPr>
          <w:spacing w:val="-4"/>
        </w:rPr>
        <w:t> </w:t>
      </w:r>
      <w:r>
        <w:rPr/>
        <w:t>se</w:t>
      </w:r>
      <w:r>
        <w:rPr>
          <w:spacing w:val="-4"/>
        </w:rPr>
        <w:t> </w:t>
      </w:r>
      <w:r>
        <w:rPr/>
        <w:t>instrumenta</w:t>
      </w:r>
      <w:r>
        <w:rPr>
          <w:spacing w:val="-4"/>
        </w:rPr>
        <w:t> </w:t>
      </w:r>
      <w:r>
        <w:rPr/>
        <w:t>como</w:t>
      </w:r>
      <w:r>
        <w:rPr>
          <w:spacing w:val="-4"/>
        </w:rPr>
        <w:t> </w:t>
      </w:r>
      <w:r>
        <w:rPr/>
        <w:t>estrategia</w:t>
      </w:r>
      <w:r>
        <w:rPr>
          <w:spacing w:val="-4"/>
        </w:rPr>
        <w:t> </w:t>
      </w:r>
      <w:r>
        <w:rPr/>
        <w:t>política</w:t>
      </w:r>
      <w:r>
        <w:rPr>
          <w:spacing w:val="-4"/>
        </w:rPr>
        <w:t> </w:t>
      </w:r>
      <w:r>
        <w:rPr/>
        <w:t>y</w:t>
      </w:r>
      <w:r>
        <w:rPr>
          <w:spacing w:val="-4"/>
        </w:rPr>
        <w:t> </w:t>
      </w:r>
      <w:r>
        <w:rPr/>
        <w:t>de</w:t>
      </w:r>
      <w:r>
        <w:rPr>
          <w:spacing w:val="-4"/>
        </w:rPr>
        <w:t> </w:t>
      </w:r>
      <w:r>
        <w:rPr/>
        <w:t>planificación</w:t>
      </w:r>
      <w:r>
        <w:rPr>
          <w:spacing w:val="-4"/>
        </w:rPr>
        <w:t> </w:t>
      </w:r>
      <w:r>
        <w:rPr/>
        <w:t>para construir un modelo territorial competitivo, sostenible y </w:t>
      </w:r>
      <w:r>
        <w:rPr>
          <w:spacing w:val="53"/>
        </w:rPr>
        <w:t> </w:t>
      </w:r>
      <w:r>
        <w:rPr/>
        <w:t>equilibrado.</w:t>
      </w:r>
    </w:p>
    <w:p>
      <w:pPr>
        <w:pStyle w:val="BodyText"/>
        <w:spacing w:before="11"/>
      </w:pPr>
    </w:p>
    <w:p>
      <w:pPr>
        <w:pStyle w:val="BodyText"/>
        <w:spacing w:line="249" w:lineRule="auto"/>
        <w:ind w:left="136" w:right="127" w:firstLine="170"/>
        <w:jc w:val="both"/>
      </w:pPr>
      <w:r>
        <w:rPr/>
        <w:t>La evolución de las relaciones entre ciudades de todo tamaño y localización geográfica observados en las últimas décadas ha replanteado la formación de redes. Los</w:t>
      </w:r>
      <w:r>
        <w:rPr>
          <w:spacing w:val="-10"/>
        </w:rPr>
        <w:t> </w:t>
      </w:r>
      <w:r>
        <w:rPr/>
        <w:t>modelos</w:t>
      </w:r>
      <w:r>
        <w:rPr>
          <w:spacing w:val="-10"/>
        </w:rPr>
        <w:t> </w:t>
      </w:r>
      <w:r>
        <w:rPr/>
        <w:t>de</w:t>
      </w:r>
      <w:r>
        <w:rPr>
          <w:spacing w:val="-10"/>
        </w:rPr>
        <w:t> </w:t>
      </w:r>
      <w:r>
        <w:rPr/>
        <w:t>ciudad</w:t>
      </w:r>
      <w:r>
        <w:rPr>
          <w:spacing w:val="-10"/>
        </w:rPr>
        <w:t> </w:t>
      </w:r>
      <w:r>
        <w:rPr/>
        <w:t>central</w:t>
      </w:r>
      <w:r>
        <w:rPr>
          <w:spacing w:val="-12"/>
        </w:rPr>
        <w:t> </w:t>
      </w:r>
      <w:r>
        <w:rPr/>
        <w:t>y</w:t>
      </w:r>
      <w:r>
        <w:rPr>
          <w:spacing w:val="-10"/>
        </w:rPr>
        <w:t> </w:t>
      </w:r>
      <w:r>
        <w:rPr/>
        <w:t>las</w:t>
      </w:r>
      <w:r>
        <w:rPr>
          <w:spacing w:val="-10"/>
        </w:rPr>
        <w:t> </w:t>
      </w:r>
      <w:r>
        <w:rPr/>
        <w:t>redes</w:t>
      </w:r>
      <w:r>
        <w:rPr>
          <w:spacing w:val="-10"/>
        </w:rPr>
        <w:t> </w:t>
      </w:r>
      <w:r>
        <w:rPr/>
        <w:t>de</w:t>
      </w:r>
      <w:r>
        <w:rPr>
          <w:spacing w:val="-10"/>
        </w:rPr>
        <w:t> </w:t>
      </w:r>
      <w:r>
        <w:rPr/>
        <w:t>ciudades</w:t>
      </w:r>
      <w:r>
        <w:rPr>
          <w:spacing w:val="-10"/>
        </w:rPr>
        <w:t> </w:t>
      </w:r>
      <w:r>
        <w:rPr/>
        <w:t>son</w:t>
      </w:r>
      <w:r>
        <w:rPr>
          <w:spacing w:val="-10"/>
        </w:rPr>
        <w:t> </w:t>
      </w:r>
      <w:r>
        <w:rPr/>
        <w:t>estructuras</w:t>
      </w:r>
      <w:r>
        <w:rPr>
          <w:spacing w:val="-12"/>
        </w:rPr>
        <w:t> </w:t>
      </w:r>
      <w:r>
        <w:rPr/>
        <w:t>que</w:t>
      </w:r>
      <w:r>
        <w:rPr>
          <w:spacing w:val="-10"/>
        </w:rPr>
        <w:t> </w:t>
      </w:r>
      <w:r>
        <w:rPr/>
        <w:t>se</w:t>
      </w:r>
      <w:r>
        <w:rPr>
          <w:spacing w:val="-10"/>
        </w:rPr>
        <w:t> </w:t>
      </w:r>
      <w:r>
        <w:rPr/>
        <w:t>remontan a la antigüedad, aunque es a partir de la revolución industrial y sobre todo en la era posindustrial</w:t>
      </w:r>
      <w:r>
        <w:rPr>
          <w:spacing w:val="-5"/>
        </w:rPr>
        <w:t> </w:t>
      </w:r>
      <w:r>
        <w:rPr/>
        <w:t>cuando</w:t>
      </w:r>
      <w:r>
        <w:rPr>
          <w:spacing w:val="-5"/>
        </w:rPr>
        <w:t> </w:t>
      </w:r>
      <w:r>
        <w:rPr/>
        <w:t>se</w:t>
      </w:r>
      <w:r>
        <w:rPr>
          <w:spacing w:val="-5"/>
        </w:rPr>
        <w:t> </w:t>
      </w:r>
      <w:r>
        <w:rPr/>
        <w:t>produce</w:t>
      </w:r>
      <w:r>
        <w:rPr>
          <w:spacing w:val="-5"/>
        </w:rPr>
        <w:t> </w:t>
      </w:r>
      <w:r>
        <w:rPr/>
        <w:t>un</w:t>
      </w:r>
      <w:r>
        <w:rPr>
          <w:spacing w:val="-5"/>
        </w:rPr>
        <w:t> </w:t>
      </w:r>
      <w:r>
        <w:rPr/>
        <w:t>incremento</w:t>
      </w:r>
      <w:r>
        <w:rPr>
          <w:spacing w:val="-5"/>
        </w:rPr>
        <w:t> </w:t>
      </w:r>
      <w:r>
        <w:rPr/>
        <w:t>de</w:t>
      </w:r>
      <w:r>
        <w:rPr>
          <w:spacing w:val="-5"/>
        </w:rPr>
        <w:t> </w:t>
      </w:r>
      <w:r>
        <w:rPr/>
        <w:t>la</w:t>
      </w:r>
      <w:r>
        <w:rPr>
          <w:spacing w:val="-5"/>
        </w:rPr>
        <w:t> </w:t>
      </w:r>
      <w:r>
        <w:rPr/>
        <w:t>interacción</w:t>
      </w:r>
      <w:r>
        <w:rPr>
          <w:spacing w:val="-5"/>
        </w:rPr>
        <w:t> </w:t>
      </w:r>
      <w:r>
        <w:rPr/>
        <w:t>entre</w:t>
      </w:r>
      <w:r>
        <w:rPr>
          <w:spacing w:val="-5"/>
        </w:rPr>
        <w:t> </w:t>
      </w:r>
      <w:r>
        <w:rPr/>
        <w:t>las</w:t>
      </w:r>
      <w:r>
        <w:rPr>
          <w:spacing w:val="-5"/>
        </w:rPr>
        <w:t> </w:t>
      </w:r>
      <w:r>
        <w:rPr/>
        <w:t>ciudades;</w:t>
      </w:r>
      <w:r>
        <w:rPr>
          <w:spacing w:val="-5"/>
        </w:rPr>
        <w:t> </w:t>
      </w:r>
      <w:r>
        <w:rPr/>
        <w:t>las estructuras jerárquicas ganan en complejidad y adoptan la forma de “redes urbanas” (Boix, 2002, p.225). Camagni (1993, Citado por Boix, 2002, p.86), define redes de ciudades como “un sistema de relaciones horizontales, no jerárquicas entre centros especializados, proporcionando externalidades de integración complementaria/vertical o de sinergia/cooperación entre centros”. Agrega que cuando se refiere a la noción    de “red de ciudades” hay que considerar modalidades y estructuras espaciales de diversos</w:t>
      </w:r>
      <w:r>
        <w:rPr>
          <w:spacing w:val="25"/>
        </w:rPr>
        <w:t> </w:t>
      </w:r>
      <w:r>
        <w:rPr/>
        <w:t>tipos.</w:t>
      </w:r>
    </w:p>
    <w:p>
      <w:pPr>
        <w:pStyle w:val="BodyText"/>
        <w:spacing w:before="11"/>
      </w:pPr>
    </w:p>
    <w:p>
      <w:pPr>
        <w:pStyle w:val="BodyText"/>
        <w:spacing w:line="249" w:lineRule="auto"/>
        <w:ind w:left="136" w:right="127" w:firstLine="170"/>
        <w:jc w:val="both"/>
      </w:pPr>
      <w:r>
        <w:rPr/>
        <w:t>La organización en red comprende “relaciones formales o informales entre personas (empresarios,</w:t>
      </w:r>
      <w:r>
        <w:rPr>
          <w:spacing w:val="-13"/>
        </w:rPr>
        <w:t> </w:t>
      </w:r>
      <w:r>
        <w:rPr/>
        <w:t>empleados)</w:t>
      </w:r>
      <w:r>
        <w:rPr>
          <w:spacing w:val="-13"/>
        </w:rPr>
        <w:t> </w:t>
      </w:r>
      <w:r>
        <w:rPr/>
        <w:t>u</w:t>
      </w:r>
      <w:r>
        <w:rPr>
          <w:spacing w:val="-13"/>
        </w:rPr>
        <w:t> </w:t>
      </w:r>
      <w:r>
        <w:rPr/>
        <w:t>organizaciones</w:t>
      </w:r>
      <w:r>
        <w:rPr>
          <w:spacing w:val="-13"/>
        </w:rPr>
        <w:t> </w:t>
      </w:r>
      <w:r>
        <w:rPr/>
        <w:t>(firmas,</w:t>
      </w:r>
      <w:r>
        <w:rPr>
          <w:spacing w:val="-13"/>
        </w:rPr>
        <w:t> </w:t>
      </w:r>
      <w:r>
        <w:rPr/>
        <w:t>proyectos)</w:t>
      </w:r>
      <w:r>
        <w:rPr>
          <w:spacing w:val="-13"/>
        </w:rPr>
        <w:t> </w:t>
      </w:r>
      <w:r>
        <w:rPr/>
        <w:t>que</w:t>
      </w:r>
      <w:r>
        <w:rPr>
          <w:spacing w:val="-13"/>
        </w:rPr>
        <w:t> </w:t>
      </w:r>
      <w:r>
        <w:rPr/>
        <w:t>deben</w:t>
      </w:r>
      <w:r>
        <w:rPr>
          <w:spacing w:val="-13"/>
        </w:rPr>
        <w:t> </w:t>
      </w:r>
      <w:r>
        <w:rPr/>
        <w:t>considerarse los impactos de efectos estructurales con respecto a su comportamiento y oportunidad (desarrollo)” (Glüker, 2013, p.541). A su vez la relación entre la Geografía y las redes depende</w:t>
      </w:r>
      <w:r>
        <w:rPr>
          <w:spacing w:val="-10"/>
        </w:rPr>
        <w:t> </w:t>
      </w:r>
      <w:r>
        <w:rPr/>
        <w:t>de</w:t>
      </w:r>
      <w:r>
        <w:rPr>
          <w:spacing w:val="-10"/>
        </w:rPr>
        <w:t> </w:t>
      </w:r>
      <w:r>
        <w:rPr/>
        <w:t>dos</w:t>
      </w:r>
      <w:r>
        <w:rPr>
          <w:spacing w:val="-10"/>
        </w:rPr>
        <w:t> </w:t>
      </w:r>
      <w:r>
        <w:rPr/>
        <w:t>factores:</w:t>
      </w:r>
      <w:r>
        <w:rPr>
          <w:spacing w:val="-10"/>
        </w:rPr>
        <w:t> </w:t>
      </w:r>
      <w:r>
        <w:rPr/>
        <w:t>El</w:t>
      </w:r>
      <w:r>
        <w:rPr>
          <w:spacing w:val="-10"/>
        </w:rPr>
        <w:t> </w:t>
      </w:r>
      <w:r>
        <w:rPr/>
        <w:t>primero,</w:t>
      </w:r>
      <w:r>
        <w:rPr>
          <w:spacing w:val="-10"/>
        </w:rPr>
        <w:t> </w:t>
      </w:r>
      <w:r>
        <w:rPr/>
        <w:t>la</w:t>
      </w:r>
      <w:r>
        <w:rPr>
          <w:spacing w:val="-10"/>
        </w:rPr>
        <w:t> </w:t>
      </w:r>
      <w:r>
        <w:rPr/>
        <w:t>“proximidad</w:t>
      </w:r>
      <w:r>
        <w:rPr>
          <w:spacing w:val="-10"/>
        </w:rPr>
        <w:t> </w:t>
      </w:r>
      <w:r>
        <w:rPr/>
        <w:t>afecta</w:t>
      </w:r>
      <w:r>
        <w:rPr>
          <w:spacing w:val="-10"/>
        </w:rPr>
        <w:t> </w:t>
      </w:r>
      <w:r>
        <w:rPr/>
        <w:t>a</w:t>
      </w:r>
      <w:r>
        <w:rPr>
          <w:spacing w:val="-10"/>
        </w:rPr>
        <w:t> </w:t>
      </w:r>
      <w:r>
        <w:rPr/>
        <w:t>la</w:t>
      </w:r>
      <w:r>
        <w:rPr>
          <w:spacing w:val="-10"/>
        </w:rPr>
        <w:t> </w:t>
      </w:r>
      <w:r>
        <w:rPr/>
        <w:t>formación</w:t>
      </w:r>
      <w:r>
        <w:rPr>
          <w:spacing w:val="-10"/>
        </w:rPr>
        <w:t> </w:t>
      </w:r>
      <w:r>
        <w:rPr/>
        <w:t>de</w:t>
      </w:r>
      <w:r>
        <w:rPr>
          <w:spacing w:val="-10"/>
        </w:rPr>
        <w:t> </w:t>
      </w:r>
      <w:r>
        <w:rPr/>
        <w:t>la</w:t>
      </w:r>
      <w:r>
        <w:rPr>
          <w:spacing w:val="-10"/>
        </w:rPr>
        <w:t> </w:t>
      </w:r>
      <w:r>
        <w:rPr/>
        <w:t>red”,</w:t>
      </w:r>
      <w:r>
        <w:rPr>
          <w:spacing w:val="-10"/>
        </w:rPr>
        <w:t> </w:t>
      </w:r>
      <w:r>
        <w:rPr/>
        <w:t>que evalúa los efectos de la proximidad con la distancia física de los procesos económicos, las preferencias de comunicación de los actores y las oportunidades de movilidad como su interacción. El segundo aspecto, son las características e importancia de los recursos con los que cuenta el lugar y las oportunidades del mismo. (Glüker, 2013, Citado por Hernández,</w:t>
      </w:r>
      <w:r>
        <w:rPr>
          <w:spacing w:val="2"/>
        </w:rPr>
        <w:t> </w:t>
      </w:r>
      <w:r>
        <w:rPr/>
        <w:t>2013)</w:t>
      </w:r>
    </w:p>
    <w:p>
      <w:pPr>
        <w:pStyle w:val="BodyText"/>
        <w:spacing w:before="11"/>
      </w:pPr>
    </w:p>
    <w:p>
      <w:pPr>
        <w:pStyle w:val="BodyText"/>
        <w:spacing w:line="249" w:lineRule="auto"/>
        <w:ind w:left="136" w:right="127" w:firstLine="170"/>
        <w:jc w:val="both"/>
      </w:pPr>
      <w:r>
        <w:rPr/>
        <w:t>Está breve revisión bibliográfica, y su consideración en la realidad mexicana requiere constatación empírica en el proceso de urbanización, en la expansión urbana y en los patrones de distribución de la población en el territorio. Se acepta que el conjunto de las ciudades se organizan en un complejo sistema de interrelaciones urbanas que a su vez</w:t>
      </w:r>
      <w:r>
        <w:rPr>
          <w:spacing w:val="-3"/>
        </w:rPr>
        <w:t> </w:t>
      </w:r>
      <w:r>
        <w:rPr/>
        <w:t>se</w:t>
      </w:r>
      <w:r>
        <w:rPr>
          <w:spacing w:val="-3"/>
        </w:rPr>
        <w:t> </w:t>
      </w:r>
      <w:r>
        <w:rPr/>
        <w:t>integran</w:t>
      </w:r>
      <w:r>
        <w:rPr>
          <w:spacing w:val="-3"/>
        </w:rPr>
        <w:t> </w:t>
      </w:r>
      <w:r>
        <w:rPr/>
        <w:t>a</w:t>
      </w:r>
      <w:r>
        <w:rPr>
          <w:spacing w:val="-3"/>
        </w:rPr>
        <w:t> </w:t>
      </w:r>
      <w:r>
        <w:rPr/>
        <w:t>un</w:t>
      </w:r>
      <w:r>
        <w:rPr>
          <w:spacing w:val="-3"/>
        </w:rPr>
        <w:t> </w:t>
      </w:r>
      <w:r>
        <w:rPr/>
        <w:t>sistema</w:t>
      </w:r>
      <w:r>
        <w:rPr>
          <w:spacing w:val="-3"/>
        </w:rPr>
        <w:t> </w:t>
      </w:r>
      <w:r>
        <w:rPr/>
        <w:t>urbano</w:t>
      </w:r>
      <w:r>
        <w:rPr>
          <w:spacing w:val="-3"/>
        </w:rPr>
        <w:t> </w:t>
      </w:r>
      <w:r>
        <w:rPr/>
        <w:t>nacional,</w:t>
      </w:r>
      <w:r>
        <w:rPr>
          <w:spacing w:val="-3"/>
        </w:rPr>
        <w:t> </w:t>
      </w:r>
      <w:r>
        <w:rPr/>
        <w:t>mismo</w:t>
      </w:r>
      <w:r>
        <w:rPr>
          <w:spacing w:val="-3"/>
        </w:rPr>
        <w:t> </w:t>
      </w:r>
      <w:r>
        <w:rPr/>
        <w:t>que</w:t>
      </w:r>
      <w:r>
        <w:rPr>
          <w:spacing w:val="-3"/>
        </w:rPr>
        <w:t> </w:t>
      </w:r>
      <w:r>
        <w:rPr/>
        <w:t>sufre</w:t>
      </w:r>
      <w:r>
        <w:rPr>
          <w:spacing w:val="-3"/>
        </w:rPr>
        <w:t> </w:t>
      </w:r>
      <w:r>
        <w:rPr/>
        <w:t>cambios</w:t>
      </w:r>
      <w:r>
        <w:rPr>
          <w:spacing w:val="-3"/>
        </w:rPr>
        <w:t> </w:t>
      </w:r>
      <w:r>
        <w:rPr/>
        <w:t>y</w:t>
      </w:r>
      <w:r>
        <w:rPr>
          <w:spacing w:val="-3"/>
        </w:rPr>
        <w:t> </w:t>
      </w:r>
      <w:r>
        <w:rPr/>
        <w:t>que</w:t>
      </w:r>
      <w:r>
        <w:rPr>
          <w:spacing w:val="-3"/>
        </w:rPr>
        <w:t> </w:t>
      </w:r>
      <w:r>
        <w:rPr/>
        <w:t>falta</w:t>
      </w:r>
      <w:r>
        <w:rPr>
          <w:spacing w:val="-3"/>
        </w:rPr>
        <w:t> </w:t>
      </w:r>
      <w:r>
        <w:rPr/>
        <w:t>por documentar las estructuras territoriales</w:t>
      </w:r>
      <w:r>
        <w:rPr>
          <w:spacing w:val="42"/>
        </w:rPr>
        <w:t> </w:t>
      </w:r>
      <w:r>
        <w:rPr/>
        <w:t>resultantes.</w:t>
      </w:r>
    </w:p>
    <w:p>
      <w:pPr>
        <w:spacing w:after="0" w:line="249" w:lineRule="auto"/>
        <w:jc w:val="both"/>
        <w:sectPr>
          <w:type w:val="continuous"/>
          <w:pgSz w:w="18830" w:h="12760" w:orient="landscape"/>
          <w:pgMar w:top="1420" w:bottom="280" w:left="720" w:right="720"/>
          <w:cols w:num="2" w:equalWidth="0">
            <w:col w:w="7848" w:space="1557"/>
            <w:col w:w="7985"/>
          </w:cols>
        </w:sectPr>
      </w:pPr>
    </w:p>
    <w:p>
      <w:pPr>
        <w:pStyle w:val="BodyText"/>
        <w:spacing w:before="8"/>
      </w:pPr>
    </w:p>
    <w:p>
      <w:pPr>
        <w:spacing w:after="0"/>
        <w:sectPr>
          <w:footerReference w:type="default" r:id="rId382"/>
          <w:pgSz w:w="18830" w:h="12760" w:orient="landscape"/>
          <w:pgMar w:footer="1036" w:header="522" w:top="820" w:bottom="1220" w:left="720" w:right="720"/>
        </w:sectPr>
      </w:pPr>
    </w:p>
    <w:p>
      <w:pPr>
        <w:pStyle w:val="Heading1"/>
        <w:spacing w:line="240" w:lineRule="exact" w:before="104"/>
        <w:ind w:left="2836" w:right="-16" w:hanging="2709"/>
      </w:pPr>
      <w:r>
        <w:rPr/>
        <w:t>Expansión urbana y estructuras territoriales en la Región Centro</w:t>
      </w:r>
      <w:r>
        <w:rPr>
          <w:spacing w:val="-17"/>
        </w:rPr>
        <w:t> </w:t>
      </w:r>
      <w:r>
        <w:rPr/>
        <w:t>de México, 2000 y</w:t>
      </w:r>
      <w:r>
        <w:rPr>
          <w:spacing w:val="7"/>
        </w:rPr>
        <w:t> </w:t>
      </w:r>
      <w:r>
        <w:rPr/>
        <w:t>2010</w:t>
      </w:r>
    </w:p>
    <w:p>
      <w:pPr>
        <w:pStyle w:val="BodyText"/>
        <w:spacing w:before="2"/>
        <w:rPr>
          <w:b/>
          <w:sz w:val="21"/>
        </w:rPr>
      </w:pPr>
    </w:p>
    <w:p>
      <w:pPr>
        <w:pStyle w:val="BodyText"/>
        <w:spacing w:line="249" w:lineRule="auto" w:before="1"/>
        <w:ind w:left="125" w:firstLine="170"/>
        <w:jc w:val="both"/>
      </w:pPr>
      <w:r>
        <w:rPr/>
        <w:t>Para comprender la dinámica del crecimiento físico y de urbanización, se toman referencias sobre recientes configuraciones territoriales, tales como formaciones rural-urbanas (Galindo-Delgado, 2006), transición territorial (Otero y Gómez, 2007), región urbana (Sobrino, 2011) e interacción espacial (Garrocho, 2012). Considerando el conjunto de los trabajos, se identificaron cinco formas: nodo o polo metropolitano, región urbana, corredor inter metropolitano/regional, policentrismo y, redes urbanas regionales. Con tales configuraciones se precisa que son tres los patrones de crecimiento y urbanización del territorio; el patrón de crecimiento por concentración,   el patrón de crecimiento por descentralización urbana y la estructura intermedia entre ambos</w:t>
      </w:r>
      <w:r>
        <w:rPr>
          <w:spacing w:val="29"/>
        </w:rPr>
        <w:t> </w:t>
      </w:r>
      <w:r>
        <w:rPr/>
        <w:t>procesos.</w:t>
      </w:r>
    </w:p>
    <w:p>
      <w:pPr>
        <w:pStyle w:val="BodyText"/>
        <w:spacing w:before="11"/>
      </w:pPr>
    </w:p>
    <w:p>
      <w:pPr>
        <w:pStyle w:val="BodyText"/>
        <w:spacing w:line="249" w:lineRule="auto"/>
        <w:ind w:left="125" w:firstLine="170"/>
        <w:jc w:val="both"/>
      </w:pPr>
      <w:r>
        <w:rPr/>
        <w:t>En medio del crecimiento demográfico nacional mexicano, que ha derivado en el predominio de un sistema urbano nacional de crecimiento metropolitano de las últimas décadas, lo que interesa es verificar la descentralización urbana y cuáles son sus patrones de expansión. Para ello en este apartado se examinan los patrones de la expansión urbana, teniendo de referencia la bibliografía, se pretende identificar tipos de estructuras y patrones de crecimiento para el caso de la Macro Región Centro de México.</w:t>
      </w:r>
    </w:p>
    <w:p>
      <w:pPr>
        <w:pStyle w:val="BodyText"/>
        <w:spacing w:before="11"/>
      </w:pPr>
    </w:p>
    <w:p>
      <w:pPr>
        <w:pStyle w:val="BodyText"/>
        <w:spacing w:line="249" w:lineRule="auto"/>
        <w:ind w:left="125" w:firstLine="170"/>
        <w:jc w:val="both"/>
      </w:pPr>
      <w:r>
        <w:rPr/>
        <w:t>Se utiliza información de los censos de población, los datos de población por tamaño de localidad a nivel municipal con sus respectivos marcos geoestadísticos para los años</w:t>
      </w:r>
      <w:r>
        <w:rPr>
          <w:spacing w:val="-5"/>
        </w:rPr>
        <w:t> </w:t>
      </w:r>
      <w:r>
        <w:rPr/>
        <w:t>2000</w:t>
      </w:r>
      <w:r>
        <w:rPr>
          <w:spacing w:val="-5"/>
        </w:rPr>
        <w:t> </w:t>
      </w:r>
      <w:r>
        <w:rPr/>
        <w:t>y</w:t>
      </w:r>
      <w:r>
        <w:rPr>
          <w:spacing w:val="-5"/>
        </w:rPr>
        <w:t> </w:t>
      </w:r>
      <w:r>
        <w:rPr/>
        <w:t>2010</w:t>
      </w:r>
      <w:r>
        <w:rPr>
          <w:spacing w:val="-5"/>
        </w:rPr>
        <w:t> </w:t>
      </w:r>
      <w:r>
        <w:rPr/>
        <w:t>para</w:t>
      </w:r>
      <w:r>
        <w:rPr>
          <w:spacing w:val="-5"/>
        </w:rPr>
        <w:t> </w:t>
      </w:r>
      <w:r>
        <w:rPr/>
        <w:t>las</w:t>
      </w:r>
      <w:r>
        <w:rPr>
          <w:spacing w:val="-5"/>
        </w:rPr>
        <w:t> </w:t>
      </w:r>
      <w:r>
        <w:rPr/>
        <w:t>entidades</w:t>
      </w:r>
      <w:r>
        <w:rPr>
          <w:spacing w:val="-5"/>
        </w:rPr>
        <w:t> </w:t>
      </w:r>
      <w:r>
        <w:rPr/>
        <w:t>federativas</w:t>
      </w:r>
      <w:r>
        <w:rPr>
          <w:spacing w:val="-5"/>
        </w:rPr>
        <w:t> </w:t>
      </w:r>
      <w:r>
        <w:rPr/>
        <w:t>que</w:t>
      </w:r>
      <w:r>
        <w:rPr>
          <w:spacing w:val="-5"/>
        </w:rPr>
        <w:t> </w:t>
      </w:r>
      <w:r>
        <w:rPr/>
        <w:t>conforman</w:t>
      </w:r>
      <w:r>
        <w:rPr>
          <w:spacing w:val="-5"/>
        </w:rPr>
        <w:t> </w:t>
      </w:r>
      <w:r>
        <w:rPr/>
        <w:t>a</w:t>
      </w:r>
      <w:r>
        <w:rPr>
          <w:spacing w:val="-5"/>
        </w:rPr>
        <w:t> </w:t>
      </w:r>
      <w:r>
        <w:rPr/>
        <w:t>la</w:t>
      </w:r>
      <w:r>
        <w:rPr>
          <w:spacing w:val="-5"/>
        </w:rPr>
        <w:t> </w:t>
      </w:r>
      <w:r>
        <w:rPr/>
        <w:t>región</w:t>
      </w:r>
      <w:r>
        <w:rPr>
          <w:position w:val="7"/>
          <w:sz w:val="11"/>
        </w:rPr>
        <w:t>24</w:t>
      </w:r>
      <w:r>
        <w:rPr/>
        <w:t>,</w:t>
      </w:r>
      <w:r>
        <w:rPr>
          <w:spacing w:val="-5"/>
        </w:rPr>
        <w:t> </w:t>
      </w:r>
      <w:r>
        <w:rPr/>
        <w:t>lo</w:t>
      </w:r>
      <w:r>
        <w:rPr>
          <w:spacing w:val="-5"/>
        </w:rPr>
        <w:t> </w:t>
      </w:r>
      <w:r>
        <w:rPr/>
        <w:t>cual</w:t>
      </w:r>
      <w:r>
        <w:rPr>
          <w:spacing w:val="-5"/>
        </w:rPr>
        <w:t> </w:t>
      </w:r>
      <w:r>
        <w:rPr/>
        <w:t>es posible</w:t>
      </w:r>
      <w:r>
        <w:rPr>
          <w:spacing w:val="-4"/>
        </w:rPr>
        <w:t> </w:t>
      </w:r>
      <w:r>
        <w:rPr/>
        <w:t>con</w:t>
      </w:r>
      <w:r>
        <w:rPr>
          <w:spacing w:val="-4"/>
        </w:rPr>
        <w:t> </w:t>
      </w:r>
      <w:r>
        <w:rPr/>
        <w:t>el</w:t>
      </w:r>
      <w:r>
        <w:rPr>
          <w:spacing w:val="-4"/>
        </w:rPr>
        <w:t> </w:t>
      </w:r>
      <w:r>
        <w:rPr/>
        <w:t>ITER</w:t>
      </w:r>
      <w:r>
        <w:rPr>
          <w:spacing w:val="-4"/>
        </w:rPr>
        <w:t> </w:t>
      </w:r>
      <w:r>
        <w:rPr/>
        <w:t>del</w:t>
      </w:r>
      <w:r>
        <w:rPr>
          <w:spacing w:val="-4"/>
        </w:rPr>
        <w:t> </w:t>
      </w:r>
      <w:r>
        <w:rPr/>
        <w:t>INEGI.</w:t>
      </w:r>
      <w:r>
        <w:rPr>
          <w:spacing w:val="-4"/>
        </w:rPr>
        <w:t> </w:t>
      </w:r>
      <w:r>
        <w:rPr/>
        <w:t>El</w:t>
      </w:r>
      <w:r>
        <w:rPr>
          <w:spacing w:val="-4"/>
        </w:rPr>
        <w:t> </w:t>
      </w:r>
      <w:r>
        <w:rPr/>
        <w:t>procedimiento</w:t>
      </w:r>
      <w:r>
        <w:rPr>
          <w:spacing w:val="-4"/>
        </w:rPr>
        <w:t> </w:t>
      </w:r>
      <w:r>
        <w:rPr/>
        <w:t>fue</w:t>
      </w:r>
      <w:r>
        <w:rPr>
          <w:spacing w:val="-4"/>
        </w:rPr>
        <w:t> </w:t>
      </w:r>
      <w:r>
        <w:rPr/>
        <w:t>el</w:t>
      </w:r>
      <w:r>
        <w:rPr>
          <w:spacing w:val="-4"/>
        </w:rPr>
        <w:t> </w:t>
      </w:r>
      <w:r>
        <w:rPr/>
        <w:t>siguiente:</w:t>
      </w:r>
      <w:r>
        <w:rPr>
          <w:spacing w:val="-4"/>
        </w:rPr>
        <w:t> </w:t>
      </w:r>
      <w:r>
        <w:rPr/>
        <w:t>1.</w:t>
      </w:r>
      <w:r>
        <w:rPr>
          <w:spacing w:val="-4"/>
        </w:rPr>
        <w:t> </w:t>
      </w:r>
      <w:r>
        <w:rPr/>
        <w:t>Se</w:t>
      </w:r>
      <w:r>
        <w:rPr>
          <w:spacing w:val="-4"/>
        </w:rPr>
        <w:t> </w:t>
      </w:r>
      <w:r>
        <w:rPr/>
        <w:t>organizó</w:t>
      </w:r>
      <w:r>
        <w:rPr>
          <w:spacing w:val="-4"/>
        </w:rPr>
        <w:t> </w:t>
      </w:r>
      <w:r>
        <w:rPr/>
        <w:t>la</w:t>
      </w:r>
      <w:r>
        <w:rPr>
          <w:spacing w:val="-4"/>
        </w:rPr>
        <w:t> </w:t>
      </w:r>
      <w:r>
        <w:rPr/>
        <w:t>base de datos con los ITER por localidades para la región centro para los años 2000 y</w:t>
      </w:r>
      <w:r>
        <w:rPr>
          <w:spacing w:val="-20"/>
        </w:rPr>
        <w:t> </w:t>
      </w:r>
      <w:r>
        <w:rPr/>
        <w:t>2010, contiene</w:t>
      </w:r>
      <w:r>
        <w:rPr>
          <w:spacing w:val="-7"/>
        </w:rPr>
        <w:t> </w:t>
      </w:r>
      <w:r>
        <w:rPr/>
        <w:t>clave</w:t>
      </w:r>
      <w:r>
        <w:rPr>
          <w:spacing w:val="-7"/>
        </w:rPr>
        <w:t> </w:t>
      </w:r>
      <w:r>
        <w:rPr/>
        <w:t>municipal</w:t>
      </w:r>
      <w:r>
        <w:rPr>
          <w:spacing w:val="-7"/>
        </w:rPr>
        <w:t> </w:t>
      </w:r>
      <w:r>
        <w:rPr/>
        <w:t>(5</w:t>
      </w:r>
      <w:r>
        <w:rPr>
          <w:spacing w:val="-7"/>
        </w:rPr>
        <w:t> </w:t>
      </w:r>
      <w:r>
        <w:rPr/>
        <w:t>dígitos),</w:t>
      </w:r>
      <w:r>
        <w:rPr>
          <w:spacing w:val="-7"/>
        </w:rPr>
        <w:t> </w:t>
      </w:r>
      <w:r>
        <w:rPr/>
        <w:t>clave</w:t>
      </w:r>
      <w:r>
        <w:rPr>
          <w:spacing w:val="-7"/>
        </w:rPr>
        <w:t> </w:t>
      </w:r>
      <w:r>
        <w:rPr/>
        <w:t>de</w:t>
      </w:r>
      <w:r>
        <w:rPr>
          <w:spacing w:val="-7"/>
        </w:rPr>
        <w:t> </w:t>
      </w:r>
      <w:r>
        <w:rPr/>
        <w:t>localidad</w:t>
      </w:r>
      <w:r>
        <w:rPr>
          <w:spacing w:val="-7"/>
        </w:rPr>
        <w:t> </w:t>
      </w:r>
      <w:r>
        <w:rPr/>
        <w:t>(9</w:t>
      </w:r>
      <w:r>
        <w:rPr>
          <w:spacing w:val="-7"/>
        </w:rPr>
        <w:t> </w:t>
      </w:r>
      <w:r>
        <w:rPr/>
        <w:t>dígitos),</w:t>
      </w:r>
      <w:r>
        <w:rPr>
          <w:spacing w:val="-7"/>
        </w:rPr>
        <w:t> </w:t>
      </w:r>
      <w:r>
        <w:rPr/>
        <w:t>longitud</w:t>
      </w:r>
      <w:r>
        <w:rPr>
          <w:spacing w:val="-7"/>
        </w:rPr>
        <w:t> </w:t>
      </w:r>
      <w:r>
        <w:rPr/>
        <w:t>y</w:t>
      </w:r>
      <w:r>
        <w:rPr>
          <w:spacing w:val="-7"/>
        </w:rPr>
        <w:t> </w:t>
      </w:r>
      <w:r>
        <w:rPr/>
        <w:t>latitud</w:t>
      </w:r>
      <w:r>
        <w:rPr>
          <w:spacing w:val="-7"/>
        </w:rPr>
        <w:t> </w:t>
      </w:r>
      <w:r>
        <w:rPr/>
        <w:t>para la verificación geográfica y, en los datos estadísticos se contempla población total a nivel</w:t>
      </w:r>
      <w:r>
        <w:rPr>
          <w:spacing w:val="-10"/>
        </w:rPr>
        <w:t> </w:t>
      </w:r>
      <w:r>
        <w:rPr/>
        <w:t>localidad</w:t>
      </w:r>
      <w:r>
        <w:rPr>
          <w:spacing w:val="-10"/>
        </w:rPr>
        <w:t> </w:t>
      </w:r>
      <w:r>
        <w:rPr/>
        <w:t>y</w:t>
      </w:r>
      <w:r>
        <w:rPr>
          <w:spacing w:val="-10"/>
        </w:rPr>
        <w:t> </w:t>
      </w:r>
      <w:r>
        <w:rPr/>
        <w:t>municipal;</w:t>
      </w:r>
      <w:r>
        <w:rPr>
          <w:spacing w:val="-10"/>
        </w:rPr>
        <w:t> </w:t>
      </w:r>
      <w:r>
        <w:rPr/>
        <w:t>se</w:t>
      </w:r>
      <w:r>
        <w:rPr>
          <w:spacing w:val="-10"/>
        </w:rPr>
        <w:t> </w:t>
      </w:r>
      <w:r>
        <w:rPr/>
        <w:t>generan</w:t>
      </w:r>
      <w:r>
        <w:rPr>
          <w:spacing w:val="-10"/>
        </w:rPr>
        <w:t> </w:t>
      </w:r>
      <w:r>
        <w:rPr/>
        <w:t>coordenadas</w:t>
      </w:r>
      <w:r>
        <w:rPr>
          <w:spacing w:val="-10"/>
        </w:rPr>
        <w:t> </w:t>
      </w:r>
      <w:r>
        <w:rPr/>
        <w:t>de</w:t>
      </w:r>
      <w:r>
        <w:rPr>
          <w:spacing w:val="-10"/>
        </w:rPr>
        <w:t> </w:t>
      </w:r>
      <w:r>
        <w:rPr/>
        <w:t>las</w:t>
      </w:r>
      <w:r>
        <w:rPr>
          <w:spacing w:val="-10"/>
        </w:rPr>
        <w:t> </w:t>
      </w:r>
      <w:r>
        <w:rPr/>
        <w:t>localidades</w:t>
      </w:r>
      <w:r>
        <w:rPr>
          <w:spacing w:val="-10"/>
        </w:rPr>
        <w:t> </w:t>
      </w:r>
      <w:r>
        <w:rPr/>
        <w:t>con</w:t>
      </w:r>
      <w:r>
        <w:rPr>
          <w:spacing w:val="-10"/>
        </w:rPr>
        <w:t> </w:t>
      </w:r>
      <w:r>
        <w:rPr/>
        <w:t>las</w:t>
      </w:r>
      <w:r>
        <w:rPr>
          <w:spacing w:val="-10"/>
        </w:rPr>
        <w:t> </w:t>
      </w:r>
      <w:r>
        <w:rPr/>
        <w:t>variables</w:t>
      </w:r>
      <w:r>
        <w:rPr>
          <w:w w:val="99"/>
        </w:rPr>
        <w:t> </w:t>
      </w:r>
      <w:r>
        <w:rPr/>
        <w:t>de longitud (X) y latitud (Y) y se depuran aquellas que cuentan con coordenadas. 2. La población total por localidad se clasifica y totaliza bajo los siguientes rangos: menores de 2,500 habitantes se consideran asentamientos rurales; de 5,000-9,999 habitantes   y de 10,000-14,999 habitantes, son asentamientos rural-urbanos y población urbana aquella que resulta de la sumatoria de los estratos mayores de 15 mil habitantes (15,000-24,999, 25,000-49,999, 50,000-99,999, 100,000-249,000, 250,000-999,999  </w:t>
      </w:r>
      <w:r>
        <w:rPr>
          <w:spacing w:val="33"/>
        </w:rPr>
        <w:t> </w:t>
      </w:r>
      <w:r>
        <w:rPr/>
        <w:t>y</w:t>
      </w:r>
    </w:p>
    <w:p>
      <w:pPr>
        <w:pStyle w:val="BodyText"/>
        <w:spacing w:before="1"/>
        <w:ind w:left="125" w:right="-16"/>
      </w:pPr>
      <w:r>
        <w:rPr/>
        <w:t>más de un millón de habitantes).</w:t>
      </w:r>
    </w:p>
    <w:p>
      <w:pPr>
        <w:pStyle w:val="BodyText"/>
        <w:spacing w:line="249" w:lineRule="auto" w:before="109"/>
        <w:ind w:left="125" w:right="128" w:firstLine="170"/>
        <w:jc w:val="both"/>
      </w:pPr>
      <w:r>
        <w:rPr/>
        <w:br w:type="column"/>
      </w:r>
      <w:r>
        <w:rPr/>
        <w:t>Con base en los arreglos y sumas organizadas por localidad, por municipios y entidades federativas, se presentan patrones de distribución de los asentamientos humanos bajo las siguientes categorías (Cuadro 1):</w:t>
      </w:r>
    </w:p>
    <w:p>
      <w:pPr>
        <w:pStyle w:val="BodyText"/>
        <w:spacing w:before="11"/>
      </w:pPr>
    </w:p>
    <w:p>
      <w:pPr>
        <w:pStyle w:val="ListParagraph"/>
        <w:numPr>
          <w:ilvl w:val="2"/>
          <w:numId w:val="42"/>
        </w:numPr>
        <w:tabs>
          <w:tab w:pos="1090" w:val="left" w:leader="none"/>
        </w:tabs>
        <w:spacing w:line="249" w:lineRule="auto" w:before="0" w:after="0"/>
        <w:ind w:left="1089" w:right="128" w:hanging="283"/>
        <w:jc w:val="left"/>
        <w:rPr>
          <w:sz w:val="20"/>
        </w:rPr>
      </w:pPr>
      <w:r>
        <w:rPr>
          <w:sz w:val="20"/>
        </w:rPr>
        <w:t>Alta concentración de población, aquellos municipios con igual o más de 50% de su población en localidades mayores de 15,000 </w:t>
      </w:r>
      <w:r>
        <w:rPr>
          <w:spacing w:val="19"/>
          <w:sz w:val="20"/>
        </w:rPr>
        <w:t> </w:t>
      </w:r>
      <w:r>
        <w:rPr>
          <w:sz w:val="20"/>
        </w:rPr>
        <w:t>habitantes;</w:t>
      </w:r>
    </w:p>
    <w:p>
      <w:pPr>
        <w:pStyle w:val="ListParagraph"/>
        <w:numPr>
          <w:ilvl w:val="2"/>
          <w:numId w:val="42"/>
        </w:numPr>
        <w:tabs>
          <w:tab w:pos="1090" w:val="left" w:leader="none"/>
        </w:tabs>
        <w:spacing w:line="249" w:lineRule="auto" w:before="1" w:after="0"/>
        <w:ind w:left="1089" w:right="127" w:hanging="283"/>
        <w:jc w:val="left"/>
        <w:rPr>
          <w:sz w:val="20"/>
        </w:rPr>
      </w:pPr>
      <w:r>
        <w:rPr>
          <w:sz w:val="20"/>
        </w:rPr>
        <w:t>Concentración de población, aquellos municipios con menos del 50% de su población en localidades mayores de 15,000</w:t>
      </w:r>
      <w:r>
        <w:rPr>
          <w:spacing w:val="49"/>
          <w:sz w:val="20"/>
        </w:rPr>
        <w:t> </w:t>
      </w:r>
      <w:r>
        <w:rPr>
          <w:sz w:val="20"/>
        </w:rPr>
        <w:t>habitantes;</w:t>
      </w:r>
    </w:p>
    <w:p>
      <w:pPr>
        <w:pStyle w:val="ListParagraph"/>
        <w:numPr>
          <w:ilvl w:val="2"/>
          <w:numId w:val="42"/>
        </w:numPr>
        <w:tabs>
          <w:tab w:pos="1090" w:val="left" w:leader="none"/>
        </w:tabs>
        <w:spacing w:line="249" w:lineRule="auto" w:before="1" w:after="0"/>
        <w:ind w:left="1089" w:right="128" w:hanging="283"/>
        <w:jc w:val="left"/>
        <w:rPr>
          <w:sz w:val="20"/>
        </w:rPr>
      </w:pPr>
      <w:r>
        <w:rPr>
          <w:sz w:val="20"/>
        </w:rPr>
        <w:t>Dispersión rural-urbana, aquellos municipios con población mayor o igual al 50% de su población en localidades de 2,500 a 15,000 habitantes </w:t>
      </w:r>
      <w:r>
        <w:rPr>
          <w:spacing w:val="15"/>
          <w:sz w:val="20"/>
        </w:rPr>
        <w:t> </w:t>
      </w:r>
      <w:r>
        <w:rPr>
          <w:sz w:val="20"/>
        </w:rPr>
        <w:t>y;</w:t>
      </w:r>
    </w:p>
    <w:p>
      <w:pPr>
        <w:pStyle w:val="ListParagraph"/>
        <w:numPr>
          <w:ilvl w:val="2"/>
          <w:numId w:val="42"/>
        </w:numPr>
        <w:tabs>
          <w:tab w:pos="1090" w:val="left" w:leader="none"/>
        </w:tabs>
        <w:spacing w:line="249" w:lineRule="auto" w:before="1" w:after="0"/>
        <w:ind w:left="1089" w:right="127" w:hanging="283"/>
        <w:jc w:val="left"/>
        <w:rPr>
          <w:sz w:val="20"/>
        </w:rPr>
      </w:pPr>
      <w:r>
        <w:rPr>
          <w:sz w:val="20"/>
        </w:rPr>
        <w:t>Alta dispersión (patrón rural), aquellos municipios con población mayor o igual al 50% de su población en localidades de 2,500 habitantes y</w:t>
      </w:r>
      <w:r>
        <w:rPr>
          <w:spacing w:val="-1"/>
          <w:sz w:val="20"/>
        </w:rPr>
        <w:t> </w:t>
      </w:r>
      <w:r>
        <w:rPr>
          <w:sz w:val="20"/>
        </w:rPr>
        <w:t>menores.</w:t>
      </w:r>
    </w:p>
    <w:p>
      <w:pPr>
        <w:pStyle w:val="BodyText"/>
      </w:pPr>
    </w:p>
    <w:p>
      <w:pPr>
        <w:pStyle w:val="BodyText"/>
        <w:spacing w:before="1"/>
        <w:rPr>
          <w:sz w:val="25"/>
        </w:rPr>
      </w:pPr>
    </w:p>
    <w:p>
      <w:pPr>
        <w:spacing w:before="0"/>
        <w:ind w:left="294" w:right="296" w:firstLine="0"/>
        <w:jc w:val="center"/>
        <w:rPr>
          <w:sz w:val="16"/>
        </w:rPr>
      </w:pPr>
      <w:r>
        <w:rPr>
          <w:color w:val="6D6E71"/>
          <w:sz w:val="16"/>
        </w:rPr>
        <w:t>Cuadro 1. Población total por categoría en la Región Centro de  México</w:t>
      </w:r>
    </w:p>
    <w:p>
      <w:pPr>
        <w:pStyle w:val="BodyText"/>
      </w:pPr>
    </w:p>
    <w:p>
      <w:pPr>
        <w:pStyle w:val="BodyText"/>
      </w:pPr>
    </w:p>
    <w:p>
      <w:pPr>
        <w:pStyle w:val="BodyText"/>
        <w:spacing w:before="4"/>
        <w:rPr>
          <w:sz w:val="12"/>
        </w:rPr>
      </w:pPr>
    </w:p>
    <w:tbl>
      <w:tblPr>
        <w:tblW w:w="0" w:type="auto"/>
        <w:jc w:val="left"/>
        <w:tblInd w:w="155" w:type="dxa"/>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1303"/>
        <w:gridCol w:w="1067"/>
        <w:gridCol w:w="1117"/>
        <w:gridCol w:w="667"/>
        <w:gridCol w:w="1030"/>
        <w:gridCol w:w="1117"/>
        <w:gridCol w:w="667"/>
        <w:gridCol w:w="707"/>
      </w:tblGrid>
      <w:tr>
        <w:trPr>
          <w:trHeight w:val="430" w:hRule="exact"/>
        </w:trPr>
        <w:tc>
          <w:tcPr>
            <w:tcW w:w="1303" w:type="dxa"/>
            <w:vMerge w:val="restart"/>
            <w:tcBorders>
              <w:top w:val="nil"/>
              <w:left w:val="nil"/>
            </w:tcBorders>
          </w:tcPr>
          <w:p>
            <w:pPr>
              <w:pStyle w:val="TableParagraph"/>
              <w:spacing w:line="157" w:lineRule="exact"/>
              <w:ind w:left="72"/>
              <w:rPr>
                <w:sz w:val="16"/>
              </w:rPr>
            </w:pPr>
            <w:r>
              <w:rPr>
                <w:w w:val="105"/>
                <w:sz w:val="16"/>
              </w:rPr>
              <w:t>Categoría</w:t>
            </w:r>
          </w:p>
        </w:tc>
        <w:tc>
          <w:tcPr>
            <w:tcW w:w="2851" w:type="dxa"/>
            <w:gridSpan w:val="3"/>
            <w:tcBorders>
              <w:top w:val="nil"/>
            </w:tcBorders>
          </w:tcPr>
          <w:p>
            <w:pPr>
              <w:pStyle w:val="TableParagraph"/>
              <w:spacing w:line="157" w:lineRule="exact"/>
              <w:ind w:left="102"/>
              <w:rPr>
                <w:sz w:val="16"/>
              </w:rPr>
            </w:pPr>
            <w:r>
              <w:rPr>
                <w:sz w:val="16"/>
              </w:rPr>
              <w:t>2000</w:t>
            </w:r>
          </w:p>
        </w:tc>
        <w:tc>
          <w:tcPr>
            <w:tcW w:w="2814" w:type="dxa"/>
            <w:gridSpan w:val="3"/>
            <w:tcBorders>
              <w:top w:val="nil"/>
            </w:tcBorders>
          </w:tcPr>
          <w:p>
            <w:pPr>
              <w:pStyle w:val="TableParagraph"/>
              <w:spacing w:line="157" w:lineRule="exact"/>
              <w:ind w:left="103"/>
              <w:rPr>
                <w:sz w:val="16"/>
              </w:rPr>
            </w:pPr>
            <w:r>
              <w:rPr>
                <w:sz w:val="16"/>
              </w:rPr>
              <w:t>2010</w:t>
            </w:r>
          </w:p>
        </w:tc>
        <w:tc>
          <w:tcPr>
            <w:tcW w:w="707" w:type="dxa"/>
            <w:vMerge w:val="restart"/>
            <w:tcBorders>
              <w:top w:val="nil"/>
              <w:right w:val="nil"/>
            </w:tcBorders>
          </w:tcPr>
          <w:p>
            <w:pPr>
              <w:pStyle w:val="TableParagraph"/>
              <w:spacing w:line="157" w:lineRule="exact"/>
              <w:ind w:left="102"/>
              <w:rPr>
                <w:sz w:val="16"/>
              </w:rPr>
            </w:pPr>
            <w:r>
              <w:rPr>
                <w:sz w:val="16"/>
              </w:rPr>
              <w:t>TCMA</w:t>
            </w:r>
          </w:p>
          <w:p>
            <w:pPr>
              <w:pStyle w:val="TableParagraph"/>
              <w:spacing w:before="16"/>
              <w:ind w:left="102"/>
              <w:rPr>
                <w:sz w:val="16"/>
              </w:rPr>
            </w:pPr>
            <w:r>
              <w:rPr>
                <w:sz w:val="16"/>
              </w:rPr>
              <w:t>2000-</w:t>
            </w:r>
          </w:p>
          <w:p>
            <w:pPr>
              <w:pStyle w:val="TableParagraph"/>
              <w:spacing w:before="16"/>
              <w:ind w:left="102"/>
              <w:rPr>
                <w:sz w:val="16"/>
              </w:rPr>
            </w:pPr>
            <w:r>
              <w:rPr>
                <w:sz w:val="16"/>
              </w:rPr>
              <w:t>2010</w:t>
            </w:r>
          </w:p>
        </w:tc>
      </w:tr>
      <w:tr>
        <w:trPr>
          <w:trHeight w:val="450" w:hRule="exact"/>
        </w:trPr>
        <w:tc>
          <w:tcPr>
            <w:tcW w:w="1303" w:type="dxa"/>
            <w:vMerge/>
            <w:tcBorders>
              <w:left w:val="nil"/>
            </w:tcBorders>
          </w:tcPr>
          <w:p>
            <w:pPr/>
          </w:p>
        </w:tc>
        <w:tc>
          <w:tcPr>
            <w:tcW w:w="1067" w:type="dxa"/>
          </w:tcPr>
          <w:p>
            <w:pPr>
              <w:pStyle w:val="TableParagraph"/>
              <w:spacing w:line="171" w:lineRule="exact"/>
              <w:ind w:left="102"/>
              <w:rPr>
                <w:sz w:val="16"/>
              </w:rPr>
            </w:pPr>
            <w:r>
              <w:rPr>
                <w:w w:val="105"/>
                <w:sz w:val="16"/>
              </w:rPr>
              <w:t>Municipios</w:t>
            </w:r>
          </w:p>
        </w:tc>
        <w:tc>
          <w:tcPr>
            <w:tcW w:w="1117" w:type="dxa"/>
          </w:tcPr>
          <w:p>
            <w:pPr>
              <w:pStyle w:val="TableParagraph"/>
              <w:spacing w:line="171" w:lineRule="exact"/>
              <w:ind w:left="103"/>
              <w:rPr>
                <w:sz w:val="16"/>
              </w:rPr>
            </w:pPr>
            <w:r>
              <w:rPr>
                <w:w w:val="105"/>
                <w:sz w:val="16"/>
              </w:rPr>
              <w:t>Población</w:t>
            </w:r>
          </w:p>
        </w:tc>
        <w:tc>
          <w:tcPr>
            <w:tcW w:w="667" w:type="dxa"/>
          </w:tcPr>
          <w:p>
            <w:pPr>
              <w:pStyle w:val="TableParagraph"/>
              <w:spacing w:line="171" w:lineRule="exact"/>
              <w:ind w:left="102"/>
              <w:rPr>
                <w:sz w:val="16"/>
              </w:rPr>
            </w:pPr>
            <w:r>
              <w:rPr>
                <w:w w:val="112"/>
                <w:sz w:val="16"/>
              </w:rPr>
              <w:t>%</w:t>
            </w:r>
          </w:p>
        </w:tc>
        <w:tc>
          <w:tcPr>
            <w:tcW w:w="1030" w:type="dxa"/>
          </w:tcPr>
          <w:p>
            <w:pPr>
              <w:pStyle w:val="TableParagraph"/>
              <w:spacing w:line="171" w:lineRule="exact"/>
              <w:ind w:left="103"/>
              <w:rPr>
                <w:sz w:val="16"/>
              </w:rPr>
            </w:pPr>
            <w:r>
              <w:rPr>
                <w:w w:val="105"/>
                <w:sz w:val="16"/>
              </w:rPr>
              <w:t>Municipios</w:t>
            </w:r>
          </w:p>
        </w:tc>
        <w:tc>
          <w:tcPr>
            <w:tcW w:w="1117" w:type="dxa"/>
          </w:tcPr>
          <w:p>
            <w:pPr>
              <w:pStyle w:val="TableParagraph"/>
              <w:spacing w:line="171" w:lineRule="exact"/>
              <w:ind w:left="102"/>
              <w:rPr>
                <w:sz w:val="16"/>
              </w:rPr>
            </w:pPr>
            <w:r>
              <w:rPr>
                <w:w w:val="105"/>
                <w:sz w:val="16"/>
              </w:rPr>
              <w:t>Población</w:t>
            </w:r>
          </w:p>
        </w:tc>
        <w:tc>
          <w:tcPr>
            <w:tcW w:w="667" w:type="dxa"/>
          </w:tcPr>
          <w:p>
            <w:pPr>
              <w:pStyle w:val="TableParagraph"/>
              <w:spacing w:line="171" w:lineRule="exact"/>
              <w:ind w:left="102"/>
              <w:rPr>
                <w:sz w:val="16"/>
              </w:rPr>
            </w:pPr>
            <w:r>
              <w:rPr>
                <w:w w:val="112"/>
                <w:sz w:val="16"/>
              </w:rPr>
              <w:t>%</w:t>
            </w:r>
          </w:p>
        </w:tc>
        <w:tc>
          <w:tcPr>
            <w:tcW w:w="707" w:type="dxa"/>
            <w:vMerge/>
            <w:tcBorders>
              <w:right w:val="nil"/>
            </w:tcBorders>
          </w:tcPr>
          <w:p>
            <w:pPr/>
          </w:p>
        </w:tc>
      </w:tr>
      <w:tr>
        <w:trPr>
          <w:trHeight w:val="192" w:hRule="exact"/>
        </w:trPr>
        <w:tc>
          <w:tcPr>
            <w:tcW w:w="1303" w:type="dxa"/>
            <w:tcBorders>
              <w:left w:val="nil"/>
              <w:bottom w:val="nil"/>
            </w:tcBorders>
          </w:tcPr>
          <w:p>
            <w:pPr>
              <w:pStyle w:val="TableParagraph"/>
              <w:spacing w:line="171" w:lineRule="exact"/>
              <w:ind w:left="72"/>
              <w:rPr>
                <w:sz w:val="16"/>
              </w:rPr>
            </w:pPr>
            <w:r>
              <w:rPr>
                <w:sz w:val="16"/>
              </w:rPr>
              <w:t>Alta</w:t>
            </w:r>
          </w:p>
        </w:tc>
        <w:tc>
          <w:tcPr>
            <w:tcW w:w="1067" w:type="dxa"/>
            <w:tcBorders>
              <w:bottom w:val="nil"/>
            </w:tcBorders>
          </w:tcPr>
          <w:p>
            <w:pPr>
              <w:pStyle w:val="TableParagraph"/>
              <w:spacing w:line="171" w:lineRule="exact"/>
              <w:ind w:left="102"/>
              <w:rPr>
                <w:sz w:val="16"/>
              </w:rPr>
            </w:pPr>
            <w:r>
              <w:rPr>
                <w:sz w:val="16"/>
              </w:rPr>
              <w:t>101</w:t>
            </w:r>
          </w:p>
        </w:tc>
        <w:tc>
          <w:tcPr>
            <w:tcW w:w="1117" w:type="dxa"/>
            <w:tcBorders>
              <w:bottom w:val="nil"/>
            </w:tcBorders>
          </w:tcPr>
          <w:p>
            <w:pPr>
              <w:pStyle w:val="TableParagraph"/>
              <w:spacing w:line="171" w:lineRule="exact"/>
              <w:ind w:left="103"/>
              <w:rPr>
                <w:sz w:val="16"/>
              </w:rPr>
            </w:pPr>
            <w:r>
              <w:rPr>
                <w:sz w:val="16"/>
              </w:rPr>
              <w:t>24,233,298</w:t>
            </w:r>
          </w:p>
        </w:tc>
        <w:tc>
          <w:tcPr>
            <w:tcW w:w="667" w:type="dxa"/>
            <w:tcBorders>
              <w:bottom w:val="nil"/>
            </w:tcBorders>
          </w:tcPr>
          <w:p>
            <w:pPr>
              <w:pStyle w:val="TableParagraph"/>
              <w:spacing w:line="171" w:lineRule="exact"/>
              <w:ind w:left="102"/>
              <w:rPr>
                <w:sz w:val="16"/>
              </w:rPr>
            </w:pPr>
            <w:r>
              <w:rPr>
                <w:sz w:val="16"/>
              </w:rPr>
              <w:t>73.58</w:t>
            </w:r>
          </w:p>
        </w:tc>
        <w:tc>
          <w:tcPr>
            <w:tcW w:w="1030" w:type="dxa"/>
            <w:tcBorders>
              <w:bottom w:val="nil"/>
            </w:tcBorders>
          </w:tcPr>
          <w:p>
            <w:pPr>
              <w:pStyle w:val="TableParagraph"/>
              <w:spacing w:line="171" w:lineRule="exact"/>
              <w:ind w:left="103"/>
              <w:rPr>
                <w:sz w:val="16"/>
              </w:rPr>
            </w:pPr>
            <w:r>
              <w:rPr>
                <w:sz w:val="16"/>
              </w:rPr>
              <w:t>102</w:t>
            </w:r>
          </w:p>
        </w:tc>
        <w:tc>
          <w:tcPr>
            <w:tcW w:w="1117" w:type="dxa"/>
            <w:tcBorders>
              <w:bottom w:val="nil"/>
            </w:tcBorders>
          </w:tcPr>
          <w:p>
            <w:pPr>
              <w:pStyle w:val="TableParagraph"/>
              <w:spacing w:line="171" w:lineRule="exact"/>
              <w:ind w:left="102"/>
              <w:rPr>
                <w:sz w:val="16"/>
              </w:rPr>
            </w:pPr>
            <w:r>
              <w:rPr>
                <w:sz w:val="16"/>
              </w:rPr>
              <w:t>26,663,911</w:t>
            </w:r>
          </w:p>
        </w:tc>
        <w:tc>
          <w:tcPr>
            <w:tcW w:w="667" w:type="dxa"/>
            <w:tcBorders>
              <w:bottom w:val="nil"/>
            </w:tcBorders>
          </w:tcPr>
          <w:p>
            <w:pPr>
              <w:pStyle w:val="TableParagraph"/>
              <w:spacing w:line="171" w:lineRule="exact"/>
              <w:ind w:left="102"/>
              <w:rPr>
                <w:sz w:val="16"/>
              </w:rPr>
            </w:pPr>
            <w:r>
              <w:rPr>
                <w:sz w:val="16"/>
              </w:rPr>
              <w:t>71.59</w:t>
            </w:r>
          </w:p>
        </w:tc>
        <w:tc>
          <w:tcPr>
            <w:tcW w:w="707" w:type="dxa"/>
            <w:tcBorders>
              <w:bottom w:val="nil"/>
              <w:right w:val="nil"/>
            </w:tcBorders>
          </w:tcPr>
          <w:p>
            <w:pPr>
              <w:pStyle w:val="TableParagraph"/>
              <w:spacing w:line="171" w:lineRule="exact"/>
              <w:ind w:left="102"/>
              <w:rPr>
                <w:sz w:val="16"/>
              </w:rPr>
            </w:pPr>
            <w:r>
              <w:rPr>
                <w:sz w:val="16"/>
              </w:rPr>
              <w:t>0.97</w:t>
            </w:r>
          </w:p>
        </w:tc>
      </w:tr>
      <w:tr>
        <w:trPr>
          <w:trHeight w:val="200" w:hRule="exact"/>
        </w:trPr>
        <w:tc>
          <w:tcPr>
            <w:tcW w:w="1303" w:type="dxa"/>
            <w:tcBorders>
              <w:top w:val="nil"/>
              <w:left w:val="nil"/>
              <w:bottom w:val="nil"/>
            </w:tcBorders>
          </w:tcPr>
          <w:p>
            <w:pPr>
              <w:pStyle w:val="TableParagraph"/>
              <w:ind w:left="72"/>
              <w:rPr>
                <w:sz w:val="16"/>
              </w:rPr>
            </w:pPr>
            <w:r>
              <w:rPr>
                <w:sz w:val="16"/>
              </w:rPr>
              <w:t>concentración</w:t>
            </w:r>
          </w:p>
        </w:tc>
        <w:tc>
          <w:tcPr>
            <w:tcW w:w="1067" w:type="dxa"/>
            <w:tcBorders>
              <w:top w:val="nil"/>
              <w:bottom w:val="nil"/>
            </w:tcBorders>
          </w:tcPr>
          <w:p>
            <w:pPr/>
          </w:p>
        </w:tc>
        <w:tc>
          <w:tcPr>
            <w:tcW w:w="1117" w:type="dxa"/>
            <w:tcBorders>
              <w:top w:val="nil"/>
              <w:bottom w:val="nil"/>
            </w:tcBorders>
          </w:tcPr>
          <w:p>
            <w:pPr/>
          </w:p>
        </w:tc>
        <w:tc>
          <w:tcPr>
            <w:tcW w:w="667" w:type="dxa"/>
            <w:tcBorders>
              <w:top w:val="nil"/>
              <w:bottom w:val="nil"/>
            </w:tcBorders>
          </w:tcPr>
          <w:p>
            <w:pPr/>
          </w:p>
        </w:tc>
        <w:tc>
          <w:tcPr>
            <w:tcW w:w="1030" w:type="dxa"/>
            <w:tcBorders>
              <w:top w:val="nil"/>
              <w:bottom w:val="nil"/>
            </w:tcBorders>
          </w:tcPr>
          <w:p>
            <w:pPr/>
          </w:p>
        </w:tc>
        <w:tc>
          <w:tcPr>
            <w:tcW w:w="1117" w:type="dxa"/>
            <w:tcBorders>
              <w:top w:val="nil"/>
              <w:bottom w:val="nil"/>
            </w:tcBorders>
          </w:tcPr>
          <w:p>
            <w:pPr/>
          </w:p>
        </w:tc>
        <w:tc>
          <w:tcPr>
            <w:tcW w:w="667" w:type="dxa"/>
            <w:tcBorders>
              <w:top w:val="nil"/>
              <w:bottom w:val="nil"/>
            </w:tcBorders>
          </w:tcPr>
          <w:p>
            <w:pPr/>
          </w:p>
        </w:tc>
        <w:tc>
          <w:tcPr>
            <w:tcW w:w="707" w:type="dxa"/>
            <w:tcBorders>
              <w:top w:val="nil"/>
              <w:bottom w:val="nil"/>
              <w:right w:val="nil"/>
            </w:tcBorders>
          </w:tcPr>
          <w:p>
            <w:pPr/>
          </w:p>
        </w:tc>
      </w:tr>
      <w:tr>
        <w:trPr>
          <w:trHeight w:val="185" w:hRule="exact"/>
        </w:trPr>
        <w:tc>
          <w:tcPr>
            <w:tcW w:w="1303" w:type="dxa"/>
            <w:tcBorders>
              <w:top w:val="nil"/>
              <w:left w:val="nil"/>
              <w:bottom w:val="nil"/>
            </w:tcBorders>
          </w:tcPr>
          <w:p>
            <w:pPr>
              <w:pStyle w:val="TableParagraph"/>
              <w:tabs>
                <w:tab w:pos="1287" w:val="left" w:leader="none"/>
              </w:tabs>
              <w:rPr>
                <w:sz w:val="16"/>
              </w:rPr>
            </w:pPr>
            <w:r>
              <w:rPr>
                <w:w w:val="100"/>
                <w:sz w:val="16"/>
                <w:u w:val="dotted" w:color="929292"/>
              </w:rPr>
              <w:t> </w:t>
            </w:r>
            <w:r>
              <w:rPr>
                <w:spacing w:val="-17"/>
                <w:sz w:val="16"/>
                <w:u w:val="dotted" w:color="929292"/>
              </w:rPr>
              <w:t> </w:t>
            </w:r>
            <w:r>
              <w:rPr>
                <w:sz w:val="16"/>
                <w:u w:val="dotted" w:color="929292"/>
              </w:rPr>
              <w:t>de</w:t>
            </w:r>
            <w:r>
              <w:rPr>
                <w:spacing w:val="23"/>
                <w:sz w:val="16"/>
                <w:u w:val="dotted" w:color="929292"/>
              </w:rPr>
              <w:t> </w:t>
            </w:r>
            <w:r>
              <w:rPr>
                <w:sz w:val="16"/>
                <w:u w:val="dotted" w:color="929292"/>
              </w:rPr>
              <w:t>población</w:t>
              <w:tab/>
            </w:r>
          </w:p>
        </w:tc>
        <w:tc>
          <w:tcPr>
            <w:tcW w:w="1067" w:type="dxa"/>
            <w:tcBorders>
              <w:top w:val="nil"/>
              <w:bottom w:val="nil"/>
            </w:tcBorders>
          </w:tcPr>
          <w:p>
            <w:pPr>
              <w:pStyle w:val="TableParagraph"/>
              <w:tabs>
                <w:tab w:pos="1047" w:val="left" w:leader="none"/>
              </w:tabs>
              <w:ind w:left="24"/>
              <w:rPr>
                <w:sz w:val="16"/>
              </w:rPr>
            </w:pPr>
            <w:r>
              <w:rPr>
                <w:w w:val="100"/>
                <w:sz w:val="16"/>
                <w:u w:val="dotted" w:color="929292"/>
              </w:rPr>
              <w:t> </w:t>
            </w:r>
            <w:r>
              <w:rPr>
                <w:sz w:val="16"/>
                <w:u w:val="dotted" w:color="929292"/>
              </w:rPr>
              <w:tab/>
            </w:r>
          </w:p>
        </w:tc>
        <w:tc>
          <w:tcPr>
            <w:tcW w:w="1117" w:type="dxa"/>
            <w:tcBorders>
              <w:top w:val="nil"/>
              <w:bottom w:val="nil"/>
            </w:tcBorders>
          </w:tcPr>
          <w:p>
            <w:pPr>
              <w:pStyle w:val="TableParagraph"/>
              <w:tabs>
                <w:tab w:pos="1071" w:val="left" w:leader="none"/>
              </w:tabs>
              <w:ind w:right="8"/>
              <w:jc w:val="right"/>
              <w:rPr>
                <w:sz w:val="16"/>
              </w:rPr>
            </w:pPr>
            <w:r>
              <w:rPr>
                <w:w w:val="100"/>
                <w:sz w:val="16"/>
                <w:u w:val="dotted" w:color="929292"/>
              </w:rPr>
              <w:t> </w:t>
            </w:r>
            <w:r>
              <w:rPr>
                <w:sz w:val="16"/>
                <w:u w:val="dotted" w:color="929292"/>
              </w:rPr>
              <w:tab/>
            </w:r>
          </w:p>
        </w:tc>
        <w:tc>
          <w:tcPr>
            <w:tcW w:w="667" w:type="dxa"/>
            <w:tcBorders>
              <w:top w:val="nil"/>
              <w:bottom w:val="nil"/>
            </w:tcBorders>
          </w:tcPr>
          <w:p>
            <w:pPr>
              <w:pStyle w:val="TableParagraph"/>
              <w:tabs>
                <w:tab w:pos="646" w:val="left" w:leader="none"/>
              </w:tabs>
              <w:ind w:left="25"/>
              <w:rPr>
                <w:sz w:val="16"/>
              </w:rPr>
            </w:pPr>
            <w:r>
              <w:rPr>
                <w:w w:val="100"/>
                <w:sz w:val="16"/>
                <w:u w:val="dotted" w:color="929292"/>
              </w:rPr>
              <w:t> </w:t>
            </w:r>
            <w:r>
              <w:rPr>
                <w:sz w:val="16"/>
                <w:u w:val="dotted" w:color="929292"/>
              </w:rPr>
              <w:tab/>
            </w:r>
          </w:p>
        </w:tc>
        <w:tc>
          <w:tcPr>
            <w:tcW w:w="1030" w:type="dxa"/>
            <w:tcBorders>
              <w:top w:val="nil"/>
              <w:bottom w:val="nil"/>
            </w:tcBorders>
          </w:tcPr>
          <w:p>
            <w:pPr>
              <w:pStyle w:val="TableParagraph"/>
              <w:tabs>
                <w:tab w:pos="1009" w:val="left" w:leader="none"/>
              </w:tabs>
              <w:ind w:left="25"/>
              <w:rPr>
                <w:sz w:val="16"/>
              </w:rPr>
            </w:pPr>
            <w:r>
              <w:rPr>
                <w:w w:val="100"/>
                <w:sz w:val="16"/>
                <w:u w:val="dotted" w:color="929292"/>
              </w:rPr>
              <w:t> </w:t>
            </w:r>
            <w:r>
              <w:rPr>
                <w:sz w:val="16"/>
                <w:u w:val="dotted" w:color="929292"/>
              </w:rPr>
              <w:tab/>
            </w:r>
          </w:p>
        </w:tc>
        <w:tc>
          <w:tcPr>
            <w:tcW w:w="1117" w:type="dxa"/>
            <w:tcBorders>
              <w:top w:val="nil"/>
              <w:bottom w:val="nil"/>
            </w:tcBorders>
          </w:tcPr>
          <w:p>
            <w:pPr>
              <w:pStyle w:val="TableParagraph"/>
              <w:tabs>
                <w:tab w:pos="1096" w:val="left" w:leader="none"/>
              </w:tabs>
              <w:ind w:left="25"/>
              <w:rPr>
                <w:sz w:val="16"/>
              </w:rPr>
            </w:pPr>
            <w:r>
              <w:rPr>
                <w:w w:val="100"/>
                <w:sz w:val="16"/>
                <w:u w:val="dotted" w:color="929292"/>
              </w:rPr>
              <w:t> </w:t>
            </w:r>
            <w:r>
              <w:rPr>
                <w:sz w:val="16"/>
                <w:u w:val="dotted" w:color="929292"/>
              </w:rPr>
              <w:tab/>
            </w:r>
          </w:p>
        </w:tc>
        <w:tc>
          <w:tcPr>
            <w:tcW w:w="667" w:type="dxa"/>
            <w:tcBorders>
              <w:top w:val="nil"/>
              <w:bottom w:val="nil"/>
            </w:tcBorders>
          </w:tcPr>
          <w:p>
            <w:pPr>
              <w:pStyle w:val="TableParagraph"/>
              <w:tabs>
                <w:tab w:pos="621" w:val="left" w:leader="none"/>
              </w:tabs>
              <w:ind w:right="8"/>
              <w:jc w:val="right"/>
              <w:rPr>
                <w:sz w:val="16"/>
              </w:rPr>
            </w:pPr>
            <w:r>
              <w:rPr>
                <w:w w:val="100"/>
                <w:sz w:val="16"/>
                <w:u w:val="dotted" w:color="929292"/>
              </w:rPr>
              <w:t> </w:t>
            </w:r>
            <w:r>
              <w:rPr>
                <w:sz w:val="16"/>
                <w:u w:val="dotted" w:color="929292"/>
              </w:rPr>
              <w:tab/>
            </w:r>
          </w:p>
        </w:tc>
        <w:tc>
          <w:tcPr>
            <w:tcW w:w="707" w:type="dxa"/>
            <w:tcBorders>
              <w:top w:val="nil"/>
              <w:bottom w:val="nil"/>
              <w:right w:val="nil"/>
            </w:tcBorders>
          </w:tcPr>
          <w:p>
            <w:pPr>
              <w:pStyle w:val="TableParagraph"/>
              <w:tabs>
                <w:tab w:pos="701" w:val="left" w:leader="none"/>
              </w:tabs>
              <w:ind w:left="25"/>
              <w:rPr>
                <w:sz w:val="16"/>
              </w:rPr>
            </w:pPr>
            <w:r>
              <w:rPr>
                <w:w w:val="100"/>
                <w:sz w:val="16"/>
                <w:u w:val="dotted" w:color="929292"/>
              </w:rPr>
              <w:t> </w:t>
            </w:r>
            <w:r>
              <w:rPr>
                <w:sz w:val="16"/>
                <w:u w:val="dotted" w:color="929292"/>
              </w:rPr>
              <w:tab/>
            </w:r>
          </w:p>
        </w:tc>
      </w:tr>
      <w:tr>
        <w:trPr>
          <w:trHeight w:val="185" w:hRule="exact"/>
        </w:trPr>
        <w:tc>
          <w:tcPr>
            <w:tcW w:w="1303" w:type="dxa"/>
            <w:tcBorders>
              <w:top w:val="nil"/>
              <w:left w:val="nil"/>
              <w:bottom w:val="nil"/>
            </w:tcBorders>
          </w:tcPr>
          <w:p>
            <w:pPr>
              <w:pStyle w:val="TableParagraph"/>
              <w:spacing w:line="170" w:lineRule="exact"/>
              <w:ind w:left="72"/>
              <w:rPr>
                <w:sz w:val="16"/>
              </w:rPr>
            </w:pPr>
            <w:r>
              <w:rPr>
                <w:sz w:val="16"/>
              </w:rPr>
              <w:t>Concentración</w:t>
            </w:r>
          </w:p>
        </w:tc>
        <w:tc>
          <w:tcPr>
            <w:tcW w:w="1067" w:type="dxa"/>
            <w:tcBorders>
              <w:top w:val="nil"/>
              <w:bottom w:val="nil"/>
            </w:tcBorders>
          </w:tcPr>
          <w:p>
            <w:pPr>
              <w:pStyle w:val="TableParagraph"/>
              <w:spacing w:line="170" w:lineRule="exact"/>
              <w:ind w:left="102"/>
              <w:rPr>
                <w:sz w:val="16"/>
              </w:rPr>
            </w:pPr>
            <w:r>
              <w:rPr>
                <w:sz w:val="16"/>
              </w:rPr>
              <w:t>29</w:t>
            </w:r>
          </w:p>
        </w:tc>
        <w:tc>
          <w:tcPr>
            <w:tcW w:w="1117" w:type="dxa"/>
            <w:tcBorders>
              <w:top w:val="nil"/>
              <w:bottom w:val="nil"/>
            </w:tcBorders>
          </w:tcPr>
          <w:p>
            <w:pPr>
              <w:pStyle w:val="TableParagraph"/>
              <w:spacing w:line="170" w:lineRule="exact"/>
              <w:ind w:left="103"/>
              <w:rPr>
                <w:sz w:val="16"/>
              </w:rPr>
            </w:pPr>
            <w:r>
              <w:rPr>
                <w:sz w:val="16"/>
              </w:rPr>
              <w:t>1,937,518</w:t>
            </w:r>
          </w:p>
        </w:tc>
        <w:tc>
          <w:tcPr>
            <w:tcW w:w="667" w:type="dxa"/>
            <w:tcBorders>
              <w:top w:val="nil"/>
              <w:bottom w:val="nil"/>
            </w:tcBorders>
          </w:tcPr>
          <w:p>
            <w:pPr>
              <w:pStyle w:val="TableParagraph"/>
              <w:spacing w:line="170" w:lineRule="exact"/>
              <w:ind w:left="102"/>
              <w:rPr>
                <w:sz w:val="16"/>
              </w:rPr>
            </w:pPr>
            <w:r>
              <w:rPr>
                <w:sz w:val="16"/>
              </w:rPr>
              <w:t>5.88</w:t>
            </w:r>
          </w:p>
        </w:tc>
        <w:tc>
          <w:tcPr>
            <w:tcW w:w="1030" w:type="dxa"/>
            <w:tcBorders>
              <w:top w:val="nil"/>
              <w:bottom w:val="nil"/>
            </w:tcBorders>
          </w:tcPr>
          <w:p>
            <w:pPr>
              <w:pStyle w:val="TableParagraph"/>
              <w:spacing w:line="170" w:lineRule="exact"/>
              <w:ind w:left="103"/>
              <w:rPr>
                <w:sz w:val="16"/>
              </w:rPr>
            </w:pPr>
            <w:r>
              <w:rPr>
                <w:sz w:val="16"/>
              </w:rPr>
              <w:t>41</w:t>
            </w:r>
          </w:p>
        </w:tc>
        <w:tc>
          <w:tcPr>
            <w:tcW w:w="1117" w:type="dxa"/>
            <w:tcBorders>
              <w:top w:val="nil"/>
              <w:bottom w:val="nil"/>
            </w:tcBorders>
          </w:tcPr>
          <w:p>
            <w:pPr>
              <w:pStyle w:val="TableParagraph"/>
              <w:spacing w:line="170" w:lineRule="exact"/>
              <w:ind w:left="102"/>
              <w:rPr>
                <w:sz w:val="16"/>
              </w:rPr>
            </w:pPr>
            <w:r>
              <w:rPr>
                <w:sz w:val="16"/>
              </w:rPr>
              <w:t>3,172,733</w:t>
            </w:r>
          </w:p>
        </w:tc>
        <w:tc>
          <w:tcPr>
            <w:tcW w:w="667" w:type="dxa"/>
            <w:tcBorders>
              <w:top w:val="nil"/>
              <w:bottom w:val="nil"/>
            </w:tcBorders>
          </w:tcPr>
          <w:p>
            <w:pPr>
              <w:pStyle w:val="TableParagraph"/>
              <w:spacing w:line="170" w:lineRule="exact"/>
              <w:ind w:left="102"/>
              <w:rPr>
                <w:sz w:val="16"/>
              </w:rPr>
            </w:pPr>
            <w:r>
              <w:rPr>
                <w:sz w:val="16"/>
              </w:rPr>
              <w:t>8.52</w:t>
            </w:r>
          </w:p>
        </w:tc>
        <w:tc>
          <w:tcPr>
            <w:tcW w:w="707" w:type="dxa"/>
            <w:tcBorders>
              <w:top w:val="nil"/>
              <w:bottom w:val="nil"/>
              <w:right w:val="nil"/>
            </w:tcBorders>
          </w:tcPr>
          <w:p>
            <w:pPr>
              <w:pStyle w:val="TableParagraph"/>
              <w:spacing w:line="170" w:lineRule="exact"/>
              <w:ind w:left="102"/>
              <w:rPr>
                <w:sz w:val="16"/>
              </w:rPr>
            </w:pPr>
            <w:r>
              <w:rPr>
                <w:sz w:val="16"/>
              </w:rPr>
              <w:t>5.11</w:t>
            </w:r>
          </w:p>
        </w:tc>
      </w:tr>
      <w:tr>
        <w:trPr>
          <w:trHeight w:val="185" w:hRule="exact"/>
        </w:trPr>
        <w:tc>
          <w:tcPr>
            <w:tcW w:w="1303" w:type="dxa"/>
            <w:tcBorders>
              <w:top w:val="nil"/>
              <w:left w:val="nil"/>
              <w:bottom w:val="nil"/>
            </w:tcBorders>
          </w:tcPr>
          <w:p>
            <w:pPr>
              <w:pStyle w:val="TableParagraph"/>
              <w:tabs>
                <w:tab w:pos="1287" w:val="left" w:leader="none"/>
              </w:tabs>
              <w:rPr>
                <w:sz w:val="16"/>
              </w:rPr>
            </w:pPr>
            <w:r>
              <w:rPr>
                <w:w w:val="100"/>
                <w:sz w:val="16"/>
                <w:u w:val="dotted" w:color="929292"/>
              </w:rPr>
              <w:t> </w:t>
            </w:r>
            <w:r>
              <w:rPr>
                <w:spacing w:val="-17"/>
                <w:sz w:val="16"/>
                <w:u w:val="dotted" w:color="929292"/>
              </w:rPr>
              <w:t> </w:t>
            </w:r>
            <w:r>
              <w:rPr>
                <w:sz w:val="16"/>
                <w:u w:val="dotted" w:color="929292"/>
              </w:rPr>
              <w:t>de</w:t>
            </w:r>
            <w:r>
              <w:rPr>
                <w:spacing w:val="23"/>
                <w:sz w:val="16"/>
                <w:u w:val="dotted" w:color="929292"/>
              </w:rPr>
              <w:t> </w:t>
            </w:r>
            <w:r>
              <w:rPr>
                <w:sz w:val="16"/>
                <w:u w:val="dotted" w:color="929292"/>
              </w:rPr>
              <w:t>población</w:t>
              <w:tab/>
            </w:r>
          </w:p>
        </w:tc>
        <w:tc>
          <w:tcPr>
            <w:tcW w:w="1067" w:type="dxa"/>
            <w:tcBorders>
              <w:top w:val="nil"/>
              <w:bottom w:val="nil"/>
            </w:tcBorders>
          </w:tcPr>
          <w:p>
            <w:pPr>
              <w:pStyle w:val="TableParagraph"/>
              <w:tabs>
                <w:tab w:pos="1047" w:val="left" w:leader="none"/>
              </w:tabs>
              <w:ind w:left="24"/>
              <w:rPr>
                <w:sz w:val="16"/>
              </w:rPr>
            </w:pPr>
            <w:r>
              <w:rPr>
                <w:w w:val="100"/>
                <w:sz w:val="16"/>
                <w:u w:val="dotted" w:color="929292"/>
              </w:rPr>
              <w:t> </w:t>
            </w:r>
            <w:r>
              <w:rPr>
                <w:sz w:val="16"/>
                <w:u w:val="dotted" w:color="929292"/>
              </w:rPr>
              <w:tab/>
            </w:r>
          </w:p>
        </w:tc>
        <w:tc>
          <w:tcPr>
            <w:tcW w:w="1117" w:type="dxa"/>
            <w:tcBorders>
              <w:top w:val="nil"/>
              <w:bottom w:val="nil"/>
            </w:tcBorders>
          </w:tcPr>
          <w:p>
            <w:pPr>
              <w:pStyle w:val="TableParagraph"/>
              <w:tabs>
                <w:tab w:pos="1071" w:val="left" w:leader="none"/>
              </w:tabs>
              <w:ind w:right="8"/>
              <w:jc w:val="right"/>
              <w:rPr>
                <w:sz w:val="16"/>
              </w:rPr>
            </w:pPr>
            <w:r>
              <w:rPr>
                <w:w w:val="100"/>
                <w:sz w:val="16"/>
                <w:u w:val="dotted" w:color="929292"/>
              </w:rPr>
              <w:t> </w:t>
            </w:r>
            <w:r>
              <w:rPr>
                <w:sz w:val="16"/>
                <w:u w:val="dotted" w:color="929292"/>
              </w:rPr>
              <w:tab/>
            </w:r>
          </w:p>
        </w:tc>
        <w:tc>
          <w:tcPr>
            <w:tcW w:w="667" w:type="dxa"/>
            <w:tcBorders>
              <w:top w:val="nil"/>
              <w:bottom w:val="nil"/>
            </w:tcBorders>
          </w:tcPr>
          <w:p>
            <w:pPr>
              <w:pStyle w:val="TableParagraph"/>
              <w:tabs>
                <w:tab w:pos="646" w:val="left" w:leader="none"/>
              </w:tabs>
              <w:ind w:left="25"/>
              <w:rPr>
                <w:sz w:val="16"/>
              </w:rPr>
            </w:pPr>
            <w:r>
              <w:rPr>
                <w:w w:val="100"/>
                <w:sz w:val="16"/>
                <w:u w:val="dotted" w:color="929292"/>
              </w:rPr>
              <w:t> </w:t>
            </w:r>
            <w:r>
              <w:rPr>
                <w:sz w:val="16"/>
                <w:u w:val="dotted" w:color="929292"/>
              </w:rPr>
              <w:tab/>
            </w:r>
          </w:p>
        </w:tc>
        <w:tc>
          <w:tcPr>
            <w:tcW w:w="1030" w:type="dxa"/>
            <w:tcBorders>
              <w:top w:val="nil"/>
              <w:bottom w:val="nil"/>
            </w:tcBorders>
          </w:tcPr>
          <w:p>
            <w:pPr>
              <w:pStyle w:val="TableParagraph"/>
              <w:tabs>
                <w:tab w:pos="1009" w:val="left" w:leader="none"/>
              </w:tabs>
              <w:ind w:left="25"/>
              <w:rPr>
                <w:sz w:val="16"/>
              </w:rPr>
            </w:pPr>
            <w:r>
              <w:rPr>
                <w:w w:val="100"/>
                <w:sz w:val="16"/>
                <w:u w:val="dotted" w:color="929292"/>
              </w:rPr>
              <w:t> </w:t>
            </w:r>
            <w:r>
              <w:rPr>
                <w:sz w:val="16"/>
                <w:u w:val="dotted" w:color="929292"/>
              </w:rPr>
              <w:tab/>
            </w:r>
          </w:p>
        </w:tc>
        <w:tc>
          <w:tcPr>
            <w:tcW w:w="1117" w:type="dxa"/>
            <w:tcBorders>
              <w:top w:val="nil"/>
              <w:bottom w:val="nil"/>
            </w:tcBorders>
          </w:tcPr>
          <w:p>
            <w:pPr>
              <w:pStyle w:val="TableParagraph"/>
              <w:tabs>
                <w:tab w:pos="1096" w:val="left" w:leader="none"/>
              </w:tabs>
              <w:ind w:left="25"/>
              <w:rPr>
                <w:sz w:val="16"/>
              </w:rPr>
            </w:pPr>
            <w:r>
              <w:rPr>
                <w:w w:val="100"/>
                <w:sz w:val="16"/>
                <w:u w:val="dotted" w:color="929292"/>
              </w:rPr>
              <w:t> </w:t>
            </w:r>
            <w:r>
              <w:rPr>
                <w:sz w:val="16"/>
                <w:u w:val="dotted" w:color="929292"/>
              </w:rPr>
              <w:tab/>
            </w:r>
          </w:p>
        </w:tc>
        <w:tc>
          <w:tcPr>
            <w:tcW w:w="667" w:type="dxa"/>
            <w:tcBorders>
              <w:top w:val="nil"/>
              <w:bottom w:val="nil"/>
            </w:tcBorders>
          </w:tcPr>
          <w:p>
            <w:pPr>
              <w:pStyle w:val="TableParagraph"/>
              <w:tabs>
                <w:tab w:pos="621" w:val="left" w:leader="none"/>
              </w:tabs>
              <w:ind w:right="8"/>
              <w:jc w:val="right"/>
              <w:rPr>
                <w:sz w:val="16"/>
              </w:rPr>
            </w:pPr>
            <w:r>
              <w:rPr>
                <w:w w:val="100"/>
                <w:sz w:val="16"/>
                <w:u w:val="dotted" w:color="929292"/>
              </w:rPr>
              <w:t> </w:t>
            </w:r>
            <w:r>
              <w:rPr>
                <w:sz w:val="16"/>
                <w:u w:val="dotted" w:color="929292"/>
              </w:rPr>
              <w:tab/>
            </w:r>
          </w:p>
        </w:tc>
        <w:tc>
          <w:tcPr>
            <w:tcW w:w="707" w:type="dxa"/>
            <w:tcBorders>
              <w:top w:val="nil"/>
              <w:bottom w:val="nil"/>
              <w:right w:val="nil"/>
            </w:tcBorders>
          </w:tcPr>
          <w:p>
            <w:pPr>
              <w:pStyle w:val="TableParagraph"/>
              <w:tabs>
                <w:tab w:pos="701" w:val="left" w:leader="none"/>
              </w:tabs>
              <w:ind w:left="25"/>
              <w:rPr>
                <w:sz w:val="16"/>
              </w:rPr>
            </w:pPr>
            <w:r>
              <w:rPr>
                <w:w w:val="100"/>
                <w:sz w:val="16"/>
                <w:u w:val="dotted" w:color="929292"/>
              </w:rPr>
              <w:t> </w:t>
            </w:r>
            <w:r>
              <w:rPr>
                <w:sz w:val="16"/>
                <w:u w:val="dotted" w:color="929292"/>
              </w:rPr>
              <w:tab/>
            </w:r>
          </w:p>
        </w:tc>
      </w:tr>
      <w:tr>
        <w:trPr>
          <w:trHeight w:val="185" w:hRule="exact"/>
        </w:trPr>
        <w:tc>
          <w:tcPr>
            <w:tcW w:w="1303" w:type="dxa"/>
            <w:tcBorders>
              <w:top w:val="nil"/>
              <w:left w:val="nil"/>
              <w:bottom w:val="nil"/>
            </w:tcBorders>
          </w:tcPr>
          <w:p>
            <w:pPr>
              <w:pStyle w:val="TableParagraph"/>
              <w:spacing w:line="170" w:lineRule="exact"/>
              <w:ind w:left="72"/>
              <w:rPr>
                <w:sz w:val="16"/>
              </w:rPr>
            </w:pPr>
            <w:r>
              <w:rPr>
                <w:sz w:val="16"/>
              </w:rPr>
              <w:t>Dispersión</w:t>
            </w:r>
          </w:p>
        </w:tc>
        <w:tc>
          <w:tcPr>
            <w:tcW w:w="1067" w:type="dxa"/>
            <w:tcBorders>
              <w:top w:val="nil"/>
              <w:bottom w:val="nil"/>
            </w:tcBorders>
          </w:tcPr>
          <w:p>
            <w:pPr>
              <w:pStyle w:val="TableParagraph"/>
              <w:spacing w:line="170" w:lineRule="exact"/>
              <w:ind w:left="102"/>
              <w:rPr>
                <w:sz w:val="16"/>
              </w:rPr>
            </w:pPr>
            <w:r>
              <w:rPr>
                <w:sz w:val="16"/>
              </w:rPr>
              <w:t>173</w:t>
            </w:r>
          </w:p>
        </w:tc>
        <w:tc>
          <w:tcPr>
            <w:tcW w:w="1117" w:type="dxa"/>
            <w:tcBorders>
              <w:top w:val="nil"/>
              <w:bottom w:val="nil"/>
            </w:tcBorders>
          </w:tcPr>
          <w:p>
            <w:pPr>
              <w:pStyle w:val="TableParagraph"/>
              <w:spacing w:line="170" w:lineRule="exact"/>
              <w:ind w:left="103"/>
              <w:rPr>
                <w:sz w:val="16"/>
              </w:rPr>
            </w:pPr>
            <w:r>
              <w:rPr>
                <w:sz w:val="16"/>
              </w:rPr>
              <w:t>2,623,662</w:t>
            </w:r>
          </w:p>
        </w:tc>
        <w:tc>
          <w:tcPr>
            <w:tcW w:w="667" w:type="dxa"/>
            <w:tcBorders>
              <w:top w:val="nil"/>
              <w:bottom w:val="nil"/>
            </w:tcBorders>
          </w:tcPr>
          <w:p>
            <w:pPr>
              <w:pStyle w:val="TableParagraph"/>
              <w:spacing w:line="170" w:lineRule="exact"/>
              <w:ind w:left="102"/>
              <w:rPr>
                <w:sz w:val="16"/>
              </w:rPr>
            </w:pPr>
            <w:r>
              <w:rPr>
                <w:sz w:val="16"/>
              </w:rPr>
              <w:t>7.97</w:t>
            </w:r>
          </w:p>
        </w:tc>
        <w:tc>
          <w:tcPr>
            <w:tcW w:w="1030" w:type="dxa"/>
            <w:tcBorders>
              <w:top w:val="nil"/>
              <w:bottom w:val="nil"/>
            </w:tcBorders>
          </w:tcPr>
          <w:p>
            <w:pPr>
              <w:pStyle w:val="TableParagraph"/>
              <w:spacing w:line="170" w:lineRule="exact"/>
              <w:ind w:left="103"/>
              <w:rPr>
                <w:sz w:val="16"/>
              </w:rPr>
            </w:pPr>
            <w:r>
              <w:rPr>
                <w:sz w:val="16"/>
              </w:rPr>
              <w:t>175</w:t>
            </w:r>
          </w:p>
        </w:tc>
        <w:tc>
          <w:tcPr>
            <w:tcW w:w="1117" w:type="dxa"/>
            <w:tcBorders>
              <w:top w:val="nil"/>
              <w:bottom w:val="nil"/>
            </w:tcBorders>
          </w:tcPr>
          <w:p>
            <w:pPr>
              <w:pStyle w:val="TableParagraph"/>
              <w:spacing w:line="170" w:lineRule="exact"/>
              <w:ind w:left="102"/>
              <w:rPr>
                <w:sz w:val="16"/>
              </w:rPr>
            </w:pPr>
            <w:r>
              <w:rPr>
                <w:sz w:val="16"/>
              </w:rPr>
              <w:t>3,400,050</w:t>
            </w:r>
          </w:p>
        </w:tc>
        <w:tc>
          <w:tcPr>
            <w:tcW w:w="667" w:type="dxa"/>
            <w:tcBorders>
              <w:top w:val="nil"/>
              <w:bottom w:val="nil"/>
            </w:tcBorders>
          </w:tcPr>
          <w:p>
            <w:pPr>
              <w:pStyle w:val="TableParagraph"/>
              <w:spacing w:line="170" w:lineRule="exact"/>
              <w:ind w:left="102"/>
              <w:rPr>
                <w:sz w:val="16"/>
              </w:rPr>
            </w:pPr>
            <w:r>
              <w:rPr>
                <w:sz w:val="16"/>
              </w:rPr>
              <w:t>9.13</w:t>
            </w:r>
          </w:p>
        </w:tc>
        <w:tc>
          <w:tcPr>
            <w:tcW w:w="707" w:type="dxa"/>
            <w:tcBorders>
              <w:top w:val="nil"/>
              <w:bottom w:val="nil"/>
              <w:right w:val="nil"/>
            </w:tcBorders>
          </w:tcPr>
          <w:p>
            <w:pPr>
              <w:pStyle w:val="TableParagraph"/>
              <w:spacing w:line="170" w:lineRule="exact"/>
              <w:ind w:left="102"/>
              <w:rPr>
                <w:sz w:val="16"/>
              </w:rPr>
            </w:pPr>
            <w:r>
              <w:rPr>
                <w:sz w:val="16"/>
              </w:rPr>
              <w:t>2.65</w:t>
            </w:r>
          </w:p>
        </w:tc>
      </w:tr>
      <w:tr>
        <w:trPr>
          <w:trHeight w:val="258" w:hRule="exact"/>
        </w:trPr>
        <w:tc>
          <w:tcPr>
            <w:tcW w:w="1303" w:type="dxa"/>
            <w:tcBorders>
              <w:top w:val="nil"/>
              <w:left w:val="nil"/>
            </w:tcBorders>
          </w:tcPr>
          <w:p>
            <w:pPr>
              <w:pStyle w:val="TableParagraph"/>
              <w:ind w:left="72"/>
              <w:rPr>
                <w:sz w:val="16"/>
              </w:rPr>
            </w:pPr>
            <w:r>
              <w:rPr>
                <w:sz w:val="16"/>
              </w:rPr>
              <w:t>rural-urbana</w:t>
            </w:r>
          </w:p>
        </w:tc>
        <w:tc>
          <w:tcPr>
            <w:tcW w:w="1067" w:type="dxa"/>
            <w:tcBorders>
              <w:top w:val="nil"/>
            </w:tcBorders>
          </w:tcPr>
          <w:p>
            <w:pPr/>
          </w:p>
        </w:tc>
        <w:tc>
          <w:tcPr>
            <w:tcW w:w="1117" w:type="dxa"/>
            <w:tcBorders>
              <w:top w:val="nil"/>
            </w:tcBorders>
          </w:tcPr>
          <w:p>
            <w:pPr/>
          </w:p>
        </w:tc>
        <w:tc>
          <w:tcPr>
            <w:tcW w:w="667" w:type="dxa"/>
            <w:tcBorders>
              <w:top w:val="nil"/>
            </w:tcBorders>
          </w:tcPr>
          <w:p>
            <w:pPr/>
          </w:p>
        </w:tc>
        <w:tc>
          <w:tcPr>
            <w:tcW w:w="1030" w:type="dxa"/>
            <w:tcBorders>
              <w:top w:val="nil"/>
            </w:tcBorders>
          </w:tcPr>
          <w:p>
            <w:pPr/>
          </w:p>
        </w:tc>
        <w:tc>
          <w:tcPr>
            <w:tcW w:w="1117" w:type="dxa"/>
            <w:tcBorders>
              <w:top w:val="nil"/>
            </w:tcBorders>
          </w:tcPr>
          <w:p>
            <w:pPr/>
          </w:p>
        </w:tc>
        <w:tc>
          <w:tcPr>
            <w:tcW w:w="667" w:type="dxa"/>
            <w:tcBorders>
              <w:top w:val="nil"/>
            </w:tcBorders>
          </w:tcPr>
          <w:p>
            <w:pPr/>
          </w:p>
        </w:tc>
        <w:tc>
          <w:tcPr>
            <w:tcW w:w="707" w:type="dxa"/>
            <w:tcBorders>
              <w:top w:val="nil"/>
              <w:right w:val="nil"/>
            </w:tcBorders>
          </w:tcPr>
          <w:p>
            <w:pPr/>
          </w:p>
        </w:tc>
      </w:tr>
      <w:tr>
        <w:trPr>
          <w:trHeight w:val="300" w:hRule="exact"/>
        </w:trPr>
        <w:tc>
          <w:tcPr>
            <w:tcW w:w="1303" w:type="dxa"/>
            <w:tcBorders>
              <w:left w:val="nil"/>
            </w:tcBorders>
          </w:tcPr>
          <w:p>
            <w:pPr>
              <w:pStyle w:val="TableParagraph"/>
              <w:spacing w:line="171" w:lineRule="exact"/>
              <w:ind w:left="72"/>
              <w:rPr>
                <w:sz w:val="16"/>
              </w:rPr>
            </w:pPr>
            <w:r>
              <w:rPr>
                <w:sz w:val="16"/>
              </w:rPr>
              <w:t>Alta dispersión</w:t>
            </w:r>
          </w:p>
        </w:tc>
        <w:tc>
          <w:tcPr>
            <w:tcW w:w="1067" w:type="dxa"/>
          </w:tcPr>
          <w:p>
            <w:pPr>
              <w:pStyle w:val="TableParagraph"/>
              <w:spacing w:line="171" w:lineRule="exact"/>
              <w:ind w:left="102"/>
              <w:rPr>
                <w:sz w:val="16"/>
              </w:rPr>
            </w:pPr>
            <w:r>
              <w:rPr>
                <w:sz w:val="16"/>
              </w:rPr>
              <w:t>247</w:t>
            </w:r>
          </w:p>
        </w:tc>
        <w:tc>
          <w:tcPr>
            <w:tcW w:w="1117" w:type="dxa"/>
          </w:tcPr>
          <w:p>
            <w:pPr>
              <w:pStyle w:val="TableParagraph"/>
              <w:spacing w:line="171" w:lineRule="exact"/>
              <w:ind w:left="103"/>
              <w:rPr>
                <w:sz w:val="16"/>
              </w:rPr>
            </w:pPr>
            <w:r>
              <w:rPr>
                <w:sz w:val="16"/>
              </w:rPr>
              <w:t>4,141,972</w:t>
            </w:r>
          </w:p>
        </w:tc>
        <w:tc>
          <w:tcPr>
            <w:tcW w:w="667" w:type="dxa"/>
          </w:tcPr>
          <w:p>
            <w:pPr>
              <w:pStyle w:val="TableParagraph"/>
              <w:spacing w:line="171" w:lineRule="exact"/>
              <w:ind w:left="102"/>
              <w:rPr>
                <w:sz w:val="16"/>
              </w:rPr>
            </w:pPr>
            <w:r>
              <w:rPr>
                <w:sz w:val="16"/>
              </w:rPr>
              <w:t>12.58</w:t>
            </w:r>
          </w:p>
        </w:tc>
        <w:tc>
          <w:tcPr>
            <w:tcW w:w="1030" w:type="dxa"/>
          </w:tcPr>
          <w:p>
            <w:pPr>
              <w:pStyle w:val="TableParagraph"/>
              <w:spacing w:line="171" w:lineRule="exact"/>
              <w:ind w:left="103"/>
              <w:rPr>
                <w:sz w:val="16"/>
              </w:rPr>
            </w:pPr>
            <w:r>
              <w:rPr>
                <w:sz w:val="16"/>
              </w:rPr>
              <w:t>235</w:t>
            </w:r>
          </w:p>
        </w:tc>
        <w:tc>
          <w:tcPr>
            <w:tcW w:w="1117" w:type="dxa"/>
          </w:tcPr>
          <w:p>
            <w:pPr>
              <w:pStyle w:val="TableParagraph"/>
              <w:spacing w:line="171" w:lineRule="exact"/>
              <w:ind w:left="102"/>
              <w:rPr>
                <w:sz w:val="16"/>
              </w:rPr>
            </w:pPr>
            <w:r>
              <w:rPr>
                <w:sz w:val="16"/>
              </w:rPr>
              <w:t>4,010,195</w:t>
            </w:r>
          </w:p>
        </w:tc>
        <w:tc>
          <w:tcPr>
            <w:tcW w:w="667" w:type="dxa"/>
          </w:tcPr>
          <w:p>
            <w:pPr>
              <w:pStyle w:val="TableParagraph"/>
              <w:spacing w:line="171" w:lineRule="exact"/>
              <w:ind w:left="102"/>
              <w:rPr>
                <w:sz w:val="16"/>
              </w:rPr>
            </w:pPr>
            <w:r>
              <w:rPr>
                <w:sz w:val="16"/>
              </w:rPr>
              <w:t>10.77</w:t>
            </w:r>
          </w:p>
        </w:tc>
        <w:tc>
          <w:tcPr>
            <w:tcW w:w="707" w:type="dxa"/>
            <w:tcBorders>
              <w:right w:val="nil"/>
            </w:tcBorders>
          </w:tcPr>
          <w:p>
            <w:pPr>
              <w:pStyle w:val="TableParagraph"/>
              <w:spacing w:line="171" w:lineRule="exact"/>
              <w:ind w:left="102"/>
              <w:rPr>
                <w:sz w:val="16"/>
              </w:rPr>
            </w:pPr>
            <w:r>
              <w:rPr>
                <w:sz w:val="16"/>
              </w:rPr>
              <w:t>-0.33</w:t>
            </w:r>
          </w:p>
        </w:tc>
      </w:tr>
      <w:tr>
        <w:trPr>
          <w:trHeight w:val="300" w:hRule="exact"/>
        </w:trPr>
        <w:tc>
          <w:tcPr>
            <w:tcW w:w="1303" w:type="dxa"/>
            <w:tcBorders>
              <w:left w:val="nil"/>
            </w:tcBorders>
          </w:tcPr>
          <w:p>
            <w:pPr>
              <w:pStyle w:val="TableParagraph"/>
              <w:spacing w:line="171" w:lineRule="exact"/>
              <w:ind w:left="72"/>
              <w:rPr>
                <w:sz w:val="16"/>
              </w:rPr>
            </w:pPr>
            <w:r>
              <w:rPr>
                <w:sz w:val="16"/>
              </w:rPr>
              <w:t>Total</w:t>
            </w:r>
          </w:p>
        </w:tc>
        <w:tc>
          <w:tcPr>
            <w:tcW w:w="1067" w:type="dxa"/>
          </w:tcPr>
          <w:p>
            <w:pPr>
              <w:pStyle w:val="TableParagraph"/>
              <w:spacing w:line="171" w:lineRule="exact"/>
              <w:ind w:left="102"/>
              <w:rPr>
                <w:sz w:val="16"/>
              </w:rPr>
            </w:pPr>
            <w:r>
              <w:rPr>
                <w:sz w:val="16"/>
              </w:rPr>
              <w:t>550</w:t>
            </w:r>
          </w:p>
        </w:tc>
        <w:tc>
          <w:tcPr>
            <w:tcW w:w="1117" w:type="dxa"/>
          </w:tcPr>
          <w:p>
            <w:pPr>
              <w:pStyle w:val="TableParagraph"/>
              <w:spacing w:line="171" w:lineRule="exact"/>
              <w:ind w:left="103"/>
              <w:rPr>
                <w:sz w:val="16"/>
              </w:rPr>
            </w:pPr>
            <w:r>
              <w:rPr>
                <w:sz w:val="16"/>
              </w:rPr>
              <w:t>32,936,450</w:t>
            </w:r>
          </w:p>
        </w:tc>
        <w:tc>
          <w:tcPr>
            <w:tcW w:w="667" w:type="dxa"/>
          </w:tcPr>
          <w:p>
            <w:pPr>
              <w:pStyle w:val="TableParagraph"/>
              <w:spacing w:line="171" w:lineRule="exact"/>
              <w:ind w:left="102"/>
              <w:rPr>
                <w:sz w:val="16"/>
              </w:rPr>
            </w:pPr>
            <w:r>
              <w:rPr>
                <w:sz w:val="16"/>
              </w:rPr>
              <w:t>100</w:t>
            </w:r>
          </w:p>
        </w:tc>
        <w:tc>
          <w:tcPr>
            <w:tcW w:w="1030" w:type="dxa"/>
          </w:tcPr>
          <w:p>
            <w:pPr>
              <w:pStyle w:val="TableParagraph"/>
              <w:spacing w:line="171" w:lineRule="exact"/>
              <w:ind w:left="103"/>
              <w:rPr>
                <w:sz w:val="16"/>
              </w:rPr>
            </w:pPr>
            <w:r>
              <w:rPr>
                <w:sz w:val="16"/>
              </w:rPr>
              <w:t>553</w:t>
            </w:r>
          </w:p>
        </w:tc>
        <w:tc>
          <w:tcPr>
            <w:tcW w:w="1117" w:type="dxa"/>
          </w:tcPr>
          <w:p>
            <w:pPr>
              <w:pStyle w:val="TableParagraph"/>
              <w:spacing w:line="171" w:lineRule="exact"/>
              <w:ind w:left="102"/>
              <w:rPr>
                <w:sz w:val="16"/>
              </w:rPr>
            </w:pPr>
            <w:r>
              <w:rPr>
                <w:sz w:val="16"/>
              </w:rPr>
              <w:t>37,246,889</w:t>
            </w:r>
          </w:p>
        </w:tc>
        <w:tc>
          <w:tcPr>
            <w:tcW w:w="667" w:type="dxa"/>
          </w:tcPr>
          <w:p>
            <w:pPr>
              <w:pStyle w:val="TableParagraph"/>
              <w:spacing w:line="171" w:lineRule="exact"/>
              <w:ind w:left="102"/>
              <w:rPr>
                <w:sz w:val="16"/>
              </w:rPr>
            </w:pPr>
            <w:r>
              <w:rPr>
                <w:sz w:val="16"/>
              </w:rPr>
              <w:t>100</w:t>
            </w:r>
          </w:p>
        </w:tc>
        <w:tc>
          <w:tcPr>
            <w:tcW w:w="707" w:type="dxa"/>
            <w:tcBorders>
              <w:right w:val="nil"/>
            </w:tcBorders>
          </w:tcPr>
          <w:p>
            <w:pPr>
              <w:pStyle w:val="TableParagraph"/>
              <w:spacing w:line="171" w:lineRule="exact"/>
              <w:ind w:left="102"/>
              <w:rPr>
                <w:sz w:val="16"/>
              </w:rPr>
            </w:pPr>
            <w:r>
              <w:rPr>
                <w:sz w:val="16"/>
              </w:rPr>
              <w:t>1.25</w:t>
            </w:r>
          </w:p>
        </w:tc>
      </w:tr>
    </w:tbl>
    <w:p>
      <w:pPr>
        <w:pStyle w:val="BodyText"/>
        <w:spacing w:before="3"/>
        <w:rPr>
          <w:sz w:val="15"/>
        </w:rPr>
      </w:pPr>
    </w:p>
    <w:p>
      <w:pPr>
        <w:spacing w:before="0"/>
        <w:ind w:left="294" w:right="296" w:firstLine="0"/>
        <w:jc w:val="center"/>
        <w:rPr>
          <w:sz w:val="16"/>
        </w:rPr>
      </w:pPr>
      <w:r>
        <w:rPr>
          <w:color w:val="6D6E71"/>
          <w:sz w:val="16"/>
        </w:rPr>
        <w:t>Fuente: Elaboración propia con base en INEGI-ITER 2000 y 2010.</w:t>
      </w:r>
    </w:p>
    <w:p>
      <w:pPr>
        <w:pStyle w:val="BodyText"/>
        <w:spacing w:before="5"/>
        <w:rPr>
          <w:sz w:val="22"/>
        </w:rPr>
      </w:pPr>
    </w:p>
    <w:p>
      <w:pPr>
        <w:pStyle w:val="BodyText"/>
        <w:spacing w:line="249" w:lineRule="auto"/>
        <w:ind w:left="125" w:right="127" w:firstLine="170"/>
        <w:jc w:val="both"/>
      </w:pPr>
      <w:r>
        <w:rPr/>
        <w:t>La distribución de la población en la Región Centro de México según las categorías definidas en la primera década del siglo XXI, en el ámbito geográfico agregado da cuenta de “alta concentración” de la población (73.58% en 2000 y 71.59% en 2010) y también destaca la “alta dispersión” (12.58% en 2000 y 10.77% en 2010), las otras dos categorías tienen magnitudes menores pero reportan tasas mayores de crecimiento durante el período y por arriba del comportamiento de la región. Ello puede ser representativo a este nivel de agregación de descentralización urbana que se ratifica con la baja dinámica de la primera categoría “alta concentración”. Tal proceso será analizado con mayor detalle intrarregional a continuación.</w:t>
      </w:r>
    </w:p>
    <w:p>
      <w:pPr>
        <w:spacing w:after="0" w:line="249" w:lineRule="auto"/>
        <w:jc w:val="both"/>
        <w:sectPr>
          <w:type w:val="continuous"/>
          <w:pgSz w:w="18830" w:h="12760" w:orient="landscape"/>
          <w:pgMar w:top="1420" w:bottom="280" w:left="720" w:right="720"/>
          <w:cols w:num="2" w:equalWidth="0">
            <w:col w:w="7837" w:space="1578"/>
            <w:col w:w="7975"/>
          </w:cols>
        </w:sectPr>
      </w:pPr>
    </w:p>
    <w:p>
      <w:pPr>
        <w:pStyle w:val="BodyText"/>
        <w:spacing w:before="6"/>
        <w:rPr>
          <w:sz w:val="23"/>
        </w:rPr>
      </w:pPr>
    </w:p>
    <w:p>
      <w:pPr>
        <w:spacing w:after="0"/>
        <w:rPr>
          <w:sz w:val="23"/>
        </w:rPr>
        <w:sectPr>
          <w:footerReference w:type="default" r:id="rId383"/>
          <w:pgSz w:w="18830" w:h="12760" w:orient="landscape"/>
          <w:pgMar w:footer="1036" w:header="522" w:top="820" w:bottom="1220" w:left="720" w:right="720"/>
        </w:sectPr>
      </w:pPr>
    </w:p>
    <w:p>
      <w:pPr>
        <w:pStyle w:val="BodyText"/>
        <w:spacing w:line="249" w:lineRule="auto" w:before="76"/>
        <w:ind w:left="130" w:firstLine="170"/>
        <w:jc w:val="both"/>
      </w:pPr>
      <w:r>
        <w:rPr/>
        <w:t>El examen detallado de las cuatro categorías de distribución de la población en la región centro, considerando el nivel municipal es como sigue (Cuadro 1 y Figuras 1-2):</w:t>
      </w:r>
    </w:p>
    <w:p>
      <w:pPr>
        <w:pStyle w:val="BodyText"/>
        <w:spacing w:before="10"/>
      </w:pPr>
    </w:p>
    <w:p>
      <w:pPr>
        <w:pStyle w:val="ListParagraph"/>
        <w:numPr>
          <w:ilvl w:val="0"/>
          <w:numId w:val="43"/>
        </w:numPr>
        <w:tabs>
          <w:tab w:pos="661" w:val="left" w:leader="none"/>
        </w:tabs>
        <w:spacing w:line="249" w:lineRule="auto" w:before="1" w:after="0"/>
        <w:ind w:left="660" w:right="0" w:hanging="360"/>
        <w:jc w:val="both"/>
        <w:rPr>
          <w:sz w:val="20"/>
        </w:rPr>
      </w:pPr>
      <w:r>
        <w:rPr>
          <w:sz w:val="20"/>
        </w:rPr>
        <w:t>El patrón de distribución con mayor predominancia en 2000 es el de “alta dispersión” de población, presente en 247 municipios de un total de 550, lo cual revela que el territorio se está poblando con nuevas localidades de carácter rural (Mapa 1). Para 2010, disminuye en 12 municipios; indicando un ligero cambio en los patrones de distribución de la población en la región (figura</w:t>
      </w:r>
      <w:r>
        <w:rPr>
          <w:spacing w:val="44"/>
          <w:sz w:val="20"/>
        </w:rPr>
        <w:t> </w:t>
      </w:r>
      <w:r>
        <w:rPr>
          <w:sz w:val="20"/>
        </w:rPr>
        <w:t>2).</w:t>
      </w:r>
    </w:p>
    <w:p>
      <w:pPr>
        <w:pStyle w:val="ListParagraph"/>
        <w:numPr>
          <w:ilvl w:val="0"/>
          <w:numId w:val="43"/>
        </w:numPr>
        <w:tabs>
          <w:tab w:pos="661" w:val="left" w:leader="none"/>
        </w:tabs>
        <w:spacing w:line="249" w:lineRule="auto" w:before="1" w:after="0"/>
        <w:ind w:left="660" w:right="0" w:hanging="360"/>
        <w:jc w:val="both"/>
        <w:rPr>
          <w:sz w:val="20"/>
        </w:rPr>
      </w:pPr>
      <w:r>
        <w:rPr>
          <w:sz w:val="20"/>
        </w:rPr>
        <w:t>La categoría que ocupa el segundo lugar en 2000 es la de “dispersión rural- urbana” se presenta en 173 municipios de 550, en 2010, aumenta en dos municipios esta categoría. Se trata de poblamiento en transición hacia formación urbana y puede tratarse de procesos de periurbanización y suburbanización ya que se encuentra localizado junto a municipios de muy alta concentración de la Región.</w:t>
      </w:r>
    </w:p>
    <w:p>
      <w:pPr>
        <w:pStyle w:val="ListParagraph"/>
        <w:numPr>
          <w:ilvl w:val="0"/>
          <w:numId w:val="43"/>
        </w:numPr>
        <w:tabs>
          <w:tab w:pos="661" w:val="left" w:leader="none"/>
        </w:tabs>
        <w:spacing w:line="249" w:lineRule="auto" w:before="1" w:after="0"/>
        <w:ind w:left="660" w:right="0" w:hanging="360"/>
        <w:jc w:val="both"/>
        <w:rPr>
          <w:sz w:val="20"/>
        </w:rPr>
      </w:pPr>
      <w:r>
        <w:rPr>
          <w:sz w:val="20"/>
        </w:rPr>
        <w:t>En tercer lugar la categoría de “alta concentración”, en 2000 se presenta en    101 municipios de 550, corresponde con algunas zonas metropolitanas (Valle   de México, Toluca, Puebla-Tlaxcala, Cuernavaca, Querétaro y Pachuca) y otras 54 localidades mayores de 50 mil habitantes. En 2010, se encuentra en 102 municipios y aumentan 8 ciudades más. Tal situación indica la emergencia de nuevos núcleos urbanos en la región y otros aumentan de magnitud y con ello importancia.</w:t>
      </w:r>
    </w:p>
    <w:p>
      <w:pPr>
        <w:pStyle w:val="ListParagraph"/>
        <w:numPr>
          <w:ilvl w:val="0"/>
          <w:numId w:val="43"/>
        </w:numPr>
        <w:tabs>
          <w:tab w:pos="661" w:val="left" w:leader="none"/>
        </w:tabs>
        <w:spacing w:line="249" w:lineRule="auto" w:before="1" w:after="0"/>
        <w:ind w:left="660" w:right="0" w:hanging="360"/>
        <w:jc w:val="both"/>
        <w:rPr>
          <w:sz w:val="20"/>
        </w:rPr>
      </w:pPr>
      <w:r>
        <w:rPr>
          <w:sz w:val="20"/>
        </w:rPr>
        <w:t>En cuarto lugar se ubica la categoría “concentración” presente en 29 municipios de 550, y para 2010, aumenta en 12 municipios, indicando que en 10 años para este patrón de comportamiento, se convirtió en el de mayor crecimiento en la región. Son localidades que se van convirtiendo en urbanas, con una fase de transición hacia la mayor concentración o consolidación en su </w:t>
      </w:r>
      <w:r>
        <w:rPr>
          <w:spacing w:val="11"/>
          <w:sz w:val="20"/>
        </w:rPr>
        <w:t> </w:t>
      </w:r>
      <w:r>
        <w:rPr>
          <w:sz w:val="20"/>
        </w:rPr>
        <w:t>escala.</w:t>
      </w:r>
    </w:p>
    <w:p>
      <w:pPr>
        <w:pStyle w:val="BodyText"/>
        <w:spacing w:before="11"/>
      </w:pPr>
    </w:p>
    <w:p>
      <w:pPr>
        <w:pStyle w:val="BodyText"/>
        <w:spacing w:line="249" w:lineRule="auto"/>
        <w:ind w:left="130" w:firstLine="170"/>
        <w:jc w:val="both"/>
      </w:pPr>
      <w:r>
        <w:rPr/>
        <w:t>En la Región Centro de México, con base en la distribución de la población por categorías se distinguen las siguientes estructuras territoriales: polo metropolitano, región urbana, policentrismo y redes urbanas.</w:t>
      </w:r>
    </w:p>
    <w:p>
      <w:pPr>
        <w:pStyle w:val="BodyText"/>
        <w:spacing w:before="11"/>
      </w:pPr>
    </w:p>
    <w:p>
      <w:pPr>
        <w:pStyle w:val="ListParagraph"/>
        <w:numPr>
          <w:ilvl w:val="0"/>
          <w:numId w:val="44"/>
        </w:numPr>
        <w:tabs>
          <w:tab w:pos="661" w:val="left" w:leader="none"/>
        </w:tabs>
        <w:spacing w:line="249" w:lineRule="auto" w:before="0" w:after="0"/>
        <w:ind w:left="660" w:right="0" w:hanging="360"/>
        <w:jc w:val="both"/>
        <w:rPr>
          <w:sz w:val="20"/>
        </w:rPr>
      </w:pPr>
      <w:r>
        <w:rPr>
          <w:sz w:val="20"/>
        </w:rPr>
        <w:t>Polos</w:t>
      </w:r>
      <w:r>
        <w:rPr>
          <w:spacing w:val="-14"/>
          <w:sz w:val="20"/>
        </w:rPr>
        <w:t> </w:t>
      </w:r>
      <w:r>
        <w:rPr>
          <w:sz w:val="20"/>
        </w:rPr>
        <w:t>metropolitanos.</w:t>
      </w:r>
      <w:r>
        <w:rPr>
          <w:spacing w:val="-14"/>
          <w:sz w:val="20"/>
        </w:rPr>
        <w:t> </w:t>
      </w:r>
      <w:r>
        <w:rPr>
          <w:sz w:val="20"/>
        </w:rPr>
        <w:t>El</w:t>
      </w:r>
      <w:r>
        <w:rPr>
          <w:spacing w:val="-14"/>
          <w:sz w:val="20"/>
        </w:rPr>
        <w:t> </w:t>
      </w:r>
      <w:r>
        <w:rPr>
          <w:sz w:val="20"/>
        </w:rPr>
        <w:t>primer</w:t>
      </w:r>
      <w:r>
        <w:rPr>
          <w:spacing w:val="-14"/>
          <w:sz w:val="20"/>
        </w:rPr>
        <w:t> </w:t>
      </w:r>
      <w:r>
        <w:rPr>
          <w:sz w:val="20"/>
        </w:rPr>
        <w:t>polo</w:t>
      </w:r>
      <w:r>
        <w:rPr>
          <w:spacing w:val="-14"/>
          <w:sz w:val="20"/>
        </w:rPr>
        <w:t> </w:t>
      </w:r>
      <w:r>
        <w:rPr>
          <w:sz w:val="20"/>
        </w:rPr>
        <w:t>lo</w:t>
      </w:r>
      <w:r>
        <w:rPr>
          <w:spacing w:val="-14"/>
          <w:sz w:val="20"/>
        </w:rPr>
        <w:t> </w:t>
      </w:r>
      <w:r>
        <w:rPr>
          <w:sz w:val="20"/>
        </w:rPr>
        <w:t>constituye</w:t>
      </w:r>
      <w:r>
        <w:rPr>
          <w:spacing w:val="-14"/>
          <w:sz w:val="20"/>
        </w:rPr>
        <w:t> </w:t>
      </w:r>
      <w:r>
        <w:rPr>
          <w:sz w:val="20"/>
        </w:rPr>
        <w:t>la</w:t>
      </w:r>
      <w:r>
        <w:rPr>
          <w:spacing w:val="-14"/>
          <w:sz w:val="20"/>
        </w:rPr>
        <w:t> </w:t>
      </w:r>
      <w:r>
        <w:rPr>
          <w:sz w:val="20"/>
        </w:rPr>
        <w:t>Ciudad</w:t>
      </w:r>
      <w:r>
        <w:rPr>
          <w:spacing w:val="-14"/>
          <w:sz w:val="20"/>
        </w:rPr>
        <w:t> </w:t>
      </w:r>
      <w:r>
        <w:rPr>
          <w:sz w:val="20"/>
        </w:rPr>
        <w:t>de</w:t>
      </w:r>
      <w:r>
        <w:rPr>
          <w:spacing w:val="-14"/>
          <w:sz w:val="20"/>
        </w:rPr>
        <w:t> </w:t>
      </w:r>
      <w:r>
        <w:rPr>
          <w:sz w:val="20"/>
        </w:rPr>
        <w:t>México,</w:t>
      </w:r>
      <w:r>
        <w:rPr>
          <w:spacing w:val="-14"/>
          <w:sz w:val="20"/>
        </w:rPr>
        <w:t> </w:t>
      </w:r>
      <w:r>
        <w:rPr>
          <w:sz w:val="20"/>
        </w:rPr>
        <w:t>ubicado</w:t>
      </w:r>
      <w:r>
        <w:rPr>
          <w:spacing w:val="-14"/>
          <w:sz w:val="20"/>
        </w:rPr>
        <w:t> </w:t>
      </w:r>
      <w:r>
        <w:rPr>
          <w:sz w:val="20"/>
        </w:rPr>
        <w:t>en la</w:t>
      </w:r>
      <w:r>
        <w:rPr>
          <w:spacing w:val="-10"/>
          <w:sz w:val="20"/>
        </w:rPr>
        <w:t> </w:t>
      </w:r>
      <w:r>
        <w:rPr>
          <w:sz w:val="20"/>
        </w:rPr>
        <w:t>parte</w:t>
      </w:r>
      <w:r>
        <w:rPr>
          <w:spacing w:val="-10"/>
          <w:sz w:val="20"/>
        </w:rPr>
        <w:t> </w:t>
      </w:r>
      <w:r>
        <w:rPr>
          <w:sz w:val="20"/>
        </w:rPr>
        <w:t>central,</w:t>
      </w:r>
      <w:r>
        <w:rPr>
          <w:spacing w:val="-10"/>
          <w:sz w:val="20"/>
        </w:rPr>
        <w:t> </w:t>
      </w:r>
      <w:r>
        <w:rPr>
          <w:sz w:val="20"/>
        </w:rPr>
        <w:t>tiene</w:t>
      </w:r>
      <w:r>
        <w:rPr>
          <w:spacing w:val="-10"/>
          <w:sz w:val="20"/>
        </w:rPr>
        <w:t> </w:t>
      </w:r>
      <w:r>
        <w:rPr>
          <w:sz w:val="20"/>
        </w:rPr>
        <w:t>alta</w:t>
      </w:r>
      <w:r>
        <w:rPr>
          <w:spacing w:val="-10"/>
          <w:sz w:val="20"/>
        </w:rPr>
        <w:t> </w:t>
      </w:r>
      <w:r>
        <w:rPr>
          <w:sz w:val="20"/>
        </w:rPr>
        <w:t>concentración,</w:t>
      </w:r>
      <w:r>
        <w:rPr>
          <w:spacing w:val="-10"/>
          <w:sz w:val="20"/>
        </w:rPr>
        <w:t> </w:t>
      </w:r>
      <w:r>
        <w:rPr>
          <w:sz w:val="20"/>
        </w:rPr>
        <w:t>incorpora</w:t>
      </w:r>
      <w:r>
        <w:rPr>
          <w:spacing w:val="-10"/>
          <w:sz w:val="20"/>
        </w:rPr>
        <w:t> </w:t>
      </w:r>
      <w:r>
        <w:rPr>
          <w:sz w:val="20"/>
        </w:rPr>
        <w:t>localidades</w:t>
      </w:r>
      <w:r>
        <w:rPr>
          <w:spacing w:val="-10"/>
          <w:sz w:val="20"/>
        </w:rPr>
        <w:t> </w:t>
      </w:r>
      <w:r>
        <w:rPr>
          <w:sz w:val="20"/>
        </w:rPr>
        <w:t>mayores</w:t>
      </w:r>
      <w:r>
        <w:rPr>
          <w:spacing w:val="-10"/>
          <w:sz w:val="20"/>
        </w:rPr>
        <w:t> </w:t>
      </w:r>
      <w:r>
        <w:rPr>
          <w:sz w:val="20"/>
        </w:rPr>
        <w:t>del</w:t>
      </w:r>
      <w:r>
        <w:rPr>
          <w:spacing w:val="-10"/>
          <w:sz w:val="20"/>
        </w:rPr>
        <w:t> </w:t>
      </w:r>
      <w:r>
        <w:rPr>
          <w:sz w:val="20"/>
        </w:rPr>
        <w:t>millón de habitantes (Iztapalapa, Ecatepec, Distrito Federal y Ciudad Nezahualcóyotl). Es un complejo urbano que organiza su propio subsistema, se observa un</w:t>
      </w:r>
      <w:r>
        <w:rPr>
          <w:spacing w:val="-22"/>
          <w:sz w:val="20"/>
        </w:rPr>
        <w:t> </w:t>
      </w:r>
      <w:r>
        <w:rPr>
          <w:sz w:val="20"/>
        </w:rPr>
        <w:t>patrón escalonado y la formación de una franja de periurbanización y además algunos municipios han cambiado el patrón de alta concentración a concentración, por lo que se deduce un patrón de descentralización en dinamismo. No obstante es un polo con importante dominio en la macro región centro y se vincula con el total de</w:t>
      </w:r>
      <w:r>
        <w:rPr>
          <w:spacing w:val="-4"/>
          <w:sz w:val="20"/>
        </w:rPr>
        <w:t> </w:t>
      </w:r>
      <w:r>
        <w:rPr>
          <w:sz w:val="20"/>
        </w:rPr>
        <w:t>las</w:t>
      </w:r>
      <w:r>
        <w:rPr>
          <w:spacing w:val="-4"/>
          <w:sz w:val="20"/>
        </w:rPr>
        <w:t> </w:t>
      </w:r>
      <w:r>
        <w:rPr>
          <w:sz w:val="20"/>
        </w:rPr>
        <w:t>ciudades,</w:t>
      </w:r>
      <w:r>
        <w:rPr>
          <w:spacing w:val="-4"/>
          <w:sz w:val="20"/>
        </w:rPr>
        <w:t> </w:t>
      </w:r>
      <w:r>
        <w:rPr>
          <w:sz w:val="20"/>
        </w:rPr>
        <w:t>lo</w:t>
      </w:r>
      <w:r>
        <w:rPr>
          <w:spacing w:val="-4"/>
          <w:sz w:val="20"/>
        </w:rPr>
        <w:t> </w:t>
      </w:r>
      <w:r>
        <w:rPr>
          <w:sz w:val="20"/>
        </w:rPr>
        <w:t>que</w:t>
      </w:r>
      <w:r>
        <w:rPr>
          <w:spacing w:val="-4"/>
          <w:sz w:val="20"/>
        </w:rPr>
        <w:t> </w:t>
      </w:r>
      <w:r>
        <w:rPr>
          <w:sz w:val="20"/>
        </w:rPr>
        <w:t>en</w:t>
      </w:r>
      <w:r>
        <w:rPr>
          <w:spacing w:val="-4"/>
          <w:sz w:val="20"/>
        </w:rPr>
        <w:t> </w:t>
      </w:r>
      <w:r>
        <w:rPr>
          <w:sz w:val="20"/>
        </w:rPr>
        <w:t>sí</w:t>
      </w:r>
      <w:r>
        <w:rPr>
          <w:spacing w:val="-4"/>
          <w:sz w:val="20"/>
        </w:rPr>
        <w:t> </w:t>
      </w:r>
      <w:r>
        <w:rPr>
          <w:sz w:val="20"/>
        </w:rPr>
        <w:t>mismo</w:t>
      </w:r>
      <w:r>
        <w:rPr>
          <w:spacing w:val="-4"/>
          <w:sz w:val="20"/>
        </w:rPr>
        <w:t> </w:t>
      </w:r>
      <w:r>
        <w:rPr>
          <w:sz w:val="20"/>
        </w:rPr>
        <w:t>constituye</w:t>
      </w:r>
      <w:r>
        <w:rPr>
          <w:spacing w:val="-4"/>
          <w:sz w:val="20"/>
        </w:rPr>
        <w:t> </w:t>
      </w:r>
      <w:r>
        <w:rPr>
          <w:sz w:val="20"/>
        </w:rPr>
        <w:t>una</w:t>
      </w:r>
      <w:r>
        <w:rPr>
          <w:spacing w:val="-4"/>
          <w:sz w:val="20"/>
        </w:rPr>
        <w:t> </w:t>
      </w:r>
      <w:r>
        <w:rPr>
          <w:sz w:val="20"/>
        </w:rPr>
        <w:t>región</w:t>
      </w:r>
      <w:r>
        <w:rPr>
          <w:spacing w:val="-4"/>
          <w:sz w:val="20"/>
        </w:rPr>
        <w:t> </w:t>
      </w:r>
      <w:r>
        <w:rPr>
          <w:sz w:val="20"/>
        </w:rPr>
        <w:t>urbana.</w:t>
      </w:r>
      <w:r>
        <w:rPr>
          <w:spacing w:val="-4"/>
          <w:sz w:val="20"/>
        </w:rPr>
        <w:t> </w:t>
      </w:r>
      <w:r>
        <w:rPr>
          <w:sz w:val="20"/>
        </w:rPr>
        <w:t>Por</w:t>
      </w:r>
      <w:r>
        <w:rPr>
          <w:spacing w:val="-4"/>
          <w:sz w:val="20"/>
        </w:rPr>
        <w:t> </w:t>
      </w:r>
      <w:r>
        <w:rPr>
          <w:sz w:val="20"/>
        </w:rPr>
        <w:t>su</w:t>
      </w:r>
      <w:r>
        <w:rPr>
          <w:spacing w:val="-4"/>
          <w:sz w:val="20"/>
        </w:rPr>
        <w:t> </w:t>
      </w:r>
      <w:r>
        <w:rPr>
          <w:sz w:val="20"/>
        </w:rPr>
        <w:t>parte</w:t>
      </w:r>
      <w:r>
        <w:rPr>
          <w:spacing w:val="-4"/>
          <w:sz w:val="20"/>
        </w:rPr>
        <w:t> </w:t>
      </w:r>
      <w:r>
        <w:rPr>
          <w:sz w:val="20"/>
        </w:rPr>
        <w:t>la Ciudad de Puebla, en la porción sur oriente de la Macro Región, es el otro polo metropolitano  consolidado  que  organiza  ciudades  circundantes  mediante</w:t>
      </w:r>
      <w:r>
        <w:rPr>
          <w:spacing w:val="26"/>
          <w:sz w:val="20"/>
        </w:rPr>
        <w:t> </w:t>
      </w:r>
      <w:r>
        <w:rPr>
          <w:sz w:val="20"/>
        </w:rPr>
        <w:t>red</w:t>
      </w:r>
    </w:p>
    <w:p>
      <w:pPr>
        <w:pStyle w:val="BodyText"/>
        <w:spacing w:line="249" w:lineRule="auto" w:before="76"/>
        <w:ind w:left="490"/>
      </w:pPr>
      <w:r>
        <w:rPr/>
        <w:br w:type="column"/>
      </w:r>
      <w:r>
        <w:rPr/>
        <w:t>urbana lo cual representa descentralización urbana dentro de la Macro Región y además que presenta policentrismo.</w:t>
      </w:r>
    </w:p>
    <w:p>
      <w:pPr>
        <w:pStyle w:val="BodyText"/>
      </w:pPr>
    </w:p>
    <w:p>
      <w:pPr>
        <w:pStyle w:val="BodyText"/>
        <w:spacing w:before="9"/>
        <w:rPr>
          <w:sz w:val="21"/>
        </w:rPr>
      </w:pPr>
    </w:p>
    <w:p>
      <w:pPr>
        <w:pStyle w:val="ListParagraph"/>
        <w:numPr>
          <w:ilvl w:val="0"/>
          <w:numId w:val="44"/>
        </w:numPr>
        <w:tabs>
          <w:tab w:pos="491" w:val="left" w:leader="none"/>
        </w:tabs>
        <w:spacing w:line="249" w:lineRule="auto" w:before="0" w:after="0"/>
        <w:ind w:left="490" w:right="127" w:hanging="360"/>
        <w:jc w:val="both"/>
        <w:rPr>
          <w:sz w:val="20"/>
        </w:rPr>
      </w:pPr>
      <w:r>
        <w:rPr>
          <w:sz w:val="20"/>
        </w:rPr>
        <w:t>Redes urbanas. Se observa la presencia de un tipo de redes urbanas que tiende al policentrismo, observado por el aumento paulatino de localidades urbanas con un</w:t>
      </w:r>
      <w:r>
        <w:rPr>
          <w:spacing w:val="-8"/>
          <w:sz w:val="20"/>
        </w:rPr>
        <w:t> </w:t>
      </w:r>
      <w:r>
        <w:rPr>
          <w:sz w:val="20"/>
        </w:rPr>
        <w:t>rango</w:t>
      </w:r>
      <w:r>
        <w:rPr>
          <w:spacing w:val="-8"/>
          <w:sz w:val="20"/>
        </w:rPr>
        <w:t> </w:t>
      </w:r>
      <w:r>
        <w:rPr>
          <w:sz w:val="20"/>
        </w:rPr>
        <w:t>de</w:t>
      </w:r>
      <w:r>
        <w:rPr>
          <w:spacing w:val="-8"/>
          <w:sz w:val="20"/>
        </w:rPr>
        <w:t> </w:t>
      </w:r>
      <w:r>
        <w:rPr>
          <w:sz w:val="20"/>
        </w:rPr>
        <w:t>250,000-999,999</w:t>
      </w:r>
      <w:r>
        <w:rPr>
          <w:spacing w:val="-8"/>
          <w:sz w:val="20"/>
        </w:rPr>
        <w:t> </w:t>
      </w:r>
      <w:r>
        <w:rPr>
          <w:sz w:val="20"/>
        </w:rPr>
        <w:t>habitantes</w:t>
      </w:r>
      <w:r>
        <w:rPr>
          <w:spacing w:val="-8"/>
          <w:sz w:val="20"/>
        </w:rPr>
        <w:t> </w:t>
      </w:r>
      <w:r>
        <w:rPr>
          <w:sz w:val="20"/>
        </w:rPr>
        <w:t>que</w:t>
      </w:r>
      <w:r>
        <w:rPr>
          <w:spacing w:val="-8"/>
          <w:sz w:val="20"/>
        </w:rPr>
        <w:t> </w:t>
      </w:r>
      <w:r>
        <w:rPr>
          <w:sz w:val="20"/>
        </w:rPr>
        <w:t>avanzaron</w:t>
      </w:r>
      <w:r>
        <w:rPr>
          <w:spacing w:val="-8"/>
          <w:sz w:val="20"/>
        </w:rPr>
        <w:t> </w:t>
      </w:r>
      <w:r>
        <w:rPr>
          <w:sz w:val="20"/>
        </w:rPr>
        <w:t>de</w:t>
      </w:r>
      <w:r>
        <w:rPr>
          <w:spacing w:val="-8"/>
          <w:sz w:val="20"/>
        </w:rPr>
        <w:t> </w:t>
      </w:r>
      <w:r>
        <w:rPr>
          <w:sz w:val="20"/>
        </w:rPr>
        <w:t>21</w:t>
      </w:r>
      <w:r>
        <w:rPr>
          <w:spacing w:val="-8"/>
          <w:sz w:val="20"/>
        </w:rPr>
        <w:t> </w:t>
      </w:r>
      <w:r>
        <w:rPr>
          <w:sz w:val="20"/>
        </w:rPr>
        <w:t>a</w:t>
      </w:r>
      <w:r>
        <w:rPr>
          <w:spacing w:val="-8"/>
          <w:sz w:val="20"/>
        </w:rPr>
        <w:t> </w:t>
      </w:r>
      <w:r>
        <w:rPr>
          <w:sz w:val="20"/>
        </w:rPr>
        <w:t>28</w:t>
      </w:r>
      <w:r>
        <w:rPr>
          <w:spacing w:val="-8"/>
          <w:sz w:val="20"/>
        </w:rPr>
        <w:t> </w:t>
      </w:r>
      <w:r>
        <w:rPr>
          <w:sz w:val="20"/>
        </w:rPr>
        <w:t>en</w:t>
      </w:r>
      <w:r>
        <w:rPr>
          <w:spacing w:val="-8"/>
          <w:sz w:val="20"/>
        </w:rPr>
        <w:t> </w:t>
      </w:r>
      <w:r>
        <w:rPr>
          <w:sz w:val="20"/>
        </w:rPr>
        <w:t>el</w:t>
      </w:r>
      <w:r>
        <w:rPr>
          <w:spacing w:val="-8"/>
          <w:sz w:val="20"/>
        </w:rPr>
        <w:t> </w:t>
      </w:r>
      <w:r>
        <w:rPr>
          <w:sz w:val="20"/>
        </w:rPr>
        <w:t>período, ubicadas en el área tributaria de las ciudades de México, Toluca, Cuernavaca y Querétaro, que configuran la estructura de redes de ciudades en vías a formar estructuras</w:t>
      </w:r>
      <w:r>
        <w:rPr>
          <w:spacing w:val="-8"/>
          <w:sz w:val="20"/>
        </w:rPr>
        <w:t> </w:t>
      </w:r>
      <w:r>
        <w:rPr>
          <w:sz w:val="20"/>
        </w:rPr>
        <w:t>poli</w:t>
      </w:r>
      <w:r>
        <w:rPr>
          <w:spacing w:val="-8"/>
          <w:sz w:val="20"/>
        </w:rPr>
        <w:t> </w:t>
      </w:r>
      <w:r>
        <w:rPr>
          <w:sz w:val="20"/>
        </w:rPr>
        <w:t>céntricas</w:t>
      </w:r>
      <w:r>
        <w:rPr>
          <w:spacing w:val="-8"/>
          <w:sz w:val="20"/>
        </w:rPr>
        <w:t> </w:t>
      </w:r>
      <w:r>
        <w:rPr>
          <w:sz w:val="20"/>
        </w:rPr>
        <w:t>intrarregionales.</w:t>
      </w:r>
      <w:r>
        <w:rPr>
          <w:spacing w:val="-8"/>
          <w:sz w:val="20"/>
        </w:rPr>
        <w:t> </w:t>
      </w:r>
      <w:r>
        <w:rPr>
          <w:sz w:val="20"/>
        </w:rPr>
        <w:t>Por</w:t>
      </w:r>
      <w:r>
        <w:rPr>
          <w:spacing w:val="-8"/>
          <w:sz w:val="20"/>
        </w:rPr>
        <w:t> </w:t>
      </w:r>
      <w:r>
        <w:rPr>
          <w:sz w:val="20"/>
        </w:rPr>
        <w:t>otro</w:t>
      </w:r>
      <w:r>
        <w:rPr>
          <w:spacing w:val="-8"/>
          <w:sz w:val="20"/>
        </w:rPr>
        <w:t> </w:t>
      </w:r>
      <w:r>
        <w:rPr>
          <w:sz w:val="20"/>
        </w:rPr>
        <w:t>lado,</w:t>
      </w:r>
      <w:r>
        <w:rPr>
          <w:spacing w:val="-8"/>
          <w:sz w:val="20"/>
        </w:rPr>
        <w:t> </w:t>
      </w:r>
      <w:r>
        <w:rPr>
          <w:sz w:val="20"/>
        </w:rPr>
        <w:t>se</w:t>
      </w:r>
      <w:r>
        <w:rPr>
          <w:spacing w:val="-8"/>
          <w:sz w:val="20"/>
        </w:rPr>
        <w:t> </w:t>
      </w:r>
      <w:r>
        <w:rPr>
          <w:sz w:val="20"/>
        </w:rPr>
        <w:t>identifican</w:t>
      </w:r>
      <w:r>
        <w:rPr>
          <w:spacing w:val="-8"/>
          <w:sz w:val="20"/>
        </w:rPr>
        <w:t> </w:t>
      </w:r>
      <w:r>
        <w:rPr>
          <w:sz w:val="20"/>
        </w:rPr>
        <w:t>localidades urbanas pequeñas (100,000 - 249,999 y de 50,000 - 99,999 habitantes) que pertenecen a municipios con alta concentración de población, indicando crecimiento de ciudades</w:t>
      </w:r>
      <w:r>
        <w:rPr>
          <w:spacing w:val="43"/>
          <w:sz w:val="20"/>
        </w:rPr>
        <w:t> </w:t>
      </w:r>
      <w:r>
        <w:rPr>
          <w:sz w:val="20"/>
        </w:rPr>
        <w:t>pequeñas.</w:t>
      </w:r>
    </w:p>
    <w:p>
      <w:pPr>
        <w:spacing w:after="0" w:line="249" w:lineRule="auto"/>
        <w:jc w:val="both"/>
        <w:rPr>
          <w:sz w:val="20"/>
        </w:rPr>
        <w:sectPr>
          <w:type w:val="continuous"/>
          <w:pgSz w:w="18830" w:h="12760" w:orient="landscape"/>
          <w:pgMar w:top="1420" w:bottom="280" w:left="720" w:right="720"/>
          <w:cols w:num="2" w:equalWidth="0">
            <w:col w:w="7842" w:space="1739"/>
            <w:col w:w="7809"/>
          </w:cols>
        </w:sectPr>
      </w:pPr>
    </w:p>
    <w:p>
      <w:pPr>
        <w:pStyle w:val="BodyText"/>
        <w:spacing w:before="5"/>
        <w:rPr>
          <w:sz w:val="26"/>
        </w:rPr>
      </w:pPr>
    </w:p>
    <w:p>
      <w:pPr>
        <w:spacing w:after="0"/>
        <w:rPr>
          <w:sz w:val="26"/>
        </w:rPr>
        <w:sectPr>
          <w:footerReference w:type="default" r:id="rId384"/>
          <w:pgSz w:w="18830" w:h="12760" w:orient="landscape"/>
          <w:pgMar w:footer="1036" w:header="522" w:top="820" w:bottom="1220" w:left="720" w:right="720"/>
        </w:sectPr>
      </w:pPr>
    </w:p>
    <w:p>
      <w:pPr>
        <w:spacing w:before="80"/>
        <w:ind w:left="569" w:right="13" w:firstLine="0"/>
        <w:jc w:val="center"/>
        <w:rPr>
          <w:sz w:val="16"/>
        </w:rPr>
      </w:pPr>
      <w:r>
        <w:rPr/>
        <w:drawing>
          <wp:anchor distT="0" distB="0" distL="0" distR="0" allowOverlap="1" layoutInCell="1" locked="0" behindDoc="0" simplePos="0" relativeHeight="14200">
            <wp:simplePos x="0" y="0"/>
            <wp:positionH relativeFrom="page">
              <wp:posOffset>810602</wp:posOffset>
            </wp:positionH>
            <wp:positionV relativeFrom="paragraph">
              <wp:posOffset>269536</wp:posOffset>
            </wp:positionV>
            <wp:extent cx="4362156" cy="5036343"/>
            <wp:effectExtent l="0" t="0" r="0" b="0"/>
            <wp:wrapNone/>
            <wp:docPr id="151" name="image112.png" descr=""/>
            <wp:cNvGraphicFramePr>
              <a:graphicFrameLocks noChangeAspect="1"/>
            </wp:cNvGraphicFramePr>
            <a:graphic>
              <a:graphicData uri="http://schemas.openxmlformats.org/drawingml/2006/picture">
                <pic:pic>
                  <pic:nvPicPr>
                    <pic:cNvPr id="152" name="image112.png"/>
                    <pic:cNvPicPr/>
                  </pic:nvPicPr>
                  <pic:blipFill>
                    <a:blip r:embed="rId385" cstate="print"/>
                    <a:stretch>
                      <a:fillRect/>
                    </a:stretch>
                  </pic:blipFill>
                  <pic:spPr>
                    <a:xfrm>
                      <a:off x="0" y="0"/>
                      <a:ext cx="4362156" cy="5036343"/>
                    </a:xfrm>
                    <a:prstGeom prst="rect">
                      <a:avLst/>
                    </a:prstGeom>
                  </pic:spPr>
                </pic:pic>
              </a:graphicData>
            </a:graphic>
          </wp:anchor>
        </w:drawing>
      </w:r>
      <w:r>
        <w:rPr>
          <w:color w:val="6D6E71"/>
          <w:sz w:val="16"/>
        </w:rPr>
        <w:t>Figura 1. Distribución de la población en la Región Centro de México,  2000</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rPr>
          <w:sz w:val="15"/>
        </w:rPr>
      </w:pPr>
    </w:p>
    <w:p>
      <w:pPr>
        <w:spacing w:line="312" w:lineRule="auto" w:before="0"/>
        <w:ind w:left="571" w:right="13" w:firstLine="0"/>
        <w:jc w:val="center"/>
        <w:rPr>
          <w:sz w:val="16"/>
        </w:rPr>
      </w:pPr>
      <w:r>
        <w:rPr>
          <w:color w:val="6D6E71"/>
          <w:sz w:val="16"/>
        </w:rPr>
        <w:t>Instituto Nacional de Estadística y Geografía INEGI, 2000: Censo de Población y Vivienda 2000,</w:t>
      </w:r>
      <w:r>
        <w:rPr>
          <w:color w:val="6D6E71"/>
          <w:w w:val="99"/>
          <w:sz w:val="16"/>
        </w:rPr>
        <w:t> </w:t>
      </w:r>
      <w:r>
        <w:rPr>
          <w:color w:val="6D6E71"/>
          <w:sz w:val="16"/>
        </w:rPr>
        <w:t>visto 05 mayo 2015,  </w:t>
      </w:r>
      <w:hyperlink r:id="rId386">
        <w:r>
          <w:rPr>
            <w:color w:val="6D6E71"/>
            <w:sz w:val="16"/>
          </w:rPr>
          <w:t>http://www.inegi.gob.mx</w:t>
        </w:r>
      </w:hyperlink>
    </w:p>
    <w:p>
      <w:pPr>
        <w:pStyle w:val="BodyText"/>
        <w:rPr>
          <w:sz w:val="21"/>
        </w:rPr>
      </w:pPr>
    </w:p>
    <w:p>
      <w:pPr>
        <w:spacing w:line="312" w:lineRule="auto" w:before="1"/>
        <w:ind w:left="571" w:right="12" w:firstLine="0"/>
        <w:jc w:val="center"/>
        <w:rPr>
          <w:sz w:val="16"/>
        </w:rPr>
      </w:pPr>
      <w:r>
        <w:rPr>
          <w:color w:val="6D6E71"/>
          <w:sz w:val="16"/>
        </w:rPr>
        <w:t>Instituto Nacional de Estadística y Geografía INEGI, 2000: Marco geoestadístico nacional 2000, visto 05 mayo 2015,  </w:t>
      </w:r>
      <w:hyperlink r:id="rId386">
        <w:r>
          <w:rPr>
            <w:color w:val="6D6E71"/>
            <w:sz w:val="16"/>
          </w:rPr>
          <w:t>http://www.inegi.gob.mx</w:t>
        </w:r>
      </w:hyperlink>
    </w:p>
    <w:p>
      <w:pPr>
        <w:spacing w:before="80"/>
        <w:ind w:left="556" w:right="568" w:firstLine="0"/>
        <w:jc w:val="center"/>
        <w:rPr>
          <w:sz w:val="16"/>
        </w:rPr>
      </w:pPr>
      <w:r>
        <w:rPr/>
        <w:br w:type="column"/>
      </w:r>
      <w:r>
        <w:rPr>
          <w:color w:val="6D6E71"/>
          <w:sz w:val="16"/>
        </w:rPr>
        <w:t>Figura 2. Patrón de distribución de la población, Región Centro,  2010</w:t>
      </w:r>
    </w:p>
    <w:p>
      <w:pPr>
        <w:pStyle w:val="BodyText"/>
        <w:spacing w:before="8"/>
        <w:rPr>
          <w:sz w:val="10"/>
        </w:rPr>
      </w:pPr>
      <w:r>
        <w:rPr/>
        <w:drawing>
          <wp:anchor distT="0" distB="0" distL="0" distR="0" allowOverlap="1" layoutInCell="1" locked="0" behindDoc="0" simplePos="0" relativeHeight="14176">
            <wp:simplePos x="0" y="0"/>
            <wp:positionH relativeFrom="page">
              <wp:posOffset>7003084</wp:posOffset>
            </wp:positionH>
            <wp:positionV relativeFrom="paragraph">
              <wp:posOffset>103277</wp:posOffset>
            </wp:positionV>
            <wp:extent cx="3929729" cy="4915947"/>
            <wp:effectExtent l="0" t="0" r="0" b="0"/>
            <wp:wrapTopAndBottom/>
            <wp:docPr id="153" name="image113.png" descr=""/>
            <wp:cNvGraphicFramePr>
              <a:graphicFrameLocks noChangeAspect="1"/>
            </wp:cNvGraphicFramePr>
            <a:graphic>
              <a:graphicData uri="http://schemas.openxmlformats.org/drawingml/2006/picture">
                <pic:pic>
                  <pic:nvPicPr>
                    <pic:cNvPr id="154" name="image113.png"/>
                    <pic:cNvPicPr/>
                  </pic:nvPicPr>
                  <pic:blipFill>
                    <a:blip r:embed="rId387" cstate="print"/>
                    <a:stretch>
                      <a:fillRect/>
                    </a:stretch>
                  </pic:blipFill>
                  <pic:spPr>
                    <a:xfrm>
                      <a:off x="0" y="0"/>
                      <a:ext cx="3929729" cy="4915947"/>
                    </a:xfrm>
                    <a:prstGeom prst="rect">
                      <a:avLst/>
                    </a:prstGeom>
                  </pic:spPr>
                </pic:pic>
              </a:graphicData>
            </a:graphic>
          </wp:anchor>
        </w:drawing>
      </w:r>
    </w:p>
    <w:p>
      <w:pPr>
        <w:pStyle w:val="BodyText"/>
        <w:rPr>
          <w:sz w:val="16"/>
        </w:rPr>
      </w:pPr>
    </w:p>
    <w:p>
      <w:pPr>
        <w:pStyle w:val="BodyText"/>
        <w:rPr>
          <w:sz w:val="16"/>
        </w:rPr>
      </w:pPr>
    </w:p>
    <w:p>
      <w:pPr>
        <w:pStyle w:val="BodyText"/>
        <w:spacing w:before="5"/>
        <w:rPr>
          <w:sz w:val="13"/>
        </w:rPr>
      </w:pPr>
    </w:p>
    <w:p>
      <w:pPr>
        <w:spacing w:line="312" w:lineRule="auto" w:before="0"/>
        <w:ind w:left="556" w:right="569" w:firstLine="0"/>
        <w:jc w:val="center"/>
        <w:rPr>
          <w:sz w:val="16"/>
        </w:rPr>
      </w:pPr>
      <w:r>
        <w:rPr>
          <w:color w:val="6D6E71"/>
          <w:sz w:val="16"/>
        </w:rPr>
        <w:t>Instituto Nacional de Estadística y Geografía INEGI, 2010: Censo de Población y Vivienda 2010, visto 05 mayo 2015,  </w:t>
      </w:r>
      <w:hyperlink r:id="rId386">
        <w:r>
          <w:rPr>
            <w:color w:val="6D6E71"/>
            <w:sz w:val="16"/>
          </w:rPr>
          <w:t>http://www.inegi.gob.mx</w:t>
        </w:r>
      </w:hyperlink>
    </w:p>
    <w:p>
      <w:pPr>
        <w:pStyle w:val="BodyText"/>
        <w:rPr>
          <w:sz w:val="21"/>
        </w:rPr>
      </w:pPr>
    </w:p>
    <w:p>
      <w:pPr>
        <w:spacing w:line="312" w:lineRule="auto" w:before="1"/>
        <w:ind w:left="556" w:right="569" w:firstLine="0"/>
        <w:jc w:val="center"/>
        <w:rPr>
          <w:sz w:val="16"/>
        </w:rPr>
      </w:pPr>
      <w:r>
        <w:rPr>
          <w:color w:val="6D6E71"/>
          <w:sz w:val="16"/>
        </w:rPr>
        <w:t>Instituto Nacional de Estadística y Geografía INEGI, 2010: Marco geoestadístico nacional 2010, visto 05 mayo 2015,  </w:t>
      </w:r>
      <w:hyperlink r:id="rId386">
        <w:r>
          <w:rPr>
            <w:color w:val="6D6E71"/>
            <w:sz w:val="16"/>
          </w:rPr>
          <w:t>http://www.inegi.gob.mx</w:t>
        </w:r>
      </w:hyperlink>
    </w:p>
    <w:p>
      <w:pPr>
        <w:spacing w:after="0" w:line="312" w:lineRule="auto"/>
        <w:jc w:val="center"/>
        <w:rPr>
          <w:sz w:val="16"/>
        </w:rPr>
        <w:sectPr>
          <w:type w:val="continuous"/>
          <w:pgSz w:w="18830" w:h="12760" w:orient="landscape"/>
          <w:pgMar w:top="1420" w:bottom="280" w:left="720" w:right="720"/>
          <w:cols w:num="2" w:equalWidth="0">
            <w:col w:w="7415" w:space="2011"/>
            <w:col w:w="7964"/>
          </w:cols>
        </w:sectPr>
      </w:pPr>
    </w:p>
    <w:p>
      <w:pPr>
        <w:pStyle w:val="BodyText"/>
        <w:spacing w:before="6"/>
        <w:rPr>
          <w:sz w:val="23"/>
        </w:rPr>
      </w:pPr>
    </w:p>
    <w:p>
      <w:pPr>
        <w:spacing w:after="0"/>
        <w:rPr>
          <w:sz w:val="23"/>
        </w:rPr>
        <w:sectPr>
          <w:footerReference w:type="default" r:id="rId388"/>
          <w:pgSz w:w="18830" w:h="12760" w:orient="landscape"/>
          <w:pgMar w:footer="1036" w:header="522" w:top="820" w:bottom="1220" w:left="700" w:right="720"/>
        </w:sectPr>
      </w:pPr>
    </w:p>
    <w:p>
      <w:pPr>
        <w:pStyle w:val="BodyText"/>
        <w:spacing w:line="249" w:lineRule="auto" w:before="76"/>
        <w:ind w:left="150" w:firstLine="170"/>
        <w:jc w:val="both"/>
      </w:pPr>
      <w:r>
        <w:rPr/>
        <w:t>En suma, el proceso de urbanización de la Región Centro es significativo, ya</w:t>
      </w:r>
      <w:r>
        <w:rPr>
          <w:spacing w:val="-29"/>
        </w:rPr>
        <w:t> </w:t>
      </w:r>
      <w:r>
        <w:rPr/>
        <w:t>sea</w:t>
      </w:r>
      <w:r>
        <w:rPr>
          <w:spacing w:val="-3"/>
        </w:rPr>
        <w:t> </w:t>
      </w:r>
      <w:r>
        <w:rPr/>
        <w:t>que</w:t>
      </w:r>
      <w:r>
        <w:rPr>
          <w:w w:val="101"/>
        </w:rPr>
        <w:t> </w:t>
      </w:r>
      <w:r>
        <w:rPr/>
        <w:t>se observe el patrón de población por categorías aquí examinadas y por el aumento  de localidades urbanas. En dicho proceso se han consolidado estructuras territoriales más complejas con la presencia de dos polos metropolitanos importantes -ciudad de México y Puebla-, y el surgimiento de redes urbanas de distinta jerarquía y amplitud, y la formación del policentrismo macro-regional y micro-regional específicos. Es decir,</w:t>
      </w:r>
      <w:r>
        <w:rPr>
          <w:spacing w:val="-21"/>
        </w:rPr>
        <w:t> </w:t>
      </w:r>
      <w:r>
        <w:rPr/>
        <w:t>se presenta descentralización urbana con importante dinamismo macro y micro regional. Al mismo tiempo se observa, poblamiento del territorio en general por la importante presencia de asentamientos menores de 15 mil habitantes a lo largo y ancho de la región. Se corrobora urbanización por descentralización urbana y por poblamiento del territorio.</w:t>
      </w:r>
    </w:p>
    <w:p>
      <w:pPr>
        <w:pStyle w:val="BodyText"/>
      </w:pPr>
    </w:p>
    <w:p>
      <w:pPr>
        <w:pStyle w:val="BodyText"/>
        <w:spacing w:before="5"/>
        <w:rPr>
          <w:sz w:val="21"/>
        </w:rPr>
      </w:pPr>
    </w:p>
    <w:p>
      <w:pPr>
        <w:pStyle w:val="Heading1"/>
        <w:spacing w:line="240" w:lineRule="exact"/>
        <w:ind w:left="3503" w:right="39" w:hanging="3302"/>
      </w:pPr>
      <w:r>
        <w:rPr/>
        <w:t>Políticas de ordenamiento y sobre impactos de la urbanización del territorio</w:t>
      </w:r>
    </w:p>
    <w:p>
      <w:pPr>
        <w:pStyle w:val="BodyText"/>
        <w:spacing w:before="2"/>
        <w:rPr>
          <w:b/>
          <w:sz w:val="21"/>
        </w:rPr>
      </w:pPr>
    </w:p>
    <w:p>
      <w:pPr>
        <w:pStyle w:val="BodyText"/>
        <w:spacing w:line="249" w:lineRule="auto" w:before="1"/>
        <w:ind w:left="150" w:firstLine="170"/>
        <w:jc w:val="both"/>
      </w:pPr>
      <w:r>
        <w:rPr/>
        <w:t>En este apartado se revisa la presencia de políticas de ordenamiento del territorio     y de carácter urbano-regional derivadas del modelo de desarrollo imperante que se plasman en los planes y programas realizados para las entidades federativas de la Región Centro en el período de estudio. Ya que estás pueden haber influido en la dinámica de urbanización del territorio y haber sido generadoras de impactos de la expansión</w:t>
      </w:r>
      <w:r>
        <w:rPr>
          <w:spacing w:val="6"/>
        </w:rPr>
        <w:t> </w:t>
      </w:r>
      <w:r>
        <w:rPr/>
        <w:t>urbana.</w:t>
      </w:r>
    </w:p>
    <w:p>
      <w:pPr>
        <w:pStyle w:val="BodyText"/>
        <w:spacing w:before="11"/>
      </w:pPr>
    </w:p>
    <w:p>
      <w:pPr>
        <w:pStyle w:val="BodyText"/>
        <w:spacing w:line="249" w:lineRule="auto"/>
        <w:ind w:left="150" w:firstLine="170"/>
        <w:jc w:val="both"/>
      </w:pPr>
      <w:r>
        <w:rPr/>
        <w:t>A nivel nacional en el primer sexenio del siglo XXI, 2000-2006, se declara la</w:t>
      </w:r>
      <w:r>
        <w:rPr>
          <w:spacing w:val="-14"/>
        </w:rPr>
        <w:t> </w:t>
      </w:r>
      <w:r>
        <w:rPr/>
        <w:t>voluntad de impulsar una política de desarrollo territorial mediante la coordinación de niveles de gobierno y se divide el país en cinco meso regiones (Sur-Sureste, Centro Occidente, Centro del país, Noreste y Noroeste) para las que sería necesario elaborar planes específicos. Se formó la Oficina de la presidencia para la Planeación Estratégica y el Desarrollo Regional, se decretaron tres documentos federales: el Programa Nacional de Desarrollo Urbano y Ordenación del Territorio 2001-2006, el Plan Puebla-Panamá y el</w:t>
      </w:r>
      <w:r>
        <w:rPr>
          <w:spacing w:val="-7"/>
        </w:rPr>
        <w:t> </w:t>
      </w:r>
      <w:r>
        <w:rPr/>
        <w:t>Programa</w:t>
      </w:r>
      <w:r>
        <w:rPr>
          <w:spacing w:val="-7"/>
        </w:rPr>
        <w:t> </w:t>
      </w:r>
      <w:r>
        <w:rPr/>
        <w:t>Marcha</w:t>
      </w:r>
      <w:r>
        <w:rPr>
          <w:spacing w:val="-7"/>
        </w:rPr>
        <w:t> </w:t>
      </w:r>
      <w:r>
        <w:rPr/>
        <w:t>hacia</w:t>
      </w:r>
      <w:r>
        <w:rPr>
          <w:spacing w:val="-7"/>
        </w:rPr>
        <w:t> </w:t>
      </w:r>
      <w:r>
        <w:rPr/>
        <w:t>el</w:t>
      </w:r>
      <w:r>
        <w:rPr>
          <w:spacing w:val="-7"/>
        </w:rPr>
        <w:t> </w:t>
      </w:r>
      <w:r>
        <w:rPr/>
        <w:t>Sur</w:t>
      </w:r>
      <w:r>
        <w:rPr>
          <w:spacing w:val="-7"/>
        </w:rPr>
        <w:t> </w:t>
      </w:r>
      <w:r>
        <w:rPr/>
        <w:t>(Cuadro</w:t>
      </w:r>
      <w:r>
        <w:rPr>
          <w:spacing w:val="-7"/>
        </w:rPr>
        <w:t> </w:t>
      </w:r>
      <w:r>
        <w:rPr/>
        <w:t>2).</w:t>
      </w:r>
      <w:r>
        <w:rPr>
          <w:spacing w:val="-7"/>
        </w:rPr>
        <w:t> </w:t>
      </w:r>
      <w:r>
        <w:rPr/>
        <w:t>(Hiernaux</w:t>
      </w:r>
      <w:r>
        <w:rPr>
          <w:spacing w:val="-7"/>
        </w:rPr>
        <w:t> </w:t>
      </w:r>
      <w:r>
        <w:rPr/>
        <w:t>y</w:t>
      </w:r>
      <w:r>
        <w:rPr>
          <w:spacing w:val="-7"/>
        </w:rPr>
        <w:t> </w:t>
      </w:r>
      <w:r>
        <w:rPr/>
        <w:t>Torres,</w:t>
      </w:r>
      <w:r>
        <w:rPr>
          <w:spacing w:val="-7"/>
        </w:rPr>
        <w:t> </w:t>
      </w:r>
      <w:r>
        <w:rPr/>
        <w:t>2008)</w:t>
      </w:r>
    </w:p>
    <w:p>
      <w:pPr>
        <w:pStyle w:val="BodyText"/>
        <w:spacing w:before="11"/>
      </w:pPr>
    </w:p>
    <w:p>
      <w:pPr>
        <w:pStyle w:val="BodyText"/>
        <w:spacing w:line="249" w:lineRule="auto"/>
        <w:ind w:left="150" w:firstLine="170"/>
        <w:jc w:val="both"/>
      </w:pPr>
      <w:r>
        <w:rPr/>
        <w:t>El modelo de planificación basado en las mesorregiones, procura una estructura organizativa, apoyada en consejos técnicos y fideicomisos regionales y la implementación</w:t>
      </w:r>
      <w:r>
        <w:rPr>
          <w:spacing w:val="-7"/>
        </w:rPr>
        <w:t> </w:t>
      </w:r>
      <w:r>
        <w:rPr/>
        <w:t>del</w:t>
      </w:r>
      <w:r>
        <w:rPr>
          <w:spacing w:val="-7"/>
        </w:rPr>
        <w:t> </w:t>
      </w:r>
      <w:r>
        <w:rPr/>
        <w:t>desarrollo</w:t>
      </w:r>
      <w:r>
        <w:rPr>
          <w:spacing w:val="-7"/>
        </w:rPr>
        <w:t> </w:t>
      </w:r>
      <w:r>
        <w:rPr/>
        <w:t>regional</w:t>
      </w:r>
      <w:r>
        <w:rPr>
          <w:spacing w:val="-7"/>
        </w:rPr>
        <w:t> </w:t>
      </w:r>
      <w:r>
        <w:rPr/>
        <w:t>con</w:t>
      </w:r>
      <w:r>
        <w:rPr>
          <w:spacing w:val="-7"/>
        </w:rPr>
        <w:t> </w:t>
      </w:r>
      <w:r>
        <w:rPr/>
        <w:t>programas</w:t>
      </w:r>
      <w:r>
        <w:rPr>
          <w:spacing w:val="-7"/>
        </w:rPr>
        <w:t> </w:t>
      </w:r>
      <w:r>
        <w:rPr/>
        <w:t>estratégicos.</w:t>
      </w:r>
      <w:r>
        <w:rPr>
          <w:spacing w:val="-7"/>
        </w:rPr>
        <w:t> </w:t>
      </w:r>
      <w:r>
        <w:rPr/>
        <w:t>Fue</w:t>
      </w:r>
      <w:r>
        <w:rPr>
          <w:spacing w:val="-7"/>
        </w:rPr>
        <w:t> </w:t>
      </w:r>
      <w:r>
        <w:rPr/>
        <w:t>hasta</w:t>
      </w:r>
      <w:r>
        <w:rPr>
          <w:spacing w:val="-7"/>
        </w:rPr>
        <w:t> </w:t>
      </w:r>
      <w:r>
        <w:rPr/>
        <w:t>mayo</w:t>
      </w:r>
      <w:r>
        <w:rPr>
          <w:spacing w:val="-7"/>
        </w:rPr>
        <w:t> </w:t>
      </w:r>
      <w:r>
        <w:rPr/>
        <w:t>de 2005,</w:t>
      </w:r>
      <w:r>
        <w:rPr>
          <w:spacing w:val="-14"/>
        </w:rPr>
        <w:t> </w:t>
      </w:r>
      <w:r>
        <w:rPr/>
        <w:t>que</w:t>
      </w:r>
      <w:r>
        <w:rPr>
          <w:spacing w:val="-14"/>
        </w:rPr>
        <w:t> </w:t>
      </w:r>
      <w:r>
        <w:rPr/>
        <w:t>la</w:t>
      </w:r>
      <w:r>
        <w:rPr>
          <w:spacing w:val="-14"/>
        </w:rPr>
        <w:t> </w:t>
      </w:r>
      <w:r>
        <w:rPr/>
        <w:t>Oficina</w:t>
      </w:r>
      <w:r>
        <w:rPr>
          <w:spacing w:val="-14"/>
        </w:rPr>
        <w:t> </w:t>
      </w:r>
      <w:r>
        <w:rPr/>
        <w:t>de</w:t>
      </w:r>
      <w:r>
        <w:rPr>
          <w:spacing w:val="-14"/>
        </w:rPr>
        <w:t> </w:t>
      </w:r>
      <w:r>
        <w:rPr/>
        <w:t>la</w:t>
      </w:r>
      <w:r>
        <w:rPr>
          <w:spacing w:val="-14"/>
        </w:rPr>
        <w:t> </w:t>
      </w:r>
      <w:r>
        <w:rPr/>
        <w:t>Presidencia</w:t>
      </w:r>
      <w:r>
        <w:rPr>
          <w:spacing w:val="-14"/>
        </w:rPr>
        <w:t> </w:t>
      </w:r>
      <w:r>
        <w:rPr/>
        <w:t>para</w:t>
      </w:r>
      <w:r>
        <w:rPr>
          <w:spacing w:val="-14"/>
        </w:rPr>
        <w:t> </w:t>
      </w:r>
      <w:r>
        <w:rPr/>
        <w:t>las</w:t>
      </w:r>
      <w:r>
        <w:rPr>
          <w:spacing w:val="-14"/>
        </w:rPr>
        <w:t> </w:t>
      </w:r>
      <w:r>
        <w:rPr/>
        <w:t>Políticas</w:t>
      </w:r>
      <w:r>
        <w:rPr>
          <w:spacing w:val="-14"/>
        </w:rPr>
        <w:t> </w:t>
      </w:r>
      <w:r>
        <w:rPr/>
        <w:t>Públicas</w:t>
      </w:r>
      <w:r>
        <w:rPr>
          <w:spacing w:val="-14"/>
        </w:rPr>
        <w:t> </w:t>
      </w:r>
      <w:r>
        <w:rPr/>
        <w:t>divulgara</w:t>
      </w:r>
      <w:r>
        <w:rPr>
          <w:spacing w:val="-14"/>
        </w:rPr>
        <w:t> </w:t>
      </w:r>
      <w:r>
        <w:rPr/>
        <w:t>el</w:t>
      </w:r>
      <w:r>
        <w:rPr>
          <w:spacing w:val="-14"/>
        </w:rPr>
        <w:t> </w:t>
      </w:r>
      <w:r>
        <w:rPr/>
        <w:t>documento intitulado “Arquitectura institucional para promover el desarrollo regional en México” con el cual se pretende “un gran cambio en favor de la descentralización y apoyar una redistribución de las facultades a los estados para que actuando colegiadamente</w:t>
      </w:r>
      <w:r>
        <w:rPr>
          <w:spacing w:val="-14"/>
        </w:rPr>
        <w:t> </w:t>
      </w:r>
      <w:r>
        <w:rPr/>
        <w:t>como</w:t>
      </w:r>
    </w:p>
    <w:p>
      <w:pPr>
        <w:pStyle w:val="BodyText"/>
        <w:spacing w:line="249" w:lineRule="auto" w:before="76"/>
        <w:ind w:left="150" w:right="127"/>
        <w:jc w:val="both"/>
      </w:pPr>
      <w:r>
        <w:rPr/>
        <w:br w:type="column"/>
      </w:r>
      <w:r>
        <w:rPr/>
        <w:t>mesorregiones, dotándolas de una participación decisiva en materia de planificación, financiamiento presupuestal, control y evaluación del proceso clave para el desarrollo regional”. (Hiernaux y Torres, 2008, p.112)</w:t>
      </w:r>
    </w:p>
    <w:p>
      <w:pPr>
        <w:pStyle w:val="BodyText"/>
        <w:spacing w:before="11"/>
      </w:pPr>
    </w:p>
    <w:p>
      <w:pPr>
        <w:pStyle w:val="BodyText"/>
        <w:spacing w:line="249" w:lineRule="auto"/>
        <w:ind w:left="150" w:right="127" w:firstLine="170"/>
        <w:jc w:val="both"/>
      </w:pPr>
      <w:r>
        <w:rPr/>
        <w:t>Por su parte las políticas de desarrollo urbano y regional a cargo de la SEDESOL</w:t>
      </w:r>
      <w:r>
        <w:rPr>
          <w:position w:val="7"/>
          <w:sz w:val="11"/>
        </w:rPr>
        <w:t>35</w:t>
      </w:r>
      <w:r>
        <w:rPr/>
        <w:t>, se</w:t>
      </w:r>
      <w:r>
        <w:rPr>
          <w:spacing w:val="-8"/>
        </w:rPr>
        <w:t> </w:t>
      </w:r>
      <w:r>
        <w:rPr/>
        <w:t>presentan</w:t>
      </w:r>
      <w:r>
        <w:rPr>
          <w:spacing w:val="-8"/>
        </w:rPr>
        <w:t> </w:t>
      </w:r>
      <w:r>
        <w:rPr/>
        <w:t>en</w:t>
      </w:r>
      <w:r>
        <w:rPr>
          <w:spacing w:val="-8"/>
        </w:rPr>
        <w:t> </w:t>
      </w:r>
      <w:r>
        <w:rPr/>
        <w:t>el</w:t>
      </w:r>
      <w:r>
        <w:rPr>
          <w:spacing w:val="-8"/>
        </w:rPr>
        <w:t> </w:t>
      </w:r>
      <w:r>
        <w:rPr/>
        <w:t>Programa</w:t>
      </w:r>
      <w:r>
        <w:rPr>
          <w:spacing w:val="-8"/>
        </w:rPr>
        <w:t> </w:t>
      </w:r>
      <w:r>
        <w:rPr/>
        <w:t>Nacional</w:t>
      </w:r>
      <w:r>
        <w:rPr>
          <w:spacing w:val="-8"/>
        </w:rPr>
        <w:t> </w:t>
      </w:r>
      <w:r>
        <w:rPr/>
        <w:t>de</w:t>
      </w:r>
      <w:r>
        <w:rPr>
          <w:spacing w:val="-8"/>
        </w:rPr>
        <w:t> </w:t>
      </w:r>
      <w:r>
        <w:rPr/>
        <w:t>Desarrollo</w:t>
      </w:r>
      <w:r>
        <w:rPr>
          <w:spacing w:val="-8"/>
        </w:rPr>
        <w:t> </w:t>
      </w:r>
      <w:r>
        <w:rPr/>
        <w:t>Urbano</w:t>
      </w:r>
      <w:r>
        <w:rPr>
          <w:spacing w:val="-8"/>
        </w:rPr>
        <w:t> </w:t>
      </w:r>
      <w:r>
        <w:rPr/>
        <w:t>y</w:t>
      </w:r>
      <w:r>
        <w:rPr>
          <w:spacing w:val="-8"/>
        </w:rPr>
        <w:t> </w:t>
      </w:r>
      <w:r>
        <w:rPr/>
        <w:t>Ordenación</w:t>
      </w:r>
      <w:r>
        <w:rPr>
          <w:spacing w:val="-8"/>
        </w:rPr>
        <w:t> </w:t>
      </w:r>
      <w:r>
        <w:rPr/>
        <w:t>del</w:t>
      </w:r>
      <w:r>
        <w:rPr>
          <w:spacing w:val="-8"/>
        </w:rPr>
        <w:t> </w:t>
      </w:r>
      <w:r>
        <w:rPr/>
        <w:t>Territorio 2001-2006 (PNDU-OT), en él se establece la política de ordenación del territorio que integre todos los ámbitos espaciales que ocupa el sistema de asentamientos</w:t>
      </w:r>
      <w:r>
        <w:rPr>
          <w:spacing w:val="-34"/>
        </w:rPr>
        <w:t> </w:t>
      </w:r>
      <w:r>
        <w:rPr/>
        <w:t>humanos. (Cortez y Delgadillo,</w:t>
      </w:r>
      <w:r>
        <w:rPr>
          <w:spacing w:val="-24"/>
        </w:rPr>
        <w:t> </w:t>
      </w:r>
      <w:r>
        <w:rPr/>
        <w:t>2008)</w:t>
      </w:r>
    </w:p>
    <w:p>
      <w:pPr>
        <w:pStyle w:val="BodyText"/>
        <w:spacing w:before="2"/>
        <w:rPr>
          <w:sz w:val="24"/>
        </w:rPr>
      </w:pPr>
    </w:p>
    <w:p>
      <w:pPr>
        <w:spacing w:before="0"/>
        <w:ind w:left="2553" w:right="2533" w:firstLine="0"/>
        <w:jc w:val="center"/>
        <w:rPr>
          <w:sz w:val="16"/>
        </w:rPr>
      </w:pPr>
      <w:r>
        <w:rPr/>
        <w:pict>
          <v:group style="position:absolute;margin-left:704.30127pt;margin-top:14.338193pt;width:.5pt;height:8.8pt;mso-position-horizontal-relative:page;mso-position-vertical-relative:paragraph;z-index:-638536" coordorigin="14086,287" coordsize="10,176">
            <v:line style="position:absolute" from="14091,458" to="14091,292" stroked="true" strokeweight=".5pt" strokecolor="#ffffff"/>
            <v:line style="position:absolute" from="14091,292" to="14091,292" stroked="true" strokeweight=".5pt" strokecolor="#929292"/>
            <w10:wrap type="none"/>
          </v:group>
        </w:pict>
      </w:r>
      <w:r>
        <w:rPr>
          <w:color w:val="6D6E71"/>
          <w:sz w:val="16"/>
        </w:rPr>
        <w:t>Cuadro 2. Política territorial 2000 – 2012</w:t>
      </w:r>
    </w:p>
    <w:p>
      <w:pPr>
        <w:pStyle w:val="BodyText"/>
        <w:spacing w:before="10"/>
        <w:rPr>
          <w:sz w:val="8"/>
        </w:rPr>
      </w:pPr>
    </w:p>
    <w:tbl>
      <w:tblPr>
        <w:tblW w:w="0" w:type="auto"/>
        <w:jc w:val="left"/>
        <w:tblInd w:w="15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30"/>
        <w:gridCol w:w="3861"/>
      </w:tblGrid>
      <w:tr>
        <w:trPr>
          <w:trHeight w:val="171" w:hRule="exact"/>
        </w:trPr>
        <w:tc>
          <w:tcPr>
            <w:tcW w:w="3830" w:type="dxa"/>
            <w:tcBorders>
              <w:bottom w:val="dotted" w:sz="4" w:space="0" w:color="FFFFFF"/>
            </w:tcBorders>
            <w:shd w:val="clear" w:color="auto" w:fill="929292"/>
          </w:tcPr>
          <w:p>
            <w:pPr>
              <w:pStyle w:val="TableParagraph"/>
              <w:spacing w:line="176" w:lineRule="exact"/>
              <w:ind w:left="107"/>
              <w:rPr>
                <w:sz w:val="16"/>
              </w:rPr>
            </w:pPr>
            <w:r>
              <w:rPr>
                <w:sz w:val="16"/>
              </w:rPr>
              <w:t>Instrumento</w:t>
            </w:r>
          </w:p>
        </w:tc>
        <w:tc>
          <w:tcPr>
            <w:tcW w:w="3861" w:type="dxa"/>
            <w:tcBorders>
              <w:bottom w:val="dotted" w:sz="4" w:space="0" w:color="FFFFFF"/>
            </w:tcBorders>
            <w:shd w:val="clear" w:color="auto" w:fill="929292"/>
          </w:tcPr>
          <w:p>
            <w:pPr>
              <w:pStyle w:val="TableParagraph"/>
              <w:spacing w:line="176" w:lineRule="exact"/>
              <w:ind w:left="107"/>
              <w:rPr>
                <w:sz w:val="16"/>
              </w:rPr>
            </w:pPr>
            <w:r>
              <w:rPr>
                <w:sz w:val="16"/>
              </w:rPr>
              <w:t>Características</w:t>
            </w:r>
          </w:p>
        </w:tc>
      </w:tr>
      <w:tr>
        <w:trPr>
          <w:trHeight w:val="171" w:hRule="exact"/>
        </w:trPr>
        <w:tc>
          <w:tcPr>
            <w:tcW w:w="3830" w:type="dxa"/>
            <w:tcBorders>
              <w:top w:val="dotted" w:sz="4" w:space="0" w:color="FFFFFF"/>
              <w:bottom w:val="single" w:sz="4" w:space="0" w:color="FFFFFF"/>
            </w:tcBorders>
            <w:shd w:val="clear" w:color="auto" w:fill="E2E2E2"/>
          </w:tcPr>
          <w:p>
            <w:pPr>
              <w:pStyle w:val="TableParagraph"/>
              <w:tabs>
                <w:tab w:pos="3814" w:val="left" w:leader="none"/>
              </w:tabs>
              <w:spacing w:line="171" w:lineRule="exact"/>
              <w:ind w:left="35"/>
              <w:rPr>
                <w:sz w:val="16"/>
              </w:rPr>
            </w:pPr>
            <w:r>
              <w:rPr>
                <w:w w:val="100"/>
                <w:sz w:val="16"/>
                <w:u w:val="dotted" w:color="929292"/>
              </w:rPr>
              <w:t> </w:t>
            </w:r>
            <w:r>
              <w:rPr>
                <w:spacing w:val="-17"/>
                <w:sz w:val="16"/>
                <w:u w:val="dotted" w:color="929292"/>
              </w:rPr>
              <w:t> </w:t>
            </w:r>
            <w:r>
              <w:rPr>
                <w:sz w:val="16"/>
                <w:u w:val="dotted" w:color="929292"/>
              </w:rPr>
              <w:t>Leyes</w:t>
              <w:tab/>
            </w:r>
          </w:p>
        </w:tc>
        <w:tc>
          <w:tcPr>
            <w:tcW w:w="3861" w:type="dxa"/>
            <w:tcBorders>
              <w:top w:val="dotted" w:sz="4" w:space="0" w:color="FFFFFF"/>
              <w:bottom w:val="single" w:sz="4" w:space="0" w:color="FFFFFF"/>
            </w:tcBorders>
            <w:shd w:val="clear" w:color="auto" w:fill="E2E2E2"/>
          </w:tcPr>
          <w:p>
            <w:pPr>
              <w:pStyle w:val="TableParagraph"/>
              <w:tabs>
                <w:tab w:pos="3840" w:val="left" w:leader="none"/>
              </w:tabs>
              <w:spacing w:line="171" w:lineRule="exact"/>
              <w:ind w:left="29"/>
              <w:rPr>
                <w:sz w:val="16"/>
              </w:rPr>
            </w:pPr>
            <w:r>
              <w:rPr>
                <w:w w:val="100"/>
                <w:sz w:val="16"/>
                <w:u w:val="dotted" w:color="929292"/>
              </w:rPr>
              <w:t> </w:t>
            </w:r>
            <w:r>
              <w:rPr>
                <w:sz w:val="16"/>
                <w:u w:val="dotted" w:color="929292"/>
              </w:rPr>
              <w:tab/>
            </w:r>
          </w:p>
        </w:tc>
      </w:tr>
      <w:tr>
        <w:trPr>
          <w:trHeight w:val="884" w:hRule="exact"/>
        </w:trPr>
        <w:tc>
          <w:tcPr>
            <w:tcW w:w="3830" w:type="dxa"/>
            <w:tcBorders>
              <w:top w:val="single" w:sz="4" w:space="0" w:color="FFFFFF"/>
              <w:bottom w:val="single" w:sz="4" w:space="0" w:color="FFFFFF"/>
              <w:right w:val="single" w:sz="4" w:space="0" w:color="929292"/>
            </w:tcBorders>
          </w:tcPr>
          <w:p>
            <w:pPr>
              <w:pStyle w:val="TableParagraph"/>
              <w:spacing w:line="171" w:lineRule="exact"/>
              <w:ind w:left="107" w:right="109"/>
              <w:rPr>
                <w:sz w:val="16"/>
              </w:rPr>
            </w:pPr>
            <w:r>
              <w:rPr>
                <w:sz w:val="16"/>
              </w:rPr>
              <w:t>Constitución Política de los</w:t>
            </w:r>
          </w:p>
          <w:p>
            <w:pPr>
              <w:pStyle w:val="TableParagraph"/>
              <w:spacing w:line="261" w:lineRule="auto" w:before="72"/>
              <w:ind w:left="107" w:right="109"/>
              <w:rPr>
                <w:sz w:val="16"/>
              </w:rPr>
            </w:pPr>
            <w:r>
              <w:rPr>
                <w:sz w:val="16"/>
              </w:rPr>
              <w:t>Estados Unidos Mexicanos, en sus artículos 25, 26, 27, 73 y 115.</w:t>
            </w:r>
          </w:p>
          <w:p>
            <w:pPr>
              <w:pStyle w:val="TableParagraph"/>
              <w:tabs>
                <w:tab w:pos="3814" w:val="left" w:leader="none"/>
              </w:tabs>
              <w:spacing w:before="56"/>
              <w:ind w:left="35"/>
              <w:rPr>
                <w:sz w:val="16"/>
              </w:rPr>
            </w:pPr>
            <w:r>
              <w:rPr>
                <w:w w:val="100"/>
                <w:sz w:val="16"/>
                <w:u w:val="dotted" w:color="929292"/>
              </w:rPr>
              <w:t> </w:t>
            </w:r>
            <w:r>
              <w:rPr>
                <w:spacing w:val="-17"/>
                <w:sz w:val="16"/>
                <w:u w:val="dotted" w:color="929292"/>
              </w:rPr>
              <w:t> </w:t>
            </w:r>
            <w:r>
              <w:rPr>
                <w:sz w:val="16"/>
                <w:u w:val="dotted" w:color="929292"/>
              </w:rPr>
              <w:t>Ley General de Asentamientos</w:t>
            </w:r>
            <w:r>
              <w:rPr>
                <w:spacing w:val="-4"/>
                <w:sz w:val="16"/>
                <w:u w:val="dotted" w:color="929292"/>
              </w:rPr>
              <w:t> </w:t>
            </w:r>
            <w:r>
              <w:rPr>
                <w:sz w:val="16"/>
                <w:u w:val="dotted" w:color="929292"/>
              </w:rPr>
              <w:t>Humanos</w:t>
              <w:tab/>
            </w:r>
          </w:p>
        </w:tc>
        <w:tc>
          <w:tcPr>
            <w:tcW w:w="3861" w:type="dxa"/>
            <w:tcBorders>
              <w:top w:val="single" w:sz="4" w:space="0" w:color="FFFFFF"/>
              <w:left w:val="single" w:sz="4" w:space="0" w:color="929292"/>
              <w:bottom w:val="single" w:sz="4" w:space="0" w:color="FFFFFF"/>
            </w:tcBorders>
          </w:tcPr>
          <w:p>
            <w:pPr>
              <w:pStyle w:val="TableParagraph"/>
              <w:spacing w:before="6"/>
              <w:rPr>
                <w:sz w:val="12"/>
              </w:rPr>
            </w:pPr>
          </w:p>
          <w:p>
            <w:pPr>
              <w:pStyle w:val="TableParagraph"/>
              <w:spacing w:line="261" w:lineRule="auto"/>
              <w:ind w:left="102" w:right="158"/>
              <w:rPr>
                <w:sz w:val="16"/>
              </w:rPr>
            </w:pPr>
            <w:r>
              <w:rPr>
                <w:sz w:val="16"/>
              </w:rPr>
              <w:t>Se establecen elementos relativos a la ordenación de los asentamientos humanos y planeación del desarrollo urbano.</w:t>
            </w:r>
          </w:p>
          <w:p>
            <w:pPr>
              <w:pStyle w:val="TableParagraph"/>
              <w:tabs>
                <w:tab w:pos="3835" w:val="left" w:leader="none"/>
              </w:tabs>
              <w:spacing w:line="141" w:lineRule="exact"/>
              <w:ind w:left="24"/>
              <w:rPr>
                <w:sz w:val="16"/>
              </w:rPr>
            </w:pPr>
            <w:r>
              <w:rPr>
                <w:w w:val="100"/>
                <w:sz w:val="16"/>
                <w:u w:val="dotted" w:color="929292"/>
              </w:rPr>
              <w:t> </w:t>
            </w:r>
            <w:r>
              <w:rPr>
                <w:sz w:val="16"/>
                <w:u w:val="dotted" w:color="929292"/>
              </w:rPr>
              <w:tab/>
            </w:r>
          </w:p>
        </w:tc>
      </w:tr>
      <w:tr>
        <w:trPr>
          <w:trHeight w:val="171" w:hRule="exact"/>
        </w:trPr>
        <w:tc>
          <w:tcPr>
            <w:tcW w:w="3830" w:type="dxa"/>
            <w:tcBorders>
              <w:top w:val="single" w:sz="4" w:space="0" w:color="FFFFFF"/>
              <w:bottom w:val="single" w:sz="4" w:space="0" w:color="FFFFFF"/>
            </w:tcBorders>
            <w:shd w:val="clear" w:color="auto" w:fill="E2E2E2"/>
          </w:tcPr>
          <w:p>
            <w:pPr>
              <w:pStyle w:val="TableParagraph"/>
              <w:tabs>
                <w:tab w:pos="3814" w:val="left" w:leader="none"/>
              </w:tabs>
              <w:spacing w:line="171" w:lineRule="exact"/>
              <w:ind w:left="35"/>
              <w:rPr>
                <w:sz w:val="16"/>
              </w:rPr>
            </w:pPr>
            <w:r>
              <w:rPr>
                <w:w w:val="100"/>
                <w:sz w:val="16"/>
                <w:u w:val="dotted" w:color="929292"/>
              </w:rPr>
              <w:t> </w:t>
            </w:r>
            <w:r>
              <w:rPr>
                <w:spacing w:val="-17"/>
                <w:sz w:val="16"/>
                <w:u w:val="dotted" w:color="929292"/>
              </w:rPr>
              <w:t> </w:t>
            </w:r>
            <w:r>
              <w:rPr>
                <w:sz w:val="16"/>
                <w:u w:val="dotted" w:color="929292"/>
              </w:rPr>
              <w:t>Planes</w:t>
              <w:tab/>
            </w:r>
          </w:p>
        </w:tc>
        <w:tc>
          <w:tcPr>
            <w:tcW w:w="3861" w:type="dxa"/>
            <w:tcBorders>
              <w:top w:val="single" w:sz="4" w:space="0" w:color="FFFFFF"/>
              <w:bottom w:val="single" w:sz="4" w:space="0" w:color="FFFFFF"/>
            </w:tcBorders>
            <w:shd w:val="clear" w:color="auto" w:fill="E2E2E2"/>
          </w:tcPr>
          <w:p>
            <w:pPr>
              <w:pStyle w:val="TableParagraph"/>
              <w:tabs>
                <w:tab w:pos="3840" w:val="left" w:leader="none"/>
              </w:tabs>
              <w:spacing w:line="171" w:lineRule="exact"/>
              <w:ind w:left="29"/>
              <w:rPr>
                <w:sz w:val="16"/>
              </w:rPr>
            </w:pPr>
            <w:r>
              <w:rPr>
                <w:w w:val="100"/>
                <w:sz w:val="16"/>
                <w:u w:val="dotted" w:color="929292"/>
              </w:rPr>
              <w:t> </w:t>
            </w:r>
            <w:r>
              <w:rPr>
                <w:sz w:val="16"/>
                <w:u w:val="dotted" w:color="929292"/>
              </w:rPr>
              <w:tab/>
            </w:r>
          </w:p>
        </w:tc>
      </w:tr>
      <w:tr>
        <w:trPr>
          <w:trHeight w:val="1741" w:hRule="exact"/>
        </w:trPr>
        <w:tc>
          <w:tcPr>
            <w:tcW w:w="3830" w:type="dxa"/>
            <w:tcBorders>
              <w:top w:val="single" w:sz="4" w:space="0" w:color="FFFFFF"/>
              <w:bottom w:val="single" w:sz="4" w:space="0" w:color="FFFFFF"/>
              <w:right w:val="single" w:sz="4" w:space="0" w:color="929292"/>
            </w:tcBorders>
          </w:tcPr>
          <w:p>
            <w:pPr>
              <w:pStyle w:val="TableParagraph"/>
              <w:rPr>
                <w:sz w:val="16"/>
              </w:rPr>
            </w:pPr>
          </w:p>
          <w:p>
            <w:pPr>
              <w:pStyle w:val="TableParagraph"/>
              <w:spacing w:line="333" w:lineRule="auto" w:before="103"/>
              <w:ind w:left="107" w:right="646"/>
              <w:rPr>
                <w:sz w:val="16"/>
              </w:rPr>
            </w:pPr>
            <w:r>
              <w:rPr>
                <w:sz w:val="16"/>
              </w:rPr>
              <w:t>Plan Nacional de Desarrollo 2001-2006 Plan Nacional de Desarrollo 2007-2012 Plan Puebla-Panamá (Sexenio 2000-2006)</w:t>
            </w:r>
          </w:p>
          <w:p>
            <w:pPr>
              <w:pStyle w:val="TableParagraph"/>
              <w:spacing w:line="261" w:lineRule="auto" w:before="3"/>
              <w:ind w:left="107" w:right="664"/>
              <w:rPr>
                <w:sz w:val="16"/>
              </w:rPr>
            </w:pPr>
            <w:r>
              <w:rPr>
                <w:sz w:val="16"/>
              </w:rPr>
              <w:t>Arquitectura institucional para promover el desarrollo regional en México (documento)</w:t>
            </w:r>
          </w:p>
          <w:p>
            <w:pPr>
              <w:pStyle w:val="TableParagraph"/>
              <w:tabs>
                <w:tab w:pos="3814" w:val="left" w:leader="none"/>
              </w:tabs>
              <w:spacing w:before="99"/>
              <w:ind w:left="35"/>
              <w:rPr>
                <w:sz w:val="16"/>
              </w:rPr>
            </w:pPr>
            <w:r>
              <w:rPr>
                <w:w w:val="100"/>
                <w:sz w:val="16"/>
                <w:u w:val="dotted" w:color="929292"/>
              </w:rPr>
              <w:t> </w:t>
            </w:r>
            <w:r>
              <w:rPr>
                <w:sz w:val="16"/>
                <w:u w:val="dotted" w:color="929292"/>
              </w:rPr>
              <w:tab/>
            </w:r>
          </w:p>
        </w:tc>
        <w:tc>
          <w:tcPr>
            <w:tcW w:w="3861" w:type="dxa"/>
            <w:tcBorders>
              <w:top w:val="single" w:sz="4" w:space="0" w:color="FFFFFF"/>
              <w:left w:val="single" w:sz="4" w:space="0" w:color="929292"/>
              <w:bottom w:val="single" w:sz="4" w:space="0" w:color="FFFFFF"/>
            </w:tcBorders>
          </w:tcPr>
          <w:p>
            <w:pPr>
              <w:pStyle w:val="TableParagraph"/>
              <w:spacing w:line="171" w:lineRule="exact"/>
              <w:ind w:left="102" w:right="158"/>
              <w:rPr>
                <w:sz w:val="16"/>
              </w:rPr>
            </w:pPr>
            <w:r>
              <w:rPr>
                <w:sz w:val="16"/>
              </w:rPr>
              <w:t>Política de Ordenación del Territorio.</w:t>
            </w:r>
          </w:p>
          <w:p>
            <w:pPr>
              <w:pStyle w:val="TableParagraph"/>
              <w:spacing w:line="261" w:lineRule="auto" w:before="72"/>
              <w:ind w:left="102" w:right="158"/>
              <w:rPr>
                <w:sz w:val="16"/>
              </w:rPr>
            </w:pPr>
            <w:r>
              <w:rPr>
                <w:sz w:val="16"/>
              </w:rPr>
              <w:t>Promover el desarrollo regional equilibrado, mediante el federalismo y recaudación fiscal eficiente.</w:t>
            </w:r>
          </w:p>
          <w:p>
            <w:pPr>
              <w:pStyle w:val="TableParagraph"/>
              <w:spacing w:line="261" w:lineRule="auto" w:before="56"/>
              <w:ind w:left="102" w:right="158"/>
              <w:rPr>
                <w:sz w:val="16"/>
              </w:rPr>
            </w:pPr>
            <w:r>
              <w:rPr>
                <w:sz w:val="16"/>
              </w:rPr>
              <w:t>Persigue la desconcentración de la actividad económica.</w:t>
            </w:r>
          </w:p>
          <w:p>
            <w:pPr>
              <w:pStyle w:val="TableParagraph"/>
              <w:spacing w:before="56"/>
              <w:ind w:left="102" w:right="158"/>
              <w:rPr>
                <w:sz w:val="16"/>
              </w:rPr>
            </w:pPr>
            <w:r>
              <w:rPr>
                <w:sz w:val="16"/>
              </w:rPr>
              <w:t>Atención y promoción del crecimiento del  ingreso</w:t>
            </w:r>
          </w:p>
          <w:p>
            <w:pPr>
              <w:pStyle w:val="TableParagraph"/>
              <w:tabs>
                <w:tab w:pos="3835"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en regiones económicas</w:t>
            </w:r>
            <w:r>
              <w:rPr>
                <w:spacing w:val="10"/>
                <w:sz w:val="16"/>
                <w:u w:val="dotted" w:color="929292"/>
              </w:rPr>
              <w:t> </w:t>
            </w:r>
            <w:r>
              <w:rPr>
                <w:sz w:val="16"/>
                <w:u w:val="dotted" w:color="929292"/>
              </w:rPr>
              <w:t>atrasadas.</w:t>
              <w:tab/>
            </w:r>
          </w:p>
        </w:tc>
      </w:tr>
      <w:tr>
        <w:trPr>
          <w:trHeight w:val="171" w:hRule="exact"/>
        </w:trPr>
        <w:tc>
          <w:tcPr>
            <w:tcW w:w="3830" w:type="dxa"/>
            <w:tcBorders>
              <w:top w:val="single" w:sz="4" w:space="0" w:color="FFFFFF"/>
              <w:bottom w:val="single" w:sz="4" w:space="0" w:color="FFFFFF"/>
            </w:tcBorders>
            <w:shd w:val="clear" w:color="auto" w:fill="E2E2E2"/>
          </w:tcPr>
          <w:p>
            <w:pPr>
              <w:pStyle w:val="TableParagraph"/>
              <w:tabs>
                <w:tab w:pos="3814" w:val="left" w:leader="none"/>
              </w:tabs>
              <w:spacing w:line="171" w:lineRule="exact"/>
              <w:ind w:left="35"/>
              <w:rPr>
                <w:sz w:val="16"/>
              </w:rPr>
            </w:pPr>
            <w:r>
              <w:rPr>
                <w:w w:val="100"/>
                <w:sz w:val="16"/>
                <w:u w:val="dotted" w:color="929292"/>
              </w:rPr>
              <w:t> </w:t>
            </w:r>
            <w:r>
              <w:rPr>
                <w:spacing w:val="-17"/>
                <w:sz w:val="16"/>
                <w:u w:val="dotted" w:color="929292"/>
              </w:rPr>
              <w:t> </w:t>
            </w:r>
            <w:r>
              <w:rPr>
                <w:sz w:val="16"/>
                <w:u w:val="dotted" w:color="929292"/>
              </w:rPr>
              <w:t>Programas</w:t>
              <w:tab/>
            </w:r>
          </w:p>
        </w:tc>
        <w:tc>
          <w:tcPr>
            <w:tcW w:w="3861" w:type="dxa"/>
            <w:tcBorders>
              <w:top w:val="single" w:sz="4" w:space="0" w:color="FFFFFF"/>
              <w:bottom w:val="single" w:sz="4" w:space="0" w:color="FFFFFF"/>
            </w:tcBorders>
            <w:shd w:val="clear" w:color="auto" w:fill="E2E2E2"/>
          </w:tcPr>
          <w:p>
            <w:pPr>
              <w:pStyle w:val="TableParagraph"/>
              <w:tabs>
                <w:tab w:pos="3840" w:val="left" w:leader="none"/>
              </w:tabs>
              <w:spacing w:line="171" w:lineRule="exact"/>
              <w:ind w:left="29"/>
              <w:rPr>
                <w:sz w:val="16"/>
              </w:rPr>
            </w:pPr>
            <w:r>
              <w:rPr>
                <w:w w:val="100"/>
                <w:sz w:val="16"/>
                <w:u w:val="dotted" w:color="929292"/>
              </w:rPr>
              <w:t> </w:t>
            </w:r>
            <w:r>
              <w:rPr>
                <w:sz w:val="16"/>
                <w:u w:val="dotted" w:color="929292"/>
              </w:rPr>
              <w:tab/>
            </w:r>
          </w:p>
        </w:tc>
      </w:tr>
      <w:tr>
        <w:trPr>
          <w:trHeight w:val="828" w:hRule="exact"/>
        </w:trPr>
        <w:tc>
          <w:tcPr>
            <w:tcW w:w="3830" w:type="dxa"/>
            <w:tcBorders>
              <w:top w:val="single" w:sz="4" w:space="0" w:color="FFFFFF"/>
              <w:bottom w:val="dotted" w:sz="4" w:space="0" w:color="FFFFFF"/>
              <w:right w:val="single" w:sz="4" w:space="0" w:color="929292"/>
            </w:tcBorders>
          </w:tcPr>
          <w:p>
            <w:pPr>
              <w:pStyle w:val="TableParagraph"/>
              <w:spacing w:line="171" w:lineRule="exact"/>
              <w:ind w:left="107" w:right="109"/>
              <w:rPr>
                <w:sz w:val="16"/>
              </w:rPr>
            </w:pPr>
            <w:r>
              <w:rPr>
                <w:sz w:val="16"/>
              </w:rPr>
              <w:t>Programa Marcha hacia el Sur. (Sexenio 2000-</w:t>
            </w:r>
          </w:p>
          <w:p>
            <w:pPr>
              <w:pStyle w:val="TableParagraph"/>
              <w:spacing w:before="16"/>
              <w:ind w:left="107" w:right="109"/>
              <w:rPr>
                <w:sz w:val="16"/>
              </w:rPr>
            </w:pPr>
            <w:r>
              <w:rPr>
                <w:sz w:val="16"/>
              </w:rPr>
              <w:t>2006)</w:t>
            </w:r>
          </w:p>
          <w:p>
            <w:pPr>
              <w:pStyle w:val="TableParagraph"/>
              <w:spacing w:before="72"/>
              <w:ind w:left="107" w:right="109"/>
              <w:rPr>
                <w:sz w:val="16"/>
              </w:rPr>
            </w:pPr>
            <w:r>
              <w:rPr>
                <w:sz w:val="16"/>
              </w:rPr>
              <w:t>Programa Nacional de Desarrollo Urbano y</w:t>
            </w:r>
          </w:p>
          <w:p>
            <w:pPr>
              <w:pStyle w:val="TableParagraph"/>
              <w:tabs>
                <w:tab w:pos="3814" w:val="left" w:leader="none"/>
              </w:tabs>
              <w:spacing w:before="16"/>
              <w:ind w:left="35"/>
              <w:rPr>
                <w:sz w:val="16"/>
              </w:rPr>
            </w:pPr>
            <w:r>
              <w:rPr>
                <w:w w:val="100"/>
                <w:sz w:val="16"/>
                <w:u w:val="dotted" w:color="929292"/>
              </w:rPr>
              <w:t> </w:t>
            </w:r>
            <w:r>
              <w:rPr>
                <w:spacing w:val="-17"/>
                <w:sz w:val="16"/>
                <w:u w:val="dotted" w:color="929292"/>
              </w:rPr>
              <w:t> </w:t>
            </w:r>
            <w:r>
              <w:rPr>
                <w:sz w:val="16"/>
                <w:u w:val="dotted" w:color="929292"/>
              </w:rPr>
              <w:t>Ordenación del Territorio 2001-2006</w:t>
            </w:r>
            <w:r>
              <w:rPr>
                <w:spacing w:val="-10"/>
                <w:sz w:val="16"/>
                <w:u w:val="dotted" w:color="929292"/>
              </w:rPr>
              <w:t> </w:t>
            </w:r>
            <w:r>
              <w:rPr>
                <w:sz w:val="16"/>
                <w:u w:val="dotted" w:color="929292"/>
              </w:rPr>
              <w:t>(PNDU-OT).</w:t>
              <w:tab/>
            </w:r>
          </w:p>
        </w:tc>
        <w:tc>
          <w:tcPr>
            <w:tcW w:w="3861" w:type="dxa"/>
            <w:tcBorders>
              <w:top w:val="single" w:sz="4" w:space="0" w:color="FFFFFF"/>
              <w:left w:val="single" w:sz="4" w:space="0" w:color="929292"/>
              <w:bottom w:val="dotted" w:sz="4" w:space="0" w:color="929292"/>
            </w:tcBorders>
          </w:tcPr>
          <w:p>
            <w:pPr>
              <w:pStyle w:val="TableParagraph"/>
              <w:spacing w:line="261" w:lineRule="auto" w:before="15"/>
              <w:ind w:left="102" w:right="607"/>
              <w:jc w:val="both"/>
              <w:rPr>
                <w:sz w:val="16"/>
              </w:rPr>
            </w:pPr>
            <w:r>
              <w:rPr>
                <w:sz w:val="16"/>
              </w:rPr>
              <w:t>Impulsar una política explícita de desarrollo territorial sobre mesorregiones basada en la coordinación de acciones entre órdenes de gobierno.</w:t>
            </w:r>
          </w:p>
        </w:tc>
      </w:tr>
      <w:tr>
        <w:trPr>
          <w:trHeight w:val="171" w:hRule="exact"/>
        </w:trPr>
        <w:tc>
          <w:tcPr>
            <w:tcW w:w="3830" w:type="dxa"/>
            <w:tcBorders>
              <w:top w:val="dotted" w:sz="4" w:space="0" w:color="FFFFFF"/>
              <w:bottom w:val="single" w:sz="4" w:space="0" w:color="FFFFFF"/>
            </w:tcBorders>
            <w:shd w:val="clear" w:color="auto" w:fill="E2E2E2"/>
          </w:tcPr>
          <w:p>
            <w:pPr>
              <w:pStyle w:val="TableParagraph"/>
              <w:tabs>
                <w:tab w:pos="3814" w:val="left" w:leader="none"/>
              </w:tabs>
              <w:spacing w:line="171" w:lineRule="exact"/>
              <w:ind w:left="35"/>
              <w:rPr>
                <w:sz w:val="16"/>
              </w:rPr>
            </w:pPr>
            <w:r>
              <w:rPr>
                <w:w w:val="100"/>
                <w:sz w:val="16"/>
                <w:u w:val="dotted" w:color="929292"/>
              </w:rPr>
              <w:t> </w:t>
            </w:r>
            <w:r>
              <w:rPr>
                <w:spacing w:val="-17"/>
                <w:sz w:val="16"/>
                <w:u w:val="dotted" w:color="929292"/>
              </w:rPr>
              <w:t> </w:t>
            </w:r>
            <w:r>
              <w:rPr>
                <w:sz w:val="16"/>
                <w:u w:val="dotted" w:color="929292"/>
              </w:rPr>
              <w:t>Estrategia</w:t>
            </w:r>
            <w:r>
              <w:rPr>
                <w:spacing w:val="5"/>
                <w:sz w:val="16"/>
                <w:u w:val="dotted" w:color="929292"/>
              </w:rPr>
              <w:t> </w:t>
            </w:r>
            <w:r>
              <w:rPr>
                <w:sz w:val="16"/>
                <w:u w:val="dotted" w:color="929292"/>
              </w:rPr>
              <w:t>territorial</w:t>
              <w:tab/>
            </w:r>
          </w:p>
        </w:tc>
        <w:tc>
          <w:tcPr>
            <w:tcW w:w="3861" w:type="dxa"/>
            <w:tcBorders>
              <w:top w:val="dotted" w:sz="4" w:space="0" w:color="929292"/>
              <w:bottom w:val="single" w:sz="4" w:space="0" w:color="FFFFFF"/>
            </w:tcBorders>
            <w:shd w:val="clear" w:color="auto" w:fill="E2E2E2"/>
          </w:tcPr>
          <w:p>
            <w:pPr>
              <w:pStyle w:val="TableParagraph"/>
              <w:tabs>
                <w:tab w:pos="3840" w:val="left" w:leader="none"/>
              </w:tabs>
              <w:spacing w:line="171" w:lineRule="exact"/>
              <w:ind w:left="29"/>
              <w:rPr>
                <w:sz w:val="16"/>
              </w:rPr>
            </w:pPr>
            <w:r>
              <w:rPr>
                <w:w w:val="100"/>
                <w:sz w:val="16"/>
                <w:u w:val="dotted" w:color="929292"/>
              </w:rPr>
              <w:t> </w:t>
            </w:r>
            <w:r>
              <w:rPr>
                <w:sz w:val="16"/>
                <w:u w:val="dotted" w:color="929292"/>
              </w:rPr>
              <w:tab/>
            </w:r>
          </w:p>
        </w:tc>
      </w:tr>
      <w:tr>
        <w:trPr>
          <w:trHeight w:val="1284" w:hRule="exact"/>
        </w:trPr>
        <w:tc>
          <w:tcPr>
            <w:tcW w:w="3830" w:type="dxa"/>
            <w:tcBorders>
              <w:top w:val="single" w:sz="4" w:space="0" w:color="FFFFFF"/>
              <w:right w:val="single" w:sz="4" w:space="0" w:color="929292"/>
            </w:tcBorders>
          </w:tcPr>
          <w:p>
            <w:pPr>
              <w:pStyle w:val="TableParagraph"/>
              <w:spacing w:line="171" w:lineRule="exact"/>
              <w:ind w:left="107" w:right="109"/>
              <w:rPr>
                <w:sz w:val="16"/>
              </w:rPr>
            </w:pPr>
            <w:r>
              <w:rPr>
                <w:sz w:val="16"/>
              </w:rPr>
              <w:t>Planeación estratégica regional, 2000</w:t>
            </w:r>
          </w:p>
          <w:p>
            <w:pPr>
              <w:pStyle w:val="TableParagraph"/>
              <w:rPr>
                <w:sz w:val="16"/>
              </w:rPr>
            </w:pPr>
          </w:p>
          <w:p>
            <w:pPr>
              <w:pStyle w:val="TableParagraph"/>
              <w:rPr>
                <w:sz w:val="16"/>
              </w:rPr>
            </w:pPr>
          </w:p>
          <w:p>
            <w:pPr>
              <w:pStyle w:val="TableParagraph"/>
              <w:spacing w:before="11"/>
              <w:rPr>
                <w:sz w:val="18"/>
              </w:rPr>
            </w:pPr>
          </w:p>
          <w:p>
            <w:pPr>
              <w:pStyle w:val="TableParagraph"/>
              <w:ind w:left="107" w:right="109"/>
              <w:rPr>
                <w:sz w:val="16"/>
              </w:rPr>
            </w:pPr>
            <w:r>
              <w:rPr>
                <w:sz w:val="16"/>
              </w:rPr>
              <w:t>Estrategia Territorial Nacional, 2012</w:t>
            </w:r>
          </w:p>
          <w:p>
            <w:pPr>
              <w:pStyle w:val="TableParagraph"/>
              <w:spacing w:before="9"/>
              <w:rPr>
                <w:sz w:val="13"/>
              </w:rPr>
            </w:pPr>
          </w:p>
          <w:p>
            <w:pPr>
              <w:pStyle w:val="TableParagraph"/>
              <w:tabs>
                <w:tab w:pos="3814" w:val="left" w:leader="none"/>
              </w:tabs>
              <w:ind w:left="35"/>
              <w:rPr>
                <w:sz w:val="16"/>
              </w:rPr>
            </w:pPr>
            <w:r>
              <w:rPr>
                <w:w w:val="100"/>
                <w:sz w:val="16"/>
                <w:u w:val="dotted" w:color="929292"/>
              </w:rPr>
              <w:t> </w:t>
            </w:r>
            <w:r>
              <w:rPr>
                <w:sz w:val="16"/>
                <w:u w:val="dotted" w:color="929292"/>
              </w:rPr>
              <w:tab/>
            </w:r>
          </w:p>
        </w:tc>
        <w:tc>
          <w:tcPr>
            <w:tcW w:w="3861" w:type="dxa"/>
            <w:tcBorders>
              <w:top w:val="single" w:sz="4" w:space="0" w:color="FFFFFF"/>
              <w:left w:val="single" w:sz="4" w:space="0" w:color="929292"/>
              <w:bottom w:val="single" w:sz="4" w:space="0" w:color="FFFFFF"/>
            </w:tcBorders>
          </w:tcPr>
          <w:p>
            <w:pPr>
              <w:pStyle w:val="TableParagraph"/>
              <w:spacing w:line="171" w:lineRule="exact"/>
              <w:ind w:left="102" w:right="158"/>
              <w:rPr>
                <w:sz w:val="16"/>
              </w:rPr>
            </w:pPr>
            <w:r>
              <w:rPr>
                <w:sz w:val="16"/>
              </w:rPr>
              <w:t>Modelo de planeación del desarrollo basado</w:t>
            </w:r>
          </w:p>
          <w:p>
            <w:pPr>
              <w:pStyle w:val="TableParagraph"/>
              <w:spacing w:line="261" w:lineRule="auto" w:before="16"/>
              <w:ind w:left="102" w:right="505"/>
              <w:rPr>
                <w:sz w:val="16"/>
              </w:rPr>
            </w:pPr>
            <w:r>
              <w:rPr>
                <w:sz w:val="16"/>
              </w:rPr>
              <w:t>en mesorregiones. Estructura organizativa de consejos técnicos y fideicomisos regionales.</w:t>
            </w:r>
          </w:p>
          <w:p>
            <w:pPr>
              <w:pStyle w:val="TableParagraph"/>
              <w:spacing w:before="56"/>
              <w:ind w:left="102" w:right="158"/>
              <w:rPr>
                <w:sz w:val="16"/>
              </w:rPr>
            </w:pPr>
            <w:r>
              <w:rPr>
                <w:sz w:val="16"/>
              </w:rPr>
              <w:t>Promover un enfoque polinuclear.</w:t>
            </w:r>
          </w:p>
          <w:p>
            <w:pPr>
              <w:pStyle w:val="TableParagraph"/>
              <w:spacing w:before="72"/>
              <w:ind w:left="102"/>
              <w:rPr>
                <w:sz w:val="16"/>
              </w:rPr>
            </w:pPr>
            <w:r>
              <w:rPr>
                <w:sz w:val="16"/>
              </w:rPr>
              <w:t>Aprovechar las potencialidades productivas de  los</w:t>
            </w:r>
          </w:p>
          <w:p>
            <w:pPr>
              <w:pStyle w:val="TableParagraph"/>
              <w:tabs>
                <w:tab w:pos="3835"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diversos</w:t>
            </w:r>
            <w:r>
              <w:rPr>
                <w:spacing w:val="14"/>
                <w:sz w:val="16"/>
                <w:u w:val="dotted" w:color="929292"/>
              </w:rPr>
              <w:t> </w:t>
            </w:r>
            <w:r>
              <w:rPr>
                <w:sz w:val="16"/>
                <w:u w:val="dotted" w:color="929292"/>
              </w:rPr>
              <w:t>sectores.</w:t>
              <w:tab/>
            </w:r>
          </w:p>
        </w:tc>
      </w:tr>
    </w:tbl>
    <w:p>
      <w:pPr>
        <w:spacing w:before="115"/>
        <w:ind w:left="2553" w:right="2533" w:firstLine="0"/>
        <w:jc w:val="center"/>
        <w:rPr>
          <w:sz w:val="16"/>
        </w:rPr>
      </w:pPr>
      <w:r>
        <w:rPr>
          <w:color w:val="6D6E71"/>
          <w:sz w:val="16"/>
        </w:rPr>
        <w:t>Fuente: Elaboración propia.</w:t>
      </w:r>
    </w:p>
    <w:p>
      <w:pPr>
        <w:pStyle w:val="BodyText"/>
        <w:spacing w:before="6"/>
        <w:rPr>
          <w:sz w:val="22"/>
        </w:rPr>
      </w:pPr>
    </w:p>
    <w:p>
      <w:pPr>
        <w:pStyle w:val="BodyText"/>
        <w:spacing w:line="249" w:lineRule="auto"/>
        <w:ind w:left="150" w:right="127" w:firstLine="170"/>
        <w:jc w:val="both"/>
      </w:pPr>
      <w:r>
        <w:rPr/>
        <w:t>En sexenio, 2006-2012, el Plan Nacional de Desarrollo 2007-2012, reporta que las desigualdades regionales son el resultado de la falta de capacidad de las diversas regiones  de  México,  siendo  la  falta  de  competitividad  la  causa  principal.       Este</w:t>
      </w:r>
    </w:p>
    <w:p>
      <w:pPr>
        <w:spacing w:after="0" w:line="249" w:lineRule="auto"/>
        <w:jc w:val="both"/>
        <w:sectPr>
          <w:type w:val="continuous"/>
          <w:pgSz w:w="18830" w:h="12760" w:orient="landscape"/>
          <w:pgMar w:top="1420" w:bottom="280" w:left="700" w:right="720"/>
          <w:cols w:num="2" w:equalWidth="0">
            <w:col w:w="7862" w:space="1549"/>
            <w:col w:w="7999"/>
          </w:cols>
        </w:sectPr>
      </w:pPr>
    </w:p>
    <w:p>
      <w:pPr>
        <w:pStyle w:val="BodyText"/>
        <w:rPr>
          <w:sz w:val="15"/>
        </w:rPr>
      </w:pPr>
    </w:p>
    <w:p>
      <w:pPr>
        <w:pStyle w:val="BodyText"/>
        <w:spacing w:line="20" w:lineRule="exact"/>
        <w:ind w:left="114"/>
        <w:rPr>
          <w:sz w:val="2"/>
        </w:rPr>
      </w:pPr>
      <w:r>
        <w:rPr>
          <w:sz w:val="2"/>
        </w:rPr>
        <w:pict>
          <v:group style="width:386.55pt;height:1pt;mso-position-horizontal-relative:char;mso-position-vertical-relative:line" coordorigin="0,0" coordsize="7731,20">
            <v:line style="position:absolute" from="10,10" to="7720,10" stroked="true" strokeweight="1pt" strokecolor="#bcbec0"/>
          </v:group>
        </w:pict>
      </w:r>
      <w:r>
        <w:rPr>
          <w:sz w:val="2"/>
        </w:rPr>
      </w:r>
    </w:p>
    <w:p>
      <w:pPr>
        <w:spacing w:before="86"/>
        <w:ind w:left="124" w:right="0" w:firstLine="0"/>
        <w:jc w:val="left"/>
        <w:rPr>
          <w:sz w:val="16"/>
        </w:rPr>
      </w:pPr>
      <w:r>
        <w:rPr>
          <w:color w:val="6D6E71"/>
          <w:position w:val="5"/>
          <w:sz w:val="9"/>
        </w:rPr>
        <w:t>35</w:t>
      </w:r>
      <w:r>
        <w:rPr>
          <w:color w:val="6D6E71"/>
          <w:sz w:val="16"/>
        </w:rPr>
        <w:t>Secretaría de Desarrollo Social.</w:t>
      </w:r>
    </w:p>
    <w:p>
      <w:pPr>
        <w:spacing w:after="0"/>
        <w:jc w:val="left"/>
        <w:rPr>
          <w:sz w:val="16"/>
        </w:rPr>
        <w:sectPr>
          <w:type w:val="continuous"/>
          <w:pgSz w:w="18830" w:h="12760" w:orient="landscape"/>
          <w:pgMar w:top="1420" w:bottom="280" w:left="700" w:right="720"/>
        </w:sectPr>
      </w:pPr>
    </w:p>
    <w:p>
      <w:pPr>
        <w:pStyle w:val="BodyText"/>
        <w:spacing w:before="6"/>
        <w:rPr>
          <w:sz w:val="23"/>
        </w:rPr>
      </w:pPr>
    </w:p>
    <w:p>
      <w:pPr>
        <w:spacing w:after="0"/>
        <w:rPr>
          <w:sz w:val="23"/>
        </w:rPr>
        <w:sectPr>
          <w:footerReference w:type="default" r:id="rId389"/>
          <w:pgSz w:w="18830" w:h="12760" w:orient="landscape"/>
          <w:pgMar w:footer="1036" w:header="522" w:top="820" w:bottom="1220" w:left="720" w:right="720"/>
        </w:sectPr>
      </w:pPr>
    </w:p>
    <w:p>
      <w:pPr>
        <w:pStyle w:val="BodyText"/>
        <w:spacing w:line="249" w:lineRule="auto" w:before="76"/>
        <w:ind w:left="136"/>
        <w:jc w:val="both"/>
      </w:pPr>
      <w:r>
        <w:rPr/>
        <w:t>Plan propone fomentar el federalismo y se centra en dos ejes de acción: a). La desconcentración de la actividad económica y; b). La promoción del crecimiento del</w:t>
      </w:r>
      <w:r>
        <w:rPr>
          <w:w w:val="101"/>
        </w:rPr>
        <w:t> </w:t>
      </w:r>
      <w:r>
        <w:rPr/>
        <w:t>ingreso en las regiones económicas atrasadas (Herrera, 2013).</w:t>
      </w:r>
    </w:p>
    <w:p>
      <w:pPr>
        <w:pStyle w:val="BodyText"/>
        <w:spacing w:before="11"/>
      </w:pPr>
    </w:p>
    <w:p>
      <w:pPr>
        <w:pStyle w:val="BodyText"/>
        <w:spacing w:line="249" w:lineRule="auto"/>
        <w:ind w:left="136" w:firstLine="170"/>
        <w:jc w:val="both"/>
      </w:pPr>
      <w:r>
        <w:rPr/>
        <w:t>Al cierre del sexenio aparece el documento denominado Estrategia Territorial Nacional de la SEDESOL 2012, observa excesiva centralización en la capital del    país; y la dispersión de 190 mil pequeñas localidades rurales en el territorio nacional. Propone las siguientes estrategias: Promover un enfoque polinuclear que permita fomentar simultáneamente objetivos de inclusión y cohesión social, productividad y competitividad, así como de sustentabilidad ambiental; responder al carácter integrado y</w:t>
      </w:r>
      <w:r>
        <w:rPr>
          <w:spacing w:val="-17"/>
        </w:rPr>
        <w:t> </w:t>
      </w:r>
      <w:r>
        <w:rPr/>
        <w:t>complejo</w:t>
      </w:r>
      <w:r>
        <w:rPr>
          <w:spacing w:val="-17"/>
        </w:rPr>
        <w:t> </w:t>
      </w:r>
      <w:r>
        <w:rPr/>
        <w:t>del</w:t>
      </w:r>
      <w:r>
        <w:rPr>
          <w:spacing w:val="-17"/>
        </w:rPr>
        <w:t> </w:t>
      </w:r>
      <w:r>
        <w:rPr/>
        <w:t>desarrollo</w:t>
      </w:r>
      <w:r>
        <w:rPr>
          <w:spacing w:val="-17"/>
        </w:rPr>
        <w:t> </w:t>
      </w:r>
      <w:r>
        <w:rPr/>
        <w:t>y</w:t>
      </w:r>
      <w:r>
        <w:rPr>
          <w:spacing w:val="-17"/>
        </w:rPr>
        <w:t> </w:t>
      </w:r>
      <w:r>
        <w:rPr/>
        <w:t>orientar</w:t>
      </w:r>
      <w:r>
        <w:rPr>
          <w:spacing w:val="-17"/>
        </w:rPr>
        <w:t> </w:t>
      </w:r>
      <w:r>
        <w:rPr/>
        <w:t>la</w:t>
      </w:r>
      <w:r>
        <w:rPr>
          <w:spacing w:val="-17"/>
        </w:rPr>
        <w:t> </w:t>
      </w:r>
      <w:r>
        <w:rPr/>
        <w:t>acción</w:t>
      </w:r>
      <w:r>
        <w:rPr>
          <w:spacing w:val="-17"/>
        </w:rPr>
        <w:t> </w:t>
      </w:r>
      <w:r>
        <w:rPr/>
        <w:t>articulada</w:t>
      </w:r>
      <w:r>
        <w:rPr>
          <w:spacing w:val="-17"/>
        </w:rPr>
        <w:t> </w:t>
      </w:r>
      <w:r>
        <w:rPr/>
        <w:t>y</w:t>
      </w:r>
      <w:r>
        <w:rPr>
          <w:spacing w:val="-17"/>
        </w:rPr>
        <w:t> </w:t>
      </w:r>
      <w:r>
        <w:rPr/>
        <w:t>eficaz</w:t>
      </w:r>
      <w:r>
        <w:rPr>
          <w:spacing w:val="-17"/>
        </w:rPr>
        <w:t> </w:t>
      </w:r>
      <w:r>
        <w:rPr/>
        <w:t>de</w:t>
      </w:r>
      <w:r>
        <w:rPr>
          <w:spacing w:val="-17"/>
        </w:rPr>
        <w:t> </w:t>
      </w:r>
      <w:r>
        <w:rPr/>
        <w:t>los</w:t>
      </w:r>
      <w:r>
        <w:rPr>
          <w:spacing w:val="-17"/>
        </w:rPr>
        <w:t> </w:t>
      </w:r>
      <w:r>
        <w:rPr/>
        <w:t>diferentes</w:t>
      </w:r>
      <w:r>
        <w:rPr>
          <w:spacing w:val="-17"/>
        </w:rPr>
        <w:t> </w:t>
      </w:r>
      <w:r>
        <w:rPr/>
        <w:t>sectores para aprovechar las potencialidades productivas; promover el desarrollo para disminuir la brecha de las disparidades regionales, y enfrentar la inserción en la globalización;    y facilitar la identificación de las infraestructuras, equipamientos y servicios con los  que deben contar las ciudades principales de cada sistema urbano rural, y propiciar la coordinación</w:t>
      </w:r>
      <w:r>
        <w:rPr>
          <w:spacing w:val="-16"/>
        </w:rPr>
        <w:t> </w:t>
      </w:r>
      <w:r>
        <w:rPr/>
        <w:t>intersectorial</w:t>
      </w:r>
      <w:r>
        <w:rPr>
          <w:spacing w:val="-16"/>
        </w:rPr>
        <w:t> </w:t>
      </w:r>
      <w:r>
        <w:rPr/>
        <w:t>necesaria</w:t>
      </w:r>
      <w:r>
        <w:rPr>
          <w:spacing w:val="-16"/>
        </w:rPr>
        <w:t> </w:t>
      </w:r>
      <w:r>
        <w:rPr/>
        <w:t>para</w:t>
      </w:r>
      <w:r>
        <w:rPr>
          <w:spacing w:val="-16"/>
        </w:rPr>
        <w:t> </w:t>
      </w:r>
      <w:r>
        <w:rPr/>
        <w:t>que</w:t>
      </w:r>
      <w:r>
        <w:rPr>
          <w:spacing w:val="-16"/>
        </w:rPr>
        <w:t> </w:t>
      </w:r>
      <w:r>
        <w:rPr/>
        <w:t>les</w:t>
      </w:r>
      <w:r>
        <w:rPr>
          <w:spacing w:val="-16"/>
        </w:rPr>
        <w:t> </w:t>
      </w:r>
      <w:r>
        <w:rPr/>
        <w:t>sean</w:t>
      </w:r>
      <w:r>
        <w:rPr>
          <w:spacing w:val="-16"/>
        </w:rPr>
        <w:t> </w:t>
      </w:r>
      <w:r>
        <w:rPr/>
        <w:t>dotados</w:t>
      </w:r>
      <w:r>
        <w:rPr>
          <w:spacing w:val="-16"/>
        </w:rPr>
        <w:t> </w:t>
      </w:r>
      <w:r>
        <w:rPr/>
        <w:t>(SEDESOL,</w:t>
      </w:r>
      <w:r>
        <w:rPr>
          <w:spacing w:val="-16"/>
        </w:rPr>
        <w:t> </w:t>
      </w:r>
      <w:r>
        <w:rPr/>
        <w:t>2012).</w:t>
      </w:r>
      <w:r>
        <w:rPr>
          <w:spacing w:val="-16"/>
        </w:rPr>
        <w:t> </w:t>
      </w:r>
      <w:r>
        <w:rPr/>
        <w:t>Este documento no tendría efecto ninguno porque el siguiente período de gobierno federal transforma la SEDESOL para dar lugar a la Secretaría de Desarrollo Agrario,</w:t>
      </w:r>
      <w:r>
        <w:rPr>
          <w:spacing w:val="-20"/>
        </w:rPr>
        <w:t> </w:t>
      </w:r>
      <w:r>
        <w:rPr/>
        <w:t>Territorial y Urbano (SEDATU), encargada de delinear la estrategia del territorio</w:t>
      </w:r>
      <w:r>
        <w:rPr>
          <w:spacing w:val="-27"/>
        </w:rPr>
        <w:t> </w:t>
      </w:r>
      <w:r>
        <w:rPr/>
        <w:t>nacional.</w:t>
      </w:r>
    </w:p>
    <w:p>
      <w:pPr>
        <w:pStyle w:val="BodyText"/>
        <w:spacing w:before="11"/>
      </w:pPr>
    </w:p>
    <w:p>
      <w:pPr>
        <w:pStyle w:val="BodyText"/>
        <w:spacing w:line="249" w:lineRule="auto"/>
        <w:ind w:left="136" w:firstLine="170"/>
        <w:jc w:val="both"/>
      </w:pPr>
      <w:r>
        <w:rPr/>
        <w:t>Por</w:t>
      </w:r>
      <w:r>
        <w:rPr>
          <w:spacing w:val="34"/>
        </w:rPr>
        <w:t> </w:t>
      </w:r>
      <w:r>
        <w:rPr/>
        <w:t>tanto,</w:t>
      </w:r>
      <w:r>
        <w:rPr>
          <w:spacing w:val="34"/>
        </w:rPr>
        <w:t> </w:t>
      </w:r>
      <w:r>
        <w:rPr/>
        <w:t>en</w:t>
      </w:r>
      <w:r>
        <w:rPr>
          <w:spacing w:val="34"/>
        </w:rPr>
        <w:t> </w:t>
      </w:r>
      <w:r>
        <w:rPr/>
        <w:t>el</w:t>
      </w:r>
      <w:r>
        <w:rPr>
          <w:spacing w:val="34"/>
        </w:rPr>
        <w:t> </w:t>
      </w:r>
      <w:r>
        <w:rPr/>
        <w:t>período</w:t>
      </w:r>
      <w:r>
        <w:rPr>
          <w:spacing w:val="34"/>
        </w:rPr>
        <w:t> </w:t>
      </w:r>
      <w:r>
        <w:rPr/>
        <w:t>de</w:t>
      </w:r>
      <w:r>
        <w:rPr>
          <w:spacing w:val="34"/>
        </w:rPr>
        <w:t> </w:t>
      </w:r>
      <w:r>
        <w:rPr/>
        <w:t>estudio,</w:t>
      </w:r>
      <w:r>
        <w:rPr>
          <w:spacing w:val="34"/>
        </w:rPr>
        <w:t> </w:t>
      </w:r>
      <w:r>
        <w:rPr/>
        <w:t>se</w:t>
      </w:r>
      <w:r>
        <w:rPr>
          <w:spacing w:val="34"/>
        </w:rPr>
        <w:t> </w:t>
      </w:r>
      <w:r>
        <w:rPr/>
        <w:t>elaboró</w:t>
      </w:r>
      <w:r>
        <w:rPr>
          <w:spacing w:val="34"/>
        </w:rPr>
        <w:t> </w:t>
      </w:r>
      <w:r>
        <w:rPr/>
        <w:t>el</w:t>
      </w:r>
      <w:r>
        <w:rPr>
          <w:spacing w:val="34"/>
        </w:rPr>
        <w:t> </w:t>
      </w:r>
      <w:r>
        <w:rPr/>
        <w:t>PN-DUOT</w:t>
      </w:r>
      <w:r>
        <w:rPr>
          <w:spacing w:val="34"/>
        </w:rPr>
        <w:t> </w:t>
      </w:r>
      <w:r>
        <w:rPr/>
        <w:t>(Programa</w:t>
      </w:r>
      <w:r>
        <w:rPr>
          <w:spacing w:val="34"/>
        </w:rPr>
        <w:t> </w:t>
      </w:r>
      <w:r>
        <w:rPr/>
        <w:t>Nacional</w:t>
      </w:r>
      <w:r>
        <w:rPr>
          <w:w w:val="100"/>
        </w:rPr>
        <w:t> </w:t>
      </w:r>
      <w:r>
        <w:rPr/>
        <w:t>de Desarrollo Urbano y de Ordenación del Territorio) al inicio del primer sexenio se proponen en forma agregada los visos de una política territorial y al final del período</w:t>
      </w:r>
      <w:r>
        <w:rPr>
          <w:spacing w:val="-9"/>
        </w:rPr>
        <w:t> </w:t>
      </w:r>
      <w:r>
        <w:rPr/>
        <w:t>se redacta la estrategia territorial, aunque no se elaboró el programa de desarrollo urbano y regional, por lo que en materia de política territorial se mantiene lo observado en el sexenio anterior. Por ello es conveniente examinar cómo actuaron los gobiernos de las entidades federativas de la Región Centro en materia de política territorial y urbano- regional.</w:t>
      </w:r>
    </w:p>
    <w:p>
      <w:pPr>
        <w:pStyle w:val="BodyText"/>
        <w:spacing w:before="11"/>
      </w:pPr>
    </w:p>
    <w:p>
      <w:pPr>
        <w:pStyle w:val="BodyText"/>
        <w:spacing w:line="249" w:lineRule="auto"/>
        <w:ind w:left="136" w:firstLine="170"/>
        <w:jc w:val="both"/>
      </w:pPr>
      <w:r>
        <w:rPr/>
        <w:t>El Programa General de Desarrollo del Distrito Federal 2000-2006 (PGDDF), cuyo objetivo es superar la fragmentación sectorial y propiciar un contenido integral y coherencia de las políticas públicas. Propone cuatro grandes políticas: Gobierno y Seguridad Pública, Desarrollo Sustentable, Progreso con Justicia, y Administración y Finanzas,</w:t>
      </w:r>
      <w:r>
        <w:rPr>
          <w:spacing w:val="-4"/>
        </w:rPr>
        <w:t> </w:t>
      </w:r>
      <w:r>
        <w:rPr/>
        <w:t>se</w:t>
      </w:r>
      <w:r>
        <w:rPr>
          <w:spacing w:val="-4"/>
        </w:rPr>
        <w:t> </w:t>
      </w:r>
      <w:r>
        <w:rPr/>
        <w:t>llevaran</w:t>
      </w:r>
      <w:r>
        <w:rPr>
          <w:spacing w:val="-4"/>
        </w:rPr>
        <w:t> </w:t>
      </w:r>
      <w:r>
        <w:rPr/>
        <w:t>a</w:t>
      </w:r>
      <w:r>
        <w:rPr>
          <w:spacing w:val="-4"/>
        </w:rPr>
        <w:t> </w:t>
      </w:r>
      <w:r>
        <w:rPr/>
        <w:t>cabo</w:t>
      </w:r>
      <w:r>
        <w:rPr>
          <w:spacing w:val="-4"/>
        </w:rPr>
        <w:t> </w:t>
      </w:r>
      <w:r>
        <w:rPr/>
        <w:t>mediante</w:t>
      </w:r>
      <w:r>
        <w:rPr>
          <w:spacing w:val="-4"/>
        </w:rPr>
        <w:t> </w:t>
      </w:r>
      <w:r>
        <w:rPr/>
        <w:t>la</w:t>
      </w:r>
      <w:r>
        <w:rPr>
          <w:spacing w:val="-4"/>
        </w:rPr>
        <w:t> </w:t>
      </w:r>
      <w:r>
        <w:rPr/>
        <w:t>“Nueva</w:t>
      </w:r>
      <w:r>
        <w:rPr>
          <w:spacing w:val="-4"/>
        </w:rPr>
        <w:t> </w:t>
      </w:r>
      <w:r>
        <w:rPr/>
        <w:t>Constitución</w:t>
      </w:r>
      <w:r>
        <w:rPr>
          <w:spacing w:val="-4"/>
        </w:rPr>
        <w:t> </w:t>
      </w:r>
      <w:r>
        <w:rPr/>
        <w:t>y</w:t>
      </w:r>
      <w:r>
        <w:rPr>
          <w:spacing w:val="-4"/>
        </w:rPr>
        <w:t> </w:t>
      </w:r>
      <w:r>
        <w:rPr/>
        <w:t>Seguridad”</w:t>
      </w:r>
      <w:r>
        <w:rPr>
          <w:spacing w:val="-4"/>
        </w:rPr>
        <w:t> </w:t>
      </w:r>
      <w:r>
        <w:rPr/>
        <w:t>que</w:t>
      </w:r>
      <w:r>
        <w:rPr>
          <w:spacing w:val="-4"/>
        </w:rPr>
        <w:t> </w:t>
      </w:r>
      <w:r>
        <w:rPr/>
        <w:t>deberá “fijar la autonomía de la entidad dentro del pacto federal, sin contravenir</w:t>
      </w:r>
      <w:r>
        <w:rPr>
          <w:spacing w:val="47"/>
        </w:rPr>
        <w:t> </w:t>
      </w:r>
      <w:r>
        <w:rPr/>
        <w:t>su</w:t>
      </w:r>
      <w:r>
        <w:rPr>
          <w:spacing w:val="13"/>
        </w:rPr>
        <w:t> </w:t>
      </w:r>
      <w:r>
        <w:rPr/>
        <w:t>condición</w:t>
      </w:r>
      <w:r>
        <w:rPr>
          <w:w w:val="103"/>
        </w:rPr>
        <w:t> </w:t>
      </w:r>
      <w:r>
        <w:rPr/>
        <w:t>de sede de los poderes federales. Deberá también ampliar los derechos participativos de</w:t>
      </w:r>
      <w:r>
        <w:rPr>
          <w:spacing w:val="-6"/>
        </w:rPr>
        <w:t> </w:t>
      </w:r>
      <w:r>
        <w:rPr/>
        <w:t>los</w:t>
      </w:r>
      <w:r>
        <w:rPr>
          <w:spacing w:val="-6"/>
        </w:rPr>
        <w:t> </w:t>
      </w:r>
      <w:r>
        <w:rPr/>
        <w:t>ciudadanos,</w:t>
      </w:r>
      <w:r>
        <w:rPr>
          <w:spacing w:val="-6"/>
        </w:rPr>
        <w:t> </w:t>
      </w:r>
      <w:r>
        <w:rPr/>
        <w:t>con</w:t>
      </w:r>
      <w:r>
        <w:rPr>
          <w:spacing w:val="-6"/>
        </w:rPr>
        <w:t> </w:t>
      </w:r>
      <w:r>
        <w:rPr/>
        <w:t>las</w:t>
      </w:r>
      <w:r>
        <w:rPr>
          <w:spacing w:val="-6"/>
        </w:rPr>
        <w:t> </w:t>
      </w:r>
      <w:r>
        <w:rPr/>
        <w:t>figuras</w:t>
      </w:r>
      <w:r>
        <w:rPr>
          <w:spacing w:val="-6"/>
        </w:rPr>
        <w:t> </w:t>
      </w:r>
      <w:r>
        <w:rPr/>
        <w:t>del</w:t>
      </w:r>
      <w:r>
        <w:rPr>
          <w:spacing w:val="-6"/>
        </w:rPr>
        <w:t> </w:t>
      </w:r>
      <w:r>
        <w:rPr/>
        <w:t>plebiscito,</w:t>
      </w:r>
      <w:r>
        <w:rPr>
          <w:spacing w:val="-6"/>
        </w:rPr>
        <w:t> </w:t>
      </w:r>
      <w:r>
        <w:rPr/>
        <w:t>el</w:t>
      </w:r>
      <w:r>
        <w:rPr>
          <w:spacing w:val="-6"/>
        </w:rPr>
        <w:t> </w:t>
      </w:r>
      <w:r>
        <w:rPr/>
        <w:t>referéndum</w:t>
      </w:r>
      <w:r>
        <w:rPr>
          <w:spacing w:val="-6"/>
        </w:rPr>
        <w:t> </w:t>
      </w:r>
      <w:r>
        <w:rPr/>
        <w:t>y</w:t>
      </w:r>
      <w:r>
        <w:rPr>
          <w:spacing w:val="-6"/>
        </w:rPr>
        <w:t> </w:t>
      </w:r>
      <w:r>
        <w:rPr/>
        <w:t>la</w:t>
      </w:r>
      <w:r>
        <w:rPr>
          <w:spacing w:val="-6"/>
        </w:rPr>
        <w:t> </w:t>
      </w:r>
      <w:r>
        <w:rPr/>
        <w:t>consulta</w:t>
      </w:r>
      <w:r>
        <w:rPr>
          <w:spacing w:val="-6"/>
        </w:rPr>
        <w:t> </w:t>
      </w:r>
      <w:r>
        <w:rPr/>
        <w:t>ciudadana, también se propondrá incluir la audiencia pública, la revocación de mandato y la iniciativa popular…” (GDF, 2000,</w:t>
      </w:r>
      <w:r>
        <w:rPr>
          <w:spacing w:val="2"/>
        </w:rPr>
        <w:t> </w:t>
      </w:r>
      <w:r>
        <w:rPr/>
        <w:t>p.25).</w:t>
      </w:r>
    </w:p>
    <w:p>
      <w:pPr>
        <w:pStyle w:val="BodyText"/>
        <w:spacing w:before="11"/>
      </w:pPr>
    </w:p>
    <w:p>
      <w:pPr>
        <w:pStyle w:val="BodyText"/>
        <w:spacing w:line="249" w:lineRule="auto"/>
        <w:ind w:left="136" w:firstLine="170"/>
        <w:jc w:val="both"/>
      </w:pPr>
      <w:r>
        <w:rPr/>
        <w:t>La meta a corto plazo, es la descentralización territorial, reforzando los recursos</w:t>
      </w:r>
      <w:r>
        <w:rPr>
          <w:spacing w:val="-19"/>
        </w:rPr>
        <w:t> </w:t>
      </w:r>
      <w:r>
        <w:rPr/>
        <w:t>para el</w:t>
      </w:r>
      <w:r>
        <w:rPr>
          <w:spacing w:val="24"/>
        </w:rPr>
        <w:t> </w:t>
      </w:r>
      <w:r>
        <w:rPr/>
        <w:t>desarrollo</w:t>
      </w:r>
      <w:r>
        <w:rPr>
          <w:spacing w:val="24"/>
        </w:rPr>
        <w:t> </w:t>
      </w:r>
      <w:r>
        <w:rPr/>
        <w:t>social</w:t>
      </w:r>
      <w:r>
        <w:rPr>
          <w:spacing w:val="24"/>
        </w:rPr>
        <w:t> </w:t>
      </w:r>
      <w:r>
        <w:rPr/>
        <w:t>plasmado</w:t>
      </w:r>
      <w:r>
        <w:rPr>
          <w:spacing w:val="24"/>
        </w:rPr>
        <w:t> </w:t>
      </w:r>
      <w:r>
        <w:rPr/>
        <w:t>en</w:t>
      </w:r>
      <w:r>
        <w:rPr>
          <w:spacing w:val="24"/>
        </w:rPr>
        <w:t> </w:t>
      </w:r>
      <w:r>
        <w:rPr/>
        <w:t>el</w:t>
      </w:r>
      <w:r>
        <w:rPr>
          <w:spacing w:val="24"/>
        </w:rPr>
        <w:t> </w:t>
      </w:r>
      <w:r>
        <w:rPr/>
        <w:t>Programa</w:t>
      </w:r>
      <w:r>
        <w:rPr>
          <w:spacing w:val="24"/>
        </w:rPr>
        <w:t> </w:t>
      </w:r>
      <w:r>
        <w:rPr/>
        <w:t>Territorial</w:t>
      </w:r>
      <w:r>
        <w:rPr>
          <w:spacing w:val="24"/>
        </w:rPr>
        <w:t> </w:t>
      </w:r>
      <w:r>
        <w:rPr/>
        <w:t>Integrado</w:t>
      </w:r>
      <w:r>
        <w:rPr>
          <w:spacing w:val="24"/>
        </w:rPr>
        <w:t> </w:t>
      </w:r>
      <w:r>
        <w:rPr/>
        <w:t>para</w:t>
      </w:r>
      <w:r>
        <w:rPr>
          <w:spacing w:val="24"/>
        </w:rPr>
        <w:t> </w:t>
      </w:r>
      <w:r>
        <w:rPr/>
        <w:t>el</w:t>
      </w:r>
      <w:r>
        <w:rPr>
          <w:spacing w:val="24"/>
        </w:rPr>
        <w:t> </w:t>
      </w:r>
      <w:r>
        <w:rPr/>
        <w:t>Desarrollo</w:t>
      </w:r>
    </w:p>
    <w:p>
      <w:pPr>
        <w:pStyle w:val="BodyText"/>
        <w:spacing w:line="249" w:lineRule="auto" w:before="76"/>
        <w:ind w:left="136" w:right="127"/>
        <w:jc w:val="both"/>
      </w:pPr>
      <w:r>
        <w:rPr/>
        <w:br w:type="column"/>
      </w:r>
      <w:r>
        <w:rPr/>
        <w:t>Social en las 1,352 unidades territoriales. En el mediano y largo plazo, en la medida que</w:t>
      </w:r>
      <w:r>
        <w:rPr>
          <w:spacing w:val="-8"/>
        </w:rPr>
        <w:t> </w:t>
      </w:r>
      <w:r>
        <w:rPr/>
        <w:t>vaya</w:t>
      </w:r>
      <w:r>
        <w:rPr>
          <w:spacing w:val="-8"/>
        </w:rPr>
        <w:t> </w:t>
      </w:r>
      <w:r>
        <w:rPr/>
        <w:t>avanzando</w:t>
      </w:r>
      <w:r>
        <w:rPr>
          <w:spacing w:val="-8"/>
        </w:rPr>
        <w:t> </w:t>
      </w:r>
      <w:r>
        <w:rPr/>
        <w:t>la</w:t>
      </w:r>
      <w:r>
        <w:rPr>
          <w:spacing w:val="-8"/>
        </w:rPr>
        <w:t> </w:t>
      </w:r>
      <w:r>
        <w:rPr/>
        <w:t>organización</w:t>
      </w:r>
      <w:r>
        <w:rPr>
          <w:spacing w:val="-8"/>
        </w:rPr>
        <w:t> </w:t>
      </w:r>
      <w:r>
        <w:rPr/>
        <w:t>vecinal,</w:t>
      </w:r>
      <w:r>
        <w:rPr>
          <w:spacing w:val="-8"/>
        </w:rPr>
        <w:t> </w:t>
      </w:r>
      <w:r>
        <w:rPr/>
        <w:t>se</w:t>
      </w:r>
      <w:r>
        <w:rPr>
          <w:spacing w:val="-8"/>
        </w:rPr>
        <w:t> </w:t>
      </w:r>
      <w:r>
        <w:rPr/>
        <w:t>logrará</w:t>
      </w:r>
      <w:r>
        <w:rPr>
          <w:spacing w:val="-8"/>
        </w:rPr>
        <w:t> </w:t>
      </w:r>
      <w:r>
        <w:rPr/>
        <w:t>que</w:t>
      </w:r>
      <w:r>
        <w:rPr>
          <w:spacing w:val="-8"/>
        </w:rPr>
        <w:t> </w:t>
      </w:r>
      <w:r>
        <w:rPr/>
        <w:t>estos</w:t>
      </w:r>
      <w:r>
        <w:rPr>
          <w:spacing w:val="-8"/>
        </w:rPr>
        <w:t> </w:t>
      </w:r>
      <w:r>
        <w:rPr/>
        <w:t>programas</w:t>
      </w:r>
      <w:r>
        <w:rPr>
          <w:spacing w:val="-8"/>
        </w:rPr>
        <w:t> </w:t>
      </w:r>
      <w:r>
        <w:rPr/>
        <w:t>integrales se elaboren desde la asamblea de vecinos. En relación con la dinámica poblacional con crecimiento desordenado indica que la zona metropolitana se encuentra en una situación</w:t>
      </w:r>
      <w:r>
        <w:rPr>
          <w:spacing w:val="-15"/>
        </w:rPr>
        <w:t> </w:t>
      </w:r>
      <w:r>
        <w:rPr/>
        <w:t>de</w:t>
      </w:r>
      <w:r>
        <w:rPr>
          <w:spacing w:val="-15"/>
        </w:rPr>
        <w:t> </w:t>
      </w:r>
      <w:r>
        <w:rPr/>
        <w:t>vulnerabilidad</w:t>
      </w:r>
      <w:r>
        <w:rPr>
          <w:spacing w:val="-15"/>
        </w:rPr>
        <w:t> </w:t>
      </w:r>
      <w:r>
        <w:rPr/>
        <w:t>que</w:t>
      </w:r>
      <w:r>
        <w:rPr>
          <w:spacing w:val="-15"/>
        </w:rPr>
        <w:t> </w:t>
      </w:r>
      <w:r>
        <w:rPr/>
        <w:t>se</w:t>
      </w:r>
      <w:r>
        <w:rPr>
          <w:spacing w:val="-15"/>
        </w:rPr>
        <w:t> </w:t>
      </w:r>
      <w:r>
        <w:rPr/>
        <w:t>traduce</w:t>
      </w:r>
      <w:r>
        <w:rPr>
          <w:spacing w:val="-15"/>
        </w:rPr>
        <w:t> </w:t>
      </w:r>
      <w:r>
        <w:rPr/>
        <w:t>en</w:t>
      </w:r>
      <w:r>
        <w:rPr>
          <w:spacing w:val="-15"/>
        </w:rPr>
        <w:t> </w:t>
      </w:r>
      <w:r>
        <w:rPr/>
        <w:t>sobreexplotación</w:t>
      </w:r>
      <w:r>
        <w:rPr>
          <w:spacing w:val="-15"/>
        </w:rPr>
        <w:t> </w:t>
      </w:r>
      <w:r>
        <w:rPr/>
        <w:t>de</w:t>
      </w:r>
      <w:r>
        <w:rPr>
          <w:spacing w:val="-15"/>
        </w:rPr>
        <w:t> </w:t>
      </w:r>
      <w:r>
        <w:rPr/>
        <w:t>los</w:t>
      </w:r>
      <w:r>
        <w:rPr>
          <w:spacing w:val="-15"/>
        </w:rPr>
        <w:t> </w:t>
      </w:r>
      <w:r>
        <w:rPr/>
        <w:t>recursos</w:t>
      </w:r>
      <w:r>
        <w:rPr>
          <w:spacing w:val="-15"/>
        </w:rPr>
        <w:t> </w:t>
      </w:r>
      <w:r>
        <w:rPr/>
        <w:t>naturales y degradación del medio ambiente. Para enfrentar la vulnerabilidad se introduce el principio del desarrollo</w:t>
      </w:r>
      <w:r>
        <w:rPr>
          <w:spacing w:val="46"/>
        </w:rPr>
        <w:t> </w:t>
      </w:r>
      <w:r>
        <w:rPr/>
        <w:t>sustentable.</w:t>
      </w:r>
    </w:p>
    <w:p>
      <w:pPr>
        <w:pStyle w:val="BodyText"/>
        <w:spacing w:before="11"/>
      </w:pPr>
    </w:p>
    <w:p>
      <w:pPr>
        <w:pStyle w:val="BodyText"/>
        <w:spacing w:line="249" w:lineRule="auto"/>
        <w:ind w:left="136" w:right="127" w:firstLine="170"/>
        <w:jc w:val="right"/>
      </w:pPr>
      <w:r>
        <w:rPr/>
        <w:t>Por</w:t>
      </w:r>
      <w:r>
        <w:rPr>
          <w:spacing w:val="-5"/>
        </w:rPr>
        <w:t> </w:t>
      </w:r>
      <w:r>
        <w:rPr/>
        <w:t>su</w:t>
      </w:r>
      <w:r>
        <w:rPr>
          <w:spacing w:val="-5"/>
        </w:rPr>
        <w:t> </w:t>
      </w:r>
      <w:r>
        <w:rPr/>
        <w:t>parte</w:t>
      </w:r>
      <w:r>
        <w:rPr>
          <w:spacing w:val="-5"/>
        </w:rPr>
        <w:t> </w:t>
      </w:r>
      <w:r>
        <w:rPr/>
        <w:t>el</w:t>
      </w:r>
      <w:r>
        <w:rPr>
          <w:spacing w:val="-5"/>
        </w:rPr>
        <w:t> </w:t>
      </w:r>
      <w:r>
        <w:rPr/>
        <w:t>PGDDF</w:t>
      </w:r>
      <w:r>
        <w:rPr>
          <w:spacing w:val="-5"/>
        </w:rPr>
        <w:t> </w:t>
      </w:r>
      <w:r>
        <w:rPr/>
        <w:t>2007-2012,</w:t>
      </w:r>
      <w:r>
        <w:rPr>
          <w:spacing w:val="-5"/>
        </w:rPr>
        <w:t> </w:t>
      </w:r>
      <w:r>
        <w:rPr/>
        <w:t>pretende</w:t>
      </w:r>
      <w:r>
        <w:rPr>
          <w:spacing w:val="-5"/>
        </w:rPr>
        <w:t> </w:t>
      </w:r>
      <w:r>
        <w:rPr/>
        <w:t>integrar</w:t>
      </w:r>
      <w:r>
        <w:rPr>
          <w:spacing w:val="-5"/>
        </w:rPr>
        <w:t> </w:t>
      </w:r>
      <w:r>
        <w:rPr/>
        <w:t>las</w:t>
      </w:r>
      <w:r>
        <w:rPr>
          <w:spacing w:val="-5"/>
        </w:rPr>
        <w:t> </w:t>
      </w:r>
      <w:r>
        <w:rPr/>
        <w:t>perspectivas</w:t>
      </w:r>
      <w:r>
        <w:rPr>
          <w:spacing w:val="-5"/>
        </w:rPr>
        <w:t> </w:t>
      </w:r>
      <w:r>
        <w:rPr/>
        <w:t>de</w:t>
      </w:r>
      <w:r>
        <w:rPr>
          <w:spacing w:val="-5"/>
        </w:rPr>
        <w:t> </w:t>
      </w:r>
      <w:r>
        <w:rPr/>
        <w:t>los</w:t>
      </w:r>
      <w:r>
        <w:rPr>
          <w:spacing w:val="-5"/>
        </w:rPr>
        <w:t> </w:t>
      </w:r>
      <w:r>
        <w:rPr/>
        <w:t>sectores</w:t>
      </w:r>
      <w:r>
        <w:rPr>
          <w:w w:val="101"/>
        </w:rPr>
        <w:t> </w:t>
      </w:r>
      <w:r>
        <w:rPr/>
        <w:t>de</w:t>
      </w:r>
      <w:r>
        <w:rPr>
          <w:spacing w:val="41"/>
        </w:rPr>
        <w:t> </w:t>
      </w:r>
      <w:r>
        <w:rPr/>
        <w:t>la</w:t>
      </w:r>
      <w:r>
        <w:rPr>
          <w:spacing w:val="41"/>
        </w:rPr>
        <w:t> </w:t>
      </w:r>
      <w:r>
        <w:rPr/>
        <w:t>sociedad</w:t>
      </w:r>
      <w:r>
        <w:rPr>
          <w:spacing w:val="41"/>
        </w:rPr>
        <w:t> </w:t>
      </w:r>
      <w:r>
        <w:rPr/>
        <w:t>articulando</w:t>
      </w:r>
      <w:r>
        <w:rPr>
          <w:spacing w:val="41"/>
        </w:rPr>
        <w:t> </w:t>
      </w:r>
      <w:r>
        <w:rPr/>
        <w:t>con</w:t>
      </w:r>
      <w:r>
        <w:rPr>
          <w:spacing w:val="41"/>
        </w:rPr>
        <w:t> </w:t>
      </w:r>
      <w:r>
        <w:rPr/>
        <w:t>las</w:t>
      </w:r>
      <w:r>
        <w:rPr>
          <w:spacing w:val="41"/>
        </w:rPr>
        <w:t> </w:t>
      </w:r>
      <w:r>
        <w:rPr/>
        <w:t>iniciativas</w:t>
      </w:r>
      <w:r>
        <w:rPr>
          <w:spacing w:val="41"/>
        </w:rPr>
        <w:t> </w:t>
      </w:r>
      <w:r>
        <w:rPr/>
        <w:t>públicas</w:t>
      </w:r>
      <w:r>
        <w:rPr>
          <w:spacing w:val="41"/>
        </w:rPr>
        <w:t> </w:t>
      </w:r>
      <w:r>
        <w:rPr/>
        <w:t>y</w:t>
      </w:r>
      <w:r>
        <w:rPr>
          <w:spacing w:val="41"/>
        </w:rPr>
        <w:t> </w:t>
      </w:r>
      <w:r>
        <w:rPr/>
        <w:t>privadas.</w:t>
      </w:r>
      <w:r>
        <w:rPr>
          <w:spacing w:val="41"/>
        </w:rPr>
        <w:t> </w:t>
      </w:r>
      <w:r>
        <w:rPr/>
        <w:t>Está</w:t>
      </w:r>
      <w:r>
        <w:rPr>
          <w:spacing w:val="41"/>
        </w:rPr>
        <w:t> </w:t>
      </w:r>
      <w:r>
        <w:rPr/>
        <w:t>organizado</w:t>
      </w:r>
      <w:r>
        <w:rPr>
          <w:w w:val="100"/>
        </w:rPr>
        <w:t> </w:t>
      </w:r>
      <w:r>
        <w:rPr/>
        <w:t>en</w:t>
      </w:r>
      <w:r>
        <w:rPr>
          <w:spacing w:val="14"/>
        </w:rPr>
        <w:t> </w:t>
      </w:r>
      <w:r>
        <w:rPr/>
        <w:t>siete</w:t>
      </w:r>
      <w:r>
        <w:rPr>
          <w:spacing w:val="14"/>
        </w:rPr>
        <w:t> </w:t>
      </w:r>
      <w:r>
        <w:rPr/>
        <w:t>ejes</w:t>
      </w:r>
      <w:r>
        <w:rPr>
          <w:spacing w:val="14"/>
        </w:rPr>
        <w:t> </w:t>
      </w:r>
      <w:r>
        <w:rPr/>
        <w:t>estratégicos:</w:t>
      </w:r>
      <w:r>
        <w:rPr>
          <w:spacing w:val="14"/>
        </w:rPr>
        <w:t> </w:t>
      </w:r>
      <w:r>
        <w:rPr/>
        <w:t>1.</w:t>
      </w:r>
      <w:r>
        <w:rPr>
          <w:spacing w:val="14"/>
        </w:rPr>
        <w:t> </w:t>
      </w:r>
      <w:r>
        <w:rPr/>
        <w:t>Reforma</w:t>
      </w:r>
      <w:r>
        <w:rPr>
          <w:spacing w:val="14"/>
        </w:rPr>
        <w:t> </w:t>
      </w:r>
      <w:r>
        <w:rPr/>
        <w:t>política</w:t>
      </w:r>
      <w:r>
        <w:rPr>
          <w:spacing w:val="14"/>
        </w:rPr>
        <w:t> </w:t>
      </w:r>
      <w:r>
        <w:rPr/>
        <w:t>con</w:t>
      </w:r>
      <w:r>
        <w:rPr>
          <w:spacing w:val="14"/>
        </w:rPr>
        <w:t> </w:t>
      </w:r>
      <w:r>
        <w:rPr/>
        <w:t>derechos</w:t>
      </w:r>
      <w:r>
        <w:rPr>
          <w:spacing w:val="14"/>
        </w:rPr>
        <w:t> </w:t>
      </w:r>
      <w:r>
        <w:rPr/>
        <w:t>plenos</w:t>
      </w:r>
      <w:r>
        <w:rPr>
          <w:spacing w:val="14"/>
        </w:rPr>
        <w:t> </w:t>
      </w:r>
      <w:r>
        <w:rPr/>
        <w:t>a</w:t>
      </w:r>
      <w:r>
        <w:rPr>
          <w:spacing w:val="14"/>
        </w:rPr>
        <w:t> </w:t>
      </w:r>
      <w:r>
        <w:rPr/>
        <w:t>la</w:t>
      </w:r>
      <w:r>
        <w:rPr>
          <w:spacing w:val="14"/>
        </w:rPr>
        <w:t> </w:t>
      </w:r>
      <w:r>
        <w:rPr/>
        <w:t>ciudad</w:t>
      </w:r>
      <w:r>
        <w:rPr>
          <w:spacing w:val="14"/>
        </w:rPr>
        <w:t> </w:t>
      </w:r>
      <w:r>
        <w:rPr/>
        <w:t>y</w:t>
      </w:r>
      <w:r>
        <w:rPr>
          <w:spacing w:val="14"/>
        </w:rPr>
        <w:t> </w:t>
      </w:r>
      <w:r>
        <w:rPr/>
        <w:t>sus habitantes;</w:t>
      </w:r>
      <w:r>
        <w:rPr>
          <w:spacing w:val="33"/>
        </w:rPr>
        <w:t> </w:t>
      </w:r>
      <w:r>
        <w:rPr/>
        <w:t>2.</w:t>
      </w:r>
      <w:r>
        <w:rPr>
          <w:spacing w:val="33"/>
        </w:rPr>
        <w:t> </w:t>
      </w:r>
      <w:r>
        <w:rPr/>
        <w:t>Equidad;</w:t>
      </w:r>
      <w:r>
        <w:rPr>
          <w:spacing w:val="33"/>
        </w:rPr>
        <w:t> </w:t>
      </w:r>
      <w:r>
        <w:rPr/>
        <w:t>3.</w:t>
      </w:r>
      <w:r>
        <w:rPr>
          <w:spacing w:val="33"/>
        </w:rPr>
        <w:t> </w:t>
      </w:r>
      <w:r>
        <w:rPr/>
        <w:t>Seguridad</w:t>
      </w:r>
      <w:r>
        <w:rPr>
          <w:spacing w:val="33"/>
        </w:rPr>
        <w:t> </w:t>
      </w:r>
      <w:r>
        <w:rPr/>
        <w:t>y</w:t>
      </w:r>
      <w:r>
        <w:rPr>
          <w:spacing w:val="33"/>
        </w:rPr>
        <w:t> </w:t>
      </w:r>
      <w:r>
        <w:rPr/>
        <w:t>justicia</w:t>
      </w:r>
      <w:r>
        <w:rPr>
          <w:spacing w:val="33"/>
        </w:rPr>
        <w:t> </w:t>
      </w:r>
      <w:r>
        <w:rPr/>
        <w:t>expedita;</w:t>
      </w:r>
      <w:r>
        <w:rPr>
          <w:spacing w:val="33"/>
        </w:rPr>
        <w:t> </w:t>
      </w:r>
      <w:r>
        <w:rPr/>
        <w:t>4.</w:t>
      </w:r>
      <w:r>
        <w:rPr>
          <w:spacing w:val="33"/>
        </w:rPr>
        <w:t> </w:t>
      </w:r>
      <w:r>
        <w:rPr/>
        <w:t>Economía</w:t>
      </w:r>
      <w:r>
        <w:rPr>
          <w:spacing w:val="33"/>
        </w:rPr>
        <w:t> </w:t>
      </w:r>
      <w:r>
        <w:rPr/>
        <w:t>competitiva</w:t>
      </w:r>
      <w:r>
        <w:rPr>
          <w:spacing w:val="33"/>
        </w:rPr>
        <w:t> </w:t>
      </w:r>
      <w:r>
        <w:rPr/>
        <w:t>e</w:t>
      </w:r>
      <w:r>
        <w:rPr>
          <w:w w:val="96"/>
        </w:rPr>
        <w:t> </w:t>
      </w:r>
      <w:r>
        <w:rPr/>
        <w:t>incluyente; 5. Intenso movimiento cultural; 6. Desarrollo sustentable y de largo</w:t>
      </w:r>
      <w:r>
        <w:rPr>
          <w:spacing w:val="-26"/>
        </w:rPr>
        <w:t> </w:t>
      </w:r>
      <w:r>
        <w:rPr/>
        <w:t>plazo;</w:t>
      </w:r>
      <w:r>
        <w:rPr>
          <w:spacing w:val="-3"/>
        </w:rPr>
        <w:t> </w:t>
      </w:r>
      <w:r>
        <w:rPr/>
        <w:t>7. Nuevo</w:t>
      </w:r>
      <w:r>
        <w:rPr>
          <w:spacing w:val="-11"/>
        </w:rPr>
        <w:t> </w:t>
      </w:r>
      <w:r>
        <w:rPr/>
        <w:t>orden</w:t>
      </w:r>
      <w:r>
        <w:rPr>
          <w:spacing w:val="-11"/>
        </w:rPr>
        <w:t> </w:t>
      </w:r>
      <w:r>
        <w:rPr/>
        <w:t>urbano,</w:t>
      </w:r>
      <w:r>
        <w:rPr>
          <w:spacing w:val="-11"/>
        </w:rPr>
        <w:t> </w:t>
      </w:r>
      <w:r>
        <w:rPr/>
        <w:t>servicios</w:t>
      </w:r>
      <w:r>
        <w:rPr>
          <w:spacing w:val="-11"/>
        </w:rPr>
        <w:t> </w:t>
      </w:r>
      <w:r>
        <w:rPr/>
        <w:t>eficientes</w:t>
      </w:r>
      <w:r>
        <w:rPr>
          <w:spacing w:val="-11"/>
        </w:rPr>
        <w:t> </w:t>
      </w:r>
      <w:r>
        <w:rPr/>
        <w:t>y</w:t>
      </w:r>
      <w:r>
        <w:rPr>
          <w:spacing w:val="-11"/>
        </w:rPr>
        <w:t> </w:t>
      </w:r>
      <w:r>
        <w:rPr/>
        <w:t>calidad</w:t>
      </w:r>
      <w:r>
        <w:rPr>
          <w:spacing w:val="-11"/>
        </w:rPr>
        <w:t> </w:t>
      </w:r>
      <w:r>
        <w:rPr/>
        <w:t>de</w:t>
      </w:r>
      <w:r>
        <w:rPr>
          <w:spacing w:val="-11"/>
        </w:rPr>
        <w:t> </w:t>
      </w:r>
      <w:r>
        <w:rPr/>
        <w:t>vida,</w:t>
      </w:r>
      <w:r>
        <w:rPr>
          <w:spacing w:val="-11"/>
        </w:rPr>
        <w:t> </w:t>
      </w:r>
      <w:r>
        <w:rPr/>
        <w:t>para</w:t>
      </w:r>
      <w:r>
        <w:rPr>
          <w:spacing w:val="-11"/>
        </w:rPr>
        <w:t> </w:t>
      </w:r>
      <w:r>
        <w:rPr/>
        <w:t>todos.</w:t>
      </w:r>
      <w:r>
        <w:rPr>
          <w:spacing w:val="-11"/>
        </w:rPr>
        <w:t> </w:t>
      </w:r>
      <w:r>
        <w:rPr/>
        <w:t>Están</w:t>
      </w:r>
      <w:r>
        <w:rPr>
          <w:spacing w:val="-11"/>
        </w:rPr>
        <w:t> </w:t>
      </w:r>
      <w:r>
        <w:rPr/>
        <w:t>abordados</w:t>
      </w:r>
      <w:r>
        <w:rPr>
          <w:w w:val="102"/>
        </w:rPr>
        <w:t> </w:t>
      </w:r>
      <w:r>
        <w:rPr/>
        <w:t>por tres perspectivas: Equidad de género; Ciencia y tecnología; y Desarrollo de</w:t>
      </w:r>
      <w:r>
        <w:rPr>
          <w:spacing w:val="44"/>
        </w:rPr>
        <w:t> </w:t>
      </w:r>
      <w:r>
        <w:rPr/>
        <w:t>la</w:t>
      </w:r>
      <w:r>
        <w:rPr>
          <w:spacing w:val="3"/>
        </w:rPr>
        <w:t> </w:t>
      </w:r>
      <w:r>
        <w:rPr/>
        <w:t>vida</w:t>
      </w:r>
      <w:r>
        <w:rPr>
          <w:w w:val="100"/>
        </w:rPr>
        <w:t> </w:t>
      </w:r>
      <w:r>
        <w:rPr/>
        <w:t>pública</w:t>
      </w:r>
      <w:r>
        <w:rPr>
          <w:spacing w:val="26"/>
        </w:rPr>
        <w:t> </w:t>
      </w:r>
      <w:r>
        <w:rPr/>
        <w:t>en</w:t>
      </w:r>
      <w:r>
        <w:rPr>
          <w:spacing w:val="26"/>
        </w:rPr>
        <w:t> </w:t>
      </w:r>
      <w:r>
        <w:rPr/>
        <w:t>la</w:t>
      </w:r>
      <w:r>
        <w:rPr>
          <w:spacing w:val="26"/>
        </w:rPr>
        <w:t> </w:t>
      </w:r>
      <w:r>
        <w:rPr/>
        <w:t>ciudad.</w:t>
      </w:r>
      <w:r>
        <w:rPr>
          <w:spacing w:val="26"/>
        </w:rPr>
        <w:t> </w:t>
      </w:r>
      <w:r>
        <w:rPr/>
        <w:t>A</w:t>
      </w:r>
      <w:r>
        <w:rPr>
          <w:spacing w:val="26"/>
        </w:rPr>
        <w:t> </w:t>
      </w:r>
      <w:r>
        <w:rPr/>
        <w:t>su</w:t>
      </w:r>
      <w:r>
        <w:rPr>
          <w:spacing w:val="26"/>
        </w:rPr>
        <w:t> </w:t>
      </w:r>
      <w:r>
        <w:rPr/>
        <w:t>vez</w:t>
      </w:r>
      <w:r>
        <w:rPr>
          <w:spacing w:val="26"/>
        </w:rPr>
        <w:t> </w:t>
      </w:r>
      <w:r>
        <w:rPr/>
        <w:t>el</w:t>
      </w:r>
      <w:r>
        <w:rPr>
          <w:spacing w:val="26"/>
        </w:rPr>
        <w:t> </w:t>
      </w:r>
      <w:r>
        <w:rPr/>
        <w:t>documento</w:t>
      </w:r>
      <w:r>
        <w:rPr>
          <w:spacing w:val="26"/>
        </w:rPr>
        <w:t> </w:t>
      </w:r>
      <w:r>
        <w:rPr/>
        <w:t>distingue</w:t>
      </w:r>
      <w:r>
        <w:rPr>
          <w:spacing w:val="26"/>
        </w:rPr>
        <w:t> </w:t>
      </w:r>
      <w:r>
        <w:rPr/>
        <w:t>la</w:t>
      </w:r>
      <w:r>
        <w:rPr>
          <w:spacing w:val="26"/>
        </w:rPr>
        <w:t> </w:t>
      </w:r>
      <w:r>
        <w:rPr/>
        <w:t>dimensión</w:t>
      </w:r>
      <w:r>
        <w:rPr>
          <w:spacing w:val="26"/>
        </w:rPr>
        <w:t> </w:t>
      </w:r>
      <w:r>
        <w:rPr/>
        <w:t>metropolitana</w:t>
      </w:r>
      <w:r>
        <w:rPr>
          <w:spacing w:val="26"/>
        </w:rPr>
        <w:t> </w:t>
      </w:r>
      <w:r>
        <w:rPr/>
        <w:t>y financiera</w:t>
      </w:r>
      <w:r>
        <w:rPr>
          <w:spacing w:val="-4"/>
        </w:rPr>
        <w:t> </w:t>
      </w:r>
      <w:r>
        <w:rPr/>
        <w:t>para</w:t>
      </w:r>
      <w:r>
        <w:rPr>
          <w:spacing w:val="-4"/>
        </w:rPr>
        <w:t> </w:t>
      </w:r>
      <w:r>
        <w:rPr/>
        <w:t>medir</w:t>
      </w:r>
      <w:r>
        <w:rPr>
          <w:spacing w:val="-4"/>
        </w:rPr>
        <w:t> </w:t>
      </w:r>
      <w:r>
        <w:rPr/>
        <w:t>la</w:t>
      </w:r>
      <w:r>
        <w:rPr>
          <w:spacing w:val="-4"/>
        </w:rPr>
        <w:t> </w:t>
      </w:r>
      <w:r>
        <w:rPr/>
        <w:t>eficacia</w:t>
      </w:r>
      <w:r>
        <w:rPr>
          <w:spacing w:val="-4"/>
        </w:rPr>
        <w:t> </w:t>
      </w:r>
      <w:r>
        <w:rPr/>
        <w:t>y</w:t>
      </w:r>
      <w:r>
        <w:rPr>
          <w:spacing w:val="-4"/>
        </w:rPr>
        <w:t> </w:t>
      </w:r>
      <w:r>
        <w:rPr/>
        <w:t>alcance</w:t>
      </w:r>
      <w:r>
        <w:rPr>
          <w:spacing w:val="-4"/>
        </w:rPr>
        <w:t> </w:t>
      </w:r>
      <w:r>
        <w:rPr/>
        <w:t>de</w:t>
      </w:r>
      <w:r>
        <w:rPr>
          <w:spacing w:val="-4"/>
        </w:rPr>
        <w:t> </w:t>
      </w:r>
      <w:r>
        <w:rPr/>
        <w:t>los</w:t>
      </w:r>
      <w:r>
        <w:rPr>
          <w:spacing w:val="-4"/>
        </w:rPr>
        <w:t> </w:t>
      </w:r>
      <w:r>
        <w:rPr/>
        <w:t>siete</w:t>
      </w:r>
      <w:r>
        <w:rPr>
          <w:spacing w:val="-4"/>
        </w:rPr>
        <w:t> </w:t>
      </w:r>
      <w:r>
        <w:rPr/>
        <w:t>ejes,</w:t>
      </w:r>
      <w:r>
        <w:rPr>
          <w:spacing w:val="-4"/>
        </w:rPr>
        <w:t> </w:t>
      </w:r>
      <w:r>
        <w:rPr/>
        <w:t>a</w:t>
      </w:r>
      <w:r>
        <w:rPr>
          <w:spacing w:val="-4"/>
        </w:rPr>
        <w:t> </w:t>
      </w:r>
      <w:r>
        <w:rPr/>
        <w:t>la</w:t>
      </w:r>
      <w:r>
        <w:rPr>
          <w:spacing w:val="-4"/>
        </w:rPr>
        <w:t> </w:t>
      </w:r>
      <w:r>
        <w:rPr/>
        <w:t>primera</w:t>
      </w:r>
      <w:r>
        <w:rPr>
          <w:spacing w:val="-4"/>
        </w:rPr>
        <w:t> </w:t>
      </w:r>
      <w:r>
        <w:rPr/>
        <w:t>le</w:t>
      </w:r>
      <w:r>
        <w:rPr>
          <w:spacing w:val="-4"/>
        </w:rPr>
        <w:t> </w:t>
      </w:r>
      <w:r>
        <w:rPr/>
        <w:t>corresponde</w:t>
      </w:r>
      <w:r>
        <w:rPr>
          <w:w w:val="101"/>
        </w:rPr>
        <w:t> </w:t>
      </w:r>
      <w:r>
        <w:rPr/>
        <w:t>la coordinación para la concertación de acciones comunes y a la</w:t>
      </w:r>
      <w:r>
        <w:rPr>
          <w:spacing w:val="36"/>
        </w:rPr>
        <w:t> </w:t>
      </w:r>
      <w:r>
        <w:rPr/>
        <w:t>segunda</w:t>
      </w:r>
      <w:r>
        <w:rPr>
          <w:spacing w:val="23"/>
        </w:rPr>
        <w:t> </w:t>
      </w:r>
      <w:r>
        <w:rPr/>
        <w:t>la</w:t>
      </w:r>
      <w:r>
        <w:rPr>
          <w:w w:val="97"/>
        </w:rPr>
        <w:t> </w:t>
      </w:r>
      <w:r>
        <w:rPr/>
        <w:t>coordinación de la aplicación de recursos públicos, donde confluyan</w:t>
      </w:r>
      <w:r>
        <w:rPr>
          <w:spacing w:val="25"/>
        </w:rPr>
        <w:t> </w:t>
      </w:r>
      <w:r>
        <w:rPr/>
        <w:t>las</w:t>
      </w:r>
      <w:r>
        <w:rPr>
          <w:spacing w:val="15"/>
        </w:rPr>
        <w:t> </w:t>
      </w:r>
      <w:r>
        <w:rPr/>
        <w:t>aportaciones</w:t>
      </w:r>
      <w:r>
        <w:rPr>
          <w:w w:val="101"/>
        </w:rPr>
        <w:t> </w:t>
      </w:r>
      <w:r>
        <w:rPr/>
        <w:t>de</w:t>
      </w:r>
      <w:r>
        <w:rPr>
          <w:spacing w:val="31"/>
        </w:rPr>
        <w:t> </w:t>
      </w:r>
      <w:r>
        <w:rPr/>
        <w:t>la</w:t>
      </w:r>
      <w:r>
        <w:rPr>
          <w:spacing w:val="31"/>
        </w:rPr>
        <w:t> </w:t>
      </w:r>
      <w:r>
        <w:rPr/>
        <w:t>comunidad</w:t>
      </w:r>
      <w:r>
        <w:rPr>
          <w:spacing w:val="31"/>
        </w:rPr>
        <w:t> </w:t>
      </w:r>
      <w:r>
        <w:rPr/>
        <w:t>y</w:t>
      </w:r>
      <w:r>
        <w:rPr>
          <w:spacing w:val="31"/>
        </w:rPr>
        <w:t> </w:t>
      </w:r>
      <w:r>
        <w:rPr/>
        <w:t>los</w:t>
      </w:r>
      <w:r>
        <w:rPr>
          <w:spacing w:val="31"/>
        </w:rPr>
        <w:t> </w:t>
      </w:r>
      <w:r>
        <w:rPr/>
        <w:t>recursos</w:t>
      </w:r>
      <w:r>
        <w:rPr>
          <w:spacing w:val="31"/>
        </w:rPr>
        <w:t> </w:t>
      </w:r>
      <w:r>
        <w:rPr/>
        <w:t>de</w:t>
      </w:r>
      <w:r>
        <w:rPr>
          <w:spacing w:val="31"/>
        </w:rPr>
        <w:t> </w:t>
      </w:r>
      <w:r>
        <w:rPr/>
        <w:t>los</w:t>
      </w:r>
      <w:r>
        <w:rPr>
          <w:spacing w:val="31"/>
        </w:rPr>
        <w:t> </w:t>
      </w:r>
      <w:r>
        <w:rPr/>
        <w:t>sectores</w:t>
      </w:r>
      <w:r>
        <w:rPr>
          <w:spacing w:val="31"/>
        </w:rPr>
        <w:t> </w:t>
      </w:r>
      <w:r>
        <w:rPr/>
        <w:t>de</w:t>
      </w:r>
      <w:r>
        <w:rPr>
          <w:spacing w:val="31"/>
        </w:rPr>
        <w:t> </w:t>
      </w:r>
      <w:r>
        <w:rPr/>
        <w:t>la</w:t>
      </w:r>
      <w:r>
        <w:rPr>
          <w:spacing w:val="31"/>
        </w:rPr>
        <w:t> </w:t>
      </w:r>
      <w:r>
        <w:rPr/>
        <w:t>economía,</w:t>
      </w:r>
      <w:r>
        <w:rPr>
          <w:spacing w:val="31"/>
        </w:rPr>
        <w:t> </w:t>
      </w:r>
      <w:r>
        <w:rPr/>
        <w:t>mediante</w:t>
      </w:r>
      <w:r>
        <w:rPr>
          <w:spacing w:val="31"/>
        </w:rPr>
        <w:t> </w:t>
      </w:r>
      <w:r>
        <w:rPr/>
        <w:t>alianzas</w:t>
      </w:r>
      <w:r>
        <w:rPr>
          <w:w w:val="97"/>
        </w:rPr>
        <w:t> </w:t>
      </w:r>
      <w:r>
        <w:rPr/>
        <w:t>estratégicas</w:t>
      </w:r>
      <w:r>
        <w:rPr>
          <w:spacing w:val="-7"/>
        </w:rPr>
        <w:t> </w:t>
      </w:r>
      <w:r>
        <w:rPr/>
        <w:t>y</w:t>
      </w:r>
      <w:r>
        <w:rPr>
          <w:spacing w:val="-7"/>
        </w:rPr>
        <w:t> </w:t>
      </w:r>
      <w:r>
        <w:rPr/>
        <w:t>otros</w:t>
      </w:r>
      <w:r>
        <w:rPr>
          <w:spacing w:val="-7"/>
        </w:rPr>
        <w:t> </w:t>
      </w:r>
      <w:r>
        <w:rPr/>
        <w:t>mecanismos</w:t>
      </w:r>
      <w:r>
        <w:rPr>
          <w:spacing w:val="-7"/>
        </w:rPr>
        <w:t> </w:t>
      </w:r>
      <w:r>
        <w:rPr/>
        <w:t>de</w:t>
      </w:r>
      <w:r>
        <w:rPr>
          <w:spacing w:val="-7"/>
        </w:rPr>
        <w:t> </w:t>
      </w:r>
      <w:r>
        <w:rPr/>
        <w:t>concertación</w:t>
      </w:r>
      <w:r>
        <w:rPr>
          <w:spacing w:val="-7"/>
        </w:rPr>
        <w:t> </w:t>
      </w:r>
      <w:r>
        <w:rPr/>
        <w:t>pública,</w:t>
      </w:r>
      <w:r>
        <w:rPr>
          <w:spacing w:val="-7"/>
        </w:rPr>
        <w:t> </w:t>
      </w:r>
      <w:r>
        <w:rPr/>
        <w:t>privada</w:t>
      </w:r>
      <w:r>
        <w:rPr>
          <w:spacing w:val="-7"/>
        </w:rPr>
        <w:t> </w:t>
      </w:r>
      <w:r>
        <w:rPr/>
        <w:t>y</w:t>
      </w:r>
      <w:r>
        <w:rPr>
          <w:spacing w:val="-7"/>
        </w:rPr>
        <w:t> </w:t>
      </w:r>
      <w:r>
        <w:rPr/>
        <w:t>social</w:t>
      </w:r>
      <w:r>
        <w:rPr>
          <w:spacing w:val="-7"/>
        </w:rPr>
        <w:t> </w:t>
      </w:r>
      <w:r>
        <w:rPr/>
        <w:t>(GDF,</w:t>
      </w:r>
      <w:r>
        <w:rPr>
          <w:spacing w:val="-7"/>
        </w:rPr>
        <w:t> </w:t>
      </w:r>
      <w:r>
        <w:rPr/>
        <w:t>2007).</w:t>
      </w:r>
    </w:p>
    <w:p>
      <w:pPr>
        <w:pStyle w:val="BodyText"/>
        <w:spacing w:before="11"/>
      </w:pPr>
    </w:p>
    <w:p>
      <w:pPr>
        <w:pStyle w:val="BodyText"/>
        <w:spacing w:line="249" w:lineRule="auto"/>
        <w:ind w:left="136" w:right="127" w:firstLine="170"/>
        <w:jc w:val="both"/>
      </w:pPr>
      <w:r>
        <w:rPr/>
        <w:t>En los últimos años, el PGDDF 2013-2018, se integra por cinco ejes: 1. Equidad e inclusión social para el desarrollo humano; 2. Gobernabilidad, seguridad y protección ciudadana; 3. Desarrollo económico sustentable; 4. Habitabilidad y servicios, espacio público</w:t>
      </w:r>
      <w:r>
        <w:rPr>
          <w:spacing w:val="-5"/>
        </w:rPr>
        <w:t> </w:t>
      </w:r>
      <w:r>
        <w:rPr/>
        <w:t>e</w:t>
      </w:r>
      <w:r>
        <w:rPr>
          <w:spacing w:val="-5"/>
        </w:rPr>
        <w:t> </w:t>
      </w:r>
      <w:r>
        <w:rPr/>
        <w:t>infraestructura;</w:t>
      </w:r>
      <w:r>
        <w:rPr>
          <w:spacing w:val="-5"/>
        </w:rPr>
        <w:t> </w:t>
      </w:r>
      <w:r>
        <w:rPr/>
        <w:t>5.</w:t>
      </w:r>
      <w:r>
        <w:rPr>
          <w:spacing w:val="-5"/>
        </w:rPr>
        <w:t> </w:t>
      </w:r>
      <w:r>
        <w:rPr/>
        <w:t>Efectividad,</w:t>
      </w:r>
      <w:r>
        <w:rPr>
          <w:spacing w:val="-5"/>
        </w:rPr>
        <w:t> </w:t>
      </w:r>
      <w:r>
        <w:rPr/>
        <w:t>rendición</w:t>
      </w:r>
      <w:r>
        <w:rPr>
          <w:spacing w:val="-5"/>
        </w:rPr>
        <w:t> </w:t>
      </w:r>
      <w:r>
        <w:rPr/>
        <w:t>de</w:t>
      </w:r>
      <w:r>
        <w:rPr>
          <w:spacing w:val="-5"/>
        </w:rPr>
        <w:t> </w:t>
      </w:r>
      <w:r>
        <w:rPr/>
        <w:t>cuentas</w:t>
      </w:r>
      <w:r>
        <w:rPr>
          <w:spacing w:val="-5"/>
        </w:rPr>
        <w:t> </w:t>
      </w:r>
      <w:r>
        <w:rPr/>
        <w:t>y</w:t>
      </w:r>
      <w:r>
        <w:rPr>
          <w:spacing w:val="-5"/>
        </w:rPr>
        <w:t> </w:t>
      </w:r>
      <w:r>
        <w:rPr/>
        <w:t>combate</w:t>
      </w:r>
      <w:r>
        <w:rPr>
          <w:spacing w:val="-5"/>
        </w:rPr>
        <w:t> </w:t>
      </w:r>
      <w:r>
        <w:rPr/>
        <w:t>a</w:t>
      </w:r>
      <w:r>
        <w:rPr>
          <w:spacing w:val="-5"/>
        </w:rPr>
        <w:t> </w:t>
      </w:r>
      <w:r>
        <w:rPr/>
        <w:t>la</w:t>
      </w:r>
      <w:r>
        <w:rPr>
          <w:spacing w:val="-5"/>
        </w:rPr>
        <w:t> </w:t>
      </w:r>
      <w:r>
        <w:rPr/>
        <w:t>corrupción Los cuales están ligados a ocho enfoques transversales: Derechos humanos, Igualdad de género, Participación ciudadana, Transparencia, Innovación, Ciencia y Tecnología, Sustentabilidad, Desarrollo metropolitano y Acción internacional. El Programa da impulso a la orientación progresista, retomando tanto los logros alcanzados como los retos pendientes (GDF,</w:t>
      </w:r>
      <w:r>
        <w:rPr>
          <w:spacing w:val="-27"/>
        </w:rPr>
        <w:t> </w:t>
      </w:r>
      <w:r>
        <w:rPr/>
        <w:t>2013).</w:t>
      </w:r>
    </w:p>
    <w:p>
      <w:pPr>
        <w:pStyle w:val="BodyText"/>
        <w:spacing w:before="11"/>
      </w:pPr>
    </w:p>
    <w:p>
      <w:pPr>
        <w:pStyle w:val="BodyText"/>
        <w:spacing w:line="249" w:lineRule="auto"/>
        <w:ind w:left="136" w:right="128" w:firstLine="170"/>
        <w:jc w:val="both"/>
      </w:pPr>
      <w:r>
        <w:rPr/>
        <w:t>En</w:t>
      </w:r>
      <w:r>
        <w:rPr>
          <w:spacing w:val="-14"/>
        </w:rPr>
        <w:t> </w:t>
      </w:r>
      <w:r>
        <w:rPr/>
        <w:t>el</w:t>
      </w:r>
      <w:r>
        <w:rPr>
          <w:spacing w:val="-14"/>
        </w:rPr>
        <w:t> </w:t>
      </w:r>
      <w:r>
        <w:rPr/>
        <w:t>Distrito</w:t>
      </w:r>
      <w:r>
        <w:rPr>
          <w:spacing w:val="-14"/>
        </w:rPr>
        <w:t> </w:t>
      </w:r>
      <w:r>
        <w:rPr/>
        <w:t>Federal,</w:t>
      </w:r>
      <w:r>
        <w:rPr>
          <w:spacing w:val="-14"/>
        </w:rPr>
        <w:t> </w:t>
      </w:r>
      <w:r>
        <w:rPr/>
        <w:t>corazón</w:t>
      </w:r>
      <w:r>
        <w:rPr>
          <w:spacing w:val="-14"/>
        </w:rPr>
        <w:t> </w:t>
      </w:r>
      <w:r>
        <w:rPr/>
        <w:t>de</w:t>
      </w:r>
      <w:r>
        <w:rPr>
          <w:spacing w:val="-14"/>
        </w:rPr>
        <w:t> </w:t>
      </w:r>
      <w:r>
        <w:rPr/>
        <w:t>la</w:t>
      </w:r>
      <w:r>
        <w:rPr>
          <w:spacing w:val="-14"/>
        </w:rPr>
        <w:t> </w:t>
      </w:r>
      <w:r>
        <w:rPr/>
        <w:t>Región</w:t>
      </w:r>
      <w:r>
        <w:rPr>
          <w:spacing w:val="-14"/>
        </w:rPr>
        <w:t> </w:t>
      </w:r>
      <w:r>
        <w:rPr/>
        <w:t>Centro,</w:t>
      </w:r>
      <w:r>
        <w:rPr>
          <w:spacing w:val="-14"/>
        </w:rPr>
        <w:t> </w:t>
      </w:r>
      <w:r>
        <w:rPr/>
        <w:t>en</w:t>
      </w:r>
      <w:r>
        <w:rPr>
          <w:spacing w:val="-14"/>
        </w:rPr>
        <w:t> </w:t>
      </w:r>
      <w:r>
        <w:rPr/>
        <w:t>la</w:t>
      </w:r>
      <w:r>
        <w:rPr>
          <w:spacing w:val="-14"/>
        </w:rPr>
        <w:t> </w:t>
      </w:r>
      <w:r>
        <w:rPr/>
        <w:t>primera</w:t>
      </w:r>
      <w:r>
        <w:rPr>
          <w:spacing w:val="-14"/>
        </w:rPr>
        <w:t> </w:t>
      </w:r>
      <w:r>
        <w:rPr/>
        <w:t>década</w:t>
      </w:r>
      <w:r>
        <w:rPr>
          <w:spacing w:val="-14"/>
        </w:rPr>
        <w:t> </w:t>
      </w:r>
      <w:r>
        <w:rPr/>
        <w:t>del</w:t>
      </w:r>
      <w:r>
        <w:rPr>
          <w:spacing w:val="-14"/>
        </w:rPr>
        <w:t> </w:t>
      </w:r>
      <w:r>
        <w:rPr/>
        <w:t>siglo</w:t>
      </w:r>
      <w:r>
        <w:rPr>
          <w:spacing w:val="-14"/>
        </w:rPr>
        <w:t> </w:t>
      </w:r>
      <w:r>
        <w:rPr/>
        <w:t>XXI, son explícitas las estrategias territoriales y sociales en los programas propuestos en   el nivel agregado de gobierno, se destaca el papel de las delegaciones como aquellas encargadas de la evaluación de los programas, estrategias y</w:t>
      </w:r>
      <w:r>
        <w:rPr>
          <w:spacing w:val="41"/>
        </w:rPr>
        <w:t> </w:t>
      </w:r>
      <w:r>
        <w:rPr/>
        <w:t>objetivos.</w:t>
      </w:r>
    </w:p>
    <w:p>
      <w:pPr>
        <w:pStyle w:val="BodyText"/>
        <w:spacing w:before="11"/>
      </w:pPr>
    </w:p>
    <w:p>
      <w:pPr>
        <w:pStyle w:val="BodyText"/>
        <w:spacing w:line="249" w:lineRule="auto"/>
        <w:ind w:left="136" w:right="127" w:firstLine="170"/>
        <w:jc w:val="both"/>
      </w:pPr>
      <w:r>
        <w:rPr/>
        <w:t>En el Estado de Hidalgo, el Plan Estatal de Desarrollo 2005-2011 (PED) postula una política de desarrollo que aspira a adquirir un carácter integral y sustento federalista con la participación corresponsable de las organizaciones del Estado. Se compromete a impulsar la participación social, mediante la participación organizada de la sociedad en la definición de las políticas públicas. El documento define cinco ejes rectores: 1.</w:t>
      </w:r>
    </w:p>
    <w:p>
      <w:pPr>
        <w:spacing w:after="0" w:line="249" w:lineRule="auto"/>
        <w:jc w:val="both"/>
        <w:sectPr>
          <w:type w:val="continuous"/>
          <w:pgSz w:w="18830" w:h="12760" w:orient="landscape"/>
          <w:pgMar w:top="1420" w:bottom="280" w:left="720" w:right="720"/>
          <w:cols w:num="2" w:equalWidth="0">
            <w:col w:w="7848" w:space="1556"/>
            <w:col w:w="7986"/>
          </w:cols>
        </w:sectPr>
      </w:pPr>
    </w:p>
    <w:p>
      <w:pPr>
        <w:pStyle w:val="BodyText"/>
        <w:spacing w:before="6"/>
        <w:rPr>
          <w:sz w:val="23"/>
        </w:rPr>
      </w:pPr>
    </w:p>
    <w:p>
      <w:pPr>
        <w:spacing w:after="0"/>
        <w:rPr>
          <w:sz w:val="23"/>
        </w:rPr>
        <w:sectPr>
          <w:footerReference w:type="default" r:id="rId390"/>
          <w:pgSz w:w="18830" w:h="12760" w:orient="landscape"/>
          <w:pgMar w:footer="1036" w:header="522" w:top="820" w:bottom="1220" w:left="720" w:right="720"/>
        </w:sectPr>
      </w:pPr>
    </w:p>
    <w:p>
      <w:pPr>
        <w:pStyle w:val="BodyText"/>
        <w:spacing w:before="76"/>
        <w:ind w:left="58"/>
        <w:jc w:val="right"/>
      </w:pPr>
      <w:r>
        <w:rPr/>
        <w:t>Empleo y productividad para el desarrollo; 2. Calidad de vida para el bienestar   social;</w:t>
      </w:r>
    </w:p>
    <w:p>
      <w:pPr>
        <w:pStyle w:val="BodyText"/>
        <w:spacing w:line="249" w:lineRule="auto" w:before="10"/>
        <w:ind w:left="58"/>
        <w:jc w:val="right"/>
      </w:pPr>
      <w:r>
        <w:rPr/>
        <w:t>3. Vocación regional y sustentabilidad para el progreso; 4. Fortaleza</w:t>
      </w:r>
      <w:r>
        <w:rPr>
          <w:spacing w:val="51"/>
        </w:rPr>
        <w:t> </w:t>
      </w:r>
      <w:r>
        <w:rPr/>
        <w:t>institucional</w:t>
      </w:r>
      <w:r>
        <w:rPr>
          <w:spacing w:val="10"/>
        </w:rPr>
        <w:t> </w:t>
      </w:r>
      <w:r>
        <w:rPr/>
        <w:t>para</w:t>
      </w:r>
      <w:r>
        <w:rPr>
          <w:w w:val="99"/>
        </w:rPr>
        <w:t> </w:t>
      </w:r>
      <w:r>
        <w:rPr/>
        <w:t>la</w:t>
      </w:r>
      <w:r>
        <w:rPr>
          <w:spacing w:val="-11"/>
        </w:rPr>
        <w:t> </w:t>
      </w:r>
      <w:r>
        <w:rPr/>
        <w:t>tutela</w:t>
      </w:r>
      <w:r>
        <w:rPr>
          <w:spacing w:val="-11"/>
        </w:rPr>
        <w:t> </w:t>
      </w:r>
      <w:r>
        <w:rPr/>
        <w:t>de</w:t>
      </w:r>
      <w:r>
        <w:rPr>
          <w:spacing w:val="-11"/>
        </w:rPr>
        <w:t> </w:t>
      </w:r>
      <w:r>
        <w:rPr/>
        <w:t>derechos;</w:t>
      </w:r>
      <w:r>
        <w:rPr>
          <w:spacing w:val="-11"/>
        </w:rPr>
        <w:t> </w:t>
      </w:r>
      <w:r>
        <w:rPr/>
        <w:t>y</w:t>
      </w:r>
      <w:r>
        <w:rPr>
          <w:spacing w:val="-11"/>
        </w:rPr>
        <w:t> </w:t>
      </w:r>
      <w:r>
        <w:rPr/>
        <w:t>5.</w:t>
      </w:r>
      <w:r>
        <w:rPr>
          <w:spacing w:val="-11"/>
        </w:rPr>
        <w:t> </w:t>
      </w:r>
      <w:r>
        <w:rPr/>
        <w:t>Honestidad</w:t>
      </w:r>
      <w:r>
        <w:rPr>
          <w:spacing w:val="-11"/>
        </w:rPr>
        <w:t> </w:t>
      </w:r>
      <w:r>
        <w:rPr/>
        <w:t>y</w:t>
      </w:r>
      <w:r>
        <w:rPr>
          <w:spacing w:val="-11"/>
        </w:rPr>
        <w:t> </w:t>
      </w:r>
      <w:r>
        <w:rPr/>
        <w:t>eficiencia</w:t>
      </w:r>
      <w:r>
        <w:rPr>
          <w:spacing w:val="-11"/>
        </w:rPr>
        <w:t> </w:t>
      </w:r>
      <w:r>
        <w:rPr/>
        <w:t>para</w:t>
      </w:r>
      <w:r>
        <w:rPr>
          <w:spacing w:val="-11"/>
        </w:rPr>
        <w:t> </w:t>
      </w:r>
      <w:r>
        <w:rPr/>
        <w:t>servir</w:t>
      </w:r>
      <w:r>
        <w:rPr>
          <w:spacing w:val="-11"/>
        </w:rPr>
        <w:t> </w:t>
      </w:r>
      <w:r>
        <w:rPr/>
        <w:t>a</w:t>
      </w:r>
      <w:r>
        <w:rPr>
          <w:spacing w:val="-11"/>
        </w:rPr>
        <w:t> </w:t>
      </w:r>
      <w:r>
        <w:rPr/>
        <w:t>la</w:t>
      </w:r>
      <w:r>
        <w:rPr>
          <w:spacing w:val="-11"/>
        </w:rPr>
        <w:t> </w:t>
      </w:r>
      <w:r>
        <w:rPr/>
        <w:t>sociedad.</w:t>
      </w:r>
      <w:r>
        <w:rPr>
          <w:spacing w:val="-11"/>
        </w:rPr>
        <w:t> </w:t>
      </w:r>
      <w:r>
        <w:rPr/>
        <w:t>(GEH,</w:t>
      </w:r>
      <w:r>
        <w:rPr>
          <w:spacing w:val="-11"/>
        </w:rPr>
        <w:t> </w:t>
      </w:r>
      <w:r>
        <w:rPr/>
        <w:t>2005)</w:t>
      </w:r>
    </w:p>
    <w:p>
      <w:pPr>
        <w:pStyle w:val="BodyText"/>
        <w:spacing w:before="11"/>
      </w:pPr>
    </w:p>
    <w:p>
      <w:pPr>
        <w:pStyle w:val="BodyText"/>
        <w:spacing w:line="249" w:lineRule="auto"/>
        <w:ind w:left="136" w:firstLine="170"/>
        <w:jc w:val="both"/>
      </w:pPr>
      <w:r>
        <w:rPr/>
        <w:t>El PED 2011-2016 del Estado de Hidalgo, pretende atender las demandas y expectativas de la población con especial énfasis en el bienestar de las comunidades, para enfrentar la marginación y a la pobreza. Mediante la consolidación de programas de mejoramiento de vivienda, salud comunitaria y proyectos productivos, que posibiliten atención integral a todas las regiones y con carácter de prioritario a los</w:t>
      </w:r>
      <w:r>
        <w:rPr>
          <w:w w:val="101"/>
        </w:rPr>
        <w:t> </w:t>
      </w:r>
      <w:r>
        <w:rPr/>
        <w:t>grupos en condiciones de vulnerabilidad. En materia de organización territorial, busca “garantizar un crecimiento urbano, rural y regional concentrado en polos de desarrollo eficazmente planificado, orientados hacia un crecimiento equilibrado y ordenado, propicio al desarrollo de las actividades económicas y sociales, a la preservación de las condiciones que aseguran la calidad de vida de sus habitantes y en armonía con el medio ambiente y sus recursos naturales” (GEH, 2011, p.22).</w:t>
      </w:r>
    </w:p>
    <w:p>
      <w:pPr>
        <w:pStyle w:val="BodyText"/>
        <w:spacing w:before="11"/>
      </w:pPr>
    </w:p>
    <w:p>
      <w:pPr>
        <w:pStyle w:val="BodyText"/>
        <w:spacing w:line="249" w:lineRule="auto"/>
        <w:ind w:left="136" w:firstLine="170"/>
        <w:jc w:val="both"/>
      </w:pPr>
      <w:r>
        <w:rPr/>
        <w:t>Los gobiernos del Estado de Hidalgo, en el período de estudio, formularon en sus documentos acciones de desarrollo que deberán evaluarse a nivel de las regiones internas, dado que persiguen atender las disparidades regionales, aprovechando  polos de desarrollo con enfoque de sustentabilidad y atención prioritarias a los grupos vulnerables; así como la orientación de sus políticas a la solución de las problemáticas deslumbradas en sus</w:t>
      </w:r>
      <w:r>
        <w:rPr>
          <w:spacing w:val="39"/>
        </w:rPr>
        <w:t> </w:t>
      </w:r>
      <w:r>
        <w:rPr/>
        <w:t>diagnósticos.</w:t>
      </w:r>
    </w:p>
    <w:p>
      <w:pPr>
        <w:pStyle w:val="BodyText"/>
        <w:spacing w:before="11"/>
      </w:pPr>
    </w:p>
    <w:p>
      <w:pPr>
        <w:pStyle w:val="BodyText"/>
        <w:spacing w:line="249" w:lineRule="auto"/>
        <w:ind w:left="136" w:firstLine="170"/>
        <w:jc w:val="both"/>
      </w:pPr>
      <w:r>
        <w:rPr/>
        <w:t>En el Estado de México, el Plan de Desarrollo del Estado de México 1999-2005, propone una política económica y social con carácter integral para el mejoramiento    de la calidad de vida de la población. El Plan presenta ocho ejes de desarrollo: 1. Seguridad pública y procuración de justicia; 2. Desarrollo económico y empleo; 3. Desarrollo social y combate a la pobreza; 4. Desarrollo regional; 5. Modernización integral</w:t>
      </w:r>
      <w:r>
        <w:rPr>
          <w:spacing w:val="-18"/>
        </w:rPr>
        <w:t> </w:t>
      </w:r>
      <w:r>
        <w:rPr/>
        <w:t>de</w:t>
      </w:r>
      <w:r>
        <w:rPr>
          <w:spacing w:val="-18"/>
        </w:rPr>
        <w:t> </w:t>
      </w:r>
      <w:r>
        <w:rPr/>
        <w:t>la</w:t>
      </w:r>
      <w:r>
        <w:rPr>
          <w:spacing w:val="-18"/>
        </w:rPr>
        <w:t> </w:t>
      </w:r>
      <w:r>
        <w:rPr/>
        <w:t>administración</w:t>
      </w:r>
      <w:r>
        <w:rPr>
          <w:spacing w:val="-18"/>
        </w:rPr>
        <w:t> </w:t>
      </w:r>
      <w:r>
        <w:rPr/>
        <w:t>pública;</w:t>
      </w:r>
      <w:r>
        <w:rPr>
          <w:spacing w:val="-18"/>
        </w:rPr>
        <w:t> </w:t>
      </w:r>
      <w:r>
        <w:rPr/>
        <w:t>6.</w:t>
      </w:r>
      <w:r>
        <w:rPr>
          <w:spacing w:val="-18"/>
        </w:rPr>
        <w:t> </w:t>
      </w:r>
      <w:r>
        <w:rPr/>
        <w:t>Desarrollo</w:t>
      </w:r>
      <w:r>
        <w:rPr>
          <w:spacing w:val="-18"/>
        </w:rPr>
        <w:t> </w:t>
      </w:r>
      <w:r>
        <w:rPr/>
        <w:t>urbano</w:t>
      </w:r>
      <w:r>
        <w:rPr>
          <w:spacing w:val="-18"/>
        </w:rPr>
        <w:t> </w:t>
      </w:r>
      <w:r>
        <w:rPr/>
        <w:t>sustentable;</w:t>
      </w:r>
      <w:r>
        <w:rPr>
          <w:spacing w:val="-18"/>
        </w:rPr>
        <w:t> </w:t>
      </w:r>
      <w:r>
        <w:rPr/>
        <w:t>7.</w:t>
      </w:r>
      <w:r>
        <w:rPr>
          <w:spacing w:val="-18"/>
        </w:rPr>
        <w:t> </w:t>
      </w:r>
      <w:r>
        <w:rPr/>
        <w:t>Financiamiento para el desarrollo; y 8. Desarrollo político. Con un enfoque sectorial da énfasis a una estrategia regional. Destaca dos problemáticas de la entidad: por un lado, se dan   altas concentraciones de población y actividades que a largo plazo han traído como consecuencia graves desequilibrios en el interior del territorio estatal y por el otro, existen comunidades rurales dispersas en las que la oferta de servicios públicos se dificulta y se agudizan las condiciones de pobreza. (GEM,</w:t>
      </w:r>
      <w:r>
        <w:rPr>
          <w:spacing w:val="11"/>
        </w:rPr>
        <w:t> </w:t>
      </w:r>
      <w:r>
        <w:rPr/>
        <w:t>1999)</w:t>
      </w:r>
    </w:p>
    <w:p>
      <w:pPr>
        <w:pStyle w:val="BodyText"/>
        <w:spacing w:before="11"/>
      </w:pPr>
    </w:p>
    <w:p>
      <w:pPr>
        <w:pStyle w:val="BodyText"/>
        <w:spacing w:line="249" w:lineRule="auto"/>
        <w:ind w:left="136" w:firstLine="170"/>
        <w:jc w:val="both"/>
      </w:pPr>
      <w:r>
        <w:rPr/>
        <w:t>Por su parte el Plan de Desarrollo del Estado de México 2005-2011, busca conducir el esfuerzo social para concretar acciones, programas y proyectos que impacten positivamente en la calidad de vida. Está orientado a la Seguridad Integral sustentado en tres pilares: Seguridad social, Seguridad económica y Seguridad pública mediante los</w:t>
      </w:r>
      <w:r>
        <w:rPr>
          <w:spacing w:val="-17"/>
        </w:rPr>
        <w:t> </w:t>
      </w:r>
      <w:r>
        <w:rPr/>
        <w:t>cuales</w:t>
      </w:r>
      <w:r>
        <w:rPr>
          <w:spacing w:val="-17"/>
        </w:rPr>
        <w:t> </w:t>
      </w:r>
      <w:r>
        <w:rPr/>
        <w:t>persigue</w:t>
      </w:r>
      <w:r>
        <w:rPr>
          <w:spacing w:val="-17"/>
        </w:rPr>
        <w:t> </w:t>
      </w:r>
      <w:r>
        <w:rPr/>
        <w:t>el</w:t>
      </w:r>
      <w:r>
        <w:rPr>
          <w:spacing w:val="-17"/>
        </w:rPr>
        <w:t> </w:t>
      </w:r>
      <w:r>
        <w:rPr/>
        <w:t>desarrollo</w:t>
      </w:r>
      <w:r>
        <w:rPr>
          <w:spacing w:val="-17"/>
        </w:rPr>
        <w:t> </w:t>
      </w:r>
      <w:r>
        <w:rPr/>
        <w:t>de</w:t>
      </w:r>
      <w:r>
        <w:rPr>
          <w:spacing w:val="-17"/>
        </w:rPr>
        <w:t> </w:t>
      </w:r>
      <w:r>
        <w:rPr/>
        <w:t>la</w:t>
      </w:r>
      <w:r>
        <w:rPr>
          <w:spacing w:val="-17"/>
        </w:rPr>
        <w:t> </w:t>
      </w:r>
      <w:r>
        <w:rPr/>
        <w:t>entidad,</w:t>
      </w:r>
      <w:r>
        <w:rPr>
          <w:spacing w:val="-17"/>
        </w:rPr>
        <w:t> </w:t>
      </w:r>
      <w:r>
        <w:rPr/>
        <w:t>elevar</w:t>
      </w:r>
      <w:r>
        <w:rPr>
          <w:spacing w:val="-17"/>
        </w:rPr>
        <w:t> </w:t>
      </w:r>
      <w:r>
        <w:rPr/>
        <w:t>el</w:t>
      </w:r>
      <w:r>
        <w:rPr>
          <w:spacing w:val="-17"/>
        </w:rPr>
        <w:t> </w:t>
      </w:r>
      <w:r>
        <w:rPr/>
        <w:t>nivel</w:t>
      </w:r>
      <w:r>
        <w:rPr>
          <w:spacing w:val="-17"/>
        </w:rPr>
        <w:t> </w:t>
      </w:r>
      <w:r>
        <w:rPr/>
        <w:t>de</w:t>
      </w:r>
      <w:r>
        <w:rPr>
          <w:spacing w:val="-17"/>
        </w:rPr>
        <w:t> </w:t>
      </w:r>
      <w:r>
        <w:rPr/>
        <w:t>bienestar</w:t>
      </w:r>
      <w:r>
        <w:rPr>
          <w:spacing w:val="-17"/>
        </w:rPr>
        <w:t> </w:t>
      </w:r>
      <w:r>
        <w:rPr/>
        <w:t>de</w:t>
      </w:r>
      <w:r>
        <w:rPr>
          <w:spacing w:val="-17"/>
        </w:rPr>
        <w:t> </w:t>
      </w:r>
      <w:r>
        <w:rPr/>
        <w:t>la</w:t>
      </w:r>
      <w:r>
        <w:rPr>
          <w:spacing w:val="-17"/>
        </w:rPr>
        <w:t> </w:t>
      </w:r>
      <w:r>
        <w:rPr/>
        <w:t>población y servicios públicos suficientes y de calidad. (GEM,</w:t>
      </w:r>
      <w:r>
        <w:rPr>
          <w:spacing w:val="24"/>
        </w:rPr>
        <w:t> </w:t>
      </w:r>
      <w:r>
        <w:rPr/>
        <w:t>2005)</w:t>
      </w:r>
    </w:p>
    <w:p>
      <w:pPr>
        <w:pStyle w:val="BodyText"/>
        <w:spacing w:line="249" w:lineRule="auto" w:before="76"/>
        <w:ind w:left="136" w:right="127" w:firstLine="170"/>
        <w:jc w:val="both"/>
      </w:pPr>
      <w:r>
        <w:rPr/>
        <w:br w:type="column"/>
      </w:r>
      <w:r>
        <w:rPr/>
        <w:t>El Plan de Desarrollo 2011-2017, considera la situación internacional que puede aprovechar la política pública para la entidad, además de atender las necesidades     de desarrollo de la entidad. Se definen los pilares de: Gobierno solidario, Estado progresista y Sociedad protegida, mismos que se encuentran vinculados a tres ejes transversales: Gobierno municipalista, Gestión de resultados y financiamiento para     el desarrollo. Proyecta una visión integral, el perfil y la vocación económica y social   de cada región y municipio con la finalidad de aprovechar áreas de oportunidad y fomentar el crecimiento de las zonas rurales, urbanas y metropolitanas de la entidad. </w:t>
      </w:r>
      <w:r>
        <w:rPr>
          <w:w w:val="95"/>
        </w:rPr>
        <w:t>(GEM,</w:t>
      </w:r>
      <w:r>
        <w:rPr>
          <w:spacing w:val="20"/>
          <w:w w:val="95"/>
        </w:rPr>
        <w:t> </w:t>
      </w:r>
      <w:r>
        <w:rPr>
          <w:w w:val="95"/>
        </w:rPr>
        <w:t>2011)</w:t>
      </w:r>
    </w:p>
    <w:p>
      <w:pPr>
        <w:pStyle w:val="BodyText"/>
        <w:spacing w:before="11"/>
      </w:pPr>
    </w:p>
    <w:p>
      <w:pPr>
        <w:pStyle w:val="BodyText"/>
        <w:spacing w:line="249" w:lineRule="auto"/>
        <w:ind w:left="136" w:right="128" w:firstLine="170"/>
        <w:jc w:val="both"/>
      </w:pPr>
      <w:r>
        <w:rPr/>
        <w:t>Los gobiernos del Estado de México, en el período de estudio, formularon en sus documentos de desarrollo por regiones internas, municipios y zonas metropolitanas, sin embargo no formulan evaluaciones de alcance de las metas y objetivos; a su vez en el último periodo está orientado al desarrollo económico de la entidad cambiando el enfoque de los últimos dos periodos de gobierno que le </w:t>
      </w:r>
      <w:r>
        <w:rPr>
          <w:spacing w:val="26"/>
        </w:rPr>
        <w:t> </w:t>
      </w:r>
      <w:r>
        <w:rPr/>
        <w:t>anteceden.</w:t>
      </w:r>
    </w:p>
    <w:p>
      <w:pPr>
        <w:pStyle w:val="BodyText"/>
        <w:spacing w:before="11"/>
      </w:pPr>
    </w:p>
    <w:p>
      <w:pPr>
        <w:pStyle w:val="BodyText"/>
        <w:spacing w:line="249" w:lineRule="auto"/>
        <w:ind w:left="136" w:right="127" w:firstLine="170"/>
        <w:jc w:val="both"/>
      </w:pPr>
      <w:r>
        <w:rPr/>
        <w:t>Para el Estado de Morelos, El PED 2007-2012, se concibe con base en tres ejes transversales: Gobernabilidad, Participación ciudadana y Transparencia, busca</w:t>
      </w:r>
      <w:r>
        <w:rPr>
          <w:spacing w:val="-31"/>
        </w:rPr>
        <w:t> </w:t>
      </w:r>
      <w:r>
        <w:rPr/>
        <w:t>ampliar las capacidades y brindar mejores oportunidades para el desarrollo y la integración    de la población, las comunidades y las regiones; mediante la generación de más y mejores empleos, impulsar la competitividad de las empresas, a su vez de proteger     y aprovechar sustentablemente el patrimonio ecológico y cultural del Estado. Se instrumenta mediante un Sistema Estatal de Planeación y Gestión Estratégica constituido por: Programas Sectoriales, Programas Operativos Anuales, Programas Regionales</w:t>
      </w:r>
      <w:r>
        <w:rPr>
          <w:spacing w:val="-8"/>
        </w:rPr>
        <w:t> </w:t>
      </w:r>
      <w:r>
        <w:rPr/>
        <w:t>y</w:t>
      </w:r>
      <w:r>
        <w:rPr>
          <w:spacing w:val="-8"/>
        </w:rPr>
        <w:t> </w:t>
      </w:r>
      <w:r>
        <w:rPr/>
        <w:t>Planes</w:t>
      </w:r>
      <w:r>
        <w:rPr>
          <w:spacing w:val="-8"/>
        </w:rPr>
        <w:t> </w:t>
      </w:r>
      <w:r>
        <w:rPr/>
        <w:t>Municipales,</w:t>
      </w:r>
      <w:r>
        <w:rPr>
          <w:spacing w:val="-8"/>
        </w:rPr>
        <w:t> </w:t>
      </w:r>
      <w:r>
        <w:rPr/>
        <w:t>como</w:t>
      </w:r>
      <w:r>
        <w:rPr>
          <w:spacing w:val="-8"/>
        </w:rPr>
        <w:t> </w:t>
      </w:r>
      <w:r>
        <w:rPr/>
        <w:t>el</w:t>
      </w:r>
      <w:r>
        <w:rPr>
          <w:spacing w:val="-8"/>
        </w:rPr>
        <w:t> </w:t>
      </w:r>
      <w:r>
        <w:rPr/>
        <w:t>diseño</w:t>
      </w:r>
      <w:r>
        <w:rPr>
          <w:spacing w:val="-8"/>
        </w:rPr>
        <w:t> </w:t>
      </w:r>
      <w:r>
        <w:rPr/>
        <w:t>de</w:t>
      </w:r>
      <w:r>
        <w:rPr>
          <w:spacing w:val="-8"/>
        </w:rPr>
        <w:t> </w:t>
      </w:r>
      <w:r>
        <w:rPr/>
        <w:t>un</w:t>
      </w:r>
      <w:r>
        <w:rPr>
          <w:spacing w:val="-8"/>
        </w:rPr>
        <w:t> </w:t>
      </w:r>
      <w:r>
        <w:rPr/>
        <w:t>sistema</w:t>
      </w:r>
      <w:r>
        <w:rPr>
          <w:spacing w:val="-8"/>
        </w:rPr>
        <w:t> </w:t>
      </w:r>
      <w:r>
        <w:rPr/>
        <w:t>de</w:t>
      </w:r>
      <w:r>
        <w:rPr>
          <w:spacing w:val="-8"/>
        </w:rPr>
        <w:t> </w:t>
      </w:r>
      <w:r>
        <w:rPr/>
        <w:t>indicadores</w:t>
      </w:r>
      <w:r>
        <w:rPr>
          <w:spacing w:val="-8"/>
        </w:rPr>
        <w:t> </w:t>
      </w:r>
      <w:r>
        <w:rPr/>
        <w:t>y</w:t>
      </w:r>
      <w:r>
        <w:rPr>
          <w:spacing w:val="-8"/>
        </w:rPr>
        <w:t> </w:t>
      </w:r>
      <w:r>
        <w:rPr/>
        <w:t>metas que permite la estandarización de datos, la medición del logro de los objetivos, su revisión y su posterior evaluación, para su mejoramiento. (GEMor,</w:t>
      </w:r>
      <w:r>
        <w:rPr>
          <w:spacing w:val="-6"/>
        </w:rPr>
        <w:t> </w:t>
      </w:r>
      <w:r>
        <w:rPr/>
        <w:t>2007)</w:t>
      </w:r>
    </w:p>
    <w:p>
      <w:pPr>
        <w:pStyle w:val="BodyText"/>
        <w:spacing w:before="11"/>
      </w:pPr>
    </w:p>
    <w:p>
      <w:pPr>
        <w:pStyle w:val="BodyText"/>
        <w:spacing w:line="249" w:lineRule="auto"/>
        <w:ind w:left="136" w:right="129" w:firstLine="170"/>
        <w:jc w:val="both"/>
      </w:pPr>
      <w:r>
        <w:rPr/>
        <w:t>El Plan Estatal de Desarrollo 2013–2018, se constituye por 5 ejes: 1.  Morelos Seguro y Justo; 2. Morelos con Inversión Social para la Construcción de    Ciudadanía;</w:t>
      </w:r>
    </w:p>
    <w:p>
      <w:pPr>
        <w:pStyle w:val="BodyText"/>
        <w:spacing w:line="249" w:lineRule="auto" w:before="1"/>
        <w:ind w:left="136" w:right="129"/>
        <w:jc w:val="both"/>
      </w:pPr>
      <w:r>
        <w:rPr/>
        <w:t>3. Morelos Atractivo, Competitivo e Innovador; 4. Morelos Verde y Sustentable; y 5. Morelos</w:t>
      </w:r>
      <w:r>
        <w:rPr>
          <w:spacing w:val="-8"/>
        </w:rPr>
        <w:t> </w:t>
      </w:r>
      <w:r>
        <w:rPr/>
        <w:t>Transparente</w:t>
      </w:r>
      <w:r>
        <w:rPr>
          <w:spacing w:val="-8"/>
        </w:rPr>
        <w:t> </w:t>
      </w:r>
      <w:r>
        <w:rPr/>
        <w:t>y</w:t>
      </w:r>
      <w:r>
        <w:rPr>
          <w:spacing w:val="-8"/>
        </w:rPr>
        <w:t> </w:t>
      </w:r>
      <w:r>
        <w:rPr/>
        <w:t>con</w:t>
      </w:r>
      <w:r>
        <w:rPr>
          <w:spacing w:val="-8"/>
        </w:rPr>
        <w:t> </w:t>
      </w:r>
      <w:r>
        <w:rPr/>
        <w:t>Democracia</w:t>
      </w:r>
      <w:r>
        <w:rPr>
          <w:spacing w:val="-8"/>
        </w:rPr>
        <w:t> </w:t>
      </w:r>
      <w:r>
        <w:rPr/>
        <w:t>Participativa.</w:t>
      </w:r>
      <w:r>
        <w:rPr>
          <w:spacing w:val="-8"/>
        </w:rPr>
        <w:t> </w:t>
      </w:r>
      <w:r>
        <w:rPr/>
        <w:t>Está</w:t>
      </w:r>
      <w:r>
        <w:rPr>
          <w:spacing w:val="-8"/>
        </w:rPr>
        <w:t> </w:t>
      </w:r>
      <w:r>
        <w:rPr/>
        <w:t>orientado</w:t>
      </w:r>
      <w:r>
        <w:rPr>
          <w:spacing w:val="-8"/>
        </w:rPr>
        <w:t> </w:t>
      </w:r>
      <w:r>
        <w:rPr/>
        <w:t>a</w:t>
      </w:r>
      <w:r>
        <w:rPr>
          <w:spacing w:val="-8"/>
        </w:rPr>
        <w:t> </w:t>
      </w:r>
      <w:r>
        <w:rPr/>
        <w:t>lograr</w:t>
      </w:r>
      <w:r>
        <w:rPr>
          <w:spacing w:val="-8"/>
        </w:rPr>
        <w:t> </w:t>
      </w:r>
      <w:r>
        <w:rPr/>
        <w:t>un</w:t>
      </w:r>
      <w:r>
        <w:rPr>
          <w:spacing w:val="-8"/>
        </w:rPr>
        <w:t> </w:t>
      </w:r>
      <w:r>
        <w:rPr/>
        <w:t>mayor crecimiento económico, generación de mayores oportunidades de bienestar para la población, empleos productivos y bien remunerados, atender a grupos vulnerables, el fomento</w:t>
      </w:r>
      <w:r>
        <w:rPr>
          <w:spacing w:val="-6"/>
        </w:rPr>
        <w:t> </w:t>
      </w:r>
      <w:r>
        <w:rPr/>
        <w:t>a</w:t>
      </w:r>
      <w:r>
        <w:rPr>
          <w:spacing w:val="-6"/>
        </w:rPr>
        <w:t> </w:t>
      </w:r>
      <w:r>
        <w:rPr/>
        <w:t>la</w:t>
      </w:r>
      <w:r>
        <w:rPr>
          <w:spacing w:val="-6"/>
        </w:rPr>
        <w:t> </w:t>
      </w:r>
      <w:r>
        <w:rPr/>
        <w:t>sustentabilidad</w:t>
      </w:r>
      <w:r>
        <w:rPr>
          <w:spacing w:val="-6"/>
        </w:rPr>
        <w:t> </w:t>
      </w:r>
      <w:r>
        <w:rPr/>
        <w:t>del</w:t>
      </w:r>
      <w:r>
        <w:rPr>
          <w:spacing w:val="-6"/>
        </w:rPr>
        <w:t> </w:t>
      </w:r>
      <w:r>
        <w:rPr/>
        <w:t>ambiente</w:t>
      </w:r>
      <w:r>
        <w:rPr>
          <w:spacing w:val="-6"/>
        </w:rPr>
        <w:t> </w:t>
      </w:r>
      <w:r>
        <w:rPr/>
        <w:t>y</w:t>
      </w:r>
      <w:r>
        <w:rPr>
          <w:spacing w:val="-6"/>
        </w:rPr>
        <w:t> </w:t>
      </w:r>
      <w:r>
        <w:rPr/>
        <w:t>la</w:t>
      </w:r>
      <w:r>
        <w:rPr>
          <w:spacing w:val="-6"/>
        </w:rPr>
        <w:t> </w:t>
      </w:r>
      <w:r>
        <w:rPr/>
        <w:t>cultura,</w:t>
      </w:r>
      <w:r>
        <w:rPr>
          <w:spacing w:val="-6"/>
        </w:rPr>
        <w:t> </w:t>
      </w:r>
      <w:r>
        <w:rPr/>
        <w:t>aprovechamiento</w:t>
      </w:r>
      <w:r>
        <w:rPr>
          <w:spacing w:val="-6"/>
        </w:rPr>
        <w:t> </w:t>
      </w:r>
      <w:r>
        <w:rPr/>
        <w:t>de</w:t>
      </w:r>
      <w:r>
        <w:rPr>
          <w:spacing w:val="-6"/>
        </w:rPr>
        <w:t> </w:t>
      </w:r>
      <w:r>
        <w:rPr/>
        <w:t>los</w:t>
      </w:r>
      <w:r>
        <w:rPr>
          <w:spacing w:val="-6"/>
        </w:rPr>
        <w:t> </w:t>
      </w:r>
      <w:r>
        <w:rPr/>
        <w:t>recursos naturales, y atender las necesidades de infraestructura; ya que distingue que en </w:t>
      </w:r>
      <w:r>
        <w:rPr>
          <w:spacing w:val="-2"/>
        </w:rPr>
        <w:t>los </w:t>
      </w:r>
      <w:r>
        <w:rPr/>
        <w:t>últimos</w:t>
      </w:r>
      <w:r>
        <w:rPr>
          <w:spacing w:val="-10"/>
        </w:rPr>
        <w:t> </w:t>
      </w:r>
      <w:r>
        <w:rPr/>
        <w:t>años</w:t>
      </w:r>
      <w:r>
        <w:rPr>
          <w:spacing w:val="-10"/>
        </w:rPr>
        <w:t> </w:t>
      </w:r>
      <w:r>
        <w:rPr/>
        <w:t>el</w:t>
      </w:r>
      <w:r>
        <w:rPr>
          <w:spacing w:val="-10"/>
        </w:rPr>
        <w:t> </w:t>
      </w:r>
      <w:r>
        <w:rPr/>
        <w:t>Estado</w:t>
      </w:r>
      <w:r>
        <w:rPr>
          <w:spacing w:val="-10"/>
        </w:rPr>
        <w:t> </w:t>
      </w:r>
      <w:r>
        <w:rPr/>
        <w:t>no</w:t>
      </w:r>
      <w:r>
        <w:rPr>
          <w:spacing w:val="-10"/>
        </w:rPr>
        <w:t> </w:t>
      </w:r>
      <w:r>
        <w:rPr/>
        <w:t>ha</w:t>
      </w:r>
      <w:r>
        <w:rPr>
          <w:spacing w:val="-10"/>
        </w:rPr>
        <w:t> </w:t>
      </w:r>
      <w:r>
        <w:rPr/>
        <w:t>tenido</w:t>
      </w:r>
      <w:r>
        <w:rPr>
          <w:spacing w:val="-10"/>
        </w:rPr>
        <w:t> </w:t>
      </w:r>
      <w:r>
        <w:rPr/>
        <w:t>mejoras</w:t>
      </w:r>
      <w:r>
        <w:rPr>
          <w:spacing w:val="-10"/>
        </w:rPr>
        <w:t> </w:t>
      </w:r>
      <w:r>
        <w:rPr/>
        <w:t>significativas</w:t>
      </w:r>
      <w:r>
        <w:rPr>
          <w:spacing w:val="-10"/>
        </w:rPr>
        <w:t> </w:t>
      </w:r>
      <w:r>
        <w:rPr/>
        <w:t>en</w:t>
      </w:r>
      <w:r>
        <w:rPr>
          <w:spacing w:val="-10"/>
        </w:rPr>
        <w:t> </w:t>
      </w:r>
      <w:r>
        <w:rPr/>
        <w:t>todos</w:t>
      </w:r>
      <w:r>
        <w:rPr>
          <w:spacing w:val="-10"/>
        </w:rPr>
        <w:t> </w:t>
      </w:r>
      <w:r>
        <w:rPr/>
        <w:t>sus</w:t>
      </w:r>
      <w:r>
        <w:rPr>
          <w:spacing w:val="-10"/>
        </w:rPr>
        <w:t> </w:t>
      </w:r>
      <w:r>
        <w:rPr/>
        <w:t>rubros.</w:t>
      </w:r>
      <w:r>
        <w:rPr>
          <w:spacing w:val="-10"/>
        </w:rPr>
        <w:t> </w:t>
      </w:r>
      <w:r>
        <w:rPr/>
        <w:t>Para</w:t>
      </w:r>
      <w:r>
        <w:rPr>
          <w:spacing w:val="-10"/>
        </w:rPr>
        <w:t> </w:t>
      </w:r>
      <w:r>
        <w:rPr/>
        <w:t>ello la política social está orientada al mejoramiento de la calidad de vida, la generación de programas sectoriales, institucionales, regionales y/o especiales; el establecimiento de objetivos</w:t>
      </w:r>
      <w:r>
        <w:rPr>
          <w:spacing w:val="-12"/>
        </w:rPr>
        <w:t> </w:t>
      </w:r>
      <w:r>
        <w:rPr/>
        <w:t>a</w:t>
      </w:r>
      <w:r>
        <w:rPr>
          <w:spacing w:val="-12"/>
        </w:rPr>
        <w:t> </w:t>
      </w:r>
      <w:r>
        <w:rPr/>
        <w:t>corto,</w:t>
      </w:r>
      <w:r>
        <w:rPr>
          <w:spacing w:val="-12"/>
        </w:rPr>
        <w:t> </w:t>
      </w:r>
      <w:r>
        <w:rPr/>
        <w:t>mediano</w:t>
      </w:r>
      <w:r>
        <w:rPr>
          <w:spacing w:val="-12"/>
        </w:rPr>
        <w:t> </w:t>
      </w:r>
      <w:r>
        <w:rPr/>
        <w:t>y</w:t>
      </w:r>
      <w:r>
        <w:rPr>
          <w:spacing w:val="-12"/>
        </w:rPr>
        <w:t> </w:t>
      </w:r>
      <w:r>
        <w:rPr/>
        <w:t>largo</w:t>
      </w:r>
      <w:r>
        <w:rPr>
          <w:spacing w:val="-12"/>
        </w:rPr>
        <w:t> </w:t>
      </w:r>
      <w:r>
        <w:rPr/>
        <w:t>plazo;</w:t>
      </w:r>
      <w:r>
        <w:rPr>
          <w:spacing w:val="-12"/>
        </w:rPr>
        <w:t> </w:t>
      </w:r>
      <w:r>
        <w:rPr/>
        <w:t>implementación</w:t>
      </w:r>
      <w:r>
        <w:rPr>
          <w:spacing w:val="-12"/>
        </w:rPr>
        <w:t> </w:t>
      </w:r>
      <w:r>
        <w:rPr/>
        <w:t>de</w:t>
      </w:r>
      <w:r>
        <w:rPr>
          <w:spacing w:val="-12"/>
        </w:rPr>
        <w:t> </w:t>
      </w:r>
      <w:r>
        <w:rPr/>
        <w:t>indicadores.</w:t>
      </w:r>
      <w:r>
        <w:rPr>
          <w:spacing w:val="-12"/>
        </w:rPr>
        <w:t> </w:t>
      </w:r>
      <w:r>
        <w:rPr/>
        <w:t>(GEMor,</w:t>
      </w:r>
      <w:r>
        <w:rPr>
          <w:spacing w:val="-12"/>
        </w:rPr>
        <w:t> </w:t>
      </w:r>
      <w:r>
        <w:rPr/>
        <w:t>2013)</w:t>
      </w:r>
    </w:p>
    <w:p>
      <w:pPr>
        <w:spacing w:after="0" w:line="249" w:lineRule="auto"/>
        <w:jc w:val="both"/>
        <w:sectPr>
          <w:type w:val="continuous"/>
          <w:pgSz w:w="18830" w:h="12760" w:orient="landscape"/>
          <w:pgMar w:top="1420" w:bottom="280" w:left="720" w:right="720"/>
          <w:cols w:num="2" w:equalWidth="0">
            <w:col w:w="7848" w:space="1556"/>
            <w:col w:w="7986"/>
          </w:cols>
        </w:sectPr>
      </w:pPr>
    </w:p>
    <w:p>
      <w:pPr>
        <w:pStyle w:val="BodyText"/>
        <w:spacing w:before="6"/>
        <w:rPr>
          <w:sz w:val="23"/>
        </w:rPr>
      </w:pPr>
    </w:p>
    <w:p>
      <w:pPr>
        <w:spacing w:after="0"/>
        <w:rPr>
          <w:sz w:val="23"/>
        </w:rPr>
        <w:sectPr>
          <w:footerReference w:type="default" r:id="rId391"/>
          <w:pgSz w:w="18830" w:h="12760" w:orient="landscape"/>
          <w:pgMar w:footer="1036" w:header="522" w:top="820" w:bottom="1220" w:left="720" w:right="720"/>
        </w:sectPr>
      </w:pPr>
    </w:p>
    <w:p>
      <w:pPr>
        <w:pStyle w:val="BodyText"/>
        <w:spacing w:line="249" w:lineRule="auto" w:before="76"/>
        <w:ind w:left="130" w:right="1" w:firstLine="170"/>
        <w:jc w:val="both"/>
      </w:pPr>
      <w:r>
        <w:rPr/>
        <w:t>Para el Estado de Puebla, el Plan Estatal de Desarrollo 2005-2011, se constituye  por cinco ejes: 1. Estado de derecho y justicia; 2. Gobierno de nueva generación; 3. Competitividad</w:t>
      </w:r>
      <w:r>
        <w:rPr>
          <w:spacing w:val="36"/>
        </w:rPr>
        <w:t> </w:t>
      </w:r>
      <w:r>
        <w:rPr/>
        <w:t>y</w:t>
      </w:r>
      <w:r>
        <w:rPr>
          <w:spacing w:val="36"/>
        </w:rPr>
        <w:t> </w:t>
      </w:r>
      <w:r>
        <w:rPr/>
        <w:t>progreso</w:t>
      </w:r>
      <w:r>
        <w:rPr>
          <w:spacing w:val="36"/>
        </w:rPr>
        <w:t> </w:t>
      </w:r>
      <w:r>
        <w:rPr/>
        <w:t>para</w:t>
      </w:r>
      <w:r>
        <w:rPr>
          <w:spacing w:val="36"/>
        </w:rPr>
        <w:t> </w:t>
      </w:r>
      <w:r>
        <w:rPr/>
        <w:t>todos;</w:t>
      </w:r>
      <w:r>
        <w:rPr>
          <w:spacing w:val="36"/>
        </w:rPr>
        <w:t> </w:t>
      </w:r>
      <w:r>
        <w:rPr/>
        <w:t>4.</w:t>
      </w:r>
      <w:r>
        <w:rPr>
          <w:spacing w:val="37"/>
        </w:rPr>
        <w:t> </w:t>
      </w:r>
      <w:r>
        <w:rPr/>
        <w:t>Política</w:t>
      </w:r>
      <w:r>
        <w:rPr>
          <w:spacing w:val="36"/>
        </w:rPr>
        <w:t> </w:t>
      </w:r>
      <w:r>
        <w:rPr/>
        <w:t>social</w:t>
      </w:r>
      <w:r>
        <w:rPr>
          <w:spacing w:val="36"/>
        </w:rPr>
        <w:t> </w:t>
      </w:r>
      <w:r>
        <w:rPr/>
        <w:t>y</w:t>
      </w:r>
      <w:r>
        <w:rPr>
          <w:spacing w:val="36"/>
        </w:rPr>
        <w:t> </w:t>
      </w:r>
      <w:r>
        <w:rPr/>
        <w:t>combate</w:t>
      </w:r>
      <w:r>
        <w:rPr>
          <w:spacing w:val="36"/>
        </w:rPr>
        <w:t> </w:t>
      </w:r>
      <w:r>
        <w:rPr/>
        <w:t>a</w:t>
      </w:r>
      <w:r>
        <w:rPr>
          <w:spacing w:val="36"/>
        </w:rPr>
        <w:t> </w:t>
      </w:r>
      <w:r>
        <w:rPr/>
        <w:t>la</w:t>
      </w:r>
      <w:r>
        <w:rPr>
          <w:spacing w:val="36"/>
        </w:rPr>
        <w:t> </w:t>
      </w:r>
      <w:r>
        <w:rPr/>
        <w:t>pobreza;</w:t>
      </w:r>
      <w:r>
        <w:rPr>
          <w:spacing w:val="36"/>
        </w:rPr>
        <w:t> </w:t>
      </w:r>
      <w:r>
        <w:rPr/>
        <w:t>y</w:t>
      </w:r>
    </w:p>
    <w:p>
      <w:pPr>
        <w:pStyle w:val="ListParagraph"/>
        <w:numPr>
          <w:ilvl w:val="0"/>
          <w:numId w:val="45"/>
        </w:numPr>
        <w:tabs>
          <w:tab w:pos="415" w:val="left" w:leader="none"/>
        </w:tabs>
        <w:spacing w:line="249" w:lineRule="auto" w:before="1" w:after="0"/>
        <w:ind w:left="130" w:right="0" w:firstLine="0"/>
        <w:jc w:val="right"/>
        <w:rPr>
          <w:sz w:val="20"/>
        </w:rPr>
      </w:pPr>
      <w:r>
        <w:rPr>
          <w:sz w:val="20"/>
        </w:rPr>
        <w:t>Desarrollo regional sustentable. Reconoce las oportunidades de</w:t>
      </w:r>
      <w:r>
        <w:rPr>
          <w:spacing w:val="18"/>
          <w:sz w:val="20"/>
        </w:rPr>
        <w:t> </w:t>
      </w:r>
      <w:r>
        <w:rPr>
          <w:sz w:val="20"/>
        </w:rPr>
        <w:t>desarrollo</w:t>
      </w:r>
      <w:r>
        <w:rPr>
          <w:spacing w:val="10"/>
          <w:sz w:val="20"/>
        </w:rPr>
        <w:t> </w:t>
      </w:r>
      <w:r>
        <w:rPr>
          <w:sz w:val="20"/>
        </w:rPr>
        <w:t>en</w:t>
      </w:r>
      <w:r>
        <w:rPr>
          <w:w w:val="98"/>
          <w:sz w:val="20"/>
        </w:rPr>
        <w:t> </w:t>
      </w:r>
      <w:r>
        <w:rPr>
          <w:sz w:val="20"/>
        </w:rPr>
        <w:t>relación</w:t>
      </w:r>
      <w:r>
        <w:rPr>
          <w:spacing w:val="34"/>
          <w:sz w:val="20"/>
        </w:rPr>
        <w:t> </w:t>
      </w:r>
      <w:r>
        <w:rPr>
          <w:sz w:val="20"/>
        </w:rPr>
        <w:t>a</w:t>
      </w:r>
      <w:r>
        <w:rPr>
          <w:spacing w:val="34"/>
          <w:sz w:val="20"/>
        </w:rPr>
        <w:t> </w:t>
      </w:r>
      <w:r>
        <w:rPr>
          <w:sz w:val="20"/>
        </w:rPr>
        <w:t>las</w:t>
      </w:r>
      <w:r>
        <w:rPr>
          <w:spacing w:val="34"/>
          <w:sz w:val="20"/>
        </w:rPr>
        <w:t> </w:t>
      </w:r>
      <w:r>
        <w:rPr>
          <w:sz w:val="20"/>
        </w:rPr>
        <w:t>características</w:t>
      </w:r>
      <w:r>
        <w:rPr>
          <w:spacing w:val="34"/>
          <w:sz w:val="20"/>
        </w:rPr>
        <w:t> </w:t>
      </w:r>
      <w:r>
        <w:rPr>
          <w:sz w:val="20"/>
        </w:rPr>
        <w:t>del</w:t>
      </w:r>
      <w:r>
        <w:rPr>
          <w:spacing w:val="34"/>
          <w:sz w:val="20"/>
        </w:rPr>
        <w:t> </w:t>
      </w:r>
      <w:r>
        <w:rPr>
          <w:sz w:val="20"/>
        </w:rPr>
        <w:t>territorio,</w:t>
      </w:r>
      <w:r>
        <w:rPr>
          <w:spacing w:val="34"/>
          <w:sz w:val="20"/>
        </w:rPr>
        <w:t> </w:t>
      </w:r>
      <w:r>
        <w:rPr>
          <w:sz w:val="20"/>
        </w:rPr>
        <w:t>recursos</w:t>
      </w:r>
      <w:r>
        <w:rPr>
          <w:spacing w:val="34"/>
          <w:sz w:val="20"/>
        </w:rPr>
        <w:t> </w:t>
      </w:r>
      <w:r>
        <w:rPr>
          <w:sz w:val="20"/>
        </w:rPr>
        <w:t>naturales,</w:t>
      </w:r>
      <w:r>
        <w:rPr>
          <w:spacing w:val="34"/>
          <w:sz w:val="20"/>
        </w:rPr>
        <w:t> </w:t>
      </w:r>
      <w:r>
        <w:rPr>
          <w:sz w:val="20"/>
        </w:rPr>
        <w:t>capacidad</w:t>
      </w:r>
      <w:r>
        <w:rPr>
          <w:spacing w:val="34"/>
          <w:sz w:val="20"/>
        </w:rPr>
        <w:t> </w:t>
      </w:r>
      <w:r>
        <w:rPr>
          <w:sz w:val="20"/>
        </w:rPr>
        <w:t>productiva</w:t>
      </w:r>
      <w:r>
        <w:rPr>
          <w:w w:val="103"/>
          <w:sz w:val="20"/>
        </w:rPr>
        <w:t> </w:t>
      </w:r>
      <w:r>
        <w:rPr>
          <w:sz w:val="20"/>
        </w:rPr>
        <w:t>y competitividad de la población. La política social impulsada en</w:t>
      </w:r>
      <w:r>
        <w:rPr>
          <w:spacing w:val="21"/>
          <w:sz w:val="20"/>
        </w:rPr>
        <w:t> </w:t>
      </w:r>
      <w:r>
        <w:rPr>
          <w:sz w:val="20"/>
        </w:rPr>
        <w:t>indicadores</w:t>
      </w:r>
      <w:r>
        <w:rPr>
          <w:spacing w:val="2"/>
          <w:sz w:val="20"/>
        </w:rPr>
        <w:t> </w:t>
      </w:r>
      <w:r>
        <w:rPr>
          <w:sz w:val="20"/>
        </w:rPr>
        <w:t>del</w:t>
      </w:r>
      <w:r>
        <w:rPr>
          <w:w w:val="101"/>
          <w:sz w:val="20"/>
        </w:rPr>
        <w:t> </w:t>
      </w:r>
      <w:r>
        <w:rPr>
          <w:sz w:val="20"/>
        </w:rPr>
        <w:t>desarrollo</w:t>
      </w:r>
      <w:r>
        <w:rPr>
          <w:spacing w:val="39"/>
          <w:sz w:val="20"/>
        </w:rPr>
        <w:t> </w:t>
      </w:r>
      <w:r>
        <w:rPr>
          <w:sz w:val="20"/>
        </w:rPr>
        <w:t>humano,</w:t>
      </w:r>
      <w:r>
        <w:rPr>
          <w:spacing w:val="39"/>
          <w:sz w:val="20"/>
        </w:rPr>
        <w:t> </w:t>
      </w:r>
      <w:r>
        <w:rPr>
          <w:sz w:val="20"/>
        </w:rPr>
        <w:t>y</w:t>
      </w:r>
      <w:r>
        <w:rPr>
          <w:spacing w:val="39"/>
          <w:sz w:val="20"/>
        </w:rPr>
        <w:t> </w:t>
      </w:r>
      <w:r>
        <w:rPr>
          <w:sz w:val="20"/>
        </w:rPr>
        <w:t>de</w:t>
      </w:r>
      <w:r>
        <w:rPr>
          <w:spacing w:val="39"/>
          <w:sz w:val="20"/>
        </w:rPr>
        <w:t> </w:t>
      </w:r>
      <w:r>
        <w:rPr>
          <w:sz w:val="20"/>
        </w:rPr>
        <w:t>manera</w:t>
      </w:r>
      <w:r>
        <w:rPr>
          <w:spacing w:val="39"/>
          <w:sz w:val="20"/>
        </w:rPr>
        <w:t> </w:t>
      </w:r>
      <w:r>
        <w:rPr>
          <w:sz w:val="20"/>
        </w:rPr>
        <w:t>prioritaria</w:t>
      </w:r>
      <w:r>
        <w:rPr>
          <w:spacing w:val="39"/>
          <w:sz w:val="20"/>
        </w:rPr>
        <w:t> </w:t>
      </w:r>
      <w:r>
        <w:rPr>
          <w:sz w:val="20"/>
        </w:rPr>
        <w:t>en</w:t>
      </w:r>
      <w:r>
        <w:rPr>
          <w:spacing w:val="39"/>
          <w:sz w:val="20"/>
        </w:rPr>
        <w:t> </w:t>
      </w:r>
      <w:r>
        <w:rPr>
          <w:sz w:val="20"/>
        </w:rPr>
        <w:t>zonas</w:t>
      </w:r>
      <w:r>
        <w:rPr>
          <w:spacing w:val="39"/>
          <w:sz w:val="20"/>
        </w:rPr>
        <w:t> </w:t>
      </w:r>
      <w:r>
        <w:rPr>
          <w:sz w:val="20"/>
        </w:rPr>
        <w:t>más</w:t>
      </w:r>
      <w:r>
        <w:rPr>
          <w:spacing w:val="39"/>
          <w:sz w:val="20"/>
        </w:rPr>
        <w:t> </w:t>
      </w:r>
      <w:r>
        <w:rPr>
          <w:sz w:val="20"/>
        </w:rPr>
        <w:t>deprimidas</w:t>
      </w:r>
      <w:r>
        <w:rPr>
          <w:spacing w:val="39"/>
          <w:sz w:val="20"/>
        </w:rPr>
        <w:t> </w:t>
      </w:r>
      <w:r>
        <w:rPr>
          <w:sz w:val="20"/>
        </w:rPr>
        <w:t>y</w:t>
      </w:r>
      <w:r>
        <w:rPr>
          <w:spacing w:val="39"/>
          <w:sz w:val="20"/>
        </w:rPr>
        <w:t> </w:t>
      </w:r>
      <w:r>
        <w:rPr>
          <w:sz w:val="20"/>
        </w:rPr>
        <w:t>en</w:t>
      </w:r>
      <w:r>
        <w:rPr>
          <w:spacing w:val="39"/>
          <w:sz w:val="20"/>
        </w:rPr>
        <w:t> </w:t>
      </w:r>
      <w:r>
        <w:rPr>
          <w:sz w:val="20"/>
        </w:rPr>
        <w:t>política</w:t>
      </w:r>
      <w:r>
        <w:rPr>
          <w:w w:val="101"/>
          <w:sz w:val="20"/>
        </w:rPr>
        <w:t> </w:t>
      </w:r>
      <w:r>
        <w:rPr>
          <w:sz w:val="20"/>
        </w:rPr>
        <w:t>económica, la estimulación de las diversas iniciativas privadas y públicas (GEP,</w:t>
      </w:r>
      <w:r>
        <w:rPr>
          <w:spacing w:val="12"/>
          <w:sz w:val="20"/>
        </w:rPr>
        <w:t> </w:t>
      </w:r>
      <w:r>
        <w:rPr>
          <w:sz w:val="20"/>
        </w:rPr>
        <w:t>2005).</w:t>
      </w:r>
    </w:p>
    <w:p>
      <w:pPr>
        <w:pStyle w:val="BodyText"/>
        <w:spacing w:before="11"/>
      </w:pPr>
    </w:p>
    <w:p>
      <w:pPr>
        <w:pStyle w:val="BodyText"/>
        <w:spacing w:line="249" w:lineRule="auto"/>
        <w:ind w:left="130" w:firstLine="170"/>
        <w:jc w:val="both"/>
      </w:pPr>
      <w:r>
        <w:rPr/>
        <w:t>El</w:t>
      </w:r>
      <w:r>
        <w:rPr>
          <w:spacing w:val="-7"/>
        </w:rPr>
        <w:t> </w:t>
      </w:r>
      <w:r>
        <w:rPr/>
        <w:t>Plan</w:t>
      </w:r>
      <w:r>
        <w:rPr>
          <w:spacing w:val="-7"/>
        </w:rPr>
        <w:t> </w:t>
      </w:r>
      <w:r>
        <w:rPr/>
        <w:t>Estatal</w:t>
      </w:r>
      <w:r>
        <w:rPr>
          <w:spacing w:val="-7"/>
        </w:rPr>
        <w:t> </w:t>
      </w:r>
      <w:r>
        <w:rPr/>
        <w:t>de</w:t>
      </w:r>
      <w:r>
        <w:rPr>
          <w:spacing w:val="-7"/>
        </w:rPr>
        <w:t> </w:t>
      </w:r>
      <w:r>
        <w:rPr/>
        <w:t>Desarrollo</w:t>
      </w:r>
      <w:r>
        <w:rPr>
          <w:spacing w:val="-7"/>
        </w:rPr>
        <w:t> </w:t>
      </w:r>
      <w:r>
        <w:rPr/>
        <w:t>del</w:t>
      </w:r>
      <w:r>
        <w:rPr>
          <w:spacing w:val="-7"/>
        </w:rPr>
        <w:t> </w:t>
      </w:r>
      <w:r>
        <w:rPr/>
        <w:t>Estado</w:t>
      </w:r>
      <w:r>
        <w:rPr>
          <w:spacing w:val="-7"/>
        </w:rPr>
        <w:t> </w:t>
      </w:r>
      <w:r>
        <w:rPr/>
        <w:t>de</w:t>
      </w:r>
      <w:r>
        <w:rPr>
          <w:spacing w:val="-7"/>
        </w:rPr>
        <w:t> </w:t>
      </w:r>
      <w:r>
        <w:rPr/>
        <w:t>Puebla</w:t>
      </w:r>
      <w:r>
        <w:rPr>
          <w:spacing w:val="-7"/>
        </w:rPr>
        <w:t> </w:t>
      </w:r>
      <w:r>
        <w:rPr/>
        <w:t>2011-2017,</w:t>
      </w:r>
      <w:r>
        <w:rPr>
          <w:spacing w:val="-7"/>
        </w:rPr>
        <w:t> </w:t>
      </w:r>
      <w:r>
        <w:rPr/>
        <w:t>destaca</w:t>
      </w:r>
      <w:r>
        <w:rPr>
          <w:spacing w:val="-7"/>
        </w:rPr>
        <w:t> </w:t>
      </w:r>
      <w:r>
        <w:rPr/>
        <w:t>los</w:t>
      </w:r>
      <w:r>
        <w:rPr>
          <w:spacing w:val="-7"/>
        </w:rPr>
        <w:t> </w:t>
      </w:r>
      <w:r>
        <w:rPr/>
        <w:t>contrastes de la entidad, la existencia de zonas que tienen desarrollo de vanguardia como Angelópolis, y municipios y comunidades que carecen de lo más indispensable. Está basado</w:t>
      </w:r>
      <w:r>
        <w:rPr>
          <w:spacing w:val="-6"/>
        </w:rPr>
        <w:t> </w:t>
      </w:r>
      <w:r>
        <w:rPr/>
        <w:t>en</w:t>
      </w:r>
      <w:r>
        <w:rPr>
          <w:spacing w:val="-6"/>
        </w:rPr>
        <w:t> </w:t>
      </w:r>
      <w:r>
        <w:rPr/>
        <w:t>una</w:t>
      </w:r>
      <w:r>
        <w:rPr>
          <w:spacing w:val="-6"/>
        </w:rPr>
        <w:t> </w:t>
      </w:r>
      <w:r>
        <w:rPr/>
        <w:t>estrategia</w:t>
      </w:r>
      <w:r>
        <w:rPr>
          <w:spacing w:val="-6"/>
        </w:rPr>
        <w:t> </w:t>
      </w:r>
      <w:r>
        <w:rPr/>
        <w:t>de</w:t>
      </w:r>
      <w:r>
        <w:rPr>
          <w:spacing w:val="-6"/>
        </w:rPr>
        <w:t> </w:t>
      </w:r>
      <w:r>
        <w:rPr/>
        <w:t>transformación,</w:t>
      </w:r>
      <w:r>
        <w:rPr>
          <w:spacing w:val="-6"/>
        </w:rPr>
        <w:t> </w:t>
      </w:r>
      <w:r>
        <w:rPr/>
        <w:t>sustentada</w:t>
      </w:r>
      <w:r>
        <w:rPr>
          <w:spacing w:val="-6"/>
        </w:rPr>
        <w:t> </w:t>
      </w:r>
      <w:r>
        <w:rPr/>
        <w:t>en</w:t>
      </w:r>
      <w:r>
        <w:rPr>
          <w:spacing w:val="-6"/>
        </w:rPr>
        <w:t> </w:t>
      </w:r>
      <w:r>
        <w:rPr/>
        <w:t>cuatro</w:t>
      </w:r>
      <w:r>
        <w:rPr>
          <w:spacing w:val="-6"/>
        </w:rPr>
        <w:t> </w:t>
      </w:r>
      <w:r>
        <w:rPr/>
        <w:t>ejes:</w:t>
      </w:r>
      <w:r>
        <w:rPr>
          <w:spacing w:val="-6"/>
        </w:rPr>
        <w:t> </w:t>
      </w:r>
      <w:r>
        <w:rPr/>
        <w:t>Más</w:t>
      </w:r>
      <w:r>
        <w:rPr>
          <w:spacing w:val="-6"/>
        </w:rPr>
        <w:t> </w:t>
      </w:r>
      <w:r>
        <w:rPr/>
        <w:t>empleos</w:t>
      </w:r>
      <w:r>
        <w:rPr>
          <w:spacing w:val="-6"/>
        </w:rPr>
        <w:t> </w:t>
      </w:r>
      <w:r>
        <w:rPr/>
        <w:t>y mayor Inversión; Igualdad de oportunidades para todos; Gobierno honesto y al servicio de la gente, y Política. Sus estrategias, la disminución de la burocracia, reducir el  gasto corriente para orientarlo a la inversión en infraestructura y programas sociales. En materia de desarrollo regional, persigue el impulso al desarrollo regional mediante clusters, es el mecanismo más eficiente para lograr sinergias naturales de cada</w:t>
      </w:r>
      <w:r>
        <w:rPr>
          <w:spacing w:val="-7"/>
        </w:rPr>
        <w:t> </w:t>
      </w:r>
      <w:r>
        <w:rPr/>
        <w:t>sector. Observa que la concentración urbana y de dispersión rural tienen implicaciones de tipo social, económico y ambiental, las cuales han contribuido en acrecentar la pobreza rural y la marginación urbana; con las subsecuentes consecuencias: bajo impacto social, reducida cobertura territorial, y el permanente abandono y deterioro de la infraestructura. (GEP,</w:t>
      </w:r>
      <w:r>
        <w:rPr>
          <w:spacing w:val="-35"/>
        </w:rPr>
        <w:t> </w:t>
      </w:r>
      <w:r>
        <w:rPr/>
        <w:t>2011)</w:t>
      </w:r>
    </w:p>
    <w:p>
      <w:pPr>
        <w:pStyle w:val="BodyText"/>
        <w:spacing w:before="11"/>
      </w:pPr>
    </w:p>
    <w:p>
      <w:pPr>
        <w:pStyle w:val="BodyText"/>
        <w:spacing w:line="249" w:lineRule="auto"/>
        <w:ind w:left="130" w:firstLine="170"/>
        <w:jc w:val="both"/>
      </w:pPr>
      <w:r>
        <w:rPr/>
        <w:t>Para el Estado de Querétaro, el Plan Estatal de Desarrollo del Estado de Querétaro 2010-2015, Soluciones Cercanas a la Gente; resalta la problemática del crecimiento descontrolado de la zona metropolitana que afecta la eficiencia del equipamiento         e infraestructura e incrementa la segregación socio espacial, donde la densidad ha decrecido en los últimos años. El Plan señala como propósito mejorar los niveles de bienestar de la gente, en particular de los grupos vulnerables, así como promover el desarrollo</w:t>
      </w:r>
      <w:r>
        <w:rPr>
          <w:spacing w:val="-8"/>
        </w:rPr>
        <w:t> </w:t>
      </w:r>
      <w:r>
        <w:rPr/>
        <w:t>de</w:t>
      </w:r>
      <w:r>
        <w:rPr>
          <w:spacing w:val="-8"/>
        </w:rPr>
        <w:t> </w:t>
      </w:r>
      <w:r>
        <w:rPr/>
        <w:t>las</w:t>
      </w:r>
      <w:r>
        <w:rPr>
          <w:spacing w:val="-8"/>
        </w:rPr>
        <w:t> </w:t>
      </w:r>
      <w:r>
        <w:rPr/>
        <w:t>regiones</w:t>
      </w:r>
      <w:r>
        <w:rPr>
          <w:spacing w:val="-8"/>
        </w:rPr>
        <w:t> </w:t>
      </w:r>
      <w:r>
        <w:rPr/>
        <w:t>de</w:t>
      </w:r>
      <w:r>
        <w:rPr>
          <w:spacing w:val="-8"/>
        </w:rPr>
        <w:t> </w:t>
      </w:r>
      <w:r>
        <w:rPr/>
        <w:t>la</w:t>
      </w:r>
      <w:r>
        <w:rPr>
          <w:spacing w:val="-8"/>
        </w:rPr>
        <w:t> </w:t>
      </w:r>
      <w:r>
        <w:rPr/>
        <w:t>entidad,</w:t>
      </w:r>
      <w:r>
        <w:rPr>
          <w:spacing w:val="-8"/>
        </w:rPr>
        <w:t> </w:t>
      </w:r>
      <w:r>
        <w:rPr/>
        <w:t>generar</w:t>
      </w:r>
      <w:r>
        <w:rPr>
          <w:spacing w:val="-8"/>
        </w:rPr>
        <w:t> </w:t>
      </w:r>
      <w:r>
        <w:rPr/>
        <w:t>empleos</w:t>
      </w:r>
      <w:r>
        <w:rPr>
          <w:spacing w:val="-8"/>
        </w:rPr>
        <w:t> </w:t>
      </w:r>
      <w:r>
        <w:rPr/>
        <w:t>de</w:t>
      </w:r>
      <w:r>
        <w:rPr>
          <w:spacing w:val="-8"/>
        </w:rPr>
        <w:t> </w:t>
      </w:r>
      <w:r>
        <w:rPr/>
        <w:t>calidad,</w:t>
      </w:r>
      <w:r>
        <w:rPr>
          <w:spacing w:val="-8"/>
        </w:rPr>
        <w:t> </w:t>
      </w:r>
      <w:r>
        <w:rPr/>
        <w:t>arraigar</w:t>
      </w:r>
      <w:r>
        <w:rPr>
          <w:spacing w:val="-8"/>
        </w:rPr>
        <w:t> </w:t>
      </w:r>
      <w:r>
        <w:rPr/>
        <w:t>a</w:t>
      </w:r>
      <w:r>
        <w:rPr>
          <w:spacing w:val="-8"/>
        </w:rPr>
        <w:t> </w:t>
      </w:r>
      <w:r>
        <w:rPr/>
        <w:t>la</w:t>
      </w:r>
      <w:r>
        <w:rPr>
          <w:spacing w:val="-8"/>
        </w:rPr>
        <w:t> </w:t>
      </w:r>
      <w:r>
        <w:rPr/>
        <w:t>gente en sus comunidades y estimular el valor y la creatividad del empresario, fomentar las inversiones productivas, aprovechar las potencialidades educativas y culturales de la entidad,</w:t>
      </w:r>
      <w:r>
        <w:rPr>
          <w:spacing w:val="-9"/>
        </w:rPr>
        <w:t> </w:t>
      </w:r>
      <w:r>
        <w:rPr/>
        <w:t>atraer</w:t>
      </w:r>
      <w:r>
        <w:rPr>
          <w:spacing w:val="-9"/>
        </w:rPr>
        <w:t> </w:t>
      </w:r>
      <w:r>
        <w:rPr/>
        <w:t>visitantes</w:t>
      </w:r>
      <w:r>
        <w:rPr>
          <w:spacing w:val="-9"/>
        </w:rPr>
        <w:t> </w:t>
      </w:r>
      <w:r>
        <w:rPr/>
        <w:t>(turismo)</w:t>
      </w:r>
      <w:r>
        <w:rPr>
          <w:spacing w:val="-9"/>
        </w:rPr>
        <w:t> </w:t>
      </w:r>
      <w:r>
        <w:rPr/>
        <w:t>y</w:t>
      </w:r>
      <w:r>
        <w:rPr>
          <w:spacing w:val="-9"/>
        </w:rPr>
        <w:t> </w:t>
      </w:r>
      <w:r>
        <w:rPr/>
        <w:t>respetar</w:t>
      </w:r>
      <w:r>
        <w:rPr>
          <w:spacing w:val="-9"/>
        </w:rPr>
        <w:t> </w:t>
      </w:r>
      <w:r>
        <w:rPr/>
        <w:t>el</w:t>
      </w:r>
      <w:r>
        <w:rPr>
          <w:spacing w:val="-9"/>
        </w:rPr>
        <w:t> </w:t>
      </w:r>
      <w:r>
        <w:rPr/>
        <w:t>medio</w:t>
      </w:r>
      <w:r>
        <w:rPr>
          <w:spacing w:val="-9"/>
        </w:rPr>
        <w:t> </w:t>
      </w:r>
      <w:r>
        <w:rPr/>
        <w:t>ambiente.</w:t>
      </w:r>
      <w:r>
        <w:rPr>
          <w:spacing w:val="-9"/>
        </w:rPr>
        <w:t> </w:t>
      </w:r>
      <w:r>
        <w:rPr/>
        <w:t>El</w:t>
      </w:r>
      <w:r>
        <w:rPr>
          <w:spacing w:val="-9"/>
        </w:rPr>
        <w:t> </w:t>
      </w:r>
      <w:r>
        <w:rPr/>
        <w:t>Plan</w:t>
      </w:r>
      <w:r>
        <w:rPr>
          <w:spacing w:val="-9"/>
        </w:rPr>
        <w:t> </w:t>
      </w:r>
      <w:r>
        <w:rPr/>
        <w:t>está</w:t>
      </w:r>
      <w:r>
        <w:rPr>
          <w:spacing w:val="-9"/>
        </w:rPr>
        <w:t> </w:t>
      </w:r>
      <w:r>
        <w:rPr/>
        <w:t>diseñando con base en cinco ejes de desarrollo: Seguridad y estado de derecho; Fortalecimiento de la economía; Desarrollo social y humano; Ordenamiento territorial e infraestructura para</w:t>
      </w:r>
      <w:r>
        <w:rPr>
          <w:spacing w:val="-12"/>
        </w:rPr>
        <w:t> </w:t>
      </w:r>
      <w:r>
        <w:rPr/>
        <w:t>el</w:t>
      </w:r>
      <w:r>
        <w:rPr>
          <w:spacing w:val="-12"/>
        </w:rPr>
        <w:t> </w:t>
      </w:r>
      <w:r>
        <w:rPr/>
        <w:t>desarrollo;</w:t>
      </w:r>
      <w:r>
        <w:rPr>
          <w:spacing w:val="-12"/>
        </w:rPr>
        <w:t> </w:t>
      </w:r>
      <w:r>
        <w:rPr/>
        <w:t>y</w:t>
      </w:r>
      <w:r>
        <w:rPr>
          <w:spacing w:val="-12"/>
        </w:rPr>
        <w:t> </w:t>
      </w:r>
      <w:r>
        <w:rPr/>
        <w:t>Gobierno</w:t>
      </w:r>
      <w:r>
        <w:rPr>
          <w:spacing w:val="-12"/>
        </w:rPr>
        <w:t> </w:t>
      </w:r>
      <w:r>
        <w:rPr/>
        <w:t>eficiente</w:t>
      </w:r>
      <w:r>
        <w:rPr>
          <w:spacing w:val="-12"/>
        </w:rPr>
        <w:t> </w:t>
      </w:r>
      <w:r>
        <w:rPr/>
        <w:t>y</w:t>
      </w:r>
      <w:r>
        <w:rPr>
          <w:spacing w:val="-12"/>
        </w:rPr>
        <w:t> </w:t>
      </w:r>
      <w:r>
        <w:rPr/>
        <w:t>cerca</w:t>
      </w:r>
      <w:r>
        <w:rPr>
          <w:spacing w:val="-12"/>
        </w:rPr>
        <w:t> </w:t>
      </w:r>
      <w:r>
        <w:rPr/>
        <w:t>de</w:t>
      </w:r>
      <w:r>
        <w:rPr>
          <w:spacing w:val="-12"/>
        </w:rPr>
        <w:t> </w:t>
      </w:r>
      <w:r>
        <w:rPr/>
        <w:t>todos.</w:t>
      </w:r>
      <w:r>
        <w:rPr>
          <w:spacing w:val="-12"/>
        </w:rPr>
        <w:t> </w:t>
      </w:r>
      <w:r>
        <w:rPr/>
        <w:t>Establece</w:t>
      </w:r>
      <w:r>
        <w:rPr>
          <w:spacing w:val="-12"/>
        </w:rPr>
        <w:t> </w:t>
      </w:r>
      <w:r>
        <w:rPr/>
        <w:t>una</w:t>
      </w:r>
      <w:r>
        <w:rPr>
          <w:spacing w:val="-12"/>
        </w:rPr>
        <w:t> </w:t>
      </w:r>
      <w:r>
        <w:rPr/>
        <w:t>política</w:t>
      </w:r>
      <w:r>
        <w:rPr>
          <w:spacing w:val="-12"/>
        </w:rPr>
        <w:t> </w:t>
      </w:r>
      <w:r>
        <w:rPr/>
        <w:t>territorial que permita impulsar el desarrollo sustentable, reducir las disparidades regionales, compensar los rezagos de las regiones, distribuir jerárquicamente los</w:t>
      </w:r>
      <w:r>
        <w:rPr>
          <w:spacing w:val="35"/>
        </w:rPr>
        <w:t> </w:t>
      </w:r>
      <w:r>
        <w:rPr/>
        <w:t>equipamientos</w:t>
      </w:r>
      <w:r>
        <w:rPr>
          <w:spacing w:val="3"/>
        </w:rPr>
        <w:t> </w:t>
      </w:r>
      <w:r>
        <w:rPr/>
        <w:t>e</w:t>
      </w:r>
      <w:r>
        <w:rPr>
          <w:w w:val="96"/>
        </w:rPr>
        <w:t> </w:t>
      </w:r>
      <w:r>
        <w:rPr/>
        <w:t>incrementar las oportunidades de progreso para toda la población. (GEQ,</w:t>
      </w:r>
      <w:r>
        <w:rPr>
          <w:spacing w:val="37"/>
        </w:rPr>
        <w:t> </w:t>
      </w:r>
      <w:r>
        <w:rPr/>
        <w:t>2010)</w:t>
      </w:r>
    </w:p>
    <w:p>
      <w:pPr>
        <w:pStyle w:val="BodyText"/>
        <w:spacing w:line="249" w:lineRule="auto" w:before="76"/>
        <w:ind w:left="130" w:right="127" w:firstLine="170"/>
        <w:jc w:val="both"/>
      </w:pPr>
      <w:r>
        <w:rPr/>
        <w:br w:type="column"/>
      </w:r>
      <w:r>
        <w:rPr/>
        <w:t>Por último, en esta revisión de documentos, el Estado de Tlaxcala el Plan Estatal    de Desarrollo 2005-2011, se propone fomentar la creación de nuevos empleos, a la educación, la reactivación del campo, el mejoramiento de la infraestructura y cultura</w:t>
      </w:r>
      <w:r>
        <w:rPr>
          <w:spacing w:val="-25"/>
        </w:rPr>
        <w:t> </w:t>
      </w:r>
      <w:r>
        <w:rPr/>
        <w:t>de respeto</w:t>
      </w:r>
      <w:r>
        <w:rPr>
          <w:spacing w:val="-10"/>
        </w:rPr>
        <w:t> </w:t>
      </w:r>
      <w:r>
        <w:rPr/>
        <w:t>y</w:t>
      </w:r>
      <w:r>
        <w:rPr>
          <w:spacing w:val="-10"/>
        </w:rPr>
        <w:t> </w:t>
      </w:r>
      <w:r>
        <w:rPr/>
        <w:t>cuidado</w:t>
      </w:r>
      <w:r>
        <w:rPr>
          <w:spacing w:val="-10"/>
        </w:rPr>
        <w:t> </w:t>
      </w:r>
      <w:r>
        <w:rPr/>
        <w:t>del</w:t>
      </w:r>
      <w:r>
        <w:rPr>
          <w:spacing w:val="-10"/>
        </w:rPr>
        <w:t> </w:t>
      </w:r>
      <w:r>
        <w:rPr/>
        <w:t>ambiente.</w:t>
      </w:r>
      <w:r>
        <w:rPr>
          <w:spacing w:val="-10"/>
        </w:rPr>
        <w:t> </w:t>
      </w:r>
      <w:r>
        <w:rPr/>
        <w:t>Se</w:t>
      </w:r>
      <w:r>
        <w:rPr>
          <w:spacing w:val="-10"/>
        </w:rPr>
        <w:t> </w:t>
      </w:r>
      <w:r>
        <w:rPr/>
        <w:t>distinguen</w:t>
      </w:r>
      <w:r>
        <w:rPr>
          <w:spacing w:val="-10"/>
        </w:rPr>
        <w:t> </w:t>
      </w:r>
      <w:r>
        <w:rPr/>
        <w:t>las</w:t>
      </w:r>
      <w:r>
        <w:rPr>
          <w:spacing w:val="-10"/>
        </w:rPr>
        <w:t> </w:t>
      </w:r>
      <w:r>
        <w:rPr/>
        <w:t>siguientes</w:t>
      </w:r>
      <w:r>
        <w:rPr>
          <w:spacing w:val="-10"/>
        </w:rPr>
        <w:t> </w:t>
      </w:r>
      <w:r>
        <w:rPr/>
        <w:t>problemáticas:</w:t>
      </w:r>
      <w:r>
        <w:rPr>
          <w:spacing w:val="-10"/>
        </w:rPr>
        <w:t> </w:t>
      </w:r>
      <w:r>
        <w:rPr/>
        <w:t>distribución de ingreso desigual y trabajo no remunerado; dispersión de la población; desigualdad de género; baja calidad de vida en algunos sectores de la población, carencia del recurso agua por la expansión urbana; infraestructura sin mantenimiento; presencia de un desarrollo urbano desequilibrado; viviendas en condiciones de deterioro; fenómeno de conurbación. (GET,</w:t>
      </w:r>
      <w:r>
        <w:rPr>
          <w:spacing w:val="-24"/>
        </w:rPr>
        <w:t> </w:t>
      </w:r>
      <w:r>
        <w:rPr/>
        <w:t>2005)</w:t>
      </w:r>
    </w:p>
    <w:p>
      <w:pPr>
        <w:pStyle w:val="BodyText"/>
        <w:spacing w:before="11"/>
      </w:pPr>
    </w:p>
    <w:p>
      <w:pPr>
        <w:pStyle w:val="BodyText"/>
        <w:spacing w:line="249" w:lineRule="auto"/>
        <w:ind w:left="130" w:right="127" w:firstLine="170"/>
        <w:jc w:val="both"/>
      </w:pPr>
      <w:r>
        <w:rPr/>
        <w:t>En el PED 2011-2016, el objetivo es impulsar el crecimiento económico y generar empleos necesarios para elevar el bienestar social. Mediante cinco ejes de actuación: Democracia participativa y estado de derecho (político), Desarrollo y crecimiento sustentable (económico), Desarrollo social incluyente para fortalecer el bienestar (social),  Protección  integral  del  medio  ambiente  y  la  biodiversidad  (ambiental),     y Desarrollo regional equilibrado (regional). Todo ello aunado a la promoción de reformas a la Constitución local y leyes reglamentarias, como la Ley Orgánica de la Administración Pública del Estado de Tlaxcala. El Plan destaca desequilibrio territorial, las dos zonas metropolitanas que la integran, Puebla-Tlaxcala y Tlaxcala-Apizaco concentran 71.61% de la población, presentan problemas de desempleo, además que se plantea avanzar en la micro regionalización enfocado en zonas rurales, que sean susceptibles a la concentración de servicios (GET,</w:t>
      </w:r>
      <w:r>
        <w:rPr>
          <w:spacing w:val="1"/>
        </w:rPr>
        <w:t> </w:t>
      </w:r>
      <w:r>
        <w:rPr/>
        <w:t>2011).</w:t>
      </w:r>
    </w:p>
    <w:p>
      <w:pPr>
        <w:pStyle w:val="BodyText"/>
        <w:spacing w:before="11"/>
      </w:pPr>
    </w:p>
    <w:p>
      <w:pPr>
        <w:pStyle w:val="BodyText"/>
        <w:spacing w:line="249" w:lineRule="auto"/>
        <w:ind w:left="130" w:right="127" w:firstLine="170"/>
        <w:jc w:val="both"/>
      </w:pPr>
      <w:r>
        <w:rPr/>
        <w:t>En relación con los planes mencionados, se distinguen algunas similitudes, los diagnósticos identifican el mismo tipo de problemática de un documento al otro, es decir de un período de gobierno a otro ratifican desequilibrios regionales, la necesidad de disminuir la pobreza y zonas y grupos vulnerables, para los cuales definen ejes     de políticas, con los cuales se pretende aprovechar las potencialidades que brinda el territorio de cada</w:t>
      </w:r>
      <w:r>
        <w:rPr>
          <w:spacing w:val="43"/>
        </w:rPr>
        <w:t> </w:t>
      </w:r>
      <w:r>
        <w:rPr/>
        <w:t>entidad.</w:t>
      </w:r>
    </w:p>
    <w:p>
      <w:pPr>
        <w:pStyle w:val="BodyText"/>
        <w:spacing w:before="11"/>
      </w:pPr>
    </w:p>
    <w:p>
      <w:pPr>
        <w:pStyle w:val="BodyText"/>
        <w:spacing w:line="249" w:lineRule="auto"/>
        <w:ind w:left="130" w:right="127" w:firstLine="170"/>
        <w:jc w:val="both"/>
      </w:pPr>
      <w:r>
        <w:rPr/>
        <w:t>La política de desarrollo regional se caracteriza por la imprecisión y ausencia de instrumentación, lo que dificulta la implementación y observar la efectividad de la misma. Debe corregirse esta perspectiva hacia una coordinación integral, haciendo   un diagnóstico de abajo hacia arriba, según regionalización para luego establecer metas medibles a corto, mediano y largo plazo de abajo hacia arriba; a su vez de considerar la participación política de todos los sectores y actores involucrados para lograr instrumentar acuerdos y compromisos. Cambiar la tónica de la redacción de documento tipo discurso político, general y de pronunciamiento, por un instrumento de trabajo que permita medir</w:t>
      </w:r>
      <w:r>
        <w:rPr>
          <w:spacing w:val="43"/>
        </w:rPr>
        <w:t> </w:t>
      </w:r>
      <w:r>
        <w:rPr/>
        <w:t>resultados.</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392"/>
          <w:pgSz w:w="18830" w:h="12760" w:orient="landscape"/>
          <w:pgMar w:footer="1036" w:header="522" w:top="820" w:bottom="1220" w:left="720" w:right="720"/>
        </w:sectPr>
      </w:pPr>
    </w:p>
    <w:p>
      <w:pPr>
        <w:pStyle w:val="Heading1"/>
        <w:spacing w:before="71"/>
        <w:ind w:left="306"/>
      </w:pPr>
      <w:r>
        <w:rPr/>
        <w:t>Conclusiones</w:t>
      </w:r>
    </w:p>
    <w:p>
      <w:pPr>
        <w:pStyle w:val="BodyText"/>
        <w:rPr>
          <w:b/>
          <w:sz w:val="24"/>
        </w:rPr>
      </w:pPr>
    </w:p>
    <w:p>
      <w:pPr>
        <w:pStyle w:val="BodyText"/>
        <w:spacing w:line="249" w:lineRule="auto" w:before="205"/>
        <w:ind w:left="136" w:firstLine="170"/>
        <w:jc w:val="both"/>
      </w:pPr>
      <w:r>
        <w:rPr/>
        <w:t>La Región Centro en período de estudio, mantiene una intensa urbanización, sin embargo lo hace a menor ritmo. Se distinguen regiones urbanas por “incorporación” porque el nodo regional añade a su área de influencia centros de población más pequeños, que eran localidades autosuficientes, también hay regiones urbanas por “difusión” donde el centro nodal desarrolla fuerzas difusoras hacia otras ciudades.    Se corrobora nueva organización intrarregional, de una organización monocéntrica y centralizada a una organización policéntrica con ciudades de distinto tamaño,</w:t>
      </w:r>
      <w:r>
        <w:rPr>
          <w:spacing w:val="20"/>
        </w:rPr>
        <w:t> </w:t>
      </w:r>
      <w:r>
        <w:rPr/>
        <w:t>lo</w:t>
      </w:r>
      <w:r>
        <w:rPr>
          <w:spacing w:val="18"/>
        </w:rPr>
        <w:t> </w:t>
      </w:r>
      <w:r>
        <w:rPr/>
        <w:t>cual</w:t>
      </w:r>
      <w:r>
        <w:rPr>
          <w:w w:val="100"/>
        </w:rPr>
        <w:t> </w:t>
      </w:r>
      <w:r>
        <w:rPr/>
        <w:t>prueba el proceso de descentralización</w:t>
      </w:r>
      <w:r>
        <w:rPr>
          <w:spacing w:val="38"/>
        </w:rPr>
        <w:t> </w:t>
      </w:r>
      <w:r>
        <w:rPr/>
        <w:t>urbana.</w:t>
      </w:r>
    </w:p>
    <w:p>
      <w:pPr>
        <w:pStyle w:val="BodyText"/>
        <w:spacing w:before="11"/>
      </w:pPr>
    </w:p>
    <w:p>
      <w:pPr>
        <w:pStyle w:val="BodyText"/>
        <w:spacing w:line="249" w:lineRule="auto"/>
        <w:ind w:left="136" w:firstLine="170"/>
        <w:jc w:val="both"/>
      </w:pPr>
      <w:r>
        <w:rPr/>
        <w:t>El proceso de dispersión rural-urbana es dinámico, es decir ya sea que se observe</w:t>
      </w:r>
      <w:r>
        <w:rPr>
          <w:spacing w:val="-16"/>
        </w:rPr>
        <w:t> </w:t>
      </w:r>
      <w:r>
        <w:rPr/>
        <w:t>el enfoque de la periurbanización o el enfoque de la rururbanización, son franjas nítidas en los alrededores de las ciudades más grandes, Ciudad de México, Toluca, Puebla- Tlaxcala, Cuernavaca, Pachuca y Querétaro. Son espacios con actividades rurales donde hay intrusión de la dispersión urbana, son localidades pequeñas y rurales con baja concentración derivada de la descentralización urbana. Se encuentran redes de distintas dinámicas, la de mayor interacción regional y nacional la ciudad de México y la ZM de</w:t>
      </w:r>
      <w:r>
        <w:rPr>
          <w:spacing w:val="6"/>
        </w:rPr>
        <w:t> </w:t>
      </w:r>
      <w:r>
        <w:rPr/>
        <w:t>Puebla-Tlaxcala.</w:t>
      </w:r>
    </w:p>
    <w:p>
      <w:pPr>
        <w:pStyle w:val="BodyText"/>
        <w:spacing w:before="11"/>
      </w:pPr>
    </w:p>
    <w:p>
      <w:pPr>
        <w:pStyle w:val="BodyText"/>
        <w:spacing w:line="249" w:lineRule="auto"/>
        <w:ind w:left="136" w:firstLine="170"/>
        <w:jc w:val="right"/>
      </w:pPr>
      <w:r>
        <w:rPr/>
        <w:t>Con</w:t>
      </w:r>
      <w:r>
        <w:rPr>
          <w:spacing w:val="27"/>
        </w:rPr>
        <w:t> </w:t>
      </w:r>
      <w:r>
        <w:rPr/>
        <w:t>la</w:t>
      </w:r>
      <w:r>
        <w:rPr>
          <w:spacing w:val="27"/>
        </w:rPr>
        <w:t> </w:t>
      </w:r>
      <w:r>
        <w:rPr/>
        <w:t>revisión</w:t>
      </w:r>
      <w:r>
        <w:rPr>
          <w:spacing w:val="27"/>
        </w:rPr>
        <w:t> </w:t>
      </w:r>
      <w:r>
        <w:rPr/>
        <w:t>de</w:t>
      </w:r>
      <w:r>
        <w:rPr>
          <w:spacing w:val="27"/>
        </w:rPr>
        <w:t> </w:t>
      </w:r>
      <w:r>
        <w:rPr/>
        <w:t>los</w:t>
      </w:r>
      <w:r>
        <w:rPr>
          <w:spacing w:val="27"/>
        </w:rPr>
        <w:t> </w:t>
      </w:r>
      <w:r>
        <w:rPr/>
        <w:t>planes</w:t>
      </w:r>
      <w:r>
        <w:rPr>
          <w:spacing w:val="27"/>
        </w:rPr>
        <w:t> </w:t>
      </w:r>
      <w:r>
        <w:rPr/>
        <w:t>y</w:t>
      </w:r>
      <w:r>
        <w:rPr>
          <w:spacing w:val="27"/>
        </w:rPr>
        <w:t> </w:t>
      </w:r>
      <w:r>
        <w:rPr/>
        <w:t>programas,</w:t>
      </w:r>
      <w:r>
        <w:rPr>
          <w:spacing w:val="27"/>
        </w:rPr>
        <w:t> </w:t>
      </w:r>
      <w:r>
        <w:rPr/>
        <w:t>de</w:t>
      </w:r>
      <w:r>
        <w:rPr>
          <w:spacing w:val="27"/>
        </w:rPr>
        <w:t> </w:t>
      </w:r>
      <w:r>
        <w:rPr/>
        <w:t>desarrollo</w:t>
      </w:r>
      <w:r>
        <w:rPr>
          <w:spacing w:val="27"/>
        </w:rPr>
        <w:t> </w:t>
      </w:r>
      <w:r>
        <w:rPr/>
        <w:t>regional</w:t>
      </w:r>
      <w:r>
        <w:rPr>
          <w:spacing w:val="27"/>
        </w:rPr>
        <w:t> </w:t>
      </w:r>
      <w:r>
        <w:rPr/>
        <w:t>se</w:t>
      </w:r>
      <w:r>
        <w:rPr>
          <w:spacing w:val="27"/>
        </w:rPr>
        <w:t> </w:t>
      </w:r>
      <w:r>
        <w:rPr/>
        <w:t>observa</w:t>
      </w:r>
      <w:r>
        <w:rPr>
          <w:spacing w:val="27"/>
        </w:rPr>
        <w:t> </w:t>
      </w:r>
      <w:r>
        <w:rPr/>
        <w:t>que</w:t>
      </w:r>
      <w:r>
        <w:rPr>
          <w:w w:val="101"/>
        </w:rPr>
        <w:t> </w:t>
      </w:r>
      <w:r>
        <w:rPr/>
        <w:t>hacen mención sobre que, las desigualdades regionales persisten y por</w:t>
      </w:r>
      <w:r>
        <w:rPr>
          <w:spacing w:val="21"/>
        </w:rPr>
        <w:t> </w:t>
      </w:r>
      <w:r>
        <w:rPr/>
        <w:t>tanto</w:t>
      </w:r>
      <w:r>
        <w:rPr>
          <w:spacing w:val="7"/>
        </w:rPr>
        <w:t> </w:t>
      </w:r>
      <w:r>
        <w:rPr/>
        <w:t>persiste</w:t>
      </w:r>
      <w:r>
        <w:rPr>
          <w:w w:val="101"/>
        </w:rPr>
        <w:t> </w:t>
      </w:r>
      <w:r>
        <w:rPr/>
        <w:t>el</w:t>
      </w:r>
      <w:r>
        <w:rPr>
          <w:spacing w:val="41"/>
        </w:rPr>
        <w:t> </w:t>
      </w:r>
      <w:r>
        <w:rPr/>
        <w:t>objetivo</w:t>
      </w:r>
      <w:r>
        <w:rPr>
          <w:spacing w:val="41"/>
        </w:rPr>
        <w:t> </w:t>
      </w:r>
      <w:r>
        <w:rPr/>
        <w:t>de</w:t>
      </w:r>
      <w:r>
        <w:rPr>
          <w:spacing w:val="41"/>
        </w:rPr>
        <w:t> </w:t>
      </w:r>
      <w:r>
        <w:rPr/>
        <w:t>lograr</w:t>
      </w:r>
      <w:r>
        <w:rPr>
          <w:spacing w:val="41"/>
        </w:rPr>
        <w:t> </w:t>
      </w:r>
      <w:r>
        <w:rPr/>
        <w:t>un</w:t>
      </w:r>
      <w:r>
        <w:rPr>
          <w:spacing w:val="41"/>
        </w:rPr>
        <w:t> </w:t>
      </w:r>
      <w:r>
        <w:rPr/>
        <w:t>desarrollo</w:t>
      </w:r>
      <w:r>
        <w:rPr>
          <w:spacing w:val="41"/>
        </w:rPr>
        <w:t> </w:t>
      </w:r>
      <w:r>
        <w:rPr/>
        <w:t>regional</w:t>
      </w:r>
      <w:r>
        <w:rPr>
          <w:spacing w:val="41"/>
        </w:rPr>
        <w:t> </w:t>
      </w:r>
      <w:r>
        <w:rPr/>
        <w:t>equilibrado.</w:t>
      </w:r>
      <w:r>
        <w:rPr>
          <w:spacing w:val="41"/>
        </w:rPr>
        <w:t> </w:t>
      </w:r>
      <w:r>
        <w:rPr/>
        <w:t>No</w:t>
      </w:r>
      <w:r>
        <w:rPr>
          <w:spacing w:val="41"/>
        </w:rPr>
        <w:t> </w:t>
      </w:r>
      <w:r>
        <w:rPr/>
        <w:t>se</w:t>
      </w:r>
      <w:r>
        <w:rPr>
          <w:spacing w:val="41"/>
        </w:rPr>
        <w:t> </w:t>
      </w:r>
      <w:r>
        <w:rPr/>
        <w:t>encuentran</w:t>
      </w:r>
      <w:r>
        <w:rPr>
          <w:spacing w:val="41"/>
        </w:rPr>
        <w:t> </w:t>
      </w:r>
      <w:r>
        <w:rPr/>
        <w:t>cambios</w:t>
      </w:r>
      <w:r>
        <w:rPr>
          <w:w w:val="102"/>
        </w:rPr>
        <w:t> </w:t>
      </w:r>
      <w:r>
        <w:rPr/>
        <w:t>importantes</w:t>
      </w:r>
      <w:r>
        <w:rPr>
          <w:spacing w:val="-16"/>
        </w:rPr>
        <w:t> </w:t>
      </w:r>
      <w:r>
        <w:rPr/>
        <w:t>ni</w:t>
      </w:r>
      <w:r>
        <w:rPr>
          <w:spacing w:val="-16"/>
        </w:rPr>
        <w:t> </w:t>
      </w:r>
      <w:r>
        <w:rPr/>
        <w:t>en</w:t>
      </w:r>
      <w:r>
        <w:rPr>
          <w:spacing w:val="-16"/>
        </w:rPr>
        <w:t> </w:t>
      </w:r>
      <w:r>
        <w:rPr/>
        <w:t>el</w:t>
      </w:r>
      <w:r>
        <w:rPr>
          <w:spacing w:val="-16"/>
        </w:rPr>
        <w:t> </w:t>
      </w:r>
      <w:r>
        <w:rPr/>
        <w:t>diagnóstico</w:t>
      </w:r>
      <w:r>
        <w:rPr>
          <w:spacing w:val="-16"/>
        </w:rPr>
        <w:t> </w:t>
      </w:r>
      <w:r>
        <w:rPr/>
        <w:t>y</w:t>
      </w:r>
      <w:r>
        <w:rPr>
          <w:spacing w:val="-16"/>
        </w:rPr>
        <w:t> </w:t>
      </w:r>
      <w:r>
        <w:rPr/>
        <w:t>tampoco</w:t>
      </w:r>
      <w:r>
        <w:rPr>
          <w:spacing w:val="-16"/>
        </w:rPr>
        <w:t> </w:t>
      </w:r>
      <w:r>
        <w:rPr/>
        <w:t>en</w:t>
      </w:r>
      <w:r>
        <w:rPr>
          <w:spacing w:val="-16"/>
        </w:rPr>
        <w:t> </w:t>
      </w:r>
      <w:r>
        <w:rPr/>
        <w:t>las</w:t>
      </w:r>
      <w:r>
        <w:rPr>
          <w:spacing w:val="-16"/>
        </w:rPr>
        <w:t> </w:t>
      </w:r>
      <w:r>
        <w:rPr/>
        <w:t>estrategias</w:t>
      </w:r>
      <w:r>
        <w:rPr>
          <w:spacing w:val="-16"/>
        </w:rPr>
        <w:t> </w:t>
      </w:r>
      <w:r>
        <w:rPr/>
        <w:t>propuestas</w:t>
      </w:r>
      <w:r>
        <w:rPr>
          <w:spacing w:val="-16"/>
        </w:rPr>
        <w:t> </w:t>
      </w:r>
      <w:r>
        <w:rPr/>
        <w:t>para</w:t>
      </w:r>
      <w:r>
        <w:rPr>
          <w:spacing w:val="-16"/>
        </w:rPr>
        <w:t> </w:t>
      </w:r>
      <w:r>
        <w:rPr/>
        <w:t>reducirlas.</w:t>
      </w:r>
    </w:p>
    <w:p>
      <w:pPr>
        <w:pStyle w:val="BodyText"/>
        <w:spacing w:before="11"/>
      </w:pPr>
    </w:p>
    <w:p>
      <w:pPr>
        <w:pStyle w:val="BodyText"/>
        <w:spacing w:line="249" w:lineRule="auto"/>
        <w:ind w:left="136" w:firstLine="170"/>
        <w:jc w:val="both"/>
      </w:pPr>
      <w:r>
        <w:rPr/>
        <w:t>Se debe cambiar el diseño e implementación de los planes, ya que están evocados</w:t>
      </w:r>
      <w:r>
        <w:rPr>
          <w:spacing w:val="-22"/>
        </w:rPr>
        <w:t> </w:t>
      </w:r>
      <w:r>
        <w:rPr/>
        <w:t>a un</w:t>
      </w:r>
      <w:r>
        <w:rPr>
          <w:spacing w:val="-4"/>
        </w:rPr>
        <w:t> </w:t>
      </w:r>
      <w:r>
        <w:rPr/>
        <w:t>carácter</w:t>
      </w:r>
      <w:r>
        <w:rPr>
          <w:spacing w:val="-4"/>
        </w:rPr>
        <w:t> </w:t>
      </w:r>
      <w:r>
        <w:rPr/>
        <w:t>sectorial</w:t>
      </w:r>
      <w:r>
        <w:rPr>
          <w:spacing w:val="-4"/>
        </w:rPr>
        <w:t> </w:t>
      </w:r>
      <w:r>
        <w:rPr/>
        <w:t>e</w:t>
      </w:r>
      <w:r>
        <w:rPr>
          <w:spacing w:val="-4"/>
        </w:rPr>
        <w:t> </w:t>
      </w:r>
      <w:r>
        <w:rPr/>
        <w:t>integral;</w:t>
      </w:r>
      <w:r>
        <w:rPr>
          <w:spacing w:val="-4"/>
        </w:rPr>
        <w:t> </w:t>
      </w:r>
      <w:r>
        <w:rPr/>
        <w:t>lo</w:t>
      </w:r>
      <w:r>
        <w:rPr>
          <w:spacing w:val="-4"/>
        </w:rPr>
        <w:t> </w:t>
      </w:r>
      <w:r>
        <w:rPr/>
        <w:t>que</w:t>
      </w:r>
      <w:r>
        <w:rPr>
          <w:spacing w:val="-4"/>
        </w:rPr>
        <w:t> </w:t>
      </w:r>
      <w:r>
        <w:rPr/>
        <w:t>dificulta</w:t>
      </w:r>
      <w:r>
        <w:rPr>
          <w:spacing w:val="-4"/>
        </w:rPr>
        <w:t> </w:t>
      </w:r>
      <w:r>
        <w:rPr/>
        <w:t>su</w:t>
      </w:r>
      <w:r>
        <w:rPr>
          <w:spacing w:val="-4"/>
        </w:rPr>
        <w:t> </w:t>
      </w:r>
      <w:r>
        <w:rPr/>
        <w:t>óptima</w:t>
      </w:r>
      <w:r>
        <w:rPr>
          <w:spacing w:val="-4"/>
        </w:rPr>
        <w:t> </w:t>
      </w:r>
      <w:r>
        <w:rPr/>
        <w:t>implementación</w:t>
      </w:r>
      <w:r>
        <w:rPr>
          <w:spacing w:val="-4"/>
        </w:rPr>
        <w:t> </w:t>
      </w:r>
      <w:r>
        <w:rPr/>
        <w:t>y</w:t>
      </w:r>
      <w:r>
        <w:rPr>
          <w:spacing w:val="-4"/>
        </w:rPr>
        <w:t> </w:t>
      </w:r>
      <w:r>
        <w:rPr/>
        <w:t>medición</w:t>
      </w:r>
      <w:r>
        <w:rPr>
          <w:spacing w:val="-4"/>
        </w:rPr>
        <w:t> </w:t>
      </w:r>
      <w:r>
        <w:rPr/>
        <w:t>en la solución de las problemáticas presentes en las distintas entidades que conforman la Región Centro. Ya que se deben atender las problemáticas respecto al diagnóstico, lo cual permitirá identificar la problemática y atenderla de manera  focalizada.</w:t>
      </w:r>
    </w:p>
    <w:p>
      <w:pPr>
        <w:pStyle w:val="Heading1"/>
        <w:spacing w:before="71"/>
        <w:ind w:left="306"/>
      </w:pPr>
      <w:r>
        <w:rPr>
          <w:b w:val="0"/>
        </w:rPr>
        <w:br w:type="column"/>
      </w:r>
      <w:r>
        <w:rPr/>
        <w:t>Referencias bibliográficas</w:t>
      </w:r>
    </w:p>
    <w:p>
      <w:pPr>
        <w:pStyle w:val="BodyText"/>
        <w:rPr>
          <w:b/>
          <w:sz w:val="24"/>
        </w:rPr>
      </w:pPr>
    </w:p>
    <w:p>
      <w:pPr>
        <w:pStyle w:val="BodyText"/>
        <w:rPr>
          <w:b/>
          <w:sz w:val="24"/>
        </w:rPr>
      </w:pPr>
    </w:p>
    <w:p>
      <w:pPr>
        <w:pStyle w:val="BodyText"/>
        <w:spacing w:line="249" w:lineRule="auto" w:before="169"/>
        <w:ind w:left="760" w:right="127" w:hanging="624"/>
        <w:jc w:val="both"/>
      </w:pPr>
      <w:r>
        <w:rPr/>
        <w:t>Boix, Rafa, (2002). Policentrismo y redes de ciudades en la región metropolitana de Barcelona.</w:t>
      </w:r>
      <w:r>
        <w:rPr>
          <w:spacing w:val="-5"/>
        </w:rPr>
        <w:t> </w:t>
      </w:r>
      <w:r>
        <w:rPr/>
        <w:t>En</w:t>
      </w:r>
      <w:r>
        <w:rPr>
          <w:spacing w:val="-5"/>
        </w:rPr>
        <w:t> </w:t>
      </w:r>
      <w:r>
        <w:rPr/>
        <w:t>Subirats,</w:t>
      </w:r>
      <w:r>
        <w:rPr>
          <w:spacing w:val="-5"/>
        </w:rPr>
        <w:t> </w:t>
      </w:r>
      <w:r>
        <w:rPr/>
        <w:t>Joan,</w:t>
      </w:r>
      <w:r>
        <w:rPr>
          <w:spacing w:val="-5"/>
        </w:rPr>
        <w:t> </w:t>
      </w:r>
      <w:r>
        <w:rPr/>
        <w:t>(Coord.),</w:t>
      </w:r>
      <w:r>
        <w:rPr>
          <w:spacing w:val="-5"/>
        </w:rPr>
        <w:t> </w:t>
      </w:r>
      <w:r>
        <w:rPr>
          <w:i/>
        </w:rPr>
        <w:t>Redes,</w:t>
      </w:r>
      <w:r>
        <w:rPr>
          <w:i/>
          <w:spacing w:val="-5"/>
        </w:rPr>
        <w:t> </w:t>
      </w:r>
      <w:r>
        <w:rPr>
          <w:i/>
        </w:rPr>
        <w:t>territorios</w:t>
      </w:r>
      <w:r>
        <w:rPr>
          <w:i/>
          <w:spacing w:val="-5"/>
        </w:rPr>
        <w:t> </w:t>
      </w:r>
      <w:r>
        <w:rPr>
          <w:i/>
        </w:rPr>
        <w:t>y</w:t>
      </w:r>
      <w:r>
        <w:rPr>
          <w:i/>
          <w:spacing w:val="-5"/>
        </w:rPr>
        <w:t> </w:t>
      </w:r>
      <w:r>
        <w:rPr>
          <w:i/>
        </w:rPr>
        <w:t>gobierno</w:t>
      </w:r>
      <w:r>
        <w:rPr/>
        <w:t>.</w:t>
      </w:r>
      <w:r>
        <w:rPr>
          <w:spacing w:val="-5"/>
        </w:rPr>
        <w:t> </w:t>
      </w:r>
      <w:r>
        <w:rPr/>
        <w:t>Barcelona: Diputación de</w:t>
      </w:r>
      <w:r>
        <w:rPr>
          <w:spacing w:val="24"/>
        </w:rPr>
        <w:t> </w:t>
      </w:r>
      <w:r>
        <w:rPr/>
        <w:t>Barcelona.</w:t>
      </w:r>
    </w:p>
    <w:p>
      <w:pPr>
        <w:pStyle w:val="BodyText"/>
        <w:spacing w:before="11"/>
      </w:pPr>
    </w:p>
    <w:p>
      <w:pPr>
        <w:pStyle w:val="BodyText"/>
        <w:spacing w:line="249" w:lineRule="auto"/>
        <w:ind w:left="760" w:right="128" w:hanging="624"/>
        <w:jc w:val="both"/>
      </w:pPr>
      <w:r>
        <w:rPr/>
        <w:t>Cardoso,</w:t>
      </w:r>
      <w:r>
        <w:rPr>
          <w:spacing w:val="-19"/>
        </w:rPr>
        <w:t> </w:t>
      </w:r>
      <w:r>
        <w:rPr/>
        <w:t>María</w:t>
      </w:r>
      <w:r>
        <w:rPr>
          <w:spacing w:val="-19"/>
        </w:rPr>
        <w:t> </w:t>
      </w:r>
      <w:r>
        <w:rPr/>
        <w:t>Mercedes,</w:t>
      </w:r>
      <w:r>
        <w:rPr>
          <w:spacing w:val="-19"/>
        </w:rPr>
        <w:t> </w:t>
      </w:r>
      <w:r>
        <w:rPr/>
        <w:t>(2011).</w:t>
      </w:r>
      <w:r>
        <w:rPr>
          <w:spacing w:val="-19"/>
        </w:rPr>
        <w:t> </w:t>
      </w:r>
      <w:r>
        <w:rPr/>
        <w:t>El</w:t>
      </w:r>
      <w:r>
        <w:rPr>
          <w:spacing w:val="-19"/>
        </w:rPr>
        <w:t> </w:t>
      </w:r>
      <w:r>
        <w:rPr/>
        <w:t>fenómeno</w:t>
      </w:r>
      <w:r>
        <w:rPr>
          <w:spacing w:val="-19"/>
        </w:rPr>
        <w:t> </w:t>
      </w:r>
      <w:r>
        <w:rPr/>
        <w:t>de</w:t>
      </w:r>
      <w:r>
        <w:rPr>
          <w:spacing w:val="-19"/>
        </w:rPr>
        <w:t> </w:t>
      </w:r>
      <w:r>
        <w:rPr/>
        <w:t>contraurbanización</w:t>
      </w:r>
      <w:r>
        <w:rPr>
          <w:spacing w:val="-19"/>
        </w:rPr>
        <w:t> </w:t>
      </w:r>
      <w:r>
        <w:rPr/>
        <w:t>y</w:t>
      </w:r>
      <w:r>
        <w:rPr>
          <w:spacing w:val="-19"/>
        </w:rPr>
        <w:t> </w:t>
      </w:r>
      <w:r>
        <w:rPr/>
        <w:t>el</w:t>
      </w:r>
      <w:r>
        <w:rPr>
          <w:spacing w:val="-19"/>
        </w:rPr>
        <w:t> </w:t>
      </w:r>
      <w:r>
        <w:rPr/>
        <w:t>protagonismo de ciudades menores y de espacios rururbanos metropolitanos. </w:t>
      </w:r>
      <w:r>
        <w:rPr>
          <w:i/>
        </w:rPr>
        <w:t>Cadernos </w:t>
      </w:r>
      <w:r>
        <w:rPr>
          <w:i/>
        </w:rPr>
        <w:t>Metrópole</w:t>
      </w:r>
      <w:r>
        <w:rPr/>
        <w:t>, 13 (2), 497-521. Sao</w:t>
      </w:r>
      <w:r>
        <w:rPr>
          <w:spacing w:val="-6"/>
        </w:rPr>
        <w:t> </w:t>
      </w:r>
      <w:r>
        <w:rPr/>
        <w:t>Paulo.</w:t>
      </w:r>
    </w:p>
    <w:p>
      <w:pPr>
        <w:pStyle w:val="BodyText"/>
        <w:spacing w:before="11"/>
      </w:pPr>
    </w:p>
    <w:p>
      <w:pPr>
        <w:spacing w:line="249" w:lineRule="auto" w:before="0"/>
        <w:ind w:left="760" w:right="128" w:hanging="624"/>
        <w:jc w:val="both"/>
        <w:rPr>
          <w:sz w:val="20"/>
        </w:rPr>
      </w:pPr>
      <w:r>
        <w:rPr>
          <w:sz w:val="20"/>
        </w:rPr>
        <w:t>Cardoso, María Mercedes, (2013): Atisbos de contraurbanización en la Zona Metropolitana Valle de México y en el sistema urbano nacional. </w:t>
      </w:r>
      <w:r>
        <w:rPr>
          <w:i/>
          <w:sz w:val="20"/>
        </w:rPr>
        <w:t>Cuadernos      </w:t>
      </w:r>
      <w:r>
        <w:rPr>
          <w:i/>
          <w:sz w:val="20"/>
        </w:rPr>
        <w:t>de Geografía: Revista Colombiana De Geografía</w:t>
      </w:r>
      <w:r>
        <w:rPr>
          <w:sz w:val="20"/>
        </w:rPr>
        <w:t>, 22(1), 127-140. Universidad Nacional de Colombia.</w:t>
      </w:r>
      <w:r>
        <w:rPr>
          <w:spacing w:val="35"/>
          <w:sz w:val="20"/>
        </w:rPr>
        <w:t> </w:t>
      </w:r>
      <w:r>
        <w:rPr>
          <w:sz w:val="20"/>
        </w:rPr>
        <w:t>Colombia.</w:t>
      </w:r>
    </w:p>
    <w:p>
      <w:pPr>
        <w:pStyle w:val="BodyText"/>
        <w:spacing w:before="11"/>
      </w:pPr>
    </w:p>
    <w:p>
      <w:pPr>
        <w:spacing w:line="249" w:lineRule="auto" w:before="0"/>
        <w:ind w:left="760" w:right="127" w:hanging="624"/>
        <w:jc w:val="both"/>
        <w:rPr>
          <w:sz w:val="20"/>
        </w:rPr>
      </w:pPr>
      <w:r>
        <w:rPr>
          <w:sz w:val="20"/>
        </w:rPr>
        <w:t>Cortez Yacila, Héctor y Delgadillo Macías, Javier, (2008). Alcances del ordenamiento territorial en la planificación del desarrollo. Elementos conceptuales. En Delgadillo Macías, Javier (Compilador), </w:t>
      </w:r>
      <w:r>
        <w:rPr>
          <w:i/>
          <w:sz w:val="20"/>
        </w:rPr>
        <w:t>Política Territorial en México: Hacia un </w:t>
      </w:r>
      <w:r>
        <w:rPr>
          <w:i/>
          <w:sz w:val="20"/>
        </w:rPr>
        <w:t>modelo de desarrollo basado en el territorio</w:t>
      </w:r>
      <w:r>
        <w:rPr>
          <w:sz w:val="20"/>
        </w:rPr>
        <w:t>. México: Secretaría de Desarrollo Social. Universidad Nacional Autónoma de México y, Plaza y Valdés, S.A. de C.V.</w:t>
      </w:r>
    </w:p>
    <w:p>
      <w:pPr>
        <w:pStyle w:val="BodyText"/>
        <w:spacing w:before="11"/>
      </w:pPr>
    </w:p>
    <w:p>
      <w:pPr>
        <w:spacing w:line="249" w:lineRule="auto" w:before="0"/>
        <w:ind w:left="760" w:right="128" w:hanging="624"/>
        <w:jc w:val="both"/>
        <w:rPr>
          <w:sz w:val="20"/>
        </w:rPr>
      </w:pPr>
      <w:r>
        <w:rPr>
          <w:sz w:val="20"/>
        </w:rPr>
        <w:t>Dematteis, Giuseppe, (1998). Suburbanización y periurbanización. Ciudades anglosajonas y ciudades latinas. En Francisco J. Monclús (Ed.), </w:t>
      </w:r>
      <w:r>
        <w:rPr>
          <w:i/>
          <w:sz w:val="20"/>
        </w:rPr>
        <w:t>La ciudad </w:t>
      </w:r>
      <w:r>
        <w:rPr>
          <w:i/>
          <w:sz w:val="20"/>
        </w:rPr>
        <w:t>dispersa. Suburbanización y nuevas periferias</w:t>
      </w:r>
      <w:r>
        <w:rPr>
          <w:sz w:val="20"/>
        </w:rPr>
        <w:t>. Barcelona: Centro de Cultura Contemporánea de Barcelona.</w:t>
      </w:r>
    </w:p>
    <w:p>
      <w:pPr>
        <w:pStyle w:val="BodyText"/>
        <w:spacing w:before="11"/>
      </w:pPr>
    </w:p>
    <w:p>
      <w:pPr>
        <w:spacing w:line="249" w:lineRule="auto" w:before="0"/>
        <w:ind w:left="760" w:right="128" w:hanging="624"/>
        <w:jc w:val="both"/>
        <w:rPr>
          <w:i/>
          <w:sz w:val="20"/>
        </w:rPr>
      </w:pPr>
      <w:r>
        <w:rPr>
          <w:sz w:val="20"/>
        </w:rPr>
        <w:t>Galindo, Carlos y Delgado, Javier, (2006). Los espacios emergentes de la dinámica rural-urbana. </w:t>
      </w:r>
      <w:r>
        <w:rPr>
          <w:i/>
          <w:sz w:val="20"/>
        </w:rPr>
        <w:t>Problemas del Desarrollo. Revista Latinoamericana de Economía, </w:t>
      </w:r>
      <w:r>
        <w:rPr>
          <w:i/>
          <w:sz w:val="20"/>
        </w:rPr>
        <w:t>37(14-7), 187-216.</w:t>
      </w:r>
    </w:p>
    <w:p>
      <w:pPr>
        <w:pStyle w:val="BodyText"/>
        <w:spacing w:before="11"/>
        <w:rPr>
          <w:i/>
        </w:rPr>
      </w:pPr>
    </w:p>
    <w:p>
      <w:pPr>
        <w:spacing w:line="249" w:lineRule="auto" w:before="0"/>
        <w:ind w:left="760" w:right="128" w:hanging="624"/>
        <w:jc w:val="both"/>
        <w:rPr>
          <w:sz w:val="20"/>
        </w:rPr>
      </w:pPr>
      <w:r>
        <w:rPr>
          <w:sz w:val="20"/>
        </w:rPr>
        <w:t>Garrocho R., Carlos, (2012). </w:t>
      </w:r>
      <w:r>
        <w:rPr>
          <w:i/>
          <w:sz w:val="20"/>
        </w:rPr>
        <w:t>Estructura funcional de la red de ciudades de México (1ra </w:t>
      </w:r>
      <w:r>
        <w:rPr>
          <w:i/>
          <w:sz w:val="20"/>
        </w:rPr>
        <w:t>ed). </w:t>
      </w:r>
      <w:r>
        <w:rPr>
          <w:sz w:val="20"/>
        </w:rPr>
        <w:t>México: UNFPA–CMX-CONAPO.</w:t>
      </w:r>
    </w:p>
    <w:p>
      <w:pPr>
        <w:pStyle w:val="BodyText"/>
        <w:spacing w:before="11"/>
      </w:pPr>
    </w:p>
    <w:p>
      <w:pPr>
        <w:pStyle w:val="BodyText"/>
        <w:spacing w:line="249" w:lineRule="auto"/>
        <w:ind w:left="760" w:right="128" w:hanging="624"/>
        <w:jc w:val="both"/>
      </w:pPr>
      <w:r>
        <w:rPr/>
        <w:t>Glüker,</w:t>
      </w:r>
      <w:r>
        <w:rPr>
          <w:spacing w:val="-22"/>
        </w:rPr>
        <w:t> </w:t>
      </w:r>
      <w:r>
        <w:rPr/>
        <w:t>Johannes,</w:t>
      </w:r>
      <w:r>
        <w:rPr>
          <w:spacing w:val="-22"/>
        </w:rPr>
        <w:t> </w:t>
      </w:r>
      <w:r>
        <w:rPr/>
        <w:t>(2013).</w:t>
      </w:r>
      <w:r>
        <w:rPr>
          <w:spacing w:val="-22"/>
        </w:rPr>
        <w:t> </w:t>
      </w:r>
      <w:r>
        <w:rPr>
          <w:i/>
        </w:rPr>
        <w:t>Geografía</w:t>
      </w:r>
      <w:r>
        <w:rPr>
          <w:i/>
          <w:spacing w:val="-22"/>
        </w:rPr>
        <w:t> </w:t>
      </w:r>
      <w:r>
        <w:rPr>
          <w:i/>
        </w:rPr>
        <w:t>económica</w:t>
      </w:r>
      <w:r>
        <w:rPr>
          <w:i/>
          <w:spacing w:val="-22"/>
        </w:rPr>
        <w:t> </w:t>
      </w:r>
      <w:r>
        <w:rPr>
          <w:i/>
        </w:rPr>
        <w:t>y</w:t>
      </w:r>
      <w:r>
        <w:rPr>
          <w:i/>
          <w:spacing w:val="-22"/>
        </w:rPr>
        <w:t> </w:t>
      </w:r>
      <w:r>
        <w:rPr>
          <w:i/>
        </w:rPr>
        <w:t>evolución</w:t>
      </w:r>
      <w:r>
        <w:rPr>
          <w:i/>
          <w:spacing w:val="-22"/>
        </w:rPr>
        <w:t> </w:t>
      </w:r>
      <w:r>
        <w:rPr>
          <w:i/>
        </w:rPr>
        <w:t>de</w:t>
      </w:r>
      <w:r>
        <w:rPr>
          <w:i/>
          <w:spacing w:val="-22"/>
        </w:rPr>
        <w:t> </w:t>
      </w:r>
      <w:r>
        <w:rPr>
          <w:i/>
        </w:rPr>
        <w:t>redes</w:t>
      </w:r>
      <w:r>
        <w:rPr/>
        <w:t>.</w:t>
      </w:r>
      <w:r>
        <w:rPr>
          <w:spacing w:val="-22"/>
        </w:rPr>
        <w:t> </w:t>
      </w:r>
      <w:r>
        <w:rPr/>
        <w:t>En</w:t>
      </w:r>
      <w:r>
        <w:rPr>
          <w:spacing w:val="-22"/>
        </w:rPr>
        <w:t> </w:t>
      </w:r>
      <w:r>
        <w:rPr/>
        <w:t>Valdivia</w:t>
      </w:r>
      <w:r>
        <w:rPr>
          <w:spacing w:val="-22"/>
        </w:rPr>
        <w:t> </w:t>
      </w:r>
      <w:r>
        <w:rPr/>
        <w:t>López, M., y Delgadillo Macías, J.; (Coordinadores.), La Geografía y la Economía en sus vínculos actuales: Antología de Discusiones Teóricas Contemporáneas de la Geografía Económica. México: Universidad Nacional Autónoma de</w:t>
      </w:r>
      <w:r>
        <w:rPr>
          <w:spacing w:val="52"/>
        </w:rPr>
        <w:t> </w:t>
      </w:r>
      <w:r>
        <w:rPr/>
        <w:t>México.</w:t>
      </w:r>
    </w:p>
    <w:p>
      <w:pPr>
        <w:spacing w:after="0" w:line="249" w:lineRule="auto"/>
        <w:jc w:val="both"/>
        <w:sectPr>
          <w:type w:val="continuous"/>
          <w:pgSz w:w="18830" w:h="12760" w:orient="landscape"/>
          <w:pgMar w:top="1420" w:bottom="280" w:left="720" w:right="720"/>
          <w:cols w:num="2" w:equalWidth="0">
            <w:col w:w="7848" w:space="1556"/>
            <w:col w:w="7986"/>
          </w:cols>
        </w:sectPr>
      </w:pPr>
    </w:p>
    <w:p>
      <w:pPr>
        <w:pStyle w:val="BodyText"/>
        <w:spacing w:before="6"/>
        <w:rPr>
          <w:sz w:val="23"/>
        </w:rPr>
      </w:pPr>
    </w:p>
    <w:p>
      <w:pPr>
        <w:spacing w:after="0"/>
        <w:rPr>
          <w:sz w:val="23"/>
        </w:rPr>
        <w:sectPr>
          <w:footerReference w:type="default" r:id="rId393"/>
          <w:pgSz w:w="18830" w:h="12760" w:orient="landscape"/>
          <w:pgMar w:footer="1036" w:header="522" w:top="820" w:bottom="1220" w:left="720" w:right="720"/>
        </w:sectPr>
      </w:pPr>
    </w:p>
    <w:p>
      <w:pPr>
        <w:spacing w:line="249" w:lineRule="auto" w:before="76"/>
        <w:ind w:left="759" w:right="0" w:hanging="624"/>
        <w:jc w:val="both"/>
        <w:rPr>
          <w:sz w:val="20"/>
        </w:rPr>
      </w:pPr>
      <w:r>
        <w:rPr>
          <w:sz w:val="20"/>
        </w:rPr>
        <w:t>Hernández Gómez, Emilio, (2013). </w:t>
      </w:r>
      <w:r>
        <w:rPr>
          <w:i/>
          <w:sz w:val="20"/>
        </w:rPr>
        <w:t>Comentarios al trabajo de Johannes Glückler </w:t>
      </w:r>
      <w:r>
        <w:rPr>
          <w:i/>
          <w:sz w:val="20"/>
        </w:rPr>
        <w:t>“Geografía</w:t>
      </w:r>
      <w:r>
        <w:rPr>
          <w:i/>
          <w:spacing w:val="-6"/>
          <w:sz w:val="20"/>
        </w:rPr>
        <w:t> </w:t>
      </w:r>
      <w:r>
        <w:rPr>
          <w:i/>
          <w:sz w:val="20"/>
        </w:rPr>
        <w:t>Económica</w:t>
      </w:r>
      <w:r>
        <w:rPr>
          <w:i/>
          <w:spacing w:val="-6"/>
          <w:sz w:val="20"/>
        </w:rPr>
        <w:t> </w:t>
      </w:r>
      <w:r>
        <w:rPr>
          <w:i/>
          <w:sz w:val="20"/>
        </w:rPr>
        <w:t>y</w:t>
      </w:r>
      <w:r>
        <w:rPr>
          <w:i/>
          <w:spacing w:val="-6"/>
          <w:sz w:val="20"/>
        </w:rPr>
        <w:t> </w:t>
      </w:r>
      <w:r>
        <w:rPr>
          <w:i/>
          <w:sz w:val="20"/>
        </w:rPr>
        <w:t>evolución</w:t>
      </w:r>
      <w:r>
        <w:rPr>
          <w:i/>
          <w:spacing w:val="-6"/>
          <w:sz w:val="20"/>
        </w:rPr>
        <w:t> </w:t>
      </w:r>
      <w:r>
        <w:rPr>
          <w:i/>
          <w:sz w:val="20"/>
        </w:rPr>
        <w:t>de</w:t>
      </w:r>
      <w:r>
        <w:rPr>
          <w:i/>
          <w:spacing w:val="-6"/>
          <w:sz w:val="20"/>
        </w:rPr>
        <w:t> </w:t>
      </w:r>
      <w:r>
        <w:rPr>
          <w:i/>
          <w:sz w:val="20"/>
        </w:rPr>
        <w:t>redes”.</w:t>
      </w:r>
      <w:r>
        <w:rPr>
          <w:i/>
          <w:spacing w:val="-6"/>
          <w:sz w:val="20"/>
        </w:rPr>
        <w:t> </w:t>
      </w:r>
      <w:r>
        <w:rPr>
          <w:sz w:val="20"/>
        </w:rPr>
        <w:t>En</w:t>
      </w:r>
      <w:r>
        <w:rPr>
          <w:spacing w:val="-6"/>
          <w:sz w:val="20"/>
        </w:rPr>
        <w:t> </w:t>
      </w:r>
      <w:r>
        <w:rPr>
          <w:sz w:val="20"/>
        </w:rPr>
        <w:t>Valdivia</w:t>
      </w:r>
      <w:r>
        <w:rPr>
          <w:spacing w:val="-6"/>
          <w:sz w:val="20"/>
        </w:rPr>
        <w:t> </w:t>
      </w:r>
      <w:r>
        <w:rPr>
          <w:sz w:val="20"/>
        </w:rPr>
        <w:t>López,</w:t>
      </w:r>
      <w:r>
        <w:rPr>
          <w:spacing w:val="-6"/>
          <w:sz w:val="20"/>
        </w:rPr>
        <w:t> </w:t>
      </w:r>
      <w:r>
        <w:rPr>
          <w:sz w:val="20"/>
        </w:rPr>
        <w:t>M.,</w:t>
      </w:r>
      <w:r>
        <w:rPr>
          <w:spacing w:val="-6"/>
          <w:sz w:val="20"/>
        </w:rPr>
        <w:t> </w:t>
      </w:r>
      <w:r>
        <w:rPr>
          <w:sz w:val="20"/>
        </w:rPr>
        <w:t>y</w:t>
      </w:r>
      <w:r>
        <w:rPr>
          <w:spacing w:val="-6"/>
          <w:sz w:val="20"/>
        </w:rPr>
        <w:t> </w:t>
      </w:r>
      <w:r>
        <w:rPr>
          <w:sz w:val="20"/>
        </w:rPr>
        <w:t>Delgadillo</w:t>
      </w:r>
      <w:r>
        <w:rPr>
          <w:w w:val="100"/>
          <w:sz w:val="20"/>
        </w:rPr>
        <w:t> </w:t>
      </w:r>
      <w:r>
        <w:rPr>
          <w:sz w:val="20"/>
        </w:rPr>
        <w:t>Macías, J.; (Coordinadores.), La Geografía y la Economía en sus vínculos actuales: Antología de Discusiones Teóricas Contemporáneas de la Geografía Económica. México: Universidad Nacional Autónoma de </w:t>
      </w:r>
      <w:r>
        <w:rPr>
          <w:spacing w:val="16"/>
          <w:sz w:val="20"/>
        </w:rPr>
        <w:t> </w:t>
      </w:r>
      <w:r>
        <w:rPr>
          <w:sz w:val="20"/>
        </w:rPr>
        <w:t>México.</w:t>
      </w:r>
    </w:p>
    <w:p>
      <w:pPr>
        <w:pStyle w:val="BodyText"/>
        <w:spacing w:before="11"/>
      </w:pPr>
    </w:p>
    <w:p>
      <w:pPr>
        <w:spacing w:line="249" w:lineRule="auto" w:before="0"/>
        <w:ind w:left="759" w:right="0" w:hanging="624"/>
        <w:jc w:val="both"/>
        <w:rPr>
          <w:sz w:val="20"/>
        </w:rPr>
      </w:pPr>
      <w:r>
        <w:rPr>
          <w:sz w:val="20"/>
        </w:rPr>
        <w:t>Herrera Ramos, J. Mario, (2013). </w:t>
      </w:r>
      <w:r>
        <w:rPr>
          <w:i/>
          <w:sz w:val="20"/>
        </w:rPr>
        <w:t>El desarrollo regional en México. Una revisión de los </w:t>
      </w:r>
      <w:r>
        <w:rPr>
          <w:i/>
          <w:sz w:val="20"/>
        </w:rPr>
        <w:t>principales problemas</w:t>
      </w:r>
      <w:r>
        <w:rPr>
          <w:sz w:val="20"/>
        </w:rPr>
        <w:t>. 47-68.</w:t>
      </w:r>
    </w:p>
    <w:p>
      <w:pPr>
        <w:pStyle w:val="BodyText"/>
        <w:spacing w:before="11"/>
      </w:pPr>
    </w:p>
    <w:p>
      <w:pPr>
        <w:pStyle w:val="BodyText"/>
        <w:spacing w:line="249" w:lineRule="auto"/>
        <w:ind w:left="759" w:hanging="624"/>
        <w:jc w:val="both"/>
      </w:pPr>
      <w:r>
        <w:rPr/>
        <w:t>Hiernaux N., Daniel y Torres B., Rino Enz, (2008). </w:t>
      </w:r>
      <w:r>
        <w:rPr>
          <w:i/>
        </w:rPr>
        <w:t>Desarrollo territorial en México: un </w:t>
      </w:r>
      <w:r>
        <w:rPr>
          <w:i/>
        </w:rPr>
        <w:t>balance general</w:t>
      </w:r>
      <w:r>
        <w:rPr/>
        <w:t>. En Delgadillo Macías, Javier (Compilador), Política Territorial en México: Hacia un Modelo de Desarrollo Basado en el Territorio. México: Secretaría de Desarrollo Social. Universidad Nacional Autónoma de México y, Plaza y Valdés, S.A. de C.V.</w:t>
      </w:r>
    </w:p>
    <w:p>
      <w:pPr>
        <w:pStyle w:val="BodyText"/>
        <w:spacing w:before="11"/>
      </w:pPr>
    </w:p>
    <w:p>
      <w:pPr>
        <w:pStyle w:val="BodyText"/>
        <w:spacing w:line="249" w:lineRule="auto"/>
        <w:ind w:left="759" w:hanging="624"/>
        <w:jc w:val="both"/>
      </w:pPr>
      <w:r>
        <w:rPr/>
        <w:t>Otero,</w:t>
      </w:r>
      <w:r>
        <w:rPr>
          <w:spacing w:val="-19"/>
        </w:rPr>
        <w:t> </w:t>
      </w:r>
      <w:r>
        <w:rPr/>
        <w:t>E.,</w:t>
      </w:r>
      <w:r>
        <w:rPr>
          <w:spacing w:val="-19"/>
        </w:rPr>
        <w:t> </w:t>
      </w:r>
      <w:r>
        <w:rPr/>
        <w:t>R.</w:t>
      </w:r>
      <w:r>
        <w:rPr>
          <w:spacing w:val="-19"/>
        </w:rPr>
        <w:t> </w:t>
      </w:r>
      <w:r>
        <w:rPr/>
        <w:t>y</w:t>
      </w:r>
      <w:r>
        <w:rPr>
          <w:spacing w:val="-19"/>
        </w:rPr>
        <w:t> </w:t>
      </w:r>
      <w:r>
        <w:rPr/>
        <w:t>Gómez,</w:t>
      </w:r>
      <w:r>
        <w:rPr>
          <w:spacing w:val="-19"/>
        </w:rPr>
        <w:t> </w:t>
      </w:r>
      <w:r>
        <w:rPr/>
        <w:t>R.,</w:t>
      </w:r>
      <w:r>
        <w:rPr>
          <w:spacing w:val="-19"/>
        </w:rPr>
        <w:t> </w:t>
      </w:r>
      <w:r>
        <w:rPr/>
        <w:t>S.,</w:t>
      </w:r>
      <w:r>
        <w:rPr>
          <w:spacing w:val="-19"/>
        </w:rPr>
        <w:t> </w:t>
      </w:r>
      <w:r>
        <w:rPr/>
        <w:t>(2007).</w:t>
      </w:r>
      <w:r>
        <w:rPr>
          <w:spacing w:val="-19"/>
        </w:rPr>
        <w:t> </w:t>
      </w:r>
      <w:r>
        <w:rPr/>
        <w:t>La</w:t>
      </w:r>
      <w:r>
        <w:rPr>
          <w:spacing w:val="-19"/>
        </w:rPr>
        <w:t> </w:t>
      </w:r>
      <w:r>
        <w:rPr/>
        <w:t>desconcentración</w:t>
      </w:r>
      <w:r>
        <w:rPr>
          <w:spacing w:val="-19"/>
        </w:rPr>
        <w:t> </w:t>
      </w:r>
      <w:r>
        <w:rPr/>
        <w:t>urbana</w:t>
      </w:r>
      <w:r>
        <w:rPr>
          <w:spacing w:val="-19"/>
        </w:rPr>
        <w:t> </w:t>
      </w:r>
      <w:r>
        <w:rPr/>
        <w:t>en</w:t>
      </w:r>
      <w:r>
        <w:rPr>
          <w:spacing w:val="-19"/>
        </w:rPr>
        <w:t> </w:t>
      </w:r>
      <w:r>
        <w:rPr/>
        <w:t>el</w:t>
      </w:r>
      <w:r>
        <w:rPr>
          <w:spacing w:val="-19"/>
        </w:rPr>
        <w:t> </w:t>
      </w:r>
      <w:r>
        <w:rPr/>
        <w:t>sistema</w:t>
      </w:r>
      <w:r>
        <w:rPr>
          <w:spacing w:val="-19"/>
        </w:rPr>
        <w:t> </w:t>
      </w:r>
      <w:r>
        <w:rPr/>
        <w:t>territorial de Galicia: un enfoque conceptual y empírico. </w:t>
      </w:r>
      <w:r>
        <w:rPr>
          <w:i/>
        </w:rPr>
        <w:t>Boletín de la A.G.E.</w:t>
      </w:r>
      <w:r>
        <w:rPr/>
        <w:t>, 44,</w:t>
      </w:r>
      <w:r>
        <w:rPr>
          <w:spacing w:val="-20"/>
        </w:rPr>
        <w:t> </w:t>
      </w:r>
      <w:r>
        <w:rPr/>
        <w:t>259-277.</w:t>
      </w:r>
    </w:p>
    <w:p>
      <w:pPr>
        <w:spacing w:line="480" w:lineRule="exact" w:before="44"/>
        <w:ind w:left="135" w:right="0" w:firstLine="0"/>
        <w:jc w:val="left"/>
        <w:rPr>
          <w:sz w:val="20"/>
        </w:rPr>
      </w:pPr>
      <w:r>
        <w:rPr>
          <w:sz w:val="20"/>
        </w:rPr>
        <w:t>Pacione, M., (2005). </w:t>
      </w:r>
      <w:r>
        <w:rPr>
          <w:i/>
          <w:sz w:val="20"/>
        </w:rPr>
        <w:t>Urban Geography—A Global Perspective</w:t>
      </w:r>
      <w:r>
        <w:rPr>
          <w:sz w:val="20"/>
        </w:rPr>
        <w:t>. Routledge, London. Sobrino, Jaime, (2011). </w:t>
      </w:r>
      <w:r>
        <w:rPr>
          <w:i/>
          <w:sz w:val="20"/>
        </w:rPr>
        <w:t>La urbanización en el México contemporáneo</w:t>
      </w:r>
      <w:r>
        <w:rPr>
          <w:sz w:val="20"/>
        </w:rPr>
        <w:t>. En CEPAL/</w:t>
      </w:r>
    </w:p>
    <w:p>
      <w:pPr>
        <w:pStyle w:val="BodyText"/>
        <w:spacing w:line="186" w:lineRule="exact"/>
        <w:ind w:left="759"/>
      </w:pPr>
      <w:r>
        <w:rPr/>
        <w:t>CELADE (Ed), Reunión de Expertos Sobre: “Población Territorio y Desarrollo</w:t>
      </w:r>
    </w:p>
    <w:p>
      <w:pPr>
        <w:pStyle w:val="BodyText"/>
        <w:spacing w:before="10"/>
        <w:ind w:left="759"/>
      </w:pPr>
      <w:r>
        <w:rPr/>
        <w:t>Sostenible” (1-20). Santiago.</w:t>
      </w:r>
    </w:p>
    <w:p>
      <w:pPr>
        <w:pStyle w:val="BodyText"/>
        <w:spacing w:before="8"/>
        <w:rPr>
          <w:sz w:val="21"/>
        </w:rPr>
      </w:pPr>
    </w:p>
    <w:p>
      <w:pPr>
        <w:pStyle w:val="BodyText"/>
        <w:spacing w:line="249" w:lineRule="auto"/>
        <w:ind w:left="759" w:hanging="624"/>
        <w:jc w:val="both"/>
      </w:pPr>
      <w:r>
        <w:rPr/>
        <w:t>Solis</w:t>
      </w:r>
      <w:r>
        <w:rPr>
          <w:spacing w:val="-12"/>
        </w:rPr>
        <w:t> </w:t>
      </w:r>
      <w:r>
        <w:rPr/>
        <w:t>T.,</w:t>
      </w:r>
      <w:r>
        <w:rPr>
          <w:spacing w:val="-12"/>
        </w:rPr>
        <w:t> </w:t>
      </w:r>
      <w:r>
        <w:rPr/>
        <w:t>Eloy</w:t>
      </w:r>
      <w:r>
        <w:rPr>
          <w:spacing w:val="-12"/>
        </w:rPr>
        <w:t> </w:t>
      </w:r>
      <w:r>
        <w:rPr/>
        <w:t>y</w:t>
      </w:r>
      <w:r>
        <w:rPr>
          <w:spacing w:val="-12"/>
        </w:rPr>
        <w:t> </w:t>
      </w:r>
      <w:r>
        <w:rPr/>
        <w:t>Troitiño</w:t>
      </w:r>
      <w:r>
        <w:rPr>
          <w:spacing w:val="-12"/>
        </w:rPr>
        <w:t> </w:t>
      </w:r>
      <w:r>
        <w:rPr/>
        <w:t>V.,</w:t>
      </w:r>
      <w:r>
        <w:rPr>
          <w:spacing w:val="-12"/>
        </w:rPr>
        <w:t> </w:t>
      </w:r>
      <w:r>
        <w:rPr/>
        <w:t>Miguel</w:t>
      </w:r>
      <w:r>
        <w:rPr>
          <w:spacing w:val="-12"/>
        </w:rPr>
        <w:t> </w:t>
      </w:r>
      <w:r>
        <w:rPr/>
        <w:t>Ángel,</w:t>
      </w:r>
      <w:r>
        <w:rPr>
          <w:spacing w:val="-12"/>
        </w:rPr>
        <w:t> </w:t>
      </w:r>
      <w:r>
        <w:rPr/>
        <w:t>(2012).</w:t>
      </w:r>
      <w:r>
        <w:rPr>
          <w:spacing w:val="-12"/>
        </w:rPr>
        <w:t> </w:t>
      </w:r>
      <w:r>
        <w:rPr/>
        <w:t>El</w:t>
      </w:r>
      <w:r>
        <w:rPr>
          <w:spacing w:val="-12"/>
        </w:rPr>
        <w:t> </w:t>
      </w:r>
      <w:r>
        <w:rPr/>
        <w:t>paradigma</w:t>
      </w:r>
      <w:r>
        <w:rPr>
          <w:spacing w:val="-12"/>
        </w:rPr>
        <w:t> </w:t>
      </w:r>
      <w:r>
        <w:rPr/>
        <w:t>de</w:t>
      </w:r>
      <w:r>
        <w:rPr>
          <w:spacing w:val="-12"/>
        </w:rPr>
        <w:t> </w:t>
      </w:r>
      <w:r>
        <w:rPr/>
        <w:t>la</w:t>
      </w:r>
      <w:r>
        <w:rPr>
          <w:spacing w:val="-12"/>
        </w:rPr>
        <w:t> </w:t>
      </w:r>
      <w:r>
        <w:rPr/>
        <w:t>red:</w:t>
      </w:r>
      <w:r>
        <w:rPr>
          <w:spacing w:val="-12"/>
        </w:rPr>
        <w:t> </w:t>
      </w:r>
      <w:r>
        <w:rPr/>
        <w:t>Bases</w:t>
      </w:r>
      <w:r>
        <w:rPr>
          <w:spacing w:val="-12"/>
        </w:rPr>
        <w:t> </w:t>
      </w:r>
      <w:r>
        <w:rPr/>
        <w:t>para</w:t>
      </w:r>
      <w:r>
        <w:rPr>
          <w:spacing w:val="-12"/>
        </w:rPr>
        <w:t> </w:t>
      </w:r>
      <w:r>
        <w:rPr/>
        <w:t>una nueva</w:t>
      </w:r>
      <w:r>
        <w:rPr>
          <w:spacing w:val="-9"/>
        </w:rPr>
        <w:t> </w:t>
      </w:r>
      <w:r>
        <w:rPr/>
        <w:t>interpretación</w:t>
      </w:r>
      <w:r>
        <w:rPr>
          <w:spacing w:val="-9"/>
        </w:rPr>
        <w:t> </w:t>
      </w:r>
      <w:r>
        <w:rPr/>
        <w:t>del</w:t>
      </w:r>
      <w:r>
        <w:rPr>
          <w:spacing w:val="-9"/>
        </w:rPr>
        <w:t> </w:t>
      </w:r>
      <w:r>
        <w:rPr/>
        <w:t>territorio</w:t>
      </w:r>
      <w:r>
        <w:rPr>
          <w:spacing w:val="-9"/>
        </w:rPr>
        <w:t> </w:t>
      </w:r>
      <w:r>
        <w:rPr/>
        <w:t>y</w:t>
      </w:r>
      <w:r>
        <w:rPr>
          <w:spacing w:val="-9"/>
        </w:rPr>
        <w:t> </w:t>
      </w:r>
      <w:r>
        <w:rPr/>
        <w:t>de</w:t>
      </w:r>
      <w:r>
        <w:rPr>
          <w:spacing w:val="-9"/>
        </w:rPr>
        <w:t> </w:t>
      </w:r>
      <w:r>
        <w:rPr/>
        <w:t>los</w:t>
      </w:r>
      <w:r>
        <w:rPr>
          <w:spacing w:val="-9"/>
        </w:rPr>
        <w:t> </w:t>
      </w:r>
      <w:r>
        <w:rPr/>
        <w:t>procesos</w:t>
      </w:r>
      <w:r>
        <w:rPr>
          <w:spacing w:val="-9"/>
        </w:rPr>
        <w:t> </w:t>
      </w:r>
      <w:r>
        <w:rPr/>
        <w:t>escalares</w:t>
      </w:r>
      <w:r>
        <w:rPr>
          <w:spacing w:val="-9"/>
        </w:rPr>
        <w:t> </w:t>
      </w:r>
      <w:r>
        <w:rPr/>
        <w:t>de</w:t>
      </w:r>
      <w:r>
        <w:rPr>
          <w:spacing w:val="-9"/>
        </w:rPr>
        <w:t> </w:t>
      </w:r>
      <w:r>
        <w:rPr/>
        <w:t>la</w:t>
      </w:r>
      <w:r>
        <w:rPr>
          <w:spacing w:val="-9"/>
        </w:rPr>
        <w:t> </w:t>
      </w:r>
      <w:r>
        <w:rPr/>
        <w:t>urbanización.</w:t>
      </w:r>
      <w:r>
        <w:rPr>
          <w:w w:val="100"/>
        </w:rPr>
        <w:t> </w:t>
      </w:r>
      <w:r>
        <w:rPr>
          <w:i/>
        </w:rPr>
        <w:t>Boletín de la Asociación de Geógrafos Españoles</w:t>
      </w:r>
      <w:r>
        <w:rPr/>
        <w:t>, 60, 141</w:t>
      </w:r>
      <w:r>
        <w:rPr>
          <w:spacing w:val="-3"/>
        </w:rPr>
        <w:t> </w:t>
      </w:r>
      <w:r>
        <w:rPr/>
        <w:t>-164.</w:t>
      </w:r>
    </w:p>
    <w:p>
      <w:pPr>
        <w:pStyle w:val="BodyText"/>
        <w:spacing w:before="8"/>
        <w:rPr>
          <w:sz w:val="17"/>
        </w:rPr>
      </w:pPr>
    </w:p>
    <w:p>
      <w:pPr>
        <w:pStyle w:val="Heading1"/>
        <w:ind w:left="305"/>
      </w:pPr>
      <w:r>
        <w:rPr/>
        <w:t>Documentos de gobierno</w:t>
      </w:r>
    </w:p>
    <w:p>
      <w:pPr>
        <w:pStyle w:val="BodyText"/>
        <w:rPr>
          <w:b/>
          <w:sz w:val="21"/>
        </w:rPr>
      </w:pPr>
    </w:p>
    <w:p>
      <w:pPr>
        <w:spacing w:line="249" w:lineRule="auto" w:before="0"/>
        <w:ind w:left="759" w:right="0" w:hanging="624"/>
        <w:jc w:val="both"/>
        <w:rPr>
          <w:sz w:val="20"/>
        </w:rPr>
      </w:pPr>
      <w:r>
        <w:rPr>
          <w:sz w:val="20"/>
        </w:rPr>
        <w:t>Gobierno</w:t>
      </w:r>
      <w:r>
        <w:rPr>
          <w:spacing w:val="-7"/>
          <w:sz w:val="20"/>
        </w:rPr>
        <w:t> </w:t>
      </w:r>
      <w:r>
        <w:rPr>
          <w:sz w:val="20"/>
        </w:rPr>
        <w:t>del</w:t>
      </w:r>
      <w:r>
        <w:rPr>
          <w:spacing w:val="-7"/>
          <w:sz w:val="20"/>
        </w:rPr>
        <w:t> </w:t>
      </w:r>
      <w:r>
        <w:rPr>
          <w:sz w:val="20"/>
        </w:rPr>
        <w:t>Distrito</w:t>
      </w:r>
      <w:r>
        <w:rPr>
          <w:spacing w:val="-7"/>
          <w:sz w:val="20"/>
        </w:rPr>
        <w:t> </w:t>
      </w:r>
      <w:r>
        <w:rPr>
          <w:sz w:val="20"/>
        </w:rPr>
        <w:t>Federal,</w:t>
      </w:r>
      <w:r>
        <w:rPr>
          <w:spacing w:val="-7"/>
          <w:sz w:val="20"/>
        </w:rPr>
        <w:t> </w:t>
      </w:r>
      <w:r>
        <w:rPr>
          <w:sz w:val="20"/>
        </w:rPr>
        <w:t>GDF.</w:t>
      </w:r>
      <w:r>
        <w:rPr>
          <w:spacing w:val="-7"/>
          <w:sz w:val="20"/>
        </w:rPr>
        <w:t> </w:t>
      </w:r>
      <w:r>
        <w:rPr>
          <w:sz w:val="20"/>
        </w:rPr>
        <w:t>(2000).</w:t>
      </w:r>
      <w:r>
        <w:rPr>
          <w:spacing w:val="-7"/>
          <w:sz w:val="20"/>
        </w:rPr>
        <w:t> </w:t>
      </w:r>
      <w:r>
        <w:rPr>
          <w:i/>
          <w:sz w:val="20"/>
        </w:rPr>
        <w:t>Programa</w:t>
      </w:r>
      <w:r>
        <w:rPr>
          <w:i/>
          <w:spacing w:val="-7"/>
          <w:sz w:val="20"/>
        </w:rPr>
        <w:t> </w:t>
      </w:r>
      <w:r>
        <w:rPr>
          <w:i/>
          <w:sz w:val="20"/>
        </w:rPr>
        <w:t>General</w:t>
      </w:r>
      <w:r>
        <w:rPr>
          <w:i/>
          <w:spacing w:val="-7"/>
          <w:sz w:val="20"/>
        </w:rPr>
        <w:t> </w:t>
      </w:r>
      <w:r>
        <w:rPr>
          <w:i/>
          <w:sz w:val="20"/>
        </w:rPr>
        <w:t>de</w:t>
      </w:r>
      <w:r>
        <w:rPr>
          <w:i/>
          <w:spacing w:val="-7"/>
          <w:sz w:val="20"/>
        </w:rPr>
        <w:t> </w:t>
      </w:r>
      <w:r>
        <w:rPr>
          <w:i/>
          <w:sz w:val="20"/>
        </w:rPr>
        <w:t>Desarrollo</w:t>
      </w:r>
      <w:r>
        <w:rPr>
          <w:i/>
          <w:spacing w:val="-7"/>
          <w:sz w:val="20"/>
        </w:rPr>
        <w:t> </w:t>
      </w:r>
      <w:r>
        <w:rPr>
          <w:i/>
          <w:sz w:val="20"/>
        </w:rPr>
        <w:t>del</w:t>
      </w:r>
      <w:r>
        <w:rPr>
          <w:i/>
          <w:spacing w:val="-7"/>
          <w:sz w:val="20"/>
        </w:rPr>
        <w:t> </w:t>
      </w:r>
      <w:r>
        <w:rPr>
          <w:i/>
          <w:sz w:val="20"/>
        </w:rPr>
        <w:t>Distrito </w:t>
      </w:r>
      <w:r>
        <w:rPr>
          <w:i/>
          <w:sz w:val="20"/>
        </w:rPr>
        <w:t>Federal 2000-2006</w:t>
      </w:r>
      <w:r>
        <w:rPr>
          <w:sz w:val="20"/>
        </w:rPr>
        <w:t>. Gaceta Oficial del Distrito Federal. Órgano de Difusión del Gobierno del Distrito Federal. Distrito</w:t>
      </w:r>
      <w:r>
        <w:rPr>
          <w:spacing w:val="16"/>
          <w:sz w:val="20"/>
        </w:rPr>
        <w:t> </w:t>
      </w:r>
      <w:r>
        <w:rPr>
          <w:sz w:val="20"/>
        </w:rPr>
        <w:t>Federal.</w:t>
      </w:r>
    </w:p>
    <w:p>
      <w:pPr>
        <w:pStyle w:val="BodyText"/>
        <w:spacing w:before="11"/>
      </w:pPr>
    </w:p>
    <w:p>
      <w:pPr>
        <w:spacing w:line="249" w:lineRule="auto" w:before="0"/>
        <w:ind w:left="759" w:right="0" w:hanging="624"/>
        <w:jc w:val="both"/>
        <w:rPr>
          <w:sz w:val="20"/>
        </w:rPr>
      </w:pPr>
      <w:r>
        <w:rPr>
          <w:sz w:val="20"/>
        </w:rPr>
        <w:t>Gobierno</w:t>
      </w:r>
      <w:r>
        <w:rPr>
          <w:spacing w:val="-7"/>
          <w:sz w:val="20"/>
        </w:rPr>
        <w:t> </w:t>
      </w:r>
      <w:r>
        <w:rPr>
          <w:sz w:val="20"/>
        </w:rPr>
        <w:t>del</w:t>
      </w:r>
      <w:r>
        <w:rPr>
          <w:spacing w:val="-7"/>
          <w:sz w:val="20"/>
        </w:rPr>
        <w:t> </w:t>
      </w:r>
      <w:r>
        <w:rPr>
          <w:sz w:val="20"/>
        </w:rPr>
        <w:t>Distrito</w:t>
      </w:r>
      <w:r>
        <w:rPr>
          <w:spacing w:val="-7"/>
          <w:sz w:val="20"/>
        </w:rPr>
        <w:t> </w:t>
      </w:r>
      <w:r>
        <w:rPr>
          <w:sz w:val="20"/>
        </w:rPr>
        <w:t>Federal,</w:t>
      </w:r>
      <w:r>
        <w:rPr>
          <w:spacing w:val="-7"/>
          <w:sz w:val="20"/>
        </w:rPr>
        <w:t> </w:t>
      </w:r>
      <w:r>
        <w:rPr>
          <w:sz w:val="20"/>
        </w:rPr>
        <w:t>GDF.</w:t>
      </w:r>
      <w:r>
        <w:rPr>
          <w:spacing w:val="-7"/>
          <w:sz w:val="20"/>
        </w:rPr>
        <w:t> </w:t>
      </w:r>
      <w:r>
        <w:rPr>
          <w:sz w:val="20"/>
        </w:rPr>
        <w:t>(2007).</w:t>
      </w:r>
      <w:r>
        <w:rPr>
          <w:spacing w:val="-7"/>
          <w:sz w:val="20"/>
        </w:rPr>
        <w:t> </w:t>
      </w:r>
      <w:r>
        <w:rPr>
          <w:i/>
          <w:sz w:val="20"/>
        </w:rPr>
        <w:t>Programa</w:t>
      </w:r>
      <w:r>
        <w:rPr>
          <w:i/>
          <w:spacing w:val="-7"/>
          <w:sz w:val="20"/>
        </w:rPr>
        <w:t> </w:t>
      </w:r>
      <w:r>
        <w:rPr>
          <w:i/>
          <w:sz w:val="20"/>
        </w:rPr>
        <w:t>General</w:t>
      </w:r>
      <w:r>
        <w:rPr>
          <w:i/>
          <w:spacing w:val="-7"/>
          <w:sz w:val="20"/>
        </w:rPr>
        <w:t> </w:t>
      </w:r>
      <w:r>
        <w:rPr>
          <w:i/>
          <w:sz w:val="20"/>
        </w:rPr>
        <w:t>de</w:t>
      </w:r>
      <w:r>
        <w:rPr>
          <w:i/>
          <w:spacing w:val="-7"/>
          <w:sz w:val="20"/>
        </w:rPr>
        <w:t> </w:t>
      </w:r>
      <w:r>
        <w:rPr>
          <w:i/>
          <w:sz w:val="20"/>
        </w:rPr>
        <w:t>Desarrollo</w:t>
      </w:r>
      <w:r>
        <w:rPr>
          <w:i/>
          <w:spacing w:val="-7"/>
          <w:sz w:val="20"/>
        </w:rPr>
        <w:t> </w:t>
      </w:r>
      <w:r>
        <w:rPr>
          <w:i/>
          <w:sz w:val="20"/>
        </w:rPr>
        <w:t>del</w:t>
      </w:r>
      <w:r>
        <w:rPr>
          <w:i/>
          <w:spacing w:val="-7"/>
          <w:sz w:val="20"/>
        </w:rPr>
        <w:t> </w:t>
      </w:r>
      <w:r>
        <w:rPr>
          <w:i/>
          <w:sz w:val="20"/>
        </w:rPr>
        <w:t>Distrito </w:t>
      </w:r>
      <w:r>
        <w:rPr>
          <w:i/>
          <w:sz w:val="20"/>
        </w:rPr>
        <w:t>Federal 2007-2012</w:t>
      </w:r>
      <w:r>
        <w:rPr>
          <w:sz w:val="20"/>
        </w:rPr>
        <w:t>. Gaceta Oficial del Distrito Federal. Órgano de Difusión del Gobierno del Distrito Federal. Distrito</w:t>
      </w:r>
      <w:r>
        <w:rPr>
          <w:spacing w:val="16"/>
          <w:sz w:val="20"/>
        </w:rPr>
        <w:t> </w:t>
      </w:r>
      <w:r>
        <w:rPr>
          <w:sz w:val="20"/>
        </w:rPr>
        <w:t>Federal.</w:t>
      </w:r>
    </w:p>
    <w:p>
      <w:pPr>
        <w:pStyle w:val="BodyText"/>
        <w:spacing w:before="11"/>
      </w:pPr>
    </w:p>
    <w:p>
      <w:pPr>
        <w:spacing w:line="249" w:lineRule="auto" w:before="0"/>
        <w:ind w:left="759" w:right="0" w:hanging="624"/>
        <w:jc w:val="both"/>
        <w:rPr>
          <w:sz w:val="20"/>
        </w:rPr>
      </w:pPr>
      <w:r>
        <w:rPr>
          <w:sz w:val="20"/>
        </w:rPr>
        <w:t>Gobierno</w:t>
      </w:r>
      <w:r>
        <w:rPr>
          <w:spacing w:val="-7"/>
          <w:sz w:val="20"/>
        </w:rPr>
        <w:t> </w:t>
      </w:r>
      <w:r>
        <w:rPr>
          <w:sz w:val="20"/>
        </w:rPr>
        <w:t>del</w:t>
      </w:r>
      <w:r>
        <w:rPr>
          <w:spacing w:val="-7"/>
          <w:sz w:val="20"/>
        </w:rPr>
        <w:t> </w:t>
      </w:r>
      <w:r>
        <w:rPr>
          <w:sz w:val="20"/>
        </w:rPr>
        <w:t>Distrito</w:t>
      </w:r>
      <w:r>
        <w:rPr>
          <w:spacing w:val="-7"/>
          <w:sz w:val="20"/>
        </w:rPr>
        <w:t> </w:t>
      </w:r>
      <w:r>
        <w:rPr>
          <w:sz w:val="20"/>
        </w:rPr>
        <w:t>Federal,</w:t>
      </w:r>
      <w:r>
        <w:rPr>
          <w:spacing w:val="-7"/>
          <w:sz w:val="20"/>
        </w:rPr>
        <w:t> </w:t>
      </w:r>
      <w:r>
        <w:rPr>
          <w:sz w:val="20"/>
        </w:rPr>
        <w:t>GDF.</w:t>
      </w:r>
      <w:r>
        <w:rPr>
          <w:spacing w:val="-7"/>
          <w:sz w:val="20"/>
        </w:rPr>
        <w:t> </w:t>
      </w:r>
      <w:r>
        <w:rPr>
          <w:sz w:val="20"/>
        </w:rPr>
        <w:t>(2013).</w:t>
      </w:r>
      <w:r>
        <w:rPr>
          <w:spacing w:val="-7"/>
          <w:sz w:val="20"/>
        </w:rPr>
        <w:t> </w:t>
      </w:r>
      <w:r>
        <w:rPr>
          <w:i/>
          <w:sz w:val="20"/>
        </w:rPr>
        <w:t>Programa</w:t>
      </w:r>
      <w:r>
        <w:rPr>
          <w:i/>
          <w:spacing w:val="-7"/>
          <w:sz w:val="20"/>
        </w:rPr>
        <w:t> </w:t>
      </w:r>
      <w:r>
        <w:rPr>
          <w:i/>
          <w:sz w:val="20"/>
        </w:rPr>
        <w:t>General</w:t>
      </w:r>
      <w:r>
        <w:rPr>
          <w:i/>
          <w:spacing w:val="-7"/>
          <w:sz w:val="20"/>
        </w:rPr>
        <w:t> </w:t>
      </w:r>
      <w:r>
        <w:rPr>
          <w:i/>
          <w:sz w:val="20"/>
        </w:rPr>
        <w:t>de</w:t>
      </w:r>
      <w:r>
        <w:rPr>
          <w:i/>
          <w:spacing w:val="-7"/>
          <w:sz w:val="20"/>
        </w:rPr>
        <w:t> </w:t>
      </w:r>
      <w:r>
        <w:rPr>
          <w:i/>
          <w:sz w:val="20"/>
        </w:rPr>
        <w:t>Desarrollo</w:t>
      </w:r>
      <w:r>
        <w:rPr>
          <w:i/>
          <w:spacing w:val="-7"/>
          <w:sz w:val="20"/>
        </w:rPr>
        <w:t> </w:t>
      </w:r>
      <w:r>
        <w:rPr>
          <w:i/>
          <w:sz w:val="20"/>
        </w:rPr>
        <w:t>del</w:t>
      </w:r>
      <w:r>
        <w:rPr>
          <w:i/>
          <w:spacing w:val="-7"/>
          <w:sz w:val="20"/>
        </w:rPr>
        <w:t> </w:t>
      </w:r>
      <w:r>
        <w:rPr>
          <w:i/>
          <w:sz w:val="20"/>
        </w:rPr>
        <w:t>Distrito </w:t>
      </w:r>
      <w:r>
        <w:rPr>
          <w:i/>
          <w:sz w:val="20"/>
        </w:rPr>
        <w:t>Federal 2013-2018</w:t>
      </w:r>
      <w:r>
        <w:rPr>
          <w:sz w:val="20"/>
        </w:rPr>
        <w:t>. Gaceta Oficial del Distrito Federal. Órgano de Difusión del Gobierno del Distrito Federal. Distrito</w:t>
      </w:r>
      <w:r>
        <w:rPr>
          <w:spacing w:val="16"/>
          <w:sz w:val="20"/>
        </w:rPr>
        <w:t> </w:t>
      </w:r>
      <w:r>
        <w:rPr>
          <w:sz w:val="20"/>
        </w:rPr>
        <w:t>Federal.</w:t>
      </w:r>
    </w:p>
    <w:p>
      <w:pPr>
        <w:spacing w:before="76"/>
        <w:ind w:left="135" w:right="108" w:firstLine="0"/>
        <w:jc w:val="left"/>
        <w:rPr>
          <w:sz w:val="20"/>
        </w:rPr>
      </w:pPr>
      <w:r>
        <w:rPr/>
        <w:br w:type="column"/>
      </w:r>
      <w:r>
        <w:rPr>
          <w:sz w:val="20"/>
        </w:rPr>
        <w:t>Gobierno del Estado de Hidalgo, GEH. (2005). </w:t>
      </w:r>
      <w:r>
        <w:rPr>
          <w:i/>
          <w:sz w:val="20"/>
        </w:rPr>
        <w:t>Plan Estatal de Desarrollo   2005-2011</w:t>
      </w:r>
      <w:r>
        <w:rPr>
          <w:sz w:val="20"/>
        </w:rPr>
        <w:t>.</w:t>
      </w:r>
    </w:p>
    <w:p>
      <w:pPr>
        <w:pStyle w:val="BodyText"/>
        <w:spacing w:before="10"/>
        <w:ind w:left="759" w:right="108"/>
      </w:pPr>
      <w:r>
        <w:rPr/>
        <w:t>Hidalgo.</w:t>
      </w:r>
    </w:p>
    <w:p>
      <w:pPr>
        <w:pStyle w:val="BodyText"/>
        <w:spacing w:before="8"/>
        <w:rPr>
          <w:sz w:val="21"/>
        </w:rPr>
      </w:pPr>
    </w:p>
    <w:p>
      <w:pPr>
        <w:spacing w:before="0"/>
        <w:ind w:left="135" w:right="108" w:firstLine="0"/>
        <w:jc w:val="left"/>
        <w:rPr>
          <w:sz w:val="20"/>
        </w:rPr>
      </w:pPr>
      <w:r>
        <w:rPr>
          <w:sz w:val="20"/>
        </w:rPr>
        <w:t>Gobierno del Estado de Hidalgo, GEH. (2011). </w:t>
      </w:r>
      <w:r>
        <w:rPr>
          <w:i/>
          <w:sz w:val="20"/>
        </w:rPr>
        <w:t>Plan Estatal de Desarrollo   2011-2016</w:t>
      </w:r>
      <w:r>
        <w:rPr>
          <w:sz w:val="20"/>
        </w:rPr>
        <w:t>.</w:t>
      </w:r>
    </w:p>
    <w:p>
      <w:pPr>
        <w:pStyle w:val="BodyText"/>
        <w:spacing w:before="10"/>
        <w:ind w:left="759" w:right="108"/>
      </w:pPr>
      <w:r>
        <w:rPr/>
        <w:t>Hidalgo.</w:t>
      </w:r>
    </w:p>
    <w:p>
      <w:pPr>
        <w:spacing w:line="480" w:lineRule="atLeast" w:before="0"/>
        <w:ind w:left="135" w:right="108" w:firstLine="0"/>
        <w:jc w:val="left"/>
        <w:rPr>
          <w:sz w:val="20"/>
        </w:rPr>
      </w:pPr>
      <w:r>
        <w:rPr>
          <w:sz w:val="20"/>
        </w:rPr>
        <w:t>Gobierno del Estado de México, GEM. (1999). </w:t>
      </w:r>
      <w:r>
        <w:rPr>
          <w:i/>
          <w:sz w:val="20"/>
        </w:rPr>
        <w:t>Plan de Desarrollo 1999-2005</w:t>
      </w:r>
      <w:r>
        <w:rPr>
          <w:sz w:val="20"/>
        </w:rPr>
        <w:t>. México Gobierno del Estado de México, GEM. (2005). </w:t>
      </w:r>
      <w:r>
        <w:rPr>
          <w:i/>
          <w:sz w:val="20"/>
        </w:rPr>
        <w:t>Plan de Desarrollo 2005-2011</w:t>
      </w:r>
      <w:r>
        <w:rPr>
          <w:sz w:val="20"/>
        </w:rPr>
        <w:t>. México Gobierno del Estado de México, GEM. (2011). </w:t>
      </w:r>
      <w:r>
        <w:rPr>
          <w:i/>
          <w:sz w:val="20"/>
        </w:rPr>
        <w:t>Plan de Desarrollo 2011-2017</w:t>
      </w:r>
      <w:r>
        <w:rPr>
          <w:sz w:val="20"/>
        </w:rPr>
        <w:t>.   Comité</w:t>
      </w:r>
    </w:p>
    <w:p>
      <w:pPr>
        <w:pStyle w:val="BodyText"/>
        <w:spacing w:line="249" w:lineRule="auto" w:before="10"/>
        <w:ind w:left="759" w:right="108"/>
      </w:pPr>
      <w:r>
        <w:rPr/>
        <w:t>de Planeación para el Desarrollo del Estado de México (COPLADEM). Estado de México.</w:t>
      </w:r>
    </w:p>
    <w:p>
      <w:pPr>
        <w:pStyle w:val="BodyText"/>
        <w:spacing w:before="11"/>
      </w:pPr>
    </w:p>
    <w:p>
      <w:pPr>
        <w:spacing w:before="0"/>
        <w:ind w:left="135" w:right="0" w:firstLine="0"/>
        <w:jc w:val="left"/>
        <w:rPr>
          <w:i/>
          <w:sz w:val="20"/>
        </w:rPr>
      </w:pPr>
      <w:r>
        <w:rPr>
          <w:sz w:val="20"/>
        </w:rPr>
        <w:t>Gobierno del Estado de Morelos, GEMor. (2007). </w:t>
      </w:r>
      <w:r>
        <w:rPr>
          <w:i/>
          <w:sz w:val="20"/>
        </w:rPr>
        <w:t>Plan Estatal de Desarrollo 2007-2012.</w:t>
      </w:r>
    </w:p>
    <w:p>
      <w:pPr>
        <w:pStyle w:val="BodyText"/>
        <w:spacing w:before="10"/>
        <w:ind w:left="759" w:right="108"/>
      </w:pPr>
      <w:r>
        <w:rPr/>
        <w:t>Consejería Jurídica. Morelos</w:t>
      </w:r>
    </w:p>
    <w:p>
      <w:pPr>
        <w:pStyle w:val="BodyText"/>
        <w:spacing w:before="8"/>
        <w:rPr>
          <w:sz w:val="21"/>
        </w:rPr>
      </w:pPr>
    </w:p>
    <w:p>
      <w:pPr>
        <w:spacing w:before="0"/>
        <w:ind w:left="135" w:right="0" w:firstLine="0"/>
        <w:jc w:val="left"/>
        <w:rPr>
          <w:sz w:val="20"/>
        </w:rPr>
      </w:pPr>
      <w:r>
        <w:rPr>
          <w:sz w:val="20"/>
        </w:rPr>
        <w:t>Gobierno del Estado de Morelos, GEMor (2013). </w:t>
      </w:r>
      <w:r>
        <w:rPr>
          <w:i/>
          <w:sz w:val="20"/>
        </w:rPr>
        <w:t>Plan Estatal de Desarrollo 2013-2018</w:t>
      </w:r>
      <w:r>
        <w:rPr>
          <w:sz w:val="20"/>
        </w:rPr>
        <w:t>.</w:t>
      </w:r>
    </w:p>
    <w:p>
      <w:pPr>
        <w:pStyle w:val="BodyText"/>
        <w:spacing w:before="10"/>
        <w:ind w:left="759" w:right="108"/>
      </w:pPr>
      <w:r>
        <w:rPr/>
        <w:t>Morelos.</w:t>
      </w:r>
    </w:p>
    <w:p>
      <w:pPr>
        <w:pStyle w:val="BodyText"/>
        <w:spacing w:before="8"/>
        <w:rPr>
          <w:sz w:val="21"/>
        </w:rPr>
      </w:pPr>
    </w:p>
    <w:p>
      <w:pPr>
        <w:spacing w:before="0"/>
        <w:ind w:left="135" w:right="108" w:firstLine="0"/>
        <w:jc w:val="left"/>
        <w:rPr>
          <w:sz w:val="20"/>
        </w:rPr>
      </w:pPr>
      <w:r>
        <w:rPr>
          <w:sz w:val="20"/>
        </w:rPr>
        <w:t>Gobierno del Estado de Puebla, GEP. (2005). </w:t>
      </w:r>
      <w:r>
        <w:rPr>
          <w:i/>
          <w:sz w:val="20"/>
        </w:rPr>
        <w:t>Plan Estatal de Desarrollo 2005-2011</w:t>
      </w:r>
      <w:r>
        <w:rPr>
          <w:sz w:val="20"/>
        </w:rPr>
        <w:t>.</w:t>
      </w:r>
    </w:p>
    <w:p>
      <w:pPr>
        <w:pStyle w:val="BodyText"/>
        <w:spacing w:before="10"/>
        <w:ind w:left="759" w:right="108"/>
      </w:pPr>
      <w:r>
        <w:rPr/>
        <w:t>Puebla</w:t>
      </w:r>
    </w:p>
    <w:p>
      <w:pPr>
        <w:pStyle w:val="BodyText"/>
        <w:spacing w:before="8"/>
        <w:rPr>
          <w:sz w:val="21"/>
        </w:rPr>
      </w:pPr>
    </w:p>
    <w:p>
      <w:pPr>
        <w:pStyle w:val="BodyText"/>
        <w:spacing w:line="249" w:lineRule="auto"/>
        <w:ind w:left="759" w:right="128" w:hanging="624"/>
        <w:jc w:val="both"/>
      </w:pPr>
      <w:r>
        <w:rPr/>
        <w:t>Gobierno del Estado de Puebla, GEP. (2011). </w:t>
      </w:r>
      <w:r>
        <w:rPr>
          <w:i/>
        </w:rPr>
        <w:t>Plan Estatal de Desarrollo 2011-2017</w:t>
      </w:r>
      <w:r>
        <w:rPr/>
        <w:t>. Comité de Planeación para el Desarrollo del Estado de Puebla (COPLADEP). Periódico Oficial del Estado de Puebla. Puebla</w:t>
      </w:r>
    </w:p>
    <w:p>
      <w:pPr>
        <w:pStyle w:val="BodyText"/>
        <w:spacing w:before="11"/>
      </w:pPr>
    </w:p>
    <w:p>
      <w:pPr>
        <w:spacing w:line="249" w:lineRule="auto" w:before="0"/>
        <w:ind w:left="759" w:right="130" w:hanging="624"/>
        <w:jc w:val="both"/>
        <w:rPr>
          <w:sz w:val="20"/>
        </w:rPr>
      </w:pPr>
      <w:r>
        <w:rPr>
          <w:sz w:val="20"/>
        </w:rPr>
        <w:t>Gobierno</w:t>
      </w:r>
      <w:r>
        <w:rPr>
          <w:spacing w:val="-17"/>
          <w:sz w:val="20"/>
        </w:rPr>
        <w:t> </w:t>
      </w:r>
      <w:r>
        <w:rPr>
          <w:sz w:val="20"/>
        </w:rPr>
        <w:t>del</w:t>
      </w:r>
      <w:r>
        <w:rPr>
          <w:spacing w:val="-17"/>
          <w:sz w:val="20"/>
        </w:rPr>
        <w:t> </w:t>
      </w:r>
      <w:r>
        <w:rPr>
          <w:sz w:val="20"/>
        </w:rPr>
        <w:t>Estado</w:t>
      </w:r>
      <w:r>
        <w:rPr>
          <w:spacing w:val="-17"/>
          <w:sz w:val="20"/>
        </w:rPr>
        <w:t> </w:t>
      </w:r>
      <w:r>
        <w:rPr>
          <w:sz w:val="20"/>
        </w:rPr>
        <w:t>de</w:t>
      </w:r>
      <w:r>
        <w:rPr>
          <w:spacing w:val="-17"/>
          <w:sz w:val="20"/>
        </w:rPr>
        <w:t> </w:t>
      </w:r>
      <w:r>
        <w:rPr>
          <w:sz w:val="20"/>
        </w:rPr>
        <w:t>Querétaro,</w:t>
      </w:r>
      <w:r>
        <w:rPr>
          <w:spacing w:val="-17"/>
          <w:sz w:val="20"/>
        </w:rPr>
        <w:t> </w:t>
      </w:r>
      <w:r>
        <w:rPr>
          <w:sz w:val="20"/>
        </w:rPr>
        <w:t>GEQ.</w:t>
      </w:r>
      <w:r>
        <w:rPr>
          <w:spacing w:val="-17"/>
          <w:sz w:val="20"/>
        </w:rPr>
        <w:t> </w:t>
      </w:r>
      <w:r>
        <w:rPr>
          <w:sz w:val="20"/>
        </w:rPr>
        <w:t>(2010).</w:t>
      </w:r>
      <w:r>
        <w:rPr>
          <w:spacing w:val="-17"/>
          <w:sz w:val="20"/>
        </w:rPr>
        <w:t> </w:t>
      </w:r>
      <w:r>
        <w:rPr>
          <w:i/>
          <w:sz w:val="20"/>
        </w:rPr>
        <w:t>Plan</w:t>
      </w:r>
      <w:r>
        <w:rPr>
          <w:i/>
          <w:spacing w:val="-17"/>
          <w:sz w:val="20"/>
        </w:rPr>
        <w:t> </w:t>
      </w:r>
      <w:r>
        <w:rPr>
          <w:i/>
          <w:sz w:val="20"/>
        </w:rPr>
        <w:t>Querétaro</w:t>
      </w:r>
      <w:r>
        <w:rPr>
          <w:i/>
          <w:spacing w:val="-17"/>
          <w:sz w:val="20"/>
        </w:rPr>
        <w:t> </w:t>
      </w:r>
      <w:r>
        <w:rPr>
          <w:i/>
          <w:sz w:val="20"/>
        </w:rPr>
        <w:t>2010-2015,</w:t>
      </w:r>
      <w:r>
        <w:rPr>
          <w:i/>
          <w:spacing w:val="-17"/>
          <w:sz w:val="20"/>
        </w:rPr>
        <w:t> </w:t>
      </w:r>
      <w:r>
        <w:rPr>
          <w:i/>
          <w:sz w:val="20"/>
        </w:rPr>
        <w:t>Soluciones </w:t>
      </w:r>
      <w:r>
        <w:rPr>
          <w:i/>
          <w:sz w:val="20"/>
        </w:rPr>
        <w:t>Cercanas a la Gente</w:t>
      </w:r>
      <w:r>
        <w:rPr>
          <w:sz w:val="20"/>
        </w:rPr>
        <w:t>.</w:t>
      </w:r>
      <w:r>
        <w:rPr>
          <w:spacing w:val="-39"/>
          <w:sz w:val="20"/>
        </w:rPr>
        <w:t> </w:t>
      </w:r>
      <w:r>
        <w:rPr>
          <w:sz w:val="20"/>
        </w:rPr>
        <w:t>Querétaro.</w:t>
      </w:r>
    </w:p>
    <w:p>
      <w:pPr>
        <w:pStyle w:val="BodyText"/>
        <w:spacing w:before="11"/>
      </w:pPr>
    </w:p>
    <w:p>
      <w:pPr>
        <w:spacing w:before="0"/>
        <w:ind w:left="135" w:right="108" w:firstLine="0"/>
        <w:jc w:val="left"/>
        <w:rPr>
          <w:sz w:val="20"/>
        </w:rPr>
      </w:pPr>
      <w:r>
        <w:rPr>
          <w:sz w:val="20"/>
        </w:rPr>
        <w:t>Gobierno del Estado de Tlaxcala, GET. (2005). </w:t>
      </w:r>
      <w:r>
        <w:rPr>
          <w:i/>
          <w:sz w:val="20"/>
        </w:rPr>
        <w:t>Plan Estatal de Desarrollo  2005-2011</w:t>
      </w:r>
      <w:r>
        <w:rPr>
          <w:sz w:val="20"/>
        </w:rPr>
        <w:t>.</w:t>
      </w:r>
    </w:p>
    <w:p>
      <w:pPr>
        <w:pStyle w:val="BodyText"/>
        <w:spacing w:before="10"/>
        <w:ind w:left="759" w:right="108"/>
      </w:pPr>
      <w:r>
        <w:rPr/>
        <w:t>Tlaxcala.</w:t>
      </w:r>
    </w:p>
    <w:p>
      <w:pPr>
        <w:pStyle w:val="BodyText"/>
        <w:spacing w:before="8"/>
        <w:rPr>
          <w:sz w:val="21"/>
        </w:rPr>
      </w:pPr>
    </w:p>
    <w:p>
      <w:pPr>
        <w:spacing w:line="249" w:lineRule="auto" w:before="0"/>
        <w:ind w:left="759" w:right="129" w:hanging="624"/>
        <w:jc w:val="both"/>
        <w:rPr>
          <w:sz w:val="20"/>
        </w:rPr>
      </w:pPr>
      <w:r>
        <w:rPr>
          <w:sz w:val="20"/>
        </w:rPr>
        <w:t>GET Gobierno del Estado de Tlaxcala, GET. (2011). </w:t>
      </w:r>
      <w:r>
        <w:rPr>
          <w:i/>
          <w:sz w:val="20"/>
        </w:rPr>
        <w:t>Plan Estatal de Desarrollo 2011- </w:t>
      </w:r>
      <w:r>
        <w:rPr>
          <w:i/>
          <w:sz w:val="20"/>
        </w:rPr>
        <w:t>2016</w:t>
      </w:r>
      <w:r>
        <w:rPr>
          <w:sz w:val="20"/>
        </w:rPr>
        <w:t>. Tlaxcala.</w:t>
      </w:r>
    </w:p>
    <w:p>
      <w:pPr>
        <w:pStyle w:val="BodyText"/>
        <w:spacing w:before="11"/>
      </w:pPr>
    </w:p>
    <w:p>
      <w:pPr>
        <w:pStyle w:val="BodyText"/>
        <w:spacing w:line="249" w:lineRule="auto"/>
        <w:ind w:left="759" w:right="128" w:hanging="624"/>
        <w:jc w:val="both"/>
      </w:pPr>
      <w:r>
        <w:rPr/>
        <w:t>Instituto Nacional de Estadística, Geografía e Informática, INEGI. (2010). </w:t>
      </w:r>
      <w:r>
        <w:rPr>
          <w:i/>
        </w:rPr>
        <w:t>Censo de </w:t>
      </w:r>
      <w:r>
        <w:rPr>
          <w:i/>
        </w:rPr>
        <w:t>Población y Vivienda 2010</w:t>
      </w:r>
      <w:r>
        <w:rPr/>
        <w:t>. Gobierno de México. Disponible para World Wide Web:  </w:t>
      </w:r>
      <w:hyperlink r:id="rId386">
        <w:r>
          <w:rPr/>
          <w:t>http://www.inegi.gob.mx</w:t>
        </w:r>
      </w:hyperlink>
    </w:p>
    <w:p>
      <w:pPr>
        <w:spacing w:after="0" w:line="249" w:lineRule="auto"/>
        <w:jc w:val="both"/>
        <w:sectPr>
          <w:type w:val="continuous"/>
          <w:pgSz w:w="18830" w:h="12760" w:orient="landscape"/>
          <w:pgMar w:top="1420" w:bottom="280" w:left="720" w:right="720"/>
          <w:cols w:num="2" w:equalWidth="0">
            <w:col w:w="7847" w:space="1559"/>
            <w:col w:w="7984"/>
          </w:cols>
        </w:sectPr>
      </w:pPr>
    </w:p>
    <w:p>
      <w:pPr>
        <w:pStyle w:val="BodyText"/>
        <w:spacing w:before="8"/>
      </w:pPr>
    </w:p>
    <w:p>
      <w:pPr>
        <w:spacing w:after="0"/>
        <w:sectPr>
          <w:footerReference w:type="default" r:id="rId394"/>
          <w:pgSz w:w="18830" w:h="12760" w:orient="landscape"/>
          <w:pgMar w:footer="1036" w:header="522" w:top="820" w:bottom="1220" w:left="720" w:right="720"/>
        </w:sectPr>
      </w:pPr>
    </w:p>
    <w:p>
      <w:pPr>
        <w:pStyle w:val="BodyText"/>
        <w:spacing w:line="249" w:lineRule="auto" w:before="109"/>
        <w:ind w:left="745" w:hanging="624"/>
        <w:jc w:val="both"/>
      </w:pPr>
      <w:r>
        <w:rPr/>
        <w:t>Instituto Nacional de Estadística, Geografía e Informática, INEGI. (2000). </w:t>
      </w:r>
      <w:r>
        <w:rPr>
          <w:i/>
        </w:rPr>
        <w:t>Censo de </w:t>
      </w:r>
      <w:r>
        <w:rPr>
          <w:i/>
        </w:rPr>
        <w:t>Población y Vivienda 2000</w:t>
      </w:r>
      <w:r>
        <w:rPr/>
        <w:t>. Gobierno de México. Disponible para World Wide Web:  </w:t>
      </w:r>
      <w:hyperlink r:id="rId386">
        <w:r>
          <w:rPr/>
          <w:t>http://www.inegi.gob.mx</w:t>
        </w:r>
      </w:hyperlink>
    </w:p>
    <w:p>
      <w:pPr>
        <w:pStyle w:val="BodyText"/>
        <w:spacing w:before="11"/>
      </w:pPr>
    </w:p>
    <w:p>
      <w:pPr>
        <w:pStyle w:val="BodyText"/>
        <w:spacing w:line="249" w:lineRule="auto"/>
        <w:ind w:left="745" w:hanging="624"/>
        <w:jc w:val="both"/>
      </w:pPr>
      <w:r>
        <w:rPr/>
        <w:t>Instituto Nacional de Estadística, Geografía e Informática, INEGI. (2010). </w:t>
      </w:r>
      <w:r>
        <w:rPr>
          <w:i/>
        </w:rPr>
        <w:t>Marco </w:t>
      </w:r>
      <w:r>
        <w:rPr>
          <w:i/>
        </w:rPr>
        <w:t>geoestadístico nacional 2010</w:t>
      </w:r>
      <w:r>
        <w:rPr/>
        <w:t>. Gobierno de México. Disponible para World Wide</w:t>
      </w:r>
      <w:r>
        <w:rPr>
          <w:w w:val="99"/>
        </w:rPr>
        <w:t> </w:t>
      </w:r>
      <w:r>
        <w:rPr/>
        <w:t>Web:  </w:t>
      </w:r>
      <w:hyperlink r:id="rId386">
        <w:r>
          <w:rPr/>
          <w:t>http://www.inegi.gob.mx</w:t>
        </w:r>
      </w:hyperlink>
    </w:p>
    <w:p>
      <w:pPr>
        <w:pStyle w:val="Heading1"/>
        <w:spacing w:line="240" w:lineRule="exact" w:before="104"/>
        <w:ind w:left="514" w:right="112" w:hanging="394"/>
      </w:pPr>
      <w:r>
        <w:rPr>
          <w:b w:val="0"/>
        </w:rPr>
        <w:br w:type="column"/>
      </w:r>
      <w:r>
        <w:rPr/>
        <w:t>Vulnerabilidad territorial en salud en México: un enfoque multinivel de la distribución de Mortalidad por diabetes mellitus, 2010.</w:t>
      </w:r>
    </w:p>
    <w:p>
      <w:pPr>
        <w:pStyle w:val="BodyText"/>
        <w:spacing w:before="5"/>
        <w:rPr>
          <w:b/>
          <w:sz w:val="24"/>
        </w:rPr>
      </w:pPr>
    </w:p>
    <w:p>
      <w:pPr>
        <w:spacing w:line="312" w:lineRule="auto" w:before="1"/>
        <w:ind w:left="1626" w:right="128" w:hanging="768"/>
        <w:jc w:val="right"/>
        <w:rPr>
          <w:sz w:val="16"/>
        </w:rPr>
      </w:pPr>
      <w:r>
        <w:rPr>
          <w:sz w:val="16"/>
        </w:rPr>
        <w:t>Marcela Virginia Santana Juárez, Giovanna Santana Castañeda, Jesús Emilio Hernández Bernal,</w:t>
      </w:r>
      <w:r>
        <w:rPr>
          <w:w w:val="99"/>
          <w:sz w:val="16"/>
        </w:rPr>
        <w:t> </w:t>
      </w:r>
      <w:r>
        <w:rPr>
          <w:sz w:val="16"/>
        </w:rPr>
        <w:t>Elsa Mireya Rosales Estrada, Alfredo Estrada Ramírez, Luis Ricardo Manzano Solís y</w:t>
      </w:r>
    </w:p>
    <w:p>
      <w:pPr>
        <w:spacing w:line="312" w:lineRule="auto" w:before="2"/>
        <w:ind w:left="2788" w:right="128" w:firstLine="2536"/>
        <w:jc w:val="right"/>
        <w:rPr>
          <w:sz w:val="16"/>
        </w:rPr>
      </w:pPr>
      <w:r>
        <w:rPr>
          <w:sz w:val="16"/>
        </w:rPr>
        <w:t>Rebeca Angélica Serrano Barquín</w:t>
      </w:r>
      <w:r>
        <w:rPr>
          <w:w w:val="99"/>
          <w:sz w:val="16"/>
        </w:rPr>
        <w:t> </w:t>
      </w:r>
      <w:r>
        <w:rPr>
          <w:sz w:val="16"/>
        </w:rPr>
        <w:t>Facultad de Geografía, Universidad Autónoma del Estado de México.</w:t>
      </w:r>
    </w:p>
    <w:p>
      <w:pPr>
        <w:spacing w:before="2"/>
        <w:ind w:left="0" w:right="128" w:firstLine="0"/>
        <w:jc w:val="right"/>
        <w:rPr>
          <w:sz w:val="16"/>
        </w:rPr>
      </w:pPr>
      <w:hyperlink r:id="rId395">
        <w:r>
          <w:rPr>
            <w:w w:val="95"/>
            <w:sz w:val="16"/>
          </w:rPr>
          <w:t>mvsantana7@hotmail.com</w:t>
        </w:r>
      </w:hyperlink>
    </w:p>
    <w:p>
      <w:pPr>
        <w:spacing w:after="0"/>
        <w:jc w:val="right"/>
        <w:rPr>
          <w:sz w:val="16"/>
        </w:rPr>
        <w:sectPr>
          <w:type w:val="continuous"/>
          <w:pgSz w:w="18830" w:h="12760" w:orient="landscape"/>
          <w:pgMar w:top="1420" w:bottom="280" w:left="720" w:right="720"/>
          <w:cols w:num="2" w:equalWidth="0">
            <w:col w:w="7832" w:space="1638"/>
            <w:col w:w="7920"/>
          </w:cols>
        </w:sectPr>
      </w:pPr>
    </w:p>
    <w:p>
      <w:pPr>
        <w:pStyle w:val="BodyText"/>
        <w:spacing w:line="249" w:lineRule="auto" w:before="18"/>
        <w:ind w:left="745" w:hanging="624"/>
        <w:jc w:val="both"/>
      </w:pPr>
      <w:r>
        <w:rPr/>
        <w:t>INEGI Instituto Nacional de Estadística, Geografía e Informática, INEGI. (2000). </w:t>
      </w:r>
      <w:r>
        <w:rPr>
          <w:i/>
        </w:rPr>
        <w:t>Marco </w:t>
      </w:r>
      <w:r>
        <w:rPr>
          <w:i/>
        </w:rPr>
        <w:t>geoestadístico nacional 2000</w:t>
      </w:r>
      <w:r>
        <w:rPr/>
        <w:t>. Gobierno de México. Disponible para World Wide Web:  </w:t>
      </w:r>
      <w:hyperlink r:id="rId386">
        <w:r>
          <w:rPr/>
          <w:t>http://www.inegi.gob.mx</w:t>
        </w:r>
      </w:hyperlink>
    </w:p>
    <w:p>
      <w:pPr>
        <w:pStyle w:val="BodyText"/>
        <w:spacing w:before="11"/>
      </w:pPr>
    </w:p>
    <w:p>
      <w:pPr>
        <w:spacing w:line="249" w:lineRule="auto" w:before="0"/>
        <w:ind w:left="745" w:right="0" w:hanging="624"/>
        <w:jc w:val="both"/>
        <w:rPr>
          <w:sz w:val="20"/>
        </w:rPr>
      </w:pPr>
      <w:r>
        <w:rPr>
          <w:sz w:val="20"/>
        </w:rPr>
        <w:t>Secretaría</w:t>
      </w:r>
      <w:r>
        <w:rPr>
          <w:spacing w:val="-9"/>
          <w:sz w:val="20"/>
        </w:rPr>
        <w:t> </w:t>
      </w:r>
      <w:r>
        <w:rPr>
          <w:sz w:val="20"/>
        </w:rPr>
        <w:t>de</w:t>
      </w:r>
      <w:r>
        <w:rPr>
          <w:spacing w:val="-9"/>
          <w:sz w:val="20"/>
        </w:rPr>
        <w:t> </w:t>
      </w:r>
      <w:r>
        <w:rPr>
          <w:sz w:val="20"/>
        </w:rPr>
        <w:t>Desarrollo</w:t>
      </w:r>
      <w:r>
        <w:rPr>
          <w:spacing w:val="-9"/>
          <w:sz w:val="20"/>
        </w:rPr>
        <w:t> </w:t>
      </w:r>
      <w:r>
        <w:rPr>
          <w:sz w:val="20"/>
        </w:rPr>
        <w:t>Social,</w:t>
      </w:r>
      <w:r>
        <w:rPr>
          <w:spacing w:val="-9"/>
          <w:sz w:val="20"/>
        </w:rPr>
        <w:t> </w:t>
      </w:r>
      <w:r>
        <w:rPr>
          <w:sz w:val="20"/>
        </w:rPr>
        <w:t>SEDESOL</w:t>
      </w:r>
      <w:r>
        <w:rPr>
          <w:spacing w:val="-9"/>
          <w:sz w:val="20"/>
        </w:rPr>
        <w:t> </w:t>
      </w:r>
      <w:r>
        <w:rPr>
          <w:sz w:val="20"/>
        </w:rPr>
        <w:t>y</w:t>
      </w:r>
      <w:r>
        <w:rPr>
          <w:spacing w:val="-9"/>
          <w:sz w:val="20"/>
        </w:rPr>
        <w:t> </w:t>
      </w:r>
      <w:r>
        <w:rPr>
          <w:sz w:val="20"/>
        </w:rPr>
        <w:t>Consejo</w:t>
      </w:r>
      <w:r>
        <w:rPr>
          <w:spacing w:val="-9"/>
          <w:sz w:val="20"/>
        </w:rPr>
        <w:t> </w:t>
      </w:r>
      <w:r>
        <w:rPr>
          <w:sz w:val="20"/>
        </w:rPr>
        <w:t>Nacional</w:t>
      </w:r>
      <w:r>
        <w:rPr>
          <w:spacing w:val="-9"/>
          <w:sz w:val="20"/>
        </w:rPr>
        <w:t> </w:t>
      </w:r>
      <w:r>
        <w:rPr>
          <w:sz w:val="20"/>
        </w:rPr>
        <w:t>de</w:t>
      </w:r>
      <w:r>
        <w:rPr>
          <w:spacing w:val="-9"/>
          <w:sz w:val="20"/>
        </w:rPr>
        <w:t> </w:t>
      </w:r>
      <w:r>
        <w:rPr>
          <w:sz w:val="20"/>
        </w:rPr>
        <w:t>Población</w:t>
      </w:r>
      <w:r>
        <w:rPr>
          <w:spacing w:val="-9"/>
          <w:sz w:val="20"/>
        </w:rPr>
        <w:t> </w:t>
      </w:r>
      <w:r>
        <w:rPr>
          <w:sz w:val="20"/>
        </w:rPr>
        <w:t>CONAPO. (2012). </w:t>
      </w:r>
      <w:r>
        <w:rPr>
          <w:i/>
          <w:sz w:val="20"/>
        </w:rPr>
        <w:t>Catálogo. Sistema Urbano Nacional 2012</w:t>
      </w:r>
      <w:r>
        <w:rPr>
          <w:sz w:val="20"/>
        </w:rPr>
        <w:t>. México:</w:t>
      </w:r>
      <w:r>
        <w:rPr>
          <w:spacing w:val="22"/>
          <w:sz w:val="20"/>
        </w:rPr>
        <w:t> </w:t>
      </w:r>
      <w:r>
        <w:rPr>
          <w:sz w:val="20"/>
        </w:rPr>
        <w:t>Secretaría</w:t>
      </w:r>
      <w:r>
        <w:rPr>
          <w:spacing w:val="27"/>
          <w:sz w:val="20"/>
        </w:rPr>
        <w:t> </w:t>
      </w:r>
      <w:r>
        <w:rPr>
          <w:sz w:val="20"/>
        </w:rPr>
        <w:t>de</w:t>
      </w:r>
      <w:r>
        <w:rPr>
          <w:w w:val="101"/>
          <w:sz w:val="20"/>
        </w:rPr>
        <w:t> </w:t>
      </w:r>
      <w:r>
        <w:rPr>
          <w:sz w:val="20"/>
        </w:rPr>
        <w:t>Desarrollo</w:t>
      </w:r>
      <w:r>
        <w:rPr>
          <w:spacing w:val="-1"/>
          <w:sz w:val="20"/>
        </w:rPr>
        <w:t> </w:t>
      </w:r>
      <w:r>
        <w:rPr>
          <w:sz w:val="20"/>
        </w:rPr>
        <w:t>Social.</w:t>
      </w:r>
    </w:p>
    <w:p>
      <w:pPr>
        <w:pStyle w:val="BodyText"/>
        <w:spacing w:before="11"/>
      </w:pPr>
    </w:p>
    <w:p>
      <w:pPr>
        <w:spacing w:before="0"/>
        <w:ind w:left="121" w:right="-12" w:firstLine="0"/>
        <w:jc w:val="left"/>
        <w:rPr>
          <w:sz w:val="20"/>
        </w:rPr>
      </w:pPr>
      <w:r>
        <w:rPr>
          <w:sz w:val="20"/>
        </w:rPr>
        <w:t>Secretaría  de  Desarrollo  Social,  SEDESOL.  (2012).  </w:t>
      </w:r>
      <w:r>
        <w:rPr>
          <w:i/>
          <w:sz w:val="20"/>
        </w:rPr>
        <w:t>Estrategia  Territorial Nacional</w:t>
      </w:r>
      <w:r>
        <w:rPr>
          <w:sz w:val="20"/>
        </w:rPr>
        <w:t>.</w:t>
      </w:r>
    </w:p>
    <w:p>
      <w:pPr>
        <w:pStyle w:val="BodyText"/>
        <w:spacing w:before="10"/>
        <w:ind w:left="745" w:right="-12"/>
      </w:pPr>
      <w:r>
        <w:rPr/>
        <w:t>México: Secretaría de Desarrollo Social.</w:t>
      </w:r>
    </w:p>
    <w:p>
      <w:pPr>
        <w:pStyle w:val="Heading1"/>
        <w:spacing w:line="257" w:lineRule="exact"/>
        <w:ind w:left="291"/>
      </w:pPr>
      <w:r>
        <w:rPr>
          <w:b w:val="0"/>
        </w:rPr>
        <w:br w:type="column"/>
      </w:r>
      <w:r>
        <w:rPr/>
        <w:t>Resumen</w:t>
      </w:r>
    </w:p>
    <w:p>
      <w:pPr>
        <w:pStyle w:val="BodyText"/>
        <w:rPr>
          <w:b/>
          <w:sz w:val="21"/>
        </w:rPr>
      </w:pPr>
    </w:p>
    <w:p>
      <w:pPr>
        <w:pStyle w:val="BodyText"/>
        <w:spacing w:line="249" w:lineRule="auto"/>
        <w:ind w:left="121" w:right="127" w:firstLine="170"/>
        <w:jc w:val="both"/>
      </w:pPr>
      <w:r>
        <w:rPr/>
        <w:t>La vulnerabilidad territorial en salud en México: un enfoque multinivel. Mortalidad por diabetes mellitus, 2010, forma parte de los resultados del proyecto de investigación: “Observatorio geográfico: salud y riesgos en México”, financiado por el CONAYCT, Tiene como objetivo: conocer la distribución de la vulnerabilidad territorial en salud, en específico de la mortalidad por diabetes mellitus, en México, para el año  2010.</w:t>
      </w:r>
    </w:p>
    <w:p>
      <w:pPr>
        <w:pStyle w:val="BodyText"/>
        <w:spacing w:before="11"/>
      </w:pPr>
    </w:p>
    <w:p>
      <w:pPr>
        <w:pStyle w:val="BodyText"/>
        <w:spacing w:line="249" w:lineRule="auto"/>
        <w:ind w:left="121" w:right="127" w:firstLine="170"/>
        <w:jc w:val="both"/>
      </w:pPr>
      <w:r>
        <w:rPr/>
        <w:t>Este estudio presenta un panorama multinivel: a nivel regional, estatal, jurisdicción sanitaria, zona metropolitana y municipio. Escala: 1: 8000000.</w:t>
      </w:r>
    </w:p>
    <w:p>
      <w:pPr>
        <w:pStyle w:val="BodyText"/>
        <w:spacing w:before="11"/>
      </w:pPr>
    </w:p>
    <w:p>
      <w:pPr>
        <w:pStyle w:val="BodyText"/>
        <w:spacing w:line="249" w:lineRule="auto"/>
        <w:ind w:left="121" w:right="128" w:firstLine="170"/>
        <w:jc w:val="both"/>
      </w:pPr>
      <w:r>
        <w:rPr/>
        <w:t>El tema de la vulnerabilidad territorial en salud se analiza en el marco de las etapas de prevención y prospección, enfocadas a la promoción de la salud, que puede ser de gran ayuda para mejorar la calidad de vida de la población.</w:t>
      </w:r>
    </w:p>
    <w:p>
      <w:pPr>
        <w:pStyle w:val="BodyText"/>
        <w:spacing w:before="11"/>
      </w:pPr>
    </w:p>
    <w:p>
      <w:pPr>
        <w:pStyle w:val="BodyText"/>
        <w:spacing w:line="249" w:lineRule="auto"/>
        <w:ind w:left="121" w:right="128" w:firstLine="170"/>
        <w:jc w:val="both"/>
      </w:pPr>
      <w:r>
        <w:rPr/>
        <w:t>Lo anterior permitirá identificar las fortalezas y las debilidades más relevantes que tiene cada unidad territorial para la propuesta de estrategias que conlleve a la toma de decisiones orientadas a la transformación para territorios</w:t>
      </w:r>
      <w:r>
        <w:rPr>
          <w:spacing w:val="52"/>
        </w:rPr>
        <w:t> </w:t>
      </w:r>
      <w:r>
        <w:rPr/>
        <w:t>saludables.</w:t>
      </w:r>
    </w:p>
    <w:p>
      <w:pPr>
        <w:pStyle w:val="BodyText"/>
        <w:spacing w:before="11"/>
      </w:pPr>
    </w:p>
    <w:p>
      <w:pPr>
        <w:pStyle w:val="BodyText"/>
        <w:spacing w:line="249" w:lineRule="auto"/>
        <w:ind w:left="121" w:right="127" w:firstLine="170"/>
        <w:jc w:val="both"/>
      </w:pPr>
      <w:r>
        <w:rPr/>
        <w:t>Las fuentes de información son del Sistema Nacional de Información en salud (SINAIS),</w:t>
      </w:r>
      <w:r>
        <w:rPr>
          <w:spacing w:val="-16"/>
        </w:rPr>
        <w:t> </w:t>
      </w:r>
      <w:r>
        <w:rPr/>
        <w:t>Instituto</w:t>
      </w:r>
      <w:r>
        <w:rPr>
          <w:spacing w:val="-16"/>
        </w:rPr>
        <w:t> </w:t>
      </w:r>
      <w:r>
        <w:rPr/>
        <w:t>Nacional</w:t>
      </w:r>
      <w:r>
        <w:rPr>
          <w:spacing w:val="-16"/>
        </w:rPr>
        <w:t> </w:t>
      </w:r>
      <w:r>
        <w:rPr/>
        <w:t>de</w:t>
      </w:r>
      <w:r>
        <w:rPr>
          <w:spacing w:val="-16"/>
        </w:rPr>
        <w:t> </w:t>
      </w:r>
      <w:r>
        <w:rPr/>
        <w:t>Estadística</w:t>
      </w:r>
      <w:r>
        <w:rPr>
          <w:spacing w:val="-16"/>
        </w:rPr>
        <w:t> </w:t>
      </w:r>
      <w:r>
        <w:rPr/>
        <w:t>y</w:t>
      </w:r>
      <w:r>
        <w:rPr>
          <w:spacing w:val="-16"/>
        </w:rPr>
        <w:t> </w:t>
      </w:r>
      <w:r>
        <w:rPr/>
        <w:t>Geografía</w:t>
      </w:r>
      <w:r>
        <w:rPr>
          <w:spacing w:val="-16"/>
        </w:rPr>
        <w:t> </w:t>
      </w:r>
      <w:r>
        <w:rPr/>
        <w:t>(INEGI),</w:t>
      </w:r>
      <w:r>
        <w:rPr>
          <w:spacing w:val="-16"/>
        </w:rPr>
        <w:t> </w:t>
      </w:r>
      <w:r>
        <w:rPr/>
        <w:t>Secretaría</w:t>
      </w:r>
      <w:r>
        <w:rPr>
          <w:spacing w:val="-16"/>
        </w:rPr>
        <w:t> </w:t>
      </w:r>
      <w:r>
        <w:rPr/>
        <w:t>de</w:t>
      </w:r>
      <w:r>
        <w:rPr>
          <w:spacing w:val="-16"/>
        </w:rPr>
        <w:t> </w:t>
      </w:r>
      <w:r>
        <w:rPr/>
        <w:t>Desarrollo Social</w:t>
      </w:r>
      <w:r>
        <w:rPr>
          <w:spacing w:val="-8"/>
        </w:rPr>
        <w:t> </w:t>
      </w:r>
      <w:r>
        <w:rPr/>
        <w:t>(SEDESOL)</w:t>
      </w:r>
      <w:r>
        <w:rPr>
          <w:spacing w:val="-8"/>
        </w:rPr>
        <w:t> </w:t>
      </w:r>
      <w:r>
        <w:rPr/>
        <w:t>y</w:t>
      </w:r>
      <w:r>
        <w:rPr>
          <w:spacing w:val="-8"/>
        </w:rPr>
        <w:t> </w:t>
      </w:r>
      <w:r>
        <w:rPr/>
        <w:t>del</w:t>
      </w:r>
      <w:r>
        <w:rPr>
          <w:spacing w:val="-8"/>
        </w:rPr>
        <w:t> </w:t>
      </w:r>
      <w:r>
        <w:rPr/>
        <w:t>Consejo</w:t>
      </w:r>
      <w:r>
        <w:rPr>
          <w:spacing w:val="-8"/>
        </w:rPr>
        <w:t> </w:t>
      </w:r>
      <w:r>
        <w:rPr/>
        <w:t>Nacional</w:t>
      </w:r>
      <w:r>
        <w:rPr>
          <w:spacing w:val="-8"/>
        </w:rPr>
        <w:t> </w:t>
      </w:r>
      <w:r>
        <w:rPr/>
        <w:t>de</w:t>
      </w:r>
      <w:r>
        <w:rPr>
          <w:spacing w:val="-8"/>
        </w:rPr>
        <w:t> </w:t>
      </w:r>
      <w:r>
        <w:rPr/>
        <w:t>Población</w:t>
      </w:r>
      <w:r>
        <w:rPr>
          <w:spacing w:val="-8"/>
        </w:rPr>
        <w:t> </w:t>
      </w:r>
      <w:r>
        <w:rPr/>
        <w:t>(CONAPO),</w:t>
      </w:r>
      <w:r>
        <w:rPr>
          <w:spacing w:val="-8"/>
        </w:rPr>
        <w:t> </w:t>
      </w:r>
      <w:r>
        <w:rPr/>
        <w:t>entre</w:t>
      </w:r>
      <w:r>
        <w:rPr>
          <w:spacing w:val="-8"/>
        </w:rPr>
        <w:t> </w:t>
      </w:r>
      <w:r>
        <w:rPr/>
        <w:t>otras.</w:t>
      </w:r>
    </w:p>
    <w:p>
      <w:pPr>
        <w:pStyle w:val="BodyText"/>
        <w:spacing w:before="11"/>
      </w:pPr>
    </w:p>
    <w:p>
      <w:pPr>
        <w:spacing w:before="0"/>
        <w:ind w:left="291" w:right="0" w:firstLine="0"/>
        <w:jc w:val="left"/>
        <w:rPr>
          <w:sz w:val="20"/>
        </w:rPr>
      </w:pPr>
      <w:r>
        <w:rPr>
          <w:b/>
          <w:sz w:val="20"/>
        </w:rPr>
        <w:t>Palabras clave: </w:t>
      </w:r>
      <w:r>
        <w:rPr>
          <w:sz w:val="20"/>
        </w:rPr>
        <w:t>vulnerabilidad territorial, mortalidad y estudio  multinivel</w:t>
      </w:r>
    </w:p>
    <w:p>
      <w:pPr>
        <w:spacing w:after="0"/>
        <w:jc w:val="left"/>
        <w:rPr>
          <w:sz w:val="20"/>
        </w:rPr>
        <w:sectPr>
          <w:type w:val="continuous"/>
          <w:pgSz w:w="18830" w:h="12760" w:orient="landscape"/>
          <w:pgMar w:top="1420" w:bottom="280" w:left="720" w:right="720"/>
          <w:cols w:num="2" w:equalWidth="0">
            <w:col w:w="7833" w:space="1587"/>
            <w:col w:w="7970"/>
          </w:cols>
        </w:sectPr>
      </w:pPr>
    </w:p>
    <w:p>
      <w:pPr>
        <w:pStyle w:val="BodyText"/>
        <w:spacing w:before="8"/>
      </w:pPr>
    </w:p>
    <w:p>
      <w:pPr>
        <w:spacing w:after="0"/>
        <w:sectPr>
          <w:footerReference w:type="default" r:id="rId396"/>
          <w:pgSz w:w="18830" w:h="12760" w:orient="landscape"/>
          <w:pgMar w:footer="1036" w:header="522" w:top="820" w:bottom="1220" w:left="720" w:right="720"/>
        </w:sectPr>
      </w:pPr>
    </w:p>
    <w:p>
      <w:pPr>
        <w:pStyle w:val="Heading1"/>
        <w:spacing w:line="240" w:lineRule="exact" w:before="104"/>
        <w:ind w:left="1132" w:right="-7" w:hanging="786"/>
      </w:pPr>
      <w:r>
        <w:rPr/>
        <w:t>Territorial vulnerability regarding health, in Mexico: a multi-level approach. Mortality due to mellitus diabetes, 2010</w:t>
      </w:r>
    </w:p>
    <w:p>
      <w:pPr>
        <w:pStyle w:val="BodyText"/>
        <w:spacing w:before="5"/>
        <w:rPr>
          <w:b/>
          <w:sz w:val="24"/>
        </w:rPr>
      </w:pPr>
    </w:p>
    <w:p>
      <w:pPr>
        <w:spacing w:line="312" w:lineRule="auto" w:before="1"/>
        <w:ind w:left="2294" w:right="0" w:hanging="1731"/>
        <w:jc w:val="right"/>
        <w:rPr>
          <w:sz w:val="16"/>
        </w:rPr>
      </w:pPr>
      <w:r>
        <w:rPr>
          <w:sz w:val="16"/>
        </w:rPr>
        <w:t>Marcela Virginia Santana Juárez, Giovanna Santana Castañeda, Jesús Emilio Hernández Bernal, Elsa</w:t>
      </w:r>
      <w:r>
        <w:rPr>
          <w:w w:val="96"/>
          <w:sz w:val="16"/>
        </w:rPr>
        <w:t> </w:t>
      </w:r>
      <w:r>
        <w:rPr>
          <w:sz w:val="16"/>
        </w:rPr>
        <w:t>Mireya Rosales Estrada, Alfredo Estrada Ramírez y Rebeca Serrano Barquín</w:t>
      </w:r>
      <w:r>
        <w:rPr>
          <w:w w:val="99"/>
          <w:sz w:val="16"/>
        </w:rPr>
        <w:t> </w:t>
      </w:r>
      <w:r>
        <w:rPr>
          <w:sz w:val="16"/>
        </w:rPr>
        <w:t>Faculty of Geography, Autonomous University of the State of  Mexico</w:t>
      </w:r>
    </w:p>
    <w:p>
      <w:pPr>
        <w:spacing w:line="174" w:lineRule="exact" w:before="2"/>
        <w:ind w:left="13" w:right="0" w:firstLine="0"/>
        <w:jc w:val="right"/>
        <w:rPr>
          <w:sz w:val="16"/>
        </w:rPr>
      </w:pPr>
      <w:hyperlink r:id="rId395">
        <w:r>
          <w:rPr>
            <w:w w:val="95"/>
            <w:sz w:val="16"/>
          </w:rPr>
          <w:t>mvsantana7@hotmail.com</w:t>
        </w:r>
      </w:hyperlink>
    </w:p>
    <w:p>
      <w:pPr>
        <w:pStyle w:val="Heading2"/>
        <w:spacing w:line="266" w:lineRule="exact"/>
        <w:ind w:right="-7"/>
        <w:rPr>
          <w:i/>
        </w:rPr>
      </w:pPr>
      <w:r>
        <w:rPr>
          <w:i/>
        </w:rPr>
        <w:t>Abstract</w:t>
      </w:r>
    </w:p>
    <w:p>
      <w:pPr>
        <w:pStyle w:val="BodyText"/>
        <w:rPr>
          <w:b/>
          <w:i/>
          <w:sz w:val="21"/>
        </w:rPr>
      </w:pPr>
    </w:p>
    <w:p>
      <w:pPr>
        <w:spacing w:line="249" w:lineRule="auto" w:before="0"/>
        <w:ind w:left="130" w:right="0" w:firstLine="170"/>
        <w:jc w:val="both"/>
        <w:rPr>
          <w:sz w:val="20"/>
        </w:rPr>
      </w:pPr>
      <w:r>
        <w:rPr>
          <w:i/>
          <w:sz w:val="20"/>
        </w:rPr>
        <w:t>Territorial vulnerability regarding health, in Mexico: a multi-level approach. Mortality </w:t>
      </w:r>
      <w:r>
        <w:rPr>
          <w:i/>
          <w:sz w:val="20"/>
        </w:rPr>
        <w:t>due</w:t>
      </w:r>
      <w:r>
        <w:rPr>
          <w:i/>
          <w:spacing w:val="-12"/>
          <w:sz w:val="20"/>
        </w:rPr>
        <w:t> </w:t>
      </w:r>
      <w:r>
        <w:rPr>
          <w:i/>
          <w:sz w:val="20"/>
        </w:rPr>
        <w:t>to</w:t>
      </w:r>
      <w:r>
        <w:rPr>
          <w:i/>
          <w:spacing w:val="-12"/>
          <w:sz w:val="20"/>
        </w:rPr>
        <w:t> </w:t>
      </w:r>
      <w:r>
        <w:rPr>
          <w:i/>
          <w:sz w:val="20"/>
        </w:rPr>
        <w:t>mellitus</w:t>
      </w:r>
      <w:r>
        <w:rPr>
          <w:i/>
          <w:spacing w:val="-12"/>
          <w:sz w:val="20"/>
        </w:rPr>
        <w:t> </w:t>
      </w:r>
      <w:r>
        <w:rPr>
          <w:i/>
          <w:sz w:val="20"/>
        </w:rPr>
        <w:t>diabetes,</w:t>
      </w:r>
      <w:r>
        <w:rPr>
          <w:i/>
          <w:spacing w:val="-12"/>
          <w:sz w:val="20"/>
        </w:rPr>
        <w:t> </w:t>
      </w:r>
      <w:r>
        <w:rPr>
          <w:i/>
          <w:sz w:val="20"/>
        </w:rPr>
        <w:t>2010</w:t>
      </w:r>
      <w:r>
        <w:rPr>
          <w:sz w:val="20"/>
        </w:rPr>
        <w:t>,</w:t>
      </w:r>
      <w:r>
        <w:rPr>
          <w:spacing w:val="-12"/>
          <w:sz w:val="20"/>
        </w:rPr>
        <w:t> </w:t>
      </w:r>
      <w:r>
        <w:rPr>
          <w:sz w:val="20"/>
        </w:rPr>
        <w:t>is</w:t>
      </w:r>
      <w:r>
        <w:rPr>
          <w:spacing w:val="-12"/>
          <w:sz w:val="20"/>
        </w:rPr>
        <w:t> </w:t>
      </w:r>
      <w:r>
        <w:rPr>
          <w:sz w:val="20"/>
        </w:rPr>
        <w:t>part</w:t>
      </w:r>
      <w:r>
        <w:rPr>
          <w:spacing w:val="-12"/>
          <w:sz w:val="20"/>
        </w:rPr>
        <w:t> </w:t>
      </w:r>
      <w:r>
        <w:rPr>
          <w:sz w:val="20"/>
        </w:rPr>
        <w:t>of</w:t>
      </w:r>
      <w:r>
        <w:rPr>
          <w:spacing w:val="-12"/>
          <w:sz w:val="20"/>
        </w:rPr>
        <w:t> </w:t>
      </w:r>
      <w:r>
        <w:rPr>
          <w:sz w:val="20"/>
        </w:rPr>
        <w:t>the</w:t>
      </w:r>
      <w:r>
        <w:rPr>
          <w:spacing w:val="-12"/>
          <w:sz w:val="20"/>
        </w:rPr>
        <w:t> </w:t>
      </w:r>
      <w:r>
        <w:rPr>
          <w:sz w:val="20"/>
        </w:rPr>
        <w:t>results</w:t>
      </w:r>
      <w:r>
        <w:rPr>
          <w:spacing w:val="-12"/>
          <w:sz w:val="20"/>
        </w:rPr>
        <w:t> </w:t>
      </w:r>
      <w:r>
        <w:rPr>
          <w:sz w:val="20"/>
        </w:rPr>
        <w:t>of</w:t>
      </w:r>
      <w:r>
        <w:rPr>
          <w:spacing w:val="-12"/>
          <w:sz w:val="20"/>
        </w:rPr>
        <w:t> </w:t>
      </w:r>
      <w:r>
        <w:rPr>
          <w:sz w:val="20"/>
        </w:rPr>
        <w:t>the</w:t>
      </w:r>
      <w:r>
        <w:rPr>
          <w:spacing w:val="-12"/>
          <w:sz w:val="20"/>
        </w:rPr>
        <w:t> </w:t>
      </w:r>
      <w:r>
        <w:rPr>
          <w:sz w:val="20"/>
        </w:rPr>
        <w:t>research</w:t>
      </w:r>
      <w:r>
        <w:rPr>
          <w:spacing w:val="-12"/>
          <w:sz w:val="20"/>
        </w:rPr>
        <w:t> </w:t>
      </w:r>
      <w:r>
        <w:rPr>
          <w:sz w:val="20"/>
        </w:rPr>
        <w:t>project</w:t>
      </w:r>
      <w:r>
        <w:rPr>
          <w:spacing w:val="-12"/>
          <w:sz w:val="20"/>
        </w:rPr>
        <w:t> </w:t>
      </w:r>
      <w:r>
        <w:rPr>
          <w:sz w:val="20"/>
        </w:rPr>
        <w:t>“Geographical observatory:</w:t>
      </w:r>
      <w:r>
        <w:rPr>
          <w:spacing w:val="-10"/>
          <w:sz w:val="20"/>
        </w:rPr>
        <w:t> </w:t>
      </w:r>
      <w:r>
        <w:rPr>
          <w:sz w:val="20"/>
        </w:rPr>
        <w:t>health</w:t>
      </w:r>
      <w:r>
        <w:rPr>
          <w:spacing w:val="-10"/>
          <w:sz w:val="20"/>
        </w:rPr>
        <w:t> </w:t>
      </w:r>
      <w:r>
        <w:rPr>
          <w:sz w:val="20"/>
        </w:rPr>
        <w:t>and</w:t>
      </w:r>
      <w:r>
        <w:rPr>
          <w:spacing w:val="-10"/>
          <w:sz w:val="20"/>
        </w:rPr>
        <w:t> </w:t>
      </w:r>
      <w:r>
        <w:rPr>
          <w:sz w:val="20"/>
        </w:rPr>
        <w:t>risks</w:t>
      </w:r>
      <w:r>
        <w:rPr>
          <w:spacing w:val="-10"/>
          <w:sz w:val="20"/>
        </w:rPr>
        <w:t> </w:t>
      </w:r>
      <w:r>
        <w:rPr>
          <w:sz w:val="20"/>
        </w:rPr>
        <w:t>in</w:t>
      </w:r>
      <w:r>
        <w:rPr>
          <w:spacing w:val="-10"/>
          <w:sz w:val="20"/>
        </w:rPr>
        <w:t> </w:t>
      </w:r>
      <w:r>
        <w:rPr>
          <w:sz w:val="20"/>
        </w:rPr>
        <w:t>Mexico”,</w:t>
      </w:r>
      <w:r>
        <w:rPr>
          <w:spacing w:val="-10"/>
          <w:sz w:val="20"/>
        </w:rPr>
        <w:t> </w:t>
      </w:r>
      <w:r>
        <w:rPr>
          <w:sz w:val="20"/>
        </w:rPr>
        <w:t>supported</w:t>
      </w:r>
      <w:r>
        <w:rPr>
          <w:spacing w:val="-10"/>
          <w:sz w:val="20"/>
        </w:rPr>
        <w:t> </w:t>
      </w:r>
      <w:r>
        <w:rPr>
          <w:sz w:val="20"/>
        </w:rPr>
        <w:t>by</w:t>
      </w:r>
      <w:r>
        <w:rPr>
          <w:spacing w:val="-10"/>
          <w:sz w:val="20"/>
        </w:rPr>
        <w:t> </w:t>
      </w:r>
      <w:r>
        <w:rPr>
          <w:sz w:val="20"/>
        </w:rPr>
        <w:t>CONAYCT.</w:t>
      </w:r>
      <w:r>
        <w:rPr>
          <w:spacing w:val="-10"/>
          <w:sz w:val="20"/>
        </w:rPr>
        <w:t> </w:t>
      </w:r>
      <w:r>
        <w:rPr>
          <w:sz w:val="20"/>
        </w:rPr>
        <w:t>The</w:t>
      </w:r>
      <w:r>
        <w:rPr>
          <w:spacing w:val="-10"/>
          <w:sz w:val="20"/>
        </w:rPr>
        <w:t> </w:t>
      </w:r>
      <w:r>
        <w:rPr>
          <w:sz w:val="20"/>
        </w:rPr>
        <w:t>main</w:t>
      </w:r>
      <w:r>
        <w:rPr>
          <w:spacing w:val="-10"/>
          <w:sz w:val="20"/>
        </w:rPr>
        <w:t> </w:t>
      </w:r>
      <w:r>
        <w:rPr>
          <w:sz w:val="20"/>
        </w:rPr>
        <w:t>objective</w:t>
      </w:r>
      <w:r>
        <w:rPr>
          <w:spacing w:val="-10"/>
          <w:sz w:val="20"/>
        </w:rPr>
        <w:t> </w:t>
      </w:r>
      <w:r>
        <w:rPr>
          <w:sz w:val="20"/>
        </w:rPr>
        <w:t>is to know the distribution of the territorial vulnerability in health, in particular the mortality due to mellitus diabetes, for the year 2010. This study has a multi-level panorama, taking into account a regional and local level, as well as the sanitary regulations in the city and the municipalities, with a 1: 8000000</w:t>
      </w:r>
      <w:r>
        <w:rPr>
          <w:spacing w:val="50"/>
          <w:sz w:val="20"/>
        </w:rPr>
        <w:t> </w:t>
      </w:r>
      <w:r>
        <w:rPr>
          <w:sz w:val="20"/>
        </w:rPr>
        <w:t>scale.</w:t>
      </w:r>
    </w:p>
    <w:p>
      <w:pPr>
        <w:pStyle w:val="BodyText"/>
        <w:spacing w:before="11"/>
      </w:pPr>
    </w:p>
    <w:p>
      <w:pPr>
        <w:pStyle w:val="BodyText"/>
        <w:spacing w:line="249" w:lineRule="auto"/>
        <w:ind w:left="130"/>
        <w:jc w:val="both"/>
      </w:pPr>
      <w:r>
        <w:rPr/>
        <w:t>The</w:t>
      </w:r>
      <w:r>
        <w:rPr>
          <w:spacing w:val="-7"/>
        </w:rPr>
        <w:t> </w:t>
      </w:r>
      <w:r>
        <w:rPr/>
        <w:t>topic</w:t>
      </w:r>
      <w:r>
        <w:rPr>
          <w:spacing w:val="-7"/>
        </w:rPr>
        <w:t> </w:t>
      </w:r>
      <w:r>
        <w:rPr/>
        <w:t>about</w:t>
      </w:r>
      <w:r>
        <w:rPr>
          <w:spacing w:val="-7"/>
        </w:rPr>
        <w:t> </w:t>
      </w:r>
      <w:r>
        <w:rPr/>
        <w:t>territorial</w:t>
      </w:r>
      <w:r>
        <w:rPr>
          <w:spacing w:val="-7"/>
        </w:rPr>
        <w:t> </w:t>
      </w:r>
      <w:r>
        <w:rPr/>
        <w:t>vulnerability</w:t>
      </w:r>
      <w:r>
        <w:rPr>
          <w:spacing w:val="-7"/>
        </w:rPr>
        <w:t> </w:t>
      </w:r>
      <w:r>
        <w:rPr/>
        <w:t>regarding</w:t>
      </w:r>
      <w:r>
        <w:rPr>
          <w:spacing w:val="-7"/>
        </w:rPr>
        <w:t> </w:t>
      </w:r>
      <w:r>
        <w:rPr/>
        <w:t>health</w:t>
      </w:r>
      <w:r>
        <w:rPr>
          <w:spacing w:val="-7"/>
        </w:rPr>
        <w:t> </w:t>
      </w:r>
      <w:r>
        <w:rPr/>
        <w:t>is</w:t>
      </w:r>
      <w:r>
        <w:rPr>
          <w:spacing w:val="-7"/>
        </w:rPr>
        <w:t> </w:t>
      </w:r>
      <w:r>
        <w:rPr/>
        <w:t>analyzed</w:t>
      </w:r>
      <w:r>
        <w:rPr>
          <w:spacing w:val="-7"/>
        </w:rPr>
        <w:t> </w:t>
      </w:r>
      <w:r>
        <w:rPr/>
        <w:t>under</w:t>
      </w:r>
      <w:r>
        <w:rPr>
          <w:spacing w:val="-7"/>
        </w:rPr>
        <w:t> </w:t>
      </w:r>
      <w:r>
        <w:rPr/>
        <w:t>the</w:t>
      </w:r>
      <w:r>
        <w:rPr>
          <w:spacing w:val="-7"/>
        </w:rPr>
        <w:t> </w:t>
      </w:r>
      <w:r>
        <w:rPr/>
        <w:t>prevention and prospecting stages, focused on the promotion of health, which can be really</w:t>
      </w:r>
      <w:r>
        <w:rPr>
          <w:spacing w:val="-8"/>
        </w:rPr>
        <w:t> </w:t>
      </w:r>
      <w:r>
        <w:rPr/>
        <w:t>helpful to both improve life quality of population and to identify relevant strengths and weak- nesses in each territorial </w:t>
      </w:r>
      <w:r>
        <w:rPr>
          <w:spacing w:val="-3"/>
        </w:rPr>
        <w:t>unity, </w:t>
      </w:r>
      <w:r>
        <w:rPr/>
        <w:t>to set up strategies oriented to decision-making, aiming to achieve healthier</w:t>
      </w:r>
      <w:r>
        <w:rPr>
          <w:spacing w:val="13"/>
        </w:rPr>
        <w:t> </w:t>
      </w:r>
      <w:r>
        <w:rPr/>
        <w:t>territories.</w:t>
      </w:r>
    </w:p>
    <w:p>
      <w:pPr>
        <w:pStyle w:val="BodyText"/>
        <w:spacing w:before="11"/>
      </w:pPr>
    </w:p>
    <w:p>
      <w:pPr>
        <w:pStyle w:val="BodyText"/>
        <w:spacing w:line="249" w:lineRule="auto"/>
        <w:ind w:left="130" w:right="1"/>
        <w:jc w:val="both"/>
      </w:pPr>
      <w:r>
        <w:rPr/>
        <w:t>The</w:t>
      </w:r>
      <w:r>
        <w:rPr>
          <w:spacing w:val="-10"/>
        </w:rPr>
        <w:t> </w:t>
      </w:r>
      <w:r>
        <w:rPr/>
        <w:t>sources</w:t>
      </w:r>
      <w:r>
        <w:rPr>
          <w:spacing w:val="-10"/>
        </w:rPr>
        <w:t> </w:t>
      </w:r>
      <w:r>
        <w:rPr/>
        <w:t>of</w:t>
      </w:r>
      <w:r>
        <w:rPr>
          <w:spacing w:val="-10"/>
        </w:rPr>
        <w:t> </w:t>
      </w:r>
      <w:r>
        <w:rPr/>
        <w:t>information</w:t>
      </w:r>
      <w:r>
        <w:rPr>
          <w:spacing w:val="-10"/>
        </w:rPr>
        <w:t> </w:t>
      </w:r>
      <w:r>
        <w:rPr/>
        <w:t>are</w:t>
      </w:r>
      <w:r>
        <w:rPr>
          <w:spacing w:val="-10"/>
        </w:rPr>
        <w:t> </w:t>
      </w:r>
      <w:r>
        <w:rPr/>
        <w:t>SINAIS</w:t>
      </w:r>
      <w:r>
        <w:rPr>
          <w:spacing w:val="-10"/>
        </w:rPr>
        <w:t> </w:t>
      </w:r>
      <w:r>
        <w:rPr/>
        <w:t>(National</w:t>
      </w:r>
      <w:r>
        <w:rPr>
          <w:spacing w:val="-10"/>
        </w:rPr>
        <w:t> </w:t>
      </w:r>
      <w:r>
        <w:rPr/>
        <w:t>System</w:t>
      </w:r>
      <w:r>
        <w:rPr>
          <w:spacing w:val="-10"/>
        </w:rPr>
        <w:t> </w:t>
      </w:r>
      <w:r>
        <w:rPr/>
        <w:t>of</w:t>
      </w:r>
      <w:r>
        <w:rPr>
          <w:spacing w:val="-10"/>
        </w:rPr>
        <w:t> </w:t>
      </w:r>
      <w:r>
        <w:rPr/>
        <w:t>Information</w:t>
      </w:r>
      <w:r>
        <w:rPr>
          <w:spacing w:val="-10"/>
        </w:rPr>
        <w:t> </w:t>
      </w:r>
      <w:r>
        <w:rPr/>
        <w:t>in</w:t>
      </w:r>
      <w:r>
        <w:rPr>
          <w:spacing w:val="-10"/>
        </w:rPr>
        <w:t> </w:t>
      </w:r>
      <w:r>
        <w:rPr/>
        <w:t>health),</w:t>
      </w:r>
      <w:r>
        <w:rPr>
          <w:spacing w:val="-10"/>
        </w:rPr>
        <w:t> </w:t>
      </w:r>
      <w:r>
        <w:rPr/>
        <w:t>INEGI (National Institute of Statistics and Geography), SEDESOL (Secretary of Social Devel- opment), and CONAPO (National Population Council), among</w:t>
      </w:r>
      <w:r>
        <w:rPr>
          <w:spacing w:val="5"/>
        </w:rPr>
        <w:t> </w:t>
      </w:r>
      <w:r>
        <w:rPr/>
        <w:t>others.</w:t>
      </w:r>
    </w:p>
    <w:p>
      <w:pPr>
        <w:pStyle w:val="BodyText"/>
        <w:spacing w:before="11"/>
      </w:pPr>
    </w:p>
    <w:p>
      <w:pPr>
        <w:pStyle w:val="BodyText"/>
        <w:ind w:left="300" w:right="-7"/>
      </w:pPr>
      <w:r>
        <w:rPr>
          <w:b/>
        </w:rPr>
        <w:t>Key Words: </w:t>
      </w:r>
      <w:r>
        <w:rPr/>
        <w:t>territorial vulnerability, mortality and multi-level</w:t>
      </w:r>
      <w:r>
        <w:rPr>
          <w:spacing w:val="50"/>
        </w:rPr>
        <w:t> </w:t>
      </w:r>
      <w:r>
        <w:rPr/>
        <w:t>study.</w:t>
      </w:r>
    </w:p>
    <w:p>
      <w:pPr>
        <w:pStyle w:val="BodyText"/>
      </w:pPr>
    </w:p>
    <w:p>
      <w:pPr>
        <w:pStyle w:val="BodyText"/>
        <w:spacing w:before="4"/>
        <w:rPr>
          <w:sz w:val="19"/>
        </w:rPr>
      </w:pPr>
    </w:p>
    <w:p>
      <w:pPr>
        <w:pStyle w:val="Heading1"/>
        <w:ind w:right="-7"/>
      </w:pPr>
      <w:r>
        <w:rPr/>
        <w:t>Introducción</w:t>
      </w:r>
    </w:p>
    <w:p>
      <w:pPr>
        <w:pStyle w:val="BodyText"/>
        <w:rPr>
          <w:b/>
          <w:sz w:val="21"/>
        </w:rPr>
      </w:pPr>
    </w:p>
    <w:p>
      <w:pPr>
        <w:pStyle w:val="BodyText"/>
        <w:spacing w:line="249" w:lineRule="auto"/>
        <w:ind w:left="130" w:firstLine="170"/>
        <w:jc w:val="both"/>
      </w:pPr>
      <w:r>
        <w:rPr/>
        <w:t>Este</w:t>
      </w:r>
      <w:r>
        <w:rPr>
          <w:spacing w:val="-19"/>
        </w:rPr>
        <w:t> </w:t>
      </w:r>
      <w:r>
        <w:rPr/>
        <w:t>trabajo</w:t>
      </w:r>
      <w:r>
        <w:rPr>
          <w:spacing w:val="-19"/>
        </w:rPr>
        <w:t> </w:t>
      </w:r>
      <w:r>
        <w:rPr/>
        <w:t>forma</w:t>
      </w:r>
      <w:r>
        <w:rPr>
          <w:spacing w:val="-19"/>
        </w:rPr>
        <w:t> </w:t>
      </w:r>
      <w:r>
        <w:rPr/>
        <w:t>parte</w:t>
      </w:r>
      <w:r>
        <w:rPr>
          <w:spacing w:val="-19"/>
        </w:rPr>
        <w:t> </w:t>
      </w:r>
      <w:r>
        <w:rPr/>
        <w:t>de</w:t>
      </w:r>
      <w:r>
        <w:rPr>
          <w:spacing w:val="-19"/>
        </w:rPr>
        <w:t> </w:t>
      </w:r>
      <w:r>
        <w:rPr/>
        <w:t>los</w:t>
      </w:r>
      <w:r>
        <w:rPr>
          <w:spacing w:val="-19"/>
        </w:rPr>
        <w:t> </w:t>
      </w:r>
      <w:r>
        <w:rPr/>
        <w:t>avances</w:t>
      </w:r>
      <w:r>
        <w:rPr>
          <w:spacing w:val="-19"/>
        </w:rPr>
        <w:t> </w:t>
      </w:r>
      <w:r>
        <w:rPr/>
        <w:t>del</w:t>
      </w:r>
      <w:r>
        <w:rPr>
          <w:spacing w:val="-19"/>
        </w:rPr>
        <w:t> </w:t>
      </w:r>
      <w:r>
        <w:rPr/>
        <w:t>proyecto</w:t>
      </w:r>
      <w:r>
        <w:rPr>
          <w:spacing w:val="-19"/>
        </w:rPr>
        <w:t> </w:t>
      </w:r>
      <w:r>
        <w:rPr/>
        <w:t>de</w:t>
      </w:r>
      <w:r>
        <w:rPr>
          <w:spacing w:val="-19"/>
        </w:rPr>
        <w:t> </w:t>
      </w:r>
      <w:r>
        <w:rPr/>
        <w:t>investigación</w:t>
      </w:r>
      <w:r>
        <w:rPr>
          <w:spacing w:val="-19"/>
        </w:rPr>
        <w:t> </w:t>
      </w:r>
      <w:r>
        <w:rPr/>
        <w:t>del</w:t>
      </w:r>
      <w:r>
        <w:rPr>
          <w:spacing w:val="-19"/>
        </w:rPr>
        <w:t> </w:t>
      </w:r>
      <w:r>
        <w:rPr/>
        <w:t>“Observatorio geográfico: salud y riesgos en México”, aprobado por el CONACYT, el cual se enfoca en la vulnerabilidad territorial de la distribución de la mortalidad específica por diabetes mellitus, en diferentes escalas espaciales o</w:t>
      </w:r>
      <w:r>
        <w:rPr>
          <w:spacing w:val="16"/>
        </w:rPr>
        <w:t> </w:t>
      </w:r>
      <w:r>
        <w:rPr/>
        <w:t>multinivel.</w:t>
      </w:r>
    </w:p>
    <w:p>
      <w:pPr>
        <w:pStyle w:val="BodyText"/>
        <w:spacing w:before="11"/>
      </w:pPr>
    </w:p>
    <w:p>
      <w:pPr>
        <w:pStyle w:val="BodyText"/>
        <w:spacing w:line="249" w:lineRule="auto"/>
        <w:ind w:left="130" w:firstLine="170"/>
        <w:jc w:val="both"/>
      </w:pPr>
      <w:r>
        <w:rPr/>
        <w:t>Para el propósito de este estudio la vulnerabilidad territorial se refiere a aquellas unidades territoriales en las que su población registra tasas de mortalidad altas y muy</w:t>
      </w:r>
      <w:r>
        <w:rPr>
          <w:w w:val="101"/>
        </w:rPr>
        <w:t> </w:t>
      </w:r>
      <w:r>
        <w:rPr/>
        <w:t>altas por diabetes mellitus, en donde se deben de incidir estrategias enfocadas a la promoción y prevención de la salud que incidan en la disminución de las tasas de mortalidad.</w:t>
      </w:r>
    </w:p>
    <w:p>
      <w:pPr>
        <w:pStyle w:val="BodyText"/>
        <w:spacing w:line="249" w:lineRule="auto" w:before="109"/>
        <w:ind w:left="130" w:right="136" w:firstLine="170"/>
        <w:jc w:val="both"/>
      </w:pPr>
      <w:r>
        <w:rPr/>
        <w:br w:type="column"/>
      </w:r>
      <w:r>
        <w:rPr/>
        <w:t>Este estudio se conforma de cinco apartados: en el primero se desarrolla la metodología en la cual se señala el tipo de investigación, la escala de análisis, los procesos y etapas, así como fuentes de información. El segundo apartado presenta  las consideraciones teóricas e inicia con el objeto de estudio de la Geografía y la relación hombre naturaleza; la geografía de la salud y la vulnerabilidad territorial, en esta se presentan los diversos enfoques para su abordaje. El tercer apartado muestra los resultados de la distribución de la mortalidad específica por diabetes mellitus a  nivel de región socioeconómica, a nivel estatal, a nivel de zona metropolitana, a nivel de jurisdicción sanitaria y a nivel municipal. En el cuarto apartado se presentan las conclusiones. Por último se presenta la</w:t>
      </w:r>
      <w:r>
        <w:rPr>
          <w:spacing w:val="34"/>
        </w:rPr>
        <w:t> </w:t>
      </w:r>
      <w:r>
        <w:rPr/>
        <w:t>bibliografía.</w:t>
      </w:r>
    </w:p>
    <w:p>
      <w:pPr>
        <w:pStyle w:val="BodyText"/>
        <w:spacing w:before="8"/>
        <w:rPr>
          <w:sz w:val="17"/>
        </w:rPr>
      </w:pPr>
    </w:p>
    <w:p>
      <w:pPr>
        <w:pStyle w:val="Heading1"/>
      </w:pPr>
      <w:r>
        <w:rPr/>
        <w:t>Metodología</w:t>
      </w:r>
    </w:p>
    <w:p>
      <w:pPr>
        <w:pStyle w:val="BodyText"/>
        <w:rPr>
          <w:b/>
          <w:sz w:val="21"/>
        </w:rPr>
      </w:pPr>
    </w:p>
    <w:p>
      <w:pPr>
        <w:pStyle w:val="BodyText"/>
        <w:spacing w:line="249" w:lineRule="auto"/>
        <w:ind w:left="130" w:right="137" w:firstLine="170"/>
        <w:jc w:val="both"/>
      </w:pPr>
      <w:r>
        <w:rPr/>
        <w:t>Este estudio es descriptivo transversal, con acercamiento multinivel, con unidades territoriales diversas: desde la regional, a nivel de entidad federativa, zonas metropolitanas, jurisdicciones sanitarias y a nivel municipal.</w:t>
      </w:r>
    </w:p>
    <w:p>
      <w:pPr>
        <w:pStyle w:val="BodyText"/>
        <w:spacing w:before="11"/>
      </w:pPr>
    </w:p>
    <w:p>
      <w:pPr>
        <w:pStyle w:val="BodyText"/>
        <w:spacing w:line="249" w:lineRule="auto"/>
        <w:ind w:left="130" w:right="137" w:firstLine="170"/>
        <w:jc w:val="both"/>
      </w:pPr>
      <w:r>
        <w:rPr/>
        <w:t>Las fuentes de información son del </w:t>
      </w:r>
      <w:r>
        <w:rPr>
          <w:color w:val="2D2D2D"/>
        </w:rPr>
        <w:t>Instituto Nacional de Estadística y Geografía (INEGI) y Sistema Nacional de Información en Salud (SINAIS), para el año 2010.</w:t>
      </w:r>
    </w:p>
    <w:p>
      <w:pPr>
        <w:pStyle w:val="BodyText"/>
        <w:tabs>
          <w:tab w:pos="3672" w:val="left" w:leader="none"/>
        </w:tabs>
        <w:spacing w:line="480" w:lineRule="exact" w:before="44"/>
        <w:ind w:left="300" w:right="137"/>
      </w:pPr>
      <w:r>
        <w:rPr/>
        <w:t>Escala: 1: 8000000  y delimitación espacio - temporal: México, año 2010 Delimitación </w:t>
      </w:r>
      <w:r>
        <w:rPr>
          <w:spacing w:val="55"/>
        </w:rPr>
        <w:t> </w:t>
      </w:r>
      <w:r>
        <w:rPr/>
        <w:t>espacial </w:t>
      </w:r>
      <w:r>
        <w:rPr>
          <w:spacing w:val="55"/>
        </w:rPr>
        <w:t> </w:t>
      </w:r>
      <w:r>
        <w:rPr/>
        <w:t>multinivel:</w:t>
        <w:tab/>
        <w:t>región   socioeconómica,   entidad  </w:t>
      </w:r>
      <w:r>
        <w:rPr>
          <w:spacing w:val="29"/>
        </w:rPr>
        <w:t> </w:t>
      </w:r>
      <w:r>
        <w:rPr/>
        <w:t>federativa,</w:t>
      </w:r>
    </w:p>
    <w:p>
      <w:pPr>
        <w:pStyle w:val="BodyText"/>
        <w:spacing w:line="186" w:lineRule="exact"/>
        <w:ind w:left="130"/>
        <w:jc w:val="both"/>
      </w:pPr>
      <w:r>
        <w:rPr/>
        <w:t>Jurisdicción sanitaria, zona metropolitana  y municipio. A nivel regional, se consideró la</w:t>
      </w:r>
    </w:p>
    <w:p>
      <w:pPr>
        <w:pStyle w:val="BodyText"/>
        <w:spacing w:line="249" w:lineRule="auto" w:before="10"/>
        <w:ind w:left="130" w:right="137"/>
        <w:jc w:val="both"/>
      </w:pPr>
      <w:r>
        <w:rPr/>
        <w:t>delimitación</w:t>
      </w:r>
      <w:r>
        <w:rPr>
          <w:spacing w:val="-8"/>
        </w:rPr>
        <w:t> </w:t>
      </w:r>
      <w:r>
        <w:rPr/>
        <w:t>de</w:t>
      </w:r>
      <w:r>
        <w:rPr>
          <w:spacing w:val="-8"/>
        </w:rPr>
        <w:t> </w:t>
      </w:r>
      <w:r>
        <w:rPr/>
        <w:t>regiones</w:t>
      </w:r>
      <w:r>
        <w:rPr>
          <w:spacing w:val="-8"/>
        </w:rPr>
        <w:t> </w:t>
      </w:r>
      <w:r>
        <w:rPr/>
        <w:t>socioeconómicas</w:t>
      </w:r>
      <w:r>
        <w:rPr>
          <w:spacing w:val="-8"/>
        </w:rPr>
        <w:t> </w:t>
      </w:r>
      <w:r>
        <w:rPr/>
        <w:t>de</w:t>
      </w:r>
      <w:r>
        <w:rPr>
          <w:spacing w:val="-8"/>
        </w:rPr>
        <w:t> </w:t>
      </w:r>
      <w:r>
        <w:rPr/>
        <w:t>acuerdo</w:t>
      </w:r>
      <w:r>
        <w:rPr>
          <w:spacing w:val="-8"/>
        </w:rPr>
        <w:t> </w:t>
      </w:r>
      <w:r>
        <w:rPr/>
        <w:t>a</w:t>
      </w:r>
      <w:r>
        <w:rPr>
          <w:spacing w:val="-8"/>
        </w:rPr>
        <w:t> </w:t>
      </w:r>
      <w:r>
        <w:rPr/>
        <w:t>Bassols</w:t>
      </w:r>
      <w:r>
        <w:rPr>
          <w:spacing w:val="-8"/>
        </w:rPr>
        <w:t> </w:t>
      </w:r>
      <w:r>
        <w:rPr/>
        <w:t>A.</w:t>
      </w:r>
      <w:r>
        <w:rPr>
          <w:spacing w:val="-8"/>
        </w:rPr>
        <w:t> </w:t>
      </w:r>
      <w:r>
        <w:rPr/>
        <w:t>(2004),</w:t>
      </w:r>
      <w:r>
        <w:rPr>
          <w:spacing w:val="-8"/>
        </w:rPr>
        <w:t> </w:t>
      </w:r>
      <w:r>
        <w:rPr/>
        <w:t>en</w:t>
      </w:r>
      <w:r>
        <w:rPr>
          <w:spacing w:val="-8"/>
        </w:rPr>
        <w:t> </w:t>
      </w:r>
      <w:r>
        <w:rPr/>
        <w:t>la</w:t>
      </w:r>
      <w:r>
        <w:rPr>
          <w:spacing w:val="-8"/>
        </w:rPr>
        <w:t> </w:t>
      </w:r>
      <w:r>
        <w:rPr/>
        <w:t>que</w:t>
      </w:r>
      <w:r>
        <w:rPr>
          <w:spacing w:val="-8"/>
        </w:rPr>
        <w:t> </w:t>
      </w:r>
      <w:r>
        <w:rPr/>
        <w:t>se establecen</w:t>
      </w:r>
      <w:r>
        <w:rPr>
          <w:spacing w:val="-6"/>
        </w:rPr>
        <w:t> </w:t>
      </w:r>
      <w:r>
        <w:rPr/>
        <w:t>ocho</w:t>
      </w:r>
      <w:r>
        <w:rPr>
          <w:spacing w:val="-6"/>
        </w:rPr>
        <w:t> </w:t>
      </w:r>
      <w:r>
        <w:rPr/>
        <w:t>regiones.</w:t>
      </w:r>
      <w:r>
        <w:rPr>
          <w:spacing w:val="-6"/>
        </w:rPr>
        <w:t> </w:t>
      </w:r>
      <w:r>
        <w:rPr/>
        <w:t>A</w:t>
      </w:r>
      <w:r>
        <w:rPr>
          <w:spacing w:val="-6"/>
        </w:rPr>
        <w:t> </w:t>
      </w:r>
      <w:r>
        <w:rPr/>
        <w:t>nivel</w:t>
      </w:r>
      <w:r>
        <w:rPr>
          <w:spacing w:val="-6"/>
        </w:rPr>
        <w:t> </w:t>
      </w:r>
      <w:r>
        <w:rPr/>
        <w:t>de</w:t>
      </w:r>
      <w:r>
        <w:rPr>
          <w:spacing w:val="-6"/>
        </w:rPr>
        <w:t> </w:t>
      </w:r>
      <w:r>
        <w:rPr/>
        <w:t>zona</w:t>
      </w:r>
      <w:r>
        <w:rPr>
          <w:spacing w:val="-6"/>
        </w:rPr>
        <w:t> </w:t>
      </w:r>
      <w:r>
        <w:rPr/>
        <w:t>metropolitana,</w:t>
      </w:r>
      <w:r>
        <w:rPr>
          <w:spacing w:val="-6"/>
        </w:rPr>
        <w:t> </w:t>
      </w:r>
      <w:r>
        <w:rPr/>
        <w:t>éstas</w:t>
      </w:r>
      <w:r>
        <w:rPr>
          <w:spacing w:val="-6"/>
        </w:rPr>
        <w:t> </w:t>
      </w:r>
      <w:r>
        <w:rPr/>
        <w:t>fueron</w:t>
      </w:r>
      <w:r>
        <w:rPr>
          <w:spacing w:val="-6"/>
        </w:rPr>
        <w:t> </w:t>
      </w:r>
      <w:r>
        <w:rPr/>
        <w:t>consideradas</w:t>
      </w:r>
      <w:r>
        <w:rPr>
          <w:spacing w:val="-6"/>
        </w:rPr>
        <w:t> </w:t>
      </w:r>
      <w:r>
        <w:rPr/>
        <w:t>de acuerdo</w:t>
      </w:r>
      <w:r>
        <w:rPr>
          <w:spacing w:val="-18"/>
        </w:rPr>
        <w:t> </w:t>
      </w:r>
      <w:r>
        <w:rPr/>
        <w:t>a</w:t>
      </w:r>
      <w:r>
        <w:rPr>
          <w:spacing w:val="-18"/>
        </w:rPr>
        <w:t> </w:t>
      </w:r>
      <w:r>
        <w:rPr/>
        <w:t>SEDESOL,</w:t>
      </w:r>
      <w:r>
        <w:rPr>
          <w:spacing w:val="-18"/>
        </w:rPr>
        <w:t> </w:t>
      </w:r>
      <w:r>
        <w:rPr/>
        <w:t>CONAPO</w:t>
      </w:r>
      <w:r>
        <w:rPr>
          <w:spacing w:val="-18"/>
        </w:rPr>
        <w:t> </w:t>
      </w:r>
      <w:r>
        <w:rPr/>
        <w:t>E</w:t>
      </w:r>
      <w:r>
        <w:rPr>
          <w:spacing w:val="-18"/>
        </w:rPr>
        <w:t> </w:t>
      </w:r>
      <w:r>
        <w:rPr/>
        <w:t>INEGI</w:t>
      </w:r>
      <w:r>
        <w:rPr>
          <w:spacing w:val="-18"/>
        </w:rPr>
        <w:t> </w:t>
      </w:r>
      <w:r>
        <w:rPr/>
        <w:t>(2004),</w:t>
      </w:r>
      <w:r>
        <w:rPr>
          <w:spacing w:val="-18"/>
        </w:rPr>
        <w:t> </w:t>
      </w:r>
      <w:r>
        <w:rPr/>
        <w:t>en</w:t>
      </w:r>
      <w:r>
        <w:rPr>
          <w:spacing w:val="-18"/>
        </w:rPr>
        <w:t> </w:t>
      </w:r>
      <w:r>
        <w:rPr/>
        <w:t>la</w:t>
      </w:r>
      <w:r>
        <w:rPr>
          <w:spacing w:val="-18"/>
        </w:rPr>
        <w:t> </w:t>
      </w:r>
      <w:r>
        <w:rPr/>
        <w:t>que</w:t>
      </w:r>
      <w:r>
        <w:rPr>
          <w:spacing w:val="-18"/>
        </w:rPr>
        <w:t> </w:t>
      </w:r>
      <w:r>
        <w:rPr/>
        <w:t>definen</w:t>
      </w:r>
      <w:r>
        <w:rPr>
          <w:spacing w:val="-18"/>
        </w:rPr>
        <w:t> </w:t>
      </w:r>
      <w:r>
        <w:rPr/>
        <w:t>para</w:t>
      </w:r>
      <w:r>
        <w:rPr>
          <w:spacing w:val="-18"/>
        </w:rPr>
        <w:t> </w:t>
      </w:r>
      <w:r>
        <w:rPr/>
        <w:t>México</w:t>
      </w:r>
      <w:r>
        <w:rPr>
          <w:spacing w:val="-18"/>
        </w:rPr>
        <w:t> </w:t>
      </w:r>
      <w:r>
        <w:rPr/>
        <w:t>57</w:t>
      </w:r>
      <w:r>
        <w:rPr>
          <w:spacing w:val="-18"/>
        </w:rPr>
        <w:t> </w:t>
      </w:r>
      <w:r>
        <w:rPr/>
        <w:t>zonas metropolitanas.</w:t>
      </w:r>
      <w:r>
        <w:rPr>
          <w:spacing w:val="-4"/>
        </w:rPr>
        <w:t> </w:t>
      </w:r>
      <w:r>
        <w:rPr/>
        <w:t>A</w:t>
      </w:r>
      <w:r>
        <w:rPr>
          <w:spacing w:val="-4"/>
        </w:rPr>
        <w:t> </w:t>
      </w:r>
      <w:r>
        <w:rPr/>
        <w:t>nivel</w:t>
      </w:r>
      <w:r>
        <w:rPr>
          <w:spacing w:val="-4"/>
        </w:rPr>
        <w:t> </w:t>
      </w:r>
      <w:r>
        <w:rPr/>
        <w:t>de</w:t>
      </w:r>
      <w:r>
        <w:rPr>
          <w:spacing w:val="-4"/>
        </w:rPr>
        <w:t> </w:t>
      </w:r>
      <w:r>
        <w:rPr/>
        <w:t>jurisdicción</w:t>
      </w:r>
      <w:r>
        <w:rPr>
          <w:spacing w:val="-4"/>
        </w:rPr>
        <w:t> </w:t>
      </w:r>
      <w:r>
        <w:rPr/>
        <w:t>sanitaria,</w:t>
      </w:r>
      <w:r>
        <w:rPr>
          <w:spacing w:val="-4"/>
        </w:rPr>
        <w:t> </w:t>
      </w:r>
      <w:r>
        <w:rPr/>
        <w:t>de</w:t>
      </w:r>
      <w:r>
        <w:rPr>
          <w:spacing w:val="-4"/>
        </w:rPr>
        <w:t> </w:t>
      </w:r>
      <w:r>
        <w:rPr/>
        <w:t>acuerdo</w:t>
      </w:r>
      <w:r>
        <w:rPr>
          <w:spacing w:val="-4"/>
        </w:rPr>
        <w:t> </w:t>
      </w:r>
      <w:r>
        <w:rPr/>
        <w:t>al</w:t>
      </w:r>
      <w:r>
        <w:rPr>
          <w:spacing w:val="-4"/>
        </w:rPr>
        <w:t> </w:t>
      </w:r>
      <w:r>
        <w:rPr/>
        <w:t>SINAIS</w:t>
      </w:r>
      <w:r>
        <w:rPr>
          <w:spacing w:val="-4"/>
        </w:rPr>
        <w:t> </w:t>
      </w:r>
      <w:r>
        <w:rPr/>
        <w:t>para</w:t>
      </w:r>
      <w:r>
        <w:rPr>
          <w:spacing w:val="-4"/>
        </w:rPr>
        <w:t> </w:t>
      </w:r>
      <w:r>
        <w:rPr/>
        <w:t>el</w:t>
      </w:r>
      <w:r>
        <w:rPr>
          <w:spacing w:val="-4"/>
        </w:rPr>
        <w:t> </w:t>
      </w:r>
      <w:r>
        <w:rPr/>
        <w:t>año</w:t>
      </w:r>
      <w:r>
        <w:rPr>
          <w:spacing w:val="-4"/>
        </w:rPr>
        <w:t> </w:t>
      </w:r>
      <w:r>
        <w:rPr/>
        <w:t>2015 se cuenta con 232 jurisdicciones sanitarias para</w:t>
      </w:r>
      <w:r>
        <w:rPr>
          <w:spacing w:val="49"/>
        </w:rPr>
        <w:t> </w:t>
      </w:r>
      <w:r>
        <w:rPr/>
        <w:t>México.</w:t>
      </w:r>
    </w:p>
    <w:p>
      <w:pPr>
        <w:pStyle w:val="BodyText"/>
        <w:spacing w:before="11"/>
      </w:pPr>
    </w:p>
    <w:p>
      <w:pPr>
        <w:pStyle w:val="BodyText"/>
        <w:spacing w:line="249" w:lineRule="auto"/>
        <w:ind w:left="130" w:right="136" w:firstLine="170"/>
        <w:jc w:val="both"/>
      </w:pPr>
      <w:r>
        <w:rPr>
          <w:color w:val="2D2D2D"/>
        </w:rPr>
        <w:t>Variables e indicadores: se considera la tasa bruta de mortalidad específica por diabetes mellitus, del año 2010. </w:t>
      </w:r>
      <w:r>
        <w:rPr/>
        <w:t>De acuerdo a la clasificación internacional de enfermedades</w:t>
      </w:r>
      <w:r>
        <w:rPr>
          <w:spacing w:val="-11"/>
        </w:rPr>
        <w:t> </w:t>
      </w:r>
      <w:r>
        <w:rPr/>
        <w:t>(CIE10),</w:t>
      </w:r>
      <w:r>
        <w:rPr>
          <w:spacing w:val="-11"/>
        </w:rPr>
        <w:t> </w:t>
      </w:r>
      <w:r>
        <w:rPr/>
        <w:t>para</w:t>
      </w:r>
      <w:r>
        <w:rPr>
          <w:spacing w:val="-11"/>
        </w:rPr>
        <w:t> </w:t>
      </w:r>
      <w:r>
        <w:rPr/>
        <w:t>este</w:t>
      </w:r>
      <w:r>
        <w:rPr>
          <w:spacing w:val="-11"/>
        </w:rPr>
        <w:t> </w:t>
      </w:r>
      <w:r>
        <w:rPr/>
        <w:t>trabajo</w:t>
      </w:r>
      <w:r>
        <w:rPr>
          <w:spacing w:val="-11"/>
        </w:rPr>
        <w:t> </w:t>
      </w:r>
      <w:r>
        <w:rPr/>
        <w:t>se</w:t>
      </w:r>
      <w:r>
        <w:rPr>
          <w:spacing w:val="-11"/>
        </w:rPr>
        <w:t> </w:t>
      </w:r>
      <w:r>
        <w:rPr/>
        <w:t>consideran</w:t>
      </w:r>
      <w:r>
        <w:rPr>
          <w:spacing w:val="-11"/>
        </w:rPr>
        <w:t> </w:t>
      </w:r>
      <w:r>
        <w:rPr/>
        <w:t>los</w:t>
      </w:r>
      <w:r>
        <w:rPr>
          <w:spacing w:val="-11"/>
        </w:rPr>
        <w:t> </w:t>
      </w:r>
      <w:r>
        <w:rPr/>
        <w:t>siguientes</w:t>
      </w:r>
      <w:r>
        <w:rPr>
          <w:spacing w:val="-11"/>
        </w:rPr>
        <w:t> </w:t>
      </w:r>
      <w:r>
        <w:rPr/>
        <w:t>tipos</w:t>
      </w:r>
      <w:r>
        <w:rPr>
          <w:spacing w:val="-11"/>
        </w:rPr>
        <w:t> </w:t>
      </w:r>
      <w:r>
        <w:rPr/>
        <w:t>de</w:t>
      </w:r>
      <w:r>
        <w:rPr>
          <w:spacing w:val="-11"/>
        </w:rPr>
        <w:t> </w:t>
      </w:r>
      <w:r>
        <w:rPr/>
        <w:t>diabetes, sumados en una sola causa de mortalidad, (cuadro</w:t>
      </w:r>
      <w:r>
        <w:rPr>
          <w:spacing w:val="13"/>
        </w:rPr>
        <w:t> </w:t>
      </w:r>
      <w:r>
        <w:rPr/>
        <w:t>1).</w:t>
      </w:r>
    </w:p>
    <w:p>
      <w:pPr>
        <w:spacing w:after="0" w:line="249" w:lineRule="auto"/>
        <w:jc w:val="both"/>
        <w:sectPr>
          <w:type w:val="continuous"/>
          <w:pgSz w:w="18830" w:h="12760" w:orient="landscape"/>
          <w:pgMar w:top="1420" w:bottom="280" w:left="720" w:right="720"/>
          <w:cols w:num="2" w:equalWidth="0">
            <w:col w:w="7842" w:space="1560"/>
            <w:col w:w="7988"/>
          </w:cols>
        </w:sectPr>
      </w:pPr>
    </w:p>
    <w:p>
      <w:pPr>
        <w:pStyle w:val="BodyText"/>
        <w:spacing w:before="5"/>
        <w:rPr>
          <w:sz w:val="26"/>
        </w:rPr>
      </w:pPr>
    </w:p>
    <w:p>
      <w:pPr>
        <w:spacing w:after="0"/>
        <w:rPr>
          <w:sz w:val="26"/>
        </w:rPr>
        <w:sectPr>
          <w:footerReference w:type="default" r:id="rId397"/>
          <w:pgSz w:w="18830" w:h="12760" w:orient="landscape"/>
          <w:pgMar w:footer="1036" w:header="522" w:top="820" w:bottom="1220" w:left="720" w:right="720"/>
        </w:sectPr>
      </w:pPr>
    </w:p>
    <w:p>
      <w:pPr>
        <w:spacing w:before="80"/>
        <w:ind w:left="127" w:right="0" w:firstLine="0"/>
        <w:jc w:val="center"/>
        <w:rPr>
          <w:sz w:val="16"/>
        </w:rPr>
      </w:pPr>
      <w:r>
        <w:rPr>
          <w:color w:val="6D6E71"/>
          <w:sz w:val="16"/>
        </w:rPr>
        <w:t>Cuadro 1. Tipos de Diabetes mellitus considerados</w:t>
      </w:r>
    </w:p>
    <w:p>
      <w:pPr>
        <w:pStyle w:val="BodyText"/>
        <w:spacing w:before="10"/>
        <w:rPr>
          <w:sz w:val="8"/>
        </w:rPr>
      </w:pPr>
    </w:p>
    <w:tbl>
      <w:tblPr>
        <w:tblW w:w="0" w:type="auto"/>
        <w:jc w:val="left"/>
        <w:tblInd w:w="1515"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336"/>
        <w:gridCol w:w="3602"/>
      </w:tblGrid>
      <w:tr>
        <w:trPr>
          <w:trHeight w:val="228" w:hRule="exact"/>
        </w:trPr>
        <w:tc>
          <w:tcPr>
            <w:tcW w:w="1336" w:type="dxa"/>
            <w:tcBorders>
              <w:top w:val="nil"/>
              <w:left w:val="nil"/>
              <w:bottom w:val="dotted" w:sz="4" w:space="0" w:color="FFFFFF"/>
            </w:tcBorders>
            <w:shd w:val="clear" w:color="auto" w:fill="929292"/>
          </w:tcPr>
          <w:p>
            <w:pPr>
              <w:pStyle w:val="TableParagraph"/>
              <w:spacing w:before="21"/>
              <w:ind w:left="107"/>
              <w:rPr>
                <w:sz w:val="16"/>
              </w:rPr>
            </w:pPr>
            <w:r>
              <w:rPr>
                <w:sz w:val="16"/>
              </w:rPr>
              <w:t>Clave CIE</w:t>
            </w:r>
          </w:p>
        </w:tc>
        <w:tc>
          <w:tcPr>
            <w:tcW w:w="3602" w:type="dxa"/>
            <w:tcBorders>
              <w:top w:val="nil"/>
              <w:bottom w:val="dotted" w:sz="4" w:space="0" w:color="FFFFFF"/>
              <w:right w:val="nil"/>
            </w:tcBorders>
            <w:shd w:val="clear" w:color="auto" w:fill="929292"/>
          </w:tcPr>
          <w:p>
            <w:pPr>
              <w:pStyle w:val="TableParagraph"/>
              <w:spacing w:before="21"/>
              <w:ind w:left="103"/>
              <w:rPr>
                <w:sz w:val="16"/>
              </w:rPr>
            </w:pPr>
            <w:r>
              <w:rPr>
                <w:sz w:val="16"/>
              </w:rPr>
              <w:t>Tipos de diabetes mellitus considerados</w:t>
            </w:r>
          </w:p>
        </w:tc>
      </w:tr>
      <w:tr>
        <w:trPr>
          <w:trHeight w:val="210" w:hRule="exact"/>
        </w:trPr>
        <w:tc>
          <w:tcPr>
            <w:tcW w:w="1336" w:type="dxa"/>
            <w:tcBorders>
              <w:top w:val="dotted" w:sz="4" w:space="0" w:color="FFFFFF"/>
              <w:left w:val="nil"/>
              <w:right w:val="single" w:sz="4" w:space="0" w:color="929292"/>
            </w:tcBorders>
          </w:tcPr>
          <w:p>
            <w:pPr>
              <w:pStyle w:val="TableParagraph"/>
              <w:tabs>
                <w:tab w:pos="1320" w:val="left" w:leader="none"/>
              </w:tabs>
              <w:spacing w:before="26"/>
              <w:ind w:left="35"/>
              <w:rPr>
                <w:sz w:val="16"/>
              </w:rPr>
            </w:pPr>
            <w:r>
              <w:rPr>
                <w:w w:val="100"/>
                <w:sz w:val="16"/>
                <w:u w:val="dotted" w:color="929292"/>
              </w:rPr>
              <w:t> </w:t>
            </w:r>
            <w:r>
              <w:rPr>
                <w:spacing w:val="-17"/>
                <w:sz w:val="16"/>
                <w:u w:val="dotted" w:color="929292"/>
              </w:rPr>
              <w:t> </w:t>
            </w:r>
            <w:r>
              <w:rPr>
                <w:sz w:val="16"/>
                <w:u w:val="dotted" w:color="929292"/>
              </w:rPr>
              <w:t>E10</w:t>
              <w:tab/>
            </w:r>
          </w:p>
        </w:tc>
        <w:tc>
          <w:tcPr>
            <w:tcW w:w="3602" w:type="dxa"/>
            <w:tcBorders>
              <w:top w:val="dotted" w:sz="4" w:space="0" w:color="FFFFFF"/>
              <w:left w:val="single" w:sz="4" w:space="0" w:color="929292"/>
              <w:right w:val="nil"/>
            </w:tcBorders>
          </w:tcPr>
          <w:p>
            <w:pPr>
              <w:pStyle w:val="TableParagraph"/>
              <w:tabs>
                <w:tab w:pos="3576" w:val="left" w:leader="none"/>
              </w:tabs>
              <w:spacing w:before="26"/>
              <w:ind w:left="24"/>
              <w:rPr>
                <w:sz w:val="16"/>
              </w:rPr>
            </w:pPr>
            <w:r>
              <w:rPr>
                <w:w w:val="100"/>
                <w:sz w:val="16"/>
                <w:u w:val="dotted" w:color="929292"/>
              </w:rPr>
              <w:t> </w:t>
            </w:r>
            <w:r>
              <w:rPr>
                <w:spacing w:val="-11"/>
                <w:sz w:val="16"/>
                <w:u w:val="dotted" w:color="929292"/>
              </w:rPr>
              <w:t> </w:t>
            </w:r>
            <w:r>
              <w:rPr>
                <w:sz w:val="16"/>
                <w:u w:val="dotted" w:color="929292"/>
              </w:rPr>
              <w:t>Diabetes mellitus</w:t>
            </w:r>
            <w:r>
              <w:rPr>
                <w:spacing w:val="19"/>
                <w:sz w:val="16"/>
                <w:u w:val="dotted" w:color="929292"/>
              </w:rPr>
              <w:t> </w:t>
            </w:r>
            <w:r>
              <w:rPr>
                <w:sz w:val="16"/>
                <w:u w:val="dotted" w:color="929292"/>
              </w:rPr>
              <w:t>insulinodependiente</w:t>
              <w:tab/>
            </w:r>
          </w:p>
        </w:tc>
      </w:tr>
      <w:tr>
        <w:trPr>
          <w:trHeight w:val="240" w:hRule="exact"/>
        </w:trPr>
        <w:tc>
          <w:tcPr>
            <w:tcW w:w="1336" w:type="dxa"/>
            <w:tcBorders>
              <w:left w:val="nil"/>
              <w:right w:val="single" w:sz="4" w:space="0" w:color="929292"/>
            </w:tcBorders>
          </w:tcPr>
          <w:p>
            <w:pPr>
              <w:pStyle w:val="TableParagraph"/>
              <w:tabs>
                <w:tab w:pos="1320" w:val="left" w:leader="none"/>
              </w:tabs>
              <w:spacing w:before="56"/>
              <w:ind w:left="35"/>
              <w:rPr>
                <w:sz w:val="16"/>
              </w:rPr>
            </w:pPr>
            <w:r>
              <w:rPr>
                <w:w w:val="100"/>
                <w:sz w:val="16"/>
                <w:u w:val="dotted" w:color="929292"/>
              </w:rPr>
              <w:t> </w:t>
            </w:r>
            <w:r>
              <w:rPr>
                <w:spacing w:val="-17"/>
                <w:sz w:val="16"/>
                <w:u w:val="dotted" w:color="929292"/>
              </w:rPr>
              <w:t> </w:t>
            </w:r>
            <w:r>
              <w:rPr>
                <w:sz w:val="16"/>
                <w:u w:val="dotted" w:color="929292"/>
              </w:rPr>
              <w:t>E11</w:t>
              <w:tab/>
            </w:r>
          </w:p>
        </w:tc>
        <w:tc>
          <w:tcPr>
            <w:tcW w:w="3602" w:type="dxa"/>
            <w:tcBorders>
              <w:left w:val="single" w:sz="4" w:space="0" w:color="929292"/>
              <w:right w:val="nil"/>
            </w:tcBorders>
          </w:tcPr>
          <w:p>
            <w:pPr>
              <w:pStyle w:val="TableParagraph"/>
              <w:tabs>
                <w:tab w:pos="3576" w:val="left" w:leader="none"/>
              </w:tabs>
              <w:spacing w:before="56"/>
              <w:ind w:left="24"/>
              <w:rPr>
                <w:sz w:val="16"/>
              </w:rPr>
            </w:pPr>
            <w:r>
              <w:rPr>
                <w:w w:val="100"/>
                <w:sz w:val="16"/>
                <w:u w:val="dotted" w:color="929292"/>
              </w:rPr>
              <w:t> </w:t>
            </w:r>
            <w:r>
              <w:rPr>
                <w:spacing w:val="-11"/>
                <w:sz w:val="16"/>
                <w:u w:val="dotted" w:color="929292"/>
              </w:rPr>
              <w:t> </w:t>
            </w:r>
            <w:r>
              <w:rPr>
                <w:sz w:val="16"/>
                <w:u w:val="dotted" w:color="929292"/>
              </w:rPr>
              <w:t>Diabetes mellitus no</w:t>
            </w:r>
            <w:r>
              <w:rPr>
                <w:spacing w:val="22"/>
                <w:sz w:val="16"/>
                <w:u w:val="dotted" w:color="929292"/>
              </w:rPr>
              <w:t> </w:t>
            </w:r>
            <w:r>
              <w:rPr>
                <w:sz w:val="16"/>
                <w:u w:val="dotted" w:color="929292"/>
              </w:rPr>
              <w:t>insulinodependiente</w:t>
              <w:tab/>
            </w:r>
          </w:p>
        </w:tc>
      </w:tr>
      <w:tr>
        <w:trPr>
          <w:trHeight w:val="240" w:hRule="exact"/>
        </w:trPr>
        <w:tc>
          <w:tcPr>
            <w:tcW w:w="1336" w:type="dxa"/>
            <w:tcBorders>
              <w:left w:val="nil"/>
              <w:right w:val="single" w:sz="4" w:space="0" w:color="929292"/>
            </w:tcBorders>
          </w:tcPr>
          <w:p>
            <w:pPr>
              <w:pStyle w:val="TableParagraph"/>
              <w:tabs>
                <w:tab w:pos="1320" w:val="left" w:leader="none"/>
              </w:tabs>
              <w:spacing w:before="56"/>
              <w:ind w:left="35"/>
              <w:rPr>
                <w:sz w:val="16"/>
              </w:rPr>
            </w:pPr>
            <w:r>
              <w:rPr>
                <w:w w:val="100"/>
                <w:sz w:val="16"/>
                <w:u w:val="dotted" w:color="929292"/>
              </w:rPr>
              <w:t> </w:t>
            </w:r>
            <w:r>
              <w:rPr>
                <w:spacing w:val="-17"/>
                <w:sz w:val="16"/>
                <w:u w:val="dotted" w:color="929292"/>
              </w:rPr>
              <w:t> </w:t>
            </w:r>
            <w:r>
              <w:rPr>
                <w:sz w:val="16"/>
                <w:u w:val="dotted" w:color="929292"/>
              </w:rPr>
              <w:t>E12</w:t>
              <w:tab/>
            </w:r>
          </w:p>
        </w:tc>
        <w:tc>
          <w:tcPr>
            <w:tcW w:w="3602" w:type="dxa"/>
            <w:tcBorders>
              <w:left w:val="single" w:sz="4" w:space="0" w:color="929292"/>
              <w:right w:val="nil"/>
            </w:tcBorders>
          </w:tcPr>
          <w:p>
            <w:pPr>
              <w:pStyle w:val="TableParagraph"/>
              <w:tabs>
                <w:tab w:pos="3576" w:val="left" w:leader="none"/>
              </w:tabs>
              <w:spacing w:before="56"/>
              <w:ind w:left="24"/>
              <w:rPr>
                <w:sz w:val="16"/>
              </w:rPr>
            </w:pPr>
            <w:r>
              <w:rPr>
                <w:w w:val="100"/>
                <w:sz w:val="16"/>
                <w:u w:val="dotted" w:color="929292"/>
              </w:rPr>
              <w:t> </w:t>
            </w:r>
            <w:r>
              <w:rPr>
                <w:spacing w:val="-11"/>
                <w:sz w:val="16"/>
                <w:u w:val="dotted" w:color="929292"/>
              </w:rPr>
              <w:t> </w:t>
            </w:r>
            <w:r>
              <w:rPr>
                <w:sz w:val="16"/>
                <w:u w:val="dotted" w:color="929292"/>
              </w:rPr>
              <w:t>Diabetes mellitus asociada con</w:t>
            </w:r>
            <w:r>
              <w:rPr>
                <w:spacing w:val="37"/>
                <w:sz w:val="16"/>
                <w:u w:val="dotted" w:color="929292"/>
              </w:rPr>
              <w:t> </w:t>
            </w:r>
            <w:r>
              <w:rPr>
                <w:sz w:val="16"/>
                <w:u w:val="dotted" w:color="929292"/>
              </w:rPr>
              <w:t>desnutrición</w:t>
              <w:tab/>
            </w:r>
          </w:p>
        </w:tc>
      </w:tr>
      <w:tr>
        <w:trPr>
          <w:trHeight w:val="240" w:hRule="exact"/>
        </w:trPr>
        <w:tc>
          <w:tcPr>
            <w:tcW w:w="1336" w:type="dxa"/>
            <w:tcBorders>
              <w:left w:val="nil"/>
              <w:right w:val="single" w:sz="4" w:space="0" w:color="929292"/>
            </w:tcBorders>
          </w:tcPr>
          <w:p>
            <w:pPr>
              <w:pStyle w:val="TableParagraph"/>
              <w:tabs>
                <w:tab w:pos="1320" w:val="left" w:leader="none"/>
              </w:tabs>
              <w:spacing w:before="56"/>
              <w:ind w:left="35"/>
              <w:rPr>
                <w:sz w:val="16"/>
              </w:rPr>
            </w:pPr>
            <w:r>
              <w:rPr>
                <w:w w:val="100"/>
                <w:sz w:val="16"/>
                <w:u w:val="dotted" w:color="929292"/>
              </w:rPr>
              <w:t> </w:t>
            </w:r>
            <w:r>
              <w:rPr>
                <w:spacing w:val="-17"/>
                <w:sz w:val="16"/>
                <w:u w:val="dotted" w:color="929292"/>
              </w:rPr>
              <w:t> </w:t>
            </w:r>
            <w:r>
              <w:rPr>
                <w:sz w:val="16"/>
                <w:u w:val="dotted" w:color="929292"/>
              </w:rPr>
              <w:t>E13</w:t>
              <w:tab/>
            </w:r>
          </w:p>
        </w:tc>
        <w:tc>
          <w:tcPr>
            <w:tcW w:w="3602" w:type="dxa"/>
            <w:tcBorders>
              <w:left w:val="single" w:sz="4" w:space="0" w:color="929292"/>
              <w:right w:val="nil"/>
            </w:tcBorders>
          </w:tcPr>
          <w:p>
            <w:pPr>
              <w:pStyle w:val="TableParagraph"/>
              <w:tabs>
                <w:tab w:pos="3576" w:val="left" w:leader="none"/>
              </w:tabs>
              <w:spacing w:before="56"/>
              <w:ind w:left="24"/>
              <w:rPr>
                <w:sz w:val="16"/>
              </w:rPr>
            </w:pPr>
            <w:r>
              <w:rPr>
                <w:w w:val="100"/>
                <w:sz w:val="16"/>
                <w:u w:val="dotted" w:color="929292"/>
              </w:rPr>
              <w:t> </w:t>
            </w:r>
            <w:r>
              <w:rPr>
                <w:spacing w:val="-11"/>
                <w:sz w:val="16"/>
                <w:u w:val="dotted" w:color="929292"/>
              </w:rPr>
              <w:t> </w:t>
            </w:r>
            <w:r>
              <w:rPr>
                <w:sz w:val="16"/>
                <w:u w:val="dotted" w:color="929292"/>
              </w:rPr>
              <w:t>Otras diabetes mellitus</w:t>
            </w:r>
            <w:r>
              <w:rPr>
                <w:spacing w:val="28"/>
                <w:sz w:val="16"/>
                <w:u w:val="dotted" w:color="929292"/>
              </w:rPr>
              <w:t> </w:t>
            </w:r>
            <w:r>
              <w:rPr>
                <w:sz w:val="16"/>
                <w:u w:val="dotted" w:color="929292"/>
              </w:rPr>
              <w:t>especificadas</w:t>
              <w:tab/>
            </w:r>
          </w:p>
        </w:tc>
      </w:tr>
      <w:tr>
        <w:trPr>
          <w:trHeight w:val="240" w:hRule="exact"/>
        </w:trPr>
        <w:tc>
          <w:tcPr>
            <w:tcW w:w="1336" w:type="dxa"/>
            <w:tcBorders>
              <w:left w:val="nil"/>
              <w:bottom w:val="nil"/>
              <w:right w:val="single" w:sz="4" w:space="0" w:color="929292"/>
            </w:tcBorders>
          </w:tcPr>
          <w:p>
            <w:pPr>
              <w:pStyle w:val="TableParagraph"/>
              <w:tabs>
                <w:tab w:pos="1320" w:val="left" w:leader="none"/>
              </w:tabs>
              <w:spacing w:before="56"/>
              <w:ind w:left="35"/>
              <w:rPr>
                <w:sz w:val="16"/>
              </w:rPr>
            </w:pPr>
            <w:r>
              <w:rPr>
                <w:w w:val="100"/>
                <w:sz w:val="16"/>
                <w:u w:val="dotted" w:color="929292"/>
              </w:rPr>
              <w:t> </w:t>
            </w:r>
            <w:r>
              <w:rPr>
                <w:spacing w:val="-17"/>
                <w:sz w:val="16"/>
                <w:u w:val="dotted" w:color="929292"/>
              </w:rPr>
              <w:t> </w:t>
            </w:r>
            <w:r>
              <w:rPr>
                <w:sz w:val="16"/>
                <w:u w:val="dotted" w:color="929292"/>
              </w:rPr>
              <w:t>E14</w:t>
              <w:tab/>
            </w:r>
          </w:p>
        </w:tc>
        <w:tc>
          <w:tcPr>
            <w:tcW w:w="3602" w:type="dxa"/>
            <w:tcBorders>
              <w:left w:val="single" w:sz="4" w:space="0" w:color="929292"/>
              <w:right w:val="nil"/>
            </w:tcBorders>
          </w:tcPr>
          <w:p>
            <w:pPr>
              <w:pStyle w:val="TableParagraph"/>
              <w:tabs>
                <w:tab w:pos="3576" w:val="left" w:leader="none"/>
              </w:tabs>
              <w:spacing w:before="56"/>
              <w:ind w:left="24"/>
              <w:rPr>
                <w:sz w:val="16"/>
              </w:rPr>
            </w:pPr>
            <w:r>
              <w:rPr>
                <w:w w:val="100"/>
                <w:sz w:val="16"/>
                <w:u w:val="dotted" w:color="929292"/>
              </w:rPr>
              <w:t> </w:t>
            </w:r>
            <w:r>
              <w:rPr>
                <w:spacing w:val="-11"/>
                <w:sz w:val="16"/>
                <w:u w:val="dotted" w:color="929292"/>
              </w:rPr>
              <w:t> </w:t>
            </w:r>
            <w:r>
              <w:rPr>
                <w:sz w:val="16"/>
                <w:u w:val="dotted" w:color="929292"/>
              </w:rPr>
              <w:t>Diabetes mellitus, no</w:t>
            </w:r>
            <w:r>
              <w:rPr>
                <w:spacing w:val="22"/>
                <w:sz w:val="16"/>
                <w:u w:val="dotted" w:color="929292"/>
              </w:rPr>
              <w:t> </w:t>
            </w:r>
            <w:r>
              <w:rPr>
                <w:sz w:val="16"/>
                <w:u w:val="dotted" w:color="929292"/>
              </w:rPr>
              <w:t>especificada</w:t>
              <w:tab/>
            </w:r>
          </w:p>
        </w:tc>
      </w:tr>
    </w:tbl>
    <w:p>
      <w:pPr>
        <w:pStyle w:val="BodyText"/>
      </w:pPr>
    </w:p>
    <w:p>
      <w:pPr>
        <w:spacing w:line="312" w:lineRule="auto" w:before="0"/>
        <w:ind w:left="130" w:right="0" w:firstLine="0"/>
        <w:jc w:val="center"/>
        <w:rPr>
          <w:sz w:val="16"/>
        </w:rPr>
      </w:pPr>
      <w:r>
        <w:rPr>
          <w:color w:val="6D6E71"/>
          <w:sz w:val="16"/>
        </w:rPr>
        <w:t>Fuente: Elaboración propia con base en el Instituto Nacional de Estadística y Geografía (INEGI) y Sistema Nacional de Información en Salud (SINAIS), Datos consultados Febrero, 2015</w:t>
      </w:r>
    </w:p>
    <w:p>
      <w:pPr>
        <w:pStyle w:val="BodyText"/>
        <w:spacing w:before="9"/>
        <w:rPr>
          <w:sz w:val="17"/>
        </w:rPr>
      </w:pPr>
    </w:p>
    <w:p>
      <w:pPr>
        <w:pStyle w:val="BodyText"/>
        <w:spacing w:line="249" w:lineRule="auto"/>
        <w:ind w:left="129" w:right="-16" w:firstLine="170"/>
      </w:pPr>
      <w:r>
        <w:rPr/>
        <w:t>La determinación de las tasas brutas de mortalidad específica por diabetes mellitus fue mediante la fórmula:</w:t>
      </w:r>
    </w:p>
    <w:p>
      <w:pPr>
        <w:pStyle w:val="BodyText"/>
        <w:spacing w:before="11"/>
      </w:pPr>
    </w:p>
    <w:p>
      <w:pPr>
        <w:pStyle w:val="BodyText"/>
        <w:spacing w:line="249" w:lineRule="auto"/>
        <w:ind w:left="129" w:right="-16" w:firstLine="170"/>
      </w:pPr>
      <w:r>
        <w:rPr/>
        <w:t>TM por diabetes mellitus = (defunciones por diabetes mellitus / población total) por 100,000</w:t>
      </w:r>
    </w:p>
    <w:p>
      <w:pPr>
        <w:pStyle w:val="BodyText"/>
        <w:spacing w:before="11"/>
      </w:pPr>
    </w:p>
    <w:p>
      <w:pPr>
        <w:pStyle w:val="BodyText"/>
        <w:spacing w:line="249" w:lineRule="auto"/>
        <w:ind w:left="129" w:right="-16" w:firstLine="170"/>
      </w:pPr>
      <w:r>
        <w:rPr/>
        <w:t>Las tasas de mortalidad se clasificaron en seis rangos con base en la distribución de la campana de Gauss, mediante desviaciones estándar, (cuadro 2).</w:t>
      </w:r>
    </w:p>
    <w:p>
      <w:pPr>
        <w:pStyle w:val="BodyText"/>
        <w:spacing w:before="2"/>
        <w:rPr>
          <w:sz w:val="24"/>
        </w:rPr>
      </w:pPr>
    </w:p>
    <w:p>
      <w:pPr>
        <w:spacing w:before="0"/>
        <w:ind w:left="128" w:right="0" w:firstLine="0"/>
        <w:jc w:val="center"/>
        <w:rPr>
          <w:sz w:val="16"/>
        </w:rPr>
      </w:pPr>
      <w:r>
        <w:rPr>
          <w:color w:val="6D6E71"/>
          <w:sz w:val="16"/>
        </w:rPr>
        <w:t>Cuadro 2. Rangos para las tasas brutas de mortalidad específica por diabetes mellitus,   2010</w:t>
      </w:r>
    </w:p>
    <w:p>
      <w:pPr>
        <w:pStyle w:val="BodyText"/>
        <w:spacing w:before="10"/>
        <w:rPr>
          <w:sz w:val="8"/>
        </w:rPr>
      </w:pPr>
    </w:p>
    <w:tbl>
      <w:tblPr>
        <w:tblW w:w="0" w:type="auto"/>
        <w:jc w:val="left"/>
        <w:tblInd w:w="806"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3227"/>
        <w:gridCol w:w="3118"/>
      </w:tblGrid>
      <w:tr>
        <w:trPr>
          <w:trHeight w:val="630" w:hRule="exact"/>
        </w:trPr>
        <w:tc>
          <w:tcPr>
            <w:tcW w:w="3227" w:type="dxa"/>
            <w:tcBorders>
              <w:top w:val="dotted" w:sz="4" w:space="0" w:color="FFFFFF"/>
              <w:left w:val="nil"/>
              <w:bottom w:val="dotted" w:sz="4" w:space="0" w:color="FFFFFF"/>
              <w:right w:val="single" w:sz="4" w:space="0" w:color="FFFFFF"/>
            </w:tcBorders>
            <w:shd w:val="clear" w:color="auto" w:fill="929292"/>
          </w:tcPr>
          <w:p>
            <w:pPr>
              <w:pStyle w:val="TableParagraph"/>
              <w:spacing w:line="194" w:lineRule="exact" w:before="25"/>
              <w:ind w:left="107"/>
              <w:rPr>
                <w:sz w:val="18"/>
              </w:rPr>
            </w:pPr>
            <w:r>
              <w:rPr>
                <w:sz w:val="18"/>
              </w:rPr>
              <w:t>Clasificación de las tasas brutas de mortalidad específica por diabetes mellitus, 2010</w:t>
            </w:r>
          </w:p>
        </w:tc>
        <w:tc>
          <w:tcPr>
            <w:tcW w:w="3118" w:type="dxa"/>
            <w:tcBorders>
              <w:top w:val="dotted" w:sz="4" w:space="0" w:color="FFFFFF"/>
              <w:left w:val="single" w:sz="4" w:space="0" w:color="FFFFFF"/>
              <w:bottom w:val="dotted" w:sz="4" w:space="0" w:color="FFFFFF"/>
              <w:right w:val="nil"/>
            </w:tcBorders>
            <w:shd w:val="clear" w:color="auto" w:fill="929292"/>
          </w:tcPr>
          <w:p>
            <w:pPr>
              <w:pStyle w:val="TableParagraph"/>
              <w:spacing w:before="10"/>
              <w:rPr>
                <w:sz w:val="17"/>
              </w:rPr>
            </w:pPr>
          </w:p>
          <w:p>
            <w:pPr>
              <w:pStyle w:val="TableParagraph"/>
              <w:ind w:left="137"/>
              <w:rPr>
                <w:sz w:val="18"/>
              </w:rPr>
            </w:pPr>
            <w:r>
              <w:rPr>
                <w:sz w:val="18"/>
              </w:rPr>
              <w:t>Rangos en Desviación estándar</w:t>
            </w:r>
          </w:p>
        </w:tc>
      </w:tr>
      <w:tr>
        <w:trPr>
          <w:trHeight w:val="315" w:hRule="exact"/>
        </w:trPr>
        <w:tc>
          <w:tcPr>
            <w:tcW w:w="3227" w:type="dxa"/>
            <w:tcBorders>
              <w:top w:val="dotted" w:sz="4" w:space="0" w:color="FFFFFF"/>
              <w:left w:val="nil"/>
            </w:tcBorders>
          </w:tcPr>
          <w:p>
            <w:pPr>
              <w:pStyle w:val="TableParagraph"/>
              <w:spacing w:before="48"/>
              <w:ind w:left="107"/>
              <w:rPr>
                <w:sz w:val="18"/>
              </w:rPr>
            </w:pPr>
            <w:r>
              <w:rPr>
                <w:sz w:val="18"/>
              </w:rPr>
              <w:t>Muy alto</w:t>
            </w:r>
          </w:p>
        </w:tc>
        <w:tc>
          <w:tcPr>
            <w:tcW w:w="3118" w:type="dxa"/>
            <w:tcBorders>
              <w:top w:val="dotted" w:sz="4" w:space="0" w:color="FFFFFF"/>
              <w:right w:val="nil"/>
            </w:tcBorders>
          </w:tcPr>
          <w:p>
            <w:pPr>
              <w:pStyle w:val="TableParagraph"/>
              <w:spacing w:before="48"/>
              <w:ind w:left="670"/>
              <w:rPr>
                <w:sz w:val="18"/>
              </w:rPr>
            </w:pPr>
            <w:r>
              <w:rPr>
                <w:sz w:val="18"/>
              </w:rPr>
              <w:t>Mayor a 1 Std. Dev.</w:t>
            </w:r>
          </w:p>
        </w:tc>
      </w:tr>
      <w:tr>
        <w:trPr>
          <w:trHeight w:val="315" w:hRule="exact"/>
        </w:trPr>
        <w:tc>
          <w:tcPr>
            <w:tcW w:w="3227" w:type="dxa"/>
            <w:tcBorders>
              <w:left w:val="nil"/>
            </w:tcBorders>
          </w:tcPr>
          <w:p>
            <w:pPr>
              <w:pStyle w:val="TableParagraph"/>
              <w:spacing w:before="48"/>
              <w:ind w:left="107"/>
              <w:rPr>
                <w:sz w:val="18"/>
              </w:rPr>
            </w:pPr>
            <w:r>
              <w:rPr>
                <w:sz w:val="18"/>
              </w:rPr>
              <w:t>Alto</w:t>
            </w:r>
          </w:p>
        </w:tc>
        <w:tc>
          <w:tcPr>
            <w:tcW w:w="3118" w:type="dxa"/>
            <w:tcBorders>
              <w:right w:val="nil"/>
            </w:tcBorders>
          </w:tcPr>
          <w:p>
            <w:pPr>
              <w:pStyle w:val="TableParagraph"/>
              <w:spacing w:before="48"/>
              <w:ind w:left="720"/>
              <w:rPr>
                <w:sz w:val="18"/>
              </w:rPr>
            </w:pPr>
            <w:r>
              <w:rPr>
                <w:sz w:val="18"/>
              </w:rPr>
              <w:t>0.5 a 1 Std. Dev.</w:t>
            </w:r>
          </w:p>
        </w:tc>
      </w:tr>
      <w:tr>
        <w:trPr>
          <w:trHeight w:val="315" w:hRule="exact"/>
        </w:trPr>
        <w:tc>
          <w:tcPr>
            <w:tcW w:w="3227" w:type="dxa"/>
            <w:tcBorders>
              <w:left w:val="nil"/>
            </w:tcBorders>
          </w:tcPr>
          <w:p>
            <w:pPr>
              <w:pStyle w:val="TableParagraph"/>
              <w:spacing w:before="48"/>
              <w:ind w:left="107"/>
              <w:rPr>
                <w:sz w:val="18"/>
              </w:rPr>
            </w:pPr>
            <w:r>
              <w:rPr>
                <w:sz w:val="18"/>
              </w:rPr>
              <w:t>Medio alto</w:t>
            </w:r>
          </w:p>
        </w:tc>
        <w:tc>
          <w:tcPr>
            <w:tcW w:w="3118" w:type="dxa"/>
            <w:tcBorders>
              <w:right w:val="nil"/>
            </w:tcBorders>
          </w:tcPr>
          <w:p>
            <w:pPr>
              <w:pStyle w:val="TableParagraph"/>
              <w:spacing w:before="48"/>
              <w:ind w:left="720"/>
              <w:rPr>
                <w:sz w:val="18"/>
              </w:rPr>
            </w:pPr>
            <w:r>
              <w:rPr>
                <w:sz w:val="18"/>
              </w:rPr>
              <w:t>0 a 0.5 Std. Dev.</w:t>
            </w:r>
          </w:p>
        </w:tc>
      </w:tr>
      <w:tr>
        <w:trPr>
          <w:trHeight w:val="315" w:hRule="exact"/>
        </w:trPr>
        <w:tc>
          <w:tcPr>
            <w:tcW w:w="3227" w:type="dxa"/>
            <w:tcBorders>
              <w:left w:val="nil"/>
            </w:tcBorders>
          </w:tcPr>
          <w:p>
            <w:pPr>
              <w:pStyle w:val="TableParagraph"/>
              <w:spacing w:before="48"/>
              <w:ind w:left="107"/>
              <w:rPr>
                <w:sz w:val="18"/>
              </w:rPr>
            </w:pPr>
            <w:r>
              <w:rPr>
                <w:sz w:val="18"/>
              </w:rPr>
              <w:t>Medio bajo</w:t>
            </w:r>
          </w:p>
        </w:tc>
        <w:tc>
          <w:tcPr>
            <w:tcW w:w="3118" w:type="dxa"/>
            <w:tcBorders>
              <w:right w:val="nil"/>
            </w:tcBorders>
          </w:tcPr>
          <w:p>
            <w:pPr>
              <w:pStyle w:val="TableParagraph"/>
              <w:spacing w:before="48"/>
              <w:ind w:left="670"/>
              <w:rPr>
                <w:sz w:val="18"/>
              </w:rPr>
            </w:pPr>
            <w:r>
              <w:rPr>
                <w:sz w:val="18"/>
              </w:rPr>
              <w:t>0  a  -0.5 Std. Dev.</w:t>
            </w:r>
          </w:p>
        </w:tc>
      </w:tr>
      <w:tr>
        <w:trPr>
          <w:trHeight w:val="315" w:hRule="exact"/>
        </w:trPr>
        <w:tc>
          <w:tcPr>
            <w:tcW w:w="3227" w:type="dxa"/>
            <w:tcBorders>
              <w:left w:val="nil"/>
            </w:tcBorders>
          </w:tcPr>
          <w:p>
            <w:pPr>
              <w:pStyle w:val="TableParagraph"/>
              <w:spacing w:before="48"/>
              <w:ind w:left="107"/>
              <w:rPr>
                <w:sz w:val="18"/>
              </w:rPr>
            </w:pPr>
            <w:r>
              <w:rPr>
                <w:sz w:val="18"/>
              </w:rPr>
              <w:t>Bajo</w:t>
            </w:r>
          </w:p>
        </w:tc>
        <w:tc>
          <w:tcPr>
            <w:tcW w:w="3118" w:type="dxa"/>
            <w:tcBorders>
              <w:right w:val="nil"/>
            </w:tcBorders>
          </w:tcPr>
          <w:p>
            <w:pPr>
              <w:pStyle w:val="TableParagraph"/>
              <w:spacing w:before="48"/>
              <w:ind w:left="670"/>
              <w:rPr>
                <w:sz w:val="18"/>
              </w:rPr>
            </w:pPr>
            <w:r>
              <w:rPr>
                <w:sz w:val="18"/>
              </w:rPr>
              <w:t>-0.5 a  -1 Std. Dev.)</w:t>
            </w:r>
          </w:p>
        </w:tc>
      </w:tr>
      <w:tr>
        <w:trPr>
          <w:trHeight w:val="315" w:hRule="exact"/>
        </w:trPr>
        <w:tc>
          <w:tcPr>
            <w:tcW w:w="3227" w:type="dxa"/>
            <w:tcBorders>
              <w:left w:val="nil"/>
              <w:bottom w:val="dotted" w:sz="4" w:space="0" w:color="929292"/>
            </w:tcBorders>
          </w:tcPr>
          <w:p>
            <w:pPr>
              <w:pStyle w:val="TableParagraph"/>
              <w:spacing w:before="48"/>
              <w:ind w:left="107"/>
              <w:rPr>
                <w:sz w:val="18"/>
              </w:rPr>
            </w:pPr>
            <w:r>
              <w:rPr>
                <w:sz w:val="18"/>
              </w:rPr>
              <w:t>Muy bajo</w:t>
            </w:r>
          </w:p>
        </w:tc>
        <w:tc>
          <w:tcPr>
            <w:tcW w:w="3118" w:type="dxa"/>
            <w:tcBorders>
              <w:bottom w:val="dotted" w:sz="4" w:space="0" w:color="929292"/>
              <w:right w:val="nil"/>
            </w:tcBorders>
          </w:tcPr>
          <w:p>
            <w:pPr>
              <w:pStyle w:val="TableParagraph"/>
              <w:spacing w:before="48"/>
              <w:ind w:left="670"/>
              <w:rPr>
                <w:sz w:val="18"/>
              </w:rPr>
            </w:pPr>
            <w:r>
              <w:rPr>
                <w:sz w:val="18"/>
              </w:rPr>
              <w:t>Mayor a   -1 Std. Dev.</w:t>
            </w:r>
          </w:p>
        </w:tc>
      </w:tr>
    </w:tbl>
    <w:p>
      <w:pPr>
        <w:spacing w:before="63"/>
        <w:ind w:left="128" w:right="0" w:firstLine="0"/>
        <w:jc w:val="center"/>
        <w:rPr>
          <w:sz w:val="16"/>
        </w:rPr>
      </w:pPr>
      <w:r>
        <w:rPr>
          <w:color w:val="6D6E71"/>
          <w:sz w:val="16"/>
        </w:rPr>
        <w:t>Fuente: Elaboración propia con base en García de León  A. (1988).</w:t>
      </w:r>
    </w:p>
    <w:p>
      <w:pPr>
        <w:pStyle w:val="BodyText"/>
        <w:spacing w:before="5"/>
        <w:rPr>
          <w:sz w:val="22"/>
        </w:rPr>
      </w:pPr>
    </w:p>
    <w:p>
      <w:pPr>
        <w:pStyle w:val="BodyText"/>
        <w:spacing w:line="249" w:lineRule="auto"/>
        <w:ind w:left="129" w:right="-16" w:firstLine="170"/>
      </w:pPr>
      <w:r>
        <w:rPr/>
        <w:t>Se capturó la información en MS Excel ; se implementaron las bases de datos en el programa MS Access y se elaboró la cartografía en el Software ESRI  ArcMap.</w:t>
      </w:r>
    </w:p>
    <w:p>
      <w:pPr>
        <w:pStyle w:val="BodyText"/>
        <w:spacing w:before="11"/>
      </w:pPr>
    </w:p>
    <w:p>
      <w:pPr>
        <w:pStyle w:val="BodyText"/>
        <w:spacing w:line="249" w:lineRule="auto"/>
        <w:ind w:left="129" w:right="-16" w:firstLine="170"/>
      </w:pPr>
      <w:r>
        <w:rPr/>
        <w:t>El esquema metodológico comprende cuatro etapas las cuales se presentan en la figura 1.</w:t>
      </w:r>
    </w:p>
    <w:p>
      <w:pPr>
        <w:spacing w:line="312" w:lineRule="auto" w:before="80"/>
        <w:ind w:left="198" w:right="206" w:firstLine="0"/>
        <w:jc w:val="center"/>
        <w:rPr>
          <w:sz w:val="16"/>
        </w:rPr>
      </w:pPr>
      <w:r>
        <w:rPr/>
        <w:br w:type="column"/>
      </w:r>
      <w:r>
        <w:rPr>
          <w:color w:val="6D6E71"/>
          <w:sz w:val="16"/>
        </w:rPr>
        <w:t>Figura 1. Esquema Metodológico para la distribución de la Vulnerabilidad territorial en salud en México: un enfoque multinivel. Mortalidad específica por diabetes mellitus,  2010.</w:t>
      </w:r>
    </w:p>
    <w:p>
      <w:pPr>
        <w:pStyle w:val="BodyText"/>
        <w:spacing w:before="5"/>
        <w:rPr>
          <w:sz w:val="11"/>
        </w:rPr>
      </w:pPr>
    </w:p>
    <w:p>
      <w:pPr>
        <w:pStyle w:val="BodyText"/>
        <w:ind w:left="294"/>
      </w:pPr>
      <w:r>
        <w:rPr/>
        <w:drawing>
          <wp:inline distT="0" distB="0" distL="0" distR="0">
            <wp:extent cx="4671359" cy="1556765"/>
            <wp:effectExtent l="0" t="0" r="0" b="0"/>
            <wp:docPr id="155" name="image114.png" descr=""/>
            <wp:cNvGraphicFramePr>
              <a:graphicFrameLocks noChangeAspect="1"/>
            </wp:cNvGraphicFramePr>
            <a:graphic>
              <a:graphicData uri="http://schemas.openxmlformats.org/drawingml/2006/picture">
                <pic:pic>
                  <pic:nvPicPr>
                    <pic:cNvPr id="156" name="image114.png"/>
                    <pic:cNvPicPr/>
                  </pic:nvPicPr>
                  <pic:blipFill>
                    <a:blip r:embed="rId398" cstate="print"/>
                    <a:stretch>
                      <a:fillRect/>
                    </a:stretch>
                  </pic:blipFill>
                  <pic:spPr>
                    <a:xfrm>
                      <a:off x="0" y="0"/>
                      <a:ext cx="4671359" cy="1556765"/>
                    </a:xfrm>
                    <a:prstGeom prst="rect">
                      <a:avLst/>
                    </a:prstGeom>
                  </pic:spPr>
                </pic:pic>
              </a:graphicData>
            </a:graphic>
          </wp:inline>
        </w:drawing>
      </w:r>
      <w:r>
        <w:rPr/>
      </w:r>
    </w:p>
    <w:p>
      <w:pPr>
        <w:spacing w:before="59"/>
        <w:ind w:left="198" w:right="206" w:firstLine="0"/>
        <w:jc w:val="center"/>
        <w:rPr>
          <w:sz w:val="16"/>
        </w:rPr>
      </w:pPr>
      <w:r>
        <w:rPr>
          <w:color w:val="6D6E71"/>
          <w:sz w:val="16"/>
        </w:rPr>
        <w:t>Fuente: elaboración propia, 2016</w:t>
      </w:r>
    </w:p>
    <w:p>
      <w:pPr>
        <w:pStyle w:val="BodyText"/>
        <w:spacing w:before="2"/>
        <w:rPr>
          <w:sz w:val="19"/>
        </w:rPr>
      </w:pPr>
    </w:p>
    <w:p>
      <w:pPr>
        <w:pStyle w:val="Heading1"/>
        <w:ind w:left="299"/>
      </w:pPr>
      <w:r>
        <w:rPr/>
        <w:t>Consideraciones teóricas</w:t>
      </w:r>
    </w:p>
    <w:p>
      <w:pPr>
        <w:pStyle w:val="BodyText"/>
        <w:rPr>
          <w:b/>
          <w:sz w:val="21"/>
        </w:rPr>
      </w:pPr>
    </w:p>
    <w:p>
      <w:pPr>
        <w:pStyle w:val="BodyText"/>
        <w:spacing w:line="249" w:lineRule="auto"/>
        <w:ind w:left="129" w:right="138" w:firstLine="170"/>
        <w:jc w:val="both"/>
      </w:pPr>
      <w:r>
        <w:rPr/>
        <w:t>El</w:t>
      </w:r>
      <w:r>
        <w:rPr>
          <w:spacing w:val="-8"/>
        </w:rPr>
        <w:t> </w:t>
      </w:r>
      <w:r>
        <w:rPr/>
        <w:t>objeto</w:t>
      </w:r>
      <w:r>
        <w:rPr>
          <w:spacing w:val="-8"/>
        </w:rPr>
        <w:t> </w:t>
      </w:r>
      <w:r>
        <w:rPr/>
        <w:t>de</w:t>
      </w:r>
      <w:r>
        <w:rPr>
          <w:spacing w:val="-8"/>
        </w:rPr>
        <w:t> </w:t>
      </w:r>
      <w:r>
        <w:rPr/>
        <w:t>estudio</w:t>
      </w:r>
      <w:r>
        <w:rPr>
          <w:spacing w:val="-8"/>
        </w:rPr>
        <w:t> </w:t>
      </w:r>
      <w:r>
        <w:rPr/>
        <w:t>de</w:t>
      </w:r>
      <w:r>
        <w:rPr>
          <w:spacing w:val="-8"/>
        </w:rPr>
        <w:t> </w:t>
      </w:r>
      <w:r>
        <w:rPr/>
        <w:t>la</w:t>
      </w:r>
      <w:r>
        <w:rPr>
          <w:spacing w:val="-8"/>
        </w:rPr>
        <w:t> </w:t>
      </w:r>
      <w:r>
        <w:rPr/>
        <w:t>Geografía</w:t>
      </w:r>
      <w:r>
        <w:rPr>
          <w:spacing w:val="-8"/>
        </w:rPr>
        <w:t> </w:t>
      </w:r>
      <w:r>
        <w:rPr/>
        <w:t>es</w:t>
      </w:r>
      <w:r>
        <w:rPr>
          <w:spacing w:val="-8"/>
        </w:rPr>
        <w:t> </w:t>
      </w:r>
      <w:r>
        <w:rPr/>
        <w:t>la</w:t>
      </w:r>
      <w:r>
        <w:rPr>
          <w:spacing w:val="-8"/>
        </w:rPr>
        <w:t> </w:t>
      </w:r>
      <w:r>
        <w:rPr/>
        <w:t>relación</w:t>
      </w:r>
      <w:r>
        <w:rPr>
          <w:spacing w:val="-8"/>
        </w:rPr>
        <w:t> </w:t>
      </w:r>
      <w:r>
        <w:rPr/>
        <w:t>hombre</w:t>
      </w:r>
      <w:r>
        <w:rPr>
          <w:spacing w:val="-8"/>
        </w:rPr>
        <w:t> </w:t>
      </w:r>
      <w:r>
        <w:rPr/>
        <w:t>naturaleza</w:t>
      </w:r>
      <w:r>
        <w:rPr>
          <w:spacing w:val="-8"/>
        </w:rPr>
        <w:t> </w:t>
      </w:r>
      <w:r>
        <w:rPr/>
        <w:t>que</w:t>
      </w:r>
      <w:r>
        <w:rPr>
          <w:spacing w:val="-8"/>
        </w:rPr>
        <w:t> </w:t>
      </w:r>
      <w:r>
        <w:rPr/>
        <w:t>se</w:t>
      </w:r>
      <w:r>
        <w:rPr>
          <w:spacing w:val="-8"/>
        </w:rPr>
        <w:t> </w:t>
      </w:r>
      <w:r>
        <w:rPr/>
        <w:t>presenta en el espacio</w:t>
      </w:r>
      <w:r>
        <w:rPr>
          <w:spacing w:val="20"/>
        </w:rPr>
        <w:t> </w:t>
      </w:r>
      <w:r>
        <w:rPr/>
        <w:t>geográfico.</w:t>
      </w:r>
    </w:p>
    <w:p>
      <w:pPr>
        <w:pStyle w:val="BodyText"/>
        <w:spacing w:before="11"/>
      </w:pPr>
    </w:p>
    <w:p>
      <w:pPr>
        <w:pStyle w:val="BodyText"/>
        <w:spacing w:line="249" w:lineRule="auto"/>
        <w:ind w:left="129" w:right="137" w:firstLine="170"/>
        <w:jc w:val="both"/>
      </w:pPr>
      <w:r>
        <w:rPr/>
        <w:t>De acuerdo a Hartshorne, 1939 (citado por Buzai, 2006) la Geografía es la ciencia que estudia la diferenciación de áreas sobre la superficie terrestre. Para Ratzel, 1882 (citado</w:t>
      </w:r>
      <w:r>
        <w:rPr>
          <w:spacing w:val="-7"/>
        </w:rPr>
        <w:t> </w:t>
      </w:r>
      <w:r>
        <w:rPr/>
        <w:t>por</w:t>
      </w:r>
      <w:r>
        <w:rPr>
          <w:spacing w:val="-7"/>
        </w:rPr>
        <w:t> </w:t>
      </w:r>
      <w:r>
        <w:rPr/>
        <w:t>Buzai,</w:t>
      </w:r>
      <w:r>
        <w:rPr>
          <w:spacing w:val="-7"/>
        </w:rPr>
        <w:t> </w:t>
      </w:r>
      <w:r>
        <w:rPr/>
        <w:t>2006)</w:t>
      </w:r>
      <w:r>
        <w:rPr>
          <w:spacing w:val="-7"/>
        </w:rPr>
        <w:t> </w:t>
      </w:r>
      <w:r>
        <w:rPr/>
        <w:t>la</w:t>
      </w:r>
      <w:r>
        <w:rPr>
          <w:spacing w:val="-7"/>
        </w:rPr>
        <w:t> </w:t>
      </w:r>
      <w:r>
        <w:rPr/>
        <w:t>Geografía</w:t>
      </w:r>
      <w:r>
        <w:rPr>
          <w:spacing w:val="-7"/>
        </w:rPr>
        <w:t> </w:t>
      </w:r>
      <w:r>
        <w:rPr/>
        <w:t>es</w:t>
      </w:r>
      <w:r>
        <w:rPr>
          <w:spacing w:val="-7"/>
        </w:rPr>
        <w:t> </w:t>
      </w:r>
      <w:r>
        <w:rPr/>
        <w:t>el</w:t>
      </w:r>
      <w:r>
        <w:rPr>
          <w:spacing w:val="-7"/>
        </w:rPr>
        <w:t> </w:t>
      </w:r>
      <w:r>
        <w:rPr/>
        <w:t>estudio</w:t>
      </w:r>
      <w:r>
        <w:rPr>
          <w:spacing w:val="-7"/>
        </w:rPr>
        <w:t> </w:t>
      </w:r>
      <w:r>
        <w:rPr/>
        <w:t>de</w:t>
      </w:r>
      <w:r>
        <w:rPr>
          <w:spacing w:val="-7"/>
        </w:rPr>
        <w:t> </w:t>
      </w:r>
      <w:r>
        <w:rPr/>
        <w:t>la</w:t>
      </w:r>
      <w:r>
        <w:rPr>
          <w:spacing w:val="-7"/>
        </w:rPr>
        <w:t> </w:t>
      </w:r>
      <w:r>
        <w:rPr/>
        <w:t>relación</w:t>
      </w:r>
      <w:r>
        <w:rPr>
          <w:spacing w:val="-7"/>
        </w:rPr>
        <w:t> </w:t>
      </w:r>
      <w:r>
        <w:rPr/>
        <w:t>humanidad</w:t>
      </w:r>
      <w:r>
        <w:rPr>
          <w:spacing w:val="-7"/>
        </w:rPr>
        <w:t> </w:t>
      </w:r>
      <w:r>
        <w:rPr/>
        <w:t>naturaleza. Esta relación es compleja y recíproca porque la naturaleza influye en la población y la población en la naturaleza, en la que en algunos casos domina la naturaleza y en</w:t>
      </w:r>
      <w:r>
        <w:rPr>
          <w:spacing w:val="-32"/>
        </w:rPr>
        <w:t> </w:t>
      </w:r>
      <w:r>
        <w:rPr/>
        <w:t>otros domina el</w:t>
      </w:r>
      <w:r>
        <w:rPr>
          <w:spacing w:val="18"/>
        </w:rPr>
        <w:t> </w:t>
      </w:r>
      <w:r>
        <w:rPr/>
        <w:t>hombre.</w:t>
      </w:r>
    </w:p>
    <w:p>
      <w:pPr>
        <w:pStyle w:val="BodyText"/>
        <w:spacing w:before="11"/>
      </w:pPr>
    </w:p>
    <w:p>
      <w:pPr>
        <w:pStyle w:val="BodyText"/>
        <w:spacing w:line="249" w:lineRule="auto"/>
        <w:ind w:left="129" w:right="137" w:firstLine="170"/>
        <w:jc w:val="both"/>
      </w:pPr>
      <w:r>
        <w:rPr/>
        <w:t>En los Estados Unidos, William Morris Davis (1906) fue uno de los geógrafos más destacados en afirmar que el contenido de la geografía reposaba en las relaciones entre un medio físico y las respuestas humanas ante él (Citado en Unwin T, 1992).</w:t>
      </w:r>
    </w:p>
    <w:p>
      <w:pPr>
        <w:pStyle w:val="BodyText"/>
        <w:spacing w:before="11"/>
      </w:pPr>
    </w:p>
    <w:p>
      <w:pPr>
        <w:pStyle w:val="BodyText"/>
        <w:spacing w:line="249" w:lineRule="auto"/>
        <w:ind w:left="129" w:right="136" w:firstLine="170"/>
        <w:jc w:val="both"/>
      </w:pPr>
      <w:r>
        <w:rPr/>
        <w:t>George Perkins Marsh (1864), en su obra </w:t>
      </w:r>
      <w:r>
        <w:rPr>
          <w:i/>
        </w:rPr>
        <w:t>Man and nature </w:t>
      </w:r>
      <w:r>
        <w:rPr/>
        <w:t>en 1864, subrayaba la importancia de las personas como agentes activos que reaccionaban ante el medio ambiente en que vivían y, de este modo, lo modificaban (Citado en Unwin T, 1992).</w:t>
      </w:r>
    </w:p>
    <w:p>
      <w:pPr>
        <w:pStyle w:val="BodyText"/>
        <w:spacing w:before="11"/>
      </w:pPr>
    </w:p>
    <w:p>
      <w:pPr>
        <w:pStyle w:val="BodyText"/>
        <w:spacing w:line="249" w:lineRule="auto"/>
        <w:ind w:left="129" w:right="136" w:firstLine="170"/>
        <w:jc w:val="both"/>
      </w:pPr>
      <w:r>
        <w:rPr/>
        <w:t>En esa relación hombre naturaleza la vulnerabilidad territorial juega un papel importante, ésta se conforma de dos aspectos: la población, sus condiciones sociales, económicas, políticas, culturales, etc.; y las características físico geográficas y ambientales</w:t>
      </w:r>
      <w:r>
        <w:rPr>
          <w:spacing w:val="-14"/>
        </w:rPr>
        <w:t> </w:t>
      </w:r>
      <w:r>
        <w:rPr/>
        <w:t>del</w:t>
      </w:r>
      <w:r>
        <w:rPr>
          <w:spacing w:val="-14"/>
        </w:rPr>
        <w:t> </w:t>
      </w:r>
      <w:r>
        <w:rPr/>
        <w:t>territorio.</w:t>
      </w:r>
      <w:r>
        <w:rPr>
          <w:spacing w:val="-14"/>
        </w:rPr>
        <w:t> </w:t>
      </w:r>
      <w:r>
        <w:rPr/>
        <w:t>Ambos</w:t>
      </w:r>
      <w:r>
        <w:rPr>
          <w:spacing w:val="-14"/>
        </w:rPr>
        <w:t> </w:t>
      </w:r>
      <w:r>
        <w:rPr/>
        <w:t>población</w:t>
      </w:r>
      <w:r>
        <w:rPr>
          <w:spacing w:val="-14"/>
        </w:rPr>
        <w:t> </w:t>
      </w:r>
      <w:r>
        <w:rPr/>
        <w:t>(comunidades</w:t>
      </w:r>
      <w:r>
        <w:rPr>
          <w:spacing w:val="-14"/>
        </w:rPr>
        <w:t> </w:t>
      </w:r>
      <w:r>
        <w:rPr/>
        <w:t>e</w:t>
      </w:r>
      <w:r>
        <w:rPr>
          <w:spacing w:val="-14"/>
        </w:rPr>
        <w:t> </w:t>
      </w:r>
      <w:r>
        <w:rPr/>
        <w:t>individuos)</w:t>
      </w:r>
      <w:r>
        <w:rPr>
          <w:spacing w:val="-14"/>
        </w:rPr>
        <w:t> </w:t>
      </w:r>
      <w:r>
        <w:rPr/>
        <w:t>y</w:t>
      </w:r>
      <w:r>
        <w:rPr>
          <w:spacing w:val="-14"/>
        </w:rPr>
        <w:t> </w:t>
      </w:r>
      <w:r>
        <w:rPr/>
        <w:t>características físico geográficas y ambientales no se distribuyen en forma homogénea en el territorio, lo</w:t>
      </w:r>
      <w:r>
        <w:rPr>
          <w:spacing w:val="-11"/>
        </w:rPr>
        <w:t> </w:t>
      </w:r>
      <w:r>
        <w:rPr/>
        <w:t>cual</w:t>
      </w:r>
      <w:r>
        <w:rPr>
          <w:spacing w:val="-11"/>
        </w:rPr>
        <w:t> </w:t>
      </w:r>
      <w:r>
        <w:rPr/>
        <w:t>incide</w:t>
      </w:r>
      <w:r>
        <w:rPr>
          <w:spacing w:val="-11"/>
        </w:rPr>
        <w:t> </w:t>
      </w:r>
      <w:r>
        <w:rPr/>
        <w:t>en</w:t>
      </w:r>
      <w:r>
        <w:rPr>
          <w:spacing w:val="-11"/>
        </w:rPr>
        <w:t> </w:t>
      </w:r>
      <w:r>
        <w:rPr/>
        <w:t>que</w:t>
      </w:r>
      <w:r>
        <w:rPr>
          <w:spacing w:val="-11"/>
        </w:rPr>
        <w:t> </w:t>
      </w:r>
      <w:r>
        <w:rPr/>
        <w:t>la</w:t>
      </w:r>
      <w:r>
        <w:rPr>
          <w:spacing w:val="-11"/>
        </w:rPr>
        <w:t> </w:t>
      </w:r>
      <w:r>
        <w:rPr/>
        <w:t>población</w:t>
      </w:r>
      <w:r>
        <w:rPr>
          <w:spacing w:val="-11"/>
        </w:rPr>
        <w:t> </w:t>
      </w:r>
      <w:r>
        <w:rPr/>
        <w:t>sea</w:t>
      </w:r>
      <w:r>
        <w:rPr>
          <w:spacing w:val="-11"/>
        </w:rPr>
        <w:t> </w:t>
      </w:r>
      <w:r>
        <w:rPr/>
        <w:t>más</w:t>
      </w:r>
      <w:r>
        <w:rPr>
          <w:spacing w:val="-11"/>
        </w:rPr>
        <w:t> </w:t>
      </w:r>
      <w:r>
        <w:rPr/>
        <w:t>o</w:t>
      </w:r>
      <w:r>
        <w:rPr>
          <w:spacing w:val="-11"/>
        </w:rPr>
        <w:t> </w:t>
      </w:r>
      <w:r>
        <w:rPr/>
        <w:t>menos</w:t>
      </w:r>
      <w:r>
        <w:rPr>
          <w:spacing w:val="-11"/>
        </w:rPr>
        <w:t> </w:t>
      </w:r>
      <w:r>
        <w:rPr/>
        <w:t>vulnerable</w:t>
      </w:r>
      <w:r>
        <w:rPr>
          <w:spacing w:val="-11"/>
        </w:rPr>
        <w:t> </w:t>
      </w:r>
      <w:r>
        <w:rPr/>
        <w:t>al</w:t>
      </w:r>
      <w:r>
        <w:rPr>
          <w:spacing w:val="-11"/>
        </w:rPr>
        <w:t> </w:t>
      </w:r>
      <w:r>
        <w:rPr/>
        <w:t>impacto</w:t>
      </w:r>
      <w:r>
        <w:rPr>
          <w:spacing w:val="-11"/>
        </w:rPr>
        <w:t> </w:t>
      </w:r>
      <w:r>
        <w:rPr/>
        <w:t>de</w:t>
      </w:r>
      <w:r>
        <w:rPr>
          <w:spacing w:val="-11"/>
        </w:rPr>
        <w:t> </w:t>
      </w:r>
      <w:r>
        <w:rPr/>
        <w:t>los</w:t>
      </w:r>
      <w:r>
        <w:rPr>
          <w:spacing w:val="-11"/>
        </w:rPr>
        <w:t> </w:t>
      </w:r>
      <w:r>
        <w:rPr/>
        <w:t>riesgos:</w:t>
      </w:r>
    </w:p>
    <w:p>
      <w:pPr>
        <w:spacing w:after="0" w:line="249" w:lineRule="auto"/>
        <w:jc w:val="both"/>
        <w:sectPr>
          <w:type w:val="continuous"/>
          <w:pgSz w:w="18830" w:h="12760" w:orient="landscape"/>
          <w:pgMar w:top="1420" w:bottom="280" w:left="720" w:right="720"/>
          <w:cols w:num="2" w:equalWidth="0">
            <w:col w:w="7841" w:space="1563"/>
            <w:col w:w="7986"/>
          </w:cols>
        </w:sectPr>
      </w:pPr>
    </w:p>
    <w:p>
      <w:pPr>
        <w:pStyle w:val="BodyText"/>
        <w:spacing w:before="6"/>
        <w:rPr>
          <w:sz w:val="23"/>
        </w:rPr>
      </w:pPr>
    </w:p>
    <w:p>
      <w:pPr>
        <w:spacing w:after="0"/>
        <w:rPr>
          <w:sz w:val="23"/>
        </w:rPr>
        <w:sectPr>
          <w:footerReference w:type="default" r:id="rId399"/>
          <w:pgSz w:w="18830" w:h="12760" w:orient="landscape"/>
          <w:pgMar w:footer="1036" w:header="522" w:top="820" w:bottom="1220" w:left="720" w:right="720"/>
        </w:sectPr>
      </w:pPr>
    </w:p>
    <w:p>
      <w:pPr>
        <w:pStyle w:val="BodyText"/>
        <w:spacing w:line="249" w:lineRule="auto" w:before="76"/>
        <w:ind w:left="130" w:right="-7"/>
      </w:pPr>
      <w:r>
        <w:rPr/>
        <w:t>sociales, organizativos, naturales, etc., presentando una diferenciación de áreas de vulnerabilidad territorial.</w:t>
      </w:r>
    </w:p>
    <w:p>
      <w:pPr>
        <w:pStyle w:val="BodyText"/>
        <w:spacing w:before="11"/>
      </w:pPr>
    </w:p>
    <w:p>
      <w:pPr>
        <w:pStyle w:val="BodyText"/>
        <w:spacing w:line="249" w:lineRule="auto"/>
        <w:ind w:left="130" w:firstLine="170"/>
        <w:jc w:val="both"/>
      </w:pPr>
      <w:r>
        <w:rPr/>
        <w:t>El estudio de la vulnerabilidad es multidimensional e integrador y es abordado por varias ciencias como la Física, la Ecología, las ingenierías, la Medicina,</w:t>
      </w:r>
      <w:r>
        <w:rPr>
          <w:spacing w:val="52"/>
        </w:rPr>
        <w:t> </w:t>
      </w:r>
      <w:r>
        <w:rPr/>
        <w:t>la Sociología,</w:t>
      </w:r>
      <w:r>
        <w:rPr>
          <w:w w:val="100"/>
        </w:rPr>
        <w:t> </w:t>
      </w:r>
      <w:r>
        <w:rPr/>
        <w:t>la Economía, la Filosofía, la Psicología, la Historia, la Geografía, la Geología y la Geoinformática entre otras.</w:t>
      </w:r>
    </w:p>
    <w:p>
      <w:pPr>
        <w:pStyle w:val="BodyText"/>
        <w:spacing w:before="11"/>
      </w:pPr>
    </w:p>
    <w:p>
      <w:pPr>
        <w:pStyle w:val="BodyText"/>
        <w:spacing w:line="249" w:lineRule="auto"/>
        <w:ind w:left="130" w:firstLine="170"/>
        <w:jc w:val="both"/>
      </w:pPr>
      <w:r>
        <w:rPr/>
        <w:t>Los conceptos y enfoques para abordar la vulnerabilidad dependen de la ciencia que lo está abordando. La vulnerabilidad puede ser ambiental, social, económica, cultural, etc., de acuerdo al factor o ámbito de que se trate. Dentro de la vulnerabilidad social está incluida la de salud.</w:t>
      </w:r>
    </w:p>
    <w:p>
      <w:pPr>
        <w:pStyle w:val="BodyText"/>
        <w:spacing w:before="11"/>
      </w:pPr>
    </w:p>
    <w:p>
      <w:pPr>
        <w:pStyle w:val="BodyText"/>
        <w:spacing w:line="249" w:lineRule="auto"/>
        <w:ind w:left="130" w:firstLine="170"/>
        <w:jc w:val="both"/>
      </w:pPr>
      <w:r>
        <w:rPr/>
        <w:t>De acuerdo De Souza (2007, pp 159), la noción de vulnerabilidad es un concepto integrador, abordado en tres mundos fenoménicos de la ciencia: física, de la vida y humano.</w:t>
      </w:r>
    </w:p>
    <w:p>
      <w:pPr>
        <w:pStyle w:val="BodyText"/>
        <w:spacing w:before="11"/>
      </w:pPr>
    </w:p>
    <w:p>
      <w:pPr>
        <w:pStyle w:val="BodyText"/>
        <w:spacing w:line="249" w:lineRule="auto"/>
        <w:ind w:left="130" w:firstLine="170"/>
        <w:jc w:val="both"/>
      </w:pPr>
      <w:r>
        <w:rPr/>
        <w:t>La vulnerabilidad en el mundo fisicalista: el área del conocimiento es la Física e ingenierías; los tipos de sistemas involucrados son técnicos simples o complicados;</w:t>
      </w:r>
      <w:r>
        <w:rPr>
          <w:spacing w:val="-17"/>
        </w:rPr>
        <w:t> </w:t>
      </w:r>
      <w:r>
        <w:rPr/>
        <w:t>los conceptos</w:t>
      </w:r>
      <w:r>
        <w:rPr>
          <w:spacing w:val="-7"/>
        </w:rPr>
        <w:t> </w:t>
      </w:r>
      <w:r>
        <w:rPr/>
        <w:t>clave</w:t>
      </w:r>
      <w:r>
        <w:rPr>
          <w:spacing w:val="-7"/>
        </w:rPr>
        <w:t> </w:t>
      </w:r>
      <w:r>
        <w:rPr/>
        <w:t>es</w:t>
      </w:r>
      <w:r>
        <w:rPr>
          <w:spacing w:val="-7"/>
        </w:rPr>
        <w:t> </w:t>
      </w:r>
      <w:r>
        <w:rPr/>
        <w:t>el</w:t>
      </w:r>
      <w:r>
        <w:rPr>
          <w:spacing w:val="-7"/>
        </w:rPr>
        <w:t> </w:t>
      </w:r>
      <w:r>
        <w:rPr/>
        <w:t>de</w:t>
      </w:r>
      <w:r>
        <w:rPr>
          <w:spacing w:val="-7"/>
        </w:rPr>
        <w:t> </w:t>
      </w:r>
      <w:r>
        <w:rPr/>
        <w:t>funcionalidad,</w:t>
      </w:r>
      <w:r>
        <w:rPr>
          <w:spacing w:val="-7"/>
        </w:rPr>
        <w:t> </w:t>
      </w:r>
      <w:r>
        <w:rPr/>
        <w:t>se</w:t>
      </w:r>
      <w:r>
        <w:rPr>
          <w:spacing w:val="-7"/>
        </w:rPr>
        <w:t> </w:t>
      </w:r>
      <w:r>
        <w:rPr/>
        <w:t>entiende</w:t>
      </w:r>
      <w:r>
        <w:rPr>
          <w:spacing w:val="-7"/>
        </w:rPr>
        <w:t> </w:t>
      </w:r>
      <w:r>
        <w:rPr/>
        <w:t>a</w:t>
      </w:r>
      <w:r>
        <w:rPr>
          <w:spacing w:val="-7"/>
        </w:rPr>
        <w:t> </w:t>
      </w:r>
      <w:r>
        <w:rPr/>
        <w:t>la</w:t>
      </w:r>
      <w:r>
        <w:rPr>
          <w:spacing w:val="-7"/>
        </w:rPr>
        <w:t> </w:t>
      </w:r>
      <w:r>
        <w:rPr/>
        <w:t>vulnerabilidad</w:t>
      </w:r>
      <w:r>
        <w:rPr>
          <w:spacing w:val="-7"/>
        </w:rPr>
        <w:t> </w:t>
      </w:r>
      <w:r>
        <w:rPr/>
        <w:t>como</w:t>
      </w:r>
      <w:r>
        <w:rPr>
          <w:spacing w:val="-7"/>
        </w:rPr>
        <w:t> </w:t>
      </w:r>
      <w:r>
        <w:rPr/>
        <w:t>posibilidad de la pérdida de la función del componente o sistema </w:t>
      </w:r>
      <w:r>
        <w:rPr>
          <w:spacing w:val="31"/>
        </w:rPr>
        <w:t> </w:t>
      </w:r>
      <w:r>
        <w:rPr/>
        <w:t>técnico.</w:t>
      </w:r>
    </w:p>
    <w:p>
      <w:pPr>
        <w:pStyle w:val="BodyText"/>
        <w:spacing w:before="11"/>
      </w:pPr>
    </w:p>
    <w:p>
      <w:pPr>
        <w:pStyle w:val="BodyText"/>
        <w:spacing w:line="249" w:lineRule="auto"/>
        <w:ind w:left="130" w:right="1" w:firstLine="170"/>
        <w:jc w:val="both"/>
      </w:pPr>
      <w:r>
        <w:rPr/>
        <w:t>La vulnerabilidad en el mundo de la vida, se refiere a los sistemas complejos ordinarios de los seres vivos (organismos, comunidades y ecosistemas); las áreas del conocimiento son: la Biología y Ecología y la Biomedicina; algunos conceptos clave son: la vitalidad y continuidad.</w:t>
      </w:r>
    </w:p>
    <w:p>
      <w:pPr>
        <w:pStyle w:val="BodyText"/>
        <w:spacing w:before="11"/>
      </w:pPr>
    </w:p>
    <w:p>
      <w:pPr>
        <w:pStyle w:val="BodyText"/>
        <w:spacing w:line="249" w:lineRule="auto"/>
        <w:ind w:left="130" w:firstLine="231"/>
        <w:jc w:val="both"/>
      </w:pPr>
      <w:r>
        <w:rPr/>
        <w:t>En relación a la Biología y Ecología, se estudia a la vulnerabilidad como pérdida de vigor, incapacidad adaptativa o discontinuidad. El paradigma ecológico tiene el énfasis en la vulnerabilidad de comunidades, especies o ecosistemas.</w:t>
      </w:r>
    </w:p>
    <w:p>
      <w:pPr>
        <w:pStyle w:val="BodyText"/>
        <w:spacing w:before="11"/>
      </w:pPr>
    </w:p>
    <w:p>
      <w:pPr>
        <w:pStyle w:val="BodyText"/>
        <w:spacing w:line="249" w:lineRule="auto"/>
        <w:ind w:left="130" w:firstLine="170"/>
        <w:jc w:val="both"/>
      </w:pPr>
      <w:r>
        <w:rPr/>
        <w:t>En relación al paradigma biomédico, el énfasis en la vulnerabilidad como contextualizadora de las enfermedades o muertes de</w:t>
      </w:r>
      <w:r>
        <w:rPr>
          <w:spacing w:val="52"/>
        </w:rPr>
        <w:t> </w:t>
      </w:r>
      <w:r>
        <w:rPr/>
        <w:t>individuos.</w:t>
      </w:r>
    </w:p>
    <w:p>
      <w:pPr>
        <w:pStyle w:val="BodyText"/>
        <w:spacing w:before="11"/>
      </w:pPr>
    </w:p>
    <w:p>
      <w:pPr>
        <w:pStyle w:val="BodyText"/>
        <w:spacing w:line="249" w:lineRule="auto"/>
        <w:ind w:left="130" w:firstLine="170"/>
        <w:jc w:val="right"/>
      </w:pPr>
      <w:r>
        <w:rPr/>
        <w:t>La vulnerabilidad del mundo: las áreas del conocimiento son las ciencias</w:t>
      </w:r>
      <w:r>
        <w:rPr>
          <w:spacing w:val="32"/>
        </w:rPr>
        <w:t> </w:t>
      </w:r>
      <w:r>
        <w:rPr/>
        <w:t>sociales</w:t>
      </w:r>
      <w:r>
        <w:rPr>
          <w:spacing w:val="13"/>
        </w:rPr>
        <w:t> </w:t>
      </w:r>
      <w:r>
        <w:rPr/>
        <w:t>y humanas, filosofía. Aborda los sistemas complejos reflexivos. Algunos</w:t>
      </w:r>
      <w:r>
        <w:rPr>
          <w:spacing w:val="-9"/>
        </w:rPr>
        <w:t> </w:t>
      </w:r>
      <w:r>
        <w:rPr/>
        <w:t>conceptos</w:t>
      </w:r>
      <w:r>
        <w:rPr>
          <w:spacing w:val="-2"/>
        </w:rPr>
        <w:t> </w:t>
      </w:r>
      <w:r>
        <w:rPr/>
        <w:t>clave</w:t>
      </w:r>
      <w:r>
        <w:rPr>
          <w:spacing w:val="-2"/>
          <w:w w:val="99"/>
        </w:rPr>
        <w:t> </w:t>
      </w:r>
      <w:r>
        <w:rPr/>
        <w:t>son la ética: virtud y dignidad. Se aborda la vulnerabilidad como expresión</w:t>
      </w:r>
      <w:r>
        <w:rPr>
          <w:spacing w:val="9"/>
        </w:rPr>
        <w:t> </w:t>
      </w:r>
      <w:r>
        <w:rPr/>
        <w:t>de</w:t>
      </w:r>
      <w:r>
        <w:rPr>
          <w:spacing w:val="10"/>
        </w:rPr>
        <w:t> </w:t>
      </w:r>
      <w:r>
        <w:rPr/>
        <w:t>libertad</w:t>
      </w:r>
      <w:r>
        <w:rPr>
          <w:spacing w:val="-2"/>
          <w:w w:val="102"/>
        </w:rPr>
        <w:t> </w:t>
      </w:r>
      <w:r>
        <w:rPr/>
        <w:t>humana</w:t>
      </w:r>
      <w:r>
        <w:rPr>
          <w:spacing w:val="-12"/>
        </w:rPr>
        <w:t> </w:t>
      </w:r>
      <w:r>
        <w:rPr/>
        <w:t>y</w:t>
      </w:r>
      <w:r>
        <w:rPr>
          <w:spacing w:val="-12"/>
        </w:rPr>
        <w:t> </w:t>
      </w:r>
      <w:r>
        <w:rPr/>
        <w:t>su</w:t>
      </w:r>
      <w:r>
        <w:rPr>
          <w:spacing w:val="-12"/>
        </w:rPr>
        <w:t> </w:t>
      </w:r>
      <w:r>
        <w:rPr/>
        <w:t>abuso</w:t>
      </w:r>
      <w:r>
        <w:rPr>
          <w:spacing w:val="-12"/>
        </w:rPr>
        <w:t> </w:t>
      </w:r>
      <w:r>
        <w:rPr/>
        <w:t>ante</w:t>
      </w:r>
      <w:r>
        <w:rPr>
          <w:spacing w:val="-12"/>
        </w:rPr>
        <w:t> </w:t>
      </w:r>
      <w:r>
        <w:rPr/>
        <w:t>situaciones</w:t>
      </w:r>
      <w:r>
        <w:rPr>
          <w:spacing w:val="-12"/>
        </w:rPr>
        <w:t> </w:t>
      </w:r>
      <w:r>
        <w:rPr/>
        <w:t>de</w:t>
      </w:r>
      <w:r>
        <w:rPr>
          <w:spacing w:val="-12"/>
        </w:rPr>
        <w:t> </w:t>
      </w:r>
      <w:r>
        <w:rPr/>
        <w:t>poder,</w:t>
      </w:r>
      <w:r>
        <w:rPr>
          <w:spacing w:val="-12"/>
        </w:rPr>
        <w:t> </w:t>
      </w:r>
      <w:r>
        <w:rPr/>
        <w:t>injusticias</w:t>
      </w:r>
      <w:r>
        <w:rPr>
          <w:spacing w:val="-12"/>
        </w:rPr>
        <w:t> </w:t>
      </w:r>
      <w:r>
        <w:rPr/>
        <w:t>e</w:t>
      </w:r>
      <w:r>
        <w:rPr>
          <w:spacing w:val="-12"/>
        </w:rPr>
        <w:t> </w:t>
      </w:r>
      <w:r>
        <w:rPr/>
        <w:t>ignorancia.</w:t>
      </w:r>
      <w:r>
        <w:rPr>
          <w:spacing w:val="-12"/>
        </w:rPr>
        <w:t> </w:t>
      </w:r>
      <w:r>
        <w:rPr/>
        <w:t>La</w:t>
      </w:r>
      <w:r>
        <w:rPr>
          <w:spacing w:val="-12"/>
        </w:rPr>
        <w:t> </w:t>
      </w:r>
      <w:r>
        <w:rPr/>
        <w:t>vulnerabilidad</w:t>
      </w:r>
      <w:r>
        <w:rPr>
          <w:spacing w:val="-2"/>
          <w:w w:val="100"/>
        </w:rPr>
        <w:t> </w:t>
      </w:r>
      <w:r>
        <w:rPr/>
        <w:t>como obstáculos para la realización de ciclos de vida virtuosos.</w:t>
      </w:r>
      <w:r>
        <w:rPr>
          <w:spacing w:val="34"/>
        </w:rPr>
        <w:t> </w:t>
      </w:r>
      <w:r>
        <w:rPr/>
        <w:t>Dimensiones</w:t>
      </w:r>
      <w:r>
        <w:rPr>
          <w:spacing w:val="3"/>
        </w:rPr>
        <w:t> </w:t>
      </w:r>
      <w:r>
        <w:rPr/>
        <w:t>sociales,</w:t>
      </w:r>
      <w:r>
        <w:rPr>
          <w:spacing w:val="-2"/>
          <w:w w:val="100"/>
        </w:rPr>
        <w:t> </w:t>
      </w:r>
      <w:r>
        <w:rPr/>
        <w:t>culturales,</w:t>
      </w:r>
      <w:r>
        <w:rPr>
          <w:spacing w:val="-18"/>
        </w:rPr>
        <w:t> </w:t>
      </w:r>
      <w:r>
        <w:rPr/>
        <w:t>morales</w:t>
      </w:r>
      <w:r>
        <w:rPr>
          <w:spacing w:val="-18"/>
        </w:rPr>
        <w:t> </w:t>
      </w:r>
      <w:r>
        <w:rPr/>
        <w:t>y</w:t>
      </w:r>
      <w:r>
        <w:rPr>
          <w:spacing w:val="-18"/>
        </w:rPr>
        <w:t> </w:t>
      </w:r>
      <w:r>
        <w:rPr/>
        <w:t>éticas</w:t>
      </w:r>
      <w:r>
        <w:rPr>
          <w:spacing w:val="-18"/>
        </w:rPr>
        <w:t> </w:t>
      </w:r>
      <w:r>
        <w:rPr/>
        <w:t>ante</w:t>
      </w:r>
      <w:r>
        <w:rPr>
          <w:spacing w:val="-18"/>
        </w:rPr>
        <w:t> </w:t>
      </w:r>
      <w:r>
        <w:rPr/>
        <w:t>los</w:t>
      </w:r>
      <w:r>
        <w:rPr>
          <w:spacing w:val="-18"/>
        </w:rPr>
        <w:t> </w:t>
      </w:r>
      <w:r>
        <w:rPr/>
        <w:t>riesgos</w:t>
      </w:r>
      <w:r>
        <w:rPr>
          <w:spacing w:val="-18"/>
        </w:rPr>
        <w:t> </w:t>
      </w:r>
      <w:r>
        <w:rPr/>
        <w:t>son</w:t>
      </w:r>
      <w:r>
        <w:rPr>
          <w:spacing w:val="-18"/>
        </w:rPr>
        <w:t> </w:t>
      </w:r>
      <w:r>
        <w:rPr/>
        <w:t>disminuidas</w:t>
      </w:r>
      <w:r>
        <w:rPr>
          <w:spacing w:val="-18"/>
        </w:rPr>
        <w:t> </w:t>
      </w:r>
      <w:r>
        <w:rPr/>
        <w:t>(De</w:t>
      </w:r>
      <w:r>
        <w:rPr>
          <w:spacing w:val="-18"/>
        </w:rPr>
        <w:t> </w:t>
      </w:r>
      <w:r>
        <w:rPr/>
        <w:t>Souza</w:t>
      </w:r>
      <w:r>
        <w:rPr>
          <w:spacing w:val="-18"/>
        </w:rPr>
        <w:t> </w:t>
      </w:r>
      <w:r>
        <w:rPr/>
        <w:t>M.</w:t>
      </w:r>
      <w:r>
        <w:rPr>
          <w:spacing w:val="-18"/>
        </w:rPr>
        <w:t> </w:t>
      </w:r>
      <w:r>
        <w:rPr/>
        <w:t>2007:</w:t>
      </w:r>
      <w:r>
        <w:rPr>
          <w:spacing w:val="-18"/>
        </w:rPr>
        <w:t> </w:t>
      </w:r>
      <w:r>
        <w:rPr/>
        <w:t>P.</w:t>
      </w:r>
      <w:r>
        <w:rPr>
          <w:spacing w:val="-18"/>
        </w:rPr>
        <w:t> </w:t>
      </w:r>
      <w:r>
        <w:rPr/>
        <w:t>159).</w:t>
      </w:r>
    </w:p>
    <w:p>
      <w:pPr>
        <w:pStyle w:val="BodyText"/>
        <w:spacing w:before="11"/>
      </w:pPr>
    </w:p>
    <w:p>
      <w:pPr>
        <w:spacing w:before="0"/>
        <w:ind w:left="13" w:right="0" w:firstLine="0"/>
        <w:jc w:val="right"/>
        <w:rPr>
          <w:sz w:val="20"/>
        </w:rPr>
      </w:pPr>
      <w:r>
        <w:rPr>
          <w:sz w:val="20"/>
        </w:rPr>
        <w:t>La CEPAL  (citado por De Souza, 2007) considera </w:t>
      </w:r>
      <w:r>
        <w:rPr>
          <w:b/>
          <w:sz w:val="20"/>
        </w:rPr>
        <w:t>la vulnerabilidad social </w:t>
      </w:r>
      <w:r>
        <w:rPr>
          <w:sz w:val="20"/>
        </w:rPr>
        <w:t>como  la</w:t>
      </w:r>
    </w:p>
    <w:p>
      <w:pPr>
        <w:pStyle w:val="BodyText"/>
        <w:spacing w:line="249" w:lineRule="auto" w:before="76"/>
        <w:ind w:left="130" w:right="37"/>
      </w:pPr>
      <w:r>
        <w:rPr/>
        <w:br w:type="column"/>
      </w:r>
      <w:r>
        <w:rPr/>
        <w:t>capacidad de cada individuo, familia o comunidad de enfrentar los riesgos, mediante una respuesta endógena  o a través de un apoyo externo.</w:t>
      </w:r>
    </w:p>
    <w:p>
      <w:pPr>
        <w:pStyle w:val="BodyText"/>
        <w:spacing w:before="11"/>
      </w:pPr>
    </w:p>
    <w:p>
      <w:pPr>
        <w:pStyle w:val="BodyText"/>
        <w:spacing w:line="249" w:lineRule="auto"/>
        <w:ind w:left="130" w:right="123" w:firstLine="170"/>
        <w:jc w:val="right"/>
      </w:pPr>
      <w:r>
        <w:rPr/>
        <w:t>La resiliencia tiene significado opuesto al de la vulnerabilidad. La cual es una</w:t>
      </w:r>
      <w:r>
        <w:rPr>
          <w:w w:val="98"/>
        </w:rPr>
        <w:t> </w:t>
      </w:r>
      <w:r>
        <w:rPr/>
        <w:t>característica de los sistemas de adaptarse a situaciones de   cambio, perturbaciones</w:t>
      </w:r>
      <w:r>
        <w:rPr>
          <w:w w:val="101"/>
        </w:rPr>
        <w:t> </w:t>
      </w:r>
      <w:r>
        <w:rPr/>
        <w:t>o choques sin perder sus funciones estructurales (Firpo M. citado en De Souza, 2007).</w:t>
      </w:r>
    </w:p>
    <w:p>
      <w:pPr>
        <w:pStyle w:val="BodyText"/>
        <w:spacing w:before="11"/>
      </w:pPr>
    </w:p>
    <w:p>
      <w:pPr>
        <w:pStyle w:val="BodyText"/>
        <w:spacing w:line="249" w:lineRule="auto"/>
        <w:ind w:left="130" w:right="125" w:firstLine="170"/>
        <w:jc w:val="both"/>
      </w:pPr>
      <w:r>
        <w:rPr/>
        <w:t>La vulnerabilidad territorial, tiene relevancia ante la globalización, porque ésta </w:t>
      </w:r>
      <w:r>
        <w:rPr>
          <w:spacing w:val="-2"/>
        </w:rPr>
        <w:t>incide </w:t>
      </w:r>
      <w:r>
        <w:rPr/>
        <w:t>en la agudización de problemas ambientales y sociales, como el cambio climático, la degradación</w:t>
      </w:r>
      <w:r>
        <w:rPr>
          <w:spacing w:val="-42"/>
        </w:rPr>
        <w:t> </w:t>
      </w:r>
      <w:r>
        <w:rPr/>
        <w:t>ambiental,</w:t>
      </w:r>
      <w:r>
        <w:rPr>
          <w:spacing w:val="-42"/>
        </w:rPr>
        <w:t> </w:t>
      </w:r>
      <w:r>
        <w:rPr/>
        <w:t>pérdida</w:t>
      </w:r>
      <w:r>
        <w:rPr>
          <w:spacing w:val="-42"/>
        </w:rPr>
        <w:t> </w:t>
      </w:r>
      <w:r>
        <w:rPr/>
        <w:t>de</w:t>
      </w:r>
      <w:r>
        <w:rPr>
          <w:spacing w:val="-42"/>
        </w:rPr>
        <w:t> </w:t>
      </w:r>
      <w:r>
        <w:rPr/>
        <w:t>la</w:t>
      </w:r>
      <w:r>
        <w:rPr>
          <w:spacing w:val="-42"/>
        </w:rPr>
        <w:t> </w:t>
      </w:r>
      <w:r>
        <w:rPr/>
        <w:t>biodiversidad;</w:t>
      </w:r>
      <w:r>
        <w:rPr>
          <w:spacing w:val="-42"/>
        </w:rPr>
        <w:t> </w:t>
      </w:r>
      <w:r>
        <w:rPr/>
        <w:t>empleo</w:t>
      </w:r>
      <w:r>
        <w:rPr>
          <w:spacing w:val="-42"/>
        </w:rPr>
        <w:t> </w:t>
      </w:r>
      <w:r>
        <w:rPr/>
        <w:t>(mal</w:t>
      </w:r>
      <w:r>
        <w:rPr>
          <w:spacing w:val="-42"/>
        </w:rPr>
        <w:t> </w:t>
      </w:r>
      <w:r>
        <w:rPr/>
        <w:t>remunerado),</w:t>
      </w:r>
      <w:r>
        <w:rPr>
          <w:spacing w:val="-42"/>
        </w:rPr>
        <w:t> </w:t>
      </w:r>
      <w:r>
        <w:rPr/>
        <w:t>desempleo, inseguridad,</w:t>
      </w:r>
      <w:r>
        <w:rPr>
          <w:spacing w:val="-10"/>
        </w:rPr>
        <w:t> </w:t>
      </w:r>
      <w:r>
        <w:rPr/>
        <w:t>acceso</w:t>
      </w:r>
      <w:r>
        <w:rPr>
          <w:spacing w:val="-10"/>
        </w:rPr>
        <w:t> </w:t>
      </w:r>
      <w:r>
        <w:rPr/>
        <w:t>a</w:t>
      </w:r>
      <w:r>
        <w:rPr>
          <w:spacing w:val="-10"/>
        </w:rPr>
        <w:t> </w:t>
      </w:r>
      <w:r>
        <w:rPr/>
        <w:t>servicios</w:t>
      </w:r>
      <w:r>
        <w:rPr>
          <w:spacing w:val="-10"/>
        </w:rPr>
        <w:t> </w:t>
      </w:r>
      <w:r>
        <w:rPr/>
        <w:t>sociales,</w:t>
      </w:r>
      <w:r>
        <w:rPr>
          <w:spacing w:val="-10"/>
        </w:rPr>
        <w:t> </w:t>
      </w:r>
      <w:r>
        <w:rPr/>
        <w:t>satisfacción</w:t>
      </w:r>
      <w:r>
        <w:rPr>
          <w:spacing w:val="-10"/>
        </w:rPr>
        <w:t> </w:t>
      </w:r>
      <w:r>
        <w:rPr/>
        <w:t>de</w:t>
      </w:r>
      <w:r>
        <w:rPr>
          <w:spacing w:val="-10"/>
        </w:rPr>
        <w:t> </w:t>
      </w:r>
      <w:r>
        <w:rPr/>
        <w:t>necesidades</w:t>
      </w:r>
      <w:r>
        <w:rPr>
          <w:spacing w:val="-10"/>
        </w:rPr>
        <w:t> </w:t>
      </w:r>
      <w:r>
        <w:rPr/>
        <w:t>básicas,</w:t>
      </w:r>
      <w:r>
        <w:rPr>
          <w:spacing w:val="-10"/>
        </w:rPr>
        <w:t> </w:t>
      </w:r>
      <w:r>
        <w:rPr/>
        <w:t>servicios a</w:t>
      </w:r>
      <w:r>
        <w:rPr>
          <w:spacing w:val="-14"/>
        </w:rPr>
        <w:t> </w:t>
      </w:r>
      <w:r>
        <w:rPr/>
        <w:t>la</w:t>
      </w:r>
      <w:r>
        <w:rPr>
          <w:spacing w:val="-14"/>
        </w:rPr>
        <w:t> </w:t>
      </w:r>
      <w:r>
        <w:rPr/>
        <w:t>vivienda,</w:t>
      </w:r>
      <w:r>
        <w:rPr>
          <w:spacing w:val="-14"/>
        </w:rPr>
        <w:t> </w:t>
      </w:r>
      <w:r>
        <w:rPr/>
        <w:t>emergencia</w:t>
      </w:r>
      <w:r>
        <w:rPr>
          <w:spacing w:val="-14"/>
        </w:rPr>
        <w:t> </w:t>
      </w:r>
      <w:r>
        <w:rPr/>
        <w:t>o</w:t>
      </w:r>
      <w:r>
        <w:rPr>
          <w:spacing w:val="-14"/>
        </w:rPr>
        <w:t> </w:t>
      </w:r>
      <w:r>
        <w:rPr/>
        <w:t>reemergencia</w:t>
      </w:r>
      <w:r>
        <w:rPr>
          <w:spacing w:val="-14"/>
        </w:rPr>
        <w:t> </w:t>
      </w:r>
      <w:r>
        <w:rPr/>
        <w:t>de</w:t>
      </w:r>
      <w:r>
        <w:rPr>
          <w:spacing w:val="-14"/>
        </w:rPr>
        <w:t> </w:t>
      </w:r>
      <w:r>
        <w:rPr/>
        <w:t>ciertas</w:t>
      </w:r>
      <w:r>
        <w:rPr>
          <w:spacing w:val="-14"/>
        </w:rPr>
        <w:t> </w:t>
      </w:r>
      <w:r>
        <w:rPr/>
        <w:t>enfermedades,</w:t>
      </w:r>
      <w:r>
        <w:rPr>
          <w:spacing w:val="-14"/>
        </w:rPr>
        <w:t> </w:t>
      </w:r>
      <w:r>
        <w:rPr/>
        <w:t>etc.,</w:t>
      </w:r>
    </w:p>
    <w:p>
      <w:pPr>
        <w:pStyle w:val="BodyText"/>
        <w:spacing w:before="11"/>
      </w:pPr>
    </w:p>
    <w:p>
      <w:pPr>
        <w:pStyle w:val="BodyText"/>
        <w:spacing w:line="249" w:lineRule="auto"/>
        <w:ind w:left="130" w:right="123" w:firstLine="170"/>
        <w:jc w:val="both"/>
      </w:pPr>
      <w:r>
        <w:rPr/>
        <w:t>La</w:t>
      </w:r>
      <w:r>
        <w:rPr>
          <w:spacing w:val="-13"/>
        </w:rPr>
        <w:t> </w:t>
      </w:r>
      <w:r>
        <w:rPr/>
        <w:t>vulnerabilidad</w:t>
      </w:r>
      <w:r>
        <w:rPr>
          <w:spacing w:val="-13"/>
        </w:rPr>
        <w:t> </w:t>
      </w:r>
      <w:r>
        <w:rPr/>
        <w:t>territorial</w:t>
      </w:r>
      <w:r>
        <w:rPr>
          <w:spacing w:val="-13"/>
        </w:rPr>
        <w:t> </w:t>
      </w:r>
      <w:r>
        <w:rPr/>
        <w:t>es</w:t>
      </w:r>
      <w:r>
        <w:rPr>
          <w:spacing w:val="-13"/>
        </w:rPr>
        <w:t> </w:t>
      </w:r>
      <w:r>
        <w:rPr/>
        <w:t>importante</w:t>
      </w:r>
      <w:r>
        <w:rPr>
          <w:spacing w:val="-13"/>
        </w:rPr>
        <w:t> </w:t>
      </w:r>
      <w:r>
        <w:rPr/>
        <w:t>ante</w:t>
      </w:r>
      <w:r>
        <w:rPr>
          <w:spacing w:val="-13"/>
        </w:rPr>
        <w:t> </w:t>
      </w:r>
      <w:r>
        <w:rPr/>
        <w:t>los</w:t>
      </w:r>
      <w:r>
        <w:rPr>
          <w:spacing w:val="-13"/>
        </w:rPr>
        <w:t> </w:t>
      </w:r>
      <w:r>
        <w:rPr/>
        <w:t>problemas</w:t>
      </w:r>
      <w:r>
        <w:rPr>
          <w:spacing w:val="-13"/>
        </w:rPr>
        <w:t> </w:t>
      </w:r>
      <w:r>
        <w:rPr/>
        <w:t>de</w:t>
      </w:r>
      <w:r>
        <w:rPr>
          <w:spacing w:val="-13"/>
        </w:rPr>
        <w:t> </w:t>
      </w:r>
      <w:r>
        <w:rPr/>
        <w:t>salud</w:t>
      </w:r>
      <w:r>
        <w:rPr>
          <w:spacing w:val="-13"/>
        </w:rPr>
        <w:t> </w:t>
      </w:r>
      <w:r>
        <w:rPr/>
        <w:t>derivados</w:t>
      </w:r>
      <w:r>
        <w:rPr>
          <w:spacing w:val="-13"/>
        </w:rPr>
        <w:t> </w:t>
      </w:r>
      <w:r>
        <w:rPr/>
        <w:t>de</w:t>
      </w:r>
      <w:r>
        <w:rPr>
          <w:spacing w:val="-13"/>
        </w:rPr>
        <w:t> </w:t>
      </w:r>
      <w:r>
        <w:rPr/>
        <w:t>los procesos de transición demográfica, transición epidemiológica y transición nutricional: crecimiento demográfico y grupos de población vulnerables: adultos mayores, jóvenes y niños; problemas de salud pública derivados del estress y los estilos de vida, que inciden</w:t>
      </w:r>
      <w:r>
        <w:rPr>
          <w:spacing w:val="-7"/>
        </w:rPr>
        <w:t> </w:t>
      </w:r>
      <w:r>
        <w:rPr/>
        <w:t>en</w:t>
      </w:r>
      <w:r>
        <w:rPr>
          <w:spacing w:val="-7"/>
        </w:rPr>
        <w:t> </w:t>
      </w:r>
      <w:r>
        <w:rPr/>
        <w:t>la</w:t>
      </w:r>
      <w:r>
        <w:rPr>
          <w:spacing w:val="-7"/>
        </w:rPr>
        <w:t> </w:t>
      </w:r>
      <w:r>
        <w:rPr/>
        <w:t>obesidad</w:t>
      </w:r>
      <w:r>
        <w:rPr>
          <w:spacing w:val="-7"/>
        </w:rPr>
        <w:t> </w:t>
      </w:r>
      <w:r>
        <w:rPr/>
        <w:t>y</w:t>
      </w:r>
      <w:r>
        <w:rPr>
          <w:spacing w:val="-7"/>
        </w:rPr>
        <w:t> </w:t>
      </w:r>
      <w:r>
        <w:rPr/>
        <w:t>enfermedades</w:t>
      </w:r>
      <w:r>
        <w:rPr>
          <w:spacing w:val="-7"/>
        </w:rPr>
        <w:t> </w:t>
      </w:r>
      <w:r>
        <w:rPr/>
        <w:t>crónicas</w:t>
      </w:r>
      <w:r>
        <w:rPr>
          <w:spacing w:val="-7"/>
        </w:rPr>
        <w:t> </w:t>
      </w:r>
      <w:r>
        <w:rPr/>
        <w:t>como</w:t>
      </w:r>
      <w:r>
        <w:rPr>
          <w:spacing w:val="-7"/>
        </w:rPr>
        <w:t> </w:t>
      </w:r>
      <w:r>
        <w:rPr/>
        <w:t>la</w:t>
      </w:r>
      <w:r>
        <w:rPr>
          <w:spacing w:val="-7"/>
        </w:rPr>
        <w:t> </w:t>
      </w:r>
      <w:r>
        <w:rPr/>
        <w:t>diabetes</w:t>
      </w:r>
      <w:r>
        <w:rPr>
          <w:spacing w:val="-7"/>
        </w:rPr>
        <w:t> </w:t>
      </w:r>
      <w:r>
        <w:rPr/>
        <w:t>mellitus,</w:t>
      </w:r>
      <w:r>
        <w:rPr>
          <w:spacing w:val="-7"/>
        </w:rPr>
        <w:t> </w:t>
      </w:r>
      <w:r>
        <w:rPr/>
        <w:t>actualmente la primera causa de mortalidad en</w:t>
      </w:r>
      <w:r>
        <w:rPr>
          <w:spacing w:val="39"/>
        </w:rPr>
        <w:t> </w:t>
      </w:r>
      <w:r>
        <w:rPr/>
        <w:t>México.</w:t>
      </w:r>
    </w:p>
    <w:p>
      <w:pPr>
        <w:pStyle w:val="BodyText"/>
        <w:spacing w:before="11"/>
      </w:pPr>
    </w:p>
    <w:p>
      <w:pPr>
        <w:pStyle w:val="BodyText"/>
        <w:spacing w:line="249" w:lineRule="auto"/>
        <w:ind w:left="130" w:right="123" w:firstLine="170"/>
        <w:jc w:val="both"/>
      </w:pPr>
      <w:r>
        <w:rPr/>
        <w:t>La salud es un tema multidisciplinario a partir de la conceptualización de la Organización Mundial de la Salud (OMS), al definirla como el “completo estado de bienestar</w:t>
      </w:r>
      <w:r>
        <w:rPr>
          <w:spacing w:val="-14"/>
        </w:rPr>
        <w:t> </w:t>
      </w:r>
      <w:r>
        <w:rPr/>
        <w:t>físico,</w:t>
      </w:r>
      <w:r>
        <w:rPr>
          <w:spacing w:val="-14"/>
        </w:rPr>
        <w:t> </w:t>
      </w:r>
      <w:r>
        <w:rPr/>
        <w:t>psíquico,</w:t>
      </w:r>
      <w:r>
        <w:rPr>
          <w:spacing w:val="-14"/>
        </w:rPr>
        <w:t> </w:t>
      </w:r>
      <w:r>
        <w:rPr/>
        <w:t>social</w:t>
      </w:r>
      <w:r>
        <w:rPr>
          <w:spacing w:val="-14"/>
        </w:rPr>
        <w:t> </w:t>
      </w:r>
      <w:r>
        <w:rPr/>
        <w:t>y</w:t>
      </w:r>
      <w:r>
        <w:rPr>
          <w:spacing w:val="28"/>
        </w:rPr>
        <w:t> </w:t>
      </w:r>
      <w:r>
        <w:rPr/>
        <w:t>no</w:t>
      </w:r>
      <w:r>
        <w:rPr>
          <w:spacing w:val="-14"/>
        </w:rPr>
        <w:t> </w:t>
      </w:r>
      <w:r>
        <w:rPr/>
        <w:t>meramente</w:t>
      </w:r>
      <w:r>
        <w:rPr>
          <w:spacing w:val="-14"/>
        </w:rPr>
        <w:t> </w:t>
      </w:r>
      <w:r>
        <w:rPr/>
        <w:t>la</w:t>
      </w:r>
      <w:r>
        <w:rPr>
          <w:spacing w:val="-14"/>
        </w:rPr>
        <w:t> </w:t>
      </w:r>
      <w:r>
        <w:rPr/>
        <w:t>ausencia</w:t>
      </w:r>
      <w:r>
        <w:rPr>
          <w:spacing w:val="-14"/>
        </w:rPr>
        <w:t> </w:t>
      </w:r>
      <w:r>
        <w:rPr/>
        <w:t>de</w:t>
      </w:r>
      <w:r>
        <w:rPr>
          <w:spacing w:val="-14"/>
        </w:rPr>
        <w:t> </w:t>
      </w:r>
      <w:r>
        <w:rPr/>
        <w:t>la</w:t>
      </w:r>
      <w:r>
        <w:rPr>
          <w:spacing w:val="-14"/>
        </w:rPr>
        <w:t> </w:t>
      </w:r>
      <w:r>
        <w:rPr/>
        <w:t>enfermedad”,</w:t>
      </w:r>
      <w:r>
        <w:rPr>
          <w:spacing w:val="-14"/>
        </w:rPr>
        <w:t> </w:t>
      </w:r>
      <w:r>
        <w:rPr/>
        <w:t>(OMS), y recientemente se ha incorporado la dimensión medioambiental, por lo que la escala de análisis geográfica se amplía de lo local, regional a los global; a nivel individual, de barrio, hasta la escala mundial, brindando una amplia gama de aplicaciones en donde los estudios multiescalares y multinivel presentan diversas ventanas o acercamientos  a la realidad en este caso de la mortalidad por diabetes mellitus como uno de los indicadores de la salud</w:t>
      </w:r>
      <w:r>
        <w:rPr>
          <w:spacing w:val="17"/>
        </w:rPr>
        <w:t> </w:t>
      </w:r>
      <w:r>
        <w:rPr/>
        <w:t>humana.</w:t>
      </w:r>
    </w:p>
    <w:p>
      <w:pPr>
        <w:pStyle w:val="BodyText"/>
        <w:spacing w:before="11"/>
      </w:pPr>
    </w:p>
    <w:p>
      <w:pPr>
        <w:pStyle w:val="BodyText"/>
        <w:spacing w:line="249" w:lineRule="auto"/>
        <w:ind w:left="130" w:right="124" w:firstLine="170"/>
        <w:jc w:val="both"/>
      </w:pPr>
      <w:r>
        <w:rPr/>
        <w:t>La Organización Mundial de la Salud define a la Diabetes mellitus como el aumento crónico de la concentración de glucosa en la</w:t>
      </w:r>
      <w:r>
        <w:rPr>
          <w:spacing w:val="52"/>
        </w:rPr>
        <w:t> </w:t>
      </w:r>
      <w:r>
        <w:rPr/>
        <w:t>sangre.</w:t>
      </w:r>
    </w:p>
    <w:p>
      <w:pPr>
        <w:pStyle w:val="BodyText"/>
        <w:spacing w:before="11"/>
      </w:pPr>
    </w:p>
    <w:p>
      <w:pPr>
        <w:pStyle w:val="BodyText"/>
        <w:spacing w:line="249" w:lineRule="auto"/>
        <w:ind w:left="130" w:right="124" w:firstLine="170"/>
        <w:jc w:val="both"/>
      </w:pPr>
      <w:r>
        <w:rPr/>
        <w:t>Se acredita que, dotando a las poblaciones de capacidad de respuesta a situaciones adversas (riesgos sociales o ambientales), esto permitirá la mejoría de calidad de vida y posibilitaría otras formas de inserción social (Hogan y Marandola, citado por Vieira S. y Lustosa M. 2009. PP 170).</w:t>
      </w:r>
    </w:p>
    <w:p>
      <w:pPr>
        <w:pStyle w:val="BodyText"/>
        <w:spacing w:before="11"/>
      </w:pPr>
    </w:p>
    <w:p>
      <w:pPr>
        <w:pStyle w:val="BodyText"/>
        <w:spacing w:line="249" w:lineRule="auto"/>
        <w:ind w:left="130" w:right="123" w:firstLine="170"/>
        <w:jc w:val="both"/>
      </w:pPr>
      <w:r>
        <w:rPr/>
        <w:t>Desde el punto de vista de los enfoques teórico – metodológicos, Santarelli S. y Campos M. (2002), señalan cuatro enfoques para abordar los estudios geográficos:    el</w:t>
      </w:r>
      <w:r>
        <w:rPr>
          <w:spacing w:val="20"/>
        </w:rPr>
        <w:t> </w:t>
      </w:r>
      <w:r>
        <w:rPr/>
        <w:t>neopositivista,</w:t>
      </w:r>
      <w:r>
        <w:rPr>
          <w:spacing w:val="20"/>
        </w:rPr>
        <w:t> </w:t>
      </w:r>
      <w:r>
        <w:rPr/>
        <w:t>el</w:t>
      </w:r>
      <w:r>
        <w:rPr>
          <w:spacing w:val="20"/>
        </w:rPr>
        <w:t> </w:t>
      </w:r>
      <w:r>
        <w:rPr/>
        <w:t>de</w:t>
      </w:r>
      <w:r>
        <w:rPr>
          <w:spacing w:val="20"/>
        </w:rPr>
        <w:t> </w:t>
      </w:r>
      <w:r>
        <w:rPr/>
        <w:t>la</w:t>
      </w:r>
      <w:r>
        <w:rPr>
          <w:spacing w:val="20"/>
        </w:rPr>
        <w:t> </w:t>
      </w:r>
      <w:r>
        <w:rPr/>
        <w:t>percepción,</w:t>
      </w:r>
      <w:r>
        <w:rPr>
          <w:spacing w:val="20"/>
        </w:rPr>
        <w:t> </w:t>
      </w:r>
      <w:r>
        <w:rPr/>
        <w:t>el</w:t>
      </w:r>
      <w:r>
        <w:rPr>
          <w:spacing w:val="20"/>
        </w:rPr>
        <w:t> </w:t>
      </w:r>
      <w:r>
        <w:rPr/>
        <w:t>radical</w:t>
      </w:r>
      <w:r>
        <w:rPr>
          <w:spacing w:val="20"/>
        </w:rPr>
        <w:t> </w:t>
      </w:r>
      <w:r>
        <w:rPr/>
        <w:t>y</w:t>
      </w:r>
      <w:r>
        <w:rPr>
          <w:spacing w:val="20"/>
        </w:rPr>
        <w:t> </w:t>
      </w:r>
      <w:r>
        <w:rPr/>
        <w:t>el</w:t>
      </w:r>
      <w:r>
        <w:rPr>
          <w:spacing w:val="20"/>
        </w:rPr>
        <w:t> </w:t>
      </w:r>
      <w:r>
        <w:rPr/>
        <w:t>humanista.</w:t>
      </w:r>
      <w:r>
        <w:rPr>
          <w:spacing w:val="20"/>
        </w:rPr>
        <w:t> </w:t>
      </w:r>
      <w:r>
        <w:rPr/>
        <w:t>Actualmente</w:t>
      </w:r>
      <w:r>
        <w:rPr>
          <w:spacing w:val="20"/>
        </w:rPr>
        <w:t> </w:t>
      </w:r>
      <w:r>
        <w:rPr/>
        <w:t>también</w:t>
      </w:r>
    </w:p>
    <w:p>
      <w:pPr>
        <w:spacing w:after="0" w:line="249" w:lineRule="auto"/>
        <w:jc w:val="both"/>
        <w:sectPr>
          <w:type w:val="continuous"/>
          <w:pgSz w:w="18830" w:h="12760" w:orient="landscape"/>
          <w:pgMar w:top="1420" w:bottom="280" w:left="720" w:right="720"/>
          <w:cols w:num="2" w:equalWidth="0">
            <w:col w:w="7842" w:space="1573"/>
            <w:col w:w="7975"/>
          </w:cols>
        </w:sectPr>
      </w:pPr>
    </w:p>
    <w:p>
      <w:pPr>
        <w:pStyle w:val="BodyText"/>
        <w:spacing w:before="6"/>
        <w:rPr>
          <w:sz w:val="23"/>
        </w:rPr>
      </w:pPr>
    </w:p>
    <w:p>
      <w:pPr>
        <w:spacing w:after="0"/>
        <w:rPr>
          <w:sz w:val="23"/>
        </w:rPr>
        <w:sectPr>
          <w:footerReference w:type="default" r:id="rId400"/>
          <w:pgSz w:w="18830" w:h="12760" w:orient="landscape"/>
          <w:pgMar w:footer="1036" w:header="522" w:top="820" w:bottom="1220" w:left="720" w:right="720"/>
        </w:sectPr>
      </w:pPr>
    </w:p>
    <w:p>
      <w:pPr>
        <w:pStyle w:val="BodyText"/>
        <w:spacing w:line="249" w:lineRule="auto" w:before="76"/>
        <w:ind w:left="130"/>
        <w:jc w:val="both"/>
      </w:pPr>
      <w:r>
        <w:rPr/>
        <w:t>se aborda el enfoque ecléctico. Haciendo la analogía de los enfoques de la geografía al estudio de la vulnerabilidad territorial en salud se presentan las principales características de estos enfoques.</w:t>
      </w:r>
    </w:p>
    <w:p>
      <w:pPr>
        <w:pStyle w:val="BodyText"/>
        <w:spacing w:before="11"/>
      </w:pPr>
    </w:p>
    <w:p>
      <w:pPr>
        <w:pStyle w:val="ListParagraph"/>
        <w:numPr>
          <w:ilvl w:val="1"/>
          <w:numId w:val="45"/>
        </w:numPr>
        <w:tabs>
          <w:tab w:pos="465" w:val="left" w:leader="none"/>
        </w:tabs>
        <w:spacing w:line="249" w:lineRule="auto" w:before="0" w:after="0"/>
        <w:ind w:left="130" w:right="0" w:firstLine="170"/>
        <w:jc w:val="both"/>
        <w:rPr>
          <w:sz w:val="20"/>
        </w:rPr>
      </w:pPr>
      <w:r>
        <w:rPr>
          <w:sz w:val="20"/>
        </w:rPr>
        <w:t>Enfoque cuantitativo o neopositivista</w:t>
      </w:r>
      <w:r>
        <w:rPr>
          <w:b/>
          <w:sz w:val="20"/>
        </w:rPr>
        <w:t>, </w:t>
      </w:r>
      <w:r>
        <w:rPr>
          <w:sz w:val="20"/>
        </w:rPr>
        <w:t>busca revelar las causas o factores etiológicos, establecer la asociación de índices. Tiene como meta final revelar leyes para hacer generalizaciones. El objetivo es la organización del espacio. Explicación y predicción, (Santarelli S. y Campos M.</w:t>
      </w:r>
      <w:r>
        <w:rPr>
          <w:spacing w:val="6"/>
          <w:sz w:val="20"/>
        </w:rPr>
        <w:t> </w:t>
      </w:r>
      <w:r>
        <w:rPr>
          <w:sz w:val="20"/>
        </w:rPr>
        <w:t>2002).</w:t>
      </w:r>
    </w:p>
    <w:p>
      <w:pPr>
        <w:pStyle w:val="BodyText"/>
        <w:spacing w:before="11"/>
      </w:pPr>
    </w:p>
    <w:p>
      <w:pPr>
        <w:pStyle w:val="BodyText"/>
        <w:spacing w:line="249" w:lineRule="auto"/>
        <w:ind w:left="130" w:right="1" w:firstLine="226"/>
        <w:jc w:val="both"/>
      </w:pPr>
      <w:r>
        <w:rPr/>
        <w:t>Este enfoque detecta patrones areales o modela la forma en la cual la incidencia de la vulnerabilidad territorial en salud varía espacial y temporalmente. Bajo este enfoque se pueden estudiar pequeñas áreas como los AGEB o extensas áreas como estados, regiones, etc.,</w:t>
      </w:r>
    </w:p>
    <w:p>
      <w:pPr>
        <w:pStyle w:val="BodyText"/>
        <w:spacing w:before="11"/>
      </w:pPr>
    </w:p>
    <w:p>
      <w:pPr>
        <w:pStyle w:val="ListParagraph"/>
        <w:numPr>
          <w:ilvl w:val="1"/>
          <w:numId w:val="45"/>
        </w:numPr>
        <w:tabs>
          <w:tab w:pos="573" w:val="left" w:leader="none"/>
        </w:tabs>
        <w:spacing w:line="249" w:lineRule="auto" w:before="0" w:after="0"/>
        <w:ind w:left="130" w:right="0" w:firstLine="170"/>
        <w:jc w:val="both"/>
        <w:rPr>
          <w:sz w:val="20"/>
        </w:rPr>
      </w:pPr>
      <w:r>
        <w:rPr>
          <w:sz w:val="20"/>
        </w:rPr>
        <w:t>Enfoque de la percepción tiene sus orígenes en los años sesenta. Analiza la percepción de situaciones problema en  el  entorno  cotidiano.  Conocer  actitudes  ante conflictos tísico geográficos y socio espaciales, ejemplo, indiferencia, protesta, participación en la búsqueda de soluciones, etc. Ejemplos de problemas: deterioro ambiental, deforestación, erosión, inundaciones, inseguridad, contaminación, etc. (Santarelli S. y Campos M.</w:t>
      </w:r>
      <w:r>
        <w:rPr>
          <w:spacing w:val="-38"/>
          <w:sz w:val="20"/>
        </w:rPr>
        <w:t> </w:t>
      </w:r>
      <w:r>
        <w:rPr>
          <w:sz w:val="20"/>
        </w:rPr>
        <w:t>(2002).</w:t>
      </w:r>
    </w:p>
    <w:p>
      <w:pPr>
        <w:pStyle w:val="BodyText"/>
        <w:spacing w:before="11"/>
      </w:pPr>
    </w:p>
    <w:p>
      <w:pPr>
        <w:pStyle w:val="BodyText"/>
        <w:spacing w:line="249" w:lineRule="auto"/>
        <w:ind w:left="130" w:firstLine="170"/>
        <w:jc w:val="both"/>
      </w:pPr>
      <w:r>
        <w:rPr/>
        <w:t>Se caracteriza por el énfasis en el significado de la vulnerabilidad para el individuo y la tarea de investigación es revelar o interpretar este entendimiento y significado que hace</w:t>
      </w:r>
      <w:r>
        <w:rPr>
          <w:spacing w:val="-5"/>
        </w:rPr>
        <w:t> </w:t>
      </w:r>
      <w:r>
        <w:rPr/>
        <w:t>esto</w:t>
      </w:r>
      <w:r>
        <w:rPr>
          <w:spacing w:val="-5"/>
        </w:rPr>
        <w:t> </w:t>
      </w:r>
      <w:r>
        <w:rPr/>
        <w:t>“racional”,</w:t>
      </w:r>
      <w:r>
        <w:rPr>
          <w:spacing w:val="-5"/>
        </w:rPr>
        <w:t> </w:t>
      </w:r>
      <w:r>
        <w:rPr/>
        <w:t>para</w:t>
      </w:r>
      <w:r>
        <w:rPr>
          <w:spacing w:val="-5"/>
        </w:rPr>
        <w:t> </w:t>
      </w:r>
      <w:r>
        <w:rPr/>
        <w:t>actuar</w:t>
      </w:r>
      <w:r>
        <w:rPr>
          <w:spacing w:val="-5"/>
        </w:rPr>
        <w:t> </w:t>
      </w:r>
      <w:r>
        <w:rPr/>
        <w:t>en</w:t>
      </w:r>
      <w:r>
        <w:rPr>
          <w:spacing w:val="-5"/>
        </w:rPr>
        <w:t> </w:t>
      </w:r>
      <w:r>
        <w:rPr/>
        <w:t>una</w:t>
      </w:r>
      <w:r>
        <w:rPr>
          <w:spacing w:val="-5"/>
        </w:rPr>
        <w:t> </w:t>
      </w:r>
      <w:r>
        <w:rPr/>
        <w:t>forma</w:t>
      </w:r>
      <w:r>
        <w:rPr>
          <w:spacing w:val="-5"/>
        </w:rPr>
        <w:t> </w:t>
      </w:r>
      <w:r>
        <w:rPr/>
        <w:t>particular;</w:t>
      </w:r>
      <w:r>
        <w:rPr>
          <w:spacing w:val="-5"/>
        </w:rPr>
        <w:t> </w:t>
      </w:r>
      <w:r>
        <w:rPr/>
        <w:t>para</w:t>
      </w:r>
      <w:r>
        <w:rPr>
          <w:spacing w:val="-5"/>
        </w:rPr>
        <w:t> </w:t>
      </w:r>
      <w:r>
        <w:rPr/>
        <w:t>conocer</w:t>
      </w:r>
      <w:r>
        <w:rPr>
          <w:spacing w:val="-5"/>
        </w:rPr>
        <w:t> </w:t>
      </w:r>
      <w:r>
        <w:rPr/>
        <w:t>las</w:t>
      </w:r>
      <w:r>
        <w:rPr>
          <w:spacing w:val="-5"/>
        </w:rPr>
        <w:t> </w:t>
      </w:r>
      <w:r>
        <w:rPr/>
        <w:t>cosas</w:t>
      </w:r>
      <w:r>
        <w:rPr>
          <w:spacing w:val="-5"/>
        </w:rPr>
        <w:t> </w:t>
      </w:r>
      <w:r>
        <w:rPr/>
        <w:t>desde el punto de vista de la población. Bajo este enfoque teórico se estudian pequeños números de personas, pequeñas comunidades o barrios, mediante conversaciones     y entrevistas. Los métodos usados son principalmente cualitativos, (Santarelli S. y Campos M.</w:t>
      </w:r>
      <w:r>
        <w:rPr>
          <w:spacing w:val="-11"/>
        </w:rPr>
        <w:t> </w:t>
      </w:r>
      <w:r>
        <w:rPr/>
        <w:t>(2002).</w:t>
      </w:r>
    </w:p>
    <w:p>
      <w:pPr>
        <w:pStyle w:val="BodyText"/>
        <w:spacing w:before="11"/>
      </w:pPr>
    </w:p>
    <w:p>
      <w:pPr>
        <w:pStyle w:val="ListParagraph"/>
        <w:numPr>
          <w:ilvl w:val="1"/>
          <w:numId w:val="45"/>
        </w:numPr>
        <w:tabs>
          <w:tab w:pos="509" w:val="left" w:leader="none"/>
        </w:tabs>
        <w:spacing w:line="249" w:lineRule="auto" w:before="0" w:after="0"/>
        <w:ind w:left="130" w:right="0" w:firstLine="170"/>
        <w:jc w:val="both"/>
        <w:rPr>
          <w:sz w:val="20"/>
        </w:rPr>
      </w:pPr>
      <w:r>
        <w:rPr>
          <w:sz w:val="20"/>
        </w:rPr>
        <w:t>Enfoque</w:t>
      </w:r>
      <w:r>
        <w:rPr>
          <w:spacing w:val="-7"/>
          <w:sz w:val="20"/>
        </w:rPr>
        <w:t> </w:t>
      </w:r>
      <w:r>
        <w:rPr>
          <w:sz w:val="20"/>
        </w:rPr>
        <w:t>Radical,</w:t>
      </w:r>
      <w:r>
        <w:rPr>
          <w:spacing w:val="-7"/>
          <w:sz w:val="20"/>
        </w:rPr>
        <w:t> </w:t>
      </w:r>
      <w:r>
        <w:rPr>
          <w:sz w:val="20"/>
        </w:rPr>
        <w:t>estructuralista</w:t>
      </w:r>
      <w:r>
        <w:rPr>
          <w:spacing w:val="-7"/>
          <w:sz w:val="20"/>
        </w:rPr>
        <w:t> </w:t>
      </w:r>
      <w:r>
        <w:rPr>
          <w:sz w:val="20"/>
        </w:rPr>
        <w:t>o</w:t>
      </w:r>
      <w:r>
        <w:rPr>
          <w:spacing w:val="-7"/>
          <w:sz w:val="20"/>
        </w:rPr>
        <w:t> </w:t>
      </w:r>
      <w:r>
        <w:rPr>
          <w:sz w:val="20"/>
        </w:rPr>
        <w:t>marxista.</w:t>
      </w:r>
      <w:r>
        <w:rPr>
          <w:spacing w:val="-7"/>
          <w:sz w:val="20"/>
        </w:rPr>
        <w:t> </w:t>
      </w:r>
      <w:r>
        <w:rPr>
          <w:sz w:val="20"/>
        </w:rPr>
        <w:t>Este</w:t>
      </w:r>
      <w:r>
        <w:rPr>
          <w:spacing w:val="-7"/>
          <w:sz w:val="20"/>
        </w:rPr>
        <w:t> </w:t>
      </w:r>
      <w:r>
        <w:rPr>
          <w:sz w:val="20"/>
        </w:rPr>
        <w:t>enfoque</w:t>
      </w:r>
      <w:r>
        <w:rPr>
          <w:spacing w:val="-7"/>
          <w:sz w:val="20"/>
        </w:rPr>
        <w:t> </w:t>
      </w:r>
      <w:r>
        <w:rPr>
          <w:sz w:val="20"/>
        </w:rPr>
        <w:t>teórico</w:t>
      </w:r>
      <w:r>
        <w:rPr>
          <w:spacing w:val="-7"/>
          <w:sz w:val="20"/>
        </w:rPr>
        <w:t> </w:t>
      </w:r>
      <w:r>
        <w:rPr>
          <w:sz w:val="20"/>
        </w:rPr>
        <w:t>deriva</w:t>
      </w:r>
      <w:r>
        <w:rPr>
          <w:spacing w:val="-7"/>
          <w:sz w:val="20"/>
        </w:rPr>
        <w:t> </w:t>
      </w:r>
      <w:r>
        <w:rPr>
          <w:sz w:val="20"/>
        </w:rPr>
        <w:t>de</w:t>
      </w:r>
      <w:r>
        <w:rPr>
          <w:spacing w:val="-7"/>
          <w:sz w:val="20"/>
        </w:rPr>
        <w:t> </w:t>
      </w:r>
      <w:r>
        <w:rPr>
          <w:sz w:val="20"/>
        </w:rPr>
        <w:t>la</w:t>
      </w:r>
      <w:r>
        <w:rPr>
          <w:spacing w:val="-7"/>
          <w:sz w:val="20"/>
        </w:rPr>
        <w:t> </w:t>
      </w:r>
      <w:r>
        <w:rPr>
          <w:sz w:val="20"/>
        </w:rPr>
        <w:t>teoría marxista de opresión, dominación y conflicto de clases, donde las inequidades son impuestas en la</w:t>
      </w:r>
      <w:r>
        <w:rPr>
          <w:spacing w:val="21"/>
          <w:sz w:val="20"/>
        </w:rPr>
        <w:t> </w:t>
      </w:r>
      <w:r>
        <w:rPr>
          <w:sz w:val="20"/>
        </w:rPr>
        <w:t>sociedad.</w:t>
      </w:r>
    </w:p>
    <w:p>
      <w:pPr>
        <w:pStyle w:val="BodyText"/>
        <w:spacing w:before="11"/>
      </w:pPr>
    </w:p>
    <w:p>
      <w:pPr>
        <w:pStyle w:val="BodyText"/>
        <w:spacing w:line="249" w:lineRule="auto"/>
        <w:ind w:left="130" w:firstLine="170"/>
        <w:jc w:val="both"/>
      </w:pPr>
      <w:r>
        <w:rPr/>
        <w:t>Los temas de investigación están relacionados con la lucha de clases, las desigualdades y la justicia social. El marco teórico involucra conceptos opuestos tales como: pobreza – riqueza, centro – periferia, desarrollo – subdesarrollo, entre otros, (Santarelli S. y Campos M. (2002).</w:t>
      </w:r>
    </w:p>
    <w:p>
      <w:pPr>
        <w:pStyle w:val="BodyText"/>
        <w:spacing w:before="11"/>
      </w:pPr>
    </w:p>
    <w:p>
      <w:pPr>
        <w:pStyle w:val="BodyText"/>
        <w:spacing w:line="249" w:lineRule="auto"/>
        <w:ind w:left="130" w:right="1" w:firstLine="170"/>
        <w:jc w:val="both"/>
      </w:pPr>
      <w:r>
        <w:rPr/>
        <w:t>Los</w:t>
      </w:r>
      <w:r>
        <w:rPr>
          <w:spacing w:val="-6"/>
        </w:rPr>
        <w:t> </w:t>
      </w:r>
      <w:r>
        <w:rPr/>
        <w:t>estudios</w:t>
      </w:r>
      <w:r>
        <w:rPr>
          <w:spacing w:val="-6"/>
        </w:rPr>
        <w:t> </w:t>
      </w:r>
      <w:r>
        <w:rPr/>
        <w:t>relacionados</w:t>
      </w:r>
      <w:r>
        <w:rPr>
          <w:spacing w:val="-6"/>
        </w:rPr>
        <w:t> </w:t>
      </w:r>
      <w:r>
        <w:rPr/>
        <w:t>suponen</w:t>
      </w:r>
      <w:r>
        <w:rPr>
          <w:spacing w:val="-6"/>
        </w:rPr>
        <w:t> </w:t>
      </w:r>
      <w:r>
        <w:rPr/>
        <w:t>que</w:t>
      </w:r>
      <w:r>
        <w:rPr>
          <w:spacing w:val="-6"/>
        </w:rPr>
        <w:t> </w:t>
      </w:r>
      <w:r>
        <w:rPr/>
        <w:t>el</w:t>
      </w:r>
      <w:r>
        <w:rPr>
          <w:spacing w:val="-6"/>
        </w:rPr>
        <w:t> </w:t>
      </w:r>
      <w:r>
        <w:rPr/>
        <w:t>conocimiento</w:t>
      </w:r>
      <w:r>
        <w:rPr>
          <w:spacing w:val="-6"/>
        </w:rPr>
        <w:t> </w:t>
      </w:r>
      <w:r>
        <w:rPr/>
        <w:t>de</w:t>
      </w:r>
      <w:r>
        <w:rPr>
          <w:spacing w:val="-6"/>
        </w:rPr>
        <w:t> </w:t>
      </w:r>
      <w:r>
        <w:rPr/>
        <w:t>la</w:t>
      </w:r>
      <w:r>
        <w:rPr>
          <w:spacing w:val="-6"/>
        </w:rPr>
        <w:t> </w:t>
      </w:r>
      <w:r>
        <w:rPr/>
        <w:t>vulnerabilidad</w:t>
      </w:r>
      <w:r>
        <w:rPr>
          <w:spacing w:val="-6"/>
        </w:rPr>
        <w:t> </w:t>
      </w:r>
      <w:r>
        <w:rPr/>
        <w:t>territorial en salud es impuesta por los sistemas políticos y </w:t>
      </w:r>
      <w:r>
        <w:rPr>
          <w:spacing w:val="13"/>
        </w:rPr>
        <w:t> </w:t>
      </w:r>
      <w:r>
        <w:rPr/>
        <w:t>económicos.</w:t>
      </w:r>
    </w:p>
    <w:p>
      <w:pPr>
        <w:pStyle w:val="ListParagraph"/>
        <w:numPr>
          <w:ilvl w:val="1"/>
          <w:numId w:val="45"/>
        </w:numPr>
        <w:tabs>
          <w:tab w:pos="555" w:val="left" w:leader="none"/>
        </w:tabs>
        <w:spacing w:line="249" w:lineRule="auto" w:before="76" w:after="0"/>
        <w:ind w:left="130" w:right="136" w:firstLine="170"/>
        <w:jc w:val="both"/>
        <w:rPr>
          <w:sz w:val="20"/>
        </w:rPr>
      </w:pPr>
      <w:r>
        <w:rPr>
          <w:w w:val="95"/>
          <w:sz w:val="20"/>
        </w:rPr>
        <w:br w:type="column"/>
      </w:r>
      <w:r>
        <w:rPr>
          <w:sz w:val="20"/>
        </w:rPr>
        <w:t>En la década del setenta se difunde el concepto de Geografía Humanista (Carl Sauer</w:t>
      </w:r>
      <w:r>
        <w:rPr>
          <w:spacing w:val="-5"/>
          <w:sz w:val="20"/>
        </w:rPr>
        <w:t> </w:t>
      </w:r>
      <w:r>
        <w:rPr>
          <w:sz w:val="20"/>
        </w:rPr>
        <w:t>en</w:t>
      </w:r>
      <w:r>
        <w:rPr>
          <w:spacing w:val="-5"/>
          <w:sz w:val="20"/>
        </w:rPr>
        <w:t> </w:t>
      </w:r>
      <w:r>
        <w:rPr>
          <w:sz w:val="20"/>
        </w:rPr>
        <w:t>los</w:t>
      </w:r>
      <w:r>
        <w:rPr>
          <w:spacing w:val="-5"/>
          <w:sz w:val="20"/>
        </w:rPr>
        <w:t> </w:t>
      </w:r>
      <w:r>
        <w:rPr>
          <w:sz w:val="20"/>
        </w:rPr>
        <w:t>años</w:t>
      </w:r>
      <w:r>
        <w:rPr>
          <w:spacing w:val="-5"/>
          <w:sz w:val="20"/>
        </w:rPr>
        <w:t> </w:t>
      </w:r>
      <w:r>
        <w:rPr>
          <w:sz w:val="20"/>
        </w:rPr>
        <w:t>20</w:t>
      </w:r>
      <w:r>
        <w:rPr>
          <w:spacing w:val="-5"/>
          <w:sz w:val="20"/>
        </w:rPr>
        <w:t> </w:t>
      </w:r>
      <w:r>
        <w:rPr>
          <w:sz w:val="20"/>
        </w:rPr>
        <w:t>ya</w:t>
      </w:r>
      <w:r>
        <w:rPr>
          <w:spacing w:val="-5"/>
          <w:sz w:val="20"/>
        </w:rPr>
        <w:t> </w:t>
      </w:r>
      <w:r>
        <w:rPr>
          <w:sz w:val="20"/>
        </w:rPr>
        <w:t>la</w:t>
      </w:r>
      <w:r>
        <w:rPr>
          <w:spacing w:val="-5"/>
          <w:sz w:val="20"/>
        </w:rPr>
        <w:t> </w:t>
      </w:r>
      <w:r>
        <w:rPr>
          <w:sz w:val="20"/>
        </w:rPr>
        <w:t>denomina</w:t>
      </w:r>
      <w:r>
        <w:rPr>
          <w:spacing w:val="-5"/>
          <w:sz w:val="20"/>
        </w:rPr>
        <w:t> </w:t>
      </w:r>
      <w:r>
        <w:rPr>
          <w:sz w:val="20"/>
        </w:rPr>
        <w:t>así)</w:t>
      </w:r>
      <w:r>
        <w:rPr>
          <w:spacing w:val="-5"/>
          <w:sz w:val="20"/>
        </w:rPr>
        <w:t> </w:t>
      </w:r>
      <w:r>
        <w:rPr>
          <w:sz w:val="20"/>
        </w:rPr>
        <w:t>o</w:t>
      </w:r>
      <w:r>
        <w:rPr>
          <w:spacing w:val="-5"/>
          <w:sz w:val="20"/>
        </w:rPr>
        <w:t> </w:t>
      </w:r>
      <w:r>
        <w:rPr>
          <w:sz w:val="20"/>
        </w:rPr>
        <w:t>Geografía</w:t>
      </w:r>
      <w:r>
        <w:rPr>
          <w:spacing w:val="-5"/>
          <w:sz w:val="20"/>
        </w:rPr>
        <w:t> </w:t>
      </w:r>
      <w:r>
        <w:rPr>
          <w:i/>
          <w:sz w:val="20"/>
        </w:rPr>
        <w:t>“…</w:t>
      </w:r>
      <w:r>
        <w:rPr>
          <w:i/>
          <w:spacing w:val="-5"/>
          <w:sz w:val="20"/>
        </w:rPr>
        <w:t> </w:t>
      </w:r>
      <w:r>
        <w:rPr>
          <w:i/>
          <w:sz w:val="20"/>
        </w:rPr>
        <w:t>del</w:t>
      </w:r>
      <w:r>
        <w:rPr>
          <w:i/>
          <w:spacing w:val="-5"/>
          <w:sz w:val="20"/>
        </w:rPr>
        <w:t> </w:t>
      </w:r>
      <w:r>
        <w:rPr>
          <w:i/>
          <w:sz w:val="20"/>
        </w:rPr>
        <w:t>mundo</w:t>
      </w:r>
      <w:r>
        <w:rPr>
          <w:i/>
          <w:spacing w:val="-5"/>
          <w:sz w:val="20"/>
        </w:rPr>
        <w:t> </w:t>
      </w:r>
      <w:r>
        <w:rPr>
          <w:i/>
          <w:sz w:val="20"/>
        </w:rPr>
        <w:t>vivido,…</w:t>
      </w:r>
      <w:r>
        <w:rPr>
          <w:i/>
          <w:spacing w:val="-5"/>
          <w:sz w:val="20"/>
        </w:rPr>
        <w:t> </w:t>
      </w:r>
      <w:r>
        <w:rPr>
          <w:i/>
          <w:sz w:val="20"/>
        </w:rPr>
        <w:t>centrada </w:t>
      </w:r>
      <w:r>
        <w:rPr>
          <w:i/>
          <w:sz w:val="20"/>
        </w:rPr>
        <w:t>en</w:t>
      </w:r>
      <w:r>
        <w:rPr>
          <w:i/>
          <w:spacing w:val="-15"/>
          <w:sz w:val="20"/>
        </w:rPr>
        <w:t> </w:t>
      </w:r>
      <w:r>
        <w:rPr>
          <w:i/>
          <w:sz w:val="20"/>
        </w:rPr>
        <w:t>los</w:t>
      </w:r>
      <w:r>
        <w:rPr>
          <w:i/>
          <w:spacing w:val="-15"/>
          <w:sz w:val="20"/>
        </w:rPr>
        <w:t> </w:t>
      </w:r>
      <w:r>
        <w:rPr>
          <w:i/>
          <w:sz w:val="20"/>
        </w:rPr>
        <w:t>valores…,</w:t>
      </w:r>
      <w:r>
        <w:rPr>
          <w:i/>
          <w:spacing w:val="-15"/>
          <w:sz w:val="20"/>
        </w:rPr>
        <w:t> </w:t>
      </w:r>
      <w:r>
        <w:rPr>
          <w:i/>
          <w:sz w:val="20"/>
        </w:rPr>
        <w:t>en</w:t>
      </w:r>
      <w:r>
        <w:rPr>
          <w:i/>
          <w:spacing w:val="-15"/>
          <w:sz w:val="20"/>
        </w:rPr>
        <w:t> </w:t>
      </w:r>
      <w:r>
        <w:rPr>
          <w:i/>
          <w:sz w:val="20"/>
        </w:rPr>
        <w:t>el</w:t>
      </w:r>
      <w:r>
        <w:rPr>
          <w:i/>
          <w:spacing w:val="-15"/>
          <w:sz w:val="20"/>
        </w:rPr>
        <w:t> </w:t>
      </w:r>
      <w:r>
        <w:rPr>
          <w:i/>
          <w:sz w:val="20"/>
        </w:rPr>
        <w:t>concepto</w:t>
      </w:r>
      <w:r>
        <w:rPr>
          <w:i/>
          <w:spacing w:val="-15"/>
          <w:sz w:val="20"/>
        </w:rPr>
        <w:t> </w:t>
      </w:r>
      <w:r>
        <w:rPr>
          <w:i/>
          <w:sz w:val="20"/>
        </w:rPr>
        <w:t>de</w:t>
      </w:r>
      <w:r>
        <w:rPr>
          <w:i/>
          <w:spacing w:val="-15"/>
          <w:sz w:val="20"/>
        </w:rPr>
        <w:t> </w:t>
      </w:r>
      <w:r>
        <w:rPr>
          <w:i/>
          <w:sz w:val="20"/>
        </w:rPr>
        <w:t>lugar</w:t>
      </w:r>
      <w:r>
        <w:rPr>
          <w:i/>
          <w:spacing w:val="-15"/>
          <w:sz w:val="20"/>
        </w:rPr>
        <w:t> </w:t>
      </w:r>
      <w:r>
        <w:rPr>
          <w:i/>
          <w:sz w:val="20"/>
        </w:rPr>
        <w:t>centro</w:t>
      </w:r>
      <w:r>
        <w:rPr>
          <w:i/>
          <w:spacing w:val="-15"/>
          <w:sz w:val="20"/>
        </w:rPr>
        <w:t> </w:t>
      </w:r>
      <w:r>
        <w:rPr>
          <w:i/>
          <w:sz w:val="20"/>
        </w:rPr>
        <w:t>de</w:t>
      </w:r>
      <w:r>
        <w:rPr>
          <w:i/>
          <w:spacing w:val="-15"/>
          <w:sz w:val="20"/>
        </w:rPr>
        <w:t> </w:t>
      </w:r>
      <w:r>
        <w:rPr>
          <w:i/>
          <w:sz w:val="20"/>
        </w:rPr>
        <w:t>significado,</w:t>
      </w:r>
      <w:r>
        <w:rPr>
          <w:i/>
          <w:spacing w:val="-15"/>
          <w:sz w:val="20"/>
        </w:rPr>
        <w:t> </w:t>
      </w:r>
      <w:r>
        <w:rPr>
          <w:i/>
          <w:sz w:val="20"/>
        </w:rPr>
        <w:t>de</w:t>
      </w:r>
      <w:r>
        <w:rPr>
          <w:i/>
          <w:spacing w:val="-15"/>
          <w:sz w:val="20"/>
        </w:rPr>
        <w:t> </w:t>
      </w:r>
      <w:r>
        <w:rPr>
          <w:i/>
          <w:sz w:val="20"/>
        </w:rPr>
        <w:t>identificación</w:t>
      </w:r>
      <w:r>
        <w:rPr>
          <w:i/>
          <w:spacing w:val="-15"/>
          <w:sz w:val="20"/>
        </w:rPr>
        <w:t> </w:t>
      </w:r>
      <w:r>
        <w:rPr>
          <w:i/>
          <w:sz w:val="20"/>
        </w:rPr>
        <w:t>personal y foco de vinculación emocional… y por extensión en los conceptos de localización y deslocalización, como funciones, respectivamente, del arraigo y desarraigo humanos” </w:t>
      </w:r>
      <w:r>
        <w:rPr>
          <w:sz w:val="20"/>
        </w:rPr>
        <w:t>(García Ballesteros A., 1986: 35 y 70 citada por , Santarelli S. y Campos M.</w:t>
      </w:r>
      <w:r>
        <w:rPr>
          <w:spacing w:val="-14"/>
          <w:sz w:val="20"/>
        </w:rPr>
        <w:t> </w:t>
      </w:r>
      <w:r>
        <w:rPr>
          <w:sz w:val="20"/>
        </w:rPr>
        <w:t>2002).</w:t>
      </w:r>
    </w:p>
    <w:p>
      <w:pPr>
        <w:pStyle w:val="BodyText"/>
        <w:spacing w:before="11"/>
      </w:pPr>
    </w:p>
    <w:p>
      <w:pPr>
        <w:pStyle w:val="BodyText"/>
        <w:spacing w:line="249" w:lineRule="auto"/>
        <w:ind w:left="130" w:right="136" w:firstLine="170"/>
        <w:jc w:val="both"/>
      </w:pPr>
      <w:r>
        <w:rPr/>
        <w:t>Se relaciona con las </w:t>
      </w:r>
      <w:r>
        <w:rPr>
          <w:b/>
        </w:rPr>
        <w:t>c</w:t>
      </w:r>
      <w:r>
        <w:rPr/>
        <w:t>ostumbres, los estilos de vida y culturas que definen un modo de vínculo entre individuo y lugar. Los métodos de análisis son  cualitativos.</w:t>
      </w:r>
    </w:p>
    <w:p>
      <w:pPr>
        <w:pStyle w:val="BodyText"/>
        <w:spacing w:before="11"/>
      </w:pPr>
    </w:p>
    <w:p>
      <w:pPr>
        <w:pStyle w:val="BodyText"/>
        <w:spacing w:line="249" w:lineRule="auto"/>
        <w:ind w:left="130" w:right="136" w:firstLine="170"/>
        <w:jc w:val="both"/>
      </w:pPr>
      <w:r>
        <w:rPr/>
        <w:t>El geógrafo sueco Hägerstrand, a mediados de 1960, considera un diagrama de la geografía</w:t>
      </w:r>
      <w:r>
        <w:rPr>
          <w:spacing w:val="-7"/>
        </w:rPr>
        <w:t> </w:t>
      </w:r>
      <w:r>
        <w:rPr/>
        <w:t>del</w:t>
      </w:r>
      <w:r>
        <w:rPr>
          <w:spacing w:val="-7"/>
        </w:rPr>
        <w:t> </w:t>
      </w:r>
      <w:r>
        <w:rPr/>
        <w:t>tiempo,</w:t>
      </w:r>
      <w:r>
        <w:rPr>
          <w:spacing w:val="-7"/>
        </w:rPr>
        <w:t> </w:t>
      </w:r>
      <w:r>
        <w:rPr/>
        <w:t>en</w:t>
      </w:r>
      <w:r>
        <w:rPr>
          <w:spacing w:val="-7"/>
        </w:rPr>
        <w:t> </w:t>
      </w:r>
      <w:r>
        <w:rPr/>
        <w:t>el</w:t>
      </w:r>
      <w:r>
        <w:rPr>
          <w:spacing w:val="-7"/>
        </w:rPr>
        <w:t> </w:t>
      </w:r>
      <w:r>
        <w:rPr/>
        <w:t>cual</w:t>
      </w:r>
      <w:r>
        <w:rPr>
          <w:spacing w:val="-7"/>
        </w:rPr>
        <w:t> </w:t>
      </w:r>
      <w:r>
        <w:rPr/>
        <w:t>los</w:t>
      </w:r>
      <w:r>
        <w:rPr>
          <w:spacing w:val="-7"/>
        </w:rPr>
        <w:t> </w:t>
      </w:r>
      <w:r>
        <w:rPr/>
        <w:t>miembros</w:t>
      </w:r>
      <w:r>
        <w:rPr>
          <w:spacing w:val="-7"/>
        </w:rPr>
        <w:t> </w:t>
      </w:r>
      <w:r>
        <w:rPr/>
        <w:t>de</w:t>
      </w:r>
      <w:r>
        <w:rPr>
          <w:spacing w:val="-7"/>
        </w:rPr>
        <w:t> </w:t>
      </w:r>
      <w:r>
        <w:rPr/>
        <w:t>una</w:t>
      </w:r>
      <w:r>
        <w:rPr>
          <w:spacing w:val="-7"/>
        </w:rPr>
        <w:t> </w:t>
      </w:r>
      <w:r>
        <w:rPr/>
        <w:t>familia</w:t>
      </w:r>
      <w:r>
        <w:rPr>
          <w:spacing w:val="-7"/>
        </w:rPr>
        <w:t> </w:t>
      </w:r>
      <w:r>
        <w:rPr/>
        <w:t>distribuyen</w:t>
      </w:r>
      <w:r>
        <w:rPr>
          <w:spacing w:val="-7"/>
        </w:rPr>
        <w:t> </w:t>
      </w:r>
      <w:r>
        <w:rPr/>
        <w:t>sus</w:t>
      </w:r>
      <w:r>
        <w:rPr>
          <w:spacing w:val="-7"/>
        </w:rPr>
        <w:t> </w:t>
      </w:r>
      <w:r>
        <w:rPr/>
        <w:t>actividades diarias (Gatrell A.</w:t>
      </w:r>
      <w:r>
        <w:rPr>
          <w:spacing w:val="-38"/>
        </w:rPr>
        <w:t> </w:t>
      </w:r>
      <w:r>
        <w:rPr/>
        <w:t>2002).</w:t>
      </w:r>
    </w:p>
    <w:p>
      <w:pPr>
        <w:pStyle w:val="BodyText"/>
        <w:spacing w:before="11"/>
      </w:pPr>
    </w:p>
    <w:p>
      <w:pPr>
        <w:pStyle w:val="BodyText"/>
        <w:ind w:left="300"/>
      </w:pPr>
      <w:r>
        <w:rPr/>
        <w:t>Para fines de este trabajo se considera el enfoque cuantitativo.</w:t>
      </w:r>
    </w:p>
    <w:p>
      <w:pPr>
        <w:pStyle w:val="BodyText"/>
        <w:spacing w:before="8"/>
        <w:rPr>
          <w:sz w:val="21"/>
        </w:rPr>
      </w:pPr>
    </w:p>
    <w:p>
      <w:pPr>
        <w:pStyle w:val="BodyText"/>
        <w:spacing w:line="249" w:lineRule="auto"/>
        <w:ind w:left="130" w:right="136" w:firstLine="170"/>
        <w:jc w:val="both"/>
      </w:pPr>
      <w:r>
        <w:rPr/>
        <w:t>La identificación y espacialización de la vulnerabilidad territorial, socio-ambiental, objetivo de la RETESyG, podrá constituir importantes aportaciones para la ordenación, planeación territorial y gestión que incidan en la propuesta de políticas públicas para reducir la vulnerabilidad y aumentar la resiliencia de la población.</w:t>
      </w:r>
    </w:p>
    <w:p>
      <w:pPr>
        <w:pStyle w:val="BodyText"/>
      </w:pPr>
    </w:p>
    <w:p>
      <w:pPr>
        <w:pStyle w:val="BodyText"/>
        <w:spacing w:before="6"/>
        <w:rPr>
          <w:sz w:val="18"/>
        </w:rPr>
      </w:pPr>
    </w:p>
    <w:p>
      <w:pPr>
        <w:pStyle w:val="Heading1"/>
      </w:pPr>
      <w:r>
        <w:rPr/>
        <w:t>Resultados.</w:t>
      </w:r>
    </w:p>
    <w:p>
      <w:pPr>
        <w:spacing w:before="204"/>
        <w:ind w:left="300" w:right="0" w:firstLine="0"/>
        <w:jc w:val="left"/>
        <w:rPr>
          <w:b/>
          <w:sz w:val="24"/>
        </w:rPr>
      </w:pPr>
      <w:r>
        <w:rPr>
          <w:b/>
          <w:sz w:val="24"/>
        </w:rPr>
        <w:t>Tasa de mortalidad específica por diabetes mellitus</w:t>
      </w:r>
    </w:p>
    <w:p>
      <w:pPr>
        <w:pStyle w:val="BodyText"/>
        <w:rPr>
          <w:b/>
          <w:sz w:val="24"/>
        </w:rPr>
      </w:pPr>
    </w:p>
    <w:p>
      <w:pPr>
        <w:pStyle w:val="BodyText"/>
        <w:spacing w:line="249" w:lineRule="auto" w:before="205"/>
        <w:ind w:left="130" w:right="136" w:firstLine="170"/>
        <w:jc w:val="both"/>
      </w:pPr>
      <w:r>
        <w:rPr/>
        <w:t>Las defunciones presentadas en México relacionadas con la Diabetes para el año de 1990 fueron 25,782 esto representa una tasa de 31.73 defunciones por cada 100000 habitantes. Para este año esta causa ocupó la quinta posición después de infecciones respiratorias agudas bajas; cirrosis y otras enfermedades crónicas del hígado; homicidios y lesiones infligidas intencionalmente por otra persona; y enfermedades infecciosas intestinales.</w:t>
      </w:r>
    </w:p>
    <w:p>
      <w:pPr>
        <w:pStyle w:val="BodyText"/>
        <w:spacing w:before="11"/>
      </w:pPr>
    </w:p>
    <w:p>
      <w:pPr>
        <w:pStyle w:val="BodyText"/>
        <w:spacing w:line="249" w:lineRule="auto"/>
        <w:ind w:left="130" w:right="136" w:firstLine="170"/>
        <w:jc w:val="both"/>
      </w:pPr>
      <w:r>
        <w:rPr/>
        <w:t>Para el año 2000 se registraron 46,525 defunciones esto significa una tasa de 57.26 defunciones por cada 100000 habitantes. La diabetes mellitus después de ocupar la quinta posición en 1990 para los años 2000 y 2005  ocupó el primer  lugar.</w:t>
      </w:r>
    </w:p>
    <w:p>
      <w:pPr>
        <w:pStyle w:val="BodyText"/>
        <w:spacing w:before="11"/>
      </w:pPr>
    </w:p>
    <w:p>
      <w:pPr>
        <w:pStyle w:val="BodyText"/>
        <w:spacing w:line="249" w:lineRule="auto"/>
        <w:ind w:left="130" w:right="138" w:firstLine="170"/>
        <w:jc w:val="both"/>
      </w:pPr>
      <w:r>
        <w:rPr/>
        <w:t>Finalmente para el año 2010 se registraron 82,896 fallecimientos, estas defunciones representan</w:t>
      </w:r>
      <w:r>
        <w:rPr>
          <w:spacing w:val="-19"/>
        </w:rPr>
        <w:t> </w:t>
      </w:r>
      <w:r>
        <w:rPr/>
        <w:t>una</w:t>
      </w:r>
      <w:r>
        <w:rPr>
          <w:spacing w:val="-19"/>
        </w:rPr>
        <w:t> </w:t>
      </w:r>
      <w:r>
        <w:rPr/>
        <w:t>tasa</w:t>
      </w:r>
      <w:r>
        <w:rPr>
          <w:spacing w:val="-19"/>
        </w:rPr>
        <w:t> </w:t>
      </w:r>
      <w:r>
        <w:rPr/>
        <w:t>de</w:t>
      </w:r>
      <w:r>
        <w:rPr>
          <w:spacing w:val="-19"/>
        </w:rPr>
        <w:t> </w:t>
      </w:r>
      <w:r>
        <w:rPr/>
        <w:t>mortalidad</w:t>
      </w:r>
      <w:r>
        <w:rPr>
          <w:spacing w:val="-19"/>
        </w:rPr>
        <w:t> </w:t>
      </w:r>
      <w:r>
        <w:rPr/>
        <w:t>de</w:t>
      </w:r>
      <w:r>
        <w:rPr>
          <w:spacing w:val="-19"/>
        </w:rPr>
        <w:t> </w:t>
      </w:r>
      <w:r>
        <w:rPr/>
        <w:t>73.79</w:t>
      </w:r>
      <w:r>
        <w:rPr>
          <w:spacing w:val="-19"/>
        </w:rPr>
        <w:t> </w:t>
      </w:r>
      <w:r>
        <w:rPr/>
        <w:t>defunciones</w:t>
      </w:r>
      <w:r>
        <w:rPr>
          <w:spacing w:val="-19"/>
        </w:rPr>
        <w:t> </w:t>
      </w:r>
      <w:r>
        <w:rPr/>
        <w:t>por</w:t>
      </w:r>
      <w:r>
        <w:rPr>
          <w:spacing w:val="-19"/>
        </w:rPr>
        <w:t> </w:t>
      </w:r>
      <w:r>
        <w:rPr/>
        <w:t>cada</w:t>
      </w:r>
      <w:r>
        <w:rPr>
          <w:spacing w:val="-19"/>
        </w:rPr>
        <w:t> </w:t>
      </w:r>
      <w:r>
        <w:rPr/>
        <w:t>100000</w:t>
      </w:r>
      <w:r>
        <w:rPr>
          <w:spacing w:val="-19"/>
        </w:rPr>
        <w:t> </w:t>
      </w:r>
      <w:r>
        <w:rPr/>
        <w:t>habitantes,</w:t>
      </w:r>
      <w:r>
        <w:rPr>
          <w:spacing w:val="-19"/>
        </w:rPr>
        <w:t> </w:t>
      </w:r>
      <w:r>
        <w:rPr/>
        <w:t>lo que</w:t>
      </w:r>
      <w:r>
        <w:rPr>
          <w:spacing w:val="-5"/>
        </w:rPr>
        <w:t> </w:t>
      </w:r>
      <w:r>
        <w:rPr/>
        <w:t>significa</w:t>
      </w:r>
      <w:r>
        <w:rPr>
          <w:spacing w:val="-5"/>
        </w:rPr>
        <w:t> </w:t>
      </w:r>
      <w:r>
        <w:rPr/>
        <w:t>el</w:t>
      </w:r>
      <w:r>
        <w:rPr>
          <w:spacing w:val="-5"/>
        </w:rPr>
        <w:t> </w:t>
      </w:r>
      <w:r>
        <w:rPr/>
        <w:t>constante</w:t>
      </w:r>
      <w:r>
        <w:rPr>
          <w:spacing w:val="-5"/>
        </w:rPr>
        <w:t> </w:t>
      </w:r>
      <w:r>
        <w:rPr/>
        <w:t>aumento</w:t>
      </w:r>
      <w:r>
        <w:rPr>
          <w:spacing w:val="-5"/>
        </w:rPr>
        <w:t> </w:t>
      </w:r>
      <w:r>
        <w:rPr/>
        <w:t>de</w:t>
      </w:r>
      <w:r>
        <w:rPr>
          <w:spacing w:val="-5"/>
        </w:rPr>
        <w:t> </w:t>
      </w:r>
      <w:r>
        <w:rPr/>
        <w:t>la</w:t>
      </w:r>
      <w:r>
        <w:rPr>
          <w:spacing w:val="-5"/>
        </w:rPr>
        <w:t> </w:t>
      </w:r>
      <w:r>
        <w:rPr/>
        <w:t>diabetes</w:t>
      </w:r>
      <w:r>
        <w:rPr>
          <w:spacing w:val="-5"/>
        </w:rPr>
        <w:t> </w:t>
      </w:r>
      <w:r>
        <w:rPr/>
        <w:t>mellitus</w:t>
      </w:r>
      <w:r>
        <w:rPr>
          <w:spacing w:val="-5"/>
        </w:rPr>
        <w:t> </w:t>
      </w:r>
      <w:r>
        <w:rPr/>
        <w:t>en</w:t>
      </w:r>
      <w:r>
        <w:rPr>
          <w:spacing w:val="-5"/>
        </w:rPr>
        <w:t> </w:t>
      </w:r>
      <w:r>
        <w:rPr/>
        <w:t>México,</w:t>
      </w:r>
      <w:r>
        <w:rPr>
          <w:spacing w:val="-5"/>
        </w:rPr>
        <w:t> </w:t>
      </w:r>
      <w:r>
        <w:rPr/>
        <w:t>a</w:t>
      </w:r>
      <w:r>
        <w:rPr>
          <w:spacing w:val="-5"/>
        </w:rPr>
        <w:t> </w:t>
      </w:r>
      <w:r>
        <w:rPr/>
        <w:t>más</w:t>
      </w:r>
      <w:r>
        <w:rPr>
          <w:spacing w:val="-5"/>
        </w:rPr>
        <w:t> </w:t>
      </w:r>
      <w:r>
        <w:rPr/>
        <w:t>de</w:t>
      </w:r>
      <w:r>
        <w:rPr>
          <w:spacing w:val="-5"/>
        </w:rPr>
        <w:t> </w:t>
      </w:r>
      <w:r>
        <w:rPr/>
        <w:t>lo</w:t>
      </w:r>
      <w:r>
        <w:rPr>
          <w:spacing w:val="-5"/>
        </w:rPr>
        <w:t> </w:t>
      </w:r>
      <w:r>
        <w:rPr/>
        <w:t>doble en</w:t>
      </w:r>
      <w:r>
        <w:rPr>
          <w:spacing w:val="-8"/>
        </w:rPr>
        <w:t> </w:t>
      </w:r>
      <w:r>
        <w:rPr/>
        <w:t>treinta</w:t>
      </w:r>
      <w:r>
        <w:rPr>
          <w:spacing w:val="-8"/>
        </w:rPr>
        <w:t> </w:t>
      </w:r>
      <w:r>
        <w:rPr/>
        <w:t>años.</w:t>
      </w:r>
      <w:r>
        <w:rPr>
          <w:spacing w:val="-8"/>
        </w:rPr>
        <w:t> </w:t>
      </w:r>
      <w:r>
        <w:rPr/>
        <w:t>Esta</w:t>
      </w:r>
      <w:r>
        <w:rPr>
          <w:spacing w:val="-8"/>
        </w:rPr>
        <w:t> </w:t>
      </w:r>
      <w:r>
        <w:rPr/>
        <w:t>causa</w:t>
      </w:r>
      <w:r>
        <w:rPr>
          <w:spacing w:val="-8"/>
        </w:rPr>
        <w:t> </w:t>
      </w:r>
      <w:r>
        <w:rPr/>
        <w:t>de</w:t>
      </w:r>
      <w:r>
        <w:rPr>
          <w:spacing w:val="-8"/>
        </w:rPr>
        <w:t> </w:t>
      </w:r>
      <w:r>
        <w:rPr/>
        <w:t>mortalidad</w:t>
      </w:r>
      <w:r>
        <w:rPr>
          <w:spacing w:val="-8"/>
        </w:rPr>
        <w:t> </w:t>
      </w:r>
      <w:r>
        <w:rPr/>
        <w:t>continúa</w:t>
      </w:r>
      <w:r>
        <w:rPr>
          <w:spacing w:val="-8"/>
        </w:rPr>
        <w:t> </w:t>
      </w:r>
      <w:r>
        <w:rPr/>
        <w:t>ocupando</w:t>
      </w:r>
      <w:r>
        <w:rPr>
          <w:spacing w:val="-8"/>
        </w:rPr>
        <w:t> </w:t>
      </w:r>
      <w:r>
        <w:rPr/>
        <w:t>el</w:t>
      </w:r>
      <w:r>
        <w:rPr>
          <w:spacing w:val="-8"/>
        </w:rPr>
        <w:t> </w:t>
      </w:r>
      <w:r>
        <w:rPr/>
        <w:t>primer</w:t>
      </w:r>
      <w:r>
        <w:rPr>
          <w:spacing w:val="-8"/>
        </w:rPr>
        <w:t> </w:t>
      </w:r>
      <w:r>
        <w:rPr/>
        <w:t>lugar</w:t>
      </w:r>
      <w:r>
        <w:rPr>
          <w:spacing w:val="-8"/>
        </w:rPr>
        <w:t> </w:t>
      </w:r>
      <w:r>
        <w:rPr/>
        <w:t>en</w:t>
      </w:r>
      <w:r>
        <w:rPr>
          <w:spacing w:val="-8"/>
        </w:rPr>
        <w:t> </w:t>
      </w:r>
      <w:r>
        <w:rPr/>
        <w:t>México.</w:t>
      </w:r>
    </w:p>
    <w:p>
      <w:pPr>
        <w:spacing w:after="0" w:line="249" w:lineRule="auto"/>
        <w:jc w:val="both"/>
        <w:sectPr>
          <w:type w:val="continuous"/>
          <w:pgSz w:w="18830" w:h="12760" w:orient="landscape"/>
          <w:pgMar w:top="1420" w:bottom="280" w:left="720" w:right="720"/>
          <w:cols w:num="2" w:equalWidth="0">
            <w:col w:w="7842" w:space="1560"/>
            <w:col w:w="7988"/>
          </w:cols>
        </w:sectPr>
      </w:pPr>
    </w:p>
    <w:p>
      <w:pPr>
        <w:pStyle w:val="BodyText"/>
      </w:pPr>
    </w:p>
    <w:p>
      <w:pPr>
        <w:pStyle w:val="BodyText"/>
        <w:spacing w:line="249" w:lineRule="auto" w:before="117"/>
        <w:ind w:left="130" w:firstLine="170"/>
        <w:jc w:val="both"/>
      </w:pPr>
      <w:r>
        <w:rPr/>
        <w:t>La diabetes mellitus tiene relación principalmente con factores socioeconómicos y culturales,</w:t>
      </w:r>
      <w:r>
        <w:rPr>
          <w:spacing w:val="-5"/>
        </w:rPr>
        <w:t> </w:t>
      </w:r>
      <w:r>
        <w:rPr/>
        <w:t>como</w:t>
      </w:r>
      <w:r>
        <w:rPr>
          <w:spacing w:val="-5"/>
        </w:rPr>
        <w:t> </w:t>
      </w:r>
      <w:r>
        <w:rPr/>
        <w:t>los</w:t>
      </w:r>
      <w:r>
        <w:rPr>
          <w:spacing w:val="-5"/>
        </w:rPr>
        <w:t> </w:t>
      </w:r>
      <w:r>
        <w:rPr/>
        <w:t>estilos</w:t>
      </w:r>
      <w:r>
        <w:rPr>
          <w:spacing w:val="-5"/>
        </w:rPr>
        <w:t> </w:t>
      </w:r>
      <w:r>
        <w:rPr/>
        <w:t>de</w:t>
      </w:r>
      <w:r>
        <w:rPr>
          <w:spacing w:val="-5"/>
        </w:rPr>
        <w:t> </w:t>
      </w:r>
      <w:r>
        <w:rPr/>
        <w:t>vida</w:t>
      </w:r>
      <w:r>
        <w:rPr>
          <w:spacing w:val="-5"/>
        </w:rPr>
        <w:t> </w:t>
      </w:r>
      <w:r>
        <w:rPr/>
        <w:t>caracterizados</w:t>
      </w:r>
      <w:r>
        <w:rPr>
          <w:spacing w:val="-5"/>
        </w:rPr>
        <w:t> </w:t>
      </w:r>
      <w:r>
        <w:rPr/>
        <w:t>por</w:t>
      </w:r>
      <w:r>
        <w:rPr>
          <w:spacing w:val="-5"/>
        </w:rPr>
        <w:t> </w:t>
      </w:r>
      <w:r>
        <w:rPr/>
        <w:t>el</w:t>
      </w:r>
      <w:r>
        <w:rPr>
          <w:spacing w:val="-5"/>
        </w:rPr>
        <w:t> </w:t>
      </w:r>
      <w:r>
        <w:rPr/>
        <w:t>estress,</w:t>
      </w:r>
      <w:r>
        <w:rPr>
          <w:spacing w:val="-5"/>
        </w:rPr>
        <w:t> </w:t>
      </w:r>
      <w:r>
        <w:rPr/>
        <w:t>el</w:t>
      </w:r>
      <w:r>
        <w:rPr>
          <w:spacing w:val="-5"/>
        </w:rPr>
        <w:t> </w:t>
      </w:r>
      <w:r>
        <w:rPr/>
        <w:t>sedentarismo</w:t>
      </w:r>
      <w:r>
        <w:rPr>
          <w:spacing w:val="-5"/>
        </w:rPr>
        <w:t> </w:t>
      </w:r>
      <w:r>
        <w:rPr/>
        <w:t>y</w:t>
      </w:r>
      <w:r>
        <w:rPr>
          <w:spacing w:val="-5"/>
        </w:rPr>
        <w:t> </w:t>
      </w:r>
      <w:r>
        <w:rPr/>
        <w:t>alto consumo de azucares y sal, refrescos y embutidos y fast food, entre otros </w:t>
      </w:r>
      <w:r>
        <w:rPr>
          <w:spacing w:val="45"/>
        </w:rPr>
        <w:t> </w:t>
      </w:r>
      <w:r>
        <w:rPr/>
        <w:t>aspectos.</w:t>
      </w:r>
    </w:p>
    <w:p>
      <w:pPr>
        <w:pStyle w:val="BodyText"/>
        <w:spacing w:before="6"/>
      </w:pPr>
    </w:p>
    <w:p>
      <w:pPr>
        <w:pStyle w:val="Heading1"/>
        <w:spacing w:line="240" w:lineRule="exact"/>
        <w:ind w:left="130"/>
        <w:jc w:val="center"/>
      </w:pPr>
      <w:r>
        <w:rPr/>
        <w:t>Tasas de mortalidad específica por diabetes mellitus por grupos de edad</w:t>
      </w:r>
    </w:p>
    <w:p>
      <w:pPr>
        <w:pStyle w:val="BodyText"/>
        <w:spacing w:before="2"/>
        <w:rPr>
          <w:b/>
          <w:sz w:val="21"/>
        </w:rPr>
      </w:pPr>
    </w:p>
    <w:p>
      <w:pPr>
        <w:pStyle w:val="BodyText"/>
        <w:spacing w:line="249" w:lineRule="auto" w:before="1"/>
        <w:ind w:left="130" w:firstLine="170"/>
        <w:jc w:val="both"/>
      </w:pPr>
      <w:r>
        <w:rPr/>
        <w:t>En México para el año 2010, se registraron 82,896 defunciones, de las cuales las tasas brutas de mortalidad por grupos de edad, se registraron bajas en 10 grupos de edad de cero hasta los 49 años, que engloban el 9% del total de defunciones; las</w:t>
      </w:r>
      <w:r>
        <w:rPr>
          <w:spacing w:val="-32"/>
        </w:rPr>
        <w:t> </w:t>
      </w:r>
      <w:r>
        <w:rPr/>
        <w:t>tasas de mortalidad media bajas se presentaron en los grupos de edad de 50 a 54 años y   de 55 a 60 años de edad, que indican el 16.85% del total de defunciones. Las tasas   de mortalidad media altas se registraron en el grupo de edad de 60 a 64 años que representan el 12.46% del total de defunciones. Las tasas altas se registraron en dos grupos de edad de 65 a 69 años y de 70 a 74 años, que representan el 27.69% del total</w:t>
      </w:r>
      <w:r>
        <w:rPr>
          <w:spacing w:val="-5"/>
        </w:rPr>
        <w:t> </w:t>
      </w:r>
      <w:r>
        <w:rPr/>
        <w:t>de</w:t>
      </w:r>
      <w:r>
        <w:rPr>
          <w:spacing w:val="-5"/>
        </w:rPr>
        <w:t> </w:t>
      </w:r>
      <w:r>
        <w:rPr/>
        <w:t>defunciones.</w:t>
      </w:r>
      <w:r>
        <w:rPr>
          <w:spacing w:val="-5"/>
        </w:rPr>
        <w:t> </w:t>
      </w:r>
      <w:r>
        <w:rPr/>
        <w:t>Por</w:t>
      </w:r>
      <w:r>
        <w:rPr>
          <w:spacing w:val="-5"/>
        </w:rPr>
        <w:t> </w:t>
      </w:r>
      <w:r>
        <w:rPr/>
        <w:t>último</w:t>
      </w:r>
      <w:r>
        <w:rPr>
          <w:spacing w:val="-5"/>
        </w:rPr>
        <w:t> </w:t>
      </w:r>
      <w:r>
        <w:rPr/>
        <w:t>las</w:t>
      </w:r>
      <w:r>
        <w:rPr>
          <w:spacing w:val="-5"/>
        </w:rPr>
        <w:t> </w:t>
      </w:r>
      <w:r>
        <w:rPr/>
        <w:t>tasas</w:t>
      </w:r>
      <w:r>
        <w:rPr>
          <w:spacing w:val="-5"/>
        </w:rPr>
        <w:t> </w:t>
      </w:r>
      <w:r>
        <w:rPr/>
        <w:t>de</w:t>
      </w:r>
      <w:r>
        <w:rPr>
          <w:spacing w:val="-5"/>
        </w:rPr>
        <w:t> </w:t>
      </w:r>
      <w:r>
        <w:rPr/>
        <w:t>mortalidad</w:t>
      </w:r>
      <w:r>
        <w:rPr>
          <w:spacing w:val="-5"/>
        </w:rPr>
        <w:t> </w:t>
      </w:r>
      <w:r>
        <w:rPr/>
        <w:t>muy</w:t>
      </w:r>
      <w:r>
        <w:rPr>
          <w:spacing w:val="-5"/>
        </w:rPr>
        <w:t> </w:t>
      </w:r>
      <w:r>
        <w:rPr/>
        <w:t>altas</w:t>
      </w:r>
      <w:r>
        <w:rPr>
          <w:spacing w:val="-5"/>
        </w:rPr>
        <w:t> </w:t>
      </w:r>
      <w:r>
        <w:rPr/>
        <w:t>se</w:t>
      </w:r>
      <w:r>
        <w:rPr>
          <w:spacing w:val="-5"/>
        </w:rPr>
        <w:t> </w:t>
      </w:r>
      <w:r>
        <w:rPr/>
        <w:t>registraron</w:t>
      </w:r>
      <w:r>
        <w:rPr>
          <w:spacing w:val="-5"/>
        </w:rPr>
        <w:t> </w:t>
      </w:r>
      <w:r>
        <w:rPr/>
        <w:t>en</w:t>
      </w:r>
      <w:r>
        <w:rPr>
          <w:spacing w:val="-5"/>
        </w:rPr>
        <w:t> </w:t>
      </w:r>
      <w:r>
        <w:rPr/>
        <w:t>tres grupos</w:t>
      </w:r>
      <w:r>
        <w:rPr>
          <w:spacing w:val="-3"/>
        </w:rPr>
        <w:t> </w:t>
      </w:r>
      <w:r>
        <w:rPr/>
        <w:t>de</w:t>
      </w:r>
      <w:r>
        <w:rPr>
          <w:spacing w:val="-3"/>
        </w:rPr>
        <w:t> </w:t>
      </w:r>
      <w:r>
        <w:rPr/>
        <w:t>edad:</w:t>
      </w:r>
      <w:r>
        <w:rPr>
          <w:spacing w:val="-3"/>
        </w:rPr>
        <w:t> </w:t>
      </w:r>
      <w:r>
        <w:rPr/>
        <w:t>de</w:t>
      </w:r>
      <w:r>
        <w:rPr>
          <w:spacing w:val="-3"/>
        </w:rPr>
        <w:t> </w:t>
      </w:r>
      <w:r>
        <w:rPr/>
        <w:t>75</w:t>
      </w:r>
      <w:r>
        <w:rPr>
          <w:spacing w:val="-3"/>
        </w:rPr>
        <w:t> </w:t>
      </w:r>
      <w:r>
        <w:rPr/>
        <w:t>a</w:t>
      </w:r>
      <w:r>
        <w:rPr>
          <w:spacing w:val="-3"/>
        </w:rPr>
        <w:t> </w:t>
      </w:r>
      <w:r>
        <w:rPr/>
        <w:t>79</w:t>
      </w:r>
      <w:r>
        <w:rPr>
          <w:spacing w:val="-3"/>
        </w:rPr>
        <w:t> </w:t>
      </w:r>
      <w:r>
        <w:rPr/>
        <w:t>años,</w:t>
      </w:r>
      <w:r>
        <w:rPr>
          <w:spacing w:val="-3"/>
        </w:rPr>
        <w:t> </w:t>
      </w:r>
      <w:r>
        <w:rPr/>
        <w:t>de</w:t>
      </w:r>
      <w:r>
        <w:rPr>
          <w:spacing w:val="-3"/>
        </w:rPr>
        <w:t> </w:t>
      </w:r>
      <w:r>
        <w:rPr/>
        <w:t>80</w:t>
      </w:r>
      <w:r>
        <w:rPr>
          <w:spacing w:val="-3"/>
        </w:rPr>
        <w:t> </w:t>
      </w:r>
      <w:r>
        <w:rPr/>
        <w:t>a</w:t>
      </w:r>
      <w:r>
        <w:rPr>
          <w:spacing w:val="-3"/>
        </w:rPr>
        <w:t> </w:t>
      </w:r>
      <w:r>
        <w:rPr/>
        <w:t>84</w:t>
      </w:r>
      <w:r>
        <w:rPr>
          <w:spacing w:val="-3"/>
        </w:rPr>
        <w:t> </w:t>
      </w:r>
      <w:r>
        <w:rPr/>
        <w:t>años</w:t>
      </w:r>
      <w:r>
        <w:rPr>
          <w:spacing w:val="-3"/>
        </w:rPr>
        <w:t> </w:t>
      </w:r>
      <w:r>
        <w:rPr/>
        <w:t>y</w:t>
      </w:r>
      <w:r>
        <w:rPr>
          <w:spacing w:val="-3"/>
        </w:rPr>
        <w:t> </w:t>
      </w:r>
      <w:r>
        <w:rPr/>
        <w:t>de</w:t>
      </w:r>
      <w:r>
        <w:rPr>
          <w:spacing w:val="-3"/>
        </w:rPr>
        <w:t> </w:t>
      </w:r>
      <w:r>
        <w:rPr/>
        <w:t>85</w:t>
      </w:r>
      <w:r>
        <w:rPr>
          <w:spacing w:val="-3"/>
        </w:rPr>
        <w:t> </w:t>
      </w:r>
      <w:r>
        <w:rPr/>
        <w:t>y</w:t>
      </w:r>
      <w:r>
        <w:rPr>
          <w:spacing w:val="-3"/>
        </w:rPr>
        <w:t> </w:t>
      </w:r>
      <w:r>
        <w:rPr/>
        <w:t>más</w:t>
      </w:r>
      <w:r>
        <w:rPr>
          <w:spacing w:val="-3"/>
        </w:rPr>
        <w:t> </w:t>
      </w:r>
      <w:r>
        <w:rPr/>
        <w:t>años,</w:t>
      </w:r>
      <w:r>
        <w:rPr>
          <w:spacing w:val="-3"/>
        </w:rPr>
        <w:t> </w:t>
      </w:r>
      <w:r>
        <w:rPr/>
        <w:t>que</w:t>
      </w:r>
      <w:r>
        <w:rPr>
          <w:spacing w:val="-3"/>
        </w:rPr>
        <w:t> </w:t>
      </w:r>
      <w:r>
        <w:rPr/>
        <w:t>concentran el 34% del total de defunciones, con tasas de 872, 1082 y 1232 por 100000</w:t>
      </w:r>
      <w:r>
        <w:rPr>
          <w:spacing w:val="29"/>
        </w:rPr>
        <w:t> </w:t>
      </w:r>
      <w:r>
        <w:rPr/>
        <w:t>habitantes</w:t>
      </w:r>
    </w:p>
    <w:p>
      <w:pPr>
        <w:pStyle w:val="BodyText"/>
        <w:spacing w:before="1"/>
        <w:ind w:left="130" w:right="-7"/>
      </w:pPr>
      <w:r>
        <w:rPr/>
        <w:t>respectivamente, (cuadro 3 y figura 2)</w:t>
      </w:r>
    </w:p>
    <w:p>
      <w:pPr>
        <w:pStyle w:val="BodyText"/>
        <w:spacing w:before="9"/>
        <w:rPr>
          <w:sz w:val="13"/>
        </w:rPr>
      </w:pPr>
      <w:r>
        <w:rPr/>
        <w:drawing>
          <wp:anchor distT="0" distB="0" distL="0" distR="0" allowOverlap="1" layoutInCell="1" locked="0" behindDoc="0" simplePos="0" relativeHeight="14272">
            <wp:simplePos x="0" y="0"/>
            <wp:positionH relativeFrom="page">
              <wp:posOffset>911249</wp:posOffset>
            </wp:positionH>
            <wp:positionV relativeFrom="paragraph">
              <wp:posOffset>125487</wp:posOffset>
            </wp:positionV>
            <wp:extent cx="4250245" cy="2890932"/>
            <wp:effectExtent l="0" t="0" r="0" b="0"/>
            <wp:wrapTopAndBottom/>
            <wp:docPr id="157" name="image115.jpeg" descr=""/>
            <wp:cNvGraphicFramePr>
              <a:graphicFrameLocks noChangeAspect="1"/>
            </wp:cNvGraphicFramePr>
            <a:graphic>
              <a:graphicData uri="http://schemas.openxmlformats.org/drawingml/2006/picture">
                <pic:pic>
                  <pic:nvPicPr>
                    <pic:cNvPr id="158" name="image115.jpeg"/>
                    <pic:cNvPicPr/>
                  </pic:nvPicPr>
                  <pic:blipFill>
                    <a:blip r:embed="rId402" cstate="print"/>
                    <a:stretch>
                      <a:fillRect/>
                    </a:stretch>
                  </pic:blipFill>
                  <pic:spPr>
                    <a:xfrm>
                      <a:off x="0" y="0"/>
                      <a:ext cx="4250245" cy="2890932"/>
                    </a:xfrm>
                    <a:prstGeom prst="rect">
                      <a:avLst/>
                    </a:prstGeom>
                  </pic:spPr>
                </pic:pic>
              </a:graphicData>
            </a:graphic>
          </wp:anchor>
        </w:drawing>
      </w:r>
    </w:p>
    <w:p>
      <w:pPr>
        <w:spacing w:line="312" w:lineRule="auto" w:before="68"/>
        <w:ind w:left="131" w:right="0" w:firstLine="0"/>
        <w:jc w:val="center"/>
        <w:rPr>
          <w:sz w:val="16"/>
        </w:rPr>
      </w:pPr>
      <w:r>
        <w:rPr>
          <w:color w:val="6D6E71"/>
          <w:sz w:val="16"/>
        </w:rPr>
        <w:t>Fuente: elaboración propia con base en: el Censo de Población y Vivienda 2010 del Instituto Nacional de</w:t>
      </w:r>
      <w:r>
        <w:rPr>
          <w:color w:val="6D6E71"/>
          <w:w w:val="101"/>
          <w:sz w:val="16"/>
        </w:rPr>
        <w:t> </w:t>
      </w:r>
      <w:r>
        <w:rPr>
          <w:color w:val="6D6E71"/>
          <w:sz w:val="16"/>
        </w:rPr>
        <w:t>Estadística y Geografía (INEGI) y Sistema Nacional de Información en Salud (SINAIS), Datos consultados Febrero, 2015.</w:t>
      </w:r>
    </w:p>
    <w:p>
      <w:pPr>
        <w:pStyle w:val="BodyText"/>
        <w:spacing w:before="8" w:after="39"/>
        <w:rPr>
          <w:sz w:val="29"/>
        </w:rPr>
      </w:pPr>
      <w:r>
        <w:rPr/>
        <w:br w:type="column"/>
      </w:r>
      <w:r>
        <w:rPr>
          <w:sz w:val="29"/>
        </w:rPr>
      </w:r>
    </w:p>
    <w:p>
      <w:pPr>
        <w:pStyle w:val="BodyText"/>
        <w:ind w:left="971"/>
      </w:pPr>
      <w:r>
        <w:rPr/>
        <w:drawing>
          <wp:inline distT="0" distB="0" distL="0" distR="0">
            <wp:extent cx="3795039" cy="2665761"/>
            <wp:effectExtent l="0" t="0" r="0" b="0"/>
            <wp:docPr id="159" name="image116.png" descr=""/>
            <wp:cNvGraphicFramePr>
              <a:graphicFrameLocks noChangeAspect="1"/>
            </wp:cNvGraphicFramePr>
            <a:graphic>
              <a:graphicData uri="http://schemas.openxmlformats.org/drawingml/2006/picture">
                <pic:pic>
                  <pic:nvPicPr>
                    <pic:cNvPr id="160" name="image116.png"/>
                    <pic:cNvPicPr/>
                  </pic:nvPicPr>
                  <pic:blipFill>
                    <a:blip r:embed="rId403" cstate="print"/>
                    <a:stretch>
                      <a:fillRect/>
                    </a:stretch>
                  </pic:blipFill>
                  <pic:spPr>
                    <a:xfrm>
                      <a:off x="0" y="0"/>
                      <a:ext cx="3795039" cy="2665761"/>
                    </a:xfrm>
                    <a:prstGeom prst="rect">
                      <a:avLst/>
                    </a:prstGeom>
                  </pic:spPr>
                </pic:pic>
              </a:graphicData>
            </a:graphic>
          </wp:inline>
        </w:drawing>
      </w:r>
      <w:r>
        <w:rPr/>
      </w:r>
    </w:p>
    <w:p>
      <w:pPr>
        <w:pStyle w:val="BodyText"/>
        <w:rPr>
          <w:sz w:val="16"/>
        </w:rPr>
      </w:pPr>
    </w:p>
    <w:p>
      <w:pPr>
        <w:pStyle w:val="BodyText"/>
        <w:rPr>
          <w:sz w:val="16"/>
        </w:rPr>
      </w:pPr>
    </w:p>
    <w:p>
      <w:pPr>
        <w:pStyle w:val="BodyText"/>
        <w:spacing w:before="6"/>
      </w:pPr>
    </w:p>
    <w:p>
      <w:pPr>
        <w:spacing w:line="312" w:lineRule="auto" w:before="0"/>
        <w:ind w:left="252" w:right="245" w:hanging="1"/>
        <w:jc w:val="center"/>
        <w:rPr>
          <w:sz w:val="16"/>
        </w:rPr>
      </w:pPr>
      <w:r>
        <w:rPr>
          <w:color w:val="6D6E71"/>
          <w:sz w:val="16"/>
        </w:rPr>
        <w:t>Fuente: elaboración propia con base en el Censo de Población y Vivienda 2010 del Instituto Nacional de Estadística</w:t>
      </w:r>
      <w:r>
        <w:rPr>
          <w:color w:val="6D6E71"/>
          <w:spacing w:val="-5"/>
          <w:sz w:val="16"/>
        </w:rPr>
        <w:t> </w:t>
      </w:r>
      <w:r>
        <w:rPr>
          <w:color w:val="6D6E71"/>
          <w:sz w:val="16"/>
        </w:rPr>
        <w:t>y</w:t>
      </w:r>
      <w:r>
        <w:rPr>
          <w:color w:val="6D6E71"/>
          <w:spacing w:val="-5"/>
          <w:sz w:val="16"/>
        </w:rPr>
        <w:t> </w:t>
      </w:r>
      <w:r>
        <w:rPr>
          <w:color w:val="6D6E71"/>
          <w:sz w:val="16"/>
        </w:rPr>
        <w:t>Geografía</w:t>
      </w:r>
      <w:r>
        <w:rPr>
          <w:color w:val="6D6E71"/>
          <w:spacing w:val="-5"/>
          <w:sz w:val="16"/>
        </w:rPr>
        <w:t> </w:t>
      </w:r>
      <w:r>
        <w:rPr>
          <w:color w:val="6D6E71"/>
          <w:sz w:val="16"/>
        </w:rPr>
        <w:t>(INEGI)</w:t>
      </w:r>
      <w:r>
        <w:rPr>
          <w:color w:val="6D6E71"/>
          <w:spacing w:val="-5"/>
          <w:sz w:val="16"/>
        </w:rPr>
        <w:t> </w:t>
      </w:r>
      <w:r>
        <w:rPr>
          <w:color w:val="6D6E71"/>
          <w:sz w:val="16"/>
        </w:rPr>
        <w:t>y</w:t>
      </w:r>
      <w:r>
        <w:rPr>
          <w:color w:val="6D6E71"/>
          <w:spacing w:val="-5"/>
          <w:sz w:val="16"/>
        </w:rPr>
        <w:t> </w:t>
      </w:r>
      <w:r>
        <w:rPr>
          <w:color w:val="6D6E71"/>
          <w:sz w:val="16"/>
        </w:rPr>
        <w:t>Sistema</w:t>
      </w:r>
      <w:r>
        <w:rPr>
          <w:color w:val="6D6E71"/>
          <w:spacing w:val="-5"/>
          <w:sz w:val="16"/>
        </w:rPr>
        <w:t> </w:t>
      </w:r>
      <w:r>
        <w:rPr>
          <w:color w:val="6D6E71"/>
          <w:sz w:val="16"/>
        </w:rPr>
        <w:t>Nacional</w:t>
      </w:r>
      <w:r>
        <w:rPr>
          <w:color w:val="6D6E71"/>
          <w:spacing w:val="-5"/>
          <w:sz w:val="16"/>
        </w:rPr>
        <w:t> </w:t>
      </w:r>
      <w:r>
        <w:rPr>
          <w:color w:val="6D6E71"/>
          <w:sz w:val="16"/>
        </w:rPr>
        <w:t>de</w:t>
      </w:r>
      <w:r>
        <w:rPr>
          <w:color w:val="6D6E71"/>
          <w:spacing w:val="-5"/>
          <w:sz w:val="16"/>
        </w:rPr>
        <w:t> </w:t>
      </w:r>
      <w:r>
        <w:rPr>
          <w:color w:val="6D6E71"/>
          <w:sz w:val="16"/>
        </w:rPr>
        <w:t>Información</w:t>
      </w:r>
      <w:r>
        <w:rPr>
          <w:color w:val="6D6E71"/>
          <w:spacing w:val="-5"/>
          <w:sz w:val="16"/>
        </w:rPr>
        <w:t> </w:t>
      </w:r>
      <w:r>
        <w:rPr>
          <w:color w:val="6D6E71"/>
          <w:sz w:val="16"/>
        </w:rPr>
        <w:t>en</w:t>
      </w:r>
      <w:r>
        <w:rPr>
          <w:color w:val="6D6E71"/>
          <w:spacing w:val="-5"/>
          <w:sz w:val="16"/>
        </w:rPr>
        <w:t> </w:t>
      </w:r>
      <w:r>
        <w:rPr>
          <w:color w:val="6D6E71"/>
          <w:sz w:val="16"/>
        </w:rPr>
        <w:t>Salud</w:t>
      </w:r>
      <w:r>
        <w:rPr>
          <w:color w:val="6D6E71"/>
          <w:spacing w:val="-5"/>
          <w:sz w:val="16"/>
        </w:rPr>
        <w:t> </w:t>
      </w:r>
      <w:r>
        <w:rPr>
          <w:color w:val="6D6E71"/>
          <w:sz w:val="16"/>
        </w:rPr>
        <w:t>(SINAIS),</w:t>
      </w:r>
      <w:r>
        <w:rPr>
          <w:color w:val="6D6E71"/>
          <w:spacing w:val="-5"/>
          <w:sz w:val="16"/>
        </w:rPr>
        <w:t> </w:t>
      </w:r>
      <w:r>
        <w:rPr>
          <w:color w:val="6D6E71"/>
          <w:sz w:val="16"/>
        </w:rPr>
        <w:t>Datos</w:t>
      </w:r>
      <w:r>
        <w:rPr>
          <w:color w:val="6D6E71"/>
          <w:spacing w:val="-5"/>
          <w:sz w:val="16"/>
        </w:rPr>
        <w:t> </w:t>
      </w:r>
      <w:r>
        <w:rPr>
          <w:color w:val="6D6E71"/>
          <w:sz w:val="16"/>
        </w:rPr>
        <w:t>consultados Febrero,</w:t>
      </w:r>
      <w:r>
        <w:rPr>
          <w:color w:val="6D6E71"/>
          <w:spacing w:val="-4"/>
          <w:sz w:val="16"/>
        </w:rPr>
        <w:t> </w:t>
      </w:r>
      <w:r>
        <w:rPr>
          <w:color w:val="6D6E71"/>
          <w:sz w:val="16"/>
        </w:rPr>
        <w:t>2015.</w:t>
      </w:r>
    </w:p>
    <w:p>
      <w:pPr>
        <w:pStyle w:val="BodyText"/>
        <w:spacing w:before="5"/>
        <w:rPr>
          <w:sz w:val="17"/>
        </w:rPr>
      </w:pPr>
    </w:p>
    <w:p>
      <w:pPr>
        <w:pStyle w:val="Heading1"/>
        <w:spacing w:line="240" w:lineRule="exact"/>
        <w:ind w:left="302" w:right="296"/>
        <w:jc w:val="center"/>
      </w:pPr>
      <w:r>
        <w:rPr/>
        <w:t>Tasa de mortalidad específica por Diabetes mellitus en México a escala regional.</w:t>
      </w:r>
    </w:p>
    <w:p>
      <w:pPr>
        <w:pStyle w:val="BodyText"/>
        <w:spacing w:before="2"/>
        <w:rPr>
          <w:b/>
          <w:sz w:val="21"/>
        </w:rPr>
      </w:pPr>
    </w:p>
    <w:p>
      <w:pPr>
        <w:pStyle w:val="BodyText"/>
        <w:spacing w:line="249" w:lineRule="auto" w:before="1"/>
        <w:ind w:left="130" w:right="123" w:firstLine="170"/>
        <w:jc w:val="both"/>
      </w:pPr>
      <w:r>
        <w:rPr/>
        <w:t>En México, según Bassols A. (2004), se cuentan con 8 regiones. La distribución de las tasas de mortalidad muy bajas para el año 2010 se registraron en tres regiones: Noroeste, Sur y Península de Yucatán con 58.43, 58.24 y 55.28 defunciones por    cada 100,000 habitantes respectivamente. Las tasas de mortalidad media bajas se presentaron</w:t>
      </w:r>
      <w:r>
        <w:rPr>
          <w:spacing w:val="-9"/>
        </w:rPr>
        <w:t> </w:t>
      </w:r>
      <w:r>
        <w:rPr/>
        <w:t>en</w:t>
      </w:r>
      <w:r>
        <w:rPr>
          <w:spacing w:val="-9"/>
        </w:rPr>
        <w:t> </w:t>
      </w:r>
      <w:r>
        <w:rPr/>
        <w:t>las</w:t>
      </w:r>
      <w:r>
        <w:rPr>
          <w:spacing w:val="-9"/>
        </w:rPr>
        <w:t> </w:t>
      </w:r>
      <w:r>
        <w:rPr/>
        <w:t>regiones</w:t>
      </w:r>
      <w:r>
        <w:rPr>
          <w:spacing w:val="-9"/>
        </w:rPr>
        <w:t> </w:t>
      </w:r>
      <w:r>
        <w:rPr/>
        <w:t>Noreste</w:t>
      </w:r>
      <w:r>
        <w:rPr>
          <w:spacing w:val="-9"/>
        </w:rPr>
        <w:t> </w:t>
      </w:r>
      <w:r>
        <w:rPr/>
        <w:t>y</w:t>
      </w:r>
      <w:r>
        <w:rPr>
          <w:spacing w:val="-9"/>
        </w:rPr>
        <w:t> </w:t>
      </w:r>
      <w:r>
        <w:rPr/>
        <w:t>Centro-Occidente</w:t>
      </w:r>
      <w:r>
        <w:rPr>
          <w:spacing w:val="-9"/>
        </w:rPr>
        <w:t> </w:t>
      </w:r>
      <w:r>
        <w:rPr/>
        <w:t>con</w:t>
      </w:r>
      <w:r>
        <w:rPr>
          <w:spacing w:val="-9"/>
        </w:rPr>
        <w:t> </w:t>
      </w:r>
      <w:r>
        <w:rPr/>
        <w:t>69.45</w:t>
      </w:r>
      <w:r>
        <w:rPr>
          <w:spacing w:val="-9"/>
        </w:rPr>
        <w:t> </w:t>
      </w:r>
      <w:r>
        <w:rPr/>
        <w:t>y</w:t>
      </w:r>
      <w:r>
        <w:rPr>
          <w:spacing w:val="-9"/>
        </w:rPr>
        <w:t> </w:t>
      </w:r>
      <w:r>
        <w:rPr/>
        <w:t>68.79</w:t>
      </w:r>
      <w:r>
        <w:rPr>
          <w:spacing w:val="-9"/>
        </w:rPr>
        <w:t> </w:t>
      </w:r>
      <w:r>
        <w:rPr/>
        <w:t>defunciones por cada 100,000 habitantes. Las tasas de mortalidad altas se registraron en la región Norte con 80.16 defunciones por cada 100,000 habitantes. Las tasas de mortalidad muy altas se distribuyen en las regiones Centro-Este y Oriente con 83.32 y 85.60 defunciones por cada 100,000 habitantes respectivamente (figura</w:t>
      </w:r>
      <w:r>
        <w:rPr>
          <w:spacing w:val="30"/>
        </w:rPr>
        <w:t> </w:t>
      </w:r>
      <w:r>
        <w:rPr/>
        <w:t>3).</w:t>
      </w:r>
    </w:p>
    <w:p>
      <w:pPr>
        <w:spacing w:after="0" w:line="249" w:lineRule="auto"/>
        <w:jc w:val="both"/>
        <w:sectPr>
          <w:footerReference w:type="default" r:id="rId401"/>
          <w:pgSz w:w="18830" w:h="12760" w:orient="landscape"/>
          <w:pgMar w:footer="1036" w:header="522" w:top="820" w:bottom="1220" w:left="720" w:right="720"/>
          <w:cols w:num="2" w:equalWidth="0">
            <w:col w:w="7842" w:space="1573"/>
            <w:col w:w="7975"/>
          </w:cols>
        </w:sectPr>
      </w:pPr>
    </w:p>
    <w:p>
      <w:pPr>
        <w:pStyle w:val="BodyText"/>
        <w:spacing w:before="5"/>
        <w:rPr>
          <w:sz w:val="26"/>
        </w:rPr>
      </w:pPr>
    </w:p>
    <w:p>
      <w:pPr>
        <w:spacing w:after="0"/>
        <w:rPr>
          <w:sz w:val="26"/>
        </w:rPr>
        <w:sectPr>
          <w:footerReference w:type="default" r:id="rId404"/>
          <w:pgSz w:w="18830" w:h="12760" w:orient="landscape"/>
          <w:pgMar w:footer="1036" w:header="522" w:top="820" w:bottom="1220" w:left="720" w:right="720"/>
        </w:sectPr>
      </w:pPr>
    </w:p>
    <w:p>
      <w:pPr>
        <w:spacing w:before="80"/>
        <w:ind w:left="445" w:right="-7" w:firstLine="0"/>
        <w:jc w:val="left"/>
        <w:rPr>
          <w:sz w:val="16"/>
        </w:rPr>
      </w:pPr>
      <w:r>
        <w:rPr>
          <w:color w:val="6D6E71"/>
          <w:sz w:val="16"/>
        </w:rPr>
        <w:t>Figura 3. México: Mortalidad específica por diabetes mellitus, por regiones socioeconómicas,   2010</w:t>
      </w:r>
    </w:p>
    <w:p>
      <w:pPr>
        <w:pStyle w:val="BodyText"/>
        <w:spacing w:before="4"/>
        <w:rPr>
          <w:sz w:val="17"/>
        </w:rPr>
      </w:pPr>
      <w:r>
        <w:rPr/>
        <w:drawing>
          <wp:anchor distT="0" distB="0" distL="0" distR="0" allowOverlap="1" layoutInCell="1" locked="0" behindDoc="0" simplePos="0" relativeHeight="14296">
            <wp:simplePos x="0" y="0"/>
            <wp:positionH relativeFrom="page">
              <wp:posOffset>548182</wp:posOffset>
            </wp:positionH>
            <wp:positionV relativeFrom="paragraph">
              <wp:posOffset>151994</wp:posOffset>
            </wp:positionV>
            <wp:extent cx="4883808" cy="3255264"/>
            <wp:effectExtent l="0" t="0" r="0" b="0"/>
            <wp:wrapTopAndBottom/>
            <wp:docPr id="161" name="image117.jpeg" descr=""/>
            <wp:cNvGraphicFramePr>
              <a:graphicFrameLocks noChangeAspect="1"/>
            </wp:cNvGraphicFramePr>
            <a:graphic>
              <a:graphicData uri="http://schemas.openxmlformats.org/drawingml/2006/picture">
                <pic:pic>
                  <pic:nvPicPr>
                    <pic:cNvPr id="162" name="image117.jpeg"/>
                    <pic:cNvPicPr/>
                  </pic:nvPicPr>
                  <pic:blipFill>
                    <a:blip r:embed="rId405" cstate="print"/>
                    <a:stretch>
                      <a:fillRect/>
                    </a:stretch>
                  </pic:blipFill>
                  <pic:spPr>
                    <a:xfrm>
                      <a:off x="0" y="0"/>
                      <a:ext cx="4883808" cy="3255264"/>
                    </a:xfrm>
                    <a:prstGeom prst="rect">
                      <a:avLst/>
                    </a:prstGeom>
                  </pic:spPr>
                </pic:pic>
              </a:graphicData>
            </a:graphic>
          </wp:anchor>
        </w:drawing>
      </w:r>
    </w:p>
    <w:p>
      <w:pPr>
        <w:pStyle w:val="BodyText"/>
        <w:spacing w:line="249" w:lineRule="auto" w:before="143"/>
        <w:ind w:left="130" w:firstLine="170"/>
        <w:jc w:val="both"/>
      </w:pPr>
      <w:r>
        <w:rPr/>
        <w:t>En México para el año 2010, las tasas de mortalidad específica por diabetes</w:t>
      </w:r>
      <w:r>
        <w:rPr>
          <w:spacing w:val="-23"/>
        </w:rPr>
        <w:t> </w:t>
      </w:r>
      <w:r>
        <w:rPr/>
        <w:t>mellitus, a nivel de entidad federativa, presenta la siguiente distribución: de las 32 unidades territoriales que integran México, tres de ellas presentaron tasas muy bajas de mortalidad; cinco estados con tasas bajas; 11 con tasas medio bajas; cinco con tasas altas, seis estados con tasas altas y dos registraron tasas muy altas de </w:t>
      </w:r>
      <w:r>
        <w:rPr>
          <w:spacing w:val="8"/>
        </w:rPr>
        <w:t> </w:t>
      </w:r>
      <w:r>
        <w:rPr/>
        <w:t>mortalidad.</w:t>
      </w:r>
    </w:p>
    <w:p>
      <w:pPr>
        <w:pStyle w:val="BodyText"/>
        <w:spacing w:before="11"/>
      </w:pPr>
    </w:p>
    <w:p>
      <w:pPr>
        <w:pStyle w:val="BodyText"/>
        <w:spacing w:line="249" w:lineRule="auto"/>
        <w:ind w:left="130" w:firstLine="170"/>
        <w:jc w:val="both"/>
      </w:pPr>
      <w:r>
        <w:rPr/>
        <w:t>Los</w:t>
      </w:r>
      <w:r>
        <w:rPr>
          <w:spacing w:val="-9"/>
        </w:rPr>
        <w:t> </w:t>
      </w:r>
      <w:r>
        <w:rPr/>
        <w:t>estados</w:t>
      </w:r>
      <w:r>
        <w:rPr>
          <w:spacing w:val="-9"/>
        </w:rPr>
        <w:t> </w:t>
      </w:r>
      <w:r>
        <w:rPr/>
        <w:t>de</w:t>
      </w:r>
      <w:r>
        <w:rPr>
          <w:spacing w:val="-9"/>
        </w:rPr>
        <w:t> </w:t>
      </w:r>
      <w:r>
        <w:rPr/>
        <w:t>Quintana</w:t>
      </w:r>
      <w:r>
        <w:rPr>
          <w:spacing w:val="-9"/>
        </w:rPr>
        <w:t> </w:t>
      </w:r>
      <w:r>
        <w:rPr/>
        <w:t>Roo</w:t>
      </w:r>
      <w:r>
        <w:rPr>
          <w:spacing w:val="-9"/>
        </w:rPr>
        <w:t> </w:t>
      </w:r>
      <w:r>
        <w:rPr/>
        <w:t>y</w:t>
      </w:r>
      <w:r>
        <w:rPr>
          <w:spacing w:val="-9"/>
        </w:rPr>
        <w:t> </w:t>
      </w:r>
      <w:r>
        <w:rPr/>
        <w:t>Baja</w:t>
      </w:r>
      <w:r>
        <w:rPr>
          <w:spacing w:val="-9"/>
        </w:rPr>
        <w:t> </w:t>
      </w:r>
      <w:r>
        <w:rPr/>
        <w:t>California</w:t>
      </w:r>
      <w:r>
        <w:rPr>
          <w:spacing w:val="-9"/>
        </w:rPr>
        <w:t> </w:t>
      </w:r>
      <w:r>
        <w:rPr/>
        <w:t>Sur</w:t>
      </w:r>
      <w:r>
        <w:rPr>
          <w:spacing w:val="-9"/>
        </w:rPr>
        <w:t> </w:t>
      </w:r>
      <w:r>
        <w:rPr/>
        <w:t>registraron</w:t>
      </w:r>
      <w:r>
        <w:rPr>
          <w:spacing w:val="-9"/>
        </w:rPr>
        <w:t> </w:t>
      </w:r>
      <w:r>
        <w:rPr/>
        <w:t>las</w:t>
      </w:r>
      <w:r>
        <w:rPr>
          <w:spacing w:val="-9"/>
        </w:rPr>
        <w:t> </w:t>
      </w:r>
      <w:r>
        <w:rPr/>
        <w:t>tasas</w:t>
      </w:r>
      <w:r>
        <w:rPr>
          <w:spacing w:val="-9"/>
        </w:rPr>
        <w:t> </w:t>
      </w:r>
      <w:r>
        <w:rPr/>
        <w:t>de</w:t>
      </w:r>
      <w:r>
        <w:rPr>
          <w:spacing w:val="-9"/>
        </w:rPr>
        <w:t> </w:t>
      </w:r>
      <w:r>
        <w:rPr/>
        <w:t>mortalidad muy bajas, con 41.72 y 42.86 defunciones por cada 100,000 habitantes; Guanajuato, Sinaloa y Baja California presentaron tasas bajas con 55.56, 56.47 y 56.67 por cada 100,000 habitantes. Los estados de Campeche, Yucatán y Guerrero, con tasas medio bajas de 61.28, 61.91 y 62.29 por cada 100,000 habitantes respectivamente. Los estados que registraron tasas de mortalidad medio altas son Colima, Jalisco, México estos con tasas de 71.19, 72.24 y 76.98 por cada 100,000 habitantes; los estados de Chiapas, Michoacán de Ocampo y Puebla con tasas altas de 80.27, 83 y 83.29 por cada 100,000 habitantes respectivamente; mientras que el D.F. y Durango registraron las tasas muy altas de mortalidad con 103.48 y 141.40 defunciones por cada 100,000 habitantes correspondientemente (cuadro 4 y figura</w:t>
      </w:r>
      <w:r>
        <w:rPr>
          <w:spacing w:val="27"/>
        </w:rPr>
        <w:t> </w:t>
      </w:r>
      <w:r>
        <w:rPr/>
        <w:t>4)</w:t>
      </w:r>
    </w:p>
    <w:p>
      <w:pPr>
        <w:spacing w:before="80"/>
        <w:ind w:left="208" w:right="0" w:firstLine="0"/>
        <w:jc w:val="left"/>
        <w:rPr>
          <w:sz w:val="16"/>
        </w:rPr>
      </w:pPr>
      <w:r>
        <w:rPr/>
        <w:br w:type="column"/>
      </w:r>
      <w:r>
        <w:rPr>
          <w:color w:val="6D6E71"/>
          <w:sz w:val="16"/>
        </w:rPr>
        <w:t>Cuadro 4. México: Tasas de mortalidad específica por diabetes mellitus por Entidad Federativa,  2010</w:t>
      </w:r>
    </w:p>
    <w:p>
      <w:pPr>
        <w:pStyle w:val="BodyText"/>
        <w:rPr>
          <w:sz w:val="4"/>
        </w:rPr>
      </w:pPr>
    </w:p>
    <w:p>
      <w:pPr>
        <w:pStyle w:val="BodyText"/>
        <w:ind w:left="38"/>
      </w:pPr>
      <w:r>
        <w:rPr/>
        <w:pict>
          <v:group style="width:385pt;height:188.6pt;mso-position-horizontal-relative:char;mso-position-vertical-relative:line" coordorigin="0,0" coordsize="7700,3772">
            <v:line style="position:absolute" from="1710,1002" to="1710,20" stroked="true" strokeweight=".5pt" strokecolor="#929292">
              <v:stroke dashstyle="dash"/>
            </v:line>
            <v:line style="position:absolute" from="1710,1032" to="1710,1032" stroked="true" strokeweight=".5pt" strokecolor="#929292"/>
            <v:line style="position:absolute" from="1710,5" to="1710,5" stroked="true" strokeweight=".5pt" strokecolor="#929292"/>
            <v:line style="position:absolute" from="35,1032" to="1695,1032" stroked="true" strokeweight=".5pt" strokecolor="#929292">
              <v:stroke dashstyle="dash"/>
            </v:line>
            <v:line style="position:absolute" from="5,1032" to="5,1032" stroked="true" strokeweight=".5pt" strokecolor="#929292"/>
            <v:line style="position:absolute" from="1710,1032" to="1710,1032" stroked="true" strokeweight=".5pt" strokecolor="#929292"/>
            <v:line style="position:absolute" from="1710,1174" to="1710,1046" stroked="true" strokeweight=".5pt" strokecolor="#929292">
              <v:stroke dashstyle="dash"/>
            </v:line>
            <v:line style="position:absolute" from="1710,1203" to="1710,1203" stroked="true" strokeweight=".5pt" strokecolor="#929292"/>
            <v:line style="position:absolute" from="1710,1032" to="1710,1032" stroked="true" strokeweight=".5pt" strokecolor="#929292"/>
            <v:line style="position:absolute" from="3695,1002" to="3695,20" stroked="true" strokeweight=".5pt" strokecolor="#929292">
              <v:stroke dashstyle="dash"/>
            </v:line>
            <v:line style="position:absolute" from="3695,1032" to="3695,1032" stroked="true" strokeweight=".5pt" strokecolor="#929292"/>
            <v:line style="position:absolute" from="3695,5" to="3695,5" stroked="true" strokeweight=".5pt" strokecolor="#929292"/>
            <v:line style="position:absolute" from="1740,1032" to="3680,1032" stroked="true" strokeweight=".5pt" strokecolor="#929292">
              <v:stroke dashstyle="dash"/>
            </v:line>
            <v:line style="position:absolute" from="1710,1032" to="1710,1032" stroked="true" strokeweight=".5pt" strokecolor="#929292"/>
            <v:line style="position:absolute" from="3695,1032" to="3695,1032" stroked="true" strokeweight=".5pt" strokecolor="#929292"/>
            <v:line style="position:absolute" from="3695,1174" to="3695,1046" stroked="true" strokeweight=".5pt" strokecolor="#929292">
              <v:stroke dashstyle="dash"/>
            </v:line>
            <v:line style="position:absolute" from="3695,1203" to="3695,1203" stroked="true" strokeweight=".5pt" strokecolor="#929292"/>
            <v:line style="position:absolute" from="3695,1032" to="3695,1032" stroked="true" strokeweight=".5pt" strokecolor="#929292"/>
            <v:line style="position:absolute" from="5574,1002" to="5574,20" stroked="true" strokeweight=".5pt" strokecolor="#929292">
              <v:stroke dashstyle="dash"/>
            </v:line>
            <v:line style="position:absolute" from="5574,1032" to="5574,1032" stroked="true" strokeweight=".5pt" strokecolor="#929292"/>
            <v:line style="position:absolute" from="5574,5" to="5574,5" stroked="true" strokeweight=".5pt" strokecolor="#929292"/>
            <v:line style="position:absolute" from="3725,1032" to="5559,1032" stroked="true" strokeweight=".5pt" strokecolor="#929292">
              <v:stroke dashstyle="dash"/>
            </v:line>
            <v:line style="position:absolute" from="3695,1032" to="3695,1032" stroked="true" strokeweight=".5pt" strokecolor="#929292"/>
            <v:line style="position:absolute" from="5574,1032" to="5574,1032" stroked="true" strokeweight=".5pt" strokecolor="#929292"/>
            <v:line style="position:absolute" from="5574,1174" to="5574,1046" stroked="true" strokeweight=".5pt" strokecolor="#929292">
              <v:stroke dashstyle="dash"/>
            </v:line>
            <v:line style="position:absolute" from="5574,1203" to="5574,1203" stroked="true" strokeweight=".5pt" strokecolor="#929292"/>
            <v:line style="position:absolute" from="5574,1032" to="5574,1032" stroked="true" strokeweight=".5pt" strokecolor="#929292"/>
            <v:line style="position:absolute" from="5603,1032" to="7680,1032" stroked="true" strokeweight=".5pt" strokecolor="#929292">
              <v:stroke dashstyle="dash"/>
            </v:line>
            <v:line style="position:absolute" from="5574,1032" to="5574,1032" stroked="true" strokeweight=".5pt" strokecolor="#929292"/>
            <v:line style="position:absolute" from="7695,1032" to="7695,1032" stroked="true" strokeweight=".5pt" strokecolor="#929292"/>
            <v:line style="position:absolute" from="5,1203" to="5,1203" stroked="true" strokeweight=".5pt" strokecolor="#929292"/>
            <v:line style="position:absolute" from="1710,1203" to="1710,1203" stroked="true" strokeweight=".5pt" strokecolor="#929292"/>
            <v:line style="position:absolute" from="1710,1345" to="1710,1217" stroked="true" strokeweight=".5pt" strokecolor="#929292">
              <v:stroke dashstyle="dash"/>
            </v:line>
            <v:line style="position:absolute" from="1710,1374" to="1710,1374" stroked="true" strokeweight=".5pt" strokecolor="#929292"/>
            <v:line style="position:absolute" from="1710,1203" to="1710,1203" stroked="true" strokeweight=".5pt" strokecolor="#929292"/>
            <v:line style="position:absolute" from="1710,1203" to="1710,1203" stroked="true" strokeweight=".5pt" strokecolor="#929292"/>
            <v:line style="position:absolute" from="3695,1203" to="3695,1203" stroked="true" strokeweight=".5pt" strokecolor="#929292"/>
            <v:line style="position:absolute" from="3695,1345" to="3695,1217" stroked="true" strokeweight=".5pt" strokecolor="#929292">
              <v:stroke dashstyle="dash"/>
            </v:line>
            <v:line style="position:absolute" from="3695,1374" to="3695,1374" stroked="true" strokeweight=".5pt" strokecolor="#929292"/>
            <v:line style="position:absolute" from="3695,1203" to="3695,1203" stroked="true" strokeweight=".5pt" strokecolor="#929292"/>
            <v:line style="position:absolute" from="3695,1203" to="3695,1203" stroked="true" strokeweight=".5pt" strokecolor="#929292"/>
            <v:line style="position:absolute" from="5574,1203" to="5574,1203" stroked="true" strokeweight=".5pt" strokecolor="#929292"/>
            <v:line style="position:absolute" from="5574,1345" to="5574,1217" stroked="true" strokeweight=".5pt" strokecolor="#929292">
              <v:stroke dashstyle="dash"/>
            </v:line>
            <v:line style="position:absolute" from="5574,1374" to="5574,1374" stroked="true" strokeweight=".5pt" strokecolor="#929292"/>
            <v:line style="position:absolute" from="5574,1203" to="5574,1203" stroked="true" strokeweight=".5pt" strokecolor="#929292"/>
            <v:line style="position:absolute" from="5574,1203" to="5574,1203" stroked="true" strokeweight=".5pt" strokecolor="#929292"/>
            <v:line style="position:absolute" from="7695,1203" to="7695,1203" stroked="true" strokeweight=".5pt" strokecolor="#929292"/>
            <v:line style="position:absolute" from="5,1374" to="5,1374" stroked="true" strokeweight=".5pt" strokecolor="#929292"/>
            <v:line style="position:absolute" from="1710,1374" to="1710,1374" stroked="true" strokeweight=".5pt" strokecolor="#929292"/>
            <v:line style="position:absolute" from="1710,1516" to="1710,1388" stroked="true" strokeweight=".5pt" strokecolor="#929292">
              <v:stroke dashstyle="dash"/>
            </v:line>
            <v:line style="position:absolute" from="1710,1545" to="1710,1545" stroked="true" strokeweight=".5pt" strokecolor="#929292"/>
            <v:line style="position:absolute" from="1710,1374" to="1710,1374" stroked="true" strokeweight=".5pt" strokecolor="#929292"/>
            <v:line style="position:absolute" from="1710,1374" to="1710,1374" stroked="true" strokeweight=".5pt" strokecolor="#929292"/>
            <v:line style="position:absolute" from="3695,1374" to="3695,1374" stroked="true" strokeweight=".5pt" strokecolor="#929292"/>
            <v:line style="position:absolute" from="3695,1516" to="3695,1388" stroked="true" strokeweight=".5pt" strokecolor="#929292">
              <v:stroke dashstyle="dash"/>
            </v:line>
            <v:line style="position:absolute" from="3695,1545" to="3695,1545" stroked="true" strokeweight=".5pt" strokecolor="#929292"/>
            <v:line style="position:absolute" from="3695,1374" to="3695,1374" stroked="true" strokeweight=".5pt" strokecolor="#929292"/>
            <v:line style="position:absolute" from="3695,1374" to="3695,1374" stroked="true" strokeweight=".5pt" strokecolor="#929292"/>
            <v:line style="position:absolute" from="5574,1374" to="5574,1374" stroked="true" strokeweight=".5pt" strokecolor="#929292"/>
            <v:line style="position:absolute" from="5574,1516" to="5574,1388" stroked="true" strokeweight=".5pt" strokecolor="#929292">
              <v:stroke dashstyle="dash"/>
            </v:line>
            <v:line style="position:absolute" from="5574,1545" to="5574,1545" stroked="true" strokeweight=".5pt" strokecolor="#929292"/>
            <v:line style="position:absolute" from="5574,1374" to="5574,1374" stroked="true" strokeweight=".5pt" strokecolor="#929292"/>
            <v:line style="position:absolute" from="5574,1374" to="5574,1374" stroked="true" strokeweight=".5pt" strokecolor="#929292"/>
            <v:line style="position:absolute" from="7695,1374" to="7695,1374" stroked="true" strokeweight=".5pt" strokecolor="#929292"/>
            <v:line style="position:absolute" from="5,1545" to="5,1545" stroked="true" strokeweight=".5pt" strokecolor="#929292"/>
            <v:line style="position:absolute" from="1710,1545" to="1710,1545" stroked="true" strokeweight=".5pt" strokecolor="#929292"/>
            <v:line style="position:absolute" from="1710,1687" to="1710,1559" stroked="true" strokeweight=".5pt" strokecolor="#929292">
              <v:stroke dashstyle="dash"/>
            </v:line>
            <v:line style="position:absolute" from="1710,1716" to="1710,1716" stroked="true" strokeweight=".5pt" strokecolor="#929292"/>
            <v:line style="position:absolute" from="1710,1545" to="1710,1545" stroked="true" strokeweight=".5pt" strokecolor="#929292"/>
            <v:line style="position:absolute" from="1710,1545" to="1710,1545" stroked="true" strokeweight=".5pt" strokecolor="#929292"/>
            <v:line style="position:absolute" from="3695,1545" to="3695,1545" stroked="true" strokeweight=".5pt" strokecolor="#929292"/>
            <v:line style="position:absolute" from="3695,1687" to="3695,1559" stroked="true" strokeweight=".5pt" strokecolor="#929292">
              <v:stroke dashstyle="dash"/>
            </v:line>
            <v:line style="position:absolute" from="3695,1716" to="3695,1716" stroked="true" strokeweight=".5pt" strokecolor="#929292"/>
            <v:line style="position:absolute" from="3695,1545" to="3695,1545" stroked="true" strokeweight=".5pt" strokecolor="#929292"/>
            <v:line style="position:absolute" from="3695,1545" to="3695,1545" stroked="true" strokeweight=".5pt" strokecolor="#929292"/>
            <v:line style="position:absolute" from="5574,1545" to="5574,1545" stroked="true" strokeweight=".5pt" strokecolor="#929292"/>
            <v:line style="position:absolute" from="5574,1687" to="5574,1559" stroked="true" strokeweight=".5pt" strokecolor="#929292">
              <v:stroke dashstyle="dash"/>
            </v:line>
            <v:line style="position:absolute" from="5574,1716" to="5574,1716" stroked="true" strokeweight=".5pt" strokecolor="#929292"/>
            <v:line style="position:absolute" from="5574,1545" to="5574,1545" stroked="true" strokeweight=".5pt" strokecolor="#929292"/>
            <v:line style="position:absolute" from="5574,1545" to="5574,1545" stroked="true" strokeweight=".5pt" strokecolor="#929292"/>
            <v:line style="position:absolute" from="7695,1545" to="7695,1545" stroked="true" strokeweight=".5pt" strokecolor="#929292"/>
            <v:line style="position:absolute" from="5,1716" to="5,1716" stroked="true" strokeweight=".5pt" strokecolor="#929292"/>
            <v:line style="position:absolute" from="1710,1716" to="1710,1716" stroked="true" strokeweight=".5pt" strokecolor="#929292"/>
            <v:line style="position:absolute" from="1710,1858" to="1710,1730" stroked="true" strokeweight=".5pt" strokecolor="#929292">
              <v:stroke dashstyle="dash"/>
            </v:line>
            <v:line style="position:absolute" from="1710,1887" to="1710,1887" stroked="true" strokeweight=".5pt" strokecolor="#929292"/>
            <v:line style="position:absolute" from="1710,1716" to="1710,1716" stroked="true" strokeweight=".5pt" strokecolor="#929292"/>
            <v:line style="position:absolute" from="1710,1716" to="1710,1716" stroked="true" strokeweight=".5pt" strokecolor="#929292"/>
            <v:line style="position:absolute" from="3695,1716" to="3695,1716" stroked="true" strokeweight=".5pt" strokecolor="#929292"/>
            <v:line style="position:absolute" from="3695,1858" to="3695,1730" stroked="true" strokeweight=".5pt" strokecolor="#929292">
              <v:stroke dashstyle="dash"/>
            </v:line>
            <v:line style="position:absolute" from="3695,1887" to="3695,1887" stroked="true" strokeweight=".5pt" strokecolor="#929292"/>
            <v:line style="position:absolute" from="3695,1716" to="3695,1716" stroked="true" strokeweight=".5pt" strokecolor="#929292"/>
            <v:line style="position:absolute" from="3695,1716" to="3695,1716" stroked="true" strokeweight=".5pt" strokecolor="#929292"/>
            <v:line style="position:absolute" from="5574,1716" to="5574,1716" stroked="true" strokeweight=".5pt" strokecolor="#929292"/>
            <v:line style="position:absolute" from="5574,1858" to="5574,1730" stroked="true" strokeweight=".5pt" strokecolor="#929292">
              <v:stroke dashstyle="dash"/>
            </v:line>
            <v:line style="position:absolute" from="5574,1887" to="5574,1887" stroked="true" strokeweight=".5pt" strokecolor="#929292"/>
            <v:line style="position:absolute" from="5574,1716" to="5574,1716" stroked="true" strokeweight=".5pt" strokecolor="#929292"/>
            <v:line style="position:absolute" from="5574,1716" to="5574,1716" stroked="true" strokeweight=".5pt" strokecolor="#929292"/>
            <v:line style="position:absolute" from="7695,1716" to="7695,1716" stroked="true" strokeweight=".5pt" strokecolor="#929292"/>
            <v:line style="position:absolute" from="5,1887" to="5,1887" stroked="true" strokeweight=".5pt" strokecolor="#929292"/>
            <v:line style="position:absolute" from="1710,1887" to="1710,1887" stroked="true" strokeweight=".5pt" strokecolor="#929292"/>
            <v:line style="position:absolute" from="1710,2029" to="1710,1901" stroked="true" strokeweight=".5pt" strokecolor="#929292">
              <v:stroke dashstyle="dash"/>
            </v:line>
            <v:line style="position:absolute" from="1710,2058" to="1710,2058" stroked="true" strokeweight=".5pt" strokecolor="#929292"/>
            <v:line style="position:absolute" from="1710,1887" to="1710,1887" stroked="true" strokeweight=".5pt" strokecolor="#929292"/>
            <v:line style="position:absolute" from="1710,1887" to="1710,1887" stroked="true" strokeweight=".5pt" strokecolor="#929292"/>
            <v:line style="position:absolute" from="3695,1887" to="3695,1887" stroked="true" strokeweight=".5pt" strokecolor="#929292"/>
            <v:line style="position:absolute" from="3695,2029" to="3695,1901" stroked="true" strokeweight=".5pt" strokecolor="#929292">
              <v:stroke dashstyle="dash"/>
            </v:line>
            <v:line style="position:absolute" from="3695,2058" to="3695,2058" stroked="true" strokeweight=".5pt" strokecolor="#929292"/>
            <v:line style="position:absolute" from="3695,1887" to="3695,1887" stroked="true" strokeweight=".5pt" strokecolor="#929292"/>
            <v:line style="position:absolute" from="3695,1887" to="3695,1887" stroked="true" strokeweight=".5pt" strokecolor="#929292"/>
            <v:line style="position:absolute" from="5574,1887" to="5574,1887" stroked="true" strokeweight=".5pt" strokecolor="#929292"/>
            <v:line style="position:absolute" from="5574,2029" to="5574,1901" stroked="true" strokeweight=".5pt" strokecolor="#929292">
              <v:stroke dashstyle="dash"/>
            </v:line>
            <v:line style="position:absolute" from="5574,2058" to="5574,2058" stroked="true" strokeweight=".5pt" strokecolor="#929292"/>
            <v:line style="position:absolute" from="5574,1887" to="5574,1887" stroked="true" strokeweight=".5pt" strokecolor="#929292"/>
            <v:line style="position:absolute" from="5574,1887" to="5574,1887" stroked="true" strokeweight=".5pt" strokecolor="#929292"/>
            <v:line style="position:absolute" from="7695,1887" to="7695,1887" stroked="true" strokeweight=".5pt" strokecolor="#929292"/>
            <v:line style="position:absolute" from="5,2058" to="5,2058" stroked="true" strokeweight=".5pt" strokecolor="#929292"/>
            <v:line style="position:absolute" from="1710,2058" to="1710,2058" stroked="true" strokeweight=".5pt" strokecolor="#929292"/>
            <v:line style="position:absolute" from="1710,2200" to="1710,2072" stroked="true" strokeweight=".5pt" strokecolor="#929292">
              <v:stroke dashstyle="dash"/>
            </v:line>
            <v:line style="position:absolute" from="1710,2229" to="1710,2229" stroked="true" strokeweight=".5pt" strokecolor="#929292"/>
            <v:line style="position:absolute" from="1710,2058" to="1710,2058" stroked="true" strokeweight=".5pt" strokecolor="#929292"/>
            <v:line style="position:absolute" from="1710,2058" to="1710,2058" stroked="true" strokeweight=".5pt" strokecolor="#929292"/>
            <v:line style="position:absolute" from="3695,2058" to="3695,2058" stroked="true" strokeweight=".5pt" strokecolor="#929292"/>
            <v:line style="position:absolute" from="3695,2200" to="3695,2072" stroked="true" strokeweight=".5pt" strokecolor="#929292">
              <v:stroke dashstyle="dash"/>
            </v:line>
            <v:line style="position:absolute" from="3695,2229" to="3695,2229" stroked="true" strokeweight=".5pt" strokecolor="#929292"/>
            <v:line style="position:absolute" from="3695,2058" to="3695,2058" stroked="true" strokeweight=".5pt" strokecolor="#929292"/>
            <v:line style="position:absolute" from="3695,2058" to="3695,2058" stroked="true" strokeweight=".5pt" strokecolor="#929292"/>
            <v:line style="position:absolute" from="5574,2058" to="5574,2058" stroked="true" strokeweight=".5pt" strokecolor="#929292"/>
            <v:line style="position:absolute" from="5574,2200" to="5574,2072" stroked="true" strokeweight=".5pt" strokecolor="#929292">
              <v:stroke dashstyle="dash"/>
            </v:line>
            <v:line style="position:absolute" from="5574,2229" to="5574,2229" stroked="true" strokeweight=".5pt" strokecolor="#929292"/>
            <v:line style="position:absolute" from="5574,2058" to="5574,2058" stroked="true" strokeweight=".5pt" strokecolor="#929292"/>
            <v:line style="position:absolute" from="5574,2058" to="5574,2058" stroked="true" strokeweight=".5pt" strokecolor="#929292"/>
            <v:line style="position:absolute" from="7695,2058" to="7695,2058" stroked="true" strokeweight=".5pt" strokecolor="#929292"/>
            <v:line style="position:absolute" from="5,2229" to="5,2229" stroked="true" strokeweight=".5pt" strokecolor="#929292"/>
            <v:line style="position:absolute" from="1710,2229" to="1710,2229" stroked="true" strokeweight=".5pt" strokecolor="#929292"/>
            <v:line style="position:absolute" from="1710,2371" to="1710,2243" stroked="true" strokeweight=".5pt" strokecolor="#929292">
              <v:stroke dashstyle="dash"/>
            </v:line>
            <v:line style="position:absolute" from="1710,2399" to="1710,2399" stroked="true" strokeweight=".5pt" strokecolor="#929292"/>
            <v:line style="position:absolute" from="1710,2229" to="1710,2229" stroked="true" strokeweight=".5pt" strokecolor="#929292"/>
            <v:line style="position:absolute" from="1710,2229" to="1710,2229" stroked="true" strokeweight=".5pt" strokecolor="#929292"/>
            <v:line style="position:absolute" from="3695,2229" to="3695,2229" stroked="true" strokeweight=".5pt" strokecolor="#929292"/>
            <v:line style="position:absolute" from="3695,2371" to="3695,2243" stroked="true" strokeweight=".5pt" strokecolor="#929292">
              <v:stroke dashstyle="dash"/>
            </v:line>
            <v:line style="position:absolute" from="3695,2399" to="3695,2399" stroked="true" strokeweight=".5pt" strokecolor="#929292"/>
            <v:line style="position:absolute" from="3695,2229" to="3695,2229" stroked="true" strokeweight=".5pt" strokecolor="#929292"/>
            <v:line style="position:absolute" from="3695,2229" to="3695,2229" stroked="true" strokeweight=".5pt" strokecolor="#929292"/>
            <v:line style="position:absolute" from="5574,2229" to="5574,2229" stroked="true" strokeweight=".5pt" strokecolor="#929292"/>
            <v:line style="position:absolute" from="5574,2371" to="5574,2243" stroked="true" strokeweight=".5pt" strokecolor="#929292">
              <v:stroke dashstyle="dash"/>
            </v:line>
            <v:line style="position:absolute" from="5574,2399" to="5574,2399" stroked="true" strokeweight=".5pt" strokecolor="#929292"/>
            <v:line style="position:absolute" from="5574,2229" to="5574,2229" stroked="true" strokeweight=".5pt" strokecolor="#929292"/>
            <v:line style="position:absolute" from="5574,2229" to="5574,2229" stroked="true" strokeweight=".5pt" strokecolor="#929292"/>
            <v:line style="position:absolute" from="7695,2229" to="7695,2229" stroked="true" strokeweight=".5pt" strokecolor="#929292"/>
            <v:line style="position:absolute" from="5,2399" to="5,2399" stroked="true" strokeweight=".5pt" strokecolor="#929292"/>
            <v:line style="position:absolute" from="1710,2399" to="1710,2399" stroked="true" strokeweight=".5pt" strokecolor="#929292"/>
            <v:line style="position:absolute" from="1710,2542" to="1710,2414" stroked="true" strokeweight=".5pt" strokecolor="#929292">
              <v:stroke dashstyle="dash"/>
            </v:line>
            <v:line style="position:absolute" from="1710,2570" to="1710,2570" stroked="true" strokeweight=".5pt" strokecolor="#929292"/>
            <v:line style="position:absolute" from="1710,2399" to="1710,2399" stroked="true" strokeweight=".5pt" strokecolor="#929292"/>
            <v:line style="position:absolute" from="1710,2399" to="1710,2399" stroked="true" strokeweight=".5pt" strokecolor="#929292"/>
            <v:line style="position:absolute" from="3695,2399" to="3695,2399" stroked="true" strokeweight=".5pt" strokecolor="#929292"/>
            <v:line style="position:absolute" from="3695,2542" to="3695,2414" stroked="true" strokeweight=".5pt" strokecolor="#929292">
              <v:stroke dashstyle="dash"/>
            </v:line>
            <v:line style="position:absolute" from="3695,2570" to="3695,2570" stroked="true" strokeweight=".5pt" strokecolor="#929292"/>
            <v:line style="position:absolute" from="3695,2399" to="3695,2399" stroked="true" strokeweight=".5pt" strokecolor="#929292"/>
            <v:line style="position:absolute" from="3695,2399" to="3695,2399" stroked="true" strokeweight=".5pt" strokecolor="#929292"/>
            <v:line style="position:absolute" from="5574,2399" to="5574,2399" stroked="true" strokeweight=".5pt" strokecolor="#929292"/>
            <v:line style="position:absolute" from="5574,2542" to="5574,2414" stroked="true" strokeweight=".5pt" strokecolor="#929292">
              <v:stroke dashstyle="dash"/>
            </v:line>
            <v:line style="position:absolute" from="5574,2570" to="5574,2570" stroked="true" strokeweight=".5pt" strokecolor="#929292"/>
            <v:line style="position:absolute" from="5574,2399" to="5574,2399" stroked="true" strokeweight=".5pt" strokecolor="#929292"/>
            <v:line style="position:absolute" from="5574,2399" to="5574,2399" stroked="true" strokeweight=".5pt" strokecolor="#929292"/>
            <v:line style="position:absolute" from="7695,2399" to="7695,2399" stroked="true" strokeweight=".5pt" strokecolor="#929292"/>
            <v:line style="position:absolute" from="5,2570" to="5,2570" stroked="true" strokeweight=".5pt" strokecolor="#929292"/>
            <v:line style="position:absolute" from="1710,2570" to="1710,2570" stroked="true" strokeweight=".5pt" strokecolor="#929292"/>
            <v:line style="position:absolute" from="1710,2713" to="1710,2585" stroked="true" strokeweight=".5pt" strokecolor="#929292">
              <v:stroke dashstyle="dash"/>
            </v:line>
            <v:line style="position:absolute" from="1710,2741" to="1710,2741" stroked="true" strokeweight=".5pt" strokecolor="#929292"/>
            <v:line style="position:absolute" from="1710,2570" to="1710,2570" stroked="true" strokeweight=".5pt" strokecolor="#929292"/>
            <v:line style="position:absolute" from="1710,2570" to="1710,2570" stroked="true" strokeweight=".5pt" strokecolor="#929292"/>
            <v:line style="position:absolute" from="3695,2570" to="3695,2570" stroked="true" strokeweight=".5pt" strokecolor="#929292"/>
            <v:line style="position:absolute" from="3695,2713" to="3695,2585" stroked="true" strokeweight=".5pt" strokecolor="#929292">
              <v:stroke dashstyle="dash"/>
            </v:line>
            <v:line style="position:absolute" from="3695,2741" to="3695,2741" stroked="true" strokeweight=".5pt" strokecolor="#929292"/>
            <v:line style="position:absolute" from="3695,2570" to="3695,2570" stroked="true" strokeweight=".5pt" strokecolor="#929292"/>
            <v:line style="position:absolute" from="3695,2570" to="3695,2570" stroked="true" strokeweight=".5pt" strokecolor="#929292"/>
            <v:line style="position:absolute" from="5574,2570" to="5574,2570" stroked="true" strokeweight=".5pt" strokecolor="#929292"/>
            <v:line style="position:absolute" from="5574,2713" to="5574,2585" stroked="true" strokeweight=".5pt" strokecolor="#929292">
              <v:stroke dashstyle="dash"/>
            </v:line>
            <v:line style="position:absolute" from="5574,2741" to="5574,2741" stroked="true" strokeweight=".5pt" strokecolor="#929292"/>
            <v:line style="position:absolute" from="5574,2570" to="5574,2570" stroked="true" strokeweight=".5pt" strokecolor="#929292"/>
            <v:line style="position:absolute" from="5574,2570" to="5574,2570" stroked="true" strokeweight=".5pt" strokecolor="#929292"/>
            <v:line style="position:absolute" from="7695,2570" to="7695,2570" stroked="true" strokeweight=".5pt" strokecolor="#929292"/>
            <v:line style="position:absolute" from="5,2741" to="5,2741" stroked="true" strokeweight=".5pt" strokecolor="#929292"/>
            <v:line style="position:absolute" from="1710,2741" to="1710,2741" stroked="true" strokeweight=".5pt" strokecolor="#929292"/>
            <v:line style="position:absolute" from="1710,2884" to="1710,2756" stroked="true" strokeweight=".5pt" strokecolor="#929292">
              <v:stroke dashstyle="dash"/>
            </v:line>
            <v:line style="position:absolute" from="1710,2912" to="1710,2912" stroked="true" strokeweight=".5pt" strokecolor="#929292"/>
            <v:line style="position:absolute" from="1710,2741" to="1710,2741" stroked="true" strokeweight=".5pt" strokecolor="#929292"/>
            <v:line style="position:absolute" from="1710,2741" to="1710,2741" stroked="true" strokeweight=".5pt" strokecolor="#929292"/>
            <v:line style="position:absolute" from="3695,2741" to="3695,2741" stroked="true" strokeweight=".5pt" strokecolor="#929292"/>
            <v:line style="position:absolute" from="3695,2884" to="3695,2756" stroked="true" strokeweight=".5pt" strokecolor="#929292">
              <v:stroke dashstyle="dash"/>
            </v:line>
            <v:line style="position:absolute" from="3695,2912" to="3695,2912" stroked="true" strokeweight=".5pt" strokecolor="#929292"/>
            <v:line style="position:absolute" from="3695,2741" to="3695,2741" stroked="true" strokeweight=".5pt" strokecolor="#929292"/>
            <v:line style="position:absolute" from="3695,2741" to="3695,2741" stroked="true" strokeweight=".5pt" strokecolor="#929292"/>
            <v:line style="position:absolute" from="5574,2741" to="5574,2741" stroked="true" strokeweight=".5pt" strokecolor="#929292"/>
            <v:line style="position:absolute" from="5574,2884" to="5574,2756" stroked="true" strokeweight=".5pt" strokecolor="#929292">
              <v:stroke dashstyle="dash"/>
            </v:line>
            <v:line style="position:absolute" from="5574,2912" to="5574,2912" stroked="true" strokeweight=".5pt" strokecolor="#929292"/>
            <v:line style="position:absolute" from="5574,2741" to="5574,2741" stroked="true" strokeweight=".5pt" strokecolor="#929292"/>
            <v:line style="position:absolute" from="5574,2741" to="5574,2741" stroked="true" strokeweight=".5pt" strokecolor="#929292"/>
            <v:line style="position:absolute" from="7695,2741" to="7695,2741" stroked="true" strokeweight=".5pt" strokecolor="#929292"/>
            <v:line style="position:absolute" from="5,2912" to="5,2912" stroked="true" strokeweight=".5pt" strokecolor="#929292"/>
            <v:line style="position:absolute" from="1710,2912" to="1710,2912" stroked="true" strokeweight=".5pt" strokecolor="#929292"/>
            <v:line style="position:absolute" from="1710,3055" to="1710,2926" stroked="true" strokeweight=".5pt" strokecolor="#929292">
              <v:stroke dashstyle="dash"/>
            </v:line>
            <v:line style="position:absolute" from="1710,3083" to="1710,3083" stroked="true" strokeweight=".5pt" strokecolor="#929292"/>
            <v:line style="position:absolute" from="1710,2912" to="1710,2912" stroked="true" strokeweight=".5pt" strokecolor="#929292"/>
            <v:line style="position:absolute" from="1710,2912" to="1710,2912" stroked="true" strokeweight=".5pt" strokecolor="#929292"/>
            <v:line style="position:absolute" from="3695,2912" to="3695,2912" stroked="true" strokeweight=".5pt" strokecolor="#929292"/>
            <v:line style="position:absolute" from="3695,3055" to="3695,2926" stroked="true" strokeweight=".5pt" strokecolor="#929292">
              <v:stroke dashstyle="dash"/>
            </v:line>
            <v:line style="position:absolute" from="3695,3083" to="3695,3083" stroked="true" strokeweight=".5pt" strokecolor="#929292"/>
            <v:line style="position:absolute" from="3695,2912" to="3695,2912" stroked="true" strokeweight=".5pt" strokecolor="#929292"/>
            <v:line style="position:absolute" from="3695,2912" to="3695,2912" stroked="true" strokeweight=".5pt" strokecolor="#929292"/>
            <v:line style="position:absolute" from="5574,2912" to="5574,2912" stroked="true" strokeweight=".5pt" strokecolor="#929292"/>
            <v:line style="position:absolute" from="5574,3055" to="5574,2926" stroked="true" strokeweight=".5pt" strokecolor="#929292">
              <v:stroke dashstyle="dash"/>
            </v:line>
            <v:line style="position:absolute" from="5574,3083" to="5574,3083" stroked="true" strokeweight=".5pt" strokecolor="#929292"/>
            <v:line style="position:absolute" from="5574,2912" to="5574,2912" stroked="true" strokeweight=".5pt" strokecolor="#929292"/>
            <v:line style="position:absolute" from="5574,2912" to="5574,2912" stroked="true" strokeweight=".5pt" strokecolor="#929292"/>
            <v:line style="position:absolute" from="7695,2912" to="7695,2912" stroked="true" strokeweight=".5pt" strokecolor="#929292"/>
            <v:line style="position:absolute" from="5,3083" to="5,3083" stroked="true" strokeweight=".5pt" strokecolor="#929292"/>
            <v:line style="position:absolute" from="1710,3083" to="1710,3083" stroked="true" strokeweight=".5pt" strokecolor="#929292"/>
            <v:line style="position:absolute" from="1710,3226" to="1710,3097" stroked="true" strokeweight=".5pt" strokecolor="#929292">
              <v:stroke dashstyle="dash"/>
            </v:line>
            <v:line style="position:absolute" from="1710,3254" to="1710,3254" stroked="true" strokeweight=".5pt" strokecolor="#929292"/>
            <v:line style="position:absolute" from="1710,3083" to="1710,3083" stroked="true" strokeweight=".5pt" strokecolor="#929292"/>
            <v:line style="position:absolute" from="1710,3083" to="1710,3083" stroked="true" strokeweight=".5pt" strokecolor="#929292"/>
            <v:line style="position:absolute" from="3695,3083" to="3695,3083" stroked="true" strokeweight=".5pt" strokecolor="#929292"/>
            <v:line style="position:absolute" from="3695,3226" to="3695,3097" stroked="true" strokeweight=".5pt" strokecolor="#929292">
              <v:stroke dashstyle="dash"/>
            </v:line>
            <v:line style="position:absolute" from="3695,3254" to="3695,3254" stroked="true" strokeweight=".5pt" strokecolor="#929292"/>
            <v:line style="position:absolute" from="3695,3083" to="3695,3083" stroked="true" strokeweight=".5pt" strokecolor="#929292"/>
            <v:line style="position:absolute" from="3695,3083" to="3695,3083" stroked="true" strokeweight=".5pt" strokecolor="#929292"/>
            <v:line style="position:absolute" from="5574,3083" to="5574,3083" stroked="true" strokeweight=".5pt" strokecolor="#929292"/>
            <v:line style="position:absolute" from="5574,3226" to="5574,3097" stroked="true" strokeweight=".5pt" strokecolor="#929292">
              <v:stroke dashstyle="dash"/>
            </v:line>
            <v:line style="position:absolute" from="5574,3254" to="5574,3254" stroked="true" strokeweight=".5pt" strokecolor="#929292"/>
            <v:line style="position:absolute" from="5574,3083" to="5574,3083" stroked="true" strokeweight=".5pt" strokecolor="#929292"/>
            <v:line style="position:absolute" from="5574,3083" to="5574,3083" stroked="true" strokeweight=".5pt" strokecolor="#929292"/>
            <v:line style="position:absolute" from="7695,3083" to="7695,3083" stroked="true" strokeweight=".5pt" strokecolor="#929292"/>
            <v:line style="position:absolute" from="5,3254" to="5,3254" stroked="true" strokeweight=".5pt" strokecolor="#929292"/>
            <v:line style="position:absolute" from="1710,3254" to="1710,3254" stroked="true" strokeweight=".5pt" strokecolor="#929292"/>
            <v:line style="position:absolute" from="1710,3397" to="1710,3268" stroked="true" strokeweight=".5pt" strokecolor="#929292">
              <v:stroke dashstyle="dash"/>
            </v:line>
            <v:line style="position:absolute" from="1710,3425" to="1710,3425" stroked="true" strokeweight=".5pt" strokecolor="#929292"/>
            <v:line style="position:absolute" from="1710,3254" to="1710,3254" stroked="true" strokeweight=".5pt" strokecolor="#929292"/>
            <v:line style="position:absolute" from="1710,3254" to="1710,3254" stroked="true" strokeweight=".5pt" strokecolor="#929292"/>
            <v:line style="position:absolute" from="3695,3254" to="3695,3254" stroked="true" strokeweight=".5pt" strokecolor="#929292"/>
            <v:line style="position:absolute" from="3695,3397" to="3695,3268" stroked="true" strokeweight=".5pt" strokecolor="#929292">
              <v:stroke dashstyle="dash"/>
            </v:line>
            <v:line style="position:absolute" from="3695,3425" to="3695,3425" stroked="true" strokeweight=".5pt" strokecolor="#929292"/>
            <v:line style="position:absolute" from="3695,3254" to="3695,3254" stroked="true" strokeweight=".5pt" strokecolor="#929292"/>
            <v:line style="position:absolute" from="3695,3254" to="3695,3254" stroked="true" strokeweight=".5pt" strokecolor="#929292"/>
            <v:line style="position:absolute" from="5574,3254" to="5574,3254" stroked="true" strokeweight=".5pt" strokecolor="#929292"/>
            <v:line style="position:absolute" from="5574,3397" to="5574,3268" stroked="true" strokeweight=".5pt" strokecolor="#929292">
              <v:stroke dashstyle="dash"/>
            </v:line>
            <v:line style="position:absolute" from="5574,3425" to="5574,3425" stroked="true" strokeweight=".5pt" strokecolor="#929292"/>
            <v:line style="position:absolute" from="5574,3254" to="5574,3254" stroked="true" strokeweight=".5pt" strokecolor="#929292"/>
            <v:line style="position:absolute" from="5574,3254" to="5574,3254" stroked="true" strokeweight=".5pt" strokecolor="#929292"/>
            <v:line style="position:absolute" from="7695,3254" to="7695,3254" stroked="true" strokeweight=".5pt" strokecolor="#929292"/>
            <v:line style="position:absolute" from="5,3425" to="5,3425" stroked="true" strokeweight=".5pt" strokecolor="#929292"/>
            <v:line style="position:absolute" from="1710,3425" to="1710,3425" stroked="true" strokeweight=".5pt" strokecolor="#929292"/>
            <v:line style="position:absolute" from="1710,3567" to="1710,3439" stroked="true" strokeweight=".5pt" strokecolor="#929292">
              <v:stroke dashstyle="dash"/>
            </v:line>
            <v:line style="position:absolute" from="1710,3596" to="1710,3596" stroked="true" strokeweight=".5pt" strokecolor="#929292"/>
            <v:line style="position:absolute" from="1710,3425" to="1710,3425" stroked="true" strokeweight=".5pt" strokecolor="#929292"/>
            <v:line style="position:absolute" from="1710,3425" to="1710,3425" stroked="true" strokeweight=".5pt" strokecolor="#929292"/>
            <v:line style="position:absolute" from="3695,3425" to="3695,3425" stroked="true" strokeweight=".5pt" strokecolor="#929292"/>
            <v:line style="position:absolute" from="3695,3567" to="3695,3439" stroked="true" strokeweight=".5pt" strokecolor="#929292">
              <v:stroke dashstyle="dash"/>
            </v:line>
            <v:line style="position:absolute" from="3695,3596" to="3695,3596" stroked="true" strokeweight=".5pt" strokecolor="#929292"/>
            <v:line style="position:absolute" from="3695,3425" to="3695,3425" stroked="true" strokeweight=".5pt" strokecolor="#929292"/>
            <v:line style="position:absolute" from="3695,3425" to="3695,3425" stroked="true" strokeweight=".5pt" strokecolor="#929292"/>
            <v:line style="position:absolute" from="5574,3425" to="5574,3425" stroked="true" strokeweight=".5pt" strokecolor="#929292"/>
            <v:line style="position:absolute" from="5574,3567" to="5574,3439" stroked="true" strokeweight=".5pt" strokecolor="#929292">
              <v:stroke dashstyle="dash"/>
            </v:line>
            <v:line style="position:absolute" from="5574,3596" to="5574,3596" stroked="true" strokeweight=".5pt" strokecolor="#929292"/>
            <v:line style="position:absolute" from="5574,3425" to="5574,3425" stroked="true" strokeweight=".5pt" strokecolor="#929292"/>
            <v:line style="position:absolute" from="5574,3425" to="5574,3425" stroked="true" strokeweight=".5pt" strokecolor="#929292"/>
            <v:line style="position:absolute" from="7695,3425" to="7695,3425" stroked="true" strokeweight=".5pt" strokecolor="#929292"/>
            <v:line style="position:absolute" from="5,3596" to="5,3596" stroked="true" strokeweight=".5pt" strokecolor="#929292"/>
            <v:line style="position:absolute" from="1710,3596" to="1710,3596" stroked="true" strokeweight=".5pt" strokecolor="#929292"/>
            <v:line style="position:absolute" from="1710,3767" to="1710,3767" stroked="true" strokeweight=".5pt" strokecolor="#929292"/>
            <v:line style="position:absolute" from="1710,3738" to="1710,3610" stroked="true" strokeweight=".5pt" strokecolor="#929292">
              <v:stroke dashstyle="dash"/>
            </v:line>
            <v:line style="position:absolute" from="1710,3767" to="1710,3767" stroked="true" strokeweight=".5pt" strokecolor="#929292"/>
            <v:line style="position:absolute" from="1710,3596" to="1710,3596" stroked="true" strokeweight=".5pt" strokecolor="#929292"/>
            <v:line style="position:absolute" from="1710,3596" to="1710,3596" stroked="true" strokeweight=".5pt" strokecolor="#929292"/>
            <v:line style="position:absolute" from="3695,3596" to="3695,3596" stroked="true" strokeweight=".5pt" strokecolor="#929292"/>
            <v:line style="position:absolute" from="1710,3767" to="1710,3767" stroked="true" strokeweight=".5pt" strokecolor="#929292"/>
            <v:line style="position:absolute" from="3695,3767" to="3695,3767" stroked="true" strokeweight=".5pt" strokecolor="#929292"/>
            <v:line style="position:absolute" from="3695,3738" to="3695,3610" stroked="true" strokeweight=".5pt" strokecolor="#929292">
              <v:stroke dashstyle="dash"/>
            </v:line>
            <v:line style="position:absolute" from="3695,3767" to="3695,3767" stroked="true" strokeweight=".5pt" strokecolor="#929292"/>
            <v:line style="position:absolute" from="3695,3596" to="3695,3596" stroked="true" strokeweight=".5pt" strokecolor="#929292"/>
            <v:line style="position:absolute" from="3695,3596" to="3695,3596" stroked="true" strokeweight=".5pt" strokecolor="#929292"/>
            <v:line style="position:absolute" from="5574,3596" to="5574,3596" stroked="true" strokeweight=".5pt" strokecolor="#929292"/>
            <v:line style="position:absolute" from="3695,3767" to="3695,3767" stroked="true" strokeweight=".5pt" strokecolor="#929292"/>
            <v:line style="position:absolute" from="5574,3767" to="5574,3767" stroked="true" strokeweight=".5pt" strokecolor="#929292"/>
            <v:line style="position:absolute" from="5574,3738" to="5574,3610" stroked="true" strokeweight=".5pt" strokecolor="#929292">
              <v:stroke dashstyle="dash"/>
            </v:line>
            <v:line style="position:absolute" from="5574,3767" to="5574,3767" stroked="true" strokeweight=".5pt" strokecolor="#929292"/>
            <v:line style="position:absolute" from="5574,3596" to="5574,3596" stroked="true" strokeweight=".5pt" strokecolor="#929292"/>
            <v:line style="position:absolute" from="5574,3596" to="5574,3596" stroked="true" strokeweight=".5pt" strokecolor="#929292"/>
            <v:line style="position:absolute" from="7695,3596" to="7695,3596" stroked="true" strokeweight=".5pt" strokecolor="#929292"/>
            <v:line style="position:absolute" from="5574,3767" to="5574,3767" stroked="true" strokeweight=".5pt" strokecolor="#929292"/>
            <v:line style="position:absolute" from="7695,3767" to="7695,3767" stroked="true" strokeweight=".5pt" strokecolor="#929292"/>
            <v:shape style="position:absolute;left:108;top:298;width:1349;height:160" type="#_x0000_t202" filled="false" stroked="false">
              <v:textbox inset="0,0,0,0">
                <w:txbxContent>
                  <w:p>
                    <w:pPr>
                      <w:spacing w:line="160" w:lineRule="exact" w:before="0"/>
                      <w:ind w:left="0" w:right="-20" w:firstLine="0"/>
                      <w:jc w:val="left"/>
                      <w:rPr>
                        <w:sz w:val="16"/>
                      </w:rPr>
                    </w:pPr>
                    <w:r>
                      <w:rPr>
                        <w:w w:val="105"/>
                        <w:sz w:val="16"/>
                      </w:rPr>
                      <w:t>Entidad</w:t>
                    </w:r>
                    <w:r>
                      <w:rPr>
                        <w:spacing w:val="-6"/>
                        <w:w w:val="105"/>
                        <w:sz w:val="16"/>
                      </w:rPr>
                      <w:t> </w:t>
                    </w:r>
                    <w:r>
                      <w:rPr>
                        <w:w w:val="105"/>
                        <w:sz w:val="16"/>
                      </w:rPr>
                      <w:t>federativa</w:t>
                    </w:r>
                  </w:p>
                </w:txbxContent>
              </v:textbox>
              <w10:wrap type="none"/>
            </v:shape>
            <v:shape style="position:absolute;left:1818;top:41;width:1693;height:760" type="#_x0000_t202" filled="false" stroked="false">
              <v:textbox inset="0,0,0,0">
                <w:txbxContent>
                  <w:p>
                    <w:pPr>
                      <w:spacing w:line="164" w:lineRule="exact" w:before="0"/>
                      <w:ind w:left="0" w:right="-19" w:firstLine="0"/>
                      <w:jc w:val="left"/>
                      <w:rPr>
                        <w:sz w:val="16"/>
                      </w:rPr>
                    </w:pPr>
                    <w:r>
                      <w:rPr>
                        <w:w w:val="105"/>
                        <w:sz w:val="16"/>
                      </w:rPr>
                      <w:t>Tasa bruta de</w:t>
                    </w:r>
                  </w:p>
                  <w:p>
                    <w:pPr>
                      <w:spacing w:line="261" w:lineRule="auto" w:before="16"/>
                      <w:ind w:left="0" w:right="-19" w:firstLine="0"/>
                      <w:jc w:val="left"/>
                      <w:rPr>
                        <w:sz w:val="16"/>
                      </w:rPr>
                    </w:pPr>
                    <w:r>
                      <w:rPr>
                        <w:w w:val="105"/>
                        <w:sz w:val="16"/>
                      </w:rPr>
                      <w:t>mortalidad específica por diabetes mellitus por 100,000</w:t>
                    </w:r>
                    <w:r>
                      <w:rPr>
                        <w:spacing w:val="-27"/>
                        <w:w w:val="105"/>
                        <w:sz w:val="16"/>
                      </w:rPr>
                      <w:t> </w:t>
                    </w:r>
                    <w:r>
                      <w:rPr>
                        <w:w w:val="105"/>
                        <w:sz w:val="16"/>
                      </w:rPr>
                      <w:t>habitantes</w:t>
                    </w:r>
                  </w:p>
                </w:txbxContent>
              </v:textbox>
              <w10:wrap type="none"/>
            </v:shape>
            <v:shape style="position:absolute;left:3803;top:298;width:1349;height:160" type="#_x0000_t202" filled="false" stroked="false">
              <v:textbox inset="0,0,0,0">
                <w:txbxContent>
                  <w:p>
                    <w:pPr>
                      <w:spacing w:line="160" w:lineRule="exact" w:before="0"/>
                      <w:ind w:left="0" w:right="-20" w:firstLine="0"/>
                      <w:jc w:val="left"/>
                      <w:rPr>
                        <w:sz w:val="16"/>
                      </w:rPr>
                    </w:pPr>
                    <w:r>
                      <w:rPr>
                        <w:w w:val="105"/>
                        <w:sz w:val="16"/>
                      </w:rPr>
                      <w:t>Entidad</w:t>
                    </w:r>
                    <w:r>
                      <w:rPr>
                        <w:spacing w:val="-6"/>
                        <w:w w:val="105"/>
                        <w:sz w:val="16"/>
                      </w:rPr>
                      <w:t> </w:t>
                    </w:r>
                    <w:r>
                      <w:rPr>
                        <w:w w:val="105"/>
                        <w:sz w:val="16"/>
                      </w:rPr>
                      <w:t>federativa</w:t>
                    </w:r>
                  </w:p>
                </w:txbxContent>
              </v:textbox>
              <w10:wrap type="none"/>
            </v:shape>
            <v:shape style="position:absolute;left:5681;top:41;width:1859;height:760" type="#_x0000_t202" filled="false" stroked="false">
              <v:textbox inset="0,0,0,0">
                <w:txbxContent>
                  <w:p>
                    <w:pPr>
                      <w:spacing w:line="164" w:lineRule="exact" w:before="0"/>
                      <w:ind w:left="0" w:right="-19" w:firstLine="0"/>
                      <w:jc w:val="left"/>
                      <w:rPr>
                        <w:sz w:val="16"/>
                      </w:rPr>
                    </w:pPr>
                    <w:r>
                      <w:rPr>
                        <w:w w:val="105"/>
                        <w:sz w:val="16"/>
                      </w:rPr>
                      <w:t>Tasa bruta de</w:t>
                    </w:r>
                    <w:r>
                      <w:rPr>
                        <w:spacing w:val="-10"/>
                        <w:w w:val="105"/>
                        <w:sz w:val="16"/>
                      </w:rPr>
                      <w:t> </w:t>
                    </w:r>
                    <w:r>
                      <w:rPr>
                        <w:w w:val="105"/>
                        <w:sz w:val="16"/>
                      </w:rPr>
                      <w:t>mortalidad</w:t>
                    </w:r>
                  </w:p>
                  <w:p>
                    <w:pPr>
                      <w:spacing w:line="261" w:lineRule="auto" w:before="16"/>
                      <w:ind w:left="0" w:right="-19" w:firstLine="0"/>
                      <w:jc w:val="left"/>
                      <w:rPr>
                        <w:sz w:val="16"/>
                      </w:rPr>
                    </w:pPr>
                    <w:r>
                      <w:rPr>
                        <w:w w:val="105"/>
                        <w:sz w:val="16"/>
                      </w:rPr>
                      <w:t>específica por diabetes mellitus por 100,000 habitantes</w:t>
                    </w:r>
                  </w:p>
                </w:txbxContent>
              </v:textbox>
              <w10:wrap type="none"/>
            </v:shape>
            <v:shape style="position:absolute;left:35;top:1044;width:7645;height:2724" type="#_x0000_t202" filled="false" stroked="false">
              <v:textbox inset="0,0,0,0">
                <w:txbxContent>
                  <w:p>
                    <w:pPr>
                      <w:tabs>
                        <w:tab w:pos="1660" w:val="left" w:leader="none"/>
                        <w:tab w:pos="3644" w:val="left" w:leader="none"/>
                        <w:tab w:pos="5523" w:val="left" w:leader="none"/>
                        <w:tab w:pos="7644" w:val="left" w:leader="none"/>
                      </w:tabs>
                      <w:spacing w:line="158" w:lineRule="exact" w:before="0"/>
                      <w:ind w:left="0" w:right="0" w:firstLine="0"/>
                      <w:jc w:val="left"/>
                      <w:rPr>
                        <w:sz w:val="16"/>
                      </w:rPr>
                    </w:pPr>
                    <w:r>
                      <w:rPr>
                        <w:w w:val="100"/>
                        <w:sz w:val="16"/>
                        <w:u w:val="dotted" w:color="929292"/>
                      </w:rPr>
                      <w:t> </w:t>
                    </w:r>
                    <w:r>
                      <w:rPr>
                        <w:spacing w:val="-16"/>
                        <w:sz w:val="16"/>
                        <w:u w:val="dotted" w:color="929292"/>
                      </w:rPr>
                      <w:t> </w:t>
                    </w:r>
                    <w:r>
                      <w:rPr>
                        <w:sz w:val="16"/>
                        <w:u w:val="dotted" w:color="929292"/>
                      </w:rPr>
                      <w:t>Durango</w:t>
                      <w:tab/>
                      <w:t>141.40</w:t>
                      <w:tab/>
                      <w:t>Chihuahua</w:t>
                      <w:tab/>
                      <w:t>63.79</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7"/>
                        <w:sz w:val="16"/>
                        <w:u w:val="dotted" w:color="929292"/>
                      </w:rPr>
                      <w:t> </w:t>
                    </w:r>
                    <w:r>
                      <w:rPr>
                        <w:sz w:val="16"/>
                        <w:u w:val="dotted" w:color="929292"/>
                      </w:rPr>
                      <w:t>Distrito Federal</w:t>
                      <w:tab/>
                      <w:t>103.48</w:t>
                      <w:tab/>
                      <w:t>Nuevo León</w:t>
                      <w:tab/>
                      <w:t>63.74</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7"/>
                        <w:sz w:val="16"/>
                        <w:u w:val="dotted" w:color="929292"/>
                      </w:rPr>
                      <w:t> </w:t>
                    </w:r>
                    <w:r>
                      <w:rPr>
                        <w:sz w:val="16"/>
                        <w:u w:val="dotted" w:color="929292"/>
                      </w:rPr>
                      <w:t>Veracruz</w:t>
                      <w:tab/>
                      <w:t>87.71</w:t>
                      <w:tab/>
                      <w:t>Sonora</w:t>
                      <w:tab/>
                      <w:t>63.47</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7"/>
                        <w:sz w:val="16"/>
                        <w:u w:val="dotted" w:color="929292"/>
                      </w:rPr>
                      <w:t> </w:t>
                    </w:r>
                    <w:r>
                      <w:rPr>
                        <w:sz w:val="16"/>
                        <w:u w:val="dotted" w:color="929292"/>
                      </w:rPr>
                      <w:t>Morelos</w:t>
                      <w:tab/>
                      <w:t>86.76</w:t>
                      <w:tab/>
                      <w:t>San Luis Potosí</w:t>
                      <w:tab/>
                      <w:t>63.32</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7"/>
                        <w:sz w:val="16"/>
                        <w:u w:val="dotted" w:color="929292"/>
                      </w:rPr>
                      <w:t> </w:t>
                    </w:r>
                    <w:r>
                      <w:rPr>
                        <w:sz w:val="16"/>
                        <w:u w:val="dotted" w:color="929292"/>
                      </w:rPr>
                      <w:t>Tlaxcala</w:t>
                      <w:tab/>
                      <w:t>85.50</w:t>
                      <w:tab/>
                      <w:t>Zacatecas</w:t>
                      <w:tab/>
                      <w:t>62.75</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7"/>
                        <w:sz w:val="16"/>
                        <w:u w:val="dotted" w:color="929292"/>
                      </w:rPr>
                      <w:t> </w:t>
                    </w:r>
                    <w:r>
                      <w:rPr>
                        <w:sz w:val="16"/>
                        <w:u w:val="dotted" w:color="929292"/>
                      </w:rPr>
                      <w:t>Puebla</w:t>
                      <w:tab/>
                      <w:t>83.29</w:t>
                      <w:tab/>
                      <w:t>Guerrero</w:t>
                      <w:tab/>
                      <w:t>62.29</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7"/>
                        <w:sz w:val="16"/>
                        <w:u w:val="dotted" w:color="929292"/>
                      </w:rPr>
                      <w:t> </w:t>
                    </w:r>
                    <w:r>
                      <w:rPr>
                        <w:sz w:val="16"/>
                        <w:u w:val="dotted" w:color="929292"/>
                      </w:rPr>
                      <w:t>Michoacán</w:t>
                      <w:tab/>
                      <w:t>83.15</w:t>
                      <w:tab/>
                      <w:t>Yucatán</w:t>
                      <w:tab/>
                      <w:t>61.91</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8"/>
                        <w:sz w:val="16"/>
                        <w:u w:val="dotted" w:color="929292"/>
                      </w:rPr>
                      <w:t> </w:t>
                    </w:r>
                    <w:r>
                      <w:rPr>
                        <w:sz w:val="16"/>
                        <w:u w:val="dotted" w:color="929292"/>
                      </w:rPr>
                      <w:t>Chiapas</w:t>
                      <w:tab/>
                      <w:t>80.27</w:t>
                      <w:tab/>
                      <w:t>Campeche</w:t>
                      <w:tab/>
                      <w:t>61.28</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8"/>
                        <w:sz w:val="16"/>
                        <w:u w:val="dotted" w:color="929292"/>
                      </w:rPr>
                      <w:t> </w:t>
                    </w:r>
                    <w:r>
                      <w:rPr>
                        <w:sz w:val="16"/>
                        <w:u w:val="dotted" w:color="929292"/>
                      </w:rPr>
                      <w:t>Tabasco</w:t>
                      <w:tab/>
                      <w:t>78.27</w:t>
                      <w:tab/>
                      <w:t>Aguascalientes</w:t>
                      <w:tab/>
                      <w:t>58.73</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8"/>
                        <w:sz w:val="16"/>
                        <w:u w:val="dotted" w:color="929292"/>
                      </w:rPr>
                      <w:t> </w:t>
                    </w:r>
                    <w:r>
                      <w:rPr>
                        <w:sz w:val="16"/>
                        <w:u w:val="dotted" w:color="929292"/>
                      </w:rPr>
                      <w:t>Tamaulipas</w:t>
                      <w:tab/>
                      <w:t>77.50</w:t>
                      <w:tab/>
                      <w:t>Querétaro</w:t>
                      <w:tab/>
                      <w:t>57.33</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8"/>
                        <w:sz w:val="16"/>
                        <w:u w:val="dotted" w:color="929292"/>
                      </w:rPr>
                      <w:t> </w:t>
                    </w:r>
                    <w:r>
                      <w:rPr>
                        <w:sz w:val="16"/>
                        <w:u w:val="dotted" w:color="929292"/>
                      </w:rPr>
                      <w:t>México</w:t>
                      <w:tab/>
                      <w:t>76.98</w:t>
                      <w:tab/>
                      <w:t>Baja California</w:t>
                      <w:tab/>
                      <w:t>56.67</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8"/>
                        <w:sz w:val="16"/>
                        <w:u w:val="dotted" w:color="929292"/>
                      </w:rPr>
                      <w:t> </w:t>
                    </w:r>
                    <w:r>
                      <w:rPr>
                        <w:sz w:val="16"/>
                        <w:u w:val="dotted" w:color="929292"/>
                      </w:rPr>
                      <w:t>Jalisco</w:t>
                      <w:tab/>
                      <w:t>72.24</w:t>
                      <w:tab/>
                      <w:t>Sinaloa</w:t>
                      <w:tab/>
                      <w:t>56.47</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8"/>
                        <w:sz w:val="16"/>
                        <w:u w:val="dotted" w:color="929292"/>
                      </w:rPr>
                      <w:t> </w:t>
                    </w:r>
                    <w:r>
                      <w:rPr>
                        <w:sz w:val="16"/>
                        <w:u w:val="dotted" w:color="929292"/>
                      </w:rPr>
                      <w:t>Colima</w:t>
                      <w:tab/>
                      <w:t>71.19</w:t>
                      <w:tab/>
                      <w:t>Guanajuato</w:t>
                      <w:tab/>
                      <w:t>55.56</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9"/>
                        <w:sz w:val="16"/>
                        <w:u w:val="dotted" w:color="929292"/>
                      </w:rPr>
                      <w:t> </w:t>
                    </w:r>
                    <w:r>
                      <w:rPr>
                        <w:sz w:val="16"/>
                        <w:u w:val="dotted" w:color="929292"/>
                      </w:rPr>
                      <w:t>Oaxaca</w:t>
                      <w:tab/>
                      <w:t>67.28</w:t>
                      <w:tab/>
                      <w:t>Coahuila</w:t>
                      <w:tab/>
                      <w:t>48.22</w:t>
                      <w:tab/>
                    </w:r>
                  </w:p>
                  <w:p>
                    <w:pPr>
                      <w:tabs>
                        <w:tab w:pos="1660" w:val="left" w:leader="none"/>
                        <w:tab w:pos="3644" w:val="left" w:leader="none"/>
                        <w:tab w:pos="5523" w:val="left" w:leader="none"/>
                        <w:tab w:pos="7644" w:val="left" w:leader="none"/>
                      </w:tabs>
                      <w:spacing w:line="171" w:lineRule="exact" w:before="0"/>
                      <w:ind w:left="0" w:right="0" w:firstLine="0"/>
                      <w:jc w:val="left"/>
                      <w:rPr>
                        <w:sz w:val="16"/>
                      </w:rPr>
                    </w:pPr>
                    <w:r>
                      <w:rPr>
                        <w:w w:val="100"/>
                        <w:sz w:val="16"/>
                        <w:u w:val="dotted" w:color="929292"/>
                      </w:rPr>
                      <w:t> </w:t>
                    </w:r>
                    <w:r>
                      <w:rPr>
                        <w:spacing w:val="-19"/>
                        <w:sz w:val="16"/>
                        <w:u w:val="dotted" w:color="929292"/>
                      </w:rPr>
                      <w:t> </w:t>
                    </w:r>
                    <w:r>
                      <w:rPr>
                        <w:sz w:val="16"/>
                        <w:u w:val="dotted" w:color="929292"/>
                      </w:rPr>
                      <w:t>Hidalgo</w:t>
                      <w:tab/>
                      <w:t>67.05</w:t>
                      <w:tab/>
                      <w:t>Baja California Sur</w:t>
                      <w:tab/>
                      <w:t>42.86</w:t>
                      <w:tab/>
                    </w:r>
                  </w:p>
                  <w:p>
                    <w:pPr>
                      <w:tabs>
                        <w:tab w:pos="1660" w:val="left" w:leader="none"/>
                        <w:tab w:pos="3644" w:val="left" w:leader="none"/>
                        <w:tab w:pos="5523" w:val="left" w:leader="none"/>
                        <w:tab w:pos="7644" w:val="left" w:leader="none"/>
                      </w:tabs>
                      <w:spacing w:line="173" w:lineRule="exact" w:before="0"/>
                      <w:ind w:left="0" w:right="0" w:firstLine="0"/>
                      <w:jc w:val="left"/>
                      <w:rPr>
                        <w:sz w:val="16"/>
                      </w:rPr>
                    </w:pPr>
                    <w:r>
                      <w:rPr>
                        <w:w w:val="100"/>
                        <w:sz w:val="16"/>
                        <w:u w:val="dotted" w:color="929292"/>
                      </w:rPr>
                      <w:t> </w:t>
                    </w:r>
                    <w:r>
                      <w:rPr>
                        <w:spacing w:val="-19"/>
                        <w:sz w:val="16"/>
                        <w:u w:val="dotted" w:color="929292"/>
                      </w:rPr>
                      <w:t> </w:t>
                    </w:r>
                    <w:r>
                      <w:rPr>
                        <w:sz w:val="16"/>
                        <w:u w:val="dotted" w:color="929292"/>
                      </w:rPr>
                      <w:t>Nayarit</w:t>
                      <w:tab/>
                      <w:t>64.52</w:t>
                      <w:tab/>
                      <w:t>Quintana</w:t>
                    </w:r>
                    <w:r>
                      <w:rPr>
                        <w:spacing w:val="-1"/>
                        <w:sz w:val="16"/>
                        <w:u w:val="dotted" w:color="929292"/>
                      </w:rPr>
                      <w:t> </w:t>
                    </w:r>
                    <w:r>
                      <w:rPr>
                        <w:sz w:val="16"/>
                        <w:u w:val="dotted" w:color="929292"/>
                      </w:rPr>
                      <w:t>Roo</w:t>
                      <w:tab/>
                      <w:t>41.72</w:t>
                      <w:tab/>
                    </w:r>
                  </w:p>
                </w:txbxContent>
              </v:textbox>
              <w10:wrap type="none"/>
            </v:shape>
          </v:group>
        </w:pict>
      </w:r>
      <w:r>
        <w:rPr/>
      </w:r>
    </w:p>
    <w:p>
      <w:pPr>
        <w:spacing w:line="312" w:lineRule="auto" w:before="44"/>
        <w:ind w:left="1105" w:right="0" w:hanging="975"/>
        <w:jc w:val="left"/>
        <w:rPr>
          <w:sz w:val="16"/>
        </w:rPr>
      </w:pPr>
      <w:r>
        <w:rPr>
          <w:color w:val="6D6E71"/>
          <w:sz w:val="16"/>
        </w:rPr>
        <w:t>Fuente: Elaboración propia con base en el Instituto Nacional de Estadística y Geografía (INEGI) y Sistema Nacional de Información en Salud (SINAIS), Datos consultados Febrero, 2015.</w:t>
      </w:r>
    </w:p>
    <w:p>
      <w:pPr>
        <w:spacing w:after="0" w:line="312" w:lineRule="auto"/>
        <w:jc w:val="left"/>
        <w:rPr>
          <w:sz w:val="16"/>
        </w:rPr>
        <w:sectPr>
          <w:type w:val="continuous"/>
          <w:pgSz w:w="18830" w:h="12760" w:orient="landscape"/>
          <w:pgMar w:top="1420" w:bottom="280" w:left="720" w:right="720"/>
          <w:cols w:num="2" w:equalWidth="0">
            <w:col w:w="7842" w:space="1662"/>
            <w:col w:w="7886"/>
          </w:cols>
        </w:sectPr>
      </w:pPr>
    </w:p>
    <w:p>
      <w:pPr>
        <w:pStyle w:val="BodyText"/>
        <w:spacing w:before="6"/>
        <w:rPr>
          <w:sz w:val="23"/>
        </w:rPr>
      </w:pPr>
    </w:p>
    <w:p>
      <w:pPr>
        <w:spacing w:after="0"/>
        <w:rPr>
          <w:sz w:val="23"/>
        </w:rPr>
        <w:sectPr>
          <w:footerReference w:type="default" r:id="rId406"/>
          <w:pgSz w:w="18830" w:h="12760" w:orient="landscape"/>
          <w:pgMar w:footer="1036" w:header="522" w:top="820" w:bottom="1220" w:left="720" w:right="720"/>
        </w:sectPr>
      </w:pPr>
    </w:p>
    <w:p>
      <w:pPr>
        <w:spacing w:before="114"/>
        <w:ind w:left="613" w:right="1" w:firstLine="0"/>
        <w:jc w:val="left"/>
        <w:rPr>
          <w:sz w:val="16"/>
        </w:rPr>
      </w:pPr>
      <w:r>
        <w:rPr/>
        <w:drawing>
          <wp:anchor distT="0" distB="0" distL="0" distR="0" allowOverlap="1" layoutInCell="1" locked="0" behindDoc="0" simplePos="0" relativeHeight="14488">
            <wp:simplePos x="0" y="0"/>
            <wp:positionH relativeFrom="page">
              <wp:posOffset>532917</wp:posOffset>
            </wp:positionH>
            <wp:positionV relativeFrom="paragraph">
              <wp:posOffset>250537</wp:posOffset>
            </wp:positionV>
            <wp:extent cx="4911229" cy="3273552"/>
            <wp:effectExtent l="0" t="0" r="0" b="0"/>
            <wp:wrapNone/>
            <wp:docPr id="163" name="image118.jpeg" descr=""/>
            <wp:cNvGraphicFramePr>
              <a:graphicFrameLocks noChangeAspect="1"/>
            </wp:cNvGraphicFramePr>
            <a:graphic>
              <a:graphicData uri="http://schemas.openxmlformats.org/drawingml/2006/picture">
                <pic:pic>
                  <pic:nvPicPr>
                    <pic:cNvPr id="164" name="image118.jpeg"/>
                    <pic:cNvPicPr/>
                  </pic:nvPicPr>
                  <pic:blipFill>
                    <a:blip r:embed="rId407" cstate="print"/>
                    <a:stretch>
                      <a:fillRect/>
                    </a:stretch>
                  </pic:blipFill>
                  <pic:spPr>
                    <a:xfrm>
                      <a:off x="0" y="0"/>
                      <a:ext cx="4911229" cy="3273552"/>
                    </a:xfrm>
                    <a:prstGeom prst="rect">
                      <a:avLst/>
                    </a:prstGeom>
                  </pic:spPr>
                </pic:pic>
              </a:graphicData>
            </a:graphic>
          </wp:anchor>
        </w:drawing>
      </w:r>
      <w:r>
        <w:rPr>
          <w:color w:val="6D6E71"/>
          <w:sz w:val="16"/>
        </w:rPr>
        <w:t>Figura 4. México: Mortalidad específica por diabetes mellitus, por entidades federativas,  2010.</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7"/>
        </w:rPr>
      </w:pPr>
    </w:p>
    <w:p>
      <w:pPr>
        <w:pStyle w:val="BodyText"/>
        <w:spacing w:line="249" w:lineRule="auto"/>
        <w:ind w:left="130" w:right="9" w:firstLine="170"/>
        <w:jc w:val="both"/>
      </w:pPr>
      <w:r>
        <w:rPr/>
        <w:t>En México, para el año 2010, las tasas brutas de mortalidad específica por diabetes mellitus, a nivel de jurisdicción sanitaria, presenta la siguiente distribución: de acuerdo a</w:t>
      </w:r>
      <w:r>
        <w:rPr>
          <w:spacing w:val="-7"/>
        </w:rPr>
        <w:t> </w:t>
      </w:r>
      <w:r>
        <w:rPr/>
        <w:t>SINAIS</w:t>
      </w:r>
      <w:r>
        <w:rPr>
          <w:spacing w:val="-7"/>
        </w:rPr>
        <w:t> </w:t>
      </w:r>
      <w:r>
        <w:rPr/>
        <w:t>(2015),</w:t>
      </w:r>
      <w:r>
        <w:rPr>
          <w:spacing w:val="-7"/>
        </w:rPr>
        <w:t> </w:t>
      </w:r>
      <w:r>
        <w:rPr/>
        <w:t>estas</w:t>
      </w:r>
      <w:r>
        <w:rPr>
          <w:spacing w:val="-7"/>
        </w:rPr>
        <w:t> </w:t>
      </w:r>
      <w:r>
        <w:rPr/>
        <w:t>suman</w:t>
      </w:r>
      <w:r>
        <w:rPr>
          <w:spacing w:val="-7"/>
        </w:rPr>
        <w:t> </w:t>
      </w:r>
      <w:r>
        <w:rPr/>
        <w:t>232,</w:t>
      </w:r>
      <w:r>
        <w:rPr>
          <w:spacing w:val="-7"/>
        </w:rPr>
        <w:t> </w:t>
      </w:r>
      <w:r>
        <w:rPr/>
        <w:t>de</w:t>
      </w:r>
      <w:r>
        <w:rPr>
          <w:spacing w:val="-7"/>
        </w:rPr>
        <w:t> </w:t>
      </w:r>
      <w:r>
        <w:rPr/>
        <w:t>las</w:t>
      </w:r>
      <w:r>
        <w:rPr>
          <w:spacing w:val="-7"/>
        </w:rPr>
        <w:t> </w:t>
      </w:r>
      <w:r>
        <w:rPr/>
        <w:t>cuales</w:t>
      </w:r>
      <w:r>
        <w:rPr>
          <w:spacing w:val="-7"/>
        </w:rPr>
        <w:t> </w:t>
      </w:r>
      <w:r>
        <w:rPr/>
        <w:t>tres</w:t>
      </w:r>
      <w:r>
        <w:rPr>
          <w:spacing w:val="-7"/>
        </w:rPr>
        <w:t> </w:t>
      </w:r>
      <w:r>
        <w:rPr/>
        <w:t>(1.7%)</w:t>
      </w:r>
      <w:r>
        <w:rPr>
          <w:spacing w:val="-7"/>
        </w:rPr>
        <w:t> </w:t>
      </w:r>
      <w:r>
        <w:rPr/>
        <w:t>registran</w:t>
      </w:r>
      <w:r>
        <w:rPr>
          <w:spacing w:val="-7"/>
        </w:rPr>
        <w:t> </w:t>
      </w:r>
      <w:r>
        <w:rPr/>
        <w:t>tasas</w:t>
      </w:r>
      <w:r>
        <w:rPr>
          <w:spacing w:val="-7"/>
        </w:rPr>
        <w:t> </w:t>
      </w:r>
      <w:r>
        <w:rPr/>
        <w:t>muy</w:t>
      </w:r>
      <w:r>
        <w:rPr>
          <w:spacing w:val="-7"/>
        </w:rPr>
        <w:t> </w:t>
      </w:r>
      <w:r>
        <w:rPr/>
        <w:t>bajas; 33</w:t>
      </w:r>
      <w:r>
        <w:rPr>
          <w:spacing w:val="22"/>
        </w:rPr>
        <w:t> </w:t>
      </w:r>
      <w:r>
        <w:rPr/>
        <w:t>(14.2%)</w:t>
      </w:r>
      <w:r>
        <w:rPr>
          <w:spacing w:val="22"/>
        </w:rPr>
        <w:t> </w:t>
      </w:r>
      <w:r>
        <w:rPr/>
        <w:t>con</w:t>
      </w:r>
      <w:r>
        <w:rPr>
          <w:spacing w:val="22"/>
        </w:rPr>
        <w:t> </w:t>
      </w:r>
      <w:r>
        <w:rPr/>
        <w:t>tasas</w:t>
      </w:r>
      <w:r>
        <w:rPr>
          <w:spacing w:val="22"/>
        </w:rPr>
        <w:t> </w:t>
      </w:r>
      <w:r>
        <w:rPr/>
        <w:t>bajas;</w:t>
      </w:r>
      <w:r>
        <w:rPr>
          <w:spacing w:val="22"/>
        </w:rPr>
        <w:t> </w:t>
      </w:r>
      <w:r>
        <w:rPr/>
        <w:t>110</w:t>
      </w:r>
      <w:r>
        <w:rPr>
          <w:spacing w:val="22"/>
        </w:rPr>
        <w:t> </w:t>
      </w:r>
      <w:r>
        <w:rPr/>
        <w:t>(46.1%);</w:t>
      </w:r>
      <w:r>
        <w:rPr>
          <w:spacing w:val="22"/>
        </w:rPr>
        <w:t> </w:t>
      </w:r>
      <w:r>
        <w:rPr/>
        <w:t>con</w:t>
      </w:r>
      <w:r>
        <w:rPr>
          <w:spacing w:val="22"/>
        </w:rPr>
        <w:t> </w:t>
      </w:r>
      <w:r>
        <w:rPr/>
        <w:t>tasas</w:t>
      </w:r>
      <w:r>
        <w:rPr>
          <w:spacing w:val="22"/>
        </w:rPr>
        <w:t> </w:t>
      </w:r>
      <w:r>
        <w:rPr/>
        <w:t>medio</w:t>
      </w:r>
      <w:r>
        <w:rPr>
          <w:spacing w:val="22"/>
        </w:rPr>
        <w:t> </w:t>
      </w:r>
      <w:r>
        <w:rPr/>
        <w:t>bajas;</w:t>
      </w:r>
      <w:r>
        <w:rPr>
          <w:spacing w:val="22"/>
        </w:rPr>
        <w:t> </w:t>
      </w:r>
      <w:r>
        <w:rPr/>
        <w:t>63</w:t>
      </w:r>
      <w:r>
        <w:rPr>
          <w:spacing w:val="22"/>
        </w:rPr>
        <w:t> </w:t>
      </w:r>
      <w:r>
        <w:rPr/>
        <w:t>(27.2%)</w:t>
      </w:r>
      <w:r>
        <w:rPr>
          <w:spacing w:val="22"/>
        </w:rPr>
        <w:t> </w:t>
      </w:r>
      <w:r>
        <w:rPr/>
        <w:t>medio</w:t>
      </w:r>
    </w:p>
    <w:p>
      <w:pPr>
        <w:pStyle w:val="BodyText"/>
        <w:spacing w:before="1"/>
        <w:ind w:left="130"/>
        <w:jc w:val="both"/>
      </w:pPr>
      <w:r>
        <w:rPr/>
        <w:t>altas; 13 (6.5%) con tasas altas;  y 10 (4.3%) con tasas muy altas.</w:t>
      </w:r>
    </w:p>
    <w:p>
      <w:pPr>
        <w:pStyle w:val="BodyText"/>
        <w:spacing w:before="8"/>
        <w:rPr>
          <w:sz w:val="21"/>
        </w:rPr>
      </w:pPr>
    </w:p>
    <w:p>
      <w:pPr>
        <w:pStyle w:val="BodyText"/>
        <w:spacing w:line="249" w:lineRule="auto"/>
        <w:ind w:left="130" w:right="8" w:firstLine="170"/>
        <w:jc w:val="both"/>
      </w:pPr>
      <w:r>
        <w:rPr/>
        <w:t>Las jurisdicciones sanitarias con mortalidad muy baja son El Fuerte (Chihuahua), Ocosingo (Chiapas) y Palenque (Chiapas), con tasas de 17.33, 20.17 y 20.74 por cada 100,000 habitantes respectivamente; algunas de las jurisdicciones con mortalidad baja son</w:t>
      </w:r>
      <w:r>
        <w:rPr>
          <w:spacing w:val="-20"/>
        </w:rPr>
        <w:t> </w:t>
      </w:r>
      <w:r>
        <w:rPr/>
        <w:t>la</w:t>
      </w:r>
      <w:r>
        <w:rPr>
          <w:spacing w:val="-20"/>
        </w:rPr>
        <w:t> </w:t>
      </w:r>
      <w:r>
        <w:rPr/>
        <w:t>de</w:t>
      </w:r>
      <w:r>
        <w:rPr>
          <w:spacing w:val="-20"/>
        </w:rPr>
        <w:t> </w:t>
      </w:r>
      <w:r>
        <w:rPr/>
        <w:t>los</w:t>
      </w:r>
      <w:r>
        <w:rPr>
          <w:spacing w:val="-20"/>
        </w:rPr>
        <w:t> </w:t>
      </w:r>
      <w:r>
        <w:rPr/>
        <w:t>Cabos</w:t>
      </w:r>
      <w:r>
        <w:rPr>
          <w:spacing w:val="-20"/>
        </w:rPr>
        <w:t> </w:t>
      </w:r>
      <w:r>
        <w:rPr/>
        <w:t>(Baja</w:t>
      </w:r>
      <w:r>
        <w:rPr>
          <w:spacing w:val="-20"/>
        </w:rPr>
        <w:t> </w:t>
      </w:r>
      <w:r>
        <w:rPr/>
        <w:t>California</w:t>
      </w:r>
      <w:r>
        <w:rPr>
          <w:spacing w:val="-20"/>
        </w:rPr>
        <w:t> </w:t>
      </w:r>
      <w:r>
        <w:rPr/>
        <w:t>Sur),</w:t>
      </w:r>
      <w:r>
        <w:rPr>
          <w:spacing w:val="15"/>
        </w:rPr>
        <w:t> </w:t>
      </w:r>
      <w:r>
        <w:rPr/>
        <w:t>Motozintla</w:t>
      </w:r>
      <w:r>
        <w:rPr>
          <w:spacing w:val="-20"/>
        </w:rPr>
        <w:t> </w:t>
      </w:r>
      <w:r>
        <w:rPr/>
        <w:t>(Chiapas),</w:t>
      </w:r>
      <w:r>
        <w:rPr>
          <w:spacing w:val="-20"/>
        </w:rPr>
        <w:t> </w:t>
      </w:r>
      <w:r>
        <w:rPr/>
        <w:t>Montaña(Guerrero)</w:t>
      </w:r>
      <w:r>
        <w:rPr>
          <w:spacing w:val="-20"/>
        </w:rPr>
        <w:t> </w:t>
      </w:r>
      <w:r>
        <w:rPr/>
        <w:t>entre otras, estas cuentan con tasas de 26.84, 28.65 y 28.89 por cada 100,000habitantes; algunas</w:t>
      </w:r>
      <w:r>
        <w:rPr>
          <w:spacing w:val="-5"/>
        </w:rPr>
        <w:t> </w:t>
      </w:r>
      <w:r>
        <w:rPr/>
        <w:t>de</w:t>
      </w:r>
      <w:r>
        <w:rPr>
          <w:spacing w:val="-5"/>
        </w:rPr>
        <w:t> </w:t>
      </w:r>
      <w:r>
        <w:rPr/>
        <w:t>las</w:t>
      </w:r>
      <w:r>
        <w:rPr>
          <w:spacing w:val="-5"/>
        </w:rPr>
        <w:t> </w:t>
      </w:r>
      <w:r>
        <w:rPr/>
        <w:t>jurisdicciones</w:t>
      </w:r>
      <w:r>
        <w:rPr>
          <w:spacing w:val="-5"/>
        </w:rPr>
        <w:t> </w:t>
      </w:r>
      <w:r>
        <w:rPr/>
        <w:t>con</w:t>
      </w:r>
      <w:r>
        <w:rPr>
          <w:spacing w:val="-5"/>
        </w:rPr>
        <w:t> </w:t>
      </w:r>
      <w:r>
        <w:rPr/>
        <w:t>tasas</w:t>
      </w:r>
      <w:r>
        <w:rPr>
          <w:spacing w:val="-5"/>
        </w:rPr>
        <w:t> </w:t>
      </w:r>
      <w:r>
        <w:rPr/>
        <w:t>de</w:t>
      </w:r>
      <w:r>
        <w:rPr>
          <w:spacing w:val="-5"/>
        </w:rPr>
        <w:t> </w:t>
      </w:r>
      <w:r>
        <w:rPr/>
        <w:t>mortalidad</w:t>
      </w:r>
      <w:r>
        <w:rPr>
          <w:spacing w:val="-5"/>
        </w:rPr>
        <w:t> </w:t>
      </w:r>
      <w:r>
        <w:rPr/>
        <w:t>media</w:t>
      </w:r>
      <w:r>
        <w:rPr>
          <w:spacing w:val="-5"/>
        </w:rPr>
        <w:t> </w:t>
      </w:r>
      <w:r>
        <w:rPr/>
        <w:t>bajas</w:t>
      </w:r>
      <w:r>
        <w:rPr>
          <w:spacing w:val="-5"/>
        </w:rPr>
        <w:t> </w:t>
      </w:r>
      <w:r>
        <w:rPr/>
        <w:t>son</w:t>
      </w:r>
      <w:r>
        <w:rPr>
          <w:spacing w:val="-5"/>
        </w:rPr>
        <w:t> </w:t>
      </w:r>
      <w:r>
        <w:rPr/>
        <w:t>la</w:t>
      </w:r>
      <w:r>
        <w:rPr>
          <w:spacing w:val="-5"/>
        </w:rPr>
        <w:t> </w:t>
      </w:r>
      <w:r>
        <w:rPr/>
        <w:t>de</w:t>
      </w:r>
      <w:r>
        <w:rPr>
          <w:spacing w:val="-5"/>
        </w:rPr>
        <w:t> </w:t>
      </w:r>
      <w:r>
        <w:rPr/>
        <w:t>Guadalupe (Nuevo</w:t>
      </w:r>
      <w:r>
        <w:rPr>
          <w:spacing w:val="19"/>
        </w:rPr>
        <w:t> </w:t>
      </w:r>
      <w:r>
        <w:rPr/>
        <w:t>León),</w:t>
      </w:r>
      <w:r>
        <w:rPr>
          <w:spacing w:val="19"/>
        </w:rPr>
        <w:t> </w:t>
      </w:r>
      <w:r>
        <w:rPr/>
        <w:t>Tenancingo</w:t>
      </w:r>
      <w:r>
        <w:rPr>
          <w:spacing w:val="19"/>
        </w:rPr>
        <w:t> </w:t>
      </w:r>
      <w:r>
        <w:rPr/>
        <w:t>(México)</w:t>
      </w:r>
      <w:r>
        <w:rPr>
          <w:spacing w:val="19"/>
        </w:rPr>
        <w:t> </w:t>
      </w:r>
      <w:r>
        <w:rPr/>
        <w:t>y</w:t>
      </w:r>
      <w:r>
        <w:rPr>
          <w:spacing w:val="19"/>
        </w:rPr>
        <w:t> </w:t>
      </w:r>
      <w:r>
        <w:rPr/>
        <w:t>Jonuta</w:t>
      </w:r>
      <w:r>
        <w:rPr>
          <w:spacing w:val="19"/>
        </w:rPr>
        <w:t> </w:t>
      </w:r>
      <w:r>
        <w:rPr/>
        <w:t>(Tabasco)</w:t>
      </w:r>
      <w:r>
        <w:rPr>
          <w:spacing w:val="19"/>
        </w:rPr>
        <w:t> </w:t>
      </w:r>
      <w:r>
        <w:rPr/>
        <w:t>con</w:t>
      </w:r>
      <w:r>
        <w:rPr>
          <w:spacing w:val="19"/>
        </w:rPr>
        <w:t> </w:t>
      </w:r>
      <w:r>
        <w:rPr/>
        <w:t>tasas</w:t>
      </w:r>
      <w:r>
        <w:rPr>
          <w:spacing w:val="19"/>
        </w:rPr>
        <w:t> </w:t>
      </w:r>
      <w:r>
        <w:rPr/>
        <w:t>de</w:t>
      </w:r>
      <w:r>
        <w:rPr>
          <w:spacing w:val="19"/>
        </w:rPr>
        <w:t> </w:t>
      </w:r>
      <w:r>
        <w:rPr/>
        <w:t>51.09,</w:t>
      </w:r>
      <w:r>
        <w:rPr>
          <w:spacing w:val="19"/>
        </w:rPr>
        <w:t> </w:t>
      </w:r>
      <w:r>
        <w:rPr/>
        <w:t>51.35</w:t>
      </w:r>
      <w:r>
        <w:rPr>
          <w:spacing w:val="19"/>
        </w:rPr>
        <w:t> </w:t>
      </w:r>
      <w:r>
        <w:rPr/>
        <w:t>y</w:t>
      </w:r>
    </w:p>
    <w:p>
      <w:pPr>
        <w:pStyle w:val="BodyText"/>
        <w:spacing w:line="249" w:lineRule="auto" w:before="1"/>
        <w:ind w:left="130" w:right="8"/>
        <w:jc w:val="both"/>
      </w:pPr>
      <w:r>
        <w:rPr/>
        <w:t>51.59</w:t>
      </w:r>
      <w:r>
        <w:rPr>
          <w:spacing w:val="-10"/>
        </w:rPr>
        <w:t> </w:t>
      </w:r>
      <w:r>
        <w:rPr/>
        <w:t>por</w:t>
      </w:r>
      <w:r>
        <w:rPr>
          <w:spacing w:val="-10"/>
        </w:rPr>
        <w:t> </w:t>
      </w:r>
      <w:r>
        <w:rPr/>
        <w:t>cada</w:t>
      </w:r>
      <w:r>
        <w:rPr>
          <w:spacing w:val="-10"/>
        </w:rPr>
        <w:t> </w:t>
      </w:r>
      <w:r>
        <w:rPr/>
        <w:t>100,000</w:t>
      </w:r>
      <w:r>
        <w:rPr>
          <w:spacing w:val="-10"/>
        </w:rPr>
        <w:t> </w:t>
      </w:r>
      <w:r>
        <w:rPr/>
        <w:t>habitantes;</w:t>
      </w:r>
      <w:r>
        <w:rPr>
          <w:spacing w:val="-10"/>
        </w:rPr>
        <w:t> </w:t>
      </w:r>
      <w:r>
        <w:rPr/>
        <w:t>las</w:t>
      </w:r>
      <w:r>
        <w:rPr>
          <w:spacing w:val="-10"/>
        </w:rPr>
        <w:t> </w:t>
      </w:r>
      <w:r>
        <w:rPr/>
        <w:t>tasas</w:t>
      </w:r>
      <w:r>
        <w:rPr>
          <w:spacing w:val="-10"/>
        </w:rPr>
        <w:t> </w:t>
      </w:r>
      <w:r>
        <w:rPr/>
        <w:t>de</w:t>
      </w:r>
      <w:r>
        <w:rPr>
          <w:spacing w:val="-10"/>
        </w:rPr>
        <w:t> </w:t>
      </w:r>
      <w:r>
        <w:rPr/>
        <w:t>mortalidad</w:t>
      </w:r>
      <w:r>
        <w:rPr>
          <w:spacing w:val="-10"/>
        </w:rPr>
        <w:t> </w:t>
      </w:r>
      <w:r>
        <w:rPr/>
        <w:t>media</w:t>
      </w:r>
      <w:r>
        <w:rPr>
          <w:spacing w:val="-10"/>
        </w:rPr>
        <w:t> </w:t>
      </w:r>
      <w:r>
        <w:rPr/>
        <w:t>altas</w:t>
      </w:r>
      <w:r>
        <w:rPr>
          <w:spacing w:val="-10"/>
        </w:rPr>
        <w:t> </w:t>
      </w:r>
      <w:r>
        <w:rPr/>
        <w:t>se</w:t>
      </w:r>
      <w:r>
        <w:rPr>
          <w:spacing w:val="-10"/>
        </w:rPr>
        <w:t> </w:t>
      </w:r>
      <w:r>
        <w:rPr/>
        <w:t>presentan</w:t>
      </w:r>
      <w:r>
        <w:rPr>
          <w:spacing w:val="-10"/>
        </w:rPr>
        <w:t> </w:t>
      </w:r>
      <w:r>
        <w:rPr/>
        <w:t>en Morelia</w:t>
      </w:r>
      <w:r>
        <w:rPr>
          <w:spacing w:val="-7"/>
        </w:rPr>
        <w:t> </w:t>
      </w:r>
      <w:r>
        <w:rPr/>
        <w:t>(Michoacán),</w:t>
      </w:r>
      <w:r>
        <w:rPr>
          <w:spacing w:val="-7"/>
        </w:rPr>
        <w:t> </w:t>
      </w:r>
      <w:r>
        <w:rPr/>
        <w:t>Acámbaro</w:t>
      </w:r>
      <w:r>
        <w:rPr>
          <w:spacing w:val="-7"/>
        </w:rPr>
        <w:t> </w:t>
      </w:r>
      <w:r>
        <w:rPr/>
        <w:t>(Guanajuato),</w:t>
      </w:r>
      <w:r>
        <w:rPr>
          <w:spacing w:val="-7"/>
        </w:rPr>
        <w:t> </w:t>
      </w:r>
      <w:r>
        <w:rPr/>
        <w:t>y</w:t>
      </w:r>
      <w:r>
        <w:rPr>
          <w:spacing w:val="-7"/>
        </w:rPr>
        <w:t> </w:t>
      </w:r>
      <w:r>
        <w:rPr/>
        <w:t>Tecomán</w:t>
      </w:r>
      <w:r>
        <w:rPr>
          <w:spacing w:val="-7"/>
        </w:rPr>
        <w:t> </w:t>
      </w:r>
      <w:r>
        <w:rPr/>
        <w:t>(Colima)</w:t>
      </w:r>
      <w:r>
        <w:rPr>
          <w:spacing w:val="-7"/>
        </w:rPr>
        <w:t> </w:t>
      </w:r>
      <w:r>
        <w:rPr/>
        <w:t>con</w:t>
      </w:r>
      <w:r>
        <w:rPr>
          <w:spacing w:val="-7"/>
        </w:rPr>
        <w:t> </w:t>
      </w:r>
      <w:r>
        <w:rPr/>
        <w:t>tasas</w:t>
      </w:r>
      <w:r>
        <w:rPr>
          <w:spacing w:val="-7"/>
        </w:rPr>
        <w:t> </w:t>
      </w:r>
      <w:r>
        <w:rPr/>
        <w:t>de</w:t>
      </w:r>
      <w:r>
        <w:rPr>
          <w:spacing w:val="-7"/>
        </w:rPr>
        <w:t> </w:t>
      </w:r>
      <w:r>
        <w:rPr/>
        <w:t>76.54,</w:t>
      </w:r>
    </w:p>
    <w:p>
      <w:pPr>
        <w:pStyle w:val="ListParagraph"/>
        <w:numPr>
          <w:ilvl w:val="1"/>
          <w:numId w:val="46"/>
        </w:numPr>
        <w:tabs>
          <w:tab w:pos="683" w:val="left" w:leader="none"/>
        </w:tabs>
        <w:spacing w:line="249" w:lineRule="auto" w:before="1" w:after="0"/>
        <w:ind w:left="130" w:right="8" w:firstLine="0"/>
        <w:jc w:val="both"/>
        <w:rPr>
          <w:sz w:val="20"/>
        </w:rPr>
      </w:pPr>
      <w:r>
        <w:rPr>
          <w:sz w:val="20"/>
        </w:rPr>
        <w:t>y 77.02 por cada 100,000habitantes; las tasas de mortalidad alta se identificaron en Zamora (Michoacán), Ciudad Guzmán (Jalisco), Apatzingán (Michoacán), con</w:t>
      </w:r>
      <w:r>
        <w:rPr>
          <w:spacing w:val="-11"/>
          <w:sz w:val="20"/>
        </w:rPr>
        <w:t> </w:t>
      </w:r>
      <w:r>
        <w:rPr>
          <w:sz w:val="20"/>
        </w:rPr>
        <w:t>tasas de 101.98, 105.89 y 106.43 por cada 100,000habitantes; por último las   </w:t>
      </w:r>
      <w:r>
        <w:rPr>
          <w:spacing w:val="7"/>
          <w:sz w:val="20"/>
        </w:rPr>
        <w:t> </w:t>
      </w:r>
      <w:r>
        <w:rPr>
          <w:sz w:val="20"/>
        </w:rPr>
        <w:t>jurisdicciones</w:t>
      </w:r>
    </w:p>
    <w:p>
      <w:pPr>
        <w:pStyle w:val="BodyText"/>
        <w:spacing w:line="249" w:lineRule="auto" w:before="76"/>
        <w:ind w:left="119" w:right="140"/>
        <w:jc w:val="both"/>
      </w:pPr>
      <w:r>
        <w:rPr/>
        <w:br w:type="column"/>
      </w:r>
      <w:r>
        <w:rPr/>
        <w:t>con tasas muy altas de mortalidad son Rodeo (Durango), Santiago Papasquiaro (Durango), Milpa Alta (D.F.),estas presentaron tasas de 568.97, 477.83 y 238.16 por cada 100,000 habitantes (figura 5).</w:t>
      </w:r>
    </w:p>
    <w:p>
      <w:pPr>
        <w:pStyle w:val="BodyText"/>
        <w:spacing w:before="2"/>
        <w:rPr>
          <w:sz w:val="24"/>
        </w:rPr>
      </w:pPr>
    </w:p>
    <w:p>
      <w:pPr>
        <w:spacing w:before="0"/>
        <w:ind w:left="661" w:right="0" w:firstLine="0"/>
        <w:jc w:val="left"/>
        <w:rPr>
          <w:sz w:val="16"/>
        </w:rPr>
      </w:pPr>
      <w:r>
        <w:rPr>
          <w:color w:val="6D6E71"/>
          <w:sz w:val="16"/>
        </w:rPr>
        <w:t>Figura 5. México: Mortalidad específica por diabetes mellitus, por jurisdicción sanitaria,  2010</w:t>
      </w:r>
    </w:p>
    <w:p>
      <w:pPr>
        <w:pStyle w:val="BodyText"/>
        <w:spacing w:before="6"/>
        <w:rPr>
          <w:sz w:val="15"/>
        </w:rPr>
      </w:pPr>
      <w:r>
        <w:rPr/>
        <w:drawing>
          <wp:anchor distT="0" distB="0" distL="0" distR="0" allowOverlap="1" layoutInCell="1" locked="0" behindDoc="0" simplePos="0" relativeHeight="14464">
            <wp:simplePos x="0" y="0"/>
            <wp:positionH relativeFrom="page">
              <wp:posOffset>6507990</wp:posOffset>
            </wp:positionH>
            <wp:positionV relativeFrom="paragraph">
              <wp:posOffset>138609</wp:posOffset>
            </wp:positionV>
            <wp:extent cx="4901876" cy="3145536"/>
            <wp:effectExtent l="0" t="0" r="0" b="0"/>
            <wp:wrapTopAndBottom/>
            <wp:docPr id="165" name="image119.jpeg" descr=""/>
            <wp:cNvGraphicFramePr>
              <a:graphicFrameLocks noChangeAspect="1"/>
            </wp:cNvGraphicFramePr>
            <a:graphic>
              <a:graphicData uri="http://schemas.openxmlformats.org/drawingml/2006/picture">
                <pic:pic>
                  <pic:nvPicPr>
                    <pic:cNvPr id="166" name="image119.jpeg"/>
                    <pic:cNvPicPr/>
                  </pic:nvPicPr>
                  <pic:blipFill>
                    <a:blip r:embed="rId408" cstate="print"/>
                    <a:stretch>
                      <a:fillRect/>
                    </a:stretch>
                  </pic:blipFill>
                  <pic:spPr>
                    <a:xfrm>
                      <a:off x="0" y="0"/>
                      <a:ext cx="4901876" cy="3145536"/>
                    </a:xfrm>
                    <a:prstGeom prst="rect">
                      <a:avLst/>
                    </a:prstGeom>
                  </pic:spPr>
                </pic:pic>
              </a:graphicData>
            </a:graphic>
          </wp:anchor>
        </w:drawing>
      </w:r>
    </w:p>
    <w:p>
      <w:pPr>
        <w:pStyle w:val="BodyText"/>
        <w:rPr>
          <w:sz w:val="16"/>
        </w:rPr>
      </w:pPr>
    </w:p>
    <w:p>
      <w:pPr>
        <w:pStyle w:val="BodyText"/>
        <w:spacing w:before="4"/>
        <w:rPr>
          <w:sz w:val="13"/>
        </w:rPr>
      </w:pPr>
    </w:p>
    <w:p>
      <w:pPr>
        <w:pStyle w:val="BodyText"/>
        <w:spacing w:line="249" w:lineRule="auto"/>
        <w:ind w:left="119" w:right="140" w:firstLine="170"/>
        <w:jc w:val="both"/>
      </w:pPr>
      <w:r>
        <w:rPr/>
        <w:t>En México la distribución de las tasas brutas de mortalidad específica por diabetes mellitus, para el año 2010, a escala de zona metropolitana (ZM), presenta la siguiente distribución.</w:t>
      </w:r>
    </w:p>
    <w:p>
      <w:pPr>
        <w:pStyle w:val="BodyText"/>
        <w:spacing w:before="11"/>
      </w:pPr>
    </w:p>
    <w:p>
      <w:pPr>
        <w:pStyle w:val="BodyText"/>
        <w:spacing w:line="249" w:lineRule="auto"/>
        <w:ind w:left="119" w:right="140" w:firstLine="170"/>
        <w:jc w:val="both"/>
      </w:pPr>
      <w:r>
        <w:rPr/>
        <w:t>De acuerdo a SEDESOL, CONAPO E INEGI (2004), han definido para México 57 zonas metropolitanas, de las cuales siete presentaron tasas de mortalidad muy bajas, siete registraron tasas bajas, 19 con tasas medio bajas, 13 con tasas medio altas, tres con tasas altas y ocho con tasas muy altas.</w:t>
      </w:r>
    </w:p>
    <w:p>
      <w:pPr>
        <w:pStyle w:val="BodyText"/>
        <w:spacing w:before="11"/>
      </w:pPr>
    </w:p>
    <w:p>
      <w:pPr>
        <w:pStyle w:val="BodyText"/>
        <w:spacing w:line="249" w:lineRule="auto"/>
        <w:ind w:left="119" w:right="140" w:firstLine="170"/>
        <w:jc w:val="both"/>
      </w:pPr>
      <w:r>
        <w:rPr/>
        <w:t>La ZM de Nuevo Laredo, ZM de Cancún, ZM de Puerto Vallarta, presentan tasas    de mortalidad específica por diabetes mellitus muy bajas, de 28.46, 34.73 y 36.06 defunciones por cada 100,000 habitantes respectivamente; las tasas de mortalidad    en el rango bajo se registran en la ZM de Tijuana, ZM de Aguascalientes, ZM de Querétaro</w:t>
      </w:r>
      <w:r>
        <w:rPr>
          <w:spacing w:val="28"/>
        </w:rPr>
        <w:t> </w:t>
      </w:r>
      <w:r>
        <w:rPr/>
        <w:t>con</w:t>
      </w:r>
      <w:r>
        <w:rPr>
          <w:spacing w:val="28"/>
        </w:rPr>
        <w:t> </w:t>
      </w:r>
      <w:r>
        <w:rPr/>
        <w:t>tasas</w:t>
      </w:r>
      <w:r>
        <w:rPr>
          <w:spacing w:val="28"/>
        </w:rPr>
        <w:t> </w:t>
      </w:r>
      <w:r>
        <w:rPr/>
        <w:t>de</w:t>
      </w:r>
      <w:r>
        <w:rPr>
          <w:spacing w:val="28"/>
        </w:rPr>
        <w:t> </w:t>
      </w:r>
      <w:r>
        <w:rPr/>
        <w:t>52.99,</w:t>
      </w:r>
      <w:r>
        <w:rPr>
          <w:spacing w:val="28"/>
        </w:rPr>
        <w:t> </w:t>
      </w:r>
      <w:r>
        <w:rPr/>
        <w:t>57.81</w:t>
      </w:r>
      <w:r>
        <w:rPr>
          <w:spacing w:val="28"/>
        </w:rPr>
        <w:t> </w:t>
      </w:r>
      <w:r>
        <w:rPr/>
        <w:t>y</w:t>
      </w:r>
      <w:r>
        <w:rPr>
          <w:spacing w:val="28"/>
        </w:rPr>
        <w:t> </w:t>
      </w:r>
      <w:r>
        <w:rPr/>
        <w:t>57.97</w:t>
      </w:r>
      <w:r>
        <w:rPr>
          <w:spacing w:val="28"/>
        </w:rPr>
        <w:t> </w:t>
      </w:r>
      <w:r>
        <w:rPr/>
        <w:t>por</w:t>
      </w:r>
      <w:r>
        <w:rPr>
          <w:spacing w:val="28"/>
        </w:rPr>
        <w:t> </w:t>
      </w:r>
      <w:r>
        <w:rPr/>
        <w:t>cada</w:t>
      </w:r>
      <w:r>
        <w:rPr>
          <w:spacing w:val="28"/>
        </w:rPr>
        <w:t> </w:t>
      </w:r>
      <w:r>
        <w:rPr/>
        <w:t>100,000</w:t>
      </w:r>
      <w:r>
        <w:rPr>
          <w:spacing w:val="28"/>
        </w:rPr>
        <w:t> </w:t>
      </w:r>
      <w:r>
        <w:rPr/>
        <w:t>habitantes;</w:t>
      </w:r>
      <w:r>
        <w:rPr>
          <w:spacing w:val="28"/>
        </w:rPr>
        <w:t> </w:t>
      </w:r>
      <w:r>
        <w:rPr/>
        <w:t>Las</w:t>
      </w:r>
      <w:r>
        <w:rPr>
          <w:spacing w:val="28"/>
        </w:rPr>
        <w:t> </w:t>
      </w:r>
      <w:r>
        <w:rPr/>
        <w:t>ZM</w:t>
      </w:r>
    </w:p>
    <w:p>
      <w:pPr>
        <w:spacing w:after="0" w:line="249" w:lineRule="auto"/>
        <w:jc w:val="both"/>
        <w:sectPr>
          <w:type w:val="continuous"/>
          <w:pgSz w:w="18830" w:h="12760" w:orient="landscape"/>
          <w:pgMar w:top="1420" w:bottom="280" w:left="720" w:right="720"/>
          <w:cols w:num="2" w:equalWidth="0">
            <w:col w:w="7852" w:space="1557"/>
            <w:col w:w="7981"/>
          </w:cols>
        </w:sectPr>
      </w:pPr>
    </w:p>
    <w:p>
      <w:pPr>
        <w:pStyle w:val="BodyText"/>
        <w:spacing w:before="6"/>
        <w:rPr>
          <w:sz w:val="23"/>
        </w:rPr>
      </w:pPr>
    </w:p>
    <w:p>
      <w:pPr>
        <w:spacing w:after="0"/>
        <w:rPr>
          <w:sz w:val="23"/>
        </w:rPr>
        <w:sectPr>
          <w:footerReference w:type="default" r:id="rId409"/>
          <w:pgSz w:w="18830" w:h="12760" w:orient="landscape"/>
          <w:pgMar w:footer="1036" w:header="522" w:top="820" w:bottom="1220" w:left="720" w:right="720"/>
        </w:sectPr>
      </w:pPr>
    </w:p>
    <w:p>
      <w:pPr>
        <w:pStyle w:val="BodyText"/>
        <w:spacing w:line="249" w:lineRule="auto" w:before="76"/>
        <w:ind w:left="130"/>
        <w:jc w:val="both"/>
      </w:pPr>
      <w:r>
        <w:rPr/>
        <w:t>de</w:t>
      </w:r>
      <w:r>
        <w:rPr>
          <w:spacing w:val="17"/>
        </w:rPr>
        <w:t> </w:t>
      </w:r>
      <w:r>
        <w:rPr/>
        <w:t>Tuxtla</w:t>
      </w:r>
      <w:r>
        <w:rPr>
          <w:spacing w:val="17"/>
        </w:rPr>
        <w:t> </w:t>
      </w:r>
      <w:r>
        <w:rPr/>
        <w:t>Gutiérrez,</w:t>
      </w:r>
      <w:r>
        <w:rPr>
          <w:spacing w:val="17"/>
        </w:rPr>
        <w:t> </w:t>
      </w:r>
      <w:r>
        <w:rPr/>
        <w:t>ZM</w:t>
      </w:r>
      <w:r>
        <w:rPr>
          <w:spacing w:val="17"/>
        </w:rPr>
        <w:t> </w:t>
      </w:r>
      <w:r>
        <w:rPr/>
        <w:t>de</w:t>
      </w:r>
      <w:r>
        <w:rPr>
          <w:spacing w:val="17"/>
        </w:rPr>
        <w:t> </w:t>
      </w:r>
      <w:r>
        <w:rPr/>
        <w:t>Oaxaca</w:t>
      </w:r>
      <w:r>
        <w:rPr>
          <w:spacing w:val="17"/>
        </w:rPr>
        <w:t> </w:t>
      </w:r>
      <w:r>
        <w:rPr/>
        <w:t>y</w:t>
      </w:r>
      <w:r>
        <w:rPr>
          <w:spacing w:val="17"/>
        </w:rPr>
        <w:t> </w:t>
      </w:r>
      <w:r>
        <w:rPr/>
        <w:t>ZM</w:t>
      </w:r>
      <w:r>
        <w:rPr>
          <w:spacing w:val="17"/>
        </w:rPr>
        <w:t> </w:t>
      </w:r>
      <w:r>
        <w:rPr/>
        <w:t>de</w:t>
      </w:r>
      <w:r>
        <w:rPr>
          <w:spacing w:val="17"/>
        </w:rPr>
        <w:t> </w:t>
      </w:r>
      <w:r>
        <w:rPr/>
        <w:t>Saltillo</w:t>
      </w:r>
      <w:r>
        <w:rPr>
          <w:spacing w:val="17"/>
        </w:rPr>
        <w:t> </w:t>
      </w:r>
      <w:r>
        <w:rPr/>
        <w:t>registran</w:t>
      </w:r>
      <w:r>
        <w:rPr>
          <w:spacing w:val="17"/>
        </w:rPr>
        <w:t> </w:t>
      </w:r>
      <w:r>
        <w:rPr/>
        <w:t>tasas</w:t>
      </w:r>
      <w:r>
        <w:rPr>
          <w:spacing w:val="17"/>
        </w:rPr>
        <w:t> </w:t>
      </w:r>
      <w:r>
        <w:rPr/>
        <w:t>de</w:t>
      </w:r>
      <w:r>
        <w:rPr>
          <w:spacing w:val="17"/>
        </w:rPr>
        <w:t> </w:t>
      </w:r>
      <w:r>
        <w:rPr/>
        <w:t>mortalidad</w:t>
      </w:r>
      <w:r>
        <w:rPr>
          <w:spacing w:val="17"/>
        </w:rPr>
        <w:t> </w:t>
      </w:r>
      <w:r>
        <w:rPr/>
        <w:t>en</w:t>
      </w:r>
      <w:r>
        <w:rPr>
          <w:w w:val="98"/>
        </w:rPr>
        <w:t> </w:t>
      </w:r>
      <w:r>
        <w:rPr/>
        <w:t>el rango medio bajo, con tasas de 65.34, 65.79 y 66.82 por cada 100,000 habitantes; en el rango de tasas medio altas se presentan en la ZM de Xalapa, ZM de Tecomán y ZM de Poza Rica con 78.06, 78.49 y 79.49 defunciones por cada 100,000 habitantes correspondientemente; la ZM de  Ríoverde-Ciudad Fernández, ZM de Coatzacoalcos  y ZM de Orizaba registran tasas de mortalidad altas con 91.43, 99.23 y 102.04 por cada 100,000 habitantes; mientras que la ZM de Guaymas, ZM de Acayucan y ZM    de Tianguistenco tienen tasas de mortalidad muy altas de 152.83, 144.81 y 133.56 defunciones por cada 100,000 habitantes respectivamente, (cuadro 5 y figura</w:t>
      </w:r>
      <w:r>
        <w:rPr>
          <w:spacing w:val="45"/>
        </w:rPr>
        <w:t> </w:t>
      </w:r>
      <w:r>
        <w:rPr/>
        <w:t>6).</w:t>
      </w:r>
    </w:p>
    <w:p>
      <w:pPr>
        <w:pStyle w:val="BodyText"/>
      </w:pPr>
    </w:p>
    <w:p>
      <w:pPr>
        <w:pStyle w:val="BodyText"/>
      </w:pPr>
    </w:p>
    <w:p>
      <w:pPr>
        <w:pStyle w:val="BodyText"/>
        <w:spacing w:before="11"/>
        <w:rPr>
          <w:sz w:val="25"/>
        </w:rPr>
      </w:pPr>
    </w:p>
    <w:p>
      <w:pPr>
        <w:spacing w:before="0"/>
        <w:ind w:left="335" w:right="-7" w:firstLine="0"/>
        <w:jc w:val="left"/>
        <w:rPr>
          <w:sz w:val="16"/>
        </w:rPr>
      </w:pPr>
      <w:r>
        <w:rPr/>
        <w:pict>
          <v:shape style="position:absolute;margin-left:42.52pt;margin-top:14.338273pt;width:384.3pt;height:48.55pt;mso-position-horizontal-relative:page;mso-position-vertical-relative:paragraph;z-index:14584" coordorigin="850,287" coordsize="7686,971" path="m6848,287l4701,287,2574,287,850,287,850,1258,2574,1258,4701,1258,6848,1258,6848,287m8536,287l6848,287,6848,1258,8536,1258,8536,287e" filled="true" fillcolor="#929292" stroked="false">
            <v:path arrowok="t"/>
            <v:fill type="solid"/>
            <w10:wrap type="none"/>
          </v:shape>
        </w:pict>
      </w:r>
      <w:r>
        <w:rPr/>
        <w:pict>
          <v:shape style="position:absolute;margin-left:42.519699pt;margin-top:14.588193pt;width:384.55pt;height:325.150pt;mso-position-horizontal-relative:page;mso-position-vertical-relative:paragraph;z-index:14608" type="#_x0000_t202" filled="false" stroked="false">
            <v:textbox inset="0,0,0,0">
              <w:txbxContent>
                <w:tbl>
                  <w:tblPr>
                    <w:tblW w:w="0" w:type="auto"/>
                    <w:jc w:val="lef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719"/>
                    <w:gridCol w:w="2127"/>
                    <w:gridCol w:w="2146"/>
                    <w:gridCol w:w="1683"/>
                  </w:tblGrid>
                  <w:tr>
                    <w:trPr>
                      <w:trHeight w:val="966" w:hRule="exact"/>
                    </w:trPr>
                    <w:tc>
                      <w:tcPr>
                        <w:tcW w:w="1719" w:type="dxa"/>
                        <w:tcBorders>
                          <w:top w:val="nil"/>
                          <w:left w:val="nil"/>
                        </w:tcBorders>
                        <w:shd w:val="clear" w:color="auto" w:fill="929292"/>
                      </w:tcPr>
                      <w:p>
                        <w:pPr>
                          <w:pStyle w:val="TableParagraph"/>
                          <w:rPr>
                            <w:sz w:val="16"/>
                          </w:rPr>
                        </w:pPr>
                      </w:p>
                      <w:p>
                        <w:pPr>
                          <w:pStyle w:val="TableParagraph"/>
                          <w:spacing w:line="261" w:lineRule="auto" w:before="103"/>
                          <w:ind w:left="102" w:right="160"/>
                          <w:rPr>
                            <w:sz w:val="16"/>
                          </w:rPr>
                        </w:pPr>
                        <w:r>
                          <w:rPr>
                            <w:sz w:val="16"/>
                          </w:rPr>
                          <w:t>Zonas metropolitanas (ZM)</w:t>
                        </w:r>
                      </w:p>
                    </w:tc>
                    <w:tc>
                      <w:tcPr>
                        <w:tcW w:w="2127" w:type="dxa"/>
                        <w:tcBorders>
                          <w:top w:val="nil"/>
                        </w:tcBorders>
                        <w:shd w:val="clear" w:color="auto" w:fill="929292"/>
                      </w:tcPr>
                      <w:p>
                        <w:pPr>
                          <w:pStyle w:val="TableParagraph"/>
                          <w:spacing w:line="261" w:lineRule="auto" w:before="87"/>
                          <w:ind w:left="103" w:right="215"/>
                          <w:rPr>
                            <w:sz w:val="16"/>
                          </w:rPr>
                        </w:pPr>
                        <w:r>
                          <w:rPr>
                            <w:sz w:val="16"/>
                          </w:rPr>
                          <w:t>Tasa bruta de mortalidad</w:t>
                        </w:r>
                        <w:r>
                          <w:rPr>
                            <w:w w:val="102"/>
                            <w:sz w:val="16"/>
                          </w:rPr>
                          <w:t> </w:t>
                        </w:r>
                        <w:r>
                          <w:rPr>
                            <w:sz w:val="16"/>
                          </w:rPr>
                          <w:t>específica por diabetes mellitus (por 100,000</w:t>
                        </w:r>
                      </w:p>
                      <w:p>
                        <w:pPr>
                          <w:pStyle w:val="TableParagraph"/>
                          <w:ind w:left="103" w:right="215"/>
                          <w:rPr>
                            <w:sz w:val="16"/>
                          </w:rPr>
                        </w:pPr>
                        <w:r>
                          <w:rPr>
                            <w:sz w:val="16"/>
                          </w:rPr>
                          <w:t>habitantes), 2010</w:t>
                        </w:r>
                      </w:p>
                    </w:tc>
                    <w:tc>
                      <w:tcPr>
                        <w:tcW w:w="2146" w:type="dxa"/>
                        <w:tcBorders>
                          <w:top w:val="nil"/>
                        </w:tcBorders>
                        <w:shd w:val="clear" w:color="auto" w:fill="929292"/>
                      </w:tcPr>
                      <w:p>
                        <w:pPr>
                          <w:pStyle w:val="TableParagraph"/>
                          <w:rPr>
                            <w:sz w:val="16"/>
                          </w:rPr>
                        </w:pPr>
                      </w:p>
                      <w:p>
                        <w:pPr>
                          <w:pStyle w:val="TableParagraph"/>
                          <w:spacing w:before="8"/>
                          <w:rPr>
                            <w:sz w:val="17"/>
                          </w:rPr>
                        </w:pPr>
                      </w:p>
                      <w:p>
                        <w:pPr>
                          <w:pStyle w:val="TableParagraph"/>
                          <w:ind w:left="14" w:right="21"/>
                          <w:jc w:val="center"/>
                          <w:rPr>
                            <w:sz w:val="16"/>
                          </w:rPr>
                        </w:pPr>
                        <w:r>
                          <w:rPr>
                            <w:sz w:val="16"/>
                          </w:rPr>
                          <w:t>Zonas metropolitanas (ZM)</w:t>
                        </w:r>
                      </w:p>
                    </w:tc>
                    <w:tc>
                      <w:tcPr>
                        <w:tcW w:w="1683" w:type="dxa"/>
                        <w:tcBorders>
                          <w:top w:val="nil"/>
                          <w:right w:val="nil"/>
                        </w:tcBorders>
                        <w:shd w:val="clear" w:color="auto" w:fill="929292"/>
                      </w:tcPr>
                      <w:p>
                        <w:pPr>
                          <w:pStyle w:val="TableParagraph"/>
                          <w:spacing w:line="171" w:lineRule="exact"/>
                          <w:ind w:left="103" w:right="318"/>
                          <w:rPr>
                            <w:sz w:val="16"/>
                          </w:rPr>
                        </w:pPr>
                        <w:r>
                          <w:rPr>
                            <w:sz w:val="16"/>
                          </w:rPr>
                          <w:t>Tasa bruta de</w:t>
                        </w:r>
                      </w:p>
                      <w:p>
                        <w:pPr>
                          <w:pStyle w:val="TableParagraph"/>
                          <w:spacing w:line="261" w:lineRule="auto" w:before="16"/>
                          <w:ind w:left="103" w:right="318"/>
                          <w:rPr>
                            <w:sz w:val="16"/>
                          </w:rPr>
                        </w:pPr>
                        <w:r>
                          <w:rPr>
                            <w:sz w:val="16"/>
                          </w:rPr>
                          <w:t>mortalidad por diabetes mellitus, (por 100,000</w:t>
                        </w:r>
                      </w:p>
                      <w:p>
                        <w:pPr>
                          <w:pStyle w:val="TableParagraph"/>
                          <w:ind w:left="103"/>
                          <w:rPr>
                            <w:sz w:val="16"/>
                          </w:rPr>
                        </w:pPr>
                        <w:r>
                          <w:rPr>
                            <w:sz w:val="16"/>
                          </w:rPr>
                          <w:t>habitantes), 2010</w:t>
                        </w:r>
                      </w:p>
                    </w:tc>
                  </w:tr>
                  <w:tr>
                    <w:trPr>
                      <w:trHeight w:val="171" w:hRule="exact"/>
                    </w:trPr>
                    <w:tc>
                      <w:tcPr>
                        <w:tcW w:w="1719" w:type="dxa"/>
                        <w:tcBorders>
                          <w:left w:val="nil"/>
                          <w:right w:val="single" w:sz="4" w:space="0" w:color="929292"/>
                        </w:tcBorders>
                      </w:tcPr>
                      <w:p>
                        <w:pPr>
                          <w:pStyle w:val="TableParagraph"/>
                          <w:tabs>
                            <w:tab w:pos="1693" w:val="left" w:leader="none"/>
                          </w:tabs>
                          <w:spacing w:line="171" w:lineRule="exact"/>
                          <w:ind w:left="20"/>
                          <w:jc w:val="center"/>
                          <w:rPr>
                            <w:sz w:val="16"/>
                          </w:rPr>
                        </w:pPr>
                        <w:r>
                          <w:rPr>
                            <w:w w:val="100"/>
                            <w:sz w:val="16"/>
                            <w:u w:val="dotted" w:color="929292"/>
                          </w:rPr>
                          <w:t> </w:t>
                        </w:r>
                        <w:r>
                          <w:rPr>
                            <w:spacing w:val="-16"/>
                            <w:sz w:val="16"/>
                            <w:u w:val="dotted" w:color="929292"/>
                          </w:rPr>
                          <w:t> </w:t>
                        </w:r>
                        <w:r>
                          <w:rPr>
                            <w:sz w:val="16"/>
                            <w:u w:val="dotted" w:color="929292"/>
                          </w:rPr>
                          <w:t>ZM de</w:t>
                        </w:r>
                        <w:r>
                          <w:rPr>
                            <w:spacing w:val="2"/>
                            <w:sz w:val="16"/>
                            <w:u w:val="dotted" w:color="929292"/>
                          </w:rPr>
                          <w:t> </w:t>
                        </w:r>
                        <w:r>
                          <w:rPr>
                            <w:sz w:val="16"/>
                            <w:u w:val="dotted" w:color="929292"/>
                          </w:rPr>
                          <w:t>Guaymas</w:t>
                          <w:tab/>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11"/>
                            <w:sz w:val="16"/>
                            <w:u w:val="dotted" w:color="929292"/>
                          </w:rPr>
                          <w:t> </w:t>
                        </w:r>
                        <w:r>
                          <w:rPr>
                            <w:spacing w:val="-1"/>
                            <w:sz w:val="16"/>
                            <w:u w:val="dotted" w:color="929292"/>
                          </w:rPr>
                          <w:t>152.83</w:t>
                          <w:tab/>
                        </w:r>
                      </w:p>
                    </w:tc>
                    <w:tc>
                      <w:tcPr>
                        <w:tcW w:w="2146" w:type="dxa"/>
                        <w:tcBorders>
                          <w:left w:val="single" w:sz="4" w:space="0" w:color="929292"/>
                          <w:right w:val="single" w:sz="4" w:space="0" w:color="929292"/>
                        </w:tcBorders>
                      </w:tcPr>
                      <w:p>
                        <w:pPr>
                          <w:pStyle w:val="TableParagraph"/>
                          <w:tabs>
                            <w:tab w:pos="2116"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ZM de</w:t>
                        </w:r>
                        <w:r>
                          <w:rPr>
                            <w:spacing w:val="-1"/>
                            <w:sz w:val="16"/>
                            <w:u w:val="dotted" w:color="929292"/>
                          </w:rPr>
                          <w:t> </w:t>
                        </w:r>
                        <w:r>
                          <w:rPr>
                            <w:sz w:val="16"/>
                            <w:u w:val="dotted" w:color="929292"/>
                          </w:rPr>
                          <w:t>Tehuacán</w:t>
                          <w:tab/>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71.74</w:t>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1" w:lineRule="exact"/>
                          <w:ind w:left="20"/>
                          <w:jc w:val="center"/>
                          <w:rPr>
                            <w:sz w:val="16"/>
                          </w:rPr>
                        </w:pPr>
                        <w:r>
                          <w:rPr>
                            <w:w w:val="100"/>
                            <w:sz w:val="16"/>
                            <w:u w:val="dotted" w:color="929292"/>
                          </w:rPr>
                          <w:t> </w:t>
                        </w:r>
                        <w:r>
                          <w:rPr>
                            <w:spacing w:val="-16"/>
                            <w:sz w:val="16"/>
                            <w:u w:val="dotted" w:color="929292"/>
                          </w:rPr>
                          <w:t> </w:t>
                        </w:r>
                        <w:r>
                          <w:rPr>
                            <w:sz w:val="16"/>
                            <w:u w:val="dotted" w:color="929292"/>
                          </w:rPr>
                          <w:t>ZM de</w:t>
                        </w:r>
                        <w:r>
                          <w:rPr>
                            <w:spacing w:val="11"/>
                            <w:sz w:val="16"/>
                            <w:u w:val="dotted" w:color="929292"/>
                          </w:rPr>
                          <w:t> </w:t>
                        </w:r>
                        <w:r>
                          <w:rPr>
                            <w:sz w:val="16"/>
                            <w:u w:val="dotted" w:color="929292"/>
                          </w:rPr>
                          <w:t>Acayucan</w:t>
                          <w:tab/>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11"/>
                            <w:sz w:val="16"/>
                            <w:u w:val="dotted" w:color="929292"/>
                          </w:rPr>
                          <w:t> </w:t>
                        </w:r>
                        <w:r>
                          <w:rPr>
                            <w:spacing w:val="-1"/>
                            <w:sz w:val="16"/>
                            <w:u w:val="dotted" w:color="929292"/>
                          </w:rPr>
                          <w:t>144.81</w:t>
                          <w:tab/>
                        </w:r>
                      </w:p>
                    </w:tc>
                    <w:tc>
                      <w:tcPr>
                        <w:tcW w:w="2146" w:type="dxa"/>
                        <w:tcBorders>
                          <w:left w:val="single" w:sz="4" w:space="0" w:color="929292"/>
                          <w:right w:val="single" w:sz="4" w:space="0" w:color="929292"/>
                        </w:tcBorders>
                      </w:tcPr>
                      <w:p>
                        <w:pPr>
                          <w:pStyle w:val="TableParagraph"/>
                          <w:spacing w:line="171" w:lineRule="exact"/>
                          <w:ind w:left="14"/>
                          <w:jc w:val="center"/>
                          <w:rPr>
                            <w:sz w:val="16"/>
                          </w:rPr>
                        </w:pPr>
                        <w:r>
                          <w:rPr>
                            <w:w w:val="100"/>
                            <w:sz w:val="16"/>
                            <w:u w:val="dotted" w:color="929292"/>
                          </w:rPr>
                          <w:t> </w:t>
                        </w:r>
                        <w:r>
                          <w:rPr>
                            <w:sz w:val="16"/>
                            <w:u w:val="dotted" w:color="929292"/>
                          </w:rPr>
                          <w:t> ZM de La Piedad-Pénjamo </w:t>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70.94</w:t>
                          <w:tab/>
                        </w:r>
                      </w:p>
                    </w:tc>
                  </w:tr>
                  <w:tr>
                    <w:trPr>
                      <w:trHeight w:val="371" w:hRule="exact"/>
                    </w:trPr>
                    <w:tc>
                      <w:tcPr>
                        <w:tcW w:w="1719" w:type="dxa"/>
                        <w:tcBorders>
                          <w:left w:val="nil"/>
                          <w:right w:val="single" w:sz="4" w:space="0" w:color="929292"/>
                        </w:tcBorders>
                      </w:tcPr>
                      <w:p>
                        <w:pPr>
                          <w:pStyle w:val="TableParagraph"/>
                          <w:spacing w:line="171" w:lineRule="exact"/>
                          <w:ind w:left="103"/>
                          <w:rPr>
                            <w:sz w:val="16"/>
                          </w:rPr>
                        </w:pPr>
                        <w:r>
                          <w:rPr>
                            <w:sz w:val="16"/>
                          </w:rPr>
                          <w:t>ZM de Tianguistenco</w:t>
                        </w:r>
                      </w:p>
                      <w:p>
                        <w:pPr>
                          <w:pStyle w:val="TableParagraph"/>
                          <w:tabs>
                            <w:tab w:pos="1703" w:val="left" w:leader="none"/>
                          </w:tabs>
                          <w:spacing w:before="16"/>
                          <w:ind w:left="30"/>
                          <w:rPr>
                            <w:sz w:val="16"/>
                          </w:rPr>
                        </w:pPr>
                        <w:r>
                          <w:rPr>
                            <w:w w:val="100"/>
                            <w:sz w:val="16"/>
                            <w:u w:val="dotted" w:color="929292"/>
                          </w:rPr>
                          <w:t> </w:t>
                        </w:r>
                        <w:r>
                          <w:rPr>
                            <w:sz w:val="16"/>
                            <w:u w:val="dotted" w:color="929292"/>
                          </w:rPr>
                          <w:tab/>
                        </w:r>
                      </w:p>
                    </w:tc>
                    <w:tc>
                      <w:tcPr>
                        <w:tcW w:w="2127" w:type="dxa"/>
                        <w:tcBorders>
                          <w:left w:val="single" w:sz="4" w:space="0" w:color="929292"/>
                          <w:right w:val="single" w:sz="4" w:space="0" w:color="929292"/>
                        </w:tcBorders>
                      </w:tcPr>
                      <w:p>
                        <w:pPr>
                          <w:pStyle w:val="TableParagraph"/>
                          <w:spacing w:line="171" w:lineRule="exact"/>
                          <w:ind w:left="103" w:right="215"/>
                          <w:rPr>
                            <w:sz w:val="16"/>
                          </w:rPr>
                        </w:pPr>
                        <w:r>
                          <w:rPr>
                            <w:sz w:val="16"/>
                          </w:rPr>
                          <w:t>133.59</w:t>
                        </w:r>
                      </w:p>
                      <w:p>
                        <w:pPr>
                          <w:pStyle w:val="TableParagraph"/>
                          <w:tabs>
                            <w:tab w:pos="2106" w:val="left" w:leader="none"/>
                          </w:tabs>
                          <w:spacing w:before="16"/>
                          <w:ind w:left="24"/>
                          <w:rPr>
                            <w:sz w:val="16"/>
                          </w:rPr>
                        </w:pPr>
                        <w:r>
                          <w:rPr>
                            <w:w w:val="100"/>
                            <w:sz w:val="16"/>
                            <w:u w:val="dotted" w:color="929292"/>
                          </w:rPr>
                          <w:t> </w:t>
                        </w:r>
                        <w:r>
                          <w:rPr>
                            <w:sz w:val="16"/>
                            <w:u w:val="dotted" w:color="929292"/>
                          </w:rPr>
                          <w:tab/>
                        </w:r>
                      </w:p>
                    </w:tc>
                    <w:tc>
                      <w:tcPr>
                        <w:tcW w:w="2146" w:type="dxa"/>
                        <w:tcBorders>
                          <w:left w:val="single" w:sz="4" w:space="0" w:color="929292"/>
                          <w:right w:val="single" w:sz="4" w:space="0" w:color="929292"/>
                        </w:tcBorders>
                      </w:tcPr>
                      <w:p>
                        <w:pPr>
                          <w:pStyle w:val="TableParagraph"/>
                          <w:spacing w:line="171" w:lineRule="exact"/>
                          <w:ind w:left="103"/>
                          <w:rPr>
                            <w:sz w:val="16"/>
                          </w:rPr>
                        </w:pPr>
                        <w:r>
                          <w:rPr>
                            <w:sz w:val="16"/>
                          </w:rPr>
                          <w:t>ZM de Zacatecas-</w:t>
                        </w:r>
                      </w:p>
                      <w:p>
                        <w:pPr>
                          <w:pStyle w:val="TableParagraph"/>
                          <w:tabs>
                            <w:tab w:pos="2126"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Guadalupe</w:t>
                          <w:tab/>
                        </w:r>
                      </w:p>
                    </w:tc>
                    <w:tc>
                      <w:tcPr>
                        <w:tcW w:w="1683" w:type="dxa"/>
                        <w:tcBorders>
                          <w:left w:val="single" w:sz="4" w:space="0" w:color="929292"/>
                          <w:right w:val="nil"/>
                        </w:tcBorders>
                      </w:tcPr>
                      <w:p>
                        <w:pPr>
                          <w:pStyle w:val="TableParagraph"/>
                          <w:spacing w:line="171" w:lineRule="exact"/>
                          <w:ind w:left="103" w:right="318"/>
                          <w:rPr>
                            <w:sz w:val="16"/>
                          </w:rPr>
                        </w:pPr>
                        <w:r>
                          <w:rPr>
                            <w:sz w:val="16"/>
                          </w:rPr>
                          <w:t>70.88</w:t>
                        </w:r>
                      </w:p>
                      <w:p>
                        <w:pPr>
                          <w:pStyle w:val="TableParagraph"/>
                          <w:tabs>
                            <w:tab w:pos="1662" w:val="left" w:leader="none"/>
                          </w:tabs>
                          <w:spacing w:before="16"/>
                          <w:ind w:left="25"/>
                          <w:rPr>
                            <w:sz w:val="16"/>
                          </w:rPr>
                        </w:pPr>
                        <w:r>
                          <w:rPr>
                            <w:w w:val="100"/>
                            <w:sz w:val="16"/>
                            <w:u w:val="dotted" w:color="929292"/>
                          </w:rPr>
                          <w:t> </w:t>
                        </w:r>
                        <w:r>
                          <w:rPr>
                            <w:sz w:val="16"/>
                            <w:u w:val="dotted" w:color="929292"/>
                          </w:rPr>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1" w:lineRule="exact"/>
                          <w:ind w:left="20"/>
                          <w:jc w:val="center"/>
                          <w:rPr>
                            <w:sz w:val="16"/>
                          </w:rPr>
                        </w:pPr>
                        <w:r>
                          <w:rPr>
                            <w:w w:val="100"/>
                            <w:sz w:val="16"/>
                            <w:u w:val="dotted" w:color="929292"/>
                          </w:rPr>
                          <w:t> </w:t>
                        </w:r>
                        <w:r>
                          <w:rPr>
                            <w:spacing w:val="-16"/>
                            <w:sz w:val="16"/>
                            <w:u w:val="dotted" w:color="929292"/>
                          </w:rPr>
                          <w:t> </w:t>
                        </w:r>
                        <w:r>
                          <w:rPr>
                            <w:sz w:val="16"/>
                            <w:u w:val="dotted" w:color="929292"/>
                          </w:rPr>
                          <w:t>ZM de</w:t>
                        </w:r>
                        <w:r>
                          <w:rPr>
                            <w:spacing w:val="2"/>
                            <w:sz w:val="16"/>
                            <w:u w:val="dotted" w:color="929292"/>
                          </w:rPr>
                          <w:t> </w:t>
                        </w:r>
                        <w:r>
                          <w:rPr>
                            <w:sz w:val="16"/>
                            <w:u w:val="dotted" w:color="929292"/>
                          </w:rPr>
                          <w:t>Chihuahua</w:t>
                          <w:tab/>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11"/>
                            <w:sz w:val="16"/>
                            <w:u w:val="dotted" w:color="929292"/>
                          </w:rPr>
                          <w:t> </w:t>
                        </w:r>
                        <w:r>
                          <w:rPr>
                            <w:spacing w:val="-1"/>
                            <w:sz w:val="16"/>
                            <w:u w:val="dotted" w:color="929292"/>
                          </w:rPr>
                          <w:t>120.93</w:t>
                          <w:tab/>
                        </w:r>
                      </w:p>
                    </w:tc>
                    <w:tc>
                      <w:tcPr>
                        <w:tcW w:w="2146" w:type="dxa"/>
                        <w:tcBorders>
                          <w:left w:val="single" w:sz="4" w:space="0" w:color="929292"/>
                          <w:right w:val="single" w:sz="4" w:space="0" w:color="929292"/>
                        </w:tcBorders>
                      </w:tcPr>
                      <w:p>
                        <w:pPr>
                          <w:pStyle w:val="TableParagraph"/>
                          <w:tabs>
                            <w:tab w:pos="2116" w:val="left" w:leader="none"/>
                          </w:tabs>
                          <w:spacing w:line="171" w:lineRule="exact"/>
                          <w:ind w:left="14"/>
                          <w:jc w:val="center"/>
                          <w:rPr>
                            <w:sz w:val="16"/>
                          </w:rPr>
                        </w:pPr>
                        <w:r>
                          <w:rPr>
                            <w:w w:val="100"/>
                            <w:sz w:val="16"/>
                            <w:u w:val="dotted" w:color="929292"/>
                          </w:rPr>
                          <w:t> </w:t>
                        </w:r>
                        <w:r>
                          <w:rPr>
                            <w:spacing w:val="-11"/>
                            <w:sz w:val="16"/>
                            <w:u w:val="dotted" w:color="929292"/>
                          </w:rPr>
                          <w:t> </w:t>
                        </w:r>
                        <w:r>
                          <w:rPr>
                            <w:sz w:val="16"/>
                            <w:u w:val="dotted" w:color="929292"/>
                          </w:rPr>
                          <w:t>ZM de</w:t>
                        </w:r>
                        <w:r>
                          <w:rPr>
                            <w:spacing w:val="23"/>
                            <w:sz w:val="16"/>
                            <w:u w:val="dotted" w:color="929292"/>
                          </w:rPr>
                          <w:t> </w:t>
                        </w:r>
                        <w:r>
                          <w:rPr>
                            <w:sz w:val="16"/>
                            <w:u w:val="dotted" w:color="929292"/>
                          </w:rPr>
                          <w:t>Córdoba</w:t>
                          <w:tab/>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70.75</w:t>
                          <w:tab/>
                        </w:r>
                      </w:p>
                    </w:tc>
                  </w:tr>
                  <w:tr>
                    <w:trPr>
                      <w:trHeight w:val="171" w:hRule="exact"/>
                    </w:trPr>
                    <w:tc>
                      <w:tcPr>
                        <w:tcW w:w="1719" w:type="dxa"/>
                        <w:tcBorders>
                          <w:left w:val="nil"/>
                          <w:right w:val="single" w:sz="4" w:space="0" w:color="929292"/>
                        </w:tcBorders>
                      </w:tcPr>
                      <w:p>
                        <w:pPr>
                          <w:pStyle w:val="TableParagraph"/>
                          <w:spacing w:line="171" w:lineRule="exact"/>
                          <w:ind w:left="20"/>
                          <w:jc w:val="center"/>
                          <w:rPr>
                            <w:sz w:val="16"/>
                          </w:rPr>
                        </w:pPr>
                        <w:r>
                          <w:rPr>
                            <w:w w:val="100"/>
                            <w:sz w:val="16"/>
                            <w:u w:val="dotted" w:color="929292"/>
                          </w:rPr>
                          <w:t> </w:t>
                        </w:r>
                        <w:r>
                          <w:rPr>
                            <w:sz w:val="16"/>
                            <w:u w:val="dotted" w:color="929292"/>
                          </w:rPr>
                          <w:t> ZM de Tehuantepec </w:t>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11"/>
                            <w:sz w:val="16"/>
                            <w:u w:val="dotted" w:color="929292"/>
                          </w:rPr>
                          <w:t> </w:t>
                        </w:r>
                        <w:r>
                          <w:rPr>
                            <w:spacing w:val="-1"/>
                            <w:sz w:val="16"/>
                            <w:u w:val="dotted" w:color="929292"/>
                          </w:rPr>
                          <w:t>119.63</w:t>
                          <w:tab/>
                        </w:r>
                      </w:p>
                    </w:tc>
                    <w:tc>
                      <w:tcPr>
                        <w:tcW w:w="2146" w:type="dxa"/>
                        <w:tcBorders>
                          <w:left w:val="single" w:sz="4" w:space="0" w:color="929292"/>
                          <w:right w:val="single" w:sz="4" w:space="0" w:color="929292"/>
                        </w:tcBorders>
                      </w:tcPr>
                      <w:p>
                        <w:pPr>
                          <w:pStyle w:val="TableParagraph"/>
                          <w:tabs>
                            <w:tab w:pos="2116" w:val="left" w:leader="none"/>
                          </w:tabs>
                          <w:spacing w:line="171" w:lineRule="exact"/>
                          <w:ind w:left="14"/>
                          <w:jc w:val="center"/>
                          <w:rPr>
                            <w:sz w:val="16"/>
                          </w:rPr>
                        </w:pPr>
                        <w:r>
                          <w:rPr>
                            <w:w w:val="100"/>
                            <w:sz w:val="16"/>
                            <w:u w:val="dotted" w:color="929292"/>
                          </w:rPr>
                          <w:t> </w:t>
                        </w:r>
                        <w:r>
                          <w:rPr>
                            <w:spacing w:val="-10"/>
                            <w:sz w:val="16"/>
                            <w:u w:val="dotted" w:color="929292"/>
                          </w:rPr>
                          <w:t> </w:t>
                        </w:r>
                        <w:r>
                          <w:rPr>
                            <w:sz w:val="16"/>
                            <w:u w:val="dotted" w:color="929292"/>
                          </w:rPr>
                          <w:t>ZM de</w:t>
                        </w:r>
                        <w:r>
                          <w:rPr>
                            <w:spacing w:val="-4"/>
                            <w:sz w:val="16"/>
                            <w:u w:val="dotted" w:color="929292"/>
                          </w:rPr>
                          <w:t> </w:t>
                        </w:r>
                        <w:r>
                          <w:rPr>
                            <w:sz w:val="16"/>
                            <w:u w:val="dotted" w:color="929292"/>
                          </w:rPr>
                          <w:t>Guadalajara</w:t>
                          <w:tab/>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70.60</w:t>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1" w:lineRule="exact"/>
                          <w:ind w:left="20"/>
                          <w:jc w:val="center"/>
                          <w:rPr>
                            <w:sz w:val="16"/>
                          </w:rPr>
                        </w:pPr>
                        <w:r>
                          <w:rPr>
                            <w:w w:val="100"/>
                            <w:sz w:val="16"/>
                            <w:u w:val="dotted" w:color="929292"/>
                          </w:rPr>
                          <w:t> </w:t>
                        </w:r>
                        <w:r>
                          <w:rPr>
                            <w:spacing w:val="-16"/>
                            <w:sz w:val="16"/>
                            <w:u w:val="dotted" w:color="929292"/>
                          </w:rPr>
                          <w:t> </w:t>
                        </w:r>
                        <w:r>
                          <w:rPr>
                            <w:sz w:val="16"/>
                            <w:u w:val="dotted" w:color="929292"/>
                          </w:rPr>
                          <w:t>ZM de</w:t>
                        </w:r>
                        <w:r>
                          <w:rPr>
                            <w:spacing w:val="23"/>
                            <w:sz w:val="16"/>
                            <w:u w:val="dotted" w:color="929292"/>
                          </w:rPr>
                          <w:t> </w:t>
                        </w:r>
                        <w:r>
                          <w:rPr>
                            <w:sz w:val="16"/>
                            <w:u w:val="dotted" w:color="929292"/>
                          </w:rPr>
                          <w:t>Matamoros</w:t>
                          <w:tab/>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10"/>
                            <w:sz w:val="16"/>
                            <w:u w:val="dotted" w:color="929292"/>
                          </w:rPr>
                          <w:t> </w:t>
                        </w:r>
                        <w:r>
                          <w:rPr>
                            <w:spacing w:val="-1"/>
                            <w:sz w:val="16"/>
                            <w:u w:val="dotted" w:color="929292"/>
                          </w:rPr>
                          <w:t>117.45</w:t>
                          <w:tab/>
                        </w:r>
                      </w:p>
                    </w:tc>
                    <w:tc>
                      <w:tcPr>
                        <w:tcW w:w="2146" w:type="dxa"/>
                        <w:tcBorders>
                          <w:left w:val="single" w:sz="4" w:space="0" w:color="929292"/>
                          <w:right w:val="single" w:sz="4" w:space="0" w:color="929292"/>
                        </w:tcBorders>
                      </w:tcPr>
                      <w:p>
                        <w:pPr>
                          <w:pStyle w:val="TableParagraph"/>
                          <w:tabs>
                            <w:tab w:pos="2116" w:val="left" w:leader="none"/>
                          </w:tabs>
                          <w:spacing w:line="171" w:lineRule="exact"/>
                          <w:ind w:left="14"/>
                          <w:jc w:val="center"/>
                          <w:rPr>
                            <w:sz w:val="16"/>
                          </w:rPr>
                        </w:pPr>
                        <w:r>
                          <w:rPr>
                            <w:w w:val="100"/>
                            <w:sz w:val="16"/>
                            <w:u w:val="dotted" w:color="929292"/>
                          </w:rPr>
                          <w:t> </w:t>
                        </w:r>
                        <w:r>
                          <w:rPr>
                            <w:spacing w:val="-10"/>
                            <w:sz w:val="16"/>
                            <w:u w:val="dotted" w:color="929292"/>
                          </w:rPr>
                          <w:t> </w:t>
                        </w:r>
                        <w:r>
                          <w:rPr>
                            <w:sz w:val="16"/>
                            <w:u w:val="dotted" w:color="929292"/>
                          </w:rPr>
                          <w:t>ZM de</w:t>
                        </w:r>
                        <w:r>
                          <w:rPr>
                            <w:spacing w:val="-4"/>
                            <w:sz w:val="16"/>
                            <w:u w:val="dotted" w:color="929292"/>
                          </w:rPr>
                          <w:t> </w:t>
                        </w:r>
                        <w:r>
                          <w:rPr>
                            <w:sz w:val="16"/>
                            <w:u w:val="dotted" w:color="929292"/>
                          </w:rPr>
                          <w:t>Veracruz</w:t>
                          <w:tab/>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10"/>
                            <w:sz w:val="16"/>
                            <w:u w:val="dotted" w:color="929292"/>
                          </w:rPr>
                          <w:t> </w:t>
                        </w:r>
                        <w:r>
                          <w:rPr>
                            <w:sz w:val="16"/>
                            <w:u w:val="dotted" w:color="929292"/>
                          </w:rPr>
                          <w:t>69.65</w:t>
                          <w:tab/>
                        </w:r>
                      </w:p>
                    </w:tc>
                  </w:tr>
                  <w:tr>
                    <w:trPr>
                      <w:trHeight w:val="171" w:hRule="exact"/>
                    </w:trPr>
                    <w:tc>
                      <w:tcPr>
                        <w:tcW w:w="1719" w:type="dxa"/>
                        <w:tcBorders>
                          <w:left w:val="nil"/>
                          <w:right w:val="single" w:sz="4" w:space="0" w:color="929292"/>
                        </w:tcBorders>
                      </w:tcPr>
                      <w:p>
                        <w:pPr>
                          <w:pStyle w:val="TableParagraph"/>
                          <w:spacing w:line="171" w:lineRule="exact"/>
                          <w:ind w:left="20"/>
                          <w:jc w:val="center"/>
                          <w:rPr>
                            <w:sz w:val="16"/>
                          </w:rPr>
                        </w:pPr>
                        <w:r>
                          <w:rPr>
                            <w:w w:val="100"/>
                            <w:sz w:val="16"/>
                            <w:u w:val="dotted" w:color="929292"/>
                          </w:rPr>
                          <w:t> </w:t>
                        </w:r>
                        <w:r>
                          <w:rPr>
                            <w:sz w:val="16"/>
                            <w:u w:val="dotted" w:color="929292"/>
                          </w:rPr>
                          <w:t> ZM de Villahermosa </w:t>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10"/>
                            <w:sz w:val="16"/>
                            <w:u w:val="dotted" w:color="929292"/>
                          </w:rPr>
                          <w:t> </w:t>
                        </w:r>
                        <w:r>
                          <w:rPr>
                            <w:spacing w:val="-1"/>
                            <w:sz w:val="16"/>
                            <w:u w:val="dotted" w:color="929292"/>
                          </w:rPr>
                          <w:t>110.48</w:t>
                          <w:tab/>
                        </w:r>
                      </w:p>
                    </w:tc>
                    <w:tc>
                      <w:tcPr>
                        <w:tcW w:w="2146" w:type="dxa"/>
                        <w:tcBorders>
                          <w:left w:val="single" w:sz="4" w:space="0" w:color="929292"/>
                          <w:right w:val="single" w:sz="4" w:space="0" w:color="929292"/>
                        </w:tcBorders>
                      </w:tcPr>
                      <w:p>
                        <w:pPr>
                          <w:pStyle w:val="TableParagraph"/>
                          <w:tabs>
                            <w:tab w:pos="2116" w:val="left" w:leader="none"/>
                          </w:tabs>
                          <w:spacing w:line="171" w:lineRule="exact"/>
                          <w:ind w:left="14"/>
                          <w:jc w:val="center"/>
                          <w:rPr>
                            <w:sz w:val="16"/>
                          </w:rPr>
                        </w:pPr>
                        <w:r>
                          <w:rPr>
                            <w:w w:val="100"/>
                            <w:sz w:val="16"/>
                            <w:u w:val="dotted" w:color="929292"/>
                          </w:rPr>
                          <w:t> </w:t>
                        </w:r>
                        <w:r>
                          <w:rPr>
                            <w:spacing w:val="-10"/>
                            <w:sz w:val="16"/>
                            <w:u w:val="dotted" w:color="929292"/>
                          </w:rPr>
                          <w:t> </w:t>
                        </w:r>
                        <w:r>
                          <w:rPr>
                            <w:sz w:val="16"/>
                            <w:u w:val="dotted" w:color="929292"/>
                          </w:rPr>
                          <w:t>ZM de</w:t>
                        </w:r>
                        <w:r>
                          <w:rPr>
                            <w:spacing w:val="20"/>
                            <w:sz w:val="16"/>
                            <w:u w:val="dotted" w:color="929292"/>
                          </w:rPr>
                          <w:t> </w:t>
                        </w:r>
                        <w:r>
                          <w:rPr>
                            <w:sz w:val="16"/>
                            <w:u w:val="dotted" w:color="929292"/>
                          </w:rPr>
                          <w:t>Minatitlán</w:t>
                          <w:tab/>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10"/>
                            <w:sz w:val="16"/>
                            <w:u w:val="dotted" w:color="929292"/>
                          </w:rPr>
                          <w:t> </w:t>
                        </w:r>
                        <w:r>
                          <w:rPr>
                            <w:sz w:val="16"/>
                            <w:u w:val="dotted" w:color="929292"/>
                          </w:rPr>
                          <w:t>69.09</w:t>
                          <w:tab/>
                        </w:r>
                      </w:p>
                    </w:tc>
                  </w:tr>
                  <w:tr>
                    <w:trPr>
                      <w:trHeight w:val="371" w:hRule="exact"/>
                    </w:trPr>
                    <w:tc>
                      <w:tcPr>
                        <w:tcW w:w="1719" w:type="dxa"/>
                        <w:tcBorders>
                          <w:left w:val="nil"/>
                          <w:right w:val="single" w:sz="4" w:space="0" w:color="929292"/>
                        </w:tcBorders>
                      </w:tcPr>
                      <w:p>
                        <w:pPr>
                          <w:pStyle w:val="TableParagraph"/>
                          <w:spacing w:line="171" w:lineRule="exact"/>
                          <w:ind w:left="104" w:right="160"/>
                          <w:rPr>
                            <w:sz w:val="16"/>
                          </w:rPr>
                        </w:pPr>
                        <w:r>
                          <w:rPr>
                            <w:sz w:val="16"/>
                          </w:rPr>
                          <w:t>ZM de Zamora-</w:t>
                        </w:r>
                      </w:p>
                      <w:p>
                        <w:pPr>
                          <w:pStyle w:val="TableParagraph"/>
                          <w:tabs>
                            <w:tab w:pos="1703" w:val="left" w:leader="none"/>
                          </w:tabs>
                          <w:spacing w:before="16"/>
                          <w:ind w:left="30"/>
                          <w:rPr>
                            <w:sz w:val="16"/>
                          </w:rPr>
                        </w:pPr>
                        <w:r>
                          <w:rPr>
                            <w:w w:val="100"/>
                            <w:sz w:val="16"/>
                            <w:u w:val="dotted" w:color="929292"/>
                          </w:rPr>
                          <w:t> </w:t>
                        </w:r>
                        <w:r>
                          <w:rPr>
                            <w:spacing w:val="-15"/>
                            <w:sz w:val="16"/>
                            <w:u w:val="dotted" w:color="929292"/>
                          </w:rPr>
                          <w:t> </w:t>
                        </w:r>
                        <w:r>
                          <w:rPr>
                            <w:sz w:val="16"/>
                            <w:u w:val="dotted" w:color="929292"/>
                          </w:rPr>
                          <w:t>Jacona</w:t>
                          <w:tab/>
                        </w:r>
                      </w:p>
                    </w:tc>
                    <w:tc>
                      <w:tcPr>
                        <w:tcW w:w="2127" w:type="dxa"/>
                        <w:tcBorders>
                          <w:left w:val="single" w:sz="4" w:space="0" w:color="929292"/>
                          <w:right w:val="single" w:sz="4" w:space="0" w:color="929292"/>
                        </w:tcBorders>
                      </w:tcPr>
                      <w:p>
                        <w:pPr>
                          <w:pStyle w:val="TableParagraph"/>
                          <w:spacing w:line="171" w:lineRule="exact"/>
                          <w:ind w:left="104" w:right="215"/>
                          <w:rPr>
                            <w:sz w:val="16"/>
                          </w:rPr>
                        </w:pPr>
                        <w:r>
                          <w:rPr>
                            <w:sz w:val="16"/>
                          </w:rPr>
                          <w:t>104.35</w:t>
                        </w:r>
                      </w:p>
                      <w:p>
                        <w:pPr>
                          <w:pStyle w:val="TableParagraph"/>
                          <w:tabs>
                            <w:tab w:pos="2106" w:val="left" w:leader="none"/>
                          </w:tabs>
                          <w:spacing w:before="16"/>
                          <w:ind w:left="24"/>
                          <w:rPr>
                            <w:sz w:val="16"/>
                          </w:rPr>
                        </w:pPr>
                        <w:r>
                          <w:rPr>
                            <w:w w:val="100"/>
                            <w:sz w:val="16"/>
                            <w:u w:val="dotted" w:color="929292"/>
                          </w:rPr>
                          <w:t> </w:t>
                        </w:r>
                        <w:r>
                          <w:rPr>
                            <w:sz w:val="16"/>
                            <w:u w:val="dotted" w:color="929292"/>
                          </w:rPr>
                          <w:tab/>
                        </w:r>
                      </w:p>
                    </w:tc>
                    <w:tc>
                      <w:tcPr>
                        <w:tcW w:w="2146" w:type="dxa"/>
                        <w:tcBorders>
                          <w:left w:val="single" w:sz="4" w:space="0" w:color="929292"/>
                          <w:right w:val="single" w:sz="4" w:space="0" w:color="929292"/>
                        </w:tcBorders>
                      </w:tcPr>
                      <w:p>
                        <w:pPr>
                          <w:pStyle w:val="TableParagraph"/>
                          <w:spacing w:line="171" w:lineRule="exact"/>
                          <w:ind w:left="104"/>
                          <w:rPr>
                            <w:sz w:val="16"/>
                          </w:rPr>
                        </w:pPr>
                        <w:r>
                          <w:rPr>
                            <w:sz w:val="16"/>
                          </w:rPr>
                          <w:t>ZM de Mexicali</w:t>
                        </w:r>
                      </w:p>
                      <w:p>
                        <w:pPr>
                          <w:pStyle w:val="TableParagraph"/>
                          <w:tabs>
                            <w:tab w:pos="2126" w:val="left" w:leader="none"/>
                          </w:tabs>
                          <w:spacing w:before="16"/>
                          <w:ind w:left="24"/>
                          <w:rPr>
                            <w:sz w:val="16"/>
                          </w:rPr>
                        </w:pPr>
                        <w:r>
                          <w:rPr>
                            <w:w w:val="100"/>
                            <w:sz w:val="16"/>
                            <w:u w:val="dotted" w:color="929292"/>
                          </w:rPr>
                          <w:t> </w:t>
                        </w:r>
                        <w:r>
                          <w:rPr>
                            <w:sz w:val="16"/>
                            <w:u w:val="dotted" w:color="929292"/>
                          </w:rPr>
                          <w:tab/>
                        </w:r>
                      </w:p>
                    </w:tc>
                    <w:tc>
                      <w:tcPr>
                        <w:tcW w:w="1683" w:type="dxa"/>
                        <w:tcBorders>
                          <w:left w:val="single" w:sz="4" w:space="0" w:color="929292"/>
                          <w:right w:val="nil"/>
                        </w:tcBorders>
                      </w:tcPr>
                      <w:p>
                        <w:pPr>
                          <w:pStyle w:val="TableParagraph"/>
                          <w:spacing w:line="171" w:lineRule="exact"/>
                          <w:ind w:left="104" w:right="318"/>
                          <w:rPr>
                            <w:sz w:val="16"/>
                          </w:rPr>
                        </w:pPr>
                        <w:r>
                          <w:rPr>
                            <w:sz w:val="16"/>
                          </w:rPr>
                          <w:t>67.78</w:t>
                        </w:r>
                      </w:p>
                      <w:p>
                        <w:pPr>
                          <w:pStyle w:val="TableParagraph"/>
                          <w:tabs>
                            <w:tab w:pos="1662" w:val="left" w:leader="none"/>
                          </w:tabs>
                          <w:spacing w:before="16"/>
                          <w:ind w:left="25"/>
                          <w:rPr>
                            <w:sz w:val="16"/>
                          </w:rPr>
                        </w:pPr>
                        <w:r>
                          <w:rPr>
                            <w:w w:val="100"/>
                            <w:sz w:val="16"/>
                            <w:u w:val="dotted" w:color="929292"/>
                          </w:rPr>
                          <w:t> </w:t>
                        </w:r>
                        <w:r>
                          <w:rPr>
                            <w:sz w:val="16"/>
                            <w:u w:val="dotted" w:color="929292"/>
                          </w:rPr>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1" w:lineRule="exact"/>
                          <w:ind w:left="20"/>
                          <w:jc w:val="center"/>
                          <w:rPr>
                            <w:sz w:val="16"/>
                          </w:rPr>
                        </w:pPr>
                        <w:r>
                          <w:rPr>
                            <w:w w:val="100"/>
                            <w:sz w:val="16"/>
                            <w:u w:val="dotted" w:color="929292"/>
                          </w:rPr>
                          <w:t> </w:t>
                        </w:r>
                        <w:r>
                          <w:rPr>
                            <w:spacing w:val="-15"/>
                            <w:sz w:val="16"/>
                            <w:u w:val="dotted" w:color="929292"/>
                          </w:rPr>
                          <w:t> </w:t>
                        </w:r>
                        <w:r>
                          <w:rPr>
                            <w:sz w:val="16"/>
                            <w:u w:val="dotted" w:color="929292"/>
                          </w:rPr>
                          <w:t>ZM de</w:t>
                        </w:r>
                        <w:r>
                          <w:rPr>
                            <w:spacing w:val="2"/>
                            <w:sz w:val="16"/>
                            <w:u w:val="dotted" w:color="929292"/>
                          </w:rPr>
                          <w:t> </w:t>
                        </w:r>
                        <w:r>
                          <w:rPr>
                            <w:sz w:val="16"/>
                            <w:u w:val="dotted" w:color="929292"/>
                          </w:rPr>
                          <w:t>Orizaba</w:t>
                          <w:tab/>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10"/>
                            <w:sz w:val="16"/>
                            <w:u w:val="dotted" w:color="929292"/>
                          </w:rPr>
                          <w:t> </w:t>
                        </w:r>
                        <w:r>
                          <w:rPr>
                            <w:spacing w:val="-1"/>
                            <w:sz w:val="16"/>
                            <w:u w:val="dotted" w:color="929292"/>
                          </w:rPr>
                          <w:t>102.04</w:t>
                          <w:tab/>
                        </w:r>
                      </w:p>
                    </w:tc>
                    <w:tc>
                      <w:tcPr>
                        <w:tcW w:w="2146" w:type="dxa"/>
                        <w:tcBorders>
                          <w:left w:val="single" w:sz="4" w:space="0" w:color="929292"/>
                          <w:right w:val="single" w:sz="4" w:space="0" w:color="929292"/>
                        </w:tcBorders>
                      </w:tcPr>
                      <w:p>
                        <w:pPr>
                          <w:pStyle w:val="TableParagraph"/>
                          <w:spacing w:line="171" w:lineRule="exact"/>
                          <w:ind w:left="14"/>
                          <w:jc w:val="center"/>
                          <w:rPr>
                            <w:sz w:val="16"/>
                          </w:rPr>
                        </w:pPr>
                        <w:r>
                          <w:rPr>
                            <w:w w:val="100"/>
                            <w:sz w:val="16"/>
                            <w:u w:val="dotted" w:color="929292"/>
                          </w:rPr>
                          <w:t> </w:t>
                        </w:r>
                        <w:r>
                          <w:rPr>
                            <w:sz w:val="16"/>
                            <w:u w:val="dotted" w:color="929292"/>
                          </w:rPr>
                          <w:t> ZM de Reynosa-Río Bravo </w:t>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10"/>
                            <w:sz w:val="16"/>
                            <w:u w:val="dotted" w:color="929292"/>
                          </w:rPr>
                          <w:t> </w:t>
                        </w:r>
                        <w:r>
                          <w:rPr>
                            <w:sz w:val="16"/>
                            <w:u w:val="dotted" w:color="929292"/>
                          </w:rPr>
                          <w:t>67.30</w:t>
                          <w:tab/>
                        </w:r>
                      </w:p>
                    </w:tc>
                  </w:tr>
                  <w:tr>
                    <w:trPr>
                      <w:trHeight w:val="371" w:hRule="exact"/>
                    </w:trPr>
                    <w:tc>
                      <w:tcPr>
                        <w:tcW w:w="1719" w:type="dxa"/>
                        <w:tcBorders>
                          <w:left w:val="nil"/>
                          <w:right w:val="single" w:sz="4" w:space="0" w:color="929292"/>
                        </w:tcBorders>
                      </w:tcPr>
                      <w:p>
                        <w:pPr>
                          <w:pStyle w:val="TableParagraph"/>
                          <w:spacing w:line="171" w:lineRule="exact"/>
                          <w:ind w:left="104" w:right="160"/>
                          <w:rPr>
                            <w:sz w:val="16"/>
                          </w:rPr>
                        </w:pPr>
                        <w:r>
                          <w:rPr>
                            <w:sz w:val="16"/>
                          </w:rPr>
                          <w:t>ZM de</w:t>
                        </w:r>
                      </w:p>
                      <w:p>
                        <w:pPr>
                          <w:pStyle w:val="TableParagraph"/>
                          <w:tabs>
                            <w:tab w:pos="1703" w:val="left" w:leader="none"/>
                          </w:tabs>
                          <w:spacing w:before="16"/>
                          <w:ind w:left="30"/>
                          <w:rPr>
                            <w:sz w:val="16"/>
                          </w:rPr>
                        </w:pPr>
                        <w:r>
                          <w:rPr>
                            <w:w w:val="100"/>
                            <w:sz w:val="16"/>
                            <w:u w:val="dotted" w:color="929292"/>
                          </w:rPr>
                          <w:t> </w:t>
                        </w:r>
                        <w:r>
                          <w:rPr>
                            <w:spacing w:val="-15"/>
                            <w:sz w:val="16"/>
                            <w:u w:val="dotted" w:color="929292"/>
                          </w:rPr>
                          <w:t> </w:t>
                        </w:r>
                        <w:r>
                          <w:rPr>
                            <w:sz w:val="16"/>
                            <w:u w:val="dotted" w:color="929292"/>
                          </w:rPr>
                          <w:t>Coatzacoalcos</w:t>
                          <w:tab/>
                        </w:r>
                      </w:p>
                    </w:tc>
                    <w:tc>
                      <w:tcPr>
                        <w:tcW w:w="2127" w:type="dxa"/>
                        <w:tcBorders>
                          <w:left w:val="single" w:sz="4" w:space="0" w:color="929292"/>
                          <w:right w:val="single" w:sz="4" w:space="0" w:color="929292"/>
                        </w:tcBorders>
                      </w:tcPr>
                      <w:p>
                        <w:pPr>
                          <w:pStyle w:val="TableParagraph"/>
                          <w:spacing w:line="171" w:lineRule="exact"/>
                          <w:ind w:left="104" w:right="215"/>
                          <w:rPr>
                            <w:sz w:val="16"/>
                          </w:rPr>
                        </w:pPr>
                        <w:r>
                          <w:rPr>
                            <w:sz w:val="16"/>
                          </w:rPr>
                          <w:t>99.23</w:t>
                        </w:r>
                      </w:p>
                      <w:p>
                        <w:pPr>
                          <w:pStyle w:val="TableParagraph"/>
                          <w:tabs>
                            <w:tab w:pos="2106" w:val="left" w:leader="none"/>
                          </w:tabs>
                          <w:spacing w:before="16"/>
                          <w:ind w:left="24"/>
                          <w:rPr>
                            <w:sz w:val="16"/>
                          </w:rPr>
                        </w:pPr>
                        <w:r>
                          <w:rPr>
                            <w:w w:val="100"/>
                            <w:sz w:val="16"/>
                            <w:u w:val="dotted" w:color="929292"/>
                          </w:rPr>
                          <w:t> </w:t>
                        </w:r>
                        <w:r>
                          <w:rPr>
                            <w:sz w:val="16"/>
                            <w:u w:val="dotted" w:color="929292"/>
                          </w:rPr>
                          <w:tab/>
                        </w:r>
                      </w:p>
                    </w:tc>
                    <w:tc>
                      <w:tcPr>
                        <w:tcW w:w="2146" w:type="dxa"/>
                        <w:tcBorders>
                          <w:left w:val="single" w:sz="4" w:space="0" w:color="929292"/>
                          <w:right w:val="single" w:sz="4" w:space="0" w:color="929292"/>
                        </w:tcBorders>
                      </w:tcPr>
                      <w:p>
                        <w:pPr>
                          <w:pStyle w:val="TableParagraph"/>
                          <w:spacing w:line="171" w:lineRule="exact"/>
                          <w:ind w:left="104"/>
                          <w:rPr>
                            <w:sz w:val="16"/>
                          </w:rPr>
                        </w:pPr>
                        <w:r>
                          <w:rPr>
                            <w:sz w:val="16"/>
                          </w:rPr>
                          <w:t>ZM de Ocotlán</w:t>
                        </w:r>
                      </w:p>
                      <w:p>
                        <w:pPr>
                          <w:pStyle w:val="TableParagraph"/>
                          <w:tabs>
                            <w:tab w:pos="2126" w:val="left" w:leader="none"/>
                          </w:tabs>
                          <w:spacing w:before="16"/>
                          <w:ind w:left="24"/>
                          <w:rPr>
                            <w:sz w:val="16"/>
                          </w:rPr>
                        </w:pPr>
                        <w:r>
                          <w:rPr>
                            <w:w w:val="100"/>
                            <w:sz w:val="16"/>
                            <w:u w:val="dotted" w:color="929292"/>
                          </w:rPr>
                          <w:t> </w:t>
                        </w:r>
                        <w:r>
                          <w:rPr>
                            <w:sz w:val="16"/>
                            <w:u w:val="dotted" w:color="929292"/>
                          </w:rPr>
                          <w:tab/>
                        </w:r>
                      </w:p>
                    </w:tc>
                    <w:tc>
                      <w:tcPr>
                        <w:tcW w:w="1683" w:type="dxa"/>
                        <w:tcBorders>
                          <w:left w:val="single" w:sz="4" w:space="0" w:color="929292"/>
                          <w:right w:val="nil"/>
                        </w:tcBorders>
                      </w:tcPr>
                      <w:p>
                        <w:pPr>
                          <w:pStyle w:val="TableParagraph"/>
                          <w:spacing w:line="171" w:lineRule="exact"/>
                          <w:ind w:left="104" w:right="318"/>
                          <w:rPr>
                            <w:sz w:val="16"/>
                          </w:rPr>
                        </w:pPr>
                        <w:r>
                          <w:rPr>
                            <w:sz w:val="16"/>
                          </w:rPr>
                          <w:t>67.20</w:t>
                        </w:r>
                      </w:p>
                      <w:p>
                        <w:pPr>
                          <w:pStyle w:val="TableParagraph"/>
                          <w:tabs>
                            <w:tab w:pos="1662" w:val="left" w:leader="none"/>
                          </w:tabs>
                          <w:spacing w:before="16"/>
                          <w:ind w:left="25"/>
                          <w:rPr>
                            <w:sz w:val="16"/>
                          </w:rPr>
                        </w:pPr>
                        <w:r>
                          <w:rPr>
                            <w:w w:val="100"/>
                            <w:sz w:val="16"/>
                            <w:u w:val="dotted" w:color="929292"/>
                          </w:rPr>
                          <w:t> </w:t>
                        </w:r>
                        <w:r>
                          <w:rPr>
                            <w:sz w:val="16"/>
                            <w:u w:val="dotted" w:color="929292"/>
                          </w:rPr>
                          <w:tab/>
                        </w:r>
                      </w:p>
                    </w:tc>
                  </w:tr>
                  <w:tr>
                    <w:trPr>
                      <w:trHeight w:val="371" w:hRule="exact"/>
                    </w:trPr>
                    <w:tc>
                      <w:tcPr>
                        <w:tcW w:w="1719" w:type="dxa"/>
                        <w:tcBorders>
                          <w:left w:val="nil"/>
                          <w:right w:val="single" w:sz="4" w:space="0" w:color="929292"/>
                        </w:tcBorders>
                      </w:tcPr>
                      <w:p>
                        <w:pPr>
                          <w:pStyle w:val="TableParagraph"/>
                          <w:spacing w:line="171" w:lineRule="exact"/>
                          <w:ind w:left="104" w:right="160"/>
                          <w:rPr>
                            <w:sz w:val="16"/>
                          </w:rPr>
                        </w:pPr>
                        <w:r>
                          <w:rPr>
                            <w:sz w:val="16"/>
                          </w:rPr>
                          <w:t>ZM de Ríoverde-</w:t>
                        </w:r>
                      </w:p>
                      <w:p>
                        <w:pPr>
                          <w:pStyle w:val="TableParagraph"/>
                          <w:tabs>
                            <w:tab w:pos="1703" w:val="left" w:leader="none"/>
                          </w:tabs>
                          <w:spacing w:before="16"/>
                          <w:ind w:left="30"/>
                          <w:rPr>
                            <w:sz w:val="16"/>
                          </w:rPr>
                        </w:pPr>
                        <w:r>
                          <w:rPr>
                            <w:w w:val="100"/>
                            <w:sz w:val="16"/>
                            <w:u w:val="dotted" w:color="929292"/>
                          </w:rPr>
                          <w:t> </w:t>
                        </w:r>
                        <w:r>
                          <w:rPr>
                            <w:spacing w:val="-15"/>
                            <w:sz w:val="16"/>
                            <w:u w:val="dotted" w:color="929292"/>
                          </w:rPr>
                          <w:t> </w:t>
                        </w:r>
                        <w:r>
                          <w:rPr>
                            <w:sz w:val="16"/>
                            <w:u w:val="dotted" w:color="929292"/>
                          </w:rPr>
                          <w:t>Ciudad</w:t>
                        </w:r>
                        <w:r>
                          <w:rPr>
                            <w:spacing w:val="-4"/>
                            <w:sz w:val="16"/>
                            <w:u w:val="dotted" w:color="929292"/>
                          </w:rPr>
                          <w:t> </w:t>
                        </w:r>
                        <w:r>
                          <w:rPr>
                            <w:sz w:val="16"/>
                            <w:u w:val="dotted" w:color="929292"/>
                          </w:rPr>
                          <w:t>Fernández</w:t>
                          <w:tab/>
                        </w:r>
                      </w:p>
                    </w:tc>
                    <w:tc>
                      <w:tcPr>
                        <w:tcW w:w="2127" w:type="dxa"/>
                        <w:tcBorders>
                          <w:left w:val="single" w:sz="4" w:space="0" w:color="929292"/>
                          <w:right w:val="single" w:sz="4" w:space="0" w:color="929292"/>
                        </w:tcBorders>
                      </w:tcPr>
                      <w:p>
                        <w:pPr>
                          <w:pStyle w:val="TableParagraph"/>
                          <w:spacing w:line="171" w:lineRule="exact"/>
                          <w:ind w:left="104" w:right="215"/>
                          <w:rPr>
                            <w:sz w:val="16"/>
                          </w:rPr>
                        </w:pPr>
                        <w:r>
                          <w:rPr>
                            <w:sz w:val="16"/>
                          </w:rPr>
                          <w:t>91.43</w:t>
                        </w:r>
                      </w:p>
                      <w:p>
                        <w:pPr>
                          <w:pStyle w:val="TableParagraph"/>
                          <w:tabs>
                            <w:tab w:pos="2106" w:val="left" w:leader="none"/>
                          </w:tabs>
                          <w:spacing w:before="16"/>
                          <w:ind w:left="24"/>
                          <w:rPr>
                            <w:sz w:val="16"/>
                          </w:rPr>
                        </w:pPr>
                        <w:r>
                          <w:rPr>
                            <w:w w:val="100"/>
                            <w:sz w:val="16"/>
                            <w:u w:val="dotted" w:color="929292"/>
                          </w:rPr>
                          <w:t> </w:t>
                        </w:r>
                        <w:r>
                          <w:rPr>
                            <w:sz w:val="16"/>
                            <w:u w:val="dotted" w:color="929292"/>
                          </w:rPr>
                          <w:tab/>
                        </w:r>
                      </w:p>
                    </w:tc>
                    <w:tc>
                      <w:tcPr>
                        <w:tcW w:w="2146" w:type="dxa"/>
                        <w:tcBorders>
                          <w:left w:val="single" w:sz="4" w:space="0" w:color="929292"/>
                          <w:right w:val="single" w:sz="4" w:space="0" w:color="929292"/>
                        </w:tcBorders>
                      </w:tcPr>
                      <w:p>
                        <w:pPr>
                          <w:pStyle w:val="TableParagraph"/>
                          <w:spacing w:line="171" w:lineRule="exact"/>
                          <w:ind w:left="104"/>
                          <w:rPr>
                            <w:sz w:val="16"/>
                          </w:rPr>
                        </w:pPr>
                        <w:r>
                          <w:rPr>
                            <w:sz w:val="16"/>
                          </w:rPr>
                          <w:t>ZM de Saltillo</w:t>
                        </w:r>
                      </w:p>
                      <w:p>
                        <w:pPr>
                          <w:pStyle w:val="TableParagraph"/>
                          <w:tabs>
                            <w:tab w:pos="2126" w:val="left" w:leader="none"/>
                          </w:tabs>
                          <w:spacing w:before="16"/>
                          <w:ind w:left="24"/>
                          <w:rPr>
                            <w:sz w:val="16"/>
                          </w:rPr>
                        </w:pPr>
                        <w:r>
                          <w:rPr>
                            <w:w w:val="100"/>
                            <w:sz w:val="16"/>
                            <w:u w:val="dotted" w:color="929292"/>
                          </w:rPr>
                          <w:t> </w:t>
                        </w:r>
                        <w:r>
                          <w:rPr>
                            <w:sz w:val="16"/>
                            <w:u w:val="dotted" w:color="929292"/>
                          </w:rPr>
                          <w:tab/>
                        </w:r>
                      </w:p>
                    </w:tc>
                    <w:tc>
                      <w:tcPr>
                        <w:tcW w:w="1683" w:type="dxa"/>
                        <w:tcBorders>
                          <w:left w:val="single" w:sz="4" w:space="0" w:color="929292"/>
                          <w:right w:val="nil"/>
                        </w:tcBorders>
                      </w:tcPr>
                      <w:p>
                        <w:pPr>
                          <w:pStyle w:val="TableParagraph"/>
                          <w:spacing w:line="171" w:lineRule="exact"/>
                          <w:ind w:left="104" w:right="318"/>
                          <w:rPr>
                            <w:sz w:val="16"/>
                          </w:rPr>
                        </w:pPr>
                        <w:r>
                          <w:rPr>
                            <w:sz w:val="16"/>
                          </w:rPr>
                          <w:t>66.82</w:t>
                        </w:r>
                      </w:p>
                      <w:p>
                        <w:pPr>
                          <w:pStyle w:val="TableParagraph"/>
                          <w:tabs>
                            <w:tab w:pos="1662" w:val="left" w:leader="none"/>
                          </w:tabs>
                          <w:spacing w:before="16"/>
                          <w:ind w:left="25"/>
                          <w:rPr>
                            <w:sz w:val="16"/>
                          </w:rPr>
                        </w:pPr>
                        <w:r>
                          <w:rPr>
                            <w:w w:val="100"/>
                            <w:sz w:val="16"/>
                            <w:u w:val="dotted" w:color="929292"/>
                          </w:rPr>
                          <w:t> </w:t>
                        </w:r>
                        <w:r>
                          <w:rPr>
                            <w:sz w:val="16"/>
                            <w:u w:val="dotted" w:color="929292"/>
                          </w:rPr>
                          <w:tab/>
                        </w:r>
                      </w:p>
                    </w:tc>
                  </w:tr>
                  <w:tr>
                    <w:trPr>
                      <w:trHeight w:val="371" w:hRule="exact"/>
                    </w:trPr>
                    <w:tc>
                      <w:tcPr>
                        <w:tcW w:w="1719" w:type="dxa"/>
                        <w:tcBorders>
                          <w:left w:val="nil"/>
                          <w:right w:val="single" w:sz="4" w:space="0" w:color="929292"/>
                        </w:tcBorders>
                      </w:tcPr>
                      <w:p>
                        <w:pPr>
                          <w:pStyle w:val="TableParagraph"/>
                          <w:spacing w:line="171" w:lineRule="exact"/>
                          <w:ind w:left="104" w:right="160"/>
                          <w:rPr>
                            <w:sz w:val="16"/>
                          </w:rPr>
                        </w:pPr>
                        <w:r>
                          <w:rPr>
                            <w:sz w:val="16"/>
                          </w:rPr>
                          <w:t>ZM del Valle de</w:t>
                        </w:r>
                      </w:p>
                      <w:p>
                        <w:pPr>
                          <w:pStyle w:val="TableParagraph"/>
                          <w:tabs>
                            <w:tab w:pos="1703" w:val="left" w:leader="none"/>
                          </w:tabs>
                          <w:spacing w:before="16"/>
                          <w:ind w:left="30"/>
                          <w:rPr>
                            <w:sz w:val="16"/>
                          </w:rPr>
                        </w:pPr>
                        <w:r>
                          <w:rPr>
                            <w:w w:val="100"/>
                            <w:sz w:val="16"/>
                            <w:u w:val="dotted" w:color="929292"/>
                          </w:rPr>
                          <w:t> </w:t>
                        </w:r>
                        <w:r>
                          <w:rPr>
                            <w:spacing w:val="-15"/>
                            <w:sz w:val="16"/>
                            <w:u w:val="dotted" w:color="929292"/>
                          </w:rPr>
                          <w:t> </w:t>
                        </w:r>
                        <w:r>
                          <w:rPr>
                            <w:w w:val="105"/>
                            <w:sz w:val="16"/>
                            <w:u w:val="dotted" w:color="929292"/>
                          </w:rPr>
                          <w:t>México</w:t>
                        </w:r>
                        <w:r>
                          <w:rPr>
                            <w:sz w:val="16"/>
                            <w:u w:val="dotted" w:color="929292"/>
                          </w:rPr>
                          <w:tab/>
                        </w:r>
                      </w:p>
                    </w:tc>
                    <w:tc>
                      <w:tcPr>
                        <w:tcW w:w="2127" w:type="dxa"/>
                        <w:tcBorders>
                          <w:left w:val="single" w:sz="4" w:space="0" w:color="929292"/>
                          <w:right w:val="single" w:sz="4" w:space="0" w:color="929292"/>
                        </w:tcBorders>
                      </w:tcPr>
                      <w:p>
                        <w:pPr>
                          <w:pStyle w:val="TableParagraph"/>
                          <w:spacing w:line="171" w:lineRule="exact"/>
                          <w:ind w:left="104" w:right="215"/>
                          <w:rPr>
                            <w:sz w:val="16"/>
                          </w:rPr>
                        </w:pPr>
                        <w:r>
                          <w:rPr>
                            <w:sz w:val="16"/>
                          </w:rPr>
                          <w:t>89.51</w:t>
                        </w:r>
                      </w:p>
                      <w:p>
                        <w:pPr>
                          <w:pStyle w:val="TableParagraph"/>
                          <w:tabs>
                            <w:tab w:pos="2106" w:val="left" w:leader="none"/>
                          </w:tabs>
                          <w:spacing w:before="16"/>
                          <w:ind w:left="24"/>
                          <w:rPr>
                            <w:sz w:val="16"/>
                          </w:rPr>
                        </w:pPr>
                        <w:r>
                          <w:rPr>
                            <w:w w:val="100"/>
                            <w:sz w:val="16"/>
                            <w:u w:val="dotted" w:color="929292"/>
                          </w:rPr>
                          <w:t> </w:t>
                        </w:r>
                        <w:r>
                          <w:rPr>
                            <w:sz w:val="16"/>
                            <w:u w:val="dotted" w:color="929292"/>
                          </w:rPr>
                          <w:tab/>
                        </w:r>
                      </w:p>
                    </w:tc>
                    <w:tc>
                      <w:tcPr>
                        <w:tcW w:w="2146" w:type="dxa"/>
                        <w:tcBorders>
                          <w:left w:val="single" w:sz="4" w:space="0" w:color="929292"/>
                          <w:right w:val="single" w:sz="4" w:space="0" w:color="929292"/>
                        </w:tcBorders>
                      </w:tcPr>
                      <w:p>
                        <w:pPr>
                          <w:pStyle w:val="TableParagraph"/>
                          <w:spacing w:line="171" w:lineRule="exact"/>
                          <w:ind w:left="104"/>
                          <w:rPr>
                            <w:sz w:val="16"/>
                          </w:rPr>
                        </w:pPr>
                        <w:r>
                          <w:rPr>
                            <w:sz w:val="16"/>
                          </w:rPr>
                          <w:t>ZM de Oaxaca</w:t>
                        </w:r>
                      </w:p>
                      <w:p>
                        <w:pPr>
                          <w:pStyle w:val="TableParagraph"/>
                          <w:tabs>
                            <w:tab w:pos="2126" w:val="left" w:leader="none"/>
                          </w:tabs>
                          <w:spacing w:before="16"/>
                          <w:ind w:left="24"/>
                          <w:rPr>
                            <w:sz w:val="16"/>
                          </w:rPr>
                        </w:pPr>
                        <w:r>
                          <w:rPr>
                            <w:w w:val="100"/>
                            <w:sz w:val="16"/>
                            <w:u w:val="dotted" w:color="929292"/>
                          </w:rPr>
                          <w:t> </w:t>
                        </w:r>
                        <w:r>
                          <w:rPr>
                            <w:sz w:val="16"/>
                            <w:u w:val="dotted" w:color="929292"/>
                          </w:rPr>
                          <w:tab/>
                        </w:r>
                      </w:p>
                    </w:tc>
                    <w:tc>
                      <w:tcPr>
                        <w:tcW w:w="1683" w:type="dxa"/>
                        <w:tcBorders>
                          <w:left w:val="single" w:sz="4" w:space="0" w:color="929292"/>
                          <w:right w:val="nil"/>
                        </w:tcBorders>
                      </w:tcPr>
                      <w:p>
                        <w:pPr>
                          <w:pStyle w:val="TableParagraph"/>
                          <w:spacing w:line="171" w:lineRule="exact"/>
                          <w:ind w:left="105" w:right="318"/>
                          <w:rPr>
                            <w:sz w:val="16"/>
                          </w:rPr>
                        </w:pPr>
                        <w:r>
                          <w:rPr>
                            <w:sz w:val="16"/>
                          </w:rPr>
                          <w:t>65.79</w:t>
                        </w:r>
                      </w:p>
                      <w:p>
                        <w:pPr>
                          <w:pStyle w:val="TableParagraph"/>
                          <w:tabs>
                            <w:tab w:pos="1662" w:val="left" w:leader="none"/>
                          </w:tabs>
                          <w:spacing w:before="16"/>
                          <w:ind w:left="25"/>
                          <w:rPr>
                            <w:sz w:val="16"/>
                          </w:rPr>
                        </w:pPr>
                        <w:r>
                          <w:rPr>
                            <w:w w:val="100"/>
                            <w:sz w:val="16"/>
                            <w:u w:val="dotted" w:color="929292"/>
                          </w:rPr>
                          <w:t> </w:t>
                        </w:r>
                        <w:r>
                          <w:rPr>
                            <w:sz w:val="16"/>
                            <w:u w:val="dotted" w:color="929292"/>
                          </w:rPr>
                          <w:tab/>
                        </w:r>
                      </w:p>
                    </w:tc>
                  </w:tr>
                  <w:tr>
                    <w:trPr>
                      <w:trHeight w:val="371" w:hRule="exact"/>
                    </w:trPr>
                    <w:tc>
                      <w:tcPr>
                        <w:tcW w:w="1719" w:type="dxa"/>
                        <w:tcBorders>
                          <w:left w:val="nil"/>
                          <w:right w:val="single" w:sz="4" w:space="0" w:color="929292"/>
                        </w:tcBorders>
                      </w:tcPr>
                      <w:p>
                        <w:pPr>
                          <w:pStyle w:val="TableParagraph"/>
                          <w:spacing w:line="171" w:lineRule="exact"/>
                          <w:ind w:left="105" w:right="160"/>
                          <w:rPr>
                            <w:sz w:val="16"/>
                          </w:rPr>
                        </w:pPr>
                        <w:r>
                          <w:rPr>
                            <w:sz w:val="16"/>
                          </w:rPr>
                          <w:t>ZM de Tlaxcala-</w:t>
                        </w:r>
                      </w:p>
                      <w:p>
                        <w:pPr>
                          <w:pStyle w:val="TableParagraph"/>
                          <w:tabs>
                            <w:tab w:pos="1703" w:val="left" w:leader="none"/>
                          </w:tabs>
                          <w:spacing w:before="16"/>
                          <w:ind w:left="30"/>
                          <w:rPr>
                            <w:sz w:val="16"/>
                          </w:rPr>
                        </w:pPr>
                        <w:r>
                          <w:rPr>
                            <w:w w:val="100"/>
                            <w:sz w:val="16"/>
                            <w:u w:val="dotted" w:color="929292"/>
                          </w:rPr>
                          <w:t> </w:t>
                        </w:r>
                        <w:r>
                          <w:rPr>
                            <w:spacing w:val="-14"/>
                            <w:sz w:val="16"/>
                            <w:u w:val="dotted" w:color="929292"/>
                          </w:rPr>
                          <w:t> </w:t>
                        </w:r>
                        <w:r>
                          <w:rPr>
                            <w:sz w:val="16"/>
                            <w:u w:val="dotted" w:color="929292"/>
                          </w:rPr>
                          <w:t>Apizaco</w:t>
                          <w:tab/>
                        </w:r>
                      </w:p>
                    </w:tc>
                    <w:tc>
                      <w:tcPr>
                        <w:tcW w:w="2127" w:type="dxa"/>
                        <w:tcBorders>
                          <w:left w:val="single" w:sz="4" w:space="0" w:color="929292"/>
                          <w:right w:val="single" w:sz="4" w:space="0" w:color="929292"/>
                        </w:tcBorders>
                      </w:tcPr>
                      <w:p>
                        <w:pPr>
                          <w:pStyle w:val="TableParagraph"/>
                          <w:spacing w:line="171" w:lineRule="exact"/>
                          <w:ind w:left="105" w:right="215"/>
                          <w:rPr>
                            <w:sz w:val="16"/>
                          </w:rPr>
                        </w:pPr>
                        <w:r>
                          <w:rPr>
                            <w:sz w:val="16"/>
                          </w:rPr>
                          <w:t>88.27</w:t>
                        </w:r>
                      </w:p>
                      <w:p>
                        <w:pPr>
                          <w:pStyle w:val="TableParagraph"/>
                          <w:tabs>
                            <w:tab w:pos="2106" w:val="left" w:leader="none"/>
                          </w:tabs>
                          <w:spacing w:before="16"/>
                          <w:ind w:left="24"/>
                          <w:rPr>
                            <w:sz w:val="16"/>
                          </w:rPr>
                        </w:pPr>
                        <w:r>
                          <w:rPr>
                            <w:w w:val="100"/>
                            <w:sz w:val="16"/>
                            <w:u w:val="dotted" w:color="929292"/>
                          </w:rPr>
                          <w:t> </w:t>
                        </w:r>
                        <w:r>
                          <w:rPr>
                            <w:sz w:val="16"/>
                            <w:u w:val="dotted" w:color="929292"/>
                          </w:rPr>
                          <w:tab/>
                        </w:r>
                      </w:p>
                    </w:tc>
                    <w:tc>
                      <w:tcPr>
                        <w:tcW w:w="2146" w:type="dxa"/>
                        <w:tcBorders>
                          <w:left w:val="single" w:sz="4" w:space="0" w:color="929292"/>
                          <w:right w:val="single" w:sz="4" w:space="0" w:color="929292"/>
                        </w:tcBorders>
                      </w:tcPr>
                      <w:p>
                        <w:pPr>
                          <w:pStyle w:val="TableParagraph"/>
                          <w:spacing w:line="171" w:lineRule="exact"/>
                          <w:ind w:left="105"/>
                          <w:rPr>
                            <w:sz w:val="16"/>
                          </w:rPr>
                        </w:pPr>
                        <w:r>
                          <w:rPr>
                            <w:sz w:val="16"/>
                          </w:rPr>
                          <w:t>ZM de Colima-Villa de</w:t>
                        </w:r>
                      </w:p>
                      <w:p>
                        <w:pPr>
                          <w:pStyle w:val="TableParagraph"/>
                          <w:tabs>
                            <w:tab w:pos="2126" w:val="left" w:leader="none"/>
                          </w:tabs>
                          <w:spacing w:before="16"/>
                          <w:ind w:left="24"/>
                          <w:rPr>
                            <w:sz w:val="16"/>
                          </w:rPr>
                        </w:pPr>
                        <w:r>
                          <w:rPr>
                            <w:w w:val="100"/>
                            <w:sz w:val="16"/>
                            <w:u w:val="dotted" w:color="929292"/>
                          </w:rPr>
                          <w:t> </w:t>
                        </w:r>
                        <w:r>
                          <w:rPr>
                            <w:spacing w:val="-9"/>
                            <w:sz w:val="16"/>
                            <w:u w:val="dotted" w:color="929292"/>
                          </w:rPr>
                          <w:t> </w:t>
                        </w:r>
                        <w:r>
                          <w:rPr>
                            <w:sz w:val="16"/>
                            <w:u w:val="dotted" w:color="929292"/>
                          </w:rPr>
                          <w:t>Álvarez</w:t>
                          <w:tab/>
                        </w:r>
                      </w:p>
                    </w:tc>
                    <w:tc>
                      <w:tcPr>
                        <w:tcW w:w="1683" w:type="dxa"/>
                        <w:tcBorders>
                          <w:left w:val="single" w:sz="4" w:space="0" w:color="929292"/>
                          <w:right w:val="nil"/>
                        </w:tcBorders>
                      </w:tcPr>
                      <w:p>
                        <w:pPr>
                          <w:pStyle w:val="TableParagraph"/>
                          <w:spacing w:line="171" w:lineRule="exact"/>
                          <w:ind w:left="105" w:right="318"/>
                          <w:rPr>
                            <w:sz w:val="16"/>
                          </w:rPr>
                        </w:pPr>
                        <w:r>
                          <w:rPr>
                            <w:sz w:val="16"/>
                          </w:rPr>
                          <w:t>65.52</w:t>
                        </w:r>
                      </w:p>
                      <w:p>
                        <w:pPr>
                          <w:pStyle w:val="TableParagraph"/>
                          <w:tabs>
                            <w:tab w:pos="1662" w:val="left" w:leader="none"/>
                          </w:tabs>
                          <w:spacing w:before="16"/>
                          <w:ind w:left="25"/>
                          <w:rPr>
                            <w:sz w:val="16"/>
                          </w:rPr>
                        </w:pPr>
                        <w:r>
                          <w:rPr>
                            <w:w w:val="100"/>
                            <w:sz w:val="16"/>
                            <w:u w:val="dotted" w:color="929292"/>
                          </w:rPr>
                          <w:t> </w:t>
                        </w:r>
                        <w:r>
                          <w:rPr>
                            <w:sz w:val="16"/>
                            <w:u w:val="dotted" w:color="929292"/>
                          </w:rPr>
                          <w:tab/>
                        </w:r>
                      </w:p>
                    </w:tc>
                  </w:tr>
                  <w:tr>
                    <w:trPr>
                      <w:trHeight w:val="371" w:hRule="exact"/>
                    </w:trPr>
                    <w:tc>
                      <w:tcPr>
                        <w:tcW w:w="1719" w:type="dxa"/>
                        <w:tcBorders>
                          <w:left w:val="nil"/>
                          <w:right w:val="single" w:sz="4" w:space="0" w:color="929292"/>
                        </w:tcBorders>
                      </w:tcPr>
                      <w:p>
                        <w:pPr>
                          <w:pStyle w:val="TableParagraph"/>
                          <w:spacing w:line="171" w:lineRule="exact"/>
                          <w:ind w:left="105" w:right="160"/>
                          <w:rPr>
                            <w:sz w:val="16"/>
                          </w:rPr>
                        </w:pPr>
                        <w:r>
                          <w:rPr>
                            <w:sz w:val="16"/>
                          </w:rPr>
                          <w:t>ZM de Puebla-</w:t>
                        </w:r>
                      </w:p>
                      <w:p>
                        <w:pPr>
                          <w:pStyle w:val="TableParagraph"/>
                          <w:tabs>
                            <w:tab w:pos="1703" w:val="left" w:leader="none"/>
                          </w:tabs>
                          <w:spacing w:before="16"/>
                          <w:ind w:left="30"/>
                          <w:rPr>
                            <w:sz w:val="16"/>
                          </w:rPr>
                        </w:pPr>
                        <w:r>
                          <w:rPr>
                            <w:w w:val="100"/>
                            <w:sz w:val="16"/>
                            <w:u w:val="dotted" w:color="929292"/>
                          </w:rPr>
                          <w:t> </w:t>
                        </w:r>
                        <w:r>
                          <w:rPr>
                            <w:spacing w:val="-14"/>
                            <w:sz w:val="16"/>
                            <w:u w:val="dotted" w:color="929292"/>
                          </w:rPr>
                          <w:t> </w:t>
                        </w:r>
                        <w:r>
                          <w:rPr>
                            <w:sz w:val="16"/>
                            <w:u w:val="dotted" w:color="929292"/>
                          </w:rPr>
                          <w:t>Tlaxcala</w:t>
                          <w:tab/>
                        </w:r>
                      </w:p>
                    </w:tc>
                    <w:tc>
                      <w:tcPr>
                        <w:tcW w:w="2127" w:type="dxa"/>
                        <w:tcBorders>
                          <w:left w:val="single" w:sz="4" w:space="0" w:color="929292"/>
                          <w:right w:val="single" w:sz="4" w:space="0" w:color="929292"/>
                        </w:tcBorders>
                      </w:tcPr>
                      <w:p>
                        <w:pPr>
                          <w:pStyle w:val="TableParagraph"/>
                          <w:spacing w:line="171" w:lineRule="exact"/>
                          <w:ind w:left="105" w:right="215"/>
                          <w:rPr>
                            <w:sz w:val="16"/>
                          </w:rPr>
                        </w:pPr>
                        <w:r>
                          <w:rPr>
                            <w:sz w:val="16"/>
                          </w:rPr>
                          <w:t>86.34</w:t>
                        </w:r>
                      </w:p>
                      <w:p>
                        <w:pPr>
                          <w:pStyle w:val="TableParagraph"/>
                          <w:tabs>
                            <w:tab w:pos="2106" w:val="left" w:leader="none"/>
                          </w:tabs>
                          <w:spacing w:before="16"/>
                          <w:ind w:left="24"/>
                          <w:rPr>
                            <w:sz w:val="16"/>
                          </w:rPr>
                        </w:pPr>
                        <w:r>
                          <w:rPr>
                            <w:w w:val="100"/>
                            <w:sz w:val="16"/>
                            <w:u w:val="dotted" w:color="929292"/>
                          </w:rPr>
                          <w:t> </w:t>
                        </w:r>
                        <w:r>
                          <w:rPr>
                            <w:sz w:val="16"/>
                            <w:u w:val="dotted" w:color="929292"/>
                          </w:rPr>
                          <w:tab/>
                        </w:r>
                      </w:p>
                    </w:tc>
                    <w:tc>
                      <w:tcPr>
                        <w:tcW w:w="2146" w:type="dxa"/>
                        <w:tcBorders>
                          <w:left w:val="single" w:sz="4" w:space="0" w:color="929292"/>
                          <w:right w:val="single" w:sz="4" w:space="0" w:color="929292"/>
                        </w:tcBorders>
                      </w:tcPr>
                      <w:p>
                        <w:pPr>
                          <w:pStyle w:val="TableParagraph"/>
                          <w:spacing w:line="171" w:lineRule="exact"/>
                          <w:ind w:left="105"/>
                          <w:rPr>
                            <w:sz w:val="16"/>
                          </w:rPr>
                        </w:pPr>
                        <w:r>
                          <w:rPr>
                            <w:sz w:val="16"/>
                          </w:rPr>
                          <w:t>ZM de Tuxtla Gutiérrez</w:t>
                        </w:r>
                      </w:p>
                      <w:p>
                        <w:pPr>
                          <w:pStyle w:val="TableParagraph"/>
                          <w:tabs>
                            <w:tab w:pos="2126" w:val="left" w:leader="none"/>
                          </w:tabs>
                          <w:spacing w:before="16"/>
                          <w:ind w:left="24"/>
                          <w:rPr>
                            <w:sz w:val="16"/>
                          </w:rPr>
                        </w:pPr>
                        <w:r>
                          <w:rPr>
                            <w:w w:val="100"/>
                            <w:sz w:val="16"/>
                            <w:u w:val="dotted" w:color="929292"/>
                          </w:rPr>
                          <w:t> </w:t>
                        </w:r>
                        <w:r>
                          <w:rPr>
                            <w:sz w:val="16"/>
                            <w:u w:val="dotted" w:color="929292"/>
                          </w:rPr>
                          <w:tab/>
                        </w:r>
                      </w:p>
                    </w:tc>
                    <w:tc>
                      <w:tcPr>
                        <w:tcW w:w="1683" w:type="dxa"/>
                        <w:tcBorders>
                          <w:left w:val="single" w:sz="4" w:space="0" w:color="929292"/>
                          <w:right w:val="nil"/>
                        </w:tcBorders>
                      </w:tcPr>
                      <w:p>
                        <w:pPr>
                          <w:pStyle w:val="TableParagraph"/>
                          <w:spacing w:line="171" w:lineRule="exact"/>
                          <w:ind w:left="105" w:right="318"/>
                          <w:rPr>
                            <w:sz w:val="16"/>
                          </w:rPr>
                        </w:pPr>
                        <w:r>
                          <w:rPr>
                            <w:sz w:val="16"/>
                          </w:rPr>
                          <w:t>65.34</w:t>
                        </w:r>
                      </w:p>
                      <w:p>
                        <w:pPr>
                          <w:pStyle w:val="TableParagraph"/>
                          <w:tabs>
                            <w:tab w:pos="1662" w:val="left" w:leader="none"/>
                          </w:tabs>
                          <w:spacing w:before="16"/>
                          <w:ind w:left="25"/>
                          <w:rPr>
                            <w:sz w:val="16"/>
                          </w:rPr>
                        </w:pPr>
                        <w:r>
                          <w:rPr>
                            <w:w w:val="100"/>
                            <w:sz w:val="16"/>
                            <w:u w:val="dotted" w:color="929292"/>
                          </w:rPr>
                          <w:t> </w:t>
                        </w:r>
                        <w:r>
                          <w:rPr>
                            <w:sz w:val="16"/>
                            <w:u w:val="dotted" w:color="929292"/>
                          </w:rPr>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1" w:lineRule="exact"/>
                          <w:ind w:left="20"/>
                          <w:jc w:val="center"/>
                          <w:rPr>
                            <w:sz w:val="16"/>
                          </w:rPr>
                        </w:pPr>
                        <w:r>
                          <w:rPr>
                            <w:w w:val="100"/>
                            <w:sz w:val="16"/>
                            <w:u w:val="dotted" w:color="929292"/>
                          </w:rPr>
                          <w:t> </w:t>
                        </w:r>
                        <w:r>
                          <w:rPr>
                            <w:spacing w:val="-14"/>
                            <w:sz w:val="16"/>
                            <w:u w:val="dotted" w:color="929292"/>
                          </w:rPr>
                          <w:t> </w:t>
                        </w:r>
                        <w:r>
                          <w:rPr>
                            <w:sz w:val="16"/>
                            <w:u w:val="dotted" w:color="929292"/>
                          </w:rPr>
                          <w:t>ZM de</w:t>
                        </w:r>
                        <w:r>
                          <w:rPr>
                            <w:spacing w:val="8"/>
                            <w:sz w:val="16"/>
                            <w:u w:val="dotted" w:color="929292"/>
                          </w:rPr>
                          <w:t> </w:t>
                        </w:r>
                        <w:r>
                          <w:rPr>
                            <w:sz w:val="16"/>
                            <w:u w:val="dotted" w:color="929292"/>
                          </w:rPr>
                          <w:t>Cuautla</w:t>
                          <w:tab/>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9"/>
                            <w:sz w:val="16"/>
                            <w:u w:val="dotted" w:color="929292"/>
                          </w:rPr>
                          <w:t> </w:t>
                        </w:r>
                        <w:r>
                          <w:rPr>
                            <w:w w:val="95"/>
                            <w:sz w:val="16"/>
                            <w:u w:val="dotted" w:color="929292"/>
                          </w:rPr>
                          <w:t>86.15</w:t>
                        </w:r>
                        <w:r>
                          <w:rPr>
                            <w:sz w:val="16"/>
                            <w:u w:val="dotted" w:color="929292"/>
                          </w:rPr>
                          <w:tab/>
                        </w:r>
                      </w:p>
                    </w:tc>
                    <w:tc>
                      <w:tcPr>
                        <w:tcW w:w="2146" w:type="dxa"/>
                        <w:tcBorders>
                          <w:left w:val="single" w:sz="4" w:space="0" w:color="929292"/>
                          <w:right w:val="single" w:sz="4" w:space="0" w:color="929292"/>
                        </w:tcBorders>
                      </w:tcPr>
                      <w:p>
                        <w:pPr>
                          <w:pStyle w:val="TableParagraph"/>
                          <w:tabs>
                            <w:tab w:pos="2116" w:val="left" w:leader="none"/>
                          </w:tabs>
                          <w:spacing w:line="171" w:lineRule="exact"/>
                          <w:ind w:left="14"/>
                          <w:jc w:val="center"/>
                          <w:rPr>
                            <w:sz w:val="16"/>
                          </w:rPr>
                        </w:pPr>
                        <w:r>
                          <w:rPr>
                            <w:w w:val="100"/>
                            <w:sz w:val="16"/>
                            <w:u w:val="dotted" w:color="929292"/>
                          </w:rPr>
                          <w:t> </w:t>
                        </w:r>
                        <w:r>
                          <w:rPr>
                            <w:spacing w:val="-9"/>
                            <w:sz w:val="16"/>
                            <w:u w:val="dotted" w:color="929292"/>
                          </w:rPr>
                          <w:t> </w:t>
                        </w:r>
                        <w:r>
                          <w:rPr>
                            <w:sz w:val="16"/>
                            <w:u w:val="dotted" w:color="929292"/>
                          </w:rPr>
                          <w:t>ZM de La</w:t>
                        </w:r>
                        <w:r>
                          <w:rPr>
                            <w:spacing w:val="2"/>
                            <w:sz w:val="16"/>
                            <w:u w:val="dotted" w:color="929292"/>
                          </w:rPr>
                          <w:t> </w:t>
                        </w:r>
                        <w:r>
                          <w:rPr>
                            <w:sz w:val="16"/>
                            <w:u w:val="dotted" w:color="929292"/>
                          </w:rPr>
                          <w:t>Laguna</w:t>
                          <w:tab/>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9"/>
                            <w:sz w:val="16"/>
                            <w:u w:val="dotted" w:color="929292"/>
                          </w:rPr>
                          <w:t> </w:t>
                        </w:r>
                        <w:r>
                          <w:rPr>
                            <w:sz w:val="16"/>
                            <w:u w:val="dotted" w:color="929292"/>
                          </w:rPr>
                          <w:t>64.40</w:t>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1" w:lineRule="exact"/>
                          <w:ind w:left="20"/>
                          <w:jc w:val="center"/>
                          <w:rPr>
                            <w:sz w:val="16"/>
                          </w:rPr>
                        </w:pPr>
                        <w:r>
                          <w:rPr>
                            <w:w w:val="100"/>
                            <w:sz w:val="16"/>
                            <w:u w:val="dotted" w:color="929292"/>
                          </w:rPr>
                          <w:t> </w:t>
                        </w:r>
                        <w:r>
                          <w:rPr>
                            <w:spacing w:val="-14"/>
                            <w:sz w:val="16"/>
                            <w:u w:val="dotted" w:color="929292"/>
                          </w:rPr>
                          <w:t> </w:t>
                        </w:r>
                        <w:r>
                          <w:rPr>
                            <w:sz w:val="16"/>
                            <w:u w:val="dotted" w:color="929292"/>
                          </w:rPr>
                          <w:t>ZM de</w:t>
                        </w:r>
                        <w:r>
                          <w:rPr>
                            <w:spacing w:val="-1"/>
                            <w:sz w:val="16"/>
                            <w:u w:val="dotted" w:color="929292"/>
                          </w:rPr>
                          <w:t> </w:t>
                        </w:r>
                        <w:r>
                          <w:rPr>
                            <w:sz w:val="16"/>
                            <w:u w:val="dotted" w:color="929292"/>
                          </w:rPr>
                          <w:t>Tula</w:t>
                          <w:tab/>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9"/>
                            <w:sz w:val="16"/>
                            <w:u w:val="dotted" w:color="929292"/>
                          </w:rPr>
                          <w:t> </w:t>
                        </w:r>
                        <w:r>
                          <w:rPr>
                            <w:w w:val="95"/>
                            <w:sz w:val="16"/>
                            <w:u w:val="dotted" w:color="929292"/>
                          </w:rPr>
                          <w:t>86.00</w:t>
                        </w:r>
                        <w:r>
                          <w:rPr>
                            <w:sz w:val="16"/>
                            <w:u w:val="dotted" w:color="929292"/>
                          </w:rPr>
                          <w:tab/>
                        </w:r>
                      </w:p>
                    </w:tc>
                    <w:tc>
                      <w:tcPr>
                        <w:tcW w:w="2146" w:type="dxa"/>
                        <w:tcBorders>
                          <w:left w:val="single" w:sz="4" w:space="0" w:color="929292"/>
                          <w:right w:val="single" w:sz="4" w:space="0" w:color="929292"/>
                        </w:tcBorders>
                      </w:tcPr>
                      <w:p>
                        <w:pPr>
                          <w:pStyle w:val="TableParagraph"/>
                          <w:tabs>
                            <w:tab w:pos="2116" w:val="left" w:leader="none"/>
                          </w:tabs>
                          <w:spacing w:line="171" w:lineRule="exact"/>
                          <w:ind w:left="14"/>
                          <w:jc w:val="center"/>
                          <w:rPr>
                            <w:sz w:val="16"/>
                          </w:rPr>
                        </w:pPr>
                        <w:r>
                          <w:rPr>
                            <w:w w:val="100"/>
                            <w:sz w:val="16"/>
                            <w:u w:val="dotted" w:color="929292"/>
                          </w:rPr>
                          <w:t> </w:t>
                        </w:r>
                        <w:r>
                          <w:rPr>
                            <w:spacing w:val="-9"/>
                            <w:sz w:val="16"/>
                            <w:u w:val="dotted" w:color="929292"/>
                          </w:rPr>
                          <w:t> </w:t>
                        </w:r>
                        <w:r>
                          <w:rPr>
                            <w:sz w:val="16"/>
                            <w:u w:val="dotted" w:color="929292"/>
                          </w:rPr>
                          <w:t>ZM de</w:t>
                        </w:r>
                        <w:r>
                          <w:rPr>
                            <w:spacing w:val="17"/>
                            <w:sz w:val="16"/>
                            <w:u w:val="dotted" w:color="929292"/>
                          </w:rPr>
                          <w:t> </w:t>
                        </w:r>
                        <w:r>
                          <w:rPr>
                            <w:sz w:val="16"/>
                            <w:u w:val="dotted" w:color="929292"/>
                          </w:rPr>
                          <w:t>Monterrey</w:t>
                          <w:tab/>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9"/>
                            <w:sz w:val="16"/>
                            <w:u w:val="dotted" w:color="929292"/>
                          </w:rPr>
                          <w:t> </w:t>
                        </w:r>
                        <w:r>
                          <w:rPr>
                            <w:sz w:val="16"/>
                            <w:u w:val="dotted" w:color="929292"/>
                          </w:rPr>
                          <w:t>62.81</w:t>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1" w:lineRule="exact"/>
                          <w:ind w:left="20"/>
                          <w:jc w:val="center"/>
                          <w:rPr>
                            <w:sz w:val="16"/>
                          </w:rPr>
                        </w:pPr>
                        <w:r>
                          <w:rPr>
                            <w:w w:val="100"/>
                            <w:sz w:val="16"/>
                            <w:u w:val="dotted" w:color="929292"/>
                          </w:rPr>
                          <w:t> </w:t>
                        </w:r>
                        <w:r>
                          <w:rPr>
                            <w:spacing w:val="-14"/>
                            <w:sz w:val="16"/>
                            <w:u w:val="dotted" w:color="929292"/>
                          </w:rPr>
                          <w:t> </w:t>
                        </w:r>
                        <w:r>
                          <w:rPr>
                            <w:sz w:val="16"/>
                            <w:u w:val="dotted" w:color="929292"/>
                          </w:rPr>
                          <w:t>ZM de</w:t>
                        </w:r>
                        <w:r>
                          <w:rPr>
                            <w:spacing w:val="-1"/>
                            <w:sz w:val="16"/>
                            <w:u w:val="dotted" w:color="929292"/>
                          </w:rPr>
                          <w:t> </w:t>
                        </w:r>
                        <w:r>
                          <w:rPr>
                            <w:sz w:val="16"/>
                            <w:u w:val="dotted" w:color="929292"/>
                          </w:rPr>
                          <w:t>Teziutlán</w:t>
                          <w:tab/>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9"/>
                            <w:sz w:val="16"/>
                            <w:u w:val="dotted" w:color="929292"/>
                          </w:rPr>
                          <w:t> </w:t>
                        </w:r>
                        <w:r>
                          <w:rPr>
                            <w:w w:val="95"/>
                            <w:sz w:val="16"/>
                            <w:u w:val="dotted" w:color="929292"/>
                          </w:rPr>
                          <w:t>85.71</w:t>
                        </w:r>
                        <w:r>
                          <w:rPr>
                            <w:sz w:val="16"/>
                            <w:u w:val="dotted" w:color="929292"/>
                          </w:rPr>
                          <w:tab/>
                        </w:r>
                      </w:p>
                    </w:tc>
                    <w:tc>
                      <w:tcPr>
                        <w:tcW w:w="2146" w:type="dxa"/>
                        <w:tcBorders>
                          <w:left w:val="single" w:sz="4" w:space="0" w:color="929292"/>
                          <w:right w:val="single" w:sz="4" w:space="0" w:color="929292"/>
                        </w:tcBorders>
                      </w:tcPr>
                      <w:p>
                        <w:pPr>
                          <w:pStyle w:val="TableParagraph"/>
                          <w:tabs>
                            <w:tab w:pos="2116" w:val="left" w:leader="none"/>
                          </w:tabs>
                          <w:spacing w:line="171" w:lineRule="exact"/>
                          <w:ind w:left="14"/>
                          <w:jc w:val="center"/>
                          <w:rPr>
                            <w:sz w:val="16"/>
                          </w:rPr>
                        </w:pPr>
                        <w:r>
                          <w:rPr>
                            <w:w w:val="100"/>
                            <w:sz w:val="16"/>
                            <w:u w:val="dotted" w:color="929292"/>
                          </w:rPr>
                          <w:t> </w:t>
                        </w:r>
                        <w:r>
                          <w:rPr>
                            <w:spacing w:val="-8"/>
                            <w:sz w:val="16"/>
                            <w:u w:val="dotted" w:color="929292"/>
                          </w:rPr>
                          <w:t> </w:t>
                        </w:r>
                        <w:r>
                          <w:rPr>
                            <w:sz w:val="16"/>
                            <w:u w:val="dotted" w:color="929292"/>
                          </w:rPr>
                          <w:t>ZM de</w:t>
                        </w:r>
                        <w:r>
                          <w:rPr>
                            <w:spacing w:val="11"/>
                            <w:sz w:val="16"/>
                            <w:u w:val="dotted" w:color="929292"/>
                          </w:rPr>
                          <w:t> </w:t>
                        </w:r>
                        <w:r>
                          <w:rPr>
                            <w:sz w:val="16"/>
                            <w:u w:val="dotted" w:color="929292"/>
                          </w:rPr>
                          <w:t>Tulancingo</w:t>
                          <w:tab/>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9"/>
                            <w:sz w:val="16"/>
                            <w:u w:val="dotted" w:color="929292"/>
                          </w:rPr>
                          <w:t> </w:t>
                        </w:r>
                        <w:r>
                          <w:rPr>
                            <w:sz w:val="16"/>
                            <w:u w:val="dotted" w:color="929292"/>
                          </w:rPr>
                          <w:t>62.61</w:t>
                          <w:tab/>
                        </w:r>
                      </w:p>
                    </w:tc>
                  </w:tr>
                  <w:tr>
                    <w:trPr>
                      <w:trHeight w:val="371" w:hRule="exact"/>
                    </w:trPr>
                    <w:tc>
                      <w:tcPr>
                        <w:tcW w:w="1719" w:type="dxa"/>
                        <w:tcBorders>
                          <w:left w:val="nil"/>
                          <w:right w:val="single" w:sz="4" w:space="0" w:color="929292"/>
                        </w:tcBorders>
                      </w:tcPr>
                      <w:p>
                        <w:pPr>
                          <w:pStyle w:val="TableParagraph"/>
                          <w:spacing w:line="171" w:lineRule="exact"/>
                          <w:ind w:left="105" w:right="160"/>
                          <w:rPr>
                            <w:sz w:val="16"/>
                          </w:rPr>
                        </w:pPr>
                        <w:r>
                          <w:rPr>
                            <w:sz w:val="16"/>
                          </w:rPr>
                          <w:t>ZM de Monclova-</w:t>
                        </w:r>
                      </w:p>
                      <w:p>
                        <w:pPr>
                          <w:pStyle w:val="TableParagraph"/>
                          <w:tabs>
                            <w:tab w:pos="1703" w:val="left" w:leader="none"/>
                          </w:tabs>
                          <w:spacing w:before="16"/>
                          <w:ind w:left="30"/>
                          <w:rPr>
                            <w:sz w:val="16"/>
                          </w:rPr>
                        </w:pPr>
                        <w:r>
                          <w:rPr>
                            <w:w w:val="100"/>
                            <w:sz w:val="16"/>
                            <w:u w:val="dotted" w:color="929292"/>
                          </w:rPr>
                          <w:t> </w:t>
                        </w:r>
                        <w:r>
                          <w:rPr>
                            <w:spacing w:val="-14"/>
                            <w:sz w:val="16"/>
                            <w:u w:val="dotted" w:color="929292"/>
                          </w:rPr>
                          <w:t> </w:t>
                        </w:r>
                        <w:r>
                          <w:rPr>
                            <w:sz w:val="16"/>
                            <w:u w:val="dotted" w:color="929292"/>
                          </w:rPr>
                          <w:t>Frontera</w:t>
                          <w:tab/>
                        </w:r>
                      </w:p>
                    </w:tc>
                    <w:tc>
                      <w:tcPr>
                        <w:tcW w:w="2127" w:type="dxa"/>
                        <w:tcBorders>
                          <w:left w:val="single" w:sz="4" w:space="0" w:color="929292"/>
                          <w:right w:val="single" w:sz="4" w:space="0" w:color="929292"/>
                        </w:tcBorders>
                      </w:tcPr>
                      <w:p>
                        <w:pPr>
                          <w:pStyle w:val="TableParagraph"/>
                          <w:spacing w:line="171" w:lineRule="exact"/>
                          <w:ind w:left="105" w:right="215"/>
                          <w:rPr>
                            <w:sz w:val="16"/>
                          </w:rPr>
                        </w:pPr>
                        <w:r>
                          <w:rPr>
                            <w:sz w:val="16"/>
                          </w:rPr>
                          <w:t>84.14</w:t>
                        </w:r>
                      </w:p>
                      <w:p>
                        <w:pPr>
                          <w:pStyle w:val="TableParagraph"/>
                          <w:tabs>
                            <w:tab w:pos="2106" w:val="left" w:leader="none"/>
                          </w:tabs>
                          <w:spacing w:before="16"/>
                          <w:ind w:left="24"/>
                          <w:rPr>
                            <w:sz w:val="16"/>
                          </w:rPr>
                        </w:pPr>
                        <w:r>
                          <w:rPr>
                            <w:w w:val="100"/>
                            <w:sz w:val="16"/>
                            <w:u w:val="dotted" w:color="929292"/>
                          </w:rPr>
                          <w:t> </w:t>
                        </w:r>
                        <w:r>
                          <w:rPr>
                            <w:sz w:val="16"/>
                            <w:u w:val="dotted" w:color="929292"/>
                          </w:rPr>
                          <w:tab/>
                        </w:r>
                      </w:p>
                    </w:tc>
                    <w:tc>
                      <w:tcPr>
                        <w:tcW w:w="2146" w:type="dxa"/>
                        <w:tcBorders>
                          <w:left w:val="single" w:sz="4" w:space="0" w:color="929292"/>
                          <w:right w:val="single" w:sz="4" w:space="0" w:color="929292"/>
                        </w:tcBorders>
                      </w:tcPr>
                      <w:p>
                        <w:pPr>
                          <w:pStyle w:val="TableParagraph"/>
                          <w:spacing w:line="171" w:lineRule="exact"/>
                          <w:ind w:left="105"/>
                          <w:rPr>
                            <w:sz w:val="16"/>
                          </w:rPr>
                        </w:pPr>
                        <w:r>
                          <w:rPr>
                            <w:sz w:val="16"/>
                          </w:rPr>
                          <w:t>ZM de San Francisco del</w:t>
                        </w:r>
                      </w:p>
                      <w:p>
                        <w:pPr>
                          <w:pStyle w:val="TableParagraph"/>
                          <w:tabs>
                            <w:tab w:pos="2126" w:val="left" w:leader="none"/>
                          </w:tabs>
                          <w:spacing w:before="16"/>
                          <w:ind w:left="24"/>
                          <w:rPr>
                            <w:sz w:val="16"/>
                          </w:rPr>
                        </w:pPr>
                        <w:r>
                          <w:rPr>
                            <w:w w:val="100"/>
                            <w:sz w:val="16"/>
                            <w:u w:val="dotted" w:color="929292"/>
                          </w:rPr>
                          <w:t> </w:t>
                        </w:r>
                        <w:r>
                          <w:rPr>
                            <w:spacing w:val="-8"/>
                            <w:sz w:val="16"/>
                            <w:u w:val="dotted" w:color="929292"/>
                          </w:rPr>
                          <w:t> </w:t>
                        </w:r>
                        <w:r>
                          <w:rPr>
                            <w:sz w:val="16"/>
                            <w:u w:val="dotted" w:color="929292"/>
                          </w:rPr>
                          <w:t>Rincón</w:t>
                          <w:tab/>
                        </w:r>
                      </w:p>
                    </w:tc>
                    <w:tc>
                      <w:tcPr>
                        <w:tcW w:w="1683" w:type="dxa"/>
                        <w:tcBorders>
                          <w:left w:val="single" w:sz="4" w:space="0" w:color="929292"/>
                          <w:right w:val="nil"/>
                        </w:tcBorders>
                      </w:tcPr>
                      <w:p>
                        <w:pPr>
                          <w:pStyle w:val="TableParagraph"/>
                          <w:spacing w:line="171" w:lineRule="exact"/>
                          <w:ind w:left="105" w:right="318"/>
                          <w:rPr>
                            <w:sz w:val="16"/>
                          </w:rPr>
                        </w:pPr>
                        <w:r>
                          <w:rPr>
                            <w:sz w:val="16"/>
                          </w:rPr>
                          <w:t>58.13</w:t>
                        </w:r>
                      </w:p>
                      <w:p>
                        <w:pPr>
                          <w:pStyle w:val="TableParagraph"/>
                          <w:tabs>
                            <w:tab w:pos="1662" w:val="left" w:leader="none"/>
                          </w:tabs>
                          <w:spacing w:before="16"/>
                          <w:ind w:left="25"/>
                          <w:rPr>
                            <w:sz w:val="16"/>
                          </w:rPr>
                        </w:pPr>
                        <w:r>
                          <w:rPr>
                            <w:w w:val="100"/>
                            <w:sz w:val="16"/>
                            <w:u w:val="dotted" w:color="929292"/>
                          </w:rPr>
                          <w:t> </w:t>
                        </w:r>
                        <w:r>
                          <w:rPr>
                            <w:sz w:val="16"/>
                            <w:u w:val="dotted" w:color="929292"/>
                          </w:rPr>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1" w:lineRule="exact"/>
                          <w:ind w:left="20"/>
                          <w:jc w:val="center"/>
                          <w:rPr>
                            <w:sz w:val="16"/>
                          </w:rPr>
                        </w:pPr>
                        <w:r>
                          <w:rPr>
                            <w:w w:val="100"/>
                            <w:sz w:val="16"/>
                            <w:u w:val="dotted" w:color="929292"/>
                          </w:rPr>
                          <w:t> </w:t>
                        </w:r>
                        <w:r>
                          <w:rPr>
                            <w:spacing w:val="-14"/>
                            <w:sz w:val="16"/>
                            <w:u w:val="dotted" w:color="929292"/>
                          </w:rPr>
                          <w:t> </w:t>
                        </w:r>
                        <w:r>
                          <w:rPr>
                            <w:sz w:val="16"/>
                            <w:u w:val="dotted" w:color="929292"/>
                          </w:rPr>
                          <w:t>ZM de</w:t>
                        </w:r>
                        <w:r>
                          <w:rPr>
                            <w:spacing w:val="8"/>
                            <w:sz w:val="16"/>
                            <w:u w:val="dotted" w:color="929292"/>
                          </w:rPr>
                          <w:t> </w:t>
                        </w:r>
                        <w:r>
                          <w:rPr>
                            <w:sz w:val="16"/>
                            <w:u w:val="dotted" w:color="929292"/>
                          </w:rPr>
                          <w:t>Toluca</w:t>
                          <w:tab/>
                        </w:r>
                      </w:p>
                    </w:tc>
                    <w:tc>
                      <w:tcPr>
                        <w:tcW w:w="2127" w:type="dxa"/>
                        <w:tcBorders>
                          <w:left w:val="single" w:sz="4" w:space="0" w:color="929292"/>
                          <w:right w:val="single" w:sz="4" w:space="0" w:color="929292"/>
                        </w:tcBorders>
                      </w:tcPr>
                      <w:p>
                        <w:pPr>
                          <w:pStyle w:val="TableParagraph"/>
                          <w:tabs>
                            <w:tab w:pos="2081" w:val="left" w:leader="none"/>
                          </w:tabs>
                          <w:spacing w:line="171" w:lineRule="exact"/>
                          <w:ind w:right="9"/>
                          <w:jc w:val="right"/>
                          <w:rPr>
                            <w:sz w:val="16"/>
                          </w:rPr>
                        </w:pPr>
                        <w:r>
                          <w:rPr>
                            <w:w w:val="100"/>
                            <w:sz w:val="16"/>
                            <w:u w:val="dotted" w:color="929292"/>
                          </w:rPr>
                          <w:t> </w:t>
                        </w:r>
                        <w:r>
                          <w:rPr>
                            <w:spacing w:val="-8"/>
                            <w:sz w:val="16"/>
                            <w:u w:val="dotted" w:color="929292"/>
                          </w:rPr>
                          <w:t> </w:t>
                        </w:r>
                        <w:r>
                          <w:rPr>
                            <w:w w:val="95"/>
                            <w:sz w:val="16"/>
                            <w:u w:val="dotted" w:color="929292"/>
                          </w:rPr>
                          <w:t>81.86</w:t>
                        </w:r>
                        <w:r>
                          <w:rPr>
                            <w:sz w:val="16"/>
                            <w:u w:val="dotted" w:color="929292"/>
                          </w:rPr>
                          <w:tab/>
                        </w:r>
                      </w:p>
                    </w:tc>
                    <w:tc>
                      <w:tcPr>
                        <w:tcW w:w="2146" w:type="dxa"/>
                        <w:tcBorders>
                          <w:left w:val="single" w:sz="4" w:space="0" w:color="929292"/>
                          <w:right w:val="single" w:sz="4" w:space="0" w:color="929292"/>
                        </w:tcBorders>
                      </w:tcPr>
                      <w:p>
                        <w:pPr>
                          <w:pStyle w:val="TableParagraph"/>
                          <w:tabs>
                            <w:tab w:pos="2116" w:val="left" w:leader="none"/>
                          </w:tabs>
                          <w:spacing w:line="171" w:lineRule="exact"/>
                          <w:ind w:left="14"/>
                          <w:jc w:val="center"/>
                          <w:rPr>
                            <w:sz w:val="16"/>
                          </w:rPr>
                        </w:pPr>
                        <w:r>
                          <w:rPr>
                            <w:w w:val="100"/>
                            <w:sz w:val="16"/>
                            <w:u w:val="dotted" w:color="929292"/>
                          </w:rPr>
                          <w:t> </w:t>
                        </w:r>
                        <w:r>
                          <w:rPr>
                            <w:spacing w:val="-8"/>
                            <w:sz w:val="16"/>
                            <w:u w:val="dotted" w:color="929292"/>
                          </w:rPr>
                          <w:t> </w:t>
                        </w:r>
                        <w:r>
                          <w:rPr>
                            <w:sz w:val="16"/>
                            <w:u w:val="dotted" w:color="929292"/>
                          </w:rPr>
                          <w:t>ZM de</w:t>
                        </w:r>
                        <w:r>
                          <w:rPr>
                            <w:spacing w:val="5"/>
                            <w:sz w:val="16"/>
                            <w:u w:val="dotted" w:color="929292"/>
                          </w:rPr>
                          <w:t> </w:t>
                        </w:r>
                        <w:r>
                          <w:rPr>
                            <w:sz w:val="16"/>
                            <w:u w:val="dotted" w:color="929292"/>
                          </w:rPr>
                          <w:t>Querétaro</w:t>
                          <w:tab/>
                        </w:r>
                      </w:p>
                    </w:tc>
                    <w:tc>
                      <w:tcPr>
                        <w:tcW w:w="1683" w:type="dxa"/>
                        <w:tcBorders>
                          <w:left w:val="single" w:sz="4" w:space="0" w:color="929292"/>
                          <w:right w:val="nil"/>
                        </w:tcBorders>
                      </w:tcPr>
                      <w:p>
                        <w:pPr>
                          <w:pStyle w:val="TableParagraph"/>
                          <w:tabs>
                            <w:tab w:pos="1662" w:val="left" w:leader="none"/>
                          </w:tabs>
                          <w:spacing w:line="171" w:lineRule="exact"/>
                          <w:ind w:left="25"/>
                          <w:rPr>
                            <w:sz w:val="16"/>
                          </w:rPr>
                        </w:pPr>
                        <w:r>
                          <w:rPr>
                            <w:w w:val="100"/>
                            <w:sz w:val="16"/>
                            <w:u w:val="dotted" w:color="929292"/>
                          </w:rPr>
                          <w:t> </w:t>
                        </w:r>
                        <w:r>
                          <w:rPr>
                            <w:spacing w:val="-8"/>
                            <w:sz w:val="16"/>
                            <w:u w:val="dotted" w:color="929292"/>
                          </w:rPr>
                          <w:t> </w:t>
                        </w:r>
                        <w:r>
                          <w:rPr>
                            <w:sz w:val="16"/>
                            <w:u w:val="dotted" w:color="929292"/>
                          </w:rPr>
                          <w:t>57.97</w:t>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0" w:lineRule="exact"/>
                          <w:ind w:left="20"/>
                          <w:jc w:val="center"/>
                          <w:rPr>
                            <w:sz w:val="16"/>
                          </w:rPr>
                        </w:pPr>
                        <w:r>
                          <w:rPr>
                            <w:w w:val="100"/>
                            <w:sz w:val="16"/>
                            <w:u w:val="dotted" w:color="929292"/>
                          </w:rPr>
                          <w:t> </w:t>
                        </w:r>
                        <w:r>
                          <w:rPr>
                            <w:spacing w:val="-13"/>
                            <w:sz w:val="16"/>
                            <w:u w:val="dotted" w:color="929292"/>
                          </w:rPr>
                          <w:t> </w:t>
                        </w:r>
                        <w:r>
                          <w:rPr>
                            <w:sz w:val="16"/>
                            <w:u w:val="dotted" w:color="929292"/>
                          </w:rPr>
                          <w:t>ZM de</w:t>
                        </w:r>
                        <w:r>
                          <w:rPr>
                            <w:spacing w:val="2"/>
                            <w:sz w:val="16"/>
                            <w:u w:val="dotted" w:color="929292"/>
                          </w:rPr>
                          <w:t> </w:t>
                        </w:r>
                        <w:r>
                          <w:rPr>
                            <w:sz w:val="16"/>
                            <w:u w:val="dotted" w:color="929292"/>
                          </w:rPr>
                          <w:t>Cuernavaca</w:t>
                          <w:tab/>
                        </w:r>
                      </w:p>
                    </w:tc>
                    <w:tc>
                      <w:tcPr>
                        <w:tcW w:w="2127" w:type="dxa"/>
                        <w:tcBorders>
                          <w:left w:val="single" w:sz="4" w:space="0" w:color="929292"/>
                          <w:right w:val="single" w:sz="4" w:space="0" w:color="929292"/>
                        </w:tcBorders>
                      </w:tcPr>
                      <w:p>
                        <w:pPr>
                          <w:pStyle w:val="TableParagraph"/>
                          <w:tabs>
                            <w:tab w:pos="2081" w:val="left" w:leader="none"/>
                          </w:tabs>
                          <w:spacing w:line="170" w:lineRule="exact"/>
                          <w:ind w:right="9"/>
                          <w:jc w:val="right"/>
                          <w:rPr>
                            <w:sz w:val="16"/>
                          </w:rPr>
                        </w:pPr>
                        <w:r>
                          <w:rPr>
                            <w:w w:val="100"/>
                            <w:sz w:val="16"/>
                            <w:u w:val="dotted" w:color="929292"/>
                          </w:rPr>
                          <w:t> </w:t>
                        </w:r>
                        <w:r>
                          <w:rPr>
                            <w:spacing w:val="-8"/>
                            <w:sz w:val="16"/>
                            <w:u w:val="dotted" w:color="929292"/>
                          </w:rPr>
                          <w:t> </w:t>
                        </w:r>
                        <w:r>
                          <w:rPr>
                            <w:w w:val="95"/>
                            <w:sz w:val="16"/>
                            <w:u w:val="dotted" w:color="929292"/>
                          </w:rPr>
                          <w:t>81.62</w:t>
                        </w:r>
                        <w:r>
                          <w:rPr>
                            <w:sz w:val="16"/>
                            <w:u w:val="dotted" w:color="929292"/>
                          </w:rPr>
                          <w:tab/>
                        </w:r>
                      </w:p>
                    </w:tc>
                    <w:tc>
                      <w:tcPr>
                        <w:tcW w:w="2146" w:type="dxa"/>
                        <w:tcBorders>
                          <w:left w:val="single" w:sz="4" w:space="0" w:color="929292"/>
                          <w:right w:val="single" w:sz="4" w:space="0" w:color="929292"/>
                        </w:tcBorders>
                      </w:tcPr>
                      <w:p>
                        <w:pPr>
                          <w:pStyle w:val="TableParagraph"/>
                          <w:tabs>
                            <w:tab w:pos="2116" w:val="left" w:leader="none"/>
                          </w:tabs>
                          <w:spacing w:line="170" w:lineRule="exact"/>
                          <w:ind w:left="14"/>
                          <w:jc w:val="center"/>
                          <w:rPr>
                            <w:sz w:val="16"/>
                          </w:rPr>
                        </w:pPr>
                        <w:r>
                          <w:rPr>
                            <w:w w:val="100"/>
                            <w:sz w:val="16"/>
                            <w:u w:val="dotted" w:color="929292"/>
                          </w:rPr>
                          <w:t> </w:t>
                        </w:r>
                        <w:r>
                          <w:rPr>
                            <w:spacing w:val="-8"/>
                            <w:sz w:val="16"/>
                            <w:u w:val="dotted" w:color="929292"/>
                          </w:rPr>
                          <w:t> </w:t>
                        </w:r>
                        <w:r>
                          <w:rPr>
                            <w:sz w:val="16"/>
                            <w:u w:val="dotted" w:color="929292"/>
                          </w:rPr>
                          <w:t>ZM de</w:t>
                        </w:r>
                        <w:r>
                          <w:rPr>
                            <w:spacing w:val="8"/>
                            <w:sz w:val="16"/>
                            <w:u w:val="dotted" w:color="929292"/>
                          </w:rPr>
                          <w:t> </w:t>
                        </w:r>
                        <w:r>
                          <w:rPr>
                            <w:sz w:val="16"/>
                            <w:u w:val="dotted" w:color="929292"/>
                          </w:rPr>
                          <w:t>Aguascalientes</w:t>
                          <w:tab/>
                        </w:r>
                      </w:p>
                    </w:tc>
                    <w:tc>
                      <w:tcPr>
                        <w:tcW w:w="1683" w:type="dxa"/>
                        <w:tcBorders>
                          <w:left w:val="single" w:sz="4" w:space="0" w:color="929292"/>
                          <w:right w:val="nil"/>
                        </w:tcBorders>
                      </w:tcPr>
                      <w:p>
                        <w:pPr>
                          <w:pStyle w:val="TableParagraph"/>
                          <w:tabs>
                            <w:tab w:pos="1662" w:val="left" w:leader="none"/>
                          </w:tabs>
                          <w:spacing w:line="170" w:lineRule="exact"/>
                          <w:ind w:left="25"/>
                          <w:rPr>
                            <w:sz w:val="16"/>
                          </w:rPr>
                        </w:pPr>
                        <w:r>
                          <w:rPr>
                            <w:w w:val="100"/>
                            <w:sz w:val="16"/>
                            <w:u w:val="dotted" w:color="929292"/>
                          </w:rPr>
                          <w:t> </w:t>
                        </w:r>
                        <w:r>
                          <w:rPr>
                            <w:spacing w:val="-8"/>
                            <w:sz w:val="16"/>
                            <w:u w:val="dotted" w:color="929292"/>
                          </w:rPr>
                          <w:t> </w:t>
                        </w:r>
                        <w:r>
                          <w:rPr>
                            <w:sz w:val="16"/>
                            <w:u w:val="dotted" w:color="929292"/>
                          </w:rPr>
                          <w:t>57.81</w:t>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0" w:lineRule="exact"/>
                          <w:ind w:left="20"/>
                          <w:jc w:val="center"/>
                          <w:rPr>
                            <w:sz w:val="16"/>
                          </w:rPr>
                        </w:pPr>
                        <w:r>
                          <w:rPr>
                            <w:w w:val="100"/>
                            <w:sz w:val="16"/>
                            <w:u w:val="dotted" w:color="929292"/>
                          </w:rPr>
                          <w:t> </w:t>
                        </w:r>
                        <w:r>
                          <w:rPr>
                            <w:spacing w:val="-13"/>
                            <w:sz w:val="16"/>
                            <w:u w:val="dotted" w:color="929292"/>
                          </w:rPr>
                          <w:t> </w:t>
                        </w:r>
                        <w:r>
                          <w:rPr>
                            <w:sz w:val="16"/>
                            <w:u w:val="dotted" w:color="929292"/>
                          </w:rPr>
                          <w:t>ZM de</w:t>
                        </w:r>
                        <w:r>
                          <w:rPr>
                            <w:spacing w:val="23"/>
                            <w:sz w:val="16"/>
                            <w:u w:val="dotted" w:color="929292"/>
                          </w:rPr>
                          <w:t> </w:t>
                        </w:r>
                        <w:r>
                          <w:rPr>
                            <w:sz w:val="16"/>
                            <w:u w:val="dotted" w:color="929292"/>
                          </w:rPr>
                          <w:t>Acapulco</w:t>
                          <w:tab/>
                        </w:r>
                      </w:p>
                    </w:tc>
                    <w:tc>
                      <w:tcPr>
                        <w:tcW w:w="2127" w:type="dxa"/>
                        <w:tcBorders>
                          <w:left w:val="single" w:sz="4" w:space="0" w:color="929292"/>
                          <w:right w:val="single" w:sz="4" w:space="0" w:color="929292"/>
                        </w:tcBorders>
                      </w:tcPr>
                      <w:p>
                        <w:pPr>
                          <w:pStyle w:val="TableParagraph"/>
                          <w:tabs>
                            <w:tab w:pos="2081" w:val="left" w:leader="none"/>
                          </w:tabs>
                          <w:spacing w:line="170" w:lineRule="exact"/>
                          <w:ind w:right="9"/>
                          <w:jc w:val="right"/>
                          <w:rPr>
                            <w:sz w:val="16"/>
                          </w:rPr>
                        </w:pPr>
                        <w:r>
                          <w:rPr>
                            <w:w w:val="100"/>
                            <w:sz w:val="16"/>
                            <w:u w:val="dotted" w:color="929292"/>
                          </w:rPr>
                          <w:t> </w:t>
                        </w:r>
                        <w:r>
                          <w:rPr>
                            <w:spacing w:val="-8"/>
                            <w:sz w:val="16"/>
                            <w:u w:val="dotted" w:color="929292"/>
                          </w:rPr>
                          <w:t> </w:t>
                        </w:r>
                        <w:r>
                          <w:rPr>
                            <w:w w:val="95"/>
                            <w:sz w:val="16"/>
                            <w:u w:val="dotted" w:color="929292"/>
                          </w:rPr>
                          <w:t>79.68</w:t>
                        </w:r>
                        <w:r>
                          <w:rPr>
                            <w:sz w:val="16"/>
                            <w:u w:val="dotted" w:color="929292"/>
                          </w:rPr>
                          <w:tab/>
                        </w:r>
                      </w:p>
                    </w:tc>
                    <w:tc>
                      <w:tcPr>
                        <w:tcW w:w="2146" w:type="dxa"/>
                        <w:tcBorders>
                          <w:left w:val="single" w:sz="4" w:space="0" w:color="929292"/>
                          <w:right w:val="single" w:sz="4" w:space="0" w:color="929292"/>
                        </w:tcBorders>
                      </w:tcPr>
                      <w:p>
                        <w:pPr>
                          <w:pStyle w:val="TableParagraph"/>
                          <w:tabs>
                            <w:tab w:pos="2116" w:val="left" w:leader="none"/>
                          </w:tabs>
                          <w:spacing w:line="170" w:lineRule="exact"/>
                          <w:ind w:left="14"/>
                          <w:jc w:val="center"/>
                          <w:rPr>
                            <w:sz w:val="16"/>
                          </w:rPr>
                        </w:pPr>
                        <w:r>
                          <w:rPr>
                            <w:w w:val="100"/>
                            <w:sz w:val="16"/>
                            <w:u w:val="dotted" w:color="929292"/>
                          </w:rPr>
                          <w:t> </w:t>
                        </w:r>
                        <w:r>
                          <w:rPr>
                            <w:spacing w:val="-8"/>
                            <w:sz w:val="16"/>
                            <w:u w:val="dotted" w:color="929292"/>
                          </w:rPr>
                          <w:t> </w:t>
                        </w:r>
                        <w:r>
                          <w:rPr>
                            <w:sz w:val="16"/>
                            <w:u w:val="dotted" w:color="929292"/>
                          </w:rPr>
                          <w:t>ZM de</w:t>
                        </w:r>
                        <w:r>
                          <w:rPr>
                            <w:spacing w:val="-4"/>
                            <w:sz w:val="16"/>
                            <w:u w:val="dotted" w:color="929292"/>
                          </w:rPr>
                          <w:t> </w:t>
                        </w:r>
                        <w:r>
                          <w:rPr>
                            <w:sz w:val="16"/>
                            <w:u w:val="dotted" w:color="929292"/>
                          </w:rPr>
                          <w:t>Tijuana</w:t>
                          <w:tab/>
                        </w:r>
                      </w:p>
                    </w:tc>
                    <w:tc>
                      <w:tcPr>
                        <w:tcW w:w="1683" w:type="dxa"/>
                        <w:tcBorders>
                          <w:left w:val="single" w:sz="4" w:space="0" w:color="929292"/>
                          <w:right w:val="nil"/>
                        </w:tcBorders>
                      </w:tcPr>
                      <w:p>
                        <w:pPr>
                          <w:pStyle w:val="TableParagraph"/>
                          <w:tabs>
                            <w:tab w:pos="1662" w:val="left" w:leader="none"/>
                          </w:tabs>
                          <w:spacing w:line="170" w:lineRule="exact"/>
                          <w:ind w:left="25"/>
                          <w:rPr>
                            <w:sz w:val="16"/>
                          </w:rPr>
                        </w:pPr>
                        <w:r>
                          <w:rPr>
                            <w:w w:val="100"/>
                            <w:sz w:val="16"/>
                            <w:u w:val="dotted" w:color="929292"/>
                          </w:rPr>
                          <w:t> </w:t>
                        </w:r>
                        <w:r>
                          <w:rPr>
                            <w:spacing w:val="-8"/>
                            <w:sz w:val="16"/>
                            <w:u w:val="dotted" w:color="929292"/>
                          </w:rPr>
                          <w:t> </w:t>
                        </w:r>
                        <w:r>
                          <w:rPr>
                            <w:sz w:val="16"/>
                            <w:u w:val="dotted" w:color="929292"/>
                          </w:rPr>
                          <w:t>52.99</w:t>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0" w:lineRule="exact"/>
                          <w:ind w:left="20"/>
                          <w:jc w:val="center"/>
                          <w:rPr>
                            <w:sz w:val="16"/>
                          </w:rPr>
                        </w:pPr>
                        <w:r>
                          <w:rPr>
                            <w:w w:val="100"/>
                            <w:sz w:val="16"/>
                            <w:u w:val="dotted" w:color="929292"/>
                          </w:rPr>
                          <w:t> </w:t>
                        </w:r>
                        <w:r>
                          <w:rPr>
                            <w:spacing w:val="-13"/>
                            <w:sz w:val="16"/>
                            <w:u w:val="dotted" w:color="929292"/>
                          </w:rPr>
                          <w:t> </w:t>
                        </w:r>
                        <w:r>
                          <w:rPr>
                            <w:sz w:val="16"/>
                            <w:u w:val="dotted" w:color="929292"/>
                          </w:rPr>
                          <w:t>ZM de Poza</w:t>
                        </w:r>
                        <w:r>
                          <w:rPr>
                            <w:spacing w:val="-1"/>
                            <w:sz w:val="16"/>
                            <w:u w:val="dotted" w:color="929292"/>
                          </w:rPr>
                          <w:t> </w:t>
                        </w:r>
                        <w:r>
                          <w:rPr>
                            <w:sz w:val="16"/>
                            <w:u w:val="dotted" w:color="929292"/>
                          </w:rPr>
                          <w:t>Rica</w:t>
                          <w:tab/>
                        </w:r>
                      </w:p>
                    </w:tc>
                    <w:tc>
                      <w:tcPr>
                        <w:tcW w:w="2127" w:type="dxa"/>
                        <w:tcBorders>
                          <w:left w:val="single" w:sz="4" w:space="0" w:color="929292"/>
                          <w:right w:val="single" w:sz="4" w:space="0" w:color="929292"/>
                        </w:tcBorders>
                      </w:tcPr>
                      <w:p>
                        <w:pPr>
                          <w:pStyle w:val="TableParagraph"/>
                          <w:tabs>
                            <w:tab w:pos="2081" w:val="left" w:leader="none"/>
                          </w:tabs>
                          <w:spacing w:line="170" w:lineRule="exact"/>
                          <w:ind w:right="9"/>
                          <w:jc w:val="right"/>
                          <w:rPr>
                            <w:sz w:val="16"/>
                          </w:rPr>
                        </w:pPr>
                        <w:r>
                          <w:rPr>
                            <w:w w:val="100"/>
                            <w:sz w:val="16"/>
                            <w:u w:val="dotted" w:color="929292"/>
                          </w:rPr>
                          <w:t> </w:t>
                        </w:r>
                        <w:r>
                          <w:rPr>
                            <w:spacing w:val="-8"/>
                            <w:sz w:val="16"/>
                            <w:u w:val="dotted" w:color="929292"/>
                          </w:rPr>
                          <w:t> </w:t>
                        </w:r>
                        <w:r>
                          <w:rPr>
                            <w:w w:val="95"/>
                            <w:sz w:val="16"/>
                            <w:u w:val="dotted" w:color="929292"/>
                          </w:rPr>
                          <w:t>79.49</w:t>
                        </w:r>
                        <w:r>
                          <w:rPr>
                            <w:sz w:val="16"/>
                            <w:u w:val="dotted" w:color="929292"/>
                          </w:rPr>
                          <w:tab/>
                        </w:r>
                      </w:p>
                    </w:tc>
                    <w:tc>
                      <w:tcPr>
                        <w:tcW w:w="2146" w:type="dxa"/>
                        <w:tcBorders>
                          <w:left w:val="single" w:sz="4" w:space="0" w:color="929292"/>
                          <w:right w:val="single" w:sz="4" w:space="0" w:color="929292"/>
                        </w:tcBorders>
                      </w:tcPr>
                      <w:p>
                        <w:pPr>
                          <w:pStyle w:val="TableParagraph"/>
                          <w:tabs>
                            <w:tab w:pos="2116" w:val="left" w:leader="none"/>
                          </w:tabs>
                          <w:spacing w:line="170" w:lineRule="exact"/>
                          <w:ind w:left="14"/>
                          <w:jc w:val="center"/>
                          <w:rPr>
                            <w:sz w:val="16"/>
                          </w:rPr>
                        </w:pPr>
                        <w:r>
                          <w:rPr>
                            <w:w w:val="100"/>
                            <w:sz w:val="16"/>
                            <w:u w:val="dotted" w:color="929292"/>
                          </w:rPr>
                          <w:t> </w:t>
                        </w:r>
                        <w:r>
                          <w:rPr>
                            <w:spacing w:val="-8"/>
                            <w:sz w:val="16"/>
                            <w:u w:val="dotted" w:color="929292"/>
                          </w:rPr>
                          <w:t> </w:t>
                        </w:r>
                        <w:r>
                          <w:rPr>
                            <w:sz w:val="16"/>
                            <w:u w:val="dotted" w:color="929292"/>
                          </w:rPr>
                          <w:t>ZM de</w:t>
                        </w:r>
                        <w:r>
                          <w:rPr>
                            <w:spacing w:val="-1"/>
                            <w:sz w:val="16"/>
                            <w:u w:val="dotted" w:color="929292"/>
                          </w:rPr>
                          <w:t> </w:t>
                        </w:r>
                        <w:r>
                          <w:rPr>
                            <w:sz w:val="16"/>
                            <w:u w:val="dotted" w:color="929292"/>
                          </w:rPr>
                          <w:t>Celaya</w:t>
                          <w:tab/>
                        </w:r>
                      </w:p>
                    </w:tc>
                    <w:tc>
                      <w:tcPr>
                        <w:tcW w:w="1683" w:type="dxa"/>
                        <w:tcBorders>
                          <w:left w:val="single" w:sz="4" w:space="0" w:color="929292"/>
                          <w:right w:val="nil"/>
                        </w:tcBorders>
                      </w:tcPr>
                      <w:p>
                        <w:pPr>
                          <w:pStyle w:val="TableParagraph"/>
                          <w:tabs>
                            <w:tab w:pos="1662" w:val="left" w:leader="none"/>
                          </w:tabs>
                          <w:spacing w:line="170" w:lineRule="exact"/>
                          <w:ind w:left="25"/>
                          <w:rPr>
                            <w:sz w:val="16"/>
                          </w:rPr>
                        </w:pPr>
                        <w:r>
                          <w:rPr>
                            <w:w w:val="100"/>
                            <w:sz w:val="16"/>
                            <w:u w:val="dotted" w:color="929292"/>
                          </w:rPr>
                          <w:t> </w:t>
                        </w:r>
                        <w:r>
                          <w:rPr>
                            <w:spacing w:val="-8"/>
                            <w:sz w:val="16"/>
                            <w:u w:val="dotted" w:color="929292"/>
                          </w:rPr>
                          <w:t> </w:t>
                        </w:r>
                        <w:r>
                          <w:rPr>
                            <w:sz w:val="16"/>
                            <w:u w:val="dotted" w:color="929292"/>
                          </w:rPr>
                          <w:t>47.34</w:t>
                          <w:tab/>
                        </w:r>
                      </w:p>
                    </w:tc>
                  </w:tr>
                  <w:tr>
                    <w:trPr>
                      <w:trHeight w:val="171" w:hRule="exact"/>
                    </w:trPr>
                    <w:tc>
                      <w:tcPr>
                        <w:tcW w:w="1719" w:type="dxa"/>
                        <w:tcBorders>
                          <w:left w:val="nil"/>
                          <w:right w:val="single" w:sz="4" w:space="0" w:color="929292"/>
                        </w:tcBorders>
                      </w:tcPr>
                      <w:p>
                        <w:pPr>
                          <w:pStyle w:val="TableParagraph"/>
                          <w:tabs>
                            <w:tab w:pos="1693" w:val="left" w:leader="none"/>
                          </w:tabs>
                          <w:spacing w:line="170" w:lineRule="exact"/>
                          <w:ind w:left="20"/>
                          <w:jc w:val="center"/>
                          <w:rPr>
                            <w:sz w:val="16"/>
                          </w:rPr>
                        </w:pPr>
                        <w:r>
                          <w:rPr>
                            <w:w w:val="100"/>
                            <w:sz w:val="16"/>
                            <w:u w:val="dotted" w:color="929292"/>
                          </w:rPr>
                          <w:t> </w:t>
                        </w:r>
                        <w:r>
                          <w:rPr>
                            <w:spacing w:val="-13"/>
                            <w:sz w:val="16"/>
                            <w:u w:val="dotted" w:color="929292"/>
                          </w:rPr>
                          <w:t> </w:t>
                        </w:r>
                        <w:r>
                          <w:rPr>
                            <w:sz w:val="16"/>
                            <w:u w:val="dotted" w:color="929292"/>
                          </w:rPr>
                          <w:t>ZM de</w:t>
                        </w:r>
                        <w:r>
                          <w:rPr>
                            <w:spacing w:val="8"/>
                            <w:sz w:val="16"/>
                            <w:u w:val="dotted" w:color="929292"/>
                          </w:rPr>
                          <w:t> </w:t>
                        </w:r>
                        <w:r>
                          <w:rPr>
                            <w:sz w:val="16"/>
                            <w:u w:val="dotted" w:color="929292"/>
                          </w:rPr>
                          <w:t>Tecomán</w:t>
                          <w:tab/>
                        </w:r>
                      </w:p>
                    </w:tc>
                    <w:tc>
                      <w:tcPr>
                        <w:tcW w:w="2127" w:type="dxa"/>
                        <w:tcBorders>
                          <w:left w:val="single" w:sz="4" w:space="0" w:color="929292"/>
                          <w:right w:val="single" w:sz="4" w:space="0" w:color="929292"/>
                        </w:tcBorders>
                      </w:tcPr>
                      <w:p>
                        <w:pPr>
                          <w:pStyle w:val="TableParagraph"/>
                          <w:tabs>
                            <w:tab w:pos="2081" w:val="left" w:leader="none"/>
                          </w:tabs>
                          <w:spacing w:line="170" w:lineRule="exact"/>
                          <w:ind w:right="9"/>
                          <w:jc w:val="right"/>
                          <w:rPr>
                            <w:sz w:val="16"/>
                          </w:rPr>
                        </w:pPr>
                        <w:r>
                          <w:rPr>
                            <w:w w:val="100"/>
                            <w:sz w:val="16"/>
                            <w:u w:val="dotted" w:color="929292"/>
                          </w:rPr>
                          <w:t> </w:t>
                        </w:r>
                        <w:r>
                          <w:rPr>
                            <w:spacing w:val="-8"/>
                            <w:sz w:val="16"/>
                            <w:u w:val="dotted" w:color="929292"/>
                          </w:rPr>
                          <w:t> </w:t>
                        </w:r>
                        <w:r>
                          <w:rPr>
                            <w:w w:val="95"/>
                            <w:sz w:val="16"/>
                            <w:u w:val="dotted" w:color="929292"/>
                          </w:rPr>
                          <w:t>78.49</w:t>
                        </w:r>
                        <w:r>
                          <w:rPr>
                            <w:sz w:val="16"/>
                            <w:u w:val="dotted" w:color="929292"/>
                          </w:rPr>
                          <w:tab/>
                        </w:r>
                      </w:p>
                    </w:tc>
                    <w:tc>
                      <w:tcPr>
                        <w:tcW w:w="2146" w:type="dxa"/>
                        <w:tcBorders>
                          <w:left w:val="single" w:sz="4" w:space="0" w:color="929292"/>
                          <w:right w:val="single" w:sz="4" w:space="0" w:color="929292"/>
                        </w:tcBorders>
                      </w:tcPr>
                      <w:p>
                        <w:pPr>
                          <w:pStyle w:val="TableParagraph"/>
                          <w:tabs>
                            <w:tab w:pos="2116" w:val="left" w:leader="none"/>
                          </w:tabs>
                          <w:spacing w:line="170" w:lineRule="exact"/>
                          <w:ind w:left="14"/>
                          <w:jc w:val="center"/>
                          <w:rPr>
                            <w:sz w:val="16"/>
                          </w:rPr>
                        </w:pPr>
                        <w:r>
                          <w:rPr>
                            <w:w w:val="100"/>
                            <w:sz w:val="16"/>
                            <w:u w:val="dotted" w:color="929292"/>
                          </w:rPr>
                          <w:t> </w:t>
                        </w:r>
                        <w:r>
                          <w:rPr>
                            <w:spacing w:val="-8"/>
                            <w:sz w:val="16"/>
                            <w:u w:val="dotted" w:color="929292"/>
                          </w:rPr>
                          <w:t> </w:t>
                        </w:r>
                        <w:r>
                          <w:rPr>
                            <w:sz w:val="16"/>
                            <w:u w:val="dotted" w:color="929292"/>
                          </w:rPr>
                          <w:t>ZM de</w:t>
                        </w:r>
                        <w:r>
                          <w:rPr>
                            <w:spacing w:val="2"/>
                            <w:sz w:val="16"/>
                            <w:u w:val="dotted" w:color="929292"/>
                          </w:rPr>
                          <w:t> </w:t>
                        </w:r>
                        <w:r>
                          <w:rPr>
                            <w:sz w:val="16"/>
                            <w:u w:val="dotted" w:color="929292"/>
                          </w:rPr>
                          <w:t>Juárez</w:t>
                          <w:tab/>
                        </w:r>
                      </w:p>
                    </w:tc>
                    <w:tc>
                      <w:tcPr>
                        <w:tcW w:w="1683" w:type="dxa"/>
                        <w:tcBorders>
                          <w:left w:val="single" w:sz="4" w:space="0" w:color="929292"/>
                          <w:right w:val="nil"/>
                        </w:tcBorders>
                      </w:tcPr>
                      <w:p>
                        <w:pPr>
                          <w:pStyle w:val="TableParagraph"/>
                          <w:tabs>
                            <w:tab w:pos="1662" w:val="left" w:leader="none"/>
                          </w:tabs>
                          <w:spacing w:line="170" w:lineRule="exact"/>
                          <w:ind w:left="25"/>
                          <w:rPr>
                            <w:sz w:val="16"/>
                          </w:rPr>
                        </w:pPr>
                        <w:r>
                          <w:rPr>
                            <w:w w:val="100"/>
                            <w:sz w:val="16"/>
                            <w:u w:val="dotted" w:color="929292"/>
                          </w:rPr>
                          <w:t> </w:t>
                        </w:r>
                        <w:r>
                          <w:rPr>
                            <w:spacing w:val="-8"/>
                            <w:sz w:val="16"/>
                            <w:u w:val="dotted" w:color="929292"/>
                          </w:rPr>
                          <w:t> </w:t>
                        </w:r>
                        <w:r>
                          <w:rPr>
                            <w:sz w:val="16"/>
                            <w:u w:val="dotted" w:color="929292"/>
                          </w:rPr>
                          <w:t>47.29</w:t>
                          <w:tab/>
                        </w:r>
                      </w:p>
                    </w:tc>
                  </w:tr>
                </w:tbl>
                <w:p>
                  <w:pPr>
                    <w:pStyle w:val="BodyText"/>
                  </w:pPr>
                </w:p>
              </w:txbxContent>
            </v:textbox>
            <w10:wrap type="none"/>
          </v:shape>
        </w:pict>
      </w:r>
      <w:r>
        <w:rPr>
          <w:color w:val="6D6E71"/>
          <w:sz w:val="16"/>
        </w:rPr>
        <w:t>Cuadro 5. México: Zonas Metropolitanas, tasas de mortalidad específicas por diabetes mellitus,  2010.</w:t>
      </w:r>
    </w:p>
    <w:p>
      <w:pPr>
        <w:pStyle w:val="BodyText"/>
        <w:spacing w:before="2"/>
        <w:rPr>
          <w:sz w:val="3"/>
        </w:rPr>
      </w:pPr>
      <w:r>
        <w:rPr/>
        <w:br w:type="column"/>
      </w:r>
      <w:r>
        <w:rPr>
          <w:sz w:val="3"/>
        </w:rPr>
      </w:r>
    </w:p>
    <w:p>
      <w:pPr>
        <w:pStyle w:val="BodyText"/>
        <w:ind w:left="130"/>
      </w:pPr>
      <w:r>
        <w:rPr/>
        <w:pict>
          <v:group style="width:384.3pt;height:71.8pt;mso-position-horizontal-relative:char;mso-position-vertical-relative:line" coordorigin="0,0" coordsize="7686,1436">
            <v:line style="position:absolute" from="35,5" to="1709,5" stroked="true" strokeweight=".5pt" strokecolor="#929292">
              <v:stroke dashstyle="dash"/>
            </v:line>
            <v:line style="position:absolute" from="5,5" to="5,5" stroked="true" strokeweight=".5pt" strokecolor="#929292"/>
            <v:line style="position:absolute" from="1724,5" to="1724,5" stroked="true" strokeweight=".5pt" strokecolor="#929292"/>
            <v:line style="position:absolute" from="1724,147" to="1724,19" stroked="true" strokeweight=".5pt" strokecolor="#929292">
              <v:stroke dashstyle="dash"/>
            </v:line>
            <v:line style="position:absolute" from="1724,176" to="1724,176" stroked="true" strokeweight=".5pt" strokecolor="#929292"/>
            <v:line style="position:absolute" from="1724,5" to="1724,5" stroked="true" strokeweight=".5pt" strokecolor="#929292"/>
            <v:line style="position:absolute" from="1754,5" to="3836,5" stroked="true" strokeweight=".5pt" strokecolor="#929292">
              <v:stroke dashstyle="dash"/>
            </v:line>
            <v:line style="position:absolute" from="1724,5" to="1724,5" stroked="true" strokeweight=".5pt" strokecolor="#929292"/>
            <v:line style="position:absolute" from="3851,5" to="3851,5" stroked="true" strokeweight=".5pt" strokecolor="#929292"/>
            <v:line style="position:absolute" from="3851,147" to="3851,19" stroked="true" strokeweight=".5pt" strokecolor="#929292">
              <v:stroke dashstyle="dash"/>
            </v:line>
            <v:line style="position:absolute" from="3851,176" to="3851,176" stroked="true" strokeweight=".5pt" strokecolor="#929292"/>
            <v:line style="position:absolute" from="3851,5" to="3851,5" stroked="true" strokeweight=".5pt" strokecolor="#929292"/>
            <v:line style="position:absolute" from="3881,5" to="5982,5" stroked="true" strokeweight=".5pt" strokecolor="#929292">
              <v:stroke dashstyle="dash"/>
            </v:line>
            <v:line style="position:absolute" from="3851,5" to="3851,5" stroked="true" strokeweight=".5pt" strokecolor="#929292"/>
            <v:line style="position:absolute" from="5997,5" to="5997,5" stroked="true" strokeweight=".5pt" strokecolor="#929292"/>
            <v:line style="position:absolute" from="5997,147" to="5997,19" stroked="true" strokeweight=".5pt" strokecolor="#929292">
              <v:stroke dashstyle="dash"/>
            </v:line>
            <v:line style="position:absolute" from="5997,176" to="5997,176" stroked="true" strokeweight=".5pt" strokecolor="#929292"/>
            <v:line style="position:absolute" from="5997,5" to="5997,5" stroked="true" strokeweight=".5pt" strokecolor="#929292"/>
            <v:line style="position:absolute" from="6027,5" to="7665,5" stroked="true" strokeweight=".5pt" strokecolor="#929292">
              <v:stroke dashstyle="dash"/>
            </v:line>
            <v:line style="position:absolute" from="5997,5" to="5997,5" stroked="true" strokeweight=".5pt" strokecolor="#929292"/>
            <v:line style="position:absolute" from="7680,5" to="7680,5" stroked="true" strokeweight=".5pt" strokecolor="#929292"/>
            <v:line style="position:absolute" from="5,176" to="5,176" stroked="true" strokeweight=".5pt" strokecolor="#929292"/>
            <v:line style="position:absolute" from="1724,176" to="1724,176" stroked="true" strokeweight=".5pt" strokecolor="#929292"/>
            <v:line style="position:absolute" from="1724,516" to="1724,191" stroked="true" strokeweight=".5pt" strokecolor="#929292">
              <v:stroke dashstyle="dash"/>
            </v:line>
            <v:line style="position:absolute" from="1724,547" to="1724,547" stroked="true" strokeweight=".5pt" strokecolor="#929292"/>
            <v:line style="position:absolute" from="1724,176" to="1724,176" stroked="true" strokeweight=".5pt" strokecolor="#929292"/>
            <v:line style="position:absolute" from="1724,176" to="1724,176" stroked="true" strokeweight=".5pt" strokecolor="#929292"/>
            <v:line style="position:absolute" from="3851,176" to="3851,176" stroked="true" strokeweight=".5pt" strokecolor="#929292"/>
            <v:line style="position:absolute" from="3851,516" to="3851,191" stroked="true" strokeweight=".5pt" strokecolor="#929292">
              <v:stroke dashstyle="dash"/>
            </v:line>
            <v:line style="position:absolute" from="3851,547" to="3851,547" stroked="true" strokeweight=".5pt" strokecolor="#929292"/>
            <v:line style="position:absolute" from="3851,176" to="3851,176" stroked="true" strokeweight=".5pt" strokecolor="#929292"/>
            <v:line style="position:absolute" from="3851,176" to="3851,176" stroked="true" strokeweight=".5pt" strokecolor="#929292"/>
            <v:line style="position:absolute" from="5997,176" to="5997,176" stroked="true" strokeweight=".5pt" strokecolor="#929292"/>
            <v:line style="position:absolute" from="5997,516" to="5997,191" stroked="true" strokeweight=".5pt" strokecolor="#929292">
              <v:stroke dashstyle="dash"/>
            </v:line>
            <v:line style="position:absolute" from="5997,547" to="5997,547" stroked="true" strokeweight=".5pt" strokecolor="#929292"/>
            <v:line style="position:absolute" from="5997,176" to="5997,176" stroked="true" strokeweight=".5pt" strokecolor="#929292"/>
            <v:line style="position:absolute" from="5997,176" to="5997,176" stroked="true" strokeweight=".5pt" strokecolor="#929292"/>
            <v:line style="position:absolute" from="7680,176" to="7680,176" stroked="true" strokeweight=".5pt" strokecolor="#929292"/>
            <v:line style="position:absolute" from="5,547" to="5,547" stroked="true" strokeweight=".5pt" strokecolor="#929292"/>
            <v:line style="position:absolute" from="1724,547" to="1724,547" stroked="true" strokeweight=".5pt" strokecolor="#929292"/>
            <v:line style="position:absolute" from="1724,689" to="1724,561" stroked="true" strokeweight=".5pt" strokecolor="#929292">
              <v:stroke dashstyle="dash"/>
            </v:line>
            <v:line style="position:absolute" from="1724,718" to="1724,718" stroked="true" strokeweight=".5pt" strokecolor="#929292"/>
            <v:line style="position:absolute" from="1724,547" to="1724,547" stroked="true" strokeweight=".5pt" strokecolor="#929292"/>
            <v:line style="position:absolute" from="1724,547" to="1724,547" stroked="true" strokeweight=".5pt" strokecolor="#929292"/>
            <v:line style="position:absolute" from="3851,547" to="3851,547" stroked="true" strokeweight=".5pt" strokecolor="#929292"/>
            <v:line style="position:absolute" from="3851,689" to="3851,561" stroked="true" strokeweight=".5pt" strokecolor="#929292">
              <v:stroke dashstyle="dash"/>
            </v:line>
            <v:line style="position:absolute" from="3851,718" to="3851,718" stroked="true" strokeweight=".5pt" strokecolor="#929292"/>
            <v:line style="position:absolute" from="3851,547" to="3851,547" stroked="true" strokeweight=".5pt" strokecolor="#929292"/>
            <v:line style="position:absolute" from="3851,547" to="3851,547" stroked="true" strokeweight=".5pt" strokecolor="#929292"/>
            <v:line style="position:absolute" from="5997,547" to="5997,547" stroked="true" strokeweight=".5pt" strokecolor="#929292"/>
            <v:line style="position:absolute" from="5997,689" to="5997,561" stroked="true" strokeweight=".5pt" strokecolor="#929292">
              <v:stroke dashstyle="dash"/>
            </v:line>
            <v:line style="position:absolute" from="5997,718" to="5997,718" stroked="true" strokeweight=".5pt" strokecolor="#929292"/>
            <v:line style="position:absolute" from="5997,547" to="5997,547" stroked="true" strokeweight=".5pt" strokecolor="#929292"/>
            <v:line style="position:absolute" from="5997,547" to="5997,547" stroked="true" strokeweight=".5pt" strokecolor="#929292"/>
            <v:line style="position:absolute" from="7680,547" to="7680,547" stroked="true" strokeweight=".5pt" strokecolor="#929292"/>
            <v:line style="position:absolute" from="5,718" to="5,718" stroked="true" strokeweight=".5pt" strokecolor="#929292"/>
            <v:line style="position:absolute" from="1724,718" to="1724,718" stroked="true" strokeweight=".5pt" strokecolor="#929292"/>
            <v:line style="position:absolute" from="1724,860" to="1724,732" stroked="true" strokeweight=".5pt" strokecolor="#929292">
              <v:stroke dashstyle="dash"/>
            </v:line>
            <v:line style="position:absolute" from="1724,889" to="1724,889" stroked="true" strokeweight=".5pt" strokecolor="#929292"/>
            <v:line style="position:absolute" from="1724,718" to="1724,718" stroked="true" strokeweight=".5pt" strokecolor="#929292"/>
            <v:line style="position:absolute" from="1724,718" to="1724,718" stroked="true" strokeweight=".5pt" strokecolor="#929292"/>
            <v:line style="position:absolute" from="3851,718" to="3851,718" stroked="true" strokeweight=".5pt" strokecolor="#929292"/>
            <v:line style="position:absolute" from="3851,860" to="3851,732" stroked="true" strokeweight=".5pt" strokecolor="#929292">
              <v:stroke dashstyle="dash"/>
            </v:line>
            <v:line style="position:absolute" from="3851,889" to="3851,889" stroked="true" strokeweight=".5pt" strokecolor="#929292"/>
            <v:line style="position:absolute" from="3851,718" to="3851,718" stroked="true" strokeweight=".5pt" strokecolor="#929292"/>
            <v:line style="position:absolute" from="3851,718" to="3851,718" stroked="true" strokeweight=".5pt" strokecolor="#929292"/>
            <v:line style="position:absolute" from="5997,718" to="5997,718" stroked="true" strokeweight=".5pt" strokecolor="#929292"/>
            <v:line style="position:absolute" from="5997,860" to="5997,732" stroked="true" strokeweight=".5pt" strokecolor="#929292">
              <v:stroke dashstyle="dash"/>
            </v:line>
            <v:line style="position:absolute" from="5997,889" to="5997,889" stroked="true" strokeweight=".5pt" strokecolor="#929292"/>
            <v:line style="position:absolute" from="5997,718" to="5997,718" stroked="true" strokeweight=".5pt" strokecolor="#929292"/>
            <v:line style="position:absolute" from="5997,718" to="5997,718" stroked="true" strokeweight=".5pt" strokecolor="#929292"/>
            <v:line style="position:absolute" from="7680,718" to="7680,718" stroked="true" strokeweight=".5pt" strokecolor="#929292"/>
            <v:line style="position:absolute" from="5,889" to="5,889" stroked="true" strokeweight=".5pt" strokecolor="#929292"/>
            <v:line style="position:absolute" from="1724,889" to="1724,889" stroked="true" strokeweight=".5pt" strokecolor="#929292"/>
            <v:line style="position:absolute" from="1724,1031" to="1724,903" stroked="true" strokeweight=".5pt" strokecolor="#929292">
              <v:stroke dashstyle="dash"/>
            </v:line>
            <v:line style="position:absolute" from="1724,1060" to="1724,1060" stroked="true" strokeweight=".5pt" strokecolor="#929292"/>
            <v:line style="position:absolute" from="1724,889" to="1724,889" stroked="true" strokeweight=".5pt" strokecolor="#929292"/>
            <v:line style="position:absolute" from="1724,889" to="1724,889" stroked="true" strokeweight=".5pt" strokecolor="#929292"/>
            <v:line style="position:absolute" from="3851,889" to="3851,889" stroked="true" strokeweight=".5pt" strokecolor="#929292"/>
            <v:line style="position:absolute" from="3851,1031" to="3851,903" stroked="true" strokeweight=".5pt" strokecolor="#929292">
              <v:stroke dashstyle="dash"/>
            </v:line>
            <v:line style="position:absolute" from="3851,1060" to="3851,1060" stroked="true" strokeweight=".5pt" strokecolor="#929292"/>
            <v:line style="position:absolute" from="3851,889" to="3851,889" stroked="true" strokeweight=".5pt" strokecolor="#929292"/>
            <v:line style="position:absolute" from="3851,889" to="3851,889" stroked="true" strokeweight=".5pt" strokecolor="#929292"/>
            <v:line style="position:absolute" from="5997,889" to="5997,889" stroked="true" strokeweight=".5pt" strokecolor="#929292"/>
            <v:line style="position:absolute" from="5997,1031" to="5997,903" stroked="true" strokeweight=".5pt" strokecolor="#929292">
              <v:stroke dashstyle="dash"/>
            </v:line>
            <v:line style="position:absolute" from="5997,1060" to="5997,1060" stroked="true" strokeweight=".5pt" strokecolor="#929292"/>
            <v:line style="position:absolute" from="5997,889" to="5997,889" stroked="true" strokeweight=".5pt" strokecolor="#929292"/>
            <v:line style="position:absolute" from="5997,889" to="5997,889" stroked="true" strokeweight=".5pt" strokecolor="#929292"/>
            <v:line style="position:absolute" from="7680,889" to="7680,889" stroked="true" strokeweight=".5pt" strokecolor="#929292"/>
            <v:line style="position:absolute" from="5,1060" to="5,1060" stroked="true" strokeweight=".5pt" strokecolor="#929292"/>
            <v:line style="position:absolute" from="1724,1060" to="1724,1060" stroked="true" strokeweight=".5pt" strokecolor="#929292"/>
            <v:line style="position:absolute" from="1724,1431" to="1724,1431" stroked="true" strokeweight=".5pt" strokecolor="#929292"/>
            <v:line style="position:absolute" from="1724,1400" to="1724,1075" stroked="true" strokeweight=".5pt" strokecolor="#929292">
              <v:stroke dashstyle="dash"/>
            </v:line>
            <v:line style="position:absolute" from="1724,1431" to="1724,1431" stroked="true" strokeweight=".5pt" strokecolor="#929292"/>
            <v:line style="position:absolute" from="1724,1060" to="1724,1060" stroked="true" strokeweight=".5pt" strokecolor="#929292"/>
            <v:line style="position:absolute" from="1724,1060" to="1724,1060" stroked="true" strokeweight=".5pt" strokecolor="#929292"/>
            <v:line style="position:absolute" from="3851,1060" to="3851,1060" stroked="true" strokeweight=".5pt" strokecolor="#929292"/>
            <v:line style="position:absolute" from="1724,1431" to="1724,1431" stroked="true" strokeweight=".5pt" strokecolor="#929292"/>
            <v:line style="position:absolute" from="3846,1431" to="3846,1431" stroked="true" strokeweight=".5pt" strokecolor="#929292"/>
            <v:line style="position:absolute" from="3851,1060" to="3851,1060" stroked="true" strokeweight=".5pt" strokecolor="#929292"/>
            <v:line style="position:absolute" from="5997,1060" to="5997,1060" stroked="true" strokeweight=".5pt" strokecolor="#929292"/>
            <v:line style="position:absolute" from="5997,1060" to="5997,1060" stroked="true" strokeweight=".5pt" strokecolor="#929292"/>
            <v:line style="position:absolute" from="7680,1060" to="7680,1060" stroked="true" strokeweight=".5pt" strokecolor="#929292"/>
            <v:shape style="position:absolute;left:0;top:0;width:7686;height:1436" type="#_x0000_t202" filled="false" stroked="false">
              <v:textbox inset="0,0,0,0">
                <w:txbxContent>
                  <w:p>
                    <w:pPr>
                      <w:tabs>
                        <w:tab w:pos="1708" w:val="left" w:leader="none"/>
                        <w:tab w:pos="1832" w:val="left" w:leader="none"/>
                        <w:tab w:pos="3835" w:val="left" w:leader="none"/>
                        <w:tab w:pos="3959" w:val="left" w:leader="none"/>
                        <w:tab w:pos="5982" w:val="left" w:leader="none"/>
                        <w:tab w:pos="6505" w:val="right" w:leader="none"/>
                        <w:tab w:pos="7665" w:val="left" w:leader="none"/>
                      </w:tabs>
                      <w:spacing w:line="170" w:lineRule="exact" w:before="11"/>
                      <w:ind w:left="108" w:right="18" w:hanging="73"/>
                      <w:jc w:val="left"/>
                      <w:rPr>
                        <w:sz w:val="16"/>
                      </w:rPr>
                    </w:pPr>
                    <w:r>
                      <w:rPr>
                        <w:w w:val="100"/>
                        <w:sz w:val="16"/>
                        <w:u w:val="dotted" w:color="929292"/>
                      </w:rPr>
                      <w:t> </w:t>
                    </w:r>
                    <w:r>
                      <w:rPr>
                        <w:spacing w:val="-17"/>
                        <w:sz w:val="16"/>
                        <w:u w:val="dotted" w:color="929292"/>
                      </w:rPr>
                      <w:t> </w:t>
                    </w:r>
                    <w:r>
                      <w:rPr>
                        <w:sz w:val="16"/>
                        <w:u w:val="dotted" w:color="929292"/>
                      </w:rPr>
                      <w:t>ZM</w:t>
                    </w:r>
                    <w:r>
                      <w:rPr>
                        <w:spacing w:val="-1"/>
                        <w:sz w:val="16"/>
                        <w:u w:val="dotted" w:color="929292"/>
                      </w:rPr>
                      <w:t> </w:t>
                    </w:r>
                    <w:r>
                      <w:rPr>
                        <w:sz w:val="16"/>
                        <w:u w:val="dotted" w:color="929292"/>
                      </w:rPr>
                      <w:t>de</w:t>
                    </w:r>
                    <w:r>
                      <w:rPr>
                        <w:spacing w:val="-1"/>
                        <w:sz w:val="16"/>
                        <w:u w:val="dotted" w:color="929292"/>
                      </w:rPr>
                      <w:t> </w:t>
                    </w:r>
                    <w:r>
                      <w:rPr>
                        <w:sz w:val="16"/>
                        <w:u w:val="dotted" w:color="929292"/>
                      </w:rPr>
                      <w:t>Xalapa</w:t>
                      <w:tab/>
                      <w:t>78.06</w:t>
                      <w:tab/>
                      <w:t>ZM de Tampico</w:t>
                      <w:tab/>
                      <w:t>46.47</w:t>
                      <w:tab/>
                    </w:r>
                    <w:r>
                      <w:rPr>
                        <w:sz w:val="16"/>
                      </w:rPr>
                      <w:t> ZM</w:t>
                    </w:r>
                    <w:r>
                      <w:rPr>
                        <w:spacing w:val="1"/>
                        <w:sz w:val="16"/>
                      </w:rPr>
                      <w:t> </w:t>
                    </w:r>
                    <w:r>
                      <w:rPr>
                        <w:sz w:val="16"/>
                      </w:rPr>
                      <w:t>de</w:t>
                    </w:r>
                    <w:r>
                      <w:rPr>
                        <w:spacing w:val="1"/>
                        <w:sz w:val="16"/>
                      </w:rPr>
                      <w:t> </w:t>
                    </w:r>
                    <w:r>
                      <w:rPr>
                        <w:sz w:val="16"/>
                      </w:rPr>
                      <w:t>Piedras</w:t>
                      <w:tab/>
                      <w:tab/>
                      <w:t>76.91</w:t>
                      <w:tab/>
                      <w:tab/>
                      <w:t>ZM de León</w:t>
                      <w:tab/>
                      <w:tab/>
                      <w:t>37.78</w:t>
                    </w:r>
                  </w:p>
                  <w:p>
                    <w:pPr>
                      <w:tabs>
                        <w:tab w:pos="1708" w:val="left" w:leader="none"/>
                        <w:tab w:pos="3835" w:val="left" w:leader="none"/>
                        <w:tab w:pos="5982" w:val="left" w:leader="none"/>
                        <w:tab w:pos="7665" w:val="left" w:leader="none"/>
                      </w:tabs>
                      <w:spacing w:line="177" w:lineRule="exact" w:before="16"/>
                      <w:ind w:left="35" w:right="0" w:firstLine="0"/>
                      <w:jc w:val="left"/>
                      <w:rPr>
                        <w:sz w:val="16"/>
                      </w:rPr>
                    </w:pPr>
                    <w:r>
                      <w:rPr>
                        <w:w w:val="100"/>
                        <w:sz w:val="16"/>
                        <w:u w:val="dotted" w:color="929292"/>
                      </w:rPr>
                      <w:t> </w:t>
                    </w:r>
                    <w:r>
                      <w:rPr>
                        <w:spacing w:val="-16"/>
                        <w:sz w:val="16"/>
                        <w:u w:val="dotted" w:color="929292"/>
                      </w:rPr>
                      <w:t> </w:t>
                    </w:r>
                    <w:r>
                      <w:rPr>
                        <w:sz w:val="16"/>
                        <w:u w:val="dotted" w:color="929292"/>
                      </w:rPr>
                      <w:t>Negras</w:t>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tabs>
                        <w:tab w:pos="1708" w:val="left" w:leader="none"/>
                        <w:tab w:pos="3835" w:val="left" w:leader="none"/>
                        <w:tab w:pos="5982" w:val="left" w:leader="none"/>
                        <w:tab w:pos="7665" w:val="left" w:leader="none"/>
                      </w:tabs>
                      <w:spacing w:line="171" w:lineRule="exact" w:before="0"/>
                      <w:ind w:left="35" w:right="0" w:firstLine="0"/>
                      <w:jc w:val="left"/>
                      <w:rPr>
                        <w:sz w:val="16"/>
                      </w:rPr>
                    </w:pPr>
                    <w:r>
                      <w:rPr>
                        <w:w w:val="100"/>
                        <w:sz w:val="16"/>
                        <w:u w:val="dotted" w:color="929292"/>
                      </w:rPr>
                      <w:t> </w:t>
                    </w:r>
                    <w:r>
                      <w:rPr>
                        <w:spacing w:val="-16"/>
                        <w:sz w:val="16"/>
                        <w:u w:val="dotted" w:color="929292"/>
                      </w:rPr>
                      <w:t> </w:t>
                    </w:r>
                    <w:r>
                      <w:rPr>
                        <w:sz w:val="16"/>
                        <w:u w:val="dotted" w:color="929292"/>
                      </w:rPr>
                      <w:t>ZM de Pachuca</w:t>
                      <w:tab/>
                      <w:t>75.95</w:t>
                      <w:tab/>
                      <w:t>ZM de Puerto Vallarta</w:t>
                      <w:tab/>
                      <w:t>36.06</w:t>
                      <w:tab/>
                    </w:r>
                  </w:p>
                  <w:p>
                    <w:pPr>
                      <w:tabs>
                        <w:tab w:pos="1708" w:val="left" w:leader="none"/>
                        <w:tab w:pos="3835" w:val="left" w:leader="none"/>
                        <w:tab w:pos="5982" w:val="left" w:leader="none"/>
                        <w:tab w:pos="7665" w:val="left" w:leader="none"/>
                      </w:tabs>
                      <w:spacing w:line="171" w:lineRule="exact" w:before="0"/>
                      <w:ind w:left="35" w:right="0" w:firstLine="0"/>
                      <w:jc w:val="left"/>
                      <w:rPr>
                        <w:sz w:val="16"/>
                      </w:rPr>
                    </w:pPr>
                    <w:r>
                      <w:rPr>
                        <w:w w:val="100"/>
                        <w:sz w:val="16"/>
                        <w:u w:val="dotted" w:color="929292"/>
                      </w:rPr>
                      <w:t> </w:t>
                    </w:r>
                    <w:r>
                      <w:rPr>
                        <w:spacing w:val="-16"/>
                        <w:sz w:val="16"/>
                        <w:u w:val="dotted" w:color="929292"/>
                      </w:rPr>
                      <w:t> </w:t>
                    </w:r>
                    <w:r>
                      <w:rPr>
                        <w:sz w:val="16"/>
                        <w:u w:val="dotted" w:color="929292"/>
                      </w:rPr>
                      <w:t>ZM de Morelia</w:t>
                      <w:tab/>
                      <w:t>75.94</w:t>
                      <w:tab/>
                      <w:t>ZM de Cancún</w:t>
                      <w:tab/>
                      <w:t>34.73</w:t>
                      <w:tab/>
                    </w:r>
                  </w:p>
                  <w:p>
                    <w:pPr>
                      <w:tabs>
                        <w:tab w:pos="1708" w:val="left" w:leader="none"/>
                        <w:tab w:pos="1832" w:val="left" w:leader="none"/>
                        <w:tab w:pos="3835" w:val="left" w:leader="none"/>
                        <w:tab w:pos="5982" w:val="left" w:leader="none"/>
                        <w:tab w:pos="7665" w:val="left" w:leader="none"/>
                      </w:tabs>
                      <w:spacing w:line="170" w:lineRule="exact" w:before="7"/>
                      <w:ind w:left="108" w:right="18" w:hanging="74"/>
                      <w:jc w:val="left"/>
                      <w:rPr>
                        <w:sz w:val="16"/>
                      </w:rPr>
                    </w:pPr>
                    <w:r>
                      <w:rPr>
                        <w:w w:val="100"/>
                        <w:sz w:val="16"/>
                        <w:u w:val="dotted" w:color="929292"/>
                      </w:rPr>
                      <w:t> </w:t>
                    </w:r>
                    <w:r>
                      <w:rPr>
                        <w:spacing w:val="-16"/>
                        <w:sz w:val="16"/>
                        <w:u w:val="dotted" w:color="929292"/>
                      </w:rPr>
                      <w:t> </w:t>
                    </w:r>
                    <w:r>
                      <w:rPr>
                        <w:sz w:val="16"/>
                        <w:u w:val="dotted" w:color="929292"/>
                      </w:rPr>
                      <w:t>ZM</w:t>
                    </w:r>
                    <w:r>
                      <w:rPr>
                        <w:spacing w:val="3"/>
                        <w:sz w:val="16"/>
                        <w:u w:val="dotted" w:color="929292"/>
                      </w:rPr>
                      <w:t> </w:t>
                    </w:r>
                    <w:r>
                      <w:rPr>
                        <w:sz w:val="16"/>
                        <w:u w:val="dotted" w:color="929292"/>
                      </w:rPr>
                      <w:t>de</w:t>
                    </w:r>
                    <w:r>
                      <w:rPr>
                        <w:spacing w:val="3"/>
                        <w:sz w:val="16"/>
                        <w:u w:val="dotted" w:color="929292"/>
                      </w:rPr>
                      <w:t> </w:t>
                    </w:r>
                    <w:r>
                      <w:rPr>
                        <w:sz w:val="16"/>
                        <w:u w:val="dotted" w:color="929292"/>
                      </w:rPr>
                      <w:t>Mérida</w:t>
                      <w:tab/>
                      <w:t>74.63</w:t>
                      <w:tab/>
                      <w:t>ZM de Nuevo Laredo</w:t>
                      <w:tab/>
                      <w:t>28.46</w:t>
                      <w:tab/>
                    </w:r>
                    <w:r>
                      <w:rPr>
                        <w:sz w:val="16"/>
                      </w:rPr>
                      <w:t> ZM</w:t>
                    </w:r>
                    <w:r>
                      <w:rPr>
                        <w:spacing w:val="7"/>
                        <w:sz w:val="16"/>
                      </w:rPr>
                      <w:t> </w:t>
                    </w:r>
                    <w:r>
                      <w:rPr>
                        <w:sz w:val="16"/>
                      </w:rPr>
                      <w:t>de</w:t>
                    </w:r>
                    <w:r>
                      <w:rPr>
                        <w:spacing w:val="7"/>
                        <w:sz w:val="16"/>
                      </w:rPr>
                      <w:t> </w:t>
                    </w:r>
                    <w:r>
                      <w:rPr>
                        <w:sz w:val="16"/>
                      </w:rPr>
                      <w:t>Moroleón-</w:t>
                      <w:tab/>
                      <w:tab/>
                      <w:t>72.70</w:t>
                    </w:r>
                  </w:p>
                  <w:p>
                    <w:pPr>
                      <w:tabs>
                        <w:tab w:pos="1708" w:val="left" w:leader="none"/>
                        <w:tab w:pos="3830" w:val="left" w:leader="none"/>
                      </w:tabs>
                      <w:spacing w:line="184" w:lineRule="exact" w:before="16"/>
                      <w:ind w:left="35" w:right="18" w:firstLine="0"/>
                      <w:jc w:val="left"/>
                      <w:rPr>
                        <w:sz w:val="16"/>
                      </w:rPr>
                    </w:pPr>
                    <w:r>
                      <w:rPr>
                        <w:w w:val="100"/>
                        <w:sz w:val="16"/>
                        <w:u w:val="dotted" w:color="929292"/>
                      </w:rPr>
                      <w:t> </w:t>
                    </w:r>
                    <w:r>
                      <w:rPr>
                        <w:spacing w:val="-16"/>
                        <w:sz w:val="16"/>
                        <w:u w:val="dotted" w:color="929292"/>
                      </w:rPr>
                      <w:t> </w:t>
                    </w:r>
                    <w:r>
                      <w:rPr>
                        <w:sz w:val="16"/>
                        <w:u w:val="dotted" w:color="929292"/>
                      </w:rPr>
                      <w:t>Uriangato</w:t>
                      <w:tab/>
                    </w:r>
                    <w:r>
                      <w:rPr>
                        <w:sz w:val="16"/>
                      </w:rPr>
                      <w:t> </w:t>
                    </w:r>
                    <w:r>
                      <w:rPr>
                        <w:w w:val="100"/>
                        <w:sz w:val="16"/>
                        <w:u w:val="dotted" w:color="929292"/>
                      </w:rPr>
                      <w:t> </w:t>
                    </w:r>
                    <w:r>
                      <w:rPr>
                        <w:sz w:val="16"/>
                        <w:u w:val="dotted" w:color="929292"/>
                      </w:rPr>
                      <w:tab/>
                    </w:r>
                  </w:p>
                </w:txbxContent>
              </v:textbox>
              <w10:wrap type="none"/>
            </v:shape>
          </v:group>
        </w:pict>
      </w:r>
      <w:r>
        <w:rPr/>
      </w:r>
    </w:p>
    <w:p>
      <w:pPr>
        <w:spacing w:line="312" w:lineRule="auto" w:before="52"/>
        <w:ind w:left="3" w:right="0" w:firstLine="0"/>
        <w:jc w:val="center"/>
        <w:rPr>
          <w:sz w:val="16"/>
        </w:rPr>
      </w:pPr>
      <w:r>
        <w:rPr>
          <w:color w:val="6D6E71"/>
          <w:sz w:val="16"/>
        </w:rPr>
        <w:t>Fuente: Elaboración propia con base en el Instituto Nacional de Estadística y Geografía (INEGI) y Sistema Nacional de Información en Salud (SINAIS), Datos consultados Febrero, 2015.</w:t>
      </w:r>
    </w:p>
    <w:p>
      <w:pPr>
        <w:pStyle w:val="BodyText"/>
        <w:rPr>
          <w:sz w:val="16"/>
        </w:rPr>
      </w:pPr>
    </w:p>
    <w:p>
      <w:pPr>
        <w:pStyle w:val="BodyText"/>
        <w:rPr>
          <w:sz w:val="16"/>
        </w:rPr>
      </w:pPr>
    </w:p>
    <w:p>
      <w:pPr>
        <w:pStyle w:val="BodyText"/>
        <w:rPr>
          <w:sz w:val="16"/>
        </w:rPr>
      </w:pPr>
    </w:p>
    <w:p>
      <w:pPr>
        <w:pStyle w:val="BodyText"/>
        <w:spacing w:before="9"/>
        <w:rPr>
          <w:sz w:val="14"/>
        </w:rPr>
      </w:pPr>
    </w:p>
    <w:p>
      <w:pPr>
        <w:spacing w:before="0"/>
        <w:ind w:left="514" w:right="513" w:firstLine="0"/>
        <w:jc w:val="center"/>
        <w:rPr>
          <w:sz w:val="16"/>
        </w:rPr>
      </w:pPr>
      <w:r>
        <w:rPr>
          <w:color w:val="6D6E71"/>
          <w:sz w:val="16"/>
        </w:rPr>
        <w:t>Figura 6. México: Mortalidad específica por diabetes mellitus, por zonas metropolitanas,  2010.</w:t>
      </w:r>
    </w:p>
    <w:p>
      <w:pPr>
        <w:pStyle w:val="BodyText"/>
        <w:spacing w:before="1"/>
        <w:rPr>
          <w:sz w:val="10"/>
        </w:rPr>
      </w:pPr>
      <w:r>
        <w:rPr/>
        <w:drawing>
          <wp:anchor distT="0" distB="0" distL="0" distR="0" allowOverlap="1" layoutInCell="1" locked="0" behindDoc="0" simplePos="0" relativeHeight="14560">
            <wp:simplePos x="0" y="0"/>
            <wp:positionH relativeFrom="page">
              <wp:posOffset>6517488</wp:posOffset>
            </wp:positionH>
            <wp:positionV relativeFrom="paragraph">
              <wp:posOffset>98890</wp:posOffset>
            </wp:positionV>
            <wp:extent cx="4897517" cy="3264408"/>
            <wp:effectExtent l="0" t="0" r="0" b="0"/>
            <wp:wrapTopAndBottom/>
            <wp:docPr id="167" name="image120.jpeg" descr=""/>
            <wp:cNvGraphicFramePr>
              <a:graphicFrameLocks noChangeAspect="1"/>
            </wp:cNvGraphicFramePr>
            <a:graphic>
              <a:graphicData uri="http://schemas.openxmlformats.org/drawingml/2006/picture">
                <pic:pic>
                  <pic:nvPicPr>
                    <pic:cNvPr id="168" name="image120.jpeg"/>
                    <pic:cNvPicPr/>
                  </pic:nvPicPr>
                  <pic:blipFill>
                    <a:blip r:embed="rId410" cstate="print"/>
                    <a:stretch>
                      <a:fillRect/>
                    </a:stretch>
                  </pic:blipFill>
                  <pic:spPr>
                    <a:xfrm>
                      <a:off x="0" y="0"/>
                      <a:ext cx="4897517" cy="3264408"/>
                    </a:xfrm>
                    <a:prstGeom prst="rect">
                      <a:avLst/>
                    </a:prstGeom>
                  </pic:spPr>
                </pic:pic>
              </a:graphicData>
            </a:graphic>
          </wp:anchor>
        </w:drawing>
      </w:r>
    </w:p>
    <w:p>
      <w:pPr>
        <w:pStyle w:val="BodyText"/>
        <w:spacing w:before="6"/>
        <w:rPr>
          <w:sz w:val="18"/>
        </w:rPr>
      </w:pPr>
    </w:p>
    <w:p>
      <w:pPr>
        <w:pStyle w:val="BodyText"/>
        <w:spacing w:line="249" w:lineRule="auto"/>
        <w:ind w:left="130" w:right="127" w:firstLine="170"/>
        <w:jc w:val="both"/>
      </w:pPr>
      <w:r>
        <w:rPr/>
        <w:t>A nivel nacional la república Mexicana está conformada por 2457 municipios de los cuales</w:t>
      </w:r>
      <w:r>
        <w:rPr>
          <w:spacing w:val="-5"/>
        </w:rPr>
        <w:t> </w:t>
      </w:r>
      <w:r>
        <w:rPr/>
        <w:t>54</w:t>
      </w:r>
      <w:r>
        <w:rPr>
          <w:spacing w:val="-5"/>
        </w:rPr>
        <w:t> </w:t>
      </w:r>
      <w:r>
        <w:rPr/>
        <w:t>(2.2%)</w:t>
      </w:r>
      <w:r>
        <w:rPr>
          <w:spacing w:val="-5"/>
        </w:rPr>
        <w:t> </w:t>
      </w:r>
      <w:r>
        <w:rPr/>
        <w:t>registraron</w:t>
      </w:r>
      <w:r>
        <w:rPr>
          <w:spacing w:val="-5"/>
        </w:rPr>
        <w:t> </w:t>
      </w:r>
      <w:r>
        <w:rPr/>
        <w:t>tasas</w:t>
      </w:r>
      <w:r>
        <w:rPr>
          <w:spacing w:val="-5"/>
        </w:rPr>
        <w:t> </w:t>
      </w:r>
      <w:r>
        <w:rPr/>
        <w:t>de</w:t>
      </w:r>
      <w:r>
        <w:rPr>
          <w:spacing w:val="-5"/>
        </w:rPr>
        <w:t> </w:t>
      </w:r>
      <w:r>
        <w:rPr/>
        <w:t>mortalidad</w:t>
      </w:r>
      <w:r>
        <w:rPr>
          <w:spacing w:val="-5"/>
        </w:rPr>
        <w:t> </w:t>
      </w:r>
      <w:r>
        <w:rPr/>
        <w:t>específica</w:t>
      </w:r>
      <w:r>
        <w:rPr>
          <w:spacing w:val="-5"/>
        </w:rPr>
        <w:t> </w:t>
      </w:r>
      <w:r>
        <w:rPr/>
        <w:t>por</w:t>
      </w:r>
      <w:r>
        <w:rPr>
          <w:spacing w:val="-5"/>
        </w:rPr>
        <w:t> </w:t>
      </w:r>
      <w:r>
        <w:rPr/>
        <w:t>diabetes</w:t>
      </w:r>
      <w:r>
        <w:rPr>
          <w:spacing w:val="-5"/>
        </w:rPr>
        <w:t> </w:t>
      </w:r>
      <w:r>
        <w:rPr/>
        <w:t>mellitus</w:t>
      </w:r>
      <w:r>
        <w:rPr>
          <w:spacing w:val="-5"/>
        </w:rPr>
        <w:t> </w:t>
      </w:r>
      <w:r>
        <w:rPr/>
        <w:t>bajas; 1477 municipios (60.11%) con tasas medio bajas; 548 municipios (22.3%) con tasas  de mortalidad medio altas, 70 municipios (2.85%) con tasas de mortalidad altas y 62 (2.5%) con tasas muy altas. Cabe señalar que en 246 municipios (10%) no se cuenta con</w:t>
      </w:r>
      <w:r>
        <w:rPr>
          <w:spacing w:val="29"/>
        </w:rPr>
        <w:t> </w:t>
      </w:r>
      <w:r>
        <w:rPr/>
        <w:t>información.</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411"/>
          <w:pgSz w:w="18830" w:h="12760" w:orient="landscape"/>
          <w:pgMar w:footer="1036" w:header="522" w:top="820" w:bottom="1220" w:left="720" w:right="720"/>
        </w:sectPr>
      </w:pPr>
    </w:p>
    <w:p>
      <w:pPr>
        <w:pStyle w:val="BodyText"/>
        <w:spacing w:line="249" w:lineRule="auto" w:before="109"/>
        <w:ind w:left="130" w:right="13" w:firstLine="170"/>
        <w:jc w:val="both"/>
      </w:pPr>
      <w:r>
        <w:rPr/>
        <w:t>Las tasas brutas de mortalidad específica por diabetes mellitus en el rango bajo se registran en los municipios de Metlatónoc, Alcozauca de Guerrero y Del Nayar con tasas de 5.27, 5.27 y 5.83 por cada 100,000 habitantes; algunos de los municipios con tasas de mortalidad muy altas son Hidalgo, Súchil y San Luis del Cordero con tasas de 3681.13, 3076.47 y 2328.38 defunciones por cada 100,000 habitantes (figura 7).</w:t>
      </w:r>
    </w:p>
    <w:p>
      <w:pPr>
        <w:pStyle w:val="BodyText"/>
        <w:spacing w:before="2"/>
        <w:rPr>
          <w:sz w:val="24"/>
        </w:rPr>
      </w:pPr>
    </w:p>
    <w:p>
      <w:pPr>
        <w:spacing w:before="0"/>
        <w:ind w:left="1438" w:right="0" w:firstLine="0"/>
        <w:jc w:val="left"/>
        <w:rPr>
          <w:sz w:val="16"/>
        </w:rPr>
      </w:pPr>
      <w:r>
        <w:rPr/>
        <w:drawing>
          <wp:anchor distT="0" distB="0" distL="0" distR="0" allowOverlap="1" layoutInCell="1" locked="0" behindDoc="0" simplePos="0" relativeHeight="14632">
            <wp:simplePos x="0" y="0"/>
            <wp:positionH relativeFrom="page">
              <wp:posOffset>529323</wp:posOffset>
            </wp:positionH>
            <wp:positionV relativeFrom="paragraph">
              <wp:posOffset>400099</wp:posOffset>
            </wp:positionV>
            <wp:extent cx="4917353" cy="3277632"/>
            <wp:effectExtent l="0" t="0" r="0" b="0"/>
            <wp:wrapNone/>
            <wp:docPr id="169" name="image121.jpeg" descr=""/>
            <wp:cNvGraphicFramePr>
              <a:graphicFrameLocks noChangeAspect="1"/>
            </wp:cNvGraphicFramePr>
            <a:graphic>
              <a:graphicData uri="http://schemas.openxmlformats.org/drawingml/2006/picture">
                <pic:pic>
                  <pic:nvPicPr>
                    <pic:cNvPr id="170" name="image121.jpeg"/>
                    <pic:cNvPicPr/>
                  </pic:nvPicPr>
                  <pic:blipFill>
                    <a:blip r:embed="rId412" cstate="print"/>
                    <a:stretch>
                      <a:fillRect/>
                    </a:stretch>
                  </pic:blipFill>
                  <pic:spPr>
                    <a:xfrm>
                      <a:off x="0" y="0"/>
                      <a:ext cx="4917353" cy="3277632"/>
                    </a:xfrm>
                    <a:prstGeom prst="rect">
                      <a:avLst/>
                    </a:prstGeom>
                  </pic:spPr>
                </pic:pic>
              </a:graphicData>
            </a:graphic>
          </wp:anchor>
        </w:drawing>
      </w:r>
      <w:r>
        <w:rPr>
          <w:color w:val="6D6E71"/>
          <w:sz w:val="16"/>
        </w:rPr>
        <w:t>Figura 7. México: Mortalidad por diabetes mellitus por municipio,  2010.</w:t>
      </w:r>
    </w:p>
    <w:p>
      <w:pPr>
        <w:pStyle w:val="Heading1"/>
        <w:spacing w:before="71"/>
        <w:ind w:left="283"/>
      </w:pPr>
      <w:r>
        <w:rPr>
          <w:b w:val="0"/>
        </w:rPr>
        <w:br w:type="column"/>
      </w:r>
      <w:r>
        <w:rPr/>
        <w:t>Conclusiones</w:t>
      </w:r>
    </w:p>
    <w:p>
      <w:pPr>
        <w:pStyle w:val="BodyText"/>
        <w:rPr>
          <w:b/>
          <w:sz w:val="21"/>
        </w:rPr>
      </w:pPr>
    </w:p>
    <w:p>
      <w:pPr>
        <w:pStyle w:val="BodyText"/>
        <w:spacing w:line="249" w:lineRule="auto"/>
        <w:ind w:left="113" w:right="140" w:firstLine="170"/>
        <w:jc w:val="both"/>
      </w:pPr>
      <w:r>
        <w:rPr/>
        <w:t>La</w:t>
      </w:r>
      <w:r>
        <w:rPr>
          <w:spacing w:val="27"/>
        </w:rPr>
        <w:t> </w:t>
      </w:r>
      <w:r>
        <w:rPr/>
        <w:t>diabetes</w:t>
      </w:r>
      <w:r>
        <w:rPr>
          <w:spacing w:val="-15"/>
        </w:rPr>
        <w:t> </w:t>
      </w:r>
      <w:r>
        <w:rPr/>
        <w:t>mellitus</w:t>
      </w:r>
      <w:r>
        <w:rPr>
          <w:spacing w:val="-15"/>
        </w:rPr>
        <w:t> </w:t>
      </w:r>
      <w:r>
        <w:rPr/>
        <w:t>se</w:t>
      </w:r>
      <w:r>
        <w:rPr>
          <w:spacing w:val="-15"/>
        </w:rPr>
        <w:t> </w:t>
      </w:r>
      <w:r>
        <w:rPr/>
        <w:t>ha</w:t>
      </w:r>
      <w:r>
        <w:rPr>
          <w:spacing w:val="-15"/>
        </w:rPr>
        <w:t> </w:t>
      </w:r>
      <w:r>
        <w:rPr/>
        <w:t>convertido</w:t>
      </w:r>
      <w:r>
        <w:rPr>
          <w:spacing w:val="-15"/>
        </w:rPr>
        <w:t> </w:t>
      </w:r>
      <w:r>
        <w:rPr/>
        <w:t>en</w:t>
      </w:r>
      <w:r>
        <w:rPr>
          <w:spacing w:val="-15"/>
        </w:rPr>
        <w:t> </w:t>
      </w:r>
      <w:r>
        <w:rPr/>
        <w:t>la</w:t>
      </w:r>
      <w:r>
        <w:rPr>
          <w:spacing w:val="-15"/>
        </w:rPr>
        <w:t> </w:t>
      </w:r>
      <w:r>
        <w:rPr/>
        <w:t>actualidad</w:t>
      </w:r>
      <w:r>
        <w:rPr>
          <w:spacing w:val="-15"/>
        </w:rPr>
        <w:t> </w:t>
      </w:r>
      <w:r>
        <w:rPr/>
        <w:t>en</w:t>
      </w:r>
      <w:r>
        <w:rPr>
          <w:spacing w:val="-15"/>
        </w:rPr>
        <w:t> </w:t>
      </w:r>
      <w:r>
        <w:rPr/>
        <w:t>un</w:t>
      </w:r>
      <w:r>
        <w:rPr>
          <w:spacing w:val="-15"/>
        </w:rPr>
        <w:t> </w:t>
      </w:r>
      <w:r>
        <w:rPr/>
        <w:t>problema</w:t>
      </w:r>
      <w:r>
        <w:rPr>
          <w:spacing w:val="-15"/>
        </w:rPr>
        <w:t> </w:t>
      </w:r>
      <w:r>
        <w:rPr/>
        <w:t>de</w:t>
      </w:r>
      <w:r>
        <w:rPr>
          <w:spacing w:val="-15"/>
        </w:rPr>
        <w:t> </w:t>
      </w:r>
      <w:r>
        <w:rPr/>
        <w:t>salud</w:t>
      </w:r>
      <w:r>
        <w:rPr>
          <w:spacing w:val="-15"/>
        </w:rPr>
        <w:t> </w:t>
      </w:r>
      <w:r>
        <w:rPr/>
        <w:t>pública que requiere de atención prioritaria, con políticas y estrategias para la prevención y promoción de la salud, con incidencia territorial, dado que impacta negativamente en  la calidad de vida del paciente,  en la familia y en el sector público de </w:t>
      </w:r>
      <w:r>
        <w:rPr>
          <w:spacing w:val="7"/>
        </w:rPr>
        <w:t> </w:t>
      </w:r>
      <w:r>
        <w:rPr/>
        <w:t>salud.</w:t>
      </w:r>
    </w:p>
    <w:p>
      <w:pPr>
        <w:pStyle w:val="BodyText"/>
        <w:spacing w:before="11"/>
      </w:pPr>
    </w:p>
    <w:p>
      <w:pPr>
        <w:pStyle w:val="BodyText"/>
        <w:spacing w:line="249" w:lineRule="auto"/>
        <w:ind w:left="113" w:right="141" w:firstLine="170"/>
        <w:jc w:val="both"/>
      </w:pPr>
      <w:r>
        <w:rPr/>
        <w:t>Las</w:t>
      </w:r>
      <w:r>
        <w:rPr>
          <w:spacing w:val="-16"/>
        </w:rPr>
        <w:t> </w:t>
      </w:r>
      <w:r>
        <w:rPr/>
        <w:t>tasas</w:t>
      </w:r>
      <w:r>
        <w:rPr>
          <w:spacing w:val="-16"/>
        </w:rPr>
        <w:t> </w:t>
      </w:r>
      <w:r>
        <w:rPr/>
        <w:t>de</w:t>
      </w:r>
      <w:r>
        <w:rPr>
          <w:spacing w:val="-16"/>
        </w:rPr>
        <w:t> </w:t>
      </w:r>
      <w:r>
        <w:rPr/>
        <w:t>mortalidad</w:t>
      </w:r>
      <w:r>
        <w:rPr>
          <w:spacing w:val="-16"/>
        </w:rPr>
        <w:t> </w:t>
      </w:r>
      <w:r>
        <w:rPr/>
        <w:t>por</w:t>
      </w:r>
      <w:r>
        <w:rPr>
          <w:spacing w:val="-16"/>
        </w:rPr>
        <w:t> </w:t>
      </w:r>
      <w:r>
        <w:rPr/>
        <w:t>diabetes</w:t>
      </w:r>
      <w:r>
        <w:rPr>
          <w:spacing w:val="-16"/>
        </w:rPr>
        <w:t> </w:t>
      </w:r>
      <w:r>
        <w:rPr/>
        <w:t>mellitus</w:t>
      </w:r>
      <w:r>
        <w:rPr>
          <w:spacing w:val="-16"/>
        </w:rPr>
        <w:t> </w:t>
      </w:r>
      <w:r>
        <w:rPr/>
        <w:t>se</w:t>
      </w:r>
      <w:r>
        <w:rPr>
          <w:spacing w:val="-16"/>
        </w:rPr>
        <w:t> </w:t>
      </w:r>
      <w:r>
        <w:rPr/>
        <w:t>han</w:t>
      </w:r>
      <w:r>
        <w:rPr>
          <w:spacing w:val="-16"/>
        </w:rPr>
        <w:t> </w:t>
      </w:r>
      <w:r>
        <w:rPr/>
        <w:t>incrementado</w:t>
      </w:r>
      <w:r>
        <w:rPr>
          <w:spacing w:val="-16"/>
        </w:rPr>
        <w:t> </w:t>
      </w:r>
      <w:r>
        <w:rPr/>
        <w:t>considerablemente en las tres últimas décadas, por lo que es importante una revisión de las políticas públicas a fin de detener y disminuir el incremento de dicha causa de </w:t>
      </w:r>
      <w:r>
        <w:rPr>
          <w:spacing w:val="30"/>
        </w:rPr>
        <w:t> </w:t>
      </w:r>
      <w:r>
        <w:rPr/>
        <w:t>mortalidad.</w:t>
      </w:r>
    </w:p>
    <w:p>
      <w:pPr>
        <w:pStyle w:val="BodyText"/>
        <w:spacing w:before="11"/>
      </w:pPr>
    </w:p>
    <w:p>
      <w:pPr>
        <w:pStyle w:val="BodyText"/>
        <w:spacing w:line="249" w:lineRule="auto"/>
        <w:ind w:left="113" w:right="140" w:firstLine="170"/>
        <w:jc w:val="both"/>
      </w:pPr>
      <w:r>
        <w:rPr/>
        <w:t>La distribución de las tasas muy altas se registran principalmente en contextos urbanos, por lo que es importante proponer unidades de aprendizaje relacionadas con la educación para la salud: como la alimentación balanceada, estilos de vida, lugares saludables, entre otros. Así como aprovechar el internet para difundir programas específicos para cambiar por estilos de vida saludables.</w:t>
      </w:r>
    </w:p>
    <w:p>
      <w:pPr>
        <w:pStyle w:val="BodyText"/>
        <w:spacing w:before="11"/>
      </w:pPr>
    </w:p>
    <w:p>
      <w:pPr>
        <w:pStyle w:val="BodyText"/>
        <w:spacing w:line="249" w:lineRule="auto"/>
        <w:ind w:left="113" w:right="138" w:firstLine="170"/>
        <w:jc w:val="both"/>
      </w:pPr>
      <w:r>
        <w:rPr/>
        <w:t>La distribución de las tasas de mortalidad media altas, altas y muy  altas  se  registran principalmente a partir de los grupos de edad de 60 años, incrementándose significativamente a partir de los 75 años, lo cual se trata de grupos vulnerables de población que requieren de atención especializada. Como programas de nutrición personales, de acuerdo  a cada grupo de</w:t>
      </w:r>
      <w:r>
        <w:rPr>
          <w:spacing w:val="42"/>
        </w:rPr>
        <w:t> </w:t>
      </w:r>
      <w:r>
        <w:rPr/>
        <w:t>edad.</w:t>
      </w:r>
    </w:p>
    <w:p>
      <w:pPr>
        <w:pStyle w:val="BodyText"/>
        <w:spacing w:before="11"/>
      </w:pPr>
    </w:p>
    <w:p>
      <w:pPr>
        <w:pStyle w:val="BodyText"/>
        <w:spacing w:line="249" w:lineRule="auto"/>
        <w:ind w:left="113" w:right="138" w:firstLine="170"/>
        <w:jc w:val="both"/>
      </w:pPr>
      <w:r>
        <w:rPr/>
        <w:t>Es importante la ordenación del territorio enfocado a la salud humana en específico la salud ambiental, con un enfoque holístico e integrador, abordando la salud humana como el resultado de diversos factores interrelacionados locales, regional, y globales. Principalmente para la construcción de lugares saludables que incidan en la salud y calidad de vida de la población.</w:t>
      </w:r>
    </w:p>
    <w:p>
      <w:pPr>
        <w:pStyle w:val="BodyText"/>
        <w:spacing w:before="11"/>
      </w:pPr>
    </w:p>
    <w:p>
      <w:pPr>
        <w:pStyle w:val="BodyText"/>
        <w:spacing w:line="249" w:lineRule="auto"/>
        <w:ind w:left="113" w:right="138" w:firstLine="170"/>
        <w:jc w:val="both"/>
      </w:pPr>
      <w:r>
        <w:rPr/>
        <w:t>La vulnerabilidad territorial de salud, en específico la distribución de la mortalidad por diabetes mellitus, se refleja en las unidades territoriales en donde se registran tasas de mortalidad muy altas y altas.</w:t>
      </w:r>
    </w:p>
    <w:p>
      <w:pPr>
        <w:pStyle w:val="BodyText"/>
        <w:spacing w:before="11"/>
      </w:pPr>
    </w:p>
    <w:p>
      <w:pPr>
        <w:pStyle w:val="BodyText"/>
        <w:spacing w:line="249" w:lineRule="auto"/>
        <w:ind w:left="113" w:right="139" w:firstLine="170"/>
        <w:jc w:val="both"/>
      </w:pPr>
      <w:r>
        <w:rPr/>
        <w:t>A escala regional: son las regiones Centro-Este y Oriente con 83.32 y 85.60 defunciones por cada 100,000 habitantes  respectivamente.</w:t>
      </w:r>
    </w:p>
    <w:p>
      <w:pPr>
        <w:pStyle w:val="BodyText"/>
        <w:spacing w:before="11"/>
      </w:pPr>
    </w:p>
    <w:p>
      <w:pPr>
        <w:pStyle w:val="BodyText"/>
        <w:spacing w:line="249" w:lineRule="auto"/>
        <w:ind w:left="113" w:right="138" w:firstLine="170"/>
        <w:jc w:val="both"/>
      </w:pPr>
      <w:r>
        <w:rPr/>
        <w:t>A escala de entidad federativa son el D.F. y Durango registraron las tasas muy   altas de mortalidad con 103.48 y 141.40 defunciones por cada 100,000 habitantes correspondientemente. La primera eminentemente</w:t>
      </w:r>
      <w:r>
        <w:rPr>
          <w:spacing w:val="31"/>
        </w:rPr>
        <w:t> </w:t>
      </w:r>
      <w:r>
        <w:rPr/>
        <w:t>urbana.</w:t>
      </w:r>
    </w:p>
    <w:p>
      <w:pPr>
        <w:spacing w:after="0" w:line="249" w:lineRule="auto"/>
        <w:jc w:val="both"/>
        <w:sectPr>
          <w:type w:val="continuous"/>
          <w:pgSz w:w="18830" w:h="12760" w:orient="landscape"/>
          <w:pgMar w:top="1420" w:bottom="280" w:left="720" w:right="720"/>
          <w:cols w:num="2" w:equalWidth="0">
            <w:col w:w="7858" w:space="1559"/>
            <w:col w:w="7973"/>
          </w:cols>
        </w:sectPr>
      </w:pPr>
    </w:p>
    <w:p>
      <w:pPr>
        <w:pStyle w:val="BodyText"/>
        <w:spacing w:before="6"/>
        <w:rPr>
          <w:sz w:val="23"/>
        </w:rPr>
      </w:pPr>
    </w:p>
    <w:p>
      <w:pPr>
        <w:spacing w:after="0"/>
        <w:rPr>
          <w:sz w:val="23"/>
        </w:rPr>
        <w:sectPr>
          <w:footerReference w:type="default" r:id="rId413"/>
          <w:pgSz w:w="18830" w:h="12760" w:orient="landscape"/>
          <w:pgMar w:footer="1036" w:header="522" w:top="820" w:bottom="1220" w:left="720" w:right="720"/>
        </w:sectPr>
      </w:pPr>
    </w:p>
    <w:p>
      <w:pPr>
        <w:pStyle w:val="BodyText"/>
        <w:spacing w:line="249" w:lineRule="auto" w:before="76"/>
        <w:ind w:left="129" w:firstLine="170"/>
        <w:jc w:val="both"/>
      </w:pPr>
      <w:r>
        <w:rPr/>
        <w:t>A nivel de jurisdicciones sanitarias, con tasas muy altas de mortalidad son Rodeo (Durango), Santiago Papasquiaro (Durango), Milpa Alta (D.F.), estas presentaron</w:t>
      </w:r>
      <w:r>
        <w:rPr>
          <w:spacing w:val="-32"/>
        </w:rPr>
        <w:t> </w:t>
      </w:r>
      <w:r>
        <w:rPr/>
        <w:t>tasas de 568.97, 477.83 y 238.16 por cada 100,000</w:t>
      </w:r>
      <w:r>
        <w:rPr>
          <w:spacing w:val="31"/>
        </w:rPr>
        <w:t> </w:t>
      </w:r>
      <w:r>
        <w:rPr/>
        <w:t>habitantes.</w:t>
      </w:r>
    </w:p>
    <w:p>
      <w:pPr>
        <w:pStyle w:val="BodyText"/>
        <w:spacing w:before="11"/>
      </w:pPr>
    </w:p>
    <w:p>
      <w:pPr>
        <w:pStyle w:val="BodyText"/>
        <w:spacing w:line="249" w:lineRule="auto"/>
        <w:ind w:left="129" w:firstLine="170"/>
        <w:jc w:val="both"/>
      </w:pPr>
      <w:r>
        <w:rPr/>
        <w:t>A escala de zona metropolitana son:   la ZM de Guaymas, ZM de Acayucan y ZM   de Tianguistenco con tasas de mortalidad muy altas de 152.83, 144.81 y 133.56 defunciones por cada 100,000 habitantes </w:t>
      </w:r>
      <w:r>
        <w:rPr>
          <w:spacing w:val="1"/>
        </w:rPr>
        <w:t> </w:t>
      </w:r>
      <w:r>
        <w:rPr/>
        <w:t>respectivamente.</w:t>
      </w:r>
    </w:p>
    <w:p>
      <w:pPr>
        <w:pStyle w:val="BodyText"/>
        <w:spacing w:before="11"/>
      </w:pPr>
    </w:p>
    <w:p>
      <w:pPr>
        <w:pStyle w:val="BodyText"/>
        <w:spacing w:line="249" w:lineRule="auto"/>
        <w:ind w:left="129" w:firstLine="170"/>
        <w:jc w:val="both"/>
      </w:pPr>
      <w:r>
        <w:rPr/>
        <w:t>A escala municipal, algunos de los municipios con tasas de mortalidad muy altas  son Hidalgo, Súchil y San Luis del Cordero con tasas de 3681.13, 3076.47 y 2328.38 defunciones por cada 100,000</w:t>
      </w:r>
      <w:r>
        <w:rPr>
          <w:spacing w:val="42"/>
        </w:rPr>
        <w:t> </w:t>
      </w:r>
      <w:r>
        <w:rPr/>
        <w:t>habitantes.</w:t>
      </w:r>
    </w:p>
    <w:p>
      <w:pPr>
        <w:pStyle w:val="BodyText"/>
        <w:spacing w:before="11"/>
      </w:pPr>
    </w:p>
    <w:p>
      <w:pPr>
        <w:pStyle w:val="BodyText"/>
        <w:spacing w:line="249" w:lineRule="auto"/>
        <w:ind w:left="129" w:firstLine="170"/>
        <w:jc w:val="both"/>
      </w:pPr>
      <w:r>
        <w:rPr/>
        <w:t>Se concluye que las tasas brutas de mortalidad específica por diabetes mellitus, presentan patrones de distribución variables según la escala de análisis, pero todas están relacionadas hasta el nivel municipal, por lo que existe congruencia en cada una de las escalas de análisis territorial.</w:t>
      </w:r>
    </w:p>
    <w:p>
      <w:pPr>
        <w:pStyle w:val="BodyText"/>
        <w:spacing w:before="11"/>
      </w:pPr>
    </w:p>
    <w:p>
      <w:pPr>
        <w:pStyle w:val="BodyText"/>
        <w:spacing w:line="249" w:lineRule="auto"/>
        <w:ind w:left="129" w:firstLine="170"/>
        <w:jc w:val="both"/>
      </w:pPr>
      <w:r>
        <w:rPr/>
        <w:t>Las</w:t>
      </w:r>
      <w:r>
        <w:rPr>
          <w:spacing w:val="-9"/>
        </w:rPr>
        <w:t> </w:t>
      </w:r>
      <w:r>
        <w:rPr/>
        <w:t>regiones</w:t>
      </w:r>
      <w:r>
        <w:rPr>
          <w:spacing w:val="-9"/>
        </w:rPr>
        <w:t> </w:t>
      </w:r>
      <w:r>
        <w:rPr/>
        <w:t>vulnerables</w:t>
      </w:r>
      <w:r>
        <w:rPr>
          <w:spacing w:val="-9"/>
        </w:rPr>
        <w:t> </w:t>
      </w:r>
      <w:r>
        <w:rPr/>
        <w:t>son</w:t>
      </w:r>
      <w:r>
        <w:rPr>
          <w:spacing w:val="-9"/>
        </w:rPr>
        <w:t> </w:t>
      </w:r>
      <w:r>
        <w:rPr/>
        <w:t>la</w:t>
      </w:r>
      <w:r>
        <w:rPr>
          <w:spacing w:val="-9"/>
        </w:rPr>
        <w:t> </w:t>
      </w:r>
      <w:r>
        <w:rPr/>
        <w:t>región</w:t>
      </w:r>
      <w:r>
        <w:rPr>
          <w:spacing w:val="-9"/>
        </w:rPr>
        <w:t> </w:t>
      </w:r>
      <w:r>
        <w:rPr/>
        <w:t>centro</w:t>
      </w:r>
      <w:r>
        <w:rPr>
          <w:spacing w:val="-10"/>
        </w:rPr>
        <w:t> </w:t>
      </w:r>
      <w:r>
        <w:rPr/>
        <w:t>este</w:t>
      </w:r>
      <w:r>
        <w:rPr>
          <w:spacing w:val="-9"/>
        </w:rPr>
        <w:t> </w:t>
      </w:r>
      <w:r>
        <w:rPr/>
        <w:t>y</w:t>
      </w:r>
      <w:r>
        <w:rPr>
          <w:spacing w:val="-9"/>
        </w:rPr>
        <w:t> </w:t>
      </w:r>
      <w:r>
        <w:rPr/>
        <w:t>oriente.</w:t>
      </w:r>
      <w:r>
        <w:rPr>
          <w:spacing w:val="-9"/>
        </w:rPr>
        <w:t> </w:t>
      </w:r>
      <w:r>
        <w:rPr/>
        <w:t>A</w:t>
      </w:r>
      <w:r>
        <w:rPr>
          <w:spacing w:val="-9"/>
        </w:rPr>
        <w:t> </w:t>
      </w:r>
      <w:r>
        <w:rPr/>
        <w:t>nivel</w:t>
      </w:r>
      <w:r>
        <w:rPr>
          <w:spacing w:val="-9"/>
        </w:rPr>
        <w:t> </w:t>
      </w:r>
      <w:r>
        <w:rPr/>
        <w:t>entidad</w:t>
      </w:r>
      <w:r>
        <w:rPr>
          <w:spacing w:val="-10"/>
        </w:rPr>
        <w:t> </w:t>
      </w:r>
      <w:r>
        <w:rPr/>
        <w:t>federativa son el Distrito Federal (Ubicado en la región centro oriente) y el estado de Durango localizado</w:t>
      </w:r>
      <w:r>
        <w:rPr>
          <w:spacing w:val="-11"/>
        </w:rPr>
        <w:t> </w:t>
      </w:r>
      <w:r>
        <w:rPr/>
        <w:t>al</w:t>
      </w:r>
      <w:r>
        <w:rPr>
          <w:spacing w:val="-11"/>
        </w:rPr>
        <w:t> </w:t>
      </w:r>
      <w:r>
        <w:rPr/>
        <w:t>norte</w:t>
      </w:r>
      <w:r>
        <w:rPr>
          <w:spacing w:val="-11"/>
        </w:rPr>
        <w:t> </w:t>
      </w:r>
      <w:r>
        <w:rPr/>
        <w:t>del</w:t>
      </w:r>
      <w:r>
        <w:rPr>
          <w:spacing w:val="-11"/>
        </w:rPr>
        <w:t> </w:t>
      </w:r>
      <w:r>
        <w:rPr/>
        <w:t>país.</w:t>
      </w:r>
      <w:r>
        <w:rPr>
          <w:spacing w:val="-11"/>
        </w:rPr>
        <w:t> </w:t>
      </w:r>
      <w:r>
        <w:rPr/>
        <w:t>A</w:t>
      </w:r>
      <w:r>
        <w:rPr>
          <w:spacing w:val="-11"/>
        </w:rPr>
        <w:t> </w:t>
      </w:r>
      <w:r>
        <w:rPr/>
        <w:t>nivel</w:t>
      </w:r>
      <w:r>
        <w:rPr>
          <w:spacing w:val="-11"/>
        </w:rPr>
        <w:t> </w:t>
      </w:r>
      <w:r>
        <w:rPr/>
        <w:t>de</w:t>
      </w:r>
      <w:r>
        <w:rPr>
          <w:spacing w:val="-11"/>
        </w:rPr>
        <w:t> </w:t>
      </w:r>
      <w:r>
        <w:rPr/>
        <w:t>jurisdicciones</w:t>
      </w:r>
      <w:r>
        <w:rPr>
          <w:spacing w:val="-11"/>
        </w:rPr>
        <w:t> </w:t>
      </w:r>
      <w:r>
        <w:rPr/>
        <w:t>sanitarias</w:t>
      </w:r>
      <w:r>
        <w:rPr>
          <w:spacing w:val="-11"/>
        </w:rPr>
        <w:t> </w:t>
      </w:r>
      <w:r>
        <w:rPr/>
        <w:t>aquellas</w:t>
      </w:r>
      <w:r>
        <w:rPr>
          <w:spacing w:val="-11"/>
        </w:rPr>
        <w:t> </w:t>
      </w:r>
      <w:r>
        <w:rPr/>
        <w:t>con</w:t>
      </w:r>
      <w:r>
        <w:rPr>
          <w:spacing w:val="-11"/>
        </w:rPr>
        <w:t> </w:t>
      </w:r>
      <w:r>
        <w:rPr/>
        <w:t>las</w:t>
      </w:r>
      <w:r>
        <w:rPr>
          <w:spacing w:val="-11"/>
        </w:rPr>
        <w:t> </w:t>
      </w:r>
      <w:r>
        <w:rPr/>
        <w:t>mayores tasas se localizan en el estado de Durango y en el Distrito Federal; a nivel de zonas metropolitanas aquellas con las mayores tasas de mortalidad se localizan </w:t>
      </w:r>
      <w:r>
        <w:rPr>
          <w:spacing w:val="21"/>
        </w:rPr>
        <w:t> </w:t>
      </w:r>
      <w:r>
        <w:rPr/>
        <w:t>al</w:t>
      </w:r>
      <w:r>
        <w:rPr>
          <w:spacing w:val="7"/>
        </w:rPr>
        <w:t> </w:t>
      </w:r>
      <w:r>
        <w:rPr/>
        <w:t>noroeste</w:t>
      </w:r>
      <w:r>
        <w:rPr>
          <w:w w:val="100"/>
        </w:rPr>
        <w:t> </w:t>
      </w:r>
      <w:r>
        <w:rPr/>
        <w:t>y oriente de México, así como en la región centro este. Lo que indica que las tasas    de mortalidad a nivel municipal, tienen impacto en los resultados a otras escalas de análisis, pero es importante conocer el contexto para la toma de </w:t>
      </w:r>
      <w:r>
        <w:rPr>
          <w:spacing w:val="26"/>
        </w:rPr>
        <w:t> </w:t>
      </w:r>
      <w:r>
        <w:rPr/>
        <w:t>decisiones.</w:t>
      </w:r>
    </w:p>
    <w:p>
      <w:pPr>
        <w:pStyle w:val="BodyText"/>
        <w:spacing w:before="11"/>
      </w:pPr>
    </w:p>
    <w:p>
      <w:pPr>
        <w:pStyle w:val="BodyText"/>
        <w:spacing w:line="249" w:lineRule="auto"/>
        <w:ind w:left="129" w:right="1" w:firstLine="170"/>
        <w:jc w:val="both"/>
      </w:pPr>
      <w:r>
        <w:rPr/>
        <w:t>La distribución de la diabetes mellitus en México presenta un comportamiento diferenciado en el territorio, el análisis multinivel permite determinar que las tasas brutas de mortalidad son bajas a escala regional; en contraste con la escala municipal las cuales son muy altas. Lo que implica que la escala municipal incide en las tasas de mortalidad en las diferentes escalas.</w:t>
      </w:r>
    </w:p>
    <w:p>
      <w:pPr>
        <w:pStyle w:val="BodyText"/>
        <w:spacing w:before="11"/>
      </w:pPr>
    </w:p>
    <w:p>
      <w:pPr>
        <w:pStyle w:val="BodyText"/>
        <w:spacing w:line="249" w:lineRule="auto"/>
        <w:ind w:left="129" w:right="1" w:firstLine="170"/>
        <w:jc w:val="both"/>
      </w:pPr>
      <w:r>
        <w:rPr/>
        <w:t>La distribución de la mortalidad específica por diabetes mellitus de México a diferentes escalas, es heterogéna en el contexto nacional, y se sugiere relacionarla con</w:t>
      </w:r>
      <w:r>
        <w:rPr>
          <w:spacing w:val="28"/>
        </w:rPr>
        <w:t> </w:t>
      </w:r>
      <w:r>
        <w:rPr/>
        <w:t>aspectos</w:t>
      </w:r>
      <w:r>
        <w:rPr>
          <w:spacing w:val="28"/>
        </w:rPr>
        <w:t> </w:t>
      </w:r>
      <w:r>
        <w:rPr/>
        <w:t>sociales</w:t>
      </w:r>
      <w:r>
        <w:rPr>
          <w:spacing w:val="28"/>
        </w:rPr>
        <w:t> </w:t>
      </w:r>
      <w:r>
        <w:rPr/>
        <w:t>como</w:t>
      </w:r>
      <w:r>
        <w:rPr>
          <w:spacing w:val="28"/>
        </w:rPr>
        <w:t> </w:t>
      </w:r>
      <w:r>
        <w:rPr/>
        <w:t>el</w:t>
      </w:r>
      <w:r>
        <w:rPr>
          <w:spacing w:val="28"/>
        </w:rPr>
        <w:t> </w:t>
      </w:r>
      <w:r>
        <w:rPr/>
        <w:t>grado</w:t>
      </w:r>
      <w:r>
        <w:rPr>
          <w:spacing w:val="28"/>
        </w:rPr>
        <w:t> </w:t>
      </w:r>
      <w:r>
        <w:rPr/>
        <w:t>de</w:t>
      </w:r>
      <w:r>
        <w:rPr>
          <w:spacing w:val="28"/>
        </w:rPr>
        <w:t> </w:t>
      </w:r>
      <w:r>
        <w:rPr/>
        <w:t>marginación,</w:t>
      </w:r>
      <w:r>
        <w:rPr>
          <w:spacing w:val="28"/>
        </w:rPr>
        <w:t> </w:t>
      </w:r>
      <w:r>
        <w:rPr/>
        <w:t>índice</w:t>
      </w:r>
      <w:r>
        <w:rPr>
          <w:spacing w:val="28"/>
        </w:rPr>
        <w:t> </w:t>
      </w:r>
      <w:r>
        <w:rPr/>
        <w:t>de</w:t>
      </w:r>
      <w:r>
        <w:rPr>
          <w:spacing w:val="28"/>
        </w:rPr>
        <w:t> </w:t>
      </w:r>
      <w:r>
        <w:rPr/>
        <w:t>desarrollo</w:t>
      </w:r>
      <w:r>
        <w:rPr>
          <w:spacing w:val="28"/>
        </w:rPr>
        <w:t> </w:t>
      </w:r>
      <w:r>
        <w:rPr/>
        <w:t>humano,</w:t>
      </w:r>
      <w:r>
        <w:rPr>
          <w:w w:val="100"/>
        </w:rPr>
        <w:t> </w:t>
      </w:r>
      <w:r>
        <w:rPr/>
        <w:t>población hablante de lengua indígena, población urbana, entre otros factores, este es uno de los objetivos del </w:t>
      </w:r>
      <w:r>
        <w:rPr>
          <w:spacing w:val="2"/>
        </w:rPr>
        <w:t> </w:t>
      </w:r>
      <w:r>
        <w:rPr/>
        <w:t>proyecto.</w:t>
      </w:r>
    </w:p>
    <w:p>
      <w:pPr>
        <w:pStyle w:val="BodyText"/>
        <w:spacing w:before="11"/>
      </w:pPr>
    </w:p>
    <w:p>
      <w:pPr>
        <w:pStyle w:val="BodyText"/>
        <w:spacing w:line="249" w:lineRule="auto"/>
        <w:ind w:left="129" w:right="1" w:firstLine="170"/>
        <w:jc w:val="both"/>
      </w:pPr>
      <w:r>
        <w:rPr/>
        <w:t>Se sugiere analizar la distribución de las principales causas de  mortalidad  por región socioeconómica, lo que permitirá conocer los patrones con otra visión, debido   a que cada región presenta diferentes causas debido a su contexto local como las características</w:t>
      </w:r>
      <w:r>
        <w:rPr>
          <w:spacing w:val="22"/>
        </w:rPr>
        <w:t> </w:t>
      </w:r>
      <w:r>
        <w:rPr/>
        <w:t>geográficas</w:t>
      </w:r>
      <w:r>
        <w:rPr>
          <w:spacing w:val="22"/>
        </w:rPr>
        <w:t> </w:t>
      </w:r>
      <w:r>
        <w:rPr/>
        <w:t>(clima</w:t>
      </w:r>
      <w:r>
        <w:rPr>
          <w:spacing w:val="22"/>
        </w:rPr>
        <w:t> </w:t>
      </w:r>
      <w:r>
        <w:rPr/>
        <w:t>y</w:t>
      </w:r>
      <w:r>
        <w:rPr>
          <w:spacing w:val="22"/>
        </w:rPr>
        <w:t> </w:t>
      </w:r>
      <w:r>
        <w:rPr/>
        <w:t>altitud),</w:t>
      </w:r>
      <w:r>
        <w:rPr>
          <w:spacing w:val="22"/>
        </w:rPr>
        <w:t> </w:t>
      </w:r>
      <w:r>
        <w:rPr/>
        <w:t>ambientales</w:t>
      </w:r>
      <w:r>
        <w:rPr>
          <w:spacing w:val="22"/>
        </w:rPr>
        <w:t> </w:t>
      </w:r>
      <w:r>
        <w:rPr/>
        <w:t>y</w:t>
      </w:r>
      <w:r>
        <w:rPr>
          <w:spacing w:val="22"/>
        </w:rPr>
        <w:t> </w:t>
      </w:r>
      <w:r>
        <w:rPr/>
        <w:t>socioeconómicas,</w:t>
      </w:r>
      <w:r>
        <w:rPr>
          <w:spacing w:val="22"/>
        </w:rPr>
        <w:t> </w:t>
      </w:r>
      <w:r>
        <w:rPr/>
        <w:t>a</w:t>
      </w:r>
      <w:r>
        <w:rPr>
          <w:spacing w:val="22"/>
        </w:rPr>
        <w:t> </w:t>
      </w:r>
      <w:r>
        <w:rPr/>
        <w:t>fin</w:t>
      </w:r>
      <w:r>
        <w:rPr>
          <w:spacing w:val="22"/>
        </w:rPr>
        <w:t> </w:t>
      </w:r>
      <w:r>
        <w:rPr/>
        <w:t>de</w:t>
      </w:r>
    </w:p>
    <w:p>
      <w:pPr>
        <w:pStyle w:val="BodyText"/>
        <w:spacing w:line="249" w:lineRule="auto" w:before="76"/>
        <w:ind w:left="129" w:right="127"/>
        <w:jc w:val="both"/>
      </w:pPr>
      <w:r>
        <w:rPr/>
        <w:br w:type="column"/>
      </w:r>
      <w:r>
        <w:rPr/>
        <w:t>conocer esos perfiles en el territorio. En este caso la diabetes mellitus es la primera causa de mortalidad en México, que presenta sus propios patrones de distribución en el contexto territorial nacional.</w:t>
      </w:r>
    </w:p>
    <w:p>
      <w:pPr>
        <w:pStyle w:val="BodyText"/>
        <w:spacing w:before="11"/>
      </w:pPr>
    </w:p>
    <w:p>
      <w:pPr>
        <w:pStyle w:val="BodyText"/>
        <w:spacing w:line="249" w:lineRule="auto"/>
        <w:ind w:left="129" w:right="151" w:firstLine="170"/>
      </w:pPr>
      <w:r>
        <w:rPr/>
        <w:t>Se requiere estrechar vínculos entre la academia, sector gobierno, sector privado y  la sociedad para trabajar conjuntamente por la mejor calidad de vida de la </w:t>
      </w:r>
      <w:r>
        <w:rPr>
          <w:spacing w:val="37"/>
        </w:rPr>
        <w:t> </w:t>
      </w:r>
      <w:r>
        <w:rPr/>
        <w:t>población.</w:t>
      </w:r>
    </w:p>
    <w:p>
      <w:pPr>
        <w:spacing w:after="0" w:line="249" w:lineRule="auto"/>
        <w:sectPr>
          <w:type w:val="continuous"/>
          <w:pgSz w:w="18830" w:h="12760" w:orient="landscape"/>
          <w:pgMar w:top="1420" w:bottom="280" w:left="720" w:right="720"/>
          <w:cols w:num="2" w:equalWidth="0">
            <w:col w:w="7841" w:space="1572"/>
            <w:col w:w="7977"/>
          </w:cols>
        </w:sectPr>
      </w:pPr>
    </w:p>
    <w:p>
      <w:pPr>
        <w:pStyle w:val="BodyText"/>
        <w:spacing w:before="8"/>
      </w:pPr>
    </w:p>
    <w:p>
      <w:pPr>
        <w:spacing w:after="0"/>
        <w:sectPr>
          <w:footerReference w:type="default" r:id="rId414"/>
          <w:pgSz w:w="18830" w:h="12760" w:orient="landscape"/>
          <w:pgMar w:footer="1036" w:header="522" w:top="820" w:bottom="1220" w:left="720" w:right="720"/>
        </w:sectPr>
      </w:pPr>
    </w:p>
    <w:p>
      <w:pPr>
        <w:pStyle w:val="Heading1"/>
        <w:spacing w:before="71"/>
        <w:ind w:right="-7"/>
      </w:pPr>
      <w:r>
        <w:rPr/>
        <w:t>Referencias bibliográficas</w:t>
      </w:r>
    </w:p>
    <w:p>
      <w:pPr>
        <w:pStyle w:val="BodyText"/>
        <w:rPr>
          <w:b/>
          <w:sz w:val="21"/>
        </w:rPr>
      </w:pPr>
    </w:p>
    <w:p>
      <w:pPr>
        <w:pStyle w:val="BodyText"/>
        <w:spacing w:line="249" w:lineRule="auto"/>
        <w:ind w:left="753" w:hanging="624"/>
        <w:jc w:val="both"/>
      </w:pPr>
      <w:r>
        <w:rPr/>
        <w:t>Bassols</w:t>
      </w:r>
      <w:r>
        <w:rPr>
          <w:spacing w:val="-20"/>
        </w:rPr>
        <w:t> </w:t>
      </w:r>
      <w:r>
        <w:rPr/>
        <w:t>A.</w:t>
      </w:r>
      <w:r>
        <w:rPr>
          <w:spacing w:val="-20"/>
        </w:rPr>
        <w:t> </w:t>
      </w:r>
      <w:r>
        <w:rPr/>
        <w:t>(2004).</w:t>
      </w:r>
      <w:r>
        <w:rPr>
          <w:spacing w:val="-20"/>
        </w:rPr>
        <w:t> </w:t>
      </w:r>
      <w:r>
        <w:rPr/>
        <w:t>Geografía</w:t>
      </w:r>
      <w:r>
        <w:rPr>
          <w:spacing w:val="-20"/>
        </w:rPr>
        <w:t> </w:t>
      </w:r>
      <w:r>
        <w:rPr/>
        <w:t>Socioeconómica</w:t>
      </w:r>
      <w:r>
        <w:rPr>
          <w:spacing w:val="-20"/>
        </w:rPr>
        <w:t> </w:t>
      </w:r>
      <w:r>
        <w:rPr/>
        <w:t>de</w:t>
      </w:r>
      <w:r>
        <w:rPr>
          <w:spacing w:val="-20"/>
        </w:rPr>
        <w:t> </w:t>
      </w:r>
      <w:r>
        <w:rPr/>
        <w:t>México.</w:t>
      </w:r>
      <w:r>
        <w:rPr>
          <w:spacing w:val="-20"/>
        </w:rPr>
        <w:t> </w:t>
      </w:r>
      <w:r>
        <w:rPr/>
        <w:t>Aspectos</w:t>
      </w:r>
      <w:r>
        <w:rPr>
          <w:spacing w:val="-20"/>
        </w:rPr>
        <w:t> </w:t>
      </w:r>
      <w:r>
        <w:rPr/>
        <w:t>físicos</w:t>
      </w:r>
      <w:r>
        <w:rPr>
          <w:spacing w:val="-20"/>
        </w:rPr>
        <w:t> </w:t>
      </w:r>
      <w:r>
        <w:rPr/>
        <w:t>y</w:t>
      </w:r>
      <w:r>
        <w:rPr>
          <w:spacing w:val="-20"/>
        </w:rPr>
        <w:t> </w:t>
      </w:r>
      <w:r>
        <w:rPr/>
        <w:t>económicos por regiones. Editorial Trillas. Primera Reimpresión.</w:t>
      </w:r>
      <w:r>
        <w:rPr>
          <w:spacing w:val="12"/>
        </w:rPr>
        <w:t> </w:t>
      </w:r>
      <w:r>
        <w:rPr/>
        <w:t>México.</w:t>
      </w:r>
    </w:p>
    <w:p>
      <w:pPr>
        <w:pStyle w:val="BodyText"/>
        <w:spacing w:before="11"/>
      </w:pPr>
    </w:p>
    <w:p>
      <w:pPr>
        <w:pStyle w:val="BodyText"/>
        <w:spacing w:line="249" w:lineRule="auto"/>
        <w:ind w:left="753" w:right="1" w:hanging="624"/>
        <w:jc w:val="both"/>
      </w:pPr>
      <w:r>
        <w:rPr/>
        <w:t>Buzai G. y Baxendale C. (2006), Análisis Socioespacial con Sistemas de Información Geográfica, Buenos Aires, Lugar Editorial. Argentina.</w:t>
      </w:r>
    </w:p>
    <w:p>
      <w:pPr>
        <w:pStyle w:val="BodyText"/>
        <w:spacing w:before="11"/>
      </w:pPr>
    </w:p>
    <w:p>
      <w:pPr>
        <w:pStyle w:val="BodyText"/>
        <w:spacing w:line="249" w:lineRule="auto"/>
        <w:ind w:left="753" w:right="1" w:hanging="624"/>
        <w:jc w:val="both"/>
      </w:pPr>
      <w:r>
        <w:rPr/>
        <w:t>CEPAL (2002). Vulnerabilidad sociodemográfica: viejos y nuevos riesgos para comunidades, hogares y personas. Brasilia: CEPAL / ECLAC.</w:t>
      </w:r>
    </w:p>
    <w:p>
      <w:pPr>
        <w:pStyle w:val="BodyText"/>
        <w:spacing w:before="11"/>
      </w:pPr>
    </w:p>
    <w:p>
      <w:pPr>
        <w:pStyle w:val="BodyText"/>
        <w:spacing w:line="249" w:lineRule="auto"/>
        <w:ind w:left="753" w:hanging="624"/>
        <w:jc w:val="both"/>
      </w:pPr>
      <w:r>
        <w:rPr/>
        <w:t>Dantas E. y Lustosa M. (2009) Organizadores. Vulnerabilidade socioambiental na Região Metropolitana de Fortaleza. Observatorio das Metrópoles, Ediçoes UFC y Conselhio Nacional de desenvolvimento Científico e Tecnológico. Fortaleza, Brasil.</w:t>
      </w:r>
    </w:p>
    <w:p>
      <w:pPr>
        <w:pStyle w:val="BodyText"/>
        <w:spacing w:before="11"/>
      </w:pPr>
    </w:p>
    <w:p>
      <w:pPr>
        <w:pStyle w:val="BodyText"/>
        <w:spacing w:line="249" w:lineRule="auto"/>
        <w:ind w:left="753" w:right="1" w:hanging="624"/>
        <w:jc w:val="both"/>
      </w:pPr>
      <w:r>
        <w:rPr/>
        <w:t>De Souza M. (2007). Uma Ecología Política dos riscos. Principios para integrarmos o local e o global na Promoção da Saúde e da Justiça ambiental. Editora Fiocruz. Brasil.</w:t>
      </w:r>
    </w:p>
    <w:p>
      <w:pPr>
        <w:pStyle w:val="BodyText"/>
        <w:spacing w:before="11"/>
      </w:pPr>
    </w:p>
    <w:p>
      <w:pPr>
        <w:pStyle w:val="BodyText"/>
        <w:ind w:left="130" w:right="-7"/>
      </w:pPr>
      <w:r>
        <w:rPr/>
        <w:t>Frenk</w:t>
      </w:r>
      <w:r>
        <w:rPr>
          <w:spacing w:val="-16"/>
        </w:rPr>
        <w:t> </w:t>
      </w:r>
      <w:r>
        <w:rPr/>
        <w:t>Mora</w:t>
      </w:r>
      <w:r>
        <w:rPr>
          <w:spacing w:val="-16"/>
        </w:rPr>
        <w:t> </w:t>
      </w:r>
      <w:r>
        <w:rPr/>
        <w:t>J.</w:t>
      </w:r>
      <w:r>
        <w:rPr>
          <w:spacing w:val="-16"/>
        </w:rPr>
        <w:t> </w:t>
      </w:r>
      <w:r>
        <w:rPr/>
        <w:t>(1993),</w:t>
      </w:r>
      <w:r>
        <w:rPr>
          <w:spacing w:val="-16"/>
        </w:rPr>
        <w:t> </w:t>
      </w:r>
      <w:r>
        <w:rPr/>
        <w:t>La</w:t>
      </w:r>
      <w:r>
        <w:rPr>
          <w:spacing w:val="-16"/>
        </w:rPr>
        <w:t> </w:t>
      </w:r>
      <w:r>
        <w:rPr/>
        <w:t>Salud</w:t>
      </w:r>
      <w:r>
        <w:rPr>
          <w:spacing w:val="-16"/>
        </w:rPr>
        <w:t> </w:t>
      </w:r>
      <w:r>
        <w:rPr/>
        <w:t>de</w:t>
      </w:r>
      <w:r>
        <w:rPr>
          <w:spacing w:val="-16"/>
        </w:rPr>
        <w:t> </w:t>
      </w:r>
      <w:r>
        <w:rPr/>
        <w:t>la</w:t>
      </w:r>
      <w:r>
        <w:rPr>
          <w:spacing w:val="-16"/>
        </w:rPr>
        <w:t> </w:t>
      </w:r>
      <w:r>
        <w:rPr/>
        <w:t>Población.</w:t>
      </w:r>
      <w:r>
        <w:rPr>
          <w:spacing w:val="-16"/>
        </w:rPr>
        <w:t> </w:t>
      </w:r>
      <w:r>
        <w:rPr/>
        <w:t>Hacia</w:t>
      </w:r>
      <w:r>
        <w:rPr>
          <w:spacing w:val="-16"/>
        </w:rPr>
        <w:t> </w:t>
      </w:r>
      <w:r>
        <w:rPr/>
        <w:t>una</w:t>
      </w:r>
      <w:r>
        <w:rPr>
          <w:spacing w:val="-16"/>
        </w:rPr>
        <w:t> </w:t>
      </w:r>
      <w:r>
        <w:rPr/>
        <w:t>nueva</w:t>
      </w:r>
      <w:r>
        <w:rPr>
          <w:spacing w:val="-16"/>
        </w:rPr>
        <w:t> </w:t>
      </w:r>
      <w:r>
        <w:rPr/>
        <w:t>Salud</w:t>
      </w:r>
      <w:r>
        <w:rPr>
          <w:spacing w:val="-16"/>
        </w:rPr>
        <w:t> </w:t>
      </w:r>
      <w:r>
        <w:rPr/>
        <w:t>Pública.</w:t>
      </w:r>
      <w:r>
        <w:rPr>
          <w:spacing w:val="24"/>
        </w:rPr>
        <w:t> </w:t>
      </w:r>
      <w:r>
        <w:rPr/>
        <w:t>México,</w:t>
      </w:r>
    </w:p>
    <w:p>
      <w:pPr>
        <w:pStyle w:val="BodyText"/>
        <w:spacing w:before="10"/>
        <w:ind w:left="753" w:right="-7"/>
      </w:pPr>
      <w:r>
        <w:rPr/>
        <w:t>D.F. Fondo de Cultura Económica.</w:t>
      </w:r>
    </w:p>
    <w:p>
      <w:pPr>
        <w:pStyle w:val="BodyText"/>
        <w:spacing w:before="8"/>
        <w:rPr>
          <w:sz w:val="21"/>
        </w:rPr>
      </w:pPr>
    </w:p>
    <w:p>
      <w:pPr>
        <w:pStyle w:val="BodyText"/>
        <w:spacing w:line="249" w:lineRule="auto"/>
        <w:ind w:left="753" w:right="1" w:hanging="624"/>
        <w:jc w:val="both"/>
      </w:pPr>
      <w:r>
        <w:rPr/>
        <w:t>García de León A. (1988). Generalidades del análisis de cúmulos y del análisis de componentes principales. Instituto de Geografía, UNAM.  México.</w:t>
      </w:r>
    </w:p>
    <w:p>
      <w:pPr>
        <w:pStyle w:val="BodyText"/>
        <w:spacing w:before="11"/>
      </w:pPr>
    </w:p>
    <w:p>
      <w:pPr>
        <w:pStyle w:val="BodyText"/>
        <w:ind w:left="130" w:right="-17"/>
      </w:pPr>
      <w:r>
        <w:rPr/>
        <w:t>Gatrell</w:t>
      </w:r>
      <w:r>
        <w:rPr>
          <w:spacing w:val="-13"/>
        </w:rPr>
        <w:t> </w:t>
      </w:r>
      <w:r>
        <w:rPr/>
        <w:t>A.</w:t>
      </w:r>
      <w:r>
        <w:rPr>
          <w:spacing w:val="-13"/>
        </w:rPr>
        <w:t> </w:t>
      </w:r>
      <w:r>
        <w:rPr/>
        <w:t>(2002),</w:t>
      </w:r>
      <w:r>
        <w:rPr>
          <w:spacing w:val="-13"/>
        </w:rPr>
        <w:t> </w:t>
      </w:r>
      <w:r>
        <w:rPr/>
        <w:t>Geographies</w:t>
      </w:r>
      <w:r>
        <w:rPr>
          <w:spacing w:val="-13"/>
        </w:rPr>
        <w:t> </w:t>
      </w:r>
      <w:r>
        <w:rPr/>
        <w:t>of</w:t>
      </w:r>
      <w:r>
        <w:rPr>
          <w:spacing w:val="-13"/>
        </w:rPr>
        <w:t> </w:t>
      </w:r>
      <w:r>
        <w:rPr/>
        <w:t>Health.</w:t>
      </w:r>
      <w:r>
        <w:rPr>
          <w:spacing w:val="-13"/>
        </w:rPr>
        <w:t> </w:t>
      </w:r>
      <w:r>
        <w:rPr/>
        <w:t>Blackwell</w:t>
      </w:r>
      <w:r>
        <w:rPr>
          <w:spacing w:val="-13"/>
        </w:rPr>
        <w:t> </w:t>
      </w:r>
      <w:r>
        <w:rPr/>
        <w:t>Publishers.</w:t>
      </w:r>
      <w:r>
        <w:rPr>
          <w:spacing w:val="-13"/>
        </w:rPr>
        <w:t> </w:t>
      </w:r>
      <w:r>
        <w:rPr/>
        <w:t>Malden,</w:t>
      </w:r>
      <w:r>
        <w:rPr>
          <w:spacing w:val="-13"/>
        </w:rPr>
        <w:t> </w:t>
      </w:r>
      <w:r>
        <w:rPr/>
        <w:t>Massachussets.</w:t>
      </w:r>
    </w:p>
    <w:p>
      <w:pPr>
        <w:pStyle w:val="BodyText"/>
        <w:spacing w:before="8"/>
        <w:rPr>
          <w:sz w:val="21"/>
        </w:rPr>
      </w:pPr>
    </w:p>
    <w:p>
      <w:pPr>
        <w:pStyle w:val="BodyText"/>
        <w:spacing w:line="249" w:lineRule="auto"/>
        <w:ind w:left="753" w:hanging="624"/>
        <w:jc w:val="both"/>
      </w:pPr>
      <w:r>
        <w:rPr/>
        <w:t>Gómez J., Muñoz J., y Ortega N. (1982). “El Pensamiento Geográfico”. Alianza editorial.  Madrid, España</w:t>
      </w:r>
    </w:p>
    <w:p>
      <w:pPr>
        <w:pStyle w:val="BodyText"/>
        <w:spacing w:before="11"/>
      </w:pPr>
    </w:p>
    <w:p>
      <w:pPr>
        <w:pStyle w:val="BodyText"/>
        <w:spacing w:line="249" w:lineRule="auto"/>
        <w:ind w:left="753" w:hanging="624"/>
        <w:jc w:val="both"/>
      </w:pPr>
      <w:r>
        <w:rPr/>
        <w:t>Instituto Nacional de Estadística y Geografía, INEGI (2011) Censo de población y Vivienda 2010. México.</w:t>
      </w:r>
    </w:p>
    <w:p>
      <w:pPr>
        <w:pStyle w:val="BodyText"/>
        <w:spacing w:before="11"/>
      </w:pPr>
    </w:p>
    <w:p>
      <w:pPr>
        <w:pStyle w:val="BodyText"/>
        <w:ind w:left="130" w:right="-7"/>
      </w:pPr>
      <w:r>
        <w:rPr/>
        <w:t>Organización Mundial de la Salud (2002). Informe sobre la Salud en el Mundo 2002.</w:t>
      </w:r>
    </w:p>
    <w:p>
      <w:pPr>
        <w:pStyle w:val="BodyText"/>
        <w:spacing w:before="10"/>
        <w:ind w:left="753" w:right="-7"/>
      </w:pPr>
      <w:r>
        <w:rPr/>
        <w:t>Reducir los riesgos y promover una vida sana. Ginebra, Suiza.</w:t>
      </w:r>
    </w:p>
    <w:p>
      <w:pPr>
        <w:pStyle w:val="BodyText"/>
        <w:spacing w:before="8"/>
        <w:rPr>
          <w:sz w:val="21"/>
        </w:rPr>
      </w:pPr>
    </w:p>
    <w:p>
      <w:pPr>
        <w:pStyle w:val="BodyText"/>
        <w:spacing w:line="249" w:lineRule="auto"/>
        <w:ind w:left="753" w:right="1" w:hanging="624"/>
        <w:jc w:val="both"/>
      </w:pPr>
      <w:r>
        <w:rPr/>
        <w:t>OPS (2004) “Boletín Epidemiológico”, Vol. 25, No. 4. Diciembre. Programa de las Naciones Unidas (PNUD) 2009. Indicadores de desarrollo humano y género en México 2000 – 2005. Producción creativa, diseño editorial: Galera.  México.</w:t>
      </w:r>
    </w:p>
    <w:p>
      <w:pPr>
        <w:spacing w:line="249" w:lineRule="auto" w:before="109"/>
        <w:ind w:left="753" w:right="127" w:hanging="624"/>
        <w:jc w:val="both"/>
        <w:rPr>
          <w:sz w:val="20"/>
        </w:rPr>
      </w:pPr>
      <w:r>
        <w:rPr/>
        <w:br w:type="column"/>
      </w:r>
      <w:r>
        <w:rPr>
          <w:sz w:val="20"/>
        </w:rPr>
        <w:t>SEDESOL, CONAPO e INEGI (2004), </w:t>
      </w:r>
      <w:r>
        <w:rPr>
          <w:i/>
          <w:sz w:val="20"/>
        </w:rPr>
        <w:t>Delimitación de las zonas metropolitanas de </w:t>
      </w:r>
      <w:r>
        <w:rPr>
          <w:i/>
          <w:sz w:val="20"/>
        </w:rPr>
        <w:t>México</w:t>
      </w:r>
      <w:r>
        <w:rPr>
          <w:sz w:val="20"/>
        </w:rPr>
        <w:t>. Secretaría de Desarrollo Social, Consejo Nacional de Población e Instituto Nacional de Estadística, Geografía e Informática. México.</w:t>
      </w:r>
    </w:p>
    <w:p>
      <w:pPr>
        <w:pStyle w:val="BodyText"/>
        <w:spacing w:before="11"/>
      </w:pPr>
    </w:p>
    <w:p>
      <w:pPr>
        <w:pStyle w:val="BodyText"/>
        <w:spacing w:line="249" w:lineRule="auto"/>
        <w:ind w:left="753" w:right="128" w:hanging="624"/>
        <w:jc w:val="both"/>
      </w:pPr>
      <w:r>
        <w:rPr/>
        <w:t>Santana G. (2011), Distribución y tendencia de la diabetes mellitus. En el Estado de México. Utilizando sistemas de información geográfica (tesis de Maestría). Universidad Autónoma del Estado de México.</w:t>
      </w:r>
    </w:p>
    <w:p>
      <w:pPr>
        <w:pStyle w:val="BodyText"/>
        <w:spacing w:before="11"/>
      </w:pPr>
    </w:p>
    <w:p>
      <w:pPr>
        <w:pStyle w:val="BodyText"/>
        <w:spacing w:line="249" w:lineRule="auto"/>
        <w:ind w:left="753" w:right="127" w:hanging="624"/>
        <w:jc w:val="both"/>
      </w:pPr>
      <w:r>
        <w:rPr/>
        <w:t>Santana G, Cadena E, y Santana M. (2011). Posible escenario de la diabetes Mellitus en México para el 2020. En: Olmos A. et. al. Comp. La salud ante los cambios globales. Toluca: Universidad Autónoma del Estado de</w:t>
      </w:r>
      <w:r>
        <w:rPr>
          <w:spacing w:val="53"/>
        </w:rPr>
        <w:t> </w:t>
      </w:r>
      <w:r>
        <w:rPr/>
        <w:t>México.</w:t>
      </w:r>
    </w:p>
    <w:p>
      <w:pPr>
        <w:pStyle w:val="BodyText"/>
        <w:spacing w:before="11"/>
      </w:pPr>
    </w:p>
    <w:p>
      <w:pPr>
        <w:pStyle w:val="BodyText"/>
        <w:spacing w:line="249" w:lineRule="auto"/>
        <w:ind w:left="753" w:right="129" w:hanging="624"/>
        <w:jc w:val="both"/>
      </w:pPr>
      <w:r>
        <w:rPr/>
        <w:t>Santana G, Santana M. (2012). La Diabetes en 2020. Revista: Valor universitario</w:t>
      </w:r>
      <w:r>
        <w:rPr>
          <w:spacing w:val="-22"/>
        </w:rPr>
        <w:t> </w:t>
      </w:r>
      <w:r>
        <w:rPr/>
        <w:t>2012; Año 3, No. 29, mayo 12. ISSN:</w:t>
      </w:r>
      <w:r>
        <w:rPr>
          <w:spacing w:val="6"/>
        </w:rPr>
        <w:t> </w:t>
      </w:r>
      <w:r>
        <w:rPr/>
        <w:t>2007-1493.</w:t>
      </w:r>
    </w:p>
    <w:p>
      <w:pPr>
        <w:pStyle w:val="BodyText"/>
        <w:spacing w:before="11"/>
      </w:pPr>
    </w:p>
    <w:p>
      <w:pPr>
        <w:pStyle w:val="BodyText"/>
        <w:spacing w:line="249" w:lineRule="auto"/>
        <w:ind w:left="753" w:right="129" w:hanging="624"/>
        <w:jc w:val="both"/>
      </w:pPr>
      <w:r>
        <w:rPr/>
        <w:t>Santana M, Estrada E, Pineda N, y Santana G. Observatory on health geography of State of Mexico: mortality 2010. IJHSS. 2012; 2:</w:t>
      </w:r>
      <w:r>
        <w:rPr>
          <w:spacing w:val="50"/>
        </w:rPr>
        <w:t> </w:t>
      </w:r>
      <w:r>
        <w:rPr/>
        <w:t>220-226.</w:t>
      </w:r>
    </w:p>
    <w:p>
      <w:pPr>
        <w:pStyle w:val="BodyText"/>
        <w:spacing w:before="11"/>
      </w:pPr>
    </w:p>
    <w:p>
      <w:pPr>
        <w:pStyle w:val="BodyText"/>
        <w:spacing w:line="249" w:lineRule="auto"/>
        <w:ind w:left="753" w:right="129" w:hanging="624"/>
        <w:jc w:val="both"/>
      </w:pPr>
      <w:r>
        <w:rPr/>
        <w:t>Santana M. (2009). Condiciones geográficas y de salud de la población del estado de México. Tesis de Doctorado. Facultad de Filosofía y Letras, UNAM.  México.</w:t>
      </w:r>
    </w:p>
    <w:p>
      <w:pPr>
        <w:pStyle w:val="BodyText"/>
        <w:spacing w:before="11"/>
      </w:pPr>
    </w:p>
    <w:p>
      <w:pPr>
        <w:pStyle w:val="BodyText"/>
        <w:spacing w:line="249" w:lineRule="auto"/>
        <w:ind w:left="753" w:right="127" w:hanging="624"/>
        <w:jc w:val="both"/>
      </w:pPr>
      <w:r>
        <w:rPr/>
        <w:t>Santana</w:t>
      </w:r>
      <w:r>
        <w:rPr>
          <w:spacing w:val="-4"/>
        </w:rPr>
        <w:t> </w:t>
      </w:r>
      <w:r>
        <w:rPr/>
        <w:t>M.,</w:t>
      </w:r>
      <w:r>
        <w:rPr>
          <w:spacing w:val="-4"/>
        </w:rPr>
        <w:t> </w:t>
      </w:r>
      <w:r>
        <w:rPr/>
        <w:t>Rosales</w:t>
      </w:r>
      <w:r>
        <w:rPr>
          <w:spacing w:val="-4"/>
        </w:rPr>
        <w:t> </w:t>
      </w:r>
      <w:r>
        <w:rPr/>
        <w:t>E.,</w:t>
      </w:r>
      <w:r>
        <w:rPr>
          <w:spacing w:val="-4"/>
        </w:rPr>
        <w:t> </w:t>
      </w:r>
      <w:r>
        <w:rPr/>
        <w:t>Pineda</w:t>
      </w:r>
      <w:r>
        <w:rPr>
          <w:spacing w:val="-4"/>
        </w:rPr>
        <w:t> </w:t>
      </w:r>
      <w:r>
        <w:rPr/>
        <w:t>N.,</w:t>
      </w:r>
      <w:r>
        <w:rPr>
          <w:spacing w:val="-4"/>
        </w:rPr>
        <w:t> </w:t>
      </w:r>
      <w:r>
        <w:rPr/>
        <w:t>y</w:t>
      </w:r>
      <w:r>
        <w:rPr>
          <w:spacing w:val="-4"/>
        </w:rPr>
        <w:t> </w:t>
      </w:r>
      <w:r>
        <w:rPr/>
        <w:t>Santana</w:t>
      </w:r>
      <w:r>
        <w:rPr>
          <w:spacing w:val="-4"/>
        </w:rPr>
        <w:t> </w:t>
      </w:r>
      <w:r>
        <w:rPr/>
        <w:t>G.</w:t>
      </w:r>
      <w:r>
        <w:rPr>
          <w:spacing w:val="-4"/>
        </w:rPr>
        <w:t> </w:t>
      </w:r>
      <w:r>
        <w:rPr/>
        <w:t>(2013).</w:t>
      </w:r>
      <w:r>
        <w:rPr>
          <w:spacing w:val="-4"/>
        </w:rPr>
        <w:t> </w:t>
      </w:r>
      <w:r>
        <w:rPr/>
        <w:t>Observatorio</w:t>
      </w:r>
      <w:r>
        <w:rPr>
          <w:spacing w:val="-4"/>
        </w:rPr>
        <w:t> </w:t>
      </w:r>
      <w:r>
        <w:rPr/>
        <w:t>de</w:t>
      </w:r>
      <w:r>
        <w:rPr>
          <w:spacing w:val="-4"/>
        </w:rPr>
        <w:t> </w:t>
      </w:r>
      <w:r>
        <w:rPr/>
        <w:t>Geografía</w:t>
      </w:r>
      <w:r>
        <w:rPr>
          <w:spacing w:val="-4"/>
        </w:rPr>
        <w:t> </w:t>
      </w:r>
      <w:r>
        <w:rPr/>
        <w:t>de la salud del Estado de México. Mortalidad general. Universidad Autónoma del Estado de</w:t>
      </w:r>
      <w:r>
        <w:rPr>
          <w:spacing w:val="25"/>
        </w:rPr>
        <w:t> </w:t>
      </w:r>
      <w:r>
        <w:rPr/>
        <w:t>México.</w:t>
      </w:r>
    </w:p>
    <w:p>
      <w:pPr>
        <w:pStyle w:val="BodyText"/>
        <w:spacing w:before="11"/>
      </w:pPr>
    </w:p>
    <w:p>
      <w:pPr>
        <w:pStyle w:val="BodyText"/>
        <w:spacing w:line="249" w:lineRule="auto"/>
        <w:ind w:left="753" w:right="128" w:hanging="624"/>
        <w:jc w:val="both"/>
      </w:pPr>
      <w:r>
        <w:rPr/>
        <w:t>Santana M., Santana G., Rosales E., Pineda N., (2013). “Information  system  of  health infrastructure in metropolitan areas of México regional center”. Libro electronico: 10th International conference on information systems and technology management, 10° Congresso internacional de Gestão da tencologia e sistemas de informacão, 47th Wcars-world continuous auditing and reporting systems (CONTECSI), São Paulo, Brasil. Del 12 al 14 de junio de 2013. School of economics, bussines and accountancy (FEA) University of São Paulo (USF). ISBN: 978-859969309-4. Páginas: 1272 –</w:t>
      </w:r>
      <w:r>
        <w:rPr>
          <w:spacing w:val="-2"/>
        </w:rPr>
        <w:t> </w:t>
      </w:r>
      <w:r>
        <w:rPr/>
        <w:t>1290</w:t>
      </w:r>
    </w:p>
    <w:p>
      <w:pPr>
        <w:pStyle w:val="BodyText"/>
        <w:spacing w:before="11"/>
      </w:pPr>
    </w:p>
    <w:p>
      <w:pPr>
        <w:pStyle w:val="BodyText"/>
        <w:spacing w:line="249" w:lineRule="auto"/>
        <w:ind w:left="753" w:right="127" w:hanging="624"/>
        <w:jc w:val="both"/>
      </w:pPr>
      <w:r>
        <w:rPr/>
        <w:t>Santana M., Rosales E., Manzano L., Olmos A., y Santana G. (2013). Ordenación territorial</w:t>
      </w:r>
      <w:r>
        <w:rPr>
          <w:spacing w:val="-6"/>
        </w:rPr>
        <w:t> </w:t>
      </w:r>
      <w:r>
        <w:rPr/>
        <w:t>para</w:t>
      </w:r>
      <w:r>
        <w:rPr>
          <w:spacing w:val="-6"/>
        </w:rPr>
        <w:t> </w:t>
      </w:r>
      <w:r>
        <w:rPr/>
        <w:t>la</w:t>
      </w:r>
      <w:r>
        <w:rPr>
          <w:spacing w:val="-6"/>
        </w:rPr>
        <w:t> </w:t>
      </w:r>
      <w:r>
        <w:rPr/>
        <w:t>construcción</w:t>
      </w:r>
      <w:r>
        <w:rPr>
          <w:spacing w:val="-6"/>
        </w:rPr>
        <w:t> </w:t>
      </w:r>
      <w:r>
        <w:rPr/>
        <w:t>de</w:t>
      </w:r>
      <w:r>
        <w:rPr>
          <w:spacing w:val="-6"/>
        </w:rPr>
        <w:t> </w:t>
      </w:r>
      <w:r>
        <w:rPr/>
        <w:t>ciudades</w:t>
      </w:r>
      <w:r>
        <w:rPr>
          <w:spacing w:val="-6"/>
        </w:rPr>
        <w:t> </w:t>
      </w:r>
      <w:r>
        <w:rPr/>
        <w:t>saludables:</w:t>
      </w:r>
      <w:r>
        <w:rPr>
          <w:spacing w:val="-6"/>
        </w:rPr>
        <w:t> </w:t>
      </w:r>
      <w:r>
        <w:rPr/>
        <w:t>percepción</w:t>
      </w:r>
      <w:r>
        <w:rPr>
          <w:spacing w:val="-6"/>
        </w:rPr>
        <w:t> </w:t>
      </w:r>
      <w:r>
        <w:rPr/>
        <w:t>de</w:t>
      </w:r>
      <w:r>
        <w:rPr>
          <w:spacing w:val="-6"/>
        </w:rPr>
        <w:t> </w:t>
      </w:r>
      <w:r>
        <w:rPr/>
        <w:t>problemas ambientales y de salud en la Zona Metropolitana de Toluca, Estado de México. En memorias del III Workshop de la Red Iberoamericana de Observación territorial-RIDOT. Bogotá,</w:t>
      </w:r>
      <w:r>
        <w:rPr>
          <w:spacing w:val="28"/>
        </w:rPr>
        <w:t> </w:t>
      </w:r>
      <w:r>
        <w:rPr/>
        <w:t>Colombia.</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415"/>
          <w:pgSz w:w="18830" w:h="12760" w:orient="landscape"/>
          <w:pgMar w:footer="1036" w:header="522" w:top="820" w:bottom="1220" w:left="720" w:right="720"/>
        </w:sectPr>
      </w:pPr>
    </w:p>
    <w:p>
      <w:pPr>
        <w:pStyle w:val="BodyText"/>
        <w:spacing w:line="249" w:lineRule="auto" w:before="76"/>
        <w:ind w:left="753" w:hanging="624"/>
        <w:jc w:val="both"/>
      </w:pPr>
      <w:r>
        <w:rPr/>
        <w:t>Santana M., Rosales E., Manzano L., Serrano R. y Julián M. (2014). Fundamentos teórico conceptuales de ordenación y gestión sustentable del territorio. En el libro: Geografía, Cuerpos Académicos. Fundamentos teórico – metodológicos y estudios de caso. Miguel Ángel Balderas Plata (Comp). Universidad Autónoma del Estado de México. Facultad de Geografía. Enero, 2014. 300 ejemplares. ISBN: 978-607-422-491-7.</w:t>
      </w:r>
    </w:p>
    <w:p>
      <w:pPr>
        <w:pStyle w:val="BodyText"/>
        <w:spacing w:before="11"/>
      </w:pPr>
    </w:p>
    <w:p>
      <w:pPr>
        <w:pStyle w:val="BodyText"/>
        <w:spacing w:line="249" w:lineRule="auto"/>
        <w:ind w:left="753" w:hanging="624"/>
        <w:jc w:val="both"/>
      </w:pPr>
      <w:r>
        <w:rPr/>
        <w:t>Santarelli de Serer S. y Campos M. (2002). “Corrientes epistemológicas, metodología</w:t>
      </w:r>
      <w:r>
        <w:rPr>
          <w:spacing w:val="-26"/>
        </w:rPr>
        <w:t> </w:t>
      </w:r>
      <w:r>
        <w:rPr/>
        <w:t>y prácticas en Geografía. Propuestas de estudio en el espacio local”. Universidad Nacional del Sur. Bahía Blanca,</w:t>
      </w:r>
      <w:r>
        <w:rPr>
          <w:spacing w:val="-10"/>
        </w:rPr>
        <w:t> </w:t>
      </w:r>
      <w:r>
        <w:rPr/>
        <w:t>Argentina.</w:t>
      </w:r>
    </w:p>
    <w:p>
      <w:pPr>
        <w:pStyle w:val="BodyText"/>
        <w:spacing w:before="11"/>
      </w:pPr>
    </w:p>
    <w:p>
      <w:pPr>
        <w:pStyle w:val="BodyText"/>
        <w:spacing w:line="249" w:lineRule="auto"/>
        <w:ind w:left="753" w:hanging="624"/>
        <w:jc w:val="both"/>
      </w:pPr>
      <w:r>
        <w:rPr/>
        <w:t>Seguinot J. (2012). Geografía Médica y de la Salud: conceptos, paradigmas y visiones en el contexto del cambio climático. En revista geográfica digital. IGUNNE. Facultad de Humanidades. UNNE. Año 9. Núm. 17. Enero-junio 2012.</w:t>
      </w:r>
    </w:p>
    <w:p>
      <w:pPr>
        <w:pStyle w:val="BodyText"/>
        <w:spacing w:before="11"/>
      </w:pPr>
    </w:p>
    <w:p>
      <w:pPr>
        <w:pStyle w:val="BodyText"/>
        <w:spacing w:line="249" w:lineRule="auto"/>
        <w:ind w:left="753" w:hanging="624"/>
        <w:jc w:val="both"/>
      </w:pPr>
      <w:r>
        <w:rPr/>
        <w:t>Vieira S. y Lustosa M. (2009). Banco de dados de Vulnerabilidade socioambiental da Região Metropolitana de Fortaleza- Ceará. En Dantas E. y Lustosa M. (2009) Organizadores. Vulnerabilidade socioambiental na Região Metropolitana de Fortaleza. Observatorio das Metrópoles, Ediçoes UFC y Conselhio Nacional de desenvolvimento  Científico e Tecnológico. Fortaleza, Brasil.</w:t>
      </w:r>
    </w:p>
    <w:p>
      <w:pPr>
        <w:pStyle w:val="BodyText"/>
        <w:spacing w:before="11"/>
      </w:pPr>
    </w:p>
    <w:p>
      <w:pPr>
        <w:spacing w:line="249" w:lineRule="auto" w:before="0"/>
        <w:ind w:left="753" w:right="0" w:hanging="624"/>
        <w:jc w:val="both"/>
        <w:rPr>
          <w:sz w:val="20"/>
        </w:rPr>
      </w:pPr>
      <w:r>
        <w:rPr>
          <w:sz w:val="20"/>
        </w:rPr>
        <w:t>Unwin,</w:t>
      </w:r>
      <w:r>
        <w:rPr>
          <w:spacing w:val="-15"/>
          <w:sz w:val="20"/>
        </w:rPr>
        <w:t> </w:t>
      </w:r>
      <w:r>
        <w:rPr>
          <w:sz w:val="20"/>
        </w:rPr>
        <w:t>T.</w:t>
      </w:r>
      <w:r>
        <w:rPr>
          <w:spacing w:val="-15"/>
          <w:sz w:val="20"/>
        </w:rPr>
        <w:t> </w:t>
      </w:r>
      <w:r>
        <w:rPr>
          <w:sz w:val="20"/>
        </w:rPr>
        <w:t>(1992),</w:t>
      </w:r>
      <w:r>
        <w:rPr>
          <w:spacing w:val="-15"/>
          <w:sz w:val="20"/>
        </w:rPr>
        <w:t> </w:t>
      </w:r>
      <w:r>
        <w:rPr>
          <w:i/>
          <w:sz w:val="20"/>
        </w:rPr>
        <w:t>El</w:t>
      </w:r>
      <w:r>
        <w:rPr>
          <w:i/>
          <w:spacing w:val="-15"/>
          <w:sz w:val="20"/>
        </w:rPr>
        <w:t> </w:t>
      </w:r>
      <w:r>
        <w:rPr>
          <w:i/>
          <w:sz w:val="20"/>
        </w:rPr>
        <w:t>Lugar</w:t>
      </w:r>
      <w:r>
        <w:rPr>
          <w:i/>
          <w:spacing w:val="-15"/>
          <w:sz w:val="20"/>
        </w:rPr>
        <w:t> </w:t>
      </w:r>
      <w:r>
        <w:rPr>
          <w:i/>
          <w:sz w:val="20"/>
        </w:rPr>
        <w:t>de</w:t>
      </w:r>
      <w:r>
        <w:rPr>
          <w:i/>
          <w:spacing w:val="-15"/>
          <w:sz w:val="20"/>
        </w:rPr>
        <w:t> </w:t>
      </w:r>
      <w:r>
        <w:rPr>
          <w:i/>
          <w:sz w:val="20"/>
        </w:rPr>
        <w:t>la</w:t>
      </w:r>
      <w:r>
        <w:rPr>
          <w:i/>
          <w:spacing w:val="-15"/>
          <w:sz w:val="20"/>
        </w:rPr>
        <w:t> </w:t>
      </w:r>
      <w:r>
        <w:rPr>
          <w:i/>
          <w:sz w:val="20"/>
        </w:rPr>
        <w:t>Geografía</w:t>
      </w:r>
      <w:r>
        <w:rPr>
          <w:sz w:val="20"/>
        </w:rPr>
        <w:t>.</w:t>
      </w:r>
      <w:r>
        <w:rPr>
          <w:spacing w:val="-15"/>
          <w:sz w:val="20"/>
        </w:rPr>
        <w:t> </w:t>
      </w:r>
      <w:r>
        <w:rPr>
          <w:sz w:val="20"/>
        </w:rPr>
        <w:t>Longman</w:t>
      </w:r>
      <w:r>
        <w:rPr>
          <w:spacing w:val="-15"/>
          <w:sz w:val="20"/>
        </w:rPr>
        <w:t> </w:t>
      </w:r>
      <w:r>
        <w:rPr>
          <w:sz w:val="20"/>
        </w:rPr>
        <w:t>Group</w:t>
      </w:r>
      <w:r>
        <w:rPr>
          <w:spacing w:val="-15"/>
          <w:sz w:val="20"/>
        </w:rPr>
        <w:t> </w:t>
      </w:r>
      <w:r>
        <w:rPr>
          <w:sz w:val="20"/>
        </w:rPr>
        <w:t>UK.</w:t>
      </w:r>
      <w:r>
        <w:rPr>
          <w:spacing w:val="-15"/>
          <w:sz w:val="20"/>
        </w:rPr>
        <w:t> </w:t>
      </w:r>
      <w:r>
        <w:rPr>
          <w:sz w:val="20"/>
        </w:rPr>
        <w:t>Ediciones</w:t>
      </w:r>
      <w:r>
        <w:rPr>
          <w:spacing w:val="-15"/>
          <w:sz w:val="20"/>
        </w:rPr>
        <w:t> </w:t>
      </w:r>
      <w:r>
        <w:rPr>
          <w:sz w:val="20"/>
        </w:rPr>
        <w:t>Cátedra,</w:t>
      </w:r>
      <w:r>
        <w:rPr>
          <w:spacing w:val="-15"/>
          <w:sz w:val="20"/>
        </w:rPr>
        <w:t> </w:t>
      </w:r>
      <w:r>
        <w:rPr>
          <w:sz w:val="20"/>
        </w:rPr>
        <w:t>S.A. Madrid,</w:t>
      </w:r>
      <w:r>
        <w:rPr>
          <w:spacing w:val="7"/>
          <w:sz w:val="20"/>
        </w:rPr>
        <w:t> </w:t>
      </w:r>
      <w:r>
        <w:rPr>
          <w:sz w:val="20"/>
        </w:rPr>
        <w:t>España.</w:t>
      </w:r>
    </w:p>
    <w:p>
      <w:pPr>
        <w:pStyle w:val="BodyText"/>
        <w:spacing w:before="8"/>
        <w:rPr>
          <w:sz w:val="17"/>
        </w:rPr>
      </w:pPr>
    </w:p>
    <w:p>
      <w:pPr>
        <w:pStyle w:val="Heading1"/>
        <w:ind w:right="-7"/>
      </w:pPr>
      <w:r>
        <w:rPr/>
        <w:t>REFERENCIAS POR INTERNET.</w:t>
      </w:r>
    </w:p>
    <w:p>
      <w:pPr>
        <w:pStyle w:val="BodyText"/>
        <w:rPr>
          <w:b/>
          <w:sz w:val="21"/>
        </w:rPr>
      </w:pPr>
    </w:p>
    <w:p>
      <w:pPr>
        <w:pStyle w:val="BodyText"/>
        <w:spacing w:line="249" w:lineRule="auto"/>
        <w:ind w:left="753" w:hanging="624"/>
        <w:jc w:val="both"/>
      </w:pPr>
      <w:r>
        <w:rPr/>
        <w:t>Gobierno</w:t>
      </w:r>
      <w:r>
        <w:rPr>
          <w:spacing w:val="-17"/>
        </w:rPr>
        <w:t> </w:t>
      </w:r>
      <w:r>
        <w:rPr/>
        <w:t>Federal</w:t>
      </w:r>
      <w:r>
        <w:rPr>
          <w:spacing w:val="-17"/>
        </w:rPr>
        <w:t> </w:t>
      </w:r>
      <w:r>
        <w:rPr/>
        <w:t>de</w:t>
      </w:r>
      <w:r>
        <w:rPr>
          <w:spacing w:val="-17"/>
        </w:rPr>
        <w:t> </w:t>
      </w:r>
      <w:r>
        <w:rPr/>
        <w:t>México.</w:t>
      </w:r>
      <w:r>
        <w:rPr>
          <w:spacing w:val="-17"/>
        </w:rPr>
        <w:t> </w:t>
      </w:r>
      <w:r>
        <w:rPr/>
        <w:t>Secretaria</w:t>
      </w:r>
      <w:r>
        <w:rPr>
          <w:spacing w:val="-17"/>
        </w:rPr>
        <w:t> </w:t>
      </w:r>
      <w:r>
        <w:rPr/>
        <w:t>de</w:t>
      </w:r>
      <w:r>
        <w:rPr>
          <w:spacing w:val="-17"/>
        </w:rPr>
        <w:t> </w:t>
      </w:r>
      <w:r>
        <w:rPr/>
        <w:t>Salud</w:t>
      </w:r>
      <w:r>
        <w:rPr>
          <w:spacing w:val="-17"/>
        </w:rPr>
        <w:t> </w:t>
      </w:r>
      <w:r>
        <w:rPr/>
        <w:t>(SS).</w:t>
      </w:r>
      <w:r>
        <w:rPr>
          <w:spacing w:val="-17"/>
        </w:rPr>
        <w:t> </w:t>
      </w:r>
      <w:r>
        <w:rPr/>
        <w:t>Sistema</w:t>
      </w:r>
      <w:r>
        <w:rPr>
          <w:spacing w:val="-17"/>
        </w:rPr>
        <w:t> </w:t>
      </w:r>
      <w:r>
        <w:rPr/>
        <w:t>Nacional</w:t>
      </w:r>
      <w:r>
        <w:rPr>
          <w:spacing w:val="-17"/>
        </w:rPr>
        <w:t> </w:t>
      </w:r>
      <w:r>
        <w:rPr/>
        <w:t>de</w:t>
      </w:r>
      <w:r>
        <w:rPr>
          <w:spacing w:val="-17"/>
        </w:rPr>
        <w:t> </w:t>
      </w:r>
      <w:r>
        <w:rPr/>
        <w:t>Información </w:t>
      </w:r>
      <w:r>
        <w:rPr>
          <w:w w:val="105"/>
        </w:rPr>
        <w:t>de</w:t>
      </w:r>
      <w:r>
        <w:rPr>
          <w:spacing w:val="-7"/>
          <w:w w:val="105"/>
        </w:rPr>
        <w:t> </w:t>
      </w:r>
      <w:r>
        <w:rPr>
          <w:w w:val="105"/>
        </w:rPr>
        <w:t>salud</w:t>
      </w:r>
      <w:r>
        <w:rPr>
          <w:spacing w:val="-7"/>
          <w:w w:val="105"/>
        </w:rPr>
        <w:t> </w:t>
      </w:r>
      <w:r>
        <w:rPr>
          <w:w w:val="105"/>
        </w:rPr>
        <w:t>(SINAIS)</w:t>
      </w:r>
      <w:r>
        <w:rPr>
          <w:spacing w:val="-7"/>
          <w:w w:val="105"/>
        </w:rPr>
        <w:t> </w:t>
      </w:r>
      <w:r>
        <w:rPr>
          <w:w w:val="105"/>
        </w:rPr>
        <w:t>Cubo</w:t>
      </w:r>
      <w:r>
        <w:rPr>
          <w:spacing w:val="-7"/>
          <w:w w:val="105"/>
        </w:rPr>
        <w:t> </w:t>
      </w:r>
      <w:r>
        <w:rPr>
          <w:w w:val="105"/>
        </w:rPr>
        <w:t>de</w:t>
      </w:r>
      <w:r>
        <w:rPr>
          <w:spacing w:val="-7"/>
          <w:w w:val="105"/>
        </w:rPr>
        <w:t> </w:t>
      </w:r>
      <w:r>
        <w:rPr>
          <w:w w:val="105"/>
        </w:rPr>
        <w:t>defunciones</w:t>
      </w:r>
      <w:r>
        <w:rPr>
          <w:spacing w:val="-7"/>
          <w:w w:val="105"/>
        </w:rPr>
        <w:t> </w:t>
      </w:r>
      <w:r>
        <w:rPr>
          <w:w w:val="105"/>
        </w:rPr>
        <w:t>1979-2009.</w:t>
      </w:r>
      <w:r>
        <w:rPr>
          <w:spacing w:val="-7"/>
          <w:w w:val="105"/>
        </w:rPr>
        <w:t> </w:t>
      </w:r>
      <w:r>
        <w:rPr>
          <w:w w:val="105"/>
        </w:rPr>
        <w:t>[Documento</w:t>
      </w:r>
      <w:r>
        <w:rPr>
          <w:spacing w:val="-7"/>
          <w:w w:val="105"/>
        </w:rPr>
        <w:t> </w:t>
      </w:r>
      <w:r>
        <w:rPr>
          <w:w w:val="105"/>
        </w:rPr>
        <w:t>en</w:t>
      </w:r>
      <w:r>
        <w:rPr>
          <w:spacing w:val="-7"/>
          <w:w w:val="105"/>
        </w:rPr>
        <w:t> </w:t>
      </w:r>
      <w:r>
        <w:rPr>
          <w:w w:val="105"/>
        </w:rPr>
        <w:t>internet] 2010</w:t>
      </w:r>
      <w:r>
        <w:rPr>
          <w:spacing w:val="-37"/>
          <w:w w:val="105"/>
        </w:rPr>
        <w:t> </w:t>
      </w:r>
      <w:r>
        <w:rPr>
          <w:w w:val="105"/>
        </w:rPr>
        <w:t>[Consultada</w:t>
      </w:r>
      <w:r>
        <w:rPr>
          <w:spacing w:val="-37"/>
          <w:w w:val="105"/>
        </w:rPr>
        <w:t> </w:t>
      </w:r>
      <w:r>
        <w:rPr>
          <w:w w:val="105"/>
        </w:rPr>
        <w:t>2010</w:t>
      </w:r>
      <w:r>
        <w:rPr>
          <w:spacing w:val="-37"/>
          <w:w w:val="105"/>
        </w:rPr>
        <w:t> </w:t>
      </w:r>
      <w:r>
        <w:rPr>
          <w:w w:val="105"/>
        </w:rPr>
        <w:t>noviembre</w:t>
      </w:r>
      <w:r>
        <w:rPr>
          <w:spacing w:val="-37"/>
          <w:w w:val="105"/>
        </w:rPr>
        <w:t> </w:t>
      </w:r>
      <w:r>
        <w:rPr>
          <w:w w:val="105"/>
        </w:rPr>
        <w:t>20].</w:t>
      </w:r>
      <w:r>
        <w:rPr>
          <w:spacing w:val="-37"/>
          <w:w w:val="105"/>
        </w:rPr>
        <w:t> </w:t>
      </w:r>
      <w:r>
        <w:rPr>
          <w:w w:val="105"/>
        </w:rPr>
        <w:t>Disponible</w:t>
      </w:r>
      <w:r>
        <w:rPr>
          <w:spacing w:val="-37"/>
          <w:w w:val="105"/>
        </w:rPr>
        <w:t> </w:t>
      </w:r>
      <w:r>
        <w:rPr>
          <w:w w:val="105"/>
        </w:rPr>
        <w:t>en:</w:t>
      </w:r>
      <w:r>
        <w:rPr>
          <w:spacing w:val="-37"/>
          <w:w w:val="105"/>
        </w:rPr>
        <w:t> </w:t>
      </w:r>
      <w:hyperlink r:id="rId416">
        <w:r>
          <w:rPr>
            <w:w w:val="105"/>
          </w:rPr>
          <w:t>http://dgis.salud.gob.mx/</w:t>
        </w:r>
      </w:hyperlink>
      <w:r>
        <w:rPr>
          <w:w w:val="105"/>
        </w:rPr>
        <w:t> ó</w:t>
      </w:r>
      <w:r>
        <w:rPr>
          <w:spacing w:val="-17"/>
          <w:w w:val="105"/>
        </w:rPr>
        <w:t> </w:t>
      </w:r>
      <w:hyperlink r:id="rId417">
        <w:r>
          <w:rPr>
            <w:color w:val="0077CA"/>
            <w:w w:val="105"/>
            <w:u w:val="single" w:color="0077CA"/>
          </w:rPr>
          <w:t>http://www.salud.gob.mx/</w:t>
        </w:r>
      </w:hyperlink>
      <w:r>
        <w:rPr>
          <w:w w:val="105"/>
        </w:rPr>
        <w:t>.</w:t>
      </w:r>
    </w:p>
    <w:p>
      <w:pPr>
        <w:pStyle w:val="BodyText"/>
        <w:spacing w:before="11"/>
      </w:pPr>
    </w:p>
    <w:p>
      <w:pPr>
        <w:pStyle w:val="BodyText"/>
        <w:spacing w:line="249" w:lineRule="auto"/>
        <w:ind w:left="753" w:hanging="624"/>
        <w:jc w:val="both"/>
      </w:pPr>
      <w:r>
        <w:rPr/>
        <w:t>Instituto Nacional de Estadística y Geografía (INEGI). </w:t>
      </w:r>
      <w:hyperlink r:id="rId418">
        <w:r>
          <w:rPr/>
          <w:t>www.inegi.org.mx/</w:t>
        </w:r>
      </w:hyperlink>
      <w:r>
        <w:rPr/>
        <w:t> Datos consultados en Febrero, 2015.</w:t>
      </w:r>
    </w:p>
    <w:p>
      <w:pPr>
        <w:pStyle w:val="BodyText"/>
        <w:spacing w:before="11"/>
      </w:pPr>
    </w:p>
    <w:p>
      <w:pPr>
        <w:spacing w:line="249" w:lineRule="auto" w:before="0"/>
        <w:ind w:left="753" w:right="0" w:hanging="624"/>
        <w:jc w:val="both"/>
        <w:rPr>
          <w:sz w:val="20"/>
        </w:rPr>
      </w:pPr>
      <w:r>
        <w:rPr>
          <w:sz w:val="20"/>
        </w:rPr>
        <w:t>Organización Panamericana de la Salud, (2000), </w:t>
      </w:r>
      <w:r>
        <w:rPr>
          <w:i/>
          <w:sz w:val="20"/>
        </w:rPr>
        <w:t>Situación de salud en las Américas: </w:t>
      </w:r>
      <w:r>
        <w:rPr>
          <w:i/>
          <w:sz w:val="20"/>
        </w:rPr>
        <w:t>indicadores básicos 1995-1998, </w:t>
      </w:r>
      <w:r>
        <w:rPr>
          <w:sz w:val="20"/>
        </w:rPr>
        <w:t>[en línea], México. (consultado el 09 de junio  de 2004), disponible en Internet </w:t>
      </w:r>
      <w:r>
        <w:rPr>
          <w:i/>
          <w:sz w:val="20"/>
        </w:rPr>
        <w:t>&lt;</w:t>
      </w:r>
      <w:hyperlink r:id="rId419">
        <w:r>
          <w:rPr>
            <w:sz w:val="20"/>
            <w:u w:val="single"/>
          </w:rPr>
          <w:t>http://www.paho.org/Spanish/SHA/indbscvre.</w:t>
        </w:r>
      </w:hyperlink>
      <w:r>
        <w:rPr>
          <w:sz w:val="20"/>
          <w:u w:val="single"/>
        </w:rPr>
        <w:t> htm</w:t>
      </w:r>
      <w:r>
        <w:rPr>
          <w:sz w:val="20"/>
        </w:rPr>
        <w:t>&gt;.</w:t>
      </w:r>
    </w:p>
    <w:p>
      <w:pPr>
        <w:pStyle w:val="BodyText"/>
        <w:spacing w:before="11"/>
      </w:pPr>
    </w:p>
    <w:p>
      <w:pPr>
        <w:pStyle w:val="BodyText"/>
        <w:spacing w:line="249" w:lineRule="auto"/>
        <w:ind w:left="753" w:hanging="624"/>
        <w:jc w:val="both"/>
      </w:pPr>
      <w:r>
        <w:rPr/>
        <w:t>Santana</w:t>
      </w:r>
      <w:r>
        <w:rPr>
          <w:spacing w:val="-27"/>
        </w:rPr>
        <w:t> </w:t>
      </w:r>
      <w:r>
        <w:rPr/>
        <w:t>M.,</w:t>
      </w:r>
      <w:r>
        <w:rPr>
          <w:spacing w:val="-27"/>
        </w:rPr>
        <w:t> </w:t>
      </w:r>
      <w:r>
        <w:rPr/>
        <w:t>Rosales</w:t>
      </w:r>
      <w:r>
        <w:rPr>
          <w:spacing w:val="-27"/>
        </w:rPr>
        <w:t> </w:t>
      </w:r>
      <w:r>
        <w:rPr/>
        <w:t>E.,</w:t>
      </w:r>
      <w:r>
        <w:rPr>
          <w:spacing w:val="-27"/>
        </w:rPr>
        <w:t> </w:t>
      </w:r>
      <w:r>
        <w:rPr/>
        <w:t>Manzano</w:t>
      </w:r>
      <w:r>
        <w:rPr>
          <w:spacing w:val="-27"/>
        </w:rPr>
        <w:t> </w:t>
      </w:r>
      <w:r>
        <w:rPr/>
        <w:t>L.,</w:t>
      </w:r>
      <w:r>
        <w:rPr>
          <w:spacing w:val="-27"/>
        </w:rPr>
        <w:t> </w:t>
      </w:r>
      <w:r>
        <w:rPr/>
        <w:t>Santana</w:t>
      </w:r>
      <w:r>
        <w:rPr>
          <w:spacing w:val="-27"/>
        </w:rPr>
        <w:t> </w:t>
      </w:r>
      <w:r>
        <w:rPr/>
        <w:t>G.,</w:t>
      </w:r>
      <w:r>
        <w:rPr>
          <w:spacing w:val="-27"/>
        </w:rPr>
        <w:t> </w:t>
      </w:r>
      <w:r>
        <w:rPr/>
        <w:t>y</w:t>
      </w:r>
      <w:r>
        <w:rPr>
          <w:spacing w:val="-27"/>
        </w:rPr>
        <w:t> </w:t>
      </w:r>
      <w:r>
        <w:rPr/>
        <w:t>Pineda</w:t>
      </w:r>
      <w:r>
        <w:rPr>
          <w:spacing w:val="-27"/>
        </w:rPr>
        <w:t> </w:t>
      </w:r>
      <w:r>
        <w:rPr/>
        <w:t>N.</w:t>
      </w:r>
      <w:r>
        <w:rPr>
          <w:spacing w:val="-27"/>
        </w:rPr>
        <w:t> </w:t>
      </w:r>
      <w:r>
        <w:rPr/>
        <w:t>(2013).</w:t>
      </w:r>
      <w:r>
        <w:rPr>
          <w:spacing w:val="-27"/>
        </w:rPr>
        <w:t> </w:t>
      </w:r>
      <w:r>
        <w:rPr/>
        <w:t>Las</w:t>
      </w:r>
      <w:r>
        <w:rPr>
          <w:spacing w:val="-27"/>
        </w:rPr>
        <w:t> </w:t>
      </w:r>
      <w:r>
        <w:rPr/>
        <w:t>Geotecnologías en la construcción de ciudades saludables: Zona Metropolitana de Toluca, México.</w:t>
      </w:r>
      <w:r>
        <w:rPr>
          <w:spacing w:val="-5"/>
        </w:rPr>
        <w:t> </w:t>
      </w:r>
      <w:r>
        <w:rPr/>
        <w:t>En</w:t>
      </w:r>
      <w:r>
        <w:rPr>
          <w:spacing w:val="-5"/>
        </w:rPr>
        <w:t> </w:t>
      </w:r>
      <w:r>
        <w:rPr/>
        <w:t>la</w:t>
      </w:r>
      <w:r>
        <w:rPr>
          <w:spacing w:val="-5"/>
        </w:rPr>
        <w:t> </w:t>
      </w:r>
      <w:r>
        <w:rPr/>
        <w:t>revista</w:t>
      </w:r>
      <w:r>
        <w:rPr>
          <w:spacing w:val="-5"/>
        </w:rPr>
        <w:t> </w:t>
      </w:r>
      <w:r>
        <w:rPr/>
        <w:t>GEOSIG</w:t>
      </w:r>
      <w:r>
        <w:rPr>
          <w:spacing w:val="-5"/>
        </w:rPr>
        <w:t> </w:t>
      </w:r>
      <w:r>
        <w:rPr/>
        <w:t>(Geografía</w:t>
      </w:r>
      <w:r>
        <w:rPr>
          <w:spacing w:val="-5"/>
        </w:rPr>
        <w:t> </w:t>
      </w:r>
      <w:r>
        <w:rPr/>
        <w:t>y</w:t>
      </w:r>
      <w:r>
        <w:rPr>
          <w:spacing w:val="-5"/>
        </w:rPr>
        <w:t> </w:t>
      </w:r>
      <w:r>
        <w:rPr/>
        <w:t>sistemas</w:t>
      </w:r>
      <w:r>
        <w:rPr>
          <w:spacing w:val="-5"/>
        </w:rPr>
        <w:t> </w:t>
      </w:r>
      <w:r>
        <w:rPr/>
        <w:t>de</w:t>
      </w:r>
      <w:r>
        <w:rPr>
          <w:spacing w:val="-5"/>
        </w:rPr>
        <w:t> </w:t>
      </w:r>
      <w:r>
        <w:rPr/>
        <w:t>información</w:t>
      </w:r>
      <w:r>
        <w:rPr>
          <w:spacing w:val="-5"/>
        </w:rPr>
        <w:t> </w:t>
      </w:r>
      <w:r>
        <w:rPr/>
        <w:t>geográfica)</w:t>
      </w:r>
    </w:p>
    <w:p>
      <w:pPr>
        <w:pStyle w:val="BodyText"/>
        <w:spacing w:line="249" w:lineRule="auto" w:before="76"/>
        <w:ind w:left="753" w:right="126"/>
        <w:jc w:val="both"/>
      </w:pPr>
      <w:r>
        <w:rPr/>
        <w:br w:type="column"/>
      </w:r>
      <w:r>
        <w:rPr/>
        <w:t>Argentina. Latindex. Luján, Año 5, 2013, Sección I: artículos. Pp. 64 – 95. ISSN: 1852-8031.</w:t>
      </w:r>
    </w:p>
    <w:p>
      <w:pPr>
        <w:pStyle w:val="BodyText"/>
        <w:spacing w:before="11"/>
      </w:pPr>
    </w:p>
    <w:p>
      <w:pPr>
        <w:pStyle w:val="BodyText"/>
        <w:spacing w:line="249" w:lineRule="auto"/>
        <w:ind w:left="753" w:right="128" w:hanging="624"/>
        <w:jc w:val="both"/>
      </w:pPr>
      <w:r>
        <w:rPr/>
        <w:t>Santana M., Rosales E., Avendaño A., Santana G., y Pineda N. (2013). Salud y estilos de vida en la zona Mazahua: San Felipe del Progreso, Atlacomulco y Jocotitlán, Estado de México. En la revista Hygeia, ISSN: 1980-1726. Revista Brasileira de Geografía Médica e da Saúde. V.9, N.17, Diciembre. Brasil.  Latindex. PP.29  –</w:t>
      </w:r>
    </w:p>
    <w:p>
      <w:pPr>
        <w:pStyle w:val="BodyText"/>
        <w:spacing w:before="1"/>
        <w:ind w:left="753"/>
        <w:jc w:val="both"/>
      </w:pPr>
      <w:r>
        <w:rPr/>
        <w:t>41. </w:t>
      </w:r>
      <w:r>
        <w:rPr>
          <w:spacing w:val="53"/>
        </w:rPr>
        <w:t> </w:t>
      </w:r>
      <w:hyperlink r:id="rId420">
        <w:r>
          <w:rPr/>
          <w:t>Http//www.seer.ufu.br/index.php/hygeia.</w:t>
        </w:r>
      </w:hyperlink>
    </w:p>
    <w:p>
      <w:pPr>
        <w:pStyle w:val="BodyText"/>
        <w:spacing w:before="8"/>
        <w:rPr>
          <w:sz w:val="21"/>
        </w:rPr>
      </w:pPr>
    </w:p>
    <w:p>
      <w:pPr>
        <w:pStyle w:val="BodyText"/>
        <w:spacing w:line="249" w:lineRule="auto"/>
        <w:ind w:left="753" w:right="127" w:hanging="624"/>
        <w:jc w:val="both"/>
      </w:pPr>
      <w:r>
        <w:rPr/>
        <w:t>Rosales E., Santana M., Manzano L. (2015). El Bienestar social un factor determinante para la construcción de una Ciudad Saludable. En Revista Hygeia. Universidad Federal de Uberlandia, Brasil. Junio 2015. Vol. 11. N. 20, 2015. Pp 228 – 239. ISSN 1980 – 1726. .  Latindex.  </w:t>
      </w:r>
      <w:hyperlink r:id="rId420">
        <w:r>
          <w:rPr/>
          <w:t>Http//www.seer.ufu.br/index.php/hygeia</w:t>
        </w:r>
      </w:hyperlink>
    </w:p>
    <w:p>
      <w:pPr>
        <w:pStyle w:val="BodyText"/>
        <w:spacing w:before="11"/>
      </w:pPr>
    </w:p>
    <w:p>
      <w:pPr>
        <w:pStyle w:val="BodyText"/>
        <w:spacing w:line="249" w:lineRule="auto"/>
        <w:ind w:left="753" w:right="128" w:hanging="624"/>
        <w:jc w:val="both"/>
      </w:pPr>
      <w:r>
        <w:rPr/>
        <w:t>Santana</w:t>
      </w:r>
      <w:r>
        <w:rPr>
          <w:spacing w:val="-12"/>
        </w:rPr>
        <w:t> </w:t>
      </w:r>
      <w:r>
        <w:rPr/>
        <w:t>G.,</w:t>
      </w:r>
      <w:r>
        <w:rPr>
          <w:spacing w:val="-12"/>
        </w:rPr>
        <w:t> </w:t>
      </w:r>
      <w:r>
        <w:rPr/>
        <w:t>Aguilar</w:t>
      </w:r>
      <w:r>
        <w:rPr>
          <w:spacing w:val="-12"/>
        </w:rPr>
        <w:t> </w:t>
      </w:r>
      <w:r>
        <w:rPr/>
        <w:t>A.,</w:t>
      </w:r>
      <w:r>
        <w:rPr>
          <w:spacing w:val="-12"/>
        </w:rPr>
        <w:t> </w:t>
      </w:r>
      <w:r>
        <w:rPr/>
        <w:t>y</w:t>
      </w:r>
      <w:r>
        <w:rPr>
          <w:spacing w:val="-12"/>
        </w:rPr>
        <w:t> </w:t>
      </w:r>
      <w:r>
        <w:rPr/>
        <w:t>Santana</w:t>
      </w:r>
      <w:r>
        <w:rPr>
          <w:spacing w:val="-12"/>
        </w:rPr>
        <w:t> </w:t>
      </w:r>
      <w:r>
        <w:rPr/>
        <w:t>M.</w:t>
      </w:r>
      <w:r>
        <w:rPr>
          <w:spacing w:val="-12"/>
        </w:rPr>
        <w:t> </w:t>
      </w:r>
      <w:r>
        <w:rPr/>
        <w:t>(2015).</w:t>
      </w:r>
      <w:r>
        <w:rPr>
          <w:spacing w:val="-12"/>
        </w:rPr>
        <w:t> </w:t>
      </w:r>
      <w:r>
        <w:rPr/>
        <w:t>Falta</w:t>
      </w:r>
      <w:r>
        <w:rPr>
          <w:spacing w:val="-12"/>
        </w:rPr>
        <w:t> </w:t>
      </w:r>
      <w:r>
        <w:rPr/>
        <w:t>de</w:t>
      </w:r>
      <w:r>
        <w:rPr>
          <w:spacing w:val="-12"/>
        </w:rPr>
        <w:t> </w:t>
      </w:r>
      <w:r>
        <w:rPr/>
        <w:t>cobertura</w:t>
      </w:r>
      <w:r>
        <w:rPr>
          <w:spacing w:val="-12"/>
        </w:rPr>
        <w:t> </w:t>
      </w:r>
      <w:r>
        <w:rPr/>
        <w:t>de</w:t>
      </w:r>
      <w:r>
        <w:rPr>
          <w:spacing w:val="-12"/>
        </w:rPr>
        <w:t> </w:t>
      </w:r>
      <w:r>
        <w:rPr/>
        <w:t>los</w:t>
      </w:r>
      <w:r>
        <w:rPr>
          <w:spacing w:val="-12"/>
        </w:rPr>
        <w:t> </w:t>
      </w:r>
      <w:r>
        <w:rPr/>
        <w:t>servicios</w:t>
      </w:r>
      <w:r>
        <w:rPr>
          <w:spacing w:val="-12"/>
        </w:rPr>
        <w:t> </w:t>
      </w:r>
      <w:r>
        <w:rPr/>
        <w:t>de</w:t>
      </w:r>
      <w:r>
        <w:rPr>
          <w:spacing w:val="-12"/>
        </w:rPr>
        <w:t> </w:t>
      </w:r>
      <w:r>
        <w:rPr/>
        <w:t>salud y factores de localización óptima.  En la Revista Ciencias Espaciales, </w:t>
      </w:r>
      <w:r>
        <w:rPr>
          <w:spacing w:val="41"/>
        </w:rPr>
        <w:t> </w:t>
      </w:r>
      <w:r>
        <w:rPr/>
        <w:t>Volumen</w:t>
      </w:r>
    </w:p>
    <w:p>
      <w:pPr>
        <w:pStyle w:val="BodyText"/>
        <w:spacing w:line="249" w:lineRule="auto" w:before="1"/>
        <w:ind w:left="753" w:right="127"/>
        <w:jc w:val="both"/>
      </w:pPr>
      <w:r>
        <w:rPr/>
        <w:t>8. Número 1 Primavera, Año 2015 (ISSN 2225-5249). Facultad de Ciencias Espaciales (FACES), Universidad Nacional Autónoma de Honduras. Editorial Universitaria.</w:t>
      </w:r>
    </w:p>
    <w:p>
      <w:pPr>
        <w:pStyle w:val="BodyText"/>
        <w:spacing w:before="11"/>
      </w:pPr>
    </w:p>
    <w:p>
      <w:pPr>
        <w:pStyle w:val="BodyText"/>
        <w:spacing w:line="249" w:lineRule="auto"/>
        <w:ind w:left="753" w:right="127" w:hanging="624"/>
        <w:jc w:val="both"/>
      </w:pPr>
      <w:r>
        <w:rPr/>
        <w:t>Santana</w:t>
      </w:r>
      <w:r>
        <w:rPr>
          <w:spacing w:val="-4"/>
        </w:rPr>
        <w:t> </w:t>
      </w:r>
      <w:r>
        <w:rPr/>
        <w:t>M.,</w:t>
      </w:r>
      <w:r>
        <w:rPr>
          <w:spacing w:val="-4"/>
        </w:rPr>
        <w:t> </w:t>
      </w:r>
      <w:r>
        <w:rPr/>
        <w:t>Rosales</w:t>
      </w:r>
      <w:r>
        <w:rPr>
          <w:spacing w:val="-4"/>
        </w:rPr>
        <w:t> </w:t>
      </w:r>
      <w:r>
        <w:rPr/>
        <w:t>E.,</w:t>
      </w:r>
      <w:r>
        <w:rPr>
          <w:spacing w:val="-4"/>
        </w:rPr>
        <w:t> </w:t>
      </w:r>
      <w:r>
        <w:rPr/>
        <w:t>Manzano</w:t>
      </w:r>
      <w:r>
        <w:rPr>
          <w:spacing w:val="-4"/>
        </w:rPr>
        <w:t> </w:t>
      </w:r>
      <w:r>
        <w:rPr/>
        <w:t>L.,</w:t>
      </w:r>
      <w:r>
        <w:rPr>
          <w:spacing w:val="-4"/>
        </w:rPr>
        <w:t> </w:t>
      </w:r>
      <w:r>
        <w:rPr/>
        <w:t>Santana</w:t>
      </w:r>
      <w:r>
        <w:rPr>
          <w:spacing w:val="-4"/>
        </w:rPr>
        <w:t> </w:t>
      </w:r>
      <w:r>
        <w:rPr/>
        <w:t>G.,</w:t>
      </w:r>
      <w:r>
        <w:rPr>
          <w:spacing w:val="-4"/>
        </w:rPr>
        <w:t> </w:t>
      </w:r>
      <w:r>
        <w:rPr/>
        <w:t>y</w:t>
      </w:r>
      <w:r>
        <w:rPr>
          <w:spacing w:val="-4"/>
        </w:rPr>
        <w:t> </w:t>
      </w:r>
      <w:r>
        <w:rPr/>
        <w:t>Serrano</w:t>
      </w:r>
      <w:r>
        <w:rPr>
          <w:spacing w:val="-4"/>
        </w:rPr>
        <w:t> </w:t>
      </w:r>
      <w:r>
        <w:rPr/>
        <w:t>R.</w:t>
      </w:r>
      <w:r>
        <w:rPr>
          <w:spacing w:val="-4"/>
        </w:rPr>
        <w:t> </w:t>
      </w:r>
      <w:r>
        <w:rPr/>
        <w:t>(2015)</w:t>
      </w:r>
      <w:r>
        <w:rPr>
          <w:spacing w:val="-4"/>
        </w:rPr>
        <w:t> </w:t>
      </w:r>
      <w:r>
        <w:rPr/>
        <w:t>El</w:t>
      </w:r>
      <w:r>
        <w:rPr>
          <w:spacing w:val="-4"/>
        </w:rPr>
        <w:t> </w:t>
      </w:r>
      <w:r>
        <w:rPr/>
        <w:t>ordenamiento territorial y su papel en la construcción de lugares saludables, caso: Zona Metropolitana</w:t>
      </w:r>
      <w:r>
        <w:rPr>
          <w:spacing w:val="-7"/>
        </w:rPr>
        <w:t> </w:t>
      </w:r>
      <w:r>
        <w:rPr/>
        <w:t>de</w:t>
      </w:r>
      <w:r>
        <w:rPr>
          <w:spacing w:val="-7"/>
        </w:rPr>
        <w:t> </w:t>
      </w:r>
      <w:r>
        <w:rPr/>
        <w:t>Toluca,</w:t>
      </w:r>
      <w:r>
        <w:rPr>
          <w:spacing w:val="-7"/>
        </w:rPr>
        <w:t> </w:t>
      </w:r>
      <w:r>
        <w:rPr/>
        <w:t>México.</w:t>
      </w:r>
      <w:r>
        <w:rPr>
          <w:spacing w:val="-7"/>
        </w:rPr>
        <w:t> </w:t>
      </w:r>
      <w:r>
        <w:rPr/>
        <w:t>En</w:t>
      </w:r>
      <w:r>
        <w:rPr>
          <w:spacing w:val="-7"/>
        </w:rPr>
        <w:t> </w:t>
      </w:r>
      <w:r>
        <w:rPr/>
        <w:t>la</w:t>
      </w:r>
      <w:r>
        <w:rPr>
          <w:spacing w:val="-7"/>
        </w:rPr>
        <w:t> </w:t>
      </w:r>
      <w:r>
        <w:rPr/>
        <w:t>Revista</w:t>
      </w:r>
      <w:r>
        <w:rPr>
          <w:spacing w:val="-7"/>
        </w:rPr>
        <w:t> </w:t>
      </w:r>
      <w:r>
        <w:rPr/>
        <w:t>Ciencias</w:t>
      </w:r>
      <w:r>
        <w:rPr>
          <w:spacing w:val="-7"/>
        </w:rPr>
        <w:t> </w:t>
      </w:r>
      <w:r>
        <w:rPr/>
        <w:t>Espaciales,</w:t>
      </w:r>
      <w:r>
        <w:rPr>
          <w:spacing w:val="-7"/>
        </w:rPr>
        <w:t> </w:t>
      </w:r>
      <w:r>
        <w:rPr/>
        <w:t>Volumen</w:t>
      </w:r>
      <w:r>
        <w:rPr>
          <w:spacing w:val="-7"/>
        </w:rPr>
        <w:t> </w:t>
      </w:r>
      <w:r>
        <w:rPr/>
        <w:t>8. Número 2 Otoño, Año 2015 (ISSN 2225-5249). Facultad de Ciencias</w:t>
      </w:r>
      <w:r>
        <w:rPr>
          <w:spacing w:val="-34"/>
        </w:rPr>
        <w:t> </w:t>
      </w:r>
      <w:r>
        <w:rPr/>
        <w:t>Espaciales (FACES), Universidad Nacional Autónoma de Honduras. Editorial</w:t>
      </w:r>
      <w:r>
        <w:rPr>
          <w:spacing w:val="-26"/>
        </w:rPr>
        <w:t> </w:t>
      </w:r>
      <w:r>
        <w:rPr/>
        <w:t>Universitaria.</w:t>
      </w:r>
    </w:p>
    <w:p>
      <w:pPr>
        <w:pStyle w:val="BodyText"/>
        <w:spacing w:before="11"/>
      </w:pPr>
    </w:p>
    <w:p>
      <w:pPr>
        <w:spacing w:line="249" w:lineRule="auto" w:before="0"/>
        <w:ind w:left="753" w:right="127" w:hanging="624"/>
        <w:jc w:val="both"/>
        <w:rPr>
          <w:sz w:val="20"/>
        </w:rPr>
      </w:pPr>
      <w:r>
        <w:rPr>
          <w:sz w:val="20"/>
        </w:rPr>
        <w:t>Santana M., Santana G., Pineda N., Rosales E., Hernández E. y Serrano R. (2016). </w:t>
      </w:r>
      <w:r>
        <w:rPr>
          <w:b/>
          <w:sz w:val="20"/>
        </w:rPr>
        <w:t>Observatorio geográfico de salud y riesgos en México: mortalidad</w:t>
      </w:r>
      <w:r>
        <w:rPr>
          <w:sz w:val="20"/>
        </w:rPr>
        <w:t>. Pontificia Universidad Católica de Valparaiso, Chile.      </w:t>
      </w:r>
      <w:r>
        <w:rPr>
          <w:spacing w:val="51"/>
          <w:sz w:val="20"/>
        </w:rPr>
        <w:t> </w:t>
      </w:r>
      <w:r>
        <w:rPr>
          <w:sz w:val="20"/>
        </w:rPr>
        <w:t>ISSN 0718 - 9877 [ 03.</w:t>
      </w:r>
    </w:p>
    <w:p>
      <w:pPr>
        <w:pStyle w:val="BodyText"/>
        <w:spacing w:line="249" w:lineRule="auto" w:before="1"/>
        <w:ind w:left="753" w:right="129"/>
        <w:jc w:val="both"/>
      </w:pPr>
      <w:r>
        <w:rPr/>
        <w:t>– 13. ]. Disponible en </w:t>
      </w:r>
      <w:hyperlink r:id="rId421">
        <w:r>
          <w:rPr>
            <w:u w:val="single"/>
          </w:rPr>
          <w:t>http://geografiapucv.cl/2016/01/numero-52-de-la-revista- </w:t>
        </w:r>
      </w:hyperlink>
      <w:hyperlink r:id="rId421">
        <w:r>
          <w:rPr>
            <w:u w:val="single"/>
          </w:rPr>
          <w:t>geografica-de-valparaiso/</w:t>
        </w:r>
      </w:hyperlink>
    </w:p>
    <w:p>
      <w:pPr>
        <w:pStyle w:val="BodyText"/>
        <w:spacing w:before="11"/>
      </w:pPr>
    </w:p>
    <w:p>
      <w:pPr>
        <w:pStyle w:val="BodyText"/>
        <w:spacing w:line="249" w:lineRule="auto"/>
        <w:ind w:left="753" w:right="127" w:hanging="624"/>
        <w:jc w:val="both"/>
      </w:pPr>
      <w:r>
        <w:rPr/>
        <w:t>Sistema Nacional de Información en Salud (SINAIS), </w:t>
      </w:r>
      <w:hyperlink r:id="rId422">
        <w:r>
          <w:rPr/>
          <w:t>www.dgis.salud.gob.mx/</w:t>
        </w:r>
      </w:hyperlink>
      <w:r>
        <w:rPr/>
        <w:t> contenidos/sinais/e_mortalidadgeneral.html Datos consultados en febrero, 2015</w:t>
      </w:r>
    </w:p>
    <w:p>
      <w:pPr>
        <w:pStyle w:val="BodyText"/>
        <w:spacing w:before="11"/>
      </w:pPr>
    </w:p>
    <w:p>
      <w:pPr>
        <w:spacing w:line="249" w:lineRule="auto" w:before="0"/>
        <w:ind w:left="753" w:right="127" w:hanging="624"/>
        <w:jc w:val="both"/>
        <w:rPr>
          <w:sz w:val="20"/>
        </w:rPr>
      </w:pPr>
      <w:r>
        <w:rPr>
          <w:sz w:val="20"/>
        </w:rPr>
        <w:t>World Health Organization (WHO, 1997), </w:t>
      </w:r>
      <w:r>
        <w:rPr>
          <w:i/>
          <w:sz w:val="20"/>
        </w:rPr>
        <w:t>The World Health Report 1997. Executive </w:t>
      </w:r>
      <w:r>
        <w:rPr>
          <w:i/>
          <w:sz w:val="20"/>
        </w:rPr>
        <w:t>summary: Conquering Suffering, enriching humanity. Geneve: WHO, 1997</w:t>
      </w:r>
      <w:r>
        <w:rPr>
          <w:sz w:val="20"/>
        </w:rPr>
        <w:t>. Documento en línea, consultado el 20 de junio de 2004, disponible en    Internet</w:t>
      </w:r>
    </w:p>
    <w:p>
      <w:pPr>
        <w:pStyle w:val="BodyText"/>
        <w:spacing w:before="1"/>
        <w:ind w:left="753"/>
        <w:jc w:val="both"/>
      </w:pPr>
      <w:r>
        <w:rPr/>
        <w:t>&lt;</w:t>
      </w:r>
      <w:r>
        <w:rPr>
          <w:u w:val="single"/>
        </w:rPr>
        <w:t>hhtp//   </w:t>
      </w:r>
      <w:hyperlink r:id="rId423">
        <w:r>
          <w:rPr>
            <w:u w:val="single"/>
          </w:rPr>
          <w:t>www.who.org/whr/1997/exsum97e.html</w:t>
        </w:r>
      </w:hyperlink>
      <w:r>
        <w:rPr/>
        <w:t>&gt;.</w:t>
      </w:r>
    </w:p>
    <w:p>
      <w:pPr>
        <w:spacing w:after="0"/>
        <w:jc w:val="both"/>
        <w:sectPr>
          <w:type w:val="continuous"/>
          <w:pgSz w:w="18830" w:h="12760" w:orient="landscape"/>
          <w:pgMar w:top="1420" w:bottom="280" w:left="720" w:right="720"/>
          <w:cols w:num="2" w:equalWidth="0">
            <w:col w:w="7842" w:space="1570"/>
            <w:col w:w="7978"/>
          </w:cols>
        </w:sectPr>
      </w:pPr>
    </w:p>
    <w:p>
      <w:pPr>
        <w:pStyle w:val="BodyText"/>
        <w:spacing w:before="10"/>
        <w:rPr>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10597" w:right="156" w:hanging="2591"/>
      </w:pPr>
      <w:r>
        <w:rPr/>
        <w:t>Metodologias para evaluación de impactos de la expansión metropolitana</w:t>
      </w:r>
    </w:p>
    <w:p>
      <w:pPr>
        <w:pStyle w:val="BodyText"/>
        <w:spacing w:before="5"/>
        <w:rPr>
          <w:b/>
          <w:sz w:val="17"/>
        </w:rPr>
      </w:pPr>
    </w:p>
    <w:p>
      <w:pPr>
        <w:spacing w:after="0"/>
        <w:rPr>
          <w:sz w:val="17"/>
        </w:rPr>
        <w:sectPr>
          <w:headerReference w:type="default" r:id="rId424"/>
          <w:footerReference w:type="default" r:id="rId425"/>
          <w:pgSz w:w="18830" w:h="12760" w:orient="landscape"/>
          <w:pgMar w:header="482" w:footer="0" w:top="680" w:bottom="0" w:left="2720" w:right="720"/>
        </w:sect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9"/>
        <w:rPr>
          <w:b/>
          <w:sz w:val="29"/>
        </w:rPr>
      </w:pPr>
    </w:p>
    <w:p>
      <w:pPr>
        <w:spacing w:before="0"/>
        <w:ind w:left="0" w:right="0" w:firstLine="0"/>
        <w:jc w:val="right"/>
        <w:rPr>
          <w:b/>
          <w:sz w:val="24"/>
        </w:rPr>
      </w:pPr>
      <w:r>
        <w:rPr>
          <w:b/>
          <w:w w:val="95"/>
          <w:sz w:val="24"/>
        </w:rPr>
        <w:t>Introducción</w:t>
      </w:r>
    </w:p>
    <w:p>
      <w:pPr>
        <w:spacing w:line="312" w:lineRule="auto" w:before="81"/>
        <w:ind w:left="4186" w:right="128" w:hanging="119"/>
        <w:jc w:val="both"/>
        <w:rPr>
          <w:sz w:val="16"/>
        </w:rPr>
      </w:pPr>
      <w:r>
        <w:rPr/>
        <w:br w:type="column"/>
      </w:r>
      <w:r>
        <w:rPr>
          <w:sz w:val="16"/>
        </w:rPr>
        <w:t>Rosa María Sánchez</w:t>
      </w:r>
      <w:r>
        <w:rPr>
          <w:spacing w:val="-29"/>
          <w:sz w:val="16"/>
        </w:rPr>
        <w:t> </w:t>
      </w:r>
      <w:r>
        <w:rPr>
          <w:sz w:val="16"/>
        </w:rPr>
        <w:t>Nájera Guadalupe Hoyos Castillo Salvador Adame</w:t>
      </w:r>
      <w:r>
        <w:rPr>
          <w:spacing w:val="-7"/>
          <w:sz w:val="16"/>
        </w:rPr>
        <w:t> </w:t>
      </w:r>
      <w:r>
        <w:rPr>
          <w:sz w:val="16"/>
        </w:rPr>
        <w:t>Martínez</w:t>
      </w:r>
    </w:p>
    <w:p>
      <w:pPr>
        <w:spacing w:line="312" w:lineRule="auto" w:before="2"/>
        <w:ind w:left="2816" w:right="128" w:firstLine="281"/>
        <w:jc w:val="right"/>
        <w:rPr>
          <w:sz w:val="16"/>
        </w:rPr>
      </w:pPr>
      <w:r>
        <w:rPr>
          <w:sz w:val="16"/>
        </w:rPr>
        <w:t>Facultad de Planeación Urbana y Reginal</w:t>
      </w:r>
      <w:r>
        <w:rPr>
          <w:w w:val="98"/>
          <w:sz w:val="16"/>
        </w:rPr>
        <w:t> </w:t>
      </w:r>
      <w:r>
        <w:rPr>
          <w:sz w:val="16"/>
        </w:rPr>
        <w:t>Universidad Autónoma del Estado de México</w:t>
      </w:r>
    </w:p>
    <w:p>
      <w:pPr>
        <w:spacing w:before="2"/>
        <w:ind w:left="0" w:right="128" w:firstLine="0"/>
        <w:jc w:val="right"/>
        <w:rPr>
          <w:sz w:val="16"/>
        </w:rPr>
      </w:pPr>
      <w:hyperlink r:id="rId426">
        <w:r>
          <w:rPr>
            <w:w w:val="95"/>
            <w:sz w:val="16"/>
          </w:rPr>
          <w:t>snrm39@yahoo.com.mx</w:t>
        </w:r>
      </w:hyperlink>
    </w:p>
    <w:p>
      <w:pPr>
        <w:spacing w:after="0"/>
        <w:jc w:val="right"/>
        <w:rPr>
          <w:sz w:val="16"/>
        </w:rPr>
        <w:sectPr>
          <w:type w:val="continuous"/>
          <w:pgSz w:w="18830" w:h="12760" w:orient="landscape"/>
          <w:pgMar w:top="1420" w:bottom="280" w:left="2720" w:right="720"/>
          <w:cols w:num="2" w:equalWidth="0">
            <w:col w:w="9165" w:space="40"/>
            <w:col w:w="6185"/>
          </w:cols>
        </w:sectPr>
      </w:pPr>
    </w:p>
    <w:p>
      <w:pPr>
        <w:pStyle w:val="BodyText"/>
        <w:spacing w:before="4"/>
        <w:rPr>
          <w:sz w:val="14"/>
        </w:rPr>
      </w:pPr>
    </w:p>
    <w:p>
      <w:pPr>
        <w:pStyle w:val="BodyText"/>
        <w:spacing w:line="249" w:lineRule="auto" w:before="76"/>
        <w:ind w:left="7541" w:right="127" w:firstLine="170"/>
        <w:jc w:val="both"/>
      </w:pPr>
      <w:r>
        <w:rPr/>
        <w:t>El último cuarto del siglo XX y lo que va del presente siglo, constituye un periodo particularmente complejo ya que aflora una amplia variedad de procesos y formas urbanas</w:t>
      </w:r>
      <w:r>
        <w:rPr>
          <w:spacing w:val="-14"/>
        </w:rPr>
        <w:t> </w:t>
      </w:r>
      <w:r>
        <w:rPr/>
        <w:t>que</w:t>
      </w:r>
      <w:r>
        <w:rPr>
          <w:spacing w:val="-14"/>
        </w:rPr>
        <w:t> </w:t>
      </w:r>
      <w:r>
        <w:rPr/>
        <w:t>se</w:t>
      </w:r>
      <w:r>
        <w:rPr>
          <w:spacing w:val="-14"/>
        </w:rPr>
        <w:t> </w:t>
      </w:r>
      <w:r>
        <w:rPr/>
        <w:t>vinculan</w:t>
      </w:r>
      <w:r>
        <w:rPr>
          <w:spacing w:val="-14"/>
        </w:rPr>
        <w:t> </w:t>
      </w:r>
      <w:r>
        <w:rPr/>
        <w:t>con</w:t>
      </w:r>
      <w:r>
        <w:rPr>
          <w:spacing w:val="-14"/>
        </w:rPr>
        <w:t> </w:t>
      </w:r>
      <w:r>
        <w:rPr/>
        <w:t>los</w:t>
      </w:r>
      <w:r>
        <w:rPr>
          <w:spacing w:val="-14"/>
        </w:rPr>
        <w:t> </w:t>
      </w:r>
      <w:r>
        <w:rPr/>
        <w:t>paradigmas</w:t>
      </w:r>
      <w:r>
        <w:rPr>
          <w:spacing w:val="-14"/>
        </w:rPr>
        <w:t> </w:t>
      </w:r>
      <w:r>
        <w:rPr/>
        <w:t>de</w:t>
      </w:r>
      <w:r>
        <w:rPr>
          <w:spacing w:val="-14"/>
        </w:rPr>
        <w:t> </w:t>
      </w:r>
      <w:r>
        <w:rPr/>
        <w:t>la</w:t>
      </w:r>
      <w:r>
        <w:rPr>
          <w:spacing w:val="-14"/>
        </w:rPr>
        <w:t> </w:t>
      </w:r>
      <w:r>
        <w:rPr/>
        <w:t>economía,</w:t>
      </w:r>
      <w:r>
        <w:rPr>
          <w:spacing w:val="-14"/>
        </w:rPr>
        <w:t> </w:t>
      </w:r>
      <w:r>
        <w:rPr/>
        <w:t>la</w:t>
      </w:r>
      <w:r>
        <w:rPr>
          <w:spacing w:val="-14"/>
        </w:rPr>
        <w:t> </w:t>
      </w:r>
      <w:r>
        <w:rPr/>
        <w:t>comunicación</w:t>
      </w:r>
      <w:r>
        <w:rPr>
          <w:spacing w:val="-14"/>
        </w:rPr>
        <w:t> </w:t>
      </w:r>
      <w:r>
        <w:rPr/>
        <w:t>y</w:t>
      </w:r>
      <w:r>
        <w:rPr>
          <w:spacing w:val="-14"/>
        </w:rPr>
        <w:t> </w:t>
      </w:r>
      <w:r>
        <w:rPr/>
        <w:t>el</w:t>
      </w:r>
      <w:r>
        <w:rPr>
          <w:spacing w:val="-14"/>
        </w:rPr>
        <w:t> </w:t>
      </w:r>
      <w:r>
        <w:rPr/>
        <w:t>medio ambiente; en algunos casos se combinan modalidades tradicionales con situaciones nuevas,</w:t>
      </w:r>
      <w:r>
        <w:rPr>
          <w:spacing w:val="-8"/>
        </w:rPr>
        <w:t> </w:t>
      </w:r>
      <w:r>
        <w:rPr/>
        <w:t>pero</w:t>
      </w:r>
      <w:r>
        <w:rPr>
          <w:spacing w:val="-8"/>
        </w:rPr>
        <w:t> </w:t>
      </w:r>
      <w:r>
        <w:rPr/>
        <w:t>en</w:t>
      </w:r>
      <w:r>
        <w:rPr>
          <w:spacing w:val="-8"/>
        </w:rPr>
        <w:t> </w:t>
      </w:r>
      <w:r>
        <w:rPr/>
        <w:t>otros</w:t>
      </w:r>
      <w:r>
        <w:rPr>
          <w:spacing w:val="-8"/>
        </w:rPr>
        <w:t> </w:t>
      </w:r>
      <w:r>
        <w:rPr/>
        <w:t>surgen</w:t>
      </w:r>
      <w:r>
        <w:rPr>
          <w:spacing w:val="-8"/>
        </w:rPr>
        <w:t> </w:t>
      </w:r>
      <w:r>
        <w:rPr/>
        <w:t>y</w:t>
      </w:r>
      <w:r>
        <w:rPr>
          <w:spacing w:val="-8"/>
        </w:rPr>
        <w:t> </w:t>
      </w:r>
      <w:r>
        <w:rPr/>
        <w:t>se</w:t>
      </w:r>
      <w:r>
        <w:rPr>
          <w:spacing w:val="-8"/>
        </w:rPr>
        <w:t> </w:t>
      </w:r>
      <w:r>
        <w:rPr/>
        <w:t>desarrollan</w:t>
      </w:r>
      <w:r>
        <w:rPr>
          <w:spacing w:val="-8"/>
        </w:rPr>
        <w:t> </w:t>
      </w:r>
      <w:r>
        <w:rPr/>
        <w:t>formas</w:t>
      </w:r>
      <w:r>
        <w:rPr>
          <w:spacing w:val="-8"/>
        </w:rPr>
        <w:t> </w:t>
      </w:r>
      <w:r>
        <w:rPr/>
        <w:t>desconocidas</w:t>
      </w:r>
      <w:r>
        <w:rPr>
          <w:spacing w:val="-8"/>
        </w:rPr>
        <w:t> </w:t>
      </w:r>
      <w:r>
        <w:rPr/>
        <w:t>o</w:t>
      </w:r>
      <w:r>
        <w:rPr>
          <w:spacing w:val="-8"/>
        </w:rPr>
        <w:t> </w:t>
      </w:r>
      <w:r>
        <w:rPr/>
        <w:t>inéditas;</w:t>
      </w:r>
      <w:r>
        <w:rPr>
          <w:spacing w:val="41"/>
        </w:rPr>
        <w:t> </w:t>
      </w:r>
      <w:r>
        <w:rPr/>
        <w:t>algunas ciudades se expanden y articulan de manera aleatoria con localidades vecinas y se remodelan grandes regiones metropolitanas en sus dimensiones sociales, económicas y</w:t>
      </w:r>
      <w:r>
        <w:rPr>
          <w:spacing w:val="3"/>
        </w:rPr>
        <w:t> </w:t>
      </w:r>
      <w:r>
        <w:rPr/>
        <w:t>ambientales.</w:t>
      </w:r>
    </w:p>
    <w:p>
      <w:pPr>
        <w:pStyle w:val="BodyText"/>
        <w:spacing w:before="11"/>
      </w:pPr>
    </w:p>
    <w:p>
      <w:pPr>
        <w:pStyle w:val="BodyText"/>
        <w:spacing w:line="249" w:lineRule="auto"/>
        <w:ind w:left="7541" w:right="127" w:firstLine="170"/>
        <w:jc w:val="both"/>
      </w:pPr>
      <w:r>
        <w:rPr/>
        <w:t>Lasmetrópolis, </w:t>
      </w:r>
      <w:r>
        <w:rPr>
          <w:spacing w:val="2"/>
        </w:rPr>
        <w:t>estánexpuestasalosprocesosintensosdeldesarrollosocioeconómico; </w:t>
      </w:r>
      <w:r>
        <w:rPr/>
        <w:t>en la economía global éstas tienden cada vez más a satisfacer las necesidades de sus usuarios y para ello diversifican sus funciones, además se diferencian las cualidades profesionales de sus habitantes. Los empresarios responden a la demanda, buscando satisfacer</w:t>
      </w:r>
      <w:r>
        <w:rPr>
          <w:spacing w:val="-22"/>
        </w:rPr>
        <w:t> </w:t>
      </w:r>
      <w:r>
        <w:rPr/>
        <w:t>las</w:t>
      </w:r>
      <w:r>
        <w:rPr>
          <w:spacing w:val="-22"/>
        </w:rPr>
        <w:t> </w:t>
      </w:r>
      <w:r>
        <w:rPr/>
        <w:t>necesidades</w:t>
      </w:r>
      <w:r>
        <w:rPr>
          <w:spacing w:val="-22"/>
        </w:rPr>
        <w:t> </w:t>
      </w:r>
      <w:r>
        <w:rPr/>
        <w:t>de</w:t>
      </w:r>
      <w:r>
        <w:rPr>
          <w:spacing w:val="-22"/>
        </w:rPr>
        <w:t> </w:t>
      </w:r>
      <w:r>
        <w:rPr/>
        <w:t>la</w:t>
      </w:r>
      <w:r>
        <w:rPr>
          <w:spacing w:val="-22"/>
        </w:rPr>
        <w:t> </w:t>
      </w:r>
      <w:r>
        <w:rPr/>
        <w:t>sociedad</w:t>
      </w:r>
      <w:r>
        <w:rPr>
          <w:spacing w:val="-22"/>
        </w:rPr>
        <w:t> </w:t>
      </w:r>
      <w:r>
        <w:rPr/>
        <w:t>que</w:t>
      </w:r>
      <w:r>
        <w:rPr>
          <w:spacing w:val="-22"/>
        </w:rPr>
        <w:t> </w:t>
      </w:r>
      <w:r>
        <w:rPr/>
        <w:t>nacen</w:t>
      </w:r>
      <w:r>
        <w:rPr>
          <w:spacing w:val="-22"/>
        </w:rPr>
        <w:t> </w:t>
      </w:r>
      <w:r>
        <w:rPr/>
        <w:t>en</w:t>
      </w:r>
      <w:r>
        <w:rPr>
          <w:spacing w:val="-22"/>
        </w:rPr>
        <w:t> </w:t>
      </w:r>
      <w:r>
        <w:rPr/>
        <w:t>el</w:t>
      </w:r>
      <w:r>
        <w:rPr>
          <w:spacing w:val="-22"/>
        </w:rPr>
        <w:t> </w:t>
      </w:r>
      <w:r>
        <w:rPr/>
        <w:t>mercado.</w:t>
      </w:r>
      <w:r>
        <w:rPr>
          <w:spacing w:val="-22"/>
        </w:rPr>
        <w:t> </w:t>
      </w:r>
      <w:r>
        <w:rPr/>
        <w:t>Por</w:t>
      </w:r>
      <w:r>
        <w:rPr>
          <w:spacing w:val="-22"/>
        </w:rPr>
        <w:t> </w:t>
      </w:r>
      <w:r>
        <w:rPr/>
        <w:t>ello,</w:t>
      </w:r>
      <w:r>
        <w:rPr>
          <w:spacing w:val="-22"/>
        </w:rPr>
        <w:t> </w:t>
      </w:r>
      <w:r>
        <w:rPr/>
        <w:t>el</w:t>
      </w:r>
      <w:r>
        <w:rPr>
          <w:spacing w:val="-22"/>
        </w:rPr>
        <w:t> </w:t>
      </w:r>
      <w:r>
        <w:rPr/>
        <w:t>desarrollo de la metrópolis y el cada vez más alto nivel de vida de sus habitantes generan a cada vez mayores exigencias en la creación de las nuevas funciones. Por consecuencia     el espacio socioeconómico también se diferencia, facilitando a los inversionistas potenciales la observación del mercado y la toma de decisiones sobre la inversión.  Las políticas públicas pueden generar incentivo adicional, ya que las autoridades y sus estrategias de desarrollo, señalan las direcciones prioritarias del</w:t>
      </w:r>
      <w:r>
        <w:rPr>
          <w:spacing w:val="36"/>
        </w:rPr>
        <w:t> </w:t>
      </w:r>
      <w:r>
        <w:rPr/>
        <w:t>desarrollo.</w:t>
      </w:r>
    </w:p>
    <w:p>
      <w:pPr>
        <w:pStyle w:val="BodyText"/>
        <w:spacing w:before="11"/>
      </w:pPr>
    </w:p>
    <w:p>
      <w:pPr>
        <w:pStyle w:val="BodyText"/>
        <w:spacing w:line="249" w:lineRule="auto"/>
        <w:ind w:left="7541" w:right="127" w:firstLine="170"/>
        <w:jc w:val="both"/>
      </w:pPr>
      <w:r>
        <w:rPr/>
        <w:t>En estos espacios urbanos se crean las interrelaciones entre los sujetos de los diferentes sectores de economía, empezando desde la esfera de servicios (asesoría, bancos,</w:t>
      </w:r>
      <w:r>
        <w:rPr>
          <w:spacing w:val="-8"/>
        </w:rPr>
        <w:t> </w:t>
      </w:r>
      <w:r>
        <w:rPr/>
        <w:t>servicios</w:t>
      </w:r>
      <w:r>
        <w:rPr>
          <w:spacing w:val="-8"/>
        </w:rPr>
        <w:t> </w:t>
      </w:r>
      <w:r>
        <w:rPr/>
        <w:t>legales)</w:t>
      </w:r>
      <w:r>
        <w:rPr>
          <w:spacing w:val="-8"/>
        </w:rPr>
        <w:t> </w:t>
      </w:r>
      <w:r>
        <w:rPr/>
        <w:t>pasando</w:t>
      </w:r>
      <w:r>
        <w:rPr>
          <w:spacing w:val="-8"/>
        </w:rPr>
        <w:t> </w:t>
      </w:r>
      <w:r>
        <w:rPr/>
        <w:t>por</w:t>
      </w:r>
      <w:r>
        <w:rPr>
          <w:spacing w:val="-8"/>
        </w:rPr>
        <w:t> </w:t>
      </w:r>
      <w:r>
        <w:rPr/>
        <w:t>la</w:t>
      </w:r>
      <w:r>
        <w:rPr>
          <w:spacing w:val="-8"/>
        </w:rPr>
        <w:t> </w:t>
      </w:r>
      <w:r>
        <w:rPr/>
        <w:t>esfera</w:t>
      </w:r>
      <w:r>
        <w:rPr>
          <w:spacing w:val="-8"/>
        </w:rPr>
        <w:t> </w:t>
      </w:r>
      <w:r>
        <w:rPr/>
        <w:t>manufacturera</w:t>
      </w:r>
      <w:r>
        <w:rPr>
          <w:spacing w:val="-8"/>
        </w:rPr>
        <w:t> </w:t>
      </w:r>
      <w:r>
        <w:rPr/>
        <w:t>(productores</w:t>
      </w:r>
      <w:r>
        <w:rPr>
          <w:spacing w:val="-8"/>
        </w:rPr>
        <w:t> </w:t>
      </w:r>
      <w:r>
        <w:rPr/>
        <w:t>de</w:t>
      </w:r>
      <w:r>
        <w:rPr>
          <w:spacing w:val="-8"/>
        </w:rPr>
        <w:t> </w:t>
      </w:r>
      <w:r>
        <w:rPr/>
        <w:t>bienes, intermediarios en adquirir la información) terminando con los últimos consumidores  que representan la demanda. La metrópolis deja de ser únicamente la unidad territorial y se convierte cada vez más en la forma de organización del espacio en la</w:t>
      </w:r>
      <w:r>
        <w:rPr>
          <w:spacing w:val="25"/>
        </w:rPr>
        <w:t> </w:t>
      </w:r>
      <w:r>
        <w:rPr/>
        <w:t>red.</w:t>
      </w:r>
    </w:p>
    <w:p>
      <w:pPr>
        <w:pStyle w:val="BodyText"/>
        <w:spacing w:before="11"/>
      </w:pPr>
    </w:p>
    <w:p>
      <w:pPr>
        <w:pStyle w:val="BodyText"/>
        <w:spacing w:line="249" w:lineRule="auto"/>
        <w:ind w:left="7541" w:right="128" w:firstLine="170"/>
        <w:jc w:val="both"/>
      </w:pPr>
      <w:r>
        <w:rPr/>
        <w:pict>
          <v:group style="position:absolute;margin-left:696.401978pt;margin-top:48.687286pt;width:18.850pt;height:61.8pt;mso-position-horizontal-relative:page;mso-position-vertical-relative:paragraph;z-index:14704" coordorigin="13928,974" coordsize="377,1236">
            <v:rect style="position:absolute;left:13928;top:974;width:377;height:1236" filled="true" fillcolor="#c7c8ca" stroked="false">
              <v:fill type="solid"/>
            </v:rect>
            <v:shape style="position:absolute;left:13928;top:974;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389</w:t>
                    </w:r>
                  </w:p>
                </w:txbxContent>
              </v:textbox>
              <w10:wrap type="none"/>
            </v:shape>
            <w10:wrap type="none"/>
          </v:group>
        </w:pict>
      </w:r>
      <w:r>
        <w:rPr/>
        <w:t>La división funcional de la metrópolis y su entorno se realiza de tal manera que       en el centro se localizan los servicios más especializados, por ejemplo aquellos de asesoramiento,</w:t>
      </w:r>
      <w:r>
        <w:rPr>
          <w:spacing w:val="39"/>
        </w:rPr>
        <w:t> </w:t>
      </w:r>
      <w:r>
        <w:rPr/>
        <w:t>financieros,</w:t>
      </w:r>
      <w:r>
        <w:rPr>
          <w:spacing w:val="39"/>
        </w:rPr>
        <w:t> </w:t>
      </w:r>
      <w:r>
        <w:rPr/>
        <w:t>bancarios,</w:t>
      </w:r>
      <w:r>
        <w:rPr>
          <w:spacing w:val="39"/>
        </w:rPr>
        <w:t> </w:t>
      </w:r>
      <w:r>
        <w:rPr/>
        <w:t>legales,</w:t>
      </w:r>
      <w:r>
        <w:rPr>
          <w:spacing w:val="39"/>
        </w:rPr>
        <w:t> </w:t>
      </w:r>
      <w:r>
        <w:rPr/>
        <w:t>etc.</w:t>
      </w:r>
      <w:r>
        <w:rPr>
          <w:spacing w:val="39"/>
        </w:rPr>
        <w:t> </w:t>
      </w:r>
      <w:r>
        <w:rPr/>
        <w:t>Mientras</w:t>
      </w:r>
      <w:r>
        <w:rPr>
          <w:spacing w:val="39"/>
        </w:rPr>
        <w:t> </w:t>
      </w:r>
      <w:r>
        <w:rPr/>
        <w:t>que</w:t>
      </w:r>
      <w:r>
        <w:rPr>
          <w:spacing w:val="39"/>
        </w:rPr>
        <w:t> </w:t>
      </w:r>
      <w:r>
        <w:rPr/>
        <w:t>en</w:t>
      </w:r>
      <w:r>
        <w:rPr>
          <w:spacing w:val="39"/>
        </w:rPr>
        <w:t> </w:t>
      </w:r>
      <w:r>
        <w:rPr/>
        <w:t>el</w:t>
      </w:r>
      <w:r>
        <w:rPr>
          <w:spacing w:val="39"/>
        </w:rPr>
        <w:t> </w:t>
      </w:r>
      <w:r>
        <w:rPr/>
        <w:t>entorno</w:t>
      </w:r>
      <w:r>
        <w:rPr>
          <w:spacing w:val="39"/>
        </w:rPr>
        <w:t> </w:t>
      </w:r>
      <w:r>
        <w:rPr/>
        <w:t>del</w:t>
      </w:r>
    </w:p>
    <w:p>
      <w:pPr>
        <w:spacing w:after="0" w:line="249" w:lineRule="auto"/>
        <w:jc w:val="both"/>
        <w:sectPr>
          <w:type w:val="continuous"/>
          <w:pgSz w:w="18830" w:h="12760" w:orient="landscape"/>
          <w:pgMar w:top="1420" w:bottom="280" w:left="2720" w:right="720"/>
        </w:sectPr>
      </w:pPr>
    </w:p>
    <w:p>
      <w:pPr>
        <w:pStyle w:val="BodyText"/>
        <w:spacing w:before="6"/>
        <w:rPr>
          <w:sz w:val="23"/>
        </w:rPr>
      </w:pPr>
    </w:p>
    <w:p>
      <w:pPr>
        <w:spacing w:after="0"/>
        <w:rPr>
          <w:sz w:val="23"/>
        </w:rPr>
        <w:sectPr>
          <w:headerReference w:type="default" r:id="rId427"/>
          <w:footerReference w:type="default" r:id="rId428"/>
          <w:pgSz w:w="18830" w:h="12760" w:orient="landscape"/>
          <w:pgMar w:header="522" w:footer="1036" w:top="820" w:bottom="1220" w:left="720" w:right="720"/>
        </w:sectPr>
      </w:pPr>
    </w:p>
    <w:p>
      <w:pPr>
        <w:pStyle w:val="BodyText"/>
        <w:spacing w:line="249" w:lineRule="auto" w:before="76"/>
        <w:ind w:left="131"/>
        <w:jc w:val="both"/>
      </w:pPr>
      <w:r>
        <w:rPr/>
        <w:t>metrópolis se concentran sobre todo los emprendimientos relacionados con la  industria</w:t>
      </w:r>
      <w:r>
        <w:rPr>
          <w:spacing w:val="-11"/>
        </w:rPr>
        <w:t> </w:t>
      </w:r>
      <w:r>
        <w:rPr/>
        <w:t>pesada,</w:t>
      </w:r>
      <w:r>
        <w:rPr>
          <w:spacing w:val="-11"/>
        </w:rPr>
        <w:t> </w:t>
      </w:r>
      <w:r>
        <w:rPr/>
        <w:t>agricultura,</w:t>
      </w:r>
      <w:r>
        <w:rPr>
          <w:spacing w:val="-11"/>
        </w:rPr>
        <w:t> </w:t>
      </w:r>
      <w:r>
        <w:rPr/>
        <w:t>logística,</w:t>
      </w:r>
      <w:r>
        <w:rPr>
          <w:spacing w:val="-11"/>
        </w:rPr>
        <w:t> </w:t>
      </w:r>
      <w:r>
        <w:rPr/>
        <w:t>vivienda,</w:t>
      </w:r>
      <w:r>
        <w:rPr>
          <w:spacing w:val="-11"/>
        </w:rPr>
        <w:t> </w:t>
      </w:r>
      <w:r>
        <w:rPr/>
        <w:t>educación</w:t>
      </w:r>
      <w:r>
        <w:rPr>
          <w:spacing w:val="-11"/>
        </w:rPr>
        <w:t> </w:t>
      </w:r>
      <w:r>
        <w:rPr/>
        <w:t>superior</w:t>
      </w:r>
      <w:r>
        <w:rPr>
          <w:spacing w:val="-11"/>
        </w:rPr>
        <w:t> </w:t>
      </w:r>
      <w:r>
        <w:rPr/>
        <w:t>y</w:t>
      </w:r>
      <w:r>
        <w:rPr>
          <w:spacing w:val="-11"/>
        </w:rPr>
        <w:t> </w:t>
      </w:r>
      <w:r>
        <w:rPr/>
        <w:t>servicios</w:t>
      </w:r>
      <w:r>
        <w:rPr>
          <w:spacing w:val="-11"/>
        </w:rPr>
        <w:t> </w:t>
      </w:r>
      <w:r>
        <w:rPr/>
        <w:t>de</w:t>
      </w:r>
      <w:r>
        <w:rPr>
          <w:spacing w:val="-11"/>
        </w:rPr>
        <w:t> </w:t>
      </w:r>
      <w:r>
        <w:rPr/>
        <w:t>salud especializados. De esta manera las metrópolis que se desarrollan bastante rápido, se especializan</w:t>
      </w:r>
      <w:r>
        <w:rPr>
          <w:spacing w:val="-7"/>
        </w:rPr>
        <w:t> </w:t>
      </w:r>
      <w:r>
        <w:rPr/>
        <w:t>y</w:t>
      </w:r>
      <w:r>
        <w:rPr>
          <w:spacing w:val="-7"/>
        </w:rPr>
        <w:t> </w:t>
      </w:r>
      <w:r>
        <w:rPr/>
        <w:t>expulsan</w:t>
      </w:r>
      <w:r>
        <w:rPr>
          <w:spacing w:val="-7"/>
        </w:rPr>
        <w:t> </w:t>
      </w:r>
      <w:r>
        <w:rPr/>
        <w:t>alguna</w:t>
      </w:r>
      <w:r>
        <w:rPr>
          <w:spacing w:val="-7"/>
        </w:rPr>
        <w:t> </w:t>
      </w:r>
      <w:r>
        <w:rPr/>
        <w:t>parte</w:t>
      </w:r>
      <w:r>
        <w:rPr>
          <w:spacing w:val="-7"/>
        </w:rPr>
        <w:t> </w:t>
      </w:r>
      <w:r>
        <w:rPr/>
        <w:t>de</w:t>
      </w:r>
      <w:r>
        <w:rPr>
          <w:spacing w:val="-7"/>
        </w:rPr>
        <w:t> </w:t>
      </w:r>
      <w:r>
        <w:rPr/>
        <w:t>sus</w:t>
      </w:r>
      <w:r>
        <w:rPr>
          <w:spacing w:val="-7"/>
        </w:rPr>
        <w:t> </w:t>
      </w:r>
      <w:r>
        <w:rPr/>
        <w:t>actividades</w:t>
      </w:r>
      <w:r>
        <w:rPr>
          <w:spacing w:val="-7"/>
        </w:rPr>
        <w:t> </w:t>
      </w:r>
      <w:r>
        <w:rPr/>
        <w:t>fuera</w:t>
      </w:r>
      <w:r>
        <w:rPr>
          <w:spacing w:val="-7"/>
        </w:rPr>
        <w:t> </w:t>
      </w:r>
      <w:r>
        <w:rPr/>
        <w:t>del</w:t>
      </w:r>
      <w:r>
        <w:rPr>
          <w:spacing w:val="-7"/>
        </w:rPr>
        <w:t> </w:t>
      </w:r>
      <w:r>
        <w:rPr/>
        <w:t>área</w:t>
      </w:r>
      <w:r>
        <w:rPr>
          <w:spacing w:val="-7"/>
        </w:rPr>
        <w:t> </w:t>
      </w:r>
      <w:r>
        <w:rPr/>
        <w:t>central,</w:t>
      </w:r>
      <w:r>
        <w:rPr>
          <w:spacing w:val="-7"/>
        </w:rPr>
        <w:t> </w:t>
      </w:r>
      <w:r>
        <w:rPr/>
        <w:t>tratando de esta manera equilibrar el desarrollo del centro y de su</w:t>
      </w:r>
      <w:r>
        <w:rPr>
          <w:spacing w:val="37"/>
        </w:rPr>
        <w:t> </w:t>
      </w:r>
      <w:r>
        <w:rPr/>
        <w:t>entorno.</w:t>
      </w:r>
    </w:p>
    <w:p>
      <w:pPr>
        <w:pStyle w:val="BodyText"/>
        <w:spacing w:before="11"/>
      </w:pPr>
    </w:p>
    <w:p>
      <w:pPr>
        <w:pStyle w:val="BodyText"/>
        <w:spacing w:line="249" w:lineRule="auto"/>
        <w:ind w:left="131" w:firstLine="170"/>
        <w:jc w:val="both"/>
      </w:pPr>
      <w:r>
        <w:rPr/>
        <w:t>La metrópolis como la organización en la red del espacio, a través de sus influencias sobrepasan los límites administrativos de la ciudad metropolitana; en el intersticio metrópolis - su entorno, surgen los nodos y conexiones que son independientes de los límites. Los flujos que se realizan tienen normalmente doble dirección: metrópolis -&gt; entorno y entorno -&gt; metrópolis. La ciudad metropolitana decide abrir completamente su territorio para aprovechar las ventajas de los contactos realizados. Sin embargo, frecuentemente el esquema de las relaciones se divide en dos zonas. La primera en la cual hay una actuación directa de la ciudad y las relaciones tienen carácter perdurable y muy íntimo - esto conforma una región urbana funcional, lo que es una parte interna del entorno del metrópolis y se concentra en el área metropolitana. La</w:t>
      </w:r>
      <w:r>
        <w:rPr>
          <w:spacing w:val="12"/>
        </w:rPr>
        <w:t> </w:t>
      </w:r>
      <w:r>
        <w:rPr/>
        <w:t>segunda</w:t>
      </w:r>
      <w:r>
        <w:rPr>
          <w:spacing w:val="14"/>
        </w:rPr>
        <w:t> </w:t>
      </w:r>
      <w:r>
        <w:rPr/>
        <w:t>zona</w:t>
      </w:r>
      <w:r>
        <w:rPr>
          <w:w w:val="99"/>
        </w:rPr>
        <w:t> </w:t>
      </w:r>
      <w:r>
        <w:rPr/>
        <w:t>de</w:t>
      </w:r>
      <w:r>
        <w:rPr>
          <w:spacing w:val="-6"/>
        </w:rPr>
        <w:t> </w:t>
      </w:r>
      <w:r>
        <w:rPr/>
        <w:t>las</w:t>
      </w:r>
      <w:r>
        <w:rPr>
          <w:spacing w:val="-6"/>
        </w:rPr>
        <w:t> </w:t>
      </w:r>
      <w:r>
        <w:rPr/>
        <w:t>relaciones</w:t>
      </w:r>
      <w:r>
        <w:rPr>
          <w:spacing w:val="-6"/>
        </w:rPr>
        <w:t> </w:t>
      </w:r>
      <w:r>
        <w:rPr/>
        <w:t>creadas</w:t>
      </w:r>
      <w:r>
        <w:rPr>
          <w:spacing w:val="-6"/>
        </w:rPr>
        <w:t> </w:t>
      </w:r>
      <w:r>
        <w:rPr/>
        <w:t>se</w:t>
      </w:r>
      <w:r>
        <w:rPr>
          <w:spacing w:val="-6"/>
        </w:rPr>
        <w:t> </w:t>
      </w:r>
      <w:r>
        <w:rPr/>
        <w:t>tiene</w:t>
      </w:r>
      <w:r>
        <w:rPr>
          <w:spacing w:val="-6"/>
        </w:rPr>
        <w:t> </w:t>
      </w:r>
      <w:r>
        <w:rPr/>
        <w:t>analizar</w:t>
      </w:r>
      <w:r>
        <w:rPr>
          <w:spacing w:val="-6"/>
        </w:rPr>
        <w:t> </w:t>
      </w:r>
      <w:r>
        <w:rPr/>
        <w:t>en</w:t>
      </w:r>
      <w:r>
        <w:rPr>
          <w:spacing w:val="-6"/>
        </w:rPr>
        <w:t> </w:t>
      </w:r>
      <w:r>
        <w:rPr/>
        <w:t>el</w:t>
      </w:r>
      <w:r>
        <w:rPr>
          <w:spacing w:val="-6"/>
        </w:rPr>
        <w:t> </w:t>
      </w:r>
      <w:r>
        <w:rPr/>
        <w:t>territorio</w:t>
      </w:r>
      <w:r>
        <w:rPr>
          <w:spacing w:val="-6"/>
        </w:rPr>
        <w:t> </w:t>
      </w:r>
      <w:r>
        <w:rPr/>
        <w:t>más</w:t>
      </w:r>
      <w:r>
        <w:rPr>
          <w:spacing w:val="-6"/>
        </w:rPr>
        <w:t> </w:t>
      </w:r>
      <w:r>
        <w:rPr/>
        <w:t>amplio,</w:t>
      </w:r>
      <w:r>
        <w:rPr>
          <w:spacing w:val="-6"/>
        </w:rPr>
        <w:t> </w:t>
      </w:r>
      <w:r>
        <w:rPr/>
        <w:t>llamado</w:t>
      </w:r>
      <w:r>
        <w:rPr>
          <w:spacing w:val="-6"/>
        </w:rPr>
        <w:t> </w:t>
      </w:r>
      <w:r>
        <w:rPr/>
        <w:t>la</w:t>
      </w:r>
      <w:r>
        <w:rPr>
          <w:spacing w:val="-6"/>
        </w:rPr>
        <w:t> </w:t>
      </w:r>
      <w:r>
        <w:rPr/>
        <w:t>región metropolitana.</w:t>
      </w:r>
    </w:p>
    <w:p>
      <w:pPr>
        <w:pStyle w:val="BodyText"/>
        <w:spacing w:before="11"/>
      </w:pPr>
    </w:p>
    <w:p>
      <w:pPr>
        <w:pStyle w:val="BodyText"/>
        <w:spacing w:line="249" w:lineRule="auto"/>
        <w:ind w:left="131" w:firstLine="170"/>
        <w:jc w:val="both"/>
      </w:pPr>
      <w:r>
        <w:rPr/>
        <w:t>En</w:t>
      </w:r>
      <w:r>
        <w:rPr>
          <w:spacing w:val="-10"/>
        </w:rPr>
        <w:t> </w:t>
      </w:r>
      <w:r>
        <w:rPr/>
        <w:t>este</w:t>
      </w:r>
      <w:r>
        <w:rPr>
          <w:spacing w:val="-10"/>
        </w:rPr>
        <w:t> </w:t>
      </w:r>
      <w:r>
        <w:rPr/>
        <w:t>contexto</w:t>
      </w:r>
      <w:r>
        <w:rPr>
          <w:spacing w:val="-10"/>
        </w:rPr>
        <w:t> </w:t>
      </w:r>
      <w:r>
        <w:rPr/>
        <w:t>es</w:t>
      </w:r>
      <w:r>
        <w:rPr>
          <w:spacing w:val="-10"/>
        </w:rPr>
        <w:t> </w:t>
      </w:r>
      <w:r>
        <w:rPr/>
        <w:t>importante</w:t>
      </w:r>
      <w:r>
        <w:rPr>
          <w:spacing w:val="-10"/>
        </w:rPr>
        <w:t> </w:t>
      </w:r>
      <w:r>
        <w:rPr/>
        <w:t>abordar</w:t>
      </w:r>
      <w:r>
        <w:rPr>
          <w:spacing w:val="36"/>
        </w:rPr>
        <w:t> </w:t>
      </w:r>
      <w:r>
        <w:rPr/>
        <w:t>los</w:t>
      </w:r>
      <w:r>
        <w:rPr>
          <w:spacing w:val="-10"/>
        </w:rPr>
        <w:t> </w:t>
      </w:r>
      <w:r>
        <w:rPr/>
        <w:t>aspectos</w:t>
      </w:r>
      <w:r>
        <w:rPr>
          <w:spacing w:val="-10"/>
        </w:rPr>
        <w:t> </w:t>
      </w:r>
      <w:r>
        <w:rPr/>
        <w:t>metodológicos</w:t>
      </w:r>
      <w:r>
        <w:rPr>
          <w:spacing w:val="-10"/>
        </w:rPr>
        <w:t> </w:t>
      </w:r>
      <w:r>
        <w:rPr/>
        <w:t>que</w:t>
      </w:r>
      <w:r>
        <w:rPr>
          <w:spacing w:val="-10"/>
        </w:rPr>
        <w:t> </w:t>
      </w:r>
      <w:r>
        <w:rPr/>
        <w:t>indaguen</w:t>
      </w:r>
      <w:r>
        <w:rPr>
          <w:spacing w:val="-10"/>
        </w:rPr>
        <w:t> </w:t>
      </w:r>
      <w:r>
        <w:rPr/>
        <w:t>los procesos de expansión metropolitana en ciudades de distintos ámbitos representativos del territorio, y que tengan por objeto identificar en las transformaciones territoriales emergentes, traducidos en impactos sociales, económicos y </w:t>
      </w:r>
      <w:r>
        <w:rPr>
          <w:spacing w:val="27"/>
        </w:rPr>
        <w:t> </w:t>
      </w:r>
      <w:r>
        <w:rPr/>
        <w:t>ambientales.</w:t>
      </w:r>
    </w:p>
    <w:p>
      <w:pPr>
        <w:pStyle w:val="BodyText"/>
        <w:spacing w:before="11"/>
      </w:pPr>
    </w:p>
    <w:p>
      <w:pPr>
        <w:pStyle w:val="BodyText"/>
        <w:spacing w:line="249" w:lineRule="auto"/>
        <w:ind w:left="131" w:firstLine="170"/>
        <w:jc w:val="both"/>
      </w:pPr>
      <w:r>
        <w:rPr/>
        <w:t>El objetivo de este trabajo es analizar las metodologías para identificar los impactos de la expansión urbana en el proceso de metropolización. Para ello, se desarrollan   los fundamentos de las relaciones funcionales del espacio metropolitano, se describe el contexto nacional y del Estado de México del proceso de metropolización, y se aborda -el Modelo  Presión  Estado-Respuesta  como  metodología  para  identificar  de los impactos socioeconómicos y ambientales del proceso de expansión urbano- metropolitana, considerando como caso el de la Zona Metropolitana de </w:t>
      </w:r>
      <w:r>
        <w:rPr>
          <w:spacing w:val="37"/>
        </w:rPr>
        <w:t> </w:t>
      </w:r>
      <w:r>
        <w:rPr/>
        <w:t>Toluca.</w:t>
      </w:r>
    </w:p>
    <w:p>
      <w:pPr>
        <w:pStyle w:val="BodyText"/>
        <w:spacing w:before="8"/>
        <w:rPr>
          <w:sz w:val="17"/>
        </w:rPr>
      </w:pPr>
    </w:p>
    <w:p>
      <w:pPr>
        <w:pStyle w:val="Heading1"/>
        <w:ind w:left="301" w:right="3"/>
      </w:pPr>
      <w:r>
        <w:rPr/>
        <w:t>Relaciones funcionales del espacio metropolitano</w:t>
      </w:r>
    </w:p>
    <w:p>
      <w:pPr>
        <w:pStyle w:val="BodyText"/>
        <w:rPr>
          <w:b/>
          <w:sz w:val="21"/>
        </w:rPr>
      </w:pPr>
    </w:p>
    <w:p>
      <w:pPr>
        <w:pStyle w:val="BodyText"/>
        <w:spacing w:line="249" w:lineRule="auto"/>
        <w:ind w:left="131" w:firstLine="170"/>
        <w:jc w:val="both"/>
      </w:pPr>
      <w:r>
        <w:rPr/>
        <w:t>Uno de los paradigmas del desarrollo de las ciudades a finales del siglo XX y en    los albores del siglo XXI se refiere al desarrollo de las áreas metropolitanas, que es el resultado del crecimiento del número de sus pobladores y también de ampliación del mercado de los bienes raíces, provoca transformaciones sustanciales en</w:t>
      </w:r>
      <w:r>
        <w:rPr>
          <w:spacing w:val="35"/>
        </w:rPr>
        <w:t> </w:t>
      </w:r>
      <w:r>
        <w:rPr/>
        <w:t>su</w:t>
      </w:r>
      <w:r>
        <w:rPr>
          <w:spacing w:val="4"/>
        </w:rPr>
        <w:t> </w:t>
      </w:r>
      <w:r>
        <w:rPr/>
        <w:t>estructura</w:t>
      </w:r>
      <w:r>
        <w:rPr>
          <w:w w:val="101"/>
        </w:rPr>
        <w:t> </w:t>
      </w:r>
      <w:r>
        <w:rPr/>
        <w:t>territorial. Para las edificaciones se ocupa cada vez nuevos terrenos, no sólo en la ciudad</w:t>
      </w:r>
      <w:r>
        <w:rPr>
          <w:spacing w:val="-3"/>
        </w:rPr>
        <w:t> </w:t>
      </w:r>
      <w:r>
        <w:rPr/>
        <w:t>(interior),</w:t>
      </w:r>
      <w:r>
        <w:rPr>
          <w:spacing w:val="-3"/>
        </w:rPr>
        <w:t> </w:t>
      </w:r>
      <w:r>
        <w:rPr/>
        <w:t>sino</w:t>
      </w:r>
      <w:r>
        <w:rPr>
          <w:spacing w:val="-3"/>
        </w:rPr>
        <w:t> </w:t>
      </w:r>
      <w:r>
        <w:rPr/>
        <w:t>también</w:t>
      </w:r>
      <w:r>
        <w:rPr>
          <w:spacing w:val="-3"/>
        </w:rPr>
        <w:t> </w:t>
      </w:r>
      <w:r>
        <w:rPr/>
        <w:t>-</w:t>
      </w:r>
      <w:r>
        <w:rPr>
          <w:spacing w:val="-3"/>
        </w:rPr>
        <w:t> </w:t>
      </w:r>
      <w:r>
        <w:rPr/>
        <w:t>y</w:t>
      </w:r>
      <w:r>
        <w:rPr>
          <w:spacing w:val="-3"/>
        </w:rPr>
        <w:t> </w:t>
      </w:r>
      <w:r>
        <w:rPr/>
        <w:t>sobre</w:t>
      </w:r>
      <w:r>
        <w:rPr>
          <w:spacing w:val="-3"/>
        </w:rPr>
        <w:t> </w:t>
      </w:r>
      <w:r>
        <w:rPr/>
        <w:t>todo</w:t>
      </w:r>
      <w:r>
        <w:rPr>
          <w:spacing w:val="-3"/>
        </w:rPr>
        <w:t> </w:t>
      </w:r>
      <w:r>
        <w:rPr/>
        <w:t>-</w:t>
      </w:r>
      <w:r>
        <w:rPr>
          <w:spacing w:val="-3"/>
        </w:rPr>
        <w:t> </w:t>
      </w:r>
      <w:r>
        <w:rPr/>
        <w:t>en</w:t>
      </w:r>
      <w:r>
        <w:rPr>
          <w:spacing w:val="-3"/>
        </w:rPr>
        <w:t> </w:t>
      </w:r>
      <w:r>
        <w:rPr/>
        <w:t>sus</w:t>
      </w:r>
      <w:r>
        <w:rPr>
          <w:spacing w:val="-3"/>
        </w:rPr>
        <w:t> </w:t>
      </w:r>
      <w:r>
        <w:rPr/>
        <w:t>periferias.</w:t>
      </w:r>
      <w:r>
        <w:rPr>
          <w:spacing w:val="-3"/>
        </w:rPr>
        <w:t> </w:t>
      </w:r>
      <w:r>
        <w:rPr/>
        <w:t>De</w:t>
      </w:r>
      <w:r>
        <w:rPr>
          <w:spacing w:val="-3"/>
        </w:rPr>
        <w:t> </w:t>
      </w:r>
      <w:r>
        <w:rPr/>
        <w:t>esta</w:t>
      </w:r>
      <w:r>
        <w:rPr>
          <w:spacing w:val="-3"/>
        </w:rPr>
        <w:t> </w:t>
      </w:r>
      <w:r>
        <w:rPr/>
        <w:t>manera</w:t>
      </w:r>
      <w:r>
        <w:rPr>
          <w:spacing w:val="-3"/>
        </w:rPr>
        <w:t> </w:t>
      </w:r>
      <w:r>
        <w:rPr/>
        <w:t>crecen los  suburbios  y  se  realiza  el  proceso  de  “extensión  de  la  ciudad”  donde</w:t>
      </w:r>
      <w:r>
        <w:rPr>
          <w:spacing w:val="-6"/>
        </w:rPr>
        <w:t> </w:t>
      </w:r>
      <w:r>
        <w:rPr/>
        <w:t>amplios</w:t>
      </w:r>
    </w:p>
    <w:p>
      <w:pPr>
        <w:pStyle w:val="BodyText"/>
        <w:spacing w:line="249" w:lineRule="auto" w:before="76"/>
        <w:ind w:left="131" w:right="127"/>
        <w:jc w:val="both"/>
      </w:pPr>
      <w:r>
        <w:rPr/>
        <w:br w:type="column"/>
      </w:r>
      <w:r>
        <w:rPr/>
        <w:t>espacios habitacionales con relativamente baja densidad permiten encontrar mejores condiciones habitacionales que en las áreas centrales. Tener la vivienda en suburbios se convirtió en la norma del éxito de la vida (esto especialmente se visualizó en las ciudades americanas). Sin embargo, las migraciones desde la ciudad hacia suburbios llevan a la necesidad del desarrollo de la infraestructura del transporte (principalmente en transporte de automóvil pero también transporte público de metro o tren suburbano) así como de la infraestructura técnica (las líneas de comunicaciones, de gas y de desagüe, entre otros).</w:t>
      </w:r>
    </w:p>
    <w:p>
      <w:pPr>
        <w:pStyle w:val="BodyText"/>
        <w:spacing w:before="11"/>
      </w:pPr>
    </w:p>
    <w:p>
      <w:pPr>
        <w:pStyle w:val="BodyText"/>
        <w:spacing w:line="249" w:lineRule="auto"/>
        <w:ind w:left="131" w:right="127" w:firstLine="170"/>
        <w:jc w:val="both"/>
      </w:pPr>
      <w:r>
        <w:rPr/>
        <w:pict>
          <v:line style="position:absolute;mso-position-horizontal-relative:page;mso-position-vertical-relative:paragraph;z-index:-638056" from="723.329712pt,106.379868pt" to="725.976712pt,106.379868pt" stroked="true" strokeweight=".5pt" strokecolor="#000000">
            <w10:wrap type="none"/>
          </v:line>
        </w:pict>
      </w:r>
      <w:r>
        <w:rPr/>
        <w:t>Este fenómeno de sub-urbanización, en su forma extrema tomo el carácter de </w:t>
      </w:r>
      <w:r>
        <w:rPr>
          <w:i/>
        </w:rPr>
        <w:t>urban </w:t>
      </w:r>
      <w:r>
        <w:rPr>
          <w:i/>
        </w:rPr>
        <w:t>sprawl </w:t>
      </w:r>
      <w:r>
        <w:rPr/>
        <w:t>(Davis, 2005)   </w:t>
      </w:r>
      <w:r>
        <w:rPr>
          <w:i/>
        </w:rPr>
        <w:t>- </w:t>
      </w:r>
      <w:r>
        <w:rPr/>
        <w:t>que se puede traducir al español como expansión urbana,   pero en su forma negativa también a veces se traduce como expansión urbana descontrolada (desparrame urbano). Produce fenómenos indeseables, tales como el extenso consumo del espacio, su degradación y el aumento de los costos económicos generales del funcionamiento de la ciudad. Entre los resultados ecológicos dañinos   de la sub-urbanización se mencionan el creciente consumo de energía y agua, la reducción de los terrenos boscosos y para la producción agrícola, la fragmentación    de los ecosistemas, degradación del paisaje y creciente contaminación del ambiente. Los efectos económicos se refieren al aumento de los costos de transporte así como  el desarrollo y mantenimiento de infraestructura, su sobreexplotación, dependencia   del transporte individual, especulación de los terrenos y también el interés decreciente en la ciudad central. Entre sus efectos sociales, el </w:t>
      </w:r>
      <w:r>
        <w:rPr>
          <w:i/>
        </w:rPr>
        <w:t>urban sprawl </w:t>
      </w:r>
      <w:r>
        <w:rPr/>
        <w:t>provoca desaparición de los lazos sociales, segregación y conflictos entre diferentes grupos urbanos y sus pobladores</w:t>
      </w:r>
      <w:r>
        <w:rPr>
          <w:spacing w:val="-8"/>
        </w:rPr>
        <w:t> </w:t>
      </w:r>
      <w:r>
        <w:rPr/>
        <w:t>originales</w:t>
      </w:r>
      <w:r>
        <w:rPr>
          <w:spacing w:val="-8"/>
        </w:rPr>
        <w:t> </w:t>
      </w:r>
      <w:r>
        <w:rPr/>
        <w:t>y,</w:t>
      </w:r>
      <w:r>
        <w:rPr>
          <w:spacing w:val="-8"/>
        </w:rPr>
        <w:t> </w:t>
      </w:r>
      <w:r>
        <w:rPr/>
        <w:t>también</w:t>
      </w:r>
      <w:r>
        <w:rPr>
          <w:spacing w:val="-8"/>
        </w:rPr>
        <w:t> </w:t>
      </w:r>
      <w:r>
        <w:rPr/>
        <w:t>aumento</w:t>
      </w:r>
      <w:r>
        <w:rPr>
          <w:spacing w:val="-8"/>
        </w:rPr>
        <w:t> </w:t>
      </w:r>
      <w:r>
        <w:rPr/>
        <w:t>de</w:t>
      </w:r>
      <w:r>
        <w:rPr>
          <w:spacing w:val="-8"/>
        </w:rPr>
        <w:t> </w:t>
      </w:r>
      <w:r>
        <w:rPr/>
        <w:t>las</w:t>
      </w:r>
      <w:r>
        <w:rPr>
          <w:spacing w:val="-8"/>
        </w:rPr>
        <w:t> </w:t>
      </w:r>
      <w:r>
        <w:rPr/>
        <w:t>zonas</w:t>
      </w:r>
      <w:r>
        <w:rPr>
          <w:spacing w:val="-8"/>
        </w:rPr>
        <w:t> </w:t>
      </w:r>
      <w:r>
        <w:rPr/>
        <w:t>de</w:t>
      </w:r>
      <w:r>
        <w:rPr>
          <w:spacing w:val="-8"/>
        </w:rPr>
        <w:t> </w:t>
      </w:r>
      <w:r>
        <w:rPr/>
        <w:t>exclusión</w:t>
      </w:r>
      <w:r>
        <w:rPr>
          <w:spacing w:val="-8"/>
        </w:rPr>
        <w:t> </w:t>
      </w:r>
      <w:r>
        <w:rPr/>
        <w:t>social</w:t>
      </w:r>
      <w:r>
        <w:rPr>
          <w:spacing w:val="-8"/>
        </w:rPr>
        <w:t> </w:t>
      </w:r>
      <w:r>
        <w:rPr/>
        <w:t>en</w:t>
      </w:r>
      <w:r>
        <w:rPr>
          <w:spacing w:val="-8"/>
        </w:rPr>
        <w:t> </w:t>
      </w:r>
      <w:r>
        <w:rPr/>
        <w:t>las</w:t>
      </w:r>
      <w:r>
        <w:rPr>
          <w:spacing w:val="-8"/>
        </w:rPr>
        <w:t> </w:t>
      </w:r>
      <w:r>
        <w:rPr/>
        <w:t>zonas centrales.</w:t>
      </w:r>
    </w:p>
    <w:p>
      <w:pPr>
        <w:pStyle w:val="BodyText"/>
        <w:spacing w:before="11"/>
      </w:pPr>
    </w:p>
    <w:p>
      <w:pPr>
        <w:pStyle w:val="BodyText"/>
        <w:spacing w:line="249" w:lineRule="auto"/>
        <w:ind w:left="131" w:right="127" w:firstLine="170"/>
        <w:jc w:val="both"/>
      </w:pPr>
      <w:r>
        <w:rPr/>
        <w:t>Junto con la relocalización de las funciones habitacionales (y también productivas) desde el núcleo de la metrópoli hacia su periferia, cambian las funciones en las zonas centrales. Se puede decir que generalmente en cada vez grado mayor,  estas zonas  se convierten en los espacios del consumo público, tanto de los pobladores del área metropolitana así como de los visitantes/turistas. Crecen también las relaciones funcionales entre el núcleo y periferias, cuyo efecto  es  creciente  aglomeración  y cada vez más porosos límites entre la ciudad central y los centros satelitales. El área metropolitana deja de ser la ciudad como tal, y se convierte en “un espacio urbano- regional” que no es fácil delimitar y cada vez es más difícil de </w:t>
      </w:r>
      <w:r>
        <w:rPr>
          <w:spacing w:val="1"/>
        </w:rPr>
        <w:t> </w:t>
      </w:r>
      <w:r>
        <w:rPr/>
        <w:t>administrar.</w:t>
      </w:r>
    </w:p>
    <w:p>
      <w:pPr>
        <w:pStyle w:val="BodyText"/>
        <w:spacing w:before="11"/>
      </w:pPr>
    </w:p>
    <w:p>
      <w:pPr>
        <w:pStyle w:val="BodyText"/>
        <w:spacing w:line="249" w:lineRule="auto"/>
        <w:ind w:left="131" w:right="128" w:firstLine="170"/>
        <w:jc w:val="both"/>
      </w:pPr>
      <w:r>
        <w:rPr/>
        <w:t>Las metrópolis contemporáneas (o ciudades globales) son producto de la globalización y conforman los centros que generan el crecimiento económico y social nacional.</w:t>
      </w:r>
      <w:r>
        <w:rPr>
          <w:spacing w:val="-5"/>
        </w:rPr>
        <w:t> </w:t>
      </w:r>
      <w:r>
        <w:rPr/>
        <w:t>La</w:t>
      </w:r>
      <w:r>
        <w:rPr>
          <w:spacing w:val="-5"/>
        </w:rPr>
        <w:t> </w:t>
      </w:r>
      <w:r>
        <w:rPr/>
        <w:t>organización</w:t>
      </w:r>
      <w:r>
        <w:rPr>
          <w:spacing w:val="-5"/>
        </w:rPr>
        <w:t> </w:t>
      </w:r>
      <w:r>
        <w:rPr/>
        <w:t>territorial</w:t>
      </w:r>
      <w:r>
        <w:rPr>
          <w:spacing w:val="-5"/>
        </w:rPr>
        <w:t> </w:t>
      </w:r>
      <w:r>
        <w:rPr/>
        <w:t>donde</w:t>
      </w:r>
      <w:r>
        <w:rPr>
          <w:spacing w:val="-5"/>
        </w:rPr>
        <w:t> </w:t>
      </w:r>
      <w:r>
        <w:rPr/>
        <w:t>el</w:t>
      </w:r>
      <w:r>
        <w:rPr>
          <w:spacing w:val="-5"/>
        </w:rPr>
        <w:t> </w:t>
      </w:r>
      <w:r>
        <w:rPr/>
        <w:t>papel</w:t>
      </w:r>
      <w:r>
        <w:rPr>
          <w:spacing w:val="-5"/>
        </w:rPr>
        <w:t> </w:t>
      </w:r>
      <w:r>
        <w:rPr/>
        <w:t>clave</w:t>
      </w:r>
      <w:r>
        <w:rPr>
          <w:spacing w:val="-5"/>
        </w:rPr>
        <w:t> </w:t>
      </w:r>
      <w:r>
        <w:rPr/>
        <w:t>lo</w:t>
      </w:r>
      <w:r>
        <w:rPr>
          <w:spacing w:val="-5"/>
        </w:rPr>
        <w:t> </w:t>
      </w:r>
      <w:r>
        <w:rPr/>
        <w:t>desempeñan</w:t>
      </w:r>
      <w:r>
        <w:rPr>
          <w:spacing w:val="-5"/>
        </w:rPr>
        <w:t> </w:t>
      </w:r>
      <w:r>
        <w:rPr/>
        <w:t>las</w:t>
      </w:r>
      <w:r>
        <w:rPr>
          <w:spacing w:val="-5"/>
        </w:rPr>
        <w:t> </w:t>
      </w:r>
      <w:r>
        <w:rPr/>
        <w:t>metrópolis, es consecuencia de las estructuras organizativas del capitalismo posmoderno, en las que las corporaciones globales, principalmente las financieras desempeñan </w:t>
      </w:r>
      <w:r>
        <w:rPr>
          <w:spacing w:val="23"/>
        </w:rPr>
        <w:t> </w:t>
      </w:r>
      <w:r>
        <w:rPr/>
        <w:t>funciones</w:t>
      </w:r>
    </w:p>
    <w:p>
      <w:pPr>
        <w:spacing w:after="0" w:line="249" w:lineRule="auto"/>
        <w:jc w:val="both"/>
        <w:sectPr>
          <w:type w:val="continuous"/>
          <w:pgSz w:w="18830" w:h="12760" w:orient="landscape"/>
          <w:pgMar w:top="1420" w:bottom="280" w:left="720" w:right="720"/>
          <w:cols w:num="2" w:equalWidth="0">
            <w:col w:w="7843" w:space="1568"/>
            <w:col w:w="7979"/>
          </w:cols>
        </w:sectPr>
      </w:pPr>
    </w:p>
    <w:p>
      <w:pPr>
        <w:pStyle w:val="BodyText"/>
        <w:spacing w:before="6"/>
        <w:rPr>
          <w:sz w:val="23"/>
        </w:rPr>
      </w:pPr>
    </w:p>
    <w:p>
      <w:pPr>
        <w:spacing w:after="0"/>
        <w:rPr>
          <w:sz w:val="23"/>
        </w:rPr>
        <w:sectPr>
          <w:footerReference w:type="default" r:id="rId429"/>
          <w:pgSz w:w="18830" w:h="12760" w:orient="landscape"/>
          <w:pgMar w:footer="1036" w:header="522" w:top="820" w:bottom="1220" w:left="720" w:right="720"/>
        </w:sectPr>
      </w:pPr>
    </w:p>
    <w:p>
      <w:pPr>
        <w:pStyle w:val="BodyText"/>
        <w:spacing w:line="249" w:lineRule="auto" w:before="76"/>
        <w:ind w:left="130" w:right="-7"/>
      </w:pPr>
      <w:r>
        <w:rPr/>
        <w:t>líderes. Estas corporaciones tienen la estructura jerárquica y sus centros de comando se localizan sobre todo en los centros metropolitanos - ciudades  globales.</w:t>
      </w:r>
    </w:p>
    <w:p>
      <w:pPr>
        <w:pStyle w:val="BodyText"/>
        <w:spacing w:before="11"/>
      </w:pPr>
    </w:p>
    <w:p>
      <w:pPr>
        <w:pStyle w:val="BodyText"/>
        <w:spacing w:line="249" w:lineRule="auto"/>
        <w:ind w:left="130" w:firstLine="170"/>
        <w:jc w:val="both"/>
      </w:pPr>
      <w:r>
        <w:rPr/>
        <w:t>Las dos maneras indicadas de entender el concepto de metrópolis y metropolización tienen carácter analítico. En realidad ambos procesos: metropolización del espacio      y desarrollo de las funciones metropolitanas que crean la ciudad global están relacionados, se realizan en el mismo espacio y están interrelacionados. El desarrollo de las funciones metropolitanas es uno de los factores de la concentración del capital en espacio, por lo que directamente influye en la ampliación de la ciudad, lo que    lleva a la producción del área metropolitana. “La metropolización crea las metrópolis, las metrópolis “crean” (metropolizan) a las áreas metropolitanas. El surgimiento de metrópolis</w:t>
      </w:r>
      <w:r>
        <w:rPr>
          <w:spacing w:val="27"/>
        </w:rPr>
        <w:t> </w:t>
      </w:r>
      <w:r>
        <w:rPr/>
        <w:t>es</w:t>
      </w:r>
      <w:r>
        <w:rPr>
          <w:spacing w:val="27"/>
        </w:rPr>
        <w:t> </w:t>
      </w:r>
      <w:r>
        <w:rPr/>
        <w:t>una</w:t>
      </w:r>
      <w:r>
        <w:rPr>
          <w:spacing w:val="27"/>
        </w:rPr>
        <w:t> </w:t>
      </w:r>
      <w:r>
        <w:rPr/>
        <w:t>condición</w:t>
      </w:r>
      <w:r>
        <w:rPr>
          <w:spacing w:val="27"/>
        </w:rPr>
        <w:t> </w:t>
      </w:r>
      <w:r>
        <w:rPr/>
        <w:t>del</w:t>
      </w:r>
      <w:r>
        <w:rPr>
          <w:spacing w:val="27"/>
        </w:rPr>
        <w:t> </w:t>
      </w:r>
      <w:r>
        <w:rPr/>
        <w:t>emprendimiento</w:t>
      </w:r>
      <w:r>
        <w:rPr>
          <w:spacing w:val="27"/>
        </w:rPr>
        <w:t> </w:t>
      </w:r>
      <w:r>
        <w:rPr/>
        <w:t>del</w:t>
      </w:r>
      <w:r>
        <w:rPr>
          <w:spacing w:val="27"/>
        </w:rPr>
        <w:t> </w:t>
      </w:r>
      <w:r>
        <w:rPr/>
        <w:t>proceso</w:t>
      </w:r>
      <w:r>
        <w:rPr>
          <w:spacing w:val="27"/>
        </w:rPr>
        <w:t> </w:t>
      </w:r>
      <w:r>
        <w:rPr/>
        <w:t>de</w:t>
      </w:r>
      <w:r>
        <w:rPr>
          <w:spacing w:val="27"/>
        </w:rPr>
        <w:t> </w:t>
      </w:r>
      <w:r>
        <w:rPr/>
        <w:t>metropolización</w:t>
      </w:r>
      <w:r>
        <w:rPr>
          <w:spacing w:val="27"/>
        </w:rPr>
        <w:t> </w:t>
      </w:r>
      <w:r>
        <w:rPr/>
        <w:t>del</w:t>
      </w:r>
      <w:r>
        <w:rPr>
          <w:w w:val="101"/>
        </w:rPr>
        <w:t> </w:t>
      </w:r>
      <w:r>
        <w:rPr/>
        <w:t>espacio que la</w:t>
      </w:r>
      <w:r>
        <w:rPr>
          <w:spacing w:val="13"/>
        </w:rPr>
        <w:t> </w:t>
      </w:r>
      <w:r>
        <w:rPr/>
        <w:t>rodea.</w:t>
      </w:r>
    </w:p>
    <w:p>
      <w:pPr>
        <w:pStyle w:val="BodyText"/>
        <w:spacing w:before="11"/>
      </w:pPr>
    </w:p>
    <w:p>
      <w:pPr>
        <w:pStyle w:val="BodyText"/>
        <w:spacing w:line="249" w:lineRule="auto"/>
        <w:ind w:left="130" w:firstLine="170"/>
        <w:jc w:val="both"/>
      </w:pPr>
      <w:r>
        <w:rPr/>
        <w:t>La metropolización se puede percibir también como una cuestión política ya que   sus procesos muchas veces se identifican con el desarrollo de la ciudad como tal.    Las ciudades globales son un ejemplo de superación de la crisis de la ciudad y la adaptación exitosa de las condiciones de competencia post-fordista. El desarrollo de las funciones metropolitanas, así como del área metropolitana significa el crecimiento económico</w:t>
      </w:r>
      <w:r>
        <w:rPr>
          <w:spacing w:val="-6"/>
        </w:rPr>
        <w:t> </w:t>
      </w:r>
      <w:r>
        <w:rPr/>
        <w:t>y</w:t>
      </w:r>
      <w:r>
        <w:rPr>
          <w:spacing w:val="-6"/>
        </w:rPr>
        <w:t> </w:t>
      </w:r>
      <w:r>
        <w:rPr/>
        <w:t>poblacional</w:t>
      </w:r>
      <w:r>
        <w:rPr>
          <w:spacing w:val="-6"/>
        </w:rPr>
        <w:t> </w:t>
      </w:r>
      <w:r>
        <w:rPr/>
        <w:t>de</w:t>
      </w:r>
      <w:r>
        <w:rPr>
          <w:spacing w:val="-6"/>
        </w:rPr>
        <w:t> </w:t>
      </w:r>
      <w:r>
        <w:rPr/>
        <w:t>la</w:t>
      </w:r>
      <w:r>
        <w:rPr>
          <w:spacing w:val="-6"/>
        </w:rPr>
        <w:t> </w:t>
      </w:r>
      <w:r>
        <w:rPr/>
        <w:t>ciudad,</w:t>
      </w:r>
      <w:r>
        <w:rPr>
          <w:spacing w:val="-6"/>
        </w:rPr>
        <w:t> </w:t>
      </w:r>
      <w:r>
        <w:rPr/>
        <w:t>lo</w:t>
      </w:r>
      <w:r>
        <w:rPr>
          <w:spacing w:val="-6"/>
        </w:rPr>
        <w:t> </w:t>
      </w:r>
      <w:r>
        <w:rPr/>
        <w:t>que</w:t>
      </w:r>
      <w:r>
        <w:rPr>
          <w:spacing w:val="-6"/>
        </w:rPr>
        <w:t> </w:t>
      </w:r>
      <w:r>
        <w:rPr/>
        <w:t>provoca</w:t>
      </w:r>
      <w:r>
        <w:rPr>
          <w:spacing w:val="-6"/>
        </w:rPr>
        <w:t> </w:t>
      </w:r>
      <w:r>
        <w:rPr/>
        <w:t>también</w:t>
      </w:r>
      <w:r>
        <w:rPr>
          <w:spacing w:val="-6"/>
        </w:rPr>
        <w:t> </w:t>
      </w:r>
      <w:r>
        <w:rPr/>
        <w:t>aumento</w:t>
      </w:r>
      <w:r>
        <w:rPr>
          <w:spacing w:val="-6"/>
        </w:rPr>
        <w:t> </w:t>
      </w:r>
      <w:r>
        <w:rPr/>
        <w:t>de</w:t>
      </w:r>
      <w:r>
        <w:rPr>
          <w:spacing w:val="-6"/>
        </w:rPr>
        <w:t> </w:t>
      </w:r>
      <w:r>
        <w:rPr/>
        <w:t>la</w:t>
      </w:r>
      <w:r>
        <w:rPr>
          <w:spacing w:val="-6"/>
        </w:rPr>
        <w:t> </w:t>
      </w:r>
      <w:r>
        <w:rPr/>
        <w:t>base</w:t>
      </w:r>
      <w:r>
        <w:rPr>
          <w:spacing w:val="-6"/>
        </w:rPr>
        <w:t> </w:t>
      </w:r>
      <w:r>
        <w:rPr/>
        <w:t>para cobrar impuestos. Por ello, la metropolización se convierte en el objetivo</w:t>
      </w:r>
      <w:r>
        <w:rPr>
          <w:spacing w:val="-15"/>
        </w:rPr>
        <w:t> </w:t>
      </w:r>
      <w:r>
        <w:rPr/>
        <w:t>estratégico</w:t>
      </w:r>
      <w:r>
        <w:rPr>
          <w:spacing w:val="-2"/>
        </w:rPr>
        <w:t> </w:t>
      </w:r>
      <w:r>
        <w:rPr/>
        <w:t>de</w:t>
      </w:r>
      <w:r>
        <w:rPr>
          <w:w w:val="101"/>
        </w:rPr>
        <w:t> </w:t>
      </w:r>
      <w:r>
        <w:rPr/>
        <w:t>la política del desarrollo realizada por las autoridades</w:t>
      </w:r>
      <w:r>
        <w:rPr>
          <w:spacing w:val="29"/>
        </w:rPr>
        <w:t> </w:t>
      </w:r>
      <w:r>
        <w:rPr/>
        <w:t>locales.</w:t>
      </w:r>
    </w:p>
    <w:p>
      <w:pPr>
        <w:pStyle w:val="BodyText"/>
        <w:spacing w:before="11"/>
      </w:pPr>
    </w:p>
    <w:p>
      <w:pPr>
        <w:pStyle w:val="BodyText"/>
        <w:spacing w:line="249" w:lineRule="auto"/>
        <w:ind w:left="130" w:firstLine="170"/>
        <w:jc w:val="both"/>
      </w:pPr>
      <w:r>
        <w:rPr/>
        <w:t>El</w:t>
      </w:r>
      <w:r>
        <w:rPr>
          <w:spacing w:val="-18"/>
        </w:rPr>
        <w:t> </w:t>
      </w:r>
      <w:r>
        <w:rPr/>
        <w:t>desarrollo</w:t>
      </w:r>
      <w:r>
        <w:rPr>
          <w:spacing w:val="-18"/>
        </w:rPr>
        <w:t> </w:t>
      </w:r>
      <w:r>
        <w:rPr/>
        <w:t>de</w:t>
      </w:r>
      <w:r>
        <w:rPr>
          <w:spacing w:val="-18"/>
        </w:rPr>
        <w:t> </w:t>
      </w:r>
      <w:r>
        <w:rPr/>
        <w:t>las</w:t>
      </w:r>
      <w:r>
        <w:rPr>
          <w:spacing w:val="-18"/>
        </w:rPr>
        <w:t> </w:t>
      </w:r>
      <w:r>
        <w:rPr/>
        <w:t>metrópolis</w:t>
      </w:r>
      <w:r>
        <w:rPr>
          <w:spacing w:val="-18"/>
        </w:rPr>
        <w:t> </w:t>
      </w:r>
      <w:r>
        <w:rPr/>
        <w:t>crea</w:t>
      </w:r>
      <w:r>
        <w:rPr>
          <w:spacing w:val="-18"/>
        </w:rPr>
        <w:t> </w:t>
      </w:r>
      <w:r>
        <w:rPr/>
        <w:t>también</w:t>
      </w:r>
      <w:r>
        <w:rPr>
          <w:spacing w:val="-18"/>
        </w:rPr>
        <w:t> </w:t>
      </w:r>
      <w:r>
        <w:rPr/>
        <w:t>desafíos</w:t>
      </w:r>
      <w:r>
        <w:rPr>
          <w:spacing w:val="-18"/>
        </w:rPr>
        <w:t> </w:t>
      </w:r>
      <w:r>
        <w:rPr/>
        <w:t>para</w:t>
      </w:r>
      <w:r>
        <w:rPr>
          <w:spacing w:val="-18"/>
        </w:rPr>
        <w:t> </w:t>
      </w:r>
      <w:r>
        <w:rPr/>
        <w:t>las</w:t>
      </w:r>
      <w:r>
        <w:rPr>
          <w:spacing w:val="-18"/>
        </w:rPr>
        <w:t> </w:t>
      </w:r>
      <w:r>
        <w:rPr/>
        <w:t>políticas</w:t>
      </w:r>
      <w:r>
        <w:rPr>
          <w:spacing w:val="-18"/>
        </w:rPr>
        <w:t> </w:t>
      </w:r>
      <w:r>
        <w:rPr/>
        <w:t>estatales</w:t>
      </w:r>
      <w:r>
        <w:rPr>
          <w:spacing w:val="-18"/>
        </w:rPr>
        <w:t> </w:t>
      </w:r>
      <w:r>
        <w:rPr/>
        <w:t>ya</w:t>
      </w:r>
      <w:r>
        <w:rPr>
          <w:spacing w:val="-18"/>
        </w:rPr>
        <w:t> </w:t>
      </w:r>
      <w:r>
        <w:rPr/>
        <w:t>que</w:t>
      </w:r>
      <w:r>
        <w:rPr>
          <w:w w:val="101"/>
        </w:rPr>
        <w:t> </w:t>
      </w:r>
      <w:r>
        <w:rPr/>
        <w:t>en la estructura de la economía nacional se los trata como los centros</w:t>
      </w:r>
      <w:r>
        <w:rPr>
          <w:spacing w:val="42"/>
        </w:rPr>
        <w:t> </w:t>
      </w:r>
      <w:r>
        <w:rPr/>
        <w:t>del</w:t>
      </w:r>
      <w:r>
        <w:rPr>
          <w:spacing w:val="7"/>
        </w:rPr>
        <w:t> </w:t>
      </w:r>
      <w:r>
        <w:rPr/>
        <w:t>crecimiento</w:t>
      </w:r>
      <w:r>
        <w:rPr>
          <w:w w:val="102"/>
        </w:rPr>
        <w:t> </w:t>
      </w:r>
      <w:r>
        <w:rPr/>
        <w:t>principales,</w:t>
      </w:r>
      <w:r>
        <w:rPr>
          <w:spacing w:val="-6"/>
        </w:rPr>
        <w:t> </w:t>
      </w:r>
      <w:r>
        <w:rPr/>
        <w:t>al</w:t>
      </w:r>
      <w:r>
        <w:rPr>
          <w:spacing w:val="-6"/>
        </w:rPr>
        <w:t> </w:t>
      </w:r>
      <w:r>
        <w:rPr/>
        <w:t>mismo</w:t>
      </w:r>
      <w:r>
        <w:rPr>
          <w:spacing w:val="-6"/>
        </w:rPr>
        <w:t> </w:t>
      </w:r>
      <w:r>
        <w:rPr/>
        <w:t>tiempo</w:t>
      </w:r>
      <w:r>
        <w:rPr>
          <w:spacing w:val="-6"/>
        </w:rPr>
        <w:t> </w:t>
      </w:r>
      <w:r>
        <w:rPr/>
        <w:t>que</w:t>
      </w:r>
      <w:r>
        <w:rPr>
          <w:spacing w:val="-6"/>
        </w:rPr>
        <w:t> </w:t>
      </w:r>
      <w:r>
        <w:rPr/>
        <w:t>el</w:t>
      </w:r>
      <w:r>
        <w:rPr>
          <w:spacing w:val="-6"/>
        </w:rPr>
        <w:t> </w:t>
      </w:r>
      <w:r>
        <w:rPr/>
        <w:t>modelo</w:t>
      </w:r>
      <w:r>
        <w:rPr>
          <w:spacing w:val="-6"/>
        </w:rPr>
        <w:t> </w:t>
      </w:r>
      <w:r>
        <w:rPr/>
        <w:t>del</w:t>
      </w:r>
      <w:r>
        <w:rPr>
          <w:spacing w:val="-6"/>
        </w:rPr>
        <w:t> </w:t>
      </w:r>
      <w:r>
        <w:rPr/>
        <w:t>desarrollo</w:t>
      </w:r>
      <w:r>
        <w:rPr>
          <w:spacing w:val="-6"/>
        </w:rPr>
        <w:t> </w:t>
      </w:r>
      <w:r>
        <w:rPr/>
        <w:t>económico</w:t>
      </w:r>
      <w:r>
        <w:rPr>
          <w:spacing w:val="-6"/>
        </w:rPr>
        <w:t> </w:t>
      </w:r>
      <w:r>
        <w:rPr/>
        <w:t>supone</w:t>
      </w:r>
      <w:r>
        <w:rPr>
          <w:spacing w:val="-6"/>
        </w:rPr>
        <w:t> </w:t>
      </w:r>
      <w:r>
        <w:rPr/>
        <w:t>la</w:t>
      </w:r>
      <w:r>
        <w:rPr>
          <w:spacing w:val="-6"/>
        </w:rPr>
        <w:t> </w:t>
      </w:r>
      <w:r>
        <w:rPr/>
        <w:t>difusión de la riqueza acumulada hacia las áreas fuera de las metrópolis. En esta situación el estado de la economía nacional, y por consecuencia el desarrollo del país depende   de la posición y rango cual en la red global de las relaciones económicas ocupan las metrópolis localizadas en un país concreto. Sin embargo, las ciudades globales no  son sólo los centros que tienen que reforzar la economía nacional; también conforman algún tipo de “ventanas al mundo” a través de las cuales los estados territoriales participan en los procesos globales. Algunos estudiosos del tema confirman que en las condiciones sociales concretas, algunas ciudades conforman parte de las relaciones globales sólo gracias a que pertenecen a algunos estados. Pero también se puede demostrar las situaciones cuando los estados nacionales se convierten en parte de los procesos globales gracias a sus mega-ciudades, </w:t>
      </w:r>
      <w:r>
        <w:rPr>
          <w:spacing w:val="16"/>
        </w:rPr>
        <w:t> </w:t>
      </w:r>
      <w:r>
        <w:rPr/>
        <w:t>metrópolis.</w:t>
      </w:r>
    </w:p>
    <w:p>
      <w:pPr>
        <w:pStyle w:val="BodyText"/>
        <w:spacing w:before="11"/>
      </w:pPr>
    </w:p>
    <w:p>
      <w:pPr>
        <w:pStyle w:val="BodyText"/>
        <w:spacing w:line="249" w:lineRule="auto"/>
        <w:ind w:left="130" w:firstLine="170"/>
        <w:jc w:val="both"/>
      </w:pPr>
      <w:r>
        <w:rPr/>
        <w:t>En</w:t>
      </w:r>
      <w:r>
        <w:rPr>
          <w:spacing w:val="-4"/>
        </w:rPr>
        <w:t> </w:t>
      </w:r>
      <w:r>
        <w:rPr/>
        <w:t>el</w:t>
      </w:r>
      <w:r>
        <w:rPr>
          <w:spacing w:val="-4"/>
        </w:rPr>
        <w:t> </w:t>
      </w:r>
      <w:r>
        <w:rPr/>
        <w:t>espacio</w:t>
      </w:r>
      <w:r>
        <w:rPr>
          <w:spacing w:val="-4"/>
        </w:rPr>
        <w:t> </w:t>
      </w:r>
      <w:r>
        <w:rPr/>
        <w:t>del</w:t>
      </w:r>
      <w:r>
        <w:rPr>
          <w:spacing w:val="-4"/>
        </w:rPr>
        <w:t> </w:t>
      </w:r>
      <w:r>
        <w:rPr/>
        <w:t>territorio</w:t>
      </w:r>
      <w:r>
        <w:rPr>
          <w:spacing w:val="-4"/>
        </w:rPr>
        <w:t> </w:t>
      </w:r>
      <w:r>
        <w:rPr/>
        <w:t>metropolitano</w:t>
      </w:r>
      <w:r>
        <w:rPr>
          <w:spacing w:val="-4"/>
        </w:rPr>
        <w:t> </w:t>
      </w:r>
      <w:r>
        <w:rPr/>
        <w:t>se</w:t>
      </w:r>
      <w:r>
        <w:rPr>
          <w:spacing w:val="-4"/>
        </w:rPr>
        <w:t> </w:t>
      </w:r>
      <w:r>
        <w:rPr/>
        <w:t>realiza</w:t>
      </w:r>
      <w:r>
        <w:rPr>
          <w:spacing w:val="-4"/>
        </w:rPr>
        <w:t> </w:t>
      </w:r>
      <w:r>
        <w:rPr/>
        <w:t>una</w:t>
      </w:r>
      <w:r>
        <w:rPr>
          <w:spacing w:val="-4"/>
        </w:rPr>
        <w:t> </w:t>
      </w:r>
      <w:r>
        <w:rPr/>
        <w:t>especialización</w:t>
      </w:r>
      <w:r>
        <w:rPr>
          <w:spacing w:val="-4"/>
        </w:rPr>
        <w:t> </w:t>
      </w:r>
      <w:r>
        <w:rPr/>
        <w:t>de</w:t>
      </w:r>
      <w:r>
        <w:rPr>
          <w:spacing w:val="-4"/>
        </w:rPr>
        <w:t> </w:t>
      </w:r>
      <w:r>
        <w:rPr/>
        <w:t>su</w:t>
      </w:r>
      <w:r>
        <w:rPr>
          <w:spacing w:val="-4"/>
        </w:rPr>
        <w:t> </w:t>
      </w:r>
      <w:r>
        <w:rPr/>
        <w:t>sistema funcional. La parte central queda vinculada con las funciones del más alto nivel, mientras</w:t>
      </w:r>
      <w:r>
        <w:rPr>
          <w:spacing w:val="-6"/>
        </w:rPr>
        <w:t> </w:t>
      </w:r>
      <w:r>
        <w:rPr/>
        <w:t>que</w:t>
      </w:r>
      <w:r>
        <w:rPr>
          <w:spacing w:val="-6"/>
        </w:rPr>
        <w:t> </w:t>
      </w:r>
      <w:r>
        <w:rPr/>
        <w:t>en</w:t>
      </w:r>
      <w:r>
        <w:rPr>
          <w:spacing w:val="-6"/>
        </w:rPr>
        <w:t> </w:t>
      </w:r>
      <w:r>
        <w:rPr/>
        <w:t>el</w:t>
      </w:r>
      <w:r>
        <w:rPr>
          <w:spacing w:val="-6"/>
        </w:rPr>
        <w:t> </w:t>
      </w:r>
      <w:r>
        <w:rPr/>
        <w:t>entorno</w:t>
      </w:r>
      <w:r>
        <w:rPr>
          <w:spacing w:val="-6"/>
        </w:rPr>
        <w:t> </w:t>
      </w:r>
      <w:r>
        <w:rPr/>
        <w:t>de</w:t>
      </w:r>
      <w:r>
        <w:rPr>
          <w:spacing w:val="-6"/>
        </w:rPr>
        <w:t> </w:t>
      </w:r>
      <w:r>
        <w:rPr/>
        <w:t>la</w:t>
      </w:r>
      <w:r>
        <w:rPr>
          <w:spacing w:val="-6"/>
        </w:rPr>
        <w:t> </w:t>
      </w:r>
      <w:r>
        <w:rPr/>
        <w:t>metrópolis</w:t>
      </w:r>
      <w:r>
        <w:rPr>
          <w:spacing w:val="-6"/>
        </w:rPr>
        <w:t> </w:t>
      </w:r>
      <w:r>
        <w:rPr/>
        <w:t>se</w:t>
      </w:r>
      <w:r>
        <w:rPr>
          <w:spacing w:val="-6"/>
        </w:rPr>
        <w:t> </w:t>
      </w:r>
      <w:r>
        <w:rPr/>
        <w:t>concentran</w:t>
      </w:r>
      <w:r>
        <w:rPr>
          <w:spacing w:val="-6"/>
        </w:rPr>
        <w:t> </w:t>
      </w:r>
      <w:r>
        <w:rPr/>
        <w:t>las</w:t>
      </w:r>
      <w:r>
        <w:rPr>
          <w:spacing w:val="-6"/>
        </w:rPr>
        <w:t> </w:t>
      </w:r>
      <w:r>
        <w:rPr/>
        <w:t>actividades</w:t>
      </w:r>
      <w:r>
        <w:rPr>
          <w:spacing w:val="-6"/>
        </w:rPr>
        <w:t> </w:t>
      </w:r>
      <w:r>
        <w:rPr/>
        <w:t>cuyo</w:t>
      </w:r>
      <w:r>
        <w:rPr>
          <w:spacing w:val="-6"/>
        </w:rPr>
        <w:t> </w:t>
      </w:r>
      <w:r>
        <w:rPr/>
        <w:t>carácter depende de las relaciones en el intersticio de la metrópolis y su entorno. La</w:t>
      </w:r>
      <w:r>
        <w:rPr>
          <w:spacing w:val="46"/>
        </w:rPr>
        <w:t> </w:t>
      </w:r>
      <w:r>
        <w:rPr/>
        <w:t>metrópolis</w:t>
      </w:r>
    </w:p>
    <w:p>
      <w:pPr>
        <w:pStyle w:val="BodyText"/>
        <w:spacing w:line="249" w:lineRule="auto" w:before="76"/>
        <w:ind w:left="130" w:right="127"/>
        <w:jc w:val="both"/>
      </w:pPr>
      <w:r>
        <w:rPr/>
        <w:br w:type="column"/>
      </w:r>
      <w:r>
        <w:rPr/>
        <w:t>retoma</w:t>
      </w:r>
      <w:r>
        <w:rPr>
          <w:spacing w:val="-4"/>
        </w:rPr>
        <w:t> </w:t>
      </w:r>
      <w:r>
        <w:rPr/>
        <w:t>la</w:t>
      </w:r>
      <w:r>
        <w:rPr>
          <w:spacing w:val="-4"/>
        </w:rPr>
        <w:t> </w:t>
      </w:r>
      <w:r>
        <w:rPr/>
        <w:t>realización</w:t>
      </w:r>
      <w:r>
        <w:rPr>
          <w:spacing w:val="-4"/>
        </w:rPr>
        <w:t> </w:t>
      </w:r>
      <w:r>
        <w:rPr/>
        <w:t>de</w:t>
      </w:r>
      <w:r>
        <w:rPr>
          <w:spacing w:val="-4"/>
        </w:rPr>
        <w:t> </w:t>
      </w:r>
      <w:r>
        <w:rPr/>
        <w:t>las</w:t>
      </w:r>
      <w:r>
        <w:rPr>
          <w:spacing w:val="-4"/>
        </w:rPr>
        <w:t> </w:t>
      </w:r>
      <w:r>
        <w:rPr/>
        <w:t>funciones</w:t>
      </w:r>
      <w:r>
        <w:rPr>
          <w:spacing w:val="-4"/>
        </w:rPr>
        <w:t> </w:t>
      </w:r>
      <w:r>
        <w:rPr/>
        <w:t>del</w:t>
      </w:r>
      <w:r>
        <w:rPr>
          <w:spacing w:val="-4"/>
        </w:rPr>
        <w:t> </w:t>
      </w:r>
      <w:r>
        <w:rPr/>
        <w:t>alcance</w:t>
      </w:r>
      <w:r>
        <w:rPr>
          <w:spacing w:val="-4"/>
        </w:rPr>
        <w:t> </w:t>
      </w:r>
      <w:r>
        <w:rPr/>
        <w:t>del</w:t>
      </w:r>
      <w:r>
        <w:rPr>
          <w:spacing w:val="-4"/>
        </w:rPr>
        <w:t> </w:t>
      </w:r>
      <w:r>
        <w:rPr/>
        <w:t>centro</w:t>
      </w:r>
      <w:r>
        <w:rPr>
          <w:spacing w:val="-4"/>
        </w:rPr>
        <w:t> </w:t>
      </w:r>
      <w:r>
        <w:rPr/>
        <w:t>de</w:t>
      </w:r>
      <w:r>
        <w:rPr>
          <w:spacing w:val="-4"/>
        </w:rPr>
        <w:t> </w:t>
      </w:r>
      <w:r>
        <w:rPr/>
        <w:t>poder</w:t>
      </w:r>
      <w:r>
        <w:rPr>
          <w:spacing w:val="-4"/>
        </w:rPr>
        <w:t> </w:t>
      </w:r>
      <w:r>
        <w:rPr/>
        <w:t>y</w:t>
      </w:r>
      <w:r>
        <w:rPr>
          <w:spacing w:val="-4"/>
        </w:rPr>
        <w:t> </w:t>
      </w:r>
      <w:r>
        <w:rPr/>
        <w:t>administración, asesoría económica, técnica, social y política, elaboración de información, servicios legales, bancarios y de seguros. El centro se convierte en la sede de las grandes corporaciones y les proporciona los servicios, pero también satisface las necesidades de los funcionarios y ejecutivos internos y externos de la ciudad que se refieren al consumo de los bienes y servicios de lujo y también de los productos de cultura, medios, ciencia e investigación y desarrollo (I y D) (Rynio,</w:t>
      </w:r>
      <w:r>
        <w:rPr>
          <w:spacing w:val="-36"/>
        </w:rPr>
        <w:t> </w:t>
      </w:r>
      <w:r>
        <w:rPr/>
        <w:t>2010).</w:t>
      </w:r>
    </w:p>
    <w:p>
      <w:pPr>
        <w:pStyle w:val="BodyText"/>
        <w:spacing w:before="11"/>
      </w:pPr>
    </w:p>
    <w:p>
      <w:pPr>
        <w:pStyle w:val="BodyText"/>
        <w:spacing w:line="249" w:lineRule="auto"/>
        <w:ind w:left="130" w:right="127" w:firstLine="170"/>
        <w:jc w:val="both"/>
      </w:pPr>
      <w:r>
        <w:rPr/>
        <w:t>Las áreas de intersticio de la metrópolis retoman las funciones de abastecimiento, producción,</w:t>
      </w:r>
      <w:r>
        <w:rPr>
          <w:spacing w:val="-12"/>
        </w:rPr>
        <w:t> </w:t>
      </w:r>
      <w:r>
        <w:rPr/>
        <w:t>recreación</w:t>
      </w:r>
      <w:r>
        <w:rPr>
          <w:spacing w:val="-12"/>
        </w:rPr>
        <w:t> </w:t>
      </w:r>
      <w:r>
        <w:rPr/>
        <w:t>y</w:t>
      </w:r>
      <w:r>
        <w:rPr>
          <w:spacing w:val="-12"/>
        </w:rPr>
        <w:t> </w:t>
      </w:r>
      <w:r>
        <w:rPr/>
        <w:t>comunicación.</w:t>
      </w:r>
      <w:r>
        <w:rPr>
          <w:spacing w:val="-12"/>
        </w:rPr>
        <w:t> </w:t>
      </w:r>
      <w:r>
        <w:rPr/>
        <w:t>Los</w:t>
      </w:r>
      <w:r>
        <w:rPr>
          <w:spacing w:val="-12"/>
        </w:rPr>
        <w:t> </w:t>
      </w:r>
      <w:r>
        <w:rPr/>
        <w:t>cambios</w:t>
      </w:r>
      <w:r>
        <w:rPr>
          <w:spacing w:val="-12"/>
        </w:rPr>
        <w:t> </w:t>
      </w:r>
      <w:r>
        <w:rPr/>
        <w:t>que</w:t>
      </w:r>
      <w:r>
        <w:rPr>
          <w:spacing w:val="-12"/>
        </w:rPr>
        <w:t> </w:t>
      </w:r>
      <w:r>
        <w:rPr/>
        <w:t>se</w:t>
      </w:r>
      <w:r>
        <w:rPr>
          <w:spacing w:val="-12"/>
        </w:rPr>
        <w:t> </w:t>
      </w:r>
      <w:r>
        <w:rPr/>
        <w:t>realizan</w:t>
      </w:r>
      <w:r>
        <w:rPr>
          <w:spacing w:val="-12"/>
        </w:rPr>
        <w:t> </w:t>
      </w:r>
      <w:r>
        <w:rPr/>
        <w:t>en</w:t>
      </w:r>
      <w:r>
        <w:rPr>
          <w:spacing w:val="-12"/>
        </w:rPr>
        <w:t> </w:t>
      </w:r>
      <w:r>
        <w:rPr/>
        <w:t>la</w:t>
      </w:r>
      <w:r>
        <w:rPr>
          <w:spacing w:val="-12"/>
        </w:rPr>
        <w:t> </w:t>
      </w:r>
      <w:r>
        <w:rPr/>
        <w:t>economía</w:t>
      </w:r>
      <w:r>
        <w:rPr>
          <w:spacing w:val="-12"/>
        </w:rPr>
        <w:t> </w:t>
      </w:r>
      <w:r>
        <w:rPr/>
        <w:t>del mercado y el intensivo desarrollo socioeconómico de la metrópolis arrancan el proceso de expulsión de alguna parte de las funciones fuera de la metrópolis. Especialmente esto se refiere a las funciones que necesitan grandes espacios, en forma compacta, con bajo precio de adquisición, y que tienen exigencia de baja intensidad del ruido y buenas comunicaciones.Como es difícil encontrar los espacios que cumplan todos estos requisitos en una metrópolis, parte de estas funciones son expulsadas a las áreas de intersticio. Este proceso ocurre especialmente en actividades de los servicios especializados</w:t>
      </w:r>
      <w:r>
        <w:rPr>
          <w:spacing w:val="-10"/>
        </w:rPr>
        <w:t> </w:t>
      </w:r>
      <w:r>
        <w:rPr/>
        <w:t>de</w:t>
      </w:r>
      <w:r>
        <w:rPr>
          <w:spacing w:val="-10"/>
        </w:rPr>
        <w:t> </w:t>
      </w:r>
      <w:r>
        <w:rPr/>
        <w:t>salud,</w:t>
      </w:r>
      <w:r>
        <w:rPr>
          <w:spacing w:val="-10"/>
        </w:rPr>
        <w:t> </w:t>
      </w:r>
      <w:r>
        <w:rPr/>
        <w:t>educación</w:t>
      </w:r>
      <w:r>
        <w:rPr>
          <w:spacing w:val="-10"/>
        </w:rPr>
        <w:t> </w:t>
      </w:r>
      <w:r>
        <w:rPr/>
        <w:t>superior,</w:t>
      </w:r>
      <w:r>
        <w:rPr>
          <w:spacing w:val="-10"/>
        </w:rPr>
        <w:t> </w:t>
      </w:r>
      <w:r>
        <w:rPr/>
        <w:t>vivienda,</w:t>
      </w:r>
      <w:r>
        <w:rPr>
          <w:spacing w:val="-10"/>
        </w:rPr>
        <w:t> </w:t>
      </w:r>
      <w:r>
        <w:rPr/>
        <w:t>etcétera.</w:t>
      </w:r>
      <w:r>
        <w:rPr>
          <w:spacing w:val="-10"/>
        </w:rPr>
        <w:t> </w:t>
      </w:r>
      <w:r>
        <w:rPr/>
        <w:t>En</w:t>
      </w:r>
      <w:r>
        <w:rPr>
          <w:spacing w:val="-10"/>
        </w:rPr>
        <w:t> </w:t>
      </w:r>
      <w:r>
        <w:rPr/>
        <w:t>el</w:t>
      </w:r>
      <w:r>
        <w:rPr>
          <w:spacing w:val="-10"/>
        </w:rPr>
        <w:t> </w:t>
      </w:r>
      <w:r>
        <w:rPr/>
        <w:t>área</w:t>
      </w:r>
      <w:r>
        <w:rPr>
          <w:spacing w:val="-10"/>
        </w:rPr>
        <w:t> </w:t>
      </w:r>
      <w:r>
        <w:rPr/>
        <w:t>de</w:t>
      </w:r>
      <w:r>
        <w:rPr>
          <w:spacing w:val="-10"/>
        </w:rPr>
        <w:t> </w:t>
      </w:r>
      <w:r>
        <w:rPr/>
        <w:t>intersticio de la metrópolis también aparece la producción manufacturera pesada y masiva. Los inversionistas buscan las localizaciones atractivas, muchas veces aprovechando los terrenos adyacentes a la metrópolis mientras que las autoridades de las unidades territoriales adyacentes a grandes ciudades buscan las posibilidades de desarrollo en las ventajas de su ubicación y, por consecuencia acomodan su oferta a las inversiones que</w:t>
      </w:r>
      <w:r>
        <w:rPr>
          <w:spacing w:val="-4"/>
        </w:rPr>
        <w:t> </w:t>
      </w:r>
      <w:r>
        <w:rPr/>
        <w:t>están</w:t>
      </w:r>
      <w:r>
        <w:rPr>
          <w:spacing w:val="-4"/>
        </w:rPr>
        <w:t> </w:t>
      </w:r>
      <w:r>
        <w:rPr/>
        <w:t>atraídas</w:t>
      </w:r>
      <w:r>
        <w:rPr>
          <w:spacing w:val="-4"/>
        </w:rPr>
        <w:t> </w:t>
      </w:r>
      <w:r>
        <w:rPr/>
        <w:t>por</w:t>
      </w:r>
      <w:r>
        <w:rPr>
          <w:spacing w:val="-4"/>
        </w:rPr>
        <w:t> </w:t>
      </w:r>
      <w:r>
        <w:rPr/>
        <w:t>el</w:t>
      </w:r>
      <w:r>
        <w:rPr>
          <w:spacing w:val="-4"/>
        </w:rPr>
        <w:t> </w:t>
      </w:r>
      <w:r>
        <w:rPr/>
        <w:t>núcleo</w:t>
      </w:r>
      <w:r>
        <w:rPr>
          <w:spacing w:val="-4"/>
        </w:rPr>
        <w:t> </w:t>
      </w:r>
      <w:r>
        <w:rPr/>
        <w:t>central</w:t>
      </w:r>
      <w:r>
        <w:rPr>
          <w:spacing w:val="-4"/>
        </w:rPr>
        <w:t> </w:t>
      </w:r>
      <w:r>
        <w:rPr/>
        <w:t>o</w:t>
      </w:r>
      <w:r>
        <w:rPr>
          <w:spacing w:val="-4"/>
        </w:rPr>
        <w:t> </w:t>
      </w:r>
      <w:r>
        <w:rPr/>
        <w:t>elaboran</w:t>
      </w:r>
      <w:r>
        <w:rPr>
          <w:spacing w:val="-4"/>
        </w:rPr>
        <w:t> </w:t>
      </w:r>
      <w:r>
        <w:rPr/>
        <w:t>su</w:t>
      </w:r>
      <w:r>
        <w:rPr>
          <w:spacing w:val="-4"/>
        </w:rPr>
        <w:t> </w:t>
      </w:r>
      <w:r>
        <w:rPr/>
        <w:t>propia</w:t>
      </w:r>
      <w:r>
        <w:rPr>
          <w:spacing w:val="-4"/>
        </w:rPr>
        <w:t> </w:t>
      </w:r>
      <w:r>
        <w:rPr/>
        <w:t>trayectoria</w:t>
      </w:r>
      <w:r>
        <w:rPr>
          <w:spacing w:val="-4"/>
        </w:rPr>
        <w:t> </w:t>
      </w:r>
      <w:r>
        <w:rPr/>
        <w:t>para</w:t>
      </w:r>
      <w:r>
        <w:rPr>
          <w:spacing w:val="-4"/>
        </w:rPr>
        <w:t> </w:t>
      </w:r>
      <w:r>
        <w:rPr/>
        <w:t>incentivar el desarrollo socioeconómico que coexiste con la estrategia de la </w:t>
      </w:r>
      <w:r>
        <w:rPr>
          <w:spacing w:val="37"/>
        </w:rPr>
        <w:t> </w:t>
      </w:r>
      <w:r>
        <w:rPr/>
        <w:t>metrópolis.</w:t>
      </w:r>
    </w:p>
    <w:p>
      <w:pPr>
        <w:pStyle w:val="BodyText"/>
        <w:spacing w:before="11"/>
      </w:pPr>
    </w:p>
    <w:p>
      <w:pPr>
        <w:pStyle w:val="BodyText"/>
        <w:spacing w:line="249" w:lineRule="auto"/>
        <w:ind w:left="130" w:right="127" w:firstLine="170"/>
        <w:jc w:val="both"/>
      </w:pPr>
      <w:r>
        <w:rPr/>
        <w:t>En las relaciones de la metrópolis con su entorno debería existir un apoyo mutuo;    ni las metrópolis debiera provocar problemas del escape de las inversiones, ni el área del intersticio debiera dudar sobre las desigualdades en la división de especialización. Las relaciones se crean en los sistemas que conforman los sujetos iguales, esto significa que existen tanto los centros metropolitanos los cuales dividen el espacio     de su influencia así como las áreas de su entorno que albergan algunas de estas funciones. De esta manera se está creando el sistema de interrelaciones entre los centros metropolitanos y áreas de su entorno, que complementa las relaciones de la metrópolis y su entorno. Esto provoca una agitación de las actividades característico del proceso de metropolización (Rynio,</w:t>
      </w:r>
      <w:r>
        <w:rPr>
          <w:spacing w:val="16"/>
        </w:rPr>
        <w:t> </w:t>
      </w:r>
      <w:r>
        <w:rPr/>
        <w:t>2010).</w:t>
      </w:r>
    </w:p>
    <w:p>
      <w:pPr>
        <w:pStyle w:val="BodyText"/>
        <w:spacing w:before="11"/>
      </w:pPr>
    </w:p>
    <w:p>
      <w:pPr>
        <w:pStyle w:val="BodyText"/>
        <w:spacing w:line="249" w:lineRule="auto"/>
        <w:ind w:left="130" w:right="127" w:firstLine="170"/>
        <w:jc w:val="both"/>
      </w:pPr>
      <w:r>
        <w:rPr/>
        <w:t>En el área de la influencia metropolitana, los inversionistas externos localizan sus inversiones.</w:t>
      </w:r>
      <w:r>
        <w:rPr>
          <w:spacing w:val="-18"/>
        </w:rPr>
        <w:t> </w:t>
      </w:r>
      <w:r>
        <w:rPr/>
        <w:t>Por</w:t>
      </w:r>
      <w:r>
        <w:rPr>
          <w:spacing w:val="-18"/>
        </w:rPr>
        <w:t> </w:t>
      </w:r>
      <w:r>
        <w:rPr/>
        <w:t>consecuencia</w:t>
      </w:r>
      <w:r>
        <w:rPr>
          <w:spacing w:val="-18"/>
        </w:rPr>
        <w:t> </w:t>
      </w:r>
      <w:r>
        <w:rPr/>
        <w:t>el</w:t>
      </w:r>
      <w:r>
        <w:rPr>
          <w:spacing w:val="-18"/>
        </w:rPr>
        <w:t> </w:t>
      </w:r>
      <w:r>
        <w:rPr/>
        <w:t>sistema</w:t>
      </w:r>
      <w:r>
        <w:rPr>
          <w:spacing w:val="-18"/>
        </w:rPr>
        <w:t> </w:t>
      </w:r>
      <w:r>
        <w:rPr/>
        <w:t>espacial</w:t>
      </w:r>
      <w:r>
        <w:rPr>
          <w:spacing w:val="-18"/>
        </w:rPr>
        <w:t> </w:t>
      </w:r>
      <w:r>
        <w:rPr/>
        <w:t>creado</w:t>
      </w:r>
      <w:r>
        <w:rPr>
          <w:spacing w:val="-18"/>
        </w:rPr>
        <w:t> </w:t>
      </w:r>
      <w:r>
        <w:rPr/>
        <w:t>conforme</w:t>
      </w:r>
      <w:r>
        <w:rPr>
          <w:spacing w:val="-18"/>
        </w:rPr>
        <w:t> </w:t>
      </w:r>
      <w:r>
        <w:rPr/>
        <w:t>con</w:t>
      </w:r>
      <w:r>
        <w:rPr>
          <w:spacing w:val="-18"/>
        </w:rPr>
        <w:t> </w:t>
      </w:r>
      <w:r>
        <w:rPr/>
        <w:t>las</w:t>
      </w:r>
      <w:r>
        <w:rPr>
          <w:spacing w:val="-18"/>
        </w:rPr>
        <w:t> </w:t>
      </w:r>
      <w:r>
        <w:rPr/>
        <w:t>necesidades aumenta por los siguientes procesos de urbanización de las zonas suburbanas y las relaciones</w:t>
      </w:r>
      <w:r>
        <w:rPr>
          <w:spacing w:val="-5"/>
        </w:rPr>
        <w:t> </w:t>
      </w:r>
      <w:r>
        <w:rPr/>
        <w:t>funcionales</w:t>
      </w:r>
      <w:r>
        <w:rPr>
          <w:spacing w:val="-5"/>
        </w:rPr>
        <w:t> </w:t>
      </w:r>
      <w:r>
        <w:rPr/>
        <w:t>que</w:t>
      </w:r>
      <w:r>
        <w:rPr>
          <w:spacing w:val="-5"/>
        </w:rPr>
        <w:t> </w:t>
      </w:r>
      <w:r>
        <w:rPr/>
        <w:t>se</w:t>
      </w:r>
      <w:r>
        <w:rPr>
          <w:spacing w:val="-5"/>
        </w:rPr>
        <w:t> </w:t>
      </w:r>
      <w:r>
        <w:rPr/>
        <w:t>crean.</w:t>
      </w:r>
      <w:r>
        <w:rPr>
          <w:spacing w:val="-5"/>
        </w:rPr>
        <w:t> </w:t>
      </w:r>
      <w:r>
        <w:rPr/>
        <w:t>El</w:t>
      </w:r>
      <w:r>
        <w:rPr>
          <w:spacing w:val="-5"/>
        </w:rPr>
        <w:t> </w:t>
      </w:r>
      <w:r>
        <w:rPr/>
        <w:t>proceso</w:t>
      </w:r>
      <w:r>
        <w:rPr>
          <w:spacing w:val="-5"/>
        </w:rPr>
        <w:t> </w:t>
      </w:r>
      <w:r>
        <w:rPr/>
        <w:t>del</w:t>
      </w:r>
      <w:r>
        <w:rPr>
          <w:spacing w:val="-5"/>
        </w:rPr>
        <w:t> </w:t>
      </w:r>
      <w:r>
        <w:rPr/>
        <w:t>crecimiento</w:t>
      </w:r>
      <w:r>
        <w:rPr>
          <w:spacing w:val="-5"/>
        </w:rPr>
        <w:t> </w:t>
      </w:r>
      <w:r>
        <w:rPr/>
        <w:t>de</w:t>
      </w:r>
      <w:r>
        <w:rPr>
          <w:spacing w:val="-5"/>
        </w:rPr>
        <w:t> </w:t>
      </w:r>
      <w:r>
        <w:rPr/>
        <w:t>influencia</w:t>
      </w:r>
      <w:r>
        <w:rPr>
          <w:spacing w:val="-5"/>
        </w:rPr>
        <w:t> </w:t>
      </w:r>
      <w:r>
        <w:rPr/>
        <w:t>del</w:t>
      </w:r>
      <w:r>
        <w:rPr>
          <w:spacing w:val="-5"/>
        </w:rPr>
        <w:t> </w:t>
      </w:r>
      <w:r>
        <w:rPr/>
        <w:t>centro metropolitano</w:t>
      </w:r>
      <w:r>
        <w:rPr>
          <w:spacing w:val="40"/>
        </w:rPr>
        <w:t> </w:t>
      </w:r>
      <w:r>
        <w:rPr/>
        <w:t>está</w:t>
      </w:r>
      <w:r>
        <w:rPr>
          <w:spacing w:val="40"/>
        </w:rPr>
        <w:t> </w:t>
      </w:r>
      <w:r>
        <w:rPr/>
        <w:t>facilitado</w:t>
      </w:r>
      <w:r>
        <w:rPr>
          <w:spacing w:val="40"/>
        </w:rPr>
        <w:t> </w:t>
      </w:r>
      <w:r>
        <w:rPr/>
        <w:t>por</w:t>
      </w:r>
      <w:r>
        <w:rPr>
          <w:spacing w:val="40"/>
        </w:rPr>
        <w:t> </w:t>
      </w:r>
      <w:r>
        <w:rPr/>
        <w:t>el</w:t>
      </w:r>
      <w:r>
        <w:rPr>
          <w:spacing w:val="40"/>
        </w:rPr>
        <w:t> </w:t>
      </w:r>
      <w:r>
        <w:rPr/>
        <w:t>sistema</w:t>
      </w:r>
      <w:r>
        <w:rPr>
          <w:spacing w:val="40"/>
        </w:rPr>
        <w:t> </w:t>
      </w:r>
      <w:r>
        <w:rPr/>
        <w:t>del</w:t>
      </w:r>
      <w:r>
        <w:rPr>
          <w:spacing w:val="40"/>
        </w:rPr>
        <w:t> </w:t>
      </w:r>
      <w:r>
        <w:rPr/>
        <w:t>transporte</w:t>
      </w:r>
      <w:r>
        <w:rPr>
          <w:spacing w:val="40"/>
        </w:rPr>
        <w:t> </w:t>
      </w:r>
      <w:r>
        <w:rPr/>
        <w:t>bien</w:t>
      </w:r>
      <w:r>
        <w:rPr>
          <w:spacing w:val="40"/>
        </w:rPr>
        <w:t> </w:t>
      </w:r>
      <w:r>
        <w:rPr/>
        <w:t>desarrollado;</w:t>
      </w:r>
      <w:r>
        <w:rPr>
          <w:spacing w:val="40"/>
        </w:rPr>
        <w:t> </w:t>
      </w:r>
      <w:r>
        <w:rPr/>
        <w:t>en</w:t>
      </w:r>
      <w:r>
        <w:rPr>
          <w:spacing w:val="40"/>
        </w:rPr>
        <w:t> </w:t>
      </w:r>
      <w:r>
        <w:rPr/>
        <w:t>tal</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430"/>
          <w:pgSz w:w="18830" w:h="12760" w:orient="landscape"/>
          <w:pgMar w:footer="1036" w:header="522" w:top="820" w:bottom="1220" w:left="720" w:right="720"/>
        </w:sectPr>
      </w:pPr>
    </w:p>
    <w:p>
      <w:pPr>
        <w:pStyle w:val="BodyText"/>
        <w:spacing w:line="249" w:lineRule="auto" w:before="76"/>
        <w:ind w:left="131"/>
        <w:jc w:val="both"/>
      </w:pPr>
      <w:r>
        <w:rPr/>
        <w:t>situación los inversionistas con mayores ganas mueven sus actividades fuera del centro cuando la red del transporte es por lo menos suficiente. Las inversiones ganan los terrenos con buenas comunicaciones con la zona central y con la red de carreteras nacionales y supranacionales. Para el inversionista, en la economía global los factores importantes de la localización de inversiones son: gran mercado de venta (metrópolis), ubicación adecuada, facilidad de distribución de bienes y servicios, recurso humano e incentivos económicos, entre</w:t>
      </w:r>
      <w:r>
        <w:rPr>
          <w:spacing w:val="54"/>
        </w:rPr>
        <w:t> </w:t>
      </w:r>
      <w:r>
        <w:rPr/>
        <w:t>otros.</w:t>
      </w:r>
    </w:p>
    <w:p>
      <w:pPr>
        <w:pStyle w:val="BodyText"/>
        <w:spacing w:before="11"/>
      </w:pPr>
    </w:p>
    <w:p>
      <w:pPr>
        <w:pStyle w:val="BodyText"/>
        <w:spacing w:line="249" w:lineRule="auto"/>
        <w:ind w:left="131" w:firstLine="170"/>
        <w:jc w:val="both"/>
      </w:pPr>
      <w:r>
        <w:rPr/>
        <w:t>Podemos</w:t>
      </w:r>
      <w:r>
        <w:rPr>
          <w:spacing w:val="-13"/>
        </w:rPr>
        <w:t> </w:t>
      </w:r>
      <w:r>
        <w:rPr/>
        <w:t>decir</w:t>
      </w:r>
      <w:r>
        <w:rPr>
          <w:spacing w:val="-13"/>
        </w:rPr>
        <w:t> </w:t>
      </w:r>
      <w:r>
        <w:rPr/>
        <w:t>que</w:t>
      </w:r>
      <w:r>
        <w:rPr>
          <w:spacing w:val="-13"/>
        </w:rPr>
        <w:t> </w:t>
      </w:r>
      <w:r>
        <w:rPr/>
        <w:t>la</w:t>
      </w:r>
      <w:r>
        <w:rPr>
          <w:spacing w:val="-13"/>
        </w:rPr>
        <w:t> </w:t>
      </w:r>
      <w:r>
        <w:rPr/>
        <w:t>metrópolis</w:t>
      </w:r>
      <w:r>
        <w:rPr>
          <w:spacing w:val="-13"/>
        </w:rPr>
        <w:t> </w:t>
      </w:r>
      <w:r>
        <w:rPr/>
        <w:t>se</w:t>
      </w:r>
      <w:r>
        <w:rPr>
          <w:spacing w:val="-13"/>
        </w:rPr>
        <w:t> </w:t>
      </w:r>
      <w:r>
        <w:rPr/>
        <w:t>desarrolla</w:t>
      </w:r>
      <w:r>
        <w:rPr>
          <w:spacing w:val="-13"/>
        </w:rPr>
        <w:t> </w:t>
      </w:r>
      <w:r>
        <w:rPr/>
        <w:t>con</w:t>
      </w:r>
      <w:r>
        <w:rPr>
          <w:spacing w:val="-13"/>
        </w:rPr>
        <w:t> </w:t>
      </w:r>
      <w:r>
        <w:rPr/>
        <w:t>su</w:t>
      </w:r>
      <w:r>
        <w:rPr>
          <w:spacing w:val="-13"/>
        </w:rPr>
        <w:t> </w:t>
      </w:r>
      <w:r>
        <w:rPr/>
        <w:t>propia</w:t>
      </w:r>
      <w:r>
        <w:rPr>
          <w:spacing w:val="-13"/>
        </w:rPr>
        <w:t> </w:t>
      </w:r>
      <w:r>
        <w:rPr/>
        <w:t>trayectoria</w:t>
      </w:r>
      <w:r>
        <w:rPr>
          <w:spacing w:val="-13"/>
        </w:rPr>
        <w:t> </w:t>
      </w:r>
      <w:r>
        <w:rPr/>
        <w:t>y</w:t>
      </w:r>
      <w:r>
        <w:rPr>
          <w:spacing w:val="-13"/>
        </w:rPr>
        <w:t> </w:t>
      </w:r>
      <w:r>
        <w:rPr/>
        <w:t>la</w:t>
      </w:r>
      <w:r>
        <w:rPr>
          <w:spacing w:val="-13"/>
        </w:rPr>
        <w:t> </w:t>
      </w:r>
      <w:r>
        <w:rPr/>
        <w:t>intensidad de su crecimiento atrae siguientes inversiones. Sin embargo los inversionistas, especialmente los extranjeros buscan las localizaciones que cumplen con algunos requisitos. El cumplimiento de estos requisitos no siempre es posible en el área de     la metrópolis por eso algunos de ellos buscan otras localizaciones en el entorno de la metrópolis.</w:t>
      </w:r>
    </w:p>
    <w:p>
      <w:pPr>
        <w:pStyle w:val="BodyText"/>
        <w:spacing w:before="11"/>
      </w:pPr>
    </w:p>
    <w:p>
      <w:pPr>
        <w:pStyle w:val="BodyText"/>
        <w:spacing w:line="249" w:lineRule="auto"/>
        <w:ind w:left="131" w:firstLine="170"/>
        <w:jc w:val="both"/>
      </w:pPr>
      <w:r>
        <w:rPr/>
        <w:t>Si lo analizamos con otro enfoque la división del espacio del entorno de metrópoli tiene la dimensión económico-espacial ya que se realiza a través de la polarización   de los niveles del desarrollo socioeconómico. Para que la metrópolis mantenga un   alto nivel del desarrollo se aprovechan los recursos del entorno directo (región urbana funcional) e indirecto (región metropolitana). Los recursos humanos, especialmente altamente calificados son atraídos a la metrópolis. El entorno que rodea la metrópolis se convierte en una zona de abastecimiento logístico y distribución de las mercancías que van para fuera. Dentro de la metrópolis predominan las funciones de servicios e información sobre las industriales, mientras que estas últimas pasan a las periferias     o fuera de los límites de ciudades o en el entorno de la metrópolis - mientras tanto empieza a notarse la fragmentación del nivel del</w:t>
      </w:r>
      <w:r>
        <w:rPr>
          <w:spacing w:val="19"/>
        </w:rPr>
        <w:t> </w:t>
      </w:r>
      <w:r>
        <w:rPr/>
        <w:t>desarrollo.</w:t>
      </w:r>
    </w:p>
    <w:p>
      <w:pPr>
        <w:pStyle w:val="BodyText"/>
        <w:spacing w:before="11"/>
      </w:pPr>
    </w:p>
    <w:p>
      <w:pPr>
        <w:pStyle w:val="BodyText"/>
        <w:spacing w:line="249" w:lineRule="auto"/>
        <w:ind w:left="131" w:firstLine="170"/>
        <w:jc w:val="both"/>
      </w:pPr>
      <w:r>
        <w:rPr/>
        <w:t>Las áreas que se desarrollan sobre las bases de la agricultura, marginadas, fragmentadas y sin ninguna especialización conforman las áreas rurales pobres que trabajan para sus propias necesidades. Cerca de estas áreas o en las periferias de la metrópolis se localizan las zonas habitacionales modestas que albergan la fuerza de trabajo para las áreas de agricultura más intensiva, centros regionales de distribución, áreas</w:t>
      </w:r>
      <w:r>
        <w:rPr>
          <w:spacing w:val="-15"/>
        </w:rPr>
        <w:t> </w:t>
      </w:r>
      <w:r>
        <w:rPr/>
        <w:t>de</w:t>
      </w:r>
      <w:r>
        <w:rPr>
          <w:spacing w:val="-15"/>
        </w:rPr>
        <w:t> </w:t>
      </w:r>
      <w:r>
        <w:rPr/>
        <w:t>la</w:t>
      </w:r>
      <w:r>
        <w:rPr>
          <w:spacing w:val="-15"/>
        </w:rPr>
        <w:t> </w:t>
      </w:r>
      <w:r>
        <w:rPr/>
        <w:t>agricultura</w:t>
      </w:r>
      <w:r>
        <w:rPr>
          <w:spacing w:val="-16"/>
        </w:rPr>
        <w:t> </w:t>
      </w:r>
      <w:r>
        <w:rPr/>
        <w:t>tradicional</w:t>
      </w:r>
      <w:r>
        <w:rPr>
          <w:spacing w:val="-15"/>
        </w:rPr>
        <w:t> </w:t>
      </w:r>
      <w:r>
        <w:rPr/>
        <w:t>e</w:t>
      </w:r>
      <w:r>
        <w:rPr>
          <w:spacing w:val="-15"/>
        </w:rPr>
        <w:t> </w:t>
      </w:r>
      <w:r>
        <w:rPr/>
        <w:t>industria</w:t>
      </w:r>
      <w:r>
        <w:rPr>
          <w:spacing w:val="-16"/>
        </w:rPr>
        <w:t> </w:t>
      </w:r>
      <w:r>
        <w:rPr/>
        <w:t>moderna.</w:t>
      </w:r>
      <w:r>
        <w:rPr>
          <w:spacing w:val="-15"/>
        </w:rPr>
        <w:t> </w:t>
      </w:r>
      <w:r>
        <w:rPr/>
        <w:t>En</w:t>
      </w:r>
      <w:r>
        <w:rPr>
          <w:spacing w:val="-15"/>
        </w:rPr>
        <w:t> </w:t>
      </w:r>
      <w:r>
        <w:rPr/>
        <w:t>los</w:t>
      </w:r>
      <w:r>
        <w:rPr>
          <w:spacing w:val="-15"/>
        </w:rPr>
        <w:t> </w:t>
      </w:r>
      <w:r>
        <w:rPr/>
        <w:t>intersticios</w:t>
      </w:r>
      <w:r>
        <w:rPr>
          <w:spacing w:val="-16"/>
        </w:rPr>
        <w:t> </w:t>
      </w:r>
      <w:r>
        <w:rPr/>
        <w:t>de</w:t>
      </w:r>
      <w:r>
        <w:rPr>
          <w:spacing w:val="-15"/>
        </w:rPr>
        <w:t> </w:t>
      </w:r>
      <w:r>
        <w:rPr/>
        <w:t>la</w:t>
      </w:r>
      <w:r>
        <w:rPr>
          <w:spacing w:val="-15"/>
        </w:rPr>
        <w:t> </w:t>
      </w:r>
      <w:r>
        <w:rPr/>
        <w:t>metrópolis con su entorno se localizan las funciones relacionadas con complejos de oficinas, centros comerciales y atractivos turísticos. Muy importantes para el funcionamiento eficiente</w:t>
      </w:r>
      <w:r>
        <w:rPr>
          <w:spacing w:val="-5"/>
        </w:rPr>
        <w:t> </w:t>
      </w:r>
      <w:r>
        <w:rPr/>
        <w:t>de</w:t>
      </w:r>
      <w:r>
        <w:rPr>
          <w:spacing w:val="-5"/>
        </w:rPr>
        <w:t> </w:t>
      </w:r>
      <w:r>
        <w:rPr/>
        <w:t>la</w:t>
      </w:r>
      <w:r>
        <w:rPr>
          <w:spacing w:val="-5"/>
        </w:rPr>
        <w:t> </w:t>
      </w:r>
      <w:r>
        <w:rPr/>
        <w:t>metrópolis</w:t>
      </w:r>
      <w:r>
        <w:rPr>
          <w:spacing w:val="-5"/>
        </w:rPr>
        <w:t> </w:t>
      </w:r>
      <w:r>
        <w:rPr/>
        <w:t>son:</w:t>
      </w:r>
      <w:r>
        <w:rPr>
          <w:spacing w:val="-5"/>
        </w:rPr>
        <w:t> </w:t>
      </w:r>
      <w:r>
        <w:rPr/>
        <w:t>un</w:t>
      </w:r>
      <w:r>
        <w:rPr>
          <w:spacing w:val="-5"/>
        </w:rPr>
        <w:t> </w:t>
      </w:r>
      <w:r>
        <w:rPr/>
        <w:t>aeropuerto,</w:t>
      </w:r>
      <w:r>
        <w:rPr>
          <w:spacing w:val="-5"/>
        </w:rPr>
        <w:t> </w:t>
      </w:r>
      <w:r>
        <w:rPr/>
        <w:t>los</w:t>
      </w:r>
      <w:r>
        <w:rPr>
          <w:spacing w:val="-5"/>
        </w:rPr>
        <w:t> </w:t>
      </w:r>
      <w:r>
        <w:rPr/>
        <w:t>corredores</w:t>
      </w:r>
      <w:r>
        <w:rPr>
          <w:spacing w:val="-5"/>
        </w:rPr>
        <w:t> </w:t>
      </w:r>
      <w:r>
        <w:rPr/>
        <w:t>urbanizados</w:t>
      </w:r>
      <w:r>
        <w:rPr>
          <w:spacing w:val="-5"/>
        </w:rPr>
        <w:t> </w:t>
      </w:r>
      <w:r>
        <w:rPr/>
        <w:t>del</w:t>
      </w:r>
      <w:r>
        <w:rPr>
          <w:spacing w:val="-5"/>
        </w:rPr>
        <w:t> </w:t>
      </w:r>
      <w:r>
        <w:rPr/>
        <w:t>transporte y también los parques tecnológicos. En alguna distancia del centro de la ciudad nacen los barrios habitacionales de las clases más acomodadas con una infraestructura técnica y social bien desarrollado e infraestructura del transporte bastante eficiente.  En</w:t>
      </w:r>
      <w:r>
        <w:rPr>
          <w:spacing w:val="-7"/>
        </w:rPr>
        <w:t> </w:t>
      </w:r>
      <w:r>
        <w:rPr/>
        <w:t>las</w:t>
      </w:r>
      <w:r>
        <w:rPr>
          <w:spacing w:val="-7"/>
        </w:rPr>
        <w:t> </w:t>
      </w:r>
      <w:r>
        <w:rPr/>
        <w:t>distancias</w:t>
      </w:r>
      <w:r>
        <w:rPr>
          <w:spacing w:val="-7"/>
        </w:rPr>
        <w:t> </w:t>
      </w:r>
      <w:r>
        <w:rPr/>
        <w:t>mayores</w:t>
      </w:r>
      <w:r>
        <w:rPr>
          <w:spacing w:val="-7"/>
        </w:rPr>
        <w:t> </w:t>
      </w:r>
      <w:r>
        <w:rPr/>
        <w:t>se</w:t>
      </w:r>
      <w:r>
        <w:rPr>
          <w:spacing w:val="-7"/>
        </w:rPr>
        <w:t> </w:t>
      </w:r>
      <w:r>
        <w:rPr/>
        <w:t>organizan</w:t>
      </w:r>
      <w:r>
        <w:rPr>
          <w:spacing w:val="-7"/>
        </w:rPr>
        <w:t> </w:t>
      </w:r>
      <w:r>
        <w:rPr/>
        <w:t>las</w:t>
      </w:r>
      <w:r>
        <w:rPr>
          <w:spacing w:val="-7"/>
        </w:rPr>
        <w:t> </w:t>
      </w:r>
      <w:r>
        <w:rPr/>
        <w:t>áreas</w:t>
      </w:r>
      <w:r>
        <w:rPr>
          <w:spacing w:val="-7"/>
        </w:rPr>
        <w:t> </w:t>
      </w:r>
      <w:r>
        <w:rPr/>
        <w:t>verdes</w:t>
      </w:r>
      <w:r>
        <w:rPr>
          <w:spacing w:val="-7"/>
        </w:rPr>
        <w:t> </w:t>
      </w:r>
      <w:r>
        <w:rPr/>
        <w:t>residenciales</w:t>
      </w:r>
      <w:r>
        <w:rPr>
          <w:spacing w:val="-7"/>
        </w:rPr>
        <w:t> </w:t>
      </w:r>
      <w:r>
        <w:rPr/>
        <w:t>y</w:t>
      </w:r>
      <w:r>
        <w:rPr>
          <w:spacing w:val="-7"/>
        </w:rPr>
        <w:t> </w:t>
      </w:r>
      <w:r>
        <w:rPr/>
        <w:t>los</w:t>
      </w:r>
      <w:r>
        <w:rPr>
          <w:spacing w:val="-7"/>
        </w:rPr>
        <w:t> </w:t>
      </w:r>
      <w:r>
        <w:rPr/>
        <w:t>parques</w:t>
      </w:r>
      <w:r>
        <w:rPr>
          <w:spacing w:val="-7"/>
        </w:rPr>
        <w:t> </w:t>
      </w:r>
      <w:r>
        <w:rPr/>
        <w:t>de diversiones.</w:t>
      </w:r>
    </w:p>
    <w:p>
      <w:pPr>
        <w:pStyle w:val="BodyText"/>
        <w:spacing w:line="249" w:lineRule="auto" w:before="76"/>
        <w:ind w:left="131" w:right="127" w:firstLine="170"/>
        <w:jc w:val="both"/>
      </w:pPr>
      <w:r>
        <w:rPr/>
        <w:br w:type="column"/>
      </w:r>
      <w:r>
        <w:rPr/>
        <w:t>La heterogeneidad del entorno de la metrópolis provoca que sus actividades se concentren</w:t>
      </w:r>
      <w:r>
        <w:rPr>
          <w:spacing w:val="-10"/>
        </w:rPr>
        <w:t> </w:t>
      </w:r>
      <w:r>
        <w:rPr/>
        <w:t>sobre</w:t>
      </w:r>
      <w:r>
        <w:rPr>
          <w:spacing w:val="-10"/>
        </w:rPr>
        <w:t> </w:t>
      </w:r>
      <w:r>
        <w:rPr/>
        <w:t>la</w:t>
      </w:r>
      <w:r>
        <w:rPr>
          <w:spacing w:val="-10"/>
        </w:rPr>
        <w:t> </w:t>
      </w:r>
      <w:r>
        <w:rPr/>
        <w:t>continuidad</w:t>
      </w:r>
      <w:r>
        <w:rPr>
          <w:spacing w:val="-10"/>
        </w:rPr>
        <w:t> </w:t>
      </w:r>
      <w:r>
        <w:rPr/>
        <w:t>de</w:t>
      </w:r>
      <w:r>
        <w:rPr>
          <w:spacing w:val="-10"/>
        </w:rPr>
        <w:t> </w:t>
      </w:r>
      <w:r>
        <w:rPr/>
        <w:t>sus</w:t>
      </w:r>
      <w:r>
        <w:rPr>
          <w:spacing w:val="-10"/>
        </w:rPr>
        <w:t> </w:t>
      </w:r>
      <w:r>
        <w:rPr/>
        <w:t>procesos</w:t>
      </w:r>
      <w:r>
        <w:rPr>
          <w:spacing w:val="-10"/>
        </w:rPr>
        <w:t> </w:t>
      </w:r>
      <w:r>
        <w:rPr/>
        <w:t>de</w:t>
      </w:r>
      <w:r>
        <w:rPr>
          <w:spacing w:val="-10"/>
        </w:rPr>
        <w:t> </w:t>
      </w:r>
      <w:r>
        <w:rPr/>
        <w:t>desarrollo,</w:t>
      </w:r>
      <w:r>
        <w:rPr>
          <w:spacing w:val="-10"/>
        </w:rPr>
        <w:t> </w:t>
      </w:r>
      <w:r>
        <w:rPr/>
        <w:t>especialmente</w:t>
      </w:r>
      <w:r>
        <w:rPr>
          <w:spacing w:val="-10"/>
        </w:rPr>
        <w:t> </w:t>
      </w:r>
      <w:r>
        <w:rPr/>
        <w:t>tomando en cuenta que los límites de la ciudad se amplían por lo que se incluirán en la ciudad las áreas siguientes. Otra vía posible de desarrollo consiste en atraer a las inversiones o apoyo al desarrollo del entorno de la metrópolis a través de su propia estrategia (por ejemplo el desarrollo limitado de los territorios fuera de la metrópolis, además regulado por ella misma). El entorno de la metrópolis puede de manera autónoma programar su propio desarrollo aprovechando la renta de localización en la cercanía de ella</w:t>
      </w:r>
      <w:r>
        <w:rPr>
          <w:spacing w:val="40"/>
        </w:rPr>
        <w:t> </w:t>
      </w:r>
      <w:r>
        <w:rPr/>
        <w:t>misma.</w:t>
      </w:r>
    </w:p>
    <w:p>
      <w:pPr>
        <w:pStyle w:val="BodyText"/>
      </w:pPr>
    </w:p>
    <w:p>
      <w:pPr>
        <w:pStyle w:val="BodyText"/>
        <w:spacing w:before="5"/>
        <w:rPr>
          <w:sz w:val="21"/>
        </w:rPr>
      </w:pPr>
    </w:p>
    <w:p>
      <w:pPr>
        <w:pStyle w:val="Heading1"/>
        <w:spacing w:line="240" w:lineRule="exact"/>
        <w:ind w:left="301" w:right="-10" w:hanging="57"/>
      </w:pPr>
      <w:r>
        <w:rPr/>
        <w:t>Contexto del proceso de metropolización en México y Estado de México</w:t>
      </w:r>
    </w:p>
    <w:p>
      <w:pPr>
        <w:pStyle w:val="BodyText"/>
        <w:spacing w:before="2"/>
        <w:rPr>
          <w:b/>
          <w:sz w:val="21"/>
        </w:rPr>
      </w:pPr>
    </w:p>
    <w:p>
      <w:pPr>
        <w:pStyle w:val="BodyText"/>
        <w:spacing w:line="249" w:lineRule="auto" w:before="1"/>
        <w:ind w:left="131" w:right="127" w:firstLine="170"/>
        <w:jc w:val="both"/>
      </w:pPr>
      <w:r>
        <w:rPr/>
        <w:t>De acuerdo con Pacione (2005), la dinámica de crecimiento de espacios urbanos      y metropolitanos no se distribuye equivalentemente a lo largo de las regiones del mundo. En 1970 las regiones más desarrolladas y las menos desarrolladas tenían un número similar de población urbana, 677 millones y 676 millones respectivamente. Sin embargo, a partir de 1970 la población urbana en las regiones menos desarrolladas ha sobrepasado la de las más desarrolladas, entre las que se encuentra América Latina y el</w:t>
      </w:r>
      <w:r>
        <w:rPr>
          <w:spacing w:val="-5"/>
        </w:rPr>
        <w:t> </w:t>
      </w:r>
      <w:r>
        <w:rPr/>
        <w:t>Caribe.</w:t>
      </w:r>
    </w:p>
    <w:p>
      <w:pPr>
        <w:pStyle w:val="BodyText"/>
        <w:spacing w:before="11"/>
      </w:pPr>
    </w:p>
    <w:p>
      <w:pPr>
        <w:pStyle w:val="BodyText"/>
        <w:spacing w:line="249" w:lineRule="auto"/>
        <w:ind w:left="131" w:right="127" w:firstLine="170"/>
        <w:jc w:val="both"/>
      </w:pPr>
      <w:r>
        <w:rPr/>
        <w:t>En</w:t>
      </w:r>
      <w:r>
        <w:rPr>
          <w:spacing w:val="-4"/>
        </w:rPr>
        <w:t> </w:t>
      </w:r>
      <w:r>
        <w:rPr/>
        <w:t>1900</w:t>
      </w:r>
      <w:r>
        <w:rPr>
          <w:spacing w:val="-4"/>
        </w:rPr>
        <w:t> </w:t>
      </w:r>
      <w:r>
        <w:rPr/>
        <w:t>sólo</w:t>
      </w:r>
      <w:r>
        <w:rPr>
          <w:spacing w:val="-4"/>
        </w:rPr>
        <w:t> </w:t>
      </w:r>
      <w:r>
        <w:rPr/>
        <w:t>uno</w:t>
      </w:r>
      <w:r>
        <w:rPr>
          <w:spacing w:val="-4"/>
        </w:rPr>
        <w:t> </w:t>
      </w:r>
      <w:r>
        <w:rPr/>
        <w:t>de</w:t>
      </w:r>
      <w:r>
        <w:rPr>
          <w:spacing w:val="-4"/>
        </w:rPr>
        <w:t> </w:t>
      </w:r>
      <w:r>
        <w:rPr/>
        <w:t>cada</w:t>
      </w:r>
      <w:r>
        <w:rPr>
          <w:spacing w:val="-4"/>
        </w:rPr>
        <w:t> </w:t>
      </w:r>
      <w:r>
        <w:rPr/>
        <w:t>cuatro</w:t>
      </w:r>
      <w:r>
        <w:rPr>
          <w:spacing w:val="-4"/>
        </w:rPr>
        <w:t> </w:t>
      </w:r>
      <w:r>
        <w:rPr/>
        <w:t>habitantes</w:t>
      </w:r>
      <w:r>
        <w:rPr>
          <w:spacing w:val="-4"/>
        </w:rPr>
        <w:t> </w:t>
      </w:r>
      <w:r>
        <w:rPr/>
        <w:t>vivía</w:t>
      </w:r>
      <w:r>
        <w:rPr>
          <w:spacing w:val="-4"/>
        </w:rPr>
        <w:t> </w:t>
      </w:r>
      <w:r>
        <w:rPr/>
        <w:t>en</w:t>
      </w:r>
      <w:r>
        <w:rPr>
          <w:spacing w:val="-4"/>
        </w:rPr>
        <w:t> </w:t>
      </w:r>
      <w:r>
        <w:rPr/>
        <w:t>centros</w:t>
      </w:r>
      <w:r>
        <w:rPr>
          <w:spacing w:val="-4"/>
        </w:rPr>
        <w:t> </w:t>
      </w:r>
      <w:r>
        <w:rPr/>
        <w:t>urbanos</w:t>
      </w:r>
      <w:r>
        <w:rPr>
          <w:spacing w:val="-4"/>
        </w:rPr>
        <w:t> </w:t>
      </w:r>
      <w:r>
        <w:rPr/>
        <w:t>(asentamientos con</w:t>
      </w:r>
      <w:r>
        <w:rPr>
          <w:spacing w:val="-6"/>
        </w:rPr>
        <w:t> </w:t>
      </w:r>
      <w:r>
        <w:rPr/>
        <w:t>2.000</w:t>
      </w:r>
      <w:r>
        <w:rPr>
          <w:spacing w:val="-6"/>
        </w:rPr>
        <w:t> </w:t>
      </w:r>
      <w:r>
        <w:rPr/>
        <w:t>habitantes</w:t>
      </w:r>
      <w:r>
        <w:rPr>
          <w:spacing w:val="-7"/>
        </w:rPr>
        <w:t> </w:t>
      </w:r>
      <w:r>
        <w:rPr/>
        <w:t>o</w:t>
      </w:r>
      <w:r>
        <w:rPr>
          <w:spacing w:val="-6"/>
        </w:rPr>
        <w:t> </w:t>
      </w:r>
      <w:r>
        <w:rPr/>
        <w:t>más)</w:t>
      </w:r>
      <w:r>
        <w:rPr>
          <w:spacing w:val="-6"/>
        </w:rPr>
        <w:t> </w:t>
      </w:r>
      <w:r>
        <w:rPr/>
        <w:t>mientras</w:t>
      </w:r>
      <w:r>
        <w:rPr>
          <w:spacing w:val="-6"/>
        </w:rPr>
        <w:t> </w:t>
      </w:r>
      <w:r>
        <w:rPr/>
        <w:t>que</w:t>
      </w:r>
      <w:r>
        <w:rPr>
          <w:spacing w:val="-6"/>
        </w:rPr>
        <w:t> </w:t>
      </w:r>
      <w:r>
        <w:rPr/>
        <w:t>a</w:t>
      </w:r>
      <w:r>
        <w:rPr>
          <w:spacing w:val="-6"/>
        </w:rPr>
        <w:t> </w:t>
      </w:r>
      <w:r>
        <w:rPr/>
        <w:t>principios</w:t>
      </w:r>
      <w:r>
        <w:rPr>
          <w:spacing w:val="-7"/>
        </w:rPr>
        <w:t> </w:t>
      </w:r>
      <w:r>
        <w:rPr/>
        <w:t>del</w:t>
      </w:r>
      <w:r>
        <w:rPr>
          <w:spacing w:val="-6"/>
        </w:rPr>
        <w:t> </w:t>
      </w:r>
      <w:r>
        <w:rPr/>
        <w:t>siglo</w:t>
      </w:r>
      <w:r>
        <w:rPr>
          <w:spacing w:val="-6"/>
        </w:rPr>
        <w:t> </w:t>
      </w:r>
      <w:r>
        <w:rPr/>
        <w:t>XXI,</w:t>
      </w:r>
      <w:r>
        <w:rPr>
          <w:spacing w:val="-6"/>
        </w:rPr>
        <w:t> </w:t>
      </w:r>
      <w:r>
        <w:rPr/>
        <w:t>tres</w:t>
      </w:r>
      <w:r>
        <w:rPr>
          <w:spacing w:val="-6"/>
        </w:rPr>
        <w:t> </w:t>
      </w:r>
      <w:r>
        <w:rPr/>
        <w:t>de</w:t>
      </w:r>
      <w:r>
        <w:rPr>
          <w:spacing w:val="-6"/>
        </w:rPr>
        <w:t> </w:t>
      </w:r>
      <w:r>
        <w:rPr/>
        <w:t>cada</w:t>
      </w:r>
      <w:r>
        <w:rPr>
          <w:spacing w:val="-6"/>
        </w:rPr>
        <w:t> </w:t>
      </w:r>
      <w:r>
        <w:rPr/>
        <w:t>cuatro habitantes residían en ellas. En los comienzos del siglo XX ninguna de las ciudades de la región alcanzaba el millón de habitantes. Sin embargo, en el año 2000 existían 49 ciudades que superaban dicha cifra, y cuatro de ellas figuraban entre las diez urbes más grandes del mundo. Dado que la concentración de población en ciudades se  debe al mayor número de oportunidades de desarrollo personal y mejor calidad de  vida que ofrecen, es de esperar que esta tendencia de crecimiento urbano continúe, y que el 80% de la población de América Latina se encuentre, hacia 2025, viviendo en ciudades, e incluso que nueve núcleos urbanos adicionales se agreguen al grupo de los que tienen más de un millón de habitantes (Rojas, Cuadrado-Roura y Fernández , 2005), iniciándose el fenómeno de</w:t>
      </w:r>
      <w:r>
        <w:rPr>
          <w:spacing w:val="27"/>
        </w:rPr>
        <w:t> </w:t>
      </w:r>
      <w:r>
        <w:rPr/>
        <w:t>metropolización.</w:t>
      </w:r>
    </w:p>
    <w:p>
      <w:pPr>
        <w:pStyle w:val="BodyText"/>
        <w:spacing w:before="11"/>
      </w:pPr>
    </w:p>
    <w:p>
      <w:pPr>
        <w:pStyle w:val="BodyText"/>
        <w:spacing w:line="249" w:lineRule="auto"/>
        <w:ind w:left="131" w:right="127" w:firstLine="170"/>
        <w:jc w:val="both"/>
      </w:pPr>
      <w:r>
        <w:rPr/>
        <w:t>En México la conformación metropolitana, de acuerdo con SEDESOL, CONAPO, INEGI, (2008), tiene sus inicios en la década del cuarenta, con la conformación de    las áreas metropolitanas de las ciudades de México, Monterrey, Torreón, Tampico       y Orizaba. Durante los años cincuenta y sesenta otras seis localidades rebasaron el límite municipal de la ciudad central y en los setenta ocurrió la mayor manifestación metropolitana al contabilizarse 13 casos en</w:t>
      </w:r>
      <w:r>
        <w:rPr>
          <w:spacing w:val="45"/>
        </w:rPr>
        <w:t> </w:t>
      </w:r>
      <w:r>
        <w:rPr/>
        <w:t>total.</w:t>
      </w:r>
    </w:p>
    <w:p>
      <w:pPr>
        <w:spacing w:after="0" w:line="249" w:lineRule="auto"/>
        <w:jc w:val="both"/>
        <w:sectPr>
          <w:type w:val="continuous"/>
          <w:pgSz w:w="18830" w:h="12760" w:orient="landscape"/>
          <w:pgMar w:top="1420" w:bottom="280" w:left="720" w:right="720"/>
          <w:cols w:num="2" w:equalWidth="0">
            <w:col w:w="7843" w:space="1568"/>
            <w:col w:w="7979"/>
          </w:cols>
        </w:sectPr>
      </w:pPr>
    </w:p>
    <w:p>
      <w:pPr>
        <w:pStyle w:val="BodyText"/>
        <w:spacing w:before="6"/>
        <w:rPr>
          <w:sz w:val="23"/>
        </w:rPr>
      </w:pPr>
    </w:p>
    <w:p>
      <w:pPr>
        <w:spacing w:after="0"/>
        <w:rPr>
          <w:sz w:val="23"/>
        </w:rPr>
        <w:sectPr>
          <w:footerReference w:type="default" r:id="rId431"/>
          <w:pgSz w:w="18830" w:h="12760" w:orient="landscape"/>
          <w:pgMar w:footer="1036" w:header="522" w:top="820" w:bottom="1220" w:left="720" w:right="720"/>
        </w:sectPr>
      </w:pPr>
    </w:p>
    <w:p>
      <w:pPr>
        <w:pStyle w:val="BodyText"/>
        <w:spacing w:line="249" w:lineRule="auto" w:before="76"/>
        <w:ind w:left="144" w:firstLine="170"/>
        <w:jc w:val="both"/>
      </w:pPr>
      <w:r>
        <w:rPr/>
        <w:t>Entre</w:t>
      </w:r>
      <w:r>
        <w:rPr>
          <w:spacing w:val="-9"/>
        </w:rPr>
        <w:t> </w:t>
      </w:r>
      <w:r>
        <w:rPr/>
        <w:t>1940</w:t>
      </w:r>
      <w:r>
        <w:rPr>
          <w:spacing w:val="-9"/>
        </w:rPr>
        <w:t> </w:t>
      </w:r>
      <w:r>
        <w:rPr/>
        <w:t>y</w:t>
      </w:r>
      <w:r>
        <w:rPr>
          <w:spacing w:val="-9"/>
        </w:rPr>
        <w:t> </w:t>
      </w:r>
      <w:r>
        <w:rPr/>
        <w:t>1980</w:t>
      </w:r>
      <w:r>
        <w:rPr>
          <w:spacing w:val="-9"/>
        </w:rPr>
        <w:t> </w:t>
      </w:r>
      <w:r>
        <w:rPr/>
        <w:t>se</w:t>
      </w:r>
      <w:r>
        <w:rPr>
          <w:spacing w:val="-9"/>
        </w:rPr>
        <w:t> </w:t>
      </w:r>
      <w:r>
        <w:rPr/>
        <w:t>conformaron</w:t>
      </w:r>
      <w:r>
        <w:rPr>
          <w:spacing w:val="-9"/>
        </w:rPr>
        <w:t> </w:t>
      </w:r>
      <w:r>
        <w:rPr/>
        <w:t>26</w:t>
      </w:r>
      <w:r>
        <w:rPr>
          <w:spacing w:val="-9"/>
        </w:rPr>
        <w:t> </w:t>
      </w:r>
      <w:r>
        <w:rPr/>
        <w:t>zonas</w:t>
      </w:r>
      <w:r>
        <w:rPr>
          <w:spacing w:val="-9"/>
        </w:rPr>
        <w:t> </w:t>
      </w:r>
      <w:r>
        <w:rPr/>
        <w:t>metropolitanas,</w:t>
      </w:r>
      <w:r>
        <w:rPr>
          <w:spacing w:val="-9"/>
        </w:rPr>
        <w:t> </w:t>
      </w:r>
      <w:r>
        <w:rPr/>
        <w:t>sin</w:t>
      </w:r>
      <w:r>
        <w:rPr>
          <w:spacing w:val="-9"/>
        </w:rPr>
        <w:t> </w:t>
      </w:r>
      <w:r>
        <w:rPr/>
        <w:t>embargo,</w:t>
      </w:r>
      <w:r>
        <w:rPr>
          <w:spacing w:val="-9"/>
        </w:rPr>
        <w:t> </w:t>
      </w:r>
      <w:r>
        <w:rPr/>
        <w:t>para</w:t>
      </w:r>
      <w:r>
        <w:rPr>
          <w:spacing w:val="-9"/>
        </w:rPr>
        <w:t> </w:t>
      </w:r>
      <w:r>
        <w:rPr/>
        <w:t>el</w:t>
      </w:r>
      <w:r>
        <w:rPr>
          <w:spacing w:val="-9"/>
        </w:rPr>
        <w:t> </w:t>
      </w:r>
      <w:r>
        <w:rPr/>
        <w:t>año 2005,</w:t>
      </w:r>
      <w:r>
        <w:rPr>
          <w:spacing w:val="-29"/>
        </w:rPr>
        <w:t> </w:t>
      </w:r>
      <w:r>
        <w:rPr/>
        <w:t>CONAPO,</w:t>
      </w:r>
      <w:r>
        <w:rPr>
          <w:spacing w:val="-29"/>
        </w:rPr>
        <w:t> </w:t>
      </w:r>
      <w:r>
        <w:rPr/>
        <w:t>SEDESOL</w:t>
      </w:r>
      <w:r>
        <w:rPr>
          <w:spacing w:val="-29"/>
        </w:rPr>
        <w:t> </w:t>
      </w:r>
      <w:r>
        <w:rPr/>
        <w:t>e</w:t>
      </w:r>
      <w:r>
        <w:rPr>
          <w:spacing w:val="-29"/>
        </w:rPr>
        <w:t> </w:t>
      </w:r>
      <w:r>
        <w:rPr/>
        <w:t>INEGI</w:t>
      </w:r>
      <w:r>
        <w:rPr>
          <w:spacing w:val="-29"/>
        </w:rPr>
        <w:t> </w:t>
      </w:r>
      <w:r>
        <w:rPr/>
        <w:t>(2005)</w:t>
      </w:r>
      <w:r>
        <w:rPr>
          <w:spacing w:val="-29"/>
        </w:rPr>
        <w:t> </w:t>
      </w:r>
      <w:r>
        <w:rPr/>
        <w:t>identifican</w:t>
      </w:r>
      <w:r>
        <w:rPr>
          <w:spacing w:val="-29"/>
        </w:rPr>
        <w:t> </w:t>
      </w:r>
      <w:r>
        <w:rPr/>
        <w:t>en</w:t>
      </w:r>
      <w:r>
        <w:rPr>
          <w:spacing w:val="-29"/>
        </w:rPr>
        <w:t> </w:t>
      </w:r>
      <w:r>
        <w:rPr/>
        <w:t>el</w:t>
      </w:r>
      <w:r>
        <w:rPr>
          <w:spacing w:val="-29"/>
        </w:rPr>
        <w:t> </w:t>
      </w:r>
      <w:r>
        <w:rPr/>
        <w:t>país</w:t>
      </w:r>
      <w:r>
        <w:rPr>
          <w:spacing w:val="-29"/>
        </w:rPr>
        <w:t> </w:t>
      </w:r>
      <w:r>
        <w:rPr/>
        <w:t>56</w:t>
      </w:r>
      <w:r>
        <w:rPr>
          <w:spacing w:val="-29"/>
        </w:rPr>
        <w:t> </w:t>
      </w:r>
      <w:r>
        <w:rPr/>
        <w:t>zonas</w:t>
      </w:r>
      <w:r>
        <w:rPr>
          <w:spacing w:val="-29"/>
        </w:rPr>
        <w:t> </w:t>
      </w:r>
      <w:r>
        <w:rPr/>
        <w:t>metropolitanas, las cuales son las de mayor jerarquía dentro del sistema urbano nacional, en ellas     se genera 71% del producto interno bruto del país y tienen el potencial de incidir favorablemente en el desarrollo económico y social de sus respectivas regiones. Para el 2010, se detectan tres zonas metropolitanas más, llegando a un total de 59. La población que reside en ellas asciende a 63.8 millones de personas, lo que representa 56.8% de la población nacional (CONAPO,</w:t>
      </w:r>
      <w:r>
        <w:rPr>
          <w:spacing w:val="5"/>
        </w:rPr>
        <w:t> </w:t>
      </w:r>
      <w:r>
        <w:rPr/>
        <w:t>2010).</w:t>
      </w:r>
    </w:p>
    <w:p>
      <w:pPr>
        <w:pStyle w:val="BodyText"/>
        <w:spacing w:before="11"/>
      </w:pPr>
    </w:p>
    <w:p>
      <w:pPr>
        <w:pStyle w:val="BodyText"/>
        <w:spacing w:line="249" w:lineRule="auto"/>
        <w:ind w:left="144" w:firstLine="170"/>
        <w:jc w:val="both"/>
      </w:pPr>
      <w:r>
        <w:rPr/>
        <w:t>Las cincuenta y nueve zonas metropolitanas albergan 63.8 millones de habitantes, que representan más de la mitad de la población total del país (56.8%), y en donde   se concentra más del 70% de su Producto Interno Bruto (PIB). Destacan nueve zonas metropolitanas con más de un millón de habitantes: México, Guadalajara, Monterrey, Puebla-Tlaxcala,</w:t>
      </w:r>
      <w:r>
        <w:rPr>
          <w:spacing w:val="-12"/>
        </w:rPr>
        <w:t> </w:t>
      </w:r>
      <w:r>
        <w:rPr/>
        <w:t>Toluca,</w:t>
      </w:r>
      <w:r>
        <w:rPr>
          <w:spacing w:val="-12"/>
        </w:rPr>
        <w:t> </w:t>
      </w:r>
      <w:r>
        <w:rPr/>
        <w:t>Tijuana,</w:t>
      </w:r>
      <w:r>
        <w:rPr>
          <w:spacing w:val="-12"/>
        </w:rPr>
        <w:t> </w:t>
      </w:r>
      <w:r>
        <w:rPr/>
        <w:t>Ciudad</w:t>
      </w:r>
      <w:r>
        <w:rPr>
          <w:spacing w:val="-12"/>
        </w:rPr>
        <w:t> </w:t>
      </w:r>
      <w:r>
        <w:rPr/>
        <w:t>Juárez,</w:t>
      </w:r>
      <w:r>
        <w:rPr>
          <w:spacing w:val="-12"/>
        </w:rPr>
        <w:t> </w:t>
      </w:r>
      <w:r>
        <w:rPr/>
        <w:t>León</w:t>
      </w:r>
      <w:r>
        <w:rPr>
          <w:spacing w:val="-12"/>
        </w:rPr>
        <w:t> </w:t>
      </w:r>
      <w:r>
        <w:rPr/>
        <w:t>y</w:t>
      </w:r>
      <w:r>
        <w:rPr>
          <w:spacing w:val="-12"/>
        </w:rPr>
        <w:t> </w:t>
      </w:r>
      <w:r>
        <w:rPr/>
        <w:t>La</w:t>
      </w:r>
      <w:r>
        <w:rPr>
          <w:spacing w:val="-12"/>
        </w:rPr>
        <w:t> </w:t>
      </w:r>
      <w:r>
        <w:rPr/>
        <w:t>Laguna,</w:t>
      </w:r>
      <w:r>
        <w:rPr>
          <w:spacing w:val="-12"/>
        </w:rPr>
        <w:t> </w:t>
      </w:r>
      <w:r>
        <w:rPr/>
        <w:t>donde</w:t>
      </w:r>
      <w:r>
        <w:rPr>
          <w:spacing w:val="-12"/>
        </w:rPr>
        <w:t> </w:t>
      </w:r>
      <w:r>
        <w:rPr/>
        <w:t>residen</w:t>
      </w:r>
      <w:r>
        <w:rPr>
          <w:spacing w:val="-12"/>
        </w:rPr>
        <w:t> </w:t>
      </w:r>
      <w:r>
        <w:rPr/>
        <w:t>más de 36 millones de personas, poco más de la tercera parte del total nacional (35.4%). De</w:t>
      </w:r>
      <w:r>
        <w:rPr>
          <w:spacing w:val="-7"/>
        </w:rPr>
        <w:t> </w:t>
      </w:r>
      <w:r>
        <w:rPr/>
        <w:t>acuerdo</w:t>
      </w:r>
      <w:r>
        <w:rPr>
          <w:spacing w:val="-7"/>
        </w:rPr>
        <w:t> </w:t>
      </w:r>
      <w:r>
        <w:rPr/>
        <w:t>con</w:t>
      </w:r>
      <w:r>
        <w:rPr>
          <w:spacing w:val="-7"/>
        </w:rPr>
        <w:t> </w:t>
      </w:r>
      <w:r>
        <w:rPr/>
        <w:t>las</w:t>
      </w:r>
      <w:r>
        <w:rPr>
          <w:spacing w:val="-7"/>
        </w:rPr>
        <w:t> </w:t>
      </w:r>
      <w:r>
        <w:rPr/>
        <w:t>proyecciones</w:t>
      </w:r>
      <w:r>
        <w:rPr>
          <w:spacing w:val="-7"/>
        </w:rPr>
        <w:t> </w:t>
      </w:r>
      <w:r>
        <w:rPr/>
        <w:t>del</w:t>
      </w:r>
      <w:r>
        <w:rPr>
          <w:spacing w:val="-7"/>
        </w:rPr>
        <w:t> </w:t>
      </w:r>
      <w:r>
        <w:rPr/>
        <w:t>Consejo</w:t>
      </w:r>
      <w:r>
        <w:rPr>
          <w:spacing w:val="-7"/>
        </w:rPr>
        <w:t> </w:t>
      </w:r>
      <w:r>
        <w:rPr/>
        <w:t>Nacional</w:t>
      </w:r>
      <w:r>
        <w:rPr>
          <w:spacing w:val="-7"/>
        </w:rPr>
        <w:t> </w:t>
      </w:r>
      <w:r>
        <w:rPr/>
        <w:t>de</w:t>
      </w:r>
      <w:r>
        <w:rPr>
          <w:spacing w:val="-7"/>
        </w:rPr>
        <w:t> </w:t>
      </w:r>
      <w:r>
        <w:rPr/>
        <w:t>Población</w:t>
      </w:r>
      <w:r>
        <w:rPr>
          <w:spacing w:val="-7"/>
        </w:rPr>
        <w:t> </w:t>
      </w:r>
      <w:r>
        <w:rPr/>
        <w:t>(CONAPO,</w:t>
      </w:r>
      <w:r>
        <w:rPr>
          <w:spacing w:val="-7"/>
        </w:rPr>
        <w:t> </w:t>
      </w:r>
      <w:r>
        <w:rPr/>
        <w:t>2005), durante los próximos 25 años se duplicarán las zonas metropolitanas que rebasen el millón de habitantes, donde se concentrarán 54.4 millones de personas. Es decir, más de la mitad de la población</w:t>
      </w:r>
      <w:r>
        <w:rPr>
          <w:spacing w:val="42"/>
        </w:rPr>
        <w:t> </w:t>
      </w:r>
      <w:r>
        <w:rPr/>
        <w:t>nacional.</w:t>
      </w:r>
    </w:p>
    <w:p>
      <w:pPr>
        <w:pStyle w:val="BodyText"/>
        <w:spacing w:before="11"/>
      </w:pPr>
    </w:p>
    <w:p>
      <w:pPr>
        <w:pStyle w:val="BodyText"/>
        <w:spacing w:line="249" w:lineRule="auto"/>
        <w:ind w:left="144" w:firstLine="170"/>
        <w:jc w:val="both"/>
      </w:pPr>
      <w:r>
        <w:rPr/>
        <w:t>En el Estado de México, según Iracheta (2009), la híper-urbanización acelerada        y desordenada, ha dado como resultado que nueve de cada diez habitantes de la entidad se concentren en dos grandes metrópolis: la zona metropolitana del valle de México y la zona metropolitana de Toluca. En ambas, se destaca el desorden y la   falta de presencia gubernamental para controlar el proceso. Como producto de estos fenómenos, la mayor parte de los mexiquenses enfrentan serios problemas urbanos, porque no existe una estrategia de ordenación de los asentamientos humanos; igualmente de ordenación y desarrollo del</w:t>
      </w:r>
      <w:r>
        <w:rPr>
          <w:spacing w:val="49"/>
        </w:rPr>
        <w:t> </w:t>
      </w:r>
      <w:r>
        <w:rPr/>
        <w:t>transporte.</w:t>
      </w:r>
    </w:p>
    <w:p>
      <w:pPr>
        <w:pStyle w:val="BodyText"/>
        <w:spacing w:before="11"/>
      </w:pPr>
    </w:p>
    <w:p>
      <w:pPr>
        <w:pStyle w:val="BodyText"/>
        <w:spacing w:line="249" w:lineRule="auto"/>
        <w:ind w:left="144" w:firstLine="170"/>
        <w:jc w:val="both"/>
      </w:pPr>
      <w:r>
        <w:rPr/>
        <w:t>Específicamente la zona metropolitana de Toluca (ZMT), su expansión física, es un asunto</w:t>
      </w:r>
      <w:r>
        <w:rPr>
          <w:spacing w:val="-7"/>
        </w:rPr>
        <w:t> </w:t>
      </w:r>
      <w:r>
        <w:rPr/>
        <w:t>de</w:t>
      </w:r>
      <w:r>
        <w:rPr>
          <w:spacing w:val="-7"/>
        </w:rPr>
        <w:t> </w:t>
      </w:r>
      <w:r>
        <w:rPr/>
        <w:t>interés</w:t>
      </w:r>
      <w:r>
        <w:rPr>
          <w:spacing w:val="-7"/>
        </w:rPr>
        <w:t> </w:t>
      </w:r>
      <w:r>
        <w:rPr/>
        <w:t>por</w:t>
      </w:r>
      <w:r>
        <w:rPr>
          <w:spacing w:val="-7"/>
        </w:rPr>
        <w:t> </w:t>
      </w:r>
      <w:r>
        <w:rPr/>
        <w:t>la</w:t>
      </w:r>
      <w:r>
        <w:rPr>
          <w:spacing w:val="-7"/>
        </w:rPr>
        <w:t> </w:t>
      </w:r>
      <w:r>
        <w:rPr/>
        <w:t>acelerada</w:t>
      </w:r>
      <w:r>
        <w:rPr>
          <w:spacing w:val="-7"/>
        </w:rPr>
        <w:t> </w:t>
      </w:r>
      <w:r>
        <w:rPr/>
        <w:t>incorporación</w:t>
      </w:r>
      <w:r>
        <w:rPr>
          <w:spacing w:val="-7"/>
        </w:rPr>
        <w:t> </w:t>
      </w:r>
      <w:r>
        <w:rPr/>
        <w:t>de</w:t>
      </w:r>
      <w:r>
        <w:rPr>
          <w:spacing w:val="-7"/>
        </w:rPr>
        <w:t> </w:t>
      </w:r>
      <w:r>
        <w:rPr/>
        <w:t>gobiernos</w:t>
      </w:r>
      <w:r>
        <w:rPr>
          <w:spacing w:val="-7"/>
        </w:rPr>
        <w:t> </w:t>
      </w:r>
      <w:r>
        <w:rPr/>
        <w:t>municipales</w:t>
      </w:r>
      <w:r>
        <w:rPr>
          <w:spacing w:val="-7"/>
        </w:rPr>
        <w:t> </w:t>
      </w:r>
      <w:r>
        <w:rPr/>
        <w:t>con</w:t>
      </w:r>
      <w:r>
        <w:rPr>
          <w:spacing w:val="-7"/>
        </w:rPr>
        <w:t> </w:t>
      </w:r>
      <w:r>
        <w:rPr/>
        <w:t>distintas características locales y de marcos normativos de planeación, por su fragmentación administrativa, por la ausencia de una gestión y administración metropolitana. De acuerdo con Iracheta (2009), históricamente se ha dado mayor prioridad a la atención de la zona metropolitana del valle de México, dejando de lado un fenómeno que crece rápidamente y que cada vez tiene mayor importancia, la ciudad de Toluca, capital del Estado de</w:t>
      </w:r>
      <w:r>
        <w:rPr>
          <w:spacing w:val="25"/>
        </w:rPr>
        <w:t> </w:t>
      </w:r>
      <w:r>
        <w:rPr/>
        <w:t>México.</w:t>
      </w:r>
    </w:p>
    <w:p>
      <w:pPr>
        <w:pStyle w:val="BodyText"/>
        <w:spacing w:before="11"/>
      </w:pPr>
    </w:p>
    <w:p>
      <w:pPr>
        <w:pStyle w:val="BodyText"/>
        <w:spacing w:line="249" w:lineRule="auto"/>
        <w:ind w:left="144" w:firstLine="170"/>
        <w:jc w:val="both"/>
      </w:pPr>
      <w:r>
        <w:rPr/>
        <w:t>Alrededor del área urbana del municipio de Toluca se han integrado otros tejidos urbanos en expansión de los municipios vecinos. En la década del sesenta “como resultado de una acelerada industrialización, el crecimiento demográfico y la urbanización iniciaron un proceso acelerado y desordenado que entre 1970 y 2010</w:t>
      </w:r>
    </w:p>
    <w:p>
      <w:pPr>
        <w:pStyle w:val="BodyText"/>
        <w:spacing w:line="249" w:lineRule="auto" w:before="76"/>
        <w:ind w:left="144" w:right="129"/>
        <w:jc w:val="both"/>
      </w:pPr>
      <w:r>
        <w:rPr/>
        <w:br w:type="column"/>
      </w:r>
      <w:r>
        <w:rPr/>
        <w:t>pasó de 617 mil 481 a 2 millones 172 mil 35 habitantes, implicando una tasa promedio anual de crecimiento poblacional de 3.19 % frente a la estatal que fue de 3.50 por ciento (Iracheta y Pedrotti, 2011).</w:t>
      </w:r>
    </w:p>
    <w:p>
      <w:pPr>
        <w:pStyle w:val="BodyText"/>
        <w:spacing w:before="11"/>
      </w:pPr>
    </w:p>
    <w:p>
      <w:pPr>
        <w:pStyle w:val="BodyText"/>
        <w:spacing w:line="249" w:lineRule="auto"/>
        <w:ind w:left="144" w:right="127" w:firstLine="170"/>
        <w:jc w:val="both"/>
      </w:pPr>
      <w:r>
        <w:rPr/>
        <w:t>Los criterios para delimitar las zonas metropolitanas han cambiado entre regiones     y según la temporalidad donde se encuentran y  la  información  oficial  disponible, entre otros. En México se define como zona metropolitana al conjunto de dos o       más municipios donde se localiza una ciudad de 50 mil o más habitantes, cuya área urbana, funciones y actividades rebasan el límite del municipio que originalmente la contenía, incorporando como parte de sí misma o de su área de influencia directa a municipios vecinos, predominantemente urbanos, con los que mantienen un alto grado de integración socioeconómica; en esta definición se incluyen además a aquellos municipios que por sus características particulares son relevantes para la planeación y políticas</w:t>
      </w:r>
      <w:r>
        <w:rPr>
          <w:spacing w:val="-24"/>
        </w:rPr>
        <w:t> </w:t>
      </w:r>
      <w:r>
        <w:rPr/>
        <w:t>urbanas</w:t>
      </w:r>
      <w:r>
        <w:rPr>
          <w:spacing w:val="-24"/>
        </w:rPr>
        <w:t> </w:t>
      </w:r>
      <w:r>
        <w:rPr/>
        <w:t>(CONAPO-SEDESOL-INEGI,</w:t>
      </w:r>
      <w:r>
        <w:rPr>
          <w:spacing w:val="-24"/>
        </w:rPr>
        <w:t> </w:t>
      </w:r>
      <w:r>
        <w:rPr/>
        <w:t>2005).</w:t>
      </w:r>
    </w:p>
    <w:p>
      <w:pPr>
        <w:pStyle w:val="BodyText"/>
        <w:spacing w:before="11"/>
      </w:pPr>
    </w:p>
    <w:p>
      <w:pPr>
        <w:pStyle w:val="BodyText"/>
        <w:spacing w:line="249" w:lineRule="auto"/>
        <w:ind w:left="144" w:right="127" w:firstLine="170"/>
        <w:jc w:val="both"/>
      </w:pPr>
      <w:r>
        <w:rPr/>
        <w:t>En estas zonas metropolitanas, de acuerdo a la INEGI (2010), se pueden definir   tres grupos de municipios: los municipios centrales, donde se localiza la ciudad que   da origen a la zona metropolitana; los municipios exteriores definidos con base en criterios estadísticos y geográficos, que son contiguos a los anteriores, sus localidades geo estadísticas urbanas no están conurbadas a la ciudad central, pero  manifiestan  un carácter predominantemente urbano, al tiempo que mantienen un alto grado de integración funcional con los municipios centrales de la zona metropolitana; y, por último, los municipios exteriores definidos con base en criterios de planeación y política urbana, los cuales se encuentran reconocidos por los gobiernos, federal y locales, como parte de una zona metropolitana, además de que presentan un carácter predominantemente urbano y mantienen un alto grado de integración funcional con los municipios</w:t>
      </w:r>
      <w:r>
        <w:rPr>
          <w:spacing w:val="25"/>
        </w:rPr>
        <w:t> </w:t>
      </w:r>
      <w:r>
        <w:rPr/>
        <w:t>centrales.</w:t>
      </w:r>
    </w:p>
    <w:p>
      <w:pPr>
        <w:pStyle w:val="BodyText"/>
        <w:spacing w:before="11"/>
      </w:pPr>
    </w:p>
    <w:p>
      <w:pPr>
        <w:pStyle w:val="BodyText"/>
        <w:spacing w:line="249" w:lineRule="auto"/>
        <w:ind w:left="144" w:right="127" w:firstLine="170"/>
        <w:jc w:val="both"/>
      </w:pPr>
      <w:r>
        <w:rPr/>
        <w:t>La mayoría de los estudios sobre la metropolización han sido elaborados a partir    de enfoques fundamentalmente cuantitativos espaciales en donde se ha otorgado a   la demografía y a la economía un papel preponderante. Principalmente en cuanto a   su morfología y crecimiento. Los procesos de urbanización, las características de la población, la estructura del empleo y del mercado de trabajo, la concentración de la riqueza, así como la integración regional y funcional de actividades económicas, entre otros ejes de análisis, han desempeñado un papel capital para la delimitación de una zona metropolitana (Salazar y Negrete, 1986; Sobrino, 2003) o simplemente para su estudio sistemático (Aguilar Barajas, 1995; Garrocho y Sobrino, 1995; Garza y Rivera, 1993;</w:t>
      </w:r>
      <w:r>
        <w:rPr>
          <w:spacing w:val="-7"/>
        </w:rPr>
        <w:t> </w:t>
      </w:r>
      <w:r>
        <w:rPr/>
        <w:t>Sobrino,</w:t>
      </w:r>
      <w:r>
        <w:rPr>
          <w:spacing w:val="-7"/>
        </w:rPr>
        <w:t> </w:t>
      </w:r>
      <w:r>
        <w:rPr/>
        <w:t>1996).</w:t>
      </w:r>
      <w:r>
        <w:rPr>
          <w:spacing w:val="-7"/>
        </w:rPr>
        <w:t> </w:t>
      </w:r>
      <w:r>
        <w:rPr/>
        <w:t>En</w:t>
      </w:r>
      <w:r>
        <w:rPr>
          <w:spacing w:val="-7"/>
        </w:rPr>
        <w:t> </w:t>
      </w:r>
      <w:r>
        <w:rPr/>
        <w:t>menor</w:t>
      </w:r>
      <w:r>
        <w:rPr>
          <w:spacing w:val="-7"/>
        </w:rPr>
        <w:t> </w:t>
      </w:r>
      <w:r>
        <w:rPr/>
        <w:t>medida,</w:t>
      </w:r>
      <w:r>
        <w:rPr>
          <w:spacing w:val="-7"/>
        </w:rPr>
        <w:t> </w:t>
      </w:r>
      <w:r>
        <w:rPr/>
        <w:t>se</w:t>
      </w:r>
      <w:r>
        <w:rPr>
          <w:spacing w:val="-7"/>
        </w:rPr>
        <w:t> </w:t>
      </w:r>
      <w:r>
        <w:rPr/>
        <w:t>han</w:t>
      </w:r>
      <w:r>
        <w:rPr>
          <w:spacing w:val="-7"/>
        </w:rPr>
        <w:t> </w:t>
      </w:r>
      <w:r>
        <w:rPr/>
        <w:t>hecho</w:t>
      </w:r>
      <w:r>
        <w:rPr>
          <w:spacing w:val="-7"/>
        </w:rPr>
        <w:t> </w:t>
      </w:r>
      <w:r>
        <w:rPr/>
        <w:t>estudios</w:t>
      </w:r>
      <w:r>
        <w:rPr>
          <w:spacing w:val="-7"/>
        </w:rPr>
        <w:t> </w:t>
      </w:r>
      <w:r>
        <w:rPr/>
        <w:t>que</w:t>
      </w:r>
      <w:r>
        <w:rPr>
          <w:spacing w:val="-7"/>
        </w:rPr>
        <w:t> </w:t>
      </w:r>
      <w:r>
        <w:rPr/>
        <w:t>asocian</w:t>
      </w:r>
      <w:r>
        <w:rPr>
          <w:spacing w:val="-7"/>
        </w:rPr>
        <w:t> </w:t>
      </w:r>
      <w:r>
        <w:rPr/>
        <w:t>el</w:t>
      </w:r>
      <w:r>
        <w:rPr>
          <w:spacing w:val="-7"/>
        </w:rPr>
        <w:t> </w:t>
      </w:r>
      <w:r>
        <w:rPr/>
        <w:t>proceso de metropolización con sus implicaciones para la administración pública local y con las relaciones intergubernamentales de los territorios que integran la metrópoli, entre ellos Cabrero</w:t>
      </w:r>
      <w:r>
        <w:rPr>
          <w:spacing w:val="-19"/>
        </w:rPr>
        <w:t> </w:t>
      </w:r>
      <w:r>
        <w:rPr/>
        <w:t>(1996),</w:t>
      </w:r>
      <w:r>
        <w:rPr>
          <w:spacing w:val="-19"/>
        </w:rPr>
        <w:t> </w:t>
      </w:r>
      <w:r>
        <w:rPr/>
        <w:t>Villar</w:t>
      </w:r>
      <w:r>
        <w:rPr>
          <w:spacing w:val="-19"/>
        </w:rPr>
        <w:t> </w:t>
      </w:r>
      <w:r>
        <w:rPr/>
        <w:t>(1998),</w:t>
      </w:r>
      <w:r>
        <w:rPr>
          <w:spacing w:val="-19"/>
        </w:rPr>
        <w:t> </w:t>
      </w:r>
      <w:r>
        <w:rPr/>
        <w:t>Ramírez</w:t>
      </w:r>
      <w:r>
        <w:rPr>
          <w:spacing w:val="-19"/>
        </w:rPr>
        <w:t> </w:t>
      </w:r>
      <w:r>
        <w:rPr/>
        <w:t>(2002),</w:t>
      </w:r>
      <w:r>
        <w:rPr>
          <w:spacing w:val="-19"/>
        </w:rPr>
        <w:t> </w:t>
      </w:r>
      <w:r>
        <w:rPr/>
        <w:t>Iracheta</w:t>
      </w:r>
      <w:r>
        <w:rPr>
          <w:spacing w:val="-19"/>
        </w:rPr>
        <w:t> </w:t>
      </w:r>
      <w:r>
        <w:rPr/>
        <w:t>(2009)</w:t>
      </w:r>
      <w:r>
        <w:rPr>
          <w:spacing w:val="-19"/>
        </w:rPr>
        <w:t> </w:t>
      </w:r>
      <w:r>
        <w:rPr/>
        <w:t>(cit</w:t>
      </w:r>
      <w:r>
        <w:rPr>
          <w:spacing w:val="-19"/>
        </w:rPr>
        <w:t> </w:t>
      </w:r>
      <w:r>
        <w:rPr/>
        <w:t>Espinoza,</w:t>
      </w:r>
      <w:r>
        <w:rPr>
          <w:spacing w:val="-19"/>
        </w:rPr>
        <w:t> </w:t>
      </w:r>
      <w:r>
        <w:rPr/>
        <w:t>2014).</w:t>
      </w:r>
    </w:p>
    <w:p>
      <w:pPr>
        <w:spacing w:after="0" w:line="249" w:lineRule="auto"/>
        <w:jc w:val="both"/>
        <w:sectPr>
          <w:type w:val="continuous"/>
          <w:pgSz w:w="18830" w:h="12760" w:orient="landscape"/>
          <w:pgMar w:top="1420" w:bottom="280" w:left="720" w:right="720"/>
          <w:cols w:num="2" w:equalWidth="0">
            <w:col w:w="7856" w:space="1541"/>
            <w:col w:w="7993"/>
          </w:cols>
        </w:sectPr>
      </w:pPr>
    </w:p>
    <w:p>
      <w:pPr>
        <w:pStyle w:val="BodyText"/>
        <w:spacing w:before="6"/>
        <w:rPr>
          <w:sz w:val="23"/>
        </w:rPr>
      </w:pPr>
    </w:p>
    <w:p>
      <w:pPr>
        <w:spacing w:after="0"/>
        <w:rPr>
          <w:sz w:val="23"/>
        </w:rPr>
        <w:sectPr>
          <w:footerReference w:type="default" r:id="rId432"/>
          <w:pgSz w:w="18830" w:h="12760" w:orient="landscape"/>
          <w:pgMar w:footer="1036" w:header="522" w:top="820" w:bottom="1220" w:left="720" w:right="720"/>
        </w:sectPr>
      </w:pPr>
    </w:p>
    <w:p>
      <w:pPr>
        <w:pStyle w:val="BodyText"/>
        <w:spacing w:line="249" w:lineRule="auto" w:before="76"/>
        <w:ind w:left="130" w:firstLine="170"/>
        <w:jc w:val="both"/>
      </w:pPr>
      <w:r>
        <w:rPr/>
        <w:t>Se puede afirmar que, aun cuando las áreas metropolitanas cumplen importantes funciones en la creación de entornos favorables para mejorar la competitividad económica y la calidad de vida, sus actuales marcos institucionales, de gestión y financieros son inexistentes, obsoletos o inadecuados para tratar sus necesidades presentes y futuras. El funcionamiento de las zonas metropolitanas es complejo, no planificado ni coordinado entre los diversos actores, lo que ha generado la necesidad de que en las diferentes agendas públicas se sitúe como tema central el logro de una visión integral metropolitana. Esta visión demanda metodologías con enfoques que permitan identificar, analizar y evaluar los impactos de la acelerada expansión urbana, como son factores socioeconómicos y  ambientales.</w:t>
      </w:r>
    </w:p>
    <w:p>
      <w:pPr>
        <w:pStyle w:val="BodyText"/>
        <w:spacing w:before="6"/>
      </w:pPr>
    </w:p>
    <w:p>
      <w:pPr>
        <w:pStyle w:val="Heading1"/>
        <w:tabs>
          <w:tab w:pos="1981" w:val="left" w:leader="none"/>
          <w:tab w:pos="2743" w:val="left" w:leader="none"/>
          <w:tab w:pos="3851" w:val="left" w:leader="none"/>
          <w:tab w:pos="4382" w:val="left" w:leader="none"/>
          <w:tab w:pos="5690" w:val="left" w:leader="none"/>
          <w:tab w:pos="6221" w:val="left" w:leader="none"/>
          <w:tab w:pos="6667" w:val="left" w:leader="none"/>
        </w:tabs>
        <w:spacing w:line="240" w:lineRule="exact"/>
      </w:pPr>
      <w:r>
        <w:rPr/>
        <w:t>Metodología</w:t>
        <w:tab/>
        <w:t>para</w:t>
        <w:tab/>
        <w:t>análisis</w:t>
        <w:tab/>
        <w:t>de</w:t>
        <w:tab/>
        <w:t>impactos</w:t>
        <w:tab/>
        <w:t>de</w:t>
        <w:tab/>
        <w:t>la</w:t>
        <w:tab/>
      </w:r>
      <w:r>
        <w:rPr>
          <w:w w:val="95"/>
        </w:rPr>
        <w:t>expansión </w:t>
      </w:r>
      <w:r>
        <w:rPr/>
        <w:t>metropolitana</w:t>
      </w:r>
    </w:p>
    <w:p>
      <w:pPr>
        <w:pStyle w:val="BodyText"/>
        <w:spacing w:before="2"/>
        <w:rPr>
          <w:b/>
          <w:sz w:val="21"/>
        </w:rPr>
      </w:pPr>
    </w:p>
    <w:p>
      <w:pPr>
        <w:pStyle w:val="BodyText"/>
        <w:spacing w:line="249" w:lineRule="auto" w:before="1"/>
        <w:ind w:left="130" w:firstLine="170"/>
        <w:jc w:val="both"/>
      </w:pPr>
      <w:r>
        <w:rPr/>
        <w:t>Considerando que las ciudades ya no son núcleos aislados en el territorio sino se extienden en áreas urbanas o metropolitanas, con diferentes grados de fragmentación, densidad y concertación de actividades y núcleos poblacionales. El aumento excesivo de áreas artificiales conlleva impactos socioeconómicos y ambientales: perdida de superficies forestales y agrícolas de alto valor ecológico, aumento de la movilidad,</w:t>
      </w:r>
      <w:r>
        <w:rPr>
          <w:w w:val="102"/>
        </w:rPr>
        <w:t> </w:t>
      </w:r>
      <w:r>
        <w:rPr/>
        <w:t>mayor segmentación social, entre otros.</w:t>
      </w:r>
    </w:p>
    <w:p>
      <w:pPr>
        <w:pStyle w:val="BodyText"/>
        <w:spacing w:before="11"/>
      </w:pPr>
    </w:p>
    <w:p>
      <w:pPr>
        <w:pStyle w:val="BodyText"/>
        <w:spacing w:line="249" w:lineRule="auto"/>
        <w:ind w:left="130" w:firstLine="170"/>
        <w:jc w:val="both"/>
      </w:pPr>
      <w:r>
        <w:rPr/>
        <w:t>Para</w:t>
      </w:r>
      <w:r>
        <w:rPr>
          <w:spacing w:val="-13"/>
        </w:rPr>
        <w:t> </w:t>
      </w:r>
      <w:r>
        <w:rPr/>
        <w:t>los</w:t>
      </w:r>
      <w:r>
        <w:rPr>
          <w:spacing w:val="-13"/>
        </w:rPr>
        <w:t> </w:t>
      </w:r>
      <w:r>
        <w:rPr/>
        <w:t>fines</w:t>
      </w:r>
      <w:r>
        <w:rPr>
          <w:spacing w:val="-13"/>
        </w:rPr>
        <w:t> </w:t>
      </w:r>
      <w:r>
        <w:rPr/>
        <w:t>de</w:t>
      </w:r>
      <w:r>
        <w:rPr>
          <w:spacing w:val="-13"/>
        </w:rPr>
        <w:t> </w:t>
      </w:r>
      <w:r>
        <w:rPr/>
        <w:t>este</w:t>
      </w:r>
      <w:r>
        <w:rPr>
          <w:spacing w:val="-13"/>
        </w:rPr>
        <w:t> </w:t>
      </w:r>
      <w:r>
        <w:rPr/>
        <w:t>trabajo</w:t>
      </w:r>
      <w:r>
        <w:rPr>
          <w:spacing w:val="-13"/>
        </w:rPr>
        <w:t> </w:t>
      </w:r>
      <w:r>
        <w:rPr/>
        <w:t>se</w:t>
      </w:r>
      <w:r>
        <w:rPr>
          <w:spacing w:val="-13"/>
        </w:rPr>
        <w:t> </w:t>
      </w:r>
      <w:r>
        <w:rPr/>
        <w:t>seleccionó</w:t>
      </w:r>
      <w:r>
        <w:rPr>
          <w:spacing w:val="-13"/>
        </w:rPr>
        <w:t> </w:t>
      </w:r>
      <w:r>
        <w:rPr/>
        <w:t>el</w:t>
      </w:r>
      <w:r>
        <w:rPr>
          <w:spacing w:val="-13"/>
        </w:rPr>
        <w:t> </w:t>
      </w:r>
      <w:r>
        <w:rPr/>
        <w:t>Modelo</w:t>
      </w:r>
      <w:r>
        <w:rPr>
          <w:spacing w:val="-13"/>
        </w:rPr>
        <w:t> </w:t>
      </w:r>
      <w:r>
        <w:rPr/>
        <w:t>Presión-Estado-Respuesta,</w:t>
      </w:r>
      <w:r>
        <w:rPr>
          <w:spacing w:val="-13"/>
        </w:rPr>
        <w:t> </w:t>
      </w:r>
      <w:r>
        <w:rPr/>
        <w:t>uno de</w:t>
      </w:r>
      <w:r>
        <w:rPr>
          <w:spacing w:val="-9"/>
        </w:rPr>
        <w:t> </w:t>
      </w:r>
      <w:r>
        <w:rPr/>
        <w:t>los</w:t>
      </w:r>
      <w:r>
        <w:rPr>
          <w:spacing w:val="-9"/>
        </w:rPr>
        <w:t> </w:t>
      </w:r>
      <w:r>
        <w:rPr/>
        <w:t>modelos</w:t>
      </w:r>
      <w:r>
        <w:rPr>
          <w:spacing w:val="-9"/>
        </w:rPr>
        <w:t> </w:t>
      </w:r>
      <w:r>
        <w:rPr/>
        <w:t>más</w:t>
      </w:r>
      <w:r>
        <w:rPr>
          <w:spacing w:val="-9"/>
        </w:rPr>
        <w:t> </w:t>
      </w:r>
      <w:r>
        <w:rPr/>
        <w:t>validados</w:t>
      </w:r>
      <w:r>
        <w:rPr>
          <w:spacing w:val="-9"/>
        </w:rPr>
        <w:t> </w:t>
      </w:r>
      <w:r>
        <w:rPr/>
        <w:t>por</w:t>
      </w:r>
      <w:r>
        <w:rPr>
          <w:spacing w:val="-9"/>
        </w:rPr>
        <w:t> </w:t>
      </w:r>
      <w:r>
        <w:rPr/>
        <w:t>su</w:t>
      </w:r>
      <w:r>
        <w:rPr>
          <w:spacing w:val="-9"/>
        </w:rPr>
        <w:t> </w:t>
      </w:r>
      <w:r>
        <w:rPr/>
        <w:t>aplicación</w:t>
      </w:r>
      <w:r>
        <w:rPr>
          <w:spacing w:val="-9"/>
        </w:rPr>
        <w:t> </w:t>
      </w:r>
      <w:r>
        <w:rPr/>
        <w:t>en</w:t>
      </w:r>
      <w:r>
        <w:rPr>
          <w:spacing w:val="-9"/>
        </w:rPr>
        <w:t> </w:t>
      </w:r>
      <w:r>
        <w:rPr/>
        <w:t>distintos</w:t>
      </w:r>
      <w:r>
        <w:rPr>
          <w:spacing w:val="-9"/>
        </w:rPr>
        <w:t> </w:t>
      </w:r>
      <w:r>
        <w:rPr/>
        <w:t>países,</w:t>
      </w:r>
      <w:r>
        <w:rPr>
          <w:spacing w:val="-9"/>
        </w:rPr>
        <w:t> </w:t>
      </w:r>
      <w:r>
        <w:rPr/>
        <w:t>para</w:t>
      </w:r>
      <w:r>
        <w:rPr>
          <w:spacing w:val="-9"/>
        </w:rPr>
        <w:t> </w:t>
      </w:r>
      <w:r>
        <w:rPr/>
        <w:t>el</w:t>
      </w:r>
      <w:r>
        <w:rPr>
          <w:spacing w:val="-9"/>
        </w:rPr>
        <w:t> </w:t>
      </w:r>
      <w:r>
        <w:rPr/>
        <w:t>seguimiento de</w:t>
      </w:r>
      <w:r>
        <w:rPr>
          <w:spacing w:val="-5"/>
        </w:rPr>
        <w:t> </w:t>
      </w:r>
      <w:r>
        <w:rPr/>
        <w:t>procesos</w:t>
      </w:r>
      <w:r>
        <w:rPr>
          <w:spacing w:val="-5"/>
        </w:rPr>
        <w:t> </w:t>
      </w:r>
      <w:r>
        <w:rPr/>
        <w:t>de</w:t>
      </w:r>
      <w:r>
        <w:rPr>
          <w:spacing w:val="-5"/>
        </w:rPr>
        <w:t> </w:t>
      </w:r>
      <w:r>
        <w:rPr/>
        <w:t>deterioro</w:t>
      </w:r>
      <w:r>
        <w:rPr>
          <w:spacing w:val="-5"/>
        </w:rPr>
        <w:t> </w:t>
      </w:r>
      <w:r>
        <w:rPr/>
        <w:t>y</w:t>
      </w:r>
      <w:r>
        <w:rPr>
          <w:spacing w:val="-5"/>
        </w:rPr>
        <w:t> </w:t>
      </w:r>
      <w:r>
        <w:rPr/>
        <w:t>conservación</w:t>
      </w:r>
      <w:r>
        <w:rPr>
          <w:spacing w:val="-5"/>
        </w:rPr>
        <w:t> </w:t>
      </w:r>
      <w:r>
        <w:rPr/>
        <w:t>ambiental,</w:t>
      </w:r>
      <w:r>
        <w:rPr>
          <w:spacing w:val="-5"/>
        </w:rPr>
        <w:t> </w:t>
      </w:r>
      <w:r>
        <w:rPr/>
        <w:t>es</w:t>
      </w:r>
      <w:r>
        <w:rPr>
          <w:spacing w:val="-5"/>
        </w:rPr>
        <w:t> </w:t>
      </w:r>
      <w:r>
        <w:rPr/>
        <w:t>el</w:t>
      </w:r>
      <w:r>
        <w:rPr>
          <w:spacing w:val="-5"/>
        </w:rPr>
        <w:t> </w:t>
      </w:r>
      <w:r>
        <w:rPr/>
        <w:t>modelo</w:t>
      </w:r>
      <w:r>
        <w:rPr>
          <w:spacing w:val="-5"/>
        </w:rPr>
        <w:t> </w:t>
      </w:r>
      <w:r>
        <w:rPr/>
        <w:t>o</w:t>
      </w:r>
      <w:r>
        <w:rPr>
          <w:spacing w:val="-5"/>
        </w:rPr>
        <w:t> </w:t>
      </w:r>
      <w:r>
        <w:rPr/>
        <w:t>marco</w:t>
      </w:r>
      <w:r>
        <w:rPr>
          <w:spacing w:val="-5"/>
        </w:rPr>
        <w:t> </w:t>
      </w:r>
      <w:r>
        <w:rPr/>
        <w:t>de</w:t>
      </w:r>
      <w:r>
        <w:rPr>
          <w:spacing w:val="-5"/>
        </w:rPr>
        <w:t> </w:t>
      </w:r>
      <w:r>
        <w:rPr/>
        <w:t>referencia PER</w:t>
      </w:r>
      <w:r>
        <w:rPr>
          <w:spacing w:val="-10"/>
        </w:rPr>
        <w:t> </w:t>
      </w:r>
      <w:r>
        <w:rPr/>
        <w:t>o</w:t>
      </w:r>
      <w:r>
        <w:rPr>
          <w:spacing w:val="-10"/>
        </w:rPr>
        <w:t> </w:t>
      </w:r>
      <w:r>
        <w:rPr/>
        <w:t>PSR,</w:t>
      </w:r>
      <w:r>
        <w:rPr>
          <w:spacing w:val="-10"/>
        </w:rPr>
        <w:t> </w:t>
      </w:r>
      <w:r>
        <w:rPr/>
        <w:t>por</w:t>
      </w:r>
      <w:r>
        <w:rPr>
          <w:spacing w:val="-10"/>
        </w:rPr>
        <w:t> </w:t>
      </w:r>
      <w:r>
        <w:rPr/>
        <w:t>sus</w:t>
      </w:r>
      <w:r>
        <w:rPr>
          <w:spacing w:val="-10"/>
        </w:rPr>
        <w:t> </w:t>
      </w:r>
      <w:r>
        <w:rPr/>
        <w:t>siglas</w:t>
      </w:r>
      <w:r>
        <w:rPr>
          <w:spacing w:val="-10"/>
        </w:rPr>
        <w:t> </w:t>
      </w:r>
      <w:r>
        <w:rPr/>
        <w:t>en</w:t>
      </w:r>
      <w:r>
        <w:rPr>
          <w:spacing w:val="-10"/>
        </w:rPr>
        <w:t> </w:t>
      </w:r>
      <w:r>
        <w:rPr/>
        <w:t>inglés</w:t>
      </w:r>
      <w:r>
        <w:rPr>
          <w:spacing w:val="-10"/>
        </w:rPr>
        <w:t> </w:t>
      </w:r>
      <w:r>
        <w:rPr/>
        <w:t>(Pressure-State-Response).</w:t>
      </w:r>
      <w:r>
        <w:rPr>
          <w:spacing w:val="-10"/>
        </w:rPr>
        <w:t> </w:t>
      </w:r>
      <w:r>
        <w:rPr/>
        <w:t>De</w:t>
      </w:r>
      <w:r>
        <w:rPr>
          <w:spacing w:val="-10"/>
        </w:rPr>
        <w:t> </w:t>
      </w:r>
      <w:r>
        <w:rPr/>
        <w:t>acuerdo</w:t>
      </w:r>
      <w:r>
        <w:rPr>
          <w:spacing w:val="-10"/>
        </w:rPr>
        <w:t> </w:t>
      </w:r>
      <w:r>
        <w:rPr/>
        <w:t>a</w:t>
      </w:r>
      <w:r>
        <w:rPr>
          <w:spacing w:val="-10"/>
        </w:rPr>
        <w:t> </w:t>
      </w:r>
      <w:r>
        <w:rPr/>
        <w:t>Azqueta (2007), los indicadores ambientales PER son uno de los primeros intentos de controlar sistemáticamente en qué medida la actividad económica degrada el sistema biofísico del que depende, y se derivan de una adaptación y simplificación llevada a cabo por   la OCDE del modelo estrés-respuesta propuesto en el trabajo pionero de Rapport y Friend</w:t>
      </w:r>
      <w:r>
        <w:rPr>
          <w:spacing w:val="-34"/>
        </w:rPr>
        <w:t> </w:t>
      </w:r>
      <w:r>
        <w:rPr/>
        <w:t>(1979).</w:t>
      </w:r>
    </w:p>
    <w:p>
      <w:pPr>
        <w:pStyle w:val="BodyText"/>
        <w:spacing w:before="11"/>
      </w:pPr>
    </w:p>
    <w:p>
      <w:pPr>
        <w:pStyle w:val="BodyText"/>
        <w:spacing w:line="249" w:lineRule="auto"/>
        <w:ind w:left="130" w:firstLine="170"/>
        <w:jc w:val="both"/>
      </w:pPr>
      <w:r>
        <w:rPr/>
        <w:t>Según</w:t>
      </w:r>
      <w:r>
        <w:rPr>
          <w:spacing w:val="-9"/>
        </w:rPr>
        <w:t> </w:t>
      </w:r>
      <w:r>
        <w:rPr/>
        <w:t>la</w:t>
      </w:r>
      <w:r>
        <w:rPr>
          <w:spacing w:val="-9"/>
        </w:rPr>
        <w:t> </w:t>
      </w:r>
      <w:r>
        <w:rPr/>
        <w:t>OCDE</w:t>
      </w:r>
      <w:r>
        <w:rPr>
          <w:spacing w:val="-9"/>
        </w:rPr>
        <w:t> </w:t>
      </w:r>
      <w:r>
        <w:rPr/>
        <w:t>(1993),</w:t>
      </w:r>
      <w:r>
        <w:rPr>
          <w:spacing w:val="-9"/>
        </w:rPr>
        <w:t> </w:t>
      </w:r>
      <w:r>
        <w:rPr/>
        <w:t>el</w:t>
      </w:r>
      <w:r>
        <w:rPr>
          <w:spacing w:val="-9"/>
        </w:rPr>
        <w:t> </w:t>
      </w:r>
      <w:r>
        <w:rPr/>
        <w:t>modelo</w:t>
      </w:r>
      <w:r>
        <w:rPr>
          <w:spacing w:val="-9"/>
        </w:rPr>
        <w:t> </w:t>
      </w:r>
      <w:r>
        <w:rPr/>
        <w:t>PER</w:t>
      </w:r>
      <w:r>
        <w:rPr>
          <w:spacing w:val="-9"/>
        </w:rPr>
        <w:t> </w:t>
      </w:r>
      <w:r>
        <w:rPr/>
        <w:t>está</w:t>
      </w:r>
      <w:r>
        <w:rPr>
          <w:spacing w:val="-9"/>
        </w:rPr>
        <w:t> </w:t>
      </w:r>
      <w:r>
        <w:rPr/>
        <w:t>basado</w:t>
      </w:r>
      <w:r>
        <w:rPr>
          <w:spacing w:val="-9"/>
        </w:rPr>
        <w:t> </w:t>
      </w:r>
      <w:r>
        <w:rPr/>
        <w:t>en</w:t>
      </w:r>
      <w:r>
        <w:rPr>
          <w:spacing w:val="-9"/>
        </w:rPr>
        <w:t> </w:t>
      </w:r>
      <w:r>
        <w:rPr/>
        <w:t>el</w:t>
      </w:r>
      <w:r>
        <w:rPr>
          <w:spacing w:val="-9"/>
        </w:rPr>
        <w:t> </w:t>
      </w:r>
      <w:r>
        <w:rPr/>
        <w:t>concepto</w:t>
      </w:r>
      <w:r>
        <w:rPr>
          <w:spacing w:val="-9"/>
        </w:rPr>
        <w:t> </w:t>
      </w:r>
      <w:r>
        <w:rPr/>
        <w:t>de</w:t>
      </w:r>
      <w:r>
        <w:rPr>
          <w:spacing w:val="-9"/>
        </w:rPr>
        <w:t> </w:t>
      </w:r>
      <w:r>
        <w:rPr/>
        <w:t>causalidad:</w:t>
      </w:r>
      <w:r>
        <w:rPr>
          <w:spacing w:val="-9"/>
        </w:rPr>
        <w:t> </w:t>
      </w:r>
      <w:r>
        <w:rPr/>
        <w:t>las</w:t>
      </w:r>
      <w:r>
        <w:rPr>
          <w:w w:val="98"/>
        </w:rPr>
        <w:t> </w:t>
      </w:r>
      <w:r>
        <w:rPr/>
        <w:t>actividades humanas generan presiones en el ambiente, lo cual cambia la calidad y la cantidad de los recursos naturales. La sociedad responde ante estos cambios a través de</w:t>
      </w:r>
      <w:r>
        <w:rPr>
          <w:spacing w:val="-10"/>
        </w:rPr>
        <w:t> </w:t>
      </w:r>
      <w:r>
        <w:rPr/>
        <w:t>políticas</w:t>
      </w:r>
      <w:r>
        <w:rPr>
          <w:spacing w:val="-10"/>
        </w:rPr>
        <w:t> </w:t>
      </w:r>
      <w:r>
        <w:rPr/>
        <w:t>ambientales,</w:t>
      </w:r>
      <w:r>
        <w:rPr>
          <w:spacing w:val="-10"/>
        </w:rPr>
        <w:t> </w:t>
      </w:r>
      <w:r>
        <w:rPr/>
        <w:t>económicas</w:t>
      </w:r>
      <w:r>
        <w:rPr>
          <w:spacing w:val="-10"/>
        </w:rPr>
        <w:t> </w:t>
      </w:r>
      <w:r>
        <w:rPr/>
        <w:t>y</w:t>
      </w:r>
      <w:r>
        <w:rPr>
          <w:spacing w:val="-10"/>
        </w:rPr>
        <w:t> </w:t>
      </w:r>
      <w:r>
        <w:rPr/>
        <w:t>sectoriales,</w:t>
      </w:r>
      <w:r>
        <w:rPr>
          <w:spacing w:val="-10"/>
        </w:rPr>
        <w:t> </w:t>
      </w:r>
      <w:r>
        <w:rPr/>
        <w:t>y</w:t>
      </w:r>
      <w:r>
        <w:rPr>
          <w:spacing w:val="-10"/>
        </w:rPr>
        <w:t> </w:t>
      </w:r>
      <w:r>
        <w:rPr/>
        <w:t>ello</w:t>
      </w:r>
      <w:r>
        <w:rPr>
          <w:spacing w:val="-10"/>
        </w:rPr>
        <w:t> </w:t>
      </w:r>
      <w:r>
        <w:rPr/>
        <w:t>vuelve</w:t>
      </w:r>
      <w:r>
        <w:rPr>
          <w:spacing w:val="-10"/>
        </w:rPr>
        <w:t> </w:t>
      </w:r>
      <w:r>
        <w:rPr/>
        <w:t>a</w:t>
      </w:r>
      <w:r>
        <w:rPr>
          <w:spacing w:val="-10"/>
        </w:rPr>
        <w:t> </w:t>
      </w:r>
      <w:r>
        <w:rPr/>
        <w:t>generar</w:t>
      </w:r>
      <w:r>
        <w:rPr>
          <w:spacing w:val="-10"/>
        </w:rPr>
        <w:t> </w:t>
      </w:r>
      <w:r>
        <w:rPr/>
        <w:t>presiones</w:t>
      </w:r>
      <w:r>
        <w:rPr>
          <w:spacing w:val="-10"/>
        </w:rPr>
        <w:t> </w:t>
      </w:r>
      <w:r>
        <w:rPr/>
        <w:t>en el ambiente. Este ciclo incluye percepción, formulación, monitoreo y </w:t>
      </w:r>
      <w:r>
        <w:rPr>
          <w:spacing w:val="23"/>
        </w:rPr>
        <w:t> </w:t>
      </w:r>
      <w:r>
        <w:rPr/>
        <w:t>evaluación.</w:t>
      </w:r>
    </w:p>
    <w:p>
      <w:pPr>
        <w:pStyle w:val="BodyText"/>
        <w:spacing w:before="11"/>
      </w:pPr>
    </w:p>
    <w:p>
      <w:pPr>
        <w:pStyle w:val="BodyText"/>
        <w:spacing w:line="249" w:lineRule="auto"/>
        <w:ind w:left="130" w:right="1" w:firstLine="170"/>
        <w:jc w:val="both"/>
      </w:pPr>
      <w:r>
        <w:rPr/>
        <w:t>El modelo PER está formado por un sistema de indicadores. De acuerdo a Azqueta (2007), los indicadores del modelo PER cumplen las siguientes características:</w:t>
      </w:r>
    </w:p>
    <w:p>
      <w:pPr>
        <w:pStyle w:val="ListParagraph"/>
        <w:numPr>
          <w:ilvl w:val="2"/>
          <w:numId w:val="46"/>
        </w:numPr>
        <w:tabs>
          <w:tab w:pos="661" w:val="left" w:leader="none"/>
        </w:tabs>
        <w:spacing w:line="249" w:lineRule="auto" w:before="63" w:after="0"/>
        <w:ind w:left="660" w:right="128" w:hanging="360"/>
        <w:jc w:val="both"/>
        <w:rPr>
          <w:sz w:val="20"/>
        </w:rPr>
      </w:pPr>
      <w:r>
        <w:rPr>
          <w:b/>
          <w:i/>
          <w:w w:val="99"/>
          <w:sz w:val="20"/>
        </w:rPr>
        <w:br w:type="column"/>
      </w:r>
      <w:r>
        <w:rPr>
          <w:b/>
          <w:i/>
          <w:sz w:val="20"/>
        </w:rPr>
        <w:t>Indicadores</w:t>
      </w:r>
      <w:r>
        <w:rPr>
          <w:b/>
          <w:i/>
          <w:spacing w:val="-5"/>
          <w:sz w:val="20"/>
        </w:rPr>
        <w:t> </w:t>
      </w:r>
      <w:r>
        <w:rPr>
          <w:b/>
          <w:i/>
          <w:sz w:val="20"/>
        </w:rPr>
        <w:t>de</w:t>
      </w:r>
      <w:r>
        <w:rPr>
          <w:b/>
          <w:i/>
          <w:spacing w:val="-5"/>
          <w:sz w:val="20"/>
        </w:rPr>
        <w:t> </w:t>
      </w:r>
      <w:r>
        <w:rPr>
          <w:b/>
          <w:i/>
          <w:sz w:val="20"/>
        </w:rPr>
        <w:t>presión</w:t>
      </w:r>
      <w:r>
        <w:rPr>
          <w:sz w:val="20"/>
        </w:rPr>
        <w:t>.</w:t>
      </w:r>
      <w:r>
        <w:rPr>
          <w:spacing w:val="-5"/>
          <w:sz w:val="20"/>
        </w:rPr>
        <w:t> </w:t>
      </w:r>
      <w:r>
        <w:rPr>
          <w:sz w:val="20"/>
        </w:rPr>
        <w:t>Como</w:t>
      </w:r>
      <w:r>
        <w:rPr>
          <w:spacing w:val="-5"/>
          <w:sz w:val="20"/>
        </w:rPr>
        <w:t> </w:t>
      </w:r>
      <w:r>
        <w:rPr>
          <w:sz w:val="20"/>
        </w:rPr>
        <w:t>su</w:t>
      </w:r>
      <w:r>
        <w:rPr>
          <w:spacing w:val="-5"/>
          <w:sz w:val="20"/>
        </w:rPr>
        <w:t> </w:t>
      </w:r>
      <w:r>
        <w:rPr>
          <w:sz w:val="20"/>
        </w:rPr>
        <w:t>nombre</w:t>
      </w:r>
      <w:r>
        <w:rPr>
          <w:spacing w:val="-5"/>
          <w:sz w:val="20"/>
        </w:rPr>
        <w:t> </w:t>
      </w:r>
      <w:r>
        <w:rPr>
          <w:sz w:val="20"/>
        </w:rPr>
        <w:t>lo</w:t>
      </w:r>
      <w:r>
        <w:rPr>
          <w:spacing w:val="-5"/>
          <w:sz w:val="20"/>
        </w:rPr>
        <w:t> </w:t>
      </w:r>
      <w:r>
        <w:rPr>
          <w:sz w:val="20"/>
        </w:rPr>
        <w:t>indica,</w:t>
      </w:r>
      <w:r>
        <w:rPr>
          <w:spacing w:val="-5"/>
          <w:sz w:val="20"/>
        </w:rPr>
        <w:t> </w:t>
      </w:r>
      <w:r>
        <w:rPr>
          <w:sz w:val="20"/>
        </w:rPr>
        <w:t>describen</w:t>
      </w:r>
      <w:r>
        <w:rPr>
          <w:spacing w:val="-5"/>
          <w:sz w:val="20"/>
        </w:rPr>
        <w:t> </w:t>
      </w:r>
      <w:r>
        <w:rPr>
          <w:sz w:val="20"/>
        </w:rPr>
        <w:t>las</w:t>
      </w:r>
      <w:r>
        <w:rPr>
          <w:spacing w:val="-5"/>
          <w:sz w:val="20"/>
        </w:rPr>
        <w:t> </w:t>
      </w:r>
      <w:r>
        <w:rPr>
          <w:sz w:val="20"/>
        </w:rPr>
        <w:t>presiones</w:t>
      </w:r>
      <w:r>
        <w:rPr>
          <w:spacing w:val="-5"/>
          <w:sz w:val="20"/>
        </w:rPr>
        <w:t> </w:t>
      </w:r>
      <w:r>
        <w:rPr>
          <w:sz w:val="20"/>
        </w:rPr>
        <w:t>que ejercen las actividades humanas sobre el medio ambiente. Reflejan intensidades de misión, de residuos y de uso de recursos a lo largo de periodos temporales que permiten analizar la evolución del proceso de degradación. Puede tratarse de presiones subyacentes o indirectas (la actividad en sí misma) o de presiones próximas o directas (como uso de recursos o la generación de residuos; vertidos y</w:t>
      </w:r>
      <w:r>
        <w:rPr>
          <w:spacing w:val="-15"/>
          <w:sz w:val="20"/>
        </w:rPr>
        <w:t> </w:t>
      </w:r>
      <w:r>
        <w:rPr>
          <w:sz w:val="20"/>
        </w:rPr>
        <w:t>emisiones).</w:t>
      </w:r>
    </w:p>
    <w:p>
      <w:pPr>
        <w:pStyle w:val="BodyText"/>
        <w:spacing w:before="9"/>
        <w:rPr>
          <w:sz w:val="19"/>
        </w:rPr>
      </w:pPr>
    </w:p>
    <w:p>
      <w:pPr>
        <w:pStyle w:val="ListParagraph"/>
        <w:numPr>
          <w:ilvl w:val="2"/>
          <w:numId w:val="46"/>
        </w:numPr>
        <w:tabs>
          <w:tab w:pos="661" w:val="left" w:leader="none"/>
        </w:tabs>
        <w:spacing w:line="249" w:lineRule="auto" w:before="0" w:after="0"/>
        <w:ind w:left="660" w:right="129" w:hanging="360"/>
        <w:jc w:val="both"/>
        <w:rPr>
          <w:sz w:val="20"/>
        </w:rPr>
      </w:pPr>
      <w:r>
        <w:rPr>
          <w:b/>
          <w:i/>
          <w:sz w:val="20"/>
        </w:rPr>
        <w:t>Indicadores de estado (o de condiciones ambientales). </w:t>
      </w:r>
      <w:r>
        <w:rPr>
          <w:sz w:val="20"/>
        </w:rPr>
        <w:t>Están relacionados tanto con la calidad del medio ambiente (entendido aquí como recursos ambientales en los que la calidad es el perímetro descriptor: calidad del agua,   el aire, entre otros), como en el stock disponible de recursos naturales. Reflejan los objetivos últimos de la sociedad con respecto al medio ambiente, contenidos parcialmente en las políticas ambientales. Ejemplo de estos indicadores son: la concentración de contaminantes en diferentes medios, los excesos de cargas críticas, la exposición de la población a ciertos niveles de contaminación, la situación de conservación de la diversidad biológica y de los recursos </w:t>
      </w:r>
      <w:r>
        <w:rPr>
          <w:spacing w:val="11"/>
          <w:sz w:val="20"/>
        </w:rPr>
        <w:t> </w:t>
      </w:r>
      <w:r>
        <w:rPr>
          <w:sz w:val="20"/>
        </w:rPr>
        <w:t>naturales.</w:t>
      </w:r>
    </w:p>
    <w:p>
      <w:pPr>
        <w:pStyle w:val="BodyText"/>
        <w:spacing w:before="9"/>
        <w:rPr>
          <w:sz w:val="19"/>
        </w:rPr>
      </w:pPr>
    </w:p>
    <w:p>
      <w:pPr>
        <w:pStyle w:val="ListParagraph"/>
        <w:numPr>
          <w:ilvl w:val="2"/>
          <w:numId w:val="46"/>
        </w:numPr>
        <w:tabs>
          <w:tab w:pos="661" w:val="left" w:leader="none"/>
        </w:tabs>
        <w:spacing w:line="249" w:lineRule="auto" w:before="0" w:after="0"/>
        <w:ind w:left="660" w:right="129" w:hanging="360"/>
        <w:jc w:val="both"/>
        <w:rPr>
          <w:sz w:val="20"/>
        </w:rPr>
      </w:pPr>
      <w:r>
        <w:rPr>
          <w:b/>
          <w:i/>
          <w:sz w:val="20"/>
        </w:rPr>
        <w:t>Indicadores de respuesta social. </w:t>
      </w:r>
      <w:r>
        <w:rPr>
          <w:sz w:val="20"/>
        </w:rPr>
        <w:t>Muestra hasta qué punto la sociedad da respuesta a sus preocupaciones ambientales. Se refiere a acciones colectivas e individuales encaminadas a mitigar, adaptar o prevenir efectos negativos sobre el medio ambiente provocado por el ser humano, detener o reparar el daño ambiental ya infligido, y a preservar y conservar la naturaleza de sus recursos. Ejemplos de estos indicadores son aquellos que recogen información sobre los gastos</w:t>
      </w:r>
      <w:r>
        <w:rPr>
          <w:spacing w:val="-11"/>
          <w:sz w:val="20"/>
        </w:rPr>
        <w:t> </w:t>
      </w:r>
      <w:r>
        <w:rPr>
          <w:sz w:val="20"/>
        </w:rPr>
        <w:t>erogados</w:t>
      </w:r>
      <w:r>
        <w:rPr>
          <w:spacing w:val="-11"/>
          <w:sz w:val="20"/>
        </w:rPr>
        <w:t> </w:t>
      </w:r>
      <w:r>
        <w:rPr>
          <w:sz w:val="20"/>
        </w:rPr>
        <w:t>ambientales,</w:t>
      </w:r>
      <w:r>
        <w:rPr>
          <w:spacing w:val="-11"/>
          <w:sz w:val="20"/>
        </w:rPr>
        <w:t> </w:t>
      </w:r>
      <w:r>
        <w:rPr>
          <w:sz w:val="20"/>
        </w:rPr>
        <w:t>impuestos</w:t>
      </w:r>
      <w:r>
        <w:rPr>
          <w:spacing w:val="-11"/>
          <w:sz w:val="20"/>
        </w:rPr>
        <w:t> </w:t>
      </w:r>
      <w:r>
        <w:rPr>
          <w:sz w:val="20"/>
        </w:rPr>
        <w:t>y</w:t>
      </w:r>
      <w:r>
        <w:rPr>
          <w:spacing w:val="-11"/>
          <w:sz w:val="20"/>
        </w:rPr>
        <w:t> </w:t>
      </w:r>
      <w:r>
        <w:rPr>
          <w:sz w:val="20"/>
        </w:rPr>
        <w:t>subsidios</w:t>
      </w:r>
      <w:r>
        <w:rPr>
          <w:spacing w:val="-11"/>
          <w:sz w:val="20"/>
        </w:rPr>
        <w:t> </w:t>
      </w:r>
      <w:r>
        <w:rPr>
          <w:sz w:val="20"/>
        </w:rPr>
        <w:t>relacionados</w:t>
      </w:r>
      <w:r>
        <w:rPr>
          <w:spacing w:val="-11"/>
          <w:sz w:val="20"/>
        </w:rPr>
        <w:t> </w:t>
      </w:r>
      <w:r>
        <w:rPr>
          <w:sz w:val="20"/>
        </w:rPr>
        <w:t>con</w:t>
      </w:r>
      <w:r>
        <w:rPr>
          <w:spacing w:val="-11"/>
          <w:sz w:val="20"/>
        </w:rPr>
        <w:t> </w:t>
      </w:r>
      <w:r>
        <w:rPr>
          <w:sz w:val="20"/>
        </w:rPr>
        <w:t>cuestiones ambientales,</w:t>
      </w:r>
      <w:r>
        <w:rPr>
          <w:spacing w:val="-6"/>
          <w:sz w:val="20"/>
        </w:rPr>
        <w:t> </w:t>
      </w:r>
      <w:r>
        <w:rPr>
          <w:sz w:val="20"/>
        </w:rPr>
        <w:t>estructuras</w:t>
      </w:r>
      <w:r>
        <w:rPr>
          <w:spacing w:val="-6"/>
          <w:sz w:val="20"/>
        </w:rPr>
        <w:t> </w:t>
      </w:r>
      <w:r>
        <w:rPr>
          <w:sz w:val="20"/>
        </w:rPr>
        <w:t>de</w:t>
      </w:r>
      <w:r>
        <w:rPr>
          <w:spacing w:val="-6"/>
          <w:sz w:val="20"/>
        </w:rPr>
        <w:t> </w:t>
      </w:r>
      <w:r>
        <w:rPr>
          <w:sz w:val="20"/>
        </w:rPr>
        <w:t>precios,</w:t>
      </w:r>
      <w:r>
        <w:rPr>
          <w:spacing w:val="-6"/>
          <w:sz w:val="20"/>
        </w:rPr>
        <w:t> </w:t>
      </w:r>
      <w:r>
        <w:rPr>
          <w:sz w:val="20"/>
        </w:rPr>
        <w:t>participación</w:t>
      </w:r>
      <w:r>
        <w:rPr>
          <w:spacing w:val="-6"/>
          <w:sz w:val="20"/>
        </w:rPr>
        <w:t> </w:t>
      </w:r>
      <w:r>
        <w:rPr>
          <w:sz w:val="20"/>
        </w:rPr>
        <w:t>de</w:t>
      </w:r>
      <w:r>
        <w:rPr>
          <w:spacing w:val="-6"/>
          <w:sz w:val="20"/>
        </w:rPr>
        <w:t> </w:t>
      </w:r>
      <w:r>
        <w:rPr>
          <w:sz w:val="20"/>
        </w:rPr>
        <w:t>bienes</w:t>
      </w:r>
      <w:r>
        <w:rPr>
          <w:spacing w:val="-6"/>
          <w:sz w:val="20"/>
        </w:rPr>
        <w:t> </w:t>
      </w:r>
      <w:r>
        <w:rPr>
          <w:sz w:val="20"/>
        </w:rPr>
        <w:t>y</w:t>
      </w:r>
      <w:r>
        <w:rPr>
          <w:spacing w:val="-6"/>
          <w:sz w:val="20"/>
        </w:rPr>
        <w:t> </w:t>
      </w:r>
      <w:r>
        <w:rPr>
          <w:sz w:val="20"/>
        </w:rPr>
        <w:t>servicios</w:t>
      </w:r>
      <w:r>
        <w:rPr>
          <w:spacing w:val="-6"/>
          <w:sz w:val="20"/>
        </w:rPr>
        <w:t> </w:t>
      </w:r>
      <w:r>
        <w:rPr>
          <w:sz w:val="20"/>
        </w:rPr>
        <w:t>con</w:t>
      </w:r>
      <w:r>
        <w:rPr>
          <w:spacing w:val="-6"/>
          <w:sz w:val="20"/>
        </w:rPr>
        <w:t> </w:t>
      </w:r>
      <w:r>
        <w:rPr>
          <w:sz w:val="20"/>
        </w:rPr>
        <w:t>algún tipo de certificación ambiental en los diversos mercados, tasas de disminución  de contaminación, tasas de reciclaje de los residuos, entre </w:t>
      </w:r>
      <w:r>
        <w:rPr>
          <w:spacing w:val="8"/>
          <w:sz w:val="20"/>
        </w:rPr>
        <w:t> </w:t>
      </w:r>
      <w:r>
        <w:rPr>
          <w:sz w:val="20"/>
        </w:rPr>
        <w:t>otros.</w:t>
      </w:r>
    </w:p>
    <w:p>
      <w:pPr>
        <w:pStyle w:val="BodyText"/>
      </w:pPr>
    </w:p>
    <w:p>
      <w:pPr>
        <w:pStyle w:val="BodyText"/>
        <w:spacing w:before="9"/>
        <w:rPr>
          <w:sz w:val="21"/>
        </w:rPr>
      </w:pPr>
    </w:p>
    <w:p>
      <w:pPr>
        <w:pStyle w:val="BodyText"/>
        <w:spacing w:line="249" w:lineRule="auto"/>
        <w:ind w:left="130" w:right="129" w:firstLine="170"/>
        <w:jc w:val="both"/>
      </w:pPr>
      <w:r>
        <w:rPr/>
        <w:t>La principal ventaja de este modelo, de acuerdo a Polanco (2006) es su</w:t>
      </w:r>
      <w:r>
        <w:rPr>
          <w:spacing w:val="-33"/>
        </w:rPr>
        <w:t> </w:t>
      </w:r>
      <w:r>
        <w:rPr/>
        <w:t>procedencia, ya que al ser propuesto por un organismo internacional de gran cobertura y reconocimiento, la información generada mediante la aplicación de este modelo es fácilmente comparable, accesible y comunicable. Además, puede ser aplicado global   o sectorialmente para una variable o un conjunto de ellas, a escala local, regional o internacional, en un momento dado o en un período predeterminado; cada apartado  de la fórmula genérica PER puede ser ampliado en su contenido, añadiéndole mayor especificidad</w:t>
      </w:r>
      <w:r>
        <w:rPr>
          <w:spacing w:val="-19"/>
        </w:rPr>
        <w:t> </w:t>
      </w:r>
      <w:r>
        <w:rPr/>
        <w:t>al</w:t>
      </w:r>
      <w:r>
        <w:rPr>
          <w:spacing w:val="-19"/>
        </w:rPr>
        <w:t> </w:t>
      </w:r>
      <w:r>
        <w:rPr/>
        <w:t>tema.</w:t>
      </w:r>
      <w:r>
        <w:rPr>
          <w:spacing w:val="-19"/>
        </w:rPr>
        <w:t> </w:t>
      </w:r>
      <w:r>
        <w:rPr/>
        <w:t>Es</w:t>
      </w:r>
      <w:r>
        <w:rPr>
          <w:spacing w:val="-19"/>
        </w:rPr>
        <w:t> </w:t>
      </w:r>
      <w:r>
        <w:rPr/>
        <w:t>así</w:t>
      </w:r>
      <w:r>
        <w:rPr>
          <w:spacing w:val="-19"/>
        </w:rPr>
        <w:t> </w:t>
      </w:r>
      <w:r>
        <w:rPr/>
        <w:t>que</w:t>
      </w:r>
      <w:r>
        <w:rPr>
          <w:spacing w:val="-19"/>
        </w:rPr>
        <w:t> </w:t>
      </w:r>
      <w:r>
        <w:rPr/>
        <w:t>por</w:t>
      </w:r>
      <w:r>
        <w:rPr>
          <w:spacing w:val="-19"/>
        </w:rPr>
        <w:t> </w:t>
      </w:r>
      <w:r>
        <w:rPr/>
        <w:t>la</w:t>
      </w:r>
      <w:r>
        <w:rPr>
          <w:spacing w:val="-19"/>
        </w:rPr>
        <w:t> </w:t>
      </w:r>
      <w:r>
        <w:rPr/>
        <w:t>validez,</w:t>
      </w:r>
      <w:r>
        <w:rPr>
          <w:spacing w:val="-19"/>
        </w:rPr>
        <w:t> </w:t>
      </w:r>
      <w:r>
        <w:rPr/>
        <w:t>flexibilidad,</w:t>
      </w:r>
      <w:r>
        <w:rPr>
          <w:spacing w:val="-19"/>
        </w:rPr>
        <w:t> </w:t>
      </w:r>
      <w:r>
        <w:rPr/>
        <w:t>accesibilidad</w:t>
      </w:r>
      <w:r>
        <w:rPr>
          <w:spacing w:val="-19"/>
        </w:rPr>
        <w:t> </w:t>
      </w:r>
      <w:r>
        <w:rPr/>
        <w:t>y</w:t>
      </w:r>
      <w:r>
        <w:rPr>
          <w:spacing w:val="-19"/>
        </w:rPr>
        <w:t> </w:t>
      </w:r>
      <w:r>
        <w:rPr/>
        <w:t>adaptabilidad, se puede optar por el modelo PER para estudiar los impactos que genera la expansión urbana, y específicamente, la</w:t>
      </w:r>
      <w:r>
        <w:rPr>
          <w:spacing w:val="27"/>
        </w:rPr>
        <w:t> </w:t>
      </w:r>
      <w:r>
        <w:rPr/>
        <w:t>metropolización.</w:t>
      </w:r>
    </w:p>
    <w:p>
      <w:pPr>
        <w:spacing w:after="0" w:line="249" w:lineRule="auto"/>
        <w:jc w:val="both"/>
        <w:sectPr>
          <w:type w:val="continuous"/>
          <w:pgSz w:w="18830" w:h="12760" w:orient="landscape"/>
          <w:pgMar w:top="1420" w:bottom="280" w:left="720" w:right="720"/>
          <w:cols w:num="2" w:equalWidth="0">
            <w:col w:w="7842" w:space="1568"/>
            <w:col w:w="7980"/>
          </w:cols>
        </w:sectPr>
      </w:pPr>
    </w:p>
    <w:p>
      <w:pPr>
        <w:pStyle w:val="BodyText"/>
        <w:spacing w:before="6"/>
        <w:rPr>
          <w:sz w:val="23"/>
        </w:rPr>
      </w:pPr>
    </w:p>
    <w:p>
      <w:pPr>
        <w:spacing w:after="0"/>
        <w:rPr>
          <w:sz w:val="23"/>
        </w:rPr>
        <w:sectPr>
          <w:footerReference w:type="default" r:id="rId433"/>
          <w:pgSz w:w="18830" w:h="12760" w:orient="landscape"/>
          <w:pgMar w:footer="1036" w:header="522" w:top="820" w:bottom="1220" w:left="720" w:right="720"/>
        </w:sectPr>
      </w:pPr>
    </w:p>
    <w:p>
      <w:pPr>
        <w:pStyle w:val="BodyText"/>
        <w:spacing w:line="249" w:lineRule="auto" w:before="76"/>
        <w:ind w:left="117" w:firstLine="170"/>
        <w:jc w:val="both"/>
      </w:pPr>
      <w:r>
        <w:rPr/>
        <w:t>La</w:t>
      </w:r>
      <w:r>
        <w:rPr>
          <w:spacing w:val="-4"/>
        </w:rPr>
        <w:t> </w:t>
      </w:r>
      <w:r>
        <w:rPr/>
        <w:t>proliferación</w:t>
      </w:r>
      <w:r>
        <w:rPr>
          <w:spacing w:val="-4"/>
        </w:rPr>
        <w:t> </w:t>
      </w:r>
      <w:r>
        <w:rPr/>
        <w:t>de</w:t>
      </w:r>
      <w:r>
        <w:rPr>
          <w:spacing w:val="-4"/>
        </w:rPr>
        <w:t> </w:t>
      </w:r>
      <w:r>
        <w:rPr/>
        <w:t>indicadores</w:t>
      </w:r>
      <w:r>
        <w:rPr>
          <w:spacing w:val="-4"/>
        </w:rPr>
        <w:t> </w:t>
      </w:r>
      <w:r>
        <w:rPr/>
        <w:t>y</w:t>
      </w:r>
      <w:r>
        <w:rPr>
          <w:spacing w:val="-4"/>
        </w:rPr>
        <w:t> </w:t>
      </w:r>
      <w:r>
        <w:rPr/>
        <w:t>modelos</w:t>
      </w:r>
      <w:r>
        <w:rPr>
          <w:spacing w:val="-4"/>
        </w:rPr>
        <w:t> </w:t>
      </w:r>
      <w:r>
        <w:rPr/>
        <w:t>de</w:t>
      </w:r>
      <w:r>
        <w:rPr>
          <w:spacing w:val="-4"/>
        </w:rPr>
        <w:t> </w:t>
      </w:r>
      <w:r>
        <w:rPr/>
        <w:t>análisis</w:t>
      </w:r>
      <w:r>
        <w:rPr>
          <w:spacing w:val="-4"/>
        </w:rPr>
        <w:t> </w:t>
      </w:r>
      <w:r>
        <w:rPr/>
        <w:t>ha</w:t>
      </w:r>
      <w:r>
        <w:rPr>
          <w:spacing w:val="-4"/>
        </w:rPr>
        <w:t> </w:t>
      </w:r>
      <w:r>
        <w:rPr/>
        <w:t>contribuido</w:t>
      </w:r>
      <w:r>
        <w:rPr>
          <w:spacing w:val="-4"/>
        </w:rPr>
        <w:t> </w:t>
      </w:r>
      <w:r>
        <w:rPr/>
        <w:t>al</w:t>
      </w:r>
      <w:r>
        <w:rPr>
          <w:spacing w:val="-4"/>
        </w:rPr>
        <w:t> </w:t>
      </w:r>
      <w:r>
        <w:rPr/>
        <w:t>uso</w:t>
      </w:r>
      <w:r>
        <w:rPr>
          <w:spacing w:val="-4"/>
        </w:rPr>
        <w:t> </w:t>
      </w:r>
      <w:r>
        <w:rPr/>
        <w:t>de</w:t>
      </w:r>
      <w:r>
        <w:rPr>
          <w:spacing w:val="-4"/>
        </w:rPr>
        <w:t> </w:t>
      </w:r>
      <w:r>
        <w:rPr/>
        <w:t>marcos de referencia que contribuyen a mejorar el enfoque, clarificar las medidas a realizar y los indicadores a utilizar (Chirino, 2008). De acuerdo a Azqueta (2007),</w:t>
      </w:r>
      <w:r>
        <w:rPr>
          <w:spacing w:val="15"/>
        </w:rPr>
        <w:t> </w:t>
      </w:r>
      <w:r>
        <w:rPr/>
        <w:t>los</w:t>
      </w:r>
      <w:r>
        <w:rPr>
          <w:spacing w:val="1"/>
        </w:rPr>
        <w:t> </w:t>
      </w:r>
      <w:r>
        <w:rPr/>
        <w:t>indicadores</w:t>
      </w:r>
      <w:r>
        <w:rPr>
          <w:w w:val="101"/>
        </w:rPr>
        <w:t> </w:t>
      </w:r>
      <w:r>
        <w:rPr/>
        <w:t>ambientales Presión-Estado-Respuesta (PER) son uno de los primeros intentos de controlar sistemáticamente en qué medida la actividad económica degrada el sistema biofísico del que depende, y se derivan de una adaptación y simplificación llevada a cabo por la OCDE del modelo estrés-respuesta propuesto en el trabajo pionero de Rapport y Friend</w:t>
      </w:r>
      <w:r>
        <w:rPr>
          <w:spacing w:val="-20"/>
        </w:rPr>
        <w:t> </w:t>
      </w:r>
      <w:r>
        <w:rPr/>
        <w:t>(1979).</w:t>
      </w:r>
    </w:p>
    <w:p>
      <w:pPr>
        <w:pStyle w:val="BodyText"/>
        <w:spacing w:before="11"/>
      </w:pPr>
    </w:p>
    <w:p>
      <w:pPr>
        <w:pStyle w:val="BodyText"/>
        <w:spacing w:line="249" w:lineRule="auto"/>
        <w:ind w:left="117" w:firstLine="170"/>
        <w:jc w:val="both"/>
      </w:pPr>
      <w:r>
        <w:rPr/>
        <w:t>Por lo anterior, se utilizará este modelo para evaluar los impactos ambientales y socioeconómicos en la Zona Metropolitana de Toluca, generados por la expansión urbana. Los indicadores de presión, estado y respuesta que se utilizarán para esta</w:t>
      </w:r>
      <w:r>
        <w:rPr>
          <w:w w:val="99"/>
        </w:rPr>
        <w:t> </w:t>
      </w:r>
      <w:r>
        <w:rPr/>
        <w:t>investigación se muestran en el cuadro 1.</w:t>
      </w:r>
    </w:p>
    <w:p>
      <w:pPr>
        <w:pStyle w:val="BodyText"/>
        <w:spacing w:before="11"/>
      </w:pPr>
    </w:p>
    <w:p>
      <w:pPr>
        <w:pStyle w:val="BodyText"/>
        <w:spacing w:line="249" w:lineRule="auto"/>
        <w:ind w:left="117" w:firstLine="170"/>
        <w:jc w:val="both"/>
      </w:pPr>
      <w:r>
        <w:rPr/>
        <w:t>Se seleccionaron las variables “suelo” y “agua”, debido a la necesidad de establecer una priorización de los aspectos ambientales a evaluar en la zona de estudio, como marca el modelo PER  y,   por los obstáculos que menciona Castro (2000) a la hora   de elaborar indicadores de desarrollo sostenible urbano, que tienen que ver con la indefinición del ámbito urbano, la heterogeneidad de los datos, o bien, la falta de ellos, la comparación espacial, la dificultad en la coordinación de las Agencias, entre </w:t>
      </w:r>
      <w:r>
        <w:rPr>
          <w:spacing w:val="29"/>
        </w:rPr>
        <w:t> </w:t>
      </w:r>
      <w:r>
        <w:rPr/>
        <w:t>otros.</w:t>
      </w:r>
    </w:p>
    <w:p>
      <w:pPr>
        <w:spacing w:before="114"/>
        <w:ind w:left="117" w:right="0" w:firstLine="0"/>
        <w:jc w:val="left"/>
        <w:rPr>
          <w:sz w:val="16"/>
        </w:rPr>
      </w:pPr>
      <w:r>
        <w:rPr/>
        <w:br w:type="column"/>
      </w:r>
      <w:r>
        <w:rPr>
          <w:color w:val="6D6E71"/>
          <w:sz w:val="16"/>
        </w:rPr>
        <w:t>Cuadro 1. Indicadores de presión, estado y respuesta de la Zona Metropolitana de  Toluca</w:t>
      </w:r>
    </w:p>
    <w:p>
      <w:pPr>
        <w:spacing w:after="0"/>
        <w:jc w:val="left"/>
        <w:rPr>
          <w:sz w:val="16"/>
        </w:rPr>
        <w:sectPr>
          <w:type w:val="continuous"/>
          <w:pgSz w:w="18830" w:h="12760" w:orient="landscape"/>
          <w:pgMar w:top="1420" w:bottom="280" w:left="720" w:right="720"/>
          <w:cols w:num="2" w:equalWidth="0">
            <w:col w:w="7829" w:space="2235"/>
            <w:col w:w="7326"/>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6"/>
        </w:rPr>
      </w:pPr>
    </w:p>
    <w:p>
      <w:pPr>
        <w:spacing w:before="81"/>
        <w:ind w:left="0" w:right="3018" w:firstLine="0"/>
        <w:jc w:val="right"/>
        <w:rPr>
          <w:sz w:val="16"/>
        </w:rPr>
      </w:pPr>
      <w:r>
        <w:rPr/>
        <w:pict>
          <v:shape style="position:absolute;margin-left:513.981018pt;margin-top:-365.611694pt;width:383.95pt;height:361.5pt;mso-position-horizontal-relative:page;mso-position-vertical-relative:paragraph;z-index:147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9"/>
                    <w:gridCol w:w="1342"/>
                    <w:gridCol w:w="1491"/>
                    <w:gridCol w:w="2070"/>
                    <w:gridCol w:w="1701"/>
                  </w:tblGrid>
                  <w:tr>
                    <w:trPr>
                      <w:trHeight w:val="242" w:hRule="exact"/>
                    </w:trPr>
                    <w:tc>
                      <w:tcPr>
                        <w:tcW w:w="1059" w:type="dxa"/>
                        <w:tcBorders>
                          <w:bottom w:val="dotted" w:sz="4" w:space="0" w:color="FFFFFF"/>
                          <w:right w:val="single" w:sz="4" w:space="0" w:color="FFFFFF"/>
                        </w:tcBorders>
                        <w:shd w:val="clear" w:color="auto" w:fill="929292"/>
                      </w:tcPr>
                      <w:p>
                        <w:pPr>
                          <w:pStyle w:val="TableParagraph"/>
                          <w:spacing w:before="16"/>
                          <w:ind w:left="107"/>
                          <w:rPr>
                            <w:sz w:val="18"/>
                          </w:rPr>
                        </w:pPr>
                        <w:r>
                          <w:rPr>
                            <w:sz w:val="18"/>
                          </w:rPr>
                          <w:t>Categoría</w:t>
                        </w:r>
                      </w:p>
                    </w:tc>
                    <w:tc>
                      <w:tcPr>
                        <w:tcW w:w="1342" w:type="dxa"/>
                        <w:tcBorders>
                          <w:left w:val="single" w:sz="4" w:space="0" w:color="FFFFFF"/>
                          <w:bottom w:val="dotted" w:sz="4" w:space="0" w:color="FFFFFF"/>
                          <w:right w:val="single" w:sz="4" w:space="0" w:color="FFFFFF"/>
                        </w:tcBorders>
                        <w:shd w:val="clear" w:color="auto" w:fill="929292"/>
                      </w:tcPr>
                      <w:p>
                        <w:pPr>
                          <w:pStyle w:val="TableParagraph"/>
                          <w:spacing w:before="16"/>
                          <w:ind w:left="102"/>
                          <w:rPr>
                            <w:sz w:val="18"/>
                          </w:rPr>
                        </w:pPr>
                        <w:r>
                          <w:rPr>
                            <w:sz w:val="18"/>
                          </w:rPr>
                          <w:t>Variable</w:t>
                        </w:r>
                      </w:p>
                    </w:tc>
                    <w:tc>
                      <w:tcPr>
                        <w:tcW w:w="1491" w:type="dxa"/>
                        <w:tcBorders>
                          <w:left w:val="single" w:sz="4" w:space="0" w:color="FFFFFF"/>
                          <w:bottom w:val="dotted" w:sz="4" w:space="0" w:color="FFFFFF"/>
                          <w:right w:val="single" w:sz="4" w:space="0" w:color="FFFFFF"/>
                        </w:tcBorders>
                        <w:shd w:val="clear" w:color="auto" w:fill="929292"/>
                      </w:tcPr>
                      <w:p>
                        <w:pPr>
                          <w:pStyle w:val="TableParagraph"/>
                          <w:spacing w:before="16"/>
                          <w:ind w:left="102"/>
                          <w:rPr>
                            <w:sz w:val="18"/>
                          </w:rPr>
                        </w:pPr>
                        <w:r>
                          <w:rPr>
                            <w:sz w:val="18"/>
                          </w:rPr>
                          <w:t>Presión</w:t>
                        </w:r>
                      </w:p>
                    </w:tc>
                    <w:tc>
                      <w:tcPr>
                        <w:tcW w:w="2070" w:type="dxa"/>
                        <w:tcBorders>
                          <w:left w:val="single" w:sz="4" w:space="0" w:color="FFFFFF"/>
                          <w:bottom w:val="dotted" w:sz="4" w:space="0" w:color="FFFFFF"/>
                          <w:right w:val="single" w:sz="4" w:space="0" w:color="FFFFFF"/>
                        </w:tcBorders>
                        <w:shd w:val="clear" w:color="auto" w:fill="929292"/>
                      </w:tcPr>
                      <w:p>
                        <w:pPr>
                          <w:pStyle w:val="TableParagraph"/>
                          <w:spacing w:before="16"/>
                          <w:ind w:left="102" w:right="177"/>
                          <w:rPr>
                            <w:sz w:val="18"/>
                          </w:rPr>
                        </w:pPr>
                        <w:r>
                          <w:rPr>
                            <w:sz w:val="18"/>
                          </w:rPr>
                          <w:t>Estado</w:t>
                        </w:r>
                      </w:p>
                    </w:tc>
                    <w:tc>
                      <w:tcPr>
                        <w:tcW w:w="1701" w:type="dxa"/>
                        <w:tcBorders>
                          <w:left w:val="single" w:sz="4" w:space="0" w:color="FFFFFF"/>
                          <w:bottom w:val="dotted" w:sz="4" w:space="0" w:color="FFFFFF"/>
                        </w:tcBorders>
                        <w:shd w:val="clear" w:color="auto" w:fill="929292"/>
                      </w:tcPr>
                      <w:p>
                        <w:pPr>
                          <w:pStyle w:val="TableParagraph"/>
                          <w:spacing w:before="16"/>
                          <w:ind w:left="103"/>
                          <w:rPr>
                            <w:sz w:val="18"/>
                          </w:rPr>
                        </w:pPr>
                        <w:r>
                          <w:rPr>
                            <w:sz w:val="18"/>
                          </w:rPr>
                          <w:t>Respuesta</w:t>
                        </w:r>
                      </w:p>
                    </w:tc>
                  </w:tr>
                  <w:tr>
                    <w:trPr>
                      <w:trHeight w:val="210" w:hRule="exact"/>
                    </w:trPr>
                    <w:tc>
                      <w:tcPr>
                        <w:tcW w:w="1059" w:type="dxa"/>
                        <w:tcBorders>
                          <w:top w:val="dotted" w:sz="4" w:space="0" w:color="FFFFFF"/>
                          <w:right w:val="single" w:sz="4" w:space="0" w:color="929292"/>
                        </w:tcBorders>
                      </w:tcPr>
                      <w:p>
                        <w:pPr>
                          <w:pStyle w:val="TableParagraph"/>
                          <w:spacing w:line="190" w:lineRule="exact"/>
                          <w:ind w:left="107"/>
                          <w:rPr>
                            <w:sz w:val="18"/>
                          </w:rPr>
                        </w:pPr>
                        <w:r>
                          <w:rPr>
                            <w:sz w:val="18"/>
                          </w:rPr>
                          <w:t>Expansión</w:t>
                        </w:r>
                      </w:p>
                    </w:tc>
                    <w:tc>
                      <w:tcPr>
                        <w:tcW w:w="1342" w:type="dxa"/>
                        <w:tcBorders>
                          <w:top w:val="dotted" w:sz="4" w:space="0" w:color="FFFFFF"/>
                          <w:left w:val="single" w:sz="4" w:space="0" w:color="929292"/>
                          <w:right w:val="single" w:sz="4" w:space="0" w:color="929292"/>
                        </w:tcBorders>
                      </w:tcPr>
                      <w:p>
                        <w:pPr>
                          <w:pStyle w:val="TableParagraph"/>
                          <w:spacing w:line="190" w:lineRule="exact"/>
                          <w:ind w:left="102"/>
                          <w:rPr>
                            <w:sz w:val="18"/>
                          </w:rPr>
                        </w:pPr>
                        <w:r>
                          <w:rPr>
                            <w:sz w:val="18"/>
                          </w:rPr>
                          <w:t>Suelo</w:t>
                        </w:r>
                      </w:p>
                    </w:tc>
                    <w:tc>
                      <w:tcPr>
                        <w:tcW w:w="1491" w:type="dxa"/>
                        <w:tcBorders>
                          <w:top w:val="dotted" w:sz="4" w:space="0" w:color="FFFFFF"/>
                          <w:left w:val="single" w:sz="4" w:space="0" w:color="929292"/>
                          <w:right w:val="single" w:sz="4" w:space="0" w:color="929292"/>
                        </w:tcBorders>
                      </w:tcPr>
                      <w:p>
                        <w:pPr>
                          <w:pStyle w:val="TableParagraph"/>
                          <w:spacing w:line="190" w:lineRule="exact"/>
                          <w:ind w:left="102"/>
                          <w:rPr>
                            <w:sz w:val="18"/>
                          </w:rPr>
                        </w:pPr>
                        <w:r>
                          <w:rPr>
                            <w:sz w:val="18"/>
                          </w:rPr>
                          <w:t>Cambios en</w:t>
                        </w:r>
                      </w:p>
                    </w:tc>
                    <w:tc>
                      <w:tcPr>
                        <w:tcW w:w="2070" w:type="dxa"/>
                        <w:vMerge w:val="restart"/>
                        <w:tcBorders>
                          <w:top w:val="dotted" w:sz="4" w:space="0" w:color="FFFFFF"/>
                          <w:left w:val="single" w:sz="4" w:space="0" w:color="929292"/>
                          <w:right w:val="single" w:sz="4" w:space="0" w:color="929292"/>
                        </w:tcBorders>
                      </w:tcPr>
                      <w:p>
                        <w:pPr>
                          <w:pStyle w:val="TableParagraph"/>
                          <w:numPr>
                            <w:ilvl w:val="0"/>
                            <w:numId w:val="47"/>
                          </w:numPr>
                          <w:tabs>
                            <w:tab w:pos="462" w:val="left" w:leader="none"/>
                            <w:tab w:pos="463" w:val="left" w:leader="none"/>
                          </w:tabs>
                          <w:spacing w:line="191" w:lineRule="exact" w:before="0" w:after="0"/>
                          <w:ind w:left="462" w:right="0" w:hanging="360"/>
                          <w:jc w:val="left"/>
                          <w:rPr>
                            <w:sz w:val="18"/>
                          </w:rPr>
                        </w:pPr>
                        <w:r>
                          <w:rPr>
                            <w:sz w:val="18"/>
                          </w:rPr>
                          <w:t>Disminución</w:t>
                        </w:r>
                        <w:r>
                          <w:rPr>
                            <w:spacing w:val="13"/>
                            <w:sz w:val="18"/>
                          </w:rPr>
                          <w:t> </w:t>
                        </w:r>
                        <w:r>
                          <w:rPr>
                            <w:sz w:val="18"/>
                          </w:rPr>
                          <w:t>de</w:t>
                        </w:r>
                      </w:p>
                      <w:p>
                        <w:pPr>
                          <w:pStyle w:val="TableParagraph"/>
                          <w:spacing w:line="254" w:lineRule="auto" w:before="11"/>
                          <w:ind w:left="462" w:right="177"/>
                          <w:rPr>
                            <w:sz w:val="18"/>
                          </w:rPr>
                        </w:pPr>
                        <w:r>
                          <w:rPr>
                            <w:sz w:val="18"/>
                          </w:rPr>
                          <w:t>superficie vegetal natural.</w:t>
                        </w:r>
                      </w:p>
                      <w:p>
                        <w:pPr>
                          <w:pStyle w:val="TableParagraph"/>
                          <w:numPr>
                            <w:ilvl w:val="0"/>
                            <w:numId w:val="47"/>
                          </w:numPr>
                          <w:tabs>
                            <w:tab w:pos="462" w:val="left" w:leader="none"/>
                            <w:tab w:pos="463" w:val="left" w:leader="none"/>
                          </w:tabs>
                          <w:spacing w:line="254" w:lineRule="auto" w:before="57" w:after="0"/>
                          <w:ind w:left="462" w:right="561" w:hanging="360"/>
                          <w:jc w:val="left"/>
                          <w:rPr>
                            <w:sz w:val="18"/>
                          </w:rPr>
                        </w:pPr>
                        <w:r>
                          <w:rPr>
                            <w:sz w:val="18"/>
                          </w:rPr>
                          <w:t>Disminución de superficie productiva (agrícola).</w:t>
                        </w:r>
                      </w:p>
                      <w:p>
                        <w:pPr>
                          <w:pStyle w:val="TableParagraph"/>
                          <w:numPr>
                            <w:ilvl w:val="0"/>
                            <w:numId w:val="47"/>
                          </w:numPr>
                          <w:tabs>
                            <w:tab w:pos="462" w:val="left" w:leader="none"/>
                            <w:tab w:pos="463" w:val="left" w:leader="none"/>
                          </w:tabs>
                          <w:spacing w:line="254" w:lineRule="auto" w:before="57" w:after="0"/>
                          <w:ind w:left="462" w:right="614" w:hanging="360"/>
                          <w:jc w:val="left"/>
                          <w:rPr>
                            <w:sz w:val="18"/>
                          </w:rPr>
                        </w:pPr>
                        <w:r>
                          <w:rPr>
                            <w:sz w:val="18"/>
                          </w:rPr>
                          <w:t>Aumento de superficie erosionada.</w:t>
                        </w:r>
                      </w:p>
                      <w:p>
                        <w:pPr>
                          <w:pStyle w:val="TableParagraph"/>
                          <w:numPr>
                            <w:ilvl w:val="0"/>
                            <w:numId w:val="47"/>
                          </w:numPr>
                          <w:tabs>
                            <w:tab w:pos="462" w:val="left" w:leader="none"/>
                            <w:tab w:pos="463" w:val="left" w:leader="none"/>
                          </w:tabs>
                          <w:spacing w:line="252" w:lineRule="auto" w:before="57" w:after="0"/>
                          <w:ind w:left="462" w:right="100" w:hanging="360"/>
                          <w:jc w:val="left"/>
                          <w:rPr>
                            <w:sz w:val="18"/>
                          </w:rPr>
                        </w:pPr>
                        <w:r>
                          <w:rPr>
                            <w:sz w:val="18"/>
                          </w:rPr>
                          <w:t>Incremento de superficie</w:t>
                        </w:r>
                        <w:r>
                          <w:rPr>
                            <w:spacing w:val="13"/>
                            <w:sz w:val="18"/>
                          </w:rPr>
                          <w:t> </w:t>
                        </w:r>
                        <w:r>
                          <w:rPr>
                            <w:sz w:val="18"/>
                          </w:rPr>
                          <w:t>artificial.</w:t>
                        </w:r>
                      </w:p>
                      <w:p>
                        <w:pPr>
                          <w:pStyle w:val="TableParagraph"/>
                          <w:numPr>
                            <w:ilvl w:val="0"/>
                            <w:numId w:val="47"/>
                          </w:numPr>
                          <w:tabs>
                            <w:tab w:pos="462" w:val="left" w:leader="none"/>
                            <w:tab w:pos="463" w:val="left" w:leader="none"/>
                          </w:tabs>
                          <w:spacing w:line="254" w:lineRule="auto" w:before="59" w:after="0"/>
                          <w:ind w:left="462" w:right="368" w:hanging="360"/>
                          <w:jc w:val="left"/>
                          <w:rPr>
                            <w:sz w:val="18"/>
                          </w:rPr>
                        </w:pPr>
                        <w:r>
                          <w:rPr>
                            <w:sz w:val="18"/>
                          </w:rPr>
                          <w:t>Variabilidad climática (precipitación y temperatura).</w:t>
                        </w:r>
                      </w:p>
                      <w:p>
                        <w:pPr>
                          <w:pStyle w:val="TableParagraph"/>
                          <w:numPr>
                            <w:ilvl w:val="0"/>
                            <w:numId w:val="47"/>
                          </w:numPr>
                          <w:tabs>
                            <w:tab w:pos="462" w:val="left" w:leader="none"/>
                            <w:tab w:pos="463" w:val="left" w:leader="none"/>
                          </w:tabs>
                          <w:spacing w:line="254" w:lineRule="auto" w:before="57" w:after="0"/>
                          <w:ind w:left="462" w:right="147" w:hanging="360"/>
                          <w:jc w:val="left"/>
                          <w:rPr>
                            <w:sz w:val="18"/>
                          </w:rPr>
                        </w:pPr>
                        <w:r>
                          <w:rPr>
                            <w:sz w:val="18"/>
                          </w:rPr>
                          <w:t>Incremento del consumo de agua (% y</w:t>
                        </w:r>
                        <w:r>
                          <w:rPr>
                            <w:spacing w:val="-1"/>
                            <w:sz w:val="18"/>
                          </w:rPr>
                          <w:t> </w:t>
                        </w:r>
                        <w:r>
                          <w:rPr>
                            <w:sz w:val="18"/>
                          </w:rPr>
                          <w:t>m</w:t>
                        </w:r>
                        <w:r>
                          <w:rPr>
                            <w:position w:val="6"/>
                            <w:sz w:val="10"/>
                          </w:rPr>
                          <w:t>3</w:t>
                        </w:r>
                        <w:r>
                          <w:rPr>
                            <w:sz w:val="18"/>
                          </w:rPr>
                          <w:t>)</w:t>
                        </w:r>
                      </w:p>
                      <w:p>
                        <w:pPr>
                          <w:pStyle w:val="TableParagraph"/>
                          <w:numPr>
                            <w:ilvl w:val="0"/>
                            <w:numId w:val="47"/>
                          </w:numPr>
                          <w:tabs>
                            <w:tab w:pos="463" w:val="left" w:leader="none"/>
                            <w:tab w:pos="464" w:val="left" w:leader="none"/>
                          </w:tabs>
                          <w:spacing w:line="254" w:lineRule="auto" w:before="57" w:after="0"/>
                          <w:ind w:left="463" w:right="191" w:hanging="360"/>
                          <w:jc w:val="left"/>
                          <w:rPr>
                            <w:sz w:val="18"/>
                          </w:rPr>
                        </w:pPr>
                        <w:r>
                          <w:rPr>
                            <w:sz w:val="18"/>
                          </w:rPr>
                          <w:t>Reducción de cuerpos de agua, manantiales, bordos,</w:t>
                        </w:r>
                        <w:r>
                          <w:rPr>
                            <w:spacing w:val="29"/>
                            <w:sz w:val="18"/>
                          </w:rPr>
                          <w:t> </w:t>
                        </w:r>
                        <w:r>
                          <w:rPr>
                            <w:sz w:val="18"/>
                          </w:rPr>
                          <w:t>etc.</w:t>
                        </w:r>
                      </w:p>
                      <w:p>
                        <w:pPr>
                          <w:pStyle w:val="TableParagraph"/>
                          <w:numPr>
                            <w:ilvl w:val="0"/>
                            <w:numId w:val="47"/>
                          </w:numPr>
                          <w:tabs>
                            <w:tab w:pos="464" w:val="left" w:leader="none"/>
                          </w:tabs>
                          <w:spacing w:line="254" w:lineRule="auto" w:before="57" w:after="0"/>
                          <w:ind w:left="463" w:right="351" w:hanging="360"/>
                          <w:jc w:val="both"/>
                          <w:rPr>
                            <w:sz w:val="18"/>
                          </w:rPr>
                        </w:pPr>
                        <w:r>
                          <w:rPr>
                            <w:sz w:val="18"/>
                          </w:rPr>
                          <w:t>Disminución de la superficie de recarga.</w:t>
                        </w:r>
                      </w:p>
                      <w:p>
                        <w:pPr>
                          <w:pStyle w:val="TableParagraph"/>
                          <w:numPr>
                            <w:ilvl w:val="0"/>
                            <w:numId w:val="47"/>
                          </w:numPr>
                          <w:tabs>
                            <w:tab w:pos="463" w:val="left" w:leader="none"/>
                            <w:tab w:pos="464" w:val="left" w:leader="none"/>
                          </w:tabs>
                          <w:spacing w:line="254" w:lineRule="auto" w:before="57" w:after="0"/>
                          <w:ind w:left="463" w:right="211" w:hanging="360"/>
                          <w:jc w:val="left"/>
                          <w:rPr>
                            <w:sz w:val="18"/>
                          </w:rPr>
                        </w:pPr>
                        <w:r>
                          <w:rPr>
                            <w:sz w:val="18"/>
                          </w:rPr>
                          <w:t>Disminución del volumen de agua disponible.</w:t>
                        </w:r>
                      </w:p>
                    </w:tc>
                    <w:tc>
                      <w:tcPr>
                        <w:tcW w:w="1701" w:type="dxa"/>
                        <w:tcBorders>
                          <w:top w:val="dotted" w:sz="4" w:space="0" w:color="FFFFFF"/>
                          <w:left w:val="single" w:sz="4" w:space="0" w:color="929292"/>
                        </w:tcBorders>
                      </w:tcPr>
                      <w:p>
                        <w:pPr>
                          <w:pStyle w:val="TableParagraph"/>
                          <w:spacing w:line="190" w:lineRule="exact"/>
                          <w:ind w:left="102"/>
                          <w:rPr>
                            <w:sz w:val="18"/>
                          </w:rPr>
                        </w:pPr>
                        <w:r>
                          <w:rPr>
                            <w:sz w:val="18"/>
                          </w:rPr>
                          <w:t>Políticas</w:t>
                        </w:r>
                      </w:p>
                    </w:tc>
                  </w:tr>
                  <w:tr>
                    <w:trPr>
                      <w:trHeight w:val="220" w:hRule="exact"/>
                    </w:trPr>
                    <w:tc>
                      <w:tcPr>
                        <w:tcW w:w="1059" w:type="dxa"/>
                        <w:tcBorders>
                          <w:right w:val="single" w:sz="4" w:space="0" w:color="929292"/>
                        </w:tcBorders>
                      </w:tcPr>
                      <w:p>
                        <w:pPr>
                          <w:pStyle w:val="TableParagraph"/>
                          <w:spacing w:line="205" w:lineRule="exact"/>
                          <w:ind w:left="107"/>
                          <w:rPr>
                            <w:sz w:val="18"/>
                          </w:rPr>
                        </w:pPr>
                        <w:r>
                          <w:rPr>
                            <w:sz w:val="18"/>
                          </w:rPr>
                          <w:t>urbana</w:t>
                        </w: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Style w:val="TableParagraph"/>
                          <w:spacing w:line="205" w:lineRule="exact"/>
                          <w:ind w:left="102"/>
                          <w:rPr>
                            <w:sz w:val="18"/>
                          </w:rPr>
                        </w:pPr>
                        <w:r>
                          <w:rPr>
                            <w:sz w:val="18"/>
                          </w:rPr>
                          <w:t>vegetación</w:t>
                        </w: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line="205" w:lineRule="exact"/>
                          <w:ind w:left="102"/>
                          <w:rPr>
                            <w:sz w:val="18"/>
                          </w:rPr>
                        </w:pPr>
                        <w:r>
                          <w:rPr>
                            <w:sz w:val="18"/>
                          </w:rPr>
                          <w:t>ambientales,</w:t>
                        </w:r>
                      </w:p>
                    </w:tc>
                  </w:tr>
                  <w:tr>
                    <w:trPr>
                      <w:trHeight w:val="220"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Style w:val="TableParagraph"/>
                          <w:spacing w:line="205" w:lineRule="exact"/>
                          <w:ind w:left="102"/>
                          <w:rPr>
                            <w:sz w:val="18"/>
                          </w:rPr>
                        </w:pPr>
                        <w:r>
                          <w:rPr>
                            <w:sz w:val="18"/>
                          </w:rPr>
                          <w:t>natural y uso</w:t>
                        </w: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line="205" w:lineRule="exact"/>
                          <w:ind w:left="102"/>
                          <w:rPr>
                            <w:sz w:val="18"/>
                          </w:rPr>
                        </w:pPr>
                        <w:r>
                          <w:rPr>
                            <w:sz w:val="18"/>
                          </w:rPr>
                          <w:t>planes y</w:t>
                        </w:r>
                      </w:p>
                    </w:tc>
                  </w:tr>
                  <w:tr>
                    <w:trPr>
                      <w:trHeight w:val="387"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Style w:val="TableParagraph"/>
                          <w:spacing w:line="205" w:lineRule="exact"/>
                          <w:ind w:left="102"/>
                          <w:rPr>
                            <w:sz w:val="18"/>
                          </w:rPr>
                        </w:pPr>
                        <w:r>
                          <w:rPr>
                            <w:sz w:val="18"/>
                          </w:rPr>
                          <w:t>de suelo</w:t>
                        </w: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line="205" w:lineRule="exact"/>
                          <w:ind w:left="102"/>
                          <w:rPr>
                            <w:sz w:val="18"/>
                          </w:rPr>
                        </w:pPr>
                        <w:r>
                          <w:rPr>
                            <w:w w:val="105"/>
                            <w:sz w:val="18"/>
                          </w:rPr>
                          <w:t>proyectos:</w:t>
                        </w:r>
                      </w:p>
                    </w:tc>
                  </w:tr>
                  <w:tr>
                    <w:trPr>
                      <w:trHeight w:val="386"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before="3"/>
                          <w:rPr>
                            <w:sz w:val="14"/>
                          </w:rPr>
                        </w:pPr>
                      </w:p>
                      <w:p>
                        <w:pPr>
                          <w:pStyle w:val="TableParagraph"/>
                          <w:ind w:left="102"/>
                          <w:rPr>
                            <w:sz w:val="18"/>
                          </w:rPr>
                        </w:pPr>
                        <w:r>
                          <w:rPr>
                            <w:sz w:val="18"/>
                          </w:rPr>
                          <w:t>(Probosque,</w:t>
                        </w:r>
                      </w:p>
                    </w:tc>
                  </w:tr>
                  <w:tr>
                    <w:trPr>
                      <w:trHeight w:val="220"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line="205" w:lineRule="exact"/>
                          <w:ind w:left="102"/>
                          <w:rPr>
                            <w:sz w:val="18"/>
                          </w:rPr>
                        </w:pPr>
                        <w:r>
                          <w:rPr>
                            <w:sz w:val="18"/>
                          </w:rPr>
                          <w:t>CEPANAF, SMA,</w:t>
                        </w:r>
                      </w:p>
                    </w:tc>
                  </w:tr>
                  <w:tr>
                    <w:trPr>
                      <w:trHeight w:val="220"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line="205" w:lineRule="exact"/>
                          <w:ind w:left="102"/>
                          <w:rPr>
                            <w:sz w:val="18"/>
                          </w:rPr>
                        </w:pPr>
                        <w:r>
                          <w:rPr>
                            <w:sz w:val="18"/>
                          </w:rPr>
                          <w:t>SEDAGRO,</w:t>
                        </w:r>
                      </w:p>
                    </w:tc>
                  </w:tr>
                  <w:tr>
                    <w:trPr>
                      <w:trHeight w:val="220"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line="205" w:lineRule="exact"/>
                          <w:ind w:left="102"/>
                          <w:rPr>
                            <w:sz w:val="18"/>
                          </w:rPr>
                        </w:pPr>
                        <w:r>
                          <w:rPr>
                            <w:sz w:val="18"/>
                          </w:rPr>
                          <w:t>ICAMEX,</w:t>
                        </w:r>
                      </w:p>
                    </w:tc>
                  </w:tr>
                  <w:tr>
                    <w:trPr>
                      <w:trHeight w:val="220"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line="205" w:lineRule="exact"/>
                          <w:ind w:left="102"/>
                          <w:rPr>
                            <w:sz w:val="18"/>
                          </w:rPr>
                        </w:pPr>
                        <w:r>
                          <w:rPr>
                            <w:sz w:val="18"/>
                          </w:rPr>
                          <w:t>CNA, planes</w:t>
                        </w:r>
                      </w:p>
                    </w:tc>
                  </w:tr>
                  <w:tr>
                    <w:trPr>
                      <w:trHeight w:val="220"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line="205" w:lineRule="exact"/>
                          <w:ind w:left="102"/>
                          <w:rPr>
                            <w:sz w:val="18"/>
                          </w:rPr>
                        </w:pPr>
                        <w:r>
                          <w:rPr>
                            <w:sz w:val="18"/>
                          </w:rPr>
                          <w:t>de desarrollo</w:t>
                        </w:r>
                      </w:p>
                    </w:tc>
                  </w:tr>
                  <w:tr>
                    <w:trPr>
                      <w:trHeight w:val="1525"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Style w:val="TableParagraph"/>
                          <w:spacing w:line="205" w:lineRule="exact"/>
                          <w:ind w:left="102"/>
                          <w:rPr>
                            <w:sz w:val="18"/>
                          </w:rPr>
                        </w:pPr>
                        <w:r>
                          <w:rPr>
                            <w:sz w:val="18"/>
                          </w:rPr>
                          <w:t>municipal,  etc.)</w:t>
                        </w:r>
                      </w:p>
                    </w:tc>
                  </w:tr>
                  <w:tr>
                    <w:trPr>
                      <w:trHeight w:val="1745"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2"/>
                          <w:rPr>
                            <w:sz w:val="20"/>
                          </w:rPr>
                        </w:pPr>
                      </w:p>
                      <w:p>
                        <w:pPr>
                          <w:pStyle w:val="TableParagraph"/>
                          <w:ind w:left="102"/>
                          <w:rPr>
                            <w:sz w:val="18"/>
                          </w:rPr>
                        </w:pPr>
                        <w:r>
                          <w:rPr>
                            <w:sz w:val="18"/>
                          </w:rPr>
                          <w:t>Agua</w:t>
                        </w:r>
                      </w:p>
                    </w:tc>
                    <w:tc>
                      <w:tcPr>
                        <w:tcW w:w="1491" w:type="dxa"/>
                        <w:tcBorders>
                          <w:left w:val="single" w:sz="4" w:space="0" w:color="929292"/>
                          <w:right w:val="single" w:sz="4" w:space="0" w:color="929292"/>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23"/>
                          </w:rPr>
                        </w:pPr>
                      </w:p>
                      <w:p>
                        <w:pPr>
                          <w:pStyle w:val="TableParagraph"/>
                          <w:spacing w:line="254" w:lineRule="auto"/>
                          <w:ind w:left="102"/>
                          <w:rPr>
                            <w:sz w:val="18"/>
                          </w:rPr>
                        </w:pPr>
                        <w:r>
                          <w:rPr>
                            <w:sz w:val="18"/>
                          </w:rPr>
                          <w:t>Abastecimiento de agua y</w:t>
                        </w: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
                    </w:tc>
                  </w:tr>
                  <w:tr>
                    <w:trPr>
                      <w:trHeight w:val="220"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Style w:val="TableParagraph"/>
                          <w:spacing w:line="205" w:lineRule="exact"/>
                          <w:ind w:left="102"/>
                          <w:rPr>
                            <w:sz w:val="18"/>
                          </w:rPr>
                        </w:pPr>
                        <w:r>
                          <w:rPr>
                            <w:sz w:val="18"/>
                          </w:rPr>
                          <w:t>alteración en el</w:t>
                        </w: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
                    </w:tc>
                  </w:tr>
                  <w:tr>
                    <w:trPr>
                      <w:trHeight w:val="220" w:hRule="exact"/>
                    </w:trPr>
                    <w:tc>
                      <w:tcPr>
                        <w:tcW w:w="1059" w:type="dxa"/>
                        <w:tcBorders>
                          <w:right w:val="single" w:sz="4" w:space="0" w:color="929292"/>
                        </w:tcBorders>
                      </w:tcPr>
                      <w:p>
                        <w:pPr/>
                      </w:p>
                    </w:tc>
                    <w:tc>
                      <w:tcPr>
                        <w:tcW w:w="1342" w:type="dxa"/>
                        <w:tcBorders>
                          <w:left w:val="single" w:sz="4" w:space="0" w:color="929292"/>
                          <w:right w:val="single" w:sz="4" w:space="0" w:color="929292"/>
                        </w:tcBorders>
                      </w:tcPr>
                      <w:p>
                        <w:pPr/>
                      </w:p>
                    </w:tc>
                    <w:tc>
                      <w:tcPr>
                        <w:tcW w:w="1491" w:type="dxa"/>
                        <w:tcBorders>
                          <w:left w:val="single" w:sz="4" w:space="0" w:color="929292"/>
                          <w:right w:val="single" w:sz="4" w:space="0" w:color="929292"/>
                        </w:tcBorders>
                      </w:tcPr>
                      <w:p>
                        <w:pPr>
                          <w:pStyle w:val="TableParagraph"/>
                          <w:spacing w:line="205" w:lineRule="exact"/>
                          <w:ind w:left="102"/>
                          <w:rPr>
                            <w:sz w:val="18"/>
                          </w:rPr>
                        </w:pPr>
                        <w:r>
                          <w:rPr>
                            <w:sz w:val="18"/>
                          </w:rPr>
                          <w:t>flujo hidrológico</w:t>
                        </w:r>
                      </w:p>
                    </w:tc>
                    <w:tc>
                      <w:tcPr>
                        <w:tcW w:w="2070" w:type="dxa"/>
                        <w:vMerge/>
                        <w:tcBorders>
                          <w:left w:val="single" w:sz="4" w:space="0" w:color="929292"/>
                          <w:right w:val="single" w:sz="4" w:space="0" w:color="929292"/>
                        </w:tcBorders>
                      </w:tcPr>
                      <w:p>
                        <w:pPr/>
                      </w:p>
                    </w:tc>
                    <w:tc>
                      <w:tcPr>
                        <w:tcW w:w="1701" w:type="dxa"/>
                        <w:tcBorders>
                          <w:left w:val="single" w:sz="4" w:space="0" w:color="929292"/>
                        </w:tcBorders>
                      </w:tcPr>
                      <w:p>
                        <w:pPr/>
                      </w:p>
                    </w:tc>
                  </w:tr>
                  <w:tr>
                    <w:trPr>
                      <w:trHeight w:val="749" w:hRule="exact"/>
                    </w:trPr>
                    <w:tc>
                      <w:tcPr>
                        <w:tcW w:w="1059" w:type="dxa"/>
                        <w:tcBorders>
                          <w:bottom w:val="dotted" w:sz="4" w:space="0" w:color="929292"/>
                          <w:right w:val="single" w:sz="4" w:space="0" w:color="929292"/>
                        </w:tcBorders>
                      </w:tcPr>
                      <w:p>
                        <w:pPr/>
                      </w:p>
                    </w:tc>
                    <w:tc>
                      <w:tcPr>
                        <w:tcW w:w="1342" w:type="dxa"/>
                        <w:tcBorders>
                          <w:left w:val="single" w:sz="4" w:space="0" w:color="929292"/>
                          <w:bottom w:val="dotted" w:sz="4" w:space="0" w:color="929292"/>
                          <w:right w:val="single" w:sz="4" w:space="0" w:color="929292"/>
                        </w:tcBorders>
                      </w:tcPr>
                      <w:p>
                        <w:pPr/>
                      </w:p>
                    </w:tc>
                    <w:tc>
                      <w:tcPr>
                        <w:tcW w:w="1491" w:type="dxa"/>
                        <w:tcBorders>
                          <w:left w:val="single" w:sz="4" w:space="0" w:color="929292"/>
                          <w:bottom w:val="dotted" w:sz="4" w:space="0" w:color="929292"/>
                          <w:right w:val="single" w:sz="4" w:space="0" w:color="929292"/>
                        </w:tcBorders>
                      </w:tcPr>
                      <w:p>
                        <w:pPr>
                          <w:pStyle w:val="TableParagraph"/>
                          <w:spacing w:line="205" w:lineRule="exact"/>
                          <w:ind w:left="102"/>
                          <w:rPr>
                            <w:sz w:val="18"/>
                          </w:rPr>
                        </w:pPr>
                        <w:r>
                          <w:rPr>
                            <w:sz w:val="18"/>
                          </w:rPr>
                          <w:t>natural.</w:t>
                        </w:r>
                      </w:p>
                    </w:tc>
                    <w:tc>
                      <w:tcPr>
                        <w:tcW w:w="2070" w:type="dxa"/>
                        <w:vMerge/>
                        <w:tcBorders>
                          <w:left w:val="single" w:sz="4" w:space="0" w:color="929292"/>
                          <w:bottom w:val="dotted" w:sz="4" w:space="0" w:color="929292"/>
                          <w:right w:val="single" w:sz="4" w:space="0" w:color="929292"/>
                        </w:tcBorders>
                      </w:tcPr>
                      <w:p>
                        <w:pPr/>
                      </w:p>
                    </w:tc>
                    <w:tc>
                      <w:tcPr>
                        <w:tcW w:w="1701" w:type="dxa"/>
                        <w:tcBorders>
                          <w:left w:val="single" w:sz="4" w:space="0" w:color="929292"/>
                          <w:bottom w:val="dotted" w:sz="4" w:space="0" w:color="929292"/>
                        </w:tcBorders>
                      </w:tcPr>
                      <w:p>
                        <w:pPr/>
                      </w:p>
                    </w:tc>
                  </w:tr>
                </w:tbl>
                <w:p>
                  <w:pPr>
                    <w:pStyle w:val="BodyText"/>
                  </w:pPr>
                </w:p>
              </w:txbxContent>
            </v:textbox>
            <w10:wrap type="none"/>
          </v:shape>
        </w:pict>
      </w:r>
      <w:r>
        <w:rPr>
          <w:color w:val="6D6E71"/>
          <w:sz w:val="16"/>
        </w:rPr>
        <w:t>Fuente: Elaboración propia</w:t>
      </w:r>
    </w:p>
    <w:p>
      <w:pPr>
        <w:pStyle w:val="BodyText"/>
        <w:spacing w:before="5"/>
        <w:rPr>
          <w:sz w:val="22"/>
        </w:rPr>
      </w:pPr>
    </w:p>
    <w:p>
      <w:pPr>
        <w:pStyle w:val="BodyText"/>
        <w:spacing w:line="249" w:lineRule="auto"/>
        <w:ind w:left="9541" w:right="127" w:firstLine="170"/>
        <w:jc w:val="both"/>
      </w:pPr>
      <w:r>
        <w:rPr/>
        <w:t>En relación a la variable “suelo”, se puede decir que el sector inmobiliario ha venido promoviendo el desarrollo territorial en grandes extensiones fragmentadas a través de vivienda</w:t>
      </w:r>
      <w:r>
        <w:rPr>
          <w:spacing w:val="-16"/>
        </w:rPr>
        <w:t> </w:t>
      </w:r>
      <w:r>
        <w:rPr/>
        <w:t>dirigida</w:t>
      </w:r>
      <w:r>
        <w:rPr>
          <w:spacing w:val="-16"/>
        </w:rPr>
        <w:t> </w:t>
      </w:r>
      <w:r>
        <w:rPr/>
        <w:t>a</w:t>
      </w:r>
      <w:r>
        <w:rPr>
          <w:spacing w:val="-16"/>
        </w:rPr>
        <w:t> </w:t>
      </w:r>
      <w:r>
        <w:rPr/>
        <w:t>diferentes</w:t>
      </w:r>
      <w:r>
        <w:rPr>
          <w:spacing w:val="-16"/>
        </w:rPr>
        <w:t> </w:t>
      </w:r>
      <w:r>
        <w:rPr/>
        <w:t>capas</w:t>
      </w:r>
      <w:r>
        <w:rPr>
          <w:spacing w:val="-16"/>
        </w:rPr>
        <w:t> </w:t>
      </w:r>
      <w:r>
        <w:rPr/>
        <w:t>de</w:t>
      </w:r>
      <w:r>
        <w:rPr>
          <w:spacing w:val="-16"/>
        </w:rPr>
        <w:t> </w:t>
      </w:r>
      <w:r>
        <w:rPr/>
        <w:t>la</w:t>
      </w:r>
      <w:r>
        <w:rPr>
          <w:spacing w:val="-16"/>
        </w:rPr>
        <w:t> </w:t>
      </w:r>
      <w:r>
        <w:rPr/>
        <w:t>población</w:t>
      </w:r>
      <w:r>
        <w:rPr>
          <w:spacing w:val="-16"/>
        </w:rPr>
        <w:t> </w:t>
      </w:r>
      <w:r>
        <w:rPr/>
        <w:t>de</w:t>
      </w:r>
      <w:r>
        <w:rPr>
          <w:spacing w:val="-16"/>
        </w:rPr>
        <w:t> </w:t>
      </w:r>
      <w:r>
        <w:rPr/>
        <w:t>la</w:t>
      </w:r>
      <w:r>
        <w:rPr>
          <w:spacing w:val="-16"/>
        </w:rPr>
        <w:t> </w:t>
      </w:r>
      <w:r>
        <w:rPr/>
        <w:t>zona,</w:t>
      </w:r>
      <w:r>
        <w:rPr>
          <w:spacing w:val="-16"/>
        </w:rPr>
        <w:t> </w:t>
      </w:r>
      <w:r>
        <w:rPr/>
        <w:t>a</w:t>
      </w:r>
      <w:r>
        <w:rPr>
          <w:spacing w:val="-16"/>
        </w:rPr>
        <w:t> </w:t>
      </w:r>
      <w:r>
        <w:rPr/>
        <w:t>partir</w:t>
      </w:r>
      <w:r>
        <w:rPr>
          <w:spacing w:val="-16"/>
        </w:rPr>
        <w:t> </w:t>
      </w:r>
      <w:r>
        <w:rPr/>
        <w:t>de</w:t>
      </w:r>
      <w:r>
        <w:rPr>
          <w:spacing w:val="-16"/>
        </w:rPr>
        <w:t> </w:t>
      </w:r>
      <w:r>
        <w:rPr/>
        <w:t>la</w:t>
      </w:r>
      <w:r>
        <w:rPr>
          <w:spacing w:val="-16"/>
        </w:rPr>
        <w:t> </w:t>
      </w:r>
      <w:r>
        <w:rPr/>
        <w:t>normatividad actualmente establecida en el Libro Quinto del Código Administrativo del Estado de México aprobado con fecha 21 de diciembre del 2001 (GEM, 2001). Ello ha generado crecimiento y expansión en el área urbana impactando en la superficie de cada uno de los municipios pertenecientes a la ZMT, a través del cambio de uso del suelo, de rural a</w:t>
      </w:r>
      <w:r>
        <w:rPr>
          <w:spacing w:val="3"/>
        </w:rPr>
        <w:t> </w:t>
      </w:r>
      <w:r>
        <w:rPr/>
        <w:t>urbano.</w:t>
      </w:r>
    </w:p>
    <w:p>
      <w:pPr>
        <w:spacing w:after="0" w:line="249" w:lineRule="auto"/>
        <w:jc w:val="both"/>
        <w:sectPr>
          <w:type w:val="continuous"/>
          <w:pgSz w:w="18830" w:h="12760" w:orient="landscape"/>
          <w:pgMar w:top="1420" w:bottom="280" w:left="720" w:right="720"/>
        </w:sectPr>
      </w:pPr>
    </w:p>
    <w:p>
      <w:pPr>
        <w:pStyle w:val="BodyText"/>
        <w:spacing w:before="6"/>
        <w:rPr>
          <w:sz w:val="23"/>
        </w:rPr>
      </w:pPr>
    </w:p>
    <w:p>
      <w:pPr>
        <w:spacing w:after="0"/>
        <w:rPr>
          <w:sz w:val="23"/>
        </w:rPr>
        <w:sectPr>
          <w:footerReference w:type="default" r:id="rId434"/>
          <w:pgSz w:w="18830" w:h="12760" w:orient="landscape"/>
          <w:pgMar w:footer="1036" w:header="522" w:top="820" w:bottom="1220" w:left="720" w:right="720"/>
        </w:sectPr>
      </w:pPr>
    </w:p>
    <w:p>
      <w:pPr>
        <w:pStyle w:val="BodyText"/>
        <w:spacing w:line="249" w:lineRule="auto" w:before="76"/>
        <w:ind w:left="130" w:firstLine="170"/>
        <w:jc w:val="both"/>
      </w:pPr>
      <w:r>
        <w:rPr/>
        <w:t>En este sentido, Barlowe (1965) sostiene que las tierras residenciales y las que se utilizan con fines comerciales e industriales tienen gran importancia desde el punto    de vista de su valor, pero mucho menos por las dimensiones del área total utilizada. Estos usos incluyen una parte significativa de la tierra en áreas urbanas</w:t>
      </w:r>
      <w:r>
        <w:rPr>
          <w:spacing w:val="25"/>
        </w:rPr>
        <w:t> </w:t>
      </w:r>
      <w:r>
        <w:rPr/>
        <w:t>y</w:t>
      </w:r>
      <w:r>
        <w:rPr>
          <w:spacing w:val="2"/>
        </w:rPr>
        <w:t> </w:t>
      </w:r>
      <w:r>
        <w:rPr/>
        <w:t>suburbanas,</w:t>
      </w:r>
      <w:r>
        <w:rPr>
          <w:w w:val="100"/>
        </w:rPr>
        <w:t> </w:t>
      </w:r>
      <w:r>
        <w:rPr/>
        <w:t>y son también importantes en las zonas rurales. En nuestra sociedad los recursos de  la tierra pueden ganar generalmente un rendimiento más alto cuando se utilizan con fines comerciales o industriales. En consecuencia, dichos usos suelen anular la oferta de otros en casi cualquier localidad. Los usos residenciales suelen tener segunda prioridad, seguidos por diversos tipos de cultivos: pastos, pastoreos y  </w:t>
      </w:r>
      <w:r>
        <w:rPr>
          <w:spacing w:val="22"/>
        </w:rPr>
        <w:t> </w:t>
      </w:r>
      <w:r>
        <w:rPr/>
        <w:t>bosques.</w:t>
      </w:r>
    </w:p>
    <w:p>
      <w:pPr>
        <w:pStyle w:val="BodyText"/>
        <w:spacing w:before="11"/>
      </w:pPr>
    </w:p>
    <w:p>
      <w:pPr>
        <w:pStyle w:val="BodyText"/>
        <w:spacing w:line="249" w:lineRule="auto"/>
        <w:ind w:left="130" w:firstLine="170"/>
        <w:jc w:val="both"/>
      </w:pPr>
      <w:r>
        <w:rPr/>
        <w:t>En relación a la variable “agua”, según el “Plan Regional de Desarrollo Urbano del Valle</w:t>
      </w:r>
      <w:r>
        <w:rPr>
          <w:spacing w:val="-6"/>
        </w:rPr>
        <w:t> </w:t>
      </w:r>
      <w:r>
        <w:rPr/>
        <w:t>de</w:t>
      </w:r>
      <w:r>
        <w:rPr>
          <w:spacing w:val="-6"/>
        </w:rPr>
        <w:t> </w:t>
      </w:r>
      <w:r>
        <w:rPr/>
        <w:t>Toluca”</w:t>
      </w:r>
      <w:r>
        <w:rPr>
          <w:spacing w:val="-6"/>
        </w:rPr>
        <w:t> </w:t>
      </w:r>
      <w:r>
        <w:rPr/>
        <w:t>(GEM,</w:t>
      </w:r>
      <w:r>
        <w:rPr>
          <w:spacing w:val="-6"/>
        </w:rPr>
        <w:t> </w:t>
      </w:r>
      <w:r>
        <w:rPr/>
        <w:t>2012),</w:t>
      </w:r>
      <w:r>
        <w:rPr>
          <w:spacing w:val="-6"/>
        </w:rPr>
        <w:t> </w:t>
      </w:r>
      <w:r>
        <w:rPr/>
        <w:t>existe</w:t>
      </w:r>
      <w:r>
        <w:rPr>
          <w:spacing w:val="-6"/>
        </w:rPr>
        <w:t> </w:t>
      </w:r>
      <w:r>
        <w:rPr/>
        <w:t>una</w:t>
      </w:r>
      <w:r>
        <w:rPr>
          <w:spacing w:val="-6"/>
        </w:rPr>
        <w:t> </w:t>
      </w:r>
      <w:r>
        <w:rPr/>
        <w:t>fuerte</w:t>
      </w:r>
      <w:r>
        <w:rPr>
          <w:spacing w:val="-6"/>
        </w:rPr>
        <w:t> </w:t>
      </w:r>
      <w:r>
        <w:rPr/>
        <w:t>presión</w:t>
      </w:r>
      <w:r>
        <w:rPr>
          <w:spacing w:val="-6"/>
        </w:rPr>
        <w:t> </w:t>
      </w:r>
      <w:r>
        <w:rPr/>
        <w:t>de</w:t>
      </w:r>
      <w:r>
        <w:rPr>
          <w:spacing w:val="-6"/>
        </w:rPr>
        <w:t> </w:t>
      </w:r>
      <w:r>
        <w:rPr/>
        <w:t>los</w:t>
      </w:r>
      <w:r>
        <w:rPr>
          <w:spacing w:val="-6"/>
        </w:rPr>
        <w:t> </w:t>
      </w:r>
      <w:r>
        <w:rPr/>
        <w:t>asentamientos</w:t>
      </w:r>
      <w:r>
        <w:rPr>
          <w:spacing w:val="-6"/>
        </w:rPr>
        <w:t> </w:t>
      </w:r>
      <w:r>
        <w:rPr/>
        <w:t>humanos sobre áreas y cauces de recarga de acuíferos y áreas naturales protegidas; descargas de aguas residuales y desechos industriales al río Lerma, provocando una alta contaminación; una gran presión demográfica por la inmigración de entidades vecinas, implicando que el ritmo de crecimiento rebase la oferta de servicios, infraestructura y equipamientos; la tendencia de una conurbación entre el Valle de Toluca y el Valle de México</w:t>
      </w:r>
      <w:r>
        <w:rPr>
          <w:spacing w:val="-5"/>
        </w:rPr>
        <w:t> </w:t>
      </w:r>
      <w:r>
        <w:rPr/>
        <w:t>que</w:t>
      </w:r>
      <w:r>
        <w:rPr>
          <w:spacing w:val="-5"/>
        </w:rPr>
        <w:t> </w:t>
      </w:r>
      <w:r>
        <w:rPr/>
        <w:t>causaría</w:t>
      </w:r>
      <w:r>
        <w:rPr>
          <w:spacing w:val="-5"/>
        </w:rPr>
        <w:t> </w:t>
      </w:r>
      <w:r>
        <w:rPr/>
        <w:t>afectaciones</w:t>
      </w:r>
      <w:r>
        <w:rPr>
          <w:spacing w:val="-5"/>
        </w:rPr>
        <w:t> </w:t>
      </w:r>
      <w:r>
        <w:rPr/>
        <w:t>a</w:t>
      </w:r>
      <w:r>
        <w:rPr>
          <w:spacing w:val="-5"/>
        </w:rPr>
        <w:t> </w:t>
      </w:r>
      <w:r>
        <w:rPr/>
        <w:t>la</w:t>
      </w:r>
      <w:r>
        <w:rPr>
          <w:spacing w:val="-5"/>
        </w:rPr>
        <w:t> </w:t>
      </w:r>
      <w:r>
        <w:rPr/>
        <w:t>economía</w:t>
      </w:r>
      <w:r>
        <w:rPr>
          <w:spacing w:val="-5"/>
        </w:rPr>
        <w:t> </w:t>
      </w:r>
      <w:r>
        <w:rPr/>
        <w:t>de</w:t>
      </w:r>
      <w:r>
        <w:rPr>
          <w:spacing w:val="-5"/>
        </w:rPr>
        <w:t> </w:t>
      </w:r>
      <w:r>
        <w:rPr/>
        <w:t>la</w:t>
      </w:r>
      <w:r>
        <w:rPr>
          <w:spacing w:val="-5"/>
        </w:rPr>
        <w:t> </w:t>
      </w:r>
      <w:r>
        <w:rPr/>
        <w:t>megalópolis</w:t>
      </w:r>
      <w:r>
        <w:rPr>
          <w:spacing w:val="-5"/>
        </w:rPr>
        <w:t> </w:t>
      </w:r>
      <w:r>
        <w:rPr/>
        <w:t>por</w:t>
      </w:r>
      <w:r>
        <w:rPr>
          <w:spacing w:val="-5"/>
        </w:rPr>
        <w:t> </w:t>
      </w:r>
      <w:r>
        <w:rPr/>
        <w:t>una</w:t>
      </w:r>
      <w:r>
        <w:rPr>
          <w:spacing w:val="-5"/>
        </w:rPr>
        <w:t> </w:t>
      </w:r>
      <w:r>
        <w:rPr/>
        <w:t>continuidad física desarticulada y la mayor presión hacia el deterioro</w:t>
      </w:r>
      <w:r>
        <w:rPr>
          <w:spacing w:val="34"/>
        </w:rPr>
        <w:t> </w:t>
      </w:r>
      <w:r>
        <w:rPr/>
        <w:t>ambiental.</w:t>
      </w:r>
    </w:p>
    <w:p>
      <w:pPr>
        <w:pStyle w:val="BodyText"/>
        <w:spacing w:before="11"/>
      </w:pPr>
    </w:p>
    <w:p>
      <w:pPr>
        <w:pStyle w:val="BodyText"/>
        <w:spacing w:line="249" w:lineRule="auto"/>
        <w:ind w:left="130" w:firstLine="170"/>
        <w:jc w:val="both"/>
      </w:pPr>
      <w:r>
        <w:rPr/>
        <w:t>La disponibilidad de agua, en cantidad y calidad, es hoy en día una variable crítica para el desarrollo de las poblaciones, mismas que ejercen presión sobre el recurso. La cantidad y naturaleza de presión pueden llegar a deterior profundamente la condición del agua como recurso, disminuyendo o debilitando con esto su aprovechamiento e inclusive su uso para las necesidades vitales (Manzano-Solís, y otros, 2007).</w:t>
      </w:r>
    </w:p>
    <w:p>
      <w:pPr>
        <w:pStyle w:val="BodyText"/>
        <w:spacing w:before="11"/>
      </w:pPr>
    </w:p>
    <w:p>
      <w:pPr>
        <w:pStyle w:val="BodyText"/>
        <w:spacing w:line="249" w:lineRule="auto"/>
        <w:ind w:left="130" w:firstLine="170"/>
        <w:jc w:val="right"/>
      </w:pPr>
      <w:r>
        <w:rPr/>
        <w:t>Además del modelo PER, se emplean los Sistemas de Información</w:t>
      </w:r>
      <w:r>
        <w:rPr>
          <w:spacing w:val="-33"/>
        </w:rPr>
        <w:t> </w:t>
      </w:r>
      <w:r>
        <w:rPr/>
        <w:t>Geográfica</w:t>
      </w:r>
      <w:r>
        <w:rPr>
          <w:spacing w:val="-4"/>
        </w:rPr>
        <w:t> </w:t>
      </w:r>
      <w:r>
        <w:rPr/>
        <w:t>(SIG)</w:t>
      </w:r>
      <w:r>
        <w:rPr>
          <w:w w:val="91"/>
        </w:rPr>
        <w:t> </w:t>
      </w:r>
      <w:r>
        <w:rPr/>
        <w:t>para capturar, gestionar, manipular, analizar, modelar y trazar datos</w:t>
      </w:r>
      <w:r>
        <w:rPr>
          <w:spacing w:val="1"/>
        </w:rPr>
        <w:t> </w:t>
      </w:r>
      <w:r>
        <w:rPr/>
        <w:t>con</w:t>
      </w:r>
      <w:r>
        <w:rPr>
          <w:spacing w:val="12"/>
        </w:rPr>
        <w:t> </w:t>
      </w:r>
      <w:r>
        <w:rPr/>
        <w:t>dimensiones</w:t>
      </w:r>
      <w:r>
        <w:rPr>
          <w:w w:val="100"/>
        </w:rPr>
        <w:t> </w:t>
      </w:r>
      <w:r>
        <w:rPr/>
        <w:t>espaciales para resolver la planeación compleja y gestión de</w:t>
      </w:r>
      <w:r>
        <w:rPr>
          <w:spacing w:val="-2"/>
        </w:rPr>
        <w:t> </w:t>
      </w:r>
      <w:r>
        <w:rPr/>
        <w:t>problemas.</w:t>
      </w:r>
      <w:r>
        <w:rPr>
          <w:spacing w:val="49"/>
        </w:rPr>
        <w:t> </w:t>
      </w:r>
      <w:r>
        <w:rPr/>
        <w:t>Algunas</w:t>
      </w:r>
      <w:r>
        <w:rPr>
          <w:w w:val="99"/>
        </w:rPr>
        <w:t> </w:t>
      </w:r>
      <w:r>
        <w:rPr>
          <w:spacing w:val="2"/>
        </w:rPr>
        <w:t>aplicacionesy/ooperacionescon</w:t>
      </w:r>
      <w:r>
        <w:rPr>
          <w:spacing w:val="24"/>
        </w:rPr>
        <w:t> </w:t>
      </w:r>
      <w:r>
        <w:rPr>
          <w:spacing w:val="2"/>
        </w:rPr>
        <w:t>SIGcontienenelementosesencialesparalaadquisición</w:t>
      </w:r>
      <w:r>
        <w:rPr>
          <w:w w:val="102"/>
        </w:rPr>
        <w:t> </w:t>
      </w:r>
      <w:r>
        <w:rPr/>
        <w:t>de datos, preprocesamiento, gestión de datos, manipulación y análisis,</w:t>
      </w:r>
      <w:r>
        <w:rPr>
          <w:spacing w:val="32"/>
        </w:rPr>
        <w:t> </w:t>
      </w:r>
      <w:r>
        <w:rPr/>
        <w:t>y</w:t>
      </w:r>
      <w:r>
        <w:rPr>
          <w:spacing w:val="22"/>
        </w:rPr>
        <w:t> </w:t>
      </w:r>
      <w:r>
        <w:rPr/>
        <w:t>generación</w:t>
      </w:r>
      <w:r>
        <w:rPr>
          <w:w w:val="100"/>
        </w:rPr>
        <w:t> </w:t>
      </w:r>
      <w:r>
        <w:rPr/>
        <w:t>de</w:t>
      </w:r>
      <w:r>
        <w:rPr>
          <w:spacing w:val="38"/>
        </w:rPr>
        <w:t> </w:t>
      </w:r>
      <w:r>
        <w:rPr/>
        <w:t>la</w:t>
      </w:r>
      <w:r>
        <w:rPr>
          <w:spacing w:val="38"/>
        </w:rPr>
        <w:t> </w:t>
      </w:r>
      <w:r>
        <w:rPr/>
        <w:t>producción.</w:t>
      </w:r>
      <w:r>
        <w:rPr>
          <w:spacing w:val="38"/>
        </w:rPr>
        <w:t> </w:t>
      </w:r>
      <w:r>
        <w:rPr/>
        <w:t>La</w:t>
      </w:r>
      <w:r>
        <w:rPr>
          <w:spacing w:val="38"/>
        </w:rPr>
        <w:t> </w:t>
      </w:r>
      <w:r>
        <w:rPr/>
        <w:t>adquisición</w:t>
      </w:r>
      <w:r>
        <w:rPr>
          <w:spacing w:val="38"/>
        </w:rPr>
        <w:t> </w:t>
      </w:r>
      <w:r>
        <w:rPr/>
        <w:t>de</w:t>
      </w:r>
      <w:r>
        <w:rPr>
          <w:spacing w:val="38"/>
        </w:rPr>
        <w:t> </w:t>
      </w:r>
      <w:r>
        <w:rPr/>
        <w:t>datos</w:t>
      </w:r>
      <w:r>
        <w:rPr>
          <w:spacing w:val="38"/>
        </w:rPr>
        <w:t> </w:t>
      </w:r>
      <w:r>
        <w:rPr/>
        <w:t>se</w:t>
      </w:r>
      <w:r>
        <w:rPr>
          <w:spacing w:val="38"/>
        </w:rPr>
        <w:t> </w:t>
      </w:r>
      <w:r>
        <w:rPr/>
        <w:t>refiere</w:t>
      </w:r>
      <w:r>
        <w:rPr>
          <w:spacing w:val="38"/>
        </w:rPr>
        <w:t> </w:t>
      </w:r>
      <w:r>
        <w:rPr/>
        <w:t>al</w:t>
      </w:r>
      <w:r>
        <w:rPr>
          <w:spacing w:val="38"/>
        </w:rPr>
        <w:t> </w:t>
      </w:r>
      <w:r>
        <w:rPr/>
        <w:t>proceso</w:t>
      </w:r>
      <w:r>
        <w:rPr>
          <w:spacing w:val="38"/>
        </w:rPr>
        <w:t> </w:t>
      </w:r>
      <w:r>
        <w:rPr/>
        <w:t>de</w:t>
      </w:r>
      <w:r>
        <w:rPr>
          <w:spacing w:val="38"/>
        </w:rPr>
        <w:t> </w:t>
      </w:r>
      <w:r>
        <w:rPr/>
        <w:t>identificación</w:t>
      </w:r>
      <w:r>
        <w:rPr>
          <w:spacing w:val="38"/>
        </w:rPr>
        <w:t> </w:t>
      </w:r>
      <w:r>
        <w:rPr/>
        <w:t>y recopilación</w:t>
      </w:r>
      <w:r>
        <w:rPr>
          <w:spacing w:val="41"/>
        </w:rPr>
        <w:t> </w:t>
      </w:r>
      <w:r>
        <w:rPr/>
        <w:t>de</w:t>
      </w:r>
      <w:r>
        <w:rPr>
          <w:spacing w:val="41"/>
        </w:rPr>
        <w:t> </w:t>
      </w:r>
      <w:r>
        <w:rPr/>
        <w:t>datos</w:t>
      </w:r>
      <w:r>
        <w:rPr>
          <w:spacing w:val="41"/>
        </w:rPr>
        <w:t> </w:t>
      </w:r>
      <w:r>
        <w:rPr/>
        <w:t>requeridos</w:t>
      </w:r>
      <w:r>
        <w:rPr>
          <w:spacing w:val="41"/>
        </w:rPr>
        <w:t> </w:t>
      </w:r>
      <w:r>
        <w:rPr/>
        <w:t>para</w:t>
      </w:r>
      <w:r>
        <w:rPr>
          <w:spacing w:val="41"/>
        </w:rPr>
        <w:t> </w:t>
      </w:r>
      <w:r>
        <w:rPr/>
        <w:t>la</w:t>
      </w:r>
      <w:r>
        <w:rPr>
          <w:spacing w:val="41"/>
        </w:rPr>
        <w:t> </w:t>
      </w:r>
      <w:r>
        <w:rPr/>
        <w:t>aplicación.</w:t>
      </w:r>
      <w:r>
        <w:rPr>
          <w:spacing w:val="41"/>
        </w:rPr>
        <w:t> </w:t>
      </w:r>
      <w:r>
        <w:rPr/>
        <w:t>Después</w:t>
      </w:r>
      <w:r>
        <w:rPr>
          <w:spacing w:val="41"/>
        </w:rPr>
        <w:t> </w:t>
      </w:r>
      <w:r>
        <w:rPr/>
        <w:t>del</w:t>
      </w:r>
      <w:r>
        <w:rPr>
          <w:spacing w:val="41"/>
        </w:rPr>
        <w:t> </w:t>
      </w:r>
      <w:r>
        <w:rPr/>
        <w:t>acopio</w:t>
      </w:r>
      <w:r>
        <w:rPr>
          <w:spacing w:val="41"/>
        </w:rPr>
        <w:t> </w:t>
      </w:r>
      <w:r>
        <w:rPr/>
        <w:t>de</w:t>
      </w:r>
      <w:r>
        <w:rPr>
          <w:spacing w:val="41"/>
        </w:rPr>
        <w:t> </w:t>
      </w:r>
      <w:r>
        <w:rPr/>
        <w:t>datos,</w:t>
      </w:r>
      <w:r>
        <w:rPr>
          <w:w w:val="102"/>
        </w:rPr>
        <w:t> </w:t>
      </w:r>
      <w:r>
        <w:rPr/>
        <w:t>el</w:t>
      </w:r>
      <w:r>
        <w:rPr>
          <w:spacing w:val="44"/>
        </w:rPr>
        <w:t> </w:t>
      </w:r>
      <w:r>
        <w:rPr/>
        <w:t>procedimiento</w:t>
      </w:r>
      <w:r>
        <w:rPr>
          <w:spacing w:val="44"/>
        </w:rPr>
        <w:t> </w:t>
      </w:r>
      <w:r>
        <w:rPr/>
        <w:t>usado</w:t>
      </w:r>
      <w:r>
        <w:rPr>
          <w:spacing w:val="44"/>
        </w:rPr>
        <w:t> </w:t>
      </w:r>
      <w:r>
        <w:rPr/>
        <w:t>para</w:t>
      </w:r>
      <w:r>
        <w:rPr>
          <w:spacing w:val="44"/>
        </w:rPr>
        <w:t> </w:t>
      </w:r>
      <w:r>
        <w:rPr/>
        <w:t>convertir</w:t>
      </w:r>
      <w:r>
        <w:rPr>
          <w:spacing w:val="44"/>
        </w:rPr>
        <w:t> </w:t>
      </w:r>
      <w:r>
        <w:rPr/>
        <w:t>un</w:t>
      </w:r>
      <w:r>
        <w:rPr>
          <w:spacing w:val="44"/>
        </w:rPr>
        <w:t> </w:t>
      </w:r>
      <w:r>
        <w:rPr/>
        <w:t>conjunto</w:t>
      </w:r>
      <w:r>
        <w:rPr>
          <w:spacing w:val="44"/>
        </w:rPr>
        <w:t> </w:t>
      </w:r>
      <w:r>
        <w:rPr/>
        <w:t>de</w:t>
      </w:r>
      <w:r>
        <w:rPr>
          <w:spacing w:val="44"/>
        </w:rPr>
        <w:t> </w:t>
      </w:r>
      <w:r>
        <w:rPr/>
        <w:t>datos</w:t>
      </w:r>
      <w:r>
        <w:rPr>
          <w:spacing w:val="44"/>
        </w:rPr>
        <w:t> </w:t>
      </w:r>
      <w:r>
        <w:rPr/>
        <w:t>dentro</w:t>
      </w:r>
      <w:r>
        <w:rPr>
          <w:spacing w:val="44"/>
        </w:rPr>
        <w:t> </w:t>
      </w:r>
      <w:r>
        <w:rPr/>
        <w:t>de</w:t>
      </w:r>
      <w:r>
        <w:rPr>
          <w:spacing w:val="44"/>
        </w:rPr>
        <w:t> </w:t>
      </w:r>
      <w:r>
        <w:rPr/>
        <w:t>un</w:t>
      </w:r>
      <w:r>
        <w:rPr>
          <w:spacing w:val="44"/>
        </w:rPr>
        <w:t> </w:t>
      </w:r>
      <w:r>
        <w:rPr/>
        <w:t>formato</w:t>
      </w:r>
      <w:r>
        <w:rPr>
          <w:w w:val="102"/>
        </w:rPr>
        <w:t> </w:t>
      </w:r>
      <w:r>
        <w:rPr/>
        <w:t>apropiado</w:t>
      </w:r>
      <w:r>
        <w:rPr>
          <w:spacing w:val="21"/>
        </w:rPr>
        <w:t> </w:t>
      </w:r>
      <w:r>
        <w:rPr/>
        <w:t>para</w:t>
      </w:r>
      <w:r>
        <w:rPr>
          <w:spacing w:val="21"/>
        </w:rPr>
        <w:t> </w:t>
      </w:r>
      <w:r>
        <w:rPr/>
        <w:t>introducir</w:t>
      </w:r>
      <w:r>
        <w:rPr>
          <w:spacing w:val="21"/>
        </w:rPr>
        <w:t> </w:t>
      </w:r>
      <w:r>
        <w:rPr/>
        <w:t>el</w:t>
      </w:r>
      <w:r>
        <w:rPr>
          <w:spacing w:val="21"/>
        </w:rPr>
        <w:t> </w:t>
      </w:r>
      <w:r>
        <w:rPr/>
        <w:t>GIS,</w:t>
      </w:r>
      <w:r>
        <w:rPr>
          <w:spacing w:val="21"/>
        </w:rPr>
        <w:t> </w:t>
      </w:r>
      <w:r>
        <w:rPr/>
        <w:t>se</w:t>
      </w:r>
      <w:r>
        <w:rPr>
          <w:spacing w:val="21"/>
        </w:rPr>
        <w:t> </w:t>
      </w:r>
      <w:r>
        <w:rPr/>
        <w:t>llama</w:t>
      </w:r>
      <w:r>
        <w:rPr>
          <w:spacing w:val="21"/>
        </w:rPr>
        <w:t> </w:t>
      </w:r>
      <w:r>
        <w:rPr/>
        <w:t>procesamiento.</w:t>
      </w:r>
      <w:r>
        <w:rPr>
          <w:spacing w:val="21"/>
        </w:rPr>
        <w:t> </w:t>
      </w:r>
      <w:r>
        <w:rPr/>
        <w:t>La</w:t>
      </w:r>
      <w:r>
        <w:rPr>
          <w:spacing w:val="21"/>
        </w:rPr>
        <w:t> </w:t>
      </w:r>
      <w:r>
        <w:rPr/>
        <w:t>conversión</w:t>
      </w:r>
      <w:r>
        <w:rPr>
          <w:spacing w:val="21"/>
        </w:rPr>
        <w:t> </w:t>
      </w:r>
      <w:r>
        <w:rPr/>
        <w:t>del</w:t>
      </w:r>
      <w:r>
        <w:rPr>
          <w:spacing w:val="21"/>
        </w:rPr>
        <w:t> </w:t>
      </w:r>
      <w:r>
        <w:rPr/>
        <w:t>formato</w:t>
      </w:r>
      <w:r>
        <w:rPr>
          <w:w w:val="102"/>
        </w:rPr>
        <w:t> </w:t>
      </w:r>
      <w:r>
        <w:rPr/>
        <w:t>de</w:t>
      </w:r>
      <w:r>
        <w:rPr>
          <w:spacing w:val="36"/>
        </w:rPr>
        <w:t> </w:t>
      </w:r>
      <w:r>
        <w:rPr/>
        <w:t>datos</w:t>
      </w:r>
      <w:r>
        <w:rPr>
          <w:spacing w:val="36"/>
        </w:rPr>
        <w:t> </w:t>
      </w:r>
      <w:r>
        <w:rPr/>
        <w:t>como</w:t>
      </w:r>
      <w:r>
        <w:rPr>
          <w:spacing w:val="36"/>
        </w:rPr>
        <w:t> </w:t>
      </w:r>
      <w:r>
        <w:rPr/>
        <w:t>digitalización</w:t>
      </w:r>
      <w:r>
        <w:rPr>
          <w:spacing w:val="36"/>
        </w:rPr>
        <w:t> </w:t>
      </w:r>
      <w:r>
        <w:rPr/>
        <w:t>de</w:t>
      </w:r>
      <w:r>
        <w:rPr>
          <w:spacing w:val="36"/>
        </w:rPr>
        <w:t> </w:t>
      </w:r>
      <w:r>
        <w:rPr/>
        <w:t>mapas</w:t>
      </w:r>
      <w:r>
        <w:rPr>
          <w:spacing w:val="36"/>
        </w:rPr>
        <w:t> </w:t>
      </w:r>
      <w:r>
        <w:rPr/>
        <w:t>impresión</w:t>
      </w:r>
      <w:r>
        <w:rPr>
          <w:spacing w:val="36"/>
        </w:rPr>
        <w:t> </w:t>
      </w:r>
      <w:r>
        <w:rPr/>
        <w:t>de</w:t>
      </w:r>
      <w:r>
        <w:rPr>
          <w:spacing w:val="36"/>
        </w:rPr>
        <w:t> </w:t>
      </w:r>
      <w:r>
        <w:rPr/>
        <w:t>registros</w:t>
      </w:r>
      <w:r>
        <w:rPr>
          <w:spacing w:val="36"/>
        </w:rPr>
        <w:t> </w:t>
      </w:r>
      <w:r>
        <w:rPr/>
        <w:t>y</w:t>
      </w:r>
      <w:r>
        <w:rPr>
          <w:spacing w:val="36"/>
        </w:rPr>
        <w:t> </w:t>
      </w:r>
      <w:r>
        <w:rPr/>
        <w:t>grabación</w:t>
      </w:r>
      <w:r>
        <w:rPr>
          <w:spacing w:val="36"/>
        </w:rPr>
        <w:t> </w:t>
      </w:r>
      <w:r>
        <w:rPr/>
        <w:t>de</w:t>
      </w:r>
      <w:r>
        <w:rPr>
          <w:spacing w:val="36"/>
        </w:rPr>
        <w:t> </w:t>
      </w:r>
      <w:r>
        <w:rPr/>
        <w:t>esta</w:t>
      </w:r>
      <w:r>
        <w:rPr>
          <w:w w:val="99"/>
        </w:rPr>
        <w:t> </w:t>
      </w:r>
      <w:r>
        <w:rPr/>
        <w:t>información</w:t>
      </w:r>
      <w:r>
        <w:rPr>
          <w:spacing w:val="-4"/>
        </w:rPr>
        <w:t> </w:t>
      </w:r>
      <w:r>
        <w:rPr/>
        <w:t>en</w:t>
      </w:r>
      <w:r>
        <w:rPr>
          <w:spacing w:val="-4"/>
        </w:rPr>
        <w:t> </w:t>
      </w:r>
      <w:r>
        <w:rPr/>
        <w:t>una</w:t>
      </w:r>
      <w:r>
        <w:rPr>
          <w:spacing w:val="-4"/>
        </w:rPr>
        <w:t> </w:t>
      </w:r>
      <w:r>
        <w:rPr/>
        <w:t>base</w:t>
      </w:r>
      <w:r>
        <w:rPr>
          <w:spacing w:val="-4"/>
        </w:rPr>
        <w:t> </w:t>
      </w:r>
      <w:r>
        <w:rPr/>
        <w:t>de</w:t>
      </w:r>
      <w:r>
        <w:rPr>
          <w:spacing w:val="-4"/>
        </w:rPr>
        <w:t> </w:t>
      </w:r>
      <w:r>
        <w:rPr/>
        <w:t>datos</w:t>
      </w:r>
      <w:r>
        <w:rPr>
          <w:spacing w:val="-4"/>
        </w:rPr>
        <w:t> </w:t>
      </w:r>
      <w:r>
        <w:rPr/>
        <w:t>del</w:t>
      </w:r>
      <w:r>
        <w:rPr>
          <w:spacing w:val="-4"/>
        </w:rPr>
        <w:t> </w:t>
      </w:r>
      <w:r>
        <w:rPr/>
        <w:t>ordenador,</w:t>
      </w:r>
      <w:r>
        <w:rPr>
          <w:spacing w:val="-4"/>
        </w:rPr>
        <w:t> </w:t>
      </w:r>
      <w:r>
        <w:rPr/>
        <w:t>es</w:t>
      </w:r>
      <w:r>
        <w:rPr>
          <w:spacing w:val="-4"/>
        </w:rPr>
        <w:t> </w:t>
      </w:r>
      <w:r>
        <w:rPr/>
        <w:t>el</w:t>
      </w:r>
      <w:r>
        <w:rPr>
          <w:spacing w:val="-4"/>
        </w:rPr>
        <w:t> </w:t>
      </w:r>
      <w:r>
        <w:rPr/>
        <w:t>paso</w:t>
      </w:r>
      <w:r>
        <w:rPr>
          <w:spacing w:val="-4"/>
        </w:rPr>
        <w:t> </w:t>
      </w:r>
      <w:r>
        <w:rPr/>
        <w:t>clave</w:t>
      </w:r>
      <w:r>
        <w:rPr>
          <w:spacing w:val="-4"/>
        </w:rPr>
        <w:t> </w:t>
      </w:r>
      <w:r>
        <w:rPr/>
        <w:t>en</w:t>
      </w:r>
      <w:r>
        <w:rPr>
          <w:spacing w:val="-4"/>
        </w:rPr>
        <w:t> </w:t>
      </w:r>
      <w:r>
        <w:rPr/>
        <w:t>el</w:t>
      </w:r>
      <w:r>
        <w:rPr>
          <w:spacing w:val="-4"/>
        </w:rPr>
        <w:t> </w:t>
      </w:r>
      <w:r>
        <w:rPr/>
        <w:t>procesamiento.</w:t>
      </w:r>
    </w:p>
    <w:p>
      <w:pPr>
        <w:pStyle w:val="BodyText"/>
        <w:spacing w:before="11"/>
      </w:pPr>
    </w:p>
    <w:p>
      <w:pPr>
        <w:pStyle w:val="BodyText"/>
        <w:spacing w:line="249" w:lineRule="auto"/>
        <w:ind w:left="130" w:firstLine="224"/>
        <w:jc w:val="both"/>
      </w:pPr>
      <w:r>
        <w:rPr/>
        <w:t>El procesamiento también incluye proyección de mapas, reducción y generalización de datos, detección de errores e  interpolación.</w:t>
      </w:r>
    </w:p>
    <w:p>
      <w:pPr>
        <w:pStyle w:val="BodyText"/>
        <w:spacing w:line="249" w:lineRule="auto" w:before="76"/>
        <w:ind w:left="130" w:right="127" w:firstLine="170"/>
        <w:jc w:val="both"/>
      </w:pPr>
      <w:r>
        <w:rPr/>
        <w:br w:type="column"/>
      </w:r>
      <w:r>
        <w:rPr/>
        <w:t>Para</w:t>
      </w:r>
      <w:r>
        <w:rPr>
          <w:spacing w:val="-10"/>
        </w:rPr>
        <w:t> </w:t>
      </w:r>
      <w:r>
        <w:rPr/>
        <w:t>los</w:t>
      </w:r>
      <w:r>
        <w:rPr>
          <w:spacing w:val="-10"/>
        </w:rPr>
        <w:t> </w:t>
      </w:r>
      <w:r>
        <w:rPr/>
        <w:t>fines</w:t>
      </w:r>
      <w:r>
        <w:rPr>
          <w:spacing w:val="-10"/>
        </w:rPr>
        <w:t> </w:t>
      </w:r>
      <w:r>
        <w:rPr/>
        <w:t>de</w:t>
      </w:r>
      <w:r>
        <w:rPr>
          <w:spacing w:val="-10"/>
        </w:rPr>
        <w:t> </w:t>
      </w:r>
      <w:r>
        <w:rPr/>
        <w:t>este</w:t>
      </w:r>
      <w:r>
        <w:rPr>
          <w:spacing w:val="-10"/>
        </w:rPr>
        <w:t> </w:t>
      </w:r>
      <w:r>
        <w:rPr/>
        <w:t>trabajo</w:t>
      </w:r>
      <w:r>
        <w:rPr>
          <w:spacing w:val="-10"/>
        </w:rPr>
        <w:t> </w:t>
      </w:r>
      <w:r>
        <w:rPr/>
        <w:t>la</w:t>
      </w:r>
      <w:r>
        <w:rPr>
          <w:spacing w:val="-10"/>
        </w:rPr>
        <w:t> </w:t>
      </w:r>
      <w:r>
        <w:rPr/>
        <w:t>aplicación</w:t>
      </w:r>
      <w:r>
        <w:rPr>
          <w:spacing w:val="-10"/>
        </w:rPr>
        <w:t> </w:t>
      </w:r>
      <w:r>
        <w:rPr/>
        <w:t>de</w:t>
      </w:r>
      <w:r>
        <w:rPr>
          <w:spacing w:val="-10"/>
        </w:rPr>
        <w:t> </w:t>
      </w:r>
      <w:r>
        <w:rPr/>
        <w:t>los</w:t>
      </w:r>
      <w:r>
        <w:rPr>
          <w:spacing w:val="-10"/>
        </w:rPr>
        <w:t> </w:t>
      </w:r>
      <w:r>
        <w:rPr/>
        <w:t>SIG</w:t>
      </w:r>
      <w:r>
        <w:rPr>
          <w:spacing w:val="-10"/>
        </w:rPr>
        <w:t> </w:t>
      </w:r>
      <w:r>
        <w:rPr/>
        <w:t>se</w:t>
      </w:r>
      <w:r>
        <w:rPr>
          <w:spacing w:val="-10"/>
        </w:rPr>
        <w:t> </w:t>
      </w:r>
      <w:r>
        <w:rPr/>
        <w:t>realizó</w:t>
      </w:r>
      <w:r>
        <w:rPr>
          <w:spacing w:val="-10"/>
        </w:rPr>
        <w:t> </w:t>
      </w:r>
      <w:r>
        <w:rPr/>
        <w:t>para</w:t>
      </w:r>
      <w:r>
        <w:rPr>
          <w:spacing w:val="-10"/>
        </w:rPr>
        <w:t> </w:t>
      </w:r>
      <w:r>
        <w:rPr/>
        <w:t>el</w:t>
      </w:r>
      <w:r>
        <w:rPr>
          <w:spacing w:val="-10"/>
        </w:rPr>
        <w:t> </w:t>
      </w:r>
      <w:r>
        <w:rPr/>
        <w:t>procesamiento y análisis de imágenes sobre ocupación del suelo del territorio en estudio (anexo cartográfico). La ocupación del suelo de un territorio implica la desnaturalización del medio ambiente y, según la forma en que ésta se haya construido, se ejercerá una presión de diferente grado sobre el territorio. Si se entiende el medio construido como un</w:t>
      </w:r>
      <w:r>
        <w:rPr>
          <w:spacing w:val="-9"/>
        </w:rPr>
        <w:t> </w:t>
      </w:r>
      <w:r>
        <w:rPr/>
        <w:t>agente</w:t>
      </w:r>
      <w:r>
        <w:rPr>
          <w:spacing w:val="-9"/>
        </w:rPr>
        <w:t> </w:t>
      </w:r>
      <w:r>
        <w:rPr/>
        <w:t>que</w:t>
      </w:r>
      <w:r>
        <w:rPr>
          <w:spacing w:val="-9"/>
        </w:rPr>
        <w:t> </w:t>
      </w:r>
      <w:r>
        <w:rPr/>
        <w:t>ejerce</w:t>
      </w:r>
      <w:r>
        <w:rPr>
          <w:spacing w:val="-9"/>
        </w:rPr>
        <w:t> </w:t>
      </w:r>
      <w:r>
        <w:rPr/>
        <w:t>presión</w:t>
      </w:r>
      <w:r>
        <w:rPr>
          <w:spacing w:val="-9"/>
        </w:rPr>
        <w:t> </w:t>
      </w:r>
      <w:r>
        <w:rPr/>
        <w:t>sobre</w:t>
      </w:r>
      <w:r>
        <w:rPr>
          <w:spacing w:val="-9"/>
        </w:rPr>
        <w:t> </w:t>
      </w:r>
      <w:r>
        <w:rPr/>
        <w:t>el</w:t>
      </w:r>
      <w:r>
        <w:rPr>
          <w:spacing w:val="-9"/>
        </w:rPr>
        <w:t> </w:t>
      </w:r>
      <w:r>
        <w:rPr/>
        <w:t>territorio</w:t>
      </w:r>
      <w:r>
        <w:rPr>
          <w:spacing w:val="-9"/>
        </w:rPr>
        <w:t> </w:t>
      </w:r>
      <w:r>
        <w:rPr/>
        <w:t>y</w:t>
      </w:r>
      <w:r>
        <w:rPr>
          <w:spacing w:val="-9"/>
        </w:rPr>
        <w:t> </w:t>
      </w:r>
      <w:r>
        <w:rPr/>
        <w:t>el</w:t>
      </w:r>
      <w:r>
        <w:rPr>
          <w:spacing w:val="-9"/>
        </w:rPr>
        <w:t> </w:t>
      </w:r>
      <w:r>
        <w:rPr/>
        <w:t>espacio</w:t>
      </w:r>
      <w:r>
        <w:rPr>
          <w:spacing w:val="-9"/>
        </w:rPr>
        <w:t> </w:t>
      </w:r>
      <w:r>
        <w:rPr/>
        <w:t>de</w:t>
      </w:r>
      <w:r>
        <w:rPr>
          <w:spacing w:val="-9"/>
        </w:rPr>
        <w:t> </w:t>
      </w:r>
      <w:r>
        <w:rPr/>
        <w:t>estancia</w:t>
      </w:r>
      <w:r>
        <w:rPr>
          <w:spacing w:val="-9"/>
        </w:rPr>
        <w:t> </w:t>
      </w:r>
      <w:r>
        <w:rPr/>
        <w:t>como</w:t>
      </w:r>
      <w:r>
        <w:rPr>
          <w:spacing w:val="-9"/>
        </w:rPr>
        <w:t> </w:t>
      </w:r>
      <w:r>
        <w:rPr/>
        <w:t>un</w:t>
      </w:r>
      <w:r>
        <w:rPr>
          <w:spacing w:val="-9"/>
        </w:rPr>
        <w:t> </w:t>
      </w:r>
      <w:r>
        <w:rPr/>
        <w:t>agente descomprensor o atenuante de esta presión, surge una relación entre ambos que, espacialmente, se traduce en una mayor o menor compacidad (Agencia de Ecología Urbana de Barcelona,</w:t>
      </w:r>
      <w:r>
        <w:rPr>
          <w:spacing w:val="-9"/>
        </w:rPr>
        <w:t> </w:t>
      </w:r>
      <w:r>
        <w:rPr/>
        <w:t>2010).</w:t>
      </w:r>
    </w:p>
    <w:p>
      <w:pPr>
        <w:pStyle w:val="BodyText"/>
        <w:spacing w:before="11"/>
      </w:pPr>
    </w:p>
    <w:p>
      <w:pPr>
        <w:pStyle w:val="BodyText"/>
        <w:spacing w:line="249" w:lineRule="auto"/>
        <w:ind w:left="130" w:right="127" w:firstLine="170"/>
        <w:jc w:val="both"/>
      </w:pPr>
      <w:r>
        <w:rPr/>
        <w:t>El estudio del sistema urbano a través de los indicadores de compacidad aporta una información completa y compleja de la ciudad. Se trata de una radiografía urbana en  la que a simple vista se detecta cómo se emplaza la ciudad en el territorio y cuál es    el uso del suelo. La forma de ocupar el territorio y distribuir las viviendas determinará cuántas</w:t>
      </w:r>
      <w:r>
        <w:rPr>
          <w:spacing w:val="-8"/>
        </w:rPr>
        <w:t> </w:t>
      </w:r>
      <w:r>
        <w:rPr/>
        <w:t>personas</w:t>
      </w:r>
      <w:r>
        <w:rPr>
          <w:spacing w:val="-8"/>
        </w:rPr>
        <w:t> </w:t>
      </w:r>
      <w:r>
        <w:rPr/>
        <w:t>pretenden</w:t>
      </w:r>
      <w:r>
        <w:rPr>
          <w:spacing w:val="-8"/>
        </w:rPr>
        <w:t> </w:t>
      </w:r>
      <w:r>
        <w:rPr/>
        <w:t>habitarlo,</w:t>
      </w:r>
      <w:r>
        <w:rPr>
          <w:spacing w:val="-8"/>
        </w:rPr>
        <w:t> </w:t>
      </w:r>
      <w:r>
        <w:rPr/>
        <w:t>y</w:t>
      </w:r>
      <w:r>
        <w:rPr>
          <w:spacing w:val="-8"/>
        </w:rPr>
        <w:t> </w:t>
      </w:r>
      <w:r>
        <w:rPr/>
        <w:t>esa</w:t>
      </w:r>
      <w:r>
        <w:rPr>
          <w:spacing w:val="-8"/>
        </w:rPr>
        <w:t> </w:t>
      </w:r>
      <w:r>
        <w:rPr/>
        <w:t>será</w:t>
      </w:r>
      <w:r>
        <w:rPr>
          <w:spacing w:val="-8"/>
        </w:rPr>
        <w:t> </w:t>
      </w:r>
      <w:r>
        <w:rPr/>
        <w:t>la</w:t>
      </w:r>
      <w:r>
        <w:rPr>
          <w:spacing w:val="-8"/>
        </w:rPr>
        <w:t> </w:t>
      </w:r>
      <w:r>
        <w:rPr/>
        <w:t>base</w:t>
      </w:r>
      <w:r>
        <w:rPr>
          <w:spacing w:val="-8"/>
        </w:rPr>
        <w:t> </w:t>
      </w:r>
      <w:r>
        <w:rPr/>
        <w:t>del</w:t>
      </w:r>
      <w:r>
        <w:rPr>
          <w:spacing w:val="-8"/>
        </w:rPr>
        <w:t> </w:t>
      </w:r>
      <w:r>
        <w:rPr/>
        <w:t>resto</w:t>
      </w:r>
      <w:r>
        <w:rPr>
          <w:spacing w:val="-8"/>
        </w:rPr>
        <w:t> </w:t>
      </w:r>
      <w:r>
        <w:rPr/>
        <w:t>de</w:t>
      </w:r>
      <w:r>
        <w:rPr>
          <w:spacing w:val="-8"/>
        </w:rPr>
        <w:t> </w:t>
      </w:r>
      <w:r>
        <w:rPr/>
        <w:t>las</w:t>
      </w:r>
      <w:r>
        <w:rPr>
          <w:spacing w:val="-8"/>
        </w:rPr>
        <w:t> </w:t>
      </w:r>
      <w:r>
        <w:rPr/>
        <w:t>dinámicas</w:t>
      </w:r>
      <w:r>
        <w:rPr>
          <w:spacing w:val="-8"/>
        </w:rPr>
        <w:t> </w:t>
      </w:r>
      <w:r>
        <w:rPr/>
        <w:t>(de movilidad, económicas, sociales, etc.) que allí se</w:t>
      </w:r>
      <w:r>
        <w:rPr>
          <w:spacing w:val="20"/>
        </w:rPr>
        <w:t> </w:t>
      </w:r>
      <w:r>
        <w:rPr/>
        <w:t>desarrollan.</w:t>
      </w:r>
    </w:p>
    <w:p>
      <w:pPr>
        <w:pStyle w:val="BodyText"/>
        <w:spacing w:before="11"/>
      </w:pPr>
    </w:p>
    <w:p>
      <w:pPr>
        <w:pStyle w:val="BodyText"/>
        <w:spacing w:line="249" w:lineRule="auto"/>
        <w:ind w:left="130" w:right="127" w:firstLine="170"/>
        <w:jc w:val="both"/>
      </w:pPr>
      <w:r>
        <w:rPr/>
        <w:t>El aumento excesivo de áreas artificiales conlleva impactos socioeconómicos y ambientales,</w:t>
      </w:r>
      <w:r>
        <w:rPr>
          <w:spacing w:val="-4"/>
        </w:rPr>
        <w:t> </w:t>
      </w:r>
      <w:r>
        <w:rPr/>
        <w:t>como</w:t>
      </w:r>
      <w:r>
        <w:rPr>
          <w:spacing w:val="-4"/>
        </w:rPr>
        <w:t> </w:t>
      </w:r>
      <w:r>
        <w:rPr/>
        <w:t>pérdida</w:t>
      </w:r>
      <w:r>
        <w:rPr>
          <w:spacing w:val="-4"/>
        </w:rPr>
        <w:t> </w:t>
      </w:r>
      <w:r>
        <w:rPr/>
        <w:t>de</w:t>
      </w:r>
      <w:r>
        <w:rPr>
          <w:spacing w:val="-4"/>
        </w:rPr>
        <w:t> </w:t>
      </w:r>
      <w:r>
        <w:rPr/>
        <w:t>superficies</w:t>
      </w:r>
      <w:r>
        <w:rPr>
          <w:spacing w:val="-4"/>
        </w:rPr>
        <w:t> </w:t>
      </w:r>
      <w:r>
        <w:rPr/>
        <w:t>forestales</w:t>
      </w:r>
      <w:r>
        <w:rPr>
          <w:spacing w:val="-4"/>
        </w:rPr>
        <w:t> </w:t>
      </w:r>
      <w:r>
        <w:rPr/>
        <w:t>y</w:t>
      </w:r>
      <w:r>
        <w:rPr>
          <w:spacing w:val="-4"/>
        </w:rPr>
        <w:t> </w:t>
      </w:r>
      <w:r>
        <w:rPr/>
        <w:t>agrícolas</w:t>
      </w:r>
      <w:r>
        <w:rPr>
          <w:spacing w:val="-4"/>
        </w:rPr>
        <w:t> </w:t>
      </w:r>
      <w:r>
        <w:rPr/>
        <w:t>de</w:t>
      </w:r>
      <w:r>
        <w:rPr>
          <w:spacing w:val="-4"/>
        </w:rPr>
        <w:t> </w:t>
      </w:r>
      <w:r>
        <w:rPr/>
        <w:t>alto</w:t>
      </w:r>
      <w:r>
        <w:rPr>
          <w:spacing w:val="-4"/>
        </w:rPr>
        <w:t> </w:t>
      </w:r>
      <w:r>
        <w:rPr/>
        <w:t>valor</w:t>
      </w:r>
      <w:r>
        <w:rPr>
          <w:spacing w:val="-4"/>
        </w:rPr>
        <w:t> </w:t>
      </w:r>
      <w:r>
        <w:rPr/>
        <w:t>ecológico, aumento de la movilidad, mayor segmentación social, etcétera. Se analizan los indicadores de superficie artificial, dispersión de los núcleos de población, y densidad de viviendas. La superficie artificial se conforma de las zonas urbanas (tejido urbano continuo y discontinuo) zonas comerciales, industriales y de transportes, zonas de extracción minera y de construcción, y zonas verdes </w:t>
      </w:r>
      <w:r>
        <w:rPr>
          <w:spacing w:val="4"/>
        </w:rPr>
        <w:t> </w:t>
      </w:r>
      <w:r>
        <w:rPr/>
        <w:t>artificiales.</w:t>
      </w:r>
    </w:p>
    <w:p>
      <w:pPr>
        <w:pStyle w:val="BodyText"/>
        <w:spacing w:before="11"/>
      </w:pPr>
    </w:p>
    <w:p>
      <w:pPr>
        <w:pStyle w:val="BodyText"/>
        <w:spacing w:line="249" w:lineRule="auto"/>
        <w:ind w:left="130" w:right="127" w:firstLine="170"/>
        <w:jc w:val="both"/>
      </w:pPr>
      <w:r>
        <w:rPr/>
        <w:t>La</w:t>
      </w:r>
      <w:r>
        <w:rPr>
          <w:spacing w:val="-12"/>
        </w:rPr>
        <w:t> </w:t>
      </w:r>
      <w:r>
        <w:rPr/>
        <w:t>dispersión</w:t>
      </w:r>
      <w:r>
        <w:rPr>
          <w:spacing w:val="-12"/>
        </w:rPr>
        <w:t> </w:t>
      </w:r>
      <w:r>
        <w:rPr/>
        <w:t>de</w:t>
      </w:r>
      <w:r>
        <w:rPr>
          <w:spacing w:val="-12"/>
        </w:rPr>
        <w:t> </w:t>
      </w:r>
      <w:r>
        <w:rPr/>
        <w:t>núcleos</w:t>
      </w:r>
      <w:r>
        <w:rPr>
          <w:spacing w:val="-12"/>
        </w:rPr>
        <w:t> </w:t>
      </w:r>
      <w:r>
        <w:rPr/>
        <w:t>de</w:t>
      </w:r>
      <w:r>
        <w:rPr>
          <w:spacing w:val="-12"/>
        </w:rPr>
        <w:t> </w:t>
      </w:r>
      <w:r>
        <w:rPr/>
        <w:t>población</w:t>
      </w:r>
      <w:r>
        <w:rPr>
          <w:spacing w:val="-12"/>
        </w:rPr>
        <w:t> </w:t>
      </w:r>
      <w:r>
        <w:rPr/>
        <w:t>se</w:t>
      </w:r>
      <w:r>
        <w:rPr>
          <w:spacing w:val="-12"/>
        </w:rPr>
        <w:t> </w:t>
      </w:r>
      <w:r>
        <w:rPr/>
        <w:t>calcula</w:t>
      </w:r>
      <w:r>
        <w:rPr>
          <w:spacing w:val="-12"/>
        </w:rPr>
        <w:t> </w:t>
      </w:r>
      <w:r>
        <w:rPr/>
        <w:t>por</w:t>
      </w:r>
      <w:r>
        <w:rPr>
          <w:spacing w:val="-12"/>
        </w:rPr>
        <w:t> </w:t>
      </w:r>
      <w:r>
        <w:rPr/>
        <w:t>la</w:t>
      </w:r>
      <w:r>
        <w:rPr>
          <w:spacing w:val="-12"/>
        </w:rPr>
        <w:t> </w:t>
      </w:r>
      <w:r>
        <w:rPr/>
        <w:t>distancia</w:t>
      </w:r>
      <w:r>
        <w:rPr>
          <w:spacing w:val="-12"/>
        </w:rPr>
        <w:t> </w:t>
      </w:r>
      <w:r>
        <w:rPr/>
        <w:t>de</w:t>
      </w:r>
      <w:r>
        <w:rPr>
          <w:spacing w:val="-12"/>
        </w:rPr>
        <w:t> </w:t>
      </w:r>
      <w:r>
        <w:rPr/>
        <w:t>cada</w:t>
      </w:r>
      <w:r>
        <w:rPr>
          <w:spacing w:val="-12"/>
        </w:rPr>
        <w:t> </w:t>
      </w:r>
      <w:r>
        <w:rPr/>
        <w:t>entidad</w:t>
      </w:r>
      <w:r>
        <w:rPr>
          <w:spacing w:val="-12"/>
        </w:rPr>
        <w:t> </w:t>
      </w:r>
      <w:r>
        <w:rPr/>
        <w:t>local al núcleo central y ponderada por su peso relativo de sus habitantes; la densidad de viviendas se calcula dividendo el número de viviendas entre la superficie en hectáreas (Agencia de Ecología Urbana de Barcelona,</w:t>
      </w:r>
      <w:r>
        <w:rPr>
          <w:spacing w:val="-29"/>
        </w:rPr>
        <w:t> </w:t>
      </w:r>
      <w:r>
        <w:rPr/>
        <w:t>2010).</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435"/>
          <w:pgSz w:w="18830" w:h="12760" w:orient="landscape"/>
          <w:pgMar w:footer="1036" w:header="522" w:top="820" w:bottom="1220" w:left="720" w:right="720"/>
        </w:sectPr>
      </w:pPr>
    </w:p>
    <w:p>
      <w:pPr>
        <w:pStyle w:val="Heading1"/>
        <w:spacing w:before="71"/>
        <w:ind w:left="296" w:right="-14"/>
      </w:pPr>
      <w:r>
        <w:rPr/>
        <w:t>Conclusión</w:t>
      </w:r>
    </w:p>
    <w:p>
      <w:pPr>
        <w:pStyle w:val="BodyText"/>
        <w:rPr>
          <w:b/>
          <w:sz w:val="21"/>
        </w:rPr>
      </w:pPr>
    </w:p>
    <w:p>
      <w:pPr>
        <w:pStyle w:val="BodyText"/>
        <w:spacing w:line="249" w:lineRule="auto"/>
        <w:ind w:left="126" w:firstLine="170"/>
        <w:jc w:val="both"/>
      </w:pPr>
      <w:r>
        <w:rPr/>
        <w:t>El</w:t>
      </w:r>
      <w:r>
        <w:rPr>
          <w:spacing w:val="-6"/>
        </w:rPr>
        <w:t> </w:t>
      </w:r>
      <w:r>
        <w:rPr/>
        <w:t>desarrollo</w:t>
      </w:r>
      <w:r>
        <w:rPr>
          <w:spacing w:val="-6"/>
        </w:rPr>
        <w:t> </w:t>
      </w:r>
      <w:r>
        <w:rPr/>
        <w:t>del</w:t>
      </w:r>
      <w:r>
        <w:rPr>
          <w:spacing w:val="-6"/>
        </w:rPr>
        <w:t> </w:t>
      </w:r>
      <w:r>
        <w:rPr/>
        <w:t>gran</w:t>
      </w:r>
      <w:r>
        <w:rPr>
          <w:spacing w:val="-6"/>
        </w:rPr>
        <w:t> </w:t>
      </w:r>
      <w:r>
        <w:rPr/>
        <w:t>asentamiento</w:t>
      </w:r>
      <w:r>
        <w:rPr>
          <w:spacing w:val="-6"/>
        </w:rPr>
        <w:t> </w:t>
      </w:r>
      <w:r>
        <w:rPr/>
        <w:t>humano</w:t>
      </w:r>
      <w:r>
        <w:rPr>
          <w:spacing w:val="-6"/>
        </w:rPr>
        <w:t> </w:t>
      </w:r>
      <w:r>
        <w:rPr/>
        <w:t>provoca</w:t>
      </w:r>
      <w:r>
        <w:rPr>
          <w:spacing w:val="-6"/>
        </w:rPr>
        <w:t> </w:t>
      </w:r>
      <w:r>
        <w:rPr/>
        <w:t>cada</w:t>
      </w:r>
      <w:r>
        <w:rPr>
          <w:spacing w:val="-6"/>
        </w:rPr>
        <w:t> </w:t>
      </w:r>
      <w:r>
        <w:rPr/>
        <w:t>vez</w:t>
      </w:r>
      <w:r>
        <w:rPr>
          <w:spacing w:val="-6"/>
        </w:rPr>
        <w:t> </w:t>
      </w:r>
      <w:r>
        <w:rPr/>
        <w:t>mayor</w:t>
      </w:r>
      <w:r>
        <w:rPr>
          <w:spacing w:val="-6"/>
        </w:rPr>
        <w:t> </w:t>
      </w:r>
      <w:r>
        <w:rPr/>
        <w:t>interés</w:t>
      </w:r>
      <w:r>
        <w:rPr>
          <w:spacing w:val="-6"/>
        </w:rPr>
        <w:t> </w:t>
      </w:r>
      <w:r>
        <w:rPr/>
        <w:t>de</w:t>
      </w:r>
      <w:r>
        <w:rPr>
          <w:spacing w:val="-6"/>
        </w:rPr>
        <w:t> </w:t>
      </w:r>
      <w:r>
        <w:rPr/>
        <w:t>parte de los inversionistas internos y extranjeros, se llenan los huecos en el espacio urbano, y cada vez más se saturan los mercados de la</w:t>
      </w:r>
      <w:r>
        <w:rPr>
          <w:spacing w:val="35"/>
        </w:rPr>
        <w:t> </w:t>
      </w:r>
      <w:r>
        <w:rPr/>
        <w:t>metrópolis.</w:t>
      </w:r>
    </w:p>
    <w:p>
      <w:pPr>
        <w:pStyle w:val="BodyText"/>
        <w:spacing w:before="11"/>
      </w:pPr>
    </w:p>
    <w:p>
      <w:pPr>
        <w:pStyle w:val="BodyText"/>
        <w:spacing w:line="249" w:lineRule="auto"/>
        <w:ind w:left="126" w:firstLine="170"/>
        <w:jc w:val="both"/>
      </w:pPr>
      <w:r>
        <w:rPr/>
        <w:t>El papel predominante desempeña  la  metrópolis,  frecuentemente  decidiendo  sobre las direcciones del desarrollo de esta área y supeditándolo a sus intereses, sin embargo si se mantienen las relaciones más tradicionales (el área mantiene alguna independencia), las relaciones son menos fuertes y a veces hasta</w:t>
      </w:r>
      <w:r>
        <w:rPr>
          <w:spacing w:val="11"/>
        </w:rPr>
        <w:t> </w:t>
      </w:r>
      <w:r>
        <w:rPr/>
        <w:t>incidentales.</w:t>
      </w:r>
    </w:p>
    <w:p>
      <w:pPr>
        <w:pStyle w:val="BodyText"/>
        <w:spacing w:before="11"/>
      </w:pPr>
    </w:p>
    <w:p>
      <w:pPr>
        <w:pStyle w:val="BodyText"/>
        <w:spacing w:line="249" w:lineRule="auto"/>
        <w:ind w:left="126" w:firstLine="170"/>
        <w:jc w:val="both"/>
      </w:pPr>
      <w:r>
        <w:rPr/>
        <w:t>Problematizar los impactos socioeconómicos y ambientales de la expansión de la Zona Metropolitana de Toluca, significa dar cuenta de las tensiones y contradicciones sociales, económicas y ambientales que modifican la vida de sus habitantes y la</w:t>
      </w:r>
      <w:r>
        <w:rPr>
          <w:w w:val="97"/>
        </w:rPr>
        <w:t> </w:t>
      </w:r>
      <w:r>
        <w:rPr/>
        <w:t>organización del territorio, esto representa un problema complejo y  multidimensional.</w:t>
      </w:r>
    </w:p>
    <w:p>
      <w:pPr>
        <w:pStyle w:val="BodyText"/>
        <w:spacing w:before="11"/>
      </w:pPr>
    </w:p>
    <w:p>
      <w:pPr>
        <w:pStyle w:val="BodyText"/>
        <w:spacing w:line="249" w:lineRule="auto"/>
        <w:ind w:left="126" w:firstLine="170"/>
        <w:jc w:val="both"/>
      </w:pPr>
      <w:r>
        <w:rPr/>
        <w:t>Este acelerado proceso de expansión urbano-metropolitana ha impactado en la población,</w:t>
      </w:r>
      <w:r>
        <w:rPr>
          <w:spacing w:val="-5"/>
        </w:rPr>
        <w:t> </w:t>
      </w:r>
      <w:r>
        <w:rPr/>
        <w:t>territorio</w:t>
      </w:r>
      <w:r>
        <w:rPr>
          <w:spacing w:val="-5"/>
        </w:rPr>
        <w:t> </w:t>
      </w:r>
      <w:r>
        <w:rPr/>
        <w:t>y</w:t>
      </w:r>
      <w:r>
        <w:rPr>
          <w:spacing w:val="-5"/>
        </w:rPr>
        <w:t> </w:t>
      </w:r>
      <w:r>
        <w:rPr/>
        <w:t>ambiente,</w:t>
      </w:r>
      <w:r>
        <w:rPr>
          <w:spacing w:val="-5"/>
        </w:rPr>
        <w:t> </w:t>
      </w:r>
      <w:r>
        <w:rPr/>
        <w:t>por</w:t>
      </w:r>
      <w:r>
        <w:rPr>
          <w:spacing w:val="-5"/>
        </w:rPr>
        <w:t> </w:t>
      </w:r>
      <w:r>
        <w:rPr/>
        <w:t>lo</w:t>
      </w:r>
      <w:r>
        <w:rPr>
          <w:spacing w:val="-5"/>
        </w:rPr>
        <w:t> </w:t>
      </w:r>
      <w:r>
        <w:rPr/>
        <w:t>que</w:t>
      </w:r>
      <w:r>
        <w:rPr>
          <w:spacing w:val="-5"/>
        </w:rPr>
        <w:t> </w:t>
      </w:r>
      <w:r>
        <w:rPr/>
        <w:t>se</w:t>
      </w:r>
      <w:r>
        <w:rPr>
          <w:spacing w:val="-5"/>
        </w:rPr>
        <w:t> </w:t>
      </w:r>
      <w:r>
        <w:rPr/>
        <w:t>requiere</w:t>
      </w:r>
      <w:r>
        <w:rPr>
          <w:spacing w:val="-5"/>
        </w:rPr>
        <w:t> </w:t>
      </w:r>
      <w:r>
        <w:rPr/>
        <w:t>de</w:t>
      </w:r>
      <w:r>
        <w:rPr>
          <w:spacing w:val="-5"/>
        </w:rPr>
        <w:t> </w:t>
      </w:r>
      <w:r>
        <w:rPr/>
        <w:t>metodologías</w:t>
      </w:r>
      <w:r>
        <w:rPr>
          <w:spacing w:val="-5"/>
        </w:rPr>
        <w:t> </w:t>
      </w:r>
      <w:r>
        <w:rPr/>
        <w:t>que</w:t>
      </w:r>
      <w:r>
        <w:rPr>
          <w:spacing w:val="-5"/>
        </w:rPr>
        <w:t> </w:t>
      </w:r>
      <w:r>
        <w:rPr/>
        <w:t>permitan</w:t>
      </w:r>
      <w:r>
        <w:rPr>
          <w:spacing w:val="-5"/>
        </w:rPr>
        <w:t> </w:t>
      </w:r>
      <w:r>
        <w:rPr/>
        <w:t>la identificación y evaluación de los factores de impacto socioeconómico y ambiental de esta</w:t>
      </w:r>
      <w:r>
        <w:rPr>
          <w:spacing w:val="-15"/>
        </w:rPr>
        <w:t> </w:t>
      </w:r>
      <w:r>
        <w:rPr/>
        <w:t>expansión,</w:t>
      </w:r>
      <w:r>
        <w:rPr>
          <w:spacing w:val="-15"/>
        </w:rPr>
        <w:t> </w:t>
      </w:r>
      <w:r>
        <w:rPr/>
        <w:t>el</w:t>
      </w:r>
      <w:r>
        <w:rPr>
          <w:spacing w:val="-15"/>
        </w:rPr>
        <w:t> </w:t>
      </w:r>
      <w:r>
        <w:rPr/>
        <w:t>modelo</w:t>
      </w:r>
      <w:r>
        <w:rPr>
          <w:spacing w:val="-15"/>
        </w:rPr>
        <w:t> </w:t>
      </w:r>
      <w:r>
        <w:rPr/>
        <w:t>Presión</w:t>
      </w:r>
      <w:r>
        <w:rPr>
          <w:spacing w:val="-15"/>
        </w:rPr>
        <w:t> </w:t>
      </w:r>
      <w:r>
        <w:rPr/>
        <w:t>Estado</w:t>
      </w:r>
      <w:r>
        <w:rPr>
          <w:spacing w:val="-15"/>
        </w:rPr>
        <w:t> </w:t>
      </w:r>
      <w:r>
        <w:rPr/>
        <w:t>Respuesta</w:t>
      </w:r>
      <w:r>
        <w:rPr>
          <w:spacing w:val="-15"/>
        </w:rPr>
        <w:t> </w:t>
      </w:r>
      <w:r>
        <w:rPr/>
        <w:t>(PER)</w:t>
      </w:r>
      <w:r>
        <w:rPr>
          <w:spacing w:val="-15"/>
        </w:rPr>
        <w:t> </w:t>
      </w:r>
      <w:r>
        <w:rPr/>
        <w:t>constituye</w:t>
      </w:r>
      <w:r>
        <w:rPr>
          <w:spacing w:val="-15"/>
        </w:rPr>
        <w:t> </w:t>
      </w:r>
      <w:r>
        <w:rPr/>
        <w:t>una</w:t>
      </w:r>
      <w:r>
        <w:rPr>
          <w:spacing w:val="-15"/>
        </w:rPr>
        <w:t> </w:t>
      </w:r>
      <w:r>
        <w:rPr/>
        <w:t>metodología para el análisis integral de estos</w:t>
      </w:r>
      <w:r>
        <w:rPr>
          <w:spacing w:val="27"/>
        </w:rPr>
        <w:t> </w:t>
      </w:r>
      <w:r>
        <w:rPr/>
        <w:t>impactos.</w:t>
      </w:r>
    </w:p>
    <w:p>
      <w:pPr>
        <w:pStyle w:val="BodyText"/>
        <w:spacing w:before="11"/>
      </w:pPr>
    </w:p>
    <w:p>
      <w:pPr>
        <w:pStyle w:val="BodyText"/>
        <w:spacing w:line="249" w:lineRule="auto"/>
        <w:ind w:left="126" w:firstLine="170"/>
        <w:jc w:val="both"/>
      </w:pPr>
      <w:r>
        <w:rPr/>
        <w:t>Este modelo es uno de los más validados por su aplicación en distintos países, para el seguimiento de procesos de deterioro y conservación ambiental, ya que puede ser aplicado global o sectorialmente para una variable o un conjunto de ellas, a diferentes escalas</w:t>
      </w:r>
      <w:r>
        <w:rPr>
          <w:spacing w:val="-13"/>
        </w:rPr>
        <w:t> </w:t>
      </w:r>
      <w:r>
        <w:rPr/>
        <w:t>(local,</w:t>
      </w:r>
      <w:r>
        <w:rPr>
          <w:spacing w:val="-13"/>
        </w:rPr>
        <w:t> </w:t>
      </w:r>
      <w:r>
        <w:rPr/>
        <w:t>regional</w:t>
      </w:r>
      <w:r>
        <w:rPr>
          <w:spacing w:val="-13"/>
        </w:rPr>
        <w:t> </w:t>
      </w:r>
      <w:r>
        <w:rPr/>
        <w:t>o</w:t>
      </w:r>
      <w:r>
        <w:rPr>
          <w:spacing w:val="-13"/>
        </w:rPr>
        <w:t> </w:t>
      </w:r>
      <w:r>
        <w:rPr/>
        <w:t>internacional),</w:t>
      </w:r>
      <w:r>
        <w:rPr>
          <w:spacing w:val="-13"/>
        </w:rPr>
        <w:t> </w:t>
      </w:r>
      <w:r>
        <w:rPr/>
        <w:t>y</w:t>
      </w:r>
      <w:r>
        <w:rPr>
          <w:spacing w:val="-13"/>
        </w:rPr>
        <w:t> </w:t>
      </w:r>
      <w:r>
        <w:rPr/>
        <w:t>periodos.</w:t>
      </w:r>
      <w:r>
        <w:rPr>
          <w:spacing w:val="-13"/>
        </w:rPr>
        <w:t> </w:t>
      </w:r>
      <w:r>
        <w:rPr/>
        <w:t>Su</w:t>
      </w:r>
      <w:r>
        <w:rPr>
          <w:spacing w:val="-13"/>
        </w:rPr>
        <w:t> </w:t>
      </w:r>
      <w:r>
        <w:rPr/>
        <w:t>validez,</w:t>
      </w:r>
      <w:r>
        <w:rPr>
          <w:spacing w:val="-13"/>
        </w:rPr>
        <w:t> </w:t>
      </w:r>
      <w:r>
        <w:rPr/>
        <w:t>flexibilidad,</w:t>
      </w:r>
      <w:r>
        <w:rPr>
          <w:spacing w:val="-13"/>
        </w:rPr>
        <w:t> </w:t>
      </w:r>
      <w:r>
        <w:rPr/>
        <w:t>accesibilidad y adaptabilidad, permite estudiar los impactos que generan la expansión urbana, y específicamente, la</w:t>
      </w:r>
      <w:r>
        <w:rPr>
          <w:spacing w:val="24"/>
        </w:rPr>
        <w:t> </w:t>
      </w:r>
      <w:r>
        <w:rPr/>
        <w:t>metropolitana.</w:t>
      </w:r>
    </w:p>
    <w:p>
      <w:pPr>
        <w:pStyle w:val="BodyText"/>
        <w:spacing w:before="11"/>
      </w:pPr>
    </w:p>
    <w:p>
      <w:pPr>
        <w:pStyle w:val="BodyText"/>
        <w:spacing w:line="249" w:lineRule="auto"/>
        <w:ind w:left="126" w:firstLine="170"/>
        <w:jc w:val="both"/>
      </w:pPr>
      <w:r>
        <w:rPr/>
        <w:t>El concepto de causalidad en que el modelo PER permite entender como las actividades humanas generan presiones en el ambiente, generando cambios de calidad y la cantidad de los recursos naturales; y como la sociedad responde ante estos cambios a través de políticas ambientales, económicas y sectoriales, y vuelve a generar presiones en el ambiente.</w:t>
      </w:r>
    </w:p>
    <w:p>
      <w:pPr>
        <w:pStyle w:val="BodyText"/>
        <w:spacing w:before="1"/>
        <w:rPr>
          <w:sz w:val="27"/>
        </w:rPr>
      </w:pPr>
      <w:r>
        <w:rPr/>
        <w:br w:type="column"/>
      </w:r>
      <w:r>
        <w:rPr>
          <w:sz w:val="27"/>
        </w:rPr>
      </w:r>
    </w:p>
    <w:p>
      <w:pPr>
        <w:pStyle w:val="Heading1"/>
        <w:ind w:left="296"/>
      </w:pPr>
      <w:r>
        <w:rPr/>
        <w:t>Referencias bibliográficas</w:t>
      </w:r>
    </w:p>
    <w:p>
      <w:pPr>
        <w:pStyle w:val="BodyText"/>
        <w:rPr>
          <w:b/>
          <w:sz w:val="24"/>
        </w:rPr>
      </w:pPr>
    </w:p>
    <w:p>
      <w:pPr>
        <w:pStyle w:val="BodyText"/>
        <w:spacing w:line="249" w:lineRule="auto" w:before="205"/>
        <w:ind w:left="749" w:right="128" w:hanging="624"/>
        <w:jc w:val="both"/>
      </w:pPr>
      <w:r>
        <w:rPr/>
        <w:t>Agencia</w:t>
      </w:r>
      <w:r>
        <w:rPr>
          <w:spacing w:val="-11"/>
        </w:rPr>
        <w:t> </w:t>
      </w:r>
      <w:r>
        <w:rPr/>
        <w:t>de</w:t>
      </w:r>
      <w:r>
        <w:rPr>
          <w:spacing w:val="-11"/>
        </w:rPr>
        <w:t> </w:t>
      </w:r>
      <w:r>
        <w:rPr/>
        <w:t>Ecología</w:t>
      </w:r>
      <w:r>
        <w:rPr>
          <w:spacing w:val="-11"/>
        </w:rPr>
        <w:t> </w:t>
      </w:r>
      <w:r>
        <w:rPr/>
        <w:t>Urbana</w:t>
      </w:r>
      <w:r>
        <w:rPr>
          <w:spacing w:val="-11"/>
        </w:rPr>
        <w:t> </w:t>
      </w:r>
      <w:r>
        <w:rPr/>
        <w:t>de</w:t>
      </w:r>
      <w:r>
        <w:rPr>
          <w:spacing w:val="-11"/>
        </w:rPr>
        <w:t> </w:t>
      </w:r>
      <w:r>
        <w:rPr/>
        <w:t>Barcelona</w:t>
      </w:r>
      <w:r>
        <w:rPr>
          <w:spacing w:val="-11"/>
        </w:rPr>
        <w:t> </w:t>
      </w:r>
      <w:r>
        <w:rPr/>
        <w:t>(2010).</w:t>
      </w:r>
      <w:r>
        <w:rPr>
          <w:spacing w:val="-11"/>
        </w:rPr>
        <w:t> </w:t>
      </w:r>
      <w:r>
        <w:rPr/>
        <w:t>Plan</w:t>
      </w:r>
      <w:r>
        <w:rPr>
          <w:spacing w:val="-11"/>
        </w:rPr>
        <w:t> </w:t>
      </w:r>
      <w:r>
        <w:rPr/>
        <w:t>de</w:t>
      </w:r>
      <w:r>
        <w:rPr>
          <w:spacing w:val="-11"/>
        </w:rPr>
        <w:t> </w:t>
      </w:r>
      <w:r>
        <w:rPr/>
        <w:t>indicadores</w:t>
      </w:r>
      <w:r>
        <w:rPr>
          <w:spacing w:val="-11"/>
        </w:rPr>
        <w:t> </w:t>
      </w:r>
      <w:r>
        <w:rPr/>
        <w:t>de</w:t>
      </w:r>
      <w:r>
        <w:rPr>
          <w:spacing w:val="-11"/>
        </w:rPr>
        <w:t> </w:t>
      </w:r>
      <w:r>
        <w:rPr/>
        <w:t>sostenibilidad urbana de Vitoria-Gasteiz, Departamento de Medio Ambiente del Ayuntamiento de</w:t>
      </w:r>
      <w:r>
        <w:rPr>
          <w:spacing w:val="-14"/>
        </w:rPr>
        <w:t> </w:t>
      </w:r>
      <w:r>
        <w:rPr/>
        <w:t>Vitoria-Gasteiz,</w:t>
      </w:r>
      <w:r>
        <w:rPr>
          <w:spacing w:val="-14"/>
        </w:rPr>
        <w:t> </w:t>
      </w:r>
      <w:r>
        <w:rPr/>
        <w:t>Barcelona,</w:t>
      </w:r>
      <w:r>
        <w:rPr>
          <w:spacing w:val="-14"/>
        </w:rPr>
        <w:t> </w:t>
      </w:r>
      <w:r>
        <w:rPr/>
        <w:t>España</w:t>
      </w:r>
      <w:r>
        <w:rPr>
          <w:spacing w:val="-14"/>
        </w:rPr>
        <w:t> </w:t>
      </w:r>
      <w:r>
        <w:rPr/>
        <w:t>(El</w:t>
      </w:r>
      <w:r>
        <w:rPr>
          <w:spacing w:val="-14"/>
        </w:rPr>
        <w:t> </w:t>
      </w:r>
      <w:r>
        <w:rPr/>
        <w:t>línea).</w:t>
      </w:r>
    </w:p>
    <w:p>
      <w:pPr>
        <w:pStyle w:val="BodyText"/>
        <w:spacing w:before="11"/>
      </w:pPr>
    </w:p>
    <w:p>
      <w:pPr>
        <w:spacing w:before="0"/>
        <w:ind w:left="126" w:right="0" w:firstLine="0"/>
        <w:jc w:val="left"/>
        <w:rPr>
          <w:sz w:val="20"/>
        </w:rPr>
      </w:pPr>
      <w:r>
        <w:rPr>
          <w:sz w:val="20"/>
        </w:rPr>
        <w:t>Azqueta, D. (2007). </w:t>
      </w:r>
      <w:r>
        <w:rPr>
          <w:i/>
          <w:sz w:val="20"/>
        </w:rPr>
        <w:t>Introducción a la economía ambiental</w:t>
      </w:r>
      <w:r>
        <w:rPr>
          <w:sz w:val="20"/>
        </w:rPr>
        <w:t>. Madrid McGraw-Hill, España.</w:t>
      </w:r>
    </w:p>
    <w:p>
      <w:pPr>
        <w:pStyle w:val="BodyText"/>
        <w:spacing w:before="8"/>
        <w:rPr>
          <w:sz w:val="21"/>
        </w:rPr>
      </w:pPr>
    </w:p>
    <w:p>
      <w:pPr>
        <w:spacing w:line="249" w:lineRule="auto" w:before="0"/>
        <w:ind w:left="749" w:right="129" w:hanging="624"/>
        <w:jc w:val="both"/>
        <w:rPr>
          <w:sz w:val="20"/>
        </w:rPr>
      </w:pPr>
      <w:r>
        <w:rPr>
          <w:sz w:val="20"/>
        </w:rPr>
        <w:t>Barlowe, R. (1965). </w:t>
      </w:r>
      <w:r>
        <w:rPr>
          <w:i/>
          <w:sz w:val="20"/>
        </w:rPr>
        <w:t>Economía de la utilización del suelo: la economía política de la </w:t>
      </w:r>
      <w:r>
        <w:rPr>
          <w:i/>
          <w:sz w:val="20"/>
        </w:rPr>
        <w:t>utilización rural y urbana de los recursos del suelo</w:t>
      </w:r>
      <w:r>
        <w:rPr>
          <w:sz w:val="20"/>
        </w:rPr>
        <w:t>, Herrero, México.</w:t>
      </w:r>
    </w:p>
    <w:p>
      <w:pPr>
        <w:pStyle w:val="BodyText"/>
        <w:spacing w:before="11"/>
      </w:pPr>
    </w:p>
    <w:p>
      <w:pPr>
        <w:spacing w:line="249" w:lineRule="auto" w:before="0"/>
        <w:ind w:left="749" w:right="128" w:hanging="624"/>
        <w:jc w:val="both"/>
        <w:rPr>
          <w:sz w:val="20"/>
        </w:rPr>
      </w:pPr>
      <w:r>
        <w:rPr>
          <w:sz w:val="20"/>
        </w:rPr>
        <w:t>Castro, M. (2002). </w:t>
      </w:r>
      <w:r>
        <w:rPr>
          <w:i/>
          <w:sz w:val="20"/>
        </w:rPr>
        <w:t>Indicadores de desarrollo sostenible urbano, una aplicación para </w:t>
      </w:r>
      <w:r>
        <w:rPr>
          <w:i/>
          <w:sz w:val="20"/>
        </w:rPr>
        <w:t>Andalucía</w:t>
      </w:r>
      <w:r>
        <w:rPr>
          <w:sz w:val="20"/>
        </w:rPr>
        <w:t>; Tesis Doctoral, Universidad de Málaga, España.</w:t>
      </w:r>
    </w:p>
    <w:p>
      <w:pPr>
        <w:pStyle w:val="BodyText"/>
        <w:spacing w:before="11"/>
      </w:pPr>
    </w:p>
    <w:p>
      <w:pPr>
        <w:pStyle w:val="BodyText"/>
        <w:spacing w:line="249" w:lineRule="auto"/>
        <w:ind w:left="749" w:right="128" w:hanging="624"/>
        <w:jc w:val="both"/>
      </w:pPr>
      <w:r>
        <w:rPr/>
        <w:t>CONAPO Consejo Nacional de Población. (2005). Proyecciones de Población 2005- 2030. CONAPO, México.</w:t>
      </w:r>
    </w:p>
    <w:p>
      <w:pPr>
        <w:pStyle w:val="BodyText"/>
        <w:spacing w:before="11"/>
      </w:pPr>
    </w:p>
    <w:p>
      <w:pPr>
        <w:pStyle w:val="BodyText"/>
        <w:spacing w:line="249" w:lineRule="auto"/>
        <w:ind w:left="749" w:right="129" w:hanging="624"/>
        <w:jc w:val="both"/>
      </w:pPr>
      <w:r>
        <w:rPr/>
        <w:t>Davis, D. E. (2005), “Cities in global context: A brief intelectual history”, en Blaszczyk, Mateusz, (2013), W poszukiwaniu socjologicznej teorii rozwoju miast (op. cit).</w:t>
      </w:r>
    </w:p>
    <w:p>
      <w:pPr>
        <w:pStyle w:val="BodyText"/>
        <w:spacing w:before="11"/>
      </w:pPr>
    </w:p>
    <w:p>
      <w:pPr>
        <w:spacing w:line="249" w:lineRule="auto" w:before="0"/>
        <w:ind w:left="749" w:right="128" w:hanging="624"/>
        <w:jc w:val="both"/>
        <w:rPr>
          <w:sz w:val="20"/>
        </w:rPr>
      </w:pPr>
      <w:r>
        <w:rPr>
          <w:sz w:val="20"/>
        </w:rPr>
        <w:t>Espinoza,</w:t>
      </w:r>
      <w:r>
        <w:rPr>
          <w:spacing w:val="-25"/>
          <w:sz w:val="20"/>
        </w:rPr>
        <w:t> </w:t>
      </w:r>
      <w:r>
        <w:rPr>
          <w:sz w:val="20"/>
        </w:rPr>
        <w:t>S.</w:t>
      </w:r>
      <w:r>
        <w:rPr>
          <w:spacing w:val="-25"/>
          <w:sz w:val="20"/>
        </w:rPr>
        <w:t> </w:t>
      </w:r>
      <w:r>
        <w:rPr>
          <w:sz w:val="20"/>
        </w:rPr>
        <w:t>(2014).</w:t>
      </w:r>
      <w:r>
        <w:rPr>
          <w:spacing w:val="-25"/>
          <w:sz w:val="20"/>
        </w:rPr>
        <w:t> </w:t>
      </w:r>
      <w:r>
        <w:rPr>
          <w:i/>
          <w:sz w:val="20"/>
        </w:rPr>
        <w:t>Metropolización</w:t>
      </w:r>
      <w:r>
        <w:rPr>
          <w:i/>
          <w:spacing w:val="-25"/>
          <w:sz w:val="20"/>
        </w:rPr>
        <w:t> </w:t>
      </w:r>
      <w:r>
        <w:rPr>
          <w:i/>
          <w:sz w:val="20"/>
        </w:rPr>
        <w:t>y</w:t>
      </w:r>
      <w:r>
        <w:rPr>
          <w:i/>
          <w:spacing w:val="-25"/>
          <w:sz w:val="20"/>
        </w:rPr>
        <w:t> </w:t>
      </w:r>
      <w:r>
        <w:rPr>
          <w:i/>
          <w:sz w:val="20"/>
        </w:rPr>
        <w:t>coordinación</w:t>
      </w:r>
      <w:r>
        <w:rPr>
          <w:i/>
          <w:spacing w:val="-25"/>
          <w:sz w:val="20"/>
        </w:rPr>
        <w:t> </w:t>
      </w:r>
      <w:r>
        <w:rPr>
          <w:i/>
          <w:sz w:val="20"/>
        </w:rPr>
        <w:t>institucional</w:t>
      </w:r>
      <w:r>
        <w:rPr>
          <w:i/>
          <w:spacing w:val="-25"/>
          <w:sz w:val="20"/>
        </w:rPr>
        <w:t> </w:t>
      </w:r>
      <w:r>
        <w:rPr>
          <w:i/>
          <w:sz w:val="20"/>
        </w:rPr>
        <w:t>en</w:t>
      </w:r>
      <w:r>
        <w:rPr>
          <w:i/>
          <w:spacing w:val="-25"/>
          <w:sz w:val="20"/>
        </w:rPr>
        <w:t> </w:t>
      </w:r>
      <w:r>
        <w:rPr>
          <w:i/>
          <w:sz w:val="20"/>
        </w:rPr>
        <w:t>la</w:t>
      </w:r>
      <w:r>
        <w:rPr>
          <w:i/>
          <w:spacing w:val="-25"/>
          <w:sz w:val="20"/>
        </w:rPr>
        <w:t> </w:t>
      </w:r>
      <w:r>
        <w:rPr>
          <w:i/>
          <w:sz w:val="20"/>
        </w:rPr>
        <w:t>zona</w:t>
      </w:r>
      <w:r>
        <w:rPr>
          <w:i/>
          <w:spacing w:val="-25"/>
          <w:sz w:val="20"/>
        </w:rPr>
        <w:t> </w:t>
      </w:r>
      <w:r>
        <w:rPr>
          <w:i/>
          <w:sz w:val="20"/>
        </w:rPr>
        <w:t>metropolitana </w:t>
      </w:r>
      <w:r>
        <w:rPr>
          <w:i/>
          <w:sz w:val="20"/>
        </w:rPr>
        <w:t>de Toluca</w:t>
      </w:r>
      <w:r>
        <w:rPr>
          <w:sz w:val="20"/>
        </w:rPr>
        <w:t>, Tesis de Maestría en Estudios de la Ciudad, FAPUR-UAEM, Toluca, México.</w:t>
      </w:r>
    </w:p>
    <w:p>
      <w:pPr>
        <w:pStyle w:val="BodyText"/>
        <w:spacing w:before="11"/>
      </w:pPr>
    </w:p>
    <w:p>
      <w:pPr>
        <w:pStyle w:val="BodyText"/>
        <w:ind w:left="126"/>
      </w:pPr>
      <w:r>
        <w:rPr/>
        <w:t>GEM Gobierno del Estado de México (2012). Zona Metropolitana del Valle de   Toluca.</w:t>
      </w:r>
    </w:p>
    <w:p>
      <w:pPr>
        <w:pStyle w:val="BodyText"/>
        <w:spacing w:before="10"/>
        <w:ind w:left="749"/>
      </w:pPr>
      <w:r>
        <w:rPr/>
        <w:t>Aspectos Sociodemográficos. Consejo Estatal de Población.  México.</w:t>
      </w:r>
    </w:p>
    <w:p>
      <w:pPr>
        <w:pStyle w:val="BodyText"/>
        <w:spacing w:before="8"/>
        <w:rPr>
          <w:sz w:val="21"/>
        </w:rPr>
      </w:pPr>
    </w:p>
    <w:p>
      <w:pPr>
        <w:pStyle w:val="BodyText"/>
        <w:spacing w:line="249" w:lineRule="auto"/>
        <w:ind w:left="749" w:right="127" w:hanging="624"/>
        <w:jc w:val="both"/>
      </w:pPr>
      <w:r>
        <w:rPr/>
        <w:t>GEM, Gobierno del Estado de México. (2011). Plan municipal de desarrollo urbano de Calimaya, estado de México. Toluca, México: Gaceta del</w:t>
      </w:r>
      <w:r>
        <w:rPr>
          <w:spacing w:val="53"/>
        </w:rPr>
        <w:t> </w:t>
      </w:r>
      <w:r>
        <w:rPr/>
        <w:t>Gobierno.</w:t>
      </w:r>
    </w:p>
    <w:p>
      <w:pPr>
        <w:pStyle w:val="BodyText"/>
        <w:spacing w:before="11"/>
      </w:pPr>
    </w:p>
    <w:p>
      <w:pPr>
        <w:pStyle w:val="BodyText"/>
        <w:spacing w:line="249" w:lineRule="auto"/>
        <w:ind w:left="749" w:right="127" w:hanging="624"/>
        <w:jc w:val="both"/>
      </w:pPr>
      <w:r>
        <w:rPr/>
        <w:t>INEGI, Instituto Nacional de Estadística, Geografía e Informática, Estado de México. (2010). Resultados Definitivos (Datos por Localidad) XII Censo de Población y Vivienda 2010. México.</w:t>
      </w:r>
    </w:p>
    <w:p>
      <w:pPr>
        <w:pStyle w:val="BodyText"/>
        <w:spacing w:before="11"/>
      </w:pPr>
    </w:p>
    <w:p>
      <w:pPr>
        <w:pStyle w:val="BodyText"/>
        <w:spacing w:line="249" w:lineRule="auto"/>
        <w:ind w:left="749" w:right="128" w:hanging="624"/>
        <w:jc w:val="both"/>
      </w:pPr>
      <w:r>
        <w:rPr/>
        <w:t>Iracheta, A. (2009), Políticas públicas para gobernar las metrópolis mexicanas, El Colegio Mexiquense, A.C. y Miguel Ángel Porrúa, México.</w:t>
      </w:r>
    </w:p>
    <w:p>
      <w:pPr>
        <w:pStyle w:val="BodyText"/>
        <w:spacing w:before="11"/>
      </w:pPr>
    </w:p>
    <w:p>
      <w:pPr>
        <w:spacing w:line="249" w:lineRule="auto" w:before="0"/>
        <w:ind w:left="749" w:right="128" w:hanging="624"/>
        <w:jc w:val="both"/>
        <w:rPr>
          <w:sz w:val="20"/>
        </w:rPr>
      </w:pPr>
      <w:r>
        <w:rPr>
          <w:sz w:val="20"/>
        </w:rPr>
        <w:t>Iracheta, A. y C. Pedrotti (2011). </w:t>
      </w:r>
      <w:r>
        <w:rPr>
          <w:i/>
          <w:sz w:val="20"/>
        </w:rPr>
        <w:t>Expansión metropolitana y producción habitacional en </w:t>
      </w:r>
      <w:r>
        <w:rPr>
          <w:i/>
          <w:sz w:val="20"/>
        </w:rPr>
        <w:t>la Zona Metropolitana de Toluc</w:t>
      </w:r>
      <w:r>
        <w:rPr>
          <w:sz w:val="20"/>
        </w:rPr>
        <w:t>a, Programa de Estudios Urbanos y Ambientales (PROURBA), El Colegio Mexiquense A.C., México.</w:t>
      </w:r>
    </w:p>
    <w:p>
      <w:pPr>
        <w:spacing w:after="0" w:line="249" w:lineRule="auto"/>
        <w:jc w:val="both"/>
        <w:rPr>
          <w:sz w:val="20"/>
        </w:rPr>
        <w:sectPr>
          <w:type w:val="continuous"/>
          <w:pgSz w:w="18830" w:h="12760" w:orient="landscape"/>
          <w:pgMar w:top="1420" w:bottom="280" w:left="720" w:right="720"/>
          <w:cols w:num="2" w:equalWidth="0">
            <w:col w:w="7838" w:space="1578"/>
            <w:col w:w="7974"/>
          </w:cols>
        </w:sectPr>
      </w:pPr>
    </w:p>
    <w:p>
      <w:pPr>
        <w:pStyle w:val="BodyText"/>
        <w:spacing w:before="8"/>
      </w:pPr>
    </w:p>
    <w:p>
      <w:pPr>
        <w:spacing w:after="0"/>
        <w:sectPr>
          <w:footerReference w:type="default" r:id="rId436"/>
          <w:pgSz w:w="18830" w:h="12760" w:orient="landscape"/>
          <w:pgMar w:footer="1036" w:header="522" w:top="820" w:bottom="1220" w:left="720" w:right="720"/>
        </w:sectPr>
      </w:pPr>
    </w:p>
    <w:p>
      <w:pPr>
        <w:pStyle w:val="BodyText"/>
        <w:spacing w:line="249" w:lineRule="auto" w:before="109"/>
        <w:ind w:left="750" w:hanging="624"/>
        <w:jc w:val="both"/>
      </w:pPr>
      <w:r>
        <w:rPr/>
        <w:t>Manzano-Solís,</w:t>
      </w:r>
      <w:r>
        <w:rPr>
          <w:spacing w:val="-13"/>
        </w:rPr>
        <w:t> </w:t>
      </w:r>
      <w:r>
        <w:rPr/>
        <w:t>R.,</w:t>
      </w:r>
      <w:r>
        <w:rPr>
          <w:spacing w:val="-13"/>
        </w:rPr>
        <w:t> </w:t>
      </w:r>
      <w:r>
        <w:rPr/>
        <w:t>y</w:t>
      </w:r>
      <w:r>
        <w:rPr>
          <w:spacing w:val="-13"/>
        </w:rPr>
        <w:t> </w:t>
      </w:r>
      <w:r>
        <w:rPr/>
        <w:t>otros.</w:t>
      </w:r>
      <w:r>
        <w:rPr>
          <w:spacing w:val="-13"/>
        </w:rPr>
        <w:t> </w:t>
      </w:r>
      <w:r>
        <w:rPr/>
        <w:t>(2007).</w:t>
      </w:r>
      <w:r>
        <w:rPr>
          <w:spacing w:val="-13"/>
        </w:rPr>
        <w:t> </w:t>
      </w:r>
      <w:r>
        <w:rPr/>
        <w:t>Modelo</w:t>
      </w:r>
      <w:r>
        <w:rPr>
          <w:spacing w:val="-13"/>
        </w:rPr>
        <w:t> </w:t>
      </w:r>
      <w:r>
        <w:rPr/>
        <w:t>geomático</w:t>
      </w:r>
      <w:r>
        <w:rPr>
          <w:spacing w:val="-13"/>
        </w:rPr>
        <w:t> </w:t>
      </w:r>
      <w:r>
        <w:rPr/>
        <w:t>de</w:t>
      </w:r>
      <w:r>
        <w:rPr>
          <w:spacing w:val="-13"/>
        </w:rPr>
        <w:t> </w:t>
      </w:r>
      <w:r>
        <w:rPr/>
        <w:t>la</w:t>
      </w:r>
      <w:r>
        <w:rPr>
          <w:spacing w:val="-13"/>
        </w:rPr>
        <w:t> </w:t>
      </w:r>
      <w:r>
        <w:rPr/>
        <w:t>relación</w:t>
      </w:r>
      <w:r>
        <w:rPr>
          <w:spacing w:val="-13"/>
        </w:rPr>
        <w:t> </w:t>
      </w:r>
      <w:r>
        <w:rPr/>
        <w:t>agua-población</w:t>
      </w:r>
      <w:r>
        <w:rPr>
          <w:spacing w:val="-13"/>
        </w:rPr>
        <w:t> </w:t>
      </w:r>
      <w:r>
        <w:rPr/>
        <w:t>con base en geodatos censales demográficos. Facultad de Geografía. Universidad Autónoma del Estado de México, Toluca, </w:t>
      </w:r>
      <w:r>
        <w:rPr>
          <w:spacing w:val="2"/>
        </w:rPr>
        <w:t> </w:t>
      </w:r>
      <w:r>
        <w:rPr/>
        <w:t>México.</w:t>
      </w:r>
    </w:p>
    <w:p>
      <w:pPr>
        <w:pStyle w:val="Heading1"/>
        <w:spacing w:line="240" w:lineRule="exact" w:before="104"/>
        <w:ind w:left="104" w:right="357"/>
        <w:jc w:val="center"/>
      </w:pPr>
      <w:r>
        <w:rPr>
          <w:b w:val="0"/>
        </w:rPr>
        <w:br w:type="column"/>
      </w:r>
      <w:r>
        <w:rPr/>
        <w:t>Evaluación a la contribución de la sustentabilidad ambiental en los instrumentos de planeación del sector público e n la Z ona Metropolitana de Toluca.</w:t>
      </w:r>
    </w:p>
    <w:p>
      <w:pPr>
        <w:spacing w:after="0" w:line="240" w:lineRule="exact"/>
        <w:jc w:val="center"/>
        <w:sectPr>
          <w:type w:val="continuous"/>
          <w:pgSz w:w="18830" w:h="12760" w:orient="landscape"/>
          <w:pgMar w:top="1420" w:bottom="280" w:left="720" w:right="720"/>
          <w:cols w:num="2" w:equalWidth="0">
            <w:col w:w="7838" w:space="1828"/>
            <w:col w:w="7724"/>
          </w:cols>
        </w:sectPr>
      </w:pPr>
    </w:p>
    <w:p>
      <w:pPr>
        <w:pStyle w:val="BodyText"/>
        <w:spacing w:before="4"/>
        <w:rPr>
          <w:b/>
          <w:sz w:val="14"/>
        </w:rPr>
      </w:pPr>
    </w:p>
    <w:p>
      <w:pPr>
        <w:spacing w:after="0"/>
        <w:rPr>
          <w:sz w:val="14"/>
        </w:rPr>
        <w:sectPr>
          <w:type w:val="continuous"/>
          <w:pgSz w:w="18830" w:h="12760" w:orient="landscape"/>
          <w:pgMar w:top="1420" w:bottom="280" w:left="720" w:right="720"/>
        </w:sectPr>
      </w:pPr>
    </w:p>
    <w:p>
      <w:pPr>
        <w:pStyle w:val="BodyText"/>
        <w:spacing w:before="76"/>
        <w:ind w:left="127"/>
      </w:pPr>
      <w:r>
        <w:rPr/>
        <w:t>OCDE (1993). OECD Core Set of Indicators for Environmental Performance   Reviews.</w:t>
      </w:r>
    </w:p>
    <w:p>
      <w:pPr>
        <w:spacing w:before="10"/>
        <w:ind w:left="750" w:right="0" w:firstLine="0"/>
        <w:jc w:val="left"/>
        <w:rPr>
          <w:sz w:val="20"/>
        </w:rPr>
      </w:pPr>
      <w:r>
        <w:rPr>
          <w:i/>
          <w:sz w:val="20"/>
        </w:rPr>
        <w:t>Environment Monographs </w:t>
      </w:r>
      <w:r>
        <w:rPr>
          <w:sz w:val="20"/>
        </w:rPr>
        <w:t>No. 83, OCDE Paris.</w:t>
      </w:r>
    </w:p>
    <w:p>
      <w:pPr>
        <w:pStyle w:val="BodyText"/>
        <w:spacing w:before="8"/>
        <w:rPr>
          <w:sz w:val="21"/>
        </w:rPr>
      </w:pPr>
    </w:p>
    <w:p>
      <w:pPr>
        <w:pStyle w:val="BodyText"/>
        <w:spacing w:line="249" w:lineRule="auto"/>
        <w:ind w:left="750" w:hanging="624"/>
      </w:pPr>
      <w:r>
        <w:rPr/>
        <w:t>Pacione, M. (2005), Urban Geography. A Global Perspective, Routledge, New York (Segunda edición).</w:t>
      </w:r>
    </w:p>
    <w:p>
      <w:pPr>
        <w:pStyle w:val="BodyText"/>
        <w:spacing w:before="11"/>
      </w:pPr>
    </w:p>
    <w:p>
      <w:pPr>
        <w:spacing w:line="249" w:lineRule="auto" w:before="0"/>
        <w:ind w:left="750" w:right="0" w:hanging="624"/>
        <w:jc w:val="left"/>
        <w:rPr>
          <w:sz w:val="20"/>
        </w:rPr>
      </w:pPr>
      <w:r>
        <w:rPr>
          <w:sz w:val="20"/>
        </w:rPr>
        <w:t>Polanco, C. (2006). </w:t>
      </w:r>
      <w:r>
        <w:rPr>
          <w:i/>
          <w:sz w:val="20"/>
        </w:rPr>
        <w:t>Indicadores ambientales y modelos internacionales para toma de </w:t>
      </w:r>
      <w:r>
        <w:rPr>
          <w:i/>
          <w:sz w:val="20"/>
        </w:rPr>
        <w:t>decisiones. Gestión y Ambiente. </w:t>
      </w:r>
      <w:r>
        <w:rPr>
          <w:sz w:val="20"/>
        </w:rPr>
        <w:t>Universidad Nacional de Colombia.  Colombia.</w:t>
      </w:r>
    </w:p>
    <w:p>
      <w:pPr>
        <w:pStyle w:val="BodyText"/>
        <w:rPr>
          <w:sz w:val="24"/>
        </w:rPr>
      </w:pPr>
      <w:r>
        <w:rPr/>
        <w:br w:type="column"/>
      </w:r>
      <w:r>
        <w:rPr>
          <w:sz w:val="24"/>
        </w:rPr>
      </w:r>
    </w:p>
    <w:p>
      <w:pPr>
        <w:pStyle w:val="BodyText"/>
        <w:rPr>
          <w:sz w:val="24"/>
        </w:rPr>
      </w:pPr>
    </w:p>
    <w:p>
      <w:pPr>
        <w:pStyle w:val="BodyText"/>
        <w:rPr>
          <w:sz w:val="24"/>
        </w:rPr>
      </w:pPr>
    </w:p>
    <w:p>
      <w:pPr>
        <w:pStyle w:val="BodyText"/>
        <w:rPr>
          <w:sz w:val="24"/>
        </w:rPr>
      </w:pPr>
    </w:p>
    <w:p>
      <w:pPr>
        <w:pStyle w:val="BodyText"/>
        <w:spacing w:before="6"/>
        <w:rPr>
          <w:sz w:val="32"/>
        </w:rPr>
      </w:pPr>
    </w:p>
    <w:p>
      <w:pPr>
        <w:pStyle w:val="Heading1"/>
        <w:ind w:left="127" w:right="-20"/>
      </w:pPr>
      <w:r>
        <w:rPr/>
        <w:t>Resumen</w:t>
      </w:r>
    </w:p>
    <w:p>
      <w:pPr>
        <w:spacing w:line="312" w:lineRule="auto" w:before="113"/>
        <w:ind w:left="1496" w:right="128" w:firstLine="100"/>
        <w:jc w:val="both"/>
        <w:rPr>
          <w:sz w:val="16"/>
        </w:rPr>
      </w:pPr>
      <w:r>
        <w:rPr/>
        <w:br w:type="column"/>
      </w:r>
      <w:r>
        <w:rPr>
          <w:sz w:val="16"/>
        </w:rPr>
        <w:t>Angélica Valencia</w:t>
      </w:r>
      <w:r>
        <w:rPr>
          <w:spacing w:val="-17"/>
          <w:sz w:val="16"/>
        </w:rPr>
        <w:t> </w:t>
      </w:r>
      <w:r>
        <w:rPr>
          <w:sz w:val="16"/>
        </w:rPr>
        <w:t>Torres Guadalupe Hoyos Castillo Salvador Adame</w:t>
      </w:r>
      <w:r>
        <w:rPr>
          <w:spacing w:val="-7"/>
          <w:sz w:val="16"/>
        </w:rPr>
        <w:t> </w:t>
      </w:r>
      <w:r>
        <w:rPr>
          <w:sz w:val="16"/>
        </w:rPr>
        <w:t>Martínez</w:t>
      </w:r>
    </w:p>
    <w:p>
      <w:pPr>
        <w:spacing w:line="312" w:lineRule="auto" w:before="2"/>
        <w:ind w:left="127" w:right="117" w:firstLine="189"/>
        <w:jc w:val="left"/>
        <w:rPr>
          <w:sz w:val="16"/>
        </w:rPr>
      </w:pPr>
      <w:r>
        <w:rPr>
          <w:sz w:val="16"/>
        </w:rPr>
        <w:t>Facultad de Planeación Urbana y Regional Universidad Autónoma del Estado de México</w:t>
      </w:r>
    </w:p>
    <w:p>
      <w:pPr>
        <w:spacing w:before="2"/>
        <w:ind w:left="1563" w:right="0" w:firstLine="0"/>
        <w:jc w:val="both"/>
        <w:rPr>
          <w:sz w:val="16"/>
        </w:rPr>
      </w:pPr>
      <w:hyperlink r:id="rId437">
        <w:r>
          <w:rPr>
            <w:sz w:val="16"/>
          </w:rPr>
          <w:t>angy_1688@hotmail.com</w:t>
        </w:r>
      </w:hyperlink>
    </w:p>
    <w:p>
      <w:pPr>
        <w:spacing w:after="0"/>
        <w:jc w:val="both"/>
        <w:rPr>
          <w:sz w:val="16"/>
        </w:rPr>
        <w:sectPr>
          <w:type w:val="continuous"/>
          <w:pgSz w:w="18830" w:h="12760" w:orient="landscape"/>
          <w:pgMar w:top="1420" w:bottom="280" w:left="720" w:right="720"/>
          <w:cols w:num="3" w:equalWidth="0">
            <w:col w:w="7839" w:space="1746"/>
            <w:col w:w="1208" w:space="3102"/>
            <w:col w:w="3495"/>
          </w:cols>
        </w:sectPr>
      </w:pPr>
    </w:p>
    <w:p>
      <w:pPr>
        <w:pStyle w:val="BodyText"/>
        <w:spacing w:before="1"/>
        <w:ind w:left="750"/>
      </w:pPr>
      <w:r>
        <w:rPr/>
        <w:t>9(23):27-41.</w:t>
      </w:r>
    </w:p>
    <w:p>
      <w:pPr>
        <w:pStyle w:val="BodyText"/>
        <w:spacing w:before="8"/>
        <w:rPr>
          <w:sz w:val="21"/>
        </w:rPr>
      </w:pPr>
    </w:p>
    <w:p>
      <w:pPr>
        <w:pStyle w:val="BodyText"/>
        <w:spacing w:line="249" w:lineRule="auto"/>
        <w:ind w:left="750" w:right="1" w:hanging="624"/>
        <w:jc w:val="both"/>
      </w:pPr>
      <w:r>
        <w:rPr/>
        <w:t>Rapport D. y A.M. Friend (1979). Toward a comprehensive framework for environment statics: a stress-response approach, Ottawa, (at 11-510) statistics ,  Canada.</w:t>
      </w:r>
    </w:p>
    <w:p>
      <w:pPr>
        <w:pStyle w:val="BodyText"/>
        <w:spacing w:before="11"/>
      </w:pPr>
    </w:p>
    <w:p>
      <w:pPr>
        <w:pStyle w:val="BodyText"/>
        <w:spacing w:line="249" w:lineRule="auto"/>
        <w:ind w:left="750" w:hanging="624"/>
        <w:jc w:val="both"/>
      </w:pPr>
      <w:r>
        <w:rPr/>
        <w:t>Rojas, E., J. R. Cuadrado-Roura y J. M. Fernández (eds.) (2005). Gobernar las Metrópolis, Banco Interamericano de Desarrollo-Universidad de Alcalá de Henares, Washington D.C.</w:t>
      </w:r>
    </w:p>
    <w:p>
      <w:pPr>
        <w:pStyle w:val="BodyText"/>
        <w:spacing w:before="11"/>
      </w:pPr>
    </w:p>
    <w:p>
      <w:pPr>
        <w:pStyle w:val="BodyText"/>
        <w:spacing w:line="249" w:lineRule="auto"/>
        <w:ind w:left="750" w:hanging="624"/>
        <w:jc w:val="both"/>
      </w:pPr>
      <w:r>
        <w:rPr/>
        <w:t>Rynio,</w:t>
      </w:r>
      <w:r>
        <w:rPr>
          <w:spacing w:val="-11"/>
        </w:rPr>
        <w:t> </w:t>
      </w:r>
      <w:r>
        <w:rPr/>
        <w:t>D.</w:t>
      </w:r>
      <w:r>
        <w:rPr>
          <w:spacing w:val="-11"/>
        </w:rPr>
        <w:t> </w:t>
      </w:r>
      <w:r>
        <w:rPr/>
        <w:t>(2010).</w:t>
      </w:r>
      <w:r>
        <w:rPr>
          <w:spacing w:val="-11"/>
        </w:rPr>
        <w:t> </w:t>
      </w:r>
      <w:r>
        <w:rPr/>
        <w:t>„Rozwoj</w:t>
      </w:r>
      <w:r>
        <w:rPr>
          <w:spacing w:val="-11"/>
        </w:rPr>
        <w:t> </w:t>
      </w:r>
      <w:r>
        <w:rPr/>
        <w:t>obszarow</w:t>
      </w:r>
      <w:r>
        <w:rPr>
          <w:spacing w:val="-12"/>
        </w:rPr>
        <w:t> </w:t>
      </w:r>
      <w:r>
        <w:rPr/>
        <w:t>otoczenia</w:t>
      </w:r>
      <w:r>
        <w:rPr>
          <w:spacing w:val="-11"/>
        </w:rPr>
        <w:t> </w:t>
      </w:r>
      <w:r>
        <w:rPr/>
        <w:t>metropolii</w:t>
      </w:r>
      <w:r>
        <w:rPr>
          <w:spacing w:val="-12"/>
        </w:rPr>
        <w:t> </w:t>
      </w:r>
      <w:r>
        <w:rPr/>
        <w:t>(Wybrane</w:t>
      </w:r>
      <w:r>
        <w:rPr>
          <w:spacing w:val="-11"/>
        </w:rPr>
        <w:t> </w:t>
      </w:r>
      <w:r>
        <w:rPr/>
        <w:t>aspekty)</w:t>
      </w:r>
      <w:r>
        <w:rPr>
          <w:spacing w:val="-11"/>
        </w:rPr>
        <w:t> </w:t>
      </w:r>
      <w:r>
        <w:rPr/>
        <w:t>(Desarrollo del entornos de las metrópolis. Algunos aspectos)”, Biblioteka Regionalisty, No. 10 (2010), pp.</w:t>
      </w:r>
      <w:r>
        <w:rPr>
          <w:spacing w:val="-4"/>
        </w:rPr>
        <w:t> </w:t>
      </w:r>
      <w:r>
        <w:rPr/>
        <w:t>199-206.</w:t>
      </w:r>
    </w:p>
    <w:p>
      <w:pPr>
        <w:pStyle w:val="BodyText"/>
        <w:spacing w:before="11"/>
      </w:pPr>
    </w:p>
    <w:p>
      <w:pPr>
        <w:pStyle w:val="BodyText"/>
        <w:spacing w:line="249" w:lineRule="auto"/>
        <w:ind w:left="750" w:right="1" w:hanging="624"/>
        <w:jc w:val="both"/>
      </w:pPr>
      <w:r>
        <w:rPr/>
        <w:t>SEDESOL, CONAPO, INEGI (2008). Delimitación de las zonas metropolitanas de México, 2005, 2ª ed. México.</w:t>
      </w:r>
    </w:p>
    <w:p>
      <w:pPr>
        <w:pStyle w:val="BodyText"/>
        <w:spacing w:line="249" w:lineRule="auto" w:before="1"/>
        <w:ind w:left="127" w:right="127" w:firstLine="170"/>
        <w:jc w:val="both"/>
      </w:pPr>
      <w:r>
        <w:rPr/>
        <w:br w:type="column"/>
      </w:r>
      <w:r>
        <w:rPr/>
        <w:t>El crecimiento de las ciudades mexicanas es cada vez más complejo en funcionamiento y con ello aumenta la demanda de energía y recursos. Para el caso   de México, desde un enfoque integral de los componentes del funcionamiento de las ciudades,</w:t>
      </w:r>
      <w:r>
        <w:rPr>
          <w:spacing w:val="-5"/>
        </w:rPr>
        <w:t> </w:t>
      </w:r>
      <w:r>
        <w:rPr/>
        <w:t>la</w:t>
      </w:r>
      <w:r>
        <w:rPr>
          <w:spacing w:val="-5"/>
        </w:rPr>
        <w:t> </w:t>
      </w:r>
      <w:r>
        <w:rPr/>
        <w:t>política</w:t>
      </w:r>
      <w:r>
        <w:rPr>
          <w:spacing w:val="-5"/>
        </w:rPr>
        <w:t> </w:t>
      </w:r>
      <w:r>
        <w:rPr/>
        <w:t>ambiental</w:t>
      </w:r>
      <w:r>
        <w:rPr>
          <w:spacing w:val="-5"/>
        </w:rPr>
        <w:t> </w:t>
      </w:r>
      <w:r>
        <w:rPr/>
        <w:t>incorporó</w:t>
      </w:r>
      <w:r>
        <w:rPr>
          <w:spacing w:val="-5"/>
        </w:rPr>
        <w:t> </w:t>
      </w:r>
      <w:r>
        <w:rPr/>
        <w:t>la</w:t>
      </w:r>
      <w:r>
        <w:rPr>
          <w:spacing w:val="-5"/>
        </w:rPr>
        <w:t> </w:t>
      </w:r>
      <w:r>
        <w:rPr/>
        <w:t>visión</w:t>
      </w:r>
      <w:r>
        <w:rPr>
          <w:spacing w:val="-5"/>
        </w:rPr>
        <w:t> </w:t>
      </w:r>
      <w:r>
        <w:rPr/>
        <w:t>de</w:t>
      </w:r>
      <w:r>
        <w:rPr>
          <w:spacing w:val="-5"/>
        </w:rPr>
        <w:t> </w:t>
      </w:r>
      <w:r>
        <w:rPr/>
        <w:t>sustentabilidad</w:t>
      </w:r>
      <w:r>
        <w:rPr>
          <w:spacing w:val="-5"/>
        </w:rPr>
        <w:t> </w:t>
      </w:r>
      <w:r>
        <w:rPr/>
        <w:t>en</w:t>
      </w:r>
      <w:r>
        <w:rPr>
          <w:spacing w:val="-5"/>
        </w:rPr>
        <w:t> </w:t>
      </w:r>
      <w:r>
        <w:rPr/>
        <w:t>los</w:t>
      </w:r>
      <w:r>
        <w:rPr>
          <w:spacing w:val="-5"/>
        </w:rPr>
        <w:t> </w:t>
      </w:r>
      <w:r>
        <w:rPr/>
        <w:t>documentos de planeación urbana y territorial en los tres niveles de gobierno, pero todavía con resultados insuficientes. El objetivo del trabajo es evaluar la situación ambiental en     la Zona Metropolitana de Toluca (ZMT), las acciones y políticas de mitigación para suelo, agua y aire en la Zona Metropolitana Toluca, como respuesta del sector público al deterioro ambiental derivado de la dispersión urbana. Para evaluar las acciones y políticas de mitigación sobre los tres recursos se adaptó el modelo Presión-Estado- Respuesta (PER) y se corroboró que la planeación urbana sustentable es incipiente, con problemas de concepción, falta de instrumentación y de gestión. Por consiguiente es necesario diseñar una política ambiental metropolitana con instrumentos de seguimiento y alcance de metas de</w:t>
      </w:r>
      <w:r>
        <w:rPr>
          <w:spacing w:val="46"/>
        </w:rPr>
        <w:t> </w:t>
      </w:r>
      <w:r>
        <w:rPr/>
        <w:t>mitigación.</w:t>
      </w:r>
    </w:p>
    <w:p>
      <w:pPr>
        <w:pStyle w:val="BodyText"/>
        <w:spacing w:before="11"/>
      </w:pPr>
    </w:p>
    <w:p>
      <w:pPr>
        <w:pStyle w:val="BodyText"/>
        <w:spacing w:line="249" w:lineRule="auto"/>
        <w:ind w:left="127" w:right="129" w:firstLine="170"/>
        <w:jc w:val="both"/>
      </w:pPr>
      <w:r>
        <w:rPr>
          <w:b/>
          <w:i/>
        </w:rPr>
        <w:t>Palabras claves</w:t>
      </w:r>
      <w:r>
        <w:rPr/>
        <w:t>: política de sustentabilidad, Modelo PER, Zona Metropolitana de Toluca</w:t>
      </w:r>
    </w:p>
    <w:p>
      <w:pPr>
        <w:pStyle w:val="BodyText"/>
        <w:spacing w:before="8"/>
        <w:rPr>
          <w:sz w:val="17"/>
        </w:rPr>
      </w:pPr>
    </w:p>
    <w:p>
      <w:pPr>
        <w:pStyle w:val="Heading2"/>
        <w:ind w:left="297"/>
        <w:rPr>
          <w:i/>
        </w:rPr>
      </w:pPr>
      <w:r>
        <w:rPr>
          <w:i/>
        </w:rPr>
        <w:t>Abstract</w:t>
      </w:r>
    </w:p>
    <w:p>
      <w:pPr>
        <w:pStyle w:val="BodyText"/>
        <w:rPr>
          <w:b/>
          <w:i/>
          <w:sz w:val="21"/>
        </w:rPr>
      </w:pPr>
    </w:p>
    <w:p>
      <w:pPr>
        <w:pStyle w:val="BodyText"/>
        <w:spacing w:line="249" w:lineRule="auto"/>
        <w:ind w:left="127" w:right="127" w:firstLine="170"/>
        <w:jc w:val="both"/>
      </w:pPr>
      <w:r>
        <w:rPr/>
        <w:t>Mexican</w:t>
      </w:r>
      <w:r>
        <w:rPr>
          <w:spacing w:val="-8"/>
        </w:rPr>
        <w:t> </w:t>
      </w:r>
      <w:r>
        <w:rPr/>
        <w:t>cities</w:t>
      </w:r>
      <w:r>
        <w:rPr>
          <w:spacing w:val="-8"/>
        </w:rPr>
        <w:t> </w:t>
      </w:r>
      <w:r>
        <w:rPr/>
        <w:t>have</w:t>
      </w:r>
      <w:r>
        <w:rPr>
          <w:spacing w:val="-8"/>
        </w:rPr>
        <w:t> </w:t>
      </w:r>
      <w:r>
        <w:rPr/>
        <w:t>a</w:t>
      </w:r>
      <w:r>
        <w:rPr>
          <w:spacing w:val="-8"/>
        </w:rPr>
        <w:t> </w:t>
      </w:r>
      <w:r>
        <w:rPr/>
        <w:t>complex</w:t>
      </w:r>
      <w:r>
        <w:rPr>
          <w:spacing w:val="-8"/>
        </w:rPr>
        <w:t> </w:t>
      </w:r>
      <w:r>
        <w:rPr/>
        <w:t>functioning</w:t>
      </w:r>
      <w:r>
        <w:rPr>
          <w:spacing w:val="-8"/>
        </w:rPr>
        <w:t> </w:t>
      </w:r>
      <w:r>
        <w:rPr/>
        <w:t>since</w:t>
      </w:r>
      <w:r>
        <w:rPr>
          <w:spacing w:val="-8"/>
        </w:rPr>
        <w:t> </w:t>
      </w:r>
      <w:r>
        <w:rPr/>
        <w:t>energy</w:t>
      </w:r>
      <w:r>
        <w:rPr>
          <w:spacing w:val="-8"/>
        </w:rPr>
        <w:t> </w:t>
      </w:r>
      <w:r>
        <w:rPr/>
        <w:t>and</w:t>
      </w:r>
      <w:r>
        <w:rPr>
          <w:spacing w:val="-8"/>
        </w:rPr>
        <w:t> </w:t>
      </w:r>
      <w:r>
        <w:rPr/>
        <w:t>resources</w:t>
      </w:r>
      <w:r>
        <w:rPr>
          <w:spacing w:val="-8"/>
        </w:rPr>
        <w:t> </w:t>
      </w:r>
      <w:r>
        <w:rPr/>
        <w:t>demand</w:t>
      </w:r>
      <w:r>
        <w:rPr>
          <w:spacing w:val="-8"/>
        </w:rPr>
        <w:t> </w:t>
      </w:r>
      <w:r>
        <w:rPr/>
        <w:t>grows with time. Hence, sustainability has been incorporated by environmental policies in the three</w:t>
      </w:r>
      <w:r>
        <w:rPr>
          <w:spacing w:val="-13"/>
        </w:rPr>
        <w:t> </w:t>
      </w:r>
      <w:r>
        <w:rPr/>
        <w:t>levels</w:t>
      </w:r>
      <w:r>
        <w:rPr>
          <w:spacing w:val="-13"/>
        </w:rPr>
        <w:t> </w:t>
      </w:r>
      <w:r>
        <w:rPr/>
        <w:t>of</w:t>
      </w:r>
      <w:r>
        <w:rPr>
          <w:spacing w:val="-13"/>
        </w:rPr>
        <w:t> </w:t>
      </w:r>
      <w:r>
        <w:rPr/>
        <w:t>government</w:t>
      </w:r>
      <w:r>
        <w:rPr>
          <w:spacing w:val="-13"/>
        </w:rPr>
        <w:t> </w:t>
      </w:r>
      <w:r>
        <w:rPr/>
        <w:t>within</w:t>
      </w:r>
      <w:r>
        <w:rPr>
          <w:spacing w:val="-13"/>
        </w:rPr>
        <w:t> </w:t>
      </w:r>
      <w:r>
        <w:rPr/>
        <w:t>an</w:t>
      </w:r>
      <w:r>
        <w:rPr>
          <w:spacing w:val="-13"/>
        </w:rPr>
        <w:t> </w:t>
      </w:r>
      <w:r>
        <w:rPr/>
        <w:t>integral</w:t>
      </w:r>
      <w:r>
        <w:rPr>
          <w:spacing w:val="-13"/>
        </w:rPr>
        <w:t> </w:t>
      </w:r>
      <w:r>
        <w:rPr/>
        <w:t>vision</w:t>
      </w:r>
      <w:r>
        <w:rPr>
          <w:spacing w:val="-13"/>
        </w:rPr>
        <w:t> </w:t>
      </w:r>
      <w:r>
        <w:rPr/>
        <w:t>of</w:t>
      </w:r>
      <w:r>
        <w:rPr>
          <w:spacing w:val="-13"/>
        </w:rPr>
        <w:t> </w:t>
      </w:r>
      <w:r>
        <w:rPr/>
        <w:t>cities</w:t>
      </w:r>
      <w:r>
        <w:rPr>
          <w:spacing w:val="-13"/>
        </w:rPr>
        <w:t> </w:t>
      </w:r>
      <w:r>
        <w:rPr/>
        <w:t>and</w:t>
      </w:r>
      <w:r>
        <w:rPr>
          <w:spacing w:val="-13"/>
        </w:rPr>
        <w:t> </w:t>
      </w:r>
      <w:r>
        <w:rPr/>
        <w:t>its</w:t>
      </w:r>
      <w:r>
        <w:rPr>
          <w:spacing w:val="-13"/>
        </w:rPr>
        <w:t> </w:t>
      </w:r>
      <w:r>
        <w:rPr/>
        <w:t>components,</w:t>
      </w:r>
      <w:r>
        <w:rPr>
          <w:spacing w:val="-13"/>
        </w:rPr>
        <w:t> </w:t>
      </w:r>
      <w:r>
        <w:rPr/>
        <w:t>whereas there are not yet visible results. The aim of this work is to evaluate the environmental status in the Toluca Metropolitan Zone, regarding actions and mitigation policies in land use, water and air, as a response of the environmental degradation derived from urban expansion. In order to evaluate these mitigation policies and actions in such resources, we adapted the Pressure-State-Response framework to confirm that sustainable urban planning</w:t>
      </w:r>
      <w:r>
        <w:rPr>
          <w:spacing w:val="-7"/>
        </w:rPr>
        <w:t> </w:t>
      </w:r>
      <w:r>
        <w:rPr/>
        <w:t>is</w:t>
      </w:r>
      <w:r>
        <w:rPr>
          <w:spacing w:val="-7"/>
        </w:rPr>
        <w:t> </w:t>
      </w:r>
      <w:r>
        <w:rPr/>
        <w:t>still</w:t>
      </w:r>
      <w:r>
        <w:rPr>
          <w:spacing w:val="-7"/>
        </w:rPr>
        <w:t> </w:t>
      </w:r>
      <w:r>
        <w:rPr/>
        <w:t>an</w:t>
      </w:r>
      <w:r>
        <w:rPr>
          <w:spacing w:val="-7"/>
        </w:rPr>
        <w:t> </w:t>
      </w:r>
      <w:r>
        <w:rPr/>
        <w:t>emerging</w:t>
      </w:r>
      <w:r>
        <w:rPr>
          <w:spacing w:val="-7"/>
        </w:rPr>
        <w:t> </w:t>
      </w:r>
      <w:r>
        <w:rPr/>
        <w:t>concept.</w:t>
      </w:r>
      <w:r>
        <w:rPr>
          <w:spacing w:val="-7"/>
        </w:rPr>
        <w:t> </w:t>
      </w:r>
      <w:r>
        <w:rPr/>
        <w:t>Therefore,</w:t>
      </w:r>
      <w:r>
        <w:rPr>
          <w:spacing w:val="-7"/>
        </w:rPr>
        <w:t> </w:t>
      </w:r>
      <w:r>
        <w:rPr/>
        <w:t>it</w:t>
      </w:r>
      <w:r>
        <w:rPr>
          <w:spacing w:val="-7"/>
        </w:rPr>
        <w:t> </w:t>
      </w:r>
      <w:r>
        <w:rPr/>
        <w:t>is</w:t>
      </w:r>
      <w:r>
        <w:rPr>
          <w:spacing w:val="-7"/>
        </w:rPr>
        <w:t> </w:t>
      </w:r>
      <w:r>
        <w:rPr/>
        <w:t>needed</w:t>
      </w:r>
      <w:r>
        <w:rPr>
          <w:spacing w:val="-7"/>
        </w:rPr>
        <w:t> </w:t>
      </w:r>
      <w:r>
        <w:rPr/>
        <w:t>to</w:t>
      </w:r>
      <w:r>
        <w:rPr>
          <w:spacing w:val="-7"/>
        </w:rPr>
        <w:t> </w:t>
      </w:r>
      <w:r>
        <w:rPr/>
        <w:t>design</w:t>
      </w:r>
      <w:r>
        <w:rPr>
          <w:spacing w:val="-7"/>
        </w:rPr>
        <w:t> </w:t>
      </w:r>
      <w:r>
        <w:rPr/>
        <w:t>an</w:t>
      </w:r>
      <w:r>
        <w:rPr>
          <w:spacing w:val="-7"/>
        </w:rPr>
        <w:t> </w:t>
      </w:r>
      <w:r>
        <w:rPr/>
        <w:t>environmental metropolitan policy with its corresponding instrumentation and mitigation  </w:t>
      </w:r>
      <w:r>
        <w:rPr>
          <w:spacing w:val="34"/>
        </w:rPr>
        <w:t> </w:t>
      </w:r>
      <w:r>
        <w:rPr/>
        <w:t>goals.</w:t>
      </w:r>
    </w:p>
    <w:p>
      <w:pPr>
        <w:spacing w:after="0" w:line="249" w:lineRule="auto"/>
        <w:jc w:val="both"/>
        <w:sectPr>
          <w:type w:val="continuous"/>
          <w:pgSz w:w="18830" w:h="12760" w:orient="landscape"/>
          <w:pgMar w:top="1420" w:bottom="280" w:left="720" w:right="720"/>
          <w:cols w:num="2" w:equalWidth="0">
            <w:col w:w="7839" w:space="1575"/>
            <w:col w:w="7976"/>
          </w:cols>
        </w:sectPr>
      </w:pPr>
    </w:p>
    <w:p>
      <w:pPr>
        <w:pStyle w:val="BodyText"/>
        <w:spacing w:before="6"/>
        <w:rPr>
          <w:sz w:val="23"/>
        </w:rPr>
      </w:pPr>
    </w:p>
    <w:p>
      <w:pPr>
        <w:spacing w:after="0"/>
        <w:rPr>
          <w:sz w:val="23"/>
        </w:rPr>
        <w:sectPr>
          <w:footerReference w:type="default" r:id="rId438"/>
          <w:pgSz w:w="18830" w:h="12760" w:orient="landscape"/>
          <w:pgMar w:footer="1036" w:header="522" w:top="820" w:bottom="1220" w:left="720" w:right="720"/>
        </w:sectPr>
      </w:pPr>
    </w:p>
    <w:p>
      <w:pPr>
        <w:pStyle w:val="Heading3"/>
        <w:spacing w:before="76"/>
        <w:ind w:left="301" w:right="3"/>
      </w:pPr>
      <w:r>
        <w:rPr/>
        <w:t>Introducción</w:t>
      </w:r>
    </w:p>
    <w:p>
      <w:pPr>
        <w:pStyle w:val="BodyText"/>
        <w:spacing w:before="8"/>
        <w:rPr>
          <w:b/>
          <w:sz w:val="21"/>
        </w:rPr>
      </w:pPr>
    </w:p>
    <w:p>
      <w:pPr>
        <w:pStyle w:val="BodyText"/>
        <w:spacing w:line="249" w:lineRule="auto"/>
        <w:ind w:left="131" w:firstLine="170"/>
        <w:jc w:val="both"/>
      </w:pPr>
      <w:r>
        <w:rPr/>
        <w:t>Como respuesta al contexto actual de globalización y al surgimiento de nuevas formas de crecimiento de las ciudades, la visión de sustentabilidad es una opción mundial que integra los factores sociales, económicos y ambientales para un óptimo desarrollo</w:t>
      </w:r>
      <w:r>
        <w:rPr>
          <w:spacing w:val="33"/>
        </w:rPr>
        <w:t> </w:t>
      </w:r>
      <w:r>
        <w:rPr/>
        <w:t>urbano,</w:t>
      </w:r>
      <w:r>
        <w:rPr>
          <w:spacing w:val="33"/>
        </w:rPr>
        <w:t> </w:t>
      </w:r>
      <w:r>
        <w:rPr/>
        <w:t>buscando</w:t>
      </w:r>
      <w:r>
        <w:rPr>
          <w:spacing w:val="33"/>
        </w:rPr>
        <w:t> </w:t>
      </w:r>
      <w:r>
        <w:rPr/>
        <w:t>la</w:t>
      </w:r>
      <w:r>
        <w:rPr>
          <w:spacing w:val="33"/>
        </w:rPr>
        <w:t> </w:t>
      </w:r>
      <w:r>
        <w:rPr/>
        <w:t>disminución</w:t>
      </w:r>
      <w:r>
        <w:rPr>
          <w:spacing w:val="33"/>
        </w:rPr>
        <w:t> </w:t>
      </w:r>
      <w:r>
        <w:rPr/>
        <w:t>de</w:t>
      </w:r>
      <w:r>
        <w:rPr>
          <w:spacing w:val="33"/>
        </w:rPr>
        <w:t> </w:t>
      </w:r>
      <w:r>
        <w:rPr/>
        <w:t>los</w:t>
      </w:r>
      <w:r>
        <w:rPr>
          <w:spacing w:val="33"/>
        </w:rPr>
        <w:t> </w:t>
      </w:r>
      <w:r>
        <w:rPr/>
        <w:t>diversos</w:t>
      </w:r>
      <w:r>
        <w:rPr>
          <w:spacing w:val="33"/>
        </w:rPr>
        <w:t> </w:t>
      </w:r>
      <w:r>
        <w:rPr/>
        <w:t>impactos</w:t>
      </w:r>
      <w:r>
        <w:rPr>
          <w:spacing w:val="33"/>
        </w:rPr>
        <w:t> </w:t>
      </w:r>
      <w:r>
        <w:rPr/>
        <w:t>negativos.</w:t>
      </w:r>
      <w:r>
        <w:rPr>
          <w:spacing w:val="33"/>
        </w:rPr>
        <w:t> </w:t>
      </w:r>
      <w:r>
        <w:rPr/>
        <w:t>En</w:t>
      </w:r>
      <w:r>
        <w:rPr>
          <w:w w:val="95"/>
        </w:rPr>
        <w:t> </w:t>
      </w:r>
      <w:r>
        <w:rPr/>
        <w:t>el caso de México, se ha tratado de incorporar este concepto en los tres niveles de gobierno y ámbitos geográficos, no obstante, en el ámbito metropolitano, por falta de una</w:t>
      </w:r>
      <w:r>
        <w:rPr>
          <w:spacing w:val="-9"/>
        </w:rPr>
        <w:t> </w:t>
      </w:r>
      <w:r>
        <w:rPr/>
        <w:t>visión</w:t>
      </w:r>
      <w:r>
        <w:rPr>
          <w:spacing w:val="-9"/>
        </w:rPr>
        <w:t> </w:t>
      </w:r>
      <w:r>
        <w:rPr/>
        <w:t>integral</w:t>
      </w:r>
      <w:r>
        <w:rPr>
          <w:spacing w:val="-9"/>
        </w:rPr>
        <w:t> </w:t>
      </w:r>
      <w:r>
        <w:rPr/>
        <w:t>para</w:t>
      </w:r>
      <w:r>
        <w:rPr>
          <w:spacing w:val="-9"/>
        </w:rPr>
        <w:t> </w:t>
      </w:r>
      <w:r>
        <w:rPr/>
        <w:t>la</w:t>
      </w:r>
      <w:r>
        <w:rPr>
          <w:spacing w:val="-9"/>
        </w:rPr>
        <w:t> </w:t>
      </w:r>
      <w:r>
        <w:rPr/>
        <w:t>instrumentación</w:t>
      </w:r>
      <w:r>
        <w:rPr>
          <w:spacing w:val="-9"/>
        </w:rPr>
        <w:t> </w:t>
      </w:r>
      <w:r>
        <w:rPr/>
        <w:t>en</w:t>
      </w:r>
      <w:r>
        <w:rPr>
          <w:spacing w:val="-9"/>
        </w:rPr>
        <w:t> </w:t>
      </w:r>
      <w:r>
        <w:rPr/>
        <w:t>dicha</w:t>
      </w:r>
      <w:r>
        <w:rPr>
          <w:spacing w:val="-9"/>
        </w:rPr>
        <w:t> </w:t>
      </w:r>
      <w:r>
        <w:rPr/>
        <w:t>escala,</w:t>
      </w:r>
      <w:r>
        <w:rPr>
          <w:spacing w:val="-9"/>
        </w:rPr>
        <w:t> </w:t>
      </w:r>
      <w:r>
        <w:rPr/>
        <w:t>están</w:t>
      </w:r>
      <w:r>
        <w:rPr>
          <w:spacing w:val="-9"/>
        </w:rPr>
        <w:t> </w:t>
      </w:r>
      <w:r>
        <w:rPr/>
        <w:t>ausentes</w:t>
      </w:r>
      <w:r>
        <w:rPr>
          <w:spacing w:val="-9"/>
        </w:rPr>
        <w:t> </w:t>
      </w:r>
      <w:r>
        <w:rPr/>
        <w:t>las</w:t>
      </w:r>
      <w:r>
        <w:rPr>
          <w:spacing w:val="-9"/>
        </w:rPr>
        <w:t> </w:t>
      </w:r>
      <w:r>
        <w:rPr/>
        <w:t>acciones de sustentabilidad, tal es el caso de la Zona Metropolitana de Toluca</w:t>
      </w:r>
      <w:r>
        <w:rPr>
          <w:spacing w:val="30"/>
        </w:rPr>
        <w:t> </w:t>
      </w:r>
      <w:r>
        <w:rPr/>
        <w:t>(ZMT).</w:t>
      </w:r>
    </w:p>
    <w:p>
      <w:pPr>
        <w:pStyle w:val="BodyText"/>
        <w:spacing w:before="11"/>
      </w:pPr>
    </w:p>
    <w:p>
      <w:pPr>
        <w:pStyle w:val="BodyText"/>
        <w:spacing w:line="249" w:lineRule="auto"/>
        <w:ind w:left="130" w:right="1" w:firstLine="170"/>
        <w:jc w:val="both"/>
      </w:pPr>
      <w:r>
        <w:rPr/>
        <w:t>La</w:t>
      </w:r>
      <w:r>
        <w:rPr>
          <w:spacing w:val="-19"/>
        </w:rPr>
        <w:t> </w:t>
      </w:r>
      <w:r>
        <w:rPr/>
        <w:t>ZMT</w:t>
      </w:r>
      <w:r>
        <w:rPr>
          <w:spacing w:val="-19"/>
        </w:rPr>
        <w:t> </w:t>
      </w:r>
      <w:r>
        <w:rPr/>
        <w:t>es</w:t>
      </w:r>
      <w:r>
        <w:rPr>
          <w:spacing w:val="-19"/>
        </w:rPr>
        <w:t> </w:t>
      </w:r>
      <w:r>
        <w:rPr/>
        <w:t>una</w:t>
      </w:r>
      <w:r>
        <w:rPr>
          <w:spacing w:val="-19"/>
        </w:rPr>
        <w:t> </w:t>
      </w:r>
      <w:r>
        <w:rPr/>
        <w:t>de</w:t>
      </w:r>
      <w:r>
        <w:rPr>
          <w:spacing w:val="-19"/>
        </w:rPr>
        <w:t> </w:t>
      </w:r>
      <w:r>
        <w:rPr/>
        <w:t>las</w:t>
      </w:r>
      <w:r>
        <w:rPr>
          <w:spacing w:val="-19"/>
        </w:rPr>
        <w:t> </w:t>
      </w:r>
      <w:r>
        <w:rPr/>
        <w:t>ciudades</w:t>
      </w:r>
      <w:r>
        <w:rPr>
          <w:spacing w:val="-19"/>
        </w:rPr>
        <w:t> </w:t>
      </w:r>
      <w:r>
        <w:rPr/>
        <w:t>de</w:t>
      </w:r>
      <w:r>
        <w:rPr>
          <w:spacing w:val="-19"/>
        </w:rPr>
        <w:t> </w:t>
      </w:r>
      <w:r>
        <w:rPr/>
        <w:t>mayor</w:t>
      </w:r>
      <w:r>
        <w:rPr>
          <w:spacing w:val="-19"/>
        </w:rPr>
        <w:t> </w:t>
      </w:r>
      <w:r>
        <w:rPr/>
        <w:t>crecimiento</w:t>
      </w:r>
      <w:r>
        <w:rPr>
          <w:spacing w:val="-19"/>
        </w:rPr>
        <w:t> </w:t>
      </w:r>
      <w:r>
        <w:rPr/>
        <w:t>en</w:t>
      </w:r>
      <w:r>
        <w:rPr>
          <w:spacing w:val="-19"/>
        </w:rPr>
        <w:t> </w:t>
      </w:r>
      <w:r>
        <w:rPr/>
        <w:t>las</w:t>
      </w:r>
      <w:r>
        <w:rPr>
          <w:spacing w:val="-19"/>
        </w:rPr>
        <w:t> </w:t>
      </w:r>
      <w:r>
        <w:rPr/>
        <w:t>últimas</w:t>
      </w:r>
      <w:r>
        <w:rPr>
          <w:spacing w:val="-19"/>
        </w:rPr>
        <w:t> </w:t>
      </w:r>
      <w:r>
        <w:rPr/>
        <w:t>décadas</w:t>
      </w:r>
      <w:r>
        <w:rPr>
          <w:spacing w:val="-19"/>
        </w:rPr>
        <w:t> </w:t>
      </w:r>
      <w:r>
        <w:rPr/>
        <w:t>en</w:t>
      </w:r>
      <w:r>
        <w:rPr>
          <w:spacing w:val="-19"/>
        </w:rPr>
        <w:t> </w:t>
      </w:r>
      <w:r>
        <w:rPr>
          <w:spacing w:val="-2"/>
        </w:rPr>
        <w:t>México </w:t>
      </w:r>
      <w:r>
        <w:rPr/>
        <w:t>aunque</w:t>
      </w:r>
      <w:r>
        <w:rPr>
          <w:spacing w:val="-6"/>
        </w:rPr>
        <w:t> </w:t>
      </w:r>
      <w:r>
        <w:rPr/>
        <w:t>el</w:t>
      </w:r>
      <w:r>
        <w:rPr>
          <w:spacing w:val="-6"/>
        </w:rPr>
        <w:t> </w:t>
      </w:r>
      <w:r>
        <w:rPr/>
        <w:t>proceso</w:t>
      </w:r>
      <w:r>
        <w:rPr>
          <w:spacing w:val="-6"/>
        </w:rPr>
        <w:t> </w:t>
      </w:r>
      <w:r>
        <w:rPr/>
        <w:t>metropolitano</w:t>
      </w:r>
      <w:r>
        <w:rPr>
          <w:spacing w:val="-6"/>
        </w:rPr>
        <w:t> </w:t>
      </w:r>
      <w:r>
        <w:rPr/>
        <w:t>inicia</w:t>
      </w:r>
      <w:r>
        <w:rPr>
          <w:spacing w:val="-6"/>
        </w:rPr>
        <w:t> </w:t>
      </w:r>
      <w:r>
        <w:rPr/>
        <w:t>en</w:t>
      </w:r>
      <w:r>
        <w:rPr>
          <w:spacing w:val="-6"/>
        </w:rPr>
        <w:t> </w:t>
      </w:r>
      <w:r>
        <w:rPr/>
        <w:t>los</w:t>
      </w:r>
      <w:r>
        <w:rPr>
          <w:spacing w:val="-6"/>
        </w:rPr>
        <w:t> </w:t>
      </w:r>
      <w:r>
        <w:rPr/>
        <w:t>años</w:t>
      </w:r>
      <w:r>
        <w:rPr>
          <w:spacing w:val="-6"/>
        </w:rPr>
        <w:t> </w:t>
      </w:r>
      <w:r>
        <w:rPr/>
        <w:t>setenta,</w:t>
      </w:r>
      <w:r>
        <w:rPr>
          <w:spacing w:val="-6"/>
        </w:rPr>
        <w:t> </w:t>
      </w:r>
      <w:r>
        <w:rPr/>
        <w:t>el</w:t>
      </w:r>
      <w:r>
        <w:rPr>
          <w:spacing w:val="-6"/>
        </w:rPr>
        <w:t> </w:t>
      </w:r>
      <w:r>
        <w:rPr/>
        <w:t>crecimiento</w:t>
      </w:r>
      <w:r>
        <w:rPr>
          <w:spacing w:val="-6"/>
        </w:rPr>
        <w:t> </w:t>
      </w:r>
      <w:r>
        <w:rPr/>
        <w:t>físico</w:t>
      </w:r>
      <w:r>
        <w:rPr>
          <w:spacing w:val="-6"/>
        </w:rPr>
        <w:t> </w:t>
      </w:r>
      <w:r>
        <w:rPr>
          <w:spacing w:val="-2"/>
        </w:rPr>
        <w:t>avanzó </w:t>
      </w:r>
      <w:r>
        <w:rPr/>
        <w:t>con la integración de localidades de los municipios vecinos sobre el suelo del entorno. En</w:t>
      </w:r>
      <w:r>
        <w:rPr>
          <w:spacing w:val="-17"/>
        </w:rPr>
        <w:t> </w:t>
      </w:r>
      <w:r>
        <w:rPr/>
        <w:t>1993,</w:t>
      </w:r>
      <w:r>
        <w:rPr>
          <w:spacing w:val="-17"/>
        </w:rPr>
        <w:t> </w:t>
      </w:r>
      <w:r>
        <w:rPr/>
        <w:t>son</w:t>
      </w:r>
      <w:r>
        <w:rPr>
          <w:spacing w:val="-17"/>
        </w:rPr>
        <w:t> </w:t>
      </w:r>
      <w:r>
        <w:rPr/>
        <w:t>nueve</w:t>
      </w:r>
      <w:r>
        <w:rPr>
          <w:spacing w:val="-17"/>
        </w:rPr>
        <w:t> </w:t>
      </w:r>
      <w:r>
        <w:rPr/>
        <w:t>los</w:t>
      </w:r>
      <w:r>
        <w:rPr>
          <w:spacing w:val="-17"/>
        </w:rPr>
        <w:t> </w:t>
      </w:r>
      <w:r>
        <w:rPr/>
        <w:t>municipios</w:t>
      </w:r>
      <w:r>
        <w:rPr>
          <w:spacing w:val="-17"/>
        </w:rPr>
        <w:t> </w:t>
      </w:r>
      <w:r>
        <w:rPr/>
        <w:t>metropolitanos</w:t>
      </w:r>
      <w:r>
        <w:rPr>
          <w:spacing w:val="-17"/>
        </w:rPr>
        <w:t> </w:t>
      </w:r>
      <w:r>
        <w:rPr/>
        <w:t>y</w:t>
      </w:r>
      <w:r>
        <w:rPr>
          <w:spacing w:val="-17"/>
        </w:rPr>
        <w:t> </w:t>
      </w:r>
      <w:r>
        <w:rPr/>
        <w:t>asciende</w:t>
      </w:r>
      <w:r>
        <w:rPr>
          <w:spacing w:val="-17"/>
        </w:rPr>
        <w:t> </w:t>
      </w:r>
      <w:r>
        <w:rPr/>
        <w:t>a</w:t>
      </w:r>
      <w:r>
        <w:rPr>
          <w:spacing w:val="-17"/>
        </w:rPr>
        <w:t> </w:t>
      </w:r>
      <w:r>
        <w:rPr/>
        <w:t>veintidós</w:t>
      </w:r>
      <w:r>
        <w:rPr>
          <w:spacing w:val="-17"/>
        </w:rPr>
        <w:t> </w:t>
      </w:r>
      <w:r>
        <w:rPr/>
        <w:t>en</w:t>
      </w:r>
      <w:r>
        <w:rPr>
          <w:spacing w:val="-17"/>
        </w:rPr>
        <w:t> </w:t>
      </w:r>
      <w:r>
        <w:rPr/>
        <w:t>2000,</w:t>
      </w:r>
      <w:r>
        <w:rPr>
          <w:spacing w:val="-17"/>
        </w:rPr>
        <w:t> </w:t>
      </w:r>
      <w:r>
        <w:rPr/>
        <w:t>posee 2,170</w:t>
      </w:r>
      <w:r>
        <w:rPr>
          <w:spacing w:val="-7"/>
        </w:rPr>
        <w:t> </w:t>
      </w:r>
      <w:r>
        <w:rPr/>
        <w:t>mil</w:t>
      </w:r>
      <w:r>
        <w:rPr>
          <w:spacing w:val="-7"/>
        </w:rPr>
        <w:t> </w:t>
      </w:r>
      <w:r>
        <w:rPr/>
        <w:t>habitantes</w:t>
      </w:r>
      <w:r>
        <w:rPr>
          <w:spacing w:val="-7"/>
        </w:rPr>
        <w:t> </w:t>
      </w:r>
      <w:r>
        <w:rPr/>
        <w:t>en</w:t>
      </w:r>
      <w:r>
        <w:rPr>
          <w:spacing w:val="-7"/>
        </w:rPr>
        <w:t> </w:t>
      </w:r>
      <w:r>
        <w:rPr/>
        <w:t>2010,</w:t>
      </w:r>
      <w:r>
        <w:rPr>
          <w:spacing w:val="-7"/>
        </w:rPr>
        <w:t> </w:t>
      </w:r>
      <w:r>
        <w:rPr/>
        <w:t>se</w:t>
      </w:r>
      <w:r>
        <w:rPr>
          <w:spacing w:val="-7"/>
        </w:rPr>
        <w:t> </w:t>
      </w:r>
      <w:r>
        <w:rPr/>
        <w:t>emplaza</w:t>
      </w:r>
      <w:r>
        <w:rPr>
          <w:spacing w:val="-7"/>
        </w:rPr>
        <w:t> </w:t>
      </w:r>
      <w:r>
        <w:rPr/>
        <w:t>sobre</w:t>
      </w:r>
      <w:r>
        <w:rPr>
          <w:spacing w:val="-7"/>
        </w:rPr>
        <w:t> </w:t>
      </w:r>
      <w:r>
        <w:rPr/>
        <w:t>una</w:t>
      </w:r>
      <w:r>
        <w:rPr>
          <w:spacing w:val="-7"/>
        </w:rPr>
        <w:t> </w:t>
      </w:r>
      <w:r>
        <w:rPr/>
        <w:t>extensión</w:t>
      </w:r>
      <w:r>
        <w:rPr>
          <w:spacing w:val="-7"/>
        </w:rPr>
        <w:t> </w:t>
      </w:r>
      <w:r>
        <w:rPr/>
        <w:t>de</w:t>
      </w:r>
      <w:r>
        <w:rPr>
          <w:spacing w:val="-7"/>
        </w:rPr>
        <w:t> </w:t>
      </w:r>
      <w:r>
        <w:rPr/>
        <w:t>2,669</w:t>
      </w:r>
      <w:r>
        <w:rPr>
          <w:spacing w:val="-7"/>
        </w:rPr>
        <w:t> </w:t>
      </w:r>
      <w:r>
        <w:rPr/>
        <w:t>km</w:t>
      </w:r>
      <w:r>
        <w:rPr>
          <w:position w:val="7"/>
          <w:sz w:val="11"/>
        </w:rPr>
        <w:t>2</w:t>
      </w:r>
      <w:r>
        <w:rPr>
          <w:spacing w:val="18"/>
          <w:position w:val="7"/>
          <w:sz w:val="11"/>
        </w:rPr>
        <w:t> </w:t>
      </w:r>
      <w:r>
        <w:rPr/>
        <w:t>y</w:t>
      </w:r>
      <w:r>
        <w:rPr>
          <w:spacing w:val="-7"/>
        </w:rPr>
        <w:t> </w:t>
      </w:r>
      <w:r>
        <w:rPr/>
        <w:t>densidad de</w:t>
      </w:r>
      <w:r>
        <w:rPr>
          <w:spacing w:val="-25"/>
        </w:rPr>
        <w:t> </w:t>
      </w:r>
      <w:r>
        <w:rPr/>
        <w:t>813.80</w:t>
      </w:r>
      <w:r>
        <w:rPr>
          <w:spacing w:val="-25"/>
        </w:rPr>
        <w:t> </w:t>
      </w:r>
      <w:r>
        <w:rPr/>
        <w:t>hab./km</w:t>
      </w:r>
      <w:r>
        <w:rPr>
          <w:position w:val="7"/>
          <w:sz w:val="11"/>
        </w:rPr>
        <w:t>2</w:t>
      </w:r>
      <w:r>
        <w:rPr>
          <w:spacing w:val="-13"/>
          <w:position w:val="7"/>
          <w:sz w:val="11"/>
        </w:rPr>
        <w:t> </w:t>
      </w:r>
      <w:r>
        <w:rPr/>
        <w:t>(PRDUVT</w:t>
      </w:r>
      <w:r>
        <w:rPr>
          <w:spacing w:val="-25"/>
        </w:rPr>
        <w:t> </w:t>
      </w:r>
      <w:r>
        <w:rPr/>
        <w:t>2005).</w:t>
      </w:r>
      <w:r>
        <w:rPr>
          <w:spacing w:val="-25"/>
        </w:rPr>
        <w:t> </w:t>
      </w:r>
      <w:r>
        <w:rPr/>
        <w:t>La</w:t>
      </w:r>
      <w:r>
        <w:rPr>
          <w:spacing w:val="-25"/>
        </w:rPr>
        <w:t> </w:t>
      </w:r>
      <w:r>
        <w:rPr/>
        <w:t>ZMT</w:t>
      </w:r>
      <w:r>
        <w:rPr>
          <w:spacing w:val="-25"/>
        </w:rPr>
        <w:t> </w:t>
      </w:r>
      <w:r>
        <w:rPr/>
        <w:t>experimentó</w:t>
      </w:r>
      <w:r>
        <w:rPr>
          <w:spacing w:val="-25"/>
        </w:rPr>
        <w:t> </w:t>
      </w:r>
      <w:r>
        <w:rPr/>
        <w:t>crecimiento</w:t>
      </w:r>
      <w:r>
        <w:rPr>
          <w:spacing w:val="-25"/>
        </w:rPr>
        <w:t> </w:t>
      </w:r>
      <w:r>
        <w:rPr/>
        <w:t>sociodemográfico, aumento</w:t>
      </w:r>
      <w:r>
        <w:rPr>
          <w:spacing w:val="-7"/>
        </w:rPr>
        <w:t> </w:t>
      </w:r>
      <w:r>
        <w:rPr/>
        <w:t>de</w:t>
      </w:r>
      <w:r>
        <w:rPr>
          <w:spacing w:val="-7"/>
        </w:rPr>
        <w:t> </w:t>
      </w:r>
      <w:r>
        <w:rPr/>
        <w:t>actividad</w:t>
      </w:r>
      <w:r>
        <w:rPr>
          <w:spacing w:val="-7"/>
        </w:rPr>
        <w:t> </w:t>
      </w:r>
      <w:r>
        <w:rPr/>
        <w:t>económica</w:t>
      </w:r>
      <w:r>
        <w:rPr>
          <w:spacing w:val="-7"/>
        </w:rPr>
        <w:t> </w:t>
      </w:r>
      <w:r>
        <w:rPr/>
        <w:t>y</w:t>
      </w:r>
      <w:r>
        <w:rPr>
          <w:spacing w:val="-7"/>
        </w:rPr>
        <w:t> </w:t>
      </w:r>
      <w:r>
        <w:rPr/>
        <w:t>consiguiente</w:t>
      </w:r>
      <w:r>
        <w:rPr>
          <w:spacing w:val="-7"/>
        </w:rPr>
        <w:t> </w:t>
      </w:r>
      <w:r>
        <w:rPr/>
        <w:t>expansión</w:t>
      </w:r>
      <w:r>
        <w:rPr>
          <w:spacing w:val="-7"/>
        </w:rPr>
        <w:t> </w:t>
      </w:r>
      <w:r>
        <w:rPr/>
        <w:t>urbana.</w:t>
      </w:r>
      <w:r>
        <w:rPr>
          <w:spacing w:val="-7"/>
        </w:rPr>
        <w:t> </w:t>
      </w:r>
      <w:r>
        <w:rPr/>
        <w:t>Ésta</w:t>
      </w:r>
      <w:r>
        <w:rPr>
          <w:spacing w:val="-7"/>
        </w:rPr>
        <w:t> </w:t>
      </w:r>
      <w:r>
        <w:rPr/>
        <w:t>crece</w:t>
      </w:r>
      <w:r>
        <w:rPr>
          <w:spacing w:val="-7"/>
        </w:rPr>
        <w:t> </w:t>
      </w:r>
      <w:r>
        <w:rPr/>
        <w:t>con</w:t>
      </w:r>
      <w:r>
        <w:rPr>
          <w:spacing w:val="-7"/>
        </w:rPr>
        <w:t> </w:t>
      </w:r>
      <w:r>
        <w:rPr/>
        <w:t>falta de</w:t>
      </w:r>
      <w:r>
        <w:rPr>
          <w:spacing w:val="-9"/>
        </w:rPr>
        <w:t> </w:t>
      </w:r>
      <w:r>
        <w:rPr/>
        <w:t>respuestas</w:t>
      </w:r>
      <w:r>
        <w:rPr>
          <w:spacing w:val="-9"/>
        </w:rPr>
        <w:t> </w:t>
      </w:r>
      <w:r>
        <w:rPr/>
        <w:t>adecuadas</w:t>
      </w:r>
      <w:r>
        <w:rPr>
          <w:spacing w:val="-9"/>
        </w:rPr>
        <w:t> </w:t>
      </w:r>
      <w:r>
        <w:rPr/>
        <w:t>y</w:t>
      </w:r>
      <w:r>
        <w:rPr>
          <w:spacing w:val="-9"/>
        </w:rPr>
        <w:t> </w:t>
      </w:r>
      <w:r>
        <w:rPr/>
        <w:t>a</w:t>
      </w:r>
      <w:r>
        <w:rPr>
          <w:spacing w:val="-9"/>
        </w:rPr>
        <w:t> </w:t>
      </w:r>
      <w:r>
        <w:rPr/>
        <w:t>tiempo,</w:t>
      </w:r>
      <w:r>
        <w:rPr>
          <w:spacing w:val="-9"/>
        </w:rPr>
        <w:t> </w:t>
      </w:r>
      <w:r>
        <w:rPr/>
        <w:t>de</w:t>
      </w:r>
      <w:r>
        <w:rPr>
          <w:spacing w:val="-9"/>
        </w:rPr>
        <w:t> </w:t>
      </w:r>
      <w:r>
        <w:rPr/>
        <w:t>parte</w:t>
      </w:r>
      <w:r>
        <w:rPr>
          <w:spacing w:val="-9"/>
        </w:rPr>
        <w:t> </w:t>
      </w:r>
      <w:r>
        <w:rPr/>
        <w:t>de</w:t>
      </w:r>
      <w:r>
        <w:rPr>
          <w:spacing w:val="-9"/>
        </w:rPr>
        <w:t> </w:t>
      </w:r>
      <w:r>
        <w:rPr/>
        <w:t>las</w:t>
      </w:r>
      <w:r>
        <w:rPr>
          <w:spacing w:val="-9"/>
        </w:rPr>
        <w:t> </w:t>
      </w:r>
      <w:r>
        <w:rPr/>
        <w:t>políticas</w:t>
      </w:r>
      <w:r>
        <w:rPr>
          <w:spacing w:val="-9"/>
        </w:rPr>
        <w:t> </w:t>
      </w:r>
      <w:r>
        <w:rPr/>
        <w:t>urbanas</w:t>
      </w:r>
      <w:r>
        <w:rPr>
          <w:spacing w:val="-9"/>
        </w:rPr>
        <w:t> </w:t>
      </w:r>
      <w:r>
        <w:rPr/>
        <w:t>y</w:t>
      </w:r>
      <w:r>
        <w:rPr>
          <w:spacing w:val="-9"/>
        </w:rPr>
        <w:t> </w:t>
      </w:r>
      <w:r>
        <w:rPr/>
        <w:t>ambientales,</w:t>
      </w:r>
      <w:r>
        <w:rPr>
          <w:spacing w:val="-9"/>
        </w:rPr>
        <w:t> </w:t>
      </w:r>
      <w:r>
        <w:rPr/>
        <w:t>lo cual propició alta complejidad en los efectos negativos en el cambio del uso de </w:t>
      </w:r>
      <w:r>
        <w:rPr>
          <w:spacing w:val="-2"/>
        </w:rPr>
        <w:t>suelo, </w:t>
      </w:r>
      <w:r>
        <w:rPr/>
        <w:t>presión</w:t>
      </w:r>
      <w:r>
        <w:rPr>
          <w:spacing w:val="-9"/>
        </w:rPr>
        <w:t> </w:t>
      </w:r>
      <w:r>
        <w:rPr/>
        <w:t>y</w:t>
      </w:r>
      <w:r>
        <w:rPr>
          <w:spacing w:val="-9"/>
        </w:rPr>
        <w:t> </w:t>
      </w:r>
      <w:r>
        <w:rPr/>
        <w:t>escasez</w:t>
      </w:r>
      <w:r>
        <w:rPr>
          <w:spacing w:val="-9"/>
        </w:rPr>
        <w:t> </w:t>
      </w:r>
      <w:r>
        <w:rPr/>
        <w:t>de</w:t>
      </w:r>
      <w:r>
        <w:rPr>
          <w:spacing w:val="-9"/>
        </w:rPr>
        <w:t> </w:t>
      </w:r>
      <w:r>
        <w:rPr/>
        <w:t>agua,</w:t>
      </w:r>
      <w:r>
        <w:rPr>
          <w:spacing w:val="-9"/>
        </w:rPr>
        <w:t> </w:t>
      </w:r>
      <w:r>
        <w:rPr/>
        <w:t>y</w:t>
      </w:r>
      <w:r>
        <w:rPr>
          <w:spacing w:val="-9"/>
        </w:rPr>
        <w:t> </w:t>
      </w:r>
      <w:r>
        <w:rPr/>
        <w:t>contaminación</w:t>
      </w:r>
      <w:r>
        <w:rPr>
          <w:spacing w:val="-9"/>
        </w:rPr>
        <w:t> </w:t>
      </w:r>
      <w:r>
        <w:rPr/>
        <w:t>del</w:t>
      </w:r>
      <w:r>
        <w:rPr>
          <w:spacing w:val="-9"/>
        </w:rPr>
        <w:t> </w:t>
      </w:r>
      <w:r>
        <w:rPr/>
        <w:t>aire,</w:t>
      </w:r>
      <w:r>
        <w:rPr>
          <w:spacing w:val="-9"/>
        </w:rPr>
        <w:t> </w:t>
      </w:r>
      <w:r>
        <w:rPr/>
        <w:t>entre</w:t>
      </w:r>
      <w:r>
        <w:rPr>
          <w:spacing w:val="-9"/>
        </w:rPr>
        <w:t> </w:t>
      </w:r>
      <w:r>
        <w:rPr>
          <w:spacing w:val="-2"/>
        </w:rPr>
        <w:t>otros.</w:t>
      </w:r>
    </w:p>
    <w:p>
      <w:pPr>
        <w:pStyle w:val="BodyText"/>
        <w:spacing w:before="11"/>
      </w:pPr>
    </w:p>
    <w:p>
      <w:pPr>
        <w:pStyle w:val="BodyText"/>
        <w:spacing w:line="249" w:lineRule="auto"/>
        <w:ind w:left="130" w:firstLine="170"/>
        <w:jc w:val="both"/>
      </w:pPr>
      <w:r>
        <w:rPr/>
        <w:t>En tal situación, se indaga el estado de comprensión y atención. Por un lado, en      la revisión de la literatura de la situación ambiental metropolitana, se encuentra que son escasas las investigaciones sistemáticas que evalúen de forma cuantitativa la situación</w:t>
      </w:r>
      <w:r>
        <w:rPr>
          <w:spacing w:val="-8"/>
        </w:rPr>
        <w:t> </w:t>
      </w:r>
      <w:r>
        <w:rPr/>
        <w:t>del</w:t>
      </w:r>
      <w:r>
        <w:rPr>
          <w:spacing w:val="-8"/>
        </w:rPr>
        <w:t> </w:t>
      </w:r>
      <w:r>
        <w:rPr/>
        <w:t>suelo,</w:t>
      </w:r>
      <w:r>
        <w:rPr>
          <w:spacing w:val="-8"/>
        </w:rPr>
        <w:t> </w:t>
      </w:r>
      <w:r>
        <w:rPr/>
        <w:t>el</w:t>
      </w:r>
      <w:r>
        <w:rPr>
          <w:spacing w:val="-8"/>
        </w:rPr>
        <w:t> </w:t>
      </w:r>
      <w:r>
        <w:rPr/>
        <w:t>agua</w:t>
      </w:r>
      <w:r>
        <w:rPr>
          <w:spacing w:val="-8"/>
        </w:rPr>
        <w:t> </w:t>
      </w:r>
      <w:r>
        <w:rPr/>
        <w:t>y</w:t>
      </w:r>
      <w:r>
        <w:rPr>
          <w:spacing w:val="-8"/>
        </w:rPr>
        <w:t> </w:t>
      </w:r>
      <w:r>
        <w:rPr/>
        <w:t>el</w:t>
      </w:r>
      <w:r>
        <w:rPr>
          <w:spacing w:val="-8"/>
        </w:rPr>
        <w:t> </w:t>
      </w:r>
      <w:r>
        <w:rPr/>
        <w:t>aire.</w:t>
      </w:r>
      <w:r>
        <w:rPr>
          <w:spacing w:val="-8"/>
        </w:rPr>
        <w:t> </w:t>
      </w:r>
      <w:r>
        <w:rPr/>
        <w:t>Por</w:t>
      </w:r>
      <w:r>
        <w:rPr>
          <w:spacing w:val="-8"/>
        </w:rPr>
        <w:t> </w:t>
      </w:r>
      <w:r>
        <w:rPr/>
        <w:t>otro</w:t>
      </w:r>
      <w:r>
        <w:rPr>
          <w:spacing w:val="-8"/>
        </w:rPr>
        <w:t> </w:t>
      </w:r>
      <w:r>
        <w:rPr/>
        <w:t>lado,</w:t>
      </w:r>
      <w:r>
        <w:rPr>
          <w:spacing w:val="-8"/>
        </w:rPr>
        <w:t> </w:t>
      </w:r>
      <w:r>
        <w:rPr/>
        <w:t>en</w:t>
      </w:r>
      <w:r>
        <w:rPr>
          <w:spacing w:val="-8"/>
        </w:rPr>
        <w:t> </w:t>
      </w:r>
      <w:r>
        <w:rPr/>
        <w:t>relación</w:t>
      </w:r>
      <w:r>
        <w:rPr>
          <w:spacing w:val="-8"/>
        </w:rPr>
        <w:t> </w:t>
      </w:r>
      <w:r>
        <w:rPr/>
        <w:t>a</w:t>
      </w:r>
      <w:r>
        <w:rPr>
          <w:spacing w:val="-8"/>
        </w:rPr>
        <w:t> </w:t>
      </w:r>
      <w:r>
        <w:rPr/>
        <w:t>la</w:t>
      </w:r>
      <w:r>
        <w:rPr>
          <w:spacing w:val="-8"/>
        </w:rPr>
        <w:t> </w:t>
      </w:r>
      <w:r>
        <w:rPr/>
        <w:t>respuesta</w:t>
      </w:r>
      <w:r>
        <w:rPr>
          <w:spacing w:val="-8"/>
        </w:rPr>
        <w:t> </w:t>
      </w:r>
      <w:r>
        <w:rPr/>
        <w:t>y</w:t>
      </w:r>
      <w:r>
        <w:rPr>
          <w:spacing w:val="-8"/>
        </w:rPr>
        <w:t> </w:t>
      </w:r>
      <w:r>
        <w:rPr/>
        <w:t>acciones sobre el deterioro ambiental, se revisan los documentos de las instituciones públicas para la escala metropolitana, a los cuales se les revisa con la siguiente pregunta de investigación: ¿existe sustentabilidad en la Zona Metropolitana de</w:t>
      </w:r>
      <w:r>
        <w:rPr>
          <w:spacing w:val="52"/>
        </w:rPr>
        <w:t> </w:t>
      </w:r>
      <w:r>
        <w:rPr/>
        <w:t>Toluca?</w:t>
      </w:r>
    </w:p>
    <w:p>
      <w:pPr>
        <w:pStyle w:val="BodyText"/>
        <w:spacing w:before="11"/>
      </w:pPr>
    </w:p>
    <w:p>
      <w:pPr>
        <w:pStyle w:val="BodyText"/>
        <w:spacing w:line="249" w:lineRule="auto"/>
        <w:ind w:left="130" w:firstLine="170"/>
        <w:jc w:val="both"/>
      </w:pPr>
      <w:r>
        <w:rPr/>
        <w:t>Para responder a la pregunta, se utilizó el modelo Presión-Estado-Respuesta (PER); la metodología básica PER ha sido validada por su aplicación en los distintos países miembros de la Organización de Cooperación de Desarrollo Económico (OCDE), para el seguimiento de los procesos de deterioro y conservación ambiental (Azqueta,</w:t>
      </w:r>
      <w:r>
        <w:rPr>
          <w:spacing w:val="-15"/>
        </w:rPr>
        <w:t> </w:t>
      </w:r>
      <w:r>
        <w:rPr/>
        <w:t>2007). Otros ejemplos de aplicación del modelo en ciudades y mega ciudades del mundo  para</w:t>
      </w:r>
      <w:r>
        <w:rPr>
          <w:spacing w:val="-10"/>
        </w:rPr>
        <w:t> </w:t>
      </w:r>
      <w:r>
        <w:rPr/>
        <w:t>evaluar</w:t>
      </w:r>
      <w:r>
        <w:rPr>
          <w:spacing w:val="-10"/>
        </w:rPr>
        <w:t> </w:t>
      </w:r>
      <w:r>
        <w:rPr/>
        <w:t>el</w:t>
      </w:r>
      <w:r>
        <w:rPr>
          <w:spacing w:val="-10"/>
        </w:rPr>
        <w:t> </w:t>
      </w:r>
      <w:r>
        <w:rPr/>
        <w:t>impacto</w:t>
      </w:r>
      <w:r>
        <w:rPr>
          <w:spacing w:val="-10"/>
        </w:rPr>
        <w:t> </w:t>
      </w:r>
      <w:r>
        <w:rPr/>
        <w:t>ambiental,</w:t>
      </w:r>
      <w:r>
        <w:rPr>
          <w:spacing w:val="-10"/>
        </w:rPr>
        <w:t> </w:t>
      </w:r>
      <w:r>
        <w:rPr/>
        <w:t>son</w:t>
      </w:r>
      <w:r>
        <w:rPr>
          <w:spacing w:val="-10"/>
        </w:rPr>
        <w:t> </w:t>
      </w:r>
      <w:r>
        <w:rPr/>
        <w:t>los</w:t>
      </w:r>
      <w:r>
        <w:rPr>
          <w:spacing w:val="-10"/>
        </w:rPr>
        <w:t> </w:t>
      </w:r>
      <w:r>
        <w:rPr/>
        <w:t>de</w:t>
      </w:r>
      <w:r>
        <w:rPr>
          <w:spacing w:val="-10"/>
        </w:rPr>
        <w:t> </w:t>
      </w:r>
      <w:r>
        <w:rPr/>
        <w:t>Bianet,</w:t>
      </w:r>
      <w:r>
        <w:rPr>
          <w:spacing w:val="-10"/>
        </w:rPr>
        <w:t> </w:t>
      </w:r>
      <w:r>
        <w:rPr>
          <w:i/>
        </w:rPr>
        <w:t>et.</w:t>
      </w:r>
      <w:r>
        <w:rPr>
          <w:i/>
          <w:spacing w:val="-10"/>
        </w:rPr>
        <w:t> </w:t>
      </w:r>
      <w:r>
        <w:rPr>
          <w:i/>
        </w:rPr>
        <w:t>al.</w:t>
      </w:r>
      <w:r>
        <w:rPr>
          <w:i/>
          <w:spacing w:val="-10"/>
        </w:rPr>
        <w:t> </w:t>
      </w:r>
      <w:r>
        <w:rPr/>
        <w:t>(2010)</w:t>
      </w:r>
      <w:r>
        <w:rPr>
          <w:spacing w:val="-10"/>
        </w:rPr>
        <w:t> </w:t>
      </w:r>
      <w:r>
        <w:rPr/>
        <w:t>y</w:t>
      </w:r>
      <w:r>
        <w:rPr>
          <w:spacing w:val="-10"/>
        </w:rPr>
        <w:t> </w:t>
      </w:r>
      <w:r>
        <w:rPr/>
        <w:t>Wang,</w:t>
      </w:r>
      <w:r>
        <w:rPr>
          <w:spacing w:val="-10"/>
        </w:rPr>
        <w:t> </w:t>
      </w:r>
      <w:r>
        <w:rPr>
          <w:i/>
        </w:rPr>
        <w:t>et.</w:t>
      </w:r>
      <w:r>
        <w:rPr>
          <w:i/>
          <w:spacing w:val="-10"/>
        </w:rPr>
        <w:t> </w:t>
      </w:r>
      <w:r>
        <w:rPr>
          <w:i/>
        </w:rPr>
        <w:t>al.</w:t>
      </w:r>
      <w:r>
        <w:rPr>
          <w:i/>
          <w:spacing w:val="-10"/>
        </w:rPr>
        <w:t> </w:t>
      </w:r>
      <w:r>
        <w:rPr/>
        <w:t>(2013) en ciudades asiáticas, Sekovski, </w:t>
      </w:r>
      <w:r>
        <w:rPr>
          <w:i/>
        </w:rPr>
        <w:t>et. al. </w:t>
      </w:r>
      <w:r>
        <w:rPr/>
        <w:t>(2012) en mega ciudades de zonas costeras, y Perevochtchikova (2013) en México. Para fines de este trabajo, y dada la</w:t>
      </w:r>
      <w:r>
        <w:rPr>
          <w:spacing w:val="-36"/>
        </w:rPr>
        <w:t> </w:t>
      </w:r>
      <w:r>
        <w:rPr/>
        <w:t>adaptabilidad y</w:t>
      </w:r>
      <w:r>
        <w:rPr>
          <w:spacing w:val="-11"/>
        </w:rPr>
        <w:t> </w:t>
      </w:r>
      <w:r>
        <w:rPr/>
        <w:t>flexibilidad</w:t>
      </w:r>
      <w:r>
        <w:rPr>
          <w:spacing w:val="-11"/>
        </w:rPr>
        <w:t> </w:t>
      </w:r>
      <w:r>
        <w:rPr/>
        <w:t>del</w:t>
      </w:r>
      <w:r>
        <w:rPr>
          <w:spacing w:val="-11"/>
        </w:rPr>
        <w:t> </w:t>
      </w:r>
      <w:r>
        <w:rPr/>
        <w:t>modelo,</w:t>
      </w:r>
      <w:r>
        <w:rPr>
          <w:spacing w:val="-11"/>
        </w:rPr>
        <w:t> </w:t>
      </w:r>
      <w:r>
        <w:rPr/>
        <w:t>se</w:t>
      </w:r>
      <w:r>
        <w:rPr>
          <w:spacing w:val="-11"/>
        </w:rPr>
        <w:t> </w:t>
      </w:r>
      <w:r>
        <w:rPr/>
        <w:t>utilizará</w:t>
      </w:r>
      <w:r>
        <w:rPr>
          <w:spacing w:val="-11"/>
        </w:rPr>
        <w:t> </w:t>
      </w:r>
      <w:r>
        <w:rPr/>
        <w:t>sólo</w:t>
      </w:r>
      <w:r>
        <w:rPr>
          <w:spacing w:val="-11"/>
        </w:rPr>
        <w:t> </w:t>
      </w:r>
      <w:r>
        <w:rPr/>
        <w:t>el</w:t>
      </w:r>
      <w:r>
        <w:rPr>
          <w:spacing w:val="-11"/>
        </w:rPr>
        <w:t> </w:t>
      </w:r>
      <w:r>
        <w:rPr/>
        <w:t>apartado</w:t>
      </w:r>
      <w:r>
        <w:rPr>
          <w:spacing w:val="-11"/>
        </w:rPr>
        <w:t> </w:t>
      </w:r>
      <w:r>
        <w:rPr/>
        <w:t>de</w:t>
      </w:r>
      <w:r>
        <w:rPr>
          <w:spacing w:val="-11"/>
        </w:rPr>
        <w:t> </w:t>
      </w:r>
      <w:r>
        <w:rPr/>
        <w:t>“Respuesta”.</w:t>
      </w:r>
      <w:r>
        <w:rPr>
          <w:spacing w:val="-11"/>
        </w:rPr>
        <w:t> </w:t>
      </w:r>
      <w:r>
        <w:rPr/>
        <w:t>Con</w:t>
      </w:r>
      <w:r>
        <w:rPr>
          <w:spacing w:val="-11"/>
        </w:rPr>
        <w:t> </w:t>
      </w:r>
      <w:r>
        <w:rPr/>
        <w:t>ello</w:t>
      </w:r>
      <w:r>
        <w:rPr>
          <w:spacing w:val="-11"/>
        </w:rPr>
        <w:t> </w:t>
      </w:r>
      <w:r>
        <w:rPr/>
        <w:t>se</w:t>
      </w:r>
      <w:r>
        <w:rPr>
          <w:spacing w:val="-11"/>
        </w:rPr>
        <w:t> </w:t>
      </w:r>
      <w:r>
        <w:rPr/>
        <w:t>evalua la comprensión y atención de las instituciones públicas a la problemática </w:t>
      </w:r>
      <w:r>
        <w:rPr>
          <w:spacing w:val="38"/>
        </w:rPr>
        <w:t> </w:t>
      </w:r>
      <w:r>
        <w:rPr/>
        <w:t>ambiental.</w:t>
      </w:r>
    </w:p>
    <w:p>
      <w:pPr>
        <w:pStyle w:val="BodyText"/>
        <w:spacing w:line="249" w:lineRule="auto" w:before="76"/>
        <w:ind w:left="130" w:right="128" w:firstLine="170"/>
        <w:jc w:val="both"/>
      </w:pPr>
      <w:r>
        <w:rPr/>
        <w:br w:type="column"/>
      </w:r>
      <w:r>
        <w:rPr/>
        <w:t>Por</w:t>
      </w:r>
      <w:r>
        <w:rPr>
          <w:spacing w:val="-5"/>
        </w:rPr>
        <w:t> </w:t>
      </w:r>
      <w:r>
        <w:rPr/>
        <w:t>lo</w:t>
      </w:r>
      <w:r>
        <w:rPr>
          <w:spacing w:val="-5"/>
        </w:rPr>
        <w:t> </w:t>
      </w:r>
      <w:r>
        <w:rPr/>
        <w:t>anterior</w:t>
      </w:r>
      <w:r>
        <w:rPr>
          <w:spacing w:val="-5"/>
        </w:rPr>
        <w:t> </w:t>
      </w:r>
      <w:r>
        <w:rPr/>
        <w:t>expuesto,</w:t>
      </w:r>
      <w:r>
        <w:rPr>
          <w:spacing w:val="-5"/>
        </w:rPr>
        <w:t> </w:t>
      </w:r>
      <w:r>
        <w:rPr/>
        <w:t>el</w:t>
      </w:r>
      <w:r>
        <w:rPr>
          <w:spacing w:val="-5"/>
        </w:rPr>
        <w:t> </w:t>
      </w:r>
      <w:r>
        <w:rPr/>
        <w:t>objetivo</w:t>
      </w:r>
      <w:r>
        <w:rPr>
          <w:spacing w:val="-5"/>
        </w:rPr>
        <w:t> </w:t>
      </w:r>
      <w:r>
        <w:rPr/>
        <w:t>de</w:t>
      </w:r>
      <w:r>
        <w:rPr>
          <w:spacing w:val="-5"/>
        </w:rPr>
        <w:t> </w:t>
      </w:r>
      <w:r>
        <w:rPr/>
        <w:t>este</w:t>
      </w:r>
      <w:r>
        <w:rPr>
          <w:spacing w:val="-5"/>
        </w:rPr>
        <w:t> </w:t>
      </w:r>
      <w:r>
        <w:rPr/>
        <w:t>trabajo</w:t>
      </w:r>
      <w:r>
        <w:rPr>
          <w:spacing w:val="-5"/>
        </w:rPr>
        <w:t> </w:t>
      </w:r>
      <w:r>
        <w:rPr/>
        <w:t>es</w:t>
      </w:r>
      <w:r>
        <w:rPr>
          <w:spacing w:val="-5"/>
        </w:rPr>
        <w:t> </w:t>
      </w:r>
      <w:r>
        <w:rPr/>
        <w:t>evaluar</w:t>
      </w:r>
      <w:r>
        <w:rPr>
          <w:spacing w:val="-5"/>
        </w:rPr>
        <w:t> </w:t>
      </w:r>
      <w:r>
        <w:rPr/>
        <w:t>las</w:t>
      </w:r>
      <w:r>
        <w:rPr>
          <w:spacing w:val="-5"/>
        </w:rPr>
        <w:t> </w:t>
      </w:r>
      <w:r>
        <w:rPr/>
        <w:t>acciones</w:t>
      </w:r>
      <w:r>
        <w:rPr>
          <w:spacing w:val="-5"/>
        </w:rPr>
        <w:t> </w:t>
      </w:r>
      <w:r>
        <w:rPr/>
        <w:t>y</w:t>
      </w:r>
      <w:r>
        <w:rPr>
          <w:spacing w:val="-5"/>
        </w:rPr>
        <w:t> </w:t>
      </w:r>
      <w:r>
        <w:rPr/>
        <w:t>políticas de</w:t>
      </w:r>
      <w:r>
        <w:rPr>
          <w:spacing w:val="-4"/>
        </w:rPr>
        <w:t> </w:t>
      </w:r>
      <w:r>
        <w:rPr/>
        <w:t>mitigación</w:t>
      </w:r>
      <w:r>
        <w:rPr>
          <w:spacing w:val="-4"/>
        </w:rPr>
        <w:t> </w:t>
      </w:r>
      <w:r>
        <w:rPr/>
        <w:t>existentes</w:t>
      </w:r>
      <w:r>
        <w:rPr>
          <w:spacing w:val="-4"/>
        </w:rPr>
        <w:t> </w:t>
      </w:r>
      <w:r>
        <w:rPr/>
        <w:t>para</w:t>
      </w:r>
      <w:r>
        <w:rPr>
          <w:spacing w:val="-4"/>
        </w:rPr>
        <w:t> </w:t>
      </w:r>
      <w:r>
        <w:rPr/>
        <w:t>suelo,</w:t>
      </w:r>
      <w:r>
        <w:rPr>
          <w:spacing w:val="-4"/>
        </w:rPr>
        <w:t> </w:t>
      </w:r>
      <w:r>
        <w:rPr/>
        <w:t>agua</w:t>
      </w:r>
      <w:r>
        <w:rPr>
          <w:spacing w:val="-4"/>
        </w:rPr>
        <w:t> </w:t>
      </w:r>
      <w:r>
        <w:rPr/>
        <w:t>y</w:t>
      </w:r>
      <w:r>
        <w:rPr>
          <w:spacing w:val="-4"/>
        </w:rPr>
        <w:t> </w:t>
      </w:r>
      <w:r>
        <w:rPr/>
        <w:t>aire</w:t>
      </w:r>
      <w:r>
        <w:rPr>
          <w:spacing w:val="-4"/>
        </w:rPr>
        <w:t> </w:t>
      </w:r>
      <w:r>
        <w:rPr/>
        <w:t>en</w:t>
      </w:r>
      <w:r>
        <w:rPr>
          <w:spacing w:val="-4"/>
        </w:rPr>
        <w:t> </w:t>
      </w:r>
      <w:r>
        <w:rPr/>
        <w:t>la</w:t>
      </w:r>
      <w:r>
        <w:rPr>
          <w:spacing w:val="-4"/>
        </w:rPr>
        <w:t> </w:t>
      </w:r>
      <w:r>
        <w:rPr/>
        <w:t>Zona</w:t>
      </w:r>
      <w:r>
        <w:rPr>
          <w:spacing w:val="-4"/>
        </w:rPr>
        <w:t> </w:t>
      </w:r>
      <w:r>
        <w:rPr/>
        <w:t>Metropolitana</w:t>
      </w:r>
      <w:r>
        <w:rPr>
          <w:spacing w:val="-4"/>
        </w:rPr>
        <w:t> </w:t>
      </w:r>
      <w:r>
        <w:rPr/>
        <w:t>Toluca,</w:t>
      </w:r>
      <w:r>
        <w:rPr>
          <w:spacing w:val="-4"/>
        </w:rPr>
        <w:t> </w:t>
      </w:r>
      <w:r>
        <w:rPr/>
        <w:t>como respuesta al deterioro ambiental y con base en esto, identificar la contribución a la sustentabilidad en la planeación</w:t>
      </w:r>
      <w:r>
        <w:rPr>
          <w:spacing w:val="24"/>
        </w:rPr>
        <w:t> </w:t>
      </w:r>
      <w:r>
        <w:rPr/>
        <w:t>urbana.</w:t>
      </w:r>
    </w:p>
    <w:p>
      <w:pPr>
        <w:pStyle w:val="BodyText"/>
        <w:spacing w:before="11"/>
      </w:pPr>
    </w:p>
    <w:p>
      <w:pPr>
        <w:pStyle w:val="BodyText"/>
        <w:spacing w:line="249" w:lineRule="auto"/>
        <w:ind w:left="130" w:right="128" w:firstLine="170"/>
        <w:jc w:val="both"/>
      </w:pPr>
      <w:r>
        <w:rPr/>
        <w:t>Para conseguir el objetivo, el trabajo se divide en cinco partes más luego de la introducción: la segunda conformada por las consideraciones conceptuales relevantes para la investigación; la tercera explica el modelo Presión-Estado-Respuesta y adaptación para examinar las respuestas del sector público al deterioro ambiental; la cuarta, revisa la existencia de acciones sustentables emprendidas para la mitigación, en los ordenamientos e instrumentos de planeación urbana, territorial y ambiental para la ZMT; la parte quinta, evalúa la coherencia y consistencia de los ordenamientos en  la contribución a la sustentabilidad ambiental en la zona metropolitana y; al final las conclusiones, recupera aspectos principales de la situación </w:t>
      </w:r>
      <w:r>
        <w:rPr>
          <w:spacing w:val="19"/>
        </w:rPr>
        <w:t> </w:t>
      </w:r>
      <w:r>
        <w:rPr/>
        <w:t>ambiental.</w:t>
      </w:r>
    </w:p>
    <w:p>
      <w:pPr>
        <w:pStyle w:val="BodyText"/>
        <w:spacing w:before="8"/>
        <w:rPr>
          <w:sz w:val="17"/>
        </w:rPr>
      </w:pPr>
    </w:p>
    <w:p>
      <w:pPr>
        <w:pStyle w:val="Heading1"/>
        <w:ind w:left="400"/>
      </w:pPr>
      <w:r>
        <w:rPr/>
        <w:t>Consideraciones conceptuales sobre sustentabilidad y ciudad.</w:t>
      </w:r>
    </w:p>
    <w:p>
      <w:pPr>
        <w:pStyle w:val="BodyText"/>
        <w:rPr>
          <w:b/>
          <w:sz w:val="21"/>
        </w:rPr>
      </w:pPr>
    </w:p>
    <w:p>
      <w:pPr>
        <w:pStyle w:val="BodyText"/>
        <w:spacing w:line="249" w:lineRule="auto"/>
        <w:ind w:left="131" w:right="129" w:firstLine="170"/>
        <w:jc w:val="both"/>
      </w:pPr>
      <w:r>
        <w:rPr/>
        <w:t>Es necesario destacar que según la forma en que se presente la expansión urbana determinará los tipos de impactos negativos al entorno hacia dentro y fuera de ellas. Granero (2011) resume el impacto ambiental como la diferencia entre la situación     del ambiente  futuro  modificado  tal  y  como  se  manifestaría  como  consecuencia  de la realización de un proyecto, y la situación futura del ambiente tal como habría evolucionado normalmente sin tal actuación, es decir, el impacto ambiental es la alteración total o neta, positiva o negativa, del</w:t>
      </w:r>
      <w:r>
        <w:rPr>
          <w:spacing w:val="53"/>
        </w:rPr>
        <w:t> </w:t>
      </w:r>
      <w:r>
        <w:rPr/>
        <w:t>ambiente.</w:t>
      </w:r>
    </w:p>
    <w:p>
      <w:pPr>
        <w:pStyle w:val="BodyText"/>
        <w:spacing w:before="11"/>
      </w:pPr>
    </w:p>
    <w:p>
      <w:pPr>
        <w:pStyle w:val="BodyText"/>
        <w:spacing w:line="249" w:lineRule="auto"/>
        <w:ind w:left="131" w:right="128" w:firstLine="170"/>
        <w:jc w:val="both"/>
      </w:pPr>
      <w:r>
        <w:rPr/>
        <w:t>Dentro de los impactos ambientales, Méndez (2008) en particular enfatiza en la elevada huella ecológica, el creciente consumo de suelo y de la movilidad diaria.         A su turno Bazant (2009) destaca la pérdida de áreas naturales y biodiversidad, el desequilibrio hidrológico de la región, el desalojo de aguas negras, la contaminación  de mantos freáticos, la contaminación atmosférica, aceleración del cambio climático y el incremento de desechos</w:t>
      </w:r>
      <w:r>
        <w:rPr>
          <w:spacing w:val="39"/>
        </w:rPr>
        <w:t> </w:t>
      </w:r>
      <w:r>
        <w:rPr/>
        <w:t>sólidos.</w:t>
      </w:r>
    </w:p>
    <w:p>
      <w:pPr>
        <w:pStyle w:val="BodyText"/>
        <w:spacing w:before="11"/>
      </w:pPr>
    </w:p>
    <w:p>
      <w:pPr>
        <w:pStyle w:val="BodyText"/>
        <w:spacing w:line="249" w:lineRule="auto"/>
        <w:ind w:left="131" w:right="129" w:firstLine="170"/>
        <w:jc w:val="both"/>
      </w:pPr>
      <w:r>
        <w:rPr/>
        <w:t>Por</w:t>
      </w:r>
      <w:r>
        <w:rPr>
          <w:spacing w:val="-12"/>
        </w:rPr>
        <w:t> </w:t>
      </w:r>
      <w:r>
        <w:rPr/>
        <w:t>tales</w:t>
      </w:r>
      <w:r>
        <w:rPr>
          <w:spacing w:val="-12"/>
        </w:rPr>
        <w:t> </w:t>
      </w:r>
      <w:r>
        <w:rPr/>
        <w:t>impactos</w:t>
      </w:r>
      <w:r>
        <w:rPr>
          <w:spacing w:val="-12"/>
        </w:rPr>
        <w:t> </w:t>
      </w:r>
      <w:r>
        <w:rPr/>
        <w:t>ambientales,</w:t>
      </w:r>
      <w:r>
        <w:rPr>
          <w:spacing w:val="-12"/>
        </w:rPr>
        <w:t> </w:t>
      </w:r>
      <w:r>
        <w:rPr/>
        <w:t>y</w:t>
      </w:r>
      <w:r>
        <w:rPr>
          <w:spacing w:val="-12"/>
        </w:rPr>
        <w:t> </w:t>
      </w:r>
      <w:r>
        <w:rPr/>
        <w:t>aunado</w:t>
      </w:r>
      <w:r>
        <w:rPr>
          <w:spacing w:val="-12"/>
        </w:rPr>
        <w:t> </w:t>
      </w:r>
      <w:r>
        <w:rPr/>
        <w:t>a</w:t>
      </w:r>
      <w:r>
        <w:rPr>
          <w:spacing w:val="-12"/>
        </w:rPr>
        <w:t> </w:t>
      </w:r>
      <w:r>
        <w:rPr/>
        <w:t>los</w:t>
      </w:r>
      <w:r>
        <w:rPr>
          <w:spacing w:val="-12"/>
        </w:rPr>
        <w:t> </w:t>
      </w:r>
      <w:r>
        <w:rPr/>
        <w:t>efectos</w:t>
      </w:r>
      <w:r>
        <w:rPr>
          <w:spacing w:val="-12"/>
        </w:rPr>
        <w:t> </w:t>
      </w:r>
      <w:r>
        <w:rPr/>
        <w:t>de</w:t>
      </w:r>
      <w:r>
        <w:rPr>
          <w:spacing w:val="-12"/>
        </w:rPr>
        <w:t> </w:t>
      </w:r>
      <w:r>
        <w:rPr/>
        <w:t>la</w:t>
      </w:r>
      <w:r>
        <w:rPr>
          <w:spacing w:val="-12"/>
        </w:rPr>
        <w:t> </w:t>
      </w:r>
      <w:r>
        <w:rPr/>
        <w:t>globalización</w:t>
      </w:r>
      <w:r>
        <w:rPr>
          <w:spacing w:val="-12"/>
        </w:rPr>
        <w:t> </w:t>
      </w:r>
      <w:r>
        <w:rPr/>
        <w:t>económica, se optó por la visión de sustentabilidad, la cual integra factores económicos, sociales y ambientales. Sin embargo, la sostenibilidad sigue siendo un paradigma complejo cuya formulación es escenario de discusión entre diferentes ideales y valores en la</w:t>
      </w:r>
      <w:r>
        <w:rPr>
          <w:spacing w:val="-36"/>
        </w:rPr>
        <w:t> </w:t>
      </w:r>
      <w:r>
        <w:rPr/>
        <w:t>ecología, economía, sociedad y la política. (Torres y Cruz,</w:t>
      </w:r>
      <w:r>
        <w:rPr>
          <w:spacing w:val="-17"/>
        </w:rPr>
        <w:t> </w:t>
      </w:r>
      <w:r>
        <w:rPr/>
        <w:t>1999).</w:t>
      </w:r>
    </w:p>
    <w:p>
      <w:pPr>
        <w:pStyle w:val="BodyText"/>
        <w:spacing w:before="11"/>
      </w:pPr>
    </w:p>
    <w:p>
      <w:pPr>
        <w:pStyle w:val="BodyText"/>
        <w:spacing w:line="249" w:lineRule="auto"/>
        <w:ind w:left="131" w:right="129" w:firstLine="170"/>
        <w:jc w:val="both"/>
      </w:pPr>
      <w:r>
        <w:rPr/>
        <w:t>El concepto de desarrollo sustentable se estableció en el conocido Informe de Brundtland de la World Commissión on Environment and Development “Our Common Future” (WCED, 1987), definiéndolo como: “un proceso de cambio en el que la explotación</w:t>
      </w:r>
      <w:r>
        <w:rPr>
          <w:spacing w:val="-5"/>
        </w:rPr>
        <w:t> </w:t>
      </w:r>
      <w:r>
        <w:rPr/>
        <w:t>de</w:t>
      </w:r>
      <w:r>
        <w:rPr>
          <w:spacing w:val="-5"/>
        </w:rPr>
        <w:t> </w:t>
      </w:r>
      <w:r>
        <w:rPr/>
        <w:t>los</w:t>
      </w:r>
      <w:r>
        <w:rPr>
          <w:spacing w:val="-5"/>
        </w:rPr>
        <w:t> </w:t>
      </w:r>
      <w:r>
        <w:rPr/>
        <w:t>recursos,</w:t>
      </w:r>
      <w:r>
        <w:rPr>
          <w:spacing w:val="-5"/>
        </w:rPr>
        <w:t> </w:t>
      </w:r>
      <w:r>
        <w:rPr/>
        <w:t>la</w:t>
      </w:r>
      <w:r>
        <w:rPr>
          <w:spacing w:val="-5"/>
        </w:rPr>
        <w:t> </w:t>
      </w:r>
      <w:r>
        <w:rPr/>
        <w:t>dirección</w:t>
      </w:r>
      <w:r>
        <w:rPr>
          <w:spacing w:val="-5"/>
        </w:rPr>
        <w:t> </w:t>
      </w:r>
      <w:r>
        <w:rPr/>
        <w:t>de</w:t>
      </w:r>
      <w:r>
        <w:rPr>
          <w:spacing w:val="-5"/>
        </w:rPr>
        <w:t> </w:t>
      </w:r>
      <w:r>
        <w:rPr/>
        <w:t>las</w:t>
      </w:r>
      <w:r>
        <w:rPr>
          <w:spacing w:val="-5"/>
        </w:rPr>
        <w:t> </w:t>
      </w:r>
      <w:r>
        <w:rPr/>
        <w:t>inversiones,</w:t>
      </w:r>
      <w:r>
        <w:rPr>
          <w:spacing w:val="-5"/>
        </w:rPr>
        <w:t> </w:t>
      </w:r>
      <w:r>
        <w:rPr/>
        <w:t>la</w:t>
      </w:r>
      <w:r>
        <w:rPr>
          <w:spacing w:val="-5"/>
        </w:rPr>
        <w:t> </w:t>
      </w:r>
      <w:r>
        <w:rPr/>
        <w:t>orientación</w:t>
      </w:r>
      <w:r>
        <w:rPr>
          <w:spacing w:val="-5"/>
        </w:rPr>
        <w:t> </w:t>
      </w:r>
      <w:r>
        <w:rPr/>
        <w:t>del</w:t>
      </w:r>
      <w:r>
        <w:rPr>
          <w:spacing w:val="-5"/>
        </w:rPr>
        <w:t> </w:t>
      </w:r>
      <w:r>
        <w:rPr/>
        <w:t>desarrollo</w:t>
      </w:r>
    </w:p>
    <w:p>
      <w:pPr>
        <w:spacing w:after="0" w:line="249" w:lineRule="auto"/>
        <w:jc w:val="both"/>
        <w:sectPr>
          <w:type w:val="continuous"/>
          <w:pgSz w:w="18830" w:h="12760" w:orient="landscape"/>
          <w:pgMar w:top="1420" w:bottom="280" w:left="720" w:right="720"/>
          <w:cols w:num="2" w:equalWidth="0">
            <w:col w:w="7843" w:space="1566"/>
            <w:col w:w="7981"/>
          </w:cols>
        </w:sectPr>
      </w:pPr>
    </w:p>
    <w:p>
      <w:pPr>
        <w:pStyle w:val="BodyText"/>
        <w:spacing w:before="6"/>
        <w:rPr>
          <w:sz w:val="23"/>
        </w:rPr>
      </w:pPr>
    </w:p>
    <w:p>
      <w:pPr>
        <w:spacing w:after="0"/>
        <w:rPr>
          <w:sz w:val="23"/>
        </w:rPr>
        <w:sectPr>
          <w:footerReference w:type="default" r:id="rId439"/>
          <w:pgSz w:w="18830" w:h="12760" w:orient="landscape"/>
          <w:pgMar w:footer="1036" w:header="522" w:top="820" w:bottom="1220" w:left="720" w:right="720"/>
        </w:sectPr>
      </w:pPr>
    </w:p>
    <w:p>
      <w:pPr>
        <w:pStyle w:val="BodyText"/>
        <w:spacing w:line="249" w:lineRule="auto" w:before="76"/>
        <w:ind w:left="117"/>
        <w:jc w:val="both"/>
      </w:pPr>
      <w:r>
        <w:rPr/>
        <w:t>tecnológico y los cambios institucionales son consecuentes tanto en las necesidades futuras como en las actuales”, o bien: “aquél desarrollo que es capaz de satisfacer    las necesidades actuales, sin comprometer los recursos y posibilidades de las futuras generaciones”.</w:t>
      </w:r>
    </w:p>
    <w:p>
      <w:pPr>
        <w:pStyle w:val="BodyText"/>
        <w:spacing w:before="11"/>
      </w:pPr>
    </w:p>
    <w:p>
      <w:pPr>
        <w:pStyle w:val="BodyText"/>
        <w:spacing w:line="249" w:lineRule="auto"/>
        <w:ind w:left="117" w:firstLine="170"/>
        <w:jc w:val="both"/>
      </w:pPr>
      <w:r>
        <w:rPr/>
        <w:t>Posterior al Informe de Brundtland, las posturas de la sostenibilidad se agruparon en dos paradigmas principales: la sostenibilidad débil, representada por los trabajos de Robert Solow y John Hartwick en 1986; la sostenibilidad fuerte, cuyos exponentes son David Pearce en 1993 y Herman Daly en 1991 y quien adopta la vertiente más radical (Dopico, 2010).</w:t>
      </w:r>
    </w:p>
    <w:p>
      <w:pPr>
        <w:pStyle w:val="BodyText"/>
        <w:spacing w:before="11"/>
      </w:pPr>
    </w:p>
    <w:p>
      <w:pPr>
        <w:pStyle w:val="BodyText"/>
        <w:spacing w:line="249" w:lineRule="auto"/>
        <w:ind w:left="117" w:firstLine="170"/>
        <w:jc w:val="both"/>
      </w:pPr>
      <w:r>
        <w:rPr/>
        <w:t>El principio de la sustentabilidad débil se basa en la afirmación de que la equidad intergeneracional queda respetada si la generación presente deja a las generaciones siguientes un stock global de capital al menos igual al que recibió. Por su parte, la sustentabilidad</w:t>
      </w:r>
      <w:r>
        <w:rPr>
          <w:spacing w:val="-4"/>
        </w:rPr>
        <w:t> </w:t>
      </w:r>
      <w:r>
        <w:rPr/>
        <w:t>fuerte</w:t>
      </w:r>
      <w:r>
        <w:rPr>
          <w:spacing w:val="-4"/>
        </w:rPr>
        <w:t> </w:t>
      </w:r>
      <w:r>
        <w:rPr/>
        <w:t>propone</w:t>
      </w:r>
      <w:r>
        <w:rPr>
          <w:spacing w:val="-4"/>
        </w:rPr>
        <w:t> </w:t>
      </w:r>
      <w:r>
        <w:rPr/>
        <w:t>la</w:t>
      </w:r>
      <w:r>
        <w:rPr>
          <w:spacing w:val="-4"/>
        </w:rPr>
        <w:t> </w:t>
      </w:r>
      <w:r>
        <w:rPr/>
        <w:t>premisa</w:t>
      </w:r>
      <w:r>
        <w:rPr>
          <w:spacing w:val="-4"/>
        </w:rPr>
        <w:t> </w:t>
      </w:r>
      <w:r>
        <w:rPr/>
        <w:t>de</w:t>
      </w:r>
      <w:r>
        <w:rPr>
          <w:spacing w:val="-4"/>
        </w:rPr>
        <w:t> </w:t>
      </w:r>
      <w:r>
        <w:rPr/>
        <w:t>que</w:t>
      </w:r>
      <w:r>
        <w:rPr>
          <w:spacing w:val="-4"/>
        </w:rPr>
        <w:t> </w:t>
      </w:r>
      <w:r>
        <w:rPr/>
        <w:t>el</w:t>
      </w:r>
      <w:r>
        <w:rPr>
          <w:spacing w:val="-4"/>
        </w:rPr>
        <w:t> </w:t>
      </w:r>
      <w:r>
        <w:rPr/>
        <w:t>capital</w:t>
      </w:r>
      <w:r>
        <w:rPr>
          <w:spacing w:val="-4"/>
        </w:rPr>
        <w:t> </w:t>
      </w:r>
      <w:r>
        <w:rPr/>
        <w:t>natural</w:t>
      </w:r>
      <w:r>
        <w:rPr>
          <w:spacing w:val="-4"/>
        </w:rPr>
        <w:t> </w:t>
      </w:r>
      <w:r>
        <w:rPr/>
        <w:t>no</w:t>
      </w:r>
      <w:r>
        <w:rPr>
          <w:spacing w:val="-4"/>
        </w:rPr>
        <w:t> </w:t>
      </w:r>
      <w:r>
        <w:rPr/>
        <w:t>se</w:t>
      </w:r>
      <w:r>
        <w:rPr>
          <w:spacing w:val="-4"/>
        </w:rPr>
        <w:t> </w:t>
      </w:r>
      <w:r>
        <w:rPr/>
        <w:t>puede</w:t>
      </w:r>
      <w:r>
        <w:rPr>
          <w:spacing w:val="-4"/>
        </w:rPr>
        <w:t> </w:t>
      </w:r>
      <w:r>
        <w:rPr/>
        <w:t>sustituir por capital producido (Azqueta, 2007). De la sustentabilidad fuerte se generan dos vertientes: una donde se considera que el capital natural es insustituible, y por tanto, debe legarse a las generaciones futuras un valor equivalente al recibido; y la otra, más complicada de conseguir, donde se considera que determinados componentes del capital natural son físicamente insustituibles, por lo que deben de preservarse en su integridad</w:t>
      </w:r>
      <w:r>
        <w:rPr>
          <w:spacing w:val="-13"/>
        </w:rPr>
        <w:t> </w:t>
      </w:r>
      <w:r>
        <w:rPr/>
        <w:t>(Azqueta,</w:t>
      </w:r>
      <w:r>
        <w:rPr>
          <w:spacing w:val="-13"/>
        </w:rPr>
        <w:t> </w:t>
      </w:r>
      <w:r>
        <w:rPr/>
        <w:t>2007).</w:t>
      </w:r>
      <w:r>
        <w:rPr>
          <w:spacing w:val="-13"/>
        </w:rPr>
        <w:t> </w:t>
      </w:r>
      <w:r>
        <w:rPr/>
        <w:t>Como</w:t>
      </w:r>
      <w:r>
        <w:rPr>
          <w:spacing w:val="-13"/>
        </w:rPr>
        <w:t> </w:t>
      </w:r>
      <w:r>
        <w:rPr/>
        <w:t>puede</w:t>
      </w:r>
      <w:r>
        <w:rPr>
          <w:spacing w:val="-13"/>
        </w:rPr>
        <w:t> </w:t>
      </w:r>
      <w:r>
        <w:rPr/>
        <w:t>observarse,</w:t>
      </w:r>
      <w:r>
        <w:rPr>
          <w:spacing w:val="-13"/>
        </w:rPr>
        <w:t> </w:t>
      </w:r>
      <w:r>
        <w:rPr/>
        <w:t>las</w:t>
      </w:r>
      <w:r>
        <w:rPr>
          <w:spacing w:val="-13"/>
        </w:rPr>
        <w:t> </w:t>
      </w:r>
      <w:r>
        <w:rPr/>
        <w:t>fronteras</w:t>
      </w:r>
      <w:r>
        <w:rPr>
          <w:spacing w:val="-13"/>
        </w:rPr>
        <w:t> </w:t>
      </w:r>
      <w:r>
        <w:rPr/>
        <w:t>entre</w:t>
      </w:r>
      <w:r>
        <w:rPr>
          <w:spacing w:val="-13"/>
        </w:rPr>
        <w:t> </w:t>
      </w:r>
      <w:r>
        <w:rPr/>
        <w:t>estas</w:t>
      </w:r>
      <w:r>
        <w:rPr>
          <w:spacing w:val="-13"/>
        </w:rPr>
        <w:t> </w:t>
      </w:r>
      <w:r>
        <w:rPr/>
        <w:t>vertientes carecen de</w:t>
      </w:r>
      <w:r>
        <w:rPr>
          <w:spacing w:val="21"/>
        </w:rPr>
        <w:t> </w:t>
      </w:r>
      <w:r>
        <w:rPr/>
        <w:t>precisión.</w:t>
      </w:r>
    </w:p>
    <w:p>
      <w:pPr>
        <w:pStyle w:val="BodyText"/>
        <w:spacing w:before="11"/>
      </w:pPr>
    </w:p>
    <w:p>
      <w:pPr>
        <w:pStyle w:val="BodyText"/>
        <w:spacing w:line="249" w:lineRule="auto"/>
        <w:ind w:left="117" w:firstLine="170"/>
        <w:jc w:val="both"/>
      </w:pPr>
      <w:r>
        <w:rPr/>
        <w:t>En el contexto de los urbano y el ambiente, en “Ciudades para un</w:t>
      </w:r>
      <w:r>
        <w:rPr>
          <w:spacing w:val="53"/>
        </w:rPr>
        <w:t> </w:t>
      </w:r>
      <w:r>
        <w:rPr/>
        <w:t>pequeño</w:t>
      </w:r>
      <w:r>
        <w:rPr>
          <w:spacing w:val="4"/>
        </w:rPr>
        <w:t> </w:t>
      </w:r>
      <w:r>
        <w:rPr/>
        <w:t>planeta”,</w:t>
      </w:r>
      <w:r>
        <w:rPr>
          <w:w w:val="102"/>
        </w:rPr>
        <w:t> </w:t>
      </w:r>
      <w:r>
        <w:rPr/>
        <w:t>Rogers</w:t>
      </w:r>
      <w:r>
        <w:rPr>
          <w:spacing w:val="31"/>
        </w:rPr>
        <w:t> </w:t>
      </w:r>
      <w:r>
        <w:rPr/>
        <w:t>(2001)</w:t>
      </w:r>
      <w:r>
        <w:rPr>
          <w:spacing w:val="31"/>
        </w:rPr>
        <w:t> </w:t>
      </w:r>
      <w:r>
        <w:rPr/>
        <w:t>propone</w:t>
      </w:r>
      <w:r>
        <w:rPr>
          <w:spacing w:val="31"/>
        </w:rPr>
        <w:t> </w:t>
      </w:r>
      <w:r>
        <w:rPr/>
        <w:t>el</w:t>
      </w:r>
      <w:r>
        <w:rPr>
          <w:spacing w:val="31"/>
        </w:rPr>
        <w:t> </w:t>
      </w:r>
      <w:r>
        <w:rPr/>
        <w:t>concepto</w:t>
      </w:r>
      <w:r>
        <w:rPr>
          <w:spacing w:val="31"/>
        </w:rPr>
        <w:t> </w:t>
      </w:r>
      <w:r>
        <w:rPr/>
        <w:t>de</w:t>
      </w:r>
      <w:r>
        <w:rPr>
          <w:spacing w:val="31"/>
        </w:rPr>
        <w:t> </w:t>
      </w:r>
      <w:r>
        <w:rPr/>
        <w:t>“ciudad</w:t>
      </w:r>
      <w:r>
        <w:rPr>
          <w:spacing w:val="31"/>
        </w:rPr>
        <w:t> </w:t>
      </w:r>
      <w:r>
        <w:rPr/>
        <w:t>sostenible”,</w:t>
      </w:r>
      <w:r>
        <w:rPr>
          <w:spacing w:val="31"/>
        </w:rPr>
        <w:t> </w:t>
      </w:r>
      <w:r>
        <w:rPr/>
        <w:t>para</w:t>
      </w:r>
      <w:r>
        <w:rPr>
          <w:spacing w:val="31"/>
        </w:rPr>
        <w:t> </w:t>
      </w:r>
      <w:r>
        <w:rPr/>
        <w:t>quien</w:t>
      </w:r>
      <w:r>
        <w:rPr>
          <w:spacing w:val="31"/>
        </w:rPr>
        <w:t> </w:t>
      </w:r>
      <w:r>
        <w:rPr/>
        <w:t>la</w:t>
      </w:r>
      <w:r>
        <w:rPr>
          <w:spacing w:val="31"/>
        </w:rPr>
        <w:t> </w:t>
      </w:r>
      <w:r>
        <w:rPr/>
        <w:t>ciudad</w:t>
      </w:r>
      <w:r>
        <w:rPr>
          <w:spacing w:val="31"/>
        </w:rPr>
        <w:t> </w:t>
      </w:r>
      <w:r>
        <w:rPr/>
        <w:t>es</w:t>
      </w:r>
      <w:r>
        <w:rPr>
          <w:w w:val="98"/>
        </w:rPr>
        <w:t> </w:t>
      </w:r>
      <w:r>
        <w:rPr/>
        <w:t>un organismo complejo como la propia sociedad y lo  suficientemente  sostenible  como para reaccionar debidamente ante los cambios. Una sociedad sostenible es   una ciudad: justa, bella, creativa, ecológica que favorezca el contacto, compacta y policéntrica y diversa. De tal forma que la ciudad sostenible puede ser el agente que facilite los derechos medioambientales básicos (agua potable, aire limpio y tierra fértil), para lo cual se requiere de relacionar ciudadanos, servicios, política de transporte y generación</w:t>
      </w:r>
      <w:r>
        <w:rPr>
          <w:spacing w:val="29"/>
        </w:rPr>
        <w:t> </w:t>
      </w:r>
      <w:r>
        <w:rPr/>
        <w:t>de</w:t>
      </w:r>
      <w:r>
        <w:rPr>
          <w:spacing w:val="29"/>
        </w:rPr>
        <w:t> </w:t>
      </w:r>
      <w:r>
        <w:rPr/>
        <w:t>energía,</w:t>
      </w:r>
      <w:r>
        <w:rPr>
          <w:spacing w:val="29"/>
        </w:rPr>
        <w:t> </w:t>
      </w:r>
      <w:r>
        <w:rPr/>
        <w:t>así</w:t>
      </w:r>
      <w:r>
        <w:rPr>
          <w:spacing w:val="29"/>
        </w:rPr>
        <w:t> </w:t>
      </w:r>
      <w:r>
        <w:rPr/>
        <w:t>como</w:t>
      </w:r>
      <w:r>
        <w:rPr>
          <w:spacing w:val="29"/>
        </w:rPr>
        <w:t> </w:t>
      </w:r>
      <w:r>
        <w:rPr/>
        <w:t>su</w:t>
      </w:r>
      <w:r>
        <w:rPr>
          <w:spacing w:val="29"/>
        </w:rPr>
        <w:t> </w:t>
      </w:r>
      <w:r>
        <w:rPr/>
        <w:t>impacto</w:t>
      </w:r>
      <w:r>
        <w:rPr>
          <w:spacing w:val="29"/>
        </w:rPr>
        <w:t> </w:t>
      </w:r>
      <w:r>
        <w:rPr/>
        <w:t>total,</w:t>
      </w:r>
      <w:r>
        <w:rPr>
          <w:spacing w:val="29"/>
        </w:rPr>
        <w:t> </w:t>
      </w:r>
      <w:r>
        <w:rPr/>
        <w:t>tanto</w:t>
      </w:r>
      <w:r>
        <w:rPr>
          <w:spacing w:val="29"/>
        </w:rPr>
        <w:t> </w:t>
      </w:r>
      <w:r>
        <w:rPr/>
        <w:t>sobre</w:t>
      </w:r>
      <w:r>
        <w:rPr>
          <w:spacing w:val="29"/>
        </w:rPr>
        <w:t> </w:t>
      </w:r>
      <w:r>
        <w:rPr/>
        <w:t>el</w:t>
      </w:r>
      <w:r>
        <w:rPr>
          <w:spacing w:val="29"/>
        </w:rPr>
        <w:t> </w:t>
      </w:r>
      <w:r>
        <w:rPr/>
        <w:t>entorno</w:t>
      </w:r>
      <w:r>
        <w:rPr>
          <w:spacing w:val="29"/>
        </w:rPr>
        <w:t> </w:t>
      </w:r>
      <w:r>
        <w:rPr/>
        <w:t>inmediato</w:t>
      </w:r>
      <w:r>
        <w:rPr>
          <w:w w:val="101"/>
        </w:rPr>
        <w:t> </w:t>
      </w:r>
      <w:r>
        <w:rPr/>
        <w:t>como sobre una esfera geográfica más amplia. Para que una ciudad genere auténtica sostenibilidad, los factores deben entrelazarse en una planeación urbana: ecología urbana, economía y la</w:t>
      </w:r>
      <w:r>
        <w:rPr>
          <w:spacing w:val="2"/>
        </w:rPr>
        <w:t> </w:t>
      </w:r>
      <w:r>
        <w:rPr/>
        <w:t>sociología.</w:t>
      </w:r>
    </w:p>
    <w:p>
      <w:pPr>
        <w:pStyle w:val="BodyText"/>
        <w:spacing w:before="11"/>
      </w:pPr>
    </w:p>
    <w:p>
      <w:pPr>
        <w:pStyle w:val="BodyText"/>
        <w:spacing w:line="249" w:lineRule="auto"/>
        <w:ind w:left="117" w:firstLine="170"/>
        <w:jc w:val="both"/>
      </w:pPr>
      <w:r>
        <w:rPr/>
        <w:t>La aplicación del paradigma de la sustentabilidad a la ciudad también se puede ver desde diferentes enfoques, que Camagni (2005) propone: a) el nivel de análisis: local  o global; b) las variables objetivo, en donde la principal es el bienestar de la población local a largo plazo; c) el todo y las partes, este es el caso de los subterritorios; y d) los recursos ambientales de la ciudad, donde se toma a consideración dos conceptos importantes: la autarquía territorial y la capacidad de carga. Dicho lo anterior, el  </w:t>
      </w:r>
      <w:r>
        <w:rPr>
          <w:spacing w:val="33"/>
        </w:rPr>
        <w:t> </w:t>
      </w:r>
      <w:r>
        <w:rPr/>
        <w:t>autor</w:t>
      </w:r>
    </w:p>
    <w:p>
      <w:pPr>
        <w:pStyle w:val="BodyText"/>
        <w:spacing w:line="249" w:lineRule="auto" w:before="76"/>
        <w:ind w:left="117" w:right="128"/>
        <w:jc w:val="both"/>
      </w:pPr>
      <w:r>
        <w:rPr/>
        <w:br w:type="column"/>
      </w:r>
      <w:r>
        <w:rPr/>
        <w:t>propone la definición de sustentabilidad del desarrollo urbano. “Se trata de un proceso que se nutre de aprendizaje colectivo, de capacidad de composición de conflictos        y de capacidad de diseño estratégico, y no de la aplicación de un modelo óptimo definido una vez y para siempre”. A su vez, se trata de contemplar los sistemas de los cuales se compone la ciudad (económico, social, cultural y ambiental), dentro de sus interacciones dinámicas (externalidades) y de la unidad de su resultado, es decir, se asume un enfoque</w:t>
      </w:r>
      <w:r>
        <w:rPr>
          <w:spacing w:val="13"/>
        </w:rPr>
        <w:t> </w:t>
      </w:r>
      <w:r>
        <w:rPr/>
        <w:t>evolutivo.</w:t>
      </w:r>
    </w:p>
    <w:p>
      <w:pPr>
        <w:pStyle w:val="BodyText"/>
        <w:spacing w:before="11"/>
      </w:pPr>
    </w:p>
    <w:p>
      <w:pPr>
        <w:pStyle w:val="BodyText"/>
        <w:spacing w:line="249" w:lineRule="auto"/>
        <w:ind w:left="117" w:right="127" w:firstLine="170"/>
        <w:jc w:val="both"/>
      </w:pPr>
      <w:r>
        <w:rPr/>
        <w:t>Según Camagni (2005), la planeación estratégica orientada al paradigma de la sustentabilidad, o bien, la planeación urbana sustentable, se acopla al contexto actual de globalización, ya que ofrece una perspectiva integrada de largo plazo de desarrollo urbano, caracterizado por la participación en forma transversal de los agentes, los cuales son definidos por el autor de la siguiente forma:</w:t>
      </w:r>
    </w:p>
    <w:p>
      <w:pPr>
        <w:pStyle w:val="BodyText"/>
        <w:spacing w:before="10"/>
      </w:pPr>
    </w:p>
    <w:p>
      <w:pPr>
        <w:pStyle w:val="ListParagraph"/>
        <w:numPr>
          <w:ilvl w:val="0"/>
          <w:numId w:val="48"/>
        </w:numPr>
        <w:tabs>
          <w:tab w:pos="647" w:val="left" w:leader="none"/>
          <w:tab w:pos="648" w:val="left" w:leader="none"/>
        </w:tabs>
        <w:spacing w:line="240" w:lineRule="auto" w:before="1" w:after="0"/>
        <w:ind w:left="647" w:right="0" w:hanging="360"/>
        <w:jc w:val="left"/>
        <w:rPr>
          <w:sz w:val="20"/>
        </w:rPr>
      </w:pPr>
      <w:r>
        <w:rPr>
          <w:sz w:val="20"/>
        </w:rPr>
        <w:t>Los </w:t>
      </w:r>
      <w:r>
        <w:rPr>
          <w:i/>
          <w:sz w:val="20"/>
        </w:rPr>
        <w:t>customers</w:t>
      </w:r>
      <w:r>
        <w:rPr>
          <w:sz w:val="20"/>
        </w:rPr>
        <w:t>, clientes o consumidores de todos los</w:t>
      </w:r>
      <w:r>
        <w:rPr>
          <w:spacing w:val="34"/>
          <w:sz w:val="20"/>
        </w:rPr>
        <w:t> </w:t>
      </w:r>
      <w:r>
        <w:rPr>
          <w:sz w:val="20"/>
        </w:rPr>
        <w:t>servicios.</w:t>
      </w:r>
    </w:p>
    <w:p>
      <w:pPr>
        <w:pStyle w:val="ListParagraph"/>
        <w:numPr>
          <w:ilvl w:val="0"/>
          <w:numId w:val="48"/>
        </w:numPr>
        <w:tabs>
          <w:tab w:pos="648" w:val="left" w:leader="none"/>
        </w:tabs>
        <w:spacing w:line="249" w:lineRule="auto" w:before="7" w:after="0"/>
        <w:ind w:left="647" w:right="128" w:hanging="360"/>
        <w:jc w:val="both"/>
        <w:rPr>
          <w:sz w:val="20"/>
        </w:rPr>
      </w:pPr>
      <w:r>
        <w:rPr>
          <w:sz w:val="20"/>
        </w:rPr>
        <w:t>La alta dirección o los </w:t>
      </w:r>
      <w:r>
        <w:rPr>
          <w:i/>
          <w:sz w:val="20"/>
        </w:rPr>
        <w:t>policy makers</w:t>
      </w:r>
      <w:r>
        <w:rPr>
          <w:sz w:val="20"/>
        </w:rPr>
        <w:t>, quienes establecen los reglamentos; facilitan</w:t>
      </w:r>
      <w:r>
        <w:rPr>
          <w:spacing w:val="-5"/>
          <w:sz w:val="20"/>
        </w:rPr>
        <w:t> </w:t>
      </w:r>
      <w:r>
        <w:rPr>
          <w:sz w:val="20"/>
        </w:rPr>
        <w:t>y</w:t>
      </w:r>
      <w:r>
        <w:rPr>
          <w:spacing w:val="-4"/>
          <w:sz w:val="20"/>
        </w:rPr>
        <w:t> </w:t>
      </w:r>
      <w:r>
        <w:rPr>
          <w:sz w:val="20"/>
        </w:rPr>
        <w:t>estimulan</w:t>
      </w:r>
      <w:r>
        <w:rPr>
          <w:spacing w:val="-5"/>
          <w:sz w:val="20"/>
        </w:rPr>
        <w:t> </w:t>
      </w:r>
      <w:r>
        <w:rPr>
          <w:sz w:val="20"/>
        </w:rPr>
        <w:t>la</w:t>
      </w:r>
      <w:r>
        <w:rPr>
          <w:spacing w:val="-4"/>
          <w:sz w:val="20"/>
        </w:rPr>
        <w:t> </w:t>
      </w:r>
      <w:r>
        <w:rPr>
          <w:sz w:val="20"/>
        </w:rPr>
        <w:t>interacción</w:t>
      </w:r>
      <w:r>
        <w:rPr>
          <w:spacing w:val="-5"/>
          <w:sz w:val="20"/>
        </w:rPr>
        <w:t> </w:t>
      </w:r>
      <w:r>
        <w:rPr>
          <w:sz w:val="20"/>
        </w:rPr>
        <w:t>entre</w:t>
      </w:r>
      <w:r>
        <w:rPr>
          <w:spacing w:val="-5"/>
          <w:sz w:val="20"/>
        </w:rPr>
        <w:t> </w:t>
      </w:r>
      <w:r>
        <w:rPr>
          <w:sz w:val="20"/>
        </w:rPr>
        <w:t>los</w:t>
      </w:r>
      <w:r>
        <w:rPr>
          <w:spacing w:val="-4"/>
          <w:sz w:val="20"/>
        </w:rPr>
        <w:t> </w:t>
      </w:r>
      <w:r>
        <w:rPr>
          <w:sz w:val="20"/>
        </w:rPr>
        <w:t>distintos</w:t>
      </w:r>
      <w:r>
        <w:rPr>
          <w:spacing w:val="-5"/>
          <w:sz w:val="20"/>
        </w:rPr>
        <w:t> </w:t>
      </w:r>
      <w:r>
        <w:rPr>
          <w:sz w:val="20"/>
        </w:rPr>
        <w:t>sujetos</w:t>
      </w:r>
      <w:r>
        <w:rPr>
          <w:spacing w:val="-7"/>
          <w:sz w:val="20"/>
        </w:rPr>
        <w:t> </w:t>
      </w:r>
      <w:r>
        <w:rPr>
          <w:sz w:val="20"/>
        </w:rPr>
        <w:t>e</w:t>
      </w:r>
      <w:r>
        <w:rPr>
          <w:spacing w:val="-7"/>
          <w:sz w:val="20"/>
        </w:rPr>
        <w:t> </w:t>
      </w:r>
      <w:r>
        <w:rPr>
          <w:sz w:val="20"/>
        </w:rPr>
        <w:t>interpretan</w:t>
      </w:r>
      <w:r>
        <w:rPr>
          <w:spacing w:val="-5"/>
          <w:sz w:val="20"/>
        </w:rPr>
        <w:t> </w:t>
      </w:r>
      <w:r>
        <w:rPr>
          <w:sz w:val="20"/>
        </w:rPr>
        <w:t>a</w:t>
      </w:r>
      <w:r>
        <w:rPr>
          <w:spacing w:val="-5"/>
          <w:sz w:val="20"/>
        </w:rPr>
        <w:t> </w:t>
      </w:r>
      <w:r>
        <w:rPr>
          <w:sz w:val="20"/>
        </w:rPr>
        <w:t>través de   instrumentos oportunos la demanda de los </w:t>
      </w:r>
      <w:r>
        <w:rPr>
          <w:spacing w:val="3"/>
          <w:sz w:val="20"/>
        </w:rPr>
        <w:t> </w:t>
      </w:r>
      <w:r>
        <w:rPr>
          <w:sz w:val="20"/>
        </w:rPr>
        <w:t>“clientes”.</w:t>
      </w:r>
    </w:p>
    <w:p>
      <w:pPr>
        <w:pStyle w:val="ListParagraph"/>
        <w:numPr>
          <w:ilvl w:val="0"/>
          <w:numId w:val="48"/>
        </w:numPr>
        <w:tabs>
          <w:tab w:pos="648" w:val="left" w:leader="none"/>
        </w:tabs>
        <w:spacing w:line="247" w:lineRule="auto" w:before="1" w:after="0"/>
        <w:ind w:left="647" w:right="128" w:hanging="360"/>
        <w:jc w:val="both"/>
        <w:rPr>
          <w:sz w:val="20"/>
        </w:rPr>
      </w:pPr>
      <w:r>
        <w:rPr>
          <w:sz w:val="20"/>
        </w:rPr>
        <w:t>Los </w:t>
      </w:r>
      <w:r>
        <w:rPr>
          <w:i/>
          <w:sz w:val="20"/>
        </w:rPr>
        <w:t>stock-holder</w:t>
      </w:r>
      <w:r>
        <w:rPr>
          <w:sz w:val="20"/>
        </w:rPr>
        <w:t>, propietarios de terrenos, construcciones e infraestructura, pueden contribuir o financiar las políticas de relanzamiento de la</w:t>
      </w:r>
      <w:r>
        <w:rPr>
          <w:spacing w:val="28"/>
          <w:sz w:val="20"/>
        </w:rPr>
        <w:t> </w:t>
      </w:r>
      <w:r>
        <w:rPr>
          <w:sz w:val="20"/>
        </w:rPr>
        <w:t>ciudad.</w:t>
      </w:r>
    </w:p>
    <w:p>
      <w:pPr>
        <w:pStyle w:val="ListParagraph"/>
        <w:numPr>
          <w:ilvl w:val="0"/>
          <w:numId w:val="48"/>
        </w:numPr>
        <w:tabs>
          <w:tab w:pos="648" w:val="left" w:leader="none"/>
        </w:tabs>
        <w:spacing w:line="247" w:lineRule="auto" w:before="3" w:after="0"/>
        <w:ind w:left="647" w:right="128" w:hanging="360"/>
        <w:jc w:val="both"/>
        <w:rPr>
          <w:sz w:val="20"/>
        </w:rPr>
      </w:pPr>
      <w:r>
        <w:rPr>
          <w:sz w:val="20"/>
        </w:rPr>
        <w:t>Los </w:t>
      </w:r>
      <w:r>
        <w:rPr>
          <w:i/>
          <w:sz w:val="20"/>
        </w:rPr>
        <w:t>stake-holder</w:t>
      </w:r>
      <w:r>
        <w:rPr>
          <w:sz w:val="20"/>
        </w:rPr>
        <w:t>, trabajadores, productores (empresas), proveedores y constructores que realizan los</w:t>
      </w:r>
      <w:r>
        <w:rPr>
          <w:spacing w:val="16"/>
          <w:sz w:val="20"/>
        </w:rPr>
        <w:t> </w:t>
      </w:r>
      <w:r>
        <w:rPr>
          <w:sz w:val="20"/>
        </w:rPr>
        <w:t>proyectos.</w:t>
      </w:r>
    </w:p>
    <w:p>
      <w:pPr>
        <w:pStyle w:val="ListParagraph"/>
        <w:numPr>
          <w:ilvl w:val="0"/>
          <w:numId w:val="48"/>
        </w:numPr>
        <w:tabs>
          <w:tab w:pos="648" w:val="left" w:leader="none"/>
        </w:tabs>
        <w:spacing w:line="249" w:lineRule="auto" w:before="3" w:after="0"/>
        <w:ind w:left="647" w:right="128" w:hanging="360"/>
        <w:jc w:val="both"/>
        <w:rPr>
          <w:sz w:val="20"/>
        </w:rPr>
      </w:pPr>
      <w:r>
        <w:rPr>
          <w:sz w:val="20"/>
        </w:rPr>
        <w:t>Los socios externos, el Gobierno nacional o regional que aporta recursos; empresas públicas que aportan proyectos y servicios; universidades o centros  de investigación, que aportan competencias; y “redes de ciudades”, que cooperan con  las ciudades en proyectos </w:t>
      </w:r>
      <w:r>
        <w:rPr>
          <w:spacing w:val="9"/>
          <w:sz w:val="20"/>
        </w:rPr>
        <w:t> </w:t>
      </w:r>
      <w:r>
        <w:rPr>
          <w:sz w:val="20"/>
        </w:rPr>
        <w:t>comunes.</w:t>
      </w:r>
    </w:p>
    <w:p>
      <w:pPr>
        <w:pStyle w:val="BodyText"/>
        <w:spacing w:before="11"/>
      </w:pPr>
    </w:p>
    <w:p>
      <w:pPr>
        <w:pStyle w:val="BodyText"/>
        <w:spacing w:line="249" w:lineRule="auto"/>
        <w:ind w:left="117" w:right="127" w:firstLine="170"/>
        <w:jc w:val="both"/>
      </w:pPr>
      <w:r>
        <w:rPr/>
        <w:t>Como</w:t>
      </w:r>
      <w:r>
        <w:rPr>
          <w:spacing w:val="-9"/>
        </w:rPr>
        <w:t> </w:t>
      </w:r>
      <w:r>
        <w:rPr/>
        <w:t>se</w:t>
      </w:r>
      <w:r>
        <w:rPr>
          <w:spacing w:val="-9"/>
        </w:rPr>
        <w:t> </w:t>
      </w:r>
      <w:r>
        <w:rPr/>
        <w:t>ha</w:t>
      </w:r>
      <w:r>
        <w:rPr>
          <w:spacing w:val="-9"/>
        </w:rPr>
        <w:t> </w:t>
      </w:r>
      <w:r>
        <w:rPr/>
        <w:t>visto,</w:t>
      </w:r>
      <w:r>
        <w:rPr>
          <w:spacing w:val="-9"/>
        </w:rPr>
        <w:t> </w:t>
      </w:r>
      <w:r>
        <w:rPr/>
        <w:t>a</w:t>
      </w:r>
      <w:r>
        <w:rPr>
          <w:spacing w:val="-9"/>
        </w:rPr>
        <w:t> </w:t>
      </w:r>
      <w:r>
        <w:rPr/>
        <w:t>nivel</w:t>
      </w:r>
      <w:r>
        <w:rPr>
          <w:spacing w:val="-9"/>
        </w:rPr>
        <w:t> </w:t>
      </w:r>
      <w:r>
        <w:rPr/>
        <w:t>internacional</w:t>
      </w:r>
      <w:r>
        <w:rPr>
          <w:spacing w:val="-9"/>
        </w:rPr>
        <w:t> </w:t>
      </w:r>
      <w:r>
        <w:rPr/>
        <w:t>existen</w:t>
      </w:r>
      <w:r>
        <w:rPr>
          <w:spacing w:val="-9"/>
        </w:rPr>
        <w:t> </w:t>
      </w:r>
      <w:r>
        <w:rPr/>
        <w:t>distintas</w:t>
      </w:r>
      <w:r>
        <w:rPr>
          <w:spacing w:val="-9"/>
        </w:rPr>
        <w:t> </w:t>
      </w:r>
      <w:r>
        <w:rPr/>
        <w:t>perspectivas</w:t>
      </w:r>
      <w:r>
        <w:rPr>
          <w:spacing w:val="-9"/>
        </w:rPr>
        <w:t> </w:t>
      </w:r>
      <w:r>
        <w:rPr/>
        <w:t>en</w:t>
      </w:r>
      <w:r>
        <w:rPr>
          <w:spacing w:val="-9"/>
        </w:rPr>
        <w:t> </w:t>
      </w:r>
      <w:r>
        <w:rPr/>
        <w:t>la</w:t>
      </w:r>
      <w:r>
        <w:rPr>
          <w:spacing w:val="-9"/>
        </w:rPr>
        <w:t> </w:t>
      </w:r>
      <w:r>
        <w:rPr/>
        <w:t>concepción sobre la sustentabilidad y también como se aplica a nivel de la ciudad, así como los instrumentos y mecanismos necesarios con los cuales se puede actuar para conseguir ciudades</w:t>
      </w:r>
      <w:r>
        <w:rPr>
          <w:spacing w:val="25"/>
        </w:rPr>
        <w:t> </w:t>
      </w:r>
      <w:r>
        <w:rPr/>
        <w:t>sustentables.</w:t>
      </w:r>
    </w:p>
    <w:p>
      <w:pPr>
        <w:pStyle w:val="BodyText"/>
        <w:spacing w:before="11"/>
      </w:pPr>
    </w:p>
    <w:p>
      <w:pPr>
        <w:pStyle w:val="BodyText"/>
        <w:spacing w:line="249" w:lineRule="auto"/>
        <w:ind w:left="117" w:right="128" w:firstLine="170"/>
        <w:jc w:val="both"/>
      </w:pPr>
      <w:r>
        <w:rPr/>
        <w:t>En el caso particular de México, las instituciones públicas incorporan el concepto de sustentabilidad</w:t>
      </w:r>
      <w:r>
        <w:rPr>
          <w:spacing w:val="-12"/>
        </w:rPr>
        <w:t> </w:t>
      </w:r>
      <w:r>
        <w:rPr/>
        <w:t>en</w:t>
      </w:r>
      <w:r>
        <w:rPr>
          <w:spacing w:val="-12"/>
        </w:rPr>
        <w:t> </w:t>
      </w:r>
      <w:r>
        <w:rPr/>
        <w:t>los</w:t>
      </w:r>
      <w:r>
        <w:rPr>
          <w:spacing w:val="-12"/>
        </w:rPr>
        <w:t> </w:t>
      </w:r>
      <w:r>
        <w:rPr/>
        <w:t>diferentes</w:t>
      </w:r>
      <w:r>
        <w:rPr>
          <w:spacing w:val="-12"/>
        </w:rPr>
        <w:t> </w:t>
      </w:r>
      <w:r>
        <w:rPr/>
        <w:t>planes</w:t>
      </w:r>
      <w:r>
        <w:rPr>
          <w:spacing w:val="-12"/>
        </w:rPr>
        <w:t> </w:t>
      </w:r>
      <w:r>
        <w:rPr/>
        <w:t>y</w:t>
      </w:r>
      <w:r>
        <w:rPr>
          <w:spacing w:val="-12"/>
        </w:rPr>
        <w:t> </w:t>
      </w:r>
      <w:r>
        <w:rPr/>
        <w:t>programas</w:t>
      </w:r>
      <w:r>
        <w:rPr>
          <w:spacing w:val="-12"/>
        </w:rPr>
        <w:t> </w:t>
      </w:r>
      <w:r>
        <w:rPr/>
        <w:t>de</w:t>
      </w:r>
      <w:r>
        <w:rPr>
          <w:spacing w:val="-12"/>
        </w:rPr>
        <w:t> </w:t>
      </w:r>
      <w:r>
        <w:rPr/>
        <w:t>los</w:t>
      </w:r>
      <w:r>
        <w:rPr>
          <w:spacing w:val="-12"/>
        </w:rPr>
        <w:t> </w:t>
      </w:r>
      <w:r>
        <w:rPr/>
        <w:t>distintos</w:t>
      </w:r>
      <w:r>
        <w:rPr>
          <w:spacing w:val="-12"/>
        </w:rPr>
        <w:t> </w:t>
      </w:r>
      <w:r>
        <w:rPr/>
        <w:t>niveles</w:t>
      </w:r>
      <w:r>
        <w:rPr>
          <w:spacing w:val="-12"/>
        </w:rPr>
        <w:t> </w:t>
      </w:r>
      <w:r>
        <w:rPr/>
        <w:t>de</w:t>
      </w:r>
      <w:r>
        <w:rPr>
          <w:spacing w:val="-12"/>
        </w:rPr>
        <w:t> </w:t>
      </w:r>
      <w:r>
        <w:rPr/>
        <w:t>gobierno o escalas geográficas. Sin embargo es necesario indagar sobre la interpretación y concepción</w:t>
      </w:r>
      <w:r>
        <w:rPr>
          <w:spacing w:val="-6"/>
        </w:rPr>
        <w:t> </w:t>
      </w:r>
      <w:r>
        <w:rPr/>
        <w:t>de</w:t>
      </w:r>
      <w:r>
        <w:rPr>
          <w:spacing w:val="-6"/>
        </w:rPr>
        <w:t> </w:t>
      </w:r>
      <w:r>
        <w:rPr/>
        <w:t>sustentabilidad</w:t>
      </w:r>
      <w:r>
        <w:rPr>
          <w:spacing w:val="-6"/>
        </w:rPr>
        <w:t> </w:t>
      </w:r>
      <w:r>
        <w:rPr/>
        <w:t>opera</w:t>
      </w:r>
      <w:r>
        <w:rPr>
          <w:spacing w:val="-6"/>
        </w:rPr>
        <w:t> </w:t>
      </w:r>
      <w:r>
        <w:rPr/>
        <w:t>y</w:t>
      </w:r>
      <w:r>
        <w:rPr>
          <w:spacing w:val="-6"/>
        </w:rPr>
        <w:t> </w:t>
      </w:r>
      <w:r>
        <w:rPr/>
        <w:t>se</w:t>
      </w:r>
      <w:r>
        <w:rPr>
          <w:spacing w:val="-6"/>
        </w:rPr>
        <w:t> </w:t>
      </w:r>
      <w:r>
        <w:rPr/>
        <w:t>aplica,</w:t>
      </w:r>
      <w:r>
        <w:rPr>
          <w:spacing w:val="-6"/>
        </w:rPr>
        <w:t> </w:t>
      </w:r>
      <w:r>
        <w:rPr/>
        <w:t>situación</w:t>
      </w:r>
      <w:r>
        <w:rPr>
          <w:spacing w:val="-6"/>
        </w:rPr>
        <w:t> </w:t>
      </w:r>
      <w:r>
        <w:rPr/>
        <w:t>que</w:t>
      </w:r>
      <w:r>
        <w:rPr>
          <w:spacing w:val="-6"/>
        </w:rPr>
        <w:t> </w:t>
      </w:r>
      <w:r>
        <w:rPr/>
        <w:t>se</w:t>
      </w:r>
      <w:r>
        <w:rPr>
          <w:spacing w:val="-6"/>
        </w:rPr>
        <w:t> </w:t>
      </w:r>
      <w:r>
        <w:rPr/>
        <w:t>amplía</w:t>
      </w:r>
      <w:r>
        <w:rPr>
          <w:spacing w:val="-6"/>
        </w:rPr>
        <w:t> </w:t>
      </w:r>
      <w:r>
        <w:rPr/>
        <w:t>más</w:t>
      </w:r>
      <w:r>
        <w:rPr>
          <w:spacing w:val="-6"/>
        </w:rPr>
        <w:t> </w:t>
      </w:r>
      <w:r>
        <w:rPr/>
        <w:t>adelante.</w:t>
      </w:r>
    </w:p>
    <w:p>
      <w:pPr>
        <w:spacing w:after="0" w:line="249" w:lineRule="auto"/>
        <w:jc w:val="both"/>
        <w:sectPr>
          <w:type w:val="continuous"/>
          <w:pgSz w:w="18830" w:h="12760" w:orient="landscape"/>
          <w:pgMar w:top="1420" w:bottom="280" w:left="720" w:right="720"/>
          <w:cols w:num="2" w:equalWidth="0">
            <w:col w:w="7829" w:space="1595"/>
            <w:col w:w="7966"/>
          </w:cols>
        </w:sectPr>
      </w:pPr>
    </w:p>
    <w:p>
      <w:pPr>
        <w:pStyle w:val="BodyText"/>
        <w:spacing w:before="8"/>
      </w:pPr>
    </w:p>
    <w:p>
      <w:pPr>
        <w:spacing w:after="0"/>
        <w:sectPr>
          <w:footerReference w:type="default" r:id="rId440"/>
          <w:pgSz w:w="18830" w:h="12760" w:orient="landscape"/>
          <w:pgMar w:footer="1036" w:header="522" w:top="820" w:bottom="1220" w:left="720" w:right="720"/>
        </w:sectPr>
      </w:pPr>
    </w:p>
    <w:p>
      <w:pPr>
        <w:pStyle w:val="Heading1"/>
        <w:spacing w:line="240" w:lineRule="exact" w:before="104"/>
        <w:ind w:left="1662" w:right="3" w:hanging="980"/>
      </w:pPr>
      <w:r>
        <w:rPr/>
        <w:t>Metodología Presión-Estado-Respuesta. Adaptación para examinar la respuesta del sector público</w:t>
      </w:r>
    </w:p>
    <w:p>
      <w:pPr>
        <w:pStyle w:val="BodyText"/>
        <w:spacing w:before="2"/>
        <w:rPr>
          <w:b/>
          <w:sz w:val="21"/>
        </w:rPr>
      </w:pPr>
    </w:p>
    <w:p>
      <w:pPr>
        <w:pStyle w:val="BodyText"/>
        <w:spacing w:line="249" w:lineRule="auto" w:before="1"/>
        <w:ind w:left="131" w:firstLine="170"/>
        <w:jc w:val="both"/>
      </w:pPr>
      <w:r>
        <w:rPr/>
        <w:t>Los</w:t>
      </w:r>
      <w:r>
        <w:rPr>
          <w:spacing w:val="-21"/>
        </w:rPr>
        <w:t> </w:t>
      </w:r>
      <w:r>
        <w:rPr/>
        <w:t>indicadores</w:t>
      </w:r>
      <w:r>
        <w:rPr>
          <w:spacing w:val="-21"/>
        </w:rPr>
        <w:t> </w:t>
      </w:r>
      <w:r>
        <w:rPr/>
        <w:t>ambientales</w:t>
      </w:r>
      <w:r>
        <w:rPr>
          <w:spacing w:val="-21"/>
        </w:rPr>
        <w:t> </w:t>
      </w:r>
      <w:r>
        <w:rPr/>
        <w:t>Presión-Estado-Respuesta</w:t>
      </w:r>
      <w:r>
        <w:rPr>
          <w:spacing w:val="-21"/>
        </w:rPr>
        <w:t> </w:t>
      </w:r>
      <w:r>
        <w:rPr/>
        <w:t>(PER)</w:t>
      </w:r>
      <w:r>
        <w:rPr>
          <w:spacing w:val="-21"/>
        </w:rPr>
        <w:t> </w:t>
      </w:r>
      <w:r>
        <w:rPr/>
        <w:t>fue</w:t>
      </w:r>
      <w:r>
        <w:rPr>
          <w:spacing w:val="-21"/>
        </w:rPr>
        <w:t> </w:t>
      </w:r>
      <w:r>
        <w:rPr/>
        <w:t>uno</w:t>
      </w:r>
      <w:r>
        <w:rPr>
          <w:spacing w:val="-21"/>
        </w:rPr>
        <w:t> </w:t>
      </w:r>
      <w:r>
        <w:rPr/>
        <w:t>de</w:t>
      </w:r>
      <w:r>
        <w:rPr>
          <w:spacing w:val="-21"/>
        </w:rPr>
        <w:t> </w:t>
      </w:r>
      <w:r>
        <w:rPr/>
        <w:t>los</w:t>
      </w:r>
      <w:r>
        <w:rPr>
          <w:spacing w:val="-21"/>
        </w:rPr>
        <w:t> </w:t>
      </w:r>
      <w:r>
        <w:rPr/>
        <w:t>primeros intentos de controlar sistemáticamente en qué medida la actividad económica degrada el</w:t>
      </w:r>
      <w:r>
        <w:rPr>
          <w:spacing w:val="-11"/>
        </w:rPr>
        <w:t> </w:t>
      </w:r>
      <w:r>
        <w:rPr/>
        <w:t>sistema</w:t>
      </w:r>
      <w:r>
        <w:rPr>
          <w:spacing w:val="-11"/>
        </w:rPr>
        <w:t> </w:t>
      </w:r>
      <w:r>
        <w:rPr/>
        <w:t>biofísico</w:t>
      </w:r>
      <w:r>
        <w:rPr>
          <w:spacing w:val="-11"/>
        </w:rPr>
        <w:t> </w:t>
      </w:r>
      <w:r>
        <w:rPr/>
        <w:t>del</w:t>
      </w:r>
      <w:r>
        <w:rPr>
          <w:spacing w:val="-11"/>
        </w:rPr>
        <w:t> </w:t>
      </w:r>
      <w:r>
        <w:rPr/>
        <w:t>que</w:t>
      </w:r>
      <w:r>
        <w:rPr>
          <w:spacing w:val="-11"/>
        </w:rPr>
        <w:t> </w:t>
      </w:r>
      <w:r>
        <w:rPr/>
        <w:t>depende,</w:t>
      </w:r>
      <w:r>
        <w:rPr>
          <w:spacing w:val="-11"/>
        </w:rPr>
        <w:t> </w:t>
      </w:r>
      <w:r>
        <w:rPr/>
        <w:t>y</w:t>
      </w:r>
      <w:r>
        <w:rPr>
          <w:spacing w:val="-11"/>
        </w:rPr>
        <w:t> </w:t>
      </w:r>
      <w:r>
        <w:rPr/>
        <w:t>deriva</w:t>
      </w:r>
      <w:r>
        <w:rPr>
          <w:spacing w:val="-11"/>
        </w:rPr>
        <w:t> </w:t>
      </w:r>
      <w:r>
        <w:rPr/>
        <w:t>de</w:t>
      </w:r>
      <w:r>
        <w:rPr>
          <w:spacing w:val="-11"/>
        </w:rPr>
        <w:t> </w:t>
      </w:r>
      <w:r>
        <w:rPr/>
        <w:t>una</w:t>
      </w:r>
      <w:r>
        <w:rPr>
          <w:spacing w:val="-11"/>
        </w:rPr>
        <w:t> </w:t>
      </w:r>
      <w:r>
        <w:rPr/>
        <w:t>adaptación</w:t>
      </w:r>
      <w:r>
        <w:rPr>
          <w:spacing w:val="-11"/>
        </w:rPr>
        <w:t> </w:t>
      </w:r>
      <w:r>
        <w:rPr/>
        <w:t>y</w:t>
      </w:r>
      <w:r>
        <w:rPr>
          <w:spacing w:val="-11"/>
        </w:rPr>
        <w:t> </w:t>
      </w:r>
      <w:r>
        <w:rPr/>
        <w:t>simplificación</w:t>
      </w:r>
      <w:r>
        <w:rPr>
          <w:spacing w:val="-11"/>
        </w:rPr>
        <w:t> </w:t>
      </w:r>
      <w:r>
        <w:rPr/>
        <w:t>llevada a cabo por la OCDE del modelo estrés-respuesta propuesto en el trabajo pionero de Rapport y Friend en 1979. (Azqueta, 2007). Según la OCDE (1993) el modelo PER    se basa en el concepto de causalidad: las actividades humanas generan presiones    en el ambiente, lo cual cambia la calidad y la cantidad de los recursos naturales. La sociedad responde ante estos cambios a través de políticas ambientales, económicas y sectoriales, y ello vuelve a generar presiones en el ambiente. Este ciclo incluye percepción, formulación, monitoreo y </w:t>
      </w:r>
      <w:r>
        <w:rPr>
          <w:spacing w:val="5"/>
        </w:rPr>
        <w:t> </w:t>
      </w:r>
      <w:r>
        <w:rPr/>
        <w:t>evaluación.</w:t>
      </w:r>
    </w:p>
    <w:p>
      <w:pPr>
        <w:pStyle w:val="BodyText"/>
        <w:spacing w:before="11"/>
      </w:pPr>
    </w:p>
    <w:p>
      <w:pPr>
        <w:pStyle w:val="BodyText"/>
        <w:spacing w:line="249" w:lineRule="auto"/>
        <w:ind w:left="131" w:firstLine="170"/>
        <w:jc w:val="both"/>
      </w:pPr>
      <w:r>
        <w:rPr/>
        <w:t>El</w:t>
      </w:r>
      <w:r>
        <w:rPr>
          <w:spacing w:val="35"/>
        </w:rPr>
        <w:t> </w:t>
      </w:r>
      <w:r>
        <w:rPr/>
        <w:t>modelo</w:t>
      </w:r>
      <w:r>
        <w:rPr>
          <w:spacing w:val="35"/>
        </w:rPr>
        <w:t> </w:t>
      </w:r>
      <w:r>
        <w:rPr/>
        <w:t>PER</w:t>
      </w:r>
      <w:r>
        <w:rPr>
          <w:spacing w:val="35"/>
        </w:rPr>
        <w:t> </w:t>
      </w:r>
      <w:r>
        <w:rPr/>
        <w:t>está</w:t>
      </w:r>
      <w:r>
        <w:rPr>
          <w:spacing w:val="35"/>
        </w:rPr>
        <w:t> </w:t>
      </w:r>
      <w:r>
        <w:rPr/>
        <w:t>formulado</w:t>
      </w:r>
      <w:r>
        <w:rPr>
          <w:spacing w:val="35"/>
        </w:rPr>
        <w:t> </w:t>
      </w:r>
      <w:r>
        <w:rPr/>
        <w:t>por</w:t>
      </w:r>
      <w:r>
        <w:rPr>
          <w:spacing w:val="35"/>
        </w:rPr>
        <w:t> </w:t>
      </w:r>
      <w:r>
        <w:rPr/>
        <w:t>un</w:t>
      </w:r>
      <w:r>
        <w:rPr>
          <w:spacing w:val="35"/>
        </w:rPr>
        <w:t> </w:t>
      </w:r>
      <w:r>
        <w:rPr/>
        <w:t>sistema</w:t>
      </w:r>
      <w:r>
        <w:rPr>
          <w:spacing w:val="35"/>
        </w:rPr>
        <w:t> </w:t>
      </w:r>
      <w:r>
        <w:rPr/>
        <w:t>de</w:t>
      </w:r>
      <w:r>
        <w:rPr>
          <w:spacing w:val="35"/>
        </w:rPr>
        <w:t> </w:t>
      </w:r>
      <w:r>
        <w:rPr/>
        <w:t>indicadores:</w:t>
      </w:r>
      <w:r>
        <w:rPr>
          <w:spacing w:val="35"/>
        </w:rPr>
        <w:t> </w:t>
      </w:r>
      <w:r>
        <w:rPr/>
        <w:t>a)</w:t>
      </w:r>
      <w:r>
        <w:rPr>
          <w:spacing w:val="35"/>
        </w:rPr>
        <w:t> </w:t>
      </w:r>
      <w:r>
        <w:rPr/>
        <w:t>Indicadores</w:t>
      </w:r>
      <w:r>
        <w:rPr>
          <w:spacing w:val="35"/>
        </w:rPr>
        <w:t> </w:t>
      </w:r>
      <w:r>
        <w:rPr/>
        <w:t>de</w:t>
      </w:r>
      <w:r>
        <w:rPr>
          <w:w w:val="101"/>
        </w:rPr>
        <w:t> </w:t>
      </w:r>
      <w:r>
        <w:rPr/>
        <w:t>presión, que describen las presiones que ejercen las actividades humanas sobre el medio ambiente; b) Indicadores de estado (o de condiciones ambientales), que están relacionados tanto con la calidad del medio ambiente, como en el stock disponible     de recursos naturales, y reflejan los objetivos últimos de la sociedad con respecto al medio ambiente, contenidos parcialmente en las políticas ambientales; y c)</w:t>
      </w:r>
      <w:r>
        <w:rPr>
          <w:spacing w:val="-34"/>
        </w:rPr>
        <w:t> </w:t>
      </w:r>
      <w:r>
        <w:rPr/>
        <w:t>Indicadores de respuesta social, que muestran hasta  qué  punto  la  sociedad  da  respuesta  a sus preocupaciones ambientales. Se refiera a acciones colectivas e individuales encaminadas a mitigar, adaptar o prevenir efectos negativos sobre el ambiente, provocados</w:t>
      </w:r>
      <w:r>
        <w:rPr>
          <w:spacing w:val="24"/>
        </w:rPr>
        <w:t> </w:t>
      </w:r>
      <w:r>
        <w:rPr/>
        <w:t>por</w:t>
      </w:r>
      <w:r>
        <w:rPr>
          <w:spacing w:val="24"/>
        </w:rPr>
        <w:t> </w:t>
      </w:r>
      <w:r>
        <w:rPr/>
        <w:t>el</w:t>
      </w:r>
      <w:r>
        <w:rPr>
          <w:spacing w:val="24"/>
        </w:rPr>
        <w:t> </w:t>
      </w:r>
      <w:r>
        <w:rPr/>
        <w:t>ser</w:t>
      </w:r>
      <w:r>
        <w:rPr>
          <w:spacing w:val="24"/>
        </w:rPr>
        <w:t> </w:t>
      </w:r>
      <w:r>
        <w:rPr/>
        <w:t>humano,</w:t>
      </w:r>
      <w:r>
        <w:rPr>
          <w:spacing w:val="24"/>
        </w:rPr>
        <w:t> </w:t>
      </w:r>
      <w:r>
        <w:rPr/>
        <w:t>detener</w:t>
      </w:r>
      <w:r>
        <w:rPr>
          <w:spacing w:val="24"/>
        </w:rPr>
        <w:t> </w:t>
      </w:r>
      <w:r>
        <w:rPr/>
        <w:t>o</w:t>
      </w:r>
      <w:r>
        <w:rPr>
          <w:spacing w:val="24"/>
        </w:rPr>
        <w:t> </w:t>
      </w:r>
      <w:r>
        <w:rPr/>
        <w:t>reparar</w:t>
      </w:r>
      <w:r>
        <w:rPr>
          <w:spacing w:val="24"/>
        </w:rPr>
        <w:t> </w:t>
      </w:r>
      <w:r>
        <w:rPr/>
        <w:t>el</w:t>
      </w:r>
      <w:r>
        <w:rPr>
          <w:spacing w:val="24"/>
        </w:rPr>
        <w:t> </w:t>
      </w:r>
      <w:r>
        <w:rPr/>
        <w:t>daño</w:t>
      </w:r>
      <w:r>
        <w:rPr>
          <w:spacing w:val="24"/>
        </w:rPr>
        <w:t> </w:t>
      </w:r>
      <w:r>
        <w:rPr/>
        <w:t>ambiental</w:t>
      </w:r>
      <w:r>
        <w:rPr>
          <w:spacing w:val="24"/>
        </w:rPr>
        <w:t> </w:t>
      </w:r>
      <w:r>
        <w:rPr/>
        <w:t>ya</w:t>
      </w:r>
      <w:r>
        <w:rPr>
          <w:spacing w:val="24"/>
        </w:rPr>
        <w:t> </w:t>
      </w:r>
      <w:r>
        <w:rPr/>
        <w:t>infligido,</w:t>
      </w:r>
      <w:r>
        <w:rPr>
          <w:spacing w:val="24"/>
        </w:rPr>
        <w:t> </w:t>
      </w:r>
      <w:r>
        <w:rPr/>
        <w:t>y</w:t>
      </w:r>
      <w:r>
        <w:rPr>
          <w:spacing w:val="24"/>
        </w:rPr>
        <w:t> </w:t>
      </w:r>
      <w:r>
        <w:rPr/>
        <w:t>a</w:t>
      </w:r>
      <w:r>
        <w:rPr>
          <w:w w:val="96"/>
        </w:rPr>
        <w:t> </w:t>
      </w:r>
      <w:r>
        <w:rPr/>
        <w:t>preservar y conservar la naturaleza de sus recursos. (Azqueta,</w:t>
      </w:r>
      <w:r>
        <w:rPr>
          <w:spacing w:val="-37"/>
        </w:rPr>
        <w:t> </w:t>
      </w:r>
      <w:r>
        <w:rPr/>
        <w:t>2007)</w:t>
      </w:r>
    </w:p>
    <w:p>
      <w:pPr>
        <w:pStyle w:val="BodyText"/>
        <w:spacing w:before="11"/>
      </w:pPr>
    </w:p>
    <w:p>
      <w:pPr>
        <w:pStyle w:val="BodyText"/>
        <w:spacing w:line="249" w:lineRule="auto"/>
        <w:ind w:left="131" w:firstLine="170"/>
        <w:jc w:val="both"/>
      </w:pPr>
      <w:r>
        <w:rPr/>
        <w:t>De acuerdo a Polanco (2006), la ventaja del modelo PER es que puede ser aplicado global</w:t>
      </w:r>
      <w:r>
        <w:rPr>
          <w:spacing w:val="-8"/>
        </w:rPr>
        <w:t> </w:t>
      </w:r>
      <w:r>
        <w:rPr/>
        <w:t>o</w:t>
      </w:r>
      <w:r>
        <w:rPr>
          <w:spacing w:val="-8"/>
        </w:rPr>
        <w:t> </w:t>
      </w:r>
      <w:r>
        <w:rPr/>
        <w:t>sectorialmente</w:t>
      </w:r>
      <w:r>
        <w:rPr>
          <w:spacing w:val="-8"/>
        </w:rPr>
        <w:t> </w:t>
      </w:r>
      <w:r>
        <w:rPr/>
        <w:t>para</w:t>
      </w:r>
      <w:r>
        <w:rPr>
          <w:spacing w:val="-8"/>
        </w:rPr>
        <w:t> </w:t>
      </w:r>
      <w:r>
        <w:rPr/>
        <w:t>una</w:t>
      </w:r>
      <w:r>
        <w:rPr>
          <w:spacing w:val="-8"/>
        </w:rPr>
        <w:t> </w:t>
      </w:r>
      <w:r>
        <w:rPr/>
        <w:t>variable</w:t>
      </w:r>
      <w:r>
        <w:rPr>
          <w:spacing w:val="-8"/>
        </w:rPr>
        <w:t> </w:t>
      </w:r>
      <w:r>
        <w:rPr/>
        <w:t>o</w:t>
      </w:r>
      <w:r>
        <w:rPr>
          <w:spacing w:val="-8"/>
        </w:rPr>
        <w:t> </w:t>
      </w:r>
      <w:r>
        <w:rPr/>
        <w:t>un</w:t>
      </w:r>
      <w:r>
        <w:rPr>
          <w:spacing w:val="-8"/>
        </w:rPr>
        <w:t> </w:t>
      </w:r>
      <w:r>
        <w:rPr/>
        <w:t>conjunto</w:t>
      </w:r>
      <w:r>
        <w:rPr>
          <w:spacing w:val="-8"/>
        </w:rPr>
        <w:t> </w:t>
      </w:r>
      <w:r>
        <w:rPr/>
        <w:t>de</w:t>
      </w:r>
      <w:r>
        <w:rPr>
          <w:spacing w:val="-8"/>
        </w:rPr>
        <w:t> </w:t>
      </w:r>
      <w:r>
        <w:rPr/>
        <w:t>ellas,</w:t>
      </w:r>
      <w:r>
        <w:rPr>
          <w:spacing w:val="-8"/>
        </w:rPr>
        <w:t> </w:t>
      </w:r>
      <w:r>
        <w:rPr/>
        <w:t>a</w:t>
      </w:r>
      <w:r>
        <w:rPr>
          <w:spacing w:val="-8"/>
        </w:rPr>
        <w:t> </w:t>
      </w:r>
      <w:r>
        <w:rPr/>
        <w:t>escala</w:t>
      </w:r>
      <w:r>
        <w:rPr>
          <w:spacing w:val="-8"/>
        </w:rPr>
        <w:t> </w:t>
      </w:r>
      <w:r>
        <w:rPr/>
        <w:t>local,</w:t>
      </w:r>
      <w:r>
        <w:rPr>
          <w:spacing w:val="-8"/>
        </w:rPr>
        <w:t> </w:t>
      </w:r>
      <w:r>
        <w:rPr/>
        <w:t>regional o</w:t>
      </w:r>
      <w:r>
        <w:rPr>
          <w:spacing w:val="12"/>
        </w:rPr>
        <w:t> </w:t>
      </w:r>
      <w:r>
        <w:rPr/>
        <w:t>internacional,</w:t>
      </w:r>
      <w:r>
        <w:rPr>
          <w:spacing w:val="12"/>
        </w:rPr>
        <w:t> </w:t>
      </w:r>
      <w:r>
        <w:rPr/>
        <w:t>en</w:t>
      </w:r>
      <w:r>
        <w:rPr>
          <w:spacing w:val="12"/>
        </w:rPr>
        <w:t> </w:t>
      </w:r>
      <w:r>
        <w:rPr/>
        <w:t>un</w:t>
      </w:r>
      <w:r>
        <w:rPr>
          <w:spacing w:val="12"/>
        </w:rPr>
        <w:t> </w:t>
      </w:r>
      <w:r>
        <w:rPr/>
        <w:t>momento</w:t>
      </w:r>
      <w:r>
        <w:rPr>
          <w:spacing w:val="12"/>
        </w:rPr>
        <w:t> </w:t>
      </w:r>
      <w:r>
        <w:rPr/>
        <w:t>dado</w:t>
      </w:r>
      <w:r>
        <w:rPr>
          <w:spacing w:val="12"/>
        </w:rPr>
        <w:t> </w:t>
      </w:r>
      <w:r>
        <w:rPr/>
        <w:t>o</w:t>
      </w:r>
      <w:r>
        <w:rPr>
          <w:spacing w:val="12"/>
        </w:rPr>
        <w:t> </w:t>
      </w:r>
      <w:r>
        <w:rPr/>
        <w:t>en</w:t>
      </w:r>
      <w:r>
        <w:rPr>
          <w:spacing w:val="12"/>
        </w:rPr>
        <w:t> </w:t>
      </w:r>
      <w:r>
        <w:rPr/>
        <w:t>un</w:t>
      </w:r>
      <w:r>
        <w:rPr>
          <w:spacing w:val="12"/>
        </w:rPr>
        <w:t> </w:t>
      </w:r>
      <w:r>
        <w:rPr/>
        <w:t>período;</w:t>
      </w:r>
      <w:r>
        <w:rPr>
          <w:spacing w:val="12"/>
        </w:rPr>
        <w:t> </w:t>
      </w:r>
      <w:r>
        <w:rPr/>
        <w:t>y</w:t>
      </w:r>
      <w:r>
        <w:rPr>
          <w:spacing w:val="12"/>
        </w:rPr>
        <w:t> </w:t>
      </w:r>
      <w:r>
        <w:rPr/>
        <w:t>cada</w:t>
      </w:r>
      <w:r>
        <w:rPr>
          <w:spacing w:val="12"/>
        </w:rPr>
        <w:t> </w:t>
      </w:r>
      <w:r>
        <w:rPr/>
        <w:t>apartado</w:t>
      </w:r>
      <w:r>
        <w:rPr>
          <w:spacing w:val="12"/>
        </w:rPr>
        <w:t> </w:t>
      </w:r>
      <w:r>
        <w:rPr/>
        <w:t>de</w:t>
      </w:r>
      <w:r>
        <w:rPr>
          <w:spacing w:val="12"/>
        </w:rPr>
        <w:t> </w:t>
      </w:r>
      <w:r>
        <w:rPr/>
        <w:t>la</w:t>
      </w:r>
      <w:r>
        <w:rPr>
          <w:spacing w:val="12"/>
        </w:rPr>
        <w:t> </w:t>
      </w:r>
      <w:r>
        <w:rPr/>
        <w:t>fórmula</w:t>
      </w:r>
      <w:r>
        <w:rPr>
          <w:w w:val="101"/>
        </w:rPr>
        <w:t> </w:t>
      </w:r>
      <w:r>
        <w:rPr/>
        <w:t>genérica PER puede ser ajustado en su contenido, mejorando la especificidad al tema. Al respecto, Gutiérrez (2013) indica que la heterogeneidad ambiental y sociocultural</w:t>
      </w:r>
      <w:r>
        <w:rPr>
          <w:spacing w:val="-12"/>
        </w:rPr>
        <w:t> </w:t>
      </w:r>
      <w:r>
        <w:rPr/>
        <w:t>de las regiones del país varía en gran medida, por lo que es importante realizar estudios específicos sobre evaluación de sustentabilidad a nivel</w:t>
      </w:r>
      <w:r>
        <w:rPr>
          <w:spacing w:val="45"/>
        </w:rPr>
        <w:t> </w:t>
      </w:r>
      <w:r>
        <w:rPr/>
        <w:t>local.</w:t>
      </w:r>
    </w:p>
    <w:p>
      <w:pPr>
        <w:pStyle w:val="BodyText"/>
        <w:spacing w:before="11"/>
      </w:pPr>
    </w:p>
    <w:p>
      <w:pPr>
        <w:pStyle w:val="BodyText"/>
        <w:spacing w:line="249" w:lineRule="auto"/>
        <w:ind w:left="131" w:firstLine="170"/>
        <w:jc w:val="both"/>
      </w:pPr>
      <w:r>
        <w:rPr/>
        <w:t>No obstante, es necesario aclarar que el modelo PER es demandante en cuanto a   la información para obtener cada indicador y requiere de un entramado institucional para una adecuada colección y cruce de fuentes de información. Para el caso de estudio, Zona Metropolitana de Toluca, dada la escasa información existente, para     la configuración metropolitana, heterogeneidad del tipo de indicador, monitoreo y sistematicidad, o bien, la imposibilidad de comparabilidad de los datos en materia ambiental, se ha considerado su adaptación y </w:t>
      </w:r>
      <w:r>
        <w:rPr>
          <w:spacing w:val="8"/>
        </w:rPr>
        <w:t> </w:t>
      </w:r>
      <w:r>
        <w:rPr/>
        <w:t>acotamiento.</w:t>
      </w:r>
    </w:p>
    <w:p>
      <w:pPr>
        <w:pStyle w:val="BodyText"/>
        <w:spacing w:line="249" w:lineRule="auto" w:before="109"/>
        <w:ind w:left="131" w:right="128" w:firstLine="170"/>
        <w:jc w:val="both"/>
      </w:pPr>
      <w:r>
        <w:rPr/>
        <w:br w:type="column"/>
      </w:r>
      <w:r>
        <w:rPr/>
        <w:t>En</w:t>
      </w:r>
      <w:r>
        <w:rPr>
          <w:spacing w:val="-14"/>
        </w:rPr>
        <w:t> </w:t>
      </w:r>
      <w:r>
        <w:rPr/>
        <w:t>este</w:t>
      </w:r>
      <w:r>
        <w:rPr>
          <w:spacing w:val="-14"/>
        </w:rPr>
        <w:t> </w:t>
      </w:r>
      <w:r>
        <w:rPr/>
        <w:t>trabajo</w:t>
      </w:r>
      <w:r>
        <w:rPr>
          <w:spacing w:val="-14"/>
        </w:rPr>
        <w:t> </w:t>
      </w:r>
      <w:r>
        <w:rPr/>
        <w:t>se</w:t>
      </w:r>
      <w:r>
        <w:rPr>
          <w:spacing w:val="-14"/>
        </w:rPr>
        <w:t> </w:t>
      </w:r>
      <w:r>
        <w:rPr/>
        <w:t>optó</w:t>
      </w:r>
      <w:r>
        <w:rPr>
          <w:spacing w:val="-14"/>
        </w:rPr>
        <w:t> </w:t>
      </w:r>
      <w:r>
        <w:rPr/>
        <w:t>por</w:t>
      </w:r>
      <w:r>
        <w:rPr>
          <w:spacing w:val="-14"/>
        </w:rPr>
        <w:t> </w:t>
      </w:r>
      <w:r>
        <w:rPr/>
        <w:t>utilizar</w:t>
      </w:r>
      <w:r>
        <w:rPr>
          <w:spacing w:val="-14"/>
        </w:rPr>
        <w:t> </w:t>
      </w:r>
      <w:r>
        <w:rPr/>
        <w:t>únicamente</w:t>
      </w:r>
      <w:r>
        <w:rPr>
          <w:spacing w:val="-14"/>
        </w:rPr>
        <w:t> </w:t>
      </w:r>
      <w:r>
        <w:rPr/>
        <w:t>el</w:t>
      </w:r>
      <w:r>
        <w:rPr>
          <w:spacing w:val="-14"/>
        </w:rPr>
        <w:t> </w:t>
      </w:r>
      <w:r>
        <w:rPr/>
        <w:t>apartado</w:t>
      </w:r>
      <w:r>
        <w:rPr>
          <w:spacing w:val="-14"/>
        </w:rPr>
        <w:t> </w:t>
      </w:r>
      <w:r>
        <w:rPr/>
        <w:t>de</w:t>
      </w:r>
      <w:r>
        <w:rPr>
          <w:spacing w:val="-14"/>
        </w:rPr>
        <w:t> </w:t>
      </w:r>
      <w:r>
        <w:rPr/>
        <w:t>“Respuesta”,</w:t>
      </w:r>
      <w:r>
        <w:rPr>
          <w:spacing w:val="-14"/>
        </w:rPr>
        <w:t> </w:t>
      </w:r>
      <w:r>
        <w:rPr/>
        <w:t>para</w:t>
      </w:r>
      <w:r>
        <w:rPr>
          <w:spacing w:val="-14"/>
        </w:rPr>
        <w:t> </w:t>
      </w:r>
      <w:r>
        <w:rPr/>
        <w:t>el</w:t>
      </w:r>
      <w:r>
        <w:rPr>
          <w:spacing w:val="-14"/>
        </w:rPr>
        <w:t> </w:t>
      </w:r>
      <w:r>
        <w:rPr/>
        <w:t>que se realizó la revisión documental en relación a las respuestas del sector público ante  la expansión urbana en la Zona Metropolitana de Toluca es decir, planes, programas, políticas y acciones de carácter ambientales sustentables específicas de suelo, agua   y atmósfera. Todo lo cual se compara con base en las condiciones ambientales, el “Estado”, para poder evaluar si existe sustentabilidad </w:t>
      </w:r>
      <w:r>
        <w:rPr>
          <w:spacing w:val="38"/>
        </w:rPr>
        <w:t> </w:t>
      </w:r>
      <w:r>
        <w:rPr/>
        <w:t>metropolitana.</w:t>
      </w:r>
    </w:p>
    <w:p>
      <w:pPr>
        <w:pStyle w:val="BodyText"/>
        <w:spacing w:before="6"/>
      </w:pPr>
    </w:p>
    <w:p>
      <w:pPr>
        <w:pStyle w:val="Heading1"/>
        <w:spacing w:line="240" w:lineRule="exact"/>
        <w:ind w:left="1780" w:hanging="1075"/>
      </w:pPr>
      <w:r>
        <w:rPr/>
        <w:t>Análisis del diagnóstico, políticas y acciones ambientales sustentables de mitigación, en la ZMT.</w:t>
      </w:r>
    </w:p>
    <w:p>
      <w:pPr>
        <w:pStyle w:val="BodyText"/>
        <w:spacing w:before="2"/>
        <w:rPr>
          <w:b/>
          <w:sz w:val="21"/>
        </w:rPr>
      </w:pPr>
    </w:p>
    <w:p>
      <w:pPr>
        <w:pStyle w:val="BodyText"/>
        <w:spacing w:line="249" w:lineRule="auto" w:before="1"/>
        <w:ind w:left="131" w:right="128" w:firstLine="170"/>
        <w:jc w:val="both"/>
      </w:pPr>
      <w:r>
        <w:rPr/>
        <w:t>En el caso de México, la política ambiental se estuvo inmersa en el Sistema de Planeación Nacional para el Desarrollo, hasta la expedición de la Ley General de Equilibrio Ecológico y Protección al Ambiente (LEGEEPA), en donde se incorporó en  el artículo 17 la idea de planeación de la política ambiental, enfatizando en los</w:t>
      </w:r>
      <w:r>
        <w:rPr>
          <w:spacing w:val="-32"/>
        </w:rPr>
        <w:t> </w:t>
      </w:r>
      <w:r>
        <w:rPr/>
        <w:t>campos económico  y  social  (Quintana,  2013).  Las  bases   jurídicas   para   la   planeación en  México,  aparecen  en  los  artículos  25  y  26  de  la  Constitución  Política  de   los Estados Unidos Mexicanos, en donde </w:t>
      </w:r>
      <w:r>
        <w:rPr>
          <w:spacing w:val="5"/>
        </w:rPr>
        <w:t>emanan </w:t>
      </w:r>
      <w:r>
        <w:rPr/>
        <w:t>políticas ambientales, éstas son: Ley de Planeación, Ley General de Equilibrio Ecológico y Protección al Ambiente (artículos:  1,  2,  3,  5,  7,  8,   15, 16, 17, 18, 19, 19-bis, 20, 20-bis 1, 20 bis-2,</w:t>
      </w:r>
      <w:r>
        <w:rPr>
          <w:spacing w:val="-23"/>
        </w:rPr>
        <w:t> </w:t>
      </w:r>
      <w:r>
        <w:rPr/>
        <w:t>20-bis3,</w:t>
      </w:r>
    </w:p>
    <w:p>
      <w:pPr>
        <w:pStyle w:val="BodyText"/>
        <w:spacing w:before="1"/>
        <w:ind w:left="131"/>
      </w:pPr>
      <w:r>
        <w:rPr/>
        <w:t>20-bis 4, 20-bis 5, 20-bis 6, 20-bis 7  y </w:t>
      </w:r>
      <w:r>
        <w:rPr>
          <w:spacing w:val="51"/>
        </w:rPr>
        <w:t> </w:t>
      </w:r>
      <w:r>
        <w:rPr/>
        <w:t>23);</w:t>
      </w:r>
    </w:p>
    <w:p>
      <w:pPr>
        <w:pStyle w:val="BodyText"/>
        <w:spacing w:before="8"/>
        <w:rPr>
          <w:sz w:val="21"/>
        </w:rPr>
      </w:pPr>
    </w:p>
    <w:p>
      <w:pPr>
        <w:pStyle w:val="BodyText"/>
        <w:spacing w:line="249" w:lineRule="auto"/>
        <w:ind w:left="131" w:right="128" w:firstLine="170"/>
        <w:jc w:val="both"/>
      </w:pPr>
      <w:r>
        <w:rPr/>
        <w:t>Ley Federal de Caza, Ley Agraria, Ley General de Desarrollo Forestal Sustentable, Ley de Bioseguridad de Organismos Genéticamente Modificados, y Ley General para la Prevención y Gestión Integral de los Residuos.</w:t>
      </w:r>
    </w:p>
    <w:p>
      <w:pPr>
        <w:pStyle w:val="BodyText"/>
        <w:spacing w:before="11"/>
      </w:pPr>
    </w:p>
    <w:p>
      <w:pPr>
        <w:pStyle w:val="BodyText"/>
        <w:spacing w:line="249" w:lineRule="auto"/>
        <w:ind w:left="131" w:right="129" w:firstLine="170"/>
        <w:jc w:val="both"/>
      </w:pPr>
      <w:r>
        <w:rPr/>
        <w:t>En el Estado de México, los años noventa fue la década de la institucionalidad y definición del marco jurídico para la atención al ambiente, la cual inició con un enfoque sobre la ecología para luego abarcar mayor </w:t>
      </w:r>
      <w:r>
        <w:rPr>
          <w:spacing w:val="10"/>
        </w:rPr>
        <w:t>número </w:t>
      </w:r>
      <w:r>
        <w:rPr>
          <w:spacing w:val="6"/>
        </w:rPr>
        <w:t>de </w:t>
      </w:r>
      <w:r>
        <w:rPr>
          <w:spacing w:val="10"/>
        </w:rPr>
        <w:t>rubros. </w:t>
      </w:r>
      <w:r>
        <w:rPr>
          <w:spacing w:val="9"/>
        </w:rPr>
        <w:t>Surge </w:t>
      </w:r>
      <w:r>
        <w:rPr>
          <w:spacing w:val="8"/>
        </w:rPr>
        <w:t>con </w:t>
      </w:r>
      <w:r>
        <w:rPr/>
        <w:t>la Secretaría de Ecología creada en 1991 con el objeto d e preservación y conservación del  entorno  natural al tiempo que se promulgó la Ley de  Protección  al  Ambiente   del  Estado  de  México, luego se expide e l  reglamento  para   prevenir  y  controlar   la contaminación atmosférica en los años 1992-1993. En la segunda mitad de los noventa se da un cambio de nombre que deja ver nuevo enfoque, ésta es la Ley de Protección al Ambiente para el  Desarrollo  Sustentable  en  el  Estado  de  México  que se pone en marcha en 1998, lo que suscitó que a la secretaría se le denominara Secretaría del Medio Ambiente. Para 2006 se aprueba el Código de Biodiversidad del Estado de México (Ferrusca y Cordero, 2011). Cada perspectiva sobre el ambiente ha sido referida sexenalmente en los documentos de planeación, los planes y programas sectoriales de desarrollo estatal y</w:t>
      </w:r>
      <w:r>
        <w:rPr>
          <w:spacing w:val="35"/>
        </w:rPr>
        <w:t> </w:t>
      </w:r>
      <w:r>
        <w:rPr/>
        <w:t>municipal.</w:t>
      </w:r>
    </w:p>
    <w:p>
      <w:pPr>
        <w:spacing w:after="0" w:line="249" w:lineRule="auto"/>
        <w:jc w:val="both"/>
        <w:sectPr>
          <w:type w:val="continuous"/>
          <w:pgSz w:w="18830" w:h="12760" w:orient="landscape"/>
          <w:pgMar w:top="1420" w:bottom="280" w:left="720" w:right="720"/>
          <w:cols w:num="2" w:equalWidth="0">
            <w:col w:w="7843" w:space="1566"/>
            <w:col w:w="7981"/>
          </w:cols>
        </w:sectPr>
      </w:pPr>
    </w:p>
    <w:p>
      <w:pPr>
        <w:pStyle w:val="BodyText"/>
        <w:spacing w:before="6"/>
        <w:rPr>
          <w:sz w:val="23"/>
        </w:rPr>
      </w:pPr>
    </w:p>
    <w:p>
      <w:pPr>
        <w:spacing w:after="0"/>
        <w:rPr>
          <w:sz w:val="23"/>
        </w:rPr>
        <w:sectPr>
          <w:footerReference w:type="default" r:id="rId441"/>
          <w:pgSz w:w="18830" w:h="12760" w:orient="landscape"/>
          <w:pgMar w:footer="1036" w:header="522" w:top="820" w:bottom="1220" w:left="720" w:right="720"/>
        </w:sectPr>
      </w:pPr>
    </w:p>
    <w:p>
      <w:pPr>
        <w:pStyle w:val="BodyText"/>
        <w:spacing w:line="249" w:lineRule="auto" w:before="76"/>
        <w:ind w:left="144" w:right="11" w:firstLine="170"/>
        <w:jc w:val="both"/>
      </w:pPr>
      <w:r>
        <w:rPr/>
        <w:t>De manera que en México y en particular en el Estado de México, existe un marco regulatorio con lo que están dadas las condiciones para la atención al ambiente, sin embargo la implementación y criterios de seguimiento de alcances y gestión de cada concepción requiere ser examinado en las ciudades mexiquenses, para lo cual se selecciona un caso de estudio.</w:t>
      </w:r>
    </w:p>
    <w:p>
      <w:pPr>
        <w:pStyle w:val="BodyText"/>
        <w:spacing w:before="11"/>
      </w:pPr>
    </w:p>
    <w:p>
      <w:pPr>
        <w:pStyle w:val="BodyText"/>
        <w:spacing w:line="249" w:lineRule="auto"/>
        <w:ind w:left="144" w:right="11" w:firstLine="170"/>
        <w:jc w:val="both"/>
      </w:pPr>
      <w:r>
        <w:rPr/>
        <w:t>Existe consenso que el proceso de metropolización en la ciudad de Toluca inició en la década del setenta, luego del impulso industrial y creación del corredor industrial Toluca-Lerma. La actividad económica detonó crecimiento sociodemográfico y expansión física que se acelera en décadas posteriores. (Montoya, 1995, Arteaga y Alfaro,</w:t>
      </w:r>
      <w:r>
        <w:rPr>
          <w:spacing w:val="-7"/>
        </w:rPr>
        <w:t> </w:t>
      </w:r>
      <w:r>
        <w:rPr/>
        <w:t>2001</w:t>
      </w:r>
      <w:r>
        <w:rPr>
          <w:spacing w:val="-7"/>
        </w:rPr>
        <w:t> </w:t>
      </w:r>
      <w:r>
        <w:rPr/>
        <w:t>y</w:t>
      </w:r>
      <w:r>
        <w:rPr>
          <w:spacing w:val="-7"/>
        </w:rPr>
        <w:t> </w:t>
      </w:r>
      <w:r>
        <w:rPr/>
        <w:t>Aranda</w:t>
      </w:r>
      <w:r>
        <w:rPr>
          <w:spacing w:val="-7"/>
        </w:rPr>
        <w:t> </w:t>
      </w:r>
      <w:r>
        <w:rPr/>
        <w:t>y</w:t>
      </w:r>
      <w:r>
        <w:rPr>
          <w:spacing w:val="-7"/>
        </w:rPr>
        <w:t> </w:t>
      </w:r>
      <w:r>
        <w:rPr/>
        <w:t>otros</w:t>
      </w:r>
      <w:r>
        <w:rPr>
          <w:spacing w:val="-7"/>
        </w:rPr>
        <w:t> </w:t>
      </w:r>
      <w:r>
        <w:rPr/>
        <w:t>2000).</w:t>
      </w:r>
      <w:r>
        <w:rPr>
          <w:spacing w:val="-7"/>
        </w:rPr>
        <w:t> </w:t>
      </w:r>
      <w:r>
        <w:rPr/>
        <w:t>En</w:t>
      </w:r>
      <w:r>
        <w:rPr>
          <w:spacing w:val="-7"/>
        </w:rPr>
        <w:t> </w:t>
      </w:r>
      <w:r>
        <w:rPr/>
        <w:t>los</w:t>
      </w:r>
      <w:r>
        <w:rPr>
          <w:spacing w:val="-7"/>
        </w:rPr>
        <w:t> </w:t>
      </w:r>
      <w:r>
        <w:rPr/>
        <w:t>años</w:t>
      </w:r>
      <w:r>
        <w:rPr>
          <w:spacing w:val="-7"/>
        </w:rPr>
        <w:t> </w:t>
      </w:r>
      <w:r>
        <w:rPr/>
        <w:t>ochenta,</w:t>
      </w:r>
      <w:r>
        <w:rPr>
          <w:spacing w:val="-7"/>
        </w:rPr>
        <w:t> </w:t>
      </w:r>
      <w:r>
        <w:rPr/>
        <w:t>la</w:t>
      </w:r>
      <w:r>
        <w:rPr>
          <w:spacing w:val="-7"/>
        </w:rPr>
        <w:t> </w:t>
      </w:r>
      <w:r>
        <w:rPr/>
        <w:t>zona</w:t>
      </w:r>
      <w:r>
        <w:rPr>
          <w:spacing w:val="-7"/>
        </w:rPr>
        <w:t> </w:t>
      </w:r>
      <w:r>
        <w:rPr/>
        <w:t>metropolitana</w:t>
      </w:r>
      <w:r>
        <w:rPr>
          <w:spacing w:val="-7"/>
        </w:rPr>
        <w:t> </w:t>
      </w:r>
      <w:r>
        <w:rPr/>
        <w:t>reporta problemas de organización en la parte central en tanto la periferia urbana avanza en el entorno,</w:t>
      </w:r>
    </w:p>
    <w:p>
      <w:pPr>
        <w:pStyle w:val="BodyText"/>
        <w:spacing w:before="11"/>
      </w:pPr>
    </w:p>
    <w:p>
      <w:pPr>
        <w:pStyle w:val="BodyText"/>
        <w:spacing w:line="249" w:lineRule="auto"/>
        <w:ind w:left="144" w:right="11" w:firstLine="170"/>
        <w:jc w:val="right"/>
      </w:pPr>
      <w:r>
        <w:rPr/>
        <w:t>Los años setenta y ochenta, del acelerado proceso de urbanización</w:t>
      </w:r>
      <w:r>
        <w:rPr>
          <w:spacing w:val="27"/>
        </w:rPr>
        <w:t> </w:t>
      </w:r>
      <w:r>
        <w:rPr/>
        <w:t>transcurren</w:t>
      </w:r>
      <w:r>
        <w:rPr>
          <w:spacing w:val="8"/>
        </w:rPr>
        <w:t> </w:t>
      </w:r>
      <w:r>
        <w:rPr/>
        <w:t>con</w:t>
      </w:r>
      <w:r>
        <w:rPr>
          <w:w w:val="103"/>
        </w:rPr>
        <w:t> </w:t>
      </w:r>
      <w:r>
        <w:rPr/>
        <w:t>ausencia</w:t>
      </w:r>
      <w:r>
        <w:rPr>
          <w:spacing w:val="-9"/>
        </w:rPr>
        <w:t> </w:t>
      </w:r>
      <w:r>
        <w:rPr/>
        <w:t>de</w:t>
      </w:r>
      <w:r>
        <w:rPr>
          <w:spacing w:val="-9"/>
        </w:rPr>
        <w:t> </w:t>
      </w:r>
      <w:r>
        <w:rPr/>
        <w:t>planeación</w:t>
      </w:r>
      <w:r>
        <w:rPr>
          <w:spacing w:val="-9"/>
        </w:rPr>
        <w:t> </w:t>
      </w:r>
      <w:r>
        <w:rPr/>
        <w:t>urbana</w:t>
      </w:r>
      <w:r>
        <w:rPr>
          <w:spacing w:val="-9"/>
        </w:rPr>
        <w:t> </w:t>
      </w:r>
      <w:r>
        <w:rPr/>
        <w:t>de</w:t>
      </w:r>
      <w:r>
        <w:rPr>
          <w:spacing w:val="-9"/>
        </w:rPr>
        <w:t> </w:t>
      </w:r>
      <w:r>
        <w:rPr/>
        <w:t>cuidado</w:t>
      </w:r>
      <w:r>
        <w:rPr>
          <w:spacing w:val="-9"/>
        </w:rPr>
        <w:t> </w:t>
      </w:r>
      <w:r>
        <w:rPr/>
        <w:t>al</w:t>
      </w:r>
      <w:r>
        <w:rPr>
          <w:spacing w:val="-9"/>
        </w:rPr>
        <w:t> </w:t>
      </w:r>
      <w:r>
        <w:rPr/>
        <w:t>ambiente,</w:t>
      </w:r>
      <w:r>
        <w:rPr>
          <w:spacing w:val="-9"/>
        </w:rPr>
        <w:t> </w:t>
      </w:r>
      <w:r>
        <w:rPr/>
        <w:t>que</w:t>
      </w:r>
      <w:r>
        <w:rPr>
          <w:spacing w:val="-9"/>
        </w:rPr>
        <w:t> </w:t>
      </w:r>
      <w:r>
        <w:rPr/>
        <w:t>significaron</w:t>
      </w:r>
      <w:r>
        <w:rPr>
          <w:spacing w:val="-9"/>
        </w:rPr>
        <w:t> </w:t>
      </w:r>
      <w:r>
        <w:rPr/>
        <w:t>transformación</w:t>
      </w:r>
      <w:r>
        <w:rPr>
          <w:w w:val="101"/>
        </w:rPr>
        <w:t> </w:t>
      </w:r>
      <w:r>
        <w:rPr/>
        <w:t>de</w:t>
      </w:r>
      <w:r>
        <w:rPr>
          <w:spacing w:val="37"/>
        </w:rPr>
        <w:t> </w:t>
      </w:r>
      <w:r>
        <w:rPr/>
        <w:t>suelo</w:t>
      </w:r>
      <w:r>
        <w:rPr>
          <w:spacing w:val="37"/>
        </w:rPr>
        <w:t> </w:t>
      </w:r>
      <w:r>
        <w:rPr/>
        <w:t>productivo</w:t>
      </w:r>
      <w:r>
        <w:rPr>
          <w:spacing w:val="37"/>
        </w:rPr>
        <w:t> </w:t>
      </w:r>
      <w:r>
        <w:rPr/>
        <w:t>agrícola</w:t>
      </w:r>
      <w:r>
        <w:rPr>
          <w:spacing w:val="37"/>
        </w:rPr>
        <w:t> </w:t>
      </w:r>
      <w:r>
        <w:rPr/>
        <w:t>por</w:t>
      </w:r>
      <w:r>
        <w:rPr>
          <w:spacing w:val="37"/>
        </w:rPr>
        <w:t> </w:t>
      </w:r>
      <w:r>
        <w:rPr/>
        <w:t>suelo</w:t>
      </w:r>
      <w:r>
        <w:rPr>
          <w:spacing w:val="37"/>
        </w:rPr>
        <w:t> </w:t>
      </w:r>
      <w:r>
        <w:rPr/>
        <w:t>urbano,</w:t>
      </w:r>
      <w:r>
        <w:rPr>
          <w:spacing w:val="37"/>
        </w:rPr>
        <w:t> </w:t>
      </w:r>
      <w:r>
        <w:rPr/>
        <w:t>presión</w:t>
      </w:r>
      <w:r>
        <w:rPr>
          <w:spacing w:val="37"/>
        </w:rPr>
        <w:t> </w:t>
      </w:r>
      <w:r>
        <w:rPr/>
        <w:t>y</w:t>
      </w:r>
      <w:r>
        <w:rPr>
          <w:spacing w:val="37"/>
        </w:rPr>
        <w:t> </w:t>
      </w:r>
      <w:r>
        <w:rPr/>
        <w:t>afectación</w:t>
      </w:r>
      <w:r>
        <w:rPr>
          <w:spacing w:val="37"/>
        </w:rPr>
        <w:t> </w:t>
      </w:r>
      <w:r>
        <w:rPr/>
        <w:t>a</w:t>
      </w:r>
      <w:r>
        <w:rPr>
          <w:spacing w:val="37"/>
        </w:rPr>
        <w:t> </w:t>
      </w:r>
      <w:r>
        <w:rPr/>
        <w:t>los</w:t>
      </w:r>
      <w:r>
        <w:rPr>
          <w:spacing w:val="37"/>
        </w:rPr>
        <w:t> </w:t>
      </w:r>
      <w:r>
        <w:rPr/>
        <w:t>recursos</w:t>
      </w:r>
      <w:r>
        <w:rPr>
          <w:w w:val="100"/>
        </w:rPr>
        <w:t> </w:t>
      </w:r>
      <w:r>
        <w:rPr/>
        <w:t>hídricos y  los  bosques,  emisión  de  contaminantes  a  la  atmósfera </w:t>
      </w:r>
      <w:r>
        <w:rPr>
          <w:spacing w:val="26"/>
        </w:rPr>
        <w:t> </w:t>
      </w:r>
      <w:r>
        <w:rPr/>
        <w:t>y </w:t>
      </w:r>
      <w:r>
        <w:rPr>
          <w:spacing w:val="13"/>
        </w:rPr>
        <w:t> </w:t>
      </w:r>
      <w:r>
        <w:rPr/>
        <w:t>generación</w:t>
      </w:r>
      <w:r>
        <w:rPr>
          <w:w w:val="100"/>
        </w:rPr>
        <w:t> </w:t>
      </w:r>
      <w:r>
        <w:rPr/>
        <w:t>de residuos sólidos inicialmente de la industria y, posteriormente, la</w:t>
      </w:r>
      <w:r>
        <w:rPr>
          <w:spacing w:val="-20"/>
        </w:rPr>
        <w:t> </w:t>
      </w:r>
      <w:r>
        <w:rPr/>
        <w:t>derivada de</w:t>
      </w:r>
      <w:r>
        <w:rPr>
          <w:spacing w:val="33"/>
        </w:rPr>
        <w:t> </w:t>
      </w:r>
      <w:r>
        <w:rPr/>
        <w:t>la</w:t>
      </w:r>
      <w:r>
        <w:rPr>
          <w:w w:val="97"/>
        </w:rPr>
        <w:t> </w:t>
      </w:r>
      <w:r>
        <w:rPr/>
        <w:t>población</w:t>
      </w:r>
      <w:r>
        <w:rPr>
          <w:spacing w:val="14"/>
        </w:rPr>
        <w:t> </w:t>
      </w:r>
      <w:r>
        <w:rPr/>
        <w:t>urbana.</w:t>
      </w:r>
      <w:r>
        <w:rPr>
          <w:spacing w:val="14"/>
        </w:rPr>
        <w:t> </w:t>
      </w:r>
      <w:r>
        <w:rPr/>
        <w:t>Es</w:t>
      </w:r>
      <w:r>
        <w:rPr>
          <w:spacing w:val="14"/>
        </w:rPr>
        <w:t> </w:t>
      </w:r>
      <w:r>
        <w:rPr/>
        <w:t>decir</w:t>
      </w:r>
      <w:r>
        <w:rPr>
          <w:spacing w:val="14"/>
        </w:rPr>
        <w:t> </w:t>
      </w:r>
      <w:r>
        <w:rPr/>
        <w:t>que</w:t>
      </w:r>
      <w:r>
        <w:rPr>
          <w:spacing w:val="14"/>
        </w:rPr>
        <w:t> </w:t>
      </w:r>
      <w:r>
        <w:rPr/>
        <w:t>con</w:t>
      </w:r>
      <w:r>
        <w:rPr>
          <w:spacing w:val="14"/>
        </w:rPr>
        <w:t> </w:t>
      </w:r>
      <w:r>
        <w:rPr/>
        <w:t>la</w:t>
      </w:r>
      <w:r>
        <w:rPr>
          <w:spacing w:val="14"/>
        </w:rPr>
        <w:t> </w:t>
      </w:r>
      <w:r>
        <w:rPr/>
        <w:t>urbanización</w:t>
      </w:r>
      <w:r>
        <w:rPr>
          <w:spacing w:val="14"/>
        </w:rPr>
        <w:t> </w:t>
      </w:r>
      <w:r>
        <w:rPr/>
        <w:t>se</w:t>
      </w:r>
      <w:r>
        <w:rPr>
          <w:spacing w:val="14"/>
        </w:rPr>
        <w:t> </w:t>
      </w:r>
      <w:r>
        <w:rPr/>
        <w:t>inicia</w:t>
      </w:r>
      <w:r>
        <w:rPr>
          <w:spacing w:val="14"/>
        </w:rPr>
        <w:t> </w:t>
      </w:r>
      <w:r>
        <w:rPr/>
        <w:t>la</w:t>
      </w:r>
      <w:r>
        <w:rPr>
          <w:spacing w:val="14"/>
        </w:rPr>
        <w:t> </w:t>
      </w:r>
      <w:r>
        <w:rPr/>
        <w:t>afectación</w:t>
      </w:r>
      <w:r>
        <w:rPr>
          <w:spacing w:val="14"/>
        </w:rPr>
        <w:t> </w:t>
      </w:r>
      <w:r>
        <w:rPr/>
        <w:t>al</w:t>
      </w:r>
      <w:r>
        <w:rPr>
          <w:spacing w:val="14"/>
        </w:rPr>
        <w:t> </w:t>
      </w:r>
      <w:r>
        <w:rPr/>
        <w:t>suelo,</w:t>
      </w:r>
      <w:r>
        <w:rPr>
          <w:spacing w:val="14"/>
        </w:rPr>
        <w:t> </w:t>
      </w:r>
      <w:r>
        <w:rPr/>
        <w:t>al</w:t>
      </w:r>
      <w:r>
        <w:rPr>
          <w:w w:val="97"/>
        </w:rPr>
        <w:t> </w:t>
      </w:r>
      <w:r>
        <w:rPr/>
        <w:t>agua</w:t>
      </w:r>
      <w:r>
        <w:rPr>
          <w:spacing w:val="17"/>
        </w:rPr>
        <w:t> </w:t>
      </w:r>
      <w:r>
        <w:rPr/>
        <w:t>y</w:t>
      </w:r>
      <w:r>
        <w:rPr>
          <w:spacing w:val="17"/>
        </w:rPr>
        <w:t> </w:t>
      </w:r>
      <w:r>
        <w:rPr/>
        <w:t>al</w:t>
      </w:r>
      <w:r>
        <w:rPr>
          <w:spacing w:val="17"/>
        </w:rPr>
        <w:t> </w:t>
      </w:r>
      <w:r>
        <w:rPr/>
        <w:t>aire,</w:t>
      </w:r>
      <w:r>
        <w:rPr>
          <w:spacing w:val="17"/>
        </w:rPr>
        <w:t> </w:t>
      </w:r>
      <w:r>
        <w:rPr/>
        <w:t>pues</w:t>
      </w:r>
      <w:r>
        <w:rPr>
          <w:spacing w:val="17"/>
        </w:rPr>
        <w:t> </w:t>
      </w:r>
      <w:r>
        <w:rPr/>
        <w:t>la</w:t>
      </w:r>
      <w:r>
        <w:rPr>
          <w:spacing w:val="17"/>
        </w:rPr>
        <w:t> </w:t>
      </w:r>
      <w:r>
        <w:rPr/>
        <w:t>normativa</w:t>
      </w:r>
      <w:r>
        <w:rPr>
          <w:spacing w:val="17"/>
        </w:rPr>
        <w:t> </w:t>
      </w:r>
      <w:r>
        <w:rPr/>
        <w:t>ambiental</w:t>
      </w:r>
      <w:r>
        <w:rPr>
          <w:spacing w:val="17"/>
        </w:rPr>
        <w:t> </w:t>
      </w:r>
      <w:r>
        <w:rPr/>
        <w:t>mexiquense</w:t>
      </w:r>
      <w:r>
        <w:rPr>
          <w:spacing w:val="17"/>
        </w:rPr>
        <w:t> </w:t>
      </w:r>
      <w:r>
        <w:rPr/>
        <w:t>llega</w:t>
      </w:r>
      <w:r>
        <w:rPr>
          <w:spacing w:val="17"/>
        </w:rPr>
        <w:t> </w:t>
      </w:r>
      <w:r>
        <w:rPr/>
        <w:t>en</w:t>
      </w:r>
      <w:r>
        <w:rPr>
          <w:spacing w:val="17"/>
        </w:rPr>
        <w:t> </w:t>
      </w:r>
      <w:r>
        <w:rPr/>
        <w:t>los</w:t>
      </w:r>
      <w:r>
        <w:rPr>
          <w:spacing w:val="17"/>
        </w:rPr>
        <w:t> </w:t>
      </w:r>
      <w:r>
        <w:rPr/>
        <w:t>noventa,</w:t>
      </w:r>
      <w:r>
        <w:rPr>
          <w:spacing w:val="17"/>
        </w:rPr>
        <w:t> </w:t>
      </w:r>
      <w:r>
        <w:rPr/>
        <w:t>misma</w:t>
      </w:r>
      <w:r>
        <w:rPr>
          <w:w w:val="100"/>
        </w:rPr>
        <w:t> </w:t>
      </w:r>
      <w:r>
        <w:rPr/>
        <w:t>que</w:t>
      </w:r>
      <w:r>
        <w:rPr>
          <w:spacing w:val="-9"/>
        </w:rPr>
        <w:t> </w:t>
      </w:r>
      <w:r>
        <w:rPr/>
        <w:t>toma</w:t>
      </w:r>
      <w:r>
        <w:rPr>
          <w:spacing w:val="-9"/>
        </w:rPr>
        <w:t> </w:t>
      </w:r>
      <w:r>
        <w:rPr/>
        <w:t>una</w:t>
      </w:r>
      <w:r>
        <w:rPr>
          <w:spacing w:val="-9"/>
        </w:rPr>
        <w:t> </w:t>
      </w:r>
      <w:r>
        <w:rPr/>
        <w:t>década</w:t>
      </w:r>
      <w:r>
        <w:rPr>
          <w:spacing w:val="-9"/>
        </w:rPr>
        <w:t> </w:t>
      </w:r>
      <w:r>
        <w:rPr/>
        <w:t>de</w:t>
      </w:r>
      <w:r>
        <w:rPr>
          <w:spacing w:val="-9"/>
        </w:rPr>
        <w:t> </w:t>
      </w:r>
      <w:r>
        <w:rPr/>
        <w:t>organización.</w:t>
      </w:r>
      <w:r>
        <w:rPr>
          <w:spacing w:val="-9"/>
        </w:rPr>
        <w:t> </w:t>
      </w:r>
      <w:r>
        <w:rPr/>
        <w:t>Por</w:t>
      </w:r>
      <w:r>
        <w:rPr>
          <w:spacing w:val="-9"/>
        </w:rPr>
        <w:t> </w:t>
      </w:r>
      <w:r>
        <w:rPr/>
        <w:t>tanto,</w:t>
      </w:r>
      <w:r>
        <w:rPr>
          <w:spacing w:val="-9"/>
        </w:rPr>
        <w:t> </w:t>
      </w:r>
      <w:r>
        <w:rPr/>
        <w:t>las</w:t>
      </w:r>
      <w:r>
        <w:rPr>
          <w:spacing w:val="-9"/>
        </w:rPr>
        <w:t> </w:t>
      </w:r>
      <w:r>
        <w:rPr/>
        <w:t>últimas</w:t>
      </w:r>
      <w:r>
        <w:rPr>
          <w:spacing w:val="-9"/>
        </w:rPr>
        <w:t> </w:t>
      </w:r>
      <w:r>
        <w:rPr/>
        <w:t>tres</w:t>
      </w:r>
      <w:r>
        <w:rPr>
          <w:spacing w:val="-9"/>
        </w:rPr>
        <w:t> </w:t>
      </w:r>
      <w:r>
        <w:rPr/>
        <w:t>décadas</w:t>
      </w:r>
      <w:r>
        <w:rPr>
          <w:spacing w:val="-9"/>
        </w:rPr>
        <w:t> </w:t>
      </w:r>
      <w:r>
        <w:rPr/>
        <w:t>de</w:t>
      </w:r>
      <w:r>
        <w:rPr>
          <w:spacing w:val="-9"/>
        </w:rPr>
        <w:t> </w:t>
      </w:r>
      <w:r>
        <w:rPr/>
        <w:t>finales</w:t>
      </w:r>
      <w:r>
        <w:rPr>
          <w:spacing w:val="-9"/>
        </w:rPr>
        <w:t> </w:t>
      </w:r>
      <w:r>
        <w:rPr/>
        <w:t>del</w:t>
      </w:r>
      <w:r>
        <w:rPr>
          <w:w w:val="101"/>
        </w:rPr>
        <w:t> </w:t>
      </w:r>
      <w:r>
        <w:rPr/>
        <w:t>siglo XX se caracterizaron por la escasa instrumentación de acciones de</w:t>
      </w:r>
      <w:r>
        <w:rPr>
          <w:spacing w:val="-5"/>
        </w:rPr>
        <w:t> </w:t>
      </w:r>
      <w:r>
        <w:rPr/>
        <w:t>mitigación</w:t>
      </w:r>
      <w:r>
        <w:rPr>
          <w:spacing w:val="-1"/>
        </w:rPr>
        <w:t> </w:t>
      </w:r>
      <w:r>
        <w:rPr/>
        <w:t>del</w:t>
      </w:r>
      <w:r>
        <w:rPr>
          <w:w w:val="101"/>
        </w:rPr>
        <w:t> </w:t>
      </w:r>
      <w:r>
        <w:rPr/>
        <w:t>impacto ambiental derivado de la configuración metropolitana en continuo</w:t>
      </w:r>
      <w:r>
        <w:rPr>
          <w:spacing w:val="31"/>
        </w:rPr>
        <w:t> </w:t>
      </w:r>
      <w:r>
        <w:rPr/>
        <w:t>crecimiento.</w:t>
      </w:r>
    </w:p>
    <w:p>
      <w:pPr>
        <w:pStyle w:val="BodyText"/>
        <w:spacing w:before="11"/>
      </w:pPr>
    </w:p>
    <w:p>
      <w:pPr>
        <w:pStyle w:val="BodyText"/>
        <w:spacing w:line="249" w:lineRule="auto"/>
        <w:ind w:left="144" w:right="9" w:firstLine="170"/>
        <w:jc w:val="both"/>
      </w:pPr>
      <w:r>
        <w:rPr/>
        <w:t>Será hasta el siglo XXI, que mediante documentos del gobierno estatal y </w:t>
      </w:r>
      <w:r>
        <w:rPr>
          <w:spacing w:val="2"/>
        </w:rPr>
        <w:t>progresivamente</w:t>
      </w:r>
      <w:r>
        <w:rPr>
          <w:spacing w:val="-3"/>
        </w:rPr>
        <w:t> </w:t>
      </w:r>
      <w:r>
        <w:rPr/>
        <w:t>a</w:t>
      </w:r>
      <w:r>
        <w:rPr>
          <w:spacing w:val="-3"/>
        </w:rPr>
        <w:t> </w:t>
      </w:r>
      <w:r>
        <w:rPr>
          <w:spacing w:val="2"/>
        </w:rPr>
        <w:t>nivel</w:t>
      </w:r>
      <w:r>
        <w:rPr>
          <w:spacing w:val="-3"/>
        </w:rPr>
        <w:t> </w:t>
      </w:r>
      <w:r>
        <w:rPr>
          <w:spacing w:val="2"/>
        </w:rPr>
        <w:t>municipal,</w:t>
      </w:r>
      <w:r>
        <w:rPr>
          <w:spacing w:val="-3"/>
        </w:rPr>
        <w:t> </w:t>
      </w:r>
      <w:r>
        <w:rPr>
          <w:spacing w:val="2"/>
        </w:rPr>
        <w:t>empiezan</w:t>
      </w:r>
      <w:r>
        <w:rPr>
          <w:spacing w:val="-3"/>
        </w:rPr>
        <w:t> </w:t>
      </w:r>
      <w:r>
        <w:rPr/>
        <w:t>a</w:t>
      </w:r>
      <w:r>
        <w:rPr>
          <w:spacing w:val="-3"/>
        </w:rPr>
        <w:t> </w:t>
      </w:r>
      <w:r>
        <w:rPr>
          <w:spacing w:val="2"/>
        </w:rPr>
        <w:t>surgir</w:t>
      </w:r>
      <w:r>
        <w:rPr>
          <w:spacing w:val="-3"/>
        </w:rPr>
        <w:t> </w:t>
      </w:r>
      <w:r>
        <w:rPr>
          <w:spacing w:val="2"/>
        </w:rPr>
        <w:t>lineamientos</w:t>
      </w:r>
      <w:r>
        <w:rPr>
          <w:spacing w:val="-3"/>
        </w:rPr>
        <w:t> </w:t>
      </w:r>
      <w:r>
        <w:rPr/>
        <w:t>y</w:t>
      </w:r>
      <w:r>
        <w:rPr>
          <w:spacing w:val="-3"/>
        </w:rPr>
        <w:t> </w:t>
      </w:r>
      <w:r>
        <w:rPr>
          <w:spacing w:val="2"/>
        </w:rPr>
        <w:t>políticas</w:t>
      </w:r>
      <w:r>
        <w:rPr>
          <w:spacing w:val="-3"/>
        </w:rPr>
        <w:t> </w:t>
      </w:r>
      <w:r>
        <w:rPr>
          <w:spacing w:val="2"/>
        </w:rPr>
        <w:t>hacia</w:t>
      </w:r>
      <w:r>
        <w:rPr>
          <w:spacing w:val="-3"/>
        </w:rPr>
        <w:t> </w:t>
      </w:r>
      <w:r>
        <w:rPr>
          <w:spacing w:val="3"/>
        </w:rPr>
        <w:t>la </w:t>
      </w:r>
      <w:r>
        <w:rPr/>
        <w:t>sustentabilidad. En </w:t>
      </w:r>
      <w:r>
        <w:rPr>
          <w:spacing w:val="3"/>
        </w:rPr>
        <w:t>ellos </w:t>
      </w:r>
      <w:r>
        <w:rPr/>
        <w:t>se </w:t>
      </w:r>
      <w:r>
        <w:rPr>
          <w:spacing w:val="3"/>
        </w:rPr>
        <w:t>delinean algunas acciones </w:t>
      </w:r>
      <w:r>
        <w:rPr/>
        <w:t>para mitigar la contaminación ambiental en materia de suelo, agua y aire, aunque todavía poco precisas para el funcionamiento metropolitano. A continuación se revisan los documentos principales  de la administración pública que pretenden incidir en materia ambiental en la ciudad  de Toluca en cuanto a la compresión del diagnóstico y en el siguiente apartado las acciones de mitigación (Cuadro</w:t>
      </w:r>
      <w:r>
        <w:rPr>
          <w:spacing w:val="13"/>
        </w:rPr>
        <w:t> </w:t>
      </w:r>
      <w:r>
        <w:rPr/>
        <w:t>1).</w:t>
      </w:r>
    </w:p>
    <w:p>
      <w:pPr>
        <w:pStyle w:val="BodyText"/>
        <w:spacing w:before="11"/>
      </w:pPr>
    </w:p>
    <w:p>
      <w:pPr>
        <w:pStyle w:val="Heading3"/>
        <w:numPr>
          <w:ilvl w:val="0"/>
          <w:numId w:val="49"/>
        </w:numPr>
        <w:tabs>
          <w:tab w:pos="675" w:val="left" w:leader="none"/>
        </w:tabs>
        <w:spacing w:line="240" w:lineRule="auto" w:before="0" w:after="0"/>
        <w:ind w:left="674" w:right="0" w:hanging="360"/>
        <w:jc w:val="left"/>
      </w:pPr>
      <w:r>
        <w:rPr/>
        <w:t>Materia ambienta en planeación</w:t>
      </w:r>
      <w:r>
        <w:rPr>
          <w:spacing w:val="34"/>
        </w:rPr>
        <w:t> </w:t>
      </w:r>
      <w:r>
        <w:rPr/>
        <w:t>urbana</w:t>
      </w:r>
    </w:p>
    <w:p>
      <w:pPr>
        <w:pStyle w:val="BodyText"/>
        <w:spacing w:before="8"/>
        <w:rPr>
          <w:b/>
          <w:sz w:val="21"/>
        </w:rPr>
      </w:pPr>
    </w:p>
    <w:p>
      <w:pPr>
        <w:pStyle w:val="BodyText"/>
        <w:spacing w:line="249" w:lineRule="auto"/>
        <w:ind w:left="144" w:firstLine="170"/>
        <w:jc w:val="both"/>
      </w:pPr>
      <w:r>
        <w:rPr/>
        <w:t>La planeación urbana de la ciudad de Toluca se consigna en el </w:t>
      </w:r>
      <w:r>
        <w:rPr>
          <w:i/>
        </w:rPr>
        <w:t>Plan Regional de </w:t>
      </w:r>
      <w:r>
        <w:rPr>
          <w:i/>
        </w:rPr>
        <w:t>Desarrollo Urbano del Valle de Toluca (PRDUVT) </w:t>
      </w:r>
      <w:r>
        <w:rPr/>
        <w:t>(SDUyV-GEM, 2005), que abarca   22 municipios y </w:t>
      </w:r>
      <w:r>
        <w:rPr>
          <w:spacing w:val="12"/>
        </w:rPr>
        <w:t>denomina </w:t>
      </w:r>
      <w:r>
        <w:rPr>
          <w:spacing w:val="10"/>
        </w:rPr>
        <w:t>Zona </w:t>
      </w:r>
      <w:r>
        <w:rPr>
          <w:spacing w:val="12"/>
        </w:rPr>
        <w:t>Metropolitana </w:t>
      </w:r>
      <w:r>
        <w:rPr>
          <w:spacing w:val="9"/>
        </w:rPr>
        <w:t>del </w:t>
      </w:r>
      <w:r>
        <w:rPr>
          <w:spacing w:val="11"/>
        </w:rPr>
        <w:t>Valle </w:t>
      </w:r>
      <w:r>
        <w:rPr>
          <w:spacing w:val="7"/>
        </w:rPr>
        <w:t>de  </w:t>
      </w:r>
      <w:r>
        <w:rPr>
          <w:spacing w:val="11"/>
        </w:rPr>
        <w:t>Toluca </w:t>
      </w:r>
      <w:r>
        <w:rPr>
          <w:spacing w:val="14"/>
        </w:rPr>
        <w:t>(ZMVT),  </w:t>
      </w:r>
      <w:r>
        <w:rPr/>
        <w:t>que a la letra dice que tiene por finalidad el desarrollo regional integral y sustentable, redefinir el tamaño y composición de los centros y subcentros regionales, y establece componentes urbanos y ambientales. En materia de diagnóstico, indica que la   </w:t>
      </w:r>
      <w:r>
        <w:rPr>
          <w:spacing w:val="9"/>
        </w:rPr>
        <w:t> </w:t>
      </w:r>
      <w:r>
        <w:rPr/>
        <w:t>ZMVT</w:t>
      </w:r>
    </w:p>
    <w:p>
      <w:pPr>
        <w:pStyle w:val="BodyText"/>
        <w:spacing w:line="249" w:lineRule="auto" w:before="76"/>
        <w:ind w:left="144" w:right="128"/>
        <w:jc w:val="both"/>
      </w:pPr>
      <w:r>
        <w:rPr/>
        <w:br w:type="column"/>
      </w:r>
      <w:r>
        <w:rPr/>
        <w:t>presenta bajas densidades con crecimiento horizontal y dispersión sobre la periférica, con altos costos de urbanización y subutilización de espacios urbanos. (GEM, 2005). Lo cual acarrea otros problemas urbanos y ambientales.</w:t>
      </w:r>
    </w:p>
    <w:p>
      <w:pPr>
        <w:pStyle w:val="BodyText"/>
        <w:spacing w:before="11"/>
      </w:pPr>
    </w:p>
    <w:p>
      <w:pPr>
        <w:pStyle w:val="BodyText"/>
        <w:spacing w:line="249" w:lineRule="auto"/>
        <w:ind w:left="144" w:right="128" w:firstLine="170"/>
        <w:jc w:val="both"/>
      </w:pPr>
      <w:r>
        <w:rPr/>
        <w:t>En relación al tipo de ocupación y uso de suelo, el documento refiere que ha sufrido cambios radicales por el incremento de población en los últimos 30 años, y la ausencia de técnicas apropiadas en el manejo de agua, suelo y vegetación. </w:t>
      </w:r>
      <w:r>
        <w:rPr>
          <w:spacing w:val="6"/>
        </w:rPr>
        <w:t>Los </w:t>
      </w:r>
      <w:r>
        <w:rPr/>
        <w:t>municipios  más afectados en sus suelos forestales por la actividad agrícola y pecuaria son Xonacatlán, Calimaya, Zinacantepec y Xalatlaco, observándose degradación del recurso suelo por erosión hídrica superficial. De igual manera el uso potencial, el  suelo que circunda a la ciudad tiene potencial agrícola, dado por suelos profundos y climas templados subhúmedos. (SDUyV-GEM,</w:t>
      </w:r>
      <w:r>
        <w:rPr>
          <w:spacing w:val="3"/>
        </w:rPr>
        <w:t> </w:t>
      </w:r>
      <w:r>
        <w:rPr/>
        <w:t>2005)</w:t>
      </w:r>
    </w:p>
    <w:p>
      <w:pPr>
        <w:pStyle w:val="BodyText"/>
        <w:spacing w:before="11"/>
      </w:pPr>
    </w:p>
    <w:p>
      <w:pPr>
        <w:pStyle w:val="BodyText"/>
        <w:spacing w:line="249" w:lineRule="auto"/>
        <w:ind w:left="144" w:right="127" w:firstLine="170"/>
        <w:jc w:val="both"/>
      </w:pPr>
      <w:r>
        <w:rPr/>
        <w:t>En el tema de contaminación atmosférica, el documento menciona fallos viales, la </w:t>
      </w:r>
      <w:r>
        <w:rPr>
          <w:spacing w:val="12"/>
        </w:rPr>
        <w:t>estructura </w:t>
      </w:r>
      <w:r>
        <w:rPr/>
        <w:t>carece de  vialidades  periféricas y saturación  de  transporte urbano  por </w:t>
      </w:r>
      <w:r>
        <w:rPr>
          <w:spacing w:val="8"/>
        </w:rPr>
        <w:t>el </w:t>
      </w:r>
      <w:r>
        <w:rPr/>
        <w:t>diseño inadecuado de rutas por la congestión en la porción central. Por ello la contaminación atmosférica es significativa en los municipios de Zinacantepec, Toluca, Metepec, Lerma y San  Mateo Atenco. (SDUyV-GEM,</w:t>
      </w:r>
      <w:r>
        <w:rPr>
          <w:spacing w:val="1"/>
        </w:rPr>
        <w:t> </w:t>
      </w:r>
      <w:r>
        <w:rPr/>
        <w:t>2005)</w:t>
      </w:r>
    </w:p>
    <w:p>
      <w:pPr>
        <w:pStyle w:val="BodyText"/>
        <w:spacing w:before="11"/>
      </w:pPr>
    </w:p>
    <w:p>
      <w:pPr>
        <w:pStyle w:val="BodyText"/>
        <w:spacing w:line="249" w:lineRule="auto"/>
        <w:ind w:left="144" w:right="128" w:firstLine="170"/>
        <w:jc w:val="both"/>
      </w:pPr>
      <w:r>
        <w:rPr/>
        <w:t>En materia hídrica, los problemas de infraestructura hidráulica y sanitaria, derivado de limitaciones para </w:t>
      </w:r>
      <w:r>
        <w:rPr>
          <w:spacing w:val="9"/>
        </w:rPr>
        <w:t>el </w:t>
      </w:r>
      <w:r>
        <w:rPr/>
        <w:t>abasto futuro, falta de integración de sistemas que permitan drenajes interconectados, y bajo aprovechamiento de la capacidad de tratamiento de aguas residuales. </w:t>
      </w:r>
      <w:r>
        <w:rPr>
          <w:spacing w:val="3"/>
        </w:rPr>
        <w:t>Según </w:t>
      </w:r>
      <w:r>
        <w:rPr/>
        <w:t>el </w:t>
      </w:r>
      <w:r>
        <w:rPr>
          <w:spacing w:val="2"/>
        </w:rPr>
        <w:t>documento, </w:t>
      </w:r>
      <w:r>
        <w:rPr/>
        <w:t>el balance  disponibilidad-aprovechamiento  es positivo en la cuenca del Río Lerma, sin embargo, casi la totalidad de las aguas superficiales disponibles están contaminadas, por lo que no se  puede aprovechar  para agua potable. Por tanto, el déficit hídrico en la ZMVT es de 0.220 m</w:t>
      </w:r>
      <w:r>
        <w:rPr>
          <w:position w:val="7"/>
          <w:sz w:val="11"/>
        </w:rPr>
        <w:t>3</w:t>
      </w:r>
      <w:r>
        <w:rPr/>
        <w:t>/seg. El tratamiento de aguas negras se da mediante 13 plantas que sólo cubren 56.8% del caudal total de aguas</w:t>
      </w:r>
      <w:r>
        <w:rPr>
          <w:spacing w:val="16"/>
        </w:rPr>
        <w:t> </w:t>
      </w:r>
      <w:r>
        <w:rPr/>
        <w:t>residuales.</w:t>
      </w:r>
    </w:p>
    <w:p>
      <w:pPr>
        <w:spacing w:after="0" w:line="249" w:lineRule="auto"/>
        <w:jc w:val="both"/>
        <w:sectPr>
          <w:type w:val="continuous"/>
          <w:pgSz w:w="18830" w:h="12760" w:orient="landscape"/>
          <w:pgMar w:top="1420" w:bottom="280" w:left="720" w:right="720"/>
          <w:cols w:num="2" w:equalWidth="0">
            <w:col w:w="7870" w:space="1527"/>
            <w:col w:w="7993"/>
          </w:cols>
        </w:sectPr>
      </w:pPr>
    </w:p>
    <w:p>
      <w:pPr>
        <w:pStyle w:val="BodyText"/>
        <w:spacing w:before="5"/>
        <w:rPr>
          <w:sz w:val="26"/>
        </w:rPr>
      </w:pPr>
    </w:p>
    <w:p>
      <w:pPr>
        <w:spacing w:line="312" w:lineRule="auto" w:before="80"/>
        <w:ind w:left="3805" w:right="9306" w:hanging="3542"/>
        <w:jc w:val="left"/>
        <w:rPr>
          <w:sz w:val="16"/>
        </w:rPr>
      </w:pPr>
      <w:r>
        <w:rPr/>
        <w:pict>
          <v:group style="position:absolute;margin-left:508.581085pt;margin-top:-.496477pt;width:394.5pt;height:59.05pt;mso-position-horizontal-relative:page;mso-position-vertical-relative:paragraph;z-index:-637672" coordorigin="10172,-10" coordsize="7890,1181">
            <v:line style="position:absolute" from="10207,-5" to="11286,-5" stroked="true" strokeweight=".5pt" strokecolor="#929292">
              <v:stroke dashstyle="dash"/>
            </v:line>
            <v:shape style="position:absolute;left:0;top:11612;width:1125;height:2" coordorigin="0,11612" coordsize="1125,0" path="m10177,-5l10177,-5m11301,-5l11301,-5e" filled="false" stroked="true" strokeweight=".5pt" strokecolor="#929292">
              <v:path arrowok="t"/>
            </v:shape>
            <v:line style="position:absolute" from="11301,1166" to="11301,1166" stroked="true" strokeweight=".5pt" strokecolor="#929292"/>
            <v:line style="position:absolute" from="11301,1136" to="11301,10" stroked="true" strokeweight=".5pt" strokecolor="#929292">
              <v:stroke dashstyle="dash"/>
            </v:line>
            <v:shape style="position:absolute;left:0;top:10441;width:2;height:1171" coordorigin="0,10441" coordsize="0,1171" path="m11301,1166l11301,1166m11301,-5l11301,-5e" filled="false" stroked="true" strokeweight=".5pt" strokecolor="#929292">
              <v:path arrowok="t"/>
            </v:shape>
            <v:line style="position:absolute" from="11331,-5" to="13301,-5" stroked="true" strokeweight=".5pt" strokecolor="#929292">
              <v:stroke dashstyle="dash"/>
            </v:line>
            <v:shape style="position:absolute;left:0;top:11612;width:2015;height:2" coordorigin="0,11612" coordsize="2015,0" path="m11301,-5l11301,-5m13316,-5l13316,-5e" filled="false" stroked="true" strokeweight=".5pt" strokecolor="#929292">
              <v:path arrowok="t"/>
            </v:shape>
            <v:shape style="position:absolute;left:0;top:11612;width:2015;height:2" coordorigin="0,11612" coordsize="2015,0" path="m11301,1166l11301,1166m13316,1166l13316,1166e" filled="false" stroked="true" strokeweight=".5pt" strokecolor="#929292">
              <v:path arrowok="t"/>
            </v:shape>
            <v:line style="position:absolute" from="13316,1136" to="13316,10" stroked="true" strokeweight=".5pt" strokecolor="#929292">
              <v:stroke dashstyle="dash"/>
            </v:line>
            <v:shape style="position:absolute;left:0;top:10441;width:2;height:1171" coordorigin="0,10441" coordsize="0,1171" path="m13316,1166l13316,1166m13316,-5l13316,-5e" filled="false" stroked="true" strokeweight=".5pt" strokecolor="#929292">
              <v:path arrowok="t"/>
            </v:shape>
            <v:line style="position:absolute" from="13346,-5" to="16714,-5" stroked="true" strokeweight=".5pt" strokecolor="#929292">
              <v:stroke dashstyle="dash"/>
            </v:line>
            <v:shape style="position:absolute;left:0;top:11612;width:3413;height:2" coordorigin="0,11612" coordsize="3413,0" path="m13316,-5l13316,-5m16729,-5l16729,-5e" filled="false" stroked="true" strokeweight=".5pt" strokecolor="#929292">
              <v:path arrowok="t"/>
            </v:shape>
            <v:shape style="position:absolute;left:0;top:11612;width:3413;height:2" coordorigin="0,11612" coordsize="3413,0" path="m13316,1166l13316,1166m16729,1166l16729,1166e" filled="false" stroked="true" strokeweight=".5pt" strokecolor="#929292">
              <v:path arrowok="t"/>
            </v:shape>
            <v:line style="position:absolute" from="16728,1136" to="16728,10" stroked="true" strokeweight=".5pt" strokecolor="#929292">
              <v:stroke dashstyle="dash"/>
            </v:line>
            <v:shape style="position:absolute;left:0;top:10441;width:2;height:1171" coordorigin="0,10441" coordsize="0,1171" path="m16728,1166l16728,1166m16728,-5l16728,-5e" filled="false" stroked="true" strokeweight=".5pt" strokecolor="#929292">
              <v:path arrowok="t"/>
            </v:shape>
            <v:line style="position:absolute" from="16759,-5" to="18041,-5" stroked="true" strokeweight=".5pt" strokecolor="#929292">
              <v:stroke dashstyle="dash"/>
            </v:line>
            <v:shape style="position:absolute;left:0;top:11612;width:1328;height:2" coordorigin="0,11612" coordsize="1328,0" path="m16728,-5l16728,-5m18056,-5l18056,-5e" filled="false" stroked="true" strokeweight=".5pt" strokecolor="#929292">
              <v:path arrowok="t"/>
            </v:shape>
            <v:shape style="position:absolute;left:0;top:11612;width:1328;height:2" coordorigin="0,11612" coordsize="1328,0" path="m16728,1166l16728,1166m18056,1166l18056,1166e" filled="false" stroked="true" strokeweight=".5pt" strokecolor="#929292">
              <v:path arrowok="t"/>
            </v:shape>
            <v:shape style="position:absolute;left:10280;top:407;width:880;height:360" type="#_x0000_t202" filled="false" stroked="false">
              <v:textbox inset="0,0,0,0">
                <w:txbxContent>
                  <w:p>
                    <w:pPr>
                      <w:spacing w:line="165" w:lineRule="exact" w:before="0"/>
                      <w:ind w:left="0" w:right="-20" w:firstLine="0"/>
                      <w:jc w:val="left"/>
                      <w:rPr>
                        <w:sz w:val="16"/>
                      </w:rPr>
                    </w:pPr>
                    <w:r>
                      <w:rPr>
                        <w:sz w:val="16"/>
                      </w:rPr>
                      <w:t>Suelo, aire</w:t>
                    </w:r>
                    <w:r>
                      <w:rPr>
                        <w:spacing w:val="-10"/>
                        <w:sz w:val="16"/>
                      </w:rPr>
                      <w:t> </w:t>
                    </w:r>
                    <w:r>
                      <w:rPr>
                        <w:sz w:val="16"/>
                      </w:rPr>
                      <w:t>y</w:t>
                    </w:r>
                  </w:p>
                  <w:p>
                    <w:pPr>
                      <w:spacing w:line="179" w:lineRule="exact" w:before="16"/>
                      <w:ind w:left="0" w:right="-20" w:firstLine="0"/>
                      <w:jc w:val="left"/>
                      <w:rPr>
                        <w:sz w:val="16"/>
                      </w:rPr>
                    </w:pPr>
                    <w:r>
                      <w:rPr>
                        <w:sz w:val="16"/>
                      </w:rPr>
                      <w:t>agua</w:t>
                    </w:r>
                  </w:p>
                </w:txbxContent>
              </v:textbox>
              <w10:wrap type="none"/>
            </v:shape>
            <v:shape style="position:absolute;left:11409;top:7;width:1745;height:960" type="#_x0000_t202" filled="false" stroked="false">
              <v:textbox inset="0,0,0,0">
                <w:txbxContent>
                  <w:p>
                    <w:pPr>
                      <w:spacing w:line="165" w:lineRule="exact" w:before="0"/>
                      <w:ind w:left="0" w:right="0" w:firstLine="0"/>
                      <w:jc w:val="left"/>
                      <w:rPr>
                        <w:sz w:val="16"/>
                      </w:rPr>
                    </w:pPr>
                    <w:r>
                      <w:rPr>
                        <w:sz w:val="16"/>
                      </w:rPr>
                      <w:t>8. Programa para el</w:t>
                    </w:r>
                  </w:p>
                  <w:p>
                    <w:pPr>
                      <w:spacing w:line="261" w:lineRule="auto" w:before="16"/>
                      <w:ind w:left="0" w:right="0" w:firstLine="0"/>
                      <w:jc w:val="left"/>
                      <w:rPr>
                        <w:sz w:val="16"/>
                      </w:rPr>
                    </w:pPr>
                    <w:r>
                      <w:rPr>
                        <w:sz w:val="16"/>
                      </w:rPr>
                      <w:t>Pago por Servicios Ambientales Hidrológicos. Protectora</w:t>
                    </w:r>
                    <w:r>
                      <w:rPr>
                        <w:w w:val="101"/>
                        <w:sz w:val="16"/>
                      </w:rPr>
                      <w:t> </w:t>
                    </w:r>
                    <w:r>
                      <w:rPr>
                        <w:sz w:val="16"/>
                      </w:rPr>
                      <w:t>de Bosques del Estado</w:t>
                    </w:r>
                  </w:p>
                </w:txbxContent>
              </v:textbox>
              <w10:wrap type="none"/>
            </v:shape>
            <v:shape style="position:absolute;left:13424;top:407;width:2270;height:360" type="#_x0000_t202" filled="false" stroked="false">
              <v:textbox inset="0,0,0,0">
                <w:txbxContent>
                  <w:p>
                    <w:pPr>
                      <w:spacing w:line="165" w:lineRule="exact" w:before="0"/>
                      <w:ind w:left="0" w:right="-1" w:firstLine="0"/>
                      <w:jc w:val="left"/>
                      <w:rPr>
                        <w:sz w:val="16"/>
                      </w:rPr>
                    </w:pPr>
                    <w:r>
                      <w:rPr>
                        <w:sz w:val="16"/>
                      </w:rPr>
                      <w:t>Pérdida de cobertura vegetal y</w:t>
                    </w:r>
                  </w:p>
                  <w:p>
                    <w:pPr>
                      <w:spacing w:line="179" w:lineRule="exact" w:before="16"/>
                      <w:ind w:left="0" w:right="-1" w:firstLine="0"/>
                      <w:jc w:val="left"/>
                      <w:rPr>
                        <w:sz w:val="16"/>
                      </w:rPr>
                    </w:pPr>
                    <w:r>
                      <w:rPr>
                        <w:sz w:val="16"/>
                      </w:rPr>
                      <w:t>biodiversidad. (no especificado)</w:t>
                    </w:r>
                  </w:p>
                </w:txbxContent>
              </v:textbox>
              <w10:wrap type="none"/>
            </v:shape>
            <v:shape style="position:absolute;left:16837;top:407;width:688;height:360" type="#_x0000_t202" filled="false" stroked="false">
              <v:textbox inset="0,0,0,0">
                <w:txbxContent>
                  <w:p>
                    <w:pPr>
                      <w:spacing w:line="165" w:lineRule="exact" w:before="0"/>
                      <w:ind w:left="0" w:right="-8" w:firstLine="0"/>
                      <w:jc w:val="left"/>
                      <w:rPr>
                        <w:sz w:val="16"/>
                      </w:rPr>
                    </w:pPr>
                    <w:r>
                      <w:rPr>
                        <w:sz w:val="16"/>
                      </w:rPr>
                      <w:t>Estatal y</w:t>
                    </w:r>
                  </w:p>
                  <w:p>
                    <w:pPr>
                      <w:spacing w:line="179" w:lineRule="exact" w:before="16"/>
                      <w:ind w:left="0" w:right="-8" w:firstLine="0"/>
                      <w:jc w:val="left"/>
                      <w:rPr>
                        <w:sz w:val="16"/>
                      </w:rPr>
                    </w:pPr>
                    <w:r>
                      <w:rPr>
                        <w:sz w:val="16"/>
                      </w:rPr>
                      <w:t>municipal</w:t>
                    </w:r>
                  </w:p>
                </w:txbxContent>
              </v:textbox>
              <w10:wrap type="none"/>
            </v:shape>
            <v:shape style="position:absolute;left:10207;top:1007;width:7835;height:160" type="#_x0000_t202" filled="false" stroked="false">
              <v:textbox inset="0,0,0,0">
                <w:txbxContent>
                  <w:p>
                    <w:pPr>
                      <w:tabs>
                        <w:tab w:pos="1078" w:val="left" w:leader="none"/>
                        <w:tab w:pos="3093" w:val="left" w:leader="none"/>
                        <w:tab w:pos="6506" w:val="left" w:leader="none"/>
                        <w:tab w:pos="7834" w:val="left" w:leader="none"/>
                      </w:tabs>
                      <w:spacing w:line="160" w:lineRule="exact" w:before="0"/>
                      <w:ind w:left="0" w:right="0" w:firstLine="0"/>
                      <w:jc w:val="left"/>
                      <w:rPr>
                        <w:sz w:val="16"/>
                      </w:rPr>
                    </w:pPr>
                    <w:r>
                      <w:rPr>
                        <w:w w:val="100"/>
                        <w:sz w:val="16"/>
                        <w:u w:val="dotted" w:color="929292"/>
                      </w:rPr>
                      <w:t> </w:t>
                    </w:r>
                    <w:r>
                      <w:rPr>
                        <w:sz w:val="16"/>
                        <w:u w:val="dotted" w:color="929292"/>
                      </w:rPr>
                      <w:tab/>
                    </w:r>
                    <w:r>
                      <w:rPr>
                        <w:sz w:val="16"/>
                      </w:rPr>
                      <w:t> </w:t>
                    </w:r>
                    <w:r>
                      <w:rPr>
                        <w:w w:val="100"/>
                        <w:sz w:val="16"/>
                        <w:u w:val="dotted" w:color="929292"/>
                      </w:rPr>
                      <w:t> </w:t>
                    </w:r>
                    <w:r>
                      <w:rPr>
                        <w:spacing w:val="-11"/>
                        <w:sz w:val="16"/>
                        <w:u w:val="dotted" w:color="929292"/>
                      </w:rPr>
                      <w:t> </w:t>
                    </w:r>
                    <w:r>
                      <w:rPr>
                        <w:sz w:val="16"/>
                        <w:u w:val="dotted" w:color="929292"/>
                      </w:rPr>
                      <w:t>de</w:t>
                    </w:r>
                    <w:r>
                      <w:rPr>
                        <w:spacing w:val="17"/>
                        <w:sz w:val="16"/>
                        <w:u w:val="dotted" w:color="929292"/>
                      </w:rPr>
                      <w:t> </w:t>
                    </w:r>
                    <w:r>
                      <w:rPr>
                        <w:sz w:val="16"/>
                        <w:u w:val="dotted" w:color="929292"/>
                      </w:rPr>
                      <w:t>México</w:t>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txbxContent>
              </v:textbox>
              <w10:wrap type="none"/>
            </v:shape>
            <w10:wrap type="none"/>
          </v:group>
        </w:pict>
      </w:r>
      <w:r>
        <w:rPr>
          <w:color w:val="6D6E71"/>
          <w:sz w:val="16"/>
        </w:rPr>
        <w:t>Cuadro 1. Instrumentos de planeación del sector público y materia ambiental en la Zona Metropolitana de Toluca</w:t>
      </w:r>
    </w:p>
    <w:p>
      <w:pPr>
        <w:pStyle w:val="BodyText"/>
      </w:pPr>
    </w:p>
    <w:p>
      <w:pPr>
        <w:pStyle w:val="BodyText"/>
        <w:rPr>
          <w:sz w:val="29"/>
        </w:rPr>
      </w:pPr>
      <w:r>
        <w:rPr/>
        <w:pict>
          <v:line style="position:absolute;mso-position-horizontal-relative:page;mso-position-vertical-relative:paragraph;z-index:14776;mso-wrap-distance-left:0;mso-wrap-distance-right:0" from="508.831085pt,18.921032pt" to="508.831085pt,18.921032pt" stroked="true" strokeweight=".5pt" strokecolor="#929292">
            <w10:wrap type="topAndBottom"/>
          </v:line>
        </w:pict>
      </w:r>
    </w:p>
    <w:p>
      <w:pPr>
        <w:spacing w:before="80"/>
        <w:ind w:left="0" w:right="2834" w:firstLine="0"/>
        <w:jc w:val="right"/>
        <w:rPr>
          <w:sz w:val="16"/>
        </w:rPr>
      </w:pPr>
      <w:r>
        <w:rPr>
          <w:color w:val="6D6E71"/>
          <w:sz w:val="16"/>
        </w:rPr>
        <w:t>Fuente: Elaboración propia, 2015.</w:t>
      </w:r>
    </w:p>
    <w:p>
      <w:pPr>
        <w:pStyle w:val="BodyText"/>
        <w:spacing w:before="5"/>
        <w:rPr>
          <w:sz w:val="22"/>
        </w:rPr>
      </w:pPr>
    </w:p>
    <w:p>
      <w:pPr>
        <w:pStyle w:val="BodyText"/>
        <w:spacing w:line="249" w:lineRule="auto"/>
        <w:ind w:left="9601" w:right="187" w:firstLine="170"/>
        <w:jc w:val="both"/>
      </w:pPr>
      <w:r>
        <w:rPr/>
        <w:pict>
          <v:line style="position:absolute;mso-position-horizontal-relative:page;mso-position-vertical-relative:paragraph;z-index:14800" from="432.271606pt,14.142369pt" to="432.271606pt,14.142369pt" stroked="true" strokeweight=".5pt" strokecolor="#929292">
            <w10:wrap type="none"/>
          </v:line>
        </w:pict>
      </w:r>
      <w:r>
        <w:rPr/>
        <w:pict>
          <v:line style="position:absolute;mso-position-horizontal-relative:page;mso-position-vertical-relative:paragraph;z-index:14824" from="38.2799pt,82.688866pt" to="38.2799pt,82.688866pt" stroked="true" strokeweight=".5pt" strokecolor="#929292">
            <w10:wrap type="none"/>
          </v:line>
        </w:pict>
      </w:r>
      <w:r>
        <w:rPr/>
        <w:pict>
          <v:line style="position:absolute;mso-position-horizontal-relative:page;mso-position-vertical-relative:paragraph;z-index:14848" from="432.271606pt,82.688866pt" to="432.271606pt,82.688866pt" stroked="true" strokeweight=".5pt" strokecolor="#929292">
            <w10:wrap type="none"/>
          </v:line>
        </w:pict>
      </w:r>
      <w:r>
        <w:rPr/>
        <w:pict>
          <v:shape style="position:absolute;margin-left:38.029999pt;margin-top:-55.785732pt;width:394.5pt;height:469.7pt;mso-position-horizontal-relative:page;mso-position-vertical-relative:paragraph;z-index:151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0"/>
                    <w:gridCol w:w="2014"/>
                    <w:gridCol w:w="3413"/>
                    <w:gridCol w:w="1333"/>
                  </w:tblGrid>
                  <w:tr>
                    <w:trPr>
                      <w:trHeight w:val="428" w:hRule="exact"/>
                    </w:trPr>
                    <w:tc>
                      <w:tcPr>
                        <w:tcW w:w="1130" w:type="dxa"/>
                        <w:tcBorders>
                          <w:right w:val="single" w:sz="4" w:space="0" w:color="FFFFFF"/>
                        </w:tcBorders>
                        <w:shd w:val="clear" w:color="auto" w:fill="929292"/>
                      </w:tcPr>
                      <w:p>
                        <w:pPr>
                          <w:pStyle w:val="TableParagraph"/>
                          <w:spacing w:line="261" w:lineRule="auto" w:before="21"/>
                          <w:ind w:left="107" w:right="303"/>
                          <w:rPr>
                            <w:sz w:val="16"/>
                          </w:rPr>
                        </w:pPr>
                        <w:r>
                          <w:rPr>
                            <w:sz w:val="16"/>
                          </w:rPr>
                          <w:t>Variable ambiental</w:t>
                        </w:r>
                      </w:p>
                    </w:tc>
                    <w:tc>
                      <w:tcPr>
                        <w:tcW w:w="2014" w:type="dxa"/>
                        <w:tcBorders>
                          <w:left w:val="single" w:sz="4" w:space="0" w:color="FFFFFF"/>
                          <w:right w:val="single" w:sz="4" w:space="0" w:color="FFFFFF"/>
                        </w:tcBorders>
                        <w:shd w:val="clear" w:color="auto" w:fill="929292"/>
                      </w:tcPr>
                      <w:p>
                        <w:pPr>
                          <w:pStyle w:val="TableParagraph"/>
                          <w:spacing w:line="261" w:lineRule="auto" w:before="21"/>
                          <w:ind w:left="102"/>
                          <w:rPr>
                            <w:sz w:val="16"/>
                          </w:rPr>
                        </w:pPr>
                        <w:r>
                          <w:rPr>
                            <w:sz w:val="16"/>
                          </w:rPr>
                          <w:t>Documento y sector de administración</w:t>
                        </w:r>
                      </w:p>
                    </w:tc>
                    <w:tc>
                      <w:tcPr>
                        <w:tcW w:w="3413" w:type="dxa"/>
                        <w:tcBorders>
                          <w:left w:val="single" w:sz="4" w:space="0" w:color="FFFFFF"/>
                          <w:right w:val="single" w:sz="4" w:space="0" w:color="FFFFFF"/>
                        </w:tcBorders>
                        <w:shd w:val="clear" w:color="auto" w:fill="929292"/>
                      </w:tcPr>
                      <w:p>
                        <w:pPr>
                          <w:pStyle w:val="TableParagraph"/>
                          <w:spacing w:before="121"/>
                          <w:ind w:left="103" w:right="229"/>
                          <w:rPr>
                            <w:sz w:val="16"/>
                          </w:rPr>
                        </w:pPr>
                        <w:r>
                          <w:rPr>
                            <w:sz w:val="16"/>
                          </w:rPr>
                          <w:t>Diagnóstico en materia ambiental</w:t>
                        </w:r>
                      </w:p>
                    </w:tc>
                    <w:tc>
                      <w:tcPr>
                        <w:tcW w:w="1333" w:type="dxa"/>
                        <w:tcBorders>
                          <w:left w:val="single" w:sz="4" w:space="0" w:color="FFFFFF"/>
                        </w:tcBorders>
                        <w:shd w:val="clear" w:color="auto" w:fill="929292"/>
                      </w:tcPr>
                      <w:p>
                        <w:pPr>
                          <w:pStyle w:val="TableParagraph"/>
                          <w:spacing w:line="261" w:lineRule="auto" w:before="21"/>
                          <w:ind w:left="103" w:right="151"/>
                          <w:rPr>
                            <w:sz w:val="16"/>
                          </w:rPr>
                        </w:pPr>
                        <w:r>
                          <w:rPr>
                            <w:sz w:val="16"/>
                          </w:rPr>
                          <w:t>Escala o ámbito</w:t>
                        </w:r>
                      </w:p>
                    </w:tc>
                  </w:tr>
                  <w:tr>
                    <w:trPr>
                      <w:trHeight w:val="3913" w:hRule="exact"/>
                    </w:trPr>
                    <w:tc>
                      <w:tcPr>
                        <w:tcW w:w="1130" w:type="dxa"/>
                        <w:tcBorders>
                          <w:bottom w:val="dotted" w:sz="4" w:space="0" w:color="929292"/>
                          <w:right w:val="single" w:sz="4" w:space="0" w:color="929292"/>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8"/>
                          <w:rPr>
                            <w:sz w:val="13"/>
                          </w:rPr>
                        </w:pPr>
                      </w:p>
                      <w:p>
                        <w:pPr>
                          <w:pStyle w:val="TableParagraph"/>
                          <w:ind w:left="108" w:right="303"/>
                          <w:rPr>
                            <w:sz w:val="16"/>
                          </w:rPr>
                        </w:pPr>
                        <w:r>
                          <w:rPr>
                            <w:sz w:val="16"/>
                          </w:rPr>
                          <w:t>Suelo</w:t>
                        </w: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4"/>
                          <w:rPr>
                            <w:sz w:val="14"/>
                          </w:rPr>
                        </w:pPr>
                      </w:p>
                      <w:p>
                        <w:pPr>
                          <w:pStyle w:val="TableParagraph"/>
                          <w:tabs>
                            <w:tab w:pos="1114" w:val="left" w:leader="none"/>
                          </w:tabs>
                          <w:ind w:left="35"/>
                          <w:rPr>
                            <w:sz w:val="16"/>
                          </w:rPr>
                        </w:pPr>
                        <w:r>
                          <w:rPr>
                            <w:w w:val="100"/>
                            <w:sz w:val="16"/>
                            <w:u w:val="dotted" w:color="929292"/>
                          </w:rPr>
                          <w:t> </w:t>
                        </w:r>
                        <w:r>
                          <w:rPr>
                            <w:sz w:val="16"/>
                            <w:u w:val="dotted" w:color="929292"/>
                          </w:rPr>
                          <w:tab/>
                        </w:r>
                      </w:p>
                      <w:p>
                        <w:pPr>
                          <w:pStyle w:val="TableParagraph"/>
                          <w:rPr>
                            <w:sz w:val="16"/>
                          </w:rPr>
                        </w:pPr>
                      </w:p>
                      <w:p>
                        <w:pPr>
                          <w:pStyle w:val="TableParagraph"/>
                          <w:rPr>
                            <w:sz w:val="16"/>
                          </w:rPr>
                        </w:pPr>
                      </w:p>
                      <w:p>
                        <w:pPr>
                          <w:pStyle w:val="TableParagraph"/>
                          <w:rPr>
                            <w:sz w:val="16"/>
                          </w:rPr>
                        </w:pPr>
                      </w:p>
                      <w:p>
                        <w:pPr>
                          <w:pStyle w:val="TableParagraph"/>
                          <w:spacing w:before="135"/>
                          <w:ind w:left="108"/>
                          <w:rPr>
                            <w:sz w:val="16"/>
                          </w:rPr>
                        </w:pPr>
                        <w:r>
                          <w:rPr>
                            <w:sz w:val="16"/>
                          </w:rPr>
                          <w:t>Suelo y aire</w:t>
                        </w:r>
                      </w:p>
                    </w:tc>
                    <w:tc>
                      <w:tcPr>
                        <w:tcW w:w="2014" w:type="dxa"/>
                        <w:tcBorders>
                          <w:left w:val="single" w:sz="4" w:space="0" w:color="929292"/>
                          <w:bottom w:val="dotted" w:sz="4" w:space="0" w:color="929292"/>
                          <w:right w:val="single" w:sz="4" w:space="0" w:color="929292"/>
                        </w:tcBorders>
                      </w:tcPr>
                      <w:p>
                        <w:pPr>
                          <w:pStyle w:val="TableParagraph"/>
                          <w:numPr>
                            <w:ilvl w:val="0"/>
                            <w:numId w:val="50"/>
                          </w:numPr>
                          <w:tabs>
                            <w:tab w:pos="238" w:val="left" w:leader="none"/>
                          </w:tabs>
                          <w:spacing w:line="261" w:lineRule="auto" w:before="0" w:after="0"/>
                          <w:ind w:left="103" w:right="177" w:firstLine="0"/>
                          <w:jc w:val="left"/>
                          <w:rPr>
                            <w:sz w:val="16"/>
                          </w:rPr>
                        </w:pPr>
                        <w:r>
                          <w:rPr>
                            <w:sz w:val="16"/>
                          </w:rPr>
                          <w:t>Plan Regional de Desarrollo Urbano del Valle de Toluca 2005. Secretaría de</w:t>
                        </w:r>
                        <w:r>
                          <w:rPr>
                            <w:spacing w:val="-13"/>
                            <w:sz w:val="16"/>
                          </w:rPr>
                          <w:t> </w:t>
                        </w:r>
                        <w:r>
                          <w:rPr>
                            <w:sz w:val="16"/>
                          </w:rPr>
                          <w:t>Desarrollo</w:t>
                        </w:r>
                      </w:p>
                      <w:p>
                        <w:pPr>
                          <w:pStyle w:val="TableParagraph"/>
                          <w:tabs>
                            <w:tab w:pos="1994" w:val="left" w:leader="none"/>
                          </w:tabs>
                          <w:spacing w:line="177" w:lineRule="exact"/>
                          <w:ind w:left="25"/>
                          <w:rPr>
                            <w:sz w:val="16"/>
                          </w:rPr>
                        </w:pPr>
                        <w:r>
                          <w:rPr>
                            <w:w w:val="100"/>
                            <w:sz w:val="16"/>
                            <w:u w:val="dotted" w:color="929292"/>
                          </w:rPr>
                          <w:t> </w:t>
                        </w:r>
                        <w:r>
                          <w:rPr>
                            <w:spacing w:val="-11"/>
                            <w:sz w:val="16"/>
                            <w:u w:val="dotted" w:color="929292"/>
                          </w:rPr>
                          <w:t> </w:t>
                        </w:r>
                        <w:r>
                          <w:rPr>
                            <w:sz w:val="16"/>
                            <w:u w:val="dotted" w:color="929292"/>
                          </w:rPr>
                          <w:t>Urbano y</w:t>
                        </w:r>
                        <w:r>
                          <w:rPr>
                            <w:spacing w:val="-4"/>
                            <w:sz w:val="16"/>
                            <w:u w:val="dotted" w:color="929292"/>
                          </w:rPr>
                          <w:t> </w:t>
                        </w:r>
                        <w:r>
                          <w:rPr>
                            <w:sz w:val="16"/>
                            <w:u w:val="dotted" w:color="929292"/>
                          </w:rPr>
                          <w:t>Vivienda</w:t>
                          <w:tab/>
                        </w:r>
                      </w:p>
                      <w:p>
                        <w:pPr>
                          <w:pStyle w:val="TableParagraph"/>
                          <w:numPr>
                            <w:ilvl w:val="0"/>
                            <w:numId w:val="50"/>
                          </w:numPr>
                          <w:tabs>
                            <w:tab w:pos="282" w:val="left" w:leader="none"/>
                          </w:tabs>
                          <w:spacing w:line="261" w:lineRule="auto" w:before="0" w:after="0"/>
                          <w:ind w:left="103" w:right="103" w:firstLine="0"/>
                          <w:jc w:val="left"/>
                          <w:rPr>
                            <w:sz w:val="16"/>
                          </w:rPr>
                        </w:pPr>
                        <w:r>
                          <w:rPr>
                            <w:sz w:val="16"/>
                          </w:rPr>
                          <w:t>Programa de Ordenamiento Ecológico Regional  del  Territorio de la Zona Metropolitana del Valle de Toluca</w:t>
                        </w:r>
                        <w:r>
                          <w:rPr>
                            <w:spacing w:val="-10"/>
                            <w:sz w:val="16"/>
                          </w:rPr>
                          <w:t> </w:t>
                        </w:r>
                        <w:r>
                          <w:rPr>
                            <w:sz w:val="16"/>
                          </w:rPr>
                          <w:t>2011. Secretaria del</w:t>
                        </w:r>
                        <w:r>
                          <w:rPr>
                            <w:spacing w:val="11"/>
                            <w:sz w:val="16"/>
                          </w:rPr>
                          <w:t> </w:t>
                        </w:r>
                        <w:r>
                          <w:rPr>
                            <w:sz w:val="16"/>
                          </w:rPr>
                          <w:t>Medio</w:t>
                        </w:r>
                      </w:p>
                      <w:p>
                        <w:pPr>
                          <w:pStyle w:val="TableParagraph"/>
                          <w:tabs>
                            <w:tab w:pos="1994" w:val="left" w:leader="none"/>
                          </w:tabs>
                          <w:ind w:left="25"/>
                          <w:rPr>
                            <w:sz w:val="16"/>
                          </w:rPr>
                        </w:pPr>
                        <w:r>
                          <w:rPr>
                            <w:w w:val="100"/>
                            <w:sz w:val="16"/>
                            <w:u w:val="dotted" w:color="929292"/>
                          </w:rPr>
                          <w:t> </w:t>
                        </w:r>
                        <w:r>
                          <w:rPr>
                            <w:spacing w:val="-11"/>
                            <w:sz w:val="16"/>
                            <w:u w:val="dotted" w:color="929292"/>
                          </w:rPr>
                          <w:t> </w:t>
                        </w:r>
                        <w:r>
                          <w:rPr>
                            <w:sz w:val="16"/>
                            <w:u w:val="dotted" w:color="929292"/>
                          </w:rPr>
                          <w:t>Ambiente</w:t>
                          <w:tab/>
                        </w:r>
                      </w:p>
                      <w:p>
                        <w:pPr>
                          <w:pStyle w:val="TableParagraph"/>
                          <w:rPr>
                            <w:sz w:val="16"/>
                          </w:rPr>
                        </w:pPr>
                      </w:p>
                      <w:p>
                        <w:pPr>
                          <w:pStyle w:val="TableParagraph"/>
                          <w:numPr>
                            <w:ilvl w:val="0"/>
                            <w:numId w:val="50"/>
                          </w:numPr>
                          <w:tabs>
                            <w:tab w:pos="282" w:val="left" w:leader="none"/>
                          </w:tabs>
                          <w:spacing w:line="261" w:lineRule="auto" w:before="103" w:after="0"/>
                          <w:ind w:left="103" w:right="132" w:firstLine="0"/>
                          <w:jc w:val="left"/>
                          <w:rPr>
                            <w:sz w:val="16"/>
                          </w:rPr>
                        </w:pPr>
                        <w:r>
                          <w:rPr>
                            <w:sz w:val="16"/>
                          </w:rPr>
                          <w:t>Estudio del Sistema Integral de Movilidad Sustentable para el</w:t>
                        </w:r>
                        <w:r>
                          <w:rPr>
                            <w:spacing w:val="-13"/>
                            <w:sz w:val="16"/>
                          </w:rPr>
                          <w:t> </w:t>
                        </w:r>
                        <w:r>
                          <w:rPr>
                            <w:sz w:val="16"/>
                          </w:rPr>
                          <w:t>Valle de Toluca 2014. Centro Mario</w:t>
                        </w:r>
                        <w:r>
                          <w:rPr>
                            <w:spacing w:val="11"/>
                            <w:sz w:val="16"/>
                          </w:rPr>
                          <w:t> </w:t>
                        </w:r>
                        <w:r>
                          <w:rPr>
                            <w:sz w:val="16"/>
                          </w:rPr>
                          <w:t>Molina</w:t>
                        </w:r>
                      </w:p>
                    </w:tc>
                    <w:tc>
                      <w:tcPr>
                        <w:tcW w:w="3413" w:type="dxa"/>
                        <w:vMerge w:val="restart"/>
                        <w:tcBorders>
                          <w:left w:val="single" w:sz="4" w:space="0" w:color="929292"/>
                          <w:right w:val="single" w:sz="4" w:space="0" w:color="929292"/>
                        </w:tcBorders>
                      </w:tcPr>
                      <w:p>
                        <w:pPr>
                          <w:pStyle w:val="TableParagraph"/>
                          <w:spacing w:line="261" w:lineRule="auto"/>
                          <w:ind w:left="103" w:right="229"/>
                          <w:rPr>
                            <w:sz w:val="16"/>
                          </w:rPr>
                        </w:pPr>
                        <w:r>
                          <w:rPr>
                            <w:sz w:val="16"/>
                          </w:rPr>
                          <w:t>Crecimiento urbano, cambio de uso de suelo, deficiencia en la infraestructura hidráulica, sanitaria y energética; baja capacidad de tratamiento de aguas;  déficit</w:t>
                        </w:r>
                      </w:p>
                      <w:p>
                        <w:pPr>
                          <w:pStyle w:val="TableParagraph"/>
                          <w:ind w:left="24" w:right="47"/>
                          <w:rPr>
                            <w:sz w:val="16"/>
                          </w:rPr>
                        </w:pPr>
                        <w:r>
                          <w:rPr>
                            <w:w w:val="100"/>
                            <w:sz w:val="16"/>
                            <w:u w:val="dotted" w:color="929292"/>
                          </w:rPr>
                          <w:t> </w:t>
                        </w:r>
                        <w:r>
                          <w:rPr>
                            <w:sz w:val="16"/>
                            <w:u w:val="dotted" w:color="929292"/>
                          </w:rPr>
                          <w:t> hídrico; y saturación de rutas de transporte. </w:t>
                        </w:r>
                      </w:p>
                      <w:p>
                        <w:pPr>
                          <w:pStyle w:val="TableParagraph"/>
                          <w:spacing w:before="2"/>
                          <w:rPr>
                            <w:sz w:val="16"/>
                          </w:rPr>
                        </w:pPr>
                      </w:p>
                      <w:p>
                        <w:pPr>
                          <w:pStyle w:val="TableParagraph"/>
                          <w:spacing w:line="261" w:lineRule="auto" w:before="1"/>
                          <w:ind w:left="103" w:right="433"/>
                          <w:rPr>
                            <w:sz w:val="16"/>
                          </w:rPr>
                        </w:pPr>
                        <w:r>
                          <w:rPr>
                            <w:sz w:val="16"/>
                          </w:rPr>
                          <w:t>Cambios en el uso de suelo: ganancia del suelo urbano y pérdida en agrícola y</w:t>
                        </w:r>
                      </w:p>
                      <w:p>
                        <w:pPr>
                          <w:pStyle w:val="TableParagraph"/>
                          <w:spacing w:line="261" w:lineRule="auto"/>
                          <w:ind w:left="103" w:right="47"/>
                          <w:rPr>
                            <w:sz w:val="16"/>
                          </w:rPr>
                        </w:pPr>
                        <w:r>
                          <w:rPr>
                            <w:sz w:val="16"/>
                          </w:rPr>
                          <w:t>forestal; erosión hídrica superficial, erosión por minería, sobreexplotación del acuífero y contaminación del agua.</w:t>
                        </w:r>
                      </w:p>
                      <w:p>
                        <w:pPr>
                          <w:pStyle w:val="TableParagraph"/>
                          <w:tabs>
                            <w:tab w:pos="3392" w:val="left" w:leader="none"/>
                          </w:tabs>
                          <w:ind w:left="24"/>
                          <w:rPr>
                            <w:sz w:val="16"/>
                          </w:rPr>
                        </w:pPr>
                        <w:r>
                          <w:rPr>
                            <w:w w:val="100"/>
                            <w:sz w:val="16"/>
                            <w:u w:val="dotted" w:color="929292"/>
                          </w:rPr>
                          <w:t> </w:t>
                        </w:r>
                        <w:r>
                          <w:rPr>
                            <w:sz w:val="16"/>
                            <w:u w:val="dotted" w:color="929292"/>
                          </w:rPr>
                          <w:tab/>
                        </w:r>
                      </w:p>
                      <w:p>
                        <w:pPr>
                          <w:pStyle w:val="TableParagraph"/>
                          <w:rPr>
                            <w:sz w:val="16"/>
                          </w:rPr>
                        </w:pPr>
                      </w:p>
                      <w:p>
                        <w:pPr>
                          <w:pStyle w:val="TableParagraph"/>
                          <w:spacing w:before="7"/>
                          <w:rPr>
                            <w:sz w:val="17"/>
                          </w:rPr>
                        </w:pPr>
                      </w:p>
                      <w:p>
                        <w:pPr>
                          <w:pStyle w:val="TableParagraph"/>
                          <w:spacing w:line="261" w:lineRule="auto"/>
                          <w:ind w:left="103" w:right="229"/>
                          <w:rPr>
                            <w:sz w:val="16"/>
                          </w:rPr>
                        </w:pPr>
                        <w:r>
                          <w:rPr>
                            <w:sz w:val="16"/>
                          </w:rPr>
                          <w:t>Expansión urbana, aumento de tiempo y distancia de viajes, reparto modal poco eficiente y fragmentación de la gestión pública de la movilidad.</w:t>
                        </w:r>
                      </w:p>
                      <w:p>
                        <w:pPr>
                          <w:pStyle w:val="TableParagraph"/>
                          <w:spacing w:before="5"/>
                          <w:rPr>
                            <w:sz w:val="18"/>
                          </w:rPr>
                        </w:pPr>
                      </w:p>
                      <w:p>
                        <w:pPr>
                          <w:pStyle w:val="TableParagraph"/>
                          <w:tabs>
                            <w:tab w:pos="3392" w:val="left" w:leader="none"/>
                          </w:tabs>
                          <w:spacing w:line="172" w:lineRule="exact"/>
                          <w:ind w:left="103" w:right="7" w:hanging="79"/>
                          <w:rPr>
                            <w:sz w:val="16"/>
                          </w:rPr>
                        </w:pPr>
                        <w:r>
                          <w:rPr>
                            <w:w w:val="100"/>
                            <w:sz w:val="16"/>
                            <w:u w:val="dotted" w:color="929292"/>
                          </w:rPr>
                          <w:t> </w:t>
                        </w:r>
                        <w:r>
                          <w:rPr>
                            <w:sz w:val="16"/>
                            <w:u w:val="dotted" w:color="929292"/>
                          </w:rPr>
                          <w:tab/>
                          <w:tab/>
                        </w:r>
                        <w:r>
                          <w:rPr>
                            <w:sz w:val="16"/>
                          </w:rPr>
                          <w:t> </w:t>
                        </w:r>
                        <w:r>
                          <w:rPr>
                            <w:w w:val="100"/>
                            <w:sz w:val="16"/>
                          </w:rPr>
                          <w:t>Contaminantes</w:t>
                        </w:r>
                        <w:r>
                          <w:rPr>
                            <w:sz w:val="16"/>
                          </w:rPr>
                          <w:t> </w:t>
                        </w:r>
                        <w:r>
                          <w:rPr>
                            <w:w w:val="107"/>
                            <w:sz w:val="16"/>
                          </w:rPr>
                          <w:t>“criterio”</w:t>
                        </w:r>
                        <w:r>
                          <w:rPr>
                            <w:sz w:val="16"/>
                          </w:rPr>
                          <w:t> </w:t>
                        </w:r>
                        <w:r>
                          <w:rPr>
                            <w:w w:val="98"/>
                            <w:sz w:val="16"/>
                          </w:rPr>
                          <w:t>(emisiones</w:t>
                        </w:r>
                        <w:r>
                          <w:rPr>
                            <w:sz w:val="16"/>
                          </w:rPr>
                          <w:t> </w:t>
                        </w:r>
                        <w:r>
                          <w:rPr>
                            <w:w w:val="101"/>
                            <w:sz w:val="16"/>
                          </w:rPr>
                          <w:t>de</w:t>
                        </w:r>
                      </w:p>
                      <w:p>
                        <w:pPr>
                          <w:pStyle w:val="TableParagraph"/>
                          <w:spacing w:line="261" w:lineRule="auto" w:before="15"/>
                          <w:ind w:left="103" w:right="203"/>
                          <w:rPr>
                            <w:sz w:val="16"/>
                          </w:rPr>
                        </w:pPr>
                        <w:r>
                          <w:rPr>
                            <w:sz w:val="16"/>
                          </w:rPr>
                          <w:t>áreas industriales, urbanas y rurales) perjudiciales a la salud, concentraciones  de partículas suspendidas PM10 en el norte de la ZMVT; emisión superior al</w:t>
                        </w:r>
                        <w:r>
                          <w:rPr>
                            <w:spacing w:val="-1"/>
                            <w:sz w:val="16"/>
                          </w:rPr>
                          <w:t> </w:t>
                        </w:r>
                        <w:r>
                          <w:rPr>
                            <w:sz w:val="16"/>
                          </w:rPr>
                          <w:t>límite</w:t>
                        </w:r>
                      </w:p>
                      <w:p>
                        <w:pPr>
                          <w:pStyle w:val="TableParagraph"/>
                          <w:tabs>
                            <w:tab w:pos="3392" w:val="left" w:leader="none"/>
                          </w:tabs>
                          <w:spacing w:line="242" w:lineRule="auto"/>
                          <w:ind w:left="103" w:right="7" w:hanging="79"/>
                          <w:rPr>
                            <w:sz w:val="16"/>
                          </w:rPr>
                        </w:pPr>
                        <w:r>
                          <w:rPr>
                            <w:w w:val="100"/>
                            <w:sz w:val="16"/>
                            <w:u w:val="dotted" w:color="929292"/>
                          </w:rPr>
                          <w:t> </w:t>
                        </w:r>
                        <w:r>
                          <w:rPr>
                            <w:spacing w:val="-11"/>
                            <w:sz w:val="16"/>
                            <w:u w:val="dotted" w:color="929292"/>
                          </w:rPr>
                          <w:t> </w:t>
                        </w:r>
                        <w:r>
                          <w:rPr>
                            <w:sz w:val="16"/>
                            <w:u w:val="dotted" w:color="929292"/>
                          </w:rPr>
                          <w:t>recomendado de PM2.5 y</w:t>
                        </w:r>
                        <w:r>
                          <w:rPr>
                            <w:spacing w:val="1"/>
                            <w:sz w:val="16"/>
                            <w:u w:val="dotted" w:color="929292"/>
                          </w:rPr>
                          <w:t> </w:t>
                        </w:r>
                        <w:r>
                          <w:rPr>
                            <w:sz w:val="16"/>
                            <w:u w:val="dotted" w:color="929292"/>
                          </w:rPr>
                          <w:t>ozono (O3)</w:t>
                          <w:tab/>
                        </w:r>
                        <w:r>
                          <w:rPr>
                            <w:sz w:val="16"/>
                          </w:rPr>
                          <w:t> Concentración de población</w:t>
                        </w:r>
                        <w:r>
                          <w:rPr>
                            <w:spacing w:val="41"/>
                            <w:sz w:val="16"/>
                          </w:rPr>
                          <w:t> </w:t>
                        </w:r>
                        <w:r>
                          <w:rPr>
                            <w:sz w:val="16"/>
                          </w:rPr>
                          <w:t>y</w:t>
                        </w:r>
                        <w:r>
                          <w:rPr>
                            <w:spacing w:val="13"/>
                            <w:sz w:val="16"/>
                          </w:rPr>
                          <w:t> </w:t>
                        </w:r>
                        <w:r>
                          <w:rPr>
                            <w:sz w:val="16"/>
                          </w:rPr>
                          <w:t>actividades</w:t>
                        </w:r>
                        <w:r>
                          <w:rPr>
                            <w:w w:val="101"/>
                            <w:sz w:val="16"/>
                          </w:rPr>
                          <w:t> </w:t>
                        </w:r>
                        <w:r>
                          <w:rPr>
                            <w:sz w:val="16"/>
                          </w:rPr>
                          <w:t>productivas; alta concentración </w:t>
                        </w:r>
                        <w:r>
                          <w:rPr>
                            <w:spacing w:val="4"/>
                            <w:sz w:val="16"/>
                          </w:rPr>
                          <w:t> </w:t>
                        </w:r>
                        <w:r>
                          <w:rPr>
                            <w:sz w:val="16"/>
                          </w:rPr>
                          <w:t>de</w:t>
                        </w:r>
                      </w:p>
                      <w:p>
                        <w:pPr>
                          <w:pStyle w:val="TableParagraph"/>
                          <w:spacing w:line="261" w:lineRule="auto" w:before="14"/>
                          <w:ind w:left="103" w:right="229"/>
                          <w:rPr>
                            <w:sz w:val="16"/>
                          </w:rPr>
                        </w:pPr>
                        <w:r>
                          <w:rPr>
                            <w:sz w:val="16"/>
                          </w:rPr>
                          <w:t>partículas suspendidas PM10, áreas afectadas por procesos de erosión e</w:t>
                        </w:r>
                      </w:p>
                      <w:p>
                        <w:pPr>
                          <w:pStyle w:val="TableParagraph"/>
                          <w:tabs>
                            <w:tab w:pos="3392" w:val="left" w:leader="none"/>
                          </w:tabs>
                          <w:ind w:left="24"/>
                          <w:rPr>
                            <w:sz w:val="16"/>
                          </w:rPr>
                        </w:pPr>
                        <w:r>
                          <w:rPr>
                            <w:w w:val="100"/>
                            <w:sz w:val="16"/>
                            <w:u w:val="dotted" w:color="929292"/>
                          </w:rPr>
                          <w:t> </w:t>
                        </w:r>
                        <w:r>
                          <w:rPr>
                            <w:spacing w:val="-11"/>
                            <w:sz w:val="16"/>
                            <w:u w:val="dotted" w:color="929292"/>
                          </w:rPr>
                          <w:t> </w:t>
                        </w:r>
                        <w:r>
                          <w:rPr>
                            <w:sz w:val="16"/>
                            <w:u w:val="dotted" w:color="929292"/>
                          </w:rPr>
                          <w:t>incendios</w:t>
                        </w:r>
                        <w:r>
                          <w:rPr>
                            <w:spacing w:val="14"/>
                            <w:sz w:val="16"/>
                            <w:u w:val="dotted" w:color="929292"/>
                          </w:rPr>
                          <w:t> </w:t>
                        </w:r>
                        <w:r>
                          <w:rPr>
                            <w:sz w:val="16"/>
                            <w:u w:val="dotted" w:color="929292"/>
                          </w:rPr>
                          <w:t>forestales.</w:t>
                          <w:tab/>
                        </w:r>
                      </w:p>
                      <w:p>
                        <w:pPr>
                          <w:pStyle w:val="TableParagraph"/>
                          <w:rPr>
                            <w:sz w:val="16"/>
                          </w:rPr>
                        </w:pPr>
                      </w:p>
                      <w:p>
                        <w:pPr>
                          <w:pStyle w:val="TableParagraph"/>
                          <w:rPr>
                            <w:sz w:val="16"/>
                          </w:rPr>
                        </w:pPr>
                      </w:p>
                      <w:p>
                        <w:pPr>
                          <w:pStyle w:val="TableParagraph"/>
                          <w:spacing w:line="261" w:lineRule="auto" w:before="119"/>
                          <w:ind w:left="103" w:right="211"/>
                          <w:rPr>
                            <w:sz w:val="16"/>
                          </w:rPr>
                        </w:pPr>
                        <w:r>
                          <w:rPr>
                            <w:sz w:val="16"/>
                          </w:rPr>
                          <w:t>Tendencia creciente de emisiones de dióxido de carbono (CO2), tasa creciente de desechos y aumento de emisiones de metano, enfermedades relacionadas con el clima.</w:t>
                        </w:r>
                      </w:p>
                      <w:p>
                        <w:pPr>
                          <w:pStyle w:val="TableParagraph"/>
                          <w:rPr>
                            <w:sz w:val="16"/>
                          </w:rPr>
                        </w:pPr>
                      </w:p>
                      <w:p>
                        <w:pPr>
                          <w:pStyle w:val="TableParagraph"/>
                          <w:tabs>
                            <w:tab w:pos="3392" w:val="left" w:leader="none"/>
                          </w:tabs>
                          <w:spacing w:before="116"/>
                          <w:ind w:left="24"/>
                          <w:rPr>
                            <w:sz w:val="16"/>
                          </w:rPr>
                        </w:pPr>
                        <w:r>
                          <w:rPr>
                            <w:w w:val="100"/>
                            <w:sz w:val="16"/>
                            <w:u w:val="dotted" w:color="929292"/>
                          </w:rPr>
                          <w:t> </w:t>
                        </w:r>
                        <w:r>
                          <w:rPr>
                            <w:sz w:val="16"/>
                            <w:u w:val="dotted" w:color="929292"/>
                          </w:rPr>
                          <w:tab/>
                        </w:r>
                      </w:p>
                      <w:p>
                        <w:pPr>
                          <w:pStyle w:val="TableParagraph"/>
                          <w:rPr>
                            <w:sz w:val="16"/>
                          </w:rPr>
                        </w:pPr>
                      </w:p>
                      <w:p>
                        <w:pPr>
                          <w:pStyle w:val="TableParagraph"/>
                          <w:spacing w:line="261" w:lineRule="auto" w:before="103"/>
                          <w:ind w:left="104" w:right="229"/>
                          <w:rPr>
                            <w:sz w:val="16"/>
                          </w:rPr>
                        </w:pPr>
                        <w:r>
                          <w:rPr>
                            <w:sz w:val="16"/>
                          </w:rPr>
                          <w:t>Déficit hídrico y deficiente infraestructura hidráulica. (no especificado)</w:t>
                        </w:r>
                      </w:p>
                      <w:p>
                        <w:pPr>
                          <w:pStyle w:val="TableParagraph"/>
                          <w:tabs>
                            <w:tab w:pos="3392" w:val="left" w:leader="none"/>
                          </w:tabs>
                          <w:spacing w:before="100"/>
                          <w:ind w:left="24"/>
                          <w:rPr>
                            <w:sz w:val="16"/>
                          </w:rPr>
                        </w:pPr>
                        <w:r>
                          <w:rPr>
                            <w:w w:val="100"/>
                            <w:sz w:val="16"/>
                            <w:u w:val="dotted" w:color="929292"/>
                          </w:rPr>
                          <w:t> </w:t>
                        </w:r>
                        <w:r>
                          <w:rPr>
                            <w:sz w:val="16"/>
                            <w:u w:val="dotted" w:color="929292"/>
                          </w:rPr>
                          <w:tab/>
                        </w:r>
                      </w:p>
                    </w:tc>
                    <w:tc>
                      <w:tcPr>
                        <w:tcW w:w="1333" w:type="dxa"/>
                        <w:vMerge w:val="restart"/>
                        <w:tcBorders>
                          <w:left w:val="single" w:sz="4" w:space="0" w:color="929292"/>
                        </w:tcBorders>
                      </w:tcPr>
                      <w:p>
                        <w:pPr>
                          <w:pStyle w:val="TableParagraph"/>
                          <w:spacing w:before="8"/>
                          <w:rPr>
                            <w:sz w:val="16"/>
                          </w:rPr>
                        </w:pPr>
                      </w:p>
                      <w:p>
                        <w:pPr>
                          <w:pStyle w:val="TableParagraph"/>
                          <w:spacing w:line="261" w:lineRule="auto"/>
                          <w:ind w:left="103" w:right="104"/>
                          <w:rPr>
                            <w:sz w:val="16"/>
                          </w:rPr>
                        </w:pPr>
                        <w:r>
                          <w:rPr>
                            <w:sz w:val="16"/>
                          </w:rPr>
                          <w:t>Región del Valle de Toluca (22 municipios)</w:t>
                        </w:r>
                      </w:p>
                      <w:p>
                        <w:pPr>
                          <w:pStyle w:val="TableParagraph"/>
                          <w:tabs>
                            <w:tab w:pos="1307" w:val="left" w:leader="none"/>
                          </w:tabs>
                          <w:ind w:left="25"/>
                          <w:rPr>
                            <w:sz w:val="16"/>
                          </w:rPr>
                        </w:pPr>
                        <w:r>
                          <w:rPr>
                            <w:w w:val="100"/>
                            <w:sz w:val="16"/>
                            <w:u w:val="dotted" w:color="929292"/>
                          </w:rPr>
                          <w:t> </w:t>
                        </w:r>
                        <w:r>
                          <w:rPr>
                            <w:sz w:val="16"/>
                            <w:u w:val="dotted" w:color="929292"/>
                          </w:rPr>
                          <w:tab/>
                        </w:r>
                      </w:p>
                      <w:p>
                        <w:pPr>
                          <w:pStyle w:val="TableParagraph"/>
                          <w:spacing w:before="2"/>
                          <w:rPr>
                            <w:sz w:val="16"/>
                          </w:rPr>
                        </w:pPr>
                      </w:p>
                      <w:p>
                        <w:pPr>
                          <w:pStyle w:val="TableParagraph"/>
                          <w:spacing w:line="261" w:lineRule="auto" w:before="1"/>
                          <w:ind w:left="103" w:right="151"/>
                          <w:rPr>
                            <w:sz w:val="16"/>
                          </w:rPr>
                        </w:pPr>
                        <w:r>
                          <w:rPr>
                            <w:sz w:val="16"/>
                          </w:rPr>
                          <w:t>Zona Metropolitana del Valle de Toluca (7 municipios)</w:t>
                        </w:r>
                      </w:p>
                      <w:p>
                        <w:pPr>
                          <w:pStyle w:val="TableParagraph"/>
                          <w:tabs>
                            <w:tab w:pos="1307" w:val="left" w:leader="none"/>
                          </w:tabs>
                          <w:spacing w:line="242" w:lineRule="auto"/>
                          <w:ind w:left="103" w:right="18" w:hanging="79"/>
                          <w:rPr>
                            <w:sz w:val="16"/>
                          </w:rPr>
                        </w:pPr>
                        <w:r>
                          <w:rPr>
                            <w:w w:val="100"/>
                            <w:sz w:val="16"/>
                            <w:u w:val="dotted" w:color="929292"/>
                          </w:rPr>
                          <w:t> </w:t>
                        </w:r>
                        <w:r>
                          <w:rPr>
                            <w:sz w:val="16"/>
                            <w:u w:val="dotted" w:color="929292"/>
                          </w:rPr>
                          <w:tab/>
                          <w:tab/>
                        </w:r>
                        <w:r>
                          <w:rPr>
                            <w:sz w:val="16"/>
                          </w:rPr>
                          <w:t> Zona </w:t>
                        </w:r>
                        <w:r>
                          <w:rPr>
                            <w:w w:val="101"/>
                            <w:sz w:val="16"/>
                          </w:rPr>
                          <w:t>metropolitana</w:t>
                        </w:r>
                      </w:p>
                      <w:p>
                        <w:pPr>
                          <w:pStyle w:val="TableParagraph"/>
                          <w:spacing w:line="261" w:lineRule="auto" w:before="14"/>
                          <w:ind w:left="103" w:right="151"/>
                          <w:rPr>
                            <w:sz w:val="16"/>
                          </w:rPr>
                        </w:pPr>
                        <w:r>
                          <w:rPr>
                            <w:sz w:val="16"/>
                          </w:rPr>
                          <w:t>de Toluca (15 municipios, INEGI- CONAPO- SEDESOL,</w:t>
                        </w:r>
                      </w:p>
                      <w:p>
                        <w:pPr>
                          <w:pStyle w:val="TableParagraph"/>
                          <w:tabs>
                            <w:tab w:pos="1307" w:val="left" w:leader="none"/>
                          </w:tabs>
                          <w:ind w:left="25"/>
                          <w:rPr>
                            <w:sz w:val="16"/>
                          </w:rPr>
                        </w:pPr>
                        <w:r>
                          <w:rPr>
                            <w:w w:val="100"/>
                            <w:sz w:val="16"/>
                            <w:u w:val="dotted" w:color="929292"/>
                          </w:rPr>
                          <w:t> </w:t>
                        </w:r>
                        <w:r>
                          <w:rPr>
                            <w:spacing w:val="-11"/>
                            <w:sz w:val="16"/>
                            <w:u w:val="dotted" w:color="929292"/>
                          </w:rPr>
                          <w:t> </w:t>
                        </w:r>
                        <w:r>
                          <w:rPr>
                            <w:sz w:val="16"/>
                            <w:u w:val="dotted" w:color="929292"/>
                          </w:rPr>
                          <w:t>2012)</w:t>
                          <w:tab/>
                        </w:r>
                      </w:p>
                      <w:p>
                        <w:pPr>
                          <w:pStyle w:val="TableParagraph"/>
                          <w:spacing w:line="200" w:lineRule="atLeast" w:before="71"/>
                          <w:ind w:left="103" w:right="151"/>
                          <w:rPr>
                            <w:sz w:val="16"/>
                          </w:rPr>
                        </w:pPr>
                        <w:r>
                          <w:rPr>
                            <w:sz w:val="16"/>
                          </w:rPr>
                          <w:t>Zona Metropolitana del Valle de Toluca (22 municipios)</w:t>
                        </w:r>
                      </w:p>
                      <w:p>
                        <w:pPr>
                          <w:pStyle w:val="TableParagraph"/>
                          <w:tabs>
                            <w:tab w:pos="1307" w:val="left" w:leader="none"/>
                          </w:tabs>
                          <w:spacing w:line="93" w:lineRule="exact"/>
                          <w:ind w:left="25"/>
                          <w:rPr>
                            <w:sz w:val="16"/>
                          </w:rPr>
                        </w:pPr>
                        <w:r>
                          <w:rPr>
                            <w:w w:val="100"/>
                            <w:sz w:val="16"/>
                            <w:u w:val="dotted" w:color="929292"/>
                          </w:rPr>
                          <w:t> </w:t>
                        </w:r>
                        <w:r>
                          <w:rPr>
                            <w:sz w:val="16"/>
                            <w:u w:val="dotted" w:color="929292"/>
                          </w:rPr>
                          <w:tab/>
                        </w:r>
                      </w:p>
                      <w:p>
                        <w:pPr>
                          <w:pStyle w:val="TableParagraph"/>
                          <w:spacing w:line="261" w:lineRule="auto"/>
                          <w:ind w:left="103" w:right="151"/>
                          <w:rPr>
                            <w:sz w:val="16"/>
                          </w:rPr>
                        </w:pPr>
                        <w:r>
                          <w:rPr>
                            <w:sz w:val="16"/>
                          </w:rPr>
                          <w:t>Zona Metropolitana del Valle de Toluca (7</w:t>
                        </w:r>
                      </w:p>
                      <w:p>
                        <w:pPr>
                          <w:pStyle w:val="TableParagraph"/>
                          <w:tabs>
                            <w:tab w:pos="1307" w:val="left" w:leader="none"/>
                          </w:tabs>
                          <w:ind w:left="25"/>
                          <w:rPr>
                            <w:sz w:val="16"/>
                          </w:rPr>
                        </w:pPr>
                        <w:r>
                          <w:rPr>
                            <w:w w:val="100"/>
                            <w:sz w:val="16"/>
                            <w:u w:val="dotted" w:color="929292"/>
                          </w:rPr>
                          <w:t> </w:t>
                        </w:r>
                        <w:r>
                          <w:rPr>
                            <w:spacing w:val="-11"/>
                            <w:sz w:val="16"/>
                            <w:u w:val="dotted" w:color="929292"/>
                          </w:rPr>
                          <w:t> </w:t>
                        </w:r>
                        <w:r>
                          <w:rPr>
                            <w:sz w:val="16"/>
                            <w:u w:val="dotted" w:color="929292"/>
                          </w:rPr>
                          <w:t>municipios)</w:t>
                          <w:tab/>
                        </w:r>
                      </w:p>
                      <w:p>
                        <w:pPr>
                          <w:pStyle w:val="TableParagraph"/>
                          <w:rPr>
                            <w:sz w:val="16"/>
                          </w:rPr>
                        </w:pPr>
                      </w:p>
                      <w:p>
                        <w:pPr>
                          <w:pStyle w:val="TableParagraph"/>
                          <w:rPr>
                            <w:sz w:val="16"/>
                          </w:rPr>
                        </w:pPr>
                      </w:p>
                      <w:p>
                        <w:pPr>
                          <w:pStyle w:val="TableParagraph"/>
                          <w:rPr>
                            <w:sz w:val="16"/>
                          </w:rPr>
                        </w:pPr>
                      </w:p>
                      <w:p>
                        <w:pPr>
                          <w:pStyle w:val="TableParagraph"/>
                          <w:spacing w:before="4"/>
                          <w:rPr>
                            <w:sz w:val="20"/>
                          </w:rPr>
                        </w:pPr>
                      </w:p>
                      <w:p>
                        <w:pPr>
                          <w:pStyle w:val="TableParagraph"/>
                          <w:spacing w:line="261" w:lineRule="auto" w:before="1"/>
                          <w:ind w:left="104" w:right="528"/>
                          <w:rPr>
                            <w:sz w:val="16"/>
                          </w:rPr>
                        </w:pPr>
                        <w:r>
                          <w:rPr>
                            <w:sz w:val="16"/>
                          </w:rPr>
                          <w:t>Estatal y municipal</w:t>
                        </w:r>
                      </w:p>
                      <w:p>
                        <w:pPr>
                          <w:pStyle w:val="TableParagraph"/>
                          <w:rPr>
                            <w:sz w:val="16"/>
                          </w:rPr>
                        </w:pPr>
                      </w:p>
                      <w:p>
                        <w:pPr>
                          <w:pStyle w:val="TableParagraph"/>
                          <w:rPr>
                            <w:sz w:val="16"/>
                          </w:rPr>
                        </w:pPr>
                      </w:p>
                      <w:p>
                        <w:pPr>
                          <w:pStyle w:val="TableParagraph"/>
                          <w:spacing w:before="1"/>
                          <w:rPr>
                            <w:sz w:val="20"/>
                          </w:rPr>
                        </w:pPr>
                      </w:p>
                      <w:p>
                        <w:pPr>
                          <w:pStyle w:val="TableParagraph"/>
                          <w:tabs>
                            <w:tab w:pos="1307" w:val="left" w:leader="none"/>
                          </w:tabs>
                          <w:spacing w:line="242" w:lineRule="auto" w:before="1"/>
                          <w:ind w:left="104" w:right="18" w:hanging="80"/>
                          <w:rPr>
                            <w:sz w:val="16"/>
                          </w:rPr>
                        </w:pPr>
                        <w:r>
                          <w:rPr>
                            <w:w w:val="100"/>
                            <w:sz w:val="16"/>
                            <w:u w:val="dotted" w:color="929292"/>
                          </w:rPr>
                          <w:t> </w:t>
                        </w:r>
                        <w:r>
                          <w:rPr>
                            <w:sz w:val="16"/>
                            <w:u w:val="dotted" w:color="929292"/>
                          </w:rPr>
                          <w:tab/>
                          <w:tab/>
                        </w:r>
                        <w:r>
                          <w:rPr>
                            <w:sz w:val="16"/>
                          </w:rPr>
                          <w:t> Zona </w:t>
                        </w:r>
                        <w:r>
                          <w:rPr>
                            <w:w w:val="102"/>
                            <w:sz w:val="16"/>
                          </w:rPr>
                          <w:t>Metropolitana</w:t>
                        </w:r>
                      </w:p>
                      <w:p>
                        <w:pPr>
                          <w:pStyle w:val="TableParagraph"/>
                          <w:spacing w:line="261" w:lineRule="auto" w:before="14"/>
                          <w:ind w:left="104" w:right="151"/>
                          <w:rPr>
                            <w:sz w:val="16"/>
                          </w:rPr>
                        </w:pPr>
                        <w:r>
                          <w:rPr>
                            <w:sz w:val="16"/>
                          </w:rPr>
                          <w:t>del Valle de Toluca (22</w:t>
                        </w:r>
                      </w:p>
                      <w:p>
                        <w:pPr>
                          <w:pStyle w:val="TableParagraph"/>
                          <w:tabs>
                            <w:tab w:pos="1307" w:val="left" w:leader="none"/>
                          </w:tabs>
                          <w:ind w:left="25"/>
                          <w:rPr>
                            <w:sz w:val="16"/>
                          </w:rPr>
                        </w:pPr>
                        <w:r>
                          <w:rPr>
                            <w:w w:val="100"/>
                            <w:sz w:val="16"/>
                            <w:u w:val="dotted" w:color="929292"/>
                          </w:rPr>
                          <w:t> </w:t>
                        </w:r>
                        <w:r>
                          <w:rPr>
                            <w:spacing w:val="-10"/>
                            <w:sz w:val="16"/>
                            <w:u w:val="dotted" w:color="929292"/>
                          </w:rPr>
                          <w:t> </w:t>
                        </w:r>
                        <w:r>
                          <w:rPr>
                            <w:sz w:val="16"/>
                            <w:u w:val="dotted" w:color="929292"/>
                          </w:rPr>
                          <w:t>municipios)</w:t>
                          <w:tab/>
                        </w:r>
                      </w:p>
                    </w:tc>
                  </w:tr>
                  <w:tr>
                    <w:trPr>
                      <w:trHeight w:val="5053" w:hRule="exact"/>
                    </w:trPr>
                    <w:tc>
                      <w:tcPr>
                        <w:tcW w:w="1130" w:type="dxa"/>
                        <w:tcBorders>
                          <w:top w:val="dotted" w:sz="4" w:space="0" w:color="929292"/>
                          <w:right w:val="single" w:sz="4" w:space="0" w:color="929292"/>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18"/>
                          <w:ind w:left="108" w:right="303"/>
                          <w:rPr>
                            <w:sz w:val="16"/>
                          </w:rPr>
                        </w:pPr>
                        <w:r>
                          <w:rPr>
                            <w:sz w:val="16"/>
                          </w:rPr>
                          <w:t>Aire</w:t>
                        </w: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tabs>
                            <w:tab w:pos="1114" w:val="left" w:leader="none"/>
                          </w:tabs>
                          <w:spacing w:before="131"/>
                          <w:ind w:left="35"/>
                          <w:rPr>
                            <w:sz w:val="16"/>
                          </w:rPr>
                        </w:pPr>
                        <w:r>
                          <w:rPr>
                            <w:w w:val="100"/>
                            <w:sz w:val="16"/>
                            <w:u w:val="dotted" w:color="929292"/>
                          </w:rPr>
                          <w:t> </w:t>
                        </w:r>
                        <w:r>
                          <w:rPr>
                            <w:sz w:val="16"/>
                            <w:u w:val="dotted" w:color="929292"/>
                          </w:rPr>
                          <w:tab/>
                        </w:r>
                      </w:p>
                      <w:p>
                        <w:pPr>
                          <w:pStyle w:val="TableParagraph"/>
                          <w:rPr>
                            <w:sz w:val="16"/>
                          </w:rPr>
                        </w:pPr>
                      </w:p>
                      <w:p>
                        <w:pPr>
                          <w:pStyle w:val="TableParagraph"/>
                          <w:spacing w:before="7"/>
                          <w:rPr>
                            <w:sz w:val="17"/>
                          </w:rPr>
                        </w:pPr>
                      </w:p>
                      <w:p>
                        <w:pPr>
                          <w:pStyle w:val="TableParagraph"/>
                          <w:ind w:left="109" w:right="303"/>
                          <w:rPr>
                            <w:sz w:val="16"/>
                          </w:rPr>
                        </w:pPr>
                        <w:r>
                          <w:rPr>
                            <w:sz w:val="16"/>
                          </w:rPr>
                          <w:t>Agua</w:t>
                        </w:r>
                      </w:p>
                      <w:p>
                        <w:pPr>
                          <w:pStyle w:val="TableParagraph"/>
                          <w:spacing w:before="9"/>
                          <w:rPr>
                            <w:sz w:val="18"/>
                          </w:rPr>
                        </w:pPr>
                      </w:p>
                      <w:p>
                        <w:pPr>
                          <w:pStyle w:val="TableParagraph"/>
                          <w:tabs>
                            <w:tab w:pos="1114" w:val="left" w:leader="none"/>
                          </w:tabs>
                          <w:ind w:left="35"/>
                          <w:rPr>
                            <w:sz w:val="16"/>
                          </w:rPr>
                        </w:pPr>
                        <w:r>
                          <w:rPr>
                            <w:w w:val="100"/>
                            <w:sz w:val="16"/>
                            <w:u w:val="dotted" w:color="929292"/>
                          </w:rPr>
                          <w:t> </w:t>
                        </w:r>
                        <w:r>
                          <w:rPr>
                            <w:sz w:val="16"/>
                            <w:u w:val="dotted" w:color="929292"/>
                          </w:rPr>
                          <w:tab/>
                        </w:r>
                      </w:p>
                    </w:tc>
                    <w:tc>
                      <w:tcPr>
                        <w:tcW w:w="2014" w:type="dxa"/>
                        <w:tcBorders>
                          <w:top w:val="dotted" w:sz="4" w:space="0" w:color="929292"/>
                          <w:left w:val="single" w:sz="4" w:space="0" w:color="929292"/>
                          <w:right w:val="single" w:sz="4" w:space="0" w:color="929292"/>
                        </w:tcBorders>
                      </w:tcPr>
                      <w:p>
                        <w:pPr>
                          <w:pStyle w:val="TableParagraph"/>
                          <w:numPr>
                            <w:ilvl w:val="0"/>
                            <w:numId w:val="51"/>
                          </w:numPr>
                          <w:tabs>
                            <w:tab w:pos="282" w:val="left" w:leader="none"/>
                          </w:tabs>
                          <w:spacing w:line="200" w:lineRule="atLeast" w:before="71" w:after="0"/>
                          <w:ind w:left="103" w:right="224" w:firstLine="0"/>
                          <w:jc w:val="left"/>
                          <w:rPr>
                            <w:sz w:val="16"/>
                          </w:rPr>
                        </w:pPr>
                        <w:r>
                          <w:rPr>
                            <w:sz w:val="16"/>
                          </w:rPr>
                          <w:t>Programa para Mejorar la Calidad del Aire del Valle de</w:t>
                        </w:r>
                        <w:r>
                          <w:rPr>
                            <w:spacing w:val="-16"/>
                            <w:sz w:val="16"/>
                          </w:rPr>
                          <w:t> </w:t>
                        </w:r>
                        <w:r>
                          <w:rPr>
                            <w:sz w:val="16"/>
                          </w:rPr>
                          <w:t>Toluca 2012-2017. Secretaria del Medio</w:t>
                        </w:r>
                        <w:r>
                          <w:rPr>
                            <w:spacing w:val="20"/>
                            <w:sz w:val="16"/>
                          </w:rPr>
                          <w:t> </w:t>
                        </w:r>
                        <w:r>
                          <w:rPr>
                            <w:sz w:val="16"/>
                          </w:rPr>
                          <w:t>Ambiente</w:t>
                        </w:r>
                      </w:p>
                      <w:p>
                        <w:pPr>
                          <w:pStyle w:val="TableParagraph"/>
                          <w:tabs>
                            <w:tab w:pos="1994" w:val="left" w:leader="none"/>
                          </w:tabs>
                          <w:spacing w:line="93" w:lineRule="exact"/>
                          <w:ind w:left="103" w:hanging="79"/>
                          <w:rPr>
                            <w:sz w:val="16"/>
                          </w:rPr>
                        </w:pPr>
                        <w:r>
                          <w:rPr>
                            <w:w w:val="100"/>
                            <w:sz w:val="16"/>
                            <w:u w:val="dotted" w:color="929292"/>
                          </w:rPr>
                          <w:t> </w:t>
                        </w:r>
                        <w:r>
                          <w:rPr>
                            <w:sz w:val="16"/>
                            <w:u w:val="dotted" w:color="929292"/>
                          </w:rPr>
                          <w:tab/>
                          <w:tab/>
                        </w:r>
                      </w:p>
                      <w:p>
                        <w:pPr>
                          <w:pStyle w:val="TableParagraph"/>
                          <w:numPr>
                            <w:ilvl w:val="0"/>
                            <w:numId w:val="51"/>
                          </w:numPr>
                          <w:tabs>
                            <w:tab w:pos="239" w:val="left" w:leader="none"/>
                          </w:tabs>
                          <w:spacing w:line="261" w:lineRule="auto" w:before="0" w:after="0"/>
                          <w:ind w:left="103" w:right="167" w:firstLine="0"/>
                          <w:jc w:val="left"/>
                          <w:rPr>
                            <w:sz w:val="16"/>
                          </w:rPr>
                        </w:pPr>
                        <w:r>
                          <w:rPr>
                            <w:sz w:val="16"/>
                          </w:rPr>
                          <w:t>Aire Limpio: Programa para el Valle de Toluca 2007-2011. Secretaría del Medio Ambiente</w:t>
                        </w:r>
                        <w:r>
                          <w:rPr>
                            <w:spacing w:val="20"/>
                            <w:sz w:val="16"/>
                          </w:rPr>
                          <w:t> </w:t>
                        </w:r>
                        <w:r>
                          <w:rPr>
                            <w:sz w:val="16"/>
                          </w:rPr>
                          <w:t>y</w:t>
                        </w:r>
                      </w:p>
                      <w:p>
                        <w:pPr>
                          <w:pStyle w:val="TableParagraph"/>
                          <w:tabs>
                            <w:tab w:pos="1994" w:val="left" w:leader="none"/>
                          </w:tabs>
                          <w:spacing w:line="242" w:lineRule="auto"/>
                          <w:ind w:left="103" w:right="8" w:hanging="79"/>
                          <w:rPr>
                            <w:sz w:val="16"/>
                          </w:rPr>
                        </w:pPr>
                        <w:r>
                          <w:rPr>
                            <w:w w:val="100"/>
                            <w:sz w:val="16"/>
                            <w:u w:val="dotted" w:color="929292"/>
                          </w:rPr>
                          <w:t> </w:t>
                        </w:r>
                        <w:r>
                          <w:rPr>
                            <w:spacing w:val="-11"/>
                            <w:sz w:val="16"/>
                            <w:u w:val="dotted" w:color="929292"/>
                          </w:rPr>
                          <w:t> </w:t>
                        </w:r>
                        <w:r>
                          <w:rPr>
                            <w:sz w:val="16"/>
                            <w:u w:val="dotted" w:color="929292"/>
                          </w:rPr>
                          <w:t>Recursos</w:t>
                        </w:r>
                        <w:r>
                          <w:rPr>
                            <w:spacing w:val="-4"/>
                            <w:sz w:val="16"/>
                            <w:u w:val="dotted" w:color="929292"/>
                          </w:rPr>
                          <w:t> </w:t>
                        </w:r>
                        <w:r>
                          <w:rPr>
                            <w:sz w:val="16"/>
                            <w:u w:val="dotted" w:color="929292"/>
                          </w:rPr>
                          <w:t>Naturales</w:t>
                          <w:tab/>
                        </w:r>
                        <w:r>
                          <w:rPr>
                            <w:sz w:val="16"/>
                          </w:rPr>
                          <w:t> 6.Programa</w:t>
                        </w:r>
                        <w:r>
                          <w:rPr>
                            <w:spacing w:val="-1"/>
                            <w:sz w:val="16"/>
                          </w:rPr>
                          <w:t> </w:t>
                        </w:r>
                        <w:r>
                          <w:rPr>
                            <w:sz w:val="16"/>
                          </w:rPr>
                          <w:t>Estatal</w:t>
                        </w:r>
                        <w:r>
                          <w:rPr>
                            <w:spacing w:val="-1"/>
                            <w:sz w:val="16"/>
                          </w:rPr>
                          <w:t> </w:t>
                        </w:r>
                        <w:r>
                          <w:rPr>
                            <w:sz w:val="16"/>
                          </w:rPr>
                          <w:t>de</w:t>
                        </w:r>
                        <w:r>
                          <w:rPr>
                            <w:w w:val="101"/>
                            <w:sz w:val="16"/>
                          </w:rPr>
                          <w:t> </w:t>
                        </w:r>
                        <w:r>
                          <w:rPr>
                            <w:sz w:val="16"/>
                          </w:rPr>
                          <w:t>Acción ante el</w:t>
                        </w:r>
                        <w:r>
                          <w:rPr>
                            <w:spacing w:val="17"/>
                            <w:sz w:val="16"/>
                          </w:rPr>
                          <w:t> </w:t>
                        </w:r>
                        <w:r>
                          <w:rPr>
                            <w:sz w:val="16"/>
                          </w:rPr>
                          <w:t>Cambio</w:t>
                        </w:r>
                      </w:p>
                      <w:p>
                        <w:pPr>
                          <w:pStyle w:val="TableParagraph"/>
                          <w:spacing w:line="261" w:lineRule="auto" w:before="14"/>
                          <w:ind w:left="103" w:right="167"/>
                          <w:rPr>
                            <w:sz w:val="16"/>
                          </w:rPr>
                        </w:pPr>
                        <w:r>
                          <w:rPr>
                            <w:sz w:val="16"/>
                          </w:rPr>
                          <w:t>Climático del Estado de México, 2013. Dirección General de Prevención y Contaminación</w:t>
                        </w:r>
                        <w:r>
                          <w:rPr>
                            <w:spacing w:val="17"/>
                            <w:sz w:val="16"/>
                          </w:rPr>
                          <w:t> </w:t>
                        </w:r>
                        <w:r>
                          <w:rPr>
                            <w:sz w:val="16"/>
                          </w:rPr>
                          <w:t>de</w:t>
                        </w:r>
                      </w:p>
                      <w:p>
                        <w:pPr>
                          <w:pStyle w:val="TableParagraph"/>
                          <w:spacing w:line="261" w:lineRule="auto"/>
                          <w:ind w:left="103"/>
                          <w:rPr>
                            <w:sz w:val="16"/>
                          </w:rPr>
                        </w:pPr>
                        <w:r>
                          <w:rPr>
                            <w:sz w:val="16"/>
                          </w:rPr>
                          <w:t>la Contaminación Atmosférica (DGPCCA),</w:t>
                        </w:r>
                        <w:r>
                          <w:rPr>
                            <w:w w:val="95"/>
                            <w:sz w:val="16"/>
                          </w:rPr>
                          <w:t> </w:t>
                        </w:r>
                        <w:r>
                          <w:rPr>
                            <w:sz w:val="16"/>
                          </w:rPr>
                          <w:t>Secretaria del Medio</w:t>
                        </w:r>
                      </w:p>
                      <w:p>
                        <w:pPr>
                          <w:pStyle w:val="TableParagraph"/>
                          <w:tabs>
                            <w:tab w:pos="1994" w:val="left" w:leader="none"/>
                          </w:tabs>
                          <w:spacing w:line="242" w:lineRule="auto"/>
                          <w:ind w:left="104" w:right="8" w:hanging="80"/>
                          <w:rPr>
                            <w:sz w:val="16"/>
                          </w:rPr>
                        </w:pPr>
                        <w:r>
                          <w:rPr>
                            <w:w w:val="100"/>
                            <w:sz w:val="16"/>
                            <w:u w:val="dotted" w:color="929292"/>
                          </w:rPr>
                          <w:t> </w:t>
                        </w:r>
                        <w:r>
                          <w:rPr>
                            <w:spacing w:val="-11"/>
                            <w:sz w:val="16"/>
                            <w:u w:val="dotted" w:color="929292"/>
                          </w:rPr>
                          <w:t> </w:t>
                        </w:r>
                        <w:r>
                          <w:rPr>
                            <w:sz w:val="16"/>
                            <w:u w:val="dotted" w:color="929292"/>
                          </w:rPr>
                          <w:t>Ambiente.</w:t>
                          <w:tab/>
                        </w:r>
                        <w:r>
                          <w:rPr>
                            <w:sz w:val="16"/>
                          </w:rPr>
                          <w:t> 7.Grupo de</w:t>
                        </w:r>
                        <w:r>
                          <w:rPr>
                            <w:spacing w:val="5"/>
                            <w:sz w:val="16"/>
                          </w:rPr>
                          <w:t> </w:t>
                        </w:r>
                        <w:r>
                          <w:rPr>
                            <w:sz w:val="16"/>
                          </w:rPr>
                          <w:t>Trabajo</w:t>
                        </w:r>
                        <w:r>
                          <w:rPr>
                            <w:spacing w:val="2"/>
                            <w:sz w:val="16"/>
                          </w:rPr>
                          <w:t> </w:t>
                        </w:r>
                        <w:r>
                          <w:rPr>
                            <w:sz w:val="16"/>
                          </w:rPr>
                          <w:t>de</w:t>
                        </w:r>
                        <w:r>
                          <w:rPr>
                            <w:w w:val="101"/>
                            <w:sz w:val="16"/>
                          </w:rPr>
                          <w:t> </w:t>
                        </w:r>
                        <w:r>
                          <w:rPr>
                            <w:sz w:val="16"/>
                          </w:rPr>
                          <w:t>Agua y Drenaje del</w:t>
                        </w:r>
                        <w:r>
                          <w:rPr>
                            <w:spacing w:val="-28"/>
                            <w:sz w:val="16"/>
                          </w:rPr>
                          <w:t> </w:t>
                        </w:r>
                        <w:r>
                          <w:rPr>
                            <w:sz w:val="16"/>
                          </w:rPr>
                          <w:t>Valle</w:t>
                        </w:r>
                      </w:p>
                      <w:p>
                        <w:pPr>
                          <w:pStyle w:val="TableParagraph"/>
                          <w:spacing w:line="261" w:lineRule="auto" w:before="14"/>
                          <w:ind w:left="104" w:right="177"/>
                          <w:rPr>
                            <w:sz w:val="16"/>
                          </w:rPr>
                        </w:pPr>
                        <w:r>
                          <w:rPr>
                            <w:sz w:val="16"/>
                          </w:rPr>
                          <w:t>de Toluca. Secretaría del Medio Ambiente y</w:t>
                        </w:r>
                      </w:p>
                      <w:p>
                        <w:pPr>
                          <w:pStyle w:val="TableParagraph"/>
                          <w:tabs>
                            <w:tab w:pos="1994" w:val="left" w:leader="none"/>
                          </w:tabs>
                          <w:ind w:left="25"/>
                          <w:rPr>
                            <w:sz w:val="16"/>
                          </w:rPr>
                        </w:pPr>
                        <w:r>
                          <w:rPr>
                            <w:w w:val="100"/>
                            <w:sz w:val="16"/>
                            <w:u w:val="dotted" w:color="929292"/>
                          </w:rPr>
                          <w:t> </w:t>
                        </w:r>
                        <w:r>
                          <w:rPr>
                            <w:spacing w:val="-10"/>
                            <w:sz w:val="16"/>
                            <w:u w:val="dotted" w:color="929292"/>
                          </w:rPr>
                          <w:t> </w:t>
                        </w:r>
                        <w:r>
                          <w:rPr>
                            <w:sz w:val="16"/>
                            <w:u w:val="dotted" w:color="929292"/>
                          </w:rPr>
                          <w:t>Recursos</w:t>
                        </w:r>
                        <w:r>
                          <w:rPr>
                            <w:spacing w:val="-4"/>
                            <w:sz w:val="16"/>
                            <w:u w:val="dotted" w:color="929292"/>
                          </w:rPr>
                          <w:t> </w:t>
                        </w:r>
                        <w:r>
                          <w:rPr>
                            <w:sz w:val="16"/>
                            <w:u w:val="dotted" w:color="929292"/>
                          </w:rPr>
                          <w:t>Naturales</w:t>
                          <w:tab/>
                        </w:r>
                      </w:p>
                    </w:tc>
                    <w:tc>
                      <w:tcPr>
                        <w:tcW w:w="3413" w:type="dxa"/>
                        <w:vMerge/>
                        <w:tcBorders>
                          <w:left w:val="single" w:sz="4" w:space="0" w:color="929292"/>
                          <w:right w:val="single" w:sz="4" w:space="0" w:color="929292"/>
                        </w:tcBorders>
                      </w:tcPr>
                      <w:p>
                        <w:pPr/>
                      </w:p>
                    </w:tc>
                    <w:tc>
                      <w:tcPr>
                        <w:tcW w:w="1333" w:type="dxa"/>
                        <w:vMerge/>
                        <w:tcBorders>
                          <w:left w:val="single" w:sz="4" w:space="0" w:color="929292"/>
                        </w:tcBorders>
                      </w:tcPr>
                      <w:p>
                        <w:pPr/>
                      </w:p>
                    </w:tc>
                  </w:tr>
                </w:tbl>
                <w:p>
                  <w:pPr>
                    <w:pStyle w:val="BodyText"/>
                  </w:pPr>
                </w:p>
              </w:txbxContent>
            </v:textbox>
            <w10:wrap type="none"/>
          </v:shape>
        </w:pict>
      </w:r>
      <w:r>
        <w:rPr/>
        <w:t>El</w:t>
      </w:r>
      <w:r>
        <w:rPr>
          <w:spacing w:val="-19"/>
        </w:rPr>
        <w:t> </w:t>
      </w:r>
      <w:r>
        <w:rPr/>
        <w:t>documento,</w:t>
      </w:r>
      <w:r>
        <w:rPr>
          <w:spacing w:val="-19"/>
        </w:rPr>
        <w:t> </w:t>
      </w:r>
      <w:r>
        <w:rPr/>
        <w:t>PRDUVT</w:t>
      </w:r>
      <w:r>
        <w:rPr>
          <w:spacing w:val="-19"/>
        </w:rPr>
        <w:t> </w:t>
      </w:r>
      <w:r>
        <w:rPr/>
        <w:t>2005,</w:t>
      </w:r>
      <w:r>
        <w:rPr>
          <w:spacing w:val="-19"/>
        </w:rPr>
        <w:t> </w:t>
      </w:r>
      <w:r>
        <w:rPr/>
        <w:t>define</w:t>
      </w:r>
      <w:r>
        <w:rPr>
          <w:spacing w:val="-19"/>
        </w:rPr>
        <w:t> </w:t>
      </w:r>
      <w:r>
        <w:rPr/>
        <w:t>estrategias</w:t>
      </w:r>
      <w:r>
        <w:rPr>
          <w:spacing w:val="-5"/>
        </w:rPr>
        <w:t> </w:t>
      </w:r>
      <w:r>
        <w:rPr/>
        <w:t>generales</w:t>
      </w:r>
      <w:r>
        <w:rPr>
          <w:spacing w:val="-19"/>
        </w:rPr>
        <w:t> </w:t>
      </w:r>
      <w:r>
        <w:rPr/>
        <w:t>con</w:t>
      </w:r>
      <w:r>
        <w:rPr>
          <w:spacing w:val="-19"/>
        </w:rPr>
        <w:t> </w:t>
      </w:r>
      <w:r>
        <w:rPr/>
        <w:t>base</w:t>
      </w:r>
      <w:r>
        <w:rPr>
          <w:spacing w:val="-19"/>
        </w:rPr>
        <w:t> </w:t>
      </w:r>
      <w:r>
        <w:rPr/>
        <w:t>en</w:t>
      </w:r>
      <w:r>
        <w:rPr>
          <w:spacing w:val="-5"/>
        </w:rPr>
        <w:t> </w:t>
      </w:r>
      <w:r>
        <w:rPr/>
        <w:t>los</w:t>
      </w:r>
      <w:r>
        <w:rPr>
          <w:spacing w:val="-3"/>
        </w:rPr>
        <w:t> </w:t>
      </w:r>
      <w:r>
        <w:rPr/>
        <w:t>siguientes ejes: competitividad, eficiencia del desarrollo vial por su modelo vial potencial, la optimización de los recursos, la limitación a la expansión del crecimiento urbano desordenado, orientando un modelo radial-concéntrico y, el desarrollo sustentable contemplando el contexto natural del valle con las áreas</w:t>
      </w:r>
      <w:r>
        <w:rPr>
          <w:spacing w:val="-33"/>
        </w:rPr>
        <w:t> </w:t>
      </w:r>
      <w:r>
        <w:rPr/>
        <w:t>urbanas. Específicamente, en el sector de ecología, se plantean proyectos de rellenos sanitarios en Calimaya que beneficien a Toluca y 13 municipios más, así como rellenos sanitarios con tratamiento mecánico-biológico en Rayón, San Antonio la Isla, Atizapán, Mexicaltzingo, Chapultepec, Xalatlaco y Tenango del Valle, (SDUyV-GEM, 2005), proyectos que </w:t>
      </w:r>
      <w:r>
        <w:rPr>
          <w:spacing w:val="4"/>
        </w:rPr>
        <w:t>según </w:t>
      </w:r>
      <w:r>
        <w:rPr>
          <w:spacing w:val="2"/>
        </w:rPr>
        <w:t>el </w:t>
      </w:r>
      <w:r>
        <w:rPr/>
        <w:t>Plan permiten alcanzar un desarrollo</w:t>
      </w:r>
      <w:r>
        <w:rPr>
          <w:spacing w:val="10"/>
        </w:rPr>
        <w:t> </w:t>
      </w:r>
      <w:r>
        <w:rPr/>
        <w:t>sustentable.</w:t>
      </w:r>
    </w:p>
    <w:p>
      <w:pPr>
        <w:pStyle w:val="BodyText"/>
        <w:spacing w:before="11"/>
      </w:pPr>
    </w:p>
    <w:p>
      <w:pPr>
        <w:pStyle w:val="BodyText"/>
        <w:spacing w:line="249" w:lineRule="auto"/>
        <w:ind w:left="9601" w:right="187" w:firstLine="170"/>
        <w:jc w:val="both"/>
      </w:pPr>
      <w:r>
        <w:rPr/>
        <w:pict>
          <v:line style="position:absolute;mso-position-horizontal-relative:page;mso-position-vertical-relative:paragraph;z-index:14872" from="432.271606pt,29.23547pt" to="432.271606pt,29.23547pt" stroked="true" strokeweight=".5pt" strokecolor="#929292">
            <w10:wrap type="none"/>
          </v:line>
        </w:pict>
      </w:r>
      <w:r>
        <w:rPr/>
        <w:t>Es un documento que en su diagnóstico destaca los problemas ambientales, y    pese a que están definidos el objetivo, estrategia, líneas de acción, indicadores y metas para cada problema ambiental, las políticas no son específicas, tampoco en la instrumentación</w:t>
      </w:r>
      <w:r>
        <w:rPr>
          <w:spacing w:val="-12"/>
        </w:rPr>
        <w:t> </w:t>
      </w:r>
      <w:r>
        <w:rPr/>
        <w:t>de</w:t>
      </w:r>
      <w:r>
        <w:rPr>
          <w:spacing w:val="-12"/>
        </w:rPr>
        <w:t> </w:t>
      </w:r>
      <w:r>
        <w:rPr/>
        <w:t>las</w:t>
      </w:r>
      <w:r>
        <w:rPr>
          <w:spacing w:val="-12"/>
        </w:rPr>
        <w:t> </w:t>
      </w:r>
      <w:r>
        <w:rPr/>
        <w:t>mismas</w:t>
      </w:r>
      <w:r>
        <w:rPr>
          <w:spacing w:val="-12"/>
        </w:rPr>
        <w:t> </w:t>
      </w:r>
      <w:r>
        <w:rPr/>
        <w:t>en</w:t>
      </w:r>
      <w:r>
        <w:rPr>
          <w:spacing w:val="-12"/>
        </w:rPr>
        <w:t> </w:t>
      </w:r>
      <w:r>
        <w:rPr/>
        <w:t>todo</w:t>
      </w:r>
      <w:r>
        <w:rPr>
          <w:spacing w:val="-12"/>
        </w:rPr>
        <w:t> </w:t>
      </w:r>
      <w:r>
        <w:rPr/>
        <w:t>el</w:t>
      </w:r>
      <w:r>
        <w:rPr>
          <w:spacing w:val="-12"/>
        </w:rPr>
        <w:t> </w:t>
      </w:r>
      <w:r>
        <w:rPr/>
        <w:t>funcionamiento</w:t>
      </w:r>
      <w:r>
        <w:rPr>
          <w:spacing w:val="-12"/>
        </w:rPr>
        <w:t> </w:t>
      </w:r>
      <w:r>
        <w:rPr/>
        <w:t>de</w:t>
      </w:r>
      <w:r>
        <w:rPr>
          <w:spacing w:val="-12"/>
        </w:rPr>
        <w:t> </w:t>
      </w:r>
      <w:r>
        <w:rPr/>
        <w:t>toda</w:t>
      </w:r>
      <w:r>
        <w:rPr>
          <w:spacing w:val="-12"/>
        </w:rPr>
        <w:t> </w:t>
      </w:r>
      <w:r>
        <w:rPr/>
        <w:t>la</w:t>
      </w:r>
      <w:r>
        <w:rPr>
          <w:spacing w:val="-12"/>
        </w:rPr>
        <w:t> </w:t>
      </w:r>
      <w:r>
        <w:rPr/>
        <w:t>zona</w:t>
      </w:r>
      <w:r>
        <w:rPr>
          <w:spacing w:val="-12"/>
        </w:rPr>
        <w:t> </w:t>
      </w:r>
      <w:r>
        <w:rPr/>
        <w:t>metropolitana.</w:t>
      </w:r>
    </w:p>
    <w:p>
      <w:pPr>
        <w:pStyle w:val="BodyText"/>
        <w:spacing w:before="11"/>
      </w:pPr>
    </w:p>
    <w:p>
      <w:pPr>
        <w:pStyle w:val="Heading3"/>
        <w:numPr>
          <w:ilvl w:val="1"/>
          <w:numId w:val="49"/>
        </w:numPr>
        <w:tabs>
          <w:tab w:pos="10132" w:val="left" w:leader="none"/>
        </w:tabs>
        <w:spacing w:line="240" w:lineRule="auto" w:before="0" w:after="0"/>
        <w:ind w:left="10131" w:right="0" w:hanging="360"/>
        <w:jc w:val="left"/>
      </w:pPr>
      <w:r>
        <w:rPr/>
        <w:t>Diagnóstico en materia de</w:t>
      </w:r>
      <w:r>
        <w:rPr>
          <w:spacing w:val="9"/>
        </w:rPr>
        <w:t> </w:t>
      </w:r>
      <w:r>
        <w:rPr/>
        <w:t>suelo.</w:t>
      </w:r>
    </w:p>
    <w:p>
      <w:pPr>
        <w:pStyle w:val="BodyText"/>
        <w:spacing w:before="8"/>
        <w:rPr>
          <w:b/>
          <w:sz w:val="21"/>
        </w:rPr>
      </w:pPr>
    </w:p>
    <w:p>
      <w:pPr>
        <w:pStyle w:val="BodyText"/>
        <w:spacing w:line="249" w:lineRule="auto"/>
        <w:ind w:left="9601" w:right="188" w:firstLine="170"/>
        <w:jc w:val="both"/>
      </w:pPr>
      <w:r>
        <w:rPr/>
        <w:pict>
          <v:line style="position:absolute;mso-position-horizontal-relative:page;mso-position-vertical-relative:paragraph;z-index:14896" from="432.271606pt,3.781969pt" to="432.271606pt,3.781969pt" stroked="true" strokeweight=".5pt" strokecolor="#929292">
            <w10:wrap type="none"/>
          </v:line>
        </w:pict>
      </w:r>
      <w:r>
        <w:rPr/>
        <w:pict>
          <v:line style="position:absolute;mso-position-horizontal-relative:page;mso-position-vertical-relative:paragraph;z-index:14920" from="432.271606pt,52.328568pt" to="432.271606pt,52.328568pt" stroked="true" strokeweight=".5pt" strokecolor="#929292">
            <w10:wrap type="none"/>
          </v:line>
        </w:pict>
      </w:r>
      <w:r>
        <w:rPr/>
        <w:pict>
          <v:line style="position:absolute;mso-position-horizontal-relative:page;mso-position-vertical-relative:paragraph;z-index:14944" from="38.2799pt,150.875168pt" to="38.2799pt,150.875168pt" stroked="true" strokeweight=".5pt" strokecolor="#929292">
            <w10:wrap type="none"/>
          </v:line>
        </w:pict>
      </w:r>
      <w:r>
        <w:rPr/>
        <w:pict>
          <v:line style="position:absolute;mso-position-horizontal-relative:page;mso-position-vertical-relative:paragraph;z-index:14968" from="432.271606pt,150.875168pt" to="432.271606pt,150.875168pt" stroked="true" strokeweight=".5pt" strokecolor="#929292">
            <w10:wrap type="none"/>
          </v:line>
        </w:pict>
      </w:r>
      <w:r>
        <w:rPr/>
        <w:t>El </w:t>
      </w:r>
      <w:r>
        <w:rPr>
          <w:i/>
        </w:rPr>
        <w:t>Programa de Ordenamiento Ecológico Regional del Territorio de la Zona </w:t>
      </w:r>
      <w:r>
        <w:rPr>
          <w:i/>
        </w:rPr>
        <w:t>Metropolitana del Valle de Toluca </w:t>
      </w:r>
      <w:r>
        <w:rPr/>
        <w:t>(2011) aborda el uso de suelo, detalla e</w:t>
      </w:r>
      <w:r>
        <w:rPr>
          <w:spacing w:val="-44"/>
        </w:rPr>
        <w:t> </w:t>
      </w:r>
      <w:r>
        <w:rPr/>
        <w:t>l predominio según superficie: el forestal con 34.97%, e l agrícola con 29.24% y  el  10.55%  restante ocupado por cuerpos de agua, predios de uso pecuario, industrial y servicios; las áreas naturales protegidas ocupan una superficie de 38,490.29 ha, destacando los Parques Nacionales “Nevado de Toluca”  e  “Insurgente  Miguel  Hidalgo  y  Costilla. </w:t>
      </w:r>
      <w:r>
        <w:rPr>
          <w:spacing w:val="8"/>
        </w:rPr>
        <w:t>En </w:t>
      </w:r>
      <w:r>
        <w:rPr>
          <w:spacing w:val="14"/>
        </w:rPr>
        <w:t>particular, </w:t>
      </w:r>
      <w:r>
        <w:rPr/>
        <w:t>la superficie urbana  registró una  tasa  de  crecimiento  media  anual de 7.72% d e 1990 a 2003 </w:t>
      </w:r>
      <w:r>
        <w:rPr>
          <w:spacing w:val="14"/>
        </w:rPr>
        <w:t>con </w:t>
      </w:r>
      <w:r>
        <w:rPr/>
        <w:t>patrón horizontal extensivo, por consecuencia la agricultura presentó pérdida de 57.8% a 33.61% de superficie. En este documento      la ZMT considerada, la superficie urbana </w:t>
      </w:r>
      <w:r>
        <w:rPr>
          <w:spacing w:val="4"/>
        </w:rPr>
        <w:t>predomina </w:t>
      </w:r>
      <w:r>
        <w:rPr/>
        <w:t>en el centro, </w:t>
      </w:r>
      <w:r>
        <w:rPr>
          <w:spacing w:val="2"/>
        </w:rPr>
        <w:t>del </w:t>
      </w:r>
      <w:r>
        <w:rPr>
          <w:spacing w:val="3"/>
        </w:rPr>
        <w:t>municipio </w:t>
      </w:r>
      <w:r>
        <w:rPr/>
        <w:t>de </w:t>
      </w:r>
      <w:r>
        <w:rPr>
          <w:spacing w:val="3"/>
        </w:rPr>
        <w:t>Toluca </w:t>
      </w:r>
      <w:r>
        <w:rPr/>
        <w:t>y municipios contiguos; la  superficie  forestal situada en la periferia,  donde   se marcan políticas ambientales de aprovechamiento sustentable, protección y conservación.</w:t>
      </w:r>
    </w:p>
    <w:p>
      <w:pPr>
        <w:pStyle w:val="BodyText"/>
        <w:spacing w:before="11"/>
      </w:pPr>
    </w:p>
    <w:p>
      <w:pPr>
        <w:pStyle w:val="BodyText"/>
        <w:spacing w:line="249" w:lineRule="auto"/>
        <w:ind w:left="9601" w:right="188" w:firstLine="170"/>
        <w:jc w:val="both"/>
      </w:pPr>
      <w:r>
        <w:rPr/>
        <w:t>Los temas prioritarios del diagnóstico en este documento son el deterioro causado por la minería, la identificación de basureros clandestinos, la erosión del suelo, la remoción en  masa debido  a los  deslizamientos, la presencia de pozos de  extracción</w:t>
      </w:r>
    </w:p>
    <w:p>
      <w:pPr>
        <w:spacing w:after="0" w:line="249" w:lineRule="auto"/>
        <w:jc w:val="both"/>
        <w:sectPr>
          <w:footerReference w:type="default" r:id="rId442"/>
          <w:pgSz w:w="18830" w:h="12760" w:orient="landscape"/>
          <w:pgMar w:footer="1036" w:header="522" w:top="820" w:bottom="1220" w:left="660" w:right="660"/>
        </w:sectPr>
      </w:pPr>
    </w:p>
    <w:p>
      <w:pPr>
        <w:pStyle w:val="BodyText"/>
        <w:spacing w:before="6"/>
        <w:rPr>
          <w:sz w:val="23"/>
        </w:rPr>
      </w:pPr>
    </w:p>
    <w:p>
      <w:pPr>
        <w:spacing w:after="0"/>
        <w:rPr>
          <w:sz w:val="23"/>
        </w:rPr>
        <w:sectPr>
          <w:footerReference w:type="default" r:id="rId443"/>
          <w:pgSz w:w="18830" w:h="12760" w:orient="landscape"/>
          <w:pgMar w:footer="1036" w:header="522" w:top="820" w:bottom="1220" w:left="720" w:right="720"/>
        </w:sectPr>
      </w:pPr>
    </w:p>
    <w:p>
      <w:pPr>
        <w:pStyle w:val="BodyText"/>
        <w:spacing w:line="249" w:lineRule="auto" w:before="76"/>
        <w:ind w:left="130"/>
        <w:jc w:val="both"/>
      </w:pPr>
      <w:r>
        <w:rPr/>
        <w:t>de agua, que contribuyen a la sobreexplotación del acuífero, la presión urbana que ejercen</w:t>
      </w:r>
      <w:r>
        <w:rPr>
          <w:spacing w:val="3"/>
        </w:rPr>
        <w:t> </w:t>
      </w:r>
      <w:r>
        <w:rPr/>
        <w:t>los</w:t>
      </w:r>
      <w:r>
        <w:rPr>
          <w:spacing w:val="4"/>
        </w:rPr>
        <w:t> </w:t>
      </w:r>
      <w:r>
        <w:rPr/>
        <w:t>asentamientos</w:t>
      </w:r>
      <w:r>
        <w:rPr>
          <w:spacing w:val="3"/>
        </w:rPr>
        <w:t> </w:t>
      </w:r>
      <w:r>
        <w:rPr/>
        <w:t>humanos</w:t>
      </w:r>
      <w:r>
        <w:rPr>
          <w:spacing w:val="3"/>
        </w:rPr>
        <w:t> </w:t>
      </w:r>
      <w:r>
        <w:rPr/>
        <w:t>tanto</w:t>
      </w:r>
      <w:r>
        <w:rPr>
          <w:spacing w:val="4"/>
        </w:rPr>
        <w:t> </w:t>
      </w:r>
      <w:r>
        <w:rPr/>
        <w:t>regulares</w:t>
      </w:r>
      <w:r>
        <w:rPr>
          <w:spacing w:val="-31"/>
        </w:rPr>
        <w:t> </w:t>
      </w:r>
      <w:r>
        <w:rPr/>
        <w:t>como</w:t>
      </w:r>
      <w:r>
        <w:rPr>
          <w:spacing w:val="-31"/>
        </w:rPr>
        <w:t> </w:t>
      </w:r>
      <w:r>
        <w:rPr/>
        <w:t>irregulares,</w:t>
      </w:r>
      <w:r>
        <w:rPr>
          <w:spacing w:val="-31"/>
        </w:rPr>
        <w:t> </w:t>
      </w:r>
      <w:r>
        <w:rPr/>
        <w:t>la</w:t>
      </w:r>
      <w:r>
        <w:rPr>
          <w:spacing w:val="-30"/>
        </w:rPr>
        <w:t> </w:t>
      </w:r>
      <w:r>
        <w:rPr/>
        <w:t>contaminación del agua, en particular del Río Lerma y las zonas de  recarga del</w:t>
      </w:r>
      <w:r>
        <w:rPr>
          <w:spacing w:val="-1"/>
        </w:rPr>
        <w:t> </w:t>
      </w:r>
      <w:r>
        <w:rPr/>
        <w:t>acuífero.</w:t>
      </w:r>
    </w:p>
    <w:p>
      <w:pPr>
        <w:pStyle w:val="BodyText"/>
        <w:spacing w:before="11"/>
      </w:pPr>
    </w:p>
    <w:p>
      <w:pPr>
        <w:pStyle w:val="BodyText"/>
        <w:spacing w:line="249" w:lineRule="auto"/>
        <w:ind w:left="130" w:right="1" w:firstLine="170"/>
        <w:jc w:val="both"/>
      </w:pPr>
      <w:r>
        <w:rPr/>
        <w:t>Este documento identifica “ zonas de atención prioritaria”, debido a su origen geológico, atributos biofísicos y respuesta de actividades productivas y características socioeconómicas a: zona sur-poniente (Toluca y Zinacantepec), Sierra de Las Cruces (Ocoyoacac,</w:t>
      </w:r>
      <w:r>
        <w:rPr>
          <w:spacing w:val="-36"/>
        </w:rPr>
        <w:t> </w:t>
      </w:r>
      <w:r>
        <w:rPr/>
        <w:t>Lerma</w:t>
      </w:r>
      <w:r>
        <w:rPr>
          <w:spacing w:val="-36"/>
        </w:rPr>
        <w:t> </w:t>
      </w:r>
      <w:r>
        <w:rPr/>
        <w:t>y</w:t>
      </w:r>
      <w:r>
        <w:rPr>
          <w:spacing w:val="-35"/>
        </w:rPr>
        <w:t> </w:t>
      </w:r>
      <w:r>
        <w:rPr/>
        <w:t>Xonacatlán),</w:t>
      </w:r>
      <w:r>
        <w:rPr>
          <w:spacing w:val="-36"/>
        </w:rPr>
        <w:t> </w:t>
      </w:r>
      <w:r>
        <w:rPr/>
        <w:t>Sierra</w:t>
      </w:r>
      <w:r>
        <w:rPr>
          <w:spacing w:val="-36"/>
        </w:rPr>
        <w:t> </w:t>
      </w:r>
      <w:r>
        <w:rPr/>
        <w:t>Morelos</w:t>
      </w:r>
      <w:r>
        <w:rPr>
          <w:spacing w:val="-37"/>
        </w:rPr>
        <w:t> </w:t>
      </w:r>
      <w:r>
        <w:rPr/>
        <w:t>(Toluca</w:t>
      </w:r>
      <w:r>
        <w:rPr>
          <w:spacing w:val="-36"/>
        </w:rPr>
        <w:t> </w:t>
      </w:r>
      <w:r>
        <w:rPr/>
        <w:t>y</w:t>
      </w:r>
      <w:r>
        <w:rPr>
          <w:spacing w:val="-35"/>
        </w:rPr>
        <w:t> </w:t>
      </w:r>
      <w:r>
        <w:rPr/>
        <w:t>Zinacantepec),</w:t>
      </w:r>
      <w:r>
        <w:rPr>
          <w:spacing w:val="48"/>
        </w:rPr>
        <w:t> </w:t>
      </w:r>
      <w:r>
        <w:rPr/>
        <w:t>Agropecuaria Norte (Toluca), Agropecuaria Sur (Metepec y San Mateo Atenco) y Zona Lacustre</w:t>
      </w:r>
      <w:r>
        <w:rPr>
          <w:spacing w:val="22"/>
        </w:rPr>
        <w:t> </w:t>
      </w:r>
      <w:r>
        <w:rPr/>
        <w:t>(Río Lerma)).</w:t>
      </w:r>
    </w:p>
    <w:p>
      <w:pPr>
        <w:pStyle w:val="BodyText"/>
        <w:spacing w:before="11"/>
      </w:pPr>
    </w:p>
    <w:p>
      <w:pPr>
        <w:pStyle w:val="Heading3"/>
        <w:numPr>
          <w:ilvl w:val="1"/>
          <w:numId w:val="49"/>
        </w:numPr>
        <w:tabs>
          <w:tab w:pos="661" w:val="left" w:leader="none"/>
        </w:tabs>
        <w:spacing w:line="240" w:lineRule="auto" w:before="0" w:after="0"/>
        <w:ind w:left="660" w:right="0" w:hanging="360"/>
        <w:jc w:val="left"/>
      </w:pPr>
      <w:r>
        <w:rPr/>
        <w:t>Diagnóstico en materia de</w:t>
      </w:r>
      <w:r>
        <w:rPr>
          <w:spacing w:val="-11"/>
        </w:rPr>
        <w:t> </w:t>
      </w:r>
      <w:r>
        <w:rPr/>
        <w:t>agua.</w:t>
      </w:r>
    </w:p>
    <w:p>
      <w:pPr>
        <w:pStyle w:val="BodyText"/>
        <w:spacing w:before="8"/>
        <w:rPr>
          <w:b/>
          <w:sz w:val="21"/>
        </w:rPr>
      </w:pPr>
    </w:p>
    <w:p>
      <w:pPr>
        <w:pStyle w:val="BodyText"/>
        <w:spacing w:line="249" w:lineRule="auto"/>
        <w:ind w:left="130" w:firstLine="170"/>
        <w:jc w:val="both"/>
      </w:pPr>
      <w:r>
        <w:rPr/>
        <w:t>A nivel regional, el Grupo de Trabajo de Agua y Drenaje del Valle de Toluca, tiene diversos</w:t>
      </w:r>
      <w:r>
        <w:rPr>
          <w:spacing w:val="24"/>
        </w:rPr>
        <w:t> </w:t>
      </w:r>
      <w:r>
        <w:rPr/>
        <w:t>objetivos</w:t>
      </w:r>
      <w:r>
        <w:rPr>
          <w:spacing w:val="24"/>
        </w:rPr>
        <w:t> </w:t>
      </w:r>
      <w:r>
        <w:rPr/>
        <w:t>en</w:t>
      </w:r>
      <w:r>
        <w:rPr>
          <w:spacing w:val="24"/>
        </w:rPr>
        <w:t> </w:t>
      </w:r>
      <w:r>
        <w:rPr/>
        <w:t>materia</w:t>
      </w:r>
      <w:r>
        <w:rPr>
          <w:spacing w:val="24"/>
        </w:rPr>
        <w:t> </w:t>
      </w:r>
      <w:r>
        <w:rPr/>
        <w:t>de</w:t>
      </w:r>
      <w:r>
        <w:rPr>
          <w:spacing w:val="24"/>
        </w:rPr>
        <w:t> </w:t>
      </w:r>
      <w:r>
        <w:rPr/>
        <w:t>agua,</w:t>
      </w:r>
      <w:r>
        <w:rPr>
          <w:spacing w:val="24"/>
        </w:rPr>
        <w:t> </w:t>
      </w:r>
      <w:r>
        <w:rPr/>
        <w:t>se</w:t>
      </w:r>
      <w:r>
        <w:rPr>
          <w:spacing w:val="24"/>
        </w:rPr>
        <w:t> </w:t>
      </w:r>
      <w:r>
        <w:rPr/>
        <w:t>plantea</w:t>
      </w:r>
      <w:r>
        <w:rPr>
          <w:spacing w:val="24"/>
        </w:rPr>
        <w:t> </w:t>
      </w:r>
      <w:r>
        <w:rPr/>
        <w:t>la</w:t>
      </w:r>
      <w:r>
        <w:rPr>
          <w:spacing w:val="24"/>
        </w:rPr>
        <w:t> </w:t>
      </w:r>
      <w:r>
        <w:rPr/>
        <w:t>realización</w:t>
      </w:r>
      <w:r>
        <w:rPr>
          <w:spacing w:val="24"/>
        </w:rPr>
        <w:t> </w:t>
      </w:r>
      <w:r>
        <w:rPr/>
        <w:t>de</w:t>
      </w:r>
      <w:r>
        <w:rPr>
          <w:spacing w:val="24"/>
        </w:rPr>
        <w:t> </w:t>
      </w:r>
      <w:r>
        <w:rPr/>
        <w:t>un</w:t>
      </w:r>
      <w:r>
        <w:rPr>
          <w:spacing w:val="24"/>
        </w:rPr>
        <w:t> </w:t>
      </w:r>
      <w:r>
        <w:rPr/>
        <w:t>Programa</w:t>
      </w:r>
      <w:r>
        <w:rPr>
          <w:spacing w:val="24"/>
        </w:rPr>
        <w:t> </w:t>
      </w:r>
      <w:r>
        <w:rPr/>
        <w:t>de</w:t>
      </w:r>
      <w:r>
        <w:rPr>
          <w:w w:val="101"/>
        </w:rPr>
        <w:t> </w:t>
      </w:r>
      <w:r>
        <w:rPr/>
        <w:t>Saneamiento del Río Lerma, instalación de bancos de nivel del Valle de Lerma, un programa de reúso de agua tratada en el área urbana, instalación de estaciones climatológicas en la Cuenca del Río Lerma, completar el catastro de redes de agua potable y drenaje de los municipios, realizar un anteproyecto de abastecimiento de Agua Potable para potabilización del agua de lluvia de la Presa Ignacio Ramírez, el drenaje semi profundo, y promover campañas de limpieza de colectores, ríos y</w:t>
      </w:r>
      <w:r>
        <w:rPr>
          <w:spacing w:val="-37"/>
        </w:rPr>
        <w:t> </w:t>
      </w:r>
      <w:r>
        <w:rPr/>
        <w:t>canales (SEMARNAT, 2008). Sin embargo, no se encontró ningún programa formal en donde se indiquen objetivos, metas y estrategias para la gestión del agua en toda la zona metropolitana.</w:t>
      </w:r>
    </w:p>
    <w:p>
      <w:pPr>
        <w:pStyle w:val="BodyText"/>
        <w:spacing w:before="11"/>
      </w:pPr>
    </w:p>
    <w:p>
      <w:pPr>
        <w:pStyle w:val="BodyText"/>
        <w:spacing w:line="249" w:lineRule="auto"/>
        <w:ind w:left="130" w:firstLine="170"/>
        <w:jc w:val="both"/>
      </w:pPr>
      <w:r>
        <w:rPr/>
        <w:t>En relación </w:t>
      </w:r>
      <w:r>
        <w:rPr>
          <w:spacing w:val="10"/>
        </w:rPr>
        <w:t>con </w:t>
      </w:r>
      <w:r>
        <w:rPr/>
        <w:t>la Cuenca Lerma-Chapala, </w:t>
      </w:r>
      <w:r>
        <w:rPr>
          <w:spacing w:val="8"/>
        </w:rPr>
        <w:t>de </w:t>
      </w:r>
      <w:r>
        <w:rPr>
          <w:spacing w:val="14"/>
        </w:rPr>
        <w:t>envergadura supraestatal, </w:t>
      </w:r>
      <w:r>
        <w:rPr/>
        <w:t>a cargo de la Gerencia Regional Lerma-Santiago-Pacífico, órgano que tiene</w:t>
      </w:r>
      <w:r>
        <w:rPr>
          <w:spacing w:val="4"/>
        </w:rPr>
        <w:t> </w:t>
      </w:r>
      <w:r>
        <w:rPr/>
        <w:t>atribuciones e n   toma   de   decisiones,  gestión  y  medición,  así  como  control  y  distribución   de las reservas hídricas. </w:t>
      </w:r>
      <w:r>
        <w:rPr>
          <w:spacing w:val="3"/>
        </w:rPr>
        <w:t>Tiene como </w:t>
      </w:r>
      <w:r>
        <w:rPr/>
        <w:t>prioridad implementar </w:t>
      </w:r>
      <w:r>
        <w:rPr>
          <w:spacing w:val="6"/>
        </w:rPr>
        <w:t>un </w:t>
      </w:r>
      <w:r>
        <w:rPr/>
        <w:t>nuevo acuerdo de distribución de aguas superficiales de la cuenca. Las estrategias son: incorporar el concepto  de  “reserva  de  agua  en  la  cuenca”,  implementar  control  y  vigilancia   en 42 almacenamientos de  la  irrigación,  proporcionar  estímulos  económicos por  uso eficiente de agua y sustentar un nuevo acuerdo con información vigente. Otros actores que intervienen en la gestión de la cuenca son: el Instituto Mexicano de Tecnología del Agua (IMTA), la Comisión Estatal de Agua y Saneamiento (CAES), Sistema Intermunicipal de Agua Potable y Alcantarillado (SIAPA), Comisión de la Cuenca Propia del Lago de Chapala, A.C y Secretaría del Medio Ambiente y</w:t>
      </w:r>
      <w:r>
        <w:rPr>
          <w:spacing w:val="-37"/>
        </w:rPr>
        <w:t> </w:t>
      </w:r>
      <w:r>
        <w:rPr/>
        <w:t>Recursos Naturales (SEMARNAT). (Escobar,</w:t>
      </w:r>
      <w:r>
        <w:rPr>
          <w:spacing w:val="-32"/>
        </w:rPr>
        <w:t> </w:t>
      </w:r>
      <w:r>
        <w:rPr/>
        <w:t>2006)</w:t>
      </w:r>
    </w:p>
    <w:p>
      <w:pPr>
        <w:pStyle w:val="BodyText"/>
        <w:spacing w:before="11"/>
      </w:pPr>
    </w:p>
    <w:p>
      <w:pPr>
        <w:pStyle w:val="BodyText"/>
        <w:spacing w:line="249" w:lineRule="auto"/>
        <w:ind w:left="130" w:firstLine="170"/>
        <w:jc w:val="both"/>
      </w:pPr>
      <w:r>
        <w:rPr/>
        <w:t>A nivel estatal, la Comisión del Agua del Estado de México (CAEM), asume el manejo integral del agua. Ti </w:t>
      </w:r>
      <w:r>
        <w:rPr>
          <w:spacing w:val="12"/>
        </w:rPr>
        <w:t>ene por </w:t>
      </w:r>
      <w:r>
        <w:rPr/>
        <w:t>objetivo planear, programar, construir,</w:t>
      </w:r>
      <w:r>
        <w:rPr>
          <w:spacing w:val="-17"/>
        </w:rPr>
        <w:t> </w:t>
      </w:r>
      <w:r>
        <w:rPr/>
        <w:t>conservar, mantener, operar  y administrar sistemas de  agua  para  consumo humano, </w:t>
      </w:r>
      <w:r>
        <w:rPr>
          <w:spacing w:val="55"/>
        </w:rPr>
        <w:t> </w:t>
      </w:r>
      <w:r>
        <w:rPr/>
        <w:t>industrial</w:t>
      </w:r>
    </w:p>
    <w:p>
      <w:pPr>
        <w:pStyle w:val="BodyText"/>
        <w:spacing w:line="249" w:lineRule="auto" w:before="76"/>
        <w:ind w:left="130" w:right="127"/>
        <w:jc w:val="both"/>
      </w:pPr>
      <w:r>
        <w:rPr/>
        <w:br w:type="column"/>
      </w:r>
      <w:r>
        <w:rPr/>
        <w:t>y de  servicios;   drenaje, tratamiento y reúso de aguas residuales tratadas y; control    y disposición final de los lodos producto del tratamiento de aguas residuales y; el abastecimiento a la población, a través del </w:t>
      </w:r>
      <w:r>
        <w:rPr>
          <w:i/>
        </w:rPr>
        <w:t>Programa Hidráulico de la Región</w:t>
      </w:r>
      <w:r>
        <w:rPr/>
        <w:t>. (CAEM, 2001)</w:t>
      </w:r>
    </w:p>
    <w:p>
      <w:pPr>
        <w:pStyle w:val="BodyText"/>
        <w:spacing w:before="11"/>
      </w:pPr>
    </w:p>
    <w:p>
      <w:pPr>
        <w:pStyle w:val="BodyText"/>
        <w:spacing w:line="249" w:lineRule="auto"/>
        <w:ind w:left="130" w:right="128" w:firstLine="170"/>
        <w:jc w:val="both"/>
      </w:pPr>
      <w:r>
        <w:rPr/>
        <w:t>Las estrategias del Programa Hidráulico son: mejorar la administración de los servicios de agua potable y alcantarillado, generar recursos que permitan ampliar inversiones, fomentar  el  servicio  de  agua  potable  para  distintos  usos,  contribuir  al bienestar de la población, apoyar las actividades económicas y proteger el  ambiente, promover mayor participación del sector privado en la  construcción  de obras y operación de sistemas de agua potable, alcantarillado y saneamiento para mejorar la calidad de los servicios y eliminar cargas financieras a la entidad y los municipios, y estimular cultura </w:t>
      </w:r>
      <w:r>
        <w:rPr>
          <w:spacing w:val="4"/>
        </w:rPr>
        <w:t>sobre </w:t>
      </w:r>
      <w:r>
        <w:rPr>
          <w:spacing w:val="3"/>
        </w:rPr>
        <w:t>el </w:t>
      </w:r>
      <w:r>
        <w:rPr/>
        <w:t>recurso vital y escaso. (CAEM,</w:t>
      </w:r>
      <w:r>
        <w:rPr>
          <w:spacing w:val="17"/>
        </w:rPr>
        <w:t> </w:t>
      </w:r>
      <w:r>
        <w:rPr/>
        <w:t>2001)</w:t>
      </w:r>
    </w:p>
    <w:p>
      <w:pPr>
        <w:pStyle w:val="BodyText"/>
        <w:spacing w:before="11"/>
      </w:pPr>
    </w:p>
    <w:p>
      <w:pPr>
        <w:pStyle w:val="BodyText"/>
        <w:spacing w:line="249" w:lineRule="auto"/>
        <w:ind w:left="130" w:right="128" w:firstLine="170"/>
        <w:jc w:val="both"/>
      </w:pPr>
      <w:r>
        <w:rPr/>
        <w:t>El</w:t>
      </w:r>
      <w:r>
        <w:rPr>
          <w:spacing w:val="-12"/>
        </w:rPr>
        <w:t> </w:t>
      </w:r>
      <w:r>
        <w:rPr>
          <w:i/>
        </w:rPr>
        <w:t>Programa</w:t>
      </w:r>
      <w:r>
        <w:rPr>
          <w:i/>
          <w:spacing w:val="-12"/>
        </w:rPr>
        <w:t> </w:t>
      </w:r>
      <w:r>
        <w:rPr>
          <w:i/>
        </w:rPr>
        <w:t>para</w:t>
      </w:r>
      <w:r>
        <w:rPr>
          <w:i/>
          <w:spacing w:val="-12"/>
        </w:rPr>
        <w:t> </w:t>
      </w:r>
      <w:r>
        <w:rPr>
          <w:i/>
        </w:rPr>
        <w:t>el</w:t>
      </w:r>
      <w:r>
        <w:rPr>
          <w:i/>
          <w:spacing w:val="-12"/>
        </w:rPr>
        <w:t> </w:t>
      </w:r>
      <w:r>
        <w:rPr>
          <w:i/>
        </w:rPr>
        <w:t>Pago</w:t>
      </w:r>
      <w:r>
        <w:rPr>
          <w:i/>
          <w:spacing w:val="-12"/>
        </w:rPr>
        <w:t> </w:t>
      </w:r>
      <w:r>
        <w:rPr>
          <w:i/>
        </w:rPr>
        <w:t>por</w:t>
      </w:r>
      <w:r>
        <w:rPr>
          <w:i/>
          <w:spacing w:val="-12"/>
        </w:rPr>
        <w:t> </w:t>
      </w:r>
      <w:r>
        <w:rPr>
          <w:i/>
        </w:rPr>
        <w:t>Servicios</w:t>
      </w:r>
      <w:r>
        <w:rPr>
          <w:i/>
          <w:spacing w:val="-12"/>
        </w:rPr>
        <w:t> </w:t>
      </w:r>
      <w:r>
        <w:rPr>
          <w:i/>
        </w:rPr>
        <w:t>Ambientales</w:t>
      </w:r>
      <w:r>
        <w:rPr>
          <w:i/>
          <w:spacing w:val="-12"/>
        </w:rPr>
        <w:t> </w:t>
      </w:r>
      <w:r>
        <w:rPr>
          <w:i/>
        </w:rPr>
        <w:t>Hidrológicos</w:t>
      </w:r>
      <w:r>
        <w:rPr>
          <w:i/>
          <w:spacing w:val="-12"/>
        </w:rPr>
        <w:t> </w:t>
      </w:r>
      <w:r>
        <w:rPr/>
        <w:t>se</w:t>
      </w:r>
      <w:r>
        <w:rPr>
          <w:spacing w:val="-12"/>
        </w:rPr>
        <w:t> </w:t>
      </w:r>
      <w:r>
        <w:rPr/>
        <w:t>instauró</w:t>
      </w:r>
      <w:r>
        <w:rPr>
          <w:spacing w:val="-12"/>
        </w:rPr>
        <w:t> </w:t>
      </w:r>
      <w:r>
        <w:rPr/>
        <w:t>en</w:t>
      </w:r>
      <w:r>
        <w:rPr>
          <w:spacing w:val="20"/>
        </w:rPr>
        <w:t> </w:t>
      </w:r>
      <w:r>
        <w:rPr/>
        <w:t>2007 con el capital semilla de treinta millones, con la finalidad de conservar las áreas de bosques, con el objeto de tener áreas de recarga hídrica para garantizar el suministro de agua (PROBOSQUE, 2015). Con fundamento en el Artículo 27 numeral XX de la Constitución, que </w:t>
      </w:r>
      <w:r>
        <w:rPr>
          <w:spacing w:val="6"/>
        </w:rPr>
        <w:t>marca </w:t>
      </w:r>
      <w:r>
        <w:rPr/>
        <w:t>que el Estado promoverá las condiciones para el desarrollo rural integral con el propósito de generar en   la población campesina el bienestar        y su participación e incorporación al desarrollo nacional y de fomentar la actividad agropecuaria  y forestal para el uso óptimo de la tierra. Según el documento, hasta     el 2014, los resultados mostraron un aumento de cobertura vegetal dentro y fuera de Áreas Naturales</w:t>
      </w:r>
      <w:r>
        <w:rPr>
          <w:spacing w:val="-33"/>
        </w:rPr>
        <w:t> </w:t>
      </w:r>
      <w:r>
        <w:rPr/>
        <w:t>Protegidas.</w:t>
      </w:r>
    </w:p>
    <w:p>
      <w:pPr>
        <w:pStyle w:val="BodyText"/>
        <w:spacing w:before="11"/>
      </w:pPr>
    </w:p>
    <w:p>
      <w:pPr>
        <w:pStyle w:val="Heading3"/>
        <w:numPr>
          <w:ilvl w:val="1"/>
          <w:numId w:val="49"/>
        </w:numPr>
        <w:tabs>
          <w:tab w:pos="661" w:val="left" w:leader="none"/>
        </w:tabs>
        <w:spacing w:line="240" w:lineRule="auto" w:before="0" w:after="0"/>
        <w:ind w:left="660" w:right="0" w:hanging="360"/>
        <w:jc w:val="left"/>
      </w:pPr>
      <w:r>
        <w:rPr/>
        <w:t>Diagnóstico en materia de</w:t>
      </w:r>
      <w:r>
        <w:rPr>
          <w:spacing w:val="20"/>
        </w:rPr>
        <w:t> </w:t>
      </w:r>
      <w:r>
        <w:rPr/>
        <w:t>aire.</w:t>
      </w:r>
    </w:p>
    <w:p>
      <w:pPr>
        <w:pStyle w:val="BodyText"/>
        <w:spacing w:before="8"/>
        <w:rPr>
          <w:b/>
          <w:sz w:val="21"/>
        </w:rPr>
      </w:pPr>
    </w:p>
    <w:p>
      <w:pPr>
        <w:spacing w:line="249" w:lineRule="auto" w:before="0"/>
        <w:ind w:left="130" w:right="128" w:firstLine="170"/>
        <w:jc w:val="both"/>
        <w:rPr>
          <w:i/>
          <w:sz w:val="20"/>
        </w:rPr>
      </w:pPr>
      <w:r>
        <w:rPr>
          <w:sz w:val="20"/>
        </w:rPr>
        <w:t>Ya</w:t>
      </w:r>
      <w:r>
        <w:rPr>
          <w:spacing w:val="-14"/>
          <w:sz w:val="20"/>
        </w:rPr>
        <w:t> </w:t>
      </w:r>
      <w:r>
        <w:rPr>
          <w:sz w:val="20"/>
        </w:rPr>
        <w:t>que</w:t>
      </w:r>
      <w:r>
        <w:rPr>
          <w:spacing w:val="-12"/>
          <w:sz w:val="20"/>
        </w:rPr>
        <w:t> </w:t>
      </w:r>
      <w:r>
        <w:rPr>
          <w:sz w:val="20"/>
        </w:rPr>
        <w:t>el</w:t>
      </w:r>
      <w:r>
        <w:rPr>
          <w:spacing w:val="-12"/>
          <w:sz w:val="20"/>
        </w:rPr>
        <w:t> </w:t>
      </w:r>
      <w:r>
        <w:rPr>
          <w:sz w:val="20"/>
        </w:rPr>
        <w:t>cambio</w:t>
      </w:r>
      <w:r>
        <w:rPr>
          <w:spacing w:val="-14"/>
          <w:sz w:val="20"/>
        </w:rPr>
        <w:t> </w:t>
      </w:r>
      <w:r>
        <w:rPr>
          <w:sz w:val="20"/>
        </w:rPr>
        <w:t>climático</w:t>
      </w:r>
      <w:r>
        <w:rPr>
          <w:spacing w:val="-14"/>
          <w:sz w:val="20"/>
        </w:rPr>
        <w:t> </w:t>
      </w:r>
      <w:r>
        <w:rPr>
          <w:sz w:val="20"/>
        </w:rPr>
        <w:t>es</w:t>
      </w:r>
      <w:r>
        <w:rPr>
          <w:spacing w:val="-12"/>
          <w:sz w:val="20"/>
        </w:rPr>
        <w:t> </w:t>
      </w:r>
      <w:r>
        <w:rPr>
          <w:sz w:val="20"/>
        </w:rPr>
        <w:t>uno</w:t>
      </w:r>
      <w:r>
        <w:rPr>
          <w:spacing w:val="-14"/>
          <w:sz w:val="20"/>
        </w:rPr>
        <w:t> </w:t>
      </w:r>
      <w:r>
        <w:rPr>
          <w:sz w:val="20"/>
        </w:rPr>
        <w:t>de</w:t>
      </w:r>
      <w:r>
        <w:rPr>
          <w:spacing w:val="-12"/>
          <w:sz w:val="20"/>
        </w:rPr>
        <w:t> </w:t>
      </w:r>
      <w:r>
        <w:rPr>
          <w:sz w:val="20"/>
        </w:rPr>
        <w:t>los</w:t>
      </w:r>
      <w:r>
        <w:rPr>
          <w:spacing w:val="-12"/>
          <w:sz w:val="20"/>
        </w:rPr>
        <w:t> </w:t>
      </w:r>
      <w:r>
        <w:rPr>
          <w:sz w:val="20"/>
        </w:rPr>
        <w:t>temas</w:t>
      </w:r>
      <w:r>
        <w:rPr>
          <w:spacing w:val="-14"/>
          <w:sz w:val="20"/>
        </w:rPr>
        <w:t> </w:t>
      </w:r>
      <w:r>
        <w:rPr>
          <w:sz w:val="20"/>
        </w:rPr>
        <w:t>prioritarios</w:t>
      </w:r>
      <w:r>
        <w:rPr>
          <w:spacing w:val="-14"/>
          <w:sz w:val="20"/>
        </w:rPr>
        <w:t> </w:t>
      </w:r>
      <w:r>
        <w:rPr>
          <w:sz w:val="20"/>
        </w:rPr>
        <w:t>en</w:t>
      </w:r>
      <w:r>
        <w:rPr>
          <w:spacing w:val="-12"/>
          <w:sz w:val="20"/>
        </w:rPr>
        <w:t> </w:t>
      </w:r>
      <w:r>
        <w:rPr>
          <w:sz w:val="20"/>
        </w:rPr>
        <w:t>cuanto</w:t>
      </w:r>
      <w:r>
        <w:rPr>
          <w:spacing w:val="-14"/>
          <w:sz w:val="20"/>
        </w:rPr>
        <w:t> </w:t>
      </w:r>
      <w:r>
        <w:rPr>
          <w:sz w:val="20"/>
        </w:rPr>
        <w:t>a</w:t>
      </w:r>
      <w:r>
        <w:rPr>
          <w:spacing w:val="-12"/>
          <w:sz w:val="20"/>
        </w:rPr>
        <w:t> </w:t>
      </w:r>
      <w:r>
        <w:rPr>
          <w:sz w:val="20"/>
        </w:rPr>
        <w:t>la</w:t>
      </w:r>
      <w:r>
        <w:rPr>
          <w:spacing w:val="-12"/>
          <w:sz w:val="20"/>
        </w:rPr>
        <w:t> </w:t>
      </w:r>
      <w:r>
        <w:rPr>
          <w:sz w:val="20"/>
        </w:rPr>
        <w:t>problemática ambiental, surgen programas para mejorar la calidad del aire  en  la ciudad, tales  como el </w:t>
      </w:r>
      <w:r>
        <w:rPr>
          <w:i/>
          <w:sz w:val="20"/>
        </w:rPr>
        <w:t>Programa para Mejorar la Calidad del Aire. Valle de Toluca 2012-2017 </w:t>
      </w:r>
      <w:r>
        <w:rPr>
          <w:sz w:val="20"/>
        </w:rPr>
        <w:t>y </w:t>
      </w:r>
      <w:r>
        <w:rPr>
          <w:i/>
          <w:sz w:val="20"/>
        </w:rPr>
        <w:t>Aire </w:t>
      </w:r>
      <w:r>
        <w:rPr>
          <w:i/>
          <w:sz w:val="20"/>
        </w:rPr>
        <w:t>Limpio: Programa para el Valle de Toluca 2007-2011</w:t>
      </w:r>
      <w:r>
        <w:rPr>
          <w:sz w:val="20"/>
        </w:rPr>
        <w:t>, </w:t>
      </w:r>
      <w:r>
        <w:rPr>
          <w:i/>
          <w:sz w:val="20"/>
        </w:rPr>
        <w:t>el Estudio del Sistema Integral </w:t>
      </w:r>
      <w:r>
        <w:rPr>
          <w:i/>
          <w:sz w:val="20"/>
        </w:rPr>
        <w:t>de Movilidad Sustentable </w:t>
      </w:r>
      <w:r>
        <w:rPr>
          <w:sz w:val="20"/>
        </w:rPr>
        <w:t>para el Valle de Toluca, con el objetivo de reducir la emisión de gases efecto invernadero, y de reciente llegada, el </w:t>
      </w:r>
      <w:r>
        <w:rPr>
          <w:i/>
          <w:sz w:val="20"/>
        </w:rPr>
        <w:t>Programa Estatal de Acción</w:t>
      </w:r>
      <w:r>
        <w:rPr>
          <w:i/>
          <w:spacing w:val="-25"/>
          <w:sz w:val="20"/>
        </w:rPr>
        <w:t> </w:t>
      </w:r>
      <w:r>
        <w:rPr>
          <w:i/>
          <w:sz w:val="20"/>
        </w:rPr>
        <w:t>ante </w:t>
      </w:r>
      <w:r>
        <w:rPr>
          <w:i/>
          <w:sz w:val="20"/>
        </w:rPr>
        <w:t>el Cambio Climático del Estado de México,</w:t>
      </w:r>
      <w:r>
        <w:rPr>
          <w:i/>
          <w:spacing w:val="-16"/>
          <w:sz w:val="20"/>
        </w:rPr>
        <w:t> </w:t>
      </w:r>
      <w:r>
        <w:rPr>
          <w:i/>
          <w:sz w:val="20"/>
        </w:rPr>
        <w:t>2013.</w:t>
      </w:r>
    </w:p>
    <w:p>
      <w:pPr>
        <w:pStyle w:val="BodyText"/>
        <w:spacing w:before="11"/>
        <w:rPr>
          <w:i/>
        </w:rPr>
      </w:pPr>
    </w:p>
    <w:p>
      <w:pPr>
        <w:pStyle w:val="BodyText"/>
        <w:spacing w:line="249" w:lineRule="auto"/>
        <w:ind w:left="130" w:right="128" w:firstLine="170"/>
        <w:jc w:val="both"/>
      </w:pPr>
      <w:r>
        <w:rPr/>
        <w:t>En particular el Programa para Mejorar la Calidad del Aire del Valle de Toluca 2012- 2017, incorpora inventario de emisiones, el monitoreo de calidad del aire, así como efectos a la salud por la contaminación. Lo integra un Comité Núcleo y grupos de trabajo interinstitucionales de índole federal, estatal y municipal de los rubros de salud y ambiente, sector académico, asociaciones, organizaciones no gubernamentales e institutos</w:t>
      </w:r>
      <w:r>
        <w:rPr>
          <w:spacing w:val="-23"/>
        </w:rPr>
        <w:t> </w:t>
      </w:r>
      <w:r>
        <w:rPr/>
        <w:t>de</w:t>
      </w:r>
      <w:r>
        <w:rPr>
          <w:spacing w:val="-23"/>
        </w:rPr>
        <w:t> </w:t>
      </w:r>
      <w:r>
        <w:rPr/>
        <w:t>investigación</w:t>
      </w:r>
      <w:r>
        <w:rPr>
          <w:spacing w:val="-23"/>
        </w:rPr>
        <w:t> </w:t>
      </w:r>
      <w:r>
        <w:rPr/>
        <w:t>(GEM</w:t>
      </w:r>
      <w:r>
        <w:rPr>
          <w:spacing w:val="-23"/>
        </w:rPr>
        <w:t> </w:t>
      </w:r>
      <w:r>
        <w:rPr/>
        <w:t>y</w:t>
      </w:r>
      <w:r>
        <w:rPr>
          <w:spacing w:val="-23"/>
        </w:rPr>
        <w:t> </w:t>
      </w:r>
      <w:r>
        <w:rPr/>
        <w:t>SMA,</w:t>
      </w:r>
      <w:r>
        <w:rPr>
          <w:spacing w:val="-23"/>
        </w:rPr>
        <w:t> </w:t>
      </w:r>
      <w:r>
        <w:rPr/>
        <w:t>2012).</w:t>
      </w:r>
      <w:r>
        <w:rPr>
          <w:spacing w:val="-23"/>
        </w:rPr>
        <w:t> </w:t>
      </w:r>
      <w:r>
        <w:rPr/>
        <w:t>Dicho</w:t>
      </w:r>
      <w:r>
        <w:rPr>
          <w:spacing w:val="-23"/>
        </w:rPr>
        <w:t> </w:t>
      </w:r>
      <w:r>
        <w:rPr/>
        <w:t>programa</w:t>
      </w:r>
      <w:r>
        <w:rPr>
          <w:spacing w:val="-23"/>
        </w:rPr>
        <w:t> </w:t>
      </w:r>
      <w:r>
        <w:rPr/>
        <w:t>define</w:t>
      </w:r>
      <w:r>
        <w:rPr>
          <w:spacing w:val="-23"/>
        </w:rPr>
        <w:t> </w:t>
      </w:r>
      <w:r>
        <w:rPr/>
        <w:t>líneas</w:t>
      </w:r>
      <w:r>
        <w:rPr>
          <w:spacing w:val="-23"/>
        </w:rPr>
        <w:t> </w:t>
      </w:r>
      <w:r>
        <w:rPr/>
        <w:t>para</w:t>
      </w:r>
      <w:r>
        <w:rPr>
          <w:spacing w:val="-23"/>
        </w:rPr>
        <w:t> </w:t>
      </w:r>
      <w:r>
        <w:rPr/>
        <w:t>revertir las</w:t>
      </w:r>
      <w:r>
        <w:rPr>
          <w:spacing w:val="-4"/>
        </w:rPr>
        <w:t> </w:t>
      </w:r>
      <w:r>
        <w:rPr/>
        <w:t>tendencias</w:t>
      </w:r>
      <w:r>
        <w:rPr>
          <w:spacing w:val="-4"/>
        </w:rPr>
        <w:t> </w:t>
      </w:r>
      <w:r>
        <w:rPr/>
        <w:t>de</w:t>
      </w:r>
      <w:r>
        <w:rPr>
          <w:spacing w:val="-4"/>
        </w:rPr>
        <w:t> </w:t>
      </w:r>
      <w:r>
        <w:rPr/>
        <w:t>deterioro</w:t>
      </w:r>
      <w:r>
        <w:rPr>
          <w:spacing w:val="-4"/>
        </w:rPr>
        <w:t> </w:t>
      </w:r>
      <w:r>
        <w:rPr/>
        <w:t>de</w:t>
      </w:r>
      <w:r>
        <w:rPr>
          <w:spacing w:val="-4"/>
        </w:rPr>
        <w:t> </w:t>
      </w:r>
      <w:r>
        <w:rPr/>
        <w:t>la</w:t>
      </w:r>
      <w:r>
        <w:rPr>
          <w:spacing w:val="-4"/>
        </w:rPr>
        <w:t> </w:t>
      </w:r>
      <w:r>
        <w:rPr/>
        <w:t>calidad</w:t>
      </w:r>
      <w:r>
        <w:rPr>
          <w:spacing w:val="-4"/>
        </w:rPr>
        <w:t> </w:t>
      </w:r>
      <w:r>
        <w:rPr/>
        <w:t>del</w:t>
      </w:r>
      <w:r>
        <w:rPr>
          <w:spacing w:val="-4"/>
        </w:rPr>
        <w:t> </w:t>
      </w:r>
      <w:r>
        <w:rPr/>
        <w:t>aire,</w:t>
      </w:r>
      <w:r>
        <w:rPr>
          <w:spacing w:val="-4"/>
        </w:rPr>
        <w:t> </w:t>
      </w:r>
      <w:r>
        <w:rPr/>
        <w:t>mediante</w:t>
      </w:r>
      <w:r>
        <w:rPr>
          <w:spacing w:val="-4"/>
        </w:rPr>
        <w:t> </w:t>
      </w:r>
      <w:r>
        <w:rPr/>
        <w:t>la</w:t>
      </w:r>
      <w:r>
        <w:rPr>
          <w:spacing w:val="-4"/>
        </w:rPr>
        <w:t> </w:t>
      </w:r>
      <w:r>
        <w:rPr/>
        <w:t>aplicación</w:t>
      </w:r>
      <w:r>
        <w:rPr>
          <w:spacing w:val="-4"/>
        </w:rPr>
        <w:t> </w:t>
      </w:r>
      <w:r>
        <w:rPr/>
        <w:t>de</w:t>
      </w:r>
      <w:r>
        <w:rPr>
          <w:spacing w:val="-4"/>
        </w:rPr>
        <w:t> </w:t>
      </w:r>
      <w:r>
        <w:rPr/>
        <w:t>medidas</w:t>
      </w:r>
      <w:r>
        <w:rPr>
          <w:spacing w:val="-4"/>
        </w:rPr>
        <w:t> </w:t>
      </w:r>
      <w:r>
        <w:rPr/>
        <w:t>de</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444"/>
          <w:pgSz w:w="18830" w:h="12760" w:orient="landscape"/>
          <w:pgMar w:footer="1036" w:header="522" w:top="820" w:bottom="1220" w:left="720" w:right="720"/>
        </w:sectPr>
      </w:pPr>
    </w:p>
    <w:p>
      <w:pPr>
        <w:pStyle w:val="BodyText"/>
        <w:spacing w:line="249" w:lineRule="auto" w:before="76"/>
        <w:ind w:left="130" w:right="1"/>
        <w:jc w:val="both"/>
      </w:pPr>
      <w:r>
        <w:rPr/>
        <w:t>control y reducción de emisiones en fuentes fijas, móviles, y de área. Las estrategias son: prevención y protección a la salud, reducción de emisiones por fuente de área y naturales, reducción y control por fuentes móviles y fijas, desarrollo de capacidades institucionales, educación ambiental y financiamiento. (GEM y SMA, 2012)</w:t>
      </w:r>
    </w:p>
    <w:p>
      <w:pPr>
        <w:pStyle w:val="BodyText"/>
        <w:spacing w:before="11"/>
      </w:pPr>
    </w:p>
    <w:p>
      <w:pPr>
        <w:pStyle w:val="BodyText"/>
        <w:spacing w:line="249" w:lineRule="auto"/>
        <w:ind w:left="130" w:firstLine="170"/>
        <w:jc w:val="both"/>
      </w:pPr>
      <w:r>
        <w:rPr/>
        <w:t>Por su parte,</w:t>
      </w:r>
      <w:r>
        <w:rPr>
          <w:spacing w:val="-39"/>
        </w:rPr>
        <w:t> </w:t>
      </w:r>
      <w:r>
        <w:rPr>
          <w:i/>
        </w:rPr>
        <w:t>Aire Limpio: Programa para el Valle de Toluca 2007-2011</w:t>
      </w:r>
      <w:r>
        <w:rPr/>
        <w:t>, realizado por la Dirección General de Gestión de la Calidad del Aire en la Secretaría del Medio Ambiente y Recursos Naturales (2012), y sustentado por la Ley General de Equilibrio Ecológico</w:t>
      </w:r>
      <w:r>
        <w:rPr>
          <w:spacing w:val="-17"/>
        </w:rPr>
        <w:t> </w:t>
      </w:r>
      <w:r>
        <w:rPr/>
        <w:t>y</w:t>
      </w:r>
      <w:r>
        <w:rPr>
          <w:spacing w:val="-17"/>
        </w:rPr>
        <w:t> </w:t>
      </w:r>
      <w:r>
        <w:rPr/>
        <w:t>Protección</w:t>
      </w:r>
      <w:r>
        <w:rPr>
          <w:spacing w:val="-17"/>
        </w:rPr>
        <w:t> </w:t>
      </w:r>
      <w:r>
        <w:rPr/>
        <w:t>al</w:t>
      </w:r>
      <w:r>
        <w:rPr>
          <w:spacing w:val="-17"/>
        </w:rPr>
        <w:t> </w:t>
      </w:r>
      <w:r>
        <w:rPr/>
        <w:t>Ambiente</w:t>
      </w:r>
      <w:r>
        <w:rPr>
          <w:spacing w:val="-17"/>
        </w:rPr>
        <w:t> </w:t>
      </w:r>
      <w:r>
        <w:rPr/>
        <w:t>a</w:t>
      </w:r>
      <w:r>
        <w:rPr>
          <w:spacing w:val="-17"/>
        </w:rPr>
        <w:t> </w:t>
      </w:r>
      <w:r>
        <w:rPr/>
        <w:t>nivel</w:t>
      </w:r>
      <w:r>
        <w:rPr>
          <w:spacing w:val="-17"/>
        </w:rPr>
        <w:t> </w:t>
      </w:r>
      <w:r>
        <w:rPr/>
        <w:t>federal,</w:t>
      </w:r>
      <w:r>
        <w:rPr>
          <w:spacing w:val="-17"/>
        </w:rPr>
        <w:t> </w:t>
      </w:r>
      <w:r>
        <w:rPr/>
        <w:t>el</w:t>
      </w:r>
      <w:r>
        <w:rPr>
          <w:spacing w:val="-17"/>
        </w:rPr>
        <w:t> </w:t>
      </w:r>
      <w:r>
        <w:rPr/>
        <w:t>Código</w:t>
      </w:r>
      <w:r>
        <w:rPr>
          <w:spacing w:val="-17"/>
        </w:rPr>
        <w:t> </w:t>
      </w:r>
      <w:r>
        <w:rPr/>
        <w:t>de</w:t>
      </w:r>
      <w:r>
        <w:rPr>
          <w:spacing w:val="-17"/>
        </w:rPr>
        <w:t> </w:t>
      </w:r>
      <w:r>
        <w:rPr/>
        <w:t>Biodiversidad</w:t>
      </w:r>
      <w:r>
        <w:rPr>
          <w:spacing w:val="-17"/>
        </w:rPr>
        <w:t> </w:t>
      </w:r>
      <w:r>
        <w:rPr/>
        <w:t>del</w:t>
      </w:r>
      <w:r>
        <w:rPr>
          <w:spacing w:val="-17"/>
        </w:rPr>
        <w:t> </w:t>
      </w:r>
      <w:r>
        <w:rPr/>
        <w:t>Estado de México a nivel estatal y los Bandos de Policía y Buen Gobierno a nivel municipal, realiza un diagnóstico q u e da a  conocer metodologías cualitativas, cuantitativas y  los avances. Las medidas que se contemplan, además de la disminución de gases efecto invernadero, son  la  prevención y combate de incendios forestales, el control  de la tala ilegal en áreas de protección ecológica, el desarrollo de campañas de reforestación</w:t>
      </w:r>
      <w:r>
        <w:rPr>
          <w:spacing w:val="-6"/>
        </w:rPr>
        <w:t> </w:t>
      </w:r>
      <w:r>
        <w:rPr/>
        <w:t>y</w:t>
      </w:r>
      <w:r>
        <w:rPr>
          <w:spacing w:val="-5"/>
        </w:rPr>
        <w:t> </w:t>
      </w:r>
      <w:r>
        <w:rPr/>
        <w:t>recuperación</w:t>
      </w:r>
      <w:r>
        <w:rPr>
          <w:spacing w:val="-6"/>
        </w:rPr>
        <w:t> </w:t>
      </w:r>
      <w:r>
        <w:rPr/>
        <w:t>de</w:t>
      </w:r>
      <w:r>
        <w:rPr>
          <w:spacing w:val="-6"/>
        </w:rPr>
        <w:t> </w:t>
      </w:r>
      <w:r>
        <w:rPr/>
        <w:t>suelos</w:t>
      </w:r>
      <w:r>
        <w:rPr>
          <w:spacing w:val="-5"/>
        </w:rPr>
        <w:t> </w:t>
      </w:r>
      <w:r>
        <w:rPr/>
        <w:t>erosionados.</w:t>
      </w:r>
      <w:r>
        <w:rPr>
          <w:spacing w:val="-7"/>
        </w:rPr>
        <w:t> </w:t>
      </w:r>
      <w:r>
        <w:rPr/>
        <w:t>(GEM,</w:t>
      </w:r>
      <w:r>
        <w:rPr>
          <w:spacing w:val="-6"/>
        </w:rPr>
        <w:t> </w:t>
      </w:r>
      <w:r>
        <w:rPr/>
        <w:t>2012)</w:t>
      </w:r>
    </w:p>
    <w:p>
      <w:pPr>
        <w:pStyle w:val="BodyText"/>
        <w:spacing w:before="11"/>
      </w:pPr>
    </w:p>
    <w:p>
      <w:pPr>
        <w:pStyle w:val="BodyText"/>
        <w:spacing w:line="249" w:lineRule="auto"/>
        <w:ind w:left="130" w:firstLine="170"/>
        <w:jc w:val="both"/>
      </w:pPr>
      <w:r>
        <w:rPr/>
        <w:t>Según </w:t>
      </w:r>
      <w:r>
        <w:rPr>
          <w:spacing w:val="6"/>
        </w:rPr>
        <w:t>el</w:t>
      </w:r>
      <w:r>
        <w:rPr>
          <w:spacing w:val="67"/>
        </w:rPr>
        <w:t> </w:t>
      </w:r>
      <w:r>
        <w:rPr>
          <w:spacing w:val="11"/>
        </w:rPr>
        <w:t>documento </w:t>
      </w:r>
      <w:r>
        <w:rPr>
          <w:spacing w:val="10"/>
        </w:rPr>
        <w:t>indica </w:t>
      </w:r>
      <w:r>
        <w:rPr>
          <w:spacing w:val="8"/>
        </w:rPr>
        <w:t>que </w:t>
      </w:r>
      <w:r>
        <w:rPr>
          <w:spacing w:val="6"/>
        </w:rPr>
        <w:t>se</w:t>
      </w:r>
      <w:r>
        <w:rPr>
          <w:spacing w:val="67"/>
        </w:rPr>
        <w:t> </w:t>
      </w:r>
      <w:r>
        <w:rPr/>
        <w:t>obtuvo un avance de 85.3% en la instrumentación de las 27 medidas establecidas, de las cuales 21 estaban por concluir y 6 se encontraban en proceso de instrumentación. En relación </w:t>
      </w:r>
      <w:r>
        <w:rPr>
          <w:spacing w:val="16"/>
        </w:rPr>
        <w:t>con </w:t>
      </w:r>
      <w:r>
        <w:rPr/>
        <w:t>las metas, los resultados no fueron satisfactorios al no presentar disminución de emisiones en el caso del ozono (O</w:t>
      </w:r>
      <w:r>
        <w:rPr>
          <w:position w:val="-1"/>
        </w:rPr>
        <w:t>3</w:t>
      </w:r>
      <w:r>
        <w:rPr/>
        <w:t>) y al incrementar el caso de partículas PM</w:t>
      </w:r>
      <w:r>
        <w:rPr>
          <w:position w:val="-1"/>
        </w:rPr>
        <w:t>10</w:t>
      </w:r>
      <w:r>
        <w:rPr/>
        <w:t>.  (GEM, </w:t>
      </w:r>
      <w:r>
        <w:rPr>
          <w:spacing w:val="5"/>
        </w:rPr>
        <w:t> </w:t>
      </w:r>
      <w:r>
        <w:rPr/>
        <w:t>2012)</w:t>
      </w:r>
    </w:p>
    <w:p>
      <w:pPr>
        <w:pStyle w:val="BodyText"/>
        <w:spacing w:before="1"/>
        <w:rPr>
          <w:sz w:val="19"/>
        </w:rPr>
      </w:pPr>
    </w:p>
    <w:p>
      <w:pPr>
        <w:pStyle w:val="BodyText"/>
        <w:spacing w:line="249" w:lineRule="auto" w:before="1"/>
        <w:ind w:left="130" w:firstLine="170"/>
        <w:jc w:val="both"/>
      </w:pPr>
      <w:r>
        <w:rPr/>
        <w:t>El Estudio del Sistema Integral de Movilidad Sustentable para el Valle de Toluca, realizado por el  Centro Mario  Molina  en 2014,  muestra el problema de la movilidad  y propone estrategias de movilidad sustentable tomando en cuenta la estructura urbana, el transporte público, las infraestructuras necesarias y el marco normativo institucional. La metodología del  estudio  consistió  en  cuatro  fases:  exploratoria  y de consulta, la constructiva y generación de información, análisis y reflexión y, la propositiva de desarrollo de propuestas y metas de movilidad al</w:t>
      </w:r>
      <w:r>
        <w:rPr>
          <w:spacing w:val="28"/>
        </w:rPr>
        <w:t> </w:t>
      </w:r>
      <w:r>
        <w:rPr/>
        <w:t>2025.</w:t>
      </w:r>
    </w:p>
    <w:p>
      <w:pPr>
        <w:pStyle w:val="BodyText"/>
        <w:spacing w:before="11"/>
      </w:pPr>
    </w:p>
    <w:p>
      <w:pPr>
        <w:pStyle w:val="BodyText"/>
        <w:spacing w:line="249" w:lineRule="auto"/>
        <w:ind w:left="130" w:firstLine="170"/>
        <w:jc w:val="both"/>
      </w:pPr>
      <w:r>
        <w:rPr/>
        <w:t>El diagnóstico de dicho estudio identifica cuatro tendencias sobre el transporte de    la Toluca: la estructura urbana que tiende a la expansión y con ello el aumento de tiempo y la distancia del viaje, el fomento de modalidades de transporte poco</w:t>
      </w:r>
      <w:r>
        <w:rPr>
          <w:spacing w:val="-33"/>
        </w:rPr>
        <w:t> </w:t>
      </w:r>
      <w:r>
        <w:rPr/>
        <w:t>eficientes y fragmentación de la gestión pública de la movilidad. Se plantean cinco principales objetivos: 1) Crear una  estructura urbana policéntrica  a través de  la  consolidación  de subcentros alternativos. 2) Garantizar la  accesibilidad,  la  cobertura,  la  calidad  del servicio y  el  equilibrio  financiero  del sistema de transporte. 3) Adaptar  y  dotar de infraestructura de calidad que priorice los modos colectivos y de bajo impacto ambiental. 4) Crear el marco regulatorio institucional que transforme y ordene la movilidad hacia la sustentabilidad apoyando la participación de la ciudadanía. 5) Desincentivar la utilización de los modos privados motorizados como forma primordial de transporte. Además, propone el cambio de normativa y d e l a institucionalidad</w:t>
      </w:r>
      <w:r>
        <w:rPr>
          <w:spacing w:val="20"/>
        </w:rPr>
        <w:t> </w:t>
      </w:r>
      <w:r>
        <w:rPr/>
        <w:t>para</w:t>
      </w:r>
    </w:p>
    <w:p>
      <w:pPr>
        <w:pStyle w:val="BodyText"/>
        <w:spacing w:line="249" w:lineRule="auto" w:before="76"/>
        <w:ind w:left="130" w:right="128"/>
      </w:pPr>
      <w:r>
        <w:rPr/>
        <w:br w:type="column"/>
      </w:r>
      <w:r>
        <w:rPr/>
        <w:t>conseguir</w:t>
      </w:r>
      <w:r>
        <w:rPr>
          <w:spacing w:val="-19"/>
        </w:rPr>
        <w:t> </w:t>
      </w:r>
      <w:r>
        <w:rPr/>
        <w:t>la</w:t>
      </w:r>
      <w:r>
        <w:rPr>
          <w:spacing w:val="-19"/>
        </w:rPr>
        <w:t> </w:t>
      </w:r>
      <w:r>
        <w:rPr/>
        <w:t>movilidad</w:t>
      </w:r>
      <w:r>
        <w:rPr>
          <w:spacing w:val="-19"/>
        </w:rPr>
        <w:t> </w:t>
      </w:r>
      <w:r>
        <w:rPr/>
        <w:t>y</w:t>
      </w:r>
      <w:r>
        <w:rPr>
          <w:spacing w:val="-19"/>
        </w:rPr>
        <w:t> </w:t>
      </w:r>
      <w:r>
        <w:rPr/>
        <w:t>define</w:t>
      </w:r>
      <w:r>
        <w:rPr>
          <w:spacing w:val="-19"/>
        </w:rPr>
        <w:t> </w:t>
      </w:r>
      <w:r>
        <w:rPr/>
        <w:t>líneas</w:t>
      </w:r>
      <w:r>
        <w:rPr>
          <w:spacing w:val="-19"/>
        </w:rPr>
        <w:t> </w:t>
      </w:r>
      <w:r>
        <w:rPr/>
        <w:t>de</w:t>
      </w:r>
      <w:r>
        <w:rPr>
          <w:spacing w:val="-19"/>
        </w:rPr>
        <w:t> </w:t>
      </w:r>
      <w:r>
        <w:rPr/>
        <w:t>acción.</w:t>
      </w:r>
      <w:r>
        <w:rPr>
          <w:spacing w:val="-19"/>
        </w:rPr>
        <w:t> </w:t>
      </w:r>
      <w:r>
        <w:rPr/>
        <w:t>La</w:t>
      </w:r>
      <w:r>
        <w:rPr>
          <w:spacing w:val="-17"/>
        </w:rPr>
        <w:t> </w:t>
      </w:r>
      <w:r>
        <w:rPr/>
        <w:t>propuesta</w:t>
      </w:r>
      <w:r>
        <w:rPr>
          <w:spacing w:val="-18"/>
        </w:rPr>
        <w:t> </w:t>
      </w:r>
      <w:r>
        <w:rPr/>
        <w:t>continúa</w:t>
      </w:r>
      <w:r>
        <w:rPr>
          <w:spacing w:val="-18"/>
        </w:rPr>
        <w:t> </w:t>
      </w:r>
      <w:r>
        <w:rPr/>
        <w:t>enriqueciéndose, discutiéndose y debatiéndose sin aplicación por el</w:t>
      </w:r>
      <w:r>
        <w:rPr>
          <w:spacing w:val="30"/>
        </w:rPr>
        <w:t> </w:t>
      </w:r>
      <w:r>
        <w:rPr/>
        <w:t>momento.</w:t>
      </w:r>
    </w:p>
    <w:p>
      <w:pPr>
        <w:pStyle w:val="BodyText"/>
        <w:spacing w:before="11"/>
      </w:pPr>
    </w:p>
    <w:p>
      <w:pPr>
        <w:pStyle w:val="BodyText"/>
        <w:spacing w:line="249" w:lineRule="auto"/>
        <w:ind w:left="130" w:right="127" w:firstLine="170"/>
        <w:jc w:val="both"/>
      </w:pPr>
      <w:r>
        <w:rPr/>
        <w:t>El</w:t>
      </w:r>
      <w:r>
        <w:rPr>
          <w:spacing w:val="-3"/>
        </w:rPr>
        <w:t> </w:t>
      </w:r>
      <w:r>
        <w:rPr>
          <w:i/>
        </w:rPr>
        <w:t>Programa</w:t>
      </w:r>
      <w:r>
        <w:rPr>
          <w:i/>
          <w:spacing w:val="-3"/>
        </w:rPr>
        <w:t> </w:t>
      </w:r>
      <w:r>
        <w:rPr>
          <w:i/>
        </w:rPr>
        <w:t>Estatal</w:t>
      </w:r>
      <w:r>
        <w:rPr>
          <w:i/>
          <w:spacing w:val="-3"/>
        </w:rPr>
        <w:t> </w:t>
      </w:r>
      <w:r>
        <w:rPr>
          <w:i/>
        </w:rPr>
        <w:t>de</w:t>
      </w:r>
      <w:r>
        <w:rPr>
          <w:i/>
          <w:spacing w:val="-3"/>
        </w:rPr>
        <w:t> </w:t>
      </w:r>
      <w:r>
        <w:rPr>
          <w:i/>
        </w:rPr>
        <w:t>Acción</w:t>
      </w:r>
      <w:r>
        <w:rPr>
          <w:i/>
          <w:spacing w:val="-3"/>
        </w:rPr>
        <w:t> </w:t>
      </w:r>
      <w:r>
        <w:rPr>
          <w:i/>
        </w:rPr>
        <w:t>ante</w:t>
      </w:r>
      <w:r>
        <w:rPr>
          <w:i/>
          <w:spacing w:val="-3"/>
        </w:rPr>
        <w:t> </w:t>
      </w:r>
      <w:r>
        <w:rPr>
          <w:i/>
        </w:rPr>
        <w:t>el</w:t>
      </w:r>
      <w:r>
        <w:rPr>
          <w:i/>
          <w:spacing w:val="-3"/>
        </w:rPr>
        <w:t> </w:t>
      </w:r>
      <w:r>
        <w:rPr>
          <w:i/>
        </w:rPr>
        <w:t>Cambio</w:t>
      </w:r>
      <w:r>
        <w:rPr>
          <w:i/>
          <w:spacing w:val="-3"/>
        </w:rPr>
        <w:t> </w:t>
      </w:r>
      <w:r>
        <w:rPr>
          <w:i/>
        </w:rPr>
        <w:t>Climático</w:t>
      </w:r>
      <w:r>
        <w:rPr>
          <w:i/>
          <w:spacing w:val="-3"/>
        </w:rPr>
        <w:t> </w:t>
      </w:r>
      <w:r>
        <w:rPr>
          <w:i/>
        </w:rPr>
        <w:t>del</w:t>
      </w:r>
      <w:r>
        <w:rPr>
          <w:i/>
          <w:spacing w:val="-3"/>
        </w:rPr>
        <w:t> </w:t>
      </w:r>
      <w:r>
        <w:rPr>
          <w:i/>
        </w:rPr>
        <w:t>Estado</w:t>
      </w:r>
      <w:r>
        <w:rPr>
          <w:i/>
          <w:spacing w:val="-3"/>
        </w:rPr>
        <w:t> </w:t>
      </w:r>
      <w:r>
        <w:rPr>
          <w:i/>
        </w:rPr>
        <w:t>de</w:t>
      </w:r>
      <w:r>
        <w:rPr>
          <w:i/>
          <w:spacing w:val="-3"/>
        </w:rPr>
        <w:t> </w:t>
      </w:r>
      <w:r>
        <w:rPr>
          <w:i/>
        </w:rPr>
        <w:t>México</w:t>
      </w:r>
      <w:r>
        <w:rPr/>
        <w:t>,</w:t>
      </w:r>
      <w:r>
        <w:rPr>
          <w:spacing w:val="-3"/>
        </w:rPr>
        <w:t> </w:t>
      </w:r>
      <w:r>
        <w:rPr/>
        <w:t>2013, a cargo de la Dirección General de Prevención y Contaminación de la Contaminación Atmosférica (DGPCCA) de la Secretaría del Medio Ambiente, es todavía general, no  se elaboran los planes municipales y menos el del nivel metropolitano. No obstante, significa</w:t>
      </w:r>
      <w:r>
        <w:rPr>
          <w:spacing w:val="-10"/>
        </w:rPr>
        <w:t> </w:t>
      </w:r>
      <w:r>
        <w:rPr/>
        <w:t>preocupación</w:t>
      </w:r>
      <w:r>
        <w:rPr>
          <w:spacing w:val="-10"/>
        </w:rPr>
        <w:t> </w:t>
      </w:r>
      <w:r>
        <w:rPr/>
        <w:t>específica</w:t>
      </w:r>
      <w:r>
        <w:rPr>
          <w:spacing w:val="-10"/>
        </w:rPr>
        <w:t> </w:t>
      </w:r>
      <w:r>
        <w:rPr/>
        <w:t>en</w:t>
      </w:r>
      <w:r>
        <w:rPr>
          <w:spacing w:val="-9"/>
        </w:rPr>
        <w:t> </w:t>
      </w:r>
      <w:r>
        <w:rPr/>
        <w:t>materia</w:t>
      </w:r>
      <w:r>
        <w:rPr>
          <w:spacing w:val="-10"/>
        </w:rPr>
        <w:t> </w:t>
      </w:r>
      <w:r>
        <w:rPr/>
        <w:t>del</w:t>
      </w:r>
      <w:r>
        <w:rPr>
          <w:spacing w:val="-9"/>
        </w:rPr>
        <w:t> </w:t>
      </w:r>
      <w:r>
        <w:rPr/>
        <w:t>cambio</w:t>
      </w:r>
      <w:r>
        <w:rPr>
          <w:spacing w:val="-10"/>
        </w:rPr>
        <w:t> </w:t>
      </w:r>
      <w:r>
        <w:rPr/>
        <w:t>climático.</w:t>
      </w:r>
      <w:r>
        <w:rPr>
          <w:spacing w:val="-10"/>
        </w:rPr>
        <w:t> </w:t>
      </w:r>
      <w:r>
        <w:rPr/>
        <w:t>Tiene</w:t>
      </w:r>
      <w:r>
        <w:rPr>
          <w:spacing w:val="-10"/>
        </w:rPr>
        <w:t> </w:t>
      </w:r>
      <w:r>
        <w:rPr/>
        <w:t>como</w:t>
      </w:r>
      <w:r>
        <w:rPr>
          <w:spacing w:val="-9"/>
        </w:rPr>
        <w:t> </w:t>
      </w:r>
      <w:r>
        <w:rPr/>
        <w:t>objetivos reducir las emisiones de Gases Efecto Invernadero (GEI) y construir escenarios de proyección climática en un futuro cercano y lejano, con objetivos específicos en energía. Pretende en sus metas, la integración y aportación de los diferentes sectores sociales y</w:t>
      </w:r>
      <w:r>
        <w:rPr>
          <w:spacing w:val="28"/>
        </w:rPr>
        <w:t> </w:t>
      </w:r>
      <w:r>
        <w:rPr/>
        <w:t>económicos.</w:t>
      </w:r>
    </w:p>
    <w:p>
      <w:pPr>
        <w:pStyle w:val="BodyText"/>
        <w:spacing w:before="11"/>
      </w:pPr>
    </w:p>
    <w:p>
      <w:pPr>
        <w:pStyle w:val="BodyText"/>
        <w:spacing w:line="249" w:lineRule="auto"/>
        <w:ind w:left="130" w:right="127" w:firstLine="170"/>
        <w:jc w:val="both"/>
      </w:pPr>
      <w:r>
        <w:rPr/>
        <w:t>Entre las líneas de acción para la adaptación al cambio climático incluyen rubros   del sector hídrico, agricultura y ganadería, ecosistemas forestales, asentamientos humanos, patrimonio cultural y salud humana, con una visión de sustentabilidad. Se respalda en la “Ley Estatal de Cambio Climático” y el “Código para la Biodiversidad  del Estado de México”, ahí se encuentra especificado el financiamiento y además, indica que la información generada debe estar disponible en el Sistema Estatal de Información Pública Ambiental. (GEM,</w:t>
      </w:r>
      <w:r>
        <w:rPr>
          <w:spacing w:val="-9"/>
        </w:rPr>
        <w:t> </w:t>
      </w:r>
      <w:r>
        <w:rPr/>
        <w:t>2013).</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8"/>
      </w:pPr>
    </w:p>
    <w:p>
      <w:pPr>
        <w:spacing w:after="0"/>
        <w:sectPr>
          <w:footerReference w:type="default" r:id="rId445"/>
          <w:pgSz w:w="18830" w:h="12760" w:orient="landscape"/>
          <w:pgMar w:footer="1036" w:header="522" w:top="820" w:bottom="1220" w:left="720" w:right="720"/>
        </w:sectPr>
      </w:pPr>
    </w:p>
    <w:p>
      <w:pPr>
        <w:pStyle w:val="Heading1"/>
        <w:spacing w:line="240" w:lineRule="exact" w:before="104"/>
        <w:ind w:left="660" w:right="2" w:hanging="461"/>
      </w:pPr>
      <w:r>
        <w:rPr/>
        <w:t>Evaluación de la contribución a la sustentabilidad ambiental de los instrumentos de planeación del sector público e n  la ZMT.</w:t>
      </w:r>
    </w:p>
    <w:p>
      <w:pPr>
        <w:pStyle w:val="BodyText"/>
        <w:spacing w:before="2"/>
        <w:rPr>
          <w:b/>
          <w:sz w:val="21"/>
        </w:rPr>
      </w:pPr>
    </w:p>
    <w:p>
      <w:pPr>
        <w:pStyle w:val="BodyText"/>
        <w:spacing w:line="249" w:lineRule="auto" w:before="1"/>
        <w:ind w:left="151" w:firstLine="170"/>
        <w:jc w:val="both"/>
      </w:pPr>
      <w:r>
        <w:rPr/>
        <w:t>Se ha dicho líneas arriba que el modelo Presión-Estado-Respuesta vincula las actividades antropogénicas con los complejos procesos ambientales. El apartado “Respuesta” permite conocer cómo la sociedad se involucra y responde ante el “Estado” o cantidad y calidad de los recursos naturales, misma que puede tener varias posibilidades, puede ser de parte del gobierno y sus instituciones, organizaciones, la población y/o los consumidores, e incluso por parte del mismo   ecosistema.</w:t>
      </w:r>
    </w:p>
    <w:p>
      <w:pPr>
        <w:pStyle w:val="BodyText"/>
        <w:spacing w:before="11"/>
      </w:pPr>
    </w:p>
    <w:p>
      <w:pPr>
        <w:pStyle w:val="BodyText"/>
        <w:spacing w:line="249" w:lineRule="auto"/>
        <w:ind w:left="151" w:firstLine="170"/>
        <w:jc w:val="both"/>
      </w:pPr>
      <w:r>
        <w:rPr/>
        <w:t>Aquí la observación de la contribución a la sostenibilidad ambiental se acotó únicamente a las instituciones del sector público, a la definición de acciones de políticas ambientales como respuesta ante el deterioro ambiental. Con respecto a       la contribución de la sustentabilidad ambiental del sector público, se encontró poca precisión de políticas específicas integrales y de acción espacial definidas. Las políticas ambientales de mitigación no están insertas en los documentos en ninguno</w:t>
      </w:r>
      <w:r>
        <w:rPr>
          <w:spacing w:val="-30"/>
        </w:rPr>
        <w:t> </w:t>
      </w:r>
      <w:r>
        <w:rPr/>
        <w:t>de los rubros de: suelo, agua y aire. Éstas se encuentran muy agregadas en orden estatal con el mismo nivel de agregación del nivel nacional, de manera que son enunciativas no</w:t>
      </w:r>
      <w:r>
        <w:rPr>
          <w:spacing w:val="10"/>
        </w:rPr>
        <w:t> </w:t>
      </w:r>
      <w:r>
        <w:rPr/>
        <w:t>instrumentales.</w:t>
      </w:r>
    </w:p>
    <w:p>
      <w:pPr>
        <w:pStyle w:val="BodyText"/>
        <w:spacing w:before="11"/>
      </w:pPr>
    </w:p>
    <w:p>
      <w:pPr>
        <w:pStyle w:val="BodyText"/>
        <w:spacing w:line="249" w:lineRule="auto"/>
        <w:ind w:left="151" w:firstLine="170"/>
        <w:jc w:val="both"/>
      </w:pPr>
      <w:r>
        <w:rPr/>
        <w:t>En el caso del modelo PER, tanto la información del “Estado” como la información</w:t>
      </w:r>
      <w:r>
        <w:rPr>
          <w:spacing w:val="-16"/>
        </w:rPr>
        <w:t> </w:t>
      </w:r>
      <w:r>
        <w:rPr/>
        <w:t>de “Respuesta” deben ser congruentes, en la zona metropolitana, esta correspondencia no se presenta. En la revisión documental se verificó la coherencia del diagnóstico,  con los objetivos, estrategia, líneas de acción e instrumentación. La relación de los instrumentos con la generación de indicadores para monitorear y evaluar cada una de las estrategias. Si bien la redacción del documento atiende vinculación entre los tres niveles</w:t>
      </w:r>
      <w:r>
        <w:rPr>
          <w:spacing w:val="19"/>
        </w:rPr>
        <w:t> </w:t>
      </w:r>
      <w:r>
        <w:rPr/>
        <w:t>de</w:t>
      </w:r>
      <w:r>
        <w:rPr>
          <w:spacing w:val="19"/>
        </w:rPr>
        <w:t> </w:t>
      </w:r>
      <w:r>
        <w:rPr/>
        <w:t>gobierno</w:t>
      </w:r>
      <w:r>
        <w:rPr>
          <w:spacing w:val="19"/>
        </w:rPr>
        <w:t> </w:t>
      </w:r>
      <w:r>
        <w:rPr/>
        <w:t>pero</w:t>
      </w:r>
      <w:r>
        <w:rPr>
          <w:spacing w:val="19"/>
        </w:rPr>
        <w:t> </w:t>
      </w:r>
      <w:r>
        <w:rPr/>
        <w:t>no</w:t>
      </w:r>
      <w:r>
        <w:rPr>
          <w:spacing w:val="19"/>
        </w:rPr>
        <w:t> </w:t>
      </w:r>
      <w:r>
        <w:rPr/>
        <w:t>precisa</w:t>
      </w:r>
      <w:r>
        <w:rPr>
          <w:spacing w:val="19"/>
        </w:rPr>
        <w:t> </w:t>
      </w:r>
      <w:r>
        <w:rPr/>
        <w:t>ni</w:t>
      </w:r>
      <w:r>
        <w:rPr>
          <w:spacing w:val="19"/>
        </w:rPr>
        <w:t> </w:t>
      </w:r>
      <w:r>
        <w:rPr/>
        <w:t>detalla</w:t>
      </w:r>
      <w:r>
        <w:rPr>
          <w:spacing w:val="19"/>
        </w:rPr>
        <w:t> </w:t>
      </w:r>
      <w:r>
        <w:rPr/>
        <w:t>la</w:t>
      </w:r>
      <w:r>
        <w:rPr>
          <w:spacing w:val="19"/>
        </w:rPr>
        <w:t> </w:t>
      </w:r>
      <w:r>
        <w:rPr/>
        <w:t>instrumentación</w:t>
      </w:r>
      <w:r>
        <w:rPr>
          <w:spacing w:val="19"/>
        </w:rPr>
        <w:t> </w:t>
      </w:r>
      <w:r>
        <w:rPr/>
        <w:t>de</w:t>
      </w:r>
      <w:r>
        <w:rPr>
          <w:spacing w:val="19"/>
        </w:rPr>
        <w:t> </w:t>
      </w:r>
      <w:r>
        <w:rPr/>
        <w:t>acciones</w:t>
      </w:r>
      <w:r>
        <w:rPr>
          <w:spacing w:val="19"/>
        </w:rPr>
        <w:t> </w:t>
      </w:r>
      <w:r>
        <w:rPr/>
        <w:t>a</w:t>
      </w:r>
      <w:r>
        <w:rPr>
          <w:spacing w:val="19"/>
        </w:rPr>
        <w:t> </w:t>
      </w:r>
      <w:r>
        <w:rPr/>
        <w:t>nivel</w:t>
      </w:r>
      <w:r>
        <w:rPr>
          <w:w w:val="99"/>
        </w:rPr>
        <w:t> </w:t>
      </w:r>
      <w:r>
        <w:rPr/>
        <w:t>local, no se cuenta con indicadores de seguimiento y </w:t>
      </w:r>
      <w:r>
        <w:rPr>
          <w:spacing w:val="19"/>
        </w:rPr>
        <w:t> </w:t>
      </w:r>
      <w:r>
        <w:rPr/>
        <w:t>retroalimentación.</w:t>
      </w:r>
    </w:p>
    <w:p>
      <w:pPr>
        <w:pStyle w:val="BodyText"/>
        <w:spacing w:before="11"/>
      </w:pPr>
    </w:p>
    <w:p>
      <w:pPr>
        <w:pStyle w:val="BodyText"/>
        <w:spacing w:line="249" w:lineRule="auto"/>
        <w:ind w:left="151" w:firstLine="170"/>
        <w:jc w:val="both"/>
      </w:pPr>
      <w:r>
        <w:rPr/>
        <w:t>El gobierno de lo ambiental es un rezago importante. Se devela incomprensión       de lo ambiental, no persigue una perspectiva multidimensional en cuanto hace a la coordinación</w:t>
      </w:r>
      <w:r>
        <w:rPr>
          <w:spacing w:val="-12"/>
        </w:rPr>
        <w:t> </w:t>
      </w:r>
      <w:r>
        <w:rPr/>
        <w:t>y</w:t>
      </w:r>
      <w:r>
        <w:rPr>
          <w:spacing w:val="-12"/>
        </w:rPr>
        <w:t> </w:t>
      </w:r>
      <w:r>
        <w:rPr/>
        <w:t>evaluación</w:t>
      </w:r>
      <w:r>
        <w:rPr>
          <w:spacing w:val="-12"/>
        </w:rPr>
        <w:t> </w:t>
      </w:r>
      <w:r>
        <w:rPr/>
        <w:t>transversal</w:t>
      </w:r>
      <w:r>
        <w:rPr>
          <w:spacing w:val="-12"/>
        </w:rPr>
        <w:t> </w:t>
      </w:r>
      <w:r>
        <w:rPr/>
        <w:t>de</w:t>
      </w:r>
      <w:r>
        <w:rPr>
          <w:spacing w:val="-12"/>
        </w:rPr>
        <w:t> </w:t>
      </w:r>
      <w:r>
        <w:rPr/>
        <w:t>las</w:t>
      </w:r>
      <w:r>
        <w:rPr>
          <w:spacing w:val="-12"/>
        </w:rPr>
        <w:t> </w:t>
      </w:r>
      <w:r>
        <w:rPr/>
        <w:t>líneas</w:t>
      </w:r>
      <w:r>
        <w:rPr>
          <w:spacing w:val="-12"/>
        </w:rPr>
        <w:t> </w:t>
      </w:r>
      <w:r>
        <w:rPr/>
        <w:t>enunciadas</w:t>
      </w:r>
      <w:r>
        <w:rPr>
          <w:spacing w:val="-12"/>
        </w:rPr>
        <w:t> </w:t>
      </w:r>
      <w:r>
        <w:rPr/>
        <w:t>en</w:t>
      </w:r>
      <w:r>
        <w:rPr>
          <w:spacing w:val="-12"/>
        </w:rPr>
        <w:t> </w:t>
      </w:r>
      <w:r>
        <w:rPr/>
        <w:t>los</w:t>
      </w:r>
      <w:r>
        <w:rPr>
          <w:spacing w:val="-12"/>
        </w:rPr>
        <w:t> </w:t>
      </w:r>
      <w:r>
        <w:rPr/>
        <w:t>documentos</w:t>
      </w:r>
      <w:r>
        <w:rPr>
          <w:spacing w:val="-12"/>
        </w:rPr>
        <w:t> </w:t>
      </w:r>
      <w:r>
        <w:rPr/>
        <w:t>entre los sectores que buscan atender el ambiente en la ciudad de Toluca, la especificidad de</w:t>
      </w:r>
      <w:r>
        <w:rPr>
          <w:spacing w:val="-11"/>
        </w:rPr>
        <w:t> </w:t>
      </w:r>
      <w:r>
        <w:rPr/>
        <w:t>instrumentación</w:t>
      </w:r>
      <w:r>
        <w:rPr>
          <w:spacing w:val="-11"/>
        </w:rPr>
        <w:t> </w:t>
      </w:r>
      <w:r>
        <w:rPr/>
        <w:t>de</w:t>
      </w:r>
      <w:r>
        <w:rPr>
          <w:spacing w:val="-11"/>
        </w:rPr>
        <w:t> </w:t>
      </w:r>
      <w:r>
        <w:rPr/>
        <w:t>las</w:t>
      </w:r>
      <w:r>
        <w:rPr>
          <w:spacing w:val="-11"/>
        </w:rPr>
        <w:t> </w:t>
      </w:r>
      <w:r>
        <w:rPr/>
        <w:t>metas</w:t>
      </w:r>
      <w:r>
        <w:rPr>
          <w:spacing w:val="-11"/>
        </w:rPr>
        <w:t> </w:t>
      </w:r>
      <w:r>
        <w:rPr/>
        <w:t>por</w:t>
      </w:r>
      <w:r>
        <w:rPr>
          <w:spacing w:val="-11"/>
        </w:rPr>
        <w:t> </w:t>
      </w:r>
      <w:r>
        <w:rPr/>
        <w:t>cada</w:t>
      </w:r>
      <w:r>
        <w:rPr>
          <w:spacing w:val="-11"/>
        </w:rPr>
        <w:t> </w:t>
      </w:r>
      <w:r>
        <w:rPr/>
        <w:t>tema</w:t>
      </w:r>
      <w:r>
        <w:rPr>
          <w:spacing w:val="-11"/>
        </w:rPr>
        <w:t> </w:t>
      </w:r>
      <w:r>
        <w:rPr/>
        <w:t>ambiental</w:t>
      </w:r>
      <w:r>
        <w:rPr>
          <w:spacing w:val="-11"/>
        </w:rPr>
        <w:t> </w:t>
      </w:r>
      <w:r>
        <w:rPr/>
        <w:t>se</w:t>
      </w:r>
      <w:r>
        <w:rPr>
          <w:spacing w:val="-11"/>
        </w:rPr>
        <w:t> </w:t>
      </w:r>
      <w:r>
        <w:rPr/>
        <w:t>observa</w:t>
      </w:r>
      <w:r>
        <w:rPr>
          <w:spacing w:val="-11"/>
        </w:rPr>
        <w:t> </w:t>
      </w:r>
      <w:r>
        <w:rPr/>
        <w:t>segmentado</w:t>
      </w:r>
      <w:r>
        <w:rPr>
          <w:spacing w:val="-11"/>
        </w:rPr>
        <w:t> </w:t>
      </w:r>
      <w:r>
        <w:rPr/>
        <w:t>entre los sectores de la administración</w:t>
      </w:r>
      <w:r>
        <w:rPr>
          <w:spacing w:val="12"/>
        </w:rPr>
        <w:t> </w:t>
      </w:r>
      <w:r>
        <w:rPr/>
        <w:t>pública.</w:t>
      </w:r>
    </w:p>
    <w:p>
      <w:pPr>
        <w:pStyle w:val="BodyText"/>
        <w:spacing w:before="11"/>
      </w:pPr>
    </w:p>
    <w:p>
      <w:pPr>
        <w:pStyle w:val="BodyText"/>
        <w:spacing w:line="249" w:lineRule="auto"/>
        <w:ind w:left="151" w:right="1" w:firstLine="170"/>
        <w:jc w:val="both"/>
      </w:pPr>
      <w:r>
        <w:rPr/>
        <w:t>El comportamiento ambiental geográfico, no es preciso ni particular en el diagnóstico del funcionamiento metropolitano de los problemas, desde los objetivos no toman en cuenta el ámbito territorial y urbano de generación de problemas por tanto las</w:t>
      </w:r>
      <w:r>
        <w:rPr>
          <w:spacing w:val="-28"/>
        </w:rPr>
        <w:t> </w:t>
      </w:r>
      <w:r>
        <w:rPr/>
        <w:t>acciones para</w:t>
      </w:r>
      <w:r>
        <w:rPr>
          <w:spacing w:val="-4"/>
        </w:rPr>
        <w:t> </w:t>
      </w:r>
      <w:r>
        <w:rPr/>
        <w:t>su</w:t>
      </w:r>
      <w:r>
        <w:rPr>
          <w:spacing w:val="-4"/>
        </w:rPr>
        <w:t> </w:t>
      </w:r>
      <w:r>
        <w:rPr/>
        <w:t>atención</w:t>
      </w:r>
      <w:r>
        <w:rPr>
          <w:spacing w:val="-4"/>
        </w:rPr>
        <w:t> </w:t>
      </w:r>
      <w:r>
        <w:rPr/>
        <w:t>no</w:t>
      </w:r>
      <w:r>
        <w:rPr>
          <w:spacing w:val="-4"/>
        </w:rPr>
        <w:t> </w:t>
      </w:r>
      <w:r>
        <w:rPr/>
        <w:t>son</w:t>
      </w:r>
      <w:r>
        <w:rPr>
          <w:spacing w:val="-4"/>
        </w:rPr>
        <w:t> </w:t>
      </w:r>
      <w:r>
        <w:rPr/>
        <w:t>espaciales</w:t>
      </w:r>
      <w:r>
        <w:rPr>
          <w:spacing w:val="-4"/>
        </w:rPr>
        <w:t> </w:t>
      </w:r>
      <w:r>
        <w:rPr/>
        <w:t>(Cuadro</w:t>
      </w:r>
      <w:r>
        <w:rPr>
          <w:spacing w:val="-4"/>
        </w:rPr>
        <w:t> </w:t>
      </w:r>
      <w:r>
        <w:rPr/>
        <w:t>1).</w:t>
      </w:r>
      <w:r>
        <w:rPr>
          <w:spacing w:val="-4"/>
        </w:rPr>
        <w:t> </w:t>
      </w:r>
      <w:r>
        <w:rPr/>
        <w:t>Se</w:t>
      </w:r>
      <w:r>
        <w:rPr>
          <w:spacing w:val="-4"/>
        </w:rPr>
        <w:t> </w:t>
      </w:r>
      <w:r>
        <w:rPr/>
        <w:t>observa</w:t>
      </w:r>
      <w:r>
        <w:rPr>
          <w:spacing w:val="-4"/>
        </w:rPr>
        <w:t> </w:t>
      </w:r>
      <w:r>
        <w:rPr/>
        <w:t>ausencia</w:t>
      </w:r>
      <w:r>
        <w:rPr>
          <w:spacing w:val="-4"/>
        </w:rPr>
        <w:t> </w:t>
      </w:r>
      <w:r>
        <w:rPr/>
        <w:t>de</w:t>
      </w:r>
      <w:r>
        <w:rPr>
          <w:spacing w:val="-4"/>
        </w:rPr>
        <w:t> </w:t>
      </w:r>
      <w:r>
        <w:rPr/>
        <w:t>concepción</w:t>
      </w:r>
      <w:r>
        <w:rPr>
          <w:spacing w:val="-4"/>
        </w:rPr>
        <w:t> </w:t>
      </w:r>
      <w:r>
        <w:rPr/>
        <w:t>de sustentabilidad en la mayoría de los documentos revisados, y en general no plantean acciones</w:t>
      </w:r>
      <w:r>
        <w:rPr>
          <w:spacing w:val="-7"/>
        </w:rPr>
        <w:t> </w:t>
      </w:r>
      <w:r>
        <w:rPr/>
        <w:t>de</w:t>
      </w:r>
      <w:r>
        <w:rPr>
          <w:spacing w:val="-7"/>
        </w:rPr>
        <w:t> </w:t>
      </w:r>
      <w:r>
        <w:rPr/>
        <w:t>mitigación</w:t>
      </w:r>
      <w:r>
        <w:rPr>
          <w:spacing w:val="-7"/>
        </w:rPr>
        <w:t> </w:t>
      </w:r>
      <w:r>
        <w:rPr/>
        <w:t>en</w:t>
      </w:r>
      <w:r>
        <w:rPr>
          <w:spacing w:val="-7"/>
        </w:rPr>
        <w:t> </w:t>
      </w:r>
      <w:r>
        <w:rPr/>
        <w:t>la</w:t>
      </w:r>
      <w:r>
        <w:rPr>
          <w:spacing w:val="-7"/>
        </w:rPr>
        <w:t> </w:t>
      </w:r>
      <w:r>
        <w:rPr/>
        <w:t>configuración</w:t>
      </w:r>
      <w:r>
        <w:rPr>
          <w:spacing w:val="-7"/>
        </w:rPr>
        <w:t> </w:t>
      </w:r>
      <w:r>
        <w:rPr/>
        <w:t>metropolitana</w:t>
      </w:r>
      <w:r>
        <w:rPr>
          <w:spacing w:val="-7"/>
        </w:rPr>
        <w:t> </w:t>
      </w:r>
      <w:r>
        <w:rPr/>
        <w:t>y</w:t>
      </w:r>
      <w:r>
        <w:rPr>
          <w:spacing w:val="-7"/>
        </w:rPr>
        <w:t> </w:t>
      </w:r>
      <w:r>
        <w:rPr/>
        <w:t>su</w:t>
      </w:r>
      <w:r>
        <w:rPr>
          <w:spacing w:val="-7"/>
        </w:rPr>
        <w:t> </w:t>
      </w:r>
      <w:r>
        <w:rPr/>
        <w:t>complejo</w:t>
      </w:r>
      <w:r>
        <w:rPr>
          <w:spacing w:val="-7"/>
        </w:rPr>
        <w:t> </w:t>
      </w:r>
      <w:r>
        <w:rPr/>
        <w:t>funcionamiento;</w:t>
      </w:r>
    </w:p>
    <w:p>
      <w:pPr>
        <w:pStyle w:val="BodyText"/>
        <w:spacing w:line="249" w:lineRule="auto" w:before="109"/>
        <w:ind w:left="151" w:right="128"/>
        <w:jc w:val="both"/>
      </w:pPr>
      <w:r>
        <w:rPr/>
        <w:br w:type="column"/>
      </w:r>
      <w:r>
        <w:rPr/>
        <w:t>está ausente la gestión integral ambiental. La generación de datos para el ámbito metropolitano es heterogénea, discontinua e insuficiente que complica la evaluación ambiental, y por tanto de la  sustentabilidad.</w:t>
      </w:r>
    </w:p>
    <w:p>
      <w:pPr>
        <w:spacing w:after="0" w:line="249" w:lineRule="auto"/>
        <w:jc w:val="both"/>
        <w:sectPr>
          <w:type w:val="continuous"/>
          <w:pgSz w:w="18830" w:h="12760" w:orient="landscape"/>
          <w:pgMar w:top="1420" w:bottom="280" w:left="720" w:right="720"/>
          <w:cols w:num="2" w:equalWidth="0">
            <w:col w:w="7863" w:space="1526"/>
            <w:col w:w="8001"/>
          </w:cols>
        </w:sectPr>
      </w:pPr>
    </w:p>
    <w:p>
      <w:pPr>
        <w:pStyle w:val="BodyText"/>
        <w:spacing w:before="8"/>
      </w:pPr>
    </w:p>
    <w:p>
      <w:pPr>
        <w:spacing w:after="0"/>
        <w:sectPr>
          <w:footerReference w:type="default" r:id="rId446"/>
          <w:pgSz w:w="18830" w:h="12760" w:orient="landscape"/>
          <w:pgMar w:footer="1036" w:header="522" w:top="820" w:bottom="1220" w:left="720" w:right="720"/>
        </w:sectPr>
      </w:pPr>
    </w:p>
    <w:p>
      <w:pPr>
        <w:pStyle w:val="Heading1"/>
        <w:spacing w:before="71"/>
        <w:ind w:left="310" w:right="1042"/>
      </w:pPr>
      <w:r>
        <w:rPr/>
        <w:t>Conclusión.</w:t>
      </w:r>
    </w:p>
    <w:p>
      <w:pPr>
        <w:pStyle w:val="BodyText"/>
        <w:rPr>
          <w:b/>
          <w:sz w:val="21"/>
        </w:rPr>
      </w:pPr>
    </w:p>
    <w:p>
      <w:pPr>
        <w:pStyle w:val="BodyText"/>
        <w:spacing w:line="249" w:lineRule="auto"/>
        <w:ind w:left="140" w:firstLine="170"/>
        <w:jc w:val="both"/>
      </w:pPr>
      <w:r>
        <w:rPr/>
        <w:t>En cuanto a la estructura institucional, se observa que la política ambiental en México es sectorial y ello limita la existencia de un enfoque integral para el desarrollo sustentable,</w:t>
      </w:r>
      <w:r>
        <w:rPr>
          <w:spacing w:val="-9"/>
        </w:rPr>
        <w:t> </w:t>
      </w:r>
      <w:r>
        <w:rPr/>
        <w:t>lo</w:t>
      </w:r>
      <w:r>
        <w:rPr>
          <w:spacing w:val="-9"/>
        </w:rPr>
        <w:t> </w:t>
      </w:r>
      <w:r>
        <w:rPr/>
        <w:t>cual</w:t>
      </w:r>
      <w:r>
        <w:rPr>
          <w:spacing w:val="-9"/>
        </w:rPr>
        <w:t> </w:t>
      </w:r>
      <w:r>
        <w:rPr/>
        <w:t>no</w:t>
      </w:r>
      <w:r>
        <w:rPr>
          <w:spacing w:val="-9"/>
        </w:rPr>
        <w:t> </w:t>
      </w:r>
      <w:r>
        <w:rPr/>
        <w:t>es</w:t>
      </w:r>
      <w:r>
        <w:rPr>
          <w:spacing w:val="-9"/>
        </w:rPr>
        <w:t> </w:t>
      </w:r>
      <w:r>
        <w:rPr/>
        <w:t>coherente</w:t>
      </w:r>
      <w:r>
        <w:rPr>
          <w:spacing w:val="-9"/>
        </w:rPr>
        <w:t> </w:t>
      </w:r>
      <w:r>
        <w:rPr/>
        <w:t>con</w:t>
      </w:r>
      <w:r>
        <w:rPr>
          <w:spacing w:val="-9"/>
        </w:rPr>
        <w:t> </w:t>
      </w:r>
      <w:r>
        <w:rPr/>
        <w:t>los</w:t>
      </w:r>
      <w:r>
        <w:rPr>
          <w:spacing w:val="-9"/>
        </w:rPr>
        <w:t> </w:t>
      </w:r>
      <w:r>
        <w:rPr/>
        <w:t>planes</w:t>
      </w:r>
      <w:r>
        <w:rPr>
          <w:spacing w:val="-9"/>
        </w:rPr>
        <w:t> </w:t>
      </w:r>
      <w:r>
        <w:rPr/>
        <w:t>de</w:t>
      </w:r>
      <w:r>
        <w:rPr>
          <w:spacing w:val="-9"/>
        </w:rPr>
        <w:t> </w:t>
      </w:r>
      <w:r>
        <w:rPr/>
        <w:t>desarrollo,</w:t>
      </w:r>
      <w:r>
        <w:rPr>
          <w:spacing w:val="-9"/>
        </w:rPr>
        <w:t> </w:t>
      </w:r>
      <w:r>
        <w:rPr/>
        <w:t>ya</w:t>
      </w:r>
      <w:r>
        <w:rPr>
          <w:spacing w:val="-9"/>
        </w:rPr>
        <w:t> </w:t>
      </w:r>
      <w:r>
        <w:rPr/>
        <w:t>que</w:t>
      </w:r>
      <w:r>
        <w:rPr>
          <w:spacing w:val="-9"/>
        </w:rPr>
        <w:t> </w:t>
      </w:r>
      <w:r>
        <w:rPr/>
        <w:t>ésta</w:t>
      </w:r>
      <w:r>
        <w:rPr>
          <w:spacing w:val="-9"/>
        </w:rPr>
        <w:t> </w:t>
      </w:r>
      <w:r>
        <w:rPr/>
        <w:t>es</w:t>
      </w:r>
      <w:r>
        <w:rPr>
          <w:spacing w:val="-9"/>
        </w:rPr>
        <w:t> </w:t>
      </w:r>
      <w:r>
        <w:rPr/>
        <w:t>una</w:t>
      </w:r>
      <w:r>
        <w:rPr>
          <w:spacing w:val="-9"/>
        </w:rPr>
        <w:t> </w:t>
      </w:r>
      <w:r>
        <w:rPr/>
        <w:t>de las metas y estrategias descritas. No hay un cumplimiento de los planes y programas, quedándose éstos en pronunciaciones e iniciativas enunciativas. Lo anterior es un</w:t>
      </w:r>
      <w:r>
        <w:rPr>
          <w:spacing w:val="-16"/>
        </w:rPr>
        <w:t> </w:t>
      </w:r>
      <w:r>
        <w:rPr/>
        <w:t>fallo de larga data en México, decía Unikel (1976), que de forma general, la planificación urbana en México tiene dos actitudes que han sido y aún siguen siendo críticas: la ambigua formulación de planes y programas, así como la incapacidad de responder a la política</w:t>
      </w:r>
      <w:r>
        <w:rPr>
          <w:spacing w:val="25"/>
        </w:rPr>
        <w:t> </w:t>
      </w:r>
      <w:r>
        <w:rPr/>
        <w:t>económica</w:t>
      </w:r>
    </w:p>
    <w:p>
      <w:pPr>
        <w:pStyle w:val="BodyText"/>
        <w:spacing w:before="11"/>
      </w:pPr>
    </w:p>
    <w:p>
      <w:pPr>
        <w:pStyle w:val="BodyText"/>
        <w:spacing w:line="249" w:lineRule="auto"/>
        <w:ind w:left="140" w:right="1" w:firstLine="170"/>
        <w:jc w:val="both"/>
      </w:pPr>
      <w:r>
        <w:rPr/>
        <w:t>De esta forma, pese a que en México se ha buscado instaurar un régimen jurídico normativo que coordine las problemáticas ambientales y la utilización sustentable del stock de capital natural desde la década de los ochenta (Escobar, 2007). El paradigma de la sustentabilidad, ha sido ampliamente estudiado y discutido en el país, desde las instituciones</w:t>
      </w:r>
      <w:r>
        <w:rPr>
          <w:spacing w:val="-11"/>
        </w:rPr>
        <w:t> </w:t>
      </w:r>
      <w:r>
        <w:rPr/>
        <w:t>públicas</w:t>
      </w:r>
      <w:r>
        <w:rPr>
          <w:spacing w:val="-11"/>
        </w:rPr>
        <w:t> </w:t>
      </w:r>
      <w:r>
        <w:rPr/>
        <w:t>sin</w:t>
      </w:r>
      <w:r>
        <w:rPr>
          <w:spacing w:val="-11"/>
        </w:rPr>
        <w:t> </w:t>
      </w:r>
      <w:r>
        <w:rPr/>
        <w:t>embargo</w:t>
      </w:r>
      <w:r>
        <w:rPr>
          <w:spacing w:val="-11"/>
        </w:rPr>
        <w:t> </w:t>
      </w:r>
      <w:r>
        <w:rPr/>
        <w:t>sigue</w:t>
      </w:r>
      <w:r>
        <w:rPr>
          <w:spacing w:val="-11"/>
        </w:rPr>
        <w:t> </w:t>
      </w:r>
      <w:r>
        <w:rPr/>
        <w:t>siendo</w:t>
      </w:r>
      <w:r>
        <w:rPr>
          <w:spacing w:val="-11"/>
        </w:rPr>
        <w:t> </w:t>
      </w:r>
      <w:r>
        <w:rPr/>
        <w:t>poco</w:t>
      </w:r>
      <w:r>
        <w:rPr>
          <w:spacing w:val="-11"/>
        </w:rPr>
        <w:t> </w:t>
      </w:r>
      <w:r>
        <w:rPr/>
        <w:t>desarrollado</w:t>
      </w:r>
      <w:r>
        <w:rPr>
          <w:spacing w:val="-11"/>
        </w:rPr>
        <w:t> </w:t>
      </w:r>
      <w:r>
        <w:rPr/>
        <w:t>en</w:t>
      </w:r>
      <w:r>
        <w:rPr>
          <w:spacing w:val="-11"/>
        </w:rPr>
        <w:t> </w:t>
      </w:r>
      <w:r>
        <w:rPr/>
        <w:t>el</w:t>
      </w:r>
      <w:r>
        <w:rPr>
          <w:spacing w:val="-11"/>
        </w:rPr>
        <w:t> </w:t>
      </w:r>
      <w:r>
        <w:rPr/>
        <w:t>sentido</w:t>
      </w:r>
      <w:r>
        <w:rPr>
          <w:spacing w:val="-11"/>
        </w:rPr>
        <w:t> </w:t>
      </w:r>
      <w:r>
        <w:rPr/>
        <w:t>práctico y</w:t>
      </w:r>
      <w:r>
        <w:rPr>
          <w:spacing w:val="-4"/>
        </w:rPr>
        <w:t> </w:t>
      </w:r>
      <w:r>
        <w:rPr/>
        <w:t>operacional.</w:t>
      </w:r>
    </w:p>
    <w:p>
      <w:pPr>
        <w:pStyle w:val="BodyText"/>
        <w:spacing w:before="11"/>
      </w:pPr>
    </w:p>
    <w:p>
      <w:pPr>
        <w:pStyle w:val="BodyText"/>
        <w:spacing w:line="249" w:lineRule="auto"/>
        <w:ind w:left="140" w:firstLine="170"/>
        <w:jc w:val="both"/>
      </w:pPr>
      <w:r>
        <w:rPr/>
        <w:t>En la planeación urbana predomina la visión económica, por lo que mientras no      se integren los tres factores: social, económico y ambiental, no se puede alcanzar       la planeación sustentable. Si bien se ha insertado el concepto de desarrollo regional sustentable</w:t>
      </w:r>
      <w:r>
        <w:rPr>
          <w:spacing w:val="-10"/>
        </w:rPr>
        <w:t> </w:t>
      </w:r>
      <w:r>
        <w:rPr/>
        <w:t>en</w:t>
      </w:r>
      <w:r>
        <w:rPr>
          <w:spacing w:val="-10"/>
        </w:rPr>
        <w:t> </w:t>
      </w:r>
      <w:r>
        <w:rPr/>
        <w:t>los</w:t>
      </w:r>
      <w:r>
        <w:rPr>
          <w:spacing w:val="-10"/>
        </w:rPr>
        <w:t> </w:t>
      </w:r>
      <w:r>
        <w:rPr/>
        <w:t>planes,</w:t>
      </w:r>
      <w:r>
        <w:rPr>
          <w:spacing w:val="-10"/>
        </w:rPr>
        <w:t> </w:t>
      </w:r>
      <w:r>
        <w:rPr/>
        <w:t>lo</w:t>
      </w:r>
      <w:r>
        <w:rPr>
          <w:spacing w:val="-10"/>
        </w:rPr>
        <w:t> </w:t>
      </w:r>
      <w:r>
        <w:rPr/>
        <w:t>cual</w:t>
      </w:r>
      <w:r>
        <w:rPr>
          <w:spacing w:val="-10"/>
        </w:rPr>
        <w:t> </w:t>
      </w:r>
      <w:r>
        <w:rPr/>
        <w:t>es</w:t>
      </w:r>
      <w:r>
        <w:rPr>
          <w:spacing w:val="-10"/>
        </w:rPr>
        <w:t> </w:t>
      </w:r>
      <w:r>
        <w:rPr/>
        <w:t>un</w:t>
      </w:r>
      <w:r>
        <w:rPr>
          <w:spacing w:val="-10"/>
        </w:rPr>
        <w:t> </w:t>
      </w:r>
      <w:r>
        <w:rPr/>
        <w:t>intento</w:t>
      </w:r>
      <w:r>
        <w:rPr>
          <w:spacing w:val="-10"/>
        </w:rPr>
        <w:t> </w:t>
      </w:r>
      <w:r>
        <w:rPr/>
        <w:t>de</w:t>
      </w:r>
      <w:r>
        <w:rPr>
          <w:spacing w:val="-10"/>
        </w:rPr>
        <w:t> </w:t>
      </w:r>
      <w:r>
        <w:rPr/>
        <w:t>agregar</w:t>
      </w:r>
      <w:r>
        <w:rPr>
          <w:spacing w:val="-10"/>
        </w:rPr>
        <w:t> </w:t>
      </w:r>
      <w:r>
        <w:rPr/>
        <w:t>algunos</w:t>
      </w:r>
      <w:r>
        <w:rPr>
          <w:spacing w:val="-10"/>
        </w:rPr>
        <w:t> </w:t>
      </w:r>
      <w:r>
        <w:rPr/>
        <w:t>factores</w:t>
      </w:r>
      <w:r>
        <w:rPr>
          <w:spacing w:val="-10"/>
        </w:rPr>
        <w:t> </w:t>
      </w:r>
      <w:r>
        <w:rPr/>
        <w:t>ambientales pero con un alto grado de generalidad e imprecisión. Por lo tanto, el monitoreo y evaluación de políticas ambientales, son deficientes en su planteamiento y en los resultados. En suma, en los documentos de planeación sólo está contemplado el pre- concepto</w:t>
      </w:r>
      <w:r>
        <w:rPr>
          <w:spacing w:val="-14"/>
        </w:rPr>
        <w:t> </w:t>
      </w:r>
      <w:r>
        <w:rPr/>
        <w:t>de</w:t>
      </w:r>
      <w:r>
        <w:rPr>
          <w:spacing w:val="-14"/>
        </w:rPr>
        <w:t> </w:t>
      </w:r>
      <w:r>
        <w:rPr/>
        <w:t>sustentabilidad.</w:t>
      </w:r>
      <w:r>
        <w:rPr>
          <w:spacing w:val="-14"/>
        </w:rPr>
        <w:t> </w:t>
      </w:r>
      <w:r>
        <w:rPr/>
        <w:t>El</w:t>
      </w:r>
      <w:r>
        <w:rPr>
          <w:spacing w:val="-14"/>
        </w:rPr>
        <w:t> </w:t>
      </w:r>
      <w:r>
        <w:rPr/>
        <w:t>nivel</w:t>
      </w:r>
      <w:r>
        <w:rPr>
          <w:spacing w:val="-14"/>
        </w:rPr>
        <w:t> </w:t>
      </w:r>
      <w:r>
        <w:rPr/>
        <w:t>de</w:t>
      </w:r>
      <w:r>
        <w:rPr>
          <w:spacing w:val="-14"/>
        </w:rPr>
        <w:t> </w:t>
      </w:r>
      <w:r>
        <w:rPr/>
        <w:t>desarrollo</w:t>
      </w:r>
      <w:r>
        <w:rPr>
          <w:spacing w:val="-14"/>
        </w:rPr>
        <w:t> </w:t>
      </w:r>
      <w:r>
        <w:rPr/>
        <w:t>y</w:t>
      </w:r>
      <w:r>
        <w:rPr>
          <w:spacing w:val="-14"/>
        </w:rPr>
        <w:t> </w:t>
      </w:r>
      <w:r>
        <w:rPr/>
        <w:t>generación</w:t>
      </w:r>
      <w:r>
        <w:rPr>
          <w:spacing w:val="-14"/>
        </w:rPr>
        <w:t> </w:t>
      </w:r>
      <w:r>
        <w:rPr/>
        <w:t>de</w:t>
      </w:r>
      <w:r>
        <w:rPr>
          <w:spacing w:val="-14"/>
        </w:rPr>
        <w:t> </w:t>
      </w:r>
      <w:r>
        <w:rPr/>
        <w:t>políticas</w:t>
      </w:r>
      <w:r>
        <w:rPr>
          <w:spacing w:val="-14"/>
        </w:rPr>
        <w:t> </w:t>
      </w:r>
      <w:r>
        <w:rPr/>
        <w:t>ambientales deben vincularse con el avance de la concepción de la complejidad ambiental global internacional como factor de desarrollo y seguridad </w:t>
      </w:r>
      <w:r>
        <w:rPr>
          <w:spacing w:val="8"/>
        </w:rPr>
        <w:t> </w:t>
      </w:r>
      <w:r>
        <w:rPr/>
        <w:t>nacionales.</w:t>
      </w:r>
    </w:p>
    <w:p>
      <w:pPr>
        <w:pStyle w:val="BodyText"/>
        <w:spacing w:before="11"/>
      </w:pPr>
    </w:p>
    <w:p>
      <w:pPr>
        <w:pStyle w:val="BodyText"/>
        <w:spacing w:line="249" w:lineRule="auto"/>
        <w:ind w:left="140" w:firstLine="170"/>
        <w:jc w:val="both"/>
      </w:pPr>
      <w:r>
        <w:rPr/>
        <w:t>Más acuciante es la ausencia de una visión ambiental metropolitana sustentable,  ello torna difícil el análisis de la medición de la sustentabilidad. De tal forma que apenas inician las acciones sustentables en la ZMT por parte de los actores tanto gubernamentales como institucionales, existiendo disparidades entre los componentes del</w:t>
      </w:r>
      <w:r>
        <w:rPr>
          <w:spacing w:val="-14"/>
        </w:rPr>
        <w:t> </w:t>
      </w:r>
      <w:r>
        <w:rPr/>
        <w:t>diagnóstico</w:t>
      </w:r>
      <w:r>
        <w:rPr>
          <w:spacing w:val="-14"/>
        </w:rPr>
        <w:t> </w:t>
      </w:r>
      <w:r>
        <w:rPr/>
        <w:t>ambiental,</w:t>
      </w:r>
      <w:r>
        <w:rPr>
          <w:spacing w:val="-14"/>
        </w:rPr>
        <w:t> </w:t>
      </w:r>
      <w:r>
        <w:rPr/>
        <w:t>las</w:t>
      </w:r>
      <w:r>
        <w:rPr>
          <w:spacing w:val="-14"/>
        </w:rPr>
        <w:t> </w:t>
      </w:r>
      <w:r>
        <w:rPr/>
        <w:t>respuestas</w:t>
      </w:r>
      <w:r>
        <w:rPr>
          <w:spacing w:val="-14"/>
        </w:rPr>
        <w:t> </w:t>
      </w:r>
      <w:r>
        <w:rPr/>
        <w:t>correspondientes</w:t>
      </w:r>
      <w:r>
        <w:rPr>
          <w:spacing w:val="-14"/>
        </w:rPr>
        <w:t> </w:t>
      </w:r>
      <w:r>
        <w:rPr/>
        <w:t>y</w:t>
      </w:r>
      <w:r>
        <w:rPr>
          <w:spacing w:val="-14"/>
        </w:rPr>
        <w:t> </w:t>
      </w:r>
      <w:r>
        <w:rPr/>
        <w:t>ausencia</w:t>
      </w:r>
      <w:r>
        <w:rPr>
          <w:spacing w:val="-14"/>
        </w:rPr>
        <w:t> </w:t>
      </w:r>
      <w:r>
        <w:rPr/>
        <w:t>de</w:t>
      </w:r>
      <w:r>
        <w:rPr>
          <w:spacing w:val="-14"/>
        </w:rPr>
        <w:t> </w:t>
      </w:r>
      <w:r>
        <w:rPr/>
        <w:t>seguimientos. Ello es comprobado en materia de agua, aire y</w:t>
      </w:r>
      <w:r>
        <w:rPr>
          <w:spacing w:val="16"/>
        </w:rPr>
        <w:t> </w:t>
      </w:r>
      <w:r>
        <w:rPr/>
        <w:t>suelo.</w:t>
      </w:r>
    </w:p>
    <w:p>
      <w:pPr>
        <w:pStyle w:val="BodyText"/>
        <w:spacing w:before="11"/>
      </w:pPr>
    </w:p>
    <w:p>
      <w:pPr>
        <w:pStyle w:val="BodyText"/>
        <w:spacing w:line="249" w:lineRule="auto"/>
        <w:ind w:left="140" w:firstLine="170"/>
        <w:jc w:val="both"/>
      </w:pPr>
      <w:r>
        <w:rPr/>
        <w:t>Las políticas ambientales de mitigación no se encontraron incorporadas dentro del marco de planeación para ninguna de las variables ambientales aquí revisadas, todas las leyes y reglamentos son de orden nacional, y en algunos casos, a nivel estatal. Examinados los factores ambientales, desde su diagnóstico hasta su respuesta operacional y normativa, se concluye que no existen criterios claros de evaluación</w:t>
      </w:r>
    </w:p>
    <w:p>
      <w:pPr>
        <w:pStyle w:val="BodyText"/>
        <w:spacing w:line="249" w:lineRule="auto" w:before="109"/>
        <w:ind w:left="140" w:right="127"/>
        <w:jc w:val="both"/>
      </w:pPr>
      <w:r>
        <w:rPr/>
        <w:br w:type="column"/>
      </w:r>
      <w:r>
        <w:rPr/>
        <w:t>ambiental en materia de aire, suelo y agua. Además, con respecto a los niveles de gobierno y sectores de administración, no hay integración, cooperación, coordinación, elementos necesarios para una planeación sustentable.</w:t>
      </w:r>
    </w:p>
    <w:p>
      <w:pPr>
        <w:pStyle w:val="BodyText"/>
        <w:spacing w:before="11"/>
      </w:pPr>
    </w:p>
    <w:p>
      <w:pPr>
        <w:pStyle w:val="BodyText"/>
        <w:spacing w:line="249" w:lineRule="auto"/>
        <w:ind w:left="140" w:right="127" w:firstLine="170"/>
        <w:jc w:val="both"/>
      </w:pPr>
      <w:r>
        <w:rPr/>
        <w:t>Finalmente, entendiendo al desarrollo sustentable como un proceso, y respondiendo a los objetivos, la planeación urbana sustentable, en la Zona Metropolitana de Toluca es incipiente, de la misma forma que lo es para México, ya que se ha estancado en    el nivel conceptual y de un diagnóstico heterogéneo inconsistente, sin dar paso al operacional de autoevaluación de acciones de </w:t>
      </w:r>
      <w:r>
        <w:rPr>
          <w:spacing w:val="4"/>
        </w:rPr>
        <w:t> </w:t>
      </w:r>
      <w:r>
        <w:rPr/>
        <w:t>mitigación.</w:t>
      </w:r>
    </w:p>
    <w:p>
      <w:pPr>
        <w:pStyle w:val="BodyText"/>
        <w:spacing w:before="11"/>
      </w:pPr>
    </w:p>
    <w:p>
      <w:pPr>
        <w:pStyle w:val="BodyText"/>
        <w:spacing w:line="249" w:lineRule="auto"/>
        <w:ind w:left="140" w:right="127" w:firstLine="170"/>
        <w:jc w:val="both"/>
      </w:pPr>
      <w:r>
        <w:rPr/>
        <w:t>En lo espacial ambiental, las instituciones públicas aún no precisan el espacio de aplicación, lo cual dificulta que se lleve a cabo una adecuada instrumentación,</w:t>
      </w:r>
      <w:r>
        <w:rPr>
          <w:spacing w:val="-33"/>
        </w:rPr>
        <w:t> </w:t>
      </w:r>
      <w:r>
        <w:rPr/>
        <w:t>aquellos que ya se han empezado a instrumentar y gestionar en forma sectorial, requieren de evaluación para verificar metas. En este sentido, los </w:t>
      </w:r>
      <w:r>
        <w:rPr>
          <w:i/>
        </w:rPr>
        <w:t>policy makers </w:t>
      </w:r>
      <w:r>
        <w:rPr/>
        <w:t>juegan un papel importante para lograr la equidad intergeneracional como lo expresa el desarrollo sustentable.</w:t>
      </w:r>
    </w:p>
    <w:p>
      <w:pPr>
        <w:spacing w:after="0" w:line="249" w:lineRule="auto"/>
        <w:jc w:val="both"/>
        <w:sectPr>
          <w:type w:val="continuous"/>
          <w:pgSz w:w="18830" w:h="12760" w:orient="landscape"/>
          <w:pgMar w:top="1420" w:bottom="280" w:left="720" w:right="720"/>
          <w:cols w:num="2" w:equalWidth="0">
            <w:col w:w="7852" w:space="1549"/>
            <w:col w:w="7989"/>
          </w:cols>
        </w:sectPr>
      </w:pPr>
    </w:p>
    <w:p>
      <w:pPr>
        <w:pStyle w:val="BodyText"/>
        <w:spacing w:before="8"/>
      </w:pPr>
    </w:p>
    <w:p>
      <w:pPr>
        <w:spacing w:after="0"/>
        <w:sectPr>
          <w:footerReference w:type="default" r:id="rId447"/>
          <w:pgSz w:w="18830" w:h="12760" w:orient="landscape"/>
          <w:pgMar w:footer="1036" w:header="522" w:top="820" w:bottom="1220" w:left="720" w:right="720"/>
        </w:sectPr>
      </w:pPr>
    </w:p>
    <w:p>
      <w:pPr>
        <w:pStyle w:val="Heading1"/>
        <w:spacing w:before="71"/>
        <w:ind w:left="299" w:right="-12"/>
      </w:pPr>
      <w:r>
        <w:rPr/>
        <w:t>Referencias bibliográficas</w:t>
      </w:r>
    </w:p>
    <w:p>
      <w:pPr>
        <w:pStyle w:val="BodyText"/>
        <w:rPr>
          <w:b/>
          <w:sz w:val="21"/>
        </w:rPr>
      </w:pPr>
    </w:p>
    <w:p>
      <w:pPr>
        <w:spacing w:line="249" w:lineRule="auto" w:before="0"/>
        <w:ind w:left="752" w:right="1" w:hanging="624"/>
        <w:jc w:val="both"/>
        <w:rPr>
          <w:sz w:val="20"/>
        </w:rPr>
      </w:pPr>
      <w:r>
        <w:rPr>
          <w:sz w:val="20"/>
        </w:rPr>
        <w:t>Aranda, J. M., (2000) </w:t>
      </w:r>
      <w:r>
        <w:rPr>
          <w:i/>
          <w:sz w:val="20"/>
        </w:rPr>
        <w:t>Conformación de la Zona Metropolitana de Toluca</w:t>
      </w:r>
      <w:r>
        <w:rPr>
          <w:sz w:val="20"/>
        </w:rPr>
        <w:t>, 1960-1990, UAEM.</w:t>
      </w:r>
    </w:p>
    <w:p>
      <w:pPr>
        <w:pStyle w:val="BodyText"/>
        <w:spacing w:before="11"/>
      </w:pPr>
    </w:p>
    <w:p>
      <w:pPr>
        <w:spacing w:line="249" w:lineRule="auto" w:before="0"/>
        <w:ind w:left="752" w:right="0" w:hanging="624"/>
        <w:jc w:val="both"/>
        <w:rPr>
          <w:sz w:val="20"/>
        </w:rPr>
      </w:pPr>
      <w:r>
        <w:rPr>
          <w:sz w:val="20"/>
        </w:rPr>
        <w:t>Arteaga, N. y S. Alfaro, (2001). </w:t>
      </w:r>
      <w:r>
        <w:rPr>
          <w:i/>
          <w:sz w:val="20"/>
        </w:rPr>
        <w:t>Disparidades regionales en la zona metropolitana de </w:t>
      </w:r>
      <w:r>
        <w:rPr>
          <w:i/>
          <w:sz w:val="20"/>
        </w:rPr>
        <w:t>Toluca. </w:t>
      </w:r>
      <w:r>
        <w:rPr>
          <w:sz w:val="20"/>
        </w:rPr>
        <w:t>Toluca, Estado de México: U.A.E.M</w:t>
      </w:r>
    </w:p>
    <w:p>
      <w:pPr>
        <w:pStyle w:val="BodyText"/>
        <w:spacing w:before="11"/>
      </w:pPr>
    </w:p>
    <w:p>
      <w:pPr>
        <w:spacing w:before="0"/>
        <w:ind w:left="129" w:right="-13" w:firstLine="0"/>
        <w:jc w:val="left"/>
        <w:rPr>
          <w:sz w:val="20"/>
        </w:rPr>
      </w:pPr>
      <w:r>
        <w:rPr>
          <w:sz w:val="20"/>
        </w:rPr>
        <w:t>Azqueta,</w:t>
      </w:r>
      <w:r>
        <w:rPr>
          <w:spacing w:val="-21"/>
          <w:sz w:val="20"/>
        </w:rPr>
        <w:t> </w:t>
      </w:r>
      <w:r>
        <w:rPr>
          <w:sz w:val="20"/>
        </w:rPr>
        <w:t>D.,</w:t>
      </w:r>
      <w:r>
        <w:rPr>
          <w:spacing w:val="-21"/>
          <w:sz w:val="20"/>
        </w:rPr>
        <w:t> </w:t>
      </w:r>
      <w:r>
        <w:rPr>
          <w:sz w:val="20"/>
        </w:rPr>
        <w:t>(2007).</w:t>
      </w:r>
      <w:r>
        <w:rPr>
          <w:spacing w:val="-21"/>
          <w:sz w:val="20"/>
        </w:rPr>
        <w:t> </w:t>
      </w:r>
      <w:r>
        <w:rPr>
          <w:i/>
          <w:sz w:val="20"/>
        </w:rPr>
        <w:t>Introducción</w:t>
      </w:r>
      <w:r>
        <w:rPr>
          <w:i/>
          <w:spacing w:val="-21"/>
          <w:sz w:val="20"/>
        </w:rPr>
        <w:t> </w:t>
      </w:r>
      <w:r>
        <w:rPr>
          <w:i/>
          <w:sz w:val="20"/>
        </w:rPr>
        <w:t>a</w:t>
      </w:r>
      <w:r>
        <w:rPr>
          <w:i/>
          <w:spacing w:val="-21"/>
          <w:sz w:val="20"/>
        </w:rPr>
        <w:t> </w:t>
      </w:r>
      <w:r>
        <w:rPr>
          <w:i/>
          <w:sz w:val="20"/>
        </w:rPr>
        <w:t>la</w:t>
      </w:r>
      <w:r>
        <w:rPr>
          <w:i/>
          <w:spacing w:val="-21"/>
          <w:sz w:val="20"/>
        </w:rPr>
        <w:t> </w:t>
      </w:r>
      <w:r>
        <w:rPr>
          <w:i/>
          <w:sz w:val="20"/>
        </w:rPr>
        <w:t>economía</w:t>
      </w:r>
      <w:r>
        <w:rPr>
          <w:i/>
          <w:spacing w:val="-21"/>
          <w:sz w:val="20"/>
        </w:rPr>
        <w:t> </w:t>
      </w:r>
      <w:r>
        <w:rPr>
          <w:i/>
          <w:sz w:val="20"/>
        </w:rPr>
        <w:t>ambiental</w:t>
      </w:r>
      <w:r>
        <w:rPr>
          <w:sz w:val="20"/>
        </w:rPr>
        <w:t>.</w:t>
      </w:r>
      <w:r>
        <w:rPr>
          <w:spacing w:val="-21"/>
          <w:sz w:val="20"/>
        </w:rPr>
        <w:t> </w:t>
      </w:r>
      <w:r>
        <w:rPr>
          <w:sz w:val="20"/>
        </w:rPr>
        <w:t>Madrid,</w:t>
      </w:r>
      <w:r>
        <w:rPr>
          <w:spacing w:val="-21"/>
          <w:sz w:val="20"/>
        </w:rPr>
        <w:t> </w:t>
      </w:r>
      <w:r>
        <w:rPr>
          <w:sz w:val="20"/>
        </w:rPr>
        <w:t>España:</w:t>
      </w:r>
      <w:r>
        <w:rPr>
          <w:spacing w:val="-21"/>
          <w:sz w:val="20"/>
        </w:rPr>
        <w:t> </w:t>
      </w:r>
      <w:r>
        <w:rPr>
          <w:spacing w:val="-2"/>
          <w:sz w:val="20"/>
        </w:rPr>
        <w:t>McGraw-Hill.</w:t>
      </w:r>
    </w:p>
    <w:p>
      <w:pPr>
        <w:pStyle w:val="BodyText"/>
        <w:spacing w:before="8"/>
        <w:rPr>
          <w:sz w:val="21"/>
        </w:rPr>
      </w:pPr>
    </w:p>
    <w:p>
      <w:pPr>
        <w:spacing w:line="249" w:lineRule="auto" w:before="0"/>
        <w:ind w:left="752" w:right="0" w:hanging="624"/>
        <w:jc w:val="both"/>
        <w:rPr>
          <w:sz w:val="20"/>
        </w:rPr>
      </w:pPr>
      <w:r>
        <w:rPr>
          <w:sz w:val="20"/>
        </w:rPr>
        <w:t>Bazant,</w:t>
      </w:r>
      <w:r>
        <w:rPr>
          <w:spacing w:val="-25"/>
          <w:sz w:val="20"/>
        </w:rPr>
        <w:t> </w:t>
      </w:r>
      <w:r>
        <w:rPr>
          <w:sz w:val="20"/>
        </w:rPr>
        <w:t>S.,</w:t>
      </w:r>
      <w:r>
        <w:rPr>
          <w:spacing w:val="-25"/>
          <w:sz w:val="20"/>
        </w:rPr>
        <w:t> </w:t>
      </w:r>
      <w:r>
        <w:rPr>
          <w:sz w:val="20"/>
        </w:rPr>
        <w:t>(2009</w:t>
      </w:r>
      <w:r>
        <w:rPr>
          <w:i/>
          <w:sz w:val="20"/>
        </w:rPr>
        <w:t>).</w:t>
      </w:r>
      <w:r>
        <w:rPr>
          <w:i/>
          <w:spacing w:val="-25"/>
          <w:sz w:val="20"/>
        </w:rPr>
        <w:t> </w:t>
      </w:r>
      <w:r>
        <w:rPr>
          <w:i/>
          <w:sz w:val="20"/>
        </w:rPr>
        <w:t>Periferias</w:t>
      </w:r>
      <w:r>
        <w:rPr>
          <w:i/>
          <w:spacing w:val="-25"/>
          <w:sz w:val="20"/>
        </w:rPr>
        <w:t> </w:t>
      </w:r>
      <w:r>
        <w:rPr>
          <w:i/>
          <w:sz w:val="20"/>
        </w:rPr>
        <w:t>urbanas:</w:t>
      </w:r>
      <w:r>
        <w:rPr>
          <w:i/>
          <w:spacing w:val="-25"/>
          <w:sz w:val="20"/>
        </w:rPr>
        <w:t> </w:t>
      </w:r>
      <w:r>
        <w:rPr>
          <w:i/>
          <w:sz w:val="20"/>
        </w:rPr>
        <w:t>expansión</w:t>
      </w:r>
      <w:r>
        <w:rPr>
          <w:i/>
          <w:spacing w:val="-25"/>
          <w:sz w:val="20"/>
        </w:rPr>
        <w:t> </w:t>
      </w:r>
      <w:r>
        <w:rPr>
          <w:i/>
          <w:sz w:val="20"/>
        </w:rPr>
        <w:t>urbana</w:t>
      </w:r>
      <w:r>
        <w:rPr>
          <w:i/>
          <w:spacing w:val="-25"/>
          <w:sz w:val="20"/>
        </w:rPr>
        <w:t> </w:t>
      </w:r>
      <w:r>
        <w:rPr>
          <w:i/>
          <w:sz w:val="20"/>
        </w:rPr>
        <w:t>incontrolada</w:t>
      </w:r>
      <w:r>
        <w:rPr>
          <w:i/>
          <w:spacing w:val="-25"/>
          <w:sz w:val="20"/>
        </w:rPr>
        <w:t> </w:t>
      </w:r>
      <w:r>
        <w:rPr>
          <w:i/>
          <w:sz w:val="20"/>
        </w:rPr>
        <w:t>de</w:t>
      </w:r>
      <w:r>
        <w:rPr>
          <w:i/>
          <w:spacing w:val="-25"/>
          <w:sz w:val="20"/>
        </w:rPr>
        <w:t> </w:t>
      </w:r>
      <w:r>
        <w:rPr>
          <w:i/>
          <w:sz w:val="20"/>
        </w:rPr>
        <w:t>bajos</w:t>
      </w:r>
      <w:r>
        <w:rPr>
          <w:i/>
          <w:spacing w:val="-25"/>
          <w:sz w:val="20"/>
        </w:rPr>
        <w:t> </w:t>
      </w:r>
      <w:r>
        <w:rPr>
          <w:i/>
          <w:sz w:val="20"/>
        </w:rPr>
        <w:t>ingresos</w:t>
      </w:r>
      <w:r>
        <w:rPr>
          <w:i/>
          <w:spacing w:val="-25"/>
          <w:sz w:val="20"/>
        </w:rPr>
        <w:t> </w:t>
      </w:r>
      <w:r>
        <w:rPr>
          <w:i/>
          <w:sz w:val="20"/>
        </w:rPr>
        <w:t>y </w:t>
      </w:r>
      <w:r>
        <w:rPr>
          <w:i/>
          <w:sz w:val="20"/>
        </w:rPr>
        <w:t>su</w:t>
      </w:r>
      <w:r>
        <w:rPr>
          <w:i/>
          <w:spacing w:val="-10"/>
          <w:sz w:val="20"/>
        </w:rPr>
        <w:t> </w:t>
      </w:r>
      <w:r>
        <w:rPr>
          <w:i/>
          <w:sz w:val="20"/>
        </w:rPr>
        <w:t>impacto</w:t>
      </w:r>
      <w:r>
        <w:rPr>
          <w:i/>
          <w:spacing w:val="-10"/>
          <w:sz w:val="20"/>
        </w:rPr>
        <w:t> </w:t>
      </w:r>
      <w:r>
        <w:rPr>
          <w:i/>
          <w:sz w:val="20"/>
        </w:rPr>
        <w:t>en</w:t>
      </w:r>
      <w:r>
        <w:rPr>
          <w:i/>
          <w:spacing w:val="-10"/>
          <w:sz w:val="20"/>
        </w:rPr>
        <w:t> </w:t>
      </w:r>
      <w:r>
        <w:rPr>
          <w:i/>
          <w:sz w:val="20"/>
        </w:rPr>
        <w:t>el</w:t>
      </w:r>
      <w:r>
        <w:rPr>
          <w:i/>
          <w:spacing w:val="-10"/>
          <w:sz w:val="20"/>
        </w:rPr>
        <w:t> </w:t>
      </w:r>
      <w:r>
        <w:rPr>
          <w:i/>
          <w:sz w:val="20"/>
        </w:rPr>
        <w:t>medio</w:t>
      </w:r>
      <w:r>
        <w:rPr>
          <w:i/>
          <w:spacing w:val="-10"/>
          <w:sz w:val="20"/>
        </w:rPr>
        <w:t> </w:t>
      </w:r>
      <w:r>
        <w:rPr>
          <w:i/>
          <w:sz w:val="20"/>
        </w:rPr>
        <w:t>ambiente</w:t>
      </w:r>
      <w:r>
        <w:rPr>
          <w:i/>
          <w:spacing w:val="-10"/>
          <w:sz w:val="20"/>
        </w:rPr>
        <w:t> </w:t>
      </w:r>
      <w:r>
        <w:rPr>
          <w:sz w:val="20"/>
        </w:rPr>
        <w:t>Trillas.</w:t>
      </w:r>
      <w:r>
        <w:rPr>
          <w:spacing w:val="-10"/>
          <w:sz w:val="20"/>
        </w:rPr>
        <w:t> </w:t>
      </w:r>
      <w:r>
        <w:rPr>
          <w:sz w:val="20"/>
        </w:rPr>
        <w:t>México.</w:t>
      </w:r>
    </w:p>
    <w:p>
      <w:pPr>
        <w:pStyle w:val="BodyText"/>
        <w:spacing w:before="11"/>
      </w:pPr>
    </w:p>
    <w:p>
      <w:pPr>
        <w:spacing w:line="249" w:lineRule="auto" w:before="0"/>
        <w:ind w:left="752" w:right="1" w:hanging="624"/>
        <w:jc w:val="both"/>
        <w:rPr>
          <w:sz w:val="20"/>
        </w:rPr>
      </w:pPr>
      <w:r>
        <w:rPr>
          <w:sz w:val="20"/>
        </w:rPr>
        <w:t>Bianet J. K., Kaneko, H., Fujikura, R., Fujiwara, A., Imai, T., Matsumoto, T., Zhang </w:t>
      </w:r>
      <w:r>
        <w:rPr>
          <w:spacing w:val="-2"/>
          <w:sz w:val="20"/>
        </w:rPr>
        <w:t>J., </w:t>
      </w:r>
      <w:r>
        <w:rPr>
          <w:sz w:val="20"/>
        </w:rPr>
        <w:t>Tanikawa, H., Tanaka K., Lee, B., y Taniguch, M. (2009). </w:t>
      </w:r>
      <w:r>
        <w:rPr>
          <w:i/>
          <w:sz w:val="20"/>
        </w:rPr>
        <w:t>Urbanization </w:t>
      </w:r>
      <w:r>
        <w:rPr>
          <w:i/>
          <w:spacing w:val="-2"/>
          <w:sz w:val="20"/>
        </w:rPr>
        <w:t>and </w:t>
      </w:r>
      <w:r>
        <w:rPr>
          <w:i/>
          <w:sz w:val="20"/>
        </w:rPr>
        <w:t>subsurface</w:t>
      </w:r>
      <w:r>
        <w:rPr>
          <w:i/>
          <w:spacing w:val="-18"/>
          <w:sz w:val="20"/>
        </w:rPr>
        <w:t> </w:t>
      </w:r>
      <w:r>
        <w:rPr>
          <w:i/>
          <w:sz w:val="20"/>
        </w:rPr>
        <w:t>environmental</w:t>
      </w:r>
      <w:r>
        <w:rPr>
          <w:i/>
          <w:spacing w:val="-18"/>
          <w:sz w:val="20"/>
        </w:rPr>
        <w:t> </w:t>
      </w:r>
      <w:r>
        <w:rPr>
          <w:i/>
          <w:sz w:val="20"/>
        </w:rPr>
        <w:t>issues:</w:t>
      </w:r>
      <w:r>
        <w:rPr>
          <w:i/>
          <w:spacing w:val="-18"/>
          <w:sz w:val="20"/>
        </w:rPr>
        <w:t> </w:t>
      </w:r>
      <w:r>
        <w:rPr>
          <w:i/>
          <w:sz w:val="20"/>
        </w:rPr>
        <w:t>An</w:t>
      </w:r>
      <w:r>
        <w:rPr>
          <w:i/>
          <w:spacing w:val="-18"/>
          <w:sz w:val="20"/>
        </w:rPr>
        <w:t> </w:t>
      </w:r>
      <w:r>
        <w:rPr>
          <w:i/>
          <w:sz w:val="20"/>
        </w:rPr>
        <w:t>attempt</w:t>
      </w:r>
      <w:r>
        <w:rPr>
          <w:i/>
          <w:spacing w:val="-18"/>
          <w:sz w:val="20"/>
        </w:rPr>
        <w:t> </w:t>
      </w:r>
      <w:r>
        <w:rPr>
          <w:i/>
          <w:sz w:val="20"/>
        </w:rPr>
        <w:t>at</w:t>
      </w:r>
      <w:r>
        <w:rPr>
          <w:i/>
          <w:spacing w:val="-18"/>
          <w:sz w:val="20"/>
        </w:rPr>
        <w:t> </w:t>
      </w:r>
      <w:r>
        <w:rPr>
          <w:i/>
          <w:sz w:val="20"/>
        </w:rPr>
        <w:t>DPSIR</w:t>
      </w:r>
      <w:r>
        <w:rPr>
          <w:i/>
          <w:spacing w:val="-18"/>
          <w:sz w:val="20"/>
        </w:rPr>
        <w:t> </w:t>
      </w:r>
      <w:r>
        <w:rPr>
          <w:i/>
          <w:sz w:val="20"/>
        </w:rPr>
        <w:t>model</w:t>
      </w:r>
      <w:r>
        <w:rPr>
          <w:i/>
          <w:spacing w:val="-18"/>
          <w:sz w:val="20"/>
        </w:rPr>
        <w:t> </w:t>
      </w:r>
      <w:r>
        <w:rPr>
          <w:i/>
          <w:sz w:val="20"/>
        </w:rPr>
        <w:t>application</w:t>
      </w:r>
      <w:r>
        <w:rPr>
          <w:i/>
          <w:spacing w:val="-18"/>
          <w:sz w:val="20"/>
        </w:rPr>
        <w:t> </w:t>
      </w:r>
      <w:r>
        <w:rPr>
          <w:i/>
          <w:sz w:val="20"/>
        </w:rPr>
        <w:t>in</w:t>
      </w:r>
      <w:r>
        <w:rPr>
          <w:i/>
          <w:spacing w:val="-18"/>
          <w:sz w:val="20"/>
        </w:rPr>
        <w:t> </w:t>
      </w:r>
      <w:r>
        <w:rPr>
          <w:i/>
          <w:sz w:val="20"/>
        </w:rPr>
        <w:t>Asian cities.</w:t>
      </w:r>
      <w:r>
        <w:rPr>
          <w:i/>
          <w:spacing w:val="-13"/>
          <w:sz w:val="20"/>
        </w:rPr>
        <w:t> </w:t>
      </w:r>
      <w:r>
        <w:rPr>
          <w:sz w:val="20"/>
        </w:rPr>
        <w:t>Science</w:t>
      </w:r>
      <w:r>
        <w:rPr>
          <w:spacing w:val="-13"/>
          <w:sz w:val="20"/>
        </w:rPr>
        <w:t> </w:t>
      </w:r>
      <w:r>
        <w:rPr>
          <w:sz w:val="20"/>
        </w:rPr>
        <w:t>of</w:t>
      </w:r>
      <w:r>
        <w:rPr>
          <w:spacing w:val="-13"/>
          <w:sz w:val="20"/>
        </w:rPr>
        <w:t> </w:t>
      </w:r>
      <w:r>
        <w:rPr>
          <w:sz w:val="20"/>
        </w:rPr>
        <w:t>the</w:t>
      </w:r>
      <w:r>
        <w:rPr>
          <w:spacing w:val="-13"/>
          <w:sz w:val="20"/>
        </w:rPr>
        <w:t> </w:t>
      </w:r>
      <w:r>
        <w:rPr>
          <w:sz w:val="20"/>
        </w:rPr>
        <w:t>total</w:t>
      </w:r>
      <w:r>
        <w:rPr>
          <w:spacing w:val="-13"/>
          <w:sz w:val="20"/>
        </w:rPr>
        <w:t> </w:t>
      </w:r>
      <w:r>
        <w:rPr>
          <w:sz w:val="20"/>
        </w:rPr>
        <w:t>environment</w:t>
      </w:r>
      <w:r>
        <w:rPr>
          <w:spacing w:val="32"/>
          <w:sz w:val="20"/>
        </w:rPr>
        <w:t> </w:t>
      </w:r>
      <w:r>
        <w:rPr>
          <w:sz w:val="20"/>
        </w:rPr>
        <w:t>(407),</w:t>
      </w:r>
      <w:r>
        <w:rPr>
          <w:spacing w:val="-13"/>
          <w:sz w:val="20"/>
        </w:rPr>
        <w:t> </w:t>
      </w:r>
      <w:r>
        <w:rPr>
          <w:sz w:val="20"/>
        </w:rPr>
        <w:t>3089</w:t>
      </w:r>
      <w:r>
        <w:rPr>
          <w:spacing w:val="-13"/>
          <w:sz w:val="20"/>
        </w:rPr>
        <w:t> </w:t>
      </w:r>
      <w:r>
        <w:rPr>
          <w:sz w:val="20"/>
        </w:rPr>
        <w:t>–</w:t>
      </w:r>
      <w:r>
        <w:rPr>
          <w:spacing w:val="-13"/>
          <w:sz w:val="20"/>
        </w:rPr>
        <w:t> </w:t>
      </w:r>
      <w:r>
        <w:rPr>
          <w:sz w:val="20"/>
        </w:rPr>
        <w:t>3104.</w:t>
      </w:r>
    </w:p>
    <w:p>
      <w:pPr>
        <w:pStyle w:val="BodyText"/>
        <w:spacing w:before="11"/>
      </w:pPr>
    </w:p>
    <w:p>
      <w:pPr>
        <w:spacing w:before="0"/>
        <w:ind w:left="129" w:right="-12" w:firstLine="0"/>
        <w:jc w:val="left"/>
        <w:rPr>
          <w:sz w:val="20"/>
        </w:rPr>
      </w:pPr>
      <w:r>
        <w:rPr>
          <w:sz w:val="20"/>
        </w:rPr>
        <w:t>Camagni, R., (2005): </w:t>
      </w:r>
      <w:r>
        <w:rPr>
          <w:i/>
          <w:sz w:val="20"/>
        </w:rPr>
        <w:t>Economía urbana</w:t>
      </w:r>
      <w:r>
        <w:rPr>
          <w:sz w:val="20"/>
        </w:rPr>
        <w:t>. Antoni Bosch editor. España.</w:t>
      </w:r>
    </w:p>
    <w:p>
      <w:pPr>
        <w:pStyle w:val="BodyText"/>
        <w:spacing w:before="8"/>
        <w:rPr>
          <w:sz w:val="21"/>
        </w:rPr>
      </w:pPr>
    </w:p>
    <w:p>
      <w:pPr>
        <w:spacing w:line="249" w:lineRule="auto" w:before="0"/>
        <w:ind w:left="752" w:right="1" w:hanging="624"/>
        <w:jc w:val="both"/>
        <w:rPr>
          <w:sz w:val="20"/>
        </w:rPr>
      </w:pPr>
      <w:r>
        <w:rPr>
          <w:sz w:val="20"/>
        </w:rPr>
        <w:t>Comisión del Agua del Estado de México, CAEM. (2011</w:t>
      </w:r>
      <w:r>
        <w:rPr>
          <w:i/>
          <w:sz w:val="20"/>
        </w:rPr>
        <w:t>). Cuenta pública del gobierno </w:t>
      </w:r>
      <w:r>
        <w:rPr>
          <w:i/>
          <w:sz w:val="20"/>
        </w:rPr>
        <w:t>y auxiliares</w:t>
      </w:r>
      <w:r>
        <w:rPr>
          <w:sz w:val="20"/>
        </w:rPr>
        <w:t>. Gobierno del Estado de México. México.Dopico J., e Iglesias, G., (2010)</w:t>
      </w:r>
      <w:r>
        <w:rPr>
          <w:i/>
          <w:sz w:val="20"/>
        </w:rPr>
        <w:t>. Economía sostenible. Teoría y política. </w:t>
      </w:r>
      <w:r>
        <w:rPr>
          <w:sz w:val="20"/>
        </w:rPr>
        <w:t>Netbiblo editorial. España.</w:t>
      </w:r>
    </w:p>
    <w:p>
      <w:pPr>
        <w:pStyle w:val="BodyText"/>
        <w:spacing w:before="11"/>
      </w:pPr>
    </w:p>
    <w:p>
      <w:pPr>
        <w:pStyle w:val="BodyText"/>
        <w:spacing w:line="249" w:lineRule="auto"/>
        <w:ind w:left="752" w:right="1" w:hanging="624"/>
        <w:jc w:val="both"/>
      </w:pPr>
      <w:r>
        <w:rPr/>
        <w:t>Escobar, J., (2007). El desarrollo sustentable en México (1980-2007). Universidad Autónoma del Estado de México. Revista Digital Universitaria 9(3):1-13.</w:t>
      </w:r>
    </w:p>
    <w:p>
      <w:pPr>
        <w:pStyle w:val="BodyText"/>
        <w:spacing w:before="11"/>
      </w:pPr>
    </w:p>
    <w:p>
      <w:pPr>
        <w:spacing w:line="249" w:lineRule="auto" w:before="0"/>
        <w:ind w:left="752" w:right="0" w:hanging="624"/>
        <w:jc w:val="both"/>
        <w:rPr>
          <w:sz w:val="20"/>
        </w:rPr>
      </w:pPr>
      <w:r>
        <w:rPr>
          <w:sz w:val="20"/>
        </w:rPr>
        <w:t>Ferrusca, F., Cordero, E. (2011). </w:t>
      </w:r>
      <w:r>
        <w:rPr>
          <w:i/>
          <w:sz w:val="20"/>
        </w:rPr>
        <w:t>Políticas públicas, proceso de metropolización y </w:t>
      </w:r>
      <w:r>
        <w:rPr>
          <w:i/>
          <w:sz w:val="20"/>
        </w:rPr>
        <w:t>desarrollo</w:t>
      </w:r>
      <w:r>
        <w:rPr>
          <w:i/>
          <w:spacing w:val="-40"/>
          <w:sz w:val="20"/>
        </w:rPr>
        <w:t> </w:t>
      </w:r>
      <w:r>
        <w:rPr>
          <w:i/>
          <w:sz w:val="20"/>
        </w:rPr>
        <w:t>sustentable.</w:t>
      </w:r>
      <w:r>
        <w:rPr>
          <w:i/>
          <w:spacing w:val="-40"/>
          <w:sz w:val="20"/>
        </w:rPr>
        <w:t> </w:t>
      </w:r>
      <w:r>
        <w:rPr>
          <w:sz w:val="20"/>
        </w:rPr>
        <w:t>En</w:t>
      </w:r>
      <w:r>
        <w:rPr>
          <w:spacing w:val="-40"/>
          <w:sz w:val="20"/>
        </w:rPr>
        <w:t> </w:t>
      </w:r>
      <w:r>
        <w:rPr>
          <w:i/>
          <w:sz w:val="20"/>
        </w:rPr>
        <w:t>Quivera</w:t>
      </w:r>
      <w:r>
        <w:rPr>
          <w:i/>
          <w:spacing w:val="-40"/>
          <w:sz w:val="20"/>
        </w:rPr>
        <w:t> </w:t>
      </w:r>
      <w:r>
        <w:rPr>
          <w:sz w:val="20"/>
        </w:rPr>
        <w:t>13(2),</w:t>
      </w:r>
      <w:r>
        <w:rPr>
          <w:spacing w:val="-40"/>
          <w:sz w:val="20"/>
        </w:rPr>
        <w:t> </w:t>
      </w:r>
      <w:r>
        <w:rPr>
          <w:sz w:val="20"/>
        </w:rPr>
        <w:t>134-171.</w:t>
      </w:r>
      <w:r>
        <w:rPr>
          <w:spacing w:val="-40"/>
          <w:sz w:val="20"/>
        </w:rPr>
        <w:t> </w:t>
      </w:r>
      <w:r>
        <w:rPr>
          <w:sz w:val="20"/>
        </w:rPr>
        <w:t>Universidad</w:t>
      </w:r>
      <w:r>
        <w:rPr>
          <w:spacing w:val="-40"/>
          <w:sz w:val="20"/>
        </w:rPr>
        <w:t> </w:t>
      </w:r>
      <w:r>
        <w:rPr>
          <w:sz w:val="20"/>
        </w:rPr>
        <w:t>Nacional</w:t>
      </w:r>
      <w:r>
        <w:rPr>
          <w:spacing w:val="-40"/>
          <w:sz w:val="20"/>
        </w:rPr>
        <w:t> </w:t>
      </w:r>
      <w:r>
        <w:rPr>
          <w:sz w:val="20"/>
        </w:rPr>
        <w:t>Autónoma del Estado de México.</w:t>
      </w:r>
      <w:r>
        <w:rPr>
          <w:spacing w:val="-11"/>
          <w:sz w:val="20"/>
        </w:rPr>
        <w:t> </w:t>
      </w:r>
      <w:r>
        <w:rPr>
          <w:sz w:val="20"/>
        </w:rPr>
        <w:t>México.</w:t>
      </w:r>
    </w:p>
    <w:p>
      <w:pPr>
        <w:pStyle w:val="BodyText"/>
        <w:spacing w:before="11"/>
      </w:pPr>
    </w:p>
    <w:p>
      <w:pPr>
        <w:spacing w:line="249" w:lineRule="auto" w:before="0"/>
        <w:ind w:left="752" w:right="1" w:hanging="624"/>
        <w:jc w:val="both"/>
        <w:rPr>
          <w:sz w:val="20"/>
        </w:rPr>
      </w:pPr>
      <w:r>
        <w:rPr>
          <w:sz w:val="20"/>
        </w:rPr>
        <w:t>Gobierno del Estado de México, GEM. (2005). </w:t>
      </w:r>
      <w:r>
        <w:rPr>
          <w:i/>
          <w:sz w:val="20"/>
        </w:rPr>
        <w:t>Plan Regional de Desarrollo Urbano del</w:t>
      </w:r>
      <w:r>
        <w:rPr>
          <w:i/>
          <w:w w:val="101"/>
          <w:sz w:val="20"/>
        </w:rPr>
        <w:t> </w:t>
      </w:r>
      <w:r>
        <w:rPr>
          <w:i/>
          <w:sz w:val="20"/>
        </w:rPr>
        <w:t>Valle de Toluca</w:t>
      </w:r>
      <w:r>
        <w:rPr>
          <w:sz w:val="20"/>
        </w:rPr>
        <w:t>. México.</w:t>
      </w:r>
    </w:p>
    <w:p>
      <w:pPr>
        <w:pStyle w:val="BodyText"/>
        <w:spacing w:before="11"/>
      </w:pPr>
    </w:p>
    <w:p>
      <w:pPr>
        <w:spacing w:line="249" w:lineRule="auto" w:before="0"/>
        <w:ind w:left="752" w:right="0" w:hanging="624"/>
        <w:jc w:val="both"/>
        <w:rPr>
          <w:sz w:val="20"/>
        </w:rPr>
      </w:pPr>
      <w:r>
        <w:rPr>
          <w:sz w:val="20"/>
        </w:rPr>
        <w:t>Gobierno de los Estados Unidos Mexicanos (2007). </w:t>
      </w:r>
      <w:r>
        <w:rPr>
          <w:i/>
          <w:sz w:val="20"/>
        </w:rPr>
        <w:t>Plan Nacional de Desarrollo 2007- </w:t>
      </w:r>
      <w:r>
        <w:rPr>
          <w:i/>
          <w:sz w:val="20"/>
        </w:rPr>
        <w:t>2012. </w:t>
      </w:r>
      <w:r>
        <w:rPr>
          <w:sz w:val="20"/>
        </w:rPr>
        <w:t>Poder Ejecutivo Federal. México.</w:t>
      </w:r>
    </w:p>
    <w:p>
      <w:pPr>
        <w:pStyle w:val="BodyText"/>
        <w:spacing w:before="11"/>
      </w:pPr>
    </w:p>
    <w:p>
      <w:pPr>
        <w:spacing w:line="249" w:lineRule="auto" w:before="0"/>
        <w:ind w:left="752" w:right="1" w:hanging="624"/>
        <w:jc w:val="both"/>
        <w:rPr>
          <w:sz w:val="20"/>
        </w:rPr>
      </w:pPr>
      <w:r>
        <w:rPr>
          <w:sz w:val="20"/>
        </w:rPr>
        <w:t>Gobierno</w:t>
      </w:r>
      <w:r>
        <w:rPr>
          <w:spacing w:val="-8"/>
          <w:sz w:val="20"/>
        </w:rPr>
        <w:t> </w:t>
      </w:r>
      <w:r>
        <w:rPr>
          <w:sz w:val="20"/>
        </w:rPr>
        <w:t>del</w:t>
      </w:r>
      <w:r>
        <w:rPr>
          <w:spacing w:val="-8"/>
          <w:sz w:val="20"/>
        </w:rPr>
        <w:t> </w:t>
      </w:r>
      <w:r>
        <w:rPr>
          <w:sz w:val="20"/>
        </w:rPr>
        <w:t>Estado</w:t>
      </w:r>
      <w:r>
        <w:rPr>
          <w:spacing w:val="-8"/>
          <w:sz w:val="20"/>
        </w:rPr>
        <w:t> </w:t>
      </w:r>
      <w:r>
        <w:rPr>
          <w:sz w:val="20"/>
        </w:rPr>
        <w:t>de</w:t>
      </w:r>
      <w:r>
        <w:rPr>
          <w:spacing w:val="-8"/>
          <w:sz w:val="20"/>
        </w:rPr>
        <w:t> </w:t>
      </w:r>
      <w:r>
        <w:rPr>
          <w:sz w:val="20"/>
        </w:rPr>
        <w:t>México.</w:t>
      </w:r>
      <w:r>
        <w:rPr>
          <w:spacing w:val="-8"/>
          <w:sz w:val="20"/>
        </w:rPr>
        <w:t> </w:t>
      </w:r>
      <w:r>
        <w:rPr>
          <w:sz w:val="20"/>
        </w:rPr>
        <w:t>(2009).</w:t>
      </w:r>
      <w:r>
        <w:rPr>
          <w:spacing w:val="-8"/>
          <w:sz w:val="20"/>
        </w:rPr>
        <w:t> </w:t>
      </w:r>
      <w:r>
        <w:rPr>
          <w:i/>
          <w:sz w:val="20"/>
        </w:rPr>
        <w:t>Iniciativa</w:t>
      </w:r>
      <w:r>
        <w:rPr>
          <w:i/>
          <w:spacing w:val="-8"/>
          <w:sz w:val="20"/>
        </w:rPr>
        <w:t> </w:t>
      </w:r>
      <w:r>
        <w:rPr>
          <w:i/>
          <w:sz w:val="20"/>
        </w:rPr>
        <w:t>ante</w:t>
      </w:r>
      <w:r>
        <w:rPr>
          <w:i/>
          <w:spacing w:val="-8"/>
          <w:sz w:val="20"/>
        </w:rPr>
        <w:t> </w:t>
      </w:r>
      <w:r>
        <w:rPr>
          <w:i/>
          <w:sz w:val="20"/>
        </w:rPr>
        <w:t>el</w:t>
      </w:r>
      <w:r>
        <w:rPr>
          <w:i/>
          <w:spacing w:val="-8"/>
          <w:sz w:val="20"/>
        </w:rPr>
        <w:t> </w:t>
      </w:r>
      <w:r>
        <w:rPr>
          <w:i/>
          <w:sz w:val="20"/>
        </w:rPr>
        <w:t>Cambio</w:t>
      </w:r>
      <w:r>
        <w:rPr>
          <w:i/>
          <w:spacing w:val="-8"/>
          <w:sz w:val="20"/>
        </w:rPr>
        <w:t> </w:t>
      </w:r>
      <w:r>
        <w:rPr>
          <w:i/>
          <w:sz w:val="20"/>
        </w:rPr>
        <w:t>Climático</w:t>
      </w:r>
      <w:r>
        <w:rPr>
          <w:i/>
          <w:spacing w:val="-8"/>
          <w:sz w:val="20"/>
        </w:rPr>
        <w:t> </w:t>
      </w:r>
      <w:r>
        <w:rPr>
          <w:i/>
          <w:sz w:val="20"/>
        </w:rPr>
        <w:t>en</w:t>
      </w:r>
      <w:r>
        <w:rPr>
          <w:i/>
          <w:spacing w:val="-8"/>
          <w:sz w:val="20"/>
        </w:rPr>
        <w:t> </w:t>
      </w:r>
      <w:r>
        <w:rPr>
          <w:i/>
          <w:sz w:val="20"/>
        </w:rPr>
        <w:t>el</w:t>
      </w:r>
      <w:r>
        <w:rPr>
          <w:i/>
          <w:spacing w:val="-8"/>
          <w:sz w:val="20"/>
        </w:rPr>
        <w:t> </w:t>
      </w:r>
      <w:r>
        <w:rPr>
          <w:i/>
          <w:spacing w:val="-2"/>
          <w:sz w:val="20"/>
        </w:rPr>
        <w:t>Estado </w:t>
      </w:r>
      <w:r>
        <w:rPr>
          <w:i/>
          <w:sz w:val="20"/>
        </w:rPr>
        <w:t>de</w:t>
      </w:r>
      <w:r>
        <w:rPr>
          <w:i/>
          <w:spacing w:val="-10"/>
          <w:sz w:val="20"/>
        </w:rPr>
        <w:t> </w:t>
      </w:r>
      <w:r>
        <w:rPr>
          <w:i/>
          <w:sz w:val="20"/>
        </w:rPr>
        <w:t>México.</w:t>
      </w:r>
      <w:r>
        <w:rPr>
          <w:i/>
          <w:spacing w:val="-10"/>
          <w:sz w:val="20"/>
        </w:rPr>
        <w:t> </w:t>
      </w:r>
      <w:r>
        <w:rPr>
          <w:sz w:val="20"/>
        </w:rPr>
        <w:t>Secretaría</w:t>
      </w:r>
      <w:r>
        <w:rPr>
          <w:spacing w:val="-10"/>
          <w:sz w:val="20"/>
        </w:rPr>
        <w:t> </w:t>
      </w:r>
      <w:r>
        <w:rPr>
          <w:sz w:val="20"/>
        </w:rPr>
        <w:t>del</w:t>
      </w:r>
      <w:r>
        <w:rPr>
          <w:spacing w:val="-10"/>
          <w:sz w:val="20"/>
        </w:rPr>
        <w:t> </w:t>
      </w:r>
      <w:r>
        <w:rPr>
          <w:sz w:val="20"/>
        </w:rPr>
        <w:t>Medio</w:t>
      </w:r>
      <w:r>
        <w:rPr>
          <w:spacing w:val="-10"/>
          <w:sz w:val="20"/>
        </w:rPr>
        <w:t> </w:t>
      </w:r>
      <w:r>
        <w:rPr>
          <w:sz w:val="20"/>
        </w:rPr>
        <w:t>Ambiente.</w:t>
      </w:r>
      <w:r>
        <w:rPr>
          <w:spacing w:val="-10"/>
          <w:sz w:val="20"/>
        </w:rPr>
        <w:t> </w:t>
      </w:r>
      <w:r>
        <w:rPr>
          <w:sz w:val="20"/>
        </w:rPr>
        <w:t>México.</w:t>
      </w:r>
    </w:p>
    <w:p>
      <w:pPr>
        <w:pStyle w:val="BodyText"/>
        <w:spacing w:before="11"/>
      </w:pPr>
    </w:p>
    <w:p>
      <w:pPr>
        <w:spacing w:line="249" w:lineRule="auto" w:before="0"/>
        <w:ind w:left="752" w:right="1" w:hanging="624"/>
        <w:jc w:val="both"/>
        <w:rPr>
          <w:sz w:val="20"/>
        </w:rPr>
      </w:pPr>
      <w:r>
        <w:rPr>
          <w:sz w:val="20"/>
        </w:rPr>
        <w:t>Gobierno del Estado de México. (2012). </w:t>
      </w:r>
      <w:r>
        <w:rPr>
          <w:i/>
          <w:sz w:val="20"/>
        </w:rPr>
        <w:t>Programa para mejorar la calidad del aire del </w:t>
      </w:r>
      <w:r>
        <w:rPr>
          <w:i/>
          <w:sz w:val="20"/>
        </w:rPr>
        <w:t>Valle de Toluca 2012-2017. </w:t>
      </w:r>
      <w:r>
        <w:rPr>
          <w:sz w:val="20"/>
        </w:rPr>
        <w:t>Secretaría del Medio Ambiente. México</w:t>
      </w:r>
    </w:p>
    <w:p>
      <w:pPr>
        <w:spacing w:line="249" w:lineRule="auto" w:before="109"/>
        <w:ind w:left="752" w:right="131" w:hanging="624"/>
        <w:jc w:val="both"/>
        <w:rPr>
          <w:sz w:val="20"/>
        </w:rPr>
      </w:pPr>
      <w:r>
        <w:rPr/>
        <w:br w:type="column"/>
      </w:r>
      <w:r>
        <w:rPr>
          <w:sz w:val="20"/>
        </w:rPr>
        <w:t>Gobierno del Estado de México. (2012). </w:t>
      </w:r>
      <w:r>
        <w:rPr>
          <w:i/>
          <w:sz w:val="20"/>
        </w:rPr>
        <w:t>Programa Sectorial del Estado Progresista </w:t>
      </w:r>
      <w:r>
        <w:rPr>
          <w:i/>
          <w:sz w:val="20"/>
        </w:rPr>
        <w:t>(2012- 2017)</w:t>
      </w:r>
      <w:r>
        <w:rPr>
          <w:sz w:val="20"/>
        </w:rPr>
        <w:t>. Comité de Planeación para el Desarrollo del Estado de México (COPLADEM). Estado de México.</w:t>
      </w:r>
    </w:p>
    <w:p>
      <w:pPr>
        <w:pStyle w:val="BodyText"/>
        <w:spacing w:before="11"/>
      </w:pPr>
    </w:p>
    <w:p>
      <w:pPr>
        <w:spacing w:line="249" w:lineRule="auto" w:before="0"/>
        <w:ind w:left="752" w:right="127" w:hanging="624"/>
        <w:jc w:val="both"/>
        <w:rPr>
          <w:sz w:val="20"/>
        </w:rPr>
      </w:pPr>
      <w:r>
        <w:rPr>
          <w:sz w:val="20"/>
        </w:rPr>
        <w:t>Gobierno</w:t>
      </w:r>
      <w:r>
        <w:rPr>
          <w:spacing w:val="-5"/>
          <w:sz w:val="20"/>
        </w:rPr>
        <w:t> </w:t>
      </w:r>
      <w:r>
        <w:rPr>
          <w:sz w:val="20"/>
        </w:rPr>
        <w:t>del</w:t>
      </w:r>
      <w:r>
        <w:rPr>
          <w:spacing w:val="-5"/>
          <w:sz w:val="20"/>
        </w:rPr>
        <w:t> </w:t>
      </w:r>
      <w:r>
        <w:rPr>
          <w:sz w:val="20"/>
        </w:rPr>
        <w:t>Estado</w:t>
      </w:r>
      <w:r>
        <w:rPr>
          <w:spacing w:val="-5"/>
          <w:sz w:val="20"/>
        </w:rPr>
        <w:t> </w:t>
      </w:r>
      <w:r>
        <w:rPr>
          <w:sz w:val="20"/>
        </w:rPr>
        <w:t>de</w:t>
      </w:r>
      <w:r>
        <w:rPr>
          <w:spacing w:val="-5"/>
          <w:sz w:val="20"/>
        </w:rPr>
        <w:t> </w:t>
      </w:r>
      <w:r>
        <w:rPr>
          <w:sz w:val="20"/>
        </w:rPr>
        <w:t>México,</w:t>
      </w:r>
      <w:r>
        <w:rPr>
          <w:spacing w:val="-5"/>
          <w:sz w:val="20"/>
        </w:rPr>
        <w:t> </w:t>
      </w:r>
      <w:r>
        <w:rPr>
          <w:sz w:val="20"/>
        </w:rPr>
        <w:t>GEM.</w:t>
      </w:r>
      <w:r>
        <w:rPr>
          <w:spacing w:val="-5"/>
          <w:sz w:val="20"/>
        </w:rPr>
        <w:t> </w:t>
      </w:r>
      <w:r>
        <w:rPr>
          <w:sz w:val="20"/>
        </w:rPr>
        <w:t>(2013).</w:t>
      </w:r>
      <w:r>
        <w:rPr>
          <w:spacing w:val="-5"/>
          <w:sz w:val="20"/>
        </w:rPr>
        <w:t> </w:t>
      </w:r>
      <w:r>
        <w:rPr>
          <w:i/>
          <w:sz w:val="20"/>
        </w:rPr>
        <w:t>Ley</w:t>
      </w:r>
      <w:r>
        <w:rPr>
          <w:i/>
          <w:spacing w:val="-5"/>
          <w:sz w:val="20"/>
        </w:rPr>
        <w:t> </w:t>
      </w:r>
      <w:r>
        <w:rPr>
          <w:i/>
          <w:sz w:val="20"/>
        </w:rPr>
        <w:t>del</w:t>
      </w:r>
      <w:r>
        <w:rPr>
          <w:i/>
          <w:spacing w:val="-5"/>
          <w:sz w:val="20"/>
        </w:rPr>
        <w:t> </w:t>
      </w:r>
      <w:r>
        <w:rPr>
          <w:i/>
          <w:sz w:val="20"/>
        </w:rPr>
        <w:t>agua</w:t>
      </w:r>
      <w:r>
        <w:rPr>
          <w:i/>
          <w:spacing w:val="-5"/>
          <w:sz w:val="20"/>
        </w:rPr>
        <w:t> </w:t>
      </w:r>
      <w:r>
        <w:rPr>
          <w:i/>
          <w:sz w:val="20"/>
        </w:rPr>
        <w:t>para</w:t>
      </w:r>
      <w:r>
        <w:rPr>
          <w:i/>
          <w:spacing w:val="-5"/>
          <w:sz w:val="20"/>
        </w:rPr>
        <w:t> </w:t>
      </w:r>
      <w:r>
        <w:rPr>
          <w:i/>
          <w:sz w:val="20"/>
        </w:rPr>
        <w:t>el</w:t>
      </w:r>
      <w:r>
        <w:rPr>
          <w:i/>
          <w:spacing w:val="-5"/>
          <w:sz w:val="20"/>
        </w:rPr>
        <w:t> </w:t>
      </w:r>
      <w:r>
        <w:rPr>
          <w:i/>
          <w:sz w:val="20"/>
        </w:rPr>
        <w:t>Estado</w:t>
      </w:r>
      <w:r>
        <w:rPr>
          <w:i/>
          <w:spacing w:val="-5"/>
          <w:sz w:val="20"/>
        </w:rPr>
        <w:t> </w:t>
      </w:r>
      <w:r>
        <w:rPr>
          <w:i/>
          <w:sz w:val="20"/>
        </w:rPr>
        <w:t>de</w:t>
      </w:r>
      <w:r>
        <w:rPr>
          <w:i/>
          <w:spacing w:val="-5"/>
          <w:sz w:val="20"/>
        </w:rPr>
        <w:t> </w:t>
      </w:r>
      <w:r>
        <w:rPr>
          <w:i/>
          <w:sz w:val="20"/>
        </w:rPr>
        <w:t>México</w:t>
      </w:r>
      <w:r>
        <w:rPr>
          <w:i/>
          <w:spacing w:val="-5"/>
          <w:sz w:val="20"/>
        </w:rPr>
        <w:t> </w:t>
      </w:r>
      <w:r>
        <w:rPr>
          <w:i/>
          <w:sz w:val="20"/>
        </w:rPr>
        <w:t>y </w:t>
      </w:r>
      <w:r>
        <w:rPr>
          <w:i/>
          <w:sz w:val="20"/>
        </w:rPr>
        <w:t>municipios.</w:t>
      </w:r>
      <w:r>
        <w:rPr>
          <w:i/>
          <w:spacing w:val="-7"/>
          <w:sz w:val="20"/>
        </w:rPr>
        <w:t> </w:t>
      </w:r>
      <w:r>
        <w:rPr>
          <w:sz w:val="20"/>
        </w:rPr>
        <w:t>Legislatura</w:t>
      </w:r>
      <w:r>
        <w:rPr>
          <w:spacing w:val="-7"/>
          <w:sz w:val="20"/>
        </w:rPr>
        <w:t> </w:t>
      </w:r>
      <w:r>
        <w:rPr>
          <w:sz w:val="20"/>
        </w:rPr>
        <w:t>del</w:t>
      </w:r>
      <w:r>
        <w:rPr>
          <w:spacing w:val="-7"/>
          <w:sz w:val="20"/>
        </w:rPr>
        <w:t> </w:t>
      </w:r>
      <w:r>
        <w:rPr>
          <w:sz w:val="20"/>
        </w:rPr>
        <w:t>Estado</w:t>
      </w:r>
      <w:r>
        <w:rPr>
          <w:spacing w:val="-7"/>
          <w:sz w:val="20"/>
        </w:rPr>
        <w:t> </w:t>
      </w:r>
      <w:r>
        <w:rPr>
          <w:sz w:val="20"/>
        </w:rPr>
        <w:t>de</w:t>
      </w:r>
      <w:r>
        <w:rPr>
          <w:spacing w:val="-7"/>
          <w:sz w:val="20"/>
        </w:rPr>
        <w:t> </w:t>
      </w:r>
      <w:r>
        <w:rPr>
          <w:sz w:val="20"/>
        </w:rPr>
        <w:t>México.</w:t>
      </w:r>
      <w:r>
        <w:rPr>
          <w:spacing w:val="-7"/>
          <w:sz w:val="20"/>
        </w:rPr>
        <w:t> </w:t>
      </w:r>
      <w:r>
        <w:rPr>
          <w:sz w:val="20"/>
        </w:rPr>
        <w:t>México.</w:t>
      </w:r>
    </w:p>
    <w:p>
      <w:pPr>
        <w:pStyle w:val="BodyText"/>
        <w:spacing w:before="11"/>
      </w:pPr>
    </w:p>
    <w:p>
      <w:pPr>
        <w:spacing w:line="249" w:lineRule="auto" w:before="0"/>
        <w:ind w:left="752" w:right="129" w:hanging="624"/>
        <w:jc w:val="both"/>
        <w:rPr>
          <w:sz w:val="20"/>
        </w:rPr>
      </w:pPr>
      <w:r>
        <w:rPr>
          <w:sz w:val="20"/>
        </w:rPr>
        <w:t>Gobierno</w:t>
      </w:r>
      <w:r>
        <w:rPr>
          <w:spacing w:val="-25"/>
          <w:sz w:val="20"/>
        </w:rPr>
        <w:t> </w:t>
      </w:r>
      <w:r>
        <w:rPr>
          <w:sz w:val="20"/>
        </w:rPr>
        <w:t>del</w:t>
      </w:r>
      <w:r>
        <w:rPr>
          <w:spacing w:val="-25"/>
          <w:sz w:val="20"/>
        </w:rPr>
        <w:t> </w:t>
      </w:r>
      <w:r>
        <w:rPr>
          <w:sz w:val="20"/>
        </w:rPr>
        <w:t>Estado</w:t>
      </w:r>
      <w:r>
        <w:rPr>
          <w:spacing w:val="-25"/>
          <w:sz w:val="20"/>
        </w:rPr>
        <w:t> </w:t>
      </w:r>
      <w:r>
        <w:rPr>
          <w:sz w:val="20"/>
        </w:rPr>
        <w:t>de</w:t>
      </w:r>
      <w:r>
        <w:rPr>
          <w:spacing w:val="-25"/>
          <w:sz w:val="20"/>
        </w:rPr>
        <w:t> </w:t>
      </w:r>
      <w:r>
        <w:rPr>
          <w:sz w:val="20"/>
        </w:rPr>
        <w:t>México,</w:t>
      </w:r>
      <w:r>
        <w:rPr>
          <w:spacing w:val="-25"/>
          <w:sz w:val="20"/>
        </w:rPr>
        <w:t> </w:t>
      </w:r>
      <w:r>
        <w:rPr>
          <w:sz w:val="20"/>
        </w:rPr>
        <w:t>GEM.</w:t>
      </w:r>
      <w:r>
        <w:rPr>
          <w:spacing w:val="-25"/>
          <w:sz w:val="20"/>
        </w:rPr>
        <w:t> </w:t>
      </w:r>
      <w:r>
        <w:rPr>
          <w:sz w:val="20"/>
        </w:rPr>
        <w:t>(2013).</w:t>
      </w:r>
      <w:r>
        <w:rPr>
          <w:spacing w:val="-25"/>
          <w:sz w:val="20"/>
        </w:rPr>
        <w:t> </w:t>
      </w:r>
      <w:r>
        <w:rPr>
          <w:i/>
          <w:sz w:val="20"/>
        </w:rPr>
        <w:t>Programa</w:t>
      </w:r>
      <w:r>
        <w:rPr>
          <w:i/>
          <w:spacing w:val="-25"/>
          <w:sz w:val="20"/>
        </w:rPr>
        <w:t> </w:t>
      </w:r>
      <w:r>
        <w:rPr>
          <w:i/>
          <w:sz w:val="20"/>
        </w:rPr>
        <w:t>Estatal</w:t>
      </w:r>
      <w:r>
        <w:rPr>
          <w:i/>
          <w:spacing w:val="-25"/>
          <w:sz w:val="20"/>
        </w:rPr>
        <w:t> </w:t>
      </w:r>
      <w:r>
        <w:rPr>
          <w:i/>
          <w:sz w:val="20"/>
        </w:rPr>
        <w:t>de</w:t>
      </w:r>
      <w:r>
        <w:rPr>
          <w:i/>
          <w:spacing w:val="-25"/>
          <w:sz w:val="20"/>
        </w:rPr>
        <w:t> </w:t>
      </w:r>
      <w:r>
        <w:rPr>
          <w:i/>
          <w:sz w:val="20"/>
        </w:rPr>
        <w:t>Acción</w:t>
      </w:r>
      <w:r>
        <w:rPr>
          <w:i/>
          <w:spacing w:val="-25"/>
          <w:sz w:val="20"/>
        </w:rPr>
        <w:t> </w:t>
      </w:r>
      <w:r>
        <w:rPr>
          <w:i/>
          <w:sz w:val="20"/>
        </w:rPr>
        <w:t>ante</w:t>
      </w:r>
      <w:r>
        <w:rPr>
          <w:i/>
          <w:spacing w:val="-25"/>
          <w:sz w:val="20"/>
        </w:rPr>
        <w:t> </w:t>
      </w:r>
      <w:r>
        <w:rPr>
          <w:i/>
          <w:sz w:val="20"/>
        </w:rPr>
        <w:t>el</w:t>
      </w:r>
      <w:r>
        <w:rPr>
          <w:i/>
          <w:spacing w:val="-25"/>
          <w:sz w:val="20"/>
        </w:rPr>
        <w:t> </w:t>
      </w:r>
      <w:r>
        <w:rPr>
          <w:i/>
          <w:spacing w:val="-2"/>
          <w:sz w:val="20"/>
        </w:rPr>
        <w:t>Cambio </w:t>
      </w:r>
      <w:r>
        <w:rPr>
          <w:i/>
          <w:sz w:val="20"/>
        </w:rPr>
        <w:t>Climático</w:t>
      </w:r>
      <w:r>
        <w:rPr>
          <w:i/>
          <w:spacing w:val="-7"/>
          <w:sz w:val="20"/>
        </w:rPr>
        <w:t> </w:t>
      </w:r>
      <w:r>
        <w:rPr>
          <w:i/>
          <w:sz w:val="20"/>
        </w:rPr>
        <w:t>del</w:t>
      </w:r>
      <w:r>
        <w:rPr>
          <w:i/>
          <w:spacing w:val="-7"/>
          <w:sz w:val="20"/>
        </w:rPr>
        <w:t> </w:t>
      </w:r>
      <w:r>
        <w:rPr>
          <w:i/>
          <w:sz w:val="20"/>
        </w:rPr>
        <w:t>Estado</w:t>
      </w:r>
      <w:r>
        <w:rPr>
          <w:i/>
          <w:spacing w:val="-7"/>
          <w:sz w:val="20"/>
        </w:rPr>
        <w:t> </w:t>
      </w:r>
      <w:r>
        <w:rPr>
          <w:i/>
          <w:sz w:val="20"/>
        </w:rPr>
        <w:t>de</w:t>
      </w:r>
      <w:r>
        <w:rPr>
          <w:i/>
          <w:spacing w:val="-7"/>
          <w:sz w:val="20"/>
        </w:rPr>
        <w:t> </w:t>
      </w:r>
      <w:r>
        <w:rPr>
          <w:i/>
          <w:sz w:val="20"/>
        </w:rPr>
        <w:t>México</w:t>
      </w:r>
      <w:r>
        <w:rPr>
          <w:i/>
          <w:spacing w:val="-7"/>
          <w:sz w:val="20"/>
        </w:rPr>
        <w:t> </w:t>
      </w:r>
      <w:r>
        <w:rPr>
          <w:i/>
          <w:sz w:val="20"/>
        </w:rPr>
        <w:t>2013</w:t>
      </w:r>
      <w:r>
        <w:rPr>
          <w:sz w:val="20"/>
        </w:rPr>
        <w:t>.</w:t>
      </w:r>
      <w:r>
        <w:rPr>
          <w:spacing w:val="-7"/>
          <w:sz w:val="20"/>
        </w:rPr>
        <w:t> </w:t>
      </w:r>
      <w:r>
        <w:rPr>
          <w:sz w:val="20"/>
        </w:rPr>
        <w:t>Secretaría</w:t>
      </w:r>
      <w:r>
        <w:rPr>
          <w:spacing w:val="-7"/>
          <w:sz w:val="20"/>
        </w:rPr>
        <w:t> </w:t>
      </w:r>
      <w:r>
        <w:rPr>
          <w:sz w:val="20"/>
        </w:rPr>
        <w:t>del</w:t>
      </w:r>
      <w:r>
        <w:rPr>
          <w:spacing w:val="-7"/>
          <w:sz w:val="20"/>
        </w:rPr>
        <w:t> </w:t>
      </w:r>
      <w:r>
        <w:rPr>
          <w:sz w:val="20"/>
        </w:rPr>
        <w:t>Medio</w:t>
      </w:r>
      <w:r>
        <w:rPr>
          <w:spacing w:val="-7"/>
          <w:sz w:val="20"/>
        </w:rPr>
        <w:t> </w:t>
      </w:r>
      <w:r>
        <w:rPr>
          <w:sz w:val="20"/>
        </w:rPr>
        <w:t>Ambiente,</w:t>
      </w:r>
      <w:r>
        <w:rPr>
          <w:spacing w:val="-7"/>
          <w:sz w:val="20"/>
        </w:rPr>
        <w:t> </w:t>
      </w:r>
      <w:r>
        <w:rPr>
          <w:sz w:val="20"/>
        </w:rPr>
        <w:t>Estado</w:t>
      </w:r>
      <w:r>
        <w:rPr>
          <w:spacing w:val="-7"/>
          <w:sz w:val="20"/>
        </w:rPr>
        <w:t> </w:t>
      </w:r>
      <w:r>
        <w:rPr>
          <w:sz w:val="20"/>
        </w:rPr>
        <w:t>de México.</w:t>
      </w:r>
      <w:r>
        <w:rPr>
          <w:spacing w:val="6"/>
          <w:sz w:val="20"/>
        </w:rPr>
        <w:t> </w:t>
      </w:r>
      <w:r>
        <w:rPr>
          <w:sz w:val="20"/>
        </w:rPr>
        <w:t>México.</w:t>
      </w:r>
    </w:p>
    <w:p>
      <w:pPr>
        <w:pStyle w:val="BodyText"/>
        <w:spacing w:before="11"/>
      </w:pPr>
    </w:p>
    <w:p>
      <w:pPr>
        <w:spacing w:line="249" w:lineRule="auto" w:before="0"/>
        <w:ind w:left="752" w:right="129" w:hanging="624"/>
        <w:jc w:val="both"/>
        <w:rPr>
          <w:sz w:val="20"/>
        </w:rPr>
      </w:pPr>
      <w:r>
        <w:rPr>
          <w:sz w:val="20"/>
        </w:rPr>
        <w:t>Granero,</w:t>
      </w:r>
      <w:r>
        <w:rPr>
          <w:spacing w:val="-14"/>
          <w:sz w:val="20"/>
        </w:rPr>
        <w:t> </w:t>
      </w:r>
      <w:r>
        <w:rPr>
          <w:sz w:val="20"/>
        </w:rPr>
        <w:t>J.,</w:t>
      </w:r>
      <w:r>
        <w:rPr>
          <w:spacing w:val="30"/>
          <w:sz w:val="20"/>
        </w:rPr>
        <w:t> </w:t>
      </w:r>
      <w:r>
        <w:rPr>
          <w:sz w:val="20"/>
        </w:rPr>
        <w:t>Sánchez,</w:t>
      </w:r>
      <w:r>
        <w:rPr>
          <w:spacing w:val="-14"/>
          <w:sz w:val="20"/>
        </w:rPr>
        <w:t> </w:t>
      </w:r>
      <w:r>
        <w:rPr>
          <w:sz w:val="20"/>
        </w:rPr>
        <w:t>M.,</w:t>
      </w:r>
      <w:r>
        <w:rPr>
          <w:spacing w:val="-14"/>
          <w:sz w:val="20"/>
        </w:rPr>
        <w:t> </w:t>
      </w:r>
      <w:r>
        <w:rPr>
          <w:sz w:val="20"/>
        </w:rPr>
        <w:t>y</w:t>
      </w:r>
      <w:r>
        <w:rPr>
          <w:spacing w:val="-14"/>
          <w:sz w:val="20"/>
        </w:rPr>
        <w:t> </w:t>
      </w:r>
      <w:r>
        <w:rPr>
          <w:sz w:val="20"/>
        </w:rPr>
        <w:t>Pérez,</w:t>
      </w:r>
      <w:r>
        <w:rPr>
          <w:spacing w:val="-14"/>
          <w:sz w:val="20"/>
        </w:rPr>
        <w:t> </w:t>
      </w:r>
      <w:r>
        <w:rPr>
          <w:sz w:val="20"/>
        </w:rPr>
        <w:t>C.,</w:t>
      </w:r>
      <w:r>
        <w:rPr>
          <w:spacing w:val="-14"/>
          <w:sz w:val="20"/>
        </w:rPr>
        <w:t> </w:t>
      </w:r>
      <w:r>
        <w:rPr>
          <w:sz w:val="20"/>
        </w:rPr>
        <w:t>(2011).</w:t>
      </w:r>
      <w:r>
        <w:rPr>
          <w:spacing w:val="-14"/>
          <w:sz w:val="20"/>
        </w:rPr>
        <w:t> </w:t>
      </w:r>
      <w:r>
        <w:rPr>
          <w:i/>
          <w:sz w:val="20"/>
        </w:rPr>
        <w:t>Evaluación</w:t>
      </w:r>
      <w:r>
        <w:rPr>
          <w:i/>
          <w:spacing w:val="-14"/>
          <w:sz w:val="20"/>
        </w:rPr>
        <w:t> </w:t>
      </w:r>
      <w:r>
        <w:rPr>
          <w:i/>
          <w:sz w:val="20"/>
        </w:rPr>
        <w:t>de</w:t>
      </w:r>
      <w:r>
        <w:rPr>
          <w:i/>
          <w:spacing w:val="-14"/>
          <w:sz w:val="20"/>
        </w:rPr>
        <w:t> </w:t>
      </w:r>
      <w:r>
        <w:rPr>
          <w:i/>
          <w:sz w:val="20"/>
        </w:rPr>
        <w:t>impacto</w:t>
      </w:r>
      <w:r>
        <w:rPr>
          <w:i/>
          <w:spacing w:val="-14"/>
          <w:sz w:val="20"/>
        </w:rPr>
        <w:t> </w:t>
      </w:r>
      <w:r>
        <w:rPr>
          <w:i/>
          <w:sz w:val="20"/>
        </w:rPr>
        <w:t>ambiental.</w:t>
      </w:r>
      <w:r>
        <w:rPr>
          <w:i/>
          <w:spacing w:val="-14"/>
          <w:sz w:val="20"/>
        </w:rPr>
        <w:t> </w:t>
      </w:r>
      <w:r>
        <w:rPr>
          <w:sz w:val="20"/>
        </w:rPr>
        <w:t>Edición </w:t>
      </w:r>
      <w:r>
        <w:rPr>
          <w:w w:val="95"/>
          <w:sz w:val="20"/>
        </w:rPr>
        <w:t>CONFEMETAL.</w:t>
      </w:r>
      <w:r>
        <w:rPr>
          <w:spacing w:val="24"/>
          <w:w w:val="95"/>
          <w:sz w:val="20"/>
        </w:rPr>
        <w:t> </w:t>
      </w:r>
      <w:r>
        <w:rPr>
          <w:w w:val="95"/>
          <w:sz w:val="20"/>
        </w:rPr>
        <w:t>España.</w:t>
      </w:r>
    </w:p>
    <w:p>
      <w:pPr>
        <w:pStyle w:val="BodyText"/>
        <w:spacing w:before="11"/>
      </w:pPr>
    </w:p>
    <w:p>
      <w:pPr>
        <w:spacing w:before="0"/>
        <w:ind w:left="129" w:right="0" w:firstLine="0"/>
        <w:jc w:val="left"/>
        <w:rPr>
          <w:i/>
          <w:sz w:val="20"/>
        </w:rPr>
      </w:pPr>
      <w:r>
        <w:rPr>
          <w:sz w:val="20"/>
        </w:rPr>
        <w:t>Gutiérrez,</w:t>
      </w:r>
      <w:r>
        <w:rPr>
          <w:spacing w:val="-20"/>
          <w:sz w:val="20"/>
        </w:rPr>
        <w:t> </w:t>
      </w:r>
      <w:r>
        <w:rPr>
          <w:sz w:val="20"/>
        </w:rPr>
        <w:t>J.,</w:t>
      </w:r>
      <w:r>
        <w:rPr>
          <w:spacing w:val="-20"/>
          <w:sz w:val="20"/>
        </w:rPr>
        <w:t> </w:t>
      </w:r>
      <w:r>
        <w:rPr>
          <w:sz w:val="20"/>
        </w:rPr>
        <w:t>(2013).</w:t>
      </w:r>
      <w:r>
        <w:rPr>
          <w:spacing w:val="-20"/>
          <w:sz w:val="20"/>
        </w:rPr>
        <w:t> </w:t>
      </w:r>
      <w:r>
        <w:rPr>
          <w:i/>
          <w:sz w:val="20"/>
        </w:rPr>
        <w:t>La</w:t>
      </w:r>
      <w:r>
        <w:rPr>
          <w:i/>
          <w:spacing w:val="-20"/>
          <w:sz w:val="20"/>
        </w:rPr>
        <w:t> </w:t>
      </w:r>
      <w:r>
        <w:rPr>
          <w:i/>
          <w:sz w:val="20"/>
        </w:rPr>
        <w:t>investigación</w:t>
      </w:r>
      <w:r>
        <w:rPr>
          <w:i/>
          <w:spacing w:val="-20"/>
          <w:sz w:val="20"/>
        </w:rPr>
        <w:t> </w:t>
      </w:r>
      <w:r>
        <w:rPr>
          <w:i/>
          <w:sz w:val="20"/>
        </w:rPr>
        <w:t>geográfica:</w:t>
      </w:r>
      <w:r>
        <w:rPr>
          <w:i/>
          <w:spacing w:val="-20"/>
          <w:sz w:val="20"/>
        </w:rPr>
        <w:t> </w:t>
      </w:r>
      <w:r>
        <w:rPr>
          <w:i/>
          <w:sz w:val="20"/>
        </w:rPr>
        <w:t>fundamentos,</w:t>
      </w:r>
      <w:r>
        <w:rPr>
          <w:i/>
          <w:spacing w:val="-20"/>
          <w:sz w:val="20"/>
        </w:rPr>
        <w:t> </w:t>
      </w:r>
      <w:r>
        <w:rPr>
          <w:i/>
          <w:sz w:val="20"/>
        </w:rPr>
        <w:t>métodos</w:t>
      </w:r>
      <w:r>
        <w:rPr>
          <w:i/>
          <w:spacing w:val="-20"/>
          <w:sz w:val="20"/>
        </w:rPr>
        <w:t> </w:t>
      </w:r>
      <w:r>
        <w:rPr>
          <w:i/>
          <w:sz w:val="20"/>
        </w:rPr>
        <w:t>e</w:t>
      </w:r>
      <w:r>
        <w:rPr>
          <w:i/>
          <w:spacing w:val="-20"/>
          <w:sz w:val="20"/>
        </w:rPr>
        <w:t> </w:t>
      </w:r>
      <w:r>
        <w:rPr>
          <w:i/>
          <w:sz w:val="20"/>
        </w:rPr>
        <w:t>instrumentos.</w:t>
      </w:r>
    </w:p>
    <w:p>
      <w:pPr>
        <w:pStyle w:val="BodyText"/>
        <w:spacing w:before="10"/>
        <w:ind w:left="752"/>
      </w:pPr>
      <w:r>
        <w:rPr/>
        <w:t>Editorial Dunken. 1ª edición. Argentina.</w:t>
      </w:r>
    </w:p>
    <w:p>
      <w:pPr>
        <w:pStyle w:val="BodyText"/>
        <w:spacing w:before="8"/>
        <w:rPr>
          <w:sz w:val="21"/>
        </w:rPr>
      </w:pPr>
    </w:p>
    <w:p>
      <w:pPr>
        <w:pStyle w:val="BodyText"/>
        <w:spacing w:line="249" w:lineRule="auto"/>
        <w:ind w:left="752" w:right="130" w:hanging="624"/>
        <w:jc w:val="both"/>
      </w:pPr>
      <w:r>
        <w:rPr/>
        <w:t>Méndez, R., (2008). Procesos recientes en regiones metropolitanas: Transformaciones económicas y reorganización territorial. Algunas interpretaciones y debates actuales.</w:t>
      </w:r>
      <w:r>
        <w:rPr>
          <w:spacing w:val="-23"/>
        </w:rPr>
        <w:t> </w:t>
      </w:r>
      <w:r>
        <w:rPr/>
        <w:t>Centro</w:t>
      </w:r>
      <w:r>
        <w:rPr>
          <w:spacing w:val="-22"/>
        </w:rPr>
        <w:t> </w:t>
      </w:r>
      <w:r>
        <w:rPr/>
        <w:t>de</w:t>
      </w:r>
      <w:r>
        <w:rPr>
          <w:spacing w:val="-23"/>
        </w:rPr>
        <w:t> </w:t>
      </w:r>
      <w:r>
        <w:rPr/>
        <w:t>Ciencias</w:t>
      </w:r>
      <w:r>
        <w:rPr>
          <w:spacing w:val="-23"/>
        </w:rPr>
        <w:t> </w:t>
      </w:r>
      <w:r>
        <w:rPr/>
        <w:t>Humanas</w:t>
      </w:r>
      <w:r>
        <w:rPr>
          <w:spacing w:val="-23"/>
        </w:rPr>
        <w:t> </w:t>
      </w:r>
      <w:r>
        <w:rPr/>
        <w:t>y</w:t>
      </w:r>
      <w:r>
        <w:rPr>
          <w:spacing w:val="-22"/>
        </w:rPr>
        <w:t> </w:t>
      </w:r>
      <w:r>
        <w:rPr/>
        <w:t>Sociales</w:t>
      </w:r>
      <w:r>
        <w:rPr>
          <w:spacing w:val="-22"/>
        </w:rPr>
        <w:t> </w:t>
      </w:r>
      <w:r>
        <w:rPr/>
        <w:t>(CSIC).</w:t>
      </w:r>
      <w:r>
        <w:rPr>
          <w:spacing w:val="-23"/>
        </w:rPr>
        <w:t> </w:t>
      </w:r>
      <w:r>
        <w:rPr/>
        <w:t>Instituto</w:t>
      </w:r>
      <w:r>
        <w:rPr>
          <w:spacing w:val="-22"/>
        </w:rPr>
        <w:t> </w:t>
      </w:r>
      <w:r>
        <w:rPr/>
        <w:t>de</w:t>
      </w:r>
      <w:r>
        <w:rPr>
          <w:spacing w:val="-22"/>
        </w:rPr>
        <w:t> </w:t>
      </w:r>
      <w:r>
        <w:rPr/>
        <w:t>Economías, Geografía</w:t>
      </w:r>
      <w:r>
        <w:rPr>
          <w:spacing w:val="-29"/>
        </w:rPr>
        <w:t> </w:t>
      </w:r>
      <w:r>
        <w:rPr/>
        <w:t>y</w:t>
      </w:r>
      <w:r>
        <w:rPr>
          <w:spacing w:val="-29"/>
        </w:rPr>
        <w:t> </w:t>
      </w:r>
      <w:r>
        <w:rPr/>
        <w:t>Demografía.</w:t>
      </w:r>
      <w:r>
        <w:rPr>
          <w:spacing w:val="-29"/>
        </w:rPr>
        <w:t> </w:t>
      </w:r>
      <w:r>
        <w:rPr>
          <w:spacing w:val="-2"/>
        </w:rPr>
        <w:t>España</w:t>
      </w:r>
    </w:p>
    <w:p>
      <w:pPr>
        <w:pStyle w:val="BodyText"/>
        <w:spacing w:before="11"/>
      </w:pPr>
    </w:p>
    <w:p>
      <w:pPr>
        <w:spacing w:line="249" w:lineRule="auto" w:before="0"/>
        <w:ind w:left="752" w:right="129" w:hanging="624"/>
        <w:jc w:val="both"/>
        <w:rPr>
          <w:sz w:val="20"/>
        </w:rPr>
      </w:pPr>
      <w:r>
        <w:rPr>
          <w:sz w:val="20"/>
        </w:rPr>
        <w:t>Montoya,</w:t>
      </w:r>
      <w:r>
        <w:rPr>
          <w:spacing w:val="-25"/>
          <w:sz w:val="20"/>
        </w:rPr>
        <w:t> </w:t>
      </w:r>
      <w:r>
        <w:rPr>
          <w:sz w:val="20"/>
        </w:rPr>
        <w:t>J.,</w:t>
      </w:r>
      <w:r>
        <w:rPr>
          <w:spacing w:val="-25"/>
          <w:sz w:val="20"/>
        </w:rPr>
        <w:t> </w:t>
      </w:r>
      <w:r>
        <w:rPr>
          <w:sz w:val="20"/>
        </w:rPr>
        <w:t>(1995).</w:t>
      </w:r>
      <w:r>
        <w:rPr>
          <w:spacing w:val="-25"/>
          <w:sz w:val="20"/>
        </w:rPr>
        <w:t> </w:t>
      </w:r>
      <w:r>
        <w:rPr>
          <w:i/>
          <w:sz w:val="20"/>
        </w:rPr>
        <w:t>Políticas</w:t>
      </w:r>
      <w:r>
        <w:rPr>
          <w:i/>
          <w:spacing w:val="-25"/>
          <w:sz w:val="20"/>
        </w:rPr>
        <w:t> </w:t>
      </w:r>
      <w:r>
        <w:rPr>
          <w:i/>
          <w:sz w:val="20"/>
        </w:rPr>
        <w:t>de</w:t>
      </w:r>
      <w:r>
        <w:rPr>
          <w:i/>
          <w:spacing w:val="-25"/>
          <w:sz w:val="20"/>
        </w:rPr>
        <w:t> </w:t>
      </w:r>
      <w:r>
        <w:rPr>
          <w:i/>
          <w:sz w:val="20"/>
        </w:rPr>
        <w:t>Planeación</w:t>
      </w:r>
      <w:r>
        <w:rPr>
          <w:i/>
          <w:spacing w:val="-25"/>
          <w:sz w:val="20"/>
        </w:rPr>
        <w:t> </w:t>
      </w:r>
      <w:r>
        <w:rPr>
          <w:i/>
          <w:sz w:val="20"/>
        </w:rPr>
        <w:t>urbana</w:t>
      </w:r>
      <w:r>
        <w:rPr>
          <w:i/>
          <w:spacing w:val="-25"/>
          <w:sz w:val="20"/>
        </w:rPr>
        <w:t> </w:t>
      </w:r>
      <w:r>
        <w:rPr>
          <w:i/>
          <w:sz w:val="20"/>
        </w:rPr>
        <w:t>en</w:t>
      </w:r>
      <w:r>
        <w:rPr>
          <w:i/>
          <w:spacing w:val="-25"/>
          <w:sz w:val="20"/>
        </w:rPr>
        <w:t> </w:t>
      </w:r>
      <w:r>
        <w:rPr>
          <w:i/>
          <w:sz w:val="20"/>
        </w:rPr>
        <w:t>la</w:t>
      </w:r>
      <w:r>
        <w:rPr>
          <w:i/>
          <w:spacing w:val="-25"/>
          <w:sz w:val="20"/>
        </w:rPr>
        <w:t> </w:t>
      </w:r>
      <w:r>
        <w:rPr>
          <w:i/>
          <w:sz w:val="20"/>
        </w:rPr>
        <w:t>delimitación</w:t>
      </w:r>
      <w:r>
        <w:rPr>
          <w:i/>
          <w:spacing w:val="-25"/>
          <w:sz w:val="20"/>
        </w:rPr>
        <w:t> </w:t>
      </w:r>
      <w:r>
        <w:rPr>
          <w:i/>
          <w:sz w:val="20"/>
        </w:rPr>
        <w:t>de</w:t>
      </w:r>
      <w:r>
        <w:rPr>
          <w:i/>
          <w:spacing w:val="-25"/>
          <w:sz w:val="20"/>
        </w:rPr>
        <w:t> </w:t>
      </w:r>
      <w:r>
        <w:rPr>
          <w:i/>
          <w:sz w:val="20"/>
        </w:rPr>
        <w:t>lo</w:t>
      </w:r>
      <w:r>
        <w:rPr>
          <w:i/>
          <w:spacing w:val="-25"/>
          <w:sz w:val="20"/>
        </w:rPr>
        <w:t> </w:t>
      </w:r>
      <w:r>
        <w:rPr>
          <w:i/>
          <w:sz w:val="20"/>
        </w:rPr>
        <w:t>metropolitano. </w:t>
      </w:r>
      <w:r>
        <w:rPr>
          <w:i/>
          <w:sz w:val="20"/>
        </w:rPr>
        <w:t>El caso de la Zona Metropolitana de Toluca. </w:t>
      </w:r>
      <w:r>
        <w:rPr>
          <w:sz w:val="20"/>
        </w:rPr>
        <w:t>En papeles de </w:t>
      </w:r>
      <w:r>
        <w:rPr>
          <w:i/>
          <w:sz w:val="20"/>
        </w:rPr>
        <w:t>Población, </w:t>
      </w:r>
      <w:r>
        <w:rPr>
          <w:spacing w:val="-2"/>
          <w:sz w:val="20"/>
        </w:rPr>
        <w:t>julio- </w:t>
      </w:r>
      <w:r>
        <w:rPr>
          <w:sz w:val="20"/>
        </w:rPr>
        <w:t>septiembre,</w:t>
      </w:r>
      <w:r>
        <w:rPr>
          <w:spacing w:val="-9"/>
          <w:sz w:val="20"/>
        </w:rPr>
        <w:t> </w:t>
      </w:r>
      <w:r>
        <w:rPr>
          <w:sz w:val="20"/>
        </w:rPr>
        <w:t>número</w:t>
      </w:r>
      <w:r>
        <w:rPr>
          <w:spacing w:val="-9"/>
          <w:sz w:val="20"/>
        </w:rPr>
        <w:t> </w:t>
      </w:r>
      <w:r>
        <w:rPr>
          <w:sz w:val="20"/>
        </w:rPr>
        <w:t>008.</w:t>
      </w:r>
      <w:r>
        <w:rPr>
          <w:spacing w:val="-9"/>
          <w:sz w:val="20"/>
        </w:rPr>
        <w:t> </w:t>
      </w:r>
      <w:r>
        <w:rPr>
          <w:sz w:val="20"/>
        </w:rPr>
        <w:t>Universidad</w:t>
      </w:r>
      <w:r>
        <w:rPr>
          <w:spacing w:val="-9"/>
          <w:sz w:val="20"/>
        </w:rPr>
        <w:t> </w:t>
      </w:r>
      <w:r>
        <w:rPr>
          <w:sz w:val="20"/>
        </w:rPr>
        <w:t>Autónoma</w:t>
      </w:r>
      <w:r>
        <w:rPr>
          <w:spacing w:val="-9"/>
          <w:sz w:val="20"/>
        </w:rPr>
        <w:t> </w:t>
      </w:r>
      <w:r>
        <w:rPr>
          <w:sz w:val="20"/>
        </w:rPr>
        <w:t>de</w:t>
      </w:r>
      <w:r>
        <w:rPr>
          <w:spacing w:val="-9"/>
          <w:sz w:val="20"/>
        </w:rPr>
        <w:t> </w:t>
      </w:r>
      <w:r>
        <w:rPr>
          <w:sz w:val="20"/>
        </w:rPr>
        <w:t>México.</w:t>
      </w:r>
      <w:r>
        <w:rPr>
          <w:spacing w:val="-9"/>
          <w:sz w:val="20"/>
        </w:rPr>
        <w:t> </w:t>
      </w:r>
      <w:r>
        <w:rPr>
          <w:sz w:val="20"/>
        </w:rPr>
        <w:t>Toluca,</w:t>
      </w:r>
      <w:r>
        <w:rPr>
          <w:spacing w:val="-9"/>
          <w:sz w:val="20"/>
        </w:rPr>
        <w:t> </w:t>
      </w:r>
      <w:r>
        <w:rPr>
          <w:sz w:val="20"/>
        </w:rPr>
        <w:t>México.</w:t>
      </w:r>
    </w:p>
    <w:p>
      <w:pPr>
        <w:pStyle w:val="BodyText"/>
        <w:spacing w:before="11"/>
      </w:pPr>
    </w:p>
    <w:p>
      <w:pPr>
        <w:spacing w:line="249" w:lineRule="auto" w:before="0"/>
        <w:ind w:left="752" w:right="129" w:hanging="624"/>
        <w:jc w:val="both"/>
        <w:rPr>
          <w:sz w:val="20"/>
        </w:rPr>
      </w:pPr>
      <w:r>
        <w:rPr>
          <w:sz w:val="20"/>
        </w:rPr>
        <w:t>Organisation for Economic Co-Operation and Development, OCDE (1993). </w:t>
      </w:r>
      <w:r>
        <w:rPr>
          <w:i/>
          <w:sz w:val="20"/>
        </w:rPr>
        <w:t>Core </w:t>
      </w:r>
      <w:r>
        <w:rPr>
          <w:i/>
          <w:spacing w:val="-2"/>
          <w:sz w:val="20"/>
        </w:rPr>
        <w:t>Set   </w:t>
      </w:r>
      <w:r>
        <w:rPr>
          <w:i/>
          <w:sz w:val="20"/>
        </w:rPr>
        <w:t>of Indicators for Environmental Performance Reviews. OCDE Environment Monographs</w:t>
      </w:r>
      <w:r>
        <w:rPr>
          <w:i/>
          <w:spacing w:val="-28"/>
          <w:sz w:val="20"/>
        </w:rPr>
        <w:t> </w:t>
      </w:r>
      <w:r>
        <w:rPr>
          <w:sz w:val="20"/>
        </w:rPr>
        <w:t>83(179),</w:t>
      </w:r>
      <w:r>
        <w:rPr>
          <w:spacing w:val="-28"/>
          <w:sz w:val="20"/>
        </w:rPr>
        <w:t> </w:t>
      </w:r>
      <w:r>
        <w:rPr>
          <w:spacing w:val="-2"/>
          <w:sz w:val="20"/>
        </w:rPr>
        <w:t>39.</w:t>
      </w:r>
    </w:p>
    <w:p>
      <w:pPr>
        <w:pStyle w:val="BodyText"/>
        <w:spacing w:before="11"/>
      </w:pPr>
    </w:p>
    <w:p>
      <w:pPr>
        <w:spacing w:line="249" w:lineRule="auto" w:before="0"/>
        <w:ind w:left="752" w:right="130" w:hanging="624"/>
        <w:jc w:val="both"/>
        <w:rPr>
          <w:sz w:val="20"/>
        </w:rPr>
      </w:pPr>
      <w:r>
        <w:rPr>
          <w:sz w:val="20"/>
        </w:rPr>
        <w:t>Perevochtchikova,</w:t>
      </w:r>
      <w:r>
        <w:rPr>
          <w:spacing w:val="-20"/>
          <w:sz w:val="20"/>
        </w:rPr>
        <w:t> </w:t>
      </w:r>
      <w:r>
        <w:rPr>
          <w:sz w:val="20"/>
        </w:rPr>
        <w:t>M.</w:t>
      </w:r>
      <w:r>
        <w:rPr>
          <w:spacing w:val="-20"/>
          <w:sz w:val="20"/>
        </w:rPr>
        <w:t> </w:t>
      </w:r>
      <w:r>
        <w:rPr>
          <w:sz w:val="20"/>
        </w:rPr>
        <w:t>(2013).</w:t>
      </w:r>
      <w:r>
        <w:rPr>
          <w:spacing w:val="-20"/>
          <w:sz w:val="20"/>
        </w:rPr>
        <w:t> </w:t>
      </w:r>
      <w:r>
        <w:rPr>
          <w:i/>
          <w:sz w:val="20"/>
        </w:rPr>
        <w:t>La</w:t>
      </w:r>
      <w:r>
        <w:rPr>
          <w:i/>
          <w:spacing w:val="-20"/>
          <w:sz w:val="20"/>
        </w:rPr>
        <w:t> </w:t>
      </w:r>
      <w:r>
        <w:rPr>
          <w:i/>
          <w:sz w:val="20"/>
        </w:rPr>
        <w:t>evaluación</w:t>
      </w:r>
      <w:r>
        <w:rPr>
          <w:i/>
          <w:spacing w:val="-20"/>
          <w:sz w:val="20"/>
        </w:rPr>
        <w:t> </w:t>
      </w:r>
      <w:r>
        <w:rPr>
          <w:i/>
          <w:sz w:val="20"/>
        </w:rPr>
        <w:t>del</w:t>
      </w:r>
      <w:r>
        <w:rPr>
          <w:i/>
          <w:spacing w:val="-20"/>
          <w:sz w:val="20"/>
        </w:rPr>
        <w:t> </w:t>
      </w:r>
      <w:r>
        <w:rPr>
          <w:i/>
          <w:sz w:val="20"/>
        </w:rPr>
        <w:t>impacto</w:t>
      </w:r>
      <w:r>
        <w:rPr>
          <w:i/>
          <w:spacing w:val="-20"/>
          <w:sz w:val="20"/>
        </w:rPr>
        <w:t> </w:t>
      </w:r>
      <w:r>
        <w:rPr>
          <w:i/>
          <w:sz w:val="20"/>
        </w:rPr>
        <w:t>ambiental</w:t>
      </w:r>
      <w:r>
        <w:rPr>
          <w:i/>
          <w:spacing w:val="-20"/>
          <w:sz w:val="20"/>
        </w:rPr>
        <w:t> </w:t>
      </w:r>
      <w:r>
        <w:rPr>
          <w:i/>
          <w:sz w:val="20"/>
        </w:rPr>
        <w:t>y</w:t>
      </w:r>
      <w:r>
        <w:rPr>
          <w:i/>
          <w:spacing w:val="-20"/>
          <w:sz w:val="20"/>
        </w:rPr>
        <w:t> </w:t>
      </w:r>
      <w:r>
        <w:rPr>
          <w:i/>
          <w:sz w:val="20"/>
        </w:rPr>
        <w:t>la</w:t>
      </w:r>
      <w:r>
        <w:rPr>
          <w:i/>
          <w:spacing w:val="-20"/>
          <w:sz w:val="20"/>
        </w:rPr>
        <w:t> </w:t>
      </w:r>
      <w:r>
        <w:rPr>
          <w:i/>
          <w:sz w:val="20"/>
        </w:rPr>
        <w:t>importancia</w:t>
      </w:r>
      <w:r>
        <w:rPr>
          <w:i/>
          <w:spacing w:val="-20"/>
          <w:sz w:val="20"/>
        </w:rPr>
        <w:t> </w:t>
      </w:r>
      <w:r>
        <w:rPr>
          <w:i/>
          <w:sz w:val="20"/>
        </w:rPr>
        <w:t>de</w:t>
      </w:r>
      <w:r>
        <w:rPr>
          <w:i/>
          <w:spacing w:val="-20"/>
          <w:sz w:val="20"/>
        </w:rPr>
        <w:t> </w:t>
      </w:r>
      <w:r>
        <w:rPr>
          <w:i/>
          <w:spacing w:val="-2"/>
          <w:sz w:val="20"/>
        </w:rPr>
        <w:t>los </w:t>
      </w:r>
      <w:r>
        <w:rPr>
          <w:i/>
          <w:sz w:val="20"/>
        </w:rPr>
        <w:t>indicadores</w:t>
      </w:r>
      <w:r>
        <w:rPr>
          <w:i/>
          <w:spacing w:val="-18"/>
          <w:sz w:val="20"/>
        </w:rPr>
        <w:t> </w:t>
      </w:r>
      <w:r>
        <w:rPr>
          <w:i/>
          <w:sz w:val="20"/>
        </w:rPr>
        <w:t>ambientales</w:t>
      </w:r>
      <w:r>
        <w:rPr>
          <w:sz w:val="20"/>
        </w:rPr>
        <w:t>.</w:t>
      </w:r>
      <w:r>
        <w:rPr>
          <w:spacing w:val="-18"/>
          <w:sz w:val="20"/>
        </w:rPr>
        <w:t> </w:t>
      </w:r>
      <w:r>
        <w:rPr>
          <w:sz w:val="20"/>
        </w:rPr>
        <w:t>Gestión</w:t>
      </w:r>
      <w:r>
        <w:rPr>
          <w:spacing w:val="-18"/>
          <w:sz w:val="20"/>
        </w:rPr>
        <w:t> </w:t>
      </w:r>
      <w:r>
        <w:rPr>
          <w:sz w:val="20"/>
        </w:rPr>
        <w:t>y</w:t>
      </w:r>
      <w:r>
        <w:rPr>
          <w:spacing w:val="-18"/>
          <w:sz w:val="20"/>
        </w:rPr>
        <w:t> </w:t>
      </w:r>
      <w:r>
        <w:rPr>
          <w:sz w:val="20"/>
        </w:rPr>
        <w:t>Política</w:t>
      </w:r>
      <w:r>
        <w:rPr>
          <w:spacing w:val="-18"/>
          <w:sz w:val="20"/>
        </w:rPr>
        <w:t> </w:t>
      </w:r>
      <w:r>
        <w:rPr>
          <w:sz w:val="20"/>
        </w:rPr>
        <w:t>Pública,</w:t>
      </w:r>
      <w:r>
        <w:rPr>
          <w:spacing w:val="-18"/>
          <w:sz w:val="20"/>
        </w:rPr>
        <w:t> </w:t>
      </w:r>
      <w:r>
        <w:rPr>
          <w:sz w:val="20"/>
        </w:rPr>
        <w:t>12(2),</w:t>
      </w:r>
      <w:r>
        <w:rPr>
          <w:spacing w:val="-18"/>
          <w:sz w:val="20"/>
        </w:rPr>
        <w:t> </w:t>
      </w:r>
      <w:r>
        <w:rPr>
          <w:sz w:val="20"/>
        </w:rPr>
        <w:t>283</w:t>
      </w:r>
      <w:r>
        <w:rPr>
          <w:spacing w:val="-18"/>
          <w:sz w:val="20"/>
        </w:rPr>
        <w:t> </w:t>
      </w:r>
      <w:r>
        <w:rPr>
          <w:sz w:val="20"/>
        </w:rPr>
        <w:t>-312.</w:t>
      </w:r>
    </w:p>
    <w:p>
      <w:pPr>
        <w:pStyle w:val="BodyText"/>
        <w:spacing w:before="11"/>
      </w:pPr>
    </w:p>
    <w:p>
      <w:pPr>
        <w:pStyle w:val="BodyText"/>
        <w:spacing w:line="249" w:lineRule="auto"/>
        <w:ind w:left="752" w:right="129" w:hanging="624"/>
        <w:jc w:val="both"/>
      </w:pPr>
      <w:r>
        <w:rPr/>
        <w:t>Protectora</w:t>
      </w:r>
      <w:r>
        <w:rPr>
          <w:spacing w:val="-4"/>
        </w:rPr>
        <w:t> </w:t>
      </w:r>
      <w:r>
        <w:rPr/>
        <w:t>de</w:t>
      </w:r>
      <w:r>
        <w:rPr>
          <w:spacing w:val="-4"/>
        </w:rPr>
        <w:t> </w:t>
      </w:r>
      <w:r>
        <w:rPr/>
        <w:t>Bosques</w:t>
      </w:r>
      <w:r>
        <w:rPr>
          <w:spacing w:val="-4"/>
        </w:rPr>
        <w:t> </w:t>
      </w:r>
      <w:r>
        <w:rPr/>
        <w:t>del</w:t>
      </w:r>
      <w:r>
        <w:rPr>
          <w:spacing w:val="-4"/>
        </w:rPr>
        <w:t> </w:t>
      </w:r>
      <w:r>
        <w:rPr/>
        <w:t>Estado</w:t>
      </w:r>
      <w:r>
        <w:rPr>
          <w:spacing w:val="-4"/>
        </w:rPr>
        <w:t> </w:t>
      </w:r>
      <w:r>
        <w:rPr/>
        <w:t>de</w:t>
      </w:r>
      <w:r>
        <w:rPr>
          <w:spacing w:val="-4"/>
        </w:rPr>
        <w:t> </w:t>
      </w:r>
      <w:r>
        <w:rPr/>
        <w:t>México,</w:t>
      </w:r>
      <w:r>
        <w:rPr>
          <w:spacing w:val="-4"/>
        </w:rPr>
        <w:t> </w:t>
      </w:r>
      <w:r>
        <w:rPr/>
        <w:t>PROBOSQUE.</w:t>
      </w:r>
      <w:r>
        <w:rPr>
          <w:spacing w:val="-4"/>
        </w:rPr>
        <w:t> </w:t>
      </w:r>
      <w:r>
        <w:rPr/>
        <w:t>(2015).</w:t>
      </w:r>
      <w:r>
        <w:rPr>
          <w:spacing w:val="-4"/>
        </w:rPr>
        <w:t> </w:t>
      </w:r>
      <w:r>
        <w:rPr/>
        <w:t>Programa</w:t>
      </w:r>
      <w:r>
        <w:rPr>
          <w:spacing w:val="-4"/>
        </w:rPr>
        <w:t> </w:t>
      </w:r>
      <w:r>
        <w:rPr/>
        <w:t>para</w:t>
      </w:r>
      <w:r>
        <w:rPr>
          <w:spacing w:val="-4"/>
        </w:rPr>
        <w:t> </w:t>
      </w:r>
      <w:r>
        <w:rPr/>
        <w:t>el Pago por Servicios Ambientales Hidrológicos. Gobierno del Estado de México. México.</w:t>
      </w:r>
    </w:p>
    <w:p>
      <w:pPr>
        <w:spacing w:line="480" w:lineRule="exact" w:before="44"/>
        <w:ind w:left="129" w:right="119" w:firstLine="0"/>
        <w:jc w:val="left"/>
        <w:rPr>
          <w:i/>
          <w:sz w:val="20"/>
        </w:rPr>
      </w:pPr>
      <w:r>
        <w:rPr>
          <w:sz w:val="20"/>
        </w:rPr>
        <w:t>Rogers,</w:t>
      </w:r>
      <w:r>
        <w:rPr>
          <w:spacing w:val="-27"/>
          <w:sz w:val="20"/>
        </w:rPr>
        <w:t> </w:t>
      </w:r>
      <w:r>
        <w:rPr>
          <w:sz w:val="20"/>
        </w:rPr>
        <w:t>R.</w:t>
      </w:r>
      <w:r>
        <w:rPr>
          <w:spacing w:val="-27"/>
          <w:sz w:val="20"/>
        </w:rPr>
        <w:t> </w:t>
      </w:r>
      <w:r>
        <w:rPr>
          <w:sz w:val="20"/>
        </w:rPr>
        <w:t>(2001).</w:t>
      </w:r>
      <w:r>
        <w:rPr>
          <w:spacing w:val="-27"/>
          <w:sz w:val="20"/>
        </w:rPr>
        <w:t> </w:t>
      </w:r>
      <w:r>
        <w:rPr>
          <w:i/>
          <w:sz w:val="20"/>
        </w:rPr>
        <w:t>Ciudades</w:t>
      </w:r>
      <w:r>
        <w:rPr>
          <w:i/>
          <w:spacing w:val="-27"/>
          <w:sz w:val="20"/>
        </w:rPr>
        <w:t> </w:t>
      </w:r>
      <w:r>
        <w:rPr>
          <w:i/>
          <w:sz w:val="20"/>
        </w:rPr>
        <w:t>para</w:t>
      </w:r>
      <w:r>
        <w:rPr>
          <w:i/>
          <w:spacing w:val="-27"/>
          <w:sz w:val="20"/>
        </w:rPr>
        <w:t> </w:t>
      </w:r>
      <w:r>
        <w:rPr>
          <w:i/>
          <w:sz w:val="20"/>
        </w:rPr>
        <w:t>un</w:t>
      </w:r>
      <w:r>
        <w:rPr>
          <w:i/>
          <w:spacing w:val="-27"/>
          <w:sz w:val="20"/>
        </w:rPr>
        <w:t> </w:t>
      </w:r>
      <w:r>
        <w:rPr>
          <w:i/>
          <w:sz w:val="20"/>
        </w:rPr>
        <w:t>pequeño</w:t>
      </w:r>
      <w:r>
        <w:rPr>
          <w:i/>
          <w:spacing w:val="-27"/>
          <w:sz w:val="20"/>
        </w:rPr>
        <w:t> </w:t>
      </w:r>
      <w:r>
        <w:rPr>
          <w:i/>
          <w:sz w:val="20"/>
        </w:rPr>
        <w:t>planeta.</w:t>
      </w:r>
      <w:r>
        <w:rPr>
          <w:i/>
          <w:spacing w:val="-27"/>
          <w:sz w:val="20"/>
        </w:rPr>
        <w:t> </w:t>
      </w:r>
      <w:r>
        <w:rPr>
          <w:sz w:val="20"/>
        </w:rPr>
        <w:t>Editorial</w:t>
      </w:r>
      <w:r>
        <w:rPr>
          <w:spacing w:val="-27"/>
          <w:sz w:val="20"/>
        </w:rPr>
        <w:t> </w:t>
      </w:r>
      <w:r>
        <w:rPr>
          <w:sz w:val="20"/>
        </w:rPr>
        <w:t>Gustavo</w:t>
      </w:r>
      <w:r>
        <w:rPr>
          <w:spacing w:val="-27"/>
          <w:sz w:val="20"/>
        </w:rPr>
        <w:t> </w:t>
      </w:r>
      <w:r>
        <w:rPr>
          <w:sz w:val="20"/>
        </w:rPr>
        <w:t>Gili,</w:t>
      </w:r>
      <w:r>
        <w:rPr>
          <w:spacing w:val="-27"/>
          <w:sz w:val="20"/>
        </w:rPr>
        <w:t> </w:t>
      </w:r>
      <w:r>
        <w:rPr>
          <w:sz w:val="20"/>
        </w:rPr>
        <w:t>SA.</w:t>
      </w:r>
      <w:r>
        <w:rPr>
          <w:spacing w:val="-27"/>
          <w:sz w:val="20"/>
        </w:rPr>
        <w:t> </w:t>
      </w:r>
      <w:r>
        <w:rPr>
          <w:sz w:val="20"/>
        </w:rPr>
        <w:t>España. Secretaría   del   Medio   Ambiente   y   Recursos   Naturales   (2008).   </w:t>
      </w:r>
      <w:r>
        <w:rPr>
          <w:i/>
          <w:sz w:val="20"/>
        </w:rPr>
        <w:t>Conurbación </w:t>
      </w:r>
      <w:r>
        <w:rPr>
          <w:i/>
          <w:spacing w:val="17"/>
          <w:sz w:val="20"/>
        </w:rPr>
        <w:t> </w:t>
      </w:r>
      <w:r>
        <w:rPr>
          <w:i/>
          <w:sz w:val="20"/>
        </w:rPr>
        <w:t>y</w:t>
      </w:r>
    </w:p>
    <w:p>
      <w:pPr>
        <w:spacing w:line="186" w:lineRule="exact" w:before="0"/>
        <w:ind w:left="752" w:right="0" w:firstLine="0"/>
        <w:jc w:val="left"/>
        <w:rPr>
          <w:sz w:val="20"/>
        </w:rPr>
      </w:pPr>
      <w:r>
        <w:rPr>
          <w:i/>
          <w:sz w:val="20"/>
        </w:rPr>
        <w:t>Sustentabilidad. </w:t>
      </w:r>
      <w:r>
        <w:rPr>
          <w:sz w:val="20"/>
        </w:rPr>
        <w:t>Gobierno del Estado de México. México.</w:t>
      </w:r>
    </w:p>
    <w:p>
      <w:pPr>
        <w:spacing w:after="0" w:line="186" w:lineRule="exact"/>
        <w:jc w:val="left"/>
        <w:rPr>
          <w:sz w:val="20"/>
        </w:rPr>
        <w:sectPr>
          <w:type w:val="continuous"/>
          <w:pgSz w:w="18830" w:h="12760" w:orient="landscape"/>
          <w:pgMar w:top="1420" w:bottom="280" w:left="720" w:right="720"/>
          <w:cols w:num="2" w:equalWidth="0">
            <w:col w:w="7840" w:space="1572"/>
            <w:col w:w="7978"/>
          </w:cols>
        </w:sectPr>
      </w:pPr>
    </w:p>
    <w:p>
      <w:pPr>
        <w:pStyle w:val="BodyText"/>
        <w:spacing w:before="8"/>
      </w:pPr>
    </w:p>
    <w:p>
      <w:pPr>
        <w:spacing w:after="0"/>
        <w:sectPr>
          <w:footerReference w:type="default" r:id="rId448"/>
          <w:pgSz w:w="18830" w:h="12760" w:orient="landscape"/>
          <w:pgMar w:footer="1036" w:header="522" w:top="820" w:bottom="1220" w:left="720" w:right="720"/>
        </w:sectPr>
      </w:pPr>
    </w:p>
    <w:p>
      <w:pPr>
        <w:spacing w:line="249" w:lineRule="auto" w:before="109"/>
        <w:ind w:left="753" w:right="0" w:hanging="624"/>
        <w:jc w:val="both"/>
        <w:rPr>
          <w:sz w:val="20"/>
        </w:rPr>
      </w:pPr>
      <w:r>
        <w:rPr>
          <w:sz w:val="20"/>
        </w:rPr>
        <w:t>Secretaría</w:t>
      </w:r>
      <w:r>
        <w:rPr>
          <w:spacing w:val="-23"/>
          <w:sz w:val="20"/>
        </w:rPr>
        <w:t> </w:t>
      </w:r>
      <w:r>
        <w:rPr>
          <w:sz w:val="20"/>
        </w:rPr>
        <w:t>del</w:t>
      </w:r>
      <w:r>
        <w:rPr>
          <w:spacing w:val="-23"/>
          <w:sz w:val="20"/>
        </w:rPr>
        <w:t> </w:t>
      </w:r>
      <w:r>
        <w:rPr>
          <w:sz w:val="20"/>
        </w:rPr>
        <w:t>Medio</w:t>
      </w:r>
      <w:r>
        <w:rPr>
          <w:spacing w:val="-23"/>
          <w:sz w:val="20"/>
        </w:rPr>
        <w:t> </w:t>
      </w:r>
      <w:r>
        <w:rPr>
          <w:sz w:val="20"/>
        </w:rPr>
        <w:t>Ambiente</w:t>
      </w:r>
      <w:r>
        <w:rPr>
          <w:spacing w:val="-23"/>
          <w:sz w:val="20"/>
        </w:rPr>
        <w:t> </w:t>
      </w:r>
      <w:r>
        <w:rPr>
          <w:sz w:val="20"/>
        </w:rPr>
        <w:t>y</w:t>
      </w:r>
      <w:r>
        <w:rPr>
          <w:spacing w:val="-23"/>
          <w:sz w:val="20"/>
        </w:rPr>
        <w:t> </w:t>
      </w:r>
      <w:r>
        <w:rPr>
          <w:sz w:val="20"/>
        </w:rPr>
        <w:t>Recursos</w:t>
      </w:r>
      <w:r>
        <w:rPr>
          <w:spacing w:val="-23"/>
          <w:sz w:val="20"/>
        </w:rPr>
        <w:t> </w:t>
      </w:r>
      <w:r>
        <w:rPr>
          <w:sz w:val="20"/>
        </w:rPr>
        <w:t>Naturales</w:t>
      </w:r>
      <w:r>
        <w:rPr>
          <w:spacing w:val="-23"/>
          <w:sz w:val="20"/>
        </w:rPr>
        <w:t> </w:t>
      </w:r>
      <w:r>
        <w:rPr>
          <w:sz w:val="20"/>
        </w:rPr>
        <w:t>(2013).</w:t>
      </w:r>
      <w:r>
        <w:rPr>
          <w:spacing w:val="-23"/>
          <w:sz w:val="20"/>
        </w:rPr>
        <w:t> </w:t>
      </w:r>
      <w:r>
        <w:rPr>
          <w:i/>
          <w:sz w:val="20"/>
        </w:rPr>
        <w:t>Política</w:t>
      </w:r>
      <w:r>
        <w:rPr>
          <w:i/>
          <w:spacing w:val="-23"/>
          <w:sz w:val="20"/>
        </w:rPr>
        <w:t> </w:t>
      </w:r>
      <w:r>
        <w:rPr>
          <w:i/>
          <w:sz w:val="20"/>
        </w:rPr>
        <w:t>y</w:t>
      </w:r>
      <w:r>
        <w:rPr>
          <w:i/>
          <w:spacing w:val="-23"/>
          <w:sz w:val="20"/>
        </w:rPr>
        <w:t> </w:t>
      </w:r>
      <w:r>
        <w:rPr>
          <w:i/>
          <w:sz w:val="20"/>
        </w:rPr>
        <w:t>Gestión</w:t>
      </w:r>
      <w:r>
        <w:rPr>
          <w:i/>
          <w:spacing w:val="-23"/>
          <w:sz w:val="20"/>
        </w:rPr>
        <w:t> </w:t>
      </w:r>
      <w:r>
        <w:rPr>
          <w:i/>
          <w:sz w:val="20"/>
        </w:rPr>
        <w:t>Ambiental </w:t>
      </w:r>
      <w:r>
        <w:rPr>
          <w:i/>
          <w:sz w:val="20"/>
        </w:rPr>
        <w:t>sobre</w:t>
      </w:r>
      <w:r>
        <w:rPr>
          <w:i/>
          <w:spacing w:val="-9"/>
          <w:sz w:val="20"/>
        </w:rPr>
        <w:t> </w:t>
      </w:r>
      <w:r>
        <w:rPr>
          <w:i/>
          <w:sz w:val="20"/>
        </w:rPr>
        <w:t>Mitigación</w:t>
      </w:r>
      <w:r>
        <w:rPr>
          <w:i/>
          <w:spacing w:val="-9"/>
          <w:sz w:val="20"/>
        </w:rPr>
        <w:t> </w:t>
      </w:r>
      <w:r>
        <w:rPr>
          <w:i/>
          <w:sz w:val="20"/>
        </w:rPr>
        <w:t>y</w:t>
      </w:r>
      <w:r>
        <w:rPr>
          <w:i/>
          <w:spacing w:val="-9"/>
          <w:sz w:val="20"/>
        </w:rPr>
        <w:t> </w:t>
      </w:r>
      <w:r>
        <w:rPr>
          <w:i/>
          <w:sz w:val="20"/>
        </w:rPr>
        <w:t>Adaptación.</w:t>
      </w:r>
      <w:r>
        <w:rPr>
          <w:i/>
          <w:spacing w:val="-8"/>
          <w:sz w:val="20"/>
        </w:rPr>
        <w:t> </w:t>
      </w:r>
      <w:r>
        <w:rPr>
          <w:sz w:val="20"/>
        </w:rPr>
        <w:t>Secretaría</w:t>
      </w:r>
      <w:r>
        <w:rPr>
          <w:spacing w:val="-9"/>
          <w:sz w:val="20"/>
        </w:rPr>
        <w:t> </w:t>
      </w:r>
      <w:r>
        <w:rPr>
          <w:sz w:val="20"/>
        </w:rPr>
        <w:t>de</w:t>
      </w:r>
      <w:r>
        <w:rPr>
          <w:spacing w:val="-9"/>
          <w:sz w:val="20"/>
        </w:rPr>
        <w:t> </w:t>
      </w:r>
      <w:r>
        <w:rPr>
          <w:sz w:val="20"/>
        </w:rPr>
        <w:t>Desarrollo</w:t>
      </w:r>
      <w:r>
        <w:rPr>
          <w:spacing w:val="-9"/>
          <w:sz w:val="20"/>
        </w:rPr>
        <w:t> </w:t>
      </w:r>
      <w:r>
        <w:rPr>
          <w:sz w:val="20"/>
        </w:rPr>
        <w:t>Metropolitano.</w:t>
      </w:r>
      <w:r>
        <w:rPr>
          <w:spacing w:val="-9"/>
          <w:sz w:val="20"/>
        </w:rPr>
        <w:t> </w:t>
      </w:r>
      <w:r>
        <w:rPr>
          <w:sz w:val="20"/>
        </w:rPr>
        <w:t>Gobierno del Estado de México.</w:t>
      </w:r>
      <w:r>
        <w:rPr>
          <w:spacing w:val="-11"/>
          <w:sz w:val="20"/>
        </w:rPr>
        <w:t> </w:t>
      </w:r>
      <w:r>
        <w:rPr>
          <w:sz w:val="20"/>
        </w:rPr>
        <w:t>México.</w:t>
      </w:r>
    </w:p>
    <w:p>
      <w:pPr>
        <w:pStyle w:val="BodyText"/>
        <w:spacing w:before="11"/>
      </w:pPr>
    </w:p>
    <w:p>
      <w:pPr>
        <w:spacing w:line="249" w:lineRule="auto" w:before="0"/>
        <w:ind w:left="753" w:right="0" w:hanging="624"/>
        <w:jc w:val="both"/>
        <w:rPr>
          <w:sz w:val="20"/>
        </w:rPr>
      </w:pPr>
      <w:r>
        <w:rPr>
          <w:sz w:val="20"/>
        </w:rPr>
        <w:t>Sekovski, I., Newton, A., y Dennison, W</w:t>
      </w:r>
      <w:r>
        <w:rPr>
          <w:i/>
          <w:sz w:val="20"/>
        </w:rPr>
        <w:t>. </w:t>
      </w:r>
      <w:r>
        <w:rPr>
          <w:sz w:val="20"/>
        </w:rPr>
        <w:t>(2012). </w:t>
      </w:r>
      <w:r>
        <w:rPr>
          <w:i/>
          <w:sz w:val="20"/>
        </w:rPr>
        <w:t>Megacities in the coastal zone: Using </w:t>
      </w:r>
      <w:r>
        <w:rPr>
          <w:i/>
          <w:sz w:val="20"/>
        </w:rPr>
        <w:t>a driver-pressure-state-impact-response framework to address complex environmental problems. </w:t>
      </w:r>
      <w:r>
        <w:rPr>
          <w:sz w:val="20"/>
        </w:rPr>
        <w:t>Estuarine, Coastal and Shelf Science (96), 48-59.</w:t>
      </w:r>
    </w:p>
    <w:p>
      <w:pPr>
        <w:pStyle w:val="BodyText"/>
        <w:spacing w:before="11"/>
      </w:pPr>
    </w:p>
    <w:p>
      <w:pPr>
        <w:spacing w:before="0"/>
        <w:ind w:left="130" w:right="-9" w:firstLine="0"/>
        <w:jc w:val="left"/>
        <w:rPr>
          <w:i/>
          <w:sz w:val="20"/>
        </w:rPr>
      </w:pPr>
      <w:r>
        <w:rPr>
          <w:sz w:val="20"/>
        </w:rPr>
        <w:t>Torres,</w:t>
      </w:r>
      <w:r>
        <w:rPr>
          <w:spacing w:val="-5"/>
          <w:sz w:val="20"/>
        </w:rPr>
        <w:t> </w:t>
      </w:r>
      <w:r>
        <w:rPr>
          <w:sz w:val="20"/>
        </w:rPr>
        <w:t>P</w:t>
      </w:r>
      <w:r>
        <w:rPr>
          <w:spacing w:val="-5"/>
          <w:sz w:val="20"/>
        </w:rPr>
        <w:t> </w:t>
      </w:r>
      <w:r>
        <w:rPr>
          <w:sz w:val="20"/>
        </w:rPr>
        <w:t>y</w:t>
      </w:r>
      <w:r>
        <w:rPr>
          <w:spacing w:val="-5"/>
          <w:sz w:val="20"/>
        </w:rPr>
        <w:t> </w:t>
      </w:r>
      <w:r>
        <w:rPr>
          <w:sz w:val="20"/>
        </w:rPr>
        <w:t>J.</w:t>
      </w:r>
      <w:r>
        <w:rPr>
          <w:spacing w:val="-5"/>
          <w:sz w:val="20"/>
        </w:rPr>
        <w:t> </w:t>
      </w:r>
      <w:r>
        <w:rPr>
          <w:sz w:val="20"/>
        </w:rPr>
        <w:t>Cruz.</w:t>
      </w:r>
      <w:r>
        <w:rPr>
          <w:spacing w:val="-5"/>
          <w:sz w:val="20"/>
        </w:rPr>
        <w:t> </w:t>
      </w:r>
      <w:r>
        <w:rPr>
          <w:sz w:val="20"/>
        </w:rPr>
        <w:t>(1999):</w:t>
      </w:r>
      <w:r>
        <w:rPr>
          <w:spacing w:val="-5"/>
          <w:sz w:val="20"/>
        </w:rPr>
        <w:t> </w:t>
      </w:r>
      <w:r>
        <w:rPr>
          <w:i/>
          <w:sz w:val="20"/>
        </w:rPr>
        <w:t>Indicadores</w:t>
      </w:r>
      <w:r>
        <w:rPr>
          <w:i/>
          <w:spacing w:val="-5"/>
          <w:sz w:val="20"/>
        </w:rPr>
        <w:t> </w:t>
      </w:r>
      <w:r>
        <w:rPr>
          <w:i/>
          <w:sz w:val="20"/>
        </w:rPr>
        <w:t>del</w:t>
      </w:r>
      <w:r>
        <w:rPr>
          <w:i/>
          <w:spacing w:val="-5"/>
          <w:sz w:val="20"/>
        </w:rPr>
        <w:t> </w:t>
      </w:r>
      <w:r>
        <w:rPr>
          <w:i/>
          <w:sz w:val="20"/>
        </w:rPr>
        <w:t>desarrollo</w:t>
      </w:r>
      <w:r>
        <w:rPr>
          <w:i/>
          <w:spacing w:val="-5"/>
          <w:sz w:val="20"/>
        </w:rPr>
        <w:t> </w:t>
      </w:r>
      <w:r>
        <w:rPr>
          <w:i/>
          <w:sz w:val="20"/>
        </w:rPr>
        <w:t>sustentable:</w:t>
      </w:r>
      <w:r>
        <w:rPr>
          <w:i/>
          <w:spacing w:val="-5"/>
          <w:sz w:val="20"/>
        </w:rPr>
        <w:t> </w:t>
      </w:r>
      <w:r>
        <w:rPr>
          <w:i/>
          <w:sz w:val="20"/>
        </w:rPr>
        <w:t>construcción</w:t>
      </w:r>
      <w:r>
        <w:rPr>
          <w:i/>
          <w:spacing w:val="-5"/>
          <w:sz w:val="20"/>
        </w:rPr>
        <w:t> </w:t>
      </w:r>
      <w:r>
        <w:rPr>
          <w:i/>
          <w:sz w:val="20"/>
        </w:rPr>
        <w:t>y</w:t>
      </w:r>
      <w:r>
        <w:rPr>
          <w:i/>
          <w:spacing w:val="-5"/>
          <w:sz w:val="20"/>
        </w:rPr>
        <w:t> </w:t>
      </w:r>
      <w:r>
        <w:rPr>
          <w:i/>
          <w:sz w:val="20"/>
        </w:rPr>
        <w:t>usos.</w:t>
      </w:r>
    </w:p>
    <w:p>
      <w:pPr>
        <w:spacing w:before="10"/>
        <w:ind w:left="753" w:right="-16" w:firstLine="0"/>
        <w:jc w:val="left"/>
        <w:rPr>
          <w:sz w:val="20"/>
        </w:rPr>
      </w:pPr>
      <w:r>
        <w:rPr>
          <w:i/>
          <w:sz w:val="20"/>
        </w:rPr>
        <w:t>Argumentos (34), 5-30</w:t>
      </w:r>
      <w:r>
        <w:rPr>
          <w:sz w:val="20"/>
        </w:rPr>
        <w:t>. México.</w:t>
      </w:r>
    </w:p>
    <w:p>
      <w:pPr>
        <w:pStyle w:val="BodyText"/>
        <w:spacing w:before="8"/>
        <w:rPr>
          <w:sz w:val="21"/>
        </w:rPr>
      </w:pPr>
    </w:p>
    <w:p>
      <w:pPr>
        <w:spacing w:line="249" w:lineRule="auto" w:before="0"/>
        <w:ind w:left="753" w:right="2" w:hanging="624"/>
        <w:jc w:val="both"/>
        <w:rPr>
          <w:sz w:val="20"/>
        </w:rPr>
      </w:pPr>
      <w:r>
        <w:rPr>
          <w:sz w:val="20"/>
        </w:rPr>
        <w:t>Unikel,</w:t>
      </w:r>
      <w:r>
        <w:rPr>
          <w:spacing w:val="-14"/>
          <w:sz w:val="20"/>
        </w:rPr>
        <w:t> </w:t>
      </w:r>
      <w:r>
        <w:rPr>
          <w:sz w:val="20"/>
        </w:rPr>
        <w:t>L.</w:t>
      </w:r>
      <w:r>
        <w:rPr>
          <w:spacing w:val="-14"/>
          <w:sz w:val="20"/>
        </w:rPr>
        <w:t> </w:t>
      </w:r>
      <w:r>
        <w:rPr>
          <w:sz w:val="20"/>
        </w:rPr>
        <w:t>(1976):</w:t>
      </w:r>
      <w:r>
        <w:rPr>
          <w:spacing w:val="-14"/>
          <w:sz w:val="20"/>
        </w:rPr>
        <w:t> </w:t>
      </w:r>
      <w:r>
        <w:rPr>
          <w:i/>
          <w:sz w:val="20"/>
        </w:rPr>
        <w:t>El</w:t>
      </w:r>
      <w:r>
        <w:rPr>
          <w:i/>
          <w:spacing w:val="-14"/>
          <w:sz w:val="20"/>
        </w:rPr>
        <w:t> </w:t>
      </w:r>
      <w:r>
        <w:rPr>
          <w:i/>
          <w:sz w:val="20"/>
        </w:rPr>
        <w:t>desarrollo</w:t>
      </w:r>
      <w:r>
        <w:rPr>
          <w:i/>
          <w:spacing w:val="-14"/>
          <w:sz w:val="20"/>
        </w:rPr>
        <w:t> </w:t>
      </w:r>
      <w:r>
        <w:rPr>
          <w:i/>
          <w:sz w:val="20"/>
        </w:rPr>
        <w:t>urbano</w:t>
      </w:r>
      <w:r>
        <w:rPr>
          <w:i/>
          <w:spacing w:val="-14"/>
          <w:sz w:val="20"/>
        </w:rPr>
        <w:t> </w:t>
      </w:r>
      <w:r>
        <w:rPr>
          <w:i/>
          <w:sz w:val="20"/>
        </w:rPr>
        <w:t>en</w:t>
      </w:r>
      <w:r>
        <w:rPr>
          <w:i/>
          <w:spacing w:val="-14"/>
          <w:sz w:val="20"/>
        </w:rPr>
        <w:t> </w:t>
      </w:r>
      <w:r>
        <w:rPr>
          <w:i/>
          <w:sz w:val="20"/>
        </w:rPr>
        <w:t>México.</w:t>
      </w:r>
      <w:r>
        <w:rPr>
          <w:i/>
          <w:spacing w:val="-14"/>
          <w:sz w:val="20"/>
        </w:rPr>
        <w:t> </w:t>
      </w:r>
      <w:r>
        <w:rPr>
          <w:i/>
          <w:sz w:val="20"/>
        </w:rPr>
        <w:t>Diagnóstico</w:t>
      </w:r>
      <w:r>
        <w:rPr>
          <w:i/>
          <w:spacing w:val="-14"/>
          <w:sz w:val="20"/>
        </w:rPr>
        <w:t> </w:t>
      </w:r>
      <w:r>
        <w:rPr>
          <w:i/>
          <w:sz w:val="20"/>
        </w:rPr>
        <w:t>e</w:t>
      </w:r>
      <w:r>
        <w:rPr>
          <w:i/>
          <w:spacing w:val="-14"/>
          <w:sz w:val="20"/>
        </w:rPr>
        <w:t> </w:t>
      </w:r>
      <w:r>
        <w:rPr>
          <w:i/>
          <w:sz w:val="20"/>
        </w:rPr>
        <w:t>implicaciones</w:t>
      </w:r>
      <w:r>
        <w:rPr>
          <w:i/>
          <w:spacing w:val="-14"/>
          <w:sz w:val="20"/>
        </w:rPr>
        <w:t> </w:t>
      </w:r>
      <w:r>
        <w:rPr>
          <w:i/>
          <w:sz w:val="20"/>
        </w:rPr>
        <w:t>futuras</w:t>
      </w:r>
      <w:r>
        <w:rPr>
          <w:sz w:val="20"/>
        </w:rPr>
        <w:t>.</w:t>
      </w:r>
      <w:r>
        <w:rPr>
          <w:spacing w:val="-14"/>
          <w:sz w:val="20"/>
        </w:rPr>
        <w:t> </w:t>
      </w:r>
      <w:r>
        <w:rPr>
          <w:sz w:val="20"/>
        </w:rPr>
        <w:t>El Colegio de México.</w:t>
      </w:r>
      <w:r>
        <w:rPr>
          <w:spacing w:val="-5"/>
          <w:sz w:val="20"/>
        </w:rPr>
        <w:t> </w:t>
      </w:r>
      <w:r>
        <w:rPr>
          <w:sz w:val="20"/>
        </w:rPr>
        <w:t>México.</w:t>
      </w:r>
    </w:p>
    <w:p>
      <w:pPr>
        <w:pStyle w:val="BodyText"/>
        <w:spacing w:before="11"/>
      </w:pPr>
    </w:p>
    <w:p>
      <w:pPr>
        <w:spacing w:line="249" w:lineRule="auto" w:before="0"/>
        <w:ind w:left="753" w:right="0" w:hanging="624"/>
        <w:jc w:val="both"/>
        <w:rPr>
          <w:sz w:val="20"/>
        </w:rPr>
      </w:pPr>
      <w:r>
        <w:rPr>
          <w:sz w:val="20"/>
        </w:rPr>
        <w:t>Wang, Q., Yuan, X., Zhang, J., Mu, R., Yang, H., y Ma, Ch. (2013). </w:t>
      </w:r>
      <w:r>
        <w:rPr>
          <w:i/>
          <w:sz w:val="20"/>
        </w:rPr>
        <w:t>Key evaluation </w:t>
      </w:r>
      <w:r>
        <w:rPr>
          <w:i/>
          <w:sz w:val="20"/>
        </w:rPr>
        <w:t>framework for the impacts of urbanization on air environment – A case study</w:t>
      </w:r>
      <w:r>
        <w:rPr>
          <w:sz w:val="20"/>
        </w:rPr>
        <w:t>. </w:t>
      </w:r>
      <w:r>
        <w:rPr>
          <w:i/>
          <w:sz w:val="20"/>
        </w:rPr>
        <w:t>Ecological Indicators. </w:t>
      </w:r>
      <w:r>
        <w:rPr>
          <w:sz w:val="20"/>
        </w:rPr>
        <w:t>(24), 266–272.</w:t>
      </w:r>
    </w:p>
    <w:p>
      <w:pPr>
        <w:pStyle w:val="Heading1"/>
        <w:spacing w:line="258" w:lineRule="exact" w:before="71"/>
        <w:ind w:left="514" w:right="514"/>
        <w:jc w:val="center"/>
      </w:pPr>
      <w:r>
        <w:rPr>
          <w:b w:val="0"/>
        </w:rPr>
        <w:br w:type="column"/>
      </w:r>
      <w:r>
        <w:rPr/>
        <w:t>Gobernanza metropolitana.</w:t>
      </w:r>
    </w:p>
    <w:p>
      <w:pPr>
        <w:spacing w:line="258" w:lineRule="exact" w:before="0"/>
        <w:ind w:left="514" w:right="514" w:firstLine="0"/>
        <w:jc w:val="center"/>
        <w:rPr>
          <w:b/>
          <w:sz w:val="24"/>
        </w:rPr>
      </w:pPr>
      <w:r>
        <w:rPr>
          <w:b/>
          <w:sz w:val="24"/>
        </w:rPr>
        <w:t>Evaluación de la coordinación metropolitana en Toluca</w:t>
      </w:r>
    </w:p>
    <w:p>
      <w:pPr>
        <w:pStyle w:val="BodyText"/>
        <w:spacing w:before="3"/>
        <w:rPr>
          <w:b/>
          <w:sz w:val="24"/>
        </w:rPr>
      </w:pPr>
    </w:p>
    <w:p>
      <w:pPr>
        <w:spacing w:line="312" w:lineRule="auto" w:before="0"/>
        <w:ind w:left="5824" w:right="128" w:firstLine="109"/>
        <w:jc w:val="right"/>
        <w:rPr>
          <w:i/>
          <w:sz w:val="16"/>
        </w:rPr>
      </w:pPr>
      <w:r>
        <w:rPr>
          <w:i/>
          <w:sz w:val="16"/>
        </w:rPr>
        <w:t>Guadalupe Hoyos Castillo</w:t>
      </w:r>
      <w:r>
        <w:rPr>
          <w:i/>
          <w:w w:val="99"/>
          <w:sz w:val="16"/>
        </w:rPr>
        <w:t> </w:t>
      </w:r>
      <w:r>
        <w:rPr>
          <w:i/>
          <w:sz w:val="16"/>
        </w:rPr>
        <w:t>Rosa María Sánchez Nájera</w:t>
      </w:r>
      <w:r>
        <w:rPr>
          <w:i/>
          <w:w w:val="96"/>
          <w:sz w:val="16"/>
        </w:rPr>
        <w:t> </w:t>
      </w:r>
      <w:r>
        <w:rPr>
          <w:i/>
          <w:sz w:val="16"/>
        </w:rPr>
        <w:t>Salvador Adame Martínez</w:t>
      </w:r>
    </w:p>
    <w:p>
      <w:pPr>
        <w:spacing w:line="312" w:lineRule="auto" w:before="2"/>
        <w:ind w:left="4584" w:right="128" w:firstLine="192"/>
        <w:jc w:val="right"/>
        <w:rPr>
          <w:i/>
          <w:sz w:val="16"/>
        </w:rPr>
      </w:pPr>
      <w:r>
        <w:rPr>
          <w:i/>
          <w:sz w:val="16"/>
        </w:rPr>
        <w:t>Facultad de Planeación Urbana y Regional</w:t>
      </w:r>
      <w:r>
        <w:rPr>
          <w:i/>
          <w:w w:val="98"/>
          <w:sz w:val="16"/>
        </w:rPr>
        <w:t> </w:t>
      </w:r>
      <w:r>
        <w:rPr>
          <w:i/>
          <w:sz w:val="16"/>
        </w:rPr>
        <w:t>Universidad Autónoma del Estado de México</w:t>
      </w:r>
    </w:p>
    <w:p>
      <w:pPr>
        <w:spacing w:line="174" w:lineRule="exact" w:before="2"/>
        <w:ind w:left="0" w:right="128" w:firstLine="0"/>
        <w:jc w:val="right"/>
        <w:rPr>
          <w:i/>
          <w:sz w:val="16"/>
        </w:rPr>
      </w:pPr>
      <w:hyperlink r:id="rId449">
        <w:r>
          <w:rPr>
            <w:i/>
            <w:w w:val="95"/>
            <w:sz w:val="16"/>
          </w:rPr>
          <w:t>gdhoyosc@uaemex.mx</w:t>
        </w:r>
      </w:hyperlink>
    </w:p>
    <w:p>
      <w:pPr>
        <w:pStyle w:val="Heading1"/>
        <w:spacing w:line="266" w:lineRule="exact"/>
        <w:ind w:right="-10"/>
      </w:pPr>
      <w:r>
        <w:rPr/>
        <w:t>Resumen</w:t>
      </w:r>
    </w:p>
    <w:p>
      <w:pPr>
        <w:pStyle w:val="BodyText"/>
        <w:rPr>
          <w:b/>
          <w:sz w:val="21"/>
        </w:rPr>
      </w:pPr>
    </w:p>
    <w:p>
      <w:pPr>
        <w:pStyle w:val="BodyText"/>
        <w:spacing w:line="249" w:lineRule="auto"/>
        <w:ind w:left="130" w:right="127" w:firstLine="170"/>
        <w:jc w:val="both"/>
      </w:pPr>
      <w:r>
        <w:rPr/>
        <w:t>Las transformaciones del Estado adquieren interés en el interactuar con las ciudades para</w:t>
      </w:r>
      <w:r>
        <w:rPr>
          <w:spacing w:val="-18"/>
        </w:rPr>
        <w:t> </w:t>
      </w:r>
      <w:r>
        <w:rPr/>
        <w:t>el</w:t>
      </w:r>
      <w:r>
        <w:rPr>
          <w:spacing w:val="-18"/>
        </w:rPr>
        <w:t> </w:t>
      </w:r>
      <w:r>
        <w:rPr/>
        <w:t>diseño</w:t>
      </w:r>
      <w:r>
        <w:rPr>
          <w:spacing w:val="-18"/>
        </w:rPr>
        <w:t> </w:t>
      </w:r>
      <w:r>
        <w:rPr/>
        <w:t>y</w:t>
      </w:r>
      <w:r>
        <w:rPr>
          <w:spacing w:val="-18"/>
        </w:rPr>
        <w:t> </w:t>
      </w:r>
      <w:r>
        <w:rPr/>
        <w:t>acción</w:t>
      </w:r>
      <w:r>
        <w:rPr>
          <w:spacing w:val="-18"/>
        </w:rPr>
        <w:t> </w:t>
      </w:r>
      <w:r>
        <w:rPr/>
        <w:t>en</w:t>
      </w:r>
      <w:r>
        <w:rPr>
          <w:spacing w:val="-18"/>
        </w:rPr>
        <w:t> </w:t>
      </w:r>
      <w:r>
        <w:rPr/>
        <w:t>los</w:t>
      </w:r>
      <w:r>
        <w:rPr>
          <w:spacing w:val="-18"/>
        </w:rPr>
        <w:t> </w:t>
      </w:r>
      <w:r>
        <w:rPr/>
        <w:t>asuntos</w:t>
      </w:r>
      <w:r>
        <w:rPr>
          <w:spacing w:val="-18"/>
        </w:rPr>
        <w:t> </w:t>
      </w:r>
      <w:r>
        <w:rPr/>
        <w:t>públicos,</w:t>
      </w:r>
      <w:r>
        <w:rPr>
          <w:spacing w:val="-18"/>
        </w:rPr>
        <w:t> </w:t>
      </w:r>
      <w:r>
        <w:rPr/>
        <w:t>donde</w:t>
      </w:r>
      <w:r>
        <w:rPr>
          <w:spacing w:val="-18"/>
        </w:rPr>
        <w:t> </w:t>
      </w:r>
      <w:r>
        <w:rPr/>
        <w:t>la</w:t>
      </w:r>
      <w:r>
        <w:rPr>
          <w:spacing w:val="-18"/>
        </w:rPr>
        <w:t> </w:t>
      </w:r>
      <w:r>
        <w:rPr/>
        <w:t>gobernanza</w:t>
      </w:r>
      <w:r>
        <w:rPr>
          <w:spacing w:val="-18"/>
        </w:rPr>
        <w:t> </w:t>
      </w:r>
      <w:r>
        <w:rPr/>
        <w:t>permite</w:t>
      </w:r>
      <w:r>
        <w:rPr>
          <w:spacing w:val="-18"/>
        </w:rPr>
        <w:t> </w:t>
      </w:r>
      <w:r>
        <w:rPr/>
        <w:t>integración y cooperación entre agentes y actores. El objetivo en este capítulo es examinar si existen cambios en el modelo de gobierno tradicional en la coordinación metropolitana de la Toluca luego de varias décadas de experiencia. Se realiza revisión documental sobre los alcances de gobernanza y gestión urbana descentralizada en el contexto internacional para realizar dicha evaluación. En la entidad mexiquense, la relación del Estado con la sociedad y el nivel municipal es jerárquico y central, la descentralización administrativa alcanzó el nivel de gobierno estatal con baja apertura a la sociedad   civil por lo que la gobernanza de la ciudad enfrenta barreras. Por tanto, se sugieren incorporar esquemas de gobierno municipal participativo multiescalar y cooperativo horizontal para corregir los efectos de las decisiones  fragmentadas.</w:t>
      </w:r>
    </w:p>
    <w:p>
      <w:pPr>
        <w:pStyle w:val="BodyText"/>
        <w:spacing w:before="11"/>
      </w:pPr>
    </w:p>
    <w:p>
      <w:pPr>
        <w:spacing w:before="0"/>
        <w:ind w:left="300" w:right="-10" w:firstLine="0"/>
        <w:jc w:val="left"/>
        <w:rPr>
          <w:sz w:val="20"/>
        </w:rPr>
      </w:pPr>
      <w:r>
        <w:rPr>
          <w:b/>
          <w:i/>
          <w:sz w:val="20"/>
        </w:rPr>
        <w:t>Palabras clave: </w:t>
      </w:r>
      <w:r>
        <w:rPr>
          <w:sz w:val="20"/>
        </w:rPr>
        <w:t>fragmentación, gobernanza, gobierno multiescalar</w:t>
      </w:r>
    </w:p>
    <w:p>
      <w:pPr>
        <w:pStyle w:val="BodyText"/>
      </w:pPr>
    </w:p>
    <w:p>
      <w:pPr>
        <w:pStyle w:val="BodyText"/>
        <w:spacing w:before="2"/>
        <w:rPr>
          <w:sz w:val="22"/>
        </w:rPr>
      </w:pPr>
    </w:p>
    <w:p>
      <w:pPr>
        <w:pStyle w:val="Heading1"/>
        <w:spacing w:line="240" w:lineRule="exact"/>
        <w:ind w:right="125"/>
      </w:pPr>
      <w:r>
        <w:rPr/>
        <w:t>Metropolitan governance. Evaluation of metropolitan coordination in Toluca</w:t>
      </w:r>
    </w:p>
    <w:p>
      <w:pPr>
        <w:spacing w:before="207"/>
        <w:ind w:left="300" w:right="-10" w:firstLine="0"/>
        <w:jc w:val="left"/>
        <w:rPr>
          <w:b/>
          <w:sz w:val="24"/>
        </w:rPr>
      </w:pPr>
      <w:r>
        <w:rPr>
          <w:b/>
          <w:sz w:val="24"/>
        </w:rPr>
        <w:t>Abstract</w:t>
      </w:r>
    </w:p>
    <w:p>
      <w:pPr>
        <w:pStyle w:val="BodyText"/>
        <w:rPr>
          <w:b/>
          <w:sz w:val="21"/>
        </w:rPr>
      </w:pPr>
    </w:p>
    <w:p>
      <w:pPr>
        <w:pStyle w:val="BodyText"/>
        <w:spacing w:line="249" w:lineRule="auto"/>
        <w:ind w:left="130" w:right="127" w:firstLine="170"/>
        <w:jc w:val="both"/>
      </w:pPr>
      <w:r>
        <w:rPr/>
        <w:t>Transformations</w:t>
      </w:r>
      <w:r>
        <w:rPr>
          <w:spacing w:val="-15"/>
        </w:rPr>
        <w:t> </w:t>
      </w:r>
      <w:r>
        <w:rPr/>
        <w:t>of</w:t>
      </w:r>
      <w:r>
        <w:rPr>
          <w:spacing w:val="-15"/>
        </w:rPr>
        <w:t> </w:t>
      </w:r>
      <w:r>
        <w:rPr/>
        <w:t>the</w:t>
      </w:r>
      <w:r>
        <w:rPr>
          <w:spacing w:val="-15"/>
        </w:rPr>
        <w:t> </w:t>
      </w:r>
      <w:r>
        <w:rPr/>
        <w:t>State</w:t>
      </w:r>
      <w:r>
        <w:rPr>
          <w:spacing w:val="-15"/>
        </w:rPr>
        <w:t> </w:t>
      </w:r>
      <w:r>
        <w:rPr/>
        <w:t>acquire</w:t>
      </w:r>
      <w:r>
        <w:rPr>
          <w:spacing w:val="-15"/>
        </w:rPr>
        <w:t> </w:t>
      </w:r>
      <w:r>
        <w:rPr/>
        <w:t>interest</w:t>
      </w:r>
      <w:r>
        <w:rPr>
          <w:spacing w:val="-15"/>
        </w:rPr>
        <w:t> </w:t>
      </w:r>
      <w:r>
        <w:rPr/>
        <w:t>in</w:t>
      </w:r>
      <w:r>
        <w:rPr>
          <w:spacing w:val="-15"/>
        </w:rPr>
        <w:t> </w:t>
      </w:r>
      <w:r>
        <w:rPr/>
        <w:t>interacting</w:t>
      </w:r>
      <w:r>
        <w:rPr>
          <w:spacing w:val="-15"/>
        </w:rPr>
        <w:t> </w:t>
      </w:r>
      <w:r>
        <w:rPr/>
        <w:t>with</w:t>
      </w:r>
      <w:r>
        <w:rPr>
          <w:spacing w:val="-15"/>
        </w:rPr>
        <w:t> </w:t>
      </w:r>
      <w:r>
        <w:rPr/>
        <w:t>the</w:t>
      </w:r>
      <w:r>
        <w:rPr>
          <w:spacing w:val="-15"/>
        </w:rPr>
        <w:t> </w:t>
      </w:r>
      <w:r>
        <w:rPr/>
        <w:t>cities</w:t>
      </w:r>
      <w:r>
        <w:rPr>
          <w:spacing w:val="-15"/>
        </w:rPr>
        <w:t> </w:t>
      </w:r>
      <w:r>
        <w:rPr/>
        <w:t>for</w:t>
      </w:r>
      <w:r>
        <w:rPr>
          <w:spacing w:val="-15"/>
        </w:rPr>
        <w:t> </w:t>
      </w:r>
      <w:r>
        <w:rPr/>
        <w:t>design</w:t>
      </w:r>
      <w:r>
        <w:rPr>
          <w:spacing w:val="-15"/>
        </w:rPr>
        <w:t> </w:t>
      </w:r>
      <w:r>
        <w:rPr/>
        <w:t>and action in public affairs, where governance allows integration and cooperation between agents and actors. The objective in this chapter is to examine if there are changes in the model of traditional government in metropolitan coordination of the Toluca after several decades of experience. Document review on the scope of governance and urban management decentralized in the international context to perform the evaluation takes place. In the State of Mexico, the relationship of the State with society and the municipal level is hierarchical and central, administrative decentralization reached the level of state government with low opening to civil society so that the governance of</w:t>
      </w:r>
      <w:r>
        <w:rPr>
          <w:spacing w:val="-2"/>
        </w:rPr>
        <w:t> </w:t>
      </w:r>
      <w:r>
        <w:rPr/>
        <w:t>the</w:t>
      </w:r>
    </w:p>
    <w:p>
      <w:pPr>
        <w:spacing w:after="0" w:line="249" w:lineRule="auto"/>
        <w:jc w:val="both"/>
        <w:sectPr>
          <w:type w:val="continuous"/>
          <w:pgSz w:w="18830" w:h="12760" w:orient="landscape"/>
          <w:pgMar w:top="1420" w:bottom="280" w:left="720" w:right="720"/>
          <w:cols w:num="2" w:equalWidth="0">
            <w:col w:w="7841" w:space="1570"/>
            <w:col w:w="7979"/>
          </w:cols>
        </w:sectPr>
      </w:pPr>
    </w:p>
    <w:p>
      <w:pPr>
        <w:pStyle w:val="BodyText"/>
        <w:spacing w:before="6"/>
        <w:rPr>
          <w:sz w:val="23"/>
        </w:rPr>
      </w:pPr>
    </w:p>
    <w:p>
      <w:pPr>
        <w:spacing w:after="0"/>
        <w:rPr>
          <w:sz w:val="23"/>
        </w:rPr>
        <w:sectPr>
          <w:footerReference w:type="default" r:id="rId450"/>
          <w:pgSz w:w="18830" w:h="12760" w:orient="landscape"/>
          <w:pgMar w:footer="1036" w:header="522" w:top="820" w:bottom="1220" w:left="720" w:right="720"/>
        </w:sectPr>
      </w:pPr>
    </w:p>
    <w:p>
      <w:pPr>
        <w:pStyle w:val="BodyText"/>
        <w:spacing w:line="249" w:lineRule="auto" w:before="76"/>
        <w:ind w:left="130"/>
        <w:jc w:val="both"/>
      </w:pPr>
      <w:r>
        <w:rPr/>
        <w:t>city faces barriers. Therefore, suggested incorporating multi-scale participatory local government schemes and cooperative horizontal to correct the effects of fragmented decisions.</w:t>
      </w:r>
    </w:p>
    <w:p>
      <w:pPr>
        <w:pStyle w:val="BodyText"/>
        <w:spacing w:before="9"/>
        <w:rPr>
          <w:sz w:val="18"/>
        </w:rPr>
      </w:pPr>
    </w:p>
    <w:p>
      <w:pPr>
        <w:pStyle w:val="BodyText"/>
        <w:spacing w:before="1"/>
        <w:ind w:left="130"/>
        <w:jc w:val="both"/>
      </w:pPr>
      <w:r>
        <w:rPr>
          <w:b/>
          <w:i/>
        </w:rPr>
        <w:t>Key words: </w:t>
      </w:r>
      <w:r>
        <w:rPr/>
        <w:t>territorial fragmentation, governance, government  multiscale</w:t>
      </w:r>
    </w:p>
    <w:p>
      <w:pPr>
        <w:pStyle w:val="BodyText"/>
        <w:spacing w:before="6"/>
      </w:pPr>
    </w:p>
    <w:p>
      <w:pPr>
        <w:pStyle w:val="Heading1"/>
        <w:ind w:right="-7"/>
      </w:pPr>
      <w:r>
        <w:rPr/>
        <w:t>Introducción</w:t>
      </w:r>
    </w:p>
    <w:p>
      <w:pPr>
        <w:pStyle w:val="BodyText"/>
        <w:rPr>
          <w:b/>
          <w:sz w:val="24"/>
        </w:rPr>
      </w:pPr>
    </w:p>
    <w:p>
      <w:pPr>
        <w:pStyle w:val="BodyText"/>
        <w:spacing w:line="249" w:lineRule="auto" w:before="205"/>
        <w:ind w:left="130" w:firstLine="170"/>
        <w:jc w:val="both"/>
      </w:pPr>
      <w:r>
        <w:rPr/>
        <w:t>La relación del Estado-sociedad es un debate de larga trayectoria pero que en las últimas décadas se ha revisado con mayor atención, a la luz de tres procesos actuales interrelacionados. En el contexto de la globalización, se revisa la estructura, el papel    y las funciones del Estado-nación que comparte responsabilidades con instituciones  de orden internacional. En política interna nacional, con la instauración del modelo neoliberal, se observan cambios del Estado en su relación con el mercado, las macro políticas económicas y consecuentes adecuaciones de políticas públicas. Ambos procesos</w:t>
      </w:r>
      <w:r>
        <w:rPr>
          <w:spacing w:val="-6"/>
        </w:rPr>
        <w:t> </w:t>
      </w:r>
      <w:r>
        <w:rPr/>
        <w:t>impactaron</w:t>
      </w:r>
      <w:r>
        <w:rPr>
          <w:spacing w:val="-6"/>
        </w:rPr>
        <w:t> </w:t>
      </w:r>
      <w:r>
        <w:rPr/>
        <w:t>la</w:t>
      </w:r>
      <w:r>
        <w:rPr>
          <w:spacing w:val="-6"/>
        </w:rPr>
        <w:t> </w:t>
      </w:r>
      <w:r>
        <w:rPr/>
        <w:t>naturaleza</w:t>
      </w:r>
      <w:r>
        <w:rPr>
          <w:spacing w:val="-6"/>
        </w:rPr>
        <w:t> </w:t>
      </w:r>
      <w:r>
        <w:rPr/>
        <w:t>de</w:t>
      </w:r>
      <w:r>
        <w:rPr>
          <w:spacing w:val="-6"/>
        </w:rPr>
        <w:t> </w:t>
      </w:r>
      <w:r>
        <w:rPr/>
        <w:t>la</w:t>
      </w:r>
      <w:r>
        <w:rPr>
          <w:spacing w:val="-6"/>
        </w:rPr>
        <w:t> </w:t>
      </w:r>
      <w:r>
        <w:rPr/>
        <w:t>relación</w:t>
      </w:r>
      <w:r>
        <w:rPr>
          <w:spacing w:val="-6"/>
        </w:rPr>
        <w:t> </w:t>
      </w:r>
      <w:r>
        <w:rPr/>
        <w:t>Estado-sociedad,</w:t>
      </w:r>
      <w:r>
        <w:rPr>
          <w:spacing w:val="-6"/>
        </w:rPr>
        <w:t> </w:t>
      </w:r>
      <w:r>
        <w:rPr/>
        <w:t>así</w:t>
      </w:r>
      <w:r>
        <w:rPr>
          <w:spacing w:val="-6"/>
        </w:rPr>
        <w:t> </w:t>
      </w:r>
      <w:r>
        <w:rPr/>
        <w:t>el</w:t>
      </w:r>
      <w:r>
        <w:rPr>
          <w:spacing w:val="-6"/>
        </w:rPr>
        <w:t> </w:t>
      </w:r>
      <w:r>
        <w:rPr/>
        <w:t>tercer</w:t>
      </w:r>
      <w:r>
        <w:rPr>
          <w:spacing w:val="-6"/>
        </w:rPr>
        <w:t> </w:t>
      </w:r>
      <w:r>
        <w:rPr/>
        <w:t>aspecto que cambia es la emergencia de intereses, de las élites del poder, organizaciones sociales formales y de</w:t>
      </w:r>
      <w:r>
        <w:rPr>
          <w:spacing w:val="24"/>
        </w:rPr>
        <w:t> </w:t>
      </w:r>
      <w:r>
        <w:rPr/>
        <w:t>grupos.</w:t>
      </w:r>
    </w:p>
    <w:p>
      <w:pPr>
        <w:pStyle w:val="BodyText"/>
        <w:spacing w:before="11"/>
      </w:pPr>
    </w:p>
    <w:p>
      <w:pPr>
        <w:pStyle w:val="BodyText"/>
        <w:spacing w:line="249" w:lineRule="auto"/>
        <w:ind w:left="130" w:firstLine="170"/>
        <w:jc w:val="both"/>
      </w:pPr>
      <w:r>
        <w:rPr/>
        <w:t>En el contexto internacional ha cobrado interés analítico las nuevas formas de relaciones entre las tres esferas, Estado-mercado-sociedad civil, ello ha derivado en grados e intensidad de apertura e interacción, se ha empoderado el accionar general enfrentando juegos de equilibrios  difíciles  y  métodos  de  participación  complejos.  La naturaleza actual del Estado dio pasos de ser el único actor responsable de la conducción de la sociedad hacia otra de cooperación e involucramiento en situación  de alta complejidad, todo ello se recoge en el concepto de gobernanza. Suele referirse a los arreglos formales e informales, que determinan el modo en que se toman las decisiones</w:t>
      </w:r>
      <w:r>
        <w:rPr>
          <w:spacing w:val="-11"/>
        </w:rPr>
        <w:t> </w:t>
      </w:r>
      <w:r>
        <w:rPr/>
        <w:t>y</w:t>
      </w:r>
      <w:r>
        <w:rPr>
          <w:spacing w:val="-11"/>
        </w:rPr>
        <w:t> </w:t>
      </w:r>
      <w:r>
        <w:rPr/>
        <w:t>ejecutan</w:t>
      </w:r>
      <w:r>
        <w:rPr>
          <w:spacing w:val="-11"/>
        </w:rPr>
        <w:t> </w:t>
      </w:r>
      <w:r>
        <w:rPr/>
        <w:t>acciones</w:t>
      </w:r>
      <w:r>
        <w:rPr>
          <w:spacing w:val="-11"/>
        </w:rPr>
        <w:t> </w:t>
      </w:r>
      <w:r>
        <w:rPr/>
        <w:t>entre</w:t>
      </w:r>
      <w:r>
        <w:rPr>
          <w:spacing w:val="-11"/>
        </w:rPr>
        <w:t> </w:t>
      </w:r>
      <w:r>
        <w:rPr/>
        <w:t>los</w:t>
      </w:r>
      <w:r>
        <w:rPr>
          <w:spacing w:val="-11"/>
        </w:rPr>
        <w:t> </w:t>
      </w:r>
      <w:r>
        <w:rPr/>
        <w:t>agentes,</w:t>
      </w:r>
      <w:r>
        <w:rPr>
          <w:spacing w:val="-11"/>
        </w:rPr>
        <w:t> </w:t>
      </w:r>
      <w:r>
        <w:rPr/>
        <w:t>actores</w:t>
      </w:r>
      <w:r>
        <w:rPr>
          <w:spacing w:val="-11"/>
        </w:rPr>
        <w:t> </w:t>
      </w:r>
      <w:r>
        <w:rPr/>
        <w:t>y</w:t>
      </w:r>
      <w:r>
        <w:rPr>
          <w:spacing w:val="-11"/>
        </w:rPr>
        <w:t> </w:t>
      </w:r>
      <w:r>
        <w:rPr/>
        <w:t>sujetos;</w:t>
      </w:r>
      <w:r>
        <w:rPr>
          <w:spacing w:val="-11"/>
        </w:rPr>
        <w:t> </w:t>
      </w:r>
      <w:r>
        <w:rPr/>
        <w:t>ya</w:t>
      </w:r>
      <w:r>
        <w:rPr>
          <w:spacing w:val="-11"/>
        </w:rPr>
        <w:t> </w:t>
      </w:r>
      <w:r>
        <w:rPr/>
        <w:t>sea</w:t>
      </w:r>
      <w:r>
        <w:rPr>
          <w:spacing w:val="-11"/>
        </w:rPr>
        <w:t> </w:t>
      </w:r>
      <w:r>
        <w:rPr/>
        <w:t>los</w:t>
      </w:r>
      <w:r>
        <w:rPr>
          <w:spacing w:val="-11"/>
        </w:rPr>
        <w:t> </w:t>
      </w:r>
      <w:r>
        <w:rPr/>
        <w:t>intereses de la administración, del sector privado, de las organizaciones civiles en los territorios (regiones, ciudades, barrios y comunidades). La gobernanza, en tanto objetivo social, es en sí misma un asunto de política</w:t>
      </w:r>
      <w:r>
        <w:rPr>
          <w:spacing w:val="24"/>
        </w:rPr>
        <w:t> </w:t>
      </w:r>
      <w:r>
        <w:rPr/>
        <w:t>pública.</w:t>
      </w:r>
    </w:p>
    <w:p>
      <w:pPr>
        <w:pStyle w:val="BodyText"/>
        <w:spacing w:before="11"/>
      </w:pPr>
    </w:p>
    <w:p>
      <w:pPr>
        <w:pStyle w:val="BodyText"/>
        <w:spacing w:line="249" w:lineRule="auto"/>
        <w:ind w:left="130" w:firstLine="170"/>
        <w:jc w:val="both"/>
      </w:pPr>
      <w:r>
        <w:rPr/>
        <w:t>En México existen dos vertientes al respecto, la primera, la discusión académica que persigue</w:t>
      </w:r>
      <w:r>
        <w:rPr>
          <w:spacing w:val="-7"/>
        </w:rPr>
        <w:t> </w:t>
      </w:r>
      <w:r>
        <w:rPr/>
        <w:t>identificar</w:t>
      </w:r>
      <w:r>
        <w:rPr>
          <w:spacing w:val="-7"/>
        </w:rPr>
        <w:t> </w:t>
      </w:r>
      <w:r>
        <w:rPr/>
        <w:t>y</w:t>
      </w:r>
      <w:r>
        <w:rPr>
          <w:spacing w:val="-7"/>
        </w:rPr>
        <w:t> </w:t>
      </w:r>
      <w:r>
        <w:rPr/>
        <w:t>aplicar</w:t>
      </w:r>
      <w:r>
        <w:rPr>
          <w:spacing w:val="-7"/>
        </w:rPr>
        <w:t> </w:t>
      </w:r>
      <w:r>
        <w:rPr/>
        <w:t>gobernanza</w:t>
      </w:r>
      <w:r>
        <w:rPr>
          <w:spacing w:val="-7"/>
        </w:rPr>
        <w:t> </w:t>
      </w:r>
      <w:r>
        <w:rPr/>
        <w:t>en</w:t>
      </w:r>
      <w:r>
        <w:rPr>
          <w:spacing w:val="-7"/>
        </w:rPr>
        <w:t> </w:t>
      </w:r>
      <w:r>
        <w:rPr/>
        <w:t>asuntos</w:t>
      </w:r>
      <w:r>
        <w:rPr>
          <w:spacing w:val="-7"/>
        </w:rPr>
        <w:t> </w:t>
      </w:r>
      <w:r>
        <w:rPr/>
        <w:t>de</w:t>
      </w:r>
      <w:r>
        <w:rPr>
          <w:spacing w:val="-7"/>
        </w:rPr>
        <w:t> </w:t>
      </w:r>
      <w:r>
        <w:rPr/>
        <w:t>políticas</w:t>
      </w:r>
      <w:r>
        <w:rPr>
          <w:spacing w:val="-7"/>
        </w:rPr>
        <w:t> </w:t>
      </w:r>
      <w:r>
        <w:rPr/>
        <w:t>públicas</w:t>
      </w:r>
      <w:r>
        <w:rPr>
          <w:spacing w:val="-7"/>
        </w:rPr>
        <w:t> </w:t>
      </w:r>
      <w:r>
        <w:rPr/>
        <w:t>horizontales</w:t>
      </w:r>
      <w:r>
        <w:rPr>
          <w:spacing w:val="-7"/>
        </w:rPr>
        <w:t> </w:t>
      </w:r>
      <w:r>
        <w:rPr/>
        <w:t>y socialmente incluyentes frente a los problemas de déficit y desigualdades no resueltas por los esquemas tradicionales, vertical y central. La segunda, la vertiente prescriptiva, son las recomendaciones de los organismos internacionales, en los que está suscrito México que recomiendan ajustes en la administración pública, con criterios de eficiencia, equidad, transparencia, competitividad y sustentabilidad e incorporar a la sociedad en las políticas públicas. En fin gobiernos abiertos con rendición de </w:t>
      </w:r>
      <w:r>
        <w:rPr>
          <w:spacing w:val="24"/>
        </w:rPr>
        <w:t> </w:t>
      </w:r>
      <w:r>
        <w:rPr/>
        <w:t>cuentas.</w:t>
      </w:r>
    </w:p>
    <w:p>
      <w:pPr>
        <w:pStyle w:val="BodyText"/>
        <w:spacing w:line="249" w:lineRule="auto" w:before="76"/>
        <w:ind w:left="130" w:right="127" w:firstLine="170"/>
        <w:jc w:val="both"/>
      </w:pPr>
      <w:r>
        <w:rPr/>
        <w:br w:type="column"/>
      </w:r>
      <w:r>
        <w:rPr/>
        <w:t>En la experiencia mexicana existen escasos ejemplos con énfasis en participación  de la sociedad civil vinculados con los programas públicos urbanos en barrios y comunidades los que se caracterizan por ser local y parciales; de organizaciones civiles en proyectos productivos y ambientales auto organizados con objetivos socio económicos en regiones y micro regiones; la acción del par público–sector empresarial que atienden asuntos públicos con lógicas de beneficio económico. No obstante predomina la forma tradicional del “Estado que gobierna”, donde ni la sociedad civil,   ni el municipio son tomados en cuenta en el diseño, ejecución de planes, programas y proyectos y evaluación de los</w:t>
      </w:r>
      <w:r>
        <w:rPr>
          <w:spacing w:val="43"/>
        </w:rPr>
        <w:t> </w:t>
      </w:r>
      <w:r>
        <w:rPr/>
        <w:t>mismos.</w:t>
      </w:r>
    </w:p>
    <w:p>
      <w:pPr>
        <w:pStyle w:val="BodyText"/>
        <w:spacing w:before="11"/>
      </w:pPr>
    </w:p>
    <w:p>
      <w:pPr>
        <w:pStyle w:val="BodyText"/>
        <w:spacing w:line="249" w:lineRule="auto"/>
        <w:ind w:left="130" w:right="128" w:firstLine="170"/>
        <w:jc w:val="both"/>
      </w:pPr>
      <w:r>
        <w:rPr/>
        <w:t>En este contexto de propagación de la gobernanza en el orden internacional, el objetivo de este trabajo es examinar las transformaciones del Estado y sus vínculos con los territorios y las ciudades, toda vez que son actores, agentes y sujetos directos para definir los asuntos públicos en la búsqueda del bien común. Con énfasis en       las adecuaciones para atender los problemas de fragmentación de la coordinación metropolitana –política, social, espacial- en la ciudad de </w:t>
      </w:r>
      <w:r>
        <w:rPr>
          <w:spacing w:val="1"/>
        </w:rPr>
        <w:t> </w:t>
      </w:r>
      <w:r>
        <w:rPr/>
        <w:t>Toluca.</w:t>
      </w:r>
    </w:p>
    <w:p>
      <w:pPr>
        <w:pStyle w:val="BodyText"/>
        <w:spacing w:before="11"/>
      </w:pPr>
    </w:p>
    <w:p>
      <w:pPr>
        <w:pStyle w:val="BodyText"/>
        <w:spacing w:line="249" w:lineRule="auto"/>
        <w:ind w:left="130" w:right="127" w:firstLine="170"/>
        <w:jc w:val="both"/>
      </w:pPr>
      <w:r>
        <w:rPr/>
        <w:t>Para ello este capítulo, luego de la introducción se estructura por cinco apartados más: el segundo, revisa en forma sucinta el concepto y tipos de gobernanza, el vínculo Estado,sociedad y territorio, en contextos europeos; el tercer apartado, presenta concepciones de gobernanza metropolitana donde se revisa efectos y limitaciones;     el cuarto apartado, aborda la descentralización de la gestión urbana en ciudades       de América Latina, como una cara de la gobernanza; el quinto apartado, evalúa la coordinación metropolitana de Toluca a la luz de la gestión y gobernanza previamente revisados; y el sexto apartado cierra con sugerencias de adopción de la gobernanza con énfasis en un gobierno participativo multiescalar y cooperativo horizontal desde abajo hacia</w:t>
      </w:r>
      <w:r>
        <w:rPr>
          <w:spacing w:val="2"/>
        </w:rPr>
        <w:t> </w:t>
      </w:r>
      <w:r>
        <w:rPr/>
        <w:t>arriba.</w:t>
      </w:r>
    </w:p>
    <w:p>
      <w:pPr>
        <w:pStyle w:val="BodyText"/>
        <w:spacing w:before="8"/>
        <w:rPr>
          <w:sz w:val="17"/>
        </w:rPr>
      </w:pPr>
    </w:p>
    <w:p>
      <w:pPr>
        <w:pStyle w:val="Heading1"/>
        <w:ind w:right="-10"/>
      </w:pPr>
      <w:r>
        <w:rPr/>
        <w:t>Concepto de gobernanza, componentes y tipos</w:t>
      </w:r>
    </w:p>
    <w:p>
      <w:pPr>
        <w:pStyle w:val="BodyText"/>
        <w:rPr>
          <w:b/>
          <w:sz w:val="21"/>
        </w:rPr>
      </w:pPr>
    </w:p>
    <w:p>
      <w:pPr>
        <w:pStyle w:val="BodyText"/>
        <w:spacing w:line="249" w:lineRule="auto"/>
        <w:ind w:left="130" w:right="127" w:firstLine="170"/>
        <w:jc w:val="both"/>
      </w:pPr>
      <w:r>
        <w:rPr/>
        <w:t>Históricamente, el concepto de gobernanza irrumpe en el ámbito internacional de  las políticas públicas a través de la promoción de recomendaciones y sugerencias de organismos internacionales monetarios como el Banco Mundial en la década de 1970. La</w:t>
      </w:r>
      <w:r>
        <w:rPr>
          <w:spacing w:val="-3"/>
        </w:rPr>
        <w:t> </w:t>
      </w:r>
      <w:r>
        <w:rPr/>
        <w:t>gobernanza</w:t>
      </w:r>
      <w:r>
        <w:rPr>
          <w:spacing w:val="-3"/>
        </w:rPr>
        <w:t> </w:t>
      </w:r>
      <w:r>
        <w:rPr/>
        <w:t>se</w:t>
      </w:r>
      <w:r>
        <w:rPr>
          <w:spacing w:val="-3"/>
        </w:rPr>
        <w:t> </w:t>
      </w:r>
      <w:r>
        <w:rPr/>
        <w:t>dinamiza</w:t>
      </w:r>
      <w:r>
        <w:rPr>
          <w:spacing w:val="-3"/>
        </w:rPr>
        <w:t> </w:t>
      </w:r>
      <w:r>
        <w:rPr/>
        <w:t>en</w:t>
      </w:r>
      <w:r>
        <w:rPr>
          <w:spacing w:val="-3"/>
        </w:rPr>
        <w:t> </w:t>
      </w:r>
      <w:r>
        <w:rPr/>
        <w:t>la</w:t>
      </w:r>
      <w:r>
        <w:rPr>
          <w:spacing w:val="-3"/>
        </w:rPr>
        <w:t> </w:t>
      </w:r>
      <w:r>
        <w:rPr/>
        <w:t>década</w:t>
      </w:r>
      <w:r>
        <w:rPr>
          <w:spacing w:val="-3"/>
        </w:rPr>
        <w:t> </w:t>
      </w:r>
      <w:r>
        <w:rPr/>
        <w:t>de</w:t>
      </w:r>
      <w:r>
        <w:rPr>
          <w:spacing w:val="-3"/>
        </w:rPr>
        <w:t> </w:t>
      </w:r>
      <w:r>
        <w:rPr/>
        <w:t>1990</w:t>
      </w:r>
      <w:r>
        <w:rPr>
          <w:spacing w:val="-3"/>
        </w:rPr>
        <w:t> </w:t>
      </w:r>
      <w:r>
        <w:rPr/>
        <w:t>en</w:t>
      </w:r>
      <w:r>
        <w:rPr>
          <w:spacing w:val="-3"/>
        </w:rPr>
        <w:t> </w:t>
      </w:r>
      <w:r>
        <w:rPr/>
        <w:t>Estados</w:t>
      </w:r>
      <w:r>
        <w:rPr>
          <w:spacing w:val="-3"/>
        </w:rPr>
        <w:t> </w:t>
      </w:r>
      <w:r>
        <w:rPr/>
        <w:t>Unidos</w:t>
      </w:r>
      <w:r>
        <w:rPr>
          <w:spacing w:val="-3"/>
        </w:rPr>
        <w:t> </w:t>
      </w:r>
      <w:r>
        <w:rPr/>
        <w:t>y</w:t>
      </w:r>
      <w:r>
        <w:rPr>
          <w:spacing w:val="-3"/>
        </w:rPr>
        <w:t> </w:t>
      </w:r>
      <w:r>
        <w:rPr/>
        <w:t>Europa</w:t>
      </w:r>
      <w:r>
        <w:rPr>
          <w:spacing w:val="-3"/>
        </w:rPr>
        <w:t> </w:t>
      </w:r>
      <w:r>
        <w:rPr/>
        <w:t>cuando se considera al “Estado activador” (Harnik, 2010 en Flores, 2012). Los principios de gobernanza han venido a reformar la administración pública a través de objetivos de inclusión</w:t>
      </w:r>
      <w:r>
        <w:rPr>
          <w:spacing w:val="-4"/>
        </w:rPr>
        <w:t> </w:t>
      </w:r>
      <w:r>
        <w:rPr/>
        <w:t>social,</w:t>
      </w:r>
      <w:r>
        <w:rPr>
          <w:spacing w:val="-4"/>
        </w:rPr>
        <w:t> </w:t>
      </w:r>
      <w:r>
        <w:rPr/>
        <w:t>la</w:t>
      </w:r>
      <w:r>
        <w:rPr>
          <w:spacing w:val="-4"/>
        </w:rPr>
        <w:t> </w:t>
      </w:r>
      <w:r>
        <w:rPr/>
        <w:t>participación</w:t>
      </w:r>
      <w:r>
        <w:rPr>
          <w:spacing w:val="-4"/>
        </w:rPr>
        <w:t> </w:t>
      </w:r>
      <w:r>
        <w:rPr/>
        <w:t>de</w:t>
      </w:r>
      <w:r>
        <w:rPr>
          <w:spacing w:val="-4"/>
        </w:rPr>
        <w:t> </w:t>
      </w:r>
      <w:r>
        <w:rPr/>
        <w:t>la</w:t>
      </w:r>
      <w:r>
        <w:rPr>
          <w:spacing w:val="-4"/>
        </w:rPr>
        <w:t> </w:t>
      </w:r>
      <w:r>
        <w:rPr/>
        <w:t>sociedad</w:t>
      </w:r>
      <w:r>
        <w:rPr>
          <w:spacing w:val="-4"/>
        </w:rPr>
        <w:t> </w:t>
      </w:r>
      <w:r>
        <w:rPr/>
        <w:t>civil</w:t>
      </w:r>
      <w:r>
        <w:rPr>
          <w:spacing w:val="-4"/>
        </w:rPr>
        <w:t> </w:t>
      </w:r>
      <w:r>
        <w:rPr/>
        <w:t>y</w:t>
      </w:r>
      <w:r>
        <w:rPr>
          <w:spacing w:val="-4"/>
        </w:rPr>
        <w:t> </w:t>
      </w:r>
      <w:r>
        <w:rPr/>
        <w:t>la</w:t>
      </w:r>
      <w:r>
        <w:rPr>
          <w:spacing w:val="-4"/>
        </w:rPr>
        <w:t> </w:t>
      </w:r>
      <w:r>
        <w:rPr/>
        <w:t>responsabilidad</w:t>
      </w:r>
      <w:r>
        <w:rPr>
          <w:spacing w:val="-4"/>
        </w:rPr>
        <w:t> </w:t>
      </w:r>
      <w:r>
        <w:rPr/>
        <w:t>hacia</w:t>
      </w:r>
      <w:r>
        <w:rPr>
          <w:spacing w:val="-4"/>
        </w:rPr>
        <w:t> </w:t>
      </w:r>
      <w:r>
        <w:rPr/>
        <w:t>el</w:t>
      </w:r>
      <w:r>
        <w:rPr>
          <w:spacing w:val="-4"/>
        </w:rPr>
        <w:t> </w:t>
      </w:r>
      <w:r>
        <w:rPr/>
        <w:t>interés colectivo (Innerarity, 2006 en Flores,</w:t>
      </w:r>
      <w:r>
        <w:rPr>
          <w:spacing w:val="-20"/>
        </w:rPr>
        <w:t> </w:t>
      </w:r>
      <w:r>
        <w:rPr/>
        <w:t>2012).</w:t>
      </w:r>
    </w:p>
    <w:p>
      <w:pPr>
        <w:pStyle w:val="BodyText"/>
        <w:spacing w:before="11"/>
      </w:pPr>
    </w:p>
    <w:p>
      <w:pPr>
        <w:pStyle w:val="BodyText"/>
        <w:spacing w:line="249" w:lineRule="auto"/>
        <w:ind w:left="130" w:right="128" w:firstLine="170"/>
        <w:jc w:val="both"/>
      </w:pPr>
      <w:r>
        <w:rPr/>
        <w:t>En</w:t>
      </w:r>
      <w:r>
        <w:rPr>
          <w:spacing w:val="-21"/>
        </w:rPr>
        <w:t> </w:t>
      </w:r>
      <w:r>
        <w:rPr/>
        <w:t>la</w:t>
      </w:r>
      <w:r>
        <w:rPr>
          <w:spacing w:val="-21"/>
        </w:rPr>
        <w:t> </w:t>
      </w:r>
      <w:r>
        <w:rPr/>
        <w:t>perspectiva</w:t>
      </w:r>
      <w:r>
        <w:rPr>
          <w:spacing w:val="-21"/>
        </w:rPr>
        <w:t> </w:t>
      </w:r>
      <w:r>
        <w:rPr/>
        <w:t>prescriptiva</w:t>
      </w:r>
      <w:r>
        <w:rPr>
          <w:spacing w:val="-21"/>
        </w:rPr>
        <w:t> </w:t>
      </w:r>
      <w:r>
        <w:rPr/>
        <w:t>o</w:t>
      </w:r>
      <w:r>
        <w:rPr>
          <w:spacing w:val="-21"/>
        </w:rPr>
        <w:t> </w:t>
      </w:r>
      <w:r>
        <w:rPr/>
        <w:t>sugerida</w:t>
      </w:r>
      <w:r>
        <w:rPr>
          <w:spacing w:val="-21"/>
        </w:rPr>
        <w:t> </w:t>
      </w:r>
      <w:r>
        <w:rPr/>
        <w:t>por</w:t>
      </w:r>
      <w:r>
        <w:rPr>
          <w:spacing w:val="-21"/>
        </w:rPr>
        <w:t> </w:t>
      </w:r>
      <w:r>
        <w:rPr/>
        <w:t>los</w:t>
      </w:r>
      <w:r>
        <w:rPr>
          <w:spacing w:val="-21"/>
        </w:rPr>
        <w:t> </w:t>
      </w:r>
      <w:r>
        <w:rPr/>
        <w:t>organismos</w:t>
      </w:r>
      <w:r>
        <w:rPr>
          <w:spacing w:val="-21"/>
        </w:rPr>
        <w:t> </w:t>
      </w:r>
      <w:r>
        <w:rPr/>
        <w:t>y</w:t>
      </w:r>
      <w:r>
        <w:rPr>
          <w:spacing w:val="-21"/>
        </w:rPr>
        <w:t> </w:t>
      </w:r>
      <w:r>
        <w:rPr/>
        <w:t>agencias</w:t>
      </w:r>
      <w:r>
        <w:rPr>
          <w:spacing w:val="-21"/>
        </w:rPr>
        <w:t> </w:t>
      </w:r>
      <w:r>
        <w:rPr/>
        <w:t>internacionales “el</w:t>
      </w:r>
      <w:r>
        <w:rPr>
          <w:spacing w:val="-7"/>
        </w:rPr>
        <w:t> </w:t>
      </w:r>
      <w:r>
        <w:rPr/>
        <w:t>concepto</w:t>
      </w:r>
      <w:r>
        <w:rPr>
          <w:spacing w:val="-7"/>
        </w:rPr>
        <w:t> </w:t>
      </w:r>
      <w:r>
        <w:rPr/>
        <w:t>de</w:t>
      </w:r>
      <w:r>
        <w:rPr>
          <w:spacing w:val="-7"/>
        </w:rPr>
        <w:t> </w:t>
      </w:r>
      <w:r>
        <w:rPr/>
        <w:t>gobernanza</w:t>
      </w:r>
      <w:r>
        <w:rPr>
          <w:spacing w:val="-7"/>
        </w:rPr>
        <w:t> </w:t>
      </w:r>
      <w:r>
        <w:rPr/>
        <w:t>se</w:t>
      </w:r>
      <w:r>
        <w:rPr>
          <w:spacing w:val="-7"/>
        </w:rPr>
        <w:t> </w:t>
      </w:r>
      <w:r>
        <w:rPr/>
        <w:t>engrana</w:t>
      </w:r>
      <w:r>
        <w:rPr>
          <w:spacing w:val="-7"/>
        </w:rPr>
        <w:t> </w:t>
      </w:r>
      <w:r>
        <w:rPr/>
        <w:t>en</w:t>
      </w:r>
      <w:r>
        <w:rPr>
          <w:spacing w:val="-7"/>
        </w:rPr>
        <w:t> </w:t>
      </w:r>
      <w:r>
        <w:rPr/>
        <w:t>todo</w:t>
      </w:r>
      <w:r>
        <w:rPr>
          <w:spacing w:val="-7"/>
        </w:rPr>
        <w:t> </w:t>
      </w:r>
      <w:r>
        <w:rPr/>
        <w:t>un</w:t>
      </w:r>
      <w:r>
        <w:rPr>
          <w:spacing w:val="-7"/>
        </w:rPr>
        <w:t> </w:t>
      </w:r>
      <w:r>
        <w:rPr/>
        <w:t>proceso</w:t>
      </w:r>
      <w:r>
        <w:rPr>
          <w:spacing w:val="-7"/>
        </w:rPr>
        <w:t> </w:t>
      </w:r>
      <w:r>
        <w:rPr/>
        <w:t>de</w:t>
      </w:r>
      <w:r>
        <w:rPr>
          <w:spacing w:val="-7"/>
        </w:rPr>
        <w:t> </w:t>
      </w:r>
      <w:r>
        <w:rPr/>
        <w:t>generación</w:t>
      </w:r>
      <w:r>
        <w:rPr>
          <w:spacing w:val="-7"/>
        </w:rPr>
        <w:t> </w:t>
      </w:r>
      <w:r>
        <w:rPr/>
        <w:t>y</w:t>
      </w:r>
      <w:r>
        <w:rPr>
          <w:spacing w:val="-7"/>
        </w:rPr>
        <w:t> </w:t>
      </w:r>
      <w:r>
        <w:rPr/>
        <w:t>circulación de</w:t>
      </w:r>
      <w:r>
        <w:rPr>
          <w:spacing w:val="-4"/>
        </w:rPr>
        <w:t> </w:t>
      </w:r>
      <w:r>
        <w:rPr/>
        <w:t>modelos</w:t>
      </w:r>
      <w:r>
        <w:rPr>
          <w:spacing w:val="-4"/>
        </w:rPr>
        <w:t> </w:t>
      </w:r>
      <w:r>
        <w:rPr/>
        <w:t>a</w:t>
      </w:r>
      <w:r>
        <w:rPr>
          <w:spacing w:val="-4"/>
        </w:rPr>
        <w:t> </w:t>
      </w:r>
      <w:r>
        <w:rPr/>
        <w:t>nivel</w:t>
      </w:r>
      <w:r>
        <w:rPr>
          <w:spacing w:val="-4"/>
        </w:rPr>
        <w:t> </w:t>
      </w:r>
      <w:r>
        <w:rPr/>
        <w:t>global</w:t>
      </w:r>
      <w:r>
        <w:rPr>
          <w:spacing w:val="-4"/>
        </w:rPr>
        <w:t> </w:t>
      </w:r>
      <w:r>
        <w:rPr/>
        <w:t>que</w:t>
      </w:r>
      <w:r>
        <w:rPr>
          <w:spacing w:val="-4"/>
        </w:rPr>
        <w:t> </w:t>
      </w:r>
      <w:r>
        <w:rPr/>
        <w:t>se</w:t>
      </w:r>
      <w:r>
        <w:rPr>
          <w:spacing w:val="-4"/>
        </w:rPr>
        <w:t> </w:t>
      </w:r>
      <w:r>
        <w:rPr/>
        <w:t>difunden</w:t>
      </w:r>
      <w:r>
        <w:rPr>
          <w:spacing w:val="-4"/>
        </w:rPr>
        <w:t> </w:t>
      </w:r>
      <w:r>
        <w:rPr/>
        <w:t>y</w:t>
      </w:r>
      <w:r>
        <w:rPr>
          <w:spacing w:val="-4"/>
        </w:rPr>
        <w:t> </w:t>
      </w:r>
      <w:r>
        <w:rPr/>
        <w:t>aplican</w:t>
      </w:r>
      <w:r>
        <w:rPr>
          <w:spacing w:val="-4"/>
        </w:rPr>
        <w:t> </w:t>
      </w:r>
      <w:r>
        <w:rPr/>
        <w:t>a</w:t>
      </w:r>
      <w:r>
        <w:rPr>
          <w:spacing w:val="-4"/>
        </w:rPr>
        <w:t> </w:t>
      </w:r>
      <w:r>
        <w:rPr/>
        <w:t>lo</w:t>
      </w:r>
      <w:r>
        <w:rPr>
          <w:spacing w:val="-4"/>
        </w:rPr>
        <w:t> </w:t>
      </w:r>
      <w:r>
        <w:rPr/>
        <w:t>largo</w:t>
      </w:r>
      <w:r>
        <w:rPr>
          <w:spacing w:val="-4"/>
        </w:rPr>
        <w:t> </w:t>
      </w:r>
      <w:r>
        <w:rPr/>
        <w:t>y</w:t>
      </w:r>
      <w:r>
        <w:rPr>
          <w:spacing w:val="-4"/>
        </w:rPr>
        <w:t> </w:t>
      </w:r>
      <w:r>
        <w:rPr/>
        <w:t>ancho</w:t>
      </w:r>
      <w:r>
        <w:rPr>
          <w:spacing w:val="-4"/>
        </w:rPr>
        <w:t> </w:t>
      </w:r>
      <w:r>
        <w:rPr/>
        <w:t>del</w:t>
      </w:r>
      <w:r>
        <w:rPr>
          <w:spacing w:val="-4"/>
        </w:rPr>
        <w:t> </w:t>
      </w:r>
      <w:r>
        <w:rPr/>
        <w:t>orbe”</w:t>
      </w:r>
      <w:r>
        <w:rPr>
          <w:spacing w:val="-4"/>
        </w:rPr>
        <w:t> </w:t>
      </w:r>
      <w:r>
        <w:rPr/>
        <w:t>(Serna,</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451"/>
          <w:pgSz w:w="18830" w:h="12760" w:orient="landscape"/>
          <w:pgMar w:footer="1036" w:header="522" w:top="820" w:bottom="1220" w:left="720" w:right="720"/>
        </w:sectPr>
      </w:pPr>
    </w:p>
    <w:p>
      <w:pPr>
        <w:pStyle w:val="BodyText"/>
        <w:spacing w:line="249" w:lineRule="auto" w:before="76"/>
        <w:ind w:left="136"/>
        <w:jc w:val="both"/>
      </w:pPr>
      <w:r>
        <w:rPr/>
        <w:t>2010: 392). Los Estados y los agentes externos forman parte de una estructura social mundial</w:t>
      </w:r>
      <w:r>
        <w:rPr>
          <w:spacing w:val="-18"/>
        </w:rPr>
        <w:t> </w:t>
      </w:r>
      <w:r>
        <w:rPr/>
        <w:t>dinámica,</w:t>
      </w:r>
      <w:r>
        <w:rPr>
          <w:spacing w:val="-18"/>
        </w:rPr>
        <w:t> </w:t>
      </w:r>
      <w:r>
        <w:rPr/>
        <w:t>competitiva</w:t>
      </w:r>
      <w:r>
        <w:rPr>
          <w:spacing w:val="-18"/>
        </w:rPr>
        <w:t> </w:t>
      </w:r>
      <w:r>
        <w:rPr/>
        <w:t>y</w:t>
      </w:r>
      <w:r>
        <w:rPr>
          <w:spacing w:val="-18"/>
        </w:rPr>
        <w:t> </w:t>
      </w:r>
      <w:r>
        <w:rPr/>
        <w:t>conflictiva,</w:t>
      </w:r>
      <w:r>
        <w:rPr>
          <w:spacing w:val="-18"/>
        </w:rPr>
        <w:t> </w:t>
      </w:r>
      <w:r>
        <w:rPr/>
        <w:t>en</w:t>
      </w:r>
      <w:r>
        <w:rPr>
          <w:spacing w:val="-18"/>
        </w:rPr>
        <w:t> </w:t>
      </w:r>
      <w:r>
        <w:rPr/>
        <w:t>la</w:t>
      </w:r>
      <w:r>
        <w:rPr>
          <w:spacing w:val="-18"/>
        </w:rPr>
        <w:t> </w:t>
      </w:r>
      <w:r>
        <w:rPr/>
        <w:t>que</w:t>
      </w:r>
      <w:r>
        <w:rPr>
          <w:spacing w:val="-18"/>
        </w:rPr>
        <w:t> </w:t>
      </w:r>
      <w:r>
        <w:rPr/>
        <w:t>los</w:t>
      </w:r>
      <w:r>
        <w:rPr>
          <w:spacing w:val="-18"/>
        </w:rPr>
        <w:t> </w:t>
      </w:r>
      <w:r>
        <w:rPr/>
        <w:t>protagonistas</w:t>
      </w:r>
      <w:r>
        <w:rPr>
          <w:spacing w:val="-18"/>
        </w:rPr>
        <w:t> </w:t>
      </w:r>
      <w:r>
        <w:rPr/>
        <w:t>no</w:t>
      </w:r>
      <w:r>
        <w:rPr>
          <w:spacing w:val="-18"/>
        </w:rPr>
        <w:t> </w:t>
      </w:r>
      <w:r>
        <w:rPr/>
        <w:t>son</w:t>
      </w:r>
      <w:r>
        <w:rPr>
          <w:spacing w:val="-18"/>
        </w:rPr>
        <w:t> </w:t>
      </w:r>
      <w:r>
        <w:rPr/>
        <w:t>solamente los Estados, sino que incluye a entidades como organismos internacionales de diverso tipo, empresas transnacionales, ONG´s nacionales e internacionales, instituciones académicas, </w:t>
      </w:r>
      <w:r>
        <w:rPr>
          <w:i/>
        </w:rPr>
        <w:t>thinks tanks</w:t>
      </w:r>
      <w:r>
        <w:rPr/>
        <w:t>, comunidades científicas y de expertos. Los agentes externos,</w:t>
      </w:r>
      <w:r>
        <w:rPr>
          <w:spacing w:val="-5"/>
        </w:rPr>
        <w:t> </w:t>
      </w:r>
      <w:r>
        <w:rPr/>
        <w:t>tales</w:t>
      </w:r>
      <w:r>
        <w:rPr>
          <w:spacing w:val="-5"/>
        </w:rPr>
        <w:t> </w:t>
      </w:r>
      <w:r>
        <w:rPr/>
        <w:t>como</w:t>
      </w:r>
      <w:r>
        <w:rPr>
          <w:spacing w:val="-5"/>
        </w:rPr>
        <w:t> </w:t>
      </w:r>
      <w:r>
        <w:rPr/>
        <w:t>el</w:t>
      </w:r>
      <w:r>
        <w:rPr>
          <w:spacing w:val="-5"/>
        </w:rPr>
        <w:t> </w:t>
      </w:r>
      <w:r>
        <w:rPr/>
        <w:t>Banco</w:t>
      </w:r>
      <w:r>
        <w:rPr>
          <w:spacing w:val="-5"/>
        </w:rPr>
        <w:t> </w:t>
      </w:r>
      <w:r>
        <w:rPr/>
        <w:t>Mundial</w:t>
      </w:r>
      <w:r>
        <w:rPr>
          <w:spacing w:val="-5"/>
        </w:rPr>
        <w:t> </w:t>
      </w:r>
      <w:r>
        <w:rPr/>
        <w:t>(BM),</w:t>
      </w:r>
      <w:r>
        <w:rPr>
          <w:spacing w:val="-5"/>
        </w:rPr>
        <w:t> </w:t>
      </w:r>
      <w:r>
        <w:rPr/>
        <w:t>el</w:t>
      </w:r>
      <w:r>
        <w:rPr>
          <w:spacing w:val="-5"/>
        </w:rPr>
        <w:t> </w:t>
      </w:r>
      <w:r>
        <w:rPr/>
        <w:t>Fondo</w:t>
      </w:r>
      <w:r>
        <w:rPr>
          <w:spacing w:val="-5"/>
        </w:rPr>
        <w:t> </w:t>
      </w:r>
      <w:r>
        <w:rPr/>
        <w:t>Monetario</w:t>
      </w:r>
      <w:r>
        <w:rPr>
          <w:spacing w:val="-5"/>
        </w:rPr>
        <w:t> </w:t>
      </w:r>
      <w:r>
        <w:rPr/>
        <w:t>Internacional</w:t>
      </w:r>
      <w:r>
        <w:rPr>
          <w:spacing w:val="-5"/>
        </w:rPr>
        <w:t> </w:t>
      </w:r>
      <w:r>
        <w:rPr/>
        <w:t>(FMI),</w:t>
      </w:r>
      <w:r>
        <w:rPr>
          <w:spacing w:val="-5"/>
        </w:rPr>
        <w:t> </w:t>
      </w:r>
      <w:r>
        <w:rPr/>
        <w:t>la Organización</w:t>
      </w:r>
      <w:r>
        <w:rPr>
          <w:spacing w:val="-12"/>
        </w:rPr>
        <w:t> </w:t>
      </w:r>
      <w:r>
        <w:rPr/>
        <w:t>para</w:t>
      </w:r>
      <w:r>
        <w:rPr>
          <w:spacing w:val="-12"/>
        </w:rPr>
        <w:t> </w:t>
      </w:r>
      <w:r>
        <w:rPr/>
        <w:t>la</w:t>
      </w:r>
      <w:r>
        <w:rPr>
          <w:spacing w:val="-12"/>
        </w:rPr>
        <w:t> </w:t>
      </w:r>
      <w:r>
        <w:rPr/>
        <w:t>Cooperación</w:t>
      </w:r>
      <w:r>
        <w:rPr>
          <w:spacing w:val="-12"/>
        </w:rPr>
        <w:t> </w:t>
      </w:r>
      <w:r>
        <w:rPr/>
        <w:t>y</w:t>
      </w:r>
      <w:r>
        <w:rPr>
          <w:spacing w:val="-12"/>
        </w:rPr>
        <w:t> </w:t>
      </w:r>
      <w:r>
        <w:rPr/>
        <w:t>el</w:t>
      </w:r>
      <w:r>
        <w:rPr>
          <w:spacing w:val="-12"/>
        </w:rPr>
        <w:t> </w:t>
      </w:r>
      <w:r>
        <w:rPr/>
        <w:t>Desarrollo</w:t>
      </w:r>
      <w:r>
        <w:rPr>
          <w:spacing w:val="-12"/>
        </w:rPr>
        <w:t> </w:t>
      </w:r>
      <w:r>
        <w:rPr/>
        <w:t>Económico</w:t>
      </w:r>
      <w:r>
        <w:rPr>
          <w:spacing w:val="-12"/>
        </w:rPr>
        <w:t> </w:t>
      </w:r>
      <w:r>
        <w:rPr/>
        <w:t>(OCDE),</w:t>
      </w:r>
      <w:r>
        <w:rPr>
          <w:spacing w:val="-12"/>
        </w:rPr>
        <w:t> </w:t>
      </w:r>
      <w:r>
        <w:rPr/>
        <w:t>promueven</w:t>
      </w:r>
      <w:r>
        <w:rPr>
          <w:spacing w:val="-12"/>
        </w:rPr>
        <w:t> </w:t>
      </w:r>
      <w:r>
        <w:rPr/>
        <w:t>ideas acerca de lo que han de considerarse las “mejores prácticas” o el “buen gobierno” en  la resolución de una diversidad de problemas que enfrentan los</w:t>
      </w:r>
      <w:r>
        <w:rPr>
          <w:spacing w:val="33"/>
        </w:rPr>
        <w:t> </w:t>
      </w:r>
      <w:r>
        <w:rPr/>
        <w:t>países.</w:t>
      </w:r>
    </w:p>
    <w:p>
      <w:pPr>
        <w:pStyle w:val="BodyText"/>
        <w:spacing w:before="11"/>
      </w:pPr>
    </w:p>
    <w:p>
      <w:pPr>
        <w:pStyle w:val="BodyText"/>
        <w:spacing w:line="249" w:lineRule="auto"/>
        <w:ind w:left="136" w:firstLine="170"/>
        <w:jc w:val="both"/>
      </w:pPr>
      <w:r>
        <w:rPr/>
        <w:t>Por</w:t>
      </w:r>
      <w:r>
        <w:rPr>
          <w:spacing w:val="-10"/>
        </w:rPr>
        <w:t> </w:t>
      </w:r>
      <w:r>
        <w:rPr/>
        <w:t>su</w:t>
      </w:r>
      <w:r>
        <w:rPr>
          <w:spacing w:val="-10"/>
        </w:rPr>
        <w:t> </w:t>
      </w:r>
      <w:r>
        <w:rPr/>
        <w:t>parte</w:t>
      </w:r>
      <w:r>
        <w:rPr>
          <w:spacing w:val="-10"/>
        </w:rPr>
        <w:t> </w:t>
      </w:r>
      <w:r>
        <w:rPr/>
        <w:t>la</w:t>
      </w:r>
      <w:r>
        <w:rPr>
          <w:spacing w:val="-10"/>
        </w:rPr>
        <w:t> </w:t>
      </w:r>
      <w:r>
        <w:rPr/>
        <w:t>Unión</w:t>
      </w:r>
      <w:r>
        <w:rPr>
          <w:spacing w:val="-10"/>
        </w:rPr>
        <w:t> </w:t>
      </w:r>
      <w:r>
        <w:rPr/>
        <w:t>Europea,</w:t>
      </w:r>
      <w:r>
        <w:rPr>
          <w:spacing w:val="-10"/>
        </w:rPr>
        <w:t> </w:t>
      </w:r>
      <w:r>
        <w:rPr/>
        <w:t>mediante</w:t>
      </w:r>
      <w:r>
        <w:rPr>
          <w:spacing w:val="-10"/>
        </w:rPr>
        <w:t> </w:t>
      </w:r>
      <w:r>
        <w:rPr/>
        <w:t>la</w:t>
      </w:r>
      <w:r>
        <w:rPr>
          <w:spacing w:val="-10"/>
        </w:rPr>
        <w:t> </w:t>
      </w:r>
      <w:r>
        <w:rPr/>
        <w:t>divulgación</w:t>
      </w:r>
      <w:r>
        <w:rPr>
          <w:spacing w:val="-10"/>
        </w:rPr>
        <w:t> </w:t>
      </w:r>
      <w:r>
        <w:rPr/>
        <w:t>del</w:t>
      </w:r>
      <w:r>
        <w:rPr>
          <w:spacing w:val="-10"/>
        </w:rPr>
        <w:t> </w:t>
      </w:r>
      <w:r>
        <w:rPr/>
        <w:t>documento</w:t>
      </w:r>
      <w:r>
        <w:rPr>
          <w:spacing w:val="-10"/>
        </w:rPr>
        <w:t> </w:t>
      </w:r>
      <w:r>
        <w:rPr>
          <w:i/>
        </w:rPr>
        <w:t>La</w:t>
      </w:r>
      <w:r>
        <w:rPr>
          <w:i/>
          <w:spacing w:val="-10"/>
        </w:rPr>
        <w:t> </w:t>
      </w:r>
      <w:r>
        <w:rPr>
          <w:i/>
        </w:rPr>
        <w:t>gobernanza </w:t>
      </w:r>
      <w:r>
        <w:rPr>
          <w:i/>
        </w:rPr>
        <w:t>europea. Un libro blanco</w:t>
      </w:r>
      <w:r>
        <w:rPr/>
        <w:t>, propone “impulsar una dinámica democrática en la Unión,    la Comisión inicia una profunda reforma de la gobernanza y propone cuatro grandes cambios: implicar más a los ciudadanos, definir políticas y legislaciones más eficaces, comprometerse en el debate sobre la gobernanza mundial y, centrar las políticas y las instituciones en objetivos claros” (COM, 2001, 428 final). El documento indica a los países</w:t>
      </w:r>
      <w:r>
        <w:rPr>
          <w:spacing w:val="-4"/>
        </w:rPr>
        <w:t> </w:t>
      </w:r>
      <w:r>
        <w:rPr/>
        <w:t>miembros</w:t>
      </w:r>
      <w:r>
        <w:rPr>
          <w:spacing w:val="-4"/>
        </w:rPr>
        <w:t> </w:t>
      </w:r>
      <w:r>
        <w:rPr/>
        <w:t>perseguir</w:t>
      </w:r>
      <w:r>
        <w:rPr>
          <w:spacing w:val="-4"/>
        </w:rPr>
        <w:t> </w:t>
      </w:r>
      <w:r>
        <w:rPr/>
        <w:t>“una</w:t>
      </w:r>
      <w:r>
        <w:rPr>
          <w:spacing w:val="-4"/>
        </w:rPr>
        <w:t> </w:t>
      </w:r>
      <w:r>
        <w:rPr/>
        <w:t>buena</w:t>
      </w:r>
      <w:r>
        <w:rPr>
          <w:spacing w:val="-4"/>
        </w:rPr>
        <w:t> </w:t>
      </w:r>
      <w:r>
        <w:rPr/>
        <w:t>gobernanza”</w:t>
      </w:r>
      <w:r>
        <w:rPr>
          <w:spacing w:val="-4"/>
        </w:rPr>
        <w:t> </w:t>
      </w:r>
      <w:r>
        <w:rPr/>
        <w:t>la</w:t>
      </w:r>
      <w:r>
        <w:rPr>
          <w:spacing w:val="-4"/>
        </w:rPr>
        <w:t> </w:t>
      </w:r>
      <w:r>
        <w:rPr/>
        <w:t>cual</w:t>
      </w:r>
      <w:r>
        <w:rPr>
          <w:spacing w:val="-4"/>
        </w:rPr>
        <w:t> </w:t>
      </w:r>
      <w:r>
        <w:rPr/>
        <w:t>se</w:t>
      </w:r>
      <w:r>
        <w:rPr>
          <w:spacing w:val="-4"/>
        </w:rPr>
        <w:t> </w:t>
      </w:r>
      <w:r>
        <w:rPr/>
        <w:t>basa</w:t>
      </w:r>
      <w:r>
        <w:rPr>
          <w:spacing w:val="-4"/>
        </w:rPr>
        <w:t> </w:t>
      </w:r>
      <w:r>
        <w:rPr/>
        <w:t>en</w:t>
      </w:r>
      <w:r>
        <w:rPr>
          <w:spacing w:val="-4"/>
        </w:rPr>
        <w:t> </w:t>
      </w:r>
      <w:r>
        <w:rPr/>
        <w:t>cinco</w:t>
      </w:r>
      <w:r>
        <w:rPr>
          <w:spacing w:val="-4"/>
        </w:rPr>
        <w:t> </w:t>
      </w:r>
      <w:r>
        <w:rPr/>
        <w:t>principios acumulativos: apertura, participación, responsabilidad eficacia y </w:t>
      </w:r>
      <w:r>
        <w:rPr>
          <w:spacing w:val="30"/>
        </w:rPr>
        <w:t> </w:t>
      </w:r>
      <w:r>
        <w:rPr/>
        <w:t>coherencia.</w:t>
      </w:r>
    </w:p>
    <w:p>
      <w:pPr>
        <w:pStyle w:val="BodyText"/>
        <w:spacing w:before="11"/>
      </w:pPr>
    </w:p>
    <w:p>
      <w:pPr>
        <w:pStyle w:val="BodyText"/>
        <w:spacing w:line="249" w:lineRule="auto"/>
        <w:ind w:left="136" w:firstLine="170"/>
        <w:jc w:val="both"/>
      </w:pPr>
      <w:r>
        <w:rPr/>
        <w:t>La gobernanza refiere a la acción cooperativa del Estado  con  los  diferentes  actores sociales (Cano, 2010, en Flores 2012). También corregir la separación de la relación público-privado por un lado y público-social por otro, situación que implica      la integralidad y coherencia de las acciones del Estado tanto en la definición de los objetivos</w:t>
      </w:r>
      <w:r>
        <w:rPr>
          <w:spacing w:val="15"/>
        </w:rPr>
        <w:t> </w:t>
      </w:r>
      <w:r>
        <w:rPr/>
        <w:t>como</w:t>
      </w:r>
      <w:r>
        <w:rPr>
          <w:spacing w:val="15"/>
        </w:rPr>
        <w:t> </w:t>
      </w:r>
      <w:r>
        <w:rPr/>
        <w:t>en</w:t>
      </w:r>
      <w:r>
        <w:rPr>
          <w:spacing w:val="15"/>
        </w:rPr>
        <w:t> </w:t>
      </w:r>
      <w:r>
        <w:rPr/>
        <w:t>los</w:t>
      </w:r>
      <w:r>
        <w:rPr>
          <w:spacing w:val="15"/>
        </w:rPr>
        <w:t> </w:t>
      </w:r>
      <w:r>
        <w:rPr/>
        <w:t>resultados</w:t>
      </w:r>
      <w:r>
        <w:rPr>
          <w:spacing w:val="15"/>
        </w:rPr>
        <w:t> </w:t>
      </w:r>
      <w:r>
        <w:rPr/>
        <w:t>públicos.</w:t>
      </w:r>
      <w:r>
        <w:rPr>
          <w:spacing w:val="15"/>
        </w:rPr>
        <w:t> </w:t>
      </w:r>
      <w:r>
        <w:rPr/>
        <w:t>Comprende</w:t>
      </w:r>
      <w:r>
        <w:rPr>
          <w:spacing w:val="15"/>
        </w:rPr>
        <w:t> </w:t>
      </w:r>
      <w:r>
        <w:rPr/>
        <w:t>el</w:t>
      </w:r>
      <w:r>
        <w:rPr>
          <w:spacing w:val="15"/>
        </w:rPr>
        <w:t> </w:t>
      </w:r>
      <w:r>
        <w:rPr/>
        <w:t>reajuste</w:t>
      </w:r>
      <w:r>
        <w:rPr>
          <w:spacing w:val="15"/>
        </w:rPr>
        <w:t> </w:t>
      </w:r>
      <w:r>
        <w:rPr/>
        <w:t>en</w:t>
      </w:r>
      <w:r>
        <w:rPr>
          <w:spacing w:val="15"/>
        </w:rPr>
        <w:t> </w:t>
      </w:r>
      <w:r>
        <w:rPr/>
        <w:t>las</w:t>
      </w:r>
      <w:r>
        <w:rPr>
          <w:spacing w:val="15"/>
        </w:rPr>
        <w:t> </w:t>
      </w:r>
      <w:r>
        <w:rPr/>
        <w:t>tres</w:t>
      </w:r>
      <w:r>
        <w:rPr>
          <w:spacing w:val="15"/>
        </w:rPr>
        <w:t> </w:t>
      </w:r>
      <w:r>
        <w:rPr/>
        <w:t>esferas</w:t>
      </w:r>
    </w:p>
    <w:p>
      <w:pPr>
        <w:pStyle w:val="BodyText"/>
        <w:spacing w:line="249" w:lineRule="auto" w:before="1"/>
        <w:ind w:left="136"/>
        <w:jc w:val="both"/>
      </w:pPr>
      <w:r>
        <w:rPr/>
        <w:t>-Estado, sociedad civil y sector privado- donde existen relaciones asimétricas entre   los que controlan los recursos y las estructuras del poder y los distintos actores de lo público, lo cual se dirime en una arena de conflicto, negociación y </w:t>
      </w:r>
      <w:r>
        <w:rPr>
          <w:spacing w:val="26"/>
        </w:rPr>
        <w:t> </w:t>
      </w:r>
      <w:r>
        <w:rPr/>
        <w:t>acuerdos.</w:t>
      </w:r>
    </w:p>
    <w:p>
      <w:pPr>
        <w:pStyle w:val="BodyText"/>
        <w:spacing w:before="2"/>
        <w:rPr>
          <w:sz w:val="24"/>
        </w:rPr>
      </w:pPr>
    </w:p>
    <w:p>
      <w:pPr>
        <w:spacing w:before="0"/>
        <w:ind w:left="2125" w:right="1989" w:firstLine="0"/>
        <w:jc w:val="center"/>
        <w:rPr>
          <w:sz w:val="16"/>
        </w:rPr>
      </w:pPr>
      <w:r>
        <w:rPr>
          <w:color w:val="6D6E71"/>
          <w:sz w:val="16"/>
        </w:rPr>
        <w:t>Gráfica 1. Relaciones del Estado</w:t>
      </w:r>
    </w:p>
    <w:p>
      <w:pPr>
        <w:pStyle w:val="BodyText"/>
        <w:spacing w:before="6"/>
        <w:rPr>
          <w:sz w:val="4"/>
        </w:rPr>
      </w:pPr>
    </w:p>
    <w:p>
      <w:pPr>
        <w:pStyle w:val="BodyText"/>
        <w:ind w:left="2365"/>
      </w:pPr>
      <w:r>
        <w:rPr/>
        <w:drawing>
          <wp:inline distT="0" distB="0" distL="0" distR="0">
            <wp:extent cx="2065401" cy="1173861"/>
            <wp:effectExtent l="0" t="0" r="0" b="0"/>
            <wp:docPr id="171" name="image122.png" descr=""/>
            <wp:cNvGraphicFramePr>
              <a:graphicFrameLocks noChangeAspect="1"/>
            </wp:cNvGraphicFramePr>
            <a:graphic>
              <a:graphicData uri="http://schemas.openxmlformats.org/drawingml/2006/picture">
                <pic:pic>
                  <pic:nvPicPr>
                    <pic:cNvPr id="172" name="image122.png"/>
                    <pic:cNvPicPr/>
                  </pic:nvPicPr>
                  <pic:blipFill>
                    <a:blip r:embed="rId452" cstate="print"/>
                    <a:stretch>
                      <a:fillRect/>
                    </a:stretch>
                  </pic:blipFill>
                  <pic:spPr>
                    <a:xfrm>
                      <a:off x="0" y="0"/>
                      <a:ext cx="2065401" cy="1173861"/>
                    </a:xfrm>
                    <a:prstGeom prst="rect">
                      <a:avLst/>
                    </a:prstGeom>
                  </pic:spPr>
                </pic:pic>
              </a:graphicData>
            </a:graphic>
          </wp:inline>
        </w:drawing>
      </w:r>
      <w:r>
        <w:rPr/>
      </w:r>
    </w:p>
    <w:p>
      <w:pPr>
        <w:spacing w:before="75"/>
        <w:ind w:left="2125" w:right="1989" w:firstLine="0"/>
        <w:jc w:val="center"/>
        <w:rPr>
          <w:sz w:val="16"/>
        </w:rPr>
      </w:pPr>
      <w:r>
        <w:rPr>
          <w:color w:val="6D6E71"/>
          <w:sz w:val="16"/>
        </w:rPr>
        <w:t>Fuente: Elaboración propia, 2015</w:t>
      </w:r>
    </w:p>
    <w:p>
      <w:pPr>
        <w:pStyle w:val="BodyText"/>
        <w:spacing w:line="249" w:lineRule="auto" w:before="76"/>
        <w:ind w:left="136" w:right="127" w:firstLine="170"/>
        <w:jc w:val="both"/>
      </w:pPr>
      <w:r>
        <w:rPr/>
        <w:br w:type="column"/>
      </w:r>
      <w:r>
        <w:rPr/>
        <w:t>Según Romero y Farinós (2011), la gobernanza como un adecuado equilibrio entre las esferas pública, mercado y sociedad civil, es una fórmula que se persigue, luego  de que ésta ha sido aplicada por el gobierno haciendo énfasis en sólo alguna de ellas con lo cual se genera desequilibrios en los asuntos públicos. Sin embargo actualmente las relaciones que definen la meta-gobernanza entre Estado, mercado y sociedad civil, son distintas en cada contexto específico obedeciendo a razones históricas, políticas, culturales y religiosas. (Gráfica</w:t>
      </w:r>
      <w:r>
        <w:rPr>
          <w:spacing w:val="-24"/>
        </w:rPr>
        <w:t> </w:t>
      </w:r>
      <w:r>
        <w:rPr/>
        <w:t>1)</w:t>
      </w:r>
    </w:p>
    <w:p>
      <w:pPr>
        <w:pStyle w:val="BodyText"/>
        <w:spacing w:before="11"/>
      </w:pPr>
    </w:p>
    <w:p>
      <w:pPr>
        <w:pStyle w:val="BodyText"/>
        <w:spacing w:line="249" w:lineRule="auto"/>
        <w:ind w:left="136" w:right="127" w:firstLine="170"/>
        <w:jc w:val="both"/>
      </w:pPr>
      <w:r>
        <w:rPr/>
        <w:t>Así aquellas relaciones del Estado con más o menos apertura y flexibilidad genera expectativas en la política y democracia que persiguen equilibrio, de lo contrario se trata de una relación desintegrada del mercado y la sociedad civil, para lo cual el rol del Estado renovado es sustantivo. Por su parte si la organización de la sociedad civil no es lo suficientemente vigorosa, acaba por ser sometida a los intereses de la clase dirigente del poder económico y político que incluso supedita al Estado. Revertir estas fuerzas pasa por el empoderamiento de la sociedad civil y por la reinterpretación de   su función. La participación como elemento clave y principal, aunque no el único de la gobernanza dado que hay diversos procesos en</w:t>
      </w:r>
      <w:r>
        <w:rPr>
          <w:spacing w:val="37"/>
        </w:rPr>
        <w:t> </w:t>
      </w:r>
      <w:r>
        <w:rPr/>
        <w:t>juego.</w:t>
      </w:r>
    </w:p>
    <w:p>
      <w:pPr>
        <w:pStyle w:val="BodyText"/>
        <w:spacing w:before="11"/>
      </w:pPr>
    </w:p>
    <w:p>
      <w:pPr>
        <w:pStyle w:val="BodyText"/>
        <w:spacing w:line="249" w:lineRule="auto"/>
        <w:ind w:left="136" w:right="127" w:firstLine="170"/>
        <w:jc w:val="both"/>
      </w:pPr>
      <w:r>
        <w:rPr/>
        <w:t>El cambio de naturaleza de las relaciones de Estado con la sociedad conlleva diferenciar los elementos que configuran al modelo tradicional de los que constituyen a la gobernanza, mismos que se sintetiza en el Cuadro 1, los cuales pueden presentarse con transformaciones absolutas o relativas en contextos  diferentes.</w:t>
      </w:r>
    </w:p>
    <w:p>
      <w:pPr>
        <w:pStyle w:val="BodyText"/>
        <w:spacing w:before="2"/>
        <w:rPr>
          <w:sz w:val="24"/>
        </w:rPr>
      </w:pPr>
    </w:p>
    <w:p>
      <w:pPr>
        <w:spacing w:before="0"/>
        <w:ind w:left="2228" w:right="0" w:firstLine="0"/>
        <w:jc w:val="left"/>
        <w:rPr>
          <w:sz w:val="16"/>
        </w:rPr>
      </w:pPr>
      <w:r>
        <w:rPr/>
        <w:pict>
          <v:shape style="position:absolute;margin-left:512.820984pt;margin-top:14.338293pt;width:382.4pt;height:180.5pt;mso-position-horizontal-relative:page;mso-position-vertical-relative:paragraph;z-index:15160" type="#_x0000_t202" filled="false" stroked="false">
            <v:textbox inset="0,0,0,0">
              <w:txbxContent>
                <w:tbl>
                  <w:tblPr>
                    <w:tblW w:w="0" w:type="auto"/>
                    <w:jc w:val="left"/>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4088"/>
                    <w:gridCol w:w="3544"/>
                  </w:tblGrid>
                  <w:tr>
                    <w:trPr>
                      <w:trHeight w:val="228" w:hRule="exact"/>
                    </w:trPr>
                    <w:tc>
                      <w:tcPr>
                        <w:tcW w:w="4088" w:type="dxa"/>
                        <w:tcBorders>
                          <w:top w:val="nil"/>
                          <w:left w:val="nil"/>
                          <w:bottom w:val="dotted" w:sz="4" w:space="0" w:color="FFFFFF"/>
                          <w:right w:val="single" w:sz="4" w:space="0" w:color="FFFFFF"/>
                        </w:tcBorders>
                        <w:shd w:val="clear" w:color="auto" w:fill="929292"/>
                      </w:tcPr>
                      <w:p>
                        <w:pPr>
                          <w:pStyle w:val="TableParagraph"/>
                          <w:spacing w:before="21"/>
                          <w:ind w:left="107"/>
                          <w:rPr>
                            <w:sz w:val="16"/>
                          </w:rPr>
                        </w:pPr>
                        <w:r>
                          <w:rPr>
                            <w:sz w:val="16"/>
                          </w:rPr>
                          <w:t>Gobierno tradicional</w:t>
                        </w:r>
                      </w:p>
                    </w:tc>
                    <w:tc>
                      <w:tcPr>
                        <w:tcW w:w="3544" w:type="dxa"/>
                        <w:tcBorders>
                          <w:top w:val="nil"/>
                          <w:left w:val="single" w:sz="4" w:space="0" w:color="FFFFFF"/>
                          <w:bottom w:val="dotted" w:sz="4" w:space="0" w:color="FFFFFF"/>
                          <w:right w:val="dotted" w:sz="4" w:space="0" w:color="FFFFFF"/>
                        </w:tcBorders>
                        <w:shd w:val="clear" w:color="auto" w:fill="929292"/>
                      </w:tcPr>
                      <w:p>
                        <w:pPr>
                          <w:pStyle w:val="TableParagraph"/>
                          <w:spacing w:before="21"/>
                          <w:ind w:left="102"/>
                          <w:rPr>
                            <w:sz w:val="16"/>
                          </w:rPr>
                        </w:pPr>
                        <w:r>
                          <w:rPr>
                            <w:sz w:val="16"/>
                          </w:rPr>
                          <w:t>Gobernanza</w:t>
                        </w:r>
                      </w:p>
                    </w:tc>
                  </w:tr>
                  <w:tr>
                    <w:trPr>
                      <w:trHeight w:val="420" w:hRule="exact"/>
                    </w:trPr>
                    <w:tc>
                      <w:tcPr>
                        <w:tcW w:w="4088" w:type="dxa"/>
                        <w:tcBorders>
                          <w:top w:val="dotted" w:sz="4" w:space="0" w:color="FFFFFF"/>
                          <w:left w:val="nil"/>
                        </w:tcBorders>
                      </w:tcPr>
                      <w:p>
                        <w:pPr>
                          <w:pStyle w:val="TableParagraph"/>
                          <w:numPr>
                            <w:ilvl w:val="0"/>
                            <w:numId w:val="52"/>
                          </w:numPr>
                          <w:tabs>
                            <w:tab w:pos="828" w:val="left" w:leader="none"/>
                          </w:tabs>
                          <w:spacing w:line="240" w:lineRule="auto" w:before="112" w:after="0"/>
                          <w:ind w:left="828" w:right="0" w:hanging="154"/>
                          <w:jc w:val="left"/>
                          <w:rPr>
                            <w:sz w:val="16"/>
                          </w:rPr>
                        </w:pPr>
                        <w:r>
                          <w:rPr>
                            <w:sz w:val="16"/>
                          </w:rPr>
                          <w:t>Agente central, casi único</w:t>
                        </w:r>
                        <w:r>
                          <w:rPr>
                            <w:spacing w:val="31"/>
                            <w:sz w:val="16"/>
                          </w:rPr>
                          <w:t> </w:t>
                        </w:r>
                        <w:r>
                          <w:rPr>
                            <w:sz w:val="16"/>
                          </w:rPr>
                          <w:t>absoluto.</w:t>
                        </w:r>
                      </w:p>
                    </w:tc>
                    <w:tc>
                      <w:tcPr>
                        <w:tcW w:w="3544" w:type="dxa"/>
                        <w:tcBorders>
                          <w:top w:val="dotted" w:sz="4" w:space="0" w:color="FFFFFF"/>
                          <w:right w:val="dotted" w:sz="4" w:space="0" w:color="929292"/>
                        </w:tcBorders>
                      </w:tcPr>
                      <w:p>
                        <w:pPr>
                          <w:pStyle w:val="TableParagraph"/>
                          <w:numPr>
                            <w:ilvl w:val="0"/>
                            <w:numId w:val="53"/>
                          </w:numPr>
                          <w:tabs>
                            <w:tab w:pos="824" w:val="left" w:leader="none"/>
                          </w:tabs>
                          <w:spacing w:line="259" w:lineRule="auto" w:before="12" w:after="0"/>
                          <w:ind w:left="669" w:right="622" w:firstLine="0"/>
                          <w:jc w:val="left"/>
                          <w:rPr>
                            <w:sz w:val="16"/>
                          </w:rPr>
                        </w:pPr>
                        <w:r>
                          <w:rPr>
                            <w:sz w:val="16"/>
                          </w:rPr>
                          <w:t>Agente articulador, comparte decisiones</w:t>
                        </w:r>
                      </w:p>
                    </w:tc>
                  </w:tr>
                  <w:tr>
                    <w:trPr>
                      <w:trHeight w:val="436" w:hRule="exact"/>
                    </w:trPr>
                    <w:tc>
                      <w:tcPr>
                        <w:tcW w:w="4088" w:type="dxa"/>
                        <w:tcBorders>
                          <w:left w:val="nil"/>
                        </w:tcBorders>
                      </w:tcPr>
                      <w:p>
                        <w:pPr>
                          <w:pStyle w:val="TableParagraph"/>
                          <w:numPr>
                            <w:ilvl w:val="0"/>
                            <w:numId w:val="54"/>
                          </w:numPr>
                          <w:tabs>
                            <w:tab w:pos="829" w:val="left" w:leader="none"/>
                          </w:tabs>
                          <w:spacing w:line="259" w:lineRule="auto" w:before="20" w:after="0"/>
                          <w:ind w:left="675" w:right="322" w:firstLine="0"/>
                          <w:jc w:val="left"/>
                          <w:rPr>
                            <w:sz w:val="16"/>
                          </w:rPr>
                        </w:pPr>
                        <w:r>
                          <w:rPr>
                            <w:sz w:val="16"/>
                          </w:rPr>
                          <w:t>El Estado toma decisiones legítimas (con plena autonomía y</w:t>
                        </w:r>
                        <w:r>
                          <w:rPr>
                            <w:spacing w:val="-22"/>
                            <w:sz w:val="16"/>
                          </w:rPr>
                          <w:t> </w:t>
                        </w:r>
                        <w:r>
                          <w:rPr>
                            <w:sz w:val="16"/>
                          </w:rPr>
                          <w:t>soberanía).</w:t>
                        </w:r>
                      </w:p>
                    </w:tc>
                    <w:tc>
                      <w:tcPr>
                        <w:tcW w:w="3544" w:type="dxa"/>
                        <w:tcBorders>
                          <w:right w:val="dotted" w:sz="4" w:space="0" w:color="929292"/>
                        </w:tcBorders>
                      </w:tcPr>
                      <w:p>
                        <w:pPr>
                          <w:pStyle w:val="TableParagraph"/>
                          <w:numPr>
                            <w:ilvl w:val="0"/>
                            <w:numId w:val="55"/>
                          </w:numPr>
                          <w:tabs>
                            <w:tab w:pos="824" w:val="left" w:leader="none"/>
                          </w:tabs>
                          <w:spacing w:line="259" w:lineRule="auto" w:before="20" w:after="0"/>
                          <w:ind w:left="669" w:right="818" w:firstLine="0"/>
                          <w:jc w:val="left"/>
                          <w:rPr>
                            <w:sz w:val="16"/>
                          </w:rPr>
                        </w:pPr>
                        <w:r>
                          <w:rPr>
                            <w:sz w:val="16"/>
                          </w:rPr>
                          <w:t>Actores, agentes y sujetos interdependientes.</w:t>
                        </w:r>
                      </w:p>
                    </w:tc>
                  </w:tr>
                  <w:tr>
                    <w:trPr>
                      <w:trHeight w:val="638" w:hRule="exact"/>
                    </w:trPr>
                    <w:tc>
                      <w:tcPr>
                        <w:tcW w:w="4088" w:type="dxa"/>
                        <w:tcBorders>
                          <w:left w:val="nil"/>
                        </w:tcBorders>
                      </w:tcPr>
                      <w:p>
                        <w:pPr>
                          <w:pStyle w:val="TableParagraph"/>
                          <w:numPr>
                            <w:ilvl w:val="0"/>
                            <w:numId w:val="56"/>
                          </w:numPr>
                          <w:tabs>
                            <w:tab w:pos="829" w:val="left" w:leader="none"/>
                          </w:tabs>
                          <w:spacing w:line="259" w:lineRule="auto" w:before="21" w:after="0"/>
                          <w:ind w:left="675" w:right="251" w:firstLine="0"/>
                          <w:jc w:val="left"/>
                          <w:rPr>
                            <w:sz w:val="16"/>
                          </w:rPr>
                        </w:pPr>
                        <w:r>
                          <w:rPr>
                            <w:sz w:val="16"/>
                          </w:rPr>
                          <w:t>La burocracia administrativa decide sobre procesos, programas y competencias en lo público.</w:t>
                        </w:r>
                      </w:p>
                    </w:tc>
                    <w:tc>
                      <w:tcPr>
                        <w:tcW w:w="3544" w:type="dxa"/>
                        <w:tcBorders>
                          <w:right w:val="dotted" w:sz="4" w:space="0" w:color="929292"/>
                        </w:tcBorders>
                      </w:tcPr>
                      <w:p>
                        <w:pPr>
                          <w:pStyle w:val="TableParagraph"/>
                          <w:numPr>
                            <w:ilvl w:val="0"/>
                            <w:numId w:val="57"/>
                          </w:numPr>
                          <w:tabs>
                            <w:tab w:pos="824" w:val="left" w:leader="none"/>
                          </w:tabs>
                          <w:spacing w:line="259" w:lineRule="auto" w:before="121" w:after="0"/>
                          <w:ind w:left="669" w:right="491" w:firstLine="0"/>
                          <w:jc w:val="left"/>
                          <w:rPr>
                            <w:sz w:val="16"/>
                          </w:rPr>
                        </w:pPr>
                        <w:r>
                          <w:rPr>
                            <w:sz w:val="16"/>
                          </w:rPr>
                          <w:t>Rendición de cuentas de la ejecución y evaluación de</w:t>
                        </w:r>
                        <w:r>
                          <w:rPr>
                            <w:spacing w:val="13"/>
                            <w:sz w:val="16"/>
                          </w:rPr>
                          <w:t> </w:t>
                        </w:r>
                        <w:r>
                          <w:rPr>
                            <w:sz w:val="16"/>
                          </w:rPr>
                          <w:t>metas.</w:t>
                        </w:r>
                      </w:p>
                    </w:tc>
                  </w:tr>
                  <w:tr>
                    <w:trPr>
                      <w:trHeight w:val="420" w:hRule="exact"/>
                    </w:trPr>
                    <w:tc>
                      <w:tcPr>
                        <w:tcW w:w="4088" w:type="dxa"/>
                        <w:tcBorders>
                          <w:left w:val="nil"/>
                        </w:tcBorders>
                      </w:tcPr>
                      <w:p>
                        <w:pPr>
                          <w:pStyle w:val="TableParagraph"/>
                          <w:numPr>
                            <w:ilvl w:val="0"/>
                            <w:numId w:val="58"/>
                          </w:numPr>
                          <w:tabs>
                            <w:tab w:pos="829" w:val="left" w:leader="none"/>
                          </w:tabs>
                          <w:spacing w:line="259" w:lineRule="auto" w:before="12" w:after="0"/>
                          <w:ind w:left="675" w:right="337" w:firstLine="0"/>
                          <w:jc w:val="left"/>
                          <w:rPr>
                            <w:sz w:val="16"/>
                          </w:rPr>
                        </w:pPr>
                        <w:r>
                          <w:rPr>
                            <w:sz w:val="16"/>
                          </w:rPr>
                          <w:t>Nivel de gobierno jerárquico del nacional al</w:t>
                        </w:r>
                        <w:r>
                          <w:rPr>
                            <w:spacing w:val="2"/>
                            <w:sz w:val="16"/>
                          </w:rPr>
                          <w:t> </w:t>
                        </w:r>
                        <w:r>
                          <w:rPr>
                            <w:sz w:val="16"/>
                          </w:rPr>
                          <w:t>local.</w:t>
                        </w:r>
                      </w:p>
                    </w:tc>
                    <w:tc>
                      <w:tcPr>
                        <w:tcW w:w="3544" w:type="dxa"/>
                        <w:tcBorders>
                          <w:right w:val="dotted" w:sz="4" w:space="0" w:color="929292"/>
                        </w:tcBorders>
                      </w:tcPr>
                      <w:p>
                        <w:pPr>
                          <w:pStyle w:val="TableParagraph"/>
                          <w:numPr>
                            <w:ilvl w:val="0"/>
                            <w:numId w:val="59"/>
                          </w:numPr>
                          <w:tabs>
                            <w:tab w:pos="824" w:val="left" w:leader="none"/>
                          </w:tabs>
                          <w:spacing w:line="259" w:lineRule="auto" w:before="12" w:after="0"/>
                          <w:ind w:left="669" w:right="116" w:firstLine="0"/>
                          <w:jc w:val="left"/>
                          <w:rPr>
                            <w:sz w:val="16"/>
                          </w:rPr>
                        </w:pPr>
                        <w:r>
                          <w:rPr>
                            <w:sz w:val="16"/>
                          </w:rPr>
                          <w:t>Descentralización administrativa por ámbito.</w:t>
                        </w:r>
                      </w:p>
                    </w:tc>
                  </w:tr>
                  <w:tr>
                    <w:trPr>
                      <w:trHeight w:val="454" w:hRule="exact"/>
                    </w:trPr>
                    <w:tc>
                      <w:tcPr>
                        <w:tcW w:w="4088" w:type="dxa"/>
                        <w:tcBorders>
                          <w:left w:val="nil"/>
                        </w:tcBorders>
                      </w:tcPr>
                      <w:p>
                        <w:pPr>
                          <w:pStyle w:val="TableParagraph"/>
                          <w:numPr>
                            <w:ilvl w:val="0"/>
                            <w:numId w:val="60"/>
                          </w:numPr>
                          <w:tabs>
                            <w:tab w:pos="829" w:val="left" w:leader="none"/>
                          </w:tabs>
                          <w:spacing w:line="259" w:lineRule="auto" w:before="28" w:after="0"/>
                          <w:ind w:left="675" w:right="399" w:firstLine="0"/>
                          <w:jc w:val="left"/>
                          <w:rPr>
                            <w:sz w:val="16"/>
                          </w:rPr>
                        </w:pPr>
                        <w:r>
                          <w:rPr>
                            <w:sz w:val="16"/>
                          </w:rPr>
                          <w:t>Democracia representativa (autoridades electas toman</w:t>
                        </w:r>
                        <w:r>
                          <w:rPr>
                            <w:spacing w:val="8"/>
                            <w:sz w:val="16"/>
                          </w:rPr>
                          <w:t> </w:t>
                        </w:r>
                        <w:r>
                          <w:rPr>
                            <w:sz w:val="16"/>
                          </w:rPr>
                          <w:t>decisiones).</w:t>
                        </w:r>
                      </w:p>
                    </w:tc>
                    <w:tc>
                      <w:tcPr>
                        <w:tcW w:w="3544" w:type="dxa"/>
                        <w:tcBorders>
                          <w:right w:val="dotted" w:sz="4" w:space="0" w:color="929292"/>
                        </w:tcBorders>
                      </w:tcPr>
                      <w:p>
                        <w:pPr>
                          <w:pStyle w:val="TableParagraph"/>
                          <w:numPr>
                            <w:ilvl w:val="0"/>
                            <w:numId w:val="61"/>
                          </w:numPr>
                          <w:tabs>
                            <w:tab w:pos="824" w:val="left" w:leader="none"/>
                          </w:tabs>
                          <w:spacing w:line="259" w:lineRule="auto" w:before="28" w:after="0"/>
                          <w:ind w:left="669" w:right="246" w:firstLine="0"/>
                          <w:jc w:val="left"/>
                          <w:rPr>
                            <w:sz w:val="16"/>
                          </w:rPr>
                        </w:pPr>
                        <w:r>
                          <w:rPr>
                            <w:sz w:val="16"/>
                          </w:rPr>
                          <w:t>Democracia participativa, ejercicio de los derechos</w:t>
                        </w:r>
                        <w:r>
                          <w:rPr>
                            <w:spacing w:val="28"/>
                            <w:sz w:val="16"/>
                          </w:rPr>
                          <w:t> </w:t>
                        </w:r>
                        <w:r>
                          <w:rPr>
                            <w:sz w:val="16"/>
                          </w:rPr>
                          <w:t>ciudadanos.</w:t>
                        </w:r>
                      </w:p>
                    </w:tc>
                  </w:tr>
                  <w:tr>
                    <w:trPr>
                      <w:trHeight w:val="638" w:hRule="exact"/>
                    </w:trPr>
                    <w:tc>
                      <w:tcPr>
                        <w:tcW w:w="4088" w:type="dxa"/>
                        <w:tcBorders>
                          <w:left w:val="nil"/>
                        </w:tcBorders>
                      </w:tcPr>
                      <w:p>
                        <w:pPr>
                          <w:pStyle w:val="TableParagraph"/>
                          <w:spacing w:before="2"/>
                          <w:rPr>
                            <w:sz w:val="19"/>
                          </w:rPr>
                        </w:pPr>
                      </w:p>
                      <w:p>
                        <w:pPr>
                          <w:pStyle w:val="TableParagraph"/>
                          <w:numPr>
                            <w:ilvl w:val="0"/>
                            <w:numId w:val="62"/>
                          </w:numPr>
                          <w:tabs>
                            <w:tab w:pos="829" w:val="left" w:leader="none"/>
                          </w:tabs>
                          <w:spacing w:line="240" w:lineRule="auto" w:before="0" w:after="0"/>
                          <w:ind w:left="828" w:right="0" w:hanging="153"/>
                          <w:jc w:val="left"/>
                          <w:rPr>
                            <w:sz w:val="16"/>
                          </w:rPr>
                        </w:pPr>
                        <w:r>
                          <w:rPr>
                            <w:sz w:val="16"/>
                          </w:rPr>
                          <w:t>Relación gobierno sociedad</w:t>
                        </w:r>
                        <w:r>
                          <w:rPr>
                            <w:spacing w:val="22"/>
                            <w:sz w:val="16"/>
                          </w:rPr>
                          <w:t> </w:t>
                        </w:r>
                        <w:r>
                          <w:rPr>
                            <w:sz w:val="16"/>
                          </w:rPr>
                          <w:t>baja.</w:t>
                        </w:r>
                      </w:p>
                    </w:tc>
                    <w:tc>
                      <w:tcPr>
                        <w:tcW w:w="3544" w:type="dxa"/>
                        <w:tcBorders>
                          <w:right w:val="dotted" w:sz="4" w:space="0" w:color="929292"/>
                        </w:tcBorders>
                      </w:tcPr>
                      <w:p>
                        <w:pPr>
                          <w:pStyle w:val="TableParagraph"/>
                          <w:numPr>
                            <w:ilvl w:val="0"/>
                            <w:numId w:val="63"/>
                          </w:numPr>
                          <w:tabs>
                            <w:tab w:pos="824" w:val="left" w:leader="none"/>
                          </w:tabs>
                          <w:spacing w:line="259" w:lineRule="auto" w:before="21" w:after="0"/>
                          <w:ind w:left="670" w:right="218" w:firstLine="0"/>
                          <w:jc w:val="left"/>
                          <w:rPr>
                            <w:sz w:val="16"/>
                          </w:rPr>
                        </w:pPr>
                        <w:r>
                          <w:rPr>
                            <w:sz w:val="16"/>
                          </w:rPr>
                          <w:t>Convenios y asociaciones entre esfera público-privado-sociedad civil y arreglos</w:t>
                        </w:r>
                        <w:r>
                          <w:rPr>
                            <w:spacing w:val="16"/>
                            <w:sz w:val="16"/>
                          </w:rPr>
                          <w:t> </w:t>
                        </w:r>
                        <w:r>
                          <w:rPr>
                            <w:sz w:val="16"/>
                          </w:rPr>
                          <w:t>acordados.</w:t>
                        </w:r>
                      </w:p>
                    </w:tc>
                  </w:tr>
                  <w:tr>
                    <w:trPr>
                      <w:trHeight w:val="371" w:hRule="exact"/>
                    </w:trPr>
                    <w:tc>
                      <w:tcPr>
                        <w:tcW w:w="4088" w:type="dxa"/>
                        <w:tcBorders>
                          <w:left w:val="nil"/>
                          <w:bottom w:val="nil"/>
                        </w:tcBorders>
                      </w:tcPr>
                      <w:p>
                        <w:pPr>
                          <w:pStyle w:val="TableParagraph"/>
                          <w:numPr>
                            <w:ilvl w:val="0"/>
                            <w:numId w:val="64"/>
                          </w:numPr>
                          <w:tabs>
                            <w:tab w:pos="829" w:val="left" w:leader="none"/>
                          </w:tabs>
                          <w:spacing w:line="173" w:lineRule="exact" w:before="0" w:after="0"/>
                          <w:ind w:left="828" w:right="0" w:hanging="153"/>
                          <w:jc w:val="left"/>
                          <w:rPr>
                            <w:sz w:val="16"/>
                          </w:rPr>
                        </w:pPr>
                        <w:r>
                          <w:rPr>
                            <w:sz w:val="16"/>
                          </w:rPr>
                          <w:t>Resolución de conflicto, atención</w:t>
                        </w:r>
                        <w:r>
                          <w:rPr>
                            <w:spacing w:val="43"/>
                            <w:sz w:val="16"/>
                          </w:rPr>
                          <w:t> </w:t>
                        </w:r>
                        <w:r>
                          <w:rPr>
                            <w:sz w:val="16"/>
                          </w:rPr>
                          <w:t>de</w:t>
                        </w:r>
                      </w:p>
                      <w:p>
                        <w:pPr>
                          <w:pStyle w:val="TableParagraph"/>
                          <w:tabs>
                            <w:tab w:pos="675" w:val="left" w:leader="none"/>
                            <w:tab w:pos="4073" w:val="left" w:leader="none"/>
                          </w:tabs>
                          <w:spacing w:before="14"/>
                          <w:ind w:left="35"/>
                          <w:rPr>
                            <w:sz w:val="16"/>
                          </w:rPr>
                        </w:pPr>
                        <w:r>
                          <w:rPr>
                            <w:w w:val="100"/>
                            <w:sz w:val="16"/>
                            <w:u w:val="dotted" w:color="929292"/>
                          </w:rPr>
                          <w:t> </w:t>
                        </w:r>
                        <w:r>
                          <w:rPr>
                            <w:sz w:val="16"/>
                            <w:u w:val="dotted" w:color="929292"/>
                          </w:rPr>
                          <w:tab/>
                          <w:t>agravios bajo criterios de</w:t>
                        </w:r>
                        <w:r>
                          <w:rPr>
                            <w:spacing w:val="31"/>
                            <w:sz w:val="16"/>
                            <w:u w:val="dotted" w:color="929292"/>
                          </w:rPr>
                          <w:t> </w:t>
                        </w:r>
                        <w:r>
                          <w:rPr>
                            <w:sz w:val="16"/>
                            <w:u w:val="dotted" w:color="929292"/>
                          </w:rPr>
                          <w:t>gobierno.</w:t>
                          <w:tab/>
                        </w:r>
                      </w:p>
                    </w:tc>
                    <w:tc>
                      <w:tcPr>
                        <w:tcW w:w="3544" w:type="dxa"/>
                        <w:tcBorders>
                          <w:bottom w:val="single" w:sz="4" w:space="0" w:color="FFFFFF"/>
                          <w:right w:val="nil"/>
                        </w:tcBorders>
                      </w:tcPr>
                      <w:p>
                        <w:pPr>
                          <w:pStyle w:val="TableParagraph"/>
                          <w:numPr>
                            <w:ilvl w:val="0"/>
                            <w:numId w:val="65"/>
                          </w:numPr>
                          <w:tabs>
                            <w:tab w:pos="824" w:val="left" w:leader="none"/>
                          </w:tabs>
                          <w:spacing w:line="173" w:lineRule="exact" w:before="0" w:after="0"/>
                          <w:ind w:left="823" w:right="0" w:hanging="153"/>
                          <w:jc w:val="left"/>
                          <w:rPr>
                            <w:sz w:val="16"/>
                          </w:rPr>
                        </w:pPr>
                        <w:r>
                          <w:rPr>
                            <w:sz w:val="16"/>
                          </w:rPr>
                          <w:t>Ciudadanos con derechos</w:t>
                        </w:r>
                        <w:r>
                          <w:rPr>
                            <w:spacing w:val="22"/>
                            <w:sz w:val="16"/>
                          </w:rPr>
                          <w:t> </w:t>
                        </w:r>
                        <w:r>
                          <w:rPr>
                            <w:sz w:val="16"/>
                          </w:rPr>
                          <w:t>a</w:t>
                        </w:r>
                      </w:p>
                      <w:p>
                        <w:pPr>
                          <w:pStyle w:val="TableParagraph"/>
                          <w:tabs>
                            <w:tab w:pos="670" w:val="left" w:leader="none"/>
                            <w:tab w:pos="3518" w:val="left" w:leader="none"/>
                          </w:tabs>
                          <w:spacing w:before="14"/>
                          <w:ind w:left="24"/>
                          <w:rPr>
                            <w:sz w:val="16"/>
                          </w:rPr>
                        </w:pPr>
                        <w:r>
                          <w:rPr>
                            <w:w w:val="100"/>
                            <w:sz w:val="16"/>
                            <w:u w:val="dotted" w:color="929292"/>
                          </w:rPr>
                          <w:t> </w:t>
                        </w:r>
                        <w:r>
                          <w:rPr>
                            <w:sz w:val="16"/>
                            <w:u w:val="dotted" w:color="929292"/>
                          </w:rPr>
                          <w:tab/>
                          <w:t>negociación de</w:t>
                        </w:r>
                        <w:r>
                          <w:rPr>
                            <w:spacing w:val="34"/>
                            <w:sz w:val="16"/>
                            <w:u w:val="dotted" w:color="929292"/>
                          </w:rPr>
                          <w:t> </w:t>
                        </w:r>
                        <w:r>
                          <w:rPr>
                            <w:sz w:val="16"/>
                            <w:u w:val="dotted" w:color="929292"/>
                          </w:rPr>
                          <w:t>contrapesos.</w:t>
                          <w:tab/>
                        </w:r>
                      </w:p>
                    </w:tc>
                  </w:tr>
                </w:tbl>
                <w:p>
                  <w:pPr>
                    <w:pStyle w:val="BodyText"/>
                  </w:pPr>
                </w:p>
              </w:txbxContent>
            </v:textbox>
            <w10:wrap type="none"/>
          </v:shape>
        </w:pict>
      </w:r>
      <w:r>
        <w:rPr>
          <w:color w:val="6D6E71"/>
          <w:sz w:val="16"/>
        </w:rPr>
        <w:t>Cuadro 1. Transición en los modelos de gobierno</w:t>
      </w:r>
    </w:p>
    <w:p>
      <w:pPr>
        <w:spacing w:after="0"/>
        <w:jc w:val="left"/>
        <w:rPr>
          <w:sz w:val="16"/>
        </w:rPr>
        <w:sectPr>
          <w:type w:val="continuous"/>
          <w:pgSz w:w="18830" w:h="12760" w:orient="landscape"/>
          <w:pgMar w:top="1420" w:bottom="280" w:left="720" w:right="720"/>
          <w:cols w:num="2" w:equalWidth="0">
            <w:col w:w="7848" w:space="1557"/>
            <w:col w:w="7985"/>
          </w:cols>
        </w:sectPr>
      </w:pPr>
    </w:p>
    <w:p>
      <w:pPr>
        <w:pStyle w:val="BodyText"/>
      </w:pPr>
    </w:p>
    <w:p>
      <w:pPr>
        <w:pStyle w:val="BodyText"/>
        <w:spacing w:before="6"/>
        <w:rPr>
          <w:sz w:val="19"/>
        </w:rPr>
      </w:pPr>
    </w:p>
    <w:p>
      <w:pPr>
        <w:spacing w:before="81"/>
        <w:ind w:left="11523" w:right="0" w:firstLine="0"/>
        <w:jc w:val="left"/>
        <w:rPr>
          <w:sz w:val="16"/>
        </w:rPr>
      </w:pPr>
      <w:r>
        <w:rPr>
          <w:color w:val="6D6E71"/>
          <w:sz w:val="16"/>
        </w:rPr>
        <w:t>Fuente: Elaboración propia con base en Pérez, 2013</w:t>
      </w:r>
    </w:p>
    <w:p>
      <w:pPr>
        <w:spacing w:after="0"/>
        <w:jc w:val="left"/>
        <w:rPr>
          <w:sz w:val="16"/>
        </w:rPr>
        <w:sectPr>
          <w:type w:val="continuous"/>
          <w:pgSz w:w="18830" w:h="12760" w:orient="landscape"/>
          <w:pgMar w:top="1420" w:bottom="280" w:left="720" w:right="720"/>
        </w:sectPr>
      </w:pPr>
    </w:p>
    <w:p>
      <w:pPr>
        <w:pStyle w:val="BodyText"/>
        <w:spacing w:before="6"/>
        <w:rPr>
          <w:sz w:val="23"/>
        </w:rPr>
      </w:pPr>
    </w:p>
    <w:p>
      <w:pPr>
        <w:spacing w:after="0"/>
        <w:rPr>
          <w:sz w:val="23"/>
        </w:rPr>
        <w:sectPr>
          <w:footerReference w:type="default" r:id="rId453"/>
          <w:pgSz w:w="18830" w:h="12760" w:orient="landscape"/>
          <w:pgMar w:footer="1036" w:header="522" w:top="820" w:bottom="1220" w:left="720" w:right="720"/>
        </w:sectPr>
      </w:pPr>
    </w:p>
    <w:p>
      <w:pPr>
        <w:pStyle w:val="BodyText"/>
        <w:spacing w:line="249" w:lineRule="auto" w:before="76"/>
        <w:ind w:left="144" w:firstLine="170"/>
        <w:jc w:val="both"/>
      </w:pPr>
      <w:r>
        <w:rPr/>
        <w:t>El largo recorrido de las relaciones del Estado con la sociedad, -mercado y partición cívica- en el contexto internacional, dio lugar a varios patrones de ajustes y arreglos, de manera que algunos especialistas proponen tipos (Cuadro 2). Los tipos presentan grados</w:t>
      </w:r>
      <w:r>
        <w:rPr>
          <w:spacing w:val="-8"/>
        </w:rPr>
        <w:t> </w:t>
      </w:r>
      <w:r>
        <w:rPr/>
        <w:t>de</w:t>
      </w:r>
      <w:r>
        <w:rPr>
          <w:spacing w:val="-8"/>
        </w:rPr>
        <w:t> </w:t>
      </w:r>
      <w:r>
        <w:rPr/>
        <w:t>gobernanza</w:t>
      </w:r>
      <w:r>
        <w:rPr>
          <w:spacing w:val="-8"/>
        </w:rPr>
        <w:t> </w:t>
      </w:r>
      <w:r>
        <w:rPr/>
        <w:t>que</w:t>
      </w:r>
      <w:r>
        <w:rPr>
          <w:spacing w:val="-8"/>
        </w:rPr>
        <w:t> </w:t>
      </w:r>
      <w:r>
        <w:rPr/>
        <w:t>no</w:t>
      </w:r>
      <w:r>
        <w:rPr>
          <w:spacing w:val="-8"/>
        </w:rPr>
        <w:t> </w:t>
      </w:r>
      <w:r>
        <w:rPr/>
        <w:t>sólo</w:t>
      </w:r>
      <w:r>
        <w:rPr>
          <w:spacing w:val="-8"/>
        </w:rPr>
        <w:t> </w:t>
      </w:r>
      <w:r>
        <w:rPr/>
        <w:t>se</w:t>
      </w:r>
      <w:r>
        <w:rPr>
          <w:spacing w:val="-8"/>
        </w:rPr>
        <w:t> </w:t>
      </w:r>
      <w:r>
        <w:rPr/>
        <w:t>trata</w:t>
      </w:r>
      <w:r>
        <w:rPr>
          <w:spacing w:val="-8"/>
        </w:rPr>
        <w:t> </w:t>
      </w:r>
      <w:r>
        <w:rPr/>
        <w:t>de</w:t>
      </w:r>
      <w:r>
        <w:rPr>
          <w:spacing w:val="-8"/>
        </w:rPr>
        <w:t> </w:t>
      </w:r>
      <w:r>
        <w:rPr/>
        <w:t>énfasis</w:t>
      </w:r>
      <w:r>
        <w:rPr>
          <w:spacing w:val="-8"/>
        </w:rPr>
        <w:t> </w:t>
      </w:r>
      <w:r>
        <w:rPr/>
        <w:t>sino</w:t>
      </w:r>
      <w:r>
        <w:rPr>
          <w:spacing w:val="-8"/>
        </w:rPr>
        <w:t> </w:t>
      </w:r>
      <w:r>
        <w:rPr/>
        <w:t>que</w:t>
      </w:r>
      <w:r>
        <w:rPr>
          <w:spacing w:val="-8"/>
        </w:rPr>
        <w:t> </w:t>
      </w:r>
      <w:r>
        <w:rPr/>
        <w:t>los</w:t>
      </w:r>
      <w:r>
        <w:rPr>
          <w:spacing w:val="-8"/>
        </w:rPr>
        <w:t> </w:t>
      </w:r>
      <w:r>
        <w:rPr/>
        <w:t>contextos</w:t>
      </w:r>
      <w:r>
        <w:rPr>
          <w:spacing w:val="-8"/>
        </w:rPr>
        <w:t> </w:t>
      </w:r>
      <w:r>
        <w:rPr/>
        <w:t>históricos, culturales y sociales de cada país sellan la diferencia. No obstante la práctica no ha sido</w:t>
      </w:r>
      <w:r>
        <w:rPr>
          <w:spacing w:val="-6"/>
        </w:rPr>
        <w:t> </w:t>
      </w:r>
      <w:r>
        <w:rPr/>
        <w:t>fácil,</w:t>
      </w:r>
      <w:r>
        <w:rPr>
          <w:spacing w:val="-6"/>
        </w:rPr>
        <w:t> </w:t>
      </w:r>
      <w:r>
        <w:rPr/>
        <w:t>ha</w:t>
      </w:r>
      <w:r>
        <w:rPr>
          <w:spacing w:val="-6"/>
        </w:rPr>
        <w:t> </w:t>
      </w:r>
      <w:r>
        <w:rPr/>
        <w:t>evolucionado</w:t>
      </w:r>
      <w:r>
        <w:rPr>
          <w:spacing w:val="-6"/>
        </w:rPr>
        <w:t> </w:t>
      </w:r>
      <w:r>
        <w:rPr/>
        <w:t>con</w:t>
      </w:r>
      <w:r>
        <w:rPr>
          <w:spacing w:val="-6"/>
        </w:rPr>
        <w:t> </w:t>
      </w:r>
      <w:r>
        <w:rPr/>
        <w:t>dificultades</w:t>
      </w:r>
      <w:r>
        <w:rPr>
          <w:spacing w:val="-6"/>
        </w:rPr>
        <w:t> </w:t>
      </w:r>
      <w:r>
        <w:rPr/>
        <w:t>y</w:t>
      </w:r>
      <w:r>
        <w:rPr>
          <w:spacing w:val="-6"/>
        </w:rPr>
        <w:t> </w:t>
      </w:r>
      <w:r>
        <w:rPr/>
        <w:t>frenos</w:t>
      </w:r>
      <w:r>
        <w:rPr>
          <w:spacing w:val="-6"/>
        </w:rPr>
        <w:t> </w:t>
      </w:r>
      <w:r>
        <w:rPr/>
        <w:t>por</w:t>
      </w:r>
      <w:r>
        <w:rPr>
          <w:spacing w:val="-6"/>
        </w:rPr>
        <w:t> </w:t>
      </w:r>
      <w:r>
        <w:rPr/>
        <w:t>el</w:t>
      </w:r>
      <w:r>
        <w:rPr>
          <w:spacing w:val="-6"/>
        </w:rPr>
        <w:t> </w:t>
      </w:r>
      <w:r>
        <w:rPr/>
        <w:t>peso</w:t>
      </w:r>
      <w:r>
        <w:rPr>
          <w:spacing w:val="-6"/>
        </w:rPr>
        <w:t> </w:t>
      </w:r>
      <w:r>
        <w:rPr/>
        <w:t>de</w:t>
      </w:r>
      <w:r>
        <w:rPr>
          <w:spacing w:val="-6"/>
        </w:rPr>
        <w:t> </w:t>
      </w:r>
      <w:r>
        <w:rPr/>
        <w:t>la</w:t>
      </w:r>
      <w:r>
        <w:rPr>
          <w:spacing w:val="-6"/>
        </w:rPr>
        <w:t> </w:t>
      </w:r>
      <w:r>
        <w:rPr/>
        <w:t>tradición</w:t>
      </w:r>
      <w:r>
        <w:rPr>
          <w:spacing w:val="-6"/>
        </w:rPr>
        <w:t> </w:t>
      </w:r>
      <w:r>
        <w:rPr/>
        <w:t>del</w:t>
      </w:r>
      <w:r>
        <w:rPr>
          <w:spacing w:val="-6"/>
        </w:rPr>
        <w:t> </w:t>
      </w:r>
      <w:r>
        <w:rPr/>
        <w:t>poder vertical, el entramado de sus instituciones y sus formas</w:t>
      </w:r>
      <w:r>
        <w:rPr>
          <w:spacing w:val="-24"/>
        </w:rPr>
        <w:t> </w:t>
      </w:r>
      <w:r>
        <w:rPr/>
        <w:t>centralistas.</w:t>
      </w:r>
    </w:p>
    <w:p>
      <w:pPr>
        <w:pStyle w:val="BodyText"/>
        <w:spacing w:before="2"/>
        <w:rPr>
          <w:sz w:val="24"/>
        </w:rPr>
      </w:pPr>
    </w:p>
    <w:p>
      <w:pPr>
        <w:spacing w:before="0"/>
        <w:ind w:left="1609" w:right="1465" w:firstLine="0"/>
        <w:jc w:val="center"/>
        <w:rPr>
          <w:sz w:val="16"/>
        </w:rPr>
      </w:pPr>
      <w:r>
        <w:rPr>
          <w:color w:val="6D6E71"/>
          <w:sz w:val="16"/>
        </w:rPr>
        <w:t>Cuadro 2. Tipos de gobernanza</w:t>
      </w:r>
    </w:p>
    <w:p>
      <w:pPr>
        <w:pStyle w:val="BodyText"/>
        <w:spacing w:before="10"/>
        <w:rPr>
          <w:sz w:val="8"/>
        </w:rPr>
      </w:pPr>
    </w:p>
    <w:tbl>
      <w:tblPr>
        <w:tblW w:w="0" w:type="auto"/>
        <w:jc w:val="left"/>
        <w:tblInd w:w="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8"/>
        <w:gridCol w:w="6032"/>
      </w:tblGrid>
      <w:tr>
        <w:trPr>
          <w:trHeight w:val="228" w:hRule="exact"/>
        </w:trPr>
        <w:tc>
          <w:tcPr>
            <w:tcW w:w="1668" w:type="dxa"/>
            <w:tcBorders>
              <w:bottom w:val="dotted" w:sz="4" w:space="0" w:color="FFFFFF"/>
              <w:right w:val="single" w:sz="4" w:space="0" w:color="FFFFFF"/>
            </w:tcBorders>
            <w:shd w:val="clear" w:color="auto" w:fill="929292"/>
          </w:tcPr>
          <w:p>
            <w:pPr>
              <w:pStyle w:val="TableParagraph"/>
              <w:spacing w:before="21"/>
              <w:ind w:left="107"/>
              <w:rPr>
                <w:sz w:val="16"/>
              </w:rPr>
            </w:pPr>
            <w:r>
              <w:rPr>
                <w:sz w:val="16"/>
              </w:rPr>
              <w:t>Tipo</w:t>
            </w:r>
          </w:p>
        </w:tc>
        <w:tc>
          <w:tcPr>
            <w:tcW w:w="6032" w:type="dxa"/>
            <w:tcBorders>
              <w:left w:val="single" w:sz="4" w:space="0" w:color="FFFFFF"/>
              <w:bottom w:val="dotted" w:sz="4" w:space="0" w:color="FFFFFF"/>
            </w:tcBorders>
            <w:shd w:val="clear" w:color="auto" w:fill="929292"/>
          </w:tcPr>
          <w:p>
            <w:pPr>
              <w:pStyle w:val="TableParagraph"/>
              <w:spacing w:before="21"/>
              <w:ind w:left="102"/>
              <w:rPr>
                <w:sz w:val="16"/>
              </w:rPr>
            </w:pPr>
            <w:r>
              <w:rPr>
                <w:sz w:val="16"/>
              </w:rPr>
              <w:t>Interrelación y actuación</w:t>
            </w:r>
          </w:p>
        </w:tc>
      </w:tr>
      <w:tr>
        <w:trPr>
          <w:trHeight w:val="371" w:hRule="exact"/>
        </w:trPr>
        <w:tc>
          <w:tcPr>
            <w:tcW w:w="1668" w:type="dxa"/>
            <w:tcBorders>
              <w:top w:val="dotted" w:sz="4" w:space="0" w:color="FFFFFF"/>
              <w:bottom w:val="single" w:sz="4" w:space="0" w:color="FFFFFF"/>
              <w:right w:val="single" w:sz="4" w:space="0" w:color="929292"/>
            </w:tcBorders>
          </w:tcPr>
          <w:p>
            <w:pPr>
              <w:pStyle w:val="TableParagraph"/>
              <w:spacing w:line="172" w:lineRule="exact" w:before="26"/>
              <w:ind w:left="107"/>
              <w:rPr>
                <w:sz w:val="16"/>
              </w:rPr>
            </w:pPr>
            <w:r>
              <w:rPr>
                <w:sz w:val="16"/>
              </w:rPr>
              <w:t>1.  Económica</w:t>
            </w:r>
          </w:p>
          <w:p>
            <w:pPr>
              <w:pStyle w:val="TableParagraph"/>
              <w:tabs>
                <w:tab w:pos="1652" w:val="left" w:leader="none"/>
              </w:tabs>
              <w:spacing w:line="172" w:lineRule="exact"/>
              <w:ind w:left="35"/>
              <w:rPr>
                <w:sz w:val="16"/>
              </w:rPr>
            </w:pPr>
            <w:r>
              <w:rPr>
                <w:w w:val="100"/>
                <w:sz w:val="16"/>
                <w:u w:val="dotted" w:color="929292"/>
              </w:rPr>
              <w:t> </w:t>
            </w:r>
            <w:r>
              <w:rPr>
                <w:sz w:val="16"/>
                <w:u w:val="dotted" w:color="929292"/>
              </w:rPr>
              <w:tab/>
            </w:r>
          </w:p>
        </w:tc>
        <w:tc>
          <w:tcPr>
            <w:tcW w:w="6032" w:type="dxa"/>
            <w:tcBorders>
              <w:top w:val="dotted" w:sz="4" w:space="0" w:color="FFFFFF"/>
              <w:left w:val="single" w:sz="4" w:space="0" w:color="929292"/>
              <w:bottom w:val="single" w:sz="4" w:space="0" w:color="FFFFFF"/>
            </w:tcBorders>
          </w:tcPr>
          <w:p>
            <w:pPr>
              <w:pStyle w:val="TableParagraph"/>
              <w:spacing w:line="172" w:lineRule="exact"/>
              <w:ind w:left="102"/>
              <w:rPr>
                <w:sz w:val="16"/>
              </w:rPr>
            </w:pPr>
            <w:r>
              <w:rPr>
                <w:sz w:val="16"/>
              </w:rPr>
              <w:t>Relación Estado - agentes privados, dirige su actuar a facilitar el  funcionamiento</w:t>
            </w:r>
          </w:p>
          <w:p>
            <w:pPr>
              <w:pStyle w:val="TableParagraph"/>
              <w:tabs>
                <w:tab w:pos="6007"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de los</w:t>
            </w:r>
            <w:r>
              <w:rPr>
                <w:spacing w:val="17"/>
                <w:sz w:val="16"/>
                <w:u w:val="dotted" w:color="929292"/>
              </w:rPr>
              <w:t> </w:t>
            </w:r>
            <w:r>
              <w:rPr>
                <w:sz w:val="16"/>
                <w:u w:val="dotted" w:color="929292"/>
              </w:rPr>
              <w:t>mercados.</w:t>
              <w:tab/>
            </w:r>
          </w:p>
        </w:tc>
      </w:tr>
      <w:tr>
        <w:trPr>
          <w:trHeight w:val="371" w:hRule="exact"/>
        </w:trPr>
        <w:tc>
          <w:tcPr>
            <w:tcW w:w="1668" w:type="dxa"/>
            <w:tcBorders>
              <w:top w:val="single" w:sz="4" w:space="0" w:color="FFFFFF"/>
              <w:bottom w:val="single" w:sz="4" w:space="0" w:color="FFFFFF"/>
              <w:right w:val="single" w:sz="4" w:space="0" w:color="929292"/>
            </w:tcBorders>
          </w:tcPr>
          <w:p>
            <w:pPr>
              <w:pStyle w:val="TableParagraph"/>
              <w:spacing w:line="172" w:lineRule="exact"/>
              <w:ind w:left="107"/>
              <w:rPr>
                <w:sz w:val="16"/>
              </w:rPr>
            </w:pPr>
            <w:r>
              <w:rPr>
                <w:sz w:val="16"/>
              </w:rPr>
              <w:t>2. Institucional</w:t>
            </w:r>
          </w:p>
          <w:p>
            <w:pPr>
              <w:pStyle w:val="TableParagraph"/>
              <w:tabs>
                <w:tab w:pos="1652" w:val="left" w:leader="none"/>
              </w:tabs>
              <w:spacing w:before="16"/>
              <w:ind w:left="35"/>
              <w:rPr>
                <w:sz w:val="16"/>
              </w:rPr>
            </w:pPr>
            <w:r>
              <w:rPr>
                <w:w w:val="100"/>
                <w:sz w:val="16"/>
                <w:u w:val="dotted" w:color="929292"/>
              </w:rPr>
              <w:t> </w:t>
            </w:r>
            <w:r>
              <w:rPr>
                <w:spacing w:val="-17"/>
                <w:sz w:val="16"/>
                <w:u w:val="dotted" w:color="929292"/>
              </w:rPr>
              <w:t> </w:t>
            </w:r>
            <w:r>
              <w:rPr>
                <w:sz w:val="16"/>
                <w:u w:val="dotted" w:color="929292"/>
              </w:rPr>
              <w:t>internacional</w:t>
              <w:tab/>
            </w:r>
          </w:p>
        </w:tc>
        <w:tc>
          <w:tcPr>
            <w:tcW w:w="6032" w:type="dxa"/>
            <w:tcBorders>
              <w:top w:val="single" w:sz="4" w:space="0" w:color="FFFFFF"/>
              <w:left w:val="single" w:sz="4" w:space="0" w:color="929292"/>
              <w:bottom w:val="single" w:sz="4" w:space="0" w:color="FFFFFF"/>
            </w:tcBorders>
          </w:tcPr>
          <w:p>
            <w:pPr>
              <w:pStyle w:val="TableParagraph"/>
              <w:spacing w:line="172" w:lineRule="exact"/>
              <w:ind w:left="102"/>
              <w:rPr>
                <w:sz w:val="16"/>
              </w:rPr>
            </w:pPr>
            <w:r>
              <w:rPr>
                <w:sz w:val="16"/>
              </w:rPr>
              <w:t>Relación Estado - Nación con otros países, se conduce mediante acuerdos  y</w:t>
            </w:r>
          </w:p>
          <w:p>
            <w:pPr>
              <w:pStyle w:val="TableParagraph"/>
              <w:tabs>
                <w:tab w:pos="6007"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arbitrajes.</w:t>
              <w:tab/>
            </w:r>
          </w:p>
        </w:tc>
      </w:tr>
      <w:tr>
        <w:trPr>
          <w:trHeight w:val="171" w:hRule="exact"/>
        </w:trPr>
        <w:tc>
          <w:tcPr>
            <w:tcW w:w="1668" w:type="dxa"/>
            <w:tcBorders>
              <w:top w:val="single" w:sz="4" w:space="0" w:color="FFFFFF"/>
              <w:bottom w:val="single" w:sz="4" w:space="0" w:color="FFFFFF"/>
              <w:right w:val="single" w:sz="4" w:space="0" w:color="929292"/>
            </w:tcBorders>
          </w:tcPr>
          <w:p>
            <w:pPr>
              <w:pStyle w:val="TableParagraph"/>
              <w:tabs>
                <w:tab w:pos="1652" w:val="left" w:leader="none"/>
              </w:tabs>
              <w:spacing w:line="171" w:lineRule="exact"/>
              <w:ind w:left="35"/>
              <w:rPr>
                <w:sz w:val="16"/>
              </w:rPr>
            </w:pPr>
            <w:r>
              <w:rPr>
                <w:w w:val="100"/>
                <w:sz w:val="16"/>
                <w:u w:val="dotted" w:color="929292"/>
              </w:rPr>
              <w:t> </w:t>
            </w:r>
            <w:r>
              <w:rPr>
                <w:spacing w:val="-17"/>
                <w:sz w:val="16"/>
                <w:u w:val="dotted" w:color="929292"/>
              </w:rPr>
              <w:t> </w:t>
            </w:r>
            <w:r>
              <w:rPr>
                <w:sz w:val="16"/>
                <w:u w:val="dotted" w:color="929292"/>
              </w:rPr>
              <w:t>3.</w:t>
            </w:r>
            <w:r>
              <w:rPr>
                <w:spacing w:val="11"/>
                <w:sz w:val="16"/>
                <w:u w:val="dotted" w:color="929292"/>
              </w:rPr>
              <w:t> </w:t>
            </w:r>
            <w:r>
              <w:rPr>
                <w:sz w:val="16"/>
                <w:u w:val="dotted" w:color="929292"/>
              </w:rPr>
              <w:t>Corporativa</w:t>
              <w:tab/>
            </w:r>
          </w:p>
        </w:tc>
        <w:tc>
          <w:tcPr>
            <w:tcW w:w="6032" w:type="dxa"/>
            <w:tcBorders>
              <w:top w:val="single" w:sz="4" w:space="0" w:color="FFFFFF"/>
              <w:left w:val="single" w:sz="4" w:space="0" w:color="929292"/>
              <w:bottom w:val="single" w:sz="4" w:space="0" w:color="FFFFFF"/>
            </w:tcBorders>
          </w:tcPr>
          <w:p>
            <w:pPr>
              <w:pStyle w:val="TableParagraph"/>
              <w:spacing w:line="171" w:lineRule="exact"/>
              <w:ind w:left="24"/>
              <w:rPr>
                <w:sz w:val="16"/>
              </w:rPr>
            </w:pPr>
            <w:r>
              <w:rPr>
                <w:w w:val="100"/>
                <w:sz w:val="16"/>
                <w:u w:val="dotted" w:color="929292"/>
              </w:rPr>
              <w:t> </w:t>
            </w:r>
            <w:r>
              <w:rPr>
                <w:sz w:val="16"/>
                <w:u w:val="dotted" w:color="929292"/>
              </w:rPr>
              <w:t> Dentro de la empresa, toma de decisión de los accionistas y de los  trabajadores. </w:t>
            </w:r>
          </w:p>
        </w:tc>
      </w:tr>
      <w:tr>
        <w:trPr>
          <w:trHeight w:val="371" w:hRule="exact"/>
        </w:trPr>
        <w:tc>
          <w:tcPr>
            <w:tcW w:w="1668" w:type="dxa"/>
            <w:vMerge w:val="restart"/>
            <w:tcBorders>
              <w:top w:val="single" w:sz="4" w:space="0" w:color="FFFFFF"/>
              <w:right w:val="single" w:sz="4" w:space="0" w:color="929292"/>
            </w:tcBorders>
          </w:tcPr>
          <w:p>
            <w:pPr>
              <w:pStyle w:val="TableParagraph"/>
              <w:spacing w:line="171" w:lineRule="exact"/>
              <w:ind w:left="107"/>
              <w:rPr>
                <w:sz w:val="16"/>
              </w:rPr>
            </w:pPr>
            <w:r>
              <w:rPr>
                <w:sz w:val="16"/>
              </w:rPr>
              <w:t>4. Administración</w:t>
            </w:r>
          </w:p>
          <w:p>
            <w:pPr>
              <w:pStyle w:val="TableParagraph"/>
              <w:spacing w:before="16"/>
              <w:ind w:left="107"/>
              <w:rPr>
                <w:sz w:val="16"/>
              </w:rPr>
            </w:pPr>
            <w:r>
              <w:rPr>
                <w:w w:val="105"/>
                <w:sz w:val="16"/>
              </w:rPr>
              <w:t>pública</w:t>
            </w:r>
          </w:p>
          <w:p>
            <w:pPr>
              <w:pStyle w:val="TableParagraph"/>
              <w:rPr>
                <w:sz w:val="16"/>
              </w:rPr>
            </w:pPr>
          </w:p>
          <w:p>
            <w:pPr>
              <w:pStyle w:val="TableParagraph"/>
              <w:spacing w:before="7"/>
              <w:rPr>
                <w:sz w:val="17"/>
              </w:rPr>
            </w:pPr>
          </w:p>
          <w:p>
            <w:pPr>
              <w:pStyle w:val="TableParagraph"/>
              <w:tabs>
                <w:tab w:pos="1652" w:val="left" w:leader="none"/>
              </w:tabs>
              <w:spacing w:line="242" w:lineRule="auto"/>
              <w:ind w:left="107" w:right="8" w:hanging="73"/>
              <w:rPr>
                <w:sz w:val="16"/>
              </w:rPr>
            </w:pPr>
            <w:r>
              <w:rPr>
                <w:w w:val="100"/>
                <w:sz w:val="16"/>
                <w:u w:val="dotted" w:color="929292"/>
              </w:rPr>
              <w:t> </w:t>
            </w:r>
            <w:r>
              <w:rPr>
                <w:sz w:val="16"/>
                <w:u w:val="dotted" w:color="929292"/>
              </w:rPr>
              <w:tab/>
              <w:tab/>
            </w:r>
            <w:r>
              <w:rPr>
                <w:sz w:val="16"/>
              </w:rPr>
              <w:t> </w:t>
            </w:r>
            <w:r>
              <w:rPr>
                <w:w w:val="98"/>
                <w:sz w:val="16"/>
              </w:rPr>
              <w:t>5.Redes</w:t>
            </w:r>
            <w:r>
              <w:rPr>
                <w:sz w:val="16"/>
              </w:rPr>
              <w:t> y </w:t>
            </w:r>
            <w:r>
              <w:rPr>
                <w:w w:val="100"/>
                <w:sz w:val="16"/>
              </w:rPr>
              <w:t>organizaciones</w:t>
            </w:r>
          </w:p>
          <w:p>
            <w:pPr>
              <w:pStyle w:val="TableParagraph"/>
              <w:tabs>
                <w:tab w:pos="1652" w:val="left" w:leader="none"/>
              </w:tabs>
              <w:spacing w:before="14"/>
              <w:ind w:left="35"/>
              <w:rPr>
                <w:sz w:val="16"/>
              </w:rPr>
            </w:pPr>
            <w:r>
              <w:rPr>
                <w:w w:val="100"/>
                <w:sz w:val="16"/>
                <w:u w:val="dotted" w:color="929292"/>
              </w:rPr>
              <w:t> </w:t>
            </w:r>
            <w:r>
              <w:rPr>
                <w:sz w:val="16"/>
                <w:u w:val="dotted" w:color="929292"/>
              </w:rPr>
              <w:tab/>
            </w:r>
          </w:p>
        </w:tc>
        <w:tc>
          <w:tcPr>
            <w:tcW w:w="6032" w:type="dxa"/>
            <w:tcBorders>
              <w:top w:val="single" w:sz="4" w:space="0" w:color="FFFFFF"/>
              <w:left w:val="single" w:sz="4" w:space="0" w:color="929292"/>
              <w:bottom w:val="single" w:sz="4" w:space="0" w:color="FFFFFF"/>
            </w:tcBorders>
          </w:tcPr>
          <w:p>
            <w:pPr>
              <w:pStyle w:val="TableParagraph"/>
              <w:spacing w:line="171" w:lineRule="exact"/>
              <w:ind w:left="102"/>
              <w:rPr>
                <w:sz w:val="16"/>
              </w:rPr>
            </w:pPr>
            <w:r>
              <w:rPr>
                <w:sz w:val="16"/>
              </w:rPr>
              <w:t>La “nueva administración pública” o gerencia pública (privatización de  servicios,</w:t>
            </w:r>
          </w:p>
          <w:p>
            <w:pPr>
              <w:pStyle w:val="TableParagraph"/>
              <w:tabs>
                <w:tab w:pos="6007"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el prestador tiene relación de servicio -</w:t>
            </w:r>
            <w:r>
              <w:rPr>
                <w:spacing w:val="24"/>
                <w:sz w:val="16"/>
                <w:u w:val="dotted" w:color="929292"/>
              </w:rPr>
              <w:t> </w:t>
            </w:r>
            <w:r>
              <w:rPr>
                <w:sz w:val="16"/>
                <w:u w:val="dotted" w:color="929292"/>
              </w:rPr>
              <w:t>cliente).</w:t>
              <w:tab/>
            </w:r>
          </w:p>
        </w:tc>
      </w:tr>
      <w:tr>
        <w:trPr>
          <w:trHeight w:val="1112" w:hRule="exact"/>
        </w:trPr>
        <w:tc>
          <w:tcPr>
            <w:tcW w:w="1668" w:type="dxa"/>
            <w:vMerge/>
            <w:tcBorders>
              <w:right w:val="single" w:sz="4" w:space="0" w:color="929292"/>
            </w:tcBorders>
          </w:tcPr>
          <w:p>
            <w:pPr/>
          </w:p>
        </w:tc>
        <w:tc>
          <w:tcPr>
            <w:tcW w:w="6032" w:type="dxa"/>
            <w:tcBorders>
              <w:top w:val="single" w:sz="4" w:space="0" w:color="FFFFFF"/>
              <w:left w:val="single" w:sz="4" w:space="0" w:color="929292"/>
            </w:tcBorders>
          </w:tcPr>
          <w:p>
            <w:pPr>
              <w:pStyle w:val="TableParagraph"/>
              <w:spacing w:line="171" w:lineRule="exact"/>
              <w:ind w:left="102"/>
              <w:rPr>
                <w:sz w:val="16"/>
              </w:rPr>
            </w:pPr>
            <w:r>
              <w:rPr>
                <w:sz w:val="16"/>
              </w:rPr>
              <w:t>La “buena gobernanza”, refiere criterios de eficiencia, finanzas responsables,</w:t>
            </w:r>
          </w:p>
          <w:p>
            <w:pPr>
              <w:pStyle w:val="TableParagraph"/>
              <w:spacing w:before="16"/>
              <w:ind w:left="102"/>
              <w:rPr>
                <w:sz w:val="16"/>
              </w:rPr>
            </w:pPr>
            <w:r>
              <w:rPr>
                <w:sz w:val="16"/>
              </w:rPr>
              <w:t>transparentes, competencia de mercados, reducción de burocracia  y</w:t>
            </w:r>
          </w:p>
          <w:p>
            <w:pPr>
              <w:pStyle w:val="TableParagraph"/>
              <w:tabs>
                <w:tab w:pos="6007" w:val="left" w:leader="none"/>
              </w:tabs>
              <w:spacing w:line="242" w:lineRule="auto" w:before="16"/>
              <w:ind w:left="102" w:right="18" w:hanging="78"/>
              <w:rPr>
                <w:sz w:val="16"/>
              </w:rPr>
            </w:pPr>
            <w:r>
              <w:rPr>
                <w:w w:val="100"/>
                <w:sz w:val="16"/>
                <w:u w:val="dotted" w:color="929292"/>
              </w:rPr>
              <w:t> </w:t>
            </w:r>
            <w:r>
              <w:rPr>
                <w:spacing w:val="-11"/>
                <w:sz w:val="16"/>
                <w:u w:val="dotted" w:color="929292"/>
              </w:rPr>
              <w:t> </w:t>
            </w:r>
            <w:r>
              <w:rPr>
                <w:sz w:val="16"/>
                <w:u w:val="dotted" w:color="929292"/>
              </w:rPr>
              <w:t>privatización.</w:t>
              <w:tab/>
            </w:r>
            <w:r>
              <w:rPr>
                <w:sz w:val="16"/>
              </w:rPr>
              <w:t> Prácticas entre lo público – privado – voluntario, intercambio de </w:t>
            </w:r>
            <w:r>
              <w:rPr>
                <w:spacing w:val="18"/>
                <w:sz w:val="16"/>
              </w:rPr>
              <w:t> </w:t>
            </w:r>
            <w:r>
              <w:rPr>
                <w:sz w:val="16"/>
              </w:rPr>
              <w:t>recursos,</w:t>
            </w:r>
            <w:r>
              <w:rPr>
                <w:spacing w:val="6"/>
                <w:sz w:val="16"/>
              </w:rPr>
              <w:t> </w:t>
            </w:r>
            <w:r>
              <w:rPr>
                <w:sz w:val="16"/>
              </w:rPr>
              <w:t>con</w:t>
            </w:r>
            <w:r>
              <w:rPr>
                <w:w w:val="103"/>
                <w:sz w:val="16"/>
              </w:rPr>
              <w:t> </w:t>
            </w:r>
            <w:r>
              <w:rPr>
                <w:sz w:val="16"/>
              </w:rPr>
              <w:t>objetivos compartidos e interacción regulada. Tipos auto-organizados que </w:t>
            </w:r>
            <w:r>
              <w:rPr>
                <w:spacing w:val="38"/>
                <w:sz w:val="16"/>
              </w:rPr>
              <w:t> </w:t>
            </w:r>
            <w:r>
              <w:rPr>
                <w:sz w:val="16"/>
              </w:rPr>
              <w:t>rinden</w:t>
            </w:r>
          </w:p>
          <w:p>
            <w:pPr>
              <w:pStyle w:val="TableParagraph"/>
              <w:tabs>
                <w:tab w:pos="6007" w:val="left" w:leader="none"/>
              </w:tabs>
              <w:spacing w:before="14"/>
              <w:ind w:left="24"/>
              <w:rPr>
                <w:sz w:val="16"/>
              </w:rPr>
            </w:pPr>
            <w:r>
              <w:rPr>
                <w:w w:val="100"/>
                <w:sz w:val="16"/>
                <w:u w:val="dotted" w:color="929292"/>
              </w:rPr>
              <w:t> </w:t>
            </w:r>
            <w:r>
              <w:rPr>
                <w:spacing w:val="-11"/>
                <w:sz w:val="16"/>
                <w:u w:val="dotted" w:color="929292"/>
              </w:rPr>
              <w:t> </w:t>
            </w:r>
            <w:r>
              <w:rPr>
                <w:sz w:val="16"/>
                <w:u w:val="dotted" w:color="929292"/>
              </w:rPr>
              <w:t>cuentas al</w:t>
            </w:r>
            <w:r>
              <w:rPr>
                <w:spacing w:val="5"/>
                <w:sz w:val="16"/>
                <w:u w:val="dotted" w:color="929292"/>
              </w:rPr>
              <w:t> </w:t>
            </w:r>
            <w:r>
              <w:rPr>
                <w:sz w:val="16"/>
                <w:u w:val="dotted" w:color="929292"/>
              </w:rPr>
              <w:t>Estado.</w:t>
              <w:tab/>
            </w:r>
          </w:p>
        </w:tc>
      </w:tr>
    </w:tbl>
    <w:p>
      <w:pPr>
        <w:pStyle w:val="BodyText"/>
        <w:spacing w:before="2"/>
        <w:rPr>
          <w:sz w:val="18"/>
        </w:rPr>
      </w:pPr>
    </w:p>
    <w:p>
      <w:pPr>
        <w:spacing w:before="1"/>
        <w:ind w:left="1609" w:right="1465" w:firstLine="0"/>
        <w:jc w:val="center"/>
        <w:rPr>
          <w:sz w:val="16"/>
        </w:rPr>
      </w:pPr>
      <w:r>
        <w:rPr/>
        <w:pict>
          <v:line style="position:absolute;mso-position-horizontal-relative:page;mso-position-vertical-relative:paragraph;z-index:-637600" from="43.491501pt,-37.486603pt" to="43.491501pt,-37.486603pt" stroked="true" strokeweight=".5pt" strokecolor="#929292">
            <w10:wrap type="none"/>
          </v:line>
        </w:pict>
      </w:r>
      <w:r>
        <w:rPr/>
        <w:pict>
          <v:line style="position:absolute;mso-position-horizontal-relative:page;mso-position-vertical-relative:paragraph;z-index:-637576" from="428.003601pt,-37.486603pt" to="428.003601pt,-37.486603pt" stroked="true" strokeweight=".5pt" strokecolor="#929292">
            <w10:wrap type="none"/>
          </v:line>
        </w:pict>
      </w:r>
      <w:r>
        <w:rPr>
          <w:color w:val="6D6E71"/>
          <w:sz w:val="16"/>
        </w:rPr>
        <w:t>Fuente: Elaborado con base en Hirst, 2000, citado en Pérez, 2013.</w:t>
      </w:r>
    </w:p>
    <w:p>
      <w:pPr>
        <w:pStyle w:val="BodyText"/>
        <w:spacing w:before="5"/>
        <w:rPr>
          <w:sz w:val="22"/>
        </w:rPr>
      </w:pPr>
    </w:p>
    <w:p>
      <w:pPr>
        <w:pStyle w:val="BodyText"/>
        <w:spacing w:line="249" w:lineRule="auto"/>
        <w:ind w:left="144" w:firstLine="170"/>
        <w:jc w:val="right"/>
      </w:pPr>
      <w:r>
        <w:rPr/>
        <w:t>En</w:t>
      </w:r>
      <w:r>
        <w:rPr>
          <w:spacing w:val="45"/>
        </w:rPr>
        <w:t> </w:t>
      </w:r>
      <w:r>
        <w:rPr/>
        <w:t>las</w:t>
      </w:r>
      <w:r>
        <w:rPr>
          <w:spacing w:val="45"/>
        </w:rPr>
        <w:t> </w:t>
      </w:r>
      <w:r>
        <w:rPr/>
        <w:t>últimas</w:t>
      </w:r>
      <w:r>
        <w:rPr>
          <w:spacing w:val="45"/>
        </w:rPr>
        <w:t> </w:t>
      </w:r>
      <w:r>
        <w:rPr/>
        <w:t>décadas</w:t>
      </w:r>
      <w:r>
        <w:rPr>
          <w:spacing w:val="45"/>
        </w:rPr>
        <w:t> </w:t>
      </w:r>
      <w:r>
        <w:rPr/>
        <w:t>se</w:t>
      </w:r>
      <w:r>
        <w:rPr>
          <w:spacing w:val="45"/>
        </w:rPr>
        <w:t> </w:t>
      </w:r>
      <w:r>
        <w:rPr/>
        <w:t>ha</w:t>
      </w:r>
      <w:r>
        <w:rPr>
          <w:spacing w:val="45"/>
        </w:rPr>
        <w:t> </w:t>
      </w:r>
      <w:r>
        <w:rPr/>
        <w:t>insistido</w:t>
      </w:r>
      <w:r>
        <w:rPr>
          <w:spacing w:val="45"/>
        </w:rPr>
        <w:t> </w:t>
      </w:r>
      <w:r>
        <w:rPr/>
        <w:t>en</w:t>
      </w:r>
      <w:r>
        <w:rPr>
          <w:spacing w:val="45"/>
        </w:rPr>
        <w:t> </w:t>
      </w:r>
      <w:r>
        <w:rPr/>
        <w:t>la</w:t>
      </w:r>
      <w:r>
        <w:rPr>
          <w:spacing w:val="45"/>
        </w:rPr>
        <w:t> </w:t>
      </w:r>
      <w:r>
        <w:rPr/>
        <w:t>necesidad</w:t>
      </w:r>
      <w:r>
        <w:rPr>
          <w:spacing w:val="45"/>
        </w:rPr>
        <w:t> </w:t>
      </w:r>
      <w:r>
        <w:rPr/>
        <w:t>del</w:t>
      </w:r>
      <w:r>
        <w:rPr>
          <w:spacing w:val="45"/>
        </w:rPr>
        <w:t> </w:t>
      </w:r>
      <w:r>
        <w:rPr/>
        <w:t>empoderamiento</w:t>
      </w:r>
      <w:r>
        <w:rPr>
          <w:spacing w:val="45"/>
        </w:rPr>
        <w:t> </w:t>
      </w:r>
      <w:r>
        <w:rPr/>
        <w:t>de</w:t>
      </w:r>
      <w:r>
        <w:rPr>
          <w:w w:val="101"/>
        </w:rPr>
        <w:t> </w:t>
      </w:r>
      <w:r>
        <w:rPr/>
        <w:t>la</w:t>
      </w:r>
      <w:r>
        <w:rPr>
          <w:spacing w:val="48"/>
        </w:rPr>
        <w:t> </w:t>
      </w:r>
      <w:r>
        <w:rPr/>
        <w:t>sociedad</w:t>
      </w:r>
      <w:r>
        <w:rPr>
          <w:spacing w:val="48"/>
        </w:rPr>
        <w:t> </w:t>
      </w:r>
      <w:r>
        <w:rPr/>
        <w:t>civil</w:t>
      </w:r>
      <w:r>
        <w:rPr>
          <w:spacing w:val="48"/>
        </w:rPr>
        <w:t> </w:t>
      </w:r>
      <w:r>
        <w:rPr/>
        <w:t>y</w:t>
      </w:r>
      <w:r>
        <w:rPr>
          <w:spacing w:val="48"/>
        </w:rPr>
        <w:t> </w:t>
      </w:r>
      <w:r>
        <w:rPr/>
        <w:t>la</w:t>
      </w:r>
      <w:r>
        <w:rPr>
          <w:spacing w:val="48"/>
        </w:rPr>
        <w:t> </w:t>
      </w:r>
      <w:r>
        <w:rPr/>
        <w:t>participación</w:t>
      </w:r>
      <w:r>
        <w:rPr>
          <w:spacing w:val="48"/>
        </w:rPr>
        <w:t> </w:t>
      </w:r>
      <w:r>
        <w:rPr/>
        <w:t>ciudadana</w:t>
      </w:r>
      <w:r>
        <w:rPr>
          <w:spacing w:val="48"/>
        </w:rPr>
        <w:t> </w:t>
      </w:r>
      <w:r>
        <w:rPr/>
        <w:t>aunque</w:t>
      </w:r>
      <w:r>
        <w:rPr>
          <w:spacing w:val="48"/>
        </w:rPr>
        <w:t> </w:t>
      </w:r>
      <w:r>
        <w:rPr/>
        <w:t>todavía</w:t>
      </w:r>
      <w:r>
        <w:rPr>
          <w:spacing w:val="48"/>
        </w:rPr>
        <w:t> </w:t>
      </w:r>
      <w:r>
        <w:rPr/>
        <w:t>sin</w:t>
      </w:r>
      <w:r>
        <w:rPr>
          <w:spacing w:val="48"/>
        </w:rPr>
        <w:t> </w:t>
      </w:r>
      <w:r>
        <w:rPr/>
        <w:t>consenso</w:t>
      </w:r>
      <w:r>
        <w:rPr>
          <w:spacing w:val="48"/>
        </w:rPr>
        <w:t> </w:t>
      </w:r>
      <w:r>
        <w:rPr/>
        <w:t>en</w:t>
      </w:r>
      <w:r>
        <w:rPr>
          <w:spacing w:val="48"/>
        </w:rPr>
        <w:t> </w:t>
      </w:r>
      <w:r>
        <w:rPr/>
        <w:t>su</w:t>
      </w:r>
      <w:r>
        <w:rPr>
          <w:w w:val="99"/>
        </w:rPr>
        <w:t> </w:t>
      </w:r>
      <w:r>
        <w:rPr/>
        <w:t>comprensión  e  instrumentación  de  los  canales  de  la </w:t>
      </w:r>
      <w:r>
        <w:rPr>
          <w:spacing w:val="19"/>
        </w:rPr>
        <w:t> </w:t>
      </w:r>
      <w:r>
        <w:rPr/>
        <w:t>democracia </w:t>
      </w:r>
      <w:r>
        <w:rPr>
          <w:spacing w:val="37"/>
        </w:rPr>
        <w:t> </w:t>
      </w:r>
      <w:r>
        <w:rPr/>
        <w:t>participativa.</w:t>
      </w:r>
      <w:r>
        <w:rPr>
          <w:w w:val="102"/>
        </w:rPr>
        <w:t> </w:t>
      </w:r>
      <w:r>
        <w:rPr/>
        <w:t>Sin</w:t>
      </w:r>
      <w:r>
        <w:rPr>
          <w:spacing w:val="40"/>
        </w:rPr>
        <w:t> </w:t>
      </w:r>
      <w:r>
        <w:rPr/>
        <w:t>embargo,</w:t>
      </w:r>
      <w:r>
        <w:rPr>
          <w:spacing w:val="40"/>
        </w:rPr>
        <w:t> </w:t>
      </w:r>
      <w:r>
        <w:rPr/>
        <w:t>según</w:t>
      </w:r>
      <w:r>
        <w:rPr>
          <w:spacing w:val="40"/>
        </w:rPr>
        <w:t> </w:t>
      </w:r>
      <w:r>
        <w:rPr/>
        <w:t>Parés</w:t>
      </w:r>
      <w:r>
        <w:rPr>
          <w:spacing w:val="40"/>
        </w:rPr>
        <w:t> </w:t>
      </w:r>
      <w:r>
        <w:rPr/>
        <w:t>(2009)</w:t>
      </w:r>
      <w:r>
        <w:rPr>
          <w:spacing w:val="40"/>
        </w:rPr>
        <w:t> </w:t>
      </w:r>
      <w:r>
        <w:rPr/>
        <w:t>si</w:t>
      </w:r>
      <w:r>
        <w:rPr>
          <w:spacing w:val="40"/>
        </w:rPr>
        <w:t> </w:t>
      </w:r>
      <w:r>
        <w:rPr/>
        <w:t>no</w:t>
      </w:r>
      <w:r>
        <w:rPr>
          <w:spacing w:val="40"/>
        </w:rPr>
        <w:t> </w:t>
      </w:r>
      <w:r>
        <w:rPr/>
        <w:t>existe</w:t>
      </w:r>
      <w:r>
        <w:rPr>
          <w:spacing w:val="40"/>
        </w:rPr>
        <w:t> </w:t>
      </w:r>
      <w:r>
        <w:rPr/>
        <w:t>un</w:t>
      </w:r>
      <w:r>
        <w:rPr>
          <w:spacing w:val="40"/>
        </w:rPr>
        <w:t> </w:t>
      </w:r>
      <w:r>
        <w:rPr/>
        <w:t>consenso</w:t>
      </w:r>
      <w:r>
        <w:rPr>
          <w:spacing w:val="40"/>
        </w:rPr>
        <w:t> </w:t>
      </w:r>
      <w:r>
        <w:rPr/>
        <w:t>sobre</w:t>
      </w:r>
      <w:r>
        <w:rPr>
          <w:spacing w:val="40"/>
        </w:rPr>
        <w:t> </w:t>
      </w:r>
      <w:r>
        <w:rPr/>
        <w:t>lo</w:t>
      </w:r>
      <w:r>
        <w:rPr>
          <w:spacing w:val="40"/>
        </w:rPr>
        <w:t> </w:t>
      </w:r>
      <w:r>
        <w:rPr/>
        <w:t>que</w:t>
      </w:r>
      <w:r>
        <w:rPr>
          <w:spacing w:val="40"/>
        </w:rPr>
        <w:t> </w:t>
      </w:r>
      <w:r>
        <w:rPr/>
        <w:t>es</w:t>
      </w:r>
      <w:r>
        <w:rPr>
          <w:spacing w:val="40"/>
        </w:rPr>
        <w:t> </w:t>
      </w:r>
      <w:r>
        <w:rPr/>
        <w:t>y</w:t>
      </w:r>
      <w:r>
        <w:rPr>
          <w:spacing w:val="40"/>
        </w:rPr>
        <w:t> </w:t>
      </w:r>
      <w:r>
        <w:rPr/>
        <w:t>no</w:t>
      </w:r>
      <w:r>
        <w:rPr>
          <w:w w:val="101"/>
        </w:rPr>
        <w:t> </w:t>
      </w:r>
      <w:r>
        <w:rPr/>
        <w:t>es</w:t>
      </w:r>
      <w:r>
        <w:rPr>
          <w:spacing w:val="45"/>
        </w:rPr>
        <w:t> </w:t>
      </w:r>
      <w:r>
        <w:rPr/>
        <w:t>la</w:t>
      </w:r>
      <w:r>
        <w:rPr>
          <w:spacing w:val="45"/>
        </w:rPr>
        <w:t> </w:t>
      </w:r>
      <w:r>
        <w:rPr/>
        <w:t>participación</w:t>
      </w:r>
      <w:r>
        <w:rPr>
          <w:spacing w:val="45"/>
        </w:rPr>
        <w:t> </w:t>
      </w:r>
      <w:r>
        <w:rPr/>
        <w:t>ciudadana,</w:t>
      </w:r>
      <w:r>
        <w:rPr>
          <w:spacing w:val="45"/>
        </w:rPr>
        <w:t> </w:t>
      </w:r>
      <w:r>
        <w:rPr/>
        <w:t>es</w:t>
      </w:r>
      <w:r>
        <w:rPr>
          <w:spacing w:val="45"/>
        </w:rPr>
        <w:t> </w:t>
      </w:r>
      <w:r>
        <w:rPr/>
        <w:t>por</w:t>
      </w:r>
      <w:r>
        <w:rPr>
          <w:spacing w:val="45"/>
        </w:rPr>
        <w:t> </w:t>
      </w:r>
      <w:r>
        <w:rPr/>
        <w:t>la</w:t>
      </w:r>
      <w:r>
        <w:rPr>
          <w:spacing w:val="45"/>
        </w:rPr>
        <w:t> </w:t>
      </w:r>
      <w:r>
        <w:rPr/>
        <w:t>diversidad</w:t>
      </w:r>
      <w:r>
        <w:rPr>
          <w:spacing w:val="45"/>
        </w:rPr>
        <w:t> </w:t>
      </w:r>
      <w:r>
        <w:rPr/>
        <w:t>de</w:t>
      </w:r>
      <w:r>
        <w:rPr>
          <w:spacing w:val="45"/>
        </w:rPr>
        <w:t> </w:t>
      </w:r>
      <w:r>
        <w:rPr/>
        <w:t>prácticas</w:t>
      </w:r>
      <w:r>
        <w:rPr>
          <w:spacing w:val="45"/>
        </w:rPr>
        <w:t> </w:t>
      </w:r>
      <w:r>
        <w:rPr/>
        <w:t>participativas</w:t>
      </w:r>
      <w:r>
        <w:rPr>
          <w:spacing w:val="45"/>
        </w:rPr>
        <w:t> </w:t>
      </w:r>
      <w:r>
        <w:rPr/>
        <w:t>y</w:t>
      </w:r>
      <w:r>
        <w:rPr>
          <w:spacing w:val="45"/>
        </w:rPr>
        <w:t> </w:t>
      </w:r>
      <w:r>
        <w:rPr/>
        <w:t>la</w:t>
      </w:r>
      <w:r>
        <w:rPr>
          <w:w w:val="97"/>
        </w:rPr>
        <w:t> </w:t>
      </w:r>
      <w:r>
        <w:rPr/>
        <w:t>heterogeneidad de las realidades sociales, políticas, económicas y culturales.</w:t>
      </w:r>
      <w:r>
        <w:rPr>
          <w:spacing w:val="2"/>
        </w:rPr>
        <w:t> </w:t>
      </w:r>
      <w:r>
        <w:rPr/>
        <w:t>Por</w:t>
      </w:r>
      <w:r>
        <w:rPr>
          <w:spacing w:val="18"/>
        </w:rPr>
        <w:t> </w:t>
      </w:r>
      <w:r>
        <w:rPr/>
        <w:t>su</w:t>
      </w:r>
      <w:r>
        <w:rPr>
          <w:w w:val="99"/>
        </w:rPr>
        <w:t> </w:t>
      </w:r>
      <w:r>
        <w:rPr/>
        <w:t>parte</w:t>
      </w:r>
      <w:r>
        <w:rPr>
          <w:spacing w:val="33"/>
        </w:rPr>
        <w:t> </w:t>
      </w:r>
      <w:r>
        <w:rPr/>
        <w:t>Montero,</w:t>
      </w:r>
      <w:r>
        <w:rPr>
          <w:spacing w:val="33"/>
        </w:rPr>
        <w:t> </w:t>
      </w:r>
      <w:r>
        <w:rPr/>
        <w:t>et.</w:t>
      </w:r>
      <w:r>
        <w:rPr>
          <w:spacing w:val="33"/>
        </w:rPr>
        <w:t> </w:t>
      </w:r>
      <w:r>
        <w:rPr/>
        <w:t>al.</w:t>
      </w:r>
      <w:r>
        <w:rPr>
          <w:spacing w:val="33"/>
        </w:rPr>
        <w:t> </w:t>
      </w:r>
      <w:r>
        <w:rPr/>
        <w:t>(2006)</w:t>
      </w:r>
      <w:r>
        <w:rPr>
          <w:spacing w:val="33"/>
        </w:rPr>
        <w:t> </w:t>
      </w:r>
      <w:r>
        <w:rPr/>
        <w:t>dirán</w:t>
      </w:r>
      <w:r>
        <w:rPr>
          <w:spacing w:val="33"/>
        </w:rPr>
        <w:t> </w:t>
      </w:r>
      <w:r>
        <w:rPr/>
        <w:t>que</w:t>
      </w:r>
      <w:r>
        <w:rPr>
          <w:spacing w:val="33"/>
        </w:rPr>
        <w:t> </w:t>
      </w:r>
      <w:r>
        <w:rPr/>
        <w:t>la</w:t>
      </w:r>
      <w:r>
        <w:rPr>
          <w:spacing w:val="33"/>
        </w:rPr>
        <w:t> </w:t>
      </w:r>
      <w:r>
        <w:rPr/>
        <w:t>participación</w:t>
      </w:r>
      <w:r>
        <w:rPr>
          <w:spacing w:val="33"/>
        </w:rPr>
        <w:t> </w:t>
      </w:r>
      <w:r>
        <w:rPr/>
        <w:t>son</w:t>
      </w:r>
      <w:r>
        <w:rPr>
          <w:spacing w:val="33"/>
        </w:rPr>
        <w:t> </w:t>
      </w:r>
      <w:r>
        <w:rPr/>
        <w:t>“los</w:t>
      </w:r>
      <w:r>
        <w:rPr>
          <w:spacing w:val="33"/>
        </w:rPr>
        <w:t> </w:t>
      </w:r>
      <w:r>
        <w:rPr/>
        <w:t>actos</w:t>
      </w:r>
      <w:r>
        <w:rPr>
          <w:spacing w:val="33"/>
        </w:rPr>
        <w:t> </w:t>
      </w:r>
      <w:r>
        <w:rPr/>
        <w:t>o</w:t>
      </w:r>
      <w:r>
        <w:rPr>
          <w:spacing w:val="33"/>
        </w:rPr>
        <w:t> </w:t>
      </w:r>
      <w:r>
        <w:rPr/>
        <w:t>actividades</w:t>
      </w:r>
      <w:r>
        <w:rPr>
          <w:w w:val="101"/>
        </w:rPr>
        <w:t> </w:t>
      </w:r>
      <w:r>
        <w:rPr/>
        <w:t>realizadas por cualquier ciudadano que trate de influir directa o indirectamente</w:t>
      </w:r>
      <w:r>
        <w:rPr>
          <w:spacing w:val="40"/>
        </w:rPr>
        <w:t> </w:t>
      </w:r>
      <w:r>
        <w:rPr/>
        <w:t>en</w:t>
      </w:r>
      <w:r>
        <w:rPr>
          <w:spacing w:val="13"/>
        </w:rPr>
        <w:t> </w:t>
      </w:r>
      <w:r>
        <w:rPr/>
        <w:t>las</w:t>
      </w:r>
      <w:r>
        <w:rPr>
          <w:w w:val="98"/>
        </w:rPr>
        <w:t> </w:t>
      </w:r>
      <w:r>
        <w:rPr/>
        <w:t>decisiones</w:t>
      </w:r>
      <w:r>
        <w:rPr>
          <w:spacing w:val="30"/>
        </w:rPr>
        <w:t> </w:t>
      </w:r>
      <w:r>
        <w:rPr/>
        <w:t>adoptadas</w:t>
      </w:r>
      <w:r>
        <w:rPr>
          <w:spacing w:val="30"/>
        </w:rPr>
        <w:t> </w:t>
      </w:r>
      <w:r>
        <w:rPr/>
        <w:t>por</w:t>
      </w:r>
      <w:r>
        <w:rPr>
          <w:spacing w:val="30"/>
        </w:rPr>
        <w:t> </w:t>
      </w:r>
      <w:r>
        <w:rPr/>
        <w:t>las</w:t>
      </w:r>
      <w:r>
        <w:rPr>
          <w:spacing w:val="30"/>
        </w:rPr>
        <w:t> </w:t>
      </w:r>
      <w:r>
        <w:rPr/>
        <w:t>autoridades</w:t>
      </w:r>
      <w:r>
        <w:rPr>
          <w:spacing w:val="30"/>
        </w:rPr>
        <w:t> </w:t>
      </w:r>
      <w:r>
        <w:rPr/>
        <w:t>políticas</w:t>
      </w:r>
      <w:r>
        <w:rPr>
          <w:spacing w:val="30"/>
        </w:rPr>
        <w:t> </w:t>
      </w:r>
      <w:r>
        <w:rPr/>
        <w:t>y</w:t>
      </w:r>
      <w:r>
        <w:rPr>
          <w:spacing w:val="30"/>
        </w:rPr>
        <w:t> </w:t>
      </w:r>
      <w:r>
        <w:rPr/>
        <w:t>sociales</w:t>
      </w:r>
      <w:r>
        <w:rPr>
          <w:spacing w:val="30"/>
        </w:rPr>
        <w:t> </w:t>
      </w:r>
      <w:r>
        <w:rPr/>
        <w:t>(elegidas</w:t>
      </w:r>
      <w:r>
        <w:rPr>
          <w:spacing w:val="30"/>
        </w:rPr>
        <w:t> </w:t>
      </w:r>
      <w:r>
        <w:rPr/>
        <w:t>o</w:t>
      </w:r>
      <w:r>
        <w:rPr>
          <w:spacing w:val="30"/>
        </w:rPr>
        <w:t> </w:t>
      </w:r>
      <w:r>
        <w:rPr/>
        <w:t>no)</w:t>
      </w:r>
      <w:r>
        <w:rPr>
          <w:spacing w:val="30"/>
        </w:rPr>
        <w:t> </w:t>
      </w:r>
      <w:r>
        <w:rPr/>
        <w:t>y</w:t>
      </w:r>
      <w:r>
        <w:rPr>
          <w:spacing w:val="30"/>
        </w:rPr>
        <w:t> </w:t>
      </w:r>
      <w:r>
        <w:rPr/>
        <w:t>que</w:t>
      </w:r>
      <w:r>
        <w:rPr>
          <w:w w:val="101"/>
        </w:rPr>
        <w:t> </w:t>
      </w:r>
      <w:r>
        <w:rPr/>
        <w:t>afectan</w:t>
      </w:r>
      <w:r>
        <w:rPr>
          <w:spacing w:val="44"/>
        </w:rPr>
        <w:t> </w:t>
      </w:r>
      <w:r>
        <w:rPr/>
        <w:t>a</w:t>
      </w:r>
      <w:r>
        <w:rPr>
          <w:spacing w:val="44"/>
        </w:rPr>
        <w:t> </w:t>
      </w:r>
      <w:r>
        <w:rPr/>
        <w:t>los</w:t>
      </w:r>
      <w:r>
        <w:rPr>
          <w:spacing w:val="44"/>
        </w:rPr>
        <w:t> </w:t>
      </w:r>
      <w:r>
        <w:rPr/>
        <w:t>asuntos</w:t>
      </w:r>
      <w:r>
        <w:rPr>
          <w:spacing w:val="44"/>
        </w:rPr>
        <w:t> </w:t>
      </w:r>
      <w:r>
        <w:rPr/>
        <w:t>de</w:t>
      </w:r>
      <w:r>
        <w:rPr>
          <w:spacing w:val="44"/>
        </w:rPr>
        <w:t> </w:t>
      </w:r>
      <w:r>
        <w:rPr/>
        <w:t>la</w:t>
      </w:r>
      <w:r>
        <w:rPr>
          <w:spacing w:val="44"/>
        </w:rPr>
        <w:t> </w:t>
      </w:r>
      <w:r>
        <w:rPr/>
        <w:t>colectividad”.</w:t>
      </w:r>
      <w:r>
        <w:rPr>
          <w:spacing w:val="44"/>
        </w:rPr>
        <w:t> </w:t>
      </w:r>
      <w:r>
        <w:rPr/>
        <w:t>Asimismo</w:t>
      </w:r>
      <w:r>
        <w:rPr>
          <w:spacing w:val="44"/>
        </w:rPr>
        <w:t> </w:t>
      </w:r>
      <w:r>
        <w:rPr/>
        <w:t>para</w:t>
      </w:r>
      <w:r>
        <w:rPr>
          <w:spacing w:val="44"/>
        </w:rPr>
        <w:t> </w:t>
      </w:r>
      <w:r>
        <w:rPr/>
        <w:t>Nogué</w:t>
      </w:r>
      <w:r>
        <w:rPr>
          <w:spacing w:val="44"/>
        </w:rPr>
        <w:t> </w:t>
      </w:r>
      <w:r>
        <w:rPr/>
        <w:t>y</w:t>
      </w:r>
      <w:r>
        <w:rPr>
          <w:spacing w:val="44"/>
        </w:rPr>
        <w:t> </w:t>
      </w:r>
      <w:r>
        <w:rPr/>
        <w:t>Font</w:t>
      </w:r>
      <w:r>
        <w:rPr>
          <w:spacing w:val="44"/>
        </w:rPr>
        <w:t> </w:t>
      </w:r>
      <w:r>
        <w:rPr/>
        <w:t>(2010),</w:t>
      </w:r>
      <w:r>
        <w:rPr>
          <w:spacing w:val="44"/>
        </w:rPr>
        <w:t> </w:t>
      </w:r>
      <w:r>
        <w:rPr/>
        <w:t>la</w:t>
      </w:r>
      <w:r>
        <w:rPr>
          <w:w w:val="97"/>
        </w:rPr>
        <w:t> </w:t>
      </w:r>
      <w:r>
        <w:rPr/>
        <w:t>participación</w:t>
      </w:r>
      <w:r>
        <w:rPr>
          <w:spacing w:val="36"/>
        </w:rPr>
        <w:t> </w:t>
      </w:r>
      <w:r>
        <w:rPr/>
        <w:t>es</w:t>
      </w:r>
      <w:r>
        <w:rPr>
          <w:spacing w:val="36"/>
        </w:rPr>
        <w:t> </w:t>
      </w:r>
      <w:r>
        <w:rPr/>
        <w:t>“la</w:t>
      </w:r>
      <w:r>
        <w:rPr>
          <w:spacing w:val="36"/>
        </w:rPr>
        <w:t> </w:t>
      </w:r>
      <w:r>
        <w:rPr/>
        <w:t>intervención</w:t>
      </w:r>
      <w:r>
        <w:rPr>
          <w:spacing w:val="36"/>
        </w:rPr>
        <w:t> </w:t>
      </w:r>
      <w:r>
        <w:rPr/>
        <w:t>de</w:t>
      </w:r>
      <w:r>
        <w:rPr>
          <w:spacing w:val="36"/>
        </w:rPr>
        <w:t> </w:t>
      </w:r>
      <w:r>
        <w:rPr/>
        <w:t>la</w:t>
      </w:r>
      <w:r>
        <w:rPr>
          <w:spacing w:val="36"/>
        </w:rPr>
        <w:t> </w:t>
      </w:r>
      <w:r>
        <w:rPr/>
        <w:t>ciudadanía,</w:t>
      </w:r>
      <w:r>
        <w:rPr>
          <w:spacing w:val="36"/>
        </w:rPr>
        <w:t> </w:t>
      </w:r>
      <w:r>
        <w:rPr/>
        <w:t>individualmente</w:t>
      </w:r>
      <w:r>
        <w:rPr>
          <w:spacing w:val="36"/>
        </w:rPr>
        <w:t> </w:t>
      </w:r>
      <w:r>
        <w:rPr/>
        <w:t>o</w:t>
      </w:r>
      <w:r>
        <w:rPr>
          <w:spacing w:val="36"/>
        </w:rPr>
        <w:t> </w:t>
      </w:r>
      <w:r>
        <w:rPr/>
        <w:t>colectivamente</w:t>
      </w:r>
      <w:r>
        <w:rPr>
          <w:w w:val="101"/>
        </w:rPr>
        <w:t> </w:t>
      </w:r>
      <w:r>
        <w:rPr/>
        <w:t>en los asuntos públicos”. En consecuencia, según Al-Kodmany (1999)</w:t>
      </w:r>
      <w:r>
        <w:rPr>
          <w:spacing w:val="24"/>
        </w:rPr>
        <w:t> </w:t>
      </w:r>
      <w:r>
        <w:rPr/>
        <w:t>la</w:t>
      </w:r>
      <w:r>
        <w:rPr>
          <w:spacing w:val="2"/>
        </w:rPr>
        <w:t> </w:t>
      </w:r>
      <w:r>
        <w:rPr/>
        <w:t>incorporación</w:t>
      </w:r>
      <w:r>
        <w:rPr>
          <w:w w:val="102"/>
        </w:rPr>
        <w:t> </w:t>
      </w:r>
      <w:r>
        <w:rPr/>
        <w:t>de</w:t>
      </w:r>
      <w:r>
        <w:rPr>
          <w:spacing w:val="16"/>
        </w:rPr>
        <w:t> </w:t>
      </w:r>
      <w:r>
        <w:rPr/>
        <w:t>la</w:t>
      </w:r>
      <w:r>
        <w:rPr>
          <w:spacing w:val="16"/>
        </w:rPr>
        <w:t> </w:t>
      </w:r>
      <w:r>
        <w:rPr/>
        <w:t>sociedad</w:t>
      </w:r>
      <w:r>
        <w:rPr>
          <w:spacing w:val="16"/>
        </w:rPr>
        <w:t> </w:t>
      </w:r>
      <w:r>
        <w:rPr/>
        <w:t>civil</w:t>
      </w:r>
      <w:r>
        <w:rPr>
          <w:spacing w:val="16"/>
        </w:rPr>
        <w:t> </w:t>
      </w:r>
      <w:r>
        <w:rPr/>
        <w:t>dentro</w:t>
      </w:r>
      <w:r>
        <w:rPr>
          <w:spacing w:val="16"/>
        </w:rPr>
        <w:t> </w:t>
      </w:r>
      <w:r>
        <w:rPr/>
        <w:t>de</w:t>
      </w:r>
      <w:r>
        <w:rPr>
          <w:spacing w:val="16"/>
        </w:rPr>
        <w:t> </w:t>
      </w:r>
      <w:r>
        <w:rPr/>
        <w:t>cualquier</w:t>
      </w:r>
      <w:r>
        <w:rPr>
          <w:spacing w:val="16"/>
        </w:rPr>
        <w:t> </w:t>
      </w:r>
      <w:r>
        <w:rPr/>
        <w:t>proceso</w:t>
      </w:r>
      <w:r>
        <w:rPr>
          <w:spacing w:val="16"/>
        </w:rPr>
        <w:t> </w:t>
      </w:r>
      <w:r>
        <w:rPr/>
        <w:t>puede</w:t>
      </w:r>
      <w:r>
        <w:rPr>
          <w:spacing w:val="16"/>
        </w:rPr>
        <w:t> </w:t>
      </w:r>
      <w:r>
        <w:rPr/>
        <w:t>provocar</w:t>
      </w:r>
      <w:r>
        <w:rPr>
          <w:spacing w:val="16"/>
        </w:rPr>
        <w:t> </w:t>
      </w:r>
      <w:r>
        <w:rPr/>
        <w:t>un</w:t>
      </w:r>
      <w:r>
        <w:rPr>
          <w:spacing w:val="16"/>
        </w:rPr>
        <w:t> </w:t>
      </w:r>
      <w:r>
        <w:rPr/>
        <w:t>fuerte</w:t>
      </w:r>
      <w:r>
        <w:rPr>
          <w:spacing w:val="16"/>
        </w:rPr>
        <w:t> </w:t>
      </w:r>
      <w:r>
        <w:rPr/>
        <w:t>sentido</w:t>
      </w:r>
      <w:r>
        <w:rPr>
          <w:spacing w:val="16"/>
        </w:rPr>
        <w:t> </w:t>
      </w:r>
      <w:r>
        <w:rPr/>
        <w:t>de</w:t>
      </w:r>
      <w:r>
        <w:rPr>
          <w:w w:val="101"/>
        </w:rPr>
        <w:t> </w:t>
      </w:r>
      <w:r>
        <w:rPr/>
        <w:t>compromiso, un incremento de la satisfacción y la confianza, así como la</w:t>
      </w:r>
      <w:r>
        <w:rPr>
          <w:spacing w:val="24"/>
        </w:rPr>
        <w:t> </w:t>
      </w:r>
      <w:r>
        <w:rPr/>
        <w:t>creación</w:t>
      </w:r>
      <w:r>
        <w:rPr>
          <w:spacing w:val="11"/>
        </w:rPr>
        <w:t> </w:t>
      </w:r>
      <w:r>
        <w:rPr/>
        <w:t>de</w:t>
      </w:r>
      <w:r>
        <w:rPr>
          <w:w w:val="101"/>
        </w:rPr>
        <w:t> </w:t>
      </w:r>
      <w:r>
        <w:rPr/>
        <w:t>expectativas</w:t>
      </w:r>
      <w:r>
        <w:rPr>
          <w:spacing w:val="-10"/>
        </w:rPr>
        <w:t> </w:t>
      </w:r>
      <w:r>
        <w:rPr/>
        <w:t>realistas</w:t>
      </w:r>
      <w:r>
        <w:rPr>
          <w:spacing w:val="-10"/>
        </w:rPr>
        <w:t> </w:t>
      </w:r>
      <w:r>
        <w:rPr/>
        <w:t>de</w:t>
      </w:r>
      <w:r>
        <w:rPr>
          <w:spacing w:val="-10"/>
        </w:rPr>
        <w:t> </w:t>
      </w:r>
      <w:r>
        <w:rPr/>
        <w:t>los</w:t>
      </w:r>
      <w:r>
        <w:rPr>
          <w:spacing w:val="-10"/>
        </w:rPr>
        <w:t> </w:t>
      </w:r>
      <w:r>
        <w:rPr/>
        <w:t>resultados.</w:t>
      </w:r>
      <w:r>
        <w:rPr>
          <w:spacing w:val="-10"/>
        </w:rPr>
        <w:t> </w:t>
      </w:r>
      <w:r>
        <w:rPr/>
        <w:t>(Cfr.</w:t>
      </w:r>
      <w:r>
        <w:rPr>
          <w:spacing w:val="-10"/>
        </w:rPr>
        <w:t> </w:t>
      </w:r>
      <w:r>
        <w:rPr/>
        <w:t>autores</w:t>
      </w:r>
      <w:r>
        <w:rPr>
          <w:spacing w:val="-10"/>
        </w:rPr>
        <w:t> </w:t>
      </w:r>
      <w:r>
        <w:rPr/>
        <w:t>en</w:t>
      </w:r>
      <w:r>
        <w:rPr>
          <w:spacing w:val="-10"/>
        </w:rPr>
        <w:t> </w:t>
      </w:r>
      <w:r>
        <w:rPr/>
        <w:t>Gálvez</w:t>
      </w:r>
      <w:r>
        <w:rPr>
          <w:spacing w:val="-10"/>
        </w:rPr>
        <w:t> </w:t>
      </w:r>
      <w:r>
        <w:rPr/>
        <w:t>y</w:t>
      </w:r>
      <w:r>
        <w:rPr>
          <w:spacing w:val="-10"/>
        </w:rPr>
        <w:t> </w:t>
      </w:r>
      <w:r>
        <w:rPr/>
        <w:t>Valenzuela,</w:t>
      </w:r>
      <w:r>
        <w:rPr>
          <w:spacing w:val="-10"/>
        </w:rPr>
        <w:t> </w:t>
      </w:r>
      <w:r>
        <w:rPr/>
        <w:t>2014:</w:t>
      </w:r>
      <w:r>
        <w:rPr>
          <w:spacing w:val="-10"/>
        </w:rPr>
        <w:t> </w:t>
      </w:r>
      <w:r>
        <w:rPr/>
        <w:t>32)</w:t>
      </w:r>
    </w:p>
    <w:p>
      <w:pPr>
        <w:pStyle w:val="BodyText"/>
        <w:spacing w:before="11"/>
      </w:pPr>
    </w:p>
    <w:p>
      <w:pPr>
        <w:pStyle w:val="BodyText"/>
        <w:spacing w:line="249" w:lineRule="auto"/>
        <w:ind w:left="144" w:firstLine="170"/>
        <w:jc w:val="both"/>
      </w:pPr>
      <w:r>
        <w:rPr/>
        <w:t>Pasa lo mismo en la administración pública, que presenta sus propias perspectivas. La gobernanza se distingue del “Estado mínimo”, de los años 1970 y 1980 que son tendencias de desburocratización, calificadas como </w:t>
      </w:r>
      <w:r>
        <w:rPr>
          <w:i/>
        </w:rPr>
        <w:t>management </w:t>
      </w:r>
      <w:r>
        <w:rPr/>
        <w:t>propias de la gestión</w:t>
      </w:r>
    </w:p>
    <w:p>
      <w:pPr>
        <w:pStyle w:val="BodyText"/>
        <w:spacing w:line="249" w:lineRule="auto" w:before="76"/>
        <w:ind w:left="144" w:right="129"/>
        <w:jc w:val="both"/>
      </w:pPr>
      <w:r>
        <w:rPr/>
        <w:br w:type="column"/>
      </w:r>
      <w:r>
        <w:rPr/>
        <w:t>empresarial, sus procesos, son:  transferencias  de  responsabilidades;  adjudicación de prestaciones, privatización; contratos de corto plazo; dinero y competencia como incentivos; relaciones de intercambio económico; optimización mediante jerarquía verticales y; orientados al cliente. En cambio los procesos de la gobernanza, son: reparto de responsabilidades entre diversos agentes; activación de prestaciones; autorresponsabilidad; cooperación de largo plazo; integración de instrumentos de gobierno -mercado, comunidad, jerarquía-; diálogo social y democrático; integración horizontal y; compromiso ciudadano (Innerarity, 2006 en Flores, 2012: 178).</w:t>
      </w:r>
    </w:p>
    <w:p>
      <w:pPr>
        <w:pStyle w:val="BodyText"/>
        <w:spacing w:before="11"/>
      </w:pPr>
    </w:p>
    <w:p>
      <w:pPr>
        <w:pStyle w:val="BodyText"/>
        <w:spacing w:line="249" w:lineRule="auto"/>
        <w:ind w:left="144" w:right="129" w:firstLine="170"/>
        <w:jc w:val="both"/>
      </w:pPr>
      <w:r>
        <w:rPr/>
        <w:t>La búsqueda de la gobernanza territorial como instrumento de política pública incorporando la dimensión espacial, es susceptible de definirse como estrategias y encontrarse</w:t>
      </w:r>
      <w:r>
        <w:rPr>
          <w:spacing w:val="-4"/>
        </w:rPr>
        <w:t> </w:t>
      </w:r>
      <w:r>
        <w:rPr/>
        <w:t>en</w:t>
      </w:r>
      <w:r>
        <w:rPr>
          <w:spacing w:val="-4"/>
        </w:rPr>
        <w:t> </w:t>
      </w:r>
      <w:r>
        <w:rPr/>
        <w:t>las</w:t>
      </w:r>
      <w:r>
        <w:rPr>
          <w:spacing w:val="-4"/>
        </w:rPr>
        <w:t> </w:t>
      </w:r>
      <w:r>
        <w:rPr/>
        <w:t>relaciones</w:t>
      </w:r>
      <w:r>
        <w:rPr>
          <w:spacing w:val="-4"/>
        </w:rPr>
        <w:t> </w:t>
      </w:r>
      <w:r>
        <w:rPr/>
        <w:t>local</w:t>
      </w:r>
      <w:r>
        <w:rPr>
          <w:spacing w:val="-4"/>
        </w:rPr>
        <w:t> </w:t>
      </w:r>
      <w:r>
        <w:rPr/>
        <w:t>–</w:t>
      </w:r>
      <w:r>
        <w:rPr>
          <w:spacing w:val="-4"/>
        </w:rPr>
        <w:t> </w:t>
      </w:r>
      <w:r>
        <w:rPr/>
        <w:t>nacional,</w:t>
      </w:r>
      <w:r>
        <w:rPr>
          <w:spacing w:val="-4"/>
        </w:rPr>
        <w:t> </w:t>
      </w:r>
      <w:r>
        <w:rPr/>
        <w:t>local</w:t>
      </w:r>
      <w:r>
        <w:rPr>
          <w:spacing w:val="-4"/>
        </w:rPr>
        <w:t> </w:t>
      </w:r>
      <w:r>
        <w:rPr/>
        <w:t>–</w:t>
      </w:r>
      <w:r>
        <w:rPr>
          <w:spacing w:val="-4"/>
        </w:rPr>
        <w:t> </w:t>
      </w:r>
      <w:r>
        <w:rPr/>
        <w:t>internacional</w:t>
      </w:r>
      <w:r>
        <w:rPr>
          <w:spacing w:val="-4"/>
        </w:rPr>
        <w:t> </w:t>
      </w:r>
      <w:r>
        <w:rPr/>
        <w:t>y</w:t>
      </w:r>
      <w:r>
        <w:rPr>
          <w:spacing w:val="-4"/>
        </w:rPr>
        <w:t> </w:t>
      </w:r>
      <w:r>
        <w:rPr/>
        <w:t>local</w:t>
      </w:r>
      <w:r>
        <w:rPr>
          <w:spacing w:val="-4"/>
        </w:rPr>
        <w:t> </w:t>
      </w:r>
      <w:r>
        <w:rPr/>
        <w:t>-</w:t>
      </w:r>
      <w:r>
        <w:rPr>
          <w:spacing w:val="-4"/>
        </w:rPr>
        <w:t> </w:t>
      </w:r>
      <w:r>
        <w:rPr/>
        <w:t>comunitario y</w:t>
      </w:r>
      <w:r>
        <w:rPr>
          <w:spacing w:val="-6"/>
        </w:rPr>
        <w:t> </w:t>
      </w:r>
      <w:r>
        <w:rPr/>
        <w:t>barrios.</w:t>
      </w:r>
      <w:r>
        <w:rPr>
          <w:spacing w:val="-6"/>
        </w:rPr>
        <w:t> </w:t>
      </w:r>
      <w:r>
        <w:rPr/>
        <w:t>Como</w:t>
      </w:r>
      <w:r>
        <w:rPr>
          <w:spacing w:val="-6"/>
        </w:rPr>
        <w:t> </w:t>
      </w:r>
      <w:r>
        <w:rPr/>
        <w:t>instrumento</w:t>
      </w:r>
      <w:r>
        <w:rPr>
          <w:spacing w:val="-6"/>
        </w:rPr>
        <w:t> </w:t>
      </w:r>
      <w:r>
        <w:rPr/>
        <w:t>de</w:t>
      </w:r>
      <w:r>
        <w:rPr>
          <w:spacing w:val="-6"/>
        </w:rPr>
        <w:t> </w:t>
      </w:r>
      <w:r>
        <w:rPr/>
        <w:t>gobierno</w:t>
      </w:r>
      <w:r>
        <w:rPr>
          <w:spacing w:val="-6"/>
        </w:rPr>
        <w:t> </w:t>
      </w:r>
      <w:r>
        <w:rPr/>
        <w:t>propiamente</w:t>
      </w:r>
      <w:r>
        <w:rPr>
          <w:spacing w:val="-6"/>
        </w:rPr>
        <w:t> </w:t>
      </w:r>
      <w:r>
        <w:rPr/>
        <w:t>en</w:t>
      </w:r>
      <w:r>
        <w:rPr>
          <w:spacing w:val="-6"/>
        </w:rPr>
        <w:t> </w:t>
      </w:r>
      <w:r>
        <w:rPr/>
        <w:t>la</w:t>
      </w:r>
      <w:r>
        <w:rPr>
          <w:spacing w:val="-6"/>
        </w:rPr>
        <w:t> </w:t>
      </w:r>
      <w:r>
        <w:rPr/>
        <w:t>gestión</w:t>
      </w:r>
      <w:r>
        <w:rPr>
          <w:spacing w:val="-6"/>
        </w:rPr>
        <w:t> </w:t>
      </w:r>
      <w:r>
        <w:rPr/>
        <w:t>urbana,</w:t>
      </w:r>
      <w:r>
        <w:rPr>
          <w:spacing w:val="-6"/>
        </w:rPr>
        <w:t> </w:t>
      </w:r>
      <w:r>
        <w:rPr/>
        <w:t>el</w:t>
      </w:r>
      <w:r>
        <w:rPr>
          <w:spacing w:val="-6"/>
        </w:rPr>
        <w:t> </w:t>
      </w:r>
      <w:r>
        <w:rPr/>
        <w:t>gobierno de áreas metropolitanas, para el desarrollo territorial y ámbitos rurales. A continuación se examina la gobernanza aplicada en lo metropolitano y</w:t>
      </w:r>
      <w:r>
        <w:rPr>
          <w:spacing w:val="33"/>
        </w:rPr>
        <w:t> </w:t>
      </w:r>
      <w:r>
        <w:rPr/>
        <w:t>urbano.</w:t>
      </w:r>
    </w:p>
    <w:p>
      <w:pPr>
        <w:pStyle w:val="BodyText"/>
        <w:spacing w:before="8"/>
        <w:rPr>
          <w:sz w:val="17"/>
        </w:rPr>
      </w:pPr>
    </w:p>
    <w:p>
      <w:pPr>
        <w:pStyle w:val="Heading1"/>
        <w:ind w:left="2471"/>
      </w:pPr>
      <w:r>
        <w:rPr/>
        <w:t>Gobernanza metropolitana</w:t>
      </w:r>
    </w:p>
    <w:p>
      <w:pPr>
        <w:pStyle w:val="BodyText"/>
        <w:rPr>
          <w:b/>
          <w:sz w:val="24"/>
        </w:rPr>
      </w:pPr>
    </w:p>
    <w:p>
      <w:pPr>
        <w:pStyle w:val="BodyText"/>
        <w:spacing w:line="249" w:lineRule="auto" w:before="205"/>
        <w:ind w:left="144" w:right="128" w:firstLine="170"/>
        <w:jc w:val="both"/>
      </w:pPr>
      <w:r>
        <w:rPr/>
        <w:t>La globalización y restructuración post-industrial ha impactado principalmente la economía de las ciudades y regiones urbanas, ellas juegan un rol en el crecimiento y desarrollo</w:t>
      </w:r>
      <w:r>
        <w:rPr>
          <w:spacing w:val="-5"/>
        </w:rPr>
        <w:t> </w:t>
      </w:r>
      <w:r>
        <w:rPr/>
        <w:t>nacionales</w:t>
      </w:r>
      <w:r>
        <w:rPr>
          <w:spacing w:val="-5"/>
        </w:rPr>
        <w:t> </w:t>
      </w:r>
      <w:r>
        <w:rPr/>
        <w:t>y</w:t>
      </w:r>
      <w:r>
        <w:rPr>
          <w:spacing w:val="-5"/>
        </w:rPr>
        <w:t> </w:t>
      </w:r>
      <w:r>
        <w:rPr/>
        <w:t>por</w:t>
      </w:r>
      <w:r>
        <w:rPr>
          <w:spacing w:val="-5"/>
        </w:rPr>
        <w:t> </w:t>
      </w:r>
      <w:r>
        <w:rPr/>
        <w:t>consecuencia</w:t>
      </w:r>
      <w:r>
        <w:rPr>
          <w:spacing w:val="-5"/>
        </w:rPr>
        <w:t> </w:t>
      </w:r>
      <w:r>
        <w:rPr/>
        <w:t>acrecientan</w:t>
      </w:r>
      <w:r>
        <w:rPr>
          <w:spacing w:val="-5"/>
        </w:rPr>
        <w:t> </w:t>
      </w:r>
      <w:r>
        <w:rPr/>
        <w:t>su</w:t>
      </w:r>
      <w:r>
        <w:rPr>
          <w:spacing w:val="-5"/>
        </w:rPr>
        <w:t> </w:t>
      </w:r>
      <w:r>
        <w:rPr/>
        <w:t>accionar</w:t>
      </w:r>
      <w:r>
        <w:rPr>
          <w:spacing w:val="-5"/>
        </w:rPr>
        <w:t> </w:t>
      </w:r>
      <w:r>
        <w:rPr/>
        <w:t>en</w:t>
      </w:r>
      <w:r>
        <w:rPr>
          <w:spacing w:val="-5"/>
        </w:rPr>
        <w:t> </w:t>
      </w:r>
      <w:r>
        <w:rPr/>
        <w:t>la</w:t>
      </w:r>
      <w:r>
        <w:rPr>
          <w:spacing w:val="-5"/>
        </w:rPr>
        <w:t> </w:t>
      </w:r>
      <w:r>
        <w:rPr/>
        <w:t>política</w:t>
      </w:r>
      <w:r>
        <w:rPr>
          <w:spacing w:val="-5"/>
        </w:rPr>
        <w:t> </w:t>
      </w:r>
      <w:r>
        <w:rPr/>
        <w:t>pública. Son el territorio adecuado para ejercer la</w:t>
      </w:r>
      <w:r>
        <w:rPr>
          <w:spacing w:val="18"/>
        </w:rPr>
        <w:t> </w:t>
      </w:r>
      <w:r>
        <w:rPr/>
        <w:t>gobernanza.</w:t>
      </w:r>
    </w:p>
    <w:p>
      <w:pPr>
        <w:pStyle w:val="BodyText"/>
        <w:spacing w:before="11"/>
      </w:pPr>
    </w:p>
    <w:p>
      <w:pPr>
        <w:pStyle w:val="BodyText"/>
        <w:spacing w:line="249" w:lineRule="auto"/>
        <w:ind w:left="144" w:right="129" w:firstLine="170"/>
        <w:jc w:val="both"/>
      </w:pPr>
      <w:r>
        <w:rPr/>
        <w:t>Con un enfoque territorial y urbana de la gobernanza, Romero y Farinós (2011) identifican cuatro dimensiones: v</w:t>
      </w:r>
      <w:r>
        <w:rPr>
          <w:i/>
        </w:rPr>
        <w:t>ertical o multinivel </w:t>
      </w:r>
      <w:r>
        <w:rPr/>
        <w:t>(relaciones entre los diferentes niveles político-administrativos); </w:t>
      </w:r>
      <w:r>
        <w:rPr>
          <w:i/>
        </w:rPr>
        <w:t>horizontal </w:t>
      </w:r>
      <w:r>
        <w:rPr/>
        <w:t>(con tres vectores principales; relaciones entre</w:t>
      </w:r>
      <w:r>
        <w:rPr>
          <w:spacing w:val="-14"/>
        </w:rPr>
        <w:t> </w:t>
      </w:r>
      <w:r>
        <w:rPr/>
        <w:t>políticas</w:t>
      </w:r>
      <w:r>
        <w:rPr>
          <w:spacing w:val="-14"/>
        </w:rPr>
        <w:t> </w:t>
      </w:r>
      <w:r>
        <w:rPr/>
        <w:t>públicas</w:t>
      </w:r>
      <w:r>
        <w:rPr>
          <w:spacing w:val="-14"/>
        </w:rPr>
        <w:t> </w:t>
      </w:r>
      <w:r>
        <w:rPr/>
        <w:t>sectoriales,</w:t>
      </w:r>
      <w:r>
        <w:rPr>
          <w:spacing w:val="-14"/>
        </w:rPr>
        <w:t> </w:t>
      </w:r>
      <w:r>
        <w:rPr/>
        <w:t>relaciones</w:t>
      </w:r>
      <w:r>
        <w:rPr>
          <w:spacing w:val="-14"/>
        </w:rPr>
        <w:t> </w:t>
      </w:r>
      <w:r>
        <w:rPr/>
        <w:t>entre</w:t>
      </w:r>
      <w:r>
        <w:rPr>
          <w:spacing w:val="-14"/>
        </w:rPr>
        <w:t> </w:t>
      </w:r>
      <w:r>
        <w:rPr/>
        <w:t>territorios</w:t>
      </w:r>
      <w:r>
        <w:rPr>
          <w:spacing w:val="-14"/>
        </w:rPr>
        <w:t> </w:t>
      </w:r>
      <w:r>
        <w:rPr/>
        <w:t>contiguos</w:t>
      </w:r>
      <w:r>
        <w:rPr>
          <w:spacing w:val="-14"/>
        </w:rPr>
        <w:t> </w:t>
      </w:r>
      <w:r>
        <w:rPr/>
        <w:t>y</w:t>
      </w:r>
      <w:r>
        <w:rPr>
          <w:spacing w:val="-14"/>
        </w:rPr>
        <w:t> </w:t>
      </w:r>
      <w:r>
        <w:rPr/>
        <w:t>no,</w:t>
      </w:r>
      <w:r>
        <w:rPr>
          <w:spacing w:val="-14"/>
        </w:rPr>
        <w:t> </w:t>
      </w:r>
      <w:r>
        <w:rPr/>
        <w:t>relaciones partenariales entre actores territoriales-público-privados-tercer sector); p</w:t>
      </w:r>
      <w:r>
        <w:rPr>
          <w:i/>
        </w:rPr>
        <w:t>articipación </w:t>
      </w:r>
      <w:r>
        <w:rPr/>
        <w:t>y; </w:t>
      </w:r>
      <w:r>
        <w:rPr>
          <w:i/>
        </w:rPr>
        <w:t>desarrollo económico</w:t>
      </w:r>
      <w:r>
        <w:rPr/>
        <w:t>. Dichas dimensiones reportan prácticas en el diseño de políticas territoriales con finalidades</w:t>
      </w:r>
      <w:r>
        <w:rPr>
          <w:spacing w:val="24"/>
        </w:rPr>
        <w:t> </w:t>
      </w:r>
      <w:r>
        <w:rPr/>
        <w:t>diversas.</w:t>
      </w:r>
    </w:p>
    <w:p>
      <w:pPr>
        <w:pStyle w:val="BodyText"/>
        <w:spacing w:before="11"/>
      </w:pPr>
    </w:p>
    <w:p>
      <w:pPr>
        <w:pStyle w:val="BodyText"/>
        <w:spacing w:line="249" w:lineRule="auto"/>
        <w:ind w:left="144" w:right="129" w:firstLine="170"/>
        <w:jc w:val="both"/>
      </w:pPr>
      <w:r>
        <w:rPr/>
        <w:t>En</w:t>
      </w:r>
      <w:r>
        <w:rPr>
          <w:spacing w:val="-6"/>
        </w:rPr>
        <w:t> </w:t>
      </w:r>
      <w:r>
        <w:rPr/>
        <w:t>las</w:t>
      </w:r>
      <w:r>
        <w:rPr>
          <w:spacing w:val="-6"/>
        </w:rPr>
        <w:t> </w:t>
      </w:r>
      <w:r>
        <w:rPr/>
        <w:t>escalas</w:t>
      </w:r>
      <w:r>
        <w:rPr>
          <w:spacing w:val="-6"/>
        </w:rPr>
        <w:t> </w:t>
      </w:r>
      <w:r>
        <w:rPr/>
        <w:t>de</w:t>
      </w:r>
      <w:r>
        <w:rPr>
          <w:spacing w:val="-6"/>
        </w:rPr>
        <w:t> </w:t>
      </w:r>
      <w:r>
        <w:rPr/>
        <w:t>región</w:t>
      </w:r>
      <w:r>
        <w:rPr>
          <w:spacing w:val="-6"/>
        </w:rPr>
        <w:t> </w:t>
      </w:r>
      <w:r>
        <w:rPr/>
        <w:t>urbana</w:t>
      </w:r>
      <w:r>
        <w:rPr>
          <w:spacing w:val="-6"/>
        </w:rPr>
        <w:t> </w:t>
      </w:r>
      <w:r>
        <w:rPr/>
        <w:t>y</w:t>
      </w:r>
      <w:r>
        <w:rPr>
          <w:spacing w:val="-6"/>
        </w:rPr>
        <w:t> </w:t>
      </w:r>
      <w:r>
        <w:rPr/>
        <w:t>metropolitana,</w:t>
      </w:r>
      <w:r>
        <w:rPr>
          <w:spacing w:val="-6"/>
        </w:rPr>
        <w:t> </w:t>
      </w:r>
      <w:r>
        <w:rPr/>
        <w:t>agregan</w:t>
      </w:r>
      <w:r>
        <w:rPr>
          <w:spacing w:val="-6"/>
        </w:rPr>
        <w:t> </w:t>
      </w:r>
      <w:r>
        <w:rPr/>
        <w:t>los</w:t>
      </w:r>
      <w:r>
        <w:rPr>
          <w:spacing w:val="-6"/>
        </w:rPr>
        <w:t> </w:t>
      </w:r>
      <w:r>
        <w:rPr/>
        <w:t>autores,</w:t>
      </w:r>
      <w:r>
        <w:rPr>
          <w:spacing w:val="-6"/>
        </w:rPr>
        <w:t> </w:t>
      </w:r>
      <w:r>
        <w:rPr/>
        <w:t>son</w:t>
      </w:r>
      <w:r>
        <w:rPr>
          <w:spacing w:val="-6"/>
        </w:rPr>
        <w:t> </w:t>
      </w:r>
      <w:r>
        <w:rPr/>
        <w:t>propicias</w:t>
      </w:r>
      <w:r>
        <w:rPr>
          <w:spacing w:val="-6"/>
        </w:rPr>
        <w:t> </w:t>
      </w:r>
      <w:r>
        <w:rPr/>
        <w:t>y emerge la “democracia deliberativa o participativa, ciudadanía, coordinación multinivel, enfoques estratégicos, desarrollo equilibrado, cohesión, gestión prudente del territorio son ingredientes indisolubles de la gobernanza democrática que forman parte de muchas de la iniciativas en curso” (Romero y Farinós, 2011: 306). Para estos autores son ejemplos de tales procesos la Metrópolis de Lille, Turín Internacional, Bilbao Ria 2000 y</w:t>
      </w:r>
      <w:r>
        <w:rPr>
          <w:spacing w:val="2"/>
        </w:rPr>
        <w:t> </w:t>
      </w:r>
      <w:r>
        <w:rPr/>
        <w:t>Barcelona.</w:t>
      </w:r>
    </w:p>
    <w:p>
      <w:pPr>
        <w:spacing w:after="0" w:line="249" w:lineRule="auto"/>
        <w:jc w:val="both"/>
        <w:sectPr>
          <w:type w:val="continuous"/>
          <w:pgSz w:w="18830" w:h="12760" w:orient="landscape"/>
          <w:pgMar w:top="1420" w:bottom="280" w:left="720" w:right="720"/>
          <w:cols w:num="2" w:equalWidth="0">
            <w:col w:w="7856" w:space="1539"/>
            <w:col w:w="7995"/>
          </w:cols>
        </w:sectPr>
      </w:pPr>
    </w:p>
    <w:p>
      <w:pPr>
        <w:pStyle w:val="BodyText"/>
        <w:spacing w:before="6"/>
        <w:rPr>
          <w:sz w:val="23"/>
        </w:rPr>
      </w:pPr>
    </w:p>
    <w:p>
      <w:pPr>
        <w:spacing w:after="0"/>
        <w:rPr>
          <w:sz w:val="23"/>
        </w:rPr>
        <w:sectPr>
          <w:footerReference w:type="default" r:id="rId454"/>
          <w:pgSz w:w="18830" w:h="12760" w:orient="landscape"/>
          <w:pgMar w:footer="1036" w:header="522" w:top="820" w:bottom="1220" w:left="700" w:right="720"/>
        </w:sectPr>
      </w:pPr>
    </w:p>
    <w:p>
      <w:pPr>
        <w:pStyle w:val="BodyText"/>
        <w:spacing w:line="249" w:lineRule="auto" w:before="76"/>
        <w:ind w:left="156" w:right="1" w:firstLine="170"/>
        <w:jc w:val="both"/>
      </w:pPr>
      <w:r>
        <w:rPr/>
        <w:t>De</w:t>
      </w:r>
      <w:r>
        <w:rPr>
          <w:spacing w:val="-16"/>
        </w:rPr>
        <w:t> </w:t>
      </w:r>
      <w:r>
        <w:rPr/>
        <w:t>la</w:t>
      </w:r>
      <w:r>
        <w:rPr>
          <w:spacing w:val="-16"/>
        </w:rPr>
        <w:t> </w:t>
      </w:r>
      <w:r>
        <w:rPr/>
        <w:t>experiencia</w:t>
      </w:r>
      <w:r>
        <w:rPr>
          <w:spacing w:val="-16"/>
        </w:rPr>
        <w:t> </w:t>
      </w:r>
      <w:r>
        <w:rPr/>
        <w:t>Europea</w:t>
      </w:r>
      <w:r>
        <w:rPr>
          <w:spacing w:val="-16"/>
        </w:rPr>
        <w:t> </w:t>
      </w:r>
      <w:r>
        <w:rPr/>
        <w:t>se</w:t>
      </w:r>
      <w:r>
        <w:rPr>
          <w:spacing w:val="-16"/>
        </w:rPr>
        <w:t> </w:t>
      </w:r>
      <w:r>
        <w:rPr/>
        <w:t>destacan</w:t>
      </w:r>
      <w:r>
        <w:rPr>
          <w:spacing w:val="-16"/>
        </w:rPr>
        <w:t> </w:t>
      </w:r>
      <w:r>
        <w:rPr/>
        <w:t>algunos</w:t>
      </w:r>
      <w:r>
        <w:rPr>
          <w:spacing w:val="-16"/>
        </w:rPr>
        <w:t> </w:t>
      </w:r>
      <w:r>
        <w:rPr/>
        <w:t>aspectos:</w:t>
      </w:r>
      <w:r>
        <w:rPr>
          <w:spacing w:val="-16"/>
        </w:rPr>
        <w:t> </w:t>
      </w:r>
      <w:r>
        <w:rPr/>
        <w:t>i)</w:t>
      </w:r>
      <w:r>
        <w:rPr>
          <w:spacing w:val="-16"/>
        </w:rPr>
        <w:t> </w:t>
      </w:r>
      <w:r>
        <w:rPr/>
        <w:t>No</w:t>
      </w:r>
      <w:r>
        <w:rPr>
          <w:spacing w:val="-16"/>
        </w:rPr>
        <w:t> </w:t>
      </w:r>
      <w:r>
        <w:rPr/>
        <w:t>existe</w:t>
      </w:r>
      <w:r>
        <w:rPr>
          <w:spacing w:val="-16"/>
        </w:rPr>
        <w:t> </w:t>
      </w:r>
      <w:r>
        <w:rPr/>
        <w:t>un</w:t>
      </w:r>
      <w:r>
        <w:rPr>
          <w:spacing w:val="-16"/>
        </w:rPr>
        <w:t> </w:t>
      </w:r>
      <w:r>
        <w:rPr/>
        <w:t>único</w:t>
      </w:r>
      <w:r>
        <w:rPr>
          <w:spacing w:val="-16"/>
        </w:rPr>
        <w:t> </w:t>
      </w:r>
      <w:r>
        <w:rPr/>
        <w:t>modelo de gobernanza, sino que existen procesos diferentes de gobernanza, muchos tienen larga</w:t>
      </w:r>
      <w:r>
        <w:rPr>
          <w:spacing w:val="25"/>
        </w:rPr>
        <w:t> </w:t>
      </w:r>
      <w:r>
        <w:rPr/>
        <w:t>historia</w:t>
      </w:r>
      <w:r>
        <w:rPr>
          <w:spacing w:val="25"/>
        </w:rPr>
        <w:t> </w:t>
      </w:r>
      <w:r>
        <w:rPr/>
        <w:t>y</w:t>
      </w:r>
      <w:r>
        <w:rPr>
          <w:spacing w:val="25"/>
        </w:rPr>
        <w:t> </w:t>
      </w:r>
      <w:r>
        <w:rPr/>
        <w:t>se</w:t>
      </w:r>
      <w:r>
        <w:rPr>
          <w:spacing w:val="25"/>
        </w:rPr>
        <w:t> </w:t>
      </w:r>
      <w:r>
        <w:rPr/>
        <w:t>relacionan</w:t>
      </w:r>
      <w:r>
        <w:rPr>
          <w:spacing w:val="25"/>
        </w:rPr>
        <w:t> </w:t>
      </w:r>
      <w:r>
        <w:rPr/>
        <w:t>con</w:t>
      </w:r>
      <w:r>
        <w:rPr>
          <w:spacing w:val="25"/>
        </w:rPr>
        <w:t> </w:t>
      </w:r>
      <w:r>
        <w:rPr/>
        <w:t>el</w:t>
      </w:r>
      <w:r>
        <w:rPr>
          <w:spacing w:val="25"/>
        </w:rPr>
        <w:t> </w:t>
      </w:r>
      <w:r>
        <w:rPr/>
        <w:t>capital</w:t>
      </w:r>
      <w:r>
        <w:rPr>
          <w:spacing w:val="25"/>
        </w:rPr>
        <w:t> </w:t>
      </w:r>
      <w:r>
        <w:rPr/>
        <w:t>social,</w:t>
      </w:r>
      <w:r>
        <w:rPr>
          <w:spacing w:val="25"/>
        </w:rPr>
        <w:t> </w:t>
      </w:r>
      <w:r>
        <w:rPr/>
        <w:t>político</w:t>
      </w:r>
      <w:r>
        <w:rPr>
          <w:spacing w:val="25"/>
        </w:rPr>
        <w:t> </w:t>
      </w:r>
      <w:r>
        <w:rPr/>
        <w:t>e</w:t>
      </w:r>
      <w:r>
        <w:rPr>
          <w:spacing w:val="25"/>
        </w:rPr>
        <w:t> </w:t>
      </w:r>
      <w:r>
        <w:rPr/>
        <w:t>intelectual</w:t>
      </w:r>
      <w:r>
        <w:rPr>
          <w:spacing w:val="25"/>
        </w:rPr>
        <w:t> </w:t>
      </w:r>
      <w:r>
        <w:rPr/>
        <w:t>preexistente.</w:t>
      </w:r>
    </w:p>
    <w:p>
      <w:pPr>
        <w:pStyle w:val="ListParagraph"/>
        <w:numPr>
          <w:ilvl w:val="0"/>
          <w:numId w:val="66"/>
        </w:numPr>
        <w:tabs>
          <w:tab w:pos="376" w:val="left" w:leader="none"/>
        </w:tabs>
        <w:spacing w:line="249" w:lineRule="auto" w:before="1" w:after="0"/>
        <w:ind w:left="156" w:right="1" w:firstLine="0"/>
        <w:jc w:val="both"/>
        <w:rPr>
          <w:sz w:val="20"/>
        </w:rPr>
      </w:pPr>
      <w:r>
        <w:rPr>
          <w:sz w:val="20"/>
        </w:rPr>
        <w:t>Se observa que los gobiernos nacionales, regionales y locales siguen jugando un papel</w:t>
      </w:r>
      <w:r>
        <w:rPr>
          <w:spacing w:val="22"/>
          <w:sz w:val="20"/>
        </w:rPr>
        <w:t> </w:t>
      </w:r>
      <w:r>
        <w:rPr>
          <w:sz w:val="20"/>
        </w:rPr>
        <w:t>principal</w:t>
      </w:r>
      <w:r>
        <w:rPr>
          <w:spacing w:val="22"/>
          <w:sz w:val="20"/>
        </w:rPr>
        <w:t> </w:t>
      </w:r>
      <w:r>
        <w:rPr>
          <w:sz w:val="20"/>
        </w:rPr>
        <w:t>para</w:t>
      </w:r>
      <w:r>
        <w:rPr>
          <w:spacing w:val="22"/>
          <w:sz w:val="20"/>
        </w:rPr>
        <w:t> </w:t>
      </w:r>
      <w:r>
        <w:rPr>
          <w:sz w:val="20"/>
        </w:rPr>
        <w:t>articular</w:t>
      </w:r>
      <w:r>
        <w:rPr>
          <w:spacing w:val="22"/>
          <w:sz w:val="20"/>
        </w:rPr>
        <w:t> </w:t>
      </w:r>
      <w:r>
        <w:rPr>
          <w:sz w:val="20"/>
        </w:rPr>
        <w:t>marcos</w:t>
      </w:r>
      <w:r>
        <w:rPr>
          <w:spacing w:val="22"/>
          <w:sz w:val="20"/>
        </w:rPr>
        <w:t> </w:t>
      </w:r>
      <w:r>
        <w:rPr>
          <w:sz w:val="20"/>
        </w:rPr>
        <w:t>de</w:t>
      </w:r>
      <w:r>
        <w:rPr>
          <w:spacing w:val="22"/>
          <w:sz w:val="20"/>
        </w:rPr>
        <w:t> </w:t>
      </w:r>
      <w:r>
        <w:rPr>
          <w:sz w:val="20"/>
        </w:rPr>
        <w:t>desarrollo,</w:t>
      </w:r>
      <w:r>
        <w:rPr>
          <w:spacing w:val="22"/>
          <w:sz w:val="20"/>
        </w:rPr>
        <w:t> </w:t>
      </w:r>
      <w:r>
        <w:rPr>
          <w:sz w:val="20"/>
        </w:rPr>
        <w:t>en</w:t>
      </w:r>
      <w:r>
        <w:rPr>
          <w:spacing w:val="22"/>
          <w:sz w:val="20"/>
        </w:rPr>
        <w:t> </w:t>
      </w:r>
      <w:r>
        <w:rPr>
          <w:sz w:val="20"/>
        </w:rPr>
        <w:t>políticas</w:t>
      </w:r>
      <w:r>
        <w:rPr>
          <w:spacing w:val="22"/>
          <w:sz w:val="20"/>
        </w:rPr>
        <w:t> </w:t>
      </w:r>
      <w:r>
        <w:rPr>
          <w:sz w:val="20"/>
        </w:rPr>
        <w:t>y</w:t>
      </w:r>
      <w:r>
        <w:rPr>
          <w:spacing w:val="22"/>
          <w:sz w:val="20"/>
        </w:rPr>
        <w:t> </w:t>
      </w:r>
      <w:r>
        <w:rPr>
          <w:sz w:val="20"/>
        </w:rPr>
        <w:t>en</w:t>
      </w:r>
      <w:r>
        <w:rPr>
          <w:spacing w:val="22"/>
          <w:sz w:val="20"/>
        </w:rPr>
        <w:t> </w:t>
      </w:r>
      <w:r>
        <w:rPr>
          <w:sz w:val="20"/>
        </w:rPr>
        <w:t>procedimientos.</w:t>
      </w:r>
    </w:p>
    <w:p>
      <w:pPr>
        <w:pStyle w:val="ListParagraph"/>
        <w:numPr>
          <w:ilvl w:val="0"/>
          <w:numId w:val="66"/>
        </w:numPr>
        <w:tabs>
          <w:tab w:pos="406" w:val="left" w:leader="none"/>
        </w:tabs>
        <w:spacing w:line="249" w:lineRule="auto" w:before="1" w:after="0"/>
        <w:ind w:left="156" w:right="0" w:firstLine="0"/>
        <w:jc w:val="both"/>
        <w:rPr>
          <w:sz w:val="20"/>
        </w:rPr>
      </w:pPr>
      <w:r>
        <w:rPr>
          <w:sz w:val="20"/>
        </w:rPr>
        <w:t>La participación, apertura/transparencia, efectividad y responsabilidad parecen ser los elementos principales de la gobernanza territorial. iv) La cultura de la cooperación horizontal y vertical entre actores demuestra progresos y es práctica de países con mayor tradición de cultura del pacto, en particular la cooperación de tipo público- público (Wassenhoven y Sapountzaki, 2010: 22-26, en Romero y Farinós,</w:t>
      </w:r>
      <w:r>
        <w:rPr>
          <w:spacing w:val="-10"/>
          <w:sz w:val="20"/>
        </w:rPr>
        <w:t> </w:t>
      </w:r>
      <w:r>
        <w:rPr>
          <w:sz w:val="20"/>
        </w:rPr>
        <w:t>2011).</w:t>
      </w:r>
    </w:p>
    <w:p>
      <w:pPr>
        <w:pStyle w:val="BodyText"/>
        <w:spacing w:before="11"/>
      </w:pPr>
    </w:p>
    <w:p>
      <w:pPr>
        <w:pStyle w:val="BodyText"/>
        <w:spacing w:line="249" w:lineRule="auto"/>
        <w:ind w:left="156" w:firstLine="170"/>
        <w:jc w:val="both"/>
      </w:pPr>
      <w:r>
        <w:rPr/>
        <w:t>En cuanto hace a las transformaciones socioeconómicas conseguidas con la gobernanza, es decir la adopción de la misma para regulación de conflictos, Blanco (2009: 129) dice que “se van generando lógicas de transversalidad interna en la administración local y nuevos esquemas de cooperación multinivel entre distintas escalas de gobierno para la generación de respuestas conjuntas a problemáticas locales”.</w:t>
      </w:r>
      <w:r>
        <w:rPr>
          <w:spacing w:val="-14"/>
        </w:rPr>
        <w:t> </w:t>
      </w:r>
      <w:r>
        <w:rPr/>
        <w:t>Se</w:t>
      </w:r>
      <w:r>
        <w:rPr>
          <w:spacing w:val="-14"/>
        </w:rPr>
        <w:t> </w:t>
      </w:r>
      <w:r>
        <w:rPr/>
        <w:t>constata</w:t>
      </w:r>
      <w:r>
        <w:rPr>
          <w:spacing w:val="-14"/>
        </w:rPr>
        <w:t> </w:t>
      </w:r>
      <w:r>
        <w:rPr/>
        <w:t>emergencia</w:t>
      </w:r>
      <w:r>
        <w:rPr>
          <w:spacing w:val="-14"/>
        </w:rPr>
        <w:t> </w:t>
      </w:r>
      <w:r>
        <w:rPr/>
        <w:t>de</w:t>
      </w:r>
      <w:r>
        <w:rPr>
          <w:spacing w:val="-14"/>
        </w:rPr>
        <w:t> </w:t>
      </w:r>
      <w:r>
        <w:rPr/>
        <w:t>nuevas</w:t>
      </w:r>
      <w:r>
        <w:rPr>
          <w:spacing w:val="-14"/>
        </w:rPr>
        <w:t> </w:t>
      </w:r>
      <w:r>
        <w:rPr/>
        <w:t>redes</w:t>
      </w:r>
      <w:r>
        <w:rPr>
          <w:spacing w:val="-14"/>
        </w:rPr>
        <w:t> </w:t>
      </w:r>
      <w:r>
        <w:rPr/>
        <w:t>de</w:t>
      </w:r>
      <w:r>
        <w:rPr>
          <w:spacing w:val="-14"/>
        </w:rPr>
        <w:t> </w:t>
      </w:r>
      <w:r>
        <w:rPr/>
        <w:t>gobernanza</w:t>
      </w:r>
      <w:r>
        <w:rPr>
          <w:spacing w:val="-14"/>
        </w:rPr>
        <w:t> </w:t>
      </w:r>
      <w:r>
        <w:rPr/>
        <w:t>de</w:t>
      </w:r>
      <w:r>
        <w:rPr>
          <w:spacing w:val="-14"/>
        </w:rPr>
        <w:t> </w:t>
      </w:r>
      <w:r>
        <w:rPr/>
        <w:t>naturaleza</w:t>
      </w:r>
      <w:r>
        <w:rPr>
          <w:spacing w:val="-14"/>
        </w:rPr>
        <w:t> </w:t>
      </w:r>
      <w:r>
        <w:rPr/>
        <w:t>diversa relacionados con la agenda, en Barcelona se distingue los procesos internos del Raval en el centro histórico con política de regeneración urbana y Trinitat Nova en la periferia urbana con plan comunitario</w:t>
      </w:r>
      <w:r>
        <w:rPr>
          <w:position w:val="7"/>
          <w:sz w:val="11"/>
        </w:rPr>
        <w:t>40</w:t>
      </w:r>
      <w:r>
        <w:rPr/>
        <w:t>, pero estos y otras organizaciones resultan de la crisis de las formas tradicionales de gobierno y la emergencia de principios </w:t>
      </w:r>
      <w:r>
        <w:rPr>
          <w:spacing w:val="14"/>
        </w:rPr>
        <w:t> </w:t>
      </w:r>
      <w:r>
        <w:rPr/>
        <w:t>innovadores.</w:t>
      </w:r>
    </w:p>
    <w:p>
      <w:pPr>
        <w:pStyle w:val="BodyText"/>
        <w:spacing w:before="11"/>
      </w:pPr>
    </w:p>
    <w:p>
      <w:pPr>
        <w:pStyle w:val="BodyText"/>
        <w:spacing w:line="249" w:lineRule="auto"/>
        <w:ind w:left="156" w:firstLine="170"/>
        <w:jc w:val="both"/>
      </w:pPr>
      <w:r>
        <w:rPr/>
        <w:t>Por otro lado destacan las acciones contestarías, Moulaert et. al. (2014) a partir de experiencias de </w:t>
      </w:r>
      <w:r>
        <w:rPr>
          <w:i/>
        </w:rPr>
        <w:t>innovación social </w:t>
      </w:r>
      <w:r>
        <w:rPr/>
        <w:t>en ciudades europeas y de sus formas de gobierno que desafían a las autoridades públicas. La </w:t>
      </w:r>
      <w:r>
        <w:rPr>
          <w:i/>
        </w:rPr>
        <w:t>innovación social </w:t>
      </w:r>
      <w:r>
        <w:rPr/>
        <w:t>es constructora de gobernanza y comunidad, de hecho se dice que la gobernanza territorial, el desarrollo local y la acción colectiva son todos procesos y metas estratégicas multiescalares</w:t>
      </w:r>
      <w:r>
        <w:rPr>
          <w:spacing w:val="-13"/>
        </w:rPr>
        <w:t> </w:t>
      </w:r>
      <w:r>
        <w:rPr/>
        <w:t>para conseguir mejor integración de acciones y resultados, donde las innovaciones sociales juegan un rol importante en el cambio del</w:t>
      </w:r>
      <w:r>
        <w:rPr>
          <w:spacing w:val="38"/>
        </w:rPr>
        <w:t> </w:t>
      </w:r>
      <w:r>
        <w:rPr/>
        <w:t>Estado.</w:t>
      </w:r>
    </w:p>
    <w:p>
      <w:pPr>
        <w:pStyle w:val="BodyText"/>
        <w:spacing w:before="11"/>
      </w:pPr>
    </w:p>
    <w:p>
      <w:pPr>
        <w:pStyle w:val="BodyText"/>
        <w:spacing w:line="249" w:lineRule="auto"/>
        <w:ind w:left="156" w:firstLine="170"/>
        <w:jc w:val="both"/>
      </w:pPr>
      <w:r>
        <w:rPr/>
        <w:t>Es</w:t>
      </w:r>
      <w:r>
        <w:rPr>
          <w:spacing w:val="-4"/>
        </w:rPr>
        <w:t> </w:t>
      </w:r>
      <w:r>
        <w:rPr/>
        <w:t>más,</w:t>
      </w:r>
      <w:r>
        <w:rPr>
          <w:spacing w:val="-4"/>
        </w:rPr>
        <w:t> </w:t>
      </w:r>
      <w:r>
        <w:rPr/>
        <w:t>la</w:t>
      </w:r>
      <w:r>
        <w:rPr>
          <w:spacing w:val="-4"/>
        </w:rPr>
        <w:t> </w:t>
      </w:r>
      <w:r>
        <w:rPr/>
        <w:t>innovación</w:t>
      </w:r>
      <w:r>
        <w:rPr>
          <w:spacing w:val="-4"/>
        </w:rPr>
        <w:t> </w:t>
      </w:r>
      <w:r>
        <w:rPr/>
        <w:t>social</w:t>
      </w:r>
      <w:r>
        <w:rPr>
          <w:spacing w:val="-4"/>
        </w:rPr>
        <w:t> </w:t>
      </w:r>
      <w:r>
        <w:rPr/>
        <w:t>tipifica</w:t>
      </w:r>
      <w:r>
        <w:rPr>
          <w:spacing w:val="-4"/>
        </w:rPr>
        <w:t> </w:t>
      </w:r>
      <w:r>
        <w:rPr/>
        <w:t>la</w:t>
      </w:r>
      <w:r>
        <w:rPr>
          <w:spacing w:val="-4"/>
        </w:rPr>
        <w:t> </w:t>
      </w:r>
      <w:r>
        <w:rPr/>
        <w:t>gobernanza</w:t>
      </w:r>
      <w:r>
        <w:rPr>
          <w:spacing w:val="-4"/>
        </w:rPr>
        <w:t> </w:t>
      </w:r>
      <w:r>
        <w:rPr/>
        <w:t>de</w:t>
      </w:r>
      <w:r>
        <w:rPr>
          <w:spacing w:val="-4"/>
        </w:rPr>
        <w:t> </w:t>
      </w:r>
      <w:r>
        <w:rPr/>
        <w:t>base</w:t>
      </w:r>
      <w:r>
        <w:rPr>
          <w:spacing w:val="-4"/>
        </w:rPr>
        <w:t> </w:t>
      </w:r>
      <w:r>
        <w:rPr/>
        <w:t>cívica.</w:t>
      </w:r>
      <w:r>
        <w:rPr>
          <w:spacing w:val="-4"/>
        </w:rPr>
        <w:t> </w:t>
      </w:r>
      <w:r>
        <w:rPr/>
        <w:t>Para</w:t>
      </w:r>
      <w:r>
        <w:rPr>
          <w:spacing w:val="-4"/>
        </w:rPr>
        <w:t> </w:t>
      </w:r>
      <w:r>
        <w:rPr/>
        <w:t>Swyngedouw y Moulaert (2010), las iniciativas socialmente innovadoras han utilizado el </w:t>
      </w:r>
      <w:r>
        <w:rPr>
          <w:i/>
        </w:rPr>
        <w:t>scaling-up  </w:t>
      </w:r>
      <w:r>
        <w:rPr/>
        <w:t>de manera proactiva como estrategia sociopolítica, aplicado para un conjunto de objetivos: i) difundir sus prácticas innovadoras y actividades con el fin de obtener reconocimientos; ii) organizar movilizaciones más amplias en torno a cuestiones sociales, culturales y políticas; iii) construir sinergias entre</w:t>
      </w:r>
      <w:r>
        <w:rPr>
          <w:spacing w:val="22"/>
        </w:rPr>
        <w:t> </w:t>
      </w:r>
      <w:r>
        <w:rPr/>
        <w:t>recursos</w:t>
      </w:r>
      <w:r>
        <w:rPr>
          <w:spacing w:val="51"/>
        </w:rPr>
        <w:t> </w:t>
      </w:r>
      <w:r>
        <w:rPr/>
        <w:t>económicos,</w:t>
      </w:r>
      <w:r>
        <w:rPr>
          <w:w w:val="102"/>
        </w:rPr>
        <w:t> </w:t>
      </w:r>
      <w:r>
        <w:rPr/>
        <w:t>sociales  y  políticos;  iv)  movilizar  organizaciones  de  la  sociedad  civil  regionales</w:t>
      </w:r>
      <w:r>
        <w:rPr>
          <w:spacing w:val="40"/>
        </w:rPr>
        <w:t> </w:t>
      </w:r>
      <w:r>
        <w:rPr/>
        <w:t>y</w:t>
      </w:r>
    </w:p>
    <w:p>
      <w:pPr>
        <w:pStyle w:val="BodyText"/>
        <w:spacing w:before="10"/>
        <w:rPr>
          <w:sz w:val="12"/>
        </w:rPr>
      </w:pPr>
      <w:r>
        <w:rPr/>
        <w:pict>
          <v:line style="position:absolute;mso-position-horizontal-relative:page;mso-position-vertical-relative:paragraph;z-index:15232;mso-wrap-distance-left:0;mso-wrap-distance-right:0" from="41.244099pt,9.864486pt" to="426.756099pt,9.864486pt" stroked="true" strokeweight="1pt" strokecolor="#bcbec0">
            <w10:wrap type="topAndBottom"/>
          </v:line>
        </w:pict>
      </w:r>
    </w:p>
    <w:p>
      <w:pPr>
        <w:spacing w:line="357" w:lineRule="auto" w:before="61"/>
        <w:ind w:left="181" w:right="30" w:hanging="57"/>
        <w:jc w:val="both"/>
        <w:rPr>
          <w:sz w:val="14"/>
        </w:rPr>
      </w:pPr>
      <w:r>
        <w:rPr>
          <w:color w:val="6D6E71"/>
          <w:position w:val="5"/>
          <w:sz w:val="8"/>
        </w:rPr>
        <w:t>40</w:t>
      </w:r>
      <w:r>
        <w:rPr>
          <w:color w:val="6D6E71"/>
          <w:sz w:val="14"/>
        </w:rPr>
        <w:t>Las políticas de Regeneración Urbana del Raval versus el Plan Comunitario de Trinitat Nova, son dos casos distintos      de gobernanza urbana en Barcelona, en cuanto hace a la dimensión sustantiva (inserción en la agenda, definición del problema, objetivos, contenidos) y la dimensión operativa (liderazgo, relaciones multi-nivel, transversalidad, cooperación público-privada,</w:t>
      </w:r>
      <w:r>
        <w:rPr>
          <w:color w:val="6D6E71"/>
          <w:spacing w:val="-9"/>
          <w:sz w:val="14"/>
        </w:rPr>
        <w:t> </w:t>
      </w:r>
      <w:r>
        <w:rPr>
          <w:color w:val="6D6E71"/>
          <w:sz w:val="14"/>
        </w:rPr>
        <w:t>participación</w:t>
      </w:r>
      <w:r>
        <w:rPr>
          <w:color w:val="6D6E71"/>
          <w:spacing w:val="-9"/>
          <w:sz w:val="14"/>
        </w:rPr>
        <w:t> </w:t>
      </w:r>
      <w:r>
        <w:rPr>
          <w:color w:val="6D6E71"/>
          <w:sz w:val="14"/>
        </w:rPr>
        <w:t>ciudadana).</w:t>
      </w:r>
      <w:r>
        <w:rPr>
          <w:color w:val="6D6E71"/>
          <w:spacing w:val="-9"/>
          <w:sz w:val="14"/>
        </w:rPr>
        <w:t> </w:t>
      </w:r>
      <w:r>
        <w:rPr>
          <w:color w:val="6D6E71"/>
          <w:sz w:val="14"/>
        </w:rPr>
        <w:t>(Blanco,</w:t>
      </w:r>
      <w:r>
        <w:rPr>
          <w:color w:val="6D6E71"/>
          <w:spacing w:val="-9"/>
          <w:sz w:val="14"/>
        </w:rPr>
        <w:t> </w:t>
      </w:r>
      <w:r>
        <w:rPr>
          <w:color w:val="6D6E71"/>
          <w:sz w:val="14"/>
        </w:rPr>
        <w:t>2010)</w:t>
      </w:r>
    </w:p>
    <w:p>
      <w:pPr>
        <w:pStyle w:val="BodyText"/>
        <w:spacing w:line="249" w:lineRule="auto" w:before="76"/>
        <w:ind w:left="124" w:right="127"/>
        <w:jc w:val="both"/>
      </w:pPr>
      <w:r>
        <w:rPr/>
        <w:br w:type="column"/>
      </w:r>
      <w:r>
        <w:rPr/>
        <w:t>nacionales</w:t>
      </w:r>
      <w:r>
        <w:rPr>
          <w:spacing w:val="-7"/>
        </w:rPr>
        <w:t> </w:t>
      </w:r>
      <w:r>
        <w:rPr/>
        <w:t>para</w:t>
      </w:r>
      <w:r>
        <w:rPr>
          <w:spacing w:val="-7"/>
        </w:rPr>
        <w:t> </w:t>
      </w:r>
      <w:r>
        <w:rPr/>
        <w:t>el</w:t>
      </w:r>
      <w:r>
        <w:rPr>
          <w:spacing w:val="-7"/>
        </w:rPr>
        <w:t> </w:t>
      </w:r>
      <w:r>
        <w:rPr/>
        <w:t>desarrollo</w:t>
      </w:r>
      <w:r>
        <w:rPr>
          <w:spacing w:val="-7"/>
        </w:rPr>
        <w:t> </w:t>
      </w:r>
      <w:r>
        <w:rPr/>
        <w:t>de</w:t>
      </w:r>
      <w:r>
        <w:rPr>
          <w:spacing w:val="-7"/>
        </w:rPr>
        <w:t> </w:t>
      </w:r>
      <w:r>
        <w:rPr/>
        <w:t>lobbies</w:t>
      </w:r>
      <w:r>
        <w:rPr>
          <w:spacing w:val="-7"/>
        </w:rPr>
        <w:t> </w:t>
      </w:r>
      <w:r>
        <w:rPr/>
        <w:t>a</w:t>
      </w:r>
      <w:r>
        <w:rPr>
          <w:spacing w:val="-7"/>
        </w:rPr>
        <w:t> </w:t>
      </w:r>
      <w:r>
        <w:rPr/>
        <w:t>través</w:t>
      </w:r>
      <w:r>
        <w:rPr>
          <w:spacing w:val="-7"/>
        </w:rPr>
        <w:t> </w:t>
      </w:r>
      <w:r>
        <w:rPr/>
        <w:t>de</w:t>
      </w:r>
      <w:r>
        <w:rPr>
          <w:spacing w:val="-7"/>
        </w:rPr>
        <w:t> </w:t>
      </w:r>
      <w:r>
        <w:rPr/>
        <w:t>los</w:t>
      </w:r>
      <w:r>
        <w:rPr>
          <w:spacing w:val="-7"/>
        </w:rPr>
        <w:t> </w:t>
      </w:r>
      <w:r>
        <w:rPr/>
        <w:t>cuales</w:t>
      </w:r>
      <w:r>
        <w:rPr>
          <w:spacing w:val="-7"/>
        </w:rPr>
        <w:t> </w:t>
      </w:r>
      <w:r>
        <w:rPr/>
        <w:t>se</w:t>
      </w:r>
      <w:r>
        <w:rPr>
          <w:spacing w:val="-7"/>
        </w:rPr>
        <w:t> </w:t>
      </w:r>
      <w:r>
        <w:rPr/>
        <w:t>presione</w:t>
      </w:r>
      <w:r>
        <w:rPr>
          <w:spacing w:val="-7"/>
        </w:rPr>
        <w:t> </w:t>
      </w:r>
      <w:r>
        <w:rPr/>
        <w:t>por</w:t>
      </w:r>
      <w:r>
        <w:rPr>
          <w:spacing w:val="-7"/>
        </w:rPr>
        <w:t> </w:t>
      </w:r>
      <w:r>
        <w:rPr/>
        <w:t>sistemas de gobernanza multiescalar más adecuados; v) ejercer presión sobre instituciones estatales con el fin de forzar transformaciones políticas o, de manera más modesta, cambios políticos. (Cfr. en Moulaert, et. al., 2014: 21). De manera que las iniciativas barriales innovadoras han actuado como activos conductores de innovación social en niveles espaciales</w:t>
      </w:r>
      <w:r>
        <w:rPr>
          <w:spacing w:val="-6"/>
        </w:rPr>
        <w:t> </w:t>
      </w:r>
      <w:r>
        <w:rPr/>
        <w:t>superiores.</w:t>
      </w:r>
    </w:p>
    <w:p>
      <w:pPr>
        <w:pStyle w:val="BodyText"/>
        <w:spacing w:before="11"/>
      </w:pPr>
    </w:p>
    <w:p>
      <w:pPr>
        <w:pStyle w:val="BodyText"/>
        <w:spacing w:line="249" w:lineRule="auto"/>
        <w:ind w:left="124" w:right="128" w:firstLine="170"/>
        <w:jc w:val="both"/>
      </w:pPr>
      <w:r>
        <w:rPr/>
        <w:t>En suma, tales esquemas de gobernanza en zonas metropolitanas, barrios y comunidades se han desplegado para atender los problemas y conflictos, surgen con objetivos y metas de envergadura distintos, algunos proyectos sociales de la mano  con el gobierno en cambio otros desde la autogestión. El ascenso de asociaciones, empresas y redes se caracterizan por la integración/cooperación de acciones, se abren caminos desde abajo e inciden en niveles superiores, donde la capacidad local  y transversalidad tienen pesos en los juegos de equilibrios, de arraigo político y de permanencia en el</w:t>
      </w:r>
      <w:r>
        <w:rPr>
          <w:spacing w:val="-12"/>
        </w:rPr>
        <w:t> </w:t>
      </w:r>
      <w:r>
        <w:rPr/>
        <w:t>tiempo.</w:t>
      </w:r>
    </w:p>
    <w:p>
      <w:pPr>
        <w:pStyle w:val="BodyText"/>
        <w:spacing w:before="11"/>
      </w:pPr>
    </w:p>
    <w:p>
      <w:pPr>
        <w:pStyle w:val="BodyText"/>
        <w:spacing w:line="249" w:lineRule="auto"/>
        <w:ind w:left="124" w:right="127" w:firstLine="170"/>
        <w:jc w:val="both"/>
      </w:pPr>
      <w:r>
        <w:rPr/>
        <w:t>Las nuevas formas de articular políticas con escalas geográficas se corresponden con la complejidad de los problemas actuales, con el propósito de conseguir</w:t>
      </w:r>
      <w:r>
        <w:rPr>
          <w:spacing w:val="-34"/>
        </w:rPr>
        <w:t> </w:t>
      </w:r>
      <w:r>
        <w:rPr/>
        <w:t>resultados para disminuir la fragmentación, exclusión y división sociales que deja el modelo tradicional</w:t>
      </w:r>
      <w:r>
        <w:rPr>
          <w:spacing w:val="-6"/>
        </w:rPr>
        <w:t> </w:t>
      </w:r>
      <w:r>
        <w:rPr/>
        <w:t>de</w:t>
      </w:r>
      <w:r>
        <w:rPr>
          <w:spacing w:val="-6"/>
        </w:rPr>
        <w:t> </w:t>
      </w:r>
      <w:r>
        <w:rPr/>
        <w:t>gobierno</w:t>
      </w:r>
      <w:r>
        <w:rPr>
          <w:spacing w:val="-6"/>
        </w:rPr>
        <w:t> </w:t>
      </w:r>
      <w:r>
        <w:rPr/>
        <w:t>que</w:t>
      </w:r>
      <w:r>
        <w:rPr>
          <w:spacing w:val="-6"/>
        </w:rPr>
        <w:t> </w:t>
      </w:r>
      <w:r>
        <w:rPr/>
        <w:t>no</w:t>
      </w:r>
      <w:r>
        <w:rPr>
          <w:spacing w:val="-6"/>
        </w:rPr>
        <w:t> </w:t>
      </w:r>
      <w:r>
        <w:rPr/>
        <w:t>se</w:t>
      </w:r>
      <w:r>
        <w:rPr>
          <w:spacing w:val="-6"/>
        </w:rPr>
        <w:t> </w:t>
      </w:r>
      <w:r>
        <w:rPr/>
        <w:t>renueva</w:t>
      </w:r>
      <w:r>
        <w:rPr>
          <w:spacing w:val="-6"/>
        </w:rPr>
        <w:t> </w:t>
      </w:r>
      <w:r>
        <w:rPr/>
        <w:t>a</w:t>
      </w:r>
      <w:r>
        <w:rPr>
          <w:spacing w:val="-6"/>
        </w:rPr>
        <w:t> </w:t>
      </w:r>
      <w:r>
        <w:rPr/>
        <w:t>la</w:t>
      </w:r>
      <w:r>
        <w:rPr>
          <w:spacing w:val="-6"/>
        </w:rPr>
        <w:t> </w:t>
      </w:r>
      <w:r>
        <w:rPr/>
        <w:t>par</w:t>
      </w:r>
      <w:r>
        <w:rPr>
          <w:spacing w:val="-6"/>
        </w:rPr>
        <w:t> </w:t>
      </w:r>
      <w:r>
        <w:rPr/>
        <w:t>de</w:t>
      </w:r>
      <w:r>
        <w:rPr>
          <w:spacing w:val="-6"/>
        </w:rPr>
        <w:t> </w:t>
      </w:r>
      <w:r>
        <w:rPr/>
        <w:t>las</w:t>
      </w:r>
      <w:r>
        <w:rPr>
          <w:spacing w:val="-6"/>
        </w:rPr>
        <w:t> </w:t>
      </w:r>
      <w:r>
        <w:rPr/>
        <w:t>necesidades</w:t>
      </w:r>
      <w:r>
        <w:rPr>
          <w:spacing w:val="-6"/>
        </w:rPr>
        <w:t> </w:t>
      </w:r>
      <w:r>
        <w:rPr/>
        <w:t>contemporáneas de hacer políticas públicas de nueva</w:t>
      </w:r>
      <w:r>
        <w:rPr>
          <w:spacing w:val="30"/>
        </w:rPr>
        <w:t> </w:t>
      </w:r>
      <w:r>
        <w:rPr/>
        <w:t>generación.</w:t>
      </w:r>
    </w:p>
    <w:p>
      <w:pPr>
        <w:pStyle w:val="BodyText"/>
        <w:spacing w:before="8"/>
        <w:rPr>
          <w:sz w:val="17"/>
        </w:rPr>
      </w:pPr>
    </w:p>
    <w:p>
      <w:pPr>
        <w:pStyle w:val="Heading1"/>
        <w:ind w:left="365"/>
      </w:pPr>
      <w:r>
        <w:rPr/>
        <w:t>Gestión urbana descentralizada en ciudades de América Latina</w:t>
      </w:r>
    </w:p>
    <w:p>
      <w:pPr>
        <w:pStyle w:val="BodyText"/>
        <w:rPr>
          <w:b/>
          <w:sz w:val="24"/>
        </w:rPr>
      </w:pPr>
    </w:p>
    <w:p>
      <w:pPr>
        <w:pStyle w:val="BodyText"/>
        <w:spacing w:line="249" w:lineRule="auto" w:before="205"/>
        <w:ind w:left="124" w:right="127" w:firstLine="170"/>
        <w:jc w:val="both"/>
      </w:pPr>
      <w:r>
        <w:rPr/>
        <w:t>En América Latina, la gestión urbana descentralizada en las distintas escalas de funcionalidad –en presencia de economías aglomeradas, externalidades positivas y negativas- exige renovación de enfoques en el diseño de políticas públicas respectivas</w:t>
      </w:r>
    </w:p>
    <w:p>
      <w:pPr>
        <w:pStyle w:val="BodyText"/>
        <w:spacing w:line="249" w:lineRule="auto" w:before="1"/>
        <w:ind w:left="124" w:right="127"/>
        <w:jc w:val="both"/>
      </w:pPr>
      <w:r>
        <w:rPr/>
        <w:t>–gobierno unitario supra local y/o gobiernos coordinados- para enfrentar los déficits  del desarrollo urbano –inequidades espaciales- y demanda de la población –formal      e informal-. La descentralización de la gestión urbana no ha está exenta de retos y dificultades. Para la gran mayoría de las áreas metropolitanas debido a la agregación de gobiernos municipales conlleva buscar arreglos administrativos, consensos</w:t>
      </w:r>
      <w:r>
        <w:rPr>
          <w:spacing w:val="-31"/>
        </w:rPr>
        <w:t> </w:t>
      </w:r>
      <w:r>
        <w:rPr/>
        <w:t>políticos y conciliar intereses con los</w:t>
      </w:r>
      <w:r>
        <w:rPr>
          <w:spacing w:val="42"/>
        </w:rPr>
        <w:t> </w:t>
      </w:r>
      <w:r>
        <w:rPr/>
        <w:t>ciudadanos.</w:t>
      </w:r>
    </w:p>
    <w:p>
      <w:pPr>
        <w:pStyle w:val="BodyText"/>
        <w:spacing w:before="11"/>
      </w:pPr>
    </w:p>
    <w:p>
      <w:pPr>
        <w:pStyle w:val="BodyText"/>
        <w:spacing w:line="249" w:lineRule="auto"/>
        <w:ind w:left="124" w:right="127" w:firstLine="170"/>
        <w:jc w:val="both"/>
      </w:pPr>
      <w:r>
        <w:rPr/>
        <w:t>La gestión urbana descentralizada es una expresión concreta de la gobernanza,     en ella son importante algunos factores tanto para apalancar las políticas como para empoderar la democracia participativa en los asuntos urbano y territoriales, estos factores son: grado de avance de descentralización del andamiaje institucional; alto grado de capacidad estructural de gestión y; sustancia social política. (Cuadro </w:t>
      </w:r>
      <w:r>
        <w:rPr>
          <w:spacing w:val="15"/>
        </w:rPr>
        <w:t> </w:t>
      </w:r>
      <w:r>
        <w:rPr/>
        <w:t>3)</w:t>
      </w:r>
    </w:p>
    <w:p>
      <w:pPr>
        <w:spacing w:after="0" w:line="249" w:lineRule="auto"/>
        <w:jc w:val="both"/>
        <w:sectPr>
          <w:type w:val="continuous"/>
          <w:pgSz w:w="18830" w:h="12760" w:orient="landscape"/>
          <w:pgMar w:top="1420" w:bottom="280" w:left="700" w:right="720"/>
          <w:cols w:num="2" w:equalWidth="0">
            <w:col w:w="7868" w:space="1568"/>
            <w:col w:w="7974"/>
          </w:cols>
        </w:sectPr>
      </w:pPr>
    </w:p>
    <w:p>
      <w:pPr>
        <w:pStyle w:val="BodyText"/>
        <w:spacing w:before="6"/>
        <w:rPr>
          <w:sz w:val="23"/>
        </w:rPr>
      </w:pPr>
    </w:p>
    <w:p>
      <w:pPr>
        <w:spacing w:after="0"/>
        <w:rPr>
          <w:sz w:val="23"/>
        </w:rPr>
        <w:sectPr>
          <w:footerReference w:type="default" r:id="rId455"/>
          <w:pgSz w:w="18830" w:h="12760" w:orient="landscape"/>
          <w:pgMar w:footer="1036" w:header="522" w:top="820" w:bottom="1220" w:left="720" w:right="700"/>
        </w:sectPr>
      </w:pPr>
    </w:p>
    <w:p>
      <w:pPr>
        <w:pStyle w:val="BodyText"/>
        <w:spacing w:line="249" w:lineRule="auto" w:before="76"/>
        <w:ind w:left="136" w:firstLine="170"/>
        <w:jc w:val="both"/>
      </w:pPr>
      <w:r>
        <w:rPr/>
        <w:t>La descentralización como política pública, se basa en los beneficios fiscales y en los institucionales de los niveles de la administración y gobierno locales, lo mismo que la descentralización de la política se base en la incorporación de la sociedad civil en   la toma de decisión de los asuntos públicos, todo ello con la finalidad de desplegar políticas públicas que entreguen resultados a la</w:t>
      </w:r>
      <w:r>
        <w:rPr>
          <w:spacing w:val="52"/>
        </w:rPr>
        <w:t> </w:t>
      </w:r>
      <w:r>
        <w:rPr/>
        <w:t>sociedad.</w:t>
      </w:r>
    </w:p>
    <w:p>
      <w:pPr>
        <w:pStyle w:val="BodyText"/>
        <w:spacing w:before="11"/>
      </w:pPr>
    </w:p>
    <w:p>
      <w:pPr>
        <w:pStyle w:val="BodyText"/>
        <w:spacing w:line="249" w:lineRule="auto"/>
        <w:ind w:left="136" w:firstLine="170"/>
        <w:jc w:val="both"/>
      </w:pPr>
      <w:r>
        <w:rPr/>
        <w:t>En</w:t>
      </w:r>
      <w:r>
        <w:rPr>
          <w:spacing w:val="-23"/>
        </w:rPr>
        <w:t> </w:t>
      </w:r>
      <w:r>
        <w:rPr/>
        <w:t>particular,</w:t>
      </w:r>
      <w:r>
        <w:rPr>
          <w:spacing w:val="-23"/>
        </w:rPr>
        <w:t> </w:t>
      </w:r>
      <w:r>
        <w:rPr/>
        <w:t>la</w:t>
      </w:r>
      <w:r>
        <w:rPr>
          <w:spacing w:val="-23"/>
        </w:rPr>
        <w:t> </w:t>
      </w:r>
      <w:r>
        <w:rPr/>
        <w:t>descentralización</w:t>
      </w:r>
      <w:r>
        <w:rPr>
          <w:spacing w:val="-23"/>
        </w:rPr>
        <w:t> </w:t>
      </w:r>
      <w:r>
        <w:rPr/>
        <w:t>fiscal</w:t>
      </w:r>
      <w:r>
        <w:rPr>
          <w:spacing w:val="-23"/>
        </w:rPr>
        <w:t> </w:t>
      </w:r>
      <w:r>
        <w:rPr/>
        <w:t>-gastos</w:t>
      </w:r>
      <w:r>
        <w:rPr>
          <w:spacing w:val="-23"/>
        </w:rPr>
        <w:t> </w:t>
      </w:r>
      <w:r>
        <w:rPr/>
        <w:t>e</w:t>
      </w:r>
      <w:r>
        <w:rPr>
          <w:spacing w:val="-23"/>
        </w:rPr>
        <w:t> </w:t>
      </w:r>
      <w:r>
        <w:rPr/>
        <w:t>ingresos-</w:t>
      </w:r>
      <w:r>
        <w:rPr>
          <w:spacing w:val="-23"/>
        </w:rPr>
        <w:t> </w:t>
      </w:r>
      <w:r>
        <w:rPr/>
        <w:t>se</w:t>
      </w:r>
      <w:r>
        <w:rPr>
          <w:spacing w:val="-23"/>
        </w:rPr>
        <w:t> </w:t>
      </w:r>
      <w:r>
        <w:rPr/>
        <w:t>refiere</w:t>
      </w:r>
      <w:r>
        <w:rPr>
          <w:spacing w:val="-23"/>
        </w:rPr>
        <w:t> </w:t>
      </w:r>
      <w:r>
        <w:rPr/>
        <w:t>a</w:t>
      </w:r>
      <w:r>
        <w:rPr>
          <w:spacing w:val="-23"/>
        </w:rPr>
        <w:t> </w:t>
      </w:r>
      <w:r>
        <w:rPr/>
        <w:t>las</w:t>
      </w:r>
      <w:r>
        <w:rPr>
          <w:spacing w:val="-23"/>
        </w:rPr>
        <w:t> </w:t>
      </w:r>
      <w:r>
        <w:rPr/>
        <w:t>iniciativas</w:t>
      </w:r>
      <w:r>
        <w:rPr>
          <w:spacing w:val="-23"/>
        </w:rPr>
        <w:t> </w:t>
      </w:r>
      <w:r>
        <w:rPr/>
        <w:t>de política</w:t>
      </w:r>
      <w:r>
        <w:rPr>
          <w:spacing w:val="-10"/>
        </w:rPr>
        <w:t> </w:t>
      </w:r>
      <w:r>
        <w:rPr/>
        <w:t>que</w:t>
      </w:r>
      <w:r>
        <w:rPr>
          <w:spacing w:val="-10"/>
        </w:rPr>
        <w:t> </w:t>
      </w:r>
      <w:r>
        <w:rPr/>
        <w:t>implican</w:t>
      </w:r>
      <w:r>
        <w:rPr>
          <w:spacing w:val="-10"/>
        </w:rPr>
        <w:t> </w:t>
      </w:r>
      <w:r>
        <w:rPr/>
        <w:t>traspasar</w:t>
      </w:r>
      <w:r>
        <w:rPr>
          <w:spacing w:val="-10"/>
        </w:rPr>
        <w:t> </w:t>
      </w:r>
      <w:r>
        <w:rPr/>
        <w:t>decisiones</w:t>
      </w:r>
      <w:r>
        <w:rPr>
          <w:spacing w:val="-10"/>
        </w:rPr>
        <w:t> </w:t>
      </w:r>
      <w:r>
        <w:rPr/>
        <w:t>presupuestarias</w:t>
      </w:r>
      <w:r>
        <w:rPr>
          <w:spacing w:val="-10"/>
        </w:rPr>
        <w:t> </w:t>
      </w:r>
      <w:r>
        <w:rPr/>
        <w:t>a</w:t>
      </w:r>
      <w:r>
        <w:rPr>
          <w:spacing w:val="-10"/>
        </w:rPr>
        <w:t> </w:t>
      </w:r>
      <w:r>
        <w:rPr/>
        <w:t>autoridades</w:t>
      </w:r>
      <w:r>
        <w:rPr>
          <w:spacing w:val="-10"/>
        </w:rPr>
        <w:t> </w:t>
      </w:r>
      <w:r>
        <w:rPr/>
        <w:t>subnacionales (provincias, regiones, municipios) elegidas a través de un proceso democrático (Bahl, 2007, en CAF 2010: 82). Estas decisiones presupuestarias incluyen libertad para fijar niveles y la composición tanto de gastos como de </w:t>
      </w:r>
      <w:r>
        <w:rPr>
          <w:spacing w:val="39"/>
        </w:rPr>
        <w:t> </w:t>
      </w:r>
      <w:r>
        <w:rPr/>
        <w:t>impuestos.</w:t>
      </w:r>
    </w:p>
    <w:p>
      <w:pPr>
        <w:pStyle w:val="BodyText"/>
        <w:spacing w:before="11"/>
      </w:pPr>
    </w:p>
    <w:p>
      <w:pPr>
        <w:pStyle w:val="BodyText"/>
        <w:spacing w:line="249" w:lineRule="auto"/>
        <w:ind w:left="136" w:firstLine="170"/>
        <w:jc w:val="both"/>
      </w:pPr>
      <w:r>
        <w:rPr/>
        <w:t>En</w:t>
      </w:r>
      <w:r>
        <w:rPr>
          <w:spacing w:val="29"/>
        </w:rPr>
        <w:t> </w:t>
      </w:r>
      <w:r>
        <w:rPr/>
        <w:t>cuanto</w:t>
      </w:r>
      <w:r>
        <w:rPr>
          <w:spacing w:val="29"/>
        </w:rPr>
        <w:t> </w:t>
      </w:r>
      <w:r>
        <w:rPr/>
        <w:t>hace</w:t>
      </w:r>
      <w:r>
        <w:rPr>
          <w:spacing w:val="29"/>
        </w:rPr>
        <w:t> </w:t>
      </w:r>
      <w:r>
        <w:rPr/>
        <w:t>a</w:t>
      </w:r>
      <w:r>
        <w:rPr>
          <w:spacing w:val="29"/>
        </w:rPr>
        <w:t> </w:t>
      </w:r>
      <w:r>
        <w:rPr/>
        <w:t>la</w:t>
      </w:r>
      <w:r>
        <w:rPr>
          <w:spacing w:val="29"/>
        </w:rPr>
        <w:t> </w:t>
      </w:r>
      <w:r>
        <w:rPr/>
        <w:t>descentralización</w:t>
      </w:r>
      <w:r>
        <w:rPr>
          <w:spacing w:val="29"/>
        </w:rPr>
        <w:t> </w:t>
      </w:r>
      <w:r>
        <w:rPr/>
        <w:t>institucional</w:t>
      </w:r>
      <w:r>
        <w:rPr>
          <w:spacing w:val="29"/>
        </w:rPr>
        <w:t> </w:t>
      </w:r>
      <w:r>
        <w:rPr/>
        <w:t>y</w:t>
      </w:r>
      <w:r>
        <w:rPr>
          <w:spacing w:val="29"/>
        </w:rPr>
        <w:t> </w:t>
      </w:r>
      <w:r>
        <w:rPr/>
        <w:t>política,</w:t>
      </w:r>
      <w:r>
        <w:rPr>
          <w:spacing w:val="29"/>
        </w:rPr>
        <w:t> </w:t>
      </w:r>
      <w:r>
        <w:rPr/>
        <w:t>se</w:t>
      </w:r>
      <w:r>
        <w:rPr>
          <w:spacing w:val="29"/>
        </w:rPr>
        <w:t> </w:t>
      </w:r>
      <w:r>
        <w:rPr/>
        <w:t>dice</w:t>
      </w:r>
      <w:r>
        <w:rPr>
          <w:spacing w:val="29"/>
        </w:rPr>
        <w:t> </w:t>
      </w:r>
      <w:r>
        <w:rPr/>
        <w:t>que</w:t>
      </w:r>
      <w:r>
        <w:rPr>
          <w:spacing w:val="29"/>
        </w:rPr>
        <w:t> </w:t>
      </w:r>
      <w:r>
        <w:rPr/>
        <w:t>“mejora</w:t>
      </w:r>
      <w:r>
        <w:rPr>
          <w:w w:val="102"/>
        </w:rPr>
        <w:t> </w:t>
      </w:r>
      <w:r>
        <w:rPr/>
        <w:t>el funcionamiento de los gobiernos y logra acercarse a la comunidad cuando los ciudadanos, además de votar, también participan activamente y de una forma constante en el diseño, ejecución y monitoreo de las políticas públicas…” (CAF, 2010: 119).</w:t>
      </w:r>
      <w:r>
        <w:rPr>
          <w:spacing w:val="-10"/>
        </w:rPr>
        <w:t> </w:t>
      </w:r>
      <w:r>
        <w:rPr/>
        <w:t>Las</w:t>
      </w:r>
      <w:r>
        <w:rPr>
          <w:spacing w:val="-10"/>
        </w:rPr>
        <w:t> </w:t>
      </w:r>
      <w:r>
        <w:rPr/>
        <w:t>capacidades</w:t>
      </w:r>
      <w:r>
        <w:rPr>
          <w:spacing w:val="-11"/>
        </w:rPr>
        <w:t> </w:t>
      </w:r>
      <w:r>
        <w:rPr/>
        <w:t>institucionales</w:t>
      </w:r>
      <w:r>
        <w:rPr>
          <w:spacing w:val="-11"/>
        </w:rPr>
        <w:t> </w:t>
      </w:r>
      <w:r>
        <w:rPr/>
        <w:t>se</w:t>
      </w:r>
      <w:r>
        <w:rPr>
          <w:spacing w:val="-10"/>
        </w:rPr>
        <w:t> </w:t>
      </w:r>
      <w:r>
        <w:rPr/>
        <w:t>refieren</w:t>
      </w:r>
      <w:r>
        <w:rPr>
          <w:spacing w:val="-10"/>
        </w:rPr>
        <w:t> </w:t>
      </w:r>
      <w:r>
        <w:rPr/>
        <w:t>a</w:t>
      </w:r>
      <w:r>
        <w:rPr>
          <w:spacing w:val="-11"/>
        </w:rPr>
        <w:t> </w:t>
      </w:r>
      <w:r>
        <w:rPr/>
        <w:t>la</w:t>
      </w:r>
      <w:r>
        <w:rPr>
          <w:spacing w:val="-10"/>
        </w:rPr>
        <w:t> </w:t>
      </w:r>
      <w:r>
        <w:rPr/>
        <w:t>existencia</w:t>
      </w:r>
      <w:r>
        <w:rPr>
          <w:spacing w:val="-11"/>
        </w:rPr>
        <w:t> </w:t>
      </w:r>
      <w:r>
        <w:rPr/>
        <w:t>y</w:t>
      </w:r>
      <w:r>
        <w:rPr>
          <w:spacing w:val="-10"/>
        </w:rPr>
        <w:t> </w:t>
      </w:r>
      <w:r>
        <w:rPr/>
        <w:t>la</w:t>
      </w:r>
      <w:r>
        <w:rPr>
          <w:spacing w:val="-10"/>
        </w:rPr>
        <w:t> </w:t>
      </w:r>
      <w:r>
        <w:rPr/>
        <w:t>calidad</w:t>
      </w:r>
      <w:r>
        <w:rPr>
          <w:spacing w:val="-11"/>
        </w:rPr>
        <w:t> </w:t>
      </w:r>
      <w:r>
        <w:rPr/>
        <w:t>los</w:t>
      </w:r>
      <w:r>
        <w:rPr>
          <w:spacing w:val="-10"/>
        </w:rPr>
        <w:t> </w:t>
      </w:r>
      <w:r>
        <w:rPr/>
        <w:t>recursos humanos, fiscales y administrativos para diseñar e implementar con cierta autonomía las políticas púbicas de la</w:t>
      </w:r>
      <w:r>
        <w:rPr>
          <w:spacing w:val="50"/>
        </w:rPr>
        <w:t> </w:t>
      </w:r>
      <w:r>
        <w:rPr/>
        <w:t>comunidad.</w:t>
      </w:r>
    </w:p>
    <w:p>
      <w:pPr>
        <w:pStyle w:val="BodyText"/>
        <w:spacing w:before="11"/>
      </w:pPr>
    </w:p>
    <w:p>
      <w:pPr>
        <w:pStyle w:val="BodyText"/>
        <w:spacing w:line="244" w:lineRule="auto"/>
        <w:ind w:left="136" w:firstLine="170"/>
        <w:jc w:val="both"/>
      </w:pPr>
      <w:r>
        <w:rPr/>
        <w:t>El capital social es la construcción de redes organizativas orientadas a moldear expectativas sociales institucionalizadas que  permiten  sostener  la  cooperación  </w:t>
      </w:r>
      <w:r>
        <w:rPr>
          <w:rFonts w:ascii="Tahoma" w:hAnsi="Tahoma"/>
        </w:rPr>
        <w:t>social dentro de una comunidad específica (Boix y Posner, 1998 en CAF, 2010: 119). Los atributos esenciales de las redes son larga duración, confianza, solidez. Estas </w:t>
      </w:r>
      <w:r>
        <w:rPr/>
        <w:t>condiciones permiten a los individuos desarrollen actitudes cooperativas orientadas a involucrarse en los temas centrales de su comunidad. El capital social, está vinculado  </w:t>
      </w:r>
      <w:r>
        <w:rPr>
          <w:rFonts w:ascii="Tahoma" w:hAnsi="Tahoma"/>
        </w:rPr>
        <w:t>a la esfera social y se refiere a los niveles de asociatividad existente dentro de una </w:t>
      </w:r>
      <w:r>
        <w:rPr/>
        <w:t>jurisdicción.</w:t>
      </w:r>
    </w:p>
    <w:p>
      <w:pPr>
        <w:spacing w:before="43"/>
        <w:ind w:left="2125" w:right="1990" w:firstLine="0"/>
        <w:jc w:val="center"/>
        <w:rPr>
          <w:sz w:val="16"/>
        </w:rPr>
      </w:pPr>
      <w:r>
        <w:rPr>
          <w:color w:val="6D6E71"/>
          <w:sz w:val="16"/>
        </w:rPr>
        <w:t>Cuadro 3. Factores de gestión descentralizada</w:t>
      </w:r>
    </w:p>
    <w:p>
      <w:pPr>
        <w:pStyle w:val="BodyText"/>
        <w:spacing w:before="10"/>
        <w:rPr>
          <w:sz w:val="8"/>
        </w:rPr>
      </w:pPr>
    </w:p>
    <w:tbl>
      <w:tblPr>
        <w:tblW w:w="0" w:type="auto"/>
        <w:jc w:val="left"/>
        <w:tblInd w:w="1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378"/>
        <w:gridCol w:w="3596"/>
        <w:gridCol w:w="1701"/>
      </w:tblGrid>
      <w:tr>
        <w:trPr>
          <w:trHeight w:val="228" w:hRule="exact"/>
        </w:trPr>
        <w:tc>
          <w:tcPr>
            <w:tcW w:w="2378" w:type="dxa"/>
            <w:tcBorders>
              <w:top w:val="nil"/>
              <w:left w:val="nil"/>
              <w:bottom w:val="dotted" w:sz="4" w:space="0" w:color="FFFFFF"/>
            </w:tcBorders>
            <w:shd w:val="clear" w:color="auto" w:fill="929292"/>
          </w:tcPr>
          <w:p>
            <w:pPr>
              <w:pStyle w:val="TableParagraph"/>
              <w:spacing w:before="21"/>
              <w:ind w:left="107"/>
              <w:rPr>
                <w:sz w:val="16"/>
              </w:rPr>
            </w:pPr>
            <w:r>
              <w:rPr>
                <w:sz w:val="16"/>
              </w:rPr>
              <w:t>Descentralización institucional</w:t>
            </w:r>
          </w:p>
        </w:tc>
        <w:tc>
          <w:tcPr>
            <w:tcW w:w="3596" w:type="dxa"/>
            <w:tcBorders>
              <w:top w:val="nil"/>
              <w:bottom w:val="dotted" w:sz="4" w:space="0" w:color="FFFFFF"/>
            </w:tcBorders>
            <w:shd w:val="clear" w:color="auto" w:fill="929292"/>
          </w:tcPr>
          <w:p>
            <w:pPr>
              <w:pStyle w:val="TableParagraph"/>
              <w:spacing w:before="21"/>
              <w:ind w:left="103"/>
              <w:rPr>
                <w:sz w:val="16"/>
              </w:rPr>
            </w:pPr>
            <w:r>
              <w:rPr>
                <w:sz w:val="16"/>
              </w:rPr>
              <w:t>Capacidad de gestión</w:t>
            </w:r>
          </w:p>
        </w:tc>
        <w:tc>
          <w:tcPr>
            <w:tcW w:w="1701" w:type="dxa"/>
            <w:tcBorders>
              <w:top w:val="nil"/>
              <w:bottom w:val="dotted" w:sz="4" w:space="0" w:color="FFFFFF"/>
              <w:right w:val="nil"/>
            </w:tcBorders>
            <w:shd w:val="clear" w:color="auto" w:fill="929292"/>
          </w:tcPr>
          <w:p>
            <w:pPr>
              <w:pStyle w:val="TableParagraph"/>
              <w:spacing w:before="21"/>
              <w:ind w:left="102"/>
              <w:rPr>
                <w:sz w:val="16"/>
              </w:rPr>
            </w:pPr>
            <w:r>
              <w:rPr>
                <w:sz w:val="16"/>
              </w:rPr>
              <w:t>Sustancia social</w:t>
            </w:r>
          </w:p>
        </w:tc>
      </w:tr>
      <w:tr>
        <w:trPr>
          <w:trHeight w:val="450" w:hRule="exact"/>
        </w:trPr>
        <w:tc>
          <w:tcPr>
            <w:tcW w:w="2378" w:type="dxa"/>
            <w:tcBorders>
              <w:top w:val="dotted" w:sz="4" w:space="0" w:color="FFFFFF"/>
              <w:left w:val="nil"/>
              <w:right w:val="single" w:sz="4" w:space="0" w:color="929292"/>
            </w:tcBorders>
          </w:tcPr>
          <w:p>
            <w:pPr>
              <w:pStyle w:val="TableParagraph"/>
              <w:numPr>
                <w:ilvl w:val="0"/>
                <w:numId w:val="67"/>
              </w:numPr>
              <w:tabs>
                <w:tab w:pos="348" w:val="left" w:leader="none"/>
              </w:tabs>
              <w:spacing w:line="240" w:lineRule="auto" w:before="26" w:after="0"/>
              <w:ind w:left="348" w:right="0" w:hanging="240"/>
              <w:jc w:val="left"/>
              <w:rPr>
                <w:sz w:val="16"/>
              </w:rPr>
            </w:pPr>
            <w:r>
              <w:rPr>
                <w:sz w:val="16"/>
              </w:rPr>
              <w:t>Fiscal (cambios</w:t>
            </w:r>
            <w:r>
              <w:rPr>
                <w:spacing w:val="2"/>
                <w:sz w:val="16"/>
              </w:rPr>
              <w:t> </w:t>
            </w:r>
            <w:r>
              <w:rPr>
                <w:sz w:val="16"/>
              </w:rPr>
              <w:t>fiscales</w:t>
            </w:r>
          </w:p>
          <w:p>
            <w:pPr>
              <w:pStyle w:val="TableParagraph"/>
              <w:tabs>
                <w:tab w:pos="2363" w:val="left" w:leader="none"/>
              </w:tabs>
              <w:spacing w:before="54"/>
              <w:ind w:left="35"/>
              <w:rPr>
                <w:sz w:val="16"/>
              </w:rPr>
            </w:pPr>
            <w:r>
              <w:rPr>
                <w:w w:val="100"/>
                <w:sz w:val="16"/>
                <w:u w:val="dotted" w:color="929292"/>
              </w:rPr>
              <w:t> </w:t>
            </w:r>
            <w:r>
              <w:rPr>
                <w:spacing w:val="-16"/>
                <w:sz w:val="16"/>
                <w:u w:val="dotted" w:color="929292"/>
              </w:rPr>
              <w:t> </w:t>
            </w:r>
            <w:r>
              <w:rPr>
                <w:sz w:val="16"/>
                <w:u w:val="dotted" w:color="929292"/>
              </w:rPr>
              <w:t>locales)</w:t>
              <w:tab/>
            </w:r>
          </w:p>
        </w:tc>
        <w:tc>
          <w:tcPr>
            <w:tcW w:w="3596" w:type="dxa"/>
            <w:tcBorders>
              <w:top w:val="dotted" w:sz="4" w:space="0" w:color="FFFFFF"/>
              <w:left w:val="single" w:sz="4" w:space="0" w:color="929292"/>
              <w:right w:val="single" w:sz="4" w:space="0" w:color="929292"/>
            </w:tcBorders>
          </w:tcPr>
          <w:p>
            <w:pPr>
              <w:pStyle w:val="TableParagraph"/>
              <w:numPr>
                <w:ilvl w:val="0"/>
                <w:numId w:val="68"/>
              </w:numPr>
              <w:tabs>
                <w:tab w:pos="344" w:val="left" w:leader="none"/>
              </w:tabs>
              <w:spacing w:line="240" w:lineRule="auto" w:before="26" w:after="0"/>
              <w:ind w:left="343" w:right="0" w:hanging="240"/>
              <w:jc w:val="left"/>
              <w:rPr>
                <w:sz w:val="16"/>
              </w:rPr>
            </w:pPr>
            <w:r>
              <w:rPr>
                <w:sz w:val="16"/>
              </w:rPr>
              <w:t>Disponibilidad de recursos. Regulación</w:t>
            </w:r>
            <w:r>
              <w:rPr>
                <w:spacing w:val="28"/>
                <w:sz w:val="16"/>
              </w:rPr>
              <w:t> </w:t>
            </w:r>
            <w:r>
              <w:rPr>
                <w:sz w:val="16"/>
              </w:rPr>
              <w:t>y</w:t>
            </w:r>
          </w:p>
          <w:p>
            <w:pPr>
              <w:pStyle w:val="TableParagraph"/>
              <w:tabs>
                <w:tab w:pos="3575" w:val="left" w:leader="none"/>
              </w:tabs>
              <w:spacing w:before="54"/>
              <w:ind w:left="24"/>
              <w:rPr>
                <w:sz w:val="16"/>
              </w:rPr>
            </w:pPr>
            <w:r>
              <w:rPr>
                <w:w w:val="100"/>
                <w:sz w:val="16"/>
                <w:u w:val="dotted" w:color="929292"/>
              </w:rPr>
              <w:t> </w:t>
            </w:r>
            <w:r>
              <w:rPr>
                <w:spacing w:val="-11"/>
                <w:sz w:val="16"/>
                <w:u w:val="dotted" w:color="929292"/>
              </w:rPr>
              <w:t> </w:t>
            </w:r>
            <w:r>
              <w:rPr>
                <w:sz w:val="16"/>
                <w:u w:val="dotted" w:color="929292"/>
              </w:rPr>
              <w:t>autonomía</w:t>
            </w:r>
            <w:r>
              <w:rPr>
                <w:spacing w:val="-1"/>
                <w:sz w:val="16"/>
                <w:u w:val="dotted" w:color="929292"/>
              </w:rPr>
              <w:t> </w:t>
            </w:r>
            <w:r>
              <w:rPr>
                <w:sz w:val="16"/>
                <w:u w:val="dotted" w:color="929292"/>
              </w:rPr>
              <w:t>financiera.</w:t>
              <w:tab/>
            </w:r>
          </w:p>
        </w:tc>
        <w:tc>
          <w:tcPr>
            <w:tcW w:w="1701" w:type="dxa"/>
            <w:tcBorders>
              <w:top w:val="dotted" w:sz="4" w:space="0" w:color="FFFFFF"/>
              <w:left w:val="single" w:sz="4" w:space="0" w:color="929292"/>
              <w:right w:val="nil"/>
            </w:tcBorders>
          </w:tcPr>
          <w:p>
            <w:pPr>
              <w:pStyle w:val="TableParagraph"/>
              <w:numPr>
                <w:ilvl w:val="0"/>
                <w:numId w:val="69"/>
              </w:numPr>
              <w:tabs>
                <w:tab w:pos="343" w:val="left" w:leader="none"/>
              </w:tabs>
              <w:spacing w:line="240" w:lineRule="auto" w:before="26" w:after="0"/>
              <w:ind w:left="342" w:right="0" w:hanging="240"/>
              <w:jc w:val="left"/>
              <w:rPr>
                <w:sz w:val="16"/>
              </w:rPr>
            </w:pPr>
            <w:r>
              <w:rPr>
                <w:sz w:val="16"/>
              </w:rPr>
              <w:t>Capital</w:t>
            </w:r>
            <w:r>
              <w:rPr>
                <w:spacing w:val="11"/>
                <w:sz w:val="16"/>
              </w:rPr>
              <w:t> </w:t>
            </w:r>
            <w:r>
              <w:rPr>
                <w:sz w:val="16"/>
              </w:rPr>
              <w:t>social</w:t>
            </w:r>
          </w:p>
          <w:p>
            <w:pPr>
              <w:pStyle w:val="TableParagraph"/>
              <w:tabs>
                <w:tab w:pos="1676" w:val="left" w:leader="none"/>
              </w:tabs>
              <w:spacing w:before="54"/>
              <w:ind w:left="24"/>
              <w:rPr>
                <w:sz w:val="16"/>
              </w:rPr>
            </w:pPr>
            <w:r>
              <w:rPr>
                <w:w w:val="100"/>
                <w:sz w:val="16"/>
                <w:u w:val="dotted" w:color="929292"/>
              </w:rPr>
              <w:t> </w:t>
            </w:r>
            <w:r>
              <w:rPr>
                <w:sz w:val="16"/>
                <w:u w:val="dotted" w:color="929292"/>
              </w:rPr>
              <w:tab/>
            </w:r>
          </w:p>
        </w:tc>
      </w:tr>
      <w:tr>
        <w:trPr>
          <w:trHeight w:val="720" w:hRule="exact"/>
        </w:trPr>
        <w:tc>
          <w:tcPr>
            <w:tcW w:w="2378" w:type="dxa"/>
            <w:tcBorders>
              <w:left w:val="nil"/>
              <w:right w:val="single" w:sz="4" w:space="0" w:color="929292"/>
            </w:tcBorders>
          </w:tcPr>
          <w:p>
            <w:pPr>
              <w:pStyle w:val="TableParagraph"/>
              <w:numPr>
                <w:ilvl w:val="0"/>
                <w:numId w:val="70"/>
              </w:numPr>
              <w:tabs>
                <w:tab w:pos="348" w:val="left" w:leader="none"/>
              </w:tabs>
              <w:spacing w:line="309" w:lineRule="auto" w:before="56" w:after="0"/>
              <w:ind w:left="108" w:right="310" w:firstLine="0"/>
              <w:jc w:val="left"/>
              <w:rPr>
                <w:sz w:val="16"/>
              </w:rPr>
            </w:pPr>
            <w:r>
              <w:rPr>
                <w:sz w:val="16"/>
              </w:rPr>
              <w:t>Administrativa (cambios en métodos de</w:t>
            </w:r>
            <w:r>
              <w:rPr>
                <w:spacing w:val="11"/>
                <w:sz w:val="16"/>
              </w:rPr>
              <w:t> </w:t>
            </w:r>
            <w:r>
              <w:rPr>
                <w:sz w:val="16"/>
              </w:rPr>
              <w:t>actuar)</w:t>
            </w:r>
          </w:p>
          <w:p>
            <w:pPr>
              <w:pStyle w:val="TableParagraph"/>
              <w:tabs>
                <w:tab w:pos="2363" w:val="left" w:leader="none"/>
              </w:tabs>
              <w:spacing w:before="4"/>
              <w:ind w:left="35"/>
              <w:rPr>
                <w:sz w:val="16"/>
              </w:rPr>
            </w:pPr>
            <w:r>
              <w:rPr>
                <w:w w:val="100"/>
                <w:sz w:val="16"/>
                <w:u w:val="dotted" w:color="929292"/>
              </w:rPr>
              <w:t> </w:t>
            </w:r>
            <w:r>
              <w:rPr>
                <w:sz w:val="16"/>
                <w:u w:val="dotted" w:color="929292"/>
              </w:rPr>
              <w:tab/>
            </w:r>
          </w:p>
        </w:tc>
        <w:tc>
          <w:tcPr>
            <w:tcW w:w="3596" w:type="dxa"/>
            <w:tcBorders>
              <w:left w:val="single" w:sz="4" w:space="0" w:color="929292"/>
              <w:right w:val="single" w:sz="4" w:space="0" w:color="929292"/>
            </w:tcBorders>
          </w:tcPr>
          <w:p>
            <w:pPr>
              <w:pStyle w:val="TableParagraph"/>
              <w:numPr>
                <w:ilvl w:val="0"/>
                <w:numId w:val="71"/>
              </w:numPr>
              <w:tabs>
                <w:tab w:pos="344" w:val="left" w:leader="none"/>
              </w:tabs>
              <w:spacing w:line="309" w:lineRule="auto" w:before="56" w:after="0"/>
              <w:ind w:left="103" w:right="721" w:firstLine="0"/>
              <w:jc w:val="left"/>
              <w:rPr>
                <w:sz w:val="16"/>
              </w:rPr>
            </w:pPr>
            <w:r>
              <w:rPr>
                <w:sz w:val="16"/>
              </w:rPr>
              <w:t>Rendición de cuentas (medición de resultados sobre planes, programas</w:t>
            </w:r>
            <w:r>
              <w:rPr>
                <w:spacing w:val="22"/>
                <w:sz w:val="16"/>
              </w:rPr>
              <w:t> </w:t>
            </w:r>
            <w:r>
              <w:rPr>
                <w:sz w:val="16"/>
              </w:rPr>
              <w:t>y</w:t>
            </w:r>
          </w:p>
          <w:p>
            <w:pPr>
              <w:pStyle w:val="TableParagraph"/>
              <w:tabs>
                <w:tab w:pos="3575" w:val="left" w:leader="none"/>
              </w:tabs>
              <w:spacing w:before="4"/>
              <w:ind w:left="24"/>
              <w:rPr>
                <w:sz w:val="16"/>
              </w:rPr>
            </w:pPr>
            <w:r>
              <w:rPr>
                <w:w w:val="100"/>
                <w:sz w:val="16"/>
                <w:u w:val="dotted" w:color="929292"/>
              </w:rPr>
              <w:t> </w:t>
            </w:r>
            <w:r>
              <w:rPr>
                <w:spacing w:val="-11"/>
                <w:sz w:val="16"/>
                <w:u w:val="dotted" w:color="929292"/>
              </w:rPr>
              <w:t> </w:t>
            </w:r>
            <w:r>
              <w:rPr>
                <w:sz w:val="16"/>
                <w:u w:val="dotted" w:color="929292"/>
              </w:rPr>
              <w:t>proyectos). Recursos humanos</w:t>
            </w:r>
            <w:r>
              <w:rPr>
                <w:spacing w:val="19"/>
                <w:sz w:val="16"/>
                <w:u w:val="dotted" w:color="929292"/>
              </w:rPr>
              <w:t> </w:t>
            </w:r>
            <w:r>
              <w:rPr>
                <w:sz w:val="16"/>
                <w:u w:val="dotted" w:color="929292"/>
              </w:rPr>
              <w:t>capaces</w:t>
              <w:tab/>
            </w:r>
          </w:p>
        </w:tc>
        <w:tc>
          <w:tcPr>
            <w:tcW w:w="1701" w:type="dxa"/>
            <w:tcBorders>
              <w:left w:val="single" w:sz="4" w:space="0" w:color="929292"/>
              <w:right w:val="nil"/>
            </w:tcBorders>
          </w:tcPr>
          <w:p>
            <w:pPr>
              <w:pStyle w:val="TableParagraph"/>
              <w:numPr>
                <w:ilvl w:val="0"/>
                <w:numId w:val="72"/>
              </w:numPr>
              <w:tabs>
                <w:tab w:pos="343" w:val="left" w:leader="none"/>
              </w:tabs>
              <w:spacing w:line="309" w:lineRule="auto" w:before="56" w:after="0"/>
              <w:ind w:left="102" w:right="417" w:firstLine="0"/>
              <w:jc w:val="left"/>
              <w:rPr>
                <w:sz w:val="16"/>
              </w:rPr>
            </w:pPr>
            <w:r>
              <w:rPr>
                <w:sz w:val="16"/>
              </w:rPr>
              <w:t>Participación ciudadana</w:t>
            </w:r>
          </w:p>
          <w:p>
            <w:pPr>
              <w:pStyle w:val="TableParagraph"/>
              <w:tabs>
                <w:tab w:pos="1676" w:val="left" w:leader="none"/>
              </w:tabs>
              <w:spacing w:before="4"/>
              <w:ind w:left="24"/>
              <w:rPr>
                <w:sz w:val="16"/>
              </w:rPr>
            </w:pPr>
            <w:r>
              <w:rPr>
                <w:w w:val="100"/>
                <w:sz w:val="16"/>
                <w:u w:val="dotted" w:color="929292"/>
              </w:rPr>
              <w:t> </w:t>
            </w:r>
            <w:r>
              <w:rPr>
                <w:sz w:val="16"/>
                <w:u w:val="dotted" w:color="929292"/>
              </w:rPr>
              <w:tab/>
            </w:r>
          </w:p>
        </w:tc>
      </w:tr>
      <w:tr>
        <w:trPr>
          <w:trHeight w:val="480" w:hRule="exact"/>
        </w:trPr>
        <w:tc>
          <w:tcPr>
            <w:tcW w:w="2378" w:type="dxa"/>
            <w:tcBorders>
              <w:left w:val="nil"/>
              <w:bottom w:val="nil"/>
              <w:right w:val="single" w:sz="4" w:space="0" w:color="929292"/>
            </w:tcBorders>
          </w:tcPr>
          <w:p>
            <w:pPr>
              <w:pStyle w:val="TableParagraph"/>
              <w:numPr>
                <w:ilvl w:val="0"/>
                <w:numId w:val="73"/>
              </w:numPr>
              <w:tabs>
                <w:tab w:pos="348" w:val="left" w:leader="none"/>
              </w:tabs>
              <w:spacing w:line="240" w:lineRule="auto" w:before="56" w:after="0"/>
              <w:ind w:left="348" w:right="0" w:hanging="240"/>
              <w:jc w:val="left"/>
              <w:rPr>
                <w:sz w:val="16"/>
              </w:rPr>
            </w:pPr>
            <w:r>
              <w:rPr>
                <w:sz w:val="16"/>
              </w:rPr>
              <w:t>Política</w:t>
            </w:r>
            <w:r>
              <w:rPr>
                <w:spacing w:val="2"/>
                <w:sz w:val="16"/>
              </w:rPr>
              <w:t> </w:t>
            </w:r>
            <w:r>
              <w:rPr>
                <w:sz w:val="16"/>
              </w:rPr>
              <w:t>(democracia</w:t>
            </w:r>
          </w:p>
          <w:p>
            <w:pPr>
              <w:pStyle w:val="TableParagraph"/>
              <w:tabs>
                <w:tab w:pos="2363" w:val="left" w:leader="none"/>
              </w:tabs>
              <w:spacing w:before="54"/>
              <w:ind w:left="35"/>
              <w:rPr>
                <w:sz w:val="16"/>
              </w:rPr>
            </w:pPr>
            <w:r>
              <w:rPr>
                <w:w w:val="100"/>
                <w:sz w:val="16"/>
                <w:u w:val="dotted" w:color="929292"/>
              </w:rPr>
              <w:t> </w:t>
            </w:r>
            <w:r>
              <w:rPr>
                <w:spacing w:val="-16"/>
                <w:sz w:val="16"/>
                <w:u w:val="dotted" w:color="929292"/>
              </w:rPr>
              <w:t> </w:t>
            </w:r>
            <w:r>
              <w:rPr>
                <w:sz w:val="16"/>
                <w:u w:val="dotted" w:color="929292"/>
              </w:rPr>
              <w:t>electoral)</w:t>
              <w:tab/>
            </w:r>
          </w:p>
        </w:tc>
        <w:tc>
          <w:tcPr>
            <w:tcW w:w="3596" w:type="dxa"/>
            <w:tcBorders>
              <w:left w:val="single" w:sz="4" w:space="0" w:color="929292"/>
              <w:right w:val="single" w:sz="4" w:space="0" w:color="929292"/>
            </w:tcBorders>
          </w:tcPr>
          <w:p>
            <w:pPr>
              <w:pStyle w:val="TableParagraph"/>
              <w:numPr>
                <w:ilvl w:val="0"/>
                <w:numId w:val="74"/>
              </w:numPr>
              <w:tabs>
                <w:tab w:pos="344" w:val="left" w:leader="none"/>
              </w:tabs>
              <w:spacing w:line="240" w:lineRule="auto" w:before="56" w:after="0"/>
              <w:ind w:left="343" w:right="0" w:hanging="240"/>
              <w:jc w:val="left"/>
              <w:rPr>
                <w:sz w:val="16"/>
              </w:rPr>
            </w:pPr>
            <w:r>
              <w:rPr>
                <w:sz w:val="16"/>
              </w:rPr>
              <w:t>Instrumentos y métodos para</w:t>
            </w:r>
            <w:r>
              <w:rPr>
                <w:spacing w:val="26"/>
                <w:sz w:val="16"/>
              </w:rPr>
              <w:t> </w:t>
            </w:r>
            <w:r>
              <w:rPr>
                <w:sz w:val="16"/>
              </w:rPr>
              <w:t>la</w:t>
            </w:r>
          </w:p>
          <w:p>
            <w:pPr>
              <w:pStyle w:val="TableParagraph"/>
              <w:tabs>
                <w:tab w:pos="3575" w:val="left" w:leader="none"/>
              </w:tabs>
              <w:spacing w:before="54"/>
              <w:ind w:left="24"/>
              <w:rPr>
                <w:sz w:val="16"/>
              </w:rPr>
            </w:pPr>
            <w:r>
              <w:rPr>
                <w:w w:val="100"/>
                <w:sz w:val="16"/>
                <w:u w:val="dotted" w:color="929292"/>
              </w:rPr>
              <w:t> </w:t>
            </w:r>
            <w:r>
              <w:rPr>
                <w:spacing w:val="-11"/>
                <w:sz w:val="16"/>
                <w:u w:val="dotted" w:color="929292"/>
              </w:rPr>
              <w:t> </w:t>
            </w:r>
            <w:r>
              <w:rPr>
                <w:sz w:val="16"/>
                <w:u w:val="dotted" w:color="929292"/>
              </w:rPr>
              <w:t>participación e</w:t>
            </w:r>
            <w:r>
              <w:rPr>
                <w:spacing w:val="31"/>
                <w:sz w:val="16"/>
                <w:u w:val="dotted" w:color="929292"/>
              </w:rPr>
              <w:t> </w:t>
            </w:r>
            <w:r>
              <w:rPr>
                <w:sz w:val="16"/>
                <w:u w:val="dotted" w:color="929292"/>
              </w:rPr>
              <w:t>inclusión</w:t>
              <w:tab/>
            </w:r>
          </w:p>
        </w:tc>
        <w:tc>
          <w:tcPr>
            <w:tcW w:w="1701" w:type="dxa"/>
            <w:tcBorders>
              <w:left w:val="single" w:sz="4" w:space="0" w:color="929292"/>
              <w:right w:val="nil"/>
            </w:tcBorders>
          </w:tcPr>
          <w:p>
            <w:pPr>
              <w:pStyle w:val="TableParagraph"/>
              <w:numPr>
                <w:ilvl w:val="0"/>
                <w:numId w:val="75"/>
              </w:numPr>
              <w:tabs>
                <w:tab w:pos="343" w:val="left" w:leader="none"/>
              </w:tabs>
              <w:spacing w:line="240" w:lineRule="auto" w:before="56" w:after="0"/>
              <w:ind w:left="342" w:right="0" w:hanging="240"/>
              <w:jc w:val="left"/>
              <w:rPr>
                <w:sz w:val="16"/>
              </w:rPr>
            </w:pPr>
            <w:r>
              <w:rPr>
                <w:sz w:val="16"/>
              </w:rPr>
              <w:t>Liderazgo</w:t>
            </w:r>
          </w:p>
          <w:p>
            <w:pPr>
              <w:pStyle w:val="TableParagraph"/>
              <w:tabs>
                <w:tab w:pos="1676" w:val="left" w:leader="none"/>
              </w:tabs>
              <w:spacing w:before="54"/>
              <w:ind w:left="24"/>
              <w:rPr>
                <w:sz w:val="16"/>
              </w:rPr>
            </w:pPr>
            <w:r>
              <w:rPr>
                <w:w w:val="100"/>
                <w:sz w:val="16"/>
                <w:u w:val="dotted" w:color="929292"/>
              </w:rPr>
              <w:t> </w:t>
            </w:r>
            <w:r>
              <w:rPr>
                <w:spacing w:val="-11"/>
                <w:sz w:val="16"/>
                <w:u w:val="dotted" w:color="929292"/>
              </w:rPr>
              <w:t> </w:t>
            </w:r>
            <w:r>
              <w:rPr>
                <w:sz w:val="16"/>
                <w:u w:val="dotted" w:color="929292"/>
              </w:rPr>
              <w:t>político</w:t>
            </w:r>
            <w:r>
              <w:rPr>
                <w:spacing w:val="20"/>
                <w:sz w:val="16"/>
                <w:u w:val="dotted" w:color="929292"/>
              </w:rPr>
              <w:t> </w:t>
            </w:r>
            <w:r>
              <w:rPr>
                <w:sz w:val="16"/>
                <w:u w:val="dotted" w:color="929292"/>
              </w:rPr>
              <w:t>local</w:t>
              <w:tab/>
            </w:r>
          </w:p>
        </w:tc>
      </w:tr>
    </w:tbl>
    <w:p>
      <w:pPr>
        <w:pStyle w:val="BodyText"/>
      </w:pPr>
    </w:p>
    <w:p>
      <w:pPr>
        <w:spacing w:before="0"/>
        <w:ind w:left="2125" w:right="1990" w:firstLine="0"/>
        <w:jc w:val="center"/>
        <w:rPr>
          <w:sz w:val="16"/>
        </w:rPr>
      </w:pPr>
      <w:r>
        <w:rPr>
          <w:color w:val="6D6E71"/>
          <w:sz w:val="16"/>
        </w:rPr>
        <w:t>Fuente: Elaboración propia con base en CAF, 2010.</w:t>
      </w:r>
    </w:p>
    <w:p>
      <w:pPr>
        <w:pStyle w:val="BodyText"/>
        <w:spacing w:line="249" w:lineRule="auto" w:before="76"/>
        <w:ind w:left="137" w:right="147" w:firstLine="170"/>
        <w:jc w:val="both"/>
      </w:pPr>
      <w:r>
        <w:rPr/>
        <w:br w:type="column"/>
      </w:r>
      <w:r>
        <w:rPr/>
        <w:t>La participación ciudadana, por su parte, se refiere a la voluntad de los individuos de participar en el ámbito público para influir en la concepción y ejecución de las políticas públicas. La participación puede ser mediante mecanismos formales o informales, mismos</w:t>
      </w:r>
      <w:r>
        <w:rPr>
          <w:spacing w:val="-10"/>
        </w:rPr>
        <w:t> </w:t>
      </w:r>
      <w:r>
        <w:rPr/>
        <w:t>que</w:t>
      </w:r>
      <w:r>
        <w:rPr>
          <w:spacing w:val="-10"/>
        </w:rPr>
        <w:t> </w:t>
      </w:r>
      <w:r>
        <w:rPr/>
        <w:t>se</w:t>
      </w:r>
      <w:r>
        <w:rPr>
          <w:spacing w:val="-10"/>
        </w:rPr>
        <w:t> </w:t>
      </w:r>
      <w:r>
        <w:rPr/>
        <w:t>ven</w:t>
      </w:r>
      <w:r>
        <w:rPr>
          <w:spacing w:val="-10"/>
        </w:rPr>
        <w:t> </w:t>
      </w:r>
      <w:r>
        <w:rPr/>
        <w:t>influidos</w:t>
      </w:r>
      <w:r>
        <w:rPr>
          <w:spacing w:val="-10"/>
        </w:rPr>
        <w:t> </w:t>
      </w:r>
      <w:r>
        <w:rPr/>
        <w:t>por</w:t>
      </w:r>
      <w:r>
        <w:rPr>
          <w:spacing w:val="-10"/>
        </w:rPr>
        <w:t> </w:t>
      </w:r>
      <w:r>
        <w:rPr/>
        <w:t>la</w:t>
      </w:r>
      <w:r>
        <w:rPr>
          <w:spacing w:val="-10"/>
        </w:rPr>
        <w:t> </w:t>
      </w:r>
      <w:r>
        <w:rPr/>
        <w:t>existencia</w:t>
      </w:r>
      <w:r>
        <w:rPr>
          <w:spacing w:val="-10"/>
        </w:rPr>
        <w:t> </w:t>
      </w:r>
      <w:r>
        <w:rPr/>
        <w:t>o</w:t>
      </w:r>
      <w:r>
        <w:rPr>
          <w:spacing w:val="-10"/>
        </w:rPr>
        <w:t> </w:t>
      </w:r>
      <w:r>
        <w:rPr/>
        <w:t>no</w:t>
      </w:r>
      <w:r>
        <w:rPr>
          <w:spacing w:val="-10"/>
        </w:rPr>
        <w:t> </w:t>
      </w:r>
      <w:r>
        <w:rPr/>
        <w:t>de</w:t>
      </w:r>
      <w:r>
        <w:rPr>
          <w:spacing w:val="-10"/>
        </w:rPr>
        <w:t> </w:t>
      </w:r>
      <w:r>
        <w:rPr/>
        <w:t>instituciones</w:t>
      </w:r>
      <w:r>
        <w:rPr>
          <w:spacing w:val="-10"/>
        </w:rPr>
        <w:t> </w:t>
      </w:r>
      <w:r>
        <w:rPr/>
        <w:t>locales</w:t>
      </w:r>
      <w:r>
        <w:rPr>
          <w:spacing w:val="-10"/>
        </w:rPr>
        <w:t> </w:t>
      </w:r>
      <w:r>
        <w:rPr/>
        <w:t>que</w:t>
      </w:r>
      <w:r>
        <w:rPr>
          <w:spacing w:val="-10"/>
        </w:rPr>
        <w:t> </w:t>
      </w:r>
      <w:r>
        <w:rPr/>
        <w:t>fomenten este tipo de práctica</w:t>
      </w:r>
      <w:r>
        <w:rPr>
          <w:spacing w:val="54"/>
        </w:rPr>
        <w:t> </w:t>
      </w:r>
      <w:r>
        <w:rPr/>
        <w:t>ciudadana.</w:t>
      </w:r>
    </w:p>
    <w:p>
      <w:pPr>
        <w:pStyle w:val="BodyText"/>
        <w:spacing w:before="11"/>
      </w:pPr>
    </w:p>
    <w:p>
      <w:pPr>
        <w:pStyle w:val="BodyText"/>
        <w:spacing w:line="249" w:lineRule="auto"/>
        <w:ind w:left="137" w:right="147" w:firstLine="170"/>
        <w:jc w:val="both"/>
      </w:pPr>
      <w:r>
        <w:rPr/>
        <w:t>La situación local de la gestión pública, depende de la forma en que se relacionan los pesos y contrapesos entre capital social, participación ciudadana y capacidad de las instituciones. Para lo cual será necesario otro factor, “el liderazgo político es un elemento clave en el proceso de identificación e innovación de políticas públicas para resolver los problemas de la comunidad. Diversos autores (entre ellos, Grindle, 2008   y Tendler, 1997) han identificado que la capacidad de liderazgo de los alcaldes para movilizar recursos sociales, técnicos, políticos y financieros es un factor central para explicar cambios en los patrones de efectividad de la gestión local en contextos de instituciones débiles” (CAF, 2010:</w:t>
      </w:r>
      <w:r>
        <w:rPr>
          <w:spacing w:val="6"/>
        </w:rPr>
        <w:t> </w:t>
      </w:r>
      <w:r>
        <w:rPr/>
        <w:t>122).</w:t>
      </w:r>
    </w:p>
    <w:p>
      <w:pPr>
        <w:pStyle w:val="BodyText"/>
        <w:spacing w:before="11"/>
      </w:pPr>
    </w:p>
    <w:p>
      <w:pPr>
        <w:pStyle w:val="BodyText"/>
        <w:spacing w:line="249" w:lineRule="auto"/>
        <w:ind w:left="137" w:right="148" w:firstLine="170"/>
        <w:jc w:val="both"/>
      </w:pPr>
      <w:r>
        <w:rPr/>
        <w:t>En la práctica, los factores de la gestión descentralizada descritos según las proporciones de acoplamiento, dan lugar a diversos patrones de gestión urbana. En la experiencia de las ciudades latinoamericanas, se observa que inicialmente avanzó la descentralización administrativa y años posteriores se dio entrada de la sociedad civil en la definición de los asuntos públicos  urbanos.</w:t>
      </w:r>
    </w:p>
    <w:p>
      <w:pPr>
        <w:pStyle w:val="BodyText"/>
        <w:spacing w:before="11"/>
      </w:pPr>
    </w:p>
    <w:p>
      <w:pPr>
        <w:pStyle w:val="BodyText"/>
        <w:spacing w:line="249" w:lineRule="auto"/>
        <w:ind w:left="136" w:right="148" w:firstLine="170"/>
        <w:jc w:val="both"/>
      </w:pPr>
      <w:r>
        <w:rPr/>
        <w:t>Siguiendo los factores arriba descritos, la CAF examina las dimensiones -gestión local,</w:t>
      </w:r>
      <w:r>
        <w:rPr>
          <w:spacing w:val="-19"/>
        </w:rPr>
        <w:t> </w:t>
      </w:r>
      <w:r>
        <w:rPr/>
        <w:t>capital</w:t>
      </w:r>
      <w:r>
        <w:rPr>
          <w:spacing w:val="-20"/>
        </w:rPr>
        <w:t> </w:t>
      </w:r>
      <w:r>
        <w:rPr/>
        <w:t>social,</w:t>
      </w:r>
      <w:r>
        <w:rPr>
          <w:spacing w:val="-20"/>
        </w:rPr>
        <w:t> </w:t>
      </w:r>
      <w:r>
        <w:rPr/>
        <w:t>liderazgo</w:t>
      </w:r>
      <w:r>
        <w:rPr>
          <w:spacing w:val="-19"/>
        </w:rPr>
        <w:t> </w:t>
      </w:r>
      <w:r>
        <w:rPr/>
        <w:t>político,</w:t>
      </w:r>
      <w:r>
        <w:rPr>
          <w:spacing w:val="-19"/>
        </w:rPr>
        <w:t> </w:t>
      </w:r>
      <w:r>
        <w:rPr/>
        <w:t>capacidad</w:t>
      </w:r>
      <w:r>
        <w:rPr>
          <w:spacing w:val="-20"/>
        </w:rPr>
        <w:t> </w:t>
      </w:r>
      <w:r>
        <w:rPr/>
        <w:t>institucional</w:t>
      </w:r>
      <w:r>
        <w:rPr>
          <w:spacing w:val="-19"/>
        </w:rPr>
        <w:t> </w:t>
      </w:r>
      <w:r>
        <w:rPr/>
        <w:t>y</w:t>
      </w:r>
      <w:r>
        <w:rPr>
          <w:spacing w:val="-20"/>
        </w:rPr>
        <w:t> </w:t>
      </w:r>
      <w:r>
        <w:rPr/>
        <w:t>participación</w:t>
      </w:r>
      <w:r>
        <w:rPr>
          <w:spacing w:val="-19"/>
        </w:rPr>
        <w:t> </w:t>
      </w:r>
      <w:r>
        <w:rPr/>
        <w:t>ciudadana-, mediante una encuesta a 23 ciudades latinoamericanas en 2009</w:t>
      </w:r>
      <w:r>
        <w:rPr>
          <w:position w:val="7"/>
          <w:sz w:val="11"/>
        </w:rPr>
        <w:t>41</w:t>
      </w:r>
      <w:r>
        <w:rPr/>
        <w:t>. Los resultados generales encontrados son que las ciudades examinadas: no poseen altos niveles de desempeño en las cinco dimensiones –por debajo de ocho y cercano a dos puntos-, todas muestran bajos niveles de capital social en comparación con la evaluación subjetiva de liderazgo, capacidad institucional y participación ciudadana; se identifica una</w:t>
      </w:r>
      <w:r>
        <w:rPr>
          <w:spacing w:val="-11"/>
        </w:rPr>
        <w:t> </w:t>
      </w:r>
      <w:r>
        <w:rPr/>
        <w:t>asociación</w:t>
      </w:r>
      <w:r>
        <w:rPr>
          <w:spacing w:val="-11"/>
        </w:rPr>
        <w:t> </w:t>
      </w:r>
      <w:r>
        <w:rPr/>
        <w:t>casi</w:t>
      </w:r>
      <w:r>
        <w:rPr>
          <w:spacing w:val="-11"/>
        </w:rPr>
        <w:t> </w:t>
      </w:r>
      <w:r>
        <w:rPr/>
        <w:t>perfecta</w:t>
      </w:r>
      <w:r>
        <w:rPr>
          <w:spacing w:val="-11"/>
        </w:rPr>
        <w:t> </w:t>
      </w:r>
      <w:r>
        <w:rPr/>
        <w:t>entre</w:t>
      </w:r>
      <w:r>
        <w:rPr>
          <w:spacing w:val="-11"/>
        </w:rPr>
        <w:t> </w:t>
      </w:r>
      <w:r>
        <w:rPr/>
        <w:t>capacidades</w:t>
      </w:r>
      <w:r>
        <w:rPr>
          <w:spacing w:val="-11"/>
        </w:rPr>
        <w:t> </w:t>
      </w:r>
      <w:r>
        <w:rPr/>
        <w:t>y</w:t>
      </w:r>
      <w:r>
        <w:rPr>
          <w:spacing w:val="-11"/>
        </w:rPr>
        <w:t> </w:t>
      </w:r>
      <w:r>
        <w:rPr/>
        <w:t>liderazgo</w:t>
      </w:r>
      <w:r>
        <w:rPr>
          <w:spacing w:val="-11"/>
        </w:rPr>
        <w:t> </w:t>
      </w:r>
      <w:r>
        <w:rPr/>
        <w:t>y;</w:t>
      </w:r>
      <w:r>
        <w:rPr>
          <w:spacing w:val="-11"/>
        </w:rPr>
        <w:t> </w:t>
      </w:r>
      <w:r>
        <w:rPr/>
        <w:t>todas</w:t>
      </w:r>
      <w:r>
        <w:rPr>
          <w:spacing w:val="-12"/>
        </w:rPr>
        <w:t> </w:t>
      </w:r>
      <w:r>
        <w:rPr/>
        <w:t>ellas</w:t>
      </w:r>
      <w:r>
        <w:rPr>
          <w:spacing w:val="-11"/>
        </w:rPr>
        <w:t> </w:t>
      </w:r>
      <w:r>
        <w:rPr/>
        <w:t>muestran</w:t>
      </w:r>
      <w:r>
        <w:rPr>
          <w:spacing w:val="-11"/>
        </w:rPr>
        <w:t> </w:t>
      </w:r>
      <w:r>
        <w:rPr/>
        <w:t>gran valoración</w:t>
      </w:r>
      <w:r>
        <w:rPr>
          <w:spacing w:val="-6"/>
        </w:rPr>
        <w:t> </w:t>
      </w:r>
      <w:r>
        <w:rPr/>
        <w:t>en</w:t>
      </w:r>
      <w:r>
        <w:rPr>
          <w:spacing w:val="-5"/>
        </w:rPr>
        <w:t> </w:t>
      </w:r>
      <w:r>
        <w:rPr/>
        <w:t>la</w:t>
      </w:r>
      <w:r>
        <w:rPr>
          <w:spacing w:val="-5"/>
        </w:rPr>
        <w:t> </w:t>
      </w:r>
      <w:r>
        <w:rPr/>
        <w:t>intensidad</w:t>
      </w:r>
      <w:r>
        <w:rPr>
          <w:spacing w:val="-5"/>
        </w:rPr>
        <w:t> </w:t>
      </w:r>
      <w:r>
        <w:rPr/>
        <w:t>y</w:t>
      </w:r>
      <w:r>
        <w:rPr>
          <w:spacing w:val="-5"/>
        </w:rPr>
        <w:t> </w:t>
      </w:r>
      <w:r>
        <w:rPr/>
        <w:t>la</w:t>
      </w:r>
      <w:r>
        <w:rPr>
          <w:spacing w:val="-5"/>
        </w:rPr>
        <w:t> </w:t>
      </w:r>
      <w:r>
        <w:rPr/>
        <w:t>efectividad</w:t>
      </w:r>
      <w:r>
        <w:rPr>
          <w:spacing w:val="-5"/>
        </w:rPr>
        <w:t> </w:t>
      </w:r>
      <w:r>
        <w:rPr/>
        <w:t>de</w:t>
      </w:r>
      <w:r>
        <w:rPr>
          <w:spacing w:val="-5"/>
        </w:rPr>
        <w:t> </w:t>
      </w:r>
      <w:r>
        <w:rPr/>
        <w:t>la</w:t>
      </w:r>
      <w:r>
        <w:rPr>
          <w:spacing w:val="-5"/>
        </w:rPr>
        <w:t> </w:t>
      </w:r>
      <w:r>
        <w:rPr/>
        <w:t>participación.</w:t>
      </w:r>
    </w:p>
    <w:p>
      <w:pPr>
        <w:pStyle w:val="BodyText"/>
        <w:spacing w:before="8"/>
        <w:rPr>
          <w:sz w:val="9"/>
        </w:rPr>
      </w:pPr>
    </w:p>
    <w:p>
      <w:pPr>
        <w:pStyle w:val="BodyText"/>
        <w:spacing w:line="20" w:lineRule="exact"/>
        <w:ind w:left="155"/>
        <w:rPr>
          <w:sz w:val="2"/>
        </w:rPr>
      </w:pPr>
      <w:r>
        <w:rPr>
          <w:sz w:val="2"/>
        </w:rPr>
        <w:pict>
          <v:group style="width:386.55pt;height:1pt;mso-position-horizontal-relative:char;mso-position-vertical-relative:line" coordorigin="0,0" coordsize="7731,20">
            <v:line style="position:absolute" from="10,10" to="7720,10" stroked="true" strokeweight="1pt" strokecolor="#bcbec0"/>
          </v:group>
        </w:pict>
      </w:r>
      <w:r>
        <w:rPr>
          <w:sz w:val="2"/>
        </w:rPr>
      </w:r>
    </w:p>
    <w:p>
      <w:pPr>
        <w:spacing w:line="357" w:lineRule="auto" w:before="166"/>
        <w:ind w:left="220" w:right="119" w:hanging="57"/>
        <w:jc w:val="both"/>
        <w:rPr>
          <w:sz w:val="14"/>
        </w:rPr>
      </w:pPr>
      <w:r>
        <w:rPr>
          <w:color w:val="6D6E71"/>
          <w:position w:val="5"/>
          <w:sz w:val="8"/>
        </w:rPr>
        <w:t>41</w:t>
      </w:r>
      <w:r>
        <w:rPr>
          <w:color w:val="6D6E71"/>
          <w:sz w:val="14"/>
        </w:rPr>
        <w:t>La encuesta tiene la siguiente estructura analítica: se mide la gestión local en función de los niveles de satisfacción de los ciudadanos con la calidad de vida, transporte, vivienda y seguridad; es </w:t>
      </w:r>
      <w:r>
        <w:rPr>
          <w:color w:val="6D6E71"/>
          <w:spacing w:val="-2"/>
          <w:sz w:val="14"/>
        </w:rPr>
        <w:t>decir, </w:t>
      </w:r>
      <w:r>
        <w:rPr>
          <w:color w:val="6D6E71"/>
          <w:sz w:val="14"/>
        </w:rPr>
        <w:t>satisfacción con los servicios públicos de la ciudad. El capital social, entendido como las expectativas que moldean el comportamiento cooperativo de los individuos   en un contexto social, se mide través de las siguientes preguntas: ¿qué tanta confianza existe entre las personas en su comunidad</w:t>
      </w:r>
      <w:r>
        <w:rPr>
          <w:color w:val="6D6E71"/>
          <w:spacing w:val="-4"/>
          <w:sz w:val="14"/>
        </w:rPr>
        <w:t> </w:t>
      </w:r>
      <w:r>
        <w:rPr>
          <w:color w:val="6D6E71"/>
          <w:sz w:val="14"/>
        </w:rPr>
        <w:t>a</w:t>
      </w:r>
      <w:r>
        <w:rPr>
          <w:color w:val="6D6E71"/>
          <w:spacing w:val="-4"/>
          <w:sz w:val="14"/>
        </w:rPr>
        <w:t> </w:t>
      </w:r>
      <w:r>
        <w:rPr>
          <w:color w:val="6D6E71"/>
          <w:sz w:val="14"/>
        </w:rPr>
        <w:t>la</w:t>
      </w:r>
      <w:r>
        <w:rPr>
          <w:color w:val="6D6E71"/>
          <w:spacing w:val="-4"/>
          <w:sz w:val="14"/>
        </w:rPr>
        <w:t> </w:t>
      </w:r>
      <w:r>
        <w:rPr>
          <w:color w:val="6D6E71"/>
          <w:sz w:val="14"/>
        </w:rPr>
        <w:t>hora</w:t>
      </w:r>
      <w:r>
        <w:rPr>
          <w:color w:val="6D6E71"/>
          <w:spacing w:val="-4"/>
          <w:sz w:val="14"/>
        </w:rPr>
        <w:t> </w:t>
      </w:r>
      <w:r>
        <w:rPr>
          <w:color w:val="6D6E71"/>
          <w:sz w:val="14"/>
        </w:rPr>
        <w:t>de</w:t>
      </w:r>
      <w:r>
        <w:rPr>
          <w:color w:val="6D6E71"/>
          <w:spacing w:val="-4"/>
          <w:sz w:val="14"/>
        </w:rPr>
        <w:t> </w:t>
      </w:r>
      <w:r>
        <w:rPr>
          <w:color w:val="6D6E71"/>
          <w:sz w:val="14"/>
        </w:rPr>
        <w:t>relacionarse</w:t>
      </w:r>
      <w:r>
        <w:rPr>
          <w:color w:val="6D6E71"/>
          <w:spacing w:val="-4"/>
          <w:sz w:val="14"/>
        </w:rPr>
        <w:t> </w:t>
      </w:r>
      <w:r>
        <w:rPr>
          <w:color w:val="6D6E71"/>
          <w:sz w:val="14"/>
        </w:rPr>
        <w:t>para</w:t>
      </w:r>
      <w:r>
        <w:rPr>
          <w:color w:val="6D6E71"/>
          <w:spacing w:val="-4"/>
          <w:sz w:val="14"/>
        </w:rPr>
        <w:t> </w:t>
      </w:r>
      <w:r>
        <w:rPr>
          <w:color w:val="6D6E71"/>
          <w:sz w:val="14"/>
        </w:rPr>
        <w:t>resolver</w:t>
      </w:r>
      <w:r>
        <w:rPr>
          <w:color w:val="6D6E71"/>
          <w:spacing w:val="-4"/>
          <w:sz w:val="14"/>
        </w:rPr>
        <w:t> </w:t>
      </w:r>
      <w:r>
        <w:rPr>
          <w:color w:val="6D6E71"/>
          <w:sz w:val="14"/>
        </w:rPr>
        <w:t>sus</w:t>
      </w:r>
      <w:r>
        <w:rPr>
          <w:color w:val="6D6E71"/>
          <w:spacing w:val="-4"/>
          <w:sz w:val="14"/>
        </w:rPr>
        <w:t> </w:t>
      </w:r>
      <w:r>
        <w:rPr>
          <w:color w:val="6D6E71"/>
          <w:sz w:val="14"/>
        </w:rPr>
        <w:t>conflictos?</w:t>
      </w:r>
      <w:r>
        <w:rPr>
          <w:color w:val="6D6E71"/>
          <w:spacing w:val="-4"/>
          <w:sz w:val="14"/>
        </w:rPr>
        <w:t> </w:t>
      </w:r>
      <w:r>
        <w:rPr>
          <w:color w:val="6D6E71"/>
          <w:sz w:val="14"/>
        </w:rPr>
        <w:t>y</w:t>
      </w:r>
      <w:r>
        <w:rPr>
          <w:color w:val="6D6E71"/>
          <w:spacing w:val="-4"/>
          <w:sz w:val="14"/>
        </w:rPr>
        <w:t> </w:t>
      </w:r>
      <w:r>
        <w:rPr>
          <w:color w:val="6D6E71"/>
          <w:sz w:val="14"/>
        </w:rPr>
        <w:t>¿qué</w:t>
      </w:r>
      <w:r>
        <w:rPr>
          <w:color w:val="6D6E71"/>
          <w:spacing w:val="-4"/>
          <w:sz w:val="14"/>
        </w:rPr>
        <w:t> </w:t>
      </w:r>
      <w:r>
        <w:rPr>
          <w:color w:val="6D6E71"/>
          <w:sz w:val="14"/>
        </w:rPr>
        <w:t>tanto</w:t>
      </w:r>
      <w:r>
        <w:rPr>
          <w:color w:val="6D6E71"/>
          <w:spacing w:val="-4"/>
          <w:sz w:val="14"/>
        </w:rPr>
        <w:t> </w:t>
      </w:r>
      <w:r>
        <w:rPr>
          <w:color w:val="6D6E71"/>
          <w:sz w:val="14"/>
        </w:rPr>
        <w:t>han</w:t>
      </w:r>
      <w:r>
        <w:rPr>
          <w:color w:val="6D6E71"/>
          <w:spacing w:val="-4"/>
          <w:sz w:val="14"/>
        </w:rPr>
        <w:t> </w:t>
      </w:r>
      <w:r>
        <w:rPr>
          <w:color w:val="6D6E71"/>
          <w:sz w:val="14"/>
        </w:rPr>
        <w:t>cambiado</w:t>
      </w:r>
      <w:r>
        <w:rPr>
          <w:color w:val="6D6E71"/>
          <w:spacing w:val="-4"/>
          <w:sz w:val="14"/>
        </w:rPr>
        <w:t> </w:t>
      </w:r>
      <w:r>
        <w:rPr>
          <w:color w:val="6D6E71"/>
          <w:sz w:val="14"/>
        </w:rPr>
        <w:t>los</w:t>
      </w:r>
      <w:r>
        <w:rPr>
          <w:color w:val="6D6E71"/>
          <w:spacing w:val="-4"/>
          <w:sz w:val="14"/>
        </w:rPr>
        <w:t> </w:t>
      </w:r>
      <w:r>
        <w:rPr>
          <w:color w:val="6D6E71"/>
          <w:sz w:val="14"/>
        </w:rPr>
        <w:t>niveles</w:t>
      </w:r>
      <w:r>
        <w:rPr>
          <w:color w:val="6D6E71"/>
          <w:spacing w:val="-4"/>
          <w:sz w:val="14"/>
        </w:rPr>
        <w:t> </w:t>
      </w:r>
      <w:r>
        <w:rPr>
          <w:color w:val="6D6E71"/>
          <w:sz w:val="14"/>
        </w:rPr>
        <w:t>de</w:t>
      </w:r>
      <w:r>
        <w:rPr>
          <w:color w:val="6D6E71"/>
          <w:spacing w:val="-4"/>
          <w:sz w:val="14"/>
        </w:rPr>
        <w:t> </w:t>
      </w:r>
      <w:r>
        <w:rPr>
          <w:color w:val="6D6E71"/>
          <w:sz w:val="14"/>
        </w:rPr>
        <w:t>confianza</w:t>
      </w:r>
      <w:r>
        <w:rPr>
          <w:color w:val="6D6E71"/>
          <w:spacing w:val="-4"/>
          <w:sz w:val="14"/>
        </w:rPr>
        <w:t> </w:t>
      </w:r>
      <w:r>
        <w:rPr>
          <w:color w:val="6D6E71"/>
          <w:sz w:val="14"/>
        </w:rPr>
        <w:t>entre los miembros de su comunidad en los últimos años? El liderazgo político, se mide en función de la percepción de cercanía del gobierno local a los ciudadanos, es </w:t>
      </w:r>
      <w:r>
        <w:rPr>
          <w:color w:val="6D6E71"/>
          <w:spacing w:val="-2"/>
          <w:sz w:val="14"/>
        </w:rPr>
        <w:t>decir, </w:t>
      </w:r>
      <w:r>
        <w:rPr>
          <w:color w:val="6D6E71"/>
          <w:sz w:val="14"/>
        </w:rPr>
        <w:t>en función de la accesibilidad. La capacidad institucional, es vista como una función de la percepción ciudadana sobre los niveles de eficiencia del gobierno local. La participación ciudadana, se mide con base en la intensidad con la que el individuo interactúa por medios no electorales para influir en las decisiones</w:t>
      </w:r>
      <w:r>
        <w:rPr>
          <w:color w:val="6D6E71"/>
          <w:spacing w:val="-22"/>
          <w:sz w:val="14"/>
        </w:rPr>
        <w:t> </w:t>
      </w:r>
      <w:r>
        <w:rPr>
          <w:color w:val="6D6E71"/>
          <w:sz w:val="14"/>
        </w:rPr>
        <w:t>públicas de</w:t>
      </w:r>
      <w:r>
        <w:rPr>
          <w:color w:val="6D6E71"/>
          <w:spacing w:val="-4"/>
          <w:sz w:val="14"/>
        </w:rPr>
        <w:t> </w:t>
      </w:r>
      <w:r>
        <w:rPr>
          <w:color w:val="6D6E71"/>
          <w:sz w:val="14"/>
        </w:rPr>
        <w:t>la</w:t>
      </w:r>
      <w:r>
        <w:rPr>
          <w:color w:val="6D6E71"/>
          <w:spacing w:val="-4"/>
          <w:sz w:val="14"/>
        </w:rPr>
        <w:t> </w:t>
      </w:r>
      <w:r>
        <w:rPr>
          <w:color w:val="6D6E71"/>
          <w:sz w:val="14"/>
        </w:rPr>
        <w:t>localidad</w:t>
      </w:r>
      <w:r>
        <w:rPr>
          <w:color w:val="6D6E71"/>
          <w:spacing w:val="-4"/>
          <w:sz w:val="14"/>
        </w:rPr>
        <w:t> </w:t>
      </w:r>
      <w:r>
        <w:rPr>
          <w:color w:val="6D6E71"/>
          <w:sz w:val="14"/>
        </w:rPr>
        <w:t>y</w:t>
      </w:r>
      <w:r>
        <w:rPr>
          <w:color w:val="6D6E71"/>
          <w:spacing w:val="-4"/>
          <w:sz w:val="14"/>
        </w:rPr>
        <w:t> </w:t>
      </w:r>
      <w:r>
        <w:rPr>
          <w:color w:val="6D6E71"/>
          <w:sz w:val="14"/>
        </w:rPr>
        <w:t>en</w:t>
      </w:r>
      <w:r>
        <w:rPr>
          <w:color w:val="6D6E71"/>
          <w:spacing w:val="-4"/>
          <w:sz w:val="14"/>
        </w:rPr>
        <w:t> </w:t>
      </w:r>
      <w:r>
        <w:rPr>
          <w:color w:val="6D6E71"/>
          <w:sz w:val="14"/>
        </w:rPr>
        <w:t>la</w:t>
      </w:r>
      <w:r>
        <w:rPr>
          <w:color w:val="6D6E71"/>
          <w:spacing w:val="-4"/>
          <w:sz w:val="14"/>
        </w:rPr>
        <w:t> </w:t>
      </w:r>
      <w:r>
        <w:rPr>
          <w:color w:val="6D6E71"/>
          <w:sz w:val="14"/>
        </w:rPr>
        <w:t>calidad</w:t>
      </w:r>
      <w:r>
        <w:rPr>
          <w:color w:val="6D6E71"/>
          <w:spacing w:val="-4"/>
          <w:sz w:val="14"/>
        </w:rPr>
        <w:t> </w:t>
      </w:r>
      <w:r>
        <w:rPr>
          <w:color w:val="6D6E71"/>
          <w:sz w:val="14"/>
        </w:rPr>
        <w:t>percibida</w:t>
      </w:r>
      <w:r>
        <w:rPr>
          <w:color w:val="6D6E71"/>
          <w:spacing w:val="-4"/>
          <w:sz w:val="14"/>
        </w:rPr>
        <w:t> </w:t>
      </w:r>
      <w:r>
        <w:rPr>
          <w:color w:val="6D6E71"/>
          <w:sz w:val="14"/>
        </w:rPr>
        <w:t>de</w:t>
      </w:r>
      <w:r>
        <w:rPr>
          <w:color w:val="6D6E71"/>
          <w:spacing w:val="-4"/>
          <w:sz w:val="14"/>
        </w:rPr>
        <w:t> </w:t>
      </w:r>
      <w:r>
        <w:rPr>
          <w:color w:val="6D6E71"/>
          <w:sz w:val="14"/>
        </w:rPr>
        <w:t>esa</w:t>
      </w:r>
      <w:r>
        <w:rPr>
          <w:color w:val="6D6E71"/>
          <w:spacing w:val="-4"/>
          <w:sz w:val="14"/>
        </w:rPr>
        <w:t> </w:t>
      </w:r>
      <w:r>
        <w:rPr>
          <w:color w:val="6D6E71"/>
          <w:sz w:val="14"/>
        </w:rPr>
        <w:t>participación</w:t>
      </w:r>
      <w:r>
        <w:rPr>
          <w:color w:val="6D6E71"/>
          <w:spacing w:val="-4"/>
          <w:sz w:val="14"/>
        </w:rPr>
        <w:t> </w:t>
      </w:r>
      <w:r>
        <w:rPr>
          <w:color w:val="6D6E71"/>
          <w:sz w:val="14"/>
        </w:rPr>
        <w:t>en</w:t>
      </w:r>
      <w:r>
        <w:rPr>
          <w:color w:val="6D6E71"/>
          <w:spacing w:val="-4"/>
          <w:sz w:val="14"/>
        </w:rPr>
        <w:t> </w:t>
      </w:r>
      <w:r>
        <w:rPr>
          <w:color w:val="6D6E71"/>
          <w:sz w:val="14"/>
        </w:rPr>
        <w:t>cuanto</w:t>
      </w:r>
      <w:r>
        <w:rPr>
          <w:color w:val="6D6E71"/>
          <w:spacing w:val="-4"/>
          <w:sz w:val="14"/>
        </w:rPr>
        <w:t> </w:t>
      </w:r>
      <w:r>
        <w:rPr>
          <w:color w:val="6D6E71"/>
          <w:sz w:val="14"/>
        </w:rPr>
        <w:t>a</w:t>
      </w:r>
      <w:r>
        <w:rPr>
          <w:color w:val="6D6E71"/>
          <w:spacing w:val="-4"/>
          <w:sz w:val="14"/>
        </w:rPr>
        <w:t> </w:t>
      </w:r>
      <w:r>
        <w:rPr>
          <w:color w:val="6D6E71"/>
          <w:sz w:val="14"/>
        </w:rPr>
        <w:t>su</w:t>
      </w:r>
      <w:r>
        <w:rPr>
          <w:color w:val="6D6E71"/>
          <w:spacing w:val="-4"/>
          <w:sz w:val="14"/>
        </w:rPr>
        <w:t> </w:t>
      </w:r>
      <w:r>
        <w:rPr>
          <w:color w:val="6D6E71"/>
          <w:sz w:val="14"/>
        </w:rPr>
        <w:t>efectividad</w:t>
      </w:r>
      <w:r>
        <w:rPr>
          <w:color w:val="6D6E71"/>
          <w:spacing w:val="-4"/>
          <w:sz w:val="14"/>
        </w:rPr>
        <w:t> </w:t>
      </w:r>
      <w:r>
        <w:rPr>
          <w:color w:val="6D6E71"/>
          <w:spacing w:val="-3"/>
          <w:sz w:val="14"/>
        </w:rPr>
        <w:t>(CAF,</w:t>
      </w:r>
      <w:r>
        <w:rPr>
          <w:color w:val="6D6E71"/>
          <w:spacing w:val="-4"/>
          <w:sz w:val="14"/>
        </w:rPr>
        <w:t> </w:t>
      </w:r>
      <w:r>
        <w:rPr>
          <w:color w:val="6D6E71"/>
          <w:sz w:val="14"/>
        </w:rPr>
        <w:t>2010:</w:t>
      </w:r>
      <w:r>
        <w:rPr>
          <w:color w:val="6D6E71"/>
          <w:spacing w:val="-4"/>
          <w:sz w:val="14"/>
        </w:rPr>
        <w:t> </w:t>
      </w:r>
      <w:r>
        <w:rPr>
          <w:color w:val="6D6E71"/>
          <w:sz w:val="14"/>
        </w:rPr>
        <w:t>126).</w:t>
      </w:r>
    </w:p>
    <w:p>
      <w:pPr>
        <w:spacing w:after="0" w:line="357" w:lineRule="auto"/>
        <w:jc w:val="both"/>
        <w:rPr>
          <w:sz w:val="14"/>
        </w:rPr>
        <w:sectPr>
          <w:type w:val="continuous"/>
          <w:pgSz w:w="18830" w:h="12760" w:orient="landscape"/>
          <w:pgMar w:top="1420" w:bottom="280" w:left="720" w:right="700"/>
          <w:cols w:num="2" w:equalWidth="0">
            <w:col w:w="7848" w:space="1556"/>
            <w:col w:w="8006"/>
          </w:cols>
        </w:sectPr>
      </w:pPr>
    </w:p>
    <w:p>
      <w:pPr>
        <w:pStyle w:val="BodyText"/>
        <w:spacing w:before="6"/>
        <w:rPr>
          <w:sz w:val="23"/>
        </w:rPr>
      </w:pPr>
    </w:p>
    <w:p>
      <w:pPr>
        <w:spacing w:after="0"/>
        <w:rPr>
          <w:sz w:val="23"/>
        </w:rPr>
        <w:sectPr>
          <w:footerReference w:type="default" r:id="rId456"/>
          <w:pgSz w:w="18830" w:h="12760" w:orient="landscape"/>
          <w:pgMar w:footer="1036" w:header="522" w:top="820" w:bottom="1220" w:left="720" w:right="720"/>
        </w:sectPr>
      </w:pPr>
    </w:p>
    <w:p>
      <w:pPr>
        <w:pStyle w:val="BodyText"/>
        <w:spacing w:line="249" w:lineRule="auto" w:before="76"/>
        <w:ind w:left="136" w:firstLine="170"/>
        <w:jc w:val="both"/>
      </w:pPr>
      <w:r>
        <w:rPr/>
        <w:t>Los resultados por ciudades, permite identificar cuatro grupos de desempeño: existe un grupo de ciudades con alto desempeño relativo en gestión local que muestran patrones diferenciados respecto a la combinación de potenciales (Medellín, Rafaela, Salto, Barranquilla, Rio de Janeiro, Sao Paolo); el grupo con desempeño medio alto, aunque tienen altos niveles de gestión pero presentan variedad de patrones en las dimensiones estudiadas (Bogotá, Nueva Iguazú, Montevideo, Córdoba, San Cristóbal  y Quito); el grupo con desempeño medio bajo (Manta, Guayaquil, Buenos Aires, Caracas, Santa Cruz) y; el grupo con desempeño bajo (Cochabamba, Arequipa, Lima, La Paz, Piura y Maracaibo). Entre los grupos de ciudades, se observan diferentes comportamientos o arreglos de gestión urbana, aún dentro del mismo </w:t>
      </w:r>
      <w:r>
        <w:rPr>
          <w:spacing w:val="20"/>
        </w:rPr>
        <w:t> </w:t>
      </w:r>
      <w:r>
        <w:rPr/>
        <w:t>país.</w:t>
      </w:r>
    </w:p>
    <w:p>
      <w:pPr>
        <w:pStyle w:val="BodyText"/>
        <w:spacing w:before="11"/>
      </w:pPr>
    </w:p>
    <w:p>
      <w:pPr>
        <w:pStyle w:val="BodyText"/>
        <w:spacing w:line="249" w:lineRule="auto"/>
        <w:ind w:left="136" w:firstLine="170"/>
        <w:jc w:val="both"/>
      </w:pPr>
      <w:r>
        <w:rPr/>
        <w:t>El trabajo concluye que no existe un modelo único para una adecuada gestión local; el capital social pareciera no ser una condición suficiente para garantizar mejoras en la gestión de una ciudad, las mejoras resultan de la interacción de otros factores como el liderazgo político y la participación ciudadana. Las ciudades suelen estar apalancadas en alguna de las dimensiones, desde donde van mejorando sus niveles de gestión local. Es decir, en las ciudades de América Latina, existen diversos patrones con los cuales se alcanzan mejoras en los objetivos deseados.</w:t>
      </w:r>
    </w:p>
    <w:p>
      <w:pPr>
        <w:pStyle w:val="BodyText"/>
        <w:spacing w:before="6"/>
      </w:pPr>
    </w:p>
    <w:p>
      <w:pPr>
        <w:pStyle w:val="Heading1"/>
        <w:spacing w:line="240" w:lineRule="exact"/>
        <w:ind w:left="3314" w:right="428" w:hanging="2728"/>
      </w:pPr>
      <w:r>
        <w:rPr/>
        <w:t>Coordinación metropolitana de Toluca. Evaluación desde la gobernanza</w:t>
      </w:r>
    </w:p>
    <w:p>
      <w:pPr>
        <w:pStyle w:val="BodyText"/>
        <w:spacing w:before="2"/>
        <w:rPr>
          <w:b/>
          <w:sz w:val="21"/>
        </w:rPr>
      </w:pPr>
    </w:p>
    <w:p>
      <w:pPr>
        <w:pStyle w:val="BodyText"/>
        <w:spacing w:line="249" w:lineRule="auto" w:before="1"/>
        <w:ind w:left="136" w:firstLine="170"/>
        <w:jc w:val="both"/>
      </w:pPr>
      <w:r>
        <w:rPr/>
        <w:t>En México más de la mitad de la población reside en zonas metropolitanas, de 1960 a 2010, el número de municipios y delegaciones que se adhieren para formar zonas metropolitanas ha incrementado de 64 a 367 de un total de 2,440 municipios, mientras que las entidades federativas con al menos una, de 14 a 29 (SEDESOL, CONAPO, INEGI, 2012). Las zonas metropolitanas han aumentado en número, son cada vez</w:t>
      </w:r>
      <w:r>
        <w:rPr>
          <w:spacing w:val="-38"/>
        </w:rPr>
        <w:t> </w:t>
      </w:r>
      <w:r>
        <w:rPr/>
        <w:t>más extensas y propagado en el territorio, por tanto, desde la organización del Estado, deberían</w:t>
      </w:r>
      <w:r>
        <w:rPr>
          <w:spacing w:val="-5"/>
        </w:rPr>
        <w:t> </w:t>
      </w:r>
      <w:r>
        <w:rPr/>
        <w:t>tener</w:t>
      </w:r>
      <w:r>
        <w:rPr>
          <w:spacing w:val="-5"/>
        </w:rPr>
        <w:t> </w:t>
      </w:r>
      <w:r>
        <w:rPr/>
        <w:t>estatus</w:t>
      </w:r>
      <w:r>
        <w:rPr>
          <w:spacing w:val="-5"/>
        </w:rPr>
        <w:t> </w:t>
      </w:r>
      <w:r>
        <w:rPr/>
        <w:t>administrativo</w:t>
      </w:r>
      <w:r>
        <w:rPr>
          <w:spacing w:val="-5"/>
        </w:rPr>
        <w:t> </w:t>
      </w:r>
      <w:r>
        <w:rPr/>
        <w:t>y</w:t>
      </w:r>
      <w:r>
        <w:rPr>
          <w:spacing w:val="-5"/>
        </w:rPr>
        <w:t> </w:t>
      </w:r>
      <w:r>
        <w:rPr/>
        <w:t>constitucional</w:t>
      </w:r>
      <w:r>
        <w:rPr>
          <w:spacing w:val="-5"/>
        </w:rPr>
        <w:t> </w:t>
      </w:r>
      <w:r>
        <w:rPr/>
        <w:t>para</w:t>
      </w:r>
      <w:r>
        <w:rPr>
          <w:spacing w:val="-5"/>
        </w:rPr>
        <w:t> </w:t>
      </w:r>
      <w:r>
        <w:rPr/>
        <w:t>conducir</w:t>
      </w:r>
      <w:r>
        <w:rPr>
          <w:spacing w:val="-5"/>
        </w:rPr>
        <w:t> </w:t>
      </w:r>
      <w:r>
        <w:rPr/>
        <w:t>desarrollo</w:t>
      </w:r>
      <w:r>
        <w:rPr>
          <w:spacing w:val="-5"/>
        </w:rPr>
        <w:t> </w:t>
      </w:r>
      <w:r>
        <w:rPr/>
        <w:t>territorial y</w:t>
      </w:r>
      <w:r>
        <w:rPr>
          <w:spacing w:val="7"/>
        </w:rPr>
        <w:t> </w:t>
      </w:r>
      <w:r>
        <w:rPr/>
        <w:t>social.</w:t>
      </w:r>
    </w:p>
    <w:p>
      <w:pPr>
        <w:pStyle w:val="BodyText"/>
        <w:spacing w:before="11"/>
      </w:pPr>
    </w:p>
    <w:p>
      <w:pPr>
        <w:pStyle w:val="BodyText"/>
        <w:spacing w:line="249" w:lineRule="auto"/>
        <w:ind w:left="136" w:firstLine="170"/>
        <w:jc w:val="both"/>
      </w:pPr>
      <w:r>
        <w:rPr/>
        <w:t>El</w:t>
      </w:r>
      <w:r>
        <w:rPr>
          <w:spacing w:val="-4"/>
        </w:rPr>
        <w:t> </w:t>
      </w:r>
      <w:r>
        <w:rPr/>
        <w:t>modelo</w:t>
      </w:r>
      <w:r>
        <w:rPr>
          <w:spacing w:val="-4"/>
        </w:rPr>
        <w:t> </w:t>
      </w:r>
      <w:r>
        <w:rPr/>
        <w:t>de</w:t>
      </w:r>
      <w:r>
        <w:rPr>
          <w:spacing w:val="-4"/>
        </w:rPr>
        <w:t> </w:t>
      </w:r>
      <w:r>
        <w:rPr/>
        <w:t>atención</w:t>
      </w:r>
      <w:r>
        <w:rPr>
          <w:spacing w:val="-4"/>
        </w:rPr>
        <w:t> </w:t>
      </w:r>
      <w:r>
        <w:rPr/>
        <w:t>y</w:t>
      </w:r>
      <w:r>
        <w:rPr>
          <w:spacing w:val="-4"/>
        </w:rPr>
        <w:t> </w:t>
      </w:r>
      <w:r>
        <w:rPr/>
        <w:t>gestión</w:t>
      </w:r>
      <w:r>
        <w:rPr>
          <w:spacing w:val="-4"/>
        </w:rPr>
        <w:t> </w:t>
      </w:r>
      <w:r>
        <w:rPr/>
        <w:t>de</w:t>
      </w:r>
      <w:r>
        <w:rPr>
          <w:spacing w:val="-4"/>
        </w:rPr>
        <w:t> </w:t>
      </w:r>
      <w:r>
        <w:rPr/>
        <w:t>las</w:t>
      </w:r>
      <w:r>
        <w:rPr>
          <w:spacing w:val="-4"/>
        </w:rPr>
        <w:t> </w:t>
      </w:r>
      <w:r>
        <w:rPr/>
        <w:t>zonas</w:t>
      </w:r>
      <w:r>
        <w:rPr>
          <w:spacing w:val="-4"/>
        </w:rPr>
        <w:t> </w:t>
      </w:r>
      <w:r>
        <w:rPr/>
        <w:t>metropolitanas</w:t>
      </w:r>
      <w:r>
        <w:rPr>
          <w:spacing w:val="-4"/>
        </w:rPr>
        <w:t> </w:t>
      </w:r>
      <w:r>
        <w:rPr/>
        <w:t>que</w:t>
      </w:r>
      <w:r>
        <w:rPr>
          <w:spacing w:val="-4"/>
        </w:rPr>
        <w:t> </w:t>
      </w:r>
      <w:r>
        <w:rPr/>
        <w:t>se</w:t>
      </w:r>
      <w:r>
        <w:rPr>
          <w:spacing w:val="-4"/>
        </w:rPr>
        <w:t> </w:t>
      </w:r>
      <w:r>
        <w:rPr/>
        <w:t>aplica</w:t>
      </w:r>
      <w:r>
        <w:rPr>
          <w:spacing w:val="-4"/>
        </w:rPr>
        <w:t> </w:t>
      </w:r>
      <w:r>
        <w:rPr/>
        <w:t>en</w:t>
      </w:r>
      <w:r>
        <w:rPr>
          <w:spacing w:val="-4"/>
        </w:rPr>
        <w:t> </w:t>
      </w:r>
      <w:r>
        <w:rPr/>
        <w:t>México desde los años setenta, es la </w:t>
      </w:r>
      <w:r>
        <w:rPr>
          <w:i/>
        </w:rPr>
        <w:t>coordinación metropolitana</w:t>
      </w:r>
      <w:r>
        <w:rPr/>
        <w:t>, que deriva del concepto jurídico de conurbación donde la inter-municipalidad puede firmar convenios y realizar asociaciones administrativas, actos legalmente posibles</w:t>
      </w:r>
      <w:r>
        <w:rPr>
          <w:position w:val="7"/>
          <w:sz w:val="11"/>
        </w:rPr>
        <w:t>42</w:t>
      </w:r>
      <w:r>
        <w:rPr/>
        <w:t>. Sin embargo, la experiencia se caracteriza por escasos convenios para asuntos públicos comunes, diferencias     en normatividad y disposiciones, atribuciones y programas sin presupuestos, en los municipios no se instrumenta la planeación metropolitana y, la agenda de asuntos urbanos no cuenta con ordenanzas propias de</w:t>
      </w:r>
      <w:r>
        <w:rPr>
          <w:spacing w:val="41"/>
        </w:rPr>
        <w:t> </w:t>
      </w:r>
      <w:r>
        <w:rPr/>
        <w:t>evaluación.</w:t>
      </w:r>
    </w:p>
    <w:p>
      <w:pPr>
        <w:pStyle w:val="BodyText"/>
        <w:spacing w:line="249" w:lineRule="auto" w:before="76"/>
        <w:ind w:left="136" w:right="127" w:firstLine="170"/>
        <w:jc w:val="both"/>
      </w:pPr>
      <w:r>
        <w:rPr/>
        <w:br w:type="column"/>
      </w:r>
      <w:r>
        <w:rPr/>
        <w:t>Las áreas metropolitanas son unidades complejas en su funcionamiento y para       su gestión, en México adolecen de una visión integral, por lo que los estudios especializados documentan fragmentación administrativa y sus consecuencias, destacan los problemas entre los niveles de gobierno en su actuar en las ciudades     y, los problemas de la relación de los gobiernos estatal y municipal con la sociedad civil. Como se ha dicho líneas arriba estos problemas se corrigen con la gobernanza metropolitana.</w:t>
      </w:r>
    </w:p>
    <w:p>
      <w:pPr>
        <w:pStyle w:val="BodyText"/>
        <w:spacing w:before="11"/>
      </w:pPr>
    </w:p>
    <w:p>
      <w:pPr>
        <w:pStyle w:val="BodyText"/>
        <w:spacing w:line="249" w:lineRule="auto"/>
        <w:ind w:left="136" w:right="127" w:firstLine="170"/>
        <w:jc w:val="both"/>
      </w:pPr>
      <w:r>
        <w:rPr/>
        <w:t>En particular la Zona Metropolitana de Toluca (ZMT), inició dicha configuración espacial y funcional en la década de 1970 que con el impulso de la industrialización     y crecimiento de población de los años ochenta, registró expansión acelerada y desordenada, por consecuencia la incorporación de mayor número de gobiernos municipales, actualmente integrada por 22 (Mapa 1). Desde su inicio ha evolucionado carente de un marco de planeación, se publicó el primer </w:t>
      </w:r>
      <w:r>
        <w:rPr>
          <w:i/>
        </w:rPr>
        <w:t>Plan regional metropolitano  </w:t>
      </w:r>
      <w:r>
        <w:rPr>
          <w:i/>
        </w:rPr>
        <w:t>de Toluca </w:t>
      </w:r>
      <w:r>
        <w:rPr/>
        <w:t>en 1993, 23 años después de iniciado el proceso de agregación funcional,  el plan delineaba la coordinación en la conurbación de siete municipios, el segundo documento publicado que reconoce la configuración metropolitana fue en 2005, el  </w:t>
      </w:r>
      <w:r>
        <w:rPr>
          <w:i/>
        </w:rPr>
        <w:t>Plan Regional de Desarrollo Urbano del Valle de Toluca (PRDUVT)</w:t>
      </w:r>
      <w:r>
        <w:rPr/>
        <w:t>, se aprueba con   el fin de impulsar el funcionamiento metropolitano en 22 municipios, misma que se reconoce</w:t>
      </w:r>
      <w:r>
        <w:rPr>
          <w:spacing w:val="-4"/>
        </w:rPr>
        <w:t> </w:t>
      </w:r>
      <w:r>
        <w:rPr/>
        <w:t>por</w:t>
      </w:r>
      <w:r>
        <w:rPr>
          <w:spacing w:val="-4"/>
        </w:rPr>
        <w:t> </w:t>
      </w:r>
      <w:r>
        <w:rPr/>
        <w:t>la</w:t>
      </w:r>
      <w:r>
        <w:rPr>
          <w:spacing w:val="-4"/>
        </w:rPr>
        <w:t> </w:t>
      </w:r>
      <w:r>
        <w:rPr/>
        <w:t>Legislatura</w:t>
      </w:r>
      <w:r>
        <w:rPr>
          <w:spacing w:val="-4"/>
        </w:rPr>
        <w:t> </w:t>
      </w:r>
      <w:r>
        <w:rPr/>
        <w:t>local,</w:t>
      </w:r>
      <w:r>
        <w:rPr>
          <w:spacing w:val="-4"/>
        </w:rPr>
        <w:t> </w:t>
      </w:r>
      <w:r>
        <w:rPr/>
        <w:t>que</w:t>
      </w:r>
      <w:r>
        <w:rPr>
          <w:spacing w:val="-4"/>
        </w:rPr>
        <w:t> </w:t>
      </w:r>
      <w:r>
        <w:rPr/>
        <w:t>aprueba</w:t>
      </w:r>
      <w:r>
        <w:rPr>
          <w:spacing w:val="-4"/>
        </w:rPr>
        <w:t> </w:t>
      </w:r>
      <w:r>
        <w:rPr/>
        <w:t>la</w:t>
      </w:r>
      <w:r>
        <w:rPr>
          <w:spacing w:val="-4"/>
        </w:rPr>
        <w:t> </w:t>
      </w:r>
      <w:r>
        <w:rPr/>
        <w:t>declaratoria</w:t>
      </w:r>
      <w:r>
        <w:rPr>
          <w:spacing w:val="-4"/>
        </w:rPr>
        <w:t> </w:t>
      </w:r>
      <w:r>
        <w:rPr/>
        <w:t>de</w:t>
      </w:r>
      <w:r>
        <w:rPr>
          <w:spacing w:val="-4"/>
        </w:rPr>
        <w:t> </w:t>
      </w:r>
      <w:r>
        <w:rPr/>
        <w:t>zona</w:t>
      </w:r>
      <w:r>
        <w:rPr>
          <w:spacing w:val="-4"/>
        </w:rPr>
        <w:t> </w:t>
      </w:r>
      <w:r>
        <w:rPr/>
        <w:t>metropolitana</w:t>
      </w:r>
      <w:r>
        <w:rPr>
          <w:spacing w:val="-4"/>
        </w:rPr>
        <w:t> </w:t>
      </w:r>
      <w:r>
        <w:rPr/>
        <w:t>en 2009 (Mapa 1). El documento PRDUVT de 2005 no se ha instrumentado totalmente ni evaluado sus resultados, a la fecha, 2015, no se ha</w:t>
      </w:r>
      <w:r>
        <w:rPr>
          <w:spacing w:val="11"/>
        </w:rPr>
        <w:t> </w:t>
      </w:r>
      <w:r>
        <w:rPr/>
        <w:t>actualizado.</w:t>
      </w:r>
    </w:p>
    <w:p>
      <w:pPr>
        <w:pStyle w:val="BodyText"/>
        <w:spacing w:before="11"/>
      </w:pPr>
    </w:p>
    <w:p>
      <w:pPr>
        <w:pStyle w:val="BodyText"/>
        <w:spacing w:line="249" w:lineRule="auto"/>
        <w:ind w:left="136" w:right="128" w:firstLine="170"/>
        <w:jc w:val="both"/>
      </w:pPr>
      <w:r>
        <w:rPr/>
        <w:t>En</w:t>
      </w:r>
      <w:r>
        <w:rPr>
          <w:spacing w:val="-8"/>
        </w:rPr>
        <w:t> </w:t>
      </w:r>
      <w:r>
        <w:rPr/>
        <w:t>2001,</w:t>
      </w:r>
      <w:r>
        <w:rPr>
          <w:spacing w:val="-7"/>
        </w:rPr>
        <w:t> </w:t>
      </w:r>
      <w:r>
        <w:rPr/>
        <w:t>con</w:t>
      </w:r>
      <w:r>
        <w:rPr>
          <w:spacing w:val="-8"/>
        </w:rPr>
        <w:t> </w:t>
      </w:r>
      <w:r>
        <w:rPr/>
        <w:t>la</w:t>
      </w:r>
      <w:r>
        <w:rPr>
          <w:spacing w:val="-8"/>
        </w:rPr>
        <w:t> </w:t>
      </w:r>
      <w:r>
        <w:rPr/>
        <w:t>creación</w:t>
      </w:r>
      <w:r>
        <w:rPr>
          <w:spacing w:val="-8"/>
        </w:rPr>
        <w:t> </w:t>
      </w:r>
      <w:r>
        <w:rPr/>
        <w:t>de</w:t>
      </w:r>
      <w:r>
        <w:rPr>
          <w:spacing w:val="-8"/>
        </w:rPr>
        <w:t> </w:t>
      </w:r>
      <w:r>
        <w:rPr/>
        <w:t>la</w:t>
      </w:r>
      <w:r>
        <w:rPr>
          <w:spacing w:val="-8"/>
        </w:rPr>
        <w:t> </w:t>
      </w:r>
      <w:r>
        <w:rPr/>
        <w:t>Secretaria</w:t>
      </w:r>
      <w:r>
        <w:rPr>
          <w:spacing w:val="-8"/>
        </w:rPr>
        <w:t> </w:t>
      </w:r>
      <w:r>
        <w:rPr/>
        <w:t>de</w:t>
      </w:r>
      <w:r>
        <w:rPr>
          <w:spacing w:val="-8"/>
        </w:rPr>
        <w:t> </w:t>
      </w:r>
      <w:r>
        <w:rPr/>
        <w:t>Desarrollo</w:t>
      </w:r>
      <w:r>
        <w:rPr>
          <w:spacing w:val="-7"/>
        </w:rPr>
        <w:t> </w:t>
      </w:r>
      <w:r>
        <w:rPr/>
        <w:t>Metropolitano</w:t>
      </w:r>
      <w:r>
        <w:rPr>
          <w:spacing w:val="-8"/>
        </w:rPr>
        <w:t> </w:t>
      </w:r>
      <w:r>
        <w:rPr/>
        <w:t>(SEDEMET)</w:t>
      </w:r>
      <w:r>
        <w:rPr>
          <w:spacing w:val="-8"/>
        </w:rPr>
        <w:t> </w:t>
      </w:r>
      <w:r>
        <w:rPr/>
        <w:t>en el Estado de México, despega las iniciativas de </w:t>
      </w:r>
      <w:r>
        <w:rPr>
          <w:i/>
        </w:rPr>
        <w:t>coordinación metropolitana </w:t>
      </w:r>
      <w:r>
        <w:rPr/>
        <w:t>en la ZMT, tres</w:t>
      </w:r>
      <w:r>
        <w:rPr>
          <w:spacing w:val="-19"/>
        </w:rPr>
        <w:t> </w:t>
      </w:r>
      <w:r>
        <w:rPr/>
        <w:t>décadas</w:t>
      </w:r>
      <w:r>
        <w:rPr>
          <w:spacing w:val="-19"/>
        </w:rPr>
        <w:t> </w:t>
      </w:r>
      <w:r>
        <w:rPr/>
        <w:t>después</w:t>
      </w:r>
      <w:r>
        <w:rPr>
          <w:spacing w:val="-19"/>
        </w:rPr>
        <w:t> </w:t>
      </w:r>
      <w:r>
        <w:rPr/>
        <w:t>de</w:t>
      </w:r>
      <w:r>
        <w:rPr>
          <w:spacing w:val="-19"/>
        </w:rPr>
        <w:t> </w:t>
      </w:r>
      <w:r>
        <w:rPr/>
        <w:t>iniciado</w:t>
      </w:r>
      <w:r>
        <w:rPr>
          <w:spacing w:val="-19"/>
        </w:rPr>
        <w:t> </w:t>
      </w:r>
      <w:r>
        <w:rPr/>
        <w:t>el</w:t>
      </w:r>
      <w:r>
        <w:rPr>
          <w:spacing w:val="-19"/>
        </w:rPr>
        <w:t> </w:t>
      </w:r>
      <w:r>
        <w:rPr/>
        <w:t>funcionamiento</w:t>
      </w:r>
      <w:r>
        <w:rPr>
          <w:spacing w:val="-20"/>
        </w:rPr>
        <w:t> </w:t>
      </w:r>
      <w:r>
        <w:rPr/>
        <w:t>metropolitano</w:t>
      </w:r>
      <w:r>
        <w:rPr>
          <w:spacing w:val="-19"/>
        </w:rPr>
        <w:t> </w:t>
      </w:r>
      <w:r>
        <w:rPr/>
        <w:t>y</w:t>
      </w:r>
      <w:r>
        <w:rPr>
          <w:spacing w:val="-19"/>
        </w:rPr>
        <w:t> </w:t>
      </w:r>
      <w:r>
        <w:rPr/>
        <w:t>experiencia</w:t>
      </w:r>
      <w:r>
        <w:rPr>
          <w:spacing w:val="-18"/>
        </w:rPr>
        <w:t> </w:t>
      </w:r>
      <w:r>
        <w:rPr/>
        <w:t>de</w:t>
      </w:r>
      <w:r>
        <w:rPr>
          <w:spacing w:val="-19"/>
        </w:rPr>
        <w:t> </w:t>
      </w:r>
      <w:r>
        <w:rPr/>
        <w:t>otras</w:t>
      </w:r>
    </w:p>
    <w:p>
      <w:pPr>
        <w:pStyle w:val="BodyText"/>
        <w:spacing w:before="3"/>
        <w:rPr>
          <w:sz w:val="25"/>
        </w:rPr>
      </w:pPr>
      <w:r>
        <w:rPr/>
        <w:pict>
          <v:line style="position:absolute;mso-position-horizontal-relative:page;mso-position-vertical-relative:paragraph;z-index:15280;mso-wrap-distance-left:0;mso-wrap-distance-right:0" from="513pt,17.020771pt" to="898.583pt,17.020771pt" stroked="true" strokeweight="1pt" strokecolor="#bcbec0">
            <w10:wrap type="topAndBottom"/>
          </v:line>
        </w:pict>
      </w:r>
    </w:p>
    <w:p>
      <w:pPr>
        <w:spacing w:line="357" w:lineRule="auto" w:before="158"/>
        <w:ind w:left="193" w:right="127" w:hanging="57"/>
        <w:jc w:val="both"/>
        <w:rPr>
          <w:sz w:val="14"/>
        </w:rPr>
      </w:pPr>
      <w:r>
        <w:rPr>
          <w:color w:val="6D6E71"/>
          <w:position w:val="5"/>
          <w:sz w:val="8"/>
        </w:rPr>
        <w:t>42</w:t>
      </w:r>
      <w:r>
        <w:rPr>
          <w:color w:val="6D6E71"/>
          <w:sz w:val="14"/>
        </w:rPr>
        <w:t>En México, el primer intento institucional que anticipaba la coordinación administrativa al interior de una misma entidad federativa,</w:t>
      </w:r>
      <w:r>
        <w:rPr>
          <w:color w:val="6D6E71"/>
          <w:spacing w:val="-4"/>
          <w:sz w:val="14"/>
        </w:rPr>
        <w:t> </w:t>
      </w:r>
      <w:r>
        <w:rPr>
          <w:color w:val="6D6E71"/>
          <w:sz w:val="14"/>
        </w:rPr>
        <w:t>lo</w:t>
      </w:r>
      <w:r>
        <w:rPr>
          <w:color w:val="6D6E71"/>
          <w:spacing w:val="-4"/>
          <w:sz w:val="14"/>
        </w:rPr>
        <w:t> </w:t>
      </w:r>
      <w:r>
        <w:rPr>
          <w:color w:val="6D6E71"/>
          <w:sz w:val="14"/>
        </w:rPr>
        <w:t>planteo</w:t>
      </w:r>
      <w:r>
        <w:rPr>
          <w:color w:val="6D6E71"/>
          <w:spacing w:val="-4"/>
          <w:sz w:val="14"/>
        </w:rPr>
        <w:t> </w:t>
      </w:r>
      <w:r>
        <w:rPr>
          <w:color w:val="6D6E71"/>
          <w:sz w:val="14"/>
        </w:rPr>
        <w:t>el</w:t>
      </w:r>
      <w:r>
        <w:rPr>
          <w:color w:val="6D6E71"/>
          <w:spacing w:val="-11"/>
          <w:sz w:val="14"/>
        </w:rPr>
        <w:t> </w:t>
      </w:r>
      <w:r>
        <w:rPr>
          <w:color w:val="6D6E71"/>
          <w:sz w:val="14"/>
        </w:rPr>
        <w:t>Artículo</w:t>
      </w:r>
      <w:r>
        <w:rPr>
          <w:color w:val="6D6E71"/>
          <w:spacing w:val="-4"/>
          <w:sz w:val="14"/>
        </w:rPr>
        <w:t> </w:t>
      </w:r>
      <w:r>
        <w:rPr>
          <w:color w:val="6D6E71"/>
          <w:sz w:val="14"/>
        </w:rPr>
        <w:t>42</w:t>
      </w:r>
      <w:r>
        <w:rPr>
          <w:color w:val="6D6E71"/>
          <w:spacing w:val="-4"/>
          <w:sz w:val="14"/>
        </w:rPr>
        <w:t> </w:t>
      </w:r>
      <w:r>
        <w:rPr>
          <w:color w:val="6D6E71"/>
          <w:sz w:val="14"/>
        </w:rPr>
        <w:t>de</w:t>
      </w:r>
      <w:r>
        <w:rPr>
          <w:color w:val="6D6E71"/>
          <w:spacing w:val="-4"/>
          <w:sz w:val="14"/>
        </w:rPr>
        <w:t> </w:t>
      </w:r>
      <w:r>
        <w:rPr>
          <w:color w:val="6D6E71"/>
          <w:sz w:val="14"/>
        </w:rPr>
        <w:t>la</w:t>
      </w:r>
      <w:r>
        <w:rPr>
          <w:color w:val="6D6E71"/>
          <w:spacing w:val="-4"/>
          <w:sz w:val="14"/>
        </w:rPr>
        <w:t> </w:t>
      </w:r>
      <w:r>
        <w:rPr>
          <w:color w:val="6D6E71"/>
          <w:sz w:val="14"/>
        </w:rPr>
        <w:t>Ley</w:t>
      </w:r>
      <w:r>
        <w:rPr>
          <w:color w:val="6D6E71"/>
          <w:spacing w:val="-4"/>
          <w:sz w:val="14"/>
        </w:rPr>
        <w:t> </w:t>
      </w:r>
      <w:r>
        <w:rPr>
          <w:color w:val="6D6E71"/>
          <w:sz w:val="14"/>
        </w:rPr>
        <w:t>de</w:t>
      </w:r>
      <w:r>
        <w:rPr>
          <w:color w:val="6D6E71"/>
          <w:spacing w:val="-4"/>
          <w:sz w:val="14"/>
        </w:rPr>
        <w:t> </w:t>
      </w:r>
      <w:r>
        <w:rPr>
          <w:color w:val="6D6E71"/>
          <w:sz w:val="14"/>
        </w:rPr>
        <w:t>Organización</w:t>
      </w:r>
      <w:r>
        <w:rPr>
          <w:color w:val="6D6E71"/>
          <w:spacing w:val="-4"/>
          <w:sz w:val="14"/>
        </w:rPr>
        <w:t> </w:t>
      </w:r>
      <w:r>
        <w:rPr>
          <w:color w:val="6D6E71"/>
          <w:sz w:val="14"/>
        </w:rPr>
        <w:t>del</w:t>
      </w:r>
      <w:r>
        <w:rPr>
          <w:color w:val="6D6E71"/>
          <w:spacing w:val="-4"/>
          <w:sz w:val="14"/>
        </w:rPr>
        <w:t> </w:t>
      </w:r>
      <w:r>
        <w:rPr>
          <w:color w:val="6D6E71"/>
          <w:sz w:val="14"/>
        </w:rPr>
        <w:t>Distrito</w:t>
      </w:r>
      <w:r>
        <w:rPr>
          <w:color w:val="6D6E71"/>
          <w:spacing w:val="-4"/>
          <w:sz w:val="14"/>
        </w:rPr>
        <w:t> </w:t>
      </w:r>
      <w:r>
        <w:rPr>
          <w:color w:val="6D6E71"/>
          <w:sz w:val="14"/>
        </w:rPr>
        <w:t>y</w:t>
      </w:r>
      <w:r>
        <w:rPr>
          <w:color w:val="6D6E71"/>
          <w:spacing w:val="-6"/>
          <w:sz w:val="14"/>
        </w:rPr>
        <w:t> </w:t>
      </w:r>
      <w:r>
        <w:rPr>
          <w:color w:val="6D6E71"/>
          <w:sz w:val="14"/>
        </w:rPr>
        <w:t>Territorios</w:t>
      </w:r>
      <w:r>
        <w:rPr>
          <w:color w:val="6D6E71"/>
          <w:spacing w:val="-4"/>
          <w:sz w:val="14"/>
        </w:rPr>
        <w:t> </w:t>
      </w:r>
      <w:r>
        <w:rPr>
          <w:color w:val="6D6E71"/>
          <w:sz w:val="14"/>
        </w:rPr>
        <w:t>Federales</w:t>
      </w:r>
      <w:r>
        <w:rPr>
          <w:color w:val="6D6E71"/>
          <w:spacing w:val="-4"/>
          <w:sz w:val="14"/>
        </w:rPr>
        <w:t> </w:t>
      </w:r>
      <w:r>
        <w:rPr>
          <w:color w:val="6D6E71"/>
          <w:sz w:val="14"/>
        </w:rPr>
        <w:t>(Diario</w:t>
      </w:r>
      <w:r>
        <w:rPr>
          <w:color w:val="6D6E71"/>
          <w:spacing w:val="-4"/>
          <w:sz w:val="14"/>
        </w:rPr>
        <w:t> </w:t>
      </w:r>
      <w:r>
        <w:rPr>
          <w:color w:val="6D6E71"/>
          <w:sz w:val="14"/>
        </w:rPr>
        <w:t>Oficial:</w:t>
      </w:r>
      <w:r>
        <w:rPr>
          <w:color w:val="6D6E71"/>
          <w:spacing w:val="-4"/>
          <w:sz w:val="14"/>
        </w:rPr>
        <w:t> </w:t>
      </w:r>
      <w:r>
        <w:rPr>
          <w:color w:val="6D6E71"/>
          <w:sz w:val="14"/>
        </w:rPr>
        <w:t>13-04-1917), referente</w:t>
      </w:r>
      <w:r>
        <w:rPr>
          <w:color w:val="6D6E71"/>
          <w:spacing w:val="-9"/>
          <w:sz w:val="14"/>
        </w:rPr>
        <w:t> </w:t>
      </w:r>
      <w:r>
        <w:rPr>
          <w:color w:val="6D6E71"/>
          <w:sz w:val="14"/>
        </w:rPr>
        <w:t>a</w:t>
      </w:r>
      <w:r>
        <w:rPr>
          <w:color w:val="6D6E71"/>
          <w:spacing w:val="-9"/>
          <w:sz w:val="14"/>
        </w:rPr>
        <w:t> </w:t>
      </w:r>
      <w:r>
        <w:rPr>
          <w:color w:val="6D6E71"/>
          <w:sz w:val="14"/>
        </w:rPr>
        <w:t>obras</w:t>
      </w:r>
      <w:r>
        <w:rPr>
          <w:color w:val="6D6E71"/>
          <w:spacing w:val="-9"/>
          <w:sz w:val="14"/>
        </w:rPr>
        <w:t> </w:t>
      </w:r>
      <w:r>
        <w:rPr>
          <w:color w:val="6D6E71"/>
          <w:sz w:val="14"/>
        </w:rPr>
        <w:t>públicas</w:t>
      </w:r>
      <w:r>
        <w:rPr>
          <w:color w:val="6D6E71"/>
          <w:spacing w:val="-8"/>
          <w:sz w:val="14"/>
        </w:rPr>
        <w:t> </w:t>
      </w:r>
      <w:r>
        <w:rPr>
          <w:color w:val="6D6E71"/>
          <w:sz w:val="14"/>
        </w:rPr>
        <w:t>que</w:t>
      </w:r>
      <w:r>
        <w:rPr>
          <w:color w:val="6D6E71"/>
          <w:spacing w:val="-9"/>
          <w:sz w:val="14"/>
        </w:rPr>
        <w:t> </w:t>
      </w:r>
      <w:r>
        <w:rPr>
          <w:color w:val="6D6E71"/>
          <w:sz w:val="14"/>
        </w:rPr>
        <w:t>involucra</w:t>
      </w:r>
      <w:r>
        <w:rPr>
          <w:color w:val="6D6E71"/>
          <w:spacing w:val="-8"/>
          <w:sz w:val="14"/>
        </w:rPr>
        <w:t> </w:t>
      </w:r>
      <w:r>
        <w:rPr>
          <w:color w:val="6D6E71"/>
          <w:sz w:val="14"/>
        </w:rPr>
        <w:t>a</w:t>
      </w:r>
      <w:r>
        <w:rPr>
          <w:color w:val="6D6E71"/>
          <w:spacing w:val="-9"/>
          <w:sz w:val="14"/>
        </w:rPr>
        <w:t> </w:t>
      </w:r>
      <w:r>
        <w:rPr>
          <w:color w:val="6D6E71"/>
          <w:sz w:val="14"/>
        </w:rPr>
        <w:t>dos</w:t>
      </w:r>
      <w:r>
        <w:rPr>
          <w:color w:val="6D6E71"/>
          <w:spacing w:val="-9"/>
          <w:sz w:val="14"/>
        </w:rPr>
        <w:t> </w:t>
      </w:r>
      <w:r>
        <w:rPr>
          <w:color w:val="6D6E71"/>
          <w:sz w:val="14"/>
        </w:rPr>
        <w:t>o</w:t>
      </w:r>
      <w:r>
        <w:rPr>
          <w:color w:val="6D6E71"/>
          <w:spacing w:val="-9"/>
          <w:sz w:val="14"/>
        </w:rPr>
        <w:t> </w:t>
      </w:r>
      <w:r>
        <w:rPr>
          <w:color w:val="6D6E71"/>
          <w:sz w:val="14"/>
        </w:rPr>
        <w:t>más</w:t>
      </w:r>
      <w:r>
        <w:rPr>
          <w:color w:val="6D6E71"/>
          <w:spacing w:val="-9"/>
          <w:sz w:val="14"/>
        </w:rPr>
        <w:t> </w:t>
      </w:r>
      <w:r>
        <w:rPr>
          <w:color w:val="6D6E71"/>
          <w:sz w:val="14"/>
        </w:rPr>
        <w:t>municipalidades</w:t>
      </w:r>
      <w:r>
        <w:rPr>
          <w:color w:val="6D6E71"/>
          <w:spacing w:val="-9"/>
          <w:sz w:val="14"/>
        </w:rPr>
        <w:t> </w:t>
      </w:r>
      <w:r>
        <w:rPr>
          <w:color w:val="6D6E71"/>
          <w:sz w:val="14"/>
        </w:rPr>
        <w:t>debería</w:t>
      </w:r>
      <w:r>
        <w:rPr>
          <w:color w:val="6D6E71"/>
          <w:spacing w:val="-8"/>
          <w:sz w:val="14"/>
        </w:rPr>
        <w:t> </w:t>
      </w:r>
      <w:r>
        <w:rPr>
          <w:color w:val="6D6E71"/>
          <w:sz w:val="14"/>
        </w:rPr>
        <w:t>ejecutarse</w:t>
      </w:r>
      <w:r>
        <w:rPr>
          <w:color w:val="6D6E71"/>
          <w:spacing w:val="-8"/>
          <w:sz w:val="14"/>
        </w:rPr>
        <w:t> </w:t>
      </w:r>
      <w:r>
        <w:rPr>
          <w:color w:val="6D6E71"/>
          <w:sz w:val="14"/>
        </w:rPr>
        <w:t>por</w:t>
      </w:r>
      <w:r>
        <w:rPr>
          <w:color w:val="6D6E71"/>
          <w:spacing w:val="-9"/>
          <w:sz w:val="14"/>
        </w:rPr>
        <w:t> </w:t>
      </w:r>
      <w:r>
        <w:rPr>
          <w:color w:val="6D6E71"/>
          <w:sz w:val="14"/>
        </w:rPr>
        <w:t>dichos</w:t>
      </w:r>
      <w:r>
        <w:rPr>
          <w:color w:val="6D6E71"/>
          <w:spacing w:val="-8"/>
          <w:sz w:val="14"/>
        </w:rPr>
        <w:t> </w:t>
      </w:r>
      <w:r>
        <w:rPr>
          <w:color w:val="6D6E71"/>
          <w:sz w:val="14"/>
        </w:rPr>
        <w:t>ayuntamientos.</w:t>
      </w:r>
      <w:r>
        <w:rPr>
          <w:color w:val="6D6E71"/>
          <w:spacing w:val="-15"/>
          <w:sz w:val="14"/>
        </w:rPr>
        <w:t> </w:t>
      </w:r>
      <w:r>
        <w:rPr>
          <w:color w:val="6D6E71"/>
          <w:sz w:val="14"/>
        </w:rPr>
        <w:t>Aunque derivado del concepto jurídico de conurbación la inter-municipalidad es posible desde en los años setenta. La reforma del Artículo </w:t>
      </w:r>
      <w:r>
        <w:rPr>
          <w:color w:val="6D6E71"/>
          <w:spacing w:val="-4"/>
          <w:sz w:val="14"/>
        </w:rPr>
        <w:t>115, </w:t>
      </w:r>
      <w:r>
        <w:rPr>
          <w:color w:val="6D6E71"/>
          <w:sz w:val="14"/>
        </w:rPr>
        <w:t>fracción VI, del 6 de febrero de 1976, a la letra dice “Cuando dos o más centros urbanos situados en territorios municipales de dos o más entidades federativas forman o tienda a formar una continuidad demográfica, la federación, las entidades federativas y los municipios respectivos en el ámbito de sus competencias planearán y regularán de manera conjunta y coordinada el desarrollo de dichos centros con apego a la ley federal en la materia”. Así mismo en asunto de coordinación: “Los municipios, previo acuerdo entre ayuntamientos, podrán coordinarse y asociarse para la más eficaz prestación de los servicios públicos o el mejor ejercicio de las funciones que les correspondan. En este caso y tratándose de la asociación de municipios de dos o más estados, deberán contar con la aprobación de las legislaturas de los estados respectivas. Cuando a juicio del ayuntamiento respectivo sea necesario, podrán celebrar convenios con el estado para que éste, de manera directa o a través del organismo correspondiente, se haga cargo en forma temporal de alguno de ellos, o bien</w:t>
      </w:r>
      <w:r>
        <w:rPr>
          <w:color w:val="6D6E71"/>
          <w:spacing w:val="-9"/>
          <w:sz w:val="14"/>
        </w:rPr>
        <w:t> </w:t>
      </w:r>
      <w:r>
        <w:rPr>
          <w:color w:val="6D6E71"/>
          <w:sz w:val="14"/>
        </w:rPr>
        <w:t>se</w:t>
      </w:r>
      <w:r>
        <w:rPr>
          <w:color w:val="6D6E71"/>
          <w:spacing w:val="-9"/>
          <w:sz w:val="14"/>
        </w:rPr>
        <w:t> </w:t>
      </w:r>
      <w:r>
        <w:rPr>
          <w:color w:val="6D6E71"/>
          <w:sz w:val="14"/>
        </w:rPr>
        <w:t>presten</w:t>
      </w:r>
      <w:r>
        <w:rPr>
          <w:color w:val="6D6E71"/>
          <w:spacing w:val="-9"/>
          <w:sz w:val="14"/>
        </w:rPr>
        <w:t> </w:t>
      </w:r>
      <w:r>
        <w:rPr>
          <w:color w:val="6D6E71"/>
          <w:sz w:val="14"/>
        </w:rPr>
        <w:t>o</w:t>
      </w:r>
      <w:r>
        <w:rPr>
          <w:color w:val="6D6E71"/>
          <w:spacing w:val="-9"/>
          <w:sz w:val="14"/>
        </w:rPr>
        <w:t> </w:t>
      </w:r>
      <w:r>
        <w:rPr>
          <w:color w:val="6D6E71"/>
          <w:sz w:val="14"/>
        </w:rPr>
        <w:t>ejerzan</w:t>
      </w:r>
      <w:r>
        <w:rPr>
          <w:color w:val="6D6E71"/>
          <w:spacing w:val="-9"/>
          <w:sz w:val="14"/>
        </w:rPr>
        <w:t> </w:t>
      </w:r>
      <w:r>
        <w:rPr>
          <w:color w:val="6D6E71"/>
          <w:sz w:val="14"/>
        </w:rPr>
        <w:t>coordinadamente</w:t>
      </w:r>
      <w:r>
        <w:rPr>
          <w:color w:val="6D6E71"/>
          <w:spacing w:val="-9"/>
          <w:sz w:val="14"/>
        </w:rPr>
        <w:t> </w:t>
      </w:r>
      <w:r>
        <w:rPr>
          <w:color w:val="6D6E71"/>
          <w:sz w:val="14"/>
        </w:rPr>
        <w:t>por</w:t>
      </w:r>
      <w:r>
        <w:rPr>
          <w:color w:val="6D6E71"/>
          <w:spacing w:val="-9"/>
          <w:sz w:val="14"/>
        </w:rPr>
        <w:t> </w:t>
      </w:r>
      <w:r>
        <w:rPr>
          <w:color w:val="6D6E71"/>
          <w:sz w:val="14"/>
        </w:rPr>
        <w:t>el</w:t>
      </w:r>
      <w:r>
        <w:rPr>
          <w:color w:val="6D6E71"/>
          <w:spacing w:val="-9"/>
          <w:sz w:val="14"/>
        </w:rPr>
        <w:t> </w:t>
      </w:r>
      <w:r>
        <w:rPr>
          <w:color w:val="6D6E71"/>
          <w:sz w:val="14"/>
        </w:rPr>
        <w:t>estado</w:t>
      </w:r>
      <w:r>
        <w:rPr>
          <w:color w:val="6D6E71"/>
          <w:spacing w:val="-9"/>
          <w:sz w:val="14"/>
        </w:rPr>
        <w:t> </w:t>
      </w:r>
      <w:r>
        <w:rPr>
          <w:color w:val="6D6E71"/>
          <w:sz w:val="14"/>
        </w:rPr>
        <w:t>y</w:t>
      </w:r>
      <w:r>
        <w:rPr>
          <w:color w:val="6D6E71"/>
          <w:spacing w:val="-9"/>
          <w:sz w:val="14"/>
        </w:rPr>
        <w:t> </w:t>
      </w:r>
      <w:r>
        <w:rPr>
          <w:color w:val="6D6E71"/>
          <w:sz w:val="14"/>
        </w:rPr>
        <w:t>el</w:t>
      </w:r>
      <w:r>
        <w:rPr>
          <w:color w:val="6D6E71"/>
          <w:spacing w:val="-9"/>
          <w:sz w:val="14"/>
        </w:rPr>
        <w:t> </w:t>
      </w:r>
      <w:r>
        <w:rPr>
          <w:color w:val="6D6E71"/>
          <w:sz w:val="14"/>
        </w:rPr>
        <w:t>propio</w:t>
      </w:r>
      <w:r>
        <w:rPr>
          <w:color w:val="6D6E71"/>
          <w:spacing w:val="-9"/>
          <w:sz w:val="14"/>
        </w:rPr>
        <w:t> </w:t>
      </w:r>
      <w:r>
        <w:rPr>
          <w:color w:val="6D6E71"/>
          <w:sz w:val="14"/>
        </w:rPr>
        <w:t>ayuntamiento.”</w:t>
      </w:r>
      <w:r>
        <w:rPr>
          <w:color w:val="6D6E71"/>
          <w:spacing w:val="-9"/>
          <w:sz w:val="14"/>
        </w:rPr>
        <w:t> </w:t>
      </w:r>
      <w:r>
        <w:rPr>
          <w:color w:val="6D6E71"/>
          <w:sz w:val="14"/>
        </w:rPr>
        <w:t>(Art.</w:t>
      </w:r>
      <w:r>
        <w:rPr>
          <w:color w:val="6D6E71"/>
          <w:spacing w:val="-9"/>
          <w:sz w:val="14"/>
        </w:rPr>
        <w:t> </w:t>
      </w:r>
      <w:r>
        <w:rPr>
          <w:color w:val="6D6E71"/>
          <w:spacing w:val="-4"/>
          <w:sz w:val="14"/>
        </w:rPr>
        <w:t>115,</w:t>
      </w:r>
      <w:r>
        <w:rPr>
          <w:color w:val="6D6E71"/>
          <w:spacing w:val="-9"/>
          <w:sz w:val="14"/>
        </w:rPr>
        <w:t> </w:t>
      </w:r>
      <w:r>
        <w:rPr>
          <w:color w:val="6D6E71"/>
          <w:sz w:val="14"/>
        </w:rPr>
        <w:t>Fracción</w:t>
      </w:r>
      <w:r>
        <w:rPr>
          <w:color w:val="6D6E71"/>
          <w:spacing w:val="-10"/>
          <w:sz w:val="14"/>
        </w:rPr>
        <w:t> </w:t>
      </w:r>
      <w:r>
        <w:rPr>
          <w:color w:val="6D6E71"/>
          <w:sz w:val="14"/>
        </w:rPr>
        <w:t>III</w:t>
      </w:r>
      <w:r>
        <w:rPr>
          <w:color w:val="6D6E71"/>
          <w:spacing w:val="-9"/>
          <w:sz w:val="14"/>
        </w:rPr>
        <w:t> </w:t>
      </w:r>
      <w:r>
        <w:rPr>
          <w:color w:val="6D6E71"/>
          <w:sz w:val="14"/>
        </w:rPr>
        <w:t>de</w:t>
      </w:r>
      <w:r>
        <w:rPr>
          <w:color w:val="6D6E71"/>
          <w:spacing w:val="-9"/>
          <w:sz w:val="14"/>
        </w:rPr>
        <w:t> </w:t>
      </w:r>
      <w:r>
        <w:rPr>
          <w:color w:val="6D6E71"/>
          <w:sz w:val="14"/>
        </w:rPr>
        <w:t>la</w:t>
      </w:r>
      <w:r>
        <w:rPr>
          <w:color w:val="6D6E71"/>
          <w:spacing w:val="-9"/>
          <w:sz w:val="14"/>
        </w:rPr>
        <w:t> </w:t>
      </w:r>
      <w:r>
        <w:rPr>
          <w:color w:val="6D6E71"/>
          <w:sz w:val="14"/>
        </w:rPr>
        <w:t>Constitución).</w:t>
      </w:r>
    </w:p>
    <w:p>
      <w:pPr>
        <w:spacing w:after="0" w:line="357" w:lineRule="auto"/>
        <w:jc w:val="both"/>
        <w:rPr>
          <w:sz w:val="14"/>
        </w:rPr>
        <w:sectPr>
          <w:type w:val="continuous"/>
          <w:pgSz w:w="18830" w:h="12760" w:orient="landscape"/>
          <w:pgMar w:top="1420" w:bottom="280" w:left="720" w:right="720"/>
          <w:cols w:num="2" w:equalWidth="0">
            <w:col w:w="7849" w:space="1556"/>
            <w:col w:w="7985"/>
          </w:cols>
        </w:sectPr>
      </w:pPr>
    </w:p>
    <w:p>
      <w:pPr>
        <w:pStyle w:val="BodyText"/>
        <w:spacing w:before="6"/>
        <w:rPr>
          <w:sz w:val="23"/>
        </w:rPr>
      </w:pPr>
    </w:p>
    <w:p>
      <w:pPr>
        <w:spacing w:after="0"/>
        <w:rPr>
          <w:sz w:val="23"/>
        </w:rPr>
        <w:sectPr>
          <w:footerReference w:type="default" r:id="rId457"/>
          <w:pgSz w:w="18830" w:h="12760" w:orient="landscape"/>
          <w:pgMar w:footer="1036" w:header="522" w:top="820" w:bottom="1220" w:left="720" w:right="720"/>
        </w:sectPr>
      </w:pPr>
    </w:p>
    <w:p>
      <w:pPr>
        <w:pStyle w:val="BodyText"/>
        <w:spacing w:line="249" w:lineRule="auto" w:before="76"/>
        <w:ind w:left="130"/>
        <w:jc w:val="both"/>
      </w:pPr>
      <w:r>
        <w:rPr/>
        <w:t>ciudades mexicanas y adopta la misma delimitación del PRDUVT. Tal coordinación a la fecha, presenta problemas de fragmentación de funciones, de recursos, de poder político y de</w:t>
      </w:r>
      <w:r>
        <w:rPr>
          <w:spacing w:val="-18"/>
        </w:rPr>
        <w:t> </w:t>
      </w:r>
      <w:r>
        <w:rPr/>
        <w:t>estrategia</w:t>
      </w:r>
    </w:p>
    <w:p>
      <w:pPr>
        <w:spacing w:before="38"/>
        <w:ind w:left="2597" w:right="-7" w:firstLine="0"/>
        <w:jc w:val="left"/>
        <w:rPr>
          <w:sz w:val="16"/>
        </w:rPr>
      </w:pPr>
      <w:r>
        <w:rPr/>
        <w:drawing>
          <wp:anchor distT="0" distB="0" distL="0" distR="0" allowOverlap="1" layoutInCell="1" locked="0" behindDoc="0" simplePos="0" relativeHeight="15328">
            <wp:simplePos x="0" y="0"/>
            <wp:positionH relativeFrom="page">
              <wp:posOffset>2489593</wp:posOffset>
            </wp:positionH>
            <wp:positionV relativeFrom="paragraph">
              <wp:posOffset>348695</wp:posOffset>
            </wp:positionV>
            <wp:extent cx="2846791" cy="3236434"/>
            <wp:effectExtent l="0" t="0" r="0" b="0"/>
            <wp:wrapNone/>
            <wp:docPr id="173" name="image123.jpeg" descr=""/>
            <wp:cNvGraphicFramePr>
              <a:graphicFrameLocks noChangeAspect="1"/>
            </wp:cNvGraphicFramePr>
            <a:graphic>
              <a:graphicData uri="http://schemas.openxmlformats.org/drawingml/2006/picture">
                <pic:pic>
                  <pic:nvPicPr>
                    <pic:cNvPr id="174" name="image123.jpeg"/>
                    <pic:cNvPicPr/>
                  </pic:nvPicPr>
                  <pic:blipFill>
                    <a:blip r:embed="rId458" cstate="print"/>
                    <a:stretch>
                      <a:fillRect/>
                    </a:stretch>
                  </pic:blipFill>
                  <pic:spPr>
                    <a:xfrm>
                      <a:off x="0" y="0"/>
                      <a:ext cx="2846791" cy="3236434"/>
                    </a:xfrm>
                    <a:prstGeom prst="rect">
                      <a:avLst/>
                    </a:prstGeom>
                  </pic:spPr>
                </pic:pic>
              </a:graphicData>
            </a:graphic>
          </wp:anchor>
        </w:drawing>
      </w:r>
      <w:r>
        <w:rPr>
          <w:color w:val="6D6E71"/>
          <w:sz w:val="16"/>
        </w:rPr>
        <w:t>Mapa 1. Zona Metropolitana de Toluca</w:t>
      </w:r>
    </w:p>
    <w:p>
      <w:pPr>
        <w:pStyle w:val="BodyText"/>
        <w:spacing w:before="4"/>
        <w:rPr>
          <w:sz w:val="28"/>
        </w:rPr>
      </w:pPr>
      <w:r>
        <w:rPr/>
        <w:drawing>
          <wp:anchor distT="0" distB="0" distL="0" distR="0" allowOverlap="1" layoutInCell="1" locked="0" behindDoc="0" simplePos="0" relativeHeight="15304">
            <wp:simplePos x="0" y="0"/>
            <wp:positionH relativeFrom="page">
              <wp:posOffset>647712</wp:posOffset>
            </wp:positionH>
            <wp:positionV relativeFrom="paragraph">
              <wp:posOffset>232082</wp:posOffset>
            </wp:positionV>
            <wp:extent cx="1690241" cy="1605534"/>
            <wp:effectExtent l="0" t="0" r="0" b="0"/>
            <wp:wrapTopAndBottom/>
            <wp:docPr id="175" name="image124.png" descr=""/>
            <wp:cNvGraphicFramePr>
              <a:graphicFrameLocks noChangeAspect="1"/>
            </wp:cNvGraphicFramePr>
            <a:graphic>
              <a:graphicData uri="http://schemas.openxmlformats.org/drawingml/2006/picture">
                <pic:pic>
                  <pic:nvPicPr>
                    <pic:cNvPr id="176" name="image124.png"/>
                    <pic:cNvPicPr/>
                  </pic:nvPicPr>
                  <pic:blipFill>
                    <a:blip r:embed="rId459" cstate="print"/>
                    <a:stretch>
                      <a:fillRect/>
                    </a:stretch>
                  </pic:blipFill>
                  <pic:spPr>
                    <a:xfrm>
                      <a:off x="0" y="0"/>
                      <a:ext cx="1690241" cy="1605534"/>
                    </a:xfrm>
                    <a:prstGeom prst="rect">
                      <a:avLst/>
                    </a:prstGeom>
                  </pic:spPr>
                </pic:pic>
              </a:graphicData>
            </a:graphic>
          </wp:anchor>
        </w:drawing>
      </w:r>
    </w:p>
    <w:p>
      <w:pPr>
        <w:spacing w:line="312" w:lineRule="auto" w:before="13"/>
        <w:ind w:left="314" w:right="4774" w:firstLine="0"/>
        <w:jc w:val="center"/>
        <w:rPr>
          <w:sz w:val="16"/>
        </w:rPr>
      </w:pPr>
      <w:r>
        <w:rPr>
          <w:sz w:val="16"/>
        </w:rPr>
        <w:t>La ZMT se integra de 22 municipios metropolitanos: Almoloya de Juárez, Almoloya del Rio, Atizapán, Calimaya,</w:t>
      </w:r>
      <w:r>
        <w:rPr>
          <w:w w:val="99"/>
          <w:sz w:val="16"/>
        </w:rPr>
        <w:t> </w:t>
      </w:r>
      <w:r>
        <w:rPr>
          <w:sz w:val="16"/>
        </w:rPr>
        <w:t>Capulhuac, Chapultepec, Lerma, Metepec, Mexicaltzingo, Ocoyoacac, Otzolotepec, Rayón, San Antonio la Isla, San Mateo Atenco, Temoaya, Tenango del Valle, Texcalyacac, Tianguistenco, Toluca, Xalatlaco, Xonacatlán y Zinacantepec</w:t>
      </w:r>
    </w:p>
    <w:p>
      <w:pPr>
        <w:pStyle w:val="BodyText"/>
        <w:rPr>
          <w:sz w:val="21"/>
        </w:rPr>
      </w:pPr>
    </w:p>
    <w:p>
      <w:pPr>
        <w:spacing w:before="1"/>
        <w:ind w:left="492" w:right="-7" w:firstLine="0"/>
        <w:jc w:val="left"/>
        <w:rPr>
          <w:sz w:val="16"/>
        </w:rPr>
      </w:pPr>
      <w:r>
        <w:rPr>
          <w:color w:val="6D6E71"/>
          <w:sz w:val="16"/>
        </w:rPr>
        <w:t>Fuente: Elaboración propia con base en PRDUVT 2005, SEDEMET 2006 y Legislatura Local 2009.</w:t>
      </w:r>
    </w:p>
    <w:p>
      <w:pPr>
        <w:pStyle w:val="BodyText"/>
        <w:spacing w:before="5"/>
        <w:rPr>
          <w:sz w:val="22"/>
        </w:rPr>
      </w:pPr>
    </w:p>
    <w:p>
      <w:pPr>
        <w:pStyle w:val="BodyText"/>
        <w:spacing w:line="249" w:lineRule="auto"/>
        <w:ind w:left="130" w:firstLine="170"/>
        <w:jc w:val="both"/>
      </w:pPr>
      <w:r>
        <w:rPr/>
        <w:t>A continuación se destacan tres problemas fundamentales que aquejan a la coordinación metropolitana en la ZMT:</w:t>
      </w:r>
    </w:p>
    <w:p>
      <w:pPr>
        <w:pStyle w:val="BodyText"/>
        <w:spacing w:before="11"/>
      </w:pPr>
    </w:p>
    <w:p>
      <w:pPr>
        <w:pStyle w:val="ListParagraph"/>
        <w:numPr>
          <w:ilvl w:val="0"/>
          <w:numId w:val="76"/>
        </w:numPr>
        <w:tabs>
          <w:tab w:pos="528" w:val="left" w:leader="none"/>
        </w:tabs>
        <w:spacing w:line="249" w:lineRule="auto" w:before="0" w:after="0"/>
        <w:ind w:left="130" w:right="0" w:firstLine="170"/>
        <w:jc w:val="both"/>
        <w:rPr>
          <w:sz w:val="20"/>
        </w:rPr>
      </w:pPr>
      <w:r>
        <w:rPr>
          <w:sz w:val="20"/>
        </w:rPr>
        <w:t>Delimitación de la estructura metropolitana. Es el primer aspecto a destacar, esta zona metropolitana adolece de una identificación consensada de su configuración actual para el conjunto de las decisiones de los sectores de la administración pública, es decir no existe un territorio único de gobierno. Los 22 municipios en conjunto concentran arriba de los 2 millones de habitantes en 2010, con grados diversos de concentración</w:t>
      </w:r>
      <w:r>
        <w:rPr>
          <w:spacing w:val="23"/>
          <w:sz w:val="20"/>
        </w:rPr>
        <w:t> </w:t>
      </w:r>
      <w:r>
        <w:rPr>
          <w:sz w:val="20"/>
        </w:rPr>
        <w:t>y</w:t>
      </w:r>
      <w:r>
        <w:rPr>
          <w:spacing w:val="23"/>
          <w:sz w:val="20"/>
        </w:rPr>
        <w:t> </w:t>
      </w:r>
      <w:r>
        <w:rPr>
          <w:sz w:val="20"/>
        </w:rPr>
        <w:t>dispersión</w:t>
      </w:r>
      <w:r>
        <w:rPr>
          <w:spacing w:val="23"/>
          <w:sz w:val="20"/>
        </w:rPr>
        <w:t> </w:t>
      </w:r>
      <w:r>
        <w:rPr>
          <w:sz w:val="20"/>
        </w:rPr>
        <w:t>de</w:t>
      </w:r>
      <w:r>
        <w:rPr>
          <w:spacing w:val="23"/>
          <w:sz w:val="20"/>
        </w:rPr>
        <w:t> </w:t>
      </w:r>
      <w:r>
        <w:rPr>
          <w:sz w:val="20"/>
        </w:rPr>
        <w:t>la</w:t>
      </w:r>
      <w:r>
        <w:rPr>
          <w:spacing w:val="23"/>
          <w:sz w:val="20"/>
        </w:rPr>
        <w:t> </w:t>
      </w:r>
      <w:r>
        <w:rPr>
          <w:sz w:val="20"/>
        </w:rPr>
        <w:t>población</w:t>
      </w:r>
      <w:r>
        <w:rPr>
          <w:spacing w:val="23"/>
          <w:sz w:val="20"/>
        </w:rPr>
        <w:t> </w:t>
      </w:r>
      <w:r>
        <w:rPr>
          <w:sz w:val="20"/>
        </w:rPr>
        <w:t>total</w:t>
      </w:r>
      <w:r>
        <w:rPr>
          <w:spacing w:val="23"/>
          <w:sz w:val="20"/>
        </w:rPr>
        <w:t> </w:t>
      </w:r>
      <w:r>
        <w:rPr>
          <w:sz w:val="20"/>
        </w:rPr>
        <w:t>y</w:t>
      </w:r>
      <w:r>
        <w:rPr>
          <w:spacing w:val="23"/>
          <w:sz w:val="20"/>
        </w:rPr>
        <w:t> </w:t>
      </w:r>
      <w:r>
        <w:rPr>
          <w:sz w:val="20"/>
        </w:rPr>
        <w:t>los</w:t>
      </w:r>
      <w:r>
        <w:rPr>
          <w:spacing w:val="23"/>
          <w:sz w:val="20"/>
        </w:rPr>
        <w:t> </w:t>
      </w:r>
      <w:r>
        <w:rPr>
          <w:sz w:val="20"/>
        </w:rPr>
        <w:t>recursos</w:t>
      </w:r>
      <w:r>
        <w:rPr>
          <w:spacing w:val="23"/>
          <w:sz w:val="20"/>
        </w:rPr>
        <w:t> </w:t>
      </w:r>
      <w:r>
        <w:rPr>
          <w:sz w:val="20"/>
        </w:rPr>
        <w:t>en</w:t>
      </w:r>
      <w:r>
        <w:rPr>
          <w:spacing w:val="23"/>
          <w:sz w:val="20"/>
        </w:rPr>
        <w:t> </w:t>
      </w:r>
      <w:r>
        <w:rPr>
          <w:sz w:val="20"/>
        </w:rPr>
        <w:t>general</w:t>
      </w:r>
      <w:r>
        <w:rPr>
          <w:spacing w:val="23"/>
          <w:sz w:val="20"/>
        </w:rPr>
        <w:t> </w:t>
      </w:r>
      <w:r>
        <w:rPr>
          <w:sz w:val="20"/>
        </w:rPr>
        <w:t>(Mapa</w:t>
      </w:r>
      <w:r>
        <w:rPr>
          <w:spacing w:val="23"/>
          <w:sz w:val="20"/>
        </w:rPr>
        <w:t> </w:t>
      </w:r>
      <w:r>
        <w:rPr>
          <w:sz w:val="20"/>
        </w:rPr>
        <w:t>1).</w:t>
      </w:r>
      <w:r>
        <w:rPr>
          <w:w w:val="93"/>
          <w:sz w:val="20"/>
        </w:rPr>
        <w:t> </w:t>
      </w:r>
      <w:r>
        <w:rPr>
          <w:sz w:val="20"/>
        </w:rPr>
        <w:t>Sin embargo no todos ellos interactúan concertadamente para conducir crecimiento y desarrollo metropolitano en una misma dirección e integrado a la</w:t>
      </w:r>
      <w:r>
        <w:rPr>
          <w:spacing w:val="52"/>
          <w:sz w:val="20"/>
        </w:rPr>
        <w:t> </w:t>
      </w:r>
      <w:r>
        <w:rPr>
          <w:sz w:val="20"/>
        </w:rPr>
        <w:t>escala.</w:t>
      </w:r>
    </w:p>
    <w:p>
      <w:pPr>
        <w:pStyle w:val="BodyText"/>
        <w:spacing w:line="249" w:lineRule="auto" w:before="76"/>
        <w:ind w:left="130" w:right="127" w:firstLine="170"/>
        <w:jc w:val="both"/>
      </w:pPr>
      <w:r>
        <w:rPr/>
        <w:br w:type="column"/>
      </w:r>
      <w:r>
        <w:rPr/>
        <w:t>La</w:t>
      </w:r>
      <w:r>
        <w:rPr>
          <w:spacing w:val="-16"/>
        </w:rPr>
        <w:t> </w:t>
      </w:r>
      <w:r>
        <w:rPr/>
        <w:t>ZMT,</w:t>
      </w:r>
      <w:r>
        <w:rPr>
          <w:spacing w:val="-16"/>
        </w:rPr>
        <w:t> </w:t>
      </w:r>
      <w:r>
        <w:rPr/>
        <w:t>en</w:t>
      </w:r>
      <w:r>
        <w:rPr>
          <w:spacing w:val="-16"/>
        </w:rPr>
        <w:t> </w:t>
      </w:r>
      <w:r>
        <w:rPr/>
        <w:t>las</w:t>
      </w:r>
      <w:r>
        <w:rPr>
          <w:spacing w:val="-16"/>
        </w:rPr>
        <w:t> </w:t>
      </w:r>
      <w:r>
        <w:rPr/>
        <w:t>dos</w:t>
      </w:r>
      <w:r>
        <w:rPr>
          <w:spacing w:val="-16"/>
        </w:rPr>
        <w:t> </w:t>
      </w:r>
      <w:r>
        <w:rPr/>
        <w:t>últimas</w:t>
      </w:r>
      <w:r>
        <w:rPr>
          <w:spacing w:val="-16"/>
        </w:rPr>
        <w:t> </w:t>
      </w:r>
      <w:r>
        <w:rPr/>
        <w:t>décadas,</w:t>
      </w:r>
      <w:r>
        <w:rPr>
          <w:spacing w:val="-16"/>
        </w:rPr>
        <w:t> </w:t>
      </w:r>
      <w:r>
        <w:rPr/>
        <w:t>se</w:t>
      </w:r>
      <w:r>
        <w:rPr>
          <w:spacing w:val="-16"/>
        </w:rPr>
        <w:t> </w:t>
      </w:r>
      <w:r>
        <w:rPr/>
        <w:t>ha</w:t>
      </w:r>
      <w:r>
        <w:rPr>
          <w:spacing w:val="-16"/>
        </w:rPr>
        <w:t> </w:t>
      </w:r>
      <w:r>
        <w:rPr/>
        <w:t>extendido</w:t>
      </w:r>
      <w:r>
        <w:rPr>
          <w:spacing w:val="-16"/>
        </w:rPr>
        <w:t> </w:t>
      </w:r>
      <w:r>
        <w:rPr/>
        <w:t>y</w:t>
      </w:r>
      <w:r>
        <w:rPr>
          <w:spacing w:val="-16"/>
        </w:rPr>
        <w:t> </w:t>
      </w:r>
      <w:r>
        <w:rPr/>
        <w:t>también</w:t>
      </w:r>
      <w:r>
        <w:rPr>
          <w:spacing w:val="-16"/>
        </w:rPr>
        <w:t> </w:t>
      </w:r>
      <w:r>
        <w:rPr/>
        <w:t>ha</w:t>
      </w:r>
      <w:r>
        <w:rPr>
          <w:spacing w:val="-16"/>
        </w:rPr>
        <w:t> </w:t>
      </w:r>
      <w:r>
        <w:rPr/>
        <w:t>ganado</w:t>
      </w:r>
      <w:r>
        <w:rPr>
          <w:spacing w:val="-16"/>
        </w:rPr>
        <w:t> </w:t>
      </w:r>
      <w:r>
        <w:rPr/>
        <w:t>importancia económica estatal y en la región centro del país, lo que impactó en la envergadura de su funcionamiento. Un estudio reciente (Camacho, 2015) examina las interrelaciones diarias de dichos 22 municipios, -con base en encuesta origen-destino en 2007-, exhibe que la ZMT ha ampliado las relaciones a cuando menos 67 municipios más      y que mantiene relaciones con 27 entidades federativas en el país. La actual unidad funcional urbana diaria (cualquiera sea) no cuenta con instrumentos para corregir la fragmentación administrativa, las ineficiencias, los  déficits  de  desarrollo  urbano  y las desigualdades internas, todo ello pasa por actualizar la configuración espacial y repensar la gestión metropolitana más allá de los dos sectores –desarrollo urbano y metropolitano- para integrar la instrumentación de las decisiones de otros sectores – economía, comunicación, ambiente, etc.-, por tanto reconocer e instrumentar la escala de funcionamiento es el paso</w:t>
      </w:r>
      <w:r>
        <w:rPr>
          <w:spacing w:val="28"/>
        </w:rPr>
        <w:t> </w:t>
      </w:r>
      <w:r>
        <w:rPr/>
        <w:t>inicial.</w:t>
      </w:r>
    </w:p>
    <w:p>
      <w:pPr>
        <w:pStyle w:val="BodyText"/>
        <w:spacing w:before="11"/>
      </w:pPr>
    </w:p>
    <w:p>
      <w:pPr>
        <w:pStyle w:val="ListParagraph"/>
        <w:numPr>
          <w:ilvl w:val="0"/>
          <w:numId w:val="76"/>
        </w:numPr>
        <w:tabs>
          <w:tab w:pos="499" w:val="left" w:leader="none"/>
        </w:tabs>
        <w:spacing w:line="249" w:lineRule="auto" w:before="0" w:after="0"/>
        <w:ind w:left="130" w:right="127" w:firstLine="170"/>
        <w:jc w:val="both"/>
        <w:rPr>
          <w:sz w:val="20"/>
        </w:rPr>
      </w:pPr>
      <w:r>
        <w:rPr>
          <w:sz w:val="20"/>
        </w:rPr>
        <w:t>Coordinación</w:t>
      </w:r>
      <w:r>
        <w:rPr>
          <w:spacing w:val="-18"/>
          <w:sz w:val="20"/>
        </w:rPr>
        <w:t> </w:t>
      </w:r>
      <w:r>
        <w:rPr>
          <w:sz w:val="20"/>
        </w:rPr>
        <w:t>metropolitana</w:t>
      </w:r>
      <w:r>
        <w:rPr>
          <w:spacing w:val="-18"/>
          <w:sz w:val="20"/>
        </w:rPr>
        <w:t> </w:t>
      </w:r>
      <w:r>
        <w:rPr>
          <w:sz w:val="20"/>
        </w:rPr>
        <w:t>estacionada</w:t>
      </w:r>
      <w:r>
        <w:rPr>
          <w:spacing w:val="-18"/>
          <w:sz w:val="20"/>
        </w:rPr>
        <w:t> </w:t>
      </w:r>
      <w:r>
        <w:rPr>
          <w:sz w:val="20"/>
        </w:rPr>
        <w:t>en</w:t>
      </w:r>
      <w:r>
        <w:rPr>
          <w:spacing w:val="-18"/>
          <w:sz w:val="20"/>
        </w:rPr>
        <w:t> </w:t>
      </w:r>
      <w:r>
        <w:rPr>
          <w:sz w:val="20"/>
        </w:rPr>
        <w:t>el</w:t>
      </w:r>
      <w:r>
        <w:rPr>
          <w:spacing w:val="-18"/>
          <w:sz w:val="20"/>
        </w:rPr>
        <w:t> </w:t>
      </w:r>
      <w:r>
        <w:rPr>
          <w:sz w:val="20"/>
        </w:rPr>
        <w:t>ámbito</w:t>
      </w:r>
      <w:r>
        <w:rPr>
          <w:spacing w:val="-18"/>
          <w:sz w:val="20"/>
        </w:rPr>
        <w:t> </w:t>
      </w:r>
      <w:r>
        <w:rPr>
          <w:sz w:val="20"/>
        </w:rPr>
        <w:t>estatal.</w:t>
      </w:r>
      <w:r>
        <w:rPr>
          <w:spacing w:val="-18"/>
          <w:sz w:val="20"/>
        </w:rPr>
        <w:t> </w:t>
      </w:r>
      <w:r>
        <w:rPr>
          <w:sz w:val="20"/>
        </w:rPr>
        <w:t>Es</w:t>
      </w:r>
      <w:r>
        <w:rPr>
          <w:spacing w:val="-18"/>
          <w:sz w:val="20"/>
        </w:rPr>
        <w:t> </w:t>
      </w:r>
      <w:r>
        <w:rPr>
          <w:sz w:val="20"/>
        </w:rPr>
        <w:t>el</w:t>
      </w:r>
      <w:r>
        <w:rPr>
          <w:spacing w:val="-18"/>
          <w:sz w:val="20"/>
        </w:rPr>
        <w:t> </w:t>
      </w:r>
      <w:r>
        <w:rPr>
          <w:sz w:val="20"/>
        </w:rPr>
        <w:t>segundo</w:t>
      </w:r>
      <w:r>
        <w:rPr>
          <w:spacing w:val="-18"/>
          <w:sz w:val="20"/>
        </w:rPr>
        <w:t> </w:t>
      </w:r>
      <w:r>
        <w:rPr>
          <w:sz w:val="20"/>
        </w:rPr>
        <w:t>aspecto a destacar, no obstante el aparato administrativo y pautas indicadas por la Secretaria de Desarrollo Metropolitano creada en 2001, en la ZMT no existe coordinación entre los 22 municipios que la integran para atender los asuntos metropolitanos ni entre los sectores de la administración para actuar en todos ellos. (Cuadro</w:t>
      </w:r>
      <w:r>
        <w:rPr>
          <w:spacing w:val="34"/>
          <w:sz w:val="20"/>
        </w:rPr>
        <w:t> </w:t>
      </w:r>
      <w:r>
        <w:rPr>
          <w:sz w:val="20"/>
        </w:rPr>
        <w:t>4).</w:t>
      </w:r>
    </w:p>
    <w:p>
      <w:pPr>
        <w:pStyle w:val="BodyText"/>
        <w:spacing w:before="11"/>
      </w:pPr>
    </w:p>
    <w:p>
      <w:pPr>
        <w:pStyle w:val="BodyText"/>
        <w:spacing w:line="249" w:lineRule="auto"/>
        <w:ind w:left="130" w:right="127" w:firstLine="170"/>
        <w:jc w:val="both"/>
      </w:pPr>
      <w:r>
        <w:rPr/>
        <w:t>Por un lado, los municipios no tienen papel activo en los asuntos metropolitanos,    no cuentan con estructura administrativa para atender los seis temas de la agenda metropolitana delineada por la SEDEMET, misma que no se integra en los planes     de desarrollo municipal, al de desarrollo urbano y al ordenamiento ambiental. Por sí solos los municipios no plantean proyectos metropolitanos. Por otro lado, el programa sectorial de la SEDEMET, no reporta evaluación de los alcances de cada una de las seis</w:t>
      </w:r>
      <w:r>
        <w:rPr>
          <w:spacing w:val="-11"/>
        </w:rPr>
        <w:t> </w:t>
      </w:r>
      <w:r>
        <w:rPr/>
        <w:t>agendas,</w:t>
      </w:r>
      <w:r>
        <w:rPr>
          <w:spacing w:val="-10"/>
        </w:rPr>
        <w:t> </w:t>
      </w:r>
      <w:r>
        <w:rPr/>
        <w:t>no</w:t>
      </w:r>
      <w:r>
        <w:rPr>
          <w:spacing w:val="-11"/>
        </w:rPr>
        <w:t> </w:t>
      </w:r>
      <w:r>
        <w:rPr/>
        <w:t>hay</w:t>
      </w:r>
      <w:r>
        <w:rPr>
          <w:spacing w:val="-11"/>
        </w:rPr>
        <w:t> </w:t>
      </w:r>
      <w:r>
        <w:rPr/>
        <w:t>un</w:t>
      </w:r>
      <w:r>
        <w:rPr>
          <w:spacing w:val="-11"/>
        </w:rPr>
        <w:t> </w:t>
      </w:r>
      <w:r>
        <w:rPr/>
        <w:t>instrumento</w:t>
      </w:r>
      <w:r>
        <w:rPr>
          <w:spacing w:val="-10"/>
        </w:rPr>
        <w:t> </w:t>
      </w:r>
      <w:r>
        <w:rPr/>
        <w:t>de</w:t>
      </w:r>
      <w:r>
        <w:rPr>
          <w:spacing w:val="-11"/>
        </w:rPr>
        <w:t> </w:t>
      </w:r>
      <w:r>
        <w:rPr/>
        <w:t>seguimiento</w:t>
      </w:r>
      <w:r>
        <w:rPr>
          <w:spacing w:val="-11"/>
        </w:rPr>
        <w:t> </w:t>
      </w:r>
      <w:r>
        <w:rPr/>
        <w:t>a</w:t>
      </w:r>
      <w:r>
        <w:rPr>
          <w:spacing w:val="-11"/>
        </w:rPr>
        <w:t> </w:t>
      </w:r>
      <w:r>
        <w:rPr/>
        <w:t>los</w:t>
      </w:r>
      <w:r>
        <w:rPr>
          <w:spacing w:val="-11"/>
        </w:rPr>
        <w:t> </w:t>
      </w:r>
      <w:r>
        <w:rPr/>
        <w:t>sectores</w:t>
      </w:r>
      <w:r>
        <w:rPr>
          <w:spacing w:val="-11"/>
        </w:rPr>
        <w:t> </w:t>
      </w:r>
      <w:r>
        <w:rPr/>
        <w:t>de</w:t>
      </w:r>
      <w:r>
        <w:rPr>
          <w:spacing w:val="-11"/>
        </w:rPr>
        <w:t> </w:t>
      </w:r>
      <w:r>
        <w:rPr/>
        <w:t>la</w:t>
      </w:r>
      <w:r>
        <w:rPr>
          <w:spacing w:val="-11"/>
        </w:rPr>
        <w:t> </w:t>
      </w:r>
      <w:r>
        <w:rPr/>
        <w:t>administración pública vinculados con la agenda; no existe rendición de cuentas de programas y proyectos</w:t>
      </w:r>
      <w:r>
        <w:rPr>
          <w:spacing w:val="-4"/>
        </w:rPr>
        <w:t> </w:t>
      </w:r>
      <w:r>
        <w:rPr/>
        <w:t>de</w:t>
      </w:r>
      <w:r>
        <w:rPr>
          <w:spacing w:val="-5"/>
        </w:rPr>
        <w:t> </w:t>
      </w:r>
      <w:r>
        <w:rPr/>
        <w:t>la</w:t>
      </w:r>
      <w:r>
        <w:rPr>
          <w:spacing w:val="-5"/>
        </w:rPr>
        <w:t> </w:t>
      </w:r>
      <w:r>
        <w:rPr/>
        <w:t>agenda.</w:t>
      </w:r>
      <w:r>
        <w:rPr>
          <w:spacing w:val="-4"/>
        </w:rPr>
        <w:t> </w:t>
      </w:r>
      <w:r>
        <w:rPr/>
        <w:t>Adicionalmente</w:t>
      </w:r>
      <w:r>
        <w:rPr>
          <w:spacing w:val="-5"/>
        </w:rPr>
        <w:t> </w:t>
      </w:r>
      <w:r>
        <w:rPr/>
        <w:t>la</w:t>
      </w:r>
      <w:r>
        <w:rPr>
          <w:spacing w:val="-5"/>
        </w:rPr>
        <w:t> </w:t>
      </w:r>
      <w:r>
        <w:rPr/>
        <w:t>sociedad</w:t>
      </w:r>
      <w:r>
        <w:rPr>
          <w:spacing w:val="-5"/>
        </w:rPr>
        <w:t> </w:t>
      </w:r>
      <w:r>
        <w:rPr/>
        <w:t>civil</w:t>
      </w:r>
      <w:r>
        <w:rPr>
          <w:spacing w:val="-5"/>
        </w:rPr>
        <w:t> </w:t>
      </w:r>
      <w:r>
        <w:rPr/>
        <w:t>no</w:t>
      </w:r>
      <w:r>
        <w:rPr>
          <w:spacing w:val="-5"/>
        </w:rPr>
        <w:t> </w:t>
      </w:r>
      <w:r>
        <w:rPr/>
        <w:t>participa</w:t>
      </w:r>
      <w:r>
        <w:rPr>
          <w:spacing w:val="-4"/>
        </w:rPr>
        <w:t> </w:t>
      </w:r>
      <w:r>
        <w:rPr/>
        <w:t>en</w:t>
      </w:r>
      <w:r>
        <w:rPr>
          <w:spacing w:val="-5"/>
        </w:rPr>
        <w:t> </w:t>
      </w:r>
      <w:r>
        <w:rPr/>
        <w:t>esta</w:t>
      </w:r>
      <w:r>
        <w:rPr>
          <w:spacing w:val="-5"/>
        </w:rPr>
        <w:t> </w:t>
      </w:r>
      <w:r>
        <w:rPr/>
        <w:t>escala</w:t>
      </w:r>
      <w:r>
        <w:rPr>
          <w:spacing w:val="-4"/>
        </w:rPr>
        <w:t> </w:t>
      </w:r>
      <w:r>
        <w:rPr/>
        <w:t>de problemas,</w:t>
      </w:r>
      <w:r>
        <w:rPr>
          <w:spacing w:val="-11"/>
        </w:rPr>
        <w:t> </w:t>
      </w:r>
      <w:r>
        <w:rPr/>
        <w:t>no</w:t>
      </w:r>
      <w:r>
        <w:rPr>
          <w:spacing w:val="-12"/>
        </w:rPr>
        <w:t> </w:t>
      </w:r>
      <w:r>
        <w:rPr/>
        <w:t>cuentan</w:t>
      </w:r>
      <w:r>
        <w:rPr>
          <w:spacing w:val="-12"/>
        </w:rPr>
        <w:t> </w:t>
      </w:r>
      <w:r>
        <w:rPr/>
        <w:t>con</w:t>
      </w:r>
      <w:r>
        <w:rPr>
          <w:spacing w:val="-12"/>
        </w:rPr>
        <w:t> </w:t>
      </w:r>
      <w:r>
        <w:rPr/>
        <w:t>los</w:t>
      </w:r>
      <w:r>
        <w:rPr>
          <w:spacing w:val="-12"/>
        </w:rPr>
        <w:t> </w:t>
      </w:r>
      <w:r>
        <w:rPr/>
        <w:t>mecanismos</w:t>
      </w:r>
      <w:r>
        <w:rPr>
          <w:spacing w:val="-12"/>
        </w:rPr>
        <w:t> </w:t>
      </w:r>
      <w:r>
        <w:rPr/>
        <w:t>de</w:t>
      </w:r>
      <w:r>
        <w:rPr>
          <w:spacing w:val="-12"/>
        </w:rPr>
        <w:t> </w:t>
      </w:r>
      <w:r>
        <w:rPr/>
        <w:t>participación</w:t>
      </w:r>
      <w:r>
        <w:rPr>
          <w:spacing w:val="-12"/>
        </w:rPr>
        <w:t> </w:t>
      </w:r>
      <w:r>
        <w:rPr/>
        <w:t>ciudadana</w:t>
      </w:r>
      <w:r>
        <w:rPr>
          <w:spacing w:val="-12"/>
        </w:rPr>
        <w:t> </w:t>
      </w:r>
      <w:r>
        <w:rPr/>
        <w:t>para</w:t>
      </w:r>
      <w:r>
        <w:rPr>
          <w:spacing w:val="-12"/>
        </w:rPr>
        <w:t> </w:t>
      </w:r>
      <w:r>
        <w:rPr/>
        <w:t>los</w:t>
      </w:r>
      <w:r>
        <w:rPr>
          <w:spacing w:val="-12"/>
        </w:rPr>
        <w:t> </w:t>
      </w:r>
      <w:r>
        <w:rPr/>
        <w:t>planes, proyectos y acciones públicas</w:t>
      </w:r>
      <w:r>
        <w:rPr>
          <w:spacing w:val="-22"/>
        </w:rPr>
        <w:t> </w:t>
      </w:r>
      <w:r>
        <w:rPr/>
        <w:t>metropolitanas.</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p>
    <w:p>
      <w:pPr>
        <w:spacing w:after="0"/>
        <w:rPr>
          <w:sz w:val="23"/>
        </w:rPr>
        <w:sectPr>
          <w:footerReference w:type="default" r:id="rId460"/>
          <w:pgSz w:w="18830" w:h="12760" w:orient="landscape"/>
          <w:pgMar w:footer="1036" w:header="522" w:top="820" w:bottom="1220" w:left="720" w:right="700"/>
        </w:sectPr>
      </w:pPr>
    </w:p>
    <w:p>
      <w:pPr>
        <w:spacing w:before="114"/>
        <w:ind w:left="982" w:right="842" w:firstLine="0"/>
        <w:jc w:val="center"/>
        <w:rPr>
          <w:sz w:val="16"/>
        </w:rPr>
      </w:pPr>
      <w:r>
        <w:rPr/>
        <w:pict>
          <v:line style="position:absolute;mso-position-horizontal-relative:page;mso-position-vertical-relative:paragraph;z-index:-637408" from="241.546799pt,31.669724pt" to="241.546799pt,31.669724pt" stroked="true" strokeweight=".5pt" strokecolor="#929292">
            <w10:wrap type="none"/>
          </v:line>
        </w:pict>
      </w:r>
      <w:r>
        <w:rPr/>
        <w:pict>
          <v:line style="position:absolute;mso-position-horizontal-relative:page;mso-position-vertical-relative:paragraph;z-index:-637384" from="43.296799pt,70.381721pt" to="43.296799pt,70.381721pt" stroked="true" strokeweight=".5pt" strokecolor="#929292">
            <w10:wrap type="none"/>
          </v:line>
        </w:pict>
      </w:r>
      <w:r>
        <w:rPr/>
        <w:pict>
          <v:line style="position:absolute;mso-position-horizontal-relative:page;mso-position-vertical-relative:paragraph;z-index:-637360" from="428.308807pt,70.381721pt" to="428.308807pt,70.381721pt" stroked="true" strokeweight=".5pt" strokecolor="#929292">
            <w10:wrap type="none"/>
          </v:line>
        </w:pict>
      </w:r>
      <w:r>
        <w:rPr/>
        <w:pict>
          <v:line style="position:absolute;mso-position-horizontal-relative:page;mso-position-vertical-relative:paragraph;z-index:-637336" from="43.296799pt,120.59362pt" to="43.296799pt,120.59362pt" stroked="true" strokeweight=".5pt" strokecolor="#929292">
            <w10:wrap type="none"/>
          </v:line>
        </w:pict>
      </w:r>
      <w:r>
        <w:rPr/>
        <w:pict>
          <v:line style="position:absolute;mso-position-horizontal-relative:page;mso-position-vertical-relative:paragraph;z-index:-637312" from="428.308807pt,120.59362pt" to="428.308807pt,120.59362pt" stroked="true" strokeweight=".5pt" strokecolor="#929292">
            <w10:wrap type="none"/>
          </v:line>
        </w:pict>
      </w:r>
      <w:r>
        <w:rPr>
          <w:color w:val="6D6E71"/>
          <w:sz w:val="16"/>
        </w:rPr>
        <w:t>Cuadro 4. Coordinación metropolitana institucional en la  ZMT</w:t>
      </w:r>
    </w:p>
    <w:p>
      <w:pPr>
        <w:pStyle w:val="BodyText"/>
        <w:spacing w:before="10"/>
        <w:rPr>
          <w:sz w:val="8"/>
        </w:rPr>
      </w:pPr>
    </w:p>
    <w:tbl>
      <w:tblPr>
        <w:tblW w:w="0" w:type="auto"/>
        <w:jc w:val="left"/>
        <w:tblInd w:w="1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70"/>
        <w:gridCol w:w="3740"/>
      </w:tblGrid>
      <w:tr>
        <w:trPr>
          <w:trHeight w:val="228" w:hRule="exact"/>
        </w:trPr>
        <w:tc>
          <w:tcPr>
            <w:tcW w:w="7710" w:type="dxa"/>
            <w:gridSpan w:val="2"/>
            <w:shd w:val="clear" w:color="auto" w:fill="929292"/>
          </w:tcPr>
          <w:p>
            <w:pPr>
              <w:pStyle w:val="TableParagraph"/>
              <w:tabs>
                <w:tab w:pos="5451" w:val="left" w:leader="none"/>
              </w:tabs>
              <w:spacing w:before="21"/>
              <w:ind w:left="1399" w:right="1026"/>
              <w:rPr>
                <w:sz w:val="16"/>
              </w:rPr>
            </w:pPr>
            <w:r>
              <w:rPr>
                <w:sz w:val="16"/>
              </w:rPr>
              <w:t>Institucionalidad</w:t>
              <w:tab/>
              <w:t>Evaluación</w:t>
            </w:r>
          </w:p>
        </w:tc>
      </w:tr>
      <w:tr>
        <w:trPr>
          <w:trHeight w:val="5426" w:hRule="exact"/>
        </w:trPr>
        <w:tc>
          <w:tcPr>
            <w:tcW w:w="3970" w:type="dxa"/>
            <w:tcBorders>
              <w:right w:val="dotted" w:sz="4" w:space="0" w:color="929292"/>
            </w:tcBorders>
          </w:tcPr>
          <w:p>
            <w:pPr>
              <w:pStyle w:val="TableParagraph"/>
              <w:numPr>
                <w:ilvl w:val="0"/>
                <w:numId w:val="77"/>
              </w:numPr>
              <w:tabs>
                <w:tab w:pos="222" w:val="left" w:leader="none"/>
              </w:tabs>
              <w:spacing w:line="150" w:lineRule="exact" w:before="0" w:after="0"/>
              <w:ind w:left="221" w:right="0" w:hanging="114"/>
              <w:jc w:val="left"/>
              <w:rPr>
                <w:sz w:val="16"/>
              </w:rPr>
            </w:pPr>
            <w:r>
              <w:rPr>
                <w:i/>
                <w:sz w:val="16"/>
              </w:rPr>
              <w:t>Gobierno. </w:t>
            </w:r>
            <w:r>
              <w:rPr>
                <w:sz w:val="16"/>
              </w:rPr>
              <w:t>Secretaría de Desarrollo</w:t>
            </w:r>
            <w:r>
              <w:rPr>
                <w:spacing w:val="18"/>
                <w:sz w:val="16"/>
              </w:rPr>
              <w:t> </w:t>
            </w:r>
            <w:r>
              <w:rPr>
                <w:sz w:val="16"/>
              </w:rPr>
              <w:t>Metropolitano</w:t>
            </w:r>
          </w:p>
          <w:p>
            <w:pPr>
              <w:pStyle w:val="TableParagraph"/>
              <w:spacing w:line="288" w:lineRule="auto" w:before="34"/>
              <w:ind w:left="192" w:right="200"/>
              <w:jc w:val="center"/>
              <w:rPr>
                <w:sz w:val="16"/>
              </w:rPr>
            </w:pPr>
            <w:r>
              <w:rPr>
                <w:sz w:val="16"/>
              </w:rPr>
              <w:t>(SEDEMET) creada en 2001. Promueve, coordina</w:t>
            </w:r>
            <w:r>
              <w:rPr>
                <w:w w:val="102"/>
                <w:sz w:val="16"/>
              </w:rPr>
              <w:t> </w:t>
            </w:r>
            <w:r>
              <w:rPr>
                <w:sz w:val="16"/>
              </w:rPr>
              <w:t>y evalúa las acciones del desarrollo en las ZM de</w:t>
            </w:r>
          </w:p>
          <w:p>
            <w:pPr>
              <w:pStyle w:val="TableParagraph"/>
              <w:tabs>
                <w:tab w:pos="3954" w:val="left" w:leader="none"/>
              </w:tabs>
              <w:ind w:left="35"/>
              <w:rPr>
                <w:sz w:val="16"/>
              </w:rPr>
            </w:pPr>
            <w:r>
              <w:rPr>
                <w:w w:val="100"/>
                <w:sz w:val="16"/>
                <w:u w:val="dotted" w:color="929292"/>
              </w:rPr>
              <w:t> </w:t>
            </w:r>
            <w:r>
              <w:rPr>
                <w:sz w:val="16"/>
                <w:u w:val="dotted" w:color="929292"/>
              </w:rPr>
              <w:t>  </w:t>
            </w:r>
            <w:r>
              <w:rPr>
                <w:spacing w:val="8"/>
                <w:sz w:val="16"/>
                <w:u w:val="dotted" w:color="929292"/>
              </w:rPr>
              <w:t> </w:t>
            </w:r>
            <w:r>
              <w:rPr>
                <w:sz w:val="16"/>
                <w:u w:val="dotted" w:color="929292"/>
              </w:rPr>
              <w:t>la</w:t>
            </w:r>
            <w:r>
              <w:rPr>
                <w:spacing w:val="8"/>
                <w:sz w:val="16"/>
                <w:u w:val="dotted" w:color="929292"/>
              </w:rPr>
              <w:t> </w:t>
            </w:r>
            <w:r>
              <w:rPr>
                <w:sz w:val="16"/>
                <w:u w:val="dotted" w:color="929292"/>
              </w:rPr>
              <w:t>entidad.</w:t>
              <w:tab/>
            </w:r>
          </w:p>
          <w:p>
            <w:pPr>
              <w:pStyle w:val="TableParagraph"/>
              <w:spacing w:before="10"/>
              <w:rPr>
                <w:sz w:val="13"/>
              </w:rPr>
            </w:pPr>
          </w:p>
          <w:p>
            <w:pPr>
              <w:pStyle w:val="TableParagraph"/>
              <w:numPr>
                <w:ilvl w:val="0"/>
                <w:numId w:val="77"/>
              </w:numPr>
              <w:tabs>
                <w:tab w:pos="222" w:val="left" w:leader="none"/>
              </w:tabs>
              <w:spacing w:line="285" w:lineRule="auto" w:before="0" w:after="0"/>
              <w:ind w:left="221" w:right="674" w:hanging="113"/>
              <w:jc w:val="both"/>
              <w:rPr>
                <w:sz w:val="16"/>
              </w:rPr>
            </w:pPr>
            <w:r>
              <w:rPr>
                <w:i/>
                <w:sz w:val="16"/>
              </w:rPr>
              <w:t>Programa</w:t>
            </w:r>
            <w:r>
              <w:rPr>
                <w:i/>
                <w:spacing w:val="-8"/>
                <w:sz w:val="16"/>
              </w:rPr>
              <w:t> </w:t>
            </w:r>
            <w:r>
              <w:rPr>
                <w:sz w:val="16"/>
              </w:rPr>
              <w:t>sectorial</w:t>
            </w:r>
            <w:r>
              <w:rPr>
                <w:spacing w:val="-8"/>
                <w:sz w:val="16"/>
              </w:rPr>
              <w:t> </w:t>
            </w:r>
            <w:r>
              <w:rPr>
                <w:sz w:val="16"/>
              </w:rPr>
              <w:t>de</w:t>
            </w:r>
            <w:r>
              <w:rPr>
                <w:spacing w:val="-8"/>
                <w:sz w:val="16"/>
              </w:rPr>
              <w:t> </w:t>
            </w:r>
            <w:r>
              <w:rPr>
                <w:sz w:val="16"/>
              </w:rPr>
              <w:t>la</w:t>
            </w:r>
            <w:r>
              <w:rPr>
                <w:spacing w:val="-8"/>
                <w:sz w:val="16"/>
              </w:rPr>
              <w:t> </w:t>
            </w:r>
            <w:r>
              <w:rPr>
                <w:sz w:val="16"/>
              </w:rPr>
              <w:t>SEDEMET.</w:t>
            </w:r>
            <w:r>
              <w:rPr>
                <w:spacing w:val="-8"/>
                <w:sz w:val="16"/>
              </w:rPr>
              <w:t> </w:t>
            </w:r>
            <w:r>
              <w:rPr>
                <w:sz w:val="16"/>
              </w:rPr>
              <w:t>Define agendas, propuestas y proyectos. Informa anualmente a nivel</w:t>
            </w:r>
            <w:r>
              <w:rPr>
                <w:spacing w:val="-7"/>
                <w:sz w:val="16"/>
              </w:rPr>
              <w:t> </w:t>
            </w:r>
            <w:r>
              <w:rPr>
                <w:sz w:val="16"/>
              </w:rPr>
              <w:t>estatal.</w:t>
            </w:r>
          </w:p>
          <w:p>
            <w:pPr>
              <w:pStyle w:val="TableParagraph"/>
              <w:tabs>
                <w:tab w:pos="3954" w:val="left" w:leader="none"/>
              </w:tabs>
              <w:spacing w:line="154" w:lineRule="exact" w:before="2"/>
              <w:ind w:left="35"/>
              <w:rPr>
                <w:sz w:val="16"/>
              </w:rPr>
            </w:pPr>
            <w:r>
              <w:rPr>
                <w:w w:val="100"/>
                <w:sz w:val="16"/>
                <w:u w:val="dotted" w:color="929292"/>
              </w:rPr>
              <w:t> </w:t>
            </w:r>
            <w:r>
              <w:rPr>
                <w:sz w:val="16"/>
                <w:u w:val="dotted" w:color="929292"/>
              </w:rPr>
              <w:tab/>
            </w:r>
          </w:p>
          <w:p>
            <w:pPr>
              <w:pStyle w:val="TableParagraph"/>
              <w:numPr>
                <w:ilvl w:val="0"/>
                <w:numId w:val="77"/>
              </w:numPr>
              <w:tabs>
                <w:tab w:pos="222" w:val="left" w:leader="none"/>
              </w:tabs>
              <w:spacing w:line="156" w:lineRule="exact" w:before="0" w:after="0"/>
              <w:ind w:left="221" w:right="0" w:hanging="113"/>
              <w:jc w:val="left"/>
              <w:rPr>
                <w:sz w:val="16"/>
              </w:rPr>
            </w:pPr>
            <w:r>
              <w:rPr>
                <w:i/>
                <w:sz w:val="16"/>
              </w:rPr>
              <w:t>Agenda metropolitana: </w:t>
            </w:r>
            <w:r>
              <w:rPr>
                <w:sz w:val="16"/>
              </w:rPr>
              <w:t>seguridad</w:t>
            </w:r>
            <w:r>
              <w:rPr>
                <w:spacing w:val="34"/>
                <w:sz w:val="16"/>
              </w:rPr>
              <w:t> </w:t>
            </w:r>
            <w:r>
              <w:rPr>
                <w:sz w:val="16"/>
              </w:rPr>
              <w:t>pública;</w:t>
            </w:r>
          </w:p>
          <w:p>
            <w:pPr>
              <w:pStyle w:val="TableParagraph"/>
              <w:spacing w:line="288" w:lineRule="auto" w:before="34"/>
              <w:ind w:left="221" w:right="215"/>
              <w:rPr>
                <w:sz w:val="16"/>
              </w:rPr>
            </w:pPr>
            <w:r>
              <w:rPr>
                <w:sz w:val="16"/>
              </w:rPr>
              <w:t>desarrollo urbano; transporte y vialidad; protección civil; medio ambiente; y agua y drenaje. Deben operarse desde los programas respectivos de los sectores del nivel estatal en</w:t>
            </w:r>
          </w:p>
          <w:p>
            <w:pPr>
              <w:pStyle w:val="TableParagraph"/>
              <w:tabs>
                <w:tab w:pos="3954" w:val="left" w:leader="none"/>
              </w:tabs>
              <w:ind w:left="35"/>
              <w:rPr>
                <w:sz w:val="16"/>
              </w:rPr>
            </w:pPr>
            <w:r>
              <w:rPr>
                <w:w w:val="100"/>
                <w:sz w:val="16"/>
                <w:u w:val="dotted" w:color="929292"/>
              </w:rPr>
              <w:t> </w:t>
            </w:r>
            <w:r>
              <w:rPr>
                <w:sz w:val="16"/>
                <w:u w:val="dotted" w:color="929292"/>
              </w:rPr>
              <w:t>  </w:t>
            </w:r>
            <w:r>
              <w:rPr>
                <w:spacing w:val="8"/>
                <w:sz w:val="16"/>
                <w:u w:val="dotted" w:color="929292"/>
              </w:rPr>
              <w:t> </w:t>
            </w:r>
            <w:r>
              <w:rPr>
                <w:sz w:val="16"/>
                <w:u w:val="dotted" w:color="929292"/>
              </w:rPr>
              <w:t>coordinación con el nivel</w:t>
            </w:r>
            <w:r>
              <w:rPr>
                <w:spacing w:val="37"/>
                <w:sz w:val="16"/>
                <w:u w:val="dotted" w:color="929292"/>
              </w:rPr>
              <w:t> </w:t>
            </w:r>
            <w:r>
              <w:rPr>
                <w:sz w:val="16"/>
                <w:u w:val="dotted" w:color="929292"/>
              </w:rPr>
              <w:t>municipal.</w:t>
              <w:tab/>
            </w:r>
          </w:p>
          <w:p>
            <w:pPr>
              <w:pStyle w:val="TableParagraph"/>
              <w:rPr>
                <w:sz w:val="16"/>
              </w:rPr>
            </w:pPr>
          </w:p>
          <w:p>
            <w:pPr>
              <w:pStyle w:val="TableParagraph"/>
              <w:rPr>
                <w:sz w:val="17"/>
              </w:rPr>
            </w:pPr>
          </w:p>
          <w:p>
            <w:pPr>
              <w:pStyle w:val="TableParagraph"/>
              <w:numPr>
                <w:ilvl w:val="0"/>
                <w:numId w:val="77"/>
              </w:numPr>
              <w:tabs>
                <w:tab w:pos="222" w:val="left" w:leader="none"/>
              </w:tabs>
              <w:spacing w:line="285" w:lineRule="auto" w:before="0" w:after="0"/>
              <w:ind w:left="221" w:right="386" w:hanging="113"/>
              <w:jc w:val="left"/>
              <w:rPr>
                <w:sz w:val="16"/>
              </w:rPr>
            </w:pPr>
            <w:r>
              <w:rPr>
                <w:i/>
                <w:sz w:val="16"/>
              </w:rPr>
              <w:t>Comisión municipal </w:t>
            </w:r>
            <w:r>
              <w:rPr>
                <w:sz w:val="16"/>
              </w:rPr>
              <w:t>de asuntos metropolitanos (CMAM). Firma de convenio del municipio mediante</w:t>
            </w:r>
            <w:r>
              <w:rPr>
                <w:spacing w:val="-5"/>
                <w:sz w:val="16"/>
              </w:rPr>
              <w:t> </w:t>
            </w:r>
            <w:r>
              <w:rPr>
                <w:sz w:val="16"/>
              </w:rPr>
              <w:t>el</w:t>
            </w:r>
            <w:r>
              <w:rPr>
                <w:spacing w:val="-5"/>
                <w:sz w:val="16"/>
              </w:rPr>
              <w:t> </w:t>
            </w:r>
            <w:r>
              <w:rPr>
                <w:sz w:val="16"/>
              </w:rPr>
              <w:t>cual</w:t>
            </w:r>
            <w:r>
              <w:rPr>
                <w:spacing w:val="-5"/>
                <w:sz w:val="16"/>
              </w:rPr>
              <w:t> </w:t>
            </w:r>
            <w:r>
              <w:rPr>
                <w:sz w:val="16"/>
              </w:rPr>
              <w:t>la</w:t>
            </w:r>
            <w:r>
              <w:rPr>
                <w:spacing w:val="-5"/>
                <w:sz w:val="16"/>
              </w:rPr>
              <w:t> </w:t>
            </w:r>
            <w:r>
              <w:rPr>
                <w:sz w:val="16"/>
              </w:rPr>
              <w:t>SEDEMET</w:t>
            </w:r>
            <w:r>
              <w:rPr>
                <w:spacing w:val="-5"/>
                <w:sz w:val="16"/>
              </w:rPr>
              <w:t> </w:t>
            </w:r>
            <w:r>
              <w:rPr>
                <w:sz w:val="16"/>
              </w:rPr>
              <w:t>baja</w:t>
            </w:r>
            <w:r>
              <w:rPr>
                <w:spacing w:val="-5"/>
                <w:sz w:val="16"/>
              </w:rPr>
              <w:t> </w:t>
            </w:r>
            <w:r>
              <w:rPr>
                <w:sz w:val="16"/>
              </w:rPr>
              <w:t>la</w:t>
            </w:r>
            <w:r>
              <w:rPr>
                <w:spacing w:val="-5"/>
                <w:sz w:val="16"/>
              </w:rPr>
              <w:t> </w:t>
            </w:r>
            <w:r>
              <w:rPr>
                <w:sz w:val="16"/>
              </w:rPr>
              <w:t>agenda.</w:t>
            </w:r>
          </w:p>
          <w:p>
            <w:pPr>
              <w:pStyle w:val="TableParagraph"/>
              <w:spacing w:before="3"/>
              <w:rPr>
                <w:sz w:val="19"/>
              </w:rPr>
            </w:pPr>
          </w:p>
          <w:p>
            <w:pPr>
              <w:pStyle w:val="TableParagraph"/>
              <w:tabs>
                <w:tab w:pos="3954" w:val="left" w:leader="none"/>
              </w:tabs>
              <w:ind w:left="35"/>
              <w:rPr>
                <w:sz w:val="16"/>
              </w:rPr>
            </w:pPr>
            <w:r>
              <w:rPr>
                <w:w w:val="100"/>
                <w:sz w:val="16"/>
                <w:u w:val="dotted" w:color="929292"/>
              </w:rPr>
              <w:t> </w:t>
            </w:r>
            <w:r>
              <w:rPr>
                <w:sz w:val="16"/>
                <w:u w:val="dotted" w:color="929292"/>
              </w:rPr>
              <w:tab/>
            </w:r>
          </w:p>
          <w:p>
            <w:pPr>
              <w:pStyle w:val="TableParagraph"/>
              <w:numPr>
                <w:ilvl w:val="0"/>
                <w:numId w:val="78"/>
              </w:numPr>
              <w:tabs>
                <w:tab w:pos="222" w:val="left" w:leader="none"/>
              </w:tabs>
              <w:spacing w:line="285" w:lineRule="auto" w:before="131" w:after="0"/>
              <w:ind w:left="221" w:right="158" w:hanging="113"/>
              <w:jc w:val="left"/>
              <w:rPr>
                <w:sz w:val="16"/>
              </w:rPr>
            </w:pPr>
            <w:r>
              <w:rPr>
                <w:sz w:val="16"/>
              </w:rPr>
              <w:t>Fideicomiso para el </w:t>
            </w:r>
            <w:r>
              <w:rPr>
                <w:i/>
                <w:sz w:val="16"/>
              </w:rPr>
              <w:t>Fondo Metropolitano </w:t>
            </w:r>
            <w:r>
              <w:rPr>
                <w:sz w:val="16"/>
              </w:rPr>
              <w:t>del Valle de Toluca. F/803, 30 de abril de</w:t>
            </w:r>
            <w:r>
              <w:rPr>
                <w:spacing w:val="13"/>
                <w:sz w:val="16"/>
              </w:rPr>
              <w:t> </w:t>
            </w:r>
            <w:r>
              <w:rPr>
                <w:sz w:val="16"/>
              </w:rPr>
              <w:t>2010.</w:t>
            </w:r>
          </w:p>
          <w:p>
            <w:pPr>
              <w:pStyle w:val="TableParagraph"/>
              <w:spacing w:before="8"/>
              <w:rPr>
                <w:sz w:val="21"/>
              </w:rPr>
            </w:pPr>
          </w:p>
          <w:p>
            <w:pPr>
              <w:pStyle w:val="TableParagraph"/>
              <w:tabs>
                <w:tab w:pos="3954" w:val="left" w:leader="none"/>
              </w:tabs>
              <w:spacing w:line="165" w:lineRule="exact" w:before="1"/>
              <w:ind w:left="35"/>
              <w:rPr>
                <w:sz w:val="16"/>
              </w:rPr>
            </w:pPr>
            <w:r>
              <w:rPr>
                <w:w w:val="100"/>
                <w:sz w:val="16"/>
                <w:u w:val="dotted" w:color="929292"/>
              </w:rPr>
              <w:t> </w:t>
            </w:r>
            <w:r>
              <w:rPr>
                <w:sz w:val="16"/>
                <w:u w:val="dotted" w:color="929292"/>
              </w:rPr>
              <w:tab/>
            </w:r>
          </w:p>
        </w:tc>
        <w:tc>
          <w:tcPr>
            <w:tcW w:w="3740" w:type="dxa"/>
            <w:tcBorders>
              <w:left w:val="dotted" w:sz="4" w:space="0" w:color="929292"/>
            </w:tcBorders>
          </w:tcPr>
          <w:p>
            <w:pPr>
              <w:pStyle w:val="TableParagraph"/>
              <w:numPr>
                <w:ilvl w:val="0"/>
                <w:numId w:val="79"/>
              </w:numPr>
              <w:tabs>
                <w:tab w:pos="217" w:val="left" w:leader="none"/>
              </w:tabs>
              <w:spacing w:line="150" w:lineRule="exact" w:before="0" w:after="0"/>
              <w:ind w:left="216" w:right="0" w:hanging="114"/>
              <w:jc w:val="left"/>
              <w:rPr>
                <w:sz w:val="16"/>
              </w:rPr>
            </w:pPr>
            <w:r>
              <w:rPr>
                <w:sz w:val="16"/>
              </w:rPr>
              <w:t>Instancia estatal para interactuar con</w:t>
            </w:r>
            <w:r>
              <w:rPr>
                <w:spacing w:val="25"/>
                <w:sz w:val="16"/>
              </w:rPr>
              <w:t> </w:t>
            </w:r>
            <w:r>
              <w:rPr>
                <w:sz w:val="16"/>
              </w:rPr>
              <w:t>los</w:t>
            </w:r>
          </w:p>
          <w:p>
            <w:pPr>
              <w:pStyle w:val="TableParagraph"/>
              <w:spacing w:line="288" w:lineRule="auto" w:before="34"/>
              <w:ind w:left="216" w:right="444"/>
              <w:rPr>
                <w:sz w:val="16"/>
              </w:rPr>
            </w:pPr>
            <w:r>
              <w:rPr>
                <w:sz w:val="16"/>
              </w:rPr>
              <w:t>sectores de la administración pública estatal y definir acciones en los municipios</w:t>
            </w:r>
          </w:p>
          <w:p>
            <w:pPr>
              <w:pStyle w:val="TableParagraph"/>
              <w:tabs>
                <w:tab w:pos="3715" w:val="left" w:leader="none"/>
              </w:tabs>
              <w:spacing w:line="154" w:lineRule="exact"/>
              <w:ind w:left="24"/>
              <w:rPr>
                <w:sz w:val="16"/>
              </w:rPr>
            </w:pPr>
            <w:r>
              <w:rPr>
                <w:w w:val="100"/>
                <w:sz w:val="16"/>
                <w:u w:val="dotted" w:color="929292"/>
              </w:rPr>
              <w:t> </w:t>
            </w:r>
            <w:r>
              <w:rPr>
                <w:sz w:val="16"/>
                <w:u w:val="dotted" w:color="929292"/>
              </w:rPr>
              <w:t>  </w:t>
            </w:r>
            <w:r>
              <w:rPr>
                <w:spacing w:val="13"/>
                <w:sz w:val="16"/>
                <w:u w:val="dotted" w:color="929292"/>
              </w:rPr>
              <w:t> </w:t>
            </w:r>
            <w:r>
              <w:rPr>
                <w:sz w:val="16"/>
                <w:u w:val="dotted" w:color="929292"/>
              </w:rPr>
              <w:t>metropolitanos.</w:t>
              <w:tab/>
            </w:r>
          </w:p>
          <w:p>
            <w:pPr>
              <w:pStyle w:val="TableParagraph"/>
              <w:numPr>
                <w:ilvl w:val="0"/>
                <w:numId w:val="79"/>
              </w:numPr>
              <w:tabs>
                <w:tab w:pos="217" w:val="left" w:leader="none"/>
              </w:tabs>
              <w:spacing w:line="156" w:lineRule="exact" w:before="0" w:after="0"/>
              <w:ind w:left="216" w:right="0" w:hanging="113"/>
              <w:jc w:val="left"/>
              <w:rPr>
                <w:sz w:val="16"/>
              </w:rPr>
            </w:pPr>
            <w:r>
              <w:rPr>
                <w:sz w:val="16"/>
              </w:rPr>
              <w:t>Planeación estatal, acción de</w:t>
            </w:r>
            <w:r>
              <w:rPr>
                <w:spacing w:val="33"/>
                <w:sz w:val="16"/>
              </w:rPr>
              <w:t> </w:t>
            </w:r>
            <w:r>
              <w:rPr>
                <w:sz w:val="16"/>
              </w:rPr>
              <w:t>proyectos</w:t>
            </w:r>
          </w:p>
          <w:p>
            <w:pPr>
              <w:pStyle w:val="TableParagraph"/>
              <w:spacing w:line="288" w:lineRule="auto" w:before="34"/>
              <w:ind w:left="216" w:right="363"/>
              <w:rPr>
                <w:sz w:val="16"/>
              </w:rPr>
            </w:pPr>
            <w:r>
              <w:rPr>
                <w:sz w:val="16"/>
              </w:rPr>
              <w:t>desde algunos sectores y temas de agenda y de responsabilidad parcial. No siempre de</w:t>
            </w:r>
          </w:p>
          <w:p>
            <w:pPr>
              <w:pStyle w:val="TableParagraph"/>
              <w:ind w:left="216"/>
              <w:rPr>
                <w:sz w:val="16"/>
              </w:rPr>
            </w:pPr>
            <w:r>
              <w:rPr>
                <w:sz w:val="16"/>
              </w:rPr>
              <w:t>alcance metropolitano. No está instrumentada</w:t>
            </w:r>
          </w:p>
          <w:p>
            <w:pPr>
              <w:pStyle w:val="TableParagraph"/>
              <w:tabs>
                <w:tab w:pos="3715" w:val="left" w:leader="none"/>
              </w:tabs>
              <w:spacing w:line="154" w:lineRule="exact" w:before="36"/>
              <w:ind w:left="24"/>
              <w:rPr>
                <w:sz w:val="16"/>
              </w:rPr>
            </w:pPr>
            <w:r>
              <w:rPr>
                <w:w w:val="100"/>
                <w:sz w:val="16"/>
                <w:u w:val="dotted" w:color="929292"/>
              </w:rPr>
              <w:t> </w:t>
            </w:r>
            <w:r>
              <w:rPr>
                <w:sz w:val="16"/>
                <w:u w:val="dotted" w:color="929292"/>
              </w:rPr>
              <w:t>  </w:t>
            </w:r>
            <w:r>
              <w:rPr>
                <w:spacing w:val="13"/>
                <w:sz w:val="16"/>
                <w:u w:val="dotted" w:color="929292"/>
              </w:rPr>
              <w:t> </w:t>
            </w:r>
            <w:r>
              <w:rPr>
                <w:sz w:val="16"/>
                <w:u w:val="dotted" w:color="929292"/>
              </w:rPr>
              <w:t>a nivel</w:t>
            </w:r>
            <w:r>
              <w:rPr>
                <w:spacing w:val="5"/>
                <w:sz w:val="16"/>
                <w:u w:val="dotted" w:color="929292"/>
              </w:rPr>
              <w:t> </w:t>
            </w:r>
            <w:r>
              <w:rPr>
                <w:sz w:val="16"/>
                <w:u w:val="dotted" w:color="929292"/>
              </w:rPr>
              <w:t>municipal.</w:t>
              <w:tab/>
            </w:r>
          </w:p>
          <w:p>
            <w:pPr>
              <w:pStyle w:val="TableParagraph"/>
              <w:numPr>
                <w:ilvl w:val="0"/>
                <w:numId w:val="79"/>
              </w:numPr>
              <w:tabs>
                <w:tab w:pos="217" w:val="left" w:leader="none"/>
              </w:tabs>
              <w:spacing w:line="156" w:lineRule="exact" w:before="0" w:after="0"/>
              <w:ind w:left="216" w:right="0" w:hanging="113"/>
              <w:jc w:val="left"/>
              <w:rPr>
                <w:sz w:val="16"/>
              </w:rPr>
            </w:pPr>
            <w:r>
              <w:rPr>
                <w:sz w:val="16"/>
              </w:rPr>
              <w:t>En general los sectores no integran la</w:t>
            </w:r>
            <w:r>
              <w:rPr>
                <w:spacing w:val="-3"/>
                <w:sz w:val="16"/>
              </w:rPr>
              <w:t> </w:t>
            </w:r>
            <w:r>
              <w:rPr>
                <w:sz w:val="16"/>
              </w:rPr>
              <w:t>agenda</w:t>
            </w:r>
          </w:p>
          <w:p>
            <w:pPr>
              <w:pStyle w:val="TableParagraph"/>
              <w:spacing w:line="288" w:lineRule="auto" w:before="34"/>
              <w:ind w:left="216" w:right="168"/>
              <w:rPr>
                <w:sz w:val="16"/>
              </w:rPr>
            </w:pPr>
            <w:r>
              <w:rPr>
                <w:sz w:val="16"/>
              </w:rPr>
              <w:t>en sus programas, son escasos los que instrumentan proyectos metropolitanos. El municipio no participa en la toma de decisión de los proyectos (p. e. transporte, vialidad,</w:t>
            </w:r>
          </w:p>
          <w:p>
            <w:pPr>
              <w:pStyle w:val="TableParagraph"/>
              <w:tabs>
                <w:tab w:pos="3715" w:val="left" w:leader="none"/>
              </w:tabs>
              <w:spacing w:line="154" w:lineRule="exact"/>
              <w:ind w:left="24"/>
              <w:rPr>
                <w:sz w:val="16"/>
              </w:rPr>
            </w:pPr>
            <w:r>
              <w:rPr>
                <w:w w:val="100"/>
                <w:sz w:val="16"/>
                <w:u w:val="dotted" w:color="929292"/>
              </w:rPr>
              <w:t> </w:t>
            </w:r>
            <w:r>
              <w:rPr>
                <w:sz w:val="16"/>
                <w:u w:val="dotted" w:color="929292"/>
              </w:rPr>
              <w:t>  </w:t>
            </w:r>
            <w:r>
              <w:rPr>
                <w:spacing w:val="14"/>
                <w:sz w:val="16"/>
                <w:u w:val="dotted" w:color="929292"/>
              </w:rPr>
              <w:t> </w:t>
            </w:r>
            <w:r>
              <w:rPr>
                <w:sz w:val="16"/>
                <w:u w:val="dotted" w:color="929292"/>
              </w:rPr>
              <w:t>seguridad pública,</w:t>
            </w:r>
            <w:r>
              <w:rPr>
                <w:spacing w:val="11"/>
                <w:sz w:val="16"/>
                <w:u w:val="dotted" w:color="929292"/>
              </w:rPr>
              <w:t> </w:t>
            </w:r>
            <w:r>
              <w:rPr>
                <w:sz w:val="16"/>
                <w:u w:val="dotted" w:color="929292"/>
              </w:rPr>
              <w:t>economía).</w:t>
              <w:tab/>
            </w:r>
          </w:p>
          <w:p>
            <w:pPr>
              <w:pStyle w:val="TableParagraph"/>
              <w:numPr>
                <w:ilvl w:val="0"/>
                <w:numId w:val="79"/>
              </w:numPr>
              <w:tabs>
                <w:tab w:pos="217" w:val="left" w:leader="none"/>
              </w:tabs>
              <w:spacing w:line="156" w:lineRule="exact" w:before="0" w:after="0"/>
              <w:ind w:left="216" w:right="0" w:hanging="113"/>
              <w:jc w:val="left"/>
              <w:rPr>
                <w:sz w:val="16"/>
              </w:rPr>
            </w:pPr>
            <w:r>
              <w:rPr>
                <w:sz w:val="16"/>
              </w:rPr>
              <w:t>La agenda no tiene obligatoriedad</w:t>
            </w:r>
            <w:r>
              <w:rPr>
                <w:spacing w:val="24"/>
                <w:sz w:val="16"/>
              </w:rPr>
              <w:t> </w:t>
            </w:r>
            <w:r>
              <w:rPr>
                <w:sz w:val="16"/>
              </w:rPr>
              <w:t>de</w:t>
            </w:r>
          </w:p>
          <w:p>
            <w:pPr>
              <w:pStyle w:val="TableParagraph"/>
              <w:spacing w:line="288" w:lineRule="auto" w:before="34"/>
              <w:ind w:left="216" w:right="168"/>
              <w:rPr>
                <w:sz w:val="16"/>
              </w:rPr>
            </w:pPr>
            <w:r>
              <w:rPr>
                <w:sz w:val="16"/>
              </w:rPr>
              <w:t>información de resultados en documentos locales (Bando municipal, plan de desarrollo, plan municipal de desarrollo urbano y otros ordenamientos). El municipio no cuenta con estructura para atender la agenda. No tiene</w:t>
            </w:r>
          </w:p>
          <w:p>
            <w:pPr>
              <w:pStyle w:val="TableParagraph"/>
              <w:tabs>
                <w:tab w:pos="3715" w:val="left" w:leader="none"/>
              </w:tabs>
              <w:spacing w:line="154" w:lineRule="exact"/>
              <w:ind w:left="24"/>
              <w:rPr>
                <w:sz w:val="16"/>
              </w:rPr>
            </w:pPr>
            <w:r>
              <w:rPr>
                <w:w w:val="100"/>
                <w:sz w:val="16"/>
                <w:u w:val="dotted" w:color="929292"/>
              </w:rPr>
              <w:t> </w:t>
            </w:r>
            <w:r>
              <w:rPr>
                <w:sz w:val="16"/>
                <w:u w:val="dotted" w:color="929292"/>
              </w:rPr>
              <w:t>  </w:t>
            </w:r>
            <w:r>
              <w:rPr>
                <w:spacing w:val="14"/>
                <w:sz w:val="16"/>
                <w:u w:val="dotted" w:color="929292"/>
              </w:rPr>
              <w:t> </w:t>
            </w:r>
            <w:r>
              <w:rPr>
                <w:sz w:val="16"/>
                <w:u w:val="dotted" w:color="929292"/>
              </w:rPr>
              <w:t>presupuesto local para atender la</w:t>
            </w:r>
            <w:r>
              <w:rPr>
                <w:spacing w:val="18"/>
                <w:sz w:val="16"/>
                <w:u w:val="dotted" w:color="929292"/>
              </w:rPr>
              <w:t> </w:t>
            </w:r>
            <w:r>
              <w:rPr>
                <w:sz w:val="16"/>
                <w:u w:val="dotted" w:color="929292"/>
              </w:rPr>
              <w:t>agenda.</w:t>
              <w:tab/>
            </w:r>
          </w:p>
          <w:p>
            <w:pPr>
              <w:pStyle w:val="TableParagraph"/>
              <w:numPr>
                <w:ilvl w:val="0"/>
                <w:numId w:val="79"/>
              </w:numPr>
              <w:tabs>
                <w:tab w:pos="218" w:val="left" w:leader="none"/>
              </w:tabs>
              <w:spacing w:line="156" w:lineRule="exact" w:before="0" w:after="0"/>
              <w:ind w:left="217" w:right="0" w:hanging="114"/>
              <w:jc w:val="left"/>
              <w:rPr>
                <w:sz w:val="16"/>
              </w:rPr>
            </w:pPr>
            <w:r>
              <w:rPr>
                <w:sz w:val="16"/>
              </w:rPr>
              <w:t>Instancia de administración, consulta, </w:t>
            </w:r>
            <w:r>
              <w:rPr>
                <w:spacing w:val="1"/>
                <w:sz w:val="16"/>
              </w:rPr>
              <w:t> </w:t>
            </w:r>
            <w:r>
              <w:rPr>
                <w:sz w:val="16"/>
              </w:rPr>
              <w:t>decisión</w:t>
            </w:r>
          </w:p>
          <w:p>
            <w:pPr>
              <w:pStyle w:val="TableParagraph"/>
              <w:spacing w:line="288" w:lineRule="auto" w:before="34"/>
              <w:ind w:left="217" w:right="563"/>
              <w:rPr>
                <w:sz w:val="16"/>
              </w:rPr>
            </w:pPr>
            <w:r>
              <w:rPr>
                <w:sz w:val="16"/>
              </w:rPr>
              <w:t>y en sectores de la administración estatal definidos en el nivel federal. Aplicación en proyectos sectoriales. No tiene</w:t>
            </w:r>
            <w:r>
              <w:rPr>
                <w:spacing w:val="28"/>
                <w:sz w:val="16"/>
              </w:rPr>
              <w:t> </w:t>
            </w:r>
            <w:r>
              <w:rPr>
                <w:sz w:val="16"/>
              </w:rPr>
              <w:t>visión</w:t>
            </w:r>
          </w:p>
          <w:p>
            <w:pPr>
              <w:pStyle w:val="TableParagraph"/>
              <w:tabs>
                <w:tab w:pos="3715" w:val="left" w:leader="none"/>
              </w:tabs>
              <w:spacing w:line="165" w:lineRule="exact"/>
              <w:ind w:left="24"/>
              <w:rPr>
                <w:sz w:val="16"/>
              </w:rPr>
            </w:pPr>
            <w:r>
              <w:rPr>
                <w:w w:val="100"/>
                <w:sz w:val="16"/>
                <w:u w:val="dotted" w:color="929292"/>
              </w:rPr>
              <w:t> </w:t>
            </w:r>
            <w:r>
              <w:rPr>
                <w:sz w:val="16"/>
                <w:u w:val="dotted" w:color="929292"/>
              </w:rPr>
              <w:t>  </w:t>
            </w:r>
            <w:r>
              <w:rPr>
                <w:spacing w:val="14"/>
                <w:sz w:val="16"/>
                <w:u w:val="dotted" w:color="929292"/>
              </w:rPr>
              <w:t> </w:t>
            </w:r>
            <w:r>
              <w:rPr>
                <w:sz w:val="16"/>
                <w:u w:val="dotted" w:color="929292"/>
              </w:rPr>
              <w:t>transversal</w:t>
            </w:r>
            <w:r>
              <w:rPr>
                <w:spacing w:val="14"/>
                <w:sz w:val="16"/>
                <w:u w:val="dotted" w:color="929292"/>
              </w:rPr>
              <w:t> </w:t>
            </w:r>
            <w:r>
              <w:rPr>
                <w:sz w:val="16"/>
                <w:u w:val="dotted" w:color="929292"/>
              </w:rPr>
              <w:t>metropolitana.</w:t>
              <w:tab/>
            </w:r>
          </w:p>
        </w:tc>
      </w:tr>
    </w:tbl>
    <w:p>
      <w:pPr>
        <w:spacing w:before="59"/>
        <w:ind w:left="983" w:right="842" w:firstLine="0"/>
        <w:jc w:val="center"/>
        <w:rPr>
          <w:sz w:val="16"/>
        </w:rPr>
      </w:pPr>
      <w:r>
        <w:rPr/>
        <w:pict>
          <v:line style="position:absolute;mso-position-horizontal-relative:page;mso-position-vertical-relative:paragraph;z-index:-637288" from="43.296799pt,-120.925697pt" to="43.296799pt,-120.925697pt" stroked="true" strokeweight=".5pt" strokecolor="#929292">
            <w10:wrap type="none"/>
          </v:line>
        </w:pict>
      </w:r>
      <w:r>
        <w:rPr/>
        <w:pict>
          <v:line style="position:absolute;mso-position-horizontal-relative:page;mso-position-vertical-relative:paragraph;z-index:-637264" from="428.308807pt,-120.925697pt" to="428.308807pt,-120.925697pt" stroked="true" strokeweight=".5pt" strokecolor="#929292">
            <w10:wrap type="none"/>
          </v:line>
        </w:pict>
      </w:r>
      <w:r>
        <w:rPr/>
        <w:pict>
          <v:line style="position:absolute;mso-position-horizontal-relative:page;mso-position-vertical-relative:paragraph;z-index:-637240" from="43.296799pt,-48.713799pt" to="43.296799pt,-48.713799pt" stroked="true" strokeweight=".5pt" strokecolor="#929292">
            <w10:wrap type="none"/>
          </v:line>
        </w:pict>
      </w:r>
      <w:r>
        <w:rPr/>
        <w:pict>
          <v:line style="position:absolute;mso-position-horizontal-relative:page;mso-position-vertical-relative:paragraph;z-index:-637216" from="428.308807pt,-48.713799pt" to="428.308807pt,-48.713799pt" stroked="true" strokeweight=".5pt" strokecolor="#929292">
            <w10:wrap type="none"/>
          </v:line>
        </w:pict>
      </w:r>
      <w:r>
        <w:rPr>
          <w:color w:val="6D6E71"/>
          <w:sz w:val="16"/>
        </w:rPr>
        <w:t>Fuente: Elaborado con base en observación en campo de Espinoza y Hoyos (2014).</w:t>
      </w:r>
    </w:p>
    <w:p>
      <w:pPr>
        <w:pStyle w:val="BodyText"/>
        <w:spacing w:before="5"/>
        <w:rPr>
          <w:sz w:val="22"/>
        </w:rPr>
      </w:pPr>
    </w:p>
    <w:p>
      <w:pPr>
        <w:pStyle w:val="ListParagraph"/>
        <w:numPr>
          <w:ilvl w:val="0"/>
          <w:numId w:val="76"/>
        </w:numPr>
        <w:tabs>
          <w:tab w:pos="517" w:val="left" w:leader="none"/>
        </w:tabs>
        <w:spacing w:line="249" w:lineRule="auto" w:before="1" w:after="0"/>
        <w:ind w:left="140" w:right="0" w:firstLine="171"/>
        <w:jc w:val="both"/>
        <w:rPr>
          <w:sz w:val="20"/>
        </w:rPr>
      </w:pPr>
      <w:r>
        <w:rPr>
          <w:sz w:val="20"/>
        </w:rPr>
        <w:t>Recurso</w:t>
      </w:r>
      <w:r>
        <w:rPr>
          <w:spacing w:val="-11"/>
          <w:sz w:val="20"/>
        </w:rPr>
        <w:t> </w:t>
      </w:r>
      <w:r>
        <w:rPr>
          <w:sz w:val="20"/>
        </w:rPr>
        <w:t>federal</w:t>
      </w:r>
      <w:r>
        <w:rPr>
          <w:spacing w:val="-11"/>
          <w:sz w:val="20"/>
        </w:rPr>
        <w:t> </w:t>
      </w:r>
      <w:r>
        <w:rPr>
          <w:sz w:val="20"/>
        </w:rPr>
        <w:t>instrumentado</w:t>
      </w:r>
      <w:r>
        <w:rPr>
          <w:spacing w:val="-11"/>
          <w:sz w:val="20"/>
        </w:rPr>
        <w:t> </w:t>
      </w:r>
      <w:r>
        <w:rPr>
          <w:sz w:val="20"/>
        </w:rPr>
        <w:t>desde</w:t>
      </w:r>
      <w:r>
        <w:rPr>
          <w:spacing w:val="-11"/>
          <w:sz w:val="20"/>
        </w:rPr>
        <w:t> </w:t>
      </w:r>
      <w:r>
        <w:rPr>
          <w:sz w:val="20"/>
        </w:rPr>
        <w:t>el</w:t>
      </w:r>
      <w:r>
        <w:rPr>
          <w:spacing w:val="-11"/>
          <w:sz w:val="20"/>
        </w:rPr>
        <w:t> </w:t>
      </w:r>
      <w:r>
        <w:rPr>
          <w:sz w:val="20"/>
        </w:rPr>
        <w:t>ámbito</w:t>
      </w:r>
      <w:r>
        <w:rPr>
          <w:spacing w:val="-11"/>
          <w:sz w:val="20"/>
        </w:rPr>
        <w:t> </w:t>
      </w:r>
      <w:r>
        <w:rPr>
          <w:sz w:val="20"/>
        </w:rPr>
        <w:t>estatal.</w:t>
      </w:r>
      <w:r>
        <w:rPr>
          <w:spacing w:val="-11"/>
          <w:sz w:val="20"/>
        </w:rPr>
        <w:t> </w:t>
      </w:r>
      <w:r>
        <w:rPr>
          <w:sz w:val="20"/>
        </w:rPr>
        <w:t>El</w:t>
      </w:r>
      <w:r>
        <w:rPr>
          <w:spacing w:val="-11"/>
          <w:sz w:val="20"/>
        </w:rPr>
        <w:t> </w:t>
      </w:r>
      <w:r>
        <w:rPr>
          <w:sz w:val="20"/>
        </w:rPr>
        <w:t>tercer</w:t>
      </w:r>
      <w:r>
        <w:rPr>
          <w:spacing w:val="-11"/>
          <w:sz w:val="20"/>
        </w:rPr>
        <w:t> </w:t>
      </w:r>
      <w:r>
        <w:rPr>
          <w:sz w:val="20"/>
        </w:rPr>
        <w:t>aspecto</w:t>
      </w:r>
      <w:r>
        <w:rPr>
          <w:spacing w:val="-11"/>
          <w:sz w:val="20"/>
        </w:rPr>
        <w:t> </w:t>
      </w:r>
      <w:r>
        <w:rPr>
          <w:sz w:val="20"/>
        </w:rPr>
        <w:t>a</w:t>
      </w:r>
      <w:r>
        <w:rPr>
          <w:spacing w:val="-11"/>
          <w:sz w:val="20"/>
        </w:rPr>
        <w:t> </w:t>
      </w:r>
      <w:r>
        <w:rPr>
          <w:sz w:val="20"/>
        </w:rPr>
        <w:t>destacar es el verticalismo de la principal fuente de recursos económicos con los que cuenta    la ZMT. El fondo metropolitano son recursos federales instrumentados mediante fideicomiso de administración e inversión y bajo el resguardo de un Comité Técnico,  se dice que el ejercicio de los recursos debe estar en concordancia con los planes y programas del gobierno federal</w:t>
      </w:r>
      <w:r>
        <w:rPr>
          <w:position w:val="7"/>
          <w:sz w:val="11"/>
        </w:rPr>
        <w:t>43</w:t>
      </w:r>
      <w:r>
        <w:rPr>
          <w:sz w:val="20"/>
        </w:rPr>
        <w:t>. Tal recurso también se aplica en la elaboración de planes, proyectos de carácter metropolitano y desarrollo regional. En cuanto hace a lo espacial considera la definición de zonas metropolitanas del nivel federal de</w:t>
      </w:r>
      <w:r>
        <w:rPr>
          <w:spacing w:val="-19"/>
          <w:sz w:val="20"/>
        </w:rPr>
        <w:t> </w:t>
      </w:r>
      <w:r>
        <w:rPr>
          <w:sz w:val="20"/>
        </w:rPr>
        <w:t>CONAPO- SEDESOL-INEGI. El fondo opera en la ZMT desde 2010, respecto a la configuración oficial estatal versus la federal, muchos municipios se encuentran fuera de aquella cobertura. En la aplicación no se evalúa si propicia integración espacial metropolitana  o si se trata de una acción concertada entre los municipios. Tampoco está presente    la participación de la sociedad civil en la definición de la aplicación de los recursos. (Cuadro</w:t>
      </w:r>
      <w:r>
        <w:rPr>
          <w:spacing w:val="-23"/>
          <w:sz w:val="20"/>
        </w:rPr>
        <w:t> </w:t>
      </w:r>
      <w:r>
        <w:rPr>
          <w:sz w:val="20"/>
        </w:rPr>
        <w:t>4).</w:t>
      </w:r>
    </w:p>
    <w:p>
      <w:pPr>
        <w:pStyle w:val="BodyText"/>
        <w:spacing w:line="249" w:lineRule="auto" w:before="76"/>
        <w:ind w:left="140" w:right="149" w:firstLine="170"/>
        <w:jc w:val="both"/>
      </w:pPr>
      <w:r>
        <w:rPr/>
        <w:br w:type="column"/>
      </w:r>
      <w:r>
        <w:rPr/>
        <w:t>Por tanto, según los tres problemas examinados, la coordinación metropolitana en la ZMT no ha despegado en muchos aspectos, con base en los escasos resultados de la experiencia</w:t>
      </w:r>
      <w:r>
        <w:rPr>
          <w:spacing w:val="-6"/>
        </w:rPr>
        <w:t> </w:t>
      </w:r>
      <w:r>
        <w:rPr/>
        <w:t>de</w:t>
      </w:r>
      <w:r>
        <w:rPr>
          <w:spacing w:val="-6"/>
        </w:rPr>
        <w:t> </w:t>
      </w:r>
      <w:r>
        <w:rPr/>
        <w:t>15</w:t>
      </w:r>
      <w:r>
        <w:rPr>
          <w:spacing w:val="-6"/>
        </w:rPr>
        <w:t> </w:t>
      </w:r>
      <w:r>
        <w:rPr/>
        <w:t>años,</w:t>
      </w:r>
      <w:r>
        <w:rPr>
          <w:spacing w:val="-6"/>
        </w:rPr>
        <w:t> </w:t>
      </w:r>
      <w:r>
        <w:rPr/>
        <w:t>es</w:t>
      </w:r>
      <w:r>
        <w:rPr>
          <w:spacing w:val="-6"/>
        </w:rPr>
        <w:t> </w:t>
      </w:r>
      <w:r>
        <w:rPr/>
        <w:t>necesario</w:t>
      </w:r>
      <w:r>
        <w:rPr>
          <w:spacing w:val="-6"/>
        </w:rPr>
        <w:t> </w:t>
      </w:r>
      <w:r>
        <w:rPr/>
        <w:t>explorar</w:t>
      </w:r>
      <w:r>
        <w:rPr>
          <w:spacing w:val="-6"/>
        </w:rPr>
        <w:t> </w:t>
      </w:r>
      <w:r>
        <w:rPr/>
        <w:t>nuevos</w:t>
      </w:r>
      <w:r>
        <w:rPr>
          <w:spacing w:val="-6"/>
        </w:rPr>
        <w:t> </w:t>
      </w:r>
      <w:r>
        <w:rPr/>
        <w:t>esquemas,</w:t>
      </w:r>
      <w:r>
        <w:rPr>
          <w:spacing w:val="-6"/>
        </w:rPr>
        <w:t> </w:t>
      </w:r>
      <w:r>
        <w:rPr/>
        <w:t>revisar</w:t>
      </w:r>
      <w:r>
        <w:rPr>
          <w:spacing w:val="-6"/>
        </w:rPr>
        <w:t> </w:t>
      </w:r>
      <w:r>
        <w:rPr/>
        <w:t>la</w:t>
      </w:r>
      <w:r>
        <w:rPr>
          <w:spacing w:val="-6"/>
        </w:rPr>
        <w:t> </w:t>
      </w:r>
      <w:r>
        <w:rPr/>
        <w:t>concepción de la planeación metropolitana, actualizar mecanismos de interrelación entre los sectores e incorporar la participación de la sociedad civil en los asuntos públicos en dicha</w:t>
      </w:r>
      <w:r>
        <w:rPr>
          <w:spacing w:val="6"/>
        </w:rPr>
        <w:t> </w:t>
      </w:r>
      <w:r>
        <w:rPr/>
        <w:t>escala.</w:t>
      </w:r>
    </w:p>
    <w:p>
      <w:pPr>
        <w:pStyle w:val="BodyText"/>
        <w:spacing w:before="11"/>
      </w:pPr>
    </w:p>
    <w:p>
      <w:pPr>
        <w:pStyle w:val="BodyText"/>
        <w:spacing w:line="249" w:lineRule="auto"/>
        <w:ind w:left="140" w:right="148" w:firstLine="170"/>
        <w:jc w:val="both"/>
      </w:pPr>
      <w:r>
        <w:rPr/>
        <w:t>Otros estudios en el ordena nacional señalan los problemas de la coordinación metropolitana</w:t>
      </w:r>
      <w:r>
        <w:rPr>
          <w:spacing w:val="-10"/>
        </w:rPr>
        <w:t> </w:t>
      </w:r>
      <w:r>
        <w:rPr/>
        <w:t>en</w:t>
      </w:r>
      <w:r>
        <w:rPr>
          <w:spacing w:val="-10"/>
        </w:rPr>
        <w:t> </w:t>
      </w:r>
      <w:r>
        <w:rPr/>
        <w:t>México.</w:t>
      </w:r>
      <w:r>
        <w:rPr>
          <w:spacing w:val="-10"/>
        </w:rPr>
        <w:t> </w:t>
      </w:r>
      <w:r>
        <w:rPr/>
        <w:t>Por</w:t>
      </w:r>
      <w:r>
        <w:rPr>
          <w:spacing w:val="-10"/>
        </w:rPr>
        <w:t> </w:t>
      </w:r>
      <w:r>
        <w:rPr/>
        <w:t>su</w:t>
      </w:r>
      <w:r>
        <w:rPr>
          <w:spacing w:val="-10"/>
        </w:rPr>
        <w:t> </w:t>
      </w:r>
      <w:r>
        <w:rPr/>
        <w:t>lado,</w:t>
      </w:r>
      <w:r>
        <w:rPr>
          <w:spacing w:val="-10"/>
        </w:rPr>
        <w:t> </w:t>
      </w:r>
      <w:r>
        <w:rPr/>
        <w:t>según</w:t>
      </w:r>
      <w:r>
        <w:rPr>
          <w:spacing w:val="-10"/>
        </w:rPr>
        <w:t> </w:t>
      </w:r>
      <w:r>
        <w:rPr/>
        <w:t>Iracheta</w:t>
      </w:r>
      <w:r>
        <w:rPr>
          <w:spacing w:val="-10"/>
        </w:rPr>
        <w:t> </w:t>
      </w:r>
      <w:r>
        <w:rPr/>
        <w:t>(2009)</w:t>
      </w:r>
      <w:r>
        <w:rPr>
          <w:spacing w:val="-10"/>
        </w:rPr>
        <w:t> </w:t>
      </w:r>
      <w:r>
        <w:rPr/>
        <w:t>diversos</w:t>
      </w:r>
      <w:r>
        <w:rPr>
          <w:spacing w:val="-10"/>
        </w:rPr>
        <w:t> </w:t>
      </w:r>
      <w:r>
        <w:rPr/>
        <w:t>trabajos</w:t>
      </w:r>
      <w:r>
        <w:rPr>
          <w:spacing w:val="-10"/>
        </w:rPr>
        <w:t> </w:t>
      </w:r>
      <w:r>
        <w:rPr/>
        <w:t>destacan que la </w:t>
      </w:r>
      <w:r>
        <w:rPr>
          <w:i/>
        </w:rPr>
        <w:t>coordinación metropolitana en México </w:t>
      </w:r>
      <w:r>
        <w:rPr/>
        <w:t>es más una aspiración que un proceso establecido y operativo dejando claro que las experiencias no han funcionado. Las instancias creadas, como las comisiones y agendas, han carecido del compromiso    de los gobiernos involucrados y mucho menos han contado con bases jurídicas de obligatoriedad, para transitar hacia otro modelo de gestión que incida en los procesos de organización y administración del territorio metropolitano. El IMCO (2012) opina</w:t>
      </w:r>
      <w:r>
        <w:rPr>
          <w:spacing w:val="-27"/>
        </w:rPr>
        <w:t> </w:t>
      </w:r>
      <w:r>
        <w:rPr/>
        <w:t>que en las zonas metropolitanas son escasas las acciones de cooperación intermunicipal con políticas públicas eficientes y de largo plazo, agrega que en general los municipios son cada vez menos eficientes en lo económico, carecen de competitividad y calidad de</w:t>
      </w:r>
      <w:r>
        <w:rPr>
          <w:spacing w:val="7"/>
        </w:rPr>
        <w:t> </w:t>
      </w:r>
      <w:r>
        <w:rPr/>
        <w:t>vida.</w:t>
      </w:r>
    </w:p>
    <w:p>
      <w:pPr>
        <w:pStyle w:val="BodyText"/>
        <w:spacing w:before="11"/>
      </w:pPr>
    </w:p>
    <w:p>
      <w:pPr>
        <w:pStyle w:val="BodyText"/>
        <w:spacing w:line="249" w:lineRule="auto"/>
        <w:ind w:left="140" w:right="149" w:firstLine="170"/>
        <w:jc w:val="both"/>
      </w:pPr>
      <w:r>
        <w:rPr/>
        <w:t>También se indica que la transformación conveniente y adecuada se ubica en las voluntades políticas y sociales. “Como la planeación y la ejecución de políticas de desarrollo metropolitano no pueden ser impuestas ni implantadas desde el exterior,   se requiere que localmente existan ciertos factores que detonen el proceso, que se refuercen en el tiempo, que sean auto-catalizadores. El problema, básicamente, es cómo construir un motor endógeno del desarrollo metropolitano. Quizá lo primero     sea construir ciertas condiciones de organización social y gubernamental que favorezcan</w:t>
      </w:r>
      <w:r>
        <w:rPr>
          <w:spacing w:val="-6"/>
        </w:rPr>
        <w:t> </w:t>
      </w:r>
      <w:r>
        <w:rPr/>
        <w:t>las</w:t>
      </w:r>
      <w:r>
        <w:rPr>
          <w:spacing w:val="-5"/>
        </w:rPr>
        <w:t> </w:t>
      </w:r>
      <w:r>
        <w:rPr/>
        <w:t>relaciones</w:t>
      </w:r>
      <w:r>
        <w:rPr>
          <w:spacing w:val="-6"/>
        </w:rPr>
        <w:t> </w:t>
      </w:r>
      <w:r>
        <w:rPr/>
        <w:t>horizontales</w:t>
      </w:r>
      <w:r>
        <w:rPr>
          <w:spacing w:val="-6"/>
        </w:rPr>
        <w:t> </w:t>
      </w:r>
      <w:r>
        <w:rPr/>
        <w:t>voluntarias</w:t>
      </w:r>
      <w:r>
        <w:rPr>
          <w:spacing w:val="-6"/>
        </w:rPr>
        <w:t> </w:t>
      </w:r>
      <w:r>
        <w:rPr/>
        <w:t>y</w:t>
      </w:r>
      <w:r>
        <w:rPr>
          <w:spacing w:val="-6"/>
        </w:rPr>
        <w:t> </w:t>
      </w:r>
      <w:r>
        <w:rPr/>
        <w:t>flexibles</w:t>
      </w:r>
      <w:r>
        <w:rPr>
          <w:spacing w:val="-6"/>
        </w:rPr>
        <w:t> </w:t>
      </w:r>
      <w:r>
        <w:rPr/>
        <w:t>entre</w:t>
      </w:r>
      <w:r>
        <w:rPr>
          <w:spacing w:val="-6"/>
        </w:rPr>
        <w:t> </w:t>
      </w:r>
      <w:r>
        <w:rPr/>
        <w:t>actores</w:t>
      </w:r>
      <w:r>
        <w:rPr>
          <w:spacing w:val="-6"/>
        </w:rPr>
        <w:t> </w:t>
      </w:r>
      <w:r>
        <w:rPr/>
        <w:t>económicos, gobiernos locales, estatales y el federal y los grupos sociales que actúan en las zonas metropolitanas”. (Garrocho,</w:t>
      </w:r>
      <w:r>
        <w:rPr>
          <w:spacing w:val="17"/>
        </w:rPr>
        <w:t> </w:t>
      </w:r>
      <w:r>
        <w:rPr/>
        <w:t>2013:118)</w:t>
      </w:r>
    </w:p>
    <w:p>
      <w:pPr>
        <w:pStyle w:val="BodyText"/>
        <w:spacing w:before="11"/>
      </w:pPr>
    </w:p>
    <w:p>
      <w:pPr>
        <w:pStyle w:val="BodyText"/>
        <w:spacing w:line="249" w:lineRule="auto"/>
        <w:ind w:left="140" w:right="149" w:firstLine="170"/>
        <w:jc w:val="both"/>
      </w:pPr>
      <w:r>
        <w:rPr/>
        <w:t>Frente al panorama descrito en la ZMT cabe preguntarse ¿cuánto se ha avanzado en la gestión urbana y gobernanza de la coordinación metropolitana? Desde el marco analítico de la descentralización, es débil la permeabilidad hacia el nivel municipal, desde la transición del modelo de gobierno persiste el verticalismo estatal; la toma     de</w:t>
      </w:r>
      <w:r>
        <w:rPr>
          <w:spacing w:val="25"/>
        </w:rPr>
        <w:t> </w:t>
      </w:r>
      <w:r>
        <w:rPr/>
        <w:t>decisión</w:t>
      </w:r>
      <w:r>
        <w:rPr>
          <w:spacing w:val="25"/>
        </w:rPr>
        <w:t> </w:t>
      </w:r>
      <w:r>
        <w:rPr/>
        <w:t>es</w:t>
      </w:r>
      <w:r>
        <w:rPr>
          <w:spacing w:val="25"/>
        </w:rPr>
        <w:t> </w:t>
      </w:r>
      <w:r>
        <w:rPr/>
        <w:t>centralizada;</w:t>
      </w:r>
      <w:r>
        <w:rPr>
          <w:spacing w:val="25"/>
        </w:rPr>
        <w:t> </w:t>
      </w:r>
      <w:r>
        <w:rPr/>
        <w:t>el</w:t>
      </w:r>
      <w:r>
        <w:rPr>
          <w:spacing w:val="25"/>
        </w:rPr>
        <w:t> </w:t>
      </w:r>
      <w:r>
        <w:rPr/>
        <w:t>nivel</w:t>
      </w:r>
      <w:r>
        <w:rPr>
          <w:spacing w:val="25"/>
        </w:rPr>
        <w:t> </w:t>
      </w:r>
      <w:r>
        <w:rPr/>
        <w:t>municipal</w:t>
      </w:r>
      <w:r>
        <w:rPr>
          <w:spacing w:val="25"/>
        </w:rPr>
        <w:t> </w:t>
      </w:r>
      <w:r>
        <w:rPr/>
        <w:t>de</w:t>
      </w:r>
      <w:r>
        <w:rPr>
          <w:spacing w:val="25"/>
        </w:rPr>
        <w:t> </w:t>
      </w:r>
      <w:r>
        <w:rPr/>
        <w:t>gobierno</w:t>
      </w:r>
      <w:r>
        <w:rPr>
          <w:spacing w:val="25"/>
        </w:rPr>
        <w:t> </w:t>
      </w:r>
      <w:r>
        <w:rPr/>
        <w:t>es</w:t>
      </w:r>
      <w:r>
        <w:rPr>
          <w:spacing w:val="25"/>
        </w:rPr>
        <w:t> </w:t>
      </w:r>
      <w:r>
        <w:rPr/>
        <w:t>tradicional,</w:t>
      </w:r>
      <w:r>
        <w:rPr>
          <w:spacing w:val="25"/>
        </w:rPr>
        <w:t> </w:t>
      </w:r>
      <w:r>
        <w:rPr/>
        <w:t>es</w:t>
      </w:r>
      <w:r>
        <w:rPr>
          <w:spacing w:val="25"/>
        </w:rPr>
        <w:t> </w:t>
      </w:r>
      <w:r>
        <w:rPr/>
        <w:t>escasa</w:t>
      </w:r>
    </w:p>
    <w:p>
      <w:pPr>
        <w:pStyle w:val="BodyText"/>
        <w:spacing w:before="9"/>
        <w:rPr>
          <w:sz w:val="29"/>
        </w:rPr>
      </w:pPr>
      <w:r>
        <w:rPr/>
        <w:pict>
          <v:line style="position:absolute;mso-position-horizontal-relative:page;mso-position-vertical-relative:paragraph;z-index:15352;mso-wrap-distance-left:0;mso-wrap-distance-right:0" from="513.070923pt,19.614487pt" to="900.070923pt,19.614487pt" stroked="true" strokeweight="1pt" strokecolor="#bcbec0">
            <w10:wrap type="topAndBottom"/>
          </v:line>
        </w:pict>
      </w:r>
    </w:p>
    <w:p>
      <w:pPr>
        <w:spacing w:line="357" w:lineRule="auto" w:before="106"/>
        <w:ind w:left="199" w:right="185" w:hanging="1"/>
        <w:jc w:val="center"/>
        <w:rPr>
          <w:sz w:val="14"/>
        </w:rPr>
      </w:pPr>
      <w:r>
        <w:rPr>
          <w:color w:val="6D6E71"/>
          <w:position w:val="5"/>
          <w:sz w:val="8"/>
        </w:rPr>
        <w:t>43</w:t>
      </w:r>
      <w:r>
        <w:rPr>
          <w:color w:val="6D6E71"/>
          <w:sz w:val="14"/>
        </w:rPr>
        <w:t>El Fondo Metropolitano se encuentra dentro del Ramo General 23 denominado “Previsiones Salariales y Económicas”  del Presupuesto de Egresos de la Federación. Dentro del rubro “b) otras provisiones económicas; programas para apoyar desarrollo regional”. Ver en </w:t>
      </w:r>
      <w:hyperlink r:id="rId461">
        <w:r>
          <w:rPr>
            <w:color w:val="0077CA"/>
            <w:sz w:val="14"/>
            <w:u w:val="single" w:color="0077CA"/>
          </w:rPr>
          <w:t>http://www.apartados.hacienda.gob.mx/presupuesto/temas/pef/2014/docs/23/r23_ep.pdf</w:t>
        </w:r>
      </w:hyperlink>
      <w:r>
        <w:rPr>
          <w:color w:val="0077CA"/>
          <w:sz w:val="14"/>
          <w:u w:val="single" w:color="0077CA"/>
        </w:rPr>
        <w:t> </w:t>
      </w:r>
      <w:r>
        <w:rPr>
          <w:color w:val="6D6E71"/>
          <w:sz w:val="14"/>
        </w:rPr>
        <w:t>(consulta abril</w:t>
      </w:r>
      <w:r>
        <w:rPr>
          <w:color w:val="6D6E71"/>
          <w:spacing w:val="-9"/>
          <w:sz w:val="14"/>
        </w:rPr>
        <w:t> </w:t>
      </w:r>
      <w:r>
        <w:rPr>
          <w:color w:val="6D6E71"/>
          <w:sz w:val="14"/>
        </w:rPr>
        <w:t>2015).</w:t>
      </w:r>
    </w:p>
    <w:p>
      <w:pPr>
        <w:spacing w:after="0" w:line="357" w:lineRule="auto"/>
        <w:jc w:val="center"/>
        <w:rPr>
          <w:sz w:val="14"/>
        </w:rPr>
        <w:sectPr>
          <w:type w:val="continuous"/>
          <w:pgSz w:w="18830" w:h="12760" w:orient="landscape"/>
          <w:pgMar w:top="1420" w:bottom="280" w:left="720" w:right="700"/>
          <w:cols w:num="2" w:equalWidth="0">
            <w:col w:w="7852" w:space="1547"/>
            <w:col w:w="8011"/>
          </w:cols>
        </w:sectPr>
      </w:pPr>
    </w:p>
    <w:p>
      <w:pPr>
        <w:pStyle w:val="BodyText"/>
        <w:spacing w:before="6"/>
        <w:rPr>
          <w:sz w:val="23"/>
        </w:rPr>
      </w:pPr>
    </w:p>
    <w:p>
      <w:pPr>
        <w:spacing w:after="0"/>
        <w:rPr>
          <w:sz w:val="23"/>
        </w:rPr>
        <w:sectPr>
          <w:footerReference w:type="default" r:id="rId462"/>
          <w:pgSz w:w="18830" w:h="12760" w:orient="landscape"/>
          <w:pgMar w:footer="1036" w:header="522" w:top="820" w:bottom="1220" w:left="720" w:right="720"/>
        </w:sectPr>
      </w:pPr>
    </w:p>
    <w:p>
      <w:pPr>
        <w:pStyle w:val="BodyText"/>
        <w:spacing w:line="249" w:lineRule="auto" w:before="76"/>
        <w:ind w:left="142"/>
      </w:pPr>
      <w:r>
        <w:rPr/>
        <w:t>la interrelación y asociación municipal, menos aún, el gobierno no es abierto hacia los ciudadanos en la toma de decisión.</w:t>
      </w:r>
    </w:p>
    <w:p>
      <w:pPr>
        <w:pStyle w:val="BodyText"/>
        <w:spacing w:before="11"/>
      </w:pPr>
    </w:p>
    <w:p>
      <w:pPr>
        <w:pStyle w:val="BodyText"/>
        <w:spacing w:line="249" w:lineRule="auto"/>
        <w:ind w:left="142" w:right="1" w:firstLine="170"/>
        <w:jc w:val="both"/>
      </w:pPr>
      <w:r>
        <w:rPr/>
        <w:t>La experiencia de coordinación y gestión metropolitanas mexicana, examinanda desde la transición y cambio del modelo de gobierno tradicional hacia esquemas de gobernanza, no cumple con las condiciones de arranque:</w:t>
      </w:r>
    </w:p>
    <w:p>
      <w:pPr>
        <w:pStyle w:val="BodyText"/>
        <w:spacing w:before="11"/>
      </w:pPr>
    </w:p>
    <w:p>
      <w:pPr>
        <w:pStyle w:val="ListParagraph"/>
        <w:numPr>
          <w:ilvl w:val="1"/>
          <w:numId w:val="76"/>
        </w:numPr>
        <w:tabs>
          <w:tab w:pos="597" w:val="left" w:leader="none"/>
        </w:tabs>
        <w:spacing w:line="249" w:lineRule="auto" w:before="0" w:after="0"/>
        <w:ind w:left="596" w:right="0" w:hanging="113"/>
        <w:jc w:val="both"/>
        <w:rPr>
          <w:sz w:val="20"/>
        </w:rPr>
      </w:pPr>
      <w:r>
        <w:rPr>
          <w:sz w:val="20"/>
        </w:rPr>
        <w:t>La  administración  pública,  la  descentralización  se  ha  estacionado  en  el  nivel estatal, el verticalismo requiere dar paso a esquemas colaborativos de coordinación horizontal en la toma de decisión de los asuntos públicos, ejecución y evaluación, esto es válido para los tres niveles federal, estatal y municipal. En  el nivel de gobierno estatal hay bajo nivel de apertura y transparencia para los asuntos urbanos y</w:t>
      </w:r>
      <w:r>
        <w:rPr>
          <w:spacing w:val="43"/>
          <w:sz w:val="20"/>
        </w:rPr>
        <w:t> </w:t>
      </w:r>
      <w:r>
        <w:rPr>
          <w:sz w:val="20"/>
        </w:rPr>
        <w:t>metropolitanos;</w:t>
      </w:r>
    </w:p>
    <w:p>
      <w:pPr>
        <w:pStyle w:val="ListParagraph"/>
        <w:numPr>
          <w:ilvl w:val="1"/>
          <w:numId w:val="76"/>
        </w:numPr>
        <w:tabs>
          <w:tab w:pos="863" w:val="left" w:leader="none"/>
        </w:tabs>
        <w:spacing w:line="249" w:lineRule="auto" w:before="1" w:after="0"/>
        <w:ind w:left="596" w:right="1" w:hanging="113"/>
        <w:jc w:val="both"/>
        <w:rPr>
          <w:sz w:val="20"/>
        </w:rPr>
      </w:pPr>
      <w:r>
        <w:rPr>
          <w:sz w:val="20"/>
        </w:rPr>
        <w:t>El marco normativo aunque significativo en número, es sectorial establecido desde el nivel federal que afecta la adecuada ejecución de acciones en los problemas y agendas locales, aunque el marco regulatorio ofrece</w:t>
      </w:r>
      <w:r>
        <w:rPr>
          <w:spacing w:val="45"/>
          <w:sz w:val="20"/>
        </w:rPr>
        <w:t> </w:t>
      </w:r>
      <w:r>
        <w:rPr>
          <w:sz w:val="20"/>
        </w:rPr>
        <w:t>posibilidad</w:t>
      </w:r>
      <w:r>
        <w:rPr>
          <w:spacing w:val="17"/>
          <w:sz w:val="20"/>
        </w:rPr>
        <w:t> </w:t>
      </w:r>
      <w:r>
        <w:rPr>
          <w:sz w:val="20"/>
        </w:rPr>
        <w:t>de</w:t>
      </w:r>
      <w:r>
        <w:rPr>
          <w:w w:val="101"/>
          <w:sz w:val="20"/>
        </w:rPr>
        <w:t> </w:t>
      </w:r>
      <w:r>
        <w:rPr>
          <w:sz w:val="20"/>
        </w:rPr>
        <w:t>arreglos entre los gobiernos municipales, éstos operan con lógicas individuales</w:t>
      </w:r>
      <w:r>
        <w:rPr>
          <w:spacing w:val="-38"/>
          <w:sz w:val="20"/>
        </w:rPr>
        <w:t> </w:t>
      </w:r>
      <w:r>
        <w:rPr>
          <w:sz w:val="20"/>
        </w:rPr>
        <w:t>en la toma de decisiones</w:t>
      </w:r>
      <w:r>
        <w:rPr>
          <w:spacing w:val="21"/>
          <w:sz w:val="20"/>
        </w:rPr>
        <w:t> </w:t>
      </w:r>
      <w:r>
        <w:rPr>
          <w:sz w:val="20"/>
        </w:rPr>
        <w:t>y;</w:t>
      </w:r>
    </w:p>
    <w:p>
      <w:pPr>
        <w:pStyle w:val="ListParagraph"/>
        <w:numPr>
          <w:ilvl w:val="1"/>
          <w:numId w:val="76"/>
        </w:numPr>
        <w:tabs>
          <w:tab w:pos="863" w:val="left" w:leader="none"/>
        </w:tabs>
        <w:spacing w:line="249" w:lineRule="auto" w:before="1" w:after="0"/>
        <w:ind w:left="596" w:right="0" w:hanging="113"/>
        <w:jc w:val="both"/>
        <w:rPr>
          <w:sz w:val="20"/>
        </w:rPr>
      </w:pPr>
      <w:r>
        <w:rPr>
          <w:sz w:val="20"/>
        </w:rPr>
        <w:t>La</w:t>
      </w:r>
      <w:r>
        <w:rPr>
          <w:spacing w:val="-5"/>
          <w:sz w:val="20"/>
        </w:rPr>
        <w:t> </w:t>
      </w:r>
      <w:r>
        <w:rPr>
          <w:sz w:val="20"/>
        </w:rPr>
        <w:t>sociedad</w:t>
      </w:r>
      <w:r>
        <w:rPr>
          <w:spacing w:val="-5"/>
          <w:sz w:val="20"/>
        </w:rPr>
        <w:t> </w:t>
      </w:r>
      <w:r>
        <w:rPr>
          <w:sz w:val="20"/>
        </w:rPr>
        <w:t>en</w:t>
      </w:r>
      <w:r>
        <w:rPr>
          <w:spacing w:val="-5"/>
          <w:sz w:val="20"/>
        </w:rPr>
        <w:t> </w:t>
      </w:r>
      <w:r>
        <w:rPr>
          <w:sz w:val="20"/>
        </w:rPr>
        <w:t>los</w:t>
      </w:r>
      <w:r>
        <w:rPr>
          <w:spacing w:val="-5"/>
          <w:sz w:val="20"/>
        </w:rPr>
        <w:t> </w:t>
      </w:r>
      <w:r>
        <w:rPr>
          <w:sz w:val="20"/>
        </w:rPr>
        <w:t>asuntos</w:t>
      </w:r>
      <w:r>
        <w:rPr>
          <w:spacing w:val="-5"/>
          <w:sz w:val="20"/>
        </w:rPr>
        <w:t> </w:t>
      </w:r>
      <w:r>
        <w:rPr>
          <w:sz w:val="20"/>
        </w:rPr>
        <w:t>metropolitanos</w:t>
      </w:r>
      <w:r>
        <w:rPr>
          <w:spacing w:val="-5"/>
          <w:sz w:val="20"/>
        </w:rPr>
        <w:t> </w:t>
      </w:r>
      <w:r>
        <w:rPr>
          <w:sz w:val="20"/>
        </w:rPr>
        <w:t>y</w:t>
      </w:r>
      <w:r>
        <w:rPr>
          <w:spacing w:val="-5"/>
          <w:sz w:val="20"/>
        </w:rPr>
        <w:t> </w:t>
      </w:r>
      <w:r>
        <w:rPr>
          <w:sz w:val="20"/>
        </w:rPr>
        <w:t>urbanos.</w:t>
      </w:r>
      <w:r>
        <w:rPr>
          <w:spacing w:val="-5"/>
          <w:sz w:val="20"/>
        </w:rPr>
        <w:t> </w:t>
      </w:r>
      <w:r>
        <w:rPr>
          <w:sz w:val="20"/>
        </w:rPr>
        <w:t>En</w:t>
      </w:r>
      <w:r>
        <w:rPr>
          <w:spacing w:val="-5"/>
          <w:sz w:val="20"/>
        </w:rPr>
        <w:t> </w:t>
      </w:r>
      <w:r>
        <w:rPr>
          <w:sz w:val="20"/>
        </w:rPr>
        <w:t>cuanto</w:t>
      </w:r>
      <w:r>
        <w:rPr>
          <w:spacing w:val="-5"/>
          <w:sz w:val="20"/>
        </w:rPr>
        <w:t> </w:t>
      </w:r>
      <w:r>
        <w:rPr>
          <w:sz w:val="20"/>
        </w:rPr>
        <w:t>hace</w:t>
      </w:r>
      <w:r>
        <w:rPr>
          <w:spacing w:val="-5"/>
          <w:sz w:val="20"/>
        </w:rPr>
        <w:t> </w:t>
      </w:r>
      <w:r>
        <w:rPr>
          <w:sz w:val="20"/>
        </w:rPr>
        <w:t>al</w:t>
      </w:r>
      <w:r>
        <w:rPr>
          <w:spacing w:val="-5"/>
          <w:sz w:val="20"/>
        </w:rPr>
        <w:t> </w:t>
      </w:r>
      <w:r>
        <w:rPr>
          <w:sz w:val="20"/>
        </w:rPr>
        <w:t>sector privado actúa con grados diversos de involucramiento con objetivos y finalidades parciales, mientras que la sociedad civil no cuenta con canales de </w:t>
      </w:r>
      <w:r>
        <w:rPr>
          <w:spacing w:val="30"/>
          <w:sz w:val="20"/>
        </w:rPr>
        <w:t> </w:t>
      </w:r>
      <w:r>
        <w:rPr>
          <w:sz w:val="20"/>
        </w:rPr>
        <w:t>participación.</w:t>
      </w:r>
    </w:p>
    <w:p>
      <w:pPr>
        <w:pStyle w:val="BodyText"/>
        <w:spacing w:before="11"/>
      </w:pPr>
    </w:p>
    <w:p>
      <w:pPr>
        <w:pStyle w:val="BodyText"/>
        <w:spacing w:line="249" w:lineRule="auto"/>
        <w:ind w:left="143" w:firstLine="170"/>
        <w:jc w:val="both"/>
      </w:pPr>
      <w:r>
        <w:rPr/>
        <w:t>En tanto no se corrija la coordinación de agentes, actores y sujetos en la gestión de las zonas metropolitanas no se podrá dar pasos hacia la gobernanza de las mismas.</w:t>
      </w:r>
    </w:p>
    <w:p>
      <w:pPr>
        <w:pStyle w:val="BodyText"/>
        <w:spacing w:before="6"/>
      </w:pPr>
    </w:p>
    <w:p>
      <w:pPr>
        <w:pStyle w:val="Heading1"/>
        <w:spacing w:line="240" w:lineRule="exact"/>
        <w:ind w:left="3296" w:hanging="2541"/>
      </w:pPr>
      <w:r>
        <w:rPr/>
        <w:t>Hacia un gobierno participativo, cooperativo horizontal y multiescalar</w:t>
      </w:r>
    </w:p>
    <w:p>
      <w:pPr>
        <w:pStyle w:val="BodyText"/>
        <w:spacing w:before="2"/>
        <w:rPr>
          <w:b/>
          <w:sz w:val="21"/>
        </w:rPr>
      </w:pPr>
    </w:p>
    <w:p>
      <w:pPr>
        <w:pStyle w:val="BodyText"/>
        <w:spacing w:line="249" w:lineRule="auto" w:before="1"/>
        <w:ind w:left="142" w:firstLine="170"/>
        <w:jc w:val="both"/>
      </w:pPr>
      <w:r>
        <w:rPr/>
        <w:t>El problema de la gestión en las áreas metropolitanas mexicanas se caracteriza por una fragmentación estructural, no se gobierna como unidad funcional integrada. Se podrían aplicar otros modelos de gestión –asociacionismo, cooperación- en la</w:t>
      </w:r>
      <w:r>
        <w:rPr>
          <w:spacing w:val="-8"/>
        </w:rPr>
        <w:t> </w:t>
      </w:r>
      <w:r>
        <w:rPr/>
        <w:t>atención de los servicios públicos e infraestructuras, en la recuperación de ingresos y</w:t>
      </w:r>
      <w:r>
        <w:rPr>
          <w:spacing w:val="-20"/>
        </w:rPr>
        <w:t> </w:t>
      </w:r>
      <w:r>
        <w:rPr/>
        <w:t>capacidad de gasto con criterios de eficiencia de economías de escala y economías de red, y atención de cobertura con justicia y ética espacial, sin embargo no se alientan dichas posibilidades en el conjunto de los municipios </w:t>
      </w:r>
      <w:r>
        <w:rPr>
          <w:spacing w:val="42"/>
        </w:rPr>
        <w:t> </w:t>
      </w:r>
      <w:r>
        <w:rPr/>
        <w:t>metropolitanos.</w:t>
      </w:r>
    </w:p>
    <w:p>
      <w:pPr>
        <w:pStyle w:val="BodyText"/>
        <w:spacing w:before="11"/>
      </w:pPr>
    </w:p>
    <w:p>
      <w:pPr>
        <w:pStyle w:val="BodyText"/>
        <w:spacing w:line="249" w:lineRule="auto"/>
        <w:ind w:left="142" w:firstLine="170"/>
        <w:jc w:val="both"/>
      </w:pPr>
      <w:r>
        <w:rPr/>
        <w:t>El cambio prioritario inicia por potenciar al municipio para corregir la coordinación entre los municipios e integrar los asuntos públicos comunes metropolitanos. Agregar competencias,</w:t>
      </w:r>
      <w:r>
        <w:rPr>
          <w:spacing w:val="-18"/>
        </w:rPr>
        <w:t> </w:t>
      </w:r>
      <w:r>
        <w:rPr/>
        <w:t>hacia</w:t>
      </w:r>
      <w:r>
        <w:rPr>
          <w:spacing w:val="-18"/>
        </w:rPr>
        <w:t> </w:t>
      </w:r>
      <w:r>
        <w:rPr/>
        <w:t>arriba</w:t>
      </w:r>
      <w:r>
        <w:rPr>
          <w:spacing w:val="-18"/>
        </w:rPr>
        <w:t> </w:t>
      </w:r>
      <w:r>
        <w:rPr/>
        <w:t>y</w:t>
      </w:r>
      <w:r>
        <w:rPr>
          <w:spacing w:val="-18"/>
        </w:rPr>
        <w:t> </w:t>
      </w:r>
      <w:r>
        <w:rPr/>
        <w:t>hacia</w:t>
      </w:r>
      <w:r>
        <w:rPr>
          <w:spacing w:val="-18"/>
        </w:rPr>
        <w:t> </w:t>
      </w:r>
      <w:r>
        <w:rPr/>
        <w:t>abajo,</w:t>
      </w:r>
      <w:r>
        <w:rPr>
          <w:spacing w:val="-18"/>
        </w:rPr>
        <w:t> </w:t>
      </w:r>
      <w:r>
        <w:rPr/>
        <w:t>por</w:t>
      </w:r>
      <w:r>
        <w:rPr>
          <w:spacing w:val="-18"/>
        </w:rPr>
        <w:t> </w:t>
      </w:r>
      <w:r>
        <w:rPr/>
        <w:t>consecuencia</w:t>
      </w:r>
      <w:r>
        <w:rPr>
          <w:spacing w:val="-18"/>
        </w:rPr>
        <w:t> </w:t>
      </w:r>
      <w:r>
        <w:rPr/>
        <w:t>reestructurar</w:t>
      </w:r>
      <w:r>
        <w:rPr>
          <w:spacing w:val="-18"/>
        </w:rPr>
        <w:t> </w:t>
      </w:r>
      <w:r>
        <w:rPr/>
        <w:t>el</w:t>
      </w:r>
      <w:r>
        <w:rPr>
          <w:spacing w:val="-18"/>
        </w:rPr>
        <w:t> </w:t>
      </w:r>
      <w:r>
        <w:rPr/>
        <w:t>organigrama interno</w:t>
      </w:r>
      <w:r>
        <w:rPr>
          <w:spacing w:val="15"/>
        </w:rPr>
        <w:t> </w:t>
      </w:r>
      <w:r>
        <w:rPr/>
        <w:t>incorporando</w:t>
      </w:r>
      <w:r>
        <w:rPr>
          <w:spacing w:val="15"/>
        </w:rPr>
        <w:t> </w:t>
      </w:r>
      <w:r>
        <w:rPr/>
        <w:t>otras</w:t>
      </w:r>
      <w:r>
        <w:rPr>
          <w:spacing w:val="15"/>
        </w:rPr>
        <w:t> </w:t>
      </w:r>
      <w:r>
        <w:rPr/>
        <w:t>escalas,</w:t>
      </w:r>
      <w:r>
        <w:rPr>
          <w:spacing w:val="15"/>
        </w:rPr>
        <w:t> </w:t>
      </w:r>
      <w:r>
        <w:rPr/>
        <w:t>hacia</w:t>
      </w:r>
      <w:r>
        <w:rPr>
          <w:spacing w:val="15"/>
        </w:rPr>
        <w:t> </w:t>
      </w:r>
      <w:r>
        <w:rPr/>
        <w:t>abajo</w:t>
      </w:r>
      <w:r>
        <w:rPr>
          <w:spacing w:val="15"/>
        </w:rPr>
        <w:t> </w:t>
      </w:r>
      <w:r>
        <w:rPr/>
        <w:t>y</w:t>
      </w:r>
      <w:r>
        <w:rPr>
          <w:spacing w:val="15"/>
        </w:rPr>
        <w:t> </w:t>
      </w:r>
      <w:r>
        <w:rPr/>
        <w:t>hacia</w:t>
      </w:r>
      <w:r>
        <w:rPr>
          <w:spacing w:val="15"/>
        </w:rPr>
        <w:t> </w:t>
      </w:r>
      <w:r>
        <w:rPr/>
        <w:t>arriba.</w:t>
      </w:r>
      <w:r>
        <w:rPr>
          <w:spacing w:val="15"/>
        </w:rPr>
        <w:t> </w:t>
      </w:r>
      <w:r>
        <w:rPr/>
        <w:t>En</w:t>
      </w:r>
      <w:r>
        <w:rPr>
          <w:spacing w:val="15"/>
        </w:rPr>
        <w:t> </w:t>
      </w:r>
      <w:r>
        <w:rPr/>
        <w:t>cuanto</w:t>
      </w:r>
      <w:r>
        <w:rPr>
          <w:spacing w:val="15"/>
        </w:rPr>
        <w:t> </w:t>
      </w:r>
      <w:r>
        <w:rPr/>
        <w:t>al</w:t>
      </w:r>
      <w:r>
        <w:rPr>
          <w:spacing w:val="15"/>
        </w:rPr>
        <w:t> </w:t>
      </w:r>
      <w:r>
        <w:rPr/>
        <w:t>gobierno</w:t>
      </w:r>
    </w:p>
    <w:p>
      <w:pPr>
        <w:pStyle w:val="BodyText"/>
        <w:spacing w:line="249" w:lineRule="auto" w:before="76"/>
        <w:ind w:left="142" w:right="128"/>
        <w:jc w:val="both"/>
      </w:pPr>
      <w:r>
        <w:rPr/>
        <w:br w:type="column"/>
      </w:r>
      <w:r>
        <w:rPr/>
        <w:t>del territorio, revisar la integración de municipios - asentamientos en general- donde  se emplaza el funcionamiento y es también necesario realizar distinción de ciudadanía municipal y ciudadanía metropolitana para la escala de los asuntos </w:t>
      </w:r>
      <w:r>
        <w:rPr>
          <w:spacing w:val="11"/>
        </w:rPr>
        <w:t> </w:t>
      </w:r>
      <w:r>
        <w:rPr/>
        <w:t>públicos.</w:t>
      </w:r>
    </w:p>
    <w:p>
      <w:pPr>
        <w:pStyle w:val="BodyText"/>
        <w:spacing w:before="11"/>
      </w:pPr>
    </w:p>
    <w:p>
      <w:pPr>
        <w:pStyle w:val="BodyText"/>
        <w:spacing w:line="249" w:lineRule="auto"/>
        <w:ind w:left="142" w:firstLine="170"/>
      </w:pPr>
      <w:r>
        <w:rPr/>
        <w:t>Avanzar</w:t>
      </w:r>
      <w:r>
        <w:rPr>
          <w:spacing w:val="-13"/>
        </w:rPr>
        <w:t> </w:t>
      </w:r>
      <w:r>
        <w:rPr/>
        <w:t>hacia</w:t>
      </w:r>
      <w:r>
        <w:rPr>
          <w:spacing w:val="-13"/>
        </w:rPr>
        <w:t> </w:t>
      </w:r>
      <w:r>
        <w:rPr/>
        <w:t>la</w:t>
      </w:r>
      <w:r>
        <w:rPr>
          <w:spacing w:val="-13"/>
        </w:rPr>
        <w:t> </w:t>
      </w:r>
      <w:r>
        <w:rPr/>
        <w:t>gestión</w:t>
      </w:r>
      <w:r>
        <w:rPr>
          <w:spacing w:val="-13"/>
        </w:rPr>
        <w:t> </w:t>
      </w:r>
      <w:r>
        <w:rPr/>
        <w:t>urbana</w:t>
      </w:r>
      <w:r>
        <w:rPr>
          <w:spacing w:val="-13"/>
        </w:rPr>
        <w:t> </w:t>
      </w:r>
      <w:r>
        <w:rPr/>
        <w:t>del</w:t>
      </w:r>
      <w:r>
        <w:rPr>
          <w:spacing w:val="-13"/>
        </w:rPr>
        <w:t> </w:t>
      </w:r>
      <w:r>
        <w:rPr/>
        <w:t>complejo</w:t>
      </w:r>
      <w:r>
        <w:rPr>
          <w:spacing w:val="-13"/>
        </w:rPr>
        <w:t> </w:t>
      </w:r>
      <w:r>
        <w:rPr/>
        <w:t>metropolitano,</w:t>
      </w:r>
      <w:r>
        <w:rPr>
          <w:spacing w:val="-13"/>
        </w:rPr>
        <w:t> </w:t>
      </w:r>
      <w:r>
        <w:rPr/>
        <w:t>retomando</w:t>
      </w:r>
      <w:r>
        <w:rPr>
          <w:spacing w:val="-13"/>
        </w:rPr>
        <w:t> </w:t>
      </w:r>
      <w:r>
        <w:rPr/>
        <w:t>la</w:t>
      </w:r>
      <w:r>
        <w:rPr>
          <w:spacing w:val="-13"/>
        </w:rPr>
        <w:t> </w:t>
      </w:r>
      <w:r>
        <w:rPr/>
        <w:t>perspectiva de la gobernanza para ello tener en cuenta al menos cuatro</w:t>
      </w:r>
      <w:r>
        <w:rPr>
          <w:spacing w:val="18"/>
        </w:rPr>
        <w:t> </w:t>
      </w:r>
      <w:r>
        <w:rPr/>
        <w:t>elementos:</w:t>
      </w:r>
    </w:p>
    <w:p>
      <w:pPr>
        <w:pStyle w:val="BodyText"/>
        <w:spacing w:before="11"/>
      </w:pPr>
    </w:p>
    <w:p>
      <w:pPr>
        <w:pStyle w:val="ListParagraph"/>
        <w:numPr>
          <w:ilvl w:val="0"/>
          <w:numId w:val="80"/>
        </w:numPr>
        <w:tabs>
          <w:tab w:pos="710" w:val="left" w:leader="none"/>
        </w:tabs>
        <w:spacing w:line="249" w:lineRule="auto" w:before="0" w:after="0"/>
        <w:ind w:left="709" w:right="128" w:hanging="170"/>
        <w:jc w:val="both"/>
        <w:rPr>
          <w:sz w:val="20"/>
        </w:rPr>
      </w:pPr>
      <w:r>
        <w:rPr>
          <w:sz w:val="20"/>
        </w:rPr>
        <w:t>Una unidad administrativa/reguladora para la geografía del funcionamiento agregado, vale decir gobierno, esquema de coordinación supramunicipal o intermunicipal;</w:t>
      </w:r>
    </w:p>
    <w:p>
      <w:pPr>
        <w:pStyle w:val="ListParagraph"/>
        <w:numPr>
          <w:ilvl w:val="0"/>
          <w:numId w:val="80"/>
        </w:numPr>
        <w:tabs>
          <w:tab w:pos="863" w:val="left" w:leader="none"/>
        </w:tabs>
        <w:spacing w:line="249" w:lineRule="auto" w:before="1" w:after="0"/>
        <w:ind w:left="709" w:right="128" w:hanging="170"/>
        <w:jc w:val="both"/>
        <w:rPr>
          <w:sz w:val="20"/>
        </w:rPr>
      </w:pPr>
      <w:r>
        <w:rPr>
          <w:sz w:val="20"/>
        </w:rPr>
        <w:t>Una geografía específica de acuerdo con la naturaleza del problema, con acuerdos municipales por asunto </w:t>
      </w:r>
      <w:r>
        <w:rPr>
          <w:spacing w:val="13"/>
          <w:sz w:val="20"/>
        </w:rPr>
        <w:t> </w:t>
      </w:r>
      <w:r>
        <w:rPr>
          <w:sz w:val="20"/>
        </w:rPr>
        <w:t>metropolitano;</w:t>
      </w:r>
    </w:p>
    <w:p>
      <w:pPr>
        <w:pStyle w:val="ListParagraph"/>
        <w:numPr>
          <w:ilvl w:val="0"/>
          <w:numId w:val="80"/>
        </w:numPr>
        <w:tabs>
          <w:tab w:pos="710" w:val="left" w:leader="none"/>
        </w:tabs>
        <w:spacing w:line="249" w:lineRule="auto" w:before="1" w:after="0"/>
        <w:ind w:left="709" w:right="127" w:hanging="170"/>
        <w:jc w:val="both"/>
        <w:rPr>
          <w:sz w:val="20"/>
        </w:rPr>
      </w:pPr>
      <w:r>
        <w:rPr>
          <w:sz w:val="20"/>
        </w:rPr>
        <w:t>Organización flexible para conducir los asuntos públicos mediante arreglos unitarios y arreglos específicos;</w:t>
      </w:r>
      <w:r>
        <w:rPr>
          <w:spacing w:val="17"/>
          <w:sz w:val="20"/>
        </w:rPr>
        <w:t> </w:t>
      </w:r>
      <w:r>
        <w:rPr>
          <w:sz w:val="20"/>
        </w:rPr>
        <w:t>y</w:t>
      </w:r>
    </w:p>
    <w:p>
      <w:pPr>
        <w:pStyle w:val="ListParagraph"/>
        <w:numPr>
          <w:ilvl w:val="0"/>
          <w:numId w:val="80"/>
        </w:numPr>
        <w:tabs>
          <w:tab w:pos="710" w:val="left" w:leader="none"/>
        </w:tabs>
        <w:spacing w:line="249" w:lineRule="auto" w:before="1" w:after="0"/>
        <w:ind w:left="709" w:right="130" w:hanging="170"/>
        <w:jc w:val="both"/>
        <w:rPr>
          <w:sz w:val="20"/>
        </w:rPr>
      </w:pPr>
      <w:r>
        <w:rPr>
          <w:sz w:val="20"/>
        </w:rPr>
        <w:t>Mecanismos de participación y transparencia en los asuntos públicos metropolitanos.</w:t>
      </w:r>
    </w:p>
    <w:p>
      <w:pPr>
        <w:pStyle w:val="BodyText"/>
      </w:pPr>
    </w:p>
    <w:p>
      <w:pPr>
        <w:pStyle w:val="BodyText"/>
        <w:spacing w:before="9"/>
        <w:rPr>
          <w:sz w:val="21"/>
        </w:rPr>
      </w:pPr>
    </w:p>
    <w:p>
      <w:pPr>
        <w:pStyle w:val="BodyText"/>
        <w:spacing w:line="249" w:lineRule="auto"/>
        <w:ind w:left="143" w:firstLine="170"/>
      </w:pPr>
      <w:r>
        <w:rPr/>
        <w:t>En el contexto metropolitano mexicano, a manera de ejemplo se mencionan los siguientes aspectos de gobernanza que se pueden aplicar:</w:t>
      </w:r>
    </w:p>
    <w:p>
      <w:pPr>
        <w:pStyle w:val="BodyText"/>
        <w:spacing w:before="8"/>
      </w:pPr>
    </w:p>
    <w:p>
      <w:pPr>
        <w:pStyle w:val="BodyText"/>
        <w:spacing w:line="244" w:lineRule="auto"/>
        <w:ind w:left="653" w:right="128"/>
        <w:jc w:val="both"/>
      </w:pPr>
      <w:r>
        <w:rPr>
          <w:rFonts w:ascii="Calibri" w:hAnsi="Calibri"/>
        </w:rPr>
        <w:t>» </w:t>
      </w:r>
      <w:r>
        <w:rPr/>
        <w:t>Gobierno. Corregir la  integración  vertical  y  horizontal,  buscar  mecanismos de interrelación. Descentralización de competencias, recursos y decisión. Instrumentar mecanismos de gobierno abierto.</w:t>
      </w:r>
    </w:p>
    <w:p>
      <w:pPr>
        <w:pStyle w:val="BodyText"/>
        <w:spacing w:line="247" w:lineRule="auto" w:before="2"/>
        <w:ind w:left="653" w:right="127"/>
        <w:jc w:val="both"/>
      </w:pPr>
      <w:r>
        <w:rPr>
          <w:rFonts w:ascii="Calibri" w:hAnsi="Calibri"/>
        </w:rPr>
        <w:t>» </w:t>
      </w:r>
      <w:r>
        <w:rPr/>
        <w:t>Multinivel. Cooperación, instrumentos y recursos entre sectores de la administración –federal, estatal, municipal- que deciden en los asuntos públicos de las zonas metropolitanas con apertura a la sociedad civil en el nivel de actuación.</w:t>
      </w:r>
    </w:p>
    <w:p>
      <w:pPr>
        <w:pStyle w:val="BodyText"/>
        <w:spacing w:line="244" w:lineRule="auto"/>
        <w:ind w:left="653" w:right="127"/>
        <w:jc w:val="both"/>
      </w:pPr>
      <w:r>
        <w:rPr>
          <w:rFonts w:ascii="Calibri" w:hAnsi="Calibri"/>
        </w:rPr>
        <w:t>» </w:t>
      </w:r>
      <w:r>
        <w:rPr/>
        <w:t>Comisión intermunicipal. Descentralización y flexibilidad en los asuntos públicos depositados en el nivel municipal para los sectores público, privado y sociedad</w:t>
      </w:r>
      <w:r>
        <w:rPr>
          <w:spacing w:val="25"/>
        </w:rPr>
        <w:t> </w:t>
      </w:r>
      <w:r>
        <w:rPr/>
        <w:t>civil.</w:t>
      </w:r>
    </w:p>
    <w:p>
      <w:pPr>
        <w:pStyle w:val="BodyText"/>
        <w:spacing w:line="247" w:lineRule="auto" w:before="2"/>
        <w:ind w:left="653" w:right="127"/>
        <w:jc w:val="both"/>
      </w:pPr>
      <w:r>
        <w:rPr>
          <w:rFonts w:ascii="Calibri" w:hAnsi="Calibri"/>
        </w:rPr>
        <w:t>» </w:t>
      </w:r>
      <w:r>
        <w:rPr/>
        <w:t>Multiescalar. Alcance geográfico en dos aspectos; en cuanto a los asuntos públicos, alcance físico por tipo de función y, en lo social, los asuntos públicos según participación ciudadana (barrios, organizaciones, pueblos, comuneros, etcétera).</w:t>
      </w:r>
    </w:p>
    <w:p>
      <w:pPr>
        <w:spacing w:after="0" w:line="247" w:lineRule="auto"/>
        <w:jc w:val="both"/>
        <w:sectPr>
          <w:type w:val="continuous"/>
          <w:pgSz w:w="18830" w:h="12760" w:orient="landscape"/>
          <w:pgMar w:top="1420" w:bottom="280" w:left="720" w:right="720"/>
          <w:cols w:num="2" w:equalWidth="0">
            <w:col w:w="7855" w:space="1544"/>
            <w:col w:w="7991"/>
          </w:cols>
        </w:sectPr>
      </w:pPr>
    </w:p>
    <w:p>
      <w:pPr>
        <w:pStyle w:val="BodyText"/>
        <w:spacing w:before="8"/>
      </w:pPr>
    </w:p>
    <w:p>
      <w:pPr>
        <w:spacing w:after="0"/>
        <w:sectPr>
          <w:footerReference w:type="default" r:id="rId463"/>
          <w:pgSz w:w="18830" w:h="12760" w:orient="landscape"/>
          <w:pgMar w:footer="1036" w:header="522" w:top="820" w:bottom="1220" w:left="720" w:right="720"/>
        </w:sectPr>
      </w:pPr>
    </w:p>
    <w:p>
      <w:pPr>
        <w:pStyle w:val="Heading1"/>
        <w:spacing w:before="71"/>
        <w:ind w:left="311"/>
      </w:pPr>
      <w:r>
        <w:rPr/>
        <w:t>Bibliografía</w:t>
      </w:r>
    </w:p>
    <w:p>
      <w:pPr>
        <w:pStyle w:val="BodyText"/>
        <w:rPr>
          <w:b/>
          <w:sz w:val="21"/>
        </w:rPr>
      </w:pPr>
    </w:p>
    <w:p>
      <w:pPr>
        <w:spacing w:line="249" w:lineRule="auto" w:before="0"/>
        <w:ind w:left="0" w:right="0" w:firstLine="0"/>
        <w:jc w:val="right"/>
        <w:rPr>
          <w:sz w:val="20"/>
        </w:rPr>
      </w:pPr>
      <w:r>
        <w:rPr>
          <w:sz w:val="20"/>
        </w:rPr>
        <w:t>Blanco, Ismael, 2009: “Gobernanza urbana y políticas de regeneración: el caso de</w:t>
      </w:r>
      <w:r>
        <w:rPr>
          <w:w w:val="101"/>
          <w:sz w:val="20"/>
        </w:rPr>
        <w:t> </w:t>
      </w:r>
      <w:r>
        <w:rPr>
          <w:sz w:val="20"/>
        </w:rPr>
        <w:t>Barcelona” en </w:t>
      </w:r>
      <w:r>
        <w:rPr>
          <w:i/>
          <w:sz w:val="20"/>
        </w:rPr>
        <w:t>Revista Española de Ciencia Política</w:t>
      </w:r>
      <w:r>
        <w:rPr>
          <w:sz w:val="20"/>
        </w:rPr>
        <w:t>, Núm. 20, Abril, pp.125-146</w:t>
      </w:r>
    </w:p>
    <w:p>
      <w:pPr>
        <w:pStyle w:val="BodyText"/>
        <w:spacing w:before="11"/>
      </w:pPr>
    </w:p>
    <w:p>
      <w:pPr>
        <w:pStyle w:val="BodyText"/>
        <w:spacing w:line="249" w:lineRule="auto"/>
        <w:ind w:left="765" w:hanging="624"/>
        <w:jc w:val="both"/>
      </w:pPr>
      <w:r>
        <w:rPr/>
        <w:t>Camacho R., Darinka M., 2015: “Estructuración metropolitana de la ciudad de Toluca. Los impactos de la desurbanización en el territorio, 1990 a 2010”, tesis de Maestría en Estudios de la Ciudad, FaPUR-UAEM.</w:t>
      </w:r>
    </w:p>
    <w:p>
      <w:pPr>
        <w:pStyle w:val="BodyText"/>
        <w:spacing w:before="11"/>
      </w:pPr>
    </w:p>
    <w:p>
      <w:pPr>
        <w:spacing w:line="249" w:lineRule="auto" w:before="0"/>
        <w:ind w:left="765" w:right="0" w:hanging="624"/>
        <w:jc w:val="both"/>
        <w:rPr>
          <w:sz w:val="20"/>
        </w:rPr>
      </w:pPr>
      <w:r>
        <w:rPr>
          <w:sz w:val="20"/>
        </w:rPr>
        <w:t>CAF Corporación Andina de Fomento, 2010</w:t>
      </w:r>
      <w:r>
        <w:rPr>
          <w:i/>
          <w:sz w:val="20"/>
        </w:rPr>
        <w:t>: Desarrollo local: hacia un nuevo </w:t>
      </w:r>
      <w:r>
        <w:rPr>
          <w:i/>
          <w:spacing w:val="3"/>
          <w:sz w:val="20"/>
        </w:rPr>
        <w:t>protagonismodelas</w:t>
      </w:r>
      <w:r>
        <w:rPr>
          <w:i/>
          <w:spacing w:val="-28"/>
          <w:sz w:val="20"/>
        </w:rPr>
        <w:t> </w:t>
      </w:r>
      <w:r>
        <w:rPr>
          <w:i/>
          <w:spacing w:val="3"/>
          <w:sz w:val="20"/>
        </w:rPr>
        <w:t>ciudadesy</w:t>
      </w:r>
      <w:r>
        <w:rPr>
          <w:i/>
          <w:spacing w:val="-28"/>
          <w:sz w:val="20"/>
        </w:rPr>
        <w:t> </w:t>
      </w:r>
      <w:r>
        <w:rPr>
          <w:i/>
          <w:sz w:val="20"/>
        </w:rPr>
        <w:t>regiones</w:t>
      </w:r>
      <w:r>
        <w:rPr>
          <w:sz w:val="20"/>
        </w:rPr>
        <w:t>,</w:t>
      </w:r>
      <w:r>
        <w:rPr>
          <w:spacing w:val="-28"/>
          <w:sz w:val="20"/>
        </w:rPr>
        <w:t> </w:t>
      </w:r>
      <w:r>
        <w:rPr>
          <w:sz w:val="20"/>
        </w:rPr>
        <w:t>Serie</w:t>
      </w:r>
      <w:r>
        <w:rPr>
          <w:spacing w:val="-28"/>
          <w:sz w:val="20"/>
        </w:rPr>
        <w:t> </w:t>
      </w:r>
      <w:r>
        <w:rPr>
          <w:sz w:val="20"/>
        </w:rPr>
        <w:t>Reporte</w:t>
      </w:r>
      <w:r>
        <w:rPr>
          <w:spacing w:val="-28"/>
          <w:sz w:val="20"/>
        </w:rPr>
        <w:t> </w:t>
      </w:r>
      <w:r>
        <w:rPr>
          <w:sz w:val="20"/>
        </w:rPr>
        <w:t>de</w:t>
      </w:r>
      <w:r>
        <w:rPr>
          <w:spacing w:val="-28"/>
          <w:sz w:val="20"/>
        </w:rPr>
        <w:t> </w:t>
      </w:r>
      <w:r>
        <w:rPr>
          <w:sz w:val="20"/>
        </w:rPr>
        <w:t>Economía</w:t>
      </w:r>
      <w:r>
        <w:rPr>
          <w:spacing w:val="-28"/>
          <w:sz w:val="20"/>
        </w:rPr>
        <w:t> </w:t>
      </w:r>
      <w:r>
        <w:rPr>
          <w:sz w:val="20"/>
        </w:rPr>
        <w:t>y</w:t>
      </w:r>
      <w:r>
        <w:rPr>
          <w:spacing w:val="-28"/>
          <w:sz w:val="20"/>
        </w:rPr>
        <w:t> </w:t>
      </w:r>
      <w:r>
        <w:rPr>
          <w:sz w:val="20"/>
        </w:rPr>
        <w:t>Desarrollo, Caracas: Editor CAF en línea </w:t>
      </w:r>
      <w:hyperlink r:id="rId464">
        <w:r>
          <w:rPr>
            <w:sz w:val="20"/>
          </w:rPr>
          <w:t>http://scioteca.caf.com/handle/123456789/171</w:t>
        </w:r>
      </w:hyperlink>
      <w:r>
        <w:rPr>
          <w:sz w:val="20"/>
        </w:rPr>
        <w:t> (consulta abril</w:t>
      </w:r>
      <w:r>
        <w:rPr>
          <w:spacing w:val="-12"/>
          <w:sz w:val="20"/>
        </w:rPr>
        <w:t> </w:t>
      </w:r>
      <w:r>
        <w:rPr>
          <w:sz w:val="20"/>
        </w:rPr>
        <w:t>2015)</w:t>
      </w:r>
    </w:p>
    <w:p>
      <w:pPr>
        <w:pStyle w:val="BodyText"/>
        <w:spacing w:before="11"/>
      </w:pPr>
    </w:p>
    <w:p>
      <w:pPr>
        <w:spacing w:line="249" w:lineRule="auto" w:before="0"/>
        <w:ind w:left="765" w:right="0" w:hanging="624"/>
        <w:jc w:val="both"/>
        <w:rPr>
          <w:sz w:val="20"/>
        </w:rPr>
      </w:pPr>
      <w:r>
        <w:rPr>
          <w:sz w:val="20"/>
        </w:rPr>
        <w:t>Espinoza M., Sofía y Hoyos C., G., 2014: “La intermunicipalidad como modelo de gobierno</w:t>
      </w:r>
      <w:r>
        <w:rPr>
          <w:spacing w:val="-4"/>
          <w:sz w:val="20"/>
        </w:rPr>
        <w:t> </w:t>
      </w:r>
      <w:r>
        <w:rPr>
          <w:sz w:val="20"/>
        </w:rPr>
        <w:t>local</w:t>
      </w:r>
      <w:r>
        <w:rPr>
          <w:spacing w:val="-4"/>
          <w:sz w:val="20"/>
        </w:rPr>
        <w:t> </w:t>
      </w:r>
      <w:r>
        <w:rPr>
          <w:sz w:val="20"/>
        </w:rPr>
        <w:t>para</w:t>
      </w:r>
      <w:r>
        <w:rPr>
          <w:spacing w:val="-4"/>
          <w:sz w:val="20"/>
        </w:rPr>
        <w:t> </w:t>
      </w:r>
      <w:r>
        <w:rPr>
          <w:sz w:val="20"/>
        </w:rPr>
        <w:t>zonas</w:t>
      </w:r>
      <w:r>
        <w:rPr>
          <w:spacing w:val="-4"/>
          <w:sz w:val="20"/>
        </w:rPr>
        <w:t> </w:t>
      </w:r>
      <w:r>
        <w:rPr>
          <w:sz w:val="20"/>
        </w:rPr>
        <w:t>metropolitanas.</w:t>
      </w:r>
      <w:r>
        <w:rPr>
          <w:spacing w:val="-4"/>
          <w:sz w:val="20"/>
        </w:rPr>
        <w:t> </w:t>
      </w:r>
      <w:r>
        <w:rPr>
          <w:sz w:val="20"/>
        </w:rPr>
        <w:t>El</w:t>
      </w:r>
      <w:r>
        <w:rPr>
          <w:spacing w:val="-4"/>
          <w:sz w:val="20"/>
        </w:rPr>
        <w:t> </w:t>
      </w:r>
      <w:r>
        <w:rPr>
          <w:sz w:val="20"/>
        </w:rPr>
        <w:t>caso</w:t>
      </w:r>
      <w:r>
        <w:rPr>
          <w:spacing w:val="-4"/>
          <w:sz w:val="20"/>
        </w:rPr>
        <w:t> </w:t>
      </w:r>
      <w:r>
        <w:rPr>
          <w:sz w:val="20"/>
        </w:rPr>
        <w:t>de</w:t>
      </w:r>
      <w:r>
        <w:rPr>
          <w:spacing w:val="-4"/>
          <w:sz w:val="20"/>
        </w:rPr>
        <w:t> </w:t>
      </w:r>
      <w:r>
        <w:rPr>
          <w:sz w:val="20"/>
        </w:rPr>
        <w:t>la</w:t>
      </w:r>
      <w:r>
        <w:rPr>
          <w:spacing w:val="-4"/>
          <w:sz w:val="20"/>
        </w:rPr>
        <w:t> </w:t>
      </w:r>
      <w:r>
        <w:rPr>
          <w:sz w:val="20"/>
        </w:rPr>
        <w:t>ciudad</w:t>
      </w:r>
      <w:r>
        <w:rPr>
          <w:spacing w:val="-4"/>
          <w:sz w:val="20"/>
        </w:rPr>
        <w:t> </w:t>
      </w:r>
      <w:r>
        <w:rPr>
          <w:sz w:val="20"/>
        </w:rPr>
        <w:t>de</w:t>
      </w:r>
      <w:r>
        <w:rPr>
          <w:spacing w:val="-4"/>
          <w:sz w:val="20"/>
        </w:rPr>
        <w:t> </w:t>
      </w:r>
      <w:r>
        <w:rPr>
          <w:sz w:val="20"/>
        </w:rPr>
        <w:t>Toluca”</w:t>
      </w:r>
      <w:r>
        <w:rPr>
          <w:spacing w:val="-4"/>
          <w:sz w:val="20"/>
        </w:rPr>
        <w:t> </w:t>
      </w:r>
      <w:r>
        <w:rPr>
          <w:sz w:val="20"/>
        </w:rPr>
        <w:t>en</w:t>
      </w:r>
      <w:r>
        <w:rPr>
          <w:spacing w:val="-4"/>
          <w:sz w:val="20"/>
        </w:rPr>
        <w:t> </w:t>
      </w:r>
      <w:r>
        <w:rPr>
          <w:sz w:val="20"/>
        </w:rPr>
        <w:t>M. Virginia</w:t>
      </w:r>
      <w:r>
        <w:rPr>
          <w:spacing w:val="-9"/>
          <w:sz w:val="20"/>
        </w:rPr>
        <w:t> </w:t>
      </w:r>
      <w:r>
        <w:rPr>
          <w:sz w:val="20"/>
        </w:rPr>
        <w:t>Santana</w:t>
      </w:r>
      <w:r>
        <w:rPr>
          <w:spacing w:val="-9"/>
          <w:sz w:val="20"/>
        </w:rPr>
        <w:t> </w:t>
      </w:r>
      <w:r>
        <w:rPr>
          <w:sz w:val="20"/>
        </w:rPr>
        <w:t>J.,</w:t>
      </w:r>
      <w:r>
        <w:rPr>
          <w:spacing w:val="-9"/>
          <w:sz w:val="20"/>
        </w:rPr>
        <w:t> </w:t>
      </w:r>
      <w:r>
        <w:rPr>
          <w:sz w:val="20"/>
        </w:rPr>
        <w:t>Guadalupe</w:t>
      </w:r>
      <w:r>
        <w:rPr>
          <w:spacing w:val="-9"/>
          <w:sz w:val="20"/>
        </w:rPr>
        <w:t> </w:t>
      </w:r>
      <w:r>
        <w:rPr>
          <w:sz w:val="20"/>
        </w:rPr>
        <w:t>Hoyos</w:t>
      </w:r>
      <w:r>
        <w:rPr>
          <w:spacing w:val="-9"/>
          <w:sz w:val="20"/>
        </w:rPr>
        <w:t> </w:t>
      </w:r>
      <w:r>
        <w:rPr>
          <w:sz w:val="20"/>
        </w:rPr>
        <w:t>C.,</w:t>
      </w:r>
      <w:r>
        <w:rPr>
          <w:spacing w:val="-9"/>
          <w:sz w:val="20"/>
        </w:rPr>
        <w:t> </w:t>
      </w:r>
      <w:r>
        <w:rPr>
          <w:sz w:val="20"/>
        </w:rPr>
        <w:t>Giovanna</w:t>
      </w:r>
      <w:r>
        <w:rPr>
          <w:spacing w:val="-9"/>
          <w:sz w:val="20"/>
        </w:rPr>
        <w:t> </w:t>
      </w:r>
      <w:r>
        <w:rPr>
          <w:sz w:val="20"/>
        </w:rPr>
        <w:t>Santana</w:t>
      </w:r>
      <w:r>
        <w:rPr>
          <w:spacing w:val="-9"/>
          <w:sz w:val="20"/>
        </w:rPr>
        <w:t> </w:t>
      </w:r>
      <w:r>
        <w:rPr>
          <w:sz w:val="20"/>
        </w:rPr>
        <w:t>C.,</w:t>
      </w:r>
      <w:r>
        <w:rPr>
          <w:spacing w:val="-9"/>
          <w:sz w:val="20"/>
        </w:rPr>
        <w:t> </w:t>
      </w:r>
      <w:r>
        <w:rPr>
          <w:sz w:val="20"/>
        </w:rPr>
        <w:t>(compiladoras), </w:t>
      </w:r>
      <w:r>
        <w:rPr>
          <w:i/>
          <w:sz w:val="20"/>
        </w:rPr>
        <w:t>Desafíos de las metrópolis: efectos ambientales y sociales. Tendencias </w:t>
      </w:r>
      <w:r>
        <w:rPr>
          <w:i/>
          <w:sz w:val="20"/>
        </w:rPr>
        <w:t>geográficas, </w:t>
      </w:r>
      <w:r>
        <w:rPr>
          <w:sz w:val="20"/>
        </w:rPr>
        <w:t>Toluca, México: Facultad de Geografía y Facultad de Planeación Urbana y Regional de la</w:t>
      </w:r>
      <w:r>
        <w:rPr>
          <w:spacing w:val="-17"/>
          <w:sz w:val="20"/>
        </w:rPr>
        <w:t> </w:t>
      </w:r>
      <w:r>
        <w:rPr>
          <w:sz w:val="20"/>
        </w:rPr>
        <w:t>UAEM</w:t>
      </w:r>
    </w:p>
    <w:p>
      <w:pPr>
        <w:pStyle w:val="BodyText"/>
        <w:spacing w:before="11"/>
      </w:pPr>
    </w:p>
    <w:p>
      <w:pPr>
        <w:pStyle w:val="BodyText"/>
        <w:spacing w:line="249" w:lineRule="auto"/>
        <w:ind w:left="765" w:hanging="624"/>
        <w:jc w:val="both"/>
      </w:pPr>
      <w:r>
        <w:rPr/>
        <w:t>Flores</w:t>
      </w:r>
      <w:r>
        <w:rPr>
          <w:spacing w:val="-12"/>
        </w:rPr>
        <w:t> </w:t>
      </w:r>
      <w:r>
        <w:rPr/>
        <w:t>X.,</w:t>
      </w:r>
      <w:r>
        <w:rPr>
          <w:spacing w:val="-12"/>
        </w:rPr>
        <w:t> </w:t>
      </w:r>
      <w:r>
        <w:rPr/>
        <w:t>Ramiro,</w:t>
      </w:r>
      <w:r>
        <w:rPr>
          <w:spacing w:val="-12"/>
        </w:rPr>
        <w:t> </w:t>
      </w:r>
      <w:r>
        <w:rPr/>
        <w:t>2012:</w:t>
      </w:r>
      <w:r>
        <w:rPr>
          <w:spacing w:val="-12"/>
        </w:rPr>
        <w:t> </w:t>
      </w:r>
      <w:r>
        <w:rPr/>
        <w:t>“Incorporando</w:t>
      </w:r>
      <w:r>
        <w:rPr>
          <w:spacing w:val="-12"/>
        </w:rPr>
        <w:t> </w:t>
      </w:r>
      <w:r>
        <w:rPr/>
        <w:t>desarrollo</w:t>
      </w:r>
      <w:r>
        <w:rPr>
          <w:spacing w:val="-12"/>
        </w:rPr>
        <w:t> </w:t>
      </w:r>
      <w:r>
        <w:rPr/>
        <w:t>sustentable</w:t>
      </w:r>
      <w:r>
        <w:rPr>
          <w:spacing w:val="-12"/>
        </w:rPr>
        <w:t> </w:t>
      </w:r>
      <w:r>
        <w:rPr/>
        <w:t>y</w:t>
      </w:r>
      <w:r>
        <w:rPr>
          <w:spacing w:val="-12"/>
        </w:rPr>
        <w:t> </w:t>
      </w:r>
      <w:r>
        <w:rPr/>
        <w:t>gobernanza</w:t>
      </w:r>
      <w:r>
        <w:rPr>
          <w:spacing w:val="-12"/>
        </w:rPr>
        <w:t> </w:t>
      </w:r>
      <w:r>
        <w:rPr/>
        <w:t>a</w:t>
      </w:r>
      <w:r>
        <w:rPr>
          <w:spacing w:val="-12"/>
        </w:rPr>
        <w:t> </w:t>
      </w:r>
      <w:r>
        <w:rPr/>
        <w:t>la</w:t>
      </w:r>
      <w:r>
        <w:rPr>
          <w:spacing w:val="-12"/>
        </w:rPr>
        <w:t> </w:t>
      </w:r>
      <w:r>
        <w:rPr/>
        <w:t>gestión y planificación de áreas verdes urbanas” en </w:t>
      </w:r>
      <w:r>
        <w:rPr>
          <w:i/>
        </w:rPr>
        <w:t>Frontera Norte</w:t>
      </w:r>
      <w:r>
        <w:rPr/>
        <w:t>, Vol. 24, Núm.48, julio-diciembre,  pp.</w:t>
      </w:r>
      <w:r>
        <w:rPr>
          <w:spacing w:val="3"/>
        </w:rPr>
        <w:t> </w:t>
      </w:r>
      <w:r>
        <w:rPr/>
        <w:t>165-190.</w:t>
      </w:r>
    </w:p>
    <w:p>
      <w:pPr>
        <w:pStyle w:val="BodyText"/>
        <w:spacing w:before="11"/>
      </w:pPr>
    </w:p>
    <w:p>
      <w:pPr>
        <w:pStyle w:val="BodyText"/>
        <w:spacing w:line="249" w:lineRule="auto"/>
        <w:ind w:left="765" w:hanging="624"/>
        <w:jc w:val="both"/>
      </w:pPr>
      <w:r>
        <w:rPr/>
        <w:t>Gálvez, J. A. y Valenzuela, L. M., 2014: “Guía de participación ciudadana para la integración del transporte público: enfoque desde los sistemas de metro ligero”. Proyecto INTEGRAME, Granada: Laboratorio de Planificación Ambiental.</w:t>
      </w:r>
    </w:p>
    <w:p>
      <w:pPr>
        <w:pStyle w:val="BodyText"/>
        <w:spacing w:before="11"/>
      </w:pPr>
    </w:p>
    <w:p>
      <w:pPr>
        <w:spacing w:line="249" w:lineRule="auto" w:before="0"/>
        <w:ind w:left="765" w:right="0" w:hanging="624"/>
        <w:jc w:val="both"/>
        <w:rPr>
          <w:sz w:val="20"/>
        </w:rPr>
      </w:pPr>
      <w:r>
        <w:rPr>
          <w:sz w:val="20"/>
        </w:rPr>
        <w:t>Garrocho, Carlos, 2013: </w:t>
      </w:r>
      <w:r>
        <w:rPr>
          <w:i/>
          <w:sz w:val="20"/>
        </w:rPr>
        <w:t>Dinámica de las ciudades de México en el siglo XXI. Cinco</w:t>
      </w:r>
      <w:r>
        <w:rPr>
          <w:i/>
          <w:w w:val="102"/>
          <w:sz w:val="20"/>
        </w:rPr>
        <w:t> </w:t>
      </w:r>
      <w:r>
        <w:rPr>
          <w:i/>
          <w:sz w:val="20"/>
        </w:rPr>
        <w:t>vectores clave para el desarrollo sostenible</w:t>
      </w:r>
      <w:r>
        <w:rPr>
          <w:sz w:val="20"/>
        </w:rPr>
        <w:t>, UNFPA-El Colegio Mexiquense- CONAPO.</w:t>
      </w:r>
    </w:p>
    <w:p>
      <w:pPr>
        <w:pStyle w:val="BodyText"/>
        <w:spacing w:before="11"/>
      </w:pPr>
    </w:p>
    <w:p>
      <w:pPr>
        <w:spacing w:line="249" w:lineRule="auto" w:before="0"/>
        <w:ind w:left="765" w:right="0" w:hanging="624"/>
        <w:jc w:val="both"/>
        <w:rPr>
          <w:sz w:val="20"/>
        </w:rPr>
      </w:pPr>
      <w:r>
        <w:rPr>
          <w:sz w:val="20"/>
        </w:rPr>
        <w:t>Gobierno</w:t>
      </w:r>
      <w:r>
        <w:rPr>
          <w:spacing w:val="-5"/>
          <w:sz w:val="20"/>
        </w:rPr>
        <w:t> </w:t>
      </w:r>
      <w:r>
        <w:rPr>
          <w:sz w:val="20"/>
        </w:rPr>
        <w:t>del</w:t>
      </w:r>
      <w:r>
        <w:rPr>
          <w:spacing w:val="-5"/>
          <w:sz w:val="20"/>
        </w:rPr>
        <w:t> </w:t>
      </w:r>
      <w:r>
        <w:rPr>
          <w:sz w:val="20"/>
        </w:rPr>
        <w:t>Estado</w:t>
      </w:r>
      <w:r>
        <w:rPr>
          <w:spacing w:val="-5"/>
          <w:sz w:val="20"/>
        </w:rPr>
        <w:t> </w:t>
      </w:r>
      <w:r>
        <w:rPr>
          <w:sz w:val="20"/>
        </w:rPr>
        <w:t>de</w:t>
      </w:r>
      <w:r>
        <w:rPr>
          <w:spacing w:val="-5"/>
          <w:sz w:val="20"/>
        </w:rPr>
        <w:t> </w:t>
      </w:r>
      <w:r>
        <w:rPr>
          <w:sz w:val="20"/>
        </w:rPr>
        <w:t>México,</w:t>
      </w:r>
      <w:r>
        <w:rPr>
          <w:spacing w:val="-5"/>
          <w:sz w:val="20"/>
        </w:rPr>
        <w:t> </w:t>
      </w:r>
      <w:r>
        <w:rPr>
          <w:sz w:val="20"/>
        </w:rPr>
        <w:t>2005:</w:t>
      </w:r>
      <w:r>
        <w:rPr>
          <w:spacing w:val="-4"/>
          <w:sz w:val="20"/>
        </w:rPr>
        <w:t> </w:t>
      </w:r>
      <w:r>
        <w:rPr>
          <w:i/>
          <w:sz w:val="20"/>
        </w:rPr>
        <w:t>Plan</w:t>
      </w:r>
      <w:r>
        <w:rPr>
          <w:i/>
          <w:spacing w:val="-5"/>
          <w:sz w:val="20"/>
        </w:rPr>
        <w:t> </w:t>
      </w:r>
      <w:r>
        <w:rPr>
          <w:i/>
          <w:sz w:val="20"/>
        </w:rPr>
        <w:t>Regional</w:t>
      </w:r>
      <w:r>
        <w:rPr>
          <w:i/>
          <w:spacing w:val="-5"/>
          <w:sz w:val="20"/>
        </w:rPr>
        <w:t> </w:t>
      </w:r>
      <w:r>
        <w:rPr>
          <w:i/>
          <w:sz w:val="20"/>
        </w:rPr>
        <w:t>de</w:t>
      </w:r>
      <w:r>
        <w:rPr>
          <w:i/>
          <w:spacing w:val="-5"/>
          <w:sz w:val="20"/>
        </w:rPr>
        <w:t> </w:t>
      </w:r>
      <w:r>
        <w:rPr>
          <w:i/>
          <w:sz w:val="20"/>
        </w:rPr>
        <w:t>Desarrollo</w:t>
      </w:r>
      <w:r>
        <w:rPr>
          <w:i/>
          <w:spacing w:val="-5"/>
          <w:sz w:val="20"/>
        </w:rPr>
        <w:t> </w:t>
      </w:r>
      <w:r>
        <w:rPr>
          <w:i/>
          <w:sz w:val="20"/>
        </w:rPr>
        <w:t>Urbano</w:t>
      </w:r>
      <w:r>
        <w:rPr>
          <w:i/>
          <w:spacing w:val="-5"/>
          <w:sz w:val="20"/>
        </w:rPr>
        <w:t> </w:t>
      </w:r>
      <w:r>
        <w:rPr>
          <w:i/>
          <w:sz w:val="20"/>
        </w:rPr>
        <w:t>del</w:t>
      </w:r>
      <w:r>
        <w:rPr>
          <w:i/>
          <w:spacing w:val="-5"/>
          <w:sz w:val="20"/>
        </w:rPr>
        <w:t> </w:t>
      </w:r>
      <w:r>
        <w:rPr>
          <w:i/>
          <w:sz w:val="20"/>
        </w:rPr>
        <w:t>Valle</w:t>
      </w:r>
      <w:r>
        <w:rPr>
          <w:i/>
          <w:spacing w:val="-5"/>
          <w:sz w:val="20"/>
        </w:rPr>
        <w:t> </w:t>
      </w:r>
      <w:r>
        <w:rPr>
          <w:i/>
          <w:sz w:val="20"/>
        </w:rPr>
        <w:t>de </w:t>
      </w:r>
      <w:r>
        <w:rPr>
          <w:i/>
          <w:sz w:val="20"/>
        </w:rPr>
        <w:t>Toluca</w:t>
      </w:r>
      <w:r>
        <w:rPr>
          <w:sz w:val="20"/>
        </w:rPr>
        <w:t>, Secretaria de Desarrollo Urbano y Vivienda, Gaceta del Gobierno de 9 de agosto de</w:t>
      </w:r>
      <w:r>
        <w:rPr>
          <w:spacing w:val="21"/>
          <w:sz w:val="20"/>
        </w:rPr>
        <w:t> </w:t>
      </w:r>
      <w:r>
        <w:rPr>
          <w:sz w:val="20"/>
        </w:rPr>
        <w:t>2005.</w:t>
      </w:r>
    </w:p>
    <w:p>
      <w:pPr>
        <w:pStyle w:val="BodyText"/>
        <w:spacing w:before="11"/>
      </w:pPr>
    </w:p>
    <w:p>
      <w:pPr>
        <w:spacing w:line="249" w:lineRule="auto" w:before="0"/>
        <w:ind w:left="765" w:right="1" w:hanging="624"/>
        <w:jc w:val="both"/>
        <w:rPr>
          <w:sz w:val="20"/>
        </w:rPr>
      </w:pPr>
      <w:r>
        <w:rPr>
          <w:sz w:val="20"/>
        </w:rPr>
        <w:t>Gobierno del Estado de México, 2006: </w:t>
      </w:r>
      <w:r>
        <w:rPr>
          <w:i/>
          <w:sz w:val="20"/>
        </w:rPr>
        <w:t>Programa Sectorial de Coordinación </w:t>
      </w:r>
      <w:r>
        <w:rPr>
          <w:i/>
          <w:sz w:val="20"/>
        </w:rPr>
        <w:t>Metropolitana 2006 – 2011</w:t>
      </w:r>
      <w:r>
        <w:rPr>
          <w:sz w:val="20"/>
        </w:rPr>
        <w:t>, Secretaria de Desarrollo Metropolitano (SEDEMET)</w:t>
      </w:r>
    </w:p>
    <w:p>
      <w:pPr>
        <w:spacing w:line="249" w:lineRule="auto" w:before="109"/>
        <w:ind w:left="765" w:right="127" w:hanging="624"/>
        <w:jc w:val="both"/>
        <w:rPr>
          <w:sz w:val="20"/>
        </w:rPr>
      </w:pPr>
      <w:r>
        <w:rPr/>
        <w:br w:type="column"/>
      </w:r>
      <w:r>
        <w:rPr>
          <w:sz w:val="20"/>
        </w:rPr>
        <w:t>IMCO Instituto Mexicano para la Competitividad, 2012: </w:t>
      </w:r>
      <w:r>
        <w:rPr>
          <w:i/>
          <w:sz w:val="20"/>
        </w:rPr>
        <w:t>Índice de Competitividad </w:t>
      </w:r>
      <w:r>
        <w:rPr>
          <w:i/>
          <w:sz w:val="20"/>
        </w:rPr>
        <w:t>Urbana 2012. El municipio: una institución diseñada para el fracaso.</w:t>
      </w:r>
      <w:r>
        <w:rPr>
          <w:i/>
          <w:spacing w:val="-20"/>
          <w:sz w:val="20"/>
        </w:rPr>
        <w:t> </w:t>
      </w:r>
      <w:r>
        <w:rPr>
          <w:i/>
          <w:sz w:val="20"/>
        </w:rPr>
        <w:t>Propuestas para la gestión profesional de las ciudades</w:t>
      </w:r>
      <w:r>
        <w:rPr>
          <w:sz w:val="20"/>
        </w:rPr>
        <w:t>.</w:t>
      </w:r>
      <w:r>
        <w:rPr>
          <w:spacing w:val="12"/>
          <w:sz w:val="20"/>
        </w:rPr>
        <w:t> </w:t>
      </w:r>
      <w:r>
        <w:rPr>
          <w:sz w:val="20"/>
        </w:rPr>
        <w:t>México.</w:t>
      </w:r>
    </w:p>
    <w:p>
      <w:pPr>
        <w:pStyle w:val="BodyText"/>
        <w:spacing w:before="11"/>
      </w:pPr>
    </w:p>
    <w:p>
      <w:pPr>
        <w:pStyle w:val="BodyText"/>
        <w:spacing w:line="249" w:lineRule="auto"/>
        <w:ind w:left="765" w:right="127" w:hanging="624"/>
        <w:jc w:val="both"/>
      </w:pPr>
      <w:r>
        <w:rPr/>
        <w:t>Iracheta, A., 2009: Políticas públicas para gobernar las metrópolis mexicanas, México: El Colegio Mexiquense, A.C. y Miguel Ángel Porrúa.</w:t>
      </w:r>
    </w:p>
    <w:p>
      <w:pPr>
        <w:pStyle w:val="BodyText"/>
        <w:spacing w:before="11"/>
      </w:pPr>
    </w:p>
    <w:p>
      <w:pPr>
        <w:pStyle w:val="BodyText"/>
        <w:spacing w:line="249" w:lineRule="auto"/>
        <w:ind w:left="765" w:right="128" w:hanging="624"/>
        <w:jc w:val="both"/>
      </w:pPr>
      <w:r>
        <w:rPr/>
        <w:t>Moulaert, F., Parra C., Suryngedouw, E. 2014: “Ciudades, barrios y gobernanza multiescalar en la Europa urbana” </w:t>
      </w:r>
      <w:r>
        <w:rPr>
          <w:i/>
        </w:rPr>
        <w:t>en EURE</w:t>
      </w:r>
      <w:r>
        <w:rPr/>
        <w:t>, Vol. 40, Núm. 119, pp.5-24</w:t>
      </w:r>
    </w:p>
    <w:p>
      <w:pPr>
        <w:pStyle w:val="BodyText"/>
        <w:spacing w:before="11"/>
      </w:pPr>
    </w:p>
    <w:p>
      <w:pPr>
        <w:spacing w:line="249" w:lineRule="auto" w:before="0"/>
        <w:ind w:left="765" w:right="128" w:hanging="624"/>
        <w:jc w:val="both"/>
        <w:rPr>
          <w:sz w:val="20"/>
        </w:rPr>
      </w:pPr>
      <w:r>
        <w:rPr>
          <w:sz w:val="20"/>
        </w:rPr>
        <w:t>Pérez, T., Daniel E. 2013: </w:t>
      </w:r>
      <w:r>
        <w:rPr>
          <w:i/>
          <w:sz w:val="20"/>
        </w:rPr>
        <w:t>Las zonas metropolitanas de México. Estructuración urbana, </w:t>
      </w:r>
      <w:r>
        <w:rPr>
          <w:i/>
          <w:sz w:val="20"/>
        </w:rPr>
        <w:t>gobierno y gobernanza</w:t>
      </w:r>
      <w:r>
        <w:rPr>
          <w:sz w:val="20"/>
        </w:rPr>
        <w:t>, México, D.F: UAM, PUEM, Estudios Metropolitanos.</w:t>
      </w:r>
    </w:p>
    <w:p>
      <w:pPr>
        <w:pStyle w:val="BodyText"/>
        <w:spacing w:before="11"/>
      </w:pPr>
    </w:p>
    <w:p>
      <w:pPr>
        <w:spacing w:line="249" w:lineRule="auto" w:before="0"/>
        <w:ind w:left="765" w:right="127" w:hanging="624"/>
        <w:jc w:val="both"/>
        <w:rPr>
          <w:sz w:val="20"/>
        </w:rPr>
      </w:pPr>
      <w:r>
        <w:rPr>
          <w:sz w:val="20"/>
        </w:rPr>
        <w:t>Romero, J. y Farinos, J., 2011: “Redescubriendo la gobernanza más allá del buen gobierno. Democracia como base, desarrollo territorial como resultado” en </w:t>
      </w:r>
      <w:r>
        <w:rPr>
          <w:i/>
          <w:sz w:val="20"/>
        </w:rPr>
        <w:t>Boletín de la Asociación de Geógrafos Españoles, </w:t>
      </w:r>
      <w:r>
        <w:rPr>
          <w:sz w:val="20"/>
        </w:rPr>
        <w:t>Núm. 56, pp. 295-319.</w:t>
      </w:r>
    </w:p>
    <w:p>
      <w:pPr>
        <w:pStyle w:val="BodyText"/>
        <w:spacing w:before="11"/>
      </w:pPr>
    </w:p>
    <w:p>
      <w:pPr>
        <w:spacing w:line="249" w:lineRule="auto" w:before="0"/>
        <w:ind w:left="765" w:right="127" w:hanging="624"/>
        <w:jc w:val="both"/>
        <w:rPr>
          <w:sz w:val="20"/>
        </w:rPr>
      </w:pPr>
      <w:r>
        <w:rPr>
          <w:sz w:val="20"/>
        </w:rPr>
        <w:t>SEDESOL,</w:t>
      </w:r>
      <w:r>
        <w:rPr>
          <w:spacing w:val="-14"/>
          <w:sz w:val="20"/>
        </w:rPr>
        <w:t> </w:t>
      </w:r>
      <w:r>
        <w:rPr>
          <w:sz w:val="20"/>
        </w:rPr>
        <w:t>CONAPO,</w:t>
      </w:r>
      <w:r>
        <w:rPr>
          <w:spacing w:val="-14"/>
          <w:sz w:val="20"/>
        </w:rPr>
        <w:t> </w:t>
      </w:r>
      <w:r>
        <w:rPr>
          <w:sz w:val="20"/>
        </w:rPr>
        <w:t>INEGI,</w:t>
      </w:r>
      <w:r>
        <w:rPr>
          <w:spacing w:val="-14"/>
          <w:sz w:val="20"/>
        </w:rPr>
        <w:t> </w:t>
      </w:r>
      <w:r>
        <w:rPr>
          <w:sz w:val="20"/>
        </w:rPr>
        <w:t>2012:</w:t>
      </w:r>
      <w:r>
        <w:rPr>
          <w:spacing w:val="-14"/>
          <w:sz w:val="20"/>
        </w:rPr>
        <w:t> </w:t>
      </w:r>
      <w:r>
        <w:rPr>
          <w:i/>
          <w:sz w:val="20"/>
        </w:rPr>
        <w:t>Delimitación</w:t>
      </w:r>
      <w:r>
        <w:rPr>
          <w:i/>
          <w:spacing w:val="-14"/>
          <w:sz w:val="20"/>
        </w:rPr>
        <w:t> </w:t>
      </w:r>
      <w:r>
        <w:rPr>
          <w:i/>
          <w:sz w:val="20"/>
        </w:rPr>
        <w:t>de</w:t>
      </w:r>
      <w:r>
        <w:rPr>
          <w:i/>
          <w:spacing w:val="-14"/>
          <w:sz w:val="20"/>
        </w:rPr>
        <w:t> </w:t>
      </w:r>
      <w:r>
        <w:rPr>
          <w:i/>
          <w:sz w:val="20"/>
        </w:rPr>
        <w:t>las</w:t>
      </w:r>
      <w:r>
        <w:rPr>
          <w:i/>
          <w:spacing w:val="-14"/>
          <w:sz w:val="20"/>
        </w:rPr>
        <w:t> </w:t>
      </w:r>
      <w:r>
        <w:rPr>
          <w:i/>
          <w:sz w:val="20"/>
        </w:rPr>
        <w:t>zonas</w:t>
      </w:r>
      <w:r>
        <w:rPr>
          <w:i/>
          <w:spacing w:val="-14"/>
          <w:sz w:val="20"/>
        </w:rPr>
        <w:t> </w:t>
      </w:r>
      <w:r>
        <w:rPr>
          <w:i/>
          <w:sz w:val="20"/>
        </w:rPr>
        <w:t>metropolitanas</w:t>
      </w:r>
      <w:r>
        <w:rPr>
          <w:i/>
          <w:spacing w:val="-14"/>
          <w:sz w:val="20"/>
        </w:rPr>
        <w:t> </w:t>
      </w:r>
      <w:r>
        <w:rPr>
          <w:i/>
          <w:sz w:val="20"/>
        </w:rPr>
        <w:t>de</w:t>
      </w:r>
      <w:r>
        <w:rPr>
          <w:i/>
          <w:spacing w:val="-14"/>
          <w:sz w:val="20"/>
        </w:rPr>
        <w:t> </w:t>
      </w:r>
      <w:r>
        <w:rPr>
          <w:i/>
          <w:sz w:val="20"/>
        </w:rPr>
        <w:t>México </w:t>
      </w:r>
      <w:r>
        <w:rPr>
          <w:i/>
          <w:sz w:val="20"/>
        </w:rPr>
        <w:t>2010</w:t>
      </w:r>
      <w:r>
        <w:rPr>
          <w:sz w:val="20"/>
        </w:rPr>
        <w:t>, México:</w:t>
      </w:r>
      <w:r>
        <w:rPr>
          <w:spacing w:val="7"/>
          <w:sz w:val="20"/>
        </w:rPr>
        <w:t> </w:t>
      </w:r>
      <w:r>
        <w:rPr>
          <w:sz w:val="20"/>
        </w:rPr>
        <w:t>D.F.</w:t>
      </w:r>
    </w:p>
    <w:p>
      <w:pPr>
        <w:pStyle w:val="BodyText"/>
        <w:spacing w:before="11"/>
      </w:pPr>
    </w:p>
    <w:p>
      <w:pPr>
        <w:pStyle w:val="BodyText"/>
        <w:spacing w:line="249" w:lineRule="auto"/>
        <w:ind w:left="765" w:right="128" w:hanging="624"/>
        <w:jc w:val="both"/>
      </w:pPr>
      <w:r>
        <w:rPr/>
        <w:t>Serna de La Garza, José María, 2010: “Globalización, gobernanza y estado: el caso  de la guardería ABC”, ponencia presentada en El Colegio Nacional el 16 de noviembre. En línea: Biblioteca Jurídica Virtual del Instituto de Investigaciones Jurídicas de la UNAM, disponible en </w:t>
      </w:r>
      <w:r>
        <w:rPr>
          <w:spacing w:val="9"/>
        </w:rPr>
        <w:t> </w:t>
      </w:r>
      <w:hyperlink r:id="rId465">
        <w:r>
          <w:rPr>
            <w:color w:val="0077CA"/>
            <w:u w:val="single" w:color="0077CA"/>
          </w:rPr>
          <w:t>www.juridicas.unam.mx</w:t>
        </w:r>
      </w:hyperlink>
    </w:p>
    <w:p>
      <w:pPr>
        <w:pStyle w:val="BodyText"/>
        <w:spacing w:before="11"/>
      </w:pPr>
    </w:p>
    <w:p>
      <w:pPr>
        <w:spacing w:line="249" w:lineRule="auto" w:before="0"/>
        <w:ind w:left="765" w:right="127" w:hanging="624"/>
        <w:jc w:val="both"/>
        <w:rPr>
          <w:sz w:val="20"/>
        </w:rPr>
      </w:pPr>
      <w:r>
        <w:rPr>
          <w:sz w:val="20"/>
        </w:rPr>
        <w:t>Unión Europea, 2001: </w:t>
      </w:r>
      <w:r>
        <w:rPr>
          <w:i/>
          <w:sz w:val="20"/>
        </w:rPr>
        <w:t>La gobernanza europea. Un libro blanco</w:t>
      </w:r>
      <w:r>
        <w:rPr>
          <w:sz w:val="20"/>
        </w:rPr>
        <w:t>, COM 428 final, Diario Oficial C 287 DE 12.10.2001.</w:t>
      </w:r>
    </w:p>
    <w:p>
      <w:pPr>
        <w:spacing w:after="0" w:line="249" w:lineRule="auto"/>
        <w:jc w:val="both"/>
        <w:rPr>
          <w:sz w:val="20"/>
        </w:rPr>
        <w:sectPr>
          <w:type w:val="continuous"/>
          <w:pgSz w:w="18830" w:h="12760" w:orient="landscape"/>
          <w:pgMar w:top="1420" w:bottom="280" w:left="720" w:right="720"/>
          <w:cols w:num="2" w:equalWidth="0">
            <w:col w:w="7853" w:space="1547"/>
            <w:col w:w="7990"/>
          </w:cols>
        </w:sectPr>
      </w:pPr>
    </w:p>
    <w:p>
      <w:pPr>
        <w:pStyle w:val="BodyText"/>
        <w:spacing w:before="10"/>
        <w:rPr>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8881" w:right="218" w:hanging="1171"/>
      </w:pPr>
      <w:r>
        <w:rPr/>
        <w:t>Análisis de la vulnerabilidad del desarrollo de conjuntos urbanos habitacionales en el contexto metropolitano</w:t>
      </w:r>
    </w:p>
    <w:p>
      <w:pPr>
        <w:pStyle w:val="BodyText"/>
        <w:rPr>
          <w:b/>
          <w:sz w:val="24"/>
        </w:rPr>
      </w:pPr>
    </w:p>
    <w:p>
      <w:pPr>
        <w:pStyle w:val="BodyText"/>
        <w:spacing w:before="4"/>
        <w:rPr>
          <w:b/>
          <w:sz w:val="21"/>
        </w:rPr>
      </w:pPr>
    </w:p>
    <w:p>
      <w:pPr>
        <w:spacing w:line="312" w:lineRule="auto" w:before="0"/>
        <w:ind w:left="13150" w:right="128" w:hanging="359"/>
        <w:jc w:val="right"/>
        <w:rPr>
          <w:sz w:val="16"/>
        </w:rPr>
      </w:pPr>
      <w:r>
        <w:rPr>
          <w:sz w:val="16"/>
        </w:rPr>
        <w:t>Pedro Leobardo Jiménez Sánchez</w:t>
      </w:r>
      <w:r>
        <w:rPr>
          <w:w w:val="98"/>
          <w:sz w:val="16"/>
        </w:rPr>
        <w:t> </w:t>
      </w:r>
      <w:r>
        <w:rPr>
          <w:sz w:val="16"/>
        </w:rPr>
        <w:t>Juan Roberto Calderón Maya</w:t>
      </w:r>
      <w:r>
        <w:rPr>
          <w:w w:val="99"/>
          <w:sz w:val="16"/>
        </w:rPr>
        <w:t> </w:t>
      </w:r>
      <w:r>
        <w:rPr>
          <w:sz w:val="16"/>
        </w:rPr>
        <w:t>Verónica Miranda Rosales</w:t>
      </w:r>
      <w:r>
        <w:rPr>
          <w:w w:val="98"/>
          <w:sz w:val="16"/>
        </w:rPr>
        <w:t> </w:t>
      </w:r>
      <w:r>
        <w:rPr>
          <w:sz w:val="16"/>
        </w:rPr>
        <w:t>Agustín Olmos Cruz</w:t>
      </w:r>
    </w:p>
    <w:p>
      <w:pPr>
        <w:spacing w:line="312" w:lineRule="auto" w:before="2"/>
        <w:ind w:left="13390" w:right="128" w:firstLine="390"/>
        <w:jc w:val="right"/>
        <w:rPr>
          <w:sz w:val="16"/>
        </w:rPr>
      </w:pPr>
      <w:r>
        <w:rPr>
          <w:sz w:val="16"/>
        </w:rPr>
        <w:t>Juan Campos Alanís</w:t>
      </w:r>
      <w:r>
        <w:rPr>
          <w:w w:val="96"/>
          <w:sz w:val="16"/>
        </w:rPr>
        <w:t> </w:t>
      </w:r>
      <w:r>
        <w:rPr>
          <w:sz w:val="16"/>
        </w:rPr>
        <w:t>Guadalupe Hoyos Castillo</w:t>
      </w:r>
      <w:r>
        <w:rPr>
          <w:w w:val="101"/>
          <w:sz w:val="16"/>
        </w:rPr>
        <w:t> </w:t>
      </w:r>
      <w:r>
        <w:rPr>
          <w:sz w:val="16"/>
        </w:rPr>
        <w:t>Héctor Campos Alanís</w:t>
      </w:r>
    </w:p>
    <w:p>
      <w:pPr>
        <w:spacing w:line="312" w:lineRule="auto" w:before="2"/>
        <w:ind w:left="12021" w:right="128" w:firstLine="189"/>
        <w:jc w:val="right"/>
        <w:rPr>
          <w:sz w:val="16"/>
        </w:rPr>
      </w:pPr>
      <w:r>
        <w:rPr>
          <w:sz w:val="16"/>
        </w:rPr>
        <w:t>Facultad de Planeación Urbana y Regional</w:t>
      </w:r>
      <w:r>
        <w:rPr>
          <w:w w:val="98"/>
          <w:sz w:val="16"/>
        </w:rPr>
        <w:t> </w:t>
      </w:r>
      <w:r>
        <w:rPr>
          <w:sz w:val="16"/>
        </w:rPr>
        <w:t>Universidad Autónoma del Estado de México</w:t>
      </w:r>
    </w:p>
    <w:p>
      <w:pPr>
        <w:spacing w:before="2"/>
        <w:ind w:left="0" w:right="128" w:firstLine="0"/>
        <w:jc w:val="right"/>
        <w:rPr>
          <w:sz w:val="16"/>
        </w:rPr>
      </w:pPr>
      <w:hyperlink r:id="rId468">
        <w:r>
          <w:rPr>
            <w:w w:val="95"/>
            <w:sz w:val="16"/>
          </w:rPr>
          <w:t>pl_js@hotmail.com</w:t>
        </w:r>
      </w:hyperlink>
    </w:p>
    <w:p>
      <w:pPr>
        <w:pStyle w:val="BodyText"/>
        <w:spacing w:before="2"/>
        <w:rPr>
          <w:sz w:val="19"/>
        </w:rPr>
      </w:pPr>
    </w:p>
    <w:p>
      <w:pPr>
        <w:pStyle w:val="Heading1"/>
        <w:ind w:left="1967" w:right="474"/>
        <w:jc w:val="center"/>
      </w:pPr>
      <w:r>
        <w:rPr/>
        <w:t>Introducción</w:t>
      </w:r>
    </w:p>
    <w:p>
      <w:pPr>
        <w:pStyle w:val="BodyText"/>
        <w:rPr>
          <w:b/>
          <w:sz w:val="21"/>
        </w:rPr>
      </w:pPr>
    </w:p>
    <w:p>
      <w:pPr>
        <w:pStyle w:val="BodyText"/>
        <w:spacing w:line="249" w:lineRule="auto"/>
        <w:ind w:left="7541" w:right="128" w:firstLine="170"/>
        <w:jc w:val="both"/>
      </w:pPr>
      <w:r>
        <w:rPr/>
        <w:t>El eminente proceso de urbanización que se ha generado durante en las últimas décadas del siglo XX y principios del XXI, ha reflejado un acelerado crecimiento demográfico natural y social en las principales ciudades de México, en las que se han concentrado una serie de medios de producción y actividades económicas diversas, dando lugar a una heterogéneas oportunidades de empleo, vivienda, educación, salud, comercio y servicios y entretenimiento, entre  otros.</w:t>
      </w:r>
    </w:p>
    <w:p>
      <w:pPr>
        <w:pStyle w:val="BodyText"/>
        <w:spacing w:before="11"/>
      </w:pPr>
    </w:p>
    <w:p>
      <w:pPr>
        <w:pStyle w:val="BodyText"/>
        <w:spacing w:line="249" w:lineRule="auto"/>
        <w:ind w:left="7541" w:right="127" w:firstLine="170"/>
        <w:jc w:val="both"/>
      </w:pPr>
      <w:r>
        <w:rPr/>
        <w:t>En México, las principales ciudades urbanas concentran la mayoría de la población y, en consecuencia, las principales actividades políticas, económicas y sociales. Datos de la ITDP (2012), señalan que el 77% de la población del país es urbana (86 millones de personas), por lo que en la última década se ha incrementado el número y tamaño de las ciudades del país que, en un futuro, determinarán mayor concentración de la población; el Consejo Nacional de Población (2007) estima que para el año 2030, el 81% de la población vivirá en ciudades urbanas. Este incremento de la población y las demandas de bienes y servicios que satisfagan sus necesidades básicas, han dado lugar a un constante y permanente crecimiento urbano y una fuerte expansión física hacia zonas estratégicas del territorio, comúnmente en las periferias de las grandes ciudades, sobrepasando, en consecuencia, límites administrativos municipales, originando las zonas</w:t>
      </w:r>
      <w:r>
        <w:rPr>
          <w:spacing w:val="27"/>
        </w:rPr>
        <w:t> </w:t>
      </w:r>
      <w:r>
        <w:rPr/>
        <w:t>metropolitanas.</w:t>
      </w:r>
    </w:p>
    <w:p>
      <w:pPr>
        <w:pStyle w:val="BodyText"/>
        <w:spacing w:before="11"/>
      </w:pPr>
    </w:p>
    <w:p>
      <w:pPr>
        <w:pStyle w:val="BodyText"/>
        <w:spacing w:line="249" w:lineRule="auto"/>
        <w:ind w:left="7541" w:right="127" w:firstLine="170"/>
        <w:jc w:val="both"/>
      </w:pPr>
      <w:r>
        <w:rPr/>
        <w:pict>
          <v:group style="position:absolute;margin-left:696.401978pt;margin-top:72.687286pt;width:18.850pt;height:61.8pt;mso-position-horizontal-relative:page;mso-position-vertical-relative:paragraph;z-index:15640" coordorigin="13928,1454" coordsize="377,1236">
            <v:rect style="position:absolute;left:13928;top:1454;width:377;height:1236" filled="true" fillcolor="#c7c8ca" stroked="false">
              <v:fill type="solid"/>
            </v:rect>
            <v:shape style="position:absolute;left:13928;top:1454;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451</w:t>
                    </w:r>
                  </w:p>
                </w:txbxContent>
              </v:textbox>
              <w10:wrap type="none"/>
            </v:shape>
            <w10:wrap type="none"/>
          </v:group>
        </w:pict>
      </w:r>
      <w:r>
        <w:rPr/>
        <w:t>El</w:t>
      </w:r>
      <w:r>
        <w:rPr>
          <w:spacing w:val="-9"/>
        </w:rPr>
        <w:t> </w:t>
      </w:r>
      <w:r>
        <w:rPr/>
        <w:t>Estado</w:t>
      </w:r>
      <w:r>
        <w:rPr>
          <w:spacing w:val="-9"/>
        </w:rPr>
        <w:t> </w:t>
      </w:r>
      <w:r>
        <w:rPr/>
        <w:t>de</w:t>
      </w:r>
      <w:r>
        <w:rPr>
          <w:spacing w:val="-9"/>
        </w:rPr>
        <w:t> </w:t>
      </w:r>
      <w:r>
        <w:rPr/>
        <w:t>México,</w:t>
      </w:r>
      <w:r>
        <w:rPr>
          <w:spacing w:val="-9"/>
        </w:rPr>
        <w:t> </w:t>
      </w:r>
      <w:r>
        <w:rPr/>
        <w:t>por</w:t>
      </w:r>
      <w:r>
        <w:rPr>
          <w:spacing w:val="-9"/>
        </w:rPr>
        <w:t> </w:t>
      </w:r>
      <w:r>
        <w:rPr/>
        <w:t>su</w:t>
      </w:r>
      <w:r>
        <w:rPr>
          <w:spacing w:val="-9"/>
        </w:rPr>
        <w:t> </w:t>
      </w:r>
      <w:r>
        <w:rPr/>
        <w:t>parte,</w:t>
      </w:r>
      <w:r>
        <w:rPr>
          <w:spacing w:val="-9"/>
        </w:rPr>
        <w:t> </w:t>
      </w:r>
      <w:r>
        <w:rPr/>
        <w:t>se</w:t>
      </w:r>
      <w:r>
        <w:rPr>
          <w:spacing w:val="-9"/>
        </w:rPr>
        <w:t> </w:t>
      </w:r>
      <w:r>
        <w:rPr/>
        <w:t>ha</w:t>
      </w:r>
      <w:r>
        <w:rPr>
          <w:spacing w:val="-9"/>
        </w:rPr>
        <w:t> </w:t>
      </w:r>
      <w:r>
        <w:rPr/>
        <w:t>caracterizado</w:t>
      </w:r>
      <w:r>
        <w:rPr>
          <w:spacing w:val="-9"/>
        </w:rPr>
        <w:t> </w:t>
      </w:r>
      <w:r>
        <w:rPr/>
        <w:t>por</w:t>
      </w:r>
      <w:r>
        <w:rPr>
          <w:spacing w:val="-9"/>
        </w:rPr>
        <w:t> </w:t>
      </w:r>
      <w:r>
        <w:rPr/>
        <w:t>ser</w:t>
      </w:r>
      <w:r>
        <w:rPr>
          <w:spacing w:val="-9"/>
        </w:rPr>
        <w:t> </w:t>
      </w:r>
      <w:r>
        <w:rPr/>
        <w:t>la</w:t>
      </w:r>
      <w:r>
        <w:rPr>
          <w:spacing w:val="-9"/>
        </w:rPr>
        <w:t> </w:t>
      </w:r>
      <w:r>
        <w:rPr/>
        <w:t>entidad</w:t>
      </w:r>
      <w:r>
        <w:rPr>
          <w:spacing w:val="-9"/>
        </w:rPr>
        <w:t> </w:t>
      </w:r>
      <w:r>
        <w:rPr/>
        <w:t>más</w:t>
      </w:r>
      <w:r>
        <w:rPr>
          <w:spacing w:val="-9"/>
        </w:rPr>
        <w:t> </w:t>
      </w:r>
      <w:r>
        <w:rPr/>
        <w:t>poblada del país y por presentar heterogeneidad socioterritorial y disparidad socioeconómica. “En</w:t>
      </w:r>
      <w:r>
        <w:rPr>
          <w:spacing w:val="-9"/>
        </w:rPr>
        <w:t> </w:t>
      </w:r>
      <w:r>
        <w:rPr/>
        <w:t>la</w:t>
      </w:r>
      <w:r>
        <w:rPr>
          <w:spacing w:val="-9"/>
        </w:rPr>
        <w:t> </w:t>
      </w:r>
      <w:r>
        <w:rPr/>
        <w:t>entidad,</w:t>
      </w:r>
      <w:r>
        <w:rPr>
          <w:spacing w:val="-9"/>
        </w:rPr>
        <w:t> </w:t>
      </w:r>
      <w:r>
        <w:rPr/>
        <w:t>la</w:t>
      </w:r>
      <w:r>
        <w:rPr>
          <w:spacing w:val="-9"/>
        </w:rPr>
        <w:t> </w:t>
      </w:r>
      <w:r>
        <w:rPr/>
        <w:t>ocupación</w:t>
      </w:r>
      <w:r>
        <w:rPr>
          <w:spacing w:val="-9"/>
        </w:rPr>
        <w:t> </w:t>
      </w:r>
      <w:r>
        <w:rPr/>
        <w:t>del</w:t>
      </w:r>
      <w:r>
        <w:rPr>
          <w:spacing w:val="-9"/>
        </w:rPr>
        <w:t> </w:t>
      </w:r>
      <w:r>
        <w:rPr/>
        <w:t>territorio</w:t>
      </w:r>
      <w:r>
        <w:rPr>
          <w:spacing w:val="-9"/>
        </w:rPr>
        <w:t> </w:t>
      </w:r>
      <w:r>
        <w:rPr/>
        <w:t>se</w:t>
      </w:r>
      <w:r>
        <w:rPr>
          <w:spacing w:val="-9"/>
        </w:rPr>
        <w:t> </w:t>
      </w:r>
      <w:r>
        <w:rPr/>
        <w:t>ha</w:t>
      </w:r>
      <w:r>
        <w:rPr>
          <w:spacing w:val="-9"/>
        </w:rPr>
        <w:t> </w:t>
      </w:r>
      <w:r>
        <w:rPr/>
        <w:t>dado</w:t>
      </w:r>
      <w:r>
        <w:rPr>
          <w:spacing w:val="-9"/>
        </w:rPr>
        <w:t> </w:t>
      </w:r>
      <w:r>
        <w:rPr/>
        <w:t>a</w:t>
      </w:r>
      <w:r>
        <w:rPr>
          <w:spacing w:val="-9"/>
        </w:rPr>
        <w:t> </w:t>
      </w:r>
      <w:r>
        <w:rPr/>
        <w:t>partir</w:t>
      </w:r>
      <w:r>
        <w:rPr>
          <w:spacing w:val="-9"/>
        </w:rPr>
        <w:t> </w:t>
      </w:r>
      <w:r>
        <w:rPr/>
        <w:t>de</w:t>
      </w:r>
      <w:r>
        <w:rPr>
          <w:spacing w:val="-9"/>
        </w:rPr>
        <w:t> </w:t>
      </w:r>
      <w:r>
        <w:rPr/>
        <w:t>un</w:t>
      </w:r>
      <w:r>
        <w:rPr>
          <w:spacing w:val="-9"/>
        </w:rPr>
        <w:t> </w:t>
      </w:r>
      <w:r>
        <w:rPr/>
        <w:t>explosivo</w:t>
      </w:r>
      <w:r>
        <w:rPr>
          <w:spacing w:val="-9"/>
        </w:rPr>
        <w:t> </w:t>
      </w:r>
      <w:r>
        <w:rPr/>
        <w:t>crecimiento urbano, provocando en los municipios cambios decisivos en su crecimiento, en su </w:t>
      </w:r>
      <w:r>
        <w:rPr>
          <w:spacing w:val="2"/>
        </w:rPr>
        <w:t>conformaciónyestructuraurbana, </w:t>
      </w:r>
      <w:r>
        <w:rPr>
          <w:spacing w:val="59"/>
        </w:rPr>
        <w:t> </w:t>
      </w:r>
      <w:r>
        <w:rPr>
          <w:spacing w:val="3"/>
        </w:rPr>
        <w:t>comoconsecuenciadelosprocesosdeconcentración</w:t>
      </w:r>
    </w:p>
    <w:p>
      <w:pPr>
        <w:spacing w:after="0" w:line="249" w:lineRule="auto"/>
        <w:jc w:val="both"/>
        <w:sectPr>
          <w:headerReference w:type="default" r:id="rId466"/>
          <w:footerReference w:type="default" r:id="rId467"/>
          <w:pgSz w:w="18830" w:h="12760" w:orient="landscape"/>
          <w:pgMar w:header="482" w:footer="0" w:top="680" w:bottom="0" w:left="2720" w:right="720"/>
        </w:sectPr>
      </w:pPr>
    </w:p>
    <w:p>
      <w:pPr>
        <w:pStyle w:val="BodyText"/>
        <w:spacing w:before="6"/>
        <w:rPr>
          <w:sz w:val="23"/>
        </w:rPr>
      </w:pPr>
    </w:p>
    <w:p>
      <w:pPr>
        <w:spacing w:after="0"/>
        <w:rPr>
          <w:sz w:val="23"/>
        </w:rPr>
        <w:sectPr>
          <w:headerReference w:type="default" r:id="rId469"/>
          <w:footerReference w:type="default" r:id="rId470"/>
          <w:pgSz w:w="18830" w:h="12760" w:orient="landscape"/>
          <w:pgMar w:header="522" w:footer="1036" w:top="820" w:bottom="1220" w:left="720" w:right="720"/>
        </w:sectPr>
      </w:pPr>
    </w:p>
    <w:p>
      <w:pPr>
        <w:pStyle w:val="BodyText"/>
        <w:spacing w:line="249" w:lineRule="auto" w:before="76"/>
        <w:ind w:left="117"/>
        <w:jc w:val="both"/>
      </w:pPr>
      <w:r>
        <w:rPr/>
        <w:t>demográfica y económica, del cual se le atribuyen problemas de urbanización, en donde se aprecian nuevos agentes sociales que se apropian y producen en el medio físico construido, caracterizando un crecimiento y expansión de la mancha urbana de las ciudades de manera desordenada y descontrolada, resultando la ocupación de áreas y zonas inadecuadas que impiden un desarrollo óptimo y ordenado del territorio” (Schteigart, 1998).</w:t>
      </w:r>
    </w:p>
    <w:p>
      <w:pPr>
        <w:pStyle w:val="BodyText"/>
        <w:spacing w:before="11"/>
      </w:pPr>
    </w:p>
    <w:p>
      <w:pPr>
        <w:pStyle w:val="BodyText"/>
        <w:spacing w:line="249" w:lineRule="auto"/>
        <w:ind w:left="117" w:firstLine="170"/>
        <w:jc w:val="both"/>
      </w:pPr>
      <w:r>
        <w:rPr/>
        <w:t>Uno de los problemas fundamentales derivados del crecimiento poblacional y su expansión</w:t>
      </w:r>
      <w:r>
        <w:rPr>
          <w:spacing w:val="-15"/>
        </w:rPr>
        <w:t> </w:t>
      </w:r>
      <w:r>
        <w:rPr/>
        <w:t>urbana</w:t>
      </w:r>
      <w:r>
        <w:rPr>
          <w:spacing w:val="-15"/>
        </w:rPr>
        <w:t> </w:t>
      </w:r>
      <w:r>
        <w:rPr/>
        <w:t>en</w:t>
      </w:r>
      <w:r>
        <w:rPr>
          <w:spacing w:val="-15"/>
        </w:rPr>
        <w:t> </w:t>
      </w:r>
      <w:r>
        <w:rPr/>
        <w:t>la</w:t>
      </w:r>
      <w:r>
        <w:rPr>
          <w:spacing w:val="-15"/>
        </w:rPr>
        <w:t> </w:t>
      </w:r>
      <w:r>
        <w:rPr/>
        <w:t>periferia</w:t>
      </w:r>
      <w:r>
        <w:rPr>
          <w:spacing w:val="-15"/>
        </w:rPr>
        <w:t> </w:t>
      </w:r>
      <w:r>
        <w:rPr/>
        <w:t>de</w:t>
      </w:r>
      <w:r>
        <w:rPr>
          <w:spacing w:val="-15"/>
        </w:rPr>
        <w:t> </w:t>
      </w:r>
      <w:r>
        <w:rPr/>
        <w:t>las</w:t>
      </w:r>
      <w:r>
        <w:rPr>
          <w:spacing w:val="-15"/>
        </w:rPr>
        <w:t> </w:t>
      </w:r>
      <w:r>
        <w:rPr/>
        <w:t>zonas</w:t>
      </w:r>
      <w:r>
        <w:rPr>
          <w:spacing w:val="-15"/>
        </w:rPr>
        <w:t> </w:t>
      </w:r>
      <w:r>
        <w:rPr/>
        <w:t>metropolitanas</w:t>
      </w:r>
      <w:r>
        <w:rPr>
          <w:spacing w:val="-15"/>
        </w:rPr>
        <w:t> </w:t>
      </w:r>
      <w:r>
        <w:rPr/>
        <w:t>del</w:t>
      </w:r>
      <w:r>
        <w:rPr>
          <w:spacing w:val="-15"/>
        </w:rPr>
        <w:t> </w:t>
      </w:r>
      <w:r>
        <w:rPr/>
        <w:t>Estado</w:t>
      </w:r>
      <w:r>
        <w:rPr>
          <w:spacing w:val="-15"/>
        </w:rPr>
        <w:t> </w:t>
      </w:r>
      <w:r>
        <w:rPr/>
        <w:t>de</w:t>
      </w:r>
      <w:r>
        <w:rPr>
          <w:spacing w:val="-15"/>
        </w:rPr>
        <w:t> </w:t>
      </w:r>
      <w:r>
        <w:rPr/>
        <w:t>México,</w:t>
      </w:r>
      <w:r>
        <w:rPr>
          <w:spacing w:val="-15"/>
        </w:rPr>
        <w:t> </w:t>
      </w:r>
      <w:r>
        <w:rPr/>
        <w:t>es</w:t>
      </w:r>
      <w:r>
        <w:rPr>
          <w:spacing w:val="-15"/>
        </w:rPr>
        <w:t> </w:t>
      </w:r>
      <w:r>
        <w:rPr/>
        <w:t>la creciente</w:t>
      </w:r>
      <w:r>
        <w:rPr>
          <w:spacing w:val="-10"/>
        </w:rPr>
        <w:t> </w:t>
      </w:r>
      <w:r>
        <w:rPr/>
        <w:t>demanda</w:t>
      </w:r>
      <w:r>
        <w:rPr>
          <w:spacing w:val="-10"/>
        </w:rPr>
        <w:t> </w:t>
      </w:r>
      <w:r>
        <w:rPr/>
        <w:t>de</w:t>
      </w:r>
      <w:r>
        <w:rPr>
          <w:spacing w:val="-10"/>
        </w:rPr>
        <w:t> </w:t>
      </w:r>
      <w:r>
        <w:rPr/>
        <w:t>suelo,</w:t>
      </w:r>
      <w:r>
        <w:rPr>
          <w:spacing w:val="-10"/>
        </w:rPr>
        <w:t> </w:t>
      </w:r>
      <w:r>
        <w:rPr/>
        <w:t>para</w:t>
      </w:r>
      <w:r>
        <w:rPr>
          <w:spacing w:val="-10"/>
        </w:rPr>
        <w:t> </w:t>
      </w:r>
      <w:r>
        <w:rPr/>
        <w:t>satisfacer</w:t>
      </w:r>
      <w:r>
        <w:rPr>
          <w:spacing w:val="-11"/>
        </w:rPr>
        <w:t> </w:t>
      </w:r>
      <w:r>
        <w:rPr/>
        <w:t>las</w:t>
      </w:r>
      <w:r>
        <w:rPr>
          <w:spacing w:val="-10"/>
        </w:rPr>
        <w:t> </w:t>
      </w:r>
      <w:r>
        <w:rPr/>
        <w:t>necesidades</w:t>
      </w:r>
      <w:r>
        <w:rPr>
          <w:spacing w:val="-10"/>
        </w:rPr>
        <w:t> </w:t>
      </w:r>
      <w:r>
        <w:rPr/>
        <w:t>de</w:t>
      </w:r>
      <w:r>
        <w:rPr>
          <w:spacing w:val="-10"/>
        </w:rPr>
        <w:t> </w:t>
      </w:r>
      <w:r>
        <w:rPr/>
        <w:t>la</w:t>
      </w:r>
      <w:r>
        <w:rPr>
          <w:spacing w:val="-10"/>
        </w:rPr>
        <w:t> </w:t>
      </w:r>
      <w:r>
        <w:rPr/>
        <w:t>población</w:t>
      </w:r>
      <w:r>
        <w:rPr>
          <w:spacing w:val="-10"/>
        </w:rPr>
        <w:t> </w:t>
      </w:r>
      <w:r>
        <w:rPr/>
        <w:t>en</w:t>
      </w:r>
      <w:r>
        <w:rPr>
          <w:spacing w:val="-10"/>
        </w:rPr>
        <w:t> </w:t>
      </w:r>
      <w:r>
        <w:rPr/>
        <w:t>materia de vivienda, de infraestructura y los servicios que la complementan, cuya respuesta es una incapacidad del Estado para satisfacer de manera eficaz dichas necesidades. El presente estudio se encuentra vinculado con las necesidades habitacionales,</w:t>
      </w:r>
      <w:r>
        <w:rPr>
          <w:spacing w:val="18"/>
        </w:rPr>
        <w:t> </w:t>
      </w:r>
      <w:r>
        <w:rPr/>
        <w:t>que</w:t>
      </w:r>
      <w:r>
        <w:rPr>
          <w:spacing w:val="20"/>
        </w:rPr>
        <w:t> </w:t>
      </w:r>
      <w:r>
        <w:rPr/>
        <w:t>se</w:t>
      </w:r>
      <w:r>
        <w:rPr>
          <w:w w:val="98"/>
        </w:rPr>
        <w:t> </w:t>
      </w:r>
      <w:r>
        <w:rPr/>
        <w:t>han</w:t>
      </w:r>
      <w:r>
        <w:rPr>
          <w:spacing w:val="-4"/>
        </w:rPr>
        <w:t> </w:t>
      </w:r>
      <w:r>
        <w:rPr/>
        <w:t>hecho</w:t>
      </w:r>
      <w:r>
        <w:rPr>
          <w:spacing w:val="-4"/>
        </w:rPr>
        <w:t> </w:t>
      </w:r>
      <w:r>
        <w:rPr/>
        <w:t>tangibles</w:t>
      </w:r>
      <w:r>
        <w:rPr>
          <w:spacing w:val="-4"/>
        </w:rPr>
        <w:t> </w:t>
      </w:r>
      <w:r>
        <w:rPr/>
        <w:t>en</w:t>
      </w:r>
      <w:r>
        <w:rPr>
          <w:spacing w:val="-4"/>
        </w:rPr>
        <w:t> </w:t>
      </w:r>
      <w:r>
        <w:rPr/>
        <w:t>el</w:t>
      </w:r>
      <w:r>
        <w:rPr>
          <w:spacing w:val="-4"/>
        </w:rPr>
        <w:t> </w:t>
      </w:r>
      <w:r>
        <w:rPr/>
        <w:t>territorio</w:t>
      </w:r>
      <w:r>
        <w:rPr>
          <w:spacing w:val="-4"/>
        </w:rPr>
        <w:t> </w:t>
      </w:r>
      <w:r>
        <w:rPr/>
        <w:t>mediante</w:t>
      </w:r>
      <w:r>
        <w:rPr>
          <w:spacing w:val="-4"/>
        </w:rPr>
        <w:t> </w:t>
      </w:r>
      <w:r>
        <w:rPr/>
        <w:t>su</w:t>
      </w:r>
      <w:r>
        <w:rPr>
          <w:spacing w:val="-4"/>
        </w:rPr>
        <w:t> </w:t>
      </w:r>
      <w:r>
        <w:rPr/>
        <w:t>manifestación</w:t>
      </w:r>
      <w:r>
        <w:rPr>
          <w:spacing w:val="-4"/>
        </w:rPr>
        <w:t> </w:t>
      </w:r>
      <w:r>
        <w:rPr/>
        <w:t>física</w:t>
      </w:r>
      <w:r>
        <w:rPr>
          <w:spacing w:val="-4"/>
        </w:rPr>
        <w:t> </w:t>
      </w:r>
      <w:r>
        <w:rPr/>
        <w:t>en</w:t>
      </w:r>
      <w:r>
        <w:rPr>
          <w:spacing w:val="-4"/>
        </w:rPr>
        <w:t> </w:t>
      </w:r>
      <w:r>
        <w:rPr/>
        <w:t>zonas</w:t>
      </w:r>
      <w:r>
        <w:rPr>
          <w:spacing w:val="-4"/>
        </w:rPr>
        <w:t> </w:t>
      </w:r>
      <w:r>
        <w:rPr/>
        <w:t>cada</w:t>
      </w:r>
      <w:r>
        <w:rPr>
          <w:spacing w:val="-4"/>
        </w:rPr>
        <w:t> </w:t>
      </w:r>
      <w:r>
        <w:rPr/>
        <w:t>vez más alejadas de los centros urbanos, situación que genera efectos negativos de</w:t>
      </w:r>
      <w:r>
        <w:rPr>
          <w:spacing w:val="-9"/>
        </w:rPr>
        <w:t> </w:t>
      </w:r>
      <w:r>
        <w:rPr/>
        <w:t>índole territorial y social, en un contexto municipal y </w:t>
      </w:r>
      <w:r>
        <w:rPr>
          <w:spacing w:val="31"/>
        </w:rPr>
        <w:t> </w:t>
      </w:r>
      <w:r>
        <w:rPr/>
        <w:t>metropolitano.</w:t>
      </w:r>
    </w:p>
    <w:p>
      <w:pPr>
        <w:pStyle w:val="BodyText"/>
        <w:spacing w:before="11"/>
      </w:pPr>
    </w:p>
    <w:p>
      <w:pPr>
        <w:pStyle w:val="BodyText"/>
        <w:spacing w:line="249" w:lineRule="auto"/>
        <w:ind w:left="117" w:firstLine="170"/>
        <w:jc w:val="both"/>
      </w:pPr>
      <w:r>
        <w:rPr/>
        <w:t>El proceso de metropolización, ha sido reconocido como un mosaico con funciones especializadas,</w:t>
      </w:r>
      <w:r>
        <w:rPr>
          <w:spacing w:val="-16"/>
        </w:rPr>
        <w:t> </w:t>
      </w:r>
      <w:r>
        <w:rPr/>
        <w:t>integrado</w:t>
      </w:r>
      <w:r>
        <w:rPr>
          <w:spacing w:val="-16"/>
        </w:rPr>
        <w:t> </w:t>
      </w:r>
      <w:r>
        <w:rPr/>
        <w:t>de</w:t>
      </w:r>
      <w:r>
        <w:rPr>
          <w:spacing w:val="-16"/>
        </w:rPr>
        <w:t> </w:t>
      </w:r>
      <w:r>
        <w:rPr/>
        <w:t>sub</w:t>
      </w:r>
      <w:r>
        <w:rPr>
          <w:spacing w:val="-16"/>
        </w:rPr>
        <w:t> </w:t>
      </w:r>
      <w:r>
        <w:rPr/>
        <w:t>áreas</w:t>
      </w:r>
      <w:r>
        <w:rPr>
          <w:spacing w:val="-16"/>
        </w:rPr>
        <w:t> </w:t>
      </w:r>
      <w:r>
        <w:rPr/>
        <w:t>de</w:t>
      </w:r>
      <w:r>
        <w:rPr>
          <w:spacing w:val="-16"/>
        </w:rPr>
        <w:t> </w:t>
      </w:r>
      <w:r>
        <w:rPr/>
        <w:t>cuya</w:t>
      </w:r>
      <w:r>
        <w:rPr>
          <w:spacing w:val="-16"/>
        </w:rPr>
        <w:t> </w:t>
      </w:r>
      <w:r>
        <w:rPr/>
        <w:t>unión</w:t>
      </w:r>
      <w:r>
        <w:rPr>
          <w:spacing w:val="-16"/>
        </w:rPr>
        <w:t> </w:t>
      </w:r>
      <w:r>
        <w:rPr/>
        <w:t>surge</w:t>
      </w:r>
      <w:r>
        <w:rPr>
          <w:spacing w:val="-16"/>
        </w:rPr>
        <w:t> </w:t>
      </w:r>
      <w:r>
        <w:rPr/>
        <w:t>una</w:t>
      </w:r>
      <w:r>
        <w:rPr>
          <w:spacing w:val="-16"/>
        </w:rPr>
        <w:t> </w:t>
      </w:r>
      <w:r>
        <w:rPr/>
        <w:t>nueva</w:t>
      </w:r>
      <w:r>
        <w:rPr>
          <w:spacing w:val="-16"/>
        </w:rPr>
        <w:t> </w:t>
      </w:r>
      <w:r>
        <w:rPr/>
        <w:t>entidad</w:t>
      </w:r>
      <w:r>
        <w:rPr>
          <w:spacing w:val="-16"/>
        </w:rPr>
        <w:t> </w:t>
      </w:r>
      <w:r>
        <w:rPr/>
        <w:t>funcional que crece a partir de un centro dominante hacia su área de influencia</w:t>
      </w:r>
      <w:r>
        <w:rPr>
          <w:spacing w:val="52"/>
        </w:rPr>
        <w:t> </w:t>
      </w:r>
      <w:r>
        <w:rPr/>
        <w:t>(Lezama,</w:t>
      </w:r>
      <w:r>
        <w:rPr>
          <w:spacing w:val="8"/>
        </w:rPr>
        <w:t> </w:t>
      </w:r>
      <w:r>
        <w:rPr/>
        <w:t>2002:</w:t>
      </w:r>
      <w:r>
        <w:rPr>
          <w:w w:val="99"/>
        </w:rPr>
        <w:t> </w:t>
      </w:r>
      <w:r>
        <w:rPr/>
        <w:t>25). Kilnk (2005: 128, 130) menciona que “las ciudades metropolitanas se caracterizan principalmente por tener intensas interdependencias y factores externos/efectos secundarios entre los territorios locales, mientras que el conjunto de esos territorios tiene características comunes funcionales socioeconómicas, políticas e históricas que le otorgan una identidad </w:t>
      </w:r>
      <w:r>
        <w:rPr>
          <w:spacing w:val="9"/>
        </w:rPr>
        <w:t> </w:t>
      </w:r>
      <w:r>
        <w:rPr/>
        <w:t>colectiva”.</w:t>
      </w:r>
    </w:p>
    <w:p>
      <w:pPr>
        <w:pStyle w:val="BodyText"/>
        <w:spacing w:before="11"/>
      </w:pPr>
    </w:p>
    <w:p>
      <w:pPr>
        <w:pStyle w:val="BodyText"/>
        <w:spacing w:line="249" w:lineRule="auto"/>
        <w:ind w:left="117" w:firstLine="170"/>
        <w:jc w:val="both"/>
      </w:pPr>
      <w:r>
        <w:rPr/>
        <w:t>Para</w:t>
      </w:r>
      <w:r>
        <w:rPr>
          <w:spacing w:val="-20"/>
        </w:rPr>
        <w:t> </w:t>
      </w:r>
      <w:r>
        <w:rPr/>
        <w:t>Montejano</w:t>
      </w:r>
      <w:r>
        <w:rPr>
          <w:spacing w:val="-20"/>
        </w:rPr>
        <w:t> </w:t>
      </w:r>
      <w:r>
        <w:rPr/>
        <w:t>(2010:</w:t>
      </w:r>
      <w:r>
        <w:rPr>
          <w:spacing w:val="-20"/>
        </w:rPr>
        <w:t> </w:t>
      </w:r>
      <w:r>
        <w:rPr/>
        <w:t>65),</w:t>
      </w:r>
      <w:r>
        <w:rPr>
          <w:spacing w:val="-20"/>
        </w:rPr>
        <w:t> </w:t>
      </w:r>
      <w:r>
        <w:rPr/>
        <w:t>la</w:t>
      </w:r>
      <w:r>
        <w:rPr>
          <w:spacing w:val="-20"/>
        </w:rPr>
        <w:t> </w:t>
      </w:r>
      <w:r>
        <w:rPr/>
        <w:t>metropolización</w:t>
      </w:r>
      <w:r>
        <w:rPr>
          <w:spacing w:val="-20"/>
        </w:rPr>
        <w:t> </w:t>
      </w:r>
      <w:r>
        <w:rPr/>
        <w:t>es</w:t>
      </w:r>
      <w:r>
        <w:rPr>
          <w:spacing w:val="-20"/>
        </w:rPr>
        <w:t> </w:t>
      </w:r>
      <w:r>
        <w:rPr/>
        <w:t>la</w:t>
      </w:r>
      <w:r>
        <w:rPr>
          <w:spacing w:val="-20"/>
        </w:rPr>
        <w:t> </w:t>
      </w:r>
      <w:r>
        <w:rPr/>
        <w:t>tendencia</w:t>
      </w:r>
      <w:r>
        <w:rPr>
          <w:spacing w:val="-20"/>
        </w:rPr>
        <w:t> </w:t>
      </w:r>
      <w:r>
        <w:rPr/>
        <w:t>a</w:t>
      </w:r>
      <w:r>
        <w:rPr>
          <w:spacing w:val="-20"/>
        </w:rPr>
        <w:t> </w:t>
      </w:r>
      <w:r>
        <w:rPr/>
        <w:t>la</w:t>
      </w:r>
      <w:r>
        <w:rPr>
          <w:spacing w:val="-20"/>
        </w:rPr>
        <w:t> </w:t>
      </w:r>
      <w:r>
        <w:rPr/>
        <w:t>integración</w:t>
      </w:r>
      <w:r>
        <w:rPr>
          <w:spacing w:val="-20"/>
        </w:rPr>
        <w:t> </w:t>
      </w:r>
      <w:r>
        <w:rPr/>
        <w:t>de</w:t>
      </w:r>
      <w:r>
        <w:rPr>
          <w:spacing w:val="-20"/>
        </w:rPr>
        <w:t> </w:t>
      </w:r>
      <w:r>
        <w:rPr/>
        <w:t>varios conjuntos urbanos e incluso de los territorios de urbanización difusa. De</w:t>
      </w:r>
      <w:r>
        <w:rPr>
          <w:spacing w:val="35"/>
        </w:rPr>
        <w:t> </w:t>
      </w:r>
      <w:r>
        <w:rPr/>
        <w:t>Mattos</w:t>
      </w:r>
      <w:r>
        <w:rPr>
          <w:spacing w:val="3"/>
        </w:rPr>
        <w:t> </w:t>
      </w:r>
      <w:r>
        <w:rPr/>
        <w:t>(2001)</w:t>
      </w:r>
      <w:r>
        <w:rPr>
          <w:w w:val="94"/>
        </w:rPr>
        <w:t> </w:t>
      </w:r>
      <w:r>
        <w:rPr/>
        <w:t>y</w:t>
      </w:r>
      <w:r>
        <w:rPr>
          <w:spacing w:val="-11"/>
        </w:rPr>
        <w:t> </w:t>
      </w:r>
      <w:r>
        <w:rPr/>
        <w:t>Link</w:t>
      </w:r>
      <w:r>
        <w:rPr>
          <w:spacing w:val="-11"/>
        </w:rPr>
        <w:t> </w:t>
      </w:r>
      <w:r>
        <w:rPr/>
        <w:t>(2008),</w:t>
      </w:r>
      <w:r>
        <w:rPr>
          <w:spacing w:val="-11"/>
        </w:rPr>
        <w:t> </w:t>
      </w:r>
      <w:r>
        <w:rPr/>
        <w:t>explican</w:t>
      </w:r>
      <w:r>
        <w:rPr>
          <w:spacing w:val="-11"/>
        </w:rPr>
        <w:t> </w:t>
      </w:r>
      <w:r>
        <w:rPr/>
        <w:t>que</w:t>
      </w:r>
      <w:r>
        <w:rPr>
          <w:spacing w:val="-11"/>
        </w:rPr>
        <w:t> </w:t>
      </w:r>
      <w:r>
        <w:rPr/>
        <w:t>en</w:t>
      </w:r>
      <w:r>
        <w:rPr>
          <w:spacing w:val="-11"/>
        </w:rPr>
        <w:t> </w:t>
      </w:r>
      <w:r>
        <w:rPr/>
        <w:t>las</w:t>
      </w:r>
      <w:r>
        <w:rPr>
          <w:spacing w:val="-11"/>
        </w:rPr>
        <w:t> </w:t>
      </w:r>
      <w:r>
        <w:rPr/>
        <w:t>áreas</w:t>
      </w:r>
      <w:r>
        <w:rPr>
          <w:spacing w:val="-11"/>
        </w:rPr>
        <w:t> </w:t>
      </w:r>
      <w:r>
        <w:rPr/>
        <w:t>metropolitanas</w:t>
      </w:r>
      <w:r>
        <w:rPr>
          <w:spacing w:val="-11"/>
        </w:rPr>
        <w:t> </w:t>
      </w:r>
      <w:r>
        <w:rPr/>
        <w:t>se</w:t>
      </w:r>
      <w:r>
        <w:rPr>
          <w:spacing w:val="-11"/>
        </w:rPr>
        <w:t> </w:t>
      </w:r>
      <w:r>
        <w:rPr/>
        <w:t>observa</w:t>
      </w:r>
      <w:r>
        <w:rPr>
          <w:spacing w:val="-11"/>
        </w:rPr>
        <w:t> </w:t>
      </w:r>
      <w:r>
        <w:rPr/>
        <w:t>el</w:t>
      </w:r>
      <w:r>
        <w:rPr>
          <w:spacing w:val="-11"/>
        </w:rPr>
        <w:t> </w:t>
      </w:r>
      <w:r>
        <w:rPr/>
        <w:t>funcionamiento</w:t>
      </w:r>
      <w:r>
        <w:rPr>
          <w:spacing w:val="-11"/>
        </w:rPr>
        <w:t> </w:t>
      </w:r>
      <w:r>
        <w:rPr/>
        <w:t>de la</w:t>
      </w:r>
      <w:r>
        <w:rPr>
          <w:spacing w:val="-12"/>
        </w:rPr>
        <w:t> </w:t>
      </w:r>
      <w:r>
        <w:rPr/>
        <w:t>economía</w:t>
      </w:r>
      <w:r>
        <w:rPr>
          <w:spacing w:val="-12"/>
        </w:rPr>
        <w:t> </w:t>
      </w:r>
      <w:r>
        <w:rPr/>
        <w:t>capitalista,</w:t>
      </w:r>
      <w:r>
        <w:rPr>
          <w:spacing w:val="-12"/>
        </w:rPr>
        <w:t> </w:t>
      </w:r>
      <w:r>
        <w:rPr/>
        <w:t>en</w:t>
      </w:r>
      <w:r>
        <w:rPr>
          <w:spacing w:val="-12"/>
        </w:rPr>
        <w:t> </w:t>
      </w:r>
      <w:r>
        <w:rPr/>
        <w:t>el</w:t>
      </w:r>
      <w:r>
        <w:rPr>
          <w:spacing w:val="-12"/>
        </w:rPr>
        <w:t> </w:t>
      </w:r>
      <w:r>
        <w:rPr/>
        <w:t>que</w:t>
      </w:r>
      <w:r>
        <w:rPr>
          <w:spacing w:val="-12"/>
        </w:rPr>
        <w:t> </w:t>
      </w:r>
      <w:r>
        <w:rPr/>
        <w:t>se</w:t>
      </w:r>
      <w:r>
        <w:rPr>
          <w:spacing w:val="-12"/>
        </w:rPr>
        <w:t> </w:t>
      </w:r>
      <w:r>
        <w:rPr/>
        <w:t>manifiestan</w:t>
      </w:r>
      <w:r>
        <w:rPr>
          <w:spacing w:val="-12"/>
        </w:rPr>
        <w:t> </w:t>
      </w:r>
      <w:r>
        <w:rPr/>
        <w:t>una</w:t>
      </w:r>
      <w:r>
        <w:rPr>
          <w:spacing w:val="-12"/>
        </w:rPr>
        <w:t> </w:t>
      </w:r>
      <w:r>
        <w:rPr/>
        <w:t>serie</w:t>
      </w:r>
      <w:r>
        <w:rPr>
          <w:spacing w:val="-12"/>
        </w:rPr>
        <w:t> </w:t>
      </w:r>
      <w:r>
        <w:rPr/>
        <w:t>de</w:t>
      </w:r>
      <w:r>
        <w:rPr>
          <w:spacing w:val="-12"/>
        </w:rPr>
        <w:t> </w:t>
      </w:r>
      <w:r>
        <w:rPr/>
        <w:t>transformaciones</w:t>
      </w:r>
      <w:r>
        <w:rPr>
          <w:spacing w:val="-12"/>
        </w:rPr>
        <w:t> </w:t>
      </w:r>
      <w:r>
        <w:rPr/>
        <w:t>urbanas que cambian sustancialmente la estructura y funcionamiento de la ciudad, genera    una súper especialización funcional e interconectada en la ciudad, que se traduce en múltiples centros especializados de comercio, industria, servicios o residencias, que obedecen a procesos diferentes entre sí, pero que se relacionan en la configuración</w:t>
      </w:r>
      <w:r>
        <w:rPr>
          <w:spacing w:val="-28"/>
        </w:rPr>
        <w:t> </w:t>
      </w:r>
      <w:r>
        <w:rPr/>
        <w:t>de una trama de funciones especiales, complementarias, interdependientes, conectadas  y marcadamente</w:t>
      </w:r>
      <w:r>
        <w:rPr>
          <w:spacing w:val="29"/>
        </w:rPr>
        <w:t> </w:t>
      </w:r>
      <w:r>
        <w:rPr/>
        <w:t>discriminantes.</w:t>
      </w:r>
    </w:p>
    <w:p>
      <w:pPr>
        <w:pStyle w:val="BodyText"/>
        <w:spacing w:before="11"/>
      </w:pPr>
    </w:p>
    <w:p>
      <w:pPr>
        <w:pStyle w:val="BodyText"/>
        <w:spacing w:line="249" w:lineRule="auto"/>
        <w:ind w:left="117" w:firstLine="170"/>
        <w:jc w:val="both"/>
      </w:pPr>
      <w:r>
        <w:rPr/>
        <w:t>De esta manera, la demanda creciente de vivienda ha sugerido la promoción de acciones habitacionales oficiales reguladas por el Estado y desarrolladas por los promotores inmobiliarios, cuya localización se ha dado mediante la localización fragmentada en la periferia de las zonas metropolitanas. El modo de producción a esta</w:t>
      </w:r>
    </w:p>
    <w:p>
      <w:pPr>
        <w:pStyle w:val="BodyText"/>
        <w:spacing w:line="249" w:lineRule="auto" w:before="76"/>
        <w:ind w:left="117" w:right="127"/>
        <w:jc w:val="both"/>
      </w:pPr>
      <w:r>
        <w:rPr/>
        <w:br w:type="column"/>
      </w:r>
      <w:r>
        <w:rPr/>
        <w:t>demanda</w:t>
      </w:r>
      <w:r>
        <w:rPr>
          <w:spacing w:val="-6"/>
        </w:rPr>
        <w:t> </w:t>
      </w:r>
      <w:r>
        <w:rPr/>
        <w:t>habitacional</w:t>
      </w:r>
      <w:r>
        <w:rPr>
          <w:spacing w:val="-6"/>
        </w:rPr>
        <w:t> </w:t>
      </w:r>
      <w:r>
        <w:rPr/>
        <w:t>se</w:t>
      </w:r>
      <w:r>
        <w:rPr>
          <w:spacing w:val="-6"/>
        </w:rPr>
        <w:t> </w:t>
      </w:r>
      <w:r>
        <w:rPr/>
        <w:t>ha</w:t>
      </w:r>
      <w:r>
        <w:rPr>
          <w:spacing w:val="-6"/>
        </w:rPr>
        <w:t> </w:t>
      </w:r>
      <w:r>
        <w:rPr/>
        <w:t>dado</w:t>
      </w:r>
      <w:r>
        <w:rPr>
          <w:spacing w:val="-6"/>
        </w:rPr>
        <w:t> </w:t>
      </w:r>
      <w:r>
        <w:rPr/>
        <w:t>a</w:t>
      </w:r>
      <w:r>
        <w:rPr>
          <w:spacing w:val="-6"/>
        </w:rPr>
        <w:t> </w:t>
      </w:r>
      <w:r>
        <w:rPr/>
        <w:t>través</w:t>
      </w:r>
      <w:r>
        <w:rPr>
          <w:spacing w:val="-6"/>
        </w:rPr>
        <w:t> </w:t>
      </w:r>
      <w:r>
        <w:rPr/>
        <w:t>de</w:t>
      </w:r>
      <w:r>
        <w:rPr>
          <w:spacing w:val="-6"/>
        </w:rPr>
        <w:t> </w:t>
      </w:r>
      <w:r>
        <w:rPr/>
        <w:t>la</w:t>
      </w:r>
      <w:r>
        <w:rPr>
          <w:spacing w:val="-6"/>
        </w:rPr>
        <w:t> </w:t>
      </w:r>
      <w:r>
        <w:rPr/>
        <w:t>respuesta</w:t>
      </w:r>
      <w:r>
        <w:rPr>
          <w:spacing w:val="-6"/>
        </w:rPr>
        <w:t> </w:t>
      </w:r>
      <w:r>
        <w:rPr/>
        <w:t>innegable</w:t>
      </w:r>
      <w:r>
        <w:rPr>
          <w:spacing w:val="-6"/>
        </w:rPr>
        <w:t> </w:t>
      </w:r>
      <w:r>
        <w:rPr/>
        <w:t>de</w:t>
      </w:r>
      <w:r>
        <w:rPr>
          <w:spacing w:val="-6"/>
        </w:rPr>
        <w:t> </w:t>
      </w:r>
      <w:r>
        <w:rPr/>
        <w:t>los</w:t>
      </w:r>
      <w:r>
        <w:rPr>
          <w:spacing w:val="-6"/>
        </w:rPr>
        <w:t> </w:t>
      </w:r>
      <w:r>
        <w:rPr/>
        <w:t>promotores inmobiliarios para satisfacerla, basado en sistemas de producción de tipo “industrial”. Dicho</w:t>
      </w:r>
      <w:r>
        <w:rPr>
          <w:spacing w:val="-10"/>
        </w:rPr>
        <w:t> </w:t>
      </w:r>
      <w:r>
        <w:rPr/>
        <w:t>proceso</w:t>
      </w:r>
      <w:r>
        <w:rPr>
          <w:spacing w:val="-10"/>
        </w:rPr>
        <w:t> </w:t>
      </w:r>
      <w:r>
        <w:rPr/>
        <w:t>conlleva</w:t>
      </w:r>
      <w:r>
        <w:rPr>
          <w:spacing w:val="-10"/>
        </w:rPr>
        <w:t> </w:t>
      </w:r>
      <w:r>
        <w:rPr/>
        <w:t>a</w:t>
      </w:r>
      <w:r>
        <w:rPr>
          <w:spacing w:val="-10"/>
        </w:rPr>
        <w:t> </w:t>
      </w:r>
      <w:r>
        <w:rPr/>
        <w:t>adquirir</w:t>
      </w:r>
      <w:r>
        <w:rPr>
          <w:spacing w:val="-10"/>
        </w:rPr>
        <w:t> </w:t>
      </w:r>
      <w:r>
        <w:rPr/>
        <w:t>grandes</w:t>
      </w:r>
      <w:r>
        <w:rPr>
          <w:spacing w:val="-10"/>
        </w:rPr>
        <w:t> </w:t>
      </w:r>
      <w:r>
        <w:rPr/>
        <w:t>extensiones</w:t>
      </w:r>
      <w:r>
        <w:rPr>
          <w:spacing w:val="-10"/>
        </w:rPr>
        <w:t> </w:t>
      </w:r>
      <w:r>
        <w:rPr/>
        <w:t>de</w:t>
      </w:r>
      <w:r>
        <w:rPr>
          <w:spacing w:val="-10"/>
        </w:rPr>
        <w:t> </w:t>
      </w:r>
      <w:r>
        <w:rPr/>
        <w:t>tierras</w:t>
      </w:r>
      <w:r>
        <w:rPr>
          <w:spacing w:val="-10"/>
        </w:rPr>
        <w:t> </w:t>
      </w:r>
      <w:r>
        <w:rPr/>
        <w:t>destinadas</w:t>
      </w:r>
      <w:r>
        <w:rPr>
          <w:spacing w:val="-10"/>
        </w:rPr>
        <w:t> </w:t>
      </w:r>
      <w:r>
        <w:rPr/>
        <w:t>para</w:t>
      </w:r>
      <w:r>
        <w:rPr>
          <w:spacing w:val="-10"/>
        </w:rPr>
        <w:t> </w:t>
      </w:r>
      <w:r>
        <w:rPr/>
        <w:t>el</w:t>
      </w:r>
      <w:r>
        <w:rPr>
          <w:spacing w:val="-10"/>
        </w:rPr>
        <w:t> </w:t>
      </w:r>
      <w:r>
        <w:rPr/>
        <w:t>uso agrícola o sin un aprovechamiento productivo, ubicadas cada vez más distantes de las áreas urbanas, logrando abatir sus costos para ofertar los productos finales dentro de los rangos de precio establecidos por las instituciones financiadoras de vivienda y, por el otro, mantener y frecuentemente incrementar sus márgenes de utilidad (Eibenschutz y Goya,</w:t>
      </w:r>
      <w:r>
        <w:rPr>
          <w:spacing w:val="-19"/>
        </w:rPr>
        <w:t> </w:t>
      </w:r>
      <w:r>
        <w:rPr/>
        <w:t>2009).</w:t>
      </w:r>
    </w:p>
    <w:p>
      <w:pPr>
        <w:pStyle w:val="BodyText"/>
        <w:spacing w:before="11"/>
      </w:pPr>
    </w:p>
    <w:p>
      <w:pPr>
        <w:pStyle w:val="BodyText"/>
        <w:spacing w:line="249" w:lineRule="auto"/>
        <w:ind w:left="117" w:right="127" w:firstLine="170"/>
        <w:jc w:val="right"/>
      </w:pPr>
      <w:r>
        <w:rPr/>
        <w:t>El resultado de estos modos de producción masiva de la vivienda, se</w:t>
      </w:r>
      <w:r>
        <w:rPr>
          <w:spacing w:val="-19"/>
        </w:rPr>
        <w:t> </w:t>
      </w:r>
      <w:r>
        <w:rPr/>
        <w:t>ha</w:t>
      </w:r>
      <w:r>
        <w:rPr>
          <w:spacing w:val="-2"/>
        </w:rPr>
        <w:t> </w:t>
      </w:r>
      <w:r>
        <w:rPr/>
        <w:t>manifestado</w:t>
      </w:r>
      <w:r>
        <w:rPr>
          <w:w w:val="101"/>
        </w:rPr>
        <w:t> </w:t>
      </w:r>
      <w:r>
        <w:rPr/>
        <w:t>mediante el desarrollo de la figura jurídica de división del suelo</w:t>
      </w:r>
      <w:r>
        <w:rPr>
          <w:spacing w:val="41"/>
        </w:rPr>
        <w:t> </w:t>
      </w:r>
      <w:r>
        <w:rPr/>
        <w:t>denominado</w:t>
      </w:r>
      <w:r>
        <w:rPr>
          <w:spacing w:val="13"/>
        </w:rPr>
        <w:t> </w:t>
      </w:r>
      <w:r>
        <w:rPr/>
        <w:t>conjunto</w:t>
      </w:r>
      <w:r>
        <w:rPr>
          <w:w w:val="102"/>
        </w:rPr>
        <w:t> </w:t>
      </w:r>
      <w:r>
        <w:rPr/>
        <w:t>urbano habitacional y en condominio, esquemas de desarrollo</w:t>
      </w:r>
      <w:r>
        <w:rPr>
          <w:spacing w:val="-7"/>
        </w:rPr>
        <w:t> </w:t>
      </w:r>
      <w:r>
        <w:rPr/>
        <w:t>habitacional</w:t>
      </w:r>
      <w:r>
        <w:rPr>
          <w:spacing w:val="-1"/>
        </w:rPr>
        <w:t> </w:t>
      </w:r>
      <w:r>
        <w:rPr/>
        <w:t>promovidos</w:t>
      </w:r>
      <w:r>
        <w:rPr>
          <w:w w:val="102"/>
        </w:rPr>
        <w:t> </w:t>
      </w:r>
      <w:r>
        <w:rPr/>
        <w:t>por</w:t>
      </w:r>
      <w:r>
        <w:rPr>
          <w:spacing w:val="-12"/>
        </w:rPr>
        <w:t> </w:t>
      </w:r>
      <w:r>
        <w:rPr/>
        <w:t>el</w:t>
      </w:r>
      <w:r>
        <w:rPr>
          <w:spacing w:val="-12"/>
        </w:rPr>
        <w:t> </w:t>
      </w:r>
      <w:r>
        <w:rPr/>
        <w:t>Estado,</w:t>
      </w:r>
      <w:r>
        <w:rPr>
          <w:spacing w:val="-12"/>
        </w:rPr>
        <w:t> </w:t>
      </w:r>
      <w:r>
        <w:rPr/>
        <w:t>en</w:t>
      </w:r>
      <w:r>
        <w:rPr>
          <w:spacing w:val="-12"/>
        </w:rPr>
        <w:t> </w:t>
      </w:r>
      <w:r>
        <w:rPr/>
        <w:t>sus</w:t>
      </w:r>
      <w:r>
        <w:rPr>
          <w:spacing w:val="-12"/>
        </w:rPr>
        <w:t> </w:t>
      </w:r>
      <w:r>
        <w:rPr/>
        <w:t>tres</w:t>
      </w:r>
      <w:r>
        <w:rPr>
          <w:spacing w:val="-12"/>
        </w:rPr>
        <w:t> </w:t>
      </w:r>
      <w:r>
        <w:rPr/>
        <w:t>niveles</w:t>
      </w:r>
      <w:r>
        <w:rPr>
          <w:spacing w:val="-12"/>
        </w:rPr>
        <w:t> </w:t>
      </w:r>
      <w:r>
        <w:rPr/>
        <w:t>de</w:t>
      </w:r>
      <w:r>
        <w:rPr>
          <w:spacing w:val="-12"/>
        </w:rPr>
        <w:t> </w:t>
      </w:r>
      <w:r>
        <w:rPr/>
        <w:t>gobierno</w:t>
      </w:r>
      <w:r>
        <w:rPr>
          <w:spacing w:val="-12"/>
        </w:rPr>
        <w:t> </w:t>
      </w:r>
      <w:r>
        <w:rPr/>
        <w:t>(GEM,</w:t>
      </w:r>
      <w:r>
        <w:rPr>
          <w:spacing w:val="-12"/>
        </w:rPr>
        <w:t> </w:t>
      </w:r>
      <w:r>
        <w:rPr/>
        <w:t>2011),</w:t>
      </w:r>
      <w:r>
        <w:rPr>
          <w:spacing w:val="-12"/>
        </w:rPr>
        <w:t> </w:t>
      </w:r>
      <w:r>
        <w:rPr/>
        <w:t>y</w:t>
      </w:r>
      <w:r>
        <w:rPr>
          <w:spacing w:val="-12"/>
        </w:rPr>
        <w:t> </w:t>
      </w:r>
      <w:r>
        <w:rPr/>
        <w:t>auspiciados</w:t>
      </w:r>
      <w:r>
        <w:rPr>
          <w:spacing w:val="-12"/>
        </w:rPr>
        <w:t> </w:t>
      </w:r>
      <w:r>
        <w:rPr/>
        <w:t>por</w:t>
      </w:r>
      <w:r>
        <w:rPr>
          <w:spacing w:val="-12"/>
        </w:rPr>
        <w:t> </w:t>
      </w:r>
      <w:r>
        <w:rPr/>
        <w:t>empresas</w:t>
      </w:r>
      <w:r>
        <w:rPr>
          <w:w w:val="99"/>
        </w:rPr>
        <w:t> </w:t>
      </w:r>
      <w:r>
        <w:rPr/>
        <w:t>inmobiliarias privadas de vivienda. Estos nuevos esquemas de</w:t>
      </w:r>
      <w:r>
        <w:rPr>
          <w:spacing w:val="28"/>
        </w:rPr>
        <w:t> </w:t>
      </w:r>
      <w:r>
        <w:rPr/>
        <w:t>desarrollo</w:t>
      </w:r>
      <w:r>
        <w:rPr>
          <w:spacing w:val="3"/>
        </w:rPr>
        <w:t> </w:t>
      </w:r>
      <w:r>
        <w:rPr/>
        <w:t>habitacional,</w:t>
      </w:r>
      <w:r>
        <w:rPr>
          <w:w w:val="101"/>
        </w:rPr>
        <w:t> </w:t>
      </w:r>
      <w:r>
        <w:rPr/>
        <w:t>sin embargo, tienden a alejarse de los principales centros urbano, en</w:t>
      </w:r>
      <w:r>
        <w:rPr>
          <w:spacing w:val="52"/>
        </w:rPr>
        <w:t> </w:t>
      </w:r>
      <w:r>
        <w:rPr/>
        <w:t>áreas</w:t>
      </w:r>
      <w:r>
        <w:rPr>
          <w:spacing w:val="4"/>
        </w:rPr>
        <w:t> </w:t>
      </w:r>
      <w:r>
        <w:rPr/>
        <w:t>periféricas</w:t>
      </w:r>
      <w:r>
        <w:rPr>
          <w:w w:val="100"/>
        </w:rPr>
        <w:t> </w:t>
      </w:r>
      <w:r>
        <w:rPr/>
        <w:t>de las ciudades centrales, en los municipios intermedios de las zonas </w:t>
      </w:r>
      <w:r>
        <w:rPr>
          <w:spacing w:val="15"/>
        </w:rPr>
        <w:t> </w:t>
      </w:r>
      <w:r>
        <w:rPr/>
        <w:t>metropolitanas.</w:t>
      </w:r>
    </w:p>
    <w:p>
      <w:pPr>
        <w:pStyle w:val="BodyText"/>
        <w:spacing w:before="11"/>
      </w:pPr>
    </w:p>
    <w:p>
      <w:pPr>
        <w:pStyle w:val="BodyText"/>
        <w:spacing w:line="249" w:lineRule="auto"/>
        <w:ind w:left="117" w:right="128" w:firstLine="170"/>
        <w:jc w:val="both"/>
      </w:pPr>
      <w:r>
        <w:rPr/>
        <w:t>El desarrollo habitacional bajo la figura jurídica del conjunto urbano habitacional, representa un modelo morfológicamente disperso y separado, que se agrava con la distancia y tiempo que tienen que recorrer sus habitantes para acceder diariamente a los</w:t>
      </w:r>
      <w:r>
        <w:rPr>
          <w:spacing w:val="-14"/>
        </w:rPr>
        <w:t> </w:t>
      </w:r>
      <w:r>
        <w:rPr/>
        <w:t>empleos,</w:t>
      </w:r>
      <w:r>
        <w:rPr>
          <w:spacing w:val="-14"/>
        </w:rPr>
        <w:t> </w:t>
      </w:r>
      <w:r>
        <w:rPr/>
        <w:t>comercios,</w:t>
      </w:r>
      <w:r>
        <w:rPr>
          <w:spacing w:val="-14"/>
        </w:rPr>
        <w:t> </w:t>
      </w:r>
      <w:r>
        <w:rPr/>
        <w:t>escuelas</w:t>
      </w:r>
      <w:r>
        <w:rPr>
          <w:spacing w:val="-14"/>
        </w:rPr>
        <w:t> </w:t>
      </w:r>
      <w:r>
        <w:rPr/>
        <w:t>y</w:t>
      </w:r>
      <w:r>
        <w:rPr>
          <w:spacing w:val="-14"/>
        </w:rPr>
        <w:t> </w:t>
      </w:r>
      <w:r>
        <w:rPr/>
        <w:t>lugares</w:t>
      </w:r>
      <w:r>
        <w:rPr>
          <w:spacing w:val="-14"/>
        </w:rPr>
        <w:t> </w:t>
      </w:r>
      <w:r>
        <w:rPr/>
        <w:t>de</w:t>
      </w:r>
      <w:r>
        <w:rPr>
          <w:spacing w:val="-14"/>
        </w:rPr>
        <w:t> </w:t>
      </w:r>
      <w:r>
        <w:rPr/>
        <w:t>entretenimiento,</w:t>
      </w:r>
      <w:r>
        <w:rPr>
          <w:spacing w:val="-14"/>
        </w:rPr>
        <w:t> </w:t>
      </w:r>
      <w:r>
        <w:rPr/>
        <w:t>entre</w:t>
      </w:r>
      <w:r>
        <w:rPr>
          <w:spacing w:val="-14"/>
        </w:rPr>
        <w:t> </w:t>
      </w:r>
      <w:r>
        <w:rPr/>
        <w:t>otros.</w:t>
      </w:r>
      <w:r>
        <w:rPr>
          <w:spacing w:val="-14"/>
        </w:rPr>
        <w:t> </w:t>
      </w:r>
      <w:r>
        <w:rPr/>
        <w:t>Eibenschutz y</w:t>
      </w:r>
      <w:r>
        <w:rPr>
          <w:spacing w:val="-16"/>
        </w:rPr>
        <w:t> </w:t>
      </w:r>
      <w:r>
        <w:rPr/>
        <w:t>Goya</w:t>
      </w:r>
      <w:r>
        <w:rPr>
          <w:spacing w:val="-16"/>
        </w:rPr>
        <w:t> </w:t>
      </w:r>
      <w:r>
        <w:rPr/>
        <w:t>(2009)</w:t>
      </w:r>
      <w:r>
        <w:rPr>
          <w:spacing w:val="-16"/>
        </w:rPr>
        <w:t> </w:t>
      </w:r>
      <w:r>
        <w:rPr/>
        <w:t>señalan:</w:t>
      </w:r>
    </w:p>
    <w:p>
      <w:pPr>
        <w:pStyle w:val="BodyText"/>
        <w:spacing w:before="11"/>
      </w:pPr>
    </w:p>
    <w:p>
      <w:pPr>
        <w:spacing w:line="249" w:lineRule="auto" w:before="0"/>
        <w:ind w:left="741" w:right="751" w:firstLine="170"/>
        <w:jc w:val="both"/>
        <w:rPr>
          <w:i/>
          <w:sz w:val="20"/>
        </w:rPr>
      </w:pPr>
      <w:r>
        <w:rPr>
          <w:i/>
          <w:sz w:val="20"/>
        </w:rPr>
        <w:t>“Entre</w:t>
      </w:r>
      <w:r>
        <w:rPr>
          <w:i/>
          <w:spacing w:val="-4"/>
          <w:sz w:val="20"/>
        </w:rPr>
        <w:t> </w:t>
      </w:r>
      <w:r>
        <w:rPr>
          <w:i/>
          <w:sz w:val="20"/>
        </w:rPr>
        <w:t>los</w:t>
      </w:r>
      <w:r>
        <w:rPr>
          <w:i/>
          <w:spacing w:val="-4"/>
          <w:sz w:val="20"/>
        </w:rPr>
        <w:t> </w:t>
      </w:r>
      <w:r>
        <w:rPr>
          <w:i/>
          <w:sz w:val="20"/>
        </w:rPr>
        <w:t>aspectos</w:t>
      </w:r>
      <w:r>
        <w:rPr>
          <w:i/>
          <w:spacing w:val="-4"/>
          <w:sz w:val="20"/>
        </w:rPr>
        <w:t> </w:t>
      </w:r>
      <w:r>
        <w:rPr>
          <w:i/>
          <w:sz w:val="20"/>
        </w:rPr>
        <w:t>que</w:t>
      </w:r>
      <w:r>
        <w:rPr>
          <w:i/>
          <w:spacing w:val="-4"/>
          <w:sz w:val="20"/>
        </w:rPr>
        <w:t> </w:t>
      </w:r>
      <w:r>
        <w:rPr>
          <w:i/>
          <w:sz w:val="20"/>
        </w:rPr>
        <w:t>resaltan</w:t>
      </w:r>
      <w:r>
        <w:rPr>
          <w:i/>
          <w:spacing w:val="-4"/>
          <w:sz w:val="20"/>
        </w:rPr>
        <w:t> </w:t>
      </w:r>
      <w:r>
        <w:rPr>
          <w:i/>
          <w:sz w:val="20"/>
        </w:rPr>
        <w:t>respecto</w:t>
      </w:r>
      <w:r>
        <w:rPr>
          <w:i/>
          <w:spacing w:val="-4"/>
          <w:sz w:val="20"/>
        </w:rPr>
        <w:t> </w:t>
      </w:r>
      <w:r>
        <w:rPr>
          <w:i/>
          <w:sz w:val="20"/>
        </w:rPr>
        <w:t>a</w:t>
      </w:r>
      <w:r>
        <w:rPr>
          <w:i/>
          <w:spacing w:val="-4"/>
          <w:sz w:val="20"/>
        </w:rPr>
        <w:t> </w:t>
      </w:r>
      <w:r>
        <w:rPr>
          <w:i/>
          <w:sz w:val="20"/>
        </w:rPr>
        <w:t>los</w:t>
      </w:r>
      <w:r>
        <w:rPr>
          <w:i/>
          <w:spacing w:val="-4"/>
          <w:sz w:val="20"/>
        </w:rPr>
        <w:t> </w:t>
      </w:r>
      <w:r>
        <w:rPr>
          <w:i/>
          <w:sz w:val="20"/>
        </w:rPr>
        <w:t>desarrollos</w:t>
      </w:r>
      <w:r>
        <w:rPr>
          <w:i/>
          <w:spacing w:val="-4"/>
          <w:sz w:val="20"/>
        </w:rPr>
        <w:t> </w:t>
      </w:r>
      <w:r>
        <w:rPr>
          <w:i/>
          <w:sz w:val="20"/>
        </w:rPr>
        <w:t>de</w:t>
      </w:r>
      <w:r>
        <w:rPr>
          <w:i/>
          <w:spacing w:val="-4"/>
          <w:sz w:val="20"/>
        </w:rPr>
        <w:t> </w:t>
      </w:r>
      <w:r>
        <w:rPr>
          <w:i/>
          <w:sz w:val="20"/>
        </w:rPr>
        <w:t>vivienda, </w:t>
      </w:r>
      <w:r>
        <w:rPr>
          <w:i/>
          <w:sz w:val="20"/>
        </w:rPr>
        <w:t>se encuentra su ubicación distante de las ciudades, su poca relación con los instrumentos normativos de planeación local y regional, su masividad y</w:t>
      </w:r>
      <w:r>
        <w:rPr>
          <w:i/>
          <w:spacing w:val="-4"/>
          <w:sz w:val="20"/>
        </w:rPr>
        <w:t> </w:t>
      </w:r>
      <w:r>
        <w:rPr>
          <w:i/>
          <w:sz w:val="20"/>
        </w:rPr>
        <w:t>gran</w:t>
      </w:r>
      <w:r>
        <w:rPr>
          <w:i/>
          <w:spacing w:val="-4"/>
          <w:sz w:val="20"/>
        </w:rPr>
        <w:t> </w:t>
      </w:r>
      <w:r>
        <w:rPr>
          <w:i/>
          <w:sz w:val="20"/>
        </w:rPr>
        <w:t>escala,</w:t>
      </w:r>
      <w:r>
        <w:rPr>
          <w:i/>
          <w:spacing w:val="-4"/>
          <w:sz w:val="20"/>
        </w:rPr>
        <w:t> </w:t>
      </w:r>
      <w:r>
        <w:rPr>
          <w:i/>
          <w:sz w:val="20"/>
        </w:rPr>
        <w:t>su</w:t>
      </w:r>
      <w:r>
        <w:rPr>
          <w:i/>
          <w:spacing w:val="-4"/>
          <w:sz w:val="20"/>
        </w:rPr>
        <w:t> </w:t>
      </w:r>
      <w:r>
        <w:rPr>
          <w:i/>
          <w:sz w:val="20"/>
        </w:rPr>
        <w:t>diseño</w:t>
      </w:r>
      <w:r>
        <w:rPr>
          <w:i/>
          <w:spacing w:val="-4"/>
          <w:sz w:val="20"/>
        </w:rPr>
        <w:t> </w:t>
      </w:r>
      <w:r>
        <w:rPr>
          <w:i/>
          <w:sz w:val="20"/>
        </w:rPr>
        <w:t>urbano</w:t>
      </w:r>
      <w:r>
        <w:rPr>
          <w:i/>
          <w:spacing w:val="-4"/>
          <w:sz w:val="20"/>
        </w:rPr>
        <w:t> </w:t>
      </w:r>
      <w:r>
        <w:rPr>
          <w:i/>
          <w:sz w:val="20"/>
        </w:rPr>
        <w:t>que</w:t>
      </w:r>
      <w:r>
        <w:rPr>
          <w:i/>
          <w:spacing w:val="-4"/>
          <w:sz w:val="20"/>
        </w:rPr>
        <w:t> </w:t>
      </w:r>
      <w:r>
        <w:rPr>
          <w:i/>
          <w:sz w:val="20"/>
        </w:rPr>
        <w:t>los</w:t>
      </w:r>
      <w:r>
        <w:rPr>
          <w:i/>
          <w:spacing w:val="-4"/>
          <w:sz w:val="20"/>
        </w:rPr>
        <w:t> </w:t>
      </w:r>
      <w:r>
        <w:rPr>
          <w:i/>
          <w:sz w:val="20"/>
        </w:rPr>
        <w:t>aísla</w:t>
      </w:r>
      <w:r>
        <w:rPr>
          <w:i/>
          <w:spacing w:val="-4"/>
          <w:sz w:val="20"/>
        </w:rPr>
        <w:t> </w:t>
      </w:r>
      <w:r>
        <w:rPr>
          <w:i/>
          <w:sz w:val="20"/>
        </w:rPr>
        <w:t>del</w:t>
      </w:r>
      <w:r>
        <w:rPr>
          <w:i/>
          <w:spacing w:val="-4"/>
          <w:sz w:val="20"/>
        </w:rPr>
        <w:t> </w:t>
      </w:r>
      <w:r>
        <w:rPr>
          <w:i/>
          <w:sz w:val="20"/>
        </w:rPr>
        <w:t>entorno</w:t>
      </w:r>
      <w:r>
        <w:rPr>
          <w:i/>
          <w:spacing w:val="-4"/>
          <w:sz w:val="20"/>
        </w:rPr>
        <w:t> </w:t>
      </w:r>
      <w:r>
        <w:rPr>
          <w:i/>
          <w:sz w:val="20"/>
        </w:rPr>
        <w:t>y</w:t>
      </w:r>
      <w:r>
        <w:rPr>
          <w:i/>
          <w:spacing w:val="-4"/>
          <w:sz w:val="20"/>
        </w:rPr>
        <w:t> </w:t>
      </w:r>
      <w:r>
        <w:rPr>
          <w:i/>
          <w:sz w:val="20"/>
        </w:rPr>
        <w:t>de</w:t>
      </w:r>
      <w:r>
        <w:rPr>
          <w:i/>
          <w:spacing w:val="-4"/>
          <w:sz w:val="20"/>
        </w:rPr>
        <w:t> </w:t>
      </w:r>
      <w:r>
        <w:rPr>
          <w:i/>
          <w:sz w:val="20"/>
        </w:rPr>
        <w:t>la</w:t>
      </w:r>
      <w:r>
        <w:rPr>
          <w:i/>
          <w:spacing w:val="-4"/>
          <w:sz w:val="20"/>
        </w:rPr>
        <w:t> </w:t>
      </w:r>
      <w:r>
        <w:rPr>
          <w:i/>
          <w:sz w:val="20"/>
        </w:rPr>
        <w:t>ciudad</w:t>
      </w:r>
      <w:r>
        <w:rPr>
          <w:i/>
          <w:spacing w:val="-4"/>
          <w:sz w:val="20"/>
        </w:rPr>
        <w:t> </w:t>
      </w:r>
      <w:r>
        <w:rPr>
          <w:i/>
          <w:sz w:val="20"/>
        </w:rPr>
        <w:t>y hace impracticable la integración de la traza</w:t>
      </w:r>
      <w:r>
        <w:rPr>
          <w:i/>
          <w:spacing w:val="9"/>
          <w:sz w:val="20"/>
        </w:rPr>
        <w:t> </w:t>
      </w:r>
      <w:r>
        <w:rPr>
          <w:i/>
          <w:sz w:val="20"/>
        </w:rPr>
        <w:t>urbana”</w:t>
      </w:r>
    </w:p>
    <w:p>
      <w:pPr>
        <w:pStyle w:val="BodyText"/>
        <w:spacing w:before="11"/>
        <w:rPr>
          <w:i/>
        </w:rPr>
      </w:pPr>
    </w:p>
    <w:p>
      <w:pPr>
        <w:pStyle w:val="BodyText"/>
        <w:spacing w:line="249" w:lineRule="auto"/>
        <w:ind w:left="117" w:right="127" w:firstLine="170"/>
        <w:jc w:val="both"/>
      </w:pPr>
      <w:r>
        <w:rPr/>
        <w:t>La</w:t>
      </w:r>
      <w:r>
        <w:rPr>
          <w:spacing w:val="-10"/>
        </w:rPr>
        <w:t> </w:t>
      </w:r>
      <w:r>
        <w:rPr/>
        <w:t>característica</w:t>
      </w:r>
      <w:r>
        <w:rPr>
          <w:spacing w:val="-10"/>
        </w:rPr>
        <w:t> </w:t>
      </w:r>
      <w:r>
        <w:rPr/>
        <w:t>de</w:t>
      </w:r>
      <w:r>
        <w:rPr>
          <w:spacing w:val="-10"/>
        </w:rPr>
        <w:t> </w:t>
      </w:r>
      <w:r>
        <w:rPr/>
        <w:t>los</w:t>
      </w:r>
      <w:r>
        <w:rPr>
          <w:spacing w:val="-10"/>
        </w:rPr>
        <w:t> </w:t>
      </w:r>
      <w:r>
        <w:rPr/>
        <w:t>conjuntos</w:t>
      </w:r>
      <w:r>
        <w:rPr>
          <w:spacing w:val="-10"/>
        </w:rPr>
        <w:t> </w:t>
      </w:r>
      <w:r>
        <w:rPr/>
        <w:t>urbanos</w:t>
      </w:r>
      <w:r>
        <w:rPr>
          <w:spacing w:val="-10"/>
        </w:rPr>
        <w:t> </w:t>
      </w:r>
      <w:r>
        <w:rPr/>
        <w:t>habitacionales</w:t>
      </w:r>
      <w:r>
        <w:rPr>
          <w:spacing w:val="-10"/>
        </w:rPr>
        <w:t> </w:t>
      </w:r>
      <w:r>
        <w:rPr/>
        <w:t>desarrollados</w:t>
      </w:r>
      <w:r>
        <w:rPr>
          <w:spacing w:val="-10"/>
        </w:rPr>
        <w:t> </w:t>
      </w:r>
      <w:r>
        <w:rPr/>
        <w:t>por</w:t>
      </w:r>
      <w:r>
        <w:rPr>
          <w:spacing w:val="-10"/>
        </w:rPr>
        <w:t> </w:t>
      </w:r>
      <w:r>
        <w:rPr/>
        <w:t>empresas inmobiliarias es su localización en las periferias de las zonas metropolitanas, en donde se encuentra una mayor disponibilidad de suelo barato. Su forma de emplazamiento y falta</w:t>
      </w:r>
      <w:r>
        <w:rPr>
          <w:spacing w:val="-3"/>
        </w:rPr>
        <w:t> </w:t>
      </w:r>
      <w:r>
        <w:rPr/>
        <w:t>de</w:t>
      </w:r>
      <w:r>
        <w:rPr>
          <w:spacing w:val="-3"/>
        </w:rPr>
        <w:t> </w:t>
      </w:r>
      <w:r>
        <w:rPr/>
        <w:t>relación</w:t>
      </w:r>
      <w:r>
        <w:rPr>
          <w:spacing w:val="-3"/>
        </w:rPr>
        <w:t> </w:t>
      </w:r>
      <w:r>
        <w:rPr/>
        <w:t>con</w:t>
      </w:r>
      <w:r>
        <w:rPr>
          <w:spacing w:val="-3"/>
        </w:rPr>
        <w:t> </w:t>
      </w:r>
      <w:r>
        <w:rPr/>
        <w:t>el</w:t>
      </w:r>
      <w:r>
        <w:rPr>
          <w:spacing w:val="-3"/>
        </w:rPr>
        <w:t> </w:t>
      </w:r>
      <w:r>
        <w:rPr/>
        <w:t>resto</w:t>
      </w:r>
      <w:r>
        <w:rPr>
          <w:spacing w:val="-3"/>
        </w:rPr>
        <w:t> </w:t>
      </w:r>
      <w:r>
        <w:rPr/>
        <w:t>de</w:t>
      </w:r>
      <w:r>
        <w:rPr>
          <w:spacing w:val="-3"/>
        </w:rPr>
        <w:t> </w:t>
      </w:r>
      <w:r>
        <w:rPr/>
        <w:t>la</w:t>
      </w:r>
      <w:r>
        <w:rPr>
          <w:spacing w:val="-3"/>
        </w:rPr>
        <w:t> </w:t>
      </w:r>
      <w:r>
        <w:rPr/>
        <w:t>ciudad</w:t>
      </w:r>
      <w:r>
        <w:rPr>
          <w:spacing w:val="-3"/>
        </w:rPr>
        <w:t> </w:t>
      </w:r>
      <w:r>
        <w:rPr/>
        <w:t>y</w:t>
      </w:r>
      <w:r>
        <w:rPr>
          <w:spacing w:val="-3"/>
        </w:rPr>
        <w:t> </w:t>
      </w:r>
      <w:r>
        <w:rPr/>
        <w:t>el</w:t>
      </w:r>
      <w:r>
        <w:rPr>
          <w:spacing w:val="-3"/>
        </w:rPr>
        <w:t> </w:t>
      </w:r>
      <w:r>
        <w:rPr/>
        <w:t>origen</w:t>
      </w:r>
      <w:r>
        <w:rPr>
          <w:spacing w:val="-3"/>
        </w:rPr>
        <w:t> </w:t>
      </w:r>
      <w:r>
        <w:rPr/>
        <w:t>de</w:t>
      </w:r>
      <w:r>
        <w:rPr>
          <w:spacing w:val="-3"/>
        </w:rPr>
        <w:t> </w:t>
      </w:r>
      <w:r>
        <w:rPr/>
        <w:t>los</w:t>
      </w:r>
      <w:r>
        <w:rPr>
          <w:spacing w:val="-3"/>
        </w:rPr>
        <w:t> </w:t>
      </w:r>
      <w:r>
        <w:rPr/>
        <w:t>habitantes,</w:t>
      </w:r>
      <w:r>
        <w:rPr>
          <w:spacing w:val="-3"/>
        </w:rPr>
        <w:t> </w:t>
      </w:r>
      <w:r>
        <w:rPr/>
        <w:t>indican</w:t>
      </w:r>
      <w:r>
        <w:rPr>
          <w:spacing w:val="-3"/>
        </w:rPr>
        <w:t> </w:t>
      </w:r>
      <w:r>
        <w:rPr/>
        <w:t>una</w:t>
      </w:r>
      <w:r>
        <w:rPr>
          <w:spacing w:val="-3"/>
        </w:rPr>
        <w:t> </w:t>
      </w:r>
      <w:r>
        <w:rPr/>
        <w:t>nula visión metropolitana, así como la utilización de esquemas altamente especulativos con relación al suelo, que no logran ser compensados dada la debilidad institucional y de gestión de las autoridades locales; todo ello repercute negativamente en los diversos rubros de funcionalidad urbana y de índole social tanto para los habitantes de los conjuntos como los de la ciudad, contraviniendo así los principios asociados con el desarrollo sustentable de las ciudades (Eibenschutz y Goya, 2009).</w:t>
      </w:r>
    </w:p>
    <w:p>
      <w:pPr>
        <w:spacing w:after="0" w:line="249" w:lineRule="auto"/>
        <w:jc w:val="both"/>
        <w:sectPr>
          <w:type w:val="continuous"/>
          <w:pgSz w:w="18830" w:h="12760" w:orient="landscape"/>
          <w:pgMar w:top="1420" w:bottom="280" w:left="720" w:right="720"/>
          <w:cols w:num="2" w:equalWidth="0">
            <w:col w:w="7829" w:space="1594"/>
            <w:col w:w="7967"/>
          </w:cols>
        </w:sectPr>
      </w:pPr>
    </w:p>
    <w:p>
      <w:pPr>
        <w:pStyle w:val="BodyText"/>
        <w:spacing w:before="6"/>
        <w:rPr>
          <w:sz w:val="23"/>
        </w:rPr>
      </w:pPr>
    </w:p>
    <w:p>
      <w:pPr>
        <w:spacing w:after="0"/>
        <w:rPr>
          <w:sz w:val="23"/>
        </w:rPr>
        <w:sectPr>
          <w:footerReference w:type="default" r:id="rId471"/>
          <w:pgSz w:w="18830" w:h="12760" w:orient="landscape"/>
          <w:pgMar w:footer="1036" w:header="522" w:top="820" w:bottom="1220" w:left="720" w:right="720"/>
        </w:sectPr>
      </w:pPr>
    </w:p>
    <w:p>
      <w:pPr>
        <w:pStyle w:val="BodyText"/>
        <w:spacing w:line="249" w:lineRule="auto" w:before="76"/>
        <w:ind w:left="131" w:firstLine="170"/>
        <w:jc w:val="both"/>
      </w:pPr>
      <w:r>
        <w:rPr/>
        <w:t>Estos inmensos conjuntos se caracterizan porque no vienen acompañados de grandes obras de infraestructura vial y de servicios que se requieren para proyectos  de tales dimensiones; sin embargo, tienen una influencia determinante en el proceso de expansión urbana (Esquivel, 2006), que se manifiesta en una vulnerabilidad en su funcionamiento y que repercuten en problemas relacionados con la ordenación del territorio, movilidad urbana, infraestructura y medio </w:t>
      </w:r>
      <w:r>
        <w:rPr>
          <w:spacing w:val="13"/>
        </w:rPr>
        <w:t> </w:t>
      </w:r>
      <w:r>
        <w:rPr/>
        <w:t>ambiente.</w:t>
      </w:r>
    </w:p>
    <w:p>
      <w:pPr>
        <w:pStyle w:val="BodyText"/>
        <w:spacing w:before="11"/>
      </w:pPr>
    </w:p>
    <w:p>
      <w:pPr>
        <w:pStyle w:val="BodyText"/>
        <w:spacing w:line="249" w:lineRule="auto"/>
        <w:ind w:left="131" w:firstLine="170"/>
        <w:jc w:val="both"/>
      </w:pPr>
      <w:r>
        <w:rPr/>
        <w:t>En este sentido, para el presente análisis, entendemos por vulnerabilidad al sistema en el que los procesos cíclicos (no lineales) que subyacen del mismo afectan a los factores estructurales y no estructurales de vulnerabilidad, en una comunidad o grupo humano en particular (Maskrey, 1989; Medina &amp; Romero, 1992). Estos factores, según Chardon (2008: 9), “pertenecen a campos físico-naturales, ecológicos, sociales, económicos, físico-espaciales, territoriales, tecnológicos, culturales, educativos, funcionales, político-institucionales y administrativos o coyunturales principalmente”, y se hacen particulares a un territorio y grupo humano debido a la sinergia generada por sus interrelaciones. La vulnerabilidad existe en todos los niveles y dimensiones de la sociedad y es parte integrante de la condición humana, por lo que afecta tanto a cada persona como a la sociedad en su totalidad (Naciones Unidas 2003: 8)</w:t>
      </w:r>
    </w:p>
    <w:p>
      <w:pPr>
        <w:pStyle w:val="BodyText"/>
        <w:spacing w:before="11"/>
      </w:pPr>
    </w:p>
    <w:p>
      <w:pPr>
        <w:pStyle w:val="BodyText"/>
        <w:spacing w:line="249" w:lineRule="auto"/>
        <w:ind w:left="131" w:firstLine="170"/>
        <w:jc w:val="both"/>
      </w:pPr>
      <w:r>
        <w:rPr/>
        <w:t>En términos territoriales,  la  vulnerabilidad  urbana  se  refiere  a  la  potencialidad  de que la población de un determinado espacio urbano concreto sea afectada por alguna(s) circunstancia(s) adversa(s), alude no tanto a la existencia de una situación crítica constatada en la actualidad como a la de unas determinadas condiciones de riesgo, fragilidad y desventaja que harían posible la entrada en esa situación crítica de desfavorecimiento, entendido éste como “la materialización de dicho riesgo en una situación de exclusión ya consolidada” (Bruquetas, Moreno, Walliser 2005:</w:t>
      </w:r>
      <w:r>
        <w:rPr>
          <w:spacing w:val="45"/>
        </w:rPr>
        <w:t> </w:t>
      </w:r>
      <w:r>
        <w:rPr/>
        <w:t>11).</w:t>
      </w:r>
    </w:p>
    <w:p>
      <w:pPr>
        <w:pStyle w:val="BodyText"/>
        <w:spacing w:before="11"/>
      </w:pPr>
    </w:p>
    <w:p>
      <w:pPr>
        <w:pStyle w:val="BodyText"/>
        <w:spacing w:line="249" w:lineRule="auto"/>
        <w:ind w:left="131" w:firstLine="170"/>
        <w:jc w:val="both"/>
      </w:pPr>
      <w:r>
        <w:rPr/>
        <w:t>Los estudios relacionados con la producción de vivienda por parte de los promotores privados,</w:t>
      </w:r>
      <w:r>
        <w:rPr>
          <w:spacing w:val="-15"/>
        </w:rPr>
        <w:t> </w:t>
      </w:r>
      <w:r>
        <w:rPr/>
        <w:t>a</w:t>
      </w:r>
      <w:r>
        <w:rPr>
          <w:spacing w:val="-15"/>
        </w:rPr>
        <w:t> </w:t>
      </w:r>
      <w:r>
        <w:rPr/>
        <w:t>través</w:t>
      </w:r>
      <w:r>
        <w:rPr>
          <w:spacing w:val="-15"/>
        </w:rPr>
        <w:t> </w:t>
      </w:r>
      <w:r>
        <w:rPr/>
        <w:t>de</w:t>
      </w:r>
      <w:r>
        <w:rPr>
          <w:spacing w:val="-15"/>
        </w:rPr>
        <w:t> </w:t>
      </w:r>
      <w:r>
        <w:rPr/>
        <w:t>sistemas</w:t>
      </w:r>
      <w:r>
        <w:rPr>
          <w:spacing w:val="-15"/>
        </w:rPr>
        <w:t> </w:t>
      </w:r>
      <w:r>
        <w:rPr/>
        <w:t>de</w:t>
      </w:r>
      <w:r>
        <w:rPr>
          <w:spacing w:val="-15"/>
        </w:rPr>
        <w:t> </w:t>
      </w:r>
      <w:r>
        <w:rPr/>
        <w:t>tipo</w:t>
      </w:r>
      <w:r>
        <w:rPr>
          <w:spacing w:val="-15"/>
        </w:rPr>
        <w:t> </w:t>
      </w:r>
      <w:r>
        <w:rPr/>
        <w:t>industrial,</w:t>
      </w:r>
      <w:r>
        <w:rPr>
          <w:spacing w:val="-15"/>
        </w:rPr>
        <w:t> </w:t>
      </w:r>
      <w:r>
        <w:rPr/>
        <w:t>determinan</w:t>
      </w:r>
      <w:r>
        <w:rPr>
          <w:spacing w:val="-15"/>
        </w:rPr>
        <w:t> </w:t>
      </w:r>
      <w:r>
        <w:rPr/>
        <w:t>un</w:t>
      </w:r>
      <w:r>
        <w:rPr>
          <w:spacing w:val="-15"/>
        </w:rPr>
        <w:t> </w:t>
      </w:r>
      <w:r>
        <w:rPr/>
        <w:t>proceso</w:t>
      </w:r>
      <w:r>
        <w:rPr>
          <w:spacing w:val="-15"/>
        </w:rPr>
        <w:t> </w:t>
      </w:r>
      <w:r>
        <w:rPr/>
        <w:t>de</w:t>
      </w:r>
      <w:r>
        <w:rPr>
          <w:spacing w:val="-15"/>
        </w:rPr>
        <w:t> </w:t>
      </w:r>
      <w:r>
        <w:rPr/>
        <w:t>ocupación</w:t>
      </w:r>
      <w:r>
        <w:rPr>
          <w:spacing w:val="-15"/>
        </w:rPr>
        <w:t> </w:t>
      </w:r>
      <w:r>
        <w:rPr/>
        <w:t>en la</w:t>
      </w:r>
      <w:r>
        <w:rPr>
          <w:spacing w:val="-4"/>
        </w:rPr>
        <w:t> </w:t>
      </w:r>
      <w:r>
        <w:rPr/>
        <w:t>periferia</w:t>
      </w:r>
      <w:r>
        <w:rPr>
          <w:spacing w:val="-4"/>
        </w:rPr>
        <w:t> </w:t>
      </w:r>
      <w:r>
        <w:rPr/>
        <w:t>de</w:t>
      </w:r>
      <w:r>
        <w:rPr>
          <w:spacing w:val="-4"/>
        </w:rPr>
        <w:t> </w:t>
      </w:r>
      <w:r>
        <w:rPr/>
        <w:t>las</w:t>
      </w:r>
      <w:r>
        <w:rPr>
          <w:spacing w:val="-4"/>
        </w:rPr>
        <w:t> </w:t>
      </w:r>
      <w:r>
        <w:rPr/>
        <w:t>zonas</w:t>
      </w:r>
      <w:r>
        <w:rPr>
          <w:spacing w:val="-4"/>
        </w:rPr>
        <w:t> </w:t>
      </w:r>
      <w:r>
        <w:rPr/>
        <w:t>metropolitanas,</w:t>
      </w:r>
      <w:r>
        <w:rPr>
          <w:spacing w:val="-4"/>
        </w:rPr>
        <w:t> </w:t>
      </w:r>
      <w:r>
        <w:rPr/>
        <w:t>en</w:t>
      </w:r>
      <w:r>
        <w:rPr>
          <w:spacing w:val="-4"/>
        </w:rPr>
        <w:t> </w:t>
      </w:r>
      <w:r>
        <w:rPr/>
        <w:t>el</w:t>
      </w:r>
      <w:r>
        <w:rPr>
          <w:spacing w:val="-4"/>
        </w:rPr>
        <w:t> </w:t>
      </w:r>
      <w:r>
        <w:rPr/>
        <w:t>que</w:t>
      </w:r>
      <w:r>
        <w:rPr>
          <w:spacing w:val="-4"/>
        </w:rPr>
        <w:t> </w:t>
      </w:r>
      <w:r>
        <w:rPr/>
        <w:t>los</w:t>
      </w:r>
      <w:r>
        <w:rPr>
          <w:spacing w:val="-4"/>
        </w:rPr>
        <w:t> </w:t>
      </w:r>
      <w:r>
        <w:rPr/>
        <w:t>conjuntos</w:t>
      </w:r>
      <w:r>
        <w:rPr>
          <w:spacing w:val="-4"/>
        </w:rPr>
        <w:t> </w:t>
      </w:r>
      <w:r>
        <w:rPr/>
        <w:t>urbanos</w:t>
      </w:r>
      <w:r>
        <w:rPr>
          <w:spacing w:val="-4"/>
        </w:rPr>
        <w:t> </w:t>
      </w:r>
      <w:r>
        <w:rPr/>
        <w:t>habitacionales son la principal forma de desarrollo, sin embargo, estos estudios se dirigen</w:t>
      </w:r>
      <w:r>
        <w:rPr>
          <w:spacing w:val="-18"/>
        </w:rPr>
        <w:t> </w:t>
      </w:r>
      <w:r>
        <w:rPr/>
        <w:t>únicamente al análisis de los procesos de producción masiva mediante procesos capitalistas, no obstante no logran ventilar la vulnerabilidad y funcionalidad una vez que son habitados por la</w:t>
      </w:r>
      <w:r>
        <w:rPr>
          <w:spacing w:val="32"/>
        </w:rPr>
        <w:t> </w:t>
      </w:r>
      <w:r>
        <w:rPr/>
        <w:t>población.</w:t>
      </w:r>
    </w:p>
    <w:p>
      <w:pPr>
        <w:pStyle w:val="BodyText"/>
        <w:spacing w:before="11"/>
      </w:pPr>
    </w:p>
    <w:p>
      <w:pPr>
        <w:pStyle w:val="BodyText"/>
        <w:spacing w:line="249" w:lineRule="auto"/>
        <w:ind w:left="131" w:right="1" w:firstLine="170"/>
        <w:jc w:val="both"/>
      </w:pPr>
      <w:r>
        <w:rPr/>
        <w:t>La fragmentación urbana, la dispersión espacial, la carencia de infraestructura vial,</w:t>
      </w:r>
      <w:r>
        <w:rPr>
          <w:spacing w:val="-30"/>
        </w:rPr>
        <w:t> </w:t>
      </w:r>
      <w:r>
        <w:rPr/>
        <w:t>la movilidad</w:t>
      </w:r>
      <w:r>
        <w:rPr>
          <w:spacing w:val="-7"/>
        </w:rPr>
        <w:t> </w:t>
      </w:r>
      <w:r>
        <w:rPr/>
        <w:t>urbana,</w:t>
      </w:r>
      <w:r>
        <w:rPr>
          <w:spacing w:val="-7"/>
        </w:rPr>
        <w:t> </w:t>
      </w:r>
      <w:r>
        <w:rPr/>
        <w:t>el</w:t>
      </w:r>
      <w:r>
        <w:rPr>
          <w:spacing w:val="-7"/>
        </w:rPr>
        <w:t> </w:t>
      </w:r>
      <w:r>
        <w:rPr/>
        <w:t>transporte</w:t>
      </w:r>
      <w:r>
        <w:rPr>
          <w:spacing w:val="-7"/>
        </w:rPr>
        <w:t> </w:t>
      </w:r>
      <w:r>
        <w:rPr/>
        <w:t>público</w:t>
      </w:r>
      <w:r>
        <w:rPr>
          <w:spacing w:val="-7"/>
        </w:rPr>
        <w:t> </w:t>
      </w:r>
      <w:r>
        <w:rPr/>
        <w:t>y</w:t>
      </w:r>
      <w:r>
        <w:rPr>
          <w:spacing w:val="-7"/>
        </w:rPr>
        <w:t> </w:t>
      </w:r>
      <w:r>
        <w:rPr/>
        <w:t>la</w:t>
      </w:r>
      <w:r>
        <w:rPr>
          <w:spacing w:val="-7"/>
        </w:rPr>
        <w:t> </w:t>
      </w:r>
      <w:r>
        <w:rPr/>
        <w:t>satisfacción</w:t>
      </w:r>
      <w:r>
        <w:rPr>
          <w:spacing w:val="-7"/>
        </w:rPr>
        <w:t> </w:t>
      </w:r>
      <w:r>
        <w:rPr/>
        <w:t>de</w:t>
      </w:r>
      <w:r>
        <w:rPr>
          <w:spacing w:val="-7"/>
        </w:rPr>
        <w:t> </w:t>
      </w:r>
      <w:r>
        <w:rPr/>
        <w:t>sus</w:t>
      </w:r>
      <w:r>
        <w:rPr>
          <w:spacing w:val="-7"/>
        </w:rPr>
        <w:t> </w:t>
      </w:r>
      <w:r>
        <w:rPr/>
        <w:t>necesidades</w:t>
      </w:r>
      <w:r>
        <w:rPr>
          <w:spacing w:val="-7"/>
        </w:rPr>
        <w:t> </w:t>
      </w:r>
      <w:r>
        <w:rPr/>
        <w:t>de</w:t>
      </w:r>
      <w:r>
        <w:rPr>
          <w:spacing w:val="-7"/>
        </w:rPr>
        <w:t> </w:t>
      </w:r>
      <w:r>
        <w:rPr/>
        <w:t>empleo, equipamientos</w:t>
      </w:r>
      <w:r>
        <w:rPr>
          <w:spacing w:val="-8"/>
        </w:rPr>
        <w:t> </w:t>
      </w:r>
      <w:r>
        <w:rPr/>
        <w:t>de</w:t>
      </w:r>
      <w:r>
        <w:rPr>
          <w:spacing w:val="-8"/>
        </w:rPr>
        <w:t> </w:t>
      </w:r>
      <w:r>
        <w:rPr/>
        <w:t>salud,</w:t>
      </w:r>
      <w:r>
        <w:rPr>
          <w:spacing w:val="-8"/>
        </w:rPr>
        <w:t> </w:t>
      </w:r>
      <w:r>
        <w:rPr/>
        <w:t>comercios</w:t>
      </w:r>
      <w:r>
        <w:rPr>
          <w:spacing w:val="-8"/>
        </w:rPr>
        <w:t> </w:t>
      </w:r>
      <w:r>
        <w:rPr/>
        <w:t>y</w:t>
      </w:r>
      <w:r>
        <w:rPr>
          <w:spacing w:val="-8"/>
        </w:rPr>
        <w:t> </w:t>
      </w:r>
      <w:r>
        <w:rPr/>
        <w:t>servicios,</w:t>
      </w:r>
      <w:r>
        <w:rPr>
          <w:spacing w:val="-8"/>
        </w:rPr>
        <w:t> </w:t>
      </w:r>
      <w:r>
        <w:rPr/>
        <w:t>entre</w:t>
      </w:r>
      <w:r>
        <w:rPr>
          <w:spacing w:val="-8"/>
        </w:rPr>
        <w:t> </w:t>
      </w:r>
      <w:r>
        <w:rPr/>
        <w:t>otros,</w:t>
      </w:r>
      <w:r>
        <w:rPr>
          <w:spacing w:val="-8"/>
        </w:rPr>
        <w:t> </w:t>
      </w:r>
      <w:r>
        <w:rPr/>
        <w:t>son</w:t>
      </w:r>
      <w:r>
        <w:rPr>
          <w:spacing w:val="-8"/>
        </w:rPr>
        <w:t> </w:t>
      </w:r>
      <w:r>
        <w:rPr/>
        <w:t>los</w:t>
      </w:r>
      <w:r>
        <w:rPr>
          <w:spacing w:val="-8"/>
        </w:rPr>
        <w:t> </w:t>
      </w:r>
      <w:r>
        <w:rPr/>
        <w:t>problemas</w:t>
      </w:r>
      <w:r>
        <w:rPr>
          <w:spacing w:val="-8"/>
        </w:rPr>
        <w:t> </w:t>
      </w:r>
      <w:r>
        <w:rPr/>
        <w:t>comunes a los que se enfrenta la población que adquiere y ocupa viviendas desarrolladas en conjuntos habitacionales ubicados en la periferia de las zonas metropolitanas, motivo de la presente</w:t>
      </w:r>
      <w:r>
        <w:rPr>
          <w:spacing w:val="17"/>
        </w:rPr>
        <w:t> </w:t>
      </w:r>
      <w:r>
        <w:rPr/>
        <w:t>investigación.</w:t>
      </w:r>
    </w:p>
    <w:p>
      <w:pPr>
        <w:pStyle w:val="BodyText"/>
        <w:spacing w:line="249" w:lineRule="auto" w:before="76"/>
        <w:ind w:left="131" w:right="129" w:firstLine="170"/>
        <w:jc w:val="both"/>
      </w:pPr>
      <w:r>
        <w:rPr/>
        <w:br w:type="column"/>
      </w:r>
      <w:r>
        <w:rPr/>
        <w:t>La investigación se desarrolla dentro del marco de los estudios de tipo territorial, dirigidos al análisis del proceso de ocupación del suelo urbano, en el que la vivienda constituye una de las necesidades más demandantes de la población en un contexto metropolitano, proceso que se vincula con los agentes público, privado y social. La propuesta establece un modelo de investigación dirigido al análisis de los conjuntos urbanos habitacionales desarrollados en un ámbito metropolitano, a partir de la promoción y desarrollo de vivienda mediante la figura jurídica del conjunto urbano habitacional.</w:t>
      </w:r>
    </w:p>
    <w:p>
      <w:pPr>
        <w:pStyle w:val="BodyText"/>
        <w:spacing w:before="11"/>
      </w:pPr>
    </w:p>
    <w:p>
      <w:pPr>
        <w:pStyle w:val="BodyText"/>
        <w:spacing w:line="249" w:lineRule="auto"/>
        <w:ind w:left="131" w:right="129" w:firstLine="170"/>
        <w:jc w:val="both"/>
      </w:pPr>
      <w:r>
        <w:rPr/>
        <w:t>El</w:t>
      </w:r>
      <w:r>
        <w:rPr>
          <w:spacing w:val="-5"/>
        </w:rPr>
        <w:t> </w:t>
      </w:r>
      <w:r>
        <w:rPr/>
        <w:t>planteamiento</w:t>
      </w:r>
      <w:r>
        <w:rPr>
          <w:spacing w:val="-5"/>
        </w:rPr>
        <w:t> </w:t>
      </w:r>
      <w:r>
        <w:rPr/>
        <w:t>hipotético</w:t>
      </w:r>
      <w:r>
        <w:rPr>
          <w:spacing w:val="-5"/>
        </w:rPr>
        <w:t> </w:t>
      </w:r>
      <w:r>
        <w:rPr/>
        <w:t>de</w:t>
      </w:r>
      <w:r>
        <w:rPr>
          <w:spacing w:val="-5"/>
        </w:rPr>
        <w:t> </w:t>
      </w:r>
      <w:r>
        <w:rPr/>
        <w:t>la</w:t>
      </w:r>
      <w:r>
        <w:rPr>
          <w:spacing w:val="-5"/>
        </w:rPr>
        <w:t> </w:t>
      </w:r>
      <w:r>
        <w:rPr/>
        <w:t>investigación</w:t>
      </w:r>
      <w:r>
        <w:rPr>
          <w:spacing w:val="-5"/>
        </w:rPr>
        <w:t> </w:t>
      </w:r>
      <w:r>
        <w:rPr/>
        <w:t>establece</w:t>
      </w:r>
      <w:r>
        <w:rPr>
          <w:spacing w:val="-5"/>
        </w:rPr>
        <w:t> </w:t>
      </w:r>
      <w:r>
        <w:rPr/>
        <w:t>que</w:t>
      </w:r>
      <w:r>
        <w:rPr>
          <w:spacing w:val="-5"/>
        </w:rPr>
        <w:t> </w:t>
      </w:r>
      <w:r>
        <w:rPr/>
        <w:t>la</w:t>
      </w:r>
      <w:r>
        <w:rPr>
          <w:spacing w:val="-5"/>
        </w:rPr>
        <w:t> </w:t>
      </w:r>
      <w:r>
        <w:rPr/>
        <w:t>oferta</w:t>
      </w:r>
      <w:r>
        <w:rPr>
          <w:spacing w:val="-5"/>
        </w:rPr>
        <w:t> </w:t>
      </w:r>
      <w:r>
        <w:rPr/>
        <w:t>de</w:t>
      </w:r>
      <w:r>
        <w:rPr>
          <w:spacing w:val="-5"/>
        </w:rPr>
        <w:t> </w:t>
      </w:r>
      <w:r>
        <w:rPr/>
        <w:t>vivienda</w:t>
      </w:r>
      <w:r>
        <w:rPr>
          <w:spacing w:val="-5"/>
        </w:rPr>
        <w:t> </w:t>
      </w:r>
      <w:r>
        <w:rPr/>
        <w:t>por parte de las empresas promotoras privadas, mediante el conjunto urbano habitacional, se han desarrollado en terrenos cada vez más distantes de los centros urbanos concentradores</w:t>
      </w:r>
      <w:r>
        <w:rPr>
          <w:spacing w:val="-11"/>
        </w:rPr>
        <w:t> </w:t>
      </w:r>
      <w:r>
        <w:rPr/>
        <w:t>de</w:t>
      </w:r>
      <w:r>
        <w:rPr>
          <w:spacing w:val="-11"/>
        </w:rPr>
        <w:t> </w:t>
      </w:r>
      <w:r>
        <w:rPr/>
        <w:t>servicios,</w:t>
      </w:r>
      <w:r>
        <w:rPr>
          <w:spacing w:val="-11"/>
        </w:rPr>
        <w:t> </w:t>
      </w:r>
      <w:r>
        <w:rPr/>
        <w:t>que</w:t>
      </w:r>
      <w:r>
        <w:rPr>
          <w:spacing w:val="-11"/>
        </w:rPr>
        <w:t> </w:t>
      </w:r>
      <w:r>
        <w:rPr/>
        <w:t>carecen</w:t>
      </w:r>
      <w:r>
        <w:rPr>
          <w:spacing w:val="-11"/>
        </w:rPr>
        <w:t> </w:t>
      </w:r>
      <w:r>
        <w:rPr/>
        <w:t>de</w:t>
      </w:r>
      <w:r>
        <w:rPr>
          <w:spacing w:val="-11"/>
        </w:rPr>
        <w:t> </w:t>
      </w:r>
      <w:r>
        <w:rPr/>
        <w:t>obras</w:t>
      </w:r>
      <w:r>
        <w:rPr>
          <w:spacing w:val="-11"/>
        </w:rPr>
        <w:t> </w:t>
      </w:r>
      <w:r>
        <w:rPr/>
        <w:t>de</w:t>
      </w:r>
      <w:r>
        <w:rPr>
          <w:spacing w:val="-11"/>
        </w:rPr>
        <w:t> </w:t>
      </w:r>
      <w:r>
        <w:rPr/>
        <w:t>infraestructura</w:t>
      </w:r>
      <w:r>
        <w:rPr>
          <w:spacing w:val="-11"/>
        </w:rPr>
        <w:t> </w:t>
      </w:r>
      <w:r>
        <w:rPr/>
        <w:t>vial</w:t>
      </w:r>
      <w:r>
        <w:rPr>
          <w:spacing w:val="-11"/>
        </w:rPr>
        <w:t> </w:t>
      </w:r>
      <w:r>
        <w:rPr/>
        <w:t>y</w:t>
      </w:r>
      <w:r>
        <w:rPr>
          <w:spacing w:val="-11"/>
        </w:rPr>
        <w:t> </w:t>
      </w:r>
      <w:r>
        <w:rPr/>
        <w:t>de</w:t>
      </w:r>
      <w:r>
        <w:rPr>
          <w:spacing w:val="-11"/>
        </w:rPr>
        <w:t> </w:t>
      </w:r>
      <w:r>
        <w:rPr/>
        <w:t>servicios, que determina un potencial de vulnerabilidad urbana, debido a la poca relación con   los instrumentos normativos de planeación municipal y la debilidad institucional y de gestión de las autoridades</w:t>
      </w:r>
      <w:r>
        <w:rPr>
          <w:spacing w:val="27"/>
        </w:rPr>
        <w:t> </w:t>
      </w:r>
      <w:r>
        <w:rPr/>
        <w:t>locales</w:t>
      </w:r>
    </w:p>
    <w:p>
      <w:pPr>
        <w:pStyle w:val="BodyText"/>
        <w:spacing w:before="11"/>
      </w:pPr>
    </w:p>
    <w:p>
      <w:pPr>
        <w:pStyle w:val="BodyText"/>
        <w:spacing w:line="249" w:lineRule="auto"/>
        <w:ind w:left="131" w:right="129" w:firstLine="170"/>
        <w:jc w:val="both"/>
      </w:pPr>
      <w:r>
        <w:rPr/>
        <w:t>El objetivo general de la propuesta propone identificar y desarrollar el fundamento teórico-conceptual y metodológico para formular un sistema de indicadores, que permitan analizar la vulnerabilidad y funcionalidad urbana de los conjuntos urbanos habitacionales desarrollados en la Zona Metropolitana de Toluca. Los objetivos específicos planteados consideran lo siguiente:</w:t>
      </w:r>
    </w:p>
    <w:p>
      <w:pPr>
        <w:pStyle w:val="BodyText"/>
        <w:spacing w:before="8"/>
      </w:pPr>
    </w:p>
    <w:p>
      <w:pPr>
        <w:pStyle w:val="BodyText"/>
        <w:spacing w:line="244" w:lineRule="auto"/>
        <w:ind w:left="754" w:right="129" w:hanging="227"/>
        <w:jc w:val="both"/>
      </w:pPr>
      <w:r>
        <w:rPr>
          <w:rFonts w:ascii="Calibri" w:hAnsi="Calibri"/>
        </w:rPr>
        <w:t>»</w:t>
      </w:r>
      <w:r>
        <w:rPr>
          <w:rFonts w:ascii="Calibri" w:hAnsi="Calibri"/>
          <w:spacing w:val="27"/>
        </w:rPr>
        <w:t> </w:t>
      </w:r>
      <w:r>
        <w:rPr/>
        <w:t>Identificar</w:t>
      </w:r>
      <w:r>
        <w:rPr>
          <w:spacing w:val="-17"/>
        </w:rPr>
        <w:t> </w:t>
      </w:r>
      <w:r>
        <w:rPr/>
        <w:t>los</w:t>
      </w:r>
      <w:r>
        <w:rPr>
          <w:spacing w:val="-17"/>
        </w:rPr>
        <w:t> </w:t>
      </w:r>
      <w:r>
        <w:rPr/>
        <w:t>planteamientos</w:t>
      </w:r>
      <w:r>
        <w:rPr>
          <w:spacing w:val="-17"/>
        </w:rPr>
        <w:t> </w:t>
      </w:r>
      <w:r>
        <w:rPr/>
        <w:t>teóricos</w:t>
      </w:r>
      <w:r>
        <w:rPr>
          <w:spacing w:val="-17"/>
        </w:rPr>
        <w:t> </w:t>
      </w:r>
      <w:r>
        <w:rPr/>
        <w:t>y</w:t>
      </w:r>
      <w:r>
        <w:rPr>
          <w:spacing w:val="-17"/>
        </w:rPr>
        <w:t> </w:t>
      </w:r>
      <w:r>
        <w:rPr/>
        <w:t>conceptuales</w:t>
      </w:r>
      <w:r>
        <w:rPr>
          <w:spacing w:val="-17"/>
        </w:rPr>
        <w:t> </w:t>
      </w:r>
      <w:r>
        <w:rPr/>
        <w:t>para</w:t>
      </w:r>
      <w:r>
        <w:rPr>
          <w:spacing w:val="-17"/>
        </w:rPr>
        <w:t> </w:t>
      </w:r>
      <w:r>
        <w:rPr/>
        <w:t>desarrollar</w:t>
      </w:r>
      <w:r>
        <w:rPr>
          <w:spacing w:val="-17"/>
        </w:rPr>
        <w:t> </w:t>
      </w:r>
      <w:r>
        <w:rPr/>
        <w:t>un</w:t>
      </w:r>
      <w:r>
        <w:rPr>
          <w:spacing w:val="-17"/>
        </w:rPr>
        <w:t> </w:t>
      </w:r>
      <w:r>
        <w:rPr/>
        <w:t>modelo metodológico de investigación en relación al proceso de promoción, producción y vulnerabilidad y funcionalidad de los conjuntos urbanos </w:t>
      </w:r>
      <w:r>
        <w:rPr>
          <w:spacing w:val="22"/>
        </w:rPr>
        <w:t> </w:t>
      </w:r>
      <w:r>
        <w:rPr/>
        <w:t>habitacionales.</w:t>
      </w:r>
    </w:p>
    <w:p>
      <w:pPr>
        <w:pStyle w:val="BodyText"/>
        <w:spacing w:line="247" w:lineRule="auto" w:before="2"/>
        <w:ind w:left="754" w:right="129" w:hanging="227"/>
        <w:jc w:val="both"/>
      </w:pPr>
      <w:r>
        <w:rPr>
          <w:rFonts w:ascii="Calibri" w:hAnsi="Calibri"/>
        </w:rPr>
        <w:t>» </w:t>
      </w:r>
      <w:r>
        <w:rPr/>
        <w:t>Desarrollo de un sistema de indicadores para medir la vulnerabilidad y funcionalidad de los  conjuntos  urbanos  habitacionales,  considerando  factores físico-naturales, ecológicos, sociales, económicos, físico-espaciales, territoriales, tecnológicos, culturales, educativos, funcionales, político- institucionales y administrativos o</w:t>
      </w:r>
      <w:r>
        <w:rPr>
          <w:spacing w:val="54"/>
        </w:rPr>
        <w:t> </w:t>
      </w:r>
      <w:r>
        <w:rPr/>
        <w:t>coyunturales.</w:t>
      </w:r>
    </w:p>
    <w:p>
      <w:pPr>
        <w:pStyle w:val="BodyText"/>
        <w:spacing w:line="247" w:lineRule="auto"/>
        <w:ind w:left="754" w:right="128" w:hanging="227"/>
        <w:jc w:val="both"/>
      </w:pPr>
      <w:r>
        <w:rPr>
          <w:rFonts w:ascii="Calibri" w:hAnsi="Calibri"/>
        </w:rPr>
        <w:t>» </w:t>
      </w:r>
      <w:r>
        <w:rPr/>
        <w:t>Analizar el proceso de promoción y producción de la vivienda a fin de identificar, cuantificar y localizar las acciones habitacionales desarrolladas mediante la figura jurídica del conjunto urbano habitacional, tomando como caso de estudio la Zona Metropolitana de Toluca.</w:t>
      </w:r>
    </w:p>
    <w:p>
      <w:pPr>
        <w:pStyle w:val="BodyText"/>
        <w:spacing w:line="247" w:lineRule="auto"/>
        <w:ind w:left="754" w:right="129" w:hanging="227"/>
        <w:jc w:val="both"/>
      </w:pPr>
      <w:r>
        <w:rPr>
          <w:rFonts w:ascii="Calibri" w:hAnsi="Calibri"/>
        </w:rPr>
        <w:t>»</w:t>
      </w:r>
      <w:r>
        <w:rPr>
          <w:rFonts w:ascii="Calibri" w:hAnsi="Calibri"/>
          <w:spacing w:val="19"/>
        </w:rPr>
        <w:t> </w:t>
      </w:r>
      <w:r>
        <w:rPr/>
        <w:t>Analizar</w:t>
      </w:r>
      <w:r>
        <w:rPr>
          <w:spacing w:val="-21"/>
        </w:rPr>
        <w:t> </w:t>
      </w:r>
      <w:r>
        <w:rPr/>
        <w:t>la</w:t>
      </w:r>
      <w:r>
        <w:rPr>
          <w:spacing w:val="-21"/>
        </w:rPr>
        <w:t> </w:t>
      </w:r>
      <w:r>
        <w:rPr/>
        <w:t>vulnerabilidad</w:t>
      </w:r>
      <w:r>
        <w:rPr>
          <w:spacing w:val="-21"/>
        </w:rPr>
        <w:t> </w:t>
      </w:r>
      <w:r>
        <w:rPr/>
        <w:t>y</w:t>
      </w:r>
      <w:r>
        <w:rPr>
          <w:spacing w:val="-21"/>
        </w:rPr>
        <w:t> </w:t>
      </w:r>
      <w:r>
        <w:rPr/>
        <w:t>funcionalidad</w:t>
      </w:r>
      <w:r>
        <w:rPr>
          <w:spacing w:val="-21"/>
        </w:rPr>
        <w:t> </w:t>
      </w:r>
      <w:r>
        <w:rPr/>
        <w:t>de</w:t>
      </w:r>
      <w:r>
        <w:rPr>
          <w:spacing w:val="-21"/>
        </w:rPr>
        <w:t> </w:t>
      </w:r>
      <w:r>
        <w:rPr/>
        <w:t>los</w:t>
      </w:r>
      <w:r>
        <w:rPr>
          <w:spacing w:val="-21"/>
        </w:rPr>
        <w:t> </w:t>
      </w:r>
      <w:r>
        <w:rPr/>
        <w:t>conjuntos</w:t>
      </w:r>
      <w:r>
        <w:rPr>
          <w:spacing w:val="-21"/>
        </w:rPr>
        <w:t> </w:t>
      </w:r>
      <w:r>
        <w:rPr/>
        <w:t>urbanos</w:t>
      </w:r>
      <w:r>
        <w:rPr>
          <w:spacing w:val="-21"/>
        </w:rPr>
        <w:t> </w:t>
      </w:r>
      <w:r>
        <w:rPr/>
        <w:t>habitacionales desarrollados en la Zona Metropolitana de Toluca mediante indicadores en       el ámbito demográfico, socioeconómico y residencial, que permita priorizar intervenciones de carácter socio-urbanístico por parte de los gobiernos locales, estatales y</w:t>
      </w:r>
      <w:r>
        <w:rPr>
          <w:spacing w:val="-5"/>
        </w:rPr>
        <w:t> </w:t>
      </w:r>
      <w:r>
        <w:rPr/>
        <w:t>federales</w:t>
      </w:r>
    </w:p>
    <w:p>
      <w:pPr>
        <w:spacing w:after="0" w:line="247" w:lineRule="auto"/>
        <w:jc w:val="both"/>
        <w:sectPr>
          <w:type w:val="continuous"/>
          <w:pgSz w:w="18830" w:h="12760" w:orient="landscape"/>
          <w:pgMar w:top="1420" w:bottom="280" w:left="720" w:right="720"/>
          <w:cols w:num="2" w:equalWidth="0">
            <w:col w:w="7843" w:space="1566"/>
            <w:col w:w="7981"/>
          </w:cols>
        </w:sectPr>
      </w:pPr>
    </w:p>
    <w:p>
      <w:pPr>
        <w:pStyle w:val="BodyText"/>
        <w:spacing w:before="8"/>
      </w:pPr>
    </w:p>
    <w:p>
      <w:pPr>
        <w:spacing w:after="0"/>
        <w:sectPr>
          <w:footerReference w:type="default" r:id="rId472"/>
          <w:pgSz w:w="18830" w:h="12760" w:orient="landscape"/>
          <w:pgMar w:footer="1036" w:header="522" w:top="820" w:bottom="1220" w:left="720" w:right="720"/>
        </w:sectPr>
      </w:pPr>
    </w:p>
    <w:p>
      <w:pPr>
        <w:pStyle w:val="Heading1"/>
        <w:spacing w:before="71"/>
        <w:ind w:right="-7"/>
      </w:pPr>
      <w:r>
        <w:rPr/>
        <w:t>Metodología</w:t>
      </w:r>
    </w:p>
    <w:p>
      <w:pPr>
        <w:pStyle w:val="BodyText"/>
        <w:rPr>
          <w:b/>
          <w:sz w:val="21"/>
        </w:rPr>
      </w:pPr>
    </w:p>
    <w:p>
      <w:pPr>
        <w:pStyle w:val="BodyText"/>
        <w:spacing w:line="249" w:lineRule="auto"/>
        <w:ind w:left="130" w:firstLine="170"/>
        <w:jc w:val="both"/>
      </w:pPr>
      <w:r>
        <w:rPr/>
        <w:t>La investigación se fundamenta en el método de investigación hipotético deductivo, mediante el desarrollo y aplicación de un método de investigación Mixto, que incluye métodos cualitativos y cuantitativos. Involucra una vertiente teórica y una empírica, a través de tres fases:</w:t>
      </w:r>
    </w:p>
    <w:p>
      <w:pPr>
        <w:pStyle w:val="BodyText"/>
        <w:spacing w:before="11"/>
      </w:pPr>
    </w:p>
    <w:p>
      <w:pPr>
        <w:pStyle w:val="BodyText"/>
        <w:spacing w:line="249" w:lineRule="auto"/>
        <w:ind w:left="130" w:firstLine="170"/>
        <w:jc w:val="both"/>
      </w:pPr>
      <w:r>
        <w:rPr/>
        <w:t>La primera fase comprende la vertiente </w:t>
      </w:r>
      <w:r>
        <w:rPr>
          <w:i/>
        </w:rPr>
        <w:t>teórica </w:t>
      </w:r>
      <w:r>
        <w:rPr/>
        <w:t>y metodológica, dirigida  a  la  revisión de literatura bibliográfica (libros y revistas especializados) para comprender    y aprehender los planteamientos, enfoques y variables teóricas respecto a los procesos de urbanización, concentración, expansión y metropolización, determinantes para concebir el proceso de producción de la vivienda; con ello se desarrollará un modelo metodológico de investigación y un sistema de indicadores para analizar la vulnerabilidad y funcionalidad de los conjuntos urbanos habitacionales en un contexto metropolitano.</w:t>
      </w:r>
    </w:p>
    <w:p>
      <w:pPr>
        <w:pStyle w:val="BodyText"/>
        <w:spacing w:before="11"/>
      </w:pPr>
    </w:p>
    <w:p>
      <w:pPr>
        <w:pStyle w:val="BodyText"/>
        <w:spacing w:line="249" w:lineRule="auto"/>
        <w:ind w:left="130" w:firstLine="170"/>
        <w:jc w:val="both"/>
      </w:pPr>
      <w:r>
        <w:rPr/>
        <w:t>En</w:t>
      </w:r>
      <w:r>
        <w:rPr>
          <w:spacing w:val="-22"/>
        </w:rPr>
        <w:t> </w:t>
      </w:r>
      <w:r>
        <w:rPr/>
        <w:t>la</w:t>
      </w:r>
      <w:r>
        <w:rPr>
          <w:spacing w:val="-22"/>
        </w:rPr>
        <w:t> </w:t>
      </w:r>
      <w:r>
        <w:rPr/>
        <w:t>segunda</w:t>
      </w:r>
      <w:r>
        <w:rPr>
          <w:spacing w:val="-22"/>
        </w:rPr>
        <w:t> </w:t>
      </w:r>
      <w:r>
        <w:rPr/>
        <w:t>fase</w:t>
      </w:r>
      <w:r>
        <w:rPr>
          <w:spacing w:val="-22"/>
        </w:rPr>
        <w:t> </w:t>
      </w:r>
      <w:r>
        <w:rPr/>
        <w:t>se</w:t>
      </w:r>
      <w:r>
        <w:rPr>
          <w:spacing w:val="-22"/>
        </w:rPr>
        <w:t> </w:t>
      </w:r>
      <w:r>
        <w:rPr/>
        <w:t>aborda</w:t>
      </w:r>
      <w:r>
        <w:rPr>
          <w:spacing w:val="-22"/>
        </w:rPr>
        <w:t> </w:t>
      </w:r>
      <w:r>
        <w:rPr/>
        <w:t>la</w:t>
      </w:r>
      <w:r>
        <w:rPr>
          <w:spacing w:val="-22"/>
        </w:rPr>
        <w:t> </w:t>
      </w:r>
      <w:r>
        <w:rPr/>
        <w:t>vertiente</w:t>
      </w:r>
      <w:r>
        <w:rPr>
          <w:spacing w:val="-22"/>
        </w:rPr>
        <w:t> </w:t>
      </w:r>
      <w:r>
        <w:rPr>
          <w:i/>
        </w:rPr>
        <w:t>empírica,</w:t>
      </w:r>
      <w:r>
        <w:rPr>
          <w:i/>
          <w:spacing w:val="-22"/>
        </w:rPr>
        <w:t> </w:t>
      </w:r>
      <w:r>
        <w:rPr/>
        <w:t>comprende</w:t>
      </w:r>
      <w:r>
        <w:rPr>
          <w:spacing w:val="-22"/>
        </w:rPr>
        <w:t> </w:t>
      </w:r>
      <w:r>
        <w:rPr/>
        <w:t>la</w:t>
      </w:r>
      <w:r>
        <w:rPr>
          <w:spacing w:val="-22"/>
        </w:rPr>
        <w:t> </w:t>
      </w:r>
      <w:r>
        <w:rPr/>
        <w:t>aplicación</w:t>
      </w:r>
      <w:r>
        <w:rPr>
          <w:spacing w:val="-22"/>
        </w:rPr>
        <w:t> </w:t>
      </w:r>
      <w:r>
        <w:rPr/>
        <w:t>del</w:t>
      </w:r>
      <w:r>
        <w:rPr>
          <w:spacing w:val="-22"/>
        </w:rPr>
        <w:t> </w:t>
      </w:r>
      <w:r>
        <w:rPr/>
        <w:t>modelo de investigación generado, para realizar la identificación, caracterización y localización de los conjuntos urbanos habitacionales desarrollados en la Zona Metropolitana de Toluca, mediante técnicas de investigación que incluyen la obtención de información documental, estadística y cartográfica, de dependencias estatales y </w:t>
      </w:r>
      <w:r>
        <w:rPr>
          <w:spacing w:val="23"/>
        </w:rPr>
        <w:t> </w:t>
      </w:r>
      <w:r>
        <w:rPr/>
        <w:t>municipales.</w:t>
      </w:r>
    </w:p>
    <w:p>
      <w:pPr>
        <w:pStyle w:val="BodyText"/>
        <w:spacing w:before="11"/>
      </w:pPr>
    </w:p>
    <w:p>
      <w:pPr>
        <w:pStyle w:val="BodyText"/>
        <w:spacing w:line="249" w:lineRule="auto"/>
        <w:ind w:left="130" w:firstLine="170"/>
        <w:jc w:val="both"/>
      </w:pPr>
      <w:r>
        <w:rPr/>
        <w:t>La tercera fase, se refiere a la aplicación del sistema de indicadores desarrollados, para analizar la vulnerabilidad y funcionalidad urbana de los conjuntos urbanos habitacionales desarrollados en la Zona Metropolitana de Toluca, tomando como ámbito temporal el periodo 1993-2014; las técnicas de investigación empírica  de apoyo serán: observación, instrumentos de recopilación de información cualitativa y cuantitativa, encuestas y entrevistas.</w:t>
      </w:r>
    </w:p>
    <w:p>
      <w:pPr>
        <w:pStyle w:val="BodyText"/>
        <w:spacing w:before="11"/>
      </w:pPr>
    </w:p>
    <w:p>
      <w:pPr>
        <w:pStyle w:val="BodyText"/>
        <w:spacing w:line="249" w:lineRule="auto"/>
        <w:ind w:left="130" w:right="1" w:firstLine="170"/>
        <w:jc w:val="both"/>
      </w:pPr>
      <w:r>
        <w:rPr/>
        <w:t>A</w:t>
      </w:r>
      <w:r>
        <w:rPr>
          <w:spacing w:val="-6"/>
        </w:rPr>
        <w:t> </w:t>
      </w:r>
      <w:r>
        <w:rPr/>
        <w:t>partir</w:t>
      </w:r>
      <w:r>
        <w:rPr>
          <w:spacing w:val="-6"/>
        </w:rPr>
        <w:t> </w:t>
      </w:r>
      <w:r>
        <w:rPr/>
        <w:t>de</w:t>
      </w:r>
      <w:r>
        <w:rPr>
          <w:spacing w:val="-6"/>
        </w:rPr>
        <w:t> </w:t>
      </w:r>
      <w:r>
        <w:rPr/>
        <w:t>etas</w:t>
      </w:r>
      <w:r>
        <w:rPr>
          <w:spacing w:val="-6"/>
        </w:rPr>
        <w:t> </w:t>
      </w:r>
      <w:r>
        <w:rPr/>
        <w:t>fases</w:t>
      </w:r>
      <w:r>
        <w:rPr>
          <w:spacing w:val="-6"/>
        </w:rPr>
        <w:t> </w:t>
      </w:r>
      <w:r>
        <w:rPr/>
        <w:t>de</w:t>
      </w:r>
      <w:r>
        <w:rPr>
          <w:spacing w:val="-6"/>
        </w:rPr>
        <w:t> </w:t>
      </w:r>
      <w:r>
        <w:rPr/>
        <w:t>investigación,</w:t>
      </w:r>
      <w:r>
        <w:rPr>
          <w:spacing w:val="-6"/>
        </w:rPr>
        <w:t> </w:t>
      </w:r>
      <w:r>
        <w:rPr/>
        <w:t>se</w:t>
      </w:r>
      <w:r>
        <w:rPr>
          <w:spacing w:val="-6"/>
        </w:rPr>
        <w:t> </w:t>
      </w:r>
      <w:r>
        <w:rPr/>
        <w:t>puede</w:t>
      </w:r>
      <w:r>
        <w:rPr>
          <w:spacing w:val="-6"/>
        </w:rPr>
        <w:t> </w:t>
      </w:r>
      <w:r>
        <w:rPr/>
        <w:t>derivar</w:t>
      </w:r>
      <w:r>
        <w:rPr>
          <w:spacing w:val="-6"/>
        </w:rPr>
        <w:t> </w:t>
      </w:r>
      <w:r>
        <w:rPr/>
        <w:t>un</w:t>
      </w:r>
      <w:r>
        <w:rPr>
          <w:spacing w:val="-6"/>
        </w:rPr>
        <w:t> </w:t>
      </w:r>
      <w:r>
        <w:rPr/>
        <w:t>modelo</w:t>
      </w:r>
      <w:r>
        <w:rPr>
          <w:spacing w:val="-6"/>
        </w:rPr>
        <w:t> </w:t>
      </w:r>
      <w:r>
        <w:rPr/>
        <w:t>metodológico</w:t>
      </w:r>
      <w:r>
        <w:rPr>
          <w:spacing w:val="-6"/>
        </w:rPr>
        <w:t> </w:t>
      </w:r>
      <w:r>
        <w:rPr/>
        <w:t>que permita estructura y desarrollar una investigación de este tipo, conforme al esquema siguiente:</w:t>
      </w:r>
    </w:p>
    <w:p>
      <w:pPr>
        <w:pStyle w:val="BodyText"/>
        <w:spacing w:before="8"/>
        <w:rPr>
          <w:sz w:val="12"/>
        </w:rPr>
      </w:pPr>
      <w:r>
        <w:rPr/>
        <w:br w:type="column"/>
      </w:r>
      <w:r>
        <w:rPr>
          <w:sz w:val="12"/>
        </w:rPr>
      </w:r>
    </w:p>
    <w:p>
      <w:pPr>
        <w:spacing w:before="0"/>
        <w:ind w:left="130" w:right="0" w:firstLine="0"/>
        <w:jc w:val="left"/>
        <w:rPr>
          <w:sz w:val="16"/>
        </w:rPr>
      </w:pPr>
      <w:r>
        <w:rPr/>
        <w:pict>
          <v:group style="position:absolute;margin-left:553.413025pt;margin-top:21.959423pt;width:286.45pt;height:410.55pt;mso-position-horizontal-relative:page;mso-position-vertical-relative:paragraph;z-index:15976" coordorigin="11068,439" coordsize="5729,8211">
            <v:rect style="position:absolute;left:11099;top:5966;width:2630;height:360" filled="false" stroked="true" strokeweight=".961pt" strokecolor="#000000"/>
            <v:line style="position:absolute" from="13744,6191" to="14036,6191" stroked="true" strokeweight="2.162pt" strokecolor="#000000"/>
            <v:rect style="position:absolute;left:13031;top:4792;width:1975;height:543" filled="false" stroked="true" strokeweight=".961pt" strokecolor="#000000"/>
            <v:line style="position:absolute" from="14035,5337" to="14036,7332" stroked="true" strokeweight="2.162pt" strokecolor="#000000"/>
            <v:rect style="position:absolute;left:14950;top:6971;width:1410;height:738" filled="false" stroked="true" strokeweight=".961pt" strokecolor="#000000"/>
            <v:rect style="position:absolute;left:11649;top:6952;width:1410;height:738" filled="false" stroked="true" strokeweight=".961pt" strokecolor="#000000"/>
            <v:line style="position:absolute" from="13059,7332" to="14956,7332" stroked="true" strokeweight="2.162pt" strokecolor="#000000"/>
            <v:rect style="position:absolute;left:11078;top:4300;width:1631;height:462" filled="false" stroked="true" strokeweight=".961pt" strokecolor="#000000"/>
            <v:rect style="position:absolute;left:11972;top:449;width:3059;height:595" filled="false" stroked="true" strokeweight=".961pt" strokecolor="#000000"/>
            <v:rect style="position:absolute;left:12218;top:2580;width:3348;height:381" filled="false" stroked="true" strokeweight=".961pt" strokecolor="#000000"/>
            <v:line style="position:absolute" from="13508,2590" to="13508,1044" stroked="true" strokeweight="2.162pt" strokecolor="#000000"/>
            <v:line style="position:absolute" from="13508,2961" to="13508,3907" stroked="true" strokeweight=".961pt" strokecolor="#000000"/>
            <v:line style="position:absolute" from="13079,3907" to="13508,3907" stroked="true" strokeweight=".961pt" strokecolor="#000000"/>
            <v:line style="position:absolute" from="13508,1659" to="14950,1659" stroked="true" strokeweight=".961pt" strokecolor="#000000"/>
            <v:line style="position:absolute" from="14950,1193" to="15081,1193" stroked="true" strokeweight=".961pt" strokecolor="#000000"/>
            <v:shape style="position:absolute;left:15004;top:1136;width:116;height:116" coordorigin="15004,1136" coordsize="116,116" path="m15004,1136l15004,1251,15119,1193,15004,1136xe" filled="true" fillcolor="#000000" stroked="false">
              <v:path arrowok="t"/>
              <v:fill type="solid"/>
            </v:shape>
            <v:line style="position:absolute" from="14950,1510" to="15081,1510" stroked="true" strokeweight=".961pt" strokecolor="#000000"/>
            <v:shape style="position:absolute;left:15004;top:1452;width:116;height:116" coordorigin="15004,1452" coordsize="116,116" path="m15004,1452l15004,1567,15119,1510,15004,1452xe" filled="true" fillcolor="#000000" stroked="false">
              <v:path arrowok="t"/>
              <v:fill type="solid"/>
            </v:shape>
            <v:line style="position:absolute" from="14950,1836" to="15081,1836" stroked="true" strokeweight=".961pt" strokecolor="#000000"/>
            <v:shape style="position:absolute;left:15004;top:1778;width:116;height:116" coordorigin="15004,1778" coordsize="116,116" path="m15004,1778l15004,1894,15119,1836,15004,1778xe" filled="true" fillcolor="#000000" stroked="false">
              <v:path arrowok="t"/>
              <v:fill type="solid"/>
            </v:shape>
            <v:line style="position:absolute" from="14950,2214" to="15081,2214" stroked="true" strokeweight=".961pt" strokecolor="#000000"/>
            <v:shape style="position:absolute;left:15004;top:2156;width:116;height:116" coordorigin="15004,2156" coordsize="116,116" path="m15004,2156l15004,2272,15119,2214,15004,2156xe" filled="true" fillcolor="#000000" stroked="false">
              <v:path arrowok="t"/>
              <v:fill type="solid"/>
            </v:shape>
            <v:line style="position:absolute" from="14950,1193" to="14956,2214" stroked="true" strokeweight=".961pt" strokecolor="#000000"/>
            <v:rect style="position:absolute;left:11090;top:3133;width:1622;height:485" filled="false" stroked="true" strokeweight=".961pt" strokecolor="#000000"/>
            <v:rect style="position:absolute;left:11099;top:3716;width:1612;height:463" filled="false" stroked="true" strokeweight=".961pt" strokecolor="#000000"/>
            <v:line style="position:absolute" from="13079,3334" to="13079,4536" stroked="true" strokeweight=".961pt" strokecolor="#000000"/>
            <v:line style="position:absolute" from="13078,3334" to="12750,3334" stroked="true" strokeweight=".961pt" strokecolor="#000000"/>
            <v:shape style="position:absolute;left:12711;top:3276;width:116;height:116" coordorigin="12711,3276" coordsize="116,116" path="m12827,3276l12711,3334,12827,3392,12827,3276xe" filled="true" fillcolor="#000000" stroked="false">
              <v:path arrowok="t"/>
              <v:fill type="solid"/>
            </v:shape>
            <v:line style="position:absolute" from="13078,3976" to="12748,3976" stroked="true" strokeweight=".961pt" strokecolor="#000000"/>
            <v:shape style="position:absolute;left:12709;top:3919;width:116;height:116" coordorigin="12709,3919" coordsize="116,116" path="m12825,3919l12709,3976,12825,4034,12825,3919xe" filled="true" fillcolor="#000000" stroked="false">
              <v:path arrowok="t"/>
              <v:fill type="solid"/>
            </v:shape>
            <v:line style="position:absolute" from="13078,4529" to="12748,4530" stroked="true" strokeweight=".961pt" strokecolor="#000000"/>
            <v:shape style="position:absolute;left:12709;top:4472;width:116;height:116" coordorigin="12709,4472" coordsize="116,116" path="m12825,4472l12709,4530,12825,4587,12825,4472xe" filled="true" fillcolor="#000000" stroked="false">
              <v:path arrowok="t"/>
              <v:fill type="solid"/>
            </v:shape>
            <v:line style="position:absolute" from="14026,2961" to="14027,4802" stroked="true" strokeweight="2.162pt" strokecolor="#000000"/>
            <v:line style="position:absolute" from="15331,4704" to="15462,4704" stroked="true" strokeweight=".961pt" strokecolor="#000000"/>
            <v:shape style="position:absolute;left:15385;top:4647;width:116;height:116" coordorigin="15385,4647" coordsize="116,116" path="m15385,4647l15385,4762,15501,4704,15385,4647xe" filled="true" fillcolor="#000000" stroked="false">
              <v:path arrowok="t"/>
              <v:fill type="solid"/>
            </v:shape>
            <v:line style="position:absolute" from="15331,5562" to="15462,5562" stroked="true" strokeweight=".961pt" strokecolor="#000000"/>
            <v:shape style="position:absolute;left:15385;top:5504;width:116;height:116" coordorigin="15385,5504" coordsize="116,116" path="m15385,5504l15385,5619,15501,5562,15385,5504xe" filled="true" fillcolor="#000000" stroked="false">
              <v:path arrowok="t"/>
              <v:fill type="solid"/>
            </v:shape>
            <v:line style="position:absolute" from="15331,4704" to="15331,5562" stroked="true" strokeweight=".961pt" strokecolor="#000000"/>
            <v:line style="position:absolute" from="14997,5039" to="15331,5039" stroked="true" strokeweight=".961pt" strokecolor="#000000"/>
            <v:rect style="position:absolute;left:15501;top:4408;width:1276;height:572" filled="false" stroked="true" strokeweight=".961pt" strokecolor="#000000"/>
            <v:rect style="position:absolute;left:15501;top:5313;width:1276;height:485" filled="false" stroked="true" strokeweight=".961pt" strokecolor="#000000"/>
            <v:line style="position:absolute" from="15120,7709" to="15114,8454" stroked="true" strokeweight=".961pt" strokecolor="#000000"/>
            <v:rect style="position:absolute;left:15361;top:7967;width:1416;height:303" filled="false" stroked="true" strokeweight=".961pt" strokecolor="#000000"/>
            <v:rect style="position:absolute;left:15370;top:8337;width:1416;height:303" filled="false" stroked="true" strokeweight=".961pt" strokecolor="#000000"/>
            <v:line style="position:absolute" from="15132,8104" to="15323,8104" stroked="true" strokeweight=".961pt" strokecolor="#000000"/>
            <v:shape style="position:absolute;left:15246;top:8046;width:116;height:116" coordorigin="15246,8046" coordsize="116,116" path="m15246,8046l15246,8161,15361,8104,15246,8046xe" filled="true" fillcolor="#000000" stroked="false">
              <v:path arrowok="t"/>
              <v:fill type="solid"/>
            </v:shape>
            <v:line style="position:absolute" from="15114,8454" to="15322,8454" stroked="true" strokeweight=".961pt" strokecolor="#000000"/>
            <v:shape style="position:absolute;left:15245;top:8397;width:116;height:116" coordorigin="15245,8397" coordsize="116,116" path="m15245,8397l15245,8512,15360,8454,15245,8397xe" filled="true" fillcolor="#000000" stroked="false">
              <v:path arrowok="t"/>
              <v:fill type="solid"/>
            </v:shape>
            <v:shape style="position:absolute;left:11972;top:449;width:3014;height:596" type="#_x0000_t202" filled="false" stroked="false">
              <v:textbox inset="0,0,0,0">
                <w:txbxContent>
                  <w:p>
                    <w:pPr>
                      <w:spacing w:before="89"/>
                      <w:ind w:left="119" w:right="0" w:firstLine="0"/>
                      <w:jc w:val="left"/>
                      <w:rPr>
                        <w:b/>
                        <w:sz w:val="23"/>
                      </w:rPr>
                    </w:pPr>
                    <w:r>
                      <w:rPr>
                        <w:b/>
                        <w:sz w:val="23"/>
                      </w:rPr>
                      <w:t>Marco teórico conceptual</w:t>
                    </w:r>
                  </w:p>
                </w:txbxContent>
              </v:textbox>
              <w10:wrap type="none"/>
            </v:shape>
            <v:shape style="position:absolute;left:12218;top:2580;width:3305;height:381" type="#_x0000_t202" filled="false" stroked="false">
              <v:textbox inset="0,0,0,0">
                <w:txbxContent>
                  <w:p>
                    <w:pPr>
                      <w:spacing w:line="244" w:lineRule="exact" w:before="0"/>
                      <w:ind w:left="169" w:right="0" w:firstLine="0"/>
                      <w:jc w:val="left"/>
                      <w:rPr>
                        <w:b/>
                        <w:sz w:val="23"/>
                      </w:rPr>
                    </w:pPr>
                    <w:r>
                      <w:rPr>
                        <w:b/>
                        <w:sz w:val="23"/>
                      </w:rPr>
                      <w:t>Marco contextual territorial</w:t>
                    </w:r>
                  </w:p>
                </w:txbxContent>
              </v:textbox>
              <w10:wrap type="none"/>
            </v:shape>
            <v:shape style="position:absolute;left:11092;top:3133;width:1619;height:486" type="#_x0000_t202" filled="false" stroked="false">
              <v:textbox inset="0,0,0,0">
                <w:txbxContent>
                  <w:p>
                    <w:pPr>
                      <w:spacing w:before="33"/>
                      <w:ind w:left="36" w:right="0" w:firstLine="0"/>
                      <w:jc w:val="left"/>
                      <w:rPr>
                        <w:sz w:val="15"/>
                      </w:rPr>
                    </w:pPr>
                    <w:r>
                      <w:rPr>
                        <w:w w:val="105"/>
                        <w:sz w:val="15"/>
                      </w:rPr>
                      <w:t>Delimitación del caso de Estudio</w:t>
                    </w:r>
                  </w:p>
                </w:txbxContent>
              </v:textbox>
              <w10:wrap type="none"/>
            </v:shape>
            <v:shape style="position:absolute;left:11092;top:3716;width:1619;height:463" type="#_x0000_t202" filled="false" stroked="false">
              <v:textbox inset="0,0,0,0">
                <w:txbxContent>
                  <w:p>
                    <w:pPr>
                      <w:spacing w:before="18"/>
                      <w:ind w:left="36" w:right="0" w:firstLine="0"/>
                      <w:jc w:val="left"/>
                      <w:rPr>
                        <w:sz w:val="15"/>
                      </w:rPr>
                    </w:pPr>
                    <w:r>
                      <w:rPr>
                        <w:spacing w:val="-7"/>
                        <w:w w:val="105"/>
                        <w:sz w:val="15"/>
                      </w:rPr>
                      <w:t>Características </w:t>
                    </w:r>
                    <w:r>
                      <w:rPr>
                        <w:spacing w:val="-5"/>
                        <w:w w:val="105"/>
                        <w:sz w:val="15"/>
                      </w:rPr>
                      <w:t>del </w:t>
                    </w:r>
                    <w:r>
                      <w:rPr>
                        <w:spacing w:val="-7"/>
                        <w:w w:val="105"/>
                        <w:sz w:val="15"/>
                      </w:rPr>
                      <w:t>caso </w:t>
                    </w:r>
                    <w:r>
                      <w:rPr>
                        <w:w w:val="105"/>
                        <w:sz w:val="15"/>
                      </w:rPr>
                      <w:t>de Estudio</w:t>
                    </w:r>
                  </w:p>
                </w:txbxContent>
              </v:textbox>
              <w10:wrap type="none"/>
            </v:shape>
            <v:shape style="position:absolute;left:11092;top:4300;width:1619;height:478" type="#_x0000_t202" filled="false" stroked="false">
              <v:textbox inset="0,0,0,0">
                <w:txbxContent>
                  <w:p>
                    <w:pPr>
                      <w:spacing w:before="28"/>
                      <w:ind w:left="36" w:right="0" w:firstLine="0"/>
                      <w:jc w:val="left"/>
                      <w:rPr>
                        <w:sz w:val="15"/>
                      </w:rPr>
                    </w:pPr>
                    <w:r>
                      <w:rPr>
                        <w:spacing w:val="-7"/>
                        <w:w w:val="105"/>
                        <w:sz w:val="15"/>
                      </w:rPr>
                      <w:t>Análisis territorial del </w:t>
                    </w:r>
                    <w:r>
                      <w:rPr>
                        <w:spacing w:val="-6"/>
                        <w:w w:val="105"/>
                        <w:sz w:val="15"/>
                      </w:rPr>
                      <w:t>Caso </w:t>
                    </w:r>
                    <w:r>
                      <w:rPr>
                        <w:spacing w:val="-4"/>
                        <w:w w:val="105"/>
                        <w:sz w:val="15"/>
                      </w:rPr>
                      <w:t>de </w:t>
                    </w:r>
                    <w:r>
                      <w:rPr>
                        <w:spacing w:val="-7"/>
                        <w:w w:val="105"/>
                        <w:sz w:val="15"/>
                      </w:rPr>
                      <w:t>Estudio</w:t>
                    </w:r>
                  </w:p>
                </w:txbxContent>
              </v:textbox>
              <w10:wrap type="none"/>
            </v:shape>
            <v:shape style="position:absolute;left:15523;top:4408;width:1256;height:602" type="#_x0000_t202" filled="false" stroked="false">
              <v:textbox inset="0,0,0,0">
                <w:txbxContent>
                  <w:p>
                    <w:pPr>
                      <w:spacing w:line="172" w:lineRule="exact" w:before="97"/>
                      <w:ind w:left="18" w:right="0" w:firstLine="0"/>
                      <w:jc w:val="left"/>
                      <w:rPr>
                        <w:sz w:val="17"/>
                      </w:rPr>
                    </w:pPr>
                    <w:r>
                      <w:rPr>
                        <w:sz w:val="17"/>
                      </w:rPr>
                      <w:t>Clasificación de la ZMT</w:t>
                    </w:r>
                  </w:p>
                </w:txbxContent>
              </v:textbox>
              <w10:wrap type="none"/>
            </v:shape>
            <v:shape style="position:absolute;left:13056;top:4777;width:1930;height:548" type="#_x0000_t202" filled="false" stroked="false">
              <v:textbox inset="0,0,0,0">
                <w:txbxContent>
                  <w:p>
                    <w:pPr>
                      <w:spacing w:line="230" w:lineRule="exact" w:before="15"/>
                      <w:ind w:left="423" w:right="145" w:firstLine="102"/>
                      <w:jc w:val="left"/>
                      <w:rPr>
                        <w:b/>
                        <w:sz w:val="23"/>
                      </w:rPr>
                    </w:pPr>
                    <w:r>
                      <w:rPr>
                        <w:b/>
                        <w:sz w:val="23"/>
                      </w:rPr>
                      <w:t>Desarrollo habitacional</w:t>
                    </w:r>
                  </w:p>
                </w:txbxContent>
              </v:textbox>
              <w10:wrap type="none"/>
            </v:shape>
            <v:shape style="position:absolute;left:15523;top:5324;width:1256;height:475" type="#_x0000_t202" filled="false" stroked="false">
              <v:textbox inset="0,0,0,0">
                <w:txbxContent>
                  <w:p>
                    <w:pPr>
                      <w:spacing w:line="172" w:lineRule="exact" w:before="46"/>
                      <w:ind w:left="18" w:right="0" w:firstLine="0"/>
                      <w:jc w:val="left"/>
                      <w:rPr>
                        <w:sz w:val="17"/>
                      </w:rPr>
                    </w:pPr>
                    <w:r>
                      <w:rPr>
                        <w:sz w:val="17"/>
                      </w:rPr>
                      <w:t>Áreas Habitacionales</w:t>
                    </w:r>
                  </w:p>
                </w:txbxContent>
              </v:textbox>
              <w10:wrap type="none"/>
            </v:shape>
            <v:shape style="position:absolute;left:11092;top:5966;width:2638;height:361" type="#_x0000_t202" filled="false" stroked="false">
              <v:textbox inset="0,0,0,0">
                <w:txbxContent>
                  <w:p>
                    <w:pPr>
                      <w:spacing w:before="36"/>
                      <w:ind w:left="146" w:right="0" w:firstLine="0"/>
                      <w:jc w:val="left"/>
                      <w:rPr>
                        <w:b/>
                        <w:sz w:val="17"/>
                      </w:rPr>
                    </w:pPr>
                    <w:r>
                      <w:rPr>
                        <w:b/>
                        <w:sz w:val="17"/>
                      </w:rPr>
                      <w:t>Aplicación de los indicadores</w:t>
                    </w:r>
                  </w:p>
                </w:txbxContent>
              </v:textbox>
              <w10:wrap type="none"/>
            </v:shape>
            <v:shape style="position:absolute;left:11649;top:6962;width:1408;height:738" type="#_x0000_t202" filled="false" stroked="false">
              <v:textbox inset="0,0,0,0">
                <w:txbxContent>
                  <w:p>
                    <w:pPr>
                      <w:spacing w:line="148" w:lineRule="exact" w:before="0"/>
                      <w:ind w:left="62" w:right="0" w:firstLine="0"/>
                      <w:jc w:val="center"/>
                      <w:rPr>
                        <w:b/>
                        <w:sz w:val="17"/>
                      </w:rPr>
                    </w:pPr>
                    <w:r>
                      <w:rPr>
                        <w:b/>
                        <w:sz w:val="17"/>
                      </w:rPr>
                      <w:t>Identificación</w:t>
                    </w:r>
                  </w:p>
                  <w:p>
                    <w:pPr>
                      <w:spacing w:line="283" w:lineRule="auto" w:before="35"/>
                      <w:ind w:left="201" w:right="136" w:hanging="1"/>
                      <w:jc w:val="center"/>
                      <w:rPr>
                        <w:b/>
                        <w:sz w:val="17"/>
                      </w:rPr>
                    </w:pPr>
                    <w:r>
                      <w:rPr>
                        <w:b/>
                        <w:w w:val="105"/>
                        <w:sz w:val="17"/>
                      </w:rPr>
                      <w:t>de la </w:t>
                    </w:r>
                    <w:r>
                      <w:rPr>
                        <w:b/>
                        <w:sz w:val="17"/>
                      </w:rPr>
                      <w:t>problemática</w:t>
                    </w:r>
                  </w:p>
                </w:txbxContent>
              </v:textbox>
              <w10:wrap type="none"/>
            </v:shape>
            <v:shape style="position:absolute;left:14985;top:6962;width:1375;height:738" type="#_x0000_t202" filled="false" stroked="false">
              <v:textbox inset="0,0,0,0">
                <w:txbxContent>
                  <w:p>
                    <w:pPr>
                      <w:spacing w:line="283" w:lineRule="auto" w:before="14"/>
                      <w:ind w:left="170" w:right="196" w:firstLine="0"/>
                      <w:jc w:val="center"/>
                      <w:rPr>
                        <w:b/>
                        <w:sz w:val="17"/>
                      </w:rPr>
                    </w:pPr>
                    <w:r>
                      <w:rPr>
                        <w:b/>
                        <w:sz w:val="17"/>
                      </w:rPr>
                      <w:t>Alternativas de</w:t>
                    </w:r>
                  </w:p>
                  <w:p>
                    <w:pPr>
                      <w:spacing w:before="1"/>
                      <w:ind w:left="170" w:right="195" w:firstLine="0"/>
                      <w:jc w:val="center"/>
                      <w:rPr>
                        <w:b/>
                        <w:sz w:val="17"/>
                      </w:rPr>
                    </w:pPr>
                    <w:r>
                      <w:rPr>
                        <w:b/>
                        <w:sz w:val="17"/>
                      </w:rPr>
                      <w:t>Solución</w:t>
                    </w:r>
                  </w:p>
                </w:txbxContent>
              </v:textbox>
              <w10:wrap type="none"/>
            </v:shape>
            <v:shape style="position:absolute;left:15348;top:7967;width:1431;height:337" type="#_x0000_t202" filled="false" stroked="false">
              <v:textbox inset="0,0,0,0">
                <w:txbxContent>
                  <w:p>
                    <w:pPr>
                      <w:spacing w:before="3"/>
                      <w:ind w:left="90" w:right="0" w:firstLine="0"/>
                      <w:jc w:val="left"/>
                      <w:rPr>
                        <w:sz w:val="17"/>
                      </w:rPr>
                    </w:pPr>
                    <w:r>
                      <w:rPr>
                        <w:sz w:val="17"/>
                      </w:rPr>
                      <w:t>Programas</w:t>
                    </w:r>
                  </w:p>
                </w:txbxContent>
              </v:textbox>
              <w10:wrap type="none"/>
            </v:shape>
            <v:shape style="position:absolute;left:15348;top:8303;width:1431;height:337" type="#_x0000_t202" filled="false" stroked="false">
              <v:textbox inset="0,0,0,0">
                <w:txbxContent>
                  <w:p>
                    <w:pPr>
                      <w:spacing w:before="48"/>
                      <w:ind w:left="90" w:right="0" w:firstLine="0"/>
                      <w:jc w:val="left"/>
                      <w:rPr>
                        <w:sz w:val="17"/>
                      </w:rPr>
                    </w:pPr>
                    <w:r>
                      <w:rPr>
                        <w:w w:val="105"/>
                        <w:sz w:val="17"/>
                      </w:rPr>
                      <w:t>Acciones</w:t>
                    </w:r>
                  </w:p>
                </w:txbxContent>
              </v:textbox>
              <w10:wrap type="none"/>
            </v:shape>
            <w10:wrap type="none"/>
          </v:group>
        </w:pict>
      </w:r>
      <w:r>
        <w:rPr/>
        <w:pict>
          <v:shape style="position:absolute;margin-left:756.175476pt;margin-top:49.821125pt;width:102pt;height:75.95pt;mso-position-horizontal-relative:page;mso-position-vertical-relative:paragraph;z-index:16000"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11"/>
                  </w:tblGrid>
                  <w:tr>
                    <w:trPr>
                      <w:trHeight w:val="316" w:hRule="exact"/>
                    </w:trPr>
                    <w:tc>
                      <w:tcPr>
                        <w:tcW w:w="2011" w:type="dxa"/>
                        <w:tcBorders>
                          <w:bottom w:val="double" w:sz="12" w:space="0" w:color="000000"/>
                        </w:tcBorders>
                      </w:tcPr>
                      <w:p>
                        <w:pPr>
                          <w:pStyle w:val="TableParagraph"/>
                          <w:spacing w:line="176" w:lineRule="exact"/>
                          <w:ind w:left="167"/>
                          <w:rPr>
                            <w:sz w:val="17"/>
                          </w:rPr>
                        </w:pPr>
                        <w:r>
                          <w:rPr>
                            <w:sz w:val="17"/>
                          </w:rPr>
                          <w:t>Territorio</w:t>
                        </w:r>
                      </w:p>
                    </w:tc>
                  </w:tr>
                  <w:tr>
                    <w:trPr>
                      <w:trHeight w:val="341" w:hRule="exact"/>
                    </w:trPr>
                    <w:tc>
                      <w:tcPr>
                        <w:tcW w:w="2011" w:type="dxa"/>
                        <w:tcBorders>
                          <w:top w:val="double" w:sz="12" w:space="0" w:color="000000"/>
                          <w:bottom w:val="double" w:sz="9" w:space="0" w:color="000000"/>
                        </w:tcBorders>
                      </w:tcPr>
                      <w:p>
                        <w:pPr>
                          <w:pStyle w:val="TableParagraph"/>
                          <w:spacing w:line="179" w:lineRule="exact"/>
                          <w:ind w:left="153"/>
                          <w:rPr>
                            <w:sz w:val="17"/>
                          </w:rPr>
                        </w:pPr>
                        <w:r>
                          <w:rPr>
                            <w:sz w:val="17"/>
                          </w:rPr>
                          <w:t>Vulnerabilidad</w:t>
                        </w:r>
                      </w:p>
                    </w:tc>
                  </w:tr>
                  <w:tr>
                    <w:trPr>
                      <w:trHeight w:val="338" w:hRule="exact"/>
                    </w:trPr>
                    <w:tc>
                      <w:tcPr>
                        <w:tcW w:w="2011" w:type="dxa"/>
                        <w:tcBorders>
                          <w:top w:val="double" w:sz="9" w:space="0" w:color="000000"/>
                          <w:bottom w:val="double" w:sz="11" w:space="0" w:color="000000"/>
                        </w:tcBorders>
                      </w:tcPr>
                      <w:p>
                        <w:pPr>
                          <w:pStyle w:val="TableParagraph"/>
                          <w:spacing w:line="188" w:lineRule="exact"/>
                          <w:ind w:left="133"/>
                          <w:rPr>
                            <w:sz w:val="17"/>
                          </w:rPr>
                        </w:pPr>
                        <w:r>
                          <w:rPr>
                            <w:sz w:val="17"/>
                          </w:rPr>
                          <w:t>Desarrollo habitacional</w:t>
                        </w:r>
                      </w:p>
                    </w:tc>
                  </w:tr>
                  <w:tr>
                    <w:trPr>
                      <w:trHeight w:val="503" w:hRule="exact"/>
                    </w:trPr>
                    <w:tc>
                      <w:tcPr>
                        <w:tcW w:w="2011" w:type="dxa"/>
                        <w:tcBorders>
                          <w:top w:val="double" w:sz="11" w:space="0" w:color="000000"/>
                        </w:tcBorders>
                      </w:tcPr>
                      <w:p>
                        <w:pPr>
                          <w:pStyle w:val="TableParagraph"/>
                          <w:spacing w:line="211" w:lineRule="auto"/>
                          <w:ind w:left="133"/>
                          <w:rPr>
                            <w:sz w:val="17"/>
                          </w:rPr>
                        </w:pPr>
                        <w:r>
                          <w:rPr>
                            <w:w w:val="105"/>
                            <w:sz w:val="17"/>
                          </w:rPr>
                          <w:t>Indicadores de vulnerabilidad</w:t>
                        </w:r>
                      </w:p>
                    </w:tc>
                  </w:tr>
                </w:tbl>
                <w:p>
                  <w:pPr>
                    <w:pStyle w:val="BodyText"/>
                  </w:pPr>
                </w:p>
              </w:txbxContent>
            </v:textbox>
            <w10:wrap type="none"/>
          </v:shape>
        </w:pict>
      </w:r>
      <w:r>
        <w:rPr>
          <w:color w:val="6D6E71"/>
          <w:sz w:val="16"/>
        </w:rPr>
        <w:t>Figura 1. Modelo metodológico de  investigación</w:t>
      </w:r>
    </w:p>
    <w:p>
      <w:pPr>
        <w:spacing w:after="0"/>
        <w:jc w:val="left"/>
        <w:rPr>
          <w:sz w:val="16"/>
        </w:rPr>
        <w:sectPr>
          <w:type w:val="continuous"/>
          <w:pgSz w:w="18830" w:h="12760" w:orient="landscape"/>
          <w:pgMar w:top="1420" w:bottom="280" w:left="720" w:right="720"/>
          <w:cols w:num="2" w:equalWidth="0">
            <w:col w:w="7842" w:space="3701"/>
            <w:col w:w="5847"/>
          </w:cols>
        </w:sectPr>
      </w:pPr>
    </w:p>
    <w:p>
      <w:pPr>
        <w:pStyle w:val="BodyText"/>
      </w:pPr>
    </w:p>
    <w:p>
      <w:pPr>
        <w:pStyle w:val="BodyText"/>
      </w:pPr>
    </w:p>
    <w:p>
      <w:pPr>
        <w:pStyle w:val="BodyText"/>
      </w:pPr>
    </w:p>
    <w:p>
      <w:pPr>
        <w:pStyle w:val="BodyText"/>
      </w:pPr>
    </w:p>
    <w:p>
      <w:pPr>
        <w:pStyle w:val="BodyText"/>
      </w:pPr>
    </w:p>
    <w:p>
      <w:pPr>
        <w:pStyle w:val="BodyText"/>
        <w:spacing w:before="6"/>
        <w:rPr>
          <w:sz w:val="21"/>
        </w:rPr>
      </w:pPr>
    </w:p>
    <w:p>
      <w:pPr>
        <w:spacing w:before="81"/>
        <w:ind w:left="9589" w:right="184" w:firstLine="0"/>
        <w:jc w:val="center"/>
        <w:rPr>
          <w:sz w:val="16"/>
        </w:rPr>
      </w:pPr>
      <w:r>
        <w:rPr>
          <w:color w:val="6D6E71"/>
          <w:sz w:val="16"/>
        </w:rPr>
        <w:t>Fuente: Elaboración propia con base a Schteigart (1998), Kilnk (2005: 128, 130) Montejano (2010: 65),</w:t>
      </w:r>
    </w:p>
    <w:p>
      <w:pPr>
        <w:spacing w:before="56"/>
        <w:ind w:left="9565" w:right="160" w:firstLine="0"/>
        <w:jc w:val="center"/>
        <w:rPr>
          <w:sz w:val="16"/>
        </w:rPr>
      </w:pPr>
      <w:r>
        <w:rPr>
          <w:color w:val="6D6E71"/>
          <w:spacing w:val="-4"/>
          <w:sz w:val="16"/>
        </w:rPr>
        <w:t>Eibenschutz </w:t>
      </w:r>
      <w:r>
        <w:rPr>
          <w:color w:val="6D6E71"/>
          <w:sz w:val="16"/>
        </w:rPr>
        <w:t>y </w:t>
      </w:r>
      <w:r>
        <w:rPr>
          <w:color w:val="6D6E71"/>
          <w:spacing w:val="-3"/>
          <w:sz w:val="16"/>
        </w:rPr>
        <w:t>Goya </w:t>
      </w:r>
      <w:r>
        <w:rPr>
          <w:color w:val="6D6E71"/>
          <w:spacing w:val="-4"/>
          <w:sz w:val="16"/>
        </w:rPr>
        <w:t>(2009), Maskrey (1989), Medina </w:t>
      </w:r>
      <w:r>
        <w:rPr>
          <w:color w:val="6D6E71"/>
          <w:sz w:val="16"/>
        </w:rPr>
        <w:t>&amp; </w:t>
      </w:r>
      <w:r>
        <w:rPr>
          <w:color w:val="6D6E71"/>
          <w:spacing w:val="-4"/>
          <w:sz w:val="16"/>
        </w:rPr>
        <w:t>Romero (1992), Bruquetas, Moreno </w:t>
      </w:r>
      <w:r>
        <w:rPr>
          <w:color w:val="6D6E71"/>
          <w:sz w:val="16"/>
        </w:rPr>
        <w:t>y </w:t>
      </w:r>
      <w:r>
        <w:rPr>
          <w:color w:val="6D6E71"/>
          <w:spacing w:val="-4"/>
          <w:sz w:val="16"/>
        </w:rPr>
        <w:t>Walliser (2005: 11).</w:t>
      </w:r>
    </w:p>
    <w:p>
      <w:pPr>
        <w:spacing w:after="0"/>
        <w:jc w:val="center"/>
        <w:rPr>
          <w:sz w:val="16"/>
        </w:rPr>
        <w:sectPr>
          <w:type w:val="continuous"/>
          <w:pgSz w:w="18830" w:h="12760" w:orient="landscape"/>
          <w:pgMar w:top="1420" w:bottom="280" w:left="720" w:right="720"/>
        </w:sectPr>
      </w:pPr>
    </w:p>
    <w:p>
      <w:pPr>
        <w:pStyle w:val="BodyText"/>
        <w:spacing w:before="6"/>
        <w:rPr>
          <w:sz w:val="23"/>
        </w:rPr>
      </w:pPr>
    </w:p>
    <w:p>
      <w:pPr>
        <w:spacing w:after="0"/>
        <w:rPr>
          <w:sz w:val="23"/>
        </w:rPr>
        <w:sectPr>
          <w:footerReference w:type="default" r:id="rId473"/>
          <w:pgSz w:w="18830" w:h="12760" w:orient="landscape"/>
          <w:pgMar w:footer="1036" w:header="522" w:top="820" w:bottom="1220" w:left="720" w:right="720"/>
        </w:sectPr>
      </w:pPr>
    </w:p>
    <w:p>
      <w:pPr>
        <w:pStyle w:val="BodyText"/>
        <w:spacing w:line="249" w:lineRule="auto" w:before="76"/>
        <w:ind w:left="123" w:firstLine="170"/>
        <w:jc w:val="both"/>
      </w:pPr>
      <w:r>
        <w:rPr/>
        <w:t>De esta manera, el proceso metodológico de la investigación estará conformado por los principales procesos de</w:t>
      </w:r>
      <w:r>
        <w:rPr>
          <w:spacing w:val="53"/>
        </w:rPr>
        <w:t> </w:t>
      </w:r>
      <w:r>
        <w:rPr/>
        <w:t>investigación:</w:t>
      </w:r>
    </w:p>
    <w:p>
      <w:pPr>
        <w:pStyle w:val="BodyText"/>
        <w:spacing w:before="8"/>
        <w:rPr>
          <w:sz w:val="17"/>
        </w:rPr>
      </w:pPr>
    </w:p>
    <w:p>
      <w:pPr>
        <w:pStyle w:val="Heading1"/>
        <w:numPr>
          <w:ilvl w:val="0"/>
          <w:numId w:val="81"/>
        </w:numPr>
        <w:tabs>
          <w:tab w:pos="654" w:val="left" w:leader="none"/>
        </w:tabs>
        <w:spacing w:line="240" w:lineRule="auto" w:before="0" w:after="0"/>
        <w:ind w:left="653" w:right="0" w:hanging="360"/>
        <w:jc w:val="left"/>
      </w:pPr>
      <w:r>
        <w:rPr/>
        <w:t>Desarrollo del fundamento teórico y</w:t>
      </w:r>
      <w:r>
        <w:rPr>
          <w:spacing w:val="10"/>
        </w:rPr>
        <w:t> </w:t>
      </w:r>
      <w:r>
        <w:rPr/>
        <w:t>conceptual.</w:t>
      </w:r>
    </w:p>
    <w:p>
      <w:pPr>
        <w:pStyle w:val="BodyText"/>
        <w:rPr>
          <w:b/>
          <w:sz w:val="21"/>
        </w:rPr>
      </w:pPr>
    </w:p>
    <w:p>
      <w:pPr>
        <w:pStyle w:val="BodyText"/>
        <w:spacing w:line="249" w:lineRule="auto"/>
        <w:ind w:left="123" w:firstLine="170"/>
        <w:jc w:val="both"/>
      </w:pPr>
      <w:r>
        <w:rPr/>
        <w:t>El fundamento teórico de la investigación se considera que es importante, en virtud de que con ello se identificará y fundamentará el análisis para comprender no sólo    los estudios realizados respecto al objeto de estudio, sino además de desarrollar conceptual mediante la variables a desarrollar: territorio, vulnerabilidad y desarrollo habitacional.</w:t>
      </w:r>
    </w:p>
    <w:p>
      <w:pPr>
        <w:pStyle w:val="BodyText"/>
        <w:spacing w:before="11"/>
      </w:pPr>
    </w:p>
    <w:p>
      <w:pPr>
        <w:pStyle w:val="BodyText"/>
        <w:spacing w:line="249" w:lineRule="auto"/>
        <w:ind w:left="123" w:firstLine="170"/>
        <w:jc w:val="both"/>
      </w:pPr>
      <w:r>
        <w:rPr/>
        <w:t>En</w:t>
      </w:r>
      <w:r>
        <w:rPr>
          <w:spacing w:val="-8"/>
        </w:rPr>
        <w:t> </w:t>
      </w:r>
      <w:r>
        <w:rPr/>
        <w:t>el</w:t>
      </w:r>
      <w:r>
        <w:rPr>
          <w:spacing w:val="-8"/>
        </w:rPr>
        <w:t> </w:t>
      </w:r>
      <w:r>
        <w:rPr/>
        <w:t>caso</w:t>
      </w:r>
      <w:r>
        <w:rPr>
          <w:spacing w:val="-8"/>
        </w:rPr>
        <w:t> </w:t>
      </w:r>
      <w:r>
        <w:rPr/>
        <w:t>particular,</w:t>
      </w:r>
      <w:r>
        <w:rPr>
          <w:spacing w:val="-8"/>
        </w:rPr>
        <w:t> </w:t>
      </w:r>
      <w:r>
        <w:rPr/>
        <w:t>el</w:t>
      </w:r>
      <w:r>
        <w:rPr>
          <w:spacing w:val="-8"/>
        </w:rPr>
        <w:t> </w:t>
      </w:r>
      <w:r>
        <w:rPr>
          <w:i/>
        </w:rPr>
        <w:t>territorio</w:t>
      </w:r>
      <w:r>
        <w:rPr>
          <w:i/>
          <w:spacing w:val="-8"/>
        </w:rPr>
        <w:t> </w:t>
      </w:r>
      <w:r>
        <w:rPr/>
        <w:t>es</w:t>
      </w:r>
      <w:r>
        <w:rPr>
          <w:spacing w:val="-8"/>
        </w:rPr>
        <w:t> </w:t>
      </w:r>
      <w:r>
        <w:rPr/>
        <w:t>un</w:t>
      </w:r>
      <w:r>
        <w:rPr>
          <w:spacing w:val="-8"/>
        </w:rPr>
        <w:t> </w:t>
      </w:r>
      <w:r>
        <w:rPr/>
        <w:t>componente</w:t>
      </w:r>
      <w:r>
        <w:rPr>
          <w:spacing w:val="-8"/>
        </w:rPr>
        <w:t> </w:t>
      </w:r>
      <w:r>
        <w:rPr/>
        <w:t>social</w:t>
      </w:r>
      <w:r>
        <w:rPr>
          <w:spacing w:val="-8"/>
        </w:rPr>
        <w:t> </w:t>
      </w:r>
      <w:r>
        <w:rPr/>
        <w:t>sobre</w:t>
      </w:r>
      <w:r>
        <w:rPr>
          <w:spacing w:val="-8"/>
        </w:rPr>
        <w:t> </w:t>
      </w:r>
      <w:r>
        <w:rPr/>
        <w:t>el</w:t>
      </w:r>
      <w:r>
        <w:rPr>
          <w:spacing w:val="-8"/>
        </w:rPr>
        <w:t> </w:t>
      </w:r>
      <w:r>
        <w:rPr/>
        <w:t>cual</w:t>
      </w:r>
      <w:r>
        <w:rPr>
          <w:spacing w:val="-8"/>
        </w:rPr>
        <w:t> </w:t>
      </w:r>
      <w:r>
        <w:rPr/>
        <w:t>se</w:t>
      </w:r>
      <w:r>
        <w:rPr>
          <w:spacing w:val="-8"/>
        </w:rPr>
        <w:t> </w:t>
      </w:r>
      <w:r>
        <w:rPr/>
        <w:t>desarrollan los</w:t>
      </w:r>
      <w:r>
        <w:rPr>
          <w:spacing w:val="-5"/>
        </w:rPr>
        <w:t> </w:t>
      </w:r>
      <w:r>
        <w:rPr/>
        <w:t>procesos</w:t>
      </w:r>
      <w:r>
        <w:rPr>
          <w:spacing w:val="-5"/>
        </w:rPr>
        <w:t> </w:t>
      </w:r>
      <w:r>
        <w:rPr/>
        <w:t>sociales</w:t>
      </w:r>
      <w:r>
        <w:rPr>
          <w:spacing w:val="-5"/>
        </w:rPr>
        <w:t> </w:t>
      </w:r>
      <w:r>
        <w:rPr/>
        <w:t>y</w:t>
      </w:r>
      <w:r>
        <w:rPr>
          <w:spacing w:val="-5"/>
        </w:rPr>
        <w:t> </w:t>
      </w:r>
      <w:r>
        <w:rPr/>
        <w:t>fenómenos</w:t>
      </w:r>
      <w:r>
        <w:rPr>
          <w:spacing w:val="-5"/>
        </w:rPr>
        <w:t> </w:t>
      </w:r>
      <w:r>
        <w:rPr/>
        <w:t>urbanos</w:t>
      </w:r>
      <w:r>
        <w:rPr>
          <w:spacing w:val="-5"/>
        </w:rPr>
        <w:t> </w:t>
      </w:r>
      <w:r>
        <w:rPr/>
        <w:t>que</w:t>
      </w:r>
      <w:r>
        <w:rPr>
          <w:spacing w:val="-5"/>
        </w:rPr>
        <w:t> </w:t>
      </w:r>
      <w:r>
        <w:rPr/>
        <w:t>lo</w:t>
      </w:r>
      <w:r>
        <w:rPr>
          <w:spacing w:val="-5"/>
        </w:rPr>
        <w:t> </w:t>
      </w:r>
      <w:r>
        <w:rPr/>
        <w:t>contienen;</w:t>
      </w:r>
      <w:r>
        <w:rPr>
          <w:spacing w:val="-5"/>
        </w:rPr>
        <w:t> </w:t>
      </w:r>
      <w:r>
        <w:rPr/>
        <w:t>la</w:t>
      </w:r>
      <w:r>
        <w:rPr>
          <w:spacing w:val="-5"/>
        </w:rPr>
        <w:t> </w:t>
      </w:r>
      <w:r>
        <w:rPr/>
        <w:t>diversidad</w:t>
      </w:r>
      <w:r>
        <w:rPr>
          <w:spacing w:val="-5"/>
        </w:rPr>
        <w:t> </w:t>
      </w:r>
      <w:r>
        <w:rPr/>
        <w:t>de</w:t>
      </w:r>
      <w:r>
        <w:rPr>
          <w:spacing w:val="-5"/>
        </w:rPr>
        <w:t> </w:t>
      </w:r>
      <w:r>
        <w:rPr/>
        <w:t>espacios urbanos determinan formas heterogéneas de ocupación del territorio por parte de la población y la configuración física espacial de su estructura y organización. En este sentido, el ámbito contexto metropolitano nos  permitirá  tener  un  fenómeno  en  el que se desarrollan diferentes procesos urbanos y sociales: por un lado, la dinámica demográfica que actualmente se observa en las principales ciudades del país, determinado</w:t>
      </w:r>
      <w:r>
        <w:rPr>
          <w:spacing w:val="-7"/>
        </w:rPr>
        <w:t> </w:t>
      </w:r>
      <w:r>
        <w:rPr/>
        <w:t>por</w:t>
      </w:r>
      <w:r>
        <w:rPr>
          <w:spacing w:val="-7"/>
        </w:rPr>
        <w:t> </w:t>
      </w:r>
      <w:r>
        <w:rPr/>
        <w:t>la</w:t>
      </w:r>
      <w:r>
        <w:rPr>
          <w:spacing w:val="-7"/>
        </w:rPr>
        <w:t> </w:t>
      </w:r>
      <w:r>
        <w:rPr/>
        <w:t>migración</w:t>
      </w:r>
      <w:r>
        <w:rPr>
          <w:spacing w:val="-7"/>
        </w:rPr>
        <w:t> </w:t>
      </w:r>
      <w:r>
        <w:rPr/>
        <w:t>de</w:t>
      </w:r>
      <w:r>
        <w:rPr>
          <w:spacing w:val="-7"/>
        </w:rPr>
        <w:t> </w:t>
      </w:r>
      <w:r>
        <w:rPr/>
        <w:t>la</w:t>
      </w:r>
      <w:r>
        <w:rPr>
          <w:spacing w:val="-7"/>
        </w:rPr>
        <w:t> </w:t>
      </w:r>
      <w:r>
        <w:rPr/>
        <w:t>población</w:t>
      </w:r>
      <w:r>
        <w:rPr>
          <w:spacing w:val="-7"/>
        </w:rPr>
        <w:t> </w:t>
      </w:r>
      <w:r>
        <w:rPr/>
        <w:t>de</w:t>
      </w:r>
      <w:r>
        <w:rPr>
          <w:spacing w:val="-7"/>
        </w:rPr>
        <w:t> </w:t>
      </w:r>
      <w:r>
        <w:rPr/>
        <w:t>las</w:t>
      </w:r>
      <w:r>
        <w:rPr>
          <w:spacing w:val="-7"/>
        </w:rPr>
        <w:t> </w:t>
      </w:r>
      <w:r>
        <w:rPr/>
        <w:t>ciudades</w:t>
      </w:r>
      <w:r>
        <w:rPr>
          <w:spacing w:val="-7"/>
        </w:rPr>
        <w:t> </w:t>
      </w:r>
      <w:r>
        <w:rPr/>
        <w:t>centrales</w:t>
      </w:r>
      <w:r>
        <w:rPr>
          <w:spacing w:val="-7"/>
        </w:rPr>
        <w:t> </w:t>
      </w:r>
      <w:r>
        <w:rPr/>
        <w:t>a</w:t>
      </w:r>
      <w:r>
        <w:rPr>
          <w:spacing w:val="-7"/>
        </w:rPr>
        <w:t> </w:t>
      </w:r>
      <w:r>
        <w:rPr/>
        <w:t>los</w:t>
      </w:r>
      <w:r>
        <w:rPr>
          <w:spacing w:val="-7"/>
        </w:rPr>
        <w:t> </w:t>
      </w:r>
      <w:r>
        <w:rPr/>
        <w:t>municipios intermedios inmediatos; por otro lado, a la ocupación de áreas y zonas urbanizables    y no urbanizables con usos del suelo urbanos, muchas veces alejado de las normas jurídicas y urbanas establecidas en la ley en la materia o los planes municipales de desarrollo</w:t>
      </w:r>
      <w:r>
        <w:rPr>
          <w:spacing w:val="13"/>
        </w:rPr>
        <w:t> </w:t>
      </w:r>
      <w:r>
        <w:rPr/>
        <w:t>urbano.</w:t>
      </w:r>
    </w:p>
    <w:p>
      <w:pPr>
        <w:pStyle w:val="BodyText"/>
        <w:spacing w:before="11"/>
      </w:pPr>
    </w:p>
    <w:p>
      <w:pPr>
        <w:pStyle w:val="BodyText"/>
        <w:spacing w:line="249" w:lineRule="auto"/>
        <w:ind w:left="123" w:firstLine="170"/>
        <w:jc w:val="both"/>
      </w:pPr>
      <w:r>
        <w:rPr/>
        <w:t>En el caso del estudio dirigido al análisis de la variable </w:t>
      </w:r>
      <w:r>
        <w:rPr>
          <w:i/>
        </w:rPr>
        <w:t>vulnerabilidad</w:t>
      </w:r>
      <w:r>
        <w:rPr/>
        <w:t>, permite establecer los principales indicadores a los que están sujetos</w:t>
      </w:r>
      <w:r>
        <w:rPr>
          <w:spacing w:val="-35"/>
        </w:rPr>
        <w:t> </w:t>
      </w:r>
      <w:r>
        <w:rPr/>
        <w:t>determinadas</w:t>
      </w:r>
      <w:r>
        <w:rPr>
          <w:spacing w:val="-4"/>
        </w:rPr>
        <w:t> </w:t>
      </w:r>
      <w:r>
        <w:rPr/>
        <w:t>actividades</w:t>
      </w:r>
      <w:r>
        <w:rPr>
          <w:w w:val="101"/>
        </w:rPr>
        <w:t> </w:t>
      </w:r>
      <w:r>
        <w:rPr/>
        <w:t>productivas. En el caso particular, la producción habitacional es un sector económico que actualmente ha adquirido fuerza en el desarrollo económico del país, en el que el sector de la construcción prolifera en el desarrollo económico y físico de un territorio. Sin embargo, dichas acciones muchas veces no consideran el impacto negativo que tienen sobre otros aspectos y elementos físicos y sociales, dando pie a una serie de procesos disfuncionales acordes a las necesidades territoriales y sociales, en un área determinada. Si bien el proceso metropolitano es un nuevo proceso que determina diversas formas de ocupación y configuración del territorio, también es un proceso que no ha tenido muchos estudios e investigaciones en torno a la vulnerabilidad que se tiene en los aspectos políticos, económicos, sociales, territoriales y </w:t>
      </w:r>
      <w:r>
        <w:rPr>
          <w:spacing w:val="19"/>
        </w:rPr>
        <w:t> </w:t>
      </w:r>
      <w:r>
        <w:rPr/>
        <w:t>ambientales.</w:t>
      </w:r>
    </w:p>
    <w:p>
      <w:pPr>
        <w:pStyle w:val="BodyText"/>
        <w:spacing w:before="11"/>
      </w:pPr>
    </w:p>
    <w:p>
      <w:pPr>
        <w:pStyle w:val="BodyText"/>
        <w:spacing w:line="249" w:lineRule="auto"/>
        <w:ind w:left="123" w:firstLine="170"/>
        <w:jc w:val="both"/>
      </w:pPr>
      <w:r>
        <w:rPr/>
        <w:t>La tercera variable a desarrollar es el dirigido al sector </w:t>
      </w:r>
      <w:r>
        <w:rPr>
          <w:i/>
        </w:rPr>
        <w:t>habitacional</w:t>
      </w:r>
      <w:r>
        <w:rPr/>
        <w:t>, en el que es necesario concebir la importancia que tiene la vivienda como uno de los satisfactores básicos que demanda la población. Los modos de producción de la vivienda son importantes en esta etapa, que se ha desarrollado a través de proceso formales e informales, en el que la construcción de la vivienda masiva constituye el principal</w:t>
      </w:r>
      <w:r>
        <w:rPr>
          <w:spacing w:val="-35"/>
        </w:rPr>
        <w:t> </w:t>
      </w:r>
      <w:r>
        <w:rPr/>
        <w:t>modo</w:t>
      </w:r>
    </w:p>
    <w:p>
      <w:pPr>
        <w:pStyle w:val="BodyText"/>
        <w:spacing w:line="249" w:lineRule="auto" w:before="76"/>
        <w:ind w:left="50" w:right="127"/>
        <w:jc w:val="right"/>
      </w:pPr>
      <w:r>
        <w:rPr/>
        <w:br w:type="column"/>
      </w:r>
      <w:r>
        <w:rPr/>
        <w:t>de producción para satisfacer las necesidades de ciertos sectores de la población</w:t>
      </w:r>
      <w:r>
        <w:rPr>
          <w:w w:val="102"/>
        </w:rPr>
        <w:t> </w:t>
      </w:r>
      <w:r>
        <w:rPr/>
        <w:t>a través de programas oficiales promovidos por el Estado y desarrollados por los</w:t>
      </w:r>
      <w:r>
        <w:rPr>
          <w:w w:val="101"/>
        </w:rPr>
        <w:t> </w:t>
      </w:r>
      <w:r>
        <w:rPr/>
        <w:t>promotores privados inmobiliarios, y cuyas condiciones de desarrollo olvidan otros</w:t>
      </w:r>
      <w:r>
        <w:rPr>
          <w:w w:val="103"/>
        </w:rPr>
        <w:t> </w:t>
      </w:r>
      <w:r>
        <w:rPr/>
        <w:t>componentes físico espaciales para ser funcionales: usos del suelo, infraestructura</w:t>
      </w:r>
      <w:r>
        <w:rPr>
          <w:w w:val="101"/>
        </w:rPr>
        <w:t> </w:t>
      </w:r>
      <w:r>
        <w:rPr/>
        <w:t>vial y transporte, entre otros, en respuesta a su desarrollo fragmentado en el  territorio.</w:t>
      </w:r>
    </w:p>
    <w:p>
      <w:pPr>
        <w:pStyle w:val="BodyText"/>
        <w:spacing w:before="11"/>
      </w:pPr>
    </w:p>
    <w:p>
      <w:pPr>
        <w:pStyle w:val="BodyText"/>
        <w:spacing w:line="249" w:lineRule="auto"/>
        <w:ind w:left="123" w:right="129" w:firstLine="170"/>
        <w:jc w:val="both"/>
      </w:pPr>
      <w:r>
        <w:rPr/>
        <w:t>Con</w:t>
      </w:r>
      <w:r>
        <w:rPr>
          <w:spacing w:val="-5"/>
        </w:rPr>
        <w:t> </w:t>
      </w:r>
      <w:r>
        <w:rPr/>
        <w:t>estas</w:t>
      </w:r>
      <w:r>
        <w:rPr>
          <w:spacing w:val="-5"/>
        </w:rPr>
        <w:t> </w:t>
      </w:r>
      <w:r>
        <w:rPr/>
        <w:t>variables,</w:t>
      </w:r>
      <w:r>
        <w:rPr>
          <w:spacing w:val="-5"/>
        </w:rPr>
        <w:t> </w:t>
      </w:r>
      <w:r>
        <w:rPr/>
        <w:t>se</w:t>
      </w:r>
      <w:r>
        <w:rPr>
          <w:spacing w:val="-5"/>
        </w:rPr>
        <w:t> </w:t>
      </w:r>
      <w:r>
        <w:rPr/>
        <w:t>está</w:t>
      </w:r>
      <w:r>
        <w:rPr>
          <w:spacing w:val="-5"/>
        </w:rPr>
        <w:t> </w:t>
      </w:r>
      <w:r>
        <w:rPr/>
        <w:t>en</w:t>
      </w:r>
      <w:r>
        <w:rPr>
          <w:spacing w:val="-5"/>
        </w:rPr>
        <w:t> </w:t>
      </w:r>
      <w:r>
        <w:rPr/>
        <w:t>posibilidad</w:t>
      </w:r>
      <w:r>
        <w:rPr>
          <w:spacing w:val="-5"/>
        </w:rPr>
        <w:t> </w:t>
      </w:r>
      <w:r>
        <w:rPr/>
        <w:t>de</w:t>
      </w:r>
      <w:r>
        <w:rPr>
          <w:spacing w:val="-5"/>
        </w:rPr>
        <w:t> </w:t>
      </w:r>
      <w:r>
        <w:rPr/>
        <w:t>desarrollar</w:t>
      </w:r>
      <w:r>
        <w:rPr>
          <w:spacing w:val="-5"/>
        </w:rPr>
        <w:t> </w:t>
      </w:r>
      <w:r>
        <w:rPr/>
        <w:t>un</w:t>
      </w:r>
      <w:r>
        <w:rPr>
          <w:spacing w:val="-5"/>
        </w:rPr>
        <w:t> </w:t>
      </w:r>
      <w:r>
        <w:rPr/>
        <w:t>modelo</w:t>
      </w:r>
      <w:r>
        <w:rPr>
          <w:spacing w:val="-5"/>
        </w:rPr>
        <w:t> </w:t>
      </w:r>
      <w:r>
        <w:rPr/>
        <w:t>metodológico</w:t>
      </w:r>
      <w:r>
        <w:rPr>
          <w:spacing w:val="-5"/>
        </w:rPr>
        <w:t> </w:t>
      </w:r>
      <w:r>
        <w:rPr/>
        <w:t>de investigación único e inédito para el tema que nos </w:t>
      </w:r>
      <w:r>
        <w:rPr>
          <w:spacing w:val="1"/>
        </w:rPr>
        <w:t> </w:t>
      </w:r>
      <w:r>
        <w:rPr/>
        <w:t>ocupa.</w:t>
      </w:r>
    </w:p>
    <w:p>
      <w:pPr>
        <w:pStyle w:val="BodyText"/>
        <w:spacing w:before="8"/>
        <w:rPr>
          <w:sz w:val="17"/>
        </w:rPr>
      </w:pPr>
    </w:p>
    <w:p>
      <w:pPr>
        <w:pStyle w:val="Heading1"/>
        <w:numPr>
          <w:ilvl w:val="0"/>
          <w:numId w:val="81"/>
        </w:numPr>
        <w:tabs>
          <w:tab w:pos="654" w:val="left" w:leader="none"/>
        </w:tabs>
        <w:spacing w:line="240" w:lineRule="auto" w:before="0" w:after="0"/>
        <w:ind w:left="653" w:right="0" w:hanging="360"/>
        <w:jc w:val="left"/>
      </w:pPr>
      <w:r>
        <w:rPr/>
        <w:t>Marco contextual del caso de</w:t>
      </w:r>
      <w:r>
        <w:rPr>
          <w:spacing w:val="33"/>
        </w:rPr>
        <w:t> </w:t>
      </w:r>
      <w:r>
        <w:rPr/>
        <w:t>estudio.</w:t>
      </w:r>
    </w:p>
    <w:p>
      <w:pPr>
        <w:pStyle w:val="BodyText"/>
        <w:rPr>
          <w:b/>
          <w:sz w:val="21"/>
        </w:rPr>
      </w:pPr>
    </w:p>
    <w:p>
      <w:pPr>
        <w:pStyle w:val="BodyText"/>
        <w:spacing w:line="249" w:lineRule="auto"/>
        <w:ind w:left="123" w:right="127" w:firstLine="170"/>
        <w:jc w:val="both"/>
      </w:pPr>
      <w:r>
        <w:rPr/>
        <w:t>El desarrollo de la investigación tomando como caso de estudio el contexto metropolitano, permitirá el análisis de un fenómeno urbano contemporáneo característico de los nuevos procesos urbanos en el presente siglo. Para tal efecto,     la clasificación que se tiene en el país para determinar la estructura física del territorio en zonas metropolitanas, permiten establecer un contexto acorde a las nuevas pretensiones que tiene la población en el proceso de ocupación física-espacial. La selección de la zona metropolitana de estudio estará determinado por los objetivos y propósitos de la</w:t>
      </w:r>
      <w:r>
        <w:rPr>
          <w:spacing w:val="46"/>
        </w:rPr>
        <w:t> </w:t>
      </w:r>
      <w:r>
        <w:rPr/>
        <w:t>investigación.</w:t>
      </w:r>
    </w:p>
    <w:p>
      <w:pPr>
        <w:pStyle w:val="BodyText"/>
        <w:spacing w:before="11"/>
      </w:pPr>
    </w:p>
    <w:p>
      <w:pPr>
        <w:pStyle w:val="BodyText"/>
        <w:spacing w:line="249" w:lineRule="auto"/>
        <w:ind w:left="123" w:right="127" w:firstLine="170"/>
        <w:jc w:val="both"/>
      </w:pPr>
      <w:r>
        <w:rPr/>
        <w:t>En este sentido, es necesario realizar un análisis del contexto territorial del a zona metropolitana de estudio, tomando en consideración tres aspectos: a) localización, considerando el contexto territorial de la zona donde se ubica, las actividades productivas y dinámicas demográficas de que ha sido sujeto (considerando al menos tres</w:t>
      </w:r>
      <w:r>
        <w:rPr>
          <w:spacing w:val="-10"/>
        </w:rPr>
        <w:t> </w:t>
      </w:r>
      <w:r>
        <w:rPr/>
        <w:t>décadas);</w:t>
      </w:r>
      <w:r>
        <w:rPr>
          <w:spacing w:val="-10"/>
        </w:rPr>
        <w:t> </w:t>
      </w:r>
      <w:r>
        <w:rPr/>
        <w:t>b)</w:t>
      </w:r>
      <w:r>
        <w:rPr>
          <w:spacing w:val="-10"/>
        </w:rPr>
        <w:t> </w:t>
      </w:r>
      <w:r>
        <w:rPr/>
        <w:t>delimitación,</w:t>
      </w:r>
      <w:r>
        <w:rPr>
          <w:spacing w:val="-10"/>
        </w:rPr>
        <w:t> </w:t>
      </w:r>
      <w:r>
        <w:rPr/>
        <w:t>dirigida</w:t>
      </w:r>
      <w:r>
        <w:rPr>
          <w:spacing w:val="-10"/>
        </w:rPr>
        <w:t> </w:t>
      </w:r>
      <w:r>
        <w:rPr/>
        <w:t>a</w:t>
      </w:r>
      <w:r>
        <w:rPr>
          <w:spacing w:val="-10"/>
        </w:rPr>
        <w:t> </w:t>
      </w:r>
      <w:r>
        <w:rPr/>
        <w:t>la</w:t>
      </w:r>
      <w:r>
        <w:rPr>
          <w:spacing w:val="-10"/>
        </w:rPr>
        <w:t> </w:t>
      </w:r>
      <w:r>
        <w:rPr/>
        <w:t>configuración</w:t>
      </w:r>
      <w:r>
        <w:rPr>
          <w:spacing w:val="-10"/>
        </w:rPr>
        <w:t> </w:t>
      </w:r>
      <w:r>
        <w:rPr/>
        <w:t>de</w:t>
      </w:r>
      <w:r>
        <w:rPr>
          <w:spacing w:val="-10"/>
        </w:rPr>
        <w:t> </w:t>
      </w:r>
      <w:r>
        <w:rPr/>
        <w:t>su</w:t>
      </w:r>
      <w:r>
        <w:rPr>
          <w:spacing w:val="-10"/>
        </w:rPr>
        <w:t> </w:t>
      </w:r>
      <w:r>
        <w:rPr/>
        <w:t>estructura</w:t>
      </w:r>
      <w:r>
        <w:rPr>
          <w:spacing w:val="-10"/>
        </w:rPr>
        <w:t> </w:t>
      </w:r>
      <w:r>
        <w:rPr/>
        <w:t>en</w:t>
      </w:r>
      <w:r>
        <w:rPr>
          <w:spacing w:val="-10"/>
        </w:rPr>
        <w:t> </w:t>
      </w:r>
      <w:r>
        <w:rPr/>
        <w:t>municipios, delegaciones o AGEBs, tomando en consideración el objetivo y propósitos de la investigación y análisis específicos; c) conformación, a través de la selección de los municipios que lo conforman, estableciendo tres niveles de análisis: caso de estudio, zonas de estudio y área de estudio, acordes a las necesidades de la</w:t>
      </w:r>
      <w:r>
        <w:rPr>
          <w:spacing w:val="43"/>
        </w:rPr>
        <w:t> </w:t>
      </w:r>
      <w:r>
        <w:rPr/>
        <w:t>investigación</w:t>
      </w:r>
    </w:p>
    <w:p>
      <w:pPr>
        <w:pStyle w:val="BodyText"/>
        <w:spacing w:before="8"/>
        <w:rPr>
          <w:sz w:val="17"/>
        </w:rPr>
      </w:pPr>
    </w:p>
    <w:p>
      <w:pPr>
        <w:pStyle w:val="Heading1"/>
        <w:numPr>
          <w:ilvl w:val="0"/>
          <w:numId w:val="81"/>
        </w:numPr>
        <w:tabs>
          <w:tab w:pos="654" w:val="left" w:leader="none"/>
        </w:tabs>
        <w:spacing w:line="240" w:lineRule="auto" w:before="0" w:after="0"/>
        <w:ind w:left="653" w:right="0" w:hanging="360"/>
        <w:jc w:val="left"/>
      </w:pPr>
      <w:r>
        <w:rPr/>
        <w:t>Marco contextual del objeto de</w:t>
      </w:r>
      <w:r>
        <w:rPr>
          <w:spacing w:val="38"/>
        </w:rPr>
        <w:t> </w:t>
      </w:r>
      <w:r>
        <w:rPr/>
        <w:t>estudio.</w:t>
      </w:r>
    </w:p>
    <w:p>
      <w:pPr>
        <w:pStyle w:val="BodyText"/>
        <w:rPr>
          <w:b/>
          <w:sz w:val="21"/>
        </w:rPr>
      </w:pPr>
    </w:p>
    <w:p>
      <w:pPr>
        <w:pStyle w:val="BodyText"/>
        <w:spacing w:line="249" w:lineRule="auto"/>
        <w:ind w:left="123" w:right="127" w:firstLine="170"/>
        <w:jc w:val="both"/>
      </w:pPr>
      <w:r>
        <w:rPr/>
        <w:t>El análisis correspondiente al caso de estudio, se desarrollará una vez que se tenga identificado el caso de estudio. En el sentido estricto, comprende la caracterización de la forma en que se han desarrollado los modos de producción habitacional en la zona metropolitana seleccionada, a partir de tres</w:t>
      </w:r>
      <w:r>
        <w:rPr>
          <w:spacing w:val="53"/>
        </w:rPr>
        <w:t> </w:t>
      </w:r>
      <w:r>
        <w:rPr/>
        <w:t>dimensiones:</w:t>
      </w:r>
    </w:p>
    <w:p>
      <w:pPr>
        <w:pStyle w:val="BodyText"/>
        <w:spacing w:before="11"/>
      </w:pPr>
    </w:p>
    <w:p>
      <w:pPr>
        <w:pStyle w:val="BodyText"/>
        <w:spacing w:line="249" w:lineRule="auto"/>
        <w:ind w:left="123" w:right="127" w:firstLine="170"/>
        <w:jc w:val="both"/>
      </w:pPr>
      <w:r>
        <w:rPr/>
        <w:t>La investigación del proceso de autorización de los desarrollos habitacionales promovidos por el Estado mediante la participación de los promotores inmobiliarios privados. Aquí se deben establecer y delimitar las responsabilidades del sector público, privado y social, así como el papel fundamental que tienen cada uno de ellos en el proceso. Este análisis va acompañado de los procesos de gestión y </w:t>
      </w:r>
      <w:r>
        <w:rPr>
          <w:spacing w:val="6"/>
        </w:rPr>
        <w:t> </w:t>
      </w:r>
      <w:r>
        <w:rPr/>
        <w:t>autorización</w:t>
      </w:r>
    </w:p>
    <w:p>
      <w:pPr>
        <w:spacing w:after="0" w:line="249" w:lineRule="auto"/>
        <w:jc w:val="both"/>
        <w:sectPr>
          <w:type w:val="continuous"/>
          <w:pgSz w:w="18830" w:h="12760" w:orient="landscape"/>
          <w:pgMar w:top="1420" w:bottom="280" w:left="720" w:right="720"/>
          <w:cols w:num="2" w:equalWidth="0">
            <w:col w:w="7835" w:space="1582"/>
            <w:col w:w="7973"/>
          </w:cols>
        </w:sectPr>
      </w:pPr>
    </w:p>
    <w:p>
      <w:pPr>
        <w:pStyle w:val="BodyText"/>
        <w:spacing w:before="6"/>
        <w:rPr>
          <w:sz w:val="23"/>
        </w:rPr>
      </w:pPr>
    </w:p>
    <w:p>
      <w:pPr>
        <w:spacing w:after="0"/>
        <w:rPr>
          <w:sz w:val="23"/>
        </w:rPr>
        <w:sectPr>
          <w:footerReference w:type="default" r:id="rId474"/>
          <w:pgSz w:w="18830" w:h="12760" w:orient="landscape"/>
          <w:pgMar w:footer="1036" w:header="522" w:top="820" w:bottom="1220" w:left="720" w:right="720"/>
        </w:sectPr>
      </w:pPr>
    </w:p>
    <w:p>
      <w:pPr>
        <w:pStyle w:val="BodyText"/>
        <w:spacing w:line="249" w:lineRule="auto" w:before="76"/>
        <w:ind w:left="123"/>
      </w:pPr>
      <w:r>
        <w:rPr/>
        <w:t>de los desarrollos habitacionales, tomando en consideración los requerimientos y consideraciones de autorización.</w:t>
      </w:r>
    </w:p>
    <w:p>
      <w:pPr>
        <w:pStyle w:val="BodyText"/>
        <w:spacing w:before="11"/>
      </w:pPr>
    </w:p>
    <w:p>
      <w:pPr>
        <w:pStyle w:val="BodyText"/>
        <w:spacing w:line="249" w:lineRule="auto"/>
        <w:ind w:left="123" w:firstLine="170"/>
        <w:jc w:val="both"/>
      </w:pPr>
      <w:r>
        <w:rPr/>
        <w:t>Un segundo aspecto es la identificación del número de acciones que se han desarrollado en la zona metropolitana de estudio, información que será vertida a nivel municipal y, posteriormente, en el proceso metropolitano. Esta información permitirá observar la tendencia que tienen el desarrollo de acciones habitacionales en sólo unos cuantos municipios; asimismo, permitirá observar cuál es la orientación del desarrollo de este tipo de acciones en la zona metropolitana seleccionada, con la finalidad de observar la forma (concentrada o fragmentada) de cómo se distribuyen en el territorio metropolitano.</w:t>
      </w:r>
    </w:p>
    <w:p>
      <w:pPr>
        <w:pStyle w:val="BodyText"/>
        <w:spacing w:before="8"/>
        <w:rPr>
          <w:sz w:val="17"/>
        </w:rPr>
      </w:pPr>
    </w:p>
    <w:p>
      <w:pPr>
        <w:pStyle w:val="Heading1"/>
        <w:numPr>
          <w:ilvl w:val="0"/>
          <w:numId w:val="81"/>
        </w:numPr>
        <w:tabs>
          <w:tab w:pos="654" w:val="left" w:leader="none"/>
        </w:tabs>
        <w:spacing w:line="240" w:lineRule="auto" w:before="0" w:after="0"/>
        <w:ind w:left="653" w:right="0" w:hanging="360"/>
        <w:jc w:val="left"/>
      </w:pPr>
      <w:r>
        <w:rPr/>
        <w:t>Aplicación de</w:t>
      </w:r>
      <w:r>
        <w:rPr>
          <w:spacing w:val="-16"/>
        </w:rPr>
        <w:t> </w:t>
      </w:r>
      <w:r>
        <w:rPr/>
        <w:t>indicadores</w:t>
      </w:r>
    </w:p>
    <w:p>
      <w:pPr>
        <w:pStyle w:val="BodyText"/>
        <w:rPr>
          <w:b/>
          <w:sz w:val="21"/>
        </w:rPr>
      </w:pPr>
    </w:p>
    <w:p>
      <w:pPr>
        <w:pStyle w:val="BodyText"/>
        <w:spacing w:line="249" w:lineRule="auto"/>
        <w:ind w:left="123" w:firstLine="170"/>
        <w:jc w:val="both"/>
      </w:pPr>
      <w:r>
        <w:rPr/>
        <w:t>En este análisis se vierte la aplicación de indicadores que permitirán medir la vulnerabilidad que tienen los modos de producción de la vivienda a través de los conjuntos urbanos habitacionales en la zona metropolitana de estudio, a fin de identificar la problemática vertida en torno a su funcionalidad en materia territorial, social y ambiental. La aplicación de indicadores para evaluar la vulnerabilidad será mediante el análisis de los siguientes aspectos:</w:t>
      </w:r>
    </w:p>
    <w:p>
      <w:pPr>
        <w:pStyle w:val="BodyText"/>
        <w:spacing w:before="11"/>
      </w:pPr>
    </w:p>
    <w:p>
      <w:pPr>
        <w:pStyle w:val="ListParagraph"/>
        <w:numPr>
          <w:ilvl w:val="1"/>
          <w:numId w:val="81"/>
        </w:numPr>
        <w:tabs>
          <w:tab w:pos="578" w:val="left" w:leader="none"/>
        </w:tabs>
        <w:spacing w:line="249" w:lineRule="auto" w:before="0" w:after="0"/>
        <w:ind w:left="577" w:right="0" w:hanging="284"/>
        <w:jc w:val="both"/>
        <w:rPr>
          <w:sz w:val="20"/>
        </w:rPr>
      </w:pPr>
      <w:r>
        <w:rPr>
          <w:sz w:val="20"/>
        </w:rPr>
        <w:t>Físico-naturales, relacionados con la forma en que estos modos de producción determinan la ocupación y desarrollo de un espacio urbano, sustituyendo otros  de índole natural; es decir, como las acciones habitacionales sustituyen otras actividades productivas: cambios de usos agrícolas a </w:t>
      </w:r>
      <w:r>
        <w:rPr>
          <w:spacing w:val="19"/>
          <w:sz w:val="20"/>
        </w:rPr>
        <w:t> </w:t>
      </w:r>
      <w:r>
        <w:rPr>
          <w:sz w:val="20"/>
        </w:rPr>
        <w:t>habitacionales.</w:t>
      </w:r>
    </w:p>
    <w:p>
      <w:pPr>
        <w:pStyle w:val="ListParagraph"/>
        <w:numPr>
          <w:ilvl w:val="1"/>
          <w:numId w:val="81"/>
        </w:numPr>
        <w:tabs>
          <w:tab w:pos="578" w:val="left" w:leader="none"/>
        </w:tabs>
        <w:spacing w:line="249" w:lineRule="auto" w:before="1" w:after="0"/>
        <w:ind w:left="577" w:right="0" w:hanging="284"/>
        <w:jc w:val="both"/>
        <w:rPr>
          <w:sz w:val="20"/>
        </w:rPr>
      </w:pPr>
      <w:r>
        <w:rPr>
          <w:sz w:val="20"/>
        </w:rPr>
        <w:t>Ecológicos, considerando las formas en que estos desarrollos habitacionales impactan sobre los recursos naturales que lo rodena, impactando en el medio ambiente (ruido y</w:t>
      </w:r>
      <w:r>
        <w:rPr>
          <w:spacing w:val="14"/>
          <w:sz w:val="20"/>
        </w:rPr>
        <w:t> </w:t>
      </w:r>
      <w:r>
        <w:rPr>
          <w:sz w:val="20"/>
        </w:rPr>
        <w:t>contaminación)</w:t>
      </w:r>
    </w:p>
    <w:p>
      <w:pPr>
        <w:pStyle w:val="ListParagraph"/>
        <w:numPr>
          <w:ilvl w:val="1"/>
          <w:numId w:val="81"/>
        </w:numPr>
        <w:tabs>
          <w:tab w:pos="578" w:val="left" w:leader="none"/>
        </w:tabs>
        <w:spacing w:line="249" w:lineRule="auto" w:before="1" w:after="0"/>
        <w:ind w:left="577" w:right="1" w:hanging="284"/>
        <w:jc w:val="both"/>
        <w:rPr>
          <w:sz w:val="20"/>
        </w:rPr>
      </w:pPr>
      <w:r>
        <w:rPr>
          <w:sz w:val="20"/>
        </w:rPr>
        <w:t>Sociales, refiriéndose a la inclusión de nuevos estratos sociales de la población, impactando en el crecimiento social de la población en determinado </w:t>
      </w:r>
      <w:r>
        <w:rPr>
          <w:spacing w:val="52"/>
          <w:sz w:val="20"/>
        </w:rPr>
        <w:t> </w:t>
      </w:r>
      <w:r>
        <w:rPr>
          <w:sz w:val="20"/>
        </w:rPr>
        <w:t>territorio.</w:t>
      </w:r>
    </w:p>
    <w:p>
      <w:pPr>
        <w:pStyle w:val="ListParagraph"/>
        <w:numPr>
          <w:ilvl w:val="1"/>
          <w:numId w:val="81"/>
        </w:numPr>
        <w:tabs>
          <w:tab w:pos="578" w:val="left" w:leader="none"/>
        </w:tabs>
        <w:spacing w:line="249" w:lineRule="auto" w:before="1" w:after="0"/>
        <w:ind w:left="577" w:right="0" w:hanging="284"/>
        <w:jc w:val="both"/>
        <w:rPr>
          <w:sz w:val="20"/>
        </w:rPr>
      </w:pPr>
      <w:r>
        <w:rPr>
          <w:sz w:val="20"/>
        </w:rPr>
        <w:t>Económicos, que sugiere el análisis de los cambios, modificaciones e inclusión</w:t>
      </w:r>
      <w:r>
        <w:rPr>
          <w:spacing w:val="-29"/>
          <w:sz w:val="20"/>
        </w:rPr>
        <w:t> </w:t>
      </w:r>
      <w:r>
        <w:rPr>
          <w:sz w:val="20"/>
        </w:rPr>
        <w:t>de nuevas  actividades</w:t>
      </w:r>
      <w:r>
        <w:rPr>
          <w:spacing w:val="39"/>
          <w:sz w:val="20"/>
        </w:rPr>
        <w:t> </w:t>
      </w:r>
      <w:r>
        <w:rPr>
          <w:sz w:val="20"/>
        </w:rPr>
        <w:t>productivas.</w:t>
      </w:r>
    </w:p>
    <w:p>
      <w:pPr>
        <w:pStyle w:val="ListParagraph"/>
        <w:numPr>
          <w:ilvl w:val="1"/>
          <w:numId w:val="81"/>
        </w:numPr>
        <w:tabs>
          <w:tab w:pos="578" w:val="left" w:leader="none"/>
        </w:tabs>
        <w:spacing w:line="249" w:lineRule="auto" w:before="1" w:after="0"/>
        <w:ind w:left="577" w:right="0" w:hanging="284"/>
        <w:jc w:val="both"/>
        <w:rPr>
          <w:sz w:val="20"/>
        </w:rPr>
      </w:pPr>
      <w:r>
        <w:rPr>
          <w:sz w:val="20"/>
        </w:rPr>
        <w:t>Físico-espaciales, refiriéndose a las formas de ocupación</w:t>
      </w:r>
      <w:r>
        <w:rPr>
          <w:spacing w:val="22"/>
          <w:sz w:val="20"/>
        </w:rPr>
        <w:t> </w:t>
      </w:r>
      <w:r>
        <w:rPr>
          <w:sz w:val="20"/>
        </w:rPr>
        <w:t>del</w:t>
      </w:r>
      <w:r>
        <w:rPr>
          <w:spacing w:val="19"/>
          <w:sz w:val="20"/>
        </w:rPr>
        <w:t> </w:t>
      </w:r>
      <w:r>
        <w:rPr>
          <w:sz w:val="20"/>
        </w:rPr>
        <w:t>espacio,</w:t>
      </w:r>
      <w:r>
        <w:rPr>
          <w:w w:val="101"/>
          <w:sz w:val="20"/>
        </w:rPr>
        <w:t> </w:t>
      </w:r>
      <w:r>
        <w:rPr>
          <w:sz w:val="20"/>
        </w:rPr>
        <w:t>determinando con ello la estructura y composición (dispersa y/o fragmentada) del territorio.</w:t>
      </w:r>
    </w:p>
    <w:p>
      <w:pPr>
        <w:pStyle w:val="ListParagraph"/>
        <w:numPr>
          <w:ilvl w:val="1"/>
          <w:numId w:val="81"/>
        </w:numPr>
        <w:tabs>
          <w:tab w:pos="578" w:val="left" w:leader="none"/>
        </w:tabs>
        <w:spacing w:line="249" w:lineRule="auto" w:before="1" w:after="0"/>
        <w:ind w:left="577" w:right="1" w:hanging="284"/>
        <w:jc w:val="both"/>
        <w:rPr>
          <w:sz w:val="20"/>
        </w:rPr>
      </w:pPr>
      <w:r>
        <w:rPr>
          <w:sz w:val="20"/>
        </w:rPr>
        <w:t>Territoriales, relacionados con los nuevos procesos y estructura del territorio, tomando niveles municipales y</w:t>
      </w:r>
      <w:r>
        <w:rPr>
          <w:spacing w:val="28"/>
          <w:sz w:val="20"/>
        </w:rPr>
        <w:t> </w:t>
      </w:r>
      <w:r>
        <w:rPr>
          <w:sz w:val="20"/>
        </w:rPr>
        <w:t>locales.</w:t>
      </w:r>
    </w:p>
    <w:p>
      <w:pPr>
        <w:pStyle w:val="ListParagraph"/>
        <w:numPr>
          <w:ilvl w:val="1"/>
          <w:numId w:val="81"/>
        </w:numPr>
        <w:tabs>
          <w:tab w:pos="578" w:val="left" w:leader="none"/>
        </w:tabs>
        <w:spacing w:line="249" w:lineRule="auto" w:before="1" w:after="0"/>
        <w:ind w:left="577" w:right="1" w:hanging="284"/>
        <w:jc w:val="both"/>
        <w:rPr>
          <w:sz w:val="20"/>
        </w:rPr>
      </w:pPr>
      <w:r>
        <w:rPr>
          <w:sz w:val="20"/>
        </w:rPr>
        <w:t>Tecnológicos, que hacen alusión a los modos de producción de vivienda masiva (industriales)</w:t>
      </w:r>
    </w:p>
    <w:p>
      <w:pPr>
        <w:pStyle w:val="ListParagraph"/>
        <w:numPr>
          <w:ilvl w:val="1"/>
          <w:numId w:val="81"/>
        </w:numPr>
        <w:tabs>
          <w:tab w:pos="578" w:val="left" w:leader="none"/>
        </w:tabs>
        <w:spacing w:line="249" w:lineRule="auto" w:before="1" w:after="0"/>
        <w:ind w:left="577" w:right="0" w:hanging="284"/>
        <w:jc w:val="both"/>
        <w:rPr>
          <w:sz w:val="20"/>
        </w:rPr>
      </w:pPr>
      <w:r>
        <w:rPr>
          <w:sz w:val="20"/>
        </w:rPr>
        <w:t>Culturales,</w:t>
      </w:r>
      <w:r>
        <w:rPr>
          <w:spacing w:val="25"/>
          <w:sz w:val="20"/>
        </w:rPr>
        <w:t> </w:t>
      </w:r>
      <w:r>
        <w:rPr>
          <w:sz w:val="20"/>
        </w:rPr>
        <w:t>que</w:t>
      </w:r>
      <w:r>
        <w:rPr>
          <w:spacing w:val="25"/>
          <w:sz w:val="20"/>
        </w:rPr>
        <w:t> </w:t>
      </w:r>
      <w:r>
        <w:rPr>
          <w:sz w:val="20"/>
        </w:rPr>
        <w:t>incluye</w:t>
      </w:r>
      <w:r>
        <w:rPr>
          <w:spacing w:val="25"/>
          <w:sz w:val="20"/>
        </w:rPr>
        <w:t> </w:t>
      </w:r>
      <w:r>
        <w:rPr>
          <w:sz w:val="20"/>
        </w:rPr>
        <w:t>la</w:t>
      </w:r>
      <w:r>
        <w:rPr>
          <w:spacing w:val="25"/>
          <w:sz w:val="20"/>
        </w:rPr>
        <w:t> </w:t>
      </w:r>
      <w:r>
        <w:rPr>
          <w:sz w:val="20"/>
        </w:rPr>
        <w:t>incorporación</w:t>
      </w:r>
      <w:r>
        <w:rPr>
          <w:spacing w:val="25"/>
          <w:sz w:val="20"/>
        </w:rPr>
        <w:t> </w:t>
      </w:r>
      <w:r>
        <w:rPr>
          <w:sz w:val="20"/>
        </w:rPr>
        <w:t>de</w:t>
      </w:r>
      <w:r>
        <w:rPr>
          <w:spacing w:val="25"/>
          <w:sz w:val="20"/>
        </w:rPr>
        <w:t> </w:t>
      </w:r>
      <w:r>
        <w:rPr>
          <w:sz w:val="20"/>
        </w:rPr>
        <w:t>ideologías</w:t>
      </w:r>
      <w:r>
        <w:rPr>
          <w:spacing w:val="25"/>
          <w:sz w:val="20"/>
        </w:rPr>
        <w:t> </w:t>
      </w:r>
      <w:r>
        <w:rPr>
          <w:sz w:val="20"/>
        </w:rPr>
        <w:t>de</w:t>
      </w:r>
      <w:r>
        <w:rPr>
          <w:spacing w:val="25"/>
          <w:sz w:val="20"/>
        </w:rPr>
        <w:t> </w:t>
      </w:r>
      <w:r>
        <w:rPr>
          <w:sz w:val="20"/>
        </w:rPr>
        <w:t>los</w:t>
      </w:r>
      <w:r>
        <w:rPr>
          <w:spacing w:val="25"/>
          <w:sz w:val="20"/>
        </w:rPr>
        <w:t> </w:t>
      </w:r>
      <w:r>
        <w:rPr>
          <w:sz w:val="20"/>
        </w:rPr>
        <w:t>nuevos</w:t>
      </w:r>
      <w:r>
        <w:rPr>
          <w:spacing w:val="25"/>
          <w:sz w:val="20"/>
        </w:rPr>
        <w:t> </w:t>
      </w:r>
      <w:r>
        <w:rPr>
          <w:sz w:val="20"/>
        </w:rPr>
        <w:t>habitantes</w:t>
      </w:r>
      <w:r>
        <w:rPr>
          <w:w w:val="101"/>
          <w:sz w:val="20"/>
        </w:rPr>
        <w:t> </w:t>
      </w:r>
      <w:r>
        <w:rPr>
          <w:sz w:val="20"/>
        </w:rPr>
        <w:t>con respecto a los procesos culturales de la sociedad </w:t>
      </w:r>
      <w:r>
        <w:rPr>
          <w:spacing w:val="23"/>
          <w:sz w:val="20"/>
        </w:rPr>
        <w:t> </w:t>
      </w:r>
      <w:r>
        <w:rPr>
          <w:sz w:val="20"/>
        </w:rPr>
        <w:t>oriunda.</w:t>
      </w:r>
    </w:p>
    <w:p>
      <w:pPr>
        <w:pStyle w:val="BodyText"/>
        <w:rPr>
          <w:sz w:val="24"/>
        </w:rPr>
      </w:pPr>
      <w:r>
        <w:rPr/>
        <w:br w:type="column"/>
      </w:r>
      <w:r>
        <w:rPr>
          <w:sz w:val="24"/>
        </w:rPr>
      </w:r>
    </w:p>
    <w:p>
      <w:pPr>
        <w:pStyle w:val="BodyText"/>
        <w:spacing w:before="1"/>
        <w:rPr>
          <w:sz w:val="21"/>
        </w:rPr>
      </w:pPr>
    </w:p>
    <w:p>
      <w:pPr>
        <w:pStyle w:val="Heading1"/>
        <w:ind w:left="293"/>
      </w:pPr>
      <w:r>
        <w:rPr/>
        <w:t>Resultados esperados</w:t>
      </w:r>
    </w:p>
    <w:p>
      <w:pPr>
        <w:pStyle w:val="BodyText"/>
        <w:rPr>
          <w:b/>
          <w:sz w:val="21"/>
        </w:rPr>
      </w:pPr>
    </w:p>
    <w:p>
      <w:pPr>
        <w:pStyle w:val="BodyText"/>
        <w:spacing w:line="249" w:lineRule="auto"/>
        <w:ind w:left="123" w:right="120" w:firstLine="170"/>
        <w:jc w:val="both"/>
      </w:pPr>
      <w:r>
        <w:rPr/>
        <w:t>Si bien existen estudios relacionados con la producción de la vivienda mediante procesos de tipo industrial, en un sistema capitalista, éstos no ahondan en el proceso de producción de los conjuntos urbanos habitacionales en un contexto metropolitano. La investigación pretende obtener resultados inéditos en relación</w:t>
      </w:r>
      <w:r>
        <w:rPr>
          <w:spacing w:val="52"/>
        </w:rPr>
        <w:t> </w:t>
      </w:r>
      <w:r>
        <w:rPr/>
        <w:t>a:</w:t>
      </w:r>
    </w:p>
    <w:p>
      <w:pPr>
        <w:pStyle w:val="BodyText"/>
        <w:spacing w:before="11"/>
      </w:pPr>
    </w:p>
    <w:p>
      <w:pPr>
        <w:pStyle w:val="ListParagraph"/>
        <w:numPr>
          <w:ilvl w:val="2"/>
          <w:numId w:val="81"/>
        </w:numPr>
        <w:tabs>
          <w:tab w:pos="654" w:val="left" w:leader="none"/>
        </w:tabs>
        <w:spacing w:line="249" w:lineRule="auto" w:before="0" w:after="0"/>
        <w:ind w:left="653" w:right="120" w:hanging="360"/>
        <w:jc w:val="both"/>
        <w:rPr>
          <w:sz w:val="20"/>
        </w:rPr>
      </w:pPr>
      <w:r>
        <w:rPr>
          <w:sz w:val="20"/>
        </w:rPr>
        <w:t>Revisión de la evolución de la normatividad jurídica sobre la autorización y producción de la vivienda en un sistema</w:t>
      </w:r>
      <w:r>
        <w:rPr>
          <w:spacing w:val="53"/>
          <w:sz w:val="20"/>
        </w:rPr>
        <w:t> </w:t>
      </w:r>
      <w:r>
        <w:rPr>
          <w:sz w:val="20"/>
        </w:rPr>
        <w:t>capitalista;</w:t>
      </w:r>
    </w:p>
    <w:p>
      <w:pPr>
        <w:pStyle w:val="ListParagraph"/>
        <w:numPr>
          <w:ilvl w:val="2"/>
          <w:numId w:val="81"/>
        </w:numPr>
        <w:tabs>
          <w:tab w:pos="654" w:val="left" w:leader="none"/>
        </w:tabs>
        <w:spacing w:line="249" w:lineRule="auto" w:before="1" w:after="0"/>
        <w:ind w:left="653" w:right="121" w:hanging="360"/>
        <w:jc w:val="both"/>
        <w:rPr>
          <w:sz w:val="20"/>
        </w:rPr>
      </w:pPr>
      <w:r>
        <w:rPr>
          <w:sz w:val="20"/>
        </w:rPr>
        <w:t>Desarrollo de un modelo teórico y metodológico de investigación para analizar el proceso de producción de la vivienda mediante el conjunto urbano </w:t>
      </w:r>
      <w:r>
        <w:rPr>
          <w:spacing w:val="48"/>
          <w:sz w:val="20"/>
        </w:rPr>
        <w:t> </w:t>
      </w:r>
      <w:r>
        <w:rPr>
          <w:sz w:val="20"/>
        </w:rPr>
        <w:t>habitacional;</w:t>
      </w:r>
    </w:p>
    <w:p>
      <w:pPr>
        <w:pStyle w:val="ListParagraph"/>
        <w:numPr>
          <w:ilvl w:val="2"/>
          <w:numId w:val="81"/>
        </w:numPr>
        <w:tabs>
          <w:tab w:pos="654" w:val="left" w:leader="none"/>
        </w:tabs>
        <w:spacing w:line="249" w:lineRule="auto" w:before="1" w:after="0"/>
        <w:ind w:left="653" w:right="120" w:hanging="360"/>
        <w:jc w:val="both"/>
        <w:rPr>
          <w:sz w:val="20"/>
        </w:rPr>
      </w:pPr>
      <w:r>
        <w:rPr>
          <w:sz w:val="20"/>
        </w:rPr>
        <w:t>Formulación  de  un  sistema  de  indicadores  para  analizar  la  vulnerabilidad   y funcionalidad de los conjuntos urbanos habitacionales en el contexto metropolitano;</w:t>
      </w:r>
    </w:p>
    <w:p>
      <w:pPr>
        <w:pStyle w:val="ListParagraph"/>
        <w:numPr>
          <w:ilvl w:val="2"/>
          <w:numId w:val="81"/>
        </w:numPr>
        <w:tabs>
          <w:tab w:pos="654" w:val="left" w:leader="none"/>
        </w:tabs>
        <w:spacing w:line="249" w:lineRule="auto" w:before="1" w:after="0"/>
        <w:ind w:left="653" w:right="120" w:hanging="360"/>
        <w:jc w:val="both"/>
        <w:rPr>
          <w:sz w:val="20"/>
        </w:rPr>
      </w:pPr>
      <w:r>
        <w:rPr>
          <w:sz w:val="20"/>
        </w:rPr>
        <w:t>Identificación,</w:t>
      </w:r>
      <w:r>
        <w:rPr>
          <w:spacing w:val="-21"/>
          <w:sz w:val="20"/>
        </w:rPr>
        <w:t> </w:t>
      </w:r>
      <w:r>
        <w:rPr>
          <w:sz w:val="20"/>
        </w:rPr>
        <w:t>localización,</w:t>
      </w:r>
      <w:r>
        <w:rPr>
          <w:spacing w:val="-21"/>
          <w:sz w:val="20"/>
        </w:rPr>
        <w:t> </w:t>
      </w:r>
      <w:r>
        <w:rPr>
          <w:sz w:val="20"/>
        </w:rPr>
        <w:t>caracterización</w:t>
      </w:r>
      <w:r>
        <w:rPr>
          <w:spacing w:val="-21"/>
          <w:sz w:val="20"/>
        </w:rPr>
        <w:t> </w:t>
      </w:r>
      <w:r>
        <w:rPr>
          <w:sz w:val="20"/>
        </w:rPr>
        <w:t>y</w:t>
      </w:r>
      <w:r>
        <w:rPr>
          <w:spacing w:val="-21"/>
          <w:sz w:val="20"/>
        </w:rPr>
        <w:t> </w:t>
      </w:r>
      <w:r>
        <w:rPr>
          <w:sz w:val="20"/>
        </w:rPr>
        <w:t>análisis</w:t>
      </w:r>
      <w:r>
        <w:rPr>
          <w:spacing w:val="-21"/>
          <w:sz w:val="20"/>
        </w:rPr>
        <w:t> </w:t>
      </w:r>
      <w:r>
        <w:rPr>
          <w:sz w:val="20"/>
        </w:rPr>
        <w:t>de</w:t>
      </w:r>
      <w:r>
        <w:rPr>
          <w:spacing w:val="-21"/>
          <w:sz w:val="20"/>
        </w:rPr>
        <w:t> </w:t>
      </w:r>
      <w:r>
        <w:rPr>
          <w:sz w:val="20"/>
        </w:rPr>
        <w:t>las</w:t>
      </w:r>
      <w:r>
        <w:rPr>
          <w:spacing w:val="-21"/>
          <w:sz w:val="20"/>
        </w:rPr>
        <w:t> </w:t>
      </w:r>
      <w:r>
        <w:rPr>
          <w:sz w:val="20"/>
        </w:rPr>
        <w:t>acciones</w:t>
      </w:r>
      <w:r>
        <w:rPr>
          <w:spacing w:val="-21"/>
          <w:sz w:val="20"/>
        </w:rPr>
        <w:t> </w:t>
      </w:r>
      <w:r>
        <w:rPr>
          <w:sz w:val="20"/>
        </w:rPr>
        <w:t>desarrolladas a través de los conjuntos urbanos</w:t>
      </w:r>
      <w:r>
        <w:rPr>
          <w:spacing w:val="42"/>
          <w:sz w:val="20"/>
        </w:rPr>
        <w:t> </w:t>
      </w:r>
      <w:r>
        <w:rPr>
          <w:sz w:val="20"/>
        </w:rPr>
        <w:t>habitacionales;</w:t>
      </w:r>
    </w:p>
    <w:p>
      <w:pPr>
        <w:pStyle w:val="ListParagraph"/>
        <w:numPr>
          <w:ilvl w:val="2"/>
          <w:numId w:val="81"/>
        </w:numPr>
        <w:tabs>
          <w:tab w:pos="654" w:val="left" w:leader="none"/>
        </w:tabs>
        <w:spacing w:line="249" w:lineRule="auto" w:before="1" w:after="0"/>
        <w:ind w:left="653" w:right="121" w:hanging="360"/>
        <w:jc w:val="both"/>
        <w:rPr>
          <w:sz w:val="20"/>
        </w:rPr>
      </w:pPr>
      <w:r>
        <w:rPr>
          <w:sz w:val="20"/>
        </w:rPr>
        <w:t>Analizar</w:t>
      </w:r>
      <w:r>
        <w:rPr>
          <w:spacing w:val="-6"/>
          <w:sz w:val="20"/>
        </w:rPr>
        <w:t> </w:t>
      </w:r>
      <w:r>
        <w:rPr>
          <w:sz w:val="20"/>
        </w:rPr>
        <w:t>la</w:t>
      </w:r>
      <w:r>
        <w:rPr>
          <w:spacing w:val="-6"/>
          <w:sz w:val="20"/>
        </w:rPr>
        <w:t> </w:t>
      </w:r>
      <w:r>
        <w:rPr>
          <w:sz w:val="20"/>
        </w:rPr>
        <w:t>vulnerabilidad</w:t>
      </w:r>
      <w:r>
        <w:rPr>
          <w:spacing w:val="-6"/>
          <w:sz w:val="20"/>
        </w:rPr>
        <w:t> </w:t>
      </w:r>
      <w:r>
        <w:rPr>
          <w:sz w:val="20"/>
        </w:rPr>
        <w:t>y</w:t>
      </w:r>
      <w:r>
        <w:rPr>
          <w:spacing w:val="-6"/>
          <w:sz w:val="20"/>
        </w:rPr>
        <w:t> </w:t>
      </w:r>
      <w:r>
        <w:rPr>
          <w:sz w:val="20"/>
        </w:rPr>
        <w:t>funcionalidad</w:t>
      </w:r>
      <w:r>
        <w:rPr>
          <w:spacing w:val="-6"/>
          <w:sz w:val="20"/>
        </w:rPr>
        <w:t> </w:t>
      </w:r>
      <w:r>
        <w:rPr>
          <w:sz w:val="20"/>
        </w:rPr>
        <w:t>de</w:t>
      </w:r>
      <w:r>
        <w:rPr>
          <w:spacing w:val="-6"/>
          <w:sz w:val="20"/>
        </w:rPr>
        <w:t> </w:t>
      </w:r>
      <w:r>
        <w:rPr>
          <w:sz w:val="20"/>
        </w:rPr>
        <w:t>los</w:t>
      </w:r>
      <w:r>
        <w:rPr>
          <w:spacing w:val="-6"/>
          <w:sz w:val="20"/>
        </w:rPr>
        <w:t> </w:t>
      </w:r>
      <w:r>
        <w:rPr>
          <w:sz w:val="20"/>
        </w:rPr>
        <w:t>conjuntos</w:t>
      </w:r>
      <w:r>
        <w:rPr>
          <w:spacing w:val="-6"/>
          <w:sz w:val="20"/>
        </w:rPr>
        <w:t> </w:t>
      </w:r>
      <w:r>
        <w:rPr>
          <w:sz w:val="20"/>
        </w:rPr>
        <w:t>urbanos</w:t>
      </w:r>
      <w:r>
        <w:rPr>
          <w:spacing w:val="-6"/>
          <w:sz w:val="20"/>
        </w:rPr>
        <w:t> </w:t>
      </w:r>
      <w:r>
        <w:rPr>
          <w:sz w:val="20"/>
        </w:rPr>
        <w:t>habitacionales desarrollados en un contexto metropolitano, en el ámbito demográfico, socioeconómico y residencial, que permitan priorizar las intervenciones de carácter socio-urbanístico por parte de los poderes públicos  </w:t>
      </w:r>
      <w:r>
        <w:rPr>
          <w:spacing w:val="23"/>
          <w:sz w:val="20"/>
        </w:rPr>
        <w:t> </w:t>
      </w:r>
      <w:r>
        <w:rPr>
          <w:sz w:val="20"/>
        </w:rPr>
        <w:t>competentes.</w:t>
      </w:r>
    </w:p>
    <w:p>
      <w:pPr>
        <w:spacing w:after="0" w:line="249" w:lineRule="auto"/>
        <w:jc w:val="both"/>
        <w:rPr>
          <w:sz w:val="20"/>
        </w:rPr>
        <w:sectPr>
          <w:type w:val="continuous"/>
          <w:pgSz w:w="18830" w:h="12760" w:orient="landscape"/>
          <w:pgMar w:top="1420" w:bottom="280" w:left="720" w:right="720"/>
          <w:cols w:num="2" w:equalWidth="0">
            <w:col w:w="7835" w:space="1590"/>
            <w:col w:w="7965"/>
          </w:cols>
        </w:sectPr>
      </w:pPr>
    </w:p>
    <w:p>
      <w:pPr>
        <w:pStyle w:val="BodyText"/>
        <w:spacing w:before="8"/>
      </w:pPr>
    </w:p>
    <w:p>
      <w:pPr>
        <w:spacing w:after="0"/>
        <w:sectPr>
          <w:footerReference w:type="default" r:id="rId475"/>
          <w:pgSz w:w="18830" w:h="12760" w:orient="landscape"/>
          <w:pgMar w:footer="1036" w:header="522" w:top="820" w:bottom="1220" w:left="720" w:right="720"/>
        </w:sectPr>
      </w:pPr>
    </w:p>
    <w:p>
      <w:pPr>
        <w:pStyle w:val="Heading1"/>
        <w:spacing w:before="71"/>
        <w:ind w:right="-7"/>
      </w:pPr>
      <w:r>
        <w:rPr/>
        <w:t>Conclusiones</w:t>
      </w:r>
    </w:p>
    <w:p>
      <w:pPr>
        <w:pStyle w:val="BodyText"/>
        <w:rPr>
          <w:b/>
          <w:sz w:val="21"/>
        </w:rPr>
      </w:pPr>
    </w:p>
    <w:p>
      <w:pPr>
        <w:pStyle w:val="BodyText"/>
        <w:spacing w:line="249" w:lineRule="auto"/>
        <w:ind w:left="130" w:firstLine="170"/>
        <w:jc w:val="both"/>
      </w:pPr>
      <w:r>
        <w:rPr/>
        <w:t>Se considera que el estudio de la vulnerabilidad de los conjuntos urbanos habitacionales en un contexto metropolitano, permitirá el desarrollo de un modelo metodológico que redunde en el mejoramiento de la producción de vivienda dirigido     a ciertos sectores de la población, aquellos que hacen uso de programas oficiales      de vivienda y la obtienen a través de créditos institucionales. Asimismo, permitirá identificar y mejorar su promoción y desarrollo en al menos dos </w:t>
      </w:r>
      <w:r>
        <w:rPr>
          <w:spacing w:val="23"/>
        </w:rPr>
        <w:t> </w:t>
      </w:r>
      <w:r>
        <w:rPr/>
        <w:t>aspectos:</w:t>
      </w:r>
    </w:p>
    <w:p>
      <w:pPr>
        <w:pStyle w:val="BodyText"/>
        <w:spacing w:before="11"/>
      </w:pPr>
    </w:p>
    <w:p>
      <w:pPr>
        <w:pStyle w:val="BodyText"/>
        <w:spacing w:line="249" w:lineRule="auto"/>
        <w:ind w:left="130" w:firstLine="170"/>
        <w:jc w:val="both"/>
      </w:pPr>
      <w:r>
        <w:rPr/>
        <w:t>Por un lado, el proceso de autorización y localización de los conjuntos urbanos,      en el que se establezcan modalidades de desarrollo en zonas  cercanas  a  los  centros de población y eviten su fragmentación en el territorio de los municipios y zonas metropolitanas de análisis. En este sentido, es importante que las acciones habitacionales autorizadas, consideren las necesidades de la población en materia de empleo, educación, salud, comercios y servicios, entre otros, que complementen la funcionalidad territorial para satisfacerlas de manera</w:t>
      </w:r>
      <w:r>
        <w:rPr>
          <w:spacing w:val="38"/>
        </w:rPr>
        <w:t> </w:t>
      </w:r>
      <w:r>
        <w:rPr/>
        <w:t>inmediata.</w:t>
      </w:r>
    </w:p>
    <w:p>
      <w:pPr>
        <w:pStyle w:val="BodyText"/>
        <w:spacing w:before="11"/>
      </w:pPr>
    </w:p>
    <w:p>
      <w:pPr>
        <w:pStyle w:val="BodyText"/>
        <w:spacing w:line="249" w:lineRule="auto"/>
        <w:ind w:left="130" w:firstLine="170"/>
        <w:jc w:val="both"/>
      </w:pPr>
      <w:r>
        <w:rPr/>
        <w:t>Por otro lado, que las acciones habitacionales, estén condicionadas al desarrollo en áreas propicias para un desarrollo urbano contiguo con los principales centros urbanos y de población, asegurando la infraestructura urbana, servicios y transporte urbano, asegurando una integración urbana.</w:t>
      </w:r>
    </w:p>
    <w:p>
      <w:pPr>
        <w:pStyle w:val="Heading1"/>
        <w:spacing w:before="71"/>
      </w:pPr>
      <w:r>
        <w:rPr>
          <w:b w:val="0"/>
        </w:rPr>
        <w:br w:type="column"/>
      </w:r>
      <w:r>
        <w:rPr/>
        <w:t>Referencias bibliográficas</w:t>
      </w:r>
    </w:p>
    <w:p>
      <w:pPr>
        <w:spacing w:line="480" w:lineRule="exact" w:before="45"/>
        <w:ind w:left="130" w:right="0" w:firstLine="0"/>
        <w:jc w:val="left"/>
        <w:rPr>
          <w:sz w:val="20"/>
        </w:rPr>
      </w:pPr>
      <w:r>
        <w:rPr>
          <w:sz w:val="20"/>
        </w:rPr>
        <w:t>Bettin, Gianfranco 1982: “Los Sociólogos de la Ciudad” Barcelona: G. Gilli (Ht151 B47). De Mattos, Carlos, (2001). </w:t>
      </w:r>
      <w:r>
        <w:rPr>
          <w:i/>
          <w:sz w:val="20"/>
        </w:rPr>
        <w:t>“Metropolización y suburbanización”. </w:t>
      </w:r>
      <w:r>
        <w:rPr>
          <w:sz w:val="20"/>
        </w:rPr>
        <w:t>En Revista EURE,</w:t>
      </w:r>
    </w:p>
    <w:p>
      <w:pPr>
        <w:pStyle w:val="BodyText"/>
        <w:spacing w:line="186" w:lineRule="exact"/>
        <w:ind w:left="754"/>
      </w:pPr>
      <w:r>
        <w:rPr/>
        <w:t>Santiago, Chile, Vol. 27, No. 80.</w:t>
      </w:r>
    </w:p>
    <w:p>
      <w:pPr>
        <w:pStyle w:val="BodyText"/>
        <w:spacing w:before="8"/>
        <w:rPr>
          <w:sz w:val="21"/>
        </w:rPr>
      </w:pPr>
    </w:p>
    <w:p>
      <w:pPr>
        <w:spacing w:line="249" w:lineRule="auto" w:before="0"/>
        <w:ind w:left="754" w:right="120" w:hanging="624"/>
        <w:jc w:val="both"/>
        <w:rPr>
          <w:sz w:val="20"/>
        </w:rPr>
      </w:pPr>
      <w:r>
        <w:rPr>
          <w:sz w:val="20"/>
        </w:rPr>
        <w:t>Eibenschutz, Roberto y Goya, Carlos, (2009). </w:t>
      </w:r>
      <w:r>
        <w:rPr>
          <w:i/>
          <w:sz w:val="20"/>
        </w:rPr>
        <w:t>Estudio de la integración urbana y social </w:t>
      </w:r>
      <w:r>
        <w:rPr>
          <w:i/>
          <w:sz w:val="20"/>
        </w:rPr>
        <w:t>en la expansión reciente de las ciudades en México, 1996-2006</w:t>
      </w:r>
      <w:r>
        <w:rPr>
          <w:sz w:val="20"/>
        </w:rPr>
        <w:t>: dimensión, características y soluciones. México, D.F.: Miguel Ángel Porrúa.</w:t>
      </w:r>
    </w:p>
    <w:p>
      <w:pPr>
        <w:pStyle w:val="BodyText"/>
        <w:spacing w:before="11"/>
      </w:pPr>
    </w:p>
    <w:p>
      <w:pPr>
        <w:spacing w:line="249" w:lineRule="auto" w:before="0"/>
        <w:ind w:left="754" w:right="122" w:hanging="624"/>
        <w:jc w:val="both"/>
        <w:rPr>
          <w:sz w:val="20"/>
        </w:rPr>
      </w:pPr>
      <w:r>
        <w:rPr>
          <w:sz w:val="20"/>
        </w:rPr>
        <w:t>Esquivel, María Teresa, (2006). </w:t>
      </w:r>
      <w:r>
        <w:rPr>
          <w:i/>
          <w:sz w:val="20"/>
        </w:rPr>
        <w:t>“Política habitacional y calidad de vida: impacto de los </w:t>
      </w:r>
      <w:r>
        <w:rPr>
          <w:i/>
          <w:sz w:val="20"/>
        </w:rPr>
        <w:t>nuevos desarrollos habitacionales” </w:t>
      </w:r>
      <w:r>
        <w:rPr>
          <w:sz w:val="20"/>
        </w:rPr>
        <w:t>en Centro de Estudios Sociales y de</w:t>
      </w:r>
      <w:r>
        <w:rPr>
          <w:spacing w:val="-25"/>
          <w:sz w:val="20"/>
        </w:rPr>
        <w:t> </w:t>
      </w:r>
      <w:r>
        <w:rPr>
          <w:sz w:val="20"/>
        </w:rPr>
        <w:t>Opinión Pública, (2006): </w:t>
      </w:r>
      <w:r>
        <w:rPr>
          <w:i/>
          <w:sz w:val="20"/>
        </w:rPr>
        <w:t>La vivienda en México: construyendo análisis y propuestas</w:t>
      </w:r>
      <w:r>
        <w:rPr>
          <w:sz w:val="20"/>
        </w:rPr>
        <w:t>, México, D.F: CESOP/Cámara de Diputados/ LIX</w:t>
      </w:r>
      <w:r>
        <w:rPr>
          <w:spacing w:val="5"/>
          <w:sz w:val="20"/>
        </w:rPr>
        <w:t> </w:t>
      </w:r>
      <w:r>
        <w:rPr>
          <w:sz w:val="20"/>
        </w:rPr>
        <w:t>Legislatura.</w:t>
      </w:r>
    </w:p>
    <w:p>
      <w:pPr>
        <w:pStyle w:val="BodyText"/>
        <w:spacing w:before="11"/>
      </w:pPr>
    </w:p>
    <w:p>
      <w:pPr>
        <w:spacing w:line="249" w:lineRule="auto" w:before="0"/>
        <w:ind w:left="754" w:right="120" w:hanging="624"/>
        <w:jc w:val="both"/>
        <w:rPr>
          <w:sz w:val="20"/>
        </w:rPr>
      </w:pPr>
      <w:r>
        <w:rPr>
          <w:sz w:val="20"/>
        </w:rPr>
        <w:t>ITDP y Centro EURE, (2012). </w:t>
      </w:r>
      <w:r>
        <w:rPr>
          <w:i/>
          <w:sz w:val="20"/>
        </w:rPr>
        <w:t>Planes Integrales de Movilidad: lineamientos para una </w:t>
      </w:r>
      <w:r>
        <w:rPr>
          <w:i/>
          <w:sz w:val="20"/>
        </w:rPr>
        <w:t>movilidad urbana sustentable</w:t>
      </w:r>
      <w:r>
        <w:rPr>
          <w:sz w:val="20"/>
        </w:rPr>
        <w:t>. México, D.F.: ITDP.</w:t>
      </w:r>
    </w:p>
    <w:p>
      <w:pPr>
        <w:pStyle w:val="BodyText"/>
        <w:spacing w:before="11"/>
      </w:pPr>
    </w:p>
    <w:p>
      <w:pPr>
        <w:pStyle w:val="BodyText"/>
        <w:spacing w:line="249" w:lineRule="auto"/>
        <w:ind w:left="754" w:right="120" w:hanging="624"/>
        <w:jc w:val="both"/>
      </w:pPr>
      <w:r>
        <w:rPr/>
        <w:t>Klink, Jeroen, 2005: “Perspectivas recientes sobre la organización metropolitana. Funciones y gobernabilidad” en Rojas, Cuadrado J. R. y J. M. Fernández, 2005: </w:t>
      </w:r>
      <w:r>
        <w:rPr>
          <w:i/>
        </w:rPr>
        <w:t>Gobernar</w:t>
      </w:r>
      <w:r>
        <w:rPr>
          <w:i/>
          <w:spacing w:val="-12"/>
        </w:rPr>
        <w:t> </w:t>
      </w:r>
      <w:r>
        <w:rPr>
          <w:i/>
        </w:rPr>
        <w:t>las</w:t>
      </w:r>
      <w:r>
        <w:rPr>
          <w:i/>
          <w:spacing w:val="-12"/>
        </w:rPr>
        <w:t> </w:t>
      </w:r>
      <w:r>
        <w:rPr>
          <w:i/>
        </w:rPr>
        <w:t>metrópolis,</w:t>
      </w:r>
      <w:r>
        <w:rPr>
          <w:i/>
          <w:spacing w:val="-12"/>
        </w:rPr>
        <w:t> </w:t>
      </w:r>
      <w:r>
        <w:rPr/>
        <w:t>Washintong,</w:t>
      </w:r>
      <w:r>
        <w:rPr>
          <w:spacing w:val="-12"/>
        </w:rPr>
        <w:t> </w:t>
      </w:r>
      <w:r>
        <w:rPr/>
        <w:t>D.C.:</w:t>
      </w:r>
      <w:r>
        <w:rPr>
          <w:spacing w:val="-12"/>
        </w:rPr>
        <w:t> </w:t>
      </w:r>
      <w:r>
        <w:rPr/>
        <w:t>BID-</w:t>
      </w:r>
      <w:r>
        <w:rPr>
          <w:spacing w:val="-12"/>
        </w:rPr>
        <w:t> </w:t>
      </w:r>
      <w:r>
        <w:rPr/>
        <w:t>Universidad</w:t>
      </w:r>
      <w:r>
        <w:rPr>
          <w:spacing w:val="-12"/>
        </w:rPr>
        <w:t> </w:t>
      </w:r>
      <w:r>
        <w:rPr/>
        <w:t>Alcalá</w:t>
      </w:r>
      <w:r>
        <w:rPr>
          <w:spacing w:val="-12"/>
        </w:rPr>
        <w:t> </w:t>
      </w:r>
      <w:r>
        <w:rPr/>
        <w:t>de</w:t>
      </w:r>
      <w:r>
        <w:rPr>
          <w:spacing w:val="-12"/>
        </w:rPr>
        <w:t> </w:t>
      </w:r>
      <w:r>
        <w:rPr/>
        <w:t>Henares, [Disponible  en</w:t>
      </w:r>
      <w:r>
        <w:rPr>
          <w:spacing w:val="9"/>
        </w:rPr>
        <w:t> </w:t>
      </w:r>
      <w:hyperlink r:id="rId49">
        <w:r>
          <w:rPr>
            <w:color w:val="0077CA"/>
            <w:u w:val="single" w:color="0077CA"/>
          </w:rPr>
          <w:t>www.iadb.org/pub</w:t>
        </w:r>
      </w:hyperlink>
      <w:r>
        <w:rPr/>
        <w:t>].</w:t>
      </w:r>
    </w:p>
    <w:p>
      <w:pPr>
        <w:spacing w:line="480" w:lineRule="exact" w:before="44"/>
        <w:ind w:left="130" w:right="119" w:firstLine="0"/>
        <w:jc w:val="left"/>
        <w:rPr>
          <w:sz w:val="20"/>
        </w:rPr>
      </w:pPr>
      <w:r>
        <w:rPr>
          <w:sz w:val="20"/>
        </w:rPr>
        <w:t>Lezama,</w:t>
      </w:r>
      <w:r>
        <w:rPr>
          <w:spacing w:val="-13"/>
          <w:sz w:val="20"/>
        </w:rPr>
        <w:t> </w:t>
      </w:r>
      <w:r>
        <w:rPr>
          <w:sz w:val="20"/>
        </w:rPr>
        <w:t>José</w:t>
      </w:r>
      <w:r>
        <w:rPr>
          <w:spacing w:val="-13"/>
          <w:sz w:val="20"/>
        </w:rPr>
        <w:t> </w:t>
      </w:r>
      <w:r>
        <w:rPr>
          <w:sz w:val="20"/>
        </w:rPr>
        <w:t>Luis,</w:t>
      </w:r>
      <w:r>
        <w:rPr>
          <w:spacing w:val="-13"/>
          <w:sz w:val="20"/>
        </w:rPr>
        <w:t> </w:t>
      </w:r>
      <w:r>
        <w:rPr>
          <w:sz w:val="20"/>
        </w:rPr>
        <w:t>2002:</w:t>
      </w:r>
      <w:r>
        <w:rPr>
          <w:spacing w:val="-13"/>
          <w:sz w:val="20"/>
        </w:rPr>
        <w:t> </w:t>
      </w:r>
      <w:r>
        <w:rPr>
          <w:i/>
          <w:sz w:val="20"/>
        </w:rPr>
        <w:t>Teoría</w:t>
      </w:r>
      <w:r>
        <w:rPr>
          <w:i/>
          <w:spacing w:val="-13"/>
          <w:sz w:val="20"/>
        </w:rPr>
        <w:t> </w:t>
      </w:r>
      <w:r>
        <w:rPr>
          <w:i/>
          <w:sz w:val="20"/>
        </w:rPr>
        <w:t>social,</w:t>
      </w:r>
      <w:r>
        <w:rPr>
          <w:i/>
          <w:spacing w:val="-13"/>
          <w:sz w:val="20"/>
        </w:rPr>
        <w:t> </w:t>
      </w:r>
      <w:r>
        <w:rPr>
          <w:i/>
          <w:sz w:val="20"/>
        </w:rPr>
        <w:t>espacio</w:t>
      </w:r>
      <w:r>
        <w:rPr>
          <w:i/>
          <w:spacing w:val="-13"/>
          <w:sz w:val="20"/>
        </w:rPr>
        <w:t> </w:t>
      </w:r>
      <w:r>
        <w:rPr>
          <w:i/>
          <w:sz w:val="20"/>
        </w:rPr>
        <w:t>y</w:t>
      </w:r>
      <w:r>
        <w:rPr>
          <w:i/>
          <w:spacing w:val="-13"/>
          <w:sz w:val="20"/>
        </w:rPr>
        <w:t> </w:t>
      </w:r>
      <w:r>
        <w:rPr>
          <w:i/>
          <w:sz w:val="20"/>
        </w:rPr>
        <w:t>ciudad</w:t>
      </w:r>
      <w:r>
        <w:rPr>
          <w:sz w:val="20"/>
        </w:rPr>
        <w:t>,</w:t>
      </w:r>
      <w:r>
        <w:rPr>
          <w:spacing w:val="-13"/>
          <w:sz w:val="20"/>
        </w:rPr>
        <w:t> </w:t>
      </w:r>
      <w:r>
        <w:rPr>
          <w:sz w:val="20"/>
        </w:rPr>
        <w:t>México:</w:t>
      </w:r>
      <w:r>
        <w:rPr>
          <w:spacing w:val="-13"/>
          <w:sz w:val="20"/>
        </w:rPr>
        <w:t> </w:t>
      </w:r>
      <w:r>
        <w:rPr>
          <w:sz w:val="20"/>
        </w:rPr>
        <w:t>El</w:t>
      </w:r>
      <w:r>
        <w:rPr>
          <w:spacing w:val="-13"/>
          <w:sz w:val="20"/>
        </w:rPr>
        <w:t> </w:t>
      </w:r>
      <w:r>
        <w:rPr>
          <w:sz w:val="20"/>
        </w:rPr>
        <w:t>Colegio</w:t>
      </w:r>
      <w:r>
        <w:rPr>
          <w:spacing w:val="-13"/>
          <w:sz w:val="20"/>
        </w:rPr>
        <w:t> </w:t>
      </w:r>
      <w:r>
        <w:rPr>
          <w:sz w:val="20"/>
        </w:rPr>
        <w:t>de</w:t>
      </w:r>
      <w:r>
        <w:rPr>
          <w:spacing w:val="-13"/>
          <w:sz w:val="20"/>
        </w:rPr>
        <w:t> </w:t>
      </w:r>
      <w:r>
        <w:rPr>
          <w:sz w:val="20"/>
        </w:rPr>
        <w:t>México. Lezama,</w:t>
      </w:r>
      <w:r>
        <w:rPr>
          <w:spacing w:val="35"/>
          <w:sz w:val="20"/>
        </w:rPr>
        <w:t> </w:t>
      </w:r>
      <w:r>
        <w:rPr>
          <w:sz w:val="20"/>
        </w:rPr>
        <w:t>José,</w:t>
      </w:r>
      <w:r>
        <w:rPr>
          <w:spacing w:val="35"/>
          <w:sz w:val="20"/>
        </w:rPr>
        <w:t> </w:t>
      </w:r>
      <w:r>
        <w:rPr>
          <w:sz w:val="20"/>
        </w:rPr>
        <w:t>(2005).</w:t>
      </w:r>
      <w:r>
        <w:rPr>
          <w:spacing w:val="35"/>
          <w:sz w:val="20"/>
        </w:rPr>
        <w:t> </w:t>
      </w:r>
      <w:r>
        <w:rPr>
          <w:i/>
          <w:sz w:val="20"/>
        </w:rPr>
        <w:t>La</w:t>
      </w:r>
      <w:r>
        <w:rPr>
          <w:i/>
          <w:spacing w:val="35"/>
          <w:sz w:val="20"/>
        </w:rPr>
        <w:t> </w:t>
      </w:r>
      <w:r>
        <w:rPr>
          <w:i/>
          <w:sz w:val="20"/>
        </w:rPr>
        <w:t>teoría</w:t>
      </w:r>
      <w:r>
        <w:rPr>
          <w:i/>
          <w:spacing w:val="35"/>
          <w:sz w:val="20"/>
        </w:rPr>
        <w:t> </w:t>
      </w:r>
      <w:r>
        <w:rPr>
          <w:i/>
          <w:sz w:val="20"/>
        </w:rPr>
        <w:t>del</w:t>
      </w:r>
      <w:r>
        <w:rPr>
          <w:i/>
          <w:spacing w:val="35"/>
          <w:sz w:val="20"/>
        </w:rPr>
        <w:t> </w:t>
      </w:r>
      <w:r>
        <w:rPr>
          <w:i/>
          <w:sz w:val="20"/>
        </w:rPr>
        <w:t>espacio</w:t>
      </w:r>
      <w:r>
        <w:rPr>
          <w:i/>
          <w:spacing w:val="35"/>
          <w:sz w:val="20"/>
        </w:rPr>
        <w:t> </w:t>
      </w:r>
      <w:r>
        <w:rPr>
          <w:i/>
          <w:sz w:val="20"/>
        </w:rPr>
        <w:t>y</w:t>
      </w:r>
      <w:r>
        <w:rPr>
          <w:i/>
          <w:spacing w:val="35"/>
          <w:sz w:val="20"/>
        </w:rPr>
        <w:t> </w:t>
      </w:r>
      <w:r>
        <w:rPr>
          <w:i/>
          <w:sz w:val="20"/>
        </w:rPr>
        <w:t>ciudad.</w:t>
      </w:r>
      <w:r>
        <w:rPr>
          <w:i/>
          <w:spacing w:val="35"/>
          <w:sz w:val="20"/>
        </w:rPr>
        <w:t> </w:t>
      </w:r>
      <w:r>
        <w:rPr>
          <w:i/>
          <w:sz w:val="20"/>
        </w:rPr>
        <w:t>México,</w:t>
      </w:r>
      <w:r>
        <w:rPr>
          <w:i/>
          <w:spacing w:val="35"/>
          <w:sz w:val="20"/>
        </w:rPr>
        <w:t> </w:t>
      </w:r>
      <w:r>
        <w:rPr>
          <w:sz w:val="20"/>
        </w:rPr>
        <w:t>D.F.:</w:t>
      </w:r>
      <w:r>
        <w:rPr>
          <w:spacing w:val="35"/>
          <w:sz w:val="20"/>
        </w:rPr>
        <w:t> </w:t>
      </w:r>
      <w:r>
        <w:rPr>
          <w:sz w:val="20"/>
        </w:rPr>
        <w:t>El</w:t>
      </w:r>
      <w:r>
        <w:rPr>
          <w:spacing w:val="35"/>
          <w:sz w:val="20"/>
        </w:rPr>
        <w:t> </w:t>
      </w:r>
      <w:r>
        <w:rPr>
          <w:sz w:val="20"/>
        </w:rPr>
        <w:t>Colegio</w:t>
      </w:r>
      <w:r>
        <w:rPr>
          <w:spacing w:val="35"/>
          <w:sz w:val="20"/>
        </w:rPr>
        <w:t> </w:t>
      </w:r>
      <w:r>
        <w:rPr>
          <w:sz w:val="20"/>
        </w:rPr>
        <w:t>de</w:t>
      </w:r>
    </w:p>
    <w:p>
      <w:pPr>
        <w:pStyle w:val="BodyText"/>
        <w:spacing w:line="186" w:lineRule="exact"/>
        <w:ind w:left="754"/>
      </w:pPr>
      <w:r>
        <w:rPr>
          <w:w w:val="105"/>
        </w:rPr>
        <w:t>México.</w:t>
      </w:r>
    </w:p>
    <w:p>
      <w:pPr>
        <w:pStyle w:val="BodyText"/>
        <w:spacing w:before="8"/>
        <w:rPr>
          <w:sz w:val="21"/>
        </w:rPr>
      </w:pPr>
    </w:p>
    <w:p>
      <w:pPr>
        <w:spacing w:line="249" w:lineRule="auto" w:before="0"/>
        <w:ind w:left="754" w:right="123" w:hanging="624"/>
        <w:jc w:val="both"/>
        <w:rPr>
          <w:sz w:val="20"/>
        </w:rPr>
      </w:pPr>
      <w:r>
        <w:rPr>
          <w:sz w:val="20"/>
        </w:rPr>
        <w:t>Link,</w:t>
      </w:r>
      <w:r>
        <w:rPr>
          <w:spacing w:val="-3"/>
          <w:sz w:val="20"/>
        </w:rPr>
        <w:t> </w:t>
      </w:r>
      <w:r>
        <w:rPr>
          <w:sz w:val="20"/>
        </w:rPr>
        <w:t>Felipe,</w:t>
      </w:r>
      <w:r>
        <w:rPr>
          <w:spacing w:val="-3"/>
          <w:sz w:val="20"/>
        </w:rPr>
        <w:t> </w:t>
      </w:r>
      <w:r>
        <w:rPr>
          <w:sz w:val="20"/>
        </w:rPr>
        <w:t>(2008).</w:t>
      </w:r>
      <w:r>
        <w:rPr>
          <w:spacing w:val="-3"/>
          <w:sz w:val="20"/>
        </w:rPr>
        <w:t> </w:t>
      </w:r>
      <w:r>
        <w:rPr>
          <w:sz w:val="20"/>
        </w:rPr>
        <w:t>“</w:t>
      </w:r>
      <w:r>
        <w:rPr>
          <w:i/>
          <w:sz w:val="20"/>
        </w:rPr>
        <w:t>De</w:t>
      </w:r>
      <w:r>
        <w:rPr>
          <w:i/>
          <w:spacing w:val="-3"/>
          <w:sz w:val="20"/>
        </w:rPr>
        <w:t> </w:t>
      </w:r>
      <w:r>
        <w:rPr>
          <w:i/>
          <w:sz w:val="20"/>
        </w:rPr>
        <w:t>la</w:t>
      </w:r>
      <w:r>
        <w:rPr>
          <w:i/>
          <w:spacing w:val="-3"/>
          <w:sz w:val="20"/>
        </w:rPr>
        <w:t> </w:t>
      </w:r>
      <w:r>
        <w:rPr>
          <w:i/>
          <w:sz w:val="20"/>
        </w:rPr>
        <w:t>policentralidad</w:t>
      </w:r>
      <w:r>
        <w:rPr>
          <w:i/>
          <w:spacing w:val="-3"/>
          <w:sz w:val="20"/>
        </w:rPr>
        <w:t> </w:t>
      </w:r>
      <w:r>
        <w:rPr>
          <w:i/>
          <w:sz w:val="20"/>
        </w:rPr>
        <w:t>a</w:t>
      </w:r>
      <w:r>
        <w:rPr>
          <w:i/>
          <w:spacing w:val="-3"/>
          <w:sz w:val="20"/>
        </w:rPr>
        <w:t> </w:t>
      </w:r>
      <w:r>
        <w:rPr>
          <w:i/>
          <w:sz w:val="20"/>
        </w:rPr>
        <w:t>la</w:t>
      </w:r>
      <w:r>
        <w:rPr>
          <w:i/>
          <w:spacing w:val="-3"/>
          <w:sz w:val="20"/>
        </w:rPr>
        <w:t> </w:t>
      </w:r>
      <w:r>
        <w:rPr>
          <w:i/>
          <w:sz w:val="20"/>
        </w:rPr>
        <w:t>fragmentación</w:t>
      </w:r>
      <w:r>
        <w:rPr>
          <w:i/>
          <w:spacing w:val="-3"/>
          <w:sz w:val="20"/>
        </w:rPr>
        <w:t> </w:t>
      </w:r>
      <w:r>
        <w:rPr>
          <w:i/>
          <w:sz w:val="20"/>
        </w:rPr>
        <w:t>en</w:t>
      </w:r>
      <w:r>
        <w:rPr>
          <w:i/>
          <w:spacing w:val="-3"/>
          <w:sz w:val="20"/>
        </w:rPr>
        <w:t> </w:t>
      </w:r>
      <w:r>
        <w:rPr>
          <w:i/>
          <w:sz w:val="20"/>
        </w:rPr>
        <w:t>Santiago</w:t>
      </w:r>
      <w:r>
        <w:rPr>
          <w:i/>
          <w:spacing w:val="-3"/>
          <w:sz w:val="20"/>
        </w:rPr>
        <w:t> </w:t>
      </w:r>
      <w:r>
        <w:rPr>
          <w:i/>
          <w:sz w:val="20"/>
        </w:rPr>
        <w:t>de</w:t>
      </w:r>
      <w:r>
        <w:rPr>
          <w:i/>
          <w:spacing w:val="-3"/>
          <w:sz w:val="20"/>
        </w:rPr>
        <w:t> </w:t>
      </w:r>
      <w:r>
        <w:rPr>
          <w:i/>
          <w:sz w:val="20"/>
        </w:rPr>
        <w:t>Chile”</w:t>
      </w:r>
      <w:r>
        <w:rPr>
          <w:sz w:val="20"/>
        </w:rPr>
        <w:t>.</w:t>
      </w:r>
      <w:r>
        <w:rPr>
          <w:spacing w:val="-3"/>
          <w:sz w:val="20"/>
        </w:rPr>
        <w:t> </w:t>
      </w:r>
      <w:r>
        <w:rPr>
          <w:sz w:val="20"/>
        </w:rPr>
        <w:t>En Revista Centro-H,</w:t>
      </w:r>
      <w:r>
        <w:rPr>
          <w:spacing w:val="21"/>
          <w:sz w:val="20"/>
        </w:rPr>
        <w:t> </w:t>
      </w:r>
      <w:r>
        <w:rPr>
          <w:sz w:val="20"/>
        </w:rPr>
        <w:t>13-24.</w:t>
      </w:r>
    </w:p>
    <w:p>
      <w:pPr>
        <w:pStyle w:val="BodyText"/>
        <w:spacing w:before="11"/>
      </w:pPr>
    </w:p>
    <w:p>
      <w:pPr>
        <w:pStyle w:val="BodyText"/>
        <w:spacing w:line="249" w:lineRule="auto"/>
        <w:ind w:left="754" w:right="121" w:hanging="624"/>
        <w:jc w:val="both"/>
      </w:pPr>
      <w:r>
        <w:rPr/>
        <w:t>Montejano Escamilla, Jorge Alberto, 2010: Metropolización del territorio y Regiones Urbanas intermedias. El caso del ámbito central del Camp de Tarragona 1977/2008,</w:t>
      </w:r>
      <w:r>
        <w:rPr>
          <w:spacing w:val="-22"/>
        </w:rPr>
        <w:t> </w:t>
      </w:r>
      <w:r>
        <w:rPr/>
        <w:t>Barcelona:</w:t>
      </w:r>
      <w:r>
        <w:rPr>
          <w:spacing w:val="-22"/>
        </w:rPr>
        <w:t> </w:t>
      </w:r>
      <w:r>
        <w:rPr/>
        <w:t>Tesis</w:t>
      </w:r>
      <w:r>
        <w:rPr>
          <w:spacing w:val="-23"/>
        </w:rPr>
        <w:t> </w:t>
      </w:r>
      <w:r>
        <w:rPr/>
        <w:t>doctoral,</w:t>
      </w:r>
      <w:r>
        <w:rPr>
          <w:spacing w:val="-22"/>
        </w:rPr>
        <w:t> </w:t>
      </w:r>
      <w:r>
        <w:rPr/>
        <w:t>por</w:t>
      </w:r>
      <w:r>
        <w:rPr>
          <w:spacing w:val="-22"/>
        </w:rPr>
        <w:t> </w:t>
      </w:r>
      <w:r>
        <w:rPr/>
        <w:t>la</w:t>
      </w:r>
      <w:r>
        <w:rPr>
          <w:spacing w:val="-22"/>
        </w:rPr>
        <w:t> </w:t>
      </w:r>
      <w:r>
        <w:rPr/>
        <w:t>Universitat</w:t>
      </w:r>
      <w:r>
        <w:rPr>
          <w:spacing w:val="-22"/>
        </w:rPr>
        <w:t> </w:t>
      </w:r>
      <w:r>
        <w:rPr/>
        <w:t>Politécnica</w:t>
      </w:r>
      <w:r>
        <w:rPr>
          <w:spacing w:val="-22"/>
        </w:rPr>
        <w:t> </w:t>
      </w:r>
      <w:r>
        <w:rPr/>
        <w:t>de</w:t>
      </w:r>
      <w:r>
        <w:rPr>
          <w:spacing w:val="-22"/>
        </w:rPr>
        <w:t> </w:t>
      </w:r>
      <w:r>
        <w:rPr/>
        <w:t>Catalunya.</w:t>
      </w:r>
    </w:p>
    <w:p>
      <w:pPr>
        <w:spacing w:after="0" w:line="249" w:lineRule="auto"/>
        <w:jc w:val="both"/>
        <w:sectPr>
          <w:type w:val="continuous"/>
          <w:pgSz w:w="18830" w:h="12760" w:orient="landscape"/>
          <w:pgMar w:top="1420" w:bottom="280" w:left="720" w:right="720"/>
          <w:cols w:num="2" w:equalWidth="0">
            <w:col w:w="7842" w:space="1577"/>
            <w:col w:w="7971"/>
          </w:cols>
        </w:sectPr>
      </w:pPr>
    </w:p>
    <w:p>
      <w:pPr>
        <w:pStyle w:val="BodyText"/>
        <w:spacing w:before="10"/>
        <w:rPr>
          <w:sz w:val="11"/>
        </w:rPr>
      </w:pPr>
    </w:p>
    <w:p>
      <w:pPr>
        <w:pStyle w:val="BodyText"/>
        <w:spacing w:line="20" w:lineRule="exact"/>
        <w:ind w:left="7535"/>
        <w:rPr>
          <w:sz w:val="2"/>
        </w:rPr>
      </w:pPr>
      <w:r>
        <w:rPr>
          <w:sz w:val="2"/>
        </w:rPr>
        <w:pict>
          <v:group style="width:386.8pt;height:1pt;mso-position-horizontal-relative:char;mso-position-vertical-relative:line" coordorigin="0,0" coordsize="7736,20">
            <v:line style="position:absolute" from="70,10" to="7696,10" stroked="true" strokeweight="1pt" strokecolor="#000000">
              <v:stroke dashstyle="dash"/>
            </v:line>
            <v:line style="position:absolute" from="10,10" to="10,10" stroked="true" strokeweight="1pt" strokecolor="#000000"/>
            <v:line style="position:absolute" from="7726,10" to="7726,10" stroked="true" strokeweight="1pt" strokecolor="#000000"/>
          </v:group>
        </w:pict>
      </w:r>
      <w:r>
        <w:rPr>
          <w:sz w:val="2"/>
        </w:rPr>
      </w:r>
    </w:p>
    <w:p>
      <w:pPr>
        <w:pStyle w:val="BodyText"/>
        <w:spacing w:before="8"/>
      </w:pPr>
    </w:p>
    <w:p>
      <w:pPr>
        <w:pStyle w:val="Heading1"/>
        <w:spacing w:line="240" w:lineRule="exact" w:before="104"/>
        <w:ind w:left="8240" w:right="156" w:hanging="65"/>
      </w:pPr>
      <w:r>
        <w:rPr/>
        <w:t>Vulnerabilidad física estructural en zonas habitacionales colindantes con las minas, en el Municipio de Calimaya</w:t>
      </w:r>
    </w:p>
    <w:p>
      <w:pPr>
        <w:pStyle w:val="BodyText"/>
        <w:rPr>
          <w:b/>
        </w:rPr>
      </w:pPr>
    </w:p>
    <w:p>
      <w:pPr>
        <w:pStyle w:val="BodyText"/>
        <w:spacing w:before="9"/>
        <w:rPr>
          <w:b/>
          <w:sz w:val="19"/>
        </w:rPr>
      </w:pPr>
    </w:p>
    <w:p>
      <w:pPr>
        <w:spacing w:after="0"/>
        <w:rPr>
          <w:sz w:val="19"/>
        </w:rPr>
        <w:sectPr>
          <w:headerReference w:type="default" r:id="rId476"/>
          <w:footerReference w:type="default" r:id="rId477"/>
          <w:pgSz w:w="18830" w:h="12760" w:orient="landscape"/>
          <w:pgMar w:header="482" w:footer="0" w:top="680" w:bottom="0" w:left="2720" w:right="720"/>
        </w:sect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2"/>
        </w:rPr>
      </w:pPr>
    </w:p>
    <w:p>
      <w:pPr>
        <w:pStyle w:val="Heading2"/>
        <w:ind w:left="0"/>
        <w:jc w:val="right"/>
        <w:rPr>
          <w:i/>
        </w:rPr>
      </w:pPr>
      <w:r>
        <w:rPr>
          <w:i/>
        </w:rPr>
        <w:t>Resumen</w:t>
      </w:r>
    </w:p>
    <w:p>
      <w:pPr>
        <w:spacing w:line="357" w:lineRule="auto" w:before="83"/>
        <w:ind w:left="4572" w:right="128" w:hanging="308"/>
        <w:jc w:val="right"/>
        <w:rPr>
          <w:sz w:val="14"/>
        </w:rPr>
      </w:pPr>
      <w:r>
        <w:rPr/>
        <w:br w:type="column"/>
      </w:r>
      <w:r>
        <w:rPr>
          <w:sz w:val="14"/>
        </w:rPr>
        <w:t>Lidia Alejandra González Becerril*</w:t>
      </w:r>
      <w:r>
        <w:rPr>
          <w:w w:val="99"/>
          <w:sz w:val="14"/>
        </w:rPr>
        <w:t> </w:t>
      </w:r>
      <w:r>
        <w:rPr>
          <w:sz w:val="14"/>
        </w:rPr>
        <w:t>Noel Bonfilio Pineda Jaimes*</w:t>
      </w:r>
      <w:r>
        <w:rPr>
          <w:w w:val="98"/>
          <w:sz w:val="14"/>
        </w:rPr>
        <w:t> </w:t>
      </w:r>
      <w:r>
        <w:rPr>
          <w:sz w:val="14"/>
        </w:rPr>
        <w:t>Facultad de Geografía.</w:t>
      </w:r>
    </w:p>
    <w:p>
      <w:pPr>
        <w:spacing w:before="2"/>
        <w:ind w:left="0" w:right="128" w:firstLine="0"/>
        <w:jc w:val="right"/>
        <w:rPr>
          <w:sz w:val="14"/>
        </w:rPr>
      </w:pPr>
      <w:r>
        <w:rPr>
          <w:sz w:val="14"/>
        </w:rPr>
        <w:t>Universidad Autónoma del Estado de México.</w:t>
      </w:r>
    </w:p>
    <w:p>
      <w:pPr>
        <w:spacing w:line="240" w:lineRule="exact" w:before="18"/>
        <w:ind w:left="3607" w:right="128" w:firstLine="1523"/>
        <w:jc w:val="right"/>
        <w:rPr>
          <w:sz w:val="20"/>
        </w:rPr>
      </w:pPr>
      <w:r>
        <w:rPr>
          <w:sz w:val="14"/>
        </w:rPr>
        <w:t>Naxhelli Ruiz Rivera</w:t>
      </w:r>
      <w:r>
        <w:rPr>
          <w:w w:val="97"/>
          <w:sz w:val="14"/>
        </w:rPr>
        <w:t> </w:t>
      </w:r>
      <w:r>
        <w:rPr>
          <w:sz w:val="14"/>
        </w:rPr>
        <w:t>Investigadora del Instituto de Geografía.</w:t>
      </w:r>
      <w:r>
        <w:rPr>
          <w:w w:val="98"/>
          <w:sz w:val="14"/>
        </w:rPr>
        <w:t> </w:t>
      </w:r>
      <w:r>
        <w:rPr>
          <w:sz w:val="14"/>
        </w:rPr>
        <w:t>Universidad Nacional Autónoma de México</w:t>
      </w:r>
      <w:r>
        <w:rPr>
          <w:sz w:val="20"/>
        </w:rPr>
        <w:t>.</w:t>
      </w:r>
    </w:p>
    <w:p>
      <w:pPr>
        <w:spacing w:before="60"/>
        <w:ind w:left="0" w:right="128" w:firstLine="0"/>
        <w:jc w:val="right"/>
        <w:rPr>
          <w:sz w:val="14"/>
        </w:rPr>
      </w:pPr>
      <w:hyperlink r:id="rId478">
        <w:r>
          <w:rPr>
            <w:w w:val="95"/>
            <w:sz w:val="14"/>
          </w:rPr>
          <w:t>liadia1805@hotmail.com</w:t>
        </w:r>
      </w:hyperlink>
    </w:p>
    <w:p>
      <w:pPr>
        <w:spacing w:after="0"/>
        <w:jc w:val="right"/>
        <w:rPr>
          <w:sz w:val="14"/>
        </w:rPr>
        <w:sectPr>
          <w:type w:val="continuous"/>
          <w:pgSz w:w="18830" w:h="12760" w:orient="landscape"/>
          <w:pgMar w:top="1420" w:bottom="280" w:left="2720" w:right="720"/>
          <w:cols w:num="2" w:equalWidth="0">
            <w:col w:w="8796" w:space="40"/>
            <w:col w:w="6554"/>
          </w:cols>
        </w:sectPr>
      </w:pPr>
    </w:p>
    <w:p>
      <w:pPr>
        <w:pStyle w:val="BodyText"/>
        <w:spacing w:before="4"/>
        <w:rPr>
          <w:sz w:val="14"/>
        </w:rPr>
      </w:pPr>
    </w:p>
    <w:p>
      <w:pPr>
        <w:pStyle w:val="BodyText"/>
        <w:spacing w:line="249" w:lineRule="auto" w:before="76"/>
        <w:ind w:left="7541" w:right="127" w:firstLine="170"/>
        <w:jc w:val="both"/>
      </w:pPr>
      <w:r>
        <w:rPr/>
        <w:t>Este trabajo aborda el estudio de la vulnerabilidad física estructural que se presenta en las zonas habitacionales contiguas a los bancos de materiales pétreos, visto a</w:t>
      </w:r>
      <w:r>
        <w:rPr>
          <w:spacing w:val="-21"/>
        </w:rPr>
        <w:t> </w:t>
      </w:r>
      <w:r>
        <w:rPr/>
        <w:t>partir de los procesos de remoción en masa producto de la actividad minera. Teniendo como objetivo</w:t>
      </w:r>
      <w:r>
        <w:rPr>
          <w:spacing w:val="10"/>
        </w:rPr>
        <w:t> </w:t>
      </w:r>
      <w:r>
        <w:rPr/>
        <w:t>general:</w:t>
      </w:r>
    </w:p>
    <w:p>
      <w:pPr>
        <w:pStyle w:val="BodyText"/>
        <w:spacing w:before="11"/>
      </w:pPr>
    </w:p>
    <w:p>
      <w:pPr>
        <w:pStyle w:val="BodyText"/>
        <w:spacing w:line="249" w:lineRule="auto"/>
        <w:ind w:left="7541" w:right="127" w:firstLine="170"/>
        <w:jc w:val="both"/>
      </w:pPr>
      <w:r>
        <w:rPr/>
        <w:t>Analizar la vulnerabilidad física del fraccionamiento Villas del Campo, zonas habitacionales y las áreas agrícolas contiguas a la Mina Colín S.A de C.V del</w:t>
      </w:r>
      <w:r>
        <w:rPr>
          <w:spacing w:val="-35"/>
        </w:rPr>
        <w:t> </w:t>
      </w:r>
      <w:r>
        <w:rPr/>
        <w:t>municipio de Calimaya de Díaz González, estado de México. Para determinar la vulnerabilidad física,</w:t>
      </w:r>
      <w:r>
        <w:rPr>
          <w:spacing w:val="-6"/>
        </w:rPr>
        <w:t> </w:t>
      </w:r>
      <w:r>
        <w:rPr/>
        <w:t>se</w:t>
      </w:r>
      <w:r>
        <w:rPr>
          <w:spacing w:val="-6"/>
        </w:rPr>
        <w:t> </w:t>
      </w:r>
      <w:r>
        <w:rPr/>
        <w:t>empleó</w:t>
      </w:r>
      <w:r>
        <w:rPr>
          <w:spacing w:val="-6"/>
        </w:rPr>
        <w:t> </w:t>
      </w:r>
      <w:r>
        <w:rPr/>
        <w:t>la</w:t>
      </w:r>
      <w:r>
        <w:rPr>
          <w:spacing w:val="-6"/>
        </w:rPr>
        <w:t> </w:t>
      </w:r>
      <w:r>
        <w:rPr/>
        <w:t>metodología</w:t>
      </w:r>
      <w:r>
        <w:rPr>
          <w:spacing w:val="-6"/>
        </w:rPr>
        <w:t> </w:t>
      </w:r>
      <w:r>
        <w:rPr/>
        <w:t>propuesta</w:t>
      </w:r>
      <w:r>
        <w:rPr>
          <w:spacing w:val="-6"/>
        </w:rPr>
        <w:t> </w:t>
      </w:r>
      <w:r>
        <w:rPr/>
        <w:t>por</w:t>
      </w:r>
      <w:r>
        <w:rPr>
          <w:spacing w:val="-6"/>
        </w:rPr>
        <w:t> </w:t>
      </w:r>
      <w:r>
        <w:rPr/>
        <w:t>Yépez</w:t>
      </w:r>
      <w:r>
        <w:rPr>
          <w:spacing w:val="-6"/>
        </w:rPr>
        <w:t> </w:t>
      </w:r>
      <w:r>
        <w:rPr/>
        <w:t>y</w:t>
      </w:r>
      <w:r>
        <w:rPr>
          <w:spacing w:val="-6"/>
        </w:rPr>
        <w:t> </w:t>
      </w:r>
      <w:r>
        <w:rPr/>
        <w:t>D’</w:t>
      </w:r>
      <w:r>
        <w:rPr>
          <w:spacing w:val="-6"/>
        </w:rPr>
        <w:t> </w:t>
      </w:r>
      <w:r>
        <w:rPr/>
        <w:t>Ayala</w:t>
      </w:r>
      <w:r>
        <w:rPr>
          <w:spacing w:val="-6"/>
        </w:rPr>
        <w:t> </w:t>
      </w:r>
      <w:r>
        <w:rPr/>
        <w:t>(2012),</w:t>
      </w:r>
      <w:r>
        <w:rPr>
          <w:spacing w:val="-6"/>
        </w:rPr>
        <w:t> </w:t>
      </w:r>
      <w:r>
        <w:rPr/>
        <w:t>la</w:t>
      </w:r>
      <w:r>
        <w:rPr>
          <w:spacing w:val="-6"/>
        </w:rPr>
        <w:t> </w:t>
      </w:r>
      <w:r>
        <w:rPr/>
        <w:t>cual</w:t>
      </w:r>
      <w:r>
        <w:rPr>
          <w:spacing w:val="-6"/>
        </w:rPr>
        <w:t> </w:t>
      </w:r>
      <w:r>
        <w:rPr/>
        <w:t>permite estimar el nivel de vulnerabilidad ante alguna amenaza, aplicándose en este caso a la inestabilidad de laderas (deslizamientos y caída de</w:t>
      </w:r>
      <w:r>
        <w:rPr>
          <w:spacing w:val="-11"/>
        </w:rPr>
        <w:t> </w:t>
      </w:r>
      <w:r>
        <w:rPr/>
        <w:t>materiales).</w:t>
      </w:r>
    </w:p>
    <w:p>
      <w:pPr>
        <w:pStyle w:val="BodyText"/>
        <w:spacing w:before="11"/>
      </w:pPr>
    </w:p>
    <w:p>
      <w:pPr>
        <w:pStyle w:val="BodyText"/>
        <w:spacing w:line="249" w:lineRule="auto"/>
        <w:ind w:left="7541" w:right="127" w:firstLine="170"/>
        <w:jc w:val="both"/>
      </w:pPr>
      <w:r>
        <w:rPr/>
        <w:t>Esta metodología propone la utilización de indicadores e índices cualitativos de evaluación de la vulnerabilidad de manera que sea posible describirla y caracterizarla. La aportación que se hace a esta metodología es incorporar a éstos indicadores la variable exposición al peligro, dada por la cercanía de las zonas habitacionales a los bancos de materiales pétreos.</w:t>
      </w:r>
    </w:p>
    <w:p>
      <w:pPr>
        <w:pStyle w:val="BodyText"/>
        <w:spacing w:before="11"/>
      </w:pPr>
    </w:p>
    <w:p>
      <w:pPr>
        <w:pStyle w:val="BodyText"/>
        <w:spacing w:line="249" w:lineRule="auto"/>
        <w:ind w:left="7541" w:right="127" w:firstLine="170"/>
        <w:jc w:val="both"/>
      </w:pPr>
      <w:r>
        <w:rPr/>
        <w:t>La aproximación al análisis de la vulnerabilidad física-estructural ante la existencia  de la amenaza por procesos de remoción en masa para las zonas habitacionales (fraccionamiento</w:t>
      </w:r>
      <w:r>
        <w:rPr>
          <w:spacing w:val="-30"/>
        </w:rPr>
        <w:t> </w:t>
      </w:r>
      <w:r>
        <w:rPr/>
        <w:t>Villas</w:t>
      </w:r>
      <w:r>
        <w:rPr>
          <w:spacing w:val="-30"/>
        </w:rPr>
        <w:t> </w:t>
      </w:r>
      <w:r>
        <w:rPr/>
        <w:t>del</w:t>
      </w:r>
      <w:r>
        <w:rPr>
          <w:spacing w:val="-30"/>
        </w:rPr>
        <w:t> </w:t>
      </w:r>
      <w:r>
        <w:rPr/>
        <w:t>Campo,</w:t>
      </w:r>
      <w:r>
        <w:rPr>
          <w:spacing w:val="-30"/>
        </w:rPr>
        <w:t> </w:t>
      </w:r>
      <w:r>
        <w:rPr/>
        <w:t>zonas</w:t>
      </w:r>
      <w:r>
        <w:rPr>
          <w:spacing w:val="-30"/>
        </w:rPr>
        <w:t> </w:t>
      </w:r>
      <w:r>
        <w:rPr/>
        <w:t>habitacionales</w:t>
      </w:r>
      <w:r>
        <w:rPr>
          <w:spacing w:val="-30"/>
        </w:rPr>
        <w:t> </w:t>
      </w:r>
      <w:r>
        <w:rPr/>
        <w:t>y</w:t>
      </w:r>
      <w:r>
        <w:rPr>
          <w:spacing w:val="-30"/>
        </w:rPr>
        <w:t> </w:t>
      </w:r>
      <w:r>
        <w:rPr/>
        <w:t>áreas</w:t>
      </w:r>
      <w:r>
        <w:rPr>
          <w:spacing w:val="-30"/>
        </w:rPr>
        <w:t> </w:t>
      </w:r>
      <w:r>
        <w:rPr/>
        <w:t>agrícolas)</w:t>
      </w:r>
      <w:r>
        <w:rPr>
          <w:spacing w:val="-30"/>
        </w:rPr>
        <w:t> </w:t>
      </w:r>
      <w:r>
        <w:rPr/>
        <w:t>en</w:t>
      </w:r>
      <w:r>
        <w:rPr>
          <w:spacing w:val="-30"/>
        </w:rPr>
        <w:t> </w:t>
      </w:r>
      <w:r>
        <w:rPr/>
        <w:t>colindancia con la actividad minera, permitió confirmar y precisar las áreas que son susceptibles    a procesos de remoción en masa particularmente frente a los deslizamientos, aunque también hay otros procesos como las caídas de materiales o </w:t>
      </w:r>
      <w:r>
        <w:rPr>
          <w:spacing w:val="9"/>
        </w:rPr>
        <w:t> </w:t>
      </w:r>
      <w:r>
        <w:rPr/>
        <w:t>derrumbes.</w:t>
      </w:r>
    </w:p>
    <w:p>
      <w:pPr>
        <w:pStyle w:val="BodyText"/>
        <w:spacing w:before="11"/>
      </w:pPr>
    </w:p>
    <w:p>
      <w:pPr>
        <w:pStyle w:val="BodyText"/>
        <w:ind w:left="7711"/>
      </w:pPr>
      <w:r>
        <w:rPr/>
        <w:pict>
          <v:group style="position:absolute;margin-left:696.401978pt;margin-top:48.687286pt;width:18.850pt;height:61.8pt;mso-position-horizontal-relative:page;mso-position-vertical-relative:paragraph;z-index:16072" coordorigin="13928,974" coordsize="377,1236">
            <v:rect style="position:absolute;left:13928;top:974;width:377;height:1236" filled="true" fillcolor="#c7c8ca" stroked="false">
              <v:fill type="solid"/>
            </v:rect>
            <v:shape style="position:absolute;left:13928;top:974;width:377;height:1236" type="#_x0000_t202" filled="false" stroked="false">
              <v:textbox inset="0,0,0,0">
                <w:txbxContent>
                  <w:p>
                    <w:pPr>
                      <w:spacing w:line="240" w:lineRule="auto" w:before="8"/>
                      <w:rPr>
                        <w:sz w:val="13"/>
                      </w:rPr>
                    </w:pPr>
                  </w:p>
                  <w:p>
                    <w:pPr>
                      <w:spacing w:before="1"/>
                      <w:ind w:left="53" w:right="0" w:firstLine="0"/>
                      <w:jc w:val="left"/>
                      <w:rPr>
                        <w:sz w:val="16"/>
                      </w:rPr>
                    </w:pPr>
                    <w:r>
                      <w:rPr>
                        <w:sz w:val="16"/>
                      </w:rPr>
                      <w:t>465</w:t>
                    </w:r>
                  </w:p>
                </w:txbxContent>
              </v:textbox>
              <w10:wrap type="none"/>
            </v:shape>
            <w10:wrap type="none"/>
          </v:group>
        </w:pict>
      </w:r>
      <w:r>
        <w:rPr>
          <w:b/>
          <w:spacing w:val="-6"/>
        </w:rPr>
        <w:t>Palabras claves: </w:t>
      </w:r>
      <w:r>
        <w:rPr>
          <w:spacing w:val="-6"/>
        </w:rPr>
        <w:t>Vulnerabilidad física, materiales pétreos, procesos </w:t>
      </w:r>
      <w:r>
        <w:rPr>
          <w:spacing w:val="-3"/>
        </w:rPr>
        <w:t>de </w:t>
      </w:r>
      <w:r>
        <w:rPr>
          <w:spacing w:val="-6"/>
        </w:rPr>
        <w:t>remoción </w:t>
      </w:r>
      <w:r>
        <w:rPr>
          <w:spacing w:val="-3"/>
        </w:rPr>
        <w:t>en </w:t>
      </w:r>
      <w:r>
        <w:rPr>
          <w:spacing w:val="-6"/>
        </w:rPr>
        <w:t>masa</w:t>
      </w:r>
    </w:p>
    <w:p>
      <w:pPr>
        <w:spacing w:after="0"/>
        <w:sectPr>
          <w:type w:val="continuous"/>
          <w:pgSz w:w="18830" w:h="12760" w:orient="landscape"/>
          <w:pgMar w:top="1420" w:bottom="280" w:left="2720" w:right="720"/>
        </w:sectPr>
      </w:pPr>
    </w:p>
    <w:p>
      <w:pPr>
        <w:pStyle w:val="BodyText"/>
        <w:spacing w:before="8"/>
      </w:pPr>
    </w:p>
    <w:p>
      <w:pPr>
        <w:spacing w:after="0"/>
        <w:sectPr>
          <w:headerReference w:type="default" r:id="rId479"/>
          <w:footerReference w:type="default" r:id="rId480"/>
          <w:pgSz w:w="18830" w:h="12760" w:orient="landscape"/>
          <w:pgMar w:header="522" w:footer="1036" w:top="820" w:bottom="1220" w:left="720" w:right="720"/>
        </w:sectPr>
      </w:pPr>
    </w:p>
    <w:p>
      <w:pPr>
        <w:pStyle w:val="Heading2"/>
        <w:spacing w:before="71"/>
        <w:ind w:left="293"/>
        <w:rPr>
          <w:i/>
        </w:rPr>
      </w:pPr>
      <w:r>
        <w:rPr>
          <w:i/>
        </w:rPr>
        <w:t>Abstract</w:t>
      </w:r>
    </w:p>
    <w:p>
      <w:pPr>
        <w:pStyle w:val="BodyText"/>
        <w:rPr>
          <w:b/>
          <w:i/>
          <w:sz w:val="21"/>
        </w:rPr>
      </w:pPr>
    </w:p>
    <w:p>
      <w:pPr>
        <w:pStyle w:val="BodyText"/>
        <w:spacing w:line="249" w:lineRule="auto"/>
        <w:ind w:left="123" w:firstLine="170"/>
        <w:jc w:val="both"/>
      </w:pPr>
      <w:r>
        <w:rPr/>
        <w:t>This paper addresses the study of Physical vulnerability that is present in residential areas,</w:t>
      </w:r>
      <w:r>
        <w:rPr>
          <w:spacing w:val="-4"/>
        </w:rPr>
        <w:t> </w:t>
      </w:r>
      <w:r>
        <w:rPr/>
        <w:t>near</w:t>
      </w:r>
      <w:r>
        <w:rPr>
          <w:spacing w:val="-4"/>
        </w:rPr>
        <w:t> </w:t>
      </w:r>
      <w:r>
        <w:rPr/>
        <w:t>banks</w:t>
      </w:r>
      <w:r>
        <w:rPr>
          <w:spacing w:val="-4"/>
        </w:rPr>
        <w:t> </w:t>
      </w:r>
      <w:r>
        <w:rPr/>
        <w:t>of</w:t>
      </w:r>
      <w:r>
        <w:rPr>
          <w:spacing w:val="-4"/>
        </w:rPr>
        <w:t> </w:t>
      </w:r>
      <w:r>
        <w:rPr/>
        <w:t>stone</w:t>
      </w:r>
      <w:r>
        <w:rPr>
          <w:spacing w:val="-4"/>
        </w:rPr>
        <w:t> </w:t>
      </w:r>
      <w:r>
        <w:rPr/>
        <w:t>materials;</w:t>
      </w:r>
      <w:r>
        <w:rPr>
          <w:spacing w:val="-4"/>
        </w:rPr>
        <w:t> </w:t>
      </w:r>
      <w:r>
        <w:rPr/>
        <w:t>seem</w:t>
      </w:r>
      <w:r>
        <w:rPr>
          <w:spacing w:val="-4"/>
        </w:rPr>
        <w:t> </w:t>
      </w:r>
      <w:r>
        <w:rPr/>
        <w:t>from</w:t>
      </w:r>
      <w:r>
        <w:rPr>
          <w:spacing w:val="-4"/>
        </w:rPr>
        <w:t> </w:t>
      </w:r>
      <w:r>
        <w:rPr/>
        <w:t>landslide</w:t>
      </w:r>
      <w:r>
        <w:rPr>
          <w:spacing w:val="-4"/>
        </w:rPr>
        <w:t> </w:t>
      </w:r>
      <w:r>
        <w:rPr/>
        <w:t>processes</w:t>
      </w:r>
      <w:r>
        <w:rPr>
          <w:spacing w:val="-4"/>
        </w:rPr>
        <w:t> </w:t>
      </w:r>
      <w:r>
        <w:rPr/>
        <w:t>of</w:t>
      </w:r>
      <w:r>
        <w:rPr>
          <w:spacing w:val="-4"/>
        </w:rPr>
        <w:t> </w:t>
      </w:r>
      <w:r>
        <w:rPr/>
        <w:t>mining</w:t>
      </w:r>
      <w:r>
        <w:rPr>
          <w:spacing w:val="-4"/>
        </w:rPr>
        <w:t> </w:t>
      </w:r>
      <w:r>
        <w:rPr/>
        <w:t>product. Having as general</w:t>
      </w:r>
      <w:r>
        <w:rPr>
          <w:spacing w:val="-9"/>
        </w:rPr>
        <w:t> </w:t>
      </w:r>
      <w:r>
        <w:rPr/>
        <w:t>goal:</w:t>
      </w:r>
    </w:p>
    <w:p>
      <w:pPr>
        <w:pStyle w:val="BodyText"/>
        <w:spacing w:before="11"/>
      </w:pPr>
    </w:p>
    <w:p>
      <w:pPr>
        <w:pStyle w:val="BodyText"/>
        <w:spacing w:line="249" w:lineRule="auto"/>
        <w:ind w:left="123" w:firstLine="170"/>
        <w:jc w:val="both"/>
      </w:pPr>
      <w:r>
        <w:rPr/>
        <w:t>Analyze the physical vulnerability of Villas del Campo division and others residential areas</w:t>
      </w:r>
      <w:r>
        <w:rPr>
          <w:spacing w:val="-8"/>
        </w:rPr>
        <w:t> </w:t>
      </w:r>
      <w:r>
        <w:rPr/>
        <w:t>near</w:t>
      </w:r>
      <w:r>
        <w:rPr>
          <w:spacing w:val="-8"/>
        </w:rPr>
        <w:t> </w:t>
      </w:r>
      <w:r>
        <w:rPr/>
        <w:t>Colín</w:t>
      </w:r>
      <w:r>
        <w:rPr>
          <w:spacing w:val="-8"/>
        </w:rPr>
        <w:t> </w:t>
      </w:r>
      <w:r>
        <w:rPr/>
        <w:t>Inc.</w:t>
      </w:r>
      <w:r>
        <w:rPr>
          <w:spacing w:val="-8"/>
        </w:rPr>
        <w:t> </w:t>
      </w:r>
      <w:r>
        <w:rPr/>
        <w:t>Mine,</w:t>
      </w:r>
      <w:r>
        <w:rPr>
          <w:spacing w:val="-8"/>
        </w:rPr>
        <w:t> </w:t>
      </w:r>
      <w:r>
        <w:rPr/>
        <w:t>in</w:t>
      </w:r>
      <w:r>
        <w:rPr>
          <w:spacing w:val="-8"/>
        </w:rPr>
        <w:t> </w:t>
      </w:r>
      <w:r>
        <w:rPr/>
        <w:t>the</w:t>
      </w:r>
      <w:r>
        <w:rPr>
          <w:spacing w:val="-8"/>
        </w:rPr>
        <w:t> </w:t>
      </w:r>
      <w:r>
        <w:rPr/>
        <w:t>Calimaya</w:t>
      </w:r>
      <w:r>
        <w:rPr>
          <w:spacing w:val="-8"/>
        </w:rPr>
        <w:t> </w:t>
      </w:r>
      <w:r>
        <w:rPr/>
        <w:t>de</w:t>
      </w:r>
      <w:r>
        <w:rPr>
          <w:spacing w:val="-8"/>
        </w:rPr>
        <w:t> </w:t>
      </w:r>
      <w:r>
        <w:rPr/>
        <w:t>Díaz</w:t>
      </w:r>
      <w:r>
        <w:rPr>
          <w:spacing w:val="-8"/>
        </w:rPr>
        <w:t> </w:t>
      </w:r>
      <w:r>
        <w:rPr/>
        <w:t>González</w:t>
      </w:r>
      <w:r>
        <w:rPr>
          <w:spacing w:val="-8"/>
        </w:rPr>
        <w:t> </w:t>
      </w:r>
      <w:r>
        <w:rPr/>
        <w:t>Municipality</w:t>
      </w:r>
      <w:r>
        <w:rPr>
          <w:spacing w:val="-8"/>
        </w:rPr>
        <w:t> </w:t>
      </w:r>
      <w:r>
        <w:rPr/>
        <w:t>in</w:t>
      </w:r>
      <w:r>
        <w:rPr>
          <w:spacing w:val="-8"/>
        </w:rPr>
        <w:t> </w:t>
      </w:r>
      <w:r>
        <w:rPr/>
        <w:t>the</w:t>
      </w:r>
      <w:r>
        <w:rPr>
          <w:spacing w:val="-8"/>
        </w:rPr>
        <w:t> </w:t>
      </w:r>
      <w:r>
        <w:rPr/>
        <w:t>México State. To determine the physical vulnerability, the Yépes and D’ Ayala proposed methodology was employed; apply in this case the unstable slopes (landslides and fallin of</w:t>
      </w:r>
      <w:r>
        <w:rPr>
          <w:spacing w:val="-9"/>
        </w:rPr>
        <w:t> </w:t>
      </w:r>
      <w:r>
        <w:rPr/>
        <w:t>materials).</w:t>
      </w:r>
    </w:p>
    <w:p>
      <w:pPr>
        <w:pStyle w:val="BodyText"/>
        <w:spacing w:before="11"/>
      </w:pPr>
    </w:p>
    <w:p>
      <w:pPr>
        <w:pStyle w:val="BodyText"/>
        <w:spacing w:line="249" w:lineRule="auto"/>
        <w:ind w:left="123" w:firstLine="170"/>
        <w:jc w:val="both"/>
      </w:pPr>
      <w:r>
        <w:rPr/>
        <w:t>It is proposed in this the utilization of qualitative indicators and rates, to evaluate the vulnerability so that it is possible to describe it. The contribution to this methodology     it is to incorporate to these indicators the exposure to danger variable given by the proximity of the residential areas to the banks of stone </w:t>
      </w:r>
      <w:r>
        <w:rPr>
          <w:spacing w:val="8"/>
        </w:rPr>
        <w:t> </w:t>
      </w:r>
      <w:r>
        <w:rPr/>
        <w:t>materials.</w:t>
      </w:r>
    </w:p>
    <w:p>
      <w:pPr>
        <w:pStyle w:val="BodyText"/>
        <w:spacing w:before="11"/>
      </w:pPr>
    </w:p>
    <w:p>
      <w:pPr>
        <w:pStyle w:val="BodyText"/>
        <w:spacing w:line="249" w:lineRule="auto"/>
        <w:ind w:left="123" w:firstLine="170"/>
        <w:jc w:val="both"/>
      </w:pPr>
      <w:r>
        <w:rPr/>
        <w:t>The approach to the structural-physical vulnerability analysis, before the existence of the</w:t>
      </w:r>
      <w:r>
        <w:rPr>
          <w:spacing w:val="-10"/>
        </w:rPr>
        <w:t> </w:t>
      </w:r>
      <w:r>
        <w:rPr/>
        <w:t>threat</w:t>
      </w:r>
      <w:r>
        <w:rPr>
          <w:spacing w:val="-10"/>
        </w:rPr>
        <w:t> </w:t>
      </w:r>
      <w:r>
        <w:rPr/>
        <w:t>by</w:t>
      </w:r>
      <w:r>
        <w:rPr>
          <w:spacing w:val="-10"/>
        </w:rPr>
        <w:t> </w:t>
      </w:r>
      <w:r>
        <w:rPr/>
        <w:t>landslide</w:t>
      </w:r>
      <w:r>
        <w:rPr>
          <w:spacing w:val="-10"/>
        </w:rPr>
        <w:t> </w:t>
      </w:r>
      <w:r>
        <w:rPr/>
        <w:t>processes</w:t>
      </w:r>
      <w:r>
        <w:rPr>
          <w:spacing w:val="-10"/>
        </w:rPr>
        <w:t> </w:t>
      </w:r>
      <w:r>
        <w:rPr/>
        <w:t>for</w:t>
      </w:r>
      <w:r>
        <w:rPr>
          <w:spacing w:val="-10"/>
        </w:rPr>
        <w:t> </w:t>
      </w:r>
      <w:r>
        <w:rPr/>
        <w:t>the</w:t>
      </w:r>
      <w:r>
        <w:rPr>
          <w:spacing w:val="-10"/>
        </w:rPr>
        <w:t> </w:t>
      </w:r>
      <w:r>
        <w:rPr/>
        <w:t>residential</w:t>
      </w:r>
      <w:r>
        <w:rPr>
          <w:spacing w:val="-10"/>
        </w:rPr>
        <w:t> </w:t>
      </w:r>
      <w:r>
        <w:rPr/>
        <w:t>areas</w:t>
      </w:r>
      <w:r>
        <w:rPr>
          <w:spacing w:val="-10"/>
        </w:rPr>
        <w:t> </w:t>
      </w:r>
      <w:r>
        <w:rPr/>
        <w:t>(Villas</w:t>
      </w:r>
      <w:r>
        <w:rPr>
          <w:spacing w:val="-10"/>
        </w:rPr>
        <w:t> </w:t>
      </w:r>
      <w:r>
        <w:rPr/>
        <w:t>del</w:t>
      </w:r>
      <w:r>
        <w:rPr>
          <w:spacing w:val="-10"/>
        </w:rPr>
        <w:t> </w:t>
      </w:r>
      <w:r>
        <w:rPr/>
        <w:t>Campo</w:t>
      </w:r>
      <w:r>
        <w:rPr>
          <w:spacing w:val="-10"/>
        </w:rPr>
        <w:t> </w:t>
      </w:r>
      <w:r>
        <w:rPr/>
        <w:t>Division</w:t>
      </w:r>
      <w:r>
        <w:rPr>
          <w:spacing w:val="-10"/>
        </w:rPr>
        <w:t> </w:t>
      </w:r>
      <w:r>
        <w:rPr/>
        <w:t>and others) on the boundary whit the mining activity, allowed us to confirm and to precise the susceptible areas to mass landslide process particularly in front of the landslide, although there is also others processes as the materials falls or</w:t>
      </w:r>
      <w:r>
        <w:rPr>
          <w:spacing w:val="41"/>
        </w:rPr>
        <w:t> </w:t>
      </w:r>
      <w:r>
        <w:rPr/>
        <w:t>collapses.</w:t>
      </w:r>
    </w:p>
    <w:p>
      <w:pPr>
        <w:pStyle w:val="BodyText"/>
        <w:spacing w:before="9"/>
        <w:rPr>
          <w:sz w:val="18"/>
        </w:rPr>
      </w:pPr>
    </w:p>
    <w:p>
      <w:pPr>
        <w:pStyle w:val="BodyText"/>
        <w:spacing w:before="1"/>
        <w:ind w:left="123"/>
      </w:pPr>
      <w:r>
        <w:rPr>
          <w:b/>
        </w:rPr>
        <w:t>Keywords : </w:t>
      </w:r>
      <w:r>
        <w:rPr/>
        <w:t>Physical vulnerability, banks of stone materials, mass landslide processes</w:t>
      </w:r>
    </w:p>
    <w:p>
      <w:pPr>
        <w:pStyle w:val="BodyText"/>
        <w:spacing w:before="6"/>
      </w:pPr>
    </w:p>
    <w:p>
      <w:pPr>
        <w:pStyle w:val="Heading1"/>
        <w:ind w:left="293"/>
      </w:pPr>
      <w:r>
        <w:rPr/>
        <w:t>Introducción</w:t>
      </w:r>
    </w:p>
    <w:p>
      <w:pPr>
        <w:pStyle w:val="BodyText"/>
        <w:rPr>
          <w:b/>
          <w:sz w:val="21"/>
        </w:rPr>
      </w:pPr>
    </w:p>
    <w:p>
      <w:pPr>
        <w:pStyle w:val="BodyText"/>
        <w:spacing w:line="249" w:lineRule="auto"/>
        <w:ind w:left="123" w:firstLine="170"/>
        <w:jc w:val="both"/>
      </w:pPr>
      <w:r>
        <w:rPr/>
        <w:t>Las condiciones físicos-geográficas que caracterizan al Estado de México y en particular al municipio de Calimaya de Díaz González, han favorecido la existencia y explotación de materiales no metálicos (no concesionables por el Gobierno) llamados materiales pétreos, desarrollándose en este municipio la actividad minera, que representa actualmente la segunda actividad de importancia económica para los habitantes del lugar.</w:t>
      </w:r>
    </w:p>
    <w:p>
      <w:pPr>
        <w:pStyle w:val="BodyText"/>
        <w:spacing w:before="11"/>
      </w:pPr>
    </w:p>
    <w:p>
      <w:pPr>
        <w:pStyle w:val="BodyText"/>
        <w:spacing w:line="249" w:lineRule="auto"/>
        <w:ind w:left="123" w:firstLine="170"/>
        <w:jc w:val="both"/>
      </w:pPr>
      <w:r>
        <w:rPr/>
        <w:t>De acuerdo con el Instituto de Fomento Minero y Estudios Geológicos del Estado   de México, actualmente en el municipio se encuentran 12 minas activas de diferentes empresas particulares, que comercializan el material que se extrae de éstas, como la arena, grava y tepojal, productos que son distribuidos en los municipios circundantes como</w:t>
      </w:r>
      <w:r>
        <w:rPr>
          <w:spacing w:val="-13"/>
        </w:rPr>
        <w:t> </w:t>
      </w:r>
      <w:r>
        <w:rPr/>
        <w:t>Toluca</w:t>
      </w:r>
      <w:r>
        <w:rPr>
          <w:spacing w:val="-13"/>
        </w:rPr>
        <w:t> </w:t>
      </w:r>
      <w:r>
        <w:rPr/>
        <w:t>de</w:t>
      </w:r>
      <w:r>
        <w:rPr>
          <w:spacing w:val="-13"/>
        </w:rPr>
        <w:t> </w:t>
      </w:r>
      <w:r>
        <w:rPr/>
        <w:t>Lerdo,</w:t>
      </w:r>
      <w:r>
        <w:rPr>
          <w:spacing w:val="-13"/>
        </w:rPr>
        <w:t> </w:t>
      </w:r>
      <w:r>
        <w:rPr/>
        <w:t>Metepec,</w:t>
      </w:r>
      <w:r>
        <w:rPr>
          <w:spacing w:val="-13"/>
        </w:rPr>
        <w:t> </w:t>
      </w:r>
      <w:r>
        <w:rPr/>
        <w:t>Tenango</w:t>
      </w:r>
      <w:r>
        <w:rPr>
          <w:spacing w:val="-13"/>
        </w:rPr>
        <w:t> </w:t>
      </w:r>
      <w:r>
        <w:rPr/>
        <w:t>del</w:t>
      </w:r>
      <w:r>
        <w:rPr>
          <w:spacing w:val="-13"/>
        </w:rPr>
        <w:t> </w:t>
      </w:r>
      <w:r>
        <w:rPr/>
        <w:t>Valle,</w:t>
      </w:r>
      <w:r>
        <w:rPr>
          <w:spacing w:val="-13"/>
        </w:rPr>
        <w:t> </w:t>
      </w:r>
      <w:r>
        <w:rPr/>
        <w:t>Santa</w:t>
      </w:r>
      <w:r>
        <w:rPr>
          <w:spacing w:val="-13"/>
        </w:rPr>
        <w:t> </w:t>
      </w:r>
      <w:r>
        <w:rPr/>
        <w:t>María</w:t>
      </w:r>
      <w:r>
        <w:rPr>
          <w:spacing w:val="-13"/>
        </w:rPr>
        <w:t> </w:t>
      </w:r>
      <w:r>
        <w:rPr/>
        <w:t>Rayón</w:t>
      </w:r>
      <w:r>
        <w:rPr>
          <w:spacing w:val="-13"/>
        </w:rPr>
        <w:t> </w:t>
      </w:r>
      <w:r>
        <w:rPr/>
        <w:t>y</w:t>
      </w:r>
      <w:r>
        <w:rPr>
          <w:spacing w:val="-13"/>
        </w:rPr>
        <w:t> </w:t>
      </w:r>
      <w:r>
        <w:rPr/>
        <w:t>Mexicaltzingo entre</w:t>
      </w:r>
      <w:r>
        <w:rPr>
          <w:spacing w:val="14"/>
        </w:rPr>
        <w:t> </w:t>
      </w:r>
      <w:r>
        <w:rPr/>
        <w:t>otros.</w:t>
      </w:r>
    </w:p>
    <w:p>
      <w:pPr>
        <w:pStyle w:val="BodyText"/>
        <w:spacing w:line="249" w:lineRule="auto" w:before="109"/>
        <w:ind w:left="123" w:right="127" w:firstLine="170"/>
        <w:jc w:val="both"/>
      </w:pPr>
      <w:r>
        <w:rPr/>
        <w:br w:type="column"/>
      </w:r>
      <w:r>
        <w:rPr/>
        <w:t>La exploración y explotación de nuevos yacimientos de materiales pétreos ha originado cambios en el uso de suelo, manifestándose a través de la apertura de nuevos lugares para extracción, sin que éstos posean un control adecuado, lo que ha promovido, por un lado, la disminución de las áreas destinadas para la agricultura a pesar de ser ésta la vocación natural del suelo. Por otro lado, el acelerado crecimiento de la población que se ha presentado en el municipio de Calimaya en los últimos años, ha permitido la proliferación de nuevos fraccionamientos auspiciaos por empresas dedicadas a la construcción, que son autorizados cerca de los bancos de materiales pétreos.</w:t>
      </w:r>
    </w:p>
    <w:p>
      <w:pPr>
        <w:pStyle w:val="BodyText"/>
        <w:spacing w:before="11"/>
      </w:pPr>
    </w:p>
    <w:p>
      <w:pPr>
        <w:pStyle w:val="BodyText"/>
        <w:spacing w:line="249" w:lineRule="auto"/>
        <w:ind w:left="123" w:right="128" w:firstLine="170"/>
        <w:jc w:val="both"/>
      </w:pPr>
      <w:r>
        <w:rPr/>
        <w:t>La cercanía que presentan los fraccionamientos en relación con los bancos de materiales pétreos es  preocupante,  ya  que  derivado  de  la  actividad  minera  que  se desarrolla, existe evidencia de desprendimientos de materiales en las paredes – inestabilidad de laderas- colindantes con estas zonas habitacionales y en áreas de cultivos.</w:t>
      </w:r>
    </w:p>
    <w:p>
      <w:pPr>
        <w:pStyle w:val="BodyText"/>
        <w:spacing w:before="11"/>
      </w:pPr>
    </w:p>
    <w:p>
      <w:pPr>
        <w:pStyle w:val="BodyText"/>
        <w:spacing w:line="249" w:lineRule="auto"/>
        <w:ind w:left="123" w:right="127" w:firstLine="170"/>
        <w:jc w:val="both"/>
      </w:pPr>
      <w:r>
        <w:rPr/>
        <w:t>Este trabajo aborda el estudio de la vulnerabilidad física estructural que se presenta en las zonas habitacionales contiguas a los bancos de materiales pétreos, visto a</w:t>
      </w:r>
      <w:r>
        <w:rPr>
          <w:spacing w:val="-21"/>
        </w:rPr>
        <w:t> </w:t>
      </w:r>
      <w:r>
        <w:rPr/>
        <w:t>partir de los procesos de remoción en masa producto de la actividad minera planteando como</w:t>
      </w:r>
      <w:r>
        <w:rPr>
          <w:spacing w:val="36"/>
        </w:rPr>
        <w:t> </w:t>
      </w:r>
      <w:r>
        <w:rPr/>
        <w:t>objetivo:</w:t>
      </w:r>
    </w:p>
    <w:p>
      <w:pPr>
        <w:pStyle w:val="BodyText"/>
        <w:spacing w:before="11"/>
      </w:pPr>
    </w:p>
    <w:p>
      <w:pPr>
        <w:spacing w:line="249" w:lineRule="auto" w:before="0"/>
        <w:ind w:left="123" w:right="128" w:firstLine="170"/>
        <w:jc w:val="both"/>
        <w:rPr>
          <w:i/>
          <w:sz w:val="20"/>
        </w:rPr>
      </w:pPr>
      <w:r>
        <w:rPr>
          <w:i/>
          <w:sz w:val="20"/>
        </w:rPr>
        <w:t>Analizar la vulnerabilidad física del fraccionamiento Villas del Campo, zonas </w:t>
      </w:r>
      <w:r>
        <w:rPr>
          <w:i/>
          <w:sz w:val="20"/>
        </w:rPr>
        <w:t>habitacionales</w:t>
      </w:r>
      <w:r>
        <w:rPr>
          <w:i/>
          <w:spacing w:val="-16"/>
          <w:sz w:val="20"/>
        </w:rPr>
        <w:t> </w:t>
      </w:r>
      <w:r>
        <w:rPr>
          <w:i/>
          <w:sz w:val="20"/>
        </w:rPr>
        <w:t>y</w:t>
      </w:r>
      <w:r>
        <w:rPr>
          <w:i/>
          <w:spacing w:val="-16"/>
          <w:sz w:val="20"/>
        </w:rPr>
        <w:t> </w:t>
      </w:r>
      <w:r>
        <w:rPr>
          <w:i/>
          <w:sz w:val="20"/>
        </w:rPr>
        <w:t>las</w:t>
      </w:r>
      <w:r>
        <w:rPr>
          <w:i/>
          <w:spacing w:val="-16"/>
          <w:sz w:val="20"/>
        </w:rPr>
        <w:t> </w:t>
      </w:r>
      <w:r>
        <w:rPr>
          <w:i/>
          <w:sz w:val="20"/>
        </w:rPr>
        <w:t>áreas</w:t>
      </w:r>
      <w:r>
        <w:rPr>
          <w:i/>
          <w:spacing w:val="-16"/>
          <w:sz w:val="20"/>
        </w:rPr>
        <w:t> </w:t>
      </w:r>
      <w:r>
        <w:rPr>
          <w:i/>
          <w:sz w:val="20"/>
        </w:rPr>
        <w:t>agrícolas</w:t>
      </w:r>
      <w:r>
        <w:rPr>
          <w:i/>
          <w:spacing w:val="-16"/>
          <w:sz w:val="20"/>
        </w:rPr>
        <w:t> </w:t>
      </w:r>
      <w:r>
        <w:rPr>
          <w:i/>
          <w:sz w:val="20"/>
        </w:rPr>
        <w:t>contiguas</w:t>
      </w:r>
      <w:r>
        <w:rPr>
          <w:i/>
          <w:spacing w:val="-16"/>
          <w:sz w:val="20"/>
        </w:rPr>
        <w:t> </w:t>
      </w:r>
      <w:r>
        <w:rPr>
          <w:i/>
          <w:sz w:val="20"/>
        </w:rPr>
        <w:t>a</w:t>
      </w:r>
      <w:r>
        <w:rPr>
          <w:i/>
          <w:spacing w:val="-16"/>
          <w:sz w:val="20"/>
        </w:rPr>
        <w:t> </w:t>
      </w:r>
      <w:r>
        <w:rPr>
          <w:i/>
          <w:sz w:val="20"/>
        </w:rPr>
        <w:t>la</w:t>
      </w:r>
      <w:r>
        <w:rPr>
          <w:i/>
          <w:spacing w:val="-16"/>
          <w:sz w:val="20"/>
        </w:rPr>
        <w:t> </w:t>
      </w:r>
      <w:r>
        <w:rPr>
          <w:i/>
          <w:sz w:val="20"/>
        </w:rPr>
        <w:t>Mina</w:t>
      </w:r>
      <w:r>
        <w:rPr>
          <w:i/>
          <w:spacing w:val="-16"/>
          <w:sz w:val="20"/>
        </w:rPr>
        <w:t> </w:t>
      </w:r>
      <w:r>
        <w:rPr>
          <w:i/>
          <w:sz w:val="20"/>
        </w:rPr>
        <w:t>Colinoli</w:t>
      </w:r>
      <w:r>
        <w:rPr>
          <w:i/>
          <w:spacing w:val="-16"/>
          <w:sz w:val="20"/>
        </w:rPr>
        <w:t> </w:t>
      </w:r>
      <w:r>
        <w:rPr>
          <w:i/>
          <w:sz w:val="20"/>
        </w:rPr>
        <w:t>S.A</w:t>
      </w:r>
      <w:r>
        <w:rPr>
          <w:i/>
          <w:spacing w:val="-16"/>
          <w:sz w:val="20"/>
        </w:rPr>
        <w:t> </w:t>
      </w:r>
      <w:r>
        <w:rPr>
          <w:i/>
          <w:sz w:val="20"/>
        </w:rPr>
        <w:t>de</w:t>
      </w:r>
      <w:r>
        <w:rPr>
          <w:i/>
          <w:spacing w:val="-16"/>
          <w:sz w:val="20"/>
        </w:rPr>
        <w:t> </w:t>
      </w:r>
      <w:r>
        <w:rPr>
          <w:i/>
          <w:sz w:val="20"/>
        </w:rPr>
        <w:t>C.V</w:t>
      </w:r>
      <w:r>
        <w:rPr>
          <w:i/>
          <w:spacing w:val="-16"/>
          <w:sz w:val="20"/>
        </w:rPr>
        <w:t> </w:t>
      </w:r>
      <w:r>
        <w:rPr>
          <w:i/>
          <w:sz w:val="20"/>
        </w:rPr>
        <w:t>del</w:t>
      </w:r>
      <w:r>
        <w:rPr>
          <w:i/>
          <w:spacing w:val="-16"/>
          <w:sz w:val="20"/>
        </w:rPr>
        <w:t> </w:t>
      </w:r>
      <w:r>
        <w:rPr>
          <w:i/>
          <w:sz w:val="20"/>
        </w:rPr>
        <w:t>municipio de</w:t>
      </w:r>
      <w:r>
        <w:rPr>
          <w:i/>
          <w:spacing w:val="-10"/>
          <w:sz w:val="20"/>
        </w:rPr>
        <w:t> </w:t>
      </w:r>
      <w:r>
        <w:rPr>
          <w:i/>
          <w:sz w:val="20"/>
        </w:rPr>
        <w:t>Calimaya</w:t>
      </w:r>
      <w:r>
        <w:rPr>
          <w:i/>
          <w:spacing w:val="-10"/>
          <w:sz w:val="20"/>
        </w:rPr>
        <w:t> </w:t>
      </w:r>
      <w:r>
        <w:rPr>
          <w:i/>
          <w:sz w:val="20"/>
        </w:rPr>
        <w:t>de</w:t>
      </w:r>
      <w:r>
        <w:rPr>
          <w:i/>
          <w:spacing w:val="-10"/>
          <w:sz w:val="20"/>
        </w:rPr>
        <w:t> </w:t>
      </w:r>
      <w:r>
        <w:rPr>
          <w:i/>
          <w:sz w:val="20"/>
        </w:rPr>
        <w:t>Díaz</w:t>
      </w:r>
      <w:r>
        <w:rPr>
          <w:i/>
          <w:spacing w:val="-10"/>
          <w:sz w:val="20"/>
        </w:rPr>
        <w:t> </w:t>
      </w:r>
      <w:r>
        <w:rPr>
          <w:i/>
          <w:sz w:val="20"/>
        </w:rPr>
        <w:t>González,</w:t>
      </w:r>
      <w:r>
        <w:rPr>
          <w:i/>
          <w:spacing w:val="-10"/>
          <w:sz w:val="20"/>
        </w:rPr>
        <w:t> </w:t>
      </w:r>
      <w:r>
        <w:rPr>
          <w:i/>
          <w:sz w:val="20"/>
        </w:rPr>
        <w:t>estado</w:t>
      </w:r>
      <w:r>
        <w:rPr>
          <w:i/>
          <w:spacing w:val="-10"/>
          <w:sz w:val="20"/>
        </w:rPr>
        <w:t> </w:t>
      </w:r>
      <w:r>
        <w:rPr>
          <w:i/>
          <w:sz w:val="20"/>
        </w:rPr>
        <w:t>de</w:t>
      </w:r>
      <w:r>
        <w:rPr>
          <w:i/>
          <w:spacing w:val="-10"/>
          <w:sz w:val="20"/>
        </w:rPr>
        <w:t> </w:t>
      </w:r>
      <w:r>
        <w:rPr>
          <w:i/>
          <w:sz w:val="20"/>
        </w:rPr>
        <w:t>México.</w:t>
      </w:r>
    </w:p>
    <w:p>
      <w:pPr>
        <w:pStyle w:val="BodyText"/>
        <w:spacing w:before="11"/>
        <w:rPr>
          <w:i/>
        </w:rPr>
      </w:pPr>
    </w:p>
    <w:p>
      <w:pPr>
        <w:pStyle w:val="BodyText"/>
        <w:spacing w:line="249" w:lineRule="auto"/>
        <w:ind w:left="123" w:right="127" w:firstLine="170"/>
        <w:jc w:val="both"/>
      </w:pPr>
      <w:r>
        <w:rPr/>
        <w:t>Para determinar la vulnerabilidad física en zonas habitacionales, se empleó la metodología de vulnerabilidad física estructural propuesta por Yépez y D’ Ayala  (2012), la cual permite estimar el nivel de vulnerabilidad a nivel municipal, predio o manzana ante alguna amenaza, aplicándose en este caso a la inestabilidad de laderas (deslizamientos y caída de</w:t>
      </w:r>
      <w:r>
        <w:rPr>
          <w:spacing w:val="-28"/>
        </w:rPr>
        <w:t> </w:t>
      </w:r>
      <w:r>
        <w:rPr/>
        <w:t>materiales).</w:t>
      </w:r>
    </w:p>
    <w:p>
      <w:pPr>
        <w:pStyle w:val="BodyText"/>
        <w:spacing w:before="11"/>
      </w:pPr>
    </w:p>
    <w:p>
      <w:pPr>
        <w:pStyle w:val="BodyText"/>
        <w:spacing w:line="249" w:lineRule="auto"/>
        <w:ind w:left="123" w:right="127" w:firstLine="170"/>
        <w:jc w:val="both"/>
      </w:pPr>
      <w:r>
        <w:rPr/>
        <w:t>En ésta se propone la utilización de indicadores e índices cualitativos de evaluación de la vulnerabilidad de manera que sea posible describirla y caracterizarla. Aunado a los indicadores propuestos por Yépez </w:t>
      </w:r>
      <w:r>
        <w:rPr>
          <w:i/>
        </w:rPr>
        <w:t>et. al</w:t>
      </w:r>
      <w:r>
        <w:rPr/>
        <w:t>., se consideró incluir la variable exposición al peligro, dada por la cercanía de las zonas habitacionales a los bancos de materiales pétreos.</w:t>
      </w:r>
    </w:p>
    <w:p>
      <w:pPr>
        <w:pStyle w:val="BodyText"/>
        <w:spacing w:before="11"/>
      </w:pPr>
    </w:p>
    <w:p>
      <w:pPr>
        <w:pStyle w:val="BodyText"/>
        <w:spacing w:line="249" w:lineRule="auto"/>
        <w:ind w:left="123" w:right="127" w:firstLine="170"/>
        <w:jc w:val="both"/>
      </w:pPr>
      <w:r>
        <w:rPr/>
        <w:t>Los</w:t>
      </w:r>
      <w:r>
        <w:rPr>
          <w:spacing w:val="-19"/>
        </w:rPr>
        <w:t> </w:t>
      </w:r>
      <w:r>
        <w:rPr/>
        <w:t>resultados</w:t>
      </w:r>
      <w:r>
        <w:rPr>
          <w:spacing w:val="-19"/>
        </w:rPr>
        <w:t> </w:t>
      </w:r>
      <w:r>
        <w:rPr/>
        <w:t>obtenidos</w:t>
      </w:r>
      <w:r>
        <w:rPr>
          <w:spacing w:val="-19"/>
        </w:rPr>
        <w:t> </w:t>
      </w:r>
      <w:r>
        <w:rPr/>
        <w:t>al</w:t>
      </w:r>
      <w:r>
        <w:rPr>
          <w:spacing w:val="-19"/>
        </w:rPr>
        <w:t> </w:t>
      </w:r>
      <w:r>
        <w:rPr/>
        <w:t>aplicar</w:t>
      </w:r>
      <w:r>
        <w:rPr>
          <w:spacing w:val="-19"/>
        </w:rPr>
        <w:t> </w:t>
      </w:r>
      <w:r>
        <w:rPr/>
        <w:t>la</w:t>
      </w:r>
      <w:r>
        <w:rPr>
          <w:spacing w:val="-19"/>
        </w:rPr>
        <w:t> </w:t>
      </w:r>
      <w:r>
        <w:rPr/>
        <w:t>metodología</w:t>
      </w:r>
      <w:r>
        <w:rPr>
          <w:spacing w:val="-19"/>
        </w:rPr>
        <w:t> </w:t>
      </w:r>
      <w:r>
        <w:rPr/>
        <w:t>específica</w:t>
      </w:r>
      <w:r>
        <w:rPr>
          <w:spacing w:val="-19"/>
        </w:rPr>
        <w:t> </w:t>
      </w:r>
      <w:r>
        <w:rPr/>
        <w:t>en</w:t>
      </w:r>
      <w:r>
        <w:rPr>
          <w:spacing w:val="-19"/>
        </w:rPr>
        <w:t> </w:t>
      </w:r>
      <w:r>
        <w:rPr/>
        <w:t>las</w:t>
      </w:r>
      <w:r>
        <w:rPr>
          <w:spacing w:val="-19"/>
        </w:rPr>
        <w:t> </w:t>
      </w:r>
      <w:r>
        <w:rPr/>
        <w:t>zonas</w:t>
      </w:r>
      <w:r>
        <w:rPr>
          <w:spacing w:val="-19"/>
        </w:rPr>
        <w:t> </w:t>
      </w:r>
      <w:r>
        <w:rPr/>
        <w:t>susceptibles a presentar vulnerabilidad física, como  en  el  fraccionamiento  Villas  del  Campo  y las zonas habitacionales contiguas a los bancos de materiales pétreos, permitieron clasificarlas en zonas de alta, media y baja</w:t>
      </w:r>
      <w:r>
        <w:rPr>
          <w:spacing w:val="15"/>
        </w:rPr>
        <w:t> </w:t>
      </w:r>
      <w:r>
        <w:rPr/>
        <w:t>vulnerabilidad.</w:t>
      </w:r>
    </w:p>
    <w:p>
      <w:pPr>
        <w:spacing w:after="0" w:line="249" w:lineRule="auto"/>
        <w:jc w:val="both"/>
        <w:sectPr>
          <w:type w:val="continuous"/>
          <w:pgSz w:w="18830" w:h="12760" w:orient="landscape"/>
          <w:pgMar w:top="1420" w:bottom="280" w:left="720" w:right="720"/>
          <w:cols w:num="2" w:equalWidth="0">
            <w:col w:w="7835" w:space="1582"/>
            <w:col w:w="7973"/>
          </w:cols>
        </w:sectPr>
      </w:pPr>
    </w:p>
    <w:p>
      <w:pPr>
        <w:pStyle w:val="BodyText"/>
        <w:spacing w:before="6"/>
        <w:rPr>
          <w:sz w:val="23"/>
        </w:rPr>
      </w:pPr>
    </w:p>
    <w:p>
      <w:pPr>
        <w:spacing w:after="0"/>
        <w:rPr>
          <w:sz w:val="23"/>
        </w:rPr>
        <w:sectPr>
          <w:footerReference w:type="default" r:id="rId481"/>
          <w:pgSz w:w="18830" w:h="12760" w:orient="landscape"/>
          <w:pgMar w:footer="1005" w:header="522" w:top="820" w:bottom="1200" w:left="720" w:right="720"/>
        </w:sectPr>
      </w:pPr>
    </w:p>
    <w:p>
      <w:pPr>
        <w:pStyle w:val="BodyText"/>
        <w:spacing w:line="249" w:lineRule="auto" w:before="76"/>
        <w:ind w:left="117" w:firstLine="170"/>
        <w:jc w:val="both"/>
      </w:pPr>
      <w:r>
        <w:rPr/>
        <w:t>Para obtener la información empleada en el análisis de la vulnerabilidad</w:t>
      </w:r>
      <w:r>
        <w:rPr>
          <w:spacing w:val="48"/>
        </w:rPr>
        <w:t> </w:t>
      </w:r>
      <w:r>
        <w:rPr/>
        <w:t>se</w:t>
      </w:r>
      <w:r>
        <w:rPr>
          <w:spacing w:val="9"/>
        </w:rPr>
        <w:t> </w:t>
      </w:r>
      <w:r>
        <w:rPr/>
        <w:t>propuso</w:t>
      </w:r>
      <w:r>
        <w:rPr>
          <w:w w:val="103"/>
        </w:rPr>
        <w:t> </w:t>
      </w:r>
      <w:r>
        <w:rPr/>
        <w:t>el uso de dos instrumentos -fichas de campo-, en los que se recabó la información cualitativa</w:t>
      </w:r>
      <w:r>
        <w:rPr>
          <w:spacing w:val="-9"/>
        </w:rPr>
        <w:t> </w:t>
      </w:r>
      <w:r>
        <w:rPr/>
        <w:t>y</w:t>
      </w:r>
      <w:r>
        <w:rPr>
          <w:spacing w:val="-9"/>
        </w:rPr>
        <w:t> </w:t>
      </w:r>
      <w:r>
        <w:rPr/>
        <w:t>cuantitativa</w:t>
      </w:r>
      <w:r>
        <w:rPr>
          <w:spacing w:val="-9"/>
        </w:rPr>
        <w:t> </w:t>
      </w:r>
      <w:r>
        <w:rPr/>
        <w:t>de</w:t>
      </w:r>
      <w:r>
        <w:rPr>
          <w:spacing w:val="-9"/>
        </w:rPr>
        <w:t> </w:t>
      </w:r>
      <w:r>
        <w:rPr/>
        <w:t>la</w:t>
      </w:r>
      <w:r>
        <w:rPr>
          <w:spacing w:val="-9"/>
        </w:rPr>
        <w:t> </w:t>
      </w:r>
      <w:r>
        <w:rPr/>
        <w:t>zona</w:t>
      </w:r>
      <w:r>
        <w:rPr>
          <w:spacing w:val="-9"/>
        </w:rPr>
        <w:t> </w:t>
      </w:r>
      <w:r>
        <w:rPr/>
        <w:t>de</w:t>
      </w:r>
      <w:r>
        <w:rPr>
          <w:spacing w:val="-9"/>
        </w:rPr>
        <w:t> </w:t>
      </w:r>
      <w:r>
        <w:rPr/>
        <w:t>estudio,</w:t>
      </w:r>
      <w:r>
        <w:rPr>
          <w:spacing w:val="-9"/>
        </w:rPr>
        <w:t> </w:t>
      </w:r>
      <w:r>
        <w:rPr/>
        <w:t>tomando</w:t>
      </w:r>
      <w:r>
        <w:rPr>
          <w:spacing w:val="-9"/>
        </w:rPr>
        <w:t> </w:t>
      </w:r>
      <w:r>
        <w:rPr/>
        <w:t>en</w:t>
      </w:r>
      <w:r>
        <w:rPr>
          <w:spacing w:val="-9"/>
        </w:rPr>
        <w:t> </w:t>
      </w:r>
      <w:r>
        <w:rPr/>
        <w:t>consideración</w:t>
      </w:r>
      <w:r>
        <w:rPr>
          <w:spacing w:val="-9"/>
        </w:rPr>
        <w:t> </w:t>
      </w:r>
      <w:r>
        <w:rPr/>
        <w:t>lo</w:t>
      </w:r>
      <w:r>
        <w:rPr>
          <w:spacing w:val="-9"/>
        </w:rPr>
        <w:t> </w:t>
      </w:r>
      <w:r>
        <w:rPr/>
        <w:t>establecido en la Norma Técnica Estatal Ambiental NTEA-002-SMA-DS-2009, que regula la exploración, explotación y transporte de minerales no concesionables en el Estado    de México, expedidas en el año 2010, y los lineamientos establecidos por el Centro Nacional</w:t>
      </w:r>
      <w:r>
        <w:rPr>
          <w:spacing w:val="-12"/>
        </w:rPr>
        <w:t> </w:t>
      </w:r>
      <w:r>
        <w:rPr/>
        <w:t>de</w:t>
      </w:r>
      <w:r>
        <w:rPr>
          <w:spacing w:val="-12"/>
        </w:rPr>
        <w:t> </w:t>
      </w:r>
      <w:r>
        <w:rPr/>
        <w:t>Prevención</w:t>
      </w:r>
      <w:r>
        <w:rPr>
          <w:spacing w:val="-12"/>
        </w:rPr>
        <w:t> </w:t>
      </w:r>
      <w:r>
        <w:rPr/>
        <w:t>de</w:t>
      </w:r>
      <w:r>
        <w:rPr>
          <w:spacing w:val="-12"/>
        </w:rPr>
        <w:t> </w:t>
      </w:r>
      <w:r>
        <w:rPr/>
        <w:t>Desastres</w:t>
      </w:r>
      <w:r>
        <w:rPr>
          <w:spacing w:val="-12"/>
        </w:rPr>
        <w:t> </w:t>
      </w:r>
      <w:r>
        <w:rPr/>
        <w:t>(CENAPRED,</w:t>
      </w:r>
      <w:r>
        <w:rPr>
          <w:spacing w:val="-12"/>
        </w:rPr>
        <w:t> </w:t>
      </w:r>
      <w:r>
        <w:rPr/>
        <w:t>2014).</w:t>
      </w:r>
    </w:p>
    <w:p>
      <w:pPr>
        <w:pStyle w:val="BodyText"/>
      </w:pPr>
    </w:p>
    <w:p>
      <w:pPr>
        <w:pStyle w:val="BodyText"/>
        <w:spacing w:before="6"/>
        <w:rPr>
          <w:sz w:val="18"/>
        </w:rPr>
      </w:pPr>
    </w:p>
    <w:p>
      <w:pPr>
        <w:pStyle w:val="Heading1"/>
        <w:ind w:left="287" w:right="22"/>
      </w:pPr>
      <w:r>
        <w:rPr/>
        <w:t>Base conceptual</w:t>
      </w:r>
    </w:p>
    <w:p>
      <w:pPr>
        <w:pStyle w:val="BodyText"/>
        <w:rPr>
          <w:b/>
          <w:sz w:val="21"/>
        </w:rPr>
      </w:pPr>
    </w:p>
    <w:p>
      <w:pPr>
        <w:pStyle w:val="BodyText"/>
        <w:spacing w:line="249" w:lineRule="auto"/>
        <w:ind w:left="117" w:firstLine="170"/>
        <w:jc w:val="both"/>
      </w:pPr>
      <w:r>
        <w:rPr/>
        <w:t>Existe una gran variedad de definiciones en torno a la vulnerabilidad, enmarcadas    a partir de las instituciones que la hayan generado y en el contexto en el que se haya desarrollado el estudio, siendo de carácter general o particularizando en algunas situaciones.</w:t>
      </w:r>
    </w:p>
    <w:p>
      <w:pPr>
        <w:pStyle w:val="BodyText"/>
        <w:spacing w:before="11"/>
      </w:pPr>
    </w:p>
    <w:p>
      <w:pPr>
        <w:pStyle w:val="BodyText"/>
        <w:spacing w:line="249" w:lineRule="auto"/>
        <w:ind w:left="117" w:firstLine="170"/>
        <w:jc w:val="both"/>
      </w:pPr>
      <w:r>
        <w:rPr/>
        <w:t>A partir de lo establecido por Cardona (2001), la vulnerabilidad es la predisposición  o susceptibilidad física, económica, política o social que tiene una comunidad de ser afectada o de sufrir daño en caso de que un fenómeno desestabilizador de origen natural o antrópico se</w:t>
      </w:r>
      <w:r>
        <w:rPr>
          <w:spacing w:val="28"/>
        </w:rPr>
        <w:t> </w:t>
      </w:r>
      <w:r>
        <w:rPr/>
        <w:t>manifieste.</w:t>
      </w:r>
    </w:p>
    <w:p>
      <w:pPr>
        <w:pStyle w:val="BodyText"/>
        <w:spacing w:before="11"/>
      </w:pPr>
    </w:p>
    <w:p>
      <w:pPr>
        <w:pStyle w:val="BodyText"/>
        <w:spacing w:line="249" w:lineRule="auto"/>
        <w:ind w:left="117" w:firstLine="170"/>
        <w:jc w:val="both"/>
      </w:pPr>
      <w:r>
        <w:rPr/>
        <w:t>El</w:t>
      </w:r>
      <w:r>
        <w:rPr>
          <w:spacing w:val="-30"/>
        </w:rPr>
        <w:t> </w:t>
      </w:r>
      <w:r>
        <w:rPr/>
        <w:t>Centro</w:t>
      </w:r>
      <w:r>
        <w:rPr>
          <w:spacing w:val="-30"/>
        </w:rPr>
        <w:t> </w:t>
      </w:r>
      <w:r>
        <w:rPr/>
        <w:t>Nacional</w:t>
      </w:r>
      <w:r>
        <w:rPr>
          <w:spacing w:val="-30"/>
        </w:rPr>
        <w:t> </w:t>
      </w:r>
      <w:r>
        <w:rPr/>
        <w:t>de</w:t>
      </w:r>
      <w:r>
        <w:rPr>
          <w:spacing w:val="-30"/>
        </w:rPr>
        <w:t> </w:t>
      </w:r>
      <w:r>
        <w:rPr/>
        <w:t>Prevención</w:t>
      </w:r>
      <w:r>
        <w:rPr>
          <w:spacing w:val="-30"/>
        </w:rPr>
        <w:t> </w:t>
      </w:r>
      <w:r>
        <w:rPr/>
        <w:t>de</w:t>
      </w:r>
      <w:r>
        <w:rPr>
          <w:spacing w:val="-30"/>
        </w:rPr>
        <w:t> </w:t>
      </w:r>
      <w:r>
        <w:rPr/>
        <w:t>Desastres</w:t>
      </w:r>
      <w:r>
        <w:rPr>
          <w:spacing w:val="-30"/>
        </w:rPr>
        <w:t> </w:t>
      </w:r>
      <w:r>
        <w:rPr/>
        <w:t>(CENAPRED),</w:t>
      </w:r>
      <w:r>
        <w:rPr>
          <w:spacing w:val="-30"/>
        </w:rPr>
        <w:t> </w:t>
      </w:r>
      <w:r>
        <w:rPr/>
        <w:t>define</w:t>
      </w:r>
      <w:r>
        <w:rPr>
          <w:spacing w:val="-30"/>
        </w:rPr>
        <w:t> </w:t>
      </w:r>
      <w:r>
        <w:rPr/>
        <w:t>a</w:t>
      </w:r>
      <w:r>
        <w:rPr>
          <w:spacing w:val="-30"/>
        </w:rPr>
        <w:t> </w:t>
      </w:r>
      <w:r>
        <w:rPr/>
        <w:t>la</w:t>
      </w:r>
      <w:r>
        <w:rPr>
          <w:spacing w:val="-30"/>
        </w:rPr>
        <w:t> </w:t>
      </w:r>
      <w:r>
        <w:rPr/>
        <w:t>vulnerabilidad</w:t>
      </w:r>
      <w:r>
        <w:rPr>
          <w:w w:val="100"/>
        </w:rPr>
        <w:t> </w:t>
      </w:r>
      <w:r>
        <w:rPr/>
        <w:t>como “la susceptibilidad o propensión de los sistemas expuestos a ser afectados o dañados por el efecto de un fenómeno perturbador, es decir, el grado de pérdidas esperadas”</w:t>
      </w:r>
      <w:r>
        <w:rPr>
          <w:spacing w:val="-27"/>
        </w:rPr>
        <w:t> </w:t>
      </w:r>
      <w:r>
        <w:rPr/>
        <w:t>(CENAPRED,</w:t>
      </w:r>
      <w:r>
        <w:rPr>
          <w:spacing w:val="-27"/>
        </w:rPr>
        <w:t> </w:t>
      </w:r>
      <w:r>
        <w:rPr/>
        <w:t>2001).</w:t>
      </w:r>
    </w:p>
    <w:p>
      <w:pPr>
        <w:pStyle w:val="BodyText"/>
        <w:spacing w:before="11"/>
      </w:pPr>
    </w:p>
    <w:p>
      <w:pPr>
        <w:pStyle w:val="BodyText"/>
        <w:spacing w:line="249" w:lineRule="auto"/>
        <w:ind w:left="117" w:firstLine="170"/>
        <w:jc w:val="both"/>
      </w:pPr>
      <w:r>
        <w:rPr/>
        <w:t>Existen diferentes formas de vulnerabilidad, sin embargo, es posible agruparlas      en cuatro principales grupos: social, económico, político y cultural (Alcántara-Ayala, 2002). Aysan (1993), hace la precisión que las construcciones débiles-hablando estructuralmente, son consideradas como la vulnerabilidad física. En países en desarrollo la vulnerabilidad social es, en la mayoría de los casos, la causa de las condiciones de vulnerabilidad</w:t>
      </w:r>
      <w:r>
        <w:rPr>
          <w:spacing w:val="35"/>
        </w:rPr>
        <w:t> </w:t>
      </w:r>
      <w:r>
        <w:rPr/>
        <w:t>física.</w:t>
      </w:r>
    </w:p>
    <w:p>
      <w:pPr>
        <w:pStyle w:val="BodyText"/>
        <w:spacing w:before="11"/>
      </w:pPr>
    </w:p>
    <w:p>
      <w:pPr>
        <w:pStyle w:val="BodyText"/>
        <w:spacing w:line="249" w:lineRule="auto"/>
        <w:ind w:left="117" w:firstLine="170"/>
        <w:jc w:val="both"/>
      </w:pPr>
      <w:r>
        <w:rPr/>
        <w:t>La exposición es definida como el grado, duración y/o extensión, en el que</w:t>
      </w:r>
      <w:r>
        <w:rPr>
          <w:spacing w:val="-29"/>
        </w:rPr>
        <w:t> </w:t>
      </w:r>
      <w:r>
        <w:rPr/>
        <w:t>el</w:t>
      </w:r>
      <w:r>
        <w:rPr>
          <w:spacing w:val="-3"/>
        </w:rPr>
        <w:t> </w:t>
      </w:r>
      <w:r>
        <w:rPr/>
        <w:t>sistema</w:t>
      </w:r>
      <w:r>
        <w:rPr>
          <w:w w:val="100"/>
        </w:rPr>
        <w:t> </w:t>
      </w:r>
      <w:r>
        <w:rPr/>
        <w:t>o elemento está en contacto o sujeto a una perturbación con otro (Adger, 2006; Kasperson </w:t>
      </w:r>
      <w:r>
        <w:rPr>
          <w:i/>
        </w:rPr>
        <w:t>et. al</w:t>
      </w:r>
      <w:r>
        <w:rPr/>
        <w:t>., 2005 en Gallopín, 2006), citados por Flores (2012) y es un elemento que constituye a la</w:t>
      </w:r>
      <w:r>
        <w:rPr>
          <w:spacing w:val="28"/>
        </w:rPr>
        <w:t> </w:t>
      </w:r>
      <w:r>
        <w:rPr/>
        <w:t>vulnerabilidad.</w:t>
      </w:r>
    </w:p>
    <w:p>
      <w:pPr>
        <w:pStyle w:val="BodyText"/>
        <w:spacing w:before="1"/>
      </w:pPr>
    </w:p>
    <w:p>
      <w:pPr>
        <w:pStyle w:val="BodyText"/>
        <w:spacing w:line="240" w:lineRule="atLeast"/>
        <w:ind w:left="117" w:firstLine="170"/>
        <w:jc w:val="both"/>
      </w:pPr>
      <w:r>
        <w:rPr/>
        <w:t>El grado de exposición es un parámetro que varía con el tiempo, el cual está ligado al crecimiento y desarrollo de la población y su infraestructura. En cuanto mayor sea  el valor de lo expuesto, mayor será el riesgo que se enfrenta. La exposición puede disminuir con el alertamiento anticipado de la ocurrencia de un fenómeno, ya sea a través de una evacuación o inclusive evitando el asentamiento en el</w:t>
      </w:r>
      <w:r>
        <w:rPr>
          <w:spacing w:val="30"/>
        </w:rPr>
        <w:t> </w:t>
      </w:r>
      <w:r>
        <w:rPr/>
        <w:t>sitio.</w:t>
      </w:r>
    </w:p>
    <w:p>
      <w:pPr>
        <w:pStyle w:val="BodyText"/>
        <w:spacing w:line="249" w:lineRule="auto" w:before="76"/>
        <w:ind w:left="117" w:right="127" w:firstLine="170"/>
        <w:jc w:val="both"/>
      </w:pPr>
      <w:r>
        <w:rPr/>
        <w:br w:type="column"/>
      </w:r>
      <w:r>
        <w:rPr/>
        <w:t>Los procesos de remoción en masa agrupan a todos aquellos movimientos que involucran la presencia de material que por acción de la gravedad se desplazan cuesta abajo, también se les conoce con otros términos como procesos de inestabilidad de ladera o procesos gravitacionales, (Flores, 2012).</w:t>
      </w:r>
    </w:p>
    <w:p>
      <w:pPr>
        <w:pStyle w:val="BodyText"/>
        <w:spacing w:before="11"/>
      </w:pPr>
    </w:p>
    <w:p>
      <w:pPr>
        <w:pStyle w:val="BodyText"/>
        <w:spacing w:line="249" w:lineRule="auto"/>
        <w:ind w:left="117" w:right="127" w:firstLine="170"/>
        <w:jc w:val="both"/>
      </w:pPr>
      <w:r>
        <w:rPr/>
        <w:t>Existen numerosas clasificaciones para los distintos tipos de eventos de remoción en masa,</w:t>
      </w:r>
      <w:r>
        <w:rPr>
          <w:spacing w:val="-18"/>
        </w:rPr>
        <w:t> </w:t>
      </w:r>
      <w:r>
        <w:rPr/>
        <w:t>las</w:t>
      </w:r>
      <w:r>
        <w:rPr>
          <w:spacing w:val="-18"/>
        </w:rPr>
        <w:t> </w:t>
      </w:r>
      <w:r>
        <w:rPr/>
        <w:t>cuales</w:t>
      </w:r>
      <w:r>
        <w:rPr>
          <w:spacing w:val="-18"/>
        </w:rPr>
        <w:t> </w:t>
      </w:r>
      <w:r>
        <w:rPr/>
        <w:t>han</w:t>
      </w:r>
      <w:r>
        <w:rPr>
          <w:spacing w:val="-18"/>
        </w:rPr>
        <w:t> </w:t>
      </w:r>
      <w:r>
        <w:rPr/>
        <w:t>sido</w:t>
      </w:r>
      <w:r>
        <w:rPr>
          <w:spacing w:val="-18"/>
        </w:rPr>
        <w:t> </w:t>
      </w:r>
      <w:r>
        <w:rPr/>
        <w:t>proporcionadas,</w:t>
      </w:r>
      <w:r>
        <w:rPr>
          <w:spacing w:val="-18"/>
        </w:rPr>
        <w:t> </w:t>
      </w:r>
      <w:r>
        <w:rPr/>
        <w:t>entre</w:t>
      </w:r>
      <w:r>
        <w:rPr>
          <w:spacing w:val="-18"/>
        </w:rPr>
        <w:t> </w:t>
      </w:r>
      <w:r>
        <w:rPr/>
        <w:t>otros,</w:t>
      </w:r>
      <w:r>
        <w:rPr>
          <w:spacing w:val="-18"/>
        </w:rPr>
        <w:t> </w:t>
      </w:r>
      <w:r>
        <w:rPr/>
        <w:t>por</w:t>
      </w:r>
      <w:r>
        <w:rPr>
          <w:spacing w:val="-18"/>
        </w:rPr>
        <w:t> </w:t>
      </w:r>
      <w:r>
        <w:rPr/>
        <w:t>Varnes</w:t>
      </w:r>
      <w:r>
        <w:rPr>
          <w:spacing w:val="-18"/>
        </w:rPr>
        <w:t> </w:t>
      </w:r>
      <w:r>
        <w:rPr/>
        <w:t>(1978),</w:t>
      </w:r>
      <w:r>
        <w:rPr>
          <w:spacing w:val="-18"/>
        </w:rPr>
        <w:t> </w:t>
      </w:r>
      <w:r>
        <w:rPr/>
        <w:t>Hauser</w:t>
      </w:r>
      <w:r>
        <w:rPr>
          <w:spacing w:val="-18"/>
        </w:rPr>
        <w:t> </w:t>
      </w:r>
      <w:r>
        <w:rPr/>
        <w:t>(1993) y</w:t>
      </w:r>
      <w:r>
        <w:rPr>
          <w:spacing w:val="-16"/>
        </w:rPr>
        <w:t> </w:t>
      </w:r>
      <w:r>
        <w:rPr/>
        <w:t>Cruden</w:t>
      </w:r>
      <w:r>
        <w:rPr>
          <w:spacing w:val="-16"/>
        </w:rPr>
        <w:t> </w:t>
      </w:r>
      <w:r>
        <w:rPr/>
        <w:t>&amp;</w:t>
      </w:r>
      <w:r>
        <w:rPr>
          <w:spacing w:val="-16"/>
        </w:rPr>
        <w:t> </w:t>
      </w:r>
      <w:r>
        <w:rPr/>
        <w:t>Varnes</w:t>
      </w:r>
      <w:r>
        <w:rPr>
          <w:spacing w:val="-16"/>
        </w:rPr>
        <w:t> </w:t>
      </w:r>
      <w:r>
        <w:rPr/>
        <w:t>(1996),</w:t>
      </w:r>
      <w:r>
        <w:rPr>
          <w:spacing w:val="-16"/>
        </w:rPr>
        <w:t> </w:t>
      </w:r>
      <w:r>
        <w:rPr/>
        <w:t>citados</w:t>
      </w:r>
      <w:r>
        <w:rPr>
          <w:spacing w:val="-16"/>
        </w:rPr>
        <w:t> </w:t>
      </w:r>
      <w:r>
        <w:rPr/>
        <w:t>en</w:t>
      </w:r>
      <w:r>
        <w:rPr>
          <w:spacing w:val="-16"/>
        </w:rPr>
        <w:t> </w:t>
      </w:r>
      <w:r>
        <w:rPr/>
        <w:t>el</w:t>
      </w:r>
      <w:r>
        <w:rPr>
          <w:spacing w:val="-16"/>
        </w:rPr>
        <w:t> </w:t>
      </w:r>
      <w:r>
        <w:rPr/>
        <w:t>trabajo</w:t>
      </w:r>
      <w:r>
        <w:rPr>
          <w:spacing w:val="-16"/>
        </w:rPr>
        <w:t> </w:t>
      </w:r>
      <w:r>
        <w:rPr/>
        <w:t>de</w:t>
      </w:r>
      <w:r>
        <w:rPr>
          <w:spacing w:val="-16"/>
        </w:rPr>
        <w:t> </w:t>
      </w:r>
      <w:r>
        <w:rPr/>
        <w:t>Lara</w:t>
      </w:r>
      <w:r>
        <w:rPr>
          <w:spacing w:val="-16"/>
        </w:rPr>
        <w:t> </w:t>
      </w:r>
      <w:r>
        <w:rPr/>
        <w:t>(2007).</w:t>
      </w:r>
      <w:r>
        <w:rPr>
          <w:spacing w:val="-16"/>
        </w:rPr>
        <w:t> </w:t>
      </w:r>
      <w:r>
        <w:rPr/>
        <w:t>Las</w:t>
      </w:r>
      <w:r>
        <w:rPr>
          <w:spacing w:val="-16"/>
        </w:rPr>
        <w:t> </w:t>
      </w:r>
      <w:r>
        <w:rPr/>
        <w:t>remociones</w:t>
      </w:r>
      <w:r>
        <w:rPr>
          <w:spacing w:val="-16"/>
        </w:rPr>
        <w:t> </w:t>
      </w:r>
      <w:r>
        <w:rPr/>
        <w:t>en</w:t>
      </w:r>
      <w:r>
        <w:rPr>
          <w:spacing w:val="-16"/>
        </w:rPr>
        <w:t> </w:t>
      </w:r>
      <w:r>
        <w:rPr/>
        <w:t>masa han sido clasificadas por estos últimos autores en las siguientes categorías</w:t>
      </w:r>
      <w:r>
        <w:rPr>
          <w:spacing w:val="-33"/>
        </w:rPr>
        <w:t> </w:t>
      </w:r>
      <w:r>
        <w:rPr/>
        <w:t>principales:</w:t>
      </w:r>
    </w:p>
    <w:p>
      <w:pPr>
        <w:pStyle w:val="ListParagraph"/>
        <w:numPr>
          <w:ilvl w:val="1"/>
          <w:numId w:val="66"/>
        </w:numPr>
        <w:tabs>
          <w:tab w:pos="383" w:val="left" w:leader="none"/>
        </w:tabs>
        <w:spacing w:line="249" w:lineRule="auto" w:before="1" w:after="0"/>
        <w:ind w:left="117" w:right="127" w:firstLine="0"/>
        <w:jc w:val="left"/>
        <w:rPr>
          <w:sz w:val="20"/>
        </w:rPr>
      </w:pPr>
      <w:r>
        <w:rPr>
          <w:sz w:val="20"/>
        </w:rPr>
        <w:t>Desprendimientos o caídas; 2) Deslizamientos (rotacionales y traslacionales); 3) Flujos; 4) </w:t>
      </w:r>
      <w:r>
        <w:rPr>
          <w:i/>
          <w:sz w:val="20"/>
        </w:rPr>
        <w:t>Toppling </w:t>
      </w:r>
      <w:r>
        <w:rPr>
          <w:sz w:val="20"/>
        </w:rPr>
        <w:t>o volcamientos y 5) Extensiones</w:t>
      </w:r>
      <w:r>
        <w:rPr>
          <w:spacing w:val="-10"/>
          <w:sz w:val="20"/>
        </w:rPr>
        <w:t> </w:t>
      </w:r>
      <w:r>
        <w:rPr>
          <w:sz w:val="20"/>
        </w:rPr>
        <w:t>laterales.</w:t>
      </w:r>
    </w:p>
    <w:p>
      <w:pPr>
        <w:pStyle w:val="BodyText"/>
        <w:spacing w:before="11"/>
      </w:pPr>
    </w:p>
    <w:p>
      <w:pPr>
        <w:pStyle w:val="BodyText"/>
        <w:spacing w:line="249" w:lineRule="auto"/>
        <w:ind w:left="117" w:right="128" w:firstLine="170"/>
        <w:jc w:val="both"/>
      </w:pPr>
      <w:r>
        <w:rPr/>
        <w:t>Para este trabajo se pondrá mayor énfasis deslizamientos y caídos de materiales, donde se tiene:</w:t>
      </w:r>
    </w:p>
    <w:p>
      <w:pPr>
        <w:pStyle w:val="BodyText"/>
        <w:spacing w:before="11"/>
      </w:pPr>
    </w:p>
    <w:p>
      <w:pPr>
        <w:pStyle w:val="BodyText"/>
        <w:spacing w:line="249" w:lineRule="auto"/>
        <w:ind w:left="117" w:right="127" w:firstLine="170"/>
        <w:jc w:val="both"/>
      </w:pPr>
      <w:r>
        <w:rPr>
          <w:i/>
        </w:rPr>
        <w:t>Desprendimientos o caídas</w:t>
      </w:r>
      <w:r>
        <w:rPr/>
        <w:t>: Estos tipos de remociones corresponden a movimientos rápidos que se generan cuando el material rocoso o suelo se desprende de una ladera de</w:t>
      </w:r>
      <w:r>
        <w:rPr>
          <w:spacing w:val="-7"/>
        </w:rPr>
        <w:t> </w:t>
      </w:r>
      <w:r>
        <w:rPr/>
        <w:t>alta</w:t>
      </w:r>
      <w:r>
        <w:rPr>
          <w:spacing w:val="-7"/>
        </w:rPr>
        <w:t> </w:t>
      </w:r>
      <w:r>
        <w:rPr/>
        <w:t>pendiente</w:t>
      </w:r>
      <w:r>
        <w:rPr>
          <w:spacing w:val="-7"/>
        </w:rPr>
        <w:t> </w:t>
      </w:r>
      <w:r>
        <w:rPr/>
        <w:t>a</w:t>
      </w:r>
      <w:r>
        <w:rPr>
          <w:spacing w:val="-7"/>
        </w:rPr>
        <w:t> </w:t>
      </w:r>
      <w:r>
        <w:rPr/>
        <w:t>través</w:t>
      </w:r>
      <w:r>
        <w:rPr>
          <w:spacing w:val="-7"/>
        </w:rPr>
        <w:t> </w:t>
      </w:r>
      <w:r>
        <w:rPr/>
        <w:t>de</w:t>
      </w:r>
      <w:r>
        <w:rPr>
          <w:spacing w:val="-7"/>
        </w:rPr>
        <w:t> </w:t>
      </w:r>
      <w:r>
        <w:rPr/>
        <w:t>una</w:t>
      </w:r>
      <w:r>
        <w:rPr>
          <w:spacing w:val="-7"/>
        </w:rPr>
        <w:t> </w:t>
      </w:r>
      <w:r>
        <w:rPr/>
        <w:t>superficie</w:t>
      </w:r>
      <w:r>
        <w:rPr>
          <w:spacing w:val="-7"/>
        </w:rPr>
        <w:t> </w:t>
      </w:r>
      <w:r>
        <w:rPr/>
        <w:t>donde</w:t>
      </w:r>
      <w:r>
        <w:rPr>
          <w:spacing w:val="-7"/>
        </w:rPr>
        <w:t> </w:t>
      </w:r>
      <w:r>
        <w:rPr/>
        <w:t>no</w:t>
      </w:r>
      <w:r>
        <w:rPr>
          <w:spacing w:val="-7"/>
        </w:rPr>
        <w:t> </w:t>
      </w:r>
      <w:r>
        <w:rPr/>
        <w:t>se</w:t>
      </w:r>
      <w:r>
        <w:rPr>
          <w:spacing w:val="-7"/>
        </w:rPr>
        <w:t> </w:t>
      </w:r>
      <w:r>
        <w:rPr/>
        <w:t>generan</w:t>
      </w:r>
      <w:r>
        <w:rPr>
          <w:spacing w:val="-7"/>
        </w:rPr>
        <w:t> </w:t>
      </w:r>
      <w:r>
        <w:rPr/>
        <w:t>cortes,</w:t>
      </w:r>
      <w:r>
        <w:rPr>
          <w:spacing w:val="-7"/>
        </w:rPr>
        <w:t> </w:t>
      </w:r>
      <w:r>
        <w:rPr/>
        <w:t>descendiendo mediante caída libre, rebotando o rodando. La generación de desprendimientos, controlados por discontinuidades en la roca, está relacionada con pendientes</w:t>
      </w:r>
      <w:r>
        <w:rPr>
          <w:spacing w:val="-33"/>
        </w:rPr>
        <w:t> </w:t>
      </w:r>
      <w:r>
        <w:rPr/>
        <w:t>abruptas, principalmente de inclinaciones mayores a 50°, donde la roca está directamente expuesta (Soeters &amp; Westen, 1996, citados por Lara 2008). Ver figura</w:t>
      </w:r>
      <w:r>
        <w:rPr>
          <w:spacing w:val="-22"/>
        </w:rPr>
        <w:t> </w:t>
      </w:r>
      <w:r>
        <w:rPr/>
        <w:t>1.</w:t>
      </w:r>
    </w:p>
    <w:p>
      <w:pPr>
        <w:pStyle w:val="BodyText"/>
        <w:spacing w:before="11"/>
      </w:pPr>
    </w:p>
    <w:p>
      <w:pPr>
        <w:pStyle w:val="BodyText"/>
        <w:spacing w:line="249" w:lineRule="auto"/>
        <w:ind w:left="117" w:right="128" w:firstLine="170"/>
        <w:jc w:val="both"/>
      </w:pPr>
      <w:r>
        <w:rPr/>
        <w:t>Caídas o derrumbes: son movimientos repentinos de suelo y fragmentos aislados de roca</w:t>
      </w:r>
      <w:r>
        <w:rPr>
          <w:spacing w:val="-5"/>
        </w:rPr>
        <w:t> </w:t>
      </w:r>
      <w:r>
        <w:rPr/>
        <w:t>que</w:t>
      </w:r>
      <w:r>
        <w:rPr>
          <w:spacing w:val="-5"/>
        </w:rPr>
        <w:t> </w:t>
      </w:r>
      <w:r>
        <w:rPr/>
        <w:t>se</w:t>
      </w:r>
      <w:r>
        <w:rPr>
          <w:spacing w:val="-5"/>
        </w:rPr>
        <w:t> </w:t>
      </w:r>
      <w:r>
        <w:rPr/>
        <w:t>originan</w:t>
      </w:r>
      <w:r>
        <w:rPr>
          <w:spacing w:val="-5"/>
        </w:rPr>
        <w:t> </w:t>
      </w:r>
      <w:r>
        <w:rPr/>
        <w:t>en</w:t>
      </w:r>
      <w:r>
        <w:rPr>
          <w:spacing w:val="-5"/>
        </w:rPr>
        <w:t> </w:t>
      </w:r>
      <w:r>
        <w:rPr/>
        <w:t>pendientes</w:t>
      </w:r>
      <w:r>
        <w:rPr>
          <w:spacing w:val="-5"/>
        </w:rPr>
        <w:t> </w:t>
      </w:r>
      <w:r>
        <w:rPr/>
        <w:t>abruptas</w:t>
      </w:r>
      <w:r>
        <w:rPr>
          <w:spacing w:val="-5"/>
        </w:rPr>
        <w:t> </w:t>
      </w:r>
      <w:r>
        <w:rPr/>
        <w:t>y</w:t>
      </w:r>
      <w:r>
        <w:rPr>
          <w:spacing w:val="-5"/>
        </w:rPr>
        <w:t> </w:t>
      </w:r>
      <w:r>
        <w:rPr/>
        <w:t>acantilados,</w:t>
      </w:r>
      <w:r>
        <w:rPr>
          <w:spacing w:val="-5"/>
        </w:rPr>
        <w:t> </w:t>
      </w:r>
      <w:r>
        <w:rPr/>
        <w:t>por</w:t>
      </w:r>
      <w:r>
        <w:rPr>
          <w:spacing w:val="-5"/>
        </w:rPr>
        <w:t> </w:t>
      </w:r>
      <w:r>
        <w:rPr/>
        <w:t>lo</w:t>
      </w:r>
      <w:r>
        <w:rPr>
          <w:spacing w:val="-5"/>
        </w:rPr>
        <w:t> </w:t>
      </w:r>
      <w:r>
        <w:rPr/>
        <w:t>que</w:t>
      </w:r>
      <w:r>
        <w:rPr>
          <w:spacing w:val="-5"/>
        </w:rPr>
        <w:t> </w:t>
      </w:r>
      <w:r>
        <w:rPr/>
        <w:t>el</w:t>
      </w:r>
      <w:r>
        <w:rPr>
          <w:spacing w:val="-5"/>
        </w:rPr>
        <w:t> </w:t>
      </w:r>
      <w:r>
        <w:rPr/>
        <w:t>movimiento</w:t>
      </w:r>
      <w:r>
        <w:rPr>
          <w:spacing w:val="-5"/>
        </w:rPr>
        <w:t> </w:t>
      </w:r>
      <w:r>
        <w:rPr/>
        <w:t>es prácticamente de caída libre, rodando y rebotando, (CENAPRED,</w:t>
      </w:r>
      <w:r>
        <w:rPr>
          <w:spacing w:val="-28"/>
        </w:rPr>
        <w:t> </w:t>
      </w:r>
      <w:r>
        <w:rPr/>
        <w:t>2001).</w:t>
      </w:r>
    </w:p>
    <w:p>
      <w:pPr>
        <w:pStyle w:val="BodyText"/>
        <w:spacing w:before="2"/>
        <w:rPr>
          <w:sz w:val="24"/>
        </w:rPr>
      </w:pPr>
    </w:p>
    <w:p>
      <w:pPr>
        <w:spacing w:before="0"/>
        <w:ind w:left="332" w:right="342" w:firstLine="0"/>
        <w:jc w:val="center"/>
        <w:rPr>
          <w:sz w:val="16"/>
        </w:rPr>
      </w:pPr>
      <w:r>
        <w:rPr>
          <w:color w:val="6D6E71"/>
          <w:sz w:val="16"/>
        </w:rPr>
        <w:t>Figura 1. Desprendimientos y caídas</w:t>
      </w:r>
    </w:p>
    <w:p>
      <w:pPr>
        <w:pStyle w:val="BodyText"/>
        <w:spacing w:before="7"/>
        <w:rPr>
          <w:sz w:val="10"/>
        </w:rPr>
      </w:pPr>
    </w:p>
    <w:p>
      <w:pPr>
        <w:pStyle w:val="BodyText"/>
        <w:ind w:left="2061"/>
      </w:pPr>
      <w:r>
        <w:rPr/>
        <w:drawing>
          <wp:inline distT="0" distB="0" distL="0" distR="0">
            <wp:extent cx="2405733" cy="1665922"/>
            <wp:effectExtent l="0" t="0" r="0" b="0"/>
            <wp:docPr id="177" name="image125.jpeg" descr=""/>
            <wp:cNvGraphicFramePr>
              <a:graphicFrameLocks noChangeAspect="1"/>
            </wp:cNvGraphicFramePr>
            <a:graphic>
              <a:graphicData uri="http://schemas.openxmlformats.org/drawingml/2006/picture">
                <pic:pic>
                  <pic:nvPicPr>
                    <pic:cNvPr id="178" name="image125.jpeg"/>
                    <pic:cNvPicPr/>
                  </pic:nvPicPr>
                  <pic:blipFill>
                    <a:blip r:embed="rId482" cstate="print"/>
                    <a:stretch>
                      <a:fillRect/>
                    </a:stretch>
                  </pic:blipFill>
                  <pic:spPr>
                    <a:xfrm>
                      <a:off x="0" y="0"/>
                      <a:ext cx="2405733" cy="1665922"/>
                    </a:xfrm>
                    <a:prstGeom prst="rect">
                      <a:avLst/>
                    </a:prstGeom>
                  </pic:spPr>
                </pic:pic>
              </a:graphicData>
            </a:graphic>
          </wp:inline>
        </w:drawing>
      </w:r>
      <w:r>
        <w:rPr/>
      </w:r>
    </w:p>
    <w:p>
      <w:pPr>
        <w:pStyle w:val="BodyText"/>
        <w:spacing w:before="6"/>
        <w:rPr>
          <w:sz w:val="16"/>
        </w:rPr>
      </w:pPr>
    </w:p>
    <w:p>
      <w:pPr>
        <w:spacing w:before="0"/>
        <w:ind w:left="332" w:right="342" w:firstLine="0"/>
        <w:jc w:val="center"/>
        <w:rPr>
          <w:sz w:val="16"/>
        </w:rPr>
      </w:pPr>
      <w:r>
        <w:rPr>
          <w:color w:val="6D6E71"/>
          <w:sz w:val="16"/>
        </w:rPr>
        <w:t>Fuente: Tomados de CENAPRED (2001).</w:t>
      </w:r>
    </w:p>
    <w:p>
      <w:pPr>
        <w:spacing w:after="0"/>
        <w:jc w:val="center"/>
        <w:rPr>
          <w:sz w:val="16"/>
        </w:rPr>
        <w:sectPr>
          <w:type w:val="continuous"/>
          <w:pgSz w:w="18830" w:h="12760" w:orient="landscape"/>
          <w:pgMar w:top="1420" w:bottom="280" w:left="720" w:right="720"/>
          <w:cols w:num="2" w:equalWidth="0">
            <w:col w:w="7829" w:space="1594"/>
            <w:col w:w="7967"/>
          </w:cols>
        </w:sectPr>
      </w:pPr>
    </w:p>
    <w:p>
      <w:pPr>
        <w:pStyle w:val="BodyText"/>
        <w:spacing w:before="8"/>
      </w:pPr>
    </w:p>
    <w:p>
      <w:pPr>
        <w:spacing w:after="0"/>
        <w:sectPr>
          <w:footerReference w:type="default" r:id="rId483"/>
          <w:pgSz w:w="18830" w:h="12760" w:orient="landscape"/>
          <w:pgMar w:footer="1036" w:header="522" w:top="820" w:bottom="1220" w:left="720" w:right="720"/>
        </w:sectPr>
      </w:pPr>
    </w:p>
    <w:p>
      <w:pPr>
        <w:pStyle w:val="BodyText"/>
        <w:spacing w:line="249" w:lineRule="auto" w:before="109"/>
        <w:ind w:left="130" w:firstLine="170"/>
        <w:jc w:val="both"/>
      </w:pPr>
      <w:r>
        <w:rPr>
          <w:i/>
        </w:rPr>
        <w:t>Deslizamientos: son </w:t>
      </w:r>
      <w:r>
        <w:rPr/>
        <w:t>movimientos ladera abajo de masas de suelo o roca a través   de superficies de cortes definidos. Estos movimiento no ocurren a lo largo de toda la superficie de ruptura simultáneamente, sino más bien comienzan en zonas donde se generan fallas locales, a menudo evidenciadas por grietas de tensión en la superficie original,</w:t>
      </w:r>
      <w:r>
        <w:rPr>
          <w:spacing w:val="-4"/>
        </w:rPr>
        <w:t> </w:t>
      </w:r>
      <w:r>
        <w:rPr/>
        <w:t>a</w:t>
      </w:r>
      <w:r>
        <w:rPr>
          <w:spacing w:val="-4"/>
        </w:rPr>
        <w:t> </w:t>
      </w:r>
      <w:r>
        <w:rPr/>
        <w:t>lo</w:t>
      </w:r>
      <w:r>
        <w:rPr>
          <w:spacing w:val="-4"/>
        </w:rPr>
        <w:t> </w:t>
      </w:r>
      <w:r>
        <w:rPr/>
        <w:t>largo</w:t>
      </w:r>
      <w:r>
        <w:rPr>
          <w:spacing w:val="-4"/>
        </w:rPr>
        <w:t> </w:t>
      </w:r>
      <w:r>
        <w:rPr/>
        <w:t>de</w:t>
      </w:r>
      <w:r>
        <w:rPr>
          <w:spacing w:val="-4"/>
        </w:rPr>
        <w:t> </w:t>
      </w:r>
      <w:r>
        <w:rPr/>
        <w:t>la</w:t>
      </w:r>
      <w:r>
        <w:rPr>
          <w:spacing w:val="-4"/>
        </w:rPr>
        <w:t> </w:t>
      </w:r>
      <w:r>
        <w:rPr/>
        <w:t>cual</w:t>
      </w:r>
      <w:r>
        <w:rPr>
          <w:spacing w:val="-4"/>
        </w:rPr>
        <w:t> </w:t>
      </w:r>
      <w:r>
        <w:rPr/>
        <w:t>se</w:t>
      </w:r>
      <w:r>
        <w:rPr>
          <w:spacing w:val="-4"/>
        </w:rPr>
        <w:t> </w:t>
      </w:r>
      <w:r>
        <w:rPr/>
        <w:t>formará</w:t>
      </w:r>
      <w:r>
        <w:rPr>
          <w:spacing w:val="-4"/>
        </w:rPr>
        <w:t> </w:t>
      </w:r>
      <w:r>
        <w:rPr/>
        <w:t>el</w:t>
      </w:r>
      <w:r>
        <w:rPr>
          <w:spacing w:val="-4"/>
        </w:rPr>
        <w:t> </w:t>
      </w:r>
      <w:r>
        <w:rPr/>
        <w:t>escarpe</w:t>
      </w:r>
      <w:r>
        <w:rPr>
          <w:spacing w:val="-4"/>
        </w:rPr>
        <w:t> </w:t>
      </w:r>
      <w:r>
        <w:rPr/>
        <w:t>principal</w:t>
      </w:r>
      <w:r>
        <w:rPr>
          <w:spacing w:val="-4"/>
        </w:rPr>
        <w:t> </w:t>
      </w:r>
      <w:r>
        <w:rPr/>
        <w:t>del</w:t>
      </w:r>
      <w:r>
        <w:rPr>
          <w:spacing w:val="-4"/>
        </w:rPr>
        <w:t> </w:t>
      </w:r>
      <w:r>
        <w:rPr/>
        <w:t>deslizamiento,</w:t>
      </w:r>
      <w:r>
        <w:rPr>
          <w:spacing w:val="-4"/>
        </w:rPr>
        <w:t> </w:t>
      </w:r>
      <w:r>
        <w:rPr/>
        <w:t>(Soeters &amp; Westen, 1996, citados por Lara</w:t>
      </w:r>
      <w:r>
        <w:rPr>
          <w:spacing w:val="-2"/>
        </w:rPr>
        <w:t> </w:t>
      </w:r>
      <w:r>
        <w:rPr/>
        <w:t>2008).</w:t>
      </w:r>
    </w:p>
    <w:p>
      <w:pPr>
        <w:pStyle w:val="BodyText"/>
        <w:spacing w:before="11"/>
      </w:pPr>
    </w:p>
    <w:p>
      <w:pPr>
        <w:pStyle w:val="BodyText"/>
        <w:spacing w:line="249" w:lineRule="auto"/>
        <w:ind w:left="130" w:firstLine="170"/>
        <w:jc w:val="both"/>
      </w:pPr>
      <w:r>
        <w:rPr>
          <w:i/>
        </w:rPr>
        <w:t>Deslizamientos: </w:t>
      </w:r>
      <w:r>
        <w:rPr/>
        <w:t>movimiento de una masa de materiales térreos pendiente abajo, delimitada por una o varias superficies, planas o cóncavas, sobre las que se desliza el material inestable. Puede ser Rotacionales o traslacionales, (CENAPRED, 2001). Ver figura 2</w:t>
      </w:r>
    </w:p>
    <w:p>
      <w:pPr>
        <w:pStyle w:val="BodyText"/>
        <w:spacing w:before="11"/>
      </w:pPr>
    </w:p>
    <w:p>
      <w:pPr>
        <w:pStyle w:val="ListParagraph"/>
        <w:numPr>
          <w:ilvl w:val="2"/>
          <w:numId w:val="66"/>
        </w:numPr>
        <w:tabs>
          <w:tab w:pos="661" w:val="left" w:leader="none"/>
        </w:tabs>
        <w:spacing w:line="249" w:lineRule="auto" w:before="0" w:after="0"/>
        <w:ind w:left="660" w:right="1" w:hanging="360"/>
        <w:jc w:val="both"/>
        <w:rPr>
          <w:sz w:val="20"/>
        </w:rPr>
      </w:pPr>
      <w:r>
        <w:rPr>
          <w:i/>
          <w:sz w:val="20"/>
        </w:rPr>
        <w:t>Rotacionales: </w:t>
      </w:r>
      <w:r>
        <w:rPr>
          <w:sz w:val="20"/>
        </w:rPr>
        <w:t>deslizamientos en los que su superficie principal de falla resulta cóncava, es decir, hacia arriba en forma de cuchara o concha, definiendo un movimiento rotacional de masa inestable de suelo y/o fragmentos de </w:t>
      </w:r>
      <w:r>
        <w:rPr>
          <w:spacing w:val="23"/>
          <w:sz w:val="20"/>
        </w:rPr>
        <w:t> </w:t>
      </w:r>
      <w:r>
        <w:rPr>
          <w:sz w:val="20"/>
        </w:rPr>
        <w:t>roca.</w:t>
      </w:r>
    </w:p>
    <w:p>
      <w:pPr>
        <w:pStyle w:val="BodyText"/>
        <w:spacing w:before="11"/>
      </w:pPr>
    </w:p>
    <w:p>
      <w:pPr>
        <w:pStyle w:val="ListParagraph"/>
        <w:numPr>
          <w:ilvl w:val="2"/>
          <w:numId w:val="66"/>
        </w:numPr>
        <w:tabs>
          <w:tab w:pos="661" w:val="left" w:leader="none"/>
        </w:tabs>
        <w:spacing w:line="249" w:lineRule="auto" w:before="0" w:after="0"/>
        <w:ind w:left="660" w:right="0" w:hanging="360"/>
        <w:jc w:val="both"/>
        <w:rPr>
          <w:sz w:val="20"/>
        </w:rPr>
      </w:pPr>
      <w:r>
        <w:rPr>
          <w:i/>
          <w:sz w:val="20"/>
        </w:rPr>
        <w:t>Traslacionales: </w:t>
      </w:r>
      <w:r>
        <w:rPr>
          <w:sz w:val="20"/>
        </w:rPr>
        <w:t>deslizamientos en los que la masa de suelo y/o fragmentos de roca se desplaza hacia fuera y hacia abajo, a lo largo de una superficie principal más o menos</w:t>
      </w:r>
      <w:r>
        <w:rPr>
          <w:spacing w:val="-7"/>
          <w:sz w:val="20"/>
        </w:rPr>
        <w:t> </w:t>
      </w:r>
      <w:r>
        <w:rPr>
          <w:sz w:val="20"/>
        </w:rPr>
        <w:t>plana.</w:t>
      </w:r>
    </w:p>
    <w:p>
      <w:pPr>
        <w:pStyle w:val="BodyText"/>
      </w:pPr>
    </w:p>
    <w:p>
      <w:pPr>
        <w:pStyle w:val="BodyText"/>
        <w:spacing w:before="1"/>
        <w:rPr>
          <w:sz w:val="25"/>
        </w:rPr>
      </w:pPr>
    </w:p>
    <w:p>
      <w:pPr>
        <w:spacing w:before="0"/>
        <w:ind w:left="3109" w:right="-7" w:firstLine="0"/>
        <w:jc w:val="left"/>
        <w:rPr>
          <w:sz w:val="16"/>
        </w:rPr>
      </w:pPr>
      <w:r>
        <w:rPr>
          <w:color w:val="6D6E71"/>
          <w:sz w:val="16"/>
        </w:rPr>
        <w:t>Figura 2. Deslizamientos</w:t>
      </w:r>
    </w:p>
    <w:p>
      <w:pPr>
        <w:pStyle w:val="BodyText"/>
        <w:rPr>
          <w:sz w:val="7"/>
        </w:rPr>
      </w:pPr>
    </w:p>
    <w:p>
      <w:pPr>
        <w:pStyle w:val="BodyText"/>
        <w:ind w:left="887"/>
      </w:pPr>
      <w:r>
        <w:rPr/>
        <w:drawing>
          <wp:inline distT="0" distB="0" distL="0" distR="0">
            <wp:extent cx="3950493" cy="1805939"/>
            <wp:effectExtent l="0" t="0" r="0" b="0"/>
            <wp:docPr id="179" name="image126.png" descr=""/>
            <wp:cNvGraphicFramePr>
              <a:graphicFrameLocks noChangeAspect="1"/>
            </wp:cNvGraphicFramePr>
            <a:graphic>
              <a:graphicData uri="http://schemas.openxmlformats.org/drawingml/2006/picture">
                <pic:pic>
                  <pic:nvPicPr>
                    <pic:cNvPr id="180" name="image126.png"/>
                    <pic:cNvPicPr/>
                  </pic:nvPicPr>
                  <pic:blipFill>
                    <a:blip r:embed="rId484" cstate="print"/>
                    <a:stretch>
                      <a:fillRect/>
                    </a:stretch>
                  </pic:blipFill>
                  <pic:spPr>
                    <a:xfrm>
                      <a:off x="0" y="0"/>
                      <a:ext cx="3950493" cy="1805939"/>
                    </a:xfrm>
                    <a:prstGeom prst="rect">
                      <a:avLst/>
                    </a:prstGeom>
                  </pic:spPr>
                </pic:pic>
              </a:graphicData>
            </a:graphic>
          </wp:inline>
        </w:drawing>
      </w:r>
      <w:r>
        <w:rPr/>
      </w:r>
    </w:p>
    <w:p>
      <w:pPr>
        <w:pStyle w:val="BodyText"/>
        <w:spacing w:before="10"/>
        <w:rPr>
          <w:sz w:val="21"/>
        </w:rPr>
      </w:pPr>
    </w:p>
    <w:p>
      <w:pPr>
        <w:spacing w:before="0"/>
        <w:ind w:left="2531" w:right="-7" w:firstLine="0"/>
        <w:jc w:val="left"/>
        <w:rPr>
          <w:sz w:val="16"/>
        </w:rPr>
      </w:pPr>
      <w:r>
        <w:rPr>
          <w:color w:val="6D6E71"/>
          <w:sz w:val="16"/>
        </w:rPr>
        <w:t>Fuente: Tomados de CENAPRED (2001).</w:t>
      </w:r>
    </w:p>
    <w:p>
      <w:pPr>
        <w:pStyle w:val="BodyText"/>
        <w:spacing w:before="5"/>
        <w:rPr>
          <w:sz w:val="22"/>
        </w:rPr>
      </w:pPr>
    </w:p>
    <w:p>
      <w:pPr>
        <w:pStyle w:val="BodyText"/>
        <w:spacing w:line="249" w:lineRule="auto"/>
        <w:ind w:left="130" w:firstLine="170"/>
        <w:jc w:val="both"/>
      </w:pPr>
      <w:r>
        <w:rPr/>
        <w:t>Estos conceptos son esenciales para la realización del trabajo, particularizando principalmente en la vulnerabilidad física, exposición y la inestabilidad de laderas por desprendimientos de caídas de materiales.</w:t>
      </w:r>
    </w:p>
    <w:p>
      <w:pPr>
        <w:pStyle w:val="Heading1"/>
        <w:spacing w:before="71"/>
        <w:ind w:right="-10"/>
      </w:pPr>
      <w:r>
        <w:rPr>
          <w:b w:val="0"/>
        </w:rPr>
        <w:br w:type="column"/>
      </w:r>
      <w:r>
        <w:rPr/>
        <w:t>Metodología</w:t>
      </w:r>
    </w:p>
    <w:p>
      <w:pPr>
        <w:pStyle w:val="BodyText"/>
        <w:rPr>
          <w:b/>
          <w:sz w:val="21"/>
        </w:rPr>
      </w:pPr>
    </w:p>
    <w:p>
      <w:pPr>
        <w:pStyle w:val="BodyText"/>
        <w:spacing w:line="249" w:lineRule="auto"/>
        <w:ind w:left="130" w:right="128" w:firstLine="170"/>
        <w:jc w:val="both"/>
      </w:pPr>
      <w:r>
        <w:rPr/>
        <w:t>Se empleó el propuesto por Yépez </w:t>
      </w:r>
      <w:r>
        <w:rPr>
          <w:i/>
        </w:rPr>
        <w:t>et. al.  </w:t>
      </w:r>
      <w:r>
        <w:rPr/>
        <w:t>(2012),  referente  a  la  vulnerabilidad física estructural, que permite estimar el nivel de vulnerabilidad físico-estructural de edificaciones ante alguna amenaza entre ellas por deslizamientos.</w:t>
      </w:r>
    </w:p>
    <w:p>
      <w:pPr>
        <w:pStyle w:val="BodyText"/>
        <w:spacing w:before="11"/>
      </w:pPr>
    </w:p>
    <w:p>
      <w:pPr>
        <w:pStyle w:val="BodyText"/>
        <w:spacing w:line="249" w:lineRule="auto"/>
        <w:ind w:left="130" w:right="128" w:firstLine="170"/>
        <w:jc w:val="both"/>
      </w:pPr>
      <w:r>
        <w:rPr/>
        <w:t>Los</w:t>
      </w:r>
      <w:r>
        <w:rPr>
          <w:spacing w:val="-16"/>
        </w:rPr>
        <w:t> </w:t>
      </w:r>
      <w:r>
        <w:rPr/>
        <w:t>autores</w:t>
      </w:r>
      <w:r>
        <w:rPr>
          <w:spacing w:val="-16"/>
        </w:rPr>
        <w:t> </w:t>
      </w:r>
      <w:r>
        <w:rPr/>
        <w:t>proponen</w:t>
      </w:r>
      <w:r>
        <w:rPr>
          <w:spacing w:val="-16"/>
        </w:rPr>
        <w:t> </w:t>
      </w:r>
      <w:r>
        <w:rPr/>
        <w:t>utilizar</w:t>
      </w:r>
      <w:r>
        <w:rPr>
          <w:spacing w:val="-16"/>
        </w:rPr>
        <w:t> </w:t>
      </w:r>
      <w:r>
        <w:rPr/>
        <w:t>variables</w:t>
      </w:r>
      <w:r>
        <w:rPr>
          <w:spacing w:val="-16"/>
        </w:rPr>
        <w:t> </w:t>
      </w:r>
      <w:r>
        <w:rPr/>
        <w:t>e</w:t>
      </w:r>
      <w:r>
        <w:rPr>
          <w:spacing w:val="-16"/>
        </w:rPr>
        <w:t> </w:t>
      </w:r>
      <w:r>
        <w:rPr/>
        <w:t>indicadores</w:t>
      </w:r>
      <w:r>
        <w:rPr>
          <w:spacing w:val="-16"/>
        </w:rPr>
        <w:t> </w:t>
      </w:r>
      <w:r>
        <w:rPr/>
        <w:t>cualitativos</w:t>
      </w:r>
      <w:r>
        <w:rPr>
          <w:spacing w:val="-16"/>
        </w:rPr>
        <w:t> </w:t>
      </w:r>
      <w:r>
        <w:rPr/>
        <w:t>que</w:t>
      </w:r>
      <w:r>
        <w:rPr>
          <w:spacing w:val="-16"/>
        </w:rPr>
        <w:t> </w:t>
      </w:r>
      <w:r>
        <w:rPr/>
        <w:t>permita</w:t>
      </w:r>
      <w:r>
        <w:rPr>
          <w:spacing w:val="-16"/>
        </w:rPr>
        <w:t> </w:t>
      </w:r>
      <w:r>
        <w:rPr/>
        <w:t>describir y</w:t>
      </w:r>
      <w:r>
        <w:rPr>
          <w:spacing w:val="-11"/>
        </w:rPr>
        <w:t> </w:t>
      </w:r>
      <w:r>
        <w:rPr/>
        <w:t>caracterizar</w:t>
      </w:r>
      <w:r>
        <w:rPr>
          <w:spacing w:val="-11"/>
        </w:rPr>
        <w:t> </w:t>
      </w:r>
      <w:r>
        <w:rPr/>
        <w:t>la</w:t>
      </w:r>
      <w:r>
        <w:rPr>
          <w:spacing w:val="-11"/>
        </w:rPr>
        <w:t> </w:t>
      </w:r>
      <w:r>
        <w:rPr/>
        <w:t>zona</w:t>
      </w:r>
      <w:r>
        <w:rPr>
          <w:spacing w:val="-11"/>
        </w:rPr>
        <w:t> </w:t>
      </w:r>
      <w:r>
        <w:rPr/>
        <w:t>de</w:t>
      </w:r>
      <w:r>
        <w:rPr>
          <w:spacing w:val="-11"/>
        </w:rPr>
        <w:t> </w:t>
      </w:r>
      <w:r>
        <w:rPr/>
        <w:t>estudio</w:t>
      </w:r>
      <w:r>
        <w:rPr>
          <w:spacing w:val="-10"/>
        </w:rPr>
        <w:t> </w:t>
      </w:r>
      <w:r>
        <w:rPr/>
        <w:t>para</w:t>
      </w:r>
      <w:r>
        <w:rPr>
          <w:spacing w:val="-11"/>
        </w:rPr>
        <w:t> </w:t>
      </w:r>
      <w:r>
        <w:rPr/>
        <w:t>realizar</w:t>
      </w:r>
      <w:r>
        <w:rPr>
          <w:spacing w:val="-11"/>
        </w:rPr>
        <w:t> </w:t>
      </w:r>
      <w:r>
        <w:rPr/>
        <w:t>la</w:t>
      </w:r>
      <w:r>
        <w:rPr>
          <w:spacing w:val="-11"/>
        </w:rPr>
        <w:t> </w:t>
      </w:r>
      <w:r>
        <w:rPr/>
        <w:t>evaluación</w:t>
      </w:r>
      <w:r>
        <w:rPr>
          <w:spacing w:val="-10"/>
        </w:rPr>
        <w:t> </w:t>
      </w:r>
      <w:r>
        <w:rPr/>
        <w:t>de</w:t>
      </w:r>
      <w:r>
        <w:rPr>
          <w:spacing w:val="-11"/>
        </w:rPr>
        <w:t> </w:t>
      </w:r>
      <w:r>
        <w:rPr/>
        <w:t>la</w:t>
      </w:r>
      <w:r>
        <w:rPr>
          <w:spacing w:val="-11"/>
        </w:rPr>
        <w:t> </w:t>
      </w:r>
      <w:r>
        <w:rPr/>
        <w:t>vulnerabilidad</w:t>
      </w:r>
      <w:r>
        <w:rPr>
          <w:spacing w:val="-11"/>
        </w:rPr>
        <w:t> </w:t>
      </w:r>
      <w:r>
        <w:rPr/>
        <w:t>descrita en la tabla</w:t>
      </w:r>
      <w:r>
        <w:rPr>
          <w:spacing w:val="-5"/>
        </w:rPr>
        <w:t> </w:t>
      </w:r>
      <w:r>
        <w:rPr/>
        <w:t>1.</w:t>
      </w:r>
    </w:p>
    <w:p>
      <w:pPr>
        <w:pStyle w:val="BodyText"/>
      </w:pPr>
    </w:p>
    <w:p>
      <w:pPr>
        <w:pStyle w:val="BodyText"/>
        <w:spacing w:before="1"/>
        <w:rPr>
          <w:sz w:val="25"/>
        </w:rPr>
      </w:pPr>
    </w:p>
    <w:p>
      <w:pPr>
        <w:spacing w:before="0"/>
        <w:ind w:left="514" w:right="514" w:firstLine="0"/>
        <w:jc w:val="center"/>
        <w:rPr>
          <w:sz w:val="16"/>
        </w:rPr>
      </w:pPr>
      <w:r>
        <w:rPr>
          <w:color w:val="6D6E71"/>
          <w:sz w:val="16"/>
        </w:rPr>
        <w:t>Tabla 1. Criterios para la evaluación de la vulnerabilidad</w:t>
      </w:r>
    </w:p>
    <w:p>
      <w:pPr>
        <w:pStyle w:val="BodyText"/>
        <w:spacing w:before="10"/>
        <w:rPr>
          <w:sz w:val="8"/>
        </w:rPr>
      </w:pPr>
    </w:p>
    <w:tbl>
      <w:tblPr>
        <w:tblW w:w="0" w:type="auto"/>
        <w:jc w:val="left"/>
        <w:tblInd w:w="1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9"/>
        <w:gridCol w:w="1559"/>
        <w:gridCol w:w="1701"/>
        <w:gridCol w:w="1417"/>
        <w:gridCol w:w="1614"/>
      </w:tblGrid>
      <w:tr>
        <w:trPr>
          <w:trHeight w:val="628" w:hRule="exact"/>
        </w:trPr>
        <w:tc>
          <w:tcPr>
            <w:tcW w:w="1419" w:type="dxa"/>
            <w:tcBorders>
              <w:bottom w:val="dotted" w:sz="4" w:space="0" w:color="FFFFFF"/>
              <w:right w:val="single" w:sz="4" w:space="0" w:color="FFFFFF"/>
            </w:tcBorders>
            <w:shd w:val="clear" w:color="auto" w:fill="929292"/>
          </w:tcPr>
          <w:p>
            <w:pPr>
              <w:pStyle w:val="TableParagraph"/>
              <w:spacing w:line="261" w:lineRule="auto" w:before="121"/>
              <w:ind w:left="107" w:right="272"/>
              <w:rPr>
                <w:sz w:val="16"/>
              </w:rPr>
            </w:pPr>
            <w:r>
              <w:rPr>
                <w:sz w:val="16"/>
              </w:rPr>
              <w:t>Tipo de Vulnerabilidad</w:t>
            </w:r>
          </w:p>
        </w:tc>
        <w:tc>
          <w:tcPr>
            <w:tcW w:w="1559" w:type="dxa"/>
            <w:tcBorders>
              <w:left w:val="single" w:sz="4" w:space="0" w:color="FFFFFF"/>
              <w:bottom w:val="dotted" w:sz="4" w:space="0" w:color="FFFFFF"/>
              <w:right w:val="single" w:sz="4" w:space="0" w:color="FFFFFF"/>
            </w:tcBorders>
            <w:shd w:val="clear" w:color="auto" w:fill="929292"/>
          </w:tcPr>
          <w:p>
            <w:pPr>
              <w:pStyle w:val="TableParagraph"/>
              <w:spacing w:before="2"/>
              <w:rPr>
                <w:sz w:val="19"/>
              </w:rPr>
            </w:pPr>
          </w:p>
          <w:p>
            <w:pPr>
              <w:pStyle w:val="TableParagraph"/>
              <w:ind w:left="103" w:right="336"/>
              <w:rPr>
                <w:sz w:val="16"/>
              </w:rPr>
            </w:pPr>
            <w:r>
              <w:rPr>
                <w:sz w:val="16"/>
              </w:rPr>
              <w:t>Variables</w:t>
            </w:r>
          </w:p>
        </w:tc>
        <w:tc>
          <w:tcPr>
            <w:tcW w:w="1701" w:type="dxa"/>
            <w:tcBorders>
              <w:left w:val="single" w:sz="4" w:space="0" w:color="FFFFFF"/>
              <w:bottom w:val="dotted" w:sz="4" w:space="0" w:color="FFFFFF"/>
              <w:right w:val="single" w:sz="4" w:space="0" w:color="FFFFFF"/>
            </w:tcBorders>
            <w:shd w:val="clear" w:color="auto" w:fill="929292"/>
          </w:tcPr>
          <w:p>
            <w:pPr>
              <w:pStyle w:val="TableParagraph"/>
              <w:spacing w:before="2"/>
              <w:rPr>
                <w:sz w:val="19"/>
              </w:rPr>
            </w:pPr>
          </w:p>
          <w:p>
            <w:pPr>
              <w:pStyle w:val="TableParagraph"/>
              <w:ind w:left="103" w:right="122"/>
              <w:rPr>
                <w:sz w:val="16"/>
              </w:rPr>
            </w:pPr>
            <w:r>
              <w:rPr>
                <w:sz w:val="16"/>
              </w:rPr>
              <w:t>Indicadores</w:t>
            </w:r>
          </w:p>
        </w:tc>
        <w:tc>
          <w:tcPr>
            <w:tcW w:w="1417" w:type="dxa"/>
            <w:tcBorders>
              <w:left w:val="single" w:sz="4" w:space="0" w:color="FFFFFF"/>
              <w:bottom w:val="dotted" w:sz="4" w:space="0" w:color="FFFFFF"/>
              <w:right w:val="single" w:sz="4" w:space="0" w:color="FFFFFF"/>
            </w:tcBorders>
            <w:shd w:val="clear" w:color="auto" w:fill="929292"/>
          </w:tcPr>
          <w:p>
            <w:pPr>
              <w:pStyle w:val="TableParagraph"/>
              <w:spacing w:line="261" w:lineRule="auto" w:before="21"/>
              <w:ind w:left="103" w:right="395"/>
              <w:jc w:val="both"/>
              <w:rPr>
                <w:sz w:val="16"/>
              </w:rPr>
            </w:pPr>
            <w:r>
              <w:rPr>
                <w:sz w:val="16"/>
              </w:rPr>
              <w:t>Nivel de los indicadores establecidos</w:t>
            </w:r>
          </w:p>
        </w:tc>
        <w:tc>
          <w:tcPr>
            <w:tcW w:w="1614" w:type="dxa"/>
            <w:tcBorders>
              <w:left w:val="single" w:sz="4" w:space="0" w:color="FFFFFF"/>
              <w:bottom w:val="dotted" w:sz="4" w:space="0" w:color="FFFFFF"/>
            </w:tcBorders>
            <w:shd w:val="clear" w:color="auto" w:fill="929292"/>
          </w:tcPr>
          <w:p>
            <w:pPr>
              <w:pStyle w:val="TableParagraph"/>
              <w:spacing w:line="261" w:lineRule="auto" w:before="121"/>
              <w:ind w:left="102" w:right="499"/>
              <w:rPr>
                <w:sz w:val="16"/>
              </w:rPr>
            </w:pPr>
            <w:r>
              <w:rPr>
                <w:sz w:val="16"/>
              </w:rPr>
              <w:t>Nivel de vulnerabilidad</w:t>
            </w:r>
          </w:p>
        </w:tc>
      </w:tr>
      <w:tr>
        <w:trPr>
          <w:trHeight w:val="192" w:hRule="exact"/>
        </w:trPr>
        <w:tc>
          <w:tcPr>
            <w:tcW w:w="1419" w:type="dxa"/>
            <w:tcBorders>
              <w:top w:val="dotted" w:sz="4" w:space="0" w:color="FFFFFF"/>
              <w:right w:val="single" w:sz="4" w:space="0" w:color="929292"/>
            </w:tcBorders>
          </w:tcPr>
          <w:p>
            <w:pPr/>
          </w:p>
        </w:tc>
        <w:tc>
          <w:tcPr>
            <w:tcW w:w="1559" w:type="dxa"/>
            <w:tcBorders>
              <w:top w:val="dotted" w:sz="4" w:space="0" w:color="FFFFFF"/>
              <w:left w:val="single" w:sz="4" w:space="0" w:color="929292"/>
              <w:right w:val="single" w:sz="4" w:space="0" w:color="929292"/>
            </w:tcBorders>
          </w:tcPr>
          <w:p>
            <w:pPr/>
          </w:p>
        </w:tc>
        <w:tc>
          <w:tcPr>
            <w:tcW w:w="1701" w:type="dxa"/>
            <w:tcBorders>
              <w:top w:val="dotted" w:sz="4" w:space="0" w:color="FFFFFF"/>
              <w:left w:val="single" w:sz="4" w:space="0" w:color="929292"/>
              <w:right w:val="single" w:sz="4" w:space="0" w:color="929292"/>
            </w:tcBorders>
          </w:tcPr>
          <w:p>
            <w:pPr>
              <w:pStyle w:val="TableParagraph"/>
              <w:spacing w:line="172" w:lineRule="exact"/>
              <w:ind w:left="103" w:right="122"/>
              <w:rPr>
                <w:sz w:val="16"/>
              </w:rPr>
            </w:pPr>
            <w:r>
              <w:rPr>
                <w:sz w:val="16"/>
              </w:rPr>
              <w:t>Establece un</w:t>
            </w:r>
          </w:p>
        </w:tc>
        <w:tc>
          <w:tcPr>
            <w:tcW w:w="1417" w:type="dxa"/>
            <w:tcBorders>
              <w:top w:val="dotted" w:sz="4" w:space="0" w:color="FFFFFF"/>
              <w:left w:val="single" w:sz="4" w:space="0" w:color="929292"/>
              <w:right w:val="single" w:sz="4" w:space="0" w:color="929292"/>
            </w:tcBorders>
          </w:tcPr>
          <w:p>
            <w:pPr/>
          </w:p>
        </w:tc>
        <w:tc>
          <w:tcPr>
            <w:tcW w:w="1614" w:type="dxa"/>
            <w:tcBorders>
              <w:top w:val="dotted" w:sz="4" w:space="0" w:color="FFFFFF"/>
              <w:left w:val="single" w:sz="4" w:space="0" w:color="929292"/>
            </w:tcBorders>
          </w:tcPr>
          <w:p>
            <w:pPr/>
          </w:p>
        </w:tc>
      </w:tr>
      <w:tr>
        <w:trPr>
          <w:trHeight w:val="200" w:hRule="exact"/>
        </w:trPr>
        <w:tc>
          <w:tcPr>
            <w:tcW w:w="1419" w:type="dxa"/>
            <w:tcBorders>
              <w:right w:val="single" w:sz="4" w:space="0" w:color="929292"/>
            </w:tcBorders>
          </w:tcPr>
          <w:p>
            <w:pPr/>
          </w:p>
        </w:tc>
        <w:tc>
          <w:tcPr>
            <w:tcW w:w="1559" w:type="dxa"/>
            <w:tcBorders>
              <w:left w:val="single" w:sz="4" w:space="0" w:color="929292"/>
              <w:right w:val="single" w:sz="4" w:space="0" w:color="929292"/>
            </w:tcBorders>
          </w:tcPr>
          <w:p>
            <w:pPr/>
          </w:p>
        </w:tc>
        <w:tc>
          <w:tcPr>
            <w:tcW w:w="1701" w:type="dxa"/>
            <w:tcBorders>
              <w:left w:val="single" w:sz="4" w:space="0" w:color="929292"/>
              <w:right w:val="single" w:sz="4" w:space="0" w:color="929292"/>
            </w:tcBorders>
          </w:tcPr>
          <w:p>
            <w:pPr>
              <w:pStyle w:val="TableParagraph"/>
              <w:ind w:left="103" w:right="122"/>
              <w:rPr>
                <w:sz w:val="16"/>
              </w:rPr>
            </w:pPr>
            <w:r>
              <w:rPr>
                <w:sz w:val="16"/>
              </w:rPr>
              <w:t>indicador (magnitud</w:t>
            </w:r>
          </w:p>
        </w:tc>
        <w:tc>
          <w:tcPr>
            <w:tcW w:w="1417" w:type="dxa"/>
            <w:tcBorders>
              <w:left w:val="single" w:sz="4" w:space="0" w:color="929292"/>
              <w:right w:val="single" w:sz="4" w:space="0" w:color="929292"/>
            </w:tcBorders>
          </w:tcPr>
          <w:p>
            <w:pPr/>
          </w:p>
        </w:tc>
        <w:tc>
          <w:tcPr>
            <w:tcW w:w="1614" w:type="dxa"/>
            <w:tcBorders>
              <w:left w:val="single" w:sz="4" w:space="0" w:color="929292"/>
            </w:tcBorders>
          </w:tcPr>
          <w:p>
            <w:pPr/>
          </w:p>
        </w:tc>
      </w:tr>
      <w:tr>
        <w:trPr>
          <w:trHeight w:val="214" w:hRule="exact"/>
        </w:trPr>
        <w:tc>
          <w:tcPr>
            <w:tcW w:w="1419" w:type="dxa"/>
            <w:tcBorders>
              <w:right w:val="single" w:sz="4" w:space="0" w:color="929292"/>
            </w:tcBorders>
          </w:tcPr>
          <w:p>
            <w:pPr/>
          </w:p>
        </w:tc>
        <w:tc>
          <w:tcPr>
            <w:tcW w:w="1559" w:type="dxa"/>
            <w:tcBorders>
              <w:left w:val="single" w:sz="4" w:space="0" w:color="929292"/>
              <w:right w:val="single" w:sz="4" w:space="0" w:color="929292"/>
            </w:tcBorders>
          </w:tcPr>
          <w:p>
            <w:pPr/>
          </w:p>
        </w:tc>
        <w:tc>
          <w:tcPr>
            <w:tcW w:w="1701" w:type="dxa"/>
            <w:tcBorders>
              <w:left w:val="single" w:sz="4" w:space="0" w:color="929292"/>
              <w:right w:val="single" w:sz="4" w:space="0" w:color="929292"/>
            </w:tcBorders>
          </w:tcPr>
          <w:p>
            <w:pPr>
              <w:pStyle w:val="TableParagraph"/>
              <w:ind w:left="103" w:right="122"/>
              <w:rPr>
                <w:sz w:val="16"/>
              </w:rPr>
            </w:pPr>
            <w:r>
              <w:rPr>
                <w:sz w:val="16"/>
              </w:rPr>
              <w:t>estadística) que</w:t>
            </w:r>
          </w:p>
        </w:tc>
        <w:tc>
          <w:tcPr>
            <w:tcW w:w="1417" w:type="dxa"/>
            <w:tcBorders>
              <w:left w:val="single" w:sz="4" w:space="0" w:color="929292"/>
              <w:right w:val="single" w:sz="4" w:space="0" w:color="929292"/>
            </w:tcBorders>
          </w:tcPr>
          <w:p>
            <w:pPr>
              <w:pStyle w:val="TableParagraph"/>
              <w:spacing w:before="29"/>
              <w:ind w:left="103"/>
              <w:rPr>
                <w:sz w:val="16"/>
              </w:rPr>
            </w:pPr>
            <w:r>
              <w:rPr>
                <w:sz w:val="16"/>
              </w:rPr>
              <w:t>Establece a</w:t>
            </w:r>
          </w:p>
        </w:tc>
        <w:tc>
          <w:tcPr>
            <w:tcW w:w="1614" w:type="dxa"/>
            <w:tcBorders>
              <w:left w:val="single" w:sz="4" w:space="0" w:color="929292"/>
            </w:tcBorders>
          </w:tcPr>
          <w:p>
            <w:pPr/>
          </w:p>
        </w:tc>
      </w:tr>
      <w:tr>
        <w:trPr>
          <w:trHeight w:val="1600" w:hRule="exact"/>
        </w:trPr>
        <w:tc>
          <w:tcPr>
            <w:tcW w:w="1419" w:type="dxa"/>
            <w:tcBorders>
              <w:right w:val="single" w:sz="4" w:space="0" w:color="929292"/>
            </w:tcBorders>
          </w:tcPr>
          <w:p>
            <w:pPr>
              <w:pStyle w:val="TableParagraph"/>
              <w:spacing w:before="7"/>
              <w:rPr>
                <w:sz w:val="18"/>
              </w:rPr>
            </w:pPr>
          </w:p>
          <w:p>
            <w:pPr>
              <w:pStyle w:val="TableParagraph"/>
              <w:spacing w:line="261" w:lineRule="auto"/>
              <w:ind w:left="107" w:right="299"/>
              <w:rPr>
                <w:sz w:val="16"/>
              </w:rPr>
            </w:pPr>
            <w:r>
              <w:rPr>
                <w:sz w:val="16"/>
              </w:rPr>
              <w:t>De acuerdo a los factores considerados para  cada tipo de vulnerabilidad</w:t>
            </w:r>
          </w:p>
        </w:tc>
        <w:tc>
          <w:tcPr>
            <w:tcW w:w="1559" w:type="dxa"/>
            <w:tcBorders>
              <w:left w:val="single" w:sz="4" w:space="0" w:color="929292"/>
              <w:right w:val="single" w:sz="4" w:space="0" w:color="929292"/>
            </w:tcBorders>
          </w:tcPr>
          <w:p>
            <w:pPr>
              <w:pStyle w:val="TableParagraph"/>
              <w:spacing w:line="261" w:lineRule="auto" w:before="114"/>
              <w:ind w:left="103" w:right="166"/>
              <w:rPr>
                <w:sz w:val="16"/>
              </w:rPr>
            </w:pPr>
            <w:r>
              <w:rPr>
                <w:sz w:val="16"/>
              </w:rPr>
              <w:t>Descripción de las variables consideradas que corresponden</w:t>
            </w:r>
          </w:p>
          <w:p>
            <w:pPr>
              <w:pStyle w:val="TableParagraph"/>
              <w:spacing w:line="261" w:lineRule="auto"/>
              <w:ind w:left="103" w:right="154"/>
              <w:rPr>
                <w:sz w:val="16"/>
              </w:rPr>
            </w:pPr>
            <w:r>
              <w:rPr>
                <w:sz w:val="16"/>
              </w:rPr>
              <w:t>a un ámbito del factor a estudiar y focalizar</w:t>
            </w:r>
          </w:p>
        </w:tc>
        <w:tc>
          <w:tcPr>
            <w:tcW w:w="1701" w:type="dxa"/>
            <w:tcBorders>
              <w:left w:val="single" w:sz="4" w:space="0" w:color="929292"/>
              <w:right w:val="single" w:sz="4" w:space="0" w:color="929292"/>
            </w:tcBorders>
          </w:tcPr>
          <w:p>
            <w:pPr>
              <w:pStyle w:val="TableParagraph"/>
              <w:spacing w:line="170" w:lineRule="exact"/>
              <w:ind w:left="103" w:right="122"/>
              <w:rPr>
                <w:sz w:val="16"/>
              </w:rPr>
            </w:pPr>
            <w:r>
              <w:rPr>
                <w:sz w:val="16"/>
              </w:rPr>
              <w:t>clasifique y defina,</w:t>
            </w:r>
          </w:p>
          <w:p>
            <w:pPr>
              <w:pStyle w:val="TableParagraph"/>
              <w:spacing w:line="261" w:lineRule="auto" w:before="16"/>
              <w:ind w:left="103" w:right="122"/>
              <w:rPr>
                <w:sz w:val="16"/>
              </w:rPr>
            </w:pPr>
            <w:r>
              <w:rPr>
                <w:sz w:val="16"/>
              </w:rPr>
              <w:t>de forma más precisa, el objeto  del factor de vulnerabilidad. Son medidas verificables y medibles. Los indicadores</w:t>
            </w:r>
            <w:r>
              <w:rPr>
                <w:spacing w:val="19"/>
                <w:sz w:val="16"/>
              </w:rPr>
              <w:t> </w:t>
            </w:r>
            <w:r>
              <w:rPr>
                <w:sz w:val="16"/>
              </w:rPr>
              <w:t>pueden</w:t>
            </w:r>
          </w:p>
        </w:tc>
        <w:tc>
          <w:tcPr>
            <w:tcW w:w="1417" w:type="dxa"/>
            <w:tcBorders>
              <w:left w:val="single" w:sz="4" w:space="0" w:color="929292"/>
              <w:right w:val="single" w:sz="4" w:space="0" w:color="929292"/>
            </w:tcBorders>
          </w:tcPr>
          <w:p>
            <w:pPr>
              <w:pStyle w:val="TableParagraph"/>
              <w:spacing w:line="261" w:lineRule="auto" w:before="14"/>
              <w:ind w:left="103" w:right="169"/>
              <w:rPr>
                <w:sz w:val="16"/>
              </w:rPr>
            </w:pPr>
            <w:r>
              <w:rPr>
                <w:sz w:val="16"/>
              </w:rPr>
              <w:t>mayor detalle la caracterización del indicador permitiendo diferenciarlos en segmentos que pueden ser cualitativos</w:t>
            </w:r>
            <w:r>
              <w:rPr>
                <w:spacing w:val="17"/>
                <w:sz w:val="16"/>
              </w:rPr>
              <w:t> </w:t>
            </w:r>
            <w:r>
              <w:rPr>
                <w:sz w:val="16"/>
              </w:rPr>
              <w:t>o</w:t>
            </w:r>
          </w:p>
        </w:tc>
        <w:tc>
          <w:tcPr>
            <w:tcW w:w="1614" w:type="dxa"/>
            <w:tcBorders>
              <w:left w:val="single" w:sz="4" w:space="0" w:color="929292"/>
            </w:tcBorders>
          </w:tcPr>
          <w:p>
            <w:pPr>
              <w:pStyle w:val="TableParagraph"/>
              <w:spacing w:line="261" w:lineRule="auto" w:before="114"/>
              <w:ind w:left="102" w:right="238"/>
              <w:rPr>
                <w:sz w:val="16"/>
              </w:rPr>
            </w:pPr>
            <w:r>
              <w:rPr>
                <w:sz w:val="16"/>
              </w:rPr>
              <w:t>Señala las tendencias altas, medias y bajas de vulnerabilidad, de acuerdo a la interpretación de los</w:t>
            </w:r>
            <w:r>
              <w:rPr>
                <w:spacing w:val="17"/>
                <w:sz w:val="16"/>
              </w:rPr>
              <w:t> </w:t>
            </w:r>
            <w:r>
              <w:rPr>
                <w:sz w:val="16"/>
              </w:rPr>
              <w:t>indicadores</w:t>
            </w:r>
          </w:p>
        </w:tc>
      </w:tr>
      <w:tr>
        <w:trPr>
          <w:trHeight w:val="200" w:hRule="exact"/>
        </w:trPr>
        <w:tc>
          <w:tcPr>
            <w:tcW w:w="1419" w:type="dxa"/>
            <w:tcBorders>
              <w:right w:val="single" w:sz="4" w:space="0" w:color="929292"/>
            </w:tcBorders>
          </w:tcPr>
          <w:p>
            <w:pPr/>
          </w:p>
        </w:tc>
        <w:tc>
          <w:tcPr>
            <w:tcW w:w="1559" w:type="dxa"/>
            <w:tcBorders>
              <w:left w:val="single" w:sz="4" w:space="0" w:color="929292"/>
              <w:right w:val="single" w:sz="4" w:space="0" w:color="929292"/>
            </w:tcBorders>
          </w:tcPr>
          <w:p>
            <w:pPr/>
          </w:p>
        </w:tc>
        <w:tc>
          <w:tcPr>
            <w:tcW w:w="1701" w:type="dxa"/>
            <w:tcBorders>
              <w:left w:val="single" w:sz="4" w:space="0" w:color="929292"/>
              <w:right w:val="single" w:sz="4" w:space="0" w:color="929292"/>
            </w:tcBorders>
          </w:tcPr>
          <w:p>
            <w:pPr>
              <w:pStyle w:val="TableParagraph"/>
              <w:spacing w:line="170" w:lineRule="exact"/>
              <w:ind w:left="103" w:right="122"/>
              <w:rPr>
                <w:sz w:val="16"/>
              </w:rPr>
            </w:pPr>
            <w:r>
              <w:rPr>
                <w:sz w:val="16"/>
              </w:rPr>
              <w:t>ser cualitativos o</w:t>
            </w:r>
          </w:p>
        </w:tc>
        <w:tc>
          <w:tcPr>
            <w:tcW w:w="1417" w:type="dxa"/>
            <w:tcBorders>
              <w:left w:val="single" w:sz="4" w:space="0" w:color="929292"/>
              <w:right w:val="single" w:sz="4" w:space="0" w:color="929292"/>
            </w:tcBorders>
          </w:tcPr>
          <w:p>
            <w:pPr>
              <w:pStyle w:val="TableParagraph"/>
              <w:spacing w:before="14"/>
              <w:ind w:left="103"/>
              <w:rPr>
                <w:sz w:val="16"/>
              </w:rPr>
            </w:pPr>
            <w:r>
              <w:rPr>
                <w:sz w:val="16"/>
              </w:rPr>
              <w:t>cuantitativos</w:t>
            </w:r>
          </w:p>
        </w:tc>
        <w:tc>
          <w:tcPr>
            <w:tcW w:w="1614" w:type="dxa"/>
            <w:tcBorders>
              <w:left w:val="single" w:sz="4" w:space="0" w:color="929292"/>
            </w:tcBorders>
          </w:tcPr>
          <w:p>
            <w:pPr/>
          </w:p>
        </w:tc>
      </w:tr>
      <w:tr>
        <w:trPr>
          <w:trHeight w:val="421" w:hRule="exact"/>
        </w:trPr>
        <w:tc>
          <w:tcPr>
            <w:tcW w:w="1419" w:type="dxa"/>
            <w:tcBorders>
              <w:bottom w:val="dotted" w:sz="4" w:space="0" w:color="929292"/>
              <w:right w:val="single" w:sz="4" w:space="0" w:color="929292"/>
            </w:tcBorders>
          </w:tcPr>
          <w:p>
            <w:pPr/>
          </w:p>
        </w:tc>
        <w:tc>
          <w:tcPr>
            <w:tcW w:w="1559" w:type="dxa"/>
            <w:tcBorders>
              <w:left w:val="single" w:sz="4" w:space="0" w:color="929292"/>
              <w:bottom w:val="dotted" w:sz="4" w:space="0" w:color="929292"/>
              <w:right w:val="single" w:sz="4" w:space="0" w:color="929292"/>
            </w:tcBorders>
          </w:tcPr>
          <w:p>
            <w:pPr/>
          </w:p>
        </w:tc>
        <w:tc>
          <w:tcPr>
            <w:tcW w:w="1701" w:type="dxa"/>
            <w:tcBorders>
              <w:left w:val="single" w:sz="4" w:space="0" w:color="929292"/>
              <w:bottom w:val="dotted" w:sz="4" w:space="0" w:color="929292"/>
              <w:right w:val="single" w:sz="4" w:space="0" w:color="929292"/>
            </w:tcBorders>
          </w:tcPr>
          <w:p>
            <w:pPr>
              <w:pStyle w:val="TableParagraph"/>
              <w:spacing w:line="170" w:lineRule="exact"/>
              <w:ind w:left="103" w:right="122"/>
              <w:rPr>
                <w:sz w:val="16"/>
              </w:rPr>
            </w:pPr>
            <w:r>
              <w:rPr>
                <w:sz w:val="16"/>
              </w:rPr>
              <w:t>cuantitativos</w:t>
            </w:r>
          </w:p>
        </w:tc>
        <w:tc>
          <w:tcPr>
            <w:tcW w:w="1417" w:type="dxa"/>
            <w:tcBorders>
              <w:left w:val="single" w:sz="4" w:space="0" w:color="929292"/>
              <w:bottom w:val="dotted" w:sz="4" w:space="0" w:color="929292"/>
              <w:right w:val="single" w:sz="4" w:space="0" w:color="929292"/>
            </w:tcBorders>
          </w:tcPr>
          <w:p>
            <w:pPr/>
          </w:p>
        </w:tc>
        <w:tc>
          <w:tcPr>
            <w:tcW w:w="1614" w:type="dxa"/>
            <w:tcBorders>
              <w:left w:val="single" w:sz="4" w:space="0" w:color="929292"/>
              <w:bottom w:val="dotted" w:sz="4" w:space="0" w:color="929292"/>
            </w:tcBorders>
          </w:tcPr>
          <w:p>
            <w:pPr/>
          </w:p>
        </w:tc>
      </w:tr>
    </w:tbl>
    <w:p>
      <w:pPr>
        <w:spacing w:before="93"/>
        <w:ind w:left="514" w:right="514" w:firstLine="0"/>
        <w:jc w:val="center"/>
        <w:rPr>
          <w:sz w:val="16"/>
        </w:rPr>
      </w:pPr>
      <w:r>
        <w:rPr>
          <w:color w:val="6D6E71"/>
          <w:sz w:val="16"/>
        </w:rPr>
        <w:t>Fuente: Equipo técnico Sun Mountain International (SMTN), 2011. Citado por Yépez et. al (2012).</w:t>
      </w:r>
    </w:p>
    <w:p>
      <w:pPr>
        <w:pStyle w:val="BodyText"/>
        <w:spacing w:before="5"/>
        <w:rPr>
          <w:sz w:val="22"/>
        </w:rPr>
      </w:pPr>
    </w:p>
    <w:p>
      <w:pPr>
        <w:pStyle w:val="BodyText"/>
        <w:spacing w:line="249" w:lineRule="auto"/>
        <w:ind w:left="130" w:right="127" w:firstLine="170"/>
        <w:jc w:val="both"/>
      </w:pPr>
      <w:r>
        <w:rPr/>
        <w:t>Los autores proponen definir las variables e indicadores de manera cualitativa a  partir de las características físicas de las estructuras obtenidas en dependencias como Catastro Urbano o de manera directa en</w:t>
      </w:r>
      <w:r>
        <w:rPr>
          <w:spacing w:val="46"/>
        </w:rPr>
        <w:t> </w:t>
      </w:r>
      <w:r>
        <w:rPr/>
        <w:t>campo.</w:t>
      </w:r>
    </w:p>
    <w:p>
      <w:pPr>
        <w:pStyle w:val="BodyText"/>
        <w:spacing w:before="11"/>
      </w:pPr>
    </w:p>
    <w:p>
      <w:pPr>
        <w:pStyle w:val="BodyText"/>
        <w:spacing w:line="249" w:lineRule="auto"/>
        <w:ind w:left="130" w:right="128" w:firstLine="170"/>
        <w:jc w:val="both"/>
      </w:pPr>
      <w:r>
        <w:rPr/>
        <w:t>A continuación se describe cada una de las variables e indicadores (ver tabla 2), propuestos exclusivamente para la amenaza por deslizamiento, ya que también se propone esta metodología para tres diferentes tipos de amenazas como sismos, inundaciones y volcánicas.</w:t>
      </w:r>
    </w:p>
    <w:p>
      <w:pPr>
        <w:spacing w:after="0" w:line="249" w:lineRule="auto"/>
        <w:jc w:val="both"/>
        <w:sectPr>
          <w:type w:val="continuous"/>
          <w:pgSz w:w="18830" w:h="12760" w:orient="landscape"/>
          <w:pgMar w:top="1420" w:bottom="280" w:left="720" w:right="720"/>
          <w:cols w:num="2" w:equalWidth="0">
            <w:col w:w="7842" w:space="1569"/>
            <w:col w:w="7979"/>
          </w:cols>
        </w:sectPr>
      </w:pPr>
    </w:p>
    <w:p>
      <w:pPr>
        <w:spacing w:before="90"/>
        <w:ind w:left="1540" w:right="0" w:firstLine="0"/>
        <w:jc w:val="left"/>
        <w:rPr>
          <w:sz w:val="16"/>
        </w:rPr>
      </w:pPr>
      <w:r>
        <w:rPr/>
        <w:pict>
          <v:group style="position:absolute;margin-left:42.550499pt;margin-top:230.712585pt;width:99.2pt;height:39.5pt;mso-position-horizontal-relative:page;mso-position-vertical-relative:page;z-index:16576" coordorigin="851,4614" coordsize="1984,790">
            <v:line style="position:absolute" from="886,4619" to="1434,4619" stroked="true" strokeweight=".5pt" strokecolor="#929292">
              <v:stroke dashstyle="dash"/>
            </v:line>
            <v:shape style="position:absolute;left:0;top:12756;width:593;height:2" coordorigin="0,12756" coordsize="593,0" path="m856,4619l856,4619m1448,4619l1448,4619e" filled="false" stroked="true" strokeweight=".5pt" strokecolor="#929292">
              <v:path arrowok="t"/>
            </v:shape>
            <v:line style="position:absolute" from="1448,5369" to="1448,4634" stroked="true" strokeweight=".5pt" strokecolor="#929292">
              <v:stroke dashstyle="dash"/>
            </v:line>
            <v:shape style="position:absolute;left:0;top:11976;width:2;height:780" coordorigin="0,11976" coordsize="0,780" path="m1448,5399l1448,5399m1448,4619l1448,4619e" filled="false" stroked="true" strokeweight=".5pt" strokecolor="#929292">
              <v:path arrowok="t"/>
            </v:shape>
            <v:line style="position:absolute" from="1478,4619" to="2815,4619" stroked="true" strokeweight=".5pt" strokecolor="#929292">
              <v:stroke dashstyle="dash"/>
            </v:line>
            <v:shape style="position:absolute;left:0;top:12756;width:1382;height:2" coordorigin="0,12756" coordsize="1382,0" path="m1448,4619l1448,4619m2830,4619l2830,4619e" filled="false" stroked="true" strokeweight=".5pt" strokecolor="#929292">
              <v:path arrowok="t"/>
            </v:shape>
            <v:line style="position:absolute" from="2830,5369" to="2830,4634" stroked="true" strokeweight=".5pt" strokecolor="#929292">
              <v:stroke dashstyle="dash"/>
            </v:line>
            <v:shape style="position:absolute;left:0;top:11976;width:2;height:780" coordorigin="0,11976" coordsize="0,780" path="m2830,5399l2830,5399m2830,4619l2830,4619e" filled="false" stroked="true" strokeweight=".5pt" strokecolor="#929292">
              <v:path arrowok="t"/>
            </v:shape>
            <v:line style="position:absolute" from="2830,4619" to="2830,4619" stroked="true" strokeweight=".5pt" strokecolor="#929292"/>
            <v:shape style="position:absolute;left:0;top:12756;width:593;height:2" coordorigin="0,12756" coordsize="593,0" path="m856,5399l856,5399m1448,5399l1448,5399e" filled="false" stroked="true" strokeweight=".5pt" strokecolor="#929292">
              <v:path arrowok="t"/>
            </v:shape>
            <v:shape style="position:absolute;left:0;top:12756;width:1382;height:2" coordorigin="0,12756" coordsize="1382,0" path="m1448,5399l1448,5399m2830,5399l2830,5399e" filled="false" stroked="true" strokeweight=".5pt" strokecolor="#929292">
              <v:path arrowok="t"/>
            </v:shape>
            <v:line style="position:absolute" from="2830,5399" to="2830,5399" stroked="true" strokeweight=".5pt" strokecolor="#929292"/>
            <w10:wrap type="none"/>
          </v:group>
        </w:pict>
      </w:r>
      <w:r>
        <w:rPr/>
        <w:pict>
          <v:group style="position:absolute;margin-left:514.551697pt;margin-top:70.067627pt;width:28.65pt;height:36.75pt;mso-position-horizontal-relative:page;mso-position-vertical-relative:paragraph;z-index:16888" coordorigin="10291,1401" coordsize="573,735">
            <v:line style="position:absolute" from="10296,1406" to="10844,1406" stroked="true" strokeweight=".5pt" strokecolor="#929292">
              <v:stroke dashstyle="dash"/>
            </v:line>
            <v:line style="position:absolute" from="10859,1406" to="10859,1406" stroked="true" strokeweight=".5pt" strokecolor="#929292"/>
            <v:line style="position:absolute" from="10859,2100" to="10859,1421" stroked="true" strokeweight=".5pt" strokecolor="#929292">
              <v:stroke dashstyle="dash"/>
            </v:line>
            <v:shape style="position:absolute;left:0;top:10898;width:2;height:725" coordorigin="0,10898" coordsize="0,725" path="m10859,2131l10859,2131m10859,1406l10859,1406e" filled="false" stroked="true" strokeweight=".5pt" strokecolor="#929292">
              <v:path arrowok="t"/>
            </v:shape>
            <v:line style="position:absolute" from="10859,1406" to="10859,1406" stroked="true" strokeweight=".5pt" strokecolor="#929292"/>
            <v:line style="position:absolute" from="10859,2131" to="10859,2131" stroked="true" strokeweight=".5pt" strokecolor="#929292"/>
            <v:line style="position:absolute" from="10859,2131" to="10859,2131" stroked="true" strokeweight=".5pt" strokecolor="#929292"/>
            <w10:wrap type="none"/>
          </v:group>
        </w:pict>
      </w:r>
      <w:r>
        <w:rPr/>
        <w:pict>
          <v:group style="position:absolute;margin-left:611.75pt;margin-top:70.067627pt;width:.5pt;height:36.75pt;mso-position-horizontal-relative:page;mso-position-vertical-relative:paragraph;z-index:16912" coordorigin="12235,1401" coordsize="10,735">
            <v:line style="position:absolute" from="12240,1406" to="12240,1406" stroked="true" strokeweight=".5pt" strokecolor="#929292"/>
            <v:line style="position:absolute" from="12240,2100" to="12240,1421" stroked="true" strokeweight=".5pt" strokecolor="#929292">
              <v:stroke dashstyle="dash"/>
            </v:line>
            <v:shape style="position:absolute;left:0;top:10898;width:2;height:725" coordorigin="0,10898" coordsize="0,725" path="m12240,2131l12240,2131m12240,1406l12240,1406e" filled="false" stroked="true" strokeweight=".5pt" strokecolor="#929292">
              <v:path arrowok="t"/>
            </v:shape>
            <v:line style="position:absolute" from="12240,1406" to="12240,1406" stroked="true" strokeweight=".5pt" strokecolor="#929292"/>
            <v:line style="position:absolute" from="12240,2131" to="12240,2131" stroked="true" strokeweight=".5pt" strokecolor="#929292"/>
            <v:line style="position:absolute" from="12240,2131" to="12240,2131" stroked="true" strokeweight=".5pt" strokecolor="#929292"/>
            <w10:wrap type="none"/>
          </v:group>
        </w:pict>
      </w:r>
      <w:r>
        <w:rPr/>
        <w:pict>
          <v:line style="position:absolute;mso-position-horizontal-relative:page;mso-position-vertical-relative:paragraph;z-index:16936" from="898.333008pt,70.317726pt" to="898.333008pt,70.317726pt" stroked="true" strokeweight=".5pt" strokecolor="#929292">
            <w10:wrap type="none"/>
          </v:line>
        </w:pict>
      </w:r>
      <w:r>
        <w:rPr/>
        <w:pict>
          <v:line style="position:absolute;mso-position-horizontal-relative:page;mso-position-vertical-relative:paragraph;z-index:16960" from="898.333008pt,106.529625pt" to="898.333008pt,106.529625pt" stroked="true" strokeweight=".5pt" strokecolor="#929292">
            <w10:wrap type="none"/>
          </v:line>
        </w:pict>
      </w:r>
      <w:r>
        <w:rPr/>
        <w:pict>
          <v:group style="position:absolute;margin-left:542.686890pt;margin-top:188.094086pt;width:.5pt;height:26.75pt;mso-position-horizontal-relative:page;mso-position-vertical-relative:page;z-index:16984" coordorigin="10854,3762" coordsize="10,535">
            <v:line style="position:absolute" from="10859,3767" to="10859,3767" stroked="true" strokeweight=".5pt" strokecolor="#929292"/>
            <v:line style="position:absolute" from="10859,4260" to="10859,3782" stroked="true" strokeweight=".5pt" strokecolor="#929292">
              <v:stroke dashstyle="dash"/>
            </v:line>
            <v:shape style="position:absolute;left:0;top:12232;width:2;height:525" coordorigin="0,12232" coordsize="0,525" path="m10859,4291l10859,4291m10859,3767l10859,3767e" filled="false" stroked="true" strokeweight=".5pt" strokecolor="#929292">
              <v:path arrowok="t"/>
            </v:shape>
            <v:line style="position:absolute" from="10859,3767" to="10859,3767" stroked="true" strokeweight=".5pt" strokecolor="#929292"/>
            <v:line style="position:absolute" from="10859,4291" to="10859,4291" stroked="true" strokeweight=".5pt" strokecolor="#929292"/>
            <v:line style="position:absolute" from="10859,4291" to="10859,4291" stroked="true" strokeweight=".5pt" strokecolor="#929292"/>
            <w10:wrap type="none"/>
          </v:group>
        </w:pict>
      </w:r>
      <w:r>
        <w:rPr/>
        <w:pict>
          <v:group style="position:absolute;margin-left:611.75pt;margin-top:188.094086pt;width:.5pt;height:26.75pt;mso-position-horizontal-relative:page;mso-position-vertical-relative:page;z-index:17008" coordorigin="12235,3762" coordsize="10,535">
            <v:line style="position:absolute" from="12240,3767" to="12240,3767" stroked="true" strokeweight=".5pt" strokecolor="#929292"/>
            <v:line style="position:absolute" from="12240,4260" to="12240,3782" stroked="true" strokeweight=".5pt" strokecolor="#929292">
              <v:stroke dashstyle="dash"/>
            </v:line>
            <v:shape style="position:absolute;left:0;top:12232;width:2;height:525" coordorigin="0,12232" coordsize="0,525" path="m12240,4291l12240,4291m12240,3767l12240,3767e" filled="false" stroked="true" strokeweight=".5pt" strokecolor="#929292">
              <v:path arrowok="t"/>
            </v:shape>
            <v:line style="position:absolute" from="12240,3767" to="12240,3767" stroked="true" strokeweight=".5pt" strokecolor="#929292"/>
            <v:line style="position:absolute" from="12240,4291" to="12240,4291" stroked="true" strokeweight=".5pt" strokecolor="#929292"/>
            <v:line style="position:absolute" from="12240,4291" to="12240,4291" stroked="true" strokeweight=".5pt" strokecolor="#929292"/>
            <w10:wrap type="none"/>
          </v:group>
        </w:pict>
      </w:r>
      <w:r>
        <w:rPr/>
        <w:pict>
          <v:line style="position:absolute;mso-position-horizontal-relative:page;mso-position-vertical-relative:page;z-index:17032" from="898.333008pt,232.231979pt" to="898.333008pt,232.231979pt" stroked="true" strokeweight=".5pt" strokecolor="#929292">
            <w10:wrap type="none"/>
          </v:line>
        </w:pict>
      </w:r>
      <w:r>
        <w:rPr/>
        <w:pict>
          <v:group style="position:absolute;margin-left:542.686890pt;margin-top:241.631882pt;width:.5pt;height:46.75pt;mso-position-horizontal-relative:page;mso-position-vertical-relative:page;z-index:17056" coordorigin="10854,4833" coordsize="10,935">
            <v:line style="position:absolute" from="10859,4838" to="10859,4838" stroked="true" strokeweight=".5pt" strokecolor="#929292"/>
            <v:line style="position:absolute" from="10859,5732" to="10859,4853" stroked="true" strokeweight=".5pt" strokecolor="#929292">
              <v:stroke dashstyle="dash"/>
            </v:line>
            <v:shape style="position:absolute;left:0;top:11832;width:2;height:925" coordorigin="0,11832" coordsize="0,925" path="m10859,5762l10859,5762m10859,4838l10859,4838e" filled="false" stroked="true" strokeweight=".5pt" strokecolor="#929292">
              <v:path arrowok="t"/>
            </v:shape>
            <v:line style="position:absolute" from="10859,4838" to="10859,4838" stroked="true" strokeweight=".5pt" strokecolor="#929292"/>
            <v:line style="position:absolute" from="10859,5762" to="10859,5762" stroked="true" strokeweight=".5pt" strokecolor="#929292"/>
            <v:line style="position:absolute" from="10859,5762" to="10859,5762" stroked="true" strokeweight=".5pt" strokecolor="#929292"/>
            <w10:wrap type="none"/>
          </v:group>
        </w:pict>
      </w:r>
      <w:r>
        <w:rPr/>
        <w:pict>
          <v:group style="position:absolute;margin-left:611.75pt;margin-top:241.631882pt;width:.5pt;height:46.75pt;mso-position-horizontal-relative:page;mso-position-vertical-relative:page;z-index:17080" coordorigin="12235,4833" coordsize="10,935">
            <v:line style="position:absolute" from="12240,4838" to="12240,4838" stroked="true" strokeweight=".5pt" strokecolor="#929292"/>
            <v:line style="position:absolute" from="12240,5732" to="12240,4853" stroked="true" strokeweight=".5pt" strokecolor="#929292">
              <v:stroke dashstyle="dash"/>
            </v:line>
            <v:shape style="position:absolute;left:0;top:11832;width:2;height:925" coordorigin="0,11832" coordsize="0,925" path="m12240,5762l12240,5762m12240,4838l12240,4838e" filled="false" stroked="true" strokeweight=".5pt" strokecolor="#929292">
              <v:path arrowok="t"/>
            </v:shape>
            <v:line style="position:absolute" from="12240,4838" to="12240,4838" stroked="true" strokeweight=".5pt" strokecolor="#929292"/>
            <v:line style="position:absolute" from="12240,5762" to="12240,5762" stroked="true" strokeweight=".5pt" strokecolor="#929292"/>
            <v:line style="position:absolute" from="12240,5762" to="12240,5762" stroked="true" strokeweight=".5pt" strokecolor="#929292"/>
            <w10:wrap type="none"/>
          </v:group>
        </w:pict>
      </w:r>
      <w:r>
        <w:rPr/>
        <w:pict>
          <v:line style="position:absolute;mso-position-horizontal-relative:page;mso-position-vertical-relative:page;z-index:17104" from="898.333008pt,241.881989pt" to="898.333008pt,241.881989pt" stroked="true" strokeweight=".5pt" strokecolor="#929292">
            <w10:wrap type="none"/>
          </v:line>
        </w:pict>
      </w:r>
      <w:r>
        <w:rPr/>
        <w:pict>
          <v:shape style="position:absolute;margin-left:514.551697pt;margin-top:.003923pt;width:383.55pt;height:343.8pt;mso-position-horizontal-relative:page;mso-position-vertical-relative:paragraph;z-index:17176" type="#_x0000_t202" filled="false" stroked="false">
            <v:textbox inset="0,0,0,0">
              <w:txbxContent>
                <w:tbl>
                  <w:tblPr>
                    <w:tblW w:w="0" w:type="auto"/>
                    <w:jc w:val="left"/>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563"/>
                    <w:gridCol w:w="1381"/>
                    <w:gridCol w:w="1963"/>
                    <w:gridCol w:w="2421"/>
                    <w:gridCol w:w="1328"/>
                  </w:tblGrid>
                  <w:tr>
                    <w:trPr>
                      <w:trHeight w:val="912" w:hRule="exact"/>
                    </w:trPr>
                    <w:tc>
                      <w:tcPr>
                        <w:tcW w:w="563" w:type="dxa"/>
                        <w:tcBorders>
                          <w:left w:val="nil"/>
                        </w:tcBorders>
                      </w:tcPr>
                      <w:p>
                        <w:pPr>
                          <w:pStyle w:val="TableParagraph"/>
                          <w:rPr>
                            <w:sz w:val="18"/>
                          </w:rPr>
                        </w:pPr>
                      </w:p>
                      <w:p>
                        <w:pPr>
                          <w:pStyle w:val="TableParagraph"/>
                          <w:spacing w:before="145"/>
                          <w:ind w:left="73"/>
                          <w:rPr>
                            <w:sz w:val="18"/>
                          </w:rPr>
                        </w:pPr>
                        <w:r>
                          <w:rPr>
                            <w:w w:val="99"/>
                            <w:sz w:val="18"/>
                          </w:rPr>
                          <w:t>6</w:t>
                        </w:r>
                      </w:p>
                    </w:tc>
                    <w:tc>
                      <w:tcPr>
                        <w:tcW w:w="1381" w:type="dxa"/>
                        <w:tcBorders>
                          <w:bottom w:val="nil"/>
                        </w:tcBorders>
                      </w:tcPr>
                      <w:p>
                        <w:pPr>
                          <w:pStyle w:val="TableParagraph"/>
                          <w:spacing w:before="11"/>
                          <w:rPr>
                            <w:sz w:val="22"/>
                          </w:rPr>
                        </w:pPr>
                      </w:p>
                      <w:p>
                        <w:pPr>
                          <w:pStyle w:val="TableParagraph"/>
                          <w:spacing w:line="261" w:lineRule="auto"/>
                          <w:ind w:left="103" w:right="350"/>
                          <w:rPr>
                            <w:sz w:val="16"/>
                          </w:rPr>
                        </w:pPr>
                        <w:r>
                          <w:rPr>
                            <w:sz w:val="16"/>
                          </w:rPr>
                          <w:t>Año de construcción</w:t>
                        </w:r>
                      </w:p>
                      <w:p>
                        <w:pPr>
                          <w:pStyle w:val="TableParagraph"/>
                          <w:tabs>
                            <w:tab w:pos="1361" w:val="left" w:leader="none"/>
                          </w:tabs>
                          <w:spacing w:line="183" w:lineRule="exact" w:before="100"/>
                          <w:ind w:left="25"/>
                          <w:rPr>
                            <w:sz w:val="16"/>
                          </w:rPr>
                        </w:pPr>
                        <w:r>
                          <w:rPr>
                            <w:w w:val="100"/>
                            <w:sz w:val="16"/>
                            <w:u w:val="dotted" w:color="929292"/>
                          </w:rPr>
                          <w:t> </w:t>
                        </w:r>
                        <w:r>
                          <w:rPr>
                            <w:sz w:val="16"/>
                            <w:u w:val="dotted" w:color="929292"/>
                          </w:rPr>
                          <w:tab/>
                        </w:r>
                      </w:p>
                    </w:tc>
                    <w:tc>
                      <w:tcPr>
                        <w:tcW w:w="1963" w:type="dxa"/>
                        <w:tcBorders>
                          <w:bottom w:val="nil"/>
                        </w:tcBorders>
                      </w:tcPr>
                      <w:p>
                        <w:pPr>
                          <w:pStyle w:val="TableParagraph"/>
                          <w:spacing w:line="148" w:lineRule="exact"/>
                          <w:ind w:left="103" w:right="175"/>
                          <w:rPr>
                            <w:sz w:val="16"/>
                          </w:rPr>
                        </w:pPr>
                        <w:r>
                          <w:rPr>
                            <w:sz w:val="16"/>
                          </w:rPr>
                          <w:t>Permite tener una idea</w:t>
                        </w:r>
                      </w:p>
                      <w:p>
                        <w:pPr>
                          <w:pStyle w:val="TableParagraph"/>
                          <w:spacing w:line="261" w:lineRule="auto" w:before="16"/>
                          <w:ind w:left="103" w:right="175"/>
                          <w:rPr>
                            <w:sz w:val="16"/>
                          </w:rPr>
                        </w:pPr>
                        <w:r>
                          <w:rPr>
                            <w:sz w:val="16"/>
                          </w:rPr>
                          <w:t>de la posible aplicación de criterios de diseño de defensa contra la</w:t>
                        </w:r>
                      </w:p>
                      <w:p>
                        <w:pPr>
                          <w:pStyle w:val="TableParagraph"/>
                          <w:tabs>
                            <w:tab w:pos="1942" w:val="left" w:leader="none"/>
                          </w:tabs>
                          <w:spacing w:line="183" w:lineRule="exact"/>
                          <w:ind w:left="25"/>
                          <w:rPr>
                            <w:sz w:val="16"/>
                          </w:rPr>
                        </w:pPr>
                        <w:r>
                          <w:rPr>
                            <w:w w:val="100"/>
                            <w:sz w:val="16"/>
                            <w:u w:val="dotted" w:color="929292"/>
                          </w:rPr>
                          <w:t> </w:t>
                        </w:r>
                        <w:r>
                          <w:rPr>
                            <w:spacing w:val="-12"/>
                            <w:sz w:val="16"/>
                            <w:u w:val="dotted" w:color="929292"/>
                          </w:rPr>
                          <w:t> </w:t>
                        </w:r>
                        <w:r>
                          <w:rPr>
                            <w:sz w:val="16"/>
                            <w:u w:val="dotted" w:color="929292"/>
                          </w:rPr>
                          <w:t>amenaza</w:t>
                          <w:tab/>
                        </w:r>
                      </w:p>
                    </w:tc>
                    <w:tc>
                      <w:tcPr>
                        <w:tcW w:w="2421" w:type="dxa"/>
                      </w:tcPr>
                      <w:p>
                        <w:pPr>
                          <w:pStyle w:val="TableParagraph"/>
                          <w:rPr>
                            <w:sz w:val="16"/>
                          </w:rPr>
                        </w:pPr>
                      </w:p>
                      <w:p>
                        <w:pPr>
                          <w:pStyle w:val="TableParagraph"/>
                          <w:spacing w:before="7"/>
                          <w:rPr>
                            <w:sz w:val="15"/>
                          </w:rPr>
                        </w:pPr>
                      </w:p>
                      <w:p>
                        <w:pPr>
                          <w:pStyle w:val="TableParagraph"/>
                          <w:ind w:left="103"/>
                          <w:rPr>
                            <w:sz w:val="16"/>
                          </w:rPr>
                        </w:pPr>
                        <w:r>
                          <w:rPr>
                            <w:sz w:val="16"/>
                          </w:rPr>
                          <w:t>Antes de 1970</w:t>
                        </w:r>
                      </w:p>
                    </w:tc>
                    <w:tc>
                      <w:tcPr>
                        <w:tcW w:w="1328" w:type="dxa"/>
                        <w:tcBorders>
                          <w:right w:val="nil"/>
                        </w:tcBorders>
                      </w:tcPr>
                      <w:p>
                        <w:pPr>
                          <w:pStyle w:val="TableParagraph"/>
                          <w:rPr>
                            <w:sz w:val="18"/>
                          </w:rPr>
                        </w:pPr>
                      </w:p>
                      <w:p>
                        <w:pPr>
                          <w:pStyle w:val="TableParagraph"/>
                          <w:spacing w:before="145"/>
                          <w:ind w:left="102"/>
                          <w:rPr>
                            <w:sz w:val="18"/>
                          </w:rPr>
                        </w:pPr>
                        <w:r>
                          <w:rPr>
                            <w:sz w:val="18"/>
                          </w:rPr>
                          <w:t>10</w:t>
                        </w:r>
                      </w:p>
                    </w:tc>
                  </w:tr>
                  <w:tr>
                    <w:trPr>
                      <w:trHeight w:val="1578" w:hRule="exact"/>
                    </w:trPr>
                    <w:tc>
                      <w:tcPr>
                        <w:tcW w:w="3907" w:type="dxa"/>
                        <w:gridSpan w:val="3"/>
                        <w:vMerge w:val="restart"/>
                        <w:tcBorders>
                          <w:top w:val="nil"/>
                          <w:left w:val="nil"/>
                        </w:tcBorders>
                      </w:tcPr>
                      <w:p>
                        <w:pPr>
                          <w:pStyle w:val="TableParagraph"/>
                          <w:rPr>
                            <w:sz w:val="16"/>
                          </w:rPr>
                        </w:pPr>
                      </w:p>
                      <w:p>
                        <w:pPr>
                          <w:pStyle w:val="TableParagraph"/>
                          <w:tabs>
                            <w:tab w:pos="1928" w:val="left" w:leader="none"/>
                            <w:tab w:pos="3891" w:val="left" w:leader="none"/>
                          </w:tabs>
                          <w:spacing w:line="173" w:lineRule="exact" w:before="112"/>
                          <w:ind w:left="592"/>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pStyle w:val="TableParagraph"/>
                          <w:spacing w:line="173" w:lineRule="exact"/>
                          <w:ind w:left="2051"/>
                          <w:rPr>
                            <w:sz w:val="16"/>
                          </w:rPr>
                        </w:pPr>
                        <w:r>
                          <w:rPr>
                            <w:sz w:val="16"/>
                          </w:rPr>
                          <w:t>El grado de deterioro</w:t>
                        </w:r>
                      </w:p>
                      <w:p>
                        <w:pPr>
                          <w:pStyle w:val="TableParagraph"/>
                          <w:numPr>
                            <w:ilvl w:val="0"/>
                            <w:numId w:val="82"/>
                          </w:numPr>
                          <w:tabs>
                            <w:tab w:pos="670" w:val="left" w:leader="none"/>
                            <w:tab w:pos="671" w:val="left" w:leader="none"/>
                            <w:tab w:pos="2051" w:val="left" w:leader="none"/>
                          </w:tabs>
                          <w:spacing w:line="127" w:lineRule="auto" w:before="95" w:after="0"/>
                          <w:ind w:left="670" w:right="493" w:hanging="597"/>
                          <w:jc w:val="left"/>
                          <w:rPr>
                            <w:sz w:val="16"/>
                          </w:rPr>
                        </w:pPr>
                        <w:r>
                          <w:rPr>
                            <w:sz w:val="16"/>
                          </w:rPr>
                          <w:t>Estado</w:t>
                        </w:r>
                        <w:r>
                          <w:rPr>
                            <w:spacing w:val="-6"/>
                            <w:sz w:val="16"/>
                          </w:rPr>
                          <w:t> </w:t>
                        </w:r>
                        <w:r>
                          <w:rPr>
                            <w:sz w:val="16"/>
                          </w:rPr>
                          <w:t>de</w:t>
                          <w:tab/>
                          <w:t>influye</w:t>
                        </w:r>
                        <w:r>
                          <w:rPr>
                            <w:spacing w:val="-16"/>
                            <w:sz w:val="16"/>
                          </w:rPr>
                          <w:t> </w:t>
                        </w:r>
                        <w:r>
                          <w:rPr>
                            <w:sz w:val="16"/>
                          </w:rPr>
                          <w:t>en</w:t>
                        </w:r>
                        <w:r>
                          <w:rPr>
                            <w:spacing w:val="-16"/>
                            <w:sz w:val="16"/>
                          </w:rPr>
                          <w:t> </w:t>
                        </w:r>
                        <w:r>
                          <w:rPr>
                            <w:sz w:val="16"/>
                          </w:rPr>
                          <w:t>la</w:t>
                        </w:r>
                        <w:r>
                          <w:rPr>
                            <w:spacing w:val="-2"/>
                            <w:w w:val="97"/>
                            <w:sz w:val="16"/>
                          </w:rPr>
                          <w:t> </w:t>
                        </w:r>
                        <w:r>
                          <w:rPr>
                            <w:sz w:val="16"/>
                          </w:rPr>
                          <w:t>conservación</w:t>
                          <w:tab/>
                          <w:t>vulnerabilidad de</w:t>
                        </w:r>
                        <w:r>
                          <w:rPr>
                            <w:spacing w:val="-32"/>
                            <w:sz w:val="16"/>
                          </w:rPr>
                          <w:t> </w:t>
                        </w:r>
                        <w:r>
                          <w:rPr>
                            <w:sz w:val="16"/>
                          </w:rPr>
                          <w:t>la</w:t>
                        </w:r>
                      </w:p>
                      <w:p>
                        <w:pPr>
                          <w:pStyle w:val="TableParagraph"/>
                          <w:tabs>
                            <w:tab w:pos="547" w:val="left" w:leader="none"/>
                            <w:tab w:pos="1928" w:val="left" w:leader="none"/>
                            <w:tab w:pos="3891" w:val="left" w:leader="none"/>
                          </w:tabs>
                          <w:spacing w:before="32"/>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pacing w:val="-12"/>
                            <w:sz w:val="16"/>
                            <w:u w:val="dotted" w:color="929292"/>
                          </w:rPr>
                          <w:t> </w:t>
                        </w:r>
                        <w:r>
                          <w:rPr>
                            <w:sz w:val="16"/>
                            <w:u w:val="dotted" w:color="929292"/>
                          </w:rPr>
                          <w:t>edificación</w:t>
                          <w:tab/>
                        </w:r>
                      </w:p>
                      <w:p>
                        <w:pPr>
                          <w:pStyle w:val="TableParagraph"/>
                          <w:rPr>
                            <w:sz w:val="16"/>
                          </w:rPr>
                        </w:pPr>
                      </w:p>
                      <w:p>
                        <w:pPr>
                          <w:pStyle w:val="TableParagraph"/>
                          <w:tabs>
                            <w:tab w:pos="547" w:val="left" w:leader="none"/>
                            <w:tab w:pos="1928" w:val="left" w:leader="none"/>
                            <w:tab w:pos="3891" w:val="left" w:leader="none"/>
                          </w:tabs>
                          <w:spacing w:line="171" w:lineRule="exact" w:before="123"/>
                          <w:rPr>
                            <w:sz w:val="18"/>
                          </w:rPr>
                        </w:pPr>
                        <w:r>
                          <w:rPr>
                            <w:w w:val="100"/>
                            <w:sz w:val="18"/>
                            <w:u w:val="dotted" w:color="929292"/>
                          </w:rPr>
                          <w:t> </w:t>
                        </w:r>
                        <w:r>
                          <w:rPr>
                            <w:sz w:val="18"/>
                            <w:u w:val="dotted" w:color="929292"/>
                          </w:rPr>
                          <w:tab/>
                        </w:r>
                        <w:r>
                          <w:rPr>
                            <w:spacing w:val="-6"/>
                            <w:sz w:val="18"/>
                          </w:rPr>
                          <w:t> </w:t>
                        </w:r>
                        <w:r>
                          <w:rPr>
                            <w:w w:val="100"/>
                            <w:sz w:val="18"/>
                            <w:u w:val="dotted" w:color="929292"/>
                          </w:rPr>
                          <w:t> </w:t>
                        </w:r>
                        <w:r>
                          <w:rPr>
                            <w:sz w:val="18"/>
                            <w:u w:val="dotted" w:color="929292"/>
                          </w:rPr>
                          <w:tab/>
                        </w:r>
                        <w:r>
                          <w:rPr>
                            <w:spacing w:val="-5"/>
                            <w:sz w:val="18"/>
                          </w:rPr>
                          <w:t> </w:t>
                        </w:r>
                        <w:r>
                          <w:rPr>
                            <w:w w:val="100"/>
                            <w:sz w:val="18"/>
                            <w:u w:val="dotted" w:color="929292"/>
                          </w:rPr>
                          <w:t> </w:t>
                        </w:r>
                        <w:r>
                          <w:rPr>
                            <w:sz w:val="18"/>
                            <w:u w:val="dotted" w:color="929292"/>
                          </w:rPr>
                          <w:tab/>
                        </w:r>
                      </w:p>
                      <w:p>
                        <w:pPr>
                          <w:pStyle w:val="TableParagraph"/>
                          <w:tabs>
                            <w:tab w:pos="2051" w:val="left" w:leader="none"/>
                          </w:tabs>
                          <w:spacing w:line="148" w:lineRule="exact"/>
                          <w:ind w:left="670"/>
                          <w:rPr>
                            <w:sz w:val="16"/>
                          </w:rPr>
                        </w:pPr>
                        <w:r>
                          <w:rPr>
                            <w:sz w:val="16"/>
                          </w:rPr>
                          <w:t>Características</w:t>
                          <w:tab/>
                          <w:t>El</w:t>
                        </w:r>
                        <w:r>
                          <w:rPr>
                            <w:spacing w:val="-10"/>
                            <w:sz w:val="16"/>
                          </w:rPr>
                          <w:t> </w:t>
                        </w:r>
                        <w:r>
                          <w:rPr>
                            <w:sz w:val="16"/>
                          </w:rPr>
                          <w:t>tipo</w:t>
                        </w:r>
                        <w:r>
                          <w:rPr>
                            <w:spacing w:val="-10"/>
                            <w:sz w:val="16"/>
                          </w:rPr>
                          <w:t> </w:t>
                        </w:r>
                        <w:r>
                          <w:rPr>
                            <w:sz w:val="16"/>
                          </w:rPr>
                          <w:t>de</w:t>
                        </w:r>
                        <w:r>
                          <w:rPr>
                            <w:spacing w:val="-10"/>
                            <w:sz w:val="16"/>
                          </w:rPr>
                          <w:t> </w:t>
                        </w:r>
                        <w:r>
                          <w:rPr>
                            <w:sz w:val="16"/>
                          </w:rPr>
                          <w:t>terreno</w:t>
                        </w:r>
                        <w:r>
                          <w:rPr>
                            <w:spacing w:val="-10"/>
                            <w:sz w:val="16"/>
                          </w:rPr>
                          <w:t> </w:t>
                        </w:r>
                        <w:r>
                          <w:rPr>
                            <w:sz w:val="16"/>
                          </w:rPr>
                          <w:t>influye</w:t>
                        </w:r>
                      </w:p>
                      <w:p>
                        <w:pPr>
                          <w:pStyle w:val="TableParagraph"/>
                          <w:numPr>
                            <w:ilvl w:val="0"/>
                            <w:numId w:val="82"/>
                          </w:numPr>
                          <w:tabs>
                            <w:tab w:pos="670" w:val="left" w:leader="none"/>
                            <w:tab w:pos="671" w:val="left" w:leader="none"/>
                            <w:tab w:pos="2051" w:val="left" w:leader="none"/>
                          </w:tabs>
                          <w:spacing w:line="240" w:lineRule="auto" w:before="4" w:after="0"/>
                          <w:ind w:left="670" w:right="0" w:hanging="597"/>
                          <w:jc w:val="left"/>
                          <w:rPr>
                            <w:sz w:val="16"/>
                          </w:rPr>
                        </w:pPr>
                        <w:r>
                          <w:rPr>
                            <w:position w:val="1"/>
                            <w:sz w:val="16"/>
                          </w:rPr>
                          <w:t>del suelo</w:t>
                        </w:r>
                        <w:r>
                          <w:rPr>
                            <w:spacing w:val="-14"/>
                            <w:position w:val="1"/>
                            <w:sz w:val="16"/>
                          </w:rPr>
                          <w:t> </w:t>
                        </w:r>
                        <w:r>
                          <w:rPr>
                            <w:position w:val="1"/>
                            <w:sz w:val="16"/>
                          </w:rPr>
                          <w:t>bajo</w:t>
                        </w:r>
                        <w:r>
                          <w:rPr>
                            <w:spacing w:val="-7"/>
                            <w:position w:val="1"/>
                            <w:sz w:val="16"/>
                          </w:rPr>
                          <w:t> </w:t>
                        </w:r>
                        <w:r>
                          <w:rPr>
                            <w:position w:val="1"/>
                            <w:sz w:val="16"/>
                          </w:rPr>
                          <w:t>la</w:t>
                          <w:tab/>
                          <w:t>en</w:t>
                        </w:r>
                        <w:r>
                          <w:rPr>
                            <w:spacing w:val="-15"/>
                            <w:position w:val="1"/>
                            <w:sz w:val="16"/>
                          </w:rPr>
                          <w:t> </w:t>
                        </w:r>
                        <w:r>
                          <w:rPr>
                            <w:position w:val="1"/>
                            <w:sz w:val="16"/>
                          </w:rPr>
                          <w:t>las</w:t>
                        </w:r>
                        <w:r>
                          <w:rPr>
                            <w:spacing w:val="-15"/>
                            <w:position w:val="1"/>
                            <w:sz w:val="16"/>
                          </w:rPr>
                          <w:t> </w:t>
                        </w:r>
                        <w:r>
                          <w:rPr>
                            <w:position w:val="1"/>
                            <w:sz w:val="16"/>
                          </w:rPr>
                          <w:t>característica</w:t>
                        </w:r>
                        <w:r>
                          <w:rPr>
                            <w:spacing w:val="-15"/>
                            <w:position w:val="1"/>
                            <w:sz w:val="16"/>
                          </w:rPr>
                          <w:t> </w:t>
                        </w:r>
                        <w:r>
                          <w:rPr>
                            <w:position w:val="1"/>
                            <w:sz w:val="16"/>
                          </w:rPr>
                          <w:t>de</w:t>
                        </w:r>
                      </w:p>
                      <w:p>
                        <w:pPr>
                          <w:pStyle w:val="TableParagraph"/>
                          <w:tabs>
                            <w:tab w:pos="547" w:val="left" w:leader="none"/>
                            <w:tab w:pos="1928" w:val="left" w:leader="none"/>
                            <w:tab w:pos="3891" w:val="left" w:leader="none"/>
                          </w:tabs>
                          <w:spacing w:before="4"/>
                          <w:rPr>
                            <w:sz w:val="16"/>
                          </w:rPr>
                        </w:pPr>
                        <w:r>
                          <w:rPr>
                            <w:w w:val="100"/>
                            <w:sz w:val="18"/>
                            <w:u w:val="dotted" w:color="929292"/>
                          </w:rPr>
                          <w:t> </w:t>
                        </w:r>
                        <w:r>
                          <w:rPr>
                            <w:sz w:val="18"/>
                            <w:u w:val="dotted" w:color="929292"/>
                          </w:rPr>
                          <w:tab/>
                        </w:r>
                        <w:r>
                          <w:rPr>
                            <w:spacing w:val="-6"/>
                            <w:sz w:val="18"/>
                          </w:rPr>
                          <w:t> </w:t>
                        </w:r>
                        <w:r>
                          <w:rPr>
                            <w:w w:val="100"/>
                            <w:sz w:val="16"/>
                            <w:u w:val="dotted" w:color="929292"/>
                          </w:rPr>
                          <w:t> </w:t>
                        </w:r>
                        <w:r>
                          <w:rPr>
                            <w:spacing w:val="-11"/>
                            <w:sz w:val="16"/>
                            <w:u w:val="dotted" w:color="929292"/>
                          </w:rPr>
                          <w:t> </w:t>
                        </w:r>
                        <w:r>
                          <w:rPr>
                            <w:sz w:val="16"/>
                            <w:u w:val="dotted" w:color="929292"/>
                          </w:rPr>
                          <w:t>edificación</w:t>
                          <w:tab/>
                        </w:r>
                        <w:r>
                          <w:rPr>
                            <w:sz w:val="16"/>
                            <w:u w:val="dotted" w:color="929292"/>
                          </w:rPr>
                          <w:t>vulnerabilidad</w:t>
                        </w:r>
                        <w:r>
                          <w:rPr>
                            <w:spacing w:val="-6"/>
                            <w:sz w:val="16"/>
                            <w:u w:val="dotted" w:color="929292"/>
                          </w:rPr>
                          <w:t> </w:t>
                        </w:r>
                        <w:r>
                          <w:rPr>
                            <w:sz w:val="16"/>
                            <w:u w:val="dotted" w:color="929292"/>
                          </w:rPr>
                          <w:t>física</w:t>
                          <w:tab/>
                        </w:r>
                      </w:p>
                      <w:p>
                        <w:pPr>
                          <w:pStyle w:val="TableParagraph"/>
                          <w:rPr>
                            <w:sz w:val="18"/>
                          </w:rPr>
                        </w:pPr>
                      </w:p>
                      <w:p>
                        <w:pPr>
                          <w:pStyle w:val="TableParagraph"/>
                          <w:tabs>
                            <w:tab w:pos="547" w:val="left" w:leader="none"/>
                            <w:tab w:pos="1928" w:val="left" w:leader="none"/>
                            <w:tab w:pos="3891" w:val="left" w:leader="none"/>
                          </w:tabs>
                          <w:spacing w:line="171" w:lineRule="exact" w:before="121"/>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pStyle w:val="TableParagraph"/>
                          <w:spacing w:line="171" w:lineRule="exact"/>
                          <w:ind w:left="2051"/>
                          <w:rPr>
                            <w:sz w:val="16"/>
                          </w:rPr>
                        </w:pPr>
                        <w:r>
                          <w:rPr>
                            <w:sz w:val="16"/>
                          </w:rPr>
                          <w:t>La topografía del sitio</w:t>
                        </w:r>
                      </w:p>
                      <w:p>
                        <w:pPr>
                          <w:pStyle w:val="TableParagraph"/>
                          <w:spacing w:line="141" w:lineRule="exact" w:before="16"/>
                          <w:ind w:left="2051"/>
                          <w:rPr>
                            <w:sz w:val="16"/>
                          </w:rPr>
                        </w:pPr>
                        <w:r>
                          <w:rPr>
                            <w:sz w:val="16"/>
                          </w:rPr>
                          <w:t>de construcción de</w:t>
                        </w:r>
                      </w:p>
                      <w:p>
                        <w:pPr>
                          <w:pStyle w:val="TableParagraph"/>
                          <w:numPr>
                            <w:ilvl w:val="0"/>
                            <w:numId w:val="82"/>
                          </w:numPr>
                          <w:tabs>
                            <w:tab w:pos="670" w:val="left" w:leader="none"/>
                            <w:tab w:pos="671" w:val="left" w:leader="none"/>
                            <w:tab w:pos="2051" w:val="left" w:leader="none"/>
                          </w:tabs>
                          <w:spacing w:line="129" w:lineRule="auto" w:before="34" w:after="0"/>
                          <w:ind w:left="670" w:right="413" w:hanging="597"/>
                          <w:jc w:val="left"/>
                          <w:rPr>
                            <w:sz w:val="16"/>
                          </w:rPr>
                        </w:pPr>
                        <w:r>
                          <w:rPr>
                            <w:position w:val="11"/>
                            <w:sz w:val="16"/>
                          </w:rPr>
                          <w:t>Topografía</w:t>
                        </w:r>
                        <w:r>
                          <w:rPr>
                            <w:spacing w:val="-9"/>
                            <w:position w:val="11"/>
                            <w:sz w:val="16"/>
                          </w:rPr>
                          <w:t> </w:t>
                        </w:r>
                        <w:r>
                          <w:rPr>
                            <w:position w:val="11"/>
                            <w:sz w:val="16"/>
                          </w:rPr>
                          <w:t>del</w:t>
                          <w:tab/>
                        </w:r>
                        <w:r>
                          <w:rPr>
                            <w:position w:val="1"/>
                            <w:sz w:val="16"/>
                          </w:rPr>
                          <w:t>la</w:t>
                        </w:r>
                        <w:r>
                          <w:rPr>
                            <w:spacing w:val="-3"/>
                            <w:position w:val="1"/>
                            <w:sz w:val="16"/>
                          </w:rPr>
                          <w:t> </w:t>
                        </w:r>
                        <w:r>
                          <w:rPr>
                            <w:position w:val="1"/>
                            <w:sz w:val="16"/>
                          </w:rPr>
                          <w:t>edificación</w:t>
                        </w:r>
                        <w:r>
                          <w:rPr>
                            <w:spacing w:val="-3"/>
                            <w:position w:val="1"/>
                            <w:sz w:val="16"/>
                          </w:rPr>
                          <w:t> </w:t>
                        </w:r>
                        <w:r>
                          <w:rPr>
                            <w:spacing w:val="-2"/>
                            <w:position w:val="1"/>
                            <w:sz w:val="16"/>
                          </w:rPr>
                          <w:t>indica</w:t>
                        </w:r>
                        <w:r>
                          <w:rPr>
                            <w:spacing w:val="-2"/>
                            <w:w w:val="102"/>
                            <w:position w:val="1"/>
                            <w:sz w:val="16"/>
                          </w:rPr>
                          <w:t> </w:t>
                        </w:r>
                        <w:r>
                          <w:rPr>
                            <w:position w:val="10"/>
                            <w:sz w:val="16"/>
                          </w:rPr>
                          <w:t>Sitio</w:t>
                          <w:tab/>
                        </w:r>
                        <w:r>
                          <w:rPr>
                            <w:spacing w:val="-1"/>
                            <w:sz w:val="16"/>
                          </w:rPr>
                          <w:t>posibles</w:t>
                        </w:r>
                        <w:r>
                          <w:rPr>
                            <w:spacing w:val="5"/>
                            <w:sz w:val="16"/>
                          </w:rPr>
                          <w:t> </w:t>
                        </w:r>
                        <w:r>
                          <w:rPr>
                            <w:spacing w:val="-1"/>
                            <w:sz w:val="16"/>
                          </w:rPr>
                          <w:t>debilidades</w:t>
                        </w:r>
                      </w:p>
                      <w:p>
                        <w:pPr>
                          <w:pStyle w:val="TableParagraph"/>
                          <w:tabs>
                            <w:tab w:pos="547" w:val="left" w:leader="none"/>
                            <w:tab w:pos="1928" w:val="left" w:leader="none"/>
                            <w:tab w:pos="3891" w:val="left" w:leader="none"/>
                          </w:tabs>
                          <w:spacing w:before="31"/>
                          <w:rPr>
                            <w:sz w:val="16"/>
                          </w:rPr>
                        </w:pPr>
                        <w:r>
                          <w:rPr>
                            <w:w w:val="100"/>
                            <w:position w:val="8"/>
                            <w:sz w:val="18"/>
                            <w:u w:val="dotted" w:color="929292"/>
                          </w:rPr>
                          <w:t> </w:t>
                        </w:r>
                        <w:r>
                          <w:rPr>
                            <w:position w:val="8"/>
                            <w:sz w:val="18"/>
                            <w:u w:val="dotted" w:color="929292"/>
                          </w:rPr>
                          <w:tab/>
                        </w:r>
                        <w:r>
                          <w:rPr>
                            <w:spacing w:val="-6"/>
                            <w:position w:val="8"/>
                            <w:sz w:val="18"/>
                          </w:rPr>
                          <w:t> </w:t>
                        </w:r>
                        <w:r>
                          <w:rPr>
                            <w:w w:val="100"/>
                            <w:position w:val="8"/>
                            <w:sz w:val="18"/>
                            <w:u w:val="dotted" w:color="929292"/>
                          </w:rPr>
                          <w:t> </w:t>
                        </w:r>
                        <w:r>
                          <w:rPr>
                            <w:position w:val="8"/>
                            <w:sz w:val="18"/>
                            <w:u w:val="dotted" w:color="929292"/>
                          </w:rPr>
                          <w:tab/>
                        </w:r>
                        <w:r>
                          <w:rPr>
                            <w:spacing w:val="-5"/>
                            <w:position w:val="8"/>
                            <w:sz w:val="18"/>
                          </w:rPr>
                          <w:t> </w:t>
                        </w:r>
                        <w:r>
                          <w:rPr>
                            <w:w w:val="100"/>
                            <w:sz w:val="16"/>
                            <w:u w:val="dotted" w:color="929292"/>
                          </w:rPr>
                          <w:t> </w:t>
                        </w:r>
                        <w:r>
                          <w:rPr>
                            <w:spacing w:val="-12"/>
                            <w:sz w:val="16"/>
                            <w:u w:val="dotted" w:color="929292"/>
                          </w:rPr>
                          <w:t> </w:t>
                        </w:r>
                        <w:r>
                          <w:rPr>
                            <w:sz w:val="16"/>
                            <w:u w:val="dotted" w:color="929292"/>
                          </w:rPr>
                          <w:t>frente a la</w:t>
                        </w:r>
                        <w:r>
                          <w:rPr>
                            <w:spacing w:val="-9"/>
                            <w:sz w:val="16"/>
                            <w:u w:val="dotted" w:color="929292"/>
                          </w:rPr>
                          <w:t> </w:t>
                        </w:r>
                        <w:r>
                          <w:rPr>
                            <w:sz w:val="16"/>
                            <w:u w:val="dotted" w:color="929292"/>
                          </w:rPr>
                          <w:t>amenaza</w:t>
                          <w:tab/>
                        </w:r>
                      </w:p>
                      <w:p>
                        <w:pPr>
                          <w:pStyle w:val="TableParagraph"/>
                          <w:spacing w:before="9"/>
                          <w:rPr>
                            <w:sz w:val="26"/>
                          </w:rPr>
                        </w:pPr>
                      </w:p>
                      <w:p>
                        <w:pPr>
                          <w:pStyle w:val="TableParagraph"/>
                          <w:tabs>
                            <w:tab w:pos="547" w:val="left" w:leader="none"/>
                            <w:tab w:pos="1928" w:val="left" w:leader="none"/>
                            <w:tab w:pos="3891" w:val="left" w:leader="none"/>
                          </w:tabs>
                          <w:spacing w:line="170" w:lineRule="exact"/>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pStyle w:val="TableParagraph"/>
                          <w:spacing w:line="170" w:lineRule="exact"/>
                          <w:ind w:left="2051"/>
                          <w:rPr>
                            <w:sz w:val="16"/>
                          </w:rPr>
                        </w:pPr>
                        <w:r>
                          <w:rPr>
                            <w:sz w:val="16"/>
                          </w:rPr>
                          <w:t>La presencia de</w:t>
                        </w:r>
                      </w:p>
                      <w:p>
                        <w:pPr>
                          <w:pStyle w:val="TableParagraph"/>
                          <w:numPr>
                            <w:ilvl w:val="0"/>
                            <w:numId w:val="82"/>
                          </w:numPr>
                          <w:tabs>
                            <w:tab w:pos="670" w:val="left" w:leader="none"/>
                            <w:tab w:pos="671" w:val="left" w:leader="none"/>
                            <w:tab w:pos="2051" w:val="left" w:leader="none"/>
                          </w:tabs>
                          <w:spacing w:line="127" w:lineRule="auto" w:before="95" w:after="0"/>
                          <w:ind w:left="670" w:right="565" w:hanging="597"/>
                          <w:jc w:val="left"/>
                          <w:rPr>
                            <w:sz w:val="16"/>
                          </w:rPr>
                        </w:pPr>
                        <w:r>
                          <w:rPr>
                            <w:sz w:val="16"/>
                          </w:rPr>
                          <w:t>Forma</w:t>
                        </w:r>
                        <w:r>
                          <w:rPr>
                            <w:spacing w:val="-8"/>
                            <w:sz w:val="16"/>
                          </w:rPr>
                          <w:t> </w:t>
                        </w:r>
                        <w:r>
                          <w:rPr>
                            <w:sz w:val="16"/>
                          </w:rPr>
                          <w:t>de</w:t>
                        </w:r>
                        <w:r>
                          <w:rPr>
                            <w:spacing w:val="-8"/>
                            <w:sz w:val="16"/>
                          </w:rPr>
                          <w:t> </w:t>
                        </w:r>
                        <w:r>
                          <w:rPr>
                            <w:sz w:val="16"/>
                          </w:rPr>
                          <w:t>la</w:t>
                          <w:tab/>
                          <w:t>irregularidad</w:t>
                        </w:r>
                        <w:r>
                          <w:rPr>
                            <w:spacing w:val="-20"/>
                            <w:sz w:val="16"/>
                          </w:rPr>
                          <w:t> </w:t>
                        </w:r>
                        <w:r>
                          <w:rPr>
                            <w:sz w:val="16"/>
                          </w:rPr>
                          <w:t>en</w:t>
                        </w:r>
                        <w:r>
                          <w:rPr>
                            <w:spacing w:val="-20"/>
                            <w:sz w:val="16"/>
                          </w:rPr>
                          <w:t> </w:t>
                        </w:r>
                        <w:r>
                          <w:rPr>
                            <w:sz w:val="16"/>
                          </w:rPr>
                          <w:t>la</w:t>
                        </w:r>
                        <w:r>
                          <w:rPr>
                            <w:spacing w:val="-2"/>
                            <w:w w:val="97"/>
                            <w:sz w:val="16"/>
                          </w:rPr>
                          <w:t> </w:t>
                        </w:r>
                        <w:r>
                          <w:rPr>
                            <w:sz w:val="16"/>
                          </w:rPr>
                          <w:t>construcción</w:t>
                          <w:tab/>
                          <w:t>edificación</w:t>
                        </w:r>
                        <w:r>
                          <w:rPr>
                            <w:spacing w:val="-11"/>
                            <w:sz w:val="16"/>
                          </w:rPr>
                          <w:t> </w:t>
                        </w:r>
                        <w:r>
                          <w:rPr>
                            <w:spacing w:val="-2"/>
                            <w:sz w:val="16"/>
                          </w:rPr>
                          <w:t>genera</w:t>
                        </w:r>
                      </w:p>
                      <w:p>
                        <w:pPr>
                          <w:pStyle w:val="TableParagraph"/>
                          <w:tabs>
                            <w:tab w:pos="547" w:val="left" w:leader="none"/>
                            <w:tab w:pos="1928" w:val="left" w:leader="none"/>
                            <w:tab w:pos="3891" w:val="left" w:leader="none"/>
                          </w:tabs>
                          <w:spacing w:before="32"/>
                          <w:rPr>
                            <w:sz w:val="16"/>
                          </w:rPr>
                        </w:pPr>
                        <w:r>
                          <w:rPr>
                            <w:w w:val="100"/>
                            <w:position w:val="4"/>
                            <w:sz w:val="16"/>
                            <w:u w:val="dotted" w:color="929292"/>
                          </w:rPr>
                          <w:t> </w:t>
                        </w:r>
                        <w:r>
                          <w:rPr>
                            <w:position w:val="4"/>
                            <w:sz w:val="16"/>
                            <w:u w:val="dotted" w:color="929292"/>
                          </w:rPr>
                          <w:tab/>
                        </w:r>
                        <w:r>
                          <w:rPr>
                            <w:position w:val="4"/>
                            <w:sz w:val="16"/>
                          </w:rPr>
                          <w:t> </w:t>
                        </w:r>
                        <w:r>
                          <w:rPr>
                            <w:w w:val="100"/>
                            <w:position w:val="4"/>
                            <w:sz w:val="16"/>
                            <w:u w:val="dotted" w:color="929292"/>
                          </w:rPr>
                          <w:t> </w:t>
                        </w:r>
                        <w:r>
                          <w:rPr>
                            <w:position w:val="4"/>
                            <w:sz w:val="16"/>
                            <w:u w:val="dotted" w:color="929292"/>
                          </w:rPr>
                          <w:tab/>
                        </w:r>
                        <w:r>
                          <w:rPr>
                            <w:position w:val="4"/>
                            <w:sz w:val="16"/>
                          </w:rPr>
                          <w:t> </w:t>
                        </w:r>
                        <w:r>
                          <w:rPr>
                            <w:w w:val="100"/>
                            <w:sz w:val="16"/>
                            <w:u w:val="dotted" w:color="929292"/>
                          </w:rPr>
                          <w:t> </w:t>
                        </w:r>
                        <w:r>
                          <w:rPr>
                            <w:spacing w:val="-12"/>
                            <w:sz w:val="16"/>
                            <w:u w:val="dotted" w:color="929292"/>
                          </w:rPr>
                          <w:t> </w:t>
                        </w:r>
                        <w:r>
                          <w:rPr>
                            <w:sz w:val="16"/>
                            <w:u w:val="dotted" w:color="929292"/>
                          </w:rPr>
                          <w:t>vulnerabilidad</w:t>
                          <w:tab/>
                        </w:r>
                      </w:p>
                      <w:p>
                        <w:pPr>
                          <w:pStyle w:val="TableParagraph"/>
                          <w:tabs>
                            <w:tab w:pos="547" w:val="left" w:leader="none"/>
                            <w:tab w:pos="1928" w:val="left" w:leader="none"/>
                            <w:tab w:pos="3891" w:val="left" w:leader="none"/>
                          </w:tabs>
                          <w:spacing w:before="63"/>
                          <w:rPr>
                            <w:sz w:val="18"/>
                          </w:rPr>
                        </w:pPr>
                        <w:r>
                          <w:rPr>
                            <w:w w:val="100"/>
                            <w:sz w:val="18"/>
                            <w:u w:val="dotted" w:color="929292"/>
                          </w:rPr>
                          <w:t> </w:t>
                        </w:r>
                        <w:r>
                          <w:rPr>
                            <w:sz w:val="18"/>
                            <w:u w:val="dotted" w:color="929292"/>
                          </w:rPr>
                          <w:tab/>
                        </w:r>
                        <w:r>
                          <w:rPr>
                            <w:spacing w:val="-6"/>
                            <w:sz w:val="18"/>
                          </w:rPr>
                          <w:t> </w:t>
                        </w:r>
                        <w:r>
                          <w:rPr>
                            <w:w w:val="100"/>
                            <w:sz w:val="18"/>
                            <w:u w:val="dotted" w:color="929292"/>
                          </w:rPr>
                          <w:t> </w:t>
                        </w:r>
                        <w:r>
                          <w:rPr>
                            <w:sz w:val="18"/>
                            <w:u w:val="dotted" w:color="929292"/>
                          </w:rPr>
                          <w:tab/>
                        </w:r>
                        <w:r>
                          <w:rPr>
                            <w:spacing w:val="-5"/>
                            <w:sz w:val="18"/>
                          </w:rPr>
                          <w:t> </w:t>
                        </w:r>
                        <w:r>
                          <w:rPr>
                            <w:w w:val="100"/>
                            <w:sz w:val="18"/>
                            <w:u w:val="dotted" w:color="929292"/>
                          </w:rPr>
                          <w:t> </w:t>
                        </w:r>
                        <w:r>
                          <w:rPr>
                            <w:sz w:val="18"/>
                            <w:u w:val="dotted" w:color="929292"/>
                          </w:rPr>
                          <w:tab/>
                        </w:r>
                      </w:p>
                    </w:tc>
                    <w:tc>
                      <w:tcPr>
                        <w:tcW w:w="2421" w:type="dxa"/>
                      </w:tcPr>
                      <w:p>
                        <w:pPr>
                          <w:pStyle w:val="TableParagraph"/>
                          <w:tabs>
                            <w:tab w:pos="2400" w:val="left" w:leader="none"/>
                          </w:tabs>
                          <w:spacing w:line="145" w:lineRule="exact"/>
                          <w:ind w:left="24"/>
                          <w:rPr>
                            <w:sz w:val="16"/>
                          </w:rPr>
                        </w:pPr>
                        <w:r>
                          <w:rPr>
                            <w:w w:val="100"/>
                            <w:sz w:val="16"/>
                            <w:u w:val="dotted" w:color="929292"/>
                          </w:rPr>
                          <w:t> </w:t>
                        </w:r>
                        <w:r>
                          <w:rPr>
                            <w:spacing w:val="-11"/>
                            <w:sz w:val="16"/>
                            <w:u w:val="dotted" w:color="929292"/>
                          </w:rPr>
                          <w:t> </w:t>
                        </w:r>
                        <w:r>
                          <w:rPr>
                            <w:sz w:val="16"/>
                            <w:u w:val="dotted" w:color="929292"/>
                          </w:rPr>
                          <w:t>Entre</w:t>
                        </w:r>
                        <w:r>
                          <w:rPr>
                            <w:spacing w:val="-13"/>
                            <w:sz w:val="16"/>
                            <w:u w:val="dotted" w:color="929292"/>
                          </w:rPr>
                          <w:t> </w:t>
                        </w:r>
                        <w:r>
                          <w:rPr>
                            <w:sz w:val="16"/>
                            <w:u w:val="dotted" w:color="929292"/>
                          </w:rPr>
                          <w:t>1971</w:t>
                        </w:r>
                        <w:r>
                          <w:rPr>
                            <w:spacing w:val="-13"/>
                            <w:sz w:val="16"/>
                            <w:u w:val="dotted" w:color="929292"/>
                          </w:rPr>
                          <w:t> </w:t>
                        </w:r>
                        <w:r>
                          <w:rPr>
                            <w:sz w:val="16"/>
                            <w:u w:val="dotted" w:color="929292"/>
                          </w:rPr>
                          <w:t>y</w:t>
                        </w:r>
                        <w:r>
                          <w:rPr>
                            <w:spacing w:val="-13"/>
                            <w:sz w:val="16"/>
                            <w:u w:val="dotted" w:color="929292"/>
                          </w:rPr>
                          <w:t> </w:t>
                        </w:r>
                        <w:r>
                          <w:rPr>
                            <w:sz w:val="16"/>
                            <w:u w:val="dotted" w:color="929292"/>
                          </w:rPr>
                          <w:t>1985</w:t>
                          <w:tab/>
                        </w:r>
                      </w:p>
                      <w:p>
                        <w:pPr>
                          <w:pStyle w:val="TableParagraph"/>
                          <w:tabs>
                            <w:tab w:pos="2400" w:val="left" w:leader="none"/>
                          </w:tabs>
                          <w:spacing w:line="154" w:lineRule="exact"/>
                          <w:ind w:left="24"/>
                          <w:rPr>
                            <w:sz w:val="16"/>
                          </w:rPr>
                        </w:pPr>
                        <w:r>
                          <w:rPr>
                            <w:w w:val="100"/>
                            <w:sz w:val="16"/>
                            <w:u w:val="dotted" w:color="929292"/>
                          </w:rPr>
                          <w:t> </w:t>
                        </w:r>
                        <w:r>
                          <w:rPr>
                            <w:spacing w:val="-11"/>
                            <w:sz w:val="16"/>
                            <w:u w:val="dotted" w:color="929292"/>
                          </w:rPr>
                          <w:t> </w:t>
                        </w:r>
                        <w:r>
                          <w:rPr>
                            <w:sz w:val="16"/>
                            <w:u w:val="dotted" w:color="929292"/>
                          </w:rPr>
                          <w:t>Entre</w:t>
                        </w:r>
                        <w:r>
                          <w:rPr>
                            <w:spacing w:val="-13"/>
                            <w:sz w:val="16"/>
                            <w:u w:val="dotted" w:color="929292"/>
                          </w:rPr>
                          <w:t> </w:t>
                        </w:r>
                        <w:r>
                          <w:rPr>
                            <w:sz w:val="16"/>
                            <w:u w:val="dotted" w:color="929292"/>
                          </w:rPr>
                          <w:t>1986</w:t>
                        </w:r>
                        <w:r>
                          <w:rPr>
                            <w:spacing w:val="-13"/>
                            <w:sz w:val="16"/>
                            <w:u w:val="dotted" w:color="929292"/>
                          </w:rPr>
                          <w:t> </w:t>
                        </w:r>
                        <w:r>
                          <w:rPr>
                            <w:sz w:val="16"/>
                            <w:u w:val="dotted" w:color="929292"/>
                          </w:rPr>
                          <w:t>y</w:t>
                        </w:r>
                        <w:r>
                          <w:rPr>
                            <w:spacing w:val="-13"/>
                            <w:sz w:val="16"/>
                            <w:u w:val="dotted" w:color="929292"/>
                          </w:rPr>
                          <w:t> </w:t>
                        </w:r>
                        <w:r>
                          <w:rPr>
                            <w:sz w:val="16"/>
                            <w:u w:val="dotted" w:color="929292"/>
                          </w:rPr>
                          <w:t>2000</w:t>
                          <w:tab/>
                        </w:r>
                      </w:p>
                      <w:p>
                        <w:pPr>
                          <w:pStyle w:val="TableParagraph"/>
                          <w:tabs>
                            <w:tab w:pos="2400" w:val="left" w:leader="none"/>
                          </w:tabs>
                          <w:spacing w:line="177" w:lineRule="exact"/>
                          <w:ind w:left="24"/>
                          <w:rPr>
                            <w:sz w:val="16"/>
                          </w:rPr>
                        </w:pPr>
                        <w:r>
                          <w:rPr>
                            <w:w w:val="100"/>
                            <w:sz w:val="16"/>
                            <w:u w:val="dotted" w:color="929292"/>
                          </w:rPr>
                          <w:t> </w:t>
                        </w:r>
                        <w:r>
                          <w:rPr>
                            <w:spacing w:val="-11"/>
                            <w:sz w:val="16"/>
                            <w:u w:val="dotted" w:color="929292"/>
                          </w:rPr>
                          <w:t> </w:t>
                        </w:r>
                        <w:r>
                          <w:rPr>
                            <w:sz w:val="16"/>
                            <w:u w:val="dotted" w:color="929292"/>
                          </w:rPr>
                          <w:t>Entre</w:t>
                        </w:r>
                        <w:r>
                          <w:rPr>
                            <w:spacing w:val="-13"/>
                            <w:sz w:val="16"/>
                            <w:u w:val="dotted" w:color="929292"/>
                          </w:rPr>
                          <w:t> </w:t>
                        </w:r>
                        <w:r>
                          <w:rPr>
                            <w:sz w:val="16"/>
                            <w:u w:val="dotted" w:color="929292"/>
                          </w:rPr>
                          <w:t>2001</w:t>
                        </w:r>
                        <w:r>
                          <w:rPr>
                            <w:spacing w:val="-13"/>
                            <w:sz w:val="16"/>
                            <w:u w:val="dotted" w:color="929292"/>
                          </w:rPr>
                          <w:t> </w:t>
                        </w:r>
                        <w:r>
                          <w:rPr>
                            <w:sz w:val="16"/>
                            <w:u w:val="dotted" w:color="929292"/>
                          </w:rPr>
                          <w:t>y</w:t>
                        </w:r>
                        <w:r>
                          <w:rPr>
                            <w:spacing w:val="-13"/>
                            <w:sz w:val="16"/>
                            <w:u w:val="dotted" w:color="929292"/>
                          </w:rPr>
                          <w:t> </w:t>
                        </w:r>
                        <w:r>
                          <w:rPr>
                            <w:sz w:val="16"/>
                            <w:u w:val="dotted" w:color="929292"/>
                          </w:rPr>
                          <w:t>2015</w:t>
                          <w:tab/>
                        </w:r>
                      </w:p>
                      <w:p>
                        <w:pPr>
                          <w:pStyle w:val="TableParagraph"/>
                          <w:rPr>
                            <w:sz w:val="16"/>
                          </w:rPr>
                        </w:pPr>
                      </w:p>
                      <w:p>
                        <w:pPr>
                          <w:pStyle w:val="TableParagraph"/>
                          <w:spacing w:before="94"/>
                          <w:ind w:left="103"/>
                          <w:rPr>
                            <w:sz w:val="16"/>
                          </w:rPr>
                        </w:pPr>
                        <w:r>
                          <w:rPr>
                            <w:sz w:val="16"/>
                          </w:rPr>
                          <w:t>Bueno</w:t>
                        </w:r>
                      </w:p>
                      <w:p>
                        <w:pPr>
                          <w:pStyle w:val="TableParagraph"/>
                          <w:tabs>
                            <w:tab w:pos="2400" w:val="left" w:leader="none"/>
                          </w:tabs>
                          <w:spacing w:line="161" w:lineRule="exact" w:before="116"/>
                          <w:ind w:left="24"/>
                          <w:rPr>
                            <w:sz w:val="16"/>
                          </w:rPr>
                        </w:pPr>
                        <w:r>
                          <w:rPr>
                            <w:w w:val="100"/>
                            <w:sz w:val="16"/>
                            <w:u w:val="dotted" w:color="929292"/>
                          </w:rPr>
                          <w:t> </w:t>
                        </w:r>
                        <w:r>
                          <w:rPr>
                            <w:sz w:val="16"/>
                            <w:u w:val="dotted" w:color="929292"/>
                          </w:rPr>
                          <w:tab/>
                        </w:r>
                      </w:p>
                      <w:p>
                        <w:pPr>
                          <w:pStyle w:val="TableParagraph"/>
                          <w:tabs>
                            <w:tab w:pos="2400" w:val="left" w:leader="none"/>
                          </w:tabs>
                          <w:spacing w:line="160" w:lineRule="exact"/>
                          <w:ind w:left="24"/>
                          <w:rPr>
                            <w:sz w:val="16"/>
                          </w:rPr>
                        </w:pPr>
                        <w:r>
                          <w:rPr>
                            <w:w w:val="100"/>
                            <w:sz w:val="16"/>
                            <w:u w:val="dotted" w:color="929292"/>
                          </w:rPr>
                          <w:t> </w:t>
                        </w:r>
                        <w:r>
                          <w:rPr>
                            <w:spacing w:val="-11"/>
                            <w:sz w:val="16"/>
                            <w:u w:val="dotted" w:color="929292"/>
                          </w:rPr>
                          <w:t> </w:t>
                        </w:r>
                        <w:r>
                          <w:rPr>
                            <w:sz w:val="16"/>
                            <w:u w:val="dotted" w:color="929292"/>
                          </w:rPr>
                          <w:t>Aceptable</w:t>
                          <w:tab/>
                        </w:r>
                      </w:p>
                      <w:p>
                        <w:pPr>
                          <w:pStyle w:val="TableParagraph"/>
                          <w:spacing w:line="183" w:lineRule="exact"/>
                          <w:ind w:left="102"/>
                          <w:rPr>
                            <w:sz w:val="16"/>
                          </w:rPr>
                        </w:pPr>
                        <w:r>
                          <w:rPr>
                            <w:sz w:val="16"/>
                          </w:rPr>
                          <w:t>Regular</w:t>
                        </w:r>
                      </w:p>
                    </w:tc>
                    <w:tc>
                      <w:tcPr>
                        <w:tcW w:w="1328" w:type="dxa"/>
                        <w:tcBorders>
                          <w:right w:val="nil"/>
                        </w:tcBorders>
                      </w:tcPr>
                      <w:p>
                        <w:pPr>
                          <w:pStyle w:val="TableParagraph"/>
                          <w:tabs>
                            <w:tab w:pos="1322" w:val="left" w:leader="none"/>
                          </w:tabs>
                          <w:spacing w:line="145" w:lineRule="exact"/>
                          <w:ind w:left="24"/>
                          <w:rPr>
                            <w:sz w:val="18"/>
                          </w:rPr>
                        </w:pPr>
                        <w:r>
                          <w:rPr>
                            <w:w w:val="100"/>
                            <w:sz w:val="18"/>
                            <w:u w:val="dotted" w:color="929292"/>
                          </w:rPr>
                          <w:t> </w:t>
                        </w:r>
                        <w:r>
                          <w:rPr>
                            <w:spacing w:val="-22"/>
                            <w:sz w:val="18"/>
                            <w:u w:val="dotted" w:color="929292"/>
                          </w:rPr>
                          <w:t> </w:t>
                        </w:r>
                        <w:r>
                          <w:rPr>
                            <w:sz w:val="18"/>
                            <w:u w:val="dotted" w:color="929292"/>
                          </w:rPr>
                          <w:t>5</w:t>
                          <w:tab/>
                        </w:r>
                      </w:p>
                      <w:p>
                        <w:pPr>
                          <w:pStyle w:val="TableParagraph"/>
                          <w:tabs>
                            <w:tab w:pos="1322" w:val="left" w:leader="none"/>
                          </w:tabs>
                          <w:spacing w:line="154" w:lineRule="exact"/>
                          <w:ind w:left="24"/>
                          <w:rPr>
                            <w:sz w:val="18"/>
                          </w:rPr>
                        </w:pPr>
                        <w:r>
                          <w:rPr>
                            <w:w w:val="100"/>
                            <w:sz w:val="18"/>
                            <w:u w:val="dotted" w:color="929292"/>
                          </w:rPr>
                          <w:t> </w:t>
                        </w:r>
                        <w:r>
                          <w:rPr>
                            <w:spacing w:val="-22"/>
                            <w:sz w:val="18"/>
                            <w:u w:val="dotted" w:color="929292"/>
                          </w:rPr>
                          <w:t> </w:t>
                        </w:r>
                        <w:r>
                          <w:rPr>
                            <w:sz w:val="18"/>
                            <w:u w:val="dotted" w:color="929292"/>
                          </w:rPr>
                          <w:t>1</w:t>
                          <w:tab/>
                        </w:r>
                      </w:p>
                      <w:p>
                        <w:pPr>
                          <w:pStyle w:val="TableParagraph"/>
                          <w:tabs>
                            <w:tab w:pos="1322" w:val="left" w:leader="none"/>
                          </w:tabs>
                          <w:spacing w:line="188" w:lineRule="exact"/>
                          <w:ind w:left="24"/>
                          <w:rPr>
                            <w:sz w:val="18"/>
                          </w:rPr>
                        </w:pPr>
                        <w:r>
                          <w:rPr>
                            <w:w w:val="100"/>
                            <w:sz w:val="18"/>
                            <w:u w:val="dotted" w:color="929292"/>
                          </w:rPr>
                          <w:t> </w:t>
                        </w:r>
                        <w:r>
                          <w:rPr>
                            <w:spacing w:val="-22"/>
                            <w:sz w:val="18"/>
                            <w:u w:val="dotted" w:color="929292"/>
                          </w:rPr>
                          <w:t> </w:t>
                        </w:r>
                        <w:r>
                          <w:rPr>
                            <w:sz w:val="18"/>
                            <w:u w:val="dotted" w:color="929292"/>
                          </w:rPr>
                          <w:t>0</w:t>
                          <w:tab/>
                        </w:r>
                      </w:p>
                      <w:p>
                        <w:pPr>
                          <w:pStyle w:val="TableParagraph"/>
                          <w:spacing w:before="2"/>
                          <w:rPr>
                            <w:sz w:val="22"/>
                          </w:rPr>
                        </w:pPr>
                      </w:p>
                      <w:p>
                        <w:pPr>
                          <w:pStyle w:val="TableParagraph"/>
                          <w:ind w:left="102"/>
                          <w:rPr>
                            <w:sz w:val="18"/>
                          </w:rPr>
                        </w:pPr>
                        <w:r>
                          <w:rPr>
                            <w:w w:val="99"/>
                            <w:sz w:val="18"/>
                          </w:rPr>
                          <w:t>0</w:t>
                        </w:r>
                      </w:p>
                      <w:p>
                        <w:pPr>
                          <w:pStyle w:val="TableParagraph"/>
                          <w:tabs>
                            <w:tab w:pos="1322" w:val="left" w:leader="none"/>
                          </w:tabs>
                          <w:spacing w:line="155" w:lineRule="exact" w:before="104"/>
                          <w:ind w:left="24"/>
                          <w:rPr>
                            <w:sz w:val="16"/>
                          </w:rPr>
                        </w:pPr>
                        <w:r>
                          <w:rPr>
                            <w:w w:val="100"/>
                            <w:sz w:val="16"/>
                            <w:u w:val="dotted" w:color="929292"/>
                          </w:rPr>
                          <w:t> </w:t>
                        </w:r>
                        <w:r>
                          <w:rPr>
                            <w:sz w:val="16"/>
                            <w:u w:val="dotted" w:color="929292"/>
                          </w:rPr>
                          <w:tab/>
                        </w:r>
                      </w:p>
                      <w:p>
                        <w:pPr>
                          <w:pStyle w:val="TableParagraph"/>
                          <w:tabs>
                            <w:tab w:pos="1322" w:val="left" w:leader="none"/>
                          </w:tabs>
                          <w:spacing w:line="166" w:lineRule="exact"/>
                          <w:ind w:left="24"/>
                          <w:rPr>
                            <w:sz w:val="18"/>
                          </w:rPr>
                        </w:pPr>
                        <w:r>
                          <w:rPr>
                            <w:w w:val="100"/>
                            <w:sz w:val="18"/>
                            <w:u w:val="dotted" w:color="929292"/>
                          </w:rPr>
                          <w:t> </w:t>
                        </w:r>
                        <w:r>
                          <w:rPr>
                            <w:spacing w:val="-22"/>
                            <w:sz w:val="18"/>
                            <w:u w:val="dotted" w:color="929292"/>
                          </w:rPr>
                          <w:t> </w:t>
                        </w:r>
                        <w:r>
                          <w:rPr>
                            <w:sz w:val="18"/>
                            <w:u w:val="dotted" w:color="929292"/>
                          </w:rPr>
                          <w:t>1</w:t>
                          <w:tab/>
                        </w:r>
                      </w:p>
                      <w:p>
                        <w:pPr>
                          <w:pStyle w:val="TableParagraph"/>
                          <w:spacing w:line="194" w:lineRule="exact"/>
                          <w:ind w:left="102"/>
                          <w:rPr>
                            <w:sz w:val="18"/>
                          </w:rPr>
                        </w:pPr>
                        <w:r>
                          <w:rPr>
                            <w:w w:val="99"/>
                            <w:sz w:val="18"/>
                          </w:rPr>
                          <w:t>5</w:t>
                        </w:r>
                      </w:p>
                    </w:tc>
                  </w:tr>
                  <w:tr>
                    <w:trPr>
                      <w:trHeight w:val="3720" w:hRule="exact"/>
                    </w:trPr>
                    <w:tc>
                      <w:tcPr>
                        <w:tcW w:w="3907" w:type="dxa"/>
                        <w:gridSpan w:val="3"/>
                        <w:vMerge/>
                        <w:tcBorders>
                          <w:left w:val="nil"/>
                          <w:bottom w:val="single" w:sz="18" w:space="0" w:color="FFFFFF"/>
                        </w:tcBorders>
                      </w:tcPr>
                      <w:p>
                        <w:pPr/>
                      </w:p>
                    </w:tc>
                    <w:tc>
                      <w:tcPr>
                        <w:tcW w:w="2421" w:type="dxa"/>
                        <w:tcBorders>
                          <w:bottom w:val="single" w:sz="18"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z w:val="16"/>
                            <w:u w:val="dotted" w:color="929292"/>
                          </w:rPr>
                          <w:t>Malo</w:t>
                          <w:tab/>
                        </w:r>
                      </w:p>
                      <w:p>
                        <w:pPr>
                          <w:pStyle w:val="TableParagraph"/>
                          <w:spacing w:before="9"/>
                          <w:rPr>
                            <w:sz w:val="12"/>
                          </w:rPr>
                        </w:pPr>
                      </w:p>
                      <w:p>
                        <w:pPr>
                          <w:pStyle w:val="TableParagraph"/>
                          <w:ind w:left="103"/>
                          <w:rPr>
                            <w:sz w:val="16"/>
                          </w:rPr>
                        </w:pPr>
                        <w:r>
                          <w:rPr>
                            <w:sz w:val="16"/>
                          </w:rPr>
                          <w:t>Firme, seco</w:t>
                        </w:r>
                      </w:p>
                      <w:p>
                        <w:pPr>
                          <w:pStyle w:val="TableParagraph"/>
                          <w:tabs>
                            <w:tab w:pos="2400" w:val="left" w:leader="none"/>
                          </w:tabs>
                          <w:spacing w:line="177" w:lineRule="exact" w:before="16"/>
                          <w:ind w:left="24"/>
                          <w:rPr>
                            <w:sz w:val="16"/>
                          </w:rPr>
                        </w:pPr>
                        <w:r>
                          <w:rPr>
                            <w:w w:val="100"/>
                            <w:sz w:val="16"/>
                            <w:u w:val="dotted" w:color="929292"/>
                          </w:rPr>
                          <w:t> </w:t>
                        </w:r>
                        <w:r>
                          <w:rPr>
                            <w:sz w:val="16"/>
                            <w:u w:val="dotted" w:color="929292"/>
                          </w:rPr>
                          <w:tab/>
                        </w:r>
                      </w:p>
                      <w:p>
                        <w:pPr>
                          <w:pStyle w:val="TableParagraph"/>
                          <w:tabs>
                            <w:tab w:pos="2400" w:val="left" w:leader="none"/>
                          </w:tabs>
                          <w:spacing w:line="173" w:lineRule="exact"/>
                          <w:ind w:left="24"/>
                          <w:rPr>
                            <w:sz w:val="16"/>
                          </w:rPr>
                        </w:pPr>
                        <w:r>
                          <w:rPr>
                            <w:w w:val="100"/>
                            <w:sz w:val="16"/>
                            <w:u w:val="dotted" w:color="929292"/>
                          </w:rPr>
                          <w:t> </w:t>
                        </w:r>
                        <w:r>
                          <w:rPr>
                            <w:spacing w:val="-11"/>
                            <w:sz w:val="16"/>
                            <w:u w:val="dotted" w:color="929292"/>
                          </w:rPr>
                          <w:t> </w:t>
                        </w:r>
                        <w:r>
                          <w:rPr>
                            <w:sz w:val="16"/>
                            <w:u w:val="dotted" w:color="929292"/>
                          </w:rPr>
                          <w:t>Inundable</w:t>
                          <w:tab/>
                        </w:r>
                      </w:p>
                      <w:p>
                        <w:pPr>
                          <w:pStyle w:val="TableParagraph"/>
                          <w:tabs>
                            <w:tab w:pos="2400"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Ciénega</w:t>
                          <w:tab/>
                        </w:r>
                      </w:p>
                      <w:p>
                        <w:pPr>
                          <w:pStyle w:val="TableParagraph"/>
                          <w:tabs>
                            <w:tab w:pos="2400" w:val="left" w:leader="none"/>
                          </w:tabs>
                          <w:spacing w:line="175" w:lineRule="exact"/>
                          <w:ind w:left="24"/>
                          <w:rPr>
                            <w:sz w:val="16"/>
                          </w:rPr>
                        </w:pPr>
                        <w:r>
                          <w:rPr>
                            <w:w w:val="100"/>
                            <w:sz w:val="16"/>
                            <w:u w:val="dotted" w:color="929292"/>
                          </w:rPr>
                          <w:t> </w:t>
                        </w:r>
                        <w:r>
                          <w:rPr>
                            <w:spacing w:val="-11"/>
                            <w:sz w:val="16"/>
                            <w:u w:val="dotted" w:color="929292"/>
                          </w:rPr>
                          <w:t> </w:t>
                        </w:r>
                        <w:r>
                          <w:rPr>
                            <w:sz w:val="16"/>
                            <w:u w:val="dotted" w:color="929292"/>
                          </w:rPr>
                          <w:t>Húmedo, blando,</w:t>
                        </w:r>
                        <w:r>
                          <w:rPr>
                            <w:spacing w:val="-27"/>
                            <w:sz w:val="16"/>
                            <w:u w:val="dotted" w:color="929292"/>
                          </w:rPr>
                          <w:t> </w:t>
                        </w:r>
                        <w:r>
                          <w:rPr>
                            <w:sz w:val="16"/>
                            <w:u w:val="dotted" w:color="929292"/>
                          </w:rPr>
                          <w:t>relleno</w:t>
                          <w:tab/>
                        </w:r>
                      </w:p>
                      <w:p>
                        <w:pPr>
                          <w:pStyle w:val="TableParagraph"/>
                          <w:rPr>
                            <w:sz w:val="16"/>
                          </w:rPr>
                        </w:pPr>
                      </w:p>
                      <w:p>
                        <w:pPr>
                          <w:pStyle w:val="TableParagraph"/>
                          <w:spacing w:before="6"/>
                          <w:rPr>
                            <w:sz w:val="16"/>
                          </w:rPr>
                        </w:pPr>
                      </w:p>
                      <w:p>
                        <w:pPr>
                          <w:pStyle w:val="TableParagraph"/>
                          <w:ind w:left="103"/>
                          <w:rPr>
                            <w:sz w:val="16"/>
                          </w:rPr>
                        </w:pPr>
                        <w:r>
                          <w:rPr>
                            <w:sz w:val="16"/>
                          </w:rPr>
                          <w:t>A nivel, terreno plano</w:t>
                        </w:r>
                      </w:p>
                      <w:p>
                        <w:pPr>
                          <w:pStyle w:val="TableParagraph"/>
                          <w:spacing w:before="9"/>
                          <w:rPr>
                            <w:sz w:val="18"/>
                          </w:rPr>
                        </w:pPr>
                      </w:p>
                      <w:p>
                        <w:pPr>
                          <w:pStyle w:val="TableParagraph"/>
                          <w:tabs>
                            <w:tab w:pos="2400" w:val="left" w:leader="none"/>
                          </w:tabs>
                          <w:spacing w:line="172" w:lineRule="exact"/>
                          <w:ind w:left="24"/>
                          <w:rPr>
                            <w:sz w:val="16"/>
                          </w:rPr>
                        </w:pPr>
                        <w:r>
                          <w:rPr>
                            <w:w w:val="100"/>
                            <w:sz w:val="16"/>
                            <w:u w:val="dotted" w:color="929292"/>
                          </w:rPr>
                          <w:t> </w:t>
                        </w:r>
                        <w:r>
                          <w:rPr>
                            <w:sz w:val="16"/>
                            <w:u w:val="dotted" w:color="929292"/>
                          </w:rPr>
                          <w:tab/>
                        </w:r>
                      </w:p>
                      <w:p>
                        <w:pPr>
                          <w:pStyle w:val="TableParagraph"/>
                          <w:tabs>
                            <w:tab w:pos="2400" w:val="left" w:leader="none"/>
                          </w:tabs>
                          <w:spacing w:line="164" w:lineRule="exact"/>
                          <w:ind w:left="24"/>
                          <w:rPr>
                            <w:sz w:val="16"/>
                          </w:rPr>
                        </w:pPr>
                        <w:r>
                          <w:rPr>
                            <w:w w:val="100"/>
                            <w:sz w:val="16"/>
                            <w:u w:val="dotted" w:color="929292"/>
                          </w:rPr>
                          <w:t> </w:t>
                        </w:r>
                        <w:r>
                          <w:rPr>
                            <w:spacing w:val="-11"/>
                            <w:sz w:val="16"/>
                            <w:u w:val="dotted" w:color="929292"/>
                          </w:rPr>
                          <w:t> </w:t>
                        </w:r>
                        <w:r>
                          <w:rPr>
                            <w:sz w:val="16"/>
                            <w:u w:val="dotted" w:color="929292"/>
                          </w:rPr>
                          <w:t>Bajo nivel</w:t>
                        </w:r>
                        <w:r>
                          <w:rPr>
                            <w:spacing w:val="-35"/>
                            <w:sz w:val="16"/>
                            <w:u w:val="dotted" w:color="929292"/>
                          </w:rPr>
                          <w:t> </w:t>
                        </w:r>
                        <w:r>
                          <w:rPr>
                            <w:sz w:val="16"/>
                            <w:u w:val="dotted" w:color="929292"/>
                          </w:rPr>
                          <w:t>calzada</w:t>
                          <w:tab/>
                        </w:r>
                      </w:p>
                      <w:p>
                        <w:pPr>
                          <w:pStyle w:val="TableParagraph"/>
                          <w:tabs>
                            <w:tab w:pos="2400" w:val="left" w:leader="none"/>
                          </w:tabs>
                          <w:spacing w:line="166" w:lineRule="exact"/>
                          <w:ind w:left="24"/>
                          <w:rPr>
                            <w:sz w:val="16"/>
                          </w:rPr>
                        </w:pPr>
                        <w:r>
                          <w:rPr>
                            <w:w w:val="100"/>
                            <w:sz w:val="16"/>
                            <w:u w:val="dotted" w:color="929292"/>
                          </w:rPr>
                          <w:t> </w:t>
                        </w:r>
                        <w:r>
                          <w:rPr>
                            <w:spacing w:val="-11"/>
                            <w:sz w:val="16"/>
                            <w:u w:val="dotted" w:color="929292"/>
                          </w:rPr>
                          <w:t> </w:t>
                        </w:r>
                        <w:r>
                          <w:rPr>
                            <w:sz w:val="16"/>
                            <w:u w:val="dotted" w:color="929292"/>
                          </w:rPr>
                          <w:t>Sobre</w:t>
                        </w:r>
                        <w:r>
                          <w:rPr>
                            <w:spacing w:val="-16"/>
                            <w:sz w:val="16"/>
                            <w:u w:val="dotted" w:color="929292"/>
                          </w:rPr>
                          <w:t> </w:t>
                        </w:r>
                        <w:r>
                          <w:rPr>
                            <w:sz w:val="16"/>
                            <w:u w:val="dotted" w:color="929292"/>
                          </w:rPr>
                          <w:t>el</w:t>
                        </w:r>
                        <w:r>
                          <w:rPr>
                            <w:spacing w:val="-16"/>
                            <w:sz w:val="16"/>
                            <w:u w:val="dotted" w:color="929292"/>
                          </w:rPr>
                          <w:t> </w:t>
                        </w:r>
                        <w:r>
                          <w:rPr>
                            <w:sz w:val="16"/>
                            <w:u w:val="dotted" w:color="929292"/>
                          </w:rPr>
                          <w:t>nivel</w:t>
                        </w:r>
                        <w:r>
                          <w:rPr>
                            <w:spacing w:val="-16"/>
                            <w:sz w:val="16"/>
                            <w:u w:val="dotted" w:color="929292"/>
                          </w:rPr>
                          <w:t> </w:t>
                        </w:r>
                        <w:r>
                          <w:rPr>
                            <w:sz w:val="16"/>
                            <w:u w:val="dotted" w:color="929292"/>
                          </w:rPr>
                          <w:t>calzada</w:t>
                          <w:tab/>
                        </w:r>
                      </w:p>
                      <w:p>
                        <w:pPr>
                          <w:pStyle w:val="TableParagraph"/>
                          <w:tabs>
                            <w:tab w:pos="2400" w:val="left" w:leader="none"/>
                          </w:tabs>
                          <w:spacing w:line="174" w:lineRule="exact"/>
                          <w:ind w:left="24"/>
                          <w:rPr>
                            <w:sz w:val="16"/>
                          </w:rPr>
                        </w:pPr>
                        <w:r>
                          <w:rPr>
                            <w:w w:val="100"/>
                            <w:sz w:val="16"/>
                            <w:u w:val="dotted" w:color="929292"/>
                          </w:rPr>
                          <w:t> </w:t>
                        </w:r>
                        <w:r>
                          <w:rPr>
                            <w:spacing w:val="-11"/>
                            <w:sz w:val="16"/>
                            <w:u w:val="dotted" w:color="929292"/>
                          </w:rPr>
                          <w:t> </w:t>
                        </w:r>
                        <w:r>
                          <w:rPr>
                            <w:sz w:val="16"/>
                            <w:u w:val="dotted" w:color="929292"/>
                          </w:rPr>
                          <w:t>Escarpe positivo o</w:t>
                        </w:r>
                        <w:r>
                          <w:rPr>
                            <w:spacing w:val="-30"/>
                            <w:sz w:val="16"/>
                            <w:u w:val="dotted" w:color="929292"/>
                          </w:rPr>
                          <w:t> </w:t>
                        </w:r>
                        <w:r>
                          <w:rPr>
                            <w:sz w:val="16"/>
                            <w:u w:val="dotted" w:color="929292"/>
                          </w:rPr>
                          <w:t>negativo</w:t>
                          <w:tab/>
                        </w:r>
                      </w:p>
                      <w:p>
                        <w:pPr>
                          <w:pStyle w:val="TableParagraph"/>
                          <w:spacing w:before="8"/>
                          <w:rPr>
                            <w:sz w:val="23"/>
                          </w:rPr>
                        </w:pPr>
                      </w:p>
                      <w:p>
                        <w:pPr>
                          <w:pStyle w:val="TableParagraph"/>
                          <w:ind w:left="103"/>
                          <w:rPr>
                            <w:sz w:val="16"/>
                          </w:rPr>
                        </w:pPr>
                        <w:r>
                          <w:rPr>
                            <w:sz w:val="16"/>
                          </w:rPr>
                          <w:t>Regular</w:t>
                        </w:r>
                      </w:p>
                      <w:p>
                        <w:pPr>
                          <w:pStyle w:val="TableParagraph"/>
                          <w:tabs>
                            <w:tab w:pos="2400" w:val="left" w:leader="none"/>
                          </w:tabs>
                          <w:spacing w:line="158" w:lineRule="exact" w:before="116"/>
                          <w:ind w:left="24"/>
                          <w:rPr>
                            <w:sz w:val="16"/>
                          </w:rPr>
                        </w:pPr>
                        <w:r>
                          <w:rPr>
                            <w:w w:val="100"/>
                            <w:sz w:val="16"/>
                            <w:u w:val="dotted" w:color="929292"/>
                          </w:rPr>
                          <w:t> </w:t>
                        </w:r>
                        <w:r>
                          <w:rPr>
                            <w:sz w:val="16"/>
                            <w:u w:val="dotted" w:color="929292"/>
                          </w:rPr>
                          <w:tab/>
                        </w:r>
                      </w:p>
                      <w:p>
                        <w:pPr>
                          <w:pStyle w:val="TableParagraph"/>
                          <w:tabs>
                            <w:tab w:pos="2400" w:val="left" w:leader="none"/>
                          </w:tabs>
                          <w:spacing w:line="152" w:lineRule="exact"/>
                          <w:ind w:left="24"/>
                          <w:rPr>
                            <w:sz w:val="16"/>
                          </w:rPr>
                        </w:pPr>
                        <w:r>
                          <w:rPr>
                            <w:w w:val="100"/>
                            <w:sz w:val="16"/>
                            <w:u w:val="dotted" w:color="929292"/>
                          </w:rPr>
                          <w:t> </w:t>
                        </w:r>
                        <w:r>
                          <w:rPr>
                            <w:spacing w:val="-11"/>
                            <w:sz w:val="16"/>
                            <w:u w:val="dotted" w:color="929292"/>
                          </w:rPr>
                          <w:t> </w:t>
                        </w:r>
                        <w:r>
                          <w:rPr>
                            <w:sz w:val="16"/>
                            <w:u w:val="dotted" w:color="929292"/>
                          </w:rPr>
                          <w:t>Irregular</w:t>
                          <w:tab/>
                        </w:r>
                      </w:p>
                      <w:p>
                        <w:pPr>
                          <w:pStyle w:val="TableParagraph"/>
                          <w:tabs>
                            <w:tab w:pos="2400" w:val="left" w:leader="none"/>
                          </w:tabs>
                          <w:spacing w:line="178" w:lineRule="exact"/>
                          <w:ind w:left="24"/>
                          <w:rPr>
                            <w:sz w:val="16"/>
                          </w:rPr>
                        </w:pPr>
                        <w:r>
                          <w:rPr>
                            <w:w w:val="100"/>
                            <w:sz w:val="16"/>
                            <w:u w:val="dotted" w:color="929292"/>
                          </w:rPr>
                          <w:t> </w:t>
                        </w:r>
                        <w:r>
                          <w:rPr>
                            <w:spacing w:val="-11"/>
                            <w:sz w:val="16"/>
                            <w:u w:val="dotted" w:color="929292"/>
                          </w:rPr>
                          <w:t> </w:t>
                        </w:r>
                        <w:r>
                          <w:rPr>
                            <w:spacing w:val="-1"/>
                            <w:w w:val="95"/>
                            <w:sz w:val="16"/>
                            <w:u w:val="dotted" w:color="929292"/>
                          </w:rPr>
                          <w:t>Irregularidad</w:t>
                        </w:r>
                        <w:r>
                          <w:rPr>
                            <w:spacing w:val="39"/>
                            <w:w w:val="95"/>
                            <w:sz w:val="16"/>
                            <w:u w:val="dotted" w:color="929292"/>
                          </w:rPr>
                          <w:t> </w:t>
                        </w:r>
                        <w:r>
                          <w:rPr>
                            <w:w w:val="95"/>
                            <w:sz w:val="16"/>
                            <w:u w:val="dotted" w:color="929292"/>
                          </w:rPr>
                          <w:t>severa</w:t>
                        </w:r>
                        <w:r>
                          <w:rPr>
                            <w:sz w:val="16"/>
                            <w:u w:val="dotted" w:color="929292"/>
                          </w:rPr>
                          <w:tab/>
                        </w:r>
                      </w:p>
                    </w:tc>
                    <w:tc>
                      <w:tcPr>
                        <w:tcW w:w="1328" w:type="dxa"/>
                        <w:tcBorders>
                          <w:bottom w:val="single" w:sz="18"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10</w:t>
                          <w:tab/>
                        </w:r>
                      </w:p>
                      <w:p>
                        <w:pPr>
                          <w:pStyle w:val="TableParagraph"/>
                          <w:spacing w:before="124"/>
                          <w:ind w:left="102"/>
                          <w:rPr>
                            <w:sz w:val="18"/>
                          </w:rPr>
                        </w:pPr>
                        <w:r>
                          <w:rPr>
                            <w:w w:val="99"/>
                            <w:sz w:val="18"/>
                          </w:rPr>
                          <w:t>0</w:t>
                        </w:r>
                      </w:p>
                      <w:p>
                        <w:pPr>
                          <w:pStyle w:val="TableParagraph"/>
                          <w:tabs>
                            <w:tab w:pos="1322" w:val="left" w:leader="none"/>
                          </w:tabs>
                          <w:spacing w:line="171" w:lineRule="exact" w:before="4"/>
                          <w:ind w:left="24"/>
                          <w:rPr>
                            <w:sz w:val="16"/>
                          </w:rPr>
                        </w:pPr>
                        <w:r>
                          <w:rPr>
                            <w:w w:val="100"/>
                            <w:sz w:val="16"/>
                            <w:u w:val="dotted" w:color="929292"/>
                          </w:rPr>
                          <w:t> </w:t>
                        </w:r>
                        <w:r>
                          <w:rPr>
                            <w:sz w:val="16"/>
                            <w:u w:val="dotted" w:color="929292"/>
                          </w:rPr>
                          <w:tab/>
                        </w:r>
                      </w:p>
                      <w:p>
                        <w:pPr>
                          <w:pStyle w:val="TableParagraph"/>
                          <w:tabs>
                            <w:tab w:pos="1322" w:val="left" w:leader="none"/>
                          </w:tabs>
                          <w:spacing w:line="179" w:lineRule="exact"/>
                          <w:ind w:left="24"/>
                          <w:rPr>
                            <w:sz w:val="18"/>
                          </w:rPr>
                        </w:pPr>
                        <w:r>
                          <w:rPr>
                            <w:w w:val="100"/>
                            <w:sz w:val="18"/>
                            <w:u w:val="dotted" w:color="929292"/>
                          </w:rPr>
                          <w:t> </w:t>
                        </w:r>
                        <w:r>
                          <w:rPr>
                            <w:spacing w:val="-22"/>
                            <w:sz w:val="18"/>
                            <w:u w:val="dotted" w:color="929292"/>
                          </w:rPr>
                          <w:t> </w:t>
                        </w:r>
                        <w:r>
                          <w:rPr>
                            <w:sz w:val="18"/>
                            <w:u w:val="dotted" w:color="929292"/>
                          </w:rPr>
                          <w:t>10</w:t>
                          <w:tab/>
                        </w:r>
                      </w:p>
                      <w:p>
                        <w:pPr>
                          <w:pStyle w:val="TableParagraph"/>
                          <w:tabs>
                            <w:tab w:pos="1322" w:val="left" w:leader="none"/>
                          </w:tabs>
                          <w:spacing w:line="171" w:lineRule="exact"/>
                          <w:ind w:left="24"/>
                          <w:rPr>
                            <w:sz w:val="18"/>
                          </w:rPr>
                        </w:pPr>
                        <w:r>
                          <w:rPr>
                            <w:w w:val="100"/>
                            <w:sz w:val="18"/>
                            <w:u w:val="dotted" w:color="929292"/>
                          </w:rPr>
                          <w:t> </w:t>
                        </w:r>
                        <w:r>
                          <w:rPr>
                            <w:spacing w:val="-22"/>
                            <w:sz w:val="18"/>
                            <w:u w:val="dotted" w:color="929292"/>
                          </w:rPr>
                          <w:t> </w:t>
                        </w:r>
                        <w:r>
                          <w:rPr>
                            <w:sz w:val="18"/>
                            <w:u w:val="dotted" w:color="929292"/>
                          </w:rPr>
                          <w:t>10</w:t>
                          <w:tab/>
                        </w:r>
                      </w:p>
                      <w:p>
                        <w:pPr>
                          <w:pStyle w:val="TableParagraph"/>
                          <w:tabs>
                            <w:tab w:pos="1322" w:val="left" w:leader="none"/>
                          </w:tabs>
                          <w:spacing w:line="186" w:lineRule="exact"/>
                          <w:ind w:left="24"/>
                          <w:rPr>
                            <w:sz w:val="18"/>
                          </w:rPr>
                        </w:pPr>
                        <w:r>
                          <w:rPr>
                            <w:w w:val="100"/>
                            <w:sz w:val="18"/>
                            <w:u w:val="dotted" w:color="929292"/>
                          </w:rPr>
                          <w:t> </w:t>
                        </w:r>
                        <w:r>
                          <w:rPr>
                            <w:spacing w:val="-22"/>
                            <w:sz w:val="18"/>
                            <w:u w:val="dotted" w:color="929292"/>
                          </w:rPr>
                          <w:t> </w:t>
                        </w:r>
                        <w:r>
                          <w:rPr>
                            <w:sz w:val="18"/>
                            <w:u w:val="dotted" w:color="929292"/>
                          </w:rPr>
                          <w:t>5</w:t>
                          <w:tab/>
                        </w:r>
                      </w:p>
                      <w:p>
                        <w:pPr>
                          <w:pStyle w:val="TableParagraph"/>
                          <w:rPr>
                            <w:sz w:val="18"/>
                          </w:rPr>
                        </w:pPr>
                      </w:p>
                      <w:p>
                        <w:pPr>
                          <w:pStyle w:val="TableParagraph"/>
                          <w:spacing w:before="144"/>
                          <w:ind w:left="102"/>
                          <w:rPr>
                            <w:sz w:val="18"/>
                          </w:rPr>
                        </w:pPr>
                        <w:r>
                          <w:rPr>
                            <w:w w:val="99"/>
                            <w:sz w:val="18"/>
                          </w:rPr>
                          <w:t>1</w:t>
                        </w:r>
                      </w:p>
                      <w:p>
                        <w:pPr>
                          <w:pStyle w:val="TableParagraph"/>
                          <w:spacing w:before="9"/>
                          <w:rPr>
                            <w:sz w:val="17"/>
                          </w:rPr>
                        </w:pPr>
                      </w:p>
                      <w:p>
                        <w:pPr>
                          <w:pStyle w:val="TableParagraph"/>
                          <w:tabs>
                            <w:tab w:pos="1322" w:val="left" w:leader="none"/>
                          </w:tabs>
                          <w:spacing w:line="166" w:lineRule="exact"/>
                          <w:ind w:left="24"/>
                          <w:rPr>
                            <w:sz w:val="16"/>
                          </w:rPr>
                        </w:pPr>
                        <w:r>
                          <w:rPr>
                            <w:w w:val="100"/>
                            <w:sz w:val="16"/>
                            <w:u w:val="dotted" w:color="929292"/>
                          </w:rPr>
                          <w:t> </w:t>
                        </w:r>
                        <w:r>
                          <w:rPr>
                            <w:sz w:val="16"/>
                            <w:u w:val="dotted" w:color="929292"/>
                          </w:rPr>
                          <w:tab/>
                        </w:r>
                      </w:p>
                      <w:p>
                        <w:pPr>
                          <w:pStyle w:val="TableParagraph"/>
                          <w:tabs>
                            <w:tab w:pos="1322" w:val="left" w:leader="none"/>
                          </w:tabs>
                          <w:spacing w:line="170" w:lineRule="exact"/>
                          <w:ind w:left="24"/>
                          <w:rPr>
                            <w:sz w:val="18"/>
                          </w:rPr>
                        </w:pPr>
                        <w:r>
                          <w:rPr>
                            <w:w w:val="100"/>
                            <w:sz w:val="18"/>
                            <w:u w:val="dotted" w:color="929292"/>
                          </w:rPr>
                          <w:t> </w:t>
                        </w:r>
                        <w:r>
                          <w:rPr>
                            <w:spacing w:val="-22"/>
                            <w:sz w:val="18"/>
                            <w:u w:val="dotted" w:color="929292"/>
                          </w:rPr>
                          <w:t> </w:t>
                        </w:r>
                        <w:r>
                          <w:rPr>
                            <w:sz w:val="18"/>
                            <w:u w:val="dotted" w:color="929292"/>
                          </w:rPr>
                          <w:t>10</w:t>
                          <w:tab/>
                        </w:r>
                      </w:p>
                      <w:p>
                        <w:pPr>
                          <w:pStyle w:val="TableParagraph"/>
                          <w:tabs>
                            <w:tab w:pos="1322" w:val="left" w:leader="none"/>
                          </w:tabs>
                          <w:spacing w:line="166" w:lineRule="exact"/>
                          <w:ind w:left="24"/>
                          <w:rPr>
                            <w:sz w:val="18"/>
                          </w:rPr>
                        </w:pPr>
                        <w:r>
                          <w:rPr>
                            <w:w w:val="100"/>
                            <w:sz w:val="18"/>
                            <w:u w:val="dotted" w:color="929292"/>
                          </w:rPr>
                          <w:t> </w:t>
                        </w:r>
                        <w:r>
                          <w:rPr>
                            <w:spacing w:val="-22"/>
                            <w:sz w:val="18"/>
                            <w:u w:val="dotted" w:color="929292"/>
                          </w:rPr>
                          <w:t> </w:t>
                        </w:r>
                        <w:r>
                          <w:rPr>
                            <w:sz w:val="18"/>
                            <w:u w:val="dotted" w:color="929292"/>
                          </w:rPr>
                          <w:t>1</w:t>
                          <w:tab/>
                        </w:r>
                      </w:p>
                      <w:p>
                        <w:pPr>
                          <w:pStyle w:val="TableParagraph"/>
                          <w:tabs>
                            <w:tab w:pos="1322" w:val="left" w:leader="none"/>
                          </w:tabs>
                          <w:spacing w:line="185" w:lineRule="exact"/>
                          <w:ind w:left="24"/>
                          <w:rPr>
                            <w:sz w:val="18"/>
                          </w:rPr>
                        </w:pPr>
                        <w:r>
                          <w:rPr>
                            <w:w w:val="100"/>
                            <w:sz w:val="18"/>
                            <w:u w:val="dotted" w:color="929292"/>
                          </w:rPr>
                          <w:t> </w:t>
                        </w:r>
                        <w:r>
                          <w:rPr>
                            <w:spacing w:val="-22"/>
                            <w:sz w:val="18"/>
                            <w:u w:val="dotted" w:color="929292"/>
                          </w:rPr>
                          <w:t> </w:t>
                        </w:r>
                        <w:r>
                          <w:rPr>
                            <w:sz w:val="18"/>
                            <w:u w:val="dotted" w:color="929292"/>
                          </w:rPr>
                          <w:t>10</w:t>
                          <w:tab/>
                        </w:r>
                      </w:p>
                      <w:p>
                        <w:pPr>
                          <w:pStyle w:val="TableParagraph"/>
                          <w:spacing w:before="8"/>
                          <w:rPr>
                            <w:sz w:val="21"/>
                          </w:rPr>
                        </w:pPr>
                      </w:p>
                      <w:p>
                        <w:pPr>
                          <w:pStyle w:val="TableParagraph"/>
                          <w:ind w:left="102"/>
                          <w:rPr>
                            <w:sz w:val="18"/>
                          </w:rPr>
                        </w:pPr>
                        <w:r>
                          <w:rPr>
                            <w:w w:val="99"/>
                            <w:sz w:val="18"/>
                          </w:rPr>
                          <w:t>0</w:t>
                        </w:r>
                      </w:p>
                      <w:p>
                        <w:pPr>
                          <w:pStyle w:val="TableParagraph"/>
                          <w:tabs>
                            <w:tab w:pos="1322" w:val="left" w:leader="none"/>
                          </w:tabs>
                          <w:spacing w:line="152" w:lineRule="exact" w:before="104"/>
                          <w:ind w:left="24"/>
                          <w:rPr>
                            <w:sz w:val="16"/>
                          </w:rPr>
                        </w:pPr>
                        <w:r>
                          <w:rPr>
                            <w:w w:val="100"/>
                            <w:sz w:val="16"/>
                            <w:u w:val="dotted" w:color="929292"/>
                          </w:rPr>
                          <w:t> </w:t>
                        </w:r>
                        <w:r>
                          <w:rPr>
                            <w:sz w:val="16"/>
                            <w:u w:val="dotted" w:color="929292"/>
                          </w:rPr>
                          <w:tab/>
                        </w:r>
                      </w:p>
                      <w:p>
                        <w:pPr>
                          <w:pStyle w:val="TableParagraph"/>
                          <w:tabs>
                            <w:tab w:pos="1322" w:val="left" w:leader="none"/>
                          </w:tabs>
                          <w:spacing w:line="158" w:lineRule="exact"/>
                          <w:ind w:left="24"/>
                          <w:rPr>
                            <w:sz w:val="18"/>
                          </w:rPr>
                        </w:pPr>
                        <w:r>
                          <w:rPr>
                            <w:w w:val="100"/>
                            <w:sz w:val="18"/>
                            <w:u w:val="dotted" w:color="929292"/>
                          </w:rPr>
                          <w:t> </w:t>
                        </w:r>
                        <w:r>
                          <w:rPr>
                            <w:spacing w:val="-22"/>
                            <w:sz w:val="18"/>
                            <w:u w:val="dotted" w:color="929292"/>
                          </w:rPr>
                          <w:t> </w:t>
                        </w:r>
                        <w:r>
                          <w:rPr>
                            <w:sz w:val="18"/>
                            <w:u w:val="dotted" w:color="929292"/>
                          </w:rPr>
                          <w:t>5</w:t>
                          <w:tab/>
                        </w:r>
                      </w:p>
                      <w:p>
                        <w:pPr>
                          <w:pStyle w:val="TableParagraph"/>
                          <w:tabs>
                            <w:tab w:pos="1322" w:val="left" w:leader="none"/>
                          </w:tabs>
                          <w:spacing w:line="190" w:lineRule="exact"/>
                          <w:ind w:left="24"/>
                          <w:rPr>
                            <w:sz w:val="18"/>
                          </w:rPr>
                        </w:pPr>
                        <w:r>
                          <w:rPr>
                            <w:w w:val="100"/>
                            <w:sz w:val="18"/>
                            <w:u w:val="dotted" w:color="929292"/>
                          </w:rPr>
                          <w:t> </w:t>
                        </w:r>
                        <w:r>
                          <w:rPr>
                            <w:spacing w:val="-22"/>
                            <w:sz w:val="18"/>
                            <w:u w:val="dotted" w:color="929292"/>
                          </w:rPr>
                          <w:t> </w:t>
                        </w:r>
                        <w:r>
                          <w:rPr>
                            <w:sz w:val="18"/>
                            <w:u w:val="dotted" w:color="929292"/>
                          </w:rPr>
                          <w:t>10</w:t>
                          <w:tab/>
                        </w:r>
                      </w:p>
                    </w:tc>
                  </w:tr>
                  <w:tr>
                    <w:trPr>
                      <w:trHeight w:val="656" w:hRule="exact"/>
                    </w:trPr>
                    <w:tc>
                      <w:tcPr>
                        <w:tcW w:w="563" w:type="dxa"/>
                        <w:tcBorders>
                          <w:top w:val="single" w:sz="18" w:space="0" w:color="FFFFFF"/>
                          <w:left w:val="nil"/>
                        </w:tcBorders>
                      </w:tcPr>
                      <w:p>
                        <w:pPr>
                          <w:pStyle w:val="TableParagraph"/>
                          <w:spacing w:line="159" w:lineRule="exact" w:before="43"/>
                          <w:ind w:left="73"/>
                          <w:rPr>
                            <w:sz w:val="18"/>
                          </w:rPr>
                        </w:pPr>
                        <w:r>
                          <w:rPr>
                            <w:sz w:val="18"/>
                          </w:rPr>
                          <w:t>11</w:t>
                        </w:r>
                      </w:p>
                      <w:p>
                        <w:pPr>
                          <w:pStyle w:val="TableParagraph"/>
                          <w:tabs>
                            <w:tab w:pos="547" w:val="left" w:leader="none"/>
                          </w:tabs>
                          <w:spacing w:line="136" w:lineRule="exact"/>
                          <w:rPr>
                            <w:sz w:val="16"/>
                          </w:rPr>
                        </w:pPr>
                        <w:r>
                          <w:rPr>
                            <w:w w:val="100"/>
                            <w:sz w:val="16"/>
                            <w:u w:val="dotted" w:color="929292"/>
                          </w:rPr>
                          <w:t> </w:t>
                        </w:r>
                        <w:r>
                          <w:rPr>
                            <w:sz w:val="16"/>
                            <w:u w:val="dotted" w:color="929292"/>
                          </w:rPr>
                          <w:tab/>
                        </w:r>
                      </w:p>
                      <w:p>
                        <w:pPr>
                          <w:pStyle w:val="TableParagraph"/>
                          <w:spacing w:before="28"/>
                          <w:ind w:left="73"/>
                          <w:rPr>
                            <w:sz w:val="18"/>
                          </w:rPr>
                        </w:pPr>
                        <w:r>
                          <w:rPr>
                            <w:sz w:val="18"/>
                          </w:rPr>
                          <w:t>12</w:t>
                        </w:r>
                      </w:p>
                    </w:tc>
                    <w:tc>
                      <w:tcPr>
                        <w:tcW w:w="1381" w:type="dxa"/>
                        <w:tcBorders>
                          <w:top w:val="single" w:sz="18" w:space="0" w:color="FFFFFF"/>
                        </w:tcBorders>
                      </w:tcPr>
                      <w:p>
                        <w:pPr>
                          <w:pStyle w:val="TableParagraph"/>
                          <w:spacing w:line="138" w:lineRule="exact"/>
                          <w:ind w:left="103"/>
                          <w:rPr>
                            <w:sz w:val="16"/>
                          </w:rPr>
                        </w:pPr>
                        <w:r>
                          <w:rPr>
                            <w:sz w:val="16"/>
                          </w:rPr>
                          <w:t>Superficie de</w:t>
                        </w:r>
                      </w:p>
                      <w:p>
                        <w:pPr>
                          <w:pStyle w:val="TableParagraph"/>
                          <w:tabs>
                            <w:tab w:pos="1361" w:val="left" w:leader="none"/>
                          </w:tabs>
                          <w:spacing w:line="292" w:lineRule="auto" w:before="16"/>
                          <w:ind w:left="103" w:right="8" w:hanging="78"/>
                          <w:rPr>
                            <w:sz w:val="16"/>
                          </w:rPr>
                        </w:pPr>
                        <w:r>
                          <w:rPr>
                            <w:w w:val="100"/>
                            <w:sz w:val="16"/>
                            <w:u w:val="dotted" w:color="929292"/>
                          </w:rPr>
                          <w:t> </w:t>
                        </w:r>
                        <w:r>
                          <w:rPr>
                            <w:spacing w:val="-11"/>
                            <w:sz w:val="16"/>
                            <w:u w:val="dotted" w:color="929292"/>
                          </w:rPr>
                          <w:t> </w:t>
                        </w:r>
                        <w:r>
                          <w:rPr>
                            <w:w w:val="105"/>
                            <w:sz w:val="16"/>
                            <w:u w:val="dotted" w:color="929292"/>
                          </w:rPr>
                          <w:t>construcción</w:t>
                          <w:tab/>
                        </w:r>
                        <w:r>
                          <w:rPr>
                            <w:w w:val="105"/>
                            <w:sz w:val="16"/>
                          </w:rPr>
                          <w:t> Identificación</w:t>
                        </w:r>
                      </w:p>
                    </w:tc>
                    <w:tc>
                      <w:tcPr>
                        <w:tcW w:w="1963" w:type="dxa"/>
                        <w:tcBorders>
                          <w:top w:val="single" w:sz="18" w:space="0" w:color="FFFFFF"/>
                        </w:tcBorders>
                      </w:tcPr>
                      <w:p>
                        <w:pPr>
                          <w:pStyle w:val="TableParagraph"/>
                          <w:spacing w:line="138" w:lineRule="exact"/>
                          <w:ind w:left="103" w:right="175"/>
                          <w:rPr>
                            <w:sz w:val="16"/>
                          </w:rPr>
                        </w:pPr>
                        <w:r>
                          <w:rPr>
                            <w:sz w:val="16"/>
                          </w:rPr>
                          <w:t>Metros cuadrados de</w:t>
                        </w:r>
                      </w:p>
                      <w:p>
                        <w:pPr>
                          <w:pStyle w:val="TableParagraph"/>
                          <w:tabs>
                            <w:tab w:pos="1942" w:val="left" w:leader="none"/>
                          </w:tabs>
                          <w:spacing w:line="163" w:lineRule="auto" w:before="64"/>
                          <w:ind w:left="103" w:right="8" w:hanging="78"/>
                          <w:rPr>
                            <w:sz w:val="16"/>
                          </w:rPr>
                        </w:pPr>
                        <w:r>
                          <w:rPr>
                            <w:w w:val="100"/>
                            <w:sz w:val="16"/>
                            <w:u w:val="dotted" w:color="929292"/>
                          </w:rPr>
                          <w:t> </w:t>
                        </w:r>
                        <w:r>
                          <w:rPr>
                            <w:spacing w:val="-12"/>
                            <w:sz w:val="16"/>
                            <w:u w:val="dotted" w:color="929292"/>
                          </w:rPr>
                          <w:t> </w:t>
                        </w:r>
                        <w:r>
                          <w:rPr>
                            <w:w w:val="105"/>
                            <w:sz w:val="16"/>
                            <w:u w:val="dotted" w:color="929292"/>
                          </w:rPr>
                          <w:t>construcción</w:t>
                          <w:tab/>
                        </w:r>
                        <w:r>
                          <w:rPr>
                            <w:w w:val="105"/>
                            <w:sz w:val="16"/>
                          </w:rPr>
                          <w:t> </w:t>
                        </w:r>
                        <w:r>
                          <w:rPr>
                            <w:sz w:val="16"/>
                          </w:rPr>
                          <w:t>Código catastral</w:t>
                        </w:r>
                        <w:r>
                          <w:rPr>
                            <w:spacing w:val="-3"/>
                            <w:sz w:val="16"/>
                          </w:rPr>
                          <w:t> </w:t>
                        </w:r>
                        <w:r>
                          <w:rPr>
                            <w:spacing w:val="-2"/>
                            <w:sz w:val="16"/>
                          </w:rPr>
                          <w:t>por</w:t>
                        </w:r>
                      </w:p>
                      <w:p>
                        <w:pPr>
                          <w:pStyle w:val="TableParagraph"/>
                          <w:spacing w:before="27"/>
                          <w:ind w:left="103" w:right="175"/>
                          <w:rPr>
                            <w:sz w:val="16"/>
                          </w:rPr>
                        </w:pPr>
                        <w:r>
                          <w:rPr>
                            <w:w w:val="105"/>
                            <w:sz w:val="16"/>
                          </w:rPr>
                          <w:t>construcción</w:t>
                        </w:r>
                      </w:p>
                    </w:tc>
                    <w:tc>
                      <w:tcPr>
                        <w:tcW w:w="3749" w:type="dxa"/>
                        <w:gridSpan w:val="2"/>
                        <w:tcBorders>
                          <w:top w:val="single" w:sz="18" w:space="0" w:color="FFFFFF"/>
                          <w:right w:val="nil"/>
                        </w:tcBorders>
                      </w:tcPr>
                      <w:p>
                        <w:pPr/>
                      </w:p>
                    </w:tc>
                  </w:tr>
                </w:tbl>
                <w:p>
                  <w:pPr>
                    <w:pStyle w:val="BodyText"/>
                  </w:pPr>
                </w:p>
              </w:txbxContent>
            </v:textbox>
            <w10:wrap type="none"/>
          </v:shape>
        </w:pict>
      </w:r>
      <w:r>
        <w:rPr/>
        <w:pict>
          <v:shape style="position:absolute;margin-left:42.550999pt;margin-top:75.526985pt;width:386.05pt;height:472.15pt;mso-position-horizontal-relative:page;mso-position-vertical-relative:page;z-index:17200" type="#_x0000_t202" filled="false" stroked="false">
            <v:textbox inset="0,0,0,0">
              <w:txbxContent>
                <w:tbl>
                  <w:tblPr>
                    <w:tblW w:w="0" w:type="auto"/>
                    <w:jc w:val="left"/>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597"/>
                    <w:gridCol w:w="1381"/>
                    <w:gridCol w:w="1963"/>
                    <w:gridCol w:w="2421"/>
                    <w:gridCol w:w="1348"/>
                  </w:tblGrid>
                  <w:tr>
                    <w:trPr>
                      <w:trHeight w:val="709" w:hRule="exact"/>
                    </w:trPr>
                    <w:tc>
                      <w:tcPr>
                        <w:tcW w:w="597" w:type="dxa"/>
                        <w:tcBorders>
                          <w:top w:val="nil"/>
                          <w:left w:val="nil"/>
                          <w:bottom w:val="dotted" w:sz="4" w:space="0" w:color="FFFFFF"/>
                          <w:right w:val="single" w:sz="4" w:space="0" w:color="FFFFFF"/>
                        </w:tcBorders>
                        <w:shd w:val="clear" w:color="auto" w:fill="929292"/>
                      </w:tcPr>
                      <w:p>
                        <w:pPr>
                          <w:pStyle w:val="TableParagraph"/>
                          <w:spacing w:before="6"/>
                          <w:rPr>
                            <w:sz w:val="22"/>
                          </w:rPr>
                        </w:pPr>
                      </w:p>
                      <w:p>
                        <w:pPr>
                          <w:pStyle w:val="TableParagraph"/>
                          <w:ind w:left="107"/>
                          <w:rPr>
                            <w:sz w:val="16"/>
                          </w:rPr>
                        </w:pPr>
                        <w:r>
                          <w:rPr>
                            <w:sz w:val="16"/>
                          </w:rPr>
                          <w:t>No.</w:t>
                        </w:r>
                      </w:p>
                    </w:tc>
                    <w:tc>
                      <w:tcPr>
                        <w:tcW w:w="1381" w:type="dxa"/>
                        <w:tcBorders>
                          <w:top w:val="nil"/>
                          <w:left w:val="single" w:sz="4" w:space="0" w:color="FFFFFF"/>
                          <w:bottom w:val="dotted" w:sz="4" w:space="0" w:color="FFFFFF"/>
                          <w:right w:val="single" w:sz="4" w:space="0" w:color="FFFFFF"/>
                        </w:tcBorders>
                        <w:shd w:val="clear" w:color="auto" w:fill="929292"/>
                      </w:tcPr>
                      <w:p>
                        <w:pPr>
                          <w:pStyle w:val="TableParagraph"/>
                          <w:spacing w:before="31"/>
                          <w:ind w:left="102" w:right="350"/>
                          <w:rPr>
                            <w:sz w:val="16"/>
                          </w:rPr>
                        </w:pPr>
                        <w:r>
                          <w:rPr>
                            <w:sz w:val="16"/>
                          </w:rPr>
                          <w:t>Variable</w:t>
                        </w:r>
                      </w:p>
                      <w:p>
                        <w:pPr>
                          <w:pStyle w:val="TableParagraph"/>
                          <w:spacing w:line="261" w:lineRule="auto" w:before="72"/>
                          <w:ind w:left="102" w:right="123"/>
                          <w:rPr>
                            <w:sz w:val="16"/>
                          </w:rPr>
                        </w:pPr>
                        <w:r>
                          <w:rPr>
                            <w:sz w:val="16"/>
                          </w:rPr>
                          <w:t>de vulnerabilidad</w:t>
                        </w:r>
                      </w:p>
                    </w:tc>
                    <w:tc>
                      <w:tcPr>
                        <w:tcW w:w="1963"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59"/>
                          <w:ind w:left="102" w:right="175"/>
                          <w:rPr>
                            <w:sz w:val="16"/>
                          </w:rPr>
                        </w:pPr>
                        <w:r>
                          <w:rPr>
                            <w:sz w:val="16"/>
                          </w:rPr>
                          <w:t>Descripción de la variable y uso de la información</w:t>
                        </w:r>
                      </w:p>
                    </w:tc>
                    <w:tc>
                      <w:tcPr>
                        <w:tcW w:w="2421" w:type="dxa"/>
                        <w:tcBorders>
                          <w:top w:val="nil"/>
                          <w:left w:val="single" w:sz="4" w:space="0" w:color="FFFFFF"/>
                          <w:bottom w:val="dotted" w:sz="4" w:space="0" w:color="FFFFFF"/>
                          <w:right w:val="single" w:sz="4" w:space="0" w:color="FFFFFF"/>
                        </w:tcBorders>
                        <w:shd w:val="clear" w:color="auto" w:fill="929292"/>
                      </w:tcPr>
                      <w:p>
                        <w:pPr>
                          <w:pStyle w:val="TableParagraph"/>
                          <w:spacing w:before="6"/>
                          <w:rPr>
                            <w:sz w:val="22"/>
                          </w:rPr>
                        </w:pPr>
                      </w:p>
                      <w:p>
                        <w:pPr>
                          <w:pStyle w:val="TableParagraph"/>
                          <w:ind w:left="103"/>
                          <w:rPr>
                            <w:sz w:val="16"/>
                          </w:rPr>
                        </w:pPr>
                        <w:r>
                          <w:rPr>
                            <w:sz w:val="16"/>
                          </w:rPr>
                          <w:t>Indicadores considerados</w:t>
                        </w:r>
                      </w:p>
                    </w:tc>
                    <w:tc>
                      <w:tcPr>
                        <w:tcW w:w="1348" w:type="dxa"/>
                        <w:tcBorders>
                          <w:top w:val="nil"/>
                          <w:left w:val="single" w:sz="4" w:space="0" w:color="FFFFFF"/>
                          <w:bottom w:val="dotted" w:sz="4" w:space="0" w:color="FFFFFF"/>
                          <w:right w:val="nil"/>
                        </w:tcBorders>
                        <w:shd w:val="clear" w:color="auto" w:fill="929292"/>
                      </w:tcPr>
                      <w:p>
                        <w:pPr>
                          <w:pStyle w:val="TableParagraph"/>
                          <w:spacing w:line="297" w:lineRule="auto" w:before="19"/>
                          <w:ind w:left="103" w:right="277"/>
                          <w:rPr>
                            <w:sz w:val="18"/>
                          </w:rPr>
                        </w:pPr>
                        <w:r>
                          <w:rPr>
                            <w:w w:val="95"/>
                            <w:sz w:val="18"/>
                          </w:rPr>
                          <w:t>Amenaza </w:t>
                        </w:r>
                        <w:r>
                          <w:rPr>
                            <w:sz w:val="18"/>
                          </w:rPr>
                          <w:t>por</w:t>
                        </w:r>
                      </w:p>
                      <w:p>
                        <w:pPr>
                          <w:pStyle w:val="TableParagraph"/>
                          <w:spacing w:line="152" w:lineRule="exact"/>
                          <w:ind w:left="103"/>
                          <w:rPr>
                            <w:sz w:val="18"/>
                          </w:rPr>
                        </w:pPr>
                        <w:r>
                          <w:rPr>
                            <w:sz w:val="18"/>
                          </w:rPr>
                          <w:t>Deslizamiento</w:t>
                        </w:r>
                      </w:p>
                    </w:tc>
                  </w:tr>
                  <w:tr>
                    <w:trPr>
                      <w:trHeight w:val="1408" w:hRule="exact"/>
                    </w:trPr>
                    <w:tc>
                      <w:tcPr>
                        <w:tcW w:w="597" w:type="dxa"/>
                        <w:tcBorders>
                          <w:top w:val="dotted" w:sz="4" w:space="0" w:color="FFFFFF"/>
                          <w:left w:val="nil"/>
                        </w:tcBorders>
                      </w:tcPr>
                      <w:p>
                        <w:pPr>
                          <w:pStyle w:val="TableParagraph"/>
                          <w:rPr>
                            <w:sz w:val="18"/>
                          </w:rPr>
                        </w:pPr>
                      </w:p>
                      <w:p>
                        <w:pPr>
                          <w:pStyle w:val="TableParagraph"/>
                          <w:rPr>
                            <w:sz w:val="18"/>
                          </w:rPr>
                        </w:pPr>
                      </w:p>
                      <w:p>
                        <w:pPr>
                          <w:pStyle w:val="TableParagraph"/>
                          <w:spacing w:before="7"/>
                          <w:rPr>
                            <w:sz w:val="15"/>
                          </w:rPr>
                        </w:pPr>
                      </w:p>
                      <w:p>
                        <w:pPr>
                          <w:pStyle w:val="TableParagraph"/>
                          <w:ind w:left="108"/>
                          <w:rPr>
                            <w:b/>
                            <w:sz w:val="18"/>
                          </w:rPr>
                        </w:pPr>
                        <w:r>
                          <w:rPr>
                            <w:b/>
                            <w:w w:val="99"/>
                            <w:sz w:val="18"/>
                          </w:rPr>
                          <w:t>1</w:t>
                        </w:r>
                      </w:p>
                    </w:tc>
                    <w:tc>
                      <w:tcPr>
                        <w:tcW w:w="1381" w:type="dxa"/>
                        <w:tcBorders>
                          <w:top w:val="dotted" w:sz="4" w:space="0" w:color="FFFFFF"/>
                        </w:tcBorders>
                      </w:tcPr>
                      <w:p>
                        <w:pPr>
                          <w:pStyle w:val="TableParagraph"/>
                          <w:rPr>
                            <w:sz w:val="16"/>
                          </w:rPr>
                        </w:pPr>
                      </w:p>
                      <w:p>
                        <w:pPr>
                          <w:pStyle w:val="TableParagraph"/>
                          <w:rPr>
                            <w:sz w:val="16"/>
                          </w:rPr>
                        </w:pPr>
                      </w:p>
                      <w:p>
                        <w:pPr>
                          <w:pStyle w:val="TableParagraph"/>
                          <w:spacing w:line="261" w:lineRule="auto" w:before="138"/>
                          <w:ind w:left="102" w:right="350"/>
                          <w:rPr>
                            <w:sz w:val="16"/>
                          </w:rPr>
                        </w:pPr>
                        <w:r>
                          <w:rPr>
                            <w:sz w:val="16"/>
                          </w:rPr>
                          <w:t>Sistema estructural</w:t>
                        </w:r>
                      </w:p>
                    </w:tc>
                    <w:tc>
                      <w:tcPr>
                        <w:tcW w:w="1963" w:type="dxa"/>
                        <w:tcBorders>
                          <w:top w:val="dotted" w:sz="4" w:space="0" w:color="FFFFFF"/>
                        </w:tcBorders>
                      </w:tcPr>
                      <w:p>
                        <w:pPr>
                          <w:pStyle w:val="TableParagraph"/>
                          <w:rPr>
                            <w:sz w:val="16"/>
                          </w:rPr>
                        </w:pPr>
                      </w:p>
                      <w:p>
                        <w:pPr>
                          <w:pStyle w:val="TableParagraph"/>
                          <w:spacing w:line="261" w:lineRule="auto" w:before="122"/>
                          <w:ind w:left="103" w:right="453"/>
                          <w:rPr>
                            <w:sz w:val="16"/>
                          </w:rPr>
                        </w:pPr>
                        <w:r>
                          <w:rPr>
                            <w:sz w:val="16"/>
                          </w:rPr>
                          <w:t>Describe la </w:t>
                        </w:r>
                        <w:r>
                          <w:rPr>
                            <w:spacing w:val="-1"/>
                            <w:sz w:val="16"/>
                          </w:rPr>
                          <w:t>tipología </w:t>
                        </w:r>
                        <w:r>
                          <w:rPr>
                            <w:sz w:val="16"/>
                          </w:rPr>
                          <w:t>estructural predominante en la edificación</w:t>
                        </w:r>
                      </w:p>
                    </w:tc>
                    <w:tc>
                      <w:tcPr>
                        <w:tcW w:w="2421" w:type="dxa"/>
                        <w:tcBorders>
                          <w:top w:val="dotted" w:sz="4" w:space="0" w:color="FFFFFF"/>
                        </w:tcBorders>
                      </w:tcPr>
                      <w:p>
                        <w:pPr>
                          <w:pStyle w:val="TableParagraph"/>
                          <w:spacing w:line="148" w:lineRule="exact"/>
                          <w:ind w:left="103"/>
                          <w:rPr>
                            <w:sz w:val="16"/>
                          </w:rPr>
                        </w:pPr>
                        <w:r>
                          <w:rPr>
                            <w:sz w:val="16"/>
                          </w:rPr>
                          <w:t>Hormigón armado</w:t>
                        </w:r>
                      </w:p>
                    </w:tc>
                    <w:tc>
                      <w:tcPr>
                        <w:tcW w:w="1348" w:type="dxa"/>
                        <w:tcBorders>
                          <w:top w:val="dotted" w:sz="4" w:space="0" w:color="FFFFFF"/>
                          <w:right w:val="nil"/>
                        </w:tcBorders>
                      </w:tcPr>
                      <w:p>
                        <w:pPr>
                          <w:pStyle w:val="TableParagraph"/>
                          <w:rPr>
                            <w:sz w:val="18"/>
                          </w:rPr>
                        </w:pPr>
                      </w:p>
                      <w:p>
                        <w:pPr>
                          <w:pStyle w:val="TableParagraph"/>
                          <w:rPr>
                            <w:sz w:val="18"/>
                          </w:rPr>
                        </w:pPr>
                      </w:p>
                      <w:p>
                        <w:pPr>
                          <w:pStyle w:val="TableParagraph"/>
                          <w:spacing w:before="7"/>
                          <w:rPr>
                            <w:sz w:val="15"/>
                          </w:rPr>
                        </w:pPr>
                      </w:p>
                      <w:p>
                        <w:pPr>
                          <w:pStyle w:val="TableParagraph"/>
                          <w:spacing w:before="1"/>
                          <w:ind w:left="103"/>
                          <w:rPr>
                            <w:sz w:val="18"/>
                          </w:rPr>
                        </w:pPr>
                        <w:r>
                          <w:rPr>
                            <w:w w:val="99"/>
                            <w:sz w:val="18"/>
                          </w:rPr>
                          <w:t>5</w:t>
                        </w:r>
                      </w:p>
                    </w:tc>
                  </w:tr>
                  <w:tr>
                    <w:trPr>
                      <w:trHeight w:val="155" w:hRule="exact"/>
                    </w:trPr>
                    <w:tc>
                      <w:tcPr>
                        <w:tcW w:w="3942" w:type="dxa"/>
                        <w:gridSpan w:val="3"/>
                        <w:vMerge w:val="restart"/>
                        <w:tcBorders>
                          <w:left w:val="nil"/>
                        </w:tcBorders>
                      </w:tcPr>
                      <w:p>
                        <w:pPr>
                          <w:pStyle w:val="TableParagraph"/>
                          <w:rPr>
                            <w:sz w:val="16"/>
                          </w:rPr>
                        </w:pPr>
                      </w:p>
                      <w:p>
                        <w:pPr>
                          <w:pStyle w:val="TableParagraph"/>
                          <w:rPr>
                            <w:sz w:val="16"/>
                          </w:rPr>
                        </w:pPr>
                      </w:p>
                      <w:p>
                        <w:pPr>
                          <w:pStyle w:val="TableParagraph"/>
                          <w:rPr>
                            <w:sz w:val="16"/>
                          </w:rPr>
                        </w:pPr>
                      </w:p>
                      <w:p>
                        <w:pPr>
                          <w:pStyle w:val="TableParagraph"/>
                          <w:spacing w:before="4"/>
                          <w:rPr>
                            <w:sz w:val="21"/>
                          </w:rPr>
                        </w:pPr>
                      </w:p>
                      <w:p>
                        <w:pPr>
                          <w:pStyle w:val="TableParagraph"/>
                          <w:tabs>
                            <w:tab w:pos="3926" w:val="left" w:leader="none"/>
                          </w:tabs>
                          <w:ind w:left="2086" w:right="8" w:hanging="78"/>
                          <w:rPr>
                            <w:sz w:val="16"/>
                          </w:rPr>
                        </w:pPr>
                        <w:r>
                          <w:rPr>
                            <w:w w:val="100"/>
                            <w:sz w:val="16"/>
                            <w:u w:val="dotted" w:color="929292"/>
                          </w:rPr>
                          <w:t> </w:t>
                        </w:r>
                        <w:r>
                          <w:rPr>
                            <w:sz w:val="16"/>
                            <w:u w:val="dotted" w:color="929292"/>
                          </w:rPr>
                          <w:tab/>
                          <w:tab/>
                        </w:r>
                        <w:r>
                          <w:rPr>
                            <w:sz w:val="16"/>
                          </w:rPr>
                          <w:t> </w:t>
                        </w:r>
                        <w:r>
                          <w:rPr>
                            <w:spacing w:val="-2"/>
                            <w:w w:val="100"/>
                            <w:sz w:val="16"/>
                          </w:rPr>
                          <w:t>Describ</w:t>
                        </w:r>
                        <w:r>
                          <w:rPr>
                            <w:w w:val="100"/>
                            <w:sz w:val="16"/>
                          </w:rPr>
                          <w:t>e</w:t>
                        </w:r>
                        <w:r>
                          <w:rPr>
                            <w:spacing w:val="-4"/>
                            <w:sz w:val="16"/>
                          </w:rPr>
                          <w:t> </w:t>
                        </w:r>
                        <w:r>
                          <w:rPr>
                            <w:spacing w:val="-2"/>
                            <w:w w:val="97"/>
                            <w:sz w:val="16"/>
                          </w:rPr>
                          <w:t>e</w:t>
                        </w:r>
                        <w:r>
                          <w:rPr>
                            <w:w w:val="97"/>
                            <w:sz w:val="16"/>
                          </w:rPr>
                          <w:t>l</w:t>
                        </w:r>
                        <w:r>
                          <w:rPr>
                            <w:spacing w:val="-4"/>
                            <w:sz w:val="16"/>
                          </w:rPr>
                          <w:t> </w:t>
                        </w:r>
                        <w:r>
                          <w:rPr>
                            <w:spacing w:val="-2"/>
                            <w:w w:val="99"/>
                            <w:sz w:val="16"/>
                          </w:rPr>
                          <w:t>material</w:t>
                        </w:r>
                      </w:p>
                      <w:p>
                        <w:pPr>
                          <w:pStyle w:val="TableParagraph"/>
                          <w:numPr>
                            <w:ilvl w:val="0"/>
                            <w:numId w:val="83"/>
                          </w:numPr>
                          <w:tabs>
                            <w:tab w:pos="705" w:val="left" w:leader="none"/>
                            <w:tab w:pos="706" w:val="left" w:leader="none"/>
                            <w:tab w:pos="2086" w:val="left" w:leader="none"/>
                          </w:tabs>
                          <w:spacing w:line="249" w:lineRule="exact" w:before="16" w:after="0"/>
                          <w:ind w:left="705" w:right="0" w:hanging="597"/>
                          <w:jc w:val="left"/>
                          <w:rPr>
                            <w:sz w:val="16"/>
                          </w:rPr>
                        </w:pPr>
                        <w:r>
                          <w:rPr>
                            <w:sz w:val="16"/>
                          </w:rPr>
                          <w:t>Tipo</w:t>
                        </w:r>
                        <w:r>
                          <w:rPr>
                            <w:spacing w:val="-5"/>
                            <w:sz w:val="16"/>
                          </w:rPr>
                          <w:t> </w:t>
                        </w:r>
                        <w:r>
                          <w:rPr>
                            <w:sz w:val="16"/>
                          </w:rPr>
                          <w:t>de</w:t>
                          <w:tab/>
                        </w:r>
                        <w:r>
                          <w:rPr>
                            <w:spacing w:val="-1"/>
                            <w:sz w:val="16"/>
                          </w:rPr>
                          <w:t>predominante</w:t>
                        </w:r>
                        <w:r>
                          <w:rPr>
                            <w:sz w:val="16"/>
                          </w:rPr>
                          <w:t> </w:t>
                        </w:r>
                        <w:r>
                          <w:rPr>
                            <w:spacing w:val="-1"/>
                            <w:sz w:val="16"/>
                          </w:rPr>
                          <w:t>utilizado</w:t>
                        </w:r>
                      </w:p>
                      <w:p>
                        <w:pPr>
                          <w:pStyle w:val="TableParagraph"/>
                          <w:tabs>
                            <w:tab w:pos="2086" w:val="left" w:leader="none"/>
                          </w:tabs>
                          <w:spacing w:line="135" w:lineRule="exact"/>
                          <w:ind w:left="705"/>
                          <w:rPr>
                            <w:sz w:val="16"/>
                          </w:rPr>
                        </w:pPr>
                        <w:r>
                          <w:rPr>
                            <w:sz w:val="16"/>
                          </w:rPr>
                          <w:t>materiales</w:t>
                          <w:tab/>
                          <w:t>en</w:t>
                        </w:r>
                        <w:r>
                          <w:rPr>
                            <w:spacing w:val="-16"/>
                            <w:sz w:val="16"/>
                          </w:rPr>
                          <w:t> </w:t>
                        </w:r>
                        <w:r>
                          <w:rPr>
                            <w:sz w:val="16"/>
                          </w:rPr>
                          <w:t>las</w:t>
                        </w:r>
                        <w:r>
                          <w:rPr>
                            <w:spacing w:val="-16"/>
                            <w:sz w:val="16"/>
                          </w:rPr>
                          <w:t> </w:t>
                        </w:r>
                        <w:r>
                          <w:rPr>
                            <w:sz w:val="16"/>
                          </w:rPr>
                          <w:t>paredes</w:t>
                        </w:r>
                        <w:r>
                          <w:rPr>
                            <w:spacing w:val="-16"/>
                            <w:sz w:val="16"/>
                          </w:rPr>
                          <w:t> </w:t>
                        </w:r>
                        <w:r>
                          <w:rPr>
                            <w:sz w:val="16"/>
                          </w:rPr>
                          <w:t>divisorias</w:t>
                        </w:r>
                      </w:p>
                      <w:p>
                        <w:pPr>
                          <w:pStyle w:val="TableParagraph"/>
                          <w:tabs>
                            <w:tab w:pos="582" w:val="left" w:leader="none"/>
                            <w:tab w:pos="1963" w:val="left" w:leader="none"/>
                            <w:tab w:pos="3926" w:val="left" w:leader="none"/>
                          </w:tabs>
                          <w:spacing w:before="16"/>
                          <w:ind w:left="34"/>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pacing w:val="-12"/>
                            <w:sz w:val="16"/>
                            <w:u w:val="dotted" w:color="929292"/>
                          </w:rPr>
                          <w:t> </w:t>
                        </w:r>
                        <w:r>
                          <w:rPr>
                            <w:sz w:val="16"/>
                            <w:u w:val="dotted" w:color="929292"/>
                          </w:rPr>
                          <w:t>de la</w:t>
                        </w:r>
                        <w:r>
                          <w:rPr>
                            <w:spacing w:val="-13"/>
                            <w:sz w:val="16"/>
                            <w:u w:val="dotted" w:color="929292"/>
                          </w:rPr>
                          <w:t> </w:t>
                        </w:r>
                        <w:r>
                          <w:rPr>
                            <w:sz w:val="16"/>
                            <w:u w:val="dotted" w:color="929292"/>
                          </w:rPr>
                          <w:t>edificación</w:t>
                          <w:tab/>
                        </w:r>
                      </w:p>
                      <w:p>
                        <w:pPr>
                          <w:pStyle w:val="TableParagraph"/>
                          <w:rPr>
                            <w:sz w:val="16"/>
                          </w:rPr>
                        </w:pPr>
                      </w:p>
                      <w:p>
                        <w:pPr>
                          <w:pStyle w:val="TableParagraph"/>
                          <w:rPr>
                            <w:sz w:val="16"/>
                          </w:rPr>
                        </w:pPr>
                      </w:p>
                      <w:p>
                        <w:pPr>
                          <w:pStyle w:val="TableParagraph"/>
                          <w:rPr>
                            <w:sz w:val="16"/>
                          </w:rPr>
                        </w:pPr>
                      </w:p>
                      <w:p>
                        <w:pPr>
                          <w:pStyle w:val="TableParagraph"/>
                          <w:tabs>
                            <w:tab w:pos="582" w:val="left" w:leader="none"/>
                            <w:tab w:pos="1963" w:val="left" w:leader="none"/>
                            <w:tab w:pos="3926" w:val="left" w:leader="none"/>
                          </w:tabs>
                          <w:spacing w:line="161" w:lineRule="exact" w:before="129"/>
                          <w:ind w:left="34"/>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pStyle w:val="TableParagraph"/>
                          <w:spacing w:line="161" w:lineRule="exact"/>
                          <w:ind w:left="2086"/>
                          <w:rPr>
                            <w:sz w:val="16"/>
                          </w:rPr>
                        </w:pPr>
                        <w:r>
                          <w:rPr>
                            <w:sz w:val="16"/>
                          </w:rPr>
                          <w:t>Describe el tipo de</w:t>
                        </w:r>
                      </w:p>
                      <w:p>
                        <w:pPr>
                          <w:pStyle w:val="TableParagraph"/>
                          <w:numPr>
                            <w:ilvl w:val="0"/>
                            <w:numId w:val="83"/>
                          </w:numPr>
                          <w:tabs>
                            <w:tab w:pos="705" w:val="left" w:leader="none"/>
                            <w:tab w:pos="706" w:val="left" w:leader="none"/>
                            <w:tab w:pos="2086" w:val="left" w:leader="none"/>
                          </w:tabs>
                          <w:spacing w:line="249" w:lineRule="exact" w:before="16" w:after="0"/>
                          <w:ind w:left="705" w:right="0" w:hanging="597"/>
                          <w:jc w:val="left"/>
                          <w:rPr>
                            <w:sz w:val="16"/>
                          </w:rPr>
                        </w:pPr>
                        <w:r>
                          <w:rPr>
                            <w:position w:val="-9"/>
                            <w:sz w:val="16"/>
                          </w:rPr>
                          <w:t>Tipo</w:t>
                        </w:r>
                        <w:r>
                          <w:rPr>
                            <w:spacing w:val="-5"/>
                            <w:position w:val="-9"/>
                            <w:sz w:val="16"/>
                          </w:rPr>
                          <w:t> </w:t>
                        </w:r>
                        <w:r>
                          <w:rPr>
                            <w:position w:val="-9"/>
                            <w:sz w:val="16"/>
                          </w:rPr>
                          <w:t>de</w:t>
                        </w:r>
                        <w:r>
                          <w:rPr>
                            <w:spacing w:val="-5"/>
                            <w:position w:val="-9"/>
                            <w:sz w:val="16"/>
                          </w:rPr>
                          <w:t> </w:t>
                        </w:r>
                        <w:r>
                          <w:rPr>
                            <w:position w:val="-9"/>
                            <w:sz w:val="16"/>
                          </w:rPr>
                          <w:t>cubierta</w:t>
                          <w:tab/>
                        </w:r>
                        <w:r>
                          <w:rPr>
                            <w:sz w:val="16"/>
                          </w:rPr>
                          <w:t>material utilizado</w:t>
                        </w:r>
                        <w:r>
                          <w:rPr>
                            <w:spacing w:val="-23"/>
                            <w:sz w:val="16"/>
                          </w:rPr>
                          <w:t> </w:t>
                        </w:r>
                        <w:r>
                          <w:rPr>
                            <w:sz w:val="16"/>
                          </w:rPr>
                          <w:t>como</w:t>
                        </w:r>
                      </w:p>
                      <w:p>
                        <w:pPr>
                          <w:pStyle w:val="TableParagraph"/>
                          <w:spacing w:line="135" w:lineRule="exact"/>
                          <w:ind w:left="2086"/>
                          <w:rPr>
                            <w:sz w:val="16"/>
                          </w:rPr>
                        </w:pPr>
                        <w:r>
                          <w:rPr>
                            <w:sz w:val="16"/>
                          </w:rPr>
                          <w:t>sistema de cubierta de</w:t>
                        </w:r>
                      </w:p>
                      <w:p>
                        <w:pPr>
                          <w:pStyle w:val="TableParagraph"/>
                          <w:tabs>
                            <w:tab w:pos="582" w:val="left" w:leader="none"/>
                            <w:tab w:pos="1963" w:val="left" w:leader="none"/>
                            <w:tab w:pos="3926" w:val="left" w:leader="none"/>
                          </w:tabs>
                          <w:spacing w:before="16"/>
                          <w:ind w:left="34"/>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pacing w:val="-12"/>
                            <w:sz w:val="16"/>
                            <w:u w:val="dotted" w:color="929292"/>
                          </w:rPr>
                          <w:t> </w:t>
                        </w:r>
                        <w:r>
                          <w:rPr>
                            <w:sz w:val="16"/>
                            <w:u w:val="dotted" w:color="929292"/>
                          </w:rPr>
                          <w:t>la</w:t>
                        </w:r>
                        <w:r>
                          <w:rPr>
                            <w:spacing w:val="-10"/>
                            <w:sz w:val="16"/>
                            <w:u w:val="dotted" w:color="929292"/>
                          </w:rPr>
                          <w:t> </w:t>
                        </w:r>
                        <w:r>
                          <w:rPr>
                            <w:sz w:val="16"/>
                            <w:u w:val="dotted" w:color="929292"/>
                          </w:rPr>
                          <w:t>edificación</w:t>
                          <w:tab/>
                        </w:r>
                      </w:p>
                      <w:p>
                        <w:pPr>
                          <w:pStyle w:val="TableParagraph"/>
                          <w:rPr>
                            <w:sz w:val="16"/>
                          </w:rPr>
                        </w:pPr>
                      </w:p>
                      <w:p>
                        <w:pPr>
                          <w:pStyle w:val="TableParagraph"/>
                          <w:spacing w:before="9"/>
                          <w:rPr>
                            <w:sz w:val="21"/>
                          </w:rPr>
                        </w:pPr>
                      </w:p>
                      <w:p>
                        <w:pPr>
                          <w:pStyle w:val="TableParagraph"/>
                          <w:tabs>
                            <w:tab w:pos="582" w:val="left" w:leader="none"/>
                            <w:tab w:pos="1963" w:val="left" w:leader="none"/>
                            <w:tab w:pos="3926" w:val="left" w:leader="none"/>
                          </w:tabs>
                          <w:spacing w:line="182" w:lineRule="exact"/>
                          <w:ind w:left="34"/>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pStyle w:val="TableParagraph"/>
                          <w:spacing w:line="182" w:lineRule="exact"/>
                          <w:ind w:left="2086"/>
                          <w:rPr>
                            <w:sz w:val="16"/>
                          </w:rPr>
                        </w:pPr>
                        <w:r>
                          <w:rPr>
                            <w:sz w:val="16"/>
                          </w:rPr>
                          <w:t>Describe el tipo de</w:t>
                        </w:r>
                      </w:p>
                      <w:p>
                        <w:pPr>
                          <w:pStyle w:val="TableParagraph"/>
                          <w:numPr>
                            <w:ilvl w:val="0"/>
                            <w:numId w:val="83"/>
                          </w:numPr>
                          <w:tabs>
                            <w:tab w:pos="705" w:val="left" w:leader="none"/>
                            <w:tab w:pos="706" w:val="left" w:leader="none"/>
                            <w:tab w:pos="2086" w:val="left" w:leader="none"/>
                          </w:tabs>
                          <w:spacing w:line="127" w:lineRule="auto" w:before="95" w:after="0"/>
                          <w:ind w:left="705" w:right="458" w:hanging="597"/>
                          <w:jc w:val="left"/>
                          <w:rPr>
                            <w:sz w:val="16"/>
                          </w:rPr>
                        </w:pPr>
                        <w:r>
                          <w:rPr>
                            <w:sz w:val="16"/>
                          </w:rPr>
                          <w:t>Sistema</w:t>
                        </w:r>
                        <w:r>
                          <w:rPr>
                            <w:spacing w:val="-8"/>
                            <w:sz w:val="16"/>
                          </w:rPr>
                          <w:t> </w:t>
                        </w:r>
                        <w:r>
                          <w:rPr>
                            <w:sz w:val="16"/>
                          </w:rPr>
                          <w:t>de</w:t>
                          <w:tab/>
                          <w:t>material</w:t>
                        </w:r>
                        <w:r>
                          <w:rPr>
                            <w:spacing w:val="-17"/>
                            <w:sz w:val="16"/>
                          </w:rPr>
                          <w:t> </w:t>
                        </w:r>
                        <w:r>
                          <w:rPr>
                            <w:sz w:val="16"/>
                          </w:rPr>
                          <w:t>usado</w:t>
                        </w:r>
                        <w:r>
                          <w:rPr>
                            <w:spacing w:val="-17"/>
                            <w:sz w:val="16"/>
                          </w:rPr>
                          <w:t> </w:t>
                        </w:r>
                        <w:r>
                          <w:rPr>
                            <w:sz w:val="16"/>
                          </w:rPr>
                          <w:t>para</w:t>
                        </w:r>
                        <w:r>
                          <w:rPr>
                            <w:spacing w:val="-2"/>
                            <w:w w:val="99"/>
                            <w:sz w:val="16"/>
                          </w:rPr>
                          <w:t> </w:t>
                        </w:r>
                        <w:r>
                          <w:rPr>
                            <w:sz w:val="16"/>
                          </w:rPr>
                          <w:t>entrepisos</w:t>
                          <w:tab/>
                          <w:t>el sistema de</w:t>
                        </w:r>
                        <w:r>
                          <w:rPr>
                            <w:spacing w:val="-27"/>
                            <w:sz w:val="16"/>
                          </w:rPr>
                          <w:t> </w:t>
                        </w:r>
                        <w:r>
                          <w:rPr>
                            <w:sz w:val="16"/>
                          </w:rPr>
                          <w:t>pisos</w:t>
                        </w:r>
                      </w:p>
                      <w:p>
                        <w:pPr>
                          <w:pStyle w:val="TableParagraph"/>
                          <w:tabs>
                            <w:tab w:pos="582" w:val="left" w:leader="none"/>
                            <w:tab w:pos="1963" w:val="left" w:leader="none"/>
                            <w:tab w:pos="3926" w:val="left" w:leader="none"/>
                          </w:tabs>
                          <w:spacing w:before="32"/>
                          <w:ind w:left="34"/>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pacing w:val="-12"/>
                            <w:sz w:val="16"/>
                            <w:u w:val="dotted" w:color="929292"/>
                          </w:rPr>
                          <w:t> </w:t>
                        </w:r>
                        <w:r>
                          <w:rPr>
                            <w:sz w:val="16"/>
                            <w:u w:val="dotted" w:color="929292"/>
                          </w:rPr>
                          <w:t>diferentes</w:t>
                        </w:r>
                        <w:r>
                          <w:rPr>
                            <w:spacing w:val="-12"/>
                            <w:sz w:val="16"/>
                            <w:u w:val="dotted" w:color="929292"/>
                          </w:rPr>
                          <w:t> </w:t>
                        </w:r>
                        <w:r>
                          <w:rPr>
                            <w:sz w:val="16"/>
                            <w:u w:val="dotted" w:color="929292"/>
                          </w:rPr>
                          <w:t>a</w:t>
                        </w:r>
                        <w:r>
                          <w:rPr>
                            <w:spacing w:val="-12"/>
                            <w:sz w:val="16"/>
                            <w:u w:val="dotted" w:color="929292"/>
                          </w:rPr>
                          <w:t> </w:t>
                        </w:r>
                        <w:r>
                          <w:rPr>
                            <w:sz w:val="16"/>
                            <w:u w:val="dotted" w:color="929292"/>
                          </w:rPr>
                          <w:t>la</w:t>
                        </w:r>
                        <w:r>
                          <w:rPr>
                            <w:spacing w:val="-12"/>
                            <w:sz w:val="16"/>
                            <w:u w:val="dotted" w:color="929292"/>
                          </w:rPr>
                          <w:t> </w:t>
                        </w:r>
                        <w:r>
                          <w:rPr>
                            <w:sz w:val="16"/>
                            <w:u w:val="dotted" w:color="929292"/>
                          </w:rPr>
                          <w:t>cubierta</w:t>
                          <w:tab/>
                        </w:r>
                      </w:p>
                      <w:p>
                        <w:pPr>
                          <w:pStyle w:val="TableParagraph"/>
                          <w:rPr>
                            <w:sz w:val="16"/>
                          </w:rPr>
                        </w:pPr>
                      </w:p>
                      <w:p>
                        <w:pPr>
                          <w:pStyle w:val="TableParagraph"/>
                          <w:rPr>
                            <w:sz w:val="16"/>
                          </w:rPr>
                        </w:pPr>
                      </w:p>
                      <w:p>
                        <w:pPr>
                          <w:pStyle w:val="TableParagraph"/>
                          <w:rPr>
                            <w:sz w:val="15"/>
                          </w:rPr>
                        </w:pPr>
                      </w:p>
                      <w:p>
                        <w:pPr>
                          <w:pStyle w:val="TableParagraph"/>
                          <w:tabs>
                            <w:tab w:pos="582" w:val="left" w:leader="none"/>
                            <w:tab w:pos="1963" w:val="left" w:leader="none"/>
                            <w:tab w:pos="3926" w:val="left" w:leader="none"/>
                          </w:tabs>
                          <w:spacing w:line="176" w:lineRule="exact"/>
                          <w:ind w:left="34"/>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pStyle w:val="TableParagraph"/>
                          <w:spacing w:line="261" w:lineRule="auto"/>
                          <w:ind w:left="2086" w:right="225"/>
                          <w:rPr>
                            <w:sz w:val="16"/>
                          </w:rPr>
                        </w:pPr>
                        <w:r>
                          <w:rPr>
                            <w:sz w:val="16"/>
                          </w:rPr>
                          <w:t>Se considera el número de pisos</w:t>
                        </w:r>
                      </w:p>
                      <w:p>
                        <w:pPr>
                          <w:pStyle w:val="TableParagraph"/>
                          <w:numPr>
                            <w:ilvl w:val="0"/>
                            <w:numId w:val="83"/>
                          </w:numPr>
                          <w:tabs>
                            <w:tab w:pos="705" w:val="left" w:leader="none"/>
                            <w:tab w:pos="706" w:val="left" w:leader="none"/>
                            <w:tab w:pos="2086" w:val="left" w:leader="none"/>
                          </w:tabs>
                          <w:spacing w:line="127" w:lineRule="auto" w:before="79" w:after="0"/>
                          <w:ind w:left="705" w:right="171" w:hanging="597"/>
                          <w:jc w:val="left"/>
                          <w:rPr>
                            <w:sz w:val="16"/>
                          </w:rPr>
                        </w:pPr>
                        <w:r>
                          <w:rPr>
                            <w:sz w:val="16"/>
                          </w:rPr>
                          <w:t>Número</w:t>
                        </w:r>
                        <w:r>
                          <w:rPr>
                            <w:spacing w:val="-6"/>
                            <w:sz w:val="16"/>
                          </w:rPr>
                          <w:t> </w:t>
                        </w:r>
                        <w:r>
                          <w:rPr>
                            <w:sz w:val="16"/>
                          </w:rPr>
                          <w:t>de</w:t>
                          <w:tab/>
                          <w:t>como una</w:t>
                        </w:r>
                        <w:r>
                          <w:rPr>
                            <w:spacing w:val="-20"/>
                            <w:sz w:val="16"/>
                          </w:rPr>
                          <w:t> </w:t>
                        </w:r>
                        <w:r>
                          <w:rPr>
                            <w:sz w:val="16"/>
                          </w:rPr>
                          <w:t>variable</w:t>
                        </w:r>
                        <w:r>
                          <w:rPr>
                            <w:spacing w:val="-10"/>
                            <w:sz w:val="16"/>
                          </w:rPr>
                          <w:t> </w:t>
                        </w:r>
                        <w:r>
                          <w:rPr>
                            <w:sz w:val="16"/>
                          </w:rPr>
                          <w:t>de</w:t>
                        </w:r>
                        <w:r>
                          <w:rPr>
                            <w:spacing w:val="-2"/>
                            <w:w w:val="101"/>
                            <w:sz w:val="16"/>
                          </w:rPr>
                          <w:t> </w:t>
                        </w:r>
                        <w:r>
                          <w:rPr>
                            <w:sz w:val="16"/>
                          </w:rPr>
                          <w:t>pisos</w:t>
                          <w:tab/>
                          <w:t>vulnerabilidad, debido</w:t>
                        </w:r>
                        <w:r>
                          <w:rPr>
                            <w:spacing w:val="-24"/>
                            <w:sz w:val="16"/>
                          </w:rPr>
                          <w:t> </w:t>
                        </w:r>
                        <w:r>
                          <w:rPr>
                            <w:sz w:val="16"/>
                          </w:rPr>
                          <w:t>a</w:t>
                        </w:r>
                      </w:p>
                      <w:p>
                        <w:pPr>
                          <w:pStyle w:val="TableParagraph"/>
                          <w:spacing w:before="32"/>
                          <w:ind w:left="2086"/>
                          <w:rPr>
                            <w:sz w:val="16"/>
                          </w:rPr>
                        </w:pPr>
                        <w:r>
                          <w:rPr>
                            <w:sz w:val="16"/>
                          </w:rPr>
                          <w:t>que su altura incide en</w:t>
                        </w:r>
                      </w:p>
                      <w:p>
                        <w:pPr>
                          <w:pStyle w:val="TableParagraph"/>
                          <w:tabs>
                            <w:tab w:pos="582" w:val="left" w:leader="none"/>
                            <w:tab w:pos="1963" w:val="left" w:leader="none"/>
                            <w:tab w:pos="3926" w:val="left" w:leader="none"/>
                          </w:tabs>
                          <w:spacing w:before="16"/>
                          <w:ind w:left="34"/>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pacing w:val="-12"/>
                            <w:sz w:val="16"/>
                            <w:u w:val="dotted" w:color="929292"/>
                          </w:rPr>
                          <w:t> </w:t>
                        </w:r>
                        <w:r>
                          <w:rPr>
                            <w:spacing w:val="-1"/>
                            <w:sz w:val="16"/>
                            <w:u w:val="dotted" w:color="929292"/>
                          </w:rPr>
                          <w:t>su</w:t>
                        </w:r>
                        <w:r>
                          <w:rPr>
                            <w:spacing w:val="2"/>
                            <w:sz w:val="16"/>
                            <w:u w:val="dotted" w:color="929292"/>
                          </w:rPr>
                          <w:t> </w:t>
                        </w:r>
                        <w:r>
                          <w:rPr>
                            <w:sz w:val="16"/>
                            <w:u w:val="dotted" w:color="929292"/>
                          </w:rPr>
                          <w:t>comportamiento</w:t>
                          <w:tab/>
                        </w:r>
                      </w:p>
                      <w:p>
                        <w:pPr>
                          <w:pStyle w:val="TableParagraph"/>
                          <w:rPr>
                            <w:sz w:val="16"/>
                          </w:rPr>
                        </w:pPr>
                      </w:p>
                      <w:p>
                        <w:pPr>
                          <w:pStyle w:val="TableParagraph"/>
                          <w:rPr>
                            <w:sz w:val="16"/>
                          </w:rPr>
                        </w:pPr>
                      </w:p>
                      <w:p>
                        <w:pPr>
                          <w:pStyle w:val="TableParagraph"/>
                          <w:tabs>
                            <w:tab w:pos="582" w:val="left" w:leader="none"/>
                            <w:tab w:pos="1963" w:val="left" w:leader="none"/>
                            <w:tab w:pos="3926" w:val="left" w:leader="none"/>
                          </w:tabs>
                          <w:spacing w:before="122"/>
                          <w:ind w:left="34"/>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tc>
                    <w:tc>
                      <w:tcPr>
                        <w:tcW w:w="2421" w:type="dxa"/>
                        <w:tcBorders>
                          <w:bottom w:val="single" w:sz="4" w:space="0" w:color="FFFFFF"/>
                        </w:tcBorders>
                      </w:tcPr>
                      <w:p>
                        <w:pPr>
                          <w:pStyle w:val="TableParagraph"/>
                          <w:tabs>
                            <w:tab w:pos="2400" w:val="left" w:leader="none"/>
                          </w:tabs>
                          <w:spacing w:line="163" w:lineRule="exact"/>
                          <w:ind w:left="24"/>
                          <w:rPr>
                            <w:sz w:val="16"/>
                          </w:rPr>
                        </w:pPr>
                        <w:r>
                          <w:rPr>
                            <w:w w:val="100"/>
                            <w:sz w:val="16"/>
                            <w:u w:val="dotted" w:color="929292"/>
                          </w:rPr>
                          <w:t> </w:t>
                        </w:r>
                        <w:r>
                          <w:rPr>
                            <w:spacing w:val="-11"/>
                            <w:sz w:val="16"/>
                            <w:u w:val="dotted" w:color="929292"/>
                          </w:rPr>
                          <w:t> </w:t>
                        </w:r>
                        <w:r>
                          <w:rPr>
                            <w:spacing w:val="-1"/>
                            <w:sz w:val="16"/>
                            <w:u w:val="dotted" w:color="929292"/>
                          </w:rPr>
                          <w:t>Estructura</w:t>
                        </w:r>
                        <w:r>
                          <w:rPr>
                            <w:spacing w:val="-15"/>
                            <w:sz w:val="16"/>
                            <w:u w:val="dotted" w:color="929292"/>
                          </w:rPr>
                          <w:t> </w:t>
                        </w:r>
                        <w:r>
                          <w:rPr>
                            <w:sz w:val="16"/>
                            <w:u w:val="dotted" w:color="929292"/>
                          </w:rPr>
                          <w:t>metálica</w:t>
                          <w:tab/>
                        </w:r>
                      </w:p>
                    </w:tc>
                    <w:tc>
                      <w:tcPr>
                        <w:tcW w:w="1348" w:type="dxa"/>
                        <w:tcBorders>
                          <w:bottom w:val="single" w:sz="4" w:space="0" w:color="FFFFFF"/>
                          <w:right w:val="nil"/>
                        </w:tcBorders>
                      </w:tcPr>
                      <w:p>
                        <w:pPr>
                          <w:pStyle w:val="TableParagraph"/>
                          <w:tabs>
                            <w:tab w:pos="1322" w:val="left" w:leader="none"/>
                          </w:tabs>
                          <w:spacing w:line="175" w:lineRule="exact"/>
                          <w:ind w:left="24"/>
                          <w:rPr>
                            <w:sz w:val="18"/>
                          </w:rPr>
                        </w:pPr>
                        <w:r>
                          <w:rPr>
                            <w:w w:val="100"/>
                            <w:sz w:val="18"/>
                            <w:u w:val="dotted" w:color="929292"/>
                          </w:rPr>
                          <w:t> </w:t>
                        </w:r>
                        <w:r>
                          <w:rPr>
                            <w:spacing w:val="-22"/>
                            <w:sz w:val="18"/>
                            <w:u w:val="dotted" w:color="929292"/>
                          </w:rPr>
                          <w:t> </w:t>
                        </w:r>
                        <w:r>
                          <w:rPr>
                            <w:sz w:val="18"/>
                            <w:u w:val="dotted" w:color="929292"/>
                          </w:rPr>
                          <w:t>5</w:t>
                          <w:tab/>
                        </w:r>
                      </w:p>
                    </w:tc>
                  </w:tr>
                  <w:tr>
                    <w:trPr>
                      <w:trHeight w:val="230" w:hRule="exact"/>
                    </w:trPr>
                    <w:tc>
                      <w:tcPr>
                        <w:tcW w:w="3942" w:type="dxa"/>
                        <w:gridSpan w:val="3"/>
                        <w:vMerge/>
                        <w:tcBorders>
                          <w:left w:val="nil"/>
                        </w:tcBorders>
                      </w:tcPr>
                      <w:p>
                        <w:pPr/>
                      </w:p>
                    </w:tc>
                    <w:tc>
                      <w:tcPr>
                        <w:tcW w:w="2421" w:type="dxa"/>
                        <w:tcBorders>
                          <w:top w:val="single" w:sz="4" w:space="0" w:color="FFFFFF"/>
                        </w:tcBorders>
                      </w:tcPr>
                      <w:p>
                        <w:pPr>
                          <w:pStyle w:val="TableParagraph"/>
                          <w:spacing w:before="17"/>
                          <w:ind w:left="103"/>
                          <w:rPr>
                            <w:sz w:val="16"/>
                          </w:rPr>
                        </w:pPr>
                        <w:r>
                          <w:rPr>
                            <w:sz w:val="16"/>
                          </w:rPr>
                          <w:t>Estructura de madera</w:t>
                        </w:r>
                      </w:p>
                    </w:tc>
                    <w:tc>
                      <w:tcPr>
                        <w:tcW w:w="1348" w:type="dxa"/>
                        <w:tcBorders>
                          <w:top w:val="single" w:sz="4" w:space="0" w:color="FFFFFF"/>
                          <w:right w:val="nil"/>
                        </w:tcBorders>
                      </w:tcPr>
                      <w:p>
                        <w:pPr>
                          <w:pStyle w:val="TableParagraph"/>
                          <w:spacing w:before="5"/>
                          <w:ind w:left="103" w:right="277"/>
                          <w:rPr>
                            <w:sz w:val="18"/>
                          </w:rPr>
                        </w:pPr>
                        <w:r>
                          <w:rPr>
                            <w:sz w:val="18"/>
                          </w:rPr>
                          <w:t>10</w:t>
                        </w:r>
                      </w:p>
                    </w:tc>
                  </w:tr>
                  <w:tr>
                    <w:trPr>
                      <w:trHeight w:val="139" w:hRule="exact"/>
                    </w:trPr>
                    <w:tc>
                      <w:tcPr>
                        <w:tcW w:w="3942" w:type="dxa"/>
                        <w:gridSpan w:val="3"/>
                        <w:vMerge/>
                        <w:tcBorders>
                          <w:left w:val="nil"/>
                        </w:tcBorders>
                      </w:tcPr>
                      <w:p>
                        <w:pPr/>
                      </w:p>
                    </w:tc>
                    <w:tc>
                      <w:tcPr>
                        <w:tcW w:w="2421" w:type="dxa"/>
                        <w:tcBorders>
                          <w:bottom w:val="single" w:sz="4"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z w:val="16"/>
                            <w:u w:val="dotted" w:color="929292"/>
                          </w:rPr>
                          <w:t>Estructura de</w:t>
                        </w:r>
                        <w:r>
                          <w:rPr>
                            <w:spacing w:val="-26"/>
                            <w:sz w:val="16"/>
                            <w:u w:val="dotted" w:color="929292"/>
                          </w:rPr>
                          <w:t> </w:t>
                        </w:r>
                        <w:r>
                          <w:rPr>
                            <w:sz w:val="16"/>
                            <w:u w:val="dotted" w:color="929292"/>
                          </w:rPr>
                          <w:t>caña</w:t>
                          <w:tab/>
                        </w:r>
                      </w:p>
                    </w:tc>
                    <w:tc>
                      <w:tcPr>
                        <w:tcW w:w="1348" w:type="dxa"/>
                        <w:tcBorders>
                          <w:bottom w:val="single" w:sz="4"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10</w:t>
                          <w:tab/>
                        </w:r>
                      </w:p>
                    </w:tc>
                  </w:tr>
                  <w:tr>
                    <w:trPr>
                      <w:trHeight w:val="139"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z w:val="16"/>
                            <w:u w:val="dotted" w:color="929292"/>
                          </w:rPr>
                          <w:t>Estructura de pared</w:t>
                        </w:r>
                        <w:r>
                          <w:rPr>
                            <w:spacing w:val="-26"/>
                            <w:sz w:val="16"/>
                            <w:u w:val="dotted" w:color="929292"/>
                          </w:rPr>
                          <w:t> </w:t>
                        </w:r>
                        <w:r>
                          <w:rPr>
                            <w:sz w:val="16"/>
                            <w:u w:val="dotted" w:color="929292"/>
                          </w:rPr>
                          <w:t>portable</w:t>
                          <w:tab/>
                        </w:r>
                      </w:p>
                    </w:tc>
                    <w:tc>
                      <w:tcPr>
                        <w:tcW w:w="1348" w:type="dxa"/>
                        <w:tcBorders>
                          <w:top w:val="single" w:sz="4" w:space="0" w:color="FFFFFF"/>
                          <w:bottom w:val="single" w:sz="4"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10</w:t>
                          <w:tab/>
                        </w:r>
                      </w:p>
                    </w:tc>
                  </w:tr>
                  <w:tr>
                    <w:trPr>
                      <w:trHeight w:val="139"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pacing w:val="-1"/>
                            <w:sz w:val="16"/>
                            <w:u w:val="dotted" w:color="929292"/>
                          </w:rPr>
                          <w:t>Mixta</w:t>
                        </w:r>
                        <w:r>
                          <w:rPr>
                            <w:spacing w:val="12"/>
                            <w:sz w:val="16"/>
                            <w:u w:val="dotted" w:color="929292"/>
                          </w:rPr>
                          <w:t> </w:t>
                        </w:r>
                        <w:r>
                          <w:rPr>
                            <w:spacing w:val="-1"/>
                            <w:sz w:val="16"/>
                            <w:u w:val="dotted" w:color="929292"/>
                          </w:rPr>
                          <w:t>madera/hormigón</w:t>
                          <w:tab/>
                        </w:r>
                      </w:p>
                    </w:tc>
                    <w:tc>
                      <w:tcPr>
                        <w:tcW w:w="1348" w:type="dxa"/>
                        <w:tcBorders>
                          <w:top w:val="single" w:sz="4" w:space="0" w:color="FFFFFF"/>
                          <w:bottom w:val="single" w:sz="4"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10</w:t>
                          <w:tab/>
                        </w:r>
                      </w:p>
                    </w:tc>
                  </w:tr>
                  <w:tr>
                    <w:trPr>
                      <w:trHeight w:val="191"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82" w:lineRule="exact"/>
                          <w:ind w:left="24"/>
                          <w:rPr>
                            <w:sz w:val="16"/>
                          </w:rPr>
                        </w:pPr>
                        <w:r>
                          <w:rPr>
                            <w:w w:val="100"/>
                            <w:sz w:val="16"/>
                            <w:u w:val="dotted" w:color="929292"/>
                          </w:rPr>
                          <w:t> </w:t>
                        </w:r>
                        <w:r>
                          <w:rPr>
                            <w:spacing w:val="-11"/>
                            <w:sz w:val="16"/>
                            <w:u w:val="dotted" w:color="929292"/>
                          </w:rPr>
                          <w:t> </w:t>
                        </w:r>
                        <w:r>
                          <w:rPr>
                            <w:spacing w:val="-1"/>
                            <w:sz w:val="16"/>
                            <w:u w:val="dotted" w:color="929292"/>
                          </w:rPr>
                          <w:t>Mixta</w:t>
                        </w:r>
                        <w:r>
                          <w:rPr>
                            <w:spacing w:val="16"/>
                            <w:sz w:val="16"/>
                            <w:u w:val="dotted" w:color="929292"/>
                          </w:rPr>
                          <w:t> </w:t>
                        </w:r>
                        <w:r>
                          <w:rPr>
                            <w:spacing w:val="-1"/>
                            <w:sz w:val="16"/>
                            <w:u w:val="dotted" w:color="929292"/>
                          </w:rPr>
                          <w:t>metálica/hormigón</w:t>
                          <w:tab/>
                        </w:r>
                      </w:p>
                    </w:tc>
                    <w:tc>
                      <w:tcPr>
                        <w:tcW w:w="1348" w:type="dxa"/>
                        <w:tcBorders>
                          <w:top w:val="single" w:sz="4" w:space="0" w:color="FFFFFF"/>
                          <w:bottom w:val="single" w:sz="4" w:space="0" w:color="FFFFFF"/>
                          <w:right w:val="nil"/>
                        </w:tcBorders>
                      </w:tcPr>
                      <w:p>
                        <w:pPr>
                          <w:pStyle w:val="TableParagraph"/>
                          <w:tabs>
                            <w:tab w:pos="1322" w:val="left" w:leader="none"/>
                          </w:tabs>
                          <w:spacing w:line="193" w:lineRule="exact"/>
                          <w:ind w:left="24"/>
                          <w:rPr>
                            <w:sz w:val="18"/>
                          </w:rPr>
                        </w:pPr>
                        <w:r>
                          <w:rPr>
                            <w:w w:val="100"/>
                            <w:sz w:val="18"/>
                            <w:u w:val="dotted" w:color="929292"/>
                          </w:rPr>
                          <w:t> </w:t>
                        </w:r>
                        <w:r>
                          <w:rPr>
                            <w:spacing w:val="-22"/>
                            <w:sz w:val="18"/>
                            <w:u w:val="dotted" w:color="929292"/>
                          </w:rPr>
                          <w:t> </w:t>
                        </w:r>
                        <w:r>
                          <w:rPr>
                            <w:sz w:val="18"/>
                            <w:u w:val="dotted" w:color="929292"/>
                          </w:rPr>
                          <w:t>10</w:t>
                          <w:tab/>
                        </w:r>
                      </w:p>
                    </w:tc>
                  </w:tr>
                  <w:tr>
                    <w:trPr>
                      <w:trHeight w:val="780"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rPr>
                            <w:sz w:val="16"/>
                          </w:rPr>
                        </w:pPr>
                      </w:p>
                      <w:p>
                        <w:pPr>
                          <w:pStyle w:val="TableParagraph"/>
                          <w:spacing w:before="108"/>
                          <w:ind w:left="103"/>
                          <w:rPr>
                            <w:sz w:val="16"/>
                          </w:rPr>
                        </w:pPr>
                        <w:r>
                          <w:rPr>
                            <w:sz w:val="16"/>
                          </w:rPr>
                          <w:t>Pared de ladrillo</w:t>
                        </w:r>
                      </w:p>
                      <w:p>
                        <w:pPr>
                          <w:pStyle w:val="TableParagraph"/>
                          <w:tabs>
                            <w:tab w:pos="2400" w:val="left" w:leader="none"/>
                          </w:tabs>
                          <w:spacing w:before="116"/>
                          <w:ind w:left="24"/>
                          <w:rPr>
                            <w:sz w:val="16"/>
                          </w:rPr>
                        </w:pPr>
                        <w:r>
                          <w:rPr>
                            <w:w w:val="100"/>
                            <w:sz w:val="16"/>
                            <w:u w:val="dotted" w:color="929292"/>
                          </w:rPr>
                          <w:t> </w:t>
                        </w:r>
                        <w:r>
                          <w:rPr>
                            <w:sz w:val="16"/>
                            <w:u w:val="dotted" w:color="929292"/>
                          </w:rPr>
                          <w:tab/>
                        </w:r>
                      </w:p>
                    </w:tc>
                    <w:tc>
                      <w:tcPr>
                        <w:tcW w:w="1348" w:type="dxa"/>
                        <w:tcBorders>
                          <w:top w:val="single" w:sz="4" w:space="0" w:color="FFFFFF"/>
                          <w:bottom w:val="single" w:sz="4" w:space="0" w:color="FFFFFF"/>
                          <w:right w:val="nil"/>
                        </w:tcBorders>
                      </w:tcPr>
                      <w:p>
                        <w:pPr>
                          <w:pStyle w:val="TableParagraph"/>
                          <w:spacing w:before="4"/>
                          <w:rPr>
                            <w:sz w:val="24"/>
                          </w:rPr>
                        </w:pPr>
                      </w:p>
                      <w:p>
                        <w:pPr>
                          <w:pStyle w:val="TableParagraph"/>
                          <w:ind w:left="103"/>
                          <w:rPr>
                            <w:sz w:val="18"/>
                          </w:rPr>
                        </w:pPr>
                        <w:r>
                          <w:rPr>
                            <w:w w:val="99"/>
                            <w:sz w:val="18"/>
                          </w:rPr>
                          <w:t>5</w:t>
                        </w:r>
                      </w:p>
                      <w:p>
                        <w:pPr>
                          <w:pStyle w:val="TableParagraph"/>
                          <w:tabs>
                            <w:tab w:pos="1322" w:val="left" w:leader="none"/>
                          </w:tabs>
                          <w:spacing w:before="104"/>
                          <w:ind w:left="24"/>
                          <w:rPr>
                            <w:sz w:val="16"/>
                          </w:rPr>
                        </w:pPr>
                        <w:r>
                          <w:rPr>
                            <w:w w:val="100"/>
                            <w:sz w:val="16"/>
                            <w:u w:val="dotted" w:color="929292"/>
                          </w:rPr>
                          <w:t> </w:t>
                        </w:r>
                        <w:r>
                          <w:rPr>
                            <w:sz w:val="16"/>
                            <w:u w:val="dotted" w:color="929292"/>
                          </w:rPr>
                          <w:tab/>
                        </w:r>
                      </w:p>
                    </w:tc>
                  </w:tr>
                  <w:tr>
                    <w:trPr>
                      <w:trHeight w:val="139"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z w:val="16"/>
                            <w:u w:val="dotted" w:color="929292"/>
                          </w:rPr>
                          <w:t>Pared de</w:t>
                        </w:r>
                        <w:r>
                          <w:rPr>
                            <w:spacing w:val="-17"/>
                            <w:sz w:val="16"/>
                            <w:u w:val="dotted" w:color="929292"/>
                          </w:rPr>
                          <w:t> </w:t>
                        </w:r>
                        <w:r>
                          <w:rPr>
                            <w:sz w:val="16"/>
                            <w:u w:val="dotted" w:color="929292"/>
                          </w:rPr>
                          <w:t>bloque</w:t>
                          <w:tab/>
                        </w:r>
                      </w:p>
                    </w:tc>
                    <w:tc>
                      <w:tcPr>
                        <w:tcW w:w="1348" w:type="dxa"/>
                        <w:tcBorders>
                          <w:top w:val="single" w:sz="4" w:space="0" w:color="FFFFFF"/>
                          <w:bottom w:val="single" w:sz="4"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5</w:t>
                          <w:tab/>
                        </w:r>
                      </w:p>
                    </w:tc>
                  </w:tr>
                  <w:tr>
                    <w:trPr>
                      <w:trHeight w:val="144"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58" w:lineRule="exact"/>
                          <w:ind w:left="24"/>
                          <w:rPr>
                            <w:sz w:val="16"/>
                          </w:rPr>
                        </w:pPr>
                        <w:r>
                          <w:rPr>
                            <w:w w:val="100"/>
                            <w:sz w:val="16"/>
                            <w:u w:val="dotted" w:color="929292"/>
                          </w:rPr>
                          <w:t> </w:t>
                        </w:r>
                        <w:r>
                          <w:rPr>
                            <w:spacing w:val="-11"/>
                            <w:sz w:val="16"/>
                            <w:u w:val="dotted" w:color="929292"/>
                          </w:rPr>
                          <w:t> </w:t>
                        </w:r>
                        <w:r>
                          <w:rPr>
                            <w:sz w:val="16"/>
                            <w:u w:val="dotted" w:color="929292"/>
                          </w:rPr>
                          <w:t>Pared de</w:t>
                        </w:r>
                        <w:r>
                          <w:rPr>
                            <w:spacing w:val="-23"/>
                            <w:sz w:val="16"/>
                            <w:u w:val="dotted" w:color="929292"/>
                          </w:rPr>
                          <w:t> </w:t>
                        </w:r>
                        <w:r>
                          <w:rPr>
                            <w:sz w:val="16"/>
                            <w:u w:val="dotted" w:color="929292"/>
                          </w:rPr>
                          <w:t>piedra</w:t>
                          <w:tab/>
                        </w:r>
                      </w:p>
                    </w:tc>
                    <w:tc>
                      <w:tcPr>
                        <w:tcW w:w="1348" w:type="dxa"/>
                        <w:tcBorders>
                          <w:top w:val="single" w:sz="4" w:space="0" w:color="FFFFFF"/>
                          <w:bottom w:val="single" w:sz="4" w:space="0" w:color="FFFFFF"/>
                          <w:right w:val="nil"/>
                        </w:tcBorders>
                      </w:tcPr>
                      <w:p>
                        <w:pPr>
                          <w:pStyle w:val="TableParagraph"/>
                          <w:tabs>
                            <w:tab w:pos="1322" w:val="left" w:leader="none"/>
                          </w:tabs>
                          <w:spacing w:line="169" w:lineRule="exact"/>
                          <w:ind w:left="24"/>
                          <w:rPr>
                            <w:sz w:val="18"/>
                          </w:rPr>
                        </w:pPr>
                        <w:r>
                          <w:rPr>
                            <w:w w:val="100"/>
                            <w:sz w:val="18"/>
                            <w:u w:val="dotted" w:color="929292"/>
                          </w:rPr>
                          <w:t> </w:t>
                        </w:r>
                        <w:r>
                          <w:rPr>
                            <w:spacing w:val="-22"/>
                            <w:sz w:val="18"/>
                            <w:u w:val="dotted" w:color="929292"/>
                          </w:rPr>
                          <w:t> </w:t>
                        </w:r>
                        <w:r>
                          <w:rPr>
                            <w:sz w:val="18"/>
                            <w:u w:val="dotted" w:color="929292"/>
                          </w:rPr>
                          <w:t>10</w:t>
                          <w:tab/>
                        </w:r>
                      </w:p>
                    </w:tc>
                  </w:tr>
                  <w:tr>
                    <w:trPr>
                      <w:trHeight w:val="218"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before="11"/>
                          <w:ind w:left="24"/>
                          <w:rPr>
                            <w:sz w:val="16"/>
                          </w:rPr>
                        </w:pPr>
                        <w:r>
                          <w:rPr>
                            <w:w w:val="100"/>
                            <w:sz w:val="16"/>
                            <w:u w:val="dotted" w:color="929292"/>
                          </w:rPr>
                          <w:t> </w:t>
                        </w:r>
                        <w:r>
                          <w:rPr>
                            <w:spacing w:val="-11"/>
                            <w:sz w:val="16"/>
                            <w:u w:val="dotted" w:color="929292"/>
                          </w:rPr>
                          <w:t> </w:t>
                        </w:r>
                        <w:r>
                          <w:rPr>
                            <w:sz w:val="16"/>
                            <w:u w:val="dotted" w:color="929292"/>
                          </w:rPr>
                          <w:t>Pared de</w:t>
                        </w:r>
                        <w:r>
                          <w:rPr>
                            <w:spacing w:val="-18"/>
                            <w:sz w:val="16"/>
                            <w:u w:val="dotted" w:color="929292"/>
                          </w:rPr>
                          <w:t> </w:t>
                        </w:r>
                        <w:r>
                          <w:rPr>
                            <w:sz w:val="16"/>
                            <w:u w:val="dotted" w:color="929292"/>
                          </w:rPr>
                          <w:t>adobe</w:t>
                          <w:tab/>
                        </w:r>
                      </w:p>
                    </w:tc>
                    <w:tc>
                      <w:tcPr>
                        <w:tcW w:w="1348" w:type="dxa"/>
                        <w:tcBorders>
                          <w:top w:val="single" w:sz="4" w:space="0" w:color="FFFFFF"/>
                          <w:bottom w:val="single" w:sz="4" w:space="0" w:color="FFFFFF"/>
                          <w:right w:val="nil"/>
                        </w:tcBorders>
                      </w:tcPr>
                      <w:p>
                        <w:pPr>
                          <w:pStyle w:val="TableParagraph"/>
                          <w:tabs>
                            <w:tab w:pos="1322" w:val="left" w:leader="none"/>
                          </w:tabs>
                          <w:spacing w:line="206" w:lineRule="exact"/>
                          <w:ind w:left="24"/>
                          <w:rPr>
                            <w:sz w:val="18"/>
                          </w:rPr>
                        </w:pPr>
                        <w:r>
                          <w:rPr>
                            <w:w w:val="100"/>
                            <w:sz w:val="18"/>
                            <w:u w:val="dotted" w:color="929292"/>
                          </w:rPr>
                          <w:t> </w:t>
                        </w:r>
                        <w:r>
                          <w:rPr>
                            <w:spacing w:val="-22"/>
                            <w:sz w:val="18"/>
                            <w:u w:val="dotted" w:color="929292"/>
                          </w:rPr>
                          <w:t> </w:t>
                        </w:r>
                        <w:r>
                          <w:rPr>
                            <w:sz w:val="18"/>
                            <w:u w:val="dotted" w:color="929292"/>
                          </w:rPr>
                          <w:t>10</w:t>
                          <w:tab/>
                        </w:r>
                      </w:p>
                    </w:tc>
                  </w:tr>
                  <w:tr>
                    <w:trPr>
                      <w:trHeight w:val="350"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spacing w:line="161" w:lineRule="exact"/>
                          <w:ind w:left="103"/>
                          <w:rPr>
                            <w:sz w:val="16"/>
                          </w:rPr>
                        </w:pPr>
                        <w:r>
                          <w:rPr>
                            <w:sz w:val="16"/>
                          </w:rPr>
                          <w:t>Pared de tapia/bahareque/</w:t>
                        </w:r>
                      </w:p>
                      <w:p>
                        <w:pPr>
                          <w:pStyle w:val="TableParagraph"/>
                          <w:tabs>
                            <w:tab w:pos="2400"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madera</w:t>
                          <w:tab/>
                        </w:r>
                      </w:p>
                    </w:tc>
                    <w:tc>
                      <w:tcPr>
                        <w:tcW w:w="1348" w:type="dxa"/>
                        <w:tcBorders>
                          <w:top w:val="single" w:sz="4" w:space="0" w:color="FFFFFF"/>
                          <w:right w:val="nil"/>
                        </w:tcBorders>
                      </w:tcPr>
                      <w:p>
                        <w:pPr>
                          <w:pStyle w:val="TableParagraph"/>
                          <w:spacing w:before="77"/>
                          <w:ind w:left="103" w:right="277"/>
                          <w:rPr>
                            <w:sz w:val="16"/>
                          </w:rPr>
                        </w:pPr>
                        <w:r>
                          <w:rPr>
                            <w:sz w:val="16"/>
                          </w:rPr>
                          <w:t>10</w:t>
                        </w:r>
                      </w:p>
                    </w:tc>
                  </w:tr>
                  <w:tr>
                    <w:trPr>
                      <w:trHeight w:val="724"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spacing w:before="11"/>
                          <w:rPr>
                            <w:sz w:val="22"/>
                          </w:rPr>
                        </w:pPr>
                      </w:p>
                      <w:p>
                        <w:pPr>
                          <w:pStyle w:val="TableParagraph"/>
                          <w:ind w:left="103"/>
                          <w:rPr>
                            <w:sz w:val="16"/>
                          </w:rPr>
                        </w:pPr>
                        <w:r>
                          <w:rPr>
                            <w:sz w:val="16"/>
                          </w:rPr>
                          <w:t>Cubierta metálica</w:t>
                        </w:r>
                      </w:p>
                      <w:p>
                        <w:pPr>
                          <w:pStyle w:val="TableParagraph"/>
                          <w:tabs>
                            <w:tab w:pos="2400" w:val="left" w:leader="none"/>
                          </w:tabs>
                          <w:spacing w:before="116"/>
                          <w:ind w:left="24"/>
                          <w:rPr>
                            <w:sz w:val="16"/>
                          </w:rPr>
                        </w:pPr>
                        <w:r>
                          <w:rPr>
                            <w:w w:val="100"/>
                            <w:sz w:val="16"/>
                            <w:u w:val="dotted" w:color="929292"/>
                          </w:rPr>
                          <w:t> </w:t>
                        </w:r>
                        <w:r>
                          <w:rPr>
                            <w:sz w:val="16"/>
                            <w:u w:val="dotted" w:color="929292"/>
                          </w:rPr>
                          <w:tab/>
                        </w:r>
                      </w:p>
                    </w:tc>
                    <w:tc>
                      <w:tcPr>
                        <w:tcW w:w="1348" w:type="dxa"/>
                        <w:tcBorders>
                          <w:bottom w:val="single" w:sz="4" w:space="0" w:color="FFFFFF"/>
                          <w:right w:val="nil"/>
                        </w:tcBorders>
                      </w:tcPr>
                      <w:p>
                        <w:pPr>
                          <w:pStyle w:val="TableParagraph"/>
                          <w:spacing w:before="11"/>
                          <w:rPr>
                            <w:sz w:val="21"/>
                          </w:rPr>
                        </w:pPr>
                      </w:p>
                      <w:p>
                        <w:pPr>
                          <w:pStyle w:val="TableParagraph"/>
                          <w:ind w:left="103" w:right="277"/>
                          <w:rPr>
                            <w:sz w:val="18"/>
                          </w:rPr>
                        </w:pPr>
                        <w:r>
                          <w:rPr>
                            <w:sz w:val="18"/>
                          </w:rPr>
                          <w:t>NA</w:t>
                        </w:r>
                      </w:p>
                      <w:p>
                        <w:pPr>
                          <w:pStyle w:val="TableParagraph"/>
                          <w:tabs>
                            <w:tab w:pos="1322" w:val="left" w:leader="none"/>
                          </w:tabs>
                          <w:spacing w:before="104"/>
                          <w:ind w:left="24"/>
                          <w:rPr>
                            <w:sz w:val="16"/>
                          </w:rPr>
                        </w:pPr>
                        <w:r>
                          <w:rPr>
                            <w:w w:val="100"/>
                            <w:sz w:val="16"/>
                            <w:u w:val="dotted" w:color="929292"/>
                          </w:rPr>
                          <w:t> </w:t>
                        </w:r>
                        <w:r>
                          <w:rPr>
                            <w:sz w:val="16"/>
                            <w:u w:val="dotted" w:color="929292"/>
                          </w:rPr>
                          <w:tab/>
                        </w:r>
                      </w:p>
                    </w:tc>
                  </w:tr>
                  <w:tr>
                    <w:trPr>
                      <w:trHeight w:val="139"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z w:val="16"/>
                            <w:u w:val="dotted" w:color="929292"/>
                          </w:rPr>
                          <w:t>Losa de hormigón</w:t>
                        </w:r>
                        <w:r>
                          <w:rPr>
                            <w:spacing w:val="-24"/>
                            <w:sz w:val="16"/>
                            <w:u w:val="dotted" w:color="929292"/>
                          </w:rPr>
                          <w:t> </w:t>
                        </w:r>
                        <w:r>
                          <w:rPr>
                            <w:sz w:val="16"/>
                            <w:u w:val="dotted" w:color="929292"/>
                          </w:rPr>
                          <w:t>armado</w:t>
                          <w:tab/>
                        </w:r>
                      </w:p>
                    </w:tc>
                    <w:tc>
                      <w:tcPr>
                        <w:tcW w:w="1348" w:type="dxa"/>
                        <w:tcBorders>
                          <w:top w:val="single" w:sz="4" w:space="0" w:color="FFFFFF"/>
                          <w:bottom w:val="single" w:sz="4"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NA</w:t>
                          <w:tab/>
                        </w:r>
                      </w:p>
                    </w:tc>
                  </w:tr>
                  <w:tr>
                    <w:trPr>
                      <w:trHeight w:val="189"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81" w:lineRule="exact"/>
                          <w:ind w:left="24"/>
                          <w:rPr>
                            <w:sz w:val="16"/>
                          </w:rPr>
                        </w:pPr>
                        <w:r>
                          <w:rPr>
                            <w:w w:val="100"/>
                            <w:sz w:val="16"/>
                            <w:u w:val="dotted" w:color="929292"/>
                          </w:rPr>
                          <w:t> </w:t>
                        </w:r>
                        <w:r>
                          <w:rPr>
                            <w:spacing w:val="-11"/>
                            <w:sz w:val="16"/>
                            <w:u w:val="dotted" w:color="929292"/>
                          </w:rPr>
                          <w:t> </w:t>
                        </w:r>
                        <w:r>
                          <w:rPr>
                            <w:sz w:val="16"/>
                            <w:u w:val="dotted" w:color="929292"/>
                          </w:rPr>
                          <w:t>Vigas</w:t>
                        </w:r>
                        <w:r>
                          <w:rPr>
                            <w:spacing w:val="-12"/>
                            <w:sz w:val="16"/>
                            <w:u w:val="dotted" w:color="929292"/>
                          </w:rPr>
                          <w:t> </w:t>
                        </w:r>
                        <w:r>
                          <w:rPr>
                            <w:sz w:val="16"/>
                            <w:u w:val="dotted" w:color="929292"/>
                          </w:rPr>
                          <w:t>de</w:t>
                        </w:r>
                        <w:r>
                          <w:rPr>
                            <w:spacing w:val="-12"/>
                            <w:sz w:val="16"/>
                            <w:u w:val="dotted" w:color="929292"/>
                          </w:rPr>
                          <w:t> </w:t>
                        </w:r>
                        <w:r>
                          <w:rPr>
                            <w:sz w:val="16"/>
                            <w:u w:val="dotted" w:color="929292"/>
                          </w:rPr>
                          <w:t>madera</w:t>
                        </w:r>
                        <w:r>
                          <w:rPr>
                            <w:spacing w:val="-12"/>
                            <w:sz w:val="16"/>
                            <w:u w:val="dotted" w:color="929292"/>
                          </w:rPr>
                          <w:t> </w:t>
                        </w:r>
                        <w:r>
                          <w:rPr>
                            <w:sz w:val="16"/>
                            <w:u w:val="dotted" w:color="929292"/>
                          </w:rPr>
                          <w:t>y</w:t>
                        </w:r>
                        <w:r>
                          <w:rPr>
                            <w:spacing w:val="-12"/>
                            <w:sz w:val="16"/>
                            <w:u w:val="dotted" w:color="929292"/>
                          </w:rPr>
                          <w:t> </w:t>
                        </w:r>
                        <w:r>
                          <w:rPr>
                            <w:sz w:val="16"/>
                            <w:u w:val="dotted" w:color="929292"/>
                          </w:rPr>
                          <w:t>zinc</w:t>
                          <w:tab/>
                        </w:r>
                      </w:p>
                    </w:tc>
                    <w:tc>
                      <w:tcPr>
                        <w:tcW w:w="1348" w:type="dxa"/>
                        <w:tcBorders>
                          <w:top w:val="single" w:sz="4" w:space="0" w:color="FFFFFF"/>
                          <w:bottom w:val="single" w:sz="4" w:space="0" w:color="FFFFFF"/>
                          <w:right w:val="nil"/>
                        </w:tcBorders>
                      </w:tcPr>
                      <w:p>
                        <w:pPr>
                          <w:pStyle w:val="TableParagraph"/>
                          <w:tabs>
                            <w:tab w:pos="1322" w:val="left" w:leader="none"/>
                          </w:tabs>
                          <w:spacing w:line="192" w:lineRule="exact"/>
                          <w:ind w:left="24"/>
                          <w:rPr>
                            <w:sz w:val="18"/>
                          </w:rPr>
                        </w:pPr>
                        <w:r>
                          <w:rPr>
                            <w:w w:val="100"/>
                            <w:sz w:val="18"/>
                            <w:u w:val="dotted" w:color="929292"/>
                          </w:rPr>
                          <w:t> </w:t>
                        </w:r>
                        <w:r>
                          <w:rPr>
                            <w:spacing w:val="-22"/>
                            <w:sz w:val="18"/>
                            <w:u w:val="dotted" w:color="929292"/>
                          </w:rPr>
                          <w:t> </w:t>
                        </w:r>
                        <w:r>
                          <w:rPr>
                            <w:sz w:val="18"/>
                            <w:u w:val="dotted" w:color="929292"/>
                          </w:rPr>
                          <w:t>NA</w:t>
                          <w:tab/>
                        </w:r>
                      </w:p>
                    </w:tc>
                  </w:tr>
                  <w:tr>
                    <w:trPr>
                      <w:trHeight w:val="139"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z w:val="16"/>
                            <w:u w:val="dotted" w:color="929292"/>
                          </w:rPr>
                          <w:t>Caña y</w:t>
                        </w:r>
                        <w:r>
                          <w:rPr>
                            <w:spacing w:val="-24"/>
                            <w:sz w:val="16"/>
                            <w:u w:val="dotted" w:color="929292"/>
                          </w:rPr>
                          <w:t> </w:t>
                        </w:r>
                        <w:r>
                          <w:rPr>
                            <w:sz w:val="16"/>
                            <w:u w:val="dotted" w:color="929292"/>
                          </w:rPr>
                          <w:t>zinc</w:t>
                          <w:tab/>
                        </w:r>
                      </w:p>
                    </w:tc>
                    <w:tc>
                      <w:tcPr>
                        <w:tcW w:w="1348" w:type="dxa"/>
                        <w:tcBorders>
                          <w:top w:val="single" w:sz="4" w:space="0" w:color="FFFFFF"/>
                          <w:bottom w:val="single" w:sz="4"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NA</w:t>
                          <w:tab/>
                        </w:r>
                      </w:p>
                    </w:tc>
                  </w:tr>
                  <w:tr>
                    <w:trPr>
                      <w:trHeight w:val="181"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77" w:lineRule="exact"/>
                          <w:ind w:left="24"/>
                          <w:rPr>
                            <w:sz w:val="16"/>
                          </w:rPr>
                        </w:pPr>
                        <w:r>
                          <w:rPr>
                            <w:w w:val="100"/>
                            <w:sz w:val="16"/>
                            <w:u w:val="dotted" w:color="929292"/>
                          </w:rPr>
                          <w:t> </w:t>
                        </w:r>
                        <w:r>
                          <w:rPr>
                            <w:spacing w:val="-11"/>
                            <w:sz w:val="16"/>
                            <w:u w:val="dotted" w:color="929292"/>
                          </w:rPr>
                          <w:t> </w:t>
                        </w:r>
                        <w:r>
                          <w:rPr>
                            <w:sz w:val="16"/>
                            <w:u w:val="dotted" w:color="929292"/>
                          </w:rPr>
                          <w:t>Vigas</w:t>
                        </w:r>
                        <w:r>
                          <w:rPr>
                            <w:spacing w:val="-13"/>
                            <w:sz w:val="16"/>
                            <w:u w:val="dotted" w:color="929292"/>
                          </w:rPr>
                          <w:t> </w:t>
                        </w:r>
                        <w:r>
                          <w:rPr>
                            <w:sz w:val="16"/>
                            <w:u w:val="dotted" w:color="929292"/>
                          </w:rPr>
                          <w:t>de</w:t>
                        </w:r>
                        <w:r>
                          <w:rPr>
                            <w:spacing w:val="-13"/>
                            <w:sz w:val="16"/>
                            <w:u w:val="dotted" w:color="929292"/>
                          </w:rPr>
                          <w:t> </w:t>
                        </w:r>
                        <w:r>
                          <w:rPr>
                            <w:sz w:val="16"/>
                            <w:u w:val="dotted" w:color="929292"/>
                          </w:rPr>
                          <w:t>madera</w:t>
                        </w:r>
                        <w:r>
                          <w:rPr>
                            <w:spacing w:val="-13"/>
                            <w:sz w:val="16"/>
                            <w:u w:val="dotted" w:color="929292"/>
                          </w:rPr>
                          <w:t> </w:t>
                        </w:r>
                        <w:r>
                          <w:rPr>
                            <w:sz w:val="16"/>
                            <w:u w:val="dotted" w:color="929292"/>
                          </w:rPr>
                          <w:t>y</w:t>
                        </w:r>
                        <w:r>
                          <w:rPr>
                            <w:spacing w:val="-13"/>
                            <w:sz w:val="16"/>
                            <w:u w:val="dotted" w:color="929292"/>
                          </w:rPr>
                          <w:t> </w:t>
                        </w:r>
                        <w:r>
                          <w:rPr>
                            <w:sz w:val="16"/>
                            <w:u w:val="dotted" w:color="929292"/>
                          </w:rPr>
                          <w:t>teja</w:t>
                          <w:tab/>
                        </w:r>
                      </w:p>
                    </w:tc>
                    <w:tc>
                      <w:tcPr>
                        <w:tcW w:w="1348" w:type="dxa"/>
                        <w:tcBorders>
                          <w:top w:val="single" w:sz="4" w:space="0" w:color="FFFFFF"/>
                          <w:bottom w:val="single" w:sz="4" w:space="0" w:color="FFFFFF"/>
                          <w:right w:val="nil"/>
                        </w:tcBorders>
                      </w:tcPr>
                      <w:p>
                        <w:pPr>
                          <w:pStyle w:val="TableParagraph"/>
                          <w:tabs>
                            <w:tab w:pos="1322" w:val="left" w:leader="none"/>
                          </w:tabs>
                          <w:spacing w:line="188" w:lineRule="exact"/>
                          <w:ind w:left="24"/>
                          <w:rPr>
                            <w:sz w:val="18"/>
                          </w:rPr>
                        </w:pPr>
                        <w:r>
                          <w:rPr>
                            <w:w w:val="100"/>
                            <w:sz w:val="18"/>
                            <w:u w:val="dotted" w:color="929292"/>
                          </w:rPr>
                          <w:t> </w:t>
                        </w:r>
                        <w:r>
                          <w:rPr>
                            <w:spacing w:val="-22"/>
                            <w:sz w:val="18"/>
                            <w:u w:val="dotted" w:color="929292"/>
                          </w:rPr>
                          <w:t> </w:t>
                        </w:r>
                        <w:r>
                          <w:rPr>
                            <w:sz w:val="18"/>
                            <w:u w:val="dotted" w:color="929292"/>
                          </w:rPr>
                          <w:t>NA</w:t>
                          <w:tab/>
                        </w:r>
                      </w:p>
                    </w:tc>
                  </w:tr>
                  <w:tr>
                    <w:trPr>
                      <w:trHeight w:val="780"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rPr>
                            <w:sz w:val="16"/>
                          </w:rPr>
                        </w:pPr>
                      </w:p>
                      <w:p>
                        <w:pPr>
                          <w:pStyle w:val="TableParagraph"/>
                          <w:spacing w:before="108"/>
                          <w:ind w:left="103"/>
                          <w:rPr>
                            <w:sz w:val="16"/>
                          </w:rPr>
                        </w:pPr>
                        <w:r>
                          <w:rPr>
                            <w:sz w:val="16"/>
                          </w:rPr>
                          <w:t>Losa de hormigón armado</w:t>
                        </w:r>
                      </w:p>
                      <w:p>
                        <w:pPr>
                          <w:pStyle w:val="TableParagraph"/>
                          <w:tabs>
                            <w:tab w:pos="2400" w:val="left" w:leader="none"/>
                          </w:tabs>
                          <w:spacing w:before="116"/>
                          <w:ind w:left="24"/>
                          <w:rPr>
                            <w:sz w:val="16"/>
                          </w:rPr>
                        </w:pPr>
                        <w:r>
                          <w:rPr>
                            <w:w w:val="100"/>
                            <w:sz w:val="16"/>
                            <w:u w:val="dotted" w:color="929292"/>
                          </w:rPr>
                          <w:t> </w:t>
                        </w:r>
                        <w:r>
                          <w:rPr>
                            <w:sz w:val="16"/>
                            <w:u w:val="dotted" w:color="929292"/>
                          </w:rPr>
                          <w:tab/>
                        </w:r>
                      </w:p>
                    </w:tc>
                    <w:tc>
                      <w:tcPr>
                        <w:tcW w:w="1348" w:type="dxa"/>
                        <w:tcBorders>
                          <w:top w:val="single" w:sz="4" w:space="0" w:color="FFFFFF"/>
                          <w:bottom w:val="single" w:sz="4" w:space="0" w:color="FFFFFF"/>
                          <w:right w:val="nil"/>
                        </w:tcBorders>
                      </w:tcPr>
                      <w:p>
                        <w:pPr>
                          <w:pStyle w:val="TableParagraph"/>
                          <w:spacing w:before="4"/>
                          <w:rPr>
                            <w:sz w:val="24"/>
                          </w:rPr>
                        </w:pPr>
                      </w:p>
                      <w:p>
                        <w:pPr>
                          <w:pStyle w:val="TableParagraph"/>
                          <w:ind w:left="103" w:right="277"/>
                          <w:rPr>
                            <w:sz w:val="18"/>
                          </w:rPr>
                        </w:pPr>
                        <w:r>
                          <w:rPr>
                            <w:sz w:val="18"/>
                          </w:rPr>
                          <w:t>NA</w:t>
                        </w:r>
                      </w:p>
                      <w:p>
                        <w:pPr>
                          <w:pStyle w:val="TableParagraph"/>
                          <w:tabs>
                            <w:tab w:pos="1322" w:val="left" w:leader="none"/>
                          </w:tabs>
                          <w:spacing w:before="104"/>
                          <w:ind w:left="24"/>
                          <w:rPr>
                            <w:sz w:val="16"/>
                          </w:rPr>
                        </w:pPr>
                        <w:r>
                          <w:rPr>
                            <w:w w:val="100"/>
                            <w:sz w:val="16"/>
                            <w:u w:val="dotted" w:color="929292"/>
                          </w:rPr>
                          <w:t> </w:t>
                        </w:r>
                        <w:r>
                          <w:rPr>
                            <w:sz w:val="16"/>
                            <w:u w:val="dotted" w:color="929292"/>
                          </w:rPr>
                          <w:tab/>
                        </w:r>
                      </w:p>
                    </w:tc>
                  </w:tr>
                  <w:tr>
                    <w:trPr>
                      <w:trHeight w:val="199"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before="1"/>
                          <w:ind w:left="24"/>
                          <w:rPr>
                            <w:sz w:val="16"/>
                          </w:rPr>
                        </w:pPr>
                        <w:r>
                          <w:rPr>
                            <w:w w:val="100"/>
                            <w:sz w:val="16"/>
                            <w:u w:val="dotted" w:color="929292"/>
                          </w:rPr>
                          <w:t> </w:t>
                        </w:r>
                        <w:r>
                          <w:rPr>
                            <w:spacing w:val="-11"/>
                            <w:sz w:val="16"/>
                            <w:u w:val="dotted" w:color="929292"/>
                          </w:rPr>
                          <w:t> </w:t>
                        </w:r>
                        <w:r>
                          <w:rPr>
                            <w:sz w:val="16"/>
                            <w:u w:val="dotted" w:color="929292"/>
                          </w:rPr>
                          <w:t>Vigas</w:t>
                        </w:r>
                        <w:r>
                          <w:rPr>
                            <w:spacing w:val="-16"/>
                            <w:sz w:val="16"/>
                            <w:u w:val="dotted" w:color="929292"/>
                          </w:rPr>
                          <w:t> </w:t>
                        </w:r>
                        <w:r>
                          <w:rPr>
                            <w:sz w:val="16"/>
                            <w:u w:val="dotted" w:color="929292"/>
                          </w:rPr>
                          <w:t>y</w:t>
                        </w:r>
                        <w:r>
                          <w:rPr>
                            <w:spacing w:val="-16"/>
                            <w:sz w:val="16"/>
                            <w:u w:val="dotted" w:color="929292"/>
                          </w:rPr>
                          <w:t> </w:t>
                        </w:r>
                        <w:r>
                          <w:rPr>
                            <w:sz w:val="16"/>
                            <w:u w:val="dotted" w:color="929292"/>
                          </w:rPr>
                          <w:t>entramado</w:t>
                        </w:r>
                        <w:r>
                          <w:rPr>
                            <w:spacing w:val="-16"/>
                            <w:sz w:val="16"/>
                            <w:u w:val="dotted" w:color="929292"/>
                          </w:rPr>
                          <w:t> </w:t>
                        </w:r>
                        <w:r>
                          <w:rPr>
                            <w:sz w:val="16"/>
                            <w:u w:val="dotted" w:color="929292"/>
                          </w:rPr>
                          <w:t>madera</w:t>
                          <w:tab/>
                        </w:r>
                      </w:p>
                    </w:tc>
                    <w:tc>
                      <w:tcPr>
                        <w:tcW w:w="1348" w:type="dxa"/>
                        <w:tcBorders>
                          <w:top w:val="single" w:sz="4" w:space="0" w:color="FFFFFF"/>
                          <w:bottom w:val="single" w:sz="4" w:space="0" w:color="FFFFFF"/>
                          <w:right w:val="nil"/>
                        </w:tcBorders>
                      </w:tcPr>
                      <w:p>
                        <w:pPr>
                          <w:pStyle w:val="TableParagraph"/>
                          <w:tabs>
                            <w:tab w:pos="1322" w:val="left" w:leader="none"/>
                          </w:tabs>
                          <w:spacing w:line="197" w:lineRule="exact"/>
                          <w:ind w:left="24"/>
                          <w:rPr>
                            <w:sz w:val="18"/>
                          </w:rPr>
                        </w:pPr>
                        <w:r>
                          <w:rPr>
                            <w:w w:val="100"/>
                            <w:sz w:val="18"/>
                            <w:u w:val="dotted" w:color="929292"/>
                          </w:rPr>
                          <w:t> </w:t>
                        </w:r>
                        <w:r>
                          <w:rPr>
                            <w:spacing w:val="-22"/>
                            <w:sz w:val="18"/>
                            <w:u w:val="dotted" w:color="929292"/>
                          </w:rPr>
                          <w:t> </w:t>
                        </w:r>
                        <w:r>
                          <w:rPr>
                            <w:sz w:val="18"/>
                            <w:u w:val="dotted" w:color="929292"/>
                          </w:rPr>
                          <w:t>NA</w:t>
                          <w:tab/>
                        </w:r>
                      </w:p>
                    </w:tc>
                  </w:tr>
                  <w:tr>
                    <w:trPr>
                      <w:trHeight w:val="139"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pacing w:val="-1"/>
                            <w:sz w:val="16"/>
                            <w:u w:val="dotted" w:color="929292"/>
                          </w:rPr>
                          <w:t>Entramado</w:t>
                        </w:r>
                        <w:r>
                          <w:rPr>
                            <w:spacing w:val="-9"/>
                            <w:sz w:val="16"/>
                            <w:u w:val="dotted" w:color="929292"/>
                          </w:rPr>
                          <w:t> </w:t>
                        </w:r>
                        <w:r>
                          <w:rPr>
                            <w:spacing w:val="-1"/>
                            <w:sz w:val="16"/>
                            <w:u w:val="dotted" w:color="929292"/>
                          </w:rPr>
                          <w:t>madera/caña</w:t>
                          <w:tab/>
                        </w:r>
                      </w:p>
                    </w:tc>
                    <w:tc>
                      <w:tcPr>
                        <w:tcW w:w="1348" w:type="dxa"/>
                        <w:tcBorders>
                          <w:top w:val="single" w:sz="4" w:space="0" w:color="FFFFFF"/>
                          <w:bottom w:val="single" w:sz="4"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NA</w:t>
                          <w:tab/>
                        </w:r>
                      </w:p>
                    </w:tc>
                  </w:tr>
                  <w:tr>
                    <w:trPr>
                      <w:trHeight w:val="191"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82" w:lineRule="exact"/>
                          <w:ind w:left="24"/>
                          <w:rPr>
                            <w:sz w:val="16"/>
                          </w:rPr>
                        </w:pPr>
                        <w:r>
                          <w:rPr>
                            <w:w w:val="100"/>
                            <w:sz w:val="16"/>
                            <w:u w:val="dotted" w:color="929292"/>
                          </w:rPr>
                          <w:t> </w:t>
                        </w:r>
                        <w:r>
                          <w:rPr>
                            <w:spacing w:val="-11"/>
                            <w:sz w:val="16"/>
                            <w:u w:val="dotted" w:color="929292"/>
                          </w:rPr>
                          <w:t> </w:t>
                        </w:r>
                        <w:r>
                          <w:rPr>
                            <w:spacing w:val="-1"/>
                            <w:sz w:val="16"/>
                            <w:u w:val="dotted" w:color="929292"/>
                          </w:rPr>
                          <w:t>Entramado</w:t>
                        </w:r>
                        <w:r>
                          <w:rPr>
                            <w:spacing w:val="-11"/>
                            <w:sz w:val="16"/>
                            <w:u w:val="dotted" w:color="929292"/>
                          </w:rPr>
                          <w:t> </w:t>
                        </w:r>
                        <w:r>
                          <w:rPr>
                            <w:sz w:val="16"/>
                            <w:u w:val="dotted" w:color="929292"/>
                          </w:rPr>
                          <w:t>metálico</w:t>
                          <w:tab/>
                        </w:r>
                      </w:p>
                    </w:tc>
                    <w:tc>
                      <w:tcPr>
                        <w:tcW w:w="1348" w:type="dxa"/>
                        <w:tcBorders>
                          <w:top w:val="single" w:sz="4" w:space="0" w:color="FFFFFF"/>
                          <w:bottom w:val="single" w:sz="4" w:space="0" w:color="FFFFFF"/>
                          <w:right w:val="nil"/>
                        </w:tcBorders>
                      </w:tcPr>
                      <w:p>
                        <w:pPr>
                          <w:pStyle w:val="TableParagraph"/>
                          <w:tabs>
                            <w:tab w:pos="1322" w:val="left" w:leader="none"/>
                          </w:tabs>
                          <w:spacing w:line="193" w:lineRule="exact"/>
                          <w:ind w:left="24"/>
                          <w:rPr>
                            <w:sz w:val="18"/>
                          </w:rPr>
                        </w:pPr>
                        <w:r>
                          <w:rPr>
                            <w:w w:val="100"/>
                            <w:sz w:val="18"/>
                            <w:u w:val="dotted" w:color="929292"/>
                          </w:rPr>
                          <w:t> </w:t>
                        </w:r>
                        <w:r>
                          <w:rPr>
                            <w:spacing w:val="-22"/>
                            <w:sz w:val="18"/>
                            <w:u w:val="dotted" w:color="929292"/>
                          </w:rPr>
                          <w:t> </w:t>
                        </w:r>
                        <w:r>
                          <w:rPr>
                            <w:sz w:val="18"/>
                            <w:u w:val="dotted" w:color="929292"/>
                          </w:rPr>
                          <w:t>NA</w:t>
                          <w:tab/>
                        </w:r>
                      </w:p>
                    </w:tc>
                  </w:tr>
                  <w:tr>
                    <w:trPr>
                      <w:trHeight w:val="213"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spacing w:before="8"/>
                          <w:ind w:left="24"/>
                          <w:rPr>
                            <w:sz w:val="16"/>
                          </w:rPr>
                        </w:pPr>
                        <w:r>
                          <w:rPr>
                            <w:w w:val="100"/>
                            <w:sz w:val="16"/>
                            <w:u w:val="dotted" w:color="929292"/>
                          </w:rPr>
                          <w:t> </w:t>
                        </w:r>
                        <w:r>
                          <w:rPr>
                            <w:sz w:val="16"/>
                            <w:u w:val="dotted" w:color="929292"/>
                          </w:rPr>
                          <w:t> Entramado hormigón /metálico </w:t>
                        </w:r>
                      </w:p>
                    </w:tc>
                    <w:tc>
                      <w:tcPr>
                        <w:tcW w:w="1348" w:type="dxa"/>
                        <w:tcBorders>
                          <w:top w:val="single" w:sz="4" w:space="0" w:color="FFFFFF"/>
                          <w:bottom w:val="single" w:sz="4" w:space="0" w:color="FFFFFF"/>
                          <w:right w:val="nil"/>
                        </w:tcBorders>
                      </w:tcPr>
                      <w:p>
                        <w:pPr>
                          <w:pStyle w:val="TableParagraph"/>
                          <w:tabs>
                            <w:tab w:pos="1322" w:val="left" w:leader="none"/>
                          </w:tabs>
                          <w:spacing w:line="204" w:lineRule="exact"/>
                          <w:ind w:left="24"/>
                          <w:rPr>
                            <w:sz w:val="18"/>
                          </w:rPr>
                        </w:pPr>
                        <w:r>
                          <w:rPr>
                            <w:w w:val="100"/>
                            <w:sz w:val="18"/>
                            <w:u w:val="dotted" w:color="929292"/>
                          </w:rPr>
                          <w:t> </w:t>
                        </w:r>
                        <w:r>
                          <w:rPr>
                            <w:spacing w:val="-22"/>
                            <w:sz w:val="18"/>
                            <w:u w:val="dotted" w:color="929292"/>
                          </w:rPr>
                          <w:t> </w:t>
                        </w:r>
                        <w:r>
                          <w:rPr>
                            <w:sz w:val="18"/>
                            <w:u w:val="dotted" w:color="929292"/>
                          </w:rPr>
                          <w:t>NA</w:t>
                          <w:tab/>
                        </w:r>
                      </w:p>
                    </w:tc>
                  </w:tr>
                  <w:tr>
                    <w:trPr>
                      <w:trHeight w:val="1124"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rPr>
                            <w:sz w:val="16"/>
                          </w:rPr>
                        </w:pPr>
                      </w:p>
                      <w:p>
                        <w:pPr>
                          <w:pStyle w:val="TableParagraph"/>
                          <w:rPr>
                            <w:sz w:val="16"/>
                          </w:rPr>
                        </w:pPr>
                      </w:p>
                      <w:p>
                        <w:pPr>
                          <w:pStyle w:val="TableParagraph"/>
                          <w:spacing w:before="96"/>
                          <w:ind w:left="103"/>
                          <w:rPr>
                            <w:sz w:val="16"/>
                          </w:rPr>
                        </w:pPr>
                        <w:r>
                          <w:rPr>
                            <w:sz w:val="16"/>
                          </w:rPr>
                          <w:t>1 piso</w:t>
                        </w:r>
                      </w:p>
                      <w:p>
                        <w:pPr>
                          <w:pStyle w:val="TableParagraph"/>
                          <w:rPr>
                            <w:sz w:val="16"/>
                          </w:rPr>
                        </w:pPr>
                      </w:p>
                      <w:p>
                        <w:pPr>
                          <w:pStyle w:val="TableParagraph"/>
                          <w:tabs>
                            <w:tab w:pos="2400" w:val="left" w:leader="none"/>
                          </w:tabs>
                          <w:spacing w:before="132"/>
                          <w:ind w:left="24"/>
                          <w:rPr>
                            <w:sz w:val="16"/>
                          </w:rPr>
                        </w:pPr>
                        <w:r>
                          <w:rPr>
                            <w:w w:val="100"/>
                            <w:sz w:val="16"/>
                            <w:u w:val="dotted" w:color="929292"/>
                          </w:rPr>
                          <w:t> </w:t>
                        </w:r>
                        <w:r>
                          <w:rPr>
                            <w:sz w:val="16"/>
                            <w:u w:val="dotted" w:color="929292"/>
                          </w:rPr>
                          <w:tab/>
                        </w:r>
                      </w:p>
                    </w:tc>
                    <w:tc>
                      <w:tcPr>
                        <w:tcW w:w="1348" w:type="dxa"/>
                        <w:tcBorders>
                          <w:top w:val="single" w:sz="4" w:space="0" w:color="FFFFFF"/>
                          <w:bottom w:val="single" w:sz="4" w:space="0" w:color="FFFFFF"/>
                          <w:right w:val="nil"/>
                        </w:tcBorders>
                      </w:tcPr>
                      <w:p>
                        <w:pPr>
                          <w:pStyle w:val="TableParagraph"/>
                          <w:rPr>
                            <w:sz w:val="18"/>
                          </w:rPr>
                        </w:pPr>
                      </w:p>
                      <w:p>
                        <w:pPr>
                          <w:pStyle w:val="TableParagraph"/>
                          <w:spacing w:before="4"/>
                          <w:rPr>
                            <w:sz w:val="21"/>
                          </w:rPr>
                        </w:pPr>
                      </w:p>
                      <w:p>
                        <w:pPr>
                          <w:pStyle w:val="TableParagraph"/>
                          <w:ind w:left="103" w:right="277"/>
                          <w:rPr>
                            <w:sz w:val="18"/>
                          </w:rPr>
                        </w:pPr>
                        <w:r>
                          <w:rPr>
                            <w:sz w:val="18"/>
                          </w:rPr>
                          <w:t>10</w:t>
                        </w:r>
                      </w:p>
                      <w:p>
                        <w:pPr>
                          <w:pStyle w:val="TableParagraph"/>
                          <w:spacing w:before="5"/>
                          <w:rPr>
                            <w:sz w:val="26"/>
                          </w:rPr>
                        </w:pPr>
                      </w:p>
                      <w:p>
                        <w:pPr>
                          <w:pStyle w:val="TableParagraph"/>
                          <w:tabs>
                            <w:tab w:pos="1322" w:val="left" w:leader="none"/>
                          </w:tabs>
                          <w:ind w:left="24"/>
                          <w:rPr>
                            <w:sz w:val="16"/>
                          </w:rPr>
                        </w:pPr>
                        <w:r>
                          <w:rPr>
                            <w:w w:val="100"/>
                            <w:sz w:val="16"/>
                            <w:u w:val="dotted" w:color="929292"/>
                          </w:rPr>
                          <w:t> </w:t>
                        </w:r>
                        <w:r>
                          <w:rPr>
                            <w:sz w:val="16"/>
                            <w:u w:val="dotted" w:color="929292"/>
                          </w:rPr>
                          <w:tab/>
                        </w:r>
                      </w:p>
                    </w:tc>
                  </w:tr>
                  <w:tr>
                    <w:trPr>
                      <w:trHeight w:val="139"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z w:val="16"/>
                            <w:u w:val="dotted" w:color="929292"/>
                          </w:rPr>
                          <w:t>2</w:t>
                        </w:r>
                        <w:r>
                          <w:rPr>
                            <w:spacing w:val="-4"/>
                            <w:sz w:val="16"/>
                            <w:u w:val="dotted" w:color="929292"/>
                          </w:rPr>
                          <w:t> </w:t>
                        </w:r>
                        <w:r>
                          <w:rPr>
                            <w:sz w:val="16"/>
                            <w:u w:val="dotted" w:color="929292"/>
                          </w:rPr>
                          <w:t>pisos</w:t>
                          <w:tab/>
                        </w:r>
                      </w:p>
                    </w:tc>
                    <w:tc>
                      <w:tcPr>
                        <w:tcW w:w="1348" w:type="dxa"/>
                        <w:tcBorders>
                          <w:top w:val="single" w:sz="4" w:space="0" w:color="FFFFFF"/>
                          <w:bottom w:val="single" w:sz="4"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5</w:t>
                          <w:tab/>
                        </w:r>
                      </w:p>
                    </w:tc>
                  </w:tr>
                  <w:tr>
                    <w:trPr>
                      <w:trHeight w:val="165" w:hRule="exact"/>
                    </w:trPr>
                    <w:tc>
                      <w:tcPr>
                        <w:tcW w:w="3942" w:type="dxa"/>
                        <w:gridSpan w:val="3"/>
                        <w:vMerge/>
                        <w:tcBorders>
                          <w:left w:val="nil"/>
                        </w:tcBorders>
                      </w:tcPr>
                      <w:p>
                        <w:pPr/>
                      </w:p>
                    </w:tc>
                    <w:tc>
                      <w:tcPr>
                        <w:tcW w:w="2421" w:type="dxa"/>
                        <w:tcBorders>
                          <w:top w:val="single" w:sz="4" w:space="0" w:color="FFFFFF"/>
                          <w:bottom w:val="single" w:sz="4" w:space="0" w:color="FFFFFF"/>
                        </w:tcBorders>
                      </w:tcPr>
                      <w:p>
                        <w:pPr>
                          <w:pStyle w:val="TableParagraph"/>
                          <w:tabs>
                            <w:tab w:pos="2400" w:val="left" w:leader="none"/>
                          </w:tabs>
                          <w:spacing w:line="169" w:lineRule="exact"/>
                          <w:ind w:left="24"/>
                          <w:rPr>
                            <w:sz w:val="16"/>
                          </w:rPr>
                        </w:pPr>
                        <w:r>
                          <w:rPr>
                            <w:w w:val="100"/>
                            <w:sz w:val="16"/>
                            <w:u w:val="dotted" w:color="929292"/>
                          </w:rPr>
                          <w:t> </w:t>
                        </w:r>
                        <w:r>
                          <w:rPr>
                            <w:spacing w:val="-11"/>
                            <w:sz w:val="16"/>
                            <w:u w:val="dotted" w:color="929292"/>
                          </w:rPr>
                          <w:t> </w:t>
                        </w:r>
                        <w:r>
                          <w:rPr>
                            <w:sz w:val="16"/>
                            <w:u w:val="dotted" w:color="929292"/>
                          </w:rPr>
                          <w:t>3</w:t>
                        </w:r>
                        <w:r>
                          <w:rPr>
                            <w:spacing w:val="-4"/>
                            <w:sz w:val="16"/>
                            <w:u w:val="dotted" w:color="929292"/>
                          </w:rPr>
                          <w:t> </w:t>
                        </w:r>
                        <w:r>
                          <w:rPr>
                            <w:sz w:val="16"/>
                            <w:u w:val="dotted" w:color="929292"/>
                          </w:rPr>
                          <w:t>pisos</w:t>
                          <w:tab/>
                        </w:r>
                      </w:p>
                    </w:tc>
                    <w:tc>
                      <w:tcPr>
                        <w:tcW w:w="1348" w:type="dxa"/>
                        <w:tcBorders>
                          <w:top w:val="single" w:sz="4" w:space="0" w:color="FFFFFF"/>
                          <w:bottom w:val="single" w:sz="4" w:space="0" w:color="FFFFFF"/>
                          <w:right w:val="nil"/>
                        </w:tcBorders>
                      </w:tcPr>
                      <w:p>
                        <w:pPr>
                          <w:pStyle w:val="TableParagraph"/>
                          <w:tabs>
                            <w:tab w:pos="1322" w:val="left" w:leader="none"/>
                          </w:tabs>
                          <w:spacing w:line="180" w:lineRule="exact"/>
                          <w:ind w:left="24"/>
                          <w:rPr>
                            <w:sz w:val="18"/>
                          </w:rPr>
                        </w:pPr>
                        <w:r>
                          <w:rPr>
                            <w:w w:val="100"/>
                            <w:sz w:val="18"/>
                            <w:u w:val="dotted" w:color="929292"/>
                          </w:rPr>
                          <w:t> </w:t>
                        </w:r>
                        <w:r>
                          <w:rPr>
                            <w:spacing w:val="-22"/>
                            <w:sz w:val="18"/>
                            <w:u w:val="dotted" w:color="929292"/>
                          </w:rPr>
                          <w:t> </w:t>
                        </w:r>
                        <w:r>
                          <w:rPr>
                            <w:sz w:val="18"/>
                            <w:u w:val="dotted" w:color="929292"/>
                          </w:rPr>
                          <w:t>1</w:t>
                          <w:tab/>
                        </w:r>
                      </w:p>
                    </w:tc>
                  </w:tr>
                  <w:tr>
                    <w:trPr>
                      <w:trHeight w:val="239" w:hRule="exact"/>
                    </w:trPr>
                    <w:tc>
                      <w:tcPr>
                        <w:tcW w:w="3942" w:type="dxa"/>
                        <w:gridSpan w:val="3"/>
                        <w:vMerge/>
                        <w:tcBorders>
                          <w:left w:val="nil"/>
                        </w:tcBorders>
                      </w:tcPr>
                      <w:p>
                        <w:pPr/>
                      </w:p>
                    </w:tc>
                    <w:tc>
                      <w:tcPr>
                        <w:tcW w:w="2421" w:type="dxa"/>
                        <w:tcBorders>
                          <w:top w:val="single" w:sz="4" w:space="0" w:color="FFFFFF"/>
                        </w:tcBorders>
                      </w:tcPr>
                      <w:p>
                        <w:pPr>
                          <w:pStyle w:val="TableParagraph"/>
                          <w:spacing w:before="21"/>
                          <w:ind w:left="102"/>
                          <w:rPr>
                            <w:sz w:val="16"/>
                          </w:rPr>
                        </w:pPr>
                        <w:r>
                          <w:rPr>
                            <w:sz w:val="16"/>
                          </w:rPr>
                          <w:t>4 pisos</w:t>
                        </w:r>
                      </w:p>
                    </w:tc>
                    <w:tc>
                      <w:tcPr>
                        <w:tcW w:w="1348" w:type="dxa"/>
                        <w:tcBorders>
                          <w:top w:val="single" w:sz="4" w:space="0" w:color="FFFFFF"/>
                          <w:right w:val="nil"/>
                        </w:tcBorders>
                      </w:tcPr>
                      <w:p>
                        <w:pPr>
                          <w:pStyle w:val="TableParagraph"/>
                          <w:spacing w:before="10"/>
                          <w:ind w:left="103"/>
                          <w:rPr>
                            <w:sz w:val="18"/>
                          </w:rPr>
                        </w:pPr>
                        <w:r>
                          <w:rPr>
                            <w:w w:val="99"/>
                            <w:sz w:val="18"/>
                          </w:rPr>
                          <w:t>1</w:t>
                        </w:r>
                      </w:p>
                    </w:tc>
                  </w:tr>
                  <w:tr>
                    <w:trPr>
                      <w:trHeight w:val="139" w:hRule="exact"/>
                    </w:trPr>
                    <w:tc>
                      <w:tcPr>
                        <w:tcW w:w="3942" w:type="dxa"/>
                        <w:gridSpan w:val="3"/>
                        <w:vMerge/>
                        <w:tcBorders>
                          <w:left w:val="nil"/>
                          <w:bottom w:val="nil"/>
                        </w:tcBorders>
                      </w:tcPr>
                      <w:p>
                        <w:pPr/>
                      </w:p>
                    </w:tc>
                    <w:tc>
                      <w:tcPr>
                        <w:tcW w:w="2421" w:type="dxa"/>
                        <w:tcBorders>
                          <w:bottom w:val="single" w:sz="4" w:space="0" w:color="FFFFFF"/>
                        </w:tcBorders>
                      </w:tcPr>
                      <w:p>
                        <w:pPr>
                          <w:pStyle w:val="TableParagraph"/>
                          <w:tabs>
                            <w:tab w:pos="2400" w:val="left" w:leader="none"/>
                          </w:tabs>
                          <w:spacing w:line="155" w:lineRule="exact"/>
                          <w:ind w:left="24"/>
                          <w:rPr>
                            <w:sz w:val="16"/>
                          </w:rPr>
                        </w:pPr>
                        <w:r>
                          <w:rPr>
                            <w:w w:val="100"/>
                            <w:sz w:val="16"/>
                            <w:u w:val="dotted" w:color="929292"/>
                          </w:rPr>
                          <w:t> </w:t>
                        </w:r>
                        <w:r>
                          <w:rPr>
                            <w:spacing w:val="-11"/>
                            <w:sz w:val="16"/>
                            <w:u w:val="dotted" w:color="929292"/>
                          </w:rPr>
                          <w:t> </w:t>
                        </w:r>
                        <w:r>
                          <w:rPr>
                            <w:sz w:val="16"/>
                            <w:u w:val="dotted" w:color="929292"/>
                          </w:rPr>
                          <w:t>5 pisos o</w:t>
                        </w:r>
                        <w:r>
                          <w:rPr>
                            <w:spacing w:val="-13"/>
                            <w:sz w:val="16"/>
                            <w:u w:val="dotted" w:color="929292"/>
                          </w:rPr>
                          <w:t> </w:t>
                        </w:r>
                        <w:r>
                          <w:rPr>
                            <w:sz w:val="16"/>
                            <w:u w:val="dotted" w:color="929292"/>
                          </w:rPr>
                          <w:t>más</w:t>
                          <w:tab/>
                        </w:r>
                      </w:p>
                    </w:tc>
                    <w:tc>
                      <w:tcPr>
                        <w:tcW w:w="1348" w:type="dxa"/>
                        <w:tcBorders>
                          <w:bottom w:val="single" w:sz="4" w:space="0" w:color="FFFFFF"/>
                          <w:right w:val="nil"/>
                        </w:tcBorders>
                      </w:tcPr>
                      <w:p>
                        <w:pPr>
                          <w:pStyle w:val="TableParagraph"/>
                          <w:tabs>
                            <w:tab w:pos="1322" w:val="left" w:leader="none"/>
                          </w:tabs>
                          <w:spacing w:line="167" w:lineRule="exact"/>
                          <w:ind w:left="24"/>
                          <w:rPr>
                            <w:sz w:val="18"/>
                          </w:rPr>
                        </w:pPr>
                        <w:r>
                          <w:rPr>
                            <w:w w:val="100"/>
                            <w:sz w:val="18"/>
                            <w:u w:val="dotted" w:color="929292"/>
                          </w:rPr>
                          <w:t> </w:t>
                        </w:r>
                        <w:r>
                          <w:rPr>
                            <w:spacing w:val="-22"/>
                            <w:sz w:val="18"/>
                            <w:u w:val="dotted" w:color="929292"/>
                          </w:rPr>
                          <w:t> </w:t>
                        </w:r>
                        <w:r>
                          <w:rPr>
                            <w:sz w:val="18"/>
                            <w:u w:val="dotted" w:color="929292"/>
                          </w:rPr>
                          <w:t>1</w:t>
                          <w:tab/>
                        </w:r>
                      </w:p>
                    </w:tc>
                  </w:tr>
                </w:tbl>
                <w:p>
                  <w:pPr>
                    <w:pStyle w:val="BodyText"/>
                  </w:pPr>
                </w:p>
              </w:txbxContent>
            </v:textbox>
            <w10:wrap type="none"/>
          </v:shape>
        </w:pict>
      </w:r>
      <w:r>
        <w:rPr>
          <w:color w:val="6D6E71"/>
          <w:sz w:val="16"/>
        </w:rPr>
        <w:t>Tabla 2. Variables e indicadores para la amenaza por deslizamientos</w:t>
      </w:r>
    </w:p>
    <w:p>
      <w:pPr>
        <w:pStyle w:val="BodyText"/>
      </w:pPr>
    </w:p>
    <w:p>
      <w:pPr>
        <w:pStyle w:val="BodyText"/>
      </w:pPr>
    </w:p>
    <w:p>
      <w:pPr>
        <w:pStyle w:val="BodyText"/>
        <w:spacing w:before="1"/>
        <w:rPr>
          <w:sz w:val="13"/>
        </w:rPr>
      </w:pPr>
      <w:r>
        <w:rPr/>
        <w:pict>
          <v:line style="position:absolute;mso-position-horizontal-relative:page;mso-position-vertical-relative:paragraph;z-index:16096;mso-wrap-distance-left:0;mso-wrap-distance-right:0" from="898.333008pt,9.768658pt" to="898.333008pt,9.768658pt" stroked="true" strokeweight=".5pt" strokecolor="#929292">
            <w10:wrap type="topAndBottom"/>
          </v:line>
        </w:pict>
      </w:r>
      <w:r>
        <w:rPr/>
        <w:pict>
          <v:line style="position:absolute;mso-position-horizontal-relative:page;mso-position-vertical-relative:paragraph;z-index:16120;mso-wrap-distance-left:0;mso-wrap-distance-right:0" from="898.333008pt,16.694557pt" to="898.333008pt,16.694557pt" stroked="true" strokeweight=".5pt" strokecolor="#929292">
            <w10:wrap type="topAndBottom"/>
          </v:line>
        </w:pict>
      </w:r>
      <w:r>
        <w:rPr/>
        <w:pict>
          <v:line style="position:absolute;mso-position-horizontal-relative:page;mso-position-vertical-relative:paragraph;z-index:16144;mso-wrap-distance-left:0;mso-wrap-distance-right:0" from="898.333008pt,23.620457pt" to="898.333008pt,23.620457pt" stroked="true" strokeweight=".5pt" strokecolor="#929292">
            <w10:wrap type="topAndBottom"/>
          </v:line>
        </w:pict>
      </w:r>
    </w:p>
    <w:p>
      <w:pPr>
        <w:pStyle w:val="BodyText"/>
        <w:spacing w:before="3"/>
        <w:rPr>
          <w:sz w:val="5"/>
        </w:rPr>
      </w:pPr>
    </w:p>
    <w:p>
      <w:pPr>
        <w:pStyle w:val="BodyText"/>
        <w:spacing w:before="3"/>
        <w:rPr>
          <w:sz w:val="5"/>
        </w:rPr>
      </w:pPr>
    </w:p>
    <w:p>
      <w:pPr>
        <w:pStyle w:val="BodyText"/>
      </w:pPr>
    </w:p>
    <w:p>
      <w:pPr>
        <w:pStyle w:val="BodyText"/>
      </w:pPr>
    </w:p>
    <w:p>
      <w:pPr>
        <w:pStyle w:val="BodyText"/>
      </w:pPr>
    </w:p>
    <w:p>
      <w:pPr>
        <w:pStyle w:val="BodyText"/>
        <w:spacing w:before="9"/>
        <w:rPr>
          <w:sz w:val="26"/>
        </w:rPr>
      </w:pPr>
      <w:r>
        <w:rPr/>
        <w:pict>
          <v:line style="position:absolute;mso-position-horizontal-relative:page;mso-position-vertical-relative:paragraph;z-index:16168;mso-wrap-distance-left:0;mso-wrap-distance-right:0" from="898.333008pt,17.614830pt" to="898.333008pt,17.614830pt" stroked="true" strokeweight=".5pt" strokecolor="#929292">
            <w10:wrap type="topAndBottom"/>
          </v:line>
        </w:pict>
      </w:r>
      <w:r>
        <w:rPr/>
        <w:pict>
          <v:line style="position:absolute;mso-position-horizontal-relative:page;mso-position-vertical-relative:paragraph;z-index:16192;mso-wrap-distance-left:0;mso-wrap-distance-right:0" from="898.333008pt,28.21483pt" to="898.333008pt,28.21483pt" stroked="true" strokeweight=".5pt" strokecolor="#929292">
            <w10:wrap type="topAndBottom"/>
          </v:line>
        </w:pict>
      </w:r>
      <w:r>
        <w:rPr/>
        <w:pict>
          <v:line style="position:absolute;mso-position-horizontal-relative:page;mso-position-vertical-relative:paragraph;z-index:16216;mso-wrap-distance-left:0;mso-wrap-distance-right:0" from="898.333008pt,35.140728pt" to="898.333008pt,35.140728pt" stroked="true" strokeweight=".5pt" strokecolor="#929292">
            <w10:wrap type="topAndBottom"/>
          </v:line>
        </w:pict>
      </w:r>
    </w:p>
    <w:p>
      <w:pPr>
        <w:pStyle w:val="BodyText"/>
        <w:spacing w:before="7"/>
        <w:rPr>
          <w:sz w:val="11"/>
        </w:rPr>
      </w:pPr>
    </w:p>
    <w:p>
      <w:pPr>
        <w:pStyle w:val="BodyText"/>
        <w:spacing w:before="3"/>
        <w:rPr>
          <w:sz w:val="5"/>
        </w:rPr>
      </w:pPr>
    </w:p>
    <w:p>
      <w:pPr>
        <w:pStyle w:val="BodyText"/>
      </w:pPr>
    </w:p>
    <w:p>
      <w:pPr>
        <w:pStyle w:val="BodyText"/>
        <w:spacing w:before="9"/>
        <w:rPr>
          <w:sz w:val="18"/>
        </w:rPr>
      </w:pPr>
      <w:r>
        <w:rPr/>
        <w:pict>
          <v:line style="position:absolute;mso-position-horizontal-relative:page;mso-position-vertical-relative:paragraph;z-index:16240;mso-wrap-distance-left:0;mso-wrap-distance-right:0" from="898.333008pt,13.012877pt" to="898.333008pt,13.012877pt" stroked="true" strokeweight=".5pt" strokecolor="#929292">
            <w10:wrap type="topAndBottom"/>
          </v:line>
        </w:pict>
      </w:r>
      <w:r>
        <w:rPr/>
        <w:pict>
          <v:line style="position:absolute;mso-position-horizontal-relative:page;mso-position-vertical-relative:paragraph;z-index:16264;mso-wrap-distance-left:0;mso-wrap-distance-right:0" from="898.333008pt,23.762877pt" to="898.333008pt,23.762877pt" stroked="true" strokeweight=".5pt" strokecolor="#929292">
            <w10:wrap type="topAndBottom"/>
          </v:line>
        </w:pict>
      </w:r>
    </w:p>
    <w:p>
      <w:pPr>
        <w:pStyle w:val="BodyText"/>
        <w:spacing w:before="10"/>
        <w:rPr>
          <w:sz w:val="11"/>
        </w:rPr>
      </w:pPr>
    </w:p>
    <w:p>
      <w:pPr>
        <w:pStyle w:val="BodyText"/>
      </w:pPr>
    </w:p>
    <w:p>
      <w:pPr>
        <w:pStyle w:val="BodyText"/>
      </w:pPr>
    </w:p>
    <w:p>
      <w:pPr>
        <w:pStyle w:val="BodyText"/>
      </w:pPr>
    </w:p>
    <w:p>
      <w:pPr>
        <w:pStyle w:val="BodyText"/>
      </w:pPr>
    </w:p>
    <w:p>
      <w:pPr>
        <w:pStyle w:val="BodyText"/>
        <w:spacing w:before="4"/>
        <w:rPr>
          <w:sz w:val="22"/>
        </w:rPr>
      </w:pPr>
      <w:r>
        <w:rPr/>
        <w:pict>
          <v:line style="position:absolute;mso-position-horizontal-relative:page;mso-position-vertical-relative:paragraph;z-index:16288;mso-wrap-distance-left:0;mso-wrap-distance-right:0" from="898.333008pt,15.091706pt" to="898.333008pt,15.091706pt" stroked="true" strokeweight=".5pt" strokecolor="#929292">
            <w10:wrap type="topAndBottom"/>
          </v:line>
        </w:pict>
      </w:r>
      <w:r>
        <w:rPr/>
        <w:pict>
          <v:line style="position:absolute;mso-position-horizontal-relative:page;mso-position-vertical-relative:paragraph;z-index:16312;mso-wrap-distance-left:0;mso-wrap-distance-right:0" from="898.333008pt,24.941706pt" to="898.333008pt,24.941706pt" stroked="true" strokeweight=".5pt" strokecolor="#929292">
            <w10:wrap type="topAndBottom"/>
          </v:line>
        </w:pict>
      </w:r>
      <w:r>
        <w:rPr/>
        <w:pict>
          <v:line style="position:absolute;mso-position-horizontal-relative:page;mso-position-vertical-relative:paragraph;z-index:16336;mso-wrap-distance-left:0;mso-wrap-distance-right:0" from="898.333008pt,31.867607pt" to="898.333008pt,31.867607pt" stroked="true" strokeweight=".5pt" strokecolor="#929292">
            <w10:wrap type="topAndBottom"/>
          </v:line>
        </w:pict>
      </w:r>
      <w:r>
        <w:rPr/>
        <w:pict>
          <v:line style="position:absolute;mso-position-horizontal-relative:page;mso-position-vertical-relative:paragraph;z-index:16360;mso-wrap-distance-left:0;mso-wrap-distance-right:0" from="42.800499pt,39.486305pt" to="42.800499pt,39.486305pt" stroked="true" strokeweight=".5pt" strokecolor="#929292">
            <w10:wrap type="topAndBottom"/>
          </v:line>
        </w:pict>
      </w:r>
    </w:p>
    <w:p>
      <w:pPr>
        <w:pStyle w:val="BodyText"/>
        <w:spacing w:before="4"/>
        <w:rPr>
          <w:sz w:val="10"/>
        </w:rPr>
      </w:pPr>
    </w:p>
    <w:p>
      <w:pPr>
        <w:pStyle w:val="BodyText"/>
        <w:spacing w:before="3"/>
        <w:rPr>
          <w:sz w:val="5"/>
        </w:rPr>
      </w:pPr>
    </w:p>
    <w:p>
      <w:pPr>
        <w:pStyle w:val="BodyText"/>
        <w:spacing w:before="5"/>
        <w:rPr>
          <w:sz w:val="6"/>
        </w:rPr>
      </w:pPr>
    </w:p>
    <w:p>
      <w:pPr>
        <w:pStyle w:val="BodyText"/>
        <w:spacing w:line="20" w:lineRule="exact"/>
        <w:ind w:left="17241"/>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BodyText"/>
      </w:pPr>
    </w:p>
    <w:p>
      <w:pPr>
        <w:pStyle w:val="BodyText"/>
      </w:pPr>
    </w:p>
    <w:p>
      <w:pPr>
        <w:pStyle w:val="BodyText"/>
        <w:spacing w:before="5"/>
        <w:rPr>
          <w:sz w:val="14"/>
        </w:rPr>
      </w:pPr>
      <w:r>
        <w:rPr/>
        <w:pict>
          <v:line style="position:absolute;mso-position-horizontal-relative:page;mso-position-vertical-relative:paragraph;z-index:16408;mso-wrap-distance-left:0;mso-wrap-distance-right:0" from="42.800499pt,10.513853pt" to="42.800499pt,10.513853pt" stroked="true" strokeweight=".5pt" strokecolor="#929292">
            <w10:wrap type="topAndBottom"/>
          </v:line>
        </w:pict>
      </w:r>
    </w:p>
    <w:p>
      <w:pPr>
        <w:pStyle w:val="BodyText"/>
        <w:spacing w:line="20" w:lineRule="exact"/>
        <w:ind w:left="17241"/>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BodyText"/>
        <w:spacing w:before="8"/>
        <w:rPr>
          <w:sz w:val="6"/>
        </w:rPr>
      </w:pPr>
      <w:r>
        <w:rPr/>
        <w:pict>
          <v:line style="position:absolute;mso-position-horizontal-relative:page;mso-position-vertical-relative:paragraph;z-index:16456;mso-wrap-distance-left:0;mso-wrap-distance-right:0" from="898.333008pt,6.0572pt" to="898.333008pt,6.0572pt" stroked="true" strokeweight=".5pt" strokecolor="#929292">
            <w10:wrap type="topAndBottom"/>
          </v:line>
        </w:pict>
      </w:r>
      <w:r>
        <w:rPr/>
        <w:pict>
          <v:line style="position:absolute;mso-position-horizontal-relative:page;mso-position-vertical-relative:paragraph;z-index:16480;mso-wrap-distance-left:0;mso-wrap-distance-right:0" from="898.333008pt,16.4072pt" to="898.333008pt,16.4072pt" stroked="true" strokeweight=".5pt" strokecolor="#929292">
            <w10:wrap type="topAndBottom"/>
          </v:line>
        </w:pict>
      </w:r>
      <w:r>
        <w:rPr/>
        <w:pict>
          <v:line style="position:absolute;mso-position-horizontal-relative:page;mso-position-vertical-relative:paragraph;z-index:16504;mso-wrap-distance-left:0;mso-wrap-distance-right:0" from="42.800499pt,29.6518pt" to="42.800499pt,29.6518pt" stroked="true" strokeweight=".5pt" strokecolor="#929292">
            <w10:wrap type="topAndBottom"/>
          </v:line>
        </w:pict>
      </w:r>
      <w:r>
        <w:rPr/>
        <w:pict>
          <v:line style="position:absolute;mso-position-horizontal-relative:page;mso-position-vertical-relative:paragraph;z-index:16528;mso-wrap-distance-left:0;mso-wrap-distance-right:0" from="898.333008pt,48.8311pt" to="898.333008pt,48.8311pt" stroked="true" strokeweight=".5pt" strokecolor="#929292">
            <w10:wrap type="topAndBottom"/>
          </v:line>
        </w:pict>
      </w:r>
      <w:r>
        <w:rPr/>
        <w:pict>
          <v:line style="position:absolute;mso-position-horizontal-relative:page;mso-position-vertical-relative:paragraph;z-index:16552;mso-wrap-distance-left:0;mso-wrap-distance-right:0" from="42.800499pt,68.651802pt" to="42.800499pt,68.651802pt" stroked="true" strokeweight=".5pt" strokecolor="#929292">
            <w10:wrap type="topAndBottom"/>
          </v:line>
        </w:pict>
      </w:r>
    </w:p>
    <w:p>
      <w:pPr>
        <w:pStyle w:val="BodyText"/>
        <w:spacing w:before="2"/>
        <w:rPr>
          <w:sz w:val="11"/>
        </w:rPr>
      </w:pPr>
    </w:p>
    <w:p>
      <w:pPr>
        <w:pStyle w:val="BodyText"/>
        <w:spacing w:before="2"/>
        <w:rPr>
          <w:sz w:val="16"/>
        </w:rPr>
      </w:pPr>
    </w:p>
    <w:p>
      <w:pPr>
        <w:pStyle w:val="BodyText"/>
        <w:spacing w:before="6"/>
        <w:rPr>
          <w:sz w:val="26"/>
        </w:rPr>
      </w:pPr>
    </w:p>
    <w:p>
      <w:pPr>
        <w:pStyle w:val="BodyText"/>
        <w:spacing w:before="7"/>
        <w:rPr>
          <w:sz w:val="27"/>
        </w:rPr>
      </w:pPr>
    </w:p>
    <w:p>
      <w:pPr>
        <w:spacing w:line="173" w:lineRule="exact" w:before="0"/>
        <w:ind w:left="9923" w:right="0" w:firstLine="0"/>
        <w:jc w:val="left"/>
        <w:rPr>
          <w:sz w:val="16"/>
        </w:rPr>
      </w:pPr>
      <w:r>
        <w:rPr>
          <w:color w:val="6D6E71"/>
          <w:sz w:val="16"/>
        </w:rPr>
        <w:t>Fuente: Equipo técnico Sun Mountain International (SMTN), 2011. Citado por Yépez et. al. (2012).</w:t>
      </w:r>
    </w:p>
    <w:p>
      <w:pPr>
        <w:pStyle w:val="BodyText"/>
        <w:spacing w:before="5"/>
        <w:rPr>
          <w:sz w:val="22"/>
        </w:rPr>
      </w:pPr>
    </w:p>
    <w:p>
      <w:pPr>
        <w:pStyle w:val="BodyText"/>
        <w:spacing w:line="249" w:lineRule="auto"/>
        <w:ind w:left="9541" w:right="127" w:firstLine="170"/>
        <w:jc w:val="both"/>
      </w:pPr>
      <w:r>
        <w:rPr/>
        <w:pict>
          <v:group style="position:absolute;margin-left:72.166496pt;margin-top:-131.07431pt;width:.5pt;height:36.75pt;mso-position-horizontal-relative:page;mso-position-vertical-relative:paragraph;z-index:16600" coordorigin="1443,-2621" coordsize="10,735">
            <v:line style="position:absolute" from="1448,-2616" to="1448,-2616" stroked="true" strokeweight=".5pt" strokecolor="#929292"/>
            <v:line style="position:absolute" from="1448,-1922" to="1448,-2601" stroked="true" strokeweight=".5pt" strokecolor="#929292">
              <v:stroke dashstyle="dash"/>
            </v:line>
            <v:shape style="position:absolute;left:0;top:3165;width:2;height:725" coordorigin="0,3165" coordsize="0,725" path="m1448,-1892l1448,-1892m1448,-2616l1448,-2616e" filled="false" stroked="true" strokeweight=".5pt" strokecolor="#929292">
              <v:path arrowok="t"/>
            </v:shape>
            <v:line style="position:absolute" from="1448,-2616" to="1448,-2616" stroked="true" strokeweight=".5pt" strokecolor="#929292"/>
            <v:line style="position:absolute" from="1448,-1892" to="1448,-1892" stroked="true" strokeweight=".5pt" strokecolor="#929292"/>
            <v:line style="position:absolute" from="1448,-1892" to="1448,-1892" stroked="true" strokeweight=".5pt" strokecolor="#929292"/>
            <w10:wrap type="none"/>
          </v:group>
        </w:pict>
      </w:r>
      <w:r>
        <w:rPr/>
        <w:pict>
          <v:group style="position:absolute;margin-left:141.229599pt;margin-top:-131.07431pt;width:.5pt;height:36.75pt;mso-position-horizontal-relative:page;mso-position-vertical-relative:paragraph;z-index:16624" coordorigin="2825,-2621" coordsize="10,735">
            <v:line style="position:absolute" from="2830,-2616" to="2830,-2616" stroked="true" strokeweight=".5pt" strokecolor="#929292"/>
            <v:line style="position:absolute" from="2830,-1922" to="2830,-2601" stroked="true" strokeweight=".5pt" strokecolor="#929292">
              <v:stroke dashstyle="dash"/>
            </v:line>
            <v:shape style="position:absolute;left:0;top:3165;width:2;height:725" coordorigin="0,3165" coordsize="0,725" path="m2830,-1892l2830,-1892m2830,-2616l2830,-2616e" filled="false" stroked="true" strokeweight=".5pt" strokecolor="#929292">
              <v:path arrowok="t"/>
            </v:shape>
            <v:line style="position:absolute" from="2830,-2616" to="2830,-2616" stroked="true" strokeweight=".5pt" strokecolor="#929292"/>
            <v:line style="position:absolute" from="2830,-1892" to="2830,-1892" stroked="true" strokeweight=".5pt" strokecolor="#929292"/>
            <v:line style="position:absolute" from="2830,-1892" to="2830,-1892" stroked="true" strokeweight=".5pt" strokecolor="#929292"/>
            <w10:wrap type="none"/>
          </v:group>
        </w:pict>
      </w:r>
      <w:r>
        <w:rPr/>
        <w:pict>
          <v:group style="position:absolute;margin-left:72.166496pt;margin-top:-62.510517pt;width:.5pt;height:39.5pt;mso-position-horizontal-relative:page;mso-position-vertical-relative:paragraph;z-index:16648" coordorigin="1443,-1250" coordsize="10,790">
            <v:line style="position:absolute" from="1448,-1245" to="1448,-1245" stroked="true" strokeweight=".5pt" strokecolor="#929292"/>
            <v:line style="position:absolute" from="1448,-495" to="1448,-1230" stroked="true" strokeweight=".5pt" strokecolor="#929292">
              <v:stroke dashstyle="dash"/>
            </v:line>
            <v:shape style="position:absolute;left:0;top:3110;width:2;height:780" coordorigin="0,3110" coordsize="0,780" path="m1448,-465l1448,-465m1448,-1245l1448,-1245e" filled="false" stroked="true" strokeweight=".5pt" strokecolor="#929292">
              <v:path arrowok="t"/>
            </v:shape>
            <v:line style="position:absolute" from="1448,-1245" to="1448,-1245" stroked="true" strokeweight=".5pt" strokecolor="#929292"/>
            <v:line style="position:absolute" from="1448,-465" to="1448,-465" stroked="true" strokeweight=".5pt" strokecolor="#929292"/>
            <v:line style="position:absolute" from="1448,-465" to="1448,-465" stroked="true" strokeweight=".5pt" strokecolor="#929292"/>
            <w10:wrap type="none"/>
          </v:group>
        </w:pict>
      </w:r>
      <w:r>
        <w:rPr/>
        <w:pict>
          <v:group style="position:absolute;margin-left:141.229599pt;margin-top:-62.510517pt;width:.5pt;height:39.5pt;mso-position-horizontal-relative:page;mso-position-vertical-relative:paragraph;z-index:16672" coordorigin="2825,-1250" coordsize="10,790">
            <v:line style="position:absolute" from="2830,-1245" to="2830,-1245" stroked="true" strokeweight=".5pt" strokecolor="#929292"/>
            <v:line style="position:absolute" from="2830,-495" to="2830,-1230" stroked="true" strokeweight=".5pt" strokecolor="#929292">
              <v:stroke dashstyle="dash"/>
            </v:line>
            <v:shape style="position:absolute;left:0;top:3110;width:2;height:780" coordorigin="0,3110" coordsize="0,780" path="m2830,-465l2830,-465m2830,-1245l2830,-1245e" filled="false" stroked="true" strokeweight=".5pt" strokecolor="#929292">
              <v:path arrowok="t"/>
            </v:shape>
            <v:line style="position:absolute" from="2830,-1245" to="2830,-1245" stroked="true" strokeweight=".5pt" strokecolor="#929292"/>
            <v:line style="position:absolute" from="2830,-465" to="2830,-465" stroked="true" strokeweight=".5pt" strokecolor="#929292"/>
            <v:line style="position:absolute" from="2830,-465" to="2830,-465" stroked="true" strokeweight=".5pt" strokecolor="#929292"/>
            <w10:wrap type="none"/>
          </v:group>
        </w:pict>
      </w:r>
      <w:r>
        <w:rPr/>
        <w:pict>
          <v:line style="position:absolute;mso-position-horizontal-relative:page;mso-position-vertical-relative:paragraph;z-index:16696" from="42.800499pt,13.815385pt" to="42.800499pt,13.815385pt" stroked="true" strokeweight=".5pt" strokecolor="#929292">
            <w10:wrap type="none"/>
          </v:line>
        </w:pict>
      </w:r>
      <w:r>
        <w:rPr/>
        <w:pict>
          <v:group style="position:absolute;margin-left:72.166496pt;margin-top:13.565285pt;width:.5pt;height:56.75pt;mso-position-horizontal-relative:page;mso-position-vertical-relative:paragraph;z-index:16720" coordorigin="1443,271" coordsize="10,1135">
            <v:line style="position:absolute" from="1448,276" to="1448,276" stroked="true" strokeweight=".5pt" strokecolor="#929292"/>
            <v:line style="position:absolute" from="1448,1370" to="1448,292" stroked="true" strokeweight=".5pt" strokecolor="#929292">
              <v:stroke dashstyle="dash"/>
            </v:line>
            <v:shape style="position:absolute;left:0;top:2765;width:2;height:1125" coordorigin="0,2765" coordsize="0,1125" path="m1448,1401l1448,1401m1448,276l1448,276e" filled="false" stroked="true" strokeweight=".5pt" strokecolor="#929292">
              <v:path arrowok="t"/>
            </v:shape>
            <v:line style="position:absolute" from="1448,276" to="1448,276" stroked="true" strokeweight=".5pt" strokecolor="#929292"/>
            <v:line style="position:absolute" from="1448,1401" to="1448,1401" stroked="true" strokeweight=".5pt" strokecolor="#929292"/>
            <v:line style="position:absolute" from="1448,1401" to="1448,1401" stroked="true" strokeweight=".5pt" strokecolor="#929292"/>
            <w10:wrap type="none"/>
          </v:group>
        </w:pict>
      </w:r>
      <w:r>
        <w:rPr/>
        <w:pict>
          <v:group style="position:absolute;margin-left:141.229599pt;margin-top:13.565285pt;width:.5pt;height:56.75pt;mso-position-horizontal-relative:page;mso-position-vertical-relative:paragraph;z-index:16744" coordorigin="2825,271" coordsize="10,1135">
            <v:line style="position:absolute" from="2830,276" to="2830,276" stroked="true" strokeweight=".5pt" strokecolor="#929292"/>
            <v:line style="position:absolute" from="2830,1370" to="2830,292" stroked="true" strokeweight=".5pt" strokecolor="#929292">
              <v:stroke dashstyle="dash"/>
            </v:line>
            <v:shape style="position:absolute;left:0;top:2765;width:2;height:1125" coordorigin="0,2765" coordsize="0,1125" path="m2830,1401l2830,1401m2830,276l2830,276e" filled="false" stroked="true" strokeweight=".5pt" strokecolor="#929292">
              <v:path arrowok="t"/>
            </v:shape>
            <v:line style="position:absolute" from="2830,276" to="2830,276" stroked="true" strokeweight=".5pt" strokecolor="#929292"/>
            <v:line style="position:absolute" from="2830,1401" to="2830,1401" stroked="true" strokeweight=".5pt" strokecolor="#929292"/>
            <v:line style="position:absolute" from="2830,1401" to="2830,1401" stroked="true" strokeweight=".5pt" strokecolor="#929292"/>
            <w10:wrap type="none"/>
          </v:group>
        </w:pict>
      </w:r>
      <w:r>
        <w:rPr/>
        <w:pict>
          <v:group style="position:absolute;margin-left:542.686890pt;margin-top:-129.243011pt;width:.5pt;height:36.75pt;mso-position-horizontal-relative:page;mso-position-vertical-relative:paragraph;z-index:17128" coordorigin="10854,-2585" coordsize="10,735">
            <v:line style="position:absolute" from="10859,-2580" to="10859,-2580" stroked="true" strokeweight=".5pt" strokecolor="#929292"/>
            <v:line style="position:absolute" from="10859,-1886" to="10859,-2565" stroked="true" strokeweight=".5pt" strokecolor="#929292">
              <v:stroke dashstyle="dash"/>
            </v:line>
            <v:shape style="position:absolute;left:0;top:3165;width:2;height:725" coordorigin="0,3165" coordsize="0,725" path="m10859,-1856l10859,-1856m10859,-2580l10859,-2580e" filled="false" stroked="true" strokeweight=".5pt" strokecolor="#929292">
              <v:path arrowok="t"/>
            </v:shape>
            <v:line style="position:absolute" from="10859,-2580" to="10859,-2580" stroked="true" strokeweight=".5pt" strokecolor="#929292"/>
            <v:line style="position:absolute" from="10859,-1856" to="10859,-1856" stroked="true" strokeweight=".5pt" strokecolor="#929292"/>
            <v:line style="position:absolute" from="10859,-1856" to="10859,-1856" stroked="true" strokeweight=".5pt" strokecolor="#929292"/>
            <w10:wrap type="none"/>
          </v:group>
        </w:pict>
      </w:r>
      <w:r>
        <w:rPr/>
        <w:pict>
          <v:group style="position:absolute;margin-left:611.75pt;margin-top:-129.243011pt;width:.5pt;height:36.75pt;mso-position-horizontal-relative:page;mso-position-vertical-relative:paragraph;z-index:17152" coordorigin="12235,-2585" coordsize="10,735">
            <v:line style="position:absolute" from="12240,-2580" to="12240,-2580" stroked="true" strokeweight=".5pt" strokecolor="#929292"/>
            <v:line style="position:absolute" from="12240,-1886" to="12240,-2565" stroked="true" strokeweight=".5pt" strokecolor="#929292">
              <v:stroke dashstyle="dash"/>
            </v:line>
            <v:shape style="position:absolute;left:0;top:3165;width:2;height:725" coordorigin="0,3165" coordsize="0,725" path="m12240,-1856l12240,-1856m12240,-2580l12240,-2580e" filled="false" stroked="true" strokeweight=".5pt" strokecolor="#929292">
              <v:path arrowok="t"/>
            </v:shape>
            <v:line style="position:absolute" from="12240,-2580" to="12240,-2580" stroked="true" strokeweight=".5pt" strokecolor="#929292"/>
            <v:line style="position:absolute" from="12240,-1856" to="12240,-1856" stroked="true" strokeweight=".5pt" strokecolor="#929292"/>
            <v:line style="position:absolute" from="12240,-1856" to="12240,-1856" stroked="true" strokeweight=".5pt" strokecolor="#929292"/>
            <w10:wrap type="none"/>
          </v:group>
        </w:pict>
      </w:r>
      <w:r>
        <w:rPr/>
        <w:t>Para el empleo de la metodología se debe verificar la existencia de la información de las 12 variables antes mencionadas, con la finalidad de analizar si los predios cuentan con el 90% de los datos  requeridos.</w:t>
      </w:r>
    </w:p>
    <w:p>
      <w:pPr>
        <w:pStyle w:val="BodyText"/>
        <w:spacing w:before="11"/>
      </w:pPr>
    </w:p>
    <w:p>
      <w:pPr>
        <w:pStyle w:val="BodyText"/>
        <w:spacing w:line="249" w:lineRule="auto"/>
        <w:ind w:left="9541" w:right="127" w:firstLine="170"/>
        <w:jc w:val="both"/>
      </w:pPr>
      <w:r>
        <w:rPr/>
        <w:pict>
          <v:line style="position:absolute;mso-position-horizontal-relative:page;mso-position-vertical-relative:paragraph;z-index:16768" from="42.800499pt,22.027285pt" to="42.800499pt,22.027285pt" stroked="true" strokeweight=".5pt" strokecolor="#929292">
            <w10:wrap type="none"/>
          </v:line>
        </w:pict>
      </w:r>
      <w:r>
        <w:rPr/>
        <w:pict>
          <v:line style="position:absolute;mso-position-horizontal-relative:page;mso-position-vertical-relative:paragraph;z-index:16792" from="42.800499pt,56.079086pt" to="42.800499pt,56.079086pt" stroked="true" strokeweight=".5pt" strokecolor="#929292">
            <w10:wrap type="none"/>
          </v:line>
        </w:pict>
      </w:r>
      <w:r>
        <w:rPr/>
        <w:pict>
          <v:group style="position:absolute;margin-left:72.166496pt;margin-top:55.829086pt;width:.5pt;height:.5pt;mso-position-horizontal-relative:page;mso-position-vertical-relative:paragraph;z-index:16816" coordorigin="1443,1117" coordsize="10,10">
            <v:line style="position:absolute" from="1448,1122" to="1448,1122" stroked="true" strokeweight=".5pt" strokecolor="#929292"/>
            <v:line style="position:absolute" from="1448,1122" to="1448,1122" stroked="true" strokeweight=".5pt" strokecolor="#929292"/>
            <w10:wrap type="none"/>
          </v:group>
        </w:pict>
      </w:r>
      <w:r>
        <w:rPr/>
        <w:pict>
          <v:group style="position:absolute;margin-left:141.229599pt;margin-top:55.829086pt;width:.5pt;height:.5pt;mso-position-horizontal-relative:page;mso-position-vertical-relative:paragraph;z-index:16840" coordorigin="2825,1117" coordsize="10,10">
            <v:line style="position:absolute" from="2830,1122" to="2830,1122" stroked="true" strokeweight=".5pt" strokecolor="#929292"/>
            <v:line style="position:absolute" from="2830,1122" to="2830,1122" stroked="true" strokeweight=".5pt" strokecolor="#929292"/>
            <w10:wrap type="none"/>
          </v:group>
        </w:pict>
      </w:r>
      <w:r>
        <w:rPr/>
        <w:pict>
          <v:line style="position:absolute;mso-position-horizontal-relative:page;mso-position-vertical-relative:paragraph;z-index:16864" from="427.812714pt,56.079086pt" to="427.812714pt,56.079086pt" stroked="true" strokeweight=".5pt" strokecolor="#929292">
            <w10:wrap type="none"/>
          </v:line>
        </w:pict>
      </w:r>
      <w:r>
        <w:rPr/>
        <w:t>Dentro de la metodología que proponen los autores, no se incluye la variable exposición, vista ésta a partir de la cercanía que presentan las zonas habitacionales  en relación con los bancos de materiales pétreos, ya que de acuerdo a la Norma Técnica Estatal Ambiental NTEA-002-SMA-DS-2009, establece “Respetar los límites con terrenos colindantes y los derechos de vía con una franja de amortiguamiento de 20 metros o más. Se podrá disminuir hasta un mínimo de 10 metros siempre y</w:t>
      </w:r>
      <w:r>
        <w:rPr>
          <w:spacing w:val="50"/>
        </w:rPr>
        <w:t> </w:t>
      </w:r>
      <w:r>
        <w:rPr/>
        <w:t>cuando</w:t>
      </w:r>
    </w:p>
    <w:p>
      <w:pPr>
        <w:spacing w:after="0" w:line="249" w:lineRule="auto"/>
        <w:jc w:val="both"/>
        <w:sectPr>
          <w:headerReference w:type="default" r:id="rId485"/>
          <w:footerReference w:type="default" r:id="rId486"/>
          <w:pgSz w:w="18830" w:h="12760" w:orient="landscape"/>
          <w:pgMar w:header="522" w:footer="1036" w:top="1120" w:bottom="1220" w:left="720" w:right="720"/>
        </w:sectPr>
      </w:pPr>
    </w:p>
    <w:p>
      <w:pPr>
        <w:pStyle w:val="BodyText"/>
        <w:spacing w:before="6"/>
        <w:rPr>
          <w:sz w:val="23"/>
        </w:rPr>
      </w:pPr>
    </w:p>
    <w:p>
      <w:pPr>
        <w:spacing w:after="0"/>
        <w:rPr>
          <w:sz w:val="23"/>
        </w:rPr>
        <w:sectPr>
          <w:headerReference w:type="default" r:id="rId487"/>
          <w:footerReference w:type="default" r:id="rId488"/>
          <w:pgSz w:w="18830" w:h="12760" w:orient="landscape"/>
          <w:pgMar w:header="522" w:footer="1485" w:top="820" w:bottom="1680" w:left="700" w:right="720"/>
        </w:sectPr>
      </w:pPr>
    </w:p>
    <w:p>
      <w:pPr>
        <w:pStyle w:val="BodyText"/>
        <w:spacing w:before="76"/>
        <w:ind w:left="124"/>
      </w:pPr>
      <w:r>
        <w:rPr/>
        <w:t>demuestre la estabilidad del talud</w:t>
      </w:r>
      <w:r>
        <w:rPr>
          <w:spacing w:val="50"/>
        </w:rPr>
        <w:t> </w:t>
      </w:r>
      <w:r>
        <w:rPr/>
        <w:t>límite”.</w:t>
      </w:r>
    </w:p>
    <w:p>
      <w:pPr>
        <w:pStyle w:val="BodyText"/>
        <w:spacing w:before="8"/>
        <w:rPr>
          <w:sz w:val="21"/>
        </w:rPr>
      </w:pPr>
    </w:p>
    <w:p>
      <w:pPr>
        <w:pStyle w:val="BodyText"/>
        <w:spacing w:line="249" w:lineRule="auto"/>
        <w:ind w:left="124" w:firstLine="170"/>
        <w:jc w:val="both"/>
      </w:pPr>
      <w:r>
        <w:rPr/>
        <w:t>Por lo anterior, es importante incluirla ya que es un indicador relevante para la zona de estudio y es un detonante para que se presenten caídas y/o desprendimientos de materiales, ocasionando deslizamientos y afectación a las zonas habitacionales, ver tabla 3.</w:t>
      </w:r>
    </w:p>
    <w:p>
      <w:pPr>
        <w:pStyle w:val="BodyText"/>
        <w:spacing w:line="249" w:lineRule="auto" w:before="76"/>
        <w:ind w:left="124" w:firstLine="170"/>
      </w:pPr>
      <w:r>
        <w:rPr/>
        <w:br w:type="column"/>
      </w:r>
      <w:r>
        <w:rPr/>
        <w:t>A partir de los resultados obtenidos de la generación de los índices y la visualización de los datos en mapas se propondrá una serie de conclusiones y/o  sugerencias.</w:t>
      </w:r>
    </w:p>
    <w:p>
      <w:pPr>
        <w:pStyle w:val="BodyText"/>
      </w:pPr>
    </w:p>
    <w:p>
      <w:pPr>
        <w:pStyle w:val="BodyText"/>
        <w:spacing w:before="6"/>
        <w:rPr>
          <w:sz w:val="18"/>
        </w:rPr>
      </w:pPr>
    </w:p>
    <w:p>
      <w:pPr>
        <w:pStyle w:val="Heading1"/>
        <w:ind w:left="1408"/>
      </w:pPr>
      <w:r>
        <w:rPr/>
        <w:t>CARACTERIZACIÓN DEL ÁREA DE ESTUDIO</w:t>
      </w:r>
    </w:p>
    <w:p>
      <w:pPr>
        <w:spacing w:before="204"/>
        <w:ind w:left="294" w:right="0" w:firstLine="0"/>
        <w:jc w:val="left"/>
        <w:rPr>
          <w:b/>
          <w:sz w:val="24"/>
        </w:rPr>
      </w:pPr>
      <w:r>
        <w:rPr>
          <w:b/>
          <w:sz w:val="24"/>
        </w:rPr>
        <w:t>Ubicación</w:t>
      </w:r>
    </w:p>
    <w:p>
      <w:pPr>
        <w:spacing w:after="0"/>
        <w:jc w:val="left"/>
        <w:rPr>
          <w:sz w:val="24"/>
        </w:rPr>
        <w:sectPr>
          <w:type w:val="continuous"/>
          <w:pgSz w:w="18830" w:h="12760" w:orient="landscape"/>
          <w:pgMar w:top="1420" w:bottom="280" w:left="700" w:right="720"/>
          <w:cols w:num="2" w:equalWidth="0">
            <w:col w:w="7836" w:space="1602"/>
            <w:col w:w="7972"/>
          </w:cols>
        </w:sectPr>
      </w:pPr>
    </w:p>
    <w:p>
      <w:pPr>
        <w:spacing w:before="39"/>
        <w:ind w:left="240" w:right="117" w:firstLine="0"/>
        <w:jc w:val="center"/>
        <w:rPr>
          <w:sz w:val="16"/>
        </w:rPr>
      </w:pPr>
      <w:r>
        <w:rPr/>
        <w:pict>
          <v:line style="position:absolute;mso-position-horizontal-relative:page;mso-position-vertical-relative:paragraph;z-index:-635560" from="67.267197pt,37.9198pt" to="67.267197pt,37.9198pt" stroked="true" strokeweight=".5pt" strokecolor="#929292">
            <w10:wrap type="none"/>
          </v:line>
        </w:pict>
      </w:r>
      <w:r>
        <w:rPr/>
        <w:pict>
          <v:line style="position:absolute;mso-position-horizontal-relative:page;mso-position-vertical-relative:paragraph;z-index:-635536" from="140.467194pt,37.9198pt" to="140.467194pt,37.9198pt" stroked="true" strokeweight=".5pt" strokecolor="#929292">
            <w10:wrap type="none"/>
          </v:line>
        </w:pict>
      </w:r>
      <w:r>
        <w:rPr/>
        <w:pict>
          <v:line style="position:absolute;mso-position-horizontal-relative:page;mso-position-vertical-relative:paragraph;z-index:-635512" from="253.867203pt,37.9198pt" to="253.867203pt,37.9198pt" stroked="true" strokeweight=".5pt" strokecolor="#929292">
            <w10:wrap type="none"/>
          </v:line>
        </w:pict>
      </w:r>
      <w:r>
        <w:rPr/>
        <w:pict>
          <v:line style="position:absolute;mso-position-horizontal-relative:page;mso-position-vertical-relative:paragraph;z-index:-635488" from="353.117188pt,37.9198pt" to="353.117188pt,37.9198pt" stroked="true" strokeweight=".5pt" strokecolor="#929292">
            <w10:wrap type="none"/>
          </v:line>
        </w:pict>
      </w:r>
      <w:r>
        <w:rPr>
          <w:color w:val="6D6E71"/>
          <w:sz w:val="16"/>
        </w:rPr>
        <w:t>Tabla 3. Propuesta de inclusión de variable exposición</w:t>
      </w:r>
    </w:p>
    <w:p>
      <w:pPr>
        <w:pStyle w:val="BodyText"/>
        <w:spacing w:before="10"/>
        <w:rPr>
          <w:sz w:val="8"/>
        </w:rPr>
      </w:pPr>
    </w:p>
    <w:tbl>
      <w:tblPr>
        <w:tblW w:w="0" w:type="auto"/>
        <w:jc w:val="left"/>
        <w:tblInd w:w="119" w:type="dxa"/>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521"/>
        <w:gridCol w:w="1464"/>
        <w:gridCol w:w="2268"/>
        <w:gridCol w:w="1985"/>
        <w:gridCol w:w="1423"/>
      </w:tblGrid>
      <w:tr>
        <w:trPr>
          <w:trHeight w:val="428" w:hRule="exact"/>
        </w:trPr>
        <w:tc>
          <w:tcPr>
            <w:tcW w:w="7661" w:type="dxa"/>
            <w:gridSpan w:val="5"/>
            <w:tcBorders>
              <w:top w:val="nil"/>
              <w:left w:val="nil"/>
              <w:bottom w:val="nil"/>
              <w:right w:val="nil"/>
            </w:tcBorders>
            <w:shd w:val="clear" w:color="auto" w:fill="929292"/>
          </w:tcPr>
          <w:p>
            <w:pPr>
              <w:pStyle w:val="TableParagraph"/>
              <w:tabs>
                <w:tab w:pos="628" w:val="left" w:leader="none"/>
                <w:tab w:pos="2092" w:val="left" w:leader="none"/>
                <w:tab w:pos="4360" w:val="left" w:leader="none"/>
                <w:tab w:pos="6345" w:val="left" w:leader="none"/>
              </w:tabs>
              <w:spacing w:line="261" w:lineRule="auto" w:before="21"/>
              <w:ind w:left="628" w:right="311" w:hanging="521"/>
              <w:rPr>
                <w:sz w:val="16"/>
              </w:rPr>
            </w:pPr>
            <w:r>
              <w:rPr>
                <w:sz w:val="16"/>
              </w:rPr>
              <w:t>No.</w:t>
              <w:tab/>
              <w:t>Variable</w:t>
            </w:r>
            <w:r>
              <w:rPr>
                <w:spacing w:val="-4"/>
                <w:sz w:val="16"/>
              </w:rPr>
              <w:t> </w:t>
            </w:r>
            <w:r>
              <w:rPr>
                <w:sz w:val="16"/>
              </w:rPr>
              <w:t>de</w:t>
              <w:tab/>
              <w:t>Descripción de la</w:t>
            </w:r>
            <w:r>
              <w:rPr>
                <w:spacing w:val="5"/>
                <w:sz w:val="16"/>
              </w:rPr>
              <w:t> </w:t>
            </w:r>
            <w:r>
              <w:rPr>
                <w:sz w:val="16"/>
              </w:rPr>
              <w:t>variable</w:t>
            </w:r>
            <w:r>
              <w:rPr>
                <w:spacing w:val="1"/>
                <w:sz w:val="16"/>
              </w:rPr>
              <w:t> </w:t>
            </w:r>
            <w:r>
              <w:rPr>
                <w:sz w:val="16"/>
              </w:rPr>
              <w:t>y</w:t>
              <w:tab/>
              <w:t>Indicadores</w:t>
              <w:tab/>
              <w:t>Amenaza</w:t>
            </w:r>
            <w:r>
              <w:rPr>
                <w:spacing w:val="-4"/>
                <w:sz w:val="16"/>
              </w:rPr>
              <w:t> </w:t>
            </w:r>
            <w:r>
              <w:rPr>
                <w:sz w:val="16"/>
              </w:rPr>
              <w:t>por</w:t>
            </w:r>
            <w:r>
              <w:rPr>
                <w:w w:val="103"/>
                <w:sz w:val="16"/>
              </w:rPr>
              <w:t> </w:t>
            </w:r>
            <w:r>
              <w:rPr>
                <w:sz w:val="16"/>
              </w:rPr>
              <w:t>vulnerabilidad</w:t>
              <w:tab/>
              <w:t>uso de</w:t>
            </w:r>
            <w:r>
              <w:rPr>
                <w:spacing w:val="6"/>
                <w:sz w:val="16"/>
              </w:rPr>
              <w:t> </w:t>
            </w:r>
            <w:r>
              <w:rPr>
                <w:sz w:val="16"/>
              </w:rPr>
              <w:t>la</w:t>
            </w:r>
            <w:r>
              <w:rPr>
                <w:spacing w:val="3"/>
                <w:sz w:val="16"/>
              </w:rPr>
              <w:t> </w:t>
            </w:r>
            <w:r>
              <w:rPr>
                <w:sz w:val="16"/>
              </w:rPr>
              <w:t>información</w:t>
              <w:tab/>
              <w:t>considerados</w:t>
              <w:tab/>
            </w:r>
            <w:r>
              <w:rPr>
                <w:w w:val="95"/>
                <w:sz w:val="16"/>
              </w:rPr>
              <w:t>Deslizamiento</w:t>
            </w:r>
          </w:p>
        </w:tc>
      </w:tr>
      <w:tr>
        <w:trPr>
          <w:trHeight w:val="225" w:hRule="exact"/>
        </w:trPr>
        <w:tc>
          <w:tcPr>
            <w:tcW w:w="521" w:type="dxa"/>
            <w:vMerge w:val="restart"/>
            <w:tcBorders>
              <w:top w:val="nil"/>
              <w:left w:val="nil"/>
            </w:tcBorders>
          </w:tcPr>
          <w:p>
            <w:pPr>
              <w:pStyle w:val="TableParagraph"/>
              <w:spacing w:line="148" w:lineRule="exact"/>
              <w:ind w:left="108"/>
              <w:rPr>
                <w:sz w:val="16"/>
              </w:rPr>
            </w:pPr>
            <w:r>
              <w:rPr>
                <w:sz w:val="16"/>
              </w:rPr>
              <w:t>13</w:t>
            </w:r>
          </w:p>
        </w:tc>
        <w:tc>
          <w:tcPr>
            <w:tcW w:w="1464" w:type="dxa"/>
            <w:vMerge w:val="restart"/>
            <w:tcBorders>
              <w:top w:val="nil"/>
            </w:tcBorders>
          </w:tcPr>
          <w:p>
            <w:pPr>
              <w:pStyle w:val="TableParagraph"/>
              <w:spacing w:line="148" w:lineRule="exact"/>
              <w:ind w:left="102"/>
              <w:rPr>
                <w:sz w:val="16"/>
              </w:rPr>
            </w:pPr>
            <w:r>
              <w:rPr>
                <w:sz w:val="16"/>
              </w:rPr>
              <w:t>Exposición</w:t>
            </w:r>
          </w:p>
        </w:tc>
        <w:tc>
          <w:tcPr>
            <w:tcW w:w="2268" w:type="dxa"/>
            <w:vMerge w:val="restart"/>
            <w:tcBorders>
              <w:top w:val="nil"/>
            </w:tcBorders>
          </w:tcPr>
          <w:p>
            <w:pPr>
              <w:pStyle w:val="TableParagraph"/>
              <w:spacing w:line="148" w:lineRule="exact"/>
              <w:ind w:left="102" w:right="259"/>
              <w:rPr>
                <w:sz w:val="16"/>
              </w:rPr>
            </w:pPr>
            <w:r>
              <w:rPr>
                <w:sz w:val="16"/>
              </w:rPr>
              <w:t>Distancia que presenta</w:t>
            </w:r>
          </w:p>
          <w:p>
            <w:pPr>
              <w:pStyle w:val="TableParagraph"/>
              <w:spacing w:line="261" w:lineRule="auto" w:before="16"/>
              <w:ind w:left="102" w:right="259"/>
              <w:rPr>
                <w:sz w:val="16"/>
              </w:rPr>
            </w:pPr>
            <w:r>
              <w:rPr>
                <w:sz w:val="16"/>
              </w:rPr>
              <w:t>las zonas habitacionales a los bancos de materiales pétreos</w:t>
            </w:r>
          </w:p>
        </w:tc>
        <w:tc>
          <w:tcPr>
            <w:tcW w:w="1985" w:type="dxa"/>
            <w:tcBorders>
              <w:top w:val="nil"/>
            </w:tcBorders>
          </w:tcPr>
          <w:p>
            <w:pPr>
              <w:pStyle w:val="TableParagraph"/>
              <w:spacing w:line="148" w:lineRule="exact"/>
              <w:ind w:left="102"/>
              <w:rPr>
                <w:sz w:val="16"/>
              </w:rPr>
            </w:pPr>
            <w:r>
              <w:rPr>
                <w:sz w:val="16"/>
              </w:rPr>
              <w:t>Menos de 10 metros</w:t>
            </w:r>
          </w:p>
        </w:tc>
        <w:tc>
          <w:tcPr>
            <w:tcW w:w="1423" w:type="dxa"/>
            <w:tcBorders>
              <w:top w:val="nil"/>
              <w:right w:val="nil"/>
            </w:tcBorders>
          </w:tcPr>
          <w:p>
            <w:pPr>
              <w:pStyle w:val="TableParagraph"/>
              <w:spacing w:line="148" w:lineRule="exact"/>
              <w:ind w:left="102"/>
              <w:rPr>
                <w:sz w:val="16"/>
              </w:rPr>
            </w:pPr>
            <w:r>
              <w:rPr>
                <w:sz w:val="16"/>
              </w:rPr>
              <w:t>10</w:t>
            </w:r>
          </w:p>
        </w:tc>
      </w:tr>
      <w:tr>
        <w:trPr>
          <w:trHeight w:val="304" w:hRule="exact"/>
        </w:trPr>
        <w:tc>
          <w:tcPr>
            <w:tcW w:w="521" w:type="dxa"/>
            <w:vMerge/>
            <w:tcBorders>
              <w:left w:val="nil"/>
            </w:tcBorders>
          </w:tcPr>
          <w:p>
            <w:pPr/>
          </w:p>
        </w:tc>
        <w:tc>
          <w:tcPr>
            <w:tcW w:w="1464" w:type="dxa"/>
            <w:vMerge/>
          </w:tcPr>
          <w:p>
            <w:pPr/>
          </w:p>
        </w:tc>
        <w:tc>
          <w:tcPr>
            <w:tcW w:w="2268" w:type="dxa"/>
            <w:vMerge/>
          </w:tcPr>
          <w:p>
            <w:pPr/>
          </w:p>
        </w:tc>
        <w:tc>
          <w:tcPr>
            <w:tcW w:w="1985" w:type="dxa"/>
          </w:tcPr>
          <w:p>
            <w:pPr>
              <w:pStyle w:val="TableParagraph"/>
              <w:tabs>
                <w:tab w:pos="1964" w:val="left" w:leader="none"/>
              </w:tabs>
              <w:spacing w:line="168" w:lineRule="auto" w:before="9"/>
              <w:ind w:left="102" w:right="8" w:hanging="78"/>
              <w:rPr>
                <w:sz w:val="16"/>
              </w:rPr>
            </w:pPr>
            <w:r>
              <w:rPr>
                <w:w w:val="100"/>
                <w:sz w:val="16"/>
                <w:u w:val="dotted" w:color="929292"/>
              </w:rPr>
              <w:t> </w:t>
            </w:r>
            <w:r>
              <w:rPr>
                <w:spacing w:val="-12"/>
                <w:sz w:val="16"/>
                <w:u w:val="dotted" w:color="929292"/>
              </w:rPr>
              <w:t> </w:t>
            </w:r>
            <w:r>
              <w:rPr>
                <w:sz w:val="16"/>
                <w:u w:val="dotted" w:color="929292"/>
              </w:rPr>
              <w:t>Entre 10 y</w:t>
            </w:r>
            <w:r>
              <w:rPr>
                <w:spacing w:val="2"/>
                <w:sz w:val="16"/>
                <w:u w:val="dotted" w:color="929292"/>
              </w:rPr>
              <w:t> </w:t>
            </w:r>
            <w:r>
              <w:rPr>
                <w:sz w:val="16"/>
                <w:u w:val="dotted" w:color="929292"/>
              </w:rPr>
              <w:t>15 metros</w:t>
              <w:tab/>
            </w:r>
            <w:r>
              <w:rPr>
                <w:sz w:val="16"/>
              </w:rPr>
              <w:t> Entre 15 y 19</w:t>
            </w:r>
            <w:r>
              <w:rPr>
                <w:spacing w:val="2"/>
                <w:sz w:val="16"/>
              </w:rPr>
              <w:t> </w:t>
            </w:r>
            <w:r>
              <w:rPr>
                <w:sz w:val="16"/>
              </w:rPr>
              <w:t>metros</w:t>
            </w:r>
          </w:p>
        </w:tc>
        <w:tc>
          <w:tcPr>
            <w:tcW w:w="1423" w:type="dxa"/>
            <w:tcBorders>
              <w:right w:val="nil"/>
            </w:tcBorders>
          </w:tcPr>
          <w:p>
            <w:pPr>
              <w:pStyle w:val="TableParagraph"/>
              <w:tabs>
                <w:tab w:pos="1397" w:val="left" w:leader="none"/>
              </w:tabs>
              <w:spacing w:line="121" w:lineRule="exact"/>
              <w:ind w:left="25"/>
              <w:rPr>
                <w:sz w:val="16"/>
              </w:rPr>
            </w:pPr>
            <w:r>
              <w:rPr>
                <w:w w:val="100"/>
                <w:sz w:val="16"/>
                <w:u w:val="dotted" w:color="929292"/>
              </w:rPr>
              <w:t> </w:t>
            </w:r>
            <w:r>
              <w:rPr>
                <w:spacing w:val="-12"/>
                <w:sz w:val="16"/>
                <w:u w:val="dotted" w:color="929292"/>
              </w:rPr>
              <w:t> </w:t>
            </w:r>
            <w:r>
              <w:rPr>
                <w:sz w:val="16"/>
                <w:u w:val="dotted" w:color="929292"/>
              </w:rPr>
              <w:t>5</w:t>
              <w:tab/>
            </w:r>
          </w:p>
          <w:p>
            <w:pPr>
              <w:pStyle w:val="TableParagraph"/>
              <w:spacing w:line="156" w:lineRule="exact"/>
              <w:ind w:left="102"/>
              <w:rPr>
                <w:sz w:val="16"/>
              </w:rPr>
            </w:pPr>
            <w:r>
              <w:rPr>
                <w:w w:val="99"/>
                <w:sz w:val="16"/>
              </w:rPr>
              <w:t>1</w:t>
            </w:r>
          </w:p>
        </w:tc>
      </w:tr>
      <w:tr>
        <w:trPr>
          <w:trHeight w:val="267" w:hRule="exact"/>
        </w:trPr>
        <w:tc>
          <w:tcPr>
            <w:tcW w:w="521" w:type="dxa"/>
            <w:vMerge/>
            <w:tcBorders>
              <w:left w:val="nil"/>
            </w:tcBorders>
          </w:tcPr>
          <w:p>
            <w:pPr/>
          </w:p>
        </w:tc>
        <w:tc>
          <w:tcPr>
            <w:tcW w:w="1464" w:type="dxa"/>
            <w:vMerge/>
          </w:tcPr>
          <w:p>
            <w:pPr/>
          </w:p>
        </w:tc>
        <w:tc>
          <w:tcPr>
            <w:tcW w:w="2268" w:type="dxa"/>
            <w:vMerge/>
          </w:tcPr>
          <w:p>
            <w:pPr/>
          </w:p>
        </w:tc>
        <w:tc>
          <w:tcPr>
            <w:tcW w:w="1985" w:type="dxa"/>
          </w:tcPr>
          <w:p>
            <w:pPr>
              <w:pStyle w:val="TableParagraph"/>
              <w:spacing w:line="148" w:lineRule="exact"/>
              <w:ind w:left="102"/>
              <w:rPr>
                <w:sz w:val="16"/>
              </w:rPr>
            </w:pPr>
            <w:r>
              <w:rPr>
                <w:sz w:val="16"/>
              </w:rPr>
              <w:t>20 metros o más</w:t>
            </w:r>
          </w:p>
        </w:tc>
        <w:tc>
          <w:tcPr>
            <w:tcW w:w="1423" w:type="dxa"/>
            <w:tcBorders>
              <w:right w:val="nil"/>
            </w:tcBorders>
          </w:tcPr>
          <w:p>
            <w:pPr>
              <w:pStyle w:val="TableParagraph"/>
              <w:spacing w:line="148" w:lineRule="exact"/>
              <w:ind w:left="102"/>
              <w:rPr>
                <w:sz w:val="16"/>
              </w:rPr>
            </w:pPr>
            <w:r>
              <w:rPr>
                <w:w w:val="99"/>
                <w:sz w:val="16"/>
              </w:rPr>
              <w:t>0</w:t>
            </w:r>
          </w:p>
        </w:tc>
      </w:tr>
    </w:tbl>
    <w:p>
      <w:pPr>
        <w:pStyle w:val="BodyText"/>
        <w:spacing w:before="3"/>
        <w:rPr>
          <w:sz w:val="14"/>
        </w:rPr>
      </w:pPr>
    </w:p>
    <w:p>
      <w:pPr>
        <w:spacing w:before="0"/>
        <w:ind w:left="240" w:right="117" w:firstLine="0"/>
        <w:jc w:val="center"/>
        <w:rPr>
          <w:sz w:val="16"/>
        </w:rPr>
      </w:pPr>
      <w:r>
        <w:rPr/>
        <w:pict>
          <v:line style="position:absolute;mso-position-horizontal-relative:page;mso-position-vertical-relative:paragraph;z-index:-635464" from="424.017212pt,-30.577391pt" to="424.017212pt,-30.577391pt" stroked="true" strokeweight=".5pt" strokecolor="#929292">
            <w10:wrap type="none"/>
          </v:line>
        </w:pict>
      </w:r>
      <w:r>
        <w:rPr>
          <w:color w:val="6D6E71"/>
          <w:sz w:val="16"/>
        </w:rPr>
        <w:t>Fuente: Elaboración propia, 2015</w:t>
      </w:r>
    </w:p>
    <w:p>
      <w:pPr>
        <w:pStyle w:val="BodyText"/>
        <w:spacing w:before="5"/>
        <w:rPr>
          <w:sz w:val="22"/>
        </w:rPr>
      </w:pPr>
    </w:p>
    <w:p>
      <w:pPr>
        <w:pStyle w:val="BodyText"/>
        <w:spacing w:line="249" w:lineRule="auto"/>
        <w:ind w:left="124" w:firstLine="170"/>
        <w:jc w:val="both"/>
      </w:pPr>
      <w:r>
        <w:rPr/>
        <w:t>Asimismo, se propone las ponderaciones y los valores máximos (ver tabla 4) de acuerdo al tipo de variables e indicadores por la amenaza de movimientos de masa (deslizamientos).</w:t>
      </w:r>
    </w:p>
    <w:p>
      <w:pPr>
        <w:spacing w:before="38"/>
        <w:ind w:left="240" w:right="117" w:firstLine="0"/>
        <w:jc w:val="center"/>
        <w:rPr>
          <w:sz w:val="16"/>
        </w:rPr>
      </w:pPr>
      <w:r>
        <w:rPr/>
        <w:pict>
          <v:shape style="position:absolute;margin-left:48.533001pt;margin-top:16.238186pt;width:370.9pt;height:14.15pt;mso-position-horizontal-relative:page;mso-position-vertical-relative:paragraph;z-index:-635440" coordorigin="971,325" coordsize="7418,283" path="m8388,325l6971,325,5695,325,3240,325,971,325,971,608,3240,608,5695,608,6971,608,8388,608,8388,325e" filled="true" fillcolor="#929292" stroked="false">
            <v:path arrowok="t"/>
            <v:fill type="solid"/>
            <w10:wrap type="none"/>
          </v:shape>
        </w:pict>
      </w:r>
      <w:r>
        <w:rPr>
          <w:color w:val="6D6E71"/>
          <w:sz w:val="16"/>
        </w:rPr>
        <w:t>Tabla 4. Ponderaciones y valores para la amenaza por deslizamientos</w:t>
      </w:r>
    </w:p>
    <w:p>
      <w:pPr>
        <w:pStyle w:val="BodyText"/>
        <w:spacing w:before="1"/>
        <w:rPr>
          <w:sz w:val="8"/>
        </w:rPr>
      </w:pPr>
    </w:p>
    <w:tbl>
      <w:tblPr>
        <w:tblW w:w="0" w:type="auto"/>
        <w:jc w:val="left"/>
        <w:tblInd w:w="27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264"/>
        <w:gridCol w:w="2456"/>
        <w:gridCol w:w="1276"/>
        <w:gridCol w:w="1412"/>
      </w:tblGrid>
      <w:tr>
        <w:trPr>
          <w:trHeight w:val="278" w:hRule="exact"/>
        </w:trPr>
        <w:tc>
          <w:tcPr>
            <w:tcW w:w="2264" w:type="dxa"/>
            <w:tcBorders>
              <w:top w:val="nil"/>
              <w:left w:val="nil"/>
            </w:tcBorders>
            <w:shd w:val="clear" w:color="auto" w:fill="929292"/>
          </w:tcPr>
          <w:p>
            <w:pPr>
              <w:pStyle w:val="TableParagraph"/>
              <w:spacing w:before="58"/>
              <w:jc w:val="center"/>
              <w:rPr>
                <w:sz w:val="16"/>
              </w:rPr>
            </w:pPr>
            <w:r>
              <w:rPr>
                <w:sz w:val="16"/>
              </w:rPr>
              <w:t>Variable</w:t>
            </w:r>
          </w:p>
        </w:tc>
        <w:tc>
          <w:tcPr>
            <w:tcW w:w="2456" w:type="dxa"/>
            <w:tcBorders>
              <w:top w:val="nil"/>
            </w:tcBorders>
            <w:shd w:val="clear" w:color="auto" w:fill="929292"/>
          </w:tcPr>
          <w:p>
            <w:pPr>
              <w:pStyle w:val="TableParagraph"/>
              <w:spacing w:before="58"/>
              <w:jc w:val="center"/>
              <w:rPr>
                <w:sz w:val="16"/>
              </w:rPr>
            </w:pPr>
            <w:r>
              <w:rPr>
                <w:sz w:val="16"/>
              </w:rPr>
              <w:t>Valores posibles  del indicador</w:t>
            </w:r>
          </w:p>
        </w:tc>
        <w:tc>
          <w:tcPr>
            <w:tcW w:w="1276" w:type="dxa"/>
            <w:tcBorders>
              <w:top w:val="nil"/>
            </w:tcBorders>
            <w:shd w:val="clear" w:color="auto" w:fill="929292"/>
          </w:tcPr>
          <w:p>
            <w:pPr>
              <w:pStyle w:val="TableParagraph"/>
              <w:spacing w:before="58"/>
              <w:jc w:val="center"/>
              <w:rPr>
                <w:sz w:val="16"/>
              </w:rPr>
            </w:pPr>
            <w:r>
              <w:rPr>
                <w:sz w:val="16"/>
              </w:rPr>
              <w:t>Ponderación</w:t>
            </w:r>
          </w:p>
        </w:tc>
        <w:tc>
          <w:tcPr>
            <w:tcW w:w="1412" w:type="dxa"/>
            <w:tcBorders>
              <w:top w:val="nil"/>
              <w:right w:val="nil"/>
            </w:tcBorders>
            <w:shd w:val="clear" w:color="auto" w:fill="929292"/>
          </w:tcPr>
          <w:p>
            <w:pPr>
              <w:pStyle w:val="TableParagraph"/>
              <w:spacing w:before="58"/>
              <w:jc w:val="center"/>
              <w:rPr>
                <w:sz w:val="16"/>
              </w:rPr>
            </w:pPr>
            <w:r>
              <w:rPr>
                <w:sz w:val="16"/>
              </w:rPr>
              <w:t>Valor máximo</w:t>
            </w:r>
          </w:p>
        </w:tc>
      </w:tr>
      <w:tr>
        <w:trPr>
          <w:trHeight w:val="124" w:hRule="exact"/>
        </w:trPr>
        <w:tc>
          <w:tcPr>
            <w:tcW w:w="2264" w:type="dxa"/>
            <w:tcBorders>
              <w:left w:val="nil"/>
              <w:right w:val="single" w:sz="4" w:space="0" w:color="929292"/>
            </w:tcBorders>
          </w:tcPr>
          <w:p>
            <w:pPr>
              <w:pStyle w:val="TableParagraph"/>
              <w:tabs>
                <w:tab w:pos="2238" w:val="left" w:leader="none"/>
              </w:tabs>
              <w:spacing w:line="163" w:lineRule="exact"/>
              <w:ind w:left="20"/>
              <w:jc w:val="center"/>
              <w:rPr>
                <w:sz w:val="16"/>
              </w:rPr>
            </w:pPr>
            <w:r>
              <w:rPr>
                <w:w w:val="100"/>
                <w:sz w:val="16"/>
                <w:u w:val="dotted" w:color="929292"/>
              </w:rPr>
              <w:t> </w:t>
            </w:r>
            <w:r>
              <w:rPr>
                <w:spacing w:val="-17"/>
                <w:sz w:val="16"/>
                <w:u w:val="dotted" w:color="929292"/>
              </w:rPr>
              <w:t> </w:t>
            </w:r>
            <w:r>
              <w:rPr>
                <w:sz w:val="16"/>
                <w:u w:val="dotted" w:color="929292"/>
              </w:rPr>
              <w:t>Sistema</w:t>
            </w:r>
            <w:r>
              <w:rPr>
                <w:spacing w:val="11"/>
                <w:sz w:val="16"/>
                <w:u w:val="dotted" w:color="929292"/>
              </w:rPr>
              <w:t> </w:t>
            </w:r>
            <w:r>
              <w:rPr>
                <w:sz w:val="16"/>
                <w:u w:val="dotted" w:color="929292"/>
              </w:rPr>
              <w:t>estructural</w:t>
              <w:tab/>
            </w:r>
          </w:p>
        </w:tc>
        <w:tc>
          <w:tcPr>
            <w:tcW w:w="2456" w:type="dxa"/>
            <w:tcBorders>
              <w:left w:val="single" w:sz="4" w:space="0" w:color="929292"/>
              <w:right w:val="single" w:sz="4" w:space="0" w:color="929292"/>
            </w:tcBorders>
          </w:tcPr>
          <w:p>
            <w:pPr>
              <w:pStyle w:val="TableParagraph"/>
              <w:tabs>
                <w:tab w:pos="879" w:val="left" w:leader="none"/>
                <w:tab w:pos="2425" w:val="left" w:leader="none"/>
              </w:tabs>
              <w:spacing w:line="163" w:lineRule="exact"/>
              <w:ind w:left="14"/>
              <w:jc w:val="center"/>
              <w:rPr>
                <w:sz w:val="16"/>
              </w:rPr>
            </w:pPr>
            <w:r>
              <w:rPr>
                <w:w w:val="100"/>
                <w:sz w:val="16"/>
                <w:u w:val="dotted" w:color="929292"/>
              </w:rPr>
              <w:t> </w:t>
            </w:r>
            <w:r>
              <w:rPr>
                <w:sz w:val="16"/>
                <w:u w:val="dotted" w:color="929292"/>
              </w:rPr>
              <w:tab/>
              <w:t>0, 1,</w:t>
            </w:r>
            <w:r>
              <w:rPr>
                <w:spacing w:val="-1"/>
                <w:sz w:val="16"/>
                <w:u w:val="dotted" w:color="929292"/>
              </w:rPr>
              <w:t> </w:t>
            </w:r>
            <w:r>
              <w:rPr>
                <w:sz w:val="16"/>
                <w:u w:val="dotted" w:color="929292"/>
              </w:rPr>
              <w:t>5,10</w:t>
              <w:tab/>
            </w:r>
          </w:p>
        </w:tc>
        <w:tc>
          <w:tcPr>
            <w:tcW w:w="1276" w:type="dxa"/>
            <w:tcBorders>
              <w:left w:val="single" w:sz="4" w:space="0" w:color="929292"/>
              <w:right w:val="single" w:sz="4" w:space="0" w:color="929292"/>
            </w:tcBorders>
          </w:tcPr>
          <w:p>
            <w:pPr>
              <w:pStyle w:val="TableParagraph"/>
              <w:tabs>
                <w:tab w:pos="511" w:val="left" w:leader="none"/>
                <w:tab w:pos="1246" w:val="left" w:leader="none"/>
              </w:tabs>
              <w:spacing w:line="163" w:lineRule="exact"/>
              <w:ind w:left="14"/>
              <w:jc w:val="center"/>
              <w:rPr>
                <w:sz w:val="16"/>
              </w:rPr>
            </w:pPr>
            <w:r>
              <w:rPr>
                <w:w w:val="100"/>
                <w:sz w:val="16"/>
                <w:u w:val="dotted" w:color="929292"/>
              </w:rPr>
              <w:t> </w:t>
            </w:r>
            <w:r>
              <w:rPr>
                <w:sz w:val="16"/>
                <w:u w:val="dotted" w:color="929292"/>
              </w:rPr>
              <w:tab/>
              <w:t>0.8</w:t>
              <w:tab/>
            </w:r>
          </w:p>
        </w:tc>
        <w:tc>
          <w:tcPr>
            <w:tcW w:w="1412" w:type="dxa"/>
            <w:tcBorders>
              <w:left w:val="single" w:sz="4" w:space="0" w:color="929292"/>
              <w:right w:val="nil"/>
            </w:tcBorders>
          </w:tcPr>
          <w:p>
            <w:pPr>
              <w:pStyle w:val="TableParagraph"/>
              <w:tabs>
                <w:tab w:pos="643" w:val="left" w:leader="none"/>
                <w:tab w:pos="1376" w:val="left" w:leader="none"/>
              </w:tabs>
              <w:spacing w:line="163" w:lineRule="exact"/>
              <w:ind w:left="10"/>
              <w:jc w:val="center"/>
              <w:rPr>
                <w:sz w:val="16"/>
              </w:rPr>
            </w:pPr>
            <w:r>
              <w:rPr>
                <w:w w:val="100"/>
                <w:sz w:val="16"/>
                <w:u w:val="dotted" w:color="929292"/>
              </w:rPr>
              <w:t> </w:t>
            </w:r>
            <w:r>
              <w:rPr>
                <w:sz w:val="16"/>
                <w:u w:val="dotted" w:color="929292"/>
              </w:rPr>
              <w:tab/>
              <w:t>8</w:t>
              <w:tab/>
            </w:r>
          </w:p>
        </w:tc>
      </w:tr>
      <w:tr>
        <w:trPr>
          <w:trHeight w:val="124" w:hRule="exact"/>
        </w:trPr>
        <w:tc>
          <w:tcPr>
            <w:tcW w:w="2264" w:type="dxa"/>
            <w:tcBorders>
              <w:left w:val="nil"/>
              <w:right w:val="single" w:sz="4" w:space="0" w:color="929292"/>
            </w:tcBorders>
          </w:tcPr>
          <w:p>
            <w:pPr>
              <w:pStyle w:val="TableParagraph"/>
              <w:tabs>
                <w:tab w:pos="2238" w:val="left" w:leader="none"/>
              </w:tabs>
              <w:spacing w:line="163" w:lineRule="exact"/>
              <w:ind w:left="20"/>
              <w:jc w:val="center"/>
              <w:rPr>
                <w:sz w:val="16"/>
              </w:rPr>
            </w:pPr>
            <w:r>
              <w:rPr>
                <w:w w:val="100"/>
                <w:sz w:val="16"/>
                <w:u w:val="dotted" w:color="929292"/>
              </w:rPr>
              <w:t> </w:t>
            </w:r>
            <w:r>
              <w:rPr>
                <w:spacing w:val="-17"/>
                <w:sz w:val="16"/>
                <w:u w:val="dotted" w:color="929292"/>
              </w:rPr>
              <w:t> </w:t>
            </w:r>
            <w:r>
              <w:rPr>
                <w:sz w:val="16"/>
                <w:u w:val="dotted" w:color="929292"/>
              </w:rPr>
              <w:t>Materiales de</w:t>
            </w:r>
            <w:r>
              <w:rPr>
                <w:spacing w:val="5"/>
                <w:sz w:val="16"/>
                <w:u w:val="dotted" w:color="929292"/>
              </w:rPr>
              <w:t> </w:t>
            </w:r>
            <w:r>
              <w:rPr>
                <w:sz w:val="16"/>
                <w:u w:val="dotted" w:color="929292"/>
              </w:rPr>
              <w:t>paredes</w:t>
              <w:tab/>
            </w:r>
          </w:p>
        </w:tc>
        <w:tc>
          <w:tcPr>
            <w:tcW w:w="2456" w:type="dxa"/>
            <w:tcBorders>
              <w:left w:val="single" w:sz="4" w:space="0" w:color="929292"/>
              <w:right w:val="single" w:sz="4" w:space="0" w:color="929292"/>
            </w:tcBorders>
          </w:tcPr>
          <w:p>
            <w:pPr>
              <w:pStyle w:val="TableParagraph"/>
              <w:tabs>
                <w:tab w:pos="879" w:val="left" w:leader="none"/>
                <w:tab w:pos="2425" w:val="left" w:leader="none"/>
              </w:tabs>
              <w:spacing w:line="163" w:lineRule="exact"/>
              <w:ind w:left="14"/>
              <w:jc w:val="center"/>
              <w:rPr>
                <w:sz w:val="16"/>
              </w:rPr>
            </w:pPr>
            <w:r>
              <w:rPr>
                <w:w w:val="100"/>
                <w:sz w:val="16"/>
                <w:u w:val="dotted" w:color="929292"/>
              </w:rPr>
              <w:t> </w:t>
            </w:r>
            <w:r>
              <w:rPr>
                <w:sz w:val="16"/>
                <w:u w:val="dotted" w:color="929292"/>
              </w:rPr>
              <w:tab/>
              <w:t>0, 1,</w:t>
            </w:r>
            <w:r>
              <w:rPr>
                <w:spacing w:val="-1"/>
                <w:sz w:val="16"/>
                <w:u w:val="dotted" w:color="929292"/>
              </w:rPr>
              <w:t> </w:t>
            </w:r>
            <w:r>
              <w:rPr>
                <w:sz w:val="16"/>
                <w:u w:val="dotted" w:color="929292"/>
              </w:rPr>
              <w:t>5,10</w:t>
              <w:tab/>
            </w:r>
          </w:p>
        </w:tc>
        <w:tc>
          <w:tcPr>
            <w:tcW w:w="1276" w:type="dxa"/>
            <w:tcBorders>
              <w:left w:val="single" w:sz="4" w:space="0" w:color="929292"/>
              <w:right w:val="single" w:sz="4" w:space="0" w:color="929292"/>
            </w:tcBorders>
          </w:tcPr>
          <w:p>
            <w:pPr>
              <w:pStyle w:val="TableParagraph"/>
              <w:tabs>
                <w:tab w:pos="511" w:val="left" w:leader="none"/>
                <w:tab w:pos="1246" w:val="left" w:leader="none"/>
              </w:tabs>
              <w:spacing w:line="163" w:lineRule="exact"/>
              <w:ind w:left="14"/>
              <w:jc w:val="center"/>
              <w:rPr>
                <w:sz w:val="16"/>
              </w:rPr>
            </w:pPr>
            <w:r>
              <w:rPr>
                <w:w w:val="100"/>
                <w:sz w:val="16"/>
                <w:u w:val="dotted" w:color="929292"/>
              </w:rPr>
              <w:t> </w:t>
            </w:r>
            <w:r>
              <w:rPr>
                <w:sz w:val="16"/>
                <w:u w:val="dotted" w:color="929292"/>
              </w:rPr>
              <w:tab/>
              <w:t>0.8</w:t>
              <w:tab/>
            </w:r>
          </w:p>
        </w:tc>
        <w:tc>
          <w:tcPr>
            <w:tcW w:w="1412" w:type="dxa"/>
            <w:tcBorders>
              <w:left w:val="single" w:sz="4" w:space="0" w:color="929292"/>
              <w:right w:val="nil"/>
            </w:tcBorders>
          </w:tcPr>
          <w:p>
            <w:pPr>
              <w:pStyle w:val="TableParagraph"/>
              <w:tabs>
                <w:tab w:pos="643" w:val="left" w:leader="none"/>
                <w:tab w:pos="1376" w:val="left" w:leader="none"/>
              </w:tabs>
              <w:spacing w:line="163" w:lineRule="exact"/>
              <w:ind w:left="10"/>
              <w:jc w:val="center"/>
              <w:rPr>
                <w:sz w:val="16"/>
              </w:rPr>
            </w:pPr>
            <w:r>
              <w:rPr>
                <w:w w:val="100"/>
                <w:sz w:val="16"/>
                <w:u w:val="dotted" w:color="929292"/>
              </w:rPr>
              <w:t> </w:t>
            </w:r>
            <w:r>
              <w:rPr>
                <w:sz w:val="16"/>
                <w:u w:val="dotted" w:color="929292"/>
              </w:rPr>
              <w:tab/>
              <w:t>8</w:t>
              <w:tab/>
            </w:r>
          </w:p>
        </w:tc>
      </w:tr>
      <w:tr>
        <w:trPr>
          <w:trHeight w:val="124" w:hRule="exact"/>
        </w:trPr>
        <w:tc>
          <w:tcPr>
            <w:tcW w:w="2264" w:type="dxa"/>
            <w:tcBorders>
              <w:left w:val="nil"/>
              <w:right w:val="single" w:sz="4" w:space="0" w:color="929292"/>
            </w:tcBorders>
          </w:tcPr>
          <w:p>
            <w:pPr>
              <w:pStyle w:val="TableParagraph"/>
              <w:tabs>
                <w:tab w:pos="2238" w:val="left" w:leader="none"/>
              </w:tabs>
              <w:spacing w:line="163" w:lineRule="exact"/>
              <w:ind w:left="20"/>
              <w:jc w:val="center"/>
              <w:rPr>
                <w:sz w:val="16"/>
              </w:rPr>
            </w:pPr>
            <w:r>
              <w:rPr>
                <w:w w:val="100"/>
                <w:sz w:val="16"/>
                <w:u w:val="dotted" w:color="929292"/>
              </w:rPr>
              <w:t> </w:t>
            </w:r>
            <w:r>
              <w:rPr>
                <w:spacing w:val="-17"/>
                <w:sz w:val="16"/>
                <w:u w:val="dotted" w:color="929292"/>
              </w:rPr>
              <w:t> </w:t>
            </w:r>
            <w:r>
              <w:rPr>
                <w:sz w:val="16"/>
                <w:u w:val="dotted" w:color="929292"/>
              </w:rPr>
              <w:t>Número de</w:t>
            </w:r>
            <w:r>
              <w:rPr>
                <w:spacing w:val="14"/>
                <w:sz w:val="16"/>
                <w:u w:val="dotted" w:color="929292"/>
              </w:rPr>
              <w:t> </w:t>
            </w:r>
            <w:r>
              <w:rPr>
                <w:sz w:val="16"/>
                <w:u w:val="dotted" w:color="929292"/>
              </w:rPr>
              <w:t>pisos</w:t>
              <w:tab/>
            </w:r>
          </w:p>
        </w:tc>
        <w:tc>
          <w:tcPr>
            <w:tcW w:w="2456" w:type="dxa"/>
            <w:tcBorders>
              <w:left w:val="single" w:sz="4" w:space="0" w:color="929292"/>
              <w:right w:val="single" w:sz="4" w:space="0" w:color="929292"/>
            </w:tcBorders>
          </w:tcPr>
          <w:p>
            <w:pPr>
              <w:pStyle w:val="TableParagraph"/>
              <w:tabs>
                <w:tab w:pos="879" w:val="left" w:leader="none"/>
                <w:tab w:pos="2425" w:val="left" w:leader="none"/>
              </w:tabs>
              <w:spacing w:line="163" w:lineRule="exact"/>
              <w:ind w:left="14"/>
              <w:jc w:val="center"/>
              <w:rPr>
                <w:sz w:val="16"/>
              </w:rPr>
            </w:pPr>
            <w:r>
              <w:rPr>
                <w:w w:val="100"/>
                <w:sz w:val="16"/>
                <w:u w:val="dotted" w:color="929292"/>
              </w:rPr>
              <w:t> </w:t>
            </w:r>
            <w:r>
              <w:rPr>
                <w:sz w:val="16"/>
                <w:u w:val="dotted" w:color="929292"/>
              </w:rPr>
              <w:tab/>
              <w:t>0, 1,</w:t>
            </w:r>
            <w:r>
              <w:rPr>
                <w:spacing w:val="-1"/>
                <w:sz w:val="16"/>
                <w:u w:val="dotted" w:color="929292"/>
              </w:rPr>
              <w:t> </w:t>
            </w:r>
            <w:r>
              <w:rPr>
                <w:sz w:val="16"/>
                <w:u w:val="dotted" w:color="929292"/>
              </w:rPr>
              <w:t>5,10</w:t>
              <w:tab/>
            </w:r>
          </w:p>
        </w:tc>
        <w:tc>
          <w:tcPr>
            <w:tcW w:w="1276" w:type="dxa"/>
            <w:tcBorders>
              <w:left w:val="single" w:sz="4" w:space="0" w:color="929292"/>
              <w:right w:val="single" w:sz="4" w:space="0" w:color="929292"/>
            </w:tcBorders>
          </w:tcPr>
          <w:p>
            <w:pPr>
              <w:pStyle w:val="TableParagraph"/>
              <w:tabs>
                <w:tab w:pos="511" w:val="left" w:leader="none"/>
                <w:tab w:pos="1246" w:val="left" w:leader="none"/>
              </w:tabs>
              <w:spacing w:line="163" w:lineRule="exact"/>
              <w:ind w:left="14"/>
              <w:jc w:val="center"/>
              <w:rPr>
                <w:sz w:val="16"/>
              </w:rPr>
            </w:pPr>
            <w:r>
              <w:rPr>
                <w:w w:val="100"/>
                <w:sz w:val="16"/>
                <w:u w:val="dotted" w:color="929292"/>
              </w:rPr>
              <w:t> </w:t>
            </w:r>
            <w:r>
              <w:rPr>
                <w:sz w:val="16"/>
                <w:u w:val="dotted" w:color="929292"/>
              </w:rPr>
              <w:tab/>
              <w:t>0.8</w:t>
              <w:tab/>
            </w:r>
          </w:p>
        </w:tc>
        <w:tc>
          <w:tcPr>
            <w:tcW w:w="1412" w:type="dxa"/>
            <w:tcBorders>
              <w:left w:val="single" w:sz="4" w:space="0" w:color="929292"/>
              <w:right w:val="nil"/>
            </w:tcBorders>
          </w:tcPr>
          <w:p>
            <w:pPr>
              <w:pStyle w:val="TableParagraph"/>
              <w:tabs>
                <w:tab w:pos="643" w:val="left" w:leader="none"/>
                <w:tab w:pos="1376" w:val="left" w:leader="none"/>
              </w:tabs>
              <w:spacing w:line="163" w:lineRule="exact"/>
              <w:ind w:left="10"/>
              <w:jc w:val="center"/>
              <w:rPr>
                <w:sz w:val="16"/>
              </w:rPr>
            </w:pPr>
            <w:r>
              <w:rPr>
                <w:w w:val="100"/>
                <w:sz w:val="16"/>
                <w:u w:val="dotted" w:color="929292"/>
              </w:rPr>
              <w:t> </w:t>
            </w:r>
            <w:r>
              <w:rPr>
                <w:sz w:val="16"/>
                <w:u w:val="dotted" w:color="929292"/>
              </w:rPr>
              <w:tab/>
              <w:t>8</w:t>
              <w:tab/>
            </w:r>
          </w:p>
        </w:tc>
      </w:tr>
      <w:tr>
        <w:trPr>
          <w:trHeight w:val="124" w:hRule="exact"/>
        </w:trPr>
        <w:tc>
          <w:tcPr>
            <w:tcW w:w="2264" w:type="dxa"/>
            <w:tcBorders>
              <w:left w:val="nil"/>
              <w:right w:val="single" w:sz="4" w:space="0" w:color="929292"/>
            </w:tcBorders>
          </w:tcPr>
          <w:p>
            <w:pPr>
              <w:pStyle w:val="TableParagraph"/>
              <w:tabs>
                <w:tab w:pos="2238" w:val="left" w:leader="none"/>
              </w:tabs>
              <w:spacing w:line="163" w:lineRule="exact"/>
              <w:ind w:left="20"/>
              <w:jc w:val="center"/>
              <w:rPr>
                <w:sz w:val="16"/>
              </w:rPr>
            </w:pPr>
            <w:r>
              <w:rPr>
                <w:w w:val="100"/>
                <w:sz w:val="16"/>
                <w:u w:val="dotted" w:color="929292"/>
              </w:rPr>
              <w:t> </w:t>
            </w:r>
            <w:r>
              <w:rPr>
                <w:spacing w:val="-17"/>
                <w:sz w:val="16"/>
                <w:u w:val="dotted" w:color="929292"/>
              </w:rPr>
              <w:t> </w:t>
            </w:r>
            <w:r>
              <w:rPr>
                <w:sz w:val="16"/>
                <w:u w:val="dotted" w:color="929292"/>
              </w:rPr>
              <w:t>Año de</w:t>
            </w:r>
            <w:r>
              <w:rPr>
                <w:spacing w:val="31"/>
                <w:sz w:val="16"/>
                <w:u w:val="dotted" w:color="929292"/>
              </w:rPr>
              <w:t> </w:t>
            </w:r>
            <w:r>
              <w:rPr>
                <w:sz w:val="16"/>
                <w:u w:val="dotted" w:color="929292"/>
              </w:rPr>
              <w:t>construcción</w:t>
              <w:tab/>
            </w:r>
          </w:p>
        </w:tc>
        <w:tc>
          <w:tcPr>
            <w:tcW w:w="2456" w:type="dxa"/>
            <w:tcBorders>
              <w:left w:val="single" w:sz="4" w:space="0" w:color="929292"/>
              <w:right w:val="single" w:sz="4" w:space="0" w:color="929292"/>
            </w:tcBorders>
          </w:tcPr>
          <w:p>
            <w:pPr>
              <w:pStyle w:val="TableParagraph"/>
              <w:tabs>
                <w:tab w:pos="879" w:val="left" w:leader="none"/>
                <w:tab w:pos="2425" w:val="left" w:leader="none"/>
              </w:tabs>
              <w:spacing w:line="163" w:lineRule="exact"/>
              <w:ind w:left="14"/>
              <w:jc w:val="center"/>
              <w:rPr>
                <w:sz w:val="16"/>
              </w:rPr>
            </w:pPr>
            <w:r>
              <w:rPr>
                <w:w w:val="100"/>
                <w:sz w:val="16"/>
                <w:u w:val="dotted" w:color="929292"/>
              </w:rPr>
              <w:t> </w:t>
            </w:r>
            <w:r>
              <w:rPr>
                <w:sz w:val="16"/>
                <w:u w:val="dotted" w:color="929292"/>
              </w:rPr>
              <w:tab/>
              <w:t>0, 1,</w:t>
            </w:r>
            <w:r>
              <w:rPr>
                <w:spacing w:val="-1"/>
                <w:sz w:val="16"/>
                <w:u w:val="dotted" w:color="929292"/>
              </w:rPr>
              <w:t> </w:t>
            </w:r>
            <w:r>
              <w:rPr>
                <w:sz w:val="16"/>
                <w:u w:val="dotted" w:color="929292"/>
              </w:rPr>
              <w:t>5,10</w:t>
              <w:tab/>
            </w:r>
          </w:p>
        </w:tc>
        <w:tc>
          <w:tcPr>
            <w:tcW w:w="1276" w:type="dxa"/>
            <w:tcBorders>
              <w:left w:val="single" w:sz="4" w:space="0" w:color="929292"/>
              <w:right w:val="single" w:sz="4" w:space="0" w:color="929292"/>
            </w:tcBorders>
          </w:tcPr>
          <w:p>
            <w:pPr>
              <w:pStyle w:val="TableParagraph"/>
              <w:tabs>
                <w:tab w:pos="511" w:val="left" w:leader="none"/>
                <w:tab w:pos="1246" w:val="left" w:leader="none"/>
              </w:tabs>
              <w:spacing w:line="163" w:lineRule="exact"/>
              <w:ind w:left="14"/>
              <w:jc w:val="center"/>
              <w:rPr>
                <w:sz w:val="16"/>
              </w:rPr>
            </w:pPr>
            <w:r>
              <w:rPr>
                <w:w w:val="100"/>
                <w:sz w:val="16"/>
                <w:u w:val="dotted" w:color="929292"/>
              </w:rPr>
              <w:t> </w:t>
            </w:r>
            <w:r>
              <w:rPr>
                <w:sz w:val="16"/>
                <w:u w:val="dotted" w:color="929292"/>
              </w:rPr>
              <w:tab/>
              <w:t>0.8</w:t>
              <w:tab/>
            </w:r>
          </w:p>
        </w:tc>
        <w:tc>
          <w:tcPr>
            <w:tcW w:w="1412" w:type="dxa"/>
            <w:tcBorders>
              <w:left w:val="single" w:sz="4" w:space="0" w:color="929292"/>
              <w:right w:val="nil"/>
            </w:tcBorders>
          </w:tcPr>
          <w:p>
            <w:pPr>
              <w:pStyle w:val="TableParagraph"/>
              <w:tabs>
                <w:tab w:pos="643" w:val="left" w:leader="none"/>
                <w:tab w:pos="1376" w:val="left" w:leader="none"/>
              </w:tabs>
              <w:spacing w:line="163" w:lineRule="exact"/>
              <w:ind w:left="10"/>
              <w:jc w:val="center"/>
              <w:rPr>
                <w:sz w:val="16"/>
              </w:rPr>
            </w:pPr>
            <w:r>
              <w:rPr>
                <w:w w:val="100"/>
                <w:sz w:val="16"/>
                <w:u w:val="dotted" w:color="929292"/>
              </w:rPr>
              <w:t> </w:t>
            </w:r>
            <w:r>
              <w:rPr>
                <w:sz w:val="16"/>
                <w:u w:val="dotted" w:color="929292"/>
              </w:rPr>
              <w:tab/>
              <w:t>8</w:t>
              <w:tab/>
            </w:r>
          </w:p>
        </w:tc>
      </w:tr>
      <w:tr>
        <w:trPr>
          <w:trHeight w:val="124" w:hRule="exact"/>
        </w:trPr>
        <w:tc>
          <w:tcPr>
            <w:tcW w:w="2264" w:type="dxa"/>
            <w:tcBorders>
              <w:left w:val="nil"/>
              <w:right w:val="single" w:sz="4" w:space="0" w:color="929292"/>
            </w:tcBorders>
          </w:tcPr>
          <w:p>
            <w:pPr>
              <w:pStyle w:val="TableParagraph"/>
              <w:tabs>
                <w:tab w:pos="2238" w:val="left" w:leader="none"/>
              </w:tabs>
              <w:spacing w:line="163" w:lineRule="exact"/>
              <w:ind w:left="20"/>
              <w:jc w:val="center"/>
              <w:rPr>
                <w:sz w:val="16"/>
              </w:rPr>
            </w:pPr>
            <w:r>
              <w:rPr>
                <w:w w:val="100"/>
                <w:sz w:val="16"/>
                <w:u w:val="dotted" w:color="929292"/>
              </w:rPr>
              <w:t> </w:t>
            </w:r>
            <w:r>
              <w:rPr>
                <w:spacing w:val="-17"/>
                <w:sz w:val="16"/>
                <w:u w:val="dotted" w:color="929292"/>
              </w:rPr>
              <w:t> </w:t>
            </w:r>
            <w:r>
              <w:rPr>
                <w:sz w:val="16"/>
                <w:u w:val="dotted" w:color="929292"/>
              </w:rPr>
              <w:t>Estado de</w:t>
            </w:r>
            <w:r>
              <w:rPr>
                <w:spacing w:val="16"/>
                <w:sz w:val="16"/>
                <w:u w:val="dotted" w:color="929292"/>
              </w:rPr>
              <w:t> </w:t>
            </w:r>
            <w:r>
              <w:rPr>
                <w:sz w:val="16"/>
                <w:u w:val="dotted" w:color="929292"/>
              </w:rPr>
              <w:t>conservación</w:t>
              <w:tab/>
            </w:r>
          </w:p>
        </w:tc>
        <w:tc>
          <w:tcPr>
            <w:tcW w:w="2456" w:type="dxa"/>
            <w:tcBorders>
              <w:left w:val="single" w:sz="4" w:space="0" w:color="929292"/>
              <w:right w:val="single" w:sz="4" w:space="0" w:color="929292"/>
            </w:tcBorders>
          </w:tcPr>
          <w:p>
            <w:pPr>
              <w:pStyle w:val="TableParagraph"/>
              <w:tabs>
                <w:tab w:pos="879" w:val="left" w:leader="none"/>
                <w:tab w:pos="2425" w:val="left" w:leader="none"/>
              </w:tabs>
              <w:spacing w:line="163" w:lineRule="exact"/>
              <w:ind w:left="14"/>
              <w:jc w:val="center"/>
              <w:rPr>
                <w:sz w:val="16"/>
              </w:rPr>
            </w:pPr>
            <w:r>
              <w:rPr>
                <w:w w:val="100"/>
                <w:sz w:val="16"/>
                <w:u w:val="dotted" w:color="929292"/>
              </w:rPr>
              <w:t> </w:t>
            </w:r>
            <w:r>
              <w:rPr>
                <w:sz w:val="16"/>
                <w:u w:val="dotted" w:color="929292"/>
              </w:rPr>
              <w:tab/>
              <w:t>0, 1,</w:t>
            </w:r>
            <w:r>
              <w:rPr>
                <w:spacing w:val="-1"/>
                <w:sz w:val="16"/>
                <w:u w:val="dotted" w:color="929292"/>
              </w:rPr>
              <w:t> </w:t>
            </w:r>
            <w:r>
              <w:rPr>
                <w:sz w:val="16"/>
                <w:u w:val="dotted" w:color="929292"/>
              </w:rPr>
              <w:t>5,10</w:t>
              <w:tab/>
            </w:r>
          </w:p>
        </w:tc>
        <w:tc>
          <w:tcPr>
            <w:tcW w:w="1276" w:type="dxa"/>
            <w:tcBorders>
              <w:left w:val="single" w:sz="4" w:space="0" w:color="929292"/>
              <w:right w:val="single" w:sz="4" w:space="0" w:color="929292"/>
            </w:tcBorders>
          </w:tcPr>
          <w:p>
            <w:pPr>
              <w:pStyle w:val="TableParagraph"/>
              <w:tabs>
                <w:tab w:pos="511" w:val="left" w:leader="none"/>
                <w:tab w:pos="1246" w:val="left" w:leader="none"/>
              </w:tabs>
              <w:spacing w:line="163" w:lineRule="exact"/>
              <w:ind w:left="14"/>
              <w:jc w:val="center"/>
              <w:rPr>
                <w:sz w:val="16"/>
              </w:rPr>
            </w:pPr>
            <w:r>
              <w:rPr>
                <w:w w:val="100"/>
                <w:sz w:val="16"/>
                <w:u w:val="dotted" w:color="929292"/>
              </w:rPr>
              <w:t> </w:t>
            </w:r>
            <w:r>
              <w:rPr>
                <w:sz w:val="16"/>
                <w:u w:val="dotted" w:color="929292"/>
              </w:rPr>
              <w:tab/>
              <w:t>0.8</w:t>
              <w:tab/>
            </w:r>
          </w:p>
        </w:tc>
        <w:tc>
          <w:tcPr>
            <w:tcW w:w="1412" w:type="dxa"/>
            <w:tcBorders>
              <w:left w:val="single" w:sz="4" w:space="0" w:color="929292"/>
              <w:right w:val="nil"/>
            </w:tcBorders>
          </w:tcPr>
          <w:p>
            <w:pPr>
              <w:pStyle w:val="TableParagraph"/>
              <w:tabs>
                <w:tab w:pos="643" w:val="left" w:leader="none"/>
                <w:tab w:pos="1376" w:val="left" w:leader="none"/>
              </w:tabs>
              <w:spacing w:line="163" w:lineRule="exact"/>
              <w:ind w:left="10"/>
              <w:jc w:val="center"/>
              <w:rPr>
                <w:sz w:val="16"/>
              </w:rPr>
            </w:pPr>
            <w:r>
              <w:rPr>
                <w:w w:val="100"/>
                <w:sz w:val="16"/>
                <w:u w:val="dotted" w:color="929292"/>
              </w:rPr>
              <w:t> </w:t>
            </w:r>
            <w:r>
              <w:rPr>
                <w:sz w:val="16"/>
                <w:u w:val="dotted" w:color="929292"/>
              </w:rPr>
              <w:tab/>
              <w:t>8</w:t>
              <w:tab/>
            </w:r>
          </w:p>
        </w:tc>
      </w:tr>
      <w:tr>
        <w:trPr>
          <w:trHeight w:val="124" w:hRule="exact"/>
        </w:trPr>
        <w:tc>
          <w:tcPr>
            <w:tcW w:w="2264" w:type="dxa"/>
            <w:tcBorders>
              <w:left w:val="nil"/>
              <w:right w:val="single" w:sz="4" w:space="0" w:color="929292"/>
            </w:tcBorders>
          </w:tcPr>
          <w:p>
            <w:pPr>
              <w:pStyle w:val="TableParagraph"/>
              <w:tabs>
                <w:tab w:pos="2238" w:val="left" w:leader="none"/>
              </w:tabs>
              <w:spacing w:line="163" w:lineRule="exact"/>
              <w:ind w:left="20"/>
              <w:jc w:val="center"/>
              <w:rPr>
                <w:sz w:val="16"/>
              </w:rPr>
            </w:pPr>
            <w:r>
              <w:rPr>
                <w:w w:val="100"/>
                <w:sz w:val="16"/>
                <w:u w:val="dotted" w:color="929292"/>
              </w:rPr>
              <w:t> </w:t>
            </w:r>
            <w:r>
              <w:rPr>
                <w:spacing w:val="-17"/>
                <w:sz w:val="16"/>
                <w:u w:val="dotted" w:color="929292"/>
              </w:rPr>
              <w:t> </w:t>
            </w:r>
            <w:r>
              <w:rPr>
                <w:sz w:val="16"/>
                <w:u w:val="dotted" w:color="929292"/>
              </w:rPr>
              <w:t>Características</w:t>
            </w:r>
            <w:r>
              <w:rPr>
                <w:spacing w:val="2"/>
                <w:sz w:val="16"/>
                <w:u w:val="dotted" w:color="929292"/>
              </w:rPr>
              <w:t> </w:t>
            </w:r>
            <w:r>
              <w:rPr>
                <w:sz w:val="16"/>
                <w:u w:val="dotted" w:color="929292"/>
              </w:rPr>
              <w:t>suelo</w:t>
              <w:tab/>
            </w:r>
          </w:p>
        </w:tc>
        <w:tc>
          <w:tcPr>
            <w:tcW w:w="2456" w:type="dxa"/>
            <w:tcBorders>
              <w:left w:val="single" w:sz="4" w:space="0" w:color="929292"/>
              <w:right w:val="single" w:sz="4" w:space="0" w:color="929292"/>
            </w:tcBorders>
          </w:tcPr>
          <w:p>
            <w:pPr>
              <w:pStyle w:val="TableParagraph"/>
              <w:tabs>
                <w:tab w:pos="879" w:val="left" w:leader="none"/>
                <w:tab w:pos="2425" w:val="left" w:leader="none"/>
              </w:tabs>
              <w:spacing w:line="163" w:lineRule="exact"/>
              <w:ind w:left="14"/>
              <w:jc w:val="center"/>
              <w:rPr>
                <w:sz w:val="16"/>
              </w:rPr>
            </w:pPr>
            <w:r>
              <w:rPr>
                <w:w w:val="100"/>
                <w:sz w:val="16"/>
                <w:u w:val="dotted" w:color="929292"/>
              </w:rPr>
              <w:t> </w:t>
            </w:r>
            <w:r>
              <w:rPr>
                <w:sz w:val="16"/>
                <w:u w:val="dotted" w:color="929292"/>
              </w:rPr>
              <w:tab/>
              <w:t>0, 1,</w:t>
            </w:r>
            <w:r>
              <w:rPr>
                <w:spacing w:val="-1"/>
                <w:sz w:val="16"/>
                <w:u w:val="dotted" w:color="929292"/>
              </w:rPr>
              <w:t> </w:t>
            </w:r>
            <w:r>
              <w:rPr>
                <w:sz w:val="16"/>
                <w:u w:val="dotted" w:color="929292"/>
              </w:rPr>
              <w:t>5,10</w:t>
              <w:tab/>
            </w:r>
          </w:p>
        </w:tc>
        <w:tc>
          <w:tcPr>
            <w:tcW w:w="1276" w:type="dxa"/>
            <w:tcBorders>
              <w:left w:val="single" w:sz="4" w:space="0" w:color="929292"/>
              <w:right w:val="single" w:sz="4" w:space="0" w:color="929292"/>
            </w:tcBorders>
          </w:tcPr>
          <w:p>
            <w:pPr>
              <w:pStyle w:val="TableParagraph"/>
              <w:tabs>
                <w:tab w:pos="578" w:val="left" w:leader="none"/>
                <w:tab w:pos="1246" w:val="left" w:leader="none"/>
              </w:tabs>
              <w:spacing w:line="163" w:lineRule="exact"/>
              <w:ind w:left="14"/>
              <w:jc w:val="center"/>
              <w:rPr>
                <w:sz w:val="16"/>
              </w:rPr>
            </w:pPr>
            <w:r>
              <w:rPr>
                <w:w w:val="100"/>
                <w:sz w:val="16"/>
                <w:u w:val="dotted" w:color="929292"/>
              </w:rPr>
              <w:t> </w:t>
            </w:r>
            <w:r>
              <w:rPr>
                <w:sz w:val="16"/>
                <w:u w:val="dotted" w:color="929292"/>
              </w:rPr>
              <w:tab/>
              <w:t>2</w:t>
              <w:tab/>
            </w:r>
          </w:p>
        </w:tc>
        <w:tc>
          <w:tcPr>
            <w:tcW w:w="1412" w:type="dxa"/>
            <w:tcBorders>
              <w:left w:val="single" w:sz="4" w:space="0" w:color="929292"/>
              <w:right w:val="nil"/>
            </w:tcBorders>
          </w:tcPr>
          <w:p>
            <w:pPr>
              <w:pStyle w:val="TableParagraph"/>
              <w:tabs>
                <w:tab w:pos="599" w:val="left" w:leader="none"/>
                <w:tab w:pos="1376" w:val="left" w:leader="none"/>
              </w:tabs>
              <w:spacing w:line="163" w:lineRule="exact"/>
              <w:ind w:left="10"/>
              <w:jc w:val="center"/>
              <w:rPr>
                <w:sz w:val="16"/>
              </w:rPr>
            </w:pPr>
            <w:r>
              <w:rPr>
                <w:w w:val="100"/>
                <w:sz w:val="16"/>
                <w:u w:val="dotted" w:color="929292"/>
              </w:rPr>
              <w:t> </w:t>
            </w:r>
            <w:r>
              <w:rPr>
                <w:sz w:val="16"/>
                <w:u w:val="dotted" w:color="929292"/>
              </w:rPr>
              <w:tab/>
              <w:t>20</w:t>
              <w:tab/>
            </w:r>
          </w:p>
        </w:tc>
      </w:tr>
      <w:tr>
        <w:trPr>
          <w:trHeight w:val="124" w:hRule="exact"/>
        </w:trPr>
        <w:tc>
          <w:tcPr>
            <w:tcW w:w="2264" w:type="dxa"/>
            <w:tcBorders>
              <w:left w:val="nil"/>
              <w:right w:val="single" w:sz="4" w:space="0" w:color="929292"/>
            </w:tcBorders>
          </w:tcPr>
          <w:p>
            <w:pPr>
              <w:pStyle w:val="TableParagraph"/>
              <w:tabs>
                <w:tab w:pos="2238" w:val="left" w:leader="none"/>
              </w:tabs>
              <w:spacing w:line="163" w:lineRule="exact"/>
              <w:ind w:left="20"/>
              <w:jc w:val="center"/>
              <w:rPr>
                <w:sz w:val="16"/>
              </w:rPr>
            </w:pPr>
            <w:r>
              <w:rPr>
                <w:w w:val="100"/>
                <w:sz w:val="16"/>
                <w:u w:val="dotted" w:color="929292"/>
              </w:rPr>
              <w:t> </w:t>
            </w:r>
            <w:r>
              <w:rPr>
                <w:spacing w:val="-17"/>
                <w:sz w:val="16"/>
                <w:u w:val="dotted" w:color="929292"/>
              </w:rPr>
              <w:t> </w:t>
            </w:r>
            <w:r>
              <w:rPr>
                <w:sz w:val="16"/>
                <w:u w:val="dotted" w:color="929292"/>
              </w:rPr>
              <w:t>Topografía del</w:t>
            </w:r>
            <w:r>
              <w:rPr>
                <w:spacing w:val="7"/>
                <w:sz w:val="16"/>
                <w:u w:val="dotted" w:color="929292"/>
              </w:rPr>
              <w:t> </w:t>
            </w:r>
            <w:r>
              <w:rPr>
                <w:sz w:val="16"/>
                <w:u w:val="dotted" w:color="929292"/>
              </w:rPr>
              <w:t>sitio</w:t>
              <w:tab/>
            </w:r>
          </w:p>
        </w:tc>
        <w:tc>
          <w:tcPr>
            <w:tcW w:w="2456" w:type="dxa"/>
            <w:tcBorders>
              <w:left w:val="single" w:sz="4" w:space="0" w:color="929292"/>
              <w:right w:val="single" w:sz="4" w:space="0" w:color="929292"/>
            </w:tcBorders>
          </w:tcPr>
          <w:p>
            <w:pPr>
              <w:pStyle w:val="TableParagraph"/>
              <w:tabs>
                <w:tab w:pos="879" w:val="left" w:leader="none"/>
                <w:tab w:pos="2425" w:val="left" w:leader="none"/>
              </w:tabs>
              <w:spacing w:line="163" w:lineRule="exact"/>
              <w:ind w:left="14"/>
              <w:jc w:val="center"/>
              <w:rPr>
                <w:sz w:val="16"/>
              </w:rPr>
            </w:pPr>
            <w:r>
              <w:rPr>
                <w:w w:val="100"/>
                <w:sz w:val="16"/>
                <w:u w:val="dotted" w:color="929292"/>
              </w:rPr>
              <w:t> </w:t>
            </w:r>
            <w:r>
              <w:rPr>
                <w:sz w:val="16"/>
                <w:u w:val="dotted" w:color="929292"/>
              </w:rPr>
              <w:tab/>
              <w:t>0, 1,</w:t>
            </w:r>
            <w:r>
              <w:rPr>
                <w:spacing w:val="-1"/>
                <w:sz w:val="16"/>
                <w:u w:val="dotted" w:color="929292"/>
              </w:rPr>
              <w:t> </w:t>
            </w:r>
            <w:r>
              <w:rPr>
                <w:sz w:val="16"/>
                <w:u w:val="dotted" w:color="929292"/>
              </w:rPr>
              <w:t>5,10</w:t>
              <w:tab/>
            </w:r>
          </w:p>
        </w:tc>
        <w:tc>
          <w:tcPr>
            <w:tcW w:w="1276" w:type="dxa"/>
            <w:tcBorders>
              <w:left w:val="single" w:sz="4" w:space="0" w:color="929292"/>
              <w:right w:val="single" w:sz="4" w:space="0" w:color="929292"/>
            </w:tcBorders>
          </w:tcPr>
          <w:p>
            <w:pPr>
              <w:pStyle w:val="TableParagraph"/>
              <w:tabs>
                <w:tab w:pos="578" w:val="left" w:leader="none"/>
                <w:tab w:pos="1246" w:val="left" w:leader="none"/>
              </w:tabs>
              <w:spacing w:line="163" w:lineRule="exact"/>
              <w:ind w:left="14"/>
              <w:jc w:val="center"/>
              <w:rPr>
                <w:sz w:val="16"/>
              </w:rPr>
            </w:pPr>
            <w:r>
              <w:rPr>
                <w:w w:val="100"/>
                <w:sz w:val="16"/>
                <w:u w:val="dotted" w:color="929292"/>
              </w:rPr>
              <w:t> </w:t>
            </w:r>
            <w:r>
              <w:rPr>
                <w:sz w:val="16"/>
                <w:u w:val="dotted" w:color="929292"/>
              </w:rPr>
              <w:tab/>
              <w:t>2</w:t>
              <w:tab/>
            </w:r>
          </w:p>
        </w:tc>
        <w:tc>
          <w:tcPr>
            <w:tcW w:w="1412" w:type="dxa"/>
            <w:tcBorders>
              <w:left w:val="single" w:sz="4" w:space="0" w:color="929292"/>
              <w:right w:val="nil"/>
            </w:tcBorders>
          </w:tcPr>
          <w:p>
            <w:pPr>
              <w:pStyle w:val="TableParagraph"/>
              <w:tabs>
                <w:tab w:pos="571" w:val="left" w:leader="none"/>
                <w:tab w:pos="1376" w:val="left" w:leader="none"/>
              </w:tabs>
              <w:spacing w:line="163" w:lineRule="exact"/>
              <w:ind w:left="10"/>
              <w:jc w:val="center"/>
              <w:rPr>
                <w:sz w:val="16"/>
              </w:rPr>
            </w:pPr>
            <w:r>
              <w:rPr>
                <w:w w:val="100"/>
                <w:sz w:val="16"/>
                <w:u w:val="dotted" w:color="929292"/>
              </w:rPr>
              <w:t> </w:t>
            </w:r>
            <w:r>
              <w:rPr>
                <w:sz w:val="16"/>
                <w:u w:val="dotted" w:color="929292"/>
              </w:rPr>
              <w:tab/>
              <w:t>20*</w:t>
              <w:tab/>
            </w:r>
          </w:p>
        </w:tc>
      </w:tr>
      <w:tr>
        <w:trPr>
          <w:trHeight w:val="124" w:hRule="exact"/>
        </w:trPr>
        <w:tc>
          <w:tcPr>
            <w:tcW w:w="2264" w:type="dxa"/>
            <w:tcBorders>
              <w:left w:val="nil"/>
              <w:right w:val="single" w:sz="4" w:space="0" w:color="929292"/>
            </w:tcBorders>
          </w:tcPr>
          <w:p>
            <w:pPr>
              <w:pStyle w:val="TableParagraph"/>
              <w:tabs>
                <w:tab w:pos="2238" w:val="left" w:leader="none"/>
              </w:tabs>
              <w:spacing w:line="162" w:lineRule="exact"/>
              <w:ind w:left="20"/>
              <w:jc w:val="center"/>
              <w:rPr>
                <w:sz w:val="16"/>
              </w:rPr>
            </w:pPr>
            <w:r>
              <w:rPr>
                <w:w w:val="100"/>
                <w:sz w:val="16"/>
                <w:u w:val="dotted" w:color="929292"/>
              </w:rPr>
              <w:t> </w:t>
            </w:r>
            <w:r>
              <w:rPr>
                <w:spacing w:val="-17"/>
                <w:sz w:val="16"/>
                <w:u w:val="dotted" w:color="929292"/>
              </w:rPr>
              <w:t> </w:t>
            </w:r>
            <w:r>
              <w:rPr>
                <w:sz w:val="16"/>
                <w:u w:val="dotted" w:color="929292"/>
              </w:rPr>
              <w:t>Exposición</w:t>
              <w:tab/>
            </w:r>
          </w:p>
        </w:tc>
        <w:tc>
          <w:tcPr>
            <w:tcW w:w="2456" w:type="dxa"/>
            <w:tcBorders>
              <w:left w:val="single" w:sz="4" w:space="0" w:color="929292"/>
              <w:right w:val="single" w:sz="4" w:space="0" w:color="929292"/>
            </w:tcBorders>
          </w:tcPr>
          <w:p>
            <w:pPr>
              <w:pStyle w:val="TableParagraph"/>
              <w:tabs>
                <w:tab w:pos="879" w:val="left" w:leader="none"/>
                <w:tab w:pos="2425" w:val="left" w:leader="none"/>
              </w:tabs>
              <w:spacing w:line="162" w:lineRule="exact"/>
              <w:ind w:left="14"/>
              <w:jc w:val="center"/>
              <w:rPr>
                <w:sz w:val="16"/>
              </w:rPr>
            </w:pPr>
            <w:r>
              <w:rPr>
                <w:w w:val="100"/>
                <w:sz w:val="16"/>
                <w:u w:val="dotted" w:color="929292"/>
              </w:rPr>
              <w:t> </w:t>
            </w:r>
            <w:r>
              <w:rPr>
                <w:sz w:val="16"/>
                <w:u w:val="dotted" w:color="929292"/>
              </w:rPr>
              <w:tab/>
              <w:t>0, 1,</w:t>
            </w:r>
            <w:r>
              <w:rPr>
                <w:spacing w:val="-1"/>
                <w:sz w:val="16"/>
                <w:u w:val="dotted" w:color="929292"/>
              </w:rPr>
              <w:t> </w:t>
            </w:r>
            <w:r>
              <w:rPr>
                <w:sz w:val="16"/>
                <w:u w:val="dotted" w:color="929292"/>
              </w:rPr>
              <w:t>5,10</w:t>
              <w:tab/>
            </w:r>
          </w:p>
        </w:tc>
        <w:tc>
          <w:tcPr>
            <w:tcW w:w="1276" w:type="dxa"/>
            <w:tcBorders>
              <w:left w:val="single" w:sz="4" w:space="0" w:color="929292"/>
              <w:right w:val="single" w:sz="4" w:space="0" w:color="929292"/>
            </w:tcBorders>
          </w:tcPr>
          <w:p>
            <w:pPr>
              <w:pStyle w:val="TableParagraph"/>
              <w:tabs>
                <w:tab w:pos="578" w:val="left" w:leader="none"/>
                <w:tab w:pos="1246" w:val="left" w:leader="none"/>
              </w:tabs>
              <w:spacing w:line="162" w:lineRule="exact"/>
              <w:ind w:left="14"/>
              <w:jc w:val="center"/>
              <w:rPr>
                <w:sz w:val="16"/>
              </w:rPr>
            </w:pPr>
            <w:r>
              <w:rPr>
                <w:w w:val="100"/>
                <w:sz w:val="16"/>
                <w:u w:val="dotted" w:color="929292"/>
              </w:rPr>
              <w:t> </w:t>
            </w:r>
            <w:r>
              <w:rPr>
                <w:sz w:val="16"/>
                <w:u w:val="dotted" w:color="929292"/>
              </w:rPr>
              <w:tab/>
              <w:t>2</w:t>
              <w:tab/>
            </w:r>
          </w:p>
        </w:tc>
        <w:tc>
          <w:tcPr>
            <w:tcW w:w="1412" w:type="dxa"/>
            <w:tcBorders>
              <w:left w:val="single" w:sz="4" w:space="0" w:color="929292"/>
              <w:right w:val="nil"/>
            </w:tcBorders>
          </w:tcPr>
          <w:p>
            <w:pPr>
              <w:pStyle w:val="TableParagraph"/>
              <w:tabs>
                <w:tab w:pos="599" w:val="left" w:leader="none"/>
                <w:tab w:pos="1376" w:val="left" w:leader="none"/>
              </w:tabs>
              <w:spacing w:line="162" w:lineRule="exact"/>
              <w:ind w:left="10"/>
              <w:jc w:val="center"/>
              <w:rPr>
                <w:sz w:val="16"/>
              </w:rPr>
            </w:pPr>
            <w:r>
              <w:rPr>
                <w:w w:val="100"/>
                <w:sz w:val="16"/>
                <w:u w:val="dotted" w:color="929292"/>
              </w:rPr>
              <w:t> </w:t>
            </w:r>
            <w:r>
              <w:rPr>
                <w:sz w:val="16"/>
                <w:u w:val="dotted" w:color="929292"/>
              </w:rPr>
              <w:tab/>
              <w:t>20</w:t>
              <w:tab/>
            </w:r>
          </w:p>
        </w:tc>
      </w:tr>
    </w:tbl>
    <w:p>
      <w:pPr>
        <w:tabs>
          <w:tab w:pos="7113" w:val="right" w:leader="none"/>
        </w:tabs>
        <w:spacing w:before="0"/>
        <w:ind w:left="2689" w:right="0" w:firstLine="0"/>
        <w:jc w:val="left"/>
        <w:rPr>
          <w:sz w:val="16"/>
        </w:rPr>
      </w:pPr>
      <w:r>
        <w:rPr/>
        <w:pict>
          <v:group style="position:absolute;margin-left:348.313202pt;margin-top:.240198pt;width:.5pt;height:8.4pt;mso-position-horizontal-relative:page;mso-position-vertical-relative:paragraph;z-index:-635416" coordorigin="6966,5" coordsize="10,168">
            <v:line style="position:absolute" from="6971,167" to="6971,10" stroked="true" strokeweight=".5pt" strokecolor="#ffffff"/>
            <v:line style="position:absolute" from="6971,167" to="6971,167" stroked="true" strokeweight=".5pt" strokecolor="#929292"/>
            <w10:wrap type="none"/>
          </v:group>
        </w:pict>
      </w:r>
      <w:r>
        <w:rPr>
          <w:sz w:val="16"/>
        </w:rPr>
        <w:t>Valor</w:t>
      </w:r>
      <w:r>
        <w:rPr>
          <w:spacing w:val="-1"/>
          <w:sz w:val="16"/>
        </w:rPr>
        <w:t> </w:t>
      </w:r>
      <w:r>
        <w:rPr>
          <w:sz w:val="16"/>
        </w:rPr>
        <w:t>mínimo=</w:t>
      </w:r>
      <w:r>
        <w:rPr>
          <w:spacing w:val="-1"/>
          <w:sz w:val="16"/>
        </w:rPr>
        <w:t> </w:t>
      </w:r>
      <w:r>
        <w:rPr>
          <w:sz w:val="16"/>
        </w:rPr>
        <w:t>0</w:t>
        <w:tab/>
        <w:t>100</w:t>
      </w:r>
    </w:p>
    <w:p>
      <w:pPr>
        <w:pStyle w:val="BodyText"/>
        <w:spacing w:before="9"/>
        <w:rPr>
          <w:sz w:val="15"/>
        </w:rPr>
      </w:pPr>
    </w:p>
    <w:p>
      <w:pPr>
        <w:spacing w:line="312" w:lineRule="auto" w:before="0"/>
        <w:ind w:left="243" w:right="117" w:firstLine="0"/>
        <w:jc w:val="center"/>
        <w:rPr>
          <w:sz w:val="16"/>
        </w:rPr>
      </w:pPr>
      <w:r>
        <w:rPr>
          <w:color w:val="6D6E71"/>
          <w:sz w:val="16"/>
        </w:rPr>
        <w:t>Se modificó el factor de ponderación y valor máximo para poder incluir los valores referentes a la exposi- ción dentro del 100.</w:t>
      </w:r>
    </w:p>
    <w:p>
      <w:pPr>
        <w:spacing w:before="2"/>
        <w:ind w:left="240" w:right="117" w:firstLine="0"/>
        <w:jc w:val="center"/>
        <w:rPr>
          <w:sz w:val="16"/>
        </w:rPr>
      </w:pPr>
      <w:r>
        <w:rPr>
          <w:color w:val="6D6E71"/>
          <w:sz w:val="16"/>
        </w:rPr>
        <w:t>Fuente: Equipo técnico Sun Mountain International (SMTN), 2011, citado por Yépez et. al. , 2012).</w:t>
      </w:r>
    </w:p>
    <w:p>
      <w:pPr>
        <w:pStyle w:val="BodyText"/>
        <w:spacing w:before="6"/>
        <w:rPr>
          <w:sz w:val="22"/>
        </w:rPr>
      </w:pPr>
    </w:p>
    <w:p>
      <w:pPr>
        <w:pStyle w:val="BodyText"/>
        <w:spacing w:line="249" w:lineRule="auto"/>
        <w:ind w:left="124" w:firstLine="170"/>
        <w:jc w:val="both"/>
      </w:pPr>
      <w:r>
        <w:rPr/>
        <w:pict>
          <v:shape style="position:absolute;margin-left:84.348pt;margin-top:49.380177pt;width:299.75pt;height:40.65pt;mso-position-horizontal-relative:page;mso-position-vertical-relative:paragraph;z-index:173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92"/>
                    <w:gridCol w:w="2993"/>
                  </w:tblGrid>
                  <w:tr>
                    <w:trPr>
                      <w:trHeight w:val="244" w:hRule="exact"/>
                    </w:trPr>
                    <w:tc>
                      <w:tcPr>
                        <w:tcW w:w="2992" w:type="dxa"/>
                        <w:tcBorders>
                          <w:bottom w:val="dotted" w:sz="4" w:space="0" w:color="FFFFFF"/>
                          <w:right w:val="single" w:sz="4" w:space="0" w:color="FFFFFF"/>
                        </w:tcBorders>
                        <w:shd w:val="clear" w:color="auto" w:fill="929292"/>
                      </w:tcPr>
                      <w:p>
                        <w:pPr>
                          <w:pStyle w:val="TableParagraph"/>
                          <w:spacing w:before="19"/>
                          <w:ind w:left="873" w:right="-20"/>
                          <w:rPr>
                            <w:sz w:val="18"/>
                          </w:rPr>
                        </w:pPr>
                        <w:r>
                          <w:rPr>
                            <w:sz w:val="18"/>
                          </w:rPr>
                          <w:t>Nivel de vulnerabilidad</w:t>
                        </w:r>
                      </w:p>
                    </w:tc>
                    <w:tc>
                      <w:tcPr>
                        <w:tcW w:w="2993" w:type="dxa"/>
                        <w:tcBorders>
                          <w:left w:val="single" w:sz="4" w:space="0" w:color="FFFFFF"/>
                          <w:bottom w:val="dotted" w:sz="4" w:space="0" w:color="FFFFFF"/>
                        </w:tcBorders>
                        <w:shd w:val="clear" w:color="auto" w:fill="929292"/>
                      </w:tcPr>
                      <w:p>
                        <w:pPr>
                          <w:pStyle w:val="TableParagraph"/>
                          <w:spacing w:before="19"/>
                          <w:ind w:left="1469"/>
                          <w:rPr>
                            <w:sz w:val="18"/>
                          </w:rPr>
                        </w:pPr>
                        <w:r>
                          <w:rPr>
                            <w:sz w:val="18"/>
                          </w:rPr>
                          <w:t>Puntaje</w:t>
                        </w:r>
                      </w:p>
                    </w:tc>
                  </w:tr>
                  <w:tr>
                    <w:trPr>
                      <w:trHeight w:val="188" w:hRule="exact"/>
                    </w:trPr>
                    <w:tc>
                      <w:tcPr>
                        <w:tcW w:w="2992" w:type="dxa"/>
                        <w:tcBorders>
                          <w:top w:val="dotted" w:sz="4" w:space="0" w:color="FFFFFF"/>
                          <w:bottom w:val="single" w:sz="4" w:space="0" w:color="FFFFFF"/>
                          <w:right w:val="single" w:sz="4" w:space="0" w:color="929292"/>
                        </w:tcBorders>
                      </w:tcPr>
                      <w:p>
                        <w:pPr>
                          <w:pStyle w:val="TableParagraph"/>
                          <w:tabs>
                            <w:tab w:pos="1564" w:val="left" w:leader="none"/>
                            <w:tab w:pos="2942" w:val="left" w:leader="none"/>
                          </w:tabs>
                          <w:spacing w:line="192" w:lineRule="exact"/>
                          <w:ind w:right="9"/>
                          <w:jc w:val="right"/>
                          <w:rPr>
                            <w:sz w:val="18"/>
                          </w:rPr>
                        </w:pPr>
                        <w:r>
                          <w:rPr>
                            <w:sz w:val="18"/>
                            <w:u w:val="dotted" w:color="929292"/>
                          </w:rPr>
                          <w:t> </w:t>
                          <w:tab/>
                        </w:r>
                        <w:r>
                          <w:rPr>
                            <w:spacing w:val="-1"/>
                            <w:sz w:val="18"/>
                            <w:u w:val="dotted" w:color="929292"/>
                          </w:rPr>
                          <w:t>Bajo</w:t>
                          <w:tab/>
                        </w:r>
                      </w:p>
                    </w:tc>
                    <w:tc>
                      <w:tcPr>
                        <w:tcW w:w="2993" w:type="dxa"/>
                        <w:tcBorders>
                          <w:top w:val="dotted" w:sz="4" w:space="0" w:color="FFFFFF"/>
                          <w:left w:val="single" w:sz="4" w:space="0" w:color="929292"/>
                          <w:bottom w:val="single" w:sz="4" w:space="0" w:color="FFFFFF"/>
                        </w:tcBorders>
                      </w:tcPr>
                      <w:p>
                        <w:pPr>
                          <w:pStyle w:val="TableParagraph"/>
                          <w:tabs>
                            <w:tab w:pos="1499" w:val="left" w:leader="none"/>
                            <w:tab w:pos="2943" w:val="left" w:leader="none"/>
                          </w:tabs>
                          <w:spacing w:line="192" w:lineRule="exact"/>
                          <w:ind w:right="17"/>
                          <w:jc w:val="right"/>
                          <w:rPr>
                            <w:sz w:val="18"/>
                          </w:rPr>
                        </w:pPr>
                        <w:r>
                          <w:rPr>
                            <w:sz w:val="18"/>
                            <w:u w:val="dotted" w:color="929292"/>
                          </w:rPr>
                          <w:t> </w:t>
                          <w:tab/>
                          <w:t>0 a</w:t>
                        </w:r>
                        <w:r>
                          <w:rPr>
                            <w:spacing w:val="-1"/>
                            <w:sz w:val="18"/>
                            <w:u w:val="dotted" w:color="929292"/>
                          </w:rPr>
                          <w:t> </w:t>
                        </w:r>
                        <w:r>
                          <w:rPr>
                            <w:sz w:val="18"/>
                            <w:u w:val="dotted" w:color="929292"/>
                          </w:rPr>
                          <w:t>33</w:t>
                          <w:tab/>
                        </w:r>
                      </w:p>
                    </w:tc>
                  </w:tr>
                  <w:tr>
                    <w:trPr>
                      <w:trHeight w:val="188" w:hRule="exact"/>
                    </w:trPr>
                    <w:tc>
                      <w:tcPr>
                        <w:tcW w:w="2992" w:type="dxa"/>
                        <w:tcBorders>
                          <w:top w:val="single" w:sz="4" w:space="0" w:color="FFFFFF"/>
                          <w:bottom w:val="single" w:sz="4" w:space="0" w:color="FFFFFF"/>
                          <w:right w:val="single" w:sz="4" w:space="0" w:color="929292"/>
                        </w:tcBorders>
                      </w:tcPr>
                      <w:p>
                        <w:pPr>
                          <w:pStyle w:val="TableParagraph"/>
                          <w:tabs>
                            <w:tab w:pos="1499" w:val="left" w:leader="none"/>
                            <w:tab w:pos="2942" w:val="left" w:leader="none"/>
                          </w:tabs>
                          <w:spacing w:line="192" w:lineRule="exact"/>
                          <w:ind w:right="8"/>
                          <w:jc w:val="right"/>
                          <w:rPr>
                            <w:sz w:val="18"/>
                          </w:rPr>
                        </w:pPr>
                        <w:r>
                          <w:rPr>
                            <w:sz w:val="18"/>
                            <w:u w:val="dotted" w:color="929292"/>
                          </w:rPr>
                          <w:t> </w:t>
                          <w:tab/>
                        </w:r>
                        <w:r>
                          <w:rPr>
                            <w:spacing w:val="-1"/>
                            <w:sz w:val="18"/>
                            <w:u w:val="dotted" w:color="929292"/>
                          </w:rPr>
                          <w:t>Medio</w:t>
                          <w:tab/>
                        </w:r>
                      </w:p>
                    </w:tc>
                    <w:tc>
                      <w:tcPr>
                        <w:tcW w:w="2993" w:type="dxa"/>
                        <w:tcBorders>
                          <w:top w:val="single" w:sz="4" w:space="0" w:color="FFFFFF"/>
                          <w:left w:val="single" w:sz="4" w:space="0" w:color="929292"/>
                          <w:bottom w:val="single" w:sz="4" w:space="0" w:color="FFFFFF"/>
                        </w:tcBorders>
                      </w:tcPr>
                      <w:p>
                        <w:pPr>
                          <w:pStyle w:val="TableParagraph"/>
                          <w:tabs>
                            <w:tab w:pos="1449" w:val="left" w:leader="none"/>
                            <w:tab w:pos="2943" w:val="left" w:leader="none"/>
                          </w:tabs>
                          <w:spacing w:line="192" w:lineRule="exact"/>
                          <w:ind w:right="17"/>
                          <w:jc w:val="right"/>
                          <w:rPr>
                            <w:sz w:val="18"/>
                          </w:rPr>
                        </w:pPr>
                        <w:r>
                          <w:rPr>
                            <w:sz w:val="18"/>
                            <w:u w:val="dotted" w:color="929292"/>
                          </w:rPr>
                          <w:t> </w:t>
                          <w:tab/>
                          <w:t>34 a</w:t>
                        </w:r>
                        <w:r>
                          <w:rPr>
                            <w:spacing w:val="-2"/>
                            <w:sz w:val="18"/>
                            <w:u w:val="dotted" w:color="929292"/>
                          </w:rPr>
                          <w:t> </w:t>
                        </w:r>
                        <w:r>
                          <w:rPr>
                            <w:sz w:val="18"/>
                            <w:u w:val="dotted" w:color="929292"/>
                          </w:rPr>
                          <w:t>66</w:t>
                          <w:tab/>
                        </w:r>
                      </w:p>
                    </w:tc>
                  </w:tr>
                  <w:tr>
                    <w:trPr>
                      <w:trHeight w:val="188" w:hRule="exact"/>
                    </w:trPr>
                    <w:tc>
                      <w:tcPr>
                        <w:tcW w:w="2992" w:type="dxa"/>
                        <w:tcBorders>
                          <w:top w:val="single" w:sz="4" w:space="0" w:color="FFFFFF"/>
                          <w:right w:val="single" w:sz="4" w:space="0" w:color="929292"/>
                        </w:tcBorders>
                      </w:tcPr>
                      <w:p>
                        <w:pPr>
                          <w:pStyle w:val="TableParagraph"/>
                          <w:tabs>
                            <w:tab w:pos="1589" w:val="left" w:leader="none"/>
                            <w:tab w:pos="2942" w:val="left" w:leader="none"/>
                          </w:tabs>
                          <w:spacing w:line="192" w:lineRule="exact"/>
                          <w:ind w:right="7"/>
                          <w:jc w:val="right"/>
                          <w:rPr>
                            <w:sz w:val="18"/>
                          </w:rPr>
                        </w:pPr>
                        <w:r>
                          <w:rPr>
                            <w:sz w:val="18"/>
                            <w:u w:val="dotted" w:color="929292"/>
                          </w:rPr>
                          <w:t> </w:t>
                          <w:tab/>
                          <w:t>Alto</w:t>
                          <w:tab/>
                        </w:r>
                      </w:p>
                    </w:tc>
                    <w:tc>
                      <w:tcPr>
                        <w:tcW w:w="2993" w:type="dxa"/>
                        <w:tcBorders>
                          <w:top w:val="single" w:sz="4" w:space="0" w:color="FFFFFF"/>
                          <w:left w:val="single" w:sz="4" w:space="0" w:color="929292"/>
                          <w:bottom w:val="single" w:sz="4" w:space="0" w:color="FFFFFF"/>
                        </w:tcBorders>
                      </w:tcPr>
                      <w:p>
                        <w:pPr>
                          <w:pStyle w:val="TableParagraph"/>
                          <w:tabs>
                            <w:tab w:pos="1329" w:val="left" w:leader="none"/>
                            <w:tab w:pos="2943" w:val="left" w:leader="none"/>
                          </w:tabs>
                          <w:spacing w:line="192" w:lineRule="exact"/>
                          <w:ind w:right="17"/>
                          <w:jc w:val="right"/>
                          <w:rPr>
                            <w:sz w:val="18"/>
                          </w:rPr>
                        </w:pPr>
                        <w:r>
                          <w:rPr>
                            <w:sz w:val="18"/>
                            <w:u w:val="dotted" w:color="929292"/>
                          </w:rPr>
                          <w:t> </w:t>
                          <w:tab/>
                          <w:t>Más de</w:t>
                        </w:r>
                        <w:r>
                          <w:rPr>
                            <w:spacing w:val="-3"/>
                            <w:sz w:val="18"/>
                            <w:u w:val="dotted" w:color="929292"/>
                          </w:rPr>
                          <w:t> </w:t>
                        </w:r>
                        <w:r>
                          <w:rPr>
                            <w:sz w:val="18"/>
                            <w:u w:val="dotted" w:color="929292"/>
                          </w:rPr>
                          <w:t>66</w:t>
                          <w:tab/>
                        </w:r>
                      </w:p>
                    </w:tc>
                  </w:tr>
                </w:tbl>
                <w:p>
                  <w:pPr>
                    <w:pStyle w:val="BodyText"/>
                  </w:pPr>
                </w:p>
              </w:txbxContent>
            </v:textbox>
            <w10:wrap type="none"/>
          </v:shape>
        </w:pict>
      </w:r>
      <w:r>
        <w:rPr/>
        <w:t>Se califica cada una de las casas o predios analizados en función de la cantidad de puntos</w:t>
      </w:r>
      <w:r>
        <w:rPr>
          <w:spacing w:val="-7"/>
        </w:rPr>
        <w:t> </w:t>
      </w:r>
      <w:r>
        <w:rPr/>
        <w:t>obtenidos,</w:t>
      </w:r>
      <w:r>
        <w:rPr>
          <w:spacing w:val="-7"/>
        </w:rPr>
        <w:t> </w:t>
      </w:r>
      <w:r>
        <w:rPr/>
        <w:t>es</w:t>
      </w:r>
      <w:r>
        <w:rPr>
          <w:spacing w:val="-7"/>
        </w:rPr>
        <w:t> </w:t>
      </w:r>
      <w:r>
        <w:rPr/>
        <w:t>decir,</w:t>
      </w:r>
      <w:r>
        <w:rPr>
          <w:spacing w:val="-7"/>
        </w:rPr>
        <w:t> </w:t>
      </w:r>
      <w:r>
        <w:rPr/>
        <w:t>el</w:t>
      </w:r>
      <w:r>
        <w:rPr>
          <w:spacing w:val="-7"/>
        </w:rPr>
        <w:t> </w:t>
      </w:r>
      <w:r>
        <w:rPr/>
        <w:t>máximo</w:t>
      </w:r>
      <w:r>
        <w:rPr>
          <w:spacing w:val="-8"/>
        </w:rPr>
        <w:t> </w:t>
      </w:r>
      <w:r>
        <w:rPr/>
        <w:t>de</w:t>
      </w:r>
      <w:r>
        <w:rPr>
          <w:spacing w:val="-7"/>
        </w:rPr>
        <w:t> </w:t>
      </w:r>
      <w:r>
        <w:rPr/>
        <w:t>puntos</w:t>
      </w:r>
      <w:r>
        <w:rPr>
          <w:spacing w:val="-7"/>
        </w:rPr>
        <w:t> </w:t>
      </w:r>
      <w:r>
        <w:rPr/>
        <w:t>son</w:t>
      </w:r>
      <w:r>
        <w:rPr>
          <w:spacing w:val="-8"/>
        </w:rPr>
        <w:t> </w:t>
      </w:r>
      <w:r>
        <w:rPr/>
        <w:t>100,</w:t>
      </w:r>
      <w:r>
        <w:rPr>
          <w:spacing w:val="-7"/>
        </w:rPr>
        <w:t> </w:t>
      </w:r>
      <w:r>
        <w:rPr/>
        <w:t>por</w:t>
      </w:r>
      <w:r>
        <w:rPr>
          <w:spacing w:val="-7"/>
        </w:rPr>
        <w:t> </w:t>
      </w:r>
      <w:r>
        <w:rPr/>
        <w:t>lo</w:t>
      </w:r>
      <w:r>
        <w:rPr>
          <w:spacing w:val="-7"/>
        </w:rPr>
        <w:t> </w:t>
      </w:r>
      <w:r>
        <w:rPr/>
        <w:t>tanto,</w:t>
      </w:r>
      <w:r>
        <w:rPr>
          <w:spacing w:val="-8"/>
        </w:rPr>
        <w:t> </w:t>
      </w:r>
      <w:r>
        <w:rPr/>
        <w:t>a</w:t>
      </w:r>
      <w:r>
        <w:rPr>
          <w:spacing w:val="-7"/>
        </w:rPr>
        <w:t> </w:t>
      </w:r>
      <w:r>
        <w:rPr/>
        <w:t>mayor</w:t>
      </w:r>
      <w:r>
        <w:rPr>
          <w:spacing w:val="-7"/>
        </w:rPr>
        <w:t> </w:t>
      </w:r>
      <w:r>
        <w:rPr/>
        <w:t>puntaje, mayor vulnerabilidad estructural se</w:t>
      </w:r>
      <w:r>
        <w:rPr>
          <w:spacing w:val="-11"/>
        </w:rPr>
        <w:t> </w:t>
      </w:r>
      <w:r>
        <w:rPr/>
        <w:t>tendrá.</w:t>
      </w:r>
    </w:p>
    <w:p>
      <w:pPr>
        <w:pStyle w:val="BodyText"/>
        <w:rPr>
          <w:sz w:val="21"/>
        </w:rPr>
      </w:pPr>
      <w:r>
        <w:rPr/>
        <w:br w:type="column"/>
      </w:r>
      <w:r>
        <w:rPr>
          <w:sz w:val="21"/>
        </w:rPr>
      </w:r>
    </w:p>
    <w:p>
      <w:pPr>
        <w:pStyle w:val="BodyText"/>
        <w:spacing w:line="249" w:lineRule="auto"/>
        <w:ind w:left="124" w:right="128" w:firstLine="170"/>
        <w:jc w:val="both"/>
      </w:pPr>
      <w:r>
        <w:rPr/>
        <w:t>De acuerdo al Plan Municipal de Desarrollo (2013-2015), el municipio de Calimaya de Díaz González se ubica en la porción suroeste del Estado de México y pertenece    a la región XIII Toluca, forma parte de las últimas estribaciones del Nevado de Toluca  o Xinantécatl, y se extiende entre los 19º13’25’’ de latitud norte y una longitud oeste   de 99º44’02’’. Presenta una superficie aproximada de 104.25 kilómetros cuadrados y ocupa el 0.46% de la superficie</w:t>
      </w:r>
      <w:r>
        <w:rPr>
          <w:spacing w:val="46"/>
        </w:rPr>
        <w:t> </w:t>
      </w:r>
      <w:r>
        <w:rPr/>
        <w:t>estatal.</w:t>
      </w:r>
    </w:p>
    <w:p>
      <w:pPr>
        <w:pStyle w:val="BodyText"/>
        <w:spacing w:before="11"/>
      </w:pPr>
    </w:p>
    <w:p>
      <w:pPr>
        <w:pStyle w:val="BodyText"/>
        <w:spacing w:line="249" w:lineRule="auto"/>
        <w:ind w:left="124" w:right="127" w:firstLine="170"/>
        <w:jc w:val="both"/>
      </w:pPr>
      <w:r>
        <w:rPr/>
        <w:t>Limita al norte con los municipios de Metepec, Mexicaltzingo y San Miguel Chapultepec, al sur con Tenango del Valle, al este con Santiago Tianguistenco, San Antonio la Isla y Tenango del Valle, y al oeste con el municipio de Toluca de Lerdo. (Ver mapa 1).</w:t>
      </w:r>
    </w:p>
    <w:p>
      <w:pPr>
        <w:pStyle w:val="BodyText"/>
        <w:spacing w:before="8"/>
        <w:rPr>
          <w:sz w:val="17"/>
        </w:rPr>
      </w:pPr>
    </w:p>
    <w:p>
      <w:pPr>
        <w:pStyle w:val="Heading1"/>
        <w:ind w:left="294"/>
      </w:pPr>
      <w:r>
        <w:rPr/>
        <w:t>Aspectos físicos</w:t>
      </w:r>
    </w:p>
    <w:p>
      <w:pPr>
        <w:pStyle w:val="BodyText"/>
        <w:rPr>
          <w:b/>
          <w:sz w:val="21"/>
        </w:rPr>
      </w:pPr>
    </w:p>
    <w:p>
      <w:pPr>
        <w:pStyle w:val="BodyText"/>
        <w:spacing w:line="249" w:lineRule="auto"/>
        <w:ind w:left="124" w:right="127" w:firstLine="170"/>
        <w:jc w:val="both"/>
      </w:pPr>
      <w:r>
        <w:rPr/>
        <w:t>El municipio de Calimaya de Díaz González, forma parte del sistema montañoso del Volcán Nevado de Toluca (Xinantécatl) y del cerro Putla que se ubica al suroeste de la cabecera municipal, asimismo, presenta en el territorio cañadas, montes y valles; de acuerdo a las cartas topográficas E14-A47 y 48, la máxima altitud se encuentra en el pie</w:t>
      </w:r>
      <w:r>
        <w:rPr>
          <w:spacing w:val="-6"/>
        </w:rPr>
        <w:t> </w:t>
      </w:r>
      <w:r>
        <w:rPr/>
        <w:t>del</w:t>
      </w:r>
      <w:r>
        <w:rPr>
          <w:spacing w:val="-6"/>
        </w:rPr>
        <w:t> </w:t>
      </w:r>
      <w:r>
        <w:rPr/>
        <w:t>volcán</w:t>
      </w:r>
      <w:r>
        <w:rPr>
          <w:spacing w:val="-6"/>
        </w:rPr>
        <w:t> </w:t>
      </w:r>
      <w:r>
        <w:rPr/>
        <w:t>con</w:t>
      </w:r>
      <w:r>
        <w:rPr>
          <w:spacing w:val="-6"/>
        </w:rPr>
        <w:t> </w:t>
      </w:r>
      <w:r>
        <w:rPr/>
        <w:t>4,030</w:t>
      </w:r>
      <w:r>
        <w:rPr>
          <w:spacing w:val="-6"/>
        </w:rPr>
        <w:t> </w:t>
      </w:r>
      <w:r>
        <w:rPr/>
        <w:t>msnm</w:t>
      </w:r>
      <w:r>
        <w:rPr>
          <w:spacing w:val="-6"/>
        </w:rPr>
        <w:t> </w:t>
      </w:r>
      <w:r>
        <w:rPr/>
        <w:t>y</w:t>
      </w:r>
      <w:r>
        <w:rPr>
          <w:spacing w:val="-6"/>
        </w:rPr>
        <w:t> </w:t>
      </w:r>
      <w:r>
        <w:rPr/>
        <w:t>una</w:t>
      </w:r>
      <w:r>
        <w:rPr>
          <w:spacing w:val="-6"/>
        </w:rPr>
        <w:t> </w:t>
      </w:r>
      <w:r>
        <w:rPr/>
        <w:t>mínima</w:t>
      </w:r>
      <w:r>
        <w:rPr>
          <w:spacing w:val="-6"/>
        </w:rPr>
        <w:t> </w:t>
      </w:r>
      <w:r>
        <w:rPr/>
        <w:t>de</w:t>
      </w:r>
      <w:r>
        <w:rPr>
          <w:spacing w:val="-6"/>
        </w:rPr>
        <w:t> </w:t>
      </w:r>
      <w:r>
        <w:rPr/>
        <w:t>2,580</w:t>
      </w:r>
      <w:r>
        <w:rPr>
          <w:spacing w:val="-6"/>
        </w:rPr>
        <w:t> </w:t>
      </w:r>
      <w:r>
        <w:rPr/>
        <w:t>encontrándose</w:t>
      </w:r>
      <w:r>
        <w:rPr>
          <w:spacing w:val="-6"/>
        </w:rPr>
        <w:t> </w:t>
      </w:r>
      <w:r>
        <w:rPr/>
        <w:t>esta</w:t>
      </w:r>
      <w:r>
        <w:rPr>
          <w:spacing w:val="-6"/>
        </w:rPr>
        <w:t> </w:t>
      </w:r>
      <w:r>
        <w:rPr/>
        <w:t>altitud</w:t>
      </w:r>
      <w:r>
        <w:rPr>
          <w:spacing w:val="-6"/>
        </w:rPr>
        <w:t> </w:t>
      </w:r>
      <w:r>
        <w:rPr/>
        <w:t>hacia el noreste de la cabecera municipal. (Ver mapa</w:t>
      </w:r>
      <w:r>
        <w:rPr>
          <w:spacing w:val="-21"/>
        </w:rPr>
        <w:t> </w:t>
      </w:r>
      <w:r>
        <w:rPr/>
        <w:t>2).</w:t>
      </w:r>
    </w:p>
    <w:p>
      <w:pPr>
        <w:pStyle w:val="BodyText"/>
        <w:spacing w:before="11"/>
      </w:pPr>
    </w:p>
    <w:p>
      <w:pPr>
        <w:pStyle w:val="BodyText"/>
        <w:spacing w:line="249" w:lineRule="auto"/>
        <w:ind w:left="124" w:right="127" w:firstLine="170"/>
        <w:jc w:val="both"/>
      </w:pPr>
      <w:r>
        <w:rPr/>
        <w:t>El municipio de Calimaya, se caracteriza por localizarse en una zona de laderas   con pendientes de 35°, que impactan en su relieve, es decir, éstos se ubican en la parte central del municipio y forman parte del Nevado, lo que ocasiona en época de lluvia que exista la presencia de deslaves y/o desprendimientos y caídas de materiales (principalmente por las altas precipitaciones) si a esto se añade la deforestación que existe el riesgo ambiental es mayor. Las localidades que están ubicadas en las zonas más vulnerables son Zaragoza de Guadalupe, San Diego La Huerta, San Marcos de la Cruz</w:t>
      </w:r>
      <w:r>
        <w:rPr>
          <w:spacing w:val="-12"/>
        </w:rPr>
        <w:t> </w:t>
      </w:r>
      <w:r>
        <w:rPr/>
        <w:t>y</w:t>
      </w:r>
      <w:r>
        <w:rPr>
          <w:spacing w:val="-12"/>
        </w:rPr>
        <w:t> </w:t>
      </w:r>
      <w:r>
        <w:rPr/>
        <w:t>Calimaya</w:t>
      </w:r>
      <w:r>
        <w:rPr>
          <w:spacing w:val="-12"/>
        </w:rPr>
        <w:t> </w:t>
      </w:r>
      <w:r>
        <w:rPr/>
        <w:t>de</w:t>
      </w:r>
      <w:r>
        <w:rPr>
          <w:spacing w:val="-12"/>
        </w:rPr>
        <w:t> </w:t>
      </w:r>
      <w:r>
        <w:rPr/>
        <w:t>Díaz</w:t>
      </w:r>
      <w:r>
        <w:rPr>
          <w:spacing w:val="-12"/>
        </w:rPr>
        <w:t> </w:t>
      </w:r>
      <w:r>
        <w:rPr/>
        <w:t>González.</w:t>
      </w:r>
      <w:r>
        <w:rPr>
          <w:spacing w:val="-12"/>
        </w:rPr>
        <w:t> </w:t>
      </w:r>
      <w:r>
        <w:rPr/>
        <w:t>(GEM,</w:t>
      </w:r>
      <w:r>
        <w:rPr>
          <w:spacing w:val="-12"/>
        </w:rPr>
        <w:t> </w:t>
      </w:r>
      <w:r>
        <w:rPr/>
        <w:t>2011).</w:t>
      </w:r>
    </w:p>
    <w:p>
      <w:pPr>
        <w:pStyle w:val="BodyText"/>
        <w:spacing w:before="1"/>
      </w:pPr>
    </w:p>
    <w:p>
      <w:pPr>
        <w:spacing w:line="240" w:lineRule="atLeast" w:before="0"/>
        <w:ind w:left="124" w:right="128" w:firstLine="170"/>
        <w:jc w:val="both"/>
        <w:rPr>
          <w:i/>
          <w:sz w:val="20"/>
        </w:rPr>
      </w:pPr>
      <w:r>
        <w:rPr>
          <w:sz w:val="20"/>
        </w:rPr>
        <w:t>De acuerdo con Espinosa (2001) y el Plan Municipal de Desarrollo Urbano (GEM, 2011), en el municipio se presentan tres tipos de morfología, las cuales son: </w:t>
      </w:r>
      <w:r>
        <w:rPr>
          <w:i/>
          <w:sz w:val="20"/>
        </w:rPr>
        <w:t>Volcánica </w:t>
      </w:r>
      <w:r>
        <w:rPr>
          <w:i/>
          <w:sz w:val="20"/>
        </w:rPr>
        <w:t>y Tectónica</w:t>
      </w:r>
      <w:r>
        <w:rPr>
          <w:sz w:val="20"/>
        </w:rPr>
        <w:t>, </w:t>
      </w:r>
      <w:r>
        <w:rPr>
          <w:i/>
          <w:sz w:val="20"/>
        </w:rPr>
        <w:t>Glaciar y Periglaciar y Fluvial.</w:t>
      </w:r>
    </w:p>
    <w:p>
      <w:pPr>
        <w:spacing w:after="0" w:line="240" w:lineRule="atLeast"/>
        <w:jc w:val="both"/>
        <w:rPr>
          <w:sz w:val="20"/>
        </w:rPr>
        <w:sectPr>
          <w:type w:val="continuous"/>
          <w:pgSz w:w="18830" w:h="12760" w:orient="landscape"/>
          <w:pgMar w:top="1420" w:bottom="280" w:left="700" w:right="720"/>
          <w:cols w:num="2" w:equalWidth="0">
            <w:col w:w="7836" w:space="1602"/>
            <w:col w:w="7972"/>
          </w:cols>
        </w:sectPr>
      </w:pPr>
    </w:p>
    <w:p>
      <w:pPr>
        <w:pStyle w:val="BodyText"/>
        <w:spacing w:before="6"/>
        <w:rPr>
          <w:i/>
          <w:sz w:val="23"/>
        </w:rPr>
      </w:pPr>
    </w:p>
    <w:p>
      <w:pPr>
        <w:spacing w:after="0"/>
        <w:rPr>
          <w:sz w:val="23"/>
        </w:rPr>
        <w:sectPr>
          <w:footerReference w:type="default" r:id="rId489"/>
          <w:pgSz w:w="18830" w:h="12760" w:orient="landscape"/>
          <w:pgMar w:footer="1036" w:header="522" w:top="820" w:bottom="1220" w:left="720" w:right="720"/>
        </w:sectPr>
      </w:pPr>
    </w:p>
    <w:p>
      <w:pPr>
        <w:pStyle w:val="BodyText"/>
        <w:spacing w:line="249" w:lineRule="auto" w:before="76"/>
        <w:ind w:left="104" w:firstLine="170"/>
        <w:jc w:val="both"/>
      </w:pPr>
      <w:r>
        <w:rPr/>
        <w:t>La composición geológica que presenta el municipio, está conformada por rocas volcánicas y volcaniclásticas pliocénico-cuaternarias, así como por depósitos sedimentarios fluviales y lacustres, producidos simultáneamente con el vulcanismo del Plioceno-Cuaternario (GEM, 2011), esto favorece que sea más apto para el desarrollo de la actividad minera en materiales pétreos.</w:t>
      </w:r>
    </w:p>
    <w:p>
      <w:pPr>
        <w:pStyle w:val="BodyText"/>
        <w:spacing w:before="11"/>
      </w:pPr>
    </w:p>
    <w:p>
      <w:pPr>
        <w:pStyle w:val="BodyText"/>
        <w:spacing w:line="249" w:lineRule="auto"/>
        <w:ind w:left="104" w:firstLine="170"/>
        <w:jc w:val="both"/>
      </w:pPr>
      <w:r>
        <w:rPr/>
        <w:t>El volcán Nevado de Toluca fue formado sobre rocas volcánicas del Oligoceno y del Mioceno-Plioceno,</w:t>
      </w:r>
      <w:r>
        <w:rPr>
          <w:spacing w:val="-14"/>
        </w:rPr>
        <w:t> </w:t>
      </w:r>
      <w:r>
        <w:rPr/>
        <w:t>las</w:t>
      </w:r>
      <w:r>
        <w:rPr>
          <w:spacing w:val="-14"/>
        </w:rPr>
        <w:t> </w:t>
      </w:r>
      <w:r>
        <w:rPr/>
        <w:t>cuales</w:t>
      </w:r>
      <w:r>
        <w:rPr>
          <w:spacing w:val="-14"/>
        </w:rPr>
        <w:t> </w:t>
      </w:r>
      <w:r>
        <w:rPr/>
        <w:t>descansan</w:t>
      </w:r>
      <w:r>
        <w:rPr>
          <w:spacing w:val="-14"/>
        </w:rPr>
        <w:t> </w:t>
      </w:r>
      <w:r>
        <w:rPr/>
        <w:t>sobre</w:t>
      </w:r>
      <w:r>
        <w:rPr>
          <w:spacing w:val="-14"/>
        </w:rPr>
        <w:t> </w:t>
      </w:r>
      <w:r>
        <w:rPr/>
        <w:t>rocas</w:t>
      </w:r>
      <w:r>
        <w:rPr>
          <w:spacing w:val="-14"/>
        </w:rPr>
        <w:t> </w:t>
      </w:r>
      <w:r>
        <w:rPr/>
        <w:t>Mesozoicas</w:t>
      </w:r>
      <w:r>
        <w:rPr>
          <w:spacing w:val="-14"/>
        </w:rPr>
        <w:t> </w:t>
      </w:r>
      <w:r>
        <w:rPr/>
        <w:t>(Mooser</w:t>
      </w:r>
      <w:r>
        <w:rPr>
          <w:spacing w:val="-14"/>
        </w:rPr>
        <w:t> </w:t>
      </w:r>
      <w:r>
        <w:rPr>
          <w:i/>
        </w:rPr>
        <w:t>et.</w:t>
      </w:r>
      <w:r>
        <w:rPr>
          <w:i/>
          <w:spacing w:val="-14"/>
        </w:rPr>
        <w:t> </w:t>
      </w:r>
      <w:r>
        <w:rPr>
          <w:i/>
        </w:rPr>
        <w:t>al</w:t>
      </w:r>
      <w:r>
        <w:rPr/>
        <w:t>.,</w:t>
      </w:r>
      <w:r>
        <w:rPr>
          <w:spacing w:val="-14"/>
        </w:rPr>
        <w:t> </w:t>
      </w:r>
      <w:r>
        <w:rPr/>
        <w:t>1974). Cantagrel </w:t>
      </w:r>
      <w:r>
        <w:rPr>
          <w:i/>
        </w:rPr>
        <w:t>et. al</w:t>
      </w:r>
      <w:r>
        <w:rPr/>
        <w:t>., (1981), consideran que el volcán ha pasado por dos fases volcánicas distintas. La primera sucedió aproximadamente un millón de años, y consistió en la construcción de un aparato central volumétricamente importante, cuyos productos volcánicos fueron derrames masivos y brechoides andesiticos con formación de facies conglomeráticas en las partes más extremas. La segunda hace aproximadamente 100 millones de años y se caracteriza por tres etapas de erupción de grandes volúmenes de rocas piroclásticas, pumiticas y extracciones de varios domos dasíticos. Bloomfield </w:t>
      </w:r>
      <w:r>
        <w:rPr>
          <w:i/>
        </w:rPr>
        <w:t>et</w:t>
      </w:r>
      <w:r>
        <w:rPr/>
        <w:t>. </w:t>
      </w:r>
      <w:r>
        <w:rPr>
          <w:i/>
        </w:rPr>
        <w:t>al. </w:t>
      </w:r>
      <w:r>
        <w:rPr/>
        <w:t>(1974), plantean que se tuvo una última erupción hace 10000 o 12 000 años. Producto de estas fases, se presentan dos formaciones: Pómez Toluca Inferior y Pómez Toluca</w:t>
      </w:r>
      <w:r>
        <w:rPr>
          <w:spacing w:val="-2"/>
        </w:rPr>
        <w:t> </w:t>
      </w:r>
      <w:r>
        <w:rPr/>
        <w:t>Superior.</w:t>
      </w:r>
    </w:p>
    <w:p>
      <w:pPr>
        <w:pStyle w:val="BodyText"/>
        <w:spacing w:before="11"/>
      </w:pPr>
    </w:p>
    <w:p>
      <w:pPr>
        <w:pStyle w:val="BodyText"/>
        <w:spacing w:line="249" w:lineRule="auto"/>
        <w:ind w:left="104" w:firstLine="170"/>
        <w:jc w:val="both"/>
      </w:pPr>
      <w:r>
        <w:rPr/>
        <w:t>La formación Pómez Toluca Inferior, es una muestra de dirección de flujos eruptivos del Xinantécatl depositados sobre la ladera Noreste del volcán, siendo su composición petrográfica constituida en su mayoría por pómez, algunos líticos y</w:t>
      </w:r>
      <w:r>
        <w:rPr>
          <w:spacing w:val="36"/>
        </w:rPr>
        <w:t> </w:t>
      </w:r>
      <w:r>
        <w:rPr/>
        <w:t>cristales</w:t>
      </w:r>
      <w:r>
        <w:rPr>
          <w:spacing w:val="14"/>
        </w:rPr>
        <w:t> </w:t>
      </w:r>
      <w:r>
        <w:rPr/>
        <w:t>(Aceves,</w:t>
      </w:r>
      <w:r>
        <w:rPr>
          <w:w w:val="97"/>
        </w:rPr>
        <w:t> </w:t>
      </w:r>
      <w:r>
        <w:rPr/>
        <w:t>1997). Cubre una superficie aproximada de 400 km</w:t>
      </w:r>
      <w:r>
        <w:rPr>
          <w:position w:val="7"/>
          <w:sz w:val="11"/>
        </w:rPr>
        <w:t>2   </w:t>
      </w:r>
      <w:r>
        <w:rPr/>
        <w:t>y se caracteriza por poseer   cinco unidades diferenciales: La primera unidad es un paleosuelo de color café de composición húmico-arcilloso con un horizonte de 25 cm, y sobre ésta descansan los depósitos de materiales piroclásticos, que de acuerdo con los trabajos de Bloomfiel   </w:t>
      </w:r>
      <w:r>
        <w:rPr>
          <w:i/>
        </w:rPr>
        <w:t>et. al </w:t>
      </w:r>
      <w:r>
        <w:rPr/>
        <w:t>(1974) estas capas pertenecen a la formación Zinacantepetl y se caracterizan</w:t>
      </w:r>
      <w:r>
        <w:rPr>
          <w:spacing w:val="-25"/>
        </w:rPr>
        <w:t> </w:t>
      </w:r>
      <w:r>
        <w:rPr/>
        <w:t>por presentar</w:t>
      </w:r>
      <w:r>
        <w:rPr>
          <w:spacing w:val="-8"/>
        </w:rPr>
        <w:t> </w:t>
      </w:r>
      <w:r>
        <w:rPr/>
        <w:t>un</w:t>
      </w:r>
      <w:r>
        <w:rPr>
          <w:spacing w:val="-8"/>
        </w:rPr>
        <w:t> </w:t>
      </w:r>
      <w:r>
        <w:rPr/>
        <w:t>grosor</w:t>
      </w:r>
      <w:r>
        <w:rPr>
          <w:spacing w:val="-8"/>
        </w:rPr>
        <w:t> </w:t>
      </w:r>
      <w:r>
        <w:rPr/>
        <w:t>de</w:t>
      </w:r>
      <w:r>
        <w:rPr>
          <w:spacing w:val="-8"/>
        </w:rPr>
        <w:t> </w:t>
      </w:r>
      <w:r>
        <w:rPr/>
        <w:t>60</w:t>
      </w:r>
      <w:r>
        <w:rPr>
          <w:spacing w:val="-8"/>
        </w:rPr>
        <w:t> </w:t>
      </w:r>
      <w:r>
        <w:rPr/>
        <w:t>cm</w:t>
      </w:r>
      <w:r>
        <w:rPr>
          <w:spacing w:val="-8"/>
        </w:rPr>
        <w:t> </w:t>
      </w:r>
      <w:r>
        <w:rPr/>
        <w:t>y</w:t>
      </w:r>
      <w:r>
        <w:rPr>
          <w:spacing w:val="-8"/>
        </w:rPr>
        <w:t> </w:t>
      </w:r>
      <w:r>
        <w:rPr/>
        <w:t>una</w:t>
      </w:r>
      <w:r>
        <w:rPr>
          <w:spacing w:val="-8"/>
        </w:rPr>
        <w:t> </w:t>
      </w:r>
      <w:r>
        <w:rPr/>
        <w:t>estratificación</w:t>
      </w:r>
      <w:r>
        <w:rPr>
          <w:spacing w:val="-8"/>
        </w:rPr>
        <w:t> </w:t>
      </w:r>
      <w:r>
        <w:rPr/>
        <w:t>poco</w:t>
      </w:r>
      <w:r>
        <w:rPr>
          <w:spacing w:val="-8"/>
        </w:rPr>
        <w:t> </w:t>
      </w:r>
      <w:r>
        <w:rPr/>
        <w:t>clasificada,</w:t>
      </w:r>
      <w:r>
        <w:rPr>
          <w:spacing w:val="-8"/>
        </w:rPr>
        <w:t> </w:t>
      </w:r>
      <w:r>
        <w:rPr/>
        <w:t>compuesta</w:t>
      </w:r>
      <w:r>
        <w:rPr>
          <w:spacing w:val="-8"/>
        </w:rPr>
        <w:t> </w:t>
      </w:r>
      <w:r>
        <w:rPr/>
        <w:t>de</w:t>
      </w:r>
      <w:r>
        <w:rPr>
          <w:spacing w:val="-8"/>
        </w:rPr>
        <w:t> </w:t>
      </w:r>
      <w:r>
        <w:rPr/>
        <w:t>lapilli de pómez. La capa siguiente, se compone del mismo material, con una estratificación que no supera los 4 cm. En la última se observa la incrustación de pómez blanca,     así como de capas de pómez intercaladas con cenizas y material lítico de diversas granulometría; materiales que subyacen a la última capa pómez de 15 cm., la cual se encuentra coronada de</w:t>
      </w:r>
      <w:r>
        <w:rPr>
          <w:spacing w:val="16"/>
        </w:rPr>
        <w:t> </w:t>
      </w:r>
      <w:r>
        <w:rPr/>
        <w:t>cenizas.</w:t>
      </w:r>
    </w:p>
    <w:p>
      <w:pPr>
        <w:pStyle w:val="BodyText"/>
        <w:spacing w:before="11"/>
      </w:pPr>
    </w:p>
    <w:p>
      <w:pPr>
        <w:pStyle w:val="BodyText"/>
        <w:spacing w:line="249" w:lineRule="auto"/>
        <w:ind w:left="104" w:firstLine="170"/>
        <w:jc w:val="both"/>
      </w:pPr>
      <w:r>
        <w:rPr/>
        <w:t>La</w:t>
      </w:r>
      <w:r>
        <w:rPr>
          <w:spacing w:val="-9"/>
        </w:rPr>
        <w:t> </w:t>
      </w:r>
      <w:r>
        <w:rPr/>
        <w:t>formación</w:t>
      </w:r>
      <w:r>
        <w:rPr>
          <w:spacing w:val="-9"/>
        </w:rPr>
        <w:t> </w:t>
      </w:r>
      <w:r>
        <w:rPr/>
        <w:t>Pómez</w:t>
      </w:r>
      <w:r>
        <w:rPr>
          <w:spacing w:val="-9"/>
        </w:rPr>
        <w:t> </w:t>
      </w:r>
      <w:r>
        <w:rPr/>
        <w:t>Toluca</w:t>
      </w:r>
      <w:r>
        <w:rPr>
          <w:spacing w:val="-9"/>
        </w:rPr>
        <w:t> </w:t>
      </w:r>
      <w:r>
        <w:rPr/>
        <w:t>Superior,</w:t>
      </w:r>
      <w:r>
        <w:rPr>
          <w:spacing w:val="-9"/>
        </w:rPr>
        <w:t> </w:t>
      </w:r>
      <w:r>
        <w:rPr/>
        <w:t>se</w:t>
      </w:r>
      <w:r>
        <w:rPr>
          <w:spacing w:val="-9"/>
        </w:rPr>
        <w:t> </w:t>
      </w:r>
      <w:r>
        <w:rPr/>
        <w:t>encuentra</w:t>
      </w:r>
      <w:r>
        <w:rPr>
          <w:spacing w:val="-9"/>
        </w:rPr>
        <w:t> </w:t>
      </w:r>
      <w:r>
        <w:rPr/>
        <w:t>desarrollada</w:t>
      </w:r>
      <w:r>
        <w:rPr>
          <w:spacing w:val="-9"/>
        </w:rPr>
        <w:t> </w:t>
      </w:r>
      <w:r>
        <w:rPr/>
        <w:t>sobre</w:t>
      </w:r>
      <w:r>
        <w:rPr>
          <w:spacing w:val="-9"/>
        </w:rPr>
        <w:t> </w:t>
      </w:r>
      <w:r>
        <w:rPr/>
        <w:t>la</w:t>
      </w:r>
      <w:r>
        <w:rPr>
          <w:spacing w:val="-9"/>
        </w:rPr>
        <w:t> </w:t>
      </w:r>
      <w:r>
        <w:rPr/>
        <w:t>ladera</w:t>
      </w:r>
      <w:r>
        <w:rPr>
          <w:spacing w:val="-9"/>
        </w:rPr>
        <w:t> </w:t>
      </w:r>
      <w:r>
        <w:rPr/>
        <w:t>Este- Noreste del volcán siendo la más representativa de la última erupción pliniana hace 11,600 años. De hecho, se considera que dicha manifestación eruptiva por lo menos fue diez veces más violenta que la primera, ya que la granulometría, los índices de fragmentación de los líticos y la distribución de la pómez, sugieren que la velocidad de escape de dichos materiales alcanzó 50 m a partir del cráter, y que la columna</w:t>
      </w:r>
      <w:r>
        <w:rPr>
          <w:spacing w:val="-31"/>
        </w:rPr>
        <w:t> </w:t>
      </w:r>
      <w:r>
        <w:rPr/>
        <w:t>eruptiva alcanzó</w:t>
      </w:r>
      <w:r>
        <w:rPr>
          <w:spacing w:val="15"/>
        </w:rPr>
        <w:t> </w:t>
      </w:r>
      <w:r>
        <w:rPr/>
        <w:t>por</w:t>
      </w:r>
      <w:r>
        <w:rPr>
          <w:spacing w:val="15"/>
        </w:rPr>
        <w:t> </w:t>
      </w:r>
      <w:r>
        <w:rPr/>
        <w:t>lo</w:t>
      </w:r>
      <w:r>
        <w:rPr>
          <w:spacing w:val="15"/>
        </w:rPr>
        <w:t> </w:t>
      </w:r>
      <w:r>
        <w:rPr/>
        <w:t>menos</w:t>
      </w:r>
      <w:r>
        <w:rPr>
          <w:spacing w:val="15"/>
        </w:rPr>
        <w:t> </w:t>
      </w:r>
      <w:r>
        <w:rPr/>
        <w:t>los</w:t>
      </w:r>
      <w:r>
        <w:rPr>
          <w:spacing w:val="15"/>
        </w:rPr>
        <w:t> </w:t>
      </w:r>
      <w:r>
        <w:rPr/>
        <w:t>40</w:t>
      </w:r>
      <w:r>
        <w:rPr>
          <w:spacing w:val="15"/>
        </w:rPr>
        <w:t> </w:t>
      </w:r>
      <w:r>
        <w:rPr/>
        <w:t>km.</w:t>
      </w:r>
      <w:r>
        <w:rPr>
          <w:spacing w:val="15"/>
        </w:rPr>
        <w:t> </w:t>
      </w:r>
      <w:r>
        <w:rPr/>
        <w:t>de</w:t>
      </w:r>
      <w:r>
        <w:rPr>
          <w:spacing w:val="15"/>
        </w:rPr>
        <w:t> </w:t>
      </w:r>
      <w:r>
        <w:rPr/>
        <w:t>altura</w:t>
      </w:r>
      <w:r>
        <w:rPr>
          <w:spacing w:val="15"/>
        </w:rPr>
        <w:t> </w:t>
      </w:r>
      <w:r>
        <w:rPr/>
        <w:t>durante</w:t>
      </w:r>
      <w:r>
        <w:rPr>
          <w:spacing w:val="15"/>
        </w:rPr>
        <w:t> </w:t>
      </w:r>
      <w:r>
        <w:rPr/>
        <w:t>el</w:t>
      </w:r>
      <w:r>
        <w:rPr>
          <w:spacing w:val="15"/>
        </w:rPr>
        <w:t> </w:t>
      </w:r>
      <w:r>
        <w:rPr/>
        <w:t>estallido</w:t>
      </w:r>
      <w:r>
        <w:rPr>
          <w:spacing w:val="15"/>
        </w:rPr>
        <w:t> </w:t>
      </w:r>
      <w:r>
        <w:rPr/>
        <w:t>(Bloomfield</w:t>
      </w:r>
      <w:r>
        <w:rPr>
          <w:spacing w:val="15"/>
        </w:rPr>
        <w:t> </w:t>
      </w:r>
      <w:r>
        <w:rPr/>
        <w:t>y</w:t>
      </w:r>
      <w:r>
        <w:rPr>
          <w:spacing w:val="15"/>
        </w:rPr>
        <w:t> </w:t>
      </w:r>
      <w:r>
        <w:rPr/>
        <w:t>Valastro,</w:t>
      </w:r>
    </w:p>
    <w:p>
      <w:pPr>
        <w:pStyle w:val="BodyText"/>
        <w:spacing w:line="249" w:lineRule="auto" w:before="76"/>
        <w:ind w:right="99"/>
        <w:jc w:val="right"/>
      </w:pPr>
      <w:r>
        <w:rPr/>
        <w:br w:type="column"/>
      </w:r>
      <w:r>
        <w:rPr/>
        <w:t>1974). Cubriendo los depósitos de una superficie superior a los 2000 km</w:t>
      </w:r>
      <w:r>
        <w:rPr>
          <w:position w:val="7"/>
          <w:sz w:val="11"/>
        </w:rPr>
        <w:t>2</w:t>
      </w:r>
      <w:r>
        <w:rPr/>
        <w:t>, sepultando a</w:t>
      </w:r>
      <w:r>
        <w:rPr>
          <w:w w:val="96"/>
        </w:rPr>
        <w:t> </w:t>
      </w:r>
      <w:r>
        <w:rPr/>
        <w:t>los cimientos de la formación Pómez Toluca Inferior y un paleosuelo bien desarrollado.</w:t>
      </w:r>
    </w:p>
    <w:p>
      <w:pPr>
        <w:pStyle w:val="BodyText"/>
        <w:spacing w:before="11"/>
      </w:pPr>
    </w:p>
    <w:p>
      <w:pPr>
        <w:pStyle w:val="BodyText"/>
        <w:spacing w:line="249" w:lineRule="auto"/>
        <w:ind w:left="104" w:right="99" w:firstLine="170"/>
        <w:jc w:val="both"/>
      </w:pPr>
      <w:r>
        <w:rPr/>
        <w:t>A partir de los antecedentes geológicos de la zona de estudio, se puede comprender como se ha dado origen a la formación de los materiales pétreos, cuyos productos son principalmente piroclásticos, es decir, resultado de una asociación ígnea volcánica. Los productos que se registran actualmente son: arena, grava, tepojal y tezontle en mayor medida, que son explotados para su comercialización para la construcción. (Ver mapa 3).</w:t>
      </w:r>
    </w:p>
    <w:p>
      <w:pPr>
        <w:pStyle w:val="BodyText"/>
      </w:pPr>
    </w:p>
    <w:p>
      <w:pPr>
        <w:pStyle w:val="BodyText"/>
        <w:spacing w:before="6"/>
        <w:rPr>
          <w:sz w:val="18"/>
        </w:rPr>
      </w:pPr>
    </w:p>
    <w:p>
      <w:pPr>
        <w:pStyle w:val="Heading1"/>
        <w:ind w:left="2610"/>
      </w:pPr>
      <w:r>
        <w:rPr/>
        <w:t>Aspectos demográficos</w:t>
      </w:r>
    </w:p>
    <w:p>
      <w:pPr>
        <w:pStyle w:val="BodyText"/>
        <w:rPr>
          <w:b/>
          <w:sz w:val="21"/>
        </w:rPr>
      </w:pPr>
    </w:p>
    <w:p>
      <w:pPr>
        <w:pStyle w:val="BodyText"/>
        <w:spacing w:line="249" w:lineRule="auto"/>
        <w:ind w:left="104" w:right="98" w:firstLine="170"/>
        <w:jc w:val="both"/>
      </w:pPr>
      <w:r>
        <w:rPr/>
        <w:t>De</w:t>
      </w:r>
      <w:r>
        <w:rPr>
          <w:spacing w:val="-9"/>
        </w:rPr>
        <w:t> </w:t>
      </w:r>
      <w:r>
        <w:rPr/>
        <w:t>acuerdo</w:t>
      </w:r>
      <w:r>
        <w:rPr>
          <w:spacing w:val="-9"/>
        </w:rPr>
        <w:t> </w:t>
      </w:r>
      <w:r>
        <w:rPr/>
        <w:t>al</w:t>
      </w:r>
      <w:r>
        <w:rPr>
          <w:spacing w:val="-9"/>
        </w:rPr>
        <w:t> </w:t>
      </w:r>
      <w:r>
        <w:rPr/>
        <w:t>Censo</w:t>
      </w:r>
      <w:r>
        <w:rPr>
          <w:spacing w:val="-9"/>
        </w:rPr>
        <w:t> </w:t>
      </w:r>
      <w:r>
        <w:rPr/>
        <w:t>de</w:t>
      </w:r>
      <w:r>
        <w:rPr>
          <w:spacing w:val="-9"/>
        </w:rPr>
        <w:t> </w:t>
      </w:r>
      <w:r>
        <w:rPr/>
        <w:t>Población</w:t>
      </w:r>
      <w:r>
        <w:rPr>
          <w:spacing w:val="-9"/>
        </w:rPr>
        <w:t> </w:t>
      </w:r>
      <w:r>
        <w:rPr/>
        <w:t>y</w:t>
      </w:r>
      <w:r>
        <w:rPr>
          <w:spacing w:val="-9"/>
        </w:rPr>
        <w:t> </w:t>
      </w:r>
      <w:r>
        <w:rPr/>
        <w:t>Vivienda</w:t>
      </w:r>
      <w:r>
        <w:rPr>
          <w:spacing w:val="-9"/>
        </w:rPr>
        <w:t> </w:t>
      </w:r>
      <w:r>
        <w:rPr/>
        <w:t>2010,</w:t>
      </w:r>
      <w:r>
        <w:rPr>
          <w:spacing w:val="-9"/>
        </w:rPr>
        <w:t> </w:t>
      </w:r>
      <w:r>
        <w:rPr/>
        <w:t>el</w:t>
      </w:r>
      <w:r>
        <w:rPr>
          <w:spacing w:val="-9"/>
        </w:rPr>
        <w:t> </w:t>
      </w:r>
      <w:r>
        <w:rPr/>
        <w:t>municipio</w:t>
      </w:r>
      <w:r>
        <w:rPr>
          <w:spacing w:val="-9"/>
        </w:rPr>
        <w:t> </w:t>
      </w:r>
      <w:r>
        <w:rPr/>
        <w:t>de</w:t>
      </w:r>
      <w:r>
        <w:rPr>
          <w:spacing w:val="-9"/>
        </w:rPr>
        <w:t> </w:t>
      </w:r>
      <w:r>
        <w:rPr/>
        <w:t>Calimaya</w:t>
      </w:r>
      <w:r>
        <w:rPr>
          <w:spacing w:val="-9"/>
        </w:rPr>
        <w:t> </w:t>
      </w:r>
      <w:r>
        <w:rPr/>
        <w:t>contaba con una población de 47,033 habitantes, de los cuales 23,061 son hombres y 23,972 mujeres, y un total de 10,694 viviendas. Su crecimiento poblacional se ha propiciado principalmente debido al proceso de urbanización que ha presentado en los últimos años, a consecuencia de la autorización de nuevos conjuntos urbanos, que ha traído población de la zona del Valle de Toluca a residir al</w:t>
      </w:r>
      <w:r>
        <w:rPr>
          <w:spacing w:val="26"/>
        </w:rPr>
        <w:t> </w:t>
      </w:r>
      <w:r>
        <w:rPr/>
        <w:t>municipio.</w:t>
      </w:r>
    </w:p>
    <w:p>
      <w:pPr>
        <w:pStyle w:val="BodyText"/>
        <w:spacing w:before="11"/>
      </w:pPr>
    </w:p>
    <w:p>
      <w:pPr>
        <w:pStyle w:val="BodyText"/>
        <w:spacing w:line="249" w:lineRule="auto"/>
        <w:ind w:left="104" w:right="99" w:firstLine="170"/>
        <w:jc w:val="both"/>
      </w:pPr>
      <w:r>
        <w:rPr/>
        <w:t>De acuerdo al Plan de Desarrollo Urbano (2011), se tiene registrado que el año   1999 se autoriza el primer conjunto urbano de tipo residencial de nombre “Rancho el Mesón”,</w:t>
      </w:r>
      <w:r>
        <w:rPr>
          <w:spacing w:val="-4"/>
        </w:rPr>
        <w:t> </w:t>
      </w:r>
      <w:r>
        <w:rPr/>
        <w:t>a</w:t>
      </w:r>
      <w:r>
        <w:rPr>
          <w:spacing w:val="-4"/>
        </w:rPr>
        <w:t> </w:t>
      </w:r>
      <w:r>
        <w:rPr/>
        <w:t>partir</w:t>
      </w:r>
      <w:r>
        <w:rPr>
          <w:spacing w:val="-4"/>
        </w:rPr>
        <w:t> </w:t>
      </w:r>
      <w:r>
        <w:rPr/>
        <w:t>del</w:t>
      </w:r>
      <w:r>
        <w:rPr>
          <w:spacing w:val="-4"/>
        </w:rPr>
        <w:t> </w:t>
      </w:r>
      <w:r>
        <w:rPr/>
        <w:t>2005</w:t>
      </w:r>
      <w:r>
        <w:rPr>
          <w:spacing w:val="-4"/>
        </w:rPr>
        <w:t> </w:t>
      </w:r>
      <w:r>
        <w:rPr/>
        <w:t>se</w:t>
      </w:r>
      <w:r>
        <w:rPr>
          <w:spacing w:val="-4"/>
        </w:rPr>
        <w:t> </w:t>
      </w:r>
      <w:r>
        <w:rPr/>
        <w:t>autorizan</w:t>
      </w:r>
      <w:r>
        <w:rPr>
          <w:spacing w:val="-4"/>
        </w:rPr>
        <w:t> </w:t>
      </w:r>
      <w:r>
        <w:rPr/>
        <w:t>9</w:t>
      </w:r>
      <w:r>
        <w:rPr>
          <w:spacing w:val="-4"/>
        </w:rPr>
        <w:t> </w:t>
      </w:r>
      <w:r>
        <w:rPr/>
        <w:t>conjuntos</w:t>
      </w:r>
      <w:r>
        <w:rPr>
          <w:spacing w:val="-4"/>
        </w:rPr>
        <w:t> </w:t>
      </w:r>
      <w:r>
        <w:rPr/>
        <w:t>urbanos</w:t>
      </w:r>
      <w:r>
        <w:rPr>
          <w:spacing w:val="-4"/>
        </w:rPr>
        <w:t> </w:t>
      </w:r>
      <w:r>
        <w:rPr/>
        <w:t>más,</w:t>
      </w:r>
      <w:r>
        <w:rPr>
          <w:spacing w:val="-4"/>
        </w:rPr>
        <w:t> </w:t>
      </w:r>
      <w:r>
        <w:rPr/>
        <w:t>que</w:t>
      </w:r>
      <w:r>
        <w:rPr>
          <w:spacing w:val="-4"/>
        </w:rPr>
        <w:t> </w:t>
      </w:r>
      <w:r>
        <w:rPr/>
        <w:t>vienen</w:t>
      </w:r>
      <w:r>
        <w:rPr>
          <w:spacing w:val="-4"/>
        </w:rPr>
        <w:t> </w:t>
      </w:r>
      <w:r>
        <w:rPr/>
        <w:t>a</w:t>
      </w:r>
      <w:r>
        <w:rPr>
          <w:spacing w:val="-4"/>
        </w:rPr>
        <w:t> </w:t>
      </w:r>
      <w:r>
        <w:rPr/>
        <w:t>modificar la dinámica de crecimiento urbano y poblacional del municipio; el primero de ellos con viviendas de tipo medio, denominado “Villas del Campo”, iniciando la construcción      en 1999 y autorizado en 2007, el segundo de ellos denominado “San Andrés”, con vivienda de tipo residencial autorizado a finales del año 2007; el tercero de tipo interés social, de nombre “Valle del Nevado” autorizado a finales del año</w:t>
      </w:r>
      <w:r>
        <w:rPr>
          <w:spacing w:val="52"/>
        </w:rPr>
        <w:t> </w:t>
      </w:r>
      <w:r>
        <w:rPr/>
        <w:t>2009.</w:t>
      </w:r>
    </w:p>
    <w:p>
      <w:pPr>
        <w:pStyle w:val="BodyText"/>
        <w:spacing w:before="11"/>
      </w:pPr>
    </w:p>
    <w:p>
      <w:pPr>
        <w:pStyle w:val="BodyText"/>
        <w:spacing w:line="249" w:lineRule="auto"/>
        <w:ind w:left="104" w:right="99" w:firstLine="170"/>
        <w:jc w:val="both"/>
      </w:pPr>
      <w:r>
        <w:rPr/>
        <w:t>Los</w:t>
      </w:r>
      <w:r>
        <w:rPr>
          <w:spacing w:val="-4"/>
        </w:rPr>
        <w:t> </w:t>
      </w:r>
      <w:r>
        <w:rPr/>
        <w:t>cinco</w:t>
      </w:r>
      <w:r>
        <w:rPr>
          <w:spacing w:val="-4"/>
        </w:rPr>
        <w:t> </w:t>
      </w:r>
      <w:r>
        <w:rPr/>
        <w:t>conjuntos</w:t>
      </w:r>
      <w:r>
        <w:rPr>
          <w:spacing w:val="-4"/>
        </w:rPr>
        <w:t> </w:t>
      </w:r>
      <w:r>
        <w:rPr/>
        <w:t>urbanos</w:t>
      </w:r>
      <w:r>
        <w:rPr>
          <w:spacing w:val="-4"/>
        </w:rPr>
        <w:t> </w:t>
      </w:r>
      <w:r>
        <w:rPr/>
        <w:t>subsecuentes</w:t>
      </w:r>
      <w:r>
        <w:rPr>
          <w:spacing w:val="-4"/>
        </w:rPr>
        <w:t> </w:t>
      </w:r>
      <w:r>
        <w:rPr/>
        <w:t>fueron</w:t>
      </w:r>
      <w:r>
        <w:rPr>
          <w:spacing w:val="-4"/>
        </w:rPr>
        <w:t> </w:t>
      </w:r>
      <w:r>
        <w:rPr/>
        <w:t>autorizados</w:t>
      </w:r>
      <w:r>
        <w:rPr>
          <w:spacing w:val="-4"/>
        </w:rPr>
        <w:t> </w:t>
      </w:r>
      <w:r>
        <w:rPr/>
        <w:t>en</w:t>
      </w:r>
      <w:r>
        <w:rPr>
          <w:spacing w:val="-4"/>
        </w:rPr>
        <w:t> </w:t>
      </w:r>
      <w:r>
        <w:rPr/>
        <w:t>el</w:t>
      </w:r>
      <w:r>
        <w:rPr>
          <w:spacing w:val="-4"/>
        </w:rPr>
        <w:t> </w:t>
      </w:r>
      <w:r>
        <w:rPr/>
        <w:t>2010.</w:t>
      </w:r>
      <w:r>
        <w:rPr>
          <w:spacing w:val="-4"/>
        </w:rPr>
        <w:t> </w:t>
      </w:r>
      <w:r>
        <w:rPr/>
        <w:t>“Rancho</w:t>
      </w:r>
      <w:r>
        <w:rPr>
          <w:spacing w:val="-4"/>
        </w:rPr>
        <w:t> </w:t>
      </w:r>
      <w:r>
        <w:rPr/>
        <w:t>la Providencia” con viviendas de tipo medio, la segunda etapa del Villas del Campo, con el nombre “Villas del Campo II” con viviendas de tipo medio; “Bosques de las Fuentes” con vivienda de tipo residencial, “URBIS Hacienda Lomas” viviendas tipo medio, y “Valle de las fuentes” tipo mixto (habitacional, residencial con comercios y servicios). (Ver tabla</w:t>
      </w:r>
      <w:r>
        <w:rPr>
          <w:spacing w:val="-38"/>
        </w:rPr>
        <w:t> </w:t>
      </w:r>
      <w:r>
        <w:rPr/>
        <w:t>5)</w:t>
      </w:r>
    </w:p>
    <w:p>
      <w:pPr>
        <w:pStyle w:val="BodyText"/>
        <w:spacing w:before="11"/>
      </w:pPr>
    </w:p>
    <w:p>
      <w:pPr>
        <w:pStyle w:val="BodyText"/>
        <w:spacing w:line="249" w:lineRule="auto"/>
        <w:ind w:left="104" w:right="100" w:firstLine="170"/>
        <w:jc w:val="both"/>
      </w:pPr>
      <w:r>
        <w:rPr/>
        <w:t>La ubicación de estos fraccionamientos se encuentra en la periferia de la cabecera municipal hacía en el norte, y en las localidades de Santa María Nativitas al noreste; la Concepción</w:t>
      </w:r>
      <w:r>
        <w:rPr>
          <w:spacing w:val="-5"/>
        </w:rPr>
        <w:t> </w:t>
      </w:r>
      <w:r>
        <w:rPr/>
        <w:t>Coatipac</w:t>
      </w:r>
      <w:r>
        <w:rPr>
          <w:spacing w:val="-5"/>
        </w:rPr>
        <w:t> </w:t>
      </w:r>
      <w:r>
        <w:rPr/>
        <w:t>hacia</w:t>
      </w:r>
      <w:r>
        <w:rPr>
          <w:spacing w:val="-5"/>
        </w:rPr>
        <w:t> </w:t>
      </w:r>
      <w:r>
        <w:rPr/>
        <w:t>el</w:t>
      </w:r>
      <w:r>
        <w:rPr>
          <w:spacing w:val="-5"/>
        </w:rPr>
        <w:t> </w:t>
      </w:r>
      <w:r>
        <w:rPr/>
        <w:t>oriente</w:t>
      </w:r>
      <w:r>
        <w:rPr>
          <w:spacing w:val="-5"/>
        </w:rPr>
        <w:t> </w:t>
      </w:r>
      <w:r>
        <w:rPr/>
        <w:t>y</w:t>
      </w:r>
      <w:r>
        <w:rPr>
          <w:spacing w:val="-5"/>
        </w:rPr>
        <w:t> </w:t>
      </w:r>
      <w:r>
        <w:rPr/>
        <w:t>San</w:t>
      </w:r>
      <w:r>
        <w:rPr>
          <w:spacing w:val="-5"/>
        </w:rPr>
        <w:t> </w:t>
      </w:r>
      <w:r>
        <w:rPr/>
        <w:t>Andrés</w:t>
      </w:r>
      <w:r>
        <w:rPr>
          <w:spacing w:val="-5"/>
        </w:rPr>
        <w:t> </w:t>
      </w:r>
      <w:r>
        <w:rPr/>
        <w:t>Ocotlán</w:t>
      </w:r>
      <w:r>
        <w:rPr>
          <w:spacing w:val="-5"/>
        </w:rPr>
        <w:t> </w:t>
      </w:r>
      <w:r>
        <w:rPr/>
        <w:t>al</w:t>
      </w:r>
      <w:r>
        <w:rPr>
          <w:spacing w:val="-5"/>
        </w:rPr>
        <w:t> </w:t>
      </w:r>
      <w:r>
        <w:rPr/>
        <w:t>sur</w:t>
      </w:r>
      <w:r>
        <w:rPr>
          <w:spacing w:val="-5"/>
        </w:rPr>
        <w:t> </w:t>
      </w:r>
      <w:r>
        <w:rPr/>
        <w:t>y</w:t>
      </w:r>
      <w:r>
        <w:rPr>
          <w:spacing w:val="-5"/>
        </w:rPr>
        <w:t> </w:t>
      </w:r>
      <w:r>
        <w:rPr/>
        <w:t>norte</w:t>
      </w:r>
      <w:r>
        <w:rPr>
          <w:spacing w:val="-5"/>
        </w:rPr>
        <w:t> </w:t>
      </w:r>
      <w:r>
        <w:rPr/>
        <w:t>del</w:t>
      </w:r>
      <w:r>
        <w:rPr>
          <w:spacing w:val="-5"/>
        </w:rPr>
        <w:t> </w:t>
      </w:r>
      <w:r>
        <w:rPr/>
        <w:t>municipio, sobre la carretera</w:t>
      </w:r>
      <w:r>
        <w:rPr>
          <w:spacing w:val="5"/>
        </w:rPr>
        <w:t> </w:t>
      </w:r>
      <w:r>
        <w:rPr/>
        <w:t>Toluca-Tenango.</w:t>
      </w:r>
    </w:p>
    <w:p>
      <w:pPr>
        <w:spacing w:after="0" w:line="249" w:lineRule="auto"/>
        <w:jc w:val="both"/>
        <w:sectPr>
          <w:type w:val="continuous"/>
          <w:pgSz w:w="18830" w:h="12760" w:orient="landscape"/>
          <w:pgMar w:top="1420" w:bottom="280" w:left="720" w:right="720"/>
          <w:cols w:num="2" w:equalWidth="0">
            <w:col w:w="7816" w:space="1620"/>
            <w:col w:w="7954"/>
          </w:cols>
        </w:sectPr>
      </w:pPr>
    </w:p>
    <w:p>
      <w:pPr>
        <w:pStyle w:val="BodyText"/>
        <w:spacing w:before="8"/>
      </w:pPr>
    </w:p>
    <w:p>
      <w:pPr>
        <w:spacing w:after="0"/>
        <w:sectPr>
          <w:headerReference w:type="default" r:id="rId490"/>
          <w:footerReference w:type="default" r:id="rId491"/>
          <w:pgSz w:w="18830" w:h="12760" w:orient="landscape"/>
          <w:pgMar w:header="522" w:footer="1036" w:top="820" w:bottom="1220" w:left="720" w:right="720"/>
        </w:sectPr>
      </w:pPr>
    </w:p>
    <w:p>
      <w:pPr>
        <w:pStyle w:val="BodyText"/>
        <w:spacing w:before="8"/>
        <w:rPr>
          <w:sz w:val="12"/>
        </w:rPr>
      </w:pPr>
    </w:p>
    <w:p>
      <w:pPr>
        <w:spacing w:before="0"/>
        <w:ind w:left="2025" w:right="-3" w:firstLine="0"/>
        <w:jc w:val="left"/>
        <w:rPr>
          <w:sz w:val="16"/>
        </w:rPr>
      </w:pPr>
      <w:r>
        <w:rPr>
          <w:color w:val="6D6E71"/>
          <w:sz w:val="16"/>
        </w:rPr>
        <w:t>Tabla 5.  Conjuntos urbanos autorizados 1999 al 2012</w:t>
      </w:r>
    </w:p>
    <w:p>
      <w:pPr>
        <w:pStyle w:val="Heading1"/>
        <w:spacing w:before="71"/>
        <w:ind w:left="2195"/>
      </w:pPr>
      <w:r>
        <w:rPr>
          <w:b w:val="0"/>
        </w:rPr>
        <w:br w:type="column"/>
      </w:r>
      <w:r>
        <w:rPr/>
        <w:t>Actividad minera</w:t>
      </w:r>
    </w:p>
    <w:p>
      <w:pPr>
        <w:pStyle w:val="BodyText"/>
        <w:rPr>
          <w:b/>
          <w:sz w:val="21"/>
        </w:rPr>
      </w:pPr>
    </w:p>
    <w:p>
      <w:pPr>
        <w:pStyle w:val="BodyText"/>
        <w:spacing w:line="249" w:lineRule="auto"/>
        <w:ind w:left="2025" w:right="127" w:firstLine="170"/>
        <w:jc w:val="both"/>
      </w:pPr>
      <w:r>
        <w:rPr/>
        <w:pict>
          <v:shape style="position:absolute;margin-left:41.216999pt;margin-top:-7.7857pt;width:385.55pt;height:344.4pt;mso-position-horizontal-relative:page;mso-position-vertical-relative:paragraph;z-index:178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1"/>
                    <w:gridCol w:w="2501"/>
                    <w:gridCol w:w="1633"/>
                    <w:gridCol w:w="951"/>
                    <w:gridCol w:w="1115"/>
                  </w:tblGrid>
                  <w:tr>
                    <w:trPr>
                      <w:trHeight w:val="428" w:hRule="exact"/>
                    </w:trPr>
                    <w:tc>
                      <w:tcPr>
                        <w:tcW w:w="1511" w:type="dxa"/>
                        <w:tcBorders>
                          <w:right w:val="single" w:sz="4" w:space="0" w:color="FFFFFF"/>
                        </w:tcBorders>
                        <w:shd w:val="clear" w:color="auto" w:fill="929292"/>
                      </w:tcPr>
                      <w:p>
                        <w:pPr>
                          <w:pStyle w:val="TableParagraph"/>
                          <w:spacing w:line="261" w:lineRule="auto" w:before="21"/>
                          <w:ind w:left="108"/>
                          <w:rPr>
                            <w:sz w:val="16"/>
                          </w:rPr>
                        </w:pPr>
                        <w:r>
                          <w:rPr>
                            <w:sz w:val="16"/>
                          </w:rPr>
                          <w:t>Nombre del Conjunto Urbano</w:t>
                        </w:r>
                      </w:p>
                    </w:tc>
                    <w:tc>
                      <w:tcPr>
                        <w:tcW w:w="2501" w:type="dxa"/>
                        <w:tcBorders>
                          <w:left w:val="single" w:sz="4" w:space="0" w:color="FFFFFF"/>
                          <w:right w:val="single" w:sz="4" w:space="0" w:color="FFFFFF"/>
                        </w:tcBorders>
                        <w:shd w:val="clear" w:color="auto" w:fill="929292"/>
                      </w:tcPr>
                      <w:p>
                        <w:pPr>
                          <w:pStyle w:val="TableParagraph"/>
                          <w:spacing w:before="121"/>
                          <w:ind w:left="103"/>
                          <w:rPr>
                            <w:sz w:val="16"/>
                          </w:rPr>
                        </w:pPr>
                        <w:r>
                          <w:rPr>
                            <w:sz w:val="16"/>
                          </w:rPr>
                          <w:t>Empresa/Pormotor</w:t>
                        </w:r>
                      </w:p>
                    </w:tc>
                    <w:tc>
                      <w:tcPr>
                        <w:tcW w:w="1633" w:type="dxa"/>
                        <w:tcBorders>
                          <w:left w:val="single" w:sz="4" w:space="0" w:color="FFFFFF"/>
                          <w:right w:val="single" w:sz="4" w:space="0" w:color="FFFFFF"/>
                        </w:tcBorders>
                        <w:shd w:val="clear" w:color="auto" w:fill="929292"/>
                      </w:tcPr>
                      <w:p>
                        <w:pPr>
                          <w:pStyle w:val="TableParagraph"/>
                          <w:spacing w:before="121"/>
                          <w:ind w:left="103"/>
                          <w:rPr>
                            <w:sz w:val="16"/>
                          </w:rPr>
                        </w:pPr>
                        <w:r>
                          <w:rPr>
                            <w:sz w:val="16"/>
                          </w:rPr>
                          <w:t>Tipo de Vivienda</w:t>
                        </w:r>
                      </w:p>
                    </w:tc>
                    <w:tc>
                      <w:tcPr>
                        <w:tcW w:w="951" w:type="dxa"/>
                        <w:tcBorders>
                          <w:left w:val="single" w:sz="4" w:space="0" w:color="FFFFFF"/>
                          <w:right w:val="single" w:sz="4" w:space="0" w:color="FFFFFF"/>
                        </w:tcBorders>
                        <w:shd w:val="clear" w:color="auto" w:fill="929292"/>
                      </w:tcPr>
                      <w:p>
                        <w:pPr>
                          <w:pStyle w:val="TableParagraph"/>
                          <w:spacing w:line="261" w:lineRule="auto" w:before="21"/>
                          <w:ind w:left="102" w:right="159"/>
                          <w:rPr>
                            <w:sz w:val="16"/>
                          </w:rPr>
                        </w:pPr>
                        <w:r>
                          <w:rPr>
                            <w:sz w:val="16"/>
                          </w:rPr>
                          <w:t>No. de </w:t>
                        </w:r>
                        <w:r>
                          <w:rPr>
                            <w:w w:val="95"/>
                            <w:sz w:val="16"/>
                          </w:rPr>
                          <w:t>Viviendas</w:t>
                        </w:r>
                      </w:p>
                    </w:tc>
                    <w:tc>
                      <w:tcPr>
                        <w:tcW w:w="1115" w:type="dxa"/>
                        <w:tcBorders>
                          <w:left w:val="single" w:sz="4" w:space="0" w:color="FFFFFF"/>
                        </w:tcBorders>
                        <w:shd w:val="clear" w:color="auto" w:fill="929292"/>
                      </w:tcPr>
                      <w:p>
                        <w:pPr>
                          <w:pStyle w:val="TableParagraph"/>
                          <w:spacing w:line="261" w:lineRule="auto" w:before="21"/>
                          <w:ind w:left="102"/>
                          <w:rPr>
                            <w:sz w:val="16"/>
                          </w:rPr>
                        </w:pPr>
                        <w:r>
                          <w:rPr>
                            <w:sz w:val="16"/>
                          </w:rPr>
                          <w:t>Población Beneficiada</w:t>
                        </w:r>
                      </w:p>
                    </w:tc>
                  </w:tr>
                  <w:tr>
                    <w:trPr>
                      <w:trHeight w:val="291" w:hRule="exact"/>
                    </w:trPr>
                    <w:tc>
                      <w:tcPr>
                        <w:tcW w:w="1511" w:type="dxa"/>
                        <w:tcBorders>
                          <w:right w:val="single" w:sz="4" w:space="0" w:color="929292"/>
                        </w:tcBorders>
                      </w:tcPr>
                      <w:p>
                        <w:pPr>
                          <w:pStyle w:val="TableParagraph"/>
                          <w:spacing w:before="72"/>
                          <w:ind w:left="108"/>
                          <w:rPr>
                            <w:sz w:val="16"/>
                          </w:rPr>
                        </w:pPr>
                        <w:r>
                          <w:rPr>
                            <w:sz w:val="16"/>
                          </w:rPr>
                          <w:t>Rancho el Mesón</w:t>
                        </w:r>
                      </w:p>
                    </w:tc>
                    <w:tc>
                      <w:tcPr>
                        <w:tcW w:w="2501" w:type="dxa"/>
                        <w:vMerge w:val="restart"/>
                        <w:tcBorders>
                          <w:left w:val="single" w:sz="4" w:space="0" w:color="929292"/>
                          <w:right w:val="single" w:sz="4" w:space="0" w:color="929292"/>
                        </w:tcBorders>
                      </w:tcPr>
                      <w:p>
                        <w:pPr>
                          <w:pStyle w:val="TableParagraph"/>
                          <w:spacing w:before="72"/>
                          <w:ind w:left="103"/>
                          <w:rPr>
                            <w:sz w:val="16"/>
                          </w:rPr>
                        </w:pPr>
                        <w:r>
                          <w:rPr>
                            <w:sz w:val="16"/>
                          </w:rPr>
                          <w:t>Inmobiliaria Hemajo de</w:t>
                        </w:r>
                      </w:p>
                      <w:p>
                        <w:pPr>
                          <w:pStyle w:val="TableParagraph"/>
                          <w:tabs>
                            <w:tab w:pos="2480" w:val="left" w:leader="none"/>
                          </w:tabs>
                          <w:spacing w:line="312" w:lineRule="auto" w:before="56"/>
                          <w:ind w:left="103" w:right="8" w:hanging="78"/>
                          <w:rPr>
                            <w:sz w:val="16"/>
                          </w:rPr>
                        </w:pPr>
                        <w:r>
                          <w:rPr>
                            <w:w w:val="100"/>
                            <w:sz w:val="16"/>
                            <w:u w:val="dotted" w:color="929292"/>
                          </w:rPr>
                          <w:t> </w:t>
                        </w:r>
                        <w:r>
                          <w:rPr>
                            <w:spacing w:val="-11"/>
                            <w:sz w:val="16"/>
                            <w:u w:val="dotted" w:color="929292"/>
                          </w:rPr>
                          <w:t> </w:t>
                        </w:r>
                        <w:r>
                          <w:rPr>
                            <w:sz w:val="16"/>
                            <w:u w:val="dotted" w:color="929292"/>
                          </w:rPr>
                          <w:t>Atlacomulco, S.A.</w:t>
                        </w:r>
                        <w:r>
                          <w:rPr>
                            <w:spacing w:val="-33"/>
                            <w:sz w:val="16"/>
                            <w:u w:val="dotted" w:color="929292"/>
                          </w:rPr>
                          <w:t> </w:t>
                        </w:r>
                        <w:r>
                          <w:rPr>
                            <w:sz w:val="16"/>
                            <w:u w:val="dotted" w:color="929292"/>
                          </w:rPr>
                          <w:t>De</w:t>
                        </w:r>
                        <w:r>
                          <w:rPr>
                            <w:spacing w:val="-17"/>
                            <w:sz w:val="16"/>
                            <w:u w:val="dotted" w:color="929292"/>
                          </w:rPr>
                          <w:t> </w:t>
                        </w:r>
                        <w:r>
                          <w:rPr>
                            <w:sz w:val="16"/>
                            <w:u w:val="dotted" w:color="929292"/>
                          </w:rPr>
                          <w:t>C.V.</w:t>
                          <w:tab/>
                        </w:r>
                        <w:r>
                          <w:rPr>
                            <w:sz w:val="16"/>
                          </w:rPr>
                          <w:t> Geo</w:t>
                        </w:r>
                        <w:r>
                          <w:rPr>
                            <w:spacing w:val="-17"/>
                            <w:sz w:val="16"/>
                          </w:rPr>
                          <w:t> </w:t>
                        </w:r>
                        <w:r>
                          <w:rPr>
                            <w:sz w:val="16"/>
                          </w:rPr>
                          <w:t>Edificaciones,</w:t>
                        </w:r>
                        <w:r>
                          <w:rPr>
                            <w:spacing w:val="-17"/>
                            <w:sz w:val="16"/>
                          </w:rPr>
                          <w:t> </w:t>
                        </w:r>
                        <w:r>
                          <w:rPr>
                            <w:sz w:val="16"/>
                          </w:rPr>
                          <w:t>S.A.</w:t>
                        </w:r>
                        <w:r>
                          <w:rPr>
                            <w:spacing w:val="-17"/>
                            <w:sz w:val="16"/>
                          </w:rPr>
                          <w:t> </w:t>
                        </w:r>
                        <w:r>
                          <w:rPr>
                            <w:sz w:val="16"/>
                          </w:rPr>
                          <w:t>De</w:t>
                        </w:r>
                        <w:r>
                          <w:rPr>
                            <w:spacing w:val="-17"/>
                            <w:sz w:val="16"/>
                          </w:rPr>
                          <w:t> </w:t>
                        </w:r>
                        <w:r>
                          <w:rPr>
                            <w:spacing w:val="-2"/>
                            <w:sz w:val="16"/>
                          </w:rPr>
                          <w:t>C.V</w:t>
                        </w:r>
                      </w:p>
                      <w:p>
                        <w:pPr>
                          <w:pStyle w:val="TableParagraph"/>
                          <w:tabs>
                            <w:tab w:pos="2480" w:val="left" w:leader="none"/>
                          </w:tabs>
                          <w:spacing w:line="312" w:lineRule="auto" w:before="2"/>
                          <w:ind w:left="103" w:right="8" w:hanging="78"/>
                          <w:rPr>
                            <w:sz w:val="16"/>
                          </w:rPr>
                        </w:pPr>
                        <w:r>
                          <w:rPr>
                            <w:w w:val="100"/>
                            <w:sz w:val="16"/>
                            <w:u w:val="dotted" w:color="929292"/>
                          </w:rPr>
                          <w:t> </w:t>
                        </w:r>
                        <w:r>
                          <w:rPr>
                            <w:sz w:val="16"/>
                            <w:u w:val="dotted" w:color="929292"/>
                          </w:rPr>
                          <w:tab/>
                          <w:tab/>
                        </w:r>
                        <w:r>
                          <w:rPr>
                            <w:sz w:val="16"/>
                          </w:rPr>
                          <w:t> </w:t>
                        </w:r>
                        <w:r>
                          <w:rPr>
                            <w:spacing w:val="-2"/>
                            <w:w w:val="100"/>
                            <w:sz w:val="16"/>
                          </w:rPr>
                          <w:t>Inmobiliari</w:t>
                        </w:r>
                        <w:r>
                          <w:rPr>
                            <w:w w:val="100"/>
                            <w:sz w:val="16"/>
                          </w:rPr>
                          <w:t>a</w:t>
                        </w:r>
                        <w:r>
                          <w:rPr>
                            <w:spacing w:val="-4"/>
                            <w:sz w:val="16"/>
                          </w:rPr>
                          <w:t> </w:t>
                        </w:r>
                        <w:r>
                          <w:rPr>
                            <w:spacing w:val="-2"/>
                            <w:w w:val="99"/>
                            <w:sz w:val="16"/>
                          </w:rPr>
                          <w:t>Hemaj</w:t>
                        </w:r>
                        <w:r>
                          <w:rPr>
                            <w:w w:val="99"/>
                            <w:sz w:val="16"/>
                          </w:rPr>
                          <w:t>o</w:t>
                        </w:r>
                        <w:r>
                          <w:rPr>
                            <w:spacing w:val="-4"/>
                            <w:sz w:val="16"/>
                          </w:rPr>
                          <w:t> </w:t>
                        </w:r>
                        <w:r>
                          <w:rPr>
                            <w:spacing w:val="-2"/>
                            <w:w w:val="101"/>
                            <w:sz w:val="16"/>
                          </w:rPr>
                          <w:t>de</w:t>
                        </w:r>
                      </w:p>
                      <w:p>
                        <w:pPr>
                          <w:pStyle w:val="TableParagraph"/>
                          <w:tabs>
                            <w:tab w:pos="2480" w:val="left" w:leader="none"/>
                          </w:tabs>
                          <w:spacing w:line="312" w:lineRule="auto" w:before="2"/>
                          <w:ind w:left="103" w:right="8" w:hanging="78"/>
                          <w:rPr>
                            <w:sz w:val="16"/>
                          </w:rPr>
                        </w:pPr>
                        <w:r>
                          <w:rPr>
                            <w:w w:val="100"/>
                            <w:sz w:val="16"/>
                            <w:u w:val="dotted" w:color="929292"/>
                          </w:rPr>
                          <w:t> </w:t>
                        </w:r>
                        <w:r>
                          <w:rPr>
                            <w:spacing w:val="-11"/>
                            <w:sz w:val="16"/>
                            <w:u w:val="dotted" w:color="929292"/>
                          </w:rPr>
                          <w:t> </w:t>
                        </w:r>
                        <w:r>
                          <w:rPr>
                            <w:sz w:val="16"/>
                            <w:u w:val="dotted" w:color="929292"/>
                          </w:rPr>
                          <w:t>Atlacomulco, S.A.</w:t>
                        </w:r>
                        <w:r>
                          <w:rPr>
                            <w:spacing w:val="-33"/>
                            <w:sz w:val="16"/>
                            <w:u w:val="dotted" w:color="929292"/>
                          </w:rPr>
                          <w:t> </w:t>
                        </w:r>
                        <w:r>
                          <w:rPr>
                            <w:sz w:val="16"/>
                            <w:u w:val="dotted" w:color="929292"/>
                          </w:rPr>
                          <w:t>De</w:t>
                        </w:r>
                        <w:r>
                          <w:rPr>
                            <w:spacing w:val="-17"/>
                            <w:sz w:val="16"/>
                            <w:u w:val="dotted" w:color="929292"/>
                          </w:rPr>
                          <w:t> </w:t>
                        </w:r>
                        <w:r>
                          <w:rPr>
                            <w:sz w:val="16"/>
                            <w:u w:val="dotted" w:color="929292"/>
                          </w:rPr>
                          <w:t>C.V.</w:t>
                          <w:tab/>
                        </w:r>
                        <w:r>
                          <w:rPr>
                            <w:sz w:val="16"/>
                          </w:rPr>
                          <w:t> GEO</w:t>
                        </w:r>
                        <w:r>
                          <w:rPr>
                            <w:spacing w:val="-20"/>
                            <w:sz w:val="16"/>
                          </w:rPr>
                          <w:t> </w:t>
                        </w:r>
                        <w:r>
                          <w:rPr>
                            <w:sz w:val="16"/>
                          </w:rPr>
                          <w:t>Edificaciones,</w:t>
                        </w:r>
                        <w:r>
                          <w:rPr>
                            <w:spacing w:val="-20"/>
                            <w:sz w:val="16"/>
                          </w:rPr>
                          <w:t> </w:t>
                        </w:r>
                        <w:r>
                          <w:rPr>
                            <w:sz w:val="16"/>
                          </w:rPr>
                          <w:t>S.A.</w:t>
                        </w:r>
                        <w:r>
                          <w:rPr>
                            <w:spacing w:val="-20"/>
                            <w:sz w:val="16"/>
                          </w:rPr>
                          <w:t> </w:t>
                        </w:r>
                        <w:r>
                          <w:rPr>
                            <w:sz w:val="16"/>
                          </w:rPr>
                          <w:t>de</w:t>
                        </w:r>
                        <w:r>
                          <w:rPr>
                            <w:spacing w:val="-20"/>
                            <w:sz w:val="16"/>
                          </w:rPr>
                          <w:t> </w:t>
                        </w:r>
                        <w:r>
                          <w:rPr>
                            <w:sz w:val="16"/>
                          </w:rPr>
                          <w:t>C.V.</w:t>
                        </w:r>
                      </w:p>
                      <w:p>
                        <w:pPr>
                          <w:pStyle w:val="TableParagraph"/>
                          <w:tabs>
                            <w:tab w:pos="2480" w:val="left" w:leader="none"/>
                          </w:tabs>
                          <w:spacing w:line="312" w:lineRule="auto" w:before="2"/>
                          <w:ind w:left="103" w:right="8" w:hanging="78"/>
                          <w:rPr>
                            <w:sz w:val="16"/>
                          </w:rPr>
                        </w:pPr>
                        <w:r>
                          <w:rPr>
                            <w:w w:val="100"/>
                            <w:sz w:val="16"/>
                            <w:u w:val="dotted" w:color="929292"/>
                          </w:rPr>
                          <w:t> </w:t>
                        </w:r>
                        <w:r>
                          <w:rPr>
                            <w:sz w:val="16"/>
                            <w:u w:val="dotted" w:color="929292"/>
                          </w:rPr>
                          <w:tab/>
                          <w:tab/>
                        </w:r>
                        <w:r>
                          <w:rPr>
                            <w:sz w:val="16"/>
                          </w:rPr>
                          <w:t> </w:t>
                        </w:r>
                        <w:r>
                          <w:rPr>
                            <w:spacing w:val="-2"/>
                            <w:w w:val="95"/>
                            <w:sz w:val="16"/>
                          </w:rPr>
                          <w:t>GE</w:t>
                        </w:r>
                        <w:r>
                          <w:rPr>
                            <w:w w:val="95"/>
                            <w:sz w:val="16"/>
                          </w:rPr>
                          <w:t>O</w:t>
                        </w:r>
                        <w:r>
                          <w:rPr>
                            <w:spacing w:val="-4"/>
                            <w:sz w:val="16"/>
                          </w:rPr>
                          <w:t> </w:t>
                        </w:r>
                        <w:r>
                          <w:rPr>
                            <w:spacing w:val="-2"/>
                            <w:w w:val="98"/>
                            <w:sz w:val="16"/>
                          </w:rPr>
                          <w:t>Edi</w:t>
                        </w:r>
                        <w:r>
                          <w:rPr>
                            <w:spacing w:val="-1"/>
                            <w:w w:val="103"/>
                            <w:sz w:val="16"/>
                          </w:rPr>
                          <w:t>fi</w:t>
                        </w:r>
                        <w:r>
                          <w:rPr>
                            <w:spacing w:val="-2"/>
                            <w:w w:val="101"/>
                            <w:sz w:val="16"/>
                          </w:rPr>
                          <w:t>caciones</w:t>
                        </w:r>
                        <w:r>
                          <w:rPr>
                            <w:w w:val="101"/>
                            <w:sz w:val="16"/>
                          </w:rPr>
                          <w:t>,</w:t>
                        </w:r>
                        <w:r>
                          <w:rPr>
                            <w:spacing w:val="-4"/>
                            <w:sz w:val="16"/>
                          </w:rPr>
                          <w:t> </w:t>
                        </w:r>
                        <w:r>
                          <w:rPr>
                            <w:spacing w:val="-2"/>
                            <w:w w:val="98"/>
                            <w:sz w:val="16"/>
                          </w:rPr>
                          <w:t>S.A</w:t>
                        </w:r>
                        <w:r>
                          <w:rPr>
                            <w:w w:val="98"/>
                            <w:sz w:val="16"/>
                          </w:rPr>
                          <w:t>.</w:t>
                        </w:r>
                        <w:r>
                          <w:rPr>
                            <w:spacing w:val="-4"/>
                            <w:sz w:val="16"/>
                          </w:rPr>
                          <w:t> </w:t>
                        </w:r>
                        <w:r>
                          <w:rPr>
                            <w:spacing w:val="-2"/>
                            <w:w w:val="101"/>
                            <w:sz w:val="16"/>
                          </w:rPr>
                          <w:t>d</w:t>
                        </w:r>
                        <w:r>
                          <w:rPr>
                            <w:w w:val="101"/>
                            <w:sz w:val="16"/>
                          </w:rPr>
                          <w:t>e</w:t>
                        </w:r>
                        <w:r>
                          <w:rPr>
                            <w:spacing w:val="-4"/>
                            <w:sz w:val="16"/>
                          </w:rPr>
                          <w:t> </w:t>
                        </w:r>
                        <w:r>
                          <w:rPr>
                            <w:spacing w:val="-2"/>
                            <w:w w:val="97"/>
                            <w:sz w:val="16"/>
                          </w:rPr>
                          <w:t>C.V.</w:t>
                        </w:r>
                      </w:p>
                      <w:p>
                        <w:pPr>
                          <w:pStyle w:val="TableParagraph"/>
                          <w:tabs>
                            <w:tab w:pos="2480" w:val="left" w:leader="none"/>
                          </w:tabs>
                          <w:spacing w:line="312" w:lineRule="auto" w:before="2"/>
                          <w:ind w:left="103" w:right="8" w:hanging="78"/>
                          <w:rPr>
                            <w:sz w:val="16"/>
                          </w:rPr>
                        </w:pPr>
                        <w:r>
                          <w:rPr>
                            <w:w w:val="100"/>
                            <w:sz w:val="16"/>
                            <w:u w:val="dotted" w:color="929292"/>
                          </w:rPr>
                          <w:t> </w:t>
                        </w:r>
                        <w:r>
                          <w:rPr>
                            <w:sz w:val="16"/>
                            <w:u w:val="dotted" w:color="929292"/>
                          </w:rPr>
                          <w:tab/>
                          <w:tab/>
                        </w:r>
                        <w:r>
                          <w:rPr>
                            <w:sz w:val="16"/>
                          </w:rPr>
                          <w:t> </w:t>
                        </w:r>
                        <w:r>
                          <w:rPr>
                            <w:spacing w:val="-2"/>
                            <w:w w:val="101"/>
                            <w:sz w:val="16"/>
                          </w:rPr>
                          <w:t>Proyecto</w:t>
                        </w:r>
                        <w:r>
                          <w:rPr>
                            <w:w w:val="101"/>
                            <w:sz w:val="16"/>
                          </w:rPr>
                          <w:t>s</w:t>
                        </w:r>
                        <w:r>
                          <w:rPr>
                            <w:spacing w:val="-4"/>
                            <w:sz w:val="16"/>
                          </w:rPr>
                          <w:t> </w:t>
                        </w:r>
                        <w:r>
                          <w:rPr>
                            <w:spacing w:val="-2"/>
                            <w:w w:val="100"/>
                            <w:sz w:val="16"/>
                          </w:rPr>
                          <w:t>Inmobiliario</w:t>
                        </w:r>
                        <w:r>
                          <w:rPr>
                            <w:w w:val="100"/>
                            <w:sz w:val="16"/>
                          </w:rPr>
                          <w:t>s</w:t>
                        </w:r>
                        <w:r>
                          <w:rPr>
                            <w:spacing w:val="-4"/>
                            <w:sz w:val="16"/>
                          </w:rPr>
                          <w:t> </w:t>
                        </w:r>
                        <w:r>
                          <w:rPr>
                            <w:spacing w:val="-2"/>
                            <w:w w:val="101"/>
                            <w:sz w:val="16"/>
                          </w:rPr>
                          <w:t>de</w:t>
                        </w:r>
                      </w:p>
                      <w:p>
                        <w:pPr>
                          <w:pStyle w:val="TableParagraph"/>
                          <w:tabs>
                            <w:tab w:pos="2480" w:val="left" w:leader="none"/>
                          </w:tabs>
                          <w:spacing w:line="312" w:lineRule="auto" w:before="2"/>
                          <w:ind w:left="103" w:right="8" w:hanging="78"/>
                          <w:rPr>
                            <w:sz w:val="16"/>
                          </w:rPr>
                        </w:pPr>
                        <w:r>
                          <w:rPr>
                            <w:w w:val="100"/>
                            <w:sz w:val="16"/>
                            <w:u w:val="dotted" w:color="929292"/>
                          </w:rPr>
                          <w:t> </w:t>
                        </w:r>
                        <w:r>
                          <w:rPr>
                            <w:spacing w:val="-11"/>
                            <w:sz w:val="16"/>
                            <w:u w:val="dotted" w:color="929292"/>
                          </w:rPr>
                          <w:t> </w:t>
                        </w:r>
                        <w:r>
                          <w:rPr>
                            <w:sz w:val="16"/>
                            <w:u w:val="dotted" w:color="929292"/>
                          </w:rPr>
                          <w:t>Culiacán,</w:t>
                        </w:r>
                        <w:r>
                          <w:rPr>
                            <w:spacing w:val="-19"/>
                            <w:sz w:val="16"/>
                            <w:u w:val="dotted" w:color="929292"/>
                          </w:rPr>
                          <w:t> </w:t>
                        </w:r>
                        <w:r>
                          <w:rPr>
                            <w:sz w:val="16"/>
                            <w:u w:val="dotted" w:color="929292"/>
                          </w:rPr>
                          <w:t>S.A.</w:t>
                        </w:r>
                        <w:r>
                          <w:rPr>
                            <w:spacing w:val="-19"/>
                            <w:sz w:val="16"/>
                            <w:u w:val="dotted" w:color="929292"/>
                          </w:rPr>
                          <w:t> </w:t>
                        </w:r>
                        <w:r>
                          <w:rPr>
                            <w:sz w:val="16"/>
                            <w:u w:val="dotted" w:color="929292"/>
                          </w:rPr>
                          <w:t>de</w:t>
                        </w:r>
                        <w:r>
                          <w:rPr>
                            <w:spacing w:val="-19"/>
                            <w:sz w:val="16"/>
                            <w:u w:val="dotted" w:color="929292"/>
                          </w:rPr>
                          <w:t> </w:t>
                        </w:r>
                        <w:r>
                          <w:rPr>
                            <w:sz w:val="16"/>
                            <w:u w:val="dotted" w:color="929292"/>
                          </w:rPr>
                          <w:t>C.V.</w:t>
                          <w:tab/>
                        </w:r>
                        <w:r>
                          <w:rPr>
                            <w:sz w:val="16"/>
                          </w:rPr>
                          <w:t> Promoción</w:t>
                        </w:r>
                        <w:r>
                          <w:rPr>
                            <w:spacing w:val="-18"/>
                            <w:sz w:val="16"/>
                          </w:rPr>
                          <w:t> </w:t>
                        </w:r>
                        <w:r>
                          <w:rPr>
                            <w:sz w:val="16"/>
                          </w:rPr>
                          <w:t>y</w:t>
                        </w:r>
                        <w:r>
                          <w:rPr>
                            <w:spacing w:val="-18"/>
                            <w:sz w:val="16"/>
                          </w:rPr>
                          <w:t> </w:t>
                        </w:r>
                        <w:r>
                          <w:rPr>
                            <w:sz w:val="16"/>
                          </w:rPr>
                          <w:t>Desarrollos</w:t>
                        </w:r>
                        <w:r>
                          <w:rPr>
                            <w:spacing w:val="-18"/>
                            <w:sz w:val="16"/>
                          </w:rPr>
                          <w:t> </w:t>
                        </w:r>
                        <w:r>
                          <w:rPr>
                            <w:sz w:val="16"/>
                          </w:rPr>
                          <w:t>URBI,</w:t>
                        </w:r>
                      </w:p>
                      <w:p>
                        <w:pPr>
                          <w:pStyle w:val="TableParagraph"/>
                          <w:tabs>
                            <w:tab w:pos="2480" w:val="left" w:leader="none"/>
                          </w:tabs>
                          <w:spacing w:before="2"/>
                          <w:ind w:left="25"/>
                          <w:rPr>
                            <w:sz w:val="16"/>
                          </w:rPr>
                        </w:pPr>
                        <w:r>
                          <w:rPr>
                            <w:w w:val="100"/>
                            <w:sz w:val="16"/>
                            <w:u w:val="dotted" w:color="929292"/>
                          </w:rPr>
                          <w:t> </w:t>
                        </w:r>
                        <w:r>
                          <w:rPr>
                            <w:spacing w:val="-11"/>
                            <w:sz w:val="16"/>
                            <w:u w:val="dotted" w:color="929292"/>
                          </w:rPr>
                          <w:t> </w:t>
                        </w:r>
                        <w:r>
                          <w:rPr>
                            <w:sz w:val="16"/>
                            <w:u w:val="dotted" w:color="929292"/>
                          </w:rPr>
                          <w:t>S.A. de</w:t>
                        </w:r>
                        <w:r>
                          <w:rPr>
                            <w:spacing w:val="-35"/>
                            <w:sz w:val="16"/>
                            <w:u w:val="dotted" w:color="929292"/>
                          </w:rPr>
                          <w:t> </w:t>
                        </w:r>
                        <w:r>
                          <w:rPr>
                            <w:sz w:val="16"/>
                            <w:u w:val="dotted" w:color="929292"/>
                          </w:rPr>
                          <w:t>C.V.</w:t>
                          <w:tab/>
                        </w:r>
                      </w:p>
                      <w:p>
                        <w:pPr>
                          <w:pStyle w:val="TableParagraph"/>
                          <w:rPr>
                            <w:sz w:val="16"/>
                          </w:rPr>
                        </w:pPr>
                      </w:p>
                      <w:p>
                        <w:pPr>
                          <w:pStyle w:val="TableParagraph"/>
                          <w:spacing w:line="312" w:lineRule="auto" w:before="112"/>
                          <w:ind w:left="103" w:right="322"/>
                          <w:rPr>
                            <w:sz w:val="16"/>
                          </w:rPr>
                        </w:pPr>
                        <w:r>
                          <w:rPr>
                            <w:sz w:val="16"/>
                          </w:rPr>
                          <w:t>Inmobiliaria HATTIE, S.A. de C.V.</w:t>
                        </w:r>
                      </w:p>
                      <w:p>
                        <w:pPr>
                          <w:pStyle w:val="TableParagraph"/>
                          <w:rPr>
                            <w:sz w:val="21"/>
                          </w:rPr>
                        </w:pPr>
                      </w:p>
                      <w:p>
                        <w:pPr>
                          <w:pStyle w:val="TableParagraph"/>
                          <w:tabs>
                            <w:tab w:pos="2480" w:val="left" w:leader="none"/>
                          </w:tabs>
                          <w:spacing w:line="312" w:lineRule="auto" w:before="1"/>
                          <w:ind w:left="103" w:right="8" w:hanging="78"/>
                          <w:rPr>
                            <w:sz w:val="16"/>
                          </w:rPr>
                        </w:pPr>
                        <w:r>
                          <w:rPr>
                            <w:w w:val="100"/>
                            <w:sz w:val="16"/>
                            <w:u w:val="dotted" w:color="929292"/>
                          </w:rPr>
                          <w:t> </w:t>
                        </w:r>
                        <w:r>
                          <w:rPr>
                            <w:sz w:val="16"/>
                            <w:u w:val="dotted" w:color="929292"/>
                          </w:rPr>
                          <w:tab/>
                          <w:tab/>
                        </w:r>
                        <w:r>
                          <w:rPr>
                            <w:sz w:val="16"/>
                          </w:rPr>
                          <w:t> </w:t>
                        </w:r>
                        <w:r>
                          <w:rPr>
                            <w:spacing w:val="-2"/>
                            <w:w w:val="95"/>
                            <w:sz w:val="16"/>
                          </w:rPr>
                          <w:t>GE</w:t>
                        </w:r>
                        <w:r>
                          <w:rPr>
                            <w:w w:val="95"/>
                            <w:sz w:val="16"/>
                          </w:rPr>
                          <w:t>O</w:t>
                        </w:r>
                        <w:r>
                          <w:rPr>
                            <w:spacing w:val="-4"/>
                            <w:sz w:val="16"/>
                          </w:rPr>
                          <w:t> </w:t>
                        </w:r>
                        <w:r>
                          <w:rPr>
                            <w:spacing w:val="-2"/>
                            <w:w w:val="98"/>
                            <w:sz w:val="16"/>
                          </w:rPr>
                          <w:t>Edi</w:t>
                        </w:r>
                        <w:r>
                          <w:rPr>
                            <w:spacing w:val="-1"/>
                            <w:w w:val="103"/>
                            <w:sz w:val="16"/>
                          </w:rPr>
                          <w:t>fi</w:t>
                        </w:r>
                        <w:r>
                          <w:rPr>
                            <w:spacing w:val="-2"/>
                            <w:w w:val="101"/>
                            <w:sz w:val="16"/>
                          </w:rPr>
                          <w:t>cacione</w:t>
                        </w:r>
                        <w:r>
                          <w:rPr>
                            <w:w w:val="101"/>
                            <w:sz w:val="16"/>
                          </w:rPr>
                          <w:t>s</w:t>
                        </w:r>
                        <w:r>
                          <w:rPr>
                            <w:spacing w:val="-4"/>
                            <w:sz w:val="16"/>
                          </w:rPr>
                          <w:t> </w:t>
                        </w:r>
                        <w:r>
                          <w:rPr>
                            <w:spacing w:val="-2"/>
                            <w:w w:val="98"/>
                            <w:sz w:val="16"/>
                          </w:rPr>
                          <w:t>S.A</w:t>
                        </w:r>
                        <w:r>
                          <w:rPr>
                            <w:w w:val="98"/>
                            <w:sz w:val="16"/>
                          </w:rPr>
                          <w:t>.</w:t>
                        </w:r>
                        <w:r>
                          <w:rPr>
                            <w:spacing w:val="-4"/>
                            <w:sz w:val="16"/>
                          </w:rPr>
                          <w:t> </w:t>
                        </w:r>
                        <w:r>
                          <w:rPr>
                            <w:spacing w:val="-2"/>
                            <w:w w:val="101"/>
                            <w:sz w:val="16"/>
                          </w:rPr>
                          <w:t>d</w:t>
                        </w:r>
                        <w:r>
                          <w:rPr>
                            <w:w w:val="101"/>
                            <w:sz w:val="16"/>
                          </w:rPr>
                          <w:t>e</w:t>
                        </w:r>
                        <w:r>
                          <w:rPr>
                            <w:spacing w:val="-4"/>
                            <w:sz w:val="16"/>
                          </w:rPr>
                          <w:t> </w:t>
                        </w:r>
                        <w:r>
                          <w:rPr>
                            <w:spacing w:val="-2"/>
                            <w:w w:val="97"/>
                            <w:sz w:val="16"/>
                          </w:rPr>
                          <w:t>C.V.</w:t>
                        </w:r>
                      </w:p>
                      <w:p>
                        <w:pPr>
                          <w:pStyle w:val="TableParagraph"/>
                          <w:tabs>
                            <w:tab w:pos="2480" w:val="left" w:leader="none"/>
                          </w:tabs>
                          <w:spacing w:before="2"/>
                          <w:ind w:left="25"/>
                          <w:rPr>
                            <w:sz w:val="16"/>
                          </w:rPr>
                        </w:pPr>
                        <w:r>
                          <w:rPr>
                            <w:w w:val="100"/>
                            <w:sz w:val="16"/>
                            <w:u w:val="dotted" w:color="929292"/>
                          </w:rPr>
                          <w:t> </w:t>
                        </w:r>
                        <w:r>
                          <w:rPr>
                            <w:sz w:val="16"/>
                            <w:u w:val="dotted" w:color="929292"/>
                          </w:rPr>
                          <w:tab/>
                        </w:r>
                      </w:p>
                      <w:p>
                        <w:pPr>
                          <w:pStyle w:val="TableParagraph"/>
                          <w:rPr>
                            <w:sz w:val="16"/>
                          </w:rPr>
                        </w:pPr>
                      </w:p>
                      <w:p>
                        <w:pPr>
                          <w:pStyle w:val="TableParagraph"/>
                          <w:spacing w:before="112"/>
                          <w:ind w:left="103"/>
                          <w:rPr>
                            <w:sz w:val="16"/>
                          </w:rPr>
                        </w:pPr>
                        <w:r>
                          <w:rPr>
                            <w:sz w:val="16"/>
                          </w:rPr>
                          <w:t>Consorcio Inmobiliario ZERO,</w:t>
                        </w:r>
                      </w:p>
                      <w:p>
                        <w:pPr>
                          <w:pStyle w:val="TableParagraph"/>
                          <w:spacing w:before="56"/>
                          <w:ind w:left="103"/>
                          <w:rPr>
                            <w:sz w:val="16"/>
                          </w:rPr>
                        </w:pPr>
                        <w:r>
                          <w:rPr>
                            <w:sz w:val="16"/>
                          </w:rPr>
                          <w:t>S.A. de C.V.</w:t>
                        </w:r>
                      </w:p>
                      <w:p>
                        <w:pPr>
                          <w:pStyle w:val="TableParagraph"/>
                          <w:rPr>
                            <w:sz w:val="16"/>
                          </w:rPr>
                        </w:pPr>
                      </w:p>
                      <w:p>
                        <w:pPr>
                          <w:pStyle w:val="TableParagraph"/>
                          <w:tabs>
                            <w:tab w:pos="2480" w:val="left" w:leader="none"/>
                          </w:tabs>
                          <w:spacing w:before="112"/>
                          <w:ind w:left="25"/>
                          <w:rPr>
                            <w:sz w:val="16"/>
                          </w:rPr>
                        </w:pPr>
                        <w:r>
                          <w:rPr>
                            <w:w w:val="100"/>
                            <w:sz w:val="16"/>
                            <w:u w:val="dotted" w:color="929292"/>
                          </w:rPr>
                          <w:t> </w:t>
                        </w:r>
                        <w:r>
                          <w:rPr>
                            <w:sz w:val="16"/>
                            <w:u w:val="dotted" w:color="929292"/>
                          </w:rPr>
                          <w:tab/>
                        </w:r>
                      </w:p>
                    </w:tc>
                    <w:tc>
                      <w:tcPr>
                        <w:tcW w:w="1633" w:type="dxa"/>
                        <w:vMerge w:val="restart"/>
                        <w:tcBorders>
                          <w:left w:val="single" w:sz="4" w:space="0" w:color="929292"/>
                          <w:right w:val="single" w:sz="4" w:space="0" w:color="929292"/>
                        </w:tcBorders>
                      </w:tcPr>
                      <w:p>
                        <w:pPr>
                          <w:pStyle w:val="TableParagraph"/>
                          <w:spacing w:before="72"/>
                          <w:ind w:left="103"/>
                          <w:rPr>
                            <w:sz w:val="16"/>
                          </w:rPr>
                        </w:pPr>
                        <w:r>
                          <w:rPr>
                            <w:sz w:val="16"/>
                          </w:rPr>
                          <w:t>Residencial</w:t>
                        </w:r>
                      </w:p>
                      <w:p>
                        <w:pPr>
                          <w:pStyle w:val="TableParagraph"/>
                          <w:tabs>
                            <w:tab w:pos="1612" w:val="left" w:leader="none"/>
                          </w:tabs>
                          <w:spacing w:line="312" w:lineRule="auto" w:before="56"/>
                          <w:ind w:left="103" w:right="8" w:hanging="78"/>
                          <w:rPr>
                            <w:sz w:val="16"/>
                          </w:rPr>
                        </w:pPr>
                        <w:r>
                          <w:rPr>
                            <w:w w:val="100"/>
                            <w:sz w:val="16"/>
                            <w:u w:val="dotted" w:color="929292"/>
                          </w:rPr>
                          <w:t> </w:t>
                        </w:r>
                        <w:r>
                          <w:rPr>
                            <w:sz w:val="16"/>
                            <w:u w:val="dotted" w:color="929292"/>
                          </w:rPr>
                          <w:tab/>
                          <w:tab/>
                        </w:r>
                        <w:r>
                          <w:rPr>
                            <w:sz w:val="16"/>
                          </w:rPr>
                          <w:t> </w:t>
                        </w:r>
                        <w:r>
                          <w:rPr>
                            <w:spacing w:val="-2"/>
                            <w:w w:val="104"/>
                            <w:sz w:val="16"/>
                          </w:rPr>
                          <w:t>Mixto</w:t>
                        </w:r>
                        <w:r>
                          <w:rPr>
                            <w:w w:val="104"/>
                            <w:sz w:val="16"/>
                          </w:rPr>
                          <w:t>:</w:t>
                        </w:r>
                        <w:r>
                          <w:rPr>
                            <w:spacing w:val="-4"/>
                            <w:sz w:val="16"/>
                          </w:rPr>
                          <w:t> </w:t>
                        </w:r>
                        <w:r>
                          <w:rPr>
                            <w:spacing w:val="-2"/>
                            <w:w w:val="99"/>
                            <w:sz w:val="16"/>
                          </w:rPr>
                          <w:t>(Medi</w:t>
                        </w:r>
                        <w:r>
                          <w:rPr>
                            <w:w w:val="99"/>
                            <w:sz w:val="16"/>
                          </w:rPr>
                          <w:t>o</w:t>
                        </w:r>
                        <w:r>
                          <w:rPr>
                            <w:spacing w:val="-4"/>
                            <w:sz w:val="16"/>
                          </w:rPr>
                          <w:t> </w:t>
                        </w:r>
                        <w:r>
                          <w:rPr>
                            <w:spacing w:val="-2"/>
                            <w:w w:val="99"/>
                            <w:sz w:val="16"/>
                          </w:rPr>
                          <w:t>3,112</w:t>
                        </w:r>
                      </w:p>
                      <w:p>
                        <w:pPr>
                          <w:pStyle w:val="TableParagraph"/>
                          <w:tabs>
                            <w:tab w:pos="1612" w:val="left" w:leader="none"/>
                          </w:tabs>
                          <w:spacing w:line="312" w:lineRule="auto" w:before="2"/>
                          <w:ind w:left="103" w:right="8" w:hanging="78"/>
                          <w:rPr>
                            <w:sz w:val="16"/>
                          </w:rPr>
                        </w:pPr>
                        <w:r>
                          <w:rPr>
                            <w:w w:val="100"/>
                            <w:sz w:val="16"/>
                            <w:u w:val="dotted" w:color="929292"/>
                          </w:rPr>
                          <w:t> </w:t>
                        </w:r>
                        <w:r>
                          <w:rPr>
                            <w:spacing w:val="-12"/>
                            <w:sz w:val="16"/>
                            <w:u w:val="dotted" w:color="929292"/>
                          </w:rPr>
                          <w:t> </w:t>
                        </w:r>
                        <w:r>
                          <w:rPr>
                            <w:sz w:val="16"/>
                            <w:u w:val="dotted" w:color="929292"/>
                          </w:rPr>
                          <w:t>Y</w:t>
                        </w:r>
                        <w:r>
                          <w:rPr>
                            <w:spacing w:val="-19"/>
                            <w:sz w:val="16"/>
                            <w:u w:val="dotted" w:color="929292"/>
                          </w:rPr>
                          <w:t> </w:t>
                        </w:r>
                        <w:r>
                          <w:rPr>
                            <w:sz w:val="16"/>
                            <w:u w:val="dotted" w:color="929292"/>
                          </w:rPr>
                          <w:t>Residencial</w:t>
                        </w:r>
                        <w:r>
                          <w:rPr>
                            <w:spacing w:val="-19"/>
                            <w:sz w:val="16"/>
                            <w:u w:val="dotted" w:color="929292"/>
                          </w:rPr>
                          <w:t> </w:t>
                        </w:r>
                        <w:r>
                          <w:rPr>
                            <w:sz w:val="16"/>
                            <w:u w:val="dotted" w:color="929292"/>
                          </w:rPr>
                          <w:t>93</w:t>
                          <w:tab/>
                        </w:r>
                        <w:r>
                          <w:rPr>
                            <w:sz w:val="16"/>
                          </w:rPr>
                          <w:t> Medio</w:t>
                        </w:r>
                      </w:p>
                      <w:p>
                        <w:pPr>
                          <w:pStyle w:val="TableParagraph"/>
                          <w:tabs>
                            <w:tab w:pos="1612" w:val="left" w:leader="none"/>
                          </w:tabs>
                          <w:spacing w:line="312" w:lineRule="auto" w:before="2"/>
                          <w:ind w:left="103" w:right="8" w:hanging="78"/>
                          <w:rPr>
                            <w:sz w:val="16"/>
                          </w:rPr>
                        </w:pPr>
                        <w:r>
                          <w:rPr>
                            <w:w w:val="100"/>
                            <w:sz w:val="16"/>
                            <w:u w:val="dotted" w:color="929292"/>
                          </w:rPr>
                          <w:t> </w:t>
                        </w:r>
                        <w:r>
                          <w:rPr>
                            <w:sz w:val="16"/>
                            <w:u w:val="dotted" w:color="929292"/>
                          </w:rPr>
                          <w:tab/>
                          <w:tab/>
                        </w:r>
                        <w:r>
                          <w:rPr>
                            <w:sz w:val="16"/>
                          </w:rPr>
                          <w:t> </w:t>
                        </w:r>
                        <w:r>
                          <w:rPr>
                            <w:spacing w:val="-2"/>
                            <w:w w:val="100"/>
                            <w:sz w:val="16"/>
                          </w:rPr>
                          <w:t>Tip</w:t>
                        </w:r>
                        <w:r>
                          <w:rPr>
                            <w:w w:val="100"/>
                            <w:sz w:val="16"/>
                          </w:rPr>
                          <w:t>o</w:t>
                        </w:r>
                        <w:r>
                          <w:rPr>
                            <w:spacing w:val="-4"/>
                            <w:sz w:val="16"/>
                          </w:rPr>
                          <w:t> </w:t>
                        </w:r>
                        <w:r>
                          <w:rPr>
                            <w:spacing w:val="-2"/>
                            <w:w w:val="101"/>
                            <w:sz w:val="16"/>
                          </w:rPr>
                          <w:t>Habitacional</w:t>
                        </w:r>
                      </w:p>
                      <w:p>
                        <w:pPr>
                          <w:pStyle w:val="TableParagraph"/>
                          <w:tabs>
                            <w:tab w:pos="1612" w:val="left" w:leader="none"/>
                          </w:tabs>
                          <w:spacing w:line="312" w:lineRule="auto" w:before="2"/>
                          <w:ind w:left="103" w:right="8" w:hanging="78"/>
                          <w:rPr>
                            <w:sz w:val="16"/>
                          </w:rPr>
                        </w:pPr>
                        <w:r>
                          <w:rPr>
                            <w:w w:val="100"/>
                            <w:sz w:val="16"/>
                            <w:u w:val="dotted" w:color="929292"/>
                          </w:rPr>
                          <w:t> </w:t>
                        </w:r>
                        <w:r>
                          <w:rPr>
                            <w:spacing w:val="-12"/>
                            <w:sz w:val="16"/>
                            <w:u w:val="dotted" w:color="929292"/>
                          </w:rPr>
                          <w:t> </w:t>
                        </w:r>
                        <w:r>
                          <w:rPr>
                            <w:sz w:val="16"/>
                            <w:u w:val="dotted" w:color="929292"/>
                          </w:rPr>
                          <w:t>Medio</w:t>
                          <w:tab/>
                        </w:r>
                        <w:r>
                          <w:rPr>
                            <w:sz w:val="16"/>
                          </w:rPr>
                          <w:t> Habitacional</w:t>
                        </w:r>
                        <w:r>
                          <w:rPr>
                            <w:spacing w:val="-16"/>
                            <w:sz w:val="16"/>
                          </w:rPr>
                          <w:t> </w:t>
                        </w:r>
                        <w:r>
                          <w:rPr>
                            <w:sz w:val="16"/>
                          </w:rPr>
                          <w:t>de</w:t>
                        </w:r>
                      </w:p>
                      <w:p>
                        <w:pPr>
                          <w:pStyle w:val="TableParagraph"/>
                          <w:tabs>
                            <w:tab w:pos="1612" w:val="left" w:leader="none"/>
                          </w:tabs>
                          <w:spacing w:line="312" w:lineRule="auto" w:before="2"/>
                          <w:ind w:left="103" w:right="8" w:hanging="78"/>
                          <w:rPr>
                            <w:sz w:val="16"/>
                          </w:rPr>
                        </w:pPr>
                        <w:r>
                          <w:rPr>
                            <w:w w:val="100"/>
                            <w:sz w:val="16"/>
                            <w:u w:val="dotted" w:color="929292"/>
                          </w:rPr>
                          <w:t> </w:t>
                        </w:r>
                        <w:r>
                          <w:rPr>
                            <w:spacing w:val="-12"/>
                            <w:sz w:val="16"/>
                            <w:u w:val="dotted" w:color="929292"/>
                          </w:rPr>
                          <w:t> </w:t>
                        </w:r>
                        <w:r>
                          <w:rPr>
                            <w:sz w:val="16"/>
                            <w:u w:val="dotted" w:color="929292"/>
                          </w:rPr>
                          <w:t>Interés</w:t>
                        </w:r>
                        <w:r>
                          <w:rPr>
                            <w:spacing w:val="-27"/>
                            <w:sz w:val="16"/>
                            <w:u w:val="dotted" w:color="929292"/>
                          </w:rPr>
                          <w:t> </w:t>
                        </w:r>
                        <w:r>
                          <w:rPr>
                            <w:sz w:val="16"/>
                            <w:u w:val="dotted" w:color="929292"/>
                          </w:rPr>
                          <w:t>Social</w:t>
                          <w:tab/>
                        </w:r>
                        <w:r>
                          <w:rPr>
                            <w:sz w:val="16"/>
                          </w:rPr>
                          <w:t> </w:t>
                        </w:r>
                        <w:r>
                          <w:rPr>
                            <w:spacing w:val="-1"/>
                            <w:sz w:val="16"/>
                          </w:rPr>
                          <w:t>Habitacional </w:t>
                        </w:r>
                        <w:r>
                          <w:rPr>
                            <w:sz w:val="16"/>
                          </w:rPr>
                          <w:t>Medio</w:t>
                        </w:r>
                      </w:p>
                      <w:p>
                        <w:pPr>
                          <w:pStyle w:val="TableParagraph"/>
                          <w:tabs>
                            <w:tab w:pos="1612" w:val="left" w:leader="none"/>
                          </w:tabs>
                          <w:spacing w:line="312" w:lineRule="auto" w:before="2"/>
                          <w:ind w:left="103" w:right="8" w:hanging="78"/>
                          <w:rPr>
                            <w:sz w:val="16"/>
                          </w:rPr>
                        </w:pPr>
                        <w:r>
                          <w:rPr>
                            <w:w w:val="100"/>
                            <w:sz w:val="16"/>
                            <w:u w:val="dotted" w:color="929292"/>
                          </w:rPr>
                          <w:t> </w:t>
                        </w:r>
                        <w:r>
                          <w:rPr>
                            <w:sz w:val="16"/>
                            <w:u w:val="dotted" w:color="929292"/>
                          </w:rPr>
                          <w:tab/>
                          <w:tab/>
                        </w:r>
                        <w:r>
                          <w:rPr>
                            <w:sz w:val="16"/>
                          </w:rPr>
                          <w:t> </w:t>
                        </w:r>
                        <w:r>
                          <w:rPr>
                            <w:spacing w:val="-2"/>
                            <w:w w:val="101"/>
                            <w:sz w:val="16"/>
                          </w:rPr>
                          <w:t>Habitaciona</w:t>
                        </w:r>
                        <w:r>
                          <w:rPr>
                            <w:w w:val="101"/>
                            <w:sz w:val="16"/>
                          </w:rPr>
                          <w:t>l</w:t>
                        </w:r>
                        <w:r>
                          <w:rPr>
                            <w:spacing w:val="-4"/>
                            <w:sz w:val="16"/>
                          </w:rPr>
                          <w:t> </w:t>
                        </w:r>
                        <w:r>
                          <w:rPr>
                            <w:spacing w:val="-2"/>
                            <w:w w:val="100"/>
                            <w:sz w:val="16"/>
                          </w:rPr>
                          <w:t>Tipo</w:t>
                        </w:r>
                      </w:p>
                      <w:p>
                        <w:pPr>
                          <w:pStyle w:val="TableParagraph"/>
                          <w:tabs>
                            <w:tab w:pos="1612" w:val="left" w:leader="none"/>
                          </w:tabs>
                          <w:spacing w:line="312" w:lineRule="auto" w:before="2"/>
                          <w:ind w:left="103" w:right="8" w:hanging="78"/>
                          <w:rPr>
                            <w:sz w:val="16"/>
                          </w:rPr>
                        </w:pPr>
                        <w:r>
                          <w:rPr>
                            <w:w w:val="100"/>
                            <w:sz w:val="16"/>
                            <w:u w:val="dotted" w:color="929292"/>
                          </w:rPr>
                          <w:t> </w:t>
                        </w:r>
                        <w:r>
                          <w:rPr>
                            <w:spacing w:val="-12"/>
                            <w:sz w:val="16"/>
                            <w:u w:val="dotted" w:color="929292"/>
                          </w:rPr>
                          <w:t> </w:t>
                        </w:r>
                        <w:r>
                          <w:rPr>
                            <w:sz w:val="16"/>
                            <w:u w:val="dotted" w:color="929292"/>
                          </w:rPr>
                          <w:t>Medio</w:t>
                          <w:tab/>
                        </w:r>
                        <w:r>
                          <w:rPr>
                            <w:sz w:val="16"/>
                          </w:rPr>
                          <w:t> Tipo Mixto</w:t>
                        </w:r>
                        <w:r>
                          <w:rPr>
                            <w:spacing w:val="-2"/>
                            <w:w w:val="104"/>
                            <w:sz w:val="16"/>
                          </w:rPr>
                          <w:t> </w:t>
                        </w:r>
                        <w:r>
                          <w:rPr>
                            <w:sz w:val="16"/>
                          </w:rPr>
                          <w:t>(Habitacional Residencial</w:t>
                        </w:r>
                      </w:p>
                      <w:p>
                        <w:pPr>
                          <w:pStyle w:val="TableParagraph"/>
                          <w:spacing w:before="2"/>
                          <w:ind w:left="103"/>
                          <w:rPr>
                            <w:sz w:val="16"/>
                          </w:rPr>
                        </w:pPr>
                        <w:r>
                          <w:rPr>
                            <w:sz w:val="16"/>
                          </w:rPr>
                          <w:t>con Comercio y</w:t>
                        </w:r>
                      </w:p>
                      <w:p>
                        <w:pPr>
                          <w:pStyle w:val="TableParagraph"/>
                          <w:tabs>
                            <w:tab w:pos="1612" w:val="left" w:leader="none"/>
                          </w:tabs>
                          <w:spacing w:line="312" w:lineRule="auto" w:before="56"/>
                          <w:ind w:left="103" w:right="8" w:hanging="78"/>
                          <w:rPr>
                            <w:sz w:val="16"/>
                          </w:rPr>
                        </w:pPr>
                        <w:r>
                          <w:rPr>
                            <w:w w:val="100"/>
                            <w:sz w:val="16"/>
                            <w:u w:val="dotted" w:color="929292"/>
                          </w:rPr>
                          <w:t> </w:t>
                        </w:r>
                        <w:r>
                          <w:rPr>
                            <w:spacing w:val="-12"/>
                            <w:sz w:val="16"/>
                            <w:u w:val="dotted" w:color="929292"/>
                          </w:rPr>
                          <w:t> </w:t>
                        </w:r>
                        <w:r>
                          <w:rPr>
                            <w:sz w:val="16"/>
                            <w:u w:val="dotted" w:color="929292"/>
                          </w:rPr>
                          <w:t>Servicios)</w:t>
                          <w:tab/>
                        </w:r>
                        <w:r>
                          <w:rPr>
                            <w:sz w:val="16"/>
                          </w:rPr>
                          <w:t> </w:t>
                        </w:r>
                        <w:r>
                          <w:rPr>
                            <w:spacing w:val="-1"/>
                            <w:sz w:val="16"/>
                          </w:rPr>
                          <w:t>Habitacional</w:t>
                        </w:r>
                        <w:r>
                          <w:rPr>
                            <w:spacing w:val="-8"/>
                            <w:sz w:val="16"/>
                          </w:rPr>
                          <w:t> </w:t>
                        </w:r>
                        <w:r>
                          <w:rPr>
                            <w:sz w:val="16"/>
                          </w:rPr>
                          <w:t>Tipo</w:t>
                        </w:r>
                      </w:p>
                      <w:p>
                        <w:pPr>
                          <w:pStyle w:val="TableParagraph"/>
                          <w:tabs>
                            <w:tab w:pos="1612" w:val="left" w:leader="none"/>
                          </w:tabs>
                          <w:spacing w:line="312" w:lineRule="auto" w:before="2"/>
                          <w:ind w:left="103" w:right="8" w:hanging="78"/>
                          <w:rPr>
                            <w:sz w:val="16"/>
                          </w:rPr>
                        </w:pPr>
                        <w:r>
                          <w:rPr>
                            <w:w w:val="100"/>
                            <w:sz w:val="16"/>
                            <w:u w:val="dotted" w:color="929292"/>
                          </w:rPr>
                          <w:t> </w:t>
                        </w:r>
                        <w:r>
                          <w:rPr>
                            <w:spacing w:val="-12"/>
                            <w:sz w:val="16"/>
                            <w:u w:val="dotted" w:color="929292"/>
                          </w:rPr>
                          <w:t> </w:t>
                        </w:r>
                        <w:r>
                          <w:rPr>
                            <w:sz w:val="16"/>
                            <w:u w:val="dotted" w:color="929292"/>
                          </w:rPr>
                          <w:t>Medio</w:t>
                          <w:tab/>
                        </w:r>
                        <w:r>
                          <w:rPr>
                            <w:sz w:val="16"/>
                          </w:rPr>
                          <w:t> Tipo Mixto</w:t>
                        </w:r>
                        <w:r>
                          <w:rPr>
                            <w:spacing w:val="-2"/>
                            <w:w w:val="104"/>
                            <w:sz w:val="16"/>
                          </w:rPr>
                          <w:t> </w:t>
                        </w:r>
                        <w:r>
                          <w:rPr>
                            <w:sz w:val="16"/>
                          </w:rPr>
                          <w:t>(Habitacional Residencial</w:t>
                        </w:r>
                      </w:p>
                      <w:p>
                        <w:pPr>
                          <w:pStyle w:val="TableParagraph"/>
                          <w:spacing w:before="2"/>
                          <w:ind w:left="103"/>
                          <w:rPr>
                            <w:sz w:val="16"/>
                          </w:rPr>
                        </w:pPr>
                        <w:r>
                          <w:rPr>
                            <w:sz w:val="16"/>
                          </w:rPr>
                          <w:t>con Comercio y</w:t>
                        </w:r>
                      </w:p>
                      <w:p>
                        <w:pPr>
                          <w:pStyle w:val="TableParagraph"/>
                          <w:tabs>
                            <w:tab w:pos="1612" w:val="left" w:leader="none"/>
                          </w:tabs>
                          <w:spacing w:before="56"/>
                          <w:ind w:left="25"/>
                          <w:rPr>
                            <w:sz w:val="16"/>
                          </w:rPr>
                        </w:pPr>
                        <w:r>
                          <w:rPr>
                            <w:w w:val="100"/>
                            <w:sz w:val="16"/>
                            <w:u w:val="dotted" w:color="929292"/>
                          </w:rPr>
                          <w:t> </w:t>
                        </w:r>
                        <w:r>
                          <w:rPr>
                            <w:spacing w:val="-12"/>
                            <w:sz w:val="16"/>
                            <w:u w:val="dotted" w:color="929292"/>
                          </w:rPr>
                          <w:t> </w:t>
                        </w:r>
                        <w:r>
                          <w:rPr>
                            <w:sz w:val="16"/>
                            <w:u w:val="dotted" w:color="929292"/>
                          </w:rPr>
                          <w:t>Servicios)</w:t>
                          <w:tab/>
                        </w:r>
                      </w:p>
                    </w:tc>
                    <w:tc>
                      <w:tcPr>
                        <w:tcW w:w="951" w:type="dxa"/>
                        <w:tcBorders>
                          <w:left w:val="single" w:sz="4" w:space="0" w:color="929292"/>
                          <w:right w:val="single" w:sz="4" w:space="0" w:color="929292"/>
                        </w:tcBorders>
                      </w:tcPr>
                      <w:p>
                        <w:pPr>
                          <w:pStyle w:val="TableParagraph"/>
                          <w:spacing w:before="72"/>
                          <w:ind w:left="102" w:right="159"/>
                          <w:rPr>
                            <w:sz w:val="16"/>
                          </w:rPr>
                        </w:pPr>
                        <w:r>
                          <w:rPr>
                            <w:sz w:val="16"/>
                          </w:rPr>
                          <w:t>125</w:t>
                        </w:r>
                      </w:p>
                    </w:tc>
                    <w:tc>
                      <w:tcPr>
                        <w:tcW w:w="1115" w:type="dxa"/>
                        <w:tcBorders>
                          <w:left w:val="single" w:sz="4" w:space="0" w:color="929292"/>
                        </w:tcBorders>
                      </w:tcPr>
                      <w:p>
                        <w:pPr>
                          <w:pStyle w:val="TableParagraph"/>
                          <w:spacing w:before="72"/>
                          <w:ind w:left="102"/>
                          <w:rPr>
                            <w:sz w:val="16"/>
                          </w:rPr>
                        </w:pPr>
                        <w:r>
                          <w:rPr>
                            <w:sz w:val="16"/>
                          </w:rPr>
                          <w:t>S/D</w:t>
                        </w:r>
                      </w:p>
                    </w:tc>
                  </w:tr>
                  <w:tr>
                    <w:trPr>
                      <w:trHeight w:val="240" w:hRule="exact"/>
                    </w:trPr>
                    <w:tc>
                      <w:tcPr>
                        <w:tcW w:w="1511" w:type="dxa"/>
                        <w:tcBorders>
                          <w:right w:val="single" w:sz="4" w:space="0" w:color="929292"/>
                        </w:tcBorders>
                      </w:tcPr>
                      <w:p>
                        <w:pPr>
                          <w:pStyle w:val="TableParagraph"/>
                          <w:tabs>
                            <w:tab w:pos="1495" w:val="left" w:leader="none"/>
                          </w:tabs>
                          <w:spacing w:before="20"/>
                          <w:ind w:left="35"/>
                          <w:rPr>
                            <w:sz w:val="16"/>
                          </w:rPr>
                        </w:pPr>
                        <w:r>
                          <w:rPr>
                            <w:w w:val="100"/>
                            <w:sz w:val="16"/>
                            <w:u w:val="dotted" w:color="929292"/>
                          </w:rPr>
                          <w:t> </w:t>
                        </w:r>
                        <w:r>
                          <w:rPr>
                            <w:sz w:val="16"/>
                            <w:u w:val="dotted" w:color="929292"/>
                          </w:rPr>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20"/>
                          <w:ind w:left="24"/>
                          <w:rPr>
                            <w:sz w:val="16"/>
                          </w:rPr>
                        </w:pPr>
                        <w:r>
                          <w:rPr>
                            <w:w w:val="100"/>
                            <w:sz w:val="16"/>
                            <w:u w:val="dotted" w:color="929292"/>
                          </w:rPr>
                          <w:t> </w:t>
                        </w:r>
                        <w:r>
                          <w:rPr>
                            <w:sz w:val="16"/>
                            <w:u w:val="dotted" w:color="929292"/>
                          </w:rPr>
                          <w:tab/>
                        </w:r>
                      </w:p>
                    </w:tc>
                    <w:tc>
                      <w:tcPr>
                        <w:tcW w:w="1115" w:type="dxa"/>
                        <w:tcBorders>
                          <w:left w:val="single" w:sz="4" w:space="0" w:color="929292"/>
                        </w:tcBorders>
                      </w:tcPr>
                      <w:p>
                        <w:pPr>
                          <w:pStyle w:val="TableParagraph"/>
                          <w:tabs>
                            <w:tab w:pos="1089" w:val="left" w:leader="none"/>
                          </w:tabs>
                          <w:spacing w:before="20"/>
                          <w:ind w:left="24"/>
                          <w:rPr>
                            <w:sz w:val="16"/>
                          </w:rPr>
                        </w:pPr>
                        <w:r>
                          <w:rPr>
                            <w:w w:val="100"/>
                            <w:sz w:val="16"/>
                            <w:u w:val="dotted" w:color="929292"/>
                          </w:rPr>
                          <w:t> </w:t>
                        </w:r>
                        <w:r>
                          <w:rPr>
                            <w:sz w:val="16"/>
                            <w:u w:val="dotted" w:color="929292"/>
                          </w:rPr>
                          <w:tab/>
                        </w:r>
                      </w:p>
                    </w:tc>
                  </w:tr>
                  <w:tr>
                    <w:trPr>
                      <w:trHeight w:val="240" w:hRule="exact"/>
                    </w:trPr>
                    <w:tc>
                      <w:tcPr>
                        <w:tcW w:w="1511" w:type="dxa"/>
                        <w:tcBorders>
                          <w:right w:val="single" w:sz="4" w:space="0" w:color="929292"/>
                        </w:tcBorders>
                      </w:tcPr>
                      <w:p>
                        <w:pPr>
                          <w:pStyle w:val="TableParagraph"/>
                          <w:spacing w:before="20"/>
                          <w:ind w:left="108"/>
                          <w:rPr>
                            <w:sz w:val="16"/>
                          </w:rPr>
                        </w:pPr>
                        <w:r>
                          <w:rPr>
                            <w:sz w:val="16"/>
                          </w:rPr>
                          <w:t>Villas del Campo</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spacing w:before="20"/>
                          <w:ind w:left="102" w:right="159"/>
                          <w:rPr>
                            <w:sz w:val="16"/>
                          </w:rPr>
                        </w:pPr>
                        <w:r>
                          <w:rPr>
                            <w:sz w:val="16"/>
                          </w:rPr>
                          <w:t>3205</w:t>
                        </w:r>
                      </w:p>
                    </w:tc>
                    <w:tc>
                      <w:tcPr>
                        <w:tcW w:w="1115" w:type="dxa"/>
                        <w:tcBorders>
                          <w:left w:val="single" w:sz="4" w:space="0" w:color="929292"/>
                        </w:tcBorders>
                      </w:tcPr>
                      <w:p>
                        <w:pPr>
                          <w:pStyle w:val="TableParagraph"/>
                          <w:spacing w:before="20"/>
                          <w:ind w:left="102"/>
                          <w:rPr>
                            <w:sz w:val="16"/>
                          </w:rPr>
                        </w:pPr>
                        <w:r>
                          <w:rPr>
                            <w:sz w:val="16"/>
                          </w:rPr>
                          <w:t>14,423</w:t>
                        </w:r>
                      </w:p>
                    </w:tc>
                  </w:tr>
                  <w:tr>
                    <w:trPr>
                      <w:trHeight w:val="240" w:hRule="exact"/>
                    </w:trPr>
                    <w:tc>
                      <w:tcPr>
                        <w:tcW w:w="1511" w:type="dxa"/>
                        <w:tcBorders>
                          <w:right w:val="single" w:sz="4" w:space="0" w:color="929292"/>
                        </w:tcBorders>
                      </w:tcPr>
                      <w:p>
                        <w:pPr>
                          <w:pStyle w:val="TableParagraph"/>
                          <w:tabs>
                            <w:tab w:pos="1495" w:val="left" w:leader="none"/>
                          </w:tabs>
                          <w:spacing w:before="20"/>
                          <w:ind w:left="35"/>
                          <w:rPr>
                            <w:sz w:val="16"/>
                          </w:rPr>
                        </w:pPr>
                        <w:r>
                          <w:rPr>
                            <w:w w:val="100"/>
                            <w:sz w:val="16"/>
                            <w:u w:val="dotted" w:color="929292"/>
                          </w:rPr>
                          <w:t> </w:t>
                        </w:r>
                        <w:r>
                          <w:rPr>
                            <w:sz w:val="16"/>
                            <w:u w:val="dotted" w:color="929292"/>
                          </w:rPr>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20"/>
                          <w:ind w:left="24"/>
                          <w:rPr>
                            <w:sz w:val="16"/>
                          </w:rPr>
                        </w:pPr>
                        <w:r>
                          <w:rPr>
                            <w:w w:val="100"/>
                            <w:sz w:val="16"/>
                            <w:u w:val="dotted" w:color="929292"/>
                          </w:rPr>
                          <w:t> </w:t>
                        </w:r>
                        <w:r>
                          <w:rPr>
                            <w:sz w:val="16"/>
                            <w:u w:val="dotted" w:color="929292"/>
                          </w:rPr>
                          <w:tab/>
                        </w:r>
                      </w:p>
                    </w:tc>
                    <w:tc>
                      <w:tcPr>
                        <w:tcW w:w="1115" w:type="dxa"/>
                        <w:tcBorders>
                          <w:left w:val="single" w:sz="4" w:space="0" w:color="929292"/>
                        </w:tcBorders>
                      </w:tcPr>
                      <w:p>
                        <w:pPr>
                          <w:pStyle w:val="TableParagraph"/>
                          <w:tabs>
                            <w:tab w:pos="1089" w:val="left" w:leader="none"/>
                          </w:tabs>
                          <w:spacing w:before="20"/>
                          <w:ind w:left="24"/>
                          <w:rPr>
                            <w:sz w:val="16"/>
                          </w:rPr>
                        </w:pPr>
                        <w:r>
                          <w:rPr>
                            <w:w w:val="100"/>
                            <w:sz w:val="16"/>
                            <w:u w:val="dotted" w:color="929292"/>
                          </w:rPr>
                          <w:t> </w:t>
                        </w:r>
                        <w:r>
                          <w:rPr>
                            <w:sz w:val="16"/>
                            <w:u w:val="dotted" w:color="929292"/>
                          </w:rPr>
                          <w:tab/>
                        </w:r>
                      </w:p>
                    </w:tc>
                  </w:tr>
                  <w:tr>
                    <w:trPr>
                      <w:trHeight w:val="240" w:hRule="exact"/>
                    </w:trPr>
                    <w:tc>
                      <w:tcPr>
                        <w:tcW w:w="1511" w:type="dxa"/>
                        <w:tcBorders>
                          <w:right w:val="single" w:sz="4" w:space="0" w:color="929292"/>
                        </w:tcBorders>
                      </w:tcPr>
                      <w:p>
                        <w:pPr>
                          <w:pStyle w:val="TableParagraph"/>
                          <w:spacing w:before="20"/>
                          <w:ind w:left="108"/>
                          <w:rPr>
                            <w:sz w:val="16"/>
                          </w:rPr>
                        </w:pPr>
                        <w:r>
                          <w:rPr>
                            <w:sz w:val="16"/>
                          </w:rPr>
                          <w:t>San Andres</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spacing w:before="20"/>
                          <w:ind w:left="102" w:right="159"/>
                          <w:rPr>
                            <w:sz w:val="16"/>
                          </w:rPr>
                        </w:pPr>
                        <w:r>
                          <w:rPr>
                            <w:sz w:val="16"/>
                          </w:rPr>
                          <w:t>121</w:t>
                        </w:r>
                      </w:p>
                    </w:tc>
                    <w:tc>
                      <w:tcPr>
                        <w:tcW w:w="1115" w:type="dxa"/>
                        <w:tcBorders>
                          <w:left w:val="single" w:sz="4" w:space="0" w:color="929292"/>
                        </w:tcBorders>
                      </w:tcPr>
                      <w:p>
                        <w:pPr>
                          <w:pStyle w:val="TableParagraph"/>
                          <w:spacing w:before="20"/>
                          <w:ind w:left="102"/>
                          <w:rPr>
                            <w:sz w:val="16"/>
                          </w:rPr>
                        </w:pPr>
                        <w:r>
                          <w:rPr>
                            <w:sz w:val="16"/>
                          </w:rPr>
                          <w:t>545</w:t>
                        </w:r>
                      </w:p>
                    </w:tc>
                  </w:tr>
                  <w:tr>
                    <w:trPr>
                      <w:trHeight w:val="240" w:hRule="exact"/>
                    </w:trPr>
                    <w:tc>
                      <w:tcPr>
                        <w:tcW w:w="1511" w:type="dxa"/>
                        <w:tcBorders>
                          <w:right w:val="single" w:sz="4" w:space="0" w:color="929292"/>
                        </w:tcBorders>
                      </w:tcPr>
                      <w:p>
                        <w:pPr>
                          <w:pStyle w:val="TableParagraph"/>
                          <w:tabs>
                            <w:tab w:pos="1495" w:val="left" w:leader="none"/>
                          </w:tabs>
                          <w:spacing w:before="20"/>
                          <w:ind w:left="35"/>
                          <w:rPr>
                            <w:sz w:val="16"/>
                          </w:rPr>
                        </w:pPr>
                        <w:r>
                          <w:rPr>
                            <w:w w:val="100"/>
                            <w:sz w:val="16"/>
                            <w:u w:val="dotted" w:color="929292"/>
                          </w:rPr>
                          <w:t> </w:t>
                        </w:r>
                        <w:r>
                          <w:rPr>
                            <w:sz w:val="16"/>
                            <w:u w:val="dotted" w:color="929292"/>
                          </w:rPr>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20"/>
                          <w:ind w:left="24"/>
                          <w:rPr>
                            <w:sz w:val="16"/>
                          </w:rPr>
                        </w:pPr>
                        <w:r>
                          <w:rPr>
                            <w:w w:val="100"/>
                            <w:sz w:val="16"/>
                            <w:u w:val="dotted" w:color="929292"/>
                          </w:rPr>
                          <w:t> </w:t>
                        </w:r>
                        <w:r>
                          <w:rPr>
                            <w:sz w:val="16"/>
                            <w:u w:val="dotted" w:color="929292"/>
                          </w:rPr>
                          <w:tab/>
                        </w:r>
                      </w:p>
                    </w:tc>
                    <w:tc>
                      <w:tcPr>
                        <w:tcW w:w="1115" w:type="dxa"/>
                        <w:tcBorders>
                          <w:left w:val="single" w:sz="4" w:space="0" w:color="929292"/>
                        </w:tcBorders>
                      </w:tcPr>
                      <w:p>
                        <w:pPr>
                          <w:pStyle w:val="TableParagraph"/>
                          <w:tabs>
                            <w:tab w:pos="1089" w:val="left" w:leader="none"/>
                          </w:tabs>
                          <w:spacing w:before="20"/>
                          <w:ind w:left="24"/>
                          <w:rPr>
                            <w:sz w:val="16"/>
                          </w:rPr>
                        </w:pPr>
                        <w:r>
                          <w:rPr>
                            <w:w w:val="100"/>
                            <w:sz w:val="16"/>
                            <w:u w:val="dotted" w:color="929292"/>
                          </w:rPr>
                          <w:t> </w:t>
                        </w:r>
                        <w:r>
                          <w:rPr>
                            <w:sz w:val="16"/>
                            <w:u w:val="dotted" w:color="929292"/>
                          </w:rPr>
                          <w:tab/>
                        </w:r>
                      </w:p>
                    </w:tc>
                  </w:tr>
                  <w:tr>
                    <w:trPr>
                      <w:trHeight w:val="240" w:hRule="exact"/>
                    </w:trPr>
                    <w:tc>
                      <w:tcPr>
                        <w:tcW w:w="1511" w:type="dxa"/>
                        <w:tcBorders>
                          <w:right w:val="single" w:sz="4" w:space="0" w:color="929292"/>
                        </w:tcBorders>
                      </w:tcPr>
                      <w:p>
                        <w:pPr>
                          <w:pStyle w:val="TableParagraph"/>
                          <w:spacing w:before="20"/>
                          <w:ind w:left="108"/>
                          <w:rPr>
                            <w:sz w:val="16"/>
                          </w:rPr>
                        </w:pPr>
                        <w:r>
                          <w:rPr>
                            <w:sz w:val="16"/>
                          </w:rPr>
                          <w:t>Villas del Campo II</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spacing w:before="20"/>
                          <w:ind w:left="102" w:right="159"/>
                          <w:rPr>
                            <w:sz w:val="16"/>
                          </w:rPr>
                        </w:pPr>
                        <w:r>
                          <w:rPr>
                            <w:sz w:val="16"/>
                          </w:rPr>
                          <w:t>1,892</w:t>
                        </w:r>
                      </w:p>
                    </w:tc>
                    <w:tc>
                      <w:tcPr>
                        <w:tcW w:w="1115" w:type="dxa"/>
                        <w:tcBorders>
                          <w:left w:val="single" w:sz="4" w:space="0" w:color="929292"/>
                        </w:tcBorders>
                      </w:tcPr>
                      <w:p>
                        <w:pPr>
                          <w:pStyle w:val="TableParagraph"/>
                          <w:spacing w:before="20"/>
                          <w:ind w:left="102"/>
                          <w:rPr>
                            <w:sz w:val="16"/>
                          </w:rPr>
                        </w:pPr>
                        <w:r>
                          <w:rPr>
                            <w:sz w:val="16"/>
                          </w:rPr>
                          <w:t>8,514</w:t>
                        </w:r>
                      </w:p>
                    </w:tc>
                  </w:tr>
                  <w:tr>
                    <w:trPr>
                      <w:trHeight w:val="240" w:hRule="exact"/>
                    </w:trPr>
                    <w:tc>
                      <w:tcPr>
                        <w:tcW w:w="1511" w:type="dxa"/>
                        <w:tcBorders>
                          <w:right w:val="single" w:sz="4" w:space="0" w:color="929292"/>
                        </w:tcBorders>
                      </w:tcPr>
                      <w:p>
                        <w:pPr>
                          <w:pStyle w:val="TableParagraph"/>
                          <w:tabs>
                            <w:tab w:pos="1495" w:val="left" w:leader="none"/>
                          </w:tabs>
                          <w:spacing w:before="20"/>
                          <w:ind w:left="35"/>
                          <w:rPr>
                            <w:sz w:val="16"/>
                          </w:rPr>
                        </w:pPr>
                        <w:r>
                          <w:rPr>
                            <w:w w:val="100"/>
                            <w:sz w:val="16"/>
                            <w:u w:val="dotted" w:color="929292"/>
                          </w:rPr>
                          <w:t> </w:t>
                        </w:r>
                        <w:r>
                          <w:rPr>
                            <w:sz w:val="16"/>
                            <w:u w:val="dotted" w:color="929292"/>
                          </w:rPr>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20"/>
                          <w:ind w:left="24"/>
                          <w:rPr>
                            <w:sz w:val="16"/>
                          </w:rPr>
                        </w:pPr>
                        <w:r>
                          <w:rPr>
                            <w:w w:val="100"/>
                            <w:sz w:val="16"/>
                            <w:u w:val="dotted" w:color="929292"/>
                          </w:rPr>
                          <w:t> </w:t>
                        </w:r>
                        <w:r>
                          <w:rPr>
                            <w:sz w:val="16"/>
                            <w:u w:val="dotted" w:color="929292"/>
                          </w:rPr>
                          <w:tab/>
                        </w:r>
                      </w:p>
                    </w:tc>
                    <w:tc>
                      <w:tcPr>
                        <w:tcW w:w="1115" w:type="dxa"/>
                        <w:tcBorders>
                          <w:left w:val="single" w:sz="4" w:space="0" w:color="929292"/>
                        </w:tcBorders>
                      </w:tcPr>
                      <w:p>
                        <w:pPr>
                          <w:pStyle w:val="TableParagraph"/>
                          <w:tabs>
                            <w:tab w:pos="1089" w:val="left" w:leader="none"/>
                          </w:tabs>
                          <w:spacing w:before="20"/>
                          <w:ind w:left="24"/>
                          <w:rPr>
                            <w:sz w:val="16"/>
                          </w:rPr>
                        </w:pPr>
                        <w:r>
                          <w:rPr>
                            <w:w w:val="100"/>
                            <w:sz w:val="16"/>
                            <w:u w:val="dotted" w:color="929292"/>
                          </w:rPr>
                          <w:t> </w:t>
                        </w:r>
                        <w:r>
                          <w:rPr>
                            <w:sz w:val="16"/>
                            <w:u w:val="dotted" w:color="929292"/>
                          </w:rPr>
                          <w:tab/>
                        </w:r>
                      </w:p>
                    </w:tc>
                  </w:tr>
                  <w:tr>
                    <w:trPr>
                      <w:trHeight w:val="240" w:hRule="exact"/>
                    </w:trPr>
                    <w:tc>
                      <w:tcPr>
                        <w:tcW w:w="1511" w:type="dxa"/>
                        <w:tcBorders>
                          <w:right w:val="single" w:sz="4" w:space="0" w:color="929292"/>
                        </w:tcBorders>
                      </w:tcPr>
                      <w:p>
                        <w:pPr>
                          <w:pStyle w:val="TableParagraph"/>
                          <w:spacing w:before="20"/>
                          <w:ind w:left="108"/>
                          <w:rPr>
                            <w:sz w:val="16"/>
                          </w:rPr>
                        </w:pPr>
                        <w:r>
                          <w:rPr>
                            <w:sz w:val="16"/>
                          </w:rPr>
                          <w:t>Valle del Nevado</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spacing w:before="20"/>
                          <w:ind w:left="102" w:right="159"/>
                          <w:rPr>
                            <w:sz w:val="16"/>
                          </w:rPr>
                        </w:pPr>
                        <w:r>
                          <w:rPr>
                            <w:sz w:val="16"/>
                          </w:rPr>
                          <w:t>2,783</w:t>
                        </w:r>
                      </w:p>
                    </w:tc>
                    <w:tc>
                      <w:tcPr>
                        <w:tcW w:w="1115" w:type="dxa"/>
                        <w:tcBorders>
                          <w:left w:val="single" w:sz="4" w:space="0" w:color="929292"/>
                        </w:tcBorders>
                      </w:tcPr>
                      <w:p>
                        <w:pPr>
                          <w:pStyle w:val="TableParagraph"/>
                          <w:spacing w:before="20"/>
                          <w:ind w:left="102"/>
                          <w:rPr>
                            <w:sz w:val="16"/>
                          </w:rPr>
                        </w:pPr>
                        <w:r>
                          <w:rPr>
                            <w:sz w:val="16"/>
                          </w:rPr>
                          <w:t>12,524</w:t>
                        </w:r>
                      </w:p>
                    </w:tc>
                  </w:tr>
                  <w:tr>
                    <w:trPr>
                      <w:trHeight w:val="240" w:hRule="exact"/>
                    </w:trPr>
                    <w:tc>
                      <w:tcPr>
                        <w:tcW w:w="1511" w:type="dxa"/>
                        <w:tcBorders>
                          <w:right w:val="single" w:sz="4" w:space="0" w:color="929292"/>
                        </w:tcBorders>
                      </w:tcPr>
                      <w:p>
                        <w:pPr>
                          <w:pStyle w:val="TableParagraph"/>
                          <w:tabs>
                            <w:tab w:pos="1495" w:val="left" w:leader="none"/>
                          </w:tabs>
                          <w:spacing w:before="20"/>
                          <w:ind w:left="35"/>
                          <w:rPr>
                            <w:sz w:val="16"/>
                          </w:rPr>
                        </w:pPr>
                        <w:r>
                          <w:rPr>
                            <w:w w:val="100"/>
                            <w:sz w:val="16"/>
                            <w:u w:val="dotted" w:color="929292"/>
                          </w:rPr>
                          <w:t> </w:t>
                        </w:r>
                        <w:r>
                          <w:rPr>
                            <w:sz w:val="16"/>
                            <w:u w:val="dotted" w:color="929292"/>
                          </w:rPr>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20"/>
                          <w:ind w:left="24"/>
                          <w:rPr>
                            <w:sz w:val="16"/>
                          </w:rPr>
                        </w:pPr>
                        <w:r>
                          <w:rPr>
                            <w:w w:val="100"/>
                            <w:sz w:val="16"/>
                            <w:u w:val="dotted" w:color="929292"/>
                          </w:rPr>
                          <w:t> </w:t>
                        </w:r>
                        <w:r>
                          <w:rPr>
                            <w:sz w:val="16"/>
                            <w:u w:val="dotted" w:color="929292"/>
                          </w:rPr>
                          <w:tab/>
                        </w:r>
                      </w:p>
                    </w:tc>
                    <w:tc>
                      <w:tcPr>
                        <w:tcW w:w="1115" w:type="dxa"/>
                        <w:tcBorders>
                          <w:left w:val="single" w:sz="4" w:space="0" w:color="929292"/>
                        </w:tcBorders>
                      </w:tcPr>
                      <w:p>
                        <w:pPr>
                          <w:pStyle w:val="TableParagraph"/>
                          <w:tabs>
                            <w:tab w:pos="1089" w:val="left" w:leader="none"/>
                          </w:tabs>
                          <w:spacing w:before="20"/>
                          <w:ind w:left="24"/>
                          <w:rPr>
                            <w:sz w:val="16"/>
                          </w:rPr>
                        </w:pPr>
                        <w:r>
                          <w:rPr>
                            <w:w w:val="100"/>
                            <w:sz w:val="16"/>
                            <w:u w:val="dotted" w:color="929292"/>
                          </w:rPr>
                          <w:t> </w:t>
                        </w:r>
                        <w:r>
                          <w:rPr>
                            <w:sz w:val="16"/>
                            <w:u w:val="dotted" w:color="929292"/>
                          </w:rPr>
                          <w:tab/>
                        </w:r>
                      </w:p>
                    </w:tc>
                  </w:tr>
                  <w:tr>
                    <w:trPr>
                      <w:trHeight w:val="240" w:hRule="exact"/>
                    </w:trPr>
                    <w:tc>
                      <w:tcPr>
                        <w:tcW w:w="1511" w:type="dxa"/>
                        <w:tcBorders>
                          <w:right w:val="single" w:sz="4" w:space="0" w:color="929292"/>
                        </w:tcBorders>
                      </w:tcPr>
                      <w:p>
                        <w:pPr>
                          <w:pStyle w:val="TableParagraph"/>
                          <w:spacing w:before="20"/>
                          <w:ind w:left="108"/>
                          <w:rPr>
                            <w:sz w:val="16"/>
                          </w:rPr>
                        </w:pPr>
                        <w:r>
                          <w:rPr>
                            <w:sz w:val="16"/>
                          </w:rPr>
                          <w:t>Rancho la</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spacing w:before="20"/>
                          <w:ind w:left="102" w:right="159"/>
                          <w:rPr>
                            <w:sz w:val="16"/>
                          </w:rPr>
                        </w:pPr>
                        <w:r>
                          <w:rPr>
                            <w:sz w:val="16"/>
                          </w:rPr>
                          <w:t>310</w:t>
                        </w:r>
                      </w:p>
                    </w:tc>
                    <w:tc>
                      <w:tcPr>
                        <w:tcW w:w="1115" w:type="dxa"/>
                        <w:tcBorders>
                          <w:left w:val="single" w:sz="4" w:space="0" w:color="929292"/>
                        </w:tcBorders>
                      </w:tcPr>
                      <w:p>
                        <w:pPr>
                          <w:pStyle w:val="TableParagraph"/>
                          <w:spacing w:before="20"/>
                          <w:ind w:left="102"/>
                          <w:rPr>
                            <w:sz w:val="16"/>
                          </w:rPr>
                        </w:pPr>
                        <w:r>
                          <w:rPr>
                            <w:sz w:val="16"/>
                          </w:rPr>
                          <w:t>1,395</w:t>
                        </w:r>
                      </w:p>
                    </w:tc>
                  </w:tr>
                  <w:tr>
                    <w:trPr>
                      <w:trHeight w:val="240" w:hRule="exact"/>
                    </w:trPr>
                    <w:tc>
                      <w:tcPr>
                        <w:tcW w:w="1511" w:type="dxa"/>
                        <w:tcBorders>
                          <w:right w:val="single" w:sz="4" w:space="0" w:color="929292"/>
                        </w:tcBorders>
                      </w:tcPr>
                      <w:p>
                        <w:pPr>
                          <w:pStyle w:val="TableParagraph"/>
                          <w:tabs>
                            <w:tab w:pos="1495" w:val="left" w:leader="none"/>
                          </w:tabs>
                          <w:spacing w:before="20"/>
                          <w:ind w:left="35"/>
                          <w:rPr>
                            <w:sz w:val="16"/>
                          </w:rPr>
                        </w:pPr>
                        <w:r>
                          <w:rPr>
                            <w:w w:val="100"/>
                            <w:sz w:val="16"/>
                            <w:u w:val="dotted" w:color="929292"/>
                          </w:rPr>
                          <w:t> </w:t>
                        </w:r>
                        <w:r>
                          <w:rPr>
                            <w:spacing w:val="-17"/>
                            <w:sz w:val="16"/>
                            <w:u w:val="dotted" w:color="929292"/>
                          </w:rPr>
                          <w:t> </w:t>
                        </w:r>
                        <w:r>
                          <w:rPr>
                            <w:sz w:val="16"/>
                            <w:u w:val="dotted" w:color="929292"/>
                          </w:rPr>
                          <w:t>Providencia</w:t>
                        </w:r>
                        <w:r>
                          <w:rPr>
                            <w:spacing w:val="-19"/>
                            <w:sz w:val="16"/>
                            <w:u w:val="dotted" w:color="929292"/>
                          </w:rPr>
                          <w:t> </w:t>
                        </w:r>
                        <w:r>
                          <w:rPr>
                            <w:sz w:val="16"/>
                            <w:u w:val="dotted" w:color="929292"/>
                          </w:rPr>
                          <w:t>1</w:t>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20"/>
                          <w:ind w:left="24"/>
                          <w:rPr>
                            <w:sz w:val="16"/>
                          </w:rPr>
                        </w:pPr>
                        <w:r>
                          <w:rPr>
                            <w:w w:val="100"/>
                            <w:sz w:val="16"/>
                            <w:u w:val="dotted" w:color="929292"/>
                          </w:rPr>
                          <w:t> </w:t>
                        </w:r>
                        <w:r>
                          <w:rPr>
                            <w:sz w:val="16"/>
                            <w:u w:val="dotted" w:color="929292"/>
                          </w:rPr>
                          <w:tab/>
                        </w:r>
                      </w:p>
                    </w:tc>
                    <w:tc>
                      <w:tcPr>
                        <w:tcW w:w="1115" w:type="dxa"/>
                        <w:tcBorders>
                          <w:left w:val="single" w:sz="4" w:space="0" w:color="929292"/>
                        </w:tcBorders>
                      </w:tcPr>
                      <w:p>
                        <w:pPr>
                          <w:pStyle w:val="TableParagraph"/>
                          <w:tabs>
                            <w:tab w:pos="1089" w:val="left" w:leader="none"/>
                          </w:tabs>
                          <w:spacing w:before="20"/>
                          <w:ind w:left="24"/>
                          <w:rPr>
                            <w:sz w:val="16"/>
                          </w:rPr>
                        </w:pPr>
                        <w:r>
                          <w:rPr>
                            <w:w w:val="100"/>
                            <w:sz w:val="16"/>
                            <w:u w:val="dotted" w:color="929292"/>
                          </w:rPr>
                          <w:t> </w:t>
                        </w:r>
                        <w:r>
                          <w:rPr>
                            <w:sz w:val="16"/>
                            <w:u w:val="dotted" w:color="929292"/>
                          </w:rPr>
                          <w:tab/>
                        </w:r>
                      </w:p>
                    </w:tc>
                  </w:tr>
                  <w:tr>
                    <w:trPr>
                      <w:trHeight w:val="240" w:hRule="exact"/>
                    </w:trPr>
                    <w:tc>
                      <w:tcPr>
                        <w:tcW w:w="1511" w:type="dxa"/>
                        <w:tcBorders>
                          <w:right w:val="single" w:sz="4" w:space="0" w:color="929292"/>
                        </w:tcBorders>
                      </w:tcPr>
                      <w:p>
                        <w:pPr>
                          <w:pStyle w:val="TableParagraph"/>
                          <w:spacing w:before="20"/>
                          <w:ind w:left="108"/>
                          <w:rPr>
                            <w:sz w:val="16"/>
                          </w:rPr>
                        </w:pPr>
                        <w:r>
                          <w:rPr>
                            <w:sz w:val="16"/>
                          </w:rPr>
                          <w:t>URBI Hacienda</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spacing w:before="20"/>
                          <w:ind w:left="102" w:right="159"/>
                          <w:rPr>
                            <w:sz w:val="16"/>
                          </w:rPr>
                        </w:pPr>
                        <w:r>
                          <w:rPr>
                            <w:sz w:val="16"/>
                          </w:rPr>
                          <w:t>325</w:t>
                        </w:r>
                      </w:p>
                    </w:tc>
                    <w:tc>
                      <w:tcPr>
                        <w:tcW w:w="1115" w:type="dxa"/>
                        <w:tcBorders>
                          <w:left w:val="single" w:sz="4" w:space="0" w:color="929292"/>
                        </w:tcBorders>
                      </w:tcPr>
                      <w:p>
                        <w:pPr>
                          <w:pStyle w:val="TableParagraph"/>
                          <w:spacing w:before="20"/>
                          <w:ind w:left="102"/>
                          <w:rPr>
                            <w:sz w:val="16"/>
                          </w:rPr>
                        </w:pPr>
                        <w:r>
                          <w:rPr>
                            <w:sz w:val="16"/>
                          </w:rPr>
                          <w:t>1,463</w:t>
                        </w:r>
                      </w:p>
                    </w:tc>
                  </w:tr>
                  <w:tr>
                    <w:trPr>
                      <w:trHeight w:val="360" w:hRule="exact"/>
                    </w:trPr>
                    <w:tc>
                      <w:tcPr>
                        <w:tcW w:w="1511" w:type="dxa"/>
                        <w:tcBorders>
                          <w:right w:val="single" w:sz="4" w:space="0" w:color="929292"/>
                        </w:tcBorders>
                      </w:tcPr>
                      <w:p>
                        <w:pPr>
                          <w:pStyle w:val="TableParagraph"/>
                          <w:tabs>
                            <w:tab w:pos="1495" w:val="left" w:leader="none"/>
                          </w:tabs>
                          <w:spacing w:before="20"/>
                          <w:ind w:left="35"/>
                          <w:rPr>
                            <w:sz w:val="16"/>
                          </w:rPr>
                        </w:pPr>
                        <w:r>
                          <w:rPr>
                            <w:w w:val="100"/>
                            <w:sz w:val="16"/>
                            <w:u w:val="dotted" w:color="929292"/>
                          </w:rPr>
                          <w:t> </w:t>
                        </w:r>
                        <w:r>
                          <w:rPr>
                            <w:spacing w:val="-17"/>
                            <w:sz w:val="16"/>
                            <w:u w:val="dotted" w:color="929292"/>
                          </w:rPr>
                          <w:t> </w:t>
                        </w:r>
                        <w:r>
                          <w:rPr>
                            <w:sz w:val="16"/>
                            <w:u w:val="dotted" w:color="929292"/>
                          </w:rPr>
                          <w:t>Lomas</w:t>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20"/>
                          <w:ind w:left="24"/>
                          <w:rPr>
                            <w:sz w:val="16"/>
                          </w:rPr>
                        </w:pPr>
                        <w:r>
                          <w:rPr>
                            <w:w w:val="100"/>
                            <w:sz w:val="16"/>
                            <w:u w:val="dotted" w:color="929292"/>
                          </w:rPr>
                          <w:t> </w:t>
                        </w:r>
                        <w:r>
                          <w:rPr>
                            <w:sz w:val="16"/>
                            <w:u w:val="dotted" w:color="929292"/>
                          </w:rPr>
                          <w:tab/>
                        </w:r>
                      </w:p>
                    </w:tc>
                    <w:tc>
                      <w:tcPr>
                        <w:tcW w:w="1115" w:type="dxa"/>
                        <w:tcBorders>
                          <w:left w:val="single" w:sz="4" w:space="0" w:color="929292"/>
                        </w:tcBorders>
                      </w:tcPr>
                      <w:p>
                        <w:pPr>
                          <w:pStyle w:val="TableParagraph"/>
                          <w:tabs>
                            <w:tab w:pos="1089" w:val="left" w:leader="none"/>
                          </w:tabs>
                          <w:spacing w:before="20"/>
                          <w:ind w:left="24"/>
                          <w:rPr>
                            <w:sz w:val="16"/>
                          </w:rPr>
                        </w:pPr>
                        <w:r>
                          <w:rPr>
                            <w:w w:val="100"/>
                            <w:sz w:val="16"/>
                            <w:u w:val="dotted" w:color="929292"/>
                          </w:rPr>
                          <w:t> </w:t>
                        </w:r>
                        <w:r>
                          <w:rPr>
                            <w:sz w:val="16"/>
                            <w:u w:val="dotted" w:color="929292"/>
                          </w:rPr>
                          <w:tab/>
                        </w:r>
                      </w:p>
                    </w:tc>
                  </w:tr>
                  <w:tr>
                    <w:trPr>
                      <w:trHeight w:val="360" w:hRule="exact"/>
                    </w:trPr>
                    <w:tc>
                      <w:tcPr>
                        <w:tcW w:w="1511" w:type="dxa"/>
                        <w:tcBorders>
                          <w:right w:val="single" w:sz="4" w:space="0" w:color="929292"/>
                        </w:tcBorders>
                      </w:tcPr>
                      <w:p>
                        <w:pPr>
                          <w:pStyle w:val="TableParagraph"/>
                          <w:spacing w:before="140"/>
                          <w:ind w:left="108"/>
                          <w:rPr>
                            <w:sz w:val="16"/>
                          </w:rPr>
                        </w:pPr>
                        <w:r>
                          <w:rPr>
                            <w:sz w:val="16"/>
                          </w:rPr>
                          <w:t>Bosque de las</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
                    </w:tc>
                    <w:tc>
                      <w:tcPr>
                        <w:tcW w:w="1115" w:type="dxa"/>
                        <w:tcBorders>
                          <w:left w:val="single" w:sz="4" w:space="0" w:color="929292"/>
                        </w:tcBorders>
                      </w:tcPr>
                      <w:p>
                        <w:pPr/>
                      </w:p>
                    </w:tc>
                  </w:tr>
                  <w:tr>
                    <w:trPr>
                      <w:trHeight w:val="360" w:hRule="exact"/>
                    </w:trPr>
                    <w:tc>
                      <w:tcPr>
                        <w:tcW w:w="1511" w:type="dxa"/>
                        <w:tcBorders>
                          <w:right w:val="single" w:sz="4" w:space="0" w:color="929292"/>
                        </w:tcBorders>
                      </w:tcPr>
                      <w:p>
                        <w:pPr>
                          <w:pStyle w:val="TableParagraph"/>
                          <w:spacing w:before="20"/>
                          <w:ind w:left="108"/>
                          <w:rPr>
                            <w:sz w:val="16"/>
                          </w:rPr>
                        </w:pPr>
                        <w:r>
                          <w:rPr>
                            <w:sz w:val="16"/>
                          </w:rPr>
                          <w:t>Fuentes</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spacing w:before="20"/>
                          <w:ind w:left="102" w:right="159"/>
                          <w:rPr>
                            <w:sz w:val="16"/>
                          </w:rPr>
                        </w:pPr>
                        <w:r>
                          <w:rPr>
                            <w:sz w:val="16"/>
                          </w:rPr>
                          <w:t>987</w:t>
                        </w:r>
                      </w:p>
                    </w:tc>
                    <w:tc>
                      <w:tcPr>
                        <w:tcW w:w="1115" w:type="dxa"/>
                        <w:tcBorders>
                          <w:left w:val="single" w:sz="4" w:space="0" w:color="929292"/>
                        </w:tcBorders>
                      </w:tcPr>
                      <w:p>
                        <w:pPr>
                          <w:pStyle w:val="TableParagraph"/>
                          <w:spacing w:before="20"/>
                          <w:ind w:left="102"/>
                          <w:rPr>
                            <w:sz w:val="16"/>
                          </w:rPr>
                        </w:pPr>
                        <w:r>
                          <w:rPr>
                            <w:sz w:val="16"/>
                          </w:rPr>
                          <w:t>4,442</w:t>
                        </w:r>
                      </w:p>
                    </w:tc>
                  </w:tr>
                  <w:tr>
                    <w:trPr>
                      <w:trHeight w:val="360" w:hRule="exact"/>
                    </w:trPr>
                    <w:tc>
                      <w:tcPr>
                        <w:tcW w:w="1511" w:type="dxa"/>
                        <w:tcBorders>
                          <w:right w:val="single" w:sz="4" w:space="0" w:color="929292"/>
                        </w:tcBorders>
                      </w:tcPr>
                      <w:p>
                        <w:pPr>
                          <w:pStyle w:val="TableParagraph"/>
                          <w:tabs>
                            <w:tab w:pos="1495" w:val="left" w:leader="none"/>
                          </w:tabs>
                          <w:spacing w:before="140"/>
                          <w:ind w:left="35"/>
                          <w:rPr>
                            <w:sz w:val="16"/>
                          </w:rPr>
                        </w:pPr>
                        <w:r>
                          <w:rPr>
                            <w:w w:val="100"/>
                            <w:sz w:val="16"/>
                            <w:u w:val="dotted" w:color="929292"/>
                          </w:rPr>
                          <w:t> </w:t>
                        </w:r>
                        <w:r>
                          <w:rPr>
                            <w:sz w:val="16"/>
                            <w:u w:val="dotted" w:color="929292"/>
                          </w:rPr>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140"/>
                          <w:ind w:left="24"/>
                          <w:rPr>
                            <w:sz w:val="16"/>
                          </w:rPr>
                        </w:pPr>
                        <w:r>
                          <w:rPr>
                            <w:w w:val="100"/>
                            <w:sz w:val="16"/>
                            <w:u w:val="dotted" w:color="929292"/>
                          </w:rPr>
                          <w:t> </w:t>
                        </w:r>
                        <w:r>
                          <w:rPr>
                            <w:sz w:val="16"/>
                            <w:u w:val="dotted" w:color="929292"/>
                          </w:rPr>
                          <w:tab/>
                        </w:r>
                      </w:p>
                    </w:tc>
                    <w:tc>
                      <w:tcPr>
                        <w:tcW w:w="1115" w:type="dxa"/>
                        <w:tcBorders>
                          <w:left w:val="single" w:sz="4" w:space="0" w:color="929292"/>
                        </w:tcBorders>
                      </w:tcPr>
                      <w:p>
                        <w:pPr>
                          <w:pStyle w:val="TableParagraph"/>
                          <w:tabs>
                            <w:tab w:pos="1089" w:val="left" w:leader="none"/>
                          </w:tabs>
                          <w:spacing w:before="140"/>
                          <w:ind w:left="24"/>
                          <w:rPr>
                            <w:sz w:val="16"/>
                          </w:rPr>
                        </w:pPr>
                        <w:r>
                          <w:rPr>
                            <w:w w:val="100"/>
                            <w:sz w:val="16"/>
                            <w:u w:val="dotted" w:color="929292"/>
                          </w:rPr>
                          <w:t> </w:t>
                        </w:r>
                        <w:r>
                          <w:rPr>
                            <w:sz w:val="16"/>
                            <w:u w:val="dotted" w:color="929292"/>
                          </w:rPr>
                          <w:tab/>
                        </w:r>
                      </w:p>
                    </w:tc>
                  </w:tr>
                  <w:tr>
                    <w:trPr>
                      <w:trHeight w:val="240" w:hRule="exact"/>
                    </w:trPr>
                    <w:tc>
                      <w:tcPr>
                        <w:tcW w:w="1511" w:type="dxa"/>
                        <w:tcBorders>
                          <w:right w:val="single" w:sz="4" w:space="0" w:color="929292"/>
                        </w:tcBorders>
                      </w:tcPr>
                      <w:p>
                        <w:pPr>
                          <w:pStyle w:val="TableParagraph"/>
                          <w:spacing w:before="20"/>
                          <w:ind w:left="108"/>
                          <w:rPr>
                            <w:sz w:val="16"/>
                          </w:rPr>
                        </w:pPr>
                        <w:r>
                          <w:rPr>
                            <w:sz w:val="16"/>
                          </w:rPr>
                          <w:t>Hacienda de las</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spacing w:before="20"/>
                          <w:ind w:left="102" w:right="159"/>
                          <w:rPr>
                            <w:sz w:val="16"/>
                          </w:rPr>
                        </w:pPr>
                        <w:r>
                          <w:rPr>
                            <w:sz w:val="16"/>
                          </w:rPr>
                          <w:t>1,750</w:t>
                        </w:r>
                      </w:p>
                    </w:tc>
                    <w:tc>
                      <w:tcPr>
                        <w:tcW w:w="1115" w:type="dxa"/>
                        <w:tcBorders>
                          <w:left w:val="single" w:sz="4" w:space="0" w:color="929292"/>
                        </w:tcBorders>
                      </w:tcPr>
                      <w:p>
                        <w:pPr>
                          <w:pStyle w:val="TableParagraph"/>
                          <w:spacing w:before="20"/>
                          <w:ind w:left="102"/>
                          <w:rPr>
                            <w:sz w:val="16"/>
                          </w:rPr>
                        </w:pPr>
                        <w:r>
                          <w:rPr>
                            <w:sz w:val="16"/>
                          </w:rPr>
                          <w:t>1,750</w:t>
                        </w:r>
                      </w:p>
                    </w:tc>
                  </w:tr>
                  <w:tr>
                    <w:trPr>
                      <w:trHeight w:val="360" w:hRule="exact"/>
                    </w:trPr>
                    <w:tc>
                      <w:tcPr>
                        <w:tcW w:w="1511" w:type="dxa"/>
                        <w:tcBorders>
                          <w:right w:val="single" w:sz="4" w:space="0" w:color="929292"/>
                        </w:tcBorders>
                      </w:tcPr>
                      <w:p>
                        <w:pPr>
                          <w:pStyle w:val="TableParagraph"/>
                          <w:tabs>
                            <w:tab w:pos="1495" w:val="left" w:leader="none"/>
                          </w:tabs>
                          <w:spacing w:before="20"/>
                          <w:ind w:left="35"/>
                          <w:rPr>
                            <w:sz w:val="16"/>
                          </w:rPr>
                        </w:pPr>
                        <w:r>
                          <w:rPr>
                            <w:w w:val="100"/>
                            <w:sz w:val="16"/>
                            <w:u w:val="dotted" w:color="929292"/>
                          </w:rPr>
                          <w:t> </w:t>
                        </w:r>
                        <w:r>
                          <w:rPr>
                            <w:spacing w:val="-17"/>
                            <w:sz w:val="16"/>
                            <w:u w:val="dotted" w:color="929292"/>
                          </w:rPr>
                          <w:t> </w:t>
                        </w:r>
                        <w:r>
                          <w:rPr>
                            <w:sz w:val="16"/>
                            <w:u w:val="dotted" w:color="929292"/>
                          </w:rPr>
                          <w:t>Fuentes</w:t>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20"/>
                          <w:ind w:left="24"/>
                          <w:rPr>
                            <w:sz w:val="16"/>
                          </w:rPr>
                        </w:pPr>
                        <w:r>
                          <w:rPr>
                            <w:w w:val="100"/>
                            <w:sz w:val="16"/>
                            <w:u w:val="dotted" w:color="929292"/>
                          </w:rPr>
                          <w:t> </w:t>
                        </w:r>
                        <w:r>
                          <w:rPr>
                            <w:sz w:val="16"/>
                            <w:u w:val="dotted" w:color="929292"/>
                          </w:rPr>
                          <w:tab/>
                        </w:r>
                      </w:p>
                    </w:tc>
                    <w:tc>
                      <w:tcPr>
                        <w:tcW w:w="1115" w:type="dxa"/>
                        <w:tcBorders>
                          <w:left w:val="single" w:sz="4" w:space="0" w:color="929292"/>
                        </w:tcBorders>
                      </w:tcPr>
                      <w:p>
                        <w:pPr>
                          <w:pStyle w:val="TableParagraph"/>
                          <w:tabs>
                            <w:tab w:pos="1089" w:val="left" w:leader="none"/>
                          </w:tabs>
                          <w:spacing w:before="20"/>
                          <w:ind w:left="24"/>
                          <w:rPr>
                            <w:sz w:val="16"/>
                          </w:rPr>
                        </w:pPr>
                        <w:r>
                          <w:rPr>
                            <w:w w:val="100"/>
                            <w:sz w:val="16"/>
                            <w:u w:val="dotted" w:color="929292"/>
                          </w:rPr>
                          <w:t> </w:t>
                        </w:r>
                        <w:r>
                          <w:rPr>
                            <w:sz w:val="16"/>
                            <w:u w:val="dotted" w:color="929292"/>
                          </w:rPr>
                          <w:tab/>
                        </w:r>
                      </w:p>
                    </w:tc>
                  </w:tr>
                  <w:tr>
                    <w:trPr>
                      <w:trHeight w:val="360" w:hRule="exact"/>
                    </w:trPr>
                    <w:tc>
                      <w:tcPr>
                        <w:tcW w:w="1511" w:type="dxa"/>
                        <w:tcBorders>
                          <w:right w:val="single" w:sz="4" w:space="0" w:color="929292"/>
                        </w:tcBorders>
                      </w:tcPr>
                      <w:p>
                        <w:pPr>
                          <w:pStyle w:val="TableParagraph"/>
                          <w:spacing w:before="140"/>
                          <w:ind w:left="108"/>
                          <w:rPr>
                            <w:sz w:val="16"/>
                          </w:rPr>
                        </w:pPr>
                        <w:r>
                          <w:rPr>
                            <w:sz w:val="16"/>
                          </w:rPr>
                          <w:t>Valle de las</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
                    </w:tc>
                    <w:tc>
                      <w:tcPr>
                        <w:tcW w:w="1115" w:type="dxa"/>
                        <w:tcBorders>
                          <w:left w:val="single" w:sz="4" w:space="0" w:color="929292"/>
                        </w:tcBorders>
                      </w:tcPr>
                      <w:p>
                        <w:pPr/>
                      </w:p>
                    </w:tc>
                  </w:tr>
                  <w:tr>
                    <w:trPr>
                      <w:trHeight w:val="360" w:hRule="exact"/>
                    </w:trPr>
                    <w:tc>
                      <w:tcPr>
                        <w:tcW w:w="1511" w:type="dxa"/>
                        <w:tcBorders>
                          <w:right w:val="single" w:sz="4" w:space="0" w:color="929292"/>
                        </w:tcBorders>
                      </w:tcPr>
                      <w:p>
                        <w:pPr>
                          <w:pStyle w:val="TableParagraph"/>
                          <w:spacing w:before="20"/>
                          <w:ind w:left="108"/>
                          <w:rPr>
                            <w:sz w:val="16"/>
                          </w:rPr>
                        </w:pPr>
                        <w:r>
                          <w:rPr>
                            <w:sz w:val="16"/>
                          </w:rPr>
                          <w:t>Fuentes</w:t>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tcBorders>
                          <w:left w:val="single" w:sz="4" w:space="0" w:color="929292"/>
                          <w:right w:val="single" w:sz="4" w:space="0" w:color="929292"/>
                        </w:tcBorders>
                      </w:tcPr>
                      <w:p>
                        <w:pPr>
                          <w:pStyle w:val="TableParagraph"/>
                          <w:spacing w:before="20"/>
                          <w:ind w:left="102" w:right="159"/>
                          <w:rPr>
                            <w:sz w:val="16"/>
                          </w:rPr>
                        </w:pPr>
                        <w:r>
                          <w:rPr>
                            <w:sz w:val="16"/>
                          </w:rPr>
                          <w:t>464</w:t>
                        </w:r>
                      </w:p>
                    </w:tc>
                    <w:tc>
                      <w:tcPr>
                        <w:tcW w:w="1115" w:type="dxa"/>
                        <w:tcBorders>
                          <w:left w:val="single" w:sz="4" w:space="0" w:color="929292"/>
                        </w:tcBorders>
                      </w:tcPr>
                      <w:p>
                        <w:pPr>
                          <w:pStyle w:val="TableParagraph"/>
                          <w:spacing w:before="20"/>
                          <w:ind w:left="102"/>
                          <w:rPr>
                            <w:sz w:val="16"/>
                          </w:rPr>
                        </w:pPr>
                        <w:r>
                          <w:rPr>
                            <w:sz w:val="16"/>
                          </w:rPr>
                          <w:t>2,088</w:t>
                        </w:r>
                      </w:p>
                    </w:tc>
                  </w:tr>
                  <w:tr>
                    <w:trPr>
                      <w:trHeight w:val="289" w:hRule="exact"/>
                    </w:trPr>
                    <w:tc>
                      <w:tcPr>
                        <w:tcW w:w="1511" w:type="dxa"/>
                        <w:tcBorders>
                          <w:right w:val="single" w:sz="4" w:space="0" w:color="929292"/>
                        </w:tcBorders>
                      </w:tcPr>
                      <w:p>
                        <w:pPr>
                          <w:pStyle w:val="TableParagraph"/>
                          <w:tabs>
                            <w:tab w:pos="1495" w:val="left" w:leader="none"/>
                          </w:tabs>
                          <w:spacing w:before="140"/>
                          <w:ind w:left="35"/>
                          <w:rPr>
                            <w:sz w:val="16"/>
                          </w:rPr>
                        </w:pPr>
                        <w:r>
                          <w:rPr>
                            <w:w w:val="100"/>
                            <w:sz w:val="16"/>
                            <w:u w:val="dotted" w:color="929292"/>
                          </w:rPr>
                          <w:t> </w:t>
                        </w:r>
                        <w:r>
                          <w:rPr>
                            <w:sz w:val="16"/>
                            <w:u w:val="dotted" w:color="929292"/>
                          </w:rPr>
                          <w:tab/>
                        </w:r>
                      </w:p>
                    </w:tc>
                    <w:tc>
                      <w:tcPr>
                        <w:tcW w:w="2501" w:type="dxa"/>
                        <w:vMerge/>
                        <w:tcBorders>
                          <w:left w:val="single" w:sz="4" w:space="0" w:color="929292"/>
                          <w:right w:val="single" w:sz="4" w:space="0" w:color="929292"/>
                        </w:tcBorders>
                      </w:tcPr>
                      <w:p>
                        <w:pPr/>
                      </w:p>
                    </w:tc>
                    <w:tc>
                      <w:tcPr>
                        <w:tcW w:w="1633" w:type="dxa"/>
                        <w:vMerge/>
                        <w:tcBorders>
                          <w:left w:val="single" w:sz="4" w:space="0" w:color="929292"/>
                          <w:right w:val="single" w:sz="4" w:space="0" w:color="929292"/>
                        </w:tcBorders>
                      </w:tcPr>
                      <w:p>
                        <w:pPr/>
                      </w:p>
                    </w:tc>
                    <w:tc>
                      <w:tcPr>
                        <w:tcW w:w="951" w:type="dxa"/>
                        <w:vMerge w:val="restart"/>
                        <w:tcBorders>
                          <w:left w:val="single" w:sz="4" w:space="0" w:color="929292"/>
                          <w:right w:val="single" w:sz="4" w:space="0" w:color="929292"/>
                        </w:tcBorders>
                      </w:tcPr>
                      <w:p>
                        <w:pPr>
                          <w:pStyle w:val="TableParagraph"/>
                          <w:tabs>
                            <w:tab w:pos="930" w:val="left" w:leader="none"/>
                          </w:tabs>
                          <w:spacing w:before="140"/>
                          <w:ind w:left="24"/>
                          <w:rPr>
                            <w:sz w:val="16"/>
                          </w:rPr>
                        </w:pPr>
                        <w:r>
                          <w:rPr>
                            <w:w w:val="100"/>
                            <w:sz w:val="16"/>
                            <w:u w:val="dotted" w:color="929292"/>
                          </w:rPr>
                          <w:t> </w:t>
                        </w:r>
                        <w:r>
                          <w:rPr>
                            <w:sz w:val="16"/>
                            <w:u w:val="dotted" w:color="929292"/>
                          </w:rPr>
                          <w:tab/>
                        </w:r>
                      </w:p>
                    </w:tc>
                    <w:tc>
                      <w:tcPr>
                        <w:tcW w:w="1115" w:type="dxa"/>
                        <w:vMerge w:val="restart"/>
                        <w:tcBorders>
                          <w:left w:val="single" w:sz="4" w:space="0" w:color="929292"/>
                        </w:tcBorders>
                      </w:tcPr>
                      <w:p>
                        <w:pPr>
                          <w:pStyle w:val="TableParagraph"/>
                          <w:tabs>
                            <w:tab w:pos="1089" w:val="left" w:leader="none"/>
                          </w:tabs>
                          <w:spacing w:before="140"/>
                          <w:ind w:left="24"/>
                          <w:rPr>
                            <w:sz w:val="16"/>
                          </w:rPr>
                        </w:pPr>
                        <w:r>
                          <w:rPr>
                            <w:w w:val="100"/>
                            <w:sz w:val="16"/>
                            <w:u w:val="dotted" w:color="929292"/>
                          </w:rPr>
                          <w:t> </w:t>
                        </w:r>
                        <w:r>
                          <w:rPr>
                            <w:sz w:val="16"/>
                            <w:u w:val="dotted" w:color="929292"/>
                          </w:rPr>
                          <w:tab/>
                        </w:r>
                      </w:p>
                    </w:tc>
                  </w:tr>
                  <w:tr>
                    <w:trPr>
                      <w:trHeight w:val="71" w:hRule="exact"/>
                    </w:trPr>
                    <w:tc>
                      <w:tcPr>
                        <w:tcW w:w="5644" w:type="dxa"/>
                        <w:gridSpan w:val="3"/>
                        <w:vMerge w:val="restart"/>
                        <w:tcBorders>
                          <w:right w:val="single" w:sz="4" w:space="0" w:color="929292"/>
                        </w:tcBorders>
                      </w:tcPr>
                      <w:p>
                        <w:pPr>
                          <w:pStyle w:val="TableParagraph"/>
                          <w:spacing w:before="10"/>
                          <w:rPr>
                            <w:sz w:val="20"/>
                          </w:rPr>
                        </w:pPr>
                      </w:p>
                    </w:tc>
                    <w:tc>
                      <w:tcPr>
                        <w:tcW w:w="951" w:type="dxa"/>
                        <w:vMerge/>
                        <w:tcBorders>
                          <w:left w:val="single" w:sz="4" w:space="0" w:color="929292"/>
                          <w:right w:val="single" w:sz="4" w:space="0" w:color="929292"/>
                        </w:tcBorders>
                      </w:tcPr>
                      <w:p>
                        <w:pPr/>
                      </w:p>
                    </w:tc>
                    <w:tc>
                      <w:tcPr>
                        <w:tcW w:w="1115" w:type="dxa"/>
                        <w:vMerge/>
                        <w:tcBorders>
                          <w:left w:val="single" w:sz="4" w:space="0" w:color="929292"/>
                        </w:tcBorders>
                      </w:tcPr>
                      <w:p>
                        <w:pPr/>
                      </w:p>
                    </w:tc>
                  </w:tr>
                  <w:tr>
                    <w:trPr>
                      <w:trHeight w:val="169" w:hRule="exact"/>
                    </w:trPr>
                    <w:tc>
                      <w:tcPr>
                        <w:tcW w:w="5644" w:type="dxa"/>
                        <w:gridSpan w:val="3"/>
                        <w:vMerge/>
                        <w:tcBorders>
                          <w:right w:val="single" w:sz="4" w:space="0" w:color="929292"/>
                        </w:tcBorders>
                      </w:tcPr>
                      <w:p>
                        <w:pPr/>
                      </w:p>
                    </w:tc>
                    <w:tc>
                      <w:tcPr>
                        <w:tcW w:w="951" w:type="dxa"/>
                        <w:tcBorders>
                          <w:left w:val="single" w:sz="4" w:space="0" w:color="929292"/>
                          <w:right w:val="single" w:sz="4" w:space="0" w:color="929292"/>
                        </w:tcBorders>
                      </w:tcPr>
                      <w:p>
                        <w:pPr>
                          <w:pStyle w:val="TableParagraph"/>
                          <w:tabs>
                            <w:tab w:pos="930" w:val="left" w:leader="none"/>
                          </w:tabs>
                          <w:spacing w:before="20"/>
                          <w:ind w:left="24"/>
                          <w:rPr>
                            <w:sz w:val="16"/>
                          </w:rPr>
                        </w:pPr>
                        <w:r>
                          <w:rPr>
                            <w:w w:val="100"/>
                            <w:sz w:val="16"/>
                            <w:u w:val="dotted" w:color="929292"/>
                          </w:rPr>
                          <w:t> </w:t>
                        </w:r>
                        <w:r>
                          <w:rPr>
                            <w:spacing w:val="-11"/>
                            <w:sz w:val="16"/>
                            <w:u w:val="dotted" w:color="929292"/>
                          </w:rPr>
                          <w:t> </w:t>
                        </w:r>
                        <w:r>
                          <w:rPr>
                            <w:sz w:val="16"/>
                            <w:u w:val="dotted" w:color="929292"/>
                          </w:rPr>
                          <w:t>11,837</w:t>
                          <w:tab/>
                        </w:r>
                      </w:p>
                    </w:tc>
                    <w:tc>
                      <w:tcPr>
                        <w:tcW w:w="1115" w:type="dxa"/>
                        <w:tcBorders>
                          <w:left w:val="single" w:sz="4" w:space="0" w:color="929292"/>
                        </w:tcBorders>
                      </w:tcPr>
                      <w:p>
                        <w:pPr>
                          <w:pStyle w:val="TableParagraph"/>
                          <w:tabs>
                            <w:tab w:pos="1089" w:val="left" w:leader="none"/>
                          </w:tabs>
                          <w:spacing w:before="20"/>
                          <w:ind w:left="24"/>
                          <w:rPr>
                            <w:sz w:val="16"/>
                          </w:rPr>
                        </w:pPr>
                        <w:r>
                          <w:rPr>
                            <w:w w:val="100"/>
                            <w:sz w:val="16"/>
                            <w:u w:val="dotted" w:color="929292"/>
                          </w:rPr>
                          <w:t> </w:t>
                        </w:r>
                        <w:r>
                          <w:rPr>
                            <w:spacing w:val="-11"/>
                            <w:sz w:val="16"/>
                            <w:u w:val="dotted" w:color="929292"/>
                          </w:rPr>
                          <w:t> </w:t>
                        </w:r>
                        <w:r>
                          <w:rPr>
                            <w:sz w:val="16"/>
                            <w:u w:val="dotted" w:color="929292"/>
                          </w:rPr>
                          <w:t>47,144</w:t>
                          <w:tab/>
                        </w:r>
                      </w:p>
                    </w:tc>
                  </w:tr>
                </w:tbl>
                <w:p>
                  <w:pPr>
                    <w:pStyle w:val="BodyText"/>
                  </w:pPr>
                </w:p>
              </w:txbxContent>
            </v:textbox>
            <w10:wrap type="none"/>
          </v:shape>
        </w:pict>
      </w:r>
      <w:r>
        <w:rPr/>
        <w:t>De acuerdo con el Instituto de Fomento Minero y Estudios Geológicos del Estado de México (2013), se tiene registro de 33 minas ubicadas en el municipio de Calimaya, de las cuales el 63.6% están inactivas y 36.4% están activas y abarcan una extensión  de</w:t>
      </w:r>
    </w:p>
    <w:p>
      <w:pPr>
        <w:pStyle w:val="BodyText"/>
        <w:spacing w:before="1"/>
        <w:ind w:left="2025"/>
      </w:pPr>
      <w:r>
        <w:rPr/>
        <w:t>393.89 ha. (Ver mapa 4).</w:t>
      </w:r>
    </w:p>
    <w:p>
      <w:pPr>
        <w:pStyle w:val="BodyText"/>
        <w:spacing w:before="8"/>
        <w:rPr>
          <w:sz w:val="21"/>
        </w:rPr>
      </w:pPr>
    </w:p>
    <w:p>
      <w:pPr>
        <w:pStyle w:val="BodyText"/>
        <w:spacing w:line="249" w:lineRule="auto"/>
        <w:ind w:left="2025" w:right="127" w:firstLine="170"/>
        <w:jc w:val="both"/>
      </w:pPr>
      <w:r>
        <w:rPr/>
        <w:pict>
          <v:line style="position:absolute;mso-position-horizontal-relative:page;mso-position-vertical-relative:paragraph;z-index:17632" from="426.479004pt,50.10437pt" to="426.479004pt,50.10437pt" stroked="true" strokeweight=".5pt" strokecolor="#929292">
            <w10:wrap type="none"/>
          </v:line>
        </w:pict>
      </w:r>
      <w:r>
        <w:rPr/>
        <w:t>Del total de minas, solo 13 de ellas se consideran activas y de las cuales se    extraen principalmente los materiales pétreos como: arena, grava, arcilla y tepojal, estos materiales son empleados principalmente para la construcción (ver tabla 6). La extracción del tepojal representa el 10% del total de las minas, siendo su extracción la que provoca mayores problemas ambientales en el</w:t>
      </w:r>
      <w:r>
        <w:rPr>
          <w:spacing w:val="53"/>
        </w:rPr>
        <w:t> </w:t>
      </w:r>
      <w:r>
        <w:rPr/>
        <w:t>municipio.</w:t>
      </w:r>
    </w:p>
    <w:p>
      <w:pPr>
        <w:pStyle w:val="BodyText"/>
        <w:spacing w:before="11"/>
      </w:pPr>
    </w:p>
    <w:p>
      <w:pPr>
        <w:pStyle w:val="BodyText"/>
        <w:spacing w:line="249" w:lineRule="auto"/>
        <w:ind w:left="2025" w:right="128" w:firstLine="170"/>
        <w:jc w:val="both"/>
      </w:pPr>
      <w:r>
        <w:rPr/>
        <w:pict>
          <v:line style="position:absolute;mso-position-horizontal-relative:page;mso-position-vertical-relative:paragraph;z-index:17680" from="426.479004pt,2.104369pt" to="426.479004pt,2.104369pt" stroked="true" strokeweight=".5pt" strokecolor="#929292">
            <w10:wrap type="none"/>
          </v:line>
        </w:pict>
      </w:r>
      <w:r>
        <w:rPr/>
        <w:pict>
          <v:line style="position:absolute;mso-position-horizontal-relative:page;mso-position-vertical-relative:paragraph;z-index:17728" from="426.479004pt,26.10437pt" to="426.479004pt,26.10437pt" stroked="true" strokeweight=".5pt" strokecolor="#929292">
            <w10:wrap type="none"/>
          </v:line>
        </w:pict>
      </w:r>
      <w:r>
        <w:rPr/>
        <w:pict>
          <v:line style="position:absolute;mso-position-horizontal-relative:page;mso-position-vertical-relative:paragraph;z-index:17776" from="426.479004pt,50.10437pt" to="426.479004pt,50.10437pt" stroked="true" strokeweight=".5pt" strokecolor="#929292">
            <w10:wrap type="none"/>
          </v:line>
        </w:pict>
      </w:r>
      <w:r>
        <w:rPr/>
        <w:t>La distribución  espacial  de  esta  actividad  se  concentra  principalmente  al  norte  y noreste de la cabecera municipal, en relación con la geología, se encuentra en depósitos de toba y materiales aluviales dando cabida a la presencia de materiales pétreos, asimismo, predomina el suelo feozem idóneos para la agricultura por sus propiedades, y el cambisol y</w:t>
      </w:r>
      <w:r>
        <w:rPr>
          <w:spacing w:val="39"/>
        </w:rPr>
        <w:t> </w:t>
      </w:r>
      <w:r>
        <w:rPr/>
        <w:t>vertisoles.</w:t>
      </w:r>
    </w:p>
    <w:p>
      <w:pPr>
        <w:pStyle w:val="BodyText"/>
        <w:spacing w:before="2"/>
        <w:rPr>
          <w:sz w:val="24"/>
        </w:rPr>
      </w:pPr>
    </w:p>
    <w:p>
      <w:pPr>
        <w:spacing w:before="0"/>
        <w:ind w:left="4148" w:right="0" w:firstLine="0"/>
        <w:jc w:val="left"/>
        <w:rPr>
          <w:sz w:val="16"/>
        </w:rPr>
      </w:pPr>
      <w:r>
        <w:rPr/>
        <w:pict>
          <v:shape style="position:absolute;margin-left:512.820984pt;margin-top:14.338293pt;width:385.8pt;height:241.4pt;mso-position-horizontal-relative:page;mso-position-vertical-relative:paragraph;z-index:17824" type="#_x0000_t202" filled="false" stroked="false">
            <v:textbox inset="0,0,0,0">
              <w:txbxContent>
                <w:tbl>
                  <w:tblPr>
                    <w:tblW w:w="0" w:type="auto"/>
                    <w:jc w:val="left"/>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831"/>
                    <w:gridCol w:w="1502"/>
                    <w:gridCol w:w="993"/>
                    <w:gridCol w:w="1275"/>
                    <w:gridCol w:w="1276"/>
                    <w:gridCol w:w="1823"/>
                  </w:tblGrid>
                  <w:tr>
                    <w:trPr>
                      <w:trHeight w:val="828" w:hRule="exact"/>
                    </w:trPr>
                    <w:tc>
                      <w:tcPr>
                        <w:tcW w:w="831" w:type="dxa"/>
                        <w:tcBorders>
                          <w:top w:val="nil"/>
                          <w:left w:val="nil"/>
                          <w:bottom w:val="dotted" w:sz="4" w:space="0" w:color="FFFFFF"/>
                          <w:right w:val="single" w:sz="4" w:space="0" w:color="FFFFFF"/>
                        </w:tcBorders>
                        <w:shd w:val="clear" w:color="auto" w:fill="929292"/>
                      </w:tcPr>
                      <w:p>
                        <w:pPr>
                          <w:pStyle w:val="TableParagraph"/>
                          <w:rPr>
                            <w:sz w:val="16"/>
                          </w:rPr>
                        </w:pPr>
                      </w:p>
                      <w:p>
                        <w:pPr>
                          <w:pStyle w:val="TableParagraph"/>
                          <w:spacing w:before="137"/>
                          <w:ind w:left="107"/>
                          <w:rPr>
                            <w:sz w:val="16"/>
                          </w:rPr>
                        </w:pPr>
                        <w:r>
                          <w:rPr>
                            <w:sz w:val="16"/>
                          </w:rPr>
                          <w:t>Estatus</w:t>
                        </w:r>
                      </w:p>
                    </w:tc>
                    <w:tc>
                      <w:tcPr>
                        <w:tcW w:w="1502"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121"/>
                          <w:ind w:left="102" w:right="329"/>
                          <w:rPr>
                            <w:sz w:val="16"/>
                          </w:rPr>
                        </w:pPr>
                        <w:r>
                          <w:rPr>
                            <w:sz w:val="16"/>
                          </w:rPr>
                          <w:t>Nombre De La Mina y Razón Social</w:t>
                        </w:r>
                      </w:p>
                    </w:tc>
                    <w:tc>
                      <w:tcPr>
                        <w:tcW w:w="993" w:type="dxa"/>
                        <w:tcBorders>
                          <w:top w:val="nil"/>
                          <w:left w:val="single" w:sz="4" w:space="0" w:color="FFFFFF"/>
                          <w:bottom w:val="dotted" w:sz="4" w:space="0" w:color="FFFFFF"/>
                          <w:right w:val="single" w:sz="4" w:space="0" w:color="FFFFFF"/>
                        </w:tcBorders>
                        <w:shd w:val="clear" w:color="auto" w:fill="929292"/>
                      </w:tcPr>
                      <w:p>
                        <w:pPr>
                          <w:pStyle w:val="TableParagraph"/>
                          <w:rPr>
                            <w:sz w:val="16"/>
                          </w:rPr>
                        </w:pPr>
                      </w:p>
                      <w:p>
                        <w:pPr>
                          <w:pStyle w:val="TableParagraph"/>
                          <w:spacing w:before="137"/>
                          <w:ind w:left="103" w:right="299"/>
                          <w:rPr>
                            <w:sz w:val="16"/>
                          </w:rPr>
                        </w:pPr>
                        <w:r>
                          <w:rPr>
                            <w:sz w:val="16"/>
                          </w:rPr>
                          <w:t>Mineral</w:t>
                        </w:r>
                      </w:p>
                    </w:tc>
                    <w:tc>
                      <w:tcPr>
                        <w:tcW w:w="1275" w:type="dxa"/>
                        <w:tcBorders>
                          <w:top w:val="nil"/>
                          <w:left w:val="single" w:sz="4" w:space="0" w:color="FFFFFF"/>
                          <w:bottom w:val="dotted" w:sz="4" w:space="0" w:color="FFFFFF"/>
                          <w:right w:val="single" w:sz="4" w:space="0" w:color="FFFFFF"/>
                        </w:tcBorders>
                        <w:shd w:val="clear" w:color="auto" w:fill="929292"/>
                      </w:tcPr>
                      <w:p>
                        <w:pPr>
                          <w:pStyle w:val="TableParagraph"/>
                          <w:spacing w:before="2"/>
                          <w:rPr>
                            <w:sz w:val="19"/>
                          </w:rPr>
                        </w:pPr>
                      </w:p>
                      <w:p>
                        <w:pPr>
                          <w:pStyle w:val="TableParagraph"/>
                          <w:spacing w:line="261" w:lineRule="auto"/>
                          <w:ind w:left="102" w:right="253"/>
                          <w:rPr>
                            <w:sz w:val="16"/>
                          </w:rPr>
                        </w:pPr>
                        <w:r>
                          <w:rPr>
                            <w:w w:val="105"/>
                            <w:sz w:val="16"/>
                          </w:rPr>
                          <w:t>Actividad / </w:t>
                        </w:r>
                        <w:r>
                          <w:rPr>
                            <w:sz w:val="16"/>
                          </w:rPr>
                          <w:t>concesiones</w:t>
                        </w:r>
                      </w:p>
                    </w:tc>
                    <w:tc>
                      <w:tcPr>
                        <w:tcW w:w="1276"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21"/>
                          <w:ind w:left="103" w:right="431"/>
                          <w:rPr>
                            <w:sz w:val="16"/>
                          </w:rPr>
                        </w:pPr>
                        <w:r>
                          <w:rPr>
                            <w:sz w:val="16"/>
                          </w:rPr>
                          <w:t>Personal ocupado máximo registrado</w:t>
                        </w:r>
                      </w:p>
                    </w:tc>
                    <w:tc>
                      <w:tcPr>
                        <w:tcW w:w="1823" w:type="dxa"/>
                        <w:tcBorders>
                          <w:top w:val="nil"/>
                          <w:left w:val="single" w:sz="4" w:space="0" w:color="FFFFFF"/>
                          <w:bottom w:val="dotted" w:sz="4" w:space="0" w:color="FFFFFF"/>
                          <w:right w:val="nil"/>
                        </w:tcBorders>
                        <w:shd w:val="clear" w:color="auto" w:fill="929292"/>
                      </w:tcPr>
                      <w:p>
                        <w:pPr>
                          <w:pStyle w:val="TableParagraph"/>
                          <w:rPr>
                            <w:sz w:val="16"/>
                          </w:rPr>
                        </w:pPr>
                      </w:p>
                      <w:p>
                        <w:pPr>
                          <w:pStyle w:val="TableParagraph"/>
                          <w:spacing w:before="137"/>
                          <w:ind w:left="103"/>
                          <w:rPr>
                            <w:sz w:val="16"/>
                          </w:rPr>
                        </w:pPr>
                        <w:r>
                          <w:rPr>
                            <w:sz w:val="16"/>
                          </w:rPr>
                          <w:t>Razón Social</w:t>
                        </w:r>
                      </w:p>
                    </w:tc>
                  </w:tr>
                  <w:tr>
                    <w:trPr>
                      <w:trHeight w:val="324" w:hRule="exact"/>
                    </w:trPr>
                    <w:tc>
                      <w:tcPr>
                        <w:tcW w:w="831" w:type="dxa"/>
                        <w:vMerge w:val="restart"/>
                        <w:tcBorders>
                          <w:top w:val="dotted" w:sz="4" w:space="0" w:color="FFFFFF"/>
                          <w:left w:val="nil"/>
                        </w:tcBorders>
                        <w:textDirection w:val="btLr"/>
                      </w:tcPr>
                      <w:p>
                        <w:pPr>
                          <w:pStyle w:val="TableParagraph"/>
                          <w:rPr>
                            <w:sz w:val="16"/>
                          </w:rPr>
                        </w:pPr>
                      </w:p>
                      <w:p>
                        <w:pPr>
                          <w:pStyle w:val="TableParagraph"/>
                          <w:spacing w:before="138"/>
                          <w:ind w:left="-1"/>
                          <w:rPr>
                            <w:sz w:val="16"/>
                          </w:rPr>
                        </w:pPr>
                        <w:r>
                          <w:rPr>
                            <w:w w:val="101"/>
                            <w:sz w:val="16"/>
                          </w:rPr>
                          <w:t>Activas</w:t>
                        </w:r>
                      </w:p>
                    </w:tc>
                    <w:tc>
                      <w:tcPr>
                        <w:tcW w:w="1502" w:type="dxa"/>
                        <w:tcBorders>
                          <w:top w:val="dotted" w:sz="4" w:space="0" w:color="FFFFFF"/>
                        </w:tcBorders>
                      </w:tcPr>
                      <w:p>
                        <w:pPr>
                          <w:pStyle w:val="TableParagraph"/>
                          <w:spacing w:before="64"/>
                          <w:ind w:left="102" w:right="329"/>
                          <w:rPr>
                            <w:sz w:val="16"/>
                          </w:rPr>
                        </w:pPr>
                        <w:r>
                          <w:rPr>
                            <w:sz w:val="16"/>
                          </w:rPr>
                          <w:t>Colinoli</w:t>
                        </w:r>
                      </w:p>
                    </w:tc>
                    <w:tc>
                      <w:tcPr>
                        <w:tcW w:w="993" w:type="dxa"/>
                        <w:vMerge w:val="restart"/>
                        <w:tcBorders>
                          <w:top w:val="dotted" w:sz="4" w:space="0" w:color="FFFFFF"/>
                        </w:tcBorders>
                      </w:tcPr>
                      <w:p>
                        <w:pPr>
                          <w:pStyle w:val="TableParagraph"/>
                          <w:spacing w:line="333" w:lineRule="auto" w:before="85"/>
                          <w:ind w:left="103"/>
                          <w:rPr>
                            <w:sz w:val="16"/>
                          </w:rPr>
                        </w:pPr>
                        <w:r>
                          <w:rPr>
                            <w:sz w:val="16"/>
                          </w:rPr>
                          <w:t>Arena y Grava</w:t>
                        </w:r>
                      </w:p>
                    </w:tc>
                    <w:tc>
                      <w:tcPr>
                        <w:tcW w:w="1275" w:type="dxa"/>
                        <w:vMerge w:val="restart"/>
                        <w:tcBorders>
                          <w:top w:val="dotted" w:sz="4" w:space="0" w:color="FFFFFF"/>
                        </w:tcBorders>
                      </w:tcPr>
                      <w:p>
                        <w:pPr>
                          <w:pStyle w:val="TableParagraph"/>
                          <w:spacing w:line="261" w:lineRule="auto" w:before="14"/>
                          <w:ind w:left="102"/>
                          <w:rPr>
                            <w:sz w:val="16"/>
                          </w:rPr>
                        </w:pPr>
                        <w:r>
                          <w:rPr>
                            <w:sz w:val="16"/>
                          </w:rPr>
                          <w:t>Extracción clasificación y venta</w:t>
                        </w:r>
                      </w:p>
                    </w:tc>
                    <w:tc>
                      <w:tcPr>
                        <w:tcW w:w="1276" w:type="dxa"/>
                        <w:tcBorders>
                          <w:top w:val="dotted" w:sz="4" w:space="0" w:color="FFFFFF"/>
                          <w:bottom w:val="single" w:sz="4" w:space="0" w:color="FFFFFF"/>
                        </w:tcBorders>
                      </w:tcPr>
                      <w:p>
                        <w:pPr>
                          <w:pStyle w:val="TableParagraph"/>
                          <w:spacing w:before="64"/>
                          <w:ind w:left="103" w:right="431"/>
                          <w:rPr>
                            <w:sz w:val="16"/>
                          </w:rPr>
                        </w:pPr>
                        <w:r>
                          <w:rPr>
                            <w:sz w:val="16"/>
                          </w:rPr>
                          <w:t>10</w:t>
                        </w:r>
                      </w:p>
                    </w:tc>
                    <w:tc>
                      <w:tcPr>
                        <w:tcW w:w="1823" w:type="dxa"/>
                        <w:tcBorders>
                          <w:top w:val="dotted" w:sz="4" w:space="0" w:color="FFFFFF"/>
                          <w:bottom w:val="single" w:sz="4" w:space="0" w:color="FFFFFF"/>
                          <w:right w:val="nil"/>
                        </w:tcBorders>
                      </w:tcPr>
                      <w:p>
                        <w:pPr>
                          <w:pStyle w:val="TableParagraph"/>
                          <w:spacing w:line="148" w:lineRule="exact"/>
                          <w:ind w:left="103"/>
                          <w:rPr>
                            <w:sz w:val="16"/>
                          </w:rPr>
                        </w:pPr>
                        <w:r>
                          <w:rPr>
                            <w:sz w:val="16"/>
                          </w:rPr>
                          <w:t>Mina Colin S.A. DE</w:t>
                        </w:r>
                      </w:p>
                      <w:p>
                        <w:pPr>
                          <w:pStyle w:val="TableParagraph"/>
                          <w:spacing w:before="16"/>
                          <w:ind w:left="103"/>
                          <w:rPr>
                            <w:sz w:val="16"/>
                          </w:rPr>
                        </w:pPr>
                        <w:r>
                          <w:rPr>
                            <w:sz w:val="16"/>
                          </w:rPr>
                          <w:t>C.V.</w:t>
                        </w:r>
                      </w:p>
                    </w:tc>
                  </w:tr>
                  <w:tr>
                    <w:trPr>
                      <w:trHeight w:val="300" w:hRule="exact"/>
                    </w:trPr>
                    <w:tc>
                      <w:tcPr>
                        <w:tcW w:w="831" w:type="dxa"/>
                        <w:vMerge/>
                        <w:tcBorders>
                          <w:left w:val="nil"/>
                        </w:tcBorders>
                        <w:textDirection w:val="btLr"/>
                      </w:tcPr>
                      <w:p>
                        <w:pPr/>
                      </w:p>
                    </w:tc>
                    <w:tc>
                      <w:tcPr>
                        <w:tcW w:w="1502" w:type="dxa"/>
                        <w:tcBorders>
                          <w:bottom w:val="dotted" w:sz="4" w:space="0" w:color="929292"/>
                        </w:tcBorders>
                      </w:tcPr>
                      <w:p>
                        <w:pPr>
                          <w:pStyle w:val="TableParagraph"/>
                          <w:spacing w:before="52"/>
                          <w:ind w:left="102" w:right="329"/>
                          <w:rPr>
                            <w:sz w:val="16"/>
                          </w:rPr>
                        </w:pPr>
                        <w:r>
                          <w:rPr>
                            <w:sz w:val="16"/>
                          </w:rPr>
                          <w:t>El Nevado</w:t>
                        </w:r>
                      </w:p>
                    </w:tc>
                    <w:tc>
                      <w:tcPr>
                        <w:tcW w:w="993" w:type="dxa"/>
                        <w:vMerge/>
                        <w:tcBorders>
                          <w:bottom w:val="dotted" w:sz="4" w:space="0" w:color="929292"/>
                        </w:tcBorders>
                      </w:tcPr>
                      <w:p>
                        <w:pPr/>
                      </w:p>
                    </w:tc>
                    <w:tc>
                      <w:tcPr>
                        <w:tcW w:w="1275" w:type="dxa"/>
                        <w:vMerge/>
                        <w:tcBorders>
                          <w:bottom w:val="dotted" w:sz="4" w:space="0" w:color="929292"/>
                        </w:tcBorders>
                      </w:tcPr>
                      <w:p>
                        <w:pPr/>
                      </w:p>
                    </w:tc>
                    <w:tc>
                      <w:tcPr>
                        <w:tcW w:w="1276" w:type="dxa"/>
                        <w:tcBorders>
                          <w:top w:val="single" w:sz="4" w:space="0" w:color="FFFFFF"/>
                          <w:bottom w:val="dotted" w:sz="4" w:space="0" w:color="929292"/>
                        </w:tcBorders>
                      </w:tcPr>
                      <w:p>
                        <w:pPr>
                          <w:pStyle w:val="TableParagraph"/>
                          <w:spacing w:before="52"/>
                          <w:ind w:left="103" w:right="431"/>
                          <w:rPr>
                            <w:sz w:val="16"/>
                          </w:rPr>
                        </w:pPr>
                        <w:r>
                          <w:rPr>
                            <w:sz w:val="16"/>
                          </w:rPr>
                          <w:t>12</w:t>
                        </w:r>
                      </w:p>
                    </w:tc>
                    <w:tc>
                      <w:tcPr>
                        <w:tcW w:w="1823" w:type="dxa"/>
                        <w:tcBorders>
                          <w:top w:val="single" w:sz="4" w:space="0" w:color="FFFFFF"/>
                          <w:bottom w:val="dotted" w:sz="4" w:space="0" w:color="929292"/>
                          <w:right w:val="nil"/>
                        </w:tcBorders>
                      </w:tcPr>
                      <w:p>
                        <w:pPr>
                          <w:pStyle w:val="TableParagraph"/>
                          <w:spacing w:before="52"/>
                          <w:ind w:left="103"/>
                          <w:rPr>
                            <w:sz w:val="16"/>
                          </w:rPr>
                        </w:pPr>
                        <w:r>
                          <w:rPr>
                            <w:sz w:val="16"/>
                          </w:rPr>
                          <w:t>Mina el Nevado</w:t>
                        </w:r>
                      </w:p>
                    </w:tc>
                  </w:tr>
                  <w:tr>
                    <w:trPr>
                      <w:trHeight w:val="324" w:hRule="exact"/>
                    </w:trPr>
                    <w:tc>
                      <w:tcPr>
                        <w:tcW w:w="831" w:type="dxa"/>
                        <w:vMerge/>
                        <w:tcBorders>
                          <w:left w:val="nil"/>
                        </w:tcBorders>
                        <w:textDirection w:val="btLr"/>
                      </w:tcPr>
                      <w:p>
                        <w:pPr/>
                      </w:p>
                    </w:tc>
                    <w:tc>
                      <w:tcPr>
                        <w:tcW w:w="1502" w:type="dxa"/>
                        <w:vMerge w:val="restart"/>
                        <w:tcBorders>
                          <w:top w:val="dotted" w:sz="4" w:space="0" w:color="929292"/>
                        </w:tcBorders>
                      </w:tcPr>
                      <w:p>
                        <w:pPr>
                          <w:pStyle w:val="TableParagraph"/>
                          <w:spacing w:line="148" w:lineRule="exact"/>
                          <w:ind w:left="102"/>
                          <w:rPr>
                            <w:sz w:val="16"/>
                          </w:rPr>
                        </w:pPr>
                        <w:r>
                          <w:rPr>
                            <w:sz w:val="16"/>
                          </w:rPr>
                          <w:t>Ocho y Medio SA</w:t>
                        </w:r>
                      </w:p>
                      <w:p>
                        <w:pPr>
                          <w:pStyle w:val="TableParagraph"/>
                          <w:tabs>
                            <w:tab w:pos="1482" w:val="left" w:leader="none"/>
                          </w:tabs>
                          <w:spacing w:before="16"/>
                          <w:ind w:left="25"/>
                          <w:rPr>
                            <w:sz w:val="16"/>
                          </w:rPr>
                        </w:pPr>
                        <w:r>
                          <w:rPr>
                            <w:w w:val="100"/>
                            <w:sz w:val="16"/>
                            <w:u w:val="dotted" w:color="929292"/>
                          </w:rPr>
                          <w:t> </w:t>
                        </w:r>
                        <w:r>
                          <w:rPr>
                            <w:spacing w:val="-11"/>
                            <w:sz w:val="16"/>
                            <w:u w:val="dotted" w:color="929292"/>
                          </w:rPr>
                          <w:t> </w:t>
                        </w:r>
                        <w:r>
                          <w:rPr>
                            <w:sz w:val="16"/>
                            <w:u w:val="dotted" w:color="929292"/>
                          </w:rPr>
                          <w:t>de</w:t>
                        </w:r>
                        <w:r>
                          <w:rPr>
                            <w:spacing w:val="-7"/>
                            <w:sz w:val="16"/>
                            <w:u w:val="dotted" w:color="929292"/>
                          </w:rPr>
                          <w:t> </w:t>
                        </w:r>
                        <w:r>
                          <w:rPr>
                            <w:sz w:val="16"/>
                            <w:u w:val="dotted" w:color="929292"/>
                          </w:rPr>
                          <w:t>CV</w:t>
                          <w:tab/>
                        </w:r>
                      </w:p>
                      <w:p>
                        <w:pPr>
                          <w:pStyle w:val="TableParagraph"/>
                          <w:spacing w:line="200" w:lineRule="atLeast" w:before="36"/>
                          <w:ind w:left="102" w:right="329"/>
                          <w:rPr>
                            <w:sz w:val="16"/>
                          </w:rPr>
                        </w:pPr>
                        <w:r>
                          <w:rPr>
                            <w:sz w:val="16"/>
                          </w:rPr>
                          <w:t>San Diego La Huerta</w:t>
                        </w:r>
                      </w:p>
                      <w:p>
                        <w:pPr>
                          <w:pStyle w:val="TableParagraph"/>
                          <w:tabs>
                            <w:tab w:pos="1482" w:val="left" w:leader="none"/>
                          </w:tabs>
                          <w:spacing w:line="148" w:lineRule="auto"/>
                          <w:ind w:left="102" w:right="8" w:hanging="78"/>
                          <w:rPr>
                            <w:sz w:val="16"/>
                          </w:rPr>
                        </w:pPr>
                        <w:r>
                          <w:rPr>
                            <w:w w:val="100"/>
                            <w:sz w:val="16"/>
                            <w:u w:val="dotted" w:color="929292"/>
                          </w:rPr>
                          <w:t> </w:t>
                        </w:r>
                        <w:r>
                          <w:rPr>
                            <w:sz w:val="16"/>
                            <w:u w:val="dotted" w:color="929292"/>
                          </w:rPr>
                          <w:tab/>
                          <w:tab/>
                        </w:r>
                        <w:r>
                          <w:rPr>
                            <w:sz w:val="16"/>
                          </w:rPr>
                          <w:t> </w:t>
                        </w:r>
                        <w:r>
                          <w:rPr>
                            <w:w w:val="97"/>
                            <w:sz w:val="16"/>
                          </w:rPr>
                          <w:t>San</w:t>
                        </w:r>
                        <w:r>
                          <w:rPr>
                            <w:sz w:val="16"/>
                          </w:rPr>
                          <w:t> </w:t>
                        </w:r>
                        <w:r>
                          <w:rPr>
                            <w:w w:val="102"/>
                            <w:sz w:val="16"/>
                          </w:rPr>
                          <w:t>Marcos</w:t>
                        </w:r>
                        <w:r>
                          <w:rPr>
                            <w:sz w:val="16"/>
                          </w:rPr>
                          <w:t> </w:t>
                        </w:r>
                        <w:r>
                          <w:rPr>
                            <w:w w:val="101"/>
                            <w:sz w:val="16"/>
                          </w:rPr>
                          <w:t>de</w:t>
                        </w:r>
                        <w:r>
                          <w:rPr>
                            <w:sz w:val="16"/>
                          </w:rPr>
                          <w:t> </w:t>
                        </w:r>
                        <w:r>
                          <w:rPr>
                            <w:w w:val="97"/>
                            <w:sz w:val="16"/>
                          </w:rPr>
                          <w:t>la</w:t>
                        </w:r>
                      </w:p>
                      <w:p>
                        <w:pPr>
                          <w:pStyle w:val="TableParagraph"/>
                          <w:tabs>
                            <w:tab w:pos="1482" w:val="left" w:leader="none"/>
                          </w:tabs>
                          <w:spacing w:before="29"/>
                          <w:ind w:left="25"/>
                          <w:rPr>
                            <w:sz w:val="16"/>
                          </w:rPr>
                        </w:pPr>
                        <w:r>
                          <w:rPr>
                            <w:w w:val="100"/>
                            <w:sz w:val="16"/>
                            <w:u w:val="dotted" w:color="929292"/>
                          </w:rPr>
                          <w:t> </w:t>
                        </w:r>
                        <w:r>
                          <w:rPr>
                            <w:spacing w:val="-11"/>
                            <w:sz w:val="16"/>
                            <w:u w:val="dotted" w:color="929292"/>
                          </w:rPr>
                          <w:t> </w:t>
                        </w:r>
                        <w:r>
                          <w:rPr>
                            <w:sz w:val="16"/>
                            <w:u w:val="dotted" w:color="929292"/>
                          </w:rPr>
                          <w:t>Cruz</w:t>
                          <w:tab/>
                        </w:r>
                      </w:p>
                      <w:p>
                        <w:pPr>
                          <w:pStyle w:val="TableParagraph"/>
                          <w:spacing w:line="149" w:lineRule="exact" w:before="40"/>
                          <w:ind w:left="102" w:right="329"/>
                          <w:rPr>
                            <w:sz w:val="16"/>
                          </w:rPr>
                        </w:pPr>
                        <w:r>
                          <w:rPr>
                            <w:sz w:val="16"/>
                          </w:rPr>
                          <w:t>Zaragoza</w:t>
                        </w:r>
                      </w:p>
                      <w:p>
                        <w:pPr>
                          <w:pStyle w:val="TableParagraph"/>
                          <w:tabs>
                            <w:tab w:pos="1482" w:val="left" w:leader="none"/>
                          </w:tabs>
                          <w:spacing w:line="141" w:lineRule="auto" w:before="27"/>
                          <w:ind w:left="102" w:right="8" w:hanging="78"/>
                          <w:rPr>
                            <w:sz w:val="16"/>
                          </w:rPr>
                        </w:pPr>
                        <w:r>
                          <w:rPr>
                            <w:color w:val="6D6E71"/>
                            <w:w w:val="100"/>
                            <w:sz w:val="16"/>
                            <w:u w:val="dotted" w:color="929292"/>
                          </w:rPr>
                          <w:t> </w:t>
                        </w:r>
                        <w:r>
                          <w:rPr>
                            <w:color w:val="6D6E71"/>
                            <w:sz w:val="16"/>
                            <w:u w:val="dotted" w:color="929292"/>
                          </w:rPr>
                          <w:tab/>
                          <w:tab/>
                        </w:r>
                        <w:r>
                          <w:rPr>
                            <w:color w:val="6D6E71"/>
                            <w:sz w:val="16"/>
                          </w:rPr>
                          <w:t> </w:t>
                        </w:r>
                        <w:r>
                          <w:rPr>
                            <w:w w:val="99"/>
                            <w:sz w:val="16"/>
                          </w:rPr>
                          <w:t>Santa</w:t>
                        </w:r>
                        <w:r>
                          <w:rPr>
                            <w:sz w:val="16"/>
                          </w:rPr>
                          <w:t> </w:t>
                        </w:r>
                        <w:r>
                          <w:rPr>
                            <w:w w:val="97"/>
                            <w:sz w:val="16"/>
                          </w:rPr>
                          <w:t>María</w:t>
                        </w:r>
                      </w:p>
                      <w:p>
                        <w:pPr>
                          <w:pStyle w:val="TableParagraph"/>
                          <w:tabs>
                            <w:tab w:pos="1482" w:val="left" w:leader="none"/>
                          </w:tabs>
                          <w:spacing w:line="276" w:lineRule="auto" w:before="30"/>
                          <w:ind w:left="102" w:right="8" w:hanging="78"/>
                          <w:rPr>
                            <w:sz w:val="16"/>
                          </w:rPr>
                        </w:pPr>
                        <w:r>
                          <w:rPr>
                            <w:w w:val="100"/>
                            <w:sz w:val="16"/>
                            <w:u w:val="dotted" w:color="929292"/>
                          </w:rPr>
                          <w:t> </w:t>
                        </w:r>
                        <w:r>
                          <w:rPr>
                            <w:spacing w:val="-11"/>
                            <w:sz w:val="16"/>
                            <w:u w:val="dotted" w:color="929292"/>
                          </w:rPr>
                          <w:t> </w:t>
                        </w:r>
                        <w:r>
                          <w:rPr>
                            <w:sz w:val="16"/>
                            <w:u w:val="dotted" w:color="929292"/>
                          </w:rPr>
                          <w:t>Nativitas</w:t>
                          <w:tab/>
                        </w:r>
                        <w:r>
                          <w:rPr>
                            <w:sz w:val="16"/>
                          </w:rPr>
                          <w:t> Nativitas</w:t>
                        </w:r>
                      </w:p>
                    </w:tc>
                    <w:tc>
                      <w:tcPr>
                        <w:tcW w:w="993" w:type="dxa"/>
                        <w:vMerge w:val="restart"/>
                        <w:tcBorders>
                          <w:top w:val="dotted" w:sz="4" w:space="0" w:color="929292"/>
                        </w:tcBorders>
                      </w:tcPr>
                      <w:p>
                        <w:pPr>
                          <w:pStyle w:val="TableParagraph"/>
                          <w:spacing w:before="3"/>
                          <w:rPr>
                            <w:sz w:val="14"/>
                          </w:rPr>
                        </w:pPr>
                      </w:p>
                      <w:p>
                        <w:pPr>
                          <w:pStyle w:val="TableParagraph"/>
                          <w:tabs>
                            <w:tab w:pos="972" w:val="left" w:leader="none"/>
                          </w:tabs>
                          <w:ind w:left="25"/>
                          <w:rPr>
                            <w:sz w:val="16"/>
                          </w:rPr>
                        </w:pPr>
                        <w:r>
                          <w:rPr>
                            <w:w w:val="100"/>
                            <w:sz w:val="16"/>
                            <w:u w:val="dotted" w:color="929292"/>
                          </w:rPr>
                          <w:t> </w:t>
                        </w:r>
                        <w:r>
                          <w:rPr>
                            <w:sz w:val="16"/>
                            <w:u w:val="dotted" w:color="929292"/>
                          </w:rPr>
                          <w:tab/>
                        </w:r>
                      </w:p>
                      <w:p>
                        <w:pPr>
                          <w:pStyle w:val="TableParagraph"/>
                          <w:rPr>
                            <w:sz w:val="16"/>
                          </w:rPr>
                        </w:pPr>
                      </w:p>
                      <w:p>
                        <w:pPr>
                          <w:pStyle w:val="TableParagraph"/>
                          <w:spacing w:before="8"/>
                          <w:rPr>
                            <w:sz w:val="16"/>
                          </w:rPr>
                        </w:pPr>
                      </w:p>
                      <w:p>
                        <w:pPr>
                          <w:pStyle w:val="TableParagraph"/>
                          <w:spacing w:line="261" w:lineRule="auto" w:before="1"/>
                          <w:ind w:left="103"/>
                          <w:rPr>
                            <w:sz w:val="16"/>
                          </w:rPr>
                        </w:pPr>
                        <w:r>
                          <w:rPr>
                            <w:sz w:val="16"/>
                          </w:rPr>
                          <w:t>Tepojal </w:t>
                        </w:r>
                        <w:r>
                          <w:rPr>
                            <w:w w:val="95"/>
                            <w:sz w:val="16"/>
                          </w:rPr>
                          <w:t>(pumicita)</w:t>
                        </w:r>
                      </w:p>
                      <w:p>
                        <w:pPr>
                          <w:pStyle w:val="TableParagraph"/>
                          <w:rPr>
                            <w:sz w:val="16"/>
                          </w:rPr>
                        </w:pPr>
                      </w:p>
                      <w:p>
                        <w:pPr>
                          <w:pStyle w:val="TableParagraph"/>
                          <w:tabs>
                            <w:tab w:pos="972" w:val="left" w:leader="none"/>
                          </w:tabs>
                          <w:spacing w:line="141" w:lineRule="auto" w:before="129"/>
                          <w:ind w:left="103" w:right="8" w:hanging="78"/>
                          <w:rPr>
                            <w:sz w:val="16"/>
                          </w:rPr>
                        </w:pPr>
                        <w:r>
                          <w:rPr>
                            <w:color w:val="6D6E71"/>
                            <w:w w:val="100"/>
                            <w:sz w:val="16"/>
                            <w:u w:val="dotted" w:color="929292"/>
                          </w:rPr>
                          <w:t> </w:t>
                        </w:r>
                        <w:r>
                          <w:rPr>
                            <w:color w:val="6D6E71"/>
                            <w:sz w:val="16"/>
                            <w:u w:val="dotted" w:color="929292"/>
                          </w:rPr>
                          <w:tab/>
                          <w:tab/>
                        </w:r>
                        <w:r>
                          <w:rPr>
                            <w:color w:val="6D6E71"/>
                            <w:sz w:val="16"/>
                          </w:rPr>
                          <w:t> </w:t>
                        </w:r>
                        <w:r>
                          <w:rPr>
                            <w:w w:val="99"/>
                            <w:sz w:val="16"/>
                          </w:rPr>
                          <w:t>Arcilla</w:t>
                        </w:r>
                      </w:p>
                      <w:p>
                        <w:pPr>
                          <w:pStyle w:val="TableParagraph"/>
                          <w:tabs>
                            <w:tab w:pos="972" w:val="left" w:leader="none"/>
                          </w:tabs>
                          <w:spacing w:before="30"/>
                          <w:ind w:left="25"/>
                          <w:rPr>
                            <w:sz w:val="16"/>
                          </w:rPr>
                        </w:pPr>
                        <w:r>
                          <w:rPr>
                            <w:w w:val="100"/>
                            <w:sz w:val="16"/>
                            <w:u w:val="dotted" w:color="929292"/>
                          </w:rPr>
                          <w:t> </w:t>
                        </w:r>
                        <w:r>
                          <w:rPr>
                            <w:spacing w:val="-11"/>
                            <w:sz w:val="16"/>
                            <w:u w:val="dotted" w:color="929292"/>
                          </w:rPr>
                          <w:t> </w:t>
                        </w:r>
                        <w:r>
                          <w:rPr>
                            <w:sz w:val="16"/>
                            <w:u w:val="dotted" w:color="929292"/>
                          </w:rPr>
                          <w:t>común</w:t>
                          <w:tab/>
                        </w:r>
                      </w:p>
                      <w:p>
                        <w:pPr>
                          <w:pStyle w:val="TableParagraph"/>
                          <w:rPr>
                            <w:sz w:val="16"/>
                          </w:rPr>
                        </w:pPr>
                      </w:p>
                      <w:p>
                        <w:pPr>
                          <w:pStyle w:val="TableParagraph"/>
                          <w:rPr>
                            <w:sz w:val="16"/>
                          </w:rPr>
                        </w:pPr>
                      </w:p>
                      <w:p>
                        <w:pPr>
                          <w:pStyle w:val="TableParagraph"/>
                          <w:spacing w:before="11"/>
                          <w:rPr>
                            <w:sz w:val="14"/>
                          </w:rPr>
                        </w:pPr>
                      </w:p>
                      <w:p>
                        <w:pPr>
                          <w:pStyle w:val="TableParagraph"/>
                          <w:spacing w:line="261" w:lineRule="auto"/>
                          <w:ind w:left="103" w:right="412"/>
                          <w:rPr>
                            <w:sz w:val="16"/>
                          </w:rPr>
                        </w:pPr>
                        <w:r>
                          <w:rPr>
                            <w:w w:val="95"/>
                            <w:sz w:val="16"/>
                          </w:rPr>
                          <w:t>Arena, </w:t>
                        </w:r>
                        <w:r>
                          <w:rPr>
                            <w:sz w:val="16"/>
                          </w:rPr>
                          <w:t>Grava</w:t>
                        </w:r>
                      </w:p>
                    </w:tc>
                    <w:tc>
                      <w:tcPr>
                        <w:tcW w:w="1275" w:type="dxa"/>
                        <w:vMerge w:val="restart"/>
                        <w:tcBorders>
                          <w:top w:val="dotted" w:sz="4" w:space="0" w:color="929292"/>
                        </w:tcBorders>
                      </w:tcPr>
                      <w:p>
                        <w:pPr/>
                      </w:p>
                    </w:tc>
                    <w:tc>
                      <w:tcPr>
                        <w:tcW w:w="1276" w:type="dxa"/>
                        <w:tcBorders>
                          <w:top w:val="dotted" w:sz="4" w:space="0" w:color="929292"/>
                          <w:bottom w:val="single" w:sz="4" w:space="0" w:color="FFFFFF"/>
                        </w:tcBorders>
                      </w:tcPr>
                      <w:p>
                        <w:pPr>
                          <w:pStyle w:val="TableParagraph"/>
                          <w:spacing w:line="142" w:lineRule="exact" w:before="64"/>
                          <w:ind w:left="103" w:right="431"/>
                          <w:rPr>
                            <w:sz w:val="16"/>
                          </w:rPr>
                        </w:pPr>
                        <w:r>
                          <w:rPr>
                            <w:sz w:val="16"/>
                          </w:rPr>
                          <w:t>12</w:t>
                        </w:r>
                      </w:p>
                      <w:p>
                        <w:pPr>
                          <w:pStyle w:val="TableParagraph"/>
                          <w:tabs>
                            <w:tab w:pos="1256" w:val="left" w:leader="none"/>
                          </w:tabs>
                          <w:spacing w:line="142" w:lineRule="exact"/>
                          <w:ind w:left="24"/>
                          <w:rPr>
                            <w:sz w:val="16"/>
                          </w:rPr>
                        </w:pPr>
                        <w:r>
                          <w:rPr>
                            <w:w w:val="100"/>
                            <w:sz w:val="16"/>
                            <w:u w:val="dotted" w:color="929292"/>
                          </w:rPr>
                          <w:t> </w:t>
                        </w:r>
                        <w:r>
                          <w:rPr>
                            <w:sz w:val="16"/>
                            <w:u w:val="dotted" w:color="929292"/>
                          </w:rPr>
                          <w:tab/>
                        </w:r>
                      </w:p>
                    </w:tc>
                    <w:tc>
                      <w:tcPr>
                        <w:tcW w:w="1823" w:type="dxa"/>
                        <w:tcBorders>
                          <w:top w:val="dotted" w:sz="4" w:space="0" w:color="929292"/>
                          <w:bottom w:val="single" w:sz="4" w:space="0" w:color="FFFFFF"/>
                          <w:right w:val="nil"/>
                        </w:tcBorders>
                      </w:tcPr>
                      <w:p>
                        <w:pPr>
                          <w:pStyle w:val="TableParagraph"/>
                          <w:spacing w:line="148" w:lineRule="exact"/>
                          <w:ind w:left="103"/>
                          <w:rPr>
                            <w:sz w:val="16"/>
                          </w:rPr>
                        </w:pPr>
                        <w:r>
                          <w:rPr>
                            <w:sz w:val="16"/>
                          </w:rPr>
                          <w:t>Mina Ocho y Medio</w:t>
                        </w:r>
                      </w:p>
                      <w:p>
                        <w:pPr>
                          <w:pStyle w:val="TableParagraph"/>
                          <w:tabs>
                            <w:tab w:pos="1797"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S.A de C.</w:t>
                        </w:r>
                        <w:r>
                          <w:rPr>
                            <w:spacing w:val="-13"/>
                            <w:sz w:val="16"/>
                            <w:u w:val="dotted" w:color="929292"/>
                          </w:rPr>
                          <w:t> </w:t>
                        </w:r>
                        <w:r>
                          <w:rPr>
                            <w:sz w:val="16"/>
                            <w:u w:val="dotted" w:color="929292"/>
                          </w:rPr>
                          <w:t>V.</w:t>
                          <w:tab/>
                        </w:r>
                      </w:p>
                    </w:tc>
                  </w:tr>
                  <w:tr>
                    <w:trPr>
                      <w:trHeight w:val="549" w:hRule="exact"/>
                    </w:trPr>
                    <w:tc>
                      <w:tcPr>
                        <w:tcW w:w="831" w:type="dxa"/>
                        <w:vMerge/>
                        <w:tcBorders>
                          <w:left w:val="nil"/>
                        </w:tcBorders>
                        <w:textDirection w:val="btLr"/>
                      </w:tcPr>
                      <w:p>
                        <w:pPr/>
                      </w:p>
                    </w:tc>
                    <w:tc>
                      <w:tcPr>
                        <w:tcW w:w="1502" w:type="dxa"/>
                        <w:vMerge/>
                      </w:tcPr>
                      <w:p>
                        <w:pPr/>
                      </w:p>
                    </w:tc>
                    <w:tc>
                      <w:tcPr>
                        <w:tcW w:w="993" w:type="dxa"/>
                        <w:vMerge/>
                      </w:tcPr>
                      <w:p>
                        <w:pPr/>
                      </w:p>
                    </w:tc>
                    <w:tc>
                      <w:tcPr>
                        <w:tcW w:w="1275" w:type="dxa"/>
                        <w:vMerge/>
                      </w:tcPr>
                      <w:p>
                        <w:pPr/>
                      </w:p>
                    </w:tc>
                    <w:tc>
                      <w:tcPr>
                        <w:tcW w:w="1276" w:type="dxa"/>
                        <w:tcBorders>
                          <w:top w:val="single" w:sz="4" w:space="0" w:color="FFFFFF"/>
                          <w:bottom w:val="single" w:sz="4" w:space="0" w:color="FFFFFF"/>
                        </w:tcBorders>
                      </w:tcPr>
                      <w:p>
                        <w:pPr>
                          <w:pStyle w:val="TableParagraph"/>
                          <w:spacing w:before="4"/>
                          <w:rPr>
                            <w:sz w:val="15"/>
                          </w:rPr>
                        </w:pPr>
                      </w:p>
                      <w:p>
                        <w:pPr>
                          <w:pStyle w:val="TableParagraph"/>
                          <w:ind w:left="103"/>
                          <w:rPr>
                            <w:sz w:val="16"/>
                          </w:rPr>
                        </w:pPr>
                        <w:r>
                          <w:rPr>
                            <w:w w:val="99"/>
                            <w:sz w:val="16"/>
                          </w:rPr>
                          <w:t>5</w:t>
                        </w:r>
                      </w:p>
                      <w:p>
                        <w:pPr>
                          <w:pStyle w:val="TableParagraph"/>
                          <w:tabs>
                            <w:tab w:pos="1256" w:val="left" w:leader="none"/>
                          </w:tabs>
                          <w:spacing w:line="178" w:lineRule="exact" w:before="40"/>
                          <w:ind w:left="24"/>
                          <w:rPr>
                            <w:sz w:val="16"/>
                          </w:rPr>
                        </w:pPr>
                        <w:r>
                          <w:rPr>
                            <w:w w:val="100"/>
                            <w:sz w:val="16"/>
                            <w:u w:val="dotted" w:color="929292"/>
                          </w:rPr>
                          <w:t> </w:t>
                        </w:r>
                        <w:r>
                          <w:rPr>
                            <w:sz w:val="16"/>
                            <w:u w:val="dotted" w:color="929292"/>
                          </w:rPr>
                          <w:tab/>
                        </w:r>
                      </w:p>
                    </w:tc>
                    <w:tc>
                      <w:tcPr>
                        <w:tcW w:w="1823" w:type="dxa"/>
                        <w:tcBorders>
                          <w:top w:val="single" w:sz="4" w:space="0" w:color="FFFFFF"/>
                          <w:bottom w:val="single" w:sz="4" w:space="0" w:color="FFFFFF"/>
                          <w:right w:val="nil"/>
                        </w:tcBorders>
                      </w:tcPr>
                      <w:p>
                        <w:pPr>
                          <w:pStyle w:val="TableParagraph"/>
                          <w:spacing w:before="76"/>
                          <w:ind w:left="103"/>
                          <w:rPr>
                            <w:sz w:val="16"/>
                          </w:rPr>
                        </w:pPr>
                        <w:r>
                          <w:rPr>
                            <w:sz w:val="16"/>
                          </w:rPr>
                          <w:t>Lozetas y Materiales</w:t>
                        </w:r>
                      </w:p>
                      <w:p>
                        <w:pPr>
                          <w:pStyle w:val="TableParagraph"/>
                          <w:spacing w:line="154" w:lineRule="exact" w:before="16"/>
                          <w:ind w:left="103"/>
                          <w:rPr>
                            <w:sz w:val="16"/>
                          </w:rPr>
                        </w:pPr>
                        <w:r>
                          <w:rPr>
                            <w:sz w:val="16"/>
                          </w:rPr>
                          <w:t>S. A. de C. V.</w:t>
                        </w:r>
                      </w:p>
                      <w:p>
                        <w:pPr>
                          <w:pStyle w:val="TableParagraph"/>
                          <w:tabs>
                            <w:tab w:pos="1797" w:val="left" w:leader="none"/>
                          </w:tabs>
                          <w:spacing w:line="148" w:lineRule="exact"/>
                          <w:ind w:left="24"/>
                          <w:rPr>
                            <w:sz w:val="16"/>
                          </w:rPr>
                        </w:pPr>
                        <w:r>
                          <w:rPr>
                            <w:w w:val="100"/>
                            <w:sz w:val="16"/>
                            <w:u w:val="dotted" w:color="929292"/>
                          </w:rPr>
                          <w:t> </w:t>
                        </w:r>
                        <w:r>
                          <w:rPr>
                            <w:sz w:val="16"/>
                            <w:u w:val="dotted" w:color="929292"/>
                          </w:rPr>
                          <w:tab/>
                        </w:r>
                      </w:p>
                    </w:tc>
                  </w:tr>
                  <w:tr>
                    <w:trPr>
                      <w:trHeight w:val="324" w:hRule="exact"/>
                    </w:trPr>
                    <w:tc>
                      <w:tcPr>
                        <w:tcW w:w="831" w:type="dxa"/>
                        <w:vMerge/>
                        <w:tcBorders>
                          <w:left w:val="nil"/>
                        </w:tcBorders>
                        <w:textDirection w:val="btLr"/>
                      </w:tcPr>
                      <w:p>
                        <w:pPr/>
                      </w:p>
                    </w:tc>
                    <w:tc>
                      <w:tcPr>
                        <w:tcW w:w="1502" w:type="dxa"/>
                        <w:vMerge/>
                      </w:tcPr>
                      <w:p>
                        <w:pPr/>
                      </w:p>
                    </w:tc>
                    <w:tc>
                      <w:tcPr>
                        <w:tcW w:w="993" w:type="dxa"/>
                        <w:vMerge/>
                      </w:tcPr>
                      <w:p>
                        <w:pPr/>
                      </w:p>
                    </w:tc>
                    <w:tc>
                      <w:tcPr>
                        <w:tcW w:w="1275" w:type="dxa"/>
                        <w:vMerge/>
                      </w:tcPr>
                      <w:p>
                        <w:pPr/>
                      </w:p>
                    </w:tc>
                    <w:tc>
                      <w:tcPr>
                        <w:tcW w:w="1276" w:type="dxa"/>
                        <w:tcBorders>
                          <w:top w:val="single" w:sz="4" w:space="0" w:color="FFFFFF"/>
                          <w:bottom w:val="single" w:sz="4" w:space="0" w:color="FFFFFF"/>
                        </w:tcBorders>
                      </w:tcPr>
                      <w:p>
                        <w:pPr>
                          <w:pStyle w:val="TableParagraph"/>
                          <w:spacing w:line="142" w:lineRule="exact" w:before="64"/>
                          <w:ind w:left="103"/>
                          <w:rPr>
                            <w:sz w:val="16"/>
                          </w:rPr>
                        </w:pPr>
                        <w:r>
                          <w:rPr>
                            <w:w w:val="99"/>
                            <w:sz w:val="16"/>
                          </w:rPr>
                          <w:t>8</w:t>
                        </w:r>
                      </w:p>
                      <w:p>
                        <w:pPr>
                          <w:pStyle w:val="TableParagraph"/>
                          <w:tabs>
                            <w:tab w:pos="1256" w:val="left" w:leader="none"/>
                          </w:tabs>
                          <w:spacing w:line="142" w:lineRule="exact"/>
                          <w:ind w:left="24"/>
                          <w:rPr>
                            <w:sz w:val="16"/>
                          </w:rPr>
                        </w:pPr>
                        <w:r>
                          <w:rPr>
                            <w:w w:val="100"/>
                            <w:sz w:val="16"/>
                            <w:u w:val="dotted" w:color="929292"/>
                          </w:rPr>
                          <w:t> </w:t>
                        </w:r>
                        <w:r>
                          <w:rPr>
                            <w:sz w:val="16"/>
                            <w:u w:val="dotted" w:color="929292"/>
                          </w:rPr>
                          <w:tab/>
                        </w:r>
                      </w:p>
                    </w:tc>
                    <w:tc>
                      <w:tcPr>
                        <w:tcW w:w="1823" w:type="dxa"/>
                        <w:tcBorders>
                          <w:top w:val="single" w:sz="4" w:space="0" w:color="FFFFFF"/>
                          <w:bottom w:val="single" w:sz="4" w:space="0" w:color="FFFFFF"/>
                          <w:right w:val="nil"/>
                        </w:tcBorders>
                      </w:tcPr>
                      <w:p>
                        <w:pPr>
                          <w:pStyle w:val="TableParagraph"/>
                          <w:spacing w:line="148" w:lineRule="exact"/>
                          <w:ind w:left="103"/>
                          <w:rPr>
                            <w:sz w:val="16"/>
                          </w:rPr>
                        </w:pPr>
                        <w:r>
                          <w:rPr>
                            <w:sz w:val="16"/>
                          </w:rPr>
                          <w:t>Productores</w:t>
                        </w:r>
                      </w:p>
                      <w:p>
                        <w:pPr>
                          <w:pStyle w:val="TableParagraph"/>
                          <w:tabs>
                            <w:tab w:pos="1797"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Independientes</w:t>
                          <w:tab/>
                        </w:r>
                      </w:p>
                    </w:tc>
                  </w:tr>
                  <w:tr>
                    <w:trPr>
                      <w:trHeight w:val="324" w:hRule="exact"/>
                    </w:trPr>
                    <w:tc>
                      <w:tcPr>
                        <w:tcW w:w="831" w:type="dxa"/>
                        <w:vMerge/>
                        <w:tcBorders>
                          <w:left w:val="nil"/>
                        </w:tcBorders>
                        <w:textDirection w:val="btLr"/>
                      </w:tcPr>
                      <w:p>
                        <w:pPr/>
                      </w:p>
                    </w:tc>
                    <w:tc>
                      <w:tcPr>
                        <w:tcW w:w="1502" w:type="dxa"/>
                        <w:vMerge/>
                      </w:tcPr>
                      <w:p>
                        <w:pPr/>
                      </w:p>
                    </w:tc>
                    <w:tc>
                      <w:tcPr>
                        <w:tcW w:w="993" w:type="dxa"/>
                        <w:vMerge/>
                      </w:tcPr>
                      <w:p>
                        <w:pPr/>
                      </w:p>
                    </w:tc>
                    <w:tc>
                      <w:tcPr>
                        <w:tcW w:w="1275" w:type="dxa"/>
                        <w:vMerge/>
                      </w:tcPr>
                      <w:p>
                        <w:pPr/>
                      </w:p>
                    </w:tc>
                    <w:tc>
                      <w:tcPr>
                        <w:tcW w:w="1276" w:type="dxa"/>
                        <w:tcBorders>
                          <w:top w:val="single" w:sz="4" w:space="0" w:color="FFFFFF"/>
                          <w:bottom w:val="single" w:sz="4" w:space="0" w:color="FFFFFF"/>
                        </w:tcBorders>
                      </w:tcPr>
                      <w:p>
                        <w:pPr>
                          <w:pStyle w:val="TableParagraph"/>
                          <w:spacing w:line="149" w:lineRule="exact" w:before="64"/>
                          <w:ind w:left="103"/>
                          <w:rPr>
                            <w:sz w:val="16"/>
                          </w:rPr>
                        </w:pPr>
                        <w:r>
                          <w:rPr>
                            <w:w w:val="99"/>
                            <w:sz w:val="16"/>
                          </w:rPr>
                          <w:t>5</w:t>
                        </w:r>
                      </w:p>
                      <w:p>
                        <w:pPr>
                          <w:pStyle w:val="TableParagraph"/>
                          <w:tabs>
                            <w:tab w:pos="1256" w:val="left" w:leader="none"/>
                          </w:tabs>
                          <w:spacing w:line="141" w:lineRule="exact"/>
                          <w:ind w:left="24"/>
                          <w:rPr>
                            <w:sz w:val="16"/>
                          </w:rPr>
                        </w:pPr>
                        <w:r>
                          <w:rPr>
                            <w:color w:val="6D6E71"/>
                            <w:w w:val="100"/>
                            <w:sz w:val="16"/>
                            <w:u w:val="dotted" w:color="929292"/>
                          </w:rPr>
                          <w:t> </w:t>
                        </w:r>
                        <w:r>
                          <w:rPr>
                            <w:color w:val="6D6E71"/>
                            <w:sz w:val="16"/>
                            <w:u w:val="dotted" w:color="929292"/>
                          </w:rPr>
                          <w:tab/>
                        </w:r>
                      </w:p>
                    </w:tc>
                    <w:tc>
                      <w:tcPr>
                        <w:tcW w:w="1823" w:type="dxa"/>
                        <w:tcBorders>
                          <w:top w:val="single" w:sz="4" w:space="0" w:color="FFFFFF"/>
                          <w:bottom w:val="single" w:sz="4" w:space="0" w:color="FFFFFF"/>
                          <w:right w:val="nil"/>
                        </w:tcBorders>
                      </w:tcPr>
                      <w:p>
                        <w:pPr>
                          <w:pStyle w:val="TableParagraph"/>
                          <w:spacing w:line="148" w:lineRule="exact"/>
                          <w:ind w:left="103"/>
                          <w:rPr>
                            <w:sz w:val="16"/>
                          </w:rPr>
                        </w:pPr>
                        <w:r>
                          <w:rPr>
                            <w:sz w:val="16"/>
                          </w:rPr>
                          <w:t>Productores</w:t>
                        </w:r>
                      </w:p>
                      <w:p>
                        <w:pPr>
                          <w:pStyle w:val="TableParagraph"/>
                          <w:tabs>
                            <w:tab w:pos="1797"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Independientes</w:t>
                          <w:tab/>
                        </w:r>
                      </w:p>
                    </w:tc>
                  </w:tr>
                  <w:tr>
                    <w:trPr>
                      <w:trHeight w:val="324" w:hRule="exact"/>
                    </w:trPr>
                    <w:tc>
                      <w:tcPr>
                        <w:tcW w:w="831" w:type="dxa"/>
                        <w:vMerge/>
                        <w:tcBorders>
                          <w:left w:val="nil"/>
                        </w:tcBorders>
                        <w:textDirection w:val="btLr"/>
                      </w:tcPr>
                      <w:p>
                        <w:pPr/>
                      </w:p>
                    </w:tc>
                    <w:tc>
                      <w:tcPr>
                        <w:tcW w:w="1502" w:type="dxa"/>
                        <w:vMerge/>
                      </w:tcPr>
                      <w:p>
                        <w:pPr/>
                      </w:p>
                    </w:tc>
                    <w:tc>
                      <w:tcPr>
                        <w:tcW w:w="993" w:type="dxa"/>
                        <w:vMerge/>
                      </w:tcPr>
                      <w:p>
                        <w:pPr/>
                      </w:p>
                    </w:tc>
                    <w:tc>
                      <w:tcPr>
                        <w:tcW w:w="1275" w:type="dxa"/>
                        <w:vMerge/>
                      </w:tcPr>
                      <w:p>
                        <w:pPr/>
                      </w:p>
                    </w:tc>
                    <w:tc>
                      <w:tcPr>
                        <w:tcW w:w="1276" w:type="dxa"/>
                        <w:tcBorders>
                          <w:top w:val="single" w:sz="4" w:space="0" w:color="FFFFFF"/>
                        </w:tcBorders>
                      </w:tcPr>
                      <w:p>
                        <w:pPr>
                          <w:pStyle w:val="TableParagraph"/>
                          <w:spacing w:before="64"/>
                          <w:ind w:left="103"/>
                          <w:rPr>
                            <w:sz w:val="16"/>
                          </w:rPr>
                        </w:pPr>
                        <w:r>
                          <w:rPr>
                            <w:w w:val="99"/>
                            <w:sz w:val="16"/>
                          </w:rPr>
                          <w:t>6</w:t>
                        </w:r>
                      </w:p>
                    </w:tc>
                    <w:tc>
                      <w:tcPr>
                        <w:tcW w:w="1823" w:type="dxa"/>
                        <w:tcBorders>
                          <w:top w:val="single" w:sz="4" w:space="0" w:color="FFFFFF"/>
                          <w:right w:val="nil"/>
                        </w:tcBorders>
                      </w:tcPr>
                      <w:p>
                        <w:pPr>
                          <w:pStyle w:val="TableParagraph"/>
                          <w:spacing w:line="148" w:lineRule="exact"/>
                          <w:ind w:left="103"/>
                          <w:rPr>
                            <w:sz w:val="16"/>
                          </w:rPr>
                        </w:pPr>
                        <w:r>
                          <w:rPr>
                            <w:sz w:val="16"/>
                          </w:rPr>
                          <w:t>Productores</w:t>
                        </w:r>
                      </w:p>
                      <w:p>
                        <w:pPr>
                          <w:pStyle w:val="TableParagraph"/>
                          <w:spacing w:before="16"/>
                          <w:ind w:left="103"/>
                          <w:rPr>
                            <w:sz w:val="16"/>
                          </w:rPr>
                        </w:pPr>
                        <w:r>
                          <w:rPr>
                            <w:sz w:val="16"/>
                          </w:rPr>
                          <w:t>Independientes</w:t>
                        </w:r>
                      </w:p>
                    </w:tc>
                  </w:tr>
                  <w:tr>
                    <w:trPr>
                      <w:trHeight w:val="300" w:hRule="exact"/>
                    </w:trPr>
                    <w:tc>
                      <w:tcPr>
                        <w:tcW w:w="831" w:type="dxa"/>
                        <w:vMerge/>
                        <w:tcBorders>
                          <w:left w:val="nil"/>
                        </w:tcBorders>
                        <w:textDirection w:val="btLr"/>
                      </w:tcPr>
                      <w:p>
                        <w:pPr/>
                      </w:p>
                    </w:tc>
                    <w:tc>
                      <w:tcPr>
                        <w:tcW w:w="1502" w:type="dxa"/>
                        <w:vMerge/>
                        <w:tcBorders>
                          <w:bottom w:val="dotted" w:sz="4" w:space="0" w:color="929292"/>
                        </w:tcBorders>
                      </w:tcPr>
                      <w:p>
                        <w:pPr/>
                      </w:p>
                    </w:tc>
                    <w:tc>
                      <w:tcPr>
                        <w:tcW w:w="993" w:type="dxa"/>
                        <w:vMerge/>
                      </w:tcPr>
                      <w:p>
                        <w:pPr/>
                      </w:p>
                    </w:tc>
                    <w:tc>
                      <w:tcPr>
                        <w:tcW w:w="1275" w:type="dxa"/>
                        <w:vMerge/>
                      </w:tcPr>
                      <w:p>
                        <w:pPr/>
                      </w:p>
                    </w:tc>
                    <w:tc>
                      <w:tcPr>
                        <w:tcW w:w="1276" w:type="dxa"/>
                      </w:tcPr>
                      <w:p>
                        <w:pPr>
                          <w:pStyle w:val="TableParagraph"/>
                          <w:spacing w:before="52"/>
                          <w:ind w:left="103" w:right="431"/>
                          <w:rPr>
                            <w:sz w:val="16"/>
                          </w:rPr>
                        </w:pPr>
                        <w:r>
                          <w:rPr>
                            <w:sz w:val="16"/>
                          </w:rPr>
                          <w:t>10</w:t>
                        </w:r>
                      </w:p>
                    </w:tc>
                    <w:tc>
                      <w:tcPr>
                        <w:tcW w:w="1823" w:type="dxa"/>
                        <w:tcBorders>
                          <w:right w:val="nil"/>
                        </w:tcBorders>
                      </w:tcPr>
                      <w:p>
                        <w:pPr>
                          <w:pStyle w:val="TableParagraph"/>
                          <w:spacing w:before="52"/>
                          <w:ind w:left="103"/>
                          <w:rPr>
                            <w:sz w:val="16"/>
                          </w:rPr>
                        </w:pPr>
                        <w:r>
                          <w:rPr>
                            <w:sz w:val="16"/>
                          </w:rPr>
                          <w:t>Juan Vargas Pérez</w:t>
                        </w:r>
                      </w:p>
                    </w:tc>
                  </w:tr>
                  <w:tr>
                    <w:trPr>
                      <w:trHeight w:val="300" w:hRule="exact"/>
                    </w:trPr>
                    <w:tc>
                      <w:tcPr>
                        <w:tcW w:w="831" w:type="dxa"/>
                        <w:vMerge/>
                        <w:tcBorders>
                          <w:left w:val="nil"/>
                        </w:tcBorders>
                        <w:textDirection w:val="btLr"/>
                      </w:tcPr>
                      <w:p>
                        <w:pPr/>
                      </w:p>
                    </w:tc>
                    <w:tc>
                      <w:tcPr>
                        <w:tcW w:w="1502" w:type="dxa"/>
                        <w:tcBorders>
                          <w:top w:val="dotted" w:sz="4" w:space="0" w:color="929292"/>
                          <w:bottom w:val="dotted" w:sz="4" w:space="0" w:color="929292"/>
                        </w:tcBorders>
                      </w:tcPr>
                      <w:p>
                        <w:pPr>
                          <w:pStyle w:val="TableParagraph"/>
                          <w:spacing w:before="52"/>
                          <w:ind w:left="102"/>
                          <w:rPr>
                            <w:sz w:val="16"/>
                          </w:rPr>
                        </w:pPr>
                        <w:r>
                          <w:rPr>
                            <w:sz w:val="16"/>
                          </w:rPr>
                          <w:t>Pascual Vargas</w:t>
                        </w:r>
                      </w:p>
                    </w:tc>
                    <w:tc>
                      <w:tcPr>
                        <w:tcW w:w="993" w:type="dxa"/>
                        <w:vMerge/>
                      </w:tcPr>
                      <w:p>
                        <w:pPr/>
                      </w:p>
                    </w:tc>
                    <w:tc>
                      <w:tcPr>
                        <w:tcW w:w="1275" w:type="dxa"/>
                        <w:vMerge/>
                      </w:tcPr>
                      <w:p>
                        <w:pPr/>
                      </w:p>
                    </w:tc>
                    <w:tc>
                      <w:tcPr>
                        <w:tcW w:w="1276" w:type="dxa"/>
                      </w:tcPr>
                      <w:p>
                        <w:pPr>
                          <w:pStyle w:val="TableParagraph"/>
                          <w:spacing w:before="52"/>
                          <w:ind w:left="103"/>
                          <w:rPr>
                            <w:sz w:val="16"/>
                          </w:rPr>
                        </w:pPr>
                        <w:r>
                          <w:rPr>
                            <w:w w:val="99"/>
                            <w:sz w:val="16"/>
                          </w:rPr>
                          <w:t>7</w:t>
                        </w:r>
                      </w:p>
                    </w:tc>
                    <w:tc>
                      <w:tcPr>
                        <w:tcW w:w="1823" w:type="dxa"/>
                        <w:tcBorders>
                          <w:right w:val="nil"/>
                        </w:tcBorders>
                      </w:tcPr>
                      <w:p>
                        <w:pPr>
                          <w:pStyle w:val="TableParagraph"/>
                          <w:spacing w:before="52"/>
                          <w:ind w:left="103"/>
                          <w:rPr>
                            <w:sz w:val="16"/>
                          </w:rPr>
                        </w:pPr>
                        <w:r>
                          <w:rPr>
                            <w:sz w:val="16"/>
                          </w:rPr>
                          <w:t>Pascual Vargas</w:t>
                        </w:r>
                      </w:p>
                    </w:tc>
                  </w:tr>
                  <w:tr>
                    <w:trPr>
                      <w:trHeight w:val="300" w:hRule="exact"/>
                    </w:trPr>
                    <w:tc>
                      <w:tcPr>
                        <w:tcW w:w="831" w:type="dxa"/>
                        <w:vMerge/>
                        <w:tcBorders>
                          <w:left w:val="nil"/>
                        </w:tcBorders>
                        <w:textDirection w:val="btLr"/>
                      </w:tcPr>
                      <w:p>
                        <w:pPr/>
                      </w:p>
                    </w:tc>
                    <w:tc>
                      <w:tcPr>
                        <w:tcW w:w="1502" w:type="dxa"/>
                        <w:vMerge w:val="restart"/>
                        <w:tcBorders>
                          <w:top w:val="dotted" w:sz="4" w:space="0" w:color="929292"/>
                        </w:tcBorders>
                      </w:tcPr>
                      <w:p>
                        <w:pPr>
                          <w:pStyle w:val="TableParagraph"/>
                          <w:spacing w:line="148" w:lineRule="exact" w:before="52"/>
                          <w:ind w:left="102" w:right="329"/>
                          <w:rPr>
                            <w:sz w:val="16"/>
                          </w:rPr>
                        </w:pPr>
                        <w:r>
                          <w:rPr>
                            <w:sz w:val="16"/>
                          </w:rPr>
                          <w:t>El Durazno</w:t>
                        </w:r>
                      </w:p>
                      <w:p>
                        <w:pPr>
                          <w:pStyle w:val="TableParagraph"/>
                          <w:tabs>
                            <w:tab w:pos="1482" w:val="left" w:leader="none"/>
                          </w:tabs>
                          <w:spacing w:line="148" w:lineRule="exact"/>
                          <w:ind w:left="25"/>
                          <w:rPr>
                            <w:sz w:val="16"/>
                          </w:rPr>
                        </w:pPr>
                        <w:r>
                          <w:rPr>
                            <w:w w:val="100"/>
                            <w:sz w:val="16"/>
                            <w:u w:val="dotted" w:color="929292"/>
                          </w:rPr>
                          <w:t> </w:t>
                        </w:r>
                        <w:r>
                          <w:rPr>
                            <w:sz w:val="16"/>
                            <w:u w:val="dotted" w:color="929292"/>
                          </w:rPr>
                          <w:tab/>
                        </w:r>
                      </w:p>
                      <w:p>
                        <w:pPr>
                          <w:pStyle w:val="TableParagraph"/>
                          <w:spacing w:before="16"/>
                          <w:ind w:left="102" w:right="329"/>
                          <w:rPr>
                            <w:sz w:val="16"/>
                          </w:rPr>
                        </w:pPr>
                        <w:r>
                          <w:rPr>
                            <w:sz w:val="16"/>
                          </w:rPr>
                          <w:t>La Palma</w:t>
                        </w:r>
                      </w:p>
                    </w:tc>
                    <w:tc>
                      <w:tcPr>
                        <w:tcW w:w="993" w:type="dxa"/>
                        <w:vMerge/>
                      </w:tcPr>
                      <w:p>
                        <w:pPr/>
                      </w:p>
                    </w:tc>
                    <w:tc>
                      <w:tcPr>
                        <w:tcW w:w="1275" w:type="dxa"/>
                        <w:vMerge/>
                      </w:tcPr>
                      <w:p>
                        <w:pPr/>
                      </w:p>
                    </w:tc>
                    <w:tc>
                      <w:tcPr>
                        <w:tcW w:w="1276" w:type="dxa"/>
                      </w:tcPr>
                      <w:p>
                        <w:pPr>
                          <w:pStyle w:val="TableParagraph"/>
                          <w:spacing w:before="52"/>
                          <w:ind w:left="103" w:right="431"/>
                          <w:rPr>
                            <w:sz w:val="16"/>
                          </w:rPr>
                        </w:pPr>
                        <w:r>
                          <w:rPr>
                            <w:sz w:val="16"/>
                          </w:rPr>
                          <w:t>10</w:t>
                        </w:r>
                      </w:p>
                    </w:tc>
                    <w:tc>
                      <w:tcPr>
                        <w:tcW w:w="1823" w:type="dxa"/>
                        <w:tcBorders>
                          <w:right w:val="nil"/>
                        </w:tcBorders>
                      </w:tcPr>
                      <w:p>
                        <w:pPr>
                          <w:pStyle w:val="TableParagraph"/>
                          <w:spacing w:before="52"/>
                          <w:ind w:left="103"/>
                          <w:rPr>
                            <w:sz w:val="16"/>
                          </w:rPr>
                        </w:pPr>
                        <w:r>
                          <w:rPr>
                            <w:sz w:val="16"/>
                          </w:rPr>
                          <w:t>Mina El Durazno</w:t>
                        </w:r>
                      </w:p>
                    </w:tc>
                  </w:tr>
                  <w:tr>
                    <w:trPr>
                      <w:trHeight w:val="324" w:hRule="exact"/>
                    </w:trPr>
                    <w:tc>
                      <w:tcPr>
                        <w:tcW w:w="831" w:type="dxa"/>
                        <w:vMerge/>
                        <w:tcBorders>
                          <w:left w:val="nil"/>
                        </w:tcBorders>
                        <w:textDirection w:val="btLr"/>
                      </w:tcPr>
                      <w:p>
                        <w:pPr/>
                      </w:p>
                    </w:tc>
                    <w:tc>
                      <w:tcPr>
                        <w:tcW w:w="1502" w:type="dxa"/>
                        <w:vMerge/>
                        <w:tcBorders>
                          <w:bottom w:val="dotted" w:sz="4" w:space="0" w:color="929292"/>
                        </w:tcBorders>
                      </w:tcPr>
                      <w:p>
                        <w:pPr/>
                      </w:p>
                    </w:tc>
                    <w:tc>
                      <w:tcPr>
                        <w:tcW w:w="993" w:type="dxa"/>
                        <w:vMerge/>
                      </w:tcPr>
                      <w:p>
                        <w:pPr/>
                      </w:p>
                    </w:tc>
                    <w:tc>
                      <w:tcPr>
                        <w:tcW w:w="1275" w:type="dxa"/>
                        <w:vMerge/>
                      </w:tcPr>
                      <w:p>
                        <w:pPr/>
                      </w:p>
                    </w:tc>
                    <w:tc>
                      <w:tcPr>
                        <w:tcW w:w="1276" w:type="dxa"/>
                        <w:tcBorders>
                          <w:bottom w:val="single" w:sz="4" w:space="0" w:color="FFFFFF"/>
                        </w:tcBorders>
                      </w:tcPr>
                      <w:p>
                        <w:pPr>
                          <w:pStyle w:val="TableParagraph"/>
                          <w:spacing w:line="142" w:lineRule="exact" w:before="64"/>
                          <w:ind w:left="103" w:right="431"/>
                          <w:rPr>
                            <w:sz w:val="16"/>
                          </w:rPr>
                        </w:pPr>
                        <w:r>
                          <w:rPr>
                            <w:sz w:val="16"/>
                          </w:rPr>
                          <w:t>10</w:t>
                        </w:r>
                      </w:p>
                      <w:p>
                        <w:pPr>
                          <w:pStyle w:val="TableParagraph"/>
                          <w:tabs>
                            <w:tab w:pos="1256" w:val="left" w:leader="none"/>
                          </w:tabs>
                          <w:spacing w:line="142" w:lineRule="exact"/>
                          <w:ind w:left="24"/>
                          <w:rPr>
                            <w:sz w:val="16"/>
                          </w:rPr>
                        </w:pPr>
                        <w:r>
                          <w:rPr>
                            <w:w w:val="100"/>
                            <w:sz w:val="16"/>
                            <w:u w:val="dotted" w:color="929292"/>
                          </w:rPr>
                          <w:t> </w:t>
                        </w:r>
                        <w:r>
                          <w:rPr>
                            <w:sz w:val="16"/>
                            <w:u w:val="dotted" w:color="929292"/>
                          </w:rPr>
                          <w:tab/>
                        </w:r>
                      </w:p>
                    </w:tc>
                    <w:tc>
                      <w:tcPr>
                        <w:tcW w:w="1823" w:type="dxa"/>
                        <w:tcBorders>
                          <w:bottom w:val="single" w:sz="4" w:space="0" w:color="FFFFFF"/>
                          <w:right w:val="nil"/>
                        </w:tcBorders>
                      </w:tcPr>
                      <w:p>
                        <w:pPr>
                          <w:pStyle w:val="TableParagraph"/>
                          <w:spacing w:line="148" w:lineRule="exact"/>
                          <w:ind w:left="103"/>
                          <w:rPr>
                            <w:sz w:val="16"/>
                          </w:rPr>
                        </w:pPr>
                        <w:r>
                          <w:rPr>
                            <w:sz w:val="16"/>
                          </w:rPr>
                          <w:t>Planta Arenera La</w:t>
                        </w:r>
                      </w:p>
                      <w:p>
                        <w:pPr>
                          <w:pStyle w:val="TableParagraph"/>
                          <w:tabs>
                            <w:tab w:pos="1797" w:val="left" w:leader="none"/>
                          </w:tabs>
                          <w:spacing w:before="16"/>
                          <w:ind w:left="24"/>
                          <w:rPr>
                            <w:sz w:val="16"/>
                          </w:rPr>
                        </w:pPr>
                        <w:r>
                          <w:rPr>
                            <w:w w:val="100"/>
                            <w:sz w:val="16"/>
                            <w:u w:val="dotted" w:color="929292"/>
                          </w:rPr>
                          <w:t> </w:t>
                        </w:r>
                        <w:r>
                          <w:rPr>
                            <w:spacing w:val="-11"/>
                            <w:sz w:val="16"/>
                            <w:u w:val="dotted" w:color="929292"/>
                          </w:rPr>
                          <w:t> </w:t>
                        </w:r>
                        <w:r>
                          <w:rPr>
                            <w:sz w:val="16"/>
                            <w:u w:val="dotted" w:color="929292"/>
                          </w:rPr>
                          <w:t>Palma</w:t>
                          <w:tab/>
                        </w:r>
                      </w:p>
                    </w:tc>
                  </w:tr>
                  <w:tr>
                    <w:trPr>
                      <w:trHeight w:val="300" w:hRule="exact"/>
                    </w:trPr>
                    <w:tc>
                      <w:tcPr>
                        <w:tcW w:w="831" w:type="dxa"/>
                        <w:vMerge/>
                        <w:tcBorders>
                          <w:left w:val="nil"/>
                          <w:bottom w:val="dotted" w:sz="4" w:space="0" w:color="929292"/>
                        </w:tcBorders>
                        <w:textDirection w:val="btLr"/>
                      </w:tcPr>
                      <w:p>
                        <w:pPr/>
                      </w:p>
                    </w:tc>
                    <w:tc>
                      <w:tcPr>
                        <w:tcW w:w="1502" w:type="dxa"/>
                        <w:tcBorders>
                          <w:top w:val="dotted" w:sz="4" w:space="0" w:color="929292"/>
                          <w:bottom w:val="dotted" w:sz="4" w:space="0" w:color="929292"/>
                        </w:tcBorders>
                      </w:tcPr>
                      <w:p>
                        <w:pPr>
                          <w:pStyle w:val="TableParagraph"/>
                          <w:spacing w:before="52"/>
                          <w:ind w:left="102"/>
                          <w:rPr>
                            <w:sz w:val="16"/>
                          </w:rPr>
                        </w:pPr>
                        <w:r>
                          <w:rPr>
                            <w:sz w:val="16"/>
                          </w:rPr>
                          <w:t>La Guadalupana</w:t>
                        </w:r>
                      </w:p>
                    </w:tc>
                    <w:tc>
                      <w:tcPr>
                        <w:tcW w:w="993" w:type="dxa"/>
                        <w:vMerge/>
                        <w:tcBorders>
                          <w:bottom w:val="dotted" w:sz="4" w:space="0" w:color="929292"/>
                        </w:tcBorders>
                      </w:tcPr>
                      <w:p>
                        <w:pPr/>
                      </w:p>
                    </w:tc>
                    <w:tc>
                      <w:tcPr>
                        <w:tcW w:w="1275" w:type="dxa"/>
                        <w:vMerge/>
                        <w:tcBorders>
                          <w:bottom w:val="dotted" w:sz="4" w:space="0" w:color="929292"/>
                        </w:tcBorders>
                      </w:tcPr>
                      <w:p>
                        <w:pPr/>
                      </w:p>
                    </w:tc>
                    <w:tc>
                      <w:tcPr>
                        <w:tcW w:w="1276" w:type="dxa"/>
                        <w:tcBorders>
                          <w:top w:val="single" w:sz="4" w:space="0" w:color="FFFFFF"/>
                          <w:bottom w:val="dotted" w:sz="4" w:space="0" w:color="929292"/>
                        </w:tcBorders>
                      </w:tcPr>
                      <w:p>
                        <w:pPr>
                          <w:pStyle w:val="TableParagraph"/>
                          <w:spacing w:before="52"/>
                          <w:ind w:left="103"/>
                          <w:rPr>
                            <w:sz w:val="16"/>
                          </w:rPr>
                        </w:pPr>
                        <w:r>
                          <w:rPr>
                            <w:w w:val="99"/>
                            <w:sz w:val="16"/>
                          </w:rPr>
                          <w:t>8</w:t>
                        </w:r>
                      </w:p>
                    </w:tc>
                    <w:tc>
                      <w:tcPr>
                        <w:tcW w:w="1823" w:type="dxa"/>
                        <w:tcBorders>
                          <w:top w:val="single" w:sz="4" w:space="0" w:color="FFFFFF"/>
                          <w:bottom w:val="dotted" w:sz="4" w:space="0" w:color="929292"/>
                          <w:right w:val="nil"/>
                        </w:tcBorders>
                      </w:tcPr>
                      <w:p>
                        <w:pPr>
                          <w:pStyle w:val="TableParagraph"/>
                          <w:spacing w:before="52"/>
                          <w:ind w:left="103"/>
                          <w:rPr>
                            <w:sz w:val="16"/>
                          </w:rPr>
                        </w:pPr>
                        <w:r>
                          <w:rPr>
                            <w:sz w:val="16"/>
                          </w:rPr>
                          <w:t>Mina La Guadalupana</w:t>
                        </w:r>
                      </w:p>
                    </w:tc>
                  </w:tr>
                </w:tbl>
                <w:p>
                  <w:pPr>
                    <w:pStyle w:val="BodyText"/>
                  </w:pPr>
                </w:p>
              </w:txbxContent>
            </v:textbox>
            <w10:wrap type="none"/>
          </v:shape>
        </w:pict>
      </w:r>
      <w:r>
        <w:rPr>
          <w:color w:val="6D6E71"/>
          <w:sz w:val="16"/>
        </w:rPr>
        <w:t>Tabla 6.  Minas del municipio de Calimaya, 2013</w:t>
      </w:r>
    </w:p>
    <w:p>
      <w:pPr>
        <w:spacing w:after="0"/>
        <w:jc w:val="left"/>
        <w:rPr>
          <w:sz w:val="16"/>
        </w:rPr>
        <w:sectPr>
          <w:type w:val="continuous"/>
          <w:pgSz w:w="18830" w:h="12760" w:orient="landscape"/>
          <w:pgMar w:top="1420" w:bottom="280" w:left="720" w:right="720"/>
          <w:cols w:num="2" w:equalWidth="0">
            <w:col w:w="5894" w:space="1622"/>
            <w:col w:w="9874"/>
          </w:cols>
        </w:sectPr>
      </w:pPr>
    </w:p>
    <w:p>
      <w:pPr>
        <w:pStyle w:val="BodyText"/>
      </w:pPr>
      <w:r>
        <w:rPr/>
        <w:pict>
          <v:line style="position:absolute;mso-position-horizontal-relative:page;mso-position-vertical-relative:page;z-index:17608" from="41.467201pt,193.417084pt" to="41.467201pt,193.417084pt" stroked="true" strokeweight=".5pt" strokecolor="#929292">
            <w10:wrap type="none"/>
          </v:line>
        </w:pict>
      </w:r>
      <w:r>
        <w:rPr/>
        <w:pict>
          <v:line style="position:absolute;mso-position-horizontal-relative:page;mso-position-vertical-relative:page;z-index:17656" from="41.467201pt,217.417084pt" to="41.467201pt,217.417084pt" stroked="true" strokeweight=".5pt" strokecolor="#929292">
            <w10:wrap type="none"/>
          </v:line>
        </w:pict>
      </w:r>
      <w:r>
        <w:rPr/>
        <w:pict>
          <v:line style="position:absolute;mso-position-horizontal-relative:page;mso-position-vertical-relative:page;z-index:17704" from="41.467201pt,241.417084pt" to="41.467201pt,241.417084pt" stroked="true" strokeweight=".5pt" strokecolor="#929292">
            <w10:wrap type="none"/>
          </v:line>
        </w:pict>
      </w:r>
      <w:r>
        <w:rPr/>
        <w:pict>
          <v:line style="position:absolute;mso-position-horizontal-relative:page;mso-position-vertical-relative:page;z-index:17752" from="41.467201pt,265.417084pt" to="41.467201pt,265.417084pt" stroked="true" strokeweight=".5pt" strokecolor="#929292">
            <w10:wrap type="none"/>
          </v:line>
        </w:pict>
      </w:r>
    </w:p>
    <w:p>
      <w:pPr>
        <w:pStyle w:val="BodyText"/>
        <w:spacing w:before="6"/>
        <w:rPr>
          <w:sz w:val="26"/>
        </w:rPr>
      </w:pPr>
    </w:p>
    <w:p>
      <w:pPr>
        <w:tabs>
          <w:tab w:pos="7804" w:val="left" w:leader="none"/>
        </w:tabs>
        <w:spacing w:line="20" w:lineRule="exact"/>
        <w:ind w:left="104" w:right="0" w:firstLine="0"/>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r>
        <w:rPr>
          <w:sz w:val="2"/>
        </w:rPr>
        <w:tab/>
      </w: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BodyText"/>
      </w:pPr>
    </w:p>
    <w:p>
      <w:pPr>
        <w:pStyle w:val="BodyText"/>
        <w:spacing w:before="7"/>
        <w:rPr>
          <w:sz w:val="16"/>
        </w:rPr>
      </w:pPr>
      <w:r>
        <w:rPr/>
        <w:pict>
          <v:line style="position:absolute;mso-position-horizontal-relative:page;mso-position-vertical-relative:paragraph;z-index:17464;mso-wrap-distance-left:0;mso-wrap-distance-right:0" from="41.467201pt,11.750977pt" to="41.467201pt,11.750977pt" stroked="true" strokeweight=".5pt" strokecolor="#929292">
            <w10:wrap type="topAndBottom"/>
          </v:line>
        </w:pict>
      </w:r>
      <w:r>
        <w:rPr/>
        <w:pict>
          <v:line style="position:absolute;mso-position-horizontal-relative:page;mso-position-vertical-relative:paragraph;z-index:17488;mso-wrap-distance-left:0;mso-wrap-distance-right:0" from="426.479004pt,11.750977pt" to="426.479004pt,11.750977pt" stroked="true" strokeweight=".5pt" strokecolor="#929292">
            <w10:wrap type="topAndBottom"/>
          </v:line>
        </w:pict>
      </w:r>
    </w:p>
    <w:p>
      <w:pPr>
        <w:tabs>
          <w:tab w:pos="1231" w:val="left" w:leader="none"/>
          <w:tab w:pos="3049" w:val="left" w:leader="none"/>
        </w:tabs>
        <w:spacing w:before="95"/>
        <w:ind w:left="0" w:right="158" w:firstLine="0"/>
        <w:jc w:val="right"/>
        <w:rPr>
          <w:sz w:val="16"/>
        </w:rPr>
      </w:pP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pStyle w:val="BodyText"/>
      </w:pPr>
    </w:p>
    <w:p>
      <w:pPr>
        <w:pStyle w:val="BodyText"/>
      </w:pPr>
    </w:p>
    <w:p>
      <w:pPr>
        <w:pStyle w:val="BodyText"/>
      </w:pPr>
    </w:p>
    <w:p>
      <w:pPr>
        <w:pStyle w:val="BodyText"/>
        <w:spacing w:before="3"/>
        <w:rPr>
          <w:sz w:val="13"/>
        </w:rPr>
      </w:pPr>
      <w:r>
        <w:rPr/>
        <w:pict>
          <v:line style="position:absolute;mso-position-horizontal-relative:page;mso-position-vertical-relative:paragraph;z-index:17512;mso-wrap-distance-left:0;mso-wrap-distance-right:0" from="41.467201pt,9.858306pt" to="41.467201pt,9.858306pt" stroked="true" strokeweight=".5pt" strokecolor="#929292">
            <w10:wrap type="topAndBottom"/>
          </v:line>
        </w:pict>
      </w:r>
      <w:r>
        <w:rPr/>
        <w:pict>
          <v:group style="position:absolute;margin-left:116.5pt;margin-top:9.608306pt;width:.5pt;height:.5pt;mso-position-horizontal-relative:page;mso-position-vertical-relative:paragraph;z-index:17536;mso-wrap-distance-left:0;mso-wrap-distance-right:0" coordorigin="2330,192" coordsize="10,10">
            <v:line style="position:absolute" from="2335,197" to="2335,197" stroked="true" strokeweight=".5pt" strokecolor="#929292"/>
            <v:line style="position:absolute" from="2335,197" to="2335,197" stroked="true" strokeweight=".5pt" strokecolor="#929292"/>
            <v:line style="position:absolute" from="2335,197" to="2335,197" stroked="true" strokeweight=".5pt" strokecolor="#929292"/>
            <w10:wrap type="topAndBottom"/>
          </v:group>
        </w:pict>
      </w:r>
      <w:r>
        <w:rPr/>
        <w:pict>
          <v:group style="position:absolute;margin-left:241.533997pt;margin-top:9.608306pt;width:.5pt;height:.5pt;mso-position-horizontal-relative:page;mso-position-vertical-relative:paragraph;z-index:17560;mso-wrap-distance-left:0;mso-wrap-distance-right:0" coordorigin="4831,192" coordsize="10,10">
            <v:line style="position:absolute" from="4836,197" to="4836,197" stroked="true" strokeweight=".5pt" strokecolor="#929292"/>
            <v:line style="position:absolute" from="4836,197" to="4836,197" stroked="true" strokeweight=".5pt" strokecolor="#929292"/>
            <v:line style="position:absolute" from="4836,197" to="4836,197" stroked="true" strokeweight=".5pt" strokecolor="#929292"/>
            <w10:wrap type="topAndBottom"/>
          </v:group>
        </w:pict>
      </w:r>
      <w:r>
        <w:rPr/>
        <w:pict>
          <v:line style="position:absolute;mso-position-horizontal-relative:page;mso-position-vertical-relative:paragraph;z-index:17584;mso-wrap-distance-left:0;mso-wrap-distance-right:0" from="426.479004pt,9.858306pt" to="426.479004pt,9.858306pt" stroked="true" strokeweight=".5pt" strokecolor="#929292">
            <w10:wrap type="topAndBottom"/>
          </v:line>
        </w:pict>
      </w:r>
    </w:p>
    <w:p>
      <w:pPr>
        <w:pStyle w:val="BodyText"/>
      </w:pPr>
    </w:p>
    <w:p>
      <w:pPr>
        <w:pStyle w:val="BodyText"/>
        <w:spacing w:before="4"/>
        <w:rPr>
          <w:sz w:val="18"/>
        </w:rPr>
      </w:pPr>
    </w:p>
    <w:p>
      <w:pPr>
        <w:spacing w:line="312" w:lineRule="auto" w:before="0"/>
        <w:ind w:left="89" w:right="9550" w:firstLine="0"/>
        <w:jc w:val="center"/>
        <w:rPr>
          <w:sz w:val="16"/>
        </w:rPr>
      </w:pPr>
      <w:r>
        <w:rPr>
          <w:color w:val="6D6E71"/>
          <w:sz w:val="16"/>
        </w:rPr>
        <w:t>Fuente: Secretaría de Desarrollo Urbano del Gobierno del Estado de México. Estadística de Conjuntos Urbanos. Obtenido el 4 de marzo 2015 en </w:t>
      </w:r>
      <w:hyperlink r:id="rId492">
        <w:r>
          <w:rPr>
            <w:color w:val="6D6E71"/>
            <w:sz w:val="16"/>
          </w:rPr>
          <w:t>http://portal2.edomex.gob.mx/sedur/informacion_de_interes/</w:t>
        </w:r>
      </w:hyperlink>
      <w:r>
        <w:rPr>
          <w:color w:val="6D6E71"/>
          <w:sz w:val="16"/>
        </w:rPr>
        <w:t> conjuntos_urbanos/index.htm</w:t>
      </w: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9"/>
        </w:rPr>
      </w:pPr>
    </w:p>
    <w:p>
      <w:pPr>
        <w:spacing w:before="80"/>
        <w:ind w:left="10192" w:right="0" w:firstLine="0"/>
        <w:jc w:val="left"/>
        <w:rPr>
          <w:sz w:val="16"/>
        </w:rPr>
      </w:pPr>
      <w:r>
        <w:rPr>
          <w:color w:val="6D6E71"/>
          <w:sz w:val="16"/>
        </w:rPr>
        <w:t>Fuente: Instituto de Fomento Minero y Estudios Geológicos del estado de México,  (2013).</w:t>
      </w:r>
    </w:p>
    <w:p>
      <w:pPr>
        <w:spacing w:after="0"/>
        <w:jc w:val="left"/>
        <w:rPr>
          <w:sz w:val="16"/>
        </w:rPr>
        <w:sectPr>
          <w:type w:val="continuous"/>
          <w:pgSz w:w="18830" w:h="12760" w:orient="landscape"/>
          <w:pgMar w:top="1420" w:bottom="280" w:left="720" w:right="720"/>
        </w:sectPr>
      </w:pPr>
    </w:p>
    <w:p>
      <w:pPr>
        <w:pStyle w:val="BodyText"/>
        <w:spacing w:before="6"/>
        <w:rPr>
          <w:sz w:val="23"/>
        </w:rPr>
      </w:pPr>
    </w:p>
    <w:p>
      <w:pPr>
        <w:spacing w:after="0"/>
        <w:rPr>
          <w:sz w:val="23"/>
        </w:rPr>
        <w:sectPr>
          <w:headerReference w:type="default" r:id="rId493"/>
          <w:footerReference w:type="default" r:id="rId494"/>
          <w:pgSz w:w="18830" w:h="12760" w:orient="landscape"/>
          <w:pgMar w:header="522" w:footer="1036" w:top="820" w:bottom="1220" w:left="720" w:right="720"/>
        </w:sectPr>
      </w:pPr>
    </w:p>
    <w:p>
      <w:pPr>
        <w:pStyle w:val="BodyText"/>
        <w:spacing w:line="249" w:lineRule="auto" w:before="76"/>
        <w:ind w:left="130" w:firstLine="170"/>
        <w:jc w:val="both"/>
      </w:pPr>
      <w:r>
        <w:rPr/>
        <w:drawing>
          <wp:anchor distT="0" distB="0" distL="0" distR="0" allowOverlap="1" layoutInCell="1" locked="0" behindDoc="0" simplePos="0" relativeHeight="17848">
            <wp:simplePos x="0" y="0"/>
            <wp:positionH relativeFrom="page">
              <wp:posOffset>8257457</wp:posOffset>
            </wp:positionH>
            <wp:positionV relativeFrom="page">
              <wp:posOffset>1217006</wp:posOffset>
            </wp:positionV>
            <wp:extent cx="250190" cy="180975"/>
            <wp:effectExtent l="0" t="0" r="0" b="0"/>
            <wp:wrapNone/>
            <wp:docPr id="181" name="image127.png" descr=""/>
            <wp:cNvGraphicFramePr>
              <a:graphicFrameLocks noChangeAspect="1"/>
            </wp:cNvGraphicFramePr>
            <a:graphic>
              <a:graphicData uri="http://schemas.openxmlformats.org/drawingml/2006/picture">
                <pic:pic>
                  <pic:nvPicPr>
                    <pic:cNvPr id="182" name="image127.png"/>
                    <pic:cNvPicPr/>
                  </pic:nvPicPr>
                  <pic:blipFill>
                    <a:blip r:embed="rId495" cstate="print"/>
                    <a:stretch>
                      <a:fillRect/>
                    </a:stretch>
                  </pic:blipFill>
                  <pic:spPr>
                    <a:xfrm>
                      <a:off x="0" y="0"/>
                      <a:ext cx="250190" cy="180975"/>
                    </a:xfrm>
                    <a:prstGeom prst="rect">
                      <a:avLst/>
                    </a:prstGeom>
                  </pic:spPr>
                </pic:pic>
              </a:graphicData>
            </a:graphic>
          </wp:anchor>
        </w:drawing>
      </w:r>
      <w:r>
        <w:rPr/>
        <w:drawing>
          <wp:anchor distT="0" distB="0" distL="0" distR="0" allowOverlap="1" layoutInCell="1" locked="0" behindDoc="0" simplePos="0" relativeHeight="17872">
            <wp:simplePos x="0" y="0"/>
            <wp:positionH relativeFrom="page">
              <wp:posOffset>9631718</wp:posOffset>
            </wp:positionH>
            <wp:positionV relativeFrom="page">
              <wp:posOffset>1223356</wp:posOffset>
            </wp:positionV>
            <wp:extent cx="1795767" cy="1678301"/>
            <wp:effectExtent l="0" t="0" r="0" b="0"/>
            <wp:wrapNone/>
            <wp:docPr id="183" name="image128.jpeg" descr=""/>
            <wp:cNvGraphicFramePr>
              <a:graphicFrameLocks noChangeAspect="1"/>
            </wp:cNvGraphicFramePr>
            <a:graphic>
              <a:graphicData uri="http://schemas.openxmlformats.org/drawingml/2006/picture">
                <pic:pic>
                  <pic:nvPicPr>
                    <pic:cNvPr id="184" name="image128.jpeg"/>
                    <pic:cNvPicPr/>
                  </pic:nvPicPr>
                  <pic:blipFill>
                    <a:blip r:embed="rId496" cstate="print"/>
                    <a:stretch>
                      <a:fillRect/>
                    </a:stretch>
                  </pic:blipFill>
                  <pic:spPr>
                    <a:xfrm>
                      <a:off x="0" y="0"/>
                      <a:ext cx="1795767" cy="1678301"/>
                    </a:xfrm>
                    <a:prstGeom prst="rect">
                      <a:avLst/>
                    </a:prstGeom>
                  </pic:spPr>
                </pic:pic>
              </a:graphicData>
            </a:graphic>
          </wp:anchor>
        </w:drawing>
      </w:r>
      <w:r>
        <w:rPr/>
        <w:drawing>
          <wp:anchor distT="0" distB="0" distL="0" distR="0" allowOverlap="1" layoutInCell="1" locked="0" behindDoc="0" simplePos="0" relativeHeight="17896">
            <wp:simplePos x="0" y="0"/>
            <wp:positionH relativeFrom="page">
              <wp:posOffset>9667075</wp:posOffset>
            </wp:positionH>
            <wp:positionV relativeFrom="page">
              <wp:posOffset>3058312</wp:posOffset>
            </wp:positionV>
            <wp:extent cx="1725066" cy="1133741"/>
            <wp:effectExtent l="0" t="0" r="0" b="0"/>
            <wp:wrapNone/>
            <wp:docPr id="185" name="image129.jpeg" descr=""/>
            <wp:cNvGraphicFramePr>
              <a:graphicFrameLocks noChangeAspect="1"/>
            </wp:cNvGraphicFramePr>
            <a:graphic>
              <a:graphicData uri="http://schemas.openxmlformats.org/drawingml/2006/picture">
                <pic:pic>
                  <pic:nvPicPr>
                    <pic:cNvPr id="186" name="image129.jpeg"/>
                    <pic:cNvPicPr/>
                  </pic:nvPicPr>
                  <pic:blipFill>
                    <a:blip r:embed="rId497" cstate="print"/>
                    <a:stretch>
                      <a:fillRect/>
                    </a:stretch>
                  </pic:blipFill>
                  <pic:spPr>
                    <a:xfrm>
                      <a:off x="0" y="0"/>
                      <a:ext cx="1725066" cy="1133741"/>
                    </a:xfrm>
                    <a:prstGeom prst="rect">
                      <a:avLst/>
                    </a:prstGeom>
                  </pic:spPr>
                </pic:pic>
              </a:graphicData>
            </a:graphic>
          </wp:anchor>
        </w:drawing>
      </w:r>
      <w:r>
        <w:rPr/>
        <w:drawing>
          <wp:anchor distT="0" distB="0" distL="0" distR="0" allowOverlap="1" layoutInCell="1" locked="0" behindDoc="0" simplePos="0" relativeHeight="17920">
            <wp:simplePos x="0" y="0"/>
            <wp:positionH relativeFrom="page">
              <wp:posOffset>9730143</wp:posOffset>
            </wp:positionH>
            <wp:positionV relativeFrom="page">
              <wp:posOffset>4478311</wp:posOffset>
            </wp:positionV>
            <wp:extent cx="1598925" cy="1535426"/>
            <wp:effectExtent l="0" t="0" r="0" b="0"/>
            <wp:wrapNone/>
            <wp:docPr id="187" name="image130.jpeg" descr=""/>
            <wp:cNvGraphicFramePr>
              <a:graphicFrameLocks noChangeAspect="1"/>
            </wp:cNvGraphicFramePr>
            <a:graphic>
              <a:graphicData uri="http://schemas.openxmlformats.org/drawingml/2006/picture">
                <pic:pic>
                  <pic:nvPicPr>
                    <pic:cNvPr id="188" name="image130.jpeg"/>
                    <pic:cNvPicPr/>
                  </pic:nvPicPr>
                  <pic:blipFill>
                    <a:blip r:embed="rId498" cstate="print"/>
                    <a:stretch>
                      <a:fillRect/>
                    </a:stretch>
                  </pic:blipFill>
                  <pic:spPr>
                    <a:xfrm>
                      <a:off x="0" y="0"/>
                      <a:ext cx="1598925" cy="1535426"/>
                    </a:xfrm>
                    <a:prstGeom prst="rect">
                      <a:avLst/>
                    </a:prstGeom>
                  </pic:spPr>
                </pic:pic>
              </a:graphicData>
            </a:graphic>
          </wp:anchor>
        </w:drawing>
      </w:r>
      <w:r>
        <w:rPr/>
        <w:pict>
          <v:shape style="position:absolute;margin-left:512.75pt;margin-top:20.014299pt;width:386.3pt;height:399.75pt;mso-position-horizontal-relative:page;mso-position-vertical-relative:paragraph;z-index:17944" type="#_x0000_t202" filled="false" stroked="false">
            <v:textbox inset="0,0,0,0">
              <w:txbxContent>
                <w:tbl>
                  <w:tblPr>
                    <w:tblW w:w="0" w:type="auto"/>
                    <w:jc w:val="left"/>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1075"/>
                    <w:gridCol w:w="2058"/>
                    <w:gridCol w:w="1801"/>
                    <w:gridCol w:w="2776"/>
                  </w:tblGrid>
                  <w:tr>
                    <w:trPr>
                      <w:trHeight w:val="411" w:hRule="exact"/>
                    </w:trPr>
                    <w:tc>
                      <w:tcPr>
                        <w:tcW w:w="1075" w:type="dxa"/>
                        <w:tcBorders>
                          <w:top w:val="nil"/>
                          <w:left w:val="nil"/>
                          <w:bottom w:val="dotted" w:sz="4" w:space="0" w:color="FFFFFF"/>
                          <w:right w:val="single" w:sz="4" w:space="0" w:color="FFFFFF"/>
                        </w:tcBorders>
                        <w:shd w:val="clear" w:color="auto" w:fill="929292"/>
                      </w:tcPr>
                      <w:p>
                        <w:pPr>
                          <w:pStyle w:val="TableParagraph"/>
                          <w:spacing w:before="112"/>
                          <w:ind w:left="392" w:right="387"/>
                          <w:jc w:val="center"/>
                          <w:rPr>
                            <w:sz w:val="16"/>
                          </w:rPr>
                        </w:pPr>
                        <w:r>
                          <w:rPr>
                            <w:sz w:val="16"/>
                          </w:rPr>
                          <w:t>No.</w:t>
                        </w:r>
                      </w:p>
                    </w:tc>
                    <w:tc>
                      <w:tcPr>
                        <w:tcW w:w="2058" w:type="dxa"/>
                        <w:tcBorders>
                          <w:top w:val="nil"/>
                          <w:left w:val="single" w:sz="4" w:space="0" w:color="FFFFFF"/>
                          <w:bottom w:val="dotted" w:sz="4" w:space="0" w:color="FFFFFF"/>
                          <w:right w:val="single" w:sz="4" w:space="0" w:color="FFFFFF"/>
                        </w:tcBorders>
                        <w:shd w:val="clear" w:color="auto" w:fill="929292"/>
                      </w:tcPr>
                      <w:p>
                        <w:pPr>
                          <w:pStyle w:val="TableParagraph"/>
                          <w:spacing w:before="112"/>
                          <w:ind w:left="103"/>
                          <w:rPr>
                            <w:sz w:val="16"/>
                          </w:rPr>
                        </w:pPr>
                        <w:r>
                          <w:rPr>
                            <w:sz w:val="16"/>
                          </w:rPr>
                          <w:t>Variable de vulnerabilidad</w:t>
                        </w:r>
                      </w:p>
                    </w:tc>
                    <w:tc>
                      <w:tcPr>
                        <w:tcW w:w="1801" w:type="dxa"/>
                        <w:tcBorders>
                          <w:top w:val="nil"/>
                          <w:left w:val="single" w:sz="4" w:space="0" w:color="FFFFFF"/>
                          <w:bottom w:val="dotted" w:sz="4" w:space="0" w:color="FFFFFF"/>
                          <w:right w:val="single" w:sz="4" w:space="0" w:color="FFFFFF"/>
                        </w:tcBorders>
                        <w:shd w:val="clear" w:color="auto" w:fill="929292"/>
                      </w:tcPr>
                      <w:p>
                        <w:pPr>
                          <w:pStyle w:val="TableParagraph"/>
                          <w:spacing w:line="180" w:lineRule="exact" w:before="28"/>
                          <w:ind w:left="502" w:right="71" w:hanging="412"/>
                          <w:rPr>
                            <w:sz w:val="16"/>
                          </w:rPr>
                        </w:pPr>
                        <w:r>
                          <w:rPr>
                            <w:sz w:val="16"/>
                          </w:rPr>
                          <w:t>Fraccionamiento Villas del Campo</w:t>
                        </w:r>
                      </w:p>
                    </w:tc>
                    <w:tc>
                      <w:tcPr>
                        <w:tcW w:w="2776" w:type="dxa"/>
                        <w:tcBorders>
                          <w:top w:val="nil"/>
                          <w:left w:val="single" w:sz="4" w:space="0" w:color="FFFFFF"/>
                          <w:bottom w:val="dotted" w:sz="4" w:space="0" w:color="FFFFFF"/>
                          <w:right w:val="nil"/>
                        </w:tcBorders>
                        <w:shd w:val="clear" w:color="auto" w:fill="929292"/>
                      </w:tcPr>
                      <w:p>
                        <w:pPr>
                          <w:pStyle w:val="TableParagraph"/>
                          <w:spacing w:before="21"/>
                          <w:ind w:left="915" w:right="918"/>
                          <w:jc w:val="center"/>
                          <w:rPr>
                            <w:sz w:val="16"/>
                          </w:rPr>
                        </w:pPr>
                        <w:r>
                          <w:rPr>
                            <w:sz w:val="16"/>
                          </w:rPr>
                          <w:t>Observación</w:t>
                        </w:r>
                      </w:p>
                    </w:tc>
                  </w:tr>
                  <w:tr>
                    <w:trPr>
                      <w:trHeight w:val="275" w:hRule="exact"/>
                    </w:trPr>
                    <w:tc>
                      <w:tcPr>
                        <w:tcW w:w="1075" w:type="dxa"/>
                        <w:tcBorders>
                          <w:top w:val="dotted" w:sz="4" w:space="0" w:color="FFFFFF"/>
                          <w:left w:val="nil"/>
                        </w:tcBorders>
                      </w:tcPr>
                      <w:p>
                        <w:pPr>
                          <w:pStyle w:val="TableParagraph"/>
                          <w:spacing w:before="39"/>
                          <w:ind w:left="69"/>
                          <w:rPr>
                            <w:sz w:val="16"/>
                          </w:rPr>
                        </w:pPr>
                        <w:r>
                          <w:rPr>
                            <w:w w:val="99"/>
                            <w:sz w:val="16"/>
                          </w:rPr>
                          <w:t>1</w:t>
                        </w:r>
                      </w:p>
                    </w:tc>
                    <w:tc>
                      <w:tcPr>
                        <w:tcW w:w="2058" w:type="dxa"/>
                        <w:tcBorders>
                          <w:top w:val="dotted" w:sz="4" w:space="0" w:color="FFFFFF"/>
                          <w:right w:val="single" w:sz="4" w:space="0" w:color="FFFFFF"/>
                        </w:tcBorders>
                      </w:tcPr>
                      <w:p>
                        <w:pPr>
                          <w:pStyle w:val="TableParagraph"/>
                          <w:spacing w:before="39"/>
                          <w:ind w:left="64"/>
                          <w:rPr>
                            <w:sz w:val="16"/>
                          </w:rPr>
                        </w:pPr>
                        <w:r>
                          <w:rPr>
                            <w:sz w:val="16"/>
                          </w:rPr>
                          <w:t>Sistema estructural</w:t>
                        </w:r>
                      </w:p>
                    </w:tc>
                    <w:tc>
                      <w:tcPr>
                        <w:tcW w:w="1801" w:type="dxa"/>
                        <w:tcBorders>
                          <w:top w:val="dotted" w:sz="4" w:space="0" w:color="FFFFFF"/>
                          <w:left w:val="single" w:sz="4" w:space="0" w:color="FFFFFF"/>
                        </w:tcBorders>
                      </w:tcPr>
                      <w:p>
                        <w:pPr>
                          <w:pStyle w:val="TableParagraph"/>
                          <w:spacing w:before="39"/>
                          <w:ind w:left="64" w:right="71"/>
                          <w:rPr>
                            <w:sz w:val="16"/>
                          </w:rPr>
                        </w:pPr>
                        <w:r>
                          <w:rPr>
                            <w:sz w:val="16"/>
                          </w:rPr>
                          <w:t>Hormigón armado</w:t>
                        </w:r>
                      </w:p>
                    </w:tc>
                    <w:tc>
                      <w:tcPr>
                        <w:tcW w:w="2776" w:type="dxa"/>
                        <w:vMerge w:val="restart"/>
                        <w:tcBorders>
                          <w:top w:val="dotted" w:sz="4" w:space="0" w:color="FFFFFF"/>
                          <w:right w:val="nil"/>
                        </w:tcBorders>
                      </w:tcPr>
                      <w:p>
                        <w:pPr/>
                      </w:p>
                    </w:tc>
                  </w:tr>
                  <w:tr>
                    <w:trPr>
                      <w:trHeight w:val="564" w:hRule="exact"/>
                    </w:trPr>
                    <w:tc>
                      <w:tcPr>
                        <w:tcW w:w="1075" w:type="dxa"/>
                        <w:tcBorders>
                          <w:left w:val="nil"/>
                        </w:tcBorders>
                      </w:tcPr>
                      <w:p>
                        <w:pPr>
                          <w:pStyle w:val="TableParagraph"/>
                          <w:rPr>
                            <w:sz w:val="16"/>
                          </w:rPr>
                        </w:pPr>
                      </w:p>
                      <w:p>
                        <w:pPr>
                          <w:pStyle w:val="TableParagraph"/>
                          <w:ind w:left="70"/>
                          <w:rPr>
                            <w:sz w:val="16"/>
                          </w:rPr>
                        </w:pPr>
                        <w:r>
                          <w:rPr>
                            <w:w w:val="99"/>
                            <w:sz w:val="16"/>
                          </w:rPr>
                          <w:t>2</w:t>
                        </w:r>
                      </w:p>
                    </w:tc>
                    <w:tc>
                      <w:tcPr>
                        <w:tcW w:w="2058" w:type="dxa"/>
                      </w:tcPr>
                      <w:p>
                        <w:pPr>
                          <w:pStyle w:val="TableParagraph"/>
                          <w:spacing w:line="180" w:lineRule="exact" w:before="100"/>
                          <w:ind w:left="65" w:right="424"/>
                          <w:rPr>
                            <w:sz w:val="16"/>
                          </w:rPr>
                        </w:pPr>
                        <w:r>
                          <w:rPr>
                            <w:sz w:val="16"/>
                          </w:rPr>
                          <w:t>Tipo de materiales en paredes</w:t>
                        </w:r>
                      </w:p>
                    </w:tc>
                    <w:tc>
                      <w:tcPr>
                        <w:tcW w:w="1801" w:type="dxa"/>
                      </w:tcPr>
                      <w:p>
                        <w:pPr>
                          <w:pStyle w:val="TableParagraph"/>
                          <w:spacing w:line="180" w:lineRule="exact" w:before="100"/>
                          <w:ind w:left="65" w:right="531"/>
                          <w:rPr>
                            <w:sz w:val="16"/>
                          </w:rPr>
                        </w:pPr>
                        <w:r>
                          <w:rPr>
                            <w:sz w:val="16"/>
                          </w:rPr>
                          <w:t>Pared de bloque (hueco)</w:t>
                        </w:r>
                      </w:p>
                    </w:tc>
                    <w:tc>
                      <w:tcPr>
                        <w:tcW w:w="2776" w:type="dxa"/>
                        <w:vMerge/>
                        <w:tcBorders>
                          <w:right w:val="nil"/>
                        </w:tcBorders>
                      </w:tcPr>
                      <w:p>
                        <w:pPr/>
                      </w:p>
                    </w:tc>
                  </w:tr>
                  <w:tr>
                    <w:trPr>
                      <w:trHeight w:val="1421" w:hRule="exact"/>
                    </w:trPr>
                    <w:tc>
                      <w:tcPr>
                        <w:tcW w:w="1075" w:type="dxa"/>
                        <w:tcBorders>
                          <w:left w:val="nil"/>
                        </w:tcBorders>
                      </w:tcPr>
                      <w:p>
                        <w:pPr>
                          <w:pStyle w:val="TableParagraph"/>
                          <w:rPr>
                            <w:sz w:val="16"/>
                          </w:rPr>
                        </w:pPr>
                      </w:p>
                      <w:p>
                        <w:pPr>
                          <w:pStyle w:val="TableParagraph"/>
                          <w:rPr>
                            <w:sz w:val="16"/>
                          </w:rPr>
                        </w:pPr>
                      </w:p>
                      <w:p>
                        <w:pPr>
                          <w:pStyle w:val="TableParagraph"/>
                          <w:spacing w:before="3"/>
                          <w:rPr>
                            <w:sz w:val="21"/>
                          </w:rPr>
                        </w:pPr>
                      </w:p>
                      <w:p>
                        <w:pPr>
                          <w:pStyle w:val="TableParagraph"/>
                          <w:ind w:left="70"/>
                          <w:rPr>
                            <w:sz w:val="16"/>
                          </w:rPr>
                        </w:pPr>
                        <w:r>
                          <w:rPr>
                            <w:w w:val="99"/>
                            <w:sz w:val="16"/>
                          </w:rPr>
                          <w:t>3</w:t>
                        </w:r>
                      </w:p>
                    </w:tc>
                    <w:tc>
                      <w:tcPr>
                        <w:tcW w:w="2058" w:type="dxa"/>
                      </w:tcPr>
                      <w:p>
                        <w:pPr>
                          <w:pStyle w:val="TableParagraph"/>
                          <w:rPr>
                            <w:sz w:val="16"/>
                          </w:rPr>
                        </w:pPr>
                      </w:p>
                      <w:p>
                        <w:pPr>
                          <w:pStyle w:val="TableParagraph"/>
                          <w:rPr>
                            <w:sz w:val="16"/>
                          </w:rPr>
                        </w:pPr>
                      </w:p>
                      <w:p>
                        <w:pPr>
                          <w:pStyle w:val="TableParagraph"/>
                          <w:spacing w:before="3"/>
                          <w:rPr>
                            <w:sz w:val="21"/>
                          </w:rPr>
                        </w:pPr>
                      </w:p>
                      <w:p>
                        <w:pPr>
                          <w:pStyle w:val="TableParagraph"/>
                          <w:ind w:left="65"/>
                          <w:rPr>
                            <w:sz w:val="16"/>
                          </w:rPr>
                        </w:pPr>
                        <w:r>
                          <w:rPr>
                            <w:sz w:val="16"/>
                          </w:rPr>
                          <w:t>Tipo de cubierta</w:t>
                        </w:r>
                      </w:p>
                    </w:tc>
                    <w:tc>
                      <w:tcPr>
                        <w:tcW w:w="1801" w:type="dxa"/>
                      </w:tcPr>
                      <w:p>
                        <w:pPr>
                          <w:pStyle w:val="TableParagraph"/>
                          <w:rPr>
                            <w:sz w:val="16"/>
                          </w:rPr>
                        </w:pPr>
                      </w:p>
                      <w:p>
                        <w:pPr>
                          <w:pStyle w:val="TableParagraph"/>
                          <w:rPr>
                            <w:sz w:val="16"/>
                          </w:rPr>
                        </w:pPr>
                      </w:p>
                      <w:p>
                        <w:pPr>
                          <w:pStyle w:val="TableParagraph"/>
                          <w:spacing w:before="11"/>
                          <w:rPr>
                            <w:sz w:val="13"/>
                          </w:rPr>
                        </w:pPr>
                      </w:p>
                      <w:p>
                        <w:pPr>
                          <w:pStyle w:val="TableParagraph"/>
                          <w:spacing w:line="180" w:lineRule="exact"/>
                          <w:ind w:left="65" w:right="425"/>
                          <w:rPr>
                            <w:sz w:val="16"/>
                          </w:rPr>
                        </w:pPr>
                        <w:r>
                          <w:rPr>
                            <w:sz w:val="16"/>
                          </w:rPr>
                          <w:t>Losa de hormigón armado</w:t>
                        </w:r>
                      </w:p>
                    </w:tc>
                    <w:tc>
                      <w:tcPr>
                        <w:tcW w:w="2776" w:type="dxa"/>
                        <w:vMerge/>
                        <w:tcBorders>
                          <w:right w:val="nil"/>
                        </w:tcBorders>
                      </w:tcPr>
                      <w:p>
                        <w:pPr/>
                      </w:p>
                    </w:tc>
                  </w:tr>
                  <w:tr>
                    <w:trPr>
                      <w:trHeight w:val="630" w:hRule="exact"/>
                    </w:trPr>
                    <w:tc>
                      <w:tcPr>
                        <w:tcW w:w="1075" w:type="dxa"/>
                        <w:tcBorders>
                          <w:left w:val="nil"/>
                        </w:tcBorders>
                      </w:tcPr>
                      <w:p>
                        <w:pPr>
                          <w:pStyle w:val="TableParagraph"/>
                          <w:spacing w:before="9"/>
                          <w:rPr>
                            <w:sz w:val="18"/>
                          </w:rPr>
                        </w:pPr>
                      </w:p>
                      <w:p>
                        <w:pPr>
                          <w:pStyle w:val="TableParagraph"/>
                          <w:spacing w:before="1"/>
                          <w:ind w:left="70"/>
                          <w:rPr>
                            <w:sz w:val="16"/>
                          </w:rPr>
                        </w:pPr>
                        <w:r>
                          <w:rPr>
                            <w:w w:val="99"/>
                            <w:sz w:val="16"/>
                          </w:rPr>
                          <w:t>4</w:t>
                        </w:r>
                      </w:p>
                    </w:tc>
                    <w:tc>
                      <w:tcPr>
                        <w:tcW w:w="2058" w:type="dxa"/>
                      </w:tcPr>
                      <w:p>
                        <w:pPr>
                          <w:pStyle w:val="TableParagraph"/>
                          <w:spacing w:before="9"/>
                          <w:rPr>
                            <w:sz w:val="18"/>
                          </w:rPr>
                        </w:pPr>
                      </w:p>
                      <w:p>
                        <w:pPr>
                          <w:pStyle w:val="TableParagraph"/>
                          <w:spacing w:before="1"/>
                          <w:ind w:left="65"/>
                          <w:rPr>
                            <w:sz w:val="16"/>
                          </w:rPr>
                        </w:pPr>
                        <w:r>
                          <w:rPr>
                            <w:sz w:val="16"/>
                          </w:rPr>
                          <w:t>Sistema de entrepisos</w:t>
                        </w:r>
                      </w:p>
                    </w:tc>
                    <w:tc>
                      <w:tcPr>
                        <w:tcW w:w="1801" w:type="dxa"/>
                      </w:tcPr>
                      <w:p>
                        <w:pPr>
                          <w:pStyle w:val="TableParagraph"/>
                          <w:spacing w:line="180" w:lineRule="exact" w:before="133"/>
                          <w:ind w:left="65" w:right="425"/>
                          <w:rPr>
                            <w:sz w:val="16"/>
                          </w:rPr>
                        </w:pPr>
                        <w:r>
                          <w:rPr>
                            <w:sz w:val="16"/>
                          </w:rPr>
                          <w:t>Losa de hormigón armado</w:t>
                        </w:r>
                      </w:p>
                    </w:tc>
                    <w:tc>
                      <w:tcPr>
                        <w:tcW w:w="2776" w:type="dxa"/>
                        <w:vMerge/>
                        <w:tcBorders>
                          <w:right w:val="nil"/>
                        </w:tcBorders>
                      </w:tcPr>
                      <w:p>
                        <w:pPr/>
                      </w:p>
                    </w:tc>
                  </w:tr>
                  <w:tr>
                    <w:trPr>
                      <w:trHeight w:val="850" w:hRule="exact"/>
                    </w:trPr>
                    <w:tc>
                      <w:tcPr>
                        <w:tcW w:w="1075" w:type="dxa"/>
                        <w:tcBorders>
                          <w:left w:val="nil"/>
                        </w:tcBorders>
                      </w:tcPr>
                      <w:p>
                        <w:pPr>
                          <w:pStyle w:val="TableParagraph"/>
                          <w:rPr>
                            <w:sz w:val="16"/>
                          </w:rPr>
                        </w:pPr>
                      </w:p>
                      <w:p>
                        <w:pPr>
                          <w:pStyle w:val="TableParagraph"/>
                          <w:spacing w:before="143"/>
                          <w:ind w:left="70"/>
                          <w:rPr>
                            <w:sz w:val="16"/>
                          </w:rPr>
                        </w:pPr>
                        <w:r>
                          <w:rPr>
                            <w:w w:val="99"/>
                            <w:sz w:val="16"/>
                          </w:rPr>
                          <w:t>5</w:t>
                        </w:r>
                      </w:p>
                    </w:tc>
                    <w:tc>
                      <w:tcPr>
                        <w:tcW w:w="2058" w:type="dxa"/>
                      </w:tcPr>
                      <w:p>
                        <w:pPr>
                          <w:pStyle w:val="TableParagraph"/>
                          <w:rPr>
                            <w:sz w:val="16"/>
                          </w:rPr>
                        </w:pPr>
                      </w:p>
                      <w:p>
                        <w:pPr>
                          <w:pStyle w:val="TableParagraph"/>
                          <w:spacing w:before="143"/>
                          <w:ind w:left="65"/>
                          <w:rPr>
                            <w:sz w:val="16"/>
                          </w:rPr>
                        </w:pPr>
                        <w:r>
                          <w:rPr>
                            <w:sz w:val="16"/>
                          </w:rPr>
                          <w:t>Número de pisos</w:t>
                        </w:r>
                      </w:p>
                    </w:tc>
                    <w:tc>
                      <w:tcPr>
                        <w:tcW w:w="1801" w:type="dxa"/>
                      </w:tcPr>
                      <w:p>
                        <w:pPr>
                          <w:pStyle w:val="TableParagraph"/>
                          <w:rPr>
                            <w:sz w:val="16"/>
                          </w:rPr>
                        </w:pPr>
                      </w:p>
                      <w:p>
                        <w:pPr>
                          <w:pStyle w:val="TableParagraph"/>
                          <w:spacing w:before="143"/>
                          <w:ind w:left="65" w:right="71"/>
                          <w:rPr>
                            <w:sz w:val="16"/>
                          </w:rPr>
                        </w:pPr>
                        <w:r>
                          <w:rPr>
                            <w:sz w:val="16"/>
                          </w:rPr>
                          <w:t>2 pisos</w:t>
                        </w:r>
                      </w:p>
                    </w:tc>
                    <w:tc>
                      <w:tcPr>
                        <w:tcW w:w="2776" w:type="dxa"/>
                        <w:vMerge w:val="restart"/>
                        <w:tcBorders>
                          <w:right w:val="nil"/>
                        </w:tcBorders>
                      </w:tcPr>
                      <w:p>
                        <w:pPr>
                          <w:pStyle w:val="TableParagraph"/>
                          <w:ind w:left="24" w:right="-11"/>
                          <w:rPr>
                            <w:sz w:val="20"/>
                          </w:rPr>
                        </w:pPr>
                        <w:r>
                          <w:rPr>
                            <w:sz w:val="20"/>
                          </w:rPr>
                          <w:drawing>
                            <wp:inline distT="0" distB="0" distL="0" distR="0">
                              <wp:extent cx="1725240" cy="1133856"/>
                              <wp:effectExtent l="0" t="0" r="0" b="0"/>
                              <wp:docPr id="189" name="image129.jpeg" descr=""/>
                              <wp:cNvGraphicFramePr>
                                <a:graphicFrameLocks noChangeAspect="1"/>
                              </wp:cNvGraphicFramePr>
                              <a:graphic>
                                <a:graphicData uri="http://schemas.openxmlformats.org/drawingml/2006/picture">
                                  <pic:pic>
                                    <pic:nvPicPr>
                                      <pic:cNvPr id="190" name="image129.jpeg"/>
                                      <pic:cNvPicPr/>
                                    </pic:nvPicPr>
                                    <pic:blipFill>
                                      <a:blip r:embed="rId497" cstate="print"/>
                                      <a:stretch>
                                        <a:fillRect/>
                                      </a:stretch>
                                    </pic:blipFill>
                                    <pic:spPr>
                                      <a:xfrm>
                                        <a:off x="0" y="0"/>
                                        <a:ext cx="1725240" cy="1133856"/>
                                      </a:xfrm>
                                      <a:prstGeom prst="rect">
                                        <a:avLst/>
                                      </a:prstGeom>
                                    </pic:spPr>
                                  </pic:pic>
                                </a:graphicData>
                              </a:graphic>
                            </wp:inline>
                          </w:drawing>
                        </w:r>
                        <w:r>
                          <w:rPr>
                            <w:sz w:val="20"/>
                          </w:rPr>
                        </w:r>
                      </w:p>
                      <w:p>
                        <w:pPr>
                          <w:pStyle w:val="TableParagraph"/>
                          <w:rPr>
                            <w:sz w:val="20"/>
                          </w:rPr>
                        </w:pPr>
                      </w:p>
                      <w:p>
                        <w:pPr>
                          <w:pStyle w:val="TableParagraph"/>
                          <w:spacing w:before="3"/>
                          <w:rPr>
                            <w:sz w:val="18"/>
                          </w:rPr>
                        </w:pPr>
                      </w:p>
                    </w:tc>
                  </w:tr>
                  <w:tr>
                    <w:trPr>
                      <w:trHeight w:val="1386" w:hRule="exact"/>
                    </w:trPr>
                    <w:tc>
                      <w:tcPr>
                        <w:tcW w:w="1075" w:type="dxa"/>
                        <w:tcBorders>
                          <w:left w:val="nil"/>
                        </w:tcBorders>
                      </w:tcPr>
                      <w:p>
                        <w:pPr>
                          <w:pStyle w:val="TableParagraph"/>
                          <w:rPr>
                            <w:sz w:val="16"/>
                          </w:rPr>
                        </w:pPr>
                      </w:p>
                      <w:p>
                        <w:pPr>
                          <w:pStyle w:val="TableParagraph"/>
                          <w:rPr>
                            <w:sz w:val="16"/>
                          </w:rPr>
                        </w:pPr>
                      </w:p>
                      <w:p>
                        <w:pPr>
                          <w:pStyle w:val="TableParagraph"/>
                          <w:spacing w:before="8"/>
                          <w:rPr>
                            <w:sz w:val="19"/>
                          </w:rPr>
                        </w:pPr>
                      </w:p>
                      <w:p>
                        <w:pPr>
                          <w:pStyle w:val="TableParagraph"/>
                          <w:ind w:left="70"/>
                          <w:rPr>
                            <w:sz w:val="16"/>
                          </w:rPr>
                        </w:pPr>
                        <w:r>
                          <w:rPr>
                            <w:w w:val="99"/>
                            <w:sz w:val="16"/>
                          </w:rPr>
                          <w:t>6</w:t>
                        </w:r>
                      </w:p>
                    </w:tc>
                    <w:tc>
                      <w:tcPr>
                        <w:tcW w:w="2058" w:type="dxa"/>
                      </w:tcPr>
                      <w:p>
                        <w:pPr>
                          <w:pStyle w:val="TableParagraph"/>
                          <w:rPr>
                            <w:sz w:val="16"/>
                          </w:rPr>
                        </w:pPr>
                      </w:p>
                      <w:p>
                        <w:pPr>
                          <w:pStyle w:val="TableParagraph"/>
                          <w:rPr>
                            <w:sz w:val="16"/>
                          </w:rPr>
                        </w:pPr>
                      </w:p>
                      <w:p>
                        <w:pPr>
                          <w:pStyle w:val="TableParagraph"/>
                          <w:spacing w:before="8"/>
                          <w:rPr>
                            <w:sz w:val="19"/>
                          </w:rPr>
                        </w:pPr>
                      </w:p>
                      <w:p>
                        <w:pPr>
                          <w:pStyle w:val="TableParagraph"/>
                          <w:ind w:left="65"/>
                          <w:rPr>
                            <w:sz w:val="16"/>
                          </w:rPr>
                        </w:pPr>
                        <w:r>
                          <w:rPr>
                            <w:sz w:val="16"/>
                          </w:rPr>
                          <w:t>Año de construcción</w:t>
                        </w:r>
                      </w:p>
                    </w:tc>
                    <w:tc>
                      <w:tcPr>
                        <w:tcW w:w="1801" w:type="dxa"/>
                      </w:tcPr>
                      <w:p>
                        <w:pPr>
                          <w:pStyle w:val="TableParagraph"/>
                          <w:rPr>
                            <w:sz w:val="16"/>
                          </w:rPr>
                        </w:pPr>
                      </w:p>
                      <w:p>
                        <w:pPr>
                          <w:pStyle w:val="TableParagraph"/>
                          <w:rPr>
                            <w:sz w:val="16"/>
                          </w:rPr>
                        </w:pPr>
                      </w:p>
                      <w:p>
                        <w:pPr>
                          <w:pStyle w:val="TableParagraph"/>
                          <w:spacing w:before="8"/>
                          <w:rPr>
                            <w:sz w:val="19"/>
                          </w:rPr>
                        </w:pPr>
                      </w:p>
                      <w:p>
                        <w:pPr>
                          <w:pStyle w:val="TableParagraph"/>
                          <w:ind w:left="65" w:right="71"/>
                          <w:rPr>
                            <w:sz w:val="16"/>
                          </w:rPr>
                        </w:pPr>
                        <w:r>
                          <w:rPr>
                            <w:sz w:val="16"/>
                          </w:rPr>
                          <w:t>Inician en 1999</w:t>
                        </w:r>
                      </w:p>
                    </w:tc>
                    <w:tc>
                      <w:tcPr>
                        <w:tcW w:w="2776" w:type="dxa"/>
                        <w:vMerge/>
                        <w:tcBorders>
                          <w:right w:val="nil"/>
                        </w:tcBorders>
                      </w:tcPr>
                      <w:p>
                        <w:pPr/>
                      </w:p>
                    </w:tc>
                  </w:tr>
                  <w:tr>
                    <w:trPr>
                      <w:trHeight w:val="2453" w:hRule="exact"/>
                    </w:trPr>
                    <w:tc>
                      <w:tcPr>
                        <w:tcW w:w="1075" w:type="dxa"/>
                        <w:tcBorders>
                          <w:lef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
                          <w:rPr>
                            <w:sz w:val="18"/>
                          </w:rPr>
                        </w:pPr>
                      </w:p>
                      <w:p>
                        <w:pPr>
                          <w:pStyle w:val="TableParagraph"/>
                          <w:ind w:left="70"/>
                          <w:rPr>
                            <w:sz w:val="16"/>
                          </w:rPr>
                        </w:pPr>
                        <w:r>
                          <w:rPr>
                            <w:w w:val="99"/>
                            <w:sz w:val="16"/>
                          </w:rPr>
                          <w:t>7</w:t>
                        </w:r>
                      </w:p>
                    </w:tc>
                    <w:tc>
                      <w:tcPr>
                        <w:tcW w:w="2058"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
                          <w:rPr>
                            <w:sz w:val="18"/>
                          </w:rPr>
                        </w:pPr>
                      </w:p>
                      <w:p>
                        <w:pPr>
                          <w:pStyle w:val="TableParagraph"/>
                          <w:ind w:left="65"/>
                          <w:rPr>
                            <w:sz w:val="16"/>
                          </w:rPr>
                        </w:pPr>
                        <w:r>
                          <w:rPr>
                            <w:sz w:val="16"/>
                          </w:rPr>
                          <w:t>Estado de conservación</w:t>
                        </w:r>
                      </w:p>
                    </w:tc>
                    <w:tc>
                      <w:tcPr>
                        <w:tcW w:w="1801"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
                          <w:rPr>
                            <w:sz w:val="18"/>
                          </w:rPr>
                        </w:pPr>
                      </w:p>
                      <w:p>
                        <w:pPr>
                          <w:pStyle w:val="TableParagraph"/>
                          <w:ind w:left="65" w:right="71"/>
                          <w:rPr>
                            <w:sz w:val="16"/>
                          </w:rPr>
                        </w:pPr>
                        <w:r>
                          <w:rPr>
                            <w:sz w:val="16"/>
                          </w:rPr>
                          <w:t>Regular</w:t>
                        </w:r>
                      </w:p>
                    </w:tc>
                    <w:tc>
                      <w:tcPr>
                        <w:tcW w:w="2776" w:type="dxa"/>
                        <w:tcBorders>
                          <w:right w:val="nil"/>
                        </w:tcBorders>
                      </w:tcPr>
                      <w:p>
                        <w:pPr>
                          <w:pStyle w:val="TableParagraph"/>
                          <w:ind w:left="124"/>
                          <w:rPr>
                            <w:sz w:val="20"/>
                          </w:rPr>
                        </w:pPr>
                        <w:r>
                          <w:rPr>
                            <w:sz w:val="20"/>
                          </w:rPr>
                          <w:drawing>
                            <wp:inline distT="0" distB="0" distL="0" distR="0">
                              <wp:extent cx="1589307" cy="1526190"/>
                              <wp:effectExtent l="0" t="0" r="0" b="0"/>
                              <wp:docPr id="191" name="image130.jpeg" descr=""/>
                              <wp:cNvGraphicFramePr>
                                <a:graphicFrameLocks noChangeAspect="1"/>
                              </wp:cNvGraphicFramePr>
                              <a:graphic>
                                <a:graphicData uri="http://schemas.openxmlformats.org/drawingml/2006/picture">
                                  <pic:pic>
                                    <pic:nvPicPr>
                                      <pic:cNvPr id="192" name="image130.jpeg"/>
                                      <pic:cNvPicPr/>
                                    </pic:nvPicPr>
                                    <pic:blipFill>
                                      <a:blip r:embed="rId498" cstate="print"/>
                                      <a:stretch>
                                        <a:fillRect/>
                                      </a:stretch>
                                    </pic:blipFill>
                                    <pic:spPr>
                                      <a:xfrm>
                                        <a:off x="0" y="0"/>
                                        <a:ext cx="1589307" cy="1526190"/>
                                      </a:xfrm>
                                      <a:prstGeom prst="rect">
                                        <a:avLst/>
                                      </a:prstGeom>
                                    </pic:spPr>
                                  </pic:pic>
                                </a:graphicData>
                              </a:graphic>
                            </wp:inline>
                          </w:drawing>
                        </w:r>
                        <w:r>
                          <w:rPr>
                            <w:sz w:val="20"/>
                          </w:rPr>
                        </w:r>
                      </w:p>
                    </w:tc>
                  </w:tr>
                </w:tbl>
                <w:p>
                  <w:pPr>
                    <w:pStyle w:val="BodyText"/>
                  </w:pPr>
                </w:p>
              </w:txbxContent>
            </v:textbox>
            <w10:wrap type="none"/>
          </v:shape>
        </w:pict>
      </w:r>
      <w:r>
        <w:rPr/>
        <w:t>Es</w:t>
      </w:r>
      <w:r>
        <w:rPr>
          <w:spacing w:val="-5"/>
        </w:rPr>
        <w:t> </w:t>
      </w:r>
      <w:r>
        <w:rPr/>
        <w:t>importante</w:t>
      </w:r>
      <w:r>
        <w:rPr>
          <w:spacing w:val="-5"/>
        </w:rPr>
        <w:t> </w:t>
      </w:r>
      <w:r>
        <w:rPr/>
        <w:t>señalar</w:t>
      </w:r>
      <w:r>
        <w:rPr>
          <w:spacing w:val="-5"/>
        </w:rPr>
        <w:t> </w:t>
      </w:r>
      <w:r>
        <w:rPr/>
        <w:t>que</w:t>
      </w:r>
      <w:r>
        <w:rPr>
          <w:spacing w:val="-5"/>
        </w:rPr>
        <w:t> </w:t>
      </w:r>
      <w:r>
        <w:rPr/>
        <w:t>el</w:t>
      </w:r>
      <w:r>
        <w:rPr>
          <w:spacing w:val="-5"/>
        </w:rPr>
        <w:t> </w:t>
      </w:r>
      <w:r>
        <w:rPr/>
        <w:t>90%</w:t>
      </w:r>
      <w:r>
        <w:rPr>
          <w:spacing w:val="-5"/>
        </w:rPr>
        <w:t> </w:t>
      </w:r>
      <w:r>
        <w:rPr/>
        <w:t>de</w:t>
      </w:r>
      <w:r>
        <w:rPr>
          <w:spacing w:val="-5"/>
        </w:rPr>
        <w:t> </w:t>
      </w:r>
      <w:r>
        <w:rPr/>
        <w:t>los</w:t>
      </w:r>
      <w:r>
        <w:rPr>
          <w:spacing w:val="-5"/>
        </w:rPr>
        <w:t> </w:t>
      </w:r>
      <w:r>
        <w:rPr/>
        <w:t>bancos</w:t>
      </w:r>
      <w:r>
        <w:rPr>
          <w:spacing w:val="-5"/>
        </w:rPr>
        <w:t> </w:t>
      </w:r>
      <w:r>
        <w:rPr/>
        <w:t>de</w:t>
      </w:r>
      <w:r>
        <w:rPr>
          <w:spacing w:val="-5"/>
        </w:rPr>
        <w:t> </w:t>
      </w:r>
      <w:r>
        <w:rPr/>
        <w:t>materiales</w:t>
      </w:r>
      <w:r>
        <w:rPr>
          <w:spacing w:val="-5"/>
        </w:rPr>
        <w:t> </w:t>
      </w:r>
      <w:r>
        <w:rPr/>
        <w:t>de</w:t>
      </w:r>
      <w:r>
        <w:rPr>
          <w:spacing w:val="-5"/>
        </w:rPr>
        <w:t> </w:t>
      </w:r>
      <w:r>
        <w:rPr/>
        <w:t>encuentra</w:t>
      </w:r>
      <w:r>
        <w:rPr>
          <w:spacing w:val="-5"/>
        </w:rPr>
        <w:t> </w:t>
      </w:r>
      <w:r>
        <w:rPr/>
        <w:t>cerca</w:t>
      </w:r>
      <w:r>
        <w:rPr>
          <w:spacing w:val="-5"/>
        </w:rPr>
        <w:t> </w:t>
      </w:r>
      <w:r>
        <w:rPr/>
        <w:t>de las zonas urbanas y de las principales vías de comunicación, con la finalidad de poder transportar su</w:t>
      </w:r>
      <w:r>
        <w:rPr>
          <w:spacing w:val="54"/>
        </w:rPr>
        <w:t> </w:t>
      </w:r>
      <w:r>
        <w:rPr/>
        <w:t>producto.</w:t>
      </w:r>
    </w:p>
    <w:p>
      <w:pPr>
        <w:pStyle w:val="BodyText"/>
        <w:spacing w:before="11"/>
      </w:pPr>
    </w:p>
    <w:p>
      <w:pPr>
        <w:pStyle w:val="BodyText"/>
        <w:spacing w:line="249" w:lineRule="auto"/>
        <w:ind w:left="130" w:firstLine="170"/>
        <w:jc w:val="both"/>
      </w:pPr>
      <w:r>
        <w:rPr/>
        <w:t>De acuerdo con el Instituto de Fomento Minero y Estudios Geológicos del Estado   de México se tiene el registro de la mina Colinoli S.A de C.V, cuenta con varios  bancos de extracción de materiales pétreos (ocho), encontrándose tres en el</w:t>
      </w:r>
      <w:r>
        <w:rPr>
          <w:spacing w:val="46"/>
        </w:rPr>
        <w:t> </w:t>
      </w:r>
      <w:r>
        <w:rPr/>
        <w:t>área</w:t>
      </w:r>
      <w:r>
        <w:rPr>
          <w:spacing w:val="14"/>
        </w:rPr>
        <w:t> </w:t>
      </w:r>
      <w:r>
        <w:rPr/>
        <w:t>de</w:t>
      </w:r>
      <w:r>
        <w:rPr>
          <w:w w:val="101"/>
        </w:rPr>
        <w:t> </w:t>
      </w:r>
      <w:r>
        <w:rPr/>
        <w:t>estudio: Colinoli, Guadarrama y Magdalena. Siendo estos bancos de materiales los que presentan colindancia con la zona habitacional y con el fraccionamiento Villas del Campo.</w:t>
      </w:r>
    </w:p>
    <w:p>
      <w:pPr>
        <w:pStyle w:val="BodyText"/>
        <w:spacing w:before="6"/>
      </w:pPr>
    </w:p>
    <w:p>
      <w:pPr>
        <w:pStyle w:val="Heading1"/>
        <w:spacing w:line="240" w:lineRule="exact"/>
        <w:ind w:left="3119" w:right="-7" w:hanging="2917"/>
      </w:pPr>
      <w:r>
        <w:rPr/>
        <w:t>Estimación del grado de vulnerabilidad físico-estructural en zonas habitacionales.</w:t>
      </w:r>
    </w:p>
    <w:p>
      <w:pPr>
        <w:pStyle w:val="BodyText"/>
        <w:spacing w:before="2"/>
        <w:rPr>
          <w:b/>
          <w:sz w:val="21"/>
        </w:rPr>
      </w:pPr>
    </w:p>
    <w:p>
      <w:pPr>
        <w:pStyle w:val="BodyText"/>
        <w:spacing w:line="249" w:lineRule="auto" w:before="1"/>
        <w:ind w:left="130" w:firstLine="170"/>
        <w:jc w:val="both"/>
      </w:pPr>
      <w:r>
        <w:rPr/>
        <w:t>La zona de estudio comprende 512 hectáreas, distribuidas de la siguiente manera,  el 29.5% ocupado por los bancos de materiales –mina Colinoli S.A de C.V, con tres bancos de materiales en la zona, correspondientes a esta empresa; mina</w:t>
      </w:r>
      <w:r>
        <w:rPr>
          <w:spacing w:val="-29"/>
        </w:rPr>
        <w:t> </w:t>
      </w:r>
      <w:r>
        <w:rPr/>
        <w:t>Guadarrama, mina Magdalena-; 30.3% de la zona habitacional (fraccionamiento Villas del Campo y la zona urbana de la cabecera municipal de Calimaya) y 40.4% corresponde a la zona de agricultura y barrancas. (Ver mapa</w:t>
      </w:r>
      <w:r>
        <w:rPr>
          <w:spacing w:val="-24"/>
        </w:rPr>
        <w:t> </w:t>
      </w:r>
      <w:r>
        <w:rPr/>
        <w:t>5).</w:t>
      </w:r>
    </w:p>
    <w:p>
      <w:pPr>
        <w:pStyle w:val="BodyText"/>
        <w:spacing w:before="11"/>
      </w:pPr>
    </w:p>
    <w:p>
      <w:pPr>
        <w:pStyle w:val="BodyText"/>
        <w:spacing w:line="249" w:lineRule="auto"/>
        <w:ind w:left="130" w:firstLine="170"/>
        <w:jc w:val="both"/>
      </w:pPr>
      <w:r>
        <w:rPr/>
        <w:t>Para determinar el grado de vulnerabilidad física de las zonas habitacionales, se deberá tener el 90% o más de las variables utilizadas para el análisis de acuerdo a lo establecido por Yépez </w:t>
      </w:r>
      <w:r>
        <w:rPr>
          <w:i/>
        </w:rPr>
        <w:t>et. al. </w:t>
      </w:r>
      <w:r>
        <w:rPr/>
        <w:t>(2012).</w:t>
      </w:r>
    </w:p>
    <w:p>
      <w:pPr>
        <w:pStyle w:val="BodyText"/>
        <w:spacing w:before="11"/>
      </w:pPr>
    </w:p>
    <w:p>
      <w:pPr>
        <w:pStyle w:val="BodyText"/>
        <w:spacing w:line="249" w:lineRule="auto"/>
        <w:ind w:left="130" w:firstLine="170"/>
        <w:jc w:val="both"/>
      </w:pPr>
      <w:r>
        <w:rPr/>
        <w:t>Al respecto, las zonas habitacionales del fraccionamiento Villas del Campo y las zonas urbanas, colindantes con las minas, se registró que cumplen con la evaluación de completitud obteniendo el 91.6%, (ver tablas 7 y  8).</w:t>
      </w:r>
    </w:p>
    <w:p>
      <w:pPr>
        <w:pStyle w:val="BodyText"/>
        <w:spacing w:before="11"/>
      </w:pPr>
    </w:p>
    <w:p>
      <w:pPr>
        <w:pStyle w:val="BodyText"/>
        <w:spacing w:line="249" w:lineRule="auto"/>
        <w:ind w:left="130" w:right="1" w:firstLine="170"/>
        <w:jc w:val="both"/>
      </w:pPr>
      <w:r>
        <w:rPr/>
        <w:t>Por lo que se generó a continuación el análisis de vulnerabilidad de las zonas habitacionales.</w:t>
      </w:r>
    </w:p>
    <w:p>
      <w:pPr>
        <w:spacing w:before="114"/>
        <w:ind w:left="130" w:right="0" w:firstLine="0"/>
        <w:jc w:val="left"/>
        <w:rPr>
          <w:sz w:val="16"/>
        </w:rPr>
      </w:pPr>
      <w:r>
        <w:rPr/>
        <w:br w:type="column"/>
      </w:r>
      <w:r>
        <w:rPr>
          <w:color w:val="6D6E71"/>
          <w:sz w:val="16"/>
        </w:rPr>
        <w:t>Tabla 7.  Evaluación de completitud del fraccionamiento Villas del  Campo.</w:t>
      </w:r>
    </w:p>
    <w:p>
      <w:pPr>
        <w:spacing w:after="0"/>
        <w:jc w:val="left"/>
        <w:rPr>
          <w:sz w:val="16"/>
        </w:rPr>
        <w:sectPr>
          <w:type w:val="continuous"/>
          <w:pgSz w:w="18830" w:h="12760" w:orient="landscape"/>
          <w:pgMar w:top="1420" w:bottom="280" w:left="720" w:right="720"/>
          <w:cols w:num="2" w:equalWidth="0">
            <w:col w:w="7842" w:space="2772"/>
            <w:col w:w="6776"/>
          </w:cols>
        </w:sectPr>
      </w:pPr>
    </w:p>
    <w:p>
      <w:pPr>
        <w:pStyle w:val="BodyText"/>
        <w:spacing w:before="5"/>
        <w:rPr>
          <w:sz w:val="26"/>
        </w:rPr>
      </w:pPr>
      <w:r>
        <w:rPr/>
        <w:pict>
          <v:group style="position:absolute;margin-left:752.150024pt;margin-top:490.308197pt;width:7.55pt;height:13.55pt;mso-position-horizontal-relative:page;mso-position-vertical-relative:page;z-index:-634336" coordorigin="15043,9806" coordsize="151,271">
            <v:shape style="position:absolute;left:15043;top:9806;width:151;height:271" type="#_x0000_t75" stroked="false">
              <v:imagedata r:id="rId501" o:title=""/>
            </v:shape>
            <v:line style="position:absolute" from="15189,9811" to="15189,9811" stroked="true" strokeweight=".5pt" strokecolor="#929292"/>
            <w10:wrap type="none"/>
          </v:group>
        </w:pict>
      </w:r>
      <w:r>
        <w:rPr/>
        <w:drawing>
          <wp:anchor distT="0" distB="0" distL="0" distR="0" allowOverlap="1" layoutInCell="1" locked="0" behindDoc="0" simplePos="0" relativeHeight="18472">
            <wp:simplePos x="0" y="0"/>
            <wp:positionH relativeFrom="page">
              <wp:posOffset>9624060</wp:posOffset>
            </wp:positionH>
            <wp:positionV relativeFrom="page">
              <wp:posOffset>5358872</wp:posOffset>
            </wp:positionV>
            <wp:extent cx="1732134" cy="699515"/>
            <wp:effectExtent l="0" t="0" r="0" b="0"/>
            <wp:wrapNone/>
            <wp:docPr id="193" name="image132.jpeg" descr=""/>
            <wp:cNvGraphicFramePr>
              <a:graphicFrameLocks noChangeAspect="1"/>
            </wp:cNvGraphicFramePr>
            <a:graphic>
              <a:graphicData uri="http://schemas.openxmlformats.org/drawingml/2006/picture">
                <pic:pic>
                  <pic:nvPicPr>
                    <pic:cNvPr id="194" name="image132.jpeg"/>
                    <pic:cNvPicPr/>
                  </pic:nvPicPr>
                  <pic:blipFill>
                    <a:blip r:embed="rId502" cstate="print"/>
                    <a:stretch>
                      <a:fillRect/>
                    </a:stretch>
                  </pic:blipFill>
                  <pic:spPr>
                    <a:xfrm>
                      <a:off x="0" y="0"/>
                      <a:ext cx="1732134" cy="699515"/>
                    </a:xfrm>
                    <a:prstGeom prst="rect">
                      <a:avLst/>
                    </a:prstGeom>
                  </pic:spPr>
                </pic:pic>
              </a:graphicData>
            </a:graphic>
          </wp:anchor>
        </w:drawing>
      </w:r>
    </w:p>
    <w:p>
      <w:pPr>
        <w:spacing w:line="312" w:lineRule="auto" w:before="80" w:after="49"/>
        <w:ind w:left="12915" w:right="188" w:hanging="3327"/>
        <w:jc w:val="left"/>
        <w:rPr>
          <w:sz w:val="16"/>
        </w:rPr>
      </w:pPr>
      <w:r>
        <w:rPr/>
        <w:pict>
          <v:group style="position:absolute;margin-left:41.883900pt;margin-top:-.951118pt;width:385.55pt;height:468.1pt;mso-position-horizontal-relative:page;mso-position-vertical-relative:paragraph;z-index:-634384" coordorigin="838,-19" coordsize="7711,9362">
            <v:line style="position:absolute" from="872,-14" to="1898,-14" stroked="true" strokeweight=".5pt" strokecolor="#929292">
              <v:stroke dashstyle="dash"/>
            </v:line>
            <v:line style="position:absolute" from="1913,-14" to="1913,-14" stroked="true" strokeweight=".5pt" strokecolor="#929292"/>
            <v:line style="position:absolute" from="1913,2351" to="1913,1" stroked="true" strokeweight=".5pt" strokecolor="#929292">
              <v:stroke dashstyle="dash"/>
            </v:line>
            <v:shape style="position:absolute;left:0;top:9217;width:2;height:2395" coordorigin="0,9217" coordsize="0,2395" path="m1913,2381l1913,2381m1913,-14l1913,-14e" filled="false" stroked="true" strokeweight=".5pt" strokecolor="#929292">
              <v:path arrowok="t"/>
            </v:shape>
            <v:line style="position:absolute" from="1942,-14" to="3572,-14" stroked="true" strokeweight=".5pt" strokecolor="#929292">
              <v:stroke dashstyle="dash"/>
            </v:line>
            <v:shape style="position:absolute;left:0;top:11612;width:1674;height:2" coordorigin="0,11612" coordsize="1674,0" path="m1913,-14l1913,-14m3587,-14l3587,-14e" filled="false" stroked="true" strokeweight=".5pt" strokecolor="#929292">
              <v:path arrowok="t"/>
            </v:shape>
            <v:line style="position:absolute" from="3616,-14" to="3956,-14" stroked="true" strokeweight=".5pt" strokecolor="#929292">
              <v:stroke dashstyle="dash"/>
            </v:line>
            <v:shape style="position:absolute;left:0;top:11612;width:384;height:2" coordorigin="0,11612" coordsize="384,0" path="m3587,-14l3587,-14m3971,-14l3971,-14e" filled="false" stroked="true" strokeweight=".5pt" strokecolor="#929292">
              <v:path arrowok="t"/>
            </v:shape>
            <v:line style="position:absolute" from="3971,2351" to="3971,1" stroked="true" strokeweight=".5pt" strokecolor="#929292">
              <v:stroke dashstyle="dash"/>
            </v:line>
            <v:shape style="position:absolute;left:0;top:9217;width:2;height:2395" coordorigin="0,9217" coordsize="0,2395" path="m3971,2381l3971,2381m3971,-14l3971,-14e" filled="false" stroked="true" strokeweight=".5pt" strokecolor="#929292">
              <v:path arrowok="t"/>
            </v:shape>
            <v:line style="position:absolute" from="4001,-14" to="5757,-14" stroked="true" strokeweight=".5pt" strokecolor="#929292">
              <v:stroke dashstyle="dash"/>
            </v:line>
            <v:shape style="position:absolute;left:0;top:11612;width:1801;height:2" coordorigin="0,11612" coordsize="1801,0" path="m3971,-14l3971,-14m5772,-14l5772,-14e" filled="false" stroked="true" strokeweight=".5pt" strokecolor="#929292">
              <v:path arrowok="t"/>
            </v:shape>
            <v:line style="position:absolute" from="5772,2351" to="5772,1" stroked="true" strokeweight=".5pt" strokecolor="#929292">
              <v:stroke dashstyle="dash"/>
            </v:line>
            <v:shape style="position:absolute;left:0;top:9217;width:2;height:2395" coordorigin="0,9217" coordsize="0,2395" path="m5772,2381l5772,2381m5772,-14l5772,-14e" filled="false" stroked="true" strokeweight=".5pt" strokecolor="#929292">
              <v:path arrowok="t"/>
            </v:shape>
            <v:line style="position:absolute" from="5802,-14" to="8528,-14" stroked="true" strokeweight=".5pt" strokecolor="#929292">
              <v:stroke dashstyle="dash"/>
            </v:line>
            <v:shape style="position:absolute;left:0;top:11612;width:2772;height:2" coordorigin="0,11612" coordsize="2772,0" path="m5772,-14l5772,-14m8543,-14l8543,-14e" filled="false" stroked="true" strokeweight=".5pt" strokecolor="#929292">
              <v:path arrowok="t"/>
            </v:shape>
            <v:line style="position:absolute" from="872,2381" to="1898,2381" stroked="true" strokeweight=".5pt" strokecolor="#929292">
              <v:stroke dashstyle="dash"/>
            </v:line>
            <v:shape style="position:absolute;left:0;top:11612;width:1070;height:2" coordorigin="0,11612" coordsize="1070,0" path="m843,2381l843,2381m1913,2381l1913,2381e" filled="false" stroked="true" strokeweight=".5pt" strokecolor="#929292">
              <v:path arrowok="t"/>
            </v:shape>
            <v:line style="position:absolute" from="1913,4601" to="1913,2396" stroked="true" strokeweight=".5pt" strokecolor="#929292">
              <v:stroke dashstyle="dash"/>
            </v:line>
            <v:shape style="position:absolute;left:0;top:9362;width:2;height:2250" coordorigin="0,9362" coordsize="0,2250" path="m1913,4631l1913,4631m1913,2381l1913,2381e" filled="false" stroked="true" strokeweight=".5pt" strokecolor="#929292">
              <v:path arrowok="t"/>
            </v:shape>
            <v:line style="position:absolute" from="1942,2381" to="3572,2381" stroked="true" strokeweight=".5pt" strokecolor="#929292">
              <v:stroke dashstyle="dash"/>
            </v:line>
            <v:shape style="position:absolute;left:0;top:11612;width:1674;height:2" coordorigin="0,11612" coordsize="1674,0" path="m1913,2381l1913,2381m3587,2381l3587,2381e" filled="false" stroked="true" strokeweight=".5pt" strokecolor="#929292">
              <v:path arrowok="t"/>
            </v:shape>
            <v:line style="position:absolute" from="3616,2381" to="3956,2381" stroked="true" strokeweight=".5pt" strokecolor="#929292">
              <v:stroke dashstyle="dash"/>
            </v:line>
            <v:shape style="position:absolute;left:0;top:11612;width:384;height:2" coordorigin="0,11612" coordsize="384,0" path="m3587,2381l3587,2381m3971,2381l3971,2381e" filled="false" stroked="true" strokeweight=".5pt" strokecolor="#929292">
              <v:path arrowok="t"/>
            </v:shape>
            <v:line style="position:absolute" from="3971,4601" to="3971,2396" stroked="true" strokeweight=".5pt" strokecolor="#929292">
              <v:stroke dashstyle="dash"/>
            </v:line>
            <v:shape style="position:absolute;left:0;top:9362;width:2;height:2250" coordorigin="0,9362" coordsize="0,2250" path="m3971,4631l3971,4631m3971,2381l3971,2381e" filled="false" stroked="true" strokeweight=".5pt" strokecolor="#929292">
              <v:path arrowok="t"/>
            </v:shape>
            <v:line style="position:absolute" from="4001,2381" to="5757,2381" stroked="true" strokeweight=".5pt" strokecolor="#929292">
              <v:stroke dashstyle="dash"/>
            </v:line>
            <v:shape style="position:absolute;left:0;top:11612;width:1801;height:2" coordorigin="0,11612" coordsize="1801,0" path="m3971,2381l3971,2381m5772,2381l5772,2381e" filled="false" stroked="true" strokeweight=".5pt" strokecolor="#929292">
              <v:path arrowok="t"/>
            </v:shape>
            <v:line style="position:absolute" from="5772,4601" to="5772,2396" stroked="true" strokeweight=".5pt" strokecolor="#929292">
              <v:stroke dashstyle="dash"/>
            </v:line>
            <v:shape style="position:absolute;left:0;top:9362;width:2;height:2250" coordorigin="0,9362" coordsize="0,2250" path="m5772,4631l5772,4631m5772,2381l5772,2381e" filled="false" stroked="true" strokeweight=".5pt" strokecolor="#929292">
              <v:path arrowok="t"/>
            </v:shape>
            <v:line style="position:absolute" from="5802,2381" to="8528,2381" stroked="true" strokeweight=".5pt" strokecolor="#929292">
              <v:stroke dashstyle="dash"/>
            </v:line>
            <v:shape style="position:absolute;left:0;top:11612;width:2772;height:2" coordorigin="0,11612" coordsize="2772,0" path="m5772,2381l5772,2381m8543,2381l8543,2381e" filled="false" stroked="true" strokeweight=".5pt" strokecolor="#929292">
              <v:path arrowok="t"/>
            </v:shape>
            <v:line style="position:absolute" from="872,4631" to="1898,4631" stroked="true" strokeweight=".5pt" strokecolor="#929292">
              <v:stroke dashstyle="dash"/>
            </v:line>
            <v:shape style="position:absolute;left:0;top:11612;width:1070;height:2" coordorigin="0,11612" coordsize="1070,0" path="m843,4631l843,4631m1913,4631l1913,4631e" filled="false" stroked="true" strokeweight=".5pt" strokecolor="#929292">
              <v:path arrowok="t"/>
            </v:shape>
            <v:line style="position:absolute" from="1913,6854" to="1913,4646" stroked="true" strokeweight=".5pt" strokecolor="#929292">
              <v:stroke dashstyle="dash"/>
            </v:line>
            <v:shape style="position:absolute;left:0;top:9359;width:2;height:2253" coordorigin="0,9359" coordsize="0,2253" path="m1913,6884l1913,6884m1913,4631l1913,4631e" filled="false" stroked="true" strokeweight=".5pt" strokecolor="#929292">
              <v:path arrowok="t"/>
            </v:shape>
            <v:line style="position:absolute" from="1942,4631" to="3572,4631" stroked="true" strokeweight=".5pt" strokecolor="#929292">
              <v:stroke dashstyle="dash"/>
            </v:line>
            <v:shape style="position:absolute;left:0;top:11612;width:1674;height:2" coordorigin="0,11612" coordsize="1674,0" path="m1913,4631l1913,4631m3587,4631l3587,4631e" filled="false" stroked="true" strokeweight=".5pt" strokecolor="#929292">
              <v:path arrowok="t"/>
            </v:shape>
            <v:line style="position:absolute" from="3616,4631" to="3956,4631" stroked="true" strokeweight=".5pt" strokecolor="#929292">
              <v:stroke dashstyle="dash"/>
            </v:line>
            <v:shape style="position:absolute;left:0;top:11612;width:384;height:2" coordorigin="0,11612" coordsize="384,0" path="m3587,4631l3587,4631m3971,4631l3971,4631e" filled="false" stroked="true" strokeweight=".5pt" strokecolor="#929292">
              <v:path arrowok="t"/>
            </v:shape>
            <v:line style="position:absolute" from="3971,6854" to="3971,4646" stroked="true" strokeweight=".5pt" strokecolor="#929292">
              <v:stroke dashstyle="dash"/>
            </v:line>
            <v:shape style="position:absolute;left:0;top:9359;width:2;height:2253" coordorigin="0,9359" coordsize="0,2253" path="m3971,6884l3971,6884m3971,4631l3971,4631e" filled="false" stroked="true" strokeweight=".5pt" strokecolor="#929292">
              <v:path arrowok="t"/>
            </v:shape>
            <v:line style="position:absolute" from="4001,4631" to="5757,4631" stroked="true" strokeweight=".5pt" strokecolor="#929292">
              <v:stroke dashstyle="dash"/>
            </v:line>
            <v:shape style="position:absolute;left:0;top:11612;width:1801;height:2" coordorigin="0,11612" coordsize="1801,0" path="m3971,4631l3971,4631m5772,4631l5772,4631e" filled="false" stroked="true" strokeweight=".5pt" strokecolor="#929292">
              <v:path arrowok="t"/>
            </v:shape>
            <v:line style="position:absolute" from="5772,6854" to="5772,4646" stroked="true" strokeweight=".5pt" strokecolor="#929292">
              <v:stroke dashstyle="dash"/>
            </v:line>
            <v:shape style="position:absolute;left:0;top:9359;width:2;height:2253" coordorigin="0,9359" coordsize="0,2253" path="m5772,6884l5772,6884m5772,4631l5772,4631e" filled="false" stroked="true" strokeweight=".5pt" strokecolor="#929292">
              <v:path arrowok="t"/>
            </v:shape>
            <v:line style="position:absolute" from="5802,4631" to="8528,4631" stroked="true" strokeweight=".5pt" strokecolor="#929292">
              <v:stroke dashstyle="dash"/>
            </v:line>
            <v:shape style="position:absolute;left:0;top:11612;width:2772;height:2" coordorigin="0,11612" coordsize="2772,0" path="m5772,4631l5772,4631m8543,4631l8543,4631e" filled="false" stroked="true" strokeweight=".5pt" strokecolor="#929292">
              <v:path arrowok="t"/>
            </v:shape>
            <v:line style="position:absolute" from="872,6884" to="1898,6884" stroked="true" strokeweight=".5pt" strokecolor="#929292">
              <v:stroke dashstyle="dash"/>
            </v:line>
            <v:shape style="position:absolute;left:0;top:11612;width:1070;height:2" coordorigin="0,11612" coordsize="1070,0" path="m843,6884l843,6884m1913,6884l1913,6884e" filled="false" stroked="true" strokeweight=".5pt" strokecolor="#929292">
              <v:path arrowok="t"/>
            </v:shape>
            <v:line style="position:absolute" from="1913,7198" to="1913,6900" stroked="true" strokeweight=".5pt" strokecolor="#929292">
              <v:stroke dashstyle="dash"/>
            </v:line>
            <v:shape style="position:absolute;left:0;top:11267;width:2;height:345" coordorigin="0,11267" coordsize="0,345" path="m1913,7229l1913,7229m1913,6884l1913,6884e" filled="false" stroked="true" strokeweight=".5pt" strokecolor="#929292">
              <v:path arrowok="t"/>
            </v:shape>
            <v:line style="position:absolute" from="1942,6884" to="3572,6884" stroked="true" strokeweight=".5pt" strokecolor="#929292">
              <v:stroke dashstyle="dash"/>
            </v:line>
            <v:line style="position:absolute" from="1913,6884" to="1913,6884" stroked="true" strokeweight=".5pt" strokecolor="#929292"/>
            <v:shape style="position:absolute;left:3582;top:6879;width:394;height:355" type="#_x0000_t75" stroked="false">
              <v:imagedata r:id="rId503" o:title=""/>
            </v:shape>
            <v:line style="position:absolute" from="5772,7198" to="5772,6900" stroked="true" strokeweight=".5pt" strokecolor="#929292">
              <v:stroke dashstyle="dash"/>
            </v:line>
            <v:shape style="position:absolute;left:0;top:11267;width:2;height:345" coordorigin="0,11267" coordsize="0,345" path="m5772,7229l5772,7229m5772,6884l5772,6884e" filled="false" stroked="true" strokeweight=".5pt" strokecolor="#929292">
              <v:path arrowok="t"/>
            </v:shape>
            <v:line style="position:absolute" from="4001,6884" to="5757,6884" stroked="true" strokeweight=".5pt" strokecolor="#929292">
              <v:stroke dashstyle="dash"/>
            </v:line>
            <v:shape style="position:absolute;left:0;top:11612;width:1801;height:2" coordorigin="0,11612" coordsize="1801,0" path="m3971,6884l3971,6884m5772,6884l5772,6884e" filled="false" stroked="true" strokeweight=".5pt" strokecolor="#929292">
              <v:path arrowok="t"/>
            </v:shape>
            <v:line style="position:absolute" from="872,7229" to="1898,7229" stroked="true" strokeweight=".5pt" strokecolor="#929292">
              <v:stroke dashstyle="dash"/>
            </v:line>
            <v:shape style="position:absolute;left:0;top:11612;width:1070;height:2" coordorigin="0,11612" coordsize="1070,0" path="m843,7229l843,7229m1913,7229l1913,7229e" filled="false" stroked="true" strokeweight=".5pt" strokecolor="#929292">
              <v:path arrowok="t"/>
            </v:shape>
            <v:line style="position:absolute" from="1913,7499" to="1913,7244" stroked="true" strokeweight=".5pt" strokecolor="#929292">
              <v:stroke dashstyle="dash"/>
            </v:line>
            <v:shape style="position:absolute;left:0;top:11312;width:2;height:300" coordorigin="0,11312" coordsize="0,300" path="m1913,7529l1913,7529m1913,7229l1913,7229e" filled="false" stroked="true" strokeweight=".5pt" strokecolor="#929292">
              <v:path arrowok="t"/>
            </v:shape>
            <v:line style="position:absolute" from="1942,7229" to="3572,7229" stroked="true" strokeweight=".5pt" strokecolor="#929292">
              <v:stroke dashstyle="dash"/>
            </v:line>
            <v:line style="position:absolute" from="1913,7229" to="1913,7229" stroked="true" strokeweight=".5pt" strokecolor="#929292"/>
            <v:shape style="position:absolute;left:3582;top:7224;width:394;height:310" type="#_x0000_t75" stroked="false">
              <v:imagedata r:id="rId504" o:title=""/>
            </v:shape>
            <v:line style="position:absolute" from="4001,7229" to="5757,7229" stroked="true" strokeweight=".5pt" strokecolor="#929292">
              <v:stroke dashstyle="dash"/>
            </v:line>
            <v:shape style="position:absolute;left:0;top:11612;width:1801;height:2" coordorigin="0,11612" coordsize="1801,0" path="m3971,7229l3971,7229m5772,7229l5772,7229e" filled="false" stroked="true" strokeweight=".5pt" strokecolor="#929292">
              <v:path arrowok="t"/>
            </v:shape>
            <v:line style="position:absolute" from="5772,7499" to="5772,7244" stroked="true" strokeweight=".5pt" strokecolor="#929292">
              <v:stroke dashstyle="dash"/>
            </v:line>
            <v:shape style="position:absolute;left:0;top:11312;width:2;height:300" coordorigin="0,11312" coordsize="0,300" path="m5772,7529l5772,7529m5772,7229l5772,7229e" filled="false" stroked="true" strokeweight=".5pt" strokecolor="#929292">
              <v:path arrowok="t"/>
            </v:shape>
            <v:line style="position:absolute" from="5802,7229" to="8528,7229" stroked="true" strokeweight=".5pt" strokecolor="#929292">
              <v:stroke dashstyle="dash"/>
            </v:line>
            <v:shape style="position:absolute;left:0;top:11612;width:2772;height:2" coordorigin="0,11612" coordsize="2772,0" path="m5772,7229l5772,7229m8543,7229l8543,7229e" filled="false" stroked="true" strokeweight=".5pt" strokecolor="#929292">
              <v:path arrowok="t"/>
            </v:shape>
            <v:line style="position:absolute" from="872,7529" to="1898,7529" stroked="true" strokeweight=".5pt" strokecolor="#929292">
              <v:stroke dashstyle="dash"/>
            </v:line>
            <v:shape style="position:absolute;left:0;top:11612;width:1070;height:2" coordorigin="0,11612" coordsize="1070,0" path="m843,7529l843,7529m1913,7529l1913,7529e" filled="false" stroked="true" strokeweight=".5pt" strokecolor="#929292">
              <v:path arrowok="t"/>
            </v:shape>
            <v:line style="position:absolute" from="1942,7529" to="3572,7529" stroked="true" strokeweight=".5pt" strokecolor="#929292">
              <v:stroke dashstyle="dash"/>
            </v:line>
            <v:shape style="position:absolute;left:0;top:11612;width:1674;height:2" coordorigin="0,11612" coordsize="1674,0" path="m1913,7529l1913,7529m3587,7529l3587,7529e" filled="false" stroked="true" strokeweight=".5pt" strokecolor="#929292">
              <v:path arrowok="t"/>
            </v:shape>
            <v:line style="position:absolute" from="3616,7529" to="3956,7529" stroked="true" strokeweight=".5pt" strokecolor="#929292">
              <v:stroke dashstyle="dash"/>
            </v:line>
            <v:shape style="position:absolute;left:0;top:11612;width:384;height:2" coordorigin="0,11612" coordsize="384,0" path="m3587,7529l3587,7529m3971,7529l3971,7529e" filled="false" stroked="true" strokeweight=".5pt" strokecolor="#929292">
              <v:path arrowok="t"/>
            </v:shape>
            <v:line style="position:absolute" from="4001,7529" to="5757,7529" stroked="true" strokeweight=".5pt" strokecolor="#929292">
              <v:stroke dashstyle="dash"/>
            </v:line>
            <v:shape style="position:absolute;left:0;top:11612;width:1801;height:2" coordorigin="0,11612" coordsize="1801,0" path="m3971,7529l3971,7529m5772,7529l5772,7529e" filled="false" stroked="true" strokeweight=".5pt" strokecolor="#929292">
              <v:path arrowok="t"/>
            </v:shape>
            <v:line style="position:absolute" from="5772,7983" to="5772,7544" stroked="true" strokeweight=".5pt" strokecolor="#929292">
              <v:stroke dashstyle="dash"/>
            </v:line>
            <v:shape style="position:absolute;left:0;top:11128;width:2;height:485" coordorigin="0,11128" coordsize="0,485" path="m5772,8013l5772,8013m5772,7529l5772,7529e" filled="false" stroked="true" strokeweight=".5pt" strokecolor="#929292">
              <v:path arrowok="t"/>
            </v:shape>
            <v:line style="position:absolute" from="5802,7529" to="8528,7529" stroked="true" strokeweight=".5pt" strokecolor="#929292">
              <v:stroke dashstyle="dash"/>
            </v:line>
            <v:shape style="position:absolute;left:0;top:11612;width:2772;height:2" coordorigin="0,11612" coordsize="2772,0" path="m5772,7529l5772,7529m8543,7529l8543,7529e" filled="false" stroked="true" strokeweight=".5pt" strokecolor="#929292">
              <v:path arrowok="t"/>
            </v:shape>
            <v:shape style="position:absolute;left:0;top:11612;width:1070;height:2" coordorigin="0,11612" coordsize="1070,0" path="m843,8013l843,8013m1913,8013l1913,8013e" filled="false" stroked="true" strokeweight=".5pt" strokecolor="#929292">
              <v:path arrowok="t"/>
            </v:shape>
            <v:shape style="position:absolute;left:0;top:11612;width:1674;height:2" coordorigin="0,11612" coordsize="1674,0" path="m1913,8013l1913,8013m3587,8013l3587,8013e" filled="false" stroked="true" strokeweight=".5pt" strokecolor="#929292">
              <v:path arrowok="t"/>
            </v:shape>
            <v:shape style="position:absolute;left:0;top:11612;width:384;height:2" coordorigin="0,11612" coordsize="384,0" path="m3587,8013l3587,8013m3971,8013l3971,8013e" filled="false" stroked="true" strokeweight=".5pt" strokecolor="#929292">
              <v:path arrowok="t"/>
            </v:shape>
            <v:shape style="position:absolute;left:0;top:11612;width:1801;height:2" coordorigin="0,11612" coordsize="1801,0" path="m3971,8013l3971,8013m5772,8013l5772,8013e" filled="false" stroked="true" strokeweight=".5pt" strokecolor="#929292">
              <v:path arrowok="t"/>
            </v:shape>
            <v:line style="position:absolute" from="5772,8283" to="5772,8028" stroked="true" strokeweight=".5pt" strokecolor="#929292">
              <v:stroke dashstyle="dash"/>
            </v:line>
            <v:shape style="position:absolute;left:0;top:11312;width:2;height:300" coordorigin="0,11312" coordsize="0,300" path="m5772,8313l5772,8313m5772,8013l5772,8013e" filled="false" stroked="true" strokeweight=".5pt" strokecolor="#929292">
              <v:path arrowok="t"/>
            </v:shape>
            <v:shape style="position:absolute;left:0;top:11612;width:2772;height:2" coordorigin="0,11612" coordsize="2772,0" path="m5772,8013l5772,8013m8543,8013l8543,8013e" filled="false" stroked="true" strokeweight=".5pt" strokecolor="#929292">
              <v:path arrowok="t"/>
            </v:shape>
            <v:shape style="position:absolute;left:0;top:11612;width:1070;height:2" coordorigin="0,11612" coordsize="1070,0" path="m843,8313l843,8313m1913,8313l1913,8313e" filled="false" stroked="true" strokeweight=".5pt" strokecolor="#929292">
              <v:path arrowok="t"/>
            </v:shape>
            <v:shape style="position:absolute;left:0;top:11612;width:1674;height:2" coordorigin="0,11612" coordsize="1674,0" path="m1913,8313l1913,8313m3587,8313l3587,8313e" filled="false" stroked="true" strokeweight=".5pt" strokecolor="#929292">
              <v:path arrowok="t"/>
            </v:shape>
            <v:shape style="position:absolute;left:0;top:11612;width:384;height:2" coordorigin="0,11612" coordsize="384,0" path="m3587,8313l3587,8313m3971,8313l3971,8313e" filled="false" stroked="true" strokeweight=".5pt" strokecolor="#929292">
              <v:path arrowok="t"/>
            </v:shape>
            <v:shape style="position:absolute;left:0;top:11612;width:1801;height:2" coordorigin="0,11612" coordsize="1801,0" path="m3971,8313l3971,8313m5772,8313l5772,8313e" filled="false" stroked="true" strokeweight=".5pt" strokecolor="#929292">
              <v:path arrowok="t"/>
            </v:shape>
            <v:line style="position:absolute" from="5772,8583" to="5772,8328" stroked="true" strokeweight=".5pt" strokecolor="#929292">
              <v:stroke dashstyle="dash"/>
            </v:line>
            <v:shape style="position:absolute;left:0;top:11312;width:2;height:300" coordorigin="0,11312" coordsize="0,300" path="m5772,8613l5772,8613m5772,8313l5772,8313e" filled="false" stroked="true" strokeweight=".5pt" strokecolor="#929292">
              <v:path arrowok="t"/>
            </v:shape>
            <v:shape style="position:absolute;left:0;top:11612;width:2772;height:2" coordorigin="0,11612" coordsize="2772,0" path="m5772,8313l5772,8313m8543,8313l8543,8313e" filled="false" stroked="true" strokeweight=".5pt" strokecolor="#929292">
              <v:path arrowok="t"/>
            </v:shape>
            <v:shape style="position:absolute;left:0;top:11612;width:1070;height:2" coordorigin="0,11612" coordsize="1070,0" path="m843,8613l843,8613m1913,8613l1913,8613e" filled="false" stroked="true" strokeweight=".5pt" strokecolor="#929292">
              <v:path arrowok="t"/>
            </v:shape>
            <v:shape style="position:absolute;left:0;top:11612;width:1674;height:2" coordorigin="0,11612" coordsize="1674,0" path="m1913,8613l1913,8613m3587,8613l3587,8613e" filled="false" stroked="true" strokeweight=".5pt" strokecolor="#929292">
              <v:path arrowok="t"/>
            </v:shape>
            <v:shape style="position:absolute;left:0;top:11612;width:384;height:2" coordorigin="0,11612" coordsize="384,0" path="m3587,8613l3587,8613m3971,8613l3971,8613e" filled="false" stroked="true" strokeweight=".5pt" strokecolor="#929292">
              <v:path arrowok="t"/>
            </v:shape>
            <v:shape style="position:absolute;left:0;top:11612;width:1801;height:2" coordorigin="0,11612" coordsize="1801,0" path="m3971,8613l3971,8613m5772,8613l5772,8613e" filled="false" stroked="true" strokeweight=".5pt" strokecolor="#929292">
              <v:path arrowok="t"/>
            </v:shape>
            <v:line style="position:absolute" from="5772,8883" to="5772,8628" stroked="true" strokeweight=".5pt" strokecolor="#929292">
              <v:stroke dashstyle="dash"/>
            </v:line>
            <v:shape style="position:absolute;left:0;top:11312;width:2;height:300" coordorigin="0,11312" coordsize="0,300" path="m5772,8913l5772,8913m5772,8613l5772,8613e" filled="false" stroked="true" strokeweight=".5pt" strokecolor="#929292">
              <v:path arrowok="t"/>
            </v:shape>
            <v:shape style="position:absolute;left:0;top:11612;width:2772;height:2" coordorigin="0,11612" coordsize="2772,0" path="m5772,8613l5772,8613m8543,8613l8543,8613e" filled="false" stroked="true" strokeweight=".5pt" strokecolor="#929292">
              <v:path arrowok="t"/>
            </v:shape>
            <v:shape style="position:absolute;left:0;top:11612;width:1070;height:2" coordorigin="0,11612" coordsize="1070,0" path="m843,8913l843,8913m1913,8913l1913,8913e" filled="false" stroked="true" strokeweight=".5pt" strokecolor="#929292">
              <v:path arrowok="t"/>
            </v:shape>
            <v:shape style="position:absolute;left:0;top:11612;width:1674;height:2" coordorigin="0,11612" coordsize="1674,0" path="m1913,8913l1913,8913m3587,8913l3587,8913e" filled="false" stroked="true" strokeweight=".5pt" strokecolor="#929292">
              <v:path arrowok="t"/>
            </v:shape>
            <v:shape style="position:absolute;left:3582;top:8908;width:394;height:415" type="#_x0000_t75" stroked="false">
              <v:imagedata r:id="rId505" o:title=""/>
            </v:shape>
            <v:shape style="position:absolute;left:0;top:11612;width:1801;height:2" coordorigin="0,11612" coordsize="1801,0" path="m3971,8913l3971,8913m5772,8913l5772,8913e" filled="false" stroked="true" strokeweight=".5pt" strokecolor="#929292">
              <v:path arrowok="t"/>
            </v:shape>
            <v:line style="position:absolute" from="4001,9318" to="5757,9318" stroked="true" strokeweight=".5pt" strokecolor="#929292">
              <v:stroke dashstyle="dash"/>
            </v:line>
            <v:shape style="position:absolute;left:0;top:11612;width:1801;height:2" coordorigin="0,11612" coordsize="1801,0" path="m3971,9318l3971,9318m5772,9318l5772,9318e" filled="false" stroked="true" strokeweight=".5pt" strokecolor="#929292">
              <v:path arrowok="t"/>
            </v:shape>
            <v:line style="position:absolute" from="5772,9287" to="5772,8929" stroked="true" strokeweight=".5pt" strokecolor="#929292">
              <v:stroke dashstyle="dash"/>
            </v:line>
            <v:shape style="position:absolute;left:0;top:11207;width:2;height:405" coordorigin="0,11207" coordsize="0,405" path="m5772,9318l5772,9318m5772,8913l5772,8913e" filled="false" stroked="true" strokeweight=".5pt" strokecolor="#929292">
              <v:path arrowok="t"/>
            </v:shape>
            <v:shape style="position:absolute;left:0;top:11612;width:2772;height:2" coordorigin="0,11612" coordsize="2772,0" path="m5772,8913l5772,8913m8543,8913l8543,8913e" filled="false" stroked="true" strokeweight=".5pt" strokecolor="#929292">
              <v:path arrowok="t"/>
            </v:shape>
            <v:line style="position:absolute" from="5802,9318" to="8528,9318" stroked="true" strokeweight=".5pt" strokecolor="#929292">
              <v:stroke dashstyle="dash"/>
            </v:line>
            <v:shape style="position:absolute;left:0;top:11612;width:2772;height:2" coordorigin="0,11612" coordsize="2772,0" path="m5772,9318l5772,9318m8543,9318l8543,9318e" filled="false" stroked="true" strokeweight=".5pt" strokecolor="#929292">
              <v:path arrowok="t"/>
            </v:shape>
            <v:shape style="position:absolute;left:5842;top:160;width:2529;height:2216" type="#_x0000_t75" stroked="false">
              <v:imagedata r:id="rId506" o:title=""/>
            </v:shape>
            <v:shape style="position:absolute;left:5842;top:2487;width:2627;height:2139" type="#_x0000_t75" stroked="false">
              <v:imagedata r:id="rId507" o:title=""/>
            </v:shape>
            <v:shape style="position:absolute;left:5842;top:4871;width:2533;height:2116" type="#_x0000_t75" stroked="false">
              <v:imagedata r:id="rId508" o:title=""/>
            </v:shape>
            <v:shape style="position:absolute;left:1913;top:-14;width:2058;height:2395"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180" w:lineRule="exact" w:before="100"/>
                      <w:ind w:left="70" w:right="216" w:firstLine="0"/>
                      <w:jc w:val="left"/>
                      <w:rPr>
                        <w:sz w:val="16"/>
                      </w:rPr>
                    </w:pPr>
                    <w:r>
                      <w:rPr>
                        <w:sz w:val="16"/>
                      </w:rPr>
                      <w:t>Características del suelo bajo la edificación</w:t>
                    </w:r>
                  </w:p>
                </w:txbxContent>
              </v:textbox>
              <w10:wrap type="none"/>
            </v:shape>
            <v:shape style="position:absolute;left:3971;top:-14;width:1801;height:2395"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180" w:lineRule="exact" w:before="100"/>
                      <w:ind w:left="70" w:right="198" w:firstLine="0"/>
                      <w:jc w:val="left"/>
                      <w:rPr>
                        <w:sz w:val="16"/>
                      </w:rPr>
                    </w:pPr>
                    <w:r>
                      <w:rPr>
                        <w:sz w:val="16"/>
                      </w:rPr>
                      <w:t>Húmedo, blando, relleno</w:t>
                    </w:r>
                  </w:p>
                </w:txbxContent>
              </v:textbox>
              <w10:wrap type="none"/>
            </v:shape>
            <v:shape style="position:absolute;left:1983;top:3432;width:1369;height:160" type="#_x0000_t202" filled="false" stroked="false">
              <v:textbox inset="0,0,0,0">
                <w:txbxContent>
                  <w:p>
                    <w:pPr>
                      <w:spacing w:line="160" w:lineRule="exact" w:before="0"/>
                      <w:ind w:left="0" w:right="-12" w:firstLine="0"/>
                      <w:jc w:val="left"/>
                      <w:rPr>
                        <w:sz w:val="16"/>
                      </w:rPr>
                    </w:pPr>
                    <w:r>
                      <w:rPr>
                        <w:sz w:val="16"/>
                      </w:rPr>
                      <w:t>Topografía del sitio</w:t>
                    </w:r>
                  </w:p>
                </w:txbxContent>
              </v:textbox>
              <w10:wrap type="none"/>
            </v:shape>
            <v:shape style="position:absolute;left:3971;top:2381;width:1801;height:2250"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5"/>
                      <w:rPr>
                        <w:sz w:val="18"/>
                      </w:rPr>
                    </w:pPr>
                  </w:p>
                  <w:p>
                    <w:pPr>
                      <w:spacing w:line="180" w:lineRule="exact" w:before="0"/>
                      <w:ind w:left="70" w:right="198" w:firstLine="0"/>
                      <w:jc w:val="left"/>
                      <w:rPr>
                        <w:sz w:val="16"/>
                      </w:rPr>
                    </w:pPr>
                    <w:r>
                      <w:rPr>
                        <w:sz w:val="16"/>
                      </w:rPr>
                      <w:t>Terreno accidentado, laderas</w:t>
                    </w:r>
                  </w:p>
                </w:txbxContent>
              </v:textbox>
              <w10:wrap type="none"/>
            </v:shape>
            <v:shape style="position:absolute;left:3971;top:4631;width:1801;height:2253"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before="113"/>
                      <w:ind w:left="70" w:right="198" w:firstLine="0"/>
                      <w:jc w:val="left"/>
                      <w:rPr>
                        <w:sz w:val="16"/>
                      </w:rPr>
                    </w:pPr>
                    <w:r>
                      <w:rPr>
                        <w:sz w:val="16"/>
                      </w:rPr>
                      <w:t>Irregular  en altura</w:t>
                    </w:r>
                  </w:p>
                </w:txbxContent>
              </v:textbox>
              <w10:wrap type="none"/>
            </v:shape>
            <v:shape style="position:absolute;left:908;top:1110;width:89;height:160" type="#_x0000_t202" filled="false" stroked="false">
              <v:textbox inset="0,0,0,0">
                <w:txbxContent>
                  <w:p>
                    <w:pPr>
                      <w:spacing w:line="160" w:lineRule="exact" w:before="0"/>
                      <w:ind w:left="0" w:right="0" w:firstLine="0"/>
                      <w:jc w:val="left"/>
                      <w:rPr>
                        <w:sz w:val="16"/>
                      </w:rPr>
                    </w:pPr>
                    <w:r>
                      <w:rPr>
                        <w:w w:val="99"/>
                        <w:sz w:val="16"/>
                      </w:rPr>
                      <w:t>8</w:t>
                    </w:r>
                  </w:p>
                </w:txbxContent>
              </v:textbox>
              <w10:wrap type="none"/>
            </v:shape>
            <v:shape style="position:absolute;left:908;top:3432;width:89;height:160" type="#_x0000_t202" filled="false" stroked="false">
              <v:textbox inset="0,0,0,0">
                <w:txbxContent>
                  <w:p>
                    <w:pPr>
                      <w:spacing w:line="160" w:lineRule="exact" w:before="0"/>
                      <w:ind w:left="0" w:right="0" w:firstLine="0"/>
                      <w:jc w:val="left"/>
                      <w:rPr>
                        <w:sz w:val="16"/>
                      </w:rPr>
                    </w:pPr>
                    <w:r>
                      <w:rPr>
                        <w:w w:val="99"/>
                        <w:sz w:val="16"/>
                      </w:rPr>
                      <w:t>9</w:t>
                    </w:r>
                  </w:p>
                </w:txbxContent>
              </v:textbox>
              <w10:wrap type="none"/>
            </v:shape>
            <v:shape style="position:absolute;left:908;top:5684;width:178;height:160" type="#_x0000_t202" filled="false" stroked="false">
              <v:textbox inset="0,0,0,0">
                <w:txbxContent>
                  <w:p>
                    <w:pPr>
                      <w:spacing w:line="160" w:lineRule="exact" w:before="0"/>
                      <w:ind w:left="0" w:right="-20" w:firstLine="0"/>
                      <w:jc w:val="left"/>
                      <w:rPr>
                        <w:sz w:val="16"/>
                      </w:rPr>
                    </w:pPr>
                    <w:r>
                      <w:rPr>
                        <w:sz w:val="16"/>
                      </w:rPr>
                      <w:t>10</w:t>
                    </w:r>
                  </w:p>
                </w:txbxContent>
              </v:textbox>
              <w10:wrap type="none"/>
            </v:shape>
            <v:shape style="position:absolute;left:1983;top:5684;width:1657;height:160" type="#_x0000_t202" filled="false" stroked="false">
              <v:textbox inset="0,0,0,0">
                <w:txbxContent>
                  <w:p>
                    <w:pPr>
                      <w:spacing w:line="160" w:lineRule="exact" w:before="0"/>
                      <w:ind w:left="0" w:right="0" w:firstLine="0"/>
                      <w:jc w:val="left"/>
                      <w:rPr>
                        <w:sz w:val="16"/>
                      </w:rPr>
                    </w:pPr>
                    <w:r>
                      <w:rPr>
                        <w:sz w:val="16"/>
                      </w:rPr>
                      <w:t>Forma de construcción</w:t>
                    </w:r>
                  </w:p>
                </w:txbxContent>
              </v:textbox>
              <w10:wrap type="none"/>
            </v:shape>
            <v:shape style="position:absolute;left:908;top:6983;width:777;height:875" type="#_x0000_t202" filled="false" stroked="false">
              <v:textbox inset="0,0,0,0">
                <w:txbxContent>
                  <w:p>
                    <w:pPr>
                      <w:spacing w:line="165" w:lineRule="exact" w:before="0"/>
                      <w:ind w:left="0" w:right="0" w:firstLine="0"/>
                      <w:jc w:val="left"/>
                      <w:rPr>
                        <w:sz w:val="16"/>
                      </w:rPr>
                    </w:pPr>
                    <w:r>
                      <w:rPr>
                        <w:sz w:val="16"/>
                      </w:rPr>
                      <w:t>11</w:t>
                    </w:r>
                  </w:p>
                  <w:p>
                    <w:pPr>
                      <w:spacing w:before="138"/>
                      <w:ind w:left="0" w:right="0" w:firstLine="0"/>
                      <w:jc w:val="left"/>
                      <w:rPr>
                        <w:sz w:val="16"/>
                      </w:rPr>
                    </w:pPr>
                    <w:r>
                      <w:rPr>
                        <w:sz w:val="16"/>
                      </w:rPr>
                      <w:t>12</w:t>
                    </w:r>
                  </w:p>
                  <w:p>
                    <w:pPr>
                      <w:spacing w:line="180" w:lineRule="exact" w:before="34"/>
                      <w:ind w:left="0" w:right="0" w:firstLine="0"/>
                      <w:jc w:val="left"/>
                      <w:rPr>
                        <w:sz w:val="16"/>
                      </w:rPr>
                    </w:pPr>
                    <w:r>
                      <w:rPr>
                        <w:w w:val="95"/>
                        <w:sz w:val="16"/>
                      </w:rPr>
                      <w:t>Evaluación </w:t>
                    </w:r>
                    <w:r>
                      <w:rPr>
                        <w:sz w:val="16"/>
                      </w:rPr>
                      <w:t>de</w:t>
                    </w:r>
                  </w:p>
                </w:txbxContent>
              </v:textbox>
              <w10:wrap type="none"/>
            </v:shape>
            <v:shape style="position:absolute;left:1983;top:6983;width:3660;height:160" type="#_x0000_t202" filled="false" stroked="false">
              <v:textbox inset="0,0,0,0">
                <w:txbxContent>
                  <w:p>
                    <w:pPr>
                      <w:spacing w:line="160" w:lineRule="exact" w:before="0"/>
                      <w:ind w:left="0" w:right="-7" w:firstLine="0"/>
                      <w:jc w:val="left"/>
                      <w:rPr>
                        <w:sz w:val="16"/>
                      </w:rPr>
                    </w:pPr>
                    <w:r>
                      <w:rPr>
                        <w:sz w:val="16"/>
                      </w:rPr>
                      <w:t>Superficie de construcción    80 m2, 95m2 y 117m2</w:t>
                    </w:r>
                  </w:p>
                </w:txbxContent>
              </v:textbox>
              <w10:wrap type="none"/>
            </v:shape>
            <v:shape style="position:absolute;left:1983;top:7306;width:955;height:160" type="#_x0000_t202" filled="false" stroked="false">
              <v:textbox inset="0,0,0,0">
                <w:txbxContent>
                  <w:p>
                    <w:pPr>
                      <w:spacing w:line="160" w:lineRule="exact" w:before="0"/>
                      <w:ind w:left="0" w:right="0" w:firstLine="0"/>
                      <w:jc w:val="left"/>
                      <w:rPr>
                        <w:sz w:val="16"/>
                      </w:rPr>
                    </w:pPr>
                    <w:r>
                      <w:rPr>
                        <w:sz w:val="16"/>
                      </w:rPr>
                      <w:t>Identificación</w:t>
                    </w:r>
                  </w:p>
                </w:txbxContent>
              </v:textbox>
              <w10:wrap type="none"/>
            </v:shape>
            <v:shape style="position:absolute;left:4041;top:7306;width:596;height:160" type="#_x0000_t202" filled="false" stroked="false">
              <v:textbox inset="0,0,0,0">
                <w:txbxContent>
                  <w:p>
                    <w:pPr>
                      <w:spacing w:line="160" w:lineRule="exact" w:before="0"/>
                      <w:ind w:left="0" w:right="-12" w:firstLine="0"/>
                      <w:jc w:val="left"/>
                      <w:rPr>
                        <w:sz w:val="16"/>
                      </w:rPr>
                    </w:pPr>
                    <w:r>
                      <w:rPr>
                        <w:sz w:val="16"/>
                      </w:rPr>
                      <w:t>Sin dato</w:t>
                    </w:r>
                  </w:p>
                </w:txbxContent>
              </v:textbox>
              <w10:wrap type="none"/>
            </v:shape>
            <v:shape style="position:absolute;left:872;top:7878;width:7656;height:760" type="#_x0000_t202" filled="false" stroked="false">
              <v:textbox inset="0,0,0,0">
                <w:txbxContent>
                  <w:p>
                    <w:pPr>
                      <w:tabs>
                        <w:tab w:pos="2699" w:val="left" w:leader="none"/>
                        <w:tab w:pos="3083" w:val="left" w:leader="none"/>
                        <w:tab w:pos="4884" w:val="left" w:leader="none"/>
                        <w:tab w:pos="7655" w:val="left" w:leader="none"/>
                      </w:tabs>
                      <w:spacing w:line="165" w:lineRule="exact" w:before="0"/>
                      <w:ind w:left="0" w:right="0" w:firstLine="0"/>
                      <w:jc w:val="left"/>
                      <w:rPr>
                        <w:sz w:val="16"/>
                      </w:rPr>
                    </w:pPr>
                    <w:r>
                      <w:rPr>
                        <w:spacing w:val="-10"/>
                        <w:w w:val="100"/>
                        <w:sz w:val="16"/>
                        <w:u w:val="dotted" w:color="929292"/>
                      </w:rPr>
                      <w:t> </w:t>
                    </w:r>
                    <w:r>
                      <w:rPr>
                        <w:w w:val="105"/>
                        <w:sz w:val="16"/>
                        <w:u w:val="dotted" w:color="929292"/>
                      </w:rPr>
                      <w:t>completitud</w:t>
                    </w:r>
                    <w:r>
                      <w:rPr>
                        <w:sz w:val="16"/>
                        <w:u w:val="dotted" w:color="929292"/>
                      </w:rPr>
                      <w:t>  </w:t>
                    </w:r>
                    <w:r>
                      <w:rPr>
                        <w:spacing w:val="5"/>
                        <w:sz w:val="16"/>
                        <w:u w:val="dotted" w:color="929292"/>
                      </w:rPr>
                      <w:t> </w:t>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r>
                      <w:rPr>
                        <w:sz w:val="16"/>
                      </w:rPr>
                      <w:t> </w:t>
                    </w:r>
                    <w:r>
                      <w:rPr>
                        <w:w w:val="100"/>
                        <w:sz w:val="16"/>
                        <w:u w:val="dotted" w:color="929292"/>
                      </w:rPr>
                      <w:t> </w:t>
                    </w:r>
                    <w:r>
                      <w:rPr>
                        <w:sz w:val="16"/>
                        <w:u w:val="dotted" w:color="929292"/>
                      </w:rPr>
                      <w:tab/>
                    </w:r>
                  </w:p>
                  <w:p>
                    <w:pPr>
                      <w:tabs>
                        <w:tab w:pos="2699" w:val="left" w:leader="none"/>
                        <w:tab w:pos="3083" w:val="left" w:leader="none"/>
                        <w:tab w:pos="4884" w:val="left" w:leader="none"/>
                        <w:tab w:pos="7655" w:val="left" w:leader="none"/>
                      </w:tabs>
                      <w:spacing w:before="116"/>
                      <w:ind w:left="0" w:right="0" w:firstLine="0"/>
                      <w:jc w:val="left"/>
                      <w:rPr>
                        <w:sz w:val="16"/>
                      </w:rPr>
                    </w:pPr>
                    <w:r>
                      <w:rPr>
                        <w:spacing w:val="-10"/>
                        <w:w w:val="100"/>
                        <w:sz w:val="16"/>
                        <w:u w:val="dotted" w:color="929292"/>
                      </w:rPr>
                      <w:t> </w:t>
                    </w:r>
                    <w:r>
                      <w:rPr>
                        <w:sz w:val="16"/>
                        <w:u w:val="dotted" w:color="929292"/>
                      </w:rPr>
                      <w:t>Datos totales </w:t>
                    </w:r>
                    <w:r>
                      <w:rPr>
                        <w:sz w:val="16"/>
                      </w:rPr>
                      <w:t>p</w:t>
                    </w:r>
                    <w:r>
                      <w:rPr>
                        <w:sz w:val="16"/>
                        <w:u w:val="dotted" w:color="929292"/>
                      </w:rPr>
                      <w:t>osibles</w:t>
                      <w:tab/>
                    </w:r>
                    <w:r>
                      <w:rPr>
                        <w:sz w:val="16"/>
                        <w:u w:val="dotted" w:color="929292"/>
                      </w:rPr>
                      <w:tab/>
                    </w:r>
                    <w:r>
                      <w:rPr>
                        <w:sz w:val="16"/>
                        <w:u w:val="dotted" w:color="929292"/>
                      </w:rPr>
                      <w:tab/>
                    </w:r>
                    <w:r>
                      <w:rPr>
                        <w:sz w:val="16"/>
                        <w:u w:val="dotted" w:color="929292"/>
                      </w:rPr>
                      <w:t>12 variables de</w:t>
                    </w:r>
                    <w:r>
                      <w:rPr>
                        <w:spacing w:val="1"/>
                        <w:sz w:val="16"/>
                        <w:u w:val="dotted" w:color="929292"/>
                      </w:rPr>
                      <w:t> </w:t>
                    </w:r>
                    <w:r>
                      <w:rPr>
                        <w:sz w:val="16"/>
                        <w:u w:val="dotted" w:color="929292"/>
                      </w:rPr>
                      <w:t>vulnerabilidad</w:t>
                      <w:tab/>
                    </w:r>
                  </w:p>
                  <w:p>
                    <w:pPr>
                      <w:tabs>
                        <w:tab w:pos="3083" w:val="left" w:leader="none"/>
                        <w:tab w:pos="4884" w:val="left" w:leader="none"/>
                        <w:tab w:pos="7655" w:val="left" w:leader="none"/>
                      </w:tabs>
                      <w:spacing w:line="179" w:lineRule="exact" w:before="116"/>
                      <w:ind w:left="0" w:right="0" w:firstLine="0"/>
                      <w:jc w:val="left"/>
                      <w:rPr>
                        <w:sz w:val="16"/>
                      </w:rPr>
                    </w:pPr>
                    <w:r>
                      <w:rPr>
                        <w:spacing w:val="-10"/>
                        <w:w w:val="100"/>
                        <w:sz w:val="16"/>
                        <w:u w:val="dotted" w:color="929292"/>
                      </w:rPr>
                      <w:t> </w:t>
                    </w:r>
                    <w:r>
                      <w:rPr>
                        <w:sz w:val="16"/>
                        <w:u w:val="dotted" w:color="929292"/>
                      </w:rPr>
                      <w:t>Datos totales </w:t>
                    </w:r>
                    <w:r>
                      <w:rPr>
                        <w:sz w:val="16"/>
                      </w:rPr>
                      <w:t>o</w:t>
                    </w:r>
                    <w:r>
                      <w:rPr>
                        <w:sz w:val="16"/>
                        <w:u w:val="dotted" w:color="929292"/>
                      </w:rPr>
                      <w:t>btenidos</w:t>
                    </w:r>
                    <w:r>
                      <w:rPr>
                        <w:spacing w:val="2"/>
                        <w:sz w:val="16"/>
                        <w:u w:val="dotted" w:color="929292"/>
                      </w:rPr>
                      <w:t> </w:t>
                    </w:r>
                    <w:r>
                      <w:rPr>
                        <w:sz w:val="16"/>
                        <w:u w:val="dotted" w:color="929292"/>
                      </w:rPr>
                      <w:t>del predio</w:t>
                    </w:r>
                    <w:r>
                      <w:rPr>
                        <w:sz w:val="16"/>
                        <w:u w:val="dotted" w:color="929292"/>
                      </w:rPr>
                      <w:tab/>
                    </w:r>
                    <w:r>
                      <w:rPr>
                        <w:sz w:val="16"/>
                        <w:u w:val="dotted" w:color="929292"/>
                      </w:rPr>
                      <w:tab/>
                    </w:r>
                    <w:r>
                      <w:rPr>
                        <w:sz w:val="16"/>
                        <w:u w:val="dotted" w:color="929292"/>
                      </w:rPr>
                      <w:t>11</w:t>
                      <w:tab/>
                    </w:r>
                  </w:p>
                </w:txbxContent>
              </v:textbox>
              <w10:wrap type="none"/>
            </v:shape>
            <v:shape style="position:absolute;left:872;top:8778;width:2700;height:515" type="#_x0000_t202" filled="false" stroked="false">
              <v:textbox inset="0,0,0,0">
                <w:txbxContent>
                  <w:p>
                    <w:pPr>
                      <w:tabs>
                        <w:tab w:pos="2699" w:val="left" w:leader="none"/>
                      </w:tabs>
                      <w:spacing w:line="160" w:lineRule="exact" w:before="0"/>
                      <w:ind w:left="0" w:right="0" w:firstLine="0"/>
                      <w:jc w:val="left"/>
                      <w:rPr>
                        <w:sz w:val="16"/>
                      </w:rPr>
                    </w:pPr>
                    <w:r>
                      <w:rPr>
                        <w:spacing w:val="-10"/>
                        <w:w w:val="100"/>
                        <w:sz w:val="16"/>
                        <w:u w:val="dotted" w:color="929292"/>
                      </w:rPr>
                      <w:t> </w:t>
                    </w:r>
                    <w:r>
                      <w:rPr>
                        <w:w w:val="105"/>
                        <w:sz w:val="16"/>
                        <w:u w:val="dotted" w:color="929292"/>
                      </w:rPr>
                      <w:t>Completitud</w:t>
                    </w:r>
                    <w:r>
                      <w:rPr>
                        <w:sz w:val="16"/>
                        <w:u w:val="dotted" w:color="929292"/>
                      </w:rPr>
                      <w:t> </w:t>
                    </w:r>
                    <w:r>
                      <w:rPr>
                        <w:spacing w:val="20"/>
                        <w:sz w:val="16"/>
                        <w:u w:val="dotted" w:color="929292"/>
                      </w:rPr>
                      <w:t> </w:t>
                    </w:r>
                    <w:r>
                      <w:rPr>
                        <w:sz w:val="16"/>
                      </w:rPr>
                      <w:t> </w:t>
                    </w:r>
                    <w:r>
                      <w:rPr>
                        <w:w w:val="100"/>
                        <w:sz w:val="16"/>
                        <w:u w:val="dotted" w:color="929292"/>
                      </w:rPr>
                      <w:t> </w:t>
                    </w:r>
                    <w:r>
                      <w:rPr>
                        <w:sz w:val="16"/>
                        <w:u w:val="dotted" w:color="929292"/>
                      </w:rPr>
                      <w:tab/>
                    </w:r>
                  </w:p>
                  <w:p>
                    <w:pPr>
                      <w:spacing w:line="180" w:lineRule="exact" w:before="1"/>
                      <w:ind w:left="35" w:right="61" w:firstLine="0"/>
                      <w:jc w:val="left"/>
                      <w:rPr>
                        <w:sz w:val="16"/>
                      </w:rPr>
                    </w:pPr>
                    <w:r>
                      <w:rPr>
                        <w:sz w:val="16"/>
                      </w:rPr>
                      <w:t>Ingresa al estudio (completitud mayor al 90%)</w:t>
                    </w:r>
                  </w:p>
                </w:txbxContent>
              </v:textbox>
              <w10:wrap type="none"/>
            </v:shape>
            <v:shape style="position:absolute;left:4001;top:8778;width:4528;height:160" type="#_x0000_t202" filled="false" stroked="false">
              <v:textbox inset="0,0,0,0">
                <w:txbxContent>
                  <w:p>
                    <w:pPr>
                      <w:tabs>
                        <w:tab w:pos="1755" w:val="left" w:leader="none"/>
                        <w:tab w:pos="4527" w:val="left" w:leader="none"/>
                      </w:tabs>
                      <w:spacing w:line="160" w:lineRule="exact" w:before="0"/>
                      <w:ind w:left="0" w:right="0" w:firstLine="0"/>
                      <w:jc w:val="left"/>
                      <w:rPr>
                        <w:sz w:val="16"/>
                      </w:rPr>
                    </w:pPr>
                    <w:r>
                      <w:rPr>
                        <w:w w:val="100"/>
                        <w:sz w:val="16"/>
                        <w:u w:val="dotted" w:color="929292"/>
                      </w:rPr>
                      <w:t> </w:t>
                    </w:r>
                    <w:r>
                      <w:rPr>
                        <w:sz w:val="16"/>
                        <w:u w:val="dotted" w:color="929292"/>
                      </w:rPr>
                      <w:tab/>
                    </w:r>
                    <w:r>
                      <w:rPr>
                        <w:sz w:val="16"/>
                      </w:rPr>
                      <w:t> </w:t>
                    </w:r>
                    <w:r>
                      <w:rPr>
                        <w:spacing w:val="-5"/>
                        <w:w w:val="100"/>
                        <w:sz w:val="16"/>
                        <w:u w:val="dotted" w:color="929292"/>
                      </w:rPr>
                      <w:t> </w:t>
                    </w:r>
                    <w:r>
                      <w:rPr>
                        <w:sz w:val="16"/>
                        <w:u w:val="dotted" w:color="929292"/>
                      </w:rPr>
                      <w:t>91.6</w:t>
                      <w:tab/>
                    </w:r>
                  </w:p>
                </w:txbxContent>
              </v:textbox>
              <w10:wrap type="none"/>
            </v:shape>
            <v:shape style="position:absolute;left:5842;top:9182;width:140;height:160" type="#_x0000_t202" filled="false" stroked="false">
              <v:textbox inset="0,0,0,0">
                <w:txbxContent>
                  <w:p>
                    <w:pPr>
                      <w:spacing w:line="160" w:lineRule="exact" w:before="0"/>
                      <w:ind w:left="0" w:right="-16" w:firstLine="0"/>
                      <w:jc w:val="left"/>
                      <w:rPr>
                        <w:sz w:val="16"/>
                      </w:rPr>
                    </w:pPr>
                    <w:r>
                      <w:rPr>
                        <w:w w:val="95"/>
                        <w:sz w:val="16"/>
                      </w:rPr>
                      <w:t>Si</w:t>
                    </w:r>
                  </w:p>
                </w:txbxContent>
              </v:textbox>
              <w10:wrap type="none"/>
            </v:shape>
            <w10:wrap type="none"/>
          </v:group>
        </w:pict>
      </w:r>
      <w:r>
        <w:rPr/>
        <w:pict>
          <v:group style="position:absolute;margin-left:752.150024pt;margin-top:61.47208pt;width:141.450pt;height:178.35pt;mso-position-horizontal-relative:page;mso-position-vertical-relative:paragraph;z-index:-634360" coordorigin="15043,1229" coordsize="2829,3567">
            <v:shape style="position:absolute;left:15043;top:1229;width:151;height:246" type="#_x0000_t75" stroked="false">
              <v:imagedata r:id="rId509" o:title=""/>
            </v:shape>
            <v:shape style="position:absolute;left:15138;top:1239;width:2734;height:3557" type="#_x0000_t75" stroked="false">
              <v:imagedata r:id="rId510" o:title=""/>
            </v:shape>
            <w10:wrap type="none"/>
          </v:group>
        </w:pict>
      </w:r>
      <w:r>
        <w:rPr>
          <w:color w:val="6D6E71"/>
          <w:sz w:val="16"/>
        </w:rPr>
        <w:t>Tabla 8. Evaluación de completitud de las zonas habitacionales en colindancia con las minas Guadarrama y</w:t>
      </w:r>
      <w:r>
        <w:rPr>
          <w:color w:val="6D6E71"/>
          <w:spacing w:val="2"/>
          <w:sz w:val="16"/>
        </w:rPr>
        <w:t> </w:t>
      </w:r>
      <w:r>
        <w:rPr>
          <w:color w:val="6D6E71"/>
          <w:sz w:val="16"/>
        </w:rPr>
        <w:t>Magdalena.</w:t>
      </w:r>
    </w:p>
    <w:tbl>
      <w:tblPr>
        <w:tblW w:w="0" w:type="auto"/>
        <w:jc w:val="left"/>
        <w:tblInd w:w="9536"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534"/>
        <w:gridCol w:w="1843"/>
        <w:gridCol w:w="2410"/>
        <w:gridCol w:w="141"/>
        <w:gridCol w:w="2773"/>
      </w:tblGrid>
      <w:tr>
        <w:trPr>
          <w:trHeight w:val="628" w:hRule="exact"/>
        </w:trPr>
        <w:tc>
          <w:tcPr>
            <w:tcW w:w="534" w:type="dxa"/>
            <w:tcBorders>
              <w:top w:val="nil"/>
              <w:left w:val="nil"/>
              <w:bottom w:val="dotted" w:sz="4" w:space="0" w:color="FFFFFF"/>
              <w:right w:val="single" w:sz="4" w:space="0" w:color="FFFFFF"/>
            </w:tcBorders>
            <w:shd w:val="clear" w:color="auto" w:fill="929292"/>
          </w:tcPr>
          <w:p>
            <w:pPr>
              <w:pStyle w:val="TableParagraph"/>
              <w:spacing w:before="2"/>
              <w:rPr>
                <w:sz w:val="19"/>
              </w:rPr>
            </w:pPr>
          </w:p>
          <w:p>
            <w:pPr>
              <w:pStyle w:val="TableParagraph"/>
              <w:ind w:left="163"/>
              <w:rPr>
                <w:sz w:val="16"/>
              </w:rPr>
            </w:pPr>
            <w:r>
              <w:rPr>
                <w:sz w:val="16"/>
              </w:rPr>
              <w:t>No</w:t>
            </w:r>
          </w:p>
        </w:tc>
        <w:tc>
          <w:tcPr>
            <w:tcW w:w="1843"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121"/>
              <w:ind w:left="418" w:right="407" w:firstLine="97"/>
              <w:rPr>
                <w:sz w:val="16"/>
              </w:rPr>
            </w:pPr>
            <w:r>
              <w:rPr>
                <w:sz w:val="16"/>
              </w:rPr>
              <w:t>Variable de vulnerabilidad</w:t>
            </w:r>
          </w:p>
        </w:tc>
        <w:tc>
          <w:tcPr>
            <w:tcW w:w="2410"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21"/>
              <w:ind w:left="311" w:right="309"/>
              <w:jc w:val="center"/>
              <w:rPr>
                <w:sz w:val="16"/>
              </w:rPr>
            </w:pPr>
            <w:r>
              <w:rPr>
                <w:sz w:val="16"/>
              </w:rPr>
              <w:t>Zona urbana aledaña a las minas Guadarrama y Magdalena</w:t>
            </w:r>
          </w:p>
        </w:tc>
        <w:tc>
          <w:tcPr>
            <w:tcW w:w="2914" w:type="dxa"/>
            <w:gridSpan w:val="2"/>
            <w:tcBorders>
              <w:top w:val="nil"/>
              <w:left w:val="single" w:sz="4" w:space="0" w:color="FFFFFF"/>
              <w:bottom w:val="dotted" w:sz="4" w:space="0" w:color="FFFFFF"/>
              <w:right w:val="nil"/>
            </w:tcBorders>
            <w:shd w:val="clear" w:color="auto" w:fill="929292"/>
          </w:tcPr>
          <w:p>
            <w:pPr>
              <w:pStyle w:val="TableParagraph"/>
              <w:spacing w:before="21"/>
              <w:ind w:left="984" w:right="986"/>
              <w:jc w:val="center"/>
              <w:rPr>
                <w:sz w:val="16"/>
              </w:rPr>
            </w:pPr>
            <w:r>
              <w:rPr>
                <w:sz w:val="16"/>
              </w:rPr>
              <w:t>Observación</w:t>
            </w:r>
          </w:p>
        </w:tc>
      </w:tr>
      <w:tr>
        <w:trPr>
          <w:trHeight w:val="236" w:hRule="exact"/>
        </w:trPr>
        <w:tc>
          <w:tcPr>
            <w:tcW w:w="534" w:type="dxa"/>
            <w:tcBorders>
              <w:top w:val="dotted" w:sz="4" w:space="0" w:color="FFFFFF"/>
              <w:left w:val="nil"/>
            </w:tcBorders>
          </w:tcPr>
          <w:p>
            <w:pPr>
              <w:pStyle w:val="TableParagraph"/>
              <w:spacing w:before="20"/>
              <w:ind w:left="108"/>
              <w:rPr>
                <w:sz w:val="16"/>
              </w:rPr>
            </w:pPr>
            <w:r>
              <w:rPr>
                <w:w w:val="99"/>
                <w:sz w:val="16"/>
              </w:rPr>
              <w:t>1</w:t>
            </w:r>
          </w:p>
        </w:tc>
        <w:tc>
          <w:tcPr>
            <w:tcW w:w="1843" w:type="dxa"/>
            <w:tcBorders>
              <w:top w:val="dotted" w:sz="4" w:space="0" w:color="FFFFFF"/>
            </w:tcBorders>
          </w:tcPr>
          <w:p>
            <w:pPr>
              <w:pStyle w:val="TableParagraph"/>
              <w:spacing w:before="20"/>
              <w:ind w:left="103"/>
              <w:rPr>
                <w:sz w:val="16"/>
              </w:rPr>
            </w:pPr>
            <w:r>
              <w:rPr>
                <w:sz w:val="16"/>
              </w:rPr>
              <w:t>Sistema estructural</w:t>
            </w:r>
          </w:p>
        </w:tc>
        <w:tc>
          <w:tcPr>
            <w:tcW w:w="2410" w:type="dxa"/>
            <w:tcBorders>
              <w:top w:val="dotted" w:sz="4" w:space="0" w:color="FFFFFF"/>
              <w:right w:val="single" w:sz="4" w:space="0" w:color="FFFFFF"/>
            </w:tcBorders>
          </w:tcPr>
          <w:p>
            <w:pPr>
              <w:pStyle w:val="TableParagraph"/>
              <w:spacing w:before="20"/>
              <w:ind w:left="103" w:right="374"/>
              <w:rPr>
                <w:sz w:val="16"/>
              </w:rPr>
            </w:pPr>
            <w:r>
              <w:rPr>
                <w:sz w:val="16"/>
              </w:rPr>
              <w:t>Hormigón armado</w:t>
            </w:r>
          </w:p>
        </w:tc>
        <w:tc>
          <w:tcPr>
            <w:tcW w:w="2914" w:type="dxa"/>
            <w:gridSpan w:val="2"/>
            <w:vMerge w:val="restart"/>
            <w:tcBorders>
              <w:top w:val="dotted" w:sz="4" w:space="0" w:color="FFFFFF"/>
              <w:right w:val="nil"/>
            </w:tcBorders>
          </w:tcPr>
          <w:p>
            <w:pPr/>
          </w:p>
        </w:tc>
      </w:tr>
      <w:tr>
        <w:trPr>
          <w:trHeight w:val="371" w:hRule="exact"/>
        </w:trPr>
        <w:tc>
          <w:tcPr>
            <w:tcW w:w="534" w:type="dxa"/>
            <w:tcBorders>
              <w:left w:val="nil"/>
              <w:bottom w:val="single" w:sz="4" w:space="0" w:color="FFFFFF"/>
            </w:tcBorders>
          </w:tcPr>
          <w:p>
            <w:pPr>
              <w:pStyle w:val="TableParagraph"/>
              <w:spacing w:line="142" w:lineRule="exact" w:before="87"/>
              <w:ind w:left="107"/>
              <w:rPr>
                <w:sz w:val="16"/>
              </w:rPr>
            </w:pPr>
            <w:r>
              <w:rPr>
                <w:w w:val="99"/>
                <w:sz w:val="16"/>
              </w:rPr>
              <w:t>2</w:t>
            </w:r>
          </w:p>
          <w:p>
            <w:pPr>
              <w:pStyle w:val="TableParagraph"/>
              <w:tabs>
                <w:tab w:pos="518" w:val="left" w:leader="none"/>
              </w:tabs>
              <w:spacing w:line="142" w:lineRule="exact"/>
              <w:ind w:left="34"/>
              <w:rPr>
                <w:sz w:val="16"/>
              </w:rPr>
            </w:pPr>
            <w:r>
              <w:rPr>
                <w:w w:val="100"/>
                <w:sz w:val="16"/>
                <w:u w:val="dotted" w:color="929292"/>
              </w:rPr>
              <w:t> </w:t>
            </w:r>
            <w:r>
              <w:rPr>
                <w:sz w:val="16"/>
                <w:u w:val="dotted" w:color="929292"/>
              </w:rPr>
              <w:tab/>
            </w:r>
          </w:p>
        </w:tc>
        <w:tc>
          <w:tcPr>
            <w:tcW w:w="1843" w:type="dxa"/>
            <w:tcBorders>
              <w:bottom w:val="single" w:sz="4" w:space="0" w:color="FFFFFF"/>
            </w:tcBorders>
          </w:tcPr>
          <w:p>
            <w:pPr>
              <w:pStyle w:val="TableParagraph"/>
              <w:spacing w:line="171" w:lineRule="exact"/>
              <w:ind w:left="103"/>
              <w:rPr>
                <w:sz w:val="16"/>
              </w:rPr>
            </w:pPr>
            <w:r>
              <w:rPr>
                <w:sz w:val="16"/>
              </w:rPr>
              <w:t>Tipo de materiales en</w:t>
            </w:r>
          </w:p>
          <w:p>
            <w:pPr>
              <w:pStyle w:val="TableParagraph"/>
              <w:tabs>
                <w:tab w:pos="1822" w:val="left" w:leader="none"/>
              </w:tabs>
              <w:spacing w:before="16"/>
              <w:ind w:left="25"/>
              <w:rPr>
                <w:sz w:val="16"/>
              </w:rPr>
            </w:pPr>
            <w:r>
              <w:rPr>
                <w:w w:val="100"/>
                <w:sz w:val="16"/>
                <w:u w:val="dotted" w:color="929292"/>
              </w:rPr>
              <w:t> </w:t>
            </w:r>
            <w:r>
              <w:rPr>
                <w:spacing w:val="-12"/>
                <w:sz w:val="16"/>
                <w:u w:val="dotted" w:color="929292"/>
              </w:rPr>
              <w:t> </w:t>
            </w:r>
            <w:r>
              <w:rPr>
                <w:sz w:val="16"/>
                <w:u w:val="dotted" w:color="929292"/>
              </w:rPr>
              <w:t>paredes</w:t>
              <w:tab/>
            </w:r>
          </w:p>
        </w:tc>
        <w:tc>
          <w:tcPr>
            <w:tcW w:w="2410" w:type="dxa"/>
          </w:tcPr>
          <w:p>
            <w:pPr>
              <w:pStyle w:val="TableParagraph"/>
              <w:spacing w:before="87"/>
              <w:ind w:left="103" w:right="374"/>
              <w:rPr>
                <w:sz w:val="16"/>
              </w:rPr>
            </w:pPr>
            <w:r>
              <w:rPr>
                <w:sz w:val="16"/>
              </w:rPr>
              <w:t>Pared de bloque</w:t>
            </w:r>
          </w:p>
        </w:tc>
        <w:tc>
          <w:tcPr>
            <w:tcW w:w="2914" w:type="dxa"/>
            <w:gridSpan w:val="2"/>
            <w:vMerge/>
            <w:tcBorders>
              <w:right w:val="nil"/>
            </w:tcBorders>
          </w:tcPr>
          <w:p>
            <w:pPr/>
          </w:p>
        </w:tc>
      </w:tr>
      <w:tr>
        <w:trPr>
          <w:trHeight w:val="171" w:hRule="exact"/>
        </w:trPr>
        <w:tc>
          <w:tcPr>
            <w:tcW w:w="534" w:type="dxa"/>
            <w:tcBorders>
              <w:top w:val="single" w:sz="4" w:space="0" w:color="FFFFFF"/>
              <w:left w:val="nil"/>
              <w:bottom w:val="single" w:sz="4" w:space="0" w:color="FFFFFF"/>
            </w:tcBorders>
          </w:tcPr>
          <w:p>
            <w:pPr>
              <w:pStyle w:val="TableParagraph"/>
              <w:tabs>
                <w:tab w:pos="518" w:val="left" w:leader="none"/>
              </w:tabs>
              <w:spacing w:line="171" w:lineRule="exact"/>
              <w:ind w:left="34"/>
              <w:rPr>
                <w:sz w:val="16"/>
              </w:rPr>
            </w:pPr>
            <w:r>
              <w:rPr>
                <w:w w:val="100"/>
                <w:sz w:val="16"/>
                <w:u w:val="dotted" w:color="929292"/>
              </w:rPr>
              <w:t> </w:t>
            </w:r>
            <w:r>
              <w:rPr>
                <w:spacing w:val="-16"/>
                <w:sz w:val="16"/>
                <w:u w:val="dotted" w:color="929292"/>
              </w:rPr>
              <w:t> </w:t>
            </w:r>
            <w:r>
              <w:rPr>
                <w:sz w:val="16"/>
                <w:u w:val="dotted" w:color="929292"/>
              </w:rPr>
              <w:t>3</w:t>
              <w:tab/>
            </w:r>
          </w:p>
        </w:tc>
        <w:tc>
          <w:tcPr>
            <w:tcW w:w="1843" w:type="dxa"/>
            <w:tcBorders>
              <w:top w:val="single" w:sz="4" w:space="0" w:color="FFFFFF"/>
              <w:bottom w:val="single" w:sz="4" w:space="0" w:color="FFFFFF"/>
            </w:tcBorders>
          </w:tcPr>
          <w:p>
            <w:pPr>
              <w:pStyle w:val="TableParagraph"/>
              <w:tabs>
                <w:tab w:pos="1822" w:val="left" w:leader="none"/>
              </w:tabs>
              <w:spacing w:line="171" w:lineRule="exact"/>
              <w:ind w:left="25"/>
              <w:rPr>
                <w:sz w:val="16"/>
              </w:rPr>
            </w:pPr>
            <w:r>
              <w:rPr>
                <w:w w:val="100"/>
                <w:sz w:val="16"/>
                <w:u w:val="dotted" w:color="929292"/>
              </w:rPr>
              <w:t> </w:t>
            </w:r>
            <w:r>
              <w:rPr>
                <w:spacing w:val="-12"/>
                <w:sz w:val="16"/>
                <w:u w:val="dotted" w:color="929292"/>
              </w:rPr>
              <w:t> </w:t>
            </w:r>
            <w:r>
              <w:rPr>
                <w:sz w:val="16"/>
                <w:u w:val="dotted" w:color="929292"/>
              </w:rPr>
              <w:t>Tipo de</w:t>
            </w:r>
            <w:r>
              <w:rPr>
                <w:spacing w:val="17"/>
                <w:sz w:val="16"/>
                <w:u w:val="dotted" w:color="929292"/>
              </w:rPr>
              <w:t> </w:t>
            </w:r>
            <w:r>
              <w:rPr>
                <w:sz w:val="16"/>
                <w:u w:val="dotted" w:color="929292"/>
              </w:rPr>
              <w:t>cubierta</w:t>
              <w:tab/>
            </w:r>
          </w:p>
        </w:tc>
        <w:tc>
          <w:tcPr>
            <w:tcW w:w="2410" w:type="dxa"/>
            <w:tcBorders>
              <w:bottom w:val="single" w:sz="4" w:space="0" w:color="FFFFFF"/>
            </w:tcBorders>
          </w:tcPr>
          <w:p>
            <w:pPr>
              <w:pStyle w:val="TableParagraph"/>
              <w:tabs>
                <w:tab w:pos="2389"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Losa  y</w:t>
            </w:r>
            <w:r>
              <w:rPr>
                <w:spacing w:val="-4"/>
                <w:sz w:val="16"/>
                <w:u w:val="dotted" w:color="929292"/>
              </w:rPr>
              <w:t> </w:t>
            </w:r>
            <w:r>
              <w:rPr>
                <w:sz w:val="16"/>
                <w:u w:val="dotted" w:color="929292"/>
              </w:rPr>
              <w:t>lamina</w:t>
              <w:tab/>
            </w:r>
          </w:p>
        </w:tc>
        <w:tc>
          <w:tcPr>
            <w:tcW w:w="2914" w:type="dxa"/>
            <w:gridSpan w:val="2"/>
            <w:vMerge/>
            <w:tcBorders>
              <w:right w:val="nil"/>
            </w:tcBorders>
          </w:tcPr>
          <w:p>
            <w:pPr/>
          </w:p>
        </w:tc>
      </w:tr>
      <w:tr>
        <w:trPr>
          <w:trHeight w:val="895" w:hRule="exact"/>
        </w:trPr>
        <w:tc>
          <w:tcPr>
            <w:tcW w:w="534" w:type="dxa"/>
            <w:tcBorders>
              <w:top w:val="single" w:sz="4" w:space="0" w:color="FFFFFF"/>
              <w:left w:val="nil"/>
            </w:tcBorders>
          </w:tcPr>
          <w:p>
            <w:pPr>
              <w:pStyle w:val="TableParagraph"/>
              <w:rPr>
                <w:sz w:val="16"/>
              </w:rPr>
            </w:pPr>
          </w:p>
          <w:p>
            <w:pPr>
              <w:pStyle w:val="TableParagraph"/>
              <w:spacing w:before="4"/>
              <w:rPr>
                <w:sz w:val="14"/>
              </w:rPr>
            </w:pPr>
          </w:p>
          <w:p>
            <w:pPr>
              <w:pStyle w:val="TableParagraph"/>
              <w:ind w:left="107"/>
              <w:rPr>
                <w:sz w:val="16"/>
              </w:rPr>
            </w:pPr>
            <w:r>
              <w:rPr>
                <w:w w:val="99"/>
                <w:sz w:val="16"/>
              </w:rPr>
              <w:t>4</w:t>
            </w:r>
          </w:p>
        </w:tc>
        <w:tc>
          <w:tcPr>
            <w:tcW w:w="1843" w:type="dxa"/>
            <w:tcBorders>
              <w:top w:val="single" w:sz="4" w:space="0" w:color="FFFFFF"/>
            </w:tcBorders>
          </w:tcPr>
          <w:p>
            <w:pPr>
              <w:pStyle w:val="TableParagraph"/>
              <w:rPr>
                <w:sz w:val="16"/>
              </w:rPr>
            </w:pPr>
          </w:p>
          <w:p>
            <w:pPr>
              <w:pStyle w:val="TableParagraph"/>
              <w:spacing w:before="4"/>
              <w:rPr>
                <w:sz w:val="14"/>
              </w:rPr>
            </w:pPr>
          </w:p>
          <w:p>
            <w:pPr>
              <w:pStyle w:val="TableParagraph"/>
              <w:ind w:left="103"/>
              <w:rPr>
                <w:sz w:val="16"/>
              </w:rPr>
            </w:pPr>
            <w:r>
              <w:rPr>
                <w:sz w:val="16"/>
              </w:rPr>
              <w:t>Sistema de entrepisos</w:t>
            </w:r>
          </w:p>
        </w:tc>
        <w:tc>
          <w:tcPr>
            <w:tcW w:w="2410" w:type="dxa"/>
            <w:tcBorders>
              <w:top w:val="single" w:sz="4" w:space="0" w:color="FFFFFF"/>
            </w:tcBorders>
          </w:tcPr>
          <w:p>
            <w:pPr>
              <w:pStyle w:val="TableParagraph"/>
              <w:rPr>
                <w:sz w:val="16"/>
              </w:rPr>
            </w:pPr>
          </w:p>
          <w:p>
            <w:pPr>
              <w:pStyle w:val="TableParagraph"/>
              <w:spacing w:before="4"/>
              <w:rPr>
                <w:sz w:val="14"/>
              </w:rPr>
            </w:pPr>
          </w:p>
          <w:p>
            <w:pPr>
              <w:pStyle w:val="TableParagraph"/>
              <w:ind w:left="103" w:right="374"/>
              <w:rPr>
                <w:sz w:val="16"/>
              </w:rPr>
            </w:pPr>
            <w:r>
              <w:rPr>
                <w:sz w:val="16"/>
              </w:rPr>
              <w:t>Losa de hormigón armado</w:t>
            </w:r>
          </w:p>
        </w:tc>
        <w:tc>
          <w:tcPr>
            <w:tcW w:w="2914" w:type="dxa"/>
            <w:gridSpan w:val="2"/>
            <w:vMerge/>
            <w:tcBorders>
              <w:right w:val="nil"/>
            </w:tcBorders>
          </w:tcPr>
          <w:p>
            <w:pPr/>
          </w:p>
        </w:tc>
      </w:tr>
      <w:tr>
        <w:trPr>
          <w:trHeight w:val="1969" w:hRule="exact"/>
        </w:trPr>
        <w:tc>
          <w:tcPr>
            <w:tcW w:w="534" w:type="dxa"/>
            <w:tcBorders>
              <w:lef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
              <w:rPr>
                <w:sz w:val="13"/>
              </w:rPr>
            </w:pPr>
          </w:p>
          <w:p>
            <w:pPr>
              <w:pStyle w:val="TableParagraph"/>
              <w:ind w:left="107"/>
              <w:rPr>
                <w:sz w:val="16"/>
              </w:rPr>
            </w:pPr>
            <w:r>
              <w:rPr>
                <w:w w:val="99"/>
                <w:sz w:val="16"/>
              </w:rPr>
              <w:t>5</w:t>
            </w:r>
          </w:p>
        </w:tc>
        <w:tc>
          <w:tcPr>
            <w:tcW w:w="1843"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
              <w:rPr>
                <w:sz w:val="13"/>
              </w:rPr>
            </w:pPr>
          </w:p>
          <w:p>
            <w:pPr>
              <w:pStyle w:val="TableParagraph"/>
              <w:ind w:left="103" w:right="407"/>
              <w:rPr>
                <w:sz w:val="16"/>
              </w:rPr>
            </w:pPr>
            <w:r>
              <w:rPr>
                <w:sz w:val="16"/>
              </w:rPr>
              <w:t>Número de pisos</w:t>
            </w:r>
          </w:p>
        </w:tc>
        <w:tc>
          <w:tcPr>
            <w:tcW w:w="2410"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
              <w:rPr>
                <w:sz w:val="13"/>
              </w:rPr>
            </w:pPr>
          </w:p>
          <w:p>
            <w:pPr>
              <w:pStyle w:val="TableParagraph"/>
              <w:ind w:left="103" w:right="374"/>
              <w:rPr>
                <w:sz w:val="16"/>
              </w:rPr>
            </w:pPr>
            <w:r>
              <w:rPr>
                <w:sz w:val="16"/>
              </w:rPr>
              <w:t>1, 2 y 3 pisos</w:t>
            </w:r>
          </w:p>
        </w:tc>
        <w:tc>
          <w:tcPr>
            <w:tcW w:w="2914" w:type="dxa"/>
            <w:gridSpan w:val="2"/>
            <w:tcBorders>
              <w:right w:val="nil"/>
            </w:tcBorders>
          </w:tcPr>
          <w:p>
            <w:pPr/>
          </w:p>
        </w:tc>
      </w:tr>
      <w:tr>
        <w:trPr>
          <w:trHeight w:val="2157" w:hRule="exact"/>
        </w:trPr>
        <w:tc>
          <w:tcPr>
            <w:tcW w:w="534" w:type="dxa"/>
            <w:tcBorders>
              <w:lef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3"/>
              <w:rPr>
                <w:sz w:val="21"/>
              </w:rPr>
            </w:pPr>
          </w:p>
          <w:p>
            <w:pPr>
              <w:pStyle w:val="TableParagraph"/>
              <w:ind w:left="107"/>
              <w:rPr>
                <w:sz w:val="16"/>
              </w:rPr>
            </w:pPr>
            <w:r>
              <w:rPr>
                <w:w w:val="99"/>
                <w:sz w:val="16"/>
              </w:rPr>
              <w:t>6</w:t>
            </w:r>
          </w:p>
        </w:tc>
        <w:tc>
          <w:tcPr>
            <w:tcW w:w="1843"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3"/>
              <w:rPr>
                <w:sz w:val="21"/>
              </w:rPr>
            </w:pPr>
          </w:p>
          <w:p>
            <w:pPr>
              <w:pStyle w:val="TableParagraph"/>
              <w:ind w:left="103"/>
              <w:rPr>
                <w:sz w:val="16"/>
              </w:rPr>
            </w:pPr>
            <w:r>
              <w:rPr>
                <w:sz w:val="16"/>
              </w:rPr>
              <w:t>Año de construcción</w:t>
            </w:r>
          </w:p>
        </w:tc>
        <w:tc>
          <w:tcPr>
            <w:tcW w:w="2410" w:type="dxa"/>
          </w:tcPr>
          <w:p>
            <w:pPr>
              <w:pStyle w:val="TableParagraph"/>
              <w:rPr>
                <w:sz w:val="16"/>
              </w:rPr>
            </w:pPr>
          </w:p>
          <w:p>
            <w:pPr>
              <w:pStyle w:val="TableParagraph"/>
              <w:rPr>
                <w:sz w:val="16"/>
              </w:rPr>
            </w:pPr>
          </w:p>
          <w:p>
            <w:pPr>
              <w:pStyle w:val="TableParagraph"/>
              <w:rPr>
                <w:sz w:val="16"/>
              </w:rPr>
            </w:pPr>
          </w:p>
          <w:p>
            <w:pPr>
              <w:pStyle w:val="TableParagraph"/>
              <w:spacing w:before="100"/>
              <w:ind w:left="103" w:right="374"/>
              <w:rPr>
                <w:sz w:val="16"/>
              </w:rPr>
            </w:pPr>
            <w:r>
              <w:rPr>
                <w:sz w:val="16"/>
              </w:rPr>
              <w:t>Entre 1986 y 2000</w:t>
            </w:r>
          </w:p>
          <w:p>
            <w:pPr>
              <w:pStyle w:val="TableParagraph"/>
              <w:spacing w:line="261" w:lineRule="auto" w:before="72"/>
              <w:ind w:left="103" w:right="498"/>
              <w:rPr>
                <w:sz w:val="16"/>
              </w:rPr>
            </w:pPr>
            <w:r>
              <w:rPr>
                <w:sz w:val="16"/>
              </w:rPr>
              <w:t>Entre 2001 y 2015, las casas difieren del año de construcción.</w:t>
            </w:r>
          </w:p>
        </w:tc>
        <w:tc>
          <w:tcPr>
            <w:tcW w:w="2914" w:type="dxa"/>
            <w:gridSpan w:val="2"/>
            <w:tcBorders>
              <w:right w:val="nil"/>
            </w:tcBorders>
          </w:tcPr>
          <w:p>
            <w:pPr>
              <w:pStyle w:val="TableParagraph"/>
              <w:ind w:left="84"/>
              <w:rPr>
                <w:sz w:val="20"/>
              </w:rPr>
            </w:pPr>
            <w:r>
              <w:rPr>
                <w:sz w:val="20"/>
              </w:rPr>
              <w:drawing>
                <wp:inline distT="0" distB="0" distL="0" distR="0">
                  <wp:extent cx="1740342" cy="1303020"/>
                  <wp:effectExtent l="0" t="0" r="0" b="0"/>
                  <wp:docPr id="195" name="image141.jpeg" descr=""/>
                  <wp:cNvGraphicFramePr>
                    <a:graphicFrameLocks noChangeAspect="1"/>
                  </wp:cNvGraphicFramePr>
                  <a:graphic>
                    <a:graphicData uri="http://schemas.openxmlformats.org/drawingml/2006/picture">
                      <pic:pic>
                        <pic:nvPicPr>
                          <pic:cNvPr id="196" name="image141.jpeg"/>
                          <pic:cNvPicPr/>
                        </pic:nvPicPr>
                        <pic:blipFill>
                          <a:blip r:embed="rId511" cstate="print"/>
                          <a:stretch>
                            <a:fillRect/>
                          </a:stretch>
                        </pic:blipFill>
                        <pic:spPr>
                          <a:xfrm>
                            <a:off x="0" y="0"/>
                            <a:ext cx="1740342" cy="1303020"/>
                          </a:xfrm>
                          <a:prstGeom prst="rect">
                            <a:avLst/>
                          </a:prstGeom>
                        </pic:spPr>
                      </pic:pic>
                    </a:graphicData>
                  </a:graphic>
                </wp:inline>
              </w:drawing>
            </w:r>
            <w:r>
              <w:rPr>
                <w:sz w:val="20"/>
              </w:rPr>
            </w:r>
          </w:p>
        </w:tc>
      </w:tr>
      <w:tr>
        <w:trPr>
          <w:trHeight w:val="1072" w:hRule="exact"/>
        </w:trPr>
        <w:tc>
          <w:tcPr>
            <w:tcW w:w="534" w:type="dxa"/>
            <w:tcBorders>
              <w:left w:val="nil"/>
            </w:tcBorders>
          </w:tcPr>
          <w:p>
            <w:pPr>
              <w:pStyle w:val="TableParagraph"/>
              <w:rPr>
                <w:sz w:val="16"/>
              </w:rPr>
            </w:pPr>
          </w:p>
          <w:p>
            <w:pPr>
              <w:pStyle w:val="TableParagraph"/>
              <w:spacing w:before="1"/>
              <w:rPr>
                <w:sz w:val="22"/>
              </w:rPr>
            </w:pPr>
          </w:p>
          <w:p>
            <w:pPr>
              <w:pStyle w:val="TableParagraph"/>
              <w:ind w:left="107"/>
              <w:rPr>
                <w:sz w:val="16"/>
              </w:rPr>
            </w:pPr>
            <w:r>
              <w:rPr>
                <w:w w:val="99"/>
                <w:sz w:val="16"/>
              </w:rPr>
              <w:t>7</w:t>
            </w:r>
          </w:p>
        </w:tc>
        <w:tc>
          <w:tcPr>
            <w:tcW w:w="1843" w:type="dxa"/>
          </w:tcPr>
          <w:p>
            <w:pPr>
              <w:pStyle w:val="TableParagraph"/>
              <w:rPr>
                <w:sz w:val="16"/>
              </w:rPr>
            </w:pPr>
          </w:p>
          <w:p>
            <w:pPr>
              <w:pStyle w:val="TableParagraph"/>
              <w:spacing w:before="4"/>
              <w:rPr>
                <w:sz w:val="13"/>
              </w:rPr>
            </w:pPr>
          </w:p>
          <w:p>
            <w:pPr>
              <w:pStyle w:val="TableParagraph"/>
              <w:spacing w:line="261" w:lineRule="auto"/>
              <w:ind w:left="103" w:right="767"/>
              <w:rPr>
                <w:sz w:val="16"/>
              </w:rPr>
            </w:pPr>
            <w:r>
              <w:rPr>
                <w:sz w:val="16"/>
              </w:rPr>
              <w:t>Estado de conservación</w:t>
            </w:r>
          </w:p>
        </w:tc>
        <w:tc>
          <w:tcPr>
            <w:tcW w:w="2410" w:type="dxa"/>
          </w:tcPr>
          <w:p>
            <w:pPr>
              <w:pStyle w:val="TableParagraph"/>
              <w:rPr>
                <w:sz w:val="16"/>
              </w:rPr>
            </w:pPr>
          </w:p>
          <w:p>
            <w:pPr>
              <w:pStyle w:val="TableParagraph"/>
              <w:spacing w:before="1"/>
              <w:rPr>
                <w:sz w:val="22"/>
              </w:rPr>
            </w:pPr>
          </w:p>
          <w:p>
            <w:pPr>
              <w:pStyle w:val="TableParagraph"/>
              <w:ind w:left="103" w:right="374"/>
              <w:rPr>
                <w:sz w:val="16"/>
              </w:rPr>
            </w:pPr>
            <w:r>
              <w:rPr>
                <w:sz w:val="16"/>
              </w:rPr>
              <w:t>Regular y malo</w:t>
            </w:r>
          </w:p>
        </w:tc>
        <w:tc>
          <w:tcPr>
            <w:tcW w:w="141" w:type="dxa"/>
            <w:vMerge w:val="restart"/>
            <w:tcBorders>
              <w:right w:val="nil"/>
            </w:tcBorders>
          </w:tcPr>
          <w:p>
            <w:pPr/>
          </w:p>
        </w:tc>
        <w:tc>
          <w:tcPr>
            <w:tcW w:w="2773" w:type="dxa"/>
            <w:vMerge w:val="restart"/>
            <w:tcBorders>
              <w:left w:val="nil"/>
              <w:righ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6"/>
              <w:rPr>
                <w:sz w:val="14"/>
              </w:rPr>
            </w:pPr>
          </w:p>
          <w:p>
            <w:pPr>
              <w:pStyle w:val="TableParagraph"/>
              <w:tabs>
                <w:tab w:pos="2752" w:val="left" w:leader="none"/>
              </w:tabs>
              <w:ind w:left="30"/>
              <w:rPr>
                <w:sz w:val="16"/>
              </w:rPr>
            </w:pPr>
            <w:r>
              <w:rPr>
                <w:w w:val="100"/>
                <w:sz w:val="16"/>
                <w:u w:val="dotted" w:color="929292"/>
              </w:rPr>
              <w:t> </w:t>
            </w:r>
            <w:r>
              <w:rPr>
                <w:sz w:val="16"/>
                <w:u w:val="dotted" w:color="929292"/>
              </w:rPr>
              <w:tab/>
            </w:r>
          </w:p>
        </w:tc>
      </w:tr>
      <w:tr>
        <w:trPr>
          <w:trHeight w:val="562" w:hRule="exact"/>
        </w:trPr>
        <w:tc>
          <w:tcPr>
            <w:tcW w:w="534" w:type="dxa"/>
            <w:tcBorders>
              <w:left w:val="nil"/>
              <w:bottom w:val="single" w:sz="4" w:space="0" w:color="FFFFFF"/>
            </w:tcBorders>
          </w:tcPr>
          <w:p>
            <w:pPr>
              <w:pStyle w:val="TableParagraph"/>
              <w:spacing w:before="10"/>
              <w:rPr>
                <w:sz w:val="15"/>
              </w:rPr>
            </w:pPr>
          </w:p>
          <w:p>
            <w:pPr>
              <w:pStyle w:val="TableParagraph"/>
              <w:spacing w:line="174" w:lineRule="exact"/>
              <w:ind w:left="107"/>
              <w:rPr>
                <w:sz w:val="16"/>
              </w:rPr>
            </w:pPr>
            <w:r>
              <w:rPr>
                <w:w w:val="99"/>
                <w:sz w:val="16"/>
              </w:rPr>
              <w:t>8</w:t>
            </w:r>
          </w:p>
          <w:p>
            <w:pPr>
              <w:pStyle w:val="TableParagraph"/>
              <w:tabs>
                <w:tab w:pos="518" w:val="left" w:leader="none"/>
              </w:tabs>
              <w:spacing w:line="174" w:lineRule="exact"/>
              <w:ind w:left="34"/>
              <w:rPr>
                <w:sz w:val="16"/>
              </w:rPr>
            </w:pPr>
            <w:r>
              <w:rPr>
                <w:w w:val="100"/>
                <w:sz w:val="16"/>
                <w:u w:val="dotted" w:color="929292"/>
              </w:rPr>
              <w:t> </w:t>
            </w:r>
            <w:r>
              <w:rPr>
                <w:sz w:val="16"/>
                <w:u w:val="dotted" w:color="929292"/>
              </w:rPr>
              <w:tab/>
            </w:r>
          </w:p>
        </w:tc>
        <w:tc>
          <w:tcPr>
            <w:tcW w:w="1843" w:type="dxa"/>
            <w:tcBorders>
              <w:bottom w:val="single" w:sz="4" w:space="0" w:color="FFFFFF"/>
            </w:tcBorders>
          </w:tcPr>
          <w:p>
            <w:pPr>
              <w:pStyle w:val="TableParagraph"/>
              <w:spacing w:line="167" w:lineRule="exact"/>
              <w:ind w:left="103" w:right="407"/>
              <w:rPr>
                <w:sz w:val="16"/>
              </w:rPr>
            </w:pPr>
            <w:r>
              <w:rPr>
                <w:sz w:val="16"/>
              </w:rPr>
              <w:t>Características</w:t>
            </w:r>
          </w:p>
          <w:p>
            <w:pPr>
              <w:pStyle w:val="TableParagraph"/>
              <w:spacing w:before="16"/>
              <w:ind w:left="103" w:right="407"/>
              <w:rPr>
                <w:sz w:val="16"/>
              </w:rPr>
            </w:pPr>
            <w:r>
              <w:rPr>
                <w:sz w:val="16"/>
              </w:rPr>
              <w:t>del suelo bajo la</w:t>
            </w:r>
          </w:p>
          <w:p>
            <w:pPr>
              <w:pStyle w:val="TableParagraph"/>
              <w:tabs>
                <w:tab w:pos="1822" w:val="left" w:leader="none"/>
              </w:tabs>
              <w:spacing w:before="16"/>
              <w:ind w:left="25"/>
              <w:rPr>
                <w:sz w:val="16"/>
              </w:rPr>
            </w:pPr>
            <w:r>
              <w:rPr>
                <w:w w:val="100"/>
                <w:sz w:val="16"/>
                <w:u w:val="dotted" w:color="929292"/>
              </w:rPr>
              <w:t> </w:t>
            </w:r>
            <w:r>
              <w:rPr>
                <w:spacing w:val="-12"/>
                <w:sz w:val="16"/>
                <w:u w:val="dotted" w:color="929292"/>
              </w:rPr>
              <w:t> </w:t>
            </w:r>
            <w:r>
              <w:rPr>
                <w:sz w:val="16"/>
                <w:u w:val="dotted" w:color="929292"/>
              </w:rPr>
              <w:t>edificación</w:t>
              <w:tab/>
            </w:r>
          </w:p>
        </w:tc>
        <w:tc>
          <w:tcPr>
            <w:tcW w:w="2410" w:type="dxa"/>
            <w:tcBorders>
              <w:bottom w:val="single" w:sz="4" w:space="0" w:color="FFFFFF"/>
            </w:tcBorders>
          </w:tcPr>
          <w:p>
            <w:pPr>
              <w:pStyle w:val="TableParagraph"/>
              <w:spacing w:before="10"/>
              <w:rPr>
                <w:sz w:val="15"/>
              </w:rPr>
            </w:pPr>
          </w:p>
          <w:p>
            <w:pPr>
              <w:pStyle w:val="TableParagraph"/>
              <w:ind w:left="103" w:right="374"/>
              <w:rPr>
                <w:sz w:val="16"/>
              </w:rPr>
            </w:pPr>
            <w:r>
              <w:rPr>
                <w:sz w:val="16"/>
              </w:rPr>
              <w:t>Húmedo, blando, relleno</w:t>
            </w:r>
          </w:p>
          <w:p>
            <w:pPr>
              <w:pStyle w:val="TableParagraph"/>
              <w:tabs>
                <w:tab w:pos="2389" w:val="left" w:leader="none"/>
              </w:tabs>
              <w:spacing w:before="16"/>
              <w:ind w:left="25"/>
              <w:rPr>
                <w:sz w:val="16"/>
              </w:rPr>
            </w:pPr>
            <w:r>
              <w:rPr>
                <w:w w:val="100"/>
                <w:sz w:val="16"/>
                <w:u w:val="dotted" w:color="929292"/>
              </w:rPr>
              <w:t> </w:t>
            </w:r>
            <w:r>
              <w:rPr>
                <w:sz w:val="16"/>
                <w:u w:val="dotted" w:color="929292"/>
              </w:rPr>
              <w:tab/>
            </w:r>
          </w:p>
        </w:tc>
        <w:tc>
          <w:tcPr>
            <w:tcW w:w="141" w:type="dxa"/>
            <w:vMerge/>
            <w:tcBorders>
              <w:bottom w:val="single" w:sz="4" w:space="0" w:color="FFFFFF"/>
              <w:right w:val="nil"/>
            </w:tcBorders>
          </w:tcPr>
          <w:p>
            <w:pPr/>
          </w:p>
        </w:tc>
        <w:tc>
          <w:tcPr>
            <w:tcW w:w="2773" w:type="dxa"/>
            <w:vMerge/>
            <w:tcBorders>
              <w:left w:val="nil"/>
              <w:right w:val="nil"/>
            </w:tcBorders>
          </w:tcPr>
          <w:p>
            <w:pPr/>
          </w:p>
        </w:tc>
      </w:tr>
      <w:tr>
        <w:trPr>
          <w:trHeight w:val="261" w:hRule="exact"/>
        </w:trPr>
        <w:tc>
          <w:tcPr>
            <w:tcW w:w="534" w:type="dxa"/>
            <w:tcBorders>
              <w:top w:val="single" w:sz="4" w:space="0" w:color="FFFFFF"/>
              <w:left w:val="nil"/>
            </w:tcBorders>
          </w:tcPr>
          <w:p>
            <w:pPr>
              <w:pStyle w:val="TableParagraph"/>
              <w:spacing w:before="32"/>
              <w:ind w:left="107"/>
              <w:rPr>
                <w:sz w:val="16"/>
              </w:rPr>
            </w:pPr>
            <w:r>
              <w:rPr>
                <w:w w:val="99"/>
                <w:sz w:val="16"/>
              </w:rPr>
              <w:t>9</w:t>
            </w:r>
          </w:p>
        </w:tc>
        <w:tc>
          <w:tcPr>
            <w:tcW w:w="1843" w:type="dxa"/>
            <w:tcBorders>
              <w:top w:val="single" w:sz="4" w:space="0" w:color="FFFFFF"/>
            </w:tcBorders>
          </w:tcPr>
          <w:p>
            <w:pPr>
              <w:pStyle w:val="TableParagraph"/>
              <w:spacing w:before="32"/>
              <w:ind w:left="103"/>
              <w:rPr>
                <w:sz w:val="16"/>
              </w:rPr>
            </w:pPr>
            <w:r>
              <w:rPr>
                <w:sz w:val="16"/>
              </w:rPr>
              <w:t>Topografía del sitio</w:t>
            </w:r>
          </w:p>
        </w:tc>
        <w:tc>
          <w:tcPr>
            <w:tcW w:w="2410" w:type="dxa"/>
            <w:tcBorders>
              <w:top w:val="single" w:sz="4" w:space="0" w:color="FFFFFF"/>
              <w:right w:val="single" w:sz="4" w:space="0" w:color="FFFFFF"/>
            </w:tcBorders>
          </w:tcPr>
          <w:p>
            <w:pPr>
              <w:pStyle w:val="TableParagraph"/>
              <w:spacing w:before="32"/>
              <w:ind w:left="103"/>
              <w:rPr>
                <w:sz w:val="16"/>
              </w:rPr>
            </w:pPr>
            <w:r>
              <w:rPr>
                <w:sz w:val="16"/>
              </w:rPr>
              <w:t>Terreno accidentado, laderas</w:t>
            </w:r>
          </w:p>
        </w:tc>
        <w:tc>
          <w:tcPr>
            <w:tcW w:w="141" w:type="dxa"/>
            <w:tcBorders>
              <w:top w:val="single" w:sz="4" w:space="0" w:color="FFFFFF"/>
              <w:left w:val="single" w:sz="4" w:space="0" w:color="FFFFFF"/>
              <w:right w:val="nil"/>
            </w:tcBorders>
          </w:tcPr>
          <w:p>
            <w:pPr>
              <w:pStyle w:val="TableParagraph"/>
              <w:spacing w:before="9"/>
              <w:rPr>
                <w:sz w:val="21"/>
              </w:rPr>
            </w:pPr>
          </w:p>
        </w:tc>
        <w:tc>
          <w:tcPr>
            <w:tcW w:w="2773" w:type="dxa"/>
            <w:vMerge/>
            <w:tcBorders>
              <w:left w:val="nil"/>
              <w:right w:val="nil"/>
            </w:tcBorders>
          </w:tcPr>
          <w:p>
            <w:pPr/>
          </w:p>
        </w:tc>
      </w:tr>
    </w:tbl>
    <w:p>
      <w:pPr>
        <w:pStyle w:val="BodyText"/>
        <w:spacing w:before="7"/>
        <w:rPr>
          <w:sz w:val="29"/>
        </w:rPr>
      </w:pPr>
      <w:r>
        <w:rPr/>
        <w:pict>
          <v:group style="position:absolute;margin-left:43.369801pt;margin-top:18.989pt;width:135.5pt;height:.5pt;mso-position-horizontal-relative:page;mso-position-vertical-relative:paragraph;z-index:17968;mso-wrap-distance-left:0;mso-wrap-distance-right:0" coordorigin="867,380" coordsize="2710,10">
            <v:line style="position:absolute" from="872,385" to="1898,385" stroked="true" strokeweight=".5pt" strokecolor="#929292">
              <v:stroke dashstyle="dash"/>
            </v:line>
            <v:line style="position:absolute" from="1913,385" to="1913,385" stroked="true" strokeweight=".5pt" strokecolor="#929292"/>
            <v:line style="position:absolute" from="1942,385" to="3572,385" stroked="true" strokeweight=".5pt" strokecolor="#929292">
              <v:stroke dashstyle="dash"/>
            </v:line>
            <v:line style="position:absolute" from="1913,385" to="1913,385" stroked="true" strokeweight=".5pt" strokecolor="#929292"/>
            <w10:wrap type="topAndBottom"/>
          </v:group>
        </w:pict>
      </w:r>
    </w:p>
    <w:p>
      <w:pPr>
        <w:spacing w:before="87"/>
        <w:ind w:left="2745" w:right="0" w:firstLine="0"/>
        <w:jc w:val="left"/>
        <w:rPr>
          <w:sz w:val="16"/>
        </w:rPr>
      </w:pPr>
      <w:r>
        <w:rPr>
          <w:color w:val="6D6E71"/>
          <w:sz w:val="16"/>
        </w:rPr>
        <w:t>Fuentes: Elaboración propia, 2015</w:t>
      </w:r>
    </w:p>
    <w:p>
      <w:pPr>
        <w:spacing w:after="0"/>
        <w:jc w:val="left"/>
        <w:rPr>
          <w:sz w:val="16"/>
        </w:rPr>
        <w:sectPr>
          <w:headerReference w:type="default" r:id="rId499"/>
          <w:footerReference w:type="default" r:id="rId500"/>
          <w:pgSz w:w="18830" w:h="12760" w:orient="landscape"/>
          <w:pgMar w:header="522" w:footer="1036" w:top="820" w:bottom="1220" w:left="720" w:right="720"/>
        </w:sectPr>
      </w:pPr>
    </w:p>
    <w:p>
      <w:pPr>
        <w:pStyle w:val="BodyText"/>
        <w:spacing w:before="2"/>
        <w:rPr>
          <w:sz w:val="25"/>
        </w:rPr>
      </w:pPr>
    </w:p>
    <w:tbl>
      <w:tblPr>
        <w:tblW w:w="0" w:type="auto"/>
        <w:jc w:val="left"/>
        <w:tblInd w:w="162" w:type="dxa"/>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499"/>
        <w:gridCol w:w="1843"/>
        <w:gridCol w:w="2410"/>
        <w:gridCol w:w="2894"/>
      </w:tblGrid>
      <w:tr>
        <w:trPr>
          <w:trHeight w:val="1945" w:hRule="exact"/>
        </w:trPr>
        <w:tc>
          <w:tcPr>
            <w:tcW w:w="499" w:type="dxa"/>
            <w:tcBorders>
              <w:left w:val="nil"/>
            </w:tcBorders>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38"/>
              <w:ind w:left="73"/>
              <w:rPr>
                <w:sz w:val="16"/>
              </w:rPr>
            </w:pPr>
            <w:r>
              <w:rPr>
                <w:sz w:val="16"/>
              </w:rPr>
              <w:t>10</w:t>
            </w:r>
          </w:p>
        </w:tc>
        <w:tc>
          <w:tcPr>
            <w:tcW w:w="1843" w:type="dxa"/>
          </w:tcPr>
          <w:p>
            <w:pPr>
              <w:pStyle w:val="TableParagraph"/>
              <w:rPr>
                <w:sz w:val="16"/>
              </w:rPr>
            </w:pPr>
          </w:p>
          <w:p>
            <w:pPr>
              <w:pStyle w:val="TableParagraph"/>
              <w:rPr>
                <w:sz w:val="16"/>
              </w:rPr>
            </w:pPr>
          </w:p>
          <w:p>
            <w:pPr>
              <w:pStyle w:val="TableParagraph"/>
              <w:rPr>
                <w:sz w:val="16"/>
              </w:rPr>
            </w:pPr>
          </w:p>
          <w:p>
            <w:pPr>
              <w:pStyle w:val="TableParagraph"/>
              <w:spacing w:before="4"/>
              <w:rPr>
                <w:sz w:val="19"/>
              </w:rPr>
            </w:pPr>
          </w:p>
          <w:p>
            <w:pPr>
              <w:pStyle w:val="TableParagraph"/>
              <w:spacing w:line="261" w:lineRule="auto"/>
              <w:ind w:left="103" w:right="407"/>
              <w:rPr>
                <w:sz w:val="16"/>
              </w:rPr>
            </w:pPr>
            <w:r>
              <w:rPr>
                <w:sz w:val="16"/>
              </w:rPr>
              <w:t>Forma de construcción</w:t>
            </w:r>
          </w:p>
        </w:tc>
        <w:tc>
          <w:tcPr>
            <w:tcW w:w="2410" w:type="dxa"/>
          </w:tcPr>
          <w:p>
            <w:pPr>
              <w:pStyle w:val="TableParagraph"/>
              <w:spacing w:line="160" w:lineRule="exact"/>
              <w:ind w:left="103" w:right="374"/>
              <w:rPr>
                <w:sz w:val="16"/>
              </w:rPr>
            </w:pPr>
            <w:r>
              <w:rPr>
                <w:sz w:val="16"/>
              </w:rPr>
              <w:t>Irregular  en altura</w:t>
            </w:r>
          </w:p>
        </w:tc>
        <w:tc>
          <w:tcPr>
            <w:tcW w:w="2894" w:type="dxa"/>
            <w:vMerge w:val="restart"/>
            <w:tcBorders>
              <w:left w:val="nil"/>
              <w:right w:val="nil"/>
            </w:tcBorders>
          </w:tcPr>
          <w:p>
            <w:pPr>
              <w:pStyle w:val="TableParagraph"/>
              <w:spacing w:before="9"/>
              <w:rPr>
                <w:sz w:val="7"/>
              </w:rPr>
            </w:pPr>
          </w:p>
          <w:p>
            <w:pPr>
              <w:pStyle w:val="TableParagraph"/>
              <w:ind w:left="108"/>
              <w:rPr>
                <w:sz w:val="20"/>
              </w:rPr>
            </w:pPr>
            <w:r>
              <w:rPr>
                <w:sz w:val="20"/>
              </w:rPr>
              <w:drawing>
                <wp:inline distT="0" distB="0" distL="0" distR="0">
                  <wp:extent cx="1472186" cy="1115568"/>
                  <wp:effectExtent l="0" t="0" r="0" b="0"/>
                  <wp:docPr id="197" name="image142.jpeg" descr=""/>
                  <wp:cNvGraphicFramePr>
                    <a:graphicFrameLocks noChangeAspect="1"/>
                  </wp:cNvGraphicFramePr>
                  <a:graphic>
                    <a:graphicData uri="http://schemas.openxmlformats.org/drawingml/2006/picture">
                      <pic:pic>
                        <pic:nvPicPr>
                          <pic:cNvPr id="198" name="image142.jpeg"/>
                          <pic:cNvPicPr/>
                        </pic:nvPicPr>
                        <pic:blipFill>
                          <a:blip r:embed="rId514" cstate="print"/>
                          <a:stretch>
                            <a:fillRect/>
                          </a:stretch>
                        </pic:blipFill>
                        <pic:spPr>
                          <a:xfrm>
                            <a:off x="0" y="0"/>
                            <a:ext cx="1472186" cy="1115568"/>
                          </a:xfrm>
                          <a:prstGeom prst="rect">
                            <a:avLst/>
                          </a:prstGeom>
                        </pic:spPr>
                      </pic:pic>
                    </a:graphicData>
                  </a:graphic>
                </wp:inline>
              </w:drawing>
            </w:r>
            <w:r>
              <w:rPr>
                <w:sz w:val="20"/>
              </w:rPr>
            </w:r>
          </w:p>
          <w:p>
            <w:pPr>
              <w:pStyle w:val="TableParagraph"/>
              <w:rPr>
                <w:sz w:val="20"/>
              </w:rPr>
            </w:pPr>
          </w:p>
          <w:p>
            <w:pPr>
              <w:pStyle w:val="TableParagraph"/>
              <w:spacing w:before="4"/>
              <w:rPr>
                <w:sz w:val="18"/>
              </w:rPr>
            </w:pPr>
          </w:p>
        </w:tc>
      </w:tr>
      <w:tr>
        <w:trPr>
          <w:trHeight w:val="348" w:hRule="exact"/>
        </w:trPr>
        <w:tc>
          <w:tcPr>
            <w:tcW w:w="499" w:type="dxa"/>
            <w:tcBorders>
              <w:left w:val="nil"/>
              <w:bottom w:val="nil"/>
            </w:tcBorders>
          </w:tcPr>
          <w:p>
            <w:pPr>
              <w:pStyle w:val="TableParagraph"/>
              <w:spacing w:line="142" w:lineRule="exact" w:before="76"/>
              <w:ind w:left="73"/>
              <w:rPr>
                <w:sz w:val="16"/>
              </w:rPr>
            </w:pPr>
            <w:r>
              <w:rPr>
                <w:sz w:val="16"/>
              </w:rPr>
              <w:t>11</w:t>
            </w:r>
          </w:p>
          <w:p>
            <w:pPr>
              <w:pStyle w:val="TableParagraph"/>
              <w:tabs>
                <w:tab w:pos="484" w:val="left" w:leader="none"/>
              </w:tabs>
              <w:spacing w:line="142" w:lineRule="exact"/>
              <w:rPr>
                <w:sz w:val="16"/>
              </w:rPr>
            </w:pPr>
            <w:r>
              <w:rPr>
                <w:w w:val="100"/>
                <w:sz w:val="16"/>
                <w:u w:val="dotted" w:color="929292"/>
              </w:rPr>
              <w:t> </w:t>
            </w:r>
            <w:r>
              <w:rPr>
                <w:sz w:val="16"/>
                <w:u w:val="dotted" w:color="929292"/>
              </w:rPr>
              <w:tab/>
            </w:r>
          </w:p>
        </w:tc>
        <w:tc>
          <w:tcPr>
            <w:tcW w:w="1843" w:type="dxa"/>
            <w:tcBorders>
              <w:bottom w:val="nil"/>
            </w:tcBorders>
          </w:tcPr>
          <w:p>
            <w:pPr>
              <w:pStyle w:val="TableParagraph"/>
              <w:spacing w:line="160" w:lineRule="exact"/>
              <w:ind w:left="103" w:right="407"/>
              <w:rPr>
                <w:sz w:val="16"/>
              </w:rPr>
            </w:pPr>
            <w:r>
              <w:rPr>
                <w:sz w:val="16"/>
              </w:rPr>
              <w:t>Superficie de</w:t>
            </w:r>
          </w:p>
          <w:p>
            <w:pPr>
              <w:pStyle w:val="TableParagraph"/>
              <w:tabs>
                <w:tab w:pos="1822" w:val="left" w:leader="none"/>
              </w:tabs>
              <w:spacing w:before="16"/>
              <w:ind w:left="25"/>
              <w:rPr>
                <w:sz w:val="16"/>
              </w:rPr>
            </w:pPr>
            <w:r>
              <w:rPr>
                <w:w w:val="100"/>
                <w:sz w:val="16"/>
                <w:u w:val="dotted" w:color="929292"/>
              </w:rPr>
              <w:t> </w:t>
            </w:r>
            <w:r>
              <w:rPr>
                <w:spacing w:val="-12"/>
                <w:sz w:val="16"/>
                <w:u w:val="dotted" w:color="929292"/>
              </w:rPr>
              <w:t> </w:t>
            </w:r>
            <w:r>
              <w:rPr>
                <w:w w:val="105"/>
                <w:sz w:val="16"/>
                <w:u w:val="dotted" w:color="929292"/>
              </w:rPr>
              <w:t>construcción</w:t>
            </w:r>
            <w:r>
              <w:rPr>
                <w:sz w:val="16"/>
                <w:u w:val="dotted" w:color="929292"/>
              </w:rPr>
              <w:tab/>
            </w:r>
          </w:p>
        </w:tc>
        <w:tc>
          <w:tcPr>
            <w:tcW w:w="2410" w:type="dxa"/>
            <w:tcBorders>
              <w:right w:val="nil"/>
            </w:tcBorders>
          </w:tcPr>
          <w:p>
            <w:pPr>
              <w:pStyle w:val="TableParagraph"/>
              <w:spacing w:before="76"/>
              <w:ind w:left="103"/>
              <w:rPr>
                <w:sz w:val="16"/>
              </w:rPr>
            </w:pPr>
            <w:r>
              <w:rPr>
                <w:sz w:val="16"/>
              </w:rPr>
              <w:t>Variable</w:t>
            </w:r>
          </w:p>
        </w:tc>
        <w:tc>
          <w:tcPr>
            <w:tcW w:w="2894" w:type="dxa"/>
            <w:vMerge/>
            <w:tcBorders>
              <w:left w:val="nil"/>
              <w:bottom w:val="nil"/>
              <w:right w:val="nil"/>
            </w:tcBorders>
          </w:tcPr>
          <w:p>
            <w:pPr/>
          </w:p>
        </w:tc>
      </w:tr>
    </w:tbl>
    <w:p>
      <w:pPr>
        <w:tabs>
          <w:tab w:pos="620" w:val="left" w:leader="none"/>
          <w:tab w:pos="2463" w:val="left" w:leader="none"/>
          <w:tab w:pos="4873" w:val="left" w:leader="none"/>
          <w:tab w:pos="7781" w:val="left" w:leader="none"/>
        </w:tabs>
        <w:spacing w:line="142" w:lineRule="exact" w:before="0"/>
        <w:ind w:left="136" w:right="0" w:firstLine="0"/>
        <w:jc w:val="center"/>
        <w:rPr>
          <w:sz w:val="16"/>
        </w:rPr>
      </w:pPr>
      <w:r>
        <w:rPr/>
        <w:pict>
          <v:group style="position:absolute;margin-left:281.713593pt;margin-top:-16.724794pt;width:145.950pt;height:25.35pt;mso-position-horizontal-relative:page;mso-position-vertical-relative:paragraph;z-index:-634240" coordorigin="5634,-334" coordsize="2919,507">
            <v:shape style="position:absolute;left:5634;top:-334;width:151;height:358" type="#_x0000_t75" stroked="false">
              <v:imagedata r:id="rId515" o:title=""/>
            </v:shape>
            <v:line style="position:absolute" from="5810,-329" to="8533,-329" stroked="true" strokeweight=".5pt" strokecolor="#929292">
              <v:stroke dashstyle="dash"/>
            </v:line>
            <v:line style="position:absolute" from="5780,-329" to="5780,-329" stroked="true" strokeweight=".5pt" strokecolor="#929292"/>
            <v:shape style="position:absolute;left:5634;top:14;width:151;height:158" type="#_x0000_t75" stroked="false">
              <v:imagedata r:id="rId516" o:title=""/>
            </v:shape>
            <v:line style="position:absolute" from="5810,19" to="8533,19" stroked="true" strokeweight=".5pt" strokecolor="#929292">
              <v:stroke dashstyle="dash"/>
            </v:line>
            <v:line style="position:absolute" from="5780,19" to="5780,19" stroked="true" strokeweight=".5pt" strokecolor="#929292"/>
            <v:line style="position:absolute" from="5639,167" to="5639,167" stroked="true" strokeweight=".5pt" strokecolor="#929292"/>
            <v:shape style="position:absolute;left:0;top:9348;width:141;height:2" coordorigin="0,9348" coordsize="141,0" path="m5639,167l5639,167m5780,167l5780,167e" filled="false" stroked="true" strokeweight=".5pt" strokecolor="#929292">
              <v:path arrowok="t"/>
            </v:shape>
            <v:shape style="position:absolute;left:0;top:9348;width:2768;height:2" coordorigin="0,9348" coordsize="2768,0" path="m5780,167l5780,167m8548,167l8548,167e" filled="false" stroked="true" strokeweight=".5pt" strokecolor="#929292">
              <v:path arrowok="t"/>
            </v:shape>
            <w10:wrap type="none"/>
          </v:group>
        </w:pict>
      </w:r>
      <w:r>
        <w:rPr/>
        <w:pict>
          <v:group style="position:absolute;margin-left:69.063499pt;margin-top:8.100905pt;width:.5pt;height:.5pt;mso-position-horizontal-relative:page;mso-position-vertical-relative:paragraph;z-index:-634216" coordorigin="1381,162" coordsize="10,10">
            <v:line style="position:absolute" from="1386,167" to="1386,167" stroked="true" strokeweight=".5pt" strokecolor="#929292"/>
            <v:line style="position:absolute" from="1386,167" to="1386,167" stroked="true" strokeweight=".5pt" strokecolor="#929292"/>
            <v:line style="position:absolute" from="1386,167" to="1386,167" stroked="true" strokeweight=".5pt" strokecolor="#929292"/>
            <w10:wrap type="none"/>
          </v:group>
        </w:pict>
      </w:r>
      <w:r>
        <w:rPr/>
        <w:pict>
          <v:group style="position:absolute;margin-left:161.213593pt;margin-top:8.100905pt;width:.5pt;height:.5pt;mso-position-horizontal-relative:page;mso-position-vertical-relative:paragraph;z-index:-634192" coordorigin="3224,162" coordsize="10,10">
            <v:line style="position:absolute" from="3229,167" to="3229,167" stroked="true" strokeweight=".5pt" strokecolor="#929292"/>
            <v:line style="position:absolute" from="3229,167" to="3229,167" stroked="true" strokeweight=".5pt" strokecolor="#929292"/>
            <v:line style="position:absolute" from="3229,167" to="3229,167" stroked="true" strokeweight=".5pt" strokecolor="#929292"/>
            <w10:wrap type="none"/>
          </v:group>
        </w:pict>
      </w:r>
      <w:r>
        <w:rPr/>
        <w:pict>
          <v:line style="position:absolute;mso-position-horizontal-relative:page;mso-position-vertical-relative:paragraph;z-index:18616" from="42.884499pt,8.350905pt" to="42.884499pt,8.350905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12</w:t>
        <w:tab/>
      </w:r>
      <w:r>
        <w:rPr>
          <w:sz w:val="16"/>
          <w:u w:val="dotted" w:color="929292"/>
        </w:rPr>
        <w:t>Identificación</w:t>
        <w:tab/>
      </w:r>
      <w:r>
        <w:rPr>
          <w:sz w:val="16"/>
          <w:u w:val="dotted" w:color="929292"/>
        </w:rPr>
        <w:t>Sin</w:t>
      </w:r>
      <w:r>
        <w:rPr>
          <w:spacing w:val="1"/>
          <w:sz w:val="16"/>
          <w:u w:val="dotted" w:color="929292"/>
        </w:rPr>
        <w:t> </w:t>
      </w:r>
      <w:r>
        <w:rPr>
          <w:sz w:val="16"/>
          <w:u w:val="dotted" w:color="929292"/>
        </w:rPr>
        <w:t>dato</w:t>
        <w:tab/>
      </w:r>
      <w:r>
        <w:rPr>
          <w:spacing w:val="-2"/>
          <w:sz w:val="16"/>
        </w:rPr>
        <w:t> </w:t>
      </w:r>
      <w:r>
        <w:rPr>
          <w:w w:val="100"/>
          <w:sz w:val="16"/>
          <w:u w:val="dotted" w:color="929292"/>
        </w:rPr>
        <w:t> </w:t>
      </w:r>
      <w:r>
        <w:rPr>
          <w:spacing w:val="9"/>
          <w:sz w:val="16"/>
          <w:u w:val="dotted" w:color="929292"/>
        </w:rPr>
        <w:t> </w:t>
      </w:r>
      <w:r>
        <w:rPr>
          <w:spacing w:val="-1"/>
          <w:sz w:val="16"/>
        </w:rPr>
        <w:t> </w:t>
      </w:r>
      <w:r>
        <w:rPr>
          <w:w w:val="100"/>
          <w:sz w:val="16"/>
          <w:u w:val="dotted" w:color="929292"/>
        </w:rPr>
        <w:t> </w:t>
      </w:r>
      <w:r>
        <w:rPr>
          <w:sz w:val="16"/>
          <w:u w:val="dotted" w:color="929292"/>
        </w:rPr>
        <w:tab/>
      </w:r>
    </w:p>
    <w:p>
      <w:pPr>
        <w:tabs>
          <w:tab w:pos="2463" w:val="left" w:leader="none"/>
          <w:tab w:pos="4873" w:val="left" w:leader="none"/>
          <w:tab w:pos="7781" w:val="left" w:leader="none"/>
        </w:tabs>
        <w:spacing w:line="148" w:lineRule="exact" w:before="0"/>
        <w:ind w:left="136" w:right="0" w:firstLine="0"/>
        <w:jc w:val="center"/>
        <w:rPr>
          <w:sz w:val="16"/>
        </w:rPr>
      </w:pPr>
      <w:r>
        <w:rPr/>
        <w:pict>
          <v:line style="position:absolute;mso-position-horizontal-relative:page;mso-position-vertical-relative:paragraph;z-index:18640" from="42.884499pt,7.456103pt" to="42.884499pt,7.456103pt" stroked="true" strokeweight=".5pt" strokecolor="#929292">
            <w10:wrap type="none"/>
          </v:line>
        </w:pict>
      </w:r>
      <w:r>
        <w:rPr/>
        <w:pict>
          <v:group style="position:absolute;margin-left:69.063499pt;margin-top:7.206103pt;width:.5pt;height:.5pt;mso-position-horizontal-relative:page;mso-position-vertical-relative:paragraph;z-index:-634120" coordorigin="1381,144" coordsize="10,10">
            <v:line style="position:absolute" from="1386,149" to="1386,149" stroked="true" strokeweight=".5pt" strokecolor="#929292"/>
            <v:line style="position:absolute" from="1386,149" to="1386,149" stroked="true" strokeweight=".5pt" strokecolor="#929292"/>
            <w10:wrap type="none"/>
          </v:group>
        </w:pict>
      </w:r>
      <w:r>
        <w:rPr/>
        <w:pict>
          <v:group style="position:absolute;margin-left:161.213593pt;margin-top:7.206103pt;width:.5pt;height:.5pt;mso-position-horizontal-relative:page;mso-position-vertical-relative:paragraph;z-index:-634096" coordorigin="3224,144" coordsize="10,10">
            <v:line style="position:absolute" from="3229,149" to="3229,149" stroked="true" strokeweight=".5pt" strokecolor="#929292"/>
            <v:line style="position:absolute" from="3229,149" to="3229,149" stroked="true" strokeweight=".5pt" strokecolor="#929292"/>
            <w10:wrap type="none"/>
          </v:group>
        </w:pict>
      </w:r>
      <w:r>
        <w:rPr/>
        <w:pict>
          <v:group style="position:absolute;margin-left:281.713593pt;margin-top:7.205703pt;width:7.55pt;height:30.2pt;mso-position-horizontal-relative:page;mso-position-vertical-relative:paragraph;z-index:-634072" coordorigin="5634,144" coordsize="151,604">
            <v:shape style="position:absolute;left:5634;top:144;width:151;height:158" type="#_x0000_t75" stroked="false">
              <v:imagedata r:id="rId517" o:title=""/>
            </v:shape>
            <v:line style="position:absolute" from="5780,149" to="5780,149" stroked="true" strokeweight=".5pt" strokecolor="#929292"/>
            <v:shape style="position:absolute;left:5634;top:292;width:151;height:158" type="#_x0000_t75" stroked="false">
              <v:imagedata r:id="rId517" o:title=""/>
            </v:shape>
            <v:line style="position:absolute" from="5780,297" to="5780,297" stroked="true" strokeweight=".5pt" strokecolor="#929292"/>
            <v:shape style="position:absolute;left:5634;top:441;width:151;height:158" type="#_x0000_t75" stroked="false">
              <v:imagedata r:id="rId517" o:title=""/>
            </v:shape>
            <v:line style="position:absolute" from="5780,446" to="5780,446" stroked="true" strokeweight=".5pt" strokecolor="#929292"/>
            <v:line style="position:absolute" from="5639,594" to="5639,594" stroked="true" strokeweight=".5pt" strokecolor="#929292"/>
            <v:shape style="position:absolute;left:0;top:9181;width:141;height:2" coordorigin="0,9181" coordsize="141,0" path="m5639,594l5639,594m5780,594l5780,594e" filled="false" stroked="true" strokeweight=".5pt" strokecolor="#929292">
              <v:path arrowok="t"/>
            </v:shape>
            <v:shape style="position:absolute;left:5634;top:589;width:151;height:158" type="#_x0000_t75" stroked="false">
              <v:imagedata r:id="rId518" o:title=""/>
            </v:shape>
            <v:line style="position:absolute" from="5780,594" to="5780,594" stroked="true" strokeweight=".5pt" strokecolor="#929292"/>
            <v:line style="position:absolute" from="5780,742" to="5780,742" stroked="true" strokeweight=".5pt" strokecolor="#929292"/>
            <w10:wrap type="none"/>
          </v:group>
        </w:pict>
      </w:r>
      <w:r>
        <w:rPr/>
        <w:pict>
          <v:line style="position:absolute;mso-position-horizontal-relative:page;mso-position-vertical-relative:paragraph;z-index:18736" from="427.396606pt,7.456103pt" to="427.396606pt,7.456103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Evalu</w:t>
      </w:r>
      <w:r>
        <w:rPr>
          <w:sz w:val="16"/>
        </w:rPr>
        <w:t>a</w:t>
      </w:r>
      <w:r>
        <w:rPr>
          <w:sz w:val="16"/>
          <w:u w:val="dotted" w:color="929292"/>
        </w:rPr>
        <w:t>ción de</w:t>
      </w:r>
      <w:r>
        <w:rPr>
          <w:spacing w:val="28"/>
          <w:sz w:val="16"/>
          <w:u w:val="dotted" w:color="929292"/>
        </w:rPr>
        <w:t> </w:t>
      </w:r>
      <w:r>
        <w:rPr>
          <w:sz w:val="16"/>
          <w:u w:val="dotted" w:color="929292"/>
        </w:rPr>
        <w:t>completitud</w:t>
        <w:tab/>
      </w:r>
      <w:r>
        <w:rPr>
          <w:sz w:val="16"/>
        </w:rPr>
        <w:t> </w:t>
      </w:r>
      <w:r>
        <w:rPr>
          <w:w w:val="100"/>
          <w:sz w:val="16"/>
          <w:u w:val="dotted" w:color="929292"/>
        </w:rPr>
        <w:t> </w:t>
      </w:r>
      <w:r>
        <w:rPr>
          <w:sz w:val="16"/>
          <w:u w:val="dotted" w:color="929292"/>
        </w:rPr>
        <w:tab/>
      </w:r>
      <w:r>
        <w:rPr>
          <w:sz w:val="16"/>
        </w:rPr>
        <w:t>   </w:t>
      </w:r>
      <w:r>
        <w:rPr>
          <w:spacing w:val="8"/>
          <w:sz w:val="16"/>
        </w:rPr>
        <w:t> </w:t>
      </w:r>
      <w:r>
        <w:rPr>
          <w:w w:val="100"/>
          <w:sz w:val="16"/>
          <w:u w:val="dotted" w:color="929292"/>
        </w:rPr>
        <w:t> </w:t>
      </w:r>
      <w:r>
        <w:rPr>
          <w:sz w:val="16"/>
          <w:u w:val="dotted" w:color="929292"/>
        </w:rPr>
        <w:tab/>
      </w:r>
    </w:p>
    <w:p>
      <w:pPr>
        <w:tabs>
          <w:tab w:pos="2463" w:val="left" w:leader="none"/>
          <w:tab w:pos="4873" w:val="left" w:leader="none"/>
          <w:tab w:pos="7781" w:val="left" w:leader="none"/>
        </w:tabs>
        <w:spacing w:line="148" w:lineRule="exact" w:before="0"/>
        <w:ind w:left="136" w:right="0" w:firstLine="0"/>
        <w:jc w:val="center"/>
        <w:rPr>
          <w:sz w:val="16"/>
        </w:rPr>
      </w:pPr>
      <w:r>
        <w:rPr/>
        <w:pict>
          <v:line style="position:absolute;mso-position-horizontal-relative:page;mso-position-vertical-relative:paragraph;z-index:18760" from="42.884499pt,7.452703pt" to="42.884499pt,7.452703pt" stroked="true" strokeweight=".5pt" strokecolor="#929292">
            <w10:wrap type="none"/>
          </v:line>
        </w:pict>
      </w:r>
      <w:r>
        <w:rPr/>
        <w:pict>
          <v:group style="position:absolute;margin-left:69.063499pt;margin-top:7.202703pt;width:.5pt;height:.5pt;mso-position-horizontal-relative:page;mso-position-vertical-relative:paragraph;z-index:-634000" coordorigin="1381,144" coordsize="10,10">
            <v:line style="position:absolute" from="1386,149" to="1386,149" stroked="true" strokeweight=".5pt" strokecolor="#929292"/>
            <v:line style="position:absolute" from="1386,149" to="1386,149" stroked="true" strokeweight=".5pt" strokecolor="#929292"/>
            <w10:wrap type="none"/>
          </v:group>
        </w:pict>
      </w:r>
      <w:r>
        <w:rPr/>
        <w:pict>
          <v:group style="position:absolute;margin-left:161.213593pt;margin-top:7.202703pt;width:.5pt;height:.5pt;mso-position-horizontal-relative:page;mso-position-vertical-relative:paragraph;z-index:-633976" coordorigin="3224,144" coordsize="10,10">
            <v:line style="position:absolute" from="3229,149" to="3229,149" stroked="true" strokeweight=".5pt" strokecolor="#929292"/>
            <v:line style="position:absolute" from="3229,149" to="3229,149" stroked="true" strokeweight=".5pt" strokecolor="#929292"/>
            <w10:wrap type="none"/>
          </v:group>
        </w:pict>
      </w:r>
      <w:r>
        <w:rPr/>
        <w:pict>
          <v:line style="position:absolute;mso-position-horizontal-relative:page;mso-position-vertical-relative:paragraph;z-index:18832" from="427.396606pt,7.452703pt" to="427.396606pt,7.452703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Datos </w:t>
      </w:r>
      <w:r>
        <w:rPr>
          <w:sz w:val="16"/>
          <w:u w:val="dotted" w:color="929292"/>
        </w:rPr>
        <w:t>totales posibles</w:t>
        <w:tab/>
      </w:r>
      <w:r>
        <w:rPr>
          <w:sz w:val="16"/>
          <w:u w:val="dotted" w:color="929292"/>
        </w:rPr>
        <w:tab/>
      </w:r>
      <w:r>
        <w:rPr>
          <w:sz w:val="16"/>
          <w:u w:val="dotted" w:color="929292"/>
        </w:rPr>
        <w:t>12 variables de</w:t>
      </w:r>
      <w:r>
        <w:rPr>
          <w:spacing w:val="1"/>
          <w:sz w:val="16"/>
          <w:u w:val="dotted" w:color="929292"/>
        </w:rPr>
        <w:t> </w:t>
      </w:r>
      <w:r>
        <w:rPr>
          <w:sz w:val="16"/>
          <w:u w:val="dotted" w:color="929292"/>
        </w:rPr>
        <w:t>vulnerabilidad</w:t>
        <w:tab/>
      </w:r>
    </w:p>
    <w:p>
      <w:pPr>
        <w:tabs>
          <w:tab w:pos="4873" w:val="left" w:leader="none"/>
          <w:tab w:pos="7781" w:val="left" w:leader="none"/>
        </w:tabs>
        <w:spacing w:line="148" w:lineRule="exact" w:before="0"/>
        <w:ind w:left="136" w:right="0" w:firstLine="0"/>
        <w:jc w:val="center"/>
        <w:rPr>
          <w:sz w:val="16"/>
        </w:rPr>
      </w:pPr>
      <w:r>
        <w:rPr/>
        <w:pict>
          <v:line style="position:absolute;mso-position-horizontal-relative:page;mso-position-vertical-relative:paragraph;z-index:18856" from="42.884499pt,7.449402pt" to="42.884499pt,7.449402pt" stroked="true" strokeweight=".5pt" strokecolor="#929292">
            <w10:wrap type="none"/>
          </v:line>
        </w:pict>
      </w:r>
      <w:r>
        <w:rPr/>
        <w:pict>
          <v:group style="position:absolute;margin-left:69.063499pt;margin-top:7.199402pt;width:.5pt;height:.5pt;mso-position-horizontal-relative:page;mso-position-vertical-relative:paragraph;z-index:-633904" coordorigin="1381,144" coordsize="10,10">
            <v:line style="position:absolute" from="1386,149" to="1386,149" stroked="true" strokeweight=".5pt" strokecolor="#929292"/>
            <v:line style="position:absolute" from="1386,149" to="1386,149" stroked="true" strokeweight=".5pt" strokecolor="#929292"/>
            <w10:wrap type="none"/>
          </v:group>
        </w:pict>
      </w:r>
      <w:r>
        <w:rPr/>
        <w:pict>
          <v:group style="position:absolute;margin-left:161.213593pt;margin-top:7.199402pt;width:.5pt;height:.5pt;mso-position-horizontal-relative:page;mso-position-vertical-relative:paragraph;z-index:-633880" coordorigin="3224,144" coordsize="10,10">
            <v:line style="position:absolute" from="3229,149" to="3229,149" stroked="true" strokeweight=".5pt" strokecolor="#929292"/>
            <v:line style="position:absolute" from="3229,149" to="3229,149" stroked="true" strokeweight=".5pt" strokecolor="#929292"/>
            <w10:wrap type="none"/>
          </v:group>
        </w:pict>
      </w:r>
      <w:r>
        <w:rPr/>
        <w:pict>
          <v:line style="position:absolute;mso-position-horizontal-relative:page;mso-position-vertical-relative:paragraph;z-index:18928" from="427.396606pt,7.449402pt" to="427.396606pt,7.449402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Datos </w:t>
      </w:r>
      <w:r>
        <w:rPr>
          <w:sz w:val="16"/>
          <w:u w:val="dotted" w:color="929292"/>
        </w:rPr>
        <w:t>totales obtenidos</w:t>
      </w:r>
      <w:r>
        <w:rPr>
          <w:spacing w:val="2"/>
          <w:sz w:val="16"/>
          <w:u w:val="dotted" w:color="929292"/>
        </w:rPr>
        <w:t> </w:t>
      </w:r>
      <w:r>
        <w:rPr>
          <w:sz w:val="16"/>
          <w:u w:val="dotted" w:color="929292"/>
        </w:rPr>
        <w:t>del pre</w:t>
      </w:r>
      <w:r>
        <w:rPr>
          <w:sz w:val="16"/>
        </w:rPr>
        <w:t>d</w:t>
      </w:r>
      <w:r>
        <w:rPr>
          <w:sz w:val="16"/>
          <w:u w:val="dotted" w:color="929292"/>
        </w:rPr>
        <w:t>io</w:t>
        <w:tab/>
      </w:r>
      <w:r>
        <w:rPr>
          <w:sz w:val="16"/>
          <w:u w:val="dotted" w:color="929292"/>
        </w:rPr>
        <w:t>11</w:t>
        <w:tab/>
      </w:r>
    </w:p>
    <w:p>
      <w:pPr>
        <w:tabs>
          <w:tab w:pos="2463" w:val="left" w:leader="none"/>
          <w:tab w:pos="4873" w:val="left" w:leader="none"/>
          <w:tab w:pos="7781" w:val="left" w:leader="none"/>
        </w:tabs>
        <w:spacing w:line="148" w:lineRule="exact" w:before="0"/>
        <w:ind w:left="136" w:right="0" w:firstLine="0"/>
        <w:jc w:val="center"/>
        <w:rPr>
          <w:sz w:val="16"/>
        </w:rPr>
      </w:pPr>
      <w:r>
        <w:rPr/>
        <w:pict>
          <v:line style="position:absolute;mso-position-horizontal-relative:page;mso-position-vertical-relative:paragraph;z-index:18952" from="42.884499pt,7.446202pt" to="42.884499pt,7.446202pt" stroked="true" strokeweight=".5pt" strokecolor="#929292">
            <w10:wrap type="none"/>
          </v:line>
        </w:pict>
      </w:r>
      <w:r>
        <w:rPr/>
        <w:pict>
          <v:group style="position:absolute;margin-left:69.063499pt;margin-top:7.196202pt;width:.5pt;height:.5pt;mso-position-horizontal-relative:page;mso-position-vertical-relative:paragraph;z-index:-633808" coordorigin="1381,144" coordsize="10,10">
            <v:line style="position:absolute" from="1386,149" to="1386,149" stroked="true" strokeweight=".5pt" strokecolor="#929292"/>
            <v:line style="position:absolute" from="1386,149" to="1386,149" stroked="true" strokeweight=".5pt" strokecolor="#929292"/>
            <w10:wrap type="none"/>
          </v:group>
        </w:pict>
      </w:r>
      <w:r>
        <w:rPr/>
        <w:pict>
          <v:group style="position:absolute;margin-left:161.213593pt;margin-top:7.196202pt;width:.5pt;height:.5pt;mso-position-horizontal-relative:page;mso-position-vertical-relative:paragraph;z-index:-633784" coordorigin="3224,144" coordsize="10,10">
            <v:line style="position:absolute" from="3229,149" to="3229,149" stroked="true" strokeweight=".5pt" strokecolor="#929292"/>
            <v:line style="position:absolute" from="3229,149" to="3229,149" stroked="true" strokeweight=".5pt" strokecolor="#929292"/>
            <w10:wrap type="none"/>
          </v:group>
        </w:pict>
      </w:r>
      <w:r>
        <w:rPr/>
        <w:pict>
          <v:line style="position:absolute;mso-position-horizontal-relative:page;mso-position-vertical-relative:paragraph;z-index:19096" from="427.396606pt,7.446202pt" to="427.396606pt,7.446202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Completitud</w:t>
        <w:tab/>
      </w:r>
      <w:r>
        <w:rPr>
          <w:sz w:val="16"/>
          <w:u w:val="dotted" w:color="929292"/>
        </w:rPr>
        <w:tab/>
      </w:r>
      <w:r>
        <w:rPr>
          <w:sz w:val="16"/>
          <w:u w:val="dotted" w:color="929292"/>
        </w:rPr>
        <w:t>91.6</w:t>
        <w:tab/>
      </w:r>
    </w:p>
    <w:p>
      <w:pPr>
        <w:tabs>
          <w:tab w:pos="4873" w:val="left" w:leader="none"/>
          <w:tab w:pos="7781" w:val="left" w:leader="none"/>
        </w:tabs>
        <w:spacing w:line="166" w:lineRule="exact" w:before="0"/>
        <w:ind w:left="136" w:right="0" w:firstLine="0"/>
        <w:jc w:val="center"/>
        <w:rPr>
          <w:sz w:val="16"/>
        </w:rPr>
      </w:pPr>
      <w:r>
        <w:rPr/>
        <w:pict>
          <v:line style="position:absolute;mso-position-horizontal-relative:page;mso-position-vertical-relative:paragraph;z-index:19024" from="42.884499pt,7.442902pt" to="42.884499pt,7.442902pt" stroked="true" strokeweight=".5pt" strokecolor="#929292">
            <w10:wrap type="none"/>
          </v:line>
        </w:pict>
      </w:r>
      <w:r>
        <w:rPr/>
        <w:pict>
          <v:group style="position:absolute;margin-left:69.063499pt;margin-top:7.192902pt;width:.5pt;height:.5pt;mso-position-horizontal-relative:page;mso-position-vertical-relative:paragraph;z-index:-633736" coordorigin="1381,144" coordsize="10,10">
            <v:line style="position:absolute" from="1386,149" to="1386,149" stroked="true" strokeweight=".5pt" strokecolor="#929292"/>
            <v:line style="position:absolute" from="1386,149" to="1386,149" stroked="true" strokeweight=".5pt" strokecolor="#929292"/>
            <w10:wrap type="none"/>
          </v:group>
        </w:pict>
      </w:r>
      <w:r>
        <w:rPr/>
        <w:pict>
          <v:group style="position:absolute;margin-left:161.213593pt;margin-top:7.192902pt;width:.5pt;height:.5pt;mso-position-horizontal-relative:page;mso-position-vertical-relative:paragraph;z-index:-633712" coordorigin="3224,144" coordsize="10,10">
            <v:line style="position:absolute" from="3229,149" to="3229,149" stroked="true" strokeweight=".5pt" strokecolor="#929292"/>
            <v:line style="position:absolute" from="3229,149" to="3229,149" stroked="true" strokeweight=".5pt" strokecolor="#929292"/>
            <w10:wrap type="none"/>
          </v:group>
        </w:pict>
      </w:r>
      <w:r>
        <w:rPr/>
        <w:pict>
          <v:line style="position:absolute;mso-position-horizontal-relative:page;mso-position-vertical-relative:paragraph;z-index:19120" from="427.396606pt,7.442902pt" to="427.396606pt,7.442902pt" stroked="true" strokeweight=".5pt" strokecolor="#929292">
            <w10:wrap type="none"/>
          </v:line>
        </w:pict>
      </w:r>
      <w:r>
        <w:rPr>
          <w:w w:val="100"/>
          <w:sz w:val="16"/>
          <w:u w:val="dotted" w:color="929292"/>
        </w:rPr>
        <w:t> </w:t>
      </w:r>
      <w:r>
        <w:rPr>
          <w:spacing w:val="-16"/>
          <w:sz w:val="16"/>
          <w:u w:val="dotted" w:color="929292"/>
        </w:rPr>
        <w:t> </w:t>
      </w:r>
      <w:r>
        <w:rPr>
          <w:sz w:val="16"/>
          <w:u w:val="dotted" w:color="929292"/>
        </w:rPr>
        <w:t>Ingresa al estudio (completitud </w:t>
      </w:r>
      <w:r>
        <w:rPr>
          <w:sz w:val="16"/>
        </w:rPr>
        <w:t>m</w:t>
      </w:r>
      <w:r>
        <w:rPr>
          <w:sz w:val="16"/>
          <w:u w:val="dotted" w:color="929292"/>
        </w:rPr>
        <w:t>ayor</w:t>
      </w:r>
      <w:r>
        <w:rPr>
          <w:spacing w:val="2"/>
          <w:sz w:val="16"/>
          <w:u w:val="dotted" w:color="929292"/>
        </w:rPr>
        <w:t> </w:t>
      </w:r>
      <w:r>
        <w:rPr>
          <w:sz w:val="16"/>
          <w:u w:val="dotted" w:color="929292"/>
        </w:rPr>
        <w:t>al 90%)</w:t>
        <w:tab/>
      </w:r>
      <w:r>
        <w:rPr>
          <w:sz w:val="16"/>
          <w:u w:val="dotted" w:color="929292"/>
        </w:rPr>
        <w:t>Si</w:t>
        <w:tab/>
      </w:r>
    </w:p>
    <w:p>
      <w:pPr>
        <w:spacing w:before="10"/>
        <w:ind w:left="131" w:right="0" w:firstLine="0"/>
        <w:jc w:val="center"/>
        <w:rPr>
          <w:sz w:val="16"/>
        </w:rPr>
      </w:pPr>
      <w:r>
        <w:rPr>
          <w:color w:val="6D6E71"/>
          <w:sz w:val="16"/>
        </w:rPr>
        <w:t>Fuentes: Elaboración propia, 2015</w:t>
      </w:r>
    </w:p>
    <w:p>
      <w:pPr>
        <w:pStyle w:val="BodyText"/>
        <w:rPr>
          <w:sz w:val="16"/>
        </w:rPr>
      </w:pPr>
    </w:p>
    <w:p>
      <w:pPr>
        <w:pStyle w:val="BodyText"/>
        <w:rPr>
          <w:sz w:val="16"/>
        </w:rPr>
      </w:pPr>
    </w:p>
    <w:p>
      <w:pPr>
        <w:pStyle w:val="BodyText"/>
        <w:spacing w:line="249" w:lineRule="auto" w:before="130"/>
        <w:ind w:left="132" w:firstLine="170"/>
        <w:jc w:val="both"/>
      </w:pPr>
      <w:r>
        <w:rPr/>
        <w:t>Una vez obtenida satisfactoriamente la evaluación de completitud de las zonas habitacionales, se realiza el proceso de análisis de la vulnerabilidad física-estructural, lo cual se sustenta en lo establecido en la tabla 2, obteniendo la puntuación de cada uno de los indicadores, presentándose los resultados a nivel de manzanas.</w:t>
      </w:r>
    </w:p>
    <w:p>
      <w:pPr>
        <w:pStyle w:val="BodyText"/>
        <w:spacing w:before="11"/>
      </w:pPr>
    </w:p>
    <w:p>
      <w:pPr>
        <w:pStyle w:val="BodyText"/>
        <w:spacing w:line="249" w:lineRule="auto"/>
        <w:ind w:left="132" w:firstLine="170"/>
        <w:jc w:val="both"/>
      </w:pPr>
      <w:r>
        <w:rPr/>
        <w:t>Es importante hacer mención que para las tres zonas habitacionales se realizó el análisis para las 132 casas que presentaban una colindancia directa con los bancos</w:t>
      </w:r>
      <w:r>
        <w:rPr>
          <w:spacing w:val="-20"/>
        </w:rPr>
        <w:t> </w:t>
      </w:r>
      <w:r>
        <w:rPr/>
        <w:t>de materiales, y por manzanas –en el caso del fraccionamiento por privadas-. (Ver tabla   9 y</w:t>
      </w:r>
      <w:r>
        <w:rPr>
          <w:spacing w:val="-15"/>
        </w:rPr>
        <w:t> </w:t>
      </w:r>
      <w:r>
        <w:rPr/>
        <w:t>10)</w:t>
      </w:r>
    </w:p>
    <w:p>
      <w:pPr>
        <w:pStyle w:val="BodyText"/>
        <w:spacing w:before="2"/>
        <w:rPr>
          <w:sz w:val="24"/>
        </w:rPr>
      </w:pPr>
    </w:p>
    <w:p>
      <w:pPr>
        <w:spacing w:before="0"/>
        <w:ind w:left="131" w:right="0" w:firstLine="0"/>
        <w:jc w:val="center"/>
        <w:rPr>
          <w:sz w:val="16"/>
        </w:rPr>
      </w:pPr>
      <w:r>
        <w:rPr/>
        <w:pict>
          <v:group style="position:absolute;margin-left:233.614502pt;margin-top:14.338801pt;width:191.9pt;height:131.35pt;mso-position-horizontal-relative:page;mso-position-vertical-relative:paragraph;z-index:19144" coordorigin="4672,287" coordsize="3838,2627">
            <v:line style="position:absolute" from="4677,514" to="4677,292" stroked="true" strokeweight=".5pt" strokecolor="#ffffff"/>
            <v:shape style="position:absolute;left:0;top:5070;width:2;height:223" coordorigin="0,5070" coordsize="0,223" path="m4677,514l4677,514m4677,292l4677,292e" filled="false" stroked="true" strokeweight=".5pt" strokecolor="#929292">
              <v:path arrowok="t"/>
            </v:shape>
            <v:line style="position:absolute" from="4677,657" to="4677,529" stroked="true" strokeweight=".5pt" strokecolor="#929292">
              <v:stroke dashstyle="dash"/>
            </v:line>
            <v:shape style="position:absolute;left:0;top:5121;width:2;height:171" coordorigin="0,5121" coordsize="0,171" path="m4677,685l4677,685m4677,514l4677,514e" filled="false" stroked="true" strokeweight=".5pt" strokecolor="#929292">
              <v:path arrowok="t"/>
            </v:shape>
            <v:line style="position:absolute" from="4677,685" to="4677,685" stroked="true" strokeweight=".5pt" strokecolor="#929292"/>
            <v:line style="position:absolute" from="4677,828" to="4677,700" stroked="true" strokeweight=".5pt" strokecolor="#929292">
              <v:stroke dashstyle="dash"/>
            </v:line>
            <v:shape style="position:absolute;left:0;top:5121;width:2;height:171" coordorigin="0,5121" coordsize="0,171" path="m4677,856l4677,856m4677,685l4677,685e" filled="false" stroked="true" strokeweight=".5pt" strokecolor="#929292">
              <v:path arrowok="t"/>
            </v:shape>
            <v:line style="position:absolute" from="4677,685" to="4677,685" stroked="true" strokeweight=".5pt" strokecolor="#929292"/>
            <v:line style="position:absolute" from="4677,856" to="4677,856" stroked="true" strokeweight=".5pt" strokecolor="#929292"/>
            <v:line style="position:absolute" from="4677,999" to="4677,871" stroked="true" strokeweight=".5pt" strokecolor="#929292">
              <v:stroke dashstyle="dash"/>
            </v:line>
            <v:shape style="position:absolute;left:0;top:5121;width:2;height:171" coordorigin="0,5121" coordsize="0,171" path="m4677,1027l4677,1027m4677,856l4677,856e" filled="false" stroked="true" strokeweight=".5pt" strokecolor="#929292">
              <v:path arrowok="t"/>
            </v:shape>
            <v:line style="position:absolute" from="4677,856" to="4677,856" stroked="true" strokeweight=".5pt" strokecolor="#929292"/>
            <v:line style="position:absolute" from="4677,1027" to="4677,1027" stroked="true" strokeweight=".5pt" strokecolor="#929292"/>
            <v:line style="position:absolute" from="4677,1170" to="4677,1041" stroked="true" strokeweight=".5pt" strokecolor="#929292">
              <v:stroke dashstyle="dash"/>
            </v:line>
            <v:shape style="position:absolute;left:0;top:5121;width:2;height:171" coordorigin="0,5121" coordsize="0,171" path="m4677,1198l4677,1198m4677,1027l4677,1027e" filled="false" stroked="true" strokeweight=".5pt" strokecolor="#929292">
              <v:path arrowok="t"/>
            </v:shape>
            <v:line style="position:absolute" from="4677,1027" to="4677,1027" stroked="true" strokeweight=".5pt" strokecolor="#929292"/>
            <v:line style="position:absolute" from="4677,1198" to="4677,1198" stroked="true" strokeweight=".5pt" strokecolor="#929292"/>
            <v:line style="position:absolute" from="4677,1341" to="4677,1212" stroked="true" strokeweight=".5pt" strokecolor="#929292">
              <v:stroke dashstyle="dash"/>
            </v:line>
            <v:shape style="position:absolute;left:0;top:5121;width:2;height:171" coordorigin="0,5121" coordsize="0,171" path="m4677,1369l4677,1369m4677,1198l4677,1198e" filled="false" stroked="true" strokeweight=".5pt" strokecolor="#929292">
              <v:path arrowok="t"/>
            </v:shape>
            <v:line style="position:absolute" from="4677,1198" to="4677,1198" stroked="true" strokeweight=".5pt" strokecolor="#929292"/>
            <v:line style="position:absolute" from="4677,1369" to="4677,1369" stroked="true" strokeweight=".5pt" strokecolor="#929292"/>
            <v:line style="position:absolute" from="4677,1511" to="4677,1383" stroked="true" strokeweight=".5pt" strokecolor="#929292">
              <v:stroke dashstyle="dash"/>
            </v:line>
            <v:shape style="position:absolute;left:0;top:5121;width:2;height:171" coordorigin="0,5121" coordsize="0,171" path="m4677,1540l4677,1540m4677,1369l4677,1369e" filled="false" stroked="true" strokeweight=".5pt" strokecolor="#929292">
              <v:path arrowok="t"/>
            </v:shape>
            <v:line style="position:absolute" from="4677,1369" to="4677,1369" stroked="true" strokeweight=".5pt" strokecolor="#929292"/>
            <v:line style="position:absolute" from="4677,1540" to="4677,1540" stroked="true" strokeweight=".5pt" strokecolor="#929292"/>
            <v:line style="position:absolute" from="4677,1682" to="4677,1554" stroked="true" strokeweight=".5pt" strokecolor="#929292">
              <v:stroke dashstyle="dash"/>
            </v:line>
            <v:shape style="position:absolute;left:0;top:5121;width:2;height:171" coordorigin="0,5121" coordsize="0,171" path="m4677,1711l4677,1711m4677,1540l4677,1540e" filled="false" stroked="true" strokeweight=".5pt" strokecolor="#929292">
              <v:path arrowok="t"/>
            </v:shape>
            <v:line style="position:absolute" from="4677,1540" to="4677,1540" stroked="true" strokeweight=".5pt" strokecolor="#929292"/>
            <v:line style="position:absolute" from="4677,1711" to="4677,1711" stroked="true" strokeweight=".5pt" strokecolor="#929292"/>
            <v:line style="position:absolute" from="4677,2051" to="4677,1726" stroked="true" strokeweight=".5pt" strokecolor="#929292">
              <v:stroke dashstyle="dash"/>
            </v:line>
            <v:shape style="position:absolute;left:0;top:4921;width:2;height:371" coordorigin="0,4921" coordsize="0,371" path="m4677,2082l4677,2082m4677,1711l4677,1711e" filled="false" stroked="true" strokeweight=".5pt" strokecolor="#929292">
              <v:path arrowok="t"/>
            </v:shape>
            <v:line style="position:absolute" from="4677,1711" to="4677,1711" stroked="true" strokeweight=".5pt" strokecolor="#929292"/>
            <v:line style="position:absolute" from="4677,2082" to="4677,2082" stroked="true" strokeweight=".5pt" strokecolor="#929292"/>
            <v:line style="position:absolute" from="4677,2224" to="4677,2096" stroked="true" strokeweight=".5pt" strokecolor="#929292">
              <v:stroke dashstyle="dash"/>
            </v:line>
            <v:shape style="position:absolute;left:0;top:5121;width:2;height:171" coordorigin="0,5121" coordsize="0,171" path="m4677,2253l4677,2253m4677,2082l4677,2082e" filled="false" stroked="true" strokeweight=".5pt" strokecolor="#929292">
              <v:path arrowok="t"/>
            </v:shape>
            <v:line style="position:absolute" from="7377,514" to="7377,292" stroked="true" strokeweight=".5pt" strokecolor="#ffffff"/>
            <v:shape style="position:absolute;left:0;top:5070;width:2;height:223" coordorigin="0,5070" coordsize="0,223" path="m7377,514l7377,514m7377,292l7377,292e" filled="false" stroked="true" strokeweight=".5pt" strokecolor="#929292">
              <v:path arrowok="t"/>
            </v:shape>
            <v:line style="position:absolute" from="7377,657" to="7377,529" stroked="true" strokeweight=".5pt" strokecolor="#929292">
              <v:stroke dashstyle="dash"/>
            </v:line>
            <v:shape style="position:absolute;left:0;top:5121;width:2;height:171" coordorigin="0,5121" coordsize="0,171" path="m7377,685l7377,685m7377,514l7377,514e" filled="false" stroked="true" strokeweight=".5pt" strokecolor="#929292">
              <v:path arrowok="t"/>
            </v:shape>
            <v:line style="position:absolute" from="7377,685" to="7377,685" stroked="true" strokeweight=".5pt" strokecolor="#929292"/>
            <v:line style="position:absolute" from="7377,828" to="7377,700" stroked="true" strokeweight=".5pt" strokecolor="#929292">
              <v:stroke dashstyle="dash"/>
            </v:line>
            <v:shape style="position:absolute;left:0;top:5121;width:2;height:171" coordorigin="0,5121" coordsize="0,171" path="m7377,856l7377,856m7377,685l7377,685e" filled="false" stroked="true" strokeweight=".5pt" strokecolor="#929292">
              <v:path arrowok="t"/>
            </v:shape>
            <v:line style="position:absolute" from="7377,685" to="7377,685" stroked="true" strokeweight=".5pt" strokecolor="#929292"/>
            <v:line style="position:absolute" from="7377,856" to="7377,856" stroked="true" strokeweight=".5pt" strokecolor="#929292"/>
            <v:line style="position:absolute" from="7377,999" to="7377,871" stroked="true" strokeweight=".5pt" strokecolor="#929292">
              <v:stroke dashstyle="dash"/>
            </v:line>
            <v:shape style="position:absolute;left:0;top:5121;width:2;height:171" coordorigin="0,5121" coordsize="0,171" path="m7377,1027l7377,1027m7377,856l7377,856e" filled="false" stroked="true" strokeweight=".5pt" strokecolor="#929292">
              <v:path arrowok="t"/>
            </v:shape>
            <v:line style="position:absolute" from="7377,856" to="7377,856" stroked="true" strokeweight=".5pt" strokecolor="#929292"/>
            <v:line style="position:absolute" from="7377,1027" to="7377,1027" stroked="true" strokeweight=".5pt" strokecolor="#929292"/>
            <v:line style="position:absolute" from="7377,1170" to="7377,1041" stroked="true" strokeweight=".5pt" strokecolor="#929292">
              <v:stroke dashstyle="dash"/>
            </v:line>
            <v:shape style="position:absolute;left:0;top:5121;width:2;height:171" coordorigin="0,5121" coordsize="0,171" path="m7377,1198l7377,1198m7377,1027l7377,1027e" filled="false" stroked="true" strokeweight=".5pt" strokecolor="#929292">
              <v:path arrowok="t"/>
            </v:shape>
            <v:line style="position:absolute" from="7377,1027" to="7377,1027" stroked="true" strokeweight=".5pt" strokecolor="#929292"/>
            <v:line style="position:absolute" from="7377,1198" to="7377,1198" stroked="true" strokeweight=".5pt" strokecolor="#929292"/>
            <v:line style="position:absolute" from="7377,1341" to="7377,1212" stroked="true" strokeweight=".5pt" strokecolor="#929292">
              <v:stroke dashstyle="dash"/>
            </v:line>
            <v:shape style="position:absolute;left:0;top:5121;width:2;height:171" coordorigin="0,5121" coordsize="0,171" path="m7377,1369l7377,1369m7377,1198l7377,1198e" filled="false" stroked="true" strokeweight=".5pt" strokecolor="#929292">
              <v:path arrowok="t"/>
            </v:shape>
            <v:line style="position:absolute" from="7377,1198" to="7377,1198" stroked="true" strokeweight=".5pt" strokecolor="#929292"/>
            <v:line style="position:absolute" from="7377,1369" to="7377,1369" stroked="true" strokeweight=".5pt" strokecolor="#929292"/>
            <v:line style="position:absolute" from="7377,1511" to="7377,1383" stroked="true" strokeweight=".5pt" strokecolor="#929292">
              <v:stroke dashstyle="dash"/>
            </v:line>
            <v:shape style="position:absolute;left:0;top:5121;width:2;height:171" coordorigin="0,5121" coordsize="0,171" path="m7377,1540l7377,1540m7377,1369l7377,1369e" filled="false" stroked="true" strokeweight=".5pt" strokecolor="#929292">
              <v:path arrowok="t"/>
            </v:shape>
            <v:line style="position:absolute" from="7377,1369" to="7377,1369" stroked="true" strokeweight=".5pt" strokecolor="#929292"/>
            <v:line style="position:absolute" from="7377,1540" to="7377,1540" stroked="true" strokeweight=".5pt" strokecolor="#929292"/>
            <v:line style="position:absolute" from="7377,1682" to="7377,1554" stroked="true" strokeweight=".5pt" strokecolor="#929292">
              <v:stroke dashstyle="dash"/>
            </v:line>
            <v:shape style="position:absolute;left:0;top:5121;width:2;height:171" coordorigin="0,5121" coordsize="0,171" path="m7377,1711l7377,1711m7377,1540l7377,1540e" filled="false" stroked="true" strokeweight=".5pt" strokecolor="#929292">
              <v:path arrowok="t"/>
            </v:shape>
            <v:line style="position:absolute" from="7377,1540" to="7377,1540" stroked="true" strokeweight=".5pt" strokecolor="#929292"/>
            <v:line style="position:absolute" from="7377,1711" to="7377,1711" stroked="true" strokeweight=".5pt" strokecolor="#929292"/>
            <v:line style="position:absolute" from="7377,2051" to="7377,1726" stroked="true" strokeweight=".5pt" strokecolor="#929292">
              <v:stroke dashstyle="dash"/>
            </v:line>
            <v:shape style="position:absolute;left:0;top:4921;width:2;height:371" coordorigin="0,4921" coordsize="0,371" path="m7377,2082l7377,2082m7377,1711l7377,1711e" filled="false" stroked="true" strokeweight=".5pt" strokecolor="#929292">
              <v:path arrowok="t"/>
            </v:shape>
            <v:line style="position:absolute" from="7377,1711" to="7377,1711" stroked="true" strokeweight=".5pt" strokecolor="#929292"/>
            <v:line style="position:absolute" from="4707,2082" to="7362,2082" stroked="true" strokeweight=".5pt" strokecolor="#929292">
              <v:stroke dashstyle="dash"/>
            </v:line>
            <v:shape style="position:absolute;left:0;top:5292;width:2700;height:2" coordorigin="0,5292" coordsize="2700,0" path="m4677,2082l4677,2082m7377,2082l7377,2082e" filled="false" stroked="true" strokeweight=".5pt" strokecolor="#929292">
              <v:path arrowok="t"/>
            </v:shape>
            <v:line style="position:absolute" from="7377,2224" to="7377,2096" stroked="true" strokeweight=".5pt" strokecolor="#929292">
              <v:stroke dashstyle="dash"/>
            </v:line>
            <v:shape style="position:absolute;left:0;top:5121;width:2;height:171" coordorigin="0,5121" coordsize="0,171" path="m7377,2253l7377,2253m7377,2082l7377,2082e" filled="false" stroked="true" strokeweight=".5pt" strokecolor="#929292">
              <v:path arrowok="t"/>
            </v:shape>
            <v:line style="position:absolute" from="7407,2082" to="8490,2082" stroked="true" strokeweight=".5pt" strokecolor="#929292">
              <v:stroke dashstyle="dash"/>
            </v:line>
            <v:shape style="position:absolute;left:0;top:5292;width:1128;height:2" coordorigin="0,5292" coordsize="1128,0" path="m7377,2082l7377,2082m8505,2082l8505,2082e" filled="false" stroked="true" strokeweight=".5pt" strokecolor="#929292">
              <v:path arrowok="t"/>
            </v:shape>
            <v:line style="position:absolute" from="4677,2253" to="4677,2253" stroked="true" strokeweight=".5pt" strokecolor="#929292"/>
            <v:line style="position:absolute" from="4677,2395" to="4677,2267" stroked="true" strokeweight=".5pt" strokecolor="#929292">
              <v:stroke dashstyle="dash"/>
            </v:line>
            <v:shape style="position:absolute;left:0;top:5121;width:2;height:171" coordorigin="0,5121" coordsize="0,171" path="m4677,2424l4677,2424m4677,2253l4677,2253e" filled="false" stroked="true" strokeweight=".5pt" strokecolor="#929292">
              <v:path arrowok="t"/>
            </v:shape>
            <v:shape style="position:absolute;left:0;top:5292;width:2700;height:2" coordorigin="0,5292" coordsize="2700,0" path="m4677,2253l4677,2253m7377,2253l7377,2253e" filled="false" stroked="true" strokeweight=".5pt" strokecolor="#929292">
              <v:path arrowok="t"/>
            </v:shape>
            <v:line style="position:absolute" from="7377,2395" to="7377,2267" stroked="true" strokeweight=".5pt" strokecolor="#929292">
              <v:stroke dashstyle="dash"/>
            </v:line>
            <v:shape style="position:absolute;left:0;top:5121;width:2;height:171" coordorigin="0,5121" coordsize="0,171" path="m7377,2424l7377,2424m7377,2253l7377,2253e" filled="false" stroked="true" strokeweight=".5pt" strokecolor="#929292">
              <v:path arrowok="t"/>
            </v:shape>
            <v:shape style="position:absolute;left:0;top:5292;width:1128;height:2" coordorigin="0,5292" coordsize="1128,0" path="m7377,2253l7377,2253m8505,2253l8505,2253e" filled="false" stroked="true" strokeweight=".5pt" strokecolor="#929292">
              <v:path arrowok="t"/>
            </v:shape>
            <v:line style="position:absolute" from="4677,2424" to="4677,2424" stroked="true" strokeweight=".5pt" strokecolor="#929292"/>
            <v:line style="position:absolute" from="4677,2566" to="4677,2438" stroked="true" strokeweight=".5pt" strokecolor="#929292">
              <v:stroke dashstyle="dash"/>
            </v:line>
            <v:shape style="position:absolute;left:0;top:5121;width:2;height:171" coordorigin="0,5121" coordsize="0,171" path="m4677,2595l4677,2595m4677,2424l4677,2424e" filled="false" stroked="true" strokeweight=".5pt" strokecolor="#929292">
              <v:path arrowok="t"/>
            </v:shape>
            <v:shape style="position:absolute;left:0;top:5292;width:2700;height:2" coordorigin="0,5292" coordsize="2700,0" path="m4677,2424l4677,2424m7377,2424l7377,2424e" filled="false" stroked="true" strokeweight=".5pt" strokecolor="#929292">
              <v:path arrowok="t"/>
            </v:shape>
            <v:line style="position:absolute" from="7377,2566" to="7377,2438" stroked="true" strokeweight=".5pt" strokecolor="#929292">
              <v:stroke dashstyle="dash"/>
            </v:line>
            <v:shape style="position:absolute;left:0;top:5121;width:2;height:171" coordorigin="0,5121" coordsize="0,171" path="m7377,2595l7377,2595m7377,2424l7377,2424e" filled="false" stroked="true" strokeweight=".5pt" strokecolor="#929292">
              <v:path arrowok="t"/>
            </v:shape>
            <v:shape style="position:absolute;left:0;top:5292;width:1128;height:2" coordorigin="0,5292" coordsize="1128,0" path="m7377,2424l7377,2424m8505,2424l8505,2424e" filled="false" stroked="true" strokeweight=".5pt" strokecolor="#929292">
              <v:path arrowok="t"/>
            </v:shape>
            <v:line style="position:absolute" from="4677,2595" to="4677,2595" stroked="true" strokeweight=".5pt" strokecolor="#929292"/>
            <v:line style="position:absolute" from="4677,2737" to="4677,2609" stroked="true" strokeweight=".5pt" strokecolor="#929292">
              <v:stroke dashstyle="dash"/>
            </v:line>
            <v:shape style="position:absolute;left:0;top:5121;width:2;height:171" coordorigin="0,5121" coordsize="0,171" path="m4677,2766l4677,2766m4677,2595l4677,2595e" filled="false" stroked="true" strokeweight=".5pt" strokecolor="#929292">
              <v:path arrowok="t"/>
            </v:shape>
            <v:shape style="position:absolute;left:0;top:5292;width:2700;height:2" coordorigin="0,5292" coordsize="2700,0" path="m4677,2595l4677,2595m7377,2595l7377,2595e" filled="false" stroked="true" strokeweight=".5pt" strokecolor="#929292">
              <v:path arrowok="t"/>
            </v:shape>
            <v:line style="position:absolute" from="7377,2737" to="7377,2609" stroked="true" strokeweight=".5pt" strokecolor="#929292">
              <v:stroke dashstyle="dash"/>
            </v:line>
            <v:shape style="position:absolute;left:0;top:5121;width:2;height:171" coordorigin="0,5121" coordsize="0,171" path="m7377,2766l7377,2766m7377,2595l7377,2595e" filled="false" stroked="true" strokeweight=".5pt" strokecolor="#929292">
              <v:path arrowok="t"/>
            </v:shape>
            <v:shape style="position:absolute;left:0;top:5292;width:1128;height:2" coordorigin="0,5292" coordsize="1128,0" path="m7377,2595l7377,2595m8505,2595l8505,2595e" filled="false" stroked="true" strokeweight=".5pt" strokecolor="#929292">
              <v:path arrowok="t"/>
            </v:shape>
            <v:line style="position:absolute" from="4677,2766" to="4677,2766" stroked="true" strokeweight=".5pt" strokecolor="#929292"/>
            <v:line style="position:absolute" from="4677,2908" to="4677,2780" stroked="true" strokeweight=".5pt" strokecolor="#929292">
              <v:stroke dashstyle="dash"/>
            </v:line>
            <v:line style="position:absolute" from="4677,2766" to="4677,2766" stroked="true" strokeweight=".5pt" strokecolor="#929292"/>
            <v:shape style="position:absolute;left:0;top:5292;width:2700;height:2" coordorigin="0,5292" coordsize="2700,0" path="m4677,2766l4677,2766m7377,2766l7377,2766e" filled="false" stroked="true" strokeweight=".5pt" strokecolor="#929292">
              <v:path arrowok="t"/>
            </v:shape>
            <v:line style="position:absolute" from="7377,2908" to="7377,2780" stroked="true" strokeweight=".5pt" strokecolor="#929292">
              <v:stroke dashstyle="dash"/>
            </v:line>
            <v:line style="position:absolute" from="7377,2766" to="7377,2766" stroked="true" strokeweight=".5pt" strokecolor="#929292"/>
            <v:shape style="position:absolute;left:0;top:5292;width:1128;height:2" coordorigin="0,5292" coordsize="1128,0" path="m7377,2766l7377,2766m8505,2766l8505,2766e" filled="false" stroked="true" strokeweight=".5pt" strokecolor="#929292">
              <v:path arrowok="t"/>
            </v:shape>
            <w10:wrap type="none"/>
          </v:group>
        </w:pict>
      </w:r>
      <w:r>
        <w:rPr/>
        <w:pict>
          <v:line style="position:absolute;mso-position-horizontal-relative:page;mso-position-vertical-relative:paragraph;z-index:19168" from="42.884499pt,34.2663pt" to="42.884499pt,34.2663pt" stroked="true" strokeweight=".5pt" strokecolor="#929292">
            <w10:wrap type="none"/>
          </v:line>
        </w:pict>
      </w:r>
      <w:r>
        <w:rPr/>
        <w:pict>
          <v:line style="position:absolute;mso-position-horizontal-relative:page;mso-position-vertical-relative:paragraph;z-index:19192" from="425.264801pt,34.2663pt" to="425.264801pt,34.2663pt" stroked="true" strokeweight=".5pt" strokecolor="#929292">
            <w10:wrap type="none"/>
          </v:line>
        </w:pict>
      </w:r>
      <w:r>
        <w:rPr/>
        <w:pict>
          <v:line style="position:absolute;mso-position-horizontal-relative:page;mso-position-vertical-relative:paragraph;z-index:19216" from="42.884499pt,42.812901pt" to="42.884499pt,42.812901pt" stroked="true" strokeweight=".5pt" strokecolor="#929292">
            <w10:wrap type="none"/>
          </v:line>
        </w:pict>
      </w:r>
      <w:r>
        <w:rPr/>
        <w:pict>
          <v:line style="position:absolute;mso-position-horizontal-relative:page;mso-position-vertical-relative:paragraph;z-index:19240" from="425.264801pt,42.812901pt" to="425.264801pt,42.812901pt" stroked="true" strokeweight=".5pt" strokecolor="#929292">
            <w10:wrap type="none"/>
          </v:line>
        </w:pict>
      </w:r>
      <w:r>
        <w:rPr/>
        <w:pict>
          <v:line style="position:absolute;mso-position-horizontal-relative:page;mso-position-vertical-relative:paragraph;z-index:19264" from="42.884499pt,51.359501pt" to="42.884499pt,51.359501pt" stroked="true" strokeweight=".5pt" strokecolor="#929292">
            <w10:wrap type="none"/>
          </v:line>
        </w:pict>
      </w:r>
      <w:r>
        <w:rPr/>
        <w:pict>
          <v:line style="position:absolute;mso-position-horizontal-relative:page;mso-position-vertical-relative:paragraph;z-index:19288" from="425.264801pt,51.359501pt" to="425.264801pt,51.359501pt" stroked="true" strokeweight=".5pt" strokecolor="#929292">
            <w10:wrap type="none"/>
          </v:line>
        </w:pict>
      </w:r>
      <w:r>
        <w:rPr/>
        <w:pict>
          <v:line style="position:absolute;mso-position-horizontal-relative:page;mso-position-vertical-relative:paragraph;z-index:19312" from="42.884499pt,59.906002pt" to="42.884499pt,59.906002pt" stroked="true" strokeweight=".5pt" strokecolor="#929292">
            <w10:wrap type="none"/>
          </v:line>
        </w:pict>
      </w:r>
      <w:r>
        <w:rPr/>
        <w:pict>
          <v:line style="position:absolute;mso-position-horizontal-relative:page;mso-position-vertical-relative:paragraph;z-index:19336" from="425.264801pt,59.906002pt" to="425.264801pt,59.906002pt" stroked="true" strokeweight=".5pt" strokecolor="#929292">
            <w10:wrap type="none"/>
          </v:line>
        </w:pict>
      </w:r>
      <w:r>
        <w:rPr/>
        <w:pict>
          <v:line style="position:absolute;mso-position-horizontal-relative:page;mso-position-vertical-relative:paragraph;z-index:19360" from="42.884499pt,68.452599pt" to="42.884499pt,68.452599pt" stroked="true" strokeweight=".5pt" strokecolor="#929292">
            <w10:wrap type="none"/>
          </v:line>
        </w:pict>
      </w:r>
      <w:r>
        <w:rPr/>
        <w:pict>
          <v:line style="position:absolute;mso-position-horizontal-relative:page;mso-position-vertical-relative:paragraph;z-index:19384" from="425.264801pt,68.452599pt" to="425.264801pt,68.452599pt" stroked="true" strokeweight=".5pt" strokecolor="#929292">
            <w10:wrap type="none"/>
          </v:line>
        </w:pict>
      </w:r>
      <w:r>
        <w:rPr/>
        <w:pict>
          <v:line style="position:absolute;mso-position-horizontal-relative:page;mso-position-vertical-relative:paragraph;z-index:19408" from="42.884499pt,76.9991pt" to="42.884499pt,76.9991pt" stroked="true" strokeweight=".5pt" strokecolor="#929292">
            <w10:wrap type="none"/>
          </v:line>
        </w:pict>
      </w:r>
      <w:r>
        <w:rPr/>
        <w:pict>
          <v:line style="position:absolute;mso-position-horizontal-relative:page;mso-position-vertical-relative:paragraph;z-index:19432" from="425.264801pt,76.9991pt" to="425.264801pt,76.9991pt" stroked="true" strokeweight=".5pt" strokecolor="#929292">
            <w10:wrap type="none"/>
          </v:line>
        </w:pict>
      </w:r>
      <w:r>
        <w:rPr/>
        <w:pict>
          <v:shape style="position:absolute;margin-left:42.633999pt;margin-top:14.338202pt;width:382.9pt;height:131.1pt;mso-position-horizontal-relative:page;mso-position-vertical-relative:paragraph;z-index:195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8"/>
                    <w:gridCol w:w="2765"/>
                    <w:gridCol w:w="2990"/>
                    <w:gridCol w:w="1195"/>
                  </w:tblGrid>
                  <w:tr>
                    <w:trPr>
                      <w:trHeight w:val="228" w:hRule="exact"/>
                    </w:trPr>
                    <w:tc>
                      <w:tcPr>
                        <w:tcW w:w="708" w:type="dxa"/>
                        <w:tcBorders>
                          <w:right w:val="single" w:sz="4" w:space="0" w:color="FFFFFF"/>
                        </w:tcBorders>
                        <w:shd w:val="clear" w:color="auto" w:fill="929292"/>
                      </w:tcPr>
                      <w:p>
                        <w:pPr>
                          <w:pStyle w:val="TableParagraph"/>
                          <w:spacing w:before="21"/>
                          <w:ind w:left="108"/>
                          <w:rPr>
                            <w:sz w:val="16"/>
                          </w:rPr>
                        </w:pPr>
                        <w:r>
                          <w:rPr>
                            <w:sz w:val="16"/>
                          </w:rPr>
                          <w:t>No.</w:t>
                        </w:r>
                      </w:p>
                    </w:tc>
                    <w:tc>
                      <w:tcPr>
                        <w:tcW w:w="2765" w:type="dxa"/>
                        <w:tcBorders>
                          <w:left w:val="single" w:sz="4" w:space="0" w:color="FFFFFF"/>
                        </w:tcBorders>
                        <w:shd w:val="clear" w:color="auto" w:fill="929292"/>
                      </w:tcPr>
                      <w:p>
                        <w:pPr>
                          <w:pStyle w:val="TableParagraph"/>
                          <w:spacing w:before="21"/>
                          <w:ind w:left="103"/>
                          <w:rPr>
                            <w:sz w:val="16"/>
                          </w:rPr>
                        </w:pPr>
                        <w:r>
                          <w:rPr>
                            <w:sz w:val="16"/>
                          </w:rPr>
                          <w:t>Variable de vulnerabilidad</w:t>
                        </w:r>
                      </w:p>
                    </w:tc>
                    <w:tc>
                      <w:tcPr>
                        <w:tcW w:w="2990" w:type="dxa"/>
                        <w:shd w:val="clear" w:color="auto" w:fill="929292"/>
                      </w:tcPr>
                      <w:p>
                        <w:pPr>
                          <w:pStyle w:val="TableParagraph"/>
                          <w:spacing w:before="21"/>
                          <w:ind w:left="459"/>
                          <w:rPr>
                            <w:sz w:val="16"/>
                          </w:rPr>
                        </w:pPr>
                        <w:r>
                          <w:rPr>
                            <w:sz w:val="16"/>
                          </w:rPr>
                          <w:t>Fraccionamiento Villas del Campo</w:t>
                        </w:r>
                      </w:p>
                    </w:tc>
                    <w:tc>
                      <w:tcPr>
                        <w:tcW w:w="1195" w:type="dxa"/>
                        <w:shd w:val="clear" w:color="auto" w:fill="929292"/>
                      </w:tcPr>
                      <w:p>
                        <w:pPr>
                          <w:pStyle w:val="TableParagraph"/>
                          <w:spacing w:before="21"/>
                          <w:ind w:left="169"/>
                          <w:rPr>
                            <w:sz w:val="16"/>
                          </w:rPr>
                        </w:pPr>
                        <w:r>
                          <w:rPr>
                            <w:sz w:val="16"/>
                          </w:rPr>
                          <w:t>Puntuación</w:t>
                        </w:r>
                      </w:p>
                    </w:tc>
                  </w:tr>
                  <w:tr>
                    <w:trPr>
                      <w:trHeight w:val="177" w:hRule="exact"/>
                    </w:trPr>
                    <w:tc>
                      <w:tcPr>
                        <w:tcW w:w="708" w:type="dxa"/>
                        <w:tcBorders>
                          <w:right w:val="single" w:sz="4" w:space="0" w:color="929292"/>
                        </w:tcBorders>
                      </w:tcPr>
                      <w:p>
                        <w:pPr>
                          <w:pStyle w:val="TableParagraph"/>
                          <w:tabs>
                            <w:tab w:pos="692" w:val="left" w:leader="none"/>
                          </w:tabs>
                          <w:spacing w:line="176" w:lineRule="exact"/>
                          <w:ind w:left="35"/>
                          <w:rPr>
                            <w:sz w:val="16"/>
                          </w:rPr>
                        </w:pPr>
                        <w:r>
                          <w:rPr>
                            <w:w w:val="100"/>
                            <w:sz w:val="16"/>
                            <w:u w:val="dotted" w:color="929292"/>
                          </w:rPr>
                          <w:t> </w:t>
                        </w:r>
                        <w:r>
                          <w:rPr>
                            <w:spacing w:val="-17"/>
                            <w:sz w:val="16"/>
                            <w:u w:val="dotted" w:color="929292"/>
                          </w:rPr>
                          <w:t> </w:t>
                        </w:r>
                        <w:r>
                          <w:rPr>
                            <w:sz w:val="16"/>
                            <w:u w:val="dotted" w:color="929292"/>
                          </w:rPr>
                          <w:t>1</w:t>
                          <w:tab/>
                        </w:r>
                      </w:p>
                    </w:tc>
                    <w:tc>
                      <w:tcPr>
                        <w:tcW w:w="2765" w:type="dxa"/>
                        <w:vMerge w:val="restart"/>
                        <w:tcBorders>
                          <w:left w:val="single" w:sz="4" w:space="0" w:color="929292"/>
                        </w:tcBorders>
                      </w:tcPr>
                      <w:p>
                        <w:pPr>
                          <w:pStyle w:val="TableParagraph"/>
                          <w:tabs>
                            <w:tab w:pos="3096" w:val="left" w:leader="none"/>
                          </w:tabs>
                          <w:spacing w:line="170" w:lineRule="exact"/>
                          <w:ind w:left="24" w:right="-337"/>
                          <w:rPr>
                            <w:sz w:val="16"/>
                          </w:rPr>
                        </w:pPr>
                        <w:r>
                          <w:rPr>
                            <w:w w:val="100"/>
                            <w:sz w:val="16"/>
                            <w:u w:val="dotted" w:color="929292"/>
                          </w:rPr>
                          <w:t> </w:t>
                        </w:r>
                        <w:r>
                          <w:rPr>
                            <w:spacing w:val="-11"/>
                            <w:sz w:val="16"/>
                            <w:u w:val="dotted" w:color="929292"/>
                          </w:rPr>
                          <w:t> </w:t>
                        </w:r>
                        <w:r>
                          <w:rPr>
                            <w:sz w:val="16"/>
                            <w:u w:val="dotted" w:color="929292"/>
                          </w:rPr>
                          <w:t>Sistema</w:t>
                        </w:r>
                        <w:r>
                          <w:rPr>
                            <w:spacing w:val="11"/>
                            <w:sz w:val="16"/>
                            <w:u w:val="dotted" w:color="929292"/>
                          </w:rPr>
                          <w:t> </w:t>
                        </w:r>
                        <w:r>
                          <w:rPr>
                            <w:sz w:val="16"/>
                            <w:u w:val="dotted" w:color="929292"/>
                          </w:rPr>
                          <w:t>estructural</w:t>
                          <w:tab/>
                        </w:r>
                      </w:p>
                      <w:p>
                        <w:pPr>
                          <w:pStyle w:val="TableParagraph"/>
                          <w:tabs>
                            <w:tab w:pos="3096" w:val="left" w:leader="none"/>
                          </w:tabs>
                          <w:spacing w:line="171" w:lineRule="exact"/>
                          <w:ind w:left="24" w:right="-337"/>
                          <w:rPr>
                            <w:sz w:val="16"/>
                          </w:rPr>
                        </w:pPr>
                        <w:r>
                          <w:rPr>
                            <w:w w:val="100"/>
                            <w:sz w:val="16"/>
                            <w:u w:val="dotted" w:color="929292"/>
                          </w:rPr>
                          <w:t> </w:t>
                        </w:r>
                        <w:r>
                          <w:rPr>
                            <w:spacing w:val="-11"/>
                            <w:sz w:val="16"/>
                            <w:u w:val="dotted" w:color="929292"/>
                          </w:rPr>
                          <w:t> </w:t>
                        </w:r>
                        <w:r>
                          <w:rPr>
                            <w:sz w:val="16"/>
                            <w:u w:val="dotted" w:color="929292"/>
                          </w:rPr>
                          <w:t>Tipo de materiales en</w:t>
                        </w:r>
                        <w:r>
                          <w:rPr>
                            <w:spacing w:val="2"/>
                            <w:sz w:val="16"/>
                            <w:u w:val="dotted" w:color="929292"/>
                          </w:rPr>
                          <w:t> </w:t>
                        </w:r>
                        <w:r>
                          <w:rPr>
                            <w:sz w:val="16"/>
                            <w:u w:val="dotted" w:color="929292"/>
                          </w:rPr>
                          <w:t>paredes</w:t>
                          <w:tab/>
                        </w:r>
                      </w:p>
                      <w:p>
                        <w:pPr>
                          <w:pStyle w:val="TableParagraph"/>
                          <w:tabs>
                            <w:tab w:pos="3096" w:val="left" w:leader="none"/>
                          </w:tabs>
                          <w:spacing w:line="171" w:lineRule="exact"/>
                          <w:ind w:left="24" w:right="-337"/>
                          <w:rPr>
                            <w:sz w:val="16"/>
                          </w:rPr>
                        </w:pPr>
                        <w:r>
                          <w:rPr>
                            <w:w w:val="100"/>
                            <w:sz w:val="16"/>
                            <w:u w:val="dotted" w:color="929292"/>
                          </w:rPr>
                          <w:t> </w:t>
                        </w:r>
                        <w:r>
                          <w:rPr>
                            <w:spacing w:val="-11"/>
                            <w:sz w:val="16"/>
                            <w:u w:val="dotted" w:color="929292"/>
                          </w:rPr>
                          <w:t> </w:t>
                        </w:r>
                        <w:r>
                          <w:rPr>
                            <w:sz w:val="16"/>
                            <w:u w:val="dotted" w:color="929292"/>
                          </w:rPr>
                          <w:t>Tipo de</w:t>
                        </w:r>
                        <w:r>
                          <w:rPr>
                            <w:spacing w:val="17"/>
                            <w:sz w:val="16"/>
                            <w:u w:val="dotted" w:color="929292"/>
                          </w:rPr>
                          <w:t> </w:t>
                        </w:r>
                        <w:r>
                          <w:rPr>
                            <w:sz w:val="16"/>
                            <w:u w:val="dotted" w:color="929292"/>
                          </w:rPr>
                          <w:t>cubierta</w:t>
                          <w:tab/>
                        </w:r>
                      </w:p>
                      <w:p>
                        <w:pPr>
                          <w:pStyle w:val="TableParagraph"/>
                          <w:tabs>
                            <w:tab w:pos="3096" w:val="left" w:leader="none"/>
                          </w:tabs>
                          <w:spacing w:line="171" w:lineRule="exact"/>
                          <w:ind w:left="24" w:right="-337"/>
                          <w:rPr>
                            <w:sz w:val="16"/>
                          </w:rPr>
                        </w:pPr>
                        <w:r>
                          <w:rPr>
                            <w:w w:val="100"/>
                            <w:sz w:val="16"/>
                            <w:u w:val="dotted" w:color="929292"/>
                          </w:rPr>
                          <w:t> </w:t>
                        </w:r>
                        <w:r>
                          <w:rPr>
                            <w:spacing w:val="-11"/>
                            <w:sz w:val="16"/>
                            <w:u w:val="dotted" w:color="929292"/>
                          </w:rPr>
                          <w:t> </w:t>
                        </w:r>
                        <w:r>
                          <w:rPr>
                            <w:sz w:val="16"/>
                            <w:u w:val="dotted" w:color="929292"/>
                          </w:rPr>
                          <w:t>Sistema de</w:t>
                        </w:r>
                        <w:r>
                          <w:rPr>
                            <w:spacing w:val="11"/>
                            <w:sz w:val="16"/>
                            <w:u w:val="dotted" w:color="929292"/>
                          </w:rPr>
                          <w:t> </w:t>
                        </w:r>
                        <w:r>
                          <w:rPr>
                            <w:sz w:val="16"/>
                            <w:u w:val="dotted" w:color="929292"/>
                          </w:rPr>
                          <w:t>entrepisos</w:t>
                          <w:tab/>
                        </w:r>
                      </w:p>
                      <w:p>
                        <w:pPr>
                          <w:pStyle w:val="TableParagraph"/>
                          <w:tabs>
                            <w:tab w:pos="3096" w:val="left" w:leader="none"/>
                          </w:tabs>
                          <w:spacing w:line="171" w:lineRule="exact"/>
                          <w:ind w:left="24" w:right="-337"/>
                          <w:rPr>
                            <w:sz w:val="16"/>
                          </w:rPr>
                        </w:pPr>
                        <w:r>
                          <w:rPr>
                            <w:w w:val="100"/>
                            <w:sz w:val="16"/>
                            <w:u w:val="dotted" w:color="929292"/>
                          </w:rPr>
                          <w:t> </w:t>
                        </w:r>
                        <w:r>
                          <w:rPr>
                            <w:spacing w:val="-11"/>
                            <w:sz w:val="16"/>
                            <w:u w:val="dotted" w:color="929292"/>
                          </w:rPr>
                          <w:t> </w:t>
                        </w:r>
                        <w:r>
                          <w:rPr>
                            <w:sz w:val="16"/>
                            <w:u w:val="dotted" w:color="929292"/>
                          </w:rPr>
                          <w:t>Número de</w:t>
                        </w:r>
                        <w:r>
                          <w:rPr>
                            <w:spacing w:val="14"/>
                            <w:sz w:val="16"/>
                            <w:u w:val="dotted" w:color="929292"/>
                          </w:rPr>
                          <w:t> </w:t>
                        </w:r>
                        <w:r>
                          <w:rPr>
                            <w:sz w:val="16"/>
                            <w:u w:val="dotted" w:color="929292"/>
                          </w:rPr>
                          <w:t>pisos</w:t>
                          <w:tab/>
                        </w:r>
                      </w:p>
                      <w:p>
                        <w:pPr>
                          <w:pStyle w:val="TableParagraph"/>
                          <w:tabs>
                            <w:tab w:pos="3096" w:val="left" w:leader="none"/>
                          </w:tabs>
                          <w:spacing w:line="171" w:lineRule="exact"/>
                          <w:ind w:left="24" w:right="-337"/>
                          <w:rPr>
                            <w:sz w:val="16"/>
                          </w:rPr>
                        </w:pPr>
                        <w:r>
                          <w:rPr>
                            <w:w w:val="100"/>
                            <w:sz w:val="16"/>
                            <w:u w:val="dotted" w:color="929292"/>
                          </w:rPr>
                          <w:t> </w:t>
                        </w:r>
                        <w:r>
                          <w:rPr>
                            <w:spacing w:val="-11"/>
                            <w:sz w:val="16"/>
                            <w:u w:val="dotted" w:color="929292"/>
                          </w:rPr>
                          <w:t> </w:t>
                        </w:r>
                        <w:r>
                          <w:rPr>
                            <w:sz w:val="16"/>
                            <w:u w:val="dotted" w:color="929292"/>
                          </w:rPr>
                          <w:t>Año de</w:t>
                        </w:r>
                        <w:r>
                          <w:rPr>
                            <w:spacing w:val="31"/>
                            <w:sz w:val="16"/>
                            <w:u w:val="dotted" w:color="929292"/>
                          </w:rPr>
                          <w:t> </w:t>
                        </w:r>
                        <w:r>
                          <w:rPr>
                            <w:sz w:val="16"/>
                            <w:u w:val="dotted" w:color="929292"/>
                          </w:rPr>
                          <w:t>construcción</w:t>
                          <w:tab/>
                        </w:r>
                      </w:p>
                      <w:p>
                        <w:pPr>
                          <w:pStyle w:val="TableParagraph"/>
                          <w:tabs>
                            <w:tab w:pos="3096" w:val="left" w:leader="none"/>
                          </w:tabs>
                          <w:spacing w:line="170" w:lineRule="exact" w:before="7"/>
                          <w:ind w:left="102" w:right="-337" w:hanging="79"/>
                          <w:rPr>
                            <w:sz w:val="16"/>
                          </w:rPr>
                        </w:pPr>
                        <w:r>
                          <w:rPr>
                            <w:w w:val="100"/>
                            <w:sz w:val="16"/>
                            <w:u w:val="dotted" w:color="929292"/>
                          </w:rPr>
                          <w:t> </w:t>
                        </w:r>
                        <w:r>
                          <w:rPr>
                            <w:spacing w:val="-11"/>
                            <w:sz w:val="16"/>
                            <w:u w:val="dotted" w:color="929292"/>
                          </w:rPr>
                          <w:t> </w:t>
                        </w:r>
                        <w:r>
                          <w:rPr>
                            <w:sz w:val="16"/>
                            <w:u w:val="dotted" w:color="929292"/>
                          </w:rPr>
                          <w:t>Estado</w:t>
                        </w:r>
                        <w:r>
                          <w:rPr>
                            <w:spacing w:val="8"/>
                            <w:sz w:val="16"/>
                            <w:u w:val="dotted" w:color="929292"/>
                          </w:rPr>
                          <w:t> </w:t>
                        </w:r>
                        <w:r>
                          <w:rPr>
                            <w:sz w:val="16"/>
                            <w:u w:val="dotted" w:color="929292"/>
                          </w:rPr>
                          <w:t>de</w:t>
                        </w:r>
                        <w:r>
                          <w:rPr>
                            <w:spacing w:val="8"/>
                            <w:sz w:val="16"/>
                            <w:u w:val="dotted" w:color="929292"/>
                          </w:rPr>
                          <w:t> </w:t>
                        </w:r>
                        <w:r>
                          <w:rPr>
                            <w:sz w:val="16"/>
                            <w:u w:val="dotted" w:color="929292"/>
                          </w:rPr>
                          <w:t>conservación</w:t>
                          <w:tab/>
                        </w:r>
                        <w:r>
                          <w:rPr>
                            <w:sz w:val="16"/>
                          </w:rPr>
                          <w:t> Características del suelo bajo</w:t>
                        </w:r>
                        <w:r>
                          <w:rPr>
                            <w:spacing w:val="7"/>
                            <w:sz w:val="16"/>
                          </w:rPr>
                          <w:t> </w:t>
                        </w:r>
                        <w:r>
                          <w:rPr>
                            <w:sz w:val="16"/>
                          </w:rPr>
                          <w:t>la</w:t>
                        </w:r>
                      </w:p>
                      <w:p>
                        <w:pPr>
                          <w:pStyle w:val="TableParagraph"/>
                          <w:tabs>
                            <w:tab w:pos="3096" w:val="left" w:leader="none"/>
                          </w:tabs>
                          <w:spacing w:line="177" w:lineRule="exact" w:before="16"/>
                          <w:ind w:left="24" w:right="-337"/>
                          <w:rPr>
                            <w:sz w:val="16"/>
                          </w:rPr>
                        </w:pPr>
                        <w:r>
                          <w:rPr>
                            <w:w w:val="100"/>
                            <w:sz w:val="16"/>
                            <w:u w:val="dotted" w:color="929292"/>
                          </w:rPr>
                          <w:t> </w:t>
                        </w:r>
                        <w:r>
                          <w:rPr>
                            <w:spacing w:val="-11"/>
                            <w:sz w:val="16"/>
                            <w:u w:val="dotted" w:color="929292"/>
                          </w:rPr>
                          <w:t> </w:t>
                        </w:r>
                        <w:r>
                          <w:rPr>
                            <w:sz w:val="16"/>
                            <w:u w:val="dotted" w:color="929292"/>
                          </w:rPr>
                          <w:t>edificación</w:t>
                          <w:tab/>
                        </w:r>
                      </w:p>
                      <w:p>
                        <w:pPr>
                          <w:pStyle w:val="TableParagraph"/>
                          <w:tabs>
                            <w:tab w:pos="3096" w:val="left" w:leader="none"/>
                          </w:tabs>
                          <w:spacing w:line="171" w:lineRule="exact"/>
                          <w:ind w:left="24" w:right="-337"/>
                          <w:rPr>
                            <w:sz w:val="16"/>
                          </w:rPr>
                        </w:pPr>
                        <w:r>
                          <w:rPr>
                            <w:w w:val="100"/>
                            <w:sz w:val="16"/>
                            <w:u w:val="dotted" w:color="929292"/>
                          </w:rPr>
                          <w:t> </w:t>
                        </w:r>
                        <w:r>
                          <w:rPr>
                            <w:spacing w:val="-11"/>
                            <w:sz w:val="16"/>
                            <w:u w:val="dotted" w:color="929292"/>
                          </w:rPr>
                          <w:t> </w:t>
                        </w:r>
                        <w:r>
                          <w:rPr>
                            <w:sz w:val="16"/>
                            <w:u w:val="dotted" w:color="929292"/>
                          </w:rPr>
                          <w:t>Topografía del</w:t>
                        </w:r>
                        <w:r>
                          <w:rPr>
                            <w:spacing w:val="7"/>
                            <w:sz w:val="16"/>
                            <w:u w:val="dotted" w:color="929292"/>
                          </w:rPr>
                          <w:t> </w:t>
                        </w:r>
                        <w:r>
                          <w:rPr>
                            <w:sz w:val="16"/>
                            <w:u w:val="dotted" w:color="929292"/>
                          </w:rPr>
                          <w:t>sitio</w:t>
                          <w:tab/>
                        </w:r>
                      </w:p>
                      <w:p>
                        <w:pPr>
                          <w:pStyle w:val="TableParagraph"/>
                          <w:tabs>
                            <w:tab w:pos="3096" w:val="left" w:leader="none"/>
                          </w:tabs>
                          <w:spacing w:line="171" w:lineRule="exact"/>
                          <w:ind w:left="24" w:right="-337"/>
                          <w:rPr>
                            <w:sz w:val="16"/>
                          </w:rPr>
                        </w:pPr>
                        <w:r>
                          <w:rPr>
                            <w:w w:val="100"/>
                            <w:sz w:val="16"/>
                            <w:u w:val="dotted" w:color="929292"/>
                          </w:rPr>
                          <w:t> </w:t>
                        </w:r>
                        <w:r>
                          <w:rPr>
                            <w:spacing w:val="-11"/>
                            <w:sz w:val="16"/>
                            <w:u w:val="dotted" w:color="929292"/>
                          </w:rPr>
                          <w:t> </w:t>
                        </w:r>
                        <w:r>
                          <w:rPr>
                            <w:sz w:val="16"/>
                            <w:u w:val="dotted" w:color="929292"/>
                          </w:rPr>
                          <w:t>Forma de</w:t>
                        </w:r>
                        <w:r>
                          <w:rPr>
                            <w:spacing w:val="29"/>
                            <w:sz w:val="16"/>
                            <w:u w:val="dotted" w:color="929292"/>
                          </w:rPr>
                          <w:t> </w:t>
                        </w:r>
                        <w:r>
                          <w:rPr>
                            <w:sz w:val="16"/>
                            <w:u w:val="dotted" w:color="929292"/>
                          </w:rPr>
                          <w:t>construcción</w:t>
                          <w:tab/>
                        </w:r>
                      </w:p>
                      <w:p>
                        <w:pPr>
                          <w:pStyle w:val="TableParagraph"/>
                          <w:tabs>
                            <w:tab w:pos="3096" w:val="left" w:leader="none"/>
                          </w:tabs>
                          <w:spacing w:line="171" w:lineRule="exact"/>
                          <w:ind w:left="24" w:right="-337"/>
                          <w:rPr>
                            <w:sz w:val="16"/>
                          </w:rPr>
                        </w:pPr>
                        <w:r>
                          <w:rPr>
                            <w:w w:val="100"/>
                            <w:sz w:val="16"/>
                            <w:u w:val="dotted" w:color="929292"/>
                          </w:rPr>
                          <w:t> </w:t>
                        </w:r>
                        <w:r>
                          <w:rPr>
                            <w:spacing w:val="-11"/>
                            <w:sz w:val="16"/>
                            <w:u w:val="dotted" w:color="929292"/>
                          </w:rPr>
                          <w:t> </w:t>
                        </w:r>
                        <w:r>
                          <w:rPr>
                            <w:sz w:val="16"/>
                            <w:u w:val="dotted" w:color="929292"/>
                          </w:rPr>
                          <w:t>Superficie de</w:t>
                        </w:r>
                        <w:r>
                          <w:rPr>
                            <w:spacing w:val="37"/>
                            <w:sz w:val="16"/>
                            <w:u w:val="dotted" w:color="929292"/>
                          </w:rPr>
                          <w:t> </w:t>
                        </w:r>
                        <w:r>
                          <w:rPr>
                            <w:sz w:val="16"/>
                            <w:u w:val="dotted" w:color="929292"/>
                          </w:rPr>
                          <w:t>construcción</w:t>
                          <w:tab/>
                        </w:r>
                      </w:p>
                      <w:p>
                        <w:pPr>
                          <w:pStyle w:val="TableParagraph"/>
                          <w:tabs>
                            <w:tab w:pos="3096" w:val="left" w:leader="none"/>
                          </w:tabs>
                          <w:spacing w:line="171" w:lineRule="exact"/>
                          <w:ind w:left="24" w:right="-337"/>
                          <w:rPr>
                            <w:sz w:val="16"/>
                          </w:rPr>
                        </w:pPr>
                        <w:r>
                          <w:rPr>
                            <w:w w:val="100"/>
                            <w:sz w:val="16"/>
                            <w:u w:val="dotted" w:color="929292"/>
                          </w:rPr>
                          <w:t> </w:t>
                        </w:r>
                        <w:r>
                          <w:rPr>
                            <w:spacing w:val="-11"/>
                            <w:sz w:val="16"/>
                            <w:u w:val="dotted" w:color="929292"/>
                          </w:rPr>
                          <w:t> </w:t>
                        </w:r>
                        <w:r>
                          <w:rPr>
                            <w:sz w:val="16"/>
                            <w:u w:val="dotted" w:color="929292"/>
                          </w:rPr>
                          <w:t>Identificación</w:t>
                          <w:tab/>
                        </w:r>
                      </w:p>
                      <w:p>
                        <w:pPr>
                          <w:pStyle w:val="TableParagraph"/>
                          <w:tabs>
                            <w:tab w:pos="3096" w:val="left" w:leader="none"/>
                          </w:tabs>
                          <w:spacing w:line="177" w:lineRule="exact"/>
                          <w:ind w:left="24" w:right="-337"/>
                          <w:rPr>
                            <w:sz w:val="16"/>
                          </w:rPr>
                        </w:pPr>
                        <w:r>
                          <w:rPr>
                            <w:w w:val="100"/>
                            <w:sz w:val="16"/>
                            <w:u w:val="dotted" w:color="929292"/>
                          </w:rPr>
                          <w:t> </w:t>
                        </w:r>
                        <w:r>
                          <w:rPr>
                            <w:spacing w:val="-11"/>
                            <w:sz w:val="16"/>
                            <w:u w:val="dotted" w:color="929292"/>
                          </w:rPr>
                          <w:t> </w:t>
                        </w:r>
                        <w:r>
                          <w:rPr>
                            <w:sz w:val="16"/>
                            <w:u w:val="dotted" w:color="929292"/>
                          </w:rPr>
                          <w:t>Exposición</w:t>
                          <w:tab/>
                        </w:r>
                      </w:p>
                    </w:tc>
                    <w:tc>
                      <w:tcPr>
                        <w:tcW w:w="2990" w:type="dxa"/>
                        <w:vMerge w:val="restart"/>
                      </w:tcPr>
                      <w:p>
                        <w:pPr>
                          <w:pStyle w:val="TableParagraph"/>
                          <w:tabs>
                            <w:tab w:pos="3036" w:val="left" w:leader="none"/>
                          </w:tabs>
                          <w:spacing w:line="170" w:lineRule="exact"/>
                          <w:ind w:left="381" w:right="-47"/>
                          <w:rPr>
                            <w:sz w:val="16"/>
                          </w:rPr>
                        </w:pPr>
                        <w:r>
                          <w:rPr>
                            <w:w w:val="100"/>
                            <w:sz w:val="16"/>
                            <w:u w:val="dotted" w:color="929292"/>
                          </w:rPr>
                          <w:t> </w:t>
                        </w:r>
                        <w:r>
                          <w:rPr>
                            <w:spacing w:val="-11"/>
                            <w:sz w:val="16"/>
                            <w:u w:val="dotted" w:color="929292"/>
                          </w:rPr>
                          <w:t> </w:t>
                        </w:r>
                        <w:r>
                          <w:rPr>
                            <w:sz w:val="16"/>
                            <w:u w:val="dotted" w:color="929292"/>
                          </w:rPr>
                          <w:t>Hormigón</w:t>
                        </w:r>
                        <w:r>
                          <w:rPr>
                            <w:spacing w:val="17"/>
                            <w:sz w:val="16"/>
                            <w:u w:val="dotted" w:color="929292"/>
                          </w:rPr>
                          <w:t> </w:t>
                        </w:r>
                        <w:r>
                          <w:rPr>
                            <w:sz w:val="16"/>
                            <w:u w:val="dotted" w:color="929292"/>
                          </w:rPr>
                          <w:t>armado</w:t>
                          <w:tab/>
                        </w:r>
                      </w:p>
                      <w:p>
                        <w:pPr>
                          <w:pStyle w:val="TableParagraph"/>
                          <w:tabs>
                            <w:tab w:pos="3036" w:val="left" w:leader="none"/>
                          </w:tabs>
                          <w:spacing w:line="171" w:lineRule="exact"/>
                          <w:ind w:left="381" w:right="-47"/>
                          <w:rPr>
                            <w:sz w:val="16"/>
                          </w:rPr>
                        </w:pPr>
                        <w:r>
                          <w:rPr>
                            <w:w w:val="100"/>
                            <w:sz w:val="16"/>
                            <w:u w:val="dotted" w:color="929292"/>
                          </w:rPr>
                          <w:t> </w:t>
                        </w:r>
                        <w:r>
                          <w:rPr>
                            <w:spacing w:val="-11"/>
                            <w:sz w:val="16"/>
                            <w:u w:val="dotted" w:color="929292"/>
                          </w:rPr>
                          <w:t> </w:t>
                        </w:r>
                        <w:r>
                          <w:rPr>
                            <w:sz w:val="16"/>
                            <w:u w:val="dotted" w:color="929292"/>
                          </w:rPr>
                          <w:t>Pared de bloque</w:t>
                        </w:r>
                        <w:r>
                          <w:rPr>
                            <w:spacing w:val="-7"/>
                            <w:sz w:val="16"/>
                            <w:u w:val="dotted" w:color="929292"/>
                          </w:rPr>
                          <w:t> </w:t>
                        </w:r>
                        <w:r>
                          <w:rPr>
                            <w:sz w:val="16"/>
                            <w:u w:val="dotted" w:color="929292"/>
                          </w:rPr>
                          <w:t>(hueco)</w:t>
                          <w:tab/>
                        </w:r>
                      </w:p>
                      <w:p>
                        <w:pPr>
                          <w:pStyle w:val="TableParagraph"/>
                          <w:tabs>
                            <w:tab w:pos="3036" w:val="left" w:leader="none"/>
                          </w:tabs>
                          <w:spacing w:line="171" w:lineRule="exact"/>
                          <w:ind w:left="381" w:right="-47"/>
                          <w:rPr>
                            <w:sz w:val="16"/>
                          </w:rPr>
                        </w:pPr>
                        <w:r>
                          <w:rPr>
                            <w:w w:val="100"/>
                            <w:sz w:val="16"/>
                            <w:u w:val="dotted" w:color="929292"/>
                          </w:rPr>
                          <w:t> </w:t>
                        </w:r>
                        <w:r>
                          <w:rPr>
                            <w:spacing w:val="-11"/>
                            <w:sz w:val="16"/>
                            <w:u w:val="dotted" w:color="929292"/>
                          </w:rPr>
                          <w:t> </w:t>
                        </w:r>
                        <w:r>
                          <w:rPr>
                            <w:sz w:val="16"/>
                            <w:u w:val="dotted" w:color="929292"/>
                          </w:rPr>
                          <w:t>Losa de hormigón</w:t>
                        </w:r>
                        <w:r>
                          <w:rPr>
                            <w:spacing w:val="20"/>
                            <w:sz w:val="16"/>
                            <w:u w:val="dotted" w:color="929292"/>
                          </w:rPr>
                          <w:t> </w:t>
                        </w:r>
                        <w:r>
                          <w:rPr>
                            <w:sz w:val="16"/>
                            <w:u w:val="dotted" w:color="929292"/>
                          </w:rPr>
                          <w:t>armado</w:t>
                          <w:tab/>
                        </w:r>
                      </w:p>
                      <w:p>
                        <w:pPr>
                          <w:pStyle w:val="TableParagraph"/>
                          <w:tabs>
                            <w:tab w:pos="3036" w:val="left" w:leader="none"/>
                          </w:tabs>
                          <w:spacing w:line="171" w:lineRule="exact"/>
                          <w:ind w:left="381" w:right="-47"/>
                          <w:rPr>
                            <w:sz w:val="16"/>
                          </w:rPr>
                        </w:pPr>
                        <w:r>
                          <w:rPr>
                            <w:w w:val="100"/>
                            <w:sz w:val="16"/>
                            <w:u w:val="dotted" w:color="929292"/>
                          </w:rPr>
                          <w:t> </w:t>
                        </w:r>
                        <w:r>
                          <w:rPr>
                            <w:spacing w:val="-11"/>
                            <w:sz w:val="16"/>
                            <w:u w:val="dotted" w:color="929292"/>
                          </w:rPr>
                          <w:t> </w:t>
                        </w:r>
                        <w:r>
                          <w:rPr>
                            <w:sz w:val="16"/>
                            <w:u w:val="dotted" w:color="929292"/>
                          </w:rPr>
                          <w:t>Losa de hormigón</w:t>
                        </w:r>
                        <w:r>
                          <w:rPr>
                            <w:spacing w:val="20"/>
                            <w:sz w:val="16"/>
                            <w:u w:val="dotted" w:color="929292"/>
                          </w:rPr>
                          <w:t> </w:t>
                        </w:r>
                        <w:r>
                          <w:rPr>
                            <w:sz w:val="16"/>
                            <w:u w:val="dotted" w:color="929292"/>
                          </w:rPr>
                          <w:t>armado</w:t>
                          <w:tab/>
                        </w:r>
                      </w:p>
                      <w:p>
                        <w:pPr>
                          <w:pStyle w:val="TableParagraph"/>
                          <w:tabs>
                            <w:tab w:pos="3036" w:val="left" w:leader="none"/>
                          </w:tabs>
                          <w:spacing w:line="171" w:lineRule="exact"/>
                          <w:ind w:left="381" w:right="-47"/>
                          <w:rPr>
                            <w:sz w:val="16"/>
                          </w:rPr>
                        </w:pPr>
                        <w:r>
                          <w:rPr>
                            <w:w w:val="100"/>
                            <w:sz w:val="16"/>
                            <w:u w:val="dotted" w:color="929292"/>
                          </w:rPr>
                          <w:t> </w:t>
                        </w:r>
                        <w:r>
                          <w:rPr>
                            <w:spacing w:val="-11"/>
                            <w:sz w:val="16"/>
                            <w:u w:val="dotted" w:color="929292"/>
                          </w:rPr>
                          <w:t> </w:t>
                        </w:r>
                        <w:r>
                          <w:rPr>
                            <w:sz w:val="16"/>
                            <w:u w:val="dotted" w:color="929292"/>
                          </w:rPr>
                          <w:t>2</w:t>
                        </w:r>
                        <w:r>
                          <w:rPr>
                            <w:spacing w:val="8"/>
                            <w:sz w:val="16"/>
                            <w:u w:val="dotted" w:color="929292"/>
                          </w:rPr>
                          <w:t> </w:t>
                        </w:r>
                        <w:r>
                          <w:rPr>
                            <w:sz w:val="16"/>
                            <w:u w:val="dotted" w:color="929292"/>
                          </w:rPr>
                          <w:t>pisos</w:t>
                          <w:tab/>
                        </w:r>
                      </w:p>
                      <w:p>
                        <w:pPr>
                          <w:pStyle w:val="TableParagraph"/>
                          <w:tabs>
                            <w:tab w:pos="3036" w:val="left" w:leader="none"/>
                          </w:tabs>
                          <w:spacing w:line="171" w:lineRule="exact"/>
                          <w:ind w:left="381" w:right="-47"/>
                          <w:rPr>
                            <w:sz w:val="16"/>
                          </w:rPr>
                        </w:pPr>
                        <w:r>
                          <w:rPr>
                            <w:w w:val="100"/>
                            <w:sz w:val="16"/>
                            <w:u w:val="dotted" w:color="929292"/>
                          </w:rPr>
                          <w:t> </w:t>
                        </w:r>
                        <w:r>
                          <w:rPr>
                            <w:spacing w:val="-11"/>
                            <w:sz w:val="16"/>
                            <w:u w:val="dotted" w:color="929292"/>
                          </w:rPr>
                          <w:t> </w:t>
                        </w:r>
                        <w:r>
                          <w:rPr>
                            <w:sz w:val="16"/>
                            <w:u w:val="dotted" w:color="929292"/>
                          </w:rPr>
                          <w:t>Entre 1986 y</w:t>
                        </w:r>
                        <w:r>
                          <w:rPr>
                            <w:spacing w:val="38"/>
                            <w:sz w:val="16"/>
                            <w:u w:val="dotted" w:color="929292"/>
                          </w:rPr>
                          <w:t> </w:t>
                        </w:r>
                        <w:r>
                          <w:rPr>
                            <w:sz w:val="16"/>
                            <w:u w:val="dotted" w:color="929292"/>
                          </w:rPr>
                          <w:t>2000</w:t>
                          <w:tab/>
                        </w:r>
                      </w:p>
                      <w:p>
                        <w:pPr>
                          <w:pStyle w:val="TableParagraph"/>
                          <w:tabs>
                            <w:tab w:pos="3036" w:val="left" w:leader="none"/>
                          </w:tabs>
                          <w:spacing w:line="352" w:lineRule="auto"/>
                          <w:ind w:left="459" w:right="-47" w:hanging="79"/>
                          <w:rPr>
                            <w:sz w:val="16"/>
                          </w:rPr>
                        </w:pPr>
                        <w:r>
                          <w:rPr>
                            <w:w w:val="100"/>
                            <w:sz w:val="16"/>
                            <w:u w:val="dotted" w:color="929292"/>
                          </w:rPr>
                          <w:t> </w:t>
                        </w:r>
                        <w:r>
                          <w:rPr>
                            <w:spacing w:val="-11"/>
                            <w:sz w:val="16"/>
                            <w:u w:val="dotted" w:color="929292"/>
                          </w:rPr>
                          <w:t> </w:t>
                        </w:r>
                        <w:r>
                          <w:rPr>
                            <w:sz w:val="16"/>
                            <w:u w:val="dotted" w:color="929292"/>
                          </w:rPr>
                          <w:t>Regular</w:t>
                          <w:tab/>
                        </w:r>
                        <w:r>
                          <w:rPr>
                            <w:sz w:val="16"/>
                          </w:rPr>
                          <w:t> Húmedo, blando,</w:t>
                        </w:r>
                        <w:r>
                          <w:rPr>
                            <w:spacing w:val="17"/>
                            <w:sz w:val="16"/>
                          </w:rPr>
                          <w:t> </w:t>
                        </w:r>
                        <w:r>
                          <w:rPr>
                            <w:sz w:val="16"/>
                          </w:rPr>
                          <w:t>relleno</w:t>
                        </w:r>
                      </w:p>
                      <w:p>
                        <w:pPr>
                          <w:pStyle w:val="TableParagraph"/>
                          <w:tabs>
                            <w:tab w:pos="3036" w:val="left" w:leader="none"/>
                          </w:tabs>
                          <w:spacing w:line="177" w:lineRule="exact" w:before="3"/>
                          <w:ind w:left="381" w:right="-47"/>
                          <w:rPr>
                            <w:sz w:val="16"/>
                          </w:rPr>
                        </w:pPr>
                        <w:r>
                          <w:rPr>
                            <w:w w:val="100"/>
                            <w:sz w:val="16"/>
                            <w:u w:val="dotted" w:color="929292"/>
                          </w:rPr>
                          <w:t> </w:t>
                        </w:r>
                        <w:r>
                          <w:rPr>
                            <w:spacing w:val="-11"/>
                            <w:sz w:val="16"/>
                            <w:u w:val="dotted" w:color="929292"/>
                          </w:rPr>
                          <w:t> </w:t>
                        </w:r>
                        <w:r>
                          <w:rPr>
                            <w:sz w:val="16"/>
                            <w:u w:val="dotted" w:color="929292"/>
                          </w:rPr>
                          <w:t>Terreno accidentado,</w:t>
                        </w:r>
                        <w:r>
                          <w:rPr>
                            <w:spacing w:val="10"/>
                            <w:sz w:val="16"/>
                            <w:u w:val="dotted" w:color="929292"/>
                          </w:rPr>
                          <w:t> </w:t>
                        </w:r>
                        <w:r>
                          <w:rPr>
                            <w:sz w:val="16"/>
                            <w:u w:val="dotted" w:color="929292"/>
                          </w:rPr>
                          <w:t>laderas</w:t>
                          <w:tab/>
                        </w:r>
                      </w:p>
                      <w:p>
                        <w:pPr>
                          <w:pStyle w:val="TableParagraph"/>
                          <w:tabs>
                            <w:tab w:pos="3036" w:val="left" w:leader="none"/>
                          </w:tabs>
                          <w:spacing w:line="171" w:lineRule="exact"/>
                          <w:ind w:left="381" w:right="-47"/>
                          <w:rPr>
                            <w:sz w:val="16"/>
                          </w:rPr>
                        </w:pPr>
                        <w:r>
                          <w:rPr>
                            <w:w w:val="100"/>
                            <w:sz w:val="16"/>
                            <w:u w:val="dotted" w:color="929292"/>
                          </w:rPr>
                          <w:t> </w:t>
                        </w:r>
                        <w:r>
                          <w:rPr>
                            <w:spacing w:val="-11"/>
                            <w:sz w:val="16"/>
                            <w:u w:val="dotted" w:color="929292"/>
                          </w:rPr>
                          <w:t> </w:t>
                        </w:r>
                        <w:r>
                          <w:rPr>
                            <w:sz w:val="16"/>
                            <w:u w:val="dotted" w:color="929292"/>
                          </w:rPr>
                          <w:t>Irregular  en</w:t>
                        </w:r>
                        <w:r>
                          <w:rPr>
                            <w:spacing w:val="-10"/>
                            <w:sz w:val="16"/>
                            <w:u w:val="dotted" w:color="929292"/>
                          </w:rPr>
                          <w:t> </w:t>
                        </w:r>
                        <w:r>
                          <w:rPr>
                            <w:sz w:val="16"/>
                            <w:u w:val="dotted" w:color="929292"/>
                          </w:rPr>
                          <w:t>altura</w:t>
                          <w:tab/>
                        </w:r>
                      </w:p>
                      <w:p>
                        <w:pPr>
                          <w:pStyle w:val="TableParagraph"/>
                          <w:tabs>
                            <w:tab w:pos="3036" w:val="left" w:leader="none"/>
                          </w:tabs>
                          <w:spacing w:line="171" w:lineRule="exact"/>
                          <w:ind w:left="381" w:right="-47"/>
                          <w:rPr>
                            <w:sz w:val="16"/>
                          </w:rPr>
                        </w:pPr>
                        <w:r>
                          <w:rPr>
                            <w:w w:val="100"/>
                            <w:sz w:val="16"/>
                            <w:u w:val="dotted" w:color="929292"/>
                          </w:rPr>
                          <w:t> </w:t>
                        </w:r>
                        <w:r>
                          <w:rPr>
                            <w:spacing w:val="-11"/>
                            <w:sz w:val="16"/>
                            <w:u w:val="dotted" w:color="929292"/>
                          </w:rPr>
                          <w:t> </w:t>
                        </w:r>
                        <w:r>
                          <w:rPr>
                            <w:sz w:val="16"/>
                            <w:u w:val="dotted" w:color="929292"/>
                          </w:rPr>
                          <w:t>80 m2, 95m2 y</w:t>
                        </w:r>
                        <w:r>
                          <w:rPr>
                            <w:spacing w:val="9"/>
                            <w:sz w:val="16"/>
                            <w:u w:val="dotted" w:color="929292"/>
                          </w:rPr>
                          <w:t> </w:t>
                        </w:r>
                        <w:r>
                          <w:rPr>
                            <w:sz w:val="16"/>
                            <w:u w:val="dotted" w:color="929292"/>
                          </w:rPr>
                          <w:t>117m2</w:t>
                          <w:tab/>
                        </w:r>
                      </w:p>
                      <w:p>
                        <w:pPr>
                          <w:pStyle w:val="TableParagraph"/>
                          <w:tabs>
                            <w:tab w:pos="3036" w:val="left" w:leader="none"/>
                          </w:tabs>
                          <w:spacing w:line="171" w:lineRule="exact"/>
                          <w:ind w:left="381" w:right="-47"/>
                          <w:rPr>
                            <w:sz w:val="16"/>
                          </w:rPr>
                        </w:pPr>
                        <w:r>
                          <w:rPr>
                            <w:w w:val="100"/>
                            <w:sz w:val="16"/>
                            <w:u w:val="dotted" w:color="929292"/>
                          </w:rPr>
                          <w:t> </w:t>
                        </w:r>
                        <w:r>
                          <w:rPr>
                            <w:spacing w:val="-11"/>
                            <w:sz w:val="16"/>
                            <w:u w:val="dotted" w:color="929292"/>
                          </w:rPr>
                          <w:t> </w:t>
                        </w:r>
                        <w:r>
                          <w:rPr>
                            <w:sz w:val="16"/>
                            <w:u w:val="dotted" w:color="929292"/>
                          </w:rPr>
                          <w:t>Sin</w:t>
                        </w:r>
                        <w:r>
                          <w:rPr>
                            <w:spacing w:val="8"/>
                            <w:sz w:val="16"/>
                            <w:u w:val="dotted" w:color="929292"/>
                          </w:rPr>
                          <w:t> </w:t>
                        </w:r>
                        <w:r>
                          <w:rPr>
                            <w:sz w:val="16"/>
                            <w:u w:val="dotted" w:color="929292"/>
                          </w:rPr>
                          <w:t>dato</w:t>
                          <w:tab/>
                        </w:r>
                      </w:p>
                      <w:p>
                        <w:pPr>
                          <w:pStyle w:val="TableParagraph"/>
                          <w:tabs>
                            <w:tab w:pos="3036" w:val="left" w:leader="none"/>
                          </w:tabs>
                          <w:spacing w:line="177" w:lineRule="exact"/>
                          <w:ind w:left="381" w:right="-47"/>
                          <w:rPr>
                            <w:sz w:val="16"/>
                          </w:rPr>
                        </w:pPr>
                        <w:r>
                          <w:rPr>
                            <w:w w:val="100"/>
                            <w:sz w:val="16"/>
                            <w:u w:val="dotted" w:color="929292"/>
                          </w:rPr>
                          <w:t> </w:t>
                        </w:r>
                        <w:r>
                          <w:rPr>
                            <w:spacing w:val="-11"/>
                            <w:sz w:val="16"/>
                            <w:u w:val="dotted" w:color="929292"/>
                          </w:rPr>
                          <w:t> </w:t>
                        </w:r>
                        <w:r>
                          <w:rPr>
                            <w:sz w:val="16"/>
                            <w:u w:val="dotted" w:color="929292"/>
                          </w:rPr>
                          <w:t>Menos de 10</w:t>
                        </w:r>
                        <w:r>
                          <w:rPr>
                            <w:spacing w:val="17"/>
                            <w:sz w:val="16"/>
                            <w:u w:val="dotted" w:color="929292"/>
                          </w:rPr>
                          <w:t> </w:t>
                        </w:r>
                        <w:r>
                          <w:rPr>
                            <w:sz w:val="16"/>
                            <w:u w:val="dotted" w:color="929292"/>
                          </w:rPr>
                          <w:t>metros</w:t>
                          <w:tab/>
                        </w:r>
                      </w:p>
                    </w:tc>
                    <w:tc>
                      <w:tcPr>
                        <w:tcW w:w="1195" w:type="dxa"/>
                        <w:vMerge w:val="restart"/>
                      </w:tcPr>
                      <w:p>
                        <w:pPr>
                          <w:pStyle w:val="TableParagraph"/>
                          <w:tabs>
                            <w:tab w:pos="1174" w:val="left" w:leader="none"/>
                          </w:tabs>
                          <w:spacing w:line="170" w:lineRule="exact"/>
                          <w:ind w:left="91"/>
                          <w:rPr>
                            <w:sz w:val="16"/>
                          </w:rPr>
                        </w:pPr>
                        <w:r>
                          <w:rPr>
                            <w:w w:val="100"/>
                            <w:sz w:val="16"/>
                            <w:u w:val="dotted" w:color="929292"/>
                          </w:rPr>
                          <w:t> </w:t>
                        </w:r>
                        <w:r>
                          <w:rPr>
                            <w:spacing w:val="-11"/>
                            <w:sz w:val="16"/>
                            <w:u w:val="dotted" w:color="929292"/>
                          </w:rPr>
                          <w:t> </w:t>
                        </w:r>
                        <w:r>
                          <w:rPr>
                            <w:sz w:val="16"/>
                            <w:u w:val="dotted" w:color="929292"/>
                          </w:rPr>
                          <w:t>5</w:t>
                          <w:tab/>
                        </w:r>
                      </w:p>
                      <w:p>
                        <w:pPr>
                          <w:pStyle w:val="TableParagraph"/>
                          <w:tabs>
                            <w:tab w:pos="1174" w:val="left" w:leader="none"/>
                          </w:tabs>
                          <w:spacing w:line="171" w:lineRule="exact"/>
                          <w:ind w:left="91"/>
                          <w:rPr>
                            <w:sz w:val="16"/>
                          </w:rPr>
                        </w:pPr>
                        <w:r>
                          <w:rPr>
                            <w:w w:val="100"/>
                            <w:sz w:val="16"/>
                            <w:u w:val="dotted" w:color="929292"/>
                          </w:rPr>
                          <w:t> </w:t>
                        </w:r>
                        <w:r>
                          <w:rPr>
                            <w:spacing w:val="-11"/>
                            <w:sz w:val="16"/>
                            <w:u w:val="dotted" w:color="929292"/>
                          </w:rPr>
                          <w:t> </w:t>
                        </w:r>
                        <w:r>
                          <w:rPr>
                            <w:sz w:val="16"/>
                            <w:u w:val="dotted" w:color="929292"/>
                          </w:rPr>
                          <w:t>5</w:t>
                          <w:tab/>
                        </w:r>
                      </w:p>
                      <w:p>
                        <w:pPr>
                          <w:pStyle w:val="TableParagraph"/>
                          <w:tabs>
                            <w:tab w:pos="1174" w:val="left" w:leader="none"/>
                          </w:tabs>
                          <w:spacing w:line="171" w:lineRule="exact"/>
                          <w:ind w:left="91"/>
                          <w:rPr>
                            <w:sz w:val="16"/>
                          </w:rPr>
                        </w:pPr>
                        <w:r>
                          <w:rPr>
                            <w:w w:val="100"/>
                            <w:sz w:val="16"/>
                            <w:u w:val="dotted" w:color="929292"/>
                          </w:rPr>
                          <w:t> </w:t>
                        </w:r>
                        <w:r>
                          <w:rPr>
                            <w:spacing w:val="-11"/>
                            <w:sz w:val="16"/>
                            <w:u w:val="dotted" w:color="929292"/>
                          </w:rPr>
                          <w:t> </w:t>
                        </w:r>
                        <w:r>
                          <w:rPr>
                            <w:sz w:val="16"/>
                            <w:u w:val="dotted" w:color="929292"/>
                          </w:rPr>
                          <w:t>NA</w:t>
                          <w:tab/>
                        </w:r>
                      </w:p>
                      <w:p>
                        <w:pPr>
                          <w:pStyle w:val="TableParagraph"/>
                          <w:tabs>
                            <w:tab w:pos="1174" w:val="left" w:leader="none"/>
                          </w:tabs>
                          <w:spacing w:line="171" w:lineRule="exact"/>
                          <w:ind w:left="91"/>
                          <w:rPr>
                            <w:sz w:val="16"/>
                          </w:rPr>
                        </w:pPr>
                        <w:r>
                          <w:rPr>
                            <w:w w:val="100"/>
                            <w:sz w:val="16"/>
                            <w:u w:val="dotted" w:color="929292"/>
                          </w:rPr>
                          <w:t> </w:t>
                        </w:r>
                        <w:r>
                          <w:rPr>
                            <w:spacing w:val="-11"/>
                            <w:sz w:val="16"/>
                            <w:u w:val="dotted" w:color="929292"/>
                          </w:rPr>
                          <w:t> </w:t>
                        </w:r>
                        <w:r>
                          <w:rPr>
                            <w:sz w:val="16"/>
                            <w:u w:val="dotted" w:color="929292"/>
                          </w:rPr>
                          <w:t>NA</w:t>
                          <w:tab/>
                        </w:r>
                      </w:p>
                      <w:p>
                        <w:pPr>
                          <w:pStyle w:val="TableParagraph"/>
                          <w:tabs>
                            <w:tab w:pos="1174" w:val="left" w:leader="none"/>
                          </w:tabs>
                          <w:spacing w:line="171" w:lineRule="exact"/>
                          <w:ind w:left="91"/>
                          <w:rPr>
                            <w:sz w:val="16"/>
                          </w:rPr>
                        </w:pPr>
                        <w:r>
                          <w:rPr>
                            <w:w w:val="100"/>
                            <w:sz w:val="16"/>
                            <w:u w:val="dotted" w:color="929292"/>
                          </w:rPr>
                          <w:t> </w:t>
                        </w:r>
                        <w:r>
                          <w:rPr>
                            <w:spacing w:val="-11"/>
                            <w:sz w:val="16"/>
                            <w:u w:val="dotted" w:color="929292"/>
                          </w:rPr>
                          <w:t> </w:t>
                        </w:r>
                        <w:r>
                          <w:rPr>
                            <w:sz w:val="16"/>
                            <w:u w:val="dotted" w:color="929292"/>
                          </w:rPr>
                          <w:t>5</w:t>
                          <w:tab/>
                        </w:r>
                      </w:p>
                      <w:p>
                        <w:pPr>
                          <w:pStyle w:val="TableParagraph"/>
                          <w:tabs>
                            <w:tab w:pos="1174" w:val="left" w:leader="none"/>
                          </w:tabs>
                          <w:spacing w:line="171" w:lineRule="exact"/>
                          <w:ind w:left="91"/>
                          <w:rPr>
                            <w:sz w:val="16"/>
                          </w:rPr>
                        </w:pPr>
                        <w:r>
                          <w:rPr>
                            <w:w w:val="100"/>
                            <w:sz w:val="16"/>
                            <w:u w:val="dotted" w:color="929292"/>
                          </w:rPr>
                          <w:t> </w:t>
                        </w:r>
                        <w:r>
                          <w:rPr>
                            <w:spacing w:val="-11"/>
                            <w:sz w:val="16"/>
                            <w:u w:val="dotted" w:color="929292"/>
                          </w:rPr>
                          <w:t> </w:t>
                        </w:r>
                        <w:r>
                          <w:rPr>
                            <w:sz w:val="16"/>
                            <w:u w:val="dotted" w:color="929292"/>
                          </w:rPr>
                          <w:t>1</w:t>
                          <w:tab/>
                        </w:r>
                      </w:p>
                      <w:p>
                        <w:pPr>
                          <w:pStyle w:val="TableParagraph"/>
                          <w:tabs>
                            <w:tab w:pos="1174" w:val="left" w:leader="none"/>
                          </w:tabs>
                          <w:spacing w:line="177" w:lineRule="exact"/>
                          <w:ind w:left="91"/>
                          <w:rPr>
                            <w:sz w:val="16"/>
                          </w:rPr>
                        </w:pPr>
                        <w:r>
                          <w:rPr>
                            <w:w w:val="100"/>
                            <w:sz w:val="16"/>
                            <w:u w:val="dotted" w:color="929292"/>
                          </w:rPr>
                          <w:t> </w:t>
                        </w:r>
                        <w:r>
                          <w:rPr>
                            <w:spacing w:val="-11"/>
                            <w:sz w:val="16"/>
                            <w:u w:val="dotted" w:color="929292"/>
                          </w:rPr>
                          <w:t> </w:t>
                        </w:r>
                        <w:r>
                          <w:rPr>
                            <w:sz w:val="16"/>
                            <w:u w:val="dotted" w:color="929292"/>
                          </w:rPr>
                          <w:t>5</w:t>
                          <w:tab/>
                        </w:r>
                      </w:p>
                      <w:p>
                        <w:pPr>
                          <w:pStyle w:val="TableParagraph"/>
                          <w:spacing w:before="87"/>
                          <w:ind w:left="169"/>
                          <w:rPr>
                            <w:sz w:val="16"/>
                          </w:rPr>
                        </w:pPr>
                        <w:r>
                          <w:rPr>
                            <w:w w:val="99"/>
                            <w:sz w:val="16"/>
                          </w:rPr>
                          <w:t>5</w:t>
                        </w:r>
                      </w:p>
                      <w:p>
                        <w:pPr>
                          <w:pStyle w:val="TableParagraph"/>
                          <w:tabs>
                            <w:tab w:pos="1174" w:val="left" w:leader="none"/>
                          </w:tabs>
                          <w:spacing w:line="177" w:lineRule="exact" w:before="87"/>
                          <w:ind w:left="91"/>
                          <w:rPr>
                            <w:sz w:val="16"/>
                          </w:rPr>
                        </w:pPr>
                        <w:r>
                          <w:rPr>
                            <w:w w:val="100"/>
                            <w:sz w:val="16"/>
                            <w:u w:val="dotted" w:color="929292"/>
                          </w:rPr>
                          <w:t> </w:t>
                        </w:r>
                        <w:r>
                          <w:rPr>
                            <w:spacing w:val="-11"/>
                            <w:sz w:val="16"/>
                            <w:u w:val="dotted" w:color="929292"/>
                          </w:rPr>
                          <w:t> </w:t>
                        </w:r>
                        <w:r>
                          <w:rPr>
                            <w:sz w:val="16"/>
                            <w:u w:val="dotted" w:color="929292"/>
                          </w:rPr>
                          <w:t>10</w:t>
                          <w:tab/>
                        </w:r>
                      </w:p>
                      <w:p>
                        <w:pPr>
                          <w:pStyle w:val="TableParagraph"/>
                          <w:tabs>
                            <w:tab w:pos="1174" w:val="left" w:leader="none"/>
                          </w:tabs>
                          <w:spacing w:line="171" w:lineRule="exact"/>
                          <w:ind w:left="91"/>
                          <w:rPr>
                            <w:sz w:val="16"/>
                          </w:rPr>
                        </w:pPr>
                        <w:r>
                          <w:rPr>
                            <w:w w:val="100"/>
                            <w:sz w:val="16"/>
                            <w:u w:val="dotted" w:color="929292"/>
                          </w:rPr>
                          <w:t> </w:t>
                        </w:r>
                        <w:r>
                          <w:rPr>
                            <w:spacing w:val="-11"/>
                            <w:sz w:val="16"/>
                            <w:u w:val="dotted" w:color="929292"/>
                          </w:rPr>
                          <w:t> </w:t>
                        </w:r>
                        <w:r>
                          <w:rPr>
                            <w:sz w:val="16"/>
                            <w:u w:val="dotted" w:color="929292"/>
                          </w:rPr>
                          <w:t>NA</w:t>
                          <w:tab/>
                        </w:r>
                      </w:p>
                      <w:p>
                        <w:pPr>
                          <w:pStyle w:val="TableParagraph"/>
                          <w:tabs>
                            <w:tab w:pos="1174" w:val="left" w:leader="none"/>
                          </w:tabs>
                          <w:spacing w:line="171" w:lineRule="exact"/>
                          <w:ind w:left="91"/>
                          <w:rPr>
                            <w:sz w:val="16"/>
                          </w:rPr>
                        </w:pPr>
                        <w:r>
                          <w:rPr>
                            <w:w w:val="100"/>
                            <w:sz w:val="16"/>
                            <w:u w:val="dotted" w:color="929292"/>
                          </w:rPr>
                          <w:t> </w:t>
                        </w:r>
                        <w:r>
                          <w:rPr>
                            <w:sz w:val="16"/>
                            <w:u w:val="dotted" w:color="929292"/>
                          </w:rPr>
                          <w:tab/>
                        </w:r>
                      </w:p>
                      <w:p>
                        <w:pPr>
                          <w:pStyle w:val="TableParagraph"/>
                          <w:tabs>
                            <w:tab w:pos="1174" w:val="left" w:leader="none"/>
                          </w:tabs>
                          <w:spacing w:line="171" w:lineRule="exact"/>
                          <w:ind w:left="91"/>
                          <w:rPr>
                            <w:sz w:val="16"/>
                          </w:rPr>
                        </w:pPr>
                        <w:r>
                          <w:rPr>
                            <w:w w:val="100"/>
                            <w:sz w:val="16"/>
                            <w:u w:val="dotted" w:color="929292"/>
                          </w:rPr>
                          <w:t> </w:t>
                        </w:r>
                        <w:r>
                          <w:rPr>
                            <w:sz w:val="16"/>
                            <w:u w:val="dotted" w:color="929292"/>
                          </w:rPr>
                          <w:tab/>
                        </w:r>
                      </w:p>
                      <w:p>
                        <w:pPr>
                          <w:pStyle w:val="TableParagraph"/>
                          <w:tabs>
                            <w:tab w:pos="1174" w:val="left" w:leader="none"/>
                          </w:tabs>
                          <w:spacing w:line="177" w:lineRule="exact"/>
                          <w:ind w:left="91"/>
                          <w:rPr>
                            <w:sz w:val="16"/>
                          </w:rPr>
                        </w:pPr>
                        <w:r>
                          <w:rPr>
                            <w:w w:val="100"/>
                            <w:sz w:val="16"/>
                            <w:u w:val="dotted" w:color="929292"/>
                          </w:rPr>
                          <w:t> </w:t>
                        </w:r>
                        <w:r>
                          <w:rPr>
                            <w:spacing w:val="-11"/>
                            <w:sz w:val="16"/>
                            <w:u w:val="dotted" w:color="929292"/>
                          </w:rPr>
                          <w:t> </w:t>
                        </w:r>
                        <w:r>
                          <w:rPr>
                            <w:sz w:val="16"/>
                            <w:u w:val="dotted" w:color="929292"/>
                          </w:rPr>
                          <w:t>10</w:t>
                          <w:tab/>
                        </w:r>
                      </w:p>
                    </w:tc>
                  </w:tr>
                  <w:tr>
                    <w:trPr>
                      <w:trHeight w:val="17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2</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7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3</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7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4</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7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5</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7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6</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22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7</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85" w:hRule="exact"/>
                    </w:trPr>
                    <w:tc>
                      <w:tcPr>
                        <w:tcW w:w="708" w:type="dxa"/>
                        <w:tcBorders>
                          <w:right w:val="single" w:sz="4" w:space="0" w:color="929292"/>
                        </w:tcBorders>
                      </w:tcPr>
                      <w:p>
                        <w:pPr>
                          <w:pStyle w:val="TableParagraph"/>
                          <w:spacing w:before="36"/>
                          <w:ind w:left="108"/>
                          <w:rPr>
                            <w:sz w:val="16"/>
                          </w:rPr>
                        </w:pPr>
                        <w:r>
                          <w:rPr>
                            <w:w w:val="99"/>
                            <w:sz w:val="16"/>
                          </w:rPr>
                          <w:t>8</w:t>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35" w:hRule="exact"/>
                    </w:trPr>
                    <w:tc>
                      <w:tcPr>
                        <w:tcW w:w="708" w:type="dxa"/>
                        <w:tcBorders>
                          <w:right w:val="single" w:sz="4" w:space="0" w:color="929292"/>
                        </w:tcBorders>
                      </w:tcPr>
                      <w:p>
                        <w:pPr>
                          <w:pStyle w:val="TableParagraph"/>
                          <w:tabs>
                            <w:tab w:pos="692" w:val="left" w:leader="none"/>
                          </w:tabs>
                          <w:spacing w:line="135" w:lineRule="exact"/>
                          <w:ind w:left="35"/>
                          <w:rPr>
                            <w:sz w:val="16"/>
                          </w:rPr>
                        </w:pPr>
                        <w:r>
                          <w:rPr>
                            <w:w w:val="100"/>
                            <w:sz w:val="16"/>
                            <w:u w:val="dotted" w:color="929292"/>
                          </w:rPr>
                          <w:t> </w:t>
                        </w:r>
                        <w:r>
                          <w:rPr>
                            <w:sz w:val="16"/>
                            <w:u w:val="dotted" w:color="929292"/>
                          </w:rPr>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7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9</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7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10</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7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11</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71"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12</w:t>
                          <w:tab/>
                        </w:r>
                      </w:p>
                    </w:tc>
                    <w:tc>
                      <w:tcPr>
                        <w:tcW w:w="2765" w:type="dxa"/>
                        <w:vMerge/>
                        <w:tcBorders>
                          <w:left w:val="single" w:sz="4" w:space="0" w:color="929292"/>
                        </w:tcBorders>
                      </w:tcPr>
                      <w:p>
                        <w:pPr/>
                      </w:p>
                    </w:tc>
                    <w:tc>
                      <w:tcPr>
                        <w:tcW w:w="2990" w:type="dxa"/>
                        <w:vMerge/>
                      </w:tcPr>
                      <w:p>
                        <w:pPr/>
                      </w:p>
                    </w:tc>
                    <w:tc>
                      <w:tcPr>
                        <w:tcW w:w="1195" w:type="dxa"/>
                        <w:vMerge/>
                      </w:tcPr>
                      <w:p>
                        <w:pPr/>
                      </w:p>
                    </w:tc>
                  </w:tr>
                  <w:tr>
                    <w:trPr>
                      <w:trHeight w:val="137" w:hRule="exact"/>
                    </w:trPr>
                    <w:tc>
                      <w:tcPr>
                        <w:tcW w:w="708" w:type="dxa"/>
                        <w:tcBorders>
                          <w:right w:val="single" w:sz="4" w:space="0" w:color="929292"/>
                        </w:tcBorders>
                      </w:tcPr>
                      <w:p>
                        <w:pPr>
                          <w:pStyle w:val="TableParagraph"/>
                          <w:tabs>
                            <w:tab w:pos="692" w:val="left" w:leader="none"/>
                          </w:tabs>
                          <w:spacing w:line="170" w:lineRule="exact"/>
                          <w:ind w:left="35"/>
                          <w:rPr>
                            <w:sz w:val="16"/>
                          </w:rPr>
                        </w:pPr>
                        <w:r>
                          <w:rPr>
                            <w:w w:val="100"/>
                            <w:sz w:val="16"/>
                            <w:u w:val="dotted" w:color="929292"/>
                          </w:rPr>
                          <w:t> </w:t>
                        </w:r>
                        <w:r>
                          <w:rPr>
                            <w:spacing w:val="-17"/>
                            <w:sz w:val="16"/>
                            <w:u w:val="dotted" w:color="929292"/>
                          </w:rPr>
                          <w:t> </w:t>
                        </w:r>
                        <w:r>
                          <w:rPr>
                            <w:sz w:val="16"/>
                            <w:u w:val="dotted" w:color="929292"/>
                          </w:rPr>
                          <w:t>13</w:t>
                          <w:tab/>
                        </w:r>
                      </w:p>
                    </w:tc>
                    <w:tc>
                      <w:tcPr>
                        <w:tcW w:w="2765" w:type="dxa"/>
                        <w:vMerge/>
                        <w:tcBorders>
                          <w:left w:val="single" w:sz="4" w:space="0" w:color="929292"/>
                        </w:tcBorders>
                      </w:tcPr>
                      <w:p>
                        <w:pPr/>
                      </w:p>
                    </w:tc>
                    <w:tc>
                      <w:tcPr>
                        <w:tcW w:w="2990" w:type="dxa"/>
                        <w:vMerge/>
                      </w:tcPr>
                      <w:p>
                        <w:pPr/>
                      </w:p>
                    </w:tc>
                    <w:tc>
                      <w:tcPr>
                        <w:tcW w:w="1195" w:type="dxa"/>
                        <w:vMerge/>
                      </w:tcPr>
                      <w:p>
                        <w:pPr/>
                      </w:p>
                    </w:tc>
                  </w:tr>
                </w:tbl>
                <w:p>
                  <w:pPr>
                    <w:pStyle w:val="BodyText"/>
                  </w:pPr>
                </w:p>
              </w:txbxContent>
            </v:textbox>
            <w10:wrap type="none"/>
          </v:shape>
        </w:pict>
      </w:r>
      <w:r>
        <w:rPr>
          <w:color w:val="6D6E71"/>
          <w:sz w:val="16"/>
        </w:rPr>
        <w:t>Tabla 9.  Puntuación de los indicadores para el fraccionamiento Villas del Campo</w:t>
      </w:r>
    </w:p>
    <w:p>
      <w:pPr>
        <w:pStyle w:val="BodyText"/>
        <w:rPr>
          <w:sz w:val="16"/>
        </w:rPr>
      </w:pPr>
      <w:r>
        <w:rPr/>
        <w:br w:type="column"/>
      </w:r>
      <w:r>
        <w:rPr>
          <w:sz w:val="16"/>
        </w:rPr>
      </w:r>
    </w:p>
    <w:p>
      <w:pPr>
        <w:pStyle w:val="BodyText"/>
        <w:spacing w:before="4"/>
        <w:rPr>
          <w:sz w:val="17"/>
        </w:rPr>
      </w:pPr>
    </w:p>
    <w:p>
      <w:pPr>
        <w:spacing w:line="312" w:lineRule="auto" w:before="0"/>
        <w:ind w:left="455" w:right="452" w:firstLine="0"/>
        <w:jc w:val="center"/>
        <w:rPr>
          <w:sz w:val="16"/>
        </w:rPr>
      </w:pPr>
      <w:r>
        <w:rPr>
          <w:color w:val="6D6E71"/>
          <w:sz w:val="16"/>
        </w:rPr>
        <w:t>Tabla 10. Puntuación de los indicadores de la zona urbana colindante con las minas Guadarrama y Magdalena</w:t>
      </w:r>
    </w:p>
    <w:p>
      <w:pPr>
        <w:pStyle w:val="BodyText"/>
        <w:spacing w:before="3"/>
        <w:rPr>
          <w:sz w:val="4"/>
        </w:rPr>
      </w:pPr>
    </w:p>
    <w:tbl>
      <w:tblPr>
        <w:tblW w:w="0" w:type="auto"/>
        <w:jc w:val="left"/>
        <w:tblInd w:w="127"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454"/>
        <w:gridCol w:w="2807"/>
        <w:gridCol w:w="3394"/>
        <w:gridCol w:w="1041"/>
      </w:tblGrid>
      <w:tr>
        <w:trPr>
          <w:trHeight w:val="600" w:hRule="exact"/>
        </w:trPr>
        <w:tc>
          <w:tcPr>
            <w:tcW w:w="454" w:type="dxa"/>
            <w:tcBorders>
              <w:top w:val="nil"/>
              <w:left w:val="nil"/>
              <w:bottom w:val="dotted" w:sz="4" w:space="0" w:color="FFFFFF"/>
              <w:right w:val="single" w:sz="4" w:space="0" w:color="FFFFFF"/>
            </w:tcBorders>
            <w:shd w:val="clear" w:color="auto" w:fill="929292"/>
          </w:tcPr>
          <w:p>
            <w:pPr>
              <w:pStyle w:val="TableParagraph"/>
              <w:rPr>
                <w:sz w:val="18"/>
              </w:rPr>
            </w:pPr>
          </w:p>
          <w:p>
            <w:pPr>
              <w:pStyle w:val="TableParagraph"/>
              <w:ind w:left="70"/>
              <w:rPr>
                <w:sz w:val="16"/>
              </w:rPr>
            </w:pPr>
            <w:r>
              <w:rPr>
                <w:sz w:val="16"/>
              </w:rPr>
              <w:t>No.</w:t>
            </w:r>
          </w:p>
        </w:tc>
        <w:tc>
          <w:tcPr>
            <w:tcW w:w="2807" w:type="dxa"/>
            <w:tcBorders>
              <w:top w:val="nil"/>
              <w:left w:val="single" w:sz="4" w:space="0" w:color="FFFFFF"/>
              <w:bottom w:val="dotted" w:sz="4" w:space="0" w:color="FFFFFF"/>
              <w:right w:val="single" w:sz="4" w:space="0" w:color="FFFFFF"/>
            </w:tcBorders>
            <w:shd w:val="clear" w:color="auto" w:fill="929292"/>
          </w:tcPr>
          <w:p>
            <w:pPr>
              <w:pStyle w:val="TableParagraph"/>
              <w:rPr>
                <w:sz w:val="18"/>
              </w:rPr>
            </w:pPr>
          </w:p>
          <w:p>
            <w:pPr>
              <w:pStyle w:val="TableParagraph"/>
              <w:ind w:left="65"/>
              <w:rPr>
                <w:sz w:val="16"/>
              </w:rPr>
            </w:pPr>
            <w:r>
              <w:rPr>
                <w:sz w:val="16"/>
              </w:rPr>
              <w:t>Variable de vulnerabilidad</w:t>
            </w:r>
          </w:p>
        </w:tc>
        <w:tc>
          <w:tcPr>
            <w:tcW w:w="3394" w:type="dxa"/>
            <w:tcBorders>
              <w:top w:val="nil"/>
              <w:left w:val="single" w:sz="4" w:space="0" w:color="FFFFFF"/>
              <w:bottom w:val="dotted" w:sz="4" w:space="0" w:color="FFFFFF"/>
              <w:right w:val="single" w:sz="4" w:space="0" w:color="FFFFFF"/>
            </w:tcBorders>
            <w:shd w:val="clear" w:color="auto" w:fill="929292"/>
          </w:tcPr>
          <w:p>
            <w:pPr>
              <w:pStyle w:val="TableParagraph"/>
              <w:spacing w:line="261" w:lineRule="auto" w:before="107"/>
              <w:ind w:left="65"/>
              <w:rPr>
                <w:sz w:val="16"/>
              </w:rPr>
            </w:pPr>
            <w:r>
              <w:rPr>
                <w:sz w:val="16"/>
              </w:rPr>
              <w:t>Zona urbana colindante con las minas Guadarrama y Magdalena</w:t>
            </w:r>
          </w:p>
        </w:tc>
        <w:tc>
          <w:tcPr>
            <w:tcW w:w="1041" w:type="dxa"/>
            <w:tcBorders>
              <w:top w:val="nil"/>
              <w:left w:val="single" w:sz="4" w:space="0" w:color="FFFFFF"/>
              <w:bottom w:val="dotted" w:sz="4" w:space="0" w:color="FFFFFF"/>
              <w:right w:val="nil"/>
            </w:tcBorders>
            <w:shd w:val="clear" w:color="auto" w:fill="929292"/>
          </w:tcPr>
          <w:p>
            <w:pPr>
              <w:pStyle w:val="TableParagraph"/>
              <w:rPr>
                <w:sz w:val="18"/>
              </w:rPr>
            </w:pPr>
          </w:p>
          <w:p>
            <w:pPr>
              <w:pStyle w:val="TableParagraph"/>
              <w:ind w:left="65" w:right="-5"/>
              <w:rPr>
                <w:sz w:val="16"/>
              </w:rPr>
            </w:pPr>
            <w:r>
              <w:rPr>
                <w:sz w:val="16"/>
              </w:rPr>
              <w:t>Puntuación</w:t>
            </w:r>
          </w:p>
        </w:tc>
      </w:tr>
      <w:tr>
        <w:trPr>
          <w:trHeight w:val="300" w:hRule="exact"/>
        </w:trPr>
        <w:tc>
          <w:tcPr>
            <w:tcW w:w="454" w:type="dxa"/>
            <w:tcBorders>
              <w:top w:val="dotted" w:sz="4" w:space="0" w:color="FFFFFF"/>
              <w:left w:val="nil"/>
            </w:tcBorders>
          </w:tcPr>
          <w:p>
            <w:pPr>
              <w:pStyle w:val="TableParagraph"/>
              <w:spacing w:before="52"/>
              <w:ind w:left="70"/>
              <w:rPr>
                <w:sz w:val="16"/>
              </w:rPr>
            </w:pPr>
            <w:r>
              <w:rPr>
                <w:w w:val="99"/>
                <w:sz w:val="16"/>
              </w:rPr>
              <w:t>1</w:t>
            </w:r>
          </w:p>
        </w:tc>
        <w:tc>
          <w:tcPr>
            <w:tcW w:w="2807" w:type="dxa"/>
            <w:tcBorders>
              <w:top w:val="dotted" w:sz="4" w:space="0" w:color="FFFFFF"/>
            </w:tcBorders>
          </w:tcPr>
          <w:p>
            <w:pPr>
              <w:pStyle w:val="TableParagraph"/>
              <w:spacing w:before="52"/>
              <w:ind w:left="65"/>
              <w:rPr>
                <w:sz w:val="16"/>
              </w:rPr>
            </w:pPr>
            <w:r>
              <w:rPr>
                <w:sz w:val="16"/>
              </w:rPr>
              <w:t>Sistema estructural</w:t>
            </w:r>
          </w:p>
        </w:tc>
        <w:tc>
          <w:tcPr>
            <w:tcW w:w="3394" w:type="dxa"/>
            <w:tcBorders>
              <w:top w:val="dotted" w:sz="4" w:space="0" w:color="FFFFFF"/>
            </w:tcBorders>
          </w:tcPr>
          <w:p>
            <w:pPr>
              <w:pStyle w:val="TableParagraph"/>
              <w:spacing w:before="52"/>
              <w:ind w:left="65"/>
              <w:rPr>
                <w:sz w:val="16"/>
              </w:rPr>
            </w:pPr>
            <w:r>
              <w:rPr>
                <w:sz w:val="16"/>
              </w:rPr>
              <w:t>Hormigón armado</w:t>
            </w:r>
          </w:p>
        </w:tc>
        <w:tc>
          <w:tcPr>
            <w:tcW w:w="1041" w:type="dxa"/>
            <w:tcBorders>
              <w:top w:val="dotted" w:sz="4" w:space="0" w:color="FFFFFF"/>
              <w:right w:val="nil"/>
            </w:tcBorders>
          </w:tcPr>
          <w:p>
            <w:pPr>
              <w:pStyle w:val="TableParagraph"/>
              <w:spacing w:before="52"/>
              <w:ind w:left="65"/>
              <w:rPr>
                <w:sz w:val="16"/>
              </w:rPr>
            </w:pPr>
            <w:r>
              <w:rPr>
                <w:w w:val="99"/>
                <w:sz w:val="16"/>
              </w:rPr>
              <w:t>5</w:t>
            </w:r>
          </w:p>
        </w:tc>
      </w:tr>
      <w:tr>
        <w:trPr>
          <w:trHeight w:val="300" w:hRule="exact"/>
        </w:trPr>
        <w:tc>
          <w:tcPr>
            <w:tcW w:w="454" w:type="dxa"/>
            <w:tcBorders>
              <w:left w:val="nil"/>
            </w:tcBorders>
          </w:tcPr>
          <w:p>
            <w:pPr>
              <w:pStyle w:val="TableParagraph"/>
              <w:spacing w:before="52"/>
              <w:ind w:left="70"/>
              <w:rPr>
                <w:sz w:val="16"/>
              </w:rPr>
            </w:pPr>
            <w:r>
              <w:rPr>
                <w:w w:val="99"/>
                <w:sz w:val="16"/>
              </w:rPr>
              <w:t>2</w:t>
            </w:r>
          </w:p>
        </w:tc>
        <w:tc>
          <w:tcPr>
            <w:tcW w:w="2807" w:type="dxa"/>
          </w:tcPr>
          <w:p>
            <w:pPr>
              <w:pStyle w:val="TableParagraph"/>
              <w:spacing w:before="52"/>
              <w:ind w:left="65"/>
              <w:rPr>
                <w:sz w:val="16"/>
              </w:rPr>
            </w:pPr>
            <w:r>
              <w:rPr>
                <w:sz w:val="16"/>
              </w:rPr>
              <w:t>Tipo de materiales en paredes</w:t>
            </w:r>
          </w:p>
        </w:tc>
        <w:tc>
          <w:tcPr>
            <w:tcW w:w="3394" w:type="dxa"/>
          </w:tcPr>
          <w:p>
            <w:pPr>
              <w:pStyle w:val="TableParagraph"/>
              <w:spacing w:before="52"/>
              <w:ind w:left="65"/>
              <w:rPr>
                <w:sz w:val="16"/>
              </w:rPr>
            </w:pPr>
            <w:r>
              <w:rPr>
                <w:sz w:val="16"/>
              </w:rPr>
              <w:t>Pared de bloque</w:t>
            </w:r>
          </w:p>
        </w:tc>
        <w:tc>
          <w:tcPr>
            <w:tcW w:w="1041" w:type="dxa"/>
            <w:tcBorders>
              <w:right w:val="nil"/>
            </w:tcBorders>
          </w:tcPr>
          <w:p>
            <w:pPr>
              <w:pStyle w:val="TableParagraph"/>
              <w:spacing w:before="52"/>
              <w:ind w:left="65"/>
              <w:rPr>
                <w:sz w:val="16"/>
              </w:rPr>
            </w:pPr>
            <w:r>
              <w:rPr>
                <w:w w:val="99"/>
                <w:sz w:val="16"/>
              </w:rPr>
              <w:t>5</w:t>
            </w:r>
          </w:p>
        </w:tc>
      </w:tr>
      <w:tr>
        <w:trPr>
          <w:trHeight w:val="300" w:hRule="exact"/>
        </w:trPr>
        <w:tc>
          <w:tcPr>
            <w:tcW w:w="454" w:type="dxa"/>
            <w:tcBorders>
              <w:left w:val="nil"/>
            </w:tcBorders>
          </w:tcPr>
          <w:p>
            <w:pPr>
              <w:pStyle w:val="TableParagraph"/>
              <w:spacing w:before="52"/>
              <w:ind w:left="70"/>
              <w:rPr>
                <w:sz w:val="16"/>
              </w:rPr>
            </w:pPr>
            <w:r>
              <w:rPr>
                <w:w w:val="99"/>
                <w:sz w:val="16"/>
              </w:rPr>
              <w:t>3</w:t>
            </w:r>
          </w:p>
        </w:tc>
        <w:tc>
          <w:tcPr>
            <w:tcW w:w="2807" w:type="dxa"/>
          </w:tcPr>
          <w:p>
            <w:pPr>
              <w:pStyle w:val="TableParagraph"/>
              <w:spacing w:before="52"/>
              <w:ind w:left="65"/>
              <w:rPr>
                <w:sz w:val="16"/>
              </w:rPr>
            </w:pPr>
            <w:r>
              <w:rPr>
                <w:sz w:val="16"/>
              </w:rPr>
              <w:t>Tipo de cubierta</w:t>
            </w:r>
          </w:p>
        </w:tc>
        <w:tc>
          <w:tcPr>
            <w:tcW w:w="3394" w:type="dxa"/>
          </w:tcPr>
          <w:p>
            <w:pPr>
              <w:pStyle w:val="TableParagraph"/>
              <w:spacing w:before="52"/>
              <w:ind w:left="65"/>
              <w:rPr>
                <w:sz w:val="16"/>
              </w:rPr>
            </w:pPr>
            <w:r>
              <w:rPr>
                <w:sz w:val="16"/>
              </w:rPr>
              <w:t>Losa  y lamina</w:t>
            </w:r>
          </w:p>
        </w:tc>
        <w:tc>
          <w:tcPr>
            <w:tcW w:w="1041" w:type="dxa"/>
            <w:tcBorders>
              <w:right w:val="nil"/>
            </w:tcBorders>
          </w:tcPr>
          <w:p>
            <w:pPr>
              <w:pStyle w:val="TableParagraph"/>
              <w:spacing w:before="52"/>
              <w:ind w:left="65" w:right="-5"/>
              <w:rPr>
                <w:sz w:val="16"/>
              </w:rPr>
            </w:pPr>
            <w:r>
              <w:rPr>
                <w:sz w:val="16"/>
              </w:rPr>
              <w:t>NA</w:t>
            </w:r>
          </w:p>
        </w:tc>
      </w:tr>
      <w:tr>
        <w:trPr>
          <w:trHeight w:val="300" w:hRule="exact"/>
        </w:trPr>
        <w:tc>
          <w:tcPr>
            <w:tcW w:w="454" w:type="dxa"/>
            <w:tcBorders>
              <w:left w:val="nil"/>
              <w:bottom w:val="single" w:sz="4" w:space="0" w:color="FFFFFF"/>
            </w:tcBorders>
          </w:tcPr>
          <w:p>
            <w:pPr>
              <w:pStyle w:val="TableParagraph"/>
              <w:spacing w:line="142" w:lineRule="exact" w:before="52"/>
              <w:ind w:left="70"/>
              <w:rPr>
                <w:sz w:val="16"/>
              </w:rPr>
            </w:pPr>
            <w:r>
              <w:rPr>
                <w:w w:val="99"/>
                <w:sz w:val="16"/>
              </w:rPr>
              <w:t>4</w:t>
            </w:r>
          </w:p>
          <w:p>
            <w:pPr>
              <w:pStyle w:val="TableParagraph"/>
              <w:tabs>
                <w:tab w:pos="438" w:val="left" w:leader="none"/>
              </w:tabs>
              <w:spacing w:line="136" w:lineRule="exact"/>
              <w:ind w:left="34"/>
              <w:rPr>
                <w:sz w:val="16"/>
              </w:rPr>
            </w:pPr>
            <w:r>
              <w:rPr>
                <w:w w:val="100"/>
                <w:sz w:val="16"/>
                <w:u w:val="dotted" w:color="929292"/>
              </w:rPr>
              <w:t> </w:t>
            </w:r>
            <w:r>
              <w:rPr>
                <w:sz w:val="16"/>
                <w:u w:val="dotted" w:color="929292"/>
              </w:rPr>
              <w:tab/>
            </w:r>
          </w:p>
        </w:tc>
        <w:tc>
          <w:tcPr>
            <w:tcW w:w="2807" w:type="dxa"/>
            <w:tcBorders>
              <w:bottom w:val="single" w:sz="4" w:space="0" w:color="FFFFFF"/>
            </w:tcBorders>
          </w:tcPr>
          <w:p>
            <w:pPr>
              <w:pStyle w:val="TableParagraph"/>
              <w:spacing w:line="142" w:lineRule="exact" w:before="52"/>
              <w:ind w:left="65"/>
              <w:rPr>
                <w:sz w:val="16"/>
              </w:rPr>
            </w:pPr>
            <w:r>
              <w:rPr>
                <w:sz w:val="16"/>
              </w:rPr>
              <w:t>Sistema de entrepisos</w:t>
            </w:r>
          </w:p>
          <w:p>
            <w:pPr>
              <w:pStyle w:val="TableParagraph"/>
              <w:tabs>
                <w:tab w:pos="2786" w:val="left" w:leader="none"/>
              </w:tabs>
              <w:spacing w:line="136" w:lineRule="exact"/>
              <w:ind w:left="24"/>
              <w:rPr>
                <w:sz w:val="16"/>
              </w:rPr>
            </w:pPr>
            <w:r>
              <w:rPr>
                <w:w w:val="100"/>
                <w:sz w:val="16"/>
                <w:u w:val="dotted" w:color="929292"/>
              </w:rPr>
              <w:t> </w:t>
            </w:r>
            <w:r>
              <w:rPr>
                <w:sz w:val="16"/>
                <w:u w:val="dotted" w:color="929292"/>
              </w:rPr>
              <w:tab/>
            </w:r>
          </w:p>
        </w:tc>
        <w:tc>
          <w:tcPr>
            <w:tcW w:w="3394" w:type="dxa"/>
            <w:tcBorders>
              <w:bottom w:val="single" w:sz="4" w:space="0" w:color="FFFFFF"/>
            </w:tcBorders>
          </w:tcPr>
          <w:p>
            <w:pPr>
              <w:pStyle w:val="TableParagraph"/>
              <w:spacing w:line="142" w:lineRule="exact" w:before="52"/>
              <w:ind w:left="65"/>
              <w:rPr>
                <w:sz w:val="16"/>
              </w:rPr>
            </w:pPr>
            <w:r>
              <w:rPr>
                <w:sz w:val="16"/>
              </w:rPr>
              <w:t>Losa de hormigón armado</w:t>
            </w:r>
          </w:p>
          <w:p>
            <w:pPr>
              <w:pStyle w:val="TableParagraph"/>
              <w:tabs>
                <w:tab w:pos="3373" w:val="left" w:leader="none"/>
              </w:tabs>
              <w:spacing w:line="136" w:lineRule="exact"/>
              <w:ind w:left="25"/>
              <w:rPr>
                <w:sz w:val="16"/>
              </w:rPr>
            </w:pPr>
            <w:r>
              <w:rPr>
                <w:w w:val="100"/>
                <w:sz w:val="16"/>
                <w:u w:val="dotted" w:color="929292"/>
              </w:rPr>
              <w:t> </w:t>
            </w:r>
            <w:r>
              <w:rPr>
                <w:sz w:val="16"/>
                <w:u w:val="dotted" w:color="929292"/>
              </w:rPr>
              <w:tab/>
            </w:r>
          </w:p>
        </w:tc>
        <w:tc>
          <w:tcPr>
            <w:tcW w:w="1041" w:type="dxa"/>
            <w:tcBorders>
              <w:bottom w:val="single" w:sz="4" w:space="0" w:color="FFFFFF"/>
              <w:right w:val="nil"/>
            </w:tcBorders>
          </w:tcPr>
          <w:p>
            <w:pPr>
              <w:pStyle w:val="TableParagraph"/>
              <w:spacing w:line="142" w:lineRule="exact" w:before="52"/>
              <w:ind w:left="65" w:right="-5"/>
              <w:rPr>
                <w:sz w:val="16"/>
              </w:rPr>
            </w:pPr>
            <w:r>
              <w:rPr>
                <w:sz w:val="16"/>
              </w:rPr>
              <w:t>NA</w:t>
            </w:r>
          </w:p>
          <w:p>
            <w:pPr>
              <w:pStyle w:val="TableParagraph"/>
              <w:tabs>
                <w:tab w:pos="1016" w:val="left" w:leader="none"/>
              </w:tabs>
              <w:spacing w:line="136" w:lineRule="exact"/>
              <w:ind w:left="24"/>
              <w:rPr>
                <w:sz w:val="16"/>
              </w:rPr>
            </w:pPr>
            <w:r>
              <w:rPr>
                <w:w w:val="100"/>
                <w:sz w:val="16"/>
                <w:u w:val="dotted" w:color="929292"/>
              </w:rPr>
              <w:t> </w:t>
            </w:r>
            <w:r>
              <w:rPr>
                <w:sz w:val="16"/>
                <w:u w:val="dotted" w:color="929292"/>
              </w:rPr>
              <w:tab/>
            </w:r>
          </w:p>
        </w:tc>
      </w:tr>
      <w:tr>
        <w:trPr>
          <w:trHeight w:val="300" w:hRule="exact"/>
        </w:trPr>
        <w:tc>
          <w:tcPr>
            <w:tcW w:w="454" w:type="dxa"/>
            <w:vMerge w:val="restart"/>
            <w:tcBorders>
              <w:top w:val="single" w:sz="4" w:space="0" w:color="FFFFFF"/>
              <w:left w:val="nil"/>
            </w:tcBorders>
          </w:tcPr>
          <w:p>
            <w:pPr>
              <w:pStyle w:val="TableParagraph"/>
              <w:spacing w:before="5"/>
              <w:rPr>
                <w:sz w:val="19"/>
              </w:rPr>
            </w:pPr>
          </w:p>
          <w:p>
            <w:pPr>
              <w:pStyle w:val="TableParagraph"/>
              <w:ind w:left="70"/>
              <w:rPr>
                <w:sz w:val="16"/>
              </w:rPr>
            </w:pPr>
            <w:r>
              <w:rPr>
                <w:w w:val="99"/>
                <w:sz w:val="16"/>
              </w:rPr>
              <w:t>5</w:t>
            </w:r>
          </w:p>
        </w:tc>
        <w:tc>
          <w:tcPr>
            <w:tcW w:w="2807" w:type="dxa"/>
            <w:vMerge w:val="restart"/>
            <w:tcBorders>
              <w:top w:val="single" w:sz="4" w:space="0" w:color="FFFFFF"/>
            </w:tcBorders>
          </w:tcPr>
          <w:p>
            <w:pPr>
              <w:pStyle w:val="TableParagraph"/>
              <w:spacing w:before="5"/>
              <w:rPr>
                <w:sz w:val="19"/>
              </w:rPr>
            </w:pPr>
          </w:p>
          <w:p>
            <w:pPr>
              <w:pStyle w:val="TableParagraph"/>
              <w:ind w:left="65"/>
              <w:rPr>
                <w:sz w:val="16"/>
              </w:rPr>
            </w:pPr>
            <w:r>
              <w:rPr>
                <w:sz w:val="16"/>
              </w:rPr>
              <w:t>Número de pisos*</w:t>
            </w:r>
          </w:p>
        </w:tc>
        <w:tc>
          <w:tcPr>
            <w:tcW w:w="3394" w:type="dxa"/>
            <w:tcBorders>
              <w:top w:val="single" w:sz="4" w:space="0" w:color="FFFFFF"/>
            </w:tcBorders>
          </w:tcPr>
          <w:p>
            <w:pPr>
              <w:pStyle w:val="TableParagraph"/>
              <w:spacing w:before="52"/>
              <w:ind w:left="65"/>
              <w:rPr>
                <w:sz w:val="16"/>
              </w:rPr>
            </w:pPr>
            <w:r>
              <w:rPr>
                <w:sz w:val="16"/>
              </w:rPr>
              <w:t>1pisos</w:t>
            </w:r>
          </w:p>
        </w:tc>
        <w:tc>
          <w:tcPr>
            <w:tcW w:w="1041" w:type="dxa"/>
            <w:tcBorders>
              <w:top w:val="single" w:sz="4" w:space="0" w:color="FFFFFF"/>
              <w:right w:val="nil"/>
            </w:tcBorders>
          </w:tcPr>
          <w:p>
            <w:pPr>
              <w:pStyle w:val="TableParagraph"/>
              <w:spacing w:before="52"/>
              <w:ind w:left="65" w:right="-5"/>
              <w:rPr>
                <w:sz w:val="16"/>
              </w:rPr>
            </w:pPr>
            <w:r>
              <w:rPr>
                <w:sz w:val="16"/>
              </w:rPr>
              <w:t>10</w:t>
            </w:r>
          </w:p>
        </w:tc>
      </w:tr>
      <w:tr>
        <w:trPr>
          <w:trHeight w:val="300" w:hRule="exact"/>
        </w:trPr>
        <w:tc>
          <w:tcPr>
            <w:tcW w:w="454" w:type="dxa"/>
            <w:vMerge/>
            <w:tcBorders>
              <w:left w:val="nil"/>
            </w:tcBorders>
          </w:tcPr>
          <w:p>
            <w:pPr/>
          </w:p>
        </w:tc>
        <w:tc>
          <w:tcPr>
            <w:tcW w:w="2807" w:type="dxa"/>
            <w:vMerge/>
          </w:tcPr>
          <w:p>
            <w:pPr/>
          </w:p>
        </w:tc>
        <w:tc>
          <w:tcPr>
            <w:tcW w:w="3394" w:type="dxa"/>
          </w:tcPr>
          <w:p>
            <w:pPr>
              <w:pStyle w:val="TableParagraph"/>
              <w:spacing w:before="52"/>
              <w:ind w:left="65"/>
              <w:rPr>
                <w:sz w:val="16"/>
              </w:rPr>
            </w:pPr>
            <w:r>
              <w:rPr>
                <w:sz w:val="16"/>
              </w:rPr>
              <w:t>2 pisos</w:t>
            </w:r>
          </w:p>
        </w:tc>
        <w:tc>
          <w:tcPr>
            <w:tcW w:w="1041" w:type="dxa"/>
            <w:tcBorders>
              <w:right w:val="nil"/>
            </w:tcBorders>
          </w:tcPr>
          <w:p>
            <w:pPr>
              <w:pStyle w:val="TableParagraph"/>
              <w:spacing w:before="52"/>
              <w:ind w:left="65"/>
              <w:rPr>
                <w:sz w:val="16"/>
              </w:rPr>
            </w:pPr>
            <w:r>
              <w:rPr>
                <w:w w:val="99"/>
                <w:sz w:val="16"/>
              </w:rPr>
              <w:t>5</w:t>
            </w:r>
          </w:p>
        </w:tc>
      </w:tr>
      <w:tr>
        <w:trPr>
          <w:trHeight w:val="300" w:hRule="exact"/>
        </w:trPr>
        <w:tc>
          <w:tcPr>
            <w:tcW w:w="454" w:type="dxa"/>
            <w:vMerge/>
            <w:tcBorders>
              <w:left w:val="nil"/>
              <w:bottom w:val="dotted" w:sz="4" w:space="0" w:color="929292"/>
            </w:tcBorders>
          </w:tcPr>
          <w:p>
            <w:pPr/>
          </w:p>
        </w:tc>
        <w:tc>
          <w:tcPr>
            <w:tcW w:w="2807" w:type="dxa"/>
            <w:vMerge/>
            <w:tcBorders>
              <w:bottom w:val="dotted" w:sz="4" w:space="0" w:color="929292"/>
            </w:tcBorders>
          </w:tcPr>
          <w:p>
            <w:pPr/>
          </w:p>
        </w:tc>
        <w:tc>
          <w:tcPr>
            <w:tcW w:w="3394" w:type="dxa"/>
            <w:tcBorders>
              <w:bottom w:val="dotted" w:sz="4" w:space="0" w:color="929292"/>
            </w:tcBorders>
          </w:tcPr>
          <w:p>
            <w:pPr>
              <w:pStyle w:val="TableParagraph"/>
              <w:spacing w:before="52"/>
              <w:ind w:left="65"/>
              <w:rPr>
                <w:sz w:val="16"/>
              </w:rPr>
            </w:pPr>
            <w:r>
              <w:rPr>
                <w:sz w:val="16"/>
              </w:rPr>
              <w:t>3 pisos</w:t>
            </w:r>
          </w:p>
        </w:tc>
        <w:tc>
          <w:tcPr>
            <w:tcW w:w="1041" w:type="dxa"/>
            <w:tcBorders>
              <w:bottom w:val="dotted" w:sz="4" w:space="0" w:color="929292"/>
              <w:right w:val="nil"/>
            </w:tcBorders>
          </w:tcPr>
          <w:p>
            <w:pPr>
              <w:pStyle w:val="TableParagraph"/>
              <w:spacing w:before="52"/>
              <w:ind w:left="65"/>
              <w:rPr>
                <w:sz w:val="16"/>
              </w:rPr>
            </w:pPr>
            <w:r>
              <w:rPr>
                <w:w w:val="99"/>
                <w:sz w:val="16"/>
              </w:rPr>
              <w:t>1</w:t>
            </w:r>
          </w:p>
        </w:tc>
      </w:tr>
      <w:tr>
        <w:trPr>
          <w:trHeight w:val="300" w:hRule="exact"/>
        </w:trPr>
        <w:tc>
          <w:tcPr>
            <w:tcW w:w="454" w:type="dxa"/>
            <w:vMerge w:val="restart"/>
            <w:tcBorders>
              <w:top w:val="dotted" w:sz="4" w:space="0" w:color="929292"/>
              <w:left w:val="nil"/>
            </w:tcBorders>
          </w:tcPr>
          <w:p>
            <w:pPr>
              <w:pStyle w:val="TableParagraph"/>
              <w:spacing w:before="6"/>
              <w:rPr>
                <w:sz w:val="17"/>
              </w:rPr>
            </w:pPr>
          </w:p>
          <w:p>
            <w:pPr>
              <w:pStyle w:val="TableParagraph"/>
              <w:ind w:left="70"/>
              <w:rPr>
                <w:sz w:val="16"/>
              </w:rPr>
            </w:pPr>
            <w:r>
              <w:rPr>
                <w:w w:val="99"/>
                <w:sz w:val="16"/>
              </w:rPr>
              <w:t>6</w:t>
            </w:r>
          </w:p>
        </w:tc>
        <w:tc>
          <w:tcPr>
            <w:tcW w:w="2807" w:type="dxa"/>
            <w:vMerge w:val="restart"/>
            <w:tcBorders>
              <w:top w:val="dotted" w:sz="4" w:space="0" w:color="929292"/>
            </w:tcBorders>
          </w:tcPr>
          <w:p>
            <w:pPr>
              <w:pStyle w:val="TableParagraph"/>
              <w:spacing w:before="6"/>
              <w:rPr>
                <w:sz w:val="17"/>
              </w:rPr>
            </w:pPr>
          </w:p>
          <w:p>
            <w:pPr>
              <w:pStyle w:val="TableParagraph"/>
              <w:ind w:left="65"/>
              <w:rPr>
                <w:sz w:val="16"/>
              </w:rPr>
            </w:pPr>
            <w:r>
              <w:rPr>
                <w:sz w:val="16"/>
              </w:rPr>
              <w:t>Año de construcción*</w:t>
            </w:r>
          </w:p>
        </w:tc>
        <w:tc>
          <w:tcPr>
            <w:tcW w:w="3394" w:type="dxa"/>
            <w:tcBorders>
              <w:top w:val="dotted" w:sz="4" w:space="0" w:color="929292"/>
            </w:tcBorders>
          </w:tcPr>
          <w:p>
            <w:pPr>
              <w:pStyle w:val="TableParagraph"/>
              <w:spacing w:before="52"/>
              <w:ind w:left="65"/>
              <w:rPr>
                <w:sz w:val="16"/>
              </w:rPr>
            </w:pPr>
            <w:r>
              <w:rPr>
                <w:sz w:val="16"/>
              </w:rPr>
              <w:t>Entre 1986 y 2000</w:t>
            </w:r>
          </w:p>
        </w:tc>
        <w:tc>
          <w:tcPr>
            <w:tcW w:w="1041" w:type="dxa"/>
            <w:tcBorders>
              <w:top w:val="dotted" w:sz="4" w:space="0" w:color="929292"/>
              <w:right w:val="nil"/>
            </w:tcBorders>
          </w:tcPr>
          <w:p>
            <w:pPr>
              <w:pStyle w:val="TableParagraph"/>
              <w:spacing w:before="52"/>
              <w:ind w:left="65"/>
              <w:rPr>
                <w:sz w:val="16"/>
              </w:rPr>
            </w:pPr>
            <w:r>
              <w:rPr>
                <w:w w:val="99"/>
                <w:sz w:val="16"/>
              </w:rPr>
              <w:t>1</w:t>
            </w:r>
          </w:p>
        </w:tc>
      </w:tr>
      <w:tr>
        <w:trPr>
          <w:trHeight w:val="300" w:hRule="exact"/>
        </w:trPr>
        <w:tc>
          <w:tcPr>
            <w:tcW w:w="454" w:type="dxa"/>
            <w:vMerge/>
            <w:tcBorders>
              <w:left w:val="nil"/>
              <w:bottom w:val="dotted" w:sz="4" w:space="0" w:color="929292"/>
            </w:tcBorders>
          </w:tcPr>
          <w:p>
            <w:pPr/>
          </w:p>
        </w:tc>
        <w:tc>
          <w:tcPr>
            <w:tcW w:w="2807" w:type="dxa"/>
            <w:vMerge/>
            <w:tcBorders>
              <w:bottom w:val="dotted" w:sz="4" w:space="0" w:color="929292"/>
            </w:tcBorders>
          </w:tcPr>
          <w:p>
            <w:pPr/>
          </w:p>
        </w:tc>
        <w:tc>
          <w:tcPr>
            <w:tcW w:w="3394" w:type="dxa"/>
            <w:tcBorders>
              <w:bottom w:val="dotted" w:sz="4" w:space="0" w:color="929292"/>
            </w:tcBorders>
          </w:tcPr>
          <w:p>
            <w:pPr>
              <w:pStyle w:val="TableParagraph"/>
              <w:spacing w:before="52"/>
              <w:ind w:left="65"/>
              <w:rPr>
                <w:sz w:val="16"/>
              </w:rPr>
            </w:pPr>
            <w:r>
              <w:rPr>
                <w:sz w:val="16"/>
              </w:rPr>
              <w:t>Entre 2001 y 2015</w:t>
            </w:r>
          </w:p>
        </w:tc>
        <w:tc>
          <w:tcPr>
            <w:tcW w:w="1041" w:type="dxa"/>
            <w:tcBorders>
              <w:bottom w:val="dotted" w:sz="4" w:space="0" w:color="929292"/>
              <w:right w:val="nil"/>
            </w:tcBorders>
          </w:tcPr>
          <w:p>
            <w:pPr>
              <w:pStyle w:val="TableParagraph"/>
              <w:spacing w:before="52"/>
              <w:ind w:left="65"/>
              <w:rPr>
                <w:sz w:val="16"/>
              </w:rPr>
            </w:pPr>
            <w:r>
              <w:rPr>
                <w:w w:val="99"/>
                <w:sz w:val="16"/>
              </w:rPr>
              <w:t>0</w:t>
            </w:r>
          </w:p>
        </w:tc>
      </w:tr>
      <w:tr>
        <w:trPr>
          <w:trHeight w:val="450" w:hRule="exact"/>
        </w:trPr>
        <w:tc>
          <w:tcPr>
            <w:tcW w:w="454" w:type="dxa"/>
            <w:vMerge w:val="restart"/>
            <w:tcBorders>
              <w:top w:val="dotted" w:sz="4" w:space="0" w:color="929292"/>
              <w:left w:val="nil"/>
            </w:tcBorders>
          </w:tcPr>
          <w:p>
            <w:pPr>
              <w:pStyle w:val="TableParagraph"/>
              <w:rPr>
                <w:sz w:val="16"/>
              </w:rPr>
            </w:pPr>
          </w:p>
          <w:p>
            <w:pPr>
              <w:pStyle w:val="TableParagraph"/>
              <w:spacing w:before="93"/>
              <w:ind w:left="70"/>
              <w:rPr>
                <w:sz w:val="16"/>
              </w:rPr>
            </w:pPr>
            <w:r>
              <w:rPr>
                <w:w w:val="99"/>
                <w:sz w:val="16"/>
              </w:rPr>
              <w:t>7</w:t>
            </w:r>
          </w:p>
        </w:tc>
        <w:tc>
          <w:tcPr>
            <w:tcW w:w="2807" w:type="dxa"/>
            <w:vMerge w:val="restart"/>
            <w:tcBorders>
              <w:top w:val="dotted" w:sz="4" w:space="0" w:color="929292"/>
            </w:tcBorders>
          </w:tcPr>
          <w:p>
            <w:pPr>
              <w:pStyle w:val="TableParagraph"/>
              <w:rPr>
                <w:sz w:val="16"/>
              </w:rPr>
            </w:pPr>
          </w:p>
          <w:p>
            <w:pPr>
              <w:pStyle w:val="TableParagraph"/>
              <w:spacing w:before="93"/>
              <w:ind w:left="65"/>
              <w:rPr>
                <w:sz w:val="16"/>
              </w:rPr>
            </w:pPr>
            <w:r>
              <w:rPr>
                <w:sz w:val="16"/>
              </w:rPr>
              <w:t>Estado de conservación*</w:t>
            </w:r>
          </w:p>
        </w:tc>
        <w:tc>
          <w:tcPr>
            <w:tcW w:w="3394" w:type="dxa"/>
            <w:tcBorders>
              <w:top w:val="dotted" w:sz="4" w:space="0" w:color="929292"/>
              <w:bottom w:val="single" w:sz="4" w:space="0" w:color="FFFFFF"/>
            </w:tcBorders>
          </w:tcPr>
          <w:p>
            <w:pPr>
              <w:pStyle w:val="TableParagraph"/>
              <w:spacing w:line="167" w:lineRule="exact" w:before="127"/>
              <w:ind w:left="65"/>
              <w:rPr>
                <w:sz w:val="16"/>
              </w:rPr>
            </w:pPr>
            <w:r>
              <w:rPr>
                <w:sz w:val="16"/>
              </w:rPr>
              <w:t>Regular</w:t>
            </w:r>
          </w:p>
          <w:p>
            <w:pPr>
              <w:pStyle w:val="TableParagraph"/>
              <w:tabs>
                <w:tab w:pos="3373" w:val="left" w:leader="none"/>
              </w:tabs>
              <w:spacing w:line="167" w:lineRule="exact"/>
              <w:ind w:left="25"/>
              <w:rPr>
                <w:sz w:val="16"/>
              </w:rPr>
            </w:pPr>
            <w:r>
              <w:rPr>
                <w:w w:val="100"/>
                <w:sz w:val="16"/>
                <w:u w:val="dotted" w:color="929292"/>
              </w:rPr>
              <w:t> </w:t>
            </w:r>
            <w:r>
              <w:rPr>
                <w:sz w:val="16"/>
                <w:u w:val="dotted" w:color="929292"/>
              </w:rPr>
              <w:tab/>
            </w:r>
          </w:p>
        </w:tc>
        <w:tc>
          <w:tcPr>
            <w:tcW w:w="1041" w:type="dxa"/>
            <w:tcBorders>
              <w:top w:val="dotted" w:sz="4" w:space="0" w:color="929292"/>
              <w:bottom w:val="single" w:sz="4" w:space="0" w:color="FFFFFF"/>
              <w:right w:val="nil"/>
            </w:tcBorders>
          </w:tcPr>
          <w:p>
            <w:pPr>
              <w:pStyle w:val="TableParagraph"/>
              <w:spacing w:line="167" w:lineRule="exact" w:before="127"/>
              <w:ind w:left="65"/>
              <w:rPr>
                <w:sz w:val="16"/>
              </w:rPr>
            </w:pPr>
            <w:r>
              <w:rPr>
                <w:w w:val="99"/>
                <w:sz w:val="16"/>
              </w:rPr>
              <w:t>5</w:t>
            </w:r>
          </w:p>
          <w:p>
            <w:pPr>
              <w:pStyle w:val="TableParagraph"/>
              <w:tabs>
                <w:tab w:pos="1016" w:val="left" w:leader="none"/>
              </w:tabs>
              <w:spacing w:line="167" w:lineRule="exact"/>
              <w:ind w:left="24"/>
              <w:rPr>
                <w:sz w:val="16"/>
              </w:rPr>
            </w:pPr>
            <w:r>
              <w:rPr>
                <w:w w:val="100"/>
                <w:sz w:val="16"/>
                <w:u w:val="dotted" w:color="929292"/>
              </w:rPr>
              <w:t> </w:t>
            </w:r>
            <w:r>
              <w:rPr>
                <w:sz w:val="16"/>
                <w:u w:val="dotted" w:color="929292"/>
              </w:rPr>
              <w:tab/>
            </w:r>
          </w:p>
        </w:tc>
      </w:tr>
      <w:tr>
        <w:trPr>
          <w:trHeight w:val="300" w:hRule="exact"/>
        </w:trPr>
        <w:tc>
          <w:tcPr>
            <w:tcW w:w="454" w:type="dxa"/>
            <w:vMerge/>
            <w:tcBorders>
              <w:left w:val="nil"/>
              <w:bottom w:val="dotted" w:sz="4" w:space="0" w:color="929292"/>
            </w:tcBorders>
          </w:tcPr>
          <w:p>
            <w:pPr/>
          </w:p>
        </w:tc>
        <w:tc>
          <w:tcPr>
            <w:tcW w:w="2807" w:type="dxa"/>
            <w:vMerge/>
            <w:tcBorders>
              <w:bottom w:val="dotted" w:sz="4" w:space="0" w:color="929292"/>
            </w:tcBorders>
          </w:tcPr>
          <w:p>
            <w:pPr/>
          </w:p>
        </w:tc>
        <w:tc>
          <w:tcPr>
            <w:tcW w:w="3394" w:type="dxa"/>
            <w:tcBorders>
              <w:top w:val="single" w:sz="4" w:space="0" w:color="FFFFFF"/>
              <w:bottom w:val="dotted" w:sz="4" w:space="0" w:color="929292"/>
            </w:tcBorders>
          </w:tcPr>
          <w:p>
            <w:pPr>
              <w:pStyle w:val="TableParagraph"/>
              <w:spacing w:before="52"/>
              <w:ind w:left="65"/>
              <w:rPr>
                <w:sz w:val="16"/>
              </w:rPr>
            </w:pPr>
            <w:r>
              <w:rPr>
                <w:sz w:val="16"/>
              </w:rPr>
              <w:t>Malo</w:t>
            </w:r>
          </w:p>
        </w:tc>
        <w:tc>
          <w:tcPr>
            <w:tcW w:w="1041" w:type="dxa"/>
            <w:tcBorders>
              <w:top w:val="single" w:sz="4" w:space="0" w:color="FFFFFF"/>
              <w:bottom w:val="dotted" w:sz="4" w:space="0" w:color="929292"/>
              <w:right w:val="nil"/>
            </w:tcBorders>
          </w:tcPr>
          <w:p>
            <w:pPr>
              <w:pStyle w:val="TableParagraph"/>
              <w:spacing w:before="52"/>
              <w:ind w:left="65" w:right="-5"/>
              <w:rPr>
                <w:sz w:val="16"/>
              </w:rPr>
            </w:pPr>
            <w:r>
              <w:rPr>
                <w:sz w:val="16"/>
              </w:rPr>
              <w:t>10</w:t>
            </w:r>
          </w:p>
        </w:tc>
      </w:tr>
      <w:tr>
        <w:trPr>
          <w:trHeight w:val="371" w:hRule="exact"/>
        </w:trPr>
        <w:tc>
          <w:tcPr>
            <w:tcW w:w="454" w:type="dxa"/>
            <w:tcBorders>
              <w:top w:val="dotted" w:sz="4" w:space="0" w:color="929292"/>
              <w:left w:val="nil"/>
              <w:bottom w:val="dotted" w:sz="4" w:space="0" w:color="929292"/>
            </w:tcBorders>
          </w:tcPr>
          <w:p>
            <w:pPr>
              <w:pStyle w:val="TableParagraph"/>
              <w:spacing w:before="88"/>
              <w:ind w:left="70"/>
              <w:rPr>
                <w:sz w:val="16"/>
              </w:rPr>
            </w:pPr>
            <w:r>
              <w:rPr>
                <w:w w:val="99"/>
                <w:sz w:val="16"/>
              </w:rPr>
              <w:t>8</w:t>
            </w:r>
          </w:p>
        </w:tc>
        <w:tc>
          <w:tcPr>
            <w:tcW w:w="2807" w:type="dxa"/>
            <w:tcBorders>
              <w:top w:val="dotted" w:sz="4" w:space="0" w:color="929292"/>
              <w:bottom w:val="dotted" w:sz="4" w:space="0" w:color="929292"/>
            </w:tcBorders>
          </w:tcPr>
          <w:p>
            <w:pPr>
              <w:pStyle w:val="TableParagraph"/>
              <w:spacing w:line="172" w:lineRule="exact"/>
              <w:ind w:left="65"/>
              <w:rPr>
                <w:sz w:val="16"/>
              </w:rPr>
            </w:pPr>
            <w:r>
              <w:rPr>
                <w:sz w:val="16"/>
              </w:rPr>
              <w:t>Características del suelo bajo la</w:t>
            </w:r>
          </w:p>
          <w:p>
            <w:pPr>
              <w:pStyle w:val="TableParagraph"/>
              <w:spacing w:before="16"/>
              <w:ind w:left="65"/>
              <w:rPr>
                <w:sz w:val="16"/>
              </w:rPr>
            </w:pPr>
            <w:r>
              <w:rPr>
                <w:sz w:val="16"/>
              </w:rPr>
              <w:t>edificación</w:t>
            </w:r>
          </w:p>
        </w:tc>
        <w:tc>
          <w:tcPr>
            <w:tcW w:w="3394" w:type="dxa"/>
            <w:tcBorders>
              <w:top w:val="dotted" w:sz="4" w:space="0" w:color="929292"/>
              <w:bottom w:val="dotted" w:sz="4" w:space="0" w:color="929292"/>
            </w:tcBorders>
          </w:tcPr>
          <w:p>
            <w:pPr>
              <w:pStyle w:val="TableParagraph"/>
              <w:spacing w:before="88"/>
              <w:ind w:left="65"/>
              <w:rPr>
                <w:sz w:val="16"/>
              </w:rPr>
            </w:pPr>
            <w:r>
              <w:rPr>
                <w:sz w:val="16"/>
              </w:rPr>
              <w:t>Húmedo, blando, relleno</w:t>
            </w:r>
          </w:p>
        </w:tc>
        <w:tc>
          <w:tcPr>
            <w:tcW w:w="1041" w:type="dxa"/>
            <w:tcBorders>
              <w:top w:val="dotted" w:sz="4" w:space="0" w:color="929292"/>
              <w:bottom w:val="dotted" w:sz="4" w:space="0" w:color="929292"/>
              <w:right w:val="nil"/>
            </w:tcBorders>
          </w:tcPr>
          <w:p>
            <w:pPr>
              <w:pStyle w:val="TableParagraph"/>
              <w:spacing w:before="88"/>
              <w:ind w:left="65"/>
              <w:rPr>
                <w:sz w:val="16"/>
              </w:rPr>
            </w:pPr>
            <w:r>
              <w:rPr>
                <w:w w:val="99"/>
                <w:sz w:val="16"/>
              </w:rPr>
              <w:t>5</w:t>
            </w:r>
          </w:p>
        </w:tc>
      </w:tr>
      <w:tr>
        <w:trPr>
          <w:trHeight w:val="300" w:hRule="exact"/>
        </w:trPr>
        <w:tc>
          <w:tcPr>
            <w:tcW w:w="454" w:type="dxa"/>
            <w:tcBorders>
              <w:top w:val="dotted" w:sz="4" w:space="0" w:color="929292"/>
              <w:left w:val="nil"/>
              <w:bottom w:val="dotted" w:sz="4" w:space="0" w:color="929292"/>
            </w:tcBorders>
          </w:tcPr>
          <w:p>
            <w:pPr>
              <w:pStyle w:val="TableParagraph"/>
              <w:spacing w:before="52"/>
              <w:ind w:left="70"/>
              <w:rPr>
                <w:sz w:val="16"/>
              </w:rPr>
            </w:pPr>
            <w:r>
              <w:rPr>
                <w:w w:val="99"/>
                <w:sz w:val="16"/>
              </w:rPr>
              <w:t>9</w:t>
            </w:r>
          </w:p>
        </w:tc>
        <w:tc>
          <w:tcPr>
            <w:tcW w:w="2807" w:type="dxa"/>
            <w:tcBorders>
              <w:top w:val="dotted" w:sz="4" w:space="0" w:color="929292"/>
              <w:bottom w:val="dotted" w:sz="4" w:space="0" w:color="929292"/>
            </w:tcBorders>
          </w:tcPr>
          <w:p>
            <w:pPr>
              <w:pStyle w:val="TableParagraph"/>
              <w:spacing w:before="52"/>
              <w:ind w:left="65"/>
              <w:rPr>
                <w:sz w:val="16"/>
              </w:rPr>
            </w:pPr>
            <w:r>
              <w:rPr>
                <w:sz w:val="16"/>
              </w:rPr>
              <w:t>Topografía del sitio</w:t>
            </w:r>
          </w:p>
        </w:tc>
        <w:tc>
          <w:tcPr>
            <w:tcW w:w="3394" w:type="dxa"/>
            <w:tcBorders>
              <w:top w:val="dotted" w:sz="4" w:space="0" w:color="929292"/>
              <w:bottom w:val="dotted" w:sz="4" w:space="0" w:color="929292"/>
            </w:tcBorders>
          </w:tcPr>
          <w:p>
            <w:pPr>
              <w:pStyle w:val="TableParagraph"/>
              <w:spacing w:before="52"/>
              <w:ind w:left="65"/>
              <w:rPr>
                <w:sz w:val="16"/>
              </w:rPr>
            </w:pPr>
            <w:r>
              <w:rPr>
                <w:sz w:val="16"/>
              </w:rPr>
              <w:t>Terreno accidentado, laderas</w:t>
            </w:r>
          </w:p>
        </w:tc>
        <w:tc>
          <w:tcPr>
            <w:tcW w:w="1041" w:type="dxa"/>
            <w:tcBorders>
              <w:top w:val="dotted" w:sz="4" w:space="0" w:color="929292"/>
              <w:bottom w:val="dotted" w:sz="4" w:space="0" w:color="929292"/>
              <w:right w:val="nil"/>
            </w:tcBorders>
          </w:tcPr>
          <w:p>
            <w:pPr>
              <w:pStyle w:val="TableParagraph"/>
              <w:spacing w:before="52"/>
              <w:ind w:left="65" w:right="-5"/>
              <w:rPr>
                <w:sz w:val="16"/>
              </w:rPr>
            </w:pPr>
            <w:r>
              <w:rPr>
                <w:sz w:val="16"/>
              </w:rPr>
              <w:t>10</w:t>
            </w:r>
          </w:p>
        </w:tc>
      </w:tr>
      <w:tr>
        <w:trPr>
          <w:trHeight w:val="300" w:hRule="exact"/>
        </w:trPr>
        <w:tc>
          <w:tcPr>
            <w:tcW w:w="454" w:type="dxa"/>
            <w:tcBorders>
              <w:top w:val="dotted" w:sz="4" w:space="0" w:color="929292"/>
              <w:left w:val="nil"/>
              <w:bottom w:val="dotted" w:sz="4" w:space="0" w:color="929292"/>
            </w:tcBorders>
          </w:tcPr>
          <w:p>
            <w:pPr>
              <w:pStyle w:val="TableParagraph"/>
              <w:spacing w:before="52"/>
              <w:ind w:left="70"/>
              <w:rPr>
                <w:sz w:val="16"/>
              </w:rPr>
            </w:pPr>
            <w:r>
              <w:rPr>
                <w:sz w:val="16"/>
              </w:rPr>
              <w:t>10</w:t>
            </w:r>
          </w:p>
        </w:tc>
        <w:tc>
          <w:tcPr>
            <w:tcW w:w="2807" w:type="dxa"/>
            <w:tcBorders>
              <w:top w:val="dotted" w:sz="4" w:space="0" w:color="929292"/>
              <w:bottom w:val="dotted" w:sz="4" w:space="0" w:color="929292"/>
            </w:tcBorders>
          </w:tcPr>
          <w:p>
            <w:pPr>
              <w:pStyle w:val="TableParagraph"/>
              <w:spacing w:before="52"/>
              <w:ind w:left="65"/>
              <w:rPr>
                <w:sz w:val="16"/>
              </w:rPr>
            </w:pPr>
            <w:r>
              <w:rPr>
                <w:sz w:val="16"/>
              </w:rPr>
              <w:t>Forma de construcción</w:t>
            </w:r>
          </w:p>
        </w:tc>
        <w:tc>
          <w:tcPr>
            <w:tcW w:w="3394" w:type="dxa"/>
            <w:tcBorders>
              <w:top w:val="dotted" w:sz="4" w:space="0" w:color="929292"/>
              <w:bottom w:val="dotted" w:sz="4" w:space="0" w:color="929292"/>
            </w:tcBorders>
          </w:tcPr>
          <w:p>
            <w:pPr>
              <w:pStyle w:val="TableParagraph"/>
              <w:spacing w:before="52"/>
              <w:ind w:left="65"/>
              <w:rPr>
                <w:sz w:val="16"/>
              </w:rPr>
            </w:pPr>
            <w:r>
              <w:rPr>
                <w:sz w:val="16"/>
              </w:rPr>
              <w:t>Regular</w:t>
            </w:r>
          </w:p>
        </w:tc>
        <w:tc>
          <w:tcPr>
            <w:tcW w:w="1041" w:type="dxa"/>
            <w:tcBorders>
              <w:top w:val="dotted" w:sz="4" w:space="0" w:color="929292"/>
              <w:bottom w:val="dotted" w:sz="4" w:space="0" w:color="929292"/>
              <w:right w:val="nil"/>
            </w:tcBorders>
          </w:tcPr>
          <w:p>
            <w:pPr>
              <w:pStyle w:val="TableParagraph"/>
              <w:spacing w:before="52"/>
              <w:ind w:left="65" w:right="-5"/>
              <w:rPr>
                <w:sz w:val="16"/>
              </w:rPr>
            </w:pPr>
            <w:r>
              <w:rPr>
                <w:sz w:val="16"/>
              </w:rPr>
              <w:t>NA</w:t>
            </w:r>
          </w:p>
        </w:tc>
      </w:tr>
      <w:tr>
        <w:trPr>
          <w:trHeight w:val="300" w:hRule="exact"/>
        </w:trPr>
        <w:tc>
          <w:tcPr>
            <w:tcW w:w="454" w:type="dxa"/>
            <w:tcBorders>
              <w:top w:val="dotted" w:sz="4" w:space="0" w:color="929292"/>
              <w:left w:val="nil"/>
              <w:bottom w:val="dotted" w:sz="4" w:space="0" w:color="929292"/>
            </w:tcBorders>
          </w:tcPr>
          <w:p>
            <w:pPr>
              <w:pStyle w:val="TableParagraph"/>
              <w:spacing w:before="52"/>
              <w:ind w:left="70"/>
              <w:rPr>
                <w:sz w:val="16"/>
              </w:rPr>
            </w:pPr>
            <w:r>
              <w:rPr>
                <w:sz w:val="16"/>
              </w:rPr>
              <w:t>11</w:t>
            </w:r>
          </w:p>
        </w:tc>
        <w:tc>
          <w:tcPr>
            <w:tcW w:w="2807" w:type="dxa"/>
            <w:tcBorders>
              <w:top w:val="dotted" w:sz="4" w:space="0" w:color="929292"/>
              <w:bottom w:val="dotted" w:sz="4" w:space="0" w:color="929292"/>
            </w:tcBorders>
          </w:tcPr>
          <w:p>
            <w:pPr>
              <w:pStyle w:val="TableParagraph"/>
              <w:spacing w:before="52"/>
              <w:ind w:left="65"/>
              <w:rPr>
                <w:sz w:val="16"/>
              </w:rPr>
            </w:pPr>
            <w:r>
              <w:rPr>
                <w:sz w:val="16"/>
              </w:rPr>
              <w:t>Superficie de construcción</w:t>
            </w:r>
          </w:p>
        </w:tc>
        <w:tc>
          <w:tcPr>
            <w:tcW w:w="3394" w:type="dxa"/>
            <w:tcBorders>
              <w:top w:val="dotted" w:sz="4" w:space="0" w:color="929292"/>
              <w:bottom w:val="dotted" w:sz="4" w:space="0" w:color="929292"/>
            </w:tcBorders>
          </w:tcPr>
          <w:p>
            <w:pPr>
              <w:pStyle w:val="TableParagraph"/>
              <w:spacing w:before="52"/>
              <w:ind w:left="65"/>
              <w:rPr>
                <w:sz w:val="16"/>
              </w:rPr>
            </w:pPr>
            <w:r>
              <w:rPr>
                <w:sz w:val="16"/>
              </w:rPr>
              <w:t>Variable</w:t>
            </w:r>
          </w:p>
        </w:tc>
        <w:tc>
          <w:tcPr>
            <w:tcW w:w="1041" w:type="dxa"/>
            <w:tcBorders>
              <w:top w:val="dotted" w:sz="4" w:space="0" w:color="929292"/>
              <w:bottom w:val="dotted" w:sz="4" w:space="0" w:color="929292"/>
              <w:right w:val="nil"/>
            </w:tcBorders>
          </w:tcPr>
          <w:p>
            <w:pPr/>
          </w:p>
        </w:tc>
      </w:tr>
      <w:tr>
        <w:trPr>
          <w:trHeight w:val="300" w:hRule="exact"/>
        </w:trPr>
        <w:tc>
          <w:tcPr>
            <w:tcW w:w="454" w:type="dxa"/>
            <w:tcBorders>
              <w:top w:val="dotted" w:sz="4" w:space="0" w:color="929292"/>
              <w:left w:val="nil"/>
              <w:bottom w:val="dotted" w:sz="4" w:space="0" w:color="929292"/>
            </w:tcBorders>
          </w:tcPr>
          <w:p>
            <w:pPr>
              <w:pStyle w:val="TableParagraph"/>
              <w:spacing w:before="52"/>
              <w:ind w:left="70"/>
              <w:rPr>
                <w:sz w:val="16"/>
              </w:rPr>
            </w:pPr>
            <w:r>
              <w:rPr>
                <w:sz w:val="16"/>
              </w:rPr>
              <w:t>12</w:t>
            </w:r>
          </w:p>
        </w:tc>
        <w:tc>
          <w:tcPr>
            <w:tcW w:w="2807" w:type="dxa"/>
            <w:tcBorders>
              <w:top w:val="dotted" w:sz="4" w:space="0" w:color="929292"/>
              <w:bottom w:val="dotted" w:sz="4" w:space="0" w:color="929292"/>
            </w:tcBorders>
          </w:tcPr>
          <w:p>
            <w:pPr>
              <w:pStyle w:val="TableParagraph"/>
              <w:spacing w:before="52"/>
              <w:ind w:left="65"/>
              <w:rPr>
                <w:sz w:val="16"/>
              </w:rPr>
            </w:pPr>
            <w:r>
              <w:rPr>
                <w:sz w:val="16"/>
              </w:rPr>
              <w:t>Identificación</w:t>
            </w:r>
          </w:p>
        </w:tc>
        <w:tc>
          <w:tcPr>
            <w:tcW w:w="3394" w:type="dxa"/>
            <w:tcBorders>
              <w:top w:val="dotted" w:sz="4" w:space="0" w:color="929292"/>
              <w:bottom w:val="dotted" w:sz="4" w:space="0" w:color="929292"/>
            </w:tcBorders>
          </w:tcPr>
          <w:p>
            <w:pPr>
              <w:pStyle w:val="TableParagraph"/>
              <w:spacing w:before="52"/>
              <w:ind w:left="65"/>
              <w:rPr>
                <w:sz w:val="16"/>
              </w:rPr>
            </w:pPr>
            <w:r>
              <w:rPr>
                <w:sz w:val="16"/>
              </w:rPr>
              <w:t>Sin dato</w:t>
            </w:r>
          </w:p>
        </w:tc>
        <w:tc>
          <w:tcPr>
            <w:tcW w:w="1041" w:type="dxa"/>
            <w:tcBorders>
              <w:top w:val="dotted" w:sz="4" w:space="0" w:color="929292"/>
              <w:bottom w:val="dotted" w:sz="4" w:space="0" w:color="929292"/>
              <w:right w:val="nil"/>
            </w:tcBorders>
          </w:tcPr>
          <w:p>
            <w:pPr/>
          </w:p>
        </w:tc>
      </w:tr>
      <w:tr>
        <w:trPr>
          <w:trHeight w:val="300" w:hRule="exact"/>
        </w:trPr>
        <w:tc>
          <w:tcPr>
            <w:tcW w:w="454" w:type="dxa"/>
            <w:tcBorders>
              <w:top w:val="dotted" w:sz="4" w:space="0" w:color="929292"/>
              <w:left w:val="nil"/>
              <w:bottom w:val="dotted" w:sz="4" w:space="0" w:color="929292"/>
            </w:tcBorders>
          </w:tcPr>
          <w:p>
            <w:pPr>
              <w:pStyle w:val="TableParagraph"/>
              <w:spacing w:before="52"/>
              <w:ind w:left="70"/>
              <w:rPr>
                <w:sz w:val="16"/>
              </w:rPr>
            </w:pPr>
            <w:r>
              <w:rPr>
                <w:sz w:val="16"/>
              </w:rPr>
              <w:t>13</w:t>
            </w:r>
          </w:p>
        </w:tc>
        <w:tc>
          <w:tcPr>
            <w:tcW w:w="2807" w:type="dxa"/>
            <w:tcBorders>
              <w:top w:val="dotted" w:sz="4" w:space="0" w:color="929292"/>
              <w:bottom w:val="dotted" w:sz="4" w:space="0" w:color="929292"/>
            </w:tcBorders>
          </w:tcPr>
          <w:p>
            <w:pPr>
              <w:pStyle w:val="TableParagraph"/>
              <w:spacing w:before="52"/>
              <w:ind w:left="65"/>
              <w:rPr>
                <w:sz w:val="16"/>
              </w:rPr>
            </w:pPr>
            <w:r>
              <w:rPr>
                <w:sz w:val="16"/>
              </w:rPr>
              <w:t>Exposición</w:t>
            </w:r>
          </w:p>
        </w:tc>
        <w:tc>
          <w:tcPr>
            <w:tcW w:w="3394" w:type="dxa"/>
            <w:tcBorders>
              <w:top w:val="dotted" w:sz="4" w:space="0" w:color="929292"/>
              <w:bottom w:val="dotted" w:sz="4" w:space="0" w:color="929292"/>
            </w:tcBorders>
          </w:tcPr>
          <w:p>
            <w:pPr>
              <w:pStyle w:val="TableParagraph"/>
              <w:spacing w:before="52"/>
              <w:ind w:left="65"/>
              <w:rPr>
                <w:sz w:val="16"/>
              </w:rPr>
            </w:pPr>
            <w:r>
              <w:rPr>
                <w:sz w:val="16"/>
              </w:rPr>
              <w:t>Menos de 10 metros</w:t>
            </w:r>
          </w:p>
        </w:tc>
        <w:tc>
          <w:tcPr>
            <w:tcW w:w="1041" w:type="dxa"/>
            <w:tcBorders>
              <w:top w:val="dotted" w:sz="4" w:space="0" w:color="929292"/>
              <w:bottom w:val="dotted" w:sz="4" w:space="0" w:color="929292"/>
              <w:right w:val="nil"/>
            </w:tcBorders>
          </w:tcPr>
          <w:p>
            <w:pPr>
              <w:pStyle w:val="TableParagraph"/>
              <w:spacing w:before="52"/>
              <w:ind w:left="65" w:right="-5"/>
              <w:rPr>
                <w:sz w:val="16"/>
              </w:rPr>
            </w:pPr>
            <w:r>
              <w:rPr>
                <w:sz w:val="16"/>
              </w:rPr>
              <w:t>10</w:t>
            </w:r>
          </w:p>
        </w:tc>
      </w:tr>
    </w:tbl>
    <w:p>
      <w:pPr>
        <w:spacing w:line="312" w:lineRule="auto" w:before="28"/>
        <w:ind w:left="1075" w:right="1071" w:firstLine="0"/>
        <w:jc w:val="center"/>
        <w:rPr>
          <w:sz w:val="16"/>
        </w:rPr>
      </w:pPr>
      <w:r>
        <w:rPr>
          <w:color w:val="6D6E71"/>
          <w:sz w:val="16"/>
        </w:rPr>
        <w:t>*A nivel de manzana se consideró la variable que predomina mayoritariamente. NA: No aplica para el tipo de amenaza analizada, de acuerdo a Yépez et. al. 2012</w:t>
      </w:r>
    </w:p>
    <w:p>
      <w:pPr>
        <w:pStyle w:val="BodyText"/>
        <w:spacing w:before="9"/>
        <w:rPr>
          <w:sz w:val="17"/>
        </w:rPr>
      </w:pPr>
    </w:p>
    <w:p>
      <w:pPr>
        <w:pStyle w:val="BodyText"/>
        <w:spacing w:line="249" w:lineRule="auto"/>
        <w:ind w:left="132" w:right="128" w:firstLine="170"/>
        <w:jc w:val="both"/>
      </w:pPr>
      <w:r>
        <w:rPr/>
        <w:t>Teniendo los anteriores resultados, se realiza la caracterización de la vulnerabilidad física-estructural por manzanas, considerando la puntuación obtenida por cada una   de las variables y se multiplica por el factor de ponderación asignado, con base a        lo establecido en tabla 4; dando como resultado el puntaje ante deslizamientos, los cuales</w:t>
      </w:r>
      <w:r>
        <w:rPr>
          <w:spacing w:val="-10"/>
        </w:rPr>
        <w:t> </w:t>
      </w:r>
      <w:r>
        <w:rPr/>
        <w:t>se</w:t>
      </w:r>
      <w:r>
        <w:rPr>
          <w:spacing w:val="-10"/>
        </w:rPr>
        <w:t> </w:t>
      </w:r>
      <w:r>
        <w:rPr/>
        <w:t>suman</w:t>
      </w:r>
      <w:r>
        <w:rPr>
          <w:spacing w:val="-10"/>
        </w:rPr>
        <w:t> </w:t>
      </w:r>
      <w:r>
        <w:rPr/>
        <w:t>para</w:t>
      </w:r>
      <w:r>
        <w:rPr>
          <w:spacing w:val="-10"/>
        </w:rPr>
        <w:t> </w:t>
      </w:r>
      <w:r>
        <w:rPr/>
        <w:t>saber</w:t>
      </w:r>
      <w:r>
        <w:rPr>
          <w:spacing w:val="-10"/>
        </w:rPr>
        <w:t> </w:t>
      </w:r>
      <w:r>
        <w:rPr/>
        <w:t>en</w:t>
      </w:r>
      <w:r>
        <w:rPr>
          <w:spacing w:val="-10"/>
        </w:rPr>
        <w:t> </w:t>
      </w:r>
      <w:r>
        <w:rPr/>
        <w:t>qué</w:t>
      </w:r>
      <w:r>
        <w:rPr>
          <w:spacing w:val="-10"/>
        </w:rPr>
        <w:t> </w:t>
      </w:r>
      <w:r>
        <w:rPr/>
        <w:t>nivel</w:t>
      </w:r>
      <w:r>
        <w:rPr>
          <w:spacing w:val="-10"/>
        </w:rPr>
        <w:t> </w:t>
      </w:r>
      <w:r>
        <w:rPr/>
        <w:t>de</w:t>
      </w:r>
      <w:r>
        <w:rPr>
          <w:spacing w:val="-10"/>
        </w:rPr>
        <w:t> </w:t>
      </w:r>
      <w:r>
        <w:rPr/>
        <w:t>vulnerabilidad</w:t>
      </w:r>
      <w:r>
        <w:rPr>
          <w:spacing w:val="-10"/>
        </w:rPr>
        <w:t> </w:t>
      </w:r>
      <w:r>
        <w:rPr/>
        <w:t>se</w:t>
      </w:r>
      <w:r>
        <w:rPr>
          <w:spacing w:val="-10"/>
        </w:rPr>
        <w:t> </w:t>
      </w:r>
      <w:r>
        <w:rPr/>
        <w:t>encuentran</w:t>
      </w:r>
      <w:r>
        <w:rPr>
          <w:spacing w:val="-10"/>
        </w:rPr>
        <w:t> </w:t>
      </w:r>
      <w:r>
        <w:rPr/>
        <w:t>las</w:t>
      </w:r>
      <w:r>
        <w:rPr>
          <w:spacing w:val="-10"/>
        </w:rPr>
        <w:t> </w:t>
      </w:r>
      <w:r>
        <w:rPr/>
        <w:t>manzanas del fraccionamiento y en particular las que presentan colindancia con los bancos de materiales pétreos, como se muestra en la tabla</w:t>
      </w:r>
      <w:r>
        <w:rPr>
          <w:spacing w:val="24"/>
        </w:rPr>
        <w:t> </w:t>
      </w:r>
      <w:r>
        <w:rPr/>
        <w:t>11.</w:t>
      </w:r>
    </w:p>
    <w:p>
      <w:pPr>
        <w:spacing w:after="0" w:line="249" w:lineRule="auto"/>
        <w:jc w:val="both"/>
        <w:sectPr>
          <w:headerReference w:type="default" r:id="rId512"/>
          <w:footerReference w:type="default" r:id="rId513"/>
          <w:pgSz w:w="18830" w:h="12760" w:orient="landscape"/>
          <w:pgMar w:header="522" w:footer="1036" w:top="820" w:bottom="1220" w:left="720" w:right="720"/>
          <w:cols w:num="2" w:equalWidth="0">
            <w:col w:w="7844" w:space="1563"/>
            <w:col w:w="7983"/>
          </w:cols>
        </w:sectPr>
      </w:pPr>
    </w:p>
    <w:p>
      <w:pPr>
        <w:pStyle w:val="BodyText"/>
        <w:spacing w:line="20" w:lineRule="exact"/>
        <w:ind w:left="132"/>
        <w:rPr>
          <w:sz w:val="2"/>
        </w:rPr>
      </w:pPr>
      <w:r>
        <w:rPr>
          <w:sz w:val="2"/>
        </w:rPr>
        <w:pict>
          <v:group style="width:.5pt;height:.5pt;mso-position-horizontal-relative:char;mso-position-vertical-relative:line" coordorigin="0,0" coordsize="10,10">
            <v:line style="position:absolute" from="5,5" to="5,5" stroked="true" strokeweight=".5pt" strokecolor="#929292"/>
          </v:group>
        </w:pict>
      </w:r>
      <w:r>
        <w:rPr>
          <w:sz w:val="2"/>
        </w:rPr>
      </w:r>
    </w:p>
    <w:p>
      <w:pPr>
        <w:pStyle w:val="BodyText"/>
        <w:spacing w:before="8"/>
        <w:rPr>
          <w:sz w:val="8"/>
        </w:rPr>
      </w:pPr>
      <w:r>
        <w:rPr/>
        <w:pict>
          <v:line style="position:absolute;mso-position-horizontal-relative:page;mso-position-vertical-relative:paragraph;z-index:18520;mso-wrap-distance-left:0;mso-wrap-distance-right:0" from="42.884499pt,7.208686pt" to="42.884499pt,7.208686pt" stroked="true" strokeweight=".5pt" strokecolor="#929292">
            <w10:wrap type="topAndBottom"/>
          </v:line>
        </w:pict>
      </w:r>
    </w:p>
    <w:p>
      <w:pPr>
        <w:pStyle w:val="BodyText"/>
        <w:spacing w:before="9"/>
      </w:pPr>
    </w:p>
    <w:p>
      <w:pPr>
        <w:spacing w:before="80"/>
        <w:ind w:left="1012" w:right="0" w:firstLine="0"/>
        <w:jc w:val="left"/>
        <w:rPr>
          <w:sz w:val="16"/>
        </w:rPr>
      </w:pPr>
      <w:r>
        <w:rPr/>
        <w:pict>
          <v:line style="position:absolute;mso-position-horizontal-relative:page;mso-position-vertical-relative:paragraph;z-index:19456" from="42.884499pt,-66.419495pt" to="42.884499pt,-66.419495pt" stroked="true" strokeweight=".5pt" strokecolor="#929292">
            <w10:wrap type="none"/>
          </v:line>
        </w:pict>
      </w:r>
      <w:r>
        <w:rPr/>
        <w:pict>
          <v:line style="position:absolute;mso-position-horizontal-relative:page;mso-position-vertical-relative:paragraph;z-index:19480" from="425.264801pt,-66.419495pt" to="425.264801pt,-66.419495pt" stroked="true" strokeweight=".5pt" strokecolor="#929292">
            <w10:wrap type="none"/>
          </v:line>
        </w:pict>
      </w:r>
      <w:r>
        <w:rPr/>
        <w:pict>
          <v:line style="position:absolute;mso-position-horizontal-relative:page;mso-position-vertical-relative:paragraph;z-index:19504" from="42.884499pt,-47.872894pt" to="42.884499pt,-47.872894pt" stroked="true" strokeweight=".5pt" strokecolor="#929292">
            <w10:wrap type="none"/>
          </v:line>
        </w:pict>
      </w:r>
      <w:r>
        <w:rPr/>
        <w:pict>
          <v:line style="position:absolute;mso-position-horizontal-relative:page;mso-position-vertical-relative:paragraph;z-index:19528" from="42.884499pt,-39.326393pt" to="42.884499pt,-39.326393pt" stroked="true" strokeweight=".5pt" strokecolor="#929292">
            <w10:wrap type="none"/>
          </v:line>
        </w:pict>
      </w:r>
      <w:r>
        <w:rPr/>
        <w:pict>
          <v:line style="position:absolute;mso-position-horizontal-relative:page;mso-position-vertical-relative:paragraph;z-index:19552" from="42.884499pt,-30.779793pt" to="42.884499pt,-30.779793pt" stroked="true" strokeweight=".5pt" strokecolor="#929292">
            <w10:wrap type="none"/>
          </v:line>
        </w:pict>
      </w:r>
      <w:r>
        <w:rPr>
          <w:color w:val="6D6E71"/>
          <w:sz w:val="16"/>
        </w:rPr>
        <w:t>NA: No aplica para el tipo de amenaza analizada, de acuerdo a Yépez </w:t>
      </w:r>
      <w:r>
        <w:rPr>
          <w:i/>
          <w:color w:val="6D6E71"/>
          <w:sz w:val="16"/>
        </w:rPr>
        <w:t>et. al. </w:t>
      </w:r>
      <w:r>
        <w:rPr>
          <w:color w:val="6D6E71"/>
          <w:sz w:val="16"/>
        </w:rPr>
        <w:t>(2012).</w:t>
      </w:r>
    </w:p>
    <w:p>
      <w:pPr>
        <w:spacing w:after="0"/>
        <w:jc w:val="left"/>
        <w:rPr>
          <w:sz w:val="16"/>
        </w:rPr>
        <w:sectPr>
          <w:type w:val="continuous"/>
          <w:pgSz w:w="18830" w:h="12760" w:orient="landscape"/>
          <w:pgMar w:top="1420" w:bottom="280" w:left="720" w:right="720"/>
        </w:sectPr>
      </w:pPr>
    </w:p>
    <w:p>
      <w:pPr>
        <w:pStyle w:val="BodyText"/>
        <w:spacing w:before="6"/>
        <w:rPr>
          <w:sz w:val="23"/>
        </w:rPr>
      </w:pPr>
    </w:p>
    <w:p>
      <w:pPr>
        <w:spacing w:after="0"/>
        <w:rPr>
          <w:sz w:val="23"/>
        </w:rPr>
        <w:sectPr>
          <w:footerReference w:type="default" r:id="rId519"/>
          <w:pgSz w:w="18830" w:h="12760" w:orient="landscape"/>
          <w:pgMar w:footer="1036" w:header="522" w:top="820" w:bottom="1220" w:left="720" w:right="700"/>
        </w:sectPr>
      </w:pPr>
    </w:p>
    <w:p>
      <w:pPr>
        <w:spacing w:before="114"/>
        <w:ind w:left="344" w:right="-11" w:firstLine="0"/>
        <w:jc w:val="left"/>
        <w:rPr>
          <w:sz w:val="16"/>
        </w:rPr>
      </w:pPr>
      <w:r>
        <w:rPr/>
        <w:pict>
          <v:shape style="position:absolute;margin-left:41.883999pt;margin-top:20.038322pt;width:387.15pt;height:166.15pt;mso-position-horizontal-relative:page;mso-position-vertical-relative:paragraph;z-index:19768" type="#_x0000_t202" filled="false" stroked="false">
            <v:textbox inset="0,0,0,0">
              <w:txbxContent>
                <w:tbl>
                  <w:tblPr>
                    <w:tblW w:w="0" w:type="auto"/>
                    <w:jc w:val="lef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304"/>
                    <w:gridCol w:w="2126"/>
                    <w:gridCol w:w="1134"/>
                    <w:gridCol w:w="1276"/>
                    <w:gridCol w:w="893"/>
                  </w:tblGrid>
                  <w:tr>
                    <w:trPr>
                      <w:trHeight w:val="428" w:hRule="exact"/>
                    </w:trPr>
                    <w:tc>
                      <w:tcPr>
                        <w:tcW w:w="2304" w:type="dxa"/>
                        <w:tcBorders>
                          <w:top w:val="nil"/>
                          <w:left w:val="nil"/>
                          <w:bottom w:val="dotted" w:sz="4" w:space="0" w:color="FFFFFF"/>
                        </w:tcBorders>
                        <w:shd w:val="clear" w:color="auto" w:fill="929292"/>
                      </w:tcPr>
                      <w:p>
                        <w:pPr>
                          <w:pStyle w:val="TableParagraph"/>
                          <w:spacing w:before="121"/>
                          <w:ind w:left="107"/>
                          <w:rPr>
                            <w:sz w:val="16"/>
                          </w:rPr>
                        </w:pPr>
                        <w:r>
                          <w:rPr>
                            <w:sz w:val="16"/>
                          </w:rPr>
                          <w:t>Variable de vulnerabilidad</w:t>
                        </w:r>
                      </w:p>
                    </w:tc>
                    <w:tc>
                      <w:tcPr>
                        <w:tcW w:w="2126" w:type="dxa"/>
                        <w:tcBorders>
                          <w:top w:val="nil"/>
                          <w:bottom w:val="dotted" w:sz="4" w:space="0" w:color="FFFFFF"/>
                        </w:tcBorders>
                        <w:shd w:val="clear" w:color="auto" w:fill="929292"/>
                      </w:tcPr>
                      <w:p>
                        <w:pPr>
                          <w:pStyle w:val="TableParagraph"/>
                          <w:spacing w:line="261" w:lineRule="auto" w:before="21"/>
                          <w:ind w:left="103" w:right="125"/>
                          <w:rPr>
                            <w:sz w:val="16"/>
                          </w:rPr>
                        </w:pPr>
                        <w:r>
                          <w:rPr>
                            <w:sz w:val="16"/>
                          </w:rPr>
                          <w:t>Fraccionamiento Villas del Campo</w:t>
                        </w:r>
                      </w:p>
                    </w:tc>
                    <w:tc>
                      <w:tcPr>
                        <w:tcW w:w="1134" w:type="dxa"/>
                        <w:tcBorders>
                          <w:top w:val="nil"/>
                          <w:bottom w:val="dotted" w:sz="4" w:space="0" w:color="FFFFFF"/>
                        </w:tcBorders>
                        <w:shd w:val="clear" w:color="auto" w:fill="929292"/>
                      </w:tcPr>
                      <w:p>
                        <w:pPr>
                          <w:pStyle w:val="TableParagraph"/>
                          <w:spacing w:before="121"/>
                          <w:ind w:left="103"/>
                          <w:rPr>
                            <w:sz w:val="16"/>
                          </w:rPr>
                        </w:pPr>
                        <w:r>
                          <w:rPr>
                            <w:sz w:val="16"/>
                          </w:rPr>
                          <w:t>Puntuación</w:t>
                        </w:r>
                      </w:p>
                    </w:tc>
                    <w:tc>
                      <w:tcPr>
                        <w:tcW w:w="1276" w:type="dxa"/>
                        <w:tcBorders>
                          <w:top w:val="nil"/>
                          <w:bottom w:val="dotted" w:sz="4" w:space="0" w:color="FFFFFF"/>
                        </w:tcBorders>
                        <w:shd w:val="clear" w:color="auto" w:fill="929292"/>
                      </w:tcPr>
                      <w:p>
                        <w:pPr>
                          <w:pStyle w:val="TableParagraph"/>
                          <w:spacing w:line="261" w:lineRule="auto" w:before="21"/>
                          <w:ind w:left="103"/>
                          <w:rPr>
                            <w:sz w:val="16"/>
                          </w:rPr>
                        </w:pPr>
                        <w:r>
                          <w:rPr>
                            <w:sz w:val="16"/>
                          </w:rPr>
                          <w:t>Factor de ponderación</w:t>
                        </w:r>
                      </w:p>
                    </w:tc>
                    <w:tc>
                      <w:tcPr>
                        <w:tcW w:w="893" w:type="dxa"/>
                        <w:tcBorders>
                          <w:top w:val="nil"/>
                          <w:bottom w:val="dotted" w:sz="4" w:space="0" w:color="FFFFFF"/>
                          <w:right w:val="nil"/>
                        </w:tcBorders>
                        <w:shd w:val="clear" w:color="auto" w:fill="929292"/>
                      </w:tcPr>
                      <w:p>
                        <w:pPr>
                          <w:pStyle w:val="TableParagraph"/>
                          <w:spacing w:line="261" w:lineRule="auto" w:before="21"/>
                          <w:ind w:left="103"/>
                          <w:rPr>
                            <w:sz w:val="16"/>
                          </w:rPr>
                        </w:pPr>
                        <w:r>
                          <w:rPr>
                            <w:w w:val="95"/>
                            <w:sz w:val="16"/>
                          </w:rPr>
                          <w:t>Puntaje </w:t>
                        </w:r>
                        <w:r>
                          <w:rPr>
                            <w:sz w:val="16"/>
                          </w:rPr>
                          <w:t>final</w:t>
                        </w:r>
                      </w:p>
                    </w:tc>
                  </w:tr>
                  <w:tr>
                    <w:trPr>
                      <w:trHeight w:val="250" w:hRule="exact"/>
                    </w:trPr>
                    <w:tc>
                      <w:tcPr>
                        <w:tcW w:w="2304" w:type="dxa"/>
                        <w:tcBorders>
                          <w:top w:val="dotted" w:sz="4" w:space="0" w:color="FFFFFF"/>
                          <w:left w:val="nil"/>
                          <w:right w:val="single" w:sz="4" w:space="0" w:color="929292"/>
                        </w:tcBorders>
                      </w:tcPr>
                      <w:p>
                        <w:pPr>
                          <w:pStyle w:val="TableParagraph"/>
                          <w:tabs>
                            <w:tab w:pos="2253" w:val="left" w:leader="none"/>
                          </w:tabs>
                          <w:spacing w:before="66"/>
                          <w:ind w:right="7"/>
                          <w:jc w:val="right"/>
                          <w:rPr>
                            <w:sz w:val="16"/>
                          </w:rPr>
                        </w:pPr>
                        <w:r>
                          <w:rPr>
                            <w:w w:val="100"/>
                            <w:sz w:val="16"/>
                            <w:u w:val="dotted" w:color="929292"/>
                          </w:rPr>
                          <w:t> </w:t>
                        </w:r>
                        <w:r>
                          <w:rPr>
                            <w:spacing w:val="-16"/>
                            <w:sz w:val="16"/>
                            <w:u w:val="dotted" w:color="929292"/>
                          </w:rPr>
                          <w:t> </w:t>
                        </w:r>
                        <w:r>
                          <w:rPr>
                            <w:sz w:val="16"/>
                            <w:u w:val="dotted" w:color="929292"/>
                          </w:rPr>
                          <w:t>Sistema</w:t>
                        </w:r>
                        <w:r>
                          <w:rPr>
                            <w:spacing w:val="11"/>
                            <w:sz w:val="16"/>
                            <w:u w:val="dotted" w:color="929292"/>
                          </w:rPr>
                          <w:t> </w:t>
                        </w:r>
                        <w:r>
                          <w:rPr>
                            <w:sz w:val="16"/>
                            <w:u w:val="dotted" w:color="929292"/>
                          </w:rPr>
                          <w:t>estructural</w:t>
                          <w:tab/>
                        </w:r>
                      </w:p>
                    </w:tc>
                    <w:tc>
                      <w:tcPr>
                        <w:tcW w:w="2126" w:type="dxa"/>
                        <w:tcBorders>
                          <w:top w:val="dotted" w:sz="4" w:space="0" w:color="FFFFFF"/>
                          <w:left w:val="single" w:sz="4" w:space="0" w:color="929292"/>
                          <w:right w:val="single" w:sz="4" w:space="0" w:color="929292"/>
                        </w:tcBorders>
                      </w:tcPr>
                      <w:p>
                        <w:pPr>
                          <w:pStyle w:val="TableParagraph"/>
                          <w:tabs>
                            <w:tab w:pos="2081" w:val="left" w:leader="none"/>
                          </w:tabs>
                          <w:spacing w:before="66"/>
                          <w:ind w:right="7"/>
                          <w:jc w:val="right"/>
                          <w:rPr>
                            <w:sz w:val="16"/>
                          </w:rPr>
                        </w:pPr>
                        <w:r>
                          <w:rPr>
                            <w:w w:val="100"/>
                            <w:sz w:val="16"/>
                            <w:u w:val="dotted" w:color="929292"/>
                          </w:rPr>
                          <w:t> </w:t>
                        </w:r>
                        <w:r>
                          <w:rPr>
                            <w:spacing w:val="-11"/>
                            <w:sz w:val="16"/>
                            <w:u w:val="dotted" w:color="929292"/>
                          </w:rPr>
                          <w:t> </w:t>
                        </w:r>
                        <w:r>
                          <w:rPr>
                            <w:sz w:val="16"/>
                            <w:u w:val="dotted" w:color="929292"/>
                          </w:rPr>
                          <w:t>Hormigón</w:t>
                        </w:r>
                        <w:r>
                          <w:rPr>
                            <w:spacing w:val="17"/>
                            <w:sz w:val="16"/>
                            <w:u w:val="dotted" w:color="929292"/>
                          </w:rPr>
                          <w:t> </w:t>
                        </w:r>
                        <w:r>
                          <w:rPr>
                            <w:sz w:val="16"/>
                            <w:u w:val="dotted" w:color="929292"/>
                          </w:rPr>
                          <w:t>armado</w:t>
                          <w:tab/>
                        </w:r>
                      </w:p>
                    </w:tc>
                    <w:tc>
                      <w:tcPr>
                        <w:tcW w:w="1134" w:type="dxa"/>
                        <w:tcBorders>
                          <w:top w:val="dotted" w:sz="4" w:space="0" w:color="FFFFFF"/>
                          <w:left w:val="single" w:sz="4" w:space="0" w:color="929292"/>
                          <w:right w:val="single" w:sz="4" w:space="0" w:color="929292"/>
                        </w:tcBorders>
                      </w:tcPr>
                      <w:p>
                        <w:pPr>
                          <w:pStyle w:val="TableParagraph"/>
                          <w:tabs>
                            <w:tab w:pos="1114" w:val="left" w:leader="none"/>
                          </w:tabs>
                          <w:spacing w:before="66"/>
                          <w:ind w:left="24"/>
                          <w:rPr>
                            <w:sz w:val="16"/>
                          </w:rPr>
                        </w:pPr>
                        <w:r>
                          <w:rPr>
                            <w:w w:val="100"/>
                            <w:sz w:val="16"/>
                            <w:u w:val="dotted" w:color="929292"/>
                          </w:rPr>
                          <w:t> </w:t>
                        </w:r>
                        <w:r>
                          <w:rPr>
                            <w:spacing w:val="-11"/>
                            <w:sz w:val="16"/>
                            <w:u w:val="dotted" w:color="929292"/>
                          </w:rPr>
                          <w:t> </w:t>
                        </w:r>
                        <w:r>
                          <w:rPr>
                            <w:sz w:val="16"/>
                            <w:u w:val="dotted" w:color="929292"/>
                          </w:rPr>
                          <w:t>5</w:t>
                          <w:tab/>
                        </w:r>
                      </w:p>
                    </w:tc>
                    <w:tc>
                      <w:tcPr>
                        <w:tcW w:w="1276" w:type="dxa"/>
                        <w:tcBorders>
                          <w:top w:val="dotted" w:sz="4" w:space="0" w:color="FFFFFF"/>
                          <w:left w:val="single" w:sz="4" w:space="0" w:color="929292"/>
                          <w:right w:val="single" w:sz="4" w:space="0" w:color="929292"/>
                        </w:tcBorders>
                      </w:tcPr>
                      <w:p>
                        <w:pPr>
                          <w:pStyle w:val="TableParagraph"/>
                          <w:tabs>
                            <w:tab w:pos="1246" w:val="left" w:leader="none"/>
                          </w:tabs>
                          <w:spacing w:before="66"/>
                          <w:ind w:left="14"/>
                          <w:jc w:val="center"/>
                          <w:rPr>
                            <w:sz w:val="16"/>
                          </w:rPr>
                        </w:pPr>
                        <w:r>
                          <w:rPr>
                            <w:w w:val="100"/>
                            <w:sz w:val="16"/>
                            <w:u w:val="dotted" w:color="929292"/>
                          </w:rPr>
                          <w:t> </w:t>
                        </w:r>
                        <w:r>
                          <w:rPr>
                            <w:spacing w:val="-11"/>
                            <w:sz w:val="16"/>
                            <w:u w:val="dotted" w:color="929292"/>
                          </w:rPr>
                          <w:t> </w:t>
                        </w:r>
                        <w:r>
                          <w:rPr>
                            <w:sz w:val="16"/>
                            <w:u w:val="dotted" w:color="929292"/>
                          </w:rPr>
                          <w:t>0.8</w:t>
                          <w:tab/>
                        </w:r>
                      </w:p>
                    </w:tc>
                    <w:tc>
                      <w:tcPr>
                        <w:tcW w:w="893" w:type="dxa"/>
                        <w:tcBorders>
                          <w:top w:val="dotted" w:sz="4" w:space="0" w:color="FFFFFF"/>
                          <w:left w:val="single" w:sz="4" w:space="0" w:color="929292"/>
                          <w:right w:val="nil"/>
                        </w:tcBorders>
                      </w:tcPr>
                      <w:p>
                        <w:pPr>
                          <w:pStyle w:val="TableParagraph"/>
                          <w:tabs>
                            <w:tab w:pos="848" w:val="left" w:leader="none"/>
                          </w:tabs>
                          <w:spacing w:before="66"/>
                          <w:ind w:left="4"/>
                          <w:jc w:val="center"/>
                          <w:rPr>
                            <w:sz w:val="16"/>
                          </w:rPr>
                        </w:pPr>
                        <w:r>
                          <w:rPr>
                            <w:w w:val="100"/>
                            <w:sz w:val="16"/>
                            <w:u w:val="dotted" w:color="929292"/>
                          </w:rPr>
                          <w:t> </w:t>
                        </w:r>
                        <w:r>
                          <w:rPr>
                            <w:spacing w:val="-11"/>
                            <w:sz w:val="16"/>
                            <w:u w:val="dotted" w:color="929292"/>
                          </w:rPr>
                          <w:t> </w:t>
                        </w:r>
                        <w:r>
                          <w:rPr>
                            <w:sz w:val="16"/>
                            <w:u w:val="dotted" w:color="929292"/>
                          </w:rPr>
                          <w:t>4</w:t>
                          <w:tab/>
                        </w:r>
                      </w:p>
                    </w:tc>
                  </w:tr>
                  <w:tr>
                    <w:trPr>
                      <w:trHeight w:val="480" w:hRule="exact"/>
                    </w:trPr>
                    <w:tc>
                      <w:tcPr>
                        <w:tcW w:w="2304" w:type="dxa"/>
                        <w:tcBorders>
                          <w:left w:val="nil"/>
                          <w:right w:val="single" w:sz="4" w:space="0" w:color="929292"/>
                        </w:tcBorders>
                      </w:tcPr>
                      <w:p>
                        <w:pPr>
                          <w:pStyle w:val="TableParagraph"/>
                          <w:spacing w:before="56"/>
                          <w:ind w:left="108"/>
                          <w:rPr>
                            <w:sz w:val="16"/>
                          </w:rPr>
                        </w:pPr>
                        <w:r>
                          <w:rPr>
                            <w:sz w:val="16"/>
                          </w:rPr>
                          <w:t>Tipo de materiales en</w:t>
                        </w:r>
                      </w:p>
                      <w:p>
                        <w:pPr>
                          <w:pStyle w:val="TableParagraph"/>
                          <w:tabs>
                            <w:tab w:pos="2288" w:val="left" w:leader="none"/>
                          </w:tabs>
                          <w:spacing w:before="56"/>
                          <w:ind w:left="34"/>
                          <w:rPr>
                            <w:sz w:val="16"/>
                          </w:rPr>
                        </w:pPr>
                        <w:r>
                          <w:rPr>
                            <w:w w:val="100"/>
                            <w:sz w:val="16"/>
                            <w:u w:val="dotted" w:color="929292"/>
                          </w:rPr>
                          <w:t> </w:t>
                        </w:r>
                        <w:r>
                          <w:rPr>
                            <w:spacing w:val="-16"/>
                            <w:sz w:val="16"/>
                            <w:u w:val="dotted" w:color="929292"/>
                          </w:rPr>
                          <w:t> </w:t>
                        </w:r>
                        <w:r>
                          <w:rPr>
                            <w:sz w:val="16"/>
                            <w:u w:val="dotted" w:color="929292"/>
                          </w:rPr>
                          <w:t>paredes</w:t>
                          <w:tab/>
                        </w:r>
                      </w:p>
                    </w:tc>
                    <w:tc>
                      <w:tcPr>
                        <w:tcW w:w="2126" w:type="dxa"/>
                        <w:tcBorders>
                          <w:left w:val="single" w:sz="4" w:space="0" w:color="929292"/>
                          <w:right w:val="single" w:sz="4" w:space="0" w:color="929292"/>
                        </w:tcBorders>
                      </w:tcPr>
                      <w:p>
                        <w:pPr>
                          <w:pStyle w:val="TableParagraph"/>
                          <w:spacing w:before="56"/>
                          <w:ind w:left="103" w:right="125"/>
                          <w:rPr>
                            <w:sz w:val="16"/>
                          </w:rPr>
                        </w:pPr>
                        <w:r>
                          <w:rPr>
                            <w:sz w:val="16"/>
                          </w:rPr>
                          <w:t>Pared de bloque (hueco)</w:t>
                        </w:r>
                      </w:p>
                      <w:p>
                        <w:pPr>
                          <w:pStyle w:val="TableParagraph"/>
                          <w:tabs>
                            <w:tab w:pos="2105" w:val="left" w:leader="none"/>
                          </w:tabs>
                          <w:spacing w:before="56"/>
                          <w:ind w:left="24"/>
                          <w:rPr>
                            <w:sz w:val="16"/>
                          </w:rPr>
                        </w:pPr>
                        <w:r>
                          <w:rPr>
                            <w:w w:val="100"/>
                            <w:sz w:val="16"/>
                            <w:u w:val="dotted" w:color="929292"/>
                          </w:rPr>
                          <w:t> </w:t>
                        </w:r>
                        <w:r>
                          <w:rPr>
                            <w:sz w:val="16"/>
                            <w:u w:val="dotted" w:color="929292"/>
                          </w:rPr>
                          <w:tab/>
                        </w:r>
                      </w:p>
                    </w:tc>
                    <w:tc>
                      <w:tcPr>
                        <w:tcW w:w="1134" w:type="dxa"/>
                        <w:tcBorders>
                          <w:left w:val="single" w:sz="4" w:space="0" w:color="929292"/>
                          <w:right w:val="single" w:sz="4" w:space="0" w:color="929292"/>
                        </w:tcBorders>
                      </w:tcPr>
                      <w:p>
                        <w:pPr>
                          <w:pStyle w:val="TableParagraph"/>
                          <w:spacing w:before="56"/>
                          <w:ind w:left="103"/>
                          <w:rPr>
                            <w:sz w:val="16"/>
                          </w:rPr>
                        </w:pPr>
                        <w:r>
                          <w:rPr>
                            <w:w w:val="99"/>
                            <w:sz w:val="16"/>
                          </w:rPr>
                          <w:t>5</w:t>
                        </w:r>
                      </w:p>
                      <w:p>
                        <w:pPr>
                          <w:pStyle w:val="TableParagraph"/>
                          <w:tabs>
                            <w:tab w:pos="1114" w:val="left" w:leader="none"/>
                          </w:tabs>
                          <w:spacing w:before="56"/>
                          <w:ind w:left="24"/>
                          <w:rPr>
                            <w:sz w:val="16"/>
                          </w:rPr>
                        </w:pPr>
                        <w:r>
                          <w:rPr>
                            <w:w w:val="100"/>
                            <w:sz w:val="16"/>
                            <w:u w:val="dotted" w:color="929292"/>
                          </w:rPr>
                          <w:t> </w:t>
                        </w:r>
                        <w:r>
                          <w:rPr>
                            <w:sz w:val="16"/>
                            <w:u w:val="dotted" w:color="929292"/>
                          </w:rPr>
                          <w:tab/>
                        </w:r>
                      </w:p>
                    </w:tc>
                    <w:tc>
                      <w:tcPr>
                        <w:tcW w:w="1276" w:type="dxa"/>
                        <w:tcBorders>
                          <w:left w:val="single" w:sz="4" w:space="0" w:color="929292"/>
                          <w:right w:val="single" w:sz="4" w:space="0" w:color="929292"/>
                        </w:tcBorders>
                      </w:tcPr>
                      <w:p>
                        <w:pPr>
                          <w:pStyle w:val="TableParagraph"/>
                          <w:spacing w:before="56"/>
                          <w:ind w:left="103" w:right="431"/>
                          <w:rPr>
                            <w:sz w:val="16"/>
                          </w:rPr>
                        </w:pPr>
                        <w:r>
                          <w:rPr>
                            <w:sz w:val="16"/>
                          </w:rPr>
                          <w:t>0.8</w:t>
                        </w:r>
                      </w:p>
                      <w:p>
                        <w:pPr>
                          <w:pStyle w:val="TableParagraph"/>
                          <w:tabs>
                            <w:tab w:pos="1256" w:val="left" w:leader="none"/>
                          </w:tabs>
                          <w:spacing w:before="56"/>
                          <w:ind w:left="24"/>
                          <w:rPr>
                            <w:sz w:val="16"/>
                          </w:rPr>
                        </w:pPr>
                        <w:r>
                          <w:rPr>
                            <w:w w:val="100"/>
                            <w:sz w:val="16"/>
                            <w:u w:val="dotted" w:color="929292"/>
                          </w:rPr>
                          <w:t> </w:t>
                        </w:r>
                        <w:r>
                          <w:rPr>
                            <w:sz w:val="16"/>
                            <w:u w:val="dotted" w:color="929292"/>
                          </w:rPr>
                          <w:tab/>
                        </w:r>
                      </w:p>
                    </w:tc>
                    <w:tc>
                      <w:tcPr>
                        <w:tcW w:w="893" w:type="dxa"/>
                        <w:tcBorders>
                          <w:left w:val="single" w:sz="4" w:space="0" w:color="929292"/>
                          <w:right w:val="nil"/>
                        </w:tcBorders>
                      </w:tcPr>
                      <w:p>
                        <w:pPr>
                          <w:pStyle w:val="TableParagraph"/>
                          <w:spacing w:before="56"/>
                          <w:ind w:left="103"/>
                          <w:rPr>
                            <w:sz w:val="16"/>
                          </w:rPr>
                        </w:pPr>
                        <w:r>
                          <w:rPr>
                            <w:w w:val="99"/>
                            <w:sz w:val="16"/>
                          </w:rPr>
                          <w:t>4</w:t>
                        </w:r>
                      </w:p>
                      <w:p>
                        <w:pPr>
                          <w:pStyle w:val="TableParagraph"/>
                          <w:tabs>
                            <w:tab w:pos="868" w:val="left" w:leader="none"/>
                          </w:tabs>
                          <w:spacing w:before="56"/>
                          <w:ind w:left="24"/>
                          <w:rPr>
                            <w:sz w:val="16"/>
                          </w:rPr>
                        </w:pPr>
                        <w:r>
                          <w:rPr>
                            <w:w w:val="100"/>
                            <w:sz w:val="16"/>
                            <w:u w:val="dotted" w:color="929292"/>
                          </w:rPr>
                          <w:t> </w:t>
                        </w:r>
                        <w:r>
                          <w:rPr>
                            <w:sz w:val="16"/>
                            <w:u w:val="dotted" w:color="929292"/>
                          </w:rPr>
                          <w:tab/>
                        </w:r>
                      </w:p>
                    </w:tc>
                  </w:tr>
                  <w:tr>
                    <w:trPr>
                      <w:trHeight w:val="240" w:hRule="exact"/>
                    </w:trPr>
                    <w:tc>
                      <w:tcPr>
                        <w:tcW w:w="2304" w:type="dxa"/>
                        <w:tcBorders>
                          <w:left w:val="nil"/>
                          <w:right w:val="single" w:sz="4" w:space="0" w:color="929292"/>
                        </w:tcBorders>
                      </w:tcPr>
                      <w:p>
                        <w:pPr>
                          <w:pStyle w:val="TableParagraph"/>
                          <w:tabs>
                            <w:tab w:pos="2253" w:val="left" w:leader="none"/>
                          </w:tabs>
                          <w:spacing w:before="56"/>
                          <w:ind w:right="7"/>
                          <w:jc w:val="right"/>
                          <w:rPr>
                            <w:sz w:val="16"/>
                          </w:rPr>
                        </w:pPr>
                        <w:r>
                          <w:rPr>
                            <w:w w:val="100"/>
                            <w:sz w:val="16"/>
                            <w:u w:val="dotted" w:color="929292"/>
                          </w:rPr>
                          <w:t> </w:t>
                        </w:r>
                        <w:r>
                          <w:rPr>
                            <w:spacing w:val="-16"/>
                            <w:sz w:val="16"/>
                            <w:u w:val="dotted" w:color="929292"/>
                          </w:rPr>
                          <w:t> </w:t>
                        </w:r>
                        <w:r>
                          <w:rPr>
                            <w:sz w:val="16"/>
                            <w:u w:val="dotted" w:color="929292"/>
                          </w:rPr>
                          <w:t>Número de</w:t>
                        </w:r>
                        <w:r>
                          <w:rPr>
                            <w:spacing w:val="14"/>
                            <w:sz w:val="16"/>
                            <w:u w:val="dotted" w:color="929292"/>
                          </w:rPr>
                          <w:t> </w:t>
                        </w:r>
                        <w:r>
                          <w:rPr>
                            <w:sz w:val="16"/>
                            <w:u w:val="dotted" w:color="929292"/>
                          </w:rPr>
                          <w:t>pisos</w:t>
                          <w:tab/>
                        </w:r>
                      </w:p>
                    </w:tc>
                    <w:tc>
                      <w:tcPr>
                        <w:tcW w:w="2126" w:type="dxa"/>
                        <w:tcBorders>
                          <w:left w:val="single" w:sz="4" w:space="0" w:color="929292"/>
                          <w:right w:val="single" w:sz="4" w:space="0" w:color="929292"/>
                        </w:tcBorders>
                      </w:tcPr>
                      <w:p>
                        <w:pPr>
                          <w:pStyle w:val="TableParagraph"/>
                          <w:tabs>
                            <w:tab w:pos="2081" w:val="left" w:leader="none"/>
                          </w:tabs>
                          <w:spacing w:before="56"/>
                          <w:ind w:right="7"/>
                          <w:jc w:val="right"/>
                          <w:rPr>
                            <w:sz w:val="16"/>
                          </w:rPr>
                        </w:pPr>
                        <w:r>
                          <w:rPr>
                            <w:w w:val="100"/>
                            <w:sz w:val="16"/>
                            <w:u w:val="dotted" w:color="929292"/>
                          </w:rPr>
                          <w:t> </w:t>
                        </w:r>
                        <w:r>
                          <w:rPr>
                            <w:spacing w:val="-11"/>
                            <w:sz w:val="16"/>
                            <w:u w:val="dotted" w:color="929292"/>
                          </w:rPr>
                          <w:t> </w:t>
                        </w:r>
                        <w:r>
                          <w:rPr>
                            <w:sz w:val="16"/>
                            <w:u w:val="dotted" w:color="929292"/>
                          </w:rPr>
                          <w:t>2</w:t>
                        </w:r>
                        <w:r>
                          <w:rPr>
                            <w:spacing w:val="8"/>
                            <w:sz w:val="16"/>
                            <w:u w:val="dotted" w:color="929292"/>
                          </w:rPr>
                          <w:t> </w:t>
                        </w:r>
                        <w:r>
                          <w:rPr>
                            <w:sz w:val="16"/>
                            <w:u w:val="dotted" w:color="929292"/>
                          </w:rPr>
                          <w:t>pisos</w:t>
                          <w:tab/>
                        </w:r>
                      </w:p>
                    </w:tc>
                    <w:tc>
                      <w:tcPr>
                        <w:tcW w:w="1134" w:type="dxa"/>
                        <w:tcBorders>
                          <w:left w:val="single" w:sz="4" w:space="0" w:color="929292"/>
                          <w:right w:val="single" w:sz="4" w:space="0" w:color="929292"/>
                        </w:tcBorders>
                      </w:tcPr>
                      <w:p>
                        <w:pPr>
                          <w:pStyle w:val="TableParagraph"/>
                          <w:tabs>
                            <w:tab w:pos="1114" w:val="left" w:leader="none"/>
                          </w:tabs>
                          <w:spacing w:before="56"/>
                          <w:ind w:left="24"/>
                          <w:rPr>
                            <w:sz w:val="16"/>
                          </w:rPr>
                        </w:pPr>
                        <w:r>
                          <w:rPr>
                            <w:w w:val="100"/>
                            <w:sz w:val="16"/>
                            <w:u w:val="dotted" w:color="929292"/>
                          </w:rPr>
                          <w:t> </w:t>
                        </w:r>
                        <w:r>
                          <w:rPr>
                            <w:spacing w:val="-11"/>
                            <w:sz w:val="16"/>
                            <w:u w:val="dotted" w:color="929292"/>
                          </w:rPr>
                          <w:t> </w:t>
                        </w:r>
                        <w:r>
                          <w:rPr>
                            <w:sz w:val="16"/>
                            <w:u w:val="dotted" w:color="929292"/>
                          </w:rPr>
                          <w:t>5</w:t>
                          <w:tab/>
                        </w:r>
                      </w:p>
                    </w:tc>
                    <w:tc>
                      <w:tcPr>
                        <w:tcW w:w="1276" w:type="dxa"/>
                        <w:tcBorders>
                          <w:left w:val="single" w:sz="4" w:space="0" w:color="929292"/>
                          <w:right w:val="single" w:sz="4" w:space="0" w:color="929292"/>
                        </w:tcBorders>
                      </w:tcPr>
                      <w:p>
                        <w:pPr>
                          <w:pStyle w:val="TableParagraph"/>
                          <w:tabs>
                            <w:tab w:pos="1246" w:val="left" w:leader="none"/>
                          </w:tabs>
                          <w:spacing w:before="56"/>
                          <w:ind w:left="14"/>
                          <w:jc w:val="center"/>
                          <w:rPr>
                            <w:sz w:val="16"/>
                          </w:rPr>
                        </w:pPr>
                        <w:r>
                          <w:rPr>
                            <w:w w:val="100"/>
                            <w:sz w:val="16"/>
                            <w:u w:val="dotted" w:color="929292"/>
                          </w:rPr>
                          <w:t> </w:t>
                        </w:r>
                        <w:r>
                          <w:rPr>
                            <w:spacing w:val="-10"/>
                            <w:sz w:val="16"/>
                            <w:u w:val="dotted" w:color="929292"/>
                          </w:rPr>
                          <w:t> </w:t>
                        </w:r>
                        <w:r>
                          <w:rPr>
                            <w:sz w:val="16"/>
                            <w:u w:val="dotted" w:color="929292"/>
                          </w:rPr>
                          <w:t>0.8</w:t>
                          <w:tab/>
                        </w:r>
                      </w:p>
                    </w:tc>
                    <w:tc>
                      <w:tcPr>
                        <w:tcW w:w="893" w:type="dxa"/>
                        <w:tcBorders>
                          <w:left w:val="single" w:sz="4" w:space="0" w:color="929292"/>
                          <w:right w:val="nil"/>
                        </w:tcBorders>
                      </w:tcPr>
                      <w:p>
                        <w:pPr>
                          <w:pStyle w:val="TableParagraph"/>
                          <w:tabs>
                            <w:tab w:pos="848" w:val="left" w:leader="none"/>
                          </w:tabs>
                          <w:spacing w:before="56"/>
                          <w:ind w:left="4"/>
                          <w:jc w:val="center"/>
                          <w:rPr>
                            <w:sz w:val="16"/>
                          </w:rPr>
                        </w:pPr>
                        <w:r>
                          <w:rPr>
                            <w:w w:val="100"/>
                            <w:sz w:val="16"/>
                            <w:u w:val="dotted" w:color="929292"/>
                          </w:rPr>
                          <w:t> </w:t>
                        </w:r>
                        <w:r>
                          <w:rPr>
                            <w:spacing w:val="-10"/>
                            <w:sz w:val="16"/>
                            <w:u w:val="dotted" w:color="929292"/>
                          </w:rPr>
                          <w:t> </w:t>
                        </w:r>
                        <w:r>
                          <w:rPr>
                            <w:sz w:val="16"/>
                            <w:u w:val="dotted" w:color="929292"/>
                          </w:rPr>
                          <w:t>4</w:t>
                          <w:tab/>
                        </w:r>
                      </w:p>
                    </w:tc>
                  </w:tr>
                  <w:tr>
                    <w:trPr>
                      <w:trHeight w:val="240" w:hRule="exact"/>
                    </w:trPr>
                    <w:tc>
                      <w:tcPr>
                        <w:tcW w:w="2304" w:type="dxa"/>
                        <w:tcBorders>
                          <w:left w:val="nil"/>
                          <w:right w:val="single" w:sz="4" w:space="0" w:color="929292"/>
                        </w:tcBorders>
                      </w:tcPr>
                      <w:p>
                        <w:pPr>
                          <w:pStyle w:val="TableParagraph"/>
                          <w:tabs>
                            <w:tab w:pos="2253" w:val="left" w:leader="none"/>
                          </w:tabs>
                          <w:spacing w:before="56"/>
                          <w:ind w:right="7"/>
                          <w:jc w:val="right"/>
                          <w:rPr>
                            <w:sz w:val="16"/>
                          </w:rPr>
                        </w:pPr>
                        <w:r>
                          <w:rPr>
                            <w:w w:val="100"/>
                            <w:sz w:val="16"/>
                            <w:u w:val="dotted" w:color="929292"/>
                          </w:rPr>
                          <w:t> </w:t>
                        </w:r>
                        <w:r>
                          <w:rPr>
                            <w:spacing w:val="-16"/>
                            <w:sz w:val="16"/>
                            <w:u w:val="dotted" w:color="929292"/>
                          </w:rPr>
                          <w:t> </w:t>
                        </w:r>
                        <w:r>
                          <w:rPr>
                            <w:sz w:val="16"/>
                            <w:u w:val="dotted" w:color="929292"/>
                          </w:rPr>
                          <w:t>Año de</w:t>
                        </w:r>
                        <w:r>
                          <w:rPr>
                            <w:spacing w:val="31"/>
                            <w:sz w:val="16"/>
                            <w:u w:val="dotted" w:color="929292"/>
                          </w:rPr>
                          <w:t> </w:t>
                        </w:r>
                        <w:r>
                          <w:rPr>
                            <w:sz w:val="16"/>
                            <w:u w:val="dotted" w:color="929292"/>
                          </w:rPr>
                          <w:t>construcción</w:t>
                          <w:tab/>
                        </w:r>
                      </w:p>
                    </w:tc>
                    <w:tc>
                      <w:tcPr>
                        <w:tcW w:w="2126" w:type="dxa"/>
                        <w:tcBorders>
                          <w:left w:val="single" w:sz="4" w:space="0" w:color="929292"/>
                          <w:right w:val="single" w:sz="4" w:space="0" w:color="929292"/>
                        </w:tcBorders>
                      </w:tcPr>
                      <w:p>
                        <w:pPr>
                          <w:pStyle w:val="TableParagraph"/>
                          <w:tabs>
                            <w:tab w:pos="2081" w:val="left" w:leader="none"/>
                          </w:tabs>
                          <w:spacing w:before="56"/>
                          <w:ind w:right="7"/>
                          <w:jc w:val="right"/>
                          <w:rPr>
                            <w:sz w:val="16"/>
                          </w:rPr>
                        </w:pPr>
                        <w:r>
                          <w:rPr>
                            <w:w w:val="100"/>
                            <w:sz w:val="16"/>
                            <w:u w:val="dotted" w:color="929292"/>
                          </w:rPr>
                          <w:t> </w:t>
                        </w:r>
                        <w:r>
                          <w:rPr>
                            <w:spacing w:val="-11"/>
                            <w:sz w:val="16"/>
                            <w:u w:val="dotted" w:color="929292"/>
                          </w:rPr>
                          <w:t> </w:t>
                        </w:r>
                        <w:r>
                          <w:rPr>
                            <w:sz w:val="16"/>
                            <w:u w:val="dotted" w:color="929292"/>
                          </w:rPr>
                          <w:t>Entre 1986 y</w:t>
                        </w:r>
                        <w:r>
                          <w:rPr>
                            <w:spacing w:val="38"/>
                            <w:sz w:val="16"/>
                            <w:u w:val="dotted" w:color="929292"/>
                          </w:rPr>
                          <w:t> </w:t>
                        </w:r>
                        <w:r>
                          <w:rPr>
                            <w:sz w:val="16"/>
                            <w:u w:val="dotted" w:color="929292"/>
                          </w:rPr>
                          <w:t>2000</w:t>
                          <w:tab/>
                        </w:r>
                      </w:p>
                    </w:tc>
                    <w:tc>
                      <w:tcPr>
                        <w:tcW w:w="1134" w:type="dxa"/>
                        <w:tcBorders>
                          <w:left w:val="single" w:sz="4" w:space="0" w:color="929292"/>
                          <w:right w:val="single" w:sz="4" w:space="0" w:color="929292"/>
                        </w:tcBorders>
                      </w:tcPr>
                      <w:p>
                        <w:pPr>
                          <w:pStyle w:val="TableParagraph"/>
                          <w:tabs>
                            <w:tab w:pos="1114" w:val="left" w:leader="none"/>
                          </w:tabs>
                          <w:spacing w:before="56"/>
                          <w:ind w:left="24"/>
                          <w:rPr>
                            <w:sz w:val="16"/>
                          </w:rPr>
                        </w:pPr>
                        <w:r>
                          <w:rPr>
                            <w:w w:val="100"/>
                            <w:sz w:val="16"/>
                            <w:u w:val="dotted" w:color="929292"/>
                          </w:rPr>
                          <w:t> </w:t>
                        </w:r>
                        <w:r>
                          <w:rPr>
                            <w:spacing w:val="-10"/>
                            <w:sz w:val="16"/>
                            <w:u w:val="dotted" w:color="929292"/>
                          </w:rPr>
                          <w:t> </w:t>
                        </w:r>
                        <w:r>
                          <w:rPr>
                            <w:sz w:val="16"/>
                            <w:u w:val="dotted" w:color="929292"/>
                          </w:rPr>
                          <w:t>1</w:t>
                          <w:tab/>
                        </w:r>
                      </w:p>
                    </w:tc>
                    <w:tc>
                      <w:tcPr>
                        <w:tcW w:w="1276" w:type="dxa"/>
                        <w:tcBorders>
                          <w:left w:val="single" w:sz="4" w:space="0" w:color="929292"/>
                          <w:right w:val="single" w:sz="4" w:space="0" w:color="929292"/>
                        </w:tcBorders>
                      </w:tcPr>
                      <w:p>
                        <w:pPr>
                          <w:pStyle w:val="TableParagraph"/>
                          <w:tabs>
                            <w:tab w:pos="1246" w:val="left" w:leader="none"/>
                          </w:tabs>
                          <w:spacing w:before="56"/>
                          <w:ind w:left="14"/>
                          <w:jc w:val="center"/>
                          <w:rPr>
                            <w:sz w:val="16"/>
                          </w:rPr>
                        </w:pPr>
                        <w:r>
                          <w:rPr>
                            <w:w w:val="100"/>
                            <w:sz w:val="16"/>
                            <w:u w:val="dotted" w:color="929292"/>
                          </w:rPr>
                          <w:t> </w:t>
                        </w:r>
                        <w:r>
                          <w:rPr>
                            <w:spacing w:val="-10"/>
                            <w:sz w:val="16"/>
                            <w:u w:val="dotted" w:color="929292"/>
                          </w:rPr>
                          <w:t> </w:t>
                        </w:r>
                        <w:r>
                          <w:rPr>
                            <w:sz w:val="16"/>
                            <w:u w:val="dotted" w:color="929292"/>
                          </w:rPr>
                          <w:t>0.8</w:t>
                          <w:tab/>
                        </w:r>
                      </w:p>
                    </w:tc>
                    <w:tc>
                      <w:tcPr>
                        <w:tcW w:w="893" w:type="dxa"/>
                        <w:tcBorders>
                          <w:left w:val="single" w:sz="4" w:space="0" w:color="929292"/>
                          <w:right w:val="nil"/>
                        </w:tcBorders>
                      </w:tcPr>
                      <w:p>
                        <w:pPr>
                          <w:pStyle w:val="TableParagraph"/>
                          <w:tabs>
                            <w:tab w:pos="848" w:val="left" w:leader="none"/>
                          </w:tabs>
                          <w:spacing w:before="56"/>
                          <w:ind w:left="4"/>
                          <w:jc w:val="center"/>
                          <w:rPr>
                            <w:sz w:val="16"/>
                          </w:rPr>
                        </w:pPr>
                        <w:r>
                          <w:rPr>
                            <w:w w:val="100"/>
                            <w:sz w:val="16"/>
                            <w:u w:val="dotted" w:color="929292"/>
                          </w:rPr>
                          <w:t> </w:t>
                        </w:r>
                        <w:r>
                          <w:rPr>
                            <w:spacing w:val="-10"/>
                            <w:sz w:val="16"/>
                            <w:u w:val="dotted" w:color="929292"/>
                          </w:rPr>
                          <w:t> </w:t>
                        </w:r>
                        <w:r>
                          <w:rPr>
                            <w:sz w:val="16"/>
                            <w:u w:val="dotted" w:color="929292"/>
                          </w:rPr>
                          <w:t>0.8</w:t>
                          <w:tab/>
                        </w:r>
                      </w:p>
                    </w:tc>
                  </w:tr>
                  <w:tr>
                    <w:trPr>
                      <w:trHeight w:val="240" w:hRule="exact"/>
                    </w:trPr>
                    <w:tc>
                      <w:tcPr>
                        <w:tcW w:w="2304" w:type="dxa"/>
                        <w:tcBorders>
                          <w:left w:val="nil"/>
                          <w:right w:val="single" w:sz="4" w:space="0" w:color="929292"/>
                        </w:tcBorders>
                      </w:tcPr>
                      <w:p>
                        <w:pPr>
                          <w:pStyle w:val="TableParagraph"/>
                          <w:tabs>
                            <w:tab w:pos="2253" w:val="left" w:leader="none"/>
                          </w:tabs>
                          <w:spacing w:before="56"/>
                          <w:ind w:right="7"/>
                          <w:jc w:val="right"/>
                          <w:rPr>
                            <w:sz w:val="16"/>
                          </w:rPr>
                        </w:pPr>
                        <w:r>
                          <w:rPr>
                            <w:w w:val="100"/>
                            <w:sz w:val="16"/>
                            <w:u w:val="dotted" w:color="929292"/>
                          </w:rPr>
                          <w:t> </w:t>
                        </w:r>
                        <w:r>
                          <w:rPr>
                            <w:spacing w:val="-15"/>
                            <w:sz w:val="16"/>
                            <w:u w:val="dotted" w:color="929292"/>
                          </w:rPr>
                          <w:t> </w:t>
                        </w:r>
                        <w:r>
                          <w:rPr>
                            <w:sz w:val="16"/>
                            <w:u w:val="dotted" w:color="929292"/>
                          </w:rPr>
                          <w:t>Estado de</w:t>
                        </w:r>
                        <w:r>
                          <w:rPr>
                            <w:spacing w:val="16"/>
                            <w:sz w:val="16"/>
                            <w:u w:val="dotted" w:color="929292"/>
                          </w:rPr>
                          <w:t> </w:t>
                        </w:r>
                        <w:r>
                          <w:rPr>
                            <w:sz w:val="16"/>
                            <w:u w:val="dotted" w:color="929292"/>
                          </w:rPr>
                          <w:t>conservación</w:t>
                          <w:tab/>
                        </w:r>
                      </w:p>
                    </w:tc>
                    <w:tc>
                      <w:tcPr>
                        <w:tcW w:w="2126" w:type="dxa"/>
                        <w:tcBorders>
                          <w:left w:val="single" w:sz="4" w:space="0" w:color="929292"/>
                          <w:right w:val="single" w:sz="4" w:space="0" w:color="929292"/>
                        </w:tcBorders>
                      </w:tcPr>
                      <w:p>
                        <w:pPr>
                          <w:pStyle w:val="TableParagraph"/>
                          <w:tabs>
                            <w:tab w:pos="2081" w:val="left" w:leader="none"/>
                          </w:tabs>
                          <w:spacing w:before="56"/>
                          <w:ind w:right="7"/>
                          <w:jc w:val="right"/>
                          <w:rPr>
                            <w:sz w:val="16"/>
                          </w:rPr>
                        </w:pPr>
                        <w:r>
                          <w:rPr>
                            <w:w w:val="100"/>
                            <w:sz w:val="16"/>
                            <w:u w:val="dotted" w:color="929292"/>
                          </w:rPr>
                          <w:t> </w:t>
                        </w:r>
                        <w:r>
                          <w:rPr>
                            <w:spacing w:val="-10"/>
                            <w:sz w:val="16"/>
                            <w:u w:val="dotted" w:color="929292"/>
                          </w:rPr>
                          <w:t> </w:t>
                        </w:r>
                        <w:r>
                          <w:rPr>
                            <w:spacing w:val="-1"/>
                            <w:w w:val="95"/>
                            <w:sz w:val="16"/>
                            <w:u w:val="dotted" w:color="929292"/>
                          </w:rPr>
                          <w:t>Regular</w:t>
                          <w:tab/>
                        </w:r>
                      </w:p>
                    </w:tc>
                    <w:tc>
                      <w:tcPr>
                        <w:tcW w:w="1134" w:type="dxa"/>
                        <w:tcBorders>
                          <w:left w:val="single" w:sz="4" w:space="0" w:color="929292"/>
                          <w:right w:val="single" w:sz="4" w:space="0" w:color="929292"/>
                        </w:tcBorders>
                      </w:tcPr>
                      <w:p>
                        <w:pPr>
                          <w:pStyle w:val="TableParagraph"/>
                          <w:tabs>
                            <w:tab w:pos="1114" w:val="left" w:leader="none"/>
                          </w:tabs>
                          <w:spacing w:before="56"/>
                          <w:ind w:left="24"/>
                          <w:rPr>
                            <w:sz w:val="16"/>
                          </w:rPr>
                        </w:pPr>
                        <w:r>
                          <w:rPr>
                            <w:w w:val="100"/>
                            <w:sz w:val="16"/>
                            <w:u w:val="dotted" w:color="929292"/>
                          </w:rPr>
                          <w:t> </w:t>
                        </w:r>
                        <w:r>
                          <w:rPr>
                            <w:spacing w:val="-10"/>
                            <w:sz w:val="16"/>
                            <w:u w:val="dotted" w:color="929292"/>
                          </w:rPr>
                          <w:t> </w:t>
                        </w:r>
                        <w:r>
                          <w:rPr>
                            <w:sz w:val="16"/>
                            <w:u w:val="dotted" w:color="929292"/>
                          </w:rPr>
                          <w:t>5</w:t>
                          <w:tab/>
                        </w:r>
                      </w:p>
                    </w:tc>
                    <w:tc>
                      <w:tcPr>
                        <w:tcW w:w="1276" w:type="dxa"/>
                        <w:tcBorders>
                          <w:left w:val="single" w:sz="4" w:space="0" w:color="929292"/>
                          <w:right w:val="single" w:sz="4" w:space="0" w:color="929292"/>
                        </w:tcBorders>
                      </w:tcPr>
                      <w:p>
                        <w:pPr>
                          <w:pStyle w:val="TableParagraph"/>
                          <w:tabs>
                            <w:tab w:pos="1246" w:val="left" w:leader="none"/>
                          </w:tabs>
                          <w:spacing w:before="56"/>
                          <w:ind w:left="14"/>
                          <w:jc w:val="center"/>
                          <w:rPr>
                            <w:sz w:val="16"/>
                          </w:rPr>
                        </w:pPr>
                        <w:r>
                          <w:rPr>
                            <w:w w:val="100"/>
                            <w:sz w:val="16"/>
                            <w:u w:val="dotted" w:color="929292"/>
                          </w:rPr>
                          <w:t> </w:t>
                        </w:r>
                        <w:r>
                          <w:rPr>
                            <w:spacing w:val="-10"/>
                            <w:sz w:val="16"/>
                            <w:u w:val="dotted" w:color="929292"/>
                          </w:rPr>
                          <w:t> </w:t>
                        </w:r>
                        <w:r>
                          <w:rPr>
                            <w:sz w:val="16"/>
                            <w:u w:val="dotted" w:color="929292"/>
                          </w:rPr>
                          <w:t>0.8</w:t>
                          <w:tab/>
                        </w:r>
                      </w:p>
                    </w:tc>
                    <w:tc>
                      <w:tcPr>
                        <w:tcW w:w="893" w:type="dxa"/>
                        <w:tcBorders>
                          <w:left w:val="single" w:sz="4" w:space="0" w:color="929292"/>
                          <w:right w:val="nil"/>
                        </w:tcBorders>
                      </w:tcPr>
                      <w:p>
                        <w:pPr>
                          <w:pStyle w:val="TableParagraph"/>
                          <w:tabs>
                            <w:tab w:pos="848" w:val="left" w:leader="none"/>
                          </w:tabs>
                          <w:spacing w:before="56"/>
                          <w:ind w:left="4"/>
                          <w:jc w:val="center"/>
                          <w:rPr>
                            <w:sz w:val="16"/>
                          </w:rPr>
                        </w:pPr>
                        <w:r>
                          <w:rPr>
                            <w:w w:val="100"/>
                            <w:sz w:val="16"/>
                            <w:u w:val="dotted" w:color="929292"/>
                          </w:rPr>
                          <w:t> </w:t>
                        </w:r>
                        <w:r>
                          <w:rPr>
                            <w:spacing w:val="-10"/>
                            <w:sz w:val="16"/>
                            <w:u w:val="dotted" w:color="929292"/>
                          </w:rPr>
                          <w:t> </w:t>
                        </w:r>
                        <w:r>
                          <w:rPr>
                            <w:sz w:val="16"/>
                            <w:u w:val="dotted" w:color="929292"/>
                          </w:rPr>
                          <w:t>4</w:t>
                          <w:tab/>
                        </w:r>
                      </w:p>
                    </w:tc>
                  </w:tr>
                  <w:tr>
                    <w:trPr>
                      <w:trHeight w:val="480" w:hRule="exact"/>
                    </w:trPr>
                    <w:tc>
                      <w:tcPr>
                        <w:tcW w:w="2304" w:type="dxa"/>
                        <w:tcBorders>
                          <w:left w:val="nil"/>
                          <w:right w:val="single" w:sz="4" w:space="0" w:color="929292"/>
                        </w:tcBorders>
                      </w:tcPr>
                      <w:p>
                        <w:pPr>
                          <w:pStyle w:val="TableParagraph"/>
                          <w:spacing w:before="56"/>
                          <w:ind w:left="108"/>
                          <w:rPr>
                            <w:sz w:val="16"/>
                          </w:rPr>
                        </w:pPr>
                        <w:r>
                          <w:rPr>
                            <w:sz w:val="16"/>
                          </w:rPr>
                          <w:t>Características del suelo</w:t>
                        </w:r>
                      </w:p>
                      <w:p>
                        <w:pPr>
                          <w:pStyle w:val="TableParagraph"/>
                          <w:tabs>
                            <w:tab w:pos="2288" w:val="left" w:leader="none"/>
                          </w:tabs>
                          <w:spacing w:before="56"/>
                          <w:ind w:left="34"/>
                          <w:rPr>
                            <w:sz w:val="16"/>
                          </w:rPr>
                        </w:pPr>
                        <w:r>
                          <w:rPr>
                            <w:w w:val="100"/>
                            <w:sz w:val="16"/>
                            <w:u w:val="dotted" w:color="929292"/>
                          </w:rPr>
                          <w:t> </w:t>
                        </w:r>
                        <w:r>
                          <w:rPr>
                            <w:spacing w:val="-15"/>
                            <w:sz w:val="16"/>
                            <w:u w:val="dotted" w:color="929292"/>
                          </w:rPr>
                          <w:t> </w:t>
                        </w:r>
                        <w:r>
                          <w:rPr>
                            <w:sz w:val="16"/>
                            <w:u w:val="dotted" w:color="929292"/>
                          </w:rPr>
                          <w:t>bajo la</w:t>
                        </w:r>
                        <w:r>
                          <w:rPr>
                            <w:spacing w:val="19"/>
                            <w:sz w:val="16"/>
                            <w:u w:val="dotted" w:color="929292"/>
                          </w:rPr>
                          <w:t> </w:t>
                        </w:r>
                        <w:r>
                          <w:rPr>
                            <w:sz w:val="16"/>
                            <w:u w:val="dotted" w:color="929292"/>
                          </w:rPr>
                          <w:t>edificación</w:t>
                          <w:tab/>
                        </w:r>
                      </w:p>
                    </w:tc>
                    <w:tc>
                      <w:tcPr>
                        <w:tcW w:w="2126" w:type="dxa"/>
                        <w:tcBorders>
                          <w:left w:val="single" w:sz="4" w:space="0" w:color="929292"/>
                          <w:right w:val="single" w:sz="4" w:space="0" w:color="929292"/>
                        </w:tcBorders>
                      </w:tcPr>
                      <w:p>
                        <w:pPr>
                          <w:pStyle w:val="TableParagraph"/>
                          <w:spacing w:before="56"/>
                          <w:ind w:left="104" w:right="125"/>
                          <w:rPr>
                            <w:sz w:val="16"/>
                          </w:rPr>
                        </w:pPr>
                        <w:r>
                          <w:rPr>
                            <w:sz w:val="16"/>
                          </w:rPr>
                          <w:t>Húmedo, blando, relleno</w:t>
                        </w:r>
                      </w:p>
                      <w:p>
                        <w:pPr>
                          <w:pStyle w:val="TableParagraph"/>
                          <w:tabs>
                            <w:tab w:pos="2105" w:val="left" w:leader="none"/>
                          </w:tabs>
                          <w:spacing w:before="56"/>
                          <w:ind w:left="24"/>
                          <w:rPr>
                            <w:sz w:val="16"/>
                          </w:rPr>
                        </w:pPr>
                        <w:r>
                          <w:rPr>
                            <w:w w:val="100"/>
                            <w:sz w:val="16"/>
                            <w:u w:val="dotted" w:color="929292"/>
                          </w:rPr>
                          <w:t> </w:t>
                        </w:r>
                        <w:r>
                          <w:rPr>
                            <w:sz w:val="16"/>
                            <w:u w:val="dotted" w:color="929292"/>
                          </w:rPr>
                          <w:tab/>
                        </w:r>
                      </w:p>
                    </w:tc>
                    <w:tc>
                      <w:tcPr>
                        <w:tcW w:w="1134" w:type="dxa"/>
                        <w:tcBorders>
                          <w:left w:val="single" w:sz="4" w:space="0" w:color="929292"/>
                          <w:right w:val="single" w:sz="4" w:space="0" w:color="929292"/>
                        </w:tcBorders>
                      </w:tcPr>
                      <w:p>
                        <w:pPr>
                          <w:pStyle w:val="TableParagraph"/>
                          <w:spacing w:before="56"/>
                          <w:ind w:left="104"/>
                          <w:rPr>
                            <w:sz w:val="16"/>
                          </w:rPr>
                        </w:pPr>
                        <w:r>
                          <w:rPr>
                            <w:w w:val="99"/>
                            <w:sz w:val="16"/>
                          </w:rPr>
                          <w:t>5</w:t>
                        </w:r>
                      </w:p>
                      <w:p>
                        <w:pPr>
                          <w:pStyle w:val="TableParagraph"/>
                          <w:tabs>
                            <w:tab w:pos="1114" w:val="left" w:leader="none"/>
                          </w:tabs>
                          <w:spacing w:before="56"/>
                          <w:ind w:left="24"/>
                          <w:rPr>
                            <w:sz w:val="16"/>
                          </w:rPr>
                        </w:pPr>
                        <w:r>
                          <w:rPr>
                            <w:w w:val="100"/>
                            <w:sz w:val="16"/>
                            <w:u w:val="dotted" w:color="929292"/>
                          </w:rPr>
                          <w:t> </w:t>
                        </w:r>
                        <w:r>
                          <w:rPr>
                            <w:sz w:val="16"/>
                            <w:u w:val="dotted" w:color="929292"/>
                          </w:rPr>
                          <w:tab/>
                        </w:r>
                      </w:p>
                    </w:tc>
                    <w:tc>
                      <w:tcPr>
                        <w:tcW w:w="1276" w:type="dxa"/>
                        <w:tcBorders>
                          <w:left w:val="single" w:sz="4" w:space="0" w:color="929292"/>
                          <w:right w:val="single" w:sz="4" w:space="0" w:color="929292"/>
                        </w:tcBorders>
                      </w:tcPr>
                      <w:p>
                        <w:pPr>
                          <w:pStyle w:val="TableParagraph"/>
                          <w:spacing w:before="56"/>
                          <w:ind w:left="104"/>
                          <w:rPr>
                            <w:sz w:val="16"/>
                          </w:rPr>
                        </w:pPr>
                        <w:r>
                          <w:rPr>
                            <w:w w:val="99"/>
                            <w:sz w:val="16"/>
                          </w:rPr>
                          <w:t>2</w:t>
                        </w:r>
                      </w:p>
                      <w:p>
                        <w:pPr>
                          <w:pStyle w:val="TableParagraph"/>
                          <w:tabs>
                            <w:tab w:pos="1256" w:val="left" w:leader="none"/>
                          </w:tabs>
                          <w:spacing w:before="56"/>
                          <w:ind w:left="24"/>
                          <w:rPr>
                            <w:sz w:val="16"/>
                          </w:rPr>
                        </w:pPr>
                        <w:r>
                          <w:rPr>
                            <w:w w:val="100"/>
                            <w:sz w:val="16"/>
                            <w:u w:val="dotted" w:color="929292"/>
                          </w:rPr>
                          <w:t> </w:t>
                        </w:r>
                        <w:r>
                          <w:rPr>
                            <w:sz w:val="16"/>
                            <w:u w:val="dotted" w:color="929292"/>
                          </w:rPr>
                          <w:tab/>
                        </w:r>
                      </w:p>
                    </w:tc>
                    <w:tc>
                      <w:tcPr>
                        <w:tcW w:w="893" w:type="dxa"/>
                        <w:tcBorders>
                          <w:left w:val="single" w:sz="4" w:space="0" w:color="929292"/>
                          <w:right w:val="nil"/>
                        </w:tcBorders>
                      </w:tcPr>
                      <w:p>
                        <w:pPr>
                          <w:pStyle w:val="TableParagraph"/>
                          <w:spacing w:before="56"/>
                          <w:ind w:left="104"/>
                          <w:rPr>
                            <w:sz w:val="16"/>
                          </w:rPr>
                        </w:pPr>
                        <w:r>
                          <w:rPr>
                            <w:sz w:val="16"/>
                          </w:rPr>
                          <w:t>10</w:t>
                        </w:r>
                      </w:p>
                      <w:p>
                        <w:pPr>
                          <w:pStyle w:val="TableParagraph"/>
                          <w:tabs>
                            <w:tab w:pos="868" w:val="left" w:leader="none"/>
                          </w:tabs>
                          <w:spacing w:before="56"/>
                          <w:ind w:left="24"/>
                          <w:rPr>
                            <w:sz w:val="16"/>
                          </w:rPr>
                        </w:pPr>
                        <w:r>
                          <w:rPr>
                            <w:w w:val="100"/>
                            <w:sz w:val="16"/>
                            <w:u w:val="dotted" w:color="929292"/>
                          </w:rPr>
                          <w:t> </w:t>
                        </w:r>
                        <w:r>
                          <w:rPr>
                            <w:sz w:val="16"/>
                            <w:u w:val="dotted" w:color="929292"/>
                          </w:rPr>
                          <w:tab/>
                        </w:r>
                      </w:p>
                    </w:tc>
                  </w:tr>
                  <w:tr>
                    <w:trPr>
                      <w:trHeight w:val="480" w:hRule="exact"/>
                    </w:trPr>
                    <w:tc>
                      <w:tcPr>
                        <w:tcW w:w="2304" w:type="dxa"/>
                        <w:tcBorders>
                          <w:left w:val="nil"/>
                          <w:right w:val="single" w:sz="4" w:space="0" w:color="929292"/>
                        </w:tcBorders>
                      </w:tcPr>
                      <w:p>
                        <w:pPr>
                          <w:pStyle w:val="TableParagraph"/>
                          <w:spacing w:before="56"/>
                          <w:ind w:left="109"/>
                          <w:rPr>
                            <w:sz w:val="16"/>
                          </w:rPr>
                        </w:pPr>
                        <w:r>
                          <w:rPr>
                            <w:sz w:val="16"/>
                          </w:rPr>
                          <w:t>Topografía del sitio</w:t>
                        </w:r>
                      </w:p>
                      <w:p>
                        <w:pPr>
                          <w:pStyle w:val="TableParagraph"/>
                          <w:tabs>
                            <w:tab w:pos="2288" w:val="left" w:leader="none"/>
                          </w:tabs>
                          <w:spacing w:before="56"/>
                          <w:ind w:left="34"/>
                          <w:rPr>
                            <w:sz w:val="16"/>
                          </w:rPr>
                        </w:pPr>
                        <w:r>
                          <w:rPr>
                            <w:w w:val="100"/>
                            <w:sz w:val="16"/>
                            <w:u w:val="dotted" w:color="929292"/>
                          </w:rPr>
                          <w:t> </w:t>
                        </w:r>
                        <w:r>
                          <w:rPr>
                            <w:sz w:val="16"/>
                            <w:u w:val="dotted" w:color="929292"/>
                          </w:rPr>
                          <w:tab/>
                        </w:r>
                      </w:p>
                    </w:tc>
                    <w:tc>
                      <w:tcPr>
                        <w:tcW w:w="2126" w:type="dxa"/>
                        <w:tcBorders>
                          <w:left w:val="single" w:sz="4" w:space="0" w:color="929292"/>
                          <w:right w:val="single" w:sz="4" w:space="0" w:color="929292"/>
                        </w:tcBorders>
                      </w:tcPr>
                      <w:p>
                        <w:pPr>
                          <w:pStyle w:val="TableParagraph"/>
                          <w:spacing w:before="56"/>
                          <w:ind w:left="104" w:right="125"/>
                          <w:rPr>
                            <w:sz w:val="16"/>
                          </w:rPr>
                        </w:pPr>
                        <w:r>
                          <w:rPr>
                            <w:sz w:val="16"/>
                          </w:rPr>
                          <w:t>Terreno accidentado,</w:t>
                        </w:r>
                      </w:p>
                      <w:p>
                        <w:pPr>
                          <w:pStyle w:val="TableParagraph"/>
                          <w:tabs>
                            <w:tab w:pos="2105" w:val="left" w:leader="none"/>
                          </w:tabs>
                          <w:spacing w:before="56"/>
                          <w:ind w:left="24"/>
                          <w:rPr>
                            <w:sz w:val="16"/>
                          </w:rPr>
                        </w:pPr>
                        <w:r>
                          <w:rPr>
                            <w:w w:val="100"/>
                            <w:sz w:val="16"/>
                            <w:u w:val="dotted" w:color="929292"/>
                          </w:rPr>
                          <w:t> </w:t>
                        </w:r>
                        <w:r>
                          <w:rPr>
                            <w:spacing w:val="-10"/>
                            <w:sz w:val="16"/>
                            <w:u w:val="dotted" w:color="929292"/>
                          </w:rPr>
                          <w:t> </w:t>
                        </w:r>
                        <w:r>
                          <w:rPr>
                            <w:sz w:val="16"/>
                            <w:u w:val="dotted" w:color="929292"/>
                          </w:rPr>
                          <w:t>laderas</w:t>
                          <w:tab/>
                        </w:r>
                      </w:p>
                    </w:tc>
                    <w:tc>
                      <w:tcPr>
                        <w:tcW w:w="1134" w:type="dxa"/>
                        <w:tcBorders>
                          <w:left w:val="single" w:sz="4" w:space="0" w:color="929292"/>
                          <w:right w:val="single" w:sz="4" w:space="0" w:color="929292"/>
                        </w:tcBorders>
                      </w:tcPr>
                      <w:p>
                        <w:pPr>
                          <w:pStyle w:val="TableParagraph"/>
                          <w:spacing w:before="56"/>
                          <w:ind w:left="104"/>
                          <w:rPr>
                            <w:sz w:val="16"/>
                          </w:rPr>
                        </w:pPr>
                        <w:r>
                          <w:rPr>
                            <w:sz w:val="16"/>
                          </w:rPr>
                          <w:t>10</w:t>
                        </w:r>
                      </w:p>
                      <w:p>
                        <w:pPr>
                          <w:pStyle w:val="TableParagraph"/>
                          <w:tabs>
                            <w:tab w:pos="1114" w:val="left" w:leader="none"/>
                          </w:tabs>
                          <w:spacing w:before="56"/>
                          <w:ind w:left="24"/>
                          <w:rPr>
                            <w:sz w:val="16"/>
                          </w:rPr>
                        </w:pPr>
                        <w:r>
                          <w:rPr>
                            <w:w w:val="100"/>
                            <w:sz w:val="16"/>
                            <w:u w:val="dotted" w:color="929292"/>
                          </w:rPr>
                          <w:t> </w:t>
                        </w:r>
                        <w:r>
                          <w:rPr>
                            <w:sz w:val="16"/>
                            <w:u w:val="dotted" w:color="929292"/>
                          </w:rPr>
                          <w:tab/>
                        </w:r>
                      </w:p>
                    </w:tc>
                    <w:tc>
                      <w:tcPr>
                        <w:tcW w:w="1276" w:type="dxa"/>
                        <w:tcBorders>
                          <w:left w:val="single" w:sz="4" w:space="0" w:color="929292"/>
                          <w:right w:val="single" w:sz="4" w:space="0" w:color="929292"/>
                        </w:tcBorders>
                      </w:tcPr>
                      <w:p>
                        <w:pPr>
                          <w:pStyle w:val="TableParagraph"/>
                          <w:spacing w:before="56"/>
                          <w:ind w:left="104"/>
                          <w:rPr>
                            <w:sz w:val="16"/>
                          </w:rPr>
                        </w:pPr>
                        <w:r>
                          <w:rPr>
                            <w:w w:val="99"/>
                            <w:sz w:val="16"/>
                          </w:rPr>
                          <w:t>2</w:t>
                        </w:r>
                      </w:p>
                      <w:p>
                        <w:pPr>
                          <w:pStyle w:val="TableParagraph"/>
                          <w:tabs>
                            <w:tab w:pos="1256" w:val="left" w:leader="none"/>
                          </w:tabs>
                          <w:spacing w:before="56"/>
                          <w:ind w:left="24"/>
                          <w:rPr>
                            <w:sz w:val="16"/>
                          </w:rPr>
                        </w:pPr>
                        <w:r>
                          <w:rPr>
                            <w:w w:val="100"/>
                            <w:sz w:val="16"/>
                            <w:u w:val="dotted" w:color="929292"/>
                          </w:rPr>
                          <w:t> </w:t>
                        </w:r>
                        <w:r>
                          <w:rPr>
                            <w:sz w:val="16"/>
                            <w:u w:val="dotted" w:color="929292"/>
                          </w:rPr>
                          <w:tab/>
                        </w:r>
                      </w:p>
                    </w:tc>
                    <w:tc>
                      <w:tcPr>
                        <w:tcW w:w="893" w:type="dxa"/>
                        <w:tcBorders>
                          <w:left w:val="single" w:sz="4" w:space="0" w:color="929292"/>
                          <w:right w:val="nil"/>
                        </w:tcBorders>
                      </w:tcPr>
                      <w:p>
                        <w:pPr>
                          <w:pStyle w:val="TableParagraph"/>
                          <w:spacing w:before="56"/>
                          <w:ind w:left="104"/>
                          <w:rPr>
                            <w:sz w:val="16"/>
                          </w:rPr>
                        </w:pPr>
                        <w:r>
                          <w:rPr>
                            <w:sz w:val="16"/>
                          </w:rPr>
                          <w:t>20</w:t>
                        </w:r>
                      </w:p>
                      <w:p>
                        <w:pPr>
                          <w:pStyle w:val="TableParagraph"/>
                          <w:tabs>
                            <w:tab w:pos="868" w:val="left" w:leader="none"/>
                          </w:tabs>
                          <w:spacing w:before="56"/>
                          <w:ind w:left="24"/>
                          <w:rPr>
                            <w:sz w:val="16"/>
                          </w:rPr>
                        </w:pPr>
                        <w:r>
                          <w:rPr>
                            <w:w w:val="100"/>
                            <w:sz w:val="16"/>
                            <w:u w:val="dotted" w:color="929292"/>
                          </w:rPr>
                          <w:t> </w:t>
                        </w:r>
                        <w:r>
                          <w:rPr>
                            <w:sz w:val="16"/>
                            <w:u w:val="dotted" w:color="929292"/>
                          </w:rPr>
                          <w:tab/>
                        </w:r>
                      </w:p>
                    </w:tc>
                  </w:tr>
                  <w:tr>
                    <w:trPr>
                      <w:trHeight w:val="240" w:hRule="exact"/>
                    </w:trPr>
                    <w:tc>
                      <w:tcPr>
                        <w:tcW w:w="2304" w:type="dxa"/>
                        <w:tcBorders>
                          <w:left w:val="nil"/>
                          <w:right w:val="single" w:sz="4" w:space="0" w:color="929292"/>
                        </w:tcBorders>
                      </w:tcPr>
                      <w:p>
                        <w:pPr>
                          <w:pStyle w:val="TableParagraph"/>
                          <w:tabs>
                            <w:tab w:pos="2253" w:val="left" w:leader="none"/>
                          </w:tabs>
                          <w:spacing w:before="56"/>
                          <w:ind w:right="7"/>
                          <w:jc w:val="right"/>
                          <w:rPr>
                            <w:sz w:val="16"/>
                          </w:rPr>
                        </w:pPr>
                        <w:r>
                          <w:rPr>
                            <w:w w:val="100"/>
                            <w:sz w:val="16"/>
                            <w:u w:val="dotted" w:color="929292"/>
                          </w:rPr>
                          <w:t> </w:t>
                        </w:r>
                        <w:r>
                          <w:rPr>
                            <w:spacing w:val="-15"/>
                            <w:sz w:val="16"/>
                            <w:u w:val="dotted" w:color="929292"/>
                          </w:rPr>
                          <w:t> </w:t>
                        </w:r>
                        <w:r>
                          <w:rPr>
                            <w:spacing w:val="-1"/>
                            <w:sz w:val="16"/>
                            <w:u w:val="dotted" w:color="929292"/>
                          </w:rPr>
                          <w:t>Exposición</w:t>
                          <w:tab/>
                        </w:r>
                      </w:p>
                    </w:tc>
                    <w:tc>
                      <w:tcPr>
                        <w:tcW w:w="2126" w:type="dxa"/>
                        <w:tcBorders>
                          <w:left w:val="single" w:sz="4" w:space="0" w:color="929292"/>
                          <w:right w:val="single" w:sz="4" w:space="0" w:color="929292"/>
                        </w:tcBorders>
                      </w:tcPr>
                      <w:p>
                        <w:pPr>
                          <w:pStyle w:val="TableParagraph"/>
                          <w:tabs>
                            <w:tab w:pos="2081" w:val="left" w:leader="none"/>
                          </w:tabs>
                          <w:spacing w:before="56"/>
                          <w:ind w:right="7"/>
                          <w:jc w:val="right"/>
                          <w:rPr>
                            <w:sz w:val="16"/>
                          </w:rPr>
                        </w:pPr>
                        <w:r>
                          <w:rPr>
                            <w:w w:val="100"/>
                            <w:sz w:val="16"/>
                            <w:u w:val="dotted" w:color="929292"/>
                          </w:rPr>
                          <w:t> </w:t>
                        </w:r>
                        <w:r>
                          <w:rPr>
                            <w:spacing w:val="-10"/>
                            <w:sz w:val="16"/>
                            <w:u w:val="dotted" w:color="929292"/>
                          </w:rPr>
                          <w:t> </w:t>
                        </w:r>
                        <w:r>
                          <w:rPr>
                            <w:sz w:val="16"/>
                            <w:u w:val="dotted" w:color="929292"/>
                          </w:rPr>
                          <w:t>Menos de 10</w:t>
                        </w:r>
                        <w:r>
                          <w:rPr>
                            <w:spacing w:val="17"/>
                            <w:sz w:val="16"/>
                            <w:u w:val="dotted" w:color="929292"/>
                          </w:rPr>
                          <w:t> </w:t>
                        </w:r>
                        <w:r>
                          <w:rPr>
                            <w:sz w:val="16"/>
                            <w:u w:val="dotted" w:color="929292"/>
                          </w:rPr>
                          <w:t>metros</w:t>
                          <w:tab/>
                        </w:r>
                      </w:p>
                    </w:tc>
                    <w:tc>
                      <w:tcPr>
                        <w:tcW w:w="1134" w:type="dxa"/>
                        <w:tcBorders>
                          <w:left w:val="single" w:sz="4" w:space="0" w:color="929292"/>
                          <w:right w:val="single" w:sz="4" w:space="0" w:color="929292"/>
                        </w:tcBorders>
                      </w:tcPr>
                      <w:p>
                        <w:pPr>
                          <w:pStyle w:val="TableParagraph"/>
                          <w:tabs>
                            <w:tab w:pos="1114" w:val="left" w:leader="none"/>
                          </w:tabs>
                          <w:spacing w:before="56"/>
                          <w:ind w:left="24"/>
                          <w:rPr>
                            <w:sz w:val="16"/>
                          </w:rPr>
                        </w:pPr>
                        <w:r>
                          <w:rPr>
                            <w:w w:val="100"/>
                            <w:sz w:val="16"/>
                            <w:u w:val="dotted" w:color="929292"/>
                          </w:rPr>
                          <w:t> </w:t>
                        </w:r>
                        <w:r>
                          <w:rPr>
                            <w:spacing w:val="-10"/>
                            <w:sz w:val="16"/>
                            <w:u w:val="dotted" w:color="929292"/>
                          </w:rPr>
                          <w:t> </w:t>
                        </w:r>
                        <w:r>
                          <w:rPr>
                            <w:sz w:val="16"/>
                            <w:u w:val="dotted" w:color="929292"/>
                          </w:rPr>
                          <w:t>10</w:t>
                          <w:tab/>
                        </w:r>
                      </w:p>
                    </w:tc>
                    <w:tc>
                      <w:tcPr>
                        <w:tcW w:w="1276" w:type="dxa"/>
                        <w:tcBorders>
                          <w:left w:val="single" w:sz="4" w:space="0" w:color="929292"/>
                          <w:right w:val="single" w:sz="4" w:space="0" w:color="929292"/>
                        </w:tcBorders>
                      </w:tcPr>
                      <w:p>
                        <w:pPr>
                          <w:pStyle w:val="TableParagraph"/>
                          <w:tabs>
                            <w:tab w:pos="1246" w:val="left" w:leader="none"/>
                          </w:tabs>
                          <w:spacing w:before="56"/>
                          <w:ind w:left="14"/>
                          <w:jc w:val="center"/>
                          <w:rPr>
                            <w:sz w:val="16"/>
                          </w:rPr>
                        </w:pPr>
                        <w:r>
                          <w:rPr>
                            <w:w w:val="100"/>
                            <w:sz w:val="16"/>
                            <w:u w:val="dotted" w:color="929292"/>
                          </w:rPr>
                          <w:t> </w:t>
                        </w:r>
                        <w:r>
                          <w:rPr>
                            <w:spacing w:val="-10"/>
                            <w:sz w:val="16"/>
                            <w:u w:val="dotted" w:color="929292"/>
                          </w:rPr>
                          <w:t> </w:t>
                        </w:r>
                        <w:r>
                          <w:rPr>
                            <w:sz w:val="16"/>
                            <w:u w:val="dotted" w:color="929292"/>
                          </w:rPr>
                          <w:t>2</w:t>
                          <w:tab/>
                        </w:r>
                      </w:p>
                    </w:tc>
                    <w:tc>
                      <w:tcPr>
                        <w:tcW w:w="893" w:type="dxa"/>
                        <w:tcBorders>
                          <w:left w:val="single" w:sz="4" w:space="0" w:color="929292"/>
                          <w:right w:val="nil"/>
                        </w:tcBorders>
                      </w:tcPr>
                      <w:p>
                        <w:pPr>
                          <w:pStyle w:val="TableParagraph"/>
                          <w:tabs>
                            <w:tab w:pos="848" w:val="left" w:leader="none"/>
                          </w:tabs>
                          <w:spacing w:before="56"/>
                          <w:ind w:left="4"/>
                          <w:jc w:val="center"/>
                          <w:rPr>
                            <w:sz w:val="16"/>
                          </w:rPr>
                        </w:pPr>
                        <w:r>
                          <w:rPr>
                            <w:w w:val="100"/>
                            <w:sz w:val="16"/>
                            <w:u w:val="dotted" w:color="929292"/>
                          </w:rPr>
                          <w:t> </w:t>
                        </w:r>
                        <w:r>
                          <w:rPr>
                            <w:spacing w:val="-10"/>
                            <w:sz w:val="16"/>
                            <w:u w:val="dotted" w:color="929292"/>
                          </w:rPr>
                          <w:t> </w:t>
                        </w:r>
                        <w:r>
                          <w:rPr>
                            <w:sz w:val="16"/>
                            <w:u w:val="dotted" w:color="929292"/>
                          </w:rPr>
                          <w:t>20</w:t>
                          <w:tab/>
                        </w:r>
                      </w:p>
                    </w:tc>
                  </w:tr>
                  <w:tr>
                    <w:trPr>
                      <w:trHeight w:val="240" w:hRule="exact"/>
                    </w:trPr>
                    <w:tc>
                      <w:tcPr>
                        <w:tcW w:w="6840" w:type="dxa"/>
                        <w:gridSpan w:val="4"/>
                        <w:tcBorders>
                          <w:left w:val="nil"/>
                          <w:bottom w:val="nil"/>
                          <w:right w:val="single" w:sz="4" w:space="0" w:color="929292"/>
                        </w:tcBorders>
                      </w:tcPr>
                      <w:p>
                        <w:pPr>
                          <w:pStyle w:val="TableParagraph"/>
                          <w:tabs>
                            <w:tab w:pos="5548" w:val="left" w:leader="none"/>
                            <w:tab w:pos="6824" w:val="left" w:leader="none"/>
                          </w:tabs>
                          <w:spacing w:before="56"/>
                          <w:ind w:left="34"/>
                          <w:rPr>
                            <w:sz w:val="16"/>
                          </w:rPr>
                        </w:pPr>
                        <w:r>
                          <w:rPr>
                            <w:w w:val="100"/>
                            <w:sz w:val="16"/>
                            <w:u w:val="dotted" w:color="929292"/>
                          </w:rPr>
                          <w:t> </w:t>
                        </w:r>
                        <w:r>
                          <w:rPr>
                            <w:spacing w:val="-15"/>
                            <w:sz w:val="16"/>
                            <w:u w:val="dotted" w:color="929292"/>
                          </w:rPr>
                          <w:t> </w:t>
                        </w:r>
                        <w:r>
                          <w:rPr>
                            <w:sz w:val="16"/>
                            <w:u w:val="dotted" w:color="929292"/>
                          </w:rPr>
                          <w:t>Nivel de vulnerabilidad física e</w:t>
                        </w:r>
                        <w:r>
                          <w:rPr>
                            <w:sz w:val="16"/>
                          </w:rPr>
                          <w:t>s</w:t>
                        </w:r>
                        <w:r>
                          <w:rPr>
                            <w:sz w:val="16"/>
                            <w:u w:val="dotted" w:color="929292"/>
                          </w:rPr>
                          <w:t>tructural de las manzanas</w:t>
                        </w:r>
                        <w:r>
                          <w:rPr>
                            <w:spacing w:val="-12"/>
                            <w:sz w:val="16"/>
                            <w:u w:val="dotted" w:color="929292"/>
                          </w:rPr>
                          <w:t> </w:t>
                        </w:r>
                        <w:r>
                          <w:rPr>
                            <w:sz w:val="16"/>
                            <w:u w:val="dotted" w:color="929292"/>
                          </w:rPr>
                          <w:t>(privada)</w:t>
                          <w:tab/>
                        </w:r>
                        <w:r>
                          <w:rPr>
                            <w:sz w:val="16"/>
                          </w:rPr>
                          <w:t> </w:t>
                        </w:r>
                        <w:r>
                          <w:rPr>
                            <w:w w:val="100"/>
                            <w:sz w:val="16"/>
                            <w:u w:val="dotted" w:color="929292"/>
                          </w:rPr>
                          <w:t> </w:t>
                        </w:r>
                        <w:r>
                          <w:rPr>
                            <w:sz w:val="16"/>
                            <w:u w:val="dotted" w:color="929292"/>
                          </w:rPr>
                          <w:tab/>
                        </w:r>
                      </w:p>
                    </w:tc>
                    <w:tc>
                      <w:tcPr>
                        <w:tcW w:w="893" w:type="dxa"/>
                        <w:tcBorders>
                          <w:left w:val="single" w:sz="4" w:space="0" w:color="929292"/>
                          <w:right w:val="nil"/>
                        </w:tcBorders>
                      </w:tcPr>
                      <w:p>
                        <w:pPr>
                          <w:pStyle w:val="TableParagraph"/>
                          <w:tabs>
                            <w:tab w:pos="848" w:val="left" w:leader="none"/>
                          </w:tabs>
                          <w:spacing w:before="56"/>
                          <w:ind w:left="4"/>
                          <w:jc w:val="center"/>
                          <w:rPr>
                            <w:sz w:val="16"/>
                          </w:rPr>
                        </w:pPr>
                        <w:r>
                          <w:rPr>
                            <w:w w:val="100"/>
                            <w:sz w:val="16"/>
                            <w:u w:val="dotted" w:color="929292"/>
                          </w:rPr>
                          <w:t> </w:t>
                        </w:r>
                        <w:r>
                          <w:rPr>
                            <w:spacing w:val="-10"/>
                            <w:sz w:val="16"/>
                            <w:u w:val="dotted" w:color="929292"/>
                          </w:rPr>
                          <w:t> </w:t>
                        </w:r>
                        <w:r>
                          <w:rPr>
                            <w:sz w:val="16"/>
                            <w:u w:val="dotted" w:color="929292"/>
                          </w:rPr>
                          <w:t>66.8</w:t>
                          <w:tab/>
                        </w:r>
                      </w:p>
                    </w:tc>
                  </w:tr>
                </w:tbl>
                <w:p>
                  <w:pPr>
                    <w:pStyle w:val="BodyText"/>
                  </w:pPr>
                </w:p>
              </w:txbxContent>
            </v:textbox>
            <w10:wrap type="none"/>
          </v:shape>
        </w:pict>
      </w:r>
      <w:r>
        <w:rPr>
          <w:color w:val="6D6E71"/>
          <w:sz w:val="16"/>
        </w:rPr>
        <w:t>Tabla 11.  Nivel de vulnerabilidad del fraccionamiento Villas del Campo colindantes con mina  Colinoli.</w:t>
      </w:r>
    </w:p>
    <w:p>
      <w:pPr>
        <w:pStyle w:val="BodyText"/>
        <w:spacing w:line="249" w:lineRule="auto" w:before="76"/>
        <w:ind w:left="344" w:right="147" w:firstLine="170"/>
        <w:jc w:val="both"/>
      </w:pPr>
      <w:r>
        <w:rPr/>
        <w:br w:type="column"/>
      </w:r>
      <w:r>
        <w:rPr/>
        <w:t>Por</w:t>
      </w:r>
      <w:r>
        <w:rPr>
          <w:spacing w:val="-5"/>
        </w:rPr>
        <w:t> </w:t>
      </w:r>
      <w:r>
        <w:rPr/>
        <w:t>otra</w:t>
      </w:r>
      <w:r>
        <w:rPr>
          <w:spacing w:val="-5"/>
        </w:rPr>
        <w:t> </w:t>
      </w:r>
      <w:r>
        <w:rPr/>
        <w:t>parte,</w:t>
      </w:r>
      <w:r>
        <w:rPr>
          <w:spacing w:val="-5"/>
        </w:rPr>
        <w:t> </w:t>
      </w:r>
      <w:r>
        <w:rPr/>
        <w:t>el</w:t>
      </w:r>
      <w:r>
        <w:rPr>
          <w:spacing w:val="-5"/>
        </w:rPr>
        <w:t> </w:t>
      </w:r>
      <w:r>
        <w:rPr/>
        <w:t>nivel</w:t>
      </w:r>
      <w:r>
        <w:rPr>
          <w:spacing w:val="-5"/>
        </w:rPr>
        <w:t> </w:t>
      </w:r>
      <w:r>
        <w:rPr/>
        <w:t>de</w:t>
      </w:r>
      <w:r>
        <w:rPr>
          <w:spacing w:val="-5"/>
        </w:rPr>
        <w:t> </w:t>
      </w:r>
      <w:r>
        <w:rPr/>
        <w:t>vulnerabilidad</w:t>
      </w:r>
      <w:r>
        <w:rPr>
          <w:spacing w:val="-5"/>
        </w:rPr>
        <w:t> </w:t>
      </w:r>
      <w:r>
        <w:rPr/>
        <w:t>en</w:t>
      </w:r>
      <w:r>
        <w:rPr>
          <w:spacing w:val="-5"/>
        </w:rPr>
        <w:t> </w:t>
      </w:r>
      <w:r>
        <w:rPr/>
        <w:t>la</w:t>
      </w:r>
      <w:r>
        <w:rPr>
          <w:spacing w:val="-5"/>
        </w:rPr>
        <w:t> </w:t>
      </w:r>
      <w:r>
        <w:rPr/>
        <w:t>zona</w:t>
      </w:r>
      <w:r>
        <w:rPr>
          <w:spacing w:val="-5"/>
        </w:rPr>
        <w:t> </w:t>
      </w:r>
      <w:r>
        <w:rPr/>
        <w:t>urbana</w:t>
      </w:r>
      <w:r>
        <w:rPr>
          <w:spacing w:val="-5"/>
        </w:rPr>
        <w:t> </w:t>
      </w:r>
      <w:r>
        <w:rPr/>
        <w:t>en</w:t>
      </w:r>
      <w:r>
        <w:rPr>
          <w:spacing w:val="-5"/>
        </w:rPr>
        <w:t> </w:t>
      </w:r>
      <w:r>
        <w:rPr/>
        <w:t>colindancia</w:t>
      </w:r>
      <w:r>
        <w:rPr>
          <w:spacing w:val="-5"/>
        </w:rPr>
        <w:t> </w:t>
      </w:r>
      <w:r>
        <w:rPr/>
        <w:t>con</w:t>
      </w:r>
      <w:r>
        <w:rPr>
          <w:spacing w:val="-5"/>
        </w:rPr>
        <w:t> </w:t>
      </w:r>
      <w:r>
        <w:rPr/>
        <w:t>la</w:t>
      </w:r>
      <w:r>
        <w:rPr>
          <w:spacing w:val="-5"/>
        </w:rPr>
        <w:t> </w:t>
      </w:r>
      <w:r>
        <w:rPr/>
        <w:t>mina Guadarrama es del 70.8 considerado en el rango del nivel alto de vulnerabilidad, como se detalla a</w:t>
      </w:r>
      <w:r>
        <w:rPr>
          <w:spacing w:val="20"/>
        </w:rPr>
        <w:t> </w:t>
      </w:r>
      <w:r>
        <w:rPr/>
        <w:t>continuación:</w:t>
      </w:r>
    </w:p>
    <w:p>
      <w:pPr>
        <w:spacing w:before="38"/>
        <w:ind w:left="869" w:right="0" w:firstLine="0"/>
        <w:jc w:val="left"/>
        <w:rPr>
          <w:sz w:val="16"/>
        </w:rPr>
      </w:pPr>
      <w:r>
        <w:rPr>
          <w:color w:val="6D6E71"/>
          <w:sz w:val="16"/>
        </w:rPr>
        <w:t>Tabla 12. Nivel de vulnerabilidad por zona habitacional colindantes con la minas Guadarrama</w:t>
      </w:r>
    </w:p>
    <w:p>
      <w:pPr>
        <w:spacing w:after="0"/>
        <w:jc w:val="left"/>
        <w:rPr>
          <w:sz w:val="16"/>
        </w:rPr>
        <w:sectPr>
          <w:type w:val="continuous"/>
          <w:pgSz w:w="18830" w:h="12760" w:orient="landscape"/>
          <w:pgMar w:top="1420" w:bottom="280" w:left="720" w:right="700"/>
          <w:cols w:num="2" w:equalWidth="0">
            <w:col w:w="7602" w:space="1595"/>
            <w:col w:w="8213"/>
          </w:cols>
        </w:sectPr>
      </w:pPr>
    </w:p>
    <w:p>
      <w:pPr>
        <w:pStyle w:val="BodyText"/>
        <w:spacing w:before="10"/>
        <w:rPr>
          <w:sz w:val="8"/>
        </w:rPr>
      </w:pPr>
    </w:p>
    <w:p>
      <w:pPr>
        <w:pStyle w:val="BodyText"/>
        <w:ind w:left="9541"/>
      </w:pPr>
      <w:r>
        <w:rPr/>
        <w:pict>
          <v:group style="width:387.1pt;height:16pt;mso-position-horizontal-relative:char;mso-position-vertical-relative:line" coordorigin="0,0" coordsize="7742,320">
            <v:rect style="position:absolute;left:0;top:0;width:2154;height:319" filled="true" fillcolor="#929292" stroked="false">
              <v:fill type="solid"/>
            </v:rect>
            <v:rect style="position:absolute;left:2154;top:0;width:1980;height:319" filled="true" fillcolor="#929292" stroked="false">
              <v:fill type="solid"/>
            </v:rect>
            <v:rect style="position:absolute;left:4134;top:0;width:1134;height:319" filled="true" fillcolor="#929292" stroked="false">
              <v:fill type="solid"/>
            </v:rect>
            <v:rect style="position:absolute;left:5268;top:0;width:1418;height:319" filled="true" fillcolor="#929292" stroked="false">
              <v:fill type="solid"/>
            </v:rect>
            <v:rect style="position:absolute;left:6686;top:0;width:1056;height:319" filled="true" fillcolor="#929292" stroked="false">
              <v:fill type="solid"/>
            </v:rect>
          </v:group>
        </w:pict>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1"/>
        </w:rPr>
      </w:pPr>
      <w:r>
        <w:rPr/>
        <w:pict>
          <v:line style="position:absolute;mso-position-horizontal-relative:page;mso-position-vertical-relative:paragraph;z-index:19624;mso-wrap-distance-left:0;mso-wrap-distance-right:0" from="42.13390pt,8.648889pt" to="42.13390pt,8.648889pt" stroked="true" strokeweight=".5pt" strokecolor="#929292">
            <w10:wrap type="topAndBottom"/>
          </v:line>
        </w:pict>
      </w:r>
      <w:r>
        <w:rPr/>
        <w:pict>
          <v:group style="position:absolute;margin-left:156.8228pt;margin-top:8.398889pt;width:.5pt;height:.5pt;mso-position-horizontal-relative:page;mso-position-vertical-relative:paragraph;z-index:19648;mso-wrap-distance-left:0;mso-wrap-distance-right:0" coordorigin="3136,168" coordsize="10,10">
            <v:line style="position:absolute" from="3141,173" to="3141,173" stroked="true" strokeweight=".5pt" strokecolor="#929292"/>
            <v:line style="position:absolute" from="3141,173" to="3141,173" stroked="true" strokeweight=".5pt" strokecolor="#929292"/>
            <w10:wrap type="topAndBottom"/>
          </v:group>
        </w:pict>
      </w:r>
      <w:r>
        <w:rPr/>
        <w:pict>
          <v:group style="position:absolute;margin-left:263.122803pt;margin-top:8.398889pt;width:.5pt;height:.5pt;mso-position-horizontal-relative:page;mso-position-vertical-relative:paragraph;z-index:19672;mso-wrap-distance-left:0;mso-wrap-distance-right:0" coordorigin="5262,168" coordsize="10,10">
            <v:line style="position:absolute" from="5267,173" to="5267,173" stroked="true" strokeweight=".5pt" strokecolor="#929292"/>
            <v:line style="position:absolute" from="5267,173" to="5267,173" stroked="true" strokeweight=".5pt" strokecolor="#929292"/>
            <w10:wrap type="topAndBottom"/>
          </v:group>
        </w:pict>
      </w:r>
      <w:r>
        <w:rPr/>
        <w:pict>
          <v:group style="position:absolute;margin-left:319.822815pt;margin-top:8.398889pt;width:.5pt;height:.5pt;mso-position-horizontal-relative:page;mso-position-vertical-relative:paragraph;z-index:19696;mso-wrap-distance-left:0;mso-wrap-distance-right:0" coordorigin="6396,168" coordsize="10,10">
            <v:line style="position:absolute" from="6401,173" to="6401,173" stroked="true" strokeweight=".5pt" strokecolor="#929292"/>
            <v:line style="position:absolute" from="6401,173" to="6401,173" stroked="true" strokeweight=".5pt" strokecolor="#929292"/>
            <w10:wrap type="topAndBottom"/>
          </v:group>
        </w:pict>
      </w:r>
      <w:r>
        <w:rPr/>
        <w:pict>
          <v:line style="position:absolute;mso-position-horizontal-relative:page;mso-position-vertical-relative:paragraph;z-index:19720;mso-wrap-distance-left:0;mso-wrap-distance-right:0" from="428.272797pt,8.648889pt" to="428.272797pt,8.648889pt" stroked="true" strokeweight=".5pt" strokecolor="#929292">
            <w10:wrap type="topAndBottom"/>
          </v:line>
        </w:pict>
      </w:r>
    </w:p>
    <w:p>
      <w:pPr>
        <w:pStyle w:val="BodyText"/>
        <w:spacing w:before="6"/>
        <w:rPr>
          <w:sz w:val="10"/>
        </w:rPr>
      </w:pPr>
    </w:p>
    <w:p>
      <w:pPr>
        <w:spacing w:before="80"/>
        <w:ind w:left="2747" w:right="0" w:firstLine="0"/>
        <w:jc w:val="left"/>
        <w:rPr>
          <w:sz w:val="16"/>
        </w:rPr>
      </w:pPr>
      <w:r>
        <w:rPr/>
        <w:pict>
          <v:shape style="position:absolute;margin-left:513.070923pt;margin-top:-137.416794pt;width:387.35pt;height:165.4pt;mso-position-horizontal-relative:page;mso-position-vertical-relative:paragraph;z-index:19792" type="#_x0000_t202" filled="false" stroked="false">
            <v:textbox inset="0,0,0,0">
              <w:txbxContent>
                <w:tbl>
                  <w:tblPr>
                    <w:tblW w:w="0" w:type="auto"/>
                    <w:jc w:val="left"/>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2149"/>
                    <w:gridCol w:w="1980"/>
                    <w:gridCol w:w="1134"/>
                    <w:gridCol w:w="1418"/>
                    <w:gridCol w:w="1051"/>
                  </w:tblGrid>
                  <w:tr>
                    <w:trPr>
                      <w:trHeight w:val="314" w:hRule="exact"/>
                    </w:trPr>
                    <w:tc>
                      <w:tcPr>
                        <w:tcW w:w="2149" w:type="dxa"/>
                        <w:tcBorders>
                          <w:top w:val="nil"/>
                          <w:left w:val="nil"/>
                          <w:bottom w:val="single" w:sz="4" w:space="0" w:color="FFFFFF"/>
                          <w:right w:val="single" w:sz="4" w:space="0" w:color="FFFFFF"/>
                        </w:tcBorders>
                        <w:shd w:val="clear" w:color="auto" w:fill="929292"/>
                      </w:tcPr>
                      <w:p>
                        <w:pPr>
                          <w:pStyle w:val="TableParagraph"/>
                          <w:spacing w:before="59"/>
                          <w:ind w:left="102"/>
                          <w:rPr>
                            <w:sz w:val="16"/>
                          </w:rPr>
                        </w:pPr>
                        <w:r>
                          <w:rPr>
                            <w:sz w:val="16"/>
                          </w:rPr>
                          <w:t>Variable de vulnerabilidad</w:t>
                        </w:r>
                      </w:p>
                    </w:tc>
                    <w:tc>
                      <w:tcPr>
                        <w:tcW w:w="1980" w:type="dxa"/>
                        <w:tcBorders>
                          <w:top w:val="nil"/>
                          <w:left w:val="single" w:sz="4" w:space="0" w:color="FFFFFF"/>
                          <w:bottom w:val="single" w:sz="4" w:space="0" w:color="FFFFFF"/>
                          <w:right w:val="single" w:sz="4" w:space="0" w:color="FFFFFF"/>
                        </w:tcBorders>
                        <w:shd w:val="clear" w:color="auto" w:fill="929292"/>
                      </w:tcPr>
                      <w:p>
                        <w:pPr>
                          <w:pStyle w:val="TableParagraph"/>
                          <w:spacing w:line="143" w:lineRule="exact"/>
                          <w:ind w:left="103"/>
                          <w:rPr>
                            <w:sz w:val="16"/>
                          </w:rPr>
                        </w:pPr>
                        <w:r>
                          <w:rPr>
                            <w:sz w:val="16"/>
                          </w:rPr>
                          <w:t>Z-U cercanía mina</w:t>
                        </w:r>
                      </w:p>
                      <w:p>
                        <w:pPr>
                          <w:pStyle w:val="TableParagraph"/>
                          <w:spacing w:before="16"/>
                          <w:ind w:left="103"/>
                          <w:rPr>
                            <w:sz w:val="16"/>
                          </w:rPr>
                        </w:pPr>
                        <w:r>
                          <w:rPr>
                            <w:sz w:val="16"/>
                          </w:rPr>
                          <w:t>Guadarrama</w:t>
                        </w:r>
                      </w:p>
                    </w:tc>
                    <w:tc>
                      <w:tcPr>
                        <w:tcW w:w="1134" w:type="dxa"/>
                        <w:tcBorders>
                          <w:top w:val="nil"/>
                          <w:left w:val="single" w:sz="4" w:space="0" w:color="FFFFFF"/>
                          <w:bottom w:val="single" w:sz="4" w:space="0" w:color="FFFFFF"/>
                          <w:right w:val="single" w:sz="4" w:space="0" w:color="FFFFFF"/>
                        </w:tcBorders>
                        <w:shd w:val="clear" w:color="auto" w:fill="929292"/>
                      </w:tcPr>
                      <w:p>
                        <w:pPr>
                          <w:pStyle w:val="TableParagraph"/>
                          <w:spacing w:before="59"/>
                          <w:ind w:left="103"/>
                          <w:rPr>
                            <w:sz w:val="16"/>
                          </w:rPr>
                        </w:pPr>
                        <w:r>
                          <w:rPr>
                            <w:sz w:val="16"/>
                          </w:rPr>
                          <w:t>Puntuación</w:t>
                        </w:r>
                      </w:p>
                    </w:tc>
                    <w:tc>
                      <w:tcPr>
                        <w:tcW w:w="1418" w:type="dxa"/>
                        <w:tcBorders>
                          <w:top w:val="nil"/>
                          <w:left w:val="single" w:sz="4" w:space="0" w:color="FFFFFF"/>
                          <w:bottom w:val="single" w:sz="4" w:space="0" w:color="FFFFFF"/>
                          <w:right w:val="single" w:sz="4" w:space="0" w:color="FFFFFF"/>
                        </w:tcBorders>
                        <w:shd w:val="clear" w:color="auto" w:fill="929292"/>
                      </w:tcPr>
                      <w:p>
                        <w:pPr>
                          <w:pStyle w:val="TableParagraph"/>
                          <w:spacing w:line="143" w:lineRule="exact"/>
                          <w:ind w:left="103"/>
                          <w:rPr>
                            <w:sz w:val="16"/>
                          </w:rPr>
                        </w:pPr>
                        <w:r>
                          <w:rPr>
                            <w:sz w:val="16"/>
                          </w:rPr>
                          <w:t>Factor de</w:t>
                        </w:r>
                      </w:p>
                      <w:p>
                        <w:pPr>
                          <w:pStyle w:val="TableParagraph"/>
                          <w:spacing w:before="16"/>
                          <w:ind w:left="103"/>
                          <w:rPr>
                            <w:sz w:val="16"/>
                          </w:rPr>
                        </w:pPr>
                        <w:r>
                          <w:rPr>
                            <w:sz w:val="16"/>
                          </w:rPr>
                          <w:t>ponderación</w:t>
                        </w:r>
                      </w:p>
                    </w:tc>
                    <w:tc>
                      <w:tcPr>
                        <w:tcW w:w="1051" w:type="dxa"/>
                        <w:tcBorders>
                          <w:top w:val="nil"/>
                          <w:left w:val="single" w:sz="4" w:space="0" w:color="FFFFFF"/>
                          <w:bottom w:val="single" w:sz="4" w:space="0" w:color="FFFFFF"/>
                          <w:right w:val="nil"/>
                        </w:tcBorders>
                        <w:shd w:val="clear" w:color="auto" w:fill="929292"/>
                      </w:tcPr>
                      <w:p>
                        <w:pPr>
                          <w:pStyle w:val="TableParagraph"/>
                          <w:spacing w:line="143" w:lineRule="exact"/>
                          <w:ind w:left="103"/>
                          <w:rPr>
                            <w:sz w:val="16"/>
                          </w:rPr>
                        </w:pPr>
                        <w:r>
                          <w:rPr>
                            <w:sz w:val="16"/>
                          </w:rPr>
                          <w:t>Puntaje</w:t>
                        </w:r>
                      </w:p>
                      <w:p>
                        <w:pPr>
                          <w:pStyle w:val="TableParagraph"/>
                          <w:spacing w:before="16"/>
                          <w:ind w:left="103"/>
                          <w:rPr>
                            <w:sz w:val="16"/>
                          </w:rPr>
                        </w:pPr>
                        <w:r>
                          <w:rPr>
                            <w:sz w:val="16"/>
                          </w:rPr>
                          <w:t>final</w:t>
                        </w:r>
                      </w:p>
                    </w:tc>
                  </w:tr>
                  <w:tr>
                    <w:trPr>
                      <w:trHeight w:val="124" w:hRule="exact"/>
                    </w:trPr>
                    <w:tc>
                      <w:tcPr>
                        <w:tcW w:w="2149" w:type="dxa"/>
                        <w:tcBorders>
                          <w:top w:val="single" w:sz="4" w:space="0" w:color="FFFFFF"/>
                          <w:left w:val="nil"/>
                          <w:bottom w:val="single" w:sz="4" w:space="0" w:color="FFFFFF"/>
                        </w:tcBorders>
                      </w:tcPr>
                      <w:p>
                        <w:pPr>
                          <w:pStyle w:val="TableParagraph"/>
                          <w:tabs>
                            <w:tab w:pos="2133" w:val="left" w:leader="none"/>
                          </w:tabs>
                          <w:spacing w:line="148" w:lineRule="exact"/>
                          <w:ind w:left="29"/>
                          <w:rPr>
                            <w:sz w:val="16"/>
                          </w:rPr>
                        </w:pPr>
                        <w:r>
                          <w:rPr>
                            <w:w w:val="100"/>
                            <w:sz w:val="16"/>
                            <w:u w:val="dotted" w:color="929292"/>
                          </w:rPr>
                          <w:t> </w:t>
                        </w:r>
                        <w:r>
                          <w:rPr>
                            <w:spacing w:val="-16"/>
                            <w:sz w:val="16"/>
                            <w:u w:val="dotted" w:color="929292"/>
                          </w:rPr>
                          <w:t> </w:t>
                        </w:r>
                        <w:r>
                          <w:rPr>
                            <w:sz w:val="16"/>
                            <w:u w:val="dotted" w:color="929292"/>
                          </w:rPr>
                          <w:t>Sistema</w:t>
                        </w:r>
                        <w:r>
                          <w:rPr>
                            <w:spacing w:val="11"/>
                            <w:sz w:val="16"/>
                            <w:u w:val="dotted" w:color="929292"/>
                          </w:rPr>
                          <w:t> </w:t>
                        </w:r>
                        <w:r>
                          <w:rPr>
                            <w:sz w:val="16"/>
                            <w:u w:val="dotted" w:color="929292"/>
                          </w:rPr>
                          <w:t>estructural</w:t>
                          <w:tab/>
                        </w:r>
                      </w:p>
                    </w:tc>
                    <w:tc>
                      <w:tcPr>
                        <w:tcW w:w="1980" w:type="dxa"/>
                        <w:tcBorders>
                          <w:top w:val="single" w:sz="4" w:space="0" w:color="FFFFFF"/>
                          <w:bottom w:val="single" w:sz="4" w:space="0" w:color="FFFFFF"/>
                        </w:tcBorders>
                      </w:tcPr>
                      <w:p>
                        <w:pPr>
                          <w:pStyle w:val="TableParagraph"/>
                          <w:tabs>
                            <w:tab w:pos="1959" w:val="left" w:leader="none"/>
                          </w:tabs>
                          <w:spacing w:line="148" w:lineRule="exact"/>
                          <w:ind w:left="25"/>
                          <w:rPr>
                            <w:sz w:val="16"/>
                          </w:rPr>
                        </w:pPr>
                        <w:r>
                          <w:rPr>
                            <w:w w:val="100"/>
                            <w:sz w:val="16"/>
                            <w:u w:val="dotted" w:color="929292"/>
                          </w:rPr>
                          <w:t> </w:t>
                        </w:r>
                        <w:r>
                          <w:rPr>
                            <w:spacing w:val="-11"/>
                            <w:sz w:val="16"/>
                            <w:u w:val="dotted" w:color="929292"/>
                          </w:rPr>
                          <w:t> </w:t>
                        </w:r>
                        <w:r>
                          <w:rPr>
                            <w:sz w:val="16"/>
                            <w:u w:val="dotted" w:color="929292"/>
                          </w:rPr>
                          <w:t>Hormigón</w:t>
                        </w:r>
                        <w:r>
                          <w:rPr>
                            <w:spacing w:val="17"/>
                            <w:sz w:val="16"/>
                            <w:u w:val="dotted" w:color="929292"/>
                          </w:rPr>
                          <w:t> </w:t>
                        </w:r>
                        <w:r>
                          <w:rPr>
                            <w:sz w:val="16"/>
                            <w:u w:val="dotted" w:color="929292"/>
                          </w:rPr>
                          <w:t>armado</w:t>
                          <w:tab/>
                        </w:r>
                      </w:p>
                    </w:tc>
                    <w:tc>
                      <w:tcPr>
                        <w:tcW w:w="1134" w:type="dxa"/>
                        <w:tcBorders>
                          <w:top w:val="single" w:sz="4" w:space="0" w:color="FFFFFF"/>
                          <w:bottom w:val="single" w:sz="4" w:space="0" w:color="FFFFFF"/>
                        </w:tcBorders>
                      </w:tcPr>
                      <w:p>
                        <w:pPr>
                          <w:pStyle w:val="TableParagraph"/>
                          <w:spacing w:line="148" w:lineRule="exact"/>
                          <w:ind w:left="24"/>
                          <w:rPr>
                            <w:sz w:val="16"/>
                          </w:rPr>
                        </w:pPr>
                        <w:r>
                          <w:rPr>
                            <w:w w:val="100"/>
                            <w:sz w:val="16"/>
                            <w:u w:val="dotted" w:color="929292"/>
                          </w:rPr>
                          <w:t> </w:t>
                        </w:r>
                        <w:r>
                          <w:rPr>
                            <w:sz w:val="16"/>
                            <w:u w:val="dotted" w:color="929292"/>
                          </w:rPr>
                          <w:t> </w:t>
                        </w:r>
                        <w:r>
                          <w:rPr>
                            <w:sz w:val="16"/>
                          </w:rPr>
                          <w:t>5</w:t>
                        </w:r>
                      </w:p>
                    </w:tc>
                    <w:tc>
                      <w:tcPr>
                        <w:tcW w:w="1418" w:type="dxa"/>
                        <w:tcBorders>
                          <w:top w:val="single" w:sz="4" w:space="0" w:color="FFFFFF"/>
                          <w:bottom w:val="single" w:sz="4" w:space="0" w:color="FFFFFF"/>
                        </w:tcBorders>
                      </w:tcPr>
                      <w:p>
                        <w:pPr>
                          <w:pStyle w:val="TableParagraph"/>
                          <w:tabs>
                            <w:tab w:pos="1397" w:val="left" w:leader="none"/>
                          </w:tabs>
                          <w:spacing w:line="148" w:lineRule="exact"/>
                          <w:ind w:left="25"/>
                          <w:rPr>
                            <w:sz w:val="16"/>
                          </w:rPr>
                        </w:pPr>
                        <w:r>
                          <w:rPr>
                            <w:w w:val="100"/>
                            <w:sz w:val="16"/>
                            <w:u w:val="dotted" w:color="929292"/>
                          </w:rPr>
                          <w:t> </w:t>
                        </w:r>
                        <w:r>
                          <w:rPr>
                            <w:spacing w:val="-11"/>
                            <w:sz w:val="16"/>
                            <w:u w:val="dotted" w:color="929292"/>
                          </w:rPr>
                          <w:t> </w:t>
                        </w:r>
                        <w:r>
                          <w:rPr>
                            <w:sz w:val="16"/>
                            <w:u w:val="dotted" w:color="929292"/>
                          </w:rPr>
                          <w:t>0.8</w:t>
                          <w:tab/>
                        </w:r>
                      </w:p>
                    </w:tc>
                    <w:tc>
                      <w:tcPr>
                        <w:tcW w:w="1051" w:type="dxa"/>
                        <w:tcBorders>
                          <w:top w:val="single" w:sz="4" w:space="0" w:color="FFFFFF"/>
                          <w:bottom w:val="single" w:sz="4" w:space="0" w:color="FFFFFF"/>
                          <w:right w:val="nil"/>
                        </w:tcBorders>
                      </w:tcPr>
                      <w:p>
                        <w:pPr>
                          <w:pStyle w:val="TableParagraph"/>
                          <w:tabs>
                            <w:tab w:pos="1030" w:val="left" w:leader="none"/>
                          </w:tabs>
                          <w:spacing w:line="148" w:lineRule="exact"/>
                          <w:ind w:left="25"/>
                          <w:rPr>
                            <w:sz w:val="16"/>
                          </w:rPr>
                        </w:pPr>
                        <w:r>
                          <w:rPr>
                            <w:w w:val="100"/>
                            <w:sz w:val="16"/>
                            <w:u w:val="dotted" w:color="929292"/>
                          </w:rPr>
                          <w:t> </w:t>
                        </w:r>
                        <w:r>
                          <w:rPr>
                            <w:spacing w:val="-11"/>
                            <w:sz w:val="16"/>
                            <w:u w:val="dotted" w:color="929292"/>
                          </w:rPr>
                          <w:t> </w:t>
                        </w:r>
                        <w:r>
                          <w:rPr>
                            <w:sz w:val="16"/>
                            <w:u w:val="dotted" w:color="929292"/>
                          </w:rPr>
                          <w:t>4</w:t>
                          <w:tab/>
                        </w:r>
                      </w:p>
                    </w:tc>
                  </w:tr>
                  <w:tr>
                    <w:trPr>
                      <w:trHeight w:val="324" w:hRule="exact"/>
                    </w:trPr>
                    <w:tc>
                      <w:tcPr>
                        <w:tcW w:w="2149" w:type="dxa"/>
                        <w:tcBorders>
                          <w:top w:val="single" w:sz="4" w:space="0" w:color="FFFFFF"/>
                          <w:left w:val="nil"/>
                          <w:bottom w:val="single" w:sz="4" w:space="0" w:color="FFFFFF"/>
                        </w:tcBorders>
                      </w:tcPr>
                      <w:p>
                        <w:pPr>
                          <w:pStyle w:val="TableParagraph"/>
                          <w:spacing w:line="148" w:lineRule="exact"/>
                          <w:ind w:left="103"/>
                          <w:rPr>
                            <w:sz w:val="16"/>
                          </w:rPr>
                        </w:pPr>
                        <w:r>
                          <w:rPr>
                            <w:sz w:val="16"/>
                          </w:rPr>
                          <w:t>Tipo de materiales en</w:t>
                        </w:r>
                      </w:p>
                      <w:p>
                        <w:pPr>
                          <w:pStyle w:val="TableParagraph"/>
                          <w:tabs>
                            <w:tab w:pos="2133" w:val="left" w:leader="none"/>
                          </w:tabs>
                          <w:spacing w:before="16"/>
                          <w:ind w:left="29"/>
                          <w:rPr>
                            <w:sz w:val="16"/>
                          </w:rPr>
                        </w:pPr>
                        <w:r>
                          <w:rPr>
                            <w:w w:val="100"/>
                            <w:sz w:val="16"/>
                            <w:u w:val="dotted" w:color="929292"/>
                          </w:rPr>
                          <w:t> </w:t>
                        </w:r>
                        <w:r>
                          <w:rPr>
                            <w:spacing w:val="-16"/>
                            <w:sz w:val="16"/>
                            <w:u w:val="dotted" w:color="929292"/>
                          </w:rPr>
                          <w:t> </w:t>
                        </w:r>
                        <w:r>
                          <w:rPr>
                            <w:sz w:val="16"/>
                            <w:u w:val="dotted" w:color="929292"/>
                          </w:rPr>
                          <w:t>paredes</w:t>
                          <w:tab/>
                        </w:r>
                      </w:p>
                    </w:tc>
                    <w:tc>
                      <w:tcPr>
                        <w:tcW w:w="1980" w:type="dxa"/>
                        <w:tcBorders>
                          <w:top w:val="single" w:sz="4" w:space="0" w:color="FFFFFF"/>
                          <w:bottom w:val="single" w:sz="4" w:space="0" w:color="FFFFFF"/>
                        </w:tcBorders>
                      </w:tcPr>
                      <w:p>
                        <w:pPr>
                          <w:pStyle w:val="TableParagraph"/>
                          <w:spacing w:line="142" w:lineRule="exact" w:before="64"/>
                          <w:ind w:left="103"/>
                          <w:rPr>
                            <w:sz w:val="16"/>
                          </w:rPr>
                        </w:pPr>
                        <w:r>
                          <w:rPr>
                            <w:sz w:val="16"/>
                          </w:rPr>
                          <w:t>Pared de bloque</w:t>
                        </w:r>
                      </w:p>
                      <w:p>
                        <w:pPr>
                          <w:pStyle w:val="TableParagraph"/>
                          <w:tabs>
                            <w:tab w:pos="1959" w:val="left" w:leader="none"/>
                          </w:tabs>
                          <w:spacing w:line="142" w:lineRule="exact"/>
                          <w:ind w:left="25"/>
                          <w:rPr>
                            <w:sz w:val="16"/>
                          </w:rPr>
                        </w:pPr>
                        <w:r>
                          <w:rPr>
                            <w:w w:val="100"/>
                            <w:sz w:val="16"/>
                            <w:u w:val="dotted" w:color="929292"/>
                          </w:rPr>
                          <w:t> </w:t>
                        </w:r>
                        <w:r>
                          <w:rPr>
                            <w:sz w:val="16"/>
                            <w:u w:val="dotted" w:color="929292"/>
                          </w:rPr>
                          <w:tab/>
                        </w:r>
                      </w:p>
                    </w:tc>
                    <w:tc>
                      <w:tcPr>
                        <w:tcW w:w="1134" w:type="dxa"/>
                        <w:tcBorders>
                          <w:top w:val="single" w:sz="4" w:space="0" w:color="FFFFFF"/>
                          <w:bottom w:val="single" w:sz="4" w:space="0" w:color="FFFFFF"/>
                        </w:tcBorders>
                      </w:tcPr>
                      <w:p>
                        <w:pPr>
                          <w:pStyle w:val="TableParagraph"/>
                          <w:spacing w:line="142" w:lineRule="exact" w:before="64"/>
                          <w:ind w:left="103"/>
                          <w:rPr>
                            <w:sz w:val="16"/>
                          </w:rPr>
                        </w:pPr>
                        <w:r>
                          <w:rPr>
                            <w:w w:val="99"/>
                            <w:sz w:val="16"/>
                          </w:rPr>
                          <w:t>5</w:t>
                        </w:r>
                      </w:p>
                      <w:p>
                        <w:pPr>
                          <w:pStyle w:val="TableParagraph"/>
                          <w:tabs>
                            <w:tab w:pos="1114" w:val="left" w:leader="none"/>
                          </w:tabs>
                          <w:spacing w:line="142" w:lineRule="exact"/>
                          <w:ind w:left="24"/>
                          <w:rPr>
                            <w:sz w:val="16"/>
                          </w:rPr>
                        </w:pPr>
                        <w:r>
                          <w:rPr>
                            <w:w w:val="100"/>
                            <w:sz w:val="16"/>
                            <w:u w:val="dotted" w:color="929292"/>
                          </w:rPr>
                          <w:t> </w:t>
                        </w:r>
                        <w:r>
                          <w:rPr>
                            <w:sz w:val="16"/>
                            <w:u w:val="dotted" w:color="929292"/>
                          </w:rPr>
                          <w:tab/>
                        </w:r>
                      </w:p>
                    </w:tc>
                    <w:tc>
                      <w:tcPr>
                        <w:tcW w:w="1418" w:type="dxa"/>
                        <w:tcBorders>
                          <w:top w:val="single" w:sz="4" w:space="0" w:color="FFFFFF"/>
                          <w:bottom w:val="single" w:sz="4" w:space="0" w:color="FFFFFF"/>
                        </w:tcBorders>
                      </w:tcPr>
                      <w:p>
                        <w:pPr>
                          <w:pStyle w:val="TableParagraph"/>
                          <w:spacing w:line="142" w:lineRule="exact" w:before="64"/>
                          <w:ind w:left="103"/>
                          <w:rPr>
                            <w:sz w:val="16"/>
                          </w:rPr>
                        </w:pPr>
                        <w:r>
                          <w:rPr>
                            <w:sz w:val="16"/>
                          </w:rPr>
                          <w:t>0.8</w:t>
                        </w:r>
                      </w:p>
                      <w:p>
                        <w:pPr>
                          <w:pStyle w:val="TableParagraph"/>
                          <w:tabs>
                            <w:tab w:pos="1397" w:val="left" w:leader="none"/>
                          </w:tabs>
                          <w:spacing w:line="142" w:lineRule="exact"/>
                          <w:ind w:left="25"/>
                          <w:rPr>
                            <w:sz w:val="16"/>
                          </w:rPr>
                        </w:pPr>
                        <w:r>
                          <w:rPr>
                            <w:w w:val="100"/>
                            <w:sz w:val="16"/>
                            <w:u w:val="dotted" w:color="929292"/>
                          </w:rPr>
                          <w:t> </w:t>
                        </w:r>
                        <w:r>
                          <w:rPr>
                            <w:sz w:val="16"/>
                            <w:u w:val="dotted" w:color="929292"/>
                          </w:rPr>
                          <w:tab/>
                        </w:r>
                      </w:p>
                    </w:tc>
                    <w:tc>
                      <w:tcPr>
                        <w:tcW w:w="1051" w:type="dxa"/>
                        <w:tcBorders>
                          <w:top w:val="single" w:sz="4" w:space="0" w:color="FFFFFF"/>
                          <w:bottom w:val="single" w:sz="4" w:space="0" w:color="FFFFFF"/>
                          <w:right w:val="nil"/>
                        </w:tcBorders>
                      </w:tcPr>
                      <w:p>
                        <w:pPr>
                          <w:pStyle w:val="TableParagraph"/>
                          <w:spacing w:line="142" w:lineRule="exact" w:before="64"/>
                          <w:ind w:left="103"/>
                          <w:rPr>
                            <w:sz w:val="16"/>
                          </w:rPr>
                        </w:pPr>
                        <w:r>
                          <w:rPr>
                            <w:w w:val="99"/>
                            <w:sz w:val="16"/>
                          </w:rPr>
                          <w:t>4</w:t>
                        </w:r>
                      </w:p>
                      <w:p>
                        <w:pPr>
                          <w:pStyle w:val="TableParagraph"/>
                          <w:tabs>
                            <w:tab w:pos="1030" w:val="left" w:leader="none"/>
                          </w:tabs>
                          <w:spacing w:line="142" w:lineRule="exact"/>
                          <w:ind w:left="25"/>
                          <w:rPr>
                            <w:sz w:val="16"/>
                          </w:rPr>
                        </w:pPr>
                        <w:r>
                          <w:rPr>
                            <w:w w:val="100"/>
                            <w:sz w:val="16"/>
                            <w:u w:val="dotted" w:color="929292"/>
                          </w:rPr>
                          <w:t> </w:t>
                        </w:r>
                        <w:r>
                          <w:rPr>
                            <w:sz w:val="16"/>
                            <w:u w:val="dotted" w:color="929292"/>
                          </w:rPr>
                          <w:tab/>
                        </w:r>
                      </w:p>
                    </w:tc>
                  </w:tr>
                  <w:tr>
                    <w:trPr>
                      <w:trHeight w:val="327" w:hRule="exact"/>
                    </w:trPr>
                    <w:tc>
                      <w:tcPr>
                        <w:tcW w:w="2149" w:type="dxa"/>
                        <w:tcBorders>
                          <w:top w:val="single" w:sz="4" w:space="0" w:color="FFFFFF"/>
                          <w:left w:val="nil"/>
                        </w:tcBorders>
                      </w:tcPr>
                      <w:p>
                        <w:pPr>
                          <w:pStyle w:val="TableParagraph"/>
                          <w:spacing w:before="65"/>
                          <w:ind w:left="103"/>
                          <w:rPr>
                            <w:sz w:val="16"/>
                          </w:rPr>
                        </w:pPr>
                        <w:r>
                          <w:rPr>
                            <w:sz w:val="16"/>
                          </w:rPr>
                          <w:t>Número de pisos</w:t>
                        </w:r>
                      </w:p>
                    </w:tc>
                    <w:tc>
                      <w:tcPr>
                        <w:tcW w:w="1980" w:type="dxa"/>
                        <w:tcBorders>
                          <w:top w:val="single" w:sz="4" w:space="0" w:color="FFFFFF"/>
                        </w:tcBorders>
                      </w:tcPr>
                      <w:p>
                        <w:pPr>
                          <w:pStyle w:val="TableParagraph"/>
                          <w:spacing w:before="65"/>
                          <w:ind w:left="103"/>
                          <w:rPr>
                            <w:sz w:val="16"/>
                          </w:rPr>
                        </w:pPr>
                        <w:r>
                          <w:rPr>
                            <w:sz w:val="16"/>
                          </w:rPr>
                          <w:t>1pisos</w:t>
                        </w:r>
                      </w:p>
                    </w:tc>
                    <w:tc>
                      <w:tcPr>
                        <w:tcW w:w="1134" w:type="dxa"/>
                        <w:tcBorders>
                          <w:top w:val="single" w:sz="4" w:space="0" w:color="FFFFFF"/>
                        </w:tcBorders>
                      </w:tcPr>
                      <w:p>
                        <w:pPr>
                          <w:pStyle w:val="TableParagraph"/>
                          <w:spacing w:before="65"/>
                          <w:ind w:left="103"/>
                          <w:rPr>
                            <w:sz w:val="16"/>
                          </w:rPr>
                        </w:pPr>
                        <w:r>
                          <w:rPr>
                            <w:sz w:val="16"/>
                          </w:rPr>
                          <w:t>10</w:t>
                        </w:r>
                      </w:p>
                    </w:tc>
                    <w:tc>
                      <w:tcPr>
                        <w:tcW w:w="1418" w:type="dxa"/>
                        <w:tcBorders>
                          <w:top w:val="single" w:sz="4" w:space="0" w:color="FFFFFF"/>
                        </w:tcBorders>
                      </w:tcPr>
                      <w:p>
                        <w:pPr>
                          <w:pStyle w:val="TableParagraph"/>
                          <w:spacing w:before="65"/>
                          <w:ind w:left="103"/>
                          <w:rPr>
                            <w:sz w:val="16"/>
                          </w:rPr>
                        </w:pPr>
                        <w:r>
                          <w:rPr>
                            <w:sz w:val="16"/>
                          </w:rPr>
                          <w:t>0.8</w:t>
                        </w:r>
                      </w:p>
                    </w:tc>
                    <w:tc>
                      <w:tcPr>
                        <w:tcW w:w="1051" w:type="dxa"/>
                        <w:tcBorders>
                          <w:top w:val="single" w:sz="4" w:space="0" w:color="FFFFFF"/>
                          <w:right w:val="nil"/>
                        </w:tcBorders>
                      </w:tcPr>
                      <w:p>
                        <w:pPr>
                          <w:pStyle w:val="TableParagraph"/>
                          <w:spacing w:before="65"/>
                          <w:ind w:left="103"/>
                          <w:rPr>
                            <w:sz w:val="16"/>
                          </w:rPr>
                        </w:pPr>
                        <w:r>
                          <w:rPr>
                            <w:w w:val="99"/>
                            <w:sz w:val="16"/>
                          </w:rPr>
                          <w:t>8</w:t>
                        </w:r>
                      </w:p>
                    </w:tc>
                  </w:tr>
                  <w:tr>
                    <w:trPr>
                      <w:trHeight w:val="351" w:hRule="exact"/>
                    </w:trPr>
                    <w:tc>
                      <w:tcPr>
                        <w:tcW w:w="2149" w:type="dxa"/>
                        <w:tcBorders>
                          <w:left w:val="nil"/>
                        </w:tcBorders>
                      </w:tcPr>
                      <w:p>
                        <w:pPr>
                          <w:pStyle w:val="TableParagraph"/>
                          <w:spacing w:before="77"/>
                          <w:ind w:left="103"/>
                          <w:rPr>
                            <w:sz w:val="16"/>
                          </w:rPr>
                        </w:pPr>
                        <w:r>
                          <w:rPr>
                            <w:sz w:val="16"/>
                          </w:rPr>
                          <w:t>Año de construcción</w:t>
                        </w:r>
                      </w:p>
                    </w:tc>
                    <w:tc>
                      <w:tcPr>
                        <w:tcW w:w="1980" w:type="dxa"/>
                      </w:tcPr>
                      <w:p>
                        <w:pPr>
                          <w:pStyle w:val="TableParagraph"/>
                          <w:spacing w:before="77"/>
                          <w:ind w:left="103"/>
                          <w:rPr>
                            <w:sz w:val="16"/>
                          </w:rPr>
                        </w:pPr>
                        <w:r>
                          <w:rPr>
                            <w:sz w:val="16"/>
                          </w:rPr>
                          <w:t>Entre 1986 y 2000</w:t>
                        </w:r>
                      </w:p>
                    </w:tc>
                    <w:tc>
                      <w:tcPr>
                        <w:tcW w:w="1134" w:type="dxa"/>
                      </w:tcPr>
                      <w:p>
                        <w:pPr>
                          <w:pStyle w:val="TableParagraph"/>
                          <w:spacing w:before="77"/>
                          <w:ind w:left="103"/>
                          <w:rPr>
                            <w:sz w:val="16"/>
                          </w:rPr>
                        </w:pPr>
                        <w:r>
                          <w:rPr>
                            <w:w w:val="99"/>
                            <w:sz w:val="16"/>
                          </w:rPr>
                          <w:t>1</w:t>
                        </w:r>
                      </w:p>
                    </w:tc>
                    <w:tc>
                      <w:tcPr>
                        <w:tcW w:w="1418" w:type="dxa"/>
                      </w:tcPr>
                      <w:p>
                        <w:pPr>
                          <w:pStyle w:val="TableParagraph"/>
                          <w:spacing w:before="77"/>
                          <w:ind w:left="103"/>
                          <w:rPr>
                            <w:sz w:val="16"/>
                          </w:rPr>
                        </w:pPr>
                        <w:r>
                          <w:rPr>
                            <w:sz w:val="16"/>
                          </w:rPr>
                          <w:t>0.8</w:t>
                        </w:r>
                      </w:p>
                    </w:tc>
                    <w:tc>
                      <w:tcPr>
                        <w:tcW w:w="1051" w:type="dxa"/>
                        <w:tcBorders>
                          <w:right w:val="nil"/>
                        </w:tcBorders>
                      </w:tcPr>
                      <w:p>
                        <w:pPr>
                          <w:pStyle w:val="TableParagraph"/>
                          <w:spacing w:before="77"/>
                          <w:ind w:left="103"/>
                          <w:rPr>
                            <w:sz w:val="16"/>
                          </w:rPr>
                        </w:pPr>
                        <w:r>
                          <w:rPr>
                            <w:sz w:val="16"/>
                          </w:rPr>
                          <w:t>0.8</w:t>
                        </w:r>
                      </w:p>
                    </w:tc>
                  </w:tr>
                  <w:tr>
                    <w:trPr>
                      <w:trHeight w:val="365" w:hRule="exact"/>
                    </w:trPr>
                    <w:tc>
                      <w:tcPr>
                        <w:tcW w:w="2149" w:type="dxa"/>
                        <w:tcBorders>
                          <w:left w:val="nil"/>
                        </w:tcBorders>
                      </w:tcPr>
                      <w:p>
                        <w:pPr>
                          <w:pStyle w:val="TableParagraph"/>
                          <w:spacing w:before="84"/>
                          <w:ind w:left="103"/>
                          <w:rPr>
                            <w:sz w:val="16"/>
                          </w:rPr>
                        </w:pPr>
                        <w:r>
                          <w:rPr>
                            <w:sz w:val="16"/>
                          </w:rPr>
                          <w:t>Estado de conservación</w:t>
                        </w:r>
                      </w:p>
                    </w:tc>
                    <w:tc>
                      <w:tcPr>
                        <w:tcW w:w="1980" w:type="dxa"/>
                      </w:tcPr>
                      <w:p>
                        <w:pPr>
                          <w:pStyle w:val="TableParagraph"/>
                          <w:spacing w:before="84"/>
                          <w:ind w:left="103"/>
                          <w:rPr>
                            <w:sz w:val="16"/>
                          </w:rPr>
                        </w:pPr>
                        <w:r>
                          <w:rPr>
                            <w:sz w:val="16"/>
                          </w:rPr>
                          <w:t>Regular</w:t>
                        </w:r>
                      </w:p>
                    </w:tc>
                    <w:tc>
                      <w:tcPr>
                        <w:tcW w:w="1134" w:type="dxa"/>
                      </w:tcPr>
                      <w:p>
                        <w:pPr>
                          <w:pStyle w:val="TableParagraph"/>
                          <w:spacing w:before="84"/>
                          <w:ind w:left="103"/>
                          <w:rPr>
                            <w:sz w:val="16"/>
                          </w:rPr>
                        </w:pPr>
                        <w:r>
                          <w:rPr>
                            <w:w w:val="99"/>
                            <w:sz w:val="16"/>
                          </w:rPr>
                          <w:t>5</w:t>
                        </w:r>
                      </w:p>
                    </w:tc>
                    <w:tc>
                      <w:tcPr>
                        <w:tcW w:w="1418" w:type="dxa"/>
                      </w:tcPr>
                      <w:p>
                        <w:pPr>
                          <w:pStyle w:val="TableParagraph"/>
                          <w:spacing w:before="84"/>
                          <w:ind w:left="103"/>
                          <w:rPr>
                            <w:sz w:val="16"/>
                          </w:rPr>
                        </w:pPr>
                        <w:r>
                          <w:rPr>
                            <w:sz w:val="16"/>
                          </w:rPr>
                          <w:t>0.8</w:t>
                        </w:r>
                      </w:p>
                    </w:tc>
                    <w:tc>
                      <w:tcPr>
                        <w:tcW w:w="1051" w:type="dxa"/>
                        <w:tcBorders>
                          <w:right w:val="nil"/>
                        </w:tcBorders>
                      </w:tcPr>
                      <w:p>
                        <w:pPr>
                          <w:pStyle w:val="TableParagraph"/>
                          <w:spacing w:before="84"/>
                          <w:ind w:left="103"/>
                          <w:rPr>
                            <w:sz w:val="16"/>
                          </w:rPr>
                        </w:pPr>
                        <w:r>
                          <w:rPr>
                            <w:w w:val="99"/>
                            <w:sz w:val="16"/>
                          </w:rPr>
                          <w:t>4</w:t>
                        </w:r>
                      </w:p>
                    </w:tc>
                  </w:tr>
                  <w:tr>
                    <w:trPr>
                      <w:trHeight w:val="615" w:hRule="exact"/>
                    </w:trPr>
                    <w:tc>
                      <w:tcPr>
                        <w:tcW w:w="2149" w:type="dxa"/>
                        <w:tcBorders>
                          <w:left w:val="nil"/>
                        </w:tcBorders>
                      </w:tcPr>
                      <w:p>
                        <w:pPr>
                          <w:pStyle w:val="TableParagraph"/>
                          <w:spacing w:line="261" w:lineRule="auto" w:before="109"/>
                          <w:ind w:left="103" w:right="268"/>
                          <w:rPr>
                            <w:sz w:val="16"/>
                          </w:rPr>
                        </w:pPr>
                        <w:r>
                          <w:rPr>
                            <w:sz w:val="16"/>
                          </w:rPr>
                          <w:t>Características del suelo bajo la edificación</w:t>
                        </w:r>
                      </w:p>
                    </w:tc>
                    <w:tc>
                      <w:tcPr>
                        <w:tcW w:w="1980" w:type="dxa"/>
                      </w:tcPr>
                      <w:p>
                        <w:pPr>
                          <w:pStyle w:val="TableParagraph"/>
                          <w:spacing w:before="2"/>
                          <w:rPr>
                            <w:sz w:val="18"/>
                          </w:rPr>
                        </w:pPr>
                      </w:p>
                      <w:p>
                        <w:pPr>
                          <w:pStyle w:val="TableParagraph"/>
                          <w:ind w:left="103"/>
                          <w:rPr>
                            <w:sz w:val="16"/>
                          </w:rPr>
                        </w:pPr>
                        <w:r>
                          <w:rPr>
                            <w:sz w:val="16"/>
                          </w:rPr>
                          <w:t>Húmedo, blando, relleno</w:t>
                        </w:r>
                      </w:p>
                    </w:tc>
                    <w:tc>
                      <w:tcPr>
                        <w:tcW w:w="1134" w:type="dxa"/>
                      </w:tcPr>
                      <w:p>
                        <w:pPr>
                          <w:pStyle w:val="TableParagraph"/>
                          <w:spacing w:before="2"/>
                          <w:rPr>
                            <w:sz w:val="18"/>
                          </w:rPr>
                        </w:pPr>
                      </w:p>
                      <w:p>
                        <w:pPr>
                          <w:pStyle w:val="TableParagraph"/>
                          <w:ind w:left="103"/>
                          <w:rPr>
                            <w:sz w:val="16"/>
                          </w:rPr>
                        </w:pPr>
                        <w:r>
                          <w:rPr>
                            <w:w w:val="99"/>
                            <w:sz w:val="16"/>
                          </w:rPr>
                          <w:t>5</w:t>
                        </w:r>
                      </w:p>
                    </w:tc>
                    <w:tc>
                      <w:tcPr>
                        <w:tcW w:w="1418" w:type="dxa"/>
                      </w:tcPr>
                      <w:p>
                        <w:pPr>
                          <w:pStyle w:val="TableParagraph"/>
                          <w:spacing w:before="2"/>
                          <w:rPr>
                            <w:sz w:val="18"/>
                          </w:rPr>
                        </w:pPr>
                      </w:p>
                      <w:p>
                        <w:pPr>
                          <w:pStyle w:val="TableParagraph"/>
                          <w:ind w:left="104"/>
                          <w:rPr>
                            <w:sz w:val="16"/>
                          </w:rPr>
                        </w:pPr>
                        <w:r>
                          <w:rPr>
                            <w:w w:val="99"/>
                            <w:sz w:val="16"/>
                          </w:rPr>
                          <w:t>2</w:t>
                        </w:r>
                      </w:p>
                    </w:tc>
                    <w:tc>
                      <w:tcPr>
                        <w:tcW w:w="1051" w:type="dxa"/>
                        <w:tcBorders>
                          <w:right w:val="nil"/>
                        </w:tcBorders>
                      </w:tcPr>
                      <w:p>
                        <w:pPr>
                          <w:pStyle w:val="TableParagraph"/>
                          <w:spacing w:before="2"/>
                          <w:rPr>
                            <w:sz w:val="18"/>
                          </w:rPr>
                        </w:pPr>
                      </w:p>
                      <w:p>
                        <w:pPr>
                          <w:pStyle w:val="TableParagraph"/>
                          <w:ind w:left="104"/>
                          <w:rPr>
                            <w:sz w:val="16"/>
                          </w:rPr>
                        </w:pPr>
                        <w:r>
                          <w:rPr>
                            <w:sz w:val="16"/>
                          </w:rPr>
                          <w:t>10</w:t>
                        </w:r>
                      </w:p>
                    </w:tc>
                  </w:tr>
                  <w:tr>
                    <w:trPr>
                      <w:trHeight w:val="615" w:hRule="exact"/>
                    </w:trPr>
                    <w:tc>
                      <w:tcPr>
                        <w:tcW w:w="2149" w:type="dxa"/>
                        <w:tcBorders>
                          <w:left w:val="nil"/>
                        </w:tcBorders>
                      </w:tcPr>
                      <w:p>
                        <w:pPr>
                          <w:pStyle w:val="TableParagraph"/>
                          <w:spacing w:before="2"/>
                          <w:rPr>
                            <w:sz w:val="18"/>
                          </w:rPr>
                        </w:pPr>
                      </w:p>
                      <w:p>
                        <w:pPr>
                          <w:pStyle w:val="TableParagraph"/>
                          <w:ind w:left="104"/>
                          <w:rPr>
                            <w:sz w:val="16"/>
                          </w:rPr>
                        </w:pPr>
                        <w:r>
                          <w:rPr>
                            <w:sz w:val="16"/>
                          </w:rPr>
                          <w:t>Topografía del sitio</w:t>
                        </w:r>
                      </w:p>
                    </w:tc>
                    <w:tc>
                      <w:tcPr>
                        <w:tcW w:w="1980" w:type="dxa"/>
                      </w:tcPr>
                      <w:p>
                        <w:pPr>
                          <w:pStyle w:val="TableParagraph"/>
                          <w:spacing w:line="261" w:lineRule="auto" w:before="109"/>
                          <w:ind w:left="104" w:right="333"/>
                          <w:rPr>
                            <w:sz w:val="16"/>
                          </w:rPr>
                        </w:pPr>
                        <w:r>
                          <w:rPr>
                            <w:sz w:val="16"/>
                          </w:rPr>
                          <w:t>Terreno accidentado, laderas</w:t>
                        </w:r>
                      </w:p>
                    </w:tc>
                    <w:tc>
                      <w:tcPr>
                        <w:tcW w:w="1134" w:type="dxa"/>
                      </w:tcPr>
                      <w:p>
                        <w:pPr>
                          <w:pStyle w:val="TableParagraph"/>
                          <w:spacing w:before="2"/>
                          <w:rPr>
                            <w:sz w:val="18"/>
                          </w:rPr>
                        </w:pPr>
                      </w:p>
                      <w:p>
                        <w:pPr>
                          <w:pStyle w:val="TableParagraph"/>
                          <w:ind w:left="104"/>
                          <w:rPr>
                            <w:sz w:val="16"/>
                          </w:rPr>
                        </w:pPr>
                        <w:r>
                          <w:rPr>
                            <w:sz w:val="16"/>
                          </w:rPr>
                          <w:t>10</w:t>
                        </w:r>
                      </w:p>
                    </w:tc>
                    <w:tc>
                      <w:tcPr>
                        <w:tcW w:w="1418" w:type="dxa"/>
                      </w:tcPr>
                      <w:p>
                        <w:pPr>
                          <w:pStyle w:val="TableParagraph"/>
                          <w:spacing w:before="2"/>
                          <w:rPr>
                            <w:sz w:val="18"/>
                          </w:rPr>
                        </w:pPr>
                      </w:p>
                      <w:p>
                        <w:pPr>
                          <w:pStyle w:val="TableParagraph"/>
                          <w:ind w:left="104"/>
                          <w:rPr>
                            <w:sz w:val="16"/>
                          </w:rPr>
                        </w:pPr>
                        <w:r>
                          <w:rPr>
                            <w:w w:val="99"/>
                            <w:sz w:val="16"/>
                          </w:rPr>
                          <w:t>2</w:t>
                        </w:r>
                      </w:p>
                    </w:tc>
                    <w:tc>
                      <w:tcPr>
                        <w:tcW w:w="1051" w:type="dxa"/>
                        <w:tcBorders>
                          <w:right w:val="nil"/>
                        </w:tcBorders>
                      </w:tcPr>
                      <w:p>
                        <w:pPr/>
                      </w:p>
                    </w:tc>
                  </w:tr>
                  <w:tr>
                    <w:trPr>
                      <w:trHeight w:val="267" w:hRule="exact"/>
                    </w:trPr>
                    <w:tc>
                      <w:tcPr>
                        <w:tcW w:w="2149" w:type="dxa"/>
                        <w:tcBorders>
                          <w:left w:val="nil"/>
                        </w:tcBorders>
                      </w:tcPr>
                      <w:p>
                        <w:pPr>
                          <w:pStyle w:val="TableParagraph"/>
                          <w:spacing w:before="35"/>
                          <w:ind w:left="104"/>
                          <w:rPr>
                            <w:sz w:val="16"/>
                          </w:rPr>
                        </w:pPr>
                        <w:r>
                          <w:rPr>
                            <w:sz w:val="16"/>
                          </w:rPr>
                          <w:t>Exposición</w:t>
                        </w:r>
                      </w:p>
                    </w:tc>
                    <w:tc>
                      <w:tcPr>
                        <w:tcW w:w="1980" w:type="dxa"/>
                      </w:tcPr>
                      <w:p>
                        <w:pPr>
                          <w:pStyle w:val="TableParagraph"/>
                          <w:spacing w:before="35"/>
                          <w:ind w:left="104"/>
                          <w:rPr>
                            <w:sz w:val="16"/>
                          </w:rPr>
                        </w:pPr>
                        <w:r>
                          <w:rPr>
                            <w:sz w:val="16"/>
                          </w:rPr>
                          <w:t>Menos de 10 metros</w:t>
                        </w:r>
                      </w:p>
                    </w:tc>
                    <w:tc>
                      <w:tcPr>
                        <w:tcW w:w="1134" w:type="dxa"/>
                      </w:tcPr>
                      <w:p>
                        <w:pPr>
                          <w:pStyle w:val="TableParagraph"/>
                          <w:spacing w:before="35"/>
                          <w:ind w:left="104"/>
                          <w:rPr>
                            <w:sz w:val="16"/>
                          </w:rPr>
                        </w:pPr>
                        <w:r>
                          <w:rPr>
                            <w:sz w:val="16"/>
                          </w:rPr>
                          <w:t>10</w:t>
                        </w:r>
                      </w:p>
                    </w:tc>
                    <w:tc>
                      <w:tcPr>
                        <w:tcW w:w="1418" w:type="dxa"/>
                      </w:tcPr>
                      <w:p>
                        <w:pPr>
                          <w:pStyle w:val="TableParagraph"/>
                          <w:spacing w:before="35"/>
                          <w:ind w:left="104"/>
                          <w:rPr>
                            <w:sz w:val="16"/>
                          </w:rPr>
                        </w:pPr>
                        <w:r>
                          <w:rPr>
                            <w:w w:val="99"/>
                            <w:sz w:val="16"/>
                          </w:rPr>
                          <w:t>2</w:t>
                        </w:r>
                      </w:p>
                    </w:tc>
                    <w:tc>
                      <w:tcPr>
                        <w:tcW w:w="1051" w:type="dxa"/>
                        <w:tcBorders>
                          <w:right w:val="nil"/>
                        </w:tcBorders>
                      </w:tcPr>
                      <w:p>
                        <w:pPr/>
                      </w:p>
                    </w:tc>
                  </w:tr>
                </w:tbl>
                <w:p>
                  <w:pPr>
                    <w:pStyle w:val="BodyText"/>
                  </w:pPr>
                </w:p>
              </w:txbxContent>
            </v:textbox>
            <w10:wrap type="none"/>
          </v:shape>
        </w:pict>
      </w:r>
      <w:r>
        <w:rPr>
          <w:color w:val="6D6E71"/>
          <w:sz w:val="16"/>
        </w:rPr>
        <w:t>Fuentes: Elaboración propia, 2015</w:t>
      </w:r>
    </w:p>
    <w:p>
      <w:pPr>
        <w:pStyle w:val="BodyText"/>
        <w:spacing w:before="10"/>
        <w:rPr>
          <w:sz w:val="15"/>
        </w:rPr>
      </w:pPr>
    </w:p>
    <w:p>
      <w:pPr>
        <w:spacing w:after="0"/>
        <w:rPr>
          <w:sz w:val="15"/>
        </w:rPr>
        <w:sectPr>
          <w:type w:val="continuous"/>
          <w:pgSz w:w="18830" w:h="12760" w:orient="landscape"/>
          <w:pgMar w:top="1420" w:bottom="280" w:left="720" w:right="700"/>
        </w:sectPr>
      </w:pPr>
    </w:p>
    <w:p>
      <w:pPr>
        <w:pStyle w:val="BodyText"/>
        <w:spacing w:line="249" w:lineRule="auto" w:before="76"/>
        <w:ind w:left="117" w:firstLine="170"/>
        <w:jc w:val="both"/>
      </w:pPr>
      <w:r>
        <w:rPr/>
        <w:t>Del total de 43 manzanas (privadas) ubicadas al sur del fraccionamiento Villas       del Campo y en colindancia con la mina Colinolis, ocho de éstas que representan       el 18.6% que se encuentran en el nivel de vulnerabilidad alto, correspondiente con  más de 66 puntos, dos (4.7%) en el nivel medio que se ubican en la parte centro del fraccionamiento y 33 (76.7%) en nivel bajo las cuales se ubican en la parte norte y noreste del</w:t>
      </w:r>
      <w:r>
        <w:rPr>
          <w:spacing w:val="32"/>
        </w:rPr>
        <w:t> </w:t>
      </w:r>
      <w:r>
        <w:rPr/>
        <w:t>fraccionamiento.</w:t>
      </w:r>
    </w:p>
    <w:p>
      <w:pPr>
        <w:pStyle w:val="BodyText"/>
        <w:spacing w:before="11"/>
      </w:pPr>
    </w:p>
    <w:p>
      <w:pPr>
        <w:pStyle w:val="BodyText"/>
        <w:spacing w:line="249" w:lineRule="auto"/>
        <w:ind w:left="117" w:firstLine="170"/>
        <w:jc w:val="both"/>
      </w:pPr>
      <w:r>
        <w:rPr/>
        <w:t>De</w:t>
      </w:r>
      <w:r>
        <w:rPr>
          <w:spacing w:val="-15"/>
        </w:rPr>
        <w:t> </w:t>
      </w:r>
      <w:r>
        <w:rPr/>
        <w:t>las</w:t>
      </w:r>
      <w:r>
        <w:rPr>
          <w:spacing w:val="-15"/>
        </w:rPr>
        <w:t> </w:t>
      </w:r>
      <w:r>
        <w:rPr/>
        <w:t>ocho</w:t>
      </w:r>
      <w:r>
        <w:rPr>
          <w:spacing w:val="-15"/>
        </w:rPr>
        <w:t> </w:t>
      </w:r>
      <w:r>
        <w:rPr/>
        <w:t>privadas</w:t>
      </w:r>
      <w:r>
        <w:rPr>
          <w:spacing w:val="-15"/>
        </w:rPr>
        <w:t> </w:t>
      </w:r>
      <w:r>
        <w:rPr/>
        <w:t>suman</w:t>
      </w:r>
      <w:r>
        <w:rPr>
          <w:spacing w:val="-15"/>
        </w:rPr>
        <w:t> </w:t>
      </w:r>
      <w:r>
        <w:rPr/>
        <w:t>350</w:t>
      </w:r>
      <w:r>
        <w:rPr>
          <w:spacing w:val="-15"/>
        </w:rPr>
        <w:t> </w:t>
      </w:r>
      <w:r>
        <w:rPr/>
        <w:t>casas</w:t>
      </w:r>
      <w:r>
        <w:rPr>
          <w:spacing w:val="-15"/>
        </w:rPr>
        <w:t> </w:t>
      </w:r>
      <w:r>
        <w:rPr/>
        <w:t>de</w:t>
      </w:r>
      <w:r>
        <w:rPr>
          <w:spacing w:val="-15"/>
        </w:rPr>
        <w:t> </w:t>
      </w:r>
      <w:r>
        <w:rPr/>
        <w:t>diferente</w:t>
      </w:r>
      <w:r>
        <w:rPr>
          <w:spacing w:val="-15"/>
        </w:rPr>
        <w:t> </w:t>
      </w:r>
      <w:r>
        <w:rPr/>
        <w:t>tipo,</w:t>
      </w:r>
      <w:r>
        <w:rPr>
          <w:spacing w:val="-15"/>
        </w:rPr>
        <w:t> </w:t>
      </w:r>
      <w:r>
        <w:rPr/>
        <w:t>prevaleciendo</w:t>
      </w:r>
      <w:r>
        <w:rPr>
          <w:spacing w:val="-15"/>
        </w:rPr>
        <w:t> </w:t>
      </w:r>
      <w:r>
        <w:rPr/>
        <w:t>principalmente el Tahoe con 80m</w:t>
      </w:r>
      <w:r>
        <w:rPr>
          <w:position w:val="7"/>
          <w:sz w:val="11"/>
        </w:rPr>
        <w:t>2 </w:t>
      </w:r>
      <w:r>
        <w:rPr/>
        <w:t>y Baikal con 95m</w:t>
      </w:r>
      <w:r>
        <w:rPr>
          <w:position w:val="7"/>
          <w:sz w:val="11"/>
        </w:rPr>
        <w:t>2 </w:t>
      </w:r>
      <w:r>
        <w:rPr/>
        <w:t>de construcción respectivamente; si se toma en cuenta  que ambos tipos de casas ofrecen dos recámaras, se estará considerando  que por casa habiten de tres a cuatro personas, se tendría un aproximado de 1,408 personas que estarían siendo afectadas por el tipo de amenaza por</w:t>
      </w:r>
      <w:r>
        <w:rPr>
          <w:spacing w:val="40"/>
        </w:rPr>
        <w:t> </w:t>
      </w:r>
      <w:r>
        <w:rPr/>
        <w:t>deslizamiento.</w:t>
      </w:r>
    </w:p>
    <w:p>
      <w:pPr>
        <w:pStyle w:val="BodyText"/>
        <w:spacing w:line="249" w:lineRule="auto" w:before="1"/>
        <w:ind w:left="117" w:firstLine="170"/>
        <w:jc w:val="both"/>
      </w:pPr>
      <w:r>
        <w:rPr/>
        <w:t>De las 350 casas, 151 de éstas colindan con las minas Colinolis existiendo una distancia máxima de 10 metros entre estos. Más del 60% de las casas presentan humedad</w:t>
      </w:r>
      <w:r>
        <w:rPr>
          <w:spacing w:val="-7"/>
        </w:rPr>
        <w:t> </w:t>
      </w:r>
      <w:r>
        <w:rPr/>
        <w:t>en</w:t>
      </w:r>
      <w:r>
        <w:rPr>
          <w:spacing w:val="-7"/>
        </w:rPr>
        <w:t> </w:t>
      </w:r>
      <w:r>
        <w:rPr/>
        <w:t>las</w:t>
      </w:r>
      <w:r>
        <w:rPr>
          <w:spacing w:val="-7"/>
        </w:rPr>
        <w:t> </w:t>
      </w:r>
      <w:r>
        <w:rPr/>
        <w:t>paredes</w:t>
      </w:r>
      <w:r>
        <w:rPr>
          <w:spacing w:val="-7"/>
        </w:rPr>
        <w:t> </w:t>
      </w:r>
      <w:r>
        <w:rPr/>
        <w:t>y</w:t>
      </w:r>
      <w:r>
        <w:rPr>
          <w:spacing w:val="-7"/>
        </w:rPr>
        <w:t> </w:t>
      </w:r>
      <w:r>
        <w:rPr/>
        <w:t>el</w:t>
      </w:r>
      <w:r>
        <w:rPr>
          <w:spacing w:val="-7"/>
        </w:rPr>
        <w:t> </w:t>
      </w:r>
      <w:r>
        <w:rPr/>
        <w:t>20%</w:t>
      </w:r>
      <w:r>
        <w:rPr>
          <w:spacing w:val="-7"/>
        </w:rPr>
        <w:t> </w:t>
      </w:r>
      <w:r>
        <w:rPr/>
        <w:t>muestra</w:t>
      </w:r>
      <w:r>
        <w:rPr>
          <w:spacing w:val="-7"/>
        </w:rPr>
        <w:t> </w:t>
      </w:r>
      <w:r>
        <w:rPr/>
        <w:t>alguna</w:t>
      </w:r>
      <w:r>
        <w:rPr>
          <w:spacing w:val="-7"/>
        </w:rPr>
        <w:t> </w:t>
      </w:r>
      <w:r>
        <w:rPr/>
        <w:t>fisura</w:t>
      </w:r>
      <w:r>
        <w:rPr>
          <w:spacing w:val="-7"/>
        </w:rPr>
        <w:t> </w:t>
      </w:r>
      <w:r>
        <w:rPr/>
        <w:t>o</w:t>
      </w:r>
      <w:r>
        <w:rPr>
          <w:spacing w:val="-7"/>
        </w:rPr>
        <w:t> </w:t>
      </w:r>
      <w:r>
        <w:rPr/>
        <w:t>desprendimiento</w:t>
      </w:r>
      <w:r>
        <w:rPr>
          <w:spacing w:val="-7"/>
        </w:rPr>
        <w:t> </w:t>
      </w:r>
      <w:r>
        <w:rPr/>
        <w:t>del</w:t>
      </w:r>
      <w:r>
        <w:rPr>
          <w:spacing w:val="-7"/>
        </w:rPr>
        <w:t> </w:t>
      </w:r>
      <w:r>
        <w:rPr/>
        <w:t>material de construcción, aunado a la presencia de vegetación que tiene inclinación a favor de la ladera hacia la</w:t>
      </w:r>
      <w:r>
        <w:rPr>
          <w:spacing w:val="-13"/>
        </w:rPr>
        <w:t> </w:t>
      </w:r>
      <w:r>
        <w:rPr/>
        <w:t>mina.</w:t>
      </w:r>
    </w:p>
    <w:p>
      <w:pPr>
        <w:pStyle w:val="BodyText"/>
        <w:spacing w:before="11"/>
      </w:pPr>
    </w:p>
    <w:p>
      <w:pPr>
        <w:pStyle w:val="BodyText"/>
        <w:spacing w:line="249" w:lineRule="auto"/>
        <w:ind w:left="117" w:firstLine="170"/>
        <w:jc w:val="both"/>
      </w:pPr>
      <w:r>
        <w:rPr/>
        <w:t>Es importante mencionar, que el Atlas de Riesgo del municipio de Calimaya, señala en la parte sur del fraccionamiento la presencia de riesgos geológicos como “zona de deslaves”, lo cual se comprueba con el análisis realizado y las visitas al lugar.</w:t>
      </w:r>
    </w:p>
    <w:p>
      <w:pPr>
        <w:pStyle w:val="BodyText"/>
        <w:rPr>
          <w:sz w:val="13"/>
        </w:rPr>
      </w:pPr>
      <w:r>
        <w:rPr/>
        <w:br w:type="column"/>
      </w:r>
      <w:r>
        <w:rPr>
          <w:sz w:val="13"/>
        </w:rPr>
      </w:r>
    </w:p>
    <w:p>
      <w:pPr>
        <w:spacing w:before="0"/>
        <w:ind w:left="227" w:right="0" w:firstLine="0"/>
        <w:jc w:val="left"/>
        <w:rPr>
          <w:sz w:val="16"/>
        </w:rPr>
      </w:pPr>
      <w:r>
        <w:rPr>
          <w:sz w:val="16"/>
        </w:rPr>
        <w:t>Nivel de vulnerabilidad física estructural de las manzanas</w:t>
      </w:r>
    </w:p>
    <w:p>
      <w:pPr>
        <w:pStyle w:val="BodyText"/>
        <w:spacing w:before="5"/>
        <w:rPr>
          <w:sz w:val="3"/>
        </w:rPr>
      </w:pPr>
    </w:p>
    <w:p>
      <w:pPr>
        <w:pStyle w:val="BodyText"/>
        <w:spacing w:line="20" w:lineRule="exact"/>
        <w:ind w:left="117"/>
        <w:rPr>
          <w:sz w:val="2"/>
        </w:rPr>
      </w:pPr>
      <w:r>
        <w:rPr>
          <w:sz w:val="2"/>
        </w:rPr>
        <w:pict>
          <v:group style="width:387.1pt;height:.5pt;mso-position-horizontal-relative:char;mso-position-vertical-relative:line" coordorigin="0,0" coordsize="7742,10">
            <v:line style="position:absolute" from="35,5" to="2139,5" stroked="true" strokeweight=".5pt" strokecolor="#929292">
              <v:stroke dashstyle="dash"/>
            </v:line>
            <v:line style="position:absolute" from="5,5" to="5,5" stroked="true" strokeweight=".5pt" strokecolor="#929292"/>
            <v:line style="position:absolute" from="2154,5" to="2154,5" stroked="true" strokeweight=".5pt" strokecolor="#929292"/>
            <v:line style="position:absolute" from="2184,5" to="4119,5" stroked="true" strokeweight=".5pt" strokecolor="#929292">
              <v:stroke dashstyle="dash"/>
            </v:line>
            <v:line style="position:absolute" from="2154,5" to="2154,5" stroked="true" strokeweight=".5pt" strokecolor="#929292"/>
            <v:line style="position:absolute" from="4134,5" to="4134,5" stroked="true" strokeweight=".5pt" strokecolor="#929292"/>
            <v:line style="position:absolute" from="4163,5" to="5253,5" stroked="true" strokeweight=".5pt" strokecolor="#929292">
              <v:stroke dashstyle="dash"/>
            </v:line>
            <v:line style="position:absolute" from="4134,5" to="4134,5" stroked="true" strokeweight=".5pt" strokecolor="#929292"/>
            <v:line style="position:absolute" from="5268,5" to="5268,5" stroked="true" strokeweight=".5pt" strokecolor="#929292"/>
            <v:line style="position:absolute" from="5298,5" to="6670,5" stroked="true" strokeweight=".5pt" strokecolor="#929292">
              <v:stroke dashstyle="dash"/>
            </v:line>
            <v:line style="position:absolute" from="5268,5" to="5268,5" stroked="true" strokeweight=".5pt" strokecolor="#929292"/>
            <v:line style="position:absolute" from="6686,5" to="6686,5" stroked="true" strokeweight=".5pt" strokecolor="#929292"/>
            <v:line style="position:absolute" from="6716,5" to="7722,5" stroked="true" strokeweight=".5pt" strokecolor="#929292">
              <v:stroke dashstyle="dash"/>
            </v:line>
            <v:line style="position:absolute" from="6686,5" to="6686,5" stroked="true" strokeweight=".5pt" strokecolor="#929292"/>
            <v:line style="position:absolute" from="7737,5" to="7737,5" stroked="true" strokeweight=".5pt" strokecolor="#929292"/>
          </v:group>
        </w:pict>
      </w:r>
      <w:r>
        <w:rPr>
          <w:sz w:val="2"/>
        </w:rPr>
      </w:r>
    </w:p>
    <w:p>
      <w:pPr>
        <w:pStyle w:val="BodyText"/>
        <w:spacing w:before="4"/>
        <w:rPr>
          <w:sz w:val="17"/>
        </w:rPr>
      </w:pPr>
    </w:p>
    <w:p>
      <w:pPr>
        <w:spacing w:before="0"/>
        <w:ind w:left="179" w:right="206" w:firstLine="0"/>
        <w:jc w:val="center"/>
        <w:rPr>
          <w:sz w:val="16"/>
        </w:rPr>
      </w:pPr>
      <w:r>
        <w:rPr>
          <w:color w:val="6D6E71"/>
          <w:sz w:val="16"/>
        </w:rPr>
        <w:t>Fuentes: Elaboración propia, 2015</w:t>
      </w:r>
    </w:p>
    <w:p>
      <w:pPr>
        <w:pStyle w:val="BodyText"/>
        <w:spacing w:before="5"/>
        <w:rPr>
          <w:sz w:val="22"/>
        </w:rPr>
      </w:pPr>
    </w:p>
    <w:p>
      <w:pPr>
        <w:pStyle w:val="BodyText"/>
        <w:spacing w:line="249" w:lineRule="auto"/>
        <w:ind w:left="117" w:right="148" w:firstLine="170"/>
        <w:jc w:val="both"/>
      </w:pPr>
      <w:r>
        <w:rPr/>
        <w:t>De 61 casas existentes en la zona urbana colindante con la mina Guadarrama, 14  de ellas son las que se ubican con una distancia menor a 2 metros, de éstas más del 65% de las casas son de un solo piso; si bien las casas están construidas entre 1986 y 2000, presentan condiciones de humedad en paredes y la mayoría de ellas no cuenta con acabados exteriores (cubierta de cemento), es de destacar, que más del 20% de las casas cuentan con techos de láminas de asbesto y tabiques </w:t>
      </w:r>
      <w:r>
        <w:rPr>
          <w:spacing w:val="22"/>
        </w:rPr>
        <w:t> </w:t>
      </w:r>
      <w:r>
        <w:rPr/>
        <w:t>sobrepuestos.</w:t>
      </w:r>
    </w:p>
    <w:p>
      <w:pPr>
        <w:pStyle w:val="BodyText"/>
      </w:pPr>
    </w:p>
    <w:p>
      <w:pPr>
        <w:pStyle w:val="BodyText"/>
        <w:spacing w:before="9"/>
        <w:rPr>
          <w:sz w:val="21"/>
        </w:rPr>
      </w:pPr>
    </w:p>
    <w:p>
      <w:pPr>
        <w:pStyle w:val="BodyText"/>
        <w:spacing w:line="249" w:lineRule="auto"/>
        <w:ind w:left="117" w:right="147" w:firstLine="170"/>
        <w:jc w:val="both"/>
      </w:pPr>
      <w:r>
        <w:rPr/>
        <w:t>Aunado</w:t>
      </w:r>
      <w:r>
        <w:rPr>
          <w:spacing w:val="-19"/>
        </w:rPr>
        <w:t> </w:t>
      </w:r>
      <w:r>
        <w:rPr/>
        <w:t>a</w:t>
      </w:r>
      <w:r>
        <w:rPr>
          <w:spacing w:val="-19"/>
        </w:rPr>
        <w:t> </w:t>
      </w:r>
      <w:r>
        <w:rPr/>
        <w:t>lo</w:t>
      </w:r>
      <w:r>
        <w:rPr>
          <w:spacing w:val="-19"/>
        </w:rPr>
        <w:t> </w:t>
      </w:r>
      <w:r>
        <w:rPr/>
        <w:t>anterior,</w:t>
      </w:r>
      <w:r>
        <w:rPr>
          <w:spacing w:val="-19"/>
        </w:rPr>
        <w:t> </w:t>
      </w:r>
      <w:r>
        <w:rPr/>
        <w:t>se</w:t>
      </w:r>
      <w:r>
        <w:rPr>
          <w:spacing w:val="-19"/>
        </w:rPr>
        <w:t> </w:t>
      </w:r>
      <w:r>
        <w:rPr/>
        <w:t>pudo</w:t>
      </w:r>
      <w:r>
        <w:rPr>
          <w:spacing w:val="-19"/>
        </w:rPr>
        <w:t> </w:t>
      </w:r>
      <w:r>
        <w:rPr/>
        <w:t>observar</w:t>
      </w:r>
      <w:r>
        <w:rPr>
          <w:spacing w:val="-19"/>
        </w:rPr>
        <w:t> </w:t>
      </w:r>
      <w:r>
        <w:rPr/>
        <w:t>que</w:t>
      </w:r>
      <w:r>
        <w:rPr>
          <w:spacing w:val="-19"/>
        </w:rPr>
        <w:t> </w:t>
      </w:r>
      <w:r>
        <w:rPr/>
        <w:t>las</w:t>
      </w:r>
      <w:r>
        <w:rPr>
          <w:spacing w:val="-19"/>
        </w:rPr>
        <w:t> </w:t>
      </w:r>
      <w:r>
        <w:rPr/>
        <w:t>casas</w:t>
      </w:r>
      <w:r>
        <w:rPr>
          <w:spacing w:val="-19"/>
        </w:rPr>
        <w:t> </w:t>
      </w:r>
      <w:r>
        <w:rPr/>
        <w:t>que</w:t>
      </w:r>
      <w:r>
        <w:rPr>
          <w:spacing w:val="-19"/>
        </w:rPr>
        <w:t> </w:t>
      </w:r>
      <w:r>
        <w:rPr/>
        <w:t>se</w:t>
      </w:r>
      <w:r>
        <w:rPr>
          <w:spacing w:val="-19"/>
        </w:rPr>
        <w:t> </w:t>
      </w:r>
      <w:r>
        <w:rPr/>
        <w:t>encuentran</w:t>
      </w:r>
      <w:r>
        <w:rPr>
          <w:spacing w:val="-19"/>
        </w:rPr>
        <w:t> </w:t>
      </w:r>
      <w:r>
        <w:rPr/>
        <w:t>en</w:t>
      </w:r>
      <w:r>
        <w:rPr>
          <w:spacing w:val="-19"/>
        </w:rPr>
        <w:t> </w:t>
      </w:r>
      <w:r>
        <w:rPr/>
        <w:t>colindancia con esta mina, en tres de ellas su drenaje desemboca a la mina, lo que ha provocado que las paredes de la mina se encuentren con</w:t>
      </w:r>
      <w:r>
        <w:rPr>
          <w:spacing w:val="24"/>
        </w:rPr>
        <w:t> </w:t>
      </w:r>
      <w:r>
        <w:rPr/>
        <w:t>humedad.</w:t>
      </w:r>
    </w:p>
    <w:p>
      <w:pPr>
        <w:pStyle w:val="BodyText"/>
        <w:spacing w:before="11"/>
      </w:pPr>
    </w:p>
    <w:p>
      <w:pPr>
        <w:pStyle w:val="BodyText"/>
        <w:spacing w:line="249" w:lineRule="auto"/>
        <w:ind w:left="117" w:right="148" w:firstLine="170"/>
        <w:jc w:val="both"/>
      </w:pPr>
      <w:r>
        <w:rPr/>
        <w:t>Es importante mencionar que la mina dejó de operar en el año 1999, y actualmente en su interior se encuentra una empresa de tabique y funciona como depósito de maquinaria</w:t>
      </w:r>
      <w:r>
        <w:rPr>
          <w:spacing w:val="-17"/>
        </w:rPr>
        <w:t> </w:t>
      </w:r>
      <w:r>
        <w:rPr/>
        <w:t>pesada</w:t>
      </w:r>
      <w:r>
        <w:rPr>
          <w:spacing w:val="-17"/>
        </w:rPr>
        <w:t> </w:t>
      </w:r>
      <w:r>
        <w:rPr/>
        <w:t>utilizada</w:t>
      </w:r>
      <w:r>
        <w:rPr>
          <w:spacing w:val="-17"/>
        </w:rPr>
        <w:t> </w:t>
      </w:r>
      <w:r>
        <w:rPr/>
        <w:t>en</w:t>
      </w:r>
      <w:r>
        <w:rPr>
          <w:spacing w:val="-17"/>
        </w:rPr>
        <w:t> </w:t>
      </w:r>
      <w:r>
        <w:rPr/>
        <w:t>la</w:t>
      </w:r>
      <w:r>
        <w:rPr>
          <w:spacing w:val="-17"/>
        </w:rPr>
        <w:t> </w:t>
      </w:r>
      <w:r>
        <w:rPr/>
        <w:t>extracción</w:t>
      </w:r>
      <w:r>
        <w:rPr>
          <w:spacing w:val="-17"/>
        </w:rPr>
        <w:t> </w:t>
      </w:r>
      <w:r>
        <w:rPr/>
        <w:t>del</w:t>
      </w:r>
      <w:r>
        <w:rPr>
          <w:spacing w:val="-17"/>
        </w:rPr>
        <w:t> </w:t>
      </w:r>
      <w:r>
        <w:rPr/>
        <w:t>material</w:t>
      </w:r>
      <w:r>
        <w:rPr>
          <w:spacing w:val="-17"/>
        </w:rPr>
        <w:t> </w:t>
      </w:r>
      <w:r>
        <w:rPr/>
        <w:t>pétreo,</w:t>
      </w:r>
      <w:r>
        <w:rPr>
          <w:spacing w:val="-17"/>
        </w:rPr>
        <w:t> </w:t>
      </w:r>
      <w:r>
        <w:rPr/>
        <w:t>a</w:t>
      </w:r>
      <w:r>
        <w:rPr>
          <w:spacing w:val="-17"/>
        </w:rPr>
        <w:t> </w:t>
      </w:r>
      <w:r>
        <w:rPr/>
        <w:t>partir</w:t>
      </w:r>
      <w:r>
        <w:rPr>
          <w:spacing w:val="-17"/>
        </w:rPr>
        <w:t> </w:t>
      </w:r>
      <w:r>
        <w:rPr/>
        <w:t>de</w:t>
      </w:r>
      <w:r>
        <w:rPr>
          <w:spacing w:val="-17"/>
        </w:rPr>
        <w:t> </w:t>
      </w:r>
      <w:r>
        <w:rPr/>
        <w:t>esa</w:t>
      </w:r>
      <w:r>
        <w:rPr>
          <w:spacing w:val="-17"/>
        </w:rPr>
        <w:t> </w:t>
      </w:r>
      <w:r>
        <w:rPr/>
        <w:t>fecha</w:t>
      </w:r>
      <w:r>
        <w:rPr>
          <w:spacing w:val="-18"/>
        </w:rPr>
        <w:t> </w:t>
      </w:r>
      <w:r>
        <w:rPr/>
        <w:t>las casas aledañas a ésta, depositan su basura convirtiendo este espacio en un basurero clandestino. (Ver figura</w:t>
      </w:r>
      <w:r>
        <w:rPr>
          <w:spacing w:val="-1"/>
        </w:rPr>
        <w:t> </w:t>
      </w:r>
      <w:r>
        <w:rPr/>
        <w:t>3).</w:t>
      </w:r>
    </w:p>
    <w:p>
      <w:pPr>
        <w:spacing w:after="0" w:line="249" w:lineRule="auto"/>
        <w:jc w:val="both"/>
        <w:sectPr>
          <w:type w:val="continuous"/>
          <w:pgSz w:w="18830" w:h="12760" w:orient="landscape"/>
          <w:pgMar w:top="1420" w:bottom="280" w:left="720" w:right="700"/>
          <w:cols w:num="2" w:equalWidth="0">
            <w:col w:w="7829" w:space="1595"/>
            <w:col w:w="7986"/>
          </w:cols>
        </w:sectPr>
      </w:pPr>
    </w:p>
    <w:p>
      <w:pPr>
        <w:pStyle w:val="BodyText"/>
        <w:spacing w:before="7"/>
        <w:rPr>
          <w:sz w:val="27"/>
        </w:rPr>
      </w:pPr>
    </w:p>
    <w:p>
      <w:pPr>
        <w:pStyle w:val="BodyText"/>
        <w:ind w:left="595"/>
      </w:pPr>
      <w:r>
        <w:rPr/>
        <w:drawing>
          <wp:inline distT="0" distB="0" distL="0" distR="0">
            <wp:extent cx="4436567" cy="1991105"/>
            <wp:effectExtent l="0" t="0" r="0" b="0"/>
            <wp:docPr id="199" name="image147.png" descr=""/>
            <wp:cNvGraphicFramePr>
              <a:graphicFrameLocks noChangeAspect="1"/>
            </wp:cNvGraphicFramePr>
            <a:graphic>
              <a:graphicData uri="http://schemas.openxmlformats.org/drawingml/2006/picture">
                <pic:pic>
                  <pic:nvPicPr>
                    <pic:cNvPr id="200" name="image147.png"/>
                    <pic:cNvPicPr/>
                  </pic:nvPicPr>
                  <pic:blipFill>
                    <a:blip r:embed="rId521" cstate="print"/>
                    <a:stretch>
                      <a:fillRect/>
                    </a:stretch>
                  </pic:blipFill>
                  <pic:spPr>
                    <a:xfrm>
                      <a:off x="0" y="0"/>
                      <a:ext cx="4436567" cy="1991105"/>
                    </a:xfrm>
                    <a:prstGeom prst="rect">
                      <a:avLst/>
                    </a:prstGeom>
                  </pic:spPr>
                </pic:pic>
              </a:graphicData>
            </a:graphic>
          </wp:inline>
        </w:drawing>
      </w:r>
      <w:r>
        <w:rPr/>
      </w:r>
    </w:p>
    <w:p>
      <w:pPr>
        <w:pStyle w:val="BodyText"/>
        <w:rPr>
          <w:sz w:val="16"/>
        </w:rPr>
      </w:pPr>
    </w:p>
    <w:p>
      <w:pPr>
        <w:spacing w:line="312" w:lineRule="auto" w:before="106"/>
        <w:ind w:left="133" w:right="0" w:firstLine="0"/>
        <w:jc w:val="center"/>
        <w:rPr>
          <w:sz w:val="16"/>
        </w:rPr>
      </w:pPr>
      <w:r>
        <w:rPr>
          <w:color w:val="6D6E71"/>
          <w:sz w:val="16"/>
        </w:rPr>
        <w:t>Figura 3. Mina Guadarrama Mina Guadarrama, en las fotos superiores se observa: basura, y tubos de drenajes.</w:t>
      </w:r>
    </w:p>
    <w:p>
      <w:pPr>
        <w:pStyle w:val="BodyText"/>
        <w:spacing w:before="7"/>
        <w:rPr>
          <w:sz w:val="11"/>
        </w:rPr>
      </w:pPr>
    </w:p>
    <w:p>
      <w:pPr>
        <w:pStyle w:val="BodyText"/>
        <w:ind w:left="1569"/>
      </w:pPr>
      <w:r>
        <w:rPr/>
        <w:drawing>
          <wp:inline distT="0" distB="0" distL="0" distR="0">
            <wp:extent cx="3052613" cy="2265045"/>
            <wp:effectExtent l="0" t="0" r="0" b="0"/>
            <wp:docPr id="201" name="image148.png" descr=""/>
            <wp:cNvGraphicFramePr>
              <a:graphicFrameLocks noChangeAspect="1"/>
            </wp:cNvGraphicFramePr>
            <a:graphic>
              <a:graphicData uri="http://schemas.openxmlformats.org/drawingml/2006/picture">
                <pic:pic>
                  <pic:nvPicPr>
                    <pic:cNvPr id="202" name="image148.png"/>
                    <pic:cNvPicPr/>
                  </pic:nvPicPr>
                  <pic:blipFill>
                    <a:blip r:embed="rId522" cstate="print"/>
                    <a:stretch>
                      <a:fillRect/>
                    </a:stretch>
                  </pic:blipFill>
                  <pic:spPr>
                    <a:xfrm>
                      <a:off x="0" y="0"/>
                      <a:ext cx="3052613" cy="2265045"/>
                    </a:xfrm>
                    <a:prstGeom prst="rect">
                      <a:avLst/>
                    </a:prstGeom>
                  </pic:spPr>
                </pic:pic>
              </a:graphicData>
            </a:graphic>
          </wp:inline>
        </w:drawing>
      </w:r>
      <w:r>
        <w:rPr/>
      </w:r>
    </w:p>
    <w:p>
      <w:pPr>
        <w:spacing w:before="142"/>
        <w:ind w:left="130" w:right="0" w:firstLine="0"/>
        <w:jc w:val="center"/>
        <w:rPr>
          <w:sz w:val="16"/>
        </w:rPr>
      </w:pPr>
      <w:r>
        <w:rPr>
          <w:color w:val="6D6E71"/>
          <w:sz w:val="16"/>
        </w:rPr>
        <w:t>En la Fotografía  inferior el trabajo de la tabiquera y maquinaria pesada.</w:t>
      </w:r>
    </w:p>
    <w:p>
      <w:pPr>
        <w:spacing w:before="56"/>
        <w:ind w:left="130" w:right="0" w:firstLine="0"/>
        <w:jc w:val="center"/>
        <w:rPr>
          <w:sz w:val="16"/>
        </w:rPr>
      </w:pPr>
      <w:r>
        <w:rPr>
          <w:color w:val="6D6E71"/>
          <w:sz w:val="16"/>
        </w:rPr>
        <w:t>Fuente: Trabajo de campo, 2015</w:t>
      </w:r>
    </w:p>
    <w:p>
      <w:pPr>
        <w:pStyle w:val="BodyText"/>
        <w:spacing w:before="5"/>
        <w:rPr>
          <w:sz w:val="22"/>
        </w:rPr>
      </w:pPr>
    </w:p>
    <w:p>
      <w:pPr>
        <w:pStyle w:val="BodyText"/>
        <w:spacing w:line="249" w:lineRule="auto"/>
        <w:ind w:left="131" w:firstLine="170"/>
        <w:jc w:val="both"/>
      </w:pPr>
      <w:r>
        <w:rPr/>
        <w:t>Por último, la zona urbana que presenta colindancia con la mina Magdalena, obtiene un</w:t>
      </w:r>
      <w:r>
        <w:rPr>
          <w:spacing w:val="-4"/>
        </w:rPr>
        <w:t> </w:t>
      </w:r>
      <w:r>
        <w:rPr/>
        <w:t>nivel</w:t>
      </w:r>
      <w:r>
        <w:rPr>
          <w:spacing w:val="-4"/>
        </w:rPr>
        <w:t> </w:t>
      </w:r>
      <w:r>
        <w:rPr/>
        <w:t>alto</w:t>
      </w:r>
      <w:r>
        <w:rPr>
          <w:spacing w:val="-4"/>
        </w:rPr>
        <w:t> </w:t>
      </w:r>
      <w:r>
        <w:rPr/>
        <w:t>de</w:t>
      </w:r>
      <w:r>
        <w:rPr>
          <w:spacing w:val="-4"/>
        </w:rPr>
        <w:t> </w:t>
      </w:r>
      <w:r>
        <w:rPr/>
        <w:t>vulnerabilidad</w:t>
      </w:r>
      <w:r>
        <w:rPr>
          <w:spacing w:val="-4"/>
        </w:rPr>
        <w:t> </w:t>
      </w:r>
      <w:r>
        <w:rPr/>
        <w:t>con</w:t>
      </w:r>
      <w:r>
        <w:rPr>
          <w:spacing w:val="-4"/>
        </w:rPr>
        <w:t> </w:t>
      </w:r>
      <w:r>
        <w:rPr/>
        <w:t>70</w:t>
      </w:r>
      <w:r>
        <w:rPr>
          <w:spacing w:val="-4"/>
        </w:rPr>
        <w:t> </w:t>
      </w:r>
      <w:r>
        <w:rPr/>
        <w:t>puntos</w:t>
      </w:r>
      <w:r>
        <w:rPr>
          <w:spacing w:val="-4"/>
        </w:rPr>
        <w:t> </w:t>
      </w:r>
      <w:r>
        <w:rPr/>
        <w:t>(ver</w:t>
      </w:r>
      <w:r>
        <w:rPr>
          <w:spacing w:val="-4"/>
        </w:rPr>
        <w:t> </w:t>
      </w:r>
      <w:r>
        <w:rPr/>
        <w:t>tabla</w:t>
      </w:r>
      <w:r>
        <w:rPr>
          <w:spacing w:val="-4"/>
        </w:rPr>
        <w:t> </w:t>
      </w:r>
      <w:r>
        <w:rPr/>
        <w:t>13);</w:t>
      </w:r>
      <w:r>
        <w:rPr>
          <w:spacing w:val="-4"/>
        </w:rPr>
        <w:t> </w:t>
      </w:r>
      <w:r>
        <w:rPr/>
        <w:t>correspondiente</w:t>
      </w:r>
      <w:r>
        <w:rPr>
          <w:spacing w:val="-4"/>
        </w:rPr>
        <w:t> </w:t>
      </w:r>
      <w:r>
        <w:rPr/>
        <w:t>a</w:t>
      </w:r>
      <w:r>
        <w:rPr>
          <w:spacing w:val="-4"/>
        </w:rPr>
        <w:t> </w:t>
      </w:r>
      <w:r>
        <w:rPr/>
        <w:t>11</w:t>
      </w:r>
      <w:r>
        <w:rPr>
          <w:spacing w:val="-4"/>
        </w:rPr>
        <w:t> </w:t>
      </w:r>
      <w:r>
        <w:rPr/>
        <w:t>casas de 21 que se encuentran establecidas en esa</w:t>
      </w:r>
      <w:r>
        <w:rPr>
          <w:spacing w:val="4"/>
        </w:rPr>
        <w:t> </w:t>
      </w:r>
      <w:r>
        <w:rPr/>
        <w:t>zona.</w:t>
      </w:r>
    </w:p>
    <w:p>
      <w:pPr>
        <w:pStyle w:val="BodyText"/>
        <w:rPr>
          <w:sz w:val="16"/>
        </w:rPr>
      </w:pPr>
      <w:r>
        <w:rPr/>
        <w:br w:type="column"/>
      </w:r>
      <w:r>
        <w:rPr>
          <w:sz w:val="16"/>
        </w:rPr>
      </w:r>
    </w:p>
    <w:p>
      <w:pPr>
        <w:pStyle w:val="BodyText"/>
        <w:spacing w:before="5"/>
        <w:rPr>
          <w:sz w:val="17"/>
        </w:rPr>
      </w:pPr>
    </w:p>
    <w:p>
      <w:pPr>
        <w:spacing w:before="0"/>
        <w:ind w:left="828" w:right="0" w:firstLine="0"/>
        <w:jc w:val="left"/>
        <w:rPr>
          <w:sz w:val="16"/>
        </w:rPr>
      </w:pPr>
      <w:r>
        <w:rPr>
          <w:color w:val="6D6E71"/>
          <w:sz w:val="16"/>
        </w:rPr>
        <w:t>Tabla 13. Nivel de vulnerabilidad por zona habitacional colindantes con mina Magdalena</w:t>
      </w:r>
    </w:p>
    <w:p>
      <w:pPr>
        <w:pStyle w:val="BodyText"/>
        <w:spacing w:before="4"/>
        <w:rPr>
          <w:sz w:val="9"/>
        </w:rPr>
      </w:pPr>
    </w:p>
    <w:tbl>
      <w:tblPr>
        <w:tblW w:w="0" w:type="auto"/>
        <w:jc w:val="left"/>
        <w:tblInd w:w="131" w:type="dxa"/>
        <w:tblBorders>
          <w:top w:val="single" w:sz="4" w:space="0" w:color="929292"/>
          <w:left w:val="single" w:sz="4" w:space="0" w:color="929292"/>
          <w:bottom w:val="single" w:sz="4" w:space="0" w:color="929292"/>
          <w:right w:val="single" w:sz="4" w:space="0" w:color="929292"/>
          <w:insideH w:val="single" w:sz="4" w:space="0" w:color="929292"/>
          <w:insideV w:val="single" w:sz="4" w:space="0" w:color="929292"/>
        </w:tblBorders>
        <w:tblLayout w:type="fixed"/>
        <w:tblCellMar>
          <w:top w:w="0" w:type="dxa"/>
          <w:left w:w="0" w:type="dxa"/>
          <w:bottom w:w="0" w:type="dxa"/>
          <w:right w:w="0" w:type="dxa"/>
        </w:tblCellMar>
        <w:tblLook w:val="01E0"/>
      </w:tblPr>
      <w:tblGrid>
        <w:gridCol w:w="2150"/>
        <w:gridCol w:w="1843"/>
        <w:gridCol w:w="1134"/>
        <w:gridCol w:w="1418"/>
        <w:gridCol w:w="1129"/>
      </w:tblGrid>
      <w:tr>
        <w:trPr>
          <w:trHeight w:val="423" w:hRule="exact"/>
        </w:trPr>
        <w:tc>
          <w:tcPr>
            <w:tcW w:w="2150" w:type="dxa"/>
            <w:tcBorders>
              <w:top w:val="nil"/>
              <w:left w:val="nil"/>
              <w:bottom w:val="single" w:sz="4" w:space="0" w:color="FFFFFF"/>
              <w:right w:val="single" w:sz="4" w:space="0" w:color="FFFFFF"/>
            </w:tcBorders>
            <w:shd w:val="clear" w:color="auto" w:fill="929292"/>
          </w:tcPr>
          <w:p>
            <w:pPr>
              <w:pStyle w:val="TableParagraph"/>
              <w:spacing w:before="16"/>
              <w:ind w:left="102"/>
              <w:rPr>
                <w:sz w:val="16"/>
              </w:rPr>
            </w:pPr>
            <w:r>
              <w:rPr>
                <w:sz w:val="16"/>
              </w:rPr>
              <w:t>Variable de vulnerabilidad</w:t>
            </w:r>
          </w:p>
        </w:tc>
        <w:tc>
          <w:tcPr>
            <w:tcW w:w="1843" w:type="dxa"/>
            <w:tcBorders>
              <w:top w:val="nil"/>
              <w:left w:val="single" w:sz="4" w:space="0" w:color="FFFFFF"/>
              <w:bottom w:val="single" w:sz="4" w:space="0" w:color="FFFFFF"/>
              <w:right w:val="single" w:sz="4" w:space="0" w:color="FFFFFF"/>
            </w:tcBorders>
            <w:shd w:val="clear" w:color="auto" w:fill="929292"/>
          </w:tcPr>
          <w:p>
            <w:pPr>
              <w:pStyle w:val="TableParagraph"/>
              <w:spacing w:line="261" w:lineRule="auto" w:before="16"/>
              <w:ind w:left="103" w:right="394"/>
              <w:rPr>
                <w:sz w:val="16"/>
              </w:rPr>
            </w:pPr>
            <w:r>
              <w:rPr>
                <w:sz w:val="16"/>
              </w:rPr>
              <w:t>Z-U cercanía mina Magdalena</w:t>
            </w:r>
          </w:p>
        </w:tc>
        <w:tc>
          <w:tcPr>
            <w:tcW w:w="1134" w:type="dxa"/>
            <w:tcBorders>
              <w:top w:val="nil"/>
              <w:left w:val="single" w:sz="4" w:space="0" w:color="FFFFFF"/>
              <w:bottom w:val="single" w:sz="4" w:space="0" w:color="FFFFFF"/>
              <w:right w:val="single" w:sz="4" w:space="0" w:color="FFFFFF"/>
            </w:tcBorders>
            <w:shd w:val="clear" w:color="auto" w:fill="929292"/>
          </w:tcPr>
          <w:p>
            <w:pPr>
              <w:pStyle w:val="TableParagraph"/>
              <w:spacing w:before="16"/>
              <w:ind w:left="103"/>
              <w:rPr>
                <w:sz w:val="16"/>
              </w:rPr>
            </w:pPr>
            <w:r>
              <w:rPr>
                <w:sz w:val="16"/>
              </w:rPr>
              <w:t>Puntuación</w:t>
            </w:r>
          </w:p>
        </w:tc>
        <w:tc>
          <w:tcPr>
            <w:tcW w:w="1418" w:type="dxa"/>
            <w:tcBorders>
              <w:top w:val="nil"/>
              <w:left w:val="single" w:sz="4" w:space="0" w:color="FFFFFF"/>
              <w:bottom w:val="single" w:sz="4" w:space="0" w:color="FFFFFF"/>
              <w:right w:val="single" w:sz="4" w:space="0" w:color="FFFFFF"/>
            </w:tcBorders>
            <w:shd w:val="clear" w:color="auto" w:fill="929292"/>
          </w:tcPr>
          <w:p>
            <w:pPr>
              <w:pStyle w:val="TableParagraph"/>
              <w:spacing w:line="261" w:lineRule="auto" w:before="16"/>
              <w:ind w:left="103"/>
              <w:rPr>
                <w:sz w:val="16"/>
              </w:rPr>
            </w:pPr>
            <w:r>
              <w:rPr>
                <w:sz w:val="16"/>
              </w:rPr>
              <w:t>Factor de ponderación</w:t>
            </w:r>
          </w:p>
        </w:tc>
        <w:tc>
          <w:tcPr>
            <w:tcW w:w="1129" w:type="dxa"/>
            <w:tcBorders>
              <w:top w:val="nil"/>
              <w:left w:val="single" w:sz="4" w:space="0" w:color="FFFFFF"/>
              <w:bottom w:val="single" w:sz="4" w:space="0" w:color="FFFFFF"/>
              <w:right w:val="nil"/>
            </w:tcBorders>
            <w:shd w:val="clear" w:color="auto" w:fill="929292"/>
          </w:tcPr>
          <w:p>
            <w:pPr>
              <w:pStyle w:val="TableParagraph"/>
              <w:spacing w:before="16"/>
              <w:ind w:left="103"/>
              <w:rPr>
                <w:sz w:val="16"/>
              </w:rPr>
            </w:pPr>
            <w:r>
              <w:rPr>
                <w:sz w:val="16"/>
              </w:rPr>
              <w:t>Puntaje final</w:t>
            </w:r>
          </w:p>
        </w:tc>
      </w:tr>
      <w:tr>
        <w:trPr>
          <w:trHeight w:val="171" w:hRule="exact"/>
        </w:trPr>
        <w:tc>
          <w:tcPr>
            <w:tcW w:w="2150" w:type="dxa"/>
            <w:tcBorders>
              <w:top w:val="single" w:sz="4" w:space="0" w:color="FFFFFF"/>
              <w:left w:val="nil"/>
              <w:bottom w:val="single" w:sz="4" w:space="0" w:color="FFFFFF"/>
            </w:tcBorders>
          </w:tcPr>
          <w:p>
            <w:pPr>
              <w:pStyle w:val="TableParagraph"/>
              <w:tabs>
                <w:tab w:pos="2134" w:val="left" w:leader="none"/>
              </w:tabs>
              <w:spacing w:line="171" w:lineRule="exact"/>
              <w:ind w:left="29"/>
              <w:rPr>
                <w:sz w:val="16"/>
              </w:rPr>
            </w:pPr>
            <w:r>
              <w:rPr>
                <w:w w:val="100"/>
                <w:sz w:val="16"/>
                <w:u w:val="dotted" w:color="929292"/>
              </w:rPr>
              <w:t> </w:t>
            </w:r>
            <w:r>
              <w:rPr>
                <w:spacing w:val="-16"/>
                <w:sz w:val="16"/>
                <w:u w:val="dotted" w:color="929292"/>
              </w:rPr>
              <w:t> </w:t>
            </w:r>
            <w:r>
              <w:rPr>
                <w:sz w:val="16"/>
                <w:u w:val="dotted" w:color="929292"/>
              </w:rPr>
              <w:t>Sistema</w:t>
            </w:r>
            <w:r>
              <w:rPr>
                <w:spacing w:val="11"/>
                <w:sz w:val="16"/>
                <w:u w:val="dotted" w:color="929292"/>
              </w:rPr>
              <w:t> </w:t>
            </w:r>
            <w:r>
              <w:rPr>
                <w:sz w:val="16"/>
                <w:u w:val="dotted" w:color="929292"/>
              </w:rPr>
              <w:t>estructural</w:t>
              <w:tab/>
            </w:r>
          </w:p>
        </w:tc>
        <w:tc>
          <w:tcPr>
            <w:tcW w:w="1843" w:type="dxa"/>
            <w:tcBorders>
              <w:top w:val="single" w:sz="4" w:space="0" w:color="FFFFFF"/>
              <w:bottom w:val="single" w:sz="4" w:space="0" w:color="FFFFFF"/>
            </w:tcBorders>
          </w:tcPr>
          <w:p>
            <w:pPr>
              <w:pStyle w:val="TableParagraph"/>
              <w:tabs>
                <w:tab w:pos="1822"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Hormigón</w:t>
            </w:r>
            <w:r>
              <w:rPr>
                <w:spacing w:val="17"/>
                <w:sz w:val="16"/>
                <w:u w:val="dotted" w:color="929292"/>
              </w:rPr>
              <w:t> </w:t>
            </w:r>
            <w:r>
              <w:rPr>
                <w:sz w:val="16"/>
                <w:u w:val="dotted" w:color="929292"/>
              </w:rPr>
              <w:t>armado</w:t>
              <w:tab/>
            </w:r>
          </w:p>
        </w:tc>
        <w:tc>
          <w:tcPr>
            <w:tcW w:w="1134" w:type="dxa"/>
            <w:tcBorders>
              <w:top w:val="single" w:sz="4" w:space="0" w:color="FFFFFF"/>
              <w:bottom w:val="single" w:sz="4" w:space="0" w:color="FFFFFF"/>
            </w:tcBorders>
          </w:tcPr>
          <w:p>
            <w:pPr>
              <w:pStyle w:val="TableParagraph"/>
              <w:tabs>
                <w:tab w:pos="1114"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5</w:t>
              <w:tab/>
            </w:r>
          </w:p>
        </w:tc>
        <w:tc>
          <w:tcPr>
            <w:tcW w:w="1418" w:type="dxa"/>
            <w:tcBorders>
              <w:top w:val="single" w:sz="4" w:space="0" w:color="FFFFFF"/>
              <w:bottom w:val="single" w:sz="4" w:space="0" w:color="FFFFFF"/>
            </w:tcBorders>
          </w:tcPr>
          <w:p>
            <w:pPr>
              <w:pStyle w:val="TableParagraph"/>
              <w:tabs>
                <w:tab w:pos="1397" w:val="left" w:leader="none"/>
              </w:tabs>
              <w:spacing w:line="171" w:lineRule="exact"/>
              <w:ind w:left="25"/>
              <w:rPr>
                <w:sz w:val="16"/>
              </w:rPr>
            </w:pPr>
            <w:r>
              <w:rPr>
                <w:w w:val="100"/>
                <w:sz w:val="16"/>
                <w:u w:val="dotted" w:color="929292"/>
              </w:rPr>
              <w:t> </w:t>
            </w:r>
            <w:r>
              <w:rPr>
                <w:spacing w:val="-11"/>
                <w:sz w:val="16"/>
                <w:u w:val="dotted" w:color="929292"/>
              </w:rPr>
              <w:t> </w:t>
            </w:r>
            <w:r>
              <w:rPr>
                <w:sz w:val="16"/>
                <w:u w:val="dotted" w:color="929292"/>
              </w:rPr>
              <w:t>0.8</w:t>
              <w:tab/>
            </w:r>
          </w:p>
        </w:tc>
        <w:tc>
          <w:tcPr>
            <w:tcW w:w="1129" w:type="dxa"/>
            <w:tcBorders>
              <w:top w:val="single" w:sz="4" w:space="0" w:color="FFFFFF"/>
              <w:bottom w:val="single" w:sz="4" w:space="0" w:color="FFFFFF"/>
              <w:right w:val="nil"/>
            </w:tcBorders>
          </w:tcPr>
          <w:p>
            <w:pPr>
              <w:pStyle w:val="TableParagraph"/>
              <w:tabs>
                <w:tab w:pos="1109" w:val="left" w:leader="none"/>
              </w:tabs>
              <w:spacing w:line="171" w:lineRule="exact"/>
              <w:ind w:left="24"/>
              <w:rPr>
                <w:sz w:val="16"/>
              </w:rPr>
            </w:pPr>
            <w:r>
              <w:rPr>
                <w:w w:val="100"/>
                <w:sz w:val="16"/>
                <w:u w:val="dotted" w:color="929292"/>
              </w:rPr>
              <w:t> </w:t>
            </w:r>
            <w:r>
              <w:rPr>
                <w:spacing w:val="-11"/>
                <w:sz w:val="16"/>
                <w:u w:val="dotted" w:color="929292"/>
              </w:rPr>
              <w:t> </w:t>
            </w:r>
            <w:r>
              <w:rPr>
                <w:sz w:val="16"/>
                <w:u w:val="dotted" w:color="929292"/>
              </w:rPr>
              <w:t>4</w:t>
              <w:tab/>
            </w:r>
          </w:p>
        </w:tc>
      </w:tr>
      <w:tr>
        <w:trPr>
          <w:trHeight w:val="371" w:hRule="exact"/>
        </w:trPr>
        <w:tc>
          <w:tcPr>
            <w:tcW w:w="2150" w:type="dxa"/>
            <w:tcBorders>
              <w:top w:val="single" w:sz="4" w:space="0" w:color="FFFFFF"/>
              <w:left w:val="nil"/>
              <w:bottom w:val="single" w:sz="4" w:space="0" w:color="FFFFFF"/>
            </w:tcBorders>
          </w:tcPr>
          <w:p>
            <w:pPr>
              <w:pStyle w:val="TableParagraph"/>
              <w:spacing w:line="171" w:lineRule="exact"/>
              <w:ind w:left="103"/>
              <w:rPr>
                <w:sz w:val="16"/>
              </w:rPr>
            </w:pPr>
            <w:r>
              <w:rPr>
                <w:sz w:val="16"/>
              </w:rPr>
              <w:t>Tipo de materiales en</w:t>
            </w:r>
          </w:p>
          <w:p>
            <w:pPr>
              <w:pStyle w:val="TableParagraph"/>
              <w:tabs>
                <w:tab w:pos="2134" w:val="left" w:leader="none"/>
              </w:tabs>
              <w:spacing w:before="16"/>
              <w:ind w:left="29"/>
              <w:rPr>
                <w:sz w:val="16"/>
              </w:rPr>
            </w:pPr>
            <w:r>
              <w:rPr>
                <w:w w:val="100"/>
                <w:sz w:val="16"/>
                <w:u w:val="dotted" w:color="929292"/>
              </w:rPr>
              <w:t> </w:t>
            </w:r>
            <w:r>
              <w:rPr>
                <w:spacing w:val="-16"/>
                <w:sz w:val="16"/>
                <w:u w:val="dotted" w:color="929292"/>
              </w:rPr>
              <w:t> </w:t>
            </w:r>
            <w:r>
              <w:rPr>
                <w:sz w:val="16"/>
                <w:u w:val="dotted" w:color="929292"/>
              </w:rPr>
              <w:t>paredes</w:t>
              <w:tab/>
            </w:r>
          </w:p>
        </w:tc>
        <w:tc>
          <w:tcPr>
            <w:tcW w:w="1843" w:type="dxa"/>
            <w:tcBorders>
              <w:top w:val="single" w:sz="4" w:space="0" w:color="FFFFFF"/>
              <w:bottom w:val="single" w:sz="4" w:space="0" w:color="FFFFFF"/>
            </w:tcBorders>
          </w:tcPr>
          <w:p>
            <w:pPr>
              <w:pStyle w:val="TableParagraph"/>
              <w:spacing w:line="171" w:lineRule="exact"/>
              <w:ind w:left="103" w:right="407"/>
              <w:rPr>
                <w:sz w:val="16"/>
              </w:rPr>
            </w:pPr>
            <w:r>
              <w:rPr>
                <w:sz w:val="16"/>
              </w:rPr>
              <w:t>Pared de bloque</w:t>
            </w:r>
          </w:p>
          <w:p>
            <w:pPr>
              <w:pStyle w:val="TableParagraph"/>
              <w:tabs>
                <w:tab w:pos="1822" w:val="left" w:leader="none"/>
              </w:tabs>
              <w:spacing w:before="16"/>
              <w:ind w:left="25"/>
              <w:rPr>
                <w:sz w:val="16"/>
              </w:rPr>
            </w:pPr>
            <w:r>
              <w:rPr>
                <w:w w:val="100"/>
                <w:sz w:val="16"/>
                <w:u w:val="dotted" w:color="929292"/>
              </w:rPr>
              <w:t> </w:t>
            </w:r>
            <w:r>
              <w:rPr>
                <w:sz w:val="16"/>
                <w:u w:val="dotted" w:color="929292"/>
              </w:rPr>
              <w:tab/>
            </w:r>
          </w:p>
        </w:tc>
        <w:tc>
          <w:tcPr>
            <w:tcW w:w="1134" w:type="dxa"/>
            <w:tcBorders>
              <w:top w:val="single" w:sz="4" w:space="0" w:color="FFFFFF"/>
              <w:bottom w:val="single" w:sz="4" w:space="0" w:color="FFFFFF"/>
            </w:tcBorders>
          </w:tcPr>
          <w:p>
            <w:pPr>
              <w:pStyle w:val="TableParagraph"/>
              <w:spacing w:line="171" w:lineRule="exact"/>
              <w:ind w:left="103"/>
              <w:rPr>
                <w:sz w:val="16"/>
              </w:rPr>
            </w:pPr>
            <w:r>
              <w:rPr>
                <w:w w:val="99"/>
                <w:sz w:val="16"/>
              </w:rPr>
              <w:t>5</w:t>
            </w:r>
          </w:p>
          <w:p>
            <w:pPr>
              <w:pStyle w:val="TableParagraph"/>
              <w:tabs>
                <w:tab w:pos="1114" w:val="left" w:leader="none"/>
              </w:tabs>
              <w:spacing w:before="16"/>
              <w:ind w:left="24"/>
              <w:rPr>
                <w:sz w:val="16"/>
              </w:rPr>
            </w:pPr>
            <w:r>
              <w:rPr>
                <w:w w:val="100"/>
                <w:sz w:val="16"/>
                <w:u w:val="dotted" w:color="929292"/>
              </w:rPr>
              <w:t> </w:t>
            </w:r>
            <w:r>
              <w:rPr>
                <w:sz w:val="16"/>
                <w:u w:val="dotted" w:color="929292"/>
              </w:rPr>
              <w:tab/>
            </w:r>
          </w:p>
        </w:tc>
        <w:tc>
          <w:tcPr>
            <w:tcW w:w="1418" w:type="dxa"/>
            <w:tcBorders>
              <w:top w:val="single" w:sz="4" w:space="0" w:color="FFFFFF"/>
              <w:bottom w:val="single" w:sz="4" w:space="0" w:color="FFFFFF"/>
            </w:tcBorders>
          </w:tcPr>
          <w:p>
            <w:pPr>
              <w:pStyle w:val="TableParagraph"/>
              <w:spacing w:line="171" w:lineRule="exact"/>
              <w:ind w:left="103"/>
              <w:rPr>
                <w:sz w:val="16"/>
              </w:rPr>
            </w:pPr>
            <w:r>
              <w:rPr>
                <w:sz w:val="16"/>
              </w:rPr>
              <w:t>0.8</w:t>
            </w:r>
          </w:p>
          <w:p>
            <w:pPr>
              <w:pStyle w:val="TableParagraph"/>
              <w:tabs>
                <w:tab w:pos="1397" w:val="left" w:leader="none"/>
              </w:tabs>
              <w:spacing w:before="16"/>
              <w:ind w:left="25"/>
              <w:rPr>
                <w:sz w:val="16"/>
              </w:rPr>
            </w:pPr>
            <w:r>
              <w:rPr>
                <w:w w:val="100"/>
                <w:sz w:val="16"/>
                <w:u w:val="dotted" w:color="929292"/>
              </w:rPr>
              <w:t> </w:t>
            </w:r>
            <w:r>
              <w:rPr>
                <w:sz w:val="16"/>
                <w:u w:val="dotted" w:color="929292"/>
              </w:rPr>
              <w:tab/>
            </w:r>
          </w:p>
        </w:tc>
        <w:tc>
          <w:tcPr>
            <w:tcW w:w="1129" w:type="dxa"/>
            <w:tcBorders>
              <w:top w:val="single" w:sz="4" w:space="0" w:color="FFFFFF"/>
              <w:bottom w:val="single" w:sz="4" w:space="0" w:color="FFFFFF"/>
              <w:right w:val="nil"/>
            </w:tcBorders>
          </w:tcPr>
          <w:p>
            <w:pPr>
              <w:pStyle w:val="TableParagraph"/>
              <w:spacing w:line="171" w:lineRule="exact"/>
              <w:ind w:left="103"/>
              <w:rPr>
                <w:sz w:val="16"/>
              </w:rPr>
            </w:pPr>
            <w:r>
              <w:rPr>
                <w:w w:val="99"/>
                <w:sz w:val="16"/>
              </w:rPr>
              <w:t>4</w:t>
            </w:r>
          </w:p>
          <w:p>
            <w:pPr>
              <w:pStyle w:val="TableParagraph"/>
              <w:tabs>
                <w:tab w:pos="1109" w:val="left" w:leader="none"/>
              </w:tabs>
              <w:spacing w:before="16"/>
              <w:ind w:left="24"/>
              <w:rPr>
                <w:sz w:val="16"/>
              </w:rPr>
            </w:pPr>
            <w:r>
              <w:rPr>
                <w:w w:val="100"/>
                <w:sz w:val="16"/>
                <w:u w:val="dotted" w:color="929292"/>
              </w:rPr>
              <w:t> </w:t>
            </w:r>
            <w:r>
              <w:rPr>
                <w:sz w:val="16"/>
                <w:u w:val="dotted" w:color="929292"/>
              </w:rPr>
              <w:tab/>
            </w:r>
          </w:p>
        </w:tc>
      </w:tr>
      <w:tr>
        <w:trPr>
          <w:trHeight w:val="327" w:hRule="exact"/>
        </w:trPr>
        <w:tc>
          <w:tcPr>
            <w:tcW w:w="2150" w:type="dxa"/>
            <w:tcBorders>
              <w:top w:val="single" w:sz="4" w:space="0" w:color="FFFFFF"/>
              <w:left w:val="nil"/>
            </w:tcBorders>
          </w:tcPr>
          <w:p>
            <w:pPr>
              <w:pStyle w:val="TableParagraph"/>
              <w:spacing w:line="171" w:lineRule="exact"/>
              <w:ind w:left="103"/>
              <w:rPr>
                <w:sz w:val="16"/>
              </w:rPr>
            </w:pPr>
            <w:r>
              <w:rPr>
                <w:sz w:val="16"/>
              </w:rPr>
              <w:t>Número de pisos</w:t>
            </w:r>
          </w:p>
        </w:tc>
        <w:tc>
          <w:tcPr>
            <w:tcW w:w="1843" w:type="dxa"/>
            <w:tcBorders>
              <w:top w:val="single" w:sz="4" w:space="0" w:color="FFFFFF"/>
            </w:tcBorders>
          </w:tcPr>
          <w:p>
            <w:pPr>
              <w:pStyle w:val="TableParagraph"/>
              <w:spacing w:line="171" w:lineRule="exact"/>
              <w:ind w:left="103" w:right="407"/>
              <w:rPr>
                <w:sz w:val="16"/>
              </w:rPr>
            </w:pPr>
            <w:r>
              <w:rPr>
                <w:sz w:val="16"/>
              </w:rPr>
              <w:t>1pisos</w:t>
            </w:r>
          </w:p>
        </w:tc>
        <w:tc>
          <w:tcPr>
            <w:tcW w:w="1134" w:type="dxa"/>
            <w:tcBorders>
              <w:top w:val="single" w:sz="4" w:space="0" w:color="FFFFFF"/>
            </w:tcBorders>
          </w:tcPr>
          <w:p>
            <w:pPr>
              <w:pStyle w:val="TableParagraph"/>
              <w:spacing w:line="171" w:lineRule="exact"/>
              <w:ind w:left="103"/>
              <w:rPr>
                <w:sz w:val="16"/>
              </w:rPr>
            </w:pPr>
            <w:r>
              <w:rPr>
                <w:sz w:val="16"/>
              </w:rPr>
              <w:t>10</w:t>
            </w:r>
          </w:p>
        </w:tc>
        <w:tc>
          <w:tcPr>
            <w:tcW w:w="1418" w:type="dxa"/>
            <w:tcBorders>
              <w:top w:val="single" w:sz="4" w:space="0" w:color="FFFFFF"/>
            </w:tcBorders>
          </w:tcPr>
          <w:p>
            <w:pPr>
              <w:pStyle w:val="TableParagraph"/>
              <w:spacing w:line="171" w:lineRule="exact"/>
              <w:ind w:left="103"/>
              <w:rPr>
                <w:sz w:val="16"/>
              </w:rPr>
            </w:pPr>
            <w:r>
              <w:rPr>
                <w:sz w:val="16"/>
              </w:rPr>
              <w:t>0.8</w:t>
            </w:r>
          </w:p>
        </w:tc>
        <w:tc>
          <w:tcPr>
            <w:tcW w:w="1129" w:type="dxa"/>
            <w:tcBorders>
              <w:top w:val="single" w:sz="4" w:space="0" w:color="FFFFFF"/>
              <w:right w:val="nil"/>
            </w:tcBorders>
          </w:tcPr>
          <w:p>
            <w:pPr>
              <w:pStyle w:val="TableParagraph"/>
              <w:spacing w:line="171" w:lineRule="exact"/>
              <w:ind w:left="103"/>
              <w:rPr>
                <w:sz w:val="16"/>
              </w:rPr>
            </w:pPr>
            <w:r>
              <w:rPr>
                <w:w w:val="99"/>
                <w:sz w:val="16"/>
              </w:rPr>
              <w:t>8</w:t>
            </w:r>
          </w:p>
        </w:tc>
      </w:tr>
      <w:tr>
        <w:trPr>
          <w:trHeight w:val="428" w:hRule="exact"/>
        </w:trPr>
        <w:tc>
          <w:tcPr>
            <w:tcW w:w="2150" w:type="dxa"/>
            <w:tcBorders>
              <w:left w:val="nil"/>
              <w:bottom w:val="single" w:sz="4" w:space="0" w:color="FFFFFF"/>
            </w:tcBorders>
          </w:tcPr>
          <w:p>
            <w:pPr>
              <w:pStyle w:val="TableParagraph"/>
              <w:spacing w:line="171" w:lineRule="exact"/>
              <w:ind w:left="103"/>
              <w:rPr>
                <w:sz w:val="16"/>
              </w:rPr>
            </w:pPr>
            <w:r>
              <w:rPr>
                <w:sz w:val="16"/>
              </w:rPr>
              <w:t>Año de construcción</w:t>
            </w:r>
          </w:p>
          <w:p>
            <w:pPr>
              <w:pStyle w:val="TableParagraph"/>
              <w:tabs>
                <w:tab w:pos="2134" w:val="left" w:leader="none"/>
              </w:tabs>
              <w:spacing w:before="72"/>
              <w:ind w:left="29"/>
              <w:rPr>
                <w:sz w:val="16"/>
              </w:rPr>
            </w:pPr>
            <w:r>
              <w:rPr>
                <w:w w:val="100"/>
                <w:sz w:val="16"/>
                <w:u w:val="dotted" w:color="929292"/>
              </w:rPr>
              <w:t> </w:t>
            </w:r>
            <w:r>
              <w:rPr>
                <w:sz w:val="16"/>
                <w:u w:val="dotted" w:color="929292"/>
              </w:rPr>
              <w:tab/>
            </w:r>
          </w:p>
        </w:tc>
        <w:tc>
          <w:tcPr>
            <w:tcW w:w="1843" w:type="dxa"/>
            <w:tcBorders>
              <w:bottom w:val="single" w:sz="4" w:space="0" w:color="FFFFFF"/>
            </w:tcBorders>
          </w:tcPr>
          <w:p>
            <w:pPr>
              <w:pStyle w:val="TableParagraph"/>
              <w:spacing w:line="171" w:lineRule="exact"/>
              <w:ind w:left="103"/>
              <w:rPr>
                <w:sz w:val="16"/>
              </w:rPr>
            </w:pPr>
            <w:r>
              <w:rPr>
                <w:sz w:val="16"/>
              </w:rPr>
              <w:t>Entre 2001 y 2015</w:t>
            </w:r>
          </w:p>
          <w:p>
            <w:pPr>
              <w:pStyle w:val="TableParagraph"/>
              <w:tabs>
                <w:tab w:pos="1822" w:val="left" w:leader="none"/>
              </w:tabs>
              <w:spacing w:before="72"/>
              <w:ind w:left="25"/>
              <w:rPr>
                <w:sz w:val="16"/>
              </w:rPr>
            </w:pPr>
            <w:r>
              <w:rPr>
                <w:w w:val="100"/>
                <w:sz w:val="16"/>
                <w:u w:val="dotted" w:color="929292"/>
              </w:rPr>
              <w:t> </w:t>
            </w:r>
            <w:r>
              <w:rPr>
                <w:spacing w:val="-11"/>
                <w:sz w:val="16"/>
                <w:u w:val="dotted" w:color="929292"/>
              </w:rPr>
              <w:t> </w:t>
            </w:r>
            <w:r>
              <w:rPr>
                <w:sz w:val="16"/>
                <w:u w:val="dotted" w:color="929292"/>
              </w:rPr>
              <w:t>Entre 1986 y</w:t>
            </w:r>
            <w:r>
              <w:rPr>
                <w:spacing w:val="-7"/>
                <w:sz w:val="16"/>
                <w:u w:val="dotted" w:color="929292"/>
              </w:rPr>
              <w:t> </w:t>
            </w:r>
            <w:r>
              <w:rPr>
                <w:sz w:val="16"/>
                <w:u w:val="dotted" w:color="929292"/>
              </w:rPr>
              <w:t>2000</w:t>
              <w:tab/>
            </w:r>
          </w:p>
        </w:tc>
        <w:tc>
          <w:tcPr>
            <w:tcW w:w="1134" w:type="dxa"/>
            <w:tcBorders>
              <w:bottom w:val="single" w:sz="4" w:space="0" w:color="FFFFFF"/>
            </w:tcBorders>
          </w:tcPr>
          <w:p>
            <w:pPr>
              <w:pStyle w:val="TableParagraph"/>
              <w:spacing w:line="171" w:lineRule="exact"/>
              <w:ind w:left="103"/>
              <w:rPr>
                <w:sz w:val="16"/>
              </w:rPr>
            </w:pPr>
            <w:r>
              <w:rPr>
                <w:w w:val="99"/>
                <w:sz w:val="16"/>
              </w:rPr>
              <w:t>0</w:t>
            </w:r>
          </w:p>
          <w:p>
            <w:pPr>
              <w:pStyle w:val="TableParagraph"/>
              <w:tabs>
                <w:tab w:pos="1114" w:val="left" w:leader="none"/>
              </w:tabs>
              <w:spacing w:before="72"/>
              <w:ind w:left="24"/>
              <w:rPr>
                <w:sz w:val="16"/>
              </w:rPr>
            </w:pPr>
            <w:r>
              <w:rPr>
                <w:w w:val="100"/>
                <w:sz w:val="16"/>
                <w:u w:val="dotted" w:color="929292"/>
              </w:rPr>
              <w:t> </w:t>
            </w:r>
            <w:r>
              <w:rPr>
                <w:sz w:val="16"/>
                <w:u w:val="dotted" w:color="929292"/>
              </w:rPr>
              <w:tab/>
            </w:r>
          </w:p>
        </w:tc>
        <w:tc>
          <w:tcPr>
            <w:tcW w:w="1418" w:type="dxa"/>
            <w:tcBorders>
              <w:bottom w:val="single" w:sz="4" w:space="0" w:color="FFFFFF"/>
            </w:tcBorders>
          </w:tcPr>
          <w:p>
            <w:pPr>
              <w:pStyle w:val="TableParagraph"/>
              <w:spacing w:line="171" w:lineRule="exact"/>
              <w:ind w:left="103"/>
              <w:rPr>
                <w:sz w:val="16"/>
              </w:rPr>
            </w:pPr>
            <w:r>
              <w:rPr>
                <w:sz w:val="16"/>
              </w:rPr>
              <w:t>0.8</w:t>
            </w:r>
          </w:p>
          <w:p>
            <w:pPr>
              <w:pStyle w:val="TableParagraph"/>
              <w:tabs>
                <w:tab w:pos="1397" w:val="left" w:leader="none"/>
              </w:tabs>
              <w:spacing w:before="72"/>
              <w:ind w:left="25"/>
              <w:rPr>
                <w:sz w:val="16"/>
              </w:rPr>
            </w:pPr>
            <w:r>
              <w:rPr>
                <w:w w:val="100"/>
                <w:sz w:val="16"/>
                <w:u w:val="dotted" w:color="929292"/>
              </w:rPr>
              <w:t> </w:t>
            </w:r>
            <w:r>
              <w:rPr>
                <w:sz w:val="16"/>
                <w:u w:val="dotted" w:color="929292"/>
              </w:rPr>
              <w:tab/>
            </w:r>
          </w:p>
        </w:tc>
        <w:tc>
          <w:tcPr>
            <w:tcW w:w="1129" w:type="dxa"/>
            <w:tcBorders>
              <w:bottom w:val="single" w:sz="4" w:space="0" w:color="FFFFFF"/>
              <w:right w:val="nil"/>
            </w:tcBorders>
          </w:tcPr>
          <w:p>
            <w:pPr>
              <w:pStyle w:val="TableParagraph"/>
              <w:spacing w:line="171" w:lineRule="exact"/>
              <w:ind w:left="103"/>
              <w:rPr>
                <w:sz w:val="16"/>
              </w:rPr>
            </w:pPr>
            <w:r>
              <w:rPr>
                <w:w w:val="99"/>
                <w:sz w:val="16"/>
              </w:rPr>
              <w:t>0</w:t>
            </w:r>
          </w:p>
          <w:p>
            <w:pPr>
              <w:pStyle w:val="TableParagraph"/>
              <w:tabs>
                <w:tab w:pos="1109" w:val="left" w:leader="none"/>
              </w:tabs>
              <w:spacing w:before="72"/>
              <w:ind w:left="24"/>
              <w:rPr>
                <w:sz w:val="16"/>
              </w:rPr>
            </w:pPr>
            <w:r>
              <w:rPr>
                <w:w w:val="100"/>
                <w:sz w:val="16"/>
                <w:u w:val="dotted" w:color="929292"/>
              </w:rPr>
              <w:t> </w:t>
            </w:r>
            <w:r>
              <w:rPr>
                <w:sz w:val="16"/>
                <w:u w:val="dotted" w:color="929292"/>
              </w:rPr>
              <w:tab/>
            </w:r>
          </w:p>
        </w:tc>
      </w:tr>
      <w:tr>
        <w:trPr>
          <w:trHeight w:val="365" w:hRule="exact"/>
        </w:trPr>
        <w:tc>
          <w:tcPr>
            <w:tcW w:w="2150" w:type="dxa"/>
            <w:tcBorders>
              <w:top w:val="single" w:sz="4" w:space="0" w:color="FFFFFF"/>
              <w:left w:val="nil"/>
            </w:tcBorders>
          </w:tcPr>
          <w:p>
            <w:pPr>
              <w:pStyle w:val="TableParagraph"/>
              <w:spacing w:line="171" w:lineRule="exact"/>
              <w:ind w:left="103"/>
              <w:rPr>
                <w:sz w:val="16"/>
              </w:rPr>
            </w:pPr>
            <w:r>
              <w:rPr>
                <w:sz w:val="16"/>
              </w:rPr>
              <w:t>Estado de conservación</w:t>
            </w:r>
          </w:p>
        </w:tc>
        <w:tc>
          <w:tcPr>
            <w:tcW w:w="1843" w:type="dxa"/>
            <w:tcBorders>
              <w:top w:val="single" w:sz="4" w:space="0" w:color="FFFFFF"/>
            </w:tcBorders>
          </w:tcPr>
          <w:p>
            <w:pPr>
              <w:pStyle w:val="TableParagraph"/>
              <w:spacing w:line="171" w:lineRule="exact"/>
              <w:ind w:left="103" w:right="407"/>
              <w:rPr>
                <w:sz w:val="16"/>
              </w:rPr>
            </w:pPr>
            <w:r>
              <w:rPr>
                <w:sz w:val="16"/>
              </w:rPr>
              <w:t>Regular</w:t>
            </w:r>
          </w:p>
        </w:tc>
        <w:tc>
          <w:tcPr>
            <w:tcW w:w="1134" w:type="dxa"/>
            <w:tcBorders>
              <w:top w:val="single" w:sz="4" w:space="0" w:color="FFFFFF"/>
            </w:tcBorders>
          </w:tcPr>
          <w:p>
            <w:pPr>
              <w:pStyle w:val="TableParagraph"/>
              <w:spacing w:line="171" w:lineRule="exact"/>
              <w:ind w:left="103"/>
              <w:rPr>
                <w:sz w:val="16"/>
              </w:rPr>
            </w:pPr>
            <w:r>
              <w:rPr>
                <w:w w:val="99"/>
                <w:sz w:val="16"/>
              </w:rPr>
              <w:t>5</w:t>
            </w:r>
          </w:p>
        </w:tc>
        <w:tc>
          <w:tcPr>
            <w:tcW w:w="1418" w:type="dxa"/>
            <w:tcBorders>
              <w:top w:val="single" w:sz="4" w:space="0" w:color="FFFFFF"/>
            </w:tcBorders>
          </w:tcPr>
          <w:p>
            <w:pPr>
              <w:pStyle w:val="TableParagraph"/>
              <w:spacing w:line="171" w:lineRule="exact"/>
              <w:ind w:left="103"/>
              <w:rPr>
                <w:sz w:val="16"/>
              </w:rPr>
            </w:pPr>
            <w:r>
              <w:rPr>
                <w:sz w:val="16"/>
              </w:rPr>
              <w:t>0.8</w:t>
            </w:r>
          </w:p>
        </w:tc>
        <w:tc>
          <w:tcPr>
            <w:tcW w:w="1129" w:type="dxa"/>
            <w:tcBorders>
              <w:top w:val="single" w:sz="4" w:space="0" w:color="FFFFFF"/>
              <w:right w:val="nil"/>
            </w:tcBorders>
          </w:tcPr>
          <w:p>
            <w:pPr>
              <w:pStyle w:val="TableParagraph"/>
              <w:spacing w:line="171" w:lineRule="exact"/>
              <w:ind w:left="104"/>
              <w:rPr>
                <w:sz w:val="16"/>
              </w:rPr>
            </w:pPr>
            <w:r>
              <w:rPr>
                <w:w w:val="99"/>
                <w:sz w:val="16"/>
              </w:rPr>
              <w:t>4</w:t>
            </w:r>
          </w:p>
        </w:tc>
      </w:tr>
      <w:tr>
        <w:trPr>
          <w:trHeight w:val="615" w:hRule="exact"/>
        </w:trPr>
        <w:tc>
          <w:tcPr>
            <w:tcW w:w="2150" w:type="dxa"/>
            <w:tcBorders>
              <w:left w:val="nil"/>
            </w:tcBorders>
          </w:tcPr>
          <w:p>
            <w:pPr>
              <w:pStyle w:val="TableParagraph"/>
              <w:spacing w:line="171" w:lineRule="exact"/>
              <w:ind w:left="103"/>
              <w:rPr>
                <w:sz w:val="16"/>
              </w:rPr>
            </w:pPr>
            <w:r>
              <w:rPr>
                <w:sz w:val="16"/>
              </w:rPr>
              <w:t>Características del suelo</w:t>
            </w:r>
          </w:p>
          <w:p>
            <w:pPr>
              <w:pStyle w:val="TableParagraph"/>
              <w:spacing w:before="16"/>
              <w:ind w:left="103"/>
              <w:rPr>
                <w:sz w:val="16"/>
              </w:rPr>
            </w:pPr>
            <w:r>
              <w:rPr>
                <w:sz w:val="16"/>
              </w:rPr>
              <w:t>bajo la edificación</w:t>
            </w:r>
          </w:p>
        </w:tc>
        <w:tc>
          <w:tcPr>
            <w:tcW w:w="1843" w:type="dxa"/>
          </w:tcPr>
          <w:p>
            <w:pPr>
              <w:pStyle w:val="TableParagraph"/>
              <w:spacing w:line="171" w:lineRule="exact"/>
              <w:ind w:left="103" w:right="407"/>
              <w:rPr>
                <w:sz w:val="16"/>
              </w:rPr>
            </w:pPr>
            <w:r>
              <w:rPr>
                <w:sz w:val="16"/>
              </w:rPr>
              <w:t>Húmedo, blando,</w:t>
            </w:r>
          </w:p>
          <w:p>
            <w:pPr>
              <w:pStyle w:val="TableParagraph"/>
              <w:spacing w:before="16"/>
              <w:ind w:left="103" w:right="407"/>
              <w:rPr>
                <w:sz w:val="16"/>
              </w:rPr>
            </w:pPr>
            <w:r>
              <w:rPr>
                <w:sz w:val="16"/>
              </w:rPr>
              <w:t>relleno</w:t>
            </w:r>
          </w:p>
        </w:tc>
        <w:tc>
          <w:tcPr>
            <w:tcW w:w="1134" w:type="dxa"/>
          </w:tcPr>
          <w:p>
            <w:pPr>
              <w:pStyle w:val="TableParagraph"/>
              <w:spacing w:line="171" w:lineRule="exact"/>
              <w:ind w:left="104"/>
              <w:rPr>
                <w:sz w:val="16"/>
              </w:rPr>
            </w:pPr>
            <w:r>
              <w:rPr>
                <w:w w:val="99"/>
                <w:sz w:val="16"/>
              </w:rPr>
              <w:t>5</w:t>
            </w:r>
          </w:p>
        </w:tc>
        <w:tc>
          <w:tcPr>
            <w:tcW w:w="1418" w:type="dxa"/>
          </w:tcPr>
          <w:p>
            <w:pPr>
              <w:pStyle w:val="TableParagraph"/>
              <w:spacing w:line="171" w:lineRule="exact"/>
              <w:ind w:left="104"/>
              <w:rPr>
                <w:sz w:val="16"/>
              </w:rPr>
            </w:pPr>
            <w:r>
              <w:rPr>
                <w:w w:val="99"/>
                <w:sz w:val="16"/>
              </w:rPr>
              <w:t>2</w:t>
            </w:r>
          </w:p>
        </w:tc>
        <w:tc>
          <w:tcPr>
            <w:tcW w:w="1129" w:type="dxa"/>
            <w:tcBorders>
              <w:right w:val="nil"/>
            </w:tcBorders>
          </w:tcPr>
          <w:p>
            <w:pPr>
              <w:pStyle w:val="TableParagraph"/>
              <w:spacing w:line="171" w:lineRule="exact"/>
              <w:ind w:left="104"/>
              <w:rPr>
                <w:sz w:val="16"/>
              </w:rPr>
            </w:pPr>
            <w:r>
              <w:rPr>
                <w:sz w:val="16"/>
              </w:rPr>
              <w:t>10</w:t>
            </w:r>
          </w:p>
        </w:tc>
      </w:tr>
      <w:tr>
        <w:trPr>
          <w:trHeight w:val="410" w:hRule="exact"/>
        </w:trPr>
        <w:tc>
          <w:tcPr>
            <w:tcW w:w="2150" w:type="dxa"/>
            <w:tcBorders>
              <w:left w:val="nil"/>
            </w:tcBorders>
          </w:tcPr>
          <w:p>
            <w:pPr>
              <w:pStyle w:val="TableParagraph"/>
              <w:spacing w:line="171" w:lineRule="exact"/>
              <w:ind w:left="104"/>
              <w:rPr>
                <w:sz w:val="16"/>
              </w:rPr>
            </w:pPr>
            <w:r>
              <w:rPr>
                <w:sz w:val="16"/>
              </w:rPr>
              <w:t>Topografía del sitio</w:t>
            </w:r>
          </w:p>
        </w:tc>
        <w:tc>
          <w:tcPr>
            <w:tcW w:w="1843" w:type="dxa"/>
          </w:tcPr>
          <w:p>
            <w:pPr>
              <w:pStyle w:val="TableParagraph"/>
              <w:spacing w:line="171" w:lineRule="exact"/>
              <w:ind w:left="104"/>
              <w:rPr>
                <w:sz w:val="16"/>
              </w:rPr>
            </w:pPr>
            <w:r>
              <w:rPr>
                <w:sz w:val="16"/>
              </w:rPr>
              <w:t>Terreno accidentado,</w:t>
            </w:r>
          </w:p>
          <w:p>
            <w:pPr>
              <w:pStyle w:val="TableParagraph"/>
              <w:spacing w:before="16"/>
              <w:ind w:left="104" w:right="407"/>
              <w:rPr>
                <w:sz w:val="16"/>
              </w:rPr>
            </w:pPr>
            <w:r>
              <w:rPr>
                <w:sz w:val="16"/>
              </w:rPr>
              <w:t>laderas</w:t>
            </w:r>
          </w:p>
        </w:tc>
        <w:tc>
          <w:tcPr>
            <w:tcW w:w="1134" w:type="dxa"/>
          </w:tcPr>
          <w:p>
            <w:pPr>
              <w:pStyle w:val="TableParagraph"/>
              <w:spacing w:line="171" w:lineRule="exact"/>
              <w:ind w:left="104"/>
              <w:rPr>
                <w:sz w:val="16"/>
              </w:rPr>
            </w:pPr>
            <w:r>
              <w:rPr>
                <w:sz w:val="16"/>
              </w:rPr>
              <w:t>10</w:t>
            </w:r>
          </w:p>
        </w:tc>
        <w:tc>
          <w:tcPr>
            <w:tcW w:w="1418" w:type="dxa"/>
          </w:tcPr>
          <w:p>
            <w:pPr>
              <w:pStyle w:val="TableParagraph"/>
              <w:spacing w:line="171" w:lineRule="exact"/>
              <w:ind w:left="104"/>
              <w:rPr>
                <w:sz w:val="16"/>
              </w:rPr>
            </w:pPr>
            <w:r>
              <w:rPr>
                <w:w w:val="99"/>
                <w:sz w:val="16"/>
              </w:rPr>
              <w:t>2</w:t>
            </w:r>
          </w:p>
        </w:tc>
        <w:tc>
          <w:tcPr>
            <w:tcW w:w="1129" w:type="dxa"/>
            <w:tcBorders>
              <w:right w:val="nil"/>
            </w:tcBorders>
          </w:tcPr>
          <w:p>
            <w:pPr>
              <w:pStyle w:val="TableParagraph"/>
              <w:spacing w:line="171" w:lineRule="exact"/>
              <w:ind w:left="104"/>
              <w:rPr>
                <w:sz w:val="16"/>
              </w:rPr>
            </w:pPr>
            <w:r>
              <w:rPr>
                <w:sz w:val="16"/>
              </w:rPr>
              <w:t>20</w:t>
            </w:r>
          </w:p>
        </w:tc>
      </w:tr>
      <w:tr>
        <w:trPr>
          <w:trHeight w:val="268" w:hRule="exact"/>
        </w:trPr>
        <w:tc>
          <w:tcPr>
            <w:tcW w:w="2150" w:type="dxa"/>
            <w:tcBorders>
              <w:left w:val="nil"/>
            </w:tcBorders>
          </w:tcPr>
          <w:p>
            <w:pPr>
              <w:pStyle w:val="TableParagraph"/>
              <w:spacing w:line="171" w:lineRule="exact"/>
              <w:ind w:left="104"/>
              <w:rPr>
                <w:sz w:val="16"/>
              </w:rPr>
            </w:pPr>
            <w:r>
              <w:rPr>
                <w:sz w:val="16"/>
              </w:rPr>
              <w:t>Exposición</w:t>
            </w:r>
          </w:p>
        </w:tc>
        <w:tc>
          <w:tcPr>
            <w:tcW w:w="1843" w:type="dxa"/>
          </w:tcPr>
          <w:p>
            <w:pPr>
              <w:pStyle w:val="TableParagraph"/>
              <w:spacing w:line="171" w:lineRule="exact"/>
              <w:ind w:left="104"/>
              <w:rPr>
                <w:sz w:val="16"/>
              </w:rPr>
            </w:pPr>
            <w:r>
              <w:rPr>
                <w:sz w:val="16"/>
              </w:rPr>
              <w:t>Menos de 10 metros</w:t>
            </w:r>
          </w:p>
        </w:tc>
        <w:tc>
          <w:tcPr>
            <w:tcW w:w="1134" w:type="dxa"/>
          </w:tcPr>
          <w:p>
            <w:pPr>
              <w:pStyle w:val="TableParagraph"/>
              <w:spacing w:line="171" w:lineRule="exact"/>
              <w:ind w:left="104"/>
              <w:rPr>
                <w:sz w:val="16"/>
              </w:rPr>
            </w:pPr>
            <w:r>
              <w:rPr>
                <w:sz w:val="16"/>
              </w:rPr>
              <w:t>10</w:t>
            </w:r>
          </w:p>
        </w:tc>
        <w:tc>
          <w:tcPr>
            <w:tcW w:w="1418" w:type="dxa"/>
          </w:tcPr>
          <w:p>
            <w:pPr>
              <w:pStyle w:val="TableParagraph"/>
              <w:spacing w:line="171" w:lineRule="exact"/>
              <w:ind w:left="104"/>
              <w:rPr>
                <w:sz w:val="16"/>
              </w:rPr>
            </w:pPr>
            <w:r>
              <w:rPr>
                <w:w w:val="99"/>
                <w:sz w:val="16"/>
              </w:rPr>
              <w:t>2</w:t>
            </w:r>
          </w:p>
        </w:tc>
        <w:tc>
          <w:tcPr>
            <w:tcW w:w="1129" w:type="dxa"/>
            <w:tcBorders>
              <w:right w:val="nil"/>
            </w:tcBorders>
          </w:tcPr>
          <w:p>
            <w:pPr>
              <w:pStyle w:val="TableParagraph"/>
              <w:spacing w:line="171" w:lineRule="exact"/>
              <w:ind w:left="104"/>
              <w:rPr>
                <w:sz w:val="16"/>
              </w:rPr>
            </w:pPr>
            <w:r>
              <w:rPr>
                <w:sz w:val="16"/>
              </w:rPr>
              <w:t>20</w:t>
            </w:r>
          </w:p>
        </w:tc>
      </w:tr>
      <w:tr>
        <w:trPr>
          <w:trHeight w:val="269" w:hRule="exact"/>
        </w:trPr>
        <w:tc>
          <w:tcPr>
            <w:tcW w:w="6545" w:type="dxa"/>
            <w:gridSpan w:val="4"/>
            <w:tcBorders>
              <w:left w:val="nil"/>
              <w:bottom w:val="dotted" w:sz="4" w:space="0" w:color="929292"/>
            </w:tcBorders>
          </w:tcPr>
          <w:p>
            <w:pPr>
              <w:pStyle w:val="TableParagraph"/>
              <w:spacing w:line="171" w:lineRule="exact"/>
              <w:ind w:left="104"/>
              <w:rPr>
                <w:sz w:val="16"/>
              </w:rPr>
            </w:pPr>
            <w:r>
              <w:rPr>
                <w:sz w:val="16"/>
              </w:rPr>
              <w:t>Nivel de vulnerabilidad física estructural de las manzanas</w:t>
            </w:r>
          </w:p>
        </w:tc>
        <w:tc>
          <w:tcPr>
            <w:tcW w:w="1129" w:type="dxa"/>
            <w:tcBorders>
              <w:bottom w:val="dotted" w:sz="4" w:space="0" w:color="929292"/>
              <w:right w:val="nil"/>
            </w:tcBorders>
          </w:tcPr>
          <w:p>
            <w:pPr>
              <w:pStyle w:val="TableParagraph"/>
              <w:spacing w:line="171" w:lineRule="exact"/>
              <w:ind w:left="104"/>
              <w:rPr>
                <w:sz w:val="16"/>
              </w:rPr>
            </w:pPr>
            <w:r>
              <w:rPr>
                <w:sz w:val="16"/>
              </w:rPr>
              <w:t>70.0</w:t>
            </w:r>
          </w:p>
        </w:tc>
      </w:tr>
    </w:tbl>
    <w:p>
      <w:pPr>
        <w:pStyle w:val="BodyText"/>
        <w:spacing w:line="249" w:lineRule="auto" w:before="99"/>
        <w:ind w:left="131" w:right="128" w:firstLine="170"/>
        <w:jc w:val="both"/>
      </w:pPr>
      <w:r>
        <w:rPr/>
        <w:pict>
          <v:rect style="position:absolute;margin-left:513.071045pt;margin-top:-182.835754pt;width:384.200018pt;height:21.381001pt;mso-position-horizontal-relative:page;mso-position-vertical-relative:paragraph;z-index:-632968" filled="true" fillcolor="#929292" stroked="false">
            <v:fill type="solid"/>
            <w10:wrap type="none"/>
          </v:rect>
        </w:pict>
      </w:r>
      <w:r>
        <w:rPr/>
        <w:t>Es</w:t>
      </w:r>
      <w:r>
        <w:rPr>
          <w:spacing w:val="-3"/>
        </w:rPr>
        <w:t> </w:t>
      </w:r>
      <w:r>
        <w:rPr/>
        <w:t>de</w:t>
      </w:r>
      <w:r>
        <w:rPr>
          <w:spacing w:val="-3"/>
        </w:rPr>
        <w:t> </w:t>
      </w:r>
      <w:r>
        <w:rPr/>
        <w:t>destacar</w:t>
      </w:r>
      <w:r>
        <w:rPr>
          <w:spacing w:val="-3"/>
        </w:rPr>
        <w:t> </w:t>
      </w:r>
      <w:r>
        <w:rPr/>
        <w:t>que</w:t>
      </w:r>
      <w:r>
        <w:rPr>
          <w:spacing w:val="-3"/>
        </w:rPr>
        <w:t> </w:t>
      </w:r>
      <w:r>
        <w:rPr/>
        <w:t>las</w:t>
      </w:r>
      <w:r>
        <w:rPr>
          <w:spacing w:val="-3"/>
        </w:rPr>
        <w:t> </w:t>
      </w:r>
      <w:r>
        <w:rPr/>
        <w:t>11</w:t>
      </w:r>
      <w:r>
        <w:rPr>
          <w:spacing w:val="-3"/>
        </w:rPr>
        <w:t> </w:t>
      </w:r>
      <w:r>
        <w:rPr/>
        <w:t>casas</w:t>
      </w:r>
      <w:r>
        <w:rPr>
          <w:spacing w:val="-3"/>
        </w:rPr>
        <w:t> </w:t>
      </w:r>
      <w:r>
        <w:rPr/>
        <w:t>se</w:t>
      </w:r>
      <w:r>
        <w:rPr>
          <w:spacing w:val="-3"/>
        </w:rPr>
        <w:t> </w:t>
      </w:r>
      <w:r>
        <w:rPr/>
        <w:t>encuentran</w:t>
      </w:r>
      <w:r>
        <w:rPr>
          <w:spacing w:val="-2"/>
        </w:rPr>
        <w:t> </w:t>
      </w:r>
      <w:r>
        <w:rPr/>
        <w:t>a</w:t>
      </w:r>
      <w:r>
        <w:rPr>
          <w:spacing w:val="-3"/>
        </w:rPr>
        <w:t> </w:t>
      </w:r>
      <w:r>
        <w:rPr/>
        <w:t>menos</w:t>
      </w:r>
      <w:r>
        <w:rPr>
          <w:spacing w:val="-3"/>
        </w:rPr>
        <w:t> </w:t>
      </w:r>
      <w:r>
        <w:rPr/>
        <w:t>de</w:t>
      </w:r>
      <w:r>
        <w:rPr>
          <w:spacing w:val="-3"/>
        </w:rPr>
        <w:t> </w:t>
      </w:r>
      <w:r>
        <w:rPr/>
        <w:t>2</w:t>
      </w:r>
      <w:r>
        <w:rPr>
          <w:spacing w:val="-3"/>
        </w:rPr>
        <w:t> </w:t>
      </w:r>
      <w:r>
        <w:rPr/>
        <w:t>metros</w:t>
      </w:r>
      <w:r>
        <w:rPr>
          <w:spacing w:val="-3"/>
        </w:rPr>
        <w:t> </w:t>
      </w:r>
      <w:r>
        <w:rPr/>
        <w:t>del</w:t>
      </w:r>
      <w:r>
        <w:rPr>
          <w:spacing w:val="-3"/>
        </w:rPr>
        <w:t> </w:t>
      </w:r>
      <w:r>
        <w:rPr/>
        <w:t>socavón</w:t>
      </w:r>
      <w:r>
        <w:rPr>
          <w:spacing w:val="-3"/>
        </w:rPr>
        <w:t> </w:t>
      </w:r>
      <w:r>
        <w:rPr/>
        <w:t>de la mina, y aunque fueron construidas entre los años 2001 y 2015, se observa deterioro en paredes, por presencia de humedad en las casas y/o bardas de éstas, asimismo,  se repite el mismo patrón que en la zona anterior, es decir, 6 de 11 tienen techos de lámina,</w:t>
      </w:r>
      <w:r>
        <w:rPr>
          <w:spacing w:val="-12"/>
        </w:rPr>
        <w:t> </w:t>
      </w:r>
      <w:r>
        <w:rPr/>
        <w:t>no</w:t>
      </w:r>
      <w:r>
        <w:rPr>
          <w:spacing w:val="-12"/>
        </w:rPr>
        <w:t> </w:t>
      </w:r>
      <w:r>
        <w:rPr/>
        <w:t>cuentan</w:t>
      </w:r>
      <w:r>
        <w:rPr>
          <w:spacing w:val="-13"/>
        </w:rPr>
        <w:t> </w:t>
      </w:r>
      <w:r>
        <w:rPr/>
        <w:t>con</w:t>
      </w:r>
      <w:r>
        <w:rPr>
          <w:spacing w:val="-13"/>
        </w:rPr>
        <w:t> </w:t>
      </w:r>
      <w:r>
        <w:rPr/>
        <w:t>cubrimiento</w:t>
      </w:r>
      <w:r>
        <w:rPr>
          <w:spacing w:val="-13"/>
        </w:rPr>
        <w:t> </w:t>
      </w:r>
      <w:r>
        <w:rPr/>
        <w:t>en</w:t>
      </w:r>
      <w:r>
        <w:rPr>
          <w:spacing w:val="-12"/>
        </w:rPr>
        <w:t> </w:t>
      </w:r>
      <w:r>
        <w:rPr/>
        <w:t>las</w:t>
      </w:r>
      <w:r>
        <w:rPr>
          <w:spacing w:val="-12"/>
        </w:rPr>
        <w:t> </w:t>
      </w:r>
      <w:r>
        <w:rPr/>
        <w:t>paredes</w:t>
      </w:r>
      <w:r>
        <w:rPr>
          <w:spacing w:val="-12"/>
        </w:rPr>
        <w:t> </w:t>
      </w:r>
      <w:r>
        <w:rPr/>
        <w:t>y</w:t>
      </w:r>
      <w:r>
        <w:rPr>
          <w:spacing w:val="-12"/>
        </w:rPr>
        <w:t> </w:t>
      </w:r>
      <w:r>
        <w:rPr/>
        <w:t>su</w:t>
      </w:r>
      <w:r>
        <w:rPr>
          <w:spacing w:val="-12"/>
        </w:rPr>
        <w:t> </w:t>
      </w:r>
      <w:r>
        <w:rPr/>
        <w:t>drenaje</w:t>
      </w:r>
      <w:r>
        <w:rPr>
          <w:spacing w:val="-12"/>
        </w:rPr>
        <w:t> </w:t>
      </w:r>
      <w:r>
        <w:rPr/>
        <w:t>desemboca</w:t>
      </w:r>
      <w:r>
        <w:rPr>
          <w:spacing w:val="-12"/>
        </w:rPr>
        <w:t> </w:t>
      </w:r>
      <w:r>
        <w:rPr/>
        <w:t>al</w:t>
      </w:r>
      <w:r>
        <w:rPr>
          <w:spacing w:val="-12"/>
        </w:rPr>
        <w:t> </w:t>
      </w:r>
      <w:r>
        <w:rPr/>
        <w:t>socavón, además parte sur de la mina se ha convertido en depósito de desechos de materiales de construcción y tiradero de basura. (Figura</w:t>
      </w:r>
      <w:r>
        <w:rPr>
          <w:spacing w:val="-13"/>
        </w:rPr>
        <w:t> </w:t>
      </w:r>
      <w:r>
        <w:rPr/>
        <w:t>4)</w:t>
      </w:r>
    </w:p>
    <w:p>
      <w:pPr>
        <w:pStyle w:val="BodyText"/>
        <w:spacing w:before="11"/>
      </w:pPr>
    </w:p>
    <w:p>
      <w:pPr>
        <w:pStyle w:val="BodyText"/>
        <w:spacing w:line="249" w:lineRule="auto"/>
        <w:ind w:left="131" w:right="128" w:firstLine="170"/>
        <w:jc w:val="both"/>
      </w:pPr>
      <w:r>
        <w:rPr/>
        <w:t>En</w:t>
      </w:r>
      <w:r>
        <w:rPr>
          <w:spacing w:val="-18"/>
        </w:rPr>
        <w:t> </w:t>
      </w:r>
      <w:r>
        <w:rPr/>
        <w:t>esta</w:t>
      </w:r>
      <w:r>
        <w:rPr>
          <w:spacing w:val="-18"/>
        </w:rPr>
        <w:t> </w:t>
      </w:r>
      <w:r>
        <w:rPr/>
        <w:t>zona</w:t>
      </w:r>
      <w:r>
        <w:rPr>
          <w:spacing w:val="-18"/>
        </w:rPr>
        <w:t> </w:t>
      </w:r>
      <w:r>
        <w:rPr/>
        <w:t>urbana,</w:t>
      </w:r>
      <w:r>
        <w:rPr>
          <w:spacing w:val="-17"/>
        </w:rPr>
        <w:t> </w:t>
      </w:r>
      <w:r>
        <w:rPr/>
        <w:t>se</w:t>
      </w:r>
      <w:r>
        <w:rPr>
          <w:spacing w:val="-18"/>
        </w:rPr>
        <w:t> </w:t>
      </w:r>
      <w:r>
        <w:rPr/>
        <w:t>encuentra</w:t>
      </w:r>
      <w:r>
        <w:rPr>
          <w:spacing w:val="-17"/>
        </w:rPr>
        <w:t> </w:t>
      </w:r>
      <w:r>
        <w:rPr/>
        <w:t>un</w:t>
      </w:r>
      <w:r>
        <w:rPr>
          <w:spacing w:val="22"/>
        </w:rPr>
        <w:t> </w:t>
      </w:r>
      <w:r>
        <w:rPr/>
        <w:t>jardín</w:t>
      </w:r>
      <w:r>
        <w:rPr>
          <w:spacing w:val="-17"/>
        </w:rPr>
        <w:t> </w:t>
      </w:r>
      <w:r>
        <w:rPr/>
        <w:t>de</w:t>
      </w:r>
      <w:r>
        <w:rPr>
          <w:spacing w:val="-18"/>
        </w:rPr>
        <w:t> </w:t>
      </w:r>
      <w:r>
        <w:rPr/>
        <w:t>niños</w:t>
      </w:r>
      <w:r>
        <w:rPr>
          <w:spacing w:val="-18"/>
        </w:rPr>
        <w:t> </w:t>
      </w:r>
      <w:r>
        <w:rPr/>
        <w:t>“John</w:t>
      </w:r>
      <w:r>
        <w:rPr>
          <w:spacing w:val="-18"/>
        </w:rPr>
        <w:t> </w:t>
      </w:r>
      <w:r>
        <w:rPr/>
        <w:t>Dewey”,</w:t>
      </w:r>
      <w:r>
        <w:rPr>
          <w:spacing w:val="-17"/>
        </w:rPr>
        <w:t> </w:t>
      </w:r>
      <w:r>
        <w:rPr/>
        <w:t>el</w:t>
      </w:r>
      <w:r>
        <w:rPr>
          <w:spacing w:val="-18"/>
        </w:rPr>
        <w:t> </w:t>
      </w:r>
      <w:r>
        <w:rPr/>
        <w:t>cual</w:t>
      </w:r>
      <w:r>
        <w:rPr>
          <w:spacing w:val="-18"/>
        </w:rPr>
        <w:t> </w:t>
      </w:r>
      <w:r>
        <w:rPr/>
        <w:t>está</w:t>
      </w:r>
      <w:r>
        <w:rPr>
          <w:spacing w:val="-17"/>
        </w:rPr>
        <w:t> </w:t>
      </w:r>
      <w:r>
        <w:rPr/>
        <w:t>a</w:t>
      </w:r>
      <w:r>
        <w:rPr>
          <w:spacing w:val="-18"/>
        </w:rPr>
        <w:t> </w:t>
      </w:r>
      <w:r>
        <w:rPr/>
        <w:t>una distancia</w:t>
      </w:r>
      <w:r>
        <w:rPr>
          <w:spacing w:val="-9"/>
        </w:rPr>
        <w:t> </w:t>
      </w:r>
      <w:r>
        <w:rPr/>
        <w:t>de</w:t>
      </w:r>
      <w:r>
        <w:rPr>
          <w:spacing w:val="-9"/>
        </w:rPr>
        <w:t> </w:t>
      </w:r>
      <w:r>
        <w:rPr/>
        <w:t>34</w:t>
      </w:r>
      <w:r>
        <w:rPr>
          <w:spacing w:val="-9"/>
        </w:rPr>
        <w:t> </w:t>
      </w:r>
      <w:r>
        <w:rPr/>
        <w:t>metros</w:t>
      </w:r>
      <w:r>
        <w:rPr>
          <w:spacing w:val="-9"/>
        </w:rPr>
        <w:t> </w:t>
      </w:r>
      <w:r>
        <w:rPr/>
        <w:t>del</w:t>
      </w:r>
      <w:r>
        <w:rPr>
          <w:spacing w:val="-9"/>
        </w:rPr>
        <w:t> </w:t>
      </w:r>
      <w:r>
        <w:rPr/>
        <w:t>socavón,</w:t>
      </w:r>
      <w:r>
        <w:rPr>
          <w:spacing w:val="-9"/>
        </w:rPr>
        <w:t> </w:t>
      </w:r>
      <w:r>
        <w:rPr/>
        <w:t>si</w:t>
      </w:r>
      <w:r>
        <w:rPr>
          <w:spacing w:val="-9"/>
        </w:rPr>
        <w:t> </w:t>
      </w:r>
      <w:r>
        <w:rPr/>
        <w:t>bien</w:t>
      </w:r>
      <w:r>
        <w:rPr>
          <w:spacing w:val="-9"/>
        </w:rPr>
        <w:t> </w:t>
      </w:r>
      <w:r>
        <w:rPr/>
        <w:t>está</w:t>
      </w:r>
      <w:r>
        <w:rPr>
          <w:spacing w:val="-9"/>
        </w:rPr>
        <w:t> </w:t>
      </w:r>
      <w:r>
        <w:rPr/>
        <w:t>fuera</w:t>
      </w:r>
      <w:r>
        <w:rPr>
          <w:spacing w:val="-10"/>
        </w:rPr>
        <w:t> </w:t>
      </w:r>
      <w:r>
        <w:rPr/>
        <w:t>del</w:t>
      </w:r>
      <w:r>
        <w:rPr>
          <w:spacing w:val="-9"/>
        </w:rPr>
        <w:t> </w:t>
      </w:r>
      <w:r>
        <w:rPr/>
        <w:t>área</w:t>
      </w:r>
      <w:r>
        <w:rPr>
          <w:spacing w:val="-9"/>
        </w:rPr>
        <w:t> </w:t>
      </w:r>
      <w:r>
        <w:rPr/>
        <w:t>de</w:t>
      </w:r>
      <w:r>
        <w:rPr>
          <w:spacing w:val="-9"/>
        </w:rPr>
        <w:t> </w:t>
      </w:r>
      <w:r>
        <w:rPr/>
        <w:t>exposición,</w:t>
      </w:r>
      <w:r>
        <w:rPr>
          <w:spacing w:val="-9"/>
        </w:rPr>
        <w:t> </w:t>
      </w:r>
      <w:r>
        <w:rPr/>
        <w:t>ya</w:t>
      </w:r>
      <w:r>
        <w:rPr>
          <w:spacing w:val="-9"/>
        </w:rPr>
        <w:t> </w:t>
      </w:r>
      <w:r>
        <w:rPr/>
        <w:t>que</w:t>
      </w:r>
      <w:r>
        <w:rPr>
          <w:spacing w:val="-9"/>
        </w:rPr>
        <w:t> </w:t>
      </w:r>
      <w:r>
        <w:rPr/>
        <w:t>se considera</w:t>
      </w:r>
      <w:r>
        <w:rPr>
          <w:spacing w:val="-15"/>
        </w:rPr>
        <w:t> </w:t>
      </w:r>
      <w:r>
        <w:rPr/>
        <w:t>que</w:t>
      </w:r>
      <w:r>
        <w:rPr>
          <w:spacing w:val="-15"/>
        </w:rPr>
        <w:t> </w:t>
      </w:r>
      <w:r>
        <w:rPr/>
        <w:t>debe</w:t>
      </w:r>
      <w:r>
        <w:rPr>
          <w:spacing w:val="-15"/>
        </w:rPr>
        <w:t> </w:t>
      </w:r>
      <w:r>
        <w:rPr/>
        <w:t>existir</w:t>
      </w:r>
      <w:r>
        <w:rPr>
          <w:spacing w:val="-15"/>
        </w:rPr>
        <w:t> </w:t>
      </w:r>
      <w:r>
        <w:rPr/>
        <w:t>una</w:t>
      </w:r>
      <w:r>
        <w:rPr>
          <w:spacing w:val="-15"/>
        </w:rPr>
        <w:t> </w:t>
      </w:r>
      <w:r>
        <w:rPr/>
        <w:t>distancia</w:t>
      </w:r>
      <w:r>
        <w:rPr>
          <w:spacing w:val="-15"/>
        </w:rPr>
        <w:t> </w:t>
      </w:r>
      <w:r>
        <w:rPr/>
        <w:t>mínima</w:t>
      </w:r>
      <w:r>
        <w:rPr>
          <w:spacing w:val="-15"/>
        </w:rPr>
        <w:t> </w:t>
      </w:r>
      <w:r>
        <w:rPr/>
        <w:t>de</w:t>
      </w:r>
      <w:r>
        <w:rPr>
          <w:spacing w:val="-15"/>
        </w:rPr>
        <w:t> </w:t>
      </w:r>
      <w:r>
        <w:rPr/>
        <w:t>20</w:t>
      </w:r>
      <w:r>
        <w:rPr>
          <w:spacing w:val="-15"/>
        </w:rPr>
        <w:t> </w:t>
      </w:r>
      <w:r>
        <w:rPr/>
        <w:t>metros</w:t>
      </w:r>
      <w:r>
        <w:rPr>
          <w:spacing w:val="-15"/>
        </w:rPr>
        <w:t> </w:t>
      </w:r>
      <w:r>
        <w:rPr/>
        <w:t>de</w:t>
      </w:r>
      <w:r>
        <w:rPr>
          <w:spacing w:val="-15"/>
        </w:rPr>
        <w:t> </w:t>
      </w:r>
      <w:r>
        <w:rPr/>
        <w:t>amortiguamiento</w:t>
      </w:r>
      <w:r>
        <w:rPr>
          <w:spacing w:val="-14"/>
        </w:rPr>
        <w:t> </w:t>
      </w:r>
      <w:r>
        <w:rPr/>
        <w:t>entre la</w:t>
      </w:r>
      <w:r>
        <w:rPr>
          <w:spacing w:val="-11"/>
        </w:rPr>
        <w:t> </w:t>
      </w:r>
      <w:r>
        <w:rPr/>
        <w:t>mina</w:t>
      </w:r>
      <w:r>
        <w:rPr>
          <w:spacing w:val="-11"/>
        </w:rPr>
        <w:t> </w:t>
      </w:r>
      <w:r>
        <w:rPr/>
        <w:t>y</w:t>
      </w:r>
      <w:r>
        <w:rPr>
          <w:spacing w:val="-11"/>
        </w:rPr>
        <w:t> </w:t>
      </w:r>
      <w:r>
        <w:rPr/>
        <w:t>éste,</w:t>
      </w:r>
      <w:r>
        <w:rPr>
          <w:spacing w:val="-11"/>
        </w:rPr>
        <w:t> </w:t>
      </w:r>
      <w:r>
        <w:rPr/>
        <w:t>no</w:t>
      </w:r>
      <w:r>
        <w:rPr>
          <w:spacing w:val="-11"/>
        </w:rPr>
        <w:t> </w:t>
      </w:r>
      <w:r>
        <w:rPr/>
        <w:t>deja</w:t>
      </w:r>
      <w:r>
        <w:rPr>
          <w:spacing w:val="-11"/>
        </w:rPr>
        <w:t> </w:t>
      </w:r>
      <w:r>
        <w:rPr/>
        <w:t>de</w:t>
      </w:r>
      <w:r>
        <w:rPr>
          <w:spacing w:val="-11"/>
        </w:rPr>
        <w:t> </w:t>
      </w:r>
      <w:r>
        <w:rPr/>
        <w:t>representar</w:t>
      </w:r>
      <w:r>
        <w:rPr>
          <w:spacing w:val="35"/>
        </w:rPr>
        <w:t> </w:t>
      </w:r>
      <w:r>
        <w:rPr/>
        <w:t>un</w:t>
      </w:r>
      <w:r>
        <w:rPr>
          <w:spacing w:val="-11"/>
        </w:rPr>
        <w:t> </w:t>
      </w:r>
      <w:r>
        <w:rPr/>
        <w:t>riesgo</w:t>
      </w:r>
      <w:r>
        <w:rPr>
          <w:spacing w:val="-11"/>
        </w:rPr>
        <w:t> </w:t>
      </w:r>
      <w:r>
        <w:rPr/>
        <w:t>para</w:t>
      </w:r>
      <w:r>
        <w:rPr>
          <w:spacing w:val="-11"/>
        </w:rPr>
        <w:t> </w:t>
      </w:r>
      <w:r>
        <w:rPr/>
        <w:t>los</w:t>
      </w:r>
      <w:r>
        <w:rPr>
          <w:spacing w:val="-11"/>
        </w:rPr>
        <w:t> </w:t>
      </w:r>
      <w:r>
        <w:rPr/>
        <w:t>70</w:t>
      </w:r>
      <w:r>
        <w:rPr>
          <w:spacing w:val="-11"/>
        </w:rPr>
        <w:t> </w:t>
      </w:r>
      <w:r>
        <w:rPr/>
        <w:t>niños</w:t>
      </w:r>
      <w:r>
        <w:rPr>
          <w:spacing w:val="-11"/>
        </w:rPr>
        <w:t> </w:t>
      </w:r>
      <w:r>
        <w:rPr/>
        <w:t>que</w:t>
      </w:r>
      <w:r>
        <w:rPr>
          <w:spacing w:val="-11"/>
        </w:rPr>
        <w:t> </w:t>
      </w:r>
      <w:r>
        <w:rPr/>
        <w:t>se</w:t>
      </w:r>
      <w:r>
        <w:rPr>
          <w:spacing w:val="-11"/>
        </w:rPr>
        <w:t> </w:t>
      </w:r>
      <w:r>
        <w:rPr/>
        <w:t>encuentran</w:t>
      </w:r>
      <w:r>
        <w:rPr>
          <w:spacing w:val="-10"/>
        </w:rPr>
        <w:t> </w:t>
      </w:r>
      <w:r>
        <w:rPr/>
        <w:t>en esta zona, ya que esta construcción muestra también paredes con humedad y fisuras. (Ver figura</w:t>
      </w:r>
      <w:r>
        <w:rPr>
          <w:spacing w:val="-1"/>
        </w:rPr>
        <w:t> </w:t>
      </w:r>
      <w:r>
        <w:rPr/>
        <w:t>4).</w:t>
      </w:r>
    </w:p>
    <w:p>
      <w:pPr>
        <w:spacing w:after="0" w:line="249" w:lineRule="auto"/>
        <w:jc w:val="both"/>
        <w:sectPr>
          <w:footerReference w:type="default" r:id="rId520"/>
          <w:pgSz w:w="18830" w:h="12760" w:orient="landscape"/>
          <w:pgMar w:footer="1036" w:header="522" w:top="820" w:bottom="1220" w:left="720" w:right="720"/>
          <w:cols w:num="2" w:equalWidth="0">
            <w:col w:w="7842" w:space="1568"/>
            <w:col w:w="7980"/>
          </w:cols>
        </w:sectPr>
      </w:pPr>
    </w:p>
    <w:p>
      <w:pPr>
        <w:pStyle w:val="BodyText"/>
        <w:spacing w:before="6"/>
        <w:rPr>
          <w:sz w:val="23"/>
        </w:rPr>
      </w:pPr>
    </w:p>
    <w:p>
      <w:pPr>
        <w:spacing w:after="0"/>
        <w:rPr>
          <w:sz w:val="23"/>
        </w:rPr>
        <w:sectPr>
          <w:footerReference w:type="default" r:id="rId523"/>
          <w:pgSz w:w="18830" w:h="12760" w:orient="landscape"/>
          <w:pgMar w:footer="1036" w:header="522" w:top="820" w:bottom="1220" w:left="720" w:right="720"/>
        </w:sectPr>
      </w:pPr>
    </w:p>
    <w:p>
      <w:pPr>
        <w:spacing w:before="114"/>
        <w:ind w:left="3043" w:right="-20" w:firstLine="0"/>
        <w:jc w:val="left"/>
        <w:rPr>
          <w:sz w:val="16"/>
        </w:rPr>
      </w:pPr>
      <w:r>
        <w:rPr>
          <w:color w:val="6D6E71"/>
          <w:sz w:val="16"/>
        </w:rPr>
        <w:t>Figura 4. Mina Magdalena</w:t>
      </w:r>
    </w:p>
    <w:p>
      <w:pPr>
        <w:pStyle w:val="BodyText"/>
        <w:spacing w:line="249" w:lineRule="auto" w:before="76"/>
        <w:ind w:left="3043" w:right="127" w:firstLine="170"/>
        <w:jc w:val="both"/>
      </w:pPr>
      <w:r>
        <w:rPr/>
        <w:br w:type="column"/>
      </w:r>
      <w:r>
        <w:rPr/>
        <w:t>En este contexto de acuerdo a la información obtenida, las zonas habitacionales presentan una alta vulnerabilidad física con un promedio de 69.2 puntos entre las    tres zonas (ver tabla 14), las cuales están expuestas a movimientos de laderas por la cercanía a los bancos de materiales pétreos. Aunado a lo anterior, los asentamiento  de las zonas habitacionales construidas en terrenos con topografía de escarpes, con una geología de materiales blandos deleznables y con presencia de acumulación de humedad.</w:t>
      </w:r>
    </w:p>
    <w:p>
      <w:pPr>
        <w:pStyle w:val="BodyText"/>
        <w:spacing w:before="2"/>
        <w:rPr>
          <w:sz w:val="24"/>
        </w:rPr>
      </w:pPr>
    </w:p>
    <w:p>
      <w:pPr>
        <w:spacing w:line="312" w:lineRule="auto" w:before="0"/>
        <w:ind w:left="5817" w:right="0" w:hanging="2736"/>
        <w:jc w:val="left"/>
        <w:rPr>
          <w:sz w:val="16"/>
        </w:rPr>
      </w:pPr>
      <w:r>
        <w:rPr/>
        <w:pict>
          <v:group style="position:absolute;margin-left:41.883999pt;margin-top:-76.928711pt;width:385.55pt;height:296.4pt;mso-position-horizontal-relative:page;mso-position-vertical-relative:paragraph;z-index:19840" coordorigin="838,-1539" coordsize="7711,5928">
            <v:shape style="position:absolute;left:838;top:-1539;width:3848;height:2970" type="#_x0000_t75" stroked="false">
              <v:imagedata r:id="rId524" o:title=""/>
            </v:shape>
            <v:shape style="position:absolute;left:4669;top:-1539;width:3879;height:3079" type="#_x0000_t75" stroked="false">
              <v:imagedata r:id="rId525" o:title=""/>
            </v:shape>
            <v:shape style="position:absolute;left:838;top:1418;width:7710;height:2971" type="#_x0000_t75" stroked="false">
              <v:imagedata r:id="rId526" o:title=""/>
            </v:shape>
            <w10:wrap type="none"/>
          </v:group>
        </w:pict>
      </w:r>
      <w:r>
        <w:rPr>
          <w:color w:val="6D6E71"/>
          <w:sz w:val="16"/>
        </w:rPr>
        <w:t>Tabla 14. Resultados de la vulnerabilidad física estructural de las zonas habitacionales en colindancia a los bancos de materiales pétreos.</w:t>
      </w:r>
    </w:p>
    <w:p>
      <w:pPr>
        <w:spacing w:after="0" w:line="312" w:lineRule="auto"/>
        <w:jc w:val="left"/>
        <w:rPr>
          <w:sz w:val="16"/>
        </w:rPr>
        <w:sectPr>
          <w:type w:val="continuous"/>
          <w:pgSz w:w="18830" w:h="12760" w:orient="landscape"/>
          <w:pgMar w:top="1420" w:bottom="280" w:left="720" w:right="720"/>
          <w:cols w:num="2" w:equalWidth="0">
            <w:col w:w="4902" w:space="1595"/>
            <w:col w:w="10893"/>
          </w:cols>
        </w:sectPr>
      </w:pPr>
    </w:p>
    <w:p>
      <w:pPr>
        <w:pStyle w:val="BodyText"/>
        <w:spacing w:before="3"/>
        <w:rPr>
          <w:sz w:val="4"/>
        </w:rPr>
      </w:pPr>
    </w:p>
    <w:tbl>
      <w:tblPr>
        <w:tblW w:w="0" w:type="auto"/>
        <w:jc w:val="left"/>
        <w:tblInd w:w="9541"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2001"/>
        <w:gridCol w:w="1685"/>
        <w:gridCol w:w="1418"/>
        <w:gridCol w:w="992"/>
        <w:gridCol w:w="1559"/>
      </w:tblGrid>
      <w:tr>
        <w:trPr>
          <w:trHeight w:val="706" w:hRule="exact"/>
        </w:trPr>
        <w:tc>
          <w:tcPr>
            <w:tcW w:w="2001" w:type="dxa"/>
            <w:tcBorders>
              <w:top w:val="nil"/>
              <w:left w:val="nil"/>
              <w:bottom w:val="dotted" w:sz="4" w:space="0" w:color="FFFFFF"/>
            </w:tcBorders>
            <w:shd w:val="clear" w:color="auto" w:fill="929292"/>
          </w:tcPr>
          <w:p>
            <w:pPr>
              <w:pStyle w:val="TableParagraph"/>
              <w:spacing w:before="6"/>
              <w:rPr>
                <w:sz w:val="22"/>
              </w:rPr>
            </w:pPr>
          </w:p>
          <w:p>
            <w:pPr>
              <w:pStyle w:val="TableParagraph"/>
              <w:ind w:left="240"/>
              <w:rPr>
                <w:sz w:val="16"/>
              </w:rPr>
            </w:pPr>
            <w:r>
              <w:rPr>
                <w:sz w:val="16"/>
              </w:rPr>
              <w:t>Zonas habitacionales</w:t>
            </w:r>
          </w:p>
        </w:tc>
        <w:tc>
          <w:tcPr>
            <w:tcW w:w="1685" w:type="dxa"/>
            <w:tcBorders>
              <w:top w:val="nil"/>
              <w:bottom w:val="dotted" w:sz="4" w:space="0" w:color="FFFFFF"/>
            </w:tcBorders>
            <w:shd w:val="clear" w:color="auto" w:fill="929292"/>
          </w:tcPr>
          <w:p>
            <w:pPr>
              <w:pStyle w:val="TableParagraph"/>
              <w:spacing w:before="6"/>
              <w:rPr>
                <w:sz w:val="22"/>
              </w:rPr>
            </w:pPr>
          </w:p>
          <w:p>
            <w:pPr>
              <w:pStyle w:val="TableParagraph"/>
              <w:ind w:left="247"/>
              <w:rPr>
                <w:sz w:val="16"/>
              </w:rPr>
            </w:pPr>
            <w:r>
              <w:rPr>
                <w:w w:val="105"/>
                <w:sz w:val="16"/>
              </w:rPr>
              <w:t>Privadas / casas</w:t>
            </w:r>
          </w:p>
        </w:tc>
        <w:tc>
          <w:tcPr>
            <w:tcW w:w="1418" w:type="dxa"/>
            <w:tcBorders>
              <w:top w:val="nil"/>
              <w:bottom w:val="dotted" w:sz="4" w:space="0" w:color="FFFFFF"/>
            </w:tcBorders>
            <w:shd w:val="clear" w:color="auto" w:fill="929292"/>
          </w:tcPr>
          <w:p>
            <w:pPr>
              <w:pStyle w:val="TableParagraph"/>
              <w:spacing w:before="6"/>
              <w:rPr>
                <w:sz w:val="22"/>
              </w:rPr>
            </w:pPr>
          </w:p>
          <w:p>
            <w:pPr>
              <w:pStyle w:val="TableParagraph"/>
              <w:spacing w:line="312" w:lineRule="auto"/>
              <w:ind w:left="206" w:right="194" w:firstLine="208"/>
              <w:rPr>
                <w:sz w:val="16"/>
              </w:rPr>
            </w:pPr>
            <w:r>
              <w:rPr>
                <w:sz w:val="16"/>
              </w:rPr>
              <w:t>Nivel de vulnerabilidad</w:t>
            </w:r>
          </w:p>
        </w:tc>
        <w:tc>
          <w:tcPr>
            <w:tcW w:w="992" w:type="dxa"/>
            <w:tcBorders>
              <w:top w:val="nil"/>
              <w:bottom w:val="dotted" w:sz="4" w:space="0" w:color="FFFFFF"/>
            </w:tcBorders>
            <w:shd w:val="clear" w:color="auto" w:fill="929292"/>
          </w:tcPr>
          <w:p>
            <w:pPr>
              <w:pStyle w:val="TableParagraph"/>
              <w:spacing w:before="6"/>
              <w:rPr>
                <w:sz w:val="22"/>
              </w:rPr>
            </w:pPr>
          </w:p>
          <w:p>
            <w:pPr>
              <w:pStyle w:val="TableParagraph"/>
              <w:jc w:val="center"/>
              <w:rPr>
                <w:sz w:val="16"/>
              </w:rPr>
            </w:pPr>
            <w:r>
              <w:rPr>
                <w:sz w:val="16"/>
              </w:rPr>
              <w:t>Puntaje</w:t>
            </w:r>
          </w:p>
        </w:tc>
        <w:tc>
          <w:tcPr>
            <w:tcW w:w="1559" w:type="dxa"/>
            <w:tcBorders>
              <w:top w:val="nil"/>
              <w:bottom w:val="dotted" w:sz="4" w:space="0" w:color="FFFFFF"/>
              <w:right w:val="nil"/>
            </w:tcBorders>
            <w:shd w:val="clear" w:color="auto" w:fill="929292"/>
          </w:tcPr>
          <w:p>
            <w:pPr>
              <w:pStyle w:val="TableParagraph"/>
              <w:spacing w:before="6"/>
              <w:rPr>
                <w:sz w:val="22"/>
              </w:rPr>
            </w:pPr>
          </w:p>
          <w:p>
            <w:pPr>
              <w:pStyle w:val="TableParagraph"/>
              <w:spacing w:line="312" w:lineRule="auto"/>
              <w:ind w:left="638" w:right="97" w:hanging="536"/>
              <w:rPr>
                <w:sz w:val="16"/>
              </w:rPr>
            </w:pPr>
            <w:r>
              <w:rPr>
                <w:sz w:val="16"/>
              </w:rPr>
              <w:t>Área de afectación (m</w:t>
            </w:r>
            <w:r>
              <w:rPr>
                <w:position w:val="5"/>
                <w:sz w:val="9"/>
              </w:rPr>
              <w:t>2</w:t>
            </w:r>
            <w:r>
              <w:rPr>
                <w:sz w:val="16"/>
              </w:rPr>
              <w:t>)</w:t>
            </w:r>
          </w:p>
        </w:tc>
      </w:tr>
      <w:tr>
        <w:trPr>
          <w:trHeight w:val="452" w:hRule="exact"/>
        </w:trPr>
        <w:tc>
          <w:tcPr>
            <w:tcW w:w="2001" w:type="dxa"/>
            <w:tcBorders>
              <w:top w:val="dotted" w:sz="4" w:space="0" w:color="FFFFFF"/>
              <w:left w:val="nil"/>
              <w:right w:val="single" w:sz="4" w:space="0" w:color="929292"/>
            </w:tcBorders>
          </w:tcPr>
          <w:p>
            <w:pPr>
              <w:pStyle w:val="TableParagraph"/>
              <w:spacing w:before="28"/>
              <w:ind w:left="5"/>
              <w:jc w:val="center"/>
              <w:rPr>
                <w:sz w:val="16"/>
              </w:rPr>
            </w:pPr>
            <w:r>
              <w:rPr>
                <w:sz w:val="16"/>
              </w:rPr>
              <w:t>Fraccionamiento Villas</w:t>
            </w:r>
          </w:p>
          <w:p>
            <w:pPr>
              <w:pStyle w:val="TableParagraph"/>
              <w:tabs>
                <w:tab w:pos="597" w:val="left" w:leader="none"/>
                <w:tab w:pos="1976" w:val="left" w:leader="none"/>
              </w:tabs>
              <w:spacing w:before="56"/>
              <w:ind w:left="24"/>
              <w:jc w:val="center"/>
              <w:rPr>
                <w:sz w:val="16"/>
              </w:rPr>
            </w:pPr>
            <w:r>
              <w:rPr>
                <w:w w:val="100"/>
                <w:sz w:val="16"/>
                <w:u w:val="dotted" w:color="929292"/>
              </w:rPr>
              <w:t> </w:t>
            </w:r>
            <w:r>
              <w:rPr>
                <w:sz w:val="16"/>
                <w:u w:val="dotted" w:color="929292"/>
              </w:rPr>
              <w:tab/>
              <w:t>del</w:t>
            </w:r>
            <w:r>
              <w:rPr>
                <w:spacing w:val="11"/>
                <w:sz w:val="16"/>
                <w:u w:val="dotted" w:color="929292"/>
              </w:rPr>
              <w:t> </w:t>
            </w:r>
            <w:r>
              <w:rPr>
                <w:sz w:val="16"/>
                <w:u w:val="dotted" w:color="929292"/>
              </w:rPr>
              <w:t>Campo</w:t>
              <w:tab/>
            </w:r>
          </w:p>
        </w:tc>
        <w:tc>
          <w:tcPr>
            <w:tcW w:w="1685" w:type="dxa"/>
            <w:tcBorders>
              <w:top w:val="dotted" w:sz="4" w:space="0" w:color="FFFFFF"/>
              <w:left w:val="single" w:sz="4" w:space="0" w:color="929292"/>
              <w:right w:val="single" w:sz="4" w:space="0" w:color="929292"/>
            </w:tcBorders>
          </w:tcPr>
          <w:p>
            <w:pPr>
              <w:pStyle w:val="TableParagraph"/>
              <w:spacing w:before="28"/>
              <w:jc w:val="center"/>
              <w:rPr>
                <w:sz w:val="16"/>
              </w:rPr>
            </w:pPr>
            <w:r>
              <w:rPr>
                <w:sz w:val="16"/>
              </w:rPr>
              <w:t>8 privadas con 151</w:t>
            </w:r>
          </w:p>
          <w:p>
            <w:pPr>
              <w:pStyle w:val="TableParagraph"/>
              <w:tabs>
                <w:tab w:pos="618" w:val="left" w:leader="none"/>
                <w:tab w:pos="1654" w:val="left" w:leader="none"/>
              </w:tabs>
              <w:spacing w:before="56"/>
              <w:ind w:left="15"/>
              <w:jc w:val="center"/>
              <w:rPr>
                <w:sz w:val="16"/>
              </w:rPr>
            </w:pPr>
            <w:r>
              <w:rPr>
                <w:w w:val="100"/>
                <w:sz w:val="16"/>
                <w:u w:val="dotted" w:color="929292"/>
              </w:rPr>
              <w:t> </w:t>
            </w:r>
            <w:r>
              <w:rPr>
                <w:sz w:val="16"/>
                <w:u w:val="dotted" w:color="929292"/>
              </w:rPr>
              <w:tab/>
              <w:t>casas</w:t>
              <w:tab/>
            </w:r>
          </w:p>
        </w:tc>
        <w:tc>
          <w:tcPr>
            <w:tcW w:w="1418" w:type="dxa"/>
            <w:vMerge w:val="restart"/>
            <w:tcBorders>
              <w:top w:val="dotted" w:sz="4" w:space="0" w:color="FFFFFF"/>
              <w:left w:val="single" w:sz="4" w:space="0" w:color="929292"/>
              <w:right w:val="single" w:sz="4" w:space="0" w:color="929292"/>
            </w:tcBorders>
          </w:tcPr>
          <w:p>
            <w:pPr>
              <w:pStyle w:val="TableParagraph"/>
              <w:spacing w:before="3"/>
              <w:rPr>
                <w:sz w:val="23"/>
              </w:rPr>
            </w:pPr>
          </w:p>
          <w:p>
            <w:pPr>
              <w:pStyle w:val="TableParagraph"/>
              <w:jc w:val="center"/>
              <w:rPr>
                <w:sz w:val="16"/>
              </w:rPr>
            </w:pPr>
            <w:r>
              <w:rPr>
                <w:sz w:val="16"/>
              </w:rPr>
              <w:t>Alto</w:t>
            </w:r>
          </w:p>
          <w:p>
            <w:pPr>
              <w:pStyle w:val="TableParagraph"/>
              <w:rPr>
                <w:sz w:val="16"/>
              </w:rPr>
            </w:pPr>
          </w:p>
          <w:p>
            <w:pPr>
              <w:pStyle w:val="TableParagraph"/>
              <w:tabs>
                <w:tab w:pos="1387" w:val="left" w:leader="none"/>
              </w:tabs>
              <w:spacing w:before="112"/>
              <w:ind w:left="15"/>
              <w:jc w:val="center"/>
              <w:rPr>
                <w:sz w:val="16"/>
              </w:rPr>
            </w:pPr>
            <w:r>
              <w:rPr>
                <w:w w:val="100"/>
                <w:sz w:val="16"/>
                <w:u w:val="dotted" w:color="929292"/>
              </w:rPr>
              <w:t> </w:t>
            </w:r>
            <w:r>
              <w:rPr>
                <w:sz w:val="16"/>
                <w:u w:val="dotted" w:color="929292"/>
              </w:rPr>
              <w:tab/>
            </w:r>
          </w:p>
        </w:tc>
        <w:tc>
          <w:tcPr>
            <w:tcW w:w="992" w:type="dxa"/>
            <w:tcBorders>
              <w:top w:val="dotted" w:sz="4" w:space="0" w:color="FFFFFF"/>
              <w:left w:val="single" w:sz="4" w:space="0" w:color="929292"/>
              <w:right w:val="single" w:sz="4" w:space="0" w:color="929292"/>
            </w:tcBorders>
          </w:tcPr>
          <w:p>
            <w:pPr>
              <w:pStyle w:val="TableParagraph"/>
              <w:spacing w:before="28"/>
              <w:jc w:val="center"/>
              <w:rPr>
                <w:sz w:val="16"/>
              </w:rPr>
            </w:pPr>
            <w:r>
              <w:rPr>
                <w:sz w:val="16"/>
              </w:rPr>
              <w:t>66.8</w:t>
            </w:r>
          </w:p>
          <w:p>
            <w:pPr>
              <w:pStyle w:val="TableParagraph"/>
              <w:tabs>
                <w:tab w:pos="961" w:val="left" w:leader="none"/>
              </w:tabs>
              <w:spacing w:before="56"/>
              <w:ind w:left="15"/>
              <w:jc w:val="center"/>
              <w:rPr>
                <w:sz w:val="16"/>
              </w:rPr>
            </w:pPr>
            <w:r>
              <w:rPr>
                <w:w w:val="100"/>
                <w:sz w:val="16"/>
                <w:u w:val="dotted" w:color="929292"/>
              </w:rPr>
              <w:t> </w:t>
            </w:r>
            <w:r>
              <w:rPr>
                <w:sz w:val="16"/>
                <w:u w:val="dotted" w:color="929292"/>
              </w:rPr>
              <w:tab/>
            </w:r>
          </w:p>
        </w:tc>
        <w:tc>
          <w:tcPr>
            <w:tcW w:w="1559" w:type="dxa"/>
            <w:tcBorders>
              <w:top w:val="dotted" w:sz="4" w:space="0" w:color="FFFFFF"/>
              <w:left w:val="single" w:sz="4" w:space="0" w:color="929292"/>
              <w:right w:val="nil"/>
            </w:tcBorders>
          </w:tcPr>
          <w:p>
            <w:pPr>
              <w:pStyle w:val="TableParagraph"/>
              <w:spacing w:before="28"/>
              <w:ind w:left="4" w:right="7"/>
              <w:jc w:val="center"/>
              <w:rPr>
                <w:sz w:val="16"/>
              </w:rPr>
            </w:pPr>
            <w:r>
              <w:rPr>
                <w:sz w:val="16"/>
              </w:rPr>
              <w:t>18,427</w:t>
            </w:r>
          </w:p>
          <w:p>
            <w:pPr>
              <w:pStyle w:val="TableParagraph"/>
              <w:tabs>
                <w:tab w:pos="1514" w:val="left" w:leader="none"/>
              </w:tabs>
              <w:spacing w:before="56"/>
              <w:ind w:left="4"/>
              <w:jc w:val="center"/>
              <w:rPr>
                <w:sz w:val="16"/>
              </w:rPr>
            </w:pPr>
            <w:r>
              <w:rPr>
                <w:w w:val="100"/>
                <w:sz w:val="16"/>
                <w:u w:val="dotted" w:color="929292"/>
              </w:rPr>
              <w:t> </w:t>
            </w:r>
            <w:r>
              <w:rPr>
                <w:sz w:val="16"/>
                <w:u w:val="dotted" w:color="929292"/>
              </w:rPr>
              <w:tab/>
            </w:r>
          </w:p>
        </w:tc>
      </w:tr>
      <w:tr>
        <w:trPr>
          <w:trHeight w:val="480" w:hRule="exact"/>
        </w:trPr>
        <w:tc>
          <w:tcPr>
            <w:tcW w:w="2001" w:type="dxa"/>
            <w:tcBorders>
              <w:left w:val="nil"/>
              <w:right w:val="single" w:sz="4" w:space="0" w:color="929292"/>
            </w:tcBorders>
          </w:tcPr>
          <w:p>
            <w:pPr>
              <w:pStyle w:val="TableParagraph"/>
              <w:spacing w:before="56"/>
              <w:ind w:left="4"/>
              <w:jc w:val="center"/>
              <w:rPr>
                <w:sz w:val="16"/>
              </w:rPr>
            </w:pPr>
            <w:r>
              <w:rPr>
                <w:sz w:val="16"/>
              </w:rPr>
              <w:t>Zona urbana cercanía</w:t>
            </w:r>
          </w:p>
          <w:p>
            <w:pPr>
              <w:pStyle w:val="TableParagraph"/>
              <w:tabs>
                <w:tab w:pos="348" w:val="left" w:leader="none"/>
                <w:tab w:pos="1976" w:val="left" w:leader="none"/>
              </w:tabs>
              <w:spacing w:before="56"/>
              <w:ind w:left="24"/>
              <w:jc w:val="center"/>
              <w:rPr>
                <w:sz w:val="16"/>
              </w:rPr>
            </w:pPr>
            <w:r>
              <w:rPr>
                <w:w w:val="100"/>
                <w:sz w:val="16"/>
                <w:u w:val="dotted" w:color="929292"/>
              </w:rPr>
              <w:t> </w:t>
            </w:r>
            <w:r>
              <w:rPr>
                <w:sz w:val="16"/>
                <w:u w:val="dotted" w:color="929292"/>
              </w:rPr>
              <w:tab/>
              <w:t>mina</w:t>
            </w:r>
            <w:r>
              <w:rPr>
                <w:spacing w:val="-7"/>
                <w:sz w:val="16"/>
                <w:u w:val="dotted" w:color="929292"/>
              </w:rPr>
              <w:t> </w:t>
            </w:r>
            <w:r>
              <w:rPr>
                <w:sz w:val="16"/>
                <w:u w:val="dotted" w:color="929292"/>
              </w:rPr>
              <w:t>Guadarrama</w:t>
              <w:tab/>
            </w:r>
          </w:p>
        </w:tc>
        <w:tc>
          <w:tcPr>
            <w:tcW w:w="1685" w:type="dxa"/>
            <w:tcBorders>
              <w:left w:val="single" w:sz="4" w:space="0" w:color="929292"/>
              <w:right w:val="single" w:sz="4" w:space="0" w:color="929292"/>
            </w:tcBorders>
          </w:tcPr>
          <w:p>
            <w:pPr>
              <w:pStyle w:val="TableParagraph"/>
              <w:spacing w:before="56"/>
              <w:jc w:val="center"/>
              <w:rPr>
                <w:sz w:val="16"/>
              </w:rPr>
            </w:pPr>
            <w:r>
              <w:rPr>
                <w:sz w:val="16"/>
              </w:rPr>
              <w:t>14 casas</w:t>
            </w:r>
          </w:p>
          <w:p>
            <w:pPr>
              <w:pStyle w:val="TableParagraph"/>
              <w:tabs>
                <w:tab w:pos="1654" w:val="left" w:leader="none"/>
              </w:tabs>
              <w:spacing w:before="56"/>
              <w:ind w:left="15"/>
              <w:jc w:val="center"/>
              <w:rPr>
                <w:sz w:val="16"/>
              </w:rPr>
            </w:pPr>
            <w:r>
              <w:rPr>
                <w:w w:val="100"/>
                <w:sz w:val="16"/>
                <w:u w:val="dotted" w:color="929292"/>
              </w:rPr>
              <w:t> </w:t>
            </w:r>
            <w:r>
              <w:rPr>
                <w:sz w:val="16"/>
                <w:u w:val="dotted" w:color="929292"/>
              </w:rPr>
              <w:tab/>
            </w:r>
          </w:p>
        </w:tc>
        <w:tc>
          <w:tcPr>
            <w:tcW w:w="1418" w:type="dxa"/>
            <w:vMerge/>
            <w:tcBorders>
              <w:left w:val="single" w:sz="4" w:space="0" w:color="929292"/>
              <w:right w:val="single" w:sz="4" w:space="0" w:color="929292"/>
            </w:tcBorders>
          </w:tcPr>
          <w:p>
            <w:pPr/>
          </w:p>
        </w:tc>
        <w:tc>
          <w:tcPr>
            <w:tcW w:w="992" w:type="dxa"/>
            <w:tcBorders>
              <w:left w:val="single" w:sz="4" w:space="0" w:color="929292"/>
              <w:right w:val="single" w:sz="4" w:space="0" w:color="929292"/>
            </w:tcBorders>
          </w:tcPr>
          <w:p>
            <w:pPr>
              <w:pStyle w:val="TableParagraph"/>
              <w:spacing w:before="56"/>
              <w:jc w:val="center"/>
              <w:rPr>
                <w:sz w:val="16"/>
              </w:rPr>
            </w:pPr>
            <w:r>
              <w:rPr>
                <w:sz w:val="16"/>
              </w:rPr>
              <w:t>70.8</w:t>
            </w:r>
          </w:p>
          <w:p>
            <w:pPr>
              <w:pStyle w:val="TableParagraph"/>
              <w:tabs>
                <w:tab w:pos="961" w:val="left" w:leader="none"/>
              </w:tabs>
              <w:spacing w:before="56"/>
              <w:ind w:left="15"/>
              <w:jc w:val="center"/>
              <w:rPr>
                <w:sz w:val="16"/>
              </w:rPr>
            </w:pPr>
            <w:r>
              <w:rPr>
                <w:w w:val="100"/>
                <w:sz w:val="16"/>
                <w:u w:val="dotted" w:color="929292"/>
              </w:rPr>
              <w:t> </w:t>
            </w:r>
            <w:r>
              <w:rPr>
                <w:sz w:val="16"/>
                <w:u w:val="dotted" w:color="929292"/>
              </w:rPr>
              <w:tab/>
            </w:r>
          </w:p>
        </w:tc>
        <w:tc>
          <w:tcPr>
            <w:tcW w:w="1559" w:type="dxa"/>
            <w:tcBorders>
              <w:left w:val="single" w:sz="4" w:space="0" w:color="929292"/>
              <w:right w:val="nil"/>
            </w:tcBorders>
          </w:tcPr>
          <w:p>
            <w:pPr>
              <w:pStyle w:val="TableParagraph"/>
              <w:spacing w:before="56"/>
              <w:ind w:left="4" w:right="7"/>
              <w:jc w:val="center"/>
              <w:rPr>
                <w:sz w:val="16"/>
              </w:rPr>
            </w:pPr>
            <w:r>
              <w:rPr>
                <w:sz w:val="16"/>
              </w:rPr>
              <w:t>5,358</w:t>
            </w:r>
          </w:p>
          <w:p>
            <w:pPr>
              <w:pStyle w:val="TableParagraph"/>
              <w:tabs>
                <w:tab w:pos="1514" w:val="left" w:leader="none"/>
              </w:tabs>
              <w:spacing w:before="56"/>
              <w:ind w:left="4"/>
              <w:jc w:val="center"/>
              <w:rPr>
                <w:sz w:val="16"/>
              </w:rPr>
            </w:pPr>
            <w:r>
              <w:rPr>
                <w:w w:val="100"/>
                <w:sz w:val="16"/>
                <w:u w:val="dotted" w:color="929292"/>
              </w:rPr>
              <w:t> </w:t>
            </w:r>
            <w:r>
              <w:rPr>
                <w:sz w:val="16"/>
                <w:u w:val="dotted" w:color="929292"/>
              </w:rPr>
              <w:tab/>
            </w:r>
          </w:p>
        </w:tc>
      </w:tr>
      <w:tr>
        <w:trPr>
          <w:trHeight w:val="480" w:hRule="exact"/>
        </w:trPr>
        <w:tc>
          <w:tcPr>
            <w:tcW w:w="2001" w:type="dxa"/>
            <w:tcBorders>
              <w:left w:val="nil"/>
              <w:right w:val="single" w:sz="4" w:space="0" w:color="929292"/>
            </w:tcBorders>
          </w:tcPr>
          <w:p>
            <w:pPr>
              <w:pStyle w:val="TableParagraph"/>
              <w:spacing w:before="56"/>
              <w:ind w:left="4"/>
              <w:jc w:val="center"/>
              <w:rPr>
                <w:sz w:val="16"/>
              </w:rPr>
            </w:pPr>
            <w:r>
              <w:rPr>
                <w:sz w:val="16"/>
              </w:rPr>
              <w:t>Zona urbana cercanía</w:t>
            </w:r>
          </w:p>
          <w:p>
            <w:pPr>
              <w:pStyle w:val="TableParagraph"/>
              <w:tabs>
                <w:tab w:pos="397" w:val="left" w:leader="none"/>
                <w:tab w:pos="1976" w:val="left" w:leader="none"/>
              </w:tabs>
              <w:spacing w:before="56"/>
              <w:ind w:left="24"/>
              <w:jc w:val="center"/>
              <w:rPr>
                <w:sz w:val="16"/>
              </w:rPr>
            </w:pPr>
            <w:r>
              <w:rPr>
                <w:w w:val="100"/>
                <w:sz w:val="16"/>
                <w:u w:val="dotted" w:color="929292"/>
              </w:rPr>
              <w:t> </w:t>
            </w:r>
            <w:r>
              <w:rPr>
                <w:sz w:val="16"/>
                <w:u w:val="dotted" w:color="929292"/>
              </w:rPr>
              <w:tab/>
              <w:t>mina</w:t>
            </w:r>
            <w:r>
              <w:rPr>
                <w:spacing w:val="2"/>
                <w:sz w:val="16"/>
                <w:u w:val="dotted" w:color="929292"/>
              </w:rPr>
              <w:t> </w:t>
            </w:r>
            <w:r>
              <w:rPr>
                <w:sz w:val="16"/>
                <w:u w:val="dotted" w:color="929292"/>
              </w:rPr>
              <w:t>Magdalena</w:t>
              <w:tab/>
            </w:r>
          </w:p>
        </w:tc>
        <w:tc>
          <w:tcPr>
            <w:tcW w:w="1685" w:type="dxa"/>
            <w:tcBorders>
              <w:left w:val="single" w:sz="4" w:space="0" w:color="929292"/>
              <w:right w:val="single" w:sz="4" w:space="0" w:color="929292"/>
            </w:tcBorders>
          </w:tcPr>
          <w:p>
            <w:pPr>
              <w:pStyle w:val="TableParagraph"/>
              <w:spacing w:before="56"/>
              <w:jc w:val="center"/>
              <w:rPr>
                <w:sz w:val="16"/>
              </w:rPr>
            </w:pPr>
            <w:r>
              <w:rPr>
                <w:sz w:val="16"/>
              </w:rPr>
              <w:t>11 casas</w:t>
            </w:r>
          </w:p>
          <w:p>
            <w:pPr>
              <w:pStyle w:val="TableParagraph"/>
              <w:tabs>
                <w:tab w:pos="1654" w:val="left" w:leader="none"/>
              </w:tabs>
              <w:spacing w:before="56"/>
              <w:ind w:left="15"/>
              <w:jc w:val="center"/>
              <w:rPr>
                <w:sz w:val="16"/>
              </w:rPr>
            </w:pPr>
            <w:r>
              <w:rPr>
                <w:w w:val="100"/>
                <w:sz w:val="16"/>
                <w:u w:val="dotted" w:color="929292"/>
              </w:rPr>
              <w:t> </w:t>
            </w:r>
            <w:r>
              <w:rPr>
                <w:sz w:val="16"/>
                <w:u w:val="dotted" w:color="929292"/>
              </w:rPr>
              <w:tab/>
            </w:r>
          </w:p>
        </w:tc>
        <w:tc>
          <w:tcPr>
            <w:tcW w:w="1418" w:type="dxa"/>
            <w:tcBorders>
              <w:left w:val="single" w:sz="4" w:space="0" w:color="929292"/>
              <w:right w:val="single" w:sz="4" w:space="0" w:color="929292"/>
            </w:tcBorders>
          </w:tcPr>
          <w:p>
            <w:pPr>
              <w:pStyle w:val="TableParagraph"/>
              <w:rPr>
                <w:sz w:val="16"/>
              </w:rPr>
            </w:pPr>
          </w:p>
          <w:p>
            <w:pPr>
              <w:pStyle w:val="TableParagraph"/>
              <w:tabs>
                <w:tab w:pos="1387" w:val="left" w:leader="none"/>
              </w:tabs>
              <w:spacing w:before="112"/>
              <w:ind w:left="15"/>
              <w:jc w:val="center"/>
              <w:rPr>
                <w:sz w:val="16"/>
              </w:rPr>
            </w:pPr>
            <w:r>
              <w:rPr>
                <w:w w:val="100"/>
                <w:sz w:val="16"/>
                <w:u w:val="dotted" w:color="929292"/>
              </w:rPr>
              <w:t> </w:t>
            </w:r>
            <w:r>
              <w:rPr>
                <w:sz w:val="16"/>
                <w:u w:val="dotted" w:color="929292"/>
              </w:rPr>
              <w:tab/>
            </w:r>
          </w:p>
        </w:tc>
        <w:tc>
          <w:tcPr>
            <w:tcW w:w="992" w:type="dxa"/>
            <w:tcBorders>
              <w:left w:val="single" w:sz="4" w:space="0" w:color="929292"/>
              <w:right w:val="single" w:sz="4" w:space="0" w:color="929292"/>
            </w:tcBorders>
          </w:tcPr>
          <w:p>
            <w:pPr>
              <w:pStyle w:val="TableParagraph"/>
              <w:spacing w:before="56"/>
              <w:jc w:val="center"/>
              <w:rPr>
                <w:sz w:val="16"/>
              </w:rPr>
            </w:pPr>
            <w:r>
              <w:rPr>
                <w:sz w:val="16"/>
              </w:rPr>
              <w:t>70</w:t>
            </w:r>
          </w:p>
          <w:p>
            <w:pPr>
              <w:pStyle w:val="TableParagraph"/>
              <w:tabs>
                <w:tab w:pos="961" w:val="left" w:leader="none"/>
              </w:tabs>
              <w:spacing w:before="56"/>
              <w:ind w:left="15"/>
              <w:jc w:val="center"/>
              <w:rPr>
                <w:sz w:val="16"/>
              </w:rPr>
            </w:pPr>
            <w:r>
              <w:rPr>
                <w:w w:val="100"/>
                <w:sz w:val="16"/>
                <w:u w:val="dotted" w:color="929292"/>
              </w:rPr>
              <w:t> </w:t>
            </w:r>
            <w:r>
              <w:rPr>
                <w:sz w:val="16"/>
                <w:u w:val="dotted" w:color="929292"/>
              </w:rPr>
              <w:tab/>
            </w:r>
          </w:p>
        </w:tc>
        <w:tc>
          <w:tcPr>
            <w:tcW w:w="1559" w:type="dxa"/>
            <w:tcBorders>
              <w:left w:val="single" w:sz="4" w:space="0" w:color="929292"/>
              <w:right w:val="nil"/>
            </w:tcBorders>
          </w:tcPr>
          <w:p>
            <w:pPr>
              <w:pStyle w:val="TableParagraph"/>
              <w:spacing w:before="56"/>
              <w:ind w:left="4" w:right="7"/>
              <w:jc w:val="center"/>
              <w:rPr>
                <w:sz w:val="16"/>
              </w:rPr>
            </w:pPr>
            <w:r>
              <w:rPr>
                <w:sz w:val="16"/>
              </w:rPr>
              <w:t>4,203</w:t>
            </w:r>
          </w:p>
          <w:p>
            <w:pPr>
              <w:pStyle w:val="TableParagraph"/>
              <w:tabs>
                <w:tab w:pos="1514" w:val="left" w:leader="none"/>
              </w:tabs>
              <w:spacing w:before="56"/>
              <w:ind w:left="4"/>
              <w:jc w:val="center"/>
              <w:rPr>
                <w:sz w:val="16"/>
              </w:rPr>
            </w:pPr>
            <w:r>
              <w:rPr>
                <w:w w:val="100"/>
                <w:sz w:val="16"/>
                <w:u w:val="dotted" w:color="929292"/>
              </w:rPr>
              <w:t> </w:t>
            </w:r>
            <w:r>
              <w:rPr>
                <w:sz w:val="16"/>
                <w:u w:val="dotted" w:color="929292"/>
              </w:rPr>
              <w:tab/>
            </w:r>
          </w:p>
        </w:tc>
      </w:tr>
      <w:tr>
        <w:trPr>
          <w:trHeight w:val="272" w:hRule="exact"/>
        </w:trPr>
        <w:tc>
          <w:tcPr>
            <w:tcW w:w="3686" w:type="dxa"/>
            <w:gridSpan w:val="2"/>
            <w:tcBorders>
              <w:left w:val="nil"/>
              <w:bottom w:val="nil"/>
              <w:right w:val="single" w:sz="4" w:space="0" w:color="929292"/>
            </w:tcBorders>
          </w:tcPr>
          <w:p>
            <w:pPr/>
          </w:p>
        </w:tc>
        <w:tc>
          <w:tcPr>
            <w:tcW w:w="1418" w:type="dxa"/>
            <w:tcBorders>
              <w:left w:val="single" w:sz="4" w:space="0" w:color="929292"/>
              <w:bottom w:val="dotted" w:sz="4" w:space="0" w:color="929292"/>
              <w:right w:val="single" w:sz="4" w:space="0" w:color="929292"/>
            </w:tcBorders>
          </w:tcPr>
          <w:p>
            <w:pPr>
              <w:pStyle w:val="TableParagraph"/>
              <w:spacing w:before="56"/>
              <w:jc w:val="center"/>
              <w:rPr>
                <w:sz w:val="16"/>
              </w:rPr>
            </w:pPr>
            <w:r>
              <w:rPr>
                <w:sz w:val="16"/>
              </w:rPr>
              <w:t>Promedio</w:t>
            </w:r>
          </w:p>
        </w:tc>
        <w:tc>
          <w:tcPr>
            <w:tcW w:w="992" w:type="dxa"/>
            <w:tcBorders>
              <w:left w:val="single" w:sz="4" w:space="0" w:color="929292"/>
              <w:bottom w:val="dotted" w:sz="4" w:space="0" w:color="929292"/>
              <w:right w:val="single" w:sz="4" w:space="0" w:color="929292"/>
            </w:tcBorders>
          </w:tcPr>
          <w:p>
            <w:pPr>
              <w:pStyle w:val="TableParagraph"/>
              <w:spacing w:before="56"/>
              <w:jc w:val="center"/>
              <w:rPr>
                <w:sz w:val="16"/>
              </w:rPr>
            </w:pPr>
            <w:r>
              <w:rPr>
                <w:sz w:val="16"/>
              </w:rPr>
              <w:t>69.2</w:t>
            </w:r>
          </w:p>
        </w:tc>
        <w:tc>
          <w:tcPr>
            <w:tcW w:w="1559" w:type="dxa"/>
            <w:tcBorders>
              <w:left w:val="single" w:sz="4" w:space="0" w:color="929292"/>
              <w:bottom w:val="dotted" w:sz="4" w:space="0" w:color="929292"/>
              <w:right w:val="nil"/>
            </w:tcBorders>
          </w:tcPr>
          <w:p>
            <w:pPr>
              <w:pStyle w:val="TableParagraph"/>
              <w:spacing w:before="56"/>
              <w:ind w:left="4" w:right="7"/>
              <w:jc w:val="center"/>
              <w:rPr>
                <w:sz w:val="16"/>
              </w:rPr>
            </w:pPr>
            <w:r>
              <w:rPr>
                <w:sz w:val="16"/>
              </w:rPr>
              <w:t>27,988</w:t>
            </w:r>
          </w:p>
        </w:tc>
      </w:tr>
    </w:tbl>
    <w:p>
      <w:pPr>
        <w:pStyle w:val="BodyText"/>
        <w:spacing w:before="3"/>
        <w:rPr>
          <w:sz w:val="10"/>
        </w:rPr>
      </w:pPr>
    </w:p>
    <w:p>
      <w:pPr>
        <w:spacing w:before="81"/>
        <w:ind w:left="0" w:right="2756" w:firstLine="0"/>
        <w:jc w:val="right"/>
        <w:rPr>
          <w:sz w:val="16"/>
        </w:rPr>
      </w:pPr>
      <w:r>
        <w:rPr>
          <w:color w:val="6D6E71"/>
          <w:sz w:val="16"/>
        </w:rPr>
        <w:t>Fuentes: Elaboración propia, 2015</w:t>
      </w:r>
    </w:p>
    <w:p>
      <w:pPr>
        <w:pStyle w:val="BodyText"/>
        <w:spacing w:before="10"/>
        <w:rPr>
          <w:sz w:val="15"/>
        </w:rPr>
      </w:pPr>
    </w:p>
    <w:p>
      <w:pPr>
        <w:spacing w:after="0"/>
        <w:rPr>
          <w:sz w:val="15"/>
        </w:rPr>
        <w:sectPr>
          <w:type w:val="continuous"/>
          <w:pgSz w:w="18830" w:h="12760" w:orient="landscape"/>
          <w:pgMar w:top="1420" w:bottom="280" w:left="720" w:right="72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2"/>
        <w:rPr>
          <w:sz w:val="18"/>
        </w:rPr>
      </w:pPr>
    </w:p>
    <w:p>
      <w:pPr>
        <w:spacing w:line="312" w:lineRule="auto" w:before="0"/>
        <w:ind w:left="467" w:right="348" w:firstLine="0"/>
        <w:jc w:val="center"/>
        <w:rPr>
          <w:sz w:val="16"/>
        </w:rPr>
      </w:pPr>
      <w:r>
        <w:rPr>
          <w:color w:val="6D6E71"/>
          <w:sz w:val="16"/>
        </w:rPr>
        <w:t>Mina Magdalena, se presencia de escombros y basura. La pared del Jardín de Niños con fisuras y humedad.</w:t>
      </w:r>
    </w:p>
    <w:p>
      <w:pPr>
        <w:pStyle w:val="BodyText"/>
        <w:rPr>
          <w:sz w:val="21"/>
        </w:rPr>
      </w:pPr>
    </w:p>
    <w:p>
      <w:pPr>
        <w:spacing w:before="1"/>
        <w:ind w:left="464" w:right="348" w:firstLine="0"/>
        <w:jc w:val="center"/>
        <w:rPr>
          <w:sz w:val="16"/>
        </w:rPr>
      </w:pPr>
      <w:r>
        <w:rPr>
          <w:color w:val="6D6E71"/>
          <w:sz w:val="16"/>
        </w:rPr>
        <w:t>Fuente: Trabajo de campo, 2015</w:t>
      </w:r>
    </w:p>
    <w:p>
      <w:pPr>
        <w:pStyle w:val="BodyText"/>
        <w:spacing w:before="5"/>
        <w:rPr>
          <w:sz w:val="22"/>
        </w:rPr>
      </w:pPr>
    </w:p>
    <w:p>
      <w:pPr>
        <w:pStyle w:val="BodyText"/>
        <w:spacing w:line="249" w:lineRule="auto"/>
        <w:ind w:left="117" w:firstLine="170"/>
        <w:jc w:val="both"/>
      </w:pPr>
      <w:r>
        <w:rPr/>
        <w:t>Finalmente, de las variables que se tomaron en cuenta para realizar y cuantificar el grado de vulnerabilidad en las tres zonas habitacionales, las que inciden con más del 60% para este análisis son: características del suelo bajo la edificación, topografía    del</w:t>
      </w:r>
      <w:r>
        <w:rPr>
          <w:spacing w:val="25"/>
        </w:rPr>
        <w:t> </w:t>
      </w:r>
      <w:r>
        <w:rPr/>
        <w:t>sitio</w:t>
      </w:r>
      <w:r>
        <w:rPr>
          <w:spacing w:val="25"/>
        </w:rPr>
        <w:t> </w:t>
      </w:r>
      <w:r>
        <w:rPr/>
        <w:t>y</w:t>
      </w:r>
      <w:r>
        <w:rPr>
          <w:spacing w:val="25"/>
        </w:rPr>
        <w:t> </w:t>
      </w:r>
      <w:r>
        <w:rPr/>
        <w:t>la</w:t>
      </w:r>
      <w:r>
        <w:rPr>
          <w:spacing w:val="25"/>
        </w:rPr>
        <w:t> </w:t>
      </w:r>
      <w:r>
        <w:rPr/>
        <w:t>exposición,</w:t>
      </w:r>
      <w:r>
        <w:rPr>
          <w:spacing w:val="25"/>
        </w:rPr>
        <w:t> </w:t>
      </w:r>
      <w:r>
        <w:rPr/>
        <w:t>que</w:t>
      </w:r>
      <w:r>
        <w:rPr>
          <w:spacing w:val="25"/>
        </w:rPr>
        <w:t> </w:t>
      </w:r>
      <w:r>
        <w:rPr/>
        <w:t>se</w:t>
      </w:r>
      <w:r>
        <w:rPr>
          <w:spacing w:val="25"/>
        </w:rPr>
        <w:t> </w:t>
      </w:r>
      <w:r>
        <w:rPr/>
        <w:t>consideran</w:t>
      </w:r>
      <w:r>
        <w:rPr>
          <w:spacing w:val="25"/>
        </w:rPr>
        <w:t> </w:t>
      </w:r>
      <w:r>
        <w:rPr/>
        <w:t>variables</w:t>
      </w:r>
      <w:r>
        <w:rPr>
          <w:spacing w:val="25"/>
        </w:rPr>
        <w:t> </w:t>
      </w:r>
      <w:r>
        <w:rPr/>
        <w:t>con</w:t>
      </w:r>
      <w:r>
        <w:rPr>
          <w:spacing w:val="25"/>
        </w:rPr>
        <w:t> </w:t>
      </w:r>
      <w:r>
        <w:rPr/>
        <w:t>mayor</w:t>
      </w:r>
      <w:r>
        <w:rPr>
          <w:spacing w:val="25"/>
        </w:rPr>
        <w:t> </w:t>
      </w:r>
      <w:r>
        <w:rPr/>
        <w:t>susceptibilidad</w:t>
      </w:r>
      <w:r>
        <w:rPr>
          <w:spacing w:val="25"/>
        </w:rPr>
        <w:t> </w:t>
      </w:r>
      <w:r>
        <w:rPr/>
        <w:t>a</w:t>
      </w:r>
      <w:r>
        <w:rPr>
          <w:spacing w:val="25"/>
        </w:rPr>
        <w:t> </w:t>
      </w:r>
      <w:r>
        <w:rPr/>
        <w:t>la</w:t>
      </w:r>
      <w:r>
        <w:rPr>
          <w:w w:val="97"/>
        </w:rPr>
        <w:t> </w:t>
      </w:r>
      <w:r>
        <w:rPr/>
        <w:t>presencia de</w:t>
      </w:r>
      <w:r>
        <w:rPr>
          <w:spacing w:val="13"/>
        </w:rPr>
        <w:t> </w:t>
      </w:r>
      <w:r>
        <w:rPr/>
        <w:t>deslizamientos.</w:t>
      </w:r>
    </w:p>
    <w:p>
      <w:pPr>
        <w:pStyle w:val="BodyText"/>
        <w:spacing w:line="249" w:lineRule="auto" w:before="76"/>
        <w:ind w:left="117" w:right="127" w:firstLine="170"/>
        <w:jc w:val="both"/>
      </w:pPr>
      <w:r>
        <w:rPr/>
        <w:br w:type="column"/>
      </w:r>
      <w:r>
        <w:rPr/>
        <w:t>La distribución espacial de las zonas habitacionales se ubican en el mapa 6. Dentro del fraccionamiento Villas del Campo, se puede visualizar en las zonas norte, noreste</w:t>
      </w:r>
      <w:r>
        <w:rPr>
          <w:spacing w:val="-35"/>
        </w:rPr>
        <w:t> </w:t>
      </w:r>
      <w:r>
        <w:rPr/>
        <w:t>y noroeste se encuentran las privadas que tienen una vulnerabilidad baja de 24 a 33, en la zona sur se localizan las viviendas con vulnerabilidad media a alta entre los rangos de 33 a 66.8., siendo en esta zona la que tiene la mayor cercanía con la mina Colinoli, la</w:t>
      </w:r>
      <w:r>
        <w:rPr>
          <w:spacing w:val="-7"/>
        </w:rPr>
        <w:t> </w:t>
      </w:r>
      <w:r>
        <w:rPr/>
        <w:t>exposición,</w:t>
      </w:r>
      <w:r>
        <w:rPr>
          <w:spacing w:val="-7"/>
        </w:rPr>
        <w:t> </w:t>
      </w:r>
      <w:r>
        <w:rPr/>
        <w:t>la</w:t>
      </w:r>
      <w:r>
        <w:rPr>
          <w:spacing w:val="-7"/>
        </w:rPr>
        <w:t> </w:t>
      </w:r>
      <w:r>
        <w:rPr/>
        <w:t>topografía</w:t>
      </w:r>
      <w:r>
        <w:rPr>
          <w:spacing w:val="-7"/>
        </w:rPr>
        <w:t> </w:t>
      </w:r>
      <w:r>
        <w:rPr/>
        <w:t>del</w:t>
      </w:r>
      <w:r>
        <w:rPr>
          <w:spacing w:val="-7"/>
        </w:rPr>
        <w:t> </w:t>
      </w:r>
      <w:r>
        <w:rPr/>
        <w:t>terreno</w:t>
      </w:r>
      <w:r>
        <w:rPr>
          <w:spacing w:val="-7"/>
        </w:rPr>
        <w:t> </w:t>
      </w:r>
      <w:r>
        <w:rPr/>
        <w:t>y</w:t>
      </w:r>
      <w:r>
        <w:rPr>
          <w:spacing w:val="-6"/>
        </w:rPr>
        <w:t> </w:t>
      </w:r>
      <w:r>
        <w:rPr/>
        <w:t>las</w:t>
      </w:r>
      <w:r>
        <w:rPr>
          <w:spacing w:val="-7"/>
        </w:rPr>
        <w:t> </w:t>
      </w:r>
      <w:r>
        <w:rPr/>
        <w:t>características</w:t>
      </w:r>
      <w:r>
        <w:rPr>
          <w:spacing w:val="-7"/>
        </w:rPr>
        <w:t> </w:t>
      </w:r>
      <w:r>
        <w:rPr/>
        <w:t>del</w:t>
      </w:r>
      <w:r>
        <w:rPr>
          <w:spacing w:val="-6"/>
        </w:rPr>
        <w:t> </w:t>
      </w:r>
      <w:r>
        <w:rPr/>
        <w:t>suelo</w:t>
      </w:r>
      <w:r>
        <w:rPr>
          <w:spacing w:val="-7"/>
        </w:rPr>
        <w:t> </w:t>
      </w:r>
      <w:r>
        <w:rPr/>
        <w:t>dieron</w:t>
      </w:r>
      <w:r>
        <w:rPr>
          <w:spacing w:val="-7"/>
        </w:rPr>
        <w:t> </w:t>
      </w:r>
      <w:r>
        <w:rPr/>
        <w:t>pauta</w:t>
      </w:r>
      <w:r>
        <w:rPr>
          <w:spacing w:val="-7"/>
        </w:rPr>
        <w:t> </w:t>
      </w:r>
      <w:r>
        <w:rPr/>
        <w:t>a</w:t>
      </w:r>
      <w:r>
        <w:rPr>
          <w:spacing w:val="-6"/>
        </w:rPr>
        <w:t> </w:t>
      </w:r>
      <w:r>
        <w:rPr/>
        <w:t>que esta zona sea altamente</w:t>
      </w:r>
      <w:r>
        <w:rPr>
          <w:spacing w:val="-13"/>
        </w:rPr>
        <w:t> </w:t>
      </w:r>
      <w:r>
        <w:rPr/>
        <w:t>vulnerable.</w:t>
      </w:r>
    </w:p>
    <w:p>
      <w:pPr>
        <w:pStyle w:val="BodyText"/>
        <w:spacing w:before="11"/>
      </w:pPr>
    </w:p>
    <w:p>
      <w:pPr>
        <w:pStyle w:val="BodyText"/>
        <w:spacing w:line="249" w:lineRule="auto"/>
        <w:ind w:left="117" w:right="127" w:firstLine="170"/>
        <w:jc w:val="both"/>
      </w:pPr>
      <w:r>
        <w:rPr/>
        <w:t>Por otra parte, en las zonas urbanas colindantes con la mina Guadarrama y Magdalena que se encuentran al sur de éstas, se ubican las viviendas con el más alto índice de vulnerabilidad física, mayor a 70, coincidiendo también con los tres variables detonantes para la presencia de un deslizamiento al igual que en el fraccionamiento Villas del Campo.</w:t>
      </w:r>
    </w:p>
    <w:p>
      <w:pPr>
        <w:spacing w:after="0" w:line="249" w:lineRule="auto"/>
        <w:jc w:val="both"/>
        <w:sectPr>
          <w:type w:val="continuous"/>
          <w:pgSz w:w="18830" w:h="12760" w:orient="landscape"/>
          <w:pgMar w:top="1420" w:bottom="280" w:left="720" w:right="720"/>
          <w:cols w:num="2" w:equalWidth="0">
            <w:col w:w="7829" w:space="1594"/>
            <w:col w:w="7967"/>
          </w:cols>
        </w:sectPr>
      </w:pPr>
    </w:p>
    <w:p>
      <w:pPr>
        <w:pStyle w:val="BodyText"/>
        <w:spacing w:before="8"/>
      </w:pPr>
    </w:p>
    <w:p>
      <w:pPr>
        <w:spacing w:after="0"/>
        <w:sectPr>
          <w:footerReference w:type="default" r:id="rId527"/>
          <w:pgSz w:w="18830" w:h="12760" w:orient="landscape"/>
          <w:pgMar w:footer="1036" w:header="522" w:top="820" w:bottom="1220" w:left="720" w:right="720"/>
        </w:sectPr>
      </w:pPr>
    </w:p>
    <w:p>
      <w:pPr>
        <w:pStyle w:val="Heading1"/>
        <w:spacing w:before="71"/>
        <w:ind w:right="-7"/>
      </w:pPr>
      <w:r>
        <w:rPr/>
        <w:t>Conclusiones</w:t>
      </w:r>
    </w:p>
    <w:p>
      <w:pPr>
        <w:pStyle w:val="BodyText"/>
        <w:rPr>
          <w:b/>
          <w:sz w:val="21"/>
        </w:rPr>
      </w:pPr>
    </w:p>
    <w:p>
      <w:pPr>
        <w:pStyle w:val="BodyText"/>
        <w:spacing w:line="249" w:lineRule="auto"/>
        <w:ind w:left="130" w:firstLine="170"/>
        <w:jc w:val="both"/>
      </w:pPr>
      <w:r>
        <w:rPr/>
        <w:t>La aproximación al análisis de la vulnerabilidad física-estructural ante la existencia  de la amenaza por procesos de remoción en masa para las zonas habitacionales (fraccionamiento Villas del Campo y zonas habitacionales) en colindancia con la actividad minera, permitió confirmar y precisar las áreas que son susceptibles a procesos de remoción en masa particularmente frente a los deslizamientos, aunque también hay otros procesos como las caídas de materiales o </w:t>
      </w:r>
      <w:r>
        <w:rPr>
          <w:spacing w:val="9"/>
        </w:rPr>
        <w:t> </w:t>
      </w:r>
      <w:r>
        <w:rPr/>
        <w:t>derrumbes.</w:t>
      </w:r>
    </w:p>
    <w:p>
      <w:pPr>
        <w:pStyle w:val="BodyText"/>
        <w:spacing w:before="11"/>
      </w:pPr>
    </w:p>
    <w:p>
      <w:pPr>
        <w:pStyle w:val="BodyText"/>
        <w:spacing w:line="249" w:lineRule="auto"/>
        <w:ind w:left="130" w:firstLine="170"/>
        <w:jc w:val="both"/>
      </w:pPr>
      <w:r>
        <w:rPr/>
        <w:t>Los elementos que favorecen los desprendimientos de materiales en zonas habitacionales son:</w:t>
      </w:r>
    </w:p>
    <w:p>
      <w:pPr>
        <w:pStyle w:val="BodyText"/>
        <w:spacing w:before="10"/>
      </w:pPr>
    </w:p>
    <w:p>
      <w:pPr>
        <w:pStyle w:val="ListParagraph"/>
        <w:numPr>
          <w:ilvl w:val="0"/>
          <w:numId w:val="84"/>
        </w:numPr>
        <w:tabs>
          <w:tab w:pos="660" w:val="left" w:leader="none"/>
          <w:tab w:pos="661" w:val="left" w:leader="none"/>
        </w:tabs>
        <w:spacing w:line="247" w:lineRule="auto" w:before="1" w:after="0"/>
        <w:ind w:left="660" w:right="1" w:hanging="360"/>
        <w:jc w:val="left"/>
        <w:rPr>
          <w:sz w:val="20"/>
        </w:rPr>
      </w:pPr>
      <w:r>
        <w:rPr>
          <w:sz w:val="20"/>
        </w:rPr>
        <w:t>La</w:t>
      </w:r>
      <w:r>
        <w:rPr>
          <w:spacing w:val="-5"/>
          <w:sz w:val="20"/>
        </w:rPr>
        <w:t> </w:t>
      </w:r>
      <w:r>
        <w:rPr>
          <w:sz w:val="20"/>
        </w:rPr>
        <w:t>presencia</w:t>
      </w:r>
      <w:r>
        <w:rPr>
          <w:spacing w:val="-5"/>
          <w:sz w:val="20"/>
        </w:rPr>
        <w:t> </w:t>
      </w:r>
      <w:r>
        <w:rPr>
          <w:sz w:val="20"/>
        </w:rPr>
        <w:t>de</w:t>
      </w:r>
      <w:r>
        <w:rPr>
          <w:spacing w:val="-5"/>
          <w:sz w:val="20"/>
        </w:rPr>
        <w:t> </w:t>
      </w:r>
      <w:r>
        <w:rPr>
          <w:sz w:val="20"/>
        </w:rPr>
        <w:t>rocas</w:t>
      </w:r>
      <w:r>
        <w:rPr>
          <w:spacing w:val="-5"/>
          <w:sz w:val="20"/>
        </w:rPr>
        <w:t> </w:t>
      </w:r>
      <w:r>
        <w:rPr>
          <w:sz w:val="20"/>
        </w:rPr>
        <w:t>de</w:t>
      </w:r>
      <w:r>
        <w:rPr>
          <w:spacing w:val="-5"/>
          <w:sz w:val="20"/>
        </w:rPr>
        <w:t> </w:t>
      </w:r>
      <w:r>
        <w:rPr>
          <w:sz w:val="20"/>
        </w:rPr>
        <w:t>origen</w:t>
      </w:r>
      <w:r>
        <w:rPr>
          <w:spacing w:val="-5"/>
          <w:sz w:val="20"/>
        </w:rPr>
        <w:t> </w:t>
      </w:r>
      <w:r>
        <w:rPr>
          <w:sz w:val="20"/>
        </w:rPr>
        <w:t>ígneo</w:t>
      </w:r>
      <w:r>
        <w:rPr>
          <w:spacing w:val="-5"/>
          <w:sz w:val="20"/>
        </w:rPr>
        <w:t> </w:t>
      </w:r>
      <w:r>
        <w:rPr>
          <w:sz w:val="20"/>
        </w:rPr>
        <w:t>extrusivas,</w:t>
      </w:r>
      <w:r>
        <w:rPr>
          <w:spacing w:val="-5"/>
          <w:sz w:val="20"/>
        </w:rPr>
        <w:t> </w:t>
      </w:r>
      <w:r>
        <w:rPr>
          <w:sz w:val="20"/>
        </w:rPr>
        <w:t>pómez</w:t>
      </w:r>
      <w:r>
        <w:rPr>
          <w:spacing w:val="-5"/>
          <w:sz w:val="20"/>
        </w:rPr>
        <w:t> </w:t>
      </w:r>
      <w:r>
        <w:rPr>
          <w:sz w:val="20"/>
        </w:rPr>
        <w:t>Toluca</w:t>
      </w:r>
      <w:r>
        <w:rPr>
          <w:spacing w:val="-5"/>
          <w:sz w:val="20"/>
        </w:rPr>
        <w:t> </w:t>
      </w:r>
      <w:r>
        <w:rPr>
          <w:sz w:val="20"/>
        </w:rPr>
        <w:t>Superior</w:t>
      </w:r>
      <w:r>
        <w:rPr>
          <w:spacing w:val="-5"/>
          <w:sz w:val="20"/>
        </w:rPr>
        <w:t> </w:t>
      </w:r>
      <w:r>
        <w:rPr>
          <w:sz w:val="20"/>
        </w:rPr>
        <w:t>y</w:t>
      </w:r>
      <w:r>
        <w:rPr>
          <w:spacing w:val="-5"/>
          <w:sz w:val="20"/>
        </w:rPr>
        <w:t> </w:t>
      </w:r>
      <w:r>
        <w:rPr>
          <w:sz w:val="20"/>
        </w:rPr>
        <w:t>flujos piroclásticos.</w:t>
      </w:r>
    </w:p>
    <w:p>
      <w:pPr>
        <w:pStyle w:val="ListParagraph"/>
        <w:numPr>
          <w:ilvl w:val="0"/>
          <w:numId w:val="84"/>
        </w:numPr>
        <w:tabs>
          <w:tab w:pos="660" w:val="left" w:leader="none"/>
          <w:tab w:pos="661" w:val="left" w:leader="none"/>
        </w:tabs>
        <w:spacing w:line="247" w:lineRule="auto" w:before="3" w:after="0"/>
        <w:ind w:left="660" w:right="1" w:hanging="360"/>
        <w:jc w:val="left"/>
        <w:rPr>
          <w:sz w:val="20"/>
        </w:rPr>
      </w:pPr>
      <w:r>
        <w:rPr>
          <w:sz w:val="20"/>
        </w:rPr>
        <w:t>La presencia de discontinuidad de la ladera, echados favorables al</w:t>
      </w:r>
      <w:r>
        <w:rPr>
          <w:spacing w:val="-20"/>
          <w:sz w:val="20"/>
        </w:rPr>
        <w:t> </w:t>
      </w:r>
      <w:r>
        <w:rPr>
          <w:sz w:val="20"/>
        </w:rPr>
        <w:t>deslizamiento por la</w:t>
      </w:r>
      <w:r>
        <w:rPr>
          <w:spacing w:val="17"/>
          <w:sz w:val="20"/>
        </w:rPr>
        <w:t> </w:t>
      </w:r>
      <w:r>
        <w:rPr>
          <w:sz w:val="20"/>
        </w:rPr>
        <w:t>pendiente.</w:t>
      </w:r>
    </w:p>
    <w:p>
      <w:pPr>
        <w:pStyle w:val="ListParagraph"/>
        <w:numPr>
          <w:ilvl w:val="0"/>
          <w:numId w:val="84"/>
        </w:numPr>
        <w:tabs>
          <w:tab w:pos="660" w:val="left" w:leader="none"/>
          <w:tab w:pos="661" w:val="left" w:leader="none"/>
        </w:tabs>
        <w:spacing w:line="240" w:lineRule="auto" w:before="3" w:after="0"/>
        <w:ind w:left="660" w:right="0" w:hanging="360"/>
        <w:jc w:val="left"/>
        <w:rPr>
          <w:sz w:val="20"/>
        </w:rPr>
      </w:pPr>
      <w:r>
        <w:rPr>
          <w:sz w:val="20"/>
        </w:rPr>
        <w:t>Una topografía con terrenos escarpados con pendientes mayores a</w:t>
      </w:r>
      <w:r>
        <w:rPr>
          <w:spacing w:val="52"/>
          <w:sz w:val="20"/>
        </w:rPr>
        <w:t> </w:t>
      </w:r>
      <w:r>
        <w:rPr>
          <w:sz w:val="20"/>
        </w:rPr>
        <w:t>15°.</w:t>
      </w:r>
    </w:p>
    <w:p>
      <w:pPr>
        <w:pStyle w:val="ListParagraph"/>
        <w:numPr>
          <w:ilvl w:val="0"/>
          <w:numId w:val="84"/>
        </w:numPr>
        <w:tabs>
          <w:tab w:pos="660" w:val="left" w:leader="none"/>
          <w:tab w:pos="661" w:val="left" w:leader="none"/>
        </w:tabs>
        <w:spacing w:line="247" w:lineRule="auto" w:before="7" w:after="0"/>
        <w:ind w:left="660" w:right="0" w:hanging="360"/>
        <w:jc w:val="left"/>
        <w:rPr>
          <w:sz w:val="20"/>
        </w:rPr>
      </w:pPr>
      <w:r>
        <w:rPr>
          <w:sz w:val="20"/>
        </w:rPr>
        <w:t>Los elementos relacionados con las zonas habitacionales que indican alta vulnerabilidad en las</w:t>
      </w:r>
      <w:r>
        <w:rPr>
          <w:spacing w:val="35"/>
          <w:sz w:val="20"/>
        </w:rPr>
        <w:t> </w:t>
      </w:r>
      <w:r>
        <w:rPr>
          <w:sz w:val="20"/>
        </w:rPr>
        <w:t>construcciones.</w:t>
      </w:r>
    </w:p>
    <w:p>
      <w:pPr>
        <w:pStyle w:val="ListParagraph"/>
        <w:numPr>
          <w:ilvl w:val="0"/>
          <w:numId w:val="84"/>
        </w:numPr>
        <w:tabs>
          <w:tab w:pos="660" w:val="left" w:leader="none"/>
          <w:tab w:pos="661" w:val="left" w:leader="none"/>
        </w:tabs>
        <w:spacing w:line="247" w:lineRule="auto" w:before="3" w:after="0"/>
        <w:ind w:left="660" w:right="1" w:hanging="360"/>
        <w:jc w:val="left"/>
        <w:rPr>
          <w:sz w:val="20"/>
        </w:rPr>
      </w:pPr>
      <w:r>
        <w:rPr>
          <w:sz w:val="20"/>
        </w:rPr>
        <w:t>Ubicación de las zonas habitacionales –que se encontraron por debajo de la calzada-.</w:t>
      </w:r>
    </w:p>
    <w:p>
      <w:pPr>
        <w:pStyle w:val="ListParagraph"/>
        <w:numPr>
          <w:ilvl w:val="0"/>
          <w:numId w:val="84"/>
        </w:numPr>
        <w:tabs>
          <w:tab w:pos="660" w:val="left" w:leader="none"/>
          <w:tab w:pos="661" w:val="left" w:leader="none"/>
        </w:tabs>
        <w:spacing w:line="247" w:lineRule="auto" w:before="3" w:after="0"/>
        <w:ind w:left="660" w:right="1" w:hanging="360"/>
        <w:jc w:val="left"/>
        <w:rPr>
          <w:sz w:val="20"/>
        </w:rPr>
      </w:pPr>
      <w:r>
        <w:rPr>
          <w:sz w:val="20"/>
        </w:rPr>
        <w:t>La distancia que existe entre la zona habitacional y los bancos de materiales pétreos.</w:t>
      </w:r>
    </w:p>
    <w:p>
      <w:pPr>
        <w:pStyle w:val="ListParagraph"/>
        <w:numPr>
          <w:ilvl w:val="0"/>
          <w:numId w:val="84"/>
        </w:numPr>
        <w:tabs>
          <w:tab w:pos="660" w:val="left" w:leader="none"/>
          <w:tab w:pos="661" w:val="left" w:leader="none"/>
        </w:tabs>
        <w:spacing w:line="247" w:lineRule="auto" w:before="3" w:after="0"/>
        <w:ind w:left="660" w:right="0" w:hanging="360"/>
        <w:jc w:val="left"/>
        <w:rPr>
          <w:sz w:val="20"/>
        </w:rPr>
      </w:pPr>
      <w:r>
        <w:rPr>
          <w:sz w:val="20"/>
        </w:rPr>
        <w:t>Características del suelo bajo la edificación considerada húmeda, blanda y relleno.</w:t>
      </w:r>
    </w:p>
    <w:p>
      <w:pPr>
        <w:pStyle w:val="ListParagraph"/>
        <w:numPr>
          <w:ilvl w:val="0"/>
          <w:numId w:val="84"/>
        </w:numPr>
        <w:tabs>
          <w:tab w:pos="660" w:val="left" w:leader="none"/>
          <w:tab w:pos="661" w:val="left" w:leader="none"/>
        </w:tabs>
        <w:spacing w:line="240" w:lineRule="auto" w:before="3" w:after="0"/>
        <w:ind w:left="660" w:right="0" w:hanging="360"/>
        <w:jc w:val="left"/>
        <w:rPr>
          <w:sz w:val="20"/>
        </w:rPr>
      </w:pPr>
      <w:r>
        <w:rPr>
          <w:sz w:val="20"/>
        </w:rPr>
        <w:t>Sistema estructural utilizado para la construcción siendo hormigón </w:t>
      </w:r>
      <w:r>
        <w:rPr>
          <w:spacing w:val="30"/>
          <w:sz w:val="20"/>
        </w:rPr>
        <w:t> </w:t>
      </w:r>
      <w:r>
        <w:rPr>
          <w:sz w:val="20"/>
        </w:rPr>
        <w:t>armado.</w:t>
      </w:r>
    </w:p>
    <w:p>
      <w:pPr>
        <w:pStyle w:val="BodyText"/>
        <w:spacing w:before="7"/>
        <w:ind w:left="300"/>
        <w:rPr>
          <w:rFonts w:ascii="Trebuchet MS" w:hAnsi="Trebuchet MS"/>
        </w:rPr>
      </w:pPr>
      <w:r>
        <w:rPr>
          <w:rFonts w:ascii="Trebuchet MS" w:hAnsi="Trebuchet MS"/>
          <w:w w:val="95"/>
        </w:rPr>
        <w:t>•</w:t>
      </w:r>
    </w:p>
    <w:p>
      <w:pPr>
        <w:pStyle w:val="BodyText"/>
        <w:spacing w:line="249" w:lineRule="auto" w:before="8"/>
        <w:ind w:left="130" w:firstLine="170"/>
        <w:jc w:val="both"/>
      </w:pPr>
      <w:r>
        <w:rPr/>
        <w:t>La</w:t>
      </w:r>
      <w:r>
        <w:rPr>
          <w:spacing w:val="-13"/>
        </w:rPr>
        <w:t> </w:t>
      </w:r>
      <w:r>
        <w:rPr/>
        <w:t>inclusión</w:t>
      </w:r>
      <w:r>
        <w:rPr>
          <w:spacing w:val="-13"/>
        </w:rPr>
        <w:t> </w:t>
      </w:r>
      <w:r>
        <w:rPr/>
        <w:t>de</w:t>
      </w:r>
      <w:r>
        <w:rPr>
          <w:spacing w:val="-13"/>
        </w:rPr>
        <w:t> </w:t>
      </w:r>
      <w:r>
        <w:rPr/>
        <w:t>la</w:t>
      </w:r>
      <w:r>
        <w:rPr>
          <w:spacing w:val="-13"/>
        </w:rPr>
        <w:t> </w:t>
      </w:r>
      <w:r>
        <w:rPr/>
        <w:t>variable</w:t>
      </w:r>
      <w:r>
        <w:rPr>
          <w:spacing w:val="-13"/>
        </w:rPr>
        <w:t> </w:t>
      </w:r>
      <w:r>
        <w:rPr/>
        <w:t>exposición,</w:t>
      </w:r>
      <w:r>
        <w:rPr>
          <w:spacing w:val="-13"/>
        </w:rPr>
        <w:t> </w:t>
      </w:r>
      <w:r>
        <w:rPr/>
        <w:t>vista</w:t>
      </w:r>
      <w:r>
        <w:rPr>
          <w:spacing w:val="-13"/>
        </w:rPr>
        <w:t> </w:t>
      </w:r>
      <w:r>
        <w:rPr/>
        <w:t>a</w:t>
      </w:r>
      <w:r>
        <w:rPr>
          <w:spacing w:val="-13"/>
        </w:rPr>
        <w:t> </w:t>
      </w:r>
      <w:r>
        <w:rPr/>
        <w:t>partir</w:t>
      </w:r>
      <w:r>
        <w:rPr>
          <w:spacing w:val="-13"/>
        </w:rPr>
        <w:t> </w:t>
      </w:r>
      <w:r>
        <w:rPr/>
        <w:t>de</w:t>
      </w:r>
      <w:r>
        <w:rPr>
          <w:spacing w:val="-13"/>
        </w:rPr>
        <w:t> </w:t>
      </w:r>
      <w:r>
        <w:rPr/>
        <w:t>la</w:t>
      </w:r>
      <w:r>
        <w:rPr>
          <w:spacing w:val="-13"/>
        </w:rPr>
        <w:t> </w:t>
      </w:r>
      <w:r>
        <w:rPr/>
        <w:t>distancia,</w:t>
      </w:r>
      <w:r>
        <w:rPr>
          <w:spacing w:val="-13"/>
        </w:rPr>
        <w:t> </w:t>
      </w:r>
      <w:r>
        <w:rPr/>
        <w:t>fue</w:t>
      </w:r>
      <w:r>
        <w:rPr>
          <w:spacing w:val="-13"/>
        </w:rPr>
        <w:t> </w:t>
      </w:r>
      <w:r>
        <w:rPr/>
        <w:t>fundamental,</w:t>
      </w:r>
      <w:r>
        <w:rPr>
          <w:spacing w:val="-13"/>
        </w:rPr>
        <w:t> </w:t>
      </w:r>
      <w:r>
        <w:rPr/>
        <w:t>ya que,</w:t>
      </w:r>
      <w:r>
        <w:rPr>
          <w:spacing w:val="-4"/>
        </w:rPr>
        <w:t> </w:t>
      </w:r>
      <w:r>
        <w:rPr/>
        <w:t>entre</w:t>
      </w:r>
      <w:r>
        <w:rPr>
          <w:spacing w:val="-4"/>
        </w:rPr>
        <w:t> </w:t>
      </w:r>
      <w:r>
        <w:rPr/>
        <w:t>más</w:t>
      </w:r>
      <w:r>
        <w:rPr>
          <w:spacing w:val="-4"/>
        </w:rPr>
        <w:t> </w:t>
      </w:r>
      <w:r>
        <w:rPr/>
        <w:t>cerca</w:t>
      </w:r>
      <w:r>
        <w:rPr>
          <w:spacing w:val="-4"/>
        </w:rPr>
        <w:t> </w:t>
      </w:r>
      <w:r>
        <w:rPr/>
        <w:t>se</w:t>
      </w:r>
      <w:r>
        <w:rPr>
          <w:spacing w:val="-4"/>
        </w:rPr>
        <w:t> </w:t>
      </w:r>
      <w:r>
        <w:rPr/>
        <w:t>encuentra</w:t>
      </w:r>
      <w:r>
        <w:rPr>
          <w:spacing w:val="-4"/>
        </w:rPr>
        <w:t> </w:t>
      </w:r>
      <w:r>
        <w:rPr/>
        <w:t>las</w:t>
      </w:r>
      <w:r>
        <w:rPr>
          <w:spacing w:val="-4"/>
        </w:rPr>
        <w:t> </w:t>
      </w:r>
      <w:r>
        <w:rPr/>
        <w:t>zonas</w:t>
      </w:r>
      <w:r>
        <w:rPr>
          <w:spacing w:val="-4"/>
        </w:rPr>
        <w:t> </w:t>
      </w:r>
      <w:r>
        <w:rPr/>
        <w:t>habitacionales</w:t>
      </w:r>
      <w:r>
        <w:rPr>
          <w:spacing w:val="-4"/>
        </w:rPr>
        <w:t> </w:t>
      </w:r>
      <w:r>
        <w:rPr/>
        <w:t>a</w:t>
      </w:r>
      <w:r>
        <w:rPr>
          <w:spacing w:val="-4"/>
        </w:rPr>
        <w:t> </w:t>
      </w:r>
      <w:r>
        <w:rPr/>
        <w:t>los</w:t>
      </w:r>
      <w:r>
        <w:rPr>
          <w:spacing w:val="-4"/>
        </w:rPr>
        <w:t> </w:t>
      </w:r>
      <w:r>
        <w:rPr/>
        <w:t>bancos</w:t>
      </w:r>
      <w:r>
        <w:rPr>
          <w:spacing w:val="-4"/>
        </w:rPr>
        <w:t> </w:t>
      </w:r>
      <w:r>
        <w:rPr/>
        <w:t>de</w:t>
      </w:r>
      <w:r>
        <w:rPr>
          <w:spacing w:val="-4"/>
        </w:rPr>
        <w:t> </w:t>
      </w:r>
      <w:r>
        <w:rPr/>
        <w:t>materiales mayor vulnerabilidad</w:t>
      </w:r>
      <w:r>
        <w:rPr>
          <w:spacing w:val="17"/>
        </w:rPr>
        <w:t> </w:t>
      </w:r>
      <w:r>
        <w:rPr/>
        <w:t>presentan.</w:t>
      </w:r>
    </w:p>
    <w:p>
      <w:pPr>
        <w:pStyle w:val="BodyText"/>
        <w:spacing w:before="11"/>
      </w:pPr>
    </w:p>
    <w:p>
      <w:pPr>
        <w:pStyle w:val="BodyText"/>
        <w:spacing w:line="249" w:lineRule="auto"/>
        <w:ind w:left="130" w:firstLine="170"/>
        <w:jc w:val="both"/>
      </w:pPr>
      <w:r>
        <w:rPr/>
        <w:t>Se registró un total 176 casa de 432 que colindan con los bancos de materiales    que tienen un alto grado de vulnerabilidad frente a la amenaza de deslizamiento, es prioritario atender estas zonas por parte de las autoridades correspondientes, que deberán realizar obras de carácter estructural en los bancos de materiales para minimizar el riesgo al que están expuesto las personas de perder sus bienes y existir</w:t>
      </w:r>
      <w:r>
        <w:rPr>
          <w:spacing w:val="-35"/>
        </w:rPr>
        <w:t> </w:t>
      </w:r>
      <w:r>
        <w:rPr/>
        <w:t>la afectación a su</w:t>
      </w:r>
      <w:r>
        <w:rPr>
          <w:spacing w:val="17"/>
        </w:rPr>
        <w:t> </w:t>
      </w:r>
      <w:r>
        <w:rPr/>
        <w:t>persona.</w:t>
      </w:r>
    </w:p>
    <w:p>
      <w:pPr>
        <w:pStyle w:val="Heading1"/>
        <w:spacing w:before="71"/>
        <w:ind w:right="-10"/>
      </w:pPr>
      <w:r>
        <w:rPr>
          <w:b w:val="0"/>
        </w:rPr>
        <w:br w:type="column"/>
      </w:r>
      <w:r>
        <w:rPr/>
        <w:t>Referencias bibliográficas</w:t>
      </w:r>
    </w:p>
    <w:p>
      <w:pPr>
        <w:pStyle w:val="BodyText"/>
        <w:rPr>
          <w:b/>
          <w:sz w:val="21"/>
        </w:rPr>
      </w:pPr>
    </w:p>
    <w:p>
      <w:pPr>
        <w:spacing w:line="249" w:lineRule="auto" w:before="0"/>
        <w:ind w:left="754" w:right="128" w:hanging="624"/>
        <w:jc w:val="both"/>
        <w:rPr>
          <w:sz w:val="20"/>
        </w:rPr>
      </w:pPr>
      <w:r>
        <w:rPr>
          <w:sz w:val="20"/>
        </w:rPr>
        <w:t>Aceves, J. (1997), </w:t>
      </w:r>
      <w:r>
        <w:rPr>
          <w:i/>
          <w:sz w:val="20"/>
        </w:rPr>
        <w:t>Geología y geomorfología del volcán Nevado de Toluca</w:t>
      </w:r>
      <w:r>
        <w:rPr>
          <w:sz w:val="20"/>
        </w:rPr>
        <w:t>. Tesis de Maestría en Ciencias. Facultad de Ciencias. Universidad Nacional Autónoma</w:t>
      </w:r>
      <w:r>
        <w:rPr>
          <w:spacing w:val="-23"/>
          <w:sz w:val="20"/>
        </w:rPr>
        <w:t> </w:t>
      </w:r>
      <w:r>
        <w:rPr>
          <w:sz w:val="20"/>
        </w:rPr>
        <w:t>de México.</w:t>
      </w:r>
      <w:r>
        <w:rPr>
          <w:spacing w:val="36"/>
          <w:sz w:val="20"/>
        </w:rPr>
        <w:t> </w:t>
      </w:r>
      <w:r>
        <w:rPr>
          <w:sz w:val="20"/>
        </w:rPr>
        <w:t>México.</w:t>
      </w:r>
    </w:p>
    <w:p>
      <w:pPr>
        <w:pStyle w:val="BodyText"/>
        <w:spacing w:before="11"/>
      </w:pPr>
    </w:p>
    <w:p>
      <w:pPr>
        <w:spacing w:line="249" w:lineRule="auto" w:before="0"/>
        <w:ind w:left="754" w:right="128" w:hanging="624"/>
        <w:jc w:val="both"/>
        <w:rPr>
          <w:sz w:val="20"/>
        </w:rPr>
      </w:pPr>
      <w:r>
        <w:rPr>
          <w:sz w:val="20"/>
        </w:rPr>
        <w:t>Bloomfield, K., y S. Valastro (1974), </w:t>
      </w:r>
      <w:r>
        <w:rPr>
          <w:i/>
          <w:sz w:val="20"/>
        </w:rPr>
        <w:t>Late Pleistocene eruptive history of Nevado de </w:t>
      </w:r>
      <w:r>
        <w:rPr>
          <w:i/>
          <w:sz w:val="20"/>
        </w:rPr>
        <w:t>Toluca Volcano, Central México</w:t>
      </w:r>
      <w:r>
        <w:rPr>
          <w:sz w:val="20"/>
        </w:rPr>
        <w:t>. In: Geol.. Soc. Of America Bull.</w:t>
      </w:r>
    </w:p>
    <w:p>
      <w:pPr>
        <w:pStyle w:val="BodyText"/>
        <w:spacing w:before="11"/>
      </w:pPr>
    </w:p>
    <w:p>
      <w:pPr>
        <w:pStyle w:val="BodyText"/>
        <w:spacing w:line="249" w:lineRule="auto"/>
        <w:ind w:left="754" w:right="127" w:hanging="624"/>
        <w:jc w:val="both"/>
      </w:pPr>
      <w:r>
        <w:rPr/>
        <w:t>Cardona A. Darío O. (2001), La necesidad de representar de manera holística los conceptos de vulnerabilidad y riesgo “Una crítica y una revisión necesaria para la</w:t>
      </w:r>
      <w:r>
        <w:rPr>
          <w:spacing w:val="-12"/>
        </w:rPr>
        <w:t> </w:t>
      </w:r>
      <w:r>
        <w:rPr/>
        <w:t>Gestión”.</w:t>
      </w:r>
      <w:r>
        <w:rPr>
          <w:spacing w:val="-12"/>
        </w:rPr>
        <w:t> </w:t>
      </w:r>
      <w:r>
        <w:rPr/>
        <w:t>Centro</w:t>
      </w:r>
      <w:r>
        <w:rPr>
          <w:spacing w:val="-12"/>
        </w:rPr>
        <w:t> </w:t>
      </w:r>
      <w:r>
        <w:rPr/>
        <w:t>de</w:t>
      </w:r>
      <w:r>
        <w:rPr>
          <w:spacing w:val="-12"/>
        </w:rPr>
        <w:t> </w:t>
      </w:r>
      <w:r>
        <w:rPr/>
        <w:t>Estudios</w:t>
      </w:r>
      <w:r>
        <w:rPr>
          <w:spacing w:val="-12"/>
        </w:rPr>
        <w:t> </w:t>
      </w:r>
      <w:r>
        <w:rPr/>
        <w:t>sobre</w:t>
      </w:r>
      <w:r>
        <w:rPr>
          <w:spacing w:val="-12"/>
        </w:rPr>
        <w:t> </w:t>
      </w:r>
      <w:r>
        <w:rPr/>
        <w:t>Desastres</w:t>
      </w:r>
      <w:r>
        <w:rPr>
          <w:spacing w:val="-12"/>
        </w:rPr>
        <w:t> </w:t>
      </w:r>
      <w:r>
        <w:rPr/>
        <w:t>y</w:t>
      </w:r>
      <w:r>
        <w:rPr>
          <w:spacing w:val="-12"/>
        </w:rPr>
        <w:t> </w:t>
      </w:r>
      <w:r>
        <w:rPr/>
        <w:t>Riesgos</w:t>
      </w:r>
      <w:r>
        <w:rPr>
          <w:spacing w:val="-12"/>
        </w:rPr>
        <w:t> </w:t>
      </w:r>
      <w:r>
        <w:rPr/>
        <w:t>CEDERI.</w:t>
      </w:r>
      <w:r>
        <w:rPr>
          <w:spacing w:val="-12"/>
        </w:rPr>
        <w:t> </w:t>
      </w:r>
      <w:r>
        <w:rPr/>
        <w:t>Universidad de los Andes, Bogotá,</w:t>
      </w:r>
      <w:r>
        <w:rPr>
          <w:spacing w:val="39"/>
        </w:rPr>
        <w:t> </w:t>
      </w:r>
      <w:r>
        <w:rPr/>
        <w:t>Colombia.</w:t>
      </w:r>
    </w:p>
    <w:p>
      <w:pPr>
        <w:pStyle w:val="BodyText"/>
        <w:spacing w:before="11"/>
      </w:pPr>
    </w:p>
    <w:p>
      <w:pPr>
        <w:pStyle w:val="BodyText"/>
        <w:spacing w:line="249" w:lineRule="auto"/>
        <w:ind w:left="754" w:right="128" w:hanging="624"/>
        <w:jc w:val="both"/>
      </w:pPr>
      <w:r>
        <w:rPr/>
        <w:t>Centro de Nacional de Prevención de Desastres (2001), Fascículo de Inestabilidad de Laderas.</w:t>
      </w:r>
      <w:r>
        <w:rPr>
          <w:spacing w:val="-6"/>
        </w:rPr>
        <w:t> </w:t>
      </w:r>
      <w:r>
        <w:rPr/>
        <w:t>Coordinación</w:t>
      </w:r>
      <w:r>
        <w:rPr>
          <w:spacing w:val="-6"/>
        </w:rPr>
        <w:t> </w:t>
      </w:r>
      <w:r>
        <w:rPr/>
        <w:t>Nacional</w:t>
      </w:r>
      <w:r>
        <w:rPr>
          <w:spacing w:val="-6"/>
        </w:rPr>
        <w:t> </w:t>
      </w:r>
      <w:r>
        <w:rPr/>
        <w:t>de</w:t>
      </w:r>
      <w:r>
        <w:rPr>
          <w:spacing w:val="-6"/>
        </w:rPr>
        <w:t> </w:t>
      </w:r>
      <w:r>
        <w:rPr/>
        <w:t>Protección</w:t>
      </w:r>
      <w:r>
        <w:rPr>
          <w:spacing w:val="-6"/>
        </w:rPr>
        <w:t> </w:t>
      </w:r>
      <w:r>
        <w:rPr/>
        <w:t>Civil.</w:t>
      </w:r>
      <w:r>
        <w:rPr>
          <w:spacing w:val="-6"/>
        </w:rPr>
        <w:t> </w:t>
      </w:r>
      <w:r>
        <w:rPr/>
        <w:t>Secretaría</w:t>
      </w:r>
      <w:r>
        <w:rPr>
          <w:spacing w:val="-6"/>
        </w:rPr>
        <w:t> </w:t>
      </w:r>
      <w:r>
        <w:rPr/>
        <w:t>de</w:t>
      </w:r>
      <w:r>
        <w:rPr>
          <w:spacing w:val="-6"/>
        </w:rPr>
        <w:t> </w:t>
      </w:r>
      <w:r>
        <w:rPr/>
        <w:t>Gobernación. México.</w:t>
      </w:r>
    </w:p>
    <w:p>
      <w:pPr>
        <w:pStyle w:val="BodyText"/>
        <w:spacing w:before="11"/>
      </w:pPr>
    </w:p>
    <w:p>
      <w:pPr>
        <w:spacing w:line="249" w:lineRule="auto" w:before="0"/>
        <w:ind w:left="754" w:right="127" w:hanging="624"/>
        <w:jc w:val="both"/>
        <w:rPr>
          <w:sz w:val="20"/>
        </w:rPr>
      </w:pPr>
      <w:r>
        <w:rPr>
          <w:sz w:val="20"/>
        </w:rPr>
        <w:t>Espinosa,</w:t>
      </w:r>
      <w:r>
        <w:rPr>
          <w:spacing w:val="-24"/>
          <w:sz w:val="20"/>
        </w:rPr>
        <w:t> </w:t>
      </w:r>
      <w:r>
        <w:rPr>
          <w:sz w:val="20"/>
        </w:rPr>
        <w:t>L.</w:t>
      </w:r>
      <w:r>
        <w:rPr>
          <w:spacing w:val="-24"/>
          <w:sz w:val="20"/>
        </w:rPr>
        <w:t> </w:t>
      </w:r>
      <w:r>
        <w:rPr>
          <w:sz w:val="20"/>
        </w:rPr>
        <w:t>(2001),</w:t>
      </w:r>
      <w:r>
        <w:rPr>
          <w:spacing w:val="-24"/>
          <w:sz w:val="20"/>
        </w:rPr>
        <w:t> </w:t>
      </w:r>
      <w:r>
        <w:rPr>
          <w:i/>
          <w:sz w:val="20"/>
        </w:rPr>
        <w:t>Geomorfología</w:t>
      </w:r>
      <w:r>
        <w:rPr>
          <w:i/>
          <w:spacing w:val="-24"/>
          <w:sz w:val="20"/>
        </w:rPr>
        <w:t> </w:t>
      </w:r>
      <w:r>
        <w:rPr>
          <w:i/>
          <w:sz w:val="20"/>
        </w:rPr>
        <w:t>del</w:t>
      </w:r>
      <w:r>
        <w:rPr>
          <w:i/>
          <w:spacing w:val="-24"/>
          <w:sz w:val="20"/>
        </w:rPr>
        <w:t> </w:t>
      </w:r>
      <w:r>
        <w:rPr>
          <w:i/>
          <w:sz w:val="20"/>
        </w:rPr>
        <w:t>noreste</w:t>
      </w:r>
      <w:r>
        <w:rPr>
          <w:i/>
          <w:spacing w:val="-24"/>
          <w:sz w:val="20"/>
        </w:rPr>
        <w:t> </w:t>
      </w:r>
      <w:r>
        <w:rPr>
          <w:i/>
          <w:sz w:val="20"/>
        </w:rPr>
        <w:t>del</w:t>
      </w:r>
      <w:r>
        <w:rPr>
          <w:i/>
          <w:spacing w:val="-24"/>
          <w:sz w:val="20"/>
        </w:rPr>
        <w:t> </w:t>
      </w:r>
      <w:r>
        <w:rPr>
          <w:i/>
          <w:sz w:val="20"/>
        </w:rPr>
        <w:t>Nevado</w:t>
      </w:r>
      <w:r>
        <w:rPr>
          <w:i/>
          <w:spacing w:val="-24"/>
          <w:sz w:val="20"/>
        </w:rPr>
        <w:t> </w:t>
      </w:r>
      <w:r>
        <w:rPr>
          <w:i/>
          <w:sz w:val="20"/>
        </w:rPr>
        <w:t>de</w:t>
      </w:r>
      <w:r>
        <w:rPr>
          <w:i/>
          <w:spacing w:val="-24"/>
          <w:sz w:val="20"/>
        </w:rPr>
        <w:t> </w:t>
      </w:r>
      <w:r>
        <w:rPr>
          <w:i/>
          <w:sz w:val="20"/>
        </w:rPr>
        <w:t>Toluca.</w:t>
      </w:r>
      <w:r>
        <w:rPr>
          <w:i/>
          <w:spacing w:val="-24"/>
          <w:sz w:val="20"/>
        </w:rPr>
        <w:t> </w:t>
      </w:r>
      <w:r>
        <w:rPr>
          <w:sz w:val="20"/>
        </w:rPr>
        <w:t>Tesis</w:t>
      </w:r>
      <w:r>
        <w:rPr>
          <w:spacing w:val="-24"/>
          <w:sz w:val="20"/>
        </w:rPr>
        <w:t> </w:t>
      </w:r>
      <w:r>
        <w:rPr>
          <w:sz w:val="20"/>
        </w:rPr>
        <w:t>para</w:t>
      </w:r>
      <w:r>
        <w:rPr>
          <w:spacing w:val="-24"/>
          <w:sz w:val="20"/>
        </w:rPr>
        <w:t> </w:t>
      </w:r>
      <w:r>
        <w:rPr>
          <w:sz w:val="20"/>
        </w:rPr>
        <w:t>obtener el grado de maestro en Geografía. Facultad de Filosofía y Letras, división de estudios de postgrado de la Universidad Nacional Autónoma de </w:t>
      </w:r>
      <w:r>
        <w:rPr>
          <w:spacing w:val="34"/>
          <w:sz w:val="20"/>
        </w:rPr>
        <w:t> </w:t>
      </w:r>
      <w:r>
        <w:rPr>
          <w:sz w:val="20"/>
        </w:rPr>
        <w:t>México.</w:t>
      </w:r>
    </w:p>
    <w:p>
      <w:pPr>
        <w:pStyle w:val="BodyText"/>
        <w:spacing w:before="11"/>
      </w:pPr>
    </w:p>
    <w:p>
      <w:pPr>
        <w:pStyle w:val="BodyText"/>
        <w:spacing w:line="249" w:lineRule="auto"/>
        <w:ind w:left="754" w:right="128" w:hanging="624"/>
        <w:jc w:val="both"/>
      </w:pPr>
      <w:r>
        <w:rPr/>
        <w:t>Flores,</w:t>
      </w:r>
      <w:r>
        <w:rPr>
          <w:spacing w:val="-6"/>
        </w:rPr>
        <w:t> </w:t>
      </w:r>
      <w:r>
        <w:rPr/>
        <w:t>O.</w:t>
      </w:r>
      <w:r>
        <w:rPr>
          <w:spacing w:val="-6"/>
        </w:rPr>
        <w:t> </w:t>
      </w:r>
      <w:r>
        <w:rPr/>
        <w:t>P.</w:t>
      </w:r>
      <w:r>
        <w:rPr>
          <w:spacing w:val="-6"/>
        </w:rPr>
        <w:t> </w:t>
      </w:r>
      <w:r>
        <w:rPr/>
        <w:t>(2012),</w:t>
      </w:r>
      <w:r>
        <w:rPr>
          <w:spacing w:val="-6"/>
        </w:rPr>
        <w:t> </w:t>
      </w:r>
      <w:r>
        <w:rPr/>
        <w:t>Evaluación</w:t>
      </w:r>
      <w:r>
        <w:rPr>
          <w:spacing w:val="-6"/>
        </w:rPr>
        <w:t> </w:t>
      </w:r>
      <w:r>
        <w:rPr/>
        <w:t>de</w:t>
      </w:r>
      <w:r>
        <w:rPr>
          <w:spacing w:val="-6"/>
        </w:rPr>
        <w:t> </w:t>
      </w:r>
      <w:r>
        <w:rPr/>
        <w:t>Riesgo</w:t>
      </w:r>
      <w:r>
        <w:rPr>
          <w:spacing w:val="-6"/>
        </w:rPr>
        <w:t> </w:t>
      </w:r>
      <w:r>
        <w:rPr/>
        <w:t>por</w:t>
      </w:r>
      <w:r>
        <w:rPr>
          <w:spacing w:val="-6"/>
        </w:rPr>
        <w:t> </w:t>
      </w:r>
      <w:r>
        <w:rPr/>
        <w:t>deslizamiento</w:t>
      </w:r>
      <w:r>
        <w:rPr>
          <w:spacing w:val="-6"/>
        </w:rPr>
        <w:t> </w:t>
      </w:r>
      <w:r>
        <w:rPr/>
        <w:t>de</w:t>
      </w:r>
      <w:r>
        <w:rPr>
          <w:spacing w:val="-6"/>
        </w:rPr>
        <w:t> </w:t>
      </w:r>
      <w:r>
        <w:rPr/>
        <w:t>Tierras</w:t>
      </w:r>
      <w:r>
        <w:rPr>
          <w:spacing w:val="-6"/>
        </w:rPr>
        <w:t> </w:t>
      </w:r>
      <w:r>
        <w:rPr/>
        <w:t>en</w:t>
      </w:r>
      <w:r>
        <w:rPr>
          <w:spacing w:val="-6"/>
        </w:rPr>
        <w:t> </w:t>
      </w:r>
      <w:r>
        <w:rPr/>
        <w:t>el</w:t>
      </w:r>
      <w:r>
        <w:rPr>
          <w:spacing w:val="-6"/>
        </w:rPr>
        <w:t> </w:t>
      </w:r>
      <w:r>
        <w:rPr/>
        <w:t>Municipio de Temoaya, Estado de México. Tesis de Doctorado. Instituto de Geofísica, UNAM.</w:t>
      </w:r>
    </w:p>
    <w:p>
      <w:pPr>
        <w:pStyle w:val="BodyText"/>
        <w:spacing w:before="11"/>
      </w:pPr>
    </w:p>
    <w:p>
      <w:pPr>
        <w:pStyle w:val="BodyText"/>
        <w:spacing w:line="249" w:lineRule="auto"/>
        <w:ind w:left="754" w:right="128" w:hanging="624"/>
        <w:jc w:val="both"/>
      </w:pPr>
      <w:r>
        <w:rPr/>
        <w:t>Gobierno</w:t>
      </w:r>
      <w:r>
        <w:rPr>
          <w:spacing w:val="-24"/>
        </w:rPr>
        <w:t> </w:t>
      </w:r>
      <w:r>
        <w:rPr/>
        <w:t>del</w:t>
      </w:r>
      <w:r>
        <w:rPr>
          <w:spacing w:val="-24"/>
        </w:rPr>
        <w:t> </w:t>
      </w:r>
      <w:r>
        <w:rPr/>
        <w:t>Estado</w:t>
      </w:r>
      <w:r>
        <w:rPr>
          <w:spacing w:val="-24"/>
        </w:rPr>
        <w:t> </w:t>
      </w:r>
      <w:r>
        <w:rPr/>
        <w:t>de</w:t>
      </w:r>
      <w:r>
        <w:rPr>
          <w:spacing w:val="-24"/>
        </w:rPr>
        <w:t> </w:t>
      </w:r>
      <w:r>
        <w:rPr/>
        <w:t>México</w:t>
      </w:r>
      <w:r>
        <w:rPr>
          <w:spacing w:val="-24"/>
        </w:rPr>
        <w:t> </w:t>
      </w:r>
      <w:r>
        <w:rPr/>
        <w:t>(2011),</w:t>
      </w:r>
      <w:r>
        <w:rPr>
          <w:spacing w:val="-24"/>
        </w:rPr>
        <w:t> </w:t>
      </w:r>
      <w:r>
        <w:rPr/>
        <w:t>Plan</w:t>
      </w:r>
      <w:r>
        <w:rPr>
          <w:spacing w:val="-24"/>
        </w:rPr>
        <w:t> </w:t>
      </w:r>
      <w:r>
        <w:rPr/>
        <w:t>Municipal</w:t>
      </w:r>
      <w:r>
        <w:rPr>
          <w:spacing w:val="-24"/>
        </w:rPr>
        <w:t> </w:t>
      </w:r>
      <w:r>
        <w:rPr/>
        <w:t>de</w:t>
      </w:r>
      <w:r>
        <w:rPr>
          <w:spacing w:val="-24"/>
        </w:rPr>
        <w:t> </w:t>
      </w:r>
      <w:r>
        <w:rPr/>
        <w:t>desarrollo</w:t>
      </w:r>
      <w:r>
        <w:rPr>
          <w:spacing w:val="-24"/>
        </w:rPr>
        <w:t> </w:t>
      </w:r>
      <w:r>
        <w:rPr/>
        <w:t>Urbano</w:t>
      </w:r>
      <w:r>
        <w:rPr>
          <w:spacing w:val="-24"/>
        </w:rPr>
        <w:t> </w:t>
      </w:r>
      <w:r>
        <w:rPr/>
        <w:t>de</w:t>
      </w:r>
      <w:r>
        <w:rPr>
          <w:spacing w:val="-24"/>
        </w:rPr>
        <w:t> </w:t>
      </w:r>
      <w:r>
        <w:rPr/>
        <w:t>Calimaya, Estado de México. Consultado en enero 2013 en: </w:t>
      </w:r>
      <w:hyperlink r:id="rId528">
        <w:r>
          <w:rPr/>
          <w:t>http://www.edomex.gob.mx/</w:t>
        </w:r>
      </w:hyperlink>
      <w:r>
        <w:rPr/>
        <w:t> legistelfon/doc/pdf/gct/2011/jun143.PDF</w:t>
      </w:r>
    </w:p>
    <w:p>
      <w:pPr>
        <w:pStyle w:val="BodyText"/>
        <w:spacing w:before="11"/>
      </w:pPr>
    </w:p>
    <w:p>
      <w:pPr>
        <w:pStyle w:val="BodyText"/>
        <w:spacing w:line="249" w:lineRule="auto"/>
        <w:ind w:left="754" w:right="128" w:hanging="624"/>
        <w:jc w:val="both"/>
      </w:pPr>
      <w:r>
        <w:rPr/>
        <w:t>Gobierno del Estado de México, (2010), Norma Técnica Estatal Ambiental NTEA-002- SMA-DS-2009,</w:t>
      </w:r>
      <w:r>
        <w:rPr>
          <w:spacing w:val="-12"/>
        </w:rPr>
        <w:t> </w:t>
      </w:r>
      <w:r>
        <w:rPr/>
        <w:t>que</w:t>
      </w:r>
      <w:r>
        <w:rPr>
          <w:spacing w:val="-12"/>
        </w:rPr>
        <w:t> </w:t>
      </w:r>
      <w:r>
        <w:rPr/>
        <w:t>regula</w:t>
      </w:r>
      <w:r>
        <w:rPr>
          <w:spacing w:val="-12"/>
        </w:rPr>
        <w:t> </w:t>
      </w:r>
      <w:r>
        <w:rPr/>
        <w:t>la</w:t>
      </w:r>
      <w:r>
        <w:rPr>
          <w:spacing w:val="-12"/>
        </w:rPr>
        <w:t> </w:t>
      </w:r>
      <w:r>
        <w:rPr/>
        <w:t>Exploración,</w:t>
      </w:r>
      <w:r>
        <w:rPr>
          <w:spacing w:val="-12"/>
        </w:rPr>
        <w:t> </w:t>
      </w:r>
      <w:r>
        <w:rPr/>
        <w:t>Explotación</w:t>
      </w:r>
      <w:r>
        <w:rPr>
          <w:spacing w:val="-12"/>
        </w:rPr>
        <w:t> </w:t>
      </w:r>
      <w:r>
        <w:rPr/>
        <w:t>y</w:t>
      </w:r>
      <w:r>
        <w:rPr>
          <w:spacing w:val="-12"/>
        </w:rPr>
        <w:t> </w:t>
      </w:r>
      <w:r>
        <w:rPr/>
        <w:t>Transporte</w:t>
      </w:r>
      <w:r>
        <w:rPr>
          <w:spacing w:val="-12"/>
        </w:rPr>
        <w:t> </w:t>
      </w:r>
      <w:r>
        <w:rPr/>
        <w:t>de</w:t>
      </w:r>
      <w:r>
        <w:rPr>
          <w:spacing w:val="-12"/>
        </w:rPr>
        <w:t> </w:t>
      </w:r>
      <w:r>
        <w:rPr/>
        <w:t>Minerales no concesionables en el Estado de México. Fecha de publicación noviembre de 2010.</w:t>
      </w:r>
    </w:p>
    <w:p>
      <w:pPr>
        <w:pStyle w:val="BodyText"/>
        <w:spacing w:before="11"/>
      </w:pPr>
    </w:p>
    <w:p>
      <w:pPr>
        <w:pStyle w:val="BodyText"/>
        <w:spacing w:line="249" w:lineRule="auto"/>
        <w:ind w:left="754" w:right="127" w:hanging="624"/>
        <w:jc w:val="both"/>
      </w:pPr>
      <w:r>
        <w:rPr/>
        <w:t>Instituto de Fomento Minero y Estudios Geológicos del Estado de México (2013), Anuario Estadístico de la minería en el estado de México. Gobierno del Estado de México.</w:t>
      </w:r>
    </w:p>
    <w:p>
      <w:pPr>
        <w:pStyle w:val="BodyText"/>
        <w:spacing w:before="11"/>
      </w:pPr>
    </w:p>
    <w:p>
      <w:pPr>
        <w:pStyle w:val="BodyText"/>
        <w:spacing w:line="249" w:lineRule="auto"/>
        <w:ind w:left="754" w:right="128" w:hanging="624"/>
        <w:jc w:val="both"/>
      </w:pPr>
      <w:r>
        <w:rPr/>
        <w:t>Instituto</w:t>
      </w:r>
      <w:r>
        <w:rPr>
          <w:spacing w:val="-17"/>
        </w:rPr>
        <w:t> </w:t>
      </w:r>
      <w:r>
        <w:rPr/>
        <w:t>Nacional</w:t>
      </w:r>
      <w:r>
        <w:rPr>
          <w:spacing w:val="-17"/>
        </w:rPr>
        <w:t> </w:t>
      </w:r>
      <w:r>
        <w:rPr/>
        <w:t>de</w:t>
      </w:r>
      <w:r>
        <w:rPr>
          <w:spacing w:val="-17"/>
        </w:rPr>
        <w:t> </w:t>
      </w:r>
      <w:r>
        <w:rPr/>
        <w:t>Estadística,</w:t>
      </w:r>
      <w:r>
        <w:rPr>
          <w:spacing w:val="-17"/>
        </w:rPr>
        <w:t> </w:t>
      </w:r>
      <w:r>
        <w:rPr/>
        <w:t>Geografía</w:t>
      </w:r>
      <w:r>
        <w:rPr>
          <w:spacing w:val="-17"/>
        </w:rPr>
        <w:t> </w:t>
      </w:r>
      <w:r>
        <w:rPr/>
        <w:t>e</w:t>
      </w:r>
      <w:r>
        <w:rPr>
          <w:spacing w:val="-17"/>
        </w:rPr>
        <w:t> </w:t>
      </w:r>
      <w:r>
        <w:rPr/>
        <w:t>Informática</w:t>
      </w:r>
      <w:r>
        <w:rPr>
          <w:spacing w:val="-17"/>
        </w:rPr>
        <w:t> </w:t>
      </w:r>
      <w:r>
        <w:rPr/>
        <w:t>(2010),</w:t>
      </w:r>
      <w:r>
        <w:rPr>
          <w:spacing w:val="-17"/>
        </w:rPr>
        <w:t> </w:t>
      </w:r>
      <w:r>
        <w:rPr/>
        <w:t>XII</w:t>
      </w:r>
      <w:r>
        <w:rPr>
          <w:spacing w:val="-17"/>
        </w:rPr>
        <w:t> </w:t>
      </w:r>
      <w:r>
        <w:rPr/>
        <w:t>Censo</w:t>
      </w:r>
      <w:r>
        <w:rPr>
          <w:spacing w:val="-17"/>
        </w:rPr>
        <w:t> </w:t>
      </w:r>
      <w:r>
        <w:rPr/>
        <w:t>de</w:t>
      </w:r>
      <w:r>
        <w:rPr>
          <w:spacing w:val="-17"/>
        </w:rPr>
        <w:t> </w:t>
      </w:r>
      <w:r>
        <w:rPr/>
        <w:t>Población y Vivienda.</w:t>
      </w:r>
      <w:r>
        <w:rPr>
          <w:spacing w:val="6"/>
        </w:rPr>
        <w:t> </w:t>
      </w:r>
      <w:r>
        <w:rPr/>
        <w:t>México.</w:t>
      </w:r>
    </w:p>
    <w:p>
      <w:pPr>
        <w:spacing w:after="0" w:line="249" w:lineRule="auto"/>
        <w:jc w:val="both"/>
        <w:sectPr>
          <w:type w:val="continuous"/>
          <w:pgSz w:w="18830" w:h="12760" w:orient="landscape"/>
          <w:pgMar w:top="1420" w:bottom="280" w:left="720" w:right="720"/>
          <w:cols w:num="2" w:equalWidth="0">
            <w:col w:w="7842" w:space="1569"/>
            <w:col w:w="7979"/>
          </w:cols>
        </w:sectPr>
      </w:pPr>
    </w:p>
    <w:p>
      <w:pPr>
        <w:pStyle w:val="BodyText"/>
        <w:spacing w:before="6"/>
        <w:rPr>
          <w:sz w:val="23"/>
        </w:rPr>
      </w:pPr>
      <w:r>
        <w:rPr/>
        <w:drawing>
          <wp:anchor distT="0" distB="0" distL="0" distR="0" allowOverlap="1" layoutInCell="1" locked="0" behindDoc="0" simplePos="0" relativeHeight="19864">
            <wp:simplePos x="0" y="0"/>
            <wp:positionH relativeFrom="page">
              <wp:posOffset>7084898</wp:posOffset>
            </wp:positionH>
            <wp:positionV relativeFrom="page">
              <wp:posOffset>719647</wp:posOffset>
            </wp:positionV>
            <wp:extent cx="4345101" cy="6481248"/>
            <wp:effectExtent l="0" t="0" r="0" b="0"/>
            <wp:wrapNone/>
            <wp:docPr id="203" name="image152.jpeg" descr=""/>
            <wp:cNvGraphicFramePr>
              <a:graphicFrameLocks noChangeAspect="1"/>
            </wp:cNvGraphicFramePr>
            <a:graphic>
              <a:graphicData uri="http://schemas.openxmlformats.org/drawingml/2006/picture">
                <pic:pic>
                  <pic:nvPicPr>
                    <pic:cNvPr id="204" name="image152.jpeg"/>
                    <pic:cNvPicPr/>
                  </pic:nvPicPr>
                  <pic:blipFill>
                    <a:blip r:embed="rId530" cstate="print"/>
                    <a:stretch>
                      <a:fillRect/>
                    </a:stretch>
                  </pic:blipFill>
                  <pic:spPr>
                    <a:xfrm>
                      <a:off x="0" y="0"/>
                      <a:ext cx="4345101" cy="6481248"/>
                    </a:xfrm>
                    <a:prstGeom prst="rect">
                      <a:avLst/>
                    </a:prstGeom>
                  </pic:spPr>
                </pic:pic>
              </a:graphicData>
            </a:graphic>
          </wp:anchor>
        </w:drawing>
      </w:r>
    </w:p>
    <w:p>
      <w:pPr>
        <w:pStyle w:val="BodyText"/>
        <w:spacing w:line="249" w:lineRule="auto" w:before="76"/>
        <w:ind w:left="753" w:right="9538" w:hanging="624"/>
        <w:jc w:val="both"/>
      </w:pPr>
      <w:r>
        <w:rPr/>
        <w:t>Lara C. M. (2007), Metodología para la evaluación y zonificación de peligro de remociones</w:t>
      </w:r>
      <w:r>
        <w:rPr>
          <w:spacing w:val="-6"/>
        </w:rPr>
        <w:t> </w:t>
      </w:r>
      <w:r>
        <w:rPr/>
        <w:t>en</w:t>
      </w:r>
      <w:r>
        <w:rPr>
          <w:spacing w:val="-6"/>
        </w:rPr>
        <w:t> </w:t>
      </w:r>
      <w:r>
        <w:rPr/>
        <w:t>masa</w:t>
      </w:r>
      <w:r>
        <w:rPr>
          <w:spacing w:val="-6"/>
        </w:rPr>
        <w:t> </w:t>
      </w:r>
      <w:r>
        <w:rPr/>
        <w:t>con</w:t>
      </w:r>
      <w:r>
        <w:rPr>
          <w:spacing w:val="-6"/>
        </w:rPr>
        <w:t> </w:t>
      </w:r>
      <w:r>
        <w:rPr/>
        <w:t>aplicación</w:t>
      </w:r>
      <w:r>
        <w:rPr>
          <w:spacing w:val="-6"/>
        </w:rPr>
        <w:t> </w:t>
      </w:r>
      <w:r>
        <w:rPr/>
        <w:t>en</w:t>
      </w:r>
      <w:r>
        <w:rPr>
          <w:spacing w:val="-6"/>
        </w:rPr>
        <w:t> </w:t>
      </w:r>
      <w:r>
        <w:rPr/>
        <w:t>quebrada</w:t>
      </w:r>
      <w:r>
        <w:rPr>
          <w:spacing w:val="-6"/>
        </w:rPr>
        <w:t> </w:t>
      </w:r>
      <w:r>
        <w:rPr/>
        <w:t>San</w:t>
      </w:r>
      <w:r>
        <w:rPr>
          <w:spacing w:val="-6"/>
        </w:rPr>
        <w:t> </w:t>
      </w:r>
      <w:r>
        <w:rPr/>
        <w:t>Ramón,</w:t>
      </w:r>
      <w:r>
        <w:rPr>
          <w:spacing w:val="-6"/>
        </w:rPr>
        <w:t> </w:t>
      </w:r>
      <w:r>
        <w:rPr/>
        <w:t>Santiago</w:t>
      </w:r>
      <w:r>
        <w:rPr>
          <w:spacing w:val="-6"/>
        </w:rPr>
        <w:t> </w:t>
      </w:r>
      <w:r>
        <w:rPr/>
        <w:t>Orienta, Región Metropolitana. Tesis de Magíster en Ciencias, mención Geología. Facultad de Ciencias Físicas y Matemáticas, Universidad de Chile. Consultado el 5 de febrero 2013 en </w:t>
      </w:r>
      <w:hyperlink r:id="rId531">
        <w:r>
          <w:rPr>
            <w:color w:val="0077CA"/>
            <w:u w:val="single" w:color="0077CA"/>
          </w:rPr>
          <w:t>http://www.tesis.uchile.cl/tesis/uchile/2007/lara_mc/</w:t>
        </w:r>
      </w:hyperlink>
      <w:r>
        <w:rPr>
          <w:color w:val="0077CA"/>
          <w:u w:val="single" w:color="0077CA"/>
        </w:rPr>
        <w:t> </w:t>
      </w:r>
      <w:hyperlink r:id="rId531">
        <w:r>
          <w:rPr>
            <w:color w:val="0077CA"/>
            <w:u w:val="single" w:color="0077CA"/>
          </w:rPr>
          <w:t>sources/lara_mc.pdf</w:t>
        </w:r>
      </w:hyperlink>
      <w:r>
        <w:rPr/>
        <w:t>.</w:t>
      </w:r>
    </w:p>
    <w:p>
      <w:pPr>
        <w:pStyle w:val="BodyText"/>
        <w:spacing w:before="11"/>
      </w:pPr>
    </w:p>
    <w:p>
      <w:pPr>
        <w:spacing w:line="249" w:lineRule="auto" w:before="0"/>
        <w:ind w:left="753" w:right="9538" w:hanging="624"/>
        <w:jc w:val="both"/>
        <w:rPr>
          <w:i/>
          <w:sz w:val="20"/>
        </w:rPr>
      </w:pPr>
      <w:r>
        <w:rPr/>
        <w:pict>
          <v:shape style="position:absolute;margin-left:512.10144pt;margin-top:45.91116pt;width:10pt;height:238.75pt;mso-position-horizontal-relative:page;mso-position-vertical-relative:paragraph;z-index:19888" type="#_x0000_t202" filled="false" stroked="false">
            <v:textbox inset="0,0,0,0" style="layout-flow:vertical;mso-layout-flow-alt:bottom-to-top">
              <w:txbxContent>
                <w:p>
                  <w:pPr>
                    <w:spacing w:before="0"/>
                    <w:ind w:left="20" w:right="0" w:firstLine="0"/>
                    <w:jc w:val="left"/>
                    <w:rPr>
                      <w:sz w:val="16"/>
                    </w:rPr>
                  </w:pPr>
                  <w:r>
                    <w:rPr>
                      <w:color w:val="6D6E71"/>
                      <w:w w:val="101"/>
                      <w:sz w:val="16"/>
                    </w:rPr>
                    <w:t>Mapa</w:t>
                  </w:r>
                  <w:r>
                    <w:rPr>
                      <w:color w:val="6D6E71"/>
                      <w:sz w:val="16"/>
                    </w:rPr>
                    <w:t> 1. </w:t>
                  </w:r>
                  <w:r>
                    <w:rPr>
                      <w:color w:val="6D6E71"/>
                      <w:w w:val="100"/>
                      <w:sz w:val="16"/>
                    </w:rPr>
                    <w:t>Localización</w:t>
                  </w:r>
                  <w:r>
                    <w:rPr>
                      <w:color w:val="6D6E71"/>
                      <w:sz w:val="16"/>
                    </w:rPr>
                    <w:t> </w:t>
                  </w:r>
                  <w:r>
                    <w:rPr>
                      <w:color w:val="6D6E71"/>
                      <w:w w:val="101"/>
                      <w:sz w:val="16"/>
                    </w:rPr>
                    <w:t>del</w:t>
                  </w:r>
                  <w:r>
                    <w:rPr>
                      <w:color w:val="6D6E71"/>
                      <w:sz w:val="16"/>
                    </w:rPr>
                    <w:t> </w:t>
                  </w:r>
                  <w:r>
                    <w:rPr>
                      <w:color w:val="6D6E71"/>
                      <w:w w:val="102"/>
                      <w:sz w:val="16"/>
                    </w:rPr>
                    <w:t>municipio</w:t>
                  </w:r>
                  <w:r>
                    <w:rPr>
                      <w:color w:val="6D6E71"/>
                      <w:sz w:val="16"/>
                    </w:rPr>
                    <w:t> </w:t>
                  </w:r>
                  <w:r>
                    <w:rPr>
                      <w:color w:val="6D6E71"/>
                      <w:w w:val="101"/>
                      <w:sz w:val="16"/>
                    </w:rPr>
                    <w:t>de</w:t>
                  </w:r>
                  <w:r>
                    <w:rPr>
                      <w:color w:val="6D6E71"/>
                      <w:sz w:val="16"/>
                    </w:rPr>
                    <w:t> </w:t>
                  </w:r>
                  <w:r>
                    <w:rPr>
                      <w:color w:val="6D6E71"/>
                      <w:w w:val="99"/>
                      <w:sz w:val="16"/>
                    </w:rPr>
                    <w:t>Calimaya</w:t>
                  </w:r>
                  <w:r>
                    <w:rPr>
                      <w:color w:val="6D6E71"/>
                      <w:sz w:val="16"/>
                    </w:rPr>
                    <w:t> </w:t>
                  </w:r>
                  <w:r>
                    <w:rPr>
                      <w:color w:val="6D6E71"/>
                      <w:w w:val="101"/>
                      <w:sz w:val="16"/>
                    </w:rPr>
                    <w:t>de</w:t>
                  </w:r>
                  <w:r>
                    <w:rPr>
                      <w:color w:val="6D6E71"/>
                      <w:sz w:val="16"/>
                    </w:rPr>
                    <w:t> </w:t>
                  </w:r>
                  <w:r>
                    <w:rPr>
                      <w:color w:val="6D6E71"/>
                      <w:w w:val="94"/>
                      <w:sz w:val="16"/>
                    </w:rPr>
                    <w:t>Díaz</w:t>
                  </w:r>
                  <w:r>
                    <w:rPr>
                      <w:color w:val="6D6E71"/>
                      <w:sz w:val="16"/>
                    </w:rPr>
                    <w:t> </w:t>
                  </w:r>
                  <w:r>
                    <w:rPr>
                      <w:color w:val="6D6E71"/>
                      <w:w w:val="98"/>
                      <w:sz w:val="16"/>
                    </w:rPr>
                    <w:t>González</w:t>
                  </w:r>
                </w:p>
              </w:txbxContent>
            </v:textbox>
            <w10:wrap type="none"/>
          </v:shape>
        </w:pict>
      </w:r>
      <w:r>
        <w:rPr>
          <w:sz w:val="20"/>
        </w:rPr>
        <w:t>Moosser, F. A. Nairn , y J. Negendank (1974), </w:t>
      </w:r>
      <w:r>
        <w:rPr>
          <w:i/>
          <w:sz w:val="20"/>
        </w:rPr>
        <w:t>Paleomagnetic investigations of the </w:t>
      </w:r>
      <w:r>
        <w:rPr>
          <w:i/>
          <w:sz w:val="20"/>
        </w:rPr>
        <w:t>tertiary and Quaternary rocks VIII A paleomagnetic and petrologic study of volcanics of the valley of México</w:t>
      </w:r>
      <w:r>
        <w:rPr>
          <w:sz w:val="20"/>
        </w:rPr>
        <w:t>. </w:t>
      </w:r>
      <w:r>
        <w:rPr>
          <w:i/>
          <w:sz w:val="20"/>
        </w:rPr>
        <w:t>Sondertruc aus der Geologishen runds chau </w:t>
      </w:r>
      <w:r>
        <w:rPr>
          <w:i/>
          <w:sz w:val="20"/>
        </w:rPr>
        <w:t>Band. Stuttgart.</w:t>
      </w:r>
    </w:p>
    <w:p>
      <w:pPr>
        <w:pStyle w:val="BodyText"/>
        <w:spacing w:before="11"/>
        <w:rPr>
          <w:i/>
        </w:rPr>
      </w:pPr>
    </w:p>
    <w:p>
      <w:pPr>
        <w:pStyle w:val="BodyText"/>
        <w:spacing w:line="249" w:lineRule="auto"/>
        <w:ind w:left="753" w:right="9539" w:hanging="624"/>
        <w:jc w:val="both"/>
      </w:pPr>
      <w:r>
        <w:rPr/>
        <w:t>Yépez</w:t>
      </w:r>
      <w:r>
        <w:rPr>
          <w:spacing w:val="-18"/>
        </w:rPr>
        <w:t> </w:t>
      </w:r>
      <w:r>
        <w:rPr/>
        <w:t>F.</w:t>
      </w:r>
      <w:r>
        <w:rPr>
          <w:spacing w:val="-18"/>
        </w:rPr>
        <w:t> </w:t>
      </w:r>
      <w:r>
        <w:rPr/>
        <w:t>y</w:t>
      </w:r>
      <w:r>
        <w:rPr>
          <w:spacing w:val="-18"/>
        </w:rPr>
        <w:t> </w:t>
      </w:r>
      <w:r>
        <w:rPr/>
        <w:t>D´Ayala</w:t>
      </w:r>
      <w:r>
        <w:rPr>
          <w:spacing w:val="-17"/>
        </w:rPr>
        <w:t> </w:t>
      </w:r>
      <w:r>
        <w:rPr/>
        <w:t>D.</w:t>
      </w:r>
      <w:r>
        <w:rPr>
          <w:spacing w:val="-18"/>
        </w:rPr>
        <w:t> </w:t>
      </w:r>
      <w:r>
        <w:rPr/>
        <w:t>(2012),-Vulnerabilidad</w:t>
      </w:r>
      <w:r>
        <w:rPr>
          <w:spacing w:val="-18"/>
        </w:rPr>
        <w:t> </w:t>
      </w:r>
      <w:r>
        <w:rPr/>
        <w:t>física</w:t>
      </w:r>
      <w:r>
        <w:rPr>
          <w:spacing w:val="-18"/>
        </w:rPr>
        <w:t> </w:t>
      </w:r>
      <w:r>
        <w:rPr/>
        <w:t>estructural-.</w:t>
      </w:r>
      <w:r>
        <w:rPr>
          <w:spacing w:val="-17"/>
        </w:rPr>
        <w:t> </w:t>
      </w:r>
      <w:r>
        <w:rPr/>
        <w:t>Propuesta</w:t>
      </w:r>
      <w:r>
        <w:rPr>
          <w:spacing w:val="-18"/>
        </w:rPr>
        <w:t> </w:t>
      </w:r>
      <w:r>
        <w:rPr/>
        <w:t>metodológica análisis</w:t>
      </w:r>
      <w:r>
        <w:rPr>
          <w:spacing w:val="-13"/>
        </w:rPr>
        <w:t> </w:t>
      </w:r>
      <w:r>
        <w:rPr/>
        <w:t>de</w:t>
      </w:r>
      <w:r>
        <w:rPr>
          <w:spacing w:val="-13"/>
        </w:rPr>
        <w:t> </w:t>
      </w:r>
      <w:r>
        <w:rPr/>
        <w:t>vulnerabilidades</w:t>
      </w:r>
      <w:r>
        <w:rPr>
          <w:spacing w:val="-13"/>
        </w:rPr>
        <w:t> </w:t>
      </w:r>
      <w:r>
        <w:rPr/>
        <w:t>a</w:t>
      </w:r>
      <w:r>
        <w:rPr>
          <w:spacing w:val="-13"/>
        </w:rPr>
        <w:t> </w:t>
      </w:r>
      <w:r>
        <w:rPr/>
        <w:t>nivel</w:t>
      </w:r>
      <w:r>
        <w:rPr>
          <w:spacing w:val="-13"/>
        </w:rPr>
        <w:t> </w:t>
      </w:r>
      <w:r>
        <w:rPr/>
        <w:t>municipal.</w:t>
      </w:r>
      <w:r>
        <w:rPr>
          <w:spacing w:val="29"/>
        </w:rPr>
        <w:t> </w:t>
      </w:r>
      <w:r>
        <w:rPr/>
        <w:t>Secretaría</w:t>
      </w:r>
      <w:r>
        <w:rPr>
          <w:spacing w:val="-13"/>
        </w:rPr>
        <w:t> </w:t>
      </w:r>
      <w:r>
        <w:rPr/>
        <w:t>Nacional</w:t>
      </w:r>
      <w:r>
        <w:rPr>
          <w:spacing w:val="-13"/>
        </w:rPr>
        <w:t> </w:t>
      </w:r>
      <w:r>
        <w:rPr/>
        <w:t>de</w:t>
      </w:r>
      <w:r>
        <w:rPr>
          <w:spacing w:val="-13"/>
        </w:rPr>
        <w:t> </w:t>
      </w:r>
      <w:r>
        <w:rPr/>
        <w:t>Gestión</w:t>
      </w:r>
      <w:r>
        <w:rPr>
          <w:spacing w:val="-14"/>
        </w:rPr>
        <w:t> </w:t>
      </w:r>
      <w:r>
        <w:rPr/>
        <w:t>de Riesgo (SNGR). Quito,</w:t>
      </w:r>
      <w:r>
        <w:rPr>
          <w:spacing w:val="-6"/>
        </w:rPr>
        <w:t> </w:t>
      </w:r>
      <w:r>
        <w:rPr/>
        <w:t>Ecuador.</w:t>
      </w:r>
    </w:p>
    <w:p>
      <w:pPr>
        <w:spacing w:after="0" w:line="249" w:lineRule="auto"/>
        <w:jc w:val="both"/>
        <w:sectPr>
          <w:footerReference w:type="default" r:id="rId529"/>
          <w:pgSz w:w="18830" w:h="12760" w:orient="landscape"/>
          <w:pgMar w:footer="1036" w:header="522" w:top="820" w:bottom="1220" w:left="720" w:right="720"/>
        </w:sectPr>
      </w:pPr>
    </w:p>
    <w:p>
      <w:pPr>
        <w:pStyle w:val="BodyText"/>
        <w:spacing w:before="10" w:after="1"/>
        <w:rPr>
          <w:rFonts w:ascii="Times New Roman"/>
          <w:sz w:val="24"/>
        </w:rPr>
      </w:pPr>
      <w:r>
        <w:rPr/>
        <w:pict>
          <v:shape style="position:absolute;margin-left:40.699867pt;margin-top:270.427979pt;width:10pt;height:76.55pt;mso-position-horizontal-relative:page;mso-position-vertical-relative:page;z-index:19912" type="#_x0000_t202" filled="false" stroked="false">
            <v:textbox inset="0,0,0,0" style="layout-flow:vertical;mso-layout-flow-alt:bottom-to-top">
              <w:txbxContent>
                <w:p>
                  <w:pPr>
                    <w:spacing w:before="0"/>
                    <w:ind w:left="20" w:right="0" w:firstLine="0"/>
                    <w:jc w:val="left"/>
                    <w:rPr>
                      <w:sz w:val="16"/>
                    </w:rPr>
                  </w:pPr>
                  <w:r>
                    <w:rPr>
                      <w:color w:val="6D6E71"/>
                      <w:w w:val="101"/>
                      <w:sz w:val="16"/>
                    </w:rPr>
                    <w:t>Mapa</w:t>
                  </w:r>
                  <w:r>
                    <w:rPr>
                      <w:color w:val="6D6E71"/>
                      <w:sz w:val="16"/>
                    </w:rPr>
                    <w:t> 2. </w:t>
                  </w:r>
                  <w:r>
                    <w:rPr>
                      <w:color w:val="6D6E71"/>
                      <w:w w:val="102"/>
                      <w:sz w:val="16"/>
                    </w:rPr>
                    <w:t>Topográfico</w:t>
                  </w:r>
                </w:p>
              </w:txbxContent>
            </v:textbox>
            <w10:wrap type="none"/>
          </v:shape>
        </w:pict>
      </w:r>
      <w:r>
        <w:rPr/>
        <w:pict>
          <v:shape style="position:absolute;margin-left:511.251862pt;margin-top:275.987976pt;width:10pt;height:65.45pt;mso-position-horizontal-relative:page;mso-position-vertical-relative:page;z-index:-632848" type="#_x0000_t202" filled="false" stroked="false">
            <v:textbox inset="0,0,0,0" style="layout-flow:vertical;mso-layout-flow-alt:bottom-to-top">
              <w:txbxContent>
                <w:p>
                  <w:pPr>
                    <w:spacing w:before="0"/>
                    <w:ind w:left="20" w:right="0" w:firstLine="0"/>
                    <w:jc w:val="left"/>
                    <w:rPr>
                      <w:sz w:val="16"/>
                    </w:rPr>
                  </w:pPr>
                  <w:r>
                    <w:rPr>
                      <w:color w:val="6D6E71"/>
                      <w:w w:val="101"/>
                      <w:sz w:val="16"/>
                    </w:rPr>
                    <w:t>Mapa</w:t>
                  </w:r>
                  <w:r>
                    <w:rPr>
                      <w:color w:val="6D6E71"/>
                      <w:sz w:val="16"/>
                    </w:rPr>
                    <w:t> 3. </w:t>
                  </w:r>
                  <w:r>
                    <w:rPr>
                      <w:color w:val="6D6E71"/>
                      <w:w w:val="98"/>
                      <w:sz w:val="16"/>
                    </w:rPr>
                    <w:t>Geología</w:t>
                  </w:r>
                </w:p>
              </w:txbxContent>
            </v:textbox>
            <w10:wrap type="none"/>
          </v:shape>
        </w:pict>
      </w:r>
    </w:p>
    <w:p>
      <w:pPr>
        <w:pStyle w:val="BodyText"/>
        <w:tabs>
          <w:tab w:pos="10345" w:val="left" w:leader="none"/>
        </w:tabs>
        <w:ind w:left="1135"/>
        <w:rPr>
          <w:rFonts w:ascii="Times New Roman"/>
        </w:rPr>
      </w:pPr>
      <w:r>
        <w:rPr>
          <w:rFonts w:ascii="Times New Roman"/>
        </w:rPr>
        <w:drawing>
          <wp:inline distT="0" distB="0" distL="0" distR="0">
            <wp:extent cx="4269104" cy="6474809"/>
            <wp:effectExtent l="0" t="0" r="0" b="0"/>
            <wp:docPr id="205" name="image153.jpeg" descr=""/>
            <wp:cNvGraphicFramePr>
              <a:graphicFrameLocks noChangeAspect="1"/>
            </wp:cNvGraphicFramePr>
            <a:graphic>
              <a:graphicData uri="http://schemas.openxmlformats.org/drawingml/2006/picture">
                <pic:pic>
                  <pic:nvPicPr>
                    <pic:cNvPr id="206" name="image153.jpeg"/>
                    <pic:cNvPicPr/>
                  </pic:nvPicPr>
                  <pic:blipFill>
                    <a:blip r:embed="rId533" cstate="print"/>
                    <a:stretch>
                      <a:fillRect/>
                    </a:stretch>
                  </pic:blipFill>
                  <pic:spPr>
                    <a:xfrm>
                      <a:off x="0" y="0"/>
                      <a:ext cx="4269104" cy="6474809"/>
                    </a:xfrm>
                    <a:prstGeom prst="rect">
                      <a:avLst/>
                    </a:prstGeom>
                  </pic:spPr>
                </pic:pic>
              </a:graphicData>
            </a:graphic>
          </wp:inline>
        </w:drawing>
      </w:r>
      <w:r>
        <w:rPr>
          <w:rFonts w:ascii="Times New Roman"/>
        </w:rPr>
      </w:r>
      <w:r>
        <w:rPr>
          <w:rFonts w:ascii="Times New Roman"/>
        </w:rPr>
        <w:tab/>
      </w:r>
      <w:r>
        <w:rPr>
          <w:rFonts w:ascii="Times New Roman"/>
          <w:position w:val="9"/>
        </w:rPr>
        <w:drawing>
          <wp:inline distT="0" distB="0" distL="0" distR="0">
            <wp:extent cx="4382454" cy="6413944"/>
            <wp:effectExtent l="0" t="0" r="0" b="0"/>
            <wp:docPr id="207" name="image154.jpeg" descr=""/>
            <wp:cNvGraphicFramePr>
              <a:graphicFrameLocks noChangeAspect="1"/>
            </wp:cNvGraphicFramePr>
            <a:graphic>
              <a:graphicData uri="http://schemas.openxmlformats.org/drawingml/2006/picture">
                <pic:pic>
                  <pic:nvPicPr>
                    <pic:cNvPr id="208" name="image154.jpeg"/>
                    <pic:cNvPicPr/>
                  </pic:nvPicPr>
                  <pic:blipFill>
                    <a:blip r:embed="rId534" cstate="print"/>
                    <a:stretch>
                      <a:fillRect/>
                    </a:stretch>
                  </pic:blipFill>
                  <pic:spPr>
                    <a:xfrm>
                      <a:off x="0" y="0"/>
                      <a:ext cx="4382454" cy="6413944"/>
                    </a:xfrm>
                    <a:prstGeom prst="rect">
                      <a:avLst/>
                    </a:prstGeom>
                  </pic:spPr>
                </pic:pic>
              </a:graphicData>
            </a:graphic>
          </wp:inline>
        </w:drawing>
      </w:r>
      <w:r>
        <w:rPr>
          <w:rFonts w:ascii="Times New Roman"/>
          <w:position w:val="9"/>
        </w:rPr>
      </w:r>
    </w:p>
    <w:p>
      <w:pPr>
        <w:spacing w:after="0"/>
        <w:rPr>
          <w:rFonts w:ascii="Times New Roman"/>
        </w:rPr>
        <w:sectPr>
          <w:footerReference w:type="default" r:id="rId532"/>
          <w:pgSz w:w="18830" w:h="12760" w:orient="landscape"/>
          <w:pgMar w:footer="1036" w:header="522" w:top="820" w:bottom="1220" w:left="720" w:right="720"/>
        </w:sectPr>
      </w:pPr>
    </w:p>
    <w:p>
      <w:pPr>
        <w:pStyle w:val="BodyText"/>
        <w:spacing w:before="3"/>
        <w:rPr>
          <w:rFonts w:ascii="Times New Roman"/>
          <w:sz w:val="13"/>
        </w:rPr>
      </w:pPr>
      <w:r>
        <w:rPr/>
        <w:pict>
          <v:shape style="position:absolute;margin-left:40.699867pt;margin-top:255.451782pt;width:10pt;height:106.5pt;mso-position-horizontal-relative:page;mso-position-vertical-relative:page;z-index:19960" type="#_x0000_t202" filled="false" stroked="false">
            <v:textbox inset="0,0,0,0" style="layout-flow:vertical;mso-layout-flow-alt:bottom-to-top">
              <w:txbxContent>
                <w:p>
                  <w:pPr>
                    <w:spacing w:before="0"/>
                    <w:ind w:left="20" w:right="0" w:firstLine="0"/>
                    <w:jc w:val="left"/>
                    <w:rPr>
                      <w:sz w:val="16"/>
                    </w:rPr>
                  </w:pPr>
                  <w:r>
                    <w:rPr>
                      <w:color w:val="6D6E71"/>
                      <w:w w:val="101"/>
                      <w:sz w:val="16"/>
                    </w:rPr>
                    <w:t>Mapa</w:t>
                  </w:r>
                  <w:r>
                    <w:rPr>
                      <w:color w:val="6D6E71"/>
                      <w:sz w:val="16"/>
                    </w:rPr>
                    <w:t> 4. </w:t>
                  </w:r>
                  <w:r>
                    <w:rPr>
                      <w:color w:val="6D6E71"/>
                      <w:w w:val="102"/>
                      <w:sz w:val="16"/>
                    </w:rPr>
                    <w:t>Ubicación</w:t>
                  </w:r>
                  <w:r>
                    <w:rPr>
                      <w:color w:val="6D6E71"/>
                      <w:sz w:val="16"/>
                    </w:rPr>
                    <w:t> </w:t>
                  </w:r>
                  <w:r>
                    <w:rPr>
                      <w:color w:val="6D6E71"/>
                      <w:w w:val="101"/>
                      <w:sz w:val="16"/>
                    </w:rPr>
                    <w:t>de</w:t>
                  </w:r>
                  <w:r>
                    <w:rPr>
                      <w:color w:val="6D6E71"/>
                      <w:sz w:val="16"/>
                    </w:rPr>
                    <w:t> </w:t>
                  </w:r>
                  <w:r>
                    <w:rPr>
                      <w:color w:val="6D6E71"/>
                      <w:w w:val="100"/>
                      <w:sz w:val="16"/>
                    </w:rPr>
                    <w:t>minas.</w:t>
                  </w:r>
                </w:p>
              </w:txbxContent>
            </v:textbox>
            <w10:wrap type="none"/>
          </v:shape>
        </w:pict>
      </w:r>
      <w:r>
        <w:rPr/>
        <w:pict>
          <v:shape style="position:absolute;margin-left:511.251068pt;margin-top:229.083374pt;width:10pt;height:159.25pt;mso-position-horizontal-relative:page;mso-position-vertical-relative:page;z-index:-632800" type="#_x0000_t202" filled="false" stroked="false">
            <v:textbox inset="0,0,0,0" style="layout-flow:vertical;mso-layout-flow-alt:bottom-to-top">
              <w:txbxContent>
                <w:p>
                  <w:pPr>
                    <w:spacing w:before="0"/>
                    <w:ind w:left="20" w:right="0" w:firstLine="0"/>
                    <w:jc w:val="left"/>
                    <w:rPr>
                      <w:sz w:val="16"/>
                    </w:rPr>
                  </w:pPr>
                  <w:r>
                    <w:rPr>
                      <w:color w:val="6D6E71"/>
                      <w:w w:val="101"/>
                      <w:sz w:val="16"/>
                    </w:rPr>
                    <w:t>Mapa</w:t>
                  </w:r>
                  <w:r>
                    <w:rPr>
                      <w:color w:val="6D6E71"/>
                      <w:sz w:val="16"/>
                    </w:rPr>
                    <w:t> 5. </w:t>
                  </w:r>
                  <w:r>
                    <w:rPr>
                      <w:color w:val="6D6E71"/>
                      <w:w w:val="100"/>
                      <w:sz w:val="16"/>
                    </w:rPr>
                    <w:t>Uso</w:t>
                  </w:r>
                  <w:r>
                    <w:rPr>
                      <w:color w:val="6D6E71"/>
                      <w:sz w:val="16"/>
                    </w:rPr>
                    <w:t> </w:t>
                  </w:r>
                  <w:r>
                    <w:rPr>
                      <w:color w:val="6D6E71"/>
                      <w:w w:val="101"/>
                      <w:sz w:val="16"/>
                    </w:rPr>
                    <w:t>de</w:t>
                  </w:r>
                  <w:r>
                    <w:rPr>
                      <w:color w:val="6D6E71"/>
                      <w:sz w:val="16"/>
                    </w:rPr>
                    <w:t> </w:t>
                  </w:r>
                  <w:r>
                    <w:rPr>
                      <w:color w:val="6D6E71"/>
                      <w:w w:val="99"/>
                      <w:sz w:val="16"/>
                    </w:rPr>
                    <w:t>suelo</w:t>
                  </w:r>
                  <w:r>
                    <w:rPr>
                      <w:color w:val="6D6E71"/>
                      <w:sz w:val="16"/>
                    </w:rPr>
                    <w:t> </w:t>
                  </w:r>
                  <w:r>
                    <w:rPr>
                      <w:color w:val="6D6E71"/>
                      <w:w w:val="101"/>
                      <w:sz w:val="16"/>
                    </w:rPr>
                    <w:t>de</w:t>
                  </w:r>
                  <w:r>
                    <w:rPr>
                      <w:color w:val="6D6E71"/>
                      <w:sz w:val="16"/>
                    </w:rPr>
                    <w:t> </w:t>
                  </w:r>
                  <w:r>
                    <w:rPr>
                      <w:color w:val="6D6E71"/>
                      <w:w w:val="97"/>
                      <w:sz w:val="16"/>
                    </w:rPr>
                    <w:t>la</w:t>
                  </w:r>
                  <w:r>
                    <w:rPr>
                      <w:color w:val="6D6E71"/>
                      <w:sz w:val="16"/>
                    </w:rPr>
                    <w:t> </w:t>
                  </w:r>
                  <w:r>
                    <w:rPr>
                      <w:color w:val="6D6E71"/>
                      <w:w w:val="99"/>
                      <w:sz w:val="16"/>
                    </w:rPr>
                    <w:t>zona</w:t>
                  </w:r>
                  <w:r>
                    <w:rPr>
                      <w:color w:val="6D6E71"/>
                      <w:sz w:val="16"/>
                    </w:rPr>
                    <w:t> </w:t>
                  </w:r>
                  <w:r>
                    <w:rPr>
                      <w:color w:val="6D6E71"/>
                      <w:w w:val="101"/>
                      <w:sz w:val="16"/>
                    </w:rPr>
                    <w:t>de</w:t>
                  </w:r>
                  <w:r>
                    <w:rPr>
                      <w:color w:val="6D6E71"/>
                      <w:sz w:val="16"/>
                    </w:rPr>
                    <w:t> </w:t>
                  </w:r>
                  <w:r>
                    <w:rPr>
                      <w:color w:val="6D6E71"/>
                      <w:w w:val="102"/>
                      <w:sz w:val="16"/>
                    </w:rPr>
                    <w:t>estudio</w:t>
                  </w:r>
                </w:p>
              </w:txbxContent>
            </v:textbox>
            <w10:wrap type="none"/>
          </v:shape>
        </w:pict>
      </w:r>
    </w:p>
    <w:p>
      <w:pPr>
        <w:pStyle w:val="BodyText"/>
        <w:tabs>
          <w:tab w:pos="10356" w:val="left" w:leader="none"/>
        </w:tabs>
        <w:ind w:left="1144"/>
        <w:rPr>
          <w:rFonts w:ascii="Times New Roman"/>
        </w:rPr>
      </w:pPr>
      <w:r>
        <w:rPr>
          <w:rFonts w:ascii="Times New Roman"/>
          <w:position w:val="8"/>
        </w:rPr>
        <w:drawing>
          <wp:inline distT="0" distB="0" distL="0" distR="0">
            <wp:extent cx="4277012" cy="6514338"/>
            <wp:effectExtent l="0" t="0" r="0" b="0"/>
            <wp:docPr id="209" name="image155.jpeg" descr=""/>
            <wp:cNvGraphicFramePr>
              <a:graphicFrameLocks noChangeAspect="1"/>
            </wp:cNvGraphicFramePr>
            <a:graphic>
              <a:graphicData uri="http://schemas.openxmlformats.org/drawingml/2006/picture">
                <pic:pic>
                  <pic:nvPicPr>
                    <pic:cNvPr id="210" name="image155.jpeg"/>
                    <pic:cNvPicPr/>
                  </pic:nvPicPr>
                  <pic:blipFill>
                    <a:blip r:embed="rId536" cstate="print"/>
                    <a:stretch>
                      <a:fillRect/>
                    </a:stretch>
                  </pic:blipFill>
                  <pic:spPr>
                    <a:xfrm>
                      <a:off x="0" y="0"/>
                      <a:ext cx="4277012" cy="6514338"/>
                    </a:xfrm>
                    <a:prstGeom prst="rect">
                      <a:avLst/>
                    </a:prstGeom>
                  </pic:spPr>
                </pic:pic>
              </a:graphicData>
            </a:graphic>
          </wp:inline>
        </w:drawing>
      </w:r>
      <w:r>
        <w:rPr>
          <w:rFonts w:ascii="Times New Roman"/>
          <w:position w:val="8"/>
        </w:rPr>
      </w:r>
      <w:r>
        <w:rPr>
          <w:rFonts w:ascii="Times New Roman"/>
          <w:position w:val="8"/>
        </w:rPr>
        <w:tab/>
      </w:r>
      <w:r>
        <w:rPr>
          <w:rFonts w:ascii="Times New Roman"/>
        </w:rPr>
        <w:drawing>
          <wp:inline distT="0" distB="0" distL="0" distR="0">
            <wp:extent cx="4444829" cy="6574155"/>
            <wp:effectExtent l="0" t="0" r="0" b="0"/>
            <wp:docPr id="211" name="image156.jpeg" descr=""/>
            <wp:cNvGraphicFramePr>
              <a:graphicFrameLocks noChangeAspect="1"/>
            </wp:cNvGraphicFramePr>
            <a:graphic>
              <a:graphicData uri="http://schemas.openxmlformats.org/drawingml/2006/picture">
                <pic:pic>
                  <pic:nvPicPr>
                    <pic:cNvPr id="212" name="image156.jpeg"/>
                    <pic:cNvPicPr/>
                  </pic:nvPicPr>
                  <pic:blipFill>
                    <a:blip r:embed="rId537" cstate="print"/>
                    <a:stretch>
                      <a:fillRect/>
                    </a:stretch>
                  </pic:blipFill>
                  <pic:spPr>
                    <a:xfrm>
                      <a:off x="0" y="0"/>
                      <a:ext cx="4444829" cy="6574155"/>
                    </a:xfrm>
                    <a:prstGeom prst="rect">
                      <a:avLst/>
                    </a:prstGeom>
                  </pic:spPr>
                </pic:pic>
              </a:graphicData>
            </a:graphic>
          </wp:inline>
        </w:drawing>
      </w:r>
      <w:r>
        <w:rPr>
          <w:rFonts w:ascii="Times New Roman"/>
        </w:rPr>
      </w:r>
    </w:p>
    <w:p>
      <w:pPr>
        <w:spacing w:after="0"/>
        <w:rPr>
          <w:rFonts w:ascii="Times New Roman"/>
        </w:rPr>
        <w:sectPr>
          <w:footerReference w:type="default" r:id="rId535"/>
          <w:pgSz w:w="18830" w:h="12760" w:orient="landscape"/>
          <w:pgMar w:footer="1036" w:header="522" w:top="820" w:bottom="1220" w:left="720" w:right="620"/>
        </w:sectPr>
      </w:pPr>
    </w:p>
    <w:p>
      <w:pPr>
        <w:pStyle w:val="BodyText"/>
        <w:spacing w:before="8"/>
        <w:rPr>
          <w:rFonts w:ascii="Times New Roman"/>
        </w:rPr>
      </w:pPr>
    </w:p>
    <w:p>
      <w:pPr>
        <w:pStyle w:val="Heading1"/>
        <w:spacing w:line="240" w:lineRule="exact" w:before="104"/>
        <w:ind w:left="9596" w:right="154"/>
        <w:jc w:val="center"/>
      </w:pPr>
      <w:r>
        <w:rPr/>
        <w:t>Spatial expansion and social and economic development of the Brazilian Megalopolis between Rio de Janeiro and São Paulo</w:t>
      </w:r>
    </w:p>
    <w:p>
      <w:pPr>
        <w:pStyle w:val="BodyText"/>
        <w:spacing w:before="10"/>
        <w:rPr>
          <w:b/>
        </w:rPr>
      </w:pPr>
    </w:p>
    <w:p>
      <w:pPr>
        <w:spacing w:line="240" w:lineRule="exact" w:before="0"/>
        <w:ind w:left="9596" w:right="154" w:firstLine="0"/>
        <w:jc w:val="center"/>
        <w:rPr>
          <w:b/>
          <w:sz w:val="24"/>
        </w:rPr>
      </w:pPr>
      <w:r>
        <w:rPr>
          <w:b/>
          <w:sz w:val="24"/>
        </w:rPr>
        <w:t>Expansión espacial y el desarrollo social y económico de la Megalópolis Brasileña entre Río de Janeiro y São Paulo</w:t>
      </w:r>
    </w:p>
    <w:p>
      <w:pPr>
        <w:pStyle w:val="BodyText"/>
        <w:spacing w:before="5"/>
        <w:rPr>
          <w:b/>
          <w:sz w:val="17"/>
        </w:rPr>
      </w:pPr>
    </w:p>
    <w:p>
      <w:pPr>
        <w:spacing w:after="0"/>
        <w:rPr>
          <w:sz w:val="17"/>
        </w:rPr>
        <w:sectPr>
          <w:footerReference w:type="default" r:id="rId538"/>
          <w:pgSz w:w="18830" w:h="12760" w:orient="landscape"/>
          <w:pgMar w:footer="1036" w:header="522" w:top="820" w:bottom="1220" w:left="720" w:right="720"/>
        </w:sectPr>
      </w:pPr>
    </w:p>
    <w:p>
      <w:pPr>
        <w:pStyle w:val="BodyText"/>
        <w:rPr>
          <w:b/>
          <w:sz w:val="24"/>
        </w:rPr>
      </w:pPr>
    </w:p>
    <w:p>
      <w:pPr>
        <w:pStyle w:val="BodyText"/>
        <w:rPr>
          <w:b/>
          <w:sz w:val="24"/>
        </w:rPr>
      </w:pPr>
    </w:p>
    <w:p>
      <w:pPr>
        <w:pStyle w:val="BodyText"/>
        <w:rPr>
          <w:b/>
          <w:sz w:val="24"/>
        </w:rPr>
      </w:pPr>
    </w:p>
    <w:p>
      <w:pPr>
        <w:pStyle w:val="Heading2"/>
        <w:spacing w:before="138"/>
        <w:ind w:left="0"/>
        <w:jc w:val="right"/>
        <w:rPr>
          <w:i/>
        </w:rPr>
      </w:pPr>
      <w:r>
        <w:rPr/>
        <w:pict>
          <v:shape style="position:absolute;margin-left:40.699867pt;margin-top:3.433333pt;width:10pt;height:269.45pt;mso-position-horizontal-relative:page;mso-position-vertical-relative:paragraph;z-index:20032" type="#_x0000_t202" filled="false" stroked="false">
            <v:textbox inset="0,0,0,0" style="layout-flow:vertical;mso-layout-flow-alt:bottom-to-top">
              <w:txbxContent>
                <w:p>
                  <w:pPr>
                    <w:spacing w:before="0"/>
                    <w:ind w:left="20" w:right="0" w:firstLine="0"/>
                    <w:jc w:val="left"/>
                    <w:rPr>
                      <w:sz w:val="16"/>
                    </w:rPr>
                  </w:pPr>
                  <w:r>
                    <w:rPr>
                      <w:color w:val="6D6E71"/>
                      <w:w w:val="101"/>
                      <w:sz w:val="16"/>
                    </w:rPr>
                    <w:t>Mapa</w:t>
                  </w:r>
                  <w:r>
                    <w:rPr>
                      <w:color w:val="6D6E71"/>
                      <w:sz w:val="16"/>
                    </w:rPr>
                    <w:t> 6. </w:t>
                  </w:r>
                  <w:r>
                    <w:rPr>
                      <w:color w:val="6D6E71"/>
                      <w:w w:val="99"/>
                      <w:sz w:val="16"/>
                    </w:rPr>
                    <w:t>Nivel</w:t>
                  </w:r>
                  <w:r>
                    <w:rPr>
                      <w:color w:val="6D6E71"/>
                      <w:sz w:val="16"/>
                    </w:rPr>
                    <w:t> </w:t>
                  </w:r>
                  <w:r>
                    <w:rPr>
                      <w:color w:val="6D6E71"/>
                      <w:w w:val="101"/>
                      <w:sz w:val="16"/>
                    </w:rPr>
                    <w:t>de</w:t>
                  </w:r>
                  <w:r>
                    <w:rPr>
                      <w:color w:val="6D6E71"/>
                      <w:sz w:val="16"/>
                    </w:rPr>
                    <w:t> </w:t>
                  </w:r>
                  <w:r>
                    <w:rPr>
                      <w:color w:val="6D6E71"/>
                      <w:w w:val="99"/>
                      <w:sz w:val="16"/>
                    </w:rPr>
                    <w:t>Vulnerabilidad</w:t>
                  </w:r>
                  <w:r>
                    <w:rPr>
                      <w:color w:val="6D6E71"/>
                      <w:sz w:val="16"/>
                    </w:rPr>
                    <w:t> </w:t>
                  </w:r>
                  <w:r>
                    <w:rPr>
                      <w:color w:val="6D6E71"/>
                      <w:w w:val="97"/>
                      <w:sz w:val="16"/>
                    </w:rPr>
                    <w:t>Física</w:t>
                  </w:r>
                  <w:r>
                    <w:rPr>
                      <w:color w:val="6D6E71"/>
                      <w:sz w:val="16"/>
                    </w:rPr>
                    <w:t> </w:t>
                  </w:r>
                  <w:r>
                    <w:rPr>
                      <w:color w:val="6D6E71"/>
                      <w:w w:val="100"/>
                      <w:sz w:val="16"/>
                    </w:rPr>
                    <w:t>Estructural</w:t>
                  </w:r>
                  <w:r>
                    <w:rPr>
                      <w:color w:val="6D6E71"/>
                      <w:sz w:val="16"/>
                    </w:rPr>
                    <w:t> </w:t>
                  </w:r>
                  <w:r>
                    <w:rPr>
                      <w:color w:val="6D6E71"/>
                      <w:w w:val="98"/>
                      <w:sz w:val="16"/>
                    </w:rPr>
                    <w:t>en</w:t>
                  </w:r>
                  <w:r>
                    <w:rPr>
                      <w:color w:val="6D6E71"/>
                      <w:sz w:val="16"/>
                    </w:rPr>
                    <w:t> </w:t>
                  </w:r>
                  <w:r>
                    <w:rPr>
                      <w:color w:val="6D6E71"/>
                      <w:w w:val="99"/>
                      <w:sz w:val="16"/>
                    </w:rPr>
                    <w:t>Zonas</w:t>
                  </w:r>
                  <w:r>
                    <w:rPr>
                      <w:color w:val="6D6E71"/>
                      <w:sz w:val="16"/>
                    </w:rPr>
                    <w:t> </w:t>
                  </w:r>
                  <w:r>
                    <w:rPr>
                      <w:color w:val="6D6E71"/>
                      <w:w w:val="100"/>
                      <w:sz w:val="16"/>
                    </w:rPr>
                    <w:t>Habitacionales</w:t>
                  </w:r>
                </w:p>
              </w:txbxContent>
            </v:textbox>
            <w10:wrap type="none"/>
          </v:shape>
        </w:pict>
      </w:r>
      <w:r>
        <w:rPr>
          <w:i/>
        </w:rPr>
        <w:t>Abstract</w:t>
      </w:r>
    </w:p>
    <w:p>
      <w:pPr>
        <w:spacing w:line="312" w:lineRule="auto" w:before="81"/>
        <w:ind w:left="1934" w:right="98" w:firstLine="122"/>
        <w:jc w:val="left"/>
        <w:rPr>
          <w:sz w:val="16"/>
        </w:rPr>
      </w:pPr>
      <w:r>
        <w:rPr/>
        <w:br w:type="column"/>
      </w:r>
      <w:r>
        <w:rPr>
          <w:sz w:val="16"/>
        </w:rPr>
        <w:t>Mirosław Wójtowicz Instituto de Geografía</w:t>
      </w:r>
    </w:p>
    <w:p>
      <w:pPr>
        <w:spacing w:before="2"/>
        <w:ind w:left="829" w:right="0" w:firstLine="0"/>
        <w:jc w:val="left"/>
        <w:rPr>
          <w:sz w:val="16"/>
        </w:rPr>
      </w:pPr>
      <w:r>
        <w:rPr>
          <w:sz w:val="16"/>
        </w:rPr>
        <w:t>Universidad Pedagógica de Cracovia</w:t>
      </w:r>
    </w:p>
    <w:p>
      <w:pPr>
        <w:spacing w:before="56"/>
        <w:ind w:left="1996" w:right="0" w:firstLine="0"/>
        <w:jc w:val="left"/>
        <w:rPr>
          <w:sz w:val="16"/>
        </w:rPr>
      </w:pPr>
      <w:hyperlink r:id="rId339">
        <w:r>
          <w:rPr>
            <w:sz w:val="16"/>
          </w:rPr>
          <w:t>mwojt@up.krakow.pl</w:t>
        </w:r>
      </w:hyperlink>
    </w:p>
    <w:p>
      <w:pPr>
        <w:spacing w:after="0"/>
        <w:jc w:val="left"/>
        <w:rPr>
          <w:sz w:val="16"/>
        </w:rPr>
        <w:sectPr>
          <w:type w:val="continuous"/>
          <w:pgSz w:w="18830" w:h="12760" w:orient="landscape"/>
          <w:pgMar w:top="1420" w:bottom="280" w:left="720" w:right="720"/>
          <w:cols w:num="2" w:equalWidth="0">
            <w:col w:w="10690" w:space="3109"/>
            <w:col w:w="3591"/>
          </w:cols>
        </w:sectPr>
      </w:pPr>
    </w:p>
    <w:p>
      <w:pPr>
        <w:pStyle w:val="BodyText"/>
        <w:spacing w:before="4"/>
        <w:rPr>
          <w:sz w:val="14"/>
        </w:rPr>
      </w:pPr>
      <w:r>
        <w:rPr/>
        <w:drawing>
          <wp:anchor distT="0" distB="0" distL="0" distR="0" allowOverlap="1" layoutInCell="1" locked="0" behindDoc="0" simplePos="0" relativeHeight="20008">
            <wp:simplePos x="0" y="0"/>
            <wp:positionH relativeFrom="page">
              <wp:posOffset>984000</wp:posOffset>
            </wp:positionH>
            <wp:positionV relativeFrom="page">
              <wp:posOffset>658736</wp:posOffset>
            </wp:positionV>
            <wp:extent cx="4502399" cy="6542160"/>
            <wp:effectExtent l="0" t="0" r="0" b="0"/>
            <wp:wrapNone/>
            <wp:docPr id="213" name="image157.jpeg" descr=""/>
            <wp:cNvGraphicFramePr>
              <a:graphicFrameLocks noChangeAspect="1"/>
            </wp:cNvGraphicFramePr>
            <a:graphic>
              <a:graphicData uri="http://schemas.openxmlformats.org/drawingml/2006/picture">
                <pic:pic>
                  <pic:nvPicPr>
                    <pic:cNvPr id="214" name="image157.jpeg"/>
                    <pic:cNvPicPr/>
                  </pic:nvPicPr>
                  <pic:blipFill>
                    <a:blip r:embed="rId539" cstate="print"/>
                    <a:stretch>
                      <a:fillRect/>
                    </a:stretch>
                  </pic:blipFill>
                  <pic:spPr>
                    <a:xfrm>
                      <a:off x="0" y="0"/>
                      <a:ext cx="4502399" cy="6542160"/>
                    </a:xfrm>
                    <a:prstGeom prst="rect">
                      <a:avLst/>
                    </a:prstGeom>
                  </pic:spPr>
                </pic:pic>
              </a:graphicData>
            </a:graphic>
          </wp:anchor>
        </w:drawing>
      </w:r>
    </w:p>
    <w:p>
      <w:pPr>
        <w:pStyle w:val="BodyText"/>
        <w:spacing w:line="249" w:lineRule="auto" w:before="76"/>
        <w:ind w:left="9541" w:right="98" w:firstLine="170"/>
        <w:jc w:val="both"/>
      </w:pPr>
      <w:r>
        <w:rPr/>
        <w:t>The purpose of the paper is to describe the population size as well as rates of growth and spatial differences in population growth within the so-called Brazilian Megalopolis  in the period 1991 – 2014. The study also discusses the level of social and economic development in municipalities and regions forming the Megalopolis as well as their significance in Brazil’s national economy. Research has shown that the population of the Megalopolis in the period 1991 – 2014 increased 37.2% or one percentage point less than the rate of population growth in Brazil as a whole. As a result, the share of the Megalopolis’ population in Brazil’s total population decreased slightly from 24.22% to 24.06%. This expansive urban region is also very important in the economy of Brazil, producing close to 38% of the country’s GDP in the year 2011. The urban region of  Sao Paulo alone produced more than 18% of Brazil’s GDP in 2011. The continuing concentration of economic growth as well as population in the studied Megalopolis suggests that its significance will continue to increase within Brazil itself and in all of South</w:t>
      </w:r>
      <w:r>
        <w:rPr>
          <w:spacing w:val="7"/>
        </w:rPr>
        <w:t> </w:t>
      </w:r>
      <w:r>
        <w:rPr/>
        <w:t>America.</w:t>
      </w:r>
    </w:p>
    <w:p>
      <w:pPr>
        <w:pStyle w:val="BodyText"/>
        <w:spacing w:before="11"/>
      </w:pPr>
    </w:p>
    <w:p>
      <w:pPr>
        <w:pStyle w:val="BodyText"/>
        <w:spacing w:line="249" w:lineRule="auto"/>
        <w:ind w:left="9541" w:right="100" w:firstLine="170"/>
        <w:jc w:val="both"/>
      </w:pPr>
      <w:r>
        <w:rPr>
          <w:b/>
          <w:i/>
        </w:rPr>
        <w:t>Keywords: </w:t>
      </w:r>
      <w:r>
        <w:rPr/>
        <w:t>Brazil, Brazilian Megalopolis, São Paulo, Rio de Janeiro, metropolitan growth,  megalopolis growth</w:t>
      </w:r>
    </w:p>
    <w:p>
      <w:pPr>
        <w:pStyle w:val="BodyText"/>
        <w:spacing w:before="8"/>
        <w:rPr>
          <w:sz w:val="17"/>
        </w:rPr>
      </w:pPr>
    </w:p>
    <w:p>
      <w:pPr>
        <w:pStyle w:val="Heading1"/>
        <w:ind w:left="3624" w:right="184"/>
        <w:jc w:val="center"/>
      </w:pPr>
      <w:r>
        <w:rPr/>
        <w:t>Introduction</w:t>
      </w:r>
    </w:p>
    <w:p>
      <w:pPr>
        <w:pStyle w:val="BodyText"/>
        <w:rPr>
          <w:b/>
          <w:sz w:val="21"/>
        </w:rPr>
      </w:pPr>
    </w:p>
    <w:p>
      <w:pPr>
        <w:pStyle w:val="BodyText"/>
        <w:spacing w:line="249" w:lineRule="auto"/>
        <w:ind w:left="9541" w:right="98" w:firstLine="170"/>
        <w:jc w:val="both"/>
      </w:pPr>
      <w:r>
        <w:rPr/>
        <w:t>The first publication on the concept of a megalopolis was that of J. Gottmann (1957) on the megalopolis of the eastern United States, stretching from Washington D.C. to Boston. Many research publications have addressed this subject since that time with regard to other parts of the world. A megalopolis is an expansive settled area that stretches in a fairly linear manner and includes at least several major metropolitan areas,</w:t>
      </w:r>
      <w:r>
        <w:rPr>
          <w:spacing w:val="-6"/>
        </w:rPr>
        <w:t> </w:t>
      </w:r>
      <w:r>
        <w:rPr/>
        <w:t>which</w:t>
      </w:r>
      <w:r>
        <w:rPr>
          <w:spacing w:val="-6"/>
        </w:rPr>
        <w:t> </w:t>
      </w:r>
      <w:r>
        <w:rPr/>
        <w:t>had</w:t>
      </w:r>
      <w:r>
        <w:rPr>
          <w:spacing w:val="-6"/>
        </w:rPr>
        <w:t> </w:t>
      </w:r>
      <w:r>
        <w:rPr/>
        <w:t>merged</w:t>
      </w:r>
      <w:r>
        <w:rPr>
          <w:spacing w:val="-6"/>
        </w:rPr>
        <w:t> </w:t>
      </w:r>
      <w:r>
        <w:rPr/>
        <w:t>over</w:t>
      </w:r>
      <w:r>
        <w:rPr>
          <w:spacing w:val="-6"/>
        </w:rPr>
        <w:t> </w:t>
      </w:r>
      <w:r>
        <w:rPr/>
        <w:t>time</w:t>
      </w:r>
      <w:r>
        <w:rPr>
          <w:spacing w:val="-6"/>
        </w:rPr>
        <w:t> </w:t>
      </w:r>
      <w:r>
        <w:rPr/>
        <w:t>thanks</w:t>
      </w:r>
      <w:r>
        <w:rPr>
          <w:spacing w:val="-6"/>
        </w:rPr>
        <w:t> </w:t>
      </w:r>
      <w:r>
        <w:rPr/>
        <w:t>to</w:t>
      </w:r>
      <w:r>
        <w:rPr>
          <w:spacing w:val="-6"/>
        </w:rPr>
        <w:t> </w:t>
      </w:r>
      <w:r>
        <w:rPr/>
        <w:t>spatial</w:t>
      </w:r>
      <w:r>
        <w:rPr>
          <w:spacing w:val="-6"/>
        </w:rPr>
        <w:t> </w:t>
      </w:r>
      <w:r>
        <w:rPr/>
        <w:t>expansion.</w:t>
      </w:r>
      <w:r>
        <w:rPr>
          <w:spacing w:val="-6"/>
        </w:rPr>
        <w:t> </w:t>
      </w:r>
      <w:r>
        <w:rPr/>
        <w:t>This</w:t>
      </w:r>
      <w:r>
        <w:rPr>
          <w:spacing w:val="-6"/>
        </w:rPr>
        <w:t> </w:t>
      </w:r>
      <w:r>
        <w:rPr/>
        <w:t>single</w:t>
      </w:r>
      <w:r>
        <w:rPr>
          <w:spacing w:val="-6"/>
        </w:rPr>
        <w:t> </w:t>
      </w:r>
      <w:r>
        <w:rPr/>
        <w:t>and</w:t>
      </w:r>
      <w:r>
        <w:rPr>
          <w:spacing w:val="-6"/>
        </w:rPr>
        <w:t> </w:t>
      </w:r>
      <w:r>
        <w:rPr/>
        <w:t>strongly urbanized region is often called an </w:t>
      </w:r>
      <w:r>
        <w:rPr>
          <w:i/>
        </w:rPr>
        <w:t>urban corridor </w:t>
      </w:r>
      <w:r>
        <w:rPr/>
        <w:t>(Gottmann 1957) or an </w:t>
      </w:r>
      <w:r>
        <w:rPr>
          <w:i/>
        </w:rPr>
        <w:t>extended </w:t>
      </w:r>
      <w:r>
        <w:rPr>
          <w:i/>
        </w:rPr>
        <w:t>metropolitan region </w:t>
      </w:r>
      <w:r>
        <w:rPr/>
        <w:t>(Tolosa 2003). Such connected regions emerge as a result of both intensive and extensive</w:t>
      </w:r>
      <w:r>
        <w:rPr>
          <w:spacing w:val="9"/>
        </w:rPr>
        <w:t> </w:t>
      </w:r>
      <w:r>
        <w:rPr/>
        <w:t>urbanization.</w:t>
      </w:r>
    </w:p>
    <w:p>
      <w:pPr>
        <w:spacing w:after="0" w:line="249" w:lineRule="auto"/>
        <w:jc w:val="both"/>
        <w:sectPr>
          <w:type w:val="continuous"/>
          <w:pgSz w:w="18830" w:h="12760" w:orient="landscape"/>
          <w:pgMar w:top="1420" w:bottom="280" w:left="720" w:right="720"/>
        </w:sectPr>
      </w:pPr>
    </w:p>
    <w:p>
      <w:pPr>
        <w:pStyle w:val="BodyText"/>
        <w:spacing w:before="6"/>
        <w:rPr>
          <w:sz w:val="23"/>
        </w:rPr>
      </w:pPr>
    </w:p>
    <w:p>
      <w:pPr>
        <w:spacing w:after="0"/>
        <w:rPr>
          <w:sz w:val="23"/>
        </w:rPr>
        <w:sectPr>
          <w:footerReference w:type="default" r:id="rId540"/>
          <w:pgSz w:w="18830" w:h="12760" w:orient="landscape"/>
          <w:pgMar w:footer="1036" w:header="522" w:top="820" w:bottom="1220" w:left="720" w:right="720"/>
        </w:sectPr>
      </w:pPr>
    </w:p>
    <w:p>
      <w:pPr>
        <w:pStyle w:val="BodyText"/>
        <w:spacing w:line="249" w:lineRule="auto" w:before="76"/>
        <w:ind w:left="131" w:firstLine="720"/>
        <w:jc w:val="both"/>
      </w:pPr>
      <w:r>
        <w:rPr/>
        <w:t>Intensive</w:t>
      </w:r>
      <w:r>
        <w:rPr>
          <w:spacing w:val="-18"/>
        </w:rPr>
        <w:t> </w:t>
      </w:r>
      <w:r>
        <w:rPr/>
        <w:t>urbanization</w:t>
      </w:r>
      <w:r>
        <w:rPr>
          <w:spacing w:val="-18"/>
        </w:rPr>
        <w:t> </w:t>
      </w:r>
      <w:r>
        <w:rPr/>
        <w:t>is</w:t>
      </w:r>
      <w:r>
        <w:rPr>
          <w:spacing w:val="-18"/>
        </w:rPr>
        <w:t> </w:t>
      </w:r>
      <w:r>
        <w:rPr/>
        <w:t>characterized</w:t>
      </w:r>
      <w:r>
        <w:rPr>
          <w:spacing w:val="-18"/>
        </w:rPr>
        <w:t> </w:t>
      </w:r>
      <w:r>
        <w:rPr/>
        <w:t>by</w:t>
      </w:r>
      <w:r>
        <w:rPr>
          <w:spacing w:val="-18"/>
        </w:rPr>
        <w:t> </w:t>
      </w:r>
      <w:r>
        <w:rPr/>
        <w:t>an</w:t>
      </w:r>
      <w:r>
        <w:rPr>
          <w:spacing w:val="-18"/>
        </w:rPr>
        <w:t> </w:t>
      </w:r>
      <w:r>
        <w:rPr/>
        <w:t>increase</w:t>
      </w:r>
      <w:r>
        <w:rPr>
          <w:spacing w:val="-18"/>
        </w:rPr>
        <w:t> </w:t>
      </w:r>
      <w:r>
        <w:rPr/>
        <w:t>in</w:t>
      </w:r>
      <w:r>
        <w:rPr>
          <w:spacing w:val="-18"/>
        </w:rPr>
        <w:t> </w:t>
      </w:r>
      <w:r>
        <w:rPr/>
        <w:t>the</w:t>
      </w:r>
      <w:r>
        <w:rPr>
          <w:spacing w:val="-18"/>
        </w:rPr>
        <w:t> </w:t>
      </w:r>
      <w:r>
        <w:rPr/>
        <w:t>amount</w:t>
      </w:r>
      <w:r>
        <w:rPr>
          <w:spacing w:val="-18"/>
        </w:rPr>
        <w:t> </w:t>
      </w:r>
      <w:r>
        <w:rPr/>
        <w:t>of</w:t>
      </w:r>
      <w:r>
        <w:rPr>
          <w:spacing w:val="-18"/>
        </w:rPr>
        <w:t> </w:t>
      </w:r>
      <w:r>
        <w:rPr/>
        <w:t>urbanized area due to suburbanization encroaching upon an ever larger area and merging</w:t>
      </w:r>
      <w:r>
        <w:rPr>
          <w:spacing w:val="-19"/>
        </w:rPr>
        <w:t> </w:t>
      </w:r>
      <w:r>
        <w:rPr/>
        <w:t>distinct urban areas into one very large urban area. Extensive urbanization is characterized    by metropolitan growth in large part due to the “attachment” of rural area residents seeking a higher standard of living. This process is readily observable in developing countries where major urban centers become surrounded by large poor settlements populated most often by poor rural immigrants. Unlike a megacity, a megalopolis grows in</w:t>
      </w:r>
      <w:r>
        <w:rPr>
          <w:spacing w:val="-5"/>
        </w:rPr>
        <w:t> </w:t>
      </w:r>
      <w:r>
        <w:rPr/>
        <w:t>a</w:t>
      </w:r>
      <w:r>
        <w:rPr>
          <w:spacing w:val="-5"/>
        </w:rPr>
        <w:t> </w:t>
      </w:r>
      <w:r>
        <w:rPr/>
        <w:t>linear</w:t>
      </w:r>
      <w:r>
        <w:rPr>
          <w:spacing w:val="-5"/>
        </w:rPr>
        <w:t> </w:t>
      </w:r>
      <w:r>
        <w:rPr/>
        <w:t>fashion</w:t>
      </w:r>
      <w:r>
        <w:rPr>
          <w:spacing w:val="-5"/>
        </w:rPr>
        <w:t> </w:t>
      </w:r>
      <w:r>
        <w:rPr/>
        <w:t>by</w:t>
      </w:r>
      <w:r>
        <w:rPr>
          <w:spacing w:val="-5"/>
        </w:rPr>
        <w:t> </w:t>
      </w:r>
      <w:r>
        <w:rPr/>
        <w:t>connecting</w:t>
      </w:r>
      <w:r>
        <w:rPr>
          <w:spacing w:val="-5"/>
        </w:rPr>
        <w:t> </w:t>
      </w:r>
      <w:r>
        <w:rPr/>
        <w:t>cities</w:t>
      </w:r>
      <w:r>
        <w:rPr>
          <w:spacing w:val="-5"/>
        </w:rPr>
        <w:t> </w:t>
      </w:r>
      <w:r>
        <w:rPr/>
        <w:t>and</w:t>
      </w:r>
      <w:r>
        <w:rPr>
          <w:spacing w:val="-5"/>
        </w:rPr>
        <w:t> </w:t>
      </w:r>
      <w:r>
        <w:rPr/>
        <w:t>large</w:t>
      </w:r>
      <w:r>
        <w:rPr>
          <w:spacing w:val="-5"/>
        </w:rPr>
        <w:t> </w:t>
      </w:r>
      <w:r>
        <w:rPr/>
        <w:t>metropolitan</w:t>
      </w:r>
      <w:r>
        <w:rPr>
          <w:spacing w:val="-5"/>
        </w:rPr>
        <w:t> </w:t>
      </w:r>
      <w:r>
        <w:rPr/>
        <w:t>areas</w:t>
      </w:r>
      <w:r>
        <w:rPr>
          <w:spacing w:val="-5"/>
        </w:rPr>
        <w:t> </w:t>
      </w:r>
      <w:r>
        <w:rPr/>
        <w:t>of</w:t>
      </w:r>
      <w:r>
        <w:rPr>
          <w:spacing w:val="-5"/>
        </w:rPr>
        <w:t> </w:t>
      </w:r>
      <w:r>
        <w:rPr/>
        <w:t>various</w:t>
      </w:r>
      <w:r>
        <w:rPr>
          <w:spacing w:val="-5"/>
        </w:rPr>
        <w:t> </w:t>
      </w:r>
      <w:r>
        <w:rPr/>
        <w:t>size.</w:t>
      </w:r>
      <w:r>
        <w:rPr>
          <w:spacing w:val="-5"/>
        </w:rPr>
        <w:t> </w:t>
      </w:r>
      <w:r>
        <w:rPr/>
        <w:t>The distribution of population and associated social and economic data follows a sinuous pattern along the main axis of a megalopolis (Papaioannou</w:t>
      </w:r>
      <w:r>
        <w:rPr>
          <w:spacing w:val="8"/>
        </w:rPr>
        <w:t> </w:t>
      </w:r>
      <w:r>
        <w:rPr/>
        <w:t>1998).</w:t>
      </w:r>
    </w:p>
    <w:p>
      <w:pPr>
        <w:pStyle w:val="BodyText"/>
        <w:spacing w:before="11"/>
      </w:pPr>
    </w:p>
    <w:p>
      <w:pPr>
        <w:pStyle w:val="BodyText"/>
        <w:spacing w:line="249" w:lineRule="auto"/>
        <w:ind w:left="131" w:firstLine="720"/>
        <w:jc w:val="both"/>
      </w:pPr>
      <w:r>
        <w:rPr/>
        <w:t>Some</w:t>
      </w:r>
      <w:r>
        <w:rPr>
          <w:spacing w:val="-23"/>
        </w:rPr>
        <w:t> </w:t>
      </w:r>
      <w:r>
        <w:rPr/>
        <w:t>researchers</w:t>
      </w:r>
      <w:r>
        <w:rPr>
          <w:spacing w:val="-23"/>
        </w:rPr>
        <w:t> </w:t>
      </w:r>
      <w:r>
        <w:rPr/>
        <w:t>studying</w:t>
      </w:r>
      <w:r>
        <w:rPr>
          <w:spacing w:val="-23"/>
        </w:rPr>
        <w:t> </w:t>
      </w:r>
      <w:r>
        <w:rPr/>
        <w:t>urbanization</w:t>
      </w:r>
      <w:r>
        <w:rPr>
          <w:spacing w:val="-23"/>
        </w:rPr>
        <w:t> </w:t>
      </w:r>
      <w:r>
        <w:rPr/>
        <w:t>point</w:t>
      </w:r>
      <w:r>
        <w:rPr>
          <w:spacing w:val="-23"/>
        </w:rPr>
        <w:t> </w:t>
      </w:r>
      <w:r>
        <w:rPr/>
        <w:t>to</w:t>
      </w:r>
      <w:r>
        <w:rPr>
          <w:spacing w:val="-23"/>
        </w:rPr>
        <w:t> </w:t>
      </w:r>
      <w:r>
        <w:rPr/>
        <w:t>the</w:t>
      </w:r>
      <w:r>
        <w:rPr>
          <w:spacing w:val="-23"/>
        </w:rPr>
        <w:t> </w:t>
      </w:r>
      <w:r>
        <w:rPr/>
        <w:t>area</w:t>
      </w:r>
      <w:r>
        <w:rPr>
          <w:spacing w:val="-23"/>
        </w:rPr>
        <w:t> </w:t>
      </w:r>
      <w:r>
        <w:rPr/>
        <w:t>between</w:t>
      </w:r>
      <w:r>
        <w:rPr>
          <w:spacing w:val="-23"/>
        </w:rPr>
        <w:t> </w:t>
      </w:r>
      <w:r>
        <w:rPr/>
        <w:t>Rio</w:t>
      </w:r>
      <w:r>
        <w:rPr>
          <w:spacing w:val="-23"/>
        </w:rPr>
        <w:t> </w:t>
      </w:r>
      <w:r>
        <w:rPr/>
        <w:t>de</w:t>
      </w:r>
      <w:r>
        <w:rPr>
          <w:spacing w:val="-23"/>
        </w:rPr>
        <w:t> </w:t>
      </w:r>
      <w:r>
        <w:rPr/>
        <w:t>Janeiro and Sao Paulo as a region that may be described as a megalopolis. The purpose of  the paper is to attempt to identify the boundaries of the so-called Brazilian Megalopolis and to determine the rate of population growth in this key region and differences in    the distribution of population growth in the period 1991 – 2014. The study focuses on spatial differences in urbanization across the Megalopolis and the level of social and economic development in its constituent municipalities and major sub-regions. The paper also discusses the share of each constituent metropolitan region in the studied Megalopolis in Brazil’s GDP, which makes it possible to assess the significance of</w:t>
      </w:r>
      <w:r>
        <w:rPr>
          <w:spacing w:val="-28"/>
        </w:rPr>
        <w:t> </w:t>
      </w:r>
      <w:r>
        <w:rPr/>
        <w:t>each given region in the economy of the country as a</w:t>
      </w:r>
      <w:r>
        <w:rPr>
          <w:spacing w:val="49"/>
        </w:rPr>
        <w:t> </w:t>
      </w:r>
      <w:r>
        <w:rPr/>
        <w:t>whole.</w:t>
      </w:r>
    </w:p>
    <w:p>
      <w:pPr>
        <w:pStyle w:val="BodyText"/>
        <w:spacing w:before="8"/>
        <w:rPr>
          <w:sz w:val="17"/>
        </w:rPr>
      </w:pPr>
    </w:p>
    <w:p>
      <w:pPr>
        <w:pStyle w:val="Heading1"/>
        <w:ind w:left="951" w:right="3"/>
      </w:pPr>
      <w:r>
        <w:rPr/>
        <w:t>Study area – delimitation of the Brazilian Megalopolis</w:t>
      </w:r>
    </w:p>
    <w:p>
      <w:pPr>
        <w:pStyle w:val="BodyText"/>
        <w:rPr>
          <w:b/>
          <w:sz w:val="21"/>
        </w:rPr>
      </w:pPr>
    </w:p>
    <w:p>
      <w:pPr>
        <w:pStyle w:val="BodyText"/>
        <w:spacing w:line="249" w:lineRule="auto"/>
        <w:ind w:left="131" w:firstLine="170"/>
        <w:jc w:val="both"/>
      </w:pPr>
      <w:r>
        <w:rPr/>
        <w:t>The emerging Brazilian Megalopolis covers an area stretching between two principal urban</w:t>
      </w:r>
      <w:r>
        <w:rPr>
          <w:spacing w:val="-6"/>
        </w:rPr>
        <w:t> </w:t>
      </w:r>
      <w:r>
        <w:rPr/>
        <w:t>regions</w:t>
      </w:r>
      <w:r>
        <w:rPr>
          <w:spacing w:val="-6"/>
        </w:rPr>
        <w:t> </w:t>
      </w:r>
      <w:r>
        <w:rPr/>
        <w:t>–</w:t>
      </w:r>
      <w:r>
        <w:rPr>
          <w:spacing w:val="-6"/>
        </w:rPr>
        <w:t> </w:t>
      </w:r>
      <w:r>
        <w:rPr/>
        <w:t>Rio</w:t>
      </w:r>
      <w:r>
        <w:rPr>
          <w:spacing w:val="-6"/>
        </w:rPr>
        <w:t> </w:t>
      </w:r>
      <w:r>
        <w:rPr/>
        <w:t>de</w:t>
      </w:r>
      <w:r>
        <w:rPr>
          <w:spacing w:val="-6"/>
        </w:rPr>
        <w:t> </w:t>
      </w:r>
      <w:r>
        <w:rPr/>
        <w:t>Janeiro</w:t>
      </w:r>
      <w:r>
        <w:rPr>
          <w:spacing w:val="-6"/>
        </w:rPr>
        <w:t> </w:t>
      </w:r>
      <w:r>
        <w:rPr/>
        <w:t>in</w:t>
      </w:r>
      <w:r>
        <w:rPr>
          <w:spacing w:val="-6"/>
        </w:rPr>
        <w:t> </w:t>
      </w:r>
      <w:r>
        <w:rPr/>
        <w:t>the</w:t>
      </w:r>
      <w:r>
        <w:rPr>
          <w:spacing w:val="-6"/>
        </w:rPr>
        <w:t> </w:t>
      </w:r>
      <w:r>
        <w:rPr/>
        <w:t>east</w:t>
      </w:r>
      <w:r>
        <w:rPr>
          <w:spacing w:val="-6"/>
        </w:rPr>
        <w:t> </w:t>
      </w:r>
      <w:r>
        <w:rPr/>
        <w:t>and</w:t>
      </w:r>
      <w:r>
        <w:rPr>
          <w:spacing w:val="-6"/>
        </w:rPr>
        <w:t> </w:t>
      </w:r>
      <w:r>
        <w:rPr/>
        <w:t>Sao</w:t>
      </w:r>
      <w:r>
        <w:rPr>
          <w:spacing w:val="-6"/>
        </w:rPr>
        <w:t> </w:t>
      </w:r>
      <w:r>
        <w:rPr/>
        <w:t>Paulo</w:t>
      </w:r>
      <w:r>
        <w:rPr>
          <w:spacing w:val="-6"/>
        </w:rPr>
        <w:t> </w:t>
      </w:r>
      <w:r>
        <w:rPr/>
        <w:t>in</w:t>
      </w:r>
      <w:r>
        <w:rPr>
          <w:spacing w:val="-6"/>
        </w:rPr>
        <w:t> </w:t>
      </w:r>
      <w:r>
        <w:rPr/>
        <w:t>the</w:t>
      </w:r>
      <w:r>
        <w:rPr>
          <w:spacing w:val="-6"/>
        </w:rPr>
        <w:t> </w:t>
      </w:r>
      <w:r>
        <w:rPr/>
        <w:t>west.</w:t>
      </w:r>
      <w:r>
        <w:rPr>
          <w:spacing w:val="-6"/>
        </w:rPr>
        <w:t> </w:t>
      </w:r>
      <w:r>
        <w:rPr/>
        <w:t>These</w:t>
      </w:r>
      <w:r>
        <w:rPr>
          <w:spacing w:val="-6"/>
        </w:rPr>
        <w:t> </w:t>
      </w:r>
      <w:r>
        <w:rPr/>
        <w:t>two</w:t>
      </w:r>
      <w:r>
        <w:rPr>
          <w:spacing w:val="-6"/>
        </w:rPr>
        <w:t> </w:t>
      </w:r>
      <w:r>
        <w:rPr/>
        <w:t>largest cities in Brazil are separated by a distance of about 435 km, and are linked by the President Dutra Highway, which runs through the Paraiba river valley. The construction of this major highway has helped to produce other key urban centers in the state of Rio de</w:t>
      </w:r>
      <w:r>
        <w:rPr>
          <w:spacing w:val="-21"/>
        </w:rPr>
        <w:t> </w:t>
      </w:r>
      <w:r>
        <w:rPr/>
        <w:t>Janeiro</w:t>
      </w:r>
      <w:r>
        <w:rPr>
          <w:spacing w:val="-21"/>
        </w:rPr>
        <w:t> </w:t>
      </w:r>
      <w:r>
        <w:rPr/>
        <w:t>including</w:t>
      </w:r>
      <w:r>
        <w:rPr>
          <w:spacing w:val="-21"/>
        </w:rPr>
        <w:t> </w:t>
      </w:r>
      <w:r>
        <w:rPr/>
        <w:t>Porto</w:t>
      </w:r>
      <w:r>
        <w:rPr>
          <w:spacing w:val="-21"/>
        </w:rPr>
        <w:t> </w:t>
      </w:r>
      <w:r>
        <w:rPr/>
        <w:t>Real,</w:t>
      </w:r>
      <w:r>
        <w:rPr>
          <w:spacing w:val="-21"/>
        </w:rPr>
        <w:t> </w:t>
      </w:r>
      <w:r>
        <w:rPr/>
        <w:t>Volta</w:t>
      </w:r>
      <w:r>
        <w:rPr>
          <w:spacing w:val="-21"/>
        </w:rPr>
        <w:t> </w:t>
      </w:r>
      <w:r>
        <w:rPr/>
        <w:t>Redonda,</w:t>
      </w:r>
      <w:r>
        <w:rPr>
          <w:spacing w:val="-21"/>
        </w:rPr>
        <w:t> </w:t>
      </w:r>
      <w:r>
        <w:rPr/>
        <w:t>Resende,</w:t>
      </w:r>
      <w:r>
        <w:rPr>
          <w:spacing w:val="-21"/>
        </w:rPr>
        <w:t> </w:t>
      </w:r>
      <w:r>
        <w:rPr/>
        <w:t>and</w:t>
      </w:r>
      <w:r>
        <w:rPr>
          <w:spacing w:val="-21"/>
        </w:rPr>
        <w:t> </w:t>
      </w:r>
      <w:r>
        <w:rPr/>
        <w:t>Barra</w:t>
      </w:r>
      <w:r>
        <w:rPr>
          <w:spacing w:val="-21"/>
        </w:rPr>
        <w:t> </w:t>
      </w:r>
      <w:r>
        <w:rPr/>
        <w:t>Mansa.</w:t>
      </w:r>
      <w:r>
        <w:rPr>
          <w:spacing w:val="-21"/>
        </w:rPr>
        <w:t> </w:t>
      </w:r>
      <w:r>
        <w:rPr/>
        <w:t>Major</w:t>
      </w:r>
      <w:r>
        <w:rPr>
          <w:spacing w:val="-21"/>
        </w:rPr>
        <w:t> </w:t>
      </w:r>
      <w:r>
        <w:rPr/>
        <w:t>urban centers</w:t>
      </w:r>
      <w:r>
        <w:rPr>
          <w:spacing w:val="-4"/>
        </w:rPr>
        <w:t> </w:t>
      </w:r>
      <w:r>
        <w:rPr/>
        <w:t>emerging</w:t>
      </w:r>
      <w:r>
        <w:rPr>
          <w:spacing w:val="-4"/>
        </w:rPr>
        <w:t> </w:t>
      </w:r>
      <w:r>
        <w:rPr/>
        <w:t>along</w:t>
      </w:r>
      <w:r>
        <w:rPr>
          <w:spacing w:val="-4"/>
        </w:rPr>
        <w:t> </w:t>
      </w:r>
      <w:r>
        <w:rPr/>
        <w:t>this</w:t>
      </w:r>
      <w:r>
        <w:rPr>
          <w:spacing w:val="-4"/>
        </w:rPr>
        <w:t> </w:t>
      </w:r>
      <w:r>
        <w:rPr/>
        <w:t>key</w:t>
      </w:r>
      <w:r>
        <w:rPr>
          <w:spacing w:val="-4"/>
        </w:rPr>
        <w:t> </w:t>
      </w:r>
      <w:r>
        <w:rPr/>
        <w:t>highway</w:t>
      </w:r>
      <w:r>
        <w:rPr>
          <w:spacing w:val="-4"/>
        </w:rPr>
        <w:t> </w:t>
      </w:r>
      <w:r>
        <w:rPr/>
        <w:t>in</w:t>
      </w:r>
      <w:r>
        <w:rPr>
          <w:spacing w:val="-4"/>
        </w:rPr>
        <w:t> </w:t>
      </w:r>
      <w:r>
        <w:rPr/>
        <w:t>the</w:t>
      </w:r>
      <w:r>
        <w:rPr>
          <w:spacing w:val="-4"/>
        </w:rPr>
        <w:t> </w:t>
      </w:r>
      <w:r>
        <w:rPr/>
        <w:t>state</w:t>
      </w:r>
      <w:r>
        <w:rPr>
          <w:spacing w:val="-4"/>
        </w:rPr>
        <w:t> </w:t>
      </w:r>
      <w:r>
        <w:rPr/>
        <w:t>of</w:t>
      </w:r>
      <w:r>
        <w:rPr>
          <w:spacing w:val="-4"/>
        </w:rPr>
        <w:t> </w:t>
      </w:r>
      <w:r>
        <w:rPr/>
        <w:t>Sao</w:t>
      </w:r>
      <w:r>
        <w:rPr>
          <w:spacing w:val="-4"/>
        </w:rPr>
        <w:t> </w:t>
      </w:r>
      <w:r>
        <w:rPr/>
        <w:t>Paulo</w:t>
      </w:r>
      <w:r>
        <w:rPr>
          <w:spacing w:val="-4"/>
        </w:rPr>
        <w:t> </w:t>
      </w:r>
      <w:r>
        <w:rPr/>
        <w:t>include</w:t>
      </w:r>
      <w:r>
        <w:rPr>
          <w:spacing w:val="-4"/>
        </w:rPr>
        <w:t> </w:t>
      </w:r>
      <w:r>
        <w:rPr/>
        <w:t>the</w:t>
      </w:r>
      <w:r>
        <w:rPr>
          <w:spacing w:val="-4"/>
        </w:rPr>
        <w:t> </w:t>
      </w:r>
      <w:r>
        <w:rPr/>
        <w:t>following: São José dos Campos, Taubaté, Jacareí, Pindamonhangaba, and Guaratinguetá. Areas located northeast of the city of Rio de Janeiro are also experiencing metropolitan area influence and are quickly becoming part of the Megalopolis. The most distant    city still part of the Megalopolis is Campos dos Goytacazes, which serves as the core  of the emerging Norte Fluminense metropolitan area. In the state of Sao Paulo, the Megalopolis includes areas that stretch from the northwest to the southeast – from the Piracicaba metropolitan region to the Baixada Santista metropolitan region, which is focused around the core city of Santos – the largest seaport in the state (Fig.</w:t>
      </w:r>
      <w:r>
        <w:rPr>
          <w:spacing w:val="44"/>
        </w:rPr>
        <w:t> </w:t>
      </w:r>
      <w:r>
        <w:rPr/>
        <w:t>1).</w:t>
      </w:r>
    </w:p>
    <w:p>
      <w:pPr>
        <w:pStyle w:val="BodyText"/>
        <w:spacing w:line="249" w:lineRule="auto" w:before="76"/>
        <w:ind w:left="131" w:right="127" w:firstLine="720"/>
        <w:jc w:val="both"/>
      </w:pPr>
      <w:r>
        <w:rPr/>
        <w:br w:type="column"/>
      </w:r>
      <w:r>
        <w:rPr/>
        <w:t>At present, the Brazilian Megalopolis includes a total of 250 municipalities that form 14 distinct regions, seven of which are officially designated </w:t>
      </w:r>
      <w:r>
        <w:rPr>
          <w:i/>
        </w:rPr>
        <w:t>metropolitan regions </w:t>
      </w:r>
      <w:r>
        <w:rPr/>
        <w:t>(</w:t>
      </w:r>
      <w:r>
        <w:rPr>
          <w:i/>
        </w:rPr>
        <w:t>regiões metropolitanas – RM</w:t>
      </w:r>
      <w:r>
        <w:rPr/>
        <w:t>), while the remaining seven are emerging metropolitan regions. In the state of Sao Paulo, regions that are not considered “fully metropolitan” are called </w:t>
      </w:r>
      <w:r>
        <w:rPr>
          <w:i/>
        </w:rPr>
        <w:t>urban agglomerations </w:t>
      </w:r>
      <w:r>
        <w:rPr/>
        <w:t>(</w:t>
      </w:r>
      <w:r>
        <w:rPr>
          <w:i/>
        </w:rPr>
        <w:t>aglomeração urbana - AU</w:t>
      </w:r>
      <w:r>
        <w:rPr/>
        <w:t>) or </w:t>
      </w:r>
      <w:r>
        <w:rPr>
          <w:i/>
        </w:rPr>
        <w:t>regional units </w:t>
      </w:r>
      <w:r>
        <w:rPr/>
        <w:t>(</w:t>
      </w:r>
      <w:r>
        <w:rPr>
          <w:i/>
        </w:rPr>
        <w:t>unidade </w:t>
      </w:r>
      <w:r>
        <w:rPr>
          <w:i/>
        </w:rPr>
        <w:t>regional - UR</w:t>
      </w:r>
      <w:r>
        <w:rPr/>
        <w:t>). These two types of regions occupy close to 89,600 km</w:t>
      </w:r>
      <w:r>
        <w:rPr>
          <w:position w:val="7"/>
          <w:sz w:val="11"/>
        </w:rPr>
        <w:t>2 </w:t>
      </w:r>
      <w:r>
        <w:rPr/>
        <w:t>of area or 1.05% of the area of Brazil and are home to more than 46.2 million residents based on the 2010 population census, which was 24.22% of the total population of Brazil. The mean population density of the Megalopolis stood at more than 544 people per square kilometer and varied substantially from one sub-region to another. The two largest metropolitan areas – Sao Paulo and Rio de Janeiro – were also characterized by the highest population density in the Megalopolis, at more than 2,000 people per square kilometer, while the lowest density was noted for the Norte Fluminense region,</w:t>
      </w:r>
      <w:r>
        <w:rPr>
          <w:spacing w:val="-37"/>
        </w:rPr>
        <w:t> </w:t>
      </w:r>
      <w:r>
        <w:rPr/>
        <w:t>reaching 92 people per square kilometer (Tab.</w:t>
      </w:r>
      <w:r>
        <w:rPr>
          <w:spacing w:val="-9"/>
        </w:rPr>
        <w:t> </w:t>
      </w:r>
      <w:r>
        <w:rPr/>
        <w:t>1).</w:t>
      </w:r>
    </w:p>
    <w:p>
      <w:pPr>
        <w:pStyle w:val="BodyText"/>
        <w:spacing w:before="2"/>
        <w:rPr>
          <w:sz w:val="24"/>
        </w:rPr>
      </w:pPr>
    </w:p>
    <w:p>
      <w:pPr>
        <w:spacing w:before="0"/>
        <w:ind w:left="341" w:right="341" w:firstLine="0"/>
        <w:jc w:val="center"/>
        <w:rPr>
          <w:sz w:val="16"/>
        </w:rPr>
      </w:pPr>
      <w:r>
        <w:rPr>
          <w:color w:val="6D6E71"/>
          <w:sz w:val="16"/>
        </w:rPr>
        <w:t>Fig. 1. Administrative division of the Brazilian Megalopolis stretching from São Paulo to Rio de  Janeiro</w:t>
      </w:r>
    </w:p>
    <w:p>
      <w:pPr>
        <w:pStyle w:val="BodyText"/>
        <w:spacing w:before="6"/>
        <w:rPr>
          <w:sz w:val="14"/>
        </w:rPr>
      </w:pPr>
      <w:r>
        <w:rPr/>
        <w:drawing>
          <wp:anchor distT="0" distB="0" distL="0" distR="0" allowOverlap="1" layoutInCell="1" locked="0" behindDoc="0" simplePos="0" relativeHeight="20056">
            <wp:simplePos x="0" y="0"/>
            <wp:positionH relativeFrom="page">
              <wp:posOffset>6542582</wp:posOffset>
            </wp:positionH>
            <wp:positionV relativeFrom="paragraph">
              <wp:posOffset>131414</wp:posOffset>
            </wp:positionV>
            <wp:extent cx="4857549" cy="2465641"/>
            <wp:effectExtent l="0" t="0" r="0" b="0"/>
            <wp:wrapTopAndBottom/>
            <wp:docPr id="215" name="image158.jpeg" descr=""/>
            <wp:cNvGraphicFramePr>
              <a:graphicFrameLocks noChangeAspect="1"/>
            </wp:cNvGraphicFramePr>
            <a:graphic>
              <a:graphicData uri="http://schemas.openxmlformats.org/drawingml/2006/picture">
                <pic:pic>
                  <pic:nvPicPr>
                    <pic:cNvPr id="216" name="image158.jpeg"/>
                    <pic:cNvPicPr/>
                  </pic:nvPicPr>
                  <pic:blipFill>
                    <a:blip r:embed="rId541" cstate="print"/>
                    <a:stretch>
                      <a:fillRect/>
                    </a:stretch>
                  </pic:blipFill>
                  <pic:spPr>
                    <a:xfrm>
                      <a:off x="0" y="0"/>
                      <a:ext cx="4857549" cy="2465641"/>
                    </a:xfrm>
                    <a:prstGeom prst="rect">
                      <a:avLst/>
                    </a:prstGeom>
                  </pic:spPr>
                </pic:pic>
              </a:graphicData>
            </a:graphic>
          </wp:anchor>
        </w:drawing>
      </w:r>
    </w:p>
    <w:p>
      <w:pPr>
        <w:pStyle w:val="BodyText"/>
        <w:rPr>
          <w:sz w:val="16"/>
        </w:rPr>
      </w:pPr>
    </w:p>
    <w:p>
      <w:pPr>
        <w:pStyle w:val="BodyText"/>
        <w:rPr>
          <w:sz w:val="16"/>
        </w:rPr>
      </w:pPr>
    </w:p>
    <w:p>
      <w:pPr>
        <w:spacing w:before="129"/>
        <w:ind w:left="341" w:right="341" w:firstLine="0"/>
        <w:jc w:val="center"/>
        <w:rPr>
          <w:sz w:val="16"/>
        </w:rPr>
      </w:pPr>
      <w:r>
        <w:rPr>
          <w:color w:val="6D6E71"/>
          <w:sz w:val="16"/>
        </w:rPr>
        <w:t>Source: prepared by the author on the basis of data from IBGE.</w:t>
      </w:r>
    </w:p>
    <w:p>
      <w:pPr>
        <w:spacing w:after="0"/>
        <w:jc w:val="center"/>
        <w:rPr>
          <w:sz w:val="16"/>
        </w:rPr>
        <w:sectPr>
          <w:type w:val="continuous"/>
          <w:pgSz w:w="18830" w:h="12760" w:orient="landscape"/>
          <w:pgMar w:top="1420" w:bottom="280" w:left="720" w:right="720"/>
          <w:cols w:num="2" w:equalWidth="0">
            <w:col w:w="7843" w:space="1567"/>
            <w:col w:w="7980"/>
          </w:cols>
        </w:sectPr>
      </w:pPr>
    </w:p>
    <w:p>
      <w:pPr>
        <w:pStyle w:val="BodyText"/>
        <w:spacing w:before="8"/>
      </w:pPr>
    </w:p>
    <w:p>
      <w:pPr>
        <w:spacing w:after="0"/>
        <w:sectPr>
          <w:footerReference w:type="default" r:id="rId542"/>
          <w:pgSz w:w="18830" w:h="12760" w:orient="landscape"/>
          <w:pgMar w:footer="1036" w:header="522" w:top="820" w:bottom="1220" w:left="720" w:right="720"/>
        </w:sectPr>
      </w:pPr>
    </w:p>
    <w:p>
      <w:pPr>
        <w:pStyle w:val="Heading1"/>
        <w:spacing w:before="71"/>
        <w:ind w:left="285"/>
      </w:pPr>
      <w:r>
        <w:rPr/>
        <w:t>Population growth and urbanization</w:t>
      </w:r>
    </w:p>
    <w:p>
      <w:pPr>
        <w:pStyle w:val="BodyText"/>
        <w:rPr>
          <w:b/>
          <w:sz w:val="21"/>
        </w:rPr>
      </w:pPr>
    </w:p>
    <w:p>
      <w:pPr>
        <w:pStyle w:val="BodyText"/>
        <w:spacing w:line="249" w:lineRule="auto"/>
        <w:ind w:left="115" w:firstLine="170"/>
        <w:jc w:val="right"/>
      </w:pPr>
      <w:r>
        <w:rPr/>
        <w:t>The</w:t>
      </w:r>
      <w:r>
        <w:rPr>
          <w:spacing w:val="38"/>
        </w:rPr>
        <w:t> </w:t>
      </w:r>
      <w:r>
        <w:rPr/>
        <w:t>population</w:t>
      </w:r>
      <w:r>
        <w:rPr>
          <w:spacing w:val="38"/>
        </w:rPr>
        <w:t> </w:t>
      </w:r>
      <w:r>
        <w:rPr/>
        <w:t>of</w:t>
      </w:r>
      <w:r>
        <w:rPr>
          <w:spacing w:val="38"/>
        </w:rPr>
        <w:t> </w:t>
      </w:r>
      <w:r>
        <w:rPr/>
        <w:t>the</w:t>
      </w:r>
      <w:r>
        <w:rPr>
          <w:spacing w:val="38"/>
        </w:rPr>
        <w:t> </w:t>
      </w:r>
      <w:r>
        <w:rPr/>
        <w:t>Brazilian</w:t>
      </w:r>
      <w:r>
        <w:rPr>
          <w:spacing w:val="38"/>
        </w:rPr>
        <w:t> </w:t>
      </w:r>
      <w:r>
        <w:rPr/>
        <w:t>Megalopolis</w:t>
      </w:r>
      <w:r>
        <w:rPr>
          <w:spacing w:val="38"/>
        </w:rPr>
        <w:t> </w:t>
      </w:r>
      <w:r>
        <w:rPr/>
        <w:t>increased</w:t>
      </w:r>
      <w:r>
        <w:rPr>
          <w:spacing w:val="38"/>
        </w:rPr>
        <w:t> </w:t>
      </w:r>
      <w:r>
        <w:rPr/>
        <w:t>37.2%</w:t>
      </w:r>
      <w:r>
        <w:rPr>
          <w:spacing w:val="38"/>
        </w:rPr>
        <w:t> </w:t>
      </w:r>
      <w:r>
        <w:rPr/>
        <w:t>from</w:t>
      </w:r>
      <w:r>
        <w:rPr>
          <w:spacing w:val="38"/>
        </w:rPr>
        <w:t> </w:t>
      </w:r>
      <w:r>
        <w:rPr/>
        <w:t>35.6</w:t>
      </w:r>
      <w:r>
        <w:rPr>
          <w:spacing w:val="38"/>
        </w:rPr>
        <w:t> </w:t>
      </w:r>
      <w:r>
        <w:rPr/>
        <w:t>million</w:t>
      </w:r>
      <w:r>
        <w:rPr>
          <w:spacing w:val="38"/>
        </w:rPr>
        <w:t> </w:t>
      </w:r>
      <w:r>
        <w:rPr/>
        <w:t>in</w:t>
      </w:r>
      <w:r>
        <w:rPr>
          <w:w w:val="99"/>
        </w:rPr>
        <w:t> </w:t>
      </w:r>
      <w:r>
        <w:rPr/>
        <w:t>1991</w:t>
      </w:r>
      <w:r>
        <w:rPr>
          <w:spacing w:val="21"/>
        </w:rPr>
        <w:t> </w:t>
      </w:r>
      <w:r>
        <w:rPr/>
        <w:t>to</w:t>
      </w:r>
      <w:r>
        <w:rPr>
          <w:spacing w:val="21"/>
        </w:rPr>
        <w:t> </w:t>
      </w:r>
      <w:r>
        <w:rPr/>
        <w:t>48.8</w:t>
      </w:r>
      <w:r>
        <w:rPr>
          <w:spacing w:val="21"/>
        </w:rPr>
        <w:t> </w:t>
      </w:r>
      <w:r>
        <w:rPr/>
        <w:t>million</w:t>
      </w:r>
      <w:r>
        <w:rPr>
          <w:spacing w:val="21"/>
        </w:rPr>
        <w:t> </w:t>
      </w:r>
      <w:r>
        <w:rPr/>
        <w:t>in</w:t>
      </w:r>
      <w:r>
        <w:rPr>
          <w:spacing w:val="21"/>
        </w:rPr>
        <w:t> </w:t>
      </w:r>
      <w:r>
        <w:rPr/>
        <w:t>2014.</w:t>
      </w:r>
      <w:r>
        <w:rPr>
          <w:spacing w:val="21"/>
        </w:rPr>
        <w:t> </w:t>
      </w:r>
      <w:r>
        <w:rPr/>
        <w:t>The</w:t>
      </w:r>
      <w:r>
        <w:rPr>
          <w:spacing w:val="21"/>
        </w:rPr>
        <w:t> </w:t>
      </w:r>
      <w:r>
        <w:rPr/>
        <w:t>highest</w:t>
      </w:r>
      <w:r>
        <w:rPr>
          <w:spacing w:val="21"/>
        </w:rPr>
        <w:t> </w:t>
      </w:r>
      <w:r>
        <w:rPr/>
        <w:t>rate</w:t>
      </w:r>
      <w:r>
        <w:rPr>
          <w:spacing w:val="21"/>
        </w:rPr>
        <w:t> </w:t>
      </w:r>
      <w:r>
        <w:rPr/>
        <w:t>of</w:t>
      </w:r>
      <w:r>
        <w:rPr>
          <w:spacing w:val="21"/>
        </w:rPr>
        <w:t> </w:t>
      </w:r>
      <w:r>
        <w:rPr/>
        <w:t>population</w:t>
      </w:r>
      <w:r>
        <w:rPr>
          <w:spacing w:val="21"/>
        </w:rPr>
        <w:t> </w:t>
      </w:r>
      <w:r>
        <w:rPr/>
        <w:t>growth</w:t>
      </w:r>
      <w:r>
        <w:rPr>
          <w:spacing w:val="21"/>
        </w:rPr>
        <w:t> </w:t>
      </w:r>
      <w:r>
        <w:rPr/>
        <w:t>was</w:t>
      </w:r>
      <w:r>
        <w:rPr>
          <w:spacing w:val="21"/>
        </w:rPr>
        <w:t> </w:t>
      </w:r>
      <w:r>
        <w:rPr/>
        <w:t>noted</w:t>
      </w:r>
      <w:r>
        <w:rPr>
          <w:spacing w:val="21"/>
        </w:rPr>
        <w:t> </w:t>
      </w:r>
      <w:r>
        <w:rPr/>
        <w:t>in</w:t>
      </w:r>
      <w:r>
        <w:rPr>
          <w:spacing w:val="21"/>
        </w:rPr>
        <w:t> </w:t>
      </w:r>
      <w:r>
        <w:rPr/>
        <w:t>the</w:t>
      </w:r>
      <w:r>
        <w:rPr>
          <w:w w:val="101"/>
        </w:rPr>
        <w:t> </w:t>
      </w:r>
      <w:r>
        <w:rPr/>
        <w:t>region</w:t>
      </w:r>
      <w:r>
        <w:rPr>
          <w:spacing w:val="20"/>
        </w:rPr>
        <w:t> </w:t>
      </w:r>
      <w:r>
        <w:rPr/>
        <w:t>of</w:t>
      </w:r>
      <w:r>
        <w:rPr>
          <w:spacing w:val="20"/>
        </w:rPr>
        <w:t> </w:t>
      </w:r>
      <w:r>
        <w:rPr/>
        <w:t>Baixada</w:t>
      </w:r>
      <w:r>
        <w:rPr>
          <w:spacing w:val="20"/>
        </w:rPr>
        <w:t> </w:t>
      </w:r>
      <w:r>
        <w:rPr/>
        <w:t>Litoral</w:t>
      </w:r>
      <w:r>
        <w:rPr>
          <w:spacing w:val="20"/>
        </w:rPr>
        <w:t> </w:t>
      </w:r>
      <w:r>
        <w:rPr/>
        <w:t>(127.8%)</w:t>
      </w:r>
      <w:r>
        <w:rPr>
          <w:spacing w:val="20"/>
        </w:rPr>
        <w:t> </w:t>
      </w:r>
      <w:r>
        <w:rPr/>
        <w:t>and</w:t>
      </w:r>
      <w:r>
        <w:rPr>
          <w:spacing w:val="20"/>
        </w:rPr>
        <w:t> </w:t>
      </w:r>
      <w:r>
        <w:rPr/>
        <w:t>the</w:t>
      </w:r>
      <w:r>
        <w:rPr>
          <w:spacing w:val="20"/>
        </w:rPr>
        <w:t> </w:t>
      </w:r>
      <w:r>
        <w:rPr/>
        <w:t>region</w:t>
      </w:r>
      <w:r>
        <w:rPr>
          <w:spacing w:val="20"/>
        </w:rPr>
        <w:t> </w:t>
      </w:r>
      <w:r>
        <w:rPr/>
        <w:t>of</w:t>
      </w:r>
      <w:r>
        <w:rPr>
          <w:spacing w:val="20"/>
        </w:rPr>
        <w:t> </w:t>
      </w:r>
      <w:r>
        <w:rPr/>
        <w:t>Costa</w:t>
      </w:r>
      <w:r>
        <w:rPr>
          <w:spacing w:val="20"/>
        </w:rPr>
        <w:t> </w:t>
      </w:r>
      <w:r>
        <w:rPr/>
        <w:t>Verde</w:t>
      </w:r>
      <w:r>
        <w:rPr>
          <w:spacing w:val="20"/>
        </w:rPr>
        <w:t> </w:t>
      </w:r>
      <w:r>
        <w:rPr/>
        <w:t>(107.9%).</w:t>
      </w:r>
      <w:r>
        <w:rPr>
          <w:spacing w:val="20"/>
        </w:rPr>
        <w:t> </w:t>
      </w:r>
      <w:r>
        <w:rPr/>
        <w:t>The</w:t>
      </w:r>
      <w:r>
        <w:rPr>
          <w:spacing w:val="20"/>
        </w:rPr>
        <w:t> </w:t>
      </w:r>
      <w:r>
        <w:rPr/>
        <w:t>two</w:t>
      </w:r>
      <w:r>
        <w:rPr>
          <w:w w:val="105"/>
        </w:rPr>
        <w:t> </w:t>
      </w:r>
      <w:r>
        <w:rPr/>
        <w:t>regions</w:t>
      </w:r>
      <w:r>
        <w:rPr>
          <w:spacing w:val="46"/>
        </w:rPr>
        <w:t> </w:t>
      </w:r>
      <w:r>
        <w:rPr/>
        <w:t>surround</w:t>
      </w:r>
      <w:r>
        <w:rPr>
          <w:spacing w:val="46"/>
        </w:rPr>
        <w:t> </w:t>
      </w:r>
      <w:r>
        <w:rPr/>
        <w:t>the</w:t>
      </w:r>
      <w:r>
        <w:rPr>
          <w:spacing w:val="46"/>
        </w:rPr>
        <w:t> </w:t>
      </w:r>
      <w:r>
        <w:rPr/>
        <w:t>Rio</w:t>
      </w:r>
      <w:r>
        <w:rPr>
          <w:spacing w:val="46"/>
        </w:rPr>
        <w:t> </w:t>
      </w:r>
      <w:r>
        <w:rPr/>
        <w:t>de</w:t>
      </w:r>
      <w:r>
        <w:rPr>
          <w:spacing w:val="46"/>
        </w:rPr>
        <w:t> </w:t>
      </w:r>
      <w:r>
        <w:rPr/>
        <w:t>Janeiro</w:t>
      </w:r>
      <w:r>
        <w:rPr>
          <w:spacing w:val="46"/>
        </w:rPr>
        <w:t> </w:t>
      </w:r>
      <w:r>
        <w:rPr/>
        <w:t>metropolitan</w:t>
      </w:r>
      <w:r>
        <w:rPr>
          <w:spacing w:val="46"/>
        </w:rPr>
        <w:t> </w:t>
      </w:r>
      <w:r>
        <w:rPr/>
        <w:t>area</w:t>
      </w:r>
      <w:r>
        <w:rPr>
          <w:spacing w:val="46"/>
        </w:rPr>
        <w:t> </w:t>
      </w:r>
      <w:r>
        <w:rPr/>
        <w:t>and</w:t>
      </w:r>
      <w:r>
        <w:rPr>
          <w:spacing w:val="46"/>
        </w:rPr>
        <w:t> </w:t>
      </w:r>
      <w:r>
        <w:rPr/>
        <w:t>were</w:t>
      </w:r>
      <w:r>
        <w:rPr>
          <w:spacing w:val="46"/>
        </w:rPr>
        <w:t> </w:t>
      </w:r>
      <w:r>
        <w:rPr/>
        <w:t>among</w:t>
      </w:r>
      <w:r>
        <w:rPr>
          <w:spacing w:val="46"/>
        </w:rPr>
        <w:t> </w:t>
      </w:r>
      <w:r>
        <w:rPr/>
        <w:t>the</w:t>
      </w:r>
      <w:r>
        <w:rPr>
          <w:spacing w:val="46"/>
        </w:rPr>
        <w:t> </w:t>
      </w:r>
      <w:r>
        <w:rPr/>
        <w:t>least</w:t>
      </w:r>
      <w:r>
        <w:rPr>
          <w:w w:val="99"/>
        </w:rPr>
        <w:t> </w:t>
      </w:r>
      <w:r>
        <w:rPr/>
        <w:t>populated</w:t>
      </w:r>
      <w:r>
        <w:rPr>
          <w:spacing w:val="-6"/>
        </w:rPr>
        <w:t> </w:t>
      </w:r>
      <w:r>
        <w:rPr/>
        <w:t>areas</w:t>
      </w:r>
      <w:r>
        <w:rPr>
          <w:spacing w:val="-6"/>
        </w:rPr>
        <w:t> </w:t>
      </w:r>
      <w:r>
        <w:rPr/>
        <w:t>of</w:t>
      </w:r>
      <w:r>
        <w:rPr>
          <w:spacing w:val="-6"/>
        </w:rPr>
        <w:t> </w:t>
      </w:r>
      <w:r>
        <w:rPr/>
        <w:t>the</w:t>
      </w:r>
      <w:r>
        <w:rPr>
          <w:spacing w:val="-6"/>
        </w:rPr>
        <w:t> </w:t>
      </w:r>
      <w:r>
        <w:rPr/>
        <w:t>studied</w:t>
      </w:r>
      <w:r>
        <w:rPr>
          <w:spacing w:val="-6"/>
        </w:rPr>
        <w:t> </w:t>
      </w:r>
      <w:r>
        <w:rPr/>
        <w:t>Megalopolis</w:t>
      </w:r>
      <w:r>
        <w:rPr>
          <w:spacing w:val="-6"/>
        </w:rPr>
        <w:t> </w:t>
      </w:r>
      <w:r>
        <w:rPr/>
        <w:t>in</w:t>
      </w:r>
      <w:r>
        <w:rPr>
          <w:spacing w:val="-6"/>
        </w:rPr>
        <w:t> </w:t>
      </w:r>
      <w:r>
        <w:rPr/>
        <w:t>the</w:t>
      </w:r>
      <w:r>
        <w:rPr>
          <w:spacing w:val="-6"/>
        </w:rPr>
        <w:t> </w:t>
      </w:r>
      <w:r>
        <w:rPr/>
        <w:t>early</w:t>
      </w:r>
      <w:r>
        <w:rPr>
          <w:spacing w:val="-6"/>
        </w:rPr>
        <w:t> </w:t>
      </w:r>
      <w:r>
        <w:rPr/>
        <w:t>1990s.</w:t>
      </w:r>
      <w:r>
        <w:rPr>
          <w:spacing w:val="-6"/>
        </w:rPr>
        <w:t> </w:t>
      </w:r>
      <w:r>
        <w:rPr/>
        <w:t>The</w:t>
      </w:r>
      <w:r>
        <w:rPr>
          <w:spacing w:val="-6"/>
        </w:rPr>
        <w:t> </w:t>
      </w:r>
      <w:r>
        <w:rPr/>
        <w:t>high</w:t>
      </w:r>
      <w:r>
        <w:rPr>
          <w:spacing w:val="-6"/>
        </w:rPr>
        <w:t> </w:t>
      </w:r>
      <w:r>
        <w:rPr/>
        <w:t>rate</w:t>
      </w:r>
      <w:r>
        <w:rPr>
          <w:spacing w:val="-6"/>
        </w:rPr>
        <w:t> </w:t>
      </w:r>
      <w:r>
        <w:rPr/>
        <w:t>of</w:t>
      </w:r>
      <w:r>
        <w:rPr>
          <w:spacing w:val="-6"/>
        </w:rPr>
        <w:t> </w:t>
      </w:r>
      <w:r>
        <w:rPr/>
        <w:t>increase</w:t>
      </w:r>
      <w:r>
        <w:rPr>
          <w:w w:val="99"/>
        </w:rPr>
        <w:t> </w:t>
      </w:r>
      <w:r>
        <w:rPr/>
        <w:t>in</w:t>
      </w:r>
      <w:r>
        <w:rPr>
          <w:spacing w:val="46"/>
        </w:rPr>
        <w:t> </w:t>
      </w:r>
      <w:r>
        <w:rPr/>
        <w:t>population</w:t>
      </w:r>
      <w:r>
        <w:rPr>
          <w:spacing w:val="46"/>
        </w:rPr>
        <w:t> </w:t>
      </w:r>
      <w:r>
        <w:rPr/>
        <w:t>in</w:t>
      </w:r>
      <w:r>
        <w:rPr>
          <w:spacing w:val="46"/>
        </w:rPr>
        <w:t> </w:t>
      </w:r>
      <w:r>
        <w:rPr/>
        <w:t>these</w:t>
      </w:r>
      <w:r>
        <w:rPr>
          <w:spacing w:val="46"/>
        </w:rPr>
        <w:t> </w:t>
      </w:r>
      <w:r>
        <w:rPr/>
        <w:t>two</w:t>
      </w:r>
      <w:r>
        <w:rPr>
          <w:spacing w:val="46"/>
        </w:rPr>
        <w:t> </w:t>
      </w:r>
      <w:r>
        <w:rPr/>
        <w:t>regions</w:t>
      </w:r>
      <w:r>
        <w:rPr>
          <w:spacing w:val="46"/>
        </w:rPr>
        <w:t> </w:t>
      </w:r>
      <w:r>
        <w:rPr/>
        <w:t>may</w:t>
      </w:r>
      <w:r>
        <w:rPr>
          <w:spacing w:val="46"/>
        </w:rPr>
        <w:t> </w:t>
      </w:r>
      <w:r>
        <w:rPr/>
        <w:t>be</w:t>
      </w:r>
      <w:r>
        <w:rPr>
          <w:spacing w:val="46"/>
        </w:rPr>
        <w:t> </w:t>
      </w:r>
      <w:r>
        <w:rPr/>
        <w:t>associated</w:t>
      </w:r>
      <w:r>
        <w:rPr>
          <w:spacing w:val="46"/>
        </w:rPr>
        <w:t> </w:t>
      </w:r>
      <w:r>
        <w:rPr/>
        <w:t>with</w:t>
      </w:r>
      <w:r>
        <w:rPr>
          <w:spacing w:val="46"/>
        </w:rPr>
        <w:t> </w:t>
      </w:r>
      <w:r>
        <w:rPr/>
        <w:t>the</w:t>
      </w:r>
      <w:r>
        <w:rPr>
          <w:spacing w:val="46"/>
        </w:rPr>
        <w:t> </w:t>
      </w:r>
      <w:r>
        <w:rPr/>
        <w:t>deconcentration</w:t>
      </w:r>
      <w:r>
        <w:rPr>
          <w:spacing w:val="46"/>
        </w:rPr>
        <w:t> </w:t>
      </w:r>
      <w:r>
        <w:rPr/>
        <w:t>of</w:t>
      </w:r>
      <w:r>
        <w:rPr>
          <w:w w:val="104"/>
        </w:rPr>
        <w:t> </w:t>
      </w:r>
      <w:r>
        <w:rPr/>
        <w:t>population in the Rio de Janeiro metropolitan area as well as with the influx</w:t>
      </w:r>
      <w:r>
        <w:rPr>
          <w:spacing w:val="34"/>
        </w:rPr>
        <w:t> </w:t>
      </w:r>
      <w:r>
        <w:rPr/>
        <w:t>of</w:t>
      </w:r>
      <w:r>
        <w:rPr>
          <w:spacing w:val="2"/>
        </w:rPr>
        <w:t> </w:t>
      </w:r>
      <w:r>
        <w:rPr/>
        <w:t>migrants</w:t>
      </w:r>
      <w:r>
        <w:rPr>
          <w:w w:val="101"/>
        </w:rPr>
        <w:t> </w:t>
      </w:r>
      <w:r>
        <w:rPr/>
        <w:t>from</w:t>
      </w:r>
      <w:r>
        <w:rPr>
          <w:spacing w:val="-5"/>
        </w:rPr>
        <w:t> </w:t>
      </w:r>
      <w:r>
        <w:rPr/>
        <w:t>the</w:t>
      </w:r>
      <w:r>
        <w:rPr>
          <w:spacing w:val="-5"/>
        </w:rPr>
        <w:t> </w:t>
      </w:r>
      <w:r>
        <w:rPr/>
        <w:t>country’s</w:t>
      </w:r>
      <w:r>
        <w:rPr>
          <w:spacing w:val="-5"/>
        </w:rPr>
        <w:t> </w:t>
      </w:r>
      <w:r>
        <w:rPr/>
        <w:t>interior.</w:t>
      </w:r>
      <w:r>
        <w:rPr>
          <w:spacing w:val="-5"/>
        </w:rPr>
        <w:t> </w:t>
      </w:r>
      <w:r>
        <w:rPr/>
        <w:t>One</w:t>
      </w:r>
      <w:r>
        <w:rPr>
          <w:spacing w:val="-5"/>
        </w:rPr>
        <w:t> </w:t>
      </w:r>
      <w:r>
        <w:rPr/>
        <w:t>of</w:t>
      </w:r>
      <w:r>
        <w:rPr>
          <w:spacing w:val="-5"/>
        </w:rPr>
        <w:t> </w:t>
      </w:r>
      <w:r>
        <w:rPr/>
        <w:t>least</w:t>
      </w:r>
      <w:r>
        <w:rPr>
          <w:spacing w:val="-5"/>
        </w:rPr>
        <w:t> </w:t>
      </w:r>
      <w:r>
        <w:rPr/>
        <w:t>growing</w:t>
      </w:r>
      <w:r>
        <w:rPr>
          <w:spacing w:val="-5"/>
        </w:rPr>
        <w:t> </w:t>
      </w:r>
      <w:r>
        <w:rPr/>
        <w:t>regions</w:t>
      </w:r>
      <w:r>
        <w:rPr>
          <w:spacing w:val="-5"/>
        </w:rPr>
        <w:t> </w:t>
      </w:r>
      <w:r>
        <w:rPr/>
        <w:t>of</w:t>
      </w:r>
      <w:r>
        <w:rPr>
          <w:spacing w:val="-5"/>
        </w:rPr>
        <w:t> </w:t>
      </w:r>
      <w:r>
        <w:rPr/>
        <w:t>the</w:t>
      </w:r>
      <w:r>
        <w:rPr>
          <w:spacing w:val="-5"/>
        </w:rPr>
        <w:t> </w:t>
      </w:r>
      <w:r>
        <w:rPr/>
        <w:t>Megalopolis</w:t>
      </w:r>
      <w:r>
        <w:rPr>
          <w:spacing w:val="-5"/>
        </w:rPr>
        <w:t> </w:t>
      </w:r>
      <w:r>
        <w:rPr/>
        <w:t>is</w:t>
      </w:r>
      <w:r>
        <w:rPr>
          <w:spacing w:val="-5"/>
        </w:rPr>
        <w:t> </w:t>
      </w:r>
      <w:r>
        <w:rPr/>
        <w:t>the</w:t>
      </w:r>
      <w:r>
        <w:rPr>
          <w:spacing w:val="-5"/>
        </w:rPr>
        <w:t> </w:t>
      </w:r>
      <w:r>
        <w:rPr/>
        <w:t>Rio</w:t>
      </w:r>
      <w:r>
        <w:rPr>
          <w:spacing w:val="-5"/>
        </w:rPr>
        <w:t> </w:t>
      </w:r>
      <w:r>
        <w:rPr/>
        <w:t>de</w:t>
      </w:r>
      <w:r>
        <w:rPr>
          <w:w w:val="101"/>
        </w:rPr>
        <w:t> </w:t>
      </w:r>
      <w:r>
        <w:rPr/>
        <w:t>Janeiro metropolitan area whose population growth rate stands only at 23.7%,</w:t>
      </w:r>
      <w:r>
        <w:rPr>
          <w:spacing w:val="35"/>
        </w:rPr>
        <w:t> </w:t>
      </w:r>
      <w:r>
        <w:rPr/>
        <w:t>which</w:t>
      </w:r>
      <w:r>
        <w:rPr>
          <w:spacing w:val="3"/>
        </w:rPr>
        <w:t> </w:t>
      </w:r>
      <w:r>
        <w:rPr/>
        <w:t>is</w:t>
      </w:r>
      <w:r>
        <w:rPr>
          <w:w w:val="99"/>
        </w:rPr>
        <w:t> </w:t>
      </w:r>
      <w:r>
        <w:rPr/>
        <w:t>far</w:t>
      </w:r>
      <w:r>
        <w:rPr>
          <w:spacing w:val="-6"/>
        </w:rPr>
        <w:t> </w:t>
      </w:r>
      <w:r>
        <w:rPr/>
        <w:t>less</w:t>
      </w:r>
      <w:r>
        <w:rPr>
          <w:spacing w:val="-6"/>
        </w:rPr>
        <w:t> </w:t>
      </w:r>
      <w:r>
        <w:rPr/>
        <w:t>than</w:t>
      </w:r>
      <w:r>
        <w:rPr>
          <w:spacing w:val="-6"/>
        </w:rPr>
        <w:t> </w:t>
      </w:r>
      <w:r>
        <w:rPr/>
        <w:t>the</w:t>
      </w:r>
      <w:r>
        <w:rPr>
          <w:spacing w:val="-6"/>
        </w:rPr>
        <w:t> </w:t>
      </w:r>
      <w:r>
        <w:rPr/>
        <w:t>mean</w:t>
      </w:r>
      <w:r>
        <w:rPr>
          <w:spacing w:val="-6"/>
        </w:rPr>
        <w:t> </w:t>
      </w:r>
      <w:r>
        <w:rPr/>
        <w:t>rate</w:t>
      </w:r>
      <w:r>
        <w:rPr>
          <w:spacing w:val="-6"/>
        </w:rPr>
        <w:t> </w:t>
      </w:r>
      <w:r>
        <w:rPr/>
        <w:t>of</w:t>
      </w:r>
      <w:r>
        <w:rPr>
          <w:spacing w:val="-6"/>
        </w:rPr>
        <w:t> </w:t>
      </w:r>
      <w:r>
        <w:rPr/>
        <w:t>population</w:t>
      </w:r>
      <w:r>
        <w:rPr>
          <w:spacing w:val="-6"/>
        </w:rPr>
        <w:t> </w:t>
      </w:r>
      <w:r>
        <w:rPr/>
        <w:t>growth</w:t>
      </w:r>
      <w:r>
        <w:rPr>
          <w:spacing w:val="-6"/>
        </w:rPr>
        <w:t> </w:t>
      </w:r>
      <w:r>
        <w:rPr/>
        <w:t>for</w:t>
      </w:r>
      <w:r>
        <w:rPr>
          <w:spacing w:val="-6"/>
        </w:rPr>
        <w:t> </w:t>
      </w:r>
      <w:r>
        <w:rPr/>
        <w:t>the</w:t>
      </w:r>
      <w:r>
        <w:rPr>
          <w:spacing w:val="-6"/>
        </w:rPr>
        <w:t> </w:t>
      </w:r>
      <w:r>
        <w:rPr/>
        <w:t>Megalopolis</w:t>
      </w:r>
      <w:r>
        <w:rPr>
          <w:spacing w:val="-6"/>
        </w:rPr>
        <w:t> </w:t>
      </w:r>
      <w:r>
        <w:rPr/>
        <w:t>as</w:t>
      </w:r>
      <w:r>
        <w:rPr>
          <w:spacing w:val="-6"/>
        </w:rPr>
        <w:t> </w:t>
      </w:r>
      <w:r>
        <w:rPr/>
        <w:t>a</w:t>
      </w:r>
      <w:r>
        <w:rPr>
          <w:spacing w:val="-6"/>
        </w:rPr>
        <w:t> </w:t>
      </w:r>
      <w:r>
        <w:rPr/>
        <w:t>whole</w:t>
      </w:r>
      <w:r>
        <w:rPr>
          <w:spacing w:val="-6"/>
        </w:rPr>
        <w:t> </w:t>
      </w:r>
      <w:r>
        <w:rPr/>
        <w:t>(Tab.</w:t>
      </w:r>
      <w:r>
        <w:rPr>
          <w:spacing w:val="-6"/>
        </w:rPr>
        <w:t> </w:t>
      </w:r>
      <w:r>
        <w:rPr/>
        <w:t>1).</w:t>
      </w:r>
    </w:p>
    <w:p>
      <w:pPr>
        <w:pStyle w:val="BodyText"/>
        <w:spacing w:before="11"/>
      </w:pPr>
    </w:p>
    <w:p>
      <w:pPr>
        <w:pStyle w:val="BodyText"/>
        <w:spacing w:line="249" w:lineRule="auto"/>
        <w:ind w:left="115" w:firstLine="720"/>
        <w:jc w:val="both"/>
      </w:pPr>
      <w:r>
        <w:rPr/>
        <w:t>Rio de Janeiro has experienced reduced population growth and economic growth since its loss of status as the nation’s capital in 1960 (Tolosa 1996; Godfrey 1999). An even lower rate of population growth was noted for the Serrana region – at less than 20% for the entire study period. This region is located in the mountainous interior of the state and lacks a large city that would function as a core for an emerging metropolitan area. The largest city – Petropolis – is a tourism and services center with  a population of about 300,000. The city is strongly linked with Rio de Janeiro, primarily due to its former function as a “summer capital city” during the Empire Period (Godfrey 1999). In the period 1975 – 1990, Petropolis was officially part of the Rio de Janeiro metropolitan area, and its current government is attempting to officially include the    city in the metropolitan area once again. Other cities located in the Serrana region    that could play the role of growth centers are Nova Friburgo (population: 180,000) and Teresopolis (population: 170,000) (Fig.</w:t>
      </w:r>
      <w:r>
        <w:rPr>
          <w:spacing w:val="-39"/>
        </w:rPr>
        <w:t> </w:t>
      </w:r>
      <w:r>
        <w:rPr/>
        <w:t>2).</w:t>
      </w:r>
    </w:p>
    <w:p>
      <w:pPr>
        <w:pStyle w:val="BodyText"/>
        <w:spacing w:before="2"/>
        <w:rPr>
          <w:sz w:val="24"/>
        </w:rPr>
      </w:pPr>
    </w:p>
    <w:p>
      <w:pPr>
        <w:spacing w:before="0"/>
        <w:ind w:left="1024" w:right="0" w:firstLine="0"/>
        <w:jc w:val="left"/>
        <w:rPr>
          <w:sz w:val="16"/>
        </w:rPr>
      </w:pPr>
      <w:r>
        <w:rPr/>
        <w:pict>
          <v:shape style="position:absolute;margin-left:41.5pt;margin-top:14.306308pt;width:385.8pt;height:152.9pt;mso-position-horizontal-relative:page;mso-position-vertical-relative:paragraph;z-index:20080" type="#_x0000_t202" filled="false" stroked="false">
            <v:textbox inset="0,0,0,0">
              <w:txbxContent>
                <w:tbl>
                  <w:tblPr>
                    <w:tblW w:w="0" w:type="auto"/>
                    <w:jc w:val="left"/>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1276"/>
                    <w:gridCol w:w="850"/>
                    <w:gridCol w:w="992"/>
                    <w:gridCol w:w="993"/>
                    <w:gridCol w:w="993"/>
                    <w:gridCol w:w="1162"/>
                    <w:gridCol w:w="1435"/>
                  </w:tblGrid>
                  <w:tr>
                    <w:trPr>
                      <w:trHeight w:val="470" w:hRule="exact"/>
                    </w:trPr>
                    <w:tc>
                      <w:tcPr>
                        <w:tcW w:w="1276" w:type="dxa"/>
                        <w:vMerge w:val="restart"/>
                        <w:tcBorders>
                          <w:top w:val="nil"/>
                          <w:left w:val="nil"/>
                          <w:right w:val="single" w:sz="4" w:space="0" w:color="FFFFFF"/>
                        </w:tcBorders>
                        <w:shd w:val="clear" w:color="auto" w:fill="929292"/>
                      </w:tcPr>
                      <w:p>
                        <w:pPr>
                          <w:pStyle w:val="TableParagraph"/>
                          <w:spacing w:before="10"/>
                          <w:rPr>
                            <w:sz w:val="14"/>
                          </w:rPr>
                        </w:pPr>
                      </w:p>
                      <w:p>
                        <w:pPr>
                          <w:pStyle w:val="TableParagraph"/>
                          <w:spacing w:line="261" w:lineRule="auto"/>
                          <w:ind w:left="108" w:right="111"/>
                          <w:rPr>
                            <w:sz w:val="16"/>
                          </w:rPr>
                        </w:pPr>
                        <w:r>
                          <w:rPr>
                            <w:sz w:val="16"/>
                          </w:rPr>
                          <w:t>Regions of the Megalopolis</w:t>
                        </w:r>
                      </w:p>
                    </w:tc>
                    <w:tc>
                      <w:tcPr>
                        <w:tcW w:w="850" w:type="dxa"/>
                        <w:vMerge w:val="restart"/>
                        <w:tcBorders>
                          <w:top w:val="nil"/>
                          <w:left w:val="single" w:sz="4" w:space="0" w:color="FFFFFF"/>
                          <w:right w:val="single" w:sz="4" w:space="0" w:color="FFFFFF"/>
                        </w:tcBorders>
                        <w:shd w:val="clear" w:color="auto" w:fill="929292"/>
                      </w:tcPr>
                      <w:p>
                        <w:pPr>
                          <w:pStyle w:val="TableParagraph"/>
                          <w:spacing w:before="10"/>
                          <w:rPr>
                            <w:sz w:val="14"/>
                          </w:rPr>
                        </w:pPr>
                      </w:p>
                      <w:p>
                        <w:pPr>
                          <w:pStyle w:val="TableParagraph"/>
                          <w:spacing w:line="261" w:lineRule="auto"/>
                          <w:ind w:left="103" w:right="328"/>
                          <w:rPr>
                            <w:sz w:val="16"/>
                          </w:rPr>
                        </w:pPr>
                        <w:r>
                          <w:rPr>
                            <w:sz w:val="16"/>
                          </w:rPr>
                          <w:t>Area </w:t>
                        </w:r>
                        <w:r>
                          <w:rPr>
                            <w:w w:val="95"/>
                            <w:sz w:val="16"/>
                          </w:rPr>
                          <w:t>(km2)</w:t>
                        </w:r>
                      </w:p>
                    </w:tc>
                    <w:tc>
                      <w:tcPr>
                        <w:tcW w:w="992" w:type="dxa"/>
                        <w:vMerge w:val="restart"/>
                        <w:tcBorders>
                          <w:top w:val="nil"/>
                          <w:left w:val="single" w:sz="4" w:space="0" w:color="FFFFFF"/>
                          <w:right w:val="single" w:sz="4" w:space="0" w:color="FFFFFF"/>
                        </w:tcBorders>
                        <w:shd w:val="clear" w:color="auto" w:fill="929292"/>
                      </w:tcPr>
                      <w:p>
                        <w:pPr>
                          <w:pStyle w:val="TableParagraph"/>
                          <w:spacing w:line="261" w:lineRule="auto" w:before="43"/>
                          <w:ind w:left="102" w:right="326"/>
                          <w:rPr>
                            <w:sz w:val="16"/>
                          </w:rPr>
                        </w:pPr>
                        <w:r>
                          <w:rPr>
                            <w:sz w:val="16"/>
                          </w:rPr>
                          <w:t>Density (peop./</w:t>
                        </w:r>
                      </w:p>
                      <w:p>
                        <w:pPr>
                          <w:pStyle w:val="TableParagraph"/>
                          <w:spacing w:before="56"/>
                          <w:ind w:left="102" w:right="193"/>
                          <w:rPr>
                            <w:sz w:val="16"/>
                          </w:rPr>
                        </w:pPr>
                        <w:r>
                          <w:rPr>
                            <w:sz w:val="16"/>
                          </w:rPr>
                          <w:t>km2)</w:t>
                        </w:r>
                      </w:p>
                    </w:tc>
                    <w:tc>
                      <w:tcPr>
                        <w:tcW w:w="1986" w:type="dxa"/>
                        <w:gridSpan w:val="2"/>
                        <w:tcBorders>
                          <w:top w:val="nil"/>
                          <w:left w:val="single" w:sz="4" w:space="0" w:color="FFFFFF"/>
                          <w:bottom w:val="single" w:sz="4" w:space="0" w:color="FFFFFF"/>
                          <w:right w:val="single" w:sz="4" w:space="0" w:color="FFFFFF"/>
                        </w:tcBorders>
                        <w:shd w:val="clear" w:color="auto" w:fill="929292"/>
                      </w:tcPr>
                      <w:p>
                        <w:pPr>
                          <w:pStyle w:val="TableParagraph"/>
                          <w:spacing w:before="142"/>
                          <w:ind w:left="102"/>
                          <w:rPr>
                            <w:sz w:val="16"/>
                          </w:rPr>
                        </w:pPr>
                        <w:r>
                          <w:rPr>
                            <w:sz w:val="16"/>
                          </w:rPr>
                          <w:t>Population (000’s)</w:t>
                        </w:r>
                      </w:p>
                    </w:tc>
                    <w:tc>
                      <w:tcPr>
                        <w:tcW w:w="1162" w:type="dxa"/>
                        <w:vMerge w:val="restart"/>
                        <w:tcBorders>
                          <w:top w:val="nil"/>
                          <w:left w:val="single" w:sz="4" w:space="0" w:color="FFFFFF"/>
                          <w:right w:val="single" w:sz="4" w:space="0" w:color="FFFFFF"/>
                        </w:tcBorders>
                        <w:shd w:val="clear" w:color="auto" w:fill="929292"/>
                      </w:tcPr>
                      <w:p>
                        <w:pPr>
                          <w:pStyle w:val="TableParagraph"/>
                          <w:spacing w:before="10"/>
                          <w:rPr>
                            <w:sz w:val="14"/>
                          </w:rPr>
                        </w:pPr>
                      </w:p>
                      <w:p>
                        <w:pPr>
                          <w:pStyle w:val="TableParagraph"/>
                          <w:spacing w:line="261" w:lineRule="auto"/>
                          <w:ind w:left="103"/>
                          <w:rPr>
                            <w:sz w:val="16"/>
                          </w:rPr>
                        </w:pPr>
                        <w:r>
                          <w:rPr>
                            <w:sz w:val="16"/>
                          </w:rPr>
                          <w:t>Change 1991=100%</w:t>
                        </w:r>
                      </w:p>
                    </w:tc>
                    <w:tc>
                      <w:tcPr>
                        <w:tcW w:w="1435" w:type="dxa"/>
                        <w:vMerge w:val="restart"/>
                        <w:tcBorders>
                          <w:top w:val="nil"/>
                          <w:left w:val="single" w:sz="4" w:space="0" w:color="FFFFFF"/>
                          <w:right w:val="nil"/>
                        </w:tcBorders>
                        <w:shd w:val="clear" w:color="auto" w:fill="929292"/>
                      </w:tcPr>
                      <w:p>
                        <w:pPr>
                          <w:pStyle w:val="TableParagraph"/>
                          <w:spacing w:line="261" w:lineRule="auto" w:before="71"/>
                          <w:ind w:left="102" w:right="17"/>
                          <w:rPr>
                            <w:sz w:val="16"/>
                          </w:rPr>
                        </w:pPr>
                        <w:r>
                          <w:rPr>
                            <w:sz w:val="16"/>
                          </w:rPr>
                          <w:t>Average annual growth rate 1991</w:t>
                        </w:r>
                      </w:p>
                      <w:p>
                        <w:pPr>
                          <w:pStyle w:val="TableParagraph"/>
                          <w:ind w:left="102" w:right="17"/>
                          <w:rPr>
                            <w:sz w:val="16"/>
                          </w:rPr>
                        </w:pPr>
                        <w:r>
                          <w:rPr>
                            <w:sz w:val="16"/>
                          </w:rPr>
                          <w:t>– 2014 (%)</w:t>
                        </w:r>
                      </w:p>
                    </w:tc>
                  </w:tr>
                  <w:tr>
                    <w:trPr>
                      <w:trHeight w:val="258" w:hRule="exact"/>
                    </w:trPr>
                    <w:tc>
                      <w:tcPr>
                        <w:tcW w:w="1276" w:type="dxa"/>
                        <w:vMerge/>
                        <w:tcBorders>
                          <w:left w:val="nil"/>
                          <w:bottom w:val="nil"/>
                          <w:right w:val="single" w:sz="4" w:space="0" w:color="FFFFFF"/>
                        </w:tcBorders>
                        <w:shd w:val="clear" w:color="auto" w:fill="929292"/>
                      </w:tcPr>
                      <w:p>
                        <w:pPr/>
                      </w:p>
                    </w:tc>
                    <w:tc>
                      <w:tcPr>
                        <w:tcW w:w="850" w:type="dxa"/>
                        <w:vMerge/>
                        <w:tcBorders>
                          <w:left w:val="single" w:sz="4" w:space="0" w:color="FFFFFF"/>
                          <w:bottom w:val="nil"/>
                          <w:right w:val="single" w:sz="4" w:space="0" w:color="FFFFFF"/>
                        </w:tcBorders>
                        <w:shd w:val="clear" w:color="auto" w:fill="929292"/>
                      </w:tcPr>
                      <w:p>
                        <w:pPr/>
                      </w:p>
                    </w:tc>
                    <w:tc>
                      <w:tcPr>
                        <w:tcW w:w="992" w:type="dxa"/>
                        <w:vMerge/>
                        <w:tcBorders>
                          <w:left w:val="single" w:sz="4" w:space="0" w:color="FFFFFF"/>
                          <w:bottom w:val="nil"/>
                          <w:right w:val="single" w:sz="4" w:space="0" w:color="FFFFFF"/>
                        </w:tcBorders>
                        <w:shd w:val="clear" w:color="auto" w:fill="929292"/>
                      </w:tcPr>
                      <w:p>
                        <w:pPr/>
                      </w:p>
                    </w:tc>
                    <w:tc>
                      <w:tcPr>
                        <w:tcW w:w="993" w:type="dxa"/>
                        <w:tcBorders>
                          <w:top w:val="single" w:sz="4" w:space="0" w:color="FFFFFF"/>
                          <w:left w:val="single" w:sz="4" w:space="0" w:color="FFFFFF"/>
                          <w:bottom w:val="nil"/>
                          <w:right w:val="single" w:sz="4" w:space="0" w:color="FFFFFF"/>
                        </w:tcBorders>
                        <w:shd w:val="clear" w:color="auto" w:fill="929292"/>
                      </w:tcPr>
                      <w:p>
                        <w:pPr>
                          <w:pStyle w:val="TableParagraph"/>
                          <w:spacing w:before="31"/>
                          <w:ind w:left="102" w:right="299"/>
                          <w:rPr>
                            <w:sz w:val="16"/>
                          </w:rPr>
                        </w:pPr>
                        <w:r>
                          <w:rPr>
                            <w:sz w:val="16"/>
                          </w:rPr>
                          <w:t>1991</w:t>
                        </w:r>
                      </w:p>
                    </w:tc>
                    <w:tc>
                      <w:tcPr>
                        <w:tcW w:w="993" w:type="dxa"/>
                        <w:tcBorders>
                          <w:top w:val="single" w:sz="4" w:space="0" w:color="FFFFFF"/>
                          <w:left w:val="single" w:sz="4" w:space="0" w:color="FFFFFF"/>
                          <w:bottom w:val="nil"/>
                          <w:right w:val="single" w:sz="4" w:space="0" w:color="FFFFFF"/>
                        </w:tcBorders>
                        <w:shd w:val="clear" w:color="auto" w:fill="929292"/>
                      </w:tcPr>
                      <w:p>
                        <w:pPr>
                          <w:pStyle w:val="TableParagraph"/>
                          <w:spacing w:before="31"/>
                          <w:ind w:left="102" w:right="299"/>
                          <w:rPr>
                            <w:sz w:val="16"/>
                          </w:rPr>
                        </w:pPr>
                        <w:r>
                          <w:rPr>
                            <w:sz w:val="16"/>
                          </w:rPr>
                          <w:t>2014</w:t>
                        </w:r>
                      </w:p>
                    </w:tc>
                    <w:tc>
                      <w:tcPr>
                        <w:tcW w:w="1162" w:type="dxa"/>
                        <w:vMerge/>
                        <w:tcBorders>
                          <w:left w:val="single" w:sz="4" w:space="0" w:color="FFFFFF"/>
                          <w:bottom w:val="nil"/>
                          <w:right w:val="single" w:sz="4" w:space="0" w:color="FFFFFF"/>
                        </w:tcBorders>
                        <w:shd w:val="clear" w:color="auto" w:fill="929292"/>
                      </w:tcPr>
                      <w:p>
                        <w:pPr/>
                      </w:p>
                    </w:tc>
                    <w:tc>
                      <w:tcPr>
                        <w:tcW w:w="1435" w:type="dxa"/>
                        <w:vMerge/>
                        <w:tcBorders>
                          <w:left w:val="single" w:sz="4" w:space="0" w:color="FFFFFF"/>
                          <w:bottom w:val="nil"/>
                          <w:right w:val="nil"/>
                        </w:tcBorders>
                        <w:shd w:val="clear" w:color="auto" w:fill="929292"/>
                      </w:tcPr>
                      <w:p>
                        <w:pPr/>
                      </w:p>
                    </w:tc>
                  </w:tr>
                  <w:tr>
                    <w:trPr>
                      <w:trHeight w:val="276" w:hRule="exact"/>
                    </w:trPr>
                    <w:tc>
                      <w:tcPr>
                        <w:tcW w:w="1276" w:type="dxa"/>
                        <w:tcBorders>
                          <w:top w:val="nil"/>
                          <w:left w:val="nil"/>
                          <w:right w:val="single" w:sz="4" w:space="0" w:color="929292"/>
                        </w:tcBorders>
                      </w:tcPr>
                      <w:p>
                        <w:pPr>
                          <w:pStyle w:val="TableParagraph"/>
                          <w:spacing w:before="44"/>
                          <w:ind w:left="107" w:right="8"/>
                          <w:rPr>
                            <w:sz w:val="16"/>
                          </w:rPr>
                        </w:pPr>
                        <w:r>
                          <w:rPr>
                            <w:sz w:val="16"/>
                          </w:rPr>
                          <w:t>São Paulo MA</w:t>
                        </w:r>
                      </w:p>
                    </w:tc>
                    <w:tc>
                      <w:tcPr>
                        <w:tcW w:w="850" w:type="dxa"/>
                        <w:tcBorders>
                          <w:top w:val="nil"/>
                          <w:left w:val="single" w:sz="4" w:space="0" w:color="929292"/>
                          <w:right w:val="single" w:sz="4" w:space="0" w:color="929292"/>
                        </w:tcBorders>
                      </w:tcPr>
                      <w:p>
                        <w:pPr>
                          <w:pStyle w:val="TableParagraph"/>
                          <w:spacing w:before="44"/>
                          <w:ind w:left="102"/>
                          <w:rPr>
                            <w:sz w:val="16"/>
                          </w:rPr>
                        </w:pPr>
                        <w:r>
                          <w:rPr>
                            <w:sz w:val="16"/>
                          </w:rPr>
                          <w:t>7,946.8</w:t>
                        </w:r>
                      </w:p>
                    </w:tc>
                    <w:tc>
                      <w:tcPr>
                        <w:tcW w:w="992" w:type="dxa"/>
                        <w:tcBorders>
                          <w:top w:val="nil"/>
                          <w:left w:val="single" w:sz="4" w:space="0" w:color="929292"/>
                          <w:right w:val="single" w:sz="4" w:space="0" w:color="929292"/>
                        </w:tcBorders>
                      </w:tcPr>
                      <w:p>
                        <w:pPr>
                          <w:pStyle w:val="TableParagraph"/>
                          <w:spacing w:before="44"/>
                          <w:ind w:left="102" w:right="193"/>
                          <w:rPr>
                            <w:sz w:val="16"/>
                          </w:rPr>
                        </w:pPr>
                        <w:r>
                          <w:rPr>
                            <w:sz w:val="16"/>
                          </w:rPr>
                          <w:t>2,634.4</w:t>
                        </w:r>
                      </w:p>
                    </w:tc>
                    <w:tc>
                      <w:tcPr>
                        <w:tcW w:w="993" w:type="dxa"/>
                        <w:tcBorders>
                          <w:top w:val="nil"/>
                          <w:left w:val="single" w:sz="4" w:space="0" w:color="929292"/>
                          <w:right w:val="single" w:sz="4" w:space="0" w:color="929292"/>
                        </w:tcBorders>
                      </w:tcPr>
                      <w:p>
                        <w:pPr>
                          <w:pStyle w:val="TableParagraph"/>
                          <w:spacing w:before="44"/>
                          <w:ind w:left="102"/>
                          <w:rPr>
                            <w:sz w:val="16"/>
                          </w:rPr>
                        </w:pPr>
                        <w:r>
                          <w:rPr>
                            <w:sz w:val="16"/>
                          </w:rPr>
                          <w:t>15,444.9</w:t>
                        </w:r>
                      </w:p>
                    </w:tc>
                    <w:tc>
                      <w:tcPr>
                        <w:tcW w:w="993" w:type="dxa"/>
                        <w:tcBorders>
                          <w:top w:val="nil"/>
                          <w:left w:val="single" w:sz="4" w:space="0" w:color="929292"/>
                          <w:right w:val="single" w:sz="4" w:space="0" w:color="929292"/>
                        </w:tcBorders>
                      </w:tcPr>
                      <w:p>
                        <w:pPr>
                          <w:pStyle w:val="TableParagraph"/>
                          <w:spacing w:before="44"/>
                          <w:ind w:left="102"/>
                          <w:rPr>
                            <w:sz w:val="16"/>
                          </w:rPr>
                        </w:pPr>
                        <w:r>
                          <w:rPr>
                            <w:sz w:val="16"/>
                          </w:rPr>
                          <w:t>20,935.2</w:t>
                        </w:r>
                      </w:p>
                    </w:tc>
                    <w:tc>
                      <w:tcPr>
                        <w:tcW w:w="1162" w:type="dxa"/>
                        <w:tcBorders>
                          <w:top w:val="nil"/>
                          <w:left w:val="single" w:sz="4" w:space="0" w:color="929292"/>
                          <w:right w:val="single" w:sz="4" w:space="0" w:color="929292"/>
                        </w:tcBorders>
                      </w:tcPr>
                      <w:p>
                        <w:pPr>
                          <w:pStyle w:val="TableParagraph"/>
                          <w:spacing w:before="44"/>
                          <w:ind w:left="102"/>
                          <w:rPr>
                            <w:sz w:val="16"/>
                          </w:rPr>
                        </w:pPr>
                        <w:r>
                          <w:rPr>
                            <w:sz w:val="16"/>
                          </w:rPr>
                          <w:t>135.5</w:t>
                        </w:r>
                      </w:p>
                    </w:tc>
                    <w:tc>
                      <w:tcPr>
                        <w:tcW w:w="1435" w:type="dxa"/>
                        <w:tcBorders>
                          <w:top w:val="nil"/>
                          <w:left w:val="single" w:sz="4" w:space="0" w:color="929292"/>
                          <w:right w:val="nil"/>
                        </w:tcBorders>
                      </w:tcPr>
                      <w:p>
                        <w:pPr>
                          <w:pStyle w:val="TableParagraph"/>
                          <w:spacing w:before="44"/>
                          <w:ind w:left="102" w:right="17"/>
                          <w:rPr>
                            <w:sz w:val="16"/>
                          </w:rPr>
                        </w:pPr>
                        <w:r>
                          <w:rPr>
                            <w:sz w:val="16"/>
                          </w:rPr>
                          <w:t>1.33</w:t>
                        </w:r>
                      </w:p>
                    </w:tc>
                  </w:tr>
                  <w:tr>
                    <w:trPr>
                      <w:trHeight w:val="371" w:hRule="exact"/>
                    </w:trPr>
                    <w:tc>
                      <w:tcPr>
                        <w:tcW w:w="1276" w:type="dxa"/>
                        <w:vMerge w:val="restart"/>
                        <w:tcBorders>
                          <w:left w:val="nil"/>
                          <w:right w:val="single" w:sz="4" w:space="0" w:color="929292"/>
                        </w:tcBorders>
                      </w:tcPr>
                      <w:p>
                        <w:pPr>
                          <w:pStyle w:val="TableParagraph"/>
                          <w:spacing w:line="172" w:lineRule="exact"/>
                          <w:ind w:left="107" w:right="8"/>
                          <w:rPr>
                            <w:sz w:val="16"/>
                          </w:rPr>
                        </w:pPr>
                        <w:r>
                          <w:rPr>
                            <w:sz w:val="16"/>
                          </w:rPr>
                          <w:t>RM Campinas</w:t>
                        </w:r>
                      </w:p>
                      <w:p>
                        <w:pPr>
                          <w:pStyle w:val="TableParagraph"/>
                          <w:tabs>
                            <w:tab w:pos="1260" w:val="left" w:leader="none"/>
                          </w:tabs>
                          <w:spacing w:line="170" w:lineRule="exact" w:before="30"/>
                          <w:ind w:left="107" w:right="8" w:hanging="73"/>
                          <w:rPr>
                            <w:sz w:val="16"/>
                          </w:rPr>
                        </w:pPr>
                        <w:r>
                          <w:rPr>
                            <w:w w:val="100"/>
                            <w:sz w:val="16"/>
                            <w:u w:val="dotted" w:color="929292"/>
                          </w:rPr>
                          <w:t> </w:t>
                        </w:r>
                        <w:r>
                          <w:rPr>
                            <w:spacing w:val="-17"/>
                            <w:sz w:val="16"/>
                            <w:u w:val="dotted" w:color="929292"/>
                          </w:rPr>
                          <w:t> </w:t>
                        </w:r>
                        <w:r>
                          <w:rPr>
                            <w:sz w:val="16"/>
                            <w:u w:val="dotted" w:color="929292"/>
                          </w:rPr>
                          <w:t>MA</w:t>
                          <w:tab/>
                        </w:r>
                        <w:r>
                          <w:rPr>
                            <w:sz w:val="16"/>
                          </w:rPr>
                          <w:t> Vale</w:t>
                        </w:r>
                        <w:r>
                          <w:rPr>
                            <w:spacing w:val="-7"/>
                            <w:sz w:val="16"/>
                          </w:rPr>
                          <w:t> </w:t>
                        </w:r>
                        <w:r>
                          <w:rPr>
                            <w:sz w:val="16"/>
                          </w:rPr>
                          <w:t>do</w:t>
                        </w:r>
                      </w:p>
                      <w:p>
                        <w:pPr>
                          <w:pStyle w:val="TableParagraph"/>
                          <w:spacing w:line="261" w:lineRule="auto" w:before="16"/>
                          <w:ind w:left="107" w:right="272"/>
                          <w:rPr>
                            <w:sz w:val="16"/>
                          </w:rPr>
                        </w:pPr>
                        <w:r>
                          <w:rPr>
                            <w:sz w:val="16"/>
                          </w:rPr>
                          <w:t>Paraiba e Litoral Norte</w:t>
                        </w:r>
                      </w:p>
                      <w:p>
                        <w:pPr>
                          <w:pStyle w:val="TableParagraph"/>
                          <w:tabs>
                            <w:tab w:pos="1260" w:val="left" w:leader="none"/>
                          </w:tabs>
                          <w:spacing w:line="276" w:lineRule="auto"/>
                          <w:ind w:left="107" w:right="8" w:hanging="73"/>
                          <w:rPr>
                            <w:sz w:val="16"/>
                          </w:rPr>
                        </w:pPr>
                        <w:r>
                          <w:rPr>
                            <w:w w:val="100"/>
                            <w:sz w:val="16"/>
                            <w:u w:val="dotted" w:color="929292"/>
                          </w:rPr>
                          <w:t> </w:t>
                        </w:r>
                        <w:r>
                          <w:rPr>
                            <w:spacing w:val="-17"/>
                            <w:sz w:val="16"/>
                            <w:u w:val="dotted" w:color="929292"/>
                          </w:rPr>
                          <w:t> </w:t>
                        </w:r>
                        <w:r>
                          <w:rPr>
                            <w:sz w:val="16"/>
                            <w:u w:val="dotted" w:color="929292"/>
                          </w:rPr>
                          <w:t>MA</w:t>
                          <w:tab/>
                        </w:r>
                        <w:r>
                          <w:rPr>
                            <w:sz w:val="16"/>
                          </w:rPr>
                          <w:t> Sorocaba</w:t>
                        </w:r>
                        <w:r>
                          <w:rPr>
                            <w:spacing w:val="11"/>
                            <w:sz w:val="16"/>
                          </w:rPr>
                          <w:t> </w:t>
                        </w:r>
                        <w:r>
                          <w:rPr>
                            <w:sz w:val="16"/>
                          </w:rPr>
                          <w:t>MA</w:t>
                        </w:r>
                      </w:p>
                    </w:tc>
                    <w:tc>
                      <w:tcPr>
                        <w:tcW w:w="850" w:type="dxa"/>
                        <w:tcBorders>
                          <w:left w:val="single" w:sz="4" w:space="0" w:color="929292"/>
                          <w:right w:val="single" w:sz="4" w:space="0" w:color="929292"/>
                        </w:tcBorders>
                      </w:tcPr>
                      <w:p>
                        <w:pPr>
                          <w:pStyle w:val="TableParagraph"/>
                          <w:spacing w:before="87"/>
                          <w:ind w:left="102"/>
                          <w:rPr>
                            <w:sz w:val="16"/>
                          </w:rPr>
                        </w:pPr>
                        <w:r>
                          <w:rPr>
                            <w:sz w:val="16"/>
                          </w:rPr>
                          <w:t>3,791.9</w:t>
                        </w:r>
                      </w:p>
                    </w:tc>
                    <w:tc>
                      <w:tcPr>
                        <w:tcW w:w="992" w:type="dxa"/>
                        <w:tcBorders>
                          <w:left w:val="single" w:sz="4" w:space="0" w:color="929292"/>
                          <w:right w:val="single" w:sz="4" w:space="0" w:color="929292"/>
                        </w:tcBorders>
                      </w:tcPr>
                      <w:p>
                        <w:pPr>
                          <w:pStyle w:val="TableParagraph"/>
                          <w:spacing w:before="87"/>
                          <w:ind w:left="102" w:right="193"/>
                          <w:rPr>
                            <w:sz w:val="16"/>
                          </w:rPr>
                        </w:pPr>
                        <w:r>
                          <w:rPr>
                            <w:sz w:val="16"/>
                          </w:rPr>
                          <w:t>805.9</w:t>
                        </w:r>
                      </w:p>
                    </w:tc>
                    <w:tc>
                      <w:tcPr>
                        <w:tcW w:w="993" w:type="dxa"/>
                        <w:tcBorders>
                          <w:left w:val="single" w:sz="4" w:space="0" w:color="929292"/>
                          <w:right w:val="single" w:sz="4" w:space="0" w:color="929292"/>
                        </w:tcBorders>
                      </w:tcPr>
                      <w:p>
                        <w:pPr>
                          <w:pStyle w:val="TableParagraph"/>
                          <w:spacing w:before="87"/>
                          <w:ind w:left="102" w:right="299"/>
                          <w:rPr>
                            <w:sz w:val="16"/>
                          </w:rPr>
                        </w:pPr>
                        <w:r>
                          <w:rPr>
                            <w:sz w:val="16"/>
                          </w:rPr>
                          <w:t>1,874.2</w:t>
                        </w:r>
                      </w:p>
                    </w:tc>
                    <w:tc>
                      <w:tcPr>
                        <w:tcW w:w="993" w:type="dxa"/>
                        <w:tcBorders>
                          <w:left w:val="single" w:sz="4" w:space="0" w:color="929292"/>
                          <w:right w:val="single" w:sz="4" w:space="0" w:color="929292"/>
                        </w:tcBorders>
                      </w:tcPr>
                      <w:p>
                        <w:pPr>
                          <w:pStyle w:val="TableParagraph"/>
                          <w:spacing w:before="87"/>
                          <w:ind w:left="102" w:right="299"/>
                          <w:rPr>
                            <w:sz w:val="16"/>
                          </w:rPr>
                        </w:pPr>
                        <w:r>
                          <w:rPr>
                            <w:sz w:val="16"/>
                          </w:rPr>
                          <w:t>3,056.0</w:t>
                        </w:r>
                      </w:p>
                    </w:tc>
                    <w:tc>
                      <w:tcPr>
                        <w:tcW w:w="1162" w:type="dxa"/>
                        <w:tcBorders>
                          <w:left w:val="single" w:sz="4" w:space="0" w:color="929292"/>
                          <w:right w:val="single" w:sz="4" w:space="0" w:color="929292"/>
                        </w:tcBorders>
                      </w:tcPr>
                      <w:p>
                        <w:pPr>
                          <w:pStyle w:val="TableParagraph"/>
                          <w:spacing w:before="87"/>
                          <w:ind w:left="102"/>
                          <w:rPr>
                            <w:sz w:val="16"/>
                          </w:rPr>
                        </w:pPr>
                        <w:r>
                          <w:rPr>
                            <w:sz w:val="16"/>
                          </w:rPr>
                          <w:t>163.1</w:t>
                        </w:r>
                      </w:p>
                    </w:tc>
                    <w:tc>
                      <w:tcPr>
                        <w:tcW w:w="1435" w:type="dxa"/>
                        <w:tcBorders>
                          <w:left w:val="single" w:sz="4" w:space="0" w:color="929292"/>
                          <w:right w:val="nil"/>
                        </w:tcBorders>
                      </w:tcPr>
                      <w:p>
                        <w:pPr>
                          <w:pStyle w:val="TableParagraph"/>
                          <w:spacing w:before="87"/>
                          <w:ind w:left="102" w:right="17"/>
                          <w:rPr>
                            <w:sz w:val="16"/>
                          </w:rPr>
                        </w:pPr>
                        <w:r>
                          <w:rPr>
                            <w:sz w:val="16"/>
                          </w:rPr>
                          <w:t>2.15</w:t>
                        </w:r>
                      </w:p>
                    </w:tc>
                  </w:tr>
                  <w:tr>
                    <w:trPr>
                      <w:trHeight w:val="1025" w:hRule="exact"/>
                    </w:trPr>
                    <w:tc>
                      <w:tcPr>
                        <w:tcW w:w="1276" w:type="dxa"/>
                        <w:vMerge/>
                        <w:tcBorders>
                          <w:left w:val="nil"/>
                          <w:right w:val="single" w:sz="4" w:space="0" w:color="929292"/>
                        </w:tcBorders>
                      </w:tcPr>
                      <w:p>
                        <w:pPr/>
                      </w:p>
                    </w:tc>
                    <w:tc>
                      <w:tcPr>
                        <w:tcW w:w="850" w:type="dxa"/>
                        <w:tcBorders>
                          <w:left w:val="single" w:sz="4" w:space="0" w:color="929292"/>
                          <w:right w:val="single" w:sz="4" w:space="0" w:color="929292"/>
                        </w:tcBorders>
                      </w:tcPr>
                      <w:p>
                        <w:pPr>
                          <w:pStyle w:val="TableParagraph"/>
                          <w:rPr>
                            <w:sz w:val="16"/>
                          </w:rPr>
                        </w:pPr>
                      </w:p>
                      <w:p>
                        <w:pPr>
                          <w:pStyle w:val="TableParagraph"/>
                          <w:spacing w:before="103"/>
                          <w:ind w:left="102"/>
                          <w:rPr>
                            <w:sz w:val="16"/>
                          </w:rPr>
                        </w:pPr>
                        <w:r>
                          <w:rPr>
                            <w:sz w:val="16"/>
                          </w:rPr>
                          <w:t>16,181.3</w:t>
                        </w:r>
                      </w:p>
                      <w:p>
                        <w:pPr>
                          <w:pStyle w:val="TableParagraph"/>
                          <w:tabs>
                            <w:tab w:pos="829" w:val="left" w:leader="none"/>
                          </w:tabs>
                          <w:spacing w:line="276" w:lineRule="auto" w:before="116"/>
                          <w:ind w:left="102" w:right="8" w:hanging="77"/>
                          <w:rPr>
                            <w:sz w:val="16"/>
                          </w:rPr>
                        </w:pPr>
                        <w:r>
                          <w:rPr>
                            <w:w w:val="100"/>
                            <w:sz w:val="16"/>
                            <w:u w:val="dotted" w:color="929292"/>
                          </w:rPr>
                          <w:t> </w:t>
                        </w:r>
                        <w:r>
                          <w:rPr>
                            <w:sz w:val="16"/>
                            <w:u w:val="dotted" w:color="929292"/>
                          </w:rPr>
                          <w:tab/>
                          <w:tab/>
                        </w:r>
                        <w:r>
                          <w:rPr>
                            <w:sz w:val="16"/>
                          </w:rPr>
                          <w:t> </w:t>
                        </w:r>
                        <w:r>
                          <w:rPr>
                            <w:w w:val="99"/>
                            <w:sz w:val="16"/>
                          </w:rPr>
                          <w:t>9,821.3</w:t>
                        </w:r>
                      </w:p>
                    </w:tc>
                    <w:tc>
                      <w:tcPr>
                        <w:tcW w:w="992" w:type="dxa"/>
                        <w:tcBorders>
                          <w:left w:val="single" w:sz="4" w:space="0" w:color="929292"/>
                          <w:right w:val="single" w:sz="4" w:space="0" w:color="929292"/>
                        </w:tcBorders>
                      </w:tcPr>
                      <w:p>
                        <w:pPr>
                          <w:pStyle w:val="TableParagraph"/>
                          <w:rPr>
                            <w:sz w:val="16"/>
                          </w:rPr>
                        </w:pPr>
                      </w:p>
                      <w:p>
                        <w:pPr>
                          <w:pStyle w:val="TableParagraph"/>
                          <w:spacing w:before="103"/>
                          <w:ind w:left="102" w:right="193"/>
                          <w:rPr>
                            <w:sz w:val="16"/>
                          </w:rPr>
                        </w:pPr>
                        <w:r>
                          <w:rPr>
                            <w:sz w:val="16"/>
                          </w:rPr>
                          <w:t>150.2</w:t>
                        </w:r>
                      </w:p>
                      <w:p>
                        <w:pPr>
                          <w:pStyle w:val="TableParagraph"/>
                          <w:tabs>
                            <w:tab w:pos="971" w:val="left" w:leader="none"/>
                          </w:tabs>
                          <w:spacing w:line="276" w:lineRule="auto" w:before="116"/>
                          <w:ind w:left="102" w:right="8" w:hanging="78"/>
                          <w:rPr>
                            <w:sz w:val="16"/>
                          </w:rPr>
                        </w:pPr>
                        <w:r>
                          <w:rPr>
                            <w:w w:val="100"/>
                            <w:sz w:val="16"/>
                            <w:u w:val="dotted" w:color="929292"/>
                          </w:rPr>
                          <w:t> </w:t>
                        </w:r>
                        <w:r>
                          <w:rPr>
                            <w:sz w:val="16"/>
                            <w:u w:val="dotted" w:color="929292"/>
                          </w:rPr>
                          <w:tab/>
                          <w:tab/>
                        </w:r>
                        <w:r>
                          <w:rPr>
                            <w:sz w:val="16"/>
                          </w:rPr>
                          <w:t> </w:t>
                        </w:r>
                        <w:r>
                          <w:rPr>
                            <w:w w:val="99"/>
                            <w:sz w:val="16"/>
                          </w:rPr>
                          <w:t>190.1</w:t>
                        </w:r>
                      </w:p>
                    </w:tc>
                    <w:tc>
                      <w:tcPr>
                        <w:tcW w:w="993" w:type="dxa"/>
                        <w:tcBorders>
                          <w:left w:val="single" w:sz="4" w:space="0" w:color="929292"/>
                          <w:right w:val="single" w:sz="4" w:space="0" w:color="929292"/>
                        </w:tcBorders>
                      </w:tcPr>
                      <w:p>
                        <w:pPr>
                          <w:pStyle w:val="TableParagraph"/>
                          <w:rPr>
                            <w:sz w:val="16"/>
                          </w:rPr>
                        </w:pPr>
                      </w:p>
                      <w:p>
                        <w:pPr>
                          <w:pStyle w:val="TableParagraph"/>
                          <w:spacing w:before="103"/>
                          <w:ind w:left="102" w:right="299"/>
                          <w:rPr>
                            <w:sz w:val="16"/>
                          </w:rPr>
                        </w:pPr>
                        <w:r>
                          <w:rPr>
                            <w:sz w:val="16"/>
                          </w:rPr>
                          <w:t>1,651.6</w:t>
                        </w:r>
                      </w:p>
                      <w:p>
                        <w:pPr>
                          <w:pStyle w:val="TableParagraph"/>
                          <w:tabs>
                            <w:tab w:pos="972" w:val="left" w:leader="none"/>
                          </w:tabs>
                          <w:spacing w:line="276" w:lineRule="auto" w:before="116"/>
                          <w:ind w:left="102" w:right="8" w:hanging="78"/>
                          <w:rPr>
                            <w:sz w:val="16"/>
                          </w:rPr>
                        </w:pPr>
                        <w:r>
                          <w:rPr>
                            <w:w w:val="100"/>
                            <w:sz w:val="16"/>
                            <w:u w:val="dotted" w:color="929292"/>
                          </w:rPr>
                          <w:t> </w:t>
                        </w:r>
                        <w:r>
                          <w:rPr>
                            <w:sz w:val="16"/>
                            <w:u w:val="dotted" w:color="929292"/>
                          </w:rPr>
                          <w:tab/>
                          <w:tab/>
                        </w:r>
                        <w:r>
                          <w:rPr>
                            <w:sz w:val="16"/>
                          </w:rPr>
                          <w:t> </w:t>
                        </w:r>
                        <w:r>
                          <w:rPr>
                            <w:w w:val="99"/>
                            <w:sz w:val="16"/>
                          </w:rPr>
                          <w:t>1,152.1</w:t>
                        </w:r>
                      </w:p>
                    </w:tc>
                    <w:tc>
                      <w:tcPr>
                        <w:tcW w:w="993" w:type="dxa"/>
                        <w:tcBorders>
                          <w:left w:val="single" w:sz="4" w:space="0" w:color="929292"/>
                          <w:right w:val="single" w:sz="4" w:space="0" w:color="929292"/>
                        </w:tcBorders>
                      </w:tcPr>
                      <w:p>
                        <w:pPr>
                          <w:pStyle w:val="TableParagraph"/>
                          <w:rPr>
                            <w:sz w:val="16"/>
                          </w:rPr>
                        </w:pPr>
                      </w:p>
                      <w:p>
                        <w:pPr>
                          <w:pStyle w:val="TableParagraph"/>
                          <w:spacing w:before="103"/>
                          <w:ind w:left="102" w:right="299"/>
                          <w:rPr>
                            <w:sz w:val="16"/>
                          </w:rPr>
                        </w:pPr>
                        <w:r>
                          <w:rPr>
                            <w:sz w:val="16"/>
                          </w:rPr>
                          <w:t>2,430.4</w:t>
                        </w:r>
                      </w:p>
                      <w:p>
                        <w:pPr>
                          <w:pStyle w:val="TableParagraph"/>
                          <w:tabs>
                            <w:tab w:pos="972" w:val="left" w:leader="none"/>
                          </w:tabs>
                          <w:spacing w:line="276" w:lineRule="auto" w:before="116"/>
                          <w:ind w:left="102" w:right="8" w:hanging="78"/>
                          <w:rPr>
                            <w:sz w:val="16"/>
                          </w:rPr>
                        </w:pPr>
                        <w:r>
                          <w:rPr>
                            <w:w w:val="100"/>
                            <w:sz w:val="16"/>
                            <w:u w:val="dotted" w:color="929292"/>
                          </w:rPr>
                          <w:t> </w:t>
                        </w:r>
                        <w:r>
                          <w:rPr>
                            <w:sz w:val="16"/>
                            <w:u w:val="dotted" w:color="929292"/>
                          </w:rPr>
                          <w:tab/>
                          <w:tab/>
                        </w:r>
                        <w:r>
                          <w:rPr>
                            <w:sz w:val="16"/>
                          </w:rPr>
                          <w:t> </w:t>
                        </w:r>
                        <w:r>
                          <w:rPr>
                            <w:w w:val="99"/>
                            <w:sz w:val="16"/>
                          </w:rPr>
                          <w:t>1,867.3</w:t>
                        </w:r>
                      </w:p>
                    </w:tc>
                    <w:tc>
                      <w:tcPr>
                        <w:tcW w:w="1162" w:type="dxa"/>
                        <w:tcBorders>
                          <w:left w:val="single" w:sz="4" w:space="0" w:color="929292"/>
                          <w:right w:val="single" w:sz="4" w:space="0" w:color="929292"/>
                        </w:tcBorders>
                      </w:tcPr>
                      <w:p>
                        <w:pPr>
                          <w:pStyle w:val="TableParagraph"/>
                          <w:rPr>
                            <w:sz w:val="16"/>
                          </w:rPr>
                        </w:pPr>
                      </w:p>
                      <w:p>
                        <w:pPr>
                          <w:pStyle w:val="TableParagraph"/>
                          <w:spacing w:before="103"/>
                          <w:ind w:left="102"/>
                          <w:rPr>
                            <w:sz w:val="16"/>
                          </w:rPr>
                        </w:pPr>
                        <w:r>
                          <w:rPr>
                            <w:sz w:val="16"/>
                          </w:rPr>
                          <w:t>147.2</w:t>
                        </w:r>
                      </w:p>
                      <w:p>
                        <w:pPr>
                          <w:pStyle w:val="TableParagraph"/>
                          <w:tabs>
                            <w:tab w:pos="1141" w:val="left" w:leader="none"/>
                          </w:tabs>
                          <w:spacing w:line="276" w:lineRule="auto" w:before="116"/>
                          <w:ind w:left="102" w:right="7" w:hanging="78"/>
                          <w:rPr>
                            <w:sz w:val="16"/>
                          </w:rPr>
                        </w:pPr>
                        <w:r>
                          <w:rPr>
                            <w:w w:val="100"/>
                            <w:sz w:val="16"/>
                            <w:u w:val="dotted" w:color="929292"/>
                          </w:rPr>
                          <w:t> </w:t>
                        </w:r>
                        <w:r>
                          <w:rPr>
                            <w:sz w:val="16"/>
                            <w:u w:val="dotted" w:color="929292"/>
                          </w:rPr>
                          <w:tab/>
                          <w:tab/>
                        </w:r>
                        <w:r>
                          <w:rPr>
                            <w:sz w:val="16"/>
                          </w:rPr>
                          <w:t> </w:t>
                        </w:r>
                        <w:r>
                          <w:rPr>
                            <w:w w:val="99"/>
                            <w:sz w:val="16"/>
                          </w:rPr>
                          <w:t>162.1</w:t>
                        </w:r>
                      </w:p>
                    </w:tc>
                    <w:tc>
                      <w:tcPr>
                        <w:tcW w:w="1435" w:type="dxa"/>
                        <w:tcBorders>
                          <w:left w:val="single" w:sz="4" w:space="0" w:color="929292"/>
                          <w:right w:val="nil"/>
                        </w:tcBorders>
                      </w:tcPr>
                      <w:p>
                        <w:pPr>
                          <w:pStyle w:val="TableParagraph"/>
                          <w:rPr>
                            <w:sz w:val="16"/>
                          </w:rPr>
                        </w:pPr>
                      </w:p>
                      <w:p>
                        <w:pPr>
                          <w:pStyle w:val="TableParagraph"/>
                          <w:spacing w:before="103"/>
                          <w:ind w:left="102" w:right="17"/>
                          <w:rPr>
                            <w:sz w:val="16"/>
                          </w:rPr>
                        </w:pPr>
                        <w:r>
                          <w:rPr>
                            <w:sz w:val="16"/>
                          </w:rPr>
                          <w:t>1.69</w:t>
                        </w:r>
                      </w:p>
                      <w:p>
                        <w:pPr>
                          <w:pStyle w:val="TableParagraph"/>
                          <w:tabs>
                            <w:tab w:pos="1409" w:val="left" w:leader="none"/>
                          </w:tabs>
                          <w:spacing w:line="276" w:lineRule="auto" w:before="116"/>
                          <w:ind w:left="102" w:right="17" w:hanging="78"/>
                          <w:rPr>
                            <w:sz w:val="16"/>
                          </w:rPr>
                        </w:pPr>
                        <w:r>
                          <w:rPr>
                            <w:w w:val="100"/>
                            <w:sz w:val="16"/>
                            <w:u w:val="dotted" w:color="929292"/>
                          </w:rPr>
                          <w:t> </w:t>
                        </w:r>
                        <w:r>
                          <w:rPr>
                            <w:sz w:val="16"/>
                            <w:u w:val="dotted" w:color="929292"/>
                          </w:rPr>
                          <w:tab/>
                          <w:tab/>
                        </w:r>
                        <w:r>
                          <w:rPr>
                            <w:sz w:val="16"/>
                          </w:rPr>
                          <w:t> </w:t>
                        </w:r>
                        <w:r>
                          <w:rPr>
                            <w:w w:val="99"/>
                            <w:sz w:val="16"/>
                          </w:rPr>
                          <w:t>2.12</w:t>
                        </w:r>
                      </w:p>
                    </w:tc>
                  </w:tr>
                  <w:tr>
                    <w:trPr>
                      <w:trHeight w:val="371" w:hRule="exact"/>
                    </w:trPr>
                    <w:tc>
                      <w:tcPr>
                        <w:tcW w:w="1276" w:type="dxa"/>
                        <w:vMerge w:val="restart"/>
                        <w:tcBorders>
                          <w:left w:val="nil"/>
                          <w:right w:val="single" w:sz="4" w:space="0" w:color="929292"/>
                        </w:tcBorders>
                      </w:tcPr>
                      <w:p>
                        <w:pPr>
                          <w:pStyle w:val="TableParagraph"/>
                          <w:spacing w:line="172" w:lineRule="exact"/>
                          <w:ind w:left="107" w:right="111"/>
                          <w:rPr>
                            <w:sz w:val="16"/>
                          </w:rPr>
                        </w:pPr>
                        <w:r>
                          <w:rPr>
                            <w:sz w:val="16"/>
                          </w:rPr>
                          <w:t>Baixada</w:t>
                        </w:r>
                      </w:p>
                      <w:p>
                        <w:pPr>
                          <w:pStyle w:val="TableParagraph"/>
                          <w:tabs>
                            <w:tab w:pos="1260" w:val="left" w:leader="none"/>
                          </w:tabs>
                          <w:spacing w:line="295" w:lineRule="auto" w:before="16"/>
                          <w:ind w:left="107" w:right="8" w:hanging="72"/>
                          <w:rPr>
                            <w:sz w:val="16"/>
                          </w:rPr>
                        </w:pPr>
                        <w:r>
                          <w:rPr>
                            <w:w w:val="100"/>
                            <w:sz w:val="16"/>
                            <w:u w:val="dotted" w:color="929292"/>
                          </w:rPr>
                          <w:t> </w:t>
                        </w:r>
                        <w:r>
                          <w:rPr>
                            <w:spacing w:val="-17"/>
                            <w:sz w:val="16"/>
                            <w:u w:val="dotted" w:color="929292"/>
                          </w:rPr>
                          <w:t> </w:t>
                        </w:r>
                        <w:r>
                          <w:rPr>
                            <w:sz w:val="16"/>
                            <w:u w:val="dotted" w:color="929292"/>
                          </w:rPr>
                          <w:t>Santista</w:t>
                        </w:r>
                        <w:r>
                          <w:rPr>
                            <w:spacing w:val="5"/>
                            <w:sz w:val="16"/>
                            <w:u w:val="dotted" w:color="929292"/>
                          </w:rPr>
                          <w:t> </w:t>
                        </w:r>
                        <w:r>
                          <w:rPr>
                            <w:sz w:val="16"/>
                            <w:u w:val="dotted" w:color="929292"/>
                          </w:rPr>
                          <w:t>MA</w:t>
                          <w:tab/>
                        </w:r>
                        <w:r>
                          <w:rPr>
                            <w:sz w:val="16"/>
                          </w:rPr>
                          <w:t> AU</w:t>
                        </w:r>
                        <w:r>
                          <w:rPr>
                            <w:spacing w:val="2"/>
                            <w:sz w:val="16"/>
                          </w:rPr>
                          <w:t> </w:t>
                        </w:r>
                        <w:r>
                          <w:rPr>
                            <w:sz w:val="16"/>
                          </w:rPr>
                          <w:t>Piracicaba</w:t>
                        </w:r>
                      </w:p>
                    </w:tc>
                    <w:tc>
                      <w:tcPr>
                        <w:tcW w:w="850" w:type="dxa"/>
                        <w:tcBorders>
                          <w:left w:val="single" w:sz="4" w:space="0" w:color="929292"/>
                          <w:right w:val="single" w:sz="4" w:space="0" w:color="929292"/>
                        </w:tcBorders>
                      </w:tcPr>
                      <w:p>
                        <w:pPr>
                          <w:pStyle w:val="TableParagraph"/>
                          <w:spacing w:before="87"/>
                          <w:ind w:left="102"/>
                          <w:rPr>
                            <w:sz w:val="16"/>
                          </w:rPr>
                        </w:pPr>
                        <w:r>
                          <w:rPr>
                            <w:sz w:val="16"/>
                          </w:rPr>
                          <w:t>2,405.9</w:t>
                        </w:r>
                      </w:p>
                    </w:tc>
                    <w:tc>
                      <w:tcPr>
                        <w:tcW w:w="992" w:type="dxa"/>
                        <w:tcBorders>
                          <w:left w:val="single" w:sz="4" w:space="0" w:color="929292"/>
                          <w:right w:val="single" w:sz="4" w:space="0" w:color="929292"/>
                        </w:tcBorders>
                      </w:tcPr>
                      <w:p>
                        <w:pPr>
                          <w:pStyle w:val="TableParagraph"/>
                          <w:spacing w:before="87"/>
                          <w:ind w:left="102" w:right="193"/>
                          <w:rPr>
                            <w:sz w:val="16"/>
                          </w:rPr>
                        </w:pPr>
                        <w:r>
                          <w:rPr>
                            <w:sz w:val="16"/>
                          </w:rPr>
                          <w:t>740.5</w:t>
                        </w:r>
                      </w:p>
                    </w:tc>
                    <w:tc>
                      <w:tcPr>
                        <w:tcW w:w="993" w:type="dxa"/>
                        <w:tcBorders>
                          <w:left w:val="single" w:sz="4" w:space="0" w:color="929292"/>
                          <w:right w:val="single" w:sz="4" w:space="0" w:color="929292"/>
                        </w:tcBorders>
                      </w:tcPr>
                      <w:p>
                        <w:pPr>
                          <w:pStyle w:val="TableParagraph"/>
                          <w:spacing w:before="87"/>
                          <w:ind w:left="102" w:right="299"/>
                          <w:rPr>
                            <w:sz w:val="16"/>
                          </w:rPr>
                        </w:pPr>
                        <w:r>
                          <w:rPr>
                            <w:sz w:val="16"/>
                          </w:rPr>
                          <w:t>1,220.2</w:t>
                        </w:r>
                      </w:p>
                    </w:tc>
                    <w:tc>
                      <w:tcPr>
                        <w:tcW w:w="993" w:type="dxa"/>
                        <w:tcBorders>
                          <w:left w:val="single" w:sz="4" w:space="0" w:color="929292"/>
                          <w:right w:val="single" w:sz="4" w:space="0" w:color="929292"/>
                        </w:tcBorders>
                      </w:tcPr>
                      <w:p>
                        <w:pPr>
                          <w:pStyle w:val="TableParagraph"/>
                          <w:spacing w:before="87"/>
                          <w:ind w:left="102" w:right="299"/>
                          <w:rPr>
                            <w:sz w:val="16"/>
                          </w:rPr>
                        </w:pPr>
                        <w:r>
                          <w:rPr>
                            <w:sz w:val="16"/>
                          </w:rPr>
                          <w:t>1,781.6</w:t>
                        </w:r>
                      </w:p>
                    </w:tc>
                    <w:tc>
                      <w:tcPr>
                        <w:tcW w:w="1162" w:type="dxa"/>
                        <w:tcBorders>
                          <w:left w:val="single" w:sz="4" w:space="0" w:color="929292"/>
                          <w:right w:val="single" w:sz="4" w:space="0" w:color="929292"/>
                        </w:tcBorders>
                      </w:tcPr>
                      <w:p>
                        <w:pPr>
                          <w:pStyle w:val="TableParagraph"/>
                          <w:spacing w:before="87"/>
                          <w:ind w:left="102"/>
                          <w:rPr>
                            <w:sz w:val="16"/>
                          </w:rPr>
                        </w:pPr>
                        <w:r>
                          <w:rPr>
                            <w:sz w:val="16"/>
                          </w:rPr>
                          <w:t>146.0</w:t>
                        </w:r>
                      </w:p>
                    </w:tc>
                    <w:tc>
                      <w:tcPr>
                        <w:tcW w:w="1435" w:type="dxa"/>
                        <w:tcBorders>
                          <w:left w:val="single" w:sz="4" w:space="0" w:color="929292"/>
                          <w:right w:val="nil"/>
                        </w:tcBorders>
                      </w:tcPr>
                      <w:p>
                        <w:pPr>
                          <w:pStyle w:val="TableParagraph"/>
                          <w:spacing w:before="87"/>
                          <w:ind w:left="101" w:right="17"/>
                          <w:rPr>
                            <w:sz w:val="16"/>
                          </w:rPr>
                        </w:pPr>
                        <w:r>
                          <w:rPr>
                            <w:sz w:val="16"/>
                          </w:rPr>
                          <w:t>1.66</w:t>
                        </w:r>
                      </w:p>
                    </w:tc>
                  </w:tr>
                  <w:tr>
                    <w:trPr>
                      <w:trHeight w:val="282" w:hRule="exact"/>
                    </w:trPr>
                    <w:tc>
                      <w:tcPr>
                        <w:tcW w:w="1276" w:type="dxa"/>
                        <w:vMerge/>
                        <w:tcBorders>
                          <w:left w:val="nil"/>
                          <w:right w:val="single" w:sz="4" w:space="0" w:color="929292"/>
                        </w:tcBorders>
                      </w:tcPr>
                      <w:p>
                        <w:pPr/>
                      </w:p>
                    </w:tc>
                    <w:tc>
                      <w:tcPr>
                        <w:tcW w:w="850" w:type="dxa"/>
                        <w:tcBorders>
                          <w:left w:val="single" w:sz="4" w:space="0" w:color="929292"/>
                          <w:right w:val="single" w:sz="4" w:space="0" w:color="929292"/>
                        </w:tcBorders>
                      </w:tcPr>
                      <w:p>
                        <w:pPr>
                          <w:pStyle w:val="TableParagraph"/>
                          <w:spacing w:before="43"/>
                          <w:ind w:left="102"/>
                          <w:rPr>
                            <w:sz w:val="16"/>
                          </w:rPr>
                        </w:pPr>
                        <w:r>
                          <w:rPr>
                            <w:sz w:val="16"/>
                          </w:rPr>
                          <w:t>6,983.6</w:t>
                        </w:r>
                      </w:p>
                    </w:tc>
                    <w:tc>
                      <w:tcPr>
                        <w:tcW w:w="992" w:type="dxa"/>
                        <w:tcBorders>
                          <w:left w:val="single" w:sz="4" w:space="0" w:color="929292"/>
                          <w:right w:val="single" w:sz="4" w:space="0" w:color="929292"/>
                        </w:tcBorders>
                      </w:tcPr>
                      <w:p>
                        <w:pPr>
                          <w:pStyle w:val="TableParagraph"/>
                          <w:spacing w:before="43"/>
                          <w:ind w:left="101" w:right="193"/>
                          <w:rPr>
                            <w:sz w:val="16"/>
                          </w:rPr>
                        </w:pPr>
                        <w:r>
                          <w:rPr>
                            <w:sz w:val="16"/>
                          </w:rPr>
                          <w:t>200.0</w:t>
                        </w:r>
                      </w:p>
                    </w:tc>
                    <w:tc>
                      <w:tcPr>
                        <w:tcW w:w="993" w:type="dxa"/>
                        <w:tcBorders>
                          <w:left w:val="single" w:sz="4" w:space="0" w:color="929292"/>
                          <w:right w:val="single" w:sz="4" w:space="0" w:color="929292"/>
                        </w:tcBorders>
                      </w:tcPr>
                      <w:p>
                        <w:pPr>
                          <w:pStyle w:val="TableParagraph"/>
                          <w:spacing w:before="43"/>
                          <w:ind w:left="101" w:right="299"/>
                          <w:rPr>
                            <w:sz w:val="16"/>
                          </w:rPr>
                        </w:pPr>
                        <w:r>
                          <w:rPr>
                            <w:sz w:val="16"/>
                          </w:rPr>
                          <w:t>960.6</w:t>
                        </w:r>
                      </w:p>
                    </w:tc>
                    <w:tc>
                      <w:tcPr>
                        <w:tcW w:w="993" w:type="dxa"/>
                        <w:tcBorders>
                          <w:left w:val="single" w:sz="4" w:space="0" w:color="929292"/>
                          <w:right w:val="single" w:sz="4" w:space="0" w:color="929292"/>
                        </w:tcBorders>
                      </w:tcPr>
                      <w:p>
                        <w:pPr>
                          <w:pStyle w:val="TableParagraph"/>
                          <w:spacing w:before="43"/>
                          <w:ind w:left="101" w:right="299"/>
                          <w:rPr>
                            <w:sz w:val="16"/>
                          </w:rPr>
                        </w:pPr>
                        <w:r>
                          <w:rPr>
                            <w:sz w:val="16"/>
                          </w:rPr>
                          <w:t>1,397.0</w:t>
                        </w:r>
                      </w:p>
                    </w:tc>
                    <w:tc>
                      <w:tcPr>
                        <w:tcW w:w="1162" w:type="dxa"/>
                        <w:tcBorders>
                          <w:left w:val="single" w:sz="4" w:space="0" w:color="929292"/>
                          <w:right w:val="single" w:sz="4" w:space="0" w:color="929292"/>
                        </w:tcBorders>
                      </w:tcPr>
                      <w:p>
                        <w:pPr>
                          <w:pStyle w:val="TableParagraph"/>
                          <w:spacing w:before="43"/>
                          <w:ind w:left="101"/>
                          <w:rPr>
                            <w:sz w:val="16"/>
                          </w:rPr>
                        </w:pPr>
                        <w:r>
                          <w:rPr>
                            <w:sz w:val="16"/>
                          </w:rPr>
                          <w:t>145.4</w:t>
                        </w:r>
                      </w:p>
                    </w:tc>
                    <w:tc>
                      <w:tcPr>
                        <w:tcW w:w="1435" w:type="dxa"/>
                        <w:tcBorders>
                          <w:left w:val="single" w:sz="4" w:space="0" w:color="929292"/>
                          <w:right w:val="nil"/>
                        </w:tcBorders>
                      </w:tcPr>
                      <w:p>
                        <w:pPr>
                          <w:pStyle w:val="TableParagraph"/>
                          <w:spacing w:before="43"/>
                          <w:ind w:left="101" w:right="17"/>
                          <w:rPr>
                            <w:sz w:val="16"/>
                          </w:rPr>
                        </w:pPr>
                        <w:r>
                          <w:rPr>
                            <w:sz w:val="16"/>
                          </w:rPr>
                          <w:t>1.64</w:t>
                        </w:r>
                      </w:p>
                    </w:tc>
                  </w:tr>
                </w:tbl>
                <w:p>
                  <w:pPr>
                    <w:pStyle w:val="BodyText"/>
                  </w:pPr>
                </w:p>
              </w:txbxContent>
            </v:textbox>
            <w10:wrap type="none"/>
          </v:shape>
        </w:pict>
      </w:r>
      <w:r>
        <w:rPr>
          <w:color w:val="6D6E71"/>
          <w:sz w:val="16"/>
        </w:rPr>
        <w:t>Table 1. Population growth and population distribution in the Brazilian  Megalopolis</w:t>
      </w:r>
    </w:p>
    <w:p>
      <w:pPr>
        <w:pStyle w:val="BodyText"/>
        <w:spacing w:before="10"/>
        <w:rPr>
          <w:sz w:val="4"/>
        </w:rPr>
      </w:pPr>
      <w:r>
        <w:rPr/>
        <w:br w:type="column"/>
      </w:r>
      <w:r>
        <w:rPr>
          <w:sz w:val="4"/>
        </w:rPr>
      </w:r>
    </w:p>
    <w:tbl>
      <w:tblPr>
        <w:tblW w:w="0" w:type="auto"/>
        <w:jc w:val="left"/>
        <w:tblInd w:w="145" w:type="dxa"/>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1241"/>
        <w:gridCol w:w="850"/>
        <w:gridCol w:w="992"/>
        <w:gridCol w:w="993"/>
        <w:gridCol w:w="993"/>
        <w:gridCol w:w="1162"/>
        <w:gridCol w:w="1415"/>
      </w:tblGrid>
      <w:tr>
        <w:trPr>
          <w:trHeight w:val="232" w:hRule="exact"/>
        </w:trPr>
        <w:tc>
          <w:tcPr>
            <w:tcW w:w="1241" w:type="dxa"/>
            <w:tcBorders>
              <w:left w:val="nil"/>
            </w:tcBorders>
          </w:tcPr>
          <w:p>
            <w:pPr>
              <w:pStyle w:val="TableParagraph"/>
              <w:spacing w:before="18"/>
              <w:ind w:left="72" w:right="8"/>
              <w:rPr>
                <w:sz w:val="16"/>
              </w:rPr>
            </w:pPr>
            <w:r>
              <w:rPr>
                <w:sz w:val="16"/>
              </w:rPr>
              <w:t>AU Jundiai</w:t>
            </w:r>
          </w:p>
        </w:tc>
        <w:tc>
          <w:tcPr>
            <w:tcW w:w="850" w:type="dxa"/>
          </w:tcPr>
          <w:p>
            <w:pPr>
              <w:pStyle w:val="TableParagraph"/>
              <w:spacing w:before="18"/>
              <w:ind w:left="83" w:right="181"/>
              <w:jc w:val="center"/>
              <w:rPr>
                <w:sz w:val="16"/>
              </w:rPr>
            </w:pPr>
            <w:r>
              <w:rPr>
                <w:sz w:val="16"/>
              </w:rPr>
              <w:t>1,269.5</w:t>
            </w:r>
          </w:p>
        </w:tc>
        <w:tc>
          <w:tcPr>
            <w:tcW w:w="992" w:type="dxa"/>
          </w:tcPr>
          <w:p>
            <w:pPr>
              <w:pStyle w:val="TableParagraph"/>
              <w:spacing w:before="18"/>
              <w:ind w:left="102" w:right="193"/>
              <w:rPr>
                <w:sz w:val="16"/>
              </w:rPr>
            </w:pPr>
            <w:r>
              <w:rPr>
                <w:sz w:val="16"/>
              </w:rPr>
              <w:t>599.9</w:t>
            </w:r>
          </w:p>
        </w:tc>
        <w:tc>
          <w:tcPr>
            <w:tcW w:w="993" w:type="dxa"/>
          </w:tcPr>
          <w:p>
            <w:pPr>
              <w:pStyle w:val="TableParagraph"/>
              <w:spacing w:before="18"/>
              <w:ind w:left="102" w:right="299"/>
              <w:rPr>
                <w:sz w:val="16"/>
              </w:rPr>
            </w:pPr>
            <w:r>
              <w:rPr>
                <w:sz w:val="16"/>
              </w:rPr>
              <w:t>467.7</w:t>
            </w:r>
          </w:p>
        </w:tc>
        <w:tc>
          <w:tcPr>
            <w:tcW w:w="993" w:type="dxa"/>
          </w:tcPr>
          <w:p>
            <w:pPr>
              <w:pStyle w:val="TableParagraph"/>
              <w:spacing w:before="18"/>
              <w:ind w:left="102" w:right="299"/>
              <w:rPr>
                <w:sz w:val="16"/>
              </w:rPr>
            </w:pPr>
            <w:r>
              <w:rPr>
                <w:sz w:val="16"/>
              </w:rPr>
              <w:t>761.5</w:t>
            </w:r>
          </w:p>
        </w:tc>
        <w:tc>
          <w:tcPr>
            <w:tcW w:w="1162" w:type="dxa"/>
          </w:tcPr>
          <w:p>
            <w:pPr>
              <w:pStyle w:val="TableParagraph"/>
              <w:spacing w:before="18"/>
              <w:ind w:left="102"/>
              <w:rPr>
                <w:sz w:val="16"/>
              </w:rPr>
            </w:pPr>
            <w:r>
              <w:rPr>
                <w:sz w:val="16"/>
              </w:rPr>
              <w:t>162.8</w:t>
            </w:r>
          </w:p>
        </w:tc>
        <w:tc>
          <w:tcPr>
            <w:tcW w:w="1415" w:type="dxa"/>
            <w:tcBorders>
              <w:right w:val="nil"/>
            </w:tcBorders>
          </w:tcPr>
          <w:p>
            <w:pPr>
              <w:pStyle w:val="TableParagraph"/>
              <w:spacing w:before="18"/>
              <w:ind w:left="102"/>
              <w:rPr>
                <w:sz w:val="16"/>
              </w:rPr>
            </w:pPr>
            <w:r>
              <w:rPr>
                <w:sz w:val="16"/>
              </w:rPr>
              <w:t>2.14</w:t>
            </w:r>
          </w:p>
        </w:tc>
      </w:tr>
      <w:tr>
        <w:trPr>
          <w:trHeight w:val="220" w:hRule="exact"/>
        </w:trPr>
        <w:tc>
          <w:tcPr>
            <w:tcW w:w="1241" w:type="dxa"/>
            <w:tcBorders>
              <w:left w:val="nil"/>
            </w:tcBorders>
          </w:tcPr>
          <w:p>
            <w:pPr>
              <w:pStyle w:val="TableParagraph"/>
              <w:spacing w:before="12"/>
              <w:ind w:left="72" w:right="8"/>
              <w:rPr>
                <w:sz w:val="16"/>
              </w:rPr>
            </w:pPr>
            <w:r>
              <w:rPr>
                <w:sz w:val="16"/>
              </w:rPr>
              <w:t>UR Bragantina</w:t>
            </w:r>
          </w:p>
        </w:tc>
        <w:tc>
          <w:tcPr>
            <w:tcW w:w="850" w:type="dxa"/>
          </w:tcPr>
          <w:p>
            <w:pPr>
              <w:pStyle w:val="TableParagraph"/>
              <w:spacing w:before="12"/>
              <w:ind w:left="83" w:right="181"/>
              <w:jc w:val="center"/>
              <w:rPr>
                <w:sz w:val="16"/>
              </w:rPr>
            </w:pPr>
            <w:r>
              <w:rPr>
                <w:sz w:val="16"/>
              </w:rPr>
              <w:t>2,767.3</w:t>
            </w:r>
          </w:p>
        </w:tc>
        <w:tc>
          <w:tcPr>
            <w:tcW w:w="992" w:type="dxa"/>
          </w:tcPr>
          <w:p>
            <w:pPr>
              <w:pStyle w:val="TableParagraph"/>
              <w:spacing w:before="12"/>
              <w:ind w:left="102" w:right="193"/>
              <w:rPr>
                <w:sz w:val="16"/>
              </w:rPr>
            </w:pPr>
            <w:r>
              <w:rPr>
                <w:sz w:val="16"/>
              </w:rPr>
              <w:t>148.3</w:t>
            </w:r>
          </w:p>
        </w:tc>
        <w:tc>
          <w:tcPr>
            <w:tcW w:w="993" w:type="dxa"/>
          </w:tcPr>
          <w:p>
            <w:pPr>
              <w:pStyle w:val="TableParagraph"/>
              <w:spacing w:before="12"/>
              <w:ind w:left="102" w:right="299"/>
              <w:rPr>
                <w:sz w:val="16"/>
              </w:rPr>
            </w:pPr>
            <w:r>
              <w:rPr>
                <w:sz w:val="16"/>
              </w:rPr>
              <w:t>257.6</w:t>
            </w:r>
          </w:p>
        </w:tc>
        <w:tc>
          <w:tcPr>
            <w:tcW w:w="993" w:type="dxa"/>
          </w:tcPr>
          <w:p>
            <w:pPr>
              <w:pStyle w:val="TableParagraph"/>
              <w:spacing w:before="12"/>
              <w:ind w:left="102" w:right="299"/>
              <w:rPr>
                <w:sz w:val="16"/>
              </w:rPr>
            </w:pPr>
            <w:r>
              <w:rPr>
                <w:sz w:val="16"/>
              </w:rPr>
              <w:t>410.5</w:t>
            </w:r>
          </w:p>
        </w:tc>
        <w:tc>
          <w:tcPr>
            <w:tcW w:w="1162" w:type="dxa"/>
          </w:tcPr>
          <w:p>
            <w:pPr>
              <w:pStyle w:val="TableParagraph"/>
              <w:spacing w:before="12"/>
              <w:ind w:left="102"/>
              <w:rPr>
                <w:sz w:val="16"/>
              </w:rPr>
            </w:pPr>
            <w:r>
              <w:rPr>
                <w:sz w:val="16"/>
              </w:rPr>
              <w:t>159.3</w:t>
            </w:r>
          </w:p>
        </w:tc>
        <w:tc>
          <w:tcPr>
            <w:tcW w:w="1415" w:type="dxa"/>
            <w:tcBorders>
              <w:right w:val="nil"/>
            </w:tcBorders>
          </w:tcPr>
          <w:p>
            <w:pPr>
              <w:pStyle w:val="TableParagraph"/>
              <w:spacing w:before="12"/>
              <w:ind w:left="102"/>
              <w:rPr>
                <w:sz w:val="16"/>
              </w:rPr>
            </w:pPr>
            <w:r>
              <w:rPr>
                <w:sz w:val="16"/>
              </w:rPr>
              <w:t>2.05</w:t>
            </w:r>
          </w:p>
        </w:tc>
      </w:tr>
      <w:tr>
        <w:trPr>
          <w:trHeight w:val="371" w:hRule="exact"/>
        </w:trPr>
        <w:tc>
          <w:tcPr>
            <w:tcW w:w="1241" w:type="dxa"/>
            <w:vMerge w:val="restart"/>
            <w:tcBorders>
              <w:left w:val="nil"/>
            </w:tcBorders>
          </w:tcPr>
          <w:p>
            <w:pPr>
              <w:pStyle w:val="TableParagraph"/>
              <w:spacing w:line="172" w:lineRule="exact"/>
              <w:ind w:left="72" w:right="8"/>
              <w:rPr>
                <w:sz w:val="16"/>
              </w:rPr>
            </w:pPr>
            <w:r>
              <w:rPr>
                <w:sz w:val="16"/>
              </w:rPr>
              <w:t>Rio de Janeiro</w:t>
            </w:r>
          </w:p>
          <w:p>
            <w:pPr>
              <w:pStyle w:val="TableParagraph"/>
              <w:tabs>
                <w:tab w:pos="1225" w:val="left" w:leader="none"/>
              </w:tabs>
              <w:spacing w:line="170" w:lineRule="exact" w:before="30"/>
              <w:ind w:left="72" w:right="8" w:hanging="73"/>
              <w:rPr>
                <w:sz w:val="16"/>
              </w:rPr>
            </w:pPr>
            <w:r>
              <w:rPr>
                <w:w w:val="100"/>
                <w:sz w:val="16"/>
                <w:u w:val="dotted" w:color="929292"/>
              </w:rPr>
              <w:t> </w:t>
            </w:r>
            <w:r>
              <w:rPr>
                <w:spacing w:val="-17"/>
                <w:sz w:val="16"/>
                <w:u w:val="dotted" w:color="929292"/>
              </w:rPr>
              <w:t> </w:t>
            </w:r>
            <w:r>
              <w:rPr>
                <w:sz w:val="16"/>
                <w:u w:val="dotted" w:color="929292"/>
              </w:rPr>
              <w:t>MA</w:t>
              <w:tab/>
            </w:r>
            <w:r>
              <w:rPr>
                <w:sz w:val="16"/>
              </w:rPr>
              <w:t> Vale</w:t>
            </w:r>
            <w:r>
              <w:rPr>
                <w:spacing w:val="-22"/>
                <w:sz w:val="16"/>
              </w:rPr>
              <w:t> </w:t>
            </w:r>
            <w:r>
              <w:rPr>
                <w:sz w:val="16"/>
              </w:rPr>
              <w:t>Paraiba</w:t>
            </w:r>
          </w:p>
          <w:p>
            <w:pPr>
              <w:pStyle w:val="TableParagraph"/>
              <w:tabs>
                <w:tab w:pos="1225" w:val="left" w:leader="none"/>
              </w:tabs>
              <w:spacing w:line="177" w:lineRule="exact" w:before="16"/>
              <w:rPr>
                <w:sz w:val="16"/>
              </w:rPr>
            </w:pPr>
            <w:r>
              <w:rPr>
                <w:w w:val="100"/>
                <w:sz w:val="16"/>
                <w:u w:val="dotted" w:color="929292"/>
              </w:rPr>
              <w:t> </w:t>
            </w:r>
            <w:r>
              <w:rPr>
                <w:spacing w:val="-17"/>
                <w:sz w:val="16"/>
                <w:u w:val="dotted" w:color="929292"/>
              </w:rPr>
              <w:t> </w:t>
            </w:r>
            <w:r>
              <w:rPr>
                <w:sz w:val="16"/>
                <w:u w:val="dotted" w:color="929292"/>
              </w:rPr>
              <w:t>RJ MA</w:t>
              <w:tab/>
            </w:r>
          </w:p>
          <w:p>
            <w:pPr>
              <w:pStyle w:val="TableParagraph"/>
              <w:spacing w:line="177" w:lineRule="exact"/>
              <w:ind w:left="72" w:right="8"/>
              <w:rPr>
                <w:sz w:val="16"/>
              </w:rPr>
            </w:pPr>
            <w:r>
              <w:rPr>
                <w:sz w:val="16"/>
              </w:rPr>
              <w:t>Norte</w:t>
            </w:r>
          </w:p>
          <w:p>
            <w:pPr>
              <w:pStyle w:val="TableParagraph"/>
              <w:tabs>
                <w:tab w:pos="1225" w:val="left" w:leader="none"/>
              </w:tabs>
              <w:spacing w:line="170" w:lineRule="exact" w:before="30"/>
              <w:ind w:left="71" w:right="8" w:hanging="72"/>
              <w:rPr>
                <w:sz w:val="16"/>
              </w:rPr>
            </w:pPr>
            <w:r>
              <w:rPr>
                <w:w w:val="100"/>
                <w:sz w:val="16"/>
                <w:u w:val="dotted" w:color="929292"/>
              </w:rPr>
              <w:t> </w:t>
            </w:r>
            <w:r>
              <w:rPr>
                <w:spacing w:val="-17"/>
                <w:sz w:val="16"/>
                <w:u w:val="dotted" w:color="929292"/>
              </w:rPr>
              <w:t> </w:t>
            </w:r>
            <w:r>
              <w:rPr>
                <w:sz w:val="16"/>
                <w:u w:val="dotted" w:color="929292"/>
              </w:rPr>
              <w:t>Fluminense</w:t>
              <w:tab/>
            </w:r>
            <w:r>
              <w:rPr>
                <w:sz w:val="16"/>
              </w:rPr>
              <w:t> Região</w:t>
            </w:r>
          </w:p>
          <w:p>
            <w:pPr>
              <w:pStyle w:val="TableParagraph"/>
              <w:tabs>
                <w:tab w:pos="1225" w:val="left" w:leader="none"/>
              </w:tabs>
              <w:spacing w:line="170" w:lineRule="exact" w:before="30"/>
              <w:ind w:left="71" w:right="8" w:hanging="72"/>
              <w:rPr>
                <w:sz w:val="16"/>
              </w:rPr>
            </w:pPr>
            <w:r>
              <w:rPr>
                <w:w w:val="100"/>
                <w:sz w:val="16"/>
                <w:u w:val="dotted" w:color="929292"/>
              </w:rPr>
              <w:t> </w:t>
            </w:r>
            <w:r>
              <w:rPr>
                <w:spacing w:val="-17"/>
                <w:sz w:val="16"/>
                <w:u w:val="dotted" w:color="929292"/>
              </w:rPr>
              <w:t> </w:t>
            </w:r>
            <w:r>
              <w:rPr>
                <w:sz w:val="16"/>
                <w:u w:val="dotted" w:color="929292"/>
              </w:rPr>
              <w:t>Serrana</w:t>
              <w:tab/>
            </w:r>
            <w:r>
              <w:rPr>
                <w:sz w:val="16"/>
              </w:rPr>
              <w:t> Baixada</w:t>
            </w:r>
          </w:p>
          <w:p>
            <w:pPr>
              <w:pStyle w:val="TableParagraph"/>
              <w:tabs>
                <w:tab w:pos="1225" w:val="left" w:leader="none"/>
              </w:tabs>
              <w:spacing w:line="252" w:lineRule="auto" w:before="16"/>
              <w:ind w:left="71" w:right="8" w:hanging="72"/>
              <w:rPr>
                <w:sz w:val="16"/>
              </w:rPr>
            </w:pPr>
            <w:r>
              <w:rPr>
                <w:w w:val="100"/>
                <w:sz w:val="16"/>
                <w:u w:val="dotted" w:color="929292"/>
              </w:rPr>
              <w:t> </w:t>
            </w:r>
            <w:r>
              <w:rPr>
                <w:spacing w:val="-18"/>
                <w:sz w:val="16"/>
                <w:u w:val="dotted" w:color="929292"/>
              </w:rPr>
              <w:t> </w:t>
            </w:r>
            <w:r>
              <w:rPr>
                <w:sz w:val="16"/>
                <w:u w:val="dotted" w:color="929292"/>
              </w:rPr>
              <w:t>Litoranea</w:t>
              <w:tab/>
            </w:r>
            <w:r>
              <w:rPr>
                <w:sz w:val="16"/>
              </w:rPr>
              <w:t> Costa</w:t>
            </w:r>
            <w:r>
              <w:rPr>
                <w:spacing w:val="-4"/>
                <w:sz w:val="16"/>
              </w:rPr>
              <w:t> </w:t>
            </w:r>
            <w:r>
              <w:rPr>
                <w:sz w:val="16"/>
              </w:rPr>
              <w:t>Verde</w:t>
            </w:r>
          </w:p>
        </w:tc>
        <w:tc>
          <w:tcPr>
            <w:tcW w:w="850" w:type="dxa"/>
          </w:tcPr>
          <w:p>
            <w:pPr>
              <w:pStyle w:val="TableParagraph"/>
              <w:spacing w:before="87"/>
              <w:ind w:left="83" w:right="181"/>
              <w:jc w:val="center"/>
              <w:rPr>
                <w:sz w:val="16"/>
              </w:rPr>
            </w:pPr>
            <w:r>
              <w:rPr>
                <w:sz w:val="16"/>
              </w:rPr>
              <w:t>5,324.0</w:t>
            </w:r>
          </w:p>
        </w:tc>
        <w:tc>
          <w:tcPr>
            <w:tcW w:w="992" w:type="dxa"/>
          </w:tcPr>
          <w:p>
            <w:pPr>
              <w:pStyle w:val="TableParagraph"/>
              <w:spacing w:before="87"/>
              <w:ind w:left="102" w:right="193"/>
              <w:rPr>
                <w:sz w:val="16"/>
              </w:rPr>
            </w:pPr>
            <w:r>
              <w:rPr>
                <w:sz w:val="16"/>
              </w:rPr>
              <w:t>2,275.8</w:t>
            </w:r>
          </w:p>
        </w:tc>
        <w:tc>
          <w:tcPr>
            <w:tcW w:w="993" w:type="dxa"/>
          </w:tcPr>
          <w:p>
            <w:pPr>
              <w:pStyle w:val="TableParagraph"/>
              <w:spacing w:before="87"/>
              <w:ind w:left="102" w:right="299"/>
              <w:rPr>
                <w:sz w:val="16"/>
              </w:rPr>
            </w:pPr>
            <w:r>
              <w:rPr>
                <w:sz w:val="16"/>
              </w:rPr>
              <w:t>9,796.6</w:t>
            </w:r>
          </w:p>
        </w:tc>
        <w:tc>
          <w:tcPr>
            <w:tcW w:w="993" w:type="dxa"/>
          </w:tcPr>
          <w:p>
            <w:pPr>
              <w:pStyle w:val="TableParagraph"/>
              <w:spacing w:before="87"/>
              <w:ind w:left="102"/>
              <w:rPr>
                <w:sz w:val="16"/>
              </w:rPr>
            </w:pPr>
            <w:r>
              <w:rPr>
                <w:sz w:val="16"/>
              </w:rPr>
              <w:t>12,116.6</w:t>
            </w:r>
          </w:p>
        </w:tc>
        <w:tc>
          <w:tcPr>
            <w:tcW w:w="1162" w:type="dxa"/>
          </w:tcPr>
          <w:p>
            <w:pPr>
              <w:pStyle w:val="TableParagraph"/>
              <w:spacing w:before="87"/>
              <w:ind w:left="102"/>
              <w:rPr>
                <w:sz w:val="16"/>
              </w:rPr>
            </w:pPr>
            <w:r>
              <w:rPr>
                <w:sz w:val="16"/>
              </w:rPr>
              <w:t>123.7</w:t>
            </w:r>
          </w:p>
        </w:tc>
        <w:tc>
          <w:tcPr>
            <w:tcW w:w="1415" w:type="dxa"/>
            <w:tcBorders>
              <w:right w:val="nil"/>
            </w:tcBorders>
          </w:tcPr>
          <w:p>
            <w:pPr>
              <w:pStyle w:val="TableParagraph"/>
              <w:spacing w:before="87"/>
              <w:ind w:left="102"/>
              <w:rPr>
                <w:sz w:val="16"/>
              </w:rPr>
            </w:pPr>
            <w:r>
              <w:rPr>
                <w:sz w:val="16"/>
              </w:rPr>
              <w:t>0.93</w:t>
            </w:r>
          </w:p>
        </w:tc>
      </w:tr>
      <w:tr>
        <w:trPr>
          <w:trHeight w:val="1113" w:hRule="exact"/>
        </w:trPr>
        <w:tc>
          <w:tcPr>
            <w:tcW w:w="1241" w:type="dxa"/>
            <w:vMerge/>
            <w:tcBorders>
              <w:left w:val="nil"/>
            </w:tcBorders>
          </w:tcPr>
          <w:p>
            <w:pPr/>
          </w:p>
        </w:tc>
        <w:tc>
          <w:tcPr>
            <w:tcW w:w="850" w:type="dxa"/>
          </w:tcPr>
          <w:p>
            <w:pPr>
              <w:pStyle w:val="TableParagraph"/>
              <w:spacing w:line="142" w:lineRule="exact" w:before="87"/>
              <w:ind w:left="102"/>
              <w:rPr>
                <w:sz w:val="16"/>
              </w:rPr>
            </w:pPr>
            <w:r>
              <w:rPr>
                <w:sz w:val="16"/>
              </w:rPr>
              <w:t>7,563.4</w:t>
            </w:r>
          </w:p>
          <w:p>
            <w:pPr>
              <w:pStyle w:val="TableParagraph"/>
              <w:tabs>
                <w:tab w:pos="829" w:val="left" w:leader="none"/>
              </w:tabs>
              <w:spacing w:line="142" w:lineRule="exact"/>
              <w:ind w:left="25"/>
              <w:rPr>
                <w:sz w:val="16"/>
              </w:rPr>
            </w:pPr>
            <w:r>
              <w:rPr>
                <w:w w:val="100"/>
                <w:sz w:val="16"/>
                <w:u w:val="dotted" w:color="929292"/>
              </w:rPr>
              <w:t> </w:t>
            </w:r>
            <w:r>
              <w:rPr>
                <w:sz w:val="16"/>
                <w:u w:val="dotted" w:color="929292"/>
              </w:rPr>
              <w:tab/>
            </w:r>
          </w:p>
          <w:p>
            <w:pPr>
              <w:pStyle w:val="TableParagraph"/>
              <w:spacing w:line="142" w:lineRule="exact" w:before="87"/>
              <w:ind w:left="102"/>
              <w:rPr>
                <w:sz w:val="16"/>
              </w:rPr>
            </w:pPr>
            <w:r>
              <w:rPr>
                <w:sz w:val="16"/>
              </w:rPr>
              <w:t>9,745.5</w:t>
            </w:r>
          </w:p>
          <w:p>
            <w:pPr>
              <w:pStyle w:val="TableParagraph"/>
              <w:tabs>
                <w:tab w:pos="829" w:val="left" w:leader="none"/>
              </w:tabs>
              <w:spacing w:line="142" w:lineRule="exact"/>
              <w:ind w:left="25"/>
              <w:rPr>
                <w:sz w:val="16"/>
              </w:rPr>
            </w:pPr>
            <w:r>
              <w:rPr>
                <w:w w:val="100"/>
                <w:sz w:val="16"/>
                <w:u w:val="dotted" w:color="929292"/>
              </w:rPr>
              <w:t> </w:t>
            </w:r>
            <w:r>
              <w:rPr>
                <w:sz w:val="16"/>
                <w:u w:val="dotted" w:color="929292"/>
              </w:rPr>
              <w:tab/>
            </w:r>
          </w:p>
          <w:p>
            <w:pPr>
              <w:pStyle w:val="TableParagraph"/>
              <w:spacing w:before="87"/>
              <w:ind w:left="102"/>
              <w:rPr>
                <w:sz w:val="16"/>
              </w:rPr>
            </w:pPr>
            <w:r>
              <w:rPr>
                <w:sz w:val="16"/>
              </w:rPr>
              <w:t>8,612.2</w:t>
            </w:r>
          </w:p>
        </w:tc>
        <w:tc>
          <w:tcPr>
            <w:tcW w:w="992" w:type="dxa"/>
          </w:tcPr>
          <w:p>
            <w:pPr>
              <w:pStyle w:val="TableParagraph"/>
              <w:spacing w:line="142" w:lineRule="exact" w:before="87"/>
              <w:ind w:left="102" w:right="193"/>
              <w:rPr>
                <w:sz w:val="16"/>
              </w:rPr>
            </w:pPr>
            <w:r>
              <w:rPr>
                <w:sz w:val="16"/>
              </w:rPr>
              <w:t>131.4</w:t>
            </w:r>
          </w:p>
          <w:p>
            <w:pPr>
              <w:pStyle w:val="TableParagraph"/>
              <w:tabs>
                <w:tab w:pos="971" w:val="left" w:leader="none"/>
              </w:tabs>
              <w:spacing w:line="142" w:lineRule="exact"/>
              <w:ind w:left="25"/>
              <w:rPr>
                <w:sz w:val="16"/>
              </w:rPr>
            </w:pPr>
            <w:r>
              <w:rPr>
                <w:w w:val="100"/>
                <w:sz w:val="16"/>
                <w:u w:val="dotted" w:color="929292"/>
              </w:rPr>
              <w:t> </w:t>
            </w:r>
            <w:r>
              <w:rPr>
                <w:sz w:val="16"/>
                <w:u w:val="dotted" w:color="929292"/>
              </w:rPr>
              <w:tab/>
            </w:r>
          </w:p>
          <w:p>
            <w:pPr>
              <w:pStyle w:val="TableParagraph"/>
              <w:spacing w:line="142" w:lineRule="exact" w:before="87"/>
              <w:ind w:left="102" w:right="193"/>
              <w:rPr>
                <w:sz w:val="16"/>
              </w:rPr>
            </w:pPr>
            <w:r>
              <w:rPr>
                <w:sz w:val="16"/>
              </w:rPr>
              <w:t>91.9</w:t>
            </w:r>
          </w:p>
          <w:p>
            <w:pPr>
              <w:pStyle w:val="TableParagraph"/>
              <w:tabs>
                <w:tab w:pos="971" w:val="left" w:leader="none"/>
              </w:tabs>
              <w:spacing w:line="142" w:lineRule="exact"/>
              <w:ind w:left="25"/>
              <w:rPr>
                <w:sz w:val="16"/>
              </w:rPr>
            </w:pPr>
            <w:r>
              <w:rPr>
                <w:w w:val="100"/>
                <w:sz w:val="16"/>
                <w:u w:val="dotted" w:color="929292"/>
              </w:rPr>
              <w:t> </w:t>
            </w:r>
            <w:r>
              <w:rPr>
                <w:sz w:val="16"/>
                <w:u w:val="dotted" w:color="929292"/>
              </w:rPr>
              <w:tab/>
            </w:r>
          </w:p>
          <w:p>
            <w:pPr>
              <w:pStyle w:val="TableParagraph"/>
              <w:spacing w:before="87"/>
              <w:ind w:left="102" w:right="193"/>
              <w:rPr>
                <w:sz w:val="16"/>
              </w:rPr>
            </w:pPr>
            <w:r>
              <w:rPr>
                <w:sz w:val="16"/>
              </w:rPr>
              <w:t>113.8</w:t>
            </w:r>
          </w:p>
        </w:tc>
        <w:tc>
          <w:tcPr>
            <w:tcW w:w="993" w:type="dxa"/>
          </w:tcPr>
          <w:p>
            <w:pPr>
              <w:pStyle w:val="TableParagraph"/>
              <w:spacing w:line="142" w:lineRule="exact" w:before="87"/>
              <w:ind w:left="102" w:right="299"/>
              <w:rPr>
                <w:sz w:val="16"/>
              </w:rPr>
            </w:pPr>
            <w:r>
              <w:rPr>
                <w:sz w:val="16"/>
              </w:rPr>
              <w:t>792.1</w:t>
            </w:r>
          </w:p>
          <w:p>
            <w:pPr>
              <w:pStyle w:val="TableParagraph"/>
              <w:tabs>
                <w:tab w:pos="972" w:val="left" w:leader="none"/>
              </w:tabs>
              <w:spacing w:line="142" w:lineRule="exact"/>
              <w:ind w:left="25"/>
              <w:rPr>
                <w:sz w:val="16"/>
              </w:rPr>
            </w:pPr>
            <w:r>
              <w:rPr>
                <w:w w:val="100"/>
                <w:sz w:val="16"/>
                <w:u w:val="dotted" w:color="929292"/>
              </w:rPr>
              <w:t> </w:t>
            </w:r>
            <w:r>
              <w:rPr>
                <w:sz w:val="16"/>
                <w:u w:val="dotted" w:color="929292"/>
              </w:rPr>
              <w:tab/>
            </w:r>
          </w:p>
          <w:p>
            <w:pPr>
              <w:pStyle w:val="TableParagraph"/>
              <w:spacing w:line="142" w:lineRule="exact" w:before="87"/>
              <w:ind w:left="102" w:right="299"/>
              <w:rPr>
                <w:sz w:val="16"/>
              </w:rPr>
            </w:pPr>
            <w:r>
              <w:rPr>
                <w:sz w:val="16"/>
              </w:rPr>
              <w:t>611.6</w:t>
            </w:r>
          </w:p>
          <w:p>
            <w:pPr>
              <w:pStyle w:val="TableParagraph"/>
              <w:tabs>
                <w:tab w:pos="972" w:val="left" w:leader="none"/>
              </w:tabs>
              <w:spacing w:line="142" w:lineRule="exact"/>
              <w:ind w:left="25"/>
              <w:rPr>
                <w:sz w:val="16"/>
              </w:rPr>
            </w:pPr>
            <w:r>
              <w:rPr>
                <w:w w:val="100"/>
                <w:sz w:val="16"/>
                <w:u w:val="dotted" w:color="929292"/>
              </w:rPr>
              <w:t> </w:t>
            </w:r>
            <w:r>
              <w:rPr>
                <w:sz w:val="16"/>
                <w:u w:val="dotted" w:color="929292"/>
              </w:rPr>
              <w:tab/>
            </w:r>
          </w:p>
          <w:p>
            <w:pPr>
              <w:pStyle w:val="TableParagraph"/>
              <w:spacing w:before="87"/>
              <w:ind w:left="102" w:right="299"/>
              <w:rPr>
                <w:sz w:val="16"/>
              </w:rPr>
            </w:pPr>
            <w:r>
              <w:rPr>
                <w:sz w:val="16"/>
              </w:rPr>
              <w:t>817.4</w:t>
            </w:r>
          </w:p>
        </w:tc>
        <w:tc>
          <w:tcPr>
            <w:tcW w:w="993" w:type="dxa"/>
          </w:tcPr>
          <w:p>
            <w:pPr>
              <w:pStyle w:val="TableParagraph"/>
              <w:spacing w:line="142" w:lineRule="exact" w:before="87"/>
              <w:ind w:left="102" w:right="299"/>
              <w:rPr>
                <w:sz w:val="16"/>
              </w:rPr>
            </w:pPr>
            <w:r>
              <w:rPr>
                <w:sz w:val="16"/>
              </w:rPr>
              <w:t>994.1</w:t>
            </w:r>
          </w:p>
          <w:p>
            <w:pPr>
              <w:pStyle w:val="TableParagraph"/>
              <w:tabs>
                <w:tab w:pos="972" w:val="left" w:leader="none"/>
              </w:tabs>
              <w:spacing w:line="142" w:lineRule="exact"/>
              <w:ind w:left="25"/>
              <w:rPr>
                <w:sz w:val="16"/>
              </w:rPr>
            </w:pPr>
            <w:r>
              <w:rPr>
                <w:w w:val="100"/>
                <w:sz w:val="16"/>
                <w:u w:val="dotted" w:color="929292"/>
              </w:rPr>
              <w:t> </w:t>
            </w:r>
            <w:r>
              <w:rPr>
                <w:sz w:val="16"/>
                <w:u w:val="dotted" w:color="929292"/>
              </w:rPr>
              <w:tab/>
            </w:r>
          </w:p>
          <w:p>
            <w:pPr>
              <w:pStyle w:val="TableParagraph"/>
              <w:spacing w:line="142" w:lineRule="exact" w:before="87"/>
              <w:ind w:left="102" w:right="299"/>
              <w:rPr>
                <w:sz w:val="16"/>
              </w:rPr>
            </w:pPr>
            <w:r>
              <w:rPr>
                <w:sz w:val="16"/>
              </w:rPr>
              <w:t>895.2</w:t>
            </w:r>
          </w:p>
          <w:p>
            <w:pPr>
              <w:pStyle w:val="TableParagraph"/>
              <w:tabs>
                <w:tab w:pos="972" w:val="left" w:leader="none"/>
              </w:tabs>
              <w:spacing w:line="142" w:lineRule="exact"/>
              <w:ind w:left="25"/>
              <w:rPr>
                <w:sz w:val="16"/>
              </w:rPr>
            </w:pPr>
            <w:r>
              <w:rPr>
                <w:w w:val="100"/>
                <w:sz w:val="16"/>
                <w:u w:val="dotted" w:color="929292"/>
              </w:rPr>
              <w:t> </w:t>
            </w:r>
            <w:r>
              <w:rPr>
                <w:sz w:val="16"/>
                <w:u w:val="dotted" w:color="929292"/>
              </w:rPr>
              <w:tab/>
            </w:r>
          </w:p>
          <w:p>
            <w:pPr>
              <w:pStyle w:val="TableParagraph"/>
              <w:spacing w:before="87"/>
              <w:ind w:left="102" w:right="299"/>
              <w:rPr>
                <w:sz w:val="16"/>
              </w:rPr>
            </w:pPr>
            <w:r>
              <w:rPr>
                <w:sz w:val="16"/>
              </w:rPr>
              <w:t>979.8</w:t>
            </w:r>
          </w:p>
        </w:tc>
        <w:tc>
          <w:tcPr>
            <w:tcW w:w="1162" w:type="dxa"/>
          </w:tcPr>
          <w:p>
            <w:pPr>
              <w:pStyle w:val="TableParagraph"/>
              <w:spacing w:line="142" w:lineRule="exact" w:before="87"/>
              <w:ind w:left="102"/>
              <w:rPr>
                <w:sz w:val="16"/>
              </w:rPr>
            </w:pPr>
            <w:r>
              <w:rPr>
                <w:sz w:val="16"/>
              </w:rPr>
              <w:t>125.5</w:t>
            </w:r>
          </w:p>
          <w:p>
            <w:pPr>
              <w:pStyle w:val="TableParagraph"/>
              <w:tabs>
                <w:tab w:pos="1141" w:val="left" w:leader="none"/>
              </w:tabs>
              <w:spacing w:line="142" w:lineRule="exact"/>
              <w:ind w:left="24"/>
              <w:rPr>
                <w:sz w:val="16"/>
              </w:rPr>
            </w:pPr>
            <w:r>
              <w:rPr>
                <w:w w:val="100"/>
                <w:sz w:val="16"/>
                <w:u w:val="dotted" w:color="929292"/>
              </w:rPr>
              <w:t> </w:t>
            </w:r>
            <w:r>
              <w:rPr>
                <w:sz w:val="16"/>
                <w:u w:val="dotted" w:color="929292"/>
              </w:rPr>
              <w:tab/>
            </w:r>
          </w:p>
          <w:p>
            <w:pPr>
              <w:pStyle w:val="TableParagraph"/>
              <w:spacing w:line="142" w:lineRule="exact" w:before="87"/>
              <w:ind w:left="102"/>
              <w:rPr>
                <w:sz w:val="16"/>
              </w:rPr>
            </w:pPr>
            <w:r>
              <w:rPr>
                <w:sz w:val="16"/>
              </w:rPr>
              <w:t>146.4</w:t>
            </w:r>
          </w:p>
          <w:p>
            <w:pPr>
              <w:pStyle w:val="TableParagraph"/>
              <w:tabs>
                <w:tab w:pos="1141" w:val="left" w:leader="none"/>
              </w:tabs>
              <w:spacing w:line="142" w:lineRule="exact"/>
              <w:ind w:left="24"/>
              <w:rPr>
                <w:sz w:val="16"/>
              </w:rPr>
            </w:pPr>
            <w:r>
              <w:rPr>
                <w:w w:val="100"/>
                <w:sz w:val="16"/>
                <w:u w:val="dotted" w:color="929292"/>
              </w:rPr>
              <w:t> </w:t>
            </w:r>
            <w:r>
              <w:rPr>
                <w:sz w:val="16"/>
                <w:u w:val="dotted" w:color="929292"/>
              </w:rPr>
              <w:tab/>
            </w:r>
          </w:p>
          <w:p>
            <w:pPr>
              <w:pStyle w:val="TableParagraph"/>
              <w:spacing w:before="87"/>
              <w:ind w:left="102"/>
              <w:rPr>
                <w:sz w:val="16"/>
              </w:rPr>
            </w:pPr>
            <w:r>
              <w:rPr>
                <w:sz w:val="16"/>
              </w:rPr>
              <w:t>119.9</w:t>
            </w:r>
          </w:p>
        </w:tc>
        <w:tc>
          <w:tcPr>
            <w:tcW w:w="1415" w:type="dxa"/>
            <w:tcBorders>
              <w:right w:val="nil"/>
            </w:tcBorders>
          </w:tcPr>
          <w:p>
            <w:pPr>
              <w:pStyle w:val="TableParagraph"/>
              <w:spacing w:line="142" w:lineRule="exact" w:before="87"/>
              <w:ind w:left="102"/>
              <w:rPr>
                <w:sz w:val="16"/>
              </w:rPr>
            </w:pPr>
            <w:r>
              <w:rPr>
                <w:sz w:val="16"/>
              </w:rPr>
              <w:t>0.99</w:t>
            </w:r>
          </w:p>
          <w:p>
            <w:pPr>
              <w:pStyle w:val="TableParagraph"/>
              <w:tabs>
                <w:tab w:pos="1409" w:val="left" w:leader="none"/>
              </w:tabs>
              <w:spacing w:line="142" w:lineRule="exact"/>
              <w:ind w:left="24"/>
              <w:rPr>
                <w:sz w:val="16"/>
              </w:rPr>
            </w:pPr>
            <w:r>
              <w:rPr>
                <w:w w:val="100"/>
                <w:sz w:val="16"/>
                <w:u w:val="dotted" w:color="929292"/>
              </w:rPr>
              <w:t> </w:t>
            </w:r>
            <w:r>
              <w:rPr>
                <w:sz w:val="16"/>
                <w:u w:val="dotted" w:color="929292"/>
              </w:rPr>
              <w:tab/>
            </w:r>
          </w:p>
          <w:p>
            <w:pPr>
              <w:pStyle w:val="TableParagraph"/>
              <w:spacing w:line="142" w:lineRule="exact" w:before="87"/>
              <w:ind w:left="102"/>
              <w:rPr>
                <w:sz w:val="16"/>
              </w:rPr>
            </w:pPr>
            <w:r>
              <w:rPr>
                <w:sz w:val="16"/>
              </w:rPr>
              <w:t>1.67</w:t>
            </w:r>
          </w:p>
          <w:p>
            <w:pPr>
              <w:pStyle w:val="TableParagraph"/>
              <w:tabs>
                <w:tab w:pos="1409" w:val="left" w:leader="none"/>
              </w:tabs>
              <w:spacing w:line="142" w:lineRule="exact"/>
              <w:ind w:left="24"/>
              <w:rPr>
                <w:sz w:val="16"/>
              </w:rPr>
            </w:pPr>
            <w:r>
              <w:rPr>
                <w:w w:val="100"/>
                <w:sz w:val="16"/>
                <w:u w:val="dotted" w:color="929292"/>
              </w:rPr>
              <w:t> </w:t>
            </w:r>
            <w:r>
              <w:rPr>
                <w:sz w:val="16"/>
                <w:u w:val="dotted" w:color="929292"/>
              </w:rPr>
              <w:tab/>
            </w:r>
          </w:p>
          <w:p>
            <w:pPr>
              <w:pStyle w:val="TableParagraph"/>
              <w:spacing w:before="87"/>
              <w:ind w:left="101"/>
              <w:rPr>
                <w:sz w:val="16"/>
              </w:rPr>
            </w:pPr>
            <w:r>
              <w:rPr>
                <w:sz w:val="16"/>
              </w:rPr>
              <w:t>0.79</w:t>
            </w:r>
          </w:p>
        </w:tc>
      </w:tr>
      <w:tr>
        <w:trPr>
          <w:trHeight w:val="585" w:hRule="exact"/>
        </w:trPr>
        <w:tc>
          <w:tcPr>
            <w:tcW w:w="1241" w:type="dxa"/>
            <w:vMerge/>
            <w:tcBorders>
              <w:left w:val="nil"/>
            </w:tcBorders>
          </w:tcPr>
          <w:p>
            <w:pPr/>
          </w:p>
        </w:tc>
        <w:tc>
          <w:tcPr>
            <w:tcW w:w="850" w:type="dxa"/>
          </w:tcPr>
          <w:p>
            <w:pPr>
              <w:pStyle w:val="TableParagraph"/>
              <w:spacing w:line="142" w:lineRule="exact" w:before="87"/>
              <w:ind w:left="102"/>
              <w:rPr>
                <w:sz w:val="16"/>
              </w:rPr>
            </w:pPr>
            <w:r>
              <w:rPr>
                <w:sz w:val="16"/>
              </w:rPr>
              <w:t>5,054.9</w:t>
            </w:r>
          </w:p>
          <w:p>
            <w:pPr>
              <w:pStyle w:val="TableParagraph"/>
              <w:tabs>
                <w:tab w:pos="829" w:val="left" w:leader="none"/>
              </w:tabs>
              <w:spacing w:line="142" w:lineRule="exact"/>
              <w:ind w:left="25"/>
              <w:rPr>
                <w:sz w:val="16"/>
              </w:rPr>
            </w:pPr>
            <w:r>
              <w:rPr>
                <w:w w:val="100"/>
                <w:sz w:val="16"/>
                <w:u w:val="dotted" w:color="929292"/>
              </w:rPr>
              <w:t> </w:t>
            </w:r>
            <w:r>
              <w:rPr>
                <w:sz w:val="16"/>
                <w:u w:val="dotted" w:color="929292"/>
              </w:rPr>
              <w:tab/>
            </w:r>
          </w:p>
          <w:p>
            <w:pPr>
              <w:pStyle w:val="TableParagraph"/>
              <w:spacing w:before="8"/>
              <w:ind w:left="101"/>
              <w:rPr>
                <w:sz w:val="16"/>
              </w:rPr>
            </w:pPr>
            <w:r>
              <w:rPr>
                <w:sz w:val="16"/>
              </w:rPr>
              <w:t>2,106.9</w:t>
            </w:r>
          </w:p>
        </w:tc>
        <w:tc>
          <w:tcPr>
            <w:tcW w:w="992" w:type="dxa"/>
          </w:tcPr>
          <w:p>
            <w:pPr>
              <w:pStyle w:val="TableParagraph"/>
              <w:spacing w:line="142" w:lineRule="exact" w:before="87"/>
              <w:ind w:left="101" w:right="193"/>
              <w:rPr>
                <w:sz w:val="16"/>
              </w:rPr>
            </w:pPr>
            <w:r>
              <w:rPr>
                <w:sz w:val="16"/>
              </w:rPr>
              <w:t>175.6</w:t>
            </w:r>
          </w:p>
          <w:p>
            <w:pPr>
              <w:pStyle w:val="TableParagraph"/>
              <w:tabs>
                <w:tab w:pos="971" w:val="left" w:leader="none"/>
              </w:tabs>
              <w:spacing w:line="142" w:lineRule="exact"/>
              <w:ind w:left="25"/>
              <w:rPr>
                <w:sz w:val="16"/>
              </w:rPr>
            </w:pPr>
            <w:r>
              <w:rPr>
                <w:w w:val="100"/>
                <w:sz w:val="16"/>
                <w:u w:val="dotted" w:color="929292"/>
              </w:rPr>
              <w:t> </w:t>
            </w:r>
            <w:r>
              <w:rPr>
                <w:sz w:val="16"/>
                <w:u w:val="dotted" w:color="929292"/>
              </w:rPr>
              <w:tab/>
            </w:r>
          </w:p>
          <w:p>
            <w:pPr>
              <w:pStyle w:val="TableParagraph"/>
              <w:spacing w:before="8"/>
              <w:ind w:left="101" w:right="193"/>
              <w:rPr>
                <w:sz w:val="16"/>
              </w:rPr>
            </w:pPr>
            <w:r>
              <w:rPr>
                <w:sz w:val="16"/>
              </w:rPr>
              <w:t>125.7</w:t>
            </w:r>
          </w:p>
        </w:tc>
        <w:tc>
          <w:tcPr>
            <w:tcW w:w="993" w:type="dxa"/>
          </w:tcPr>
          <w:p>
            <w:pPr>
              <w:pStyle w:val="TableParagraph"/>
              <w:spacing w:line="142" w:lineRule="exact" w:before="87"/>
              <w:ind w:left="101" w:right="299"/>
              <w:rPr>
                <w:sz w:val="16"/>
              </w:rPr>
            </w:pPr>
            <w:r>
              <w:rPr>
                <w:sz w:val="16"/>
              </w:rPr>
              <w:t>389.5</w:t>
            </w:r>
          </w:p>
          <w:p>
            <w:pPr>
              <w:pStyle w:val="TableParagraph"/>
              <w:tabs>
                <w:tab w:pos="972" w:val="left" w:leader="none"/>
              </w:tabs>
              <w:spacing w:line="142" w:lineRule="exact"/>
              <w:ind w:left="25"/>
              <w:rPr>
                <w:sz w:val="16"/>
              </w:rPr>
            </w:pPr>
            <w:r>
              <w:rPr>
                <w:w w:val="100"/>
                <w:sz w:val="16"/>
                <w:u w:val="dotted" w:color="929292"/>
              </w:rPr>
              <w:t> </w:t>
            </w:r>
            <w:r>
              <w:rPr>
                <w:sz w:val="16"/>
                <w:u w:val="dotted" w:color="929292"/>
              </w:rPr>
              <w:tab/>
            </w:r>
          </w:p>
          <w:p>
            <w:pPr>
              <w:pStyle w:val="TableParagraph"/>
              <w:spacing w:before="8"/>
              <w:ind w:left="101" w:right="299"/>
              <w:rPr>
                <w:sz w:val="16"/>
              </w:rPr>
            </w:pPr>
            <w:r>
              <w:rPr>
                <w:sz w:val="16"/>
              </w:rPr>
              <w:t>127.4</w:t>
            </w:r>
          </w:p>
        </w:tc>
        <w:tc>
          <w:tcPr>
            <w:tcW w:w="993" w:type="dxa"/>
          </w:tcPr>
          <w:p>
            <w:pPr>
              <w:pStyle w:val="TableParagraph"/>
              <w:spacing w:line="142" w:lineRule="exact" w:before="87"/>
              <w:ind w:left="101" w:right="299"/>
              <w:rPr>
                <w:sz w:val="16"/>
              </w:rPr>
            </w:pPr>
            <w:r>
              <w:rPr>
                <w:sz w:val="16"/>
              </w:rPr>
              <w:t>887.5</w:t>
            </w:r>
          </w:p>
          <w:p>
            <w:pPr>
              <w:pStyle w:val="TableParagraph"/>
              <w:tabs>
                <w:tab w:pos="972" w:val="left" w:leader="none"/>
              </w:tabs>
              <w:spacing w:line="142" w:lineRule="exact"/>
              <w:ind w:left="25"/>
              <w:rPr>
                <w:sz w:val="16"/>
              </w:rPr>
            </w:pPr>
            <w:r>
              <w:rPr>
                <w:w w:val="100"/>
                <w:sz w:val="16"/>
                <w:u w:val="dotted" w:color="929292"/>
              </w:rPr>
              <w:t> </w:t>
            </w:r>
            <w:r>
              <w:rPr>
                <w:sz w:val="16"/>
                <w:u w:val="dotted" w:color="929292"/>
              </w:rPr>
              <w:tab/>
            </w:r>
          </w:p>
          <w:p>
            <w:pPr>
              <w:pStyle w:val="TableParagraph"/>
              <w:spacing w:before="8"/>
              <w:ind w:left="101" w:right="299"/>
              <w:rPr>
                <w:sz w:val="16"/>
              </w:rPr>
            </w:pPr>
            <w:r>
              <w:rPr>
                <w:sz w:val="16"/>
              </w:rPr>
              <w:t>264.9</w:t>
            </w:r>
          </w:p>
        </w:tc>
        <w:tc>
          <w:tcPr>
            <w:tcW w:w="1162" w:type="dxa"/>
          </w:tcPr>
          <w:p>
            <w:pPr>
              <w:pStyle w:val="TableParagraph"/>
              <w:spacing w:line="142" w:lineRule="exact" w:before="87"/>
              <w:ind w:left="101"/>
              <w:rPr>
                <w:sz w:val="16"/>
              </w:rPr>
            </w:pPr>
            <w:r>
              <w:rPr>
                <w:sz w:val="16"/>
              </w:rPr>
              <w:t>227.8</w:t>
            </w:r>
          </w:p>
          <w:p>
            <w:pPr>
              <w:pStyle w:val="TableParagraph"/>
              <w:tabs>
                <w:tab w:pos="1141" w:val="left" w:leader="none"/>
              </w:tabs>
              <w:spacing w:line="142" w:lineRule="exact"/>
              <w:ind w:left="24"/>
              <w:rPr>
                <w:sz w:val="16"/>
              </w:rPr>
            </w:pPr>
            <w:r>
              <w:rPr>
                <w:w w:val="100"/>
                <w:sz w:val="16"/>
                <w:u w:val="dotted" w:color="929292"/>
              </w:rPr>
              <w:t> </w:t>
            </w:r>
            <w:r>
              <w:rPr>
                <w:sz w:val="16"/>
                <w:u w:val="dotted" w:color="929292"/>
              </w:rPr>
              <w:tab/>
            </w:r>
          </w:p>
          <w:p>
            <w:pPr>
              <w:pStyle w:val="TableParagraph"/>
              <w:spacing w:before="8"/>
              <w:ind w:left="101"/>
              <w:rPr>
                <w:sz w:val="16"/>
              </w:rPr>
            </w:pPr>
            <w:r>
              <w:rPr>
                <w:sz w:val="16"/>
              </w:rPr>
              <w:t>207.9</w:t>
            </w:r>
          </w:p>
        </w:tc>
        <w:tc>
          <w:tcPr>
            <w:tcW w:w="1415" w:type="dxa"/>
            <w:tcBorders>
              <w:right w:val="nil"/>
            </w:tcBorders>
          </w:tcPr>
          <w:p>
            <w:pPr>
              <w:pStyle w:val="TableParagraph"/>
              <w:spacing w:line="142" w:lineRule="exact" w:before="87"/>
              <w:ind w:left="101"/>
              <w:rPr>
                <w:sz w:val="16"/>
              </w:rPr>
            </w:pPr>
            <w:r>
              <w:rPr>
                <w:sz w:val="16"/>
              </w:rPr>
              <w:t>3.65</w:t>
            </w:r>
          </w:p>
          <w:p>
            <w:pPr>
              <w:pStyle w:val="TableParagraph"/>
              <w:tabs>
                <w:tab w:pos="1409" w:val="left" w:leader="none"/>
              </w:tabs>
              <w:spacing w:line="142" w:lineRule="exact"/>
              <w:ind w:left="24"/>
              <w:rPr>
                <w:sz w:val="16"/>
              </w:rPr>
            </w:pPr>
            <w:r>
              <w:rPr>
                <w:w w:val="100"/>
                <w:sz w:val="16"/>
                <w:u w:val="dotted" w:color="929292"/>
              </w:rPr>
              <w:t> </w:t>
            </w:r>
            <w:r>
              <w:rPr>
                <w:sz w:val="16"/>
                <w:u w:val="dotted" w:color="929292"/>
              </w:rPr>
              <w:tab/>
            </w:r>
          </w:p>
          <w:p>
            <w:pPr>
              <w:pStyle w:val="TableParagraph"/>
              <w:spacing w:before="8"/>
              <w:ind w:left="101"/>
              <w:rPr>
                <w:sz w:val="16"/>
              </w:rPr>
            </w:pPr>
            <w:r>
              <w:rPr>
                <w:sz w:val="16"/>
              </w:rPr>
              <w:t>3.23</w:t>
            </w:r>
          </w:p>
        </w:tc>
      </w:tr>
      <w:tr>
        <w:trPr>
          <w:trHeight w:val="230" w:hRule="exact"/>
        </w:trPr>
        <w:tc>
          <w:tcPr>
            <w:tcW w:w="1241" w:type="dxa"/>
            <w:tcBorders>
              <w:left w:val="nil"/>
            </w:tcBorders>
          </w:tcPr>
          <w:p>
            <w:pPr>
              <w:pStyle w:val="TableParagraph"/>
              <w:spacing w:before="17"/>
              <w:ind w:left="71" w:right="8"/>
              <w:rPr>
                <w:sz w:val="16"/>
              </w:rPr>
            </w:pPr>
            <w:r>
              <w:rPr>
                <w:sz w:val="16"/>
              </w:rPr>
              <w:t>TOTAL</w:t>
            </w:r>
          </w:p>
        </w:tc>
        <w:tc>
          <w:tcPr>
            <w:tcW w:w="850" w:type="dxa"/>
          </w:tcPr>
          <w:p>
            <w:pPr>
              <w:pStyle w:val="TableParagraph"/>
              <w:spacing w:before="17"/>
              <w:ind w:left="83" w:right="94"/>
              <w:jc w:val="center"/>
              <w:rPr>
                <w:sz w:val="16"/>
              </w:rPr>
            </w:pPr>
            <w:r>
              <w:rPr>
                <w:sz w:val="16"/>
              </w:rPr>
              <w:t>89,574.5</w:t>
            </w:r>
          </w:p>
        </w:tc>
        <w:tc>
          <w:tcPr>
            <w:tcW w:w="992" w:type="dxa"/>
          </w:tcPr>
          <w:p>
            <w:pPr>
              <w:pStyle w:val="TableParagraph"/>
              <w:spacing w:before="17"/>
              <w:ind w:left="101" w:right="193"/>
              <w:rPr>
                <w:sz w:val="16"/>
              </w:rPr>
            </w:pPr>
            <w:r>
              <w:rPr>
                <w:sz w:val="16"/>
              </w:rPr>
              <w:t>544.5</w:t>
            </w:r>
          </w:p>
        </w:tc>
        <w:tc>
          <w:tcPr>
            <w:tcW w:w="993" w:type="dxa"/>
          </w:tcPr>
          <w:p>
            <w:pPr>
              <w:pStyle w:val="TableParagraph"/>
              <w:spacing w:before="17"/>
              <w:ind w:left="101"/>
              <w:rPr>
                <w:sz w:val="16"/>
              </w:rPr>
            </w:pPr>
            <w:r>
              <w:rPr>
                <w:sz w:val="16"/>
              </w:rPr>
              <w:t>35,563.6</w:t>
            </w:r>
          </w:p>
        </w:tc>
        <w:tc>
          <w:tcPr>
            <w:tcW w:w="993" w:type="dxa"/>
          </w:tcPr>
          <w:p>
            <w:pPr>
              <w:pStyle w:val="TableParagraph"/>
              <w:spacing w:before="17"/>
              <w:ind w:left="101"/>
              <w:rPr>
                <w:sz w:val="16"/>
              </w:rPr>
            </w:pPr>
            <w:r>
              <w:rPr>
                <w:sz w:val="16"/>
              </w:rPr>
              <w:t>48,777.6</w:t>
            </w:r>
          </w:p>
        </w:tc>
        <w:tc>
          <w:tcPr>
            <w:tcW w:w="1162" w:type="dxa"/>
          </w:tcPr>
          <w:p>
            <w:pPr>
              <w:pStyle w:val="TableParagraph"/>
              <w:spacing w:before="17"/>
              <w:ind w:left="101"/>
              <w:rPr>
                <w:sz w:val="16"/>
              </w:rPr>
            </w:pPr>
            <w:r>
              <w:rPr>
                <w:sz w:val="16"/>
              </w:rPr>
              <w:t>137.2</w:t>
            </w:r>
          </w:p>
        </w:tc>
        <w:tc>
          <w:tcPr>
            <w:tcW w:w="1415" w:type="dxa"/>
            <w:tcBorders>
              <w:right w:val="nil"/>
            </w:tcBorders>
          </w:tcPr>
          <w:p>
            <w:pPr>
              <w:pStyle w:val="TableParagraph"/>
              <w:spacing w:before="17"/>
              <w:ind w:left="101"/>
              <w:rPr>
                <w:sz w:val="16"/>
              </w:rPr>
            </w:pPr>
            <w:r>
              <w:rPr>
                <w:sz w:val="16"/>
              </w:rPr>
              <w:t>1.38</w:t>
            </w:r>
          </w:p>
        </w:tc>
      </w:tr>
    </w:tbl>
    <w:p>
      <w:pPr>
        <w:pStyle w:val="BodyText"/>
        <w:spacing w:before="2"/>
        <w:rPr>
          <w:sz w:val="18"/>
        </w:rPr>
      </w:pPr>
    </w:p>
    <w:p>
      <w:pPr>
        <w:spacing w:before="1"/>
        <w:ind w:left="1701" w:right="0" w:firstLine="0"/>
        <w:jc w:val="left"/>
        <w:rPr>
          <w:sz w:val="16"/>
        </w:rPr>
      </w:pPr>
      <w:r>
        <w:rPr>
          <w:color w:val="6D6E71"/>
          <w:sz w:val="16"/>
        </w:rPr>
        <w:t>Source: prepared by the author on the basis of data from IBGE.</w:t>
      </w:r>
    </w:p>
    <w:p>
      <w:pPr>
        <w:pStyle w:val="BodyText"/>
        <w:spacing w:before="5"/>
        <w:rPr>
          <w:sz w:val="22"/>
        </w:rPr>
      </w:pPr>
    </w:p>
    <w:p>
      <w:pPr>
        <w:pStyle w:val="BodyText"/>
        <w:spacing w:line="249" w:lineRule="auto"/>
        <w:ind w:left="115" w:right="128" w:firstLine="170"/>
        <w:jc w:val="both"/>
      </w:pPr>
      <w:r>
        <w:rPr/>
        <w:t>A low population growth rate was also noted for the Vale Paraiba metropolitan      area in the state of Rio de Janeiro – with population growth at only 25.5% during the study period. Vale Paraiba is situated close to the Rio de Janeiro metropolitan area  and consists of two very different parts: (1) northeastern municipalities located in a mountainous and poorly urbanized area, (2) its central part consisting of the Paraiba river valley and its President Dutra Highway, which serves as a growth corridor for several</w:t>
      </w:r>
      <w:r>
        <w:rPr>
          <w:spacing w:val="-5"/>
        </w:rPr>
        <w:t> </w:t>
      </w:r>
      <w:r>
        <w:rPr/>
        <w:t>larger</w:t>
      </w:r>
      <w:r>
        <w:rPr>
          <w:spacing w:val="-5"/>
        </w:rPr>
        <w:t> </w:t>
      </w:r>
      <w:r>
        <w:rPr/>
        <w:t>cities</w:t>
      </w:r>
      <w:r>
        <w:rPr>
          <w:spacing w:val="-5"/>
        </w:rPr>
        <w:t> </w:t>
      </w:r>
      <w:r>
        <w:rPr/>
        <w:t>that</w:t>
      </w:r>
      <w:r>
        <w:rPr>
          <w:spacing w:val="-5"/>
        </w:rPr>
        <w:t> </w:t>
      </w:r>
      <w:r>
        <w:rPr/>
        <w:t>form</w:t>
      </w:r>
      <w:r>
        <w:rPr>
          <w:spacing w:val="-5"/>
        </w:rPr>
        <w:t> </w:t>
      </w:r>
      <w:r>
        <w:rPr/>
        <w:t>the</w:t>
      </w:r>
      <w:r>
        <w:rPr>
          <w:spacing w:val="-5"/>
        </w:rPr>
        <w:t> </w:t>
      </w:r>
      <w:r>
        <w:rPr/>
        <w:t>core</w:t>
      </w:r>
      <w:r>
        <w:rPr>
          <w:spacing w:val="-5"/>
        </w:rPr>
        <w:t> </w:t>
      </w:r>
      <w:r>
        <w:rPr/>
        <w:t>of</w:t>
      </w:r>
      <w:r>
        <w:rPr>
          <w:spacing w:val="-5"/>
        </w:rPr>
        <w:t> </w:t>
      </w:r>
      <w:r>
        <w:rPr/>
        <w:t>this</w:t>
      </w:r>
      <w:r>
        <w:rPr>
          <w:spacing w:val="-5"/>
        </w:rPr>
        <w:t> </w:t>
      </w:r>
      <w:r>
        <w:rPr/>
        <w:t>particular</w:t>
      </w:r>
      <w:r>
        <w:rPr>
          <w:spacing w:val="-5"/>
        </w:rPr>
        <w:t> </w:t>
      </w:r>
      <w:r>
        <w:rPr/>
        <w:t>metropolitan</w:t>
      </w:r>
      <w:r>
        <w:rPr>
          <w:spacing w:val="-5"/>
        </w:rPr>
        <w:t> </w:t>
      </w:r>
      <w:r>
        <w:rPr/>
        <w:t>area.</w:t>
      </w:r>
      <w:r>
        <w:rPr>
          <w:spacing w:val="-5"/>
        </w:rPr>
        <w:t> </w:t>
      </w:r>
      <w:r>
        <w:rPr/>
        <w:t>The</w:t>
      </w:r>
      <w:r>
        <w:rPr>
          <w:spacing w:val="-5"/>
        </w:rPr>
        <w:t> </w:t>
      </w:r>
      <w:r>
        <w:rPr/>
        <w:t>largest</w:t>
      </w:r>
      <w:r>
        <w:rPr>
          <w:spacing w:val="-5"/>
        </w:rPr>
        <w:t> </w:t>
      </w:r>
      <w:r>
        <w:rPr/>
        <w:t>of these</w:t>
      </w:r>
      <w:r>
        <w:rPr>
          <w:spacing w:val="-4"/>
        </w:rPr>
        <w:t> </w:t>
      </w:r>
      <w:r>
        <w:rPr/>
        <w:t>valley</w:t>
      </w:r>
      <w:r>
        <w:rPr>
          <w:spacing w:val="-4"/>
        </w:rPr>
        <w:t> </w:t>
      </w:r>
      <w:r>
        <w:rPr/>
        <w:t>cities</w:t>
      </w:r>
      <w:r>
        <w:rPr>
          <w:spacing w:val="-4"/>
        </w:rPr>
        <w:t> </w:t>
      </w:r>
      <w:r>
        <w:rPr/>
        <w:t>is</w:t>
      </w:r>
      <w:r>
        <w:rPr>
          <w:spacing w:val="-4"/>
        </w:rPr>
        <w:t> </w:t>
      </w:r>
      <w:r>
        <w:rPr/>
        <w:t>Volta</w:t>
      </w:r>
      <w:r>
        <w:rPr>
          <w:spacing w:val="-4"/>
        </w:rPr>
        <w:t> </w:t>
      </w:r>
      <w:r>
        <w:rPr/>
        <w:t>Redonda,</w:t>
      </w:r>
      <w:r>
        <w:rPr>
          <w:spacing w:val="-4"/>
        </w:rPr>
        <w:t> </w:t>
      </w:r>
      <w:r>
        <w:rPr/>
        <w:t>with</w:t>
      </w:r>
      <w:r>
        <w:rPr>
          <w:spacing w:val="-4"/>
        </w:rPr>
        <w:t> </w:t>
      </w:r>
      <w:r>
        <w:rPr/>
        <w:t>more</w:t>
      </w:r>
      <w:r>
        <w:rPr>
          <w:spacing w:val="-4"/>
        </w:rPr>
        <w:t> </w:t>
      </w:r>
      <w:r>
        <w:rPr/>
        <w:t>than</w:t>
      </w:r>
      <w:r>
        <w:rPr>
          <w:spacing w:val="-4"/>
        </w:rPr>
        <w:t> </w:t>
      </w:r>
      <w:r>
        <w:rPr/>
        <w:t>260,000</w:t>
      </w:r>
      <w:r>
        <w:rPr>
          <w:spacing w:val="-4"/>
        </w:rPr>
        <w:t> </w:t>
      </w:r>
      <w:r>
        <w:rPr/>
        <w:t>residents</w:t>
      </w:r>
      <w:r>
        <w:rPr>
          <w:spacing w:val="-4"/>
        </w:rPr>
        <w:t> </w:t>
      </w:r>
      <w:r>
        <w:rPr/>
        <w:t>and</w:t>
      </w:r>
      <w:r>
        <w:rPr>
          <w:spacing w:val="-4"/>
        </w:rPr>
        <w:t> </w:t>
      </w:r>
      <w:r>
        <w:rPr/>
        <w:t>a</w:t>
      </w:r>
      <w:r>
        <w:rPr>
          <w:spacing w:val="-4"/>
        </w:rPr>
        <w:t> </w:t>
      </w:r>
      <w:r>
        <w:rPr/>
        <w:t>large</w:t>
      </w:r>
      <w:r>
        <w:rPr>
          <w:spacing w:val="-4"/>
        </w:rPr>
        <w:t> </w:t>
      </w:r>
      <w:r>
        <w:rPr/>
        <w:t>steel mill opened in 1946 (Dinius 2011). The neighboring city of Barra Mansa (population: 180,000) is also an important urban center in the valley. The same is true of the city    of Resende (population: 124,000), which is also a key center of Brazil’s automotive industry (Wójtowicz, Rachwał</w:t>
      </w:r>
      <w:r>
        <w:rPr>
          <w:spacing w:val="5"/>
        </w:rPr>
        <w:t> </w:t>
      </w:r>
      <w:r>
        <w:rPr/>
        <w:t>2014).</w:t>
      </w:r>
    </w:p>
    <w:p>
      <w:pPr>
        <w:pStyle w:val="BodyText"/>
        <w:spacing w:before="11"/>
      </w:pPr>
    </w:p>
    <w:p>
      <w:pPr>
        <w:pStyle w:val="BodyText"/>
        <w:spacing w:line="249" w:lineRule="auto"/>
        <w:ind w:left="115" w:right="128" w:firstLine="720"/>
        <w:jc w:val="both"/>
      </w:pPr>
      <w:r>
        <w:rPr/>
        <w:t>This region extends into the southwestern part of the Paraiba river valley in   the state of Sao Paulo. It has also been designated the Vale do Paraiba e Litoral Norte Metropolitan Area, which follows the elongated shape of the valley. The main urban center in this region is the city of São José dos Campos, with a population of more than 681,000 in 2014. The city is a key industrial center with the headquarters of Brazil’s largest aircraft manufacturer (Embraer) as well as manufacturing plants owned by General Motors. Its close neighbor or the city of Taubate is also an important industrial center with nearly 300,000 inhabitants. Its industrial base includes automotive plants owned by Volkswagen and Ford (Wójtowicz, Rachwał</w:t>
      </w:r>
      <w:r>
        <w:rPr>
          <w:spacing w:val="19"/>
        </w:rPr>
        <w:t> </w:t>
      </w:r>
      <w:r>
        <w:rPr/>
        <w:t>2014).</w:t>
      </w:r>
    </w:p>
    <w:p>
      <w:pPr>
        <w:pStyle w:val="BodyText"/>
        <w:spacing w:before="11"/>
      </w:pPr>
    </w:p>
    <w:p>
      <w:pPr>
        <w:pStyle w:val="BodyText"/>
        <w:spacing w:line="249" w:lineRule="auto"/>
        <w:ind w:left="115" w:right="129" w:firstLine="720"/>
        <w:jc w:val="both"/>
      </w:pPr>
      <w:r>
        <w:rPr/>
        <w:t>The</w:t>
      </w:r>
      <w:r>
        <w:rPr>
          <w:spacing w:val="-11"/>
        </w:rPr>
        <w:t> </w:t>
      </w:r>
      <w:r>
        <w:rPr/>
        <w:t>studied</w:t>
      </w:r>
      <w:r>
        <w:rPr>
          <w:spacing w:val="-11"/>
        </w:rPr>
        <w:t> </w:t>
      </w:r>
      <w:r>
        <w:rPr/>
        <w:t>area</w:t>
      </w:r>
      <w:r>
        <w:rPr>
          <w:spacing w:val="-11"/>
        </w:rPr>
        <w:t> </w:t>
      </w:r>
      <w:r>
        <w:rPr/>
        <w:t>consists</w:t>
      </w:r>
      <w:r>
        <w:rPr>
          <w:spacing w:val="-11"/>
        </w:rPr>
        <w:t> </w:t>
      </w:r>
      <w:r>
        <w:rPr/>
        <w:t>of</w:t>
      </w:r>
      <w:r>
        <w:rPr>
          <w:spacing w:val="-11"/>
        </w:rPr>
        <w:t> </w:t>
      </w:r>
      <w:r>
        <w:rPr/>
        <w:t>three</w:t>
      </w:r>
      <w:r>
        <w:rPr>
          <w:spacing w:val="-11"/>
        </w:rPr>
        <w:t> </w:t>
      </w:r>
      <w:r>
        <w:rPr/>
        <w:t>main</w:t>
      </w:r>
      <w:r>
        <w:rPr>
          <w:spacing w:val="-11"/>
        </w:rPr>
        <w:t> </w:t>
      </w:r>
      <w:r>
        <w:rPr/>
        <w:t>belts</w:t>
      </w:r>
      <w:r>
        <w:rPr>
          <w:spacing w:val="-11"/>
        </w:rPr>
        <w:t> </w:t>
      </w:r>
      <w:r>
        <w:rPr/>
        <w:t>of</w:t>
      </w:r>
      <w:r>
        <w:rPr>
          <w:spacing w:val="-11"/>
        </w:rPr>
        <w:t> </w:t>
      </w:r>
      <w:r>
        <w:rPr/>
        <w:t>population</w:t>
      </w:r>
      <w:r>
        <w:rPr>
          <w:spacing w:val="-11"/>
        </w:rPr>
        <w:t> </w:t>
      </w:r>
      <w:r>
        <w:rPr/>
        <w:t>density</w:t>
      </w:r>
      <w:r>
        <w:rPr>
          <w:spacing w:val="-11"/>
        </w:rPr>
        <w:t> </w:t>
      </w:r>
      <w:r>
        <w:rPr/>
        <w:t>and</w:t>
      </w:r>
      <w:r>
        <w:rPr>
          <w:spacing w:val="-11"/>
        </w:rPr>
        <w:t> </w:t>
      </w:r>
      <w:r>
        <w:rPr/>
        <w:t>business activity. The belt of municipalities stretching across the northern part of the region –     in the Paraiba Valley – is characterized by a relatively high population density and a related high concentration of business activity. Municipalities forming this particular  belt</w:t>
      </w:r>
      <w:r>
        <w:rPr>
          <w:spacing w:val="22"/>
        </w:rPr>
        <w:t> </w:t>
      </w:r>
      <w:r>
        <w:rPr/>
        <w:t>are</w:t>
      </w:r>
      <w:r>
        <w:rPr>
          <w:spacing w:val="22"/>
        </w:rPr>
        <w:t> </w:t>
      </w:r>
      <w:r>
        <w:rPr/>
        <w:t>also</w:t>
      </w:r>
      <w:r>
        <w:rPr>
          <w:spacing w:val="22"/>
        </w:rPr>
        <w:t> </w:t>
      </w:r>
      <w:r>
        <w:rPr/>
        <w:t>characterized</w:t>
      </w:r>
      <w:r>
        <w:rPr>
          <w:spacing w:val="22"/>
        </w:rPr>
        <w:t> </w:t>
      </w:r>
      <w:r>
        <w:rPr/>
        <w:t>by</w:t>
      </w:r>
      <w:r>
        <w:rPr>
          <w:spacing w:val="22"/>
        </w:rPr>
        <w:t> </w:t>
      </w:r>
      <w:r>
        <w:rPr/>
        <w:t>a</w:t>
      </w:r>
      <w:r>
        <w:rPr>
          <w:spacing w:val="22"/>
        </w:rPr>
        <w:t> </w:t>
      </w:r>
      <w:r>
        <w:rPr/>
        <w:t>high</w:t>
      </w:r>
      <w:r>
        <w:rPr>
          <w:spacing w:val="22"/>
        </w:rPr>
        <w:t> </w:t>
      </w:r>
      <w:r>
        <w:rPr/>
        <w:t>rate</w:t>
      </w:r>
      <w:r>
        <w:rPr>
          <w:spacing w:val="22"/>
        </w:rPr>
        <w:t> </w:t>
      </w:r>
      <w:r>
        <w:rPr/>
        <w:t>of</w:t>
      </w:r>
      <w:r>
        <w:rPr>
          <w:spacing w:val="22"/>
        </w:rPr>
        <w:t> </w:t>
      </w:r>
      <w:r>
        <w:rPr/>
        <w:t>population</w:t>
      </w:r>
      <w:r>
        <w:rPr>
          <w:spacing w:val="22"/>
        </w:rPr>
        <w:t> </w:t>
      </w:r>
      <w:r>
        <w:rPr/>
        <w:t>growth</w:t>
      </w:r>
      <w:r>
        <w:rPr>
          <w:spacing w:val="22"/>
        </w:rPr>
        <w:t> </w:t>
      </w:r>
      <w:r>
        <w:rPr/>
        <w:t>and</w:t>
      </w:r>
      <w:r>
        <w:rPr>
          <w:spacing w:val="22"/>
        </w:rPr>
        <w:t> </w:t>
      </w:r>
      <w:r>
        <w:rPr/>
        <w:t>a</w:t>
      </w:r>
      <w:r>
        <w:rPr>
          <w:spacing w:val="22"/>
        </w:rPr>
        <w:t> </w:t>
      </w:r>
      <w:r>
        <w:rPr/>
        <w:t>high</w:t>
      </w:r>
      <w:r>
        <w:rPr>
          <w:spacing w:val="22"/>
        </w:rPr>
        <w:t> </w:t>
      </w:r>
      <w:r>
        <w:rPr/>
        <w:t>degree</w:t>
      </w:r>
      <w:r>
        <w:rPr>
          <w:spacing w:val="22"/>
        </w:rPr>
        <w:t> </w:t>
      </w:r>
      <w:r>
        <w:rPr/>
        <w:t>of</w:t>
      </w:r>
    </w:p>
    <w:p>
      <w:pPr>
        <w:spacing w:after="0" w:line="249" w:lineRule="auto"/>
        <w:jc w:val="both"/>
        <w:sectPr>
          <w:type w:val="continuous"/>
          <w:pgSz w:w="18830" w:h="12760" w:orient="landscape"/>
          <w:pgMar w:top="1420" w:bottom="280" w:left="720" w:right="720"/>
          <w:cols w:num="2" w:equalWidth="0">
            <w:col w:w="7827" w:space="1598"/>
            <w:col w:w="7965"/>
          </w:cols>
        </w:sectPr>
      </w:pPr>
    </w:p>
    <w:p>
      <w:pPr>
        <w:pStyle w:val="BodyText"/>
        <w:spacing w:before="6"/>
        <w:rPr>
          <w:sz w:val="23"/>
        </w:rPr>
      </w:pPr>
    </w:p>
    <w:p>
      <w:pPr>
        <w:spacing w:after="0"/>
        <w:rPr>
          <w:sz w:val="23"/>
        </w:rPr>
        <w:sectPr>
          <w:footerReference w:type="default" r:id="rId543"/>
          <w:pgSz w:w="18830" w:h="12760" w:orient="landscape"/>
          <w:pgMar w:footer="1036" w:header="522" w:top="820" w:bottom="1220" w:left="720" w:right="720"/>
        </w:sectPr>
      </w:pPr>
    </w:p>
    <w:p>
      <w:pPr>
        <w:pStyle w:val="BodyText"/>
        <w:spacing w:line="249" w:lineRule="auto" w:before="76"/>
        <w:ind w:left="131"/>
        <w:jc w:val="both"/>
      </w:pPr>
      <w:r>
        <w:rPr/>
        <w:t>urbanization. The central part of the studied region consists of a belt of municipalities characterized by low population density, low rate of population growth, and a tendency to experience depopulation, especially between the years 2000 and 2010 (Figs. 2,       3, 4, 5). These municipalities are situated in a mountainous area that also features a substantial amount of agriculture. The local economy is dominated by the services sector and remains relatively untouched by the industrial sector (Figs. 6, 7, 8). The  third belt of municipalities stretches along the coast and is characterized by a higher population density – similar to that calculated for municipalities in the Paraiba river valley. This belt is also characterized by a higher rate of population growth and a high degree</w:t>
      </w:r>
      <w:r>
        <w:rPr>
          <w:spacing w:val="-6"/>
        </w:rPr>
        <w:t> </w:t>
      </w:r>
      <w:r>
        <w:rPr/>
        <w:t>of</w:t>
      </w:r>
      <w:r>
        <w:rPr>
          <w:spacing w:val="-6"/>
        </w:rPr>
        <w:t> </w:t>
      </w:r>
      <w:r>
        <w:rPr/>
        <w:t>urbanization</w:t>
      </w:r>
      <w:r>
        <w:rPr>
          <w:spacing w:val="-6"/>
        </w:rPr>
        <w:t> </w:t>
      </w:r>
      <w:r>
        <w:rPr/>
        <w:t>(Figs.</w:t>
      </w:r>
      <w:r>
        <w:rPr>
          <w:spacing w:val="-6"/>
        </w:rPr>
        <w:t> </w:t>
      </w:r>
      <w:r>
        <w:rPr/>
        <w:t>2,</w:t>
      </w:r>
      <w:r>
        <w:rPr>
          <w:spacing w:val="-6"/>
        </w:rPr>
        <w:t> </w:t>
      </w:r>
      <w:r>
        <w:rPr/>
        <w:t>3,</w:t>
      </w:r>
      <w:r>
        <w:rPr>
          <w:spacing w:val="-6"/>
        </w:rPr>
        <w:t> </w:t>
      </w:r>
      <w:r>
        <w:rPr/>
        <w:t>4,</w:t>
      </w:r>
      <w:r>
        <w:rPr>
          <w:spacing w:val="-6"/>
        </w:rPr>
        <w:t> </w:t>
      </w:r>
      <w:r>
        <w:rPr/>
        <w:t>5).</w:t>
      </w:r>
      <w:r>
        <w:rPr>
          <w:spacing w:val="-6"/>
        </w:rPr>
        <w:t> </w:t>
      </w:r>
      <w:r>
        <w:rPr/>
        <w:t>Finally,</w:t>
      </w:r>
      <w:r>
        <w:rPr>
          <w:spacing w:val="-6"/>
        </w:rPr>
        <w:t> </w:t>
      </w:r>
      <w:r>
        <w:rPr/>
        <w:t>the</w:t>
      </w:r>
      <w:r>
        <w:rPr>
          <w:spacing w:val="-6"/>
        </w:rPr>
        <w:t> </w:t>
      </w:r>
      <w:r>
        <w:rPr/>
        <w:t>economy</w:t>
      </w:r>
      <w:r>
        <w:rPr>
          <w:spacing w:val="-6"/>
        </w:rPr>
        <w:t> </w:t>
      </w:r>
      <w:r>
        <w:rPr/>
        <w:t>of</w:t>
      </w:r>
      <w:r>
        <w:rPr>
          <w:spacing w:val="-6"/>
        </w:rPr>
        <w:t> </w:t>
      </w:r>
      <w:r>
        <w:rPr/>
        <w:t>this</w:t>
      </w:r>
      <w:r>
        <w:rPr>
          <w:spacing w:val="-6"/>
        </w:rPr>
        <w:t> </w:t>
      </w:r>
      <w:r>
        <w:rPr/>
        <w:t>third</w:t>
      </w:r>
      <w:r>
        <w:rPr>
          <w:spacing w:val="-6"/>
        </w:rPr>
        <w:t> </w:t>
      </w:r>
      <w:r>
        <w:rPr/>
        <w:t>population</w:t>
      </w:r>
      <w:r>
        <w:rPr>
          <w:spacing w:val="-6"/>
        </w:rPr>
        <w:t> </w:t>
      </w:r>
      <w:r>
        <w:rPr/>
        <w:t>belt is dominated by the services sector (Fig.</w:t>
      </w:r>
      <w:r>
        <w:rPr>
          <w:spacing w:val="13"/>
        </w:rPr>
        <w:t> </w:t>
      </w:r>
      <w:r>
        <w:rPr/>
        <w:t>8).</w:t>
      </w:r>
    </w:p>
    <w:p>
      <w:pPr>
        <w:pStyle w:val="BodyText"/>
        <w:spacing w:before="2"/>
        <w:rPr>
          <w:sz w:val="24"/>
        </w:rPr>
      </w:pPr>
    </w:p>
    <w:p>
      <w:pPr>
        <w:spacing w:before="0"/>
        <w:ind w:left="202" w:right="72" w:firstLine="0"/>
        <w:jc w:val="center"/>
        <w:rPr>
          <w:sz w:val="16"/>
        </w:rPr>
      </w:pPr>
      <w:r>
        <w:rPr>
          <w:color w:val="6D6E71"/>
          <w:sz w:val="16"/>
        </w:rPr>
        <w:t>Fig. 2. Administrative division and population density of the Brazilian Megalopolis in  2010</w:t>
      </w:r>
    </w:p>
    <w:p>
      <w:pPr>
        <w:pStyle w:val="BodyText"/>
        <w:spacing w:before="6"/>
        <w:rPr>
          <w:sz w:val="11"/>
        </w:rPr>
      </w:pPr>
      <w:r>
        <w:rPr/>
        <w:drawing>
          <wp:anchor distT="0" distB="0" distL="0" distR="0" allowOverlap="1" layoutInCell="1" locked="0" behindDoc="0" simplePos="0" relativeHeight="20104">
            <wp:simplePos x="0" y="0"/>
            <wp:positionH relativeFrom="page">
              <wp:posOffset>540722</wp:posOffset>
            </wp:positionH>
            <wp:positionV relativeFrom="paragraph">
              <wp:posOffset>109449</wp:posOffset>
            </wp:positionV>
            <wp:extent cx="4871286" cy="3051048"/>
            <wp:effectExtent l="0" t="0" r="0" b="0"/>
            <wp:wrapTopAndBottom/>
            <wp:docPr id="217" name="image159.jpeg" descr=""/>
            <wp:cNvGraphicFramePr>
              <a:graphicFrameLocks noChangeAspect="1"/>
            </wp:cNvGraphicFramePr>
            <a:graphic>
              <a:graphicData uri="http://schemas.openxmlformats.org/drawingml/2006/picture">
                <pic:pic>
                  <pic:nvPicPr>
                    <pic:cNvPr id="218" name="image159.jpeg"/>
                    <pic:cNvPicPr/>
                  </pic:nvPicPr>
                  <pic:blipFill>
                    <a:blip r:embed="rId544" cstate="print"/>
                    <a:stretch>
                      <a:fillRect/>
                    </a:stretch>
                  </pic:blipFill>
                  <pic:spPr>
                    <a:xfrm>
                      <a:off x="0" y="0"/>
                      <a:ext cx="4871286" cy="3051048"/>
                    </a:xfrm>
                    <a:prstGeom prst="rect">
                      <a:avLst/>
                    </a:prstGeom>
                  </pic:spPr>
                </pic:pic>
              </a:graphicData>
            </a:graphic>
          </wp:anchor>
        </w:drawing>
      </w:r>
    </w:p>
    <w:p>
      <w:pPr>
        <w:spacing w:before="90"/>
        <w:ind w:left="202" w:right="72" w:firstLine="0"/>
        <w:jc w:val="center"/>
        <w:rPr>
          <w:sz w:val="16"/>
        </w:rPr>
      </w:pPr>
      <w:r>
        <w:rPr>
          <w:color w:val="6D6E71"/>
          <w:sz w:val="16"/>
        </w:rPr>
        <w:t>Source: prepared by the author on the basis of data from IBGE.</w:t>
      </w:r>
    </w:p>
    <w:p>
      <w:pPr>
        <w:pStyle w:val="BodyText"/>
        <w:spacing w:before="5"/>
        <w:rPr>
          <w:sz w:val="22"/>
        </w:rPr>
      </w:pPr>
    </w:p>
    <w:p>
      <w:pPr>
        <w:pStyle w:val="BodyText"/>
        <w:spacing w:line="249" w:lineRule="auto"/>
        <w:ind w:left="131" w:firstLine="720"/>
        <w:jc w:val="both"/>
      </w:pPr>
      <w:r>
        <w:rPr/>
        <w:t>Of the eight regions located within the Brazilian Megalopolis in the state of  Sao Paulo, only the Sao Paulo Metropolitan Area experienced lower than average  rates of population growth in the study period. Seven remaining regions experienced rates of population growth much higher than the average for the Megalopolis as a whole</w:t>
      </w:r>
      <w:r>
        <w:rPr>
          <w:spacing w:val="31"/>
        </w:rPr>
        <w:t> </w:t>
      </w:r>
      <w:r>
        <w:rPr/>
        <w:t>–</w:t>
      </w:r>
      <w:r>
        <w:rPr>
          <w:spacing w:val="31"/>
        </w:rPr>
        <w:t> </w:t>
      </w:r>
      <w:r>
        <w:rPr/>
        <w:t>and</w:t>
      </w:r>
      <w:r>
        <w:rPr>
          <w:spacing w:val="31"/>
        </w:rPr>
        <w:t> </w:t>
      </w:r>
      <w:r>
        <w:rPr/>
        <w:t>relative</w:t>
      </w:r>
      <w:r>
        <w:rPr>
          <w:spacing w:val="31"/>
        </w:rPr>
        <w:t> </w:t>
      </w:r>
      <w:r>
        <w:rPr/>
        <w:t>to</w:t>
      </w:r>
      <w:r>
        <w:rPr>
          <w:spacing w:val="31"/>
        </w:rPr>
        <w:t> </w:t>
      </w:r>
      <w:r>
        <w:rPr/>
        <w:t>the</w:t>
      </w:r>
      <w:r>
        <w:rPr>
          <w:spacing w:val="31"/>
        </w:rPr>
        <w:t> </w:t>
      </w:r>
      <w:r>
        <w:rPr/>
        <w:t>national</w:t>
      </w:r>
      <w:r>
        <w:rPr>
          <w:spacing w:val="31"/>
        </w:rPr>
        <w:t> </w:t>
      </w:r>
      <w:r>
        <w:rPr/>
        <w:t>average.</w:t>
      </w:r>
      <w:r>
        <w:rPr>
          <w:spacing w:val="31"/>
        </w:rPr>
        <w:t> </w:t>
      </w:r>
      <w:r>
        <w:rPr/>
        <w:t>This</w:t>
      </w:r>
      <w:r>
        <w:rPr>
          <w:spacing w:val="31"/>
        </w:rPr>
        <w:t> </w:t>
      </w:r>
      <w:r>
        <w:rPr/>
        <w:t>suggests</w:t>
      </w:r>
      <w:r>
        <w:rPr>
          <w:spacing w:val="31"/>
        </w:rPr>
        <w:t> </w:t>
      </w:r>
      <w:r>
        <w:rPr/>
        <w:t>further</w:t>
      </w:r>
      <w:r>
        <w:rPr>
          <w:spacing w:val="31"/>
        </w:rPr>
        <w:t> </w:t>
      </w:r>
      <w:r>
        <w:rPr/>
        <w:t>concentration</w:t>
      </w:r>
      <w:r>
        <w:rPr>
          <w:spacing w:val="31"/>
        </w:rPr>
        <w:t> </w:t>
      </w:r>
      <w:r>
        <w:rPr/>
        <w:t>of</w:t>
      </w:r>
    </w:p>
    <w:p>
      <w:pPr>
        <w:pStyle w:val="BodyText"/>
        <w:spacing w:line="249" w:lineRule="auto" w:before="76"/>
        <w:ind w:left="131" w:right="127"/>
        <w:jc w:val="both"/>
      </w:pPr>
      <w:r>
        <w:rPr/>
        <w:br w:type="column"/>
      </w:r>
      <w:r>
        <w:rPr/>
        <w:t>population in these suburban areas and deconcentration in the Sao Paulo Metropolitan Area. The same pattern can be observed in the case of rates of population growth in municipalities surrounding core metropolitan area cities including Sao Paulo, Santos, Jundiai,</w:t>
      </w:r>
      <w:r>
        <w:rPr>
          <w:spacing w:val="-9"/>
        </w:rPr>
        <w:t> </w:t>
      </w:r>
      <w:r>
        <w:rPr/>
        <w:t>Campinas,</w:t>
      </w:r>
      <w:r>
        <w:rPr>
          <w:spacing w:val="-9"/>
        </w:rPr>
        <w:t> </w:t>
      </w:r>
      <w:r>
        <w:rPr/>
        <w:t>and</w:t>
      </w:r>
      <w:r>
        <w:rPr>
          <w:spacing w:val="-9"/>
        </w:rPr>
        <w:t> </w:t>
      </w:r>
      <w:r>
        <w:rPr/>
        <w:t>Sorocaba</w:t>
      </w:r>
      <w:r>
        <w:rPr>
          <w:spacing w:val="-9"/>
        </w:rPr>
        <w:t> </w:t>
      </w:r>
      <w:r>
        <w:rPr/>
        <w:t>(Figs.</w:t>
      </w:r>
      <w:r>
        <w:rPr>
          <w:spacing w:val="-9"/>
        </w:rPr>
        <w:t> </w:t>
      </w:r>
      <w:r>
        <w:rPr/>
        <w:t>3,</w:t>
      </w:r>
      <w:r>
        <w:rPr>
          <w:spacing w:val="-9"/>
        </w:rPr>
        <w:t> </w:t>
      </w:r>
      <w:r>
        <w:rPr/>
        <w:t>4).</w:t>
      </w:r>
      <w:r>
        <w:rPr>
          <w:spacing w:val="-9"/>
        </w:rPr>
        <w:t> </w:t>
      </w:r>
      <w:r>
        <w:rPr/>
        <w:t>The</w:t>
      </w:r>
      <w:r>
        <w:rPr>
          <w:spacing w:val="-9"/>
        </w:rPr>
        <w:t> </w:t>
      </w:r>
      <w:r>
        <w:rPr/>
        <w:t>largest</w:t>
      </w:r>
      <w:r>
        <w:rPr>
          <w:spacing w:val="-9"/>
        </w:rPr>
        <w:t> </w:t>
      </w:r>
      <w:r>
        <w:rPr/>
        <w:t>fraction</w:t>
      </w:r>
      <w:r>
        <w:rPr>
          <w:spacing w:val="-9"/>
        </w:rPr>
        <w:t> </w:t>
      </w:r>
      <w:r>
        <w:rPr/>
        <w:t>of</w:t>
      </w:r>
      <w:r>
        <w:rPr>
          <w:spacing w:val="-9"/>
        </w:rPr>
        <w:t> </w:t>
      </w:r>
      <w:r>
        <w:rPr/>
        <w:t>the</w:t>
      </w:r>
      <w:r>
        <w:rPr>
          <w:spacing w:val="-9"/>
        </w:rPr>
        <w:t> </w:t>
      </w:r>
      <w:r>
        <w:rPr/>
        <w:t>total</w:t>
      </w:r>
      <w:r>
        <w:rPr>
          <w:spacing w:val="-9"/>
        </w:rPr>
        <w:t> </w:t>
      </w:r>
      <w:r>
        <w:rPr/>
        <w:t>population of</w:t>
      </w:r>
      <w:r>
        <w:rPr>
          <w:spacing w:val="-3"/>
        </w:rPr>
        <w:t> </w:t>
      </w:r>
      <w:r>
        <w:rPr/>
        <w:t>the</w:t>
      </w:r>
      <w:r>
        <w:rPr>
          <w:spacing w:val="-3"/>
        </w:rPr>
        <w:t> </w:t>
      </w:r>
      <w:r>
        <w:rPr/>
        <w:t>Megalopolis</w:t>
      </w:r>
      <w:r>
        <w:rPr>
          <w:spacing w:val="-3"/>
        </w:rPr>
        <w:t> </w:t>
      </w:r>
      <w:r>
        <w:rPr/>
        <w:t>can</w:t>
      </w:r>
      <w:r>
        <w:rPr>
          <w:spacing w:val="-3"/>
        </w:rPr>
        <w:t> </w:t>
      </w:r>
      <w:r>
        <w:rPr/>
        <w:t>be</w:t>
      </w:r>
      <w:r>
        <w:rPr>
          <w:spacing w:val="-3"/>
        </w:rPr>
        <w:t> </w:t>
      </w:r>
      <w:r>
        <w:rPr/>
        <w:t>found</w:t>
      </w:r>
      <w:r>
        <w:rPr>
          <w:spacing w:val="-3"/>
        </w:rPr>
        <w:t> </w:t>
      </w:r>
      <w:r>
        <w:rPr/>
        <w:t>in</w:t>
      </w:r>
      <w:r>
        <w:rPr>
          <w:spacing w:val="-3"/>
        </w:rPr>
        <w:t> </w:t>
      </w:r>
      <w:r>
        <w:rPr/>
        <w:t>the</w:t>
      </w:r>
      <w:r>
        <w:rPr>
          <w:spacing w:val="-3"/>
        </w:rPr>
        <w:t> </w:t>
      </w:r>
      <w:r>
        <w:rPr/>
        <w:t>state</w:t>
      </w:r>
      <w:r>
        <w:rPr>
          <w:spacing w:val="-3"/>
        </w:rPr>
        <w:t> </w:t>
      </w:r>
      <w:r>
        <w:rPr/>
        <w:t>of</w:t>
      </w:r>
      <w:r>
        <w:rPr>
          <w:spacing w:val="-3"/>
        </w:rPr>
        <w:t> </w:t>
      </w:r>
      <w:r>
        <w:rPr/>
        <w:t>Sao</w:t>
      </w:r>
      <w:r>
        <w:rPr>
          <w:spacing w:val="-3"/>
        </w:rPr>
        <w:t> </w:t>
      </w:r>
      <w:r>
        <w:rPr/>
        <w:t>Paulo,</w:t>
      </w:r>
      <w:r>
        <w:rPr>
          <w:spacing w:val="-3"/>
        </w:rPr>
        <w:t> </w:t>
      </w:r>
      <w:r>
        <w:rPr/>
        <w:t>stretching</w:t>
      </w:r>
      <w:r>
        <w:rPr>
          <w:spacing w:val="-3"/>
        </w:rPr>
        <w:t> </w:t>
      </w:r>
      <w:r>
        <w:rPr/>
        <w:t>along</w:t>
      </w:r>
      <w:r>
        <w:rPr>
          <w:spacing w:val="-3"/>
        </w:rPr>
        <w:t> </w:t>
      </w:r>
      <w:r>
        <w:rPr/>
        <w:t>a</w:t>
      </w:r>
      <w:r>
        <w:rPr>
          <w:spacing w:val="-3"/>
        </w:rPr>
        <w:t> </w:t>
      </w:r>
      <w:r>
        <w:rPr/>
        <w:t>linear</w:t>
      </w:r>
      <w:r>
        <w:rPr>
          <w:spacing w:val="-3"/>
        </w:rPr>
        <w:t> </w:t>
      </w:r>
      <w:r>
        <w:rPr/>
        <w:t>path from</w:t>
      </w:r>
      <w:r>
        <w:rPr>
          <w:spacing w:val="-4"/>
        </w:rPr>
        <w:t> </w:t>
      </w:r>
      <w:r>
        <w:rPr/>
        <w:t>the</w:t>
      </w:r>
      <w:r>
        <w:rPr>
          <w:spacing w:val="-4"/>
        </w:rPr>
        <w:t> </w:t>
      </w:r>
      <w:r>
        <w:rPr/>
        <w:t>Atlantic</w:t>
      </w:r>
      <w:r>
        <w:rPr>
          <w:spacing w:val="-4"/>
        </w:rPr>
        <w:t> </w:t>
      </w:r>
      <w:r>
        <w:rPr/>
        <w:t>coast</w:t>
      </w:r>
      <w:r>
        <w:rPr>
          <w:spacing w:val="-4"/>
        </w:rPr>
        <w:t> </w:t>
      </w:r>
      <w:r>
        <w:rPr/>
        <w:t>to</w:t>
      </w:r>
      <w:r>
        <w:rPr>
          <w:spacing w:val="-4"/>
        </w:rPr>
        <w:t> </w:t>
      </w:r>
      <w:r>
        <w:rPr/>
        <w:t>the</w:t>
      </w:r>
      <w:r>
        <w:rPr>
          <w:spacing w:val="-4"/>
        </w:rPr>
        <w:t> </w:t>
      </w:r>
      <w:r>
        <w:rPr/>
        <w:t>Campinas</w:t>
      </w:r>
      <w:r>
        <w:rPr>
          <w:spacing w:val="-4"/>
        </w:rPr>
        <w:t> </w:t>
      </w:r>
      <w:r>
        <w:rPr/>
        <w:t>Metropolitan</w:t>
      </w:r>
      <w:r>
        <w:rPr>
          <w:spacing w:val="-4"/>
        </w:rPr>
        <w:t> </w:t>
      </w:r>
      <w:r>
        <w:rPr/>
        <w:t>Area.</w:t>
      </w:r>
      <w:r>
        <w:rPr>
          <w:spacing w:val="-4"/>
        </w:rPr>
        <w:t> </w:t>
      </w:r>
      <w:r>
        <w:rPr/>
        <w:t>It</w:t>
      </w:r>
      <w:r>
        <w:rPr>
          <w:spacing w:val="-4"/>
        </w:rPr>
        <w:t> </w:t>
      </w:r>
      <w:r>
        <w:rPr/>
        <w:t>also</w:t>
      </w:r>
      <w:r>
        <w:rPr>
          <w:spacing w:val="-4"/>
        </w:rPr>
        <w:t> </w:t>
      </w:r>
      <w:r>
        <w:rPr/>
        <w:t>includes</w:t>
      </w:r>
      <w:r>
        <w:rPr>
          <w:spacing w:val="-4"/>
        </w:rPr>
        <w:t> </w:t>
      </w:r>
      <w:r>
        <w:rPr/>
        <w:t>regions</w:t>
      </w:r>
      <w:r>
        <w:rPr>
          <w:spacing w:val="-4"/>
        </w:rPr>
        <w:t> </w:t>
      </w:r>
      <w:r>
        <w:rPr/>
        <w:t>such as</w:t>
      </w:r>
      <w:r>
        <w:rPr>
          <w:spacing w:val="-10"/>
        </w:rPr>
        <w:t> </w:t>
      </w:r>
      <w:r>
        <w:rPr/>
        <w:t>RM</w:t>
      </w:r>
      <w:r>
        <w:rPr>
          <w:spacing w:val="-10"/>
        </w:rPr>
        <w:t> </w:t>
      </w:r>
      <w:r>
        <w:rPr/>
        <w:t>Baixada</w:t>
      </w:r>
      <w:r>
        <w:rPr>
          <w:spacing w:val="-10"/>
        </w:rPr>
        <w:t> </w:t>
      </w:r>
      <w:r>
        <w:rPr/>
        <w:t>Santista,</w:t>
      </w:r>
      <w:r>
        <w:rPr>
          <w:spacing w:val="-10"/>
        </w:rPr>
        <w:t> </w:t>
      </w:r>
      <w:r>
        <w:rPr/>
        <w:t>RM</w:t>
      </w:r>
      <w:r>
        <w:rPr>
          <w:spacing w:val="-10"/>
        </w:rPr>
        <w:t> </w:t>
      </w:r>
      <w:r>
        <w:rPr/>
        <w:t>Sao</w:t>
      </w:r>
      <w:r>
        <w:rPr>
          <w:spacing w:val="-10"/>
        </w:rPr>
        <w:t> </w:t>
      </w:r>
      <w:r>
        <w:rPr/>
        <w:t>Paulo,</w:t>
      </w:r>
      <w:r>
        <w:rPr>
          <w:spacing w:val="-10"/>
        </w:rPr>
        <w:t> </w:t>
      </w:r>
      <w:r>
        <w:rPr/>
        <w:t>and</w:t>
      </w:r>
      <w:r>
        <w:rPr>
          <w:spacing w:val="-10"/>
        </w:rPr>
        <w:t> </w:t>
      </w:r>
      <w:r>
        <w:rPr/>
        <w:t>AU</w:t>
      </w:r>
      <w:r>
        <w:rPr>
          <w:spacing w:val="-10"/>
        </w:rPr>
        <w:t> </w:t>
      </w:r>
      <w:r>
        <w:rPr/>
        <w:t>Jundiai</w:t>
      </w:r>
      <w:r>
        <w:rPr>
          <w:spacing w:val="-10"/>
        </w:rPr>
        <w:t> </w:t>
      </w:r>
      <w:r>
        <w:rPr/>
        <w:t>(Fig.</w:t>
      </w:r>
      <w:r>
        <w:rPr>
          <w:spacing w:val="-10"/>
        </w:rPr>
        <w:t> </w:t>
      </w:r>
      <w:r>
        <w:rPr/>
        <w:t>2).</w:t>
      </w:r>
      <w:r>
        <w:rPr>
          <w:spacing w:val="-10"/>
        </w:rPr>
        <w:t> </w:t>
      </w:r>
      <w:r>
        <w:rPr/>
        <w:t>In</w:t>
      </w:r>
      <w:r>
        <w:rPr>
          <w:spacing w:val="-10"/>
        </w:rPr>
        <w:t> </w:t>
      </w:r>
      <w:r>
        <w:rPr/>
        <w:t>2014,</w:t>
      </w:r>
      <w:r>
        <w:rPr>
          <w:spacing w:val="-10"/>
        </w:rPr>
        <w:t> </w:t>
      </w:r>
      <w:r>
        <w:rPr/>
        <w:t>this</w:t>
      </w:r>
      <w:r>
        <w:rPr>
          <w:spacing w:val="-10"/>
        </w:rPr>
        <w:t> </w:t>
      </w:r>
      <w:r>
        <w:rPr/>
        <w:t>expansive urban area was inhabited by more than 26.5 million people, which constituted close to 54.4% of the total population of the Brazilian Megalopolis (Tab. </w:t>
      </w:r>
      <w:r>
        <w:rPr>
          <w:spacing w:val="4"/>
        </w:rPr>
        <w:t> </w:t>
      </w:r>
      <w:r>
        <w:rPr/>
        <w:t>1).</w:t>
      </w:r>
    </w:p>
    <w:p>
      <w:pPr>
        <w:pStyle w:val="BodyText"/>
        <w:spacing w:before="11"/>
      </w:pPr>
    </w:p>
    <w:p>
      <w:pPr>
        <w:pStyle w:val="BodyText"/>
        <w:spacing w:line="249" w:lineRule="auto"/>
        <w:ind w:left="131" w:right="127" w:firstLine="720"/>
        <w:jc w:val="both"/>
      </w:pPr>
      <w:r>
        <w:rPr/>
        <w:t>Regions located in the state of Sao Paulo have experienced higher rates of population growth in recent years relative to regions located in the state of Rio de Janeiro. The following regions in the state of Sao Paulo experienced markedly higher rates of population growth in the period 2010 – 2014: (1) Costa Verde, stretching southwest along the Atlantic coast away from Rio de Janeiro, (2) coastal areas of Baixada Litoranea, (3) Norte Fluminense (Fig. 4).</w:t>
      </w:r>
    </w:p>
    <w:p>
      <w:pPr>
        <w:pStyle w:val="BodyText"/>
        <w:spacing w:before="2"/>
        <w:rPr>
          <w:sz w:val="24"/>
        </w:rPr>
      </w:pPr>
    </w:p>
    <w:p>
      <w:pPr>
        <w:spacing w:line="312" w:lineRule="auto" w:before="0"/>
        <w:ind w:left="204" w:right="201" w:firstLine="0"/>
        <w:jc w:val="center"/>
        <w:rPr>
          <w:sz w:val="16"/>
        </w:rPr>
      </w:pPr>
      <w:r>
        <w:rPr>
          <w:color w:val="6D6E71"/>
          <w:sz w:val="16"/>
        </w:rPr>
        <w:t>Fig. 3. Average annual population growth rates for municipalities constituting the Brazilian Megalopolis in the years 2000–2010</w:t>
      </w:r>
    </w:p>
    <w:p>
      <w:pPr>
        <w:pStyle w:val="BodyText"/>
        <w:spacing w:before="1"/>
        <w:rPr>
          <w:sz w:val="10"/>
        </w:rPr>
      </w:pPr>
      <w:r>
        <w:rPr/>
        <w:drawing>
          <wp:anchor distT="0" distB="0" distL="0" distR="0" allowOverlap="1" layoutInCell="1" locked="0" behindDoc="0" simplePos="0" relativeHeight="20128">
            <wp:simplePos x="0" y="0"/>
            <wp:positionH relativeFrom="page">
              <wp:posOffset>6517182</wp:posOffset>
            </wp:positionH>
            <wp:positionV relativeFrom="paragraph">
              <wp:posOffset>98879</wp:posOffset>
            </wp:positionV>
            <wp:extent cx="4865837" cy="2250757"/>
            <wp:effectExtent l="0" t="0" r="0" b="0"/>
            <wp:wrapTopAndBottom/>
            <wp:docPr id="219" name="image160.jpeg" descr=""/>
            <wp:cNvGraphicFramePr>
              <a:graphicFrameLocks noChangeAspect="1"/>
            </wp:cNvGraphicFramePr>
            <a:graphic>
              <a:graphicData uri="http://schemas.openxmlformats.org/drawingml/2006/picture">
                <pic:pic>
                  <pic:nvPicPr>
                    <pic:cNvPr id="220" name="image160.jpeg"/>
                    <pic:cNvPicPr/>
                  </pic:nvPicPr>
                  <pic:blipFill>
                    <a:blip r:embed="rId545" cstate="print"/>
                    <a:stretch>
                      <a:fillRect/>
                    </a:stretch>
                  </pic:blipFill>
                  <pic:spPr>
                    <a:xfrm>
                      <a:off x="0" y="0"/>
                      <a:ext cx="4865837" cy="2250757"/>
                    </a:xfrm>
                    <a:prstGeom prst="rect">
                      <a:avLst/>
                    </a:prstGeom>
                  </pic:spPr>
                </pic:pic>
              </a:graphicData>
            </a:graphic>
          </wp:anchor>
        </w:drawing>
      </w:r>
    </w:p>
    <w:p>
      <w:pPr>
        <w:pStyle w:val="BodyText"/>
        <w:rPr>
          <w:sz w:val="16"/>
        </w:rPr>
      </w:pPr>
    </w:p>
    <w:p>
      <w:pPr>
        <w:pStyle w:val="BodyText"/>
        <w:spacing w:before="8"/>
        <w:rPr>
          <w:sz w:val="14"/>
        </w:rPr>
      </w:pPr>
    </w:p>
    <w:p>
      <w:pPr>
        <w:spacing w:before="0"/>
        <w:ind w:left="514" w:right="514" w:firstLine="0"/>
        <w:jc w:val="center"/>
        <w:rPr>
          <w:sz w:val="16"/>
        </w:rPr>
      </w:pPr>
      <w:r>
        <w:rPr>
          <w:color w:val="6D6E71"/>
          <w:sz w:val="16"/>
        </w:rPr>
        <w:t>Source: prepared by the author on the basis of data from IBGE.</w:t>
      </w:r>
    </w:p>
    <w:p>
      <w:pPr>
        <w:spacing w:after="0"/>
        <w:jc w:val="center"/>
        <w:rPr>
          <w:sz w:val="16"/>
        </w:rPr>
        <w:sectPr>
          <w:type w:val="continuous"/>
          <w:pgSz w:w="18830" w:h="12760" w:orient="landscape"/>
          <w:pgMar w:top="1420" w:bottom="280" w:left="720" w:right="720"/>
          <w:cols w:num="2" w:equalWidth="0">
            <w:col w:w="7843" w:space="1568"/>
            <w:col w:w="7979"/>
          </w:cols>
        </w:sectPr>
      </w:pPr>
    </w:p>
    <w:p>
      <w:pPr>
        <w:pStyle w:val="BodyText"/>
        <w:spacing w:before="5"/>
        <w:rPr>
          <w:sz w:val="26"/>
        </w:rPr>
      </w:pPr>
    </w:p>
    <w:p>
      <w:pPr>
        <w:spacing w:after="0"/>
        <w:rPr>
          <w:sz w:val="26"/>
        </w:rPr>
        <w:sectPr>
          <w:footerReference w:type="default" r:id="rId546"/>
          <w:pgSz w:w="18830" w:h="12760" w:orient="landscape"/>
          <w:pgMar w:footer="1036" w:header="522" w:top="820" w:bottom="1220" w:left="700" w:right="720"/>
        </w:sectPr>
      </w:pPr>
    </w:p>
    <w:p>
      <w:pPr>
        <w:spacing w:line="312" w:lineRule="auto" w:before="80"/>
        <w:ind w:left="275" w:right="157" w:firstLine="0"/>
        <w:jc w:val="center"/>
        <w:rPr>
          <w:sz w:val="16"/>
        </w:rPr>
      </w:pPr>
      <w:r>
        <w:rPr>
          <w:color w:val="6D6E71"/>
          <w:sz w:val="16"/>
        </w:rPr>
        <w:t>Fig. 4. Average annual population growth rates for municipalities constituting the Brazilian Megalopolis in</w:t>
      </w:r>
      <w:r>
        <w:rPr>
          <w:color w:val="6D6E71"/>
          <w:w w:val="99"/>
          <w:sz w:val="16"/>
        </w:rPr>
        <w:t> </w:t>
      </w:r>
      <w:r>
        <w:rPr>
          <w:color w:val="6D6E71"/>
          <w:sz w:val="16"/>
        </w:rPr>
        <w:t>the years 2010–2014</w:t>
      </w:r>
    </w:p>
    <w:p>
      <w:pPr>
        <w:pStyle w:val="BodyText"/>
        <w:spacing w:before="7"/>
        <w:rPr>
          <w:sz w:val="8"/>
        </w:rPr>
      </w:pPr>
    </w:p>
    <w:p>
      <w:pPr>
        <w:pStyle w:val="BodyText"/>
        <w:ind w:left="115" w:right="-38"/>
      </w:pPr>
      <w:r>
        <w:rPr/>
        <w:drawing>
          <wp:inline distT="0" distB="0" distL="0" distR="0">
            <wp:extent cx="4923091" cy="2555748"/>
            <wp:effectExtent l="0" t="0" r="0" b="0"/>
            <wp:docPr id="221" name="image161.jpeg" descr=""/>
            <wp:cNvGraphicFramePr>
              <a:graphicFrameLocks noChangeAspect="1"/>
            </wp:cNvGraphicFramePr>
            <a:graphic>
              <a:graphicData uri="http://schemas.openxmlformats.org/drawingml/2006/picture">
                <pic:pic>
                  <pic:nvPicPr>
                    <pic:cNvPr id="222" name="image161.jpeg"/>
                    <pic:cNvPicPr/>
                  </pic:nvPicPr>
                  <pic:blipFill>
                    <a:blip r:embed="rId547" cstate="print"/>
                    <a:stretch>
                      <a:fillRect/>
                    </a:stretch>
                  </pic:blipFill>
                  <pic:spPr>
                    <a:xfrm>
                      <a:off x="0" y="0"/>
                      <a:ext cx="4923091" cy="2555748"/>
                    </a:xfrm>
                    <a:prstGeom prst="rect">
                      <a:avLst/>
                    </a:prstGeom>
                  </pic:spPr>
                </pic:pic>
              </a:graphicData>
            </a:graphic>
          </wp:inline>
        </w:drawing>
      </w:r>
      <w:r>
        <w:rPr/>
      </w:r>
    </w:p>
    <w:p>
      <w:pPr>
        <w:pStyle w:val="BodyText"/>
        <w:rPr>
          <w:sz w:val="16"/>
        </w:rPr>
      </w:pPr>
    </w:p>
    <w:p>
      <w:pPr>
        <w:pStyle w:val="BodyText"/>
        <w:spacing w:before="1"/>
        <w:rPr>
          <w:sz w:val="22"/>
        </w:rPr>
      </w:pPr>
    </w:p>
    <w:p>
      <w:pPr>
        <w:spacing w:before="0"/>
        <w:ind w:left="272" w:right="157" w:firstLine="0"/>
        <w:jc w:val="center"/>
        <w:rPr>
          <w:sz w:val="16"/>
        </w:rPr>
      </w:pPr>
      <w:r>
        <w:rPr>
          <w:color w:val="6D6E71"/>
          <w:sz w:val="16"/>
        </w:rPr>
        <w:t>Source: prepared by the author on the basis of data from IBGE.</w:t>
      </w:r>
    </w:p>
    <w:p>
      <w:pPr>
        <w:pStyle w:val="BodyText"/>
        <w:spacing w:before="5"/>
        <w:rPr>
          <w:sz w:val="22"/>
        </w:rPr>
      </w:pPr>
    </w:p>
    <w:p>
      <w:pPr>
        <w:pStyle w:val="BodyText"/>
        <w:spacing w:line="249" w:lineRule="auto"/>
        <w:ind w:left="138" w:right="19" w:firstLine="170"/>
        <w:jc w:val="both"/>
      </w:pPr>
      <w:r>
        <w:rPr/>
        <w:t>Municipalities constituting the Brazilian Megalopolis are characterized by a relatively high</w:t>
      </w:r>
      <w:r>
        <w:rPr>
          <w:spacing w:val="-8"/>
        </w:rPr>
        <w:t> </w:t>
      </w:r>
      <w:r>
        <w:rPr/>
        <w:t>degree</w:t>
      </w:r>
      <w:r>
        <w:rPr>
          <w:spacing w:val="-8"/>
        </w:rPr>
        <w:t> </w:t>
      </w:r>
      <w:r>
        <w:rPr/>
        <w:t>of</w:t>
      </w:r>
      <w:r>
        <w:rPr>
          <w:spacing w:val="-8"/>
        </w:rPr>
        <w:t> </w:t>
      </w:r>
      <w:r>
        <w:rPr/>
        <w:t>urbanization.</w:t>
      </w:r>
      <w:r>
        <w:rPr>
          <w:spacing w:val="-8"/>
        </w:rPr>
        <w:t> </w:t>
      </w:r>
      <w:r>
        <w:rPr/>
        <w:t>The</w:t>
      </w:r>
      <w:r>
        <w:rPr>
          <w:spacing w:val="-8"/>
        </w:rPr>
        <w:t> </w:t>
      </w:r>
      <w:r>
        <w:rPr/>
        <w:t>most</w:t>
      </w:r>
      <w:r>
        <w:rPr>
          <w:spacing w:val="-8"/>
        </w:rPr>
        <w:t> </w:t>
      </w:r>
      <w:r>
        <w:rPr/>
        <w:t>urbanized</w:t>
      </w:r>
      <w:r>
        <w:rPr>
          <w:spacing w:val="-8"/>
        </w:rPr>
        <w:t> </w:t>
      </w:r>
      <w:r>
        <w:rPr/>
        <w:t>belt</w:t>
      </w:r>
      <w:r>
        <w:rPr>
          <w:spacing w:val="-8"/>
        </w:rPr>
        <w:t> </w:t>
      </w:r>
      <w:r>
        <w:rPr/>
        <w:t>stretches</w:t>
      </w:r>
      <w:r>
        <w:rPr>
          <w:spacing w:val="-8"/>
        </w:rPr>
        <w:t> </w:t>
      </w:r>
      <w:r>
        <w:rPr/>
        <w:t>from</w:t>
      </w:r>
      <w:r>
        <w:rPr>
          <w:spacing w:val="-8"/>
        </w:rPr>
        <w:t> </w:t>
      </w:r>
      <w:r>
        <w:rPr/>
        <w:t>the</w:t>
      </w:r>
      <w:r>
        <w:rPr>
          <w:spacing w:val="-8"/>
        </w:rPr>
        <w:t> </w:t>
      </w:r>
      <w:r>
        <w:rPr/>
        <w:t>southern</w:t>
      </w:r>
      <w:r>
        <w:rPr>
          <w:spacing w:val="-8"/>
        </w:rPr>
        <w:t> </w:t>
      </w:r>
      <w:r>
        <w:rPr/>
        <w:t>part</w:t>
      </w:r>
      <w:r>
        <w:rPr>
          <w:spacing w:val="-8"/>
        </w:rPr>
        <w:t> </w:t>
      </w:r>
      <w:r>
        <w:rPr/>
        <w:t>of the AU Piracicaba area to RM Campinas, AU Jundiai, RM Sao Paulo, and RM Baixada Santista. A second belt of strongly urbanized municipalities stretches east from Sao Paulo through the Paraiba Valley to Rio de Janeiro, and further northeast along the Atlantic</w:t>
      </w:r>
      <w:r>
        <w:rPr>
          <w:spacing w:val="20"/>
        </w:rPr>
        <w:t> </w:t>
      </w:r>
      <w:r>
        <w:rPr/>
        <w:t>coast.</w:t>
      </w:r>
      <w:r>
        <w:rPr>
          <w:spacing w:val="20"/>
        </w:rPr>
        <w:t> </w:t>
      </w:r>
      <w:r>
        <w:rPr/>
        <w:t>The</w:t>
      </w:r>
      <w:r>
        <w:rPr>
          <w:spacing w:val="20"/>
        </w:rPr>
        <w:t> </w:t>
      </w:r>
      <w:r>
        <w:rPr/>
        <w:t>studied</w:t>
      </w:r>
      <w:r>
        <w:rPr>
          <w:spacing w:val="20"/>
        </w:rPr>
        <w:t> </w:t>
      </w:r>
      <w:r>
        <w:rPr/>
        <w:t>megalopolis</w:t>
      </w:r>
      <w:r>
        <w:rPr>
          <w:spacing w:val="20"/>
        </w:rPr>
        <w:t> </w:t>
      </w:r>
      <w:r>
        <w:rPr/>
        <w:t>also</w:t>
      </w:r>
      <w:r>
        <w:rPr>
          <w:spacing w:val="20"/>
        </w:rPr>
        <w:t> </w:t>
      </w:r>
      <w:r>
        <w:rPr/>
        <w:t>includes</w:t>
      </w:r>
      <w:r>
        <w:rPr>
          <w:spacing w:val="20"/>
        </w:rPr>
        <w:t> </w:t>
      </w:r>
      <w:r>
        <w:rPr/>
        <w:t>four</w:t>
      </w:r>
      <w:r>
        <w:rPr>
          <w:spacing w:val="20"/>
        </w:rPr>
        <w:t> </w:t>
      </w:r>
      <w:r>
        <w:rPr/>
        <w:t>relatively</w:t>
      </w:r>
      <w:r>
        <w:rPr>
          <w:spacing w:val="20"/>
        </w:rPr>
        <w:t> </w:t>
      </w:r>
      <w:r>
        <w:rPr/>
        <w:t>non-urban</w:t>
      </w:r>
      <w:r>
        <w:rPr>
          <w:spacing w:val="20"/>
        </w:rPr>
        <w:t> </w:t>
      </w:r>
      <w:r>
        <w:rPr/>
        <w:t>areas:</w:t>
      </w:r>
    </w:p>
    <w:p>
      <w:pPr>
        <w:pStyle w:val="ListParagraph"/>
        <w:numPr>
          <w:ilvl w:val="0"/>
          <w:numId w:val="85"/>
        </w:numPr>
        <w:tabs>
          <w:tab w:pos="434" w:val="left" w:leader="none"/>
        </w:tabs>
        <w:spacing w:line="249" w:lineRule="auto" w:before="1" w:after="0"/>
        <w:ind w:left="138" w:right="21" w:firstLine="0"/>
        <w:jc w:val="both"/>
        <w:rPr>
          <w:sz w:val="20"/>
        </w:rPr>
      </w:pPr>
      <w:r>
        <w:rPr>
          <w:sz w:val="20"/>
        </w:rPr>
        <w:t>southern areas of RM Sorocaba, (2) central part of RM Vale do Paraiba e Litoral Norte, (3) northeastern part of the Serrana Region in the state of Rio de Janeiro, (4) northern part of the Norte Fluminense Region in the state of Rio de Janeiro (Fig.</w:t>
      </w:r>
      <w:r>
        <w:rPr>
          <w:spacing w:val="4"/>
          <w:sz w:val="20"/>
        </w:rPr>
        <w:t> </w:t>
      </w:r>
      <w:r>
        <w:rPr>
          <w:sz w:val="20"/>
        </w:rPr>
        <w:t>5).</w:t>
      </w:r>
    </w:p>
    <w:p>
      <w:pPr>
        <w:spacing w:before="80"/>
        <w:ind w:left="0" w:right="0" w:firstLine="0"/>
        <w:jc w:val="center"/>
        <w:rPr>
          <w:sz w:val="16"/>
        </w:rPr>
      </w:pPr>
      <w:r>
        <w:rPr/>
        <w:br w:type="column"/>
      </w:r>
      <w:r>
        <w:rPr>
          <w:color w:val="6D6E71"/>
          <w:sz w:val="16"/>
        </w:rPr>
        <w:t>Fig. 5. Level of urbanization in municipalities of the Brazilian Megalopolis in the year 2000</w:t>
      </w:r>
    </w:p>
    <w:p>
      <w:pPr>
        <w:pStyle w:val="BodyText"/>
        <w:spacing w:before="4"/>
        <w:rPr>
          <w:sz w:val="15"/>
        </w:rPr>
      </w:pPr>
      <w:r>
        <w:rPr/>
        <w:drawing>
          <wp:anchor distT="0" distB="0" distL="0" distR="0" allowOverlap="1" layoutInCell="1" locked="0" behindDoc="0" simplePos="0" relativeHeight="20152">
            <wp:simplePos x="0" y="0"/>
            <wp:positionH relativeFrom="page">
              <wp:posOffset>6507431</wp:posOffset>
            </wp:positionH>
            <wp:positionV relativeFrom="paragraph">
              <wp:posOffset>136985</wp:posOffset>
            </wp:positionV>
            <wp:extent cx="4886325" cy="3257550"/>
            <wp:effectExtent l="0" t="0" r="0" b="0"/>
            <wp:wrapTopAndBottom/>
            <wp:docPr id="223" name="image162.jpeg" descr=""/>
            <wp:cNvGraphicFramePr>
              <a:graphicFrameLocks noChangeAspect="1"/>
            </wp:cNvGraphicFramePr>
            <a:graphic>
              <a:graphicData uri="http://schemas.openxmlformats.org/drawingml/2006/picture">
                <pic:pic>
                  <pic:nvPicPr>
                    <pic:cNvPr id="224" name="image162.jpeg"/>
                    <pic:cNvPicPr/>
                  </pic:nvPicPr>
                  <pic:blipFill>
                    <a:blip r:embed="rId548" cstate="print"/>
                    <a:stretch>
                      <a:fillRect/>
                    </a:stretch>
                  </pic:blipFill>
                  <pic:spPr>
                    <a:xfrm>
                      <a:off x="0" y="0"/>
                      <a:ext cx="4886325" cy="3257550"/>
                    </a:xfrm>
                    <a:prstGeom prst="rect">
                      <a:avLst/>
                    </a:prstGeom>
                  </pic:spPr>
                </pic:pic>
              </a:graphicData>
            </a:graphic>
          </wp:anchor>
        </w:drawing>
      </w:r>
    </w:p>
    <w:p>
      <w:pPr>
        <w:pStyle w:val="BodyText"/>
        <w:spacing w:before="5"/>
        <w:rPr>
          <w:sz w:val="17"/>
        </w:rPr>
      </w:pPr>
    </w:p>
    <w:p>
      <w:pPr>
        <w:spacing w:before="1"/>
        <w:ind w:left="0" w:right="0" w:firstLine="0"/>
        <w:jc w:val="center"/>
        <w:rPr>
          <w:sz w:val="16"/>
        </w:rPr>
      </w:pPr>
      <w:r>
        <w:rPr>
          <w:color w:val="6D6E71"/>
          <w:sz w:val="16"/>
        </w:rPr>
        <w:t>Source: prepared by the author on the basis of data from IBGE.</w:t>
      </w:r>
    </w:p>
    <w:p>
      <w:pPr>
        <w:pStyle w:val="BodyText"/>
        <w:spacing w:before="5"/>
        <w:rPr>
          <w:sz w:val="22"/>
        </w:rPr>
      </w:pPr>
    </w:p>
    <w:p>
      <w:pPr>
        <w:pStyle w:val="BodyText"/>
        <w:spacing w:line="249" w:lineRule="auto"/>
        <w:ind w:left="129" w:right="127" w:firstLine="170"/>
        <w:jc w:val="both"/>
      </w:pPr>
      <w:r>
        <w:rPr/>
        <w:t>It is also worth noting that poorly urbanized areas were characterized by relatively low rates of population growth in the study period. Certain municipalities in such areas actually experienced depopulation: Cantagalo and Santa Maria Magdalena in the northeastern part of the Serrana Region, as seen by comparing Figures 3 and</w:t>
      </w:r>
      <w:r>
        <w:rPr>
          <w:spacing w:val="22"/>
        </w:rPr>
        <w:t> </w:t>
      </w:r>
      <w:r>
        <w:rPr/>
        <w:t>4.</w:t>
      </w:r>
    </w:p>
    <w:p>
      <w:pPr>
        <w:pStyle w:val="BodyText"/>
      </w:pPr>
    </w:p>
    <w:p>
      <w:pPr>
        <w:pStyle w:val="BodyText"/>
        <w:spacing w:before="6"/>
        <w:rPr>
          <w:sz w:val="18"/>
        </w:rPr>
      </w:pPr>
    </w:p>
    <w:p>
      <w:pPr>
        <w:pStyle w:val="Heading1"/>
        <w:ind w:left="299"/>
      </w:pPr>
      <w:r>
        <w:rPr/>
        <w:t>Economic importance of the Brazilian Megalopolis</w:t>
      </w:r>
    </w:p>
    <w:p>
      <w:pPr>
        <w:pStyle w:val="BodyText"/>
        <w:rPr>
          <w:b/>
          <w:sz w:val="21"/>
        </w:rPr>
      </w:pPr>
    </w:p>
    <w:p>
      <w:pPr>
        <w:pStyle w:val="BodyText"/>
        <w:spacing w:line="249" w:lineRule="auto"/>
        <w:ind w:left="129" w:right="127" w:firstLine="170"/>
        <w:jc w:val="both"/>
      </w:pPr>
      <w:r>
        <w:rPr/>
        <w:t>In addition to concentrating population across an expansive region, a megalopolis also strongly concentrates economic activity, especially in the industrial sector and    the consumer services sector (Gottmann 1957; Vicino et al. 2007). In the case of the Brazilian Megalopolis, the two largest metropolitan areas in the country play the role    of main economic centers – Sao Paulo and Rio de Janeiro. The former is a cradle of Brazilian</w:t>
      </w:r>
      <w:r>
        <w:rPr>
          <w:spacing w:val="-10"/>
        </w:rPr>
        <w:t> </w:t>
      </w:r>
      <w:r>
        <w:rPr/>
        <w:t>industry</w:t>
      </w:r>
      <w:r>
        <w:rPr>
          <w:spacing w:val="-10"/>
        </w:rPr>
        <w:t> </w:t>
      </w:r>
      <w:r>
        <w:rPr/>
        <w:t>(Santos</w:t>
      </w:r>
      <w:r>
        <w:rPr>
          <w:spacing w:val="-10"/>
        </w:rPr>
        <w:t> </w:t>
      </w:r>
      <w:r>
        <w:rPr/>
        <w:t>1996;</w:t>
      </w:r>
      <w:r>
        <w:rPr>
          <w:spacing w:val="-10"/>
        </w:rPr>
        <w:t> </w:t>
      </w:r>
      <w:r>
        <w:rPr/>
        <w:t>Godfrey</w:t>
      </w:r>
      <w:r>
        <w:rPr>
          <w:spacing w:val="-10"/>
        </w:rPr>
        <w:t> </w:t>
      </w:r>
      <w:r>
        <w:rPr/>
        <w:t>1999;</w:t>
      </w:r>
      <w:r>
        <w:rPr>
          <w:spacing w:val="-10"/>
        </w:rPr>
        <w:t> </w:t>
      </w:r>
      <w:r>
        <w:rPr/>
        <w:t>Deák,</w:t>
      </w:r>
      <w:r>
        <w:rPr>
          <w:spacing w:val="-10"/>
        </w:rPr>
        <w:t> </w:t>
      </w:r>
      <w:r>
        <w:rPr/>
        <w:t>Schiffer</w:t>
      </w:r>
      <w:r>
        <w:rPr>
          <w:spacing w:val="-10"/>
        </w:rPr>
        <w:t> </w:t>
      </w:r>
      <w:r>
        <w:rPr/>
        <w:t>2007),</w:t>
      </w:r>
      <w:r>
        <w:rPr>
          <w:spacing w:val="-10"/>
        </w:rPr>
        <w:t> </w:t>
      </w:r>
      <w:r>
        <w:rPr/>
        <w:t>while</w:t>
      </w:r>
      <w:r>
        <w:rPr>
          <w:spacing w:val="-10"/>
        </w:rPr>
        <w:t> </w:t>
      </w:r>
      <w:r>
        <w:rPr/>
        <w:t>the</w:t>
      </w:r>
      <w:r>
        <w:rPr>
          <w:spacing w:val="-10"/>
        </w:rPr>
        <w:t> </w:t>
      </w:r>
      <w:r>
        <w:rPr/>
        <w:t>latter</w:t>
      </w:r>
      <w:r>
        <w:rPr>
          <w:spacing w:val="-10"/>
        </w:rPr>
        <w:t> </w:t>
      </w:r>
      <w:r>
        <w:rPr/>
        <w:t>had served</w:t>
      </w:r>
      <w:r>
        <w:rPr>
          <w:spacing w:val="20"/>
        </w:rPr>
        <w:t> </w:t>
      </w:r>
      <w:r>
        <w:rPr/>
        <w:t>as</w:t>
      </w:r>
      <w:r>
        <w:rPr>
          <w:spacing w:val="20"/>
        </w:rPr>
        <w:t> </w:t>
      </w:r>
      <w:r>
        <w:rPr/>
        <w:t>the</w:t>
      </w:r>
      <w:r>
        <w:rPr>
          <w:spacing w:val="20"/>
        </w:rPr>
        <w:t> </w:t>
      </w:r>
      <w:r>
        <w:rPr/>
        <w:t>nation’s</w:t>
      </w:r>
      <w:r>
        <w:rPr>
          <w:spacing w:val="20"/>
        </w:rPr>
        <w:t> </w:t>
      </w:r>
      <w:r>
        <w:rPr/>
        <w:t>capital</w:t>
      </w:r>
      <w:r>
        <w:rPr>
          <w:spacing w:val="20"/>
        </w:rPr>
        <w:t> </w:t>
      </w:r>
      <w:r>
        <w:rPr/>
        <w:t>until</w:t>
      </w:r>
      <w:r>
        <w:rPr>
          <w:spacing w:val="20"/>
        </w:rPr>
        <w:t> </w:t>
      </w:r>
      <w:r>
        <w:rPr/>
        <w:t>1960,</w:t>
      </w:r>
      <w:r>
        <w:rPr>
          <w:spacing w:val="20"/>
        </w:rPr>
        <w:t> </w:t>
      </w:r>
      <w:r>
        <w:rPr/>
        <w:t>and</w:t>
      </w:r>
      <w:r>
        <w:rPr>
          <w:spacing w:val="20"/>
        </w:rPr>
        <w:t> </w:t>
      </w:r>
      <w:r>
        <w:rPr/>
        <w:t>tended</w:t>
      </w:r>
      <w:r>
        <w:rPr>
          <w:spacing w:val="20"/>
        </w:rPr>
        <w:t> </w:t>
      </w:r>
      <w:r>
        <w:rPr/>
        <w:t>to</w:t>
      </w:r>
      <w:r>
        <w:rPr>
          <w:spacing w:val="20"/>
        </w:rPr>
        <w:t> </w:t>
      </w:r>
      <w:r>
        <w:rPr/>
        <w:t>develop</w:t>
      </w:r>
      <w:r>
        <w:rPr>
          <w:spacing w:val="20"/>
        </w:rPr>
        <w:t> </w:t>
      </w:r>
      <w:r>
        <w:rPr/>
        <w:t>as</w:t>
      </w:r>
      <w:r>
        <w:rPr>
          <w:spacing w:val="20"/>
        </w:rPr>
        <w:t> </w:t>
      </w:r>
      <w:r>
        <w:rPr/>
        <w:t>an</w:t>
      </w:r>
      <w:r>
        <w:rPr>
          <w:spacing w:val="20"/>
        </w:rPr>
        <w:t> </w:t>
      </w:r>
      <w:r>
        <w:rPr/>
        <w:t>administration</w:t>
      </w:r>
    </w:p>
    <w:p>
      <w:pPr>
        <w:spacing w:after="0" w:line="249" w:lineRule="auto"/>
        <w:jc w:val="both"/>
        <w:sectPr>
          <w:type w:val="continuous"/>
          <w:pgSz w:w="18830" w:h="12760" w:orient="landscape"/>
          <w:pgMar w:top="1420" w:bottom="280" w:left="700" w:right="720"/>
          <w:cols w:num="2" w:equalWidth="0">
            <w:col w:w="7872" w:space="1560"/>
            <w:col w:w="7978"/>
          </w:cols>
        </w:sectPr>
      </w:pPr>
    </w:p>
    <w:p>
      <w:pPr>
        <w:pStyle w:val="BodyText"/>
        <w:spacing w:before="6"/>
        <w:rPr>
          <w:sz w:val="23"/>
        </w:rPr>
      </w:pPr>
    </w:p>
    <w:p>
      <w:pPr>
        <w:spacing w:after="0"/>
        <w:rPr>
          <w:sz w:val="23"/>
        </w:rPr>
        <w:sectPr>
          <w:footerReference w:type="default" r:id="rId549"/>
          <w:pgSz w:w="18830" w:h="12760" w:orient="landscape"/>
          <w:pgMar w:footer="1036" w:header="522" w:top="820" w:bottom="1220" w:left="720" w:right="720"/>
        </w:sectPr>
      </w:pPr>
    </w:p>
    <w:p>
      <w:pPr>
        <w:pStyle w:val="BodyText"/>
        <w:spacing w:line="249" w:lineRule="auto" w:before="76"/>
        <w:ind w:left="118"/>
        <w:jc w:val="both"/>
      </w:pPr>
      <w:r>
        <w:rPr/>
        <w:t>and services center featuring a large number of banks, other key financial institutions, media outlets, and advertising agencies (Glibert 1995; Tolosa 1996; Queiroz Ribeiro, Telles 2000).</w:t>
      </w:r>
    </w:p>
    <w:p>
      <w:pPr>
        <w:pStyle w:val="BodyText"/>
        <w:spacing w:before="11"/>
      </w:pPr>
    </w:p>
    <w:p>
      <w:pPr>
        <w:pStyle w:val="BodyText"/>
        <w:spacing w:line="249" w:lineRule="auto"/>
        <w:ind w:left="118" w:firstLine="170"/>
        <w:jc w:val="both"/>
      </w:pPr>
      <w:r>
        <w:rPr/>
        <w:t>Both main metropolitan areas have grown in terms of the economy and population in recent decades, but have also experienced population deconcentration and industrial deconcentration in the direction of distant suburban areas. The process of globalization is slowly transforming both cities into global cities focused primarily on “control and command” functions (Queiroz Ribeiro, Telles 2000; Schiffer 2002; Bernardes</w:t>
      </w:r>
      <w:r>
        <w:rPr>
          <w:spacing w:val="40"/>
        </w:rPr>
        <w:t> </w:t>
      </w:r>
      <w:r>
        <w:rPr/>
        <w:t>da</w:t>
      </w:r>
      <w:r>
        <w:rPr>
          <w:spacing w:val="10"/>
        </w:rPr>
        <w:t> </w:t>
      </w:r>
      <w:r>
        <w:rPr/>
        <w:t>Silva,</w:t>
      </w:r>
      <w:r>
        <w:rPr>
          <w:w w:val="98"/>
        </w:rPr>
        <w:t> </w:t>
      </w:r>
      <w:r>
        <w:rPr/>
        <w:t>Castillo 2007). Restructuring and modernization of old industrial facilities frequently resulted in their liquidation and shift to neighboring metropolitan areas. This further    led to economic and population growth in these areas, while the Sao Paulo and Rio    de Janeiro metropolitan areas gradually became dominated by the advanced services sector and the government sector (Rodriguez-Poze, Tomaney, Klink, 2001; Tolosa 2003; Campolina Diniz, Campolina 2007; Consoni Rossi, Taylor</w:t>
      </w:r>
      <w:r>
        <w:rPr>
          <w:spacing w:val="-14"/>
        </w:rPr>
        <w:t> </w:t>
      </w:r>
      <w:r>
        <w:rPr/>
        <w:t>2007).</w:t>
      </w:r>
    </w:p>
    <w:p>
      <w:pPr>
        <w:pStyle w:val="BodyText"/>
        <w:spacing w:before="11"/>
      </w:pPr>
    </w:p>
    <w:p>
      <w:pPr>
        <w:pStyle w:val="BodyText"/>
        <w:spacing w:line="249" w:lineRule="auto"/>
        <w:ind w:left="118" w:firstLine="170"/>
        <w:jc w:val="both"/>
      </w:pPr>
      <w:r>
        <w:rPr/>
        <w:t>The ongoing social and economic development of the Brazilian Megalopolis makes   it an important part of the country’s economy. By the year 2011, the region produced close to 38% of Brazil’s GDP, with nearly half the region’s GDP being produced by the metropolitan area of Sao Paulo (18.3% of Brazil’s GDP). The economic significance of the second largest metropolitan area – Rio de Janeiro – was much smaller at 7.3% of Brazil’s GDP. The third key GDP producer in the Megalopolis was RM Campinas with about 2.5% of Brazil’s GDP (Tab.</w:t>
      </w:r>
      <w:r>
        <w:rPr>
          <w:spacing w:val="-13"/>
        </w:rPr>
        <w:t> </w:t>
      </w:r>
      <w:r>
        <w:rPr/>
        <w:t>2).</w:t>
      </w:r>
    </w:p>
    <w:p>
      <w:pPr>
        <w:pStyle w:val="BodyText"/>
        <w:spacing w:before="2"/>
        <w:rPr>
          <w:sz w:val="24"/>
        </w:rPr>
      </w:pPr>
    </w:p>
    <w:p>
      <w:pPr>
        <w:spacing w:before="0"/>
        <w:ind w:left="880" w:right="0" w:firstLine="0"/>
        <w:jc w:val="left"/>
        <w:rPr>
          <w:sz w:val="16"/>
        </w:rPr>
      </w:pPr>
      <w:r>
        <w:rPr/>
        <w:pict>
          <v:shape style="position:absolute;margin-left:41.932999pt;margin-top:14.338293pt;width:386.15pt;height:161.450pt;mso-position-horizontal-relative:page;mso-position-vertical-relative:paragraph;z-index:20176" type="#_x0000_t202" filled="false" stroked="false">
            <v:textbox inset="0,0,0,0">
              <w:txbxContent>
                <w:tbl>
                  <w:tblPr>
                    <w:tblW w:w="0" w:type="auto"/>
                    <w:jc w:val="left"/>
                    <w:tblBorders>
                      <w:top w:val="dotted" w:sz="4" w:space="0" w:color="929292"/>
                      <w:left w:val="dotted" w:sz="4" w:space="0" w:color="929292"/>
                      <w:bottom w:val="dotted" w:sz="4" w:space="0" w:color="929292"/>
                      <w:right w:val="dotted" w:sz="4" w:space="0" w:color="929292"/>
                      <w:insideH w:val="dotted" w:sz="4" w:space="0" w:color="929292"/>
                      <w:insideV w:val="dotted" w:sz="4" w:space="0" w:color="929292"/>
                    </w:tblBorders>
                    <w:tblLayout w:type="fixed"/>
                    <w:tblCellMar>
                      <w:top w:w="0" w:type="dxa"/>
                      <w:left w:w="0" w:type="dxa"/>
                      <w:bottom w:w="0" w:type="dxa"/>
                      <w:right w:w="0" w:type="dxa"/>
                    </w:tblCellMar>
                    <w:tblLook w:val="01E0"/>
                  </w:tblPr>
                  <w:tblGrid>
                    <w:gridCol w:w="3403"/>
                    <w:gridCol w:w="1333"/>
                    <w:gridCol w:w="1842"/>
                    <w:gridCol w:w="1134"/>
                  </w:tblGrid>
                  <w:tr>
                    <w:trPr>
                      <w:trHeight w:val="250" w:hRule="exact"/>
                    </w:trPr>
                    <w:tc>
                      <w:tcPr>
                        <w:tcW w:w="3403" w:type="dxa"/>
                        <w:vMerge w:val="restart"/>
                        <w:tcBorders>
                          <w:top w:val="nil"/>
                          <w:left w:val="nil"/>
                          <w:right w:val="dotted" w:sz="4" w:space="0" w:color="FFFFFF"/>
                        </w:tcBorders>
                        <w:shd w:val="clear" w:color="auto" w:fill="929292"/>
                      </w:tcPr>
                      <w:p>
                        <w:pPr>
                          <w:pStyle w:val="TableParagraph"/>
                          <w:spacing w:before="5"/>
                          <w:rPr>
                            <w:sz w:val="16"/>
                          </w:rPr>
                        </w:pPr>
                      </w:p>
                      <w:p>
                        <w:pPr>
                          <w:pStyle w:val="TableParagraph"/>
                          <w:ind w:left="107"/>
                          <w:rPr>
                            <w:sz w:val="16"/>
                          </w:rPr>
                        </w:pPr>
                        <w:r>
                          <w:rPr>
                            <w:sz w:val="16"/>
                          </w:rPr>
                          <w:t>Regions of the Megalopolis</w:t>
                        </w:r>
                      </w:p>
                    </w:tc>
                    <w:tc>
                      <w:tcPr>
                        <w:tcW w:w="4309" w:type="dxa"/>
                        <w:gridSpan w:val="3"/>
                        <w:tcBorders>
                          <w:top w:val="nil"/>
                          <w:left w:val="dotted" w:sz="4" w:space="0" w:color="FFFFFF"/>
                          <w:bottom w:val="nil"/>
                          <w:right w:val="nil"/>
                        </w:tcBorders>
                        <w:shd w:val="clear" w:color="auto" w:fill="929292"/>
                      </w:tcPr>
                      <w:p>
                        <w:pPr>
                          <w:pStyle w:val="TableParagraph"/>
                          <w:spacing w:line="148" w:lineRule="exact"/>
                          <w:ind w:left="103"/>
                          <w:rPr>
                            <w:sz w:val="16"/>
                          </w:rPr>
                        </w:pPr>
                        <w:r>
                          <w:rPr>
                            <w:sz w:val="16"/>
                          </w:rPr>
                          <w:t>GDP in 2011</w:t>
                        </w:r>
                      </w:p>
                    </w:tc>
                  </w:tr>
                  <w:tr>
                    <w:trPr>
                      <w:trHeight w:val="319" w:hRule="exact"/>
                    </w:trPr>
                    <w:tc>
                      <w:tcPr>
                        <w:tcW w:w="3403" w:type="dxa"/>
                        <w:vMerge/>
                        <w:tcBorders>
                          <w:left w:val="nil"/>
                          <w:bottom w:val="dotted" w:sz="4" w:space="0" w:color="FFFFFF"/>
                          <w:right w:val="dotted" w:sz="4" w:space="0" w:color="FFFFFF"/>
                        </w:tcBorders>
                        <w:shd w:val="clear" w:color="auto" w:fill="929292"/>
                      </w:tcPr>
                      <w:p>
                        <w:pPr/>
                      </w:p>
                    </w:tc>
                    <w:tc>
                      <w:tcPr>
                        <w:tcW w:w="1333" w:type="dxa"/>
                        <w:tcBorders>
                          <w:top w:val="nil"/>
                          <w:bottom w:val="dotted" w:sz="4" w:space="0" w:color="FFFFFF"/>
                        </w:tcBorders>
                      </w:tcPr>
                      <w:p>
                        <w:pPr>
                          <w:pStyle w:val="TableParagraph"/>
                          <w:spacing w:line="148" w:lineRule="exact"/>
                          <w:ind w:left="103"/>
                          <w:rPr>
                            <w:sz w:val="16"/>
                          </w:rPr>
                        </w:pPr>
                        <w:r>
                          <w:rPr>
                            <w:sz w:val="16"/>
                          </w:rPr>
                          <w:t>in mln reais</w:t>
                        </w:r>
                      </w:p>
                      <w:p>
                        <w:pPr>
                          <w:pStyle w:val="TableParagraph"/>
                          <w:tabs>
                            <w:tab w:pos="1313" w:val="left" w:leader="none"/>
                          </w:tabs>
                          <w:spacing w:before="16"/>
                          <w:ind w:left="25"/>
                          <w:rPr>
                            <w:sz w:val="16"/>
                          </w:rPr>
                        </w:pPr>
                        <w:r>
                          <w:rPr>
                            <w:w w:val="100"/>
                            <w:sz w:val="16"/>
                            <w:u w:val="dotted" w:color="929292"/>
                          </w:rPr>
                          <w:t> </w:t>
                        </w:r>
                        <w:r>
                          <w:rPr>
                            <w:sz w:val="16"/>
                            <w:u w:val="dotted" w:color="929292"/>
                          </w:rPr>
                          <w:tab/>
                        </w:r>
                      </w:p>
                    </w:tc>
                    <w:tc>
                      <w:tcPr>
                        <w:tcW w:w="1842" w:type="dxa"/>
                        <w:tcBorders>
                          <w:top w:val="nil"/>
                          <w:bottom w:val="dotted" w:sz="4" w:space="0" w:color="FFFFFF"/>
                        </w:tcBorders>
                      </w:tcPr>
                      <w:p>
                        <w:pPr>
                          <w:pStyle w:val="TableParagraph"/>
                          <w:spacing w:line="148" w:lineRule="exact"/>
                          <w:ind w:left="102"/>
                          <w:rPr>
                            <w:sz w:val="16"/>
                          </w:rPr>
                        </w:pPr>
                        <w:r>
                          <w:rPr>
                            <w:sz w:val="16"/>
                          </w:rPr>
                          <w:t>as a share of total</w:t>
                        </w:r>
                      </w:p>
                      <w:p>
                        <w:pPr>
                          <w:pStyle w:val="TableParagraph"/>
                          <w:tabs>
                            <w:tab w:pos="1821" w:val="left" w:leader="none"/>
                          </w:tabs>
                          <w:spacing w:before="16"/>
                          <w:ind w:left="25"/>
                          <w:rPr>
                            <w:sz w:val="16"/>
                          </w:rPr>
                        </w:pPr>
                        <w:r>
                          <w:rPr>
                            <w:w w:val="100"/>
                            <w:sz w:val="16"/>
                            <w:u w:val="dotted" w:color="929292"/>
                          </w:rPr>
                          <w:t> </w:t>
                        </w:r>
                        <w:r>
                          <w:rPr>
                            <w:spacing w:val="-12"/>
                            <w:sz w:val="16"/>
                            <w:u w:val="dotted" w:color="929292"/>
                          </w:rPr>
                          <w:t> </w:t>
                        </w:r>
                        <w:r>
                          <w:rPr>
                            <w:sz w:val="16"/>
                            <w:u w:val="dotted" w:color="929292"/>
                          </w:rPr>
                          <w:t>GDP (in</w:t>
                        </w:r>
                        <w:r>
                          <w:rPr>
                            <w:spacing w:val="-15"/>
                            <w:sz w:val="16"/>
                            <w:u w:val="dotted" w:color="929292"/>
                          </w:rPr>
                          <w:t> </w:t>
                        </w:r>
                        <w:r>
                          <w:rPr>
                            <w:sz w:val="16"/>
                            <w:u w:val="dotted" w:color="929292"/>
                          </w:rPr>
                          <w:t>%)</w:t>
                          <w:tab/>
                        </w:r>
                      </w:p>
                    </w:tc>
                    <w:tc>
                      <w:tcPr>
                        <w:tcW w:w="1134" w:type="dxa"/>
                        <w:tcBorders>
                          <w:top w:val="nil"/>
                          <w:bottom w:val="dotted" w:sz="4" w:space="0" w:color="FFFFFF"/>
                          <w:right w:val="nil"/>
                        </w:tcBorders>
                      </w:tcPr>
                      <w:p>
                        <w:pPr>
                          <w:pStyle w:val="TableParagraph"/>
                          <w:spacing w:line="148" w:lineRule="exact"/>
                          <w:ind w:left="103"/>
                          <w:rPr>
                            <w:sz w:val="16"/>
                          </w:rPr>
                        </w:pPr>
                        <w:r>
                          <w:rPr>
                            <w:sz w:val="16"/>
                          </w:rPr>
                          <w:t>per capita</w:t>
                        </w:r>
                      </w:p>
                      <w:p>
                        <w:pPr>
                          <w:pStyle w:val="TableParagraph"/>
                          <w:tabs>
                            <w:tab w:pos="1109" w:val="left" w:leader="none"/>
                          </w:tabs>
                          <w:spacing w:before="16"/>
                          <w:ind w:left="24"/>
                          <w:rPr>
                            <w:sz w:val="16"/>
                          </w:rPr>
                        </w:pPr>
                        <w:r>
                          <w:rPr>
                            <w:w w:val="100"/>
                            <w:sz w:val="16"/>
                            <w:u w:val="dotted" w:color="929292"/>
                          </w:rPr>
                          <w:t> </w:t>
                        </w:r>
                        <w:r>
                          <w:rPr>
                            <w:spacing w:val="-11"/>
                            <w:sz w:val="16"/>
                            <w:u w:val="dotted" w:color="929292"/>
                          </w:rPr>
                          <w:t> </w:t>
                        </w:r>
                        <w:r>
                          <w:rPr>
                            <w:w w:val="95"/>
                            <w:sz w:val="16"/>
                            <w:u w:val="dotted" w:color="929292"/>
                          </w:rPr>
                          <w:t>(in</w:t>
                        </w:r>
                        <w:r>
                          <w:rPr>
                            <w:spacing w:val="1"/>
                            <w:w w:val="95"/>
                            <w:sz w:val="16"/>
                            <w:u w:val="dotted" w:color="929292"/>
                          </w:rPr>
                          <w:t> </w:t>
                        </w:r>
                        <w:r>
                          <w:rPr>
                            <w:w w:val="95"/>
                            <w:sz w:val="16"/>
                            <w:u w:val="dotted" w:color="929292"/>
                          </w:rPr>
                          <w:t>reais)</w:t>
                        </w:r>
                        <w:r>
                          <w:rPr>
                            <w:sz w:val="16"/>
                            <w:u w:val="dotted" w:color="929292"/>
                          </w:rPr>
                          <w:tab/>
                        </w:r>
                      </w:p>
                    </w:tc>
                  </w:tr>
                  <w:tr>
                    <w:trPr>
                      <w:trHeight w:val="168" w:hRule="exact"/>
                    </w:trPr>
                    <w:tc>
                      <w:tcPr>
                        <w:tcW w:w="3403" w:type="dxa"/>
                        <w:tcBorders>
                          <w:left w:val="nil"/>
                          <w:bottom w:val="single" w:sz="4" w:space="0" w:color="929292"/>
                        </w:tcBorders>
                      </w:tcPr>
                      <w:p>
                        <w:pPr>
                          <w:pStyle w:val="TableParagraph"/>
                          <w:spacing w:line="148" w:lineRule="exact"/>
                          <w:ind w:left="107"/>
                          <w:rPr>
                            <w:sz w:val="16"/>
                          </w:rPr>
                        </w:pPr>
                        <w:r>
                          <w:rPr>
                            <w:sz w:val="16"/>
                          </w:rPr>
                          <w:t>RM São Paulo</w:t>
                        </w:r>
                      </w:p>
                    </w:tc>
                    <w:tc>
                      <w:tcPr>
                        <w:tcW w:w="1333" w:type="dxa"/>
                        <w:tcBorders>
                          <w:top w:val="dotted" w:sz="4" w:space="0" w:color="FFFFFF"/>
                          <w:bottom w:val="single" w:sz="4" w:space="0" w:color="929292"/>
                        </w:tcBorders>
                      </w:tcPr>
                      <w:p>
                        <w:pPr>
                          <w:pStyle w:val="TableParagraph"/>
                          <w:spacing w:line="148" w:lineRule="exact"/>
                          <w:ind w:left="103"/>
                          <w:rPr>
                            <w:sz w:val="16"/>
                          </w:rPr>
                        </w:pPr>
                        <w:r>
                          <w:rPr>
                            <w:sz w:val="16"/>
                          </w:rPr>
                          <w:t>759,936.7</w:t>
                        </w:r>
                      </w:p>
                    </w:tc>
                    <w:tc>
                      <w:tcPr>
                        <w:tcW w:w="1842" w:type="dxa"/>
                        <w:tcBorders>
                          <w:top w:val="dotted" w:sz="4" w:space="0" w:color="FFFFFF"/>
                          <w:bottom w:val="single" w:sz="4" w:space="0" w:color="929292"/>
                        </w:tcBorders>
                      </w:tcPr>
                      <w:p>
                        <w:pPr>
                          <w:pStyle w:val="TableParagraph"/>
                          <w:spacing w:line="148" w:lineRule="exact"/>
                          <w:ind w:left="102"/>
                          <w:rPr>
                            <w:sz w:val="16"/>
                          </w:rPr>
                        </w:pPr>
                        <w:r>
                          <w:rPr>
                            <w:sz w:val="16"/>
                          </w:rPr>
                          <w:t>18.3</w:t>
                        </w:r>
                      </w:p>
                    </w:tc>
                    <w:tc>
                      <w:tcPr>
                        <w:tcW w:w="1134" w:type="dxa"/>
                        <w:tcBorders>
                          <w:top w:val="dotted" w:sz="4" w:space="0" w:color="FFFFFF"/>
                          <w:bottom w:val="single" w:sz="4" w:space="0" w:color="929292"/>
                          <w:right w:val="nil"/>
                        </w:tcBorders>
                      </w:tcPr>
                      <w:p>
                        <w:pPr>
                          <w:pStyle w:val="TableParagraph"/>
                          <w:spacing w:line="148" w:lineRule="exact"/>
                          <w:ind w:left="103"/>
                          <w:rPr>
                            <w:sz w:val="16"/>
                          </w:rPr>
                        </w:pPr>
                        <w:r>
                          <w:rPr>
                            <w:sz w:val="16"/>
                          </w:rPr>
                          <w:t>38,607</w:t>
                        </w:r>
                      </w:p>
                    </w:tc>
                  </w:tr>
                  <w:tr>
                    <w:trPr>
                      <w:trHeight w:val="200" w:hRule="exact"/>
                    </w:trPr>
                    <w:tc>
                      <w:tcPr>
                        <w:tcW w:w="3403" w:type="dxa"/>
                        <w:tcBorders>
                          <w:top w:val="single" w:sz="4" w:space="0" w:color="929292"/>
                          <w:left w:val="nil"/>
                          <w:bottom w:val="single" w:sz="4" w:space="0" w:color="929292"/>
                        </w:tcBorders>
                      </w:tcPr>
                      <w:p>
                        <w:pPr>
                          <w:pStyle w:val="TableParagraph"/>
                          <w:spacing w:line="148" w:lineRule="exact"/>
                          <w:ind w:left="107"/>
                          <w:rPr>
                            <w:sz w:val="16"/>
                          </w:rPr>
                        </w:pPr>
                        <w:r>
                          <w:rPr>
                            <w:sz w:val="16"/>
                          </w:rPr>
                          <w:t>RM Campinas</w:t>
                        </w:r>
                      </w:p>
                    </w:tc>
                    <w:tc>
                      <w:tcPr>
                        <w:tcW w:w="1333" w:type="dxa"/>
                        <w:tcBorders>
                          <w:top w:val="single" w:sz="4" w:space="0" w:color="929292"/>
                          <w:bottom w:val="single" w:sz="4" w:space="0" w:color="929292"/>
                        </w:tcBorders>
                      </w:tcPr>
                      <w:p>
                        <w:pPr>
                          <w:pStyle w:val="TableParagraph"/>
                          <w:spacing w:line="148" w:lineRule="exact"/>
                          <w:ind w:left="103"/>
                          <w:rPr>
                            <w:sz w:val="16"/>
                          </w:rPr>
                        </w:pPr>
                        <w:r>
                          <w:rPr>
                            <w:sz w:val="16"/>
                          </w:rPr>
                          <w:t>105,611.1</w:t>
                        </w:r>
                      </w:p>
                    </w:tc>
                    <w:tc>
                      <w:tcPr>
                        <w:tcW w:w="1842" w:type="dxa"/>
                        <w:tcBorders>
                          <w:top w:val="single" w:sz="4" w:space="0" w:color="929292"/>
                          <w:bottom w:val="single" w:sz="4" w:space="0" w:color="929292"/>
                        </w:tcBorders>
                      </w:tcPr>
                      <w:p>
                        <w:pPr>
                          <w:pStyle w:val="TableParagraph"/>
                          <w:spacing w:line="148" w:lineRule="exact"/>
                          <w:ind w:left="102"/>
                          <w:rPr>
                            <w:sz w:val="16"/>
                          </w:rPr>
                        </w:pPr>
                        <w:r>
                          <w:rPr>
                            <w:sz w:val="16"/>
                          </w:rPr>
                          <w:t>2.5</w:t>
                        </w:r>
                      </w:p>
                    </w:tc>
                    <w:tc>
                      <w:tcPr>
                        <w:tcW w:w="1134" w:type="dxa"/>
                        <w:tcBorders>
                          <w:top w:val="single" w:sz="4" w:space="0" w:color="929292"/>
                          <w:bottom w:val="single" w:sz="4" w:space="0" w:color="929292"/>
                          <w:right w:val="nil"/>
                        </w:tcBorders>
                      </w:tcPr>
                      <w:p>
                        <w:pPr>
                          <w:pStyle w:val="TableParagraph"/>
                          <w:spacing w:line="148" w:lineRule="exact"/>
                          <w:ind w:left="103"/>
                          <w:rPr>
                            <w:sz w:val="16"/>
                          </w:rPr>
                        </w:pPr>
                        <w:r>
                          <w:rPr>
                            <w:sz w:val="16"/>
                          </w:rPr>
                          <w:t>37,599</w:t>
                        </w:r>
                      </w:p>
                    </w:tc>
                  </w:tr>
                  <w:tr>
                    <w:trPr>
                      <w:trHeight w:val="136" w:hRule="exact"/>
                    </w:trPr>
                    <w:tc>
                      <w:tcPr>
                        <w:tcW w:w="3403" w:type="dxa"/>
                        <w:tcBorders>
                          <w:top w:val="single" w:sz="4" w:space="0" w:color="929292"/>
                          <w:left w:val="nil"/>
                          <w:bottom w:val="single" w:sz="4" w:space="0" w:color="FFFFFF"/>
                        </w:tcBorders>
                      </w:tcPr>
                      <w:p>
                        <w:pPr>
                          <w:pStyle w:val="TableParagraph"/>
                          <w:tabs>
                            <w:tab w:pos="3387" w:val="left" w:leader="none"/>
                          </w:tabs>
                          <w:spacing w:line="148" w:lineRule="exact"/>
                          <w:ind w:left="35"/>
                          <w:rPr>
                            <w:sz w:val="16"/>
                          </w:rPr>
                        </w:pPr>
                        <w:r>
                          <w:rPr>
                            <w:w w:val="100"/>
                            <w:sz w:val="16"/>
                            <w:u w:val="dotted" w:color="929292"/>
                          </w:rPr>
                          <w:t> </w:t>
                        </w:r>
                        <w:r>
                          <w:rPr>
                            <w:spacing w:val="-16"/>
                            <w:sz w:val="16"/>
                            <w:u w:val="dotted" w:color="929292"/>
                          </w:rPr>
                          <w:t> </w:t>
                        </w:r>
                        <w:r>
                          <w:rPr>
                            <w:sz w:val="16"/>
                            <w:u w:val="dotted" w:color="929292"/>
                          </w:rPr>
                          <w:t>RM Vale do Paraiba e Litoral</w:t>
                        </w:r>
                        <w:r>
                          <w:rPr>
                            <w:spacing w:val="-5"/>
                            <w:sz w:val="16"/>
                            <w:u w:val="dotted" w:color="929292"/>
                          </w:rPr>
                          <w:t> </w:t>
                        </w:r>
                        <w:r>
                          <w:rPr>
                            <w:sz w:val="16"/>
                            <w:u w:val="dotted" w:color="929292"/>
                          </w:rPr>
                          <w:t>Norte</w:t>
                          <w:tab/>
                        </w:r>
                      </w:p>
                    </w:tc>
                    <w:tc>
                      <w:tcPr>
                        <w:tcW w:w="1333" w:type="dxa"/>
                        <w:tcBorders>
                          <w:top w:val="single" w:sz="4" w:space="0" w:color="929292"/>
                          <w:bottom w:val="single" w:sz="4" w:space="0" w:color="FFFFFF"/>
                        </w:tcBorders>
                      </w:tcPr>
                      <w:p>
                        <w:pPr>
                          <w:pStyle w:val="TableParagraph"/>
                          <w:tabs>
                            <w:tab w:pos="1313"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63,154.5</w:t>
                          <w:tab/>
                        </w:r>
                      </w:p>
                    </w:tc>
                    <w:tc>
                      <w:tcPr>
                        <w:tcW w:w="1842" w:type="dxa"/>
                        <w:tcBorders>
                          <w:top w:val="single" w:sz="4" w:space="0" w:color="929292"/>
                          <w:bottom w:val="single" w:sz="4" w:space="0" w:color="FFFFFF"/>
                        </w:tcBorders>
                      </w:tcPr>
                      <w:p>
                        <w:pPr>
                          <w:pStyle w:val="TableParagraph"/>
                          <w:tabs>
                            <w:tab w:pos="1821"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1.5</w:t>
                          <w:tab/>
                        </w:r>
                      </w:p>
                    </w:tc>
                    <w:tc>
                      <w:tcPr>
                        <w:tcW w:w="1134" w:type="dxa"/>
                        <w:tcBorders>
                          <w:top w:val="single" w:sz="4" w:space="0" w:color="929292"/>
                          <w:bottom w:val="single" w:sz="4" w:space="0" w:color="FFFFFF"/>
                          <w:right w:val="nil"/>
                        </w:tcBorders>
                      </w:tcPr>
                      <w:p>
                        <w:pPr>
                          <w:pStyle w:val="TableParagraph"/>
                          <w:tabs>
                            <w:tab w:pos="1109" w:val="left" w:leader="none"/>
                          </w:tabs>
                          <w:spacing w:line="148" w:lineRule="exact"/>
                          <w:ind w:left="24"/>
                          <w:rPr>
                            <w:sz w:val="16"/>
                          </w:rPr>
                        </w:pPr>
                        <w:r>
                          <w:rPr>
                            <w:w w:val="100"/>
                            <w:sz w:val="16"/>
                            <w:u w:val="dotted" w:color="929292"/>
                          </w:rPr>
                          <w:t> </w:t>
                        </w:r>
                        <w:r>
                          <w:rPr>
                            <w:spacing w:val="-11"/>
                            <w:sz w:val="16"/>
                            <w:u w:val="dotted" w:color="929292"/>
                          </w:rPr>
                          <w:t> </w:t>
                        </w:r>
                        <w:r>
                          <w:rPr>
                            <w:sz w:val="16"/>
                            <w:u w:val="dotted" w:color="929292"/>
                          </w:rPr>
                          <w:t>27,888</w:t>
                          <w:tab/>
                        </w:r>
                      </w:p>
                    </w:tc>
                  </w:tr>
                  <w:tr>
                    <w:trPr>
                      <w:trHeight w:val="228" w:hRule="exact"/>
                    </w:trPr>
                    <w:tc>
                      <w:tcPr>
                        <w:tcW w:w="3403" w:type="dxa"/>
                        <w:tcBorders>
                          <w:top w:val="single" w:sz="4" w:space="0" w:color="FFFFFF"/>
                          <w:left w:val="nil"/>
                          <w:bottom w:val="single" w:sz="4" w:space="0" w:color="929292"/>
                        </w:tcBorders>
                      </w:tcPr>
                      <w:p>
                        <w:pPr>
                          <w:pStyle w:val="TableParagraph"/>
                          <w:spacing w:line="148" w:lineRule="exact"/>
                          <w:ind w:left="107"/>
                          <w:rPr>
                            <w:sz w:val="16"/>
                          </w:rPr>
                        </w:pPr>
                        <w:r>
                          <w:rPr>
                            <w:sz w:val="16"/>
                          </w:rPr>
                          <w:t>RM Sorocaba</w:t>
                        </w:r>
                      </w:p>
                    </w:tc>
                    <w:tc>
                      <w:tcPr>
                        <w:tcW w:w="1333" w:type="dxa"/>
                        <w:tcBorders>
                          <w:top w:val="single" w:sz="4" w:space="0" w:color="FFFFFF"/>
                          <w:bottom w:val="single" w:sz="4" w:space="0" w:color="929292"/>
                        </w:tcBorders>
                      </w:tcPr>
                      <w:p>
                        <w:pPr>
                          <w:pStyle w:val="TableParagraph"/>
                          <w:spacing w:line="148" w:lineRule="exact"/>
                          <w:ind w:left="103"/>
                          <w:rPr>
                            <w:sz w:val="16"/>
                          </w:rPr>
                        </w:pPr>
                        <w:r>
                          <w:rPr>
                            <w:sz w:val="16"/>
                          </w:rPr>
                          <w:t>46,700.3</w:t>
                        </w:r>
                      </w:p>
                    </w:tc>
                    <w:tc>
                      <w:tcPr>
                        <w:tcW w:w="1842" w:type="dxa"/>
                        <w:tcBorders>
                          <w:top w:val="single" w:sz="4" w:space="0" w:color="FFFFFF"/>
                          <w:bottom w:val="single" w:sz="4" w:space="0" w:color="929292"/>
                        </w:tcBorders>
                      </w:tcPr>
                      <w:p>
                        <w:pPr>
                          <w:pStyle w:val="TableParagraph"/>
                          <w:spacing w:line="148" w:lineRule="exact"/>
                          <w:ind w:left="102"/>
                          <w:rPr>
                            <w:sz w:val="16"/>
                          </w:rPr>
                        </w:pPr>
                        <w:r>
                          <w:rPr>
                            <w:sz w:val="16"/>
                          </w:rPr>
                          <w:t>1.1</w:t>
                        </w:r>
                      </w:p>
                    </w:tc>
                    <w:tc>
                      <w:tcPr>
                        <w:tcW w:w="1134" w:type="dxa"/>
                        <w:tcBorders>
                          <w:top w:val="single" w:sz="4" w:space="0" w:color="FFFFFF"/>
                          <w:bottom w:val="single" w:sz="4" w:space="0" w:color="929292"/>
                          <w:right w:val="nil"/>
                        </w:tcBorders>
                      </w:tcPr>
                      <w:p>
                        <w:pPr>
                          <w:pStyle w:val="TableParagraph"/>
                          <w:spacing w:line="148" w:lineRule="exact"/>
                          <w:ind w:left="103"/>
                          <w:rPr>
                            <w:sz w:val="16"/>
                          </w:rPr>
                        </w:pPr>
                        <w:r>
                          <w:rPr>
                            <w:sz w:val="16"/>
                          </w:rPr>
                          <w:t>27,045</w:t>
                        </w:r>
                      </w:p>
                    </w:tc>
                  </w:tr>
                  <w:tr>
                    <w:trPr>
                      <w:trHeight w:val="136" w:hRule="exact"/>
                    </w:trPr>
                    <w:tc>
                      <w:tcPr>
                        <w:tcW w:w="3403" w:type="dxa"/>
                        <w:tcBorders>
                          <w:top w:val="single" w:sz="4" w:space="0" w:color="929292"/>
                          <w:left w:val="nil"/>
                          <w:bottom w:val="single" w:sz="4" w:space="0" w:color="FFFFFF"/>
                        </w:tcBorders>
                      </w:tcPr>
                      <w:p>
                        <w:pPr>
                          <w:pStyle w:val="TableParagraph"/>
                          <w:tabs>
                            <w:tab w:pos="3387" w:val="left" w:leader="none"/>
                          </w:tabs>
                          <w:spacing w:line="148" w:lineRule="exact"/>
                          <w:ind w:left="35"/>
                          <w:rPr>
                            <w:sz w:val="16"/>
                          </w:rPr>
                        </w:pPr>
                        <w:r>
                          <w:rPr>
                            <w:w w:val="100"/>
                            <w:sz w:val="16"/>
                            <w:u w:val="dotted" w:color="929292"/>
                          </w:rPr>
                          <w:t> </w:t>
                        </w:r>
                        <w:r>
                          <w:rPr>
                            <w:spacing w:val="-16"/>
                            <w:sz w:val="16"/>
                            <w:u w:val="dotted" w:color="929292"/>
                          </w:rPr>
                          <w:t> </w:t>
                        </w:r>
                        <w:r>
                          <w:rPr>
                            <w:sz w:val="16"/>
                            <w:u w:val="dotted" w:color="929292"/>
                          </w:rPr>
                          <w:t>RM Baixada</w:t>
                        </w:r>
                        <w:r>
                          <w:rPr>
                            <w:spacing w:val="5"/>
                            <w:sz w:val="16"/>
                            <w:u w:val="dotted" w:color="929292"/>
                          </w:rPr>
                          <w:t> </w:t>
                        </w:r>
                        <w:r>
                          <w:rPr>
                            <w:sz w:val="16"/>
                            <w:u w:val="dotted" w:color="929292"/>
                          </w:rPr>
                          <w:t>Santista</w:t>
                          <w:tab/>
                        </w:r>
                      </w:p>
                    </w:tc>
                    <w:tc>
                      <w:tcPr>
                        <w:tcW w:w="1333" w:type="dxa"/>
                        <w:tcBorders>
                          <w:top w:val="single" w:sz="4" w:space="0" w:color="929292"/>
                          <w:bottom w:val="single" w:sz="4" w:space="0" w:color="FFFFFF"/>
                        </w:tcBorders>
                      </w:tcPr>
                      <w:p>
                        <w:pPr>
                          <w:pStyle w:val="TableParagraph"/>
                          <w:tabs>
                            <w:tab w:pos="1313"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52,364.7</w:t>
                          <w:tab/>
                        </w:r>
                      </w:p>
                    </w:tc>
                    <w:tc>
                      <w:tcPr>
                        <w:tcW w:w="1842" w:type="dxa"/>
                        <w:tcBorders>
                          <w:top w:val="single" w:sz="4" w:space="0" w:color="929292"/>
                          <w:bottom w:val="single" w:sz="4" w:space="0" w:color="FFFFFF"/>
                        </w:tcBorders>
                      </w:tcPr>
                      <w:p>
                        <w:pPr>
                          <w:pStyle w:val="TableParagraph"/>
                          <w:tabs>
                            <w:tab w:pos="1821"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1.3</w:t>
                          <w:tab/>
                        </w:r>
                      </w:p>
                    </w:tc>
                    <w:tc>
                      <w:tcPr>
                        <w:tcW w:w="1134" w:type="dxa"/>
                        <w:tcBorders>
                          <w:top w:val="single" w:sz="4" w:space="0" w:color="929292"/>
                          <w:bottom w:val="single" w:sz="4" w:space="0" w:color="FFFFFF"/>
                          <w:right w:val="nil"/>
                        </w:tcBorders>
                      </w:tcPr>
                      <w:p>
                        <w:pPr>
                          <w:pStyle w:val="TableParagraph"/>
                          <w:tabs>
                            <w:tab w:pos="1109" w:val="left" w:leader="none"/>
                          </w:tabs>
                          <w:spacing w:line="148" w:lineRule="exact"/>
                          <w:ind w:left="24"/>
                          <w:rPr>
                            <w:sz w:val="16"/>
                          </w:rPr>
                        </w:pPr>
                        <w:r>
                          <w:rPr>
                            <w:w w:val="100"/>
                            <w:sz w:val="16"/>
                            <w:u w:val="dotted" w:color="929292"/>
                          </w:rPr>
                          <w:t> </w:t>
                        </w:r>
                        <w:r>
                          <w:rPr>
                            <w:spacing w:val="-11"/>
                            <w:sz w:val="16"/>
                            <w:u w:val="dotted" w:color="929292"/>
                          </w:rPr>
                          <w:t> </w:t>
                        </w:r>
                        <w:r>
                          <w:rPr>
                            <w:sz w:val="16"/>
                            <w:u w:val="dotted" w:color="929292"/>
                          </w:rPr>
                          <w:t>31,467</w:t>
                          <w:tab/>
                        </w:r>
                      </w:p>
                    </w:tc>
                  </w:tr>
                  <w:tr>
                    <w:trPr>
                      <w:trHeight w:val="233" w:hRule="exact"/>
                    </w:trPr>
                    <w:tc>
                      <w:tcPr>
                        <w:tcW w:w="3403" w:type="dxa"/>
                        <w:tcBorders>
                          <w:top w:val="single" w:sz="4" w:space="0" w:color="FFFFFF"/>
                          <w:left w:val="nil"/>
                          <w:bottom w:val="single" w:sz="4" w:space="0" w:color="929292"/>
                        </w:tcBorders>
                      </w:tcPr>
                      <w:p>
                        <w:pPr>
                          <w:pStyle w:val="TableParagraph"/>
                          <w:spacing w:line="148" w:lineRule="exact"/>
                          <w:ind w:left="107"/>
                          <w:rPr>
                            <w:sz w:val="16"/>
                          </w:rPr>
                        </w:pPr>
                        <w:r>
                          <w:rPr>
                            <w:sz w:val="16"/>
                          </w:rPr>
                          <w:t>AU Piracicaba</w:t>
                        </w:r>
                      </w:p>
                    </w:tc>
                    <w:tc>
                      <w:tcPr>
                        <w:tcW w:w="1333" w:type="dxa"/>
                        <w:tcBorders>
                          <w:top w:val="single" w:sz="4" w:space="0" w:color="FFFFFF"/>
                          <w:bottom w:val="single" w:sz="4" w:space="0" w:color="929292"/>
                        </w:tcBorders>
                      </w:tcPr>
                      <w:p>
                        <w:pPr>
                          <w:pStyle w:val="TableParagraph"/>
                          <w:spacing w:line="148" w:lineRule="exact"/>
                          <w:ind w:left="103"/>
                          <w:rPr>
                            <w:sz w:val="16"/>
                          </w:rPr>
                        </w:pPr>
                        <w:r>
                          <w:rPr>
                            <w:sz w:val="16"/>
                          </w:rPr>
                          <w:t>36,475.0</w:t>
                        </w:r>
                      </w:p>
                    </w:tc>
                    <w:tc>
                      <w:tcPr>
                        <w:tcW w:w="1842" w:type="dxa"/>
                        <w:tcBorders>
                          <w:top w:val="single" w:sz="4" w:space="0" w:color="FFFFFF"/>
                          <w:bottom w:val="single" w:sz="4" w:space="0" w:color="929292"/>
                        </w:tcBorders>
                      </w:tcPr>
                      <w:p>
                        <w:pPr>
                          <w:pStyle w:val="TableParagraph"/>
                          <w:spacing w:line="148" w:lineRule="exact"/>
                          <w:ind w:left="102"/>
                          <w:rPr>
                            <w:sz w:val="16"/>
                          </w:rPr>
                        </w:pPr>
                        <w:r>
                          <w:rPr>
                            <w:sz w:val="16"/>
                          </w:rPr>
                          <w:t>0.9</w:t>
                        </w:r>
                      </w:p>
                    </w:tc>
                    <w:tc>
                      <w:tcPr>
                        <w:tcW w:w="1134" w:type="dxa"/>
                        <w:tcBorders>
                          <w:top w:val="single" w:sz="4" w:space="0" w:color="FFFFFF"/>
                          <w:bottom w:val="single" w:sz="4" w:space="0" w:color="929292"/>
                          <w:right w:val="nil"/>
                        </w:tcBorders>
                      </w:tcPr>
                      <w:p>
                        <w:pPr>
                          <w:pStyle w:val="TableParagraph"/>
                          <w:spacing w:line="148" w:lineRule="exact"/>
                          <w:ind w:left="103"/>
                          <w:rPr>
                            <w:sz w:val="16"/>
                          </w:rPr>
                        </w:pPr>
                        <w:r>
                          <w:rPr>
                            <w:sz w:val="16"/>
                          </w:rPr>
                          <w:t>27,960</w:t>
                        </w:r>
                      </w:p>
                    </w:tc>
                  </w:tr>
                  <w:tr>
                    <w:trPr>
                      <w:trHeight w:val="169" w:hRule="exact"/>
                    </w:trPr>
                    <w:tc>
                      <w:tcPr>
                        <w:tcW w:w="3403" w:type="dxa"/>
                        <w:tcBorders>
                          <w:top w:val="single" w:sz="4" w:space="0" w:color="929292"/>
                          <w:left w:val="nil"/>
                          <w:bottom w:val="single" w:sz="4" w:space="0" w:color="929292"/>
                        </w:tcBorders>
                      </w:tcPr>
                      <w:p>
                        <w:pPr>
                          <w:pStyle w:val="TableParagraph"/>
                          <w:spacing w:line="148" w:lineRule="exact"/>
                          <w:ind w:left="107"/>
                          <w:rPr>
                            <w:sz w:val="16"/>
                          </w:rPr>
                        </w:pPr>
                        <w:r>
                          <w:rPr>
                            <w:sz w:val="16"/>
                          </w:rPr>
                          <w:t>AU Jundiai</w:t>
                        </w:r>
                      </w:p>
                    </w:tc>
                    <w:tc>
                      <w:tcPr>
                        <w:tcW w:w="1333" w:type="dxa"/>
                        <w:tcBorders>
                          <w:top w:val="single" w:sz="4" w:space="0" w:color="929292"/>
                          <w:bottom w:val="single" w:sz="4" w:space="0" w:color="929292"/>
                        </w:tcBorders>
                      </w:tcPr>
                      <w:p>
                        <w:pPr>
                          <w:pStyle w:val="TableParagraph"/>
                          <w:spacing w:line="148" w:lineRule="exact"/>
                          <w:ind w:left="103"/>
                          <w:rPr>
                            <w:sz w:val="16"/>
                          </w:rPr>
                        </w:pPr>
                        <w:r>
                          <w:rPr>
                            <w:sz w:val="16"/>
                          </w:rPr>
                          <w:t>40,727.8</w:t>
                        </w:r>
                      </w:p>
                    </w:tc>
                    <w:tc>
                      <w:tcPr>
                        <w:tcW w:w="1842" w:type="dxa"/>
                        <w:tcBorders>
                          <w:top w:val="single" w:sz="4" w:space="0" w:color="929292"/>
                          <w:bottom w:val="single" w:sz="4" w:space="0" w:color="929292"/>
                        </w:tcBorders>
                      </w:tcPr>
                      <w:p>
                        <w:pPr>
                          <w:pStyle w:val="TableParagraph"/>
                          <w:spacing w:line="148" w:lineRule="exact"/>
                          <w:ind w:left="102"/>
                          <w:rPr>
                            <w:sz w:val="16"/>
                          </w:rPr>
                        </w:pPr>
                        <w:r>
                          <w:rPr>
                            <w:sz w:val="16"/>
                          </w:rPr>
                          <w:t>1.0</w:t>
                        </w:r>
                      </w:p>
                    </w:tc>
                    <w:tc>
                      <w:tcPr>
                        <w:tcW w:w="1134" w:type="dxa"/>
                        <w:tcBorders>
                          <w:top w:val="single" w:sz="4" w:space="0" w:color="929292"/>
                          <w:bottom w:val="single" w:sz="4" w:space="0" w:color="929292"/>
                          <w:right w:val="nil"/>
                        </w:tcBorders>
                      </w:tcPr>
                      <w:p>
                        <w:pPr>
                          <w:pStyle w:val="TableParagraph"/>
                          <w:spacing w:line="148" w:lineRule="exact"/>
                          <w:ind w:left="103"/>
                          <w:rPr>
                            <w:sz w:val="16"/>
                          </w:rPr>
                        </w:pPr>
                        <w:r>
                          <w:rPr>
                            <w:sz w:val="16"/>
                          </w:rPr>
                          <w:t>58,289</w:t>
                        </w:r>
                      </w:p>
                    </w:tc>
                  </w:tr>
                  <w:tr>
                    <w:trPr>
                      <w:trHeight w:val="124" w:hRule="exact"/>
                    </w:trPr>
                    <w:tc>
                      <w:tcPr>
                        <w:tcW w:w="3403" w:type="dxa"/>
                        <w:tcBorders>
                          <w:top w:val="single" w:sz="4" w:space="0" w:color="929292"/>
                          <w:left w:val="nil"/>
                          <w:bottom w:val="single" w:sz="4" w:space="0" w:color="FFFFFF"/>
                        </w:tcBorders>
                      </w:tcPr>
                      <w:p>
                        <w:pPr>
                          <w:pStyle w:val="TableParagraph"/>
                          <w:tabs>
                            <w:tab w:pos="3387" w:val="left" w:leader="none"/>
                          </w:tabs>
                          <w:spacing w:line="148" w:lineRule="exact"/>
                          <w:ind w:left="35"/>
                          <w:rPr>
                            <w:sz w:val="16"/>
                          </w:rPr>
                        </w:pPr>
                        <w:r>
                          <w:rPr>
                            <w:w w:val="100"/>
                            <w:sz w:val="16"/>
                            <w:u w:val="dotted" w:color="929292"/>
                          </w:rPr>
                          <w:t> </w:t>
                        </w:r>
                        <w:r>
                          <w:rPr>
                            <w:spacing w:val="-16"/>
                            <w:sz w:val="16"/>
                            <w:u w:val="dotted" w:color="929292"/>
                          </w:rPr>
                          <w:t> </w:t>
                        </w:r>
                        <w:r>
                          <w:rPr>
                            <w:sz w:val="16"/>
                            <w:u w:val="dotted" w:color="929292"/>
                          </w:rPr>
                          <w:t>UR</w:t>
                        </w:r>
                        <w:r>
                          <w:rPr>
                            <w:spacing w:val="-4"/>
                            <w:sz w:val="16"/>
                            <w:u w:val="dotted" w:color="929292"/>
                          </w:rPr>
                          <w:t> </w:t>
                        </w:r>
                        <w:r>
                          <w:rPr>
                            <w:sz w:val="16"/>
                            <w:u w:val="dotted" w:color="929292"/>
                          </w:rPr>
                          <w:t>Bragantina</w:t>
                          <w:tab/>
                        </w:r>
                      </w:p>
                    </w:tc>
                    <w:tc>
                      <w:tcPr>
                        <w:tcW w:w="1333" w:type="dxa"/>
                        <w:tcBorders>
                          <w:top w:val="single" w:sz="4" w:space="0" w:color="929292"/>
                          <w:bottom w:val="single" w:sz="4" w:space="0" w:color="FFFFFF"/>
                        </w:tcBorders>
                      </w:tcPr>
                      <w:p>
                        <w:pPr>
                          <w:pStyle w:val="TableParagraph"/>
                          <w:tabs>
                            <w:tab w:pos="1313"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7,970.6</w:t>
                          <w:tab/>
                        </w:r>
                      </w:p>
                    </w:tc>
                    <w:tc>
                      <w:tcPr>
                        <w:tcW w:w="1842" w:type="dxa"/>
                        <w:tcBorders>
                          <w:top w:val="single" w:sz="4" w:space="0" w:color="929292"/>
                          <w:bottom w:val="single" w:sz="4" w:space="0" w:color="FFFFFF"/>
                        </w:tcBorders>
                      </w:tcPr>
                      <w:p>
                        <w:pPr>
                          <w:pStyle w:val="TableParagraph"/>
                          <w:tabs>
                            <w:tab w:pos="1821"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0.2</w:t>
                          <w:tab/>
                        </w:r>
                      </w:p>
                    </w:tc>
                    <w:tc>
                      <w:tcPr>
                        <w:tcW w:w="1134" w:type="dxa"/>
                        <w:tcBorders>
                          <w:top w:val="single" w:sz="4" w:space="0" w:color="929292"/>
                          <w:bottom w:val="single" w:sz="4" w:space="0" w:color="FFFFFF"/>
                          <w:right w:val="nil"/>
                        </w:tcBorders>
                      </w:tcPr>
                      <w:p>
                        <w:pPr>
                          <w:pStyle w:val="TableParagraph"/>
                          <w:tabs>
                            <w:tab w:pos="1109" w:val="left" w:leader="none"/>
                          </w:tabs>
                          <w:spacing w:line="148" w:lineRule="exact"/>
                          <w:ind w:left="24"/>
                          <w:rPr>
                            <w:sz w:val="16"/>
                          </w:rPr>
                        </w:pPr>
                        <w:r>
                          <w:rPr>
                            <w:w w:val="100"/>
                            <w:sz w:val="16"/>
                            <w:u w:val="dotted" w:color="929292"/>
                          </w:rPr>
                          <w:t> </w:t>
                        </w:r>
                        <w:r>
                          <w:rPr>
                            <w:spacing w:val="-11"/>
                            <w:sz w:val="16"/>
                            <w:u w:val="dotted" w:color="929292"/>
                          </w:rPr>
                          <w:t> </w:t>
                        </w:r>
                        <w:r>
                          <w:rPr>
                            <w:sz w:val="16"/>
                            <w:u w:val="dotted" w:color="929292"/>
                          </w:rPr>
                          <w:t>20,977</w:t>
                          <w:tab/>
                        </w:r>
                      </w:p>
                    </w:tc>
                  </w:tr>
                  <w:tr>
                    <w:trPr>
                      <w:trHeight w:val="210" w:hRule="exact"/>
                    </w:trPr>
                    <w:tc>
                      <w:tcPr>
                        <w:tcW w:w="3403" w:type="dxa"/>
                        <w:tcBorders>
                          <w:top w:val="single" w:sz="4" w:space="0" w:color="FFFFFF"/>
                          <w:left w:val="nil"/>
                          <w:bottom w:val="single" w:sz="4" w:space="0" w:color="929292"/>
                        </w:tcBorders>
                      </w:tcPr>
                      <w:p>
                        <w:pPr>
                          <w:pStyle w:val="TableParagraph"/>
                          <w:spacing w:line="148" w:lineRule="exact"/>
                          <w:ind w:left="107"/>
                          <w:rPr>
                            <w:sz w:val="16"/>
                          </w:rPr>
                        </w:pPr>
                        <w:r>
                          <w:rPr>
                            <w:sz w:val="16"/>
                          </w:rPr>
                          <w:t>RM Rio de Janeiro</w:t>
                        </w:r>
                      </w:p>
                    </w:tc>
                    <w:tc>
                      <w:tcPr>
                        <w:tcW w:w="1333" w:type="dxa"/>
                        <w:tcBorders>
                          <w:top w:val="single" w:sz="4" w:space="0" w:color="FFFFFF"/>
                          <w:bottom w:val="single" w:sz="4" w:space="0" w:color="929292"/>
                        </w:tcBorders>
                      </w:tcPr>
                      <w:p>
                        <w:pPr>
                          <w:pStyle w:val="TableParagraph"/>
                          <w:spacing w:line="148" w:lineRule="exact"/>
                          <w:ind w:left="103"/>
                          <w:rPr>
                            <w:sz w:val="16"/>
                          </w:rPr>
                        </w:pPr>
                        <w:r>
                          <w:rPr>
                            <w:sz w:val="16"/>
                          </w:rPr>
                          <w:t>303,178.5</w:t>
                        </w:r>
                      </w:p>
                    </w:tc>
                    <w:tc>
                      <w:tcPr>
                        <w:tcW w:w="1842" w:type="dxa"/>
                        <w:tcBorders>
                          <w:top w:val="single" w:sz="4" w:space="0" w:color="FFFFFF"/>
                          <w:bottom w:val="single" w:sz="4" w:space="0" w:color="929292"/>
                        </w:tcBorders>
                      </w:tcPr>
                      <w:p>
                        <w:pPr>
                          <w:pStyle w:val="TableParagraph"/>
                          <w:spacing w:line="148" w:lineRule="exact"/>
                          <w:ind w:left="102"/>
                          <w:rPr>
                            <w:sz w:val="16"/>
                          </w:rPr>
                        </w:pPr>
                        <w:r>
                          <w:rPr>
                            <w:sz w:val="16"/>
                          </w:rPr>
                          <w:t>7.3</w:t>
                        </w:r>
                      </w:p>
                    </w:tc>
                    <w:tc>
                      <w:tcPr>
                        <w:tcW w:w="1134" w:type="dxa"/>
                        <w:tcBorders>
                          <w:top w:val="single" w:sz="4" w:space="0" w:color="FFFFFF"/>
                          <w:bottom w:val="single" w:sz="4" w:space="0" w:color="929292"/>
                          <w:right w:val="nil"/>
                        </w:tcBorders>
                      </w:tcPr>
                      <w:p>
                        <w:pPr>
                          <w:pStyle w:val="TableParagraph"/>
                          <w:spacing w:line="148" w:lineRule="exact"/>
                          <w:ind w:left="103"/>
                          <w:rPr>
                            <w:sz w:val="16"/>
                          </w:rPr>
                        </w:pPr>
                        <w:r>
                          <w:rPr>
                            <w:sz w:val="16"/>
                          </w:rPr>
                          <w:t>25,616</w:t>
                        </w:r>
                      </w:p>
                    </w:tc>
                  </w:tr>
                  <w:tr>
                    <w:trPr>
                      <w:trHeight w:val="146" w:hRule="exact"/>
                    </w:trPr>
                    <w:tc>
                      <w:tcPr>
                        <w:tcW w:w="3403" w:type="dxa"/>
                        <w:tcBorders>
                          <w:top w:val="single" w:sz="4" w:space="0" w:color="929292"/>
                          <w:left w:val="nil"/>
                          <w:bottom w:val="single" w:sz="4" w:space="0" w:color="FFFFFF"/>
                        </w:tcBorders>
                      </w:tcPr>
                      <w:p>
                        <w:pPr>
                          <w:pStyle w:val="TableParagraph"/>
                          <w:tabs>
                            <w:tab w:pos="3387" w:val="left" w:leader="none"/>
                          </w:tabs>
                          <w:spacing w:line="148" w:lineRule="exact"/>
                          <w:ind w:left="35"/>
                          <w:rPr>
                            <w:sz w:val="16"/>
                          </w:rPr>
                        </w:pPr>
                        <w:r>
                          <w:rPr>
                            <w:w w:val="100"/>
                            <w:sz w:val="16"/>
                            <w:u w:val="dotted" w:color="929292"/>
                          </w:rPr>
                          <w:t> </w:t>
                        </w:r>
                        <w:r>
                          <w:rPr>
                            <w:spacing w:val="-16"/>
                            <w:sz w:val="16"/>
                            <w:u w:val="dotted" w:color="929292"/>
                          </w:rPr>
                          <w:t> </w:t>
                        </w:r>
                        <w:r>
                          <w:rPr>
                            <w:sz w:val="16"/>
                            <w:u w:val="dotted" w:color="929292"/>
                          </w:rPr>
                          <w:t>RM Vale Paraiba</w:t>
                        </w:r>
                        <w:r>
                          <w:rPr>
                            <w:spacing w:val="-25"/>
                            <w:sz w:val="16"/>
                            <w:u w:val="dotted" w:color="929292"/>
                          </w:rPr>
                          <w:t> </w:t>
                        </w:r>
                        <w:r>
                          <w:rPr>
                            <w:sz w:val="16"/>
                            <w:u w:val="dotted" w:color="929292"/>
                          </w:rPr>
                          <w:t>RJ</w:t>
                          <w:tab/>
                        </w:r>
                      </w:p>
                    </w:tc>
                    <w:tc>
                      <w:tcPr>
                        <w:tcW w:w="1333" w:type="dxa"/>
                        <w:tcBorders>
                          <w:top w:val="single" w:sz="4" w:space="0" w:color="929292"/>
                          <w:bottom w:val="single" w:sz="4" w:space="0" w:color="FFFFFF"/>
                        </w:tcBorders>
                      </w:tcPr>
                      <w:p>
                        <w:pPr>
                          <w:pStyle w:val="TableParagraph"/>
                          <w:tabs>
                            <w:tab w:pos="1313"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29,314.4</w:t>
                          <w:tab/>
                        </w:r>
                      </w:p>
                    </w:tc>
                    <w:tc>
                      <w:tcPr>
                        <w:tcW w:w="1842" w:type="dxa"/>
                        <w:tcBorders>
                          <w:top w:val="single" w:sz="4" w:space="0" w:color="929292"/>
                          <w:bottom w:val="single" w:sz="4" w:space="0" w:color="FFFFFF"/>
                        </w:tcBorders>
                      </w:tcPr>
                      <w:p>
                        <w:pPr>
                          <w:pStyle w:val="TableParagraph"/>
                          <w:tabs>
                            <w:tab w:pos="1821"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0.7</w:t>
                          <w:tab/>
                        </w:r>
                      </w:p>
                    </w:tc>
                    <w:tc>
                      <w:tcPr>
                        <w:tcW w:w="1134" w:type="dxa"/>
                        <w:tcBorders>
                          <w:top w:val="single" w:sz="4" w:space="0" w:color="929292"/>
                          <w:bottom w:val="single" w:sz="4" w:space="0" w:color="FFFFFF"/>
                          <w:right w:val="nil"/>
                        </w:tcBorders>
                      </w:tcPr>
                      <w:p>
                        <w:pPr>
                          <w:pStyle w:val="TableParagraph"/>
                          <w:tabs>
                            <w:tab w:pos="1109" w:val="left" w:leader="none"/>
                          </w:tabs>
                          <w:spacing w:line="148" w:lineRule="exact"/>
                          <w:ind w:left="24"/>
                          <w:rPr>
                            <w:sz w:val="16"/>
                          </w:rPr>
                        </w:pPr>
                        <w:r>
                          <w:rPr>
                            <w:w w:val="100"/>
                            <w:sz w:val="16"/>
                            <w:u w:val="dotted" w:color="929292"/>
                          </w:rPr>
                          <w:t> </w:t>
                        </w:r>
                        <w:r>
                          <w:rPr>
                            <w:spacing w:val="-11"/>
                            <w:sz w:val="16"/>
                            <w:u w:val="dotted" w:color="929292"/>
                          </w:rPr>
                          <w:t> </w:t>
                        </w:r>
                        <w:r>
                          <w:rPr>
                            <w:sz w:val="16"/>
                            <w:u w:val="dotted" w:color="929292"/>
                          </w:rPr>
                          <w:t>30,166</w:t>
                          <w:tab/>
                        </w:r>
                      </w:p>
                    </w:tc>
                  </w:tr>
                  <w:tr>
                    <w:trPr>
                      <w:trHeight w:val="238" w:hRule="exact"/>
                    </w:trPr>
                    <w:tc>
                      <w:tcPr>
                        <w:tcW w:w="3403" w:type="dxa"/>
                        <w:tcBorders>
                          <w:top w:val="single" w:sz="4" w:space="0" w:color="FFFFFF"/>
                          <w:left w:val="nil"/>
                          <w:bottom w:val="single" w:sz="4" w:space="0" w:color="929292"/>
                        </w:tcBorders>
                      </w:tcPr>
                      <w:p>
                        <w:pPr>
                          <w:pStyle w:val="TableParagraph"/>
                          <w:spacing w:line="148" w:lineRule="exact"/>
                          <w:ind w:left="107"/>
                          <w:rPr>
                            <w:sz w:val="16"/>
                          </w:rPr>
                        </w:pPr>
                        <w:r>
                          <w:rPr>
                            <w:sz w:val="16"/>
                          </w:rPr>
                          <w:t>Norte Fluminense</w:t>
                        </w:r>
                      </w:p>
                    </w:tc>
                    <w:tc>
                      <w:tcPr>
                        <w:tcW w:w="1333" w:type="dxa"/>
                        <w:tcBorders>
                          <w:top w:val="single" w:sz="4" w:space="0" w:color="FFFFFF"/>
                          <w:bottom w:val="single" w:sz="4" w:space="0" w:color="929292"/>
                        </w:tcBorders>
                      </w:tcPr>
                      <w:p>
                        <w:pPr>
                          <w:pStyle w:val="TableParagraph"/>
                          <w:spacing w:line="148" w:lineRule="exact"/>
                          <w:ind w:left="103"/>
                          <w:rPr>
                            <w:sz w:val="16"/>
                          </w:rPr>
                        </w:pPr>
                        <w:r>
                          <w:rPr>
                            <w:sz w:val="16"/>
                          </w:rPr>
                          <w:t>62,080.8</w:t>
                        </w:r>
                      </w:p>
                    </w:tc>
                    <w:tc>
                      <w:tcPr>
                        <w:tcW w:w="1842" w:type="dxa"/>
                        <w:tcBorders>
                          <w:top w:val="single" w:sz="4" w:space="0" w:color="FFFFFF"/>
                          <w:bottom w:val="single" w:sz="4" w:space="0" w:color="929292"/>
                        </w:tcBorders>
                      </w:tcPr>
                      <w:p>
                        <w:pPr>
                          <w:pStyle w:val="TableParagraph"/>
                          <w:spacing w:line="148" w:lineRule="exact"/>
                          <w:ind w:left="102"/>
                          <w:rPr>
                            <w:sz w:val="16"/>
                          </w:rPr>
                        </w:pPr>
                        <w:r>
                          <w:rPr>
                            <w:sz w:val="16"/>
                          </w:rPr>
                          <w:t>1.5</w:t>
                        </w:r>
                      </w:p>
                    </w:tc>
                    <w:tc>
                      <w:tcPr>
                        <w:tcW w:w="1134" w:type="dxa"/>
                        <w:tcBorders>
                          <w:top w:val="single" w:sz="4" w:space="0" w:color="FFFFFF"/>
                          <w:bottom w:val="single" w:sz="4" w:space="0" w:color="929292"/>
                          <w:right w:val="nil"/>
                        </w:tcBorders>
                      </w:tcPr>
                      <w:p>
                        <w:pPr>
                          <w:pStyle w:val="TableParagraph"/>
                          <w:spacing w:line="148" w:lineRule="exact"/>
                          <w:ind w:left="103"/>
                          <w:rPr>
                            <w:sz w:val="16"/>
                          </w:rPr>
                        </w:pPr>
                        <w:r>
                          <w:rPr>
                            <w:sz w:val="16"/>
                          </w:rPr>
                          <w:t>73,078</w:t>
                        </w:r>
                      </w:p>
                    </w:tc>
                  </w:tr>
                  <w:tr>
                    <w:trPr>
                      <w:trHeight w:val="174" w:hRule="exact"/>
                    </w:trPr>
                    <w:tc>
                      <w:tcPr>
                        <w:tcW w:w="3403" w:type="dxa"/>
                        <w:tcBorders>
                          <w:top w:val="single" w:sz="4" w:space="0" w:color="929292"/>
                          <w:left w:val="nil"/>
                          <w:bottom w:val="single" w:sz="4" w:space="0" w:color="929292"/>
                        </w:tcBorders>
                      </w:tcPr>
                      <w:p>
                        <w:pPr>
                          <w:pStyle w:val="TableParagraph"/>
                          <w:spacing w:line="148" w:lineRule="exact"/>
                          <w:ind w:left="107"/>
                          <w:rPr>
                            <w:sz w:val="16"/>
                          </w:rPr>
                        </w:pPr>
                        <w:r>
                          <w:rPr>
                            <w:sz w:val="16"/>
                          </w:rPr>
                          <w:t>Região Serrana</w:t>
                        </w:r>
                      </w:p>
                    </w:tc>
                    <w:tc>
                      <w:tcPr>
                        <w:tcW w:w="1333" w:type="dxa"/>
                        <w:tcBorders>
                          <w:top w:val="single" w:sz="4" w:space="0" w:color="929292"/>
                          <w:bottom w:val="single" w:sz="4" w:space="0" w:color="929292"/>
                        </w:tcBorders>
                      </w:tcPr>
                      <w:p>
                        <w:pPr>
                          <w:pStyle w:val="TableParagraph"/>
                          <w:spacing w:line="148" w:lineRule="exact"/>
                          <w:ind w:left="103"/>
                          <w:rPr>
                            <w:sz w:val="16"/>
                          </w:rPr>
                        </w:pPr>
                        <w:r>
                          <w:rPr>
                            <w:sz w:val="16"/>
                          </w:rPr>
                          <w:t>21,235.5</w:t>
                        </w:r>
                      </w:p>
                    </w:tc>
                    <w:tc>
                      <w:tcPr>
                        <w:tcW w:w="1842" w:type="dxa"/>
                        <w:tcBorders>
                          <w:top w:val="single" w:sz="4" w:space="0" w:color="929292"/>
                          <w:bottom w:val="single" w:sz="4" w:space="0" w:color="929292"/>
                        </w:tcBorders>
                      </w:tcPr>
                      <w:p>
                        <w:pPr>
                          <w:pStyle w:val="TableParagraph"/>
                          <w:spacing w:line="148" w:lineRule="exact"/>
                          <w:ind w:left="102"/>
                          <w:rPr>
                            <w:sz w:val="16"/>
                          </w:rPr>
                        </w:pPr>
                        <w:r>
                          <w:rPr>
                            <w:sz w:val="16"/>
                          </w:rPr>
                          <w:t>0.5</w:t>
                        </w:r>
                      </w:p>
                    </w:tc>
                    <w:tc>
                      <w:tcPr>
                        <w:tcW w:w="1134" w:type="dxa"/>
                        <w:tcBorders>
                          <w:top w:val="single" w:sz="4" w:space="0" w:color="929292"/>
                          <w:bottom w:val="single" w:sz="4" w:space="0" w:color="929292"/>
                          <w:right w:val="nil"/>
                        </w:tcBorders>
                      </w:tcPr>
                      <w:p>
                        <w:pPr>
                          <w:pStyle w:val="TableParagraph"/>
                          <w:spacing w:line="148" w:lineRule="exact"/>
                          <w:ind w:left="103"/>
                          <w:rPr>
                            <w:sz w:val="16"/>
                          </w:rPr>
                        </w:pPr>
                        <w:r>
                          <w:rPr>
                            <w:sz w:val="16"/>
                          </w:rPr>
                          <w:t>22,091</w:t>
                        </w:r>
                      </w:p>
                    </w:tc>
                  </w:tr>
                  <w:tr>
                    <w:trPr>
                      <w:trHeight w:val="125" w:hRule="exact"/>
                    </w:trPr>
                    <w:tc>
                      <w:tcPr>
                        <w:tcW w:w="3403" w:type="dxa"/>
                        <w:tcBorders>
                          <w:top w:val="single" w:sz="4" w:space="0" w:color="929292"/>
                          <w:left w:val="nil"/>
                          <w:bottom w:val="single" w:sz="4" w:space="0" w:color="FFFFFF"/>
                        </w:tcBorders>
                      </w:tcPr>
                      <w:p>
                        <w:pPr>
                          <w:pStyle w:val="TableParagraph"/>
                          <w:tabs>
                            <w:tab w:pos="3387" w:val="left" w:leader="none"/>
                          </w:tabs>
                          <w:spacing w:line="148" w:lineRule="exact"/>
                          <w:ind w:left="35"/>
                          <w:rPr>
                            <w:sz w:val="16"/>
                          </w:rPr>
                        </w:pPr>
                        <w:r>
                          <w:rPr>
                            <w:w w:val="100"/>
                            <w:sz w:val="16"/>
                            <w:u w:val="dotted" w:color="929292"/>
                          </w:rPr>
                          <w:t> </w:t>
                        </w:r>
                        <w:r>
                          <w:rPr>
                            <w:spacing w:val="-16"/>
                            <w:sz w:val="16"/>
                            <w:u w:val="dotted" w:color="929292"/>
                          </w:rPr>
                          <w:t> </w:t>
                        </w:r>
                        <w:r>
                          <w:rPr>
                            <w:sz w:val="16"/>
                            <w:u w:val="dotted" w:color="929292"/>
                          </w:rPr>
                          <w:t>Baixada</w:t>
                        </w:r>
                        <w:r>
                          <w:rPr>
                            <w:spacing w:val="1"/>
                            <w:sz w:val="16"/>
                            <w:u w:val="dotted" w:color="929292"/>
                          </w:rPr>
                          <w:t> </w:t>
                        </w:r>
                        <w:r>
                          <w:rPr>
                            <w:sz w:val="16"/>
                            <w:u w:val="dotted" w:color="929292"/>
                          </w:rPr>
                          <w:t>Litoranea</w:t>
                          <w:tab/>
                        </w:r>
                      </w:p>
                    </w:tc>
                    <w:tc>
                      <w:tcPr>
                        <w:tcW w:w="1333" w:type="dxa"/>
                        <w:tcBorders>
                          <w:top w:val="single" w:sz="4" w:space="0" w:color="929292"/>
                          <w:bottom w:val="single" w:sz="4" w:space="0" w:color="FFFFFF"/>
                        </w:tcBorders>
                      </w:tcPr>
                      <w:p>
                        <w:pPr>
                          <w:pStyle w:val="TableParagraph"/>
                          <w:tabs>
                            <w:tab w:pos="1313"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29,207.5</w:t>
                          <w:tab/>
                        </w:r>
                      </w:p>
                    </w:tc>
                    <w:tc>
                      <w:tcPr>
                        <w:tcW w:w="1842" w:type="dxa"/>
                        <w:tcBorders>
                          <w:top w:val="single" w:sz="4" w:space="0" w:color="929292"/>
                          <w:bottom w:val="single" w:sz="4" w:space="0" w:color="FFFFFF"/>
                        </w:tcBorders>
                      </w:tcPr>
                      <w:p>
                        <w:pPr>
                          <w:pStyle w:val="TableParagraph"/>
                          <w:tabs>
                            <w:tab w:pos="1821"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0.7</w:t>
                          <w:tab/>
                        </w:r>
                      </w:p>
                    </w:tc>
                    <w:tc>
                      <w:tcPr>
                        <w:tcW w:w="1134" w:type="dxa"/>
                        <w:tcBorders>
                          <w:top w:val="single" w:sz="4" w:space="0" w:color="929292"/>
                          <w:bottom w:val="single" w:sz="4" w:space="0" w:color="FFFFFF"/>
                          <w:right w:val="nil"/>
                        </w:tcBorders>
                      </w:tcPr>
                      <w:p>
                        <w:pPr>
                          <w:pStyle w:val="TableParagraph"/>
                          <w:tabs>
                            <w:tab w:pos="1109" w:val="left" w:leader="none"/>
                          </w:tabs>
                          <w:spacing w:line="148" w:lineRule="exact"/>
                          <w:ind w:left="24"/>
                          <w:rPr>
                            <w:sz w:val="16"/>
                          </w:rPr>
                        </w:pPr>
                        <w:r>
                          <w:rPr>
                            <w:w w:val="100"/>
                            <w:sz w:val="16"/>
                            <w:u w:val="dotted" w:color="929292"/>
                          </w:rPr>
                          <w:t> </w:t>
                        </w:r>
                        <w:r>
                          <w:rPr>
                            <w:spacing w:val="-11"/>
                            <w:sz w:val="16"/>
                            <w:u w:val="dotted" w:color="929292"/>
                          </w:rPr>
                          <w:t> </w:t>
                        </w:r>
                        <w:r>
                          <w:rPr>
                            <w:sz w:val="16"/>
                            <w:u w:val="dotted" w:color="929292"/>
                          </w:rPr>
                          <w:t>36,029</w:t>
                          <w:tab/>
                        </w:r>
                      </w:p>
                    </w:tc>
                  </w:tr>
                  <w:tr>
                    <w:trPr>
                      <w:trHeight w:val="216" w:hRule="exact"/>
                    </w:trPr>
                    <w:tc>
                      <w:tcPr>
                        <w:tcW w:w="3403" w:type="dxa"/>
                        <w:tcBorders>
                          <w:top w:val="single" w:sz="4" w:space="0" w:color="FFFFFF"/>
                          <w:left w:val="nil"/>
                          <w:bottom w:val="single" w:sz="4" w:space="0" w:color="929292"/>
                        </w:tcBorders>
                      </w:tcPr>
                      <w:p>
                        <w:pPr>
                          <w:pStyle w:val="TableParagraph"/>
                          <w:spacing w:line="148" w:lineRule="exact"/>
                          <w:ind w:left="107"/>
                          <w:rPr>
                            <w:sz w:val="16"/>
                          </w:rPr>
                        </w:pPr>
                        <w:r>
                          <w:rPr>
                            <w:sz w:val="16"/>
                          </w:rPr>
                          <w:t>Costa Verde</w:t>
                        </w:r>
                      </w:p>
                    </w:tc>
                    <w:tc>
                      <w:tcPr>
                        <w:tcW w:w="1333" w:type="dxa"/>
                        <w:tcBorders>
                          <w:top w:val="single" w:sz="4" w:space="0" w:color="FFFFFF"/>
                          <w:bottom w:val="single" w:sz="4" w:space="0" w:color="929292"/>
                        </w:tcBorders>
                      </w:tcPr>
                      <w:p>
                        <w:pPr>
                          <w:pStyle w:val="TableParagraph"/>
                          <w:spacing w:line="148" w:lineRule="exact"/>
                          <w:ind w:left="103"/>
                          <w:rPr>
                            <w:sz w:val="16"/>
                          </w:rPr>
                        </w:pPr>
                        <w:r>
                          <w:rPr>
                            <w:sz w:val="16"/>
                          </w:rPr>
                          <w:t>13,038.6</w:t>
                        </w:r>
                      </w:p>
                    </w:tc>
                    <w:tc>
                      <w:tcPr>
                        <w:tcW w:w="1842" w:type="dxa"/>
                        <w:tcBorders>
                          <w:top w:val="single" w:sz="4" w:space="0" w:color="FFFFFF"/>
                          <w:bottom w:val="single" w:sz="4" w:space="0" w:color="929292"/>
                        </w:tcBorders>
                      </w:tcPr>
                      <w:p>
                        <w:pPr>
                          <w:pStyle w:val="TableParagraph"/>
                          <w:spacing w:line="148" w:lineRule="exact"/>
                          <w:ind w:left="102"/>
                          <w:rPr>
                            <w:sz w:val="16"/>
                          </w:rPr>
                        </w:pPr>
                        <w:r>
                          <w:rPr>
                            <w:sz w:val="16"/>
                          </w:rPr>
                          <w:t>0.3</w:t>
                        </w:r>
                      </w:p>
                    </w:tc>
                    <w:tc>
                      <w:tcPr>
                        <w:tcW w:w="1134" w:type="dxa"/>
                        <w:tcBorders>
                          <w:top w:val="single" w:sz="4" w:space="0" w:color="FFFFFF"/>
                          <w:bottom w:val="single" w:sz="4" w:space="0" w:color="929292"/>
                          <w:right w:val="nil"/>
                        </w:tcBorders>
                      </w:tcPr>
                      <w:p>
                        <w:pPr>
                          <w:pStyle w:val="TableParagraph"/>
                          <w:spacing w:line="148" w:lineRule="exact"/>
                          <w:ind w:left="103"/>
                          <w:rPr>
                            <w:sz w:val="16"/>
                          </w:rPr>
                        </w:pPr>
                        <w:r>
                          <w:rPr>
                            <w:sz w:val="16"/>
                          </w:rPr>
                          <w:t>53,547</w:t>
                        </w:r>
                      </w:p>
                    </w:tc>
                  </w:tr>
                  <w:tr>
                    <w:trPr>
                      <w:trHeight w:val="152" w:hRule="exact"/>
                    </w:trPr>
                    <w:tc>
                      <w:tcPr>
                        <w:tcW w:w="3403" w:type="dxa"/>
                        <w:tcBorders>
                          <w:top w:val="single" w:sz="4" w:space="0" w:color="929292"/>
                          <w:left w:val="nil"/>
                          <w:bottom w:val="nil"/>
                        </w:tcBorders>
                      </w:tcPr>
                      <w:p>
                        <w:pPr>
                          <w:pStyle w:val="TableParagraph"/>
                          <w:tabs>
                            <w:tab w:pos="3387" w:val="left" w:leader="none"/>
                          </w:tabs>
                          <w:spacing w:line="148" w:lineRule="exact"/>
                          <w:ind w:left="35"/>
                          <w:rPr>
                            <w:sz w:val="16"/>
                          </w:rPr>
                        </w:pPr>
                        <w:r>
                          <w:rPr>
                            <w:w w:val="100"/>
                            <w:sz w:val="16"/>
                            <w:u w:val="dotted" w:color="929292"/>
                          </w:rPr>
                          <w:t> </w:t>
                        </w:r>
                        <w:r>
                          <w:rPr>
                            <w:spacing w:val="-16"/>
                            <w:sz w:val="16"/>
                            <w:u w:val="dotted" w:color="929292"/>
                          </w:rPr>
                          <w:t> </w:t>
                        </w:r>
                        <w:r>
                          <w:rPr>
                            <w:sz w:val="16"/>
                            <w:u w:val="dotted" w:color="929292"/>
                          </w:rPr>
                          <w:t>TOTAL</w:t>
                          <w:tab/>
                        </w:r>
                      </w:p>
                    </w:tc>
                    <w:tc>
                      <w:tcPr>
                        <w:tcW w:w="1333" w:type="dxa"/>
                        <w:tcBorders>
                          <w:top w:val="single" w:sz="4" w:space="0" w:color="929292"/>
                          <w:bottom w:val="single" w:sz="4" w:space="0" w:color="FFFFFF"/>
                        </w:tcBorders>
                      </w:tcPr>
                      <w:p>
                        <w:pPr>
                          <w:pStyle w:val="TableParagraph"/>
                          <w:tabs>
                            <w:tab w:pos="1313"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1,570,996.0</w:t>
                          <w:tab/>
                        </w:r>
                      </w:p>
                    </w:tc>
                    <w:tc>
                      <w:tcPr>
                        <w:tcW w:w="1842" w:type="dxa"/>
                        <w:tcBorders>
                          <w:top w:val="single" w:sz="4" w:space="0" w:color="929292"/>
                          <w:bottom w:val="single" w:sz="4" w:space="0" w:color="FFFFFF"/>
                        </w:tcBorders>
                      </w:tcPr>
                      <w:p>
                        <w:pPr>
                          <w:pStyle w:val="TableParagraph"/>
                          <w:tabs>
                            <w:tab w:pos="1821" w:val="left" w:leader="none"/>
                          </w:tabs>
                          <w:spacing w:line="148" w:lineRule="exact"/>
                          <w:ind w:left="25"/>
                          <w:rPr>
                            <w:sz w:val="16"/>
                          </w:rPr>
                        </w:pPr>
                        <w:r>
                          <w:rPr>
                            <w:w w:val="100"/>
                            <w:sz w:val="16"/>
                            <w:u w:val="dotted" w:color="929292"/>
                          </w:rPr>
                          <w:t> </w:t>
                        </w:r>
                        <w:r>
                          <w:rPr>
                            <w:spacing w:val="-12"/>
                            <w:sz w:val="16"/>
                            <w:u w:val="dotted" w:color="929292"/>
                          </w:rPr>
                          <w:t> </w:t>
                        </w:r>
                        <w:r>
                          <w:rPr>
                            <w:sz w:val="16"/>
                            <w:u w:val="dotted" w:color="929292"/>
                          </w:rPr>
                          <w:t>37.9</w:t>
                          <w:tab/>
                        </w:r>
                      </w:p>
                    </w:tc>
                    <w:tc>
                      <w:tcPr>
                        <w:tcW w:w="1134" w:type="dxa"/>
                        <w:tcBorders>
                          <w:top w:val="single" w:sz="4" w:space="0" w:color="929292"/>
                          <w:bottom w:val="single" w:sz="4" w:space="0" w:color="FFFFFF"/>
                          <w:right w:val="nil"/>
                        </w:tcBorders>
                      </w:tcPr>
                      <w:p>
                        <w:pPr>
                          <w:pStyle w:val="TableParagraph"/>
                          <w:tabs>
                            <w:tab w:pos="1109" w:val="left" w:leader="none"/>
                          </w:tabs>
                          <w:spacing w:line="148" w:lineRule="exact"/>
                          <w:ind w:left="24"/>
                          <w:rPr>
                            <w:sz w:val="16"/>
                          </w:rPr>
                        </w:pPr>
                        <w:r>
                          <w:rPr>
                            <w:w w:val="100"/>
                            <w:sz w:val="16"/>
                            <w:u w:val="dotted" w:color="929292"/>
                          </w:rPr>
                          <w:t> </w:t>
                        </w:r>
                        <w:r>
                          <w:rPr>
                            <w:spacing w:val="-11"/>
                            <w:sz w:val="16"/>
                            <w:u w:val="dotted" w:color="929292"/>
                          </w:rPr>
                          <w:t> </w:t>
                        </w:r>
                        <w:r>
                          <w:rPr>
                            <w:sz w:val="16"/>
                            <w:u w:val="dotted" w:color="929292"/>
                          </w:rPr>
                          <w:t>34,001</w:t>
                          <w:tab/>
                        </w:r>
                      </w:p>
                    </w:tc>
                  </w:tr>
                </w:tbl>
                <w:p>
                  <w:pPr>
                    <w:pStyle w:val="BodyText"/>
                  </w:pPr>
                </w:p>
              </w:txbxContent>
            </v:textbox>
            <w10:wrap type="none"/>
          </v:shape>
        </w:pict>
      </w:r>
      <w:r>
        <w:rPr>
          <w:color w:val="6D6E71"/>
          <w:sz w:val="16"/>
        </w:rPr>
        <w:t>Table 2. Economic performance of various regions of the Brazilian Megalopolis in 2011</w:t>
      </w:r>
    </w:p>
    <w:p>
      <w:pPr>
        <w:pStyle w:val="BodyText"/>
        <w:spacing w:line="249" w:lineRule="auto" w:before="76"/>
        <w:ind w:left="118" w:right="128" w:firstLine="170"/>
        <w:jc w:val="both"/>
      </w:pPr>
      <w:r>
        <w:rPr/>
        <w:br w:type="column"/>
      </w:r>
      <w:r>
        <w:rPr/>
        <w:t>The role of agriculture in GDP production in the study area is relatively minor, which results from its high degree of urbanization. The only areas in the Megalopolis featuring some substantial amount of agriculture were southwestern parts of RM Sorocaba, central</w:t>
      </w:r>
      <w:r>
        <w:rPr>
          <w:spacing w:val="-11"/>
        </w:rPr>
        <w:t> </w:t>
      </w:r>
      <w:r>
        <w:rPr/>
        <w:t>parts</w:t>
      </w:r>
      <w:r>
        <w:rPr>
          <w:spacing w:val="-11"/>
        </w:rPr>
        <w:t> </w:t>
      </w:r>
      <w:r>
        <w:rPr/>
        <w:t>of</w:t>
      </w:r>
      <w:r>
        <w:rPr>
          <w:spacing w:val="-10"/>
        </w:rPr>
        <w:t> </w:t>
      </w:r>
      <w:r>
        <w:rPr/>
        <w:t>RM</w:t>
      </w:r>
      <w:r>
        <w:rPr>
          <w:spacing w:val="-11"/>
        </w:rPr>
        <w:t> </w:t>
      </w:r>
      <w:r>
        <w:rPr/>
        <w:t>Vale</w:t>
      </w:r>
      <w:r>
        <w:rPr>
          <w:spacing w:val="-10"/>
        </w:rPr>
        <w:t> </w:t>
      </w:r>
      <w:r>
        <w:rPr/>
        <w:t>do</w:t>
      </w:r>
      <w:r>
        <w:rPr>
          <w:spacing w:val="-11"/>
        </w:rPr>
        <w:t> </w:t>
      </w:r>
      <w:r>
        <w:rPr/>
        <w:t>Paraiba</w:t>
      </w:r>
      <w:r>
        <w:rPr>
          <w:spacing w:val="-11"/>
        </w:rPr>
        <w:t> </w:t>
      </w:r>
      <w:r>
        <w:rPr/>
        <w:t>e</w:t>
      </w:r>
      <w:r>
        <w:rPr>
          <w:spacing w:val="-10"/>
        </w:rPr>
        <w:t> </w:t>
      </w:r>
      <w:r>
        <w:rPr/>
        <w:t>Litoral</w:t>
      </w:r>
      <w:r>
        <w:rPr>
          <w:spacing w:val="-11"/>
        </w:rPr>
        <w:t> </w:t>
      </w:r>
      <w:r>
        <w:rPr/>
        <w:t>Norte,</w:t>
      </w:r>
      <w:r>
        <w:rPr>
          <w:spacing w:val="-11"/>
        </w:rPr>
        <w:t> </w:t>
      </w:r>
      <w:r>
        <w:rPr/>
        <w:t>northwestern</w:t>
      </w:r>
      <w:r>
        <w:rPr>
          <w:spacing w:val="-10"/>
        </w:rPr>
        <w:t> </w:t>
      </w:r>
      <w:r>
        <w:rPr/>
        <w:t>parts</w:t>
      </w:r>
      <w:r>
        <w:rPr>
          <w:spacing w:val="-11"/>
        </w:rPr>
        <w:t> </w:t>
      </w:r>
      <w:r>
        <w:rPr/>
        <w:t>of</w:t>
      </w:r>
      <w:r>
        <w:rPr>
          <w:spacing w:val="-11"/>
        </w:rPr>
        <w:t> </w:t>
      </w:r>
      <w:r>
        <w:rPr/>
        <w:t>AU</w:t>
      </w:r>
      <w:r>
        <w:rPr>
          <w:spacing w:val="-10"/>
        </w:rPr>
        <w:t> </w:t>
      </w:r>
      <w:r>
        <w:rPr/>
        <w:t>Piracicaba, northeastern parts of the Serrana Region, and the Norte Fluminense Region. The “agricultural” municipalities of the Megalopolis are found in peripheral areas of its constituent regions and are characterized by a relatively low degree of urbanization (Fig. 5). The absence of a large industrial base has helped preserve the agricultural nature of these municipalities to some extent (Fig.</w:t>
      </w:r>
      <w:r>
        <w:rPr>
          <w:spacing w:val="17"/>
        </w:rPr>
        <w:t> </w:t>
      </w:r>
      <w:r>
        <w:rPr/>
        <w:t>6).</w:t>
      </w:r>
    </w:p>
    <w:p>
      <w:pPr>
        <w:pStyle w:val="BodyText"/>
        <w:spacing w:before="11"/>
      </w:pPr>
    </w:p>
    <w:p>
      <w:pPr>
        <w:pStyle w:val="BodyText"/>
        <w:spacing w:line="249" w:lineRule="auto"/>
        <w:ind w:left="118" w:right="127" w:firstLine="170"/>
        <w:jc w:val="both"/>
      </w:pPr>
      <w:r>
        <w:rPr/>
        <w:t>Industry plays the most important role in GDP creation in municipalities that surround the cities of Campinas and Sao Paulo. The same is true of the northern part of RM Sorocaba</w:t>
      </w:r>
      <w:r>
        <w:rPr>
          <w:spacing w:val="-11"/>
        </w:rPr>
        <w:t> </w:t>
      </w:r>
      <w:r>
        <w:rPr/>
        <w:t>and</w:t>
      </w:r>
      <w:r>
        <w:rPr>
          <w:spacing w:val="-11"/>
        </w:rPr>
        <w:t> </w:t>
      </w:r>
      <w:r>
        <w:rPr/>
        <w:t>the</w:t>
      </w:r>
      <w:r>
        <w:rPr>
          <w:spacing w:val="-11"/>
        </w:rPr>
        <w:t> </w:t>
      </w:r>
      <w:r>
        <w:rPr/>
        <w:t>southern</w:t>
      </w:r>
      <w:r>
        <w:rPr>
          <w:spacing w:val="-11"/>
        </w:rPr>
        <w:t> </w:t>
      </w:r>
      <w:r>
        <w:rPr/>
        <w:t>part</w:t>
      </w:r>
      <w:r>
        <w:rPr>
          <w:spacing w:val="-11"/>
        </w:rPr>
        <w:t> </w:t>
      </w:r>
      <w:r>
        <w:rPr/>
        <w:t>of</w:t>
      </w:r>
      <w:r>
        <w:rPr>
          <w:spacing w:val="-11"/>
        </w:rPr>
        <w:t> </w:t>
      </w:r>
      <w:r>
        <w:rPr/>
        <w:t>AU</w:t>
      </w:r>
      <w:r>
        <w:rPr>
          <w:spacing w:val="-11"/>
        </w:rPr>
        <w:t> </w:t>
      </w:r>
      <w:r>
        <w:rPr/>
        <w:t>Piracicaba.</w:t>
      </w:r>
      <w:r>
        <w:rPr>
          <w:spacing w:val="-11"/>
        </w:rPr>
        <w:t> </w:t>
      </w:r>
      <w:r>
        <w:rPr/>
        <w:t>In</w:t>
      </w:r>
      <w:r>
        <w:rPr>
          <w:spacing w:val="-11"/>
        </w:rPr>
        <w:t> </w:t>
      </w:r>
      <w:r>
        <w:rPr/>
        <w:t>addition,</w:t>
      </w:r>
      <w:r>
        <w:rPr>
          <w:spacing w:val="-11"/>
        </w:rPr>
        <w:t> </w:t>
      </w:r>
      <w:r>
        <w:rPr/>
        <w:t>an</w:t>
      </w:r>
      <w:r>
        <w:rPr>
          <w:spacing w:val="-11"/>
        </w:rPr>
        <w:t> </w:t>
      </w:r>
      <w:r>
        <w:rPr/>
        <w:t>“industrial</w:t>
      </w:r>
      <w:r>
        <w:rPr>
          <w:spacing w:val="-11"/>
        </w:rPr>
        <w:t> </w:t>
      </w:r>
      <w:r>
        <w:rPr/>
        <w:t>corridor”</w:t>
      </w:r>
      <w:r>
        <w:rPr>
          <w:spacing w:val="-11"/>
        </w:rPr>
        <w:t> </w:t>
      </w:r>
      <w:r>
        <w:rPr/>
        <w:t>can be</w:t>
      </w:r>
      <w:r>
        <w:rPr>
          <w:spacing w:val="-8"/>
        </w:rPr>
        <w:t> </w:t>
      </w:r>
      <w:r>
        <w:rPr/>
        <w:t>observed</w:t>
      </w:r>
      <w:r>
        <w:rPr>
          <w:spacing w:val="-8"/>
        </w:rPr>
        <w:t> </w:t>
      </w:r>
      <w:r>
        <w:rPr/>
        <w:t>in</w:t>
      </w:r>
      <w:r>
        <w:rPr>
          <w:spacing w:val="-8"/>
        </w:rPr>
        <w:t> </w:t>
      </w:r>
      <w:r>
        <w:rPr/>
        <w:t>the</w:t>
      </w:r>
      <w:r>
        <w:rPr>
          <w:spacing w:val="-8"/>
        </w:rPr>
        <w:t> </w:t>
      </w:r>
      <w:r>
        <w:rPr/>
        <w:t>Paraiba</w:t>
      </w:r>
      <w:r>
        <w:rPr>
          <w:spacing w:val="-8"/>
        </w:rPr>
        <w:t> </w:t>
      </w:r>
      <w:r>
        <w:rPr/>
        <w:t>river</w:t>
      </w:r>
      <w:r>
        <w:rPr>
          <w:spacing w:val="-8"/>
        </w:rPr>
        <w:t> </w:t>
      </w:r>
      <w:r>
        <w:rPr/>
        <w:t>valley</w:t>
      </w:r>
      <w:r>
        <w:rPr>
          <w:spacing w:val="-8"/>
        </w:rPr>
        <w:t> </w:t>
      </w:r>
      <w:r>
        <w:rPr/>
        <w:t>along</w:t>
      </w:r>
      <w:r>
        <w:rPr>
          <w:spacing w:val="-8"/>
        </w:rPr>
        <w:t> </w:t>
      </w:r>
      <w:r>
        <w:rPr/>
        <w:t>the</w:t>
      </w:r>
      <w:r>
        <w:rPr>
          <w:spacing w:val="-8"/>
        </w:rPr>
        <w:t> </w:t>
      </w:r>
      <w:r>
        <w:rPr/>
        <w:t>President</w:t>
      </w:r>
      <w:r>
        <w:rPr>
          <w:spacing w:val="-8"/>
        </w:rPr>
        <w:t> </w:t>
      </w:r>
      <w:r>
        <w:rPr/>
        <w:t>Dutra</w:t>
      </w:r>
      <w:r>
        <w:rPr>
          <w:spacing w:val="-8"/>
        </w:rPr>
        <w:t> </w:t>
      </w:r>
      <w:r>
        <w:rPr/>
        <w:t>Highway</w:t>
      </w:r>
      <w:r>
        <w:rPr>
          <w:spacing w:val="-8"/>
        </w:rPr>
        <w:t> </w:t>
      </w:r>
      <w:r>
        <w:rPr/>
        <w:t>linking</w:t>
      </w:r>
      <w:r>
        <w:rPr>
          <w:spacing w:val="-8"/>
        </w:rPr>
        <w:t> </w:t>
      </w:r>
      <w:r>
        <w:rPr/>
        <w:t>Rio</w:t>
      </w:r>
      <w:r>
        <w:rPr>
          <w:spacing w:val="-8"/>
        </w:rPr>
        <w:t> </w:t>
      </w:r>
      <w:r>
        <w:rPr/>
        <w:t>de Janeiro with Sao Paulo. This important highway has triggered an industrial boom in the valley in the last two decades due to new plant construction, old plant modernization, and old plant expansion. The following six are the most important industrial cities in   the Paraiba river valley: São Jose dos Campos, Taubate, Resende, Porto Real, Barra Mansa, Volta</w:t>
      </w:r>
      <w:r>
        <w:rPr>
          <w:spacing w:val="-1"/>
        </w:rPr>
        <w:t> </w:t>
      </w:r>
      <w:r>
        <w:rPr/>
        <w:t>Redonda.</w:t>
      </w:r>
    </w:p>
    <w:p>
      <w:pPr>
        <w:pStyle w:val="BodyText"/>
        <w:spacing w:before="11"/>
      </w:pPr>
    </w:p>
    <w:p>
      <w:pPr>
        <w:pStyle w:val="BodyText"/>
        <w:spacing w:line="249" w:lineRule="auto"/>
        <w:ind w:left="118" w:right="127" w:firstLine="170"/>
        <w:jc w:val="both"/>
      </w:pPr>
      <w:r>
        <w:rPr/>
        <w:t>A large share of industrial GDP produced by the Megalopolis is produced by municipalities in the southern and central parts of the Norte Fluminense Region. The largest</w:t>
      </w:r>
      <w:r>
        <w:rPr>
          <w:spacing w:val="-16"/>
        </w:rPr>
        <w:t> </w:t>
      </w:r>
      <w:r>
        <w:rPr/>
        <w:t>(in</w:t>
      </w:r>
      <w:r>
        <w:rPr>
          <w:spacing w:val="-16"/>
        </w:rPr>
        <w:t> </w:t>
      </w:r>
      <w:r>
        <w:rPr/>
        <w:t>terms</w:t>
      </w:r>
      <w:r>
        <w:rPr>
          <w:spacing w:val="-16"/>
        </w:rPr>
        <w:t> </w:t>
      </w:r>
      <w:r>
        <w:rPr/>
        <w:t>of</w:t>
      </w:r>
      <w:r>
        <w:rPr>
          <w:spacing w:val="-16"/>
        </w:rPr>
        <w:t> </w:t>
      </w:r>
      <w:r>
        <w:rPr/>
        <w:t>area)</w:t>
      </w:r>
      <w:r>
        <w:rPr>
          <w:spacing w:val="-16"/>
        </w:rPr>
        <w:t> </w:t>
      </w:r>
      <w:r>
        <w:rPr/>
        <w:t>municipality</w:t>
      </w:r>
      <w:r>
        <w:rPr>
          <w:spacing w:val="-16"/>
        </w:rPr>
        <w:t> </w:t>
      </w:r>
      <w:r>
        <w:rPr/>
        <w:t>in</w:t>
      </w:r>
      <w:r>
        <w:rPr>
          <w:spacing w:val="-16"/>
        </w:rPr>
        <w:t> </w:t>
      </w:r>
      <w:r>
        <w:rPr/>
        <w:t>the</w:t>
      </w:r>
      <w:r>
        <w:rPr>
          <w:spacing w:val="-16"/>
        </w:rPr>
        <w:t> </w:t>
      </w:r>
      <w:r>
        <w:rPr/>
        <w:t>region</w:t>
      </w:r>
      <w:r>
        <w:rPr>
          <w:spacing w:val="-16"/>
        </w:rPr>
        <w:t> </w:t>
      </w:r>
      <w:r>
        <w:rPr/>
        <w:t>–</w:t>
      </w:r>
      <w:r>
        <w:rPr>
          <w:spacing w:val="-16"/>
        </w:rPr>
        <w:t> </w:t>
      </w:r>
      <w:r>
        <w:rPr/>
        <w:t>Campos</w:t>
      </w:r>
      <w:r>
        <w:rPr>
          <w:spacing w:val="-16"/>
        </w:rPr>
        <w:t> </w:t>
      </w:r>
      <w:r>
        <w:rPr/>
        <w:t>dos</w:t>
      </w:r>
      <w:r>
        <w:rPr>
          <w:spacing w:val="-16"/>
        </w:rPr>
        <w:t> </w:t>
      </w:r>
      <w:r>
        <w:rPr/>
        <w:t>Goytacazes</w:t>
      </w:r>
      <w:r>
        <w:rPr>
          <w:spacing w:val="-16"/>
        </w:rPr>
        <w:t> </w:t>
      </w:r>
      <w:r>
        <w:rPr/>
        <w:t>–</w:t>
      </w:r>
      <w:r>
        <w:rPr>
          <w:spacing w:val="-16"/>
        </w:rPr>
        <w:t> </w:t>
      </w:r>
      <w:r>
        <w:rPr/>
        <w:t>deserves particular attention. The area includes a city with the same name, which is home to more than 480,000 people, and serves as a principal oil and gas producing center in Brazil. Both raw materials are extracted from the nearby Atlantic Shelf. Other industries to develop in this area are the ceramics industry as well as the sugar cane processing industry. In 2012, more than 81% of the GDP produced by this geographic area was produced by industry. In addition, Campos dos Goytacazes had one of the largest GDP per capita ratios (95,500 reals in 2012) in the Megalopolis. The average ratio for Brazil was less than 22,000 reals for the same time period. Finally, the source of the GDP is also relevant in this case. Both Sao Paulo and Rio de Janeiro produced relatively little GDP via industry, which is rather characteristic of both emerging and established [post- industrial] global cities. Traditional industry is often replaced by advanced services in these types of cities – often by services in the so-called FIRE sector (Fig.</w:t>
      </w:r>
      <w:r>
        <w:rPr>
          <w:spacing w:val="12"/>
        </w:rPr>
        <w:t> </w:t>
      </w:r>
      <w:r>
        <w:rPr/>
        <w:t>7).</w:t>
      </w:r>
    </w:p>
    <w:p>
      <w:pPr>
        <w:spacing w:after="0" w:line="249" w:lineRule="auto"/>
        <w:jc w:val="both"/>
        <w:sectPr>
          <w:type w:val="continuous"/>
          <w:pgSz w:w="18830" w:h="12760" w:orient="landscape"/>
          <w:pgMar w:top="1420" w:bottom="280" w:left="720" w:right="720"/>
          <w:cols w:num="2" w:equalWidth="0">
            <w:col w:w="7830" w:space="1593"/>
            <w:col w:w="7967"/>
          </w:cols>
        </w:sectPr>
      </w:pPr>
    </w:p>
    <w:p>
      <w:pPr>
        <w:pStyle w:val="BodyText"/>
      </w:pPr>
    </w:p>
    <w:p>
      <w:pPr>
        <w:pStyle w:val="BodyText"/>
      </w:pPr>
    </w:p>
    <w:p>
      <w:pPr>
        <w:pStyle w:val="BodyText"/>
      </w:pPr>
    </w:p>
    <w:p>
      <w:pPr>
        <w:pStyle w:val="BodyText"/>
        <w:spacing w:before="8"/>
        <w:rPr>
          <w:sz w:val="19"/>
        </w:rPr>
      </w:pPr>
    </w:p>
    <w:p>
      <w:pPr>
        <w:spacing w:before="81"/>
        <w:ind w:left="1684" w:right="0" w:firstLine="0"/>
        <w:jc w:val="left"/>
        <w:rPr>
          <w:sz w:val="16"/>
        </w:rPr>
      </w:pPr>
      <w:r>
        <w:rPr>
          <w:color w:val="6D6E71"/>
          <w:sz w:val="16"/>
        </w:rPr>
        <w:t>Source: prepared by the author on the basis of  data from IBGE.</w:t>
      </w:r>
    </w:p>
    <w:p>
      <w:pPr>
        <w:spacing w:after="0"/>
        <w:jc w:val="left"/>
        <w:rPr>
          <w:sz w:val="16"/>
        </w:rPr>
        <w:sectPr>
          <w:type w:val="continuous"/>
          <w:pgSz w:w="18830" w:h="12760" w:orient="landscape"/>
          <w:pgMar w:top="1420" w:bottom="280" w:left="720" w:right="720"/>
        </w:sectPr>
      </w:pPr>
    </w:p>
    <w:p>
      <w:pPr>
        <w:pStyle w:val="BodyText"/>
        <w:spacing w:before="8"/>
        <w:rPr>
          <w:sz w:val="23"/>
        </w:rPr>
      </w:pPr>
    </w:p>
    <w:p>
      <w:pPr>
        <w:spacing w:after="0"/>
        <w:rPr>
          <w:sz w:val="23"/>
        </w:rPr>
        <w:sectPr>
          <w:footerReference w:type="default" r:id="rId550"/>
          <w:pgSz w:w="18830" w:h="12760" w:orient="landscape"/>
          <w:pgMar w:footer="1036" w:header="522" w:top="820" w:bottom="1220" w:left="720" w:right="720"/>
        </w:sectPr>
      </w:pPr>
    </w:p>
    <w:p>
      <w:pPr>
        <w:spacing w:line="312" w:lineRule="auto" w:before="112"/>
        <w:ind w:left="225" w:right="0" w:firstLine="0"/>
        <w:jc w:val="center"/>
        <w:rPr>
          <w:sz w:val="16"/>
        </w:rPr>
      </w:pPr>
      <w:r>
        <w:rPr/>
        <w:drawing>
          <wp:anchor distT="0" distB="0" distL="0" distR="0" allowOverlap="1" layoutInCell="1" locked="0" behindDoc="1" simplePos="0" relativeHeight="267802871">
            <wp:simplePos x="0" y="0"/>
            <wp:positionH relativeFrom="page">
              <wp:posOffset>893669</wp:posOffset>
            </wp:positionH>
            <wp:positionV relativeFrom="paragraph">
              <wp:posOffset>346180</wp:posOffset>
            </wp:positionV>
            <wp:extent cx="4189441" cy="2267481"/>
            <wp:effectExtent l="0" t="0" r="0" b="0"/>
            <wp:wrapNone/>
            <wp:docPr id="225" name="image163.jpeg" descr=""/>
            <wp:cNvGraphicFramePr>
              <a:graphicFrameLocks noChangeAspect="1"/>
            </wp:cNvGraphicFramePr>
            <a:graphic>
              <a:graphicData uri="http://schemas.openxmlformats.org/drawingml/2006/picture">
                <pic:pic>
                  <pic:nvPicPr>
                    <pic:cNvPr id="226" name="image163.jpeg"/>
                    <pic:cNvPicPr/>
                  </pic:nvPicPr>
                  <pic:blipFill>
                    <a:blip r:embed="rId551" cstate="print"/>
                    <a:stretch>
                      <a:fillRect/>
                    </a:stretch>
                  </pic:blipFill>
                  <pic:spPr>
                    <a:xfrm>
                      <a:off x="0" y="0"/>
                      <a:ext cx="4189441" cy="2267481"/>
                    </a:xfrm>
                    <a:prstGeom prst="rect">
                      <a:avLst/>
                    </a:prstGeom>
                  </pic:spPr>
                </pic:pic>
              </a:graphicData>
            </a:graphic>
          </wp:anchor>
        </w:drawing>
      </w:r>
      <w:r>
        <w:rPr>
          <w:color w:val="6D6E71"/>
          <w:sz w:val="16"/>
        </w:rPr>
        <w:t>Fig. 6. Gross Value Added in agriculture as a percentage of total GVA of the municipalities of the Brazilian</w:t>
      </w:r>
      <w:r>
        <w:rPr>
          <w:color w:val="6D6E71"/>
          <w:w w:val="98"/>
          <w:sz w:val="16"/>
        </w:rPr>
        <w:t> </w:t>
      </w:r>
      <w:r>
        <w:rPr>
          <w:color w:val="6D6E71"/>
          <w:sz w:val="16"/>
        </w:rPr>
        <w:t>Megalopolis in 2012</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before="106"/>
        <w:ind w:left="225" w:right="0" w:firstLine="0"/>
        <w:jc w:val="center"/>
        <w:rPr>
          <w:sz w:val="16"/>
        </w:rPr>
      </w:pPr>
      <w:r>
        <w:rPr>
          <w:color w:val="6D6E71"/>
          <w:sz w:val="16"/>
        </w:rPr>
        <w:t>Source: prepared by the author on the basis of data from IBGE.</w:t>
      </w:r>
    </w:p>
    <w:p>
      <w:pPr>
        <w:pStyle w:val="BodyText"/>
        <w:rPr>
          <w:sz w:val="16"/>
        </w:rPr>
      </w:pPr>
    </w:p>
    <w:p>
      <w:pPr>
        <w:spacing w:line="312" w:lineRule="auto" w:before="112"/>
        <w:ind w:left="228" w:right="0" w:firstLine="0"/>
        <w:jc w:val="center"/>
        <w:rPr>
          <w:sz w:val="16"/>
        </w:rPr>
      </w:pPr>
      <w:r>
        <w:rPr>
          <w:color w:val="6D6E71"/>
          <w:sz w:val="16"/>
        </w:rPr>
        <w:t>Fig. 7. Gross Value Added in industry as a percentage of total GVA of the municipalities of the Brazilian Megalopolis in 2012</w:t>
      </w:r>
    </w:p>
    <w:p>
      <w:pPr>
        <w:pStyle w:val="BodyText"/>
        <w:spacing w:before="4"/>
        <w:rPr>
          <w:sz w:val="9"/>
        </w:rPr>
      </w:pPr>
    </w:p>
    <w:p>
      <w:pPr>
        <w:pStyle w:val="BodyText"/>
        <w:ind w:left="694"/>
      </w:pPr>
      <w:r>
        <w:rPr/>
        <w:drawing>
          <wp:inline distT="0" distB="0" distL="0" distR="0">
            <wp:extent cx="4207676" cy="2571750"/>
            <wp:effectExtent l="0" t="0" r="0" b="0"/>
            <wp:docPr id="227" name="image164.jpeg" descr=""/>
            <wp:cNvGraphicFramePr>
              <a:graphicFrameLocks noChangeAspect="1"/>
            </wp:cNvGraphicFramePr>
            <a:graphic>
              <a:graphicData uri="http://schemas.openxmlformats.org/drawingml/2006/picture">
                <pic:pic>
                  <pic:nvPicPr>
                    <pic:cNvPr id="228" name="image164.jpeg"/>
                    <pic:cNvPicPr/>
                  </pic:nvPicPr>
                  <pic:blipFill>
                    <a:blip r:embed="rId552" cstate="print"/>
                    <a:stretch>
                      <a:fillRect/>
                    </a:stretch>
                  </pic:blipFill>
                  <pic:spPr>
                    <a:xfrm>
                      <a:off x="0" y="0"/>
                      <a:ext cx="4207676" cy="2571750"/>
                    </a:xfrm>
                    <a:prstGeom prst="rect">
                      <a:avLst/>
                    </a:prstGeom>
                  </pic:spPr>
                </pic:pic>
              </a:graphicData>
            </a:graphic>
          </wp:inline>
        </w:drawing>
      </w:r>
      <w:r>
        <w:rPr/>
      </w:r>
    </w:p>
    <w:p>
      <w:pPr>
        <w:pStyle w:val="BodyText"/>
        <w:rPr>
          <w:sz w:val="16"/>
        </w:rPr>
      </w:pPr>
    </w:p>
    <w:p>
      <w:pPr>
        <w:pStyle w:val="BodyText"/>
        <w:spacing w:before="2"/>
        <w:rPr>
          <w:sz w:val="19"/>
        </w:rPr>
      </w:pPr>
    </w:p>
    <w:p>
      <w:pPr>
        <w:spacing w:before="0"/>
        <w:ind w:left="225" w:right="0" w:firstLine="0"/>
        <w:jc w:val="center"/>
        <w:rPr>
          <w:sz w:val="16"/>
        </w:rPr>
      </w:pPr>
      <w:r>
        <w:rPr>
          <w:color w:val="6D6E71"/>
          <w:sz w:val="16"/>
        </w:rPr>
        <w:t>Source: prepared by the author on the basis of data from IBGE.</w:t>
      </w:r>
    </w:p>
    <w:p>
      <w:pPr>
        <w:pStyle w:val="BodyText"/>
        <w:spacing w:line="249" w:lineRule="auto" w:before="74"/>
        <w:ind w:left="233" w:right="129" w:firstLine="170"/>
        <w:jc w:val="both"/>
      </w:pPr>
      <w:r>
        <w:rPr/>
        <w:br w:type="column"/>
      </w:r>
      <w:r>
        <w:rPr/>
        <w:t>The largest share of GDP produced by the services sector was noted for the two main cities of the Brazilian Megalopolis as well as for certain suburban municipalities surrounding these two main cities. This is due to the presence of advanced services   in the two cities such as banking, real estate sales, business services, legal services, media services, and advertising (Bernardes da Silva, Castillo 2007; Consoni Rossi, Taylor 2007; Deák, Schiffer 2007). In the state of Sao Paulo, a robust services sector was also observed in municipalities found along the Atlantic coast. The two pillars of this sector are tourism in some cases and seaport services in other cases. It is worth noting that the services sector also produces a high share of GDP in municipalities with little industry and notable agricultural output. This points to the weakness of the local economy,</w:t>
      </w:r>
      <w:r>
        <w:rPr>
          <w:spacing w:val="-8"/>
        </w:rPr>
        <w:t> </w:t>
      </w:r>
      <w:r>
        <w:rPr/>
        <w:t>which</w:t>
      </w:r>
      <w:r>
        <w:rPr>
          <w:spacing w:val="-8"/>
        </w:rPr>
        <w:t> </w:t>
      </w:r>
      <w:r>
        <w:rPr/>
        <w:t>lacks</w:t>
      </w:r>
      <w:r>
        <w:rPr>
          <w:spacing w:val="-8"/>
        </w:rPr>
        <w:t> </w:t>
      </w:r>
      <w:r>
        <w:rPr/>
        <w:t>a</w:t>
      </w:r>
      <w:r>
        <w:rPr>
          <w:spacing w:val="-8"/>
        </w:rPr>
        <w:t> </w:t>
      </w:r>
      <w:r>
        <w:rPr/>
        <w:t>robust</w:t>
      </w:r>
      <w:r>
        <w:rPr>
          <w:spacing w:val="-8"/>
        </w:rPr>
        <w:t> </w:t>
      </w:r>
      <w:r>
        <w:rPr/>
        <w:t>industrial</w:t>
      </w:r>
      <w:r>
        <w:rPr>
          <w:spacing w:val="-7"/>
        </w:rPr>
        <w:t> </w:t>
      </w:r>
      <w:r>
        <w:rPr/>
        <w:t>sector</w:t>
      </w:r>
      <w:r>
        <w:rPr>
          <w:spacing w:val="-8"/>
        </w:rPr>
        <w:t> </w:t>
      </w:r>
      <w:r>
        <w:rPr/>
        <w:t>and</w:t>
      </w:r>
      <w:r>
        <w:rPr>
          <w:spacing w:val="-8"/>
        </w:rPr>
        <w:t> </w:t>
      </w:r>
      <w:r>
        <w:rPr/>
        <w:t>relies</w:t>
      </w:r>
      <w:r>
        <w:rPr>
          <w:spacing w:val="-8"/>
        </w:rPr>
        <w:t> </w:t>
      </w:r>
      <w:r>
        <w:rPr/>
        <w:t>on</w:t>
      </w:r>
      <w:r>
        <w:rPr>
          <w:spacing w:val="-8"/>
        </w:rPr>
        <w:t> </w:t>
      </w:r>
      <w:r>
        <w:rPr/>
        <w:t>services</w:t>
      </w:r>
      <w:r>
        <w:rPr>
          <w:spacing w:val="-8"/>
        </w:rPr>
        <w:t> </w:t>
      </w:r>
      <w:r>
        <w:rPr/>
        <w:t>and</w:t>
      </w:r>
      <w:r>
        <w:rPr>
          <w:spacing w:val="-8"/>
        </w:rPr>
        <w:t> </w:t>
      </w:r>
      <w:r>
        <w:rPr/>
        <w:t>agriculture</w:t>
      </w:r>
      <w:r>
        <w:rPr>
          <w:spacing w:val="-7"/>
        </w:rPr>
        <w:t> </w:t>
      </w:r>
      <w:r>
        <w:rPr/>
        <w:t>to fill the gap in GDP creation. Examples of this include municipalities in the southern part of RM Sorocaba and the middle belt of municipalities in RM Vale do Paraiba e Litoral Norte (Fig.</w:t>
      </w:r>
      <w:r>
        <w:rPr>
          <w:spacing w:val="-7"/>
        </w:rPr>
        <w:t> </w:t>
      </w:r>
      <w:r>
        <w:rPr/>
        <w:t>8).</w:t>
      </w:r>
    </w:p>
    <w:p>
      <w:pPr>
        <w:pStyle w:val="BodyText"/>
        <w:spacing w:before="2"/>
        <w:rPr>
          <w:sz w:val="24"/>
        </w:rPr>
      </w:pPr>
    </w:p>
    <w:p>
      <w:pPr>
        <w:spacing w:line="312" w:lineRule="auto" w:before="0"/>
        <w:ind w:left="412" w:right="309" w:firstLine="0"/>
        <w:jc w:val="center"/>
        <w:rPr>
          <w:sz w:val="16"/>
        </w:rPr>
      </w:pPr>
      <w:r>
        <w:rPr>
          <w:color w:val="6D6E71"/>
          <w:sz w:val="16"/>
        </w:rPr>
        <w:t>Fig. 8. Gross Value Added in services as a percentage of total GVA of the municipalities of the Brazilian Megalopolis in 2012</w:t>
      </w:r>
    </w:p>
    <w:p>
      <w:pPr>
        <w:pStyle w:val="BodyText"/>
        <w:spacing w:before="5"/>
        <w:rPr>
          <w:sz w:val="7"/>
        </w:rPr>
      </w:pPr>
    </w:p>
    <w:p>
      <w:pPr>
        <w:pStyle w:val="BodyText"/>
        <w:ind w:left="225"/>
      </w:pPr>
      <w:r>
        <w:rPr/>
        <w:drawing>
          <wp:inline distT="0" distB="0" distL="0" distR="0">
            <wp:extent cx="4882038" cy="2696051"/>
            <wp:effectExtent l="0" t="0" r="0" b="0"/>
            <wp:docPr id="229" name="image165.jpeg" descr=""/>
            <wp:cNvGraphicFramePr>
              <a:graphicFrameLocks noChangeAspect="1"/>
            </wp:cNvGraphicFramePr>
            <a:graphic>
              <a:graphicData uri="http://schemas.openxmlformats.org/drawingml/2006/picture">
                <pic:pic>
                  <pic:nvPicPr>
                    <pic:cNvPr id="230" name="image165.jpeg"/>
                    <pic:cNvPicPr/>
                  </pic:nvPicPr>
                  <pic:blipFill>
                    <a:blip r:embed="rId553" cstate="print"/>
                    <a:stretch>
                      <a:fillRect/>
                    </a:stretch>
                  </pic:blipFill>
                  <pic:spPr>
                    <a:xfrm>
                      <a:off x="0" y="0"/>
                      <a:ext cx="4882038" cy="2696051"/>
                    </a:xfrm>
                    <a:prstGeom prst="rect">
                      <a:avLst/>
                    </a:prstGeom>
                  </pic:spPr>
                </pic:pic>
              </a:graphicData>
            </a:graphic>
          </wp:inline>
        </w:drawing>
      </w:r>
      <w:r>
        <w:rPr/>
      </w:r>
    </w:p>
    <w:p>
      <w:pPr>
        <w:pStyle w:val="BodyText"/>
      </w:pPr>
    </w:p>
    <w:p>
      <w:pPr>
        <w:spacing w:before="1"/>
        <w:ind w:left="410" w:right="309" w:firstLine="0"/>
        <w:jc w:val="center"/>
        <w:rPr>
          <w:sz w:val="16"/>
        </w:rPr>
      </w:pPr>
      <w:r>
        <w:rPr>
          <w:color w:val="6D6E71"/>
          <w:sz w:val="16"/>
        </w:rPr>
        <w:t>Source: prepared by the author on the basis of data from IBGE.</w:t>
      </w:r>
    </w:p>
    <w:p>
      <w:pPr>
        <w:pStyle w:val="BodyText"/>
        <w:spacing w:before="5"/>
        <w:rPr>
          <w:sz w:val="22"/>
        </w:rPr>
      </w:pPr>
    </w:p>
    <w:p>
      <w:pPr>
        <w:pStyle w:val="BodyText"/>
        <w:spacing w:line="249" w:lineRule="auto"/>
        <w:ind w:left="233" w:right="128" w:firstLine="170"/>
        <w:jc w:val="both"/>
      </w:pPr>
      <w:r>
        <w:rPr/>
        <w:t>Municipalities forming the so-called Brazilian Megalopolis  are  characterized  by  large disproportions in terms of economic development, as measured by GDP per capita. The low end of the GDP per capita spectrum does not exceed 15,000 reals. Such values are common in the southern parts of the Sorocaba and Baixada  </w:t>
      </w:r>
      <w:r>
        <w:rPr>
          <w:spacing w:val="43"/>
        </w:rPr>
        <w:t> </w:t>
      </w:r>
      <w:r>
        <w:rPr/>
        <w:t>Santista</w:t>
      </w:r>
    </w:p>
    <w:p>
      <w:pPr>
        <w:spacing w:after="0" w:line="249" w:lineRule="auto"/>
        <w:jc w:val="both"/>
        <w:sectPr>
          <w:type w:val="continuous"/>
          <w:pgSz w:w="18830" w:h="12760" w:orient="landscape"/>
          <w:pgMar w:top="1420" w:bottom="280" w:left="720" w:right="720"/>
          <w:cols w:num="2" w:equalWidth="0">
            <w:col w:w="7747" w:space="1560"/>
            <w:col w:w="8083"/>
          </w:cols>
        </w:sectPr>
      </w:pPr>
    </w:p>
    <w:p>
      <w:pPr>
        <w:pStyle w:val="BodyText"/>
        <w:spacing w:before="6"/>
        <w:rPr>
          <w:sz w:val="23"/>
        </w:rPr>
      </w:pPr>
    </w:p>
    <w:p>
      <w:pPr>
        <w:spacing w:after="0"/>
        <w:rPr>
          <w:sz w:val="23"/>
        </w:rPr>
        <w:sectPr>
          <w:footerReference w:type="default" r:id="rId554"/>
          <w:pgSz w:w="18830" w:h="12760" w:orient="landscape"/>
          <w:pgMar w:footer="1036" w:header="522" w:top="820" w:bottom="1220" w:left="720" w:right="720"/>
        </w:sectPr>
      </w:pPr>
    </w:p>
    <w:p>
      <w:pPr>
        <w:pStyle w:val="BodyText"/>
        <w:spacing w:line="249" w:lineRule="auto" w:before="76"/>
        <w:ind w:left="117"/>
        <w:jc w:val="both"/>
      </w:pPr>
      <w:r>
        <w:rPr/>
        <w:t>metropolitan areas as well as in the central and northern parts of RM Vale do Paraiba  e Litoral Norte. Low GDP per capita values were also noted for the outer parts of the Rio de Janeiro Metropolitan Area. The same pattern was observed in the southern and northern peripheries of the Sao Paulo Metropolitan Area. The highest GDP per capita values were recorded for municipalities located along the Atlantic coast in the Norte Fluminense</w:t>
      </w:r>
      <w:r>
        <w:rPr>
          <w:spacing w:val="-4"/>
        </w:rPr>
        <w:t> </w:t>
      </w:r>
      <w:r>
        <w:rPr/>
        <w:t>and</w:t>
      </w:r>
      <w:r>
        <w:rPr>
          <w:spacing w:val="-4"/>
        </w:rPr>
        <w:t> </w:t>
      </w:r>
      <w:r>
        <w:rPr/>
        <w:t>Baixada</w:t>
      </w:r>
      <w:r>
        <w:rPr>
          <w:spacing w:val="-4"/>
        </w:rPr>
        <w:t> </w:t>
      </w:r>
      <w:r>
        <w:rPr/>
        <w:t>Litoranea</w:t>
      </w:r>
      <w:r>
        <w:rPr>
          <w:spacing w:val="-4"/>
        </w:rPr>
        <w:t> </w:t>
      </w:r>
      <w:r>
        <w:rPr/>
        <w:t>regions</w:t>
      </w:r>
      <w:r>
        <w:rPr>
          <w:spacing w:val="-4"/>
        </w:rPr>
        <w:t> </w:t>
      </w:r>
      <w:r>
        <w:rPr/>
        <w:t>as</w:t>
      </w:r>
      <w:r>
        <w:rPr>
          <w:spacing w:val="-4"/>
        </w:rPr>
        <w:t> </w:t>
      </w:r>
      <w:r>
        <w:rPr/>
        <w:t>well</w:t>
      </w:r>
      <w:r>
        <w:rPr>
          <w:spacing w:val="-4"/>
        </w:rPr>
        <w:t> </w:t>
      </w:r>
      <w:r>
        <w:rPr/>
        <w:t>as</w:t>
      </w:r>
      <w:r>
        <w:rPr>
          <w:spacing w:val="-4"/>
        </w:rPr>
        <w:t> </w:t>
      </w:r>
      <w:r>
        <w:rPr/>
        <w:t>several</w:t>
      </w:r>
      <w:r>
        <w:rPr>
          <w:spacing w:val="-4"/>
        </w:rPr>
        <w:t> </w:t>
      </w:r>
      <w:r>
        <w:rPr/>
        <w:t>smaller</w:t>
      </w:r>
      <w:r>
        <w:rPr>
          <w:spacing w:val="-4"/>
        </w:rPr>
        <w:t> </w:t>
      </w:r>
      <w:r>
        <w:rPr/>
        <w:t>areas</w:t>
      </w:r>
      <w:r>
        <w:rPr>
          <w:spacing w:val="-4"/>
        </w:rPr>
        <w:t> </w:t>
      </w:r>
      <w:r>
        <w:rPr/>
        <w:t>(in</w:t>
      </w:r>
      <w:r>
        <w:rPr>
          <w:spacing w:val="-4"/>
        </w:rPr>
        <w:t> </w:t>
      </w:r>
      <w:r>
        <w:rPr/>
        <w:t>terms</w:t>
      </w:r>
      <w:r>
        <w:rPr>
          <w:spacing w:val="-4"/>
        </w:rPr>
        <w:t> </w:t>
      </w:r>
      <w:r>
        <w:rPr/>
        <w:t>of population) featuring large industrial facilities or services facilities. One example of this is</w:t>
      </w:r>
      <w:r>
        <w:rPr>
          <w:spacing w:val="-9"/>
        </w:rPr>
        <w:t> </w:t>
      </w:r>
      <w:r>
        <w:rPr/>
        <w:t>Porto</w:t>
      </w:r>
      <w:r>
        <w:rPr>
          <w:spacing w:val="-9"/>
        </w:rPr>
        <w:t> </w:t>
      </w:r>
      <w:r>
        <w:rPr/>
        <w:t>Real</w:t>
      </w:r>
      <w:r>
        <w:rPr>
          <w:spacing w:val="-9"/>
        </w:rPr>
        <w:t> </w:t>
      </w:r>
      <w:r>
        <w:rPr/>
        <w:t>(population:</w:t>
      </w:r>
      <w:r>
        <w:rPr>
          <w:spacing w:val="-9"/>
        </w:rPr>
        <w:t> </w:t>
      </w:r>
      <w:r>
        <w:rPr/>
        <w:t>18,000)</w:t>
      </w:r>
      <w:r>
        <w:rPr>
          <w:spacing w:val="-9"/>
        </w:rPr>
        <w:t> </w:t>
      </w:r>
      <w:r>
        <w:rPr/>
        <w:t>in</w:t>
      </w:r>
      <w:r>
        <w:rPr>
          <w:spacing w:val="-9"/>
        </w:rPr>
        <w:t> </w:t>
      </w:r>
      <w:r>
        <w:rPr/>
        <w:t>RM</w:t>
      </w:r>
      <w:r>
        <w:rPr>
          <w:spacing w:val="-9"/>
        </w:rPr>
        <w:t> </w:t>
      </w:r>
      <w:r>
        <w:rPr/>
        <w:t>Vale</w:t>
      </w:r>
      <w:r>
        <w:rPr>
          <w:spacing w:val="-9"/>
        </w:rPr>
        <w:t> </w:t>
      </w:r>
      <w:r>
        <w:rPr/>
        <w:t>Paraiba</w:t>
      </w:r>
      <w:r>
        <w:rPr>
          <w:spacing w:val="-9"/>
        </w:rPr>
        <w:t> </w:t>
      </w:r>
      <w:r>
        <w:rPr/>
        <w:t>RJ,</w:t>
      </w:r>
      <w:r>
        <w:rPr>
          <w:spacing w:val="-9"/>
        </w:rPr>
        <w:t> </w:t>
      </w:r>
      <w:r>
        <w:rPr/>
        <w:t>which</w:t>
      </w:r>
      <w:r>
        <w:rPr>
          <w:spacing w:val="-9"/>
        </w:rPr>
        <w:t> </w:t>
      </w:r>
      <w:r>
        <w:rPr/>
        <w:t>in</w:t>
      </w:r>
      <w:r>
        <w:rPr>
          <w:spacing w:val="-9"/>
        </w:rPr>
        <w:t> </w:t>
      </w:r>
      <w:r>
        <w:rPr/>
        <w:t>recent</w:t>
      </w:r>
      <w:r>
        <w:rPr>
          <w:spacing w:val="-9"/>
        </w:rPr>
        <w:t> </w:t>
      </w:r>
      <w:r>
        <w:rPr/>
        <w:t>years</w:t>
      </w:r>
      <w:r>
        <w:rPr>
          <w:spacing w:val="-9"/>
        </w:rPr>
        <w:t> </w:t>
      </w:r>
      <w:r>
        <w:rPr/>
        <w:t>became home to a large automotive plant built by the French company Peugeot Citroen. As      a result, GDP per capita in this small town exceeded 174,000 reals in the year 2012. Another</w:t>
      </w:r>
      <w:r>
        <w:rPr>
          <w:spacing w:val="-6"/>
        </w:rPr>
        <w:t> </w:t>
      </w:r>
      <w:r>
        <w:rPr/>
        <w:t>good</w:t>
      </w:r>
      <w:r>
        <w:rPr>
          <w:spacing w:val="-6"/>
        </w:rPr>
        <w:t> </w:t>
      </w:r>
      <w:r>
        <w:rPr/>
        <w:t>example</w:t>
      </w:r>
      <w:r>
        <w:rPr>
          <w:spacing w:val="-6"/>
        </w:rPr>
        <w:t> </w:t>
      </w:r>
      <w:r>
        <w:rPr/>
        <w:t>is</w:t>
      </w:r>
      <w:r>
        <w:rPr>
          <w:spacing w:val="-6"/>
        </w:rPr>
        <w:t> </w:t>
      </w:r>
      <w:r>
        <w:rPr/>
        <w:t>the</w:t>
      </w:r>
      <w:r>
        <w:rPr>
          <w:spacing w:val="-6"/>
        </w:rPr>
        <w:t> </w:t>
      </w:r>
      <w:r>
        <w:rPr/>
        <w:t>city</w:t>
      </w:r>
      <w:r>
        <w:rPr>
          <w:spacing w:val="-5"/>
        </w:rPr>
        <w:t> </w:t>
      </w:r>
      <w:r>
        <w:rPr/>
        <w:t>of</w:t>
      </w:r>
      <w:r>
        <w:rPr>
          <w:spacing w:val="-6"/>
        </w:rPr>
        <w:t> </w:t>
      </w:r>
      <w:r>
        <w:rPr/>
        <w:t>Barueri</w:t>
      </w:r>
      <w:r>
        <w:rPr>
          <w:spacing w:val="-6"/>
        </w:rPr>
        <w:t> </w:t>
      </w:r>
      <w:r>
        <w:rPr/>
        <w:t>–</w:t>
      </w:r>
      <w:r>
        <w:rPr>
          <w:spacing w:val="-6"/>
        </w:rPr>
        <w:t> </w:t>
      </w:r>
      <w:r>
        <w:rPr/>
        <w:t>with</w:t>
      </w:r>
      <w:r>
        <w:rPr>
          <w:spacing w:val="-5"/>
        </w:rPr>
        <w:t> </w:t>
      </w:r>
      <w:r>
        <w:rPr/>
        <w:t>a</w:t>
      </w:r>
      <w:r>
        <w:rPr>
          <w:spacing w:val="-6"/>
        </w:rPr>
        <w:t> </w:t>
      </w:r>
      <w:r>
        <w:rPr/>
        <w:t>population</w:t>
      </w:r>
      <w:r>
        <w:rPr>
          <w:spacing w:val="-6"/>
        </w:rPr>
        <w:t> </w:t>
      </w:r>
      <w:r>
        <w:rPr/>
        <w:t>of</w:t>
      </w:r>
      <w:r>
        <w:rPr>
          <w:spacing w:val="-5"/>
        </w:rPr>
        <w:t> </w:t>
      </w:r>
      <w:r>
        <w:rPr/>
        <w:t>close</w:t>
      </w:r>
      <w:r>
        <w:rPr>
          <w:spacing w:val="-6"/>
        </w:rPr>
        <w:t> </w:t>
      </w:r>
      <w:r>
        <w:rPr/>
        <w:t>to</w:t>
      </w:r>
      <w:r>
        <w:rPr>
          <w:spacing w:val="-6"/>
        </w:rPr>
        <w:t> </w:t>
      </w:r>
      <w:r>
        <w:rPr/>
        <w:t>260,000.</w:t>
      </w:r>
      <w:r>
        <w:rPr>
          <w:spacing w:val="-5"/>
        </w:rPr>
        <w:t> </w:t>
      </w:r>
      <w:r>
        <w:rPr/>
        <w:t>This city is located in the western suburbs of Sao Paulo, and it is a major financial hub in</w:t>
      </w:r>
      <w:r>
        <w:rPr>
          <w:spacing w:val="-9"/>
        </w:rPr>
        <w:t> </w:t>
      </w:r>
      <w:r>
        <w:rPr/>
        <w:t>the state of Sao Paulo and in Brazil as a whole. In this special case, mean GDP per capita exceeds 134,600 reals (Fig.</w:t>
      </w:r>
      <w:r>
        <w:rPr>
          <w:spacing w:val="-35"/>
        </w:rPr>
        <w:t> </w:t>
      </w:r>
      <w:r>
        <w:rPr/>
        <w:t>9).</w:t>
      </w:r>
    </w:p>
    <w:p>
      <w:pPr>
        <w:pStyle w:val="BodyText"/>
        <w:spacing w:before="11"/>
      </w:pPr>
    </w:p>
    <w:p>
      <w:pPr>
        <w:pStyle w:val="BodyText"/>
        <w:spacing w:line="249" w:lineRule="auto"/>
        <w:ind w:left="117" w:firstLine="170"/>
        <w:jc w:val="both"/>
      </w:pPr>
      <w:r>
        <w:rPr/>
        <w:t>The</w:t>
      </w:r>
      <w:r>
        <w:rPr>
          <w:spacing w:val="-12"/>
        </w:rPr>
        <w:t> </w:t>
      </w:r>
      <w:r>
        <w:rPr/>
        <w:t>mean</w:t>
      </w:r>
      <w:r>
        <w:rPr>
          <w:spacing w:val="-12"/>
        </w:rPr>
        <w:t> </w:t>
      </w:r>
      <w:r>
        <w:rPr/>
        <w:t>GDP</w:t>
      </w:r>
      <w:r>
        <w:rPr>
          <w:spacing w:val="-12"/>
        </w:rPr>
        <w:t> </w:t>
      </w:r>
      <w:r>
        <w:rPr/>
        <w:t>per</w:t>
      </w:r>
      <w:r>
        <w:rPr>
          <w:spacing w:val="-12"/>
        </w:rPr>
        <w:t> </w:t>
      </w:r>
      <w:r>
        <w:rPr/>
        <w:t>capita</w:t>
      </w:r>
      <w:r>
        <w:rPr>
          <w:spacing w:val="-12"/>
        </w:rPr>
        <w:t> </w:t>
      </w:r>
      <w:r>
        <w:rPr/>
        <w:t>of</w:t>
      </w:r>
      <w:r>
        <w:rPr>
          <w:spacing w:val="-12"/>
        </w:rPr>
        <w:t> </w:t>
      </w:r>
      <w:r>
        <w:rPr/>
        <w:t>about</w:t>
      </w:r>
      <w:r>
        <w:rPr>
          <w:spacing w:val="-12"/>
        </w:rPr>
        <w:t> </w:t>
      </w:r>
      <w:r>
        <w:rPr/>
        <w:t>34,000</w:t>
      </w:r>
      <w:r>
        <w:rPr>
          <w:spacing w:val="-12"/>
        </w:rPr>
        <w:t> </w:t>
      </w:r>
      <w:r>
        <w:rPr/>
        <w:t>reals</w:t>
      </w:r>
      <w:r>
        <w:rPr>
          <w:spacing w:val="-12"/>
        </w:rPr>
        <w:t> </w:t>
      </w:r>
      <w:r>
        <w:rPr/>
        <w:t>for</w:t>
      </w:r>
      <w:r>
        <w:rPr>
          <w:spacing w:val="-12"/>
        </w:rPr>
        <w:t> </w:t>
      </w:r>
      <w:r>
        <w:rPr/>
        <w:t>the</w:t>
      </w:r>
      <w:r>
        <w:rPr>
          <w:spacing w:val="-12"/>
        </w:rPr>
        <w:t> </w:t>
      </w:r>
      <w:r>
        <w:rPr/>
        <w:t>Brazilian</w:t>
      </w:r>
      <w:r>
        <w:rPr>
          <w:spacing w:val="-12"/>
        </w:rPr>
        <w:t> </w:t>
      </w:r>
      <w:r>
        <w:rPr/>
        <w:t>Megalopolis</w:t>
      </w:r>
      <w:r>
        <w:rPr>
          <w:spacing w:val="-12"/>
        </w:rPr>
        <w:t> </w:t>
      </w:r>
      <w:r>
        <w:rPr/>
        <w:t>suggests a very high degree of economic development relative to the rest of the country, with a mean GDP per capita of less than 22,000 reals. The only region of the Megalopolis</w:t>
      </w:r>
      <w:r>
        <w:rPr>
          <w:spacing w:val="-35"/>
        </w:rPr>
        <w:t> </w:t>
      </w:r>
      <w:r>
        <w:rPr/>
        <w:t>with a GDP per capita below the national average was the small and mostly non-urban UR Bragantina. On the other hand, the region with the highest GDP per capita was Norte Fluminense</w:t>
      </w:r>
      <w:r>
        <w:rPr>
          <w:spacing w:val="-23"/>
        </w:rPr>
        <w:t> </w:t>
      </w:r>
      <w:r>
        <w:rPr/>
        <w:t>(Tab.</w:t>
      </w:r>
      <w:r>
        <w:rPr>
          <w:spacing w:val="-23"/>
        </w:rPr>
        <w:t> </w:t>
      </w:r>
      <w:r>
        <w:rPr/>
        <w:t>2).</w:t>
      </w:r>
    </w:p>
    <w:p>
      <w:pPr>
        <w:pStyle w:val="BodyText"/>
        <w:spacing w:before="11"/>
      </w:pPr>
    </w:p>
    <w:p>
      <w:pPr>
        <w:pStyle w:val="BodyText"/>
        <w:spacing w:line="249" w:lineRule="auto"/>
        <w:ind w:left="117" w:firstLine="170"/>
        <w:jc w:val="both"/>
      </w:pPr>
      <w:r>
        <w:rPr/>
        <w:t>The HDI distribution in the Megalopolis follows a somewhat different spatial pattern. Most municipalities located in the state of Rio de Janeiro are characterized by lower HDI values in relation to municipalities located in the state of Sao Paulo. The highest HDI</w:t>
      </w:r>
      <w:r>
        <w:rPr>
          <w:spacing w:val="-9"/>
        </w:rPr>
        <w:t> </w:t>
      </w:r>
      <w:r>
        <w:rPr/>
        <w:t>values</w:t>
      </w:r>
      <w:r>
        <w:rPr>
          <w:spacing w:val="-9"/>
        </w:rPr>
        <w:t> </w:t>
      </w:r>
      <w:r>
        <w:rPr/>
        <w:t>were</w:t>
      </w:r>
      <w:r>
        <w:rPr>
          <w:spacing w:val="-9"/>
        </w:rPr>
        <w:t> </w:t>
      </w:r>
      <w:r>
        <w:rPr/>
        <w:t>noted</w:t>
      </w:r>
      <w:r>
        <w:rPr>
          <w:spacing w:val="-9"/>
        </w:rPr>
        <w:t> </w:t>
      </w:r>
      <w:r>
        <w:rPr/>
        <w:t>for</w:t>
      </w:r>
      <w:r>
        <w:rPr>
          <w:spacing w:val="-9"/>
        </w:rPr>
        <w:t> </w:t>
      </w:r>
      <w:r>
        <w:rPr/>
        <w:t>core</w:t>
      </w:r>
      <w:r>
        <w:rPr>
          <w:spacing w:val="-9"/>
        </w:rPr>
        <w:t> </w:t>
      </w:r>
      <w:r>
        <w:rPr/>
        <w:t>metropolitan</w:t>
      </w:r>
      <w:r>
        <w:rPr>
          <w:spacing w:val="-9"/>
        </w:rPr>
        <w:t> </w:t>
      </w:r>
      <w:r>
        <w:rPr/>
        <w:t>cities</w:t>
      </w:r>
      <w:r>
        <w:rPr>
          <w:spacing w:val="-9"/>
        </w:rPr>
        <w:t> </w:t>
      </w:r>
      <w:r>
        <w:rPr/>
        <w:t>such</w:t>
      </w:r>
      <w:r>
        <w:rPr>
          <w:spacing w:val="-9"/>
        </w:rPr>
        <w:t> </w:t>
      </w:r>
      <w:r>
        <w:rPr/>
        <w:t>as</w:t>
      </w:r>
      <w:r>
        <w:rPr>
          <w:spacing w:val="-9"/>
        </w:rPr>
        <w:t> </w:t>
      </w:r>
      <w:r>
        <w:rPr/>
        <w:t>Sao</w:t>
      </w:r>
      <w:r>
        <w:rPr>
          <w:spacing w:val="-9"/>
        </w:rPr>
        <w:t> </w:t>
      </w:r>
      <w:r>
        <w:rPr/>
        <w:t>Paulo,</w:t>
      </w:r>
      <w:r>
        <w:rPr>
          <w:spacing w:val="-9"/>
        </w:rPr>
        <w:t> </w:t>
      </w:r>
      <w:r>
        <w:rPr/>
        <w:t>Baixada</w:t>
      </w:r>
      <w:r>
        <w:rPr>
          <w:spacing w:val="-9"/>
        </w:rPr>
        <w:t> </w:t>
      </w:r>
      <w:r>
        <w:rPr/>
        <w:t>Santista, and</w:t>
      </w:r>
      <w:r>
        <w:rPr>
          <w:spacing w:val="-5"/>
        </w:rPr>
        <w:t> </w:t>
      </w:r>
      <w:r>
        <w:rPr/>
        <w:t>Campinas,</w:t>
      </w:r>
      <w:r>
        <w:rPr>
          <w:spacing w:val="-5"/>
        </w:rPr>
        <w:t> </w:t>
      </w:r>
      <w:r>
        <w:rPr/>
        <w:t>as</w:t>
      </w:r>
      <w:r>
        <w:rPr>
          <w:spacing w:val="-5"/>
        </w:rPr>
        <w:t> </w:t>
      </w:r>
      <w:r>
        <w:rPr/>
        <w:t>well</w:t>
      </w:r>
      <w:r>
        <w:rPr>
          <w:spacing w:val="-5"/>
        </w:rPr>
        <w:t> </w:t>
      </w:r>
      <w:r>
        <w:rPr/>
        <w:t>as</w:t>
      </w:r>
      <w:r>
        <w:rPr>
          <w:spacing w:val="-5"/>
        </w:rPr>
        <w:t> </w:t>
      </w:r>
      <w:r>
        <w:rPr/>
        <w:t>so-called</w:t>
      </w:r>
      <w:r>
        <w:rPr>
          <w:spacing w:val="-5"/>
        </w:rPr>
        <w:t> </w:t>
      </w:r>
      <w:r>
        <w:rPr/>
        <w:t>agglomerations</w:t>
      </w:r>
      <w:r>
        <w:rPr>
          <w:spacing w:val="-5"/>
        </w:rPr>
        <w:t> </w:t>
      </w:r>
      <w:r>
        <w:rPr/>
        <w:t>such</w:t>
      </w:r>
      <w:r>
        <w:rPr>
          <w:spacing w:val="-5"/>
        </w:rPr>
        <w:t> </w:t>
      </w:r>
      <w:r>
        <w:rPr/>
        <w:t>as</w:t>
      </w:r>
      <w:r>
        <w:rPr>
          <w:spacing w:val="-5"/>
        </w:rPr>
        <w:t> </w:t>
      </w:r>
      <w:r>
        <w:rPr/>
        <w:t>Jundiai</w:t>
      </w:r>
      <w:r>
        <w:rPr>
          <w:spacing w:val="-5"/>
        </w:rPr>
        <w:t> </w:t>
      </w:r>
      <w:r>
        <w:rPr/>
        <w:t>and</w:t>
      </w:r>
      <w:r>
        <w:rPr>
          <w:spacing w:val="-5"/>
        </w:rPr>
        <w:t> </w:t>
      </w:r>
      <w:r>
        <w:rPr/>
        <w:t>Piracicaba</w:t>
      </w:r>
      <w:r>
        <w:rPr>
          <w:spacing w:val="-5"/>
        </w:rPr>
        <w:t> </w:t>
      </w:r>
      <w:r>
        <w:rPr/>
        <w:t>and the northern parts of RM Sorocaba and RM Vale do Paraiba e Litoral Norte. In the</w:t>
      </w:r>
      <w:r>
        <w:rPr>
          <w:spacing w:val="-20"/>
        </w:rPr>
        <w:t> </w:t>
      </w:r>
      <w:r>
        <w:rPr/>
        <w:t>state of Rio de Janeiro, comparably high HDI values were recorded only for the cities of Rio de Janeiro and Niteroi (Fig. 10). It is interesting to note that municipalities</w:t>
      </w:r>
      <w:r>
        <w:rPr>
          <w:spacing w:val="-27"/>
        </w:rPr>
        <w:t> </w:t>
      </w:r>
      <w:r>
        <w:rPr/>
        <w:t>characterized by very high GDP per capita values in the regions of Norte Fluminense and Baixada Litoranea were also characterized by relatively low HDI values. This may suggest that the</w:t>
      </w:r>
      <w:r>
        <w:rPr>
          <w:spacing w:val="-5"/>
        </w:rPr>
        <w:t> </w:t>
      </w:r>
      <w:r>
        <w:rPr/>
        <w:t>sources</w:t>
      </w:r>
      <w:r>
        <w:rPr>
          <w:spacing w:val="-5"/>
        </w:rPr>
        <w:t> </w:t>
      </w:r>
      <w:r>
        <w:rPr/>
        <w:t>of</w:t>
      </w:r>
      <w:r>
        <w:rPr>
          <w:spacing w:val="-5"/>
        </w:rPr>
        <w:t> </w:t>
      </w:r>
      <w:r>
        <w:rPr/>
        <w:t>high</w:t>
      </w:r>
      <w:r>
        <w:rPr>
          <w:spacing w:val="-5"/>
        </w:rPr>
        <w:t> </w:t>
      </w:r>
      <w:r>
        <w:rPr/>
        <w:t>GDP</w:t>
      </w:r>
      <w:r>
        <w:rPr>
          <w:spacing w:val="-5"/>
        </w:rPr>
        <w:t> </w:t>
      </w:r>
      <w:r>
        <w:rPr/>
        <w:t>do</w:t>
      </w:r>
      <w:r>
        <w:rPr>
          <w:spacing w:val="-5"/>
        </w:rPr>
        <w:t> </w:t>
      </w:r>
      <w:r>
        <w:rPr/>
        <w:t>not</w:t>
      </w:r>
      <w:r>
        <w:rPr>
          <w:spacing w:val="-5"/>
        </w:rPr>
        <w:t> </w:t>
      </w:r>
      <w:r>
        <w:rPr/>
        <w:t>strongly</w:t>
      </w:r>
      <w:r>
        <w:rPr>
          <w:spacing w:val="-5"/>
        </w:rPr>
        <w:t> </w:t>
      </w:r>
      <w:r>
        <w:rPr/>
        <w:t>affect</w:t>
      </w:r>
      <w:r>
        <w:rPr>
          <w:spacing w:val="-5"/>
        </w:rPr>
        <w:t> </w:t>
      </w:r>
      <w:r>
        <w:rPr/>
        <w:t>the</w:t>
      </w:r>
      <w:r>
        <w:rPr>
          <w:spacing w:val="-5"/>
        </w:rPr>
        <w:t> </w:t>
      </w:r>
      <w:r>
        <w:rPr/>
        <w:t>quality</w:t>
      </w:r>
      <w:r>
        <w:rPr>
          <w:spacing w:val="-5"/>
        </w:rPr>
        <w:t> </w:t>
      </w:r>
      <w:r>
        <w:rPr/>
        <w:t>of</w:t>
      </w:r>
      <w:r>
        <w:rPr>
          <w:spacing w:val="-5"/>
        </w:rPr>
        <w:t> </w:t>
      </w:r>
      <w:r>
        <w:rPr/>
        <w:t>life</w:t>
      </w:r>
      <w:r>
        <w:rPr>
          <w:spacing w:val="-5"/>
        </w:rPr>
        <w:t> </w:t>
      </w:r>
      <w:r>
        <w:rPr/>
        <w:t>of</w:t>
      </w:r>
      <w:r>
        <w:rPr>
          <w:spacing w:val="-5"/>
        </w:rPr>
        <w:t> </w:t>
      </w:r>
      <w:r>
        <w:rPr/>
        <w:t>the</w:t>
      </w:r>
      <w:r>
        <w:rPr>
          <w:spacing w:val="-5"/>
        </w:rPr>
        <w:t> </w:t>
      </w:r>
      <w:r>
        <w:rPr/>
        <w:t>residents</w:t>
      </w:r>
      <w:r>
        <w:rPr>
          <w:spacing w:val="-5"/>
        </w:rPr>
        <w:t> </w:t>
      </w:r>
      <w:r>
        <w:rPr/>
        <w:t>of</w:t>
      </w:r>
      <w:r>
        <w:rPr>
          <w:spacing w:val="-5"/>
        </w:rPr>
        <w:t> </w:t>
      </w:r>
      <w:r>
        <w:rPr/>
        <w:t>these particular regions (Figs. 9,</w:t>
      </w:r>
      <w:r>
        <w:rPr>
          <w:spacing w:val="-16"/>
        </w:rPr>
        <w:t> </w:t>
      </w:r>
      <w:r>
        <w:rPr/>
        <w:t>10).</w:t>
      </w:r>
    </w:p>
    <w:p>
      <w:pPr>
        <w:spacing w:before="114"/>
        <w:ind w:left="732" w:right="1304" w:firstLine="0"/>
        <w:jc w:val="center"/>
        <w:rPr>
          <w:sz w:val="16"/>
        </w:rPr>
      </w:pPr>
      <w:r>
        <w:rPr/>
        <w:br w:type="column"/>
      </w:r>
      <w:r>
        <w:rPr>
          <w:color w:val="6D6E71"/>
          <w:sz w:val="16"/>
        </w:rPr>
        <w:t>Fig. 9. GDP per capita in municipalities of the Brazilian Megalopolis in 2012</w:t>
      </w:r>
    </w:p>
    <w:p>
      <w:pPr>
        <w:pStyle w:val="BodyText"/>
      </w:pPr>
    </w:p>
    <w:p>
      <w:pPr>
        <w:pStyle w:val="BodyText"/>
        <w:spacing w:before="4"/>
        <w:rPr>
          <w:sz w:val="15"/>
        </w:rPr>
      </w:pPr>
      <w:r>
        <w:rPr/>
        <w:drawing>
          <wp:anchor distT="0" distB="0" distL="0" distR="0" allowOverlap="1" layoutInCell="1" locked="0" behindDoc="0" simplePos="0" relativeHeight="20224">
            <wp:simplePos x="0" y="0"/>
            <wp:positionH relativeFrom="page">
              <wp:posOffset>6872887</wp:posOffset>
            </wp:positionH>
            <wp:positionV relativeFrom="paragraph">
              <wp:posOffset>137237</wp:posOffset>
            </wp:positionV>
            <wp:extent cx="4202540" cy="2258949"/>
            <wp:effectExtent l="0" t="0" r="0" b="0"/>
            <wp:wrapTopAndBottom/>
            <wp:docPr id="231" name="image166.jpeg" descr=""/>
            <wp:cNvGraphicFramePr>
              <a:graphicFrameLocks noChangeAspect="1"/>
            </wp:cNvGraphicFramePr>
            <a:graphic>
              <a:graphicData uri="http://schemas.openxmlformats.org/drawingml/2006/picture">
                <pic:pic>
                  <pic:nvPicPr>
                    <pic:cNvPr id="232" name="image166.jpeg"/>
                    <pic:cNvPicPr/>
                  </pic:nvPicPr>
                  <pic:blipFill>
                    <a:blip r:embed="rId555" cstate="print"/>
                    <a:stretch>
                      <a:fillRect/>
                    </a:stretch>
                  </pic:blipFill>
                  <pic:spPr>
                    <a:xfrm>
                      <a:off x="0" y="0"/>
                      <a:ext cx="4202540" cy="2258949"/>
                    </a:xfrm>
                    <a:prstGeom prst="rect">
                      <a:avLst/>
                    </a:prstGeom>
                  </pic:spPr>
                </pic:pic>
              </a:graphicData>
            </a:graphic>
          </wp:anchor>
        </w:drawing>
      </w:r>
    </w:p>
    <w:p>
      <w:pPr>
        <w:spacing w:line="626" w:lineRule="auto" w:before="103"/>
        <w:ind w:left="1066" w:right="1639" w:hanging="1"/>
        <w:jc w:val="center"/>
        <w:rPr>
          <w:sz w:val="16"/>
        </w:rPr>
      </w:pPr>
      <w:r>
        <w:rPr>
          <w:color w:val="6D6E71"/>
          <w:sz w:val="16"/>
        </w:rPr>
        <w:t>Source: prepared by the author on the basis of data from IBGE. Fig. 10. HDI for municipalities of the Brazilian Megalopolis in 2010</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before="96"/>
        <w:ind w:left="732" w:right="1304" w:firstLine="0"/>
        <w:jc w:val="center"/>
        <w:rPr>
          <w:sz w:val="16"/>
        </w:rPr>
      </w:pPr>
      <w:r>
        <w:rPr/>
        <w:drawing>
          <wp:anchor distT="0" distB="0" distL="0" distR="0" allowOverlap="1" layoutInCell="1" locked="0" behindDoc="1" simplePos="0" relativeHeight="267802919">
            <wp:simplePos x="0" y="0"/>
            <wp:positionH relativeFrom="page">
              <wp:posOffset>6883757</wp:posOffset>
            </wp:positionH>
            <wp:positionV relativeFrom="paragraph">
              <wp:posOffset>-2758867</wp:posOffset>
            </wp:positionV>
            <wp:extent cx="4160486" cy="2686519"/>
            <wp:effectExtent l="0" t="0" r="0" b="0"/>
            <wp:wrapNone/>
            <wp:docPr id="233" name="image167.jpeg" descr=""/>
            <wp:cNvGraphicFramePr>
              <a:graphicFrameLocks noChangeAspect="1"/>
            </wp:cNvGraphicFramePr>
            <a:graphic>
              <a:graphicData uri="http://schemas.openxmlformats.org/drawingml/2006/picture">
                <pic:pic>
                  <pic:nvPicPr>
                    <pic:cNvPr id="234" name="image167.jpeg"/>
                    <pic:cNvPicPr/>
                  </pic:nvPicPr>
                  <pic:blipFill>
                    <a:blip r:embed="rId556" cstate="print"/>
                    <a:stretch>
                      <a:fillRect/>
                    </a:stretch>
                  </pic:blipFill>
                  <pic:spPr>
                    <a:xfrm>
                      <a:off x="0" y="0"/>
                      <a:ext cx="4160486" cy="2686519"/>
                    </a:xfrm>
                    <a:prstGeom prst="rect">
                      <a:avLst/>
                    </a:prstGeom>
                  </pic:spPr>
                </pic:pic>
              </a:graphicData>
            </a:graphic>
          </wp:anchor>
        </w:drawing>
      </w:r>
      <w:r>
        <w:rPr>
          <w:color w:val="6D6E71"/>
          <w:sz w:val="16"/>
        </w:rPr>
        <w:t>Source: prepared by the author on the basis of data from IBGE.</w:t>
      </w:r>
    </w:p>
    <w:p>
      <w:pPr>
        <w:spacing w:after="0"/>
        <w:jc w:val="center"/>
        <w:rPr>
          <w:sz w:val="16"/>
        </w:rPr>
        <w:sectPr>
          <w:type w:val="continuous"/>
          <w:pgSz w:w="18830" w:h="12760" w:orient="landscape"/>
          <w:pgMar w:top="1420" w:bottom="280" w:left="720" w:right="720"/>
          <w:cols w:num="2" w:equalWidth="0">
            <w:col w:w="7830" w:space="2156"/>
            <w:col w:w="7404"/>
          </w:cols>
        </w:sectPr>
      </w:pPr>
    </w:p>
    <w:p>
      <w:pPr>
        <w:pStyle w:val="BodyText"/>
        <w:spacing w:before="8"/>
      </w:pPr>
    </w:p>
    <w:p>
      <w:pPr>
        <w:spacing w:after="0"/>
        <w:sectPr>
          <w:footerReference w:type="default" r:id="rId557"/>
          <w:pgSz w:w="18830" w:h="12760" w:orient="landscape"/>
          <w:pgMar w:footer="1036" w:header="522" w:top="820" w:bottom="1220" w:left="720" w:right="720"/>
        </w:sectPr>
      </w:pPr>
    </w:p>
    <w:p>
      <w:pPr>
        <w:pStyle w:val="Heading1"/>
        <w:spacing w:before="71"/>
        <w:ind w:left="287" w:right="22"/>
      </w:pPr>
      <w:r>
        <w:rPr/>
        <w:t>Conclusions</w:t>
      </w:r>
    </w:p>
    <w:p>
      <w:pPr>
        <w:pStyle w:val="BodyText"/>
        <w:rPr>
          <w:b/>
          <w:sz w:val="21"/>
        </w:rPr>
      </w:pPr>
    </w:p>
    <w:p>
      <w:pPr>
        <w:pStyle w:val="BodyText"/>
        <w:spacing w:line="249" w:lineRule="auto"/>
        <w:ind w:left="117" w:firstLine="170"/>
        <w:jc w:val="both"/>
      </w:pPr>
      <w:r>
        <w:rPr/>
        <w:t>The emergence of an expansive and strongly urbanized region between Sao Paulo and Rio de Janeiro was first noted in the 1990s. This emerging region was recognized as</w:t>
      </w:r>
      <w:r>
        <w:rPr>
          <w:spacing w:val="-11"/>
        </w:rPr>
        <w:t> </w:t>
      </w:r>
      <w:r>
        <w:rPr/>
        <w:t>resembling</w:t>
      </w:r>
      <w:r>
        <w:rPr>
          <w:spacing w:val="-11"/>
        </w:rPr>
        <w:t> </w:t>
      </w:r>
      <w:r>
        <w:rPr/>
        <w:t>a</w:t>
      </w:r>
      <w:r>
        <w:rPr>
          <w:spacing w:val="-11"/>
        </w:rPr>
        <w:t> </w:t>
      </w:r>
      <w:r>
        <w:rPr/>
        <w:t>so-called</w:t>
      </w:r>
      <w:r>
        <w:rPr>
          <w:spacing w:val="-11"/>
        </w:rPr>
        <w:t> </w:t>
      </w:r>
      <w:r>
        <w:rPr/>
        <w:t>megalopolis</w:t>
      </w:r>
      <w:r>
        <w:rPr>
          <w:spacing w:val="-11"/>
        </w:rPr>
        <w:t> </w:t>
      </w:r>
      <w:r>
        <w:rPr/>
        <w:t>(Tolosa</w:t>
      </w:r>
      <w:r>
        <w:rPr>
          <w:spacing w:val="-11"/>
        </w:rPr>
        <w:t> </w:t>
      </w:r>
      <w:r>
        <w:rPr/>
        <w:t>2003).</w:t>
      </w:r>
      <w:r>
        <w:rPr>
          <w:spacing w:val="-11"/>
        </w:rPr>
        <w:t> </w:t>
      </w:r>
      <w:r>
        <w:rPr/>
        <w:t>This</w:t>
      </w:r>
      <w:r>
        <w:rPr>
          <w:spacing w:val="-11"/>
        </w:rPr>
        <w:t> </w:t>
      </w:r>
      <w:r>
        <w:rPr/>
        <w:t>particular</w:t>
      </w:r>
      <w:r>
        <w:rPr>
          <w:spacing w:val="-11"/>
        </w:rPr>
        <w:t> </w:t>
      </w:r>
      <w:r>
        <w:rPr/>
        <w:t>megalopolis</w:t>
      </w:r>
      <w:r>
        <w:rPr>
          <w:spacing w:val="-11"/>
        </w:rPr>
        <w:t> </w:t>
      </w:r>
      <w:r>
        <w:rPr/>
        <w:t>has</w:t>
      </w:r>
      <w:r>
        <w:rPr>
          <w:spacing w:val="-11"/>
        </w:rPr>
        <w:t> </w:t>
      </w:r>
      <w:r>
        <w:rPr/>
        <w:t>an area</w:t>
      </w:r>
      <w:r>
        <w:rPr>
          <w:spacing w:val="-4"/>
        </w:rPr>
        <w:t> </w:t>
      </w:r>
      <w:r>
        <w:rPr/>
        <w:t>of</w:t>
      </w:r>
      <w:r>
        <w:rPr>
          <w:spacing w:val="-4"/>
        </w:rPr>
        <w:t> </w:t>
      </w:r>
      <w:r>
        <w:rPr/>
        <w:t>89,570</w:t>
      </w:r>
      <w:r>
        <w:rPr>
          <w:spacing w:val="-4"/>
        </w:rPr>
        <w:t> </w:t>
      </w:r>
      <w:r>
        <w:rPr/>
        <w:t>km</w:t>
      </w:r>
      <w:r>
        <w:rPr>
          <w:position w:val="7"/>
          <w:sz w:val="11"/>
        </w:rPr>
        <w:t>2</w:t>
      </w:r>
      <w:r>
        <w:rPr>
          <w:spacing w:val="-1"/>
          <w:position w:val="7"/>
          <w:sz w:val="11"/>
        </w:rPr>
        <w:t> </w:t>
      </w:r>
      <w:r>
        <w:rPr/>
        <w:t>or</w:t>
      </w:r>
      <w:r>
        <w:rPr>
          <w:spacing w:val="-4"/>
        </w:rPr>
        <w:t> </w:t>
      </w:r>
      <w:r>
        <w:rPr/>
        <w:t>1.05%</w:t>
      </w:r>
      <w:r>
        <w:rPr>
          <w:spacing w:val="-4"/>
        </w:rPr>
        <w:t> </w:t>
      </w:r>
      <w:r>
        <w:rPr/>
        <w:t>of</w:t>
      </w:r>
      <w:r>
        <w:rPr>
          <w:spacing w:val="-4"/>
        </w:rPr>
        <w:t> </w:t>
      </w:r>
      <w:r>
        <w:rPr/>
        <w:t>the</w:t>
      </w:r>
      <w:r>
        <w:rPr>
          <w:spacing w:val="-4"/>
        </w:rPr>
        <w:t> </w:t>
      </w:r>
      <w:r>
        <w:rPr/>
        <w:t>area</w:t>
      </w:r>
      <w:r>
        <w:rPr>
          <w:spacing w:val="-4"/>
        </w:rPr>
        <w:t> </w:t>
      </w:r>
      <w:r>
        <w:rPr/>
        <w:t>of</w:t>
      </w:r>
      <w:r>
        <w:rPr>
          <w:spacing w:val="-4"/>
        </w:rPr>
        <w:t> </w:t>
      </w:r>
      <w:r>
        <w:rPr/>
        <w:t>Brazil</w:t>
      </w:r>
      <w:r>
        <w:rPr>
          <w:spacing w:val="-4"/>
        </w:rPr>
        <w:t> </w:t>
      </w:r>
      <w:r>
        <w:rPr/>
        <w:t>and</w:t>
      </w:r>
      <w:r>
        <w:rPr>
          <w:spacing w:val="-4"/>
        </w:rPr>
        <w:t> </w:t>
      </w:r>
      <w:r>
        <w:rPr/>
        <w:t>includes</w:t>
      </w:r>
      <w:r>
        <w:rPr>
          <w:spacing w:val="-4"/>
        </w:rPr>
        <w:t> </w:t>
      </w:r>
      <w:r>
        <w:rPr/>
        <w:t>14</w:t>
      </w:r>
      <w:r>
        <w:rPr>
          <w:spacing w:val="-4"/>
        </w:rPr>
        <w:t> </w:t>
      </w:r>
      <w:r>
        <w:rPr/>
        <w:t>distinct</w:t>
      </w:r>
      <w:r>
        <w:rPr>
          <w:spacing w:val="-4"/>
        </w:rPr>
        <w:t> </w:t>
      </w:r>
      <w:r>
        <w:rPr/>
        <w:t>urban</w:t>
      </w:r>
      <w:r>
        <w:rPr>
          <w:spacing w:val="-4"/>
        </w:rPr>
        <w:t> </w:t>
      </w:r>
      <w:r>
        <w:rPr/>
        <w:t>regions. Seven of these are known officially as metropolitan areas, while the other seven are known as agglomerations and other types of urban regions. In the period 1991 – 2014, the population of the so-called Brazilian Megalopolis increased 37.2% from 35.6 million to 48.8 million – which constituted more than 24% of the total population of  </w:t>
      </w:r>
      <w:r>
        <w:rPr>
          <w:spacing w:val="30"/>
        </w:rPr>
        <w:t> </w:t>
      </w:r>
      <w:r>
        <w:rPr/>
        <w:t>Brazil.</w:t>
      </w:r>
    </w:p>
    <w:p>
      <w:pPr>
        <w:pStyle w:val="BodyText"/>
        <w:spacing w:before="11"/>
      </w:pPr>
    </w:p>
    <w:p>
      <w:pPr>
        <w:pStyle w:val="BodyText"/>
        <w:spacing w:line="249" w:lineRule="auto"/>
        <w:ind w:left="117" w:firstLine="170"/>
        <w:jc w:val="both"/>
      </w:pPr>
      <w:r>
        <w:rPr/>
        <w:t>Two linear settlement corridors were identified in the studied Brazilian megalopolis, which intersect in the city of Sao Paulo and serve as anchors for metropolitan areas and so-called agglomerations. The first corridor stretches from RM Sorocaba in the southwest to RM Sao Paulo and other major urban centers in the northeast direction</w:t>
      </w:r>
    </w:p>
    <w:p>
      <w:pPr>
        <w:pStyle w:val="BodyText"/>
        <w:spacing w:line="249" w:lineRule="auto" w:before="1"/>
        <w:ind w:left="117"/>
        <w:jc w:val="both"/>
      </w:pPr>
      <w:r>
        <w:rPr/>
        <w:t>– including Paraiba river valley metropolitan areas as well as RM Rio de Janeiro and the northeastern city of Campos dos Goytacazes in the Norte Fluminense region. The second principal corridor is much more densely populated and much more urbanized, stretching from the coastal city of RM Baixada Santista towards the northwest via     RM Sao Paulo, where it intersects with the first principal corridor, and then continues northwest to the Jundiai agglomeration, RM Campinas, and the terminal Piracicaba agglomeration.</w:t>
      </w:r>
    </w:p>
    <w:p>
      <w:pPr>
        <w:pStyle w:val="BodyText"/>
        <w:spacing w:before="11"/>
      </w:pPr>
    </w:p>
    <w:p>
      <w:pPr>
        <w:pStyle w:val="BodyText"/>
        <w:spacing w:line="249" w:lineRule="auto"/>
        <w:ind w:left="117" w:firstLine="170"/>
        <w:jc w:val="both"/>
      </w:pPr>
      <w:r>
        <w:rPr/>
        <w:t>The two fastest growing regions – in terms of population – lie along the Atlantic     near RM Rio de Janeiro – Baixada Litoranea and Costa Verde. This may suggest deconcentration processes in the still densely populated RM Rio de Janeiro. Relatively high population growth rates were also noted for metropolitan regions surrounding    RM Sao Paulo. The metropolitan regions of Campinas and Sorocaba experienced     the highest rates of population growth. The same pattern held for the Jundiai and Bragantina agglomerations, whose populations grew by about 60% each during the period 1991 – 2014. At the same time, the population of Brazil as a whole increased only 38%. This suggests that these dynamically growing regions are also experiencing an influx of migrants from other parts of the country, which further suggests the</w:t>
      </w:r>
      <w:r>
        <w:rPr>
          <w:spacing w:val="-26"/>
        </w:rPr>
        <w:t> </w:t>
      </w:r>
      <w:r>
        <w:rPr/>
        <w:t>process of concentration and future rapid demographic growth in the Brazilian  </w:t>
      </w:r>
      <w:r>
        <w:rPr>
          <w:spacing w:val="7"/>
        </w:rPr>
        <w:t> </w:t>
      </w:r>
      <w:r>
        <w:rPr/>
        <w:t>Megalopolis.</w:t>
      </w:r>
    </w:p>
    <w:p>
      <w:pPr>
        <w:pStyle w:val="BodyText"/>
        <w:spacing w:before="11"/>
      </w:pPr>
    </w:p>
    <w:p>
      <w:pPr>
        <w:pStyle w:val="BodyText"/>
        <w:spacing w:line="249" w:lineRule="auto"/>
        <w:ind w:left="117" w:firstLine="170"/>
        <w:jc w:val="both"/>
      </w:pPr>
      <w:r>
        <w:rPr/>
        <w:t>Selected economic indicators suggest that the studied megalopolis plays a larger than expected role in the national economy. This expansive region concentrates more than 24% of the country’s population and produces close to 38% of the country’s GDP. In addition, most of the regions forming the Brazilian Megalopolis are characterized by higher than the national average GDP per capita and HDI values. These data suggest that this large region enjoys a relatively high level of social and economic development in comparison with other parts of  Brazil.</w:t>
      </w:r>
    </w:p>
    <w:p>
      <w:pPr>
        <w:pStyle w:val="BodyText"/>
        <w:spacing w:line="249" w:lineRule="auto" w:before="109"/>
        <w:ind w:left="117" w:right="128" w:firstLine="170"/>
        <w:jc w:val="both"/>
      </w:pPr>
      <w:r>
        <w:rPr/>
        <w:br w:type="column"/>
      </w:r>
      <w:r>
        <w:rPr/>
        <w:t>Concentration processes affecting the region’s large population and economy as well as</w:t>
      </w:r>
      <w:r>
        <w:rPr>
          <w:spacing w:val="-10"/>
        </w:rPr>
        <w:t> </w:t>
      </w:r>
      <w:r>
        <w:rPr/>
        <w:t>certain</w:t>
      </w:r>
      <w:r>
        <w:rPr>
          <w:spacing w:val="-10"/>
        </w:rPr>
        <w:t> </w:t>
      </w:r>
      <w:r>
        <w:rPr/>
        <w:t>efforts</w:t>
      </w:r>
      <w:r>
        <w:rPr>
          <w:spacing w:val="-10"/>
        </w:rPr>
        <w:t> </w:t>
      </w:r>
      <w:r>
        <w:rPr/>
        <w:t>aimed</w:t>
      </w:r>
      <w:r>
        <w:rPr>
          <w:spacing w:val="-10"/>
        </w:rPr>
        <w:t> </w:t>
      </w:r>
      <w:r>
        <w:rPr/>
        <w:t>at</w:t>
      </w:r>
      <w:r>
        <w:rPr>
          <w:spacing w:val="-10"/>
        </w:rPr>
        <w:t> </w:t>
      </w:r>
      <w:r>
        <w:rPr/>
        <w:t>integrating</w:t>
      </w:r>
      <w:r>
        <w:rPr>
          <w:spacing w:val="-10"/>
        </w:rPr>
        <w:t> </w:t>
      </w:r>
      <w:r>
        <w:rPr/>
        <w:t>the</w:t>
      </w:r>
      <w:r>
        <w:rPr>
          <w:spacing w:val="-10"/>
        </w:rPr>
        <w:t> </w:t>
      </w:r>
      <w:r>
        <w:rPr/>
        <w:t>region’s</w:t>
      </w:r>
      <w:r>
        <w:rPr>
          <w:spacing w:val="-10"/>
        </w:rPr>
        <w:t> </w:t>
      </w:r>
      <w:r>
        <w:rPr/>
        <w:t>transportation</w:t>
      </w:r>
      <w:r>
        <w:rPr>
          <w:spacing w:val="-11"/>
        </w:rPr>
        <w:t> </w:t>
      </w:r>
      <w:r>
        <w:rPr/>
        <w:t>network</w:t>
      </w:r>
      <w:r>
        <w:rPr>
          <w:spacing w:val="-10"/>
        </w:rPr>
        <w:t> </w:t>
      </w:r>
      <w:r>
        <w:rPr/>
        <w:t>will</w:t>
      </w:r>
      <w:r>
        <w:rPr>
          <w:spacing w:val="-10"/>
        </w:rPr>
        <w:t> </w:t>
      </w:r>
      <w:r>
        <w:rPr/>
        <w:t>likely</w:t>
      </w:r>
      <w:r>
        <w:rPr>
          <w:spacing w:val="-10"/>
        </w:rPr>
        <w:t> </w:t>
      </w:r>
      <w:r>
        <w:rPr/>
        <w:t>result in the region becoming even more significant in Brazil and South America in general. This new Brazilian megalopolis is part of an even larger settlement pattern known as  an ecumenopolis stretching from the northeastern city of Salvador in Brazil, along the Atlantic coast to the La Plata river estuary, further southwest towards central Argentina and the key Chilean cities of Santiago and Valparaiso. This long geographic region is characterized by a relatively high population density and a high concentration of large urban centers – relative to the rest of South America. The term </w:t>
      </w:r>
      <w:r>
        <w:rPr>
          <w:i/>
        </w:rPr>
        <w:t>Latin crescent </w:t>
      </w:r>
      <w:r>
        <w:rPr/>
        <w:t>has been used</w:t>
      </w:r>
      <w:r>
        <w:rPr>
          <w:spacing w:val="-5"/>
        </w:rPr>
        <w:t> </w:t>
      </w:r>
      <w:r>
        <w:rPr/>
        <w:t>by</w:t>
      </w:r>
      <w:r>
        <w:rPr>
          <w:spacing w:val="-5"/>
        </w:rPr>
        <w:t> </w:t>
      </w:r>
      <w:r>
        <w:rPr/>
        <w:t>Brazilian</w:t>
      </w:r>
      <w:r>
        <w:rPr>
          <w:spacing w:val="-5"/>
        </w:rPr>
        <w:t> </w:t>
      </w:r>
      <w:r>
        <w:rPr/>
        <w:t>researchers</w:t>
      </w:r>
      <w:r>
        <w:rPr>
          <w:spacing w:val="-5"/>
        </w:rPr>
        <w:t> </w:t>
      </w:r>
      <w:r>
        <w:rPr/>
        <w:t>C.</w:t>
      </w:r>
      <w:r>
        <w:rPr>
          <w:spacing w:val="-5"/>
        </w:rPr>
        <w:t> </w:t>
      </w:r>
      <w:r>
        <w:rPr/>
        <w:t>Deák</w:t>
      </w:r>
      <w:r>
        <w:rPr>
          <w:spacing w:val="-5"/>
        </w:rPr>
        <w:t> </w:t>
      </w:r>
      <w:r>
        <w:rPr/>
        <w:t>and</w:t>
      </w:r>
      <w:r>
        <w:rPr>
          <w:spacing w:val="-5"/>
        </w:rPr>
        <w:t> </w:t>
      </w:r>
      <w:r>
        <w:rPr/>
        <w:t>S.</w:t>
      </w:r>
      <w:r>
        <w:rPr>
          <w:spacing w:val="-5"/>
        </w:rPr>
        <w:t> </w:t>
      </w:r>
      <w:r>
        <w:rPr/>
        <w:t>Schiffer</w:t>
      </w:r>
      <w:r>
        <w:rPr>
          <w:spacing w:val="-5"/>
        </w:rPr>
        <w:t> </w:t>
      </w:r>
      <w:r>
        <w:rPr/>
        <w:t>(2007)</w:t>
      </w:r>
      <w:r>
        <w:rPr>
          <w:spacing w:val="-5"/>
        </w:rPr>
        <w:t> </w:t>
      </w:r>
      <w:r>
        <w:rPr/>
        <w:t>to</w:t>
      </w:r>
      <w:r>
        <w:rPr>
          <w:spacing w:val="-5"/>
        </w:rPr>
        <w:t> </w:t>
      </w:r>
      <w:r>
        <w:rPr/>
        <w:t>describe</w:t>
      </w:r>
      <w:r>
        <w:rPr>
          <w:spacing w:val="-5"/>
        </w:rPr>
        <w:t> </w:t>
      </w:r>
      <w:r>
        <w:rPr/>
        <w:t>this</w:t>
      </w:r>
      <w:r>
        <w:rPr>
          <w:spacing w:val="-5"/>
        </w:rPr>
        <w:t> </w:t>
      </w:r>
      <w:r>
        <w:rPr/>
        <w:t>very</w:t>
      </w:r>
      <w:r>
        <w:rPr>
          <w:spacing w:val="-5"/>
        </w:rPr>
        <w:t> </w:t>
      </w:r>
      <w:r>
        <w:rPr/>
        <w:t>large region,</w:t>
      </w:r>
      <w:r>
        <w:rPr>
          <w:spacing w:val="-16"/>
        </w:rPr>
        <w:t> </w:t>
      </w:r>
      <w:r>
        <w:rPr/>
        <w:t>which</w:t>
      </w:r>
      <w:r>
        <w:rPr>
          <w:spacing w:val="-16"/>
        </w:rPr>
        <w:t> </w:t>
      </w:r>
      <w:r>
        <w:rPr/>
        <w:t>concentrates</w:t>
      </w:r>
      <w:r>
        <w:rPr>
          <w:spacing w:val="-16"/>
        </w:rPr>
        <w:t> </w:t>
      </w:r>
      <w:r>
        <w:rPr/>
        <w:t>more</w:t>
      </w:r>
      <w:r>
        <w:rPr>
          <w:spacing w:val="-16"/>
        </w:rPr>
        <w:t> </w:t>
      </w:r>
      <w:r>
        <w:rPr/>
        <w:t>than</w:t>
      </w:r>
      <w:r>
        <w:rPr>
          <w:spacing w:val="-16"/>
        </w:rPr>
        <w:t> </w:t>
      </w:r>
      <w:r>
        <w:rPr/>
        <w:t>half</w:t>
      </w:r>
      <w:r>
        <w:rPr>
          <w:spacing w:val="-16"/>
        </w:rPr>
        <w:t> </w:t>
      </w:r>
      <w:r>
        <w:rPr/>
        <w:t>the</w:t>
      </w:r>
      <w:r>
        <w:rPr>
          <w:spacing w:val="-16"/>
        </w:rPr>
        <w:t> </w:t>
      </w:r>
      <w:r>
        <w:rPr/>
        <w:t>population</w:t>
      </w:r>
      <w:r>
        <w:rPr>
          <w:spacing w:val="-16"/>
        </w:rPr>
        <w:t> </w:t>
      </w:r>
      <w:r>
        <w:rPr/>
        <w:t>of</w:t>
      </w:r>
      <w:r>
        <w:rPr>
          <w:spacing w:val="-16"/>
        </w:rPr>
        <w:t> </w:t>
      </w:r>
      <w:r>
        <w:rPr/>
        <w:t>so-called</w:t>
      </w:r>
      <w:r>
        <w:rPr>
          <w:spacing w:val="-16"/>
        </w:rPr>
        <w:t> </w:t>
      </w:r>
      <w:r>
        <w:rPr/>
        <w:t>Mercosur</w:t>
      </w:r>
      <w:r>
        <w:rPr>
          <w:spacing w:val="-16"/>
        </w:rPr>
        <w:t> </w:t>
      </w:r>
      <w:r>
        <w:rPr/>
        <w:t>countries and includes more than dozen major metropolitan</w:t>
      </w:r>
      <w:r>
        <w:rPr>
          <w:spacing w:val="-23"/>
        </w:rPr>
        <w:t> </w:t>
      </w:r>
      <w:r>
        <w:rPr/>
        <w:t>areas.</w:t>
      </w:r>
    </w:p>
    <w:p>
      <w:pPr>
        <w:spacing w:after="0" w:line="249" w:lineRule="auto"/>
        <w:jc w:val="both"/>
        <w:sectPr>
          <w:type w:val="continuous"/>
          <w:pgSz w:w="18830" w:h="12760" w:orient="landscape"/>
          <w:pgMar w:top="1420" w:bottom="280" w:left="720" w:right="720"/>
          <w:cols w:num="2" w:equalWidth="0">
            <w:col w:w="7829" w:space="1594"/>
            <w:col w:w="7967"/>
          </w:cols>
        </w:sectPr>
      </w:pPr>
    </w:p>
    <w:p>
      <w:pPr>
        <w:pStyle w:val="BodyText"/>
        <w:spacing w:before="8"/>
      </w:pPr>
    </w:p>
    <w:p>
      <w:pPr>
        <w:spacing w:after="0"/>
        <w:sectPr>
          <w:footerReference w:type="default" r:id="rId558"/>
          <w:pgSz w:w="18830" w:h="12760" w:orient="landscape"/>
          <w:pgMar w:footer="1036" w:header="522" w:top="820" w:bottom="1220" w:left="720" w:right="720"/>
        </w:sectPr>
      </w:pPr>
    </w:p>
    <w:p>
      <w:pPr>
        <w:pStyle w:val="Heading1"/>
        <w:spacing w:before="71"/>
        <w:ind w:left="301" w:right="3"/>
      </w:pPr>
      <w:r>
        <w:rPr/>
        <w:t>References:</w:t>
      </w:r>
    </w:p>
    <w:p>
      <w:pPr>
        <w:pStyle w:val="BodyText"/>
        <w:rPr>
          <w:b/>
          <w:sz w:val="21"/>
        </w:rPr>
      </w:pPr>
    </w:p>
    <w:p>
      <w:pPr>
        <w:pStyle w:val="BodyText"/>
        <w:spacing w:line="249" w:lineRule="auto"/>
        <w:ind w:left="754" w:hanging="624"/>
        <w:jc w:val="both"/>
      </w:pPr>
      <w:r>
        <w:rPr/>
        <w:t>Bernardes da Silva, A., Castillo, R. (2007). Dinámicas metropolitanas en la era de la globalización: la promoción inmobiliaria para empresas en la ciudad de São Paulo. Brasil. </w:t>
      </w:r>
      <w:r>
        <w:rPr>
          <w:i/>
        </w:rPr>
        <w:t>Revista de Estudios Urbano Regionales EURE</w:t>
      </w:r>
      <w:r>
        <w:rPr/>
        <w:t>, 33(98), 45-56.</w:t>
      </w:r>
    </w:p>
    <w:p>
      <w:pPr>
        <w:pStyle w:val="BodyText"/>
        <w:spacing w:before="11"/>
      </w:pPr>
    </w:p>
    <w:p>
      <w:pPr>
        <w:spacing w:line="249" w:lineRule="auto" w:before="0"/>
        <w:ind w:left="754" w:right="0" w:hanging="624"/>
        <w:jc w:val="both"/>
        <w:rPr>
          <w:sz w:val="20"/>
        </w:rPr>
      </w:pPr>
      <w:r>
        <w:rPr>
          <w:sz w:val="20"/>
        </w:rPr>
        <w:t>Campolina Diniz, C., Campolina, B. (2007). A região metropolitana de São Paulo: reestruturacao. re-espacializaçao e novas funções. </w:t>
      </w:r>
      <w:r>
        <w:rPr>
          <w:i/>
          <w:sz w:val="20"/>
        </w:rPr>
        <w:t>Revista de Estudios Urbano </w:t>
      </w:r>
      <w:r>
        <w:rPr>
          <w:i/>
          <w:sz w:val="20"/>
        </w:rPr>
        <w:t>Regionales EURE, </w:t>
      </w:r>
      <w:r>
        <w:rPr>
          <w:sz w:val="20"/>
        </w:rPr>
        <w:t>33(98), 27-43.</w:t>
      </w:r>
    </w:p>
    <w:p>
      <w:pPr>
        <w:pStyle w:val="BodyText"/>
        <w:spacing w:before="11"/>
      </w:pPr>
    </w:p>
    <w:p>
      <w:pPr>
        <w:spacing w:line="249" w:lineRule="auto" w:before="0"/>
        <w:ind w:left="754" w:right="0" w:hanging="624"/>
        <w:jc w:val="both"/>
        <w:rPr>
          <w:sz w:val="20"/>
        </w:rPr>
      </w:pPr>
      <w:r>
        <w:rPr>
          <w:sz w:val="20"/>
        </w:rPr>
        <w:t>Consoni</w:t>
      </w:r>
      <w:r>
        <w:rPr>
          <w:spacing w:val="-17"/>
          <w:sz w:val="20"/>
        </w:rPr>
        <w:t> </w:t>
      </w:r>
      <w:r>
        <w:rPr>
          <w:sz w:val="20"/>
        </w:rPr>
        <w:t>Rossi,</w:t>
      </w:r>
      <w:r>
        <w:rPr>
          <w:spacing w:val="-17"/>
          <w:sz w:val="20"/>
        </w:rPr>
        <w:t> </w:t>
      </w:r>
      <w:r>
        <w:rPr>
          <w:sz w:val="20"/>
        </w:rPr>
        <w:t>E.,</w:t>
      </w:r>
      <w:r>
        <w:rPr>
          <w:spacing w:val="-17"/>
          <w:sz w:val="20"/>
        </w:rPr>
        <w:t> </w:t>
      </w:r>
      <w:r>
        <w:rPr>
          <w:sz w:val="20"/>
        </w:rPr>
        <w:t>Taylor,</w:t>
      </w:r>
      <w:r>
        <w:rPr>
          <w:spacing w:val="-17"/>
          <w:sz w:val="20"/>
        </w:rPr>
        <w:t> </w:t>
      </w:r>
      <w:r>
        <w:rPr>
          <w:sz w:val="20"/>
        </w:rPr>
        <w:t>P.</w:t>
      </w:r>
      <w:r>
        <w:rPr>
          <w:spacing w:val="-17"/>
          <w:sz w:val="20"/>
        </w:rPr>
        <w:t> </w:t>
      </w:r>
      <w:r>
        <w:rPr>
          <w:sz w:val="20"/>
        </w:rPr>
        <w:t>J.</w:t>
      </w:r>
      <w:r>
        <w:rPr>
          <w:spacing w:val="-17"/>
          <w:sz w:val="20"/>
        </w:rPr>
        <w:t> </w:t>
      </w:r>
      <w:r>
        <w:rPr>
          <w:sz w:val="20"/>
        </w:rPr>
        <w:t>(2007).</w:t>
      </w:r>
      <w:r>
        <w:rPr>
          <w:spacing w:val="-17"/>
          <w:sz w:val="20"/>
        </w:rPr>
        <w:t> </w:t>
      </w:r>
      <w:r>
        <w:rPr>
          <w:sz w:val="20"/>
        </w:rPr>
        <w:t>Gateway</w:t>
      </w:r>
      <w:r>
        <w:rPr>
          <w:spacing w:val="-17"/>
          <w:sz w:val="20"/>
        </w:rPr>
        <w:t> </w:t>
      </w:r>
      <w:r>
        <w:rPr>
          <w:sz w:val="20"/>
        </w:rPr>
        <w:t>cities:</w:t>
      </w:r>
      <w:r>
        <w:rPr>
          <w:spacing w:val="-17"/>
          <w:sz w:val="20"/>
        </w:rPr>
        <w:t> </w:t>
      </w:r>
      <w:r>
        <w:rPr>
          <w:sz w:val="20"/>
        </w:rPr>
        <w:t>círculos</w:t>
      </w:r>
      <w:r>
        <w:rPr>
          <w:spacing w:val="-17"/>
          <w:sz w:val="20"/>
        </w:rPr>
        <w:t> </w:t>
      </w:r>
      <w:r>
        <w:rPr>
          <w:sz w:val="20"/>
        </w:rPr>
        <w:t>bancarios,</w:t>
      </w:r>
      <w:r>
        <w:rPr>
          <w:spacing w:val="-17"/>
          <w:sz w:val="20"/>
        </w:rPr>
        <w:t> </w:t>
      </w:r>
      <w:r>
        <w:rPr>
          <w:sz w:val="20"/>
        </w:rPr>
        <w:t>concentración y dispersión en el ambiente urbano brasileño. </w:t>
      </w:r>
      <w:r>
        <w:rPr>
          <w:i/>
          <w:sz w:val="20"/>
        </w:rPr>
        <w:t>Revista de Estudios Urbano </w:t>
      </w:r>
      <w:r>
        <w:rPr>
          <w:i/>
          <w:sz w:val="20"/>
        </w:rPr>
        <w:t>Regionales</w:t>
      </w:r>
      <w:r>
        <w:rPr>
          <w:i/>
          <w:spacing w:val="-23"/>
          <w:sz w:val="20"/>
        </w:rPr>
        <w:t> </w:t>
      </w:r>
      <w:r>
        <w:rPr>
          <w:i/>
          <w:sz w:val="20"/>
        </w:rPr>
        <w:t>EURE</w:t>
      </w:r>
      <w:r>
        <w:rPr>
          <w:sz w:val="20"/>
        </w:rPr>
        <w:t>,</w:t>
      </w:r>
      <w:r>
        <w:rPr>
          <w:spacing w:val="-23"/>
          <w:sz w:val="20"/>
        </w:rPr>
        <w:t> </w:t>
      </w:r>
      <w:r>
        <w:rPr>
          <w:sz w:val="20"/>
        </w:rPr>
        <w:t>33(100),</w:t>
      </w:r>
      <w:r>
        <w:rPr>
          <w:spacing w:val="-23"/>
          <w:sz w:val="20"/>
        </w:rPr>
        <w:t> </w:t>
      </w:r>
      <w:r>
        <w:rPr>
          <w:sz w:val="20"/>
        </w:rPr>
        <w:t>115-133.</w:t>
      </w:r>
    </w:p>
    <w:p>
      <w:pPr>
        <w:pStyle w:val="BodyText"/>
        <w:spacing w:before="11"/>
      </w:pPr>
    </w:p>
    <w:p>
      <w:pPr>
        <w:spacing w:line="249" w:lineRule="auto" w:before="0"/>
        <w:ind w:left="754" w:right="0" w:hanging="624"/>
        <w:jc w:val="both"/>
        <w:rPr>
          <w:sz w:val="20"/>
        </w:rPr>
      </w:pPr>
      <w:r>
        <w:rPr>
          <w:sz w:val="20"/>
        </w:rPr>
        <w:t>Deák. C., Schiffer, S. (2007). </w:t>
      </w:r>
      <w:r>
        <w:rPr>
          <w:i/>
          <w:sz w:val="20"/>
        </w:rPr>
        <w:t>São Paulo: The Metropolis of an Elite Society</w:t>
      </w:r>
      <w:r>
        <w:rPr>
          <w:sz w:val="20"/>
        </w:rPr>
        <w:t>. In: Segbers K., Raiser S., Volkmann K. (eds.) </w:t>
      </w:r>
      <w:r>
        <w:rPr>
          <w:i/>
          <w:sz w:val="20"/>
        </w:rPr>
        <w:t>The Making of Global City Regions: </w:t>
      </w:r>
      <w:r>
        <w:rPr>
          <w:i/>
          <w:sz w:val="20"/>
        </w:rPr>
        <w:t>Johannesburg. Mumbai/Bombay. Sao Paulo. and Shanghai</w:t>
      </w:r>
      <w:r>
        <w:rPr>
          <w:sz w:val="20"/>
        </w:rPr>
        <w:t>. Baltimore: Johns Hopkins University Press,</w:t>
      </w:r>
      <w:r>
        <w:rPr>
          <w:spacing w:val="-1"/>
          <w:sz w:val="20"/>
        </w:rPr>
        <w:t> </w:t>
      </w:r>
      <w:r>
        <w:rPr>
          <w:sz w:val="20"/>
        </w:rPr>
        <w:t>85–112.</w:t>
      </w:r>
    </w:p>
    <w:p>
      <w:pPr>
        <w:pStyle w:val="BodyText"/>
        <w:spacing w:before="11"/>
      </w:pPr>
    </w:p>
    <w:p>
      <w:pPr>
        <w:spacing w:line="249" w:lineRule="auto" w:before="0"/>
        <w:ind w:left="754" w:right="0" w:hanging="624"/>
        <w:jc w:val="both"/>
        <w:rPr>
          <w:sz w:val="20"/>
        </w:rPr>
      </w:pPr>
      <w:r>
        <w:rPr>
          <w:sz w:val="20"/>
        </w:rPr>
        <w:t>Dinius,</w:t>
      </w:r>
      <w:r>
        <w:rPr>
          <w:spacing w:val="-7"/>
          <w:sz w:val="20"/>
        </w:rPr>
        <w:t> </w:t>
      </w:r>
      <w:r>
        <w:rPr>
          <w:sz w:val="20"/>
        </w:rPr>
        <w:t>O.</w:t>
      </w:r>
      <w:r>
        <w:rPr>
          <w:spacing w:val="-7"/>
          <w:sz w:val="20"/>
        </w:rPr>
        <w:t> </w:t>
      </w:r>
      <w:r>
        <w:rPr>
          <w:sz w:val="20"/>
        </w:rPr>
        <w:t>(2011).</w:t>
      </w:r>
      <w:r>
        <w:rPr>
          <w:spacing w:val="-7"/>
          <w:sz w:val="20"/>
        </w:rPr>
        <w:t> </w:t>
      </w:r>
      <w:r>
        <w:rPr>
          <w:i/>
          <w:sz w:val="20"/>
        </w:rPr>
        <w:t>Brazil’s</w:t>
      </w:r>
      <w:r>
        <w:rPr>
          <w:i/>
          <w:spacing w:val="-7"/>
          <w:sz w:val="20"/>
        </w:rPr>
        <w:t> </w:t>
      </w:r>
      <w:r>
        <w:rPr>
          <w:i/>
          <w:sz w:val="20"/>
        </w:rPr>
        <w:t>Steel</w:t>
      </w:r>
      <w:r>
        <w:rPr>
          <w:i/>
          <w:spacing w:val="-7"/>
          <w:sz w:val="20"/>
        </w:rPr>
        <w:t> </w:t>
      </w:r>
      <w:r>
        <w:rPr>
          <w:i/>
          <w:sz w:val="20"/>
        </w:rPr>
        <w:t>City:</w:t>
      </w:r>
      <w:r>
        <w:rPr>
          <w:i/>
          <w:spacing w:val="-7"/>
          <w:sz w:val="20"/>
        </w:rPr>
        <w:t> </w:t>
      </w:r>
      <w:r>
        <w:rPr>
          <w:i/>
          <w:sz w:val="20"/>
        </w:rPr>
        <w:t>Developmentalism,</w:t>
      </w:r>
      <w:r>
        <w:rPr>
          <w:i/>
          <w:spacing w:val="-7"/>
          <w:sz w:val="20"/>
        </w:rPr>
        <w:t> </w:t>
      </w:r>
      <w:r>
        <w:rPr>
          <w:i/>
          <w:sz w:val="20"/>
        </w:rPr>
        <w:t>Strategic</w:t>
      </w:r>
      <w:r>
        <w:rPr>
          <w:i/>
          <w:spacing w:val="-7"/>
          <w:sz w:val="20"/>
        </w:rPr>
        <w:t> </w:t>
      </w:r>
      <w:r>
        <w:rPr>
          <w:i/>
          <w:sz w:val="20"/>
        </w:rPr>
        <w:t>Power,</w:t>
      </w:r>
      <w:r>
        <w:rPr>
          <w:i/>
          <w:spacing w:val="-7"/>
          <w:sz w:val="20"/>
        </w:rPr>
        <w:t> </w:t>
      </w:r>
      <w:r>
        <w:rPr>
          <w:i/>
          <w:sz w:val="20"/>
        </w:rPr>
        <w:t>and</w:t>
      </w:r>
      <w:r>
        <w:rPr>
          <w:i/>
          <w:spacing w:val="-7"/>
          <w:sz w:val="20"/>
        </w:rPr>
        <w:t> </w:t>
      </w:r>
      <w:r>
        <w:rPr>
          <w:i/>
          <w:sz w:val="20"/>
        </w:rPr>
        <w:t>Industrial </w:t>
      </w:r>
      <w:r>
        <w:rPr>
          <w:i/>
          <w:sz w:val="20"/>
        </w:rPr>
        <w:t>Relations in Volta Redonda, 1941-1964</w:t>
      </w:r>
      <w:r>
        <w:rPr>
          <w:sz w:val="20"/>
        </w:rPr>
        <w:t>. Stanford: Stanford University</w:t>
      </w:r>
      <w:r>
        <w:rPr>
          <w:spacing w:val="15"/>
          <w:sz w:val="20"/>
        </w:rPr>
        <w:t> </w:t>
      </w:r>
      <w:r>
        <w:rPr>
          <w:sz w:val="20"/>
        </w:rPr>
        <w:t>Press.</w:t>
      </w:r>
    </w:p>
    <w:p>
      <w:pPr>
        <w:pStyle w:val="BodyText"/>
        <w:spacing w:before="11"/>
      </w:pPr>
    </w:p>
    <w:p>
      <w:pPr>
        <w:pStyle w:val="BodyText"/>
        <w:spacing w:line="249" w:lineRule="auto"/>
        <w:ind w:left="754" w:hanging="624"/>
        <w:jc w:val="both"/>
      </w:pPr>
      <w:r>
        <w:rPr/>
        <w:t>Gilbert, R. (1995). Rio de Janeiro: the Make-up of a Modern Megacity. </w:t>
      </w:r>
      <w:r>
        <w:rPr>
          <w:i/>
        </w:rPr>
        <w:t>Habitat </w:t>
      </w:r>
      <w:r>
        <w:rPr>
          <w:i/>
        </w:rPr>
        <w:t>International</w:t>
      </w:r>
      <w:r>
        <w:rPr/>
        <w:t>, 19(1), 91-122.</w:t>
      </w:r>
    </w:p>
    <w:p>
      <w:pPr>
        <w:pStyle w:val="BodyText"/>
        <w:spacing w:before="11"/>
      </w:pPr>
    </w:p>
    <w:p>
      <w:pPr>
        <w:pStyle w:val="BodyText"/>
        <w:spacing w:line="249" w:lineRule="auto"/>
        <w:ind w:left="754" w:right="1" w:hanging="624"/>
        <w:jc w:val="both"/>
      </w:pPr>
      <w:r>
        <w:rPr/>
        <w:t>Godfrey, B. J. (1999). Revisiting Rio de Janeiro and São Paulo. </w:t>
      </w:r>
      <w:r>
        <w:rPr>
          <w:i/>
        </w:rPr>
        <w:t>Geographical Review</w:t>
      </w:r>
      <w:r>
        <w:rPr/>
        <w:t>, 89(1), 94-121.</w:t>
      </w:r>
    </w:p>
    <w:p>
      <w:pPr>
        <w:pStyle w:val="BodyText"/>
        <w:spacing w:before="11"/>
      </w:pPr>
    </w:p>
    <w:p>
      <w:pPr>
        <w:pStyle w:val="BodyText"/>
        <w:ind w:left="131" w:right="3"/>
      </w:pPr>
      <w:r>
        <w:rPr/>
        <w:t>Gottmann, J. (1957). Megalopolis or the Urbanization of the Northeastern Seaboard.</w:t>
      </w:r>
    </w:p>
    <w:p>
      <w:pPr>
        <w:spacing w:before="10"/>
        <w:ind w:left="754" w:right="3" w:firstLine="0"/>
        <w:jc w:val="left"/>
        <w:rPr>
          <w:sz w:val="20"/>
        </w:rPr>
      </w:pPr>
      <w:r>
        <w:rPr>
          <w:i/>
          <w:sz w:val="20"/>
        </w:rPr>
        <w:t>Economic Geography</w:t>
      </w:r>
      <w:r>
        <w:rPr>
          <w:sz w:val="20"/>
        </w:rPr>
        <w:t>, 33(3), 189-200.</w:t>
      </w:r>
    </w:p>
    <w:p>
      <w:pPr>
        <w:pStyle w:val="BodyText"/>
        <w:spacing w:before="8"/>
        <w:rPr>
          <w:sz w:val="21"/>
        </w:rPr>
      </w:pPr>
    </w:p>
    <w:p>
      <w:pPr>
        <w:pStyle w:val="BodyText"/>
        <w:spacing w:line="249" w:lineRule="auto"/>
        <w:ind w:left="754" w:hanging="624"/>
        <w:jc w:val="both"/>
      </w:pPr>
      <w:r>
        <w:rPr/>
        <w:t>Marques, E. (2014). A Metrópole de São Paulo no início do século XXI. </w:t>
      </w:r>
      <w:r>
        <w:rPr>
          <w:i/>
        </w:rPr>
        <w:t>Revista USP</w:t>
      </w:r>
      <w:r>
        <w:rPr/>
        <w:t>, 102, 23-32.</w:t>
      </w:r>
    </w:p>
    <w:p>
      <w:pPr>
        <w:pStyle w:val="BodyText"/>
        <w:spacing w:before="11"/>
      </w:pPr>
    </w:p>
    <w:p>
      <w:pPr>
        <w:spacing w:line="249" w:lineRule="auto" w:before="0"/>
        <w:ind w:left="754" w:right="0" w:hanging="624"/>
        <w:jc w:val="both"/>
        <w:rPr>
          <w:sz w:val="20"/>
        </w:rPr>
      </w:pPr>
      <w:r>
        <w:rPr>
          <w:sz w:val="20"/>
        </w:rPr>
        <w:t>Queiroz Ribeiro, L.C., Telles, E.E. (2000). </w:t>
      </w:r>
      <w:r>
        <w:rPr>
          <w:i/>
          <w:sz w:val="20"/>
        </w:rPr>
        <w:t>Rio de Janeiro: Emerging Dualization in a </w:t>
      </w:r>
      <w:r>
        <w:rPr>
          <w:i/>
          <w:sz w:val="20"/>
        </w:rPr>
        <w:t>Historically Unequal City</w:t>
      </w:r>
      <w:r>
        <w:rPr>
          <w:sz w:val="20"/>
        </w:rPr>
        <w:t>. In: Marcuse R., van Kempen P. (eds.) </w:t>
      </w:r>
      <w:r>
        <w:rPr>
          <w:i/>
          <w:sz w:val="20"/>
        </w:rPr>
        <w:t>Globalizing </w:t>
      </w:r>
      <w:r>
        <w:rPr>
          <w:i/>
          <w:sz w:val="20"/>
        </w:rPr>
        <w:t>Cities: A New Spatial Order? </w:t>
      </w:r>
      <w:r>
        <w:rPr>
          <w:sz w:val="20"/>
        </w:rPr>
        <w:t>London–Cambridge: Blackwell Publishing. 78-94.</w:t>
      </w:r>
    </w:p>
    <w:p>
      <w:pPr>
        <w:pStyle w:val="BodyText"/>
        <w:spacing w:before="11"/>
      </w:pPr>
    </w:p>
    <w:p>
      <w:pPr>
        <w:pStyle w:val="BodyText"/>
        <w:ind w:left="131" w:right="-3"/>
      </w:pPr>
      <w:r>
        <w:rPr/>
        <w:t>Papaioannou,</w:t>
      </w:r>
      <w:r>
        <w:rPr>
          <w:spacing w:val="-9"/>
        </w:rPr>
        <w:t> </w:t>
      </w:r>
      <w:r>
        <w:rPr/>
        <w:t>J.</w:t>
      </w:r>
      <w:r>
        <w:rPr>
          <w:spacing w:val="-9"/>
        </w:rPr>
        <w:t> </w:t>
      </w:r>
      <w:r>
        <w:rPr/>
        <w:t>G.</w:t>
      </w:r>
      <w:r>
        <w:rPr>
          <w:spacing w:val="-9"/>
        </w:rPr>
        <w:t> </w:t>
      </w:r>
      <w:r>
        <w:rPr/>
        <w:t>(1998).</w:t>
      </w:r>
      <w:r>
        <w:rPr>
          <w:spacing w:val="-9"/>
        </w:rPr>
        <w:t> </w:t>
      </w:r>
      <w:r>
        <w:rPr/>
        <w:t>Megacities</w:t>
      </w:r>
      <w:r>
        <w:rPr>
          <w:spacing w:val="-9"/>
        </w:rPr>
        <w:t> </w:t>
      </w:r>
      <w:r>
        <w:rPr/>
        <w:t>versus</w:t>
      </w:r>
      <w:r>
        <w:rPr>
          <w:spacing w:val="-9"/>
        </w:rPr>
        <w:t> </w:t>
      </w:r>
      <w:r>
        <w:rPr/>
        <w:t>Megalopolises:</w:t>
      </w:r>
      <w:r>
        <w:rPr>
          <w:spacing w:val="-9"/>
        </w:rPr>
        <w:t> </w:t>
      </w:r>
      <w:r>
        <w:rPr/>
        <w:t>A</w:t>
      </w:r>
      <w:r>
        <w:rPr>
          <w:spacing w:val="-9"/>
        </w:rPr>
        <w:t> </w:t>
      </w:r>
      <w:r>
        <w:rPr/>
        <w:t>challenge</w:t>
      </w:r>
      <w:r>
        <w:rPr>
          <w:spacing w:val="-9"/>
        </w:rPr>
        <w:t> </w:t>
      </w:r>
      <w:r>
        <w:rPr/>
        <w:t>for</w:t>
      </w:r>
      <w:r>
        <w:rPr>
          <w:spacing w:val="-9"/>
        </w:rPr>
        <w:t> </w:t>
      </w:r>
      <w:r>
        <w:rPr/>
        <w:t>the</w:t>
      </w:r>
      <w:r>
        <w:rPr>
          <w:spacing w:val="-9"/>
        </w:rPr>
        <w:t> </w:t>
      </w:r>
      <w:r>
        <w:rPr/>
        <w:t>future.</w:t>
      </w:r>
    </w:p>
    <w:p>
      <w:pPr>
        <w:spacing w:before="10"/>
        <w:ind w:left="754" w:right="3" w:firstLine="0"/>
        <w:jc w:val="left"/>
        <w:rPr>
          <w:sz w:val="20"/>
        </w:rPr>
      </w:pPr>
      <w:r>
        <w:rPr>
          <w:i/>
          <w:sz w:val="20"/>
        </w:rPr>
        <w:t>Ekistics</w:t>
      </w:r>
      <w:r>
        <w:rPr>
          <w:sz w:val="20"/>
        </w:rPr>
        <w:t>, 65(388-390), 6-26.</w:t>
      </w:r>
    </w:p>
    <w:p>
      <w:pPr>
        <w:pStyle w:val="BodyText"/>
        <w:spacing w:line="249" w:lineRule="auto" w:before="109"/>
        <w:ind w:left="754" w:right="128" w:hanging="624"/>
        <w:jc w:val="both"/>
      </w:pPr>
      <w:r>
        <w:rPr/>
        <w:br w:type="column"/>
      </w:r>
      <w:r>
        <w:rPr/>
        <w:t>Rodriguez-Poze, A., Tomaney, J., Klink, J. (2001). Local empowerment through economic restructuring in Brazil: the case of the greater ABC region. </w:t>
      </w:r>
      <w:r>
        <w:rPr>
          <w:i/>
        </w:rPr>
        <w:t>Geoforum</w:t>
      </w:r>
      <w:r>
        <w:rPr/>
        <w:t>, </w:t>
      </w:r>
      <w:r>
        <w:rPr>
          <w:w w:val="95"/>
        </w:rPr>
        <w:t>32(4), 459–469.</w:t>
      </w:r>
    </w:p>
    <w:p>
      <w:pPr>
        <w:pStyle w:val="BodyText"/>
        <w:spacing w:before="11"/>
      </w:pPr>
    </w:p>
    <w:p>
      <w:pPr>
        <w:spacing w:before="0"/>
        <w:ind w:left="131" w:right="-10" w:firstLine="0"/>
        <w:jc w:val="left"/>
        <w:rPr>
          <w:sz w:val="20"/>
        </w:rPr>
      </w:pPr>
      <w:r>
        <w:rPr>
          <w:sz w:val="20"/>
        </w:rPr>
        <w:t>Santos, M. (1996). </w:t>
      </w:r>
      <w:r>
        <w:rPr>
          <w:i/>
          <w:sz w:val="20"/>
        </w:rPr>
        <w:t>São Paulo: A growth process full of contradictions</w:t>
      </w:r>
      <w:r>
        <w:rPr>
          <w:sz w:val="20"/>
        </w:rPr>
        <w:t>. In: Gilbert A. (ed)</w:t>
      </w:r>
    </w:p>
    <w:p>
      <w:pPr>
        <w:spacing w:before="10"/>
        <w:ind w:left="131" w:right="-10" w:firstLine="623"/>
        <w:jc w:val="left"/>
        <w:rPr>
          <w:sz w:val="20"/>
        </w:rPr>
      </w:pPr>
      <w:r>
        <w:rPr>
          <w:i/>
          <w:sz w:val="20"/>
        </w:rPr>
        <w:t>The megacity in Latin America</w:t>
      </w:r>
      <w:r>
        <w:rPr>
          <w:sz w:val="20"/>
        </w:rPr>
        <w:t>. Tokyo: United Nations University Press, 224–240.</w:t>
      </w:r>
    </w:p>
    <w:p>
      <w:pPr>
        <w:pStyle w:val="BodyText"/>
        <w:spacing w:before="8"/>
        <w:rPr>
          <w:sz w:val="21"/>
        </w:rPr>
      </w:pPr>
    </w:p>
    <w:p>
      <w:pPr>
        <w:spacing w:before="0"/>
        <w:ind w:left="131" w:right="-10" w:firstLine="0"/>
        <w:jc w:val="left"/>
        <w:rPr>
          <w:sz w:val="20"/>
        </w:rPr>
      </w:pPr>
      <w:r>
        <w:rPr>
          <w:sz w:val="20"/>
        </w:rPr>
        <w:t>Schiffer, S. (2002). </w:t>
      </w:r>
      <w:r>
        <w:rPr>
          <w:i/>
          <w:sz w:val="20"/>
        </w:rPr>
        <w:t>São Paulo: articulating a cross-border region</w:t>
      </w:r>
      <w:r>
        <w:rPr>
          <w:sz w:val="20"/>
        </w:rPr>
        <w:t>. In: Sassen S. (ed)</w:t>
      </w:r>
    </w:p>
    <w:p>
      <w:pPr>
        <w:spacing w:before="10"/>
        <w:ind w:left="754" w:right="-10" w:firstLine="0"/>
        <w:jc w:val="left"/>
        <w:rPr>
          <w:sz w:val="20"/>
        </w:rPr>
      </w:pPr>
      <w:r>
        <w:rPr>
          <w:i/>
          <w:sz w:val="20"/>
        </w:rPr>
        <w:t>Global Networks. Linked Cities</w:t>
      </w:r>
      <w:r>
        <w:rPr>
          <w:sz w:val="20"/>
        </w:rPr>
        <w:t>. New York–London. Routledge, 209-236.</w:t>
      </w:r>
    </w:p>
    <w:p>
      <w:pPr>
        <w:pStyle w:val="BodyText"/>
        <w:spacing w:before="8"/>
        <w:rPr>
          <w:sz w:val="21"/>
        </w:rPr>
      </w:pPr>
    </w:p>
    <w:p>
      <w:pPr>
        <w:spacing w:before="0"/>
        <w:ind w:left="131" w:right="-10" w:firstLine="0"/>
        <w:jc w:val="left"/>
        <w:rPr>
          <w:sz w:val="20"/>
        </w:rPr>
      </w:pPr>
      <w:r>
        <w:rPr>
          <w:sz w:val="20"/>
        </w:rPr>
        <w:t>Tolosa, H. (1996). </w:t>
      </w:r>
      <w:r>
        <w:rPr>
          <w:i/>
          <w:sz w:val="20"/>
        </w:rPr>
        <w:t>Rio de Janeiro: Urban expansion and structural change</w:t>
      </w:r>
      <w:r>
        <w:rPr>
          <w:sz w:val="20"/>
        </w:rPr>
        <w:t>. In:  </w:t>
      </w:r>
      <w:r>
        <w:rPr>
          <w:spacing w:val="53"/>
          <w:sz w:val="20"/>
        </w:rPr>
        <w:t> </w:t>
      </w:r>
      <w:r>
        <w:rPr>
          <w:sz w:val="20"/>
        </w:rPr>
        <w:t>Gilbert</w:t>
      </w:r>
    </w:p>
    <w:p>
      <w:pPr>
        <w:pStyle w:val="ListParagraph"/>
        <w:numPr>
          <w:ilvl w:val="1"/>
          <w:numId w:val="85"/>
        </w:numPr>
        <w:tabs>
          <w:tab w:pos="1003" w:val="left" w:leader="none"/>
        </w:tabs>
        <w:spacing w:line="249" w:lineRule="auto" w:before="10" w:after="0"/>
        <w:ind w:left="754" w:right="128" w:firstLine="0"/>
        <w:jc w:val="left"/>
        <w:rPr>
          <w:sz w:val="20"/>
        </w:rPr>
      </w:pPr>
      <w:r>
        <w:rPr>
          <w:sz w:val="20"/>
        </w:rPr>
        <w:t>(ed) </w:t>
      </w:r>
      <w:r>
        <w:rPr>
          <w:i/>
          <w:sz w:val="20"/>
        </w:rPr>
        <w:t>The mega-city in Latin America</w:t>
      </w:r>
      <w:r>
        <w:rPr>
          <w:sz w:val="20"/>
        </w:rPr>
        <w:t>. Tokyo: United Nations University Press, 203–223.</w:t>
      </w:r>
    </w:p>
    <w:p>
      <w:pPr>
        <w:pStyle w:val="BodyText"/>
        <w:spacing w:before="11"/>
      </w:pPr>
    </w:p>
    <w:p>
      <w:pPr>
        <w:pStyle w:val="BodyText"/>
        <w:spacing w:line="249" w:lineRule="auto"/>
        <w:ind w:left="754" w:right="128" w:hanging="624"/>
        <w:jc w:val="both"/>
      </w:pPr>
      <w:r>
        <w:rPr/>
        <w:t>Tolosa,</w:t>
      </w:r>
      <w:r>
        <w:rPr>
          <w:spacing w:val="-6"/>
        </w:rPr>
        <w:t> </w:t>
      </w:r>
      <w:r>
        <w:rPr/>
        <w:t>H.</w:t>
      </w:r>
      <w:r>
        <w:rPr>
          <w:spacing w:val="-6"/>
        </w:rPr>
        <w:t> </w:t>
      </w:r>
      <w:r>
        <w:rPr/>
        <w:t>(2003).</w:t>
      </w:r>
      <w:r>
        <w:rPr>
          <w:spacing w:val="-6"/>
        </w:rPr>
        <w:t> </w:t>
      </w:r>
      <w:r>
        <w:rPr/>
        <w:t>The</w:t>
      </w:r>
      <w:r>
        <w:rPr>
          <w:spacing w:val="-6"/>
        </w:rPr>
        <w:t> </w:t>
      </w:r>
      <w:r>
        <w:rPr/>
        <w:t>Rio/São</w:t>
      </w:r>
      <w:r>
        <w:rPr>
          <w:spacing w:val="-5"/>
        </w:rPr>
        <w:t> </w:t>
      </w:r>
      <w:r>
        <w:rPr/>
        <w:t>Paulo</w:t>
      </w:r>
      <w:r>
        <w:rPr>
          <w:spacing w:val="-6"/>
        </w:rPr>
        <w:t> </w:t>
      </w:r>
      <w:r>
        <w:rPr/>
        <w:t>Extended</w:t>
      </w:r>
      <w:r>
        <w:rPr>
          <w:spacing w:val="-6"/>
        </w:rPr>
        <w:t> </w:t>
      </w:r>
      <w:r>
        <w:rPr/>
        <w:t>Metropolitan</w:t>
      </w:r>
      <w:r>
        <w:rPr>
          <w:spacing w:val="-6"/>
        </w:rPr>
        <w:t> </w:t>
      </w:r>
      <w:r>
        <w:rPr/>
        <w:t>Region:</w:t>
      </w:r>
      <w:r>
        <w:rPr>
          <w:spacing w:val="-5"/>
        </w:rPr>
        <w:t> </w:t>
      </w:r>
      <w:r>
        <w:rPr/>
        <w:t>A</w:t>
      </w:r>
      <w:r>
        <w:rPr>
          <w:spacing w:val="-6"/>
        </w:rPr>
        <w:t> </w:t>
      </w:r>
      <w:r>
        <w:rPr/>
        <w:t>quest</w:t>
      </w:r>
      <w:r>
        <w:rPr>
          <w:spacing w:val="-5"/>
        </w:rPr>
        <w:t> </w:t>
      </w:r>
      <w:r>
        <w:rPr/>
        <w:t>for</w:t>
      </w:r>
      <w:r>
        <w:rPr>
          <w:spacing w:val="-6"/>
        </w:rPr>
        <w:t> </w:t>
      </w:r>
      <w:r>
        <w:rPr/>
        <w:t>global integration. </w:t>
      </w:r>
      <w:r>
        <w:rPr>
          <w:i/>
        </w:rPr>
        <w:t>Annals of Regional Science</w:t>
      </w:r>
      <w:r>
        <w:rPr/>
        <w:t>, 37(3),</w:t>
      </w:r>
      <w:r>
        <w:rPr>
          <w:spacing w:val="-33"/>
        </w:rPr>
        <w:t> </w:t>
      </w:r>
      <w:r>
        <w:rPr/>
        <w:t>479–500.</w:t>
      </w:r>
    </w:p>
    <w:p>
      <w:pPr>
        <w:pStyle w:val="BodyText"/>
        <w:spacing w:before="11"/>
      </w:pPr>
    </w:p>
    <w:p>
      <w:pPr>
        <w:spacing w:line="249" w:lineRule="auto" w:before="0"/>
        <w:ind w:left="754" w:right="127" w:hanging="624"/>
        <w:jc w:val="both"/>
        <w:rPr>
          <w:sz w:val="20"/>
        </w:rPr>
      </w:pPr>
      <w:r>
        <w:rPr>
          <w:sz w:val="20"/>
        </w:rPr>
        <w:t>Vicino,</w:t>
      </w:r>
      <w:r>
        <w:rPr>
          <w:spacing w:val="-20"/>
          <w:sz w:val="20"/>
        </w:rPr>
        <w:t> </w:t>
      </w:r>
      <w:r>
        <w:rPr>
          <w:sz w:val="20"/>
        </w:rPr>
        <w:t>T.J.,</w:t>
      </w:r>
      <w:r>
        <w:rPr>
          <w:spacing w:val="-21"/>
          <w:sz w:val="20"/>
        </w:rPr>
        <w:t> </w:t>
      </w:r>
      <w:r>
        <w:rPr>
          <w:sz w:val="20"/>
        </w:rPr>
        <w:t>Hanlon,</w:t>
      </w:r>
      <w:r>
        <w:rPr>
          <w:spacing w:val="-20"/>
          <w:sz w:val="20"/>
        </w:rPr>
        <w:t> </w:t>
      </w:r>
      <w:r>
        <w:rPr>
          <w:sz w:val="20"/>
        </w:rPr>
        <w:t>B.,</w:t>
      </w:r>
      <w:r>
        <w:rPr>
          <w:spacing w:val="-20"/>
          <w:sz w:val="20"/>
        </w:rPr>
        <w:t> </w:t>
      </w:r>
      <w:r>
        <w:rPr>
          <w:sz w:val="20"/>
        </w:rPr>
        <w:t>Short,</w:t>
      </w:r>
      <w:r>
        <w:rPr>
          <w:spacing w:val="-20"/>
          <w:sz w:val="20"/>
        </w:rPr>
        <w:t> </w:t>
      </w:r>
      <w:r>
        <w:rPr>
          <w:sz w:val="20"/>
        </w:rPr>
        <w:t>J.R.</w:t>
      </w:r>
      <w:r>
        <w:rPr>
          <w:spacing w:val="-20"/>
          <w:sz w:val="20"/>
        </w:rPr>
        <w:t> </w:t>
      </w:r>
      <w:r>
        <w:rPr>
          <w:sz w:val="20"/>
        </w:rPr>
        <w:t>(2007).</w:t>
      </w:r>
      <w:r>
        <w:rPr>
          <w:spacing w:val="-20"/>
          <w:sz w:val="20"/>
        </w:rPr>
        <w:t> </w:t>
      </w:r>
      <w:r>
        <w:rPr>
          <w:sz w:val="20"/>
        </w:rPr>
        <w:t>Megalopolis</w:t>
      </w:r>
      <w:r>
        <w:rPr>
          <w:spacing w:val="-20"/>
          <w:sz w:val="20"/>
        </w:rPr>
        <w:t> </w:t>
      </w:r>
      <w:r>
        <w:rPr>
          <w:sz w:val="20"/>
        </w:rPr>
        <w:t>50</w:t>
      </w:r>
      <w:r>
        <w:rPr>
          <w:spacing w:val="-20"/>
          <w:sz w:val="20"/>
        </w:rPr>
        <w:t> </w:t>
      </w:r>
      <w:r>
        <w:rPr>
          <w:sz w:val="20"/>
        </w:rPr>
        <w:t>Years</w:t>
      </w:r>
      <w:r>
        <w:rPr>
          <w:spacing w:val="-20"/>
          <w:sz w:val="20"/>
        </w:rPr>
        <w:t> </w:t>
      </w:r>
      <w:r>
        <w:rPr>
          <w:sz w:val="20"/>
        </w:rPr>
        <w:t>On:</w:t>
      </w:r>
      <w:r>
        <w:rPr>
          <w:spacing w:val="-21"/>
          <w:sz w:val="20"/>
        </w:rPr>
        <w:t> </w:t>
      </w:r>
      <w:r>
        <w:rPr>
          <w:sz w:val="20"/>
        </w:rPr>
        <w:t>The</w:t>
      </w:r>
      <w:r>
        <w:rPr>
          <w:spacing w:val="-20"/>
          <w:sz w:val="20"/>
        </w:rPr>
        <w:t> </w:t>
      </w:r>
      <w:r>
        <w:rPr>
          <w:sz w:val="20"/>
        </w:rPr>
        <w:t>Transformation of a City Region. </w:t>
      </w:r>
      <w:r>
        <w:rPr>
          <w:i/>
          <w:sz w:val="20"/>
        </w:rPr>
        <w:t>International Journal of Urban and Regional Research</w:t>
      </w:r>
      <w:r>
        <w:rPr>
          <w:sz w:val="20"/>
        </w:rPr>
        <w:t>, 31(2), 344–67.</w:t>
      </w:r>
    </w:p>
    <w:p>
      <w:pPr>
        <w:pStyle w:val="BodyText"/>
        <w:spacing w:before="11"/>
      </w:pPr>
    </w:p>
    <w:p>
      <w:pPr>
        <w:spacing w:line="249" w:lineRule="auto" w:before="0"/>
        <w:ind w:left="754" w:right="128" w:hanging="624"/>
        <w:jc w:val="both"/>
        <w:rPr>
          <w:sz w:val="20"/>
        </w:rPr>
      </w:pPr>
      <w:r>
        <w:rPr>
          <w:sz w:val="20"/>
        </w:rPr>
        <w:t>Wójtowicz, M., Rachwał, T. (2014). Globalization and new centers of automotive manufacturing–the case of Brazil, Mexico, and Central Europe. </w:t>
      </w:r>
      <w:r>
        <w:rPr>
          <w:i/>
          <w:sz w:val="20"/>
        </w:rPr>
        <w:t>Prace Komisji </w:t>
      </w:r>
      <w:r>
        <w:rPr>
          <w:i/>
          <w:sz w:val="20"/>
        </w:rPr>
        <w:t>Geografii Przemysłu Polskiego Towarzystwa Geograficznego</w:t>
      </w:r>
      <w:r>
        <w:rPr>
          <w:sz w:val="20"/>
        </w:rPr>
        <w:t>, 25, 81-107.</w:t>
      </w:r>
    </w:p>
    <w:p>
      <w:pPr>
        <w:spacing w:after="0" w:line="249" w:lineRule="auto"/>
        <w:jc w:val="both"/>
        <w:rPr>
          <w:sz w:val="20"/>
        </w:rPr>
        <w:sectPr>
          <w:type w:val="continuous"/>
          <w:pgSz w:w="18830" w:h="12760" w:orient="landscape"/>
          <w:pgMar w:top="1420" w:bottom="280" w:left="720" w:right="720"/>
          <w:cols w:num="2" w:equalWidth="0">
            <w:col w:w="7843" w:space="1568"/>
            <w:col w:w="7979"/>
          </w:cols>
        </w:sectPr>
      </w:pPr>
    </w:p>
    <w:p>
      <w:pPr>
        <w:pStyle w:val="BodyText"/>
        <w:spacing w:before="4"/>
        <w:rPr>
          <w:rFonts w:ascii="Times New Roman"/>
          <w:sz w:val="17"/>
        </w:rPr>
      </w:pPr>
    </w:p>
    <w:sectPr>
      <w:headerReference w:type="default" r:id="rId559"/>
      <w:footerReference w:type="default" r:id="rId560"/>
      <w:pgSz w:w="9420" w:h="12760"/>
      <w:pgMar w:header="0" w:footer="0" w:top="118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ahoma">
    <w:altName w:val="Tahoma"/>
    <w:charset w:val="0"/>
    <w:family w:val="swiss"/>
    <w:pitch w:val="variable"/>
  </w:font>
  <w:font w:name="Trebuchet MS">
    <w:altName w:val="Trebuchet MS"/>
    <w:charset w:val="0"/>
    <w:family w:val="swiss"/>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1544" filled="true" fillcolor="#c7c8ca" stroked="false">
          <v:fill type="solid"/>
          <w10:wrap type="none"/>
        </v:rect>
      </w:pict>
    </w:r>
    <w:r>
      <w:rPr/>
      <w:pict>
        <v:rect style="position:absolute;margin-left:696.401978pt;margin-top:576pt;width:18.850pt;height:61.795pt;mso-position-horizontal-relative:page;mso-position-vertical-relative:page;z-index:-651520" filled="true" fillcolor="#c7c8ca" stroked="false">
          <v:fill type="solid"/>
          <w10:wrap type="none"/>
        </v:rect>
      </w:pict>
    </w:r>
    <w:r>
      <w:rPr/>
      <w:pict>
        <v:shape style="position:absolute;margin-left:228.548798pt;margin-top:583.866394pt;width:10.9pt;height:10pt;mso-position-horizontal-relative:page;mso-position-vertical-relative:page;z-index:-651496" type="#_x0000_t202" filled="false" stroked="false">
          <v:textbox inset="0,0,0,0">
            <w:txbxContent>
              <w:p>
                <w:pPr>
                  <w:spacing w:before="1"/>
                  <w:ind w:left="20" w:right="0" w:firstLine="0"/>
                  <w:jc w:val="left"/>
                  <w:rPr>
                    <w:sz w:val="16"/>
                  </w:rPr>
                </w:pPr>
                <w:r>
                  <w:rPr>
                    <w:sz w:val="16"/>
                  </w:rPr>
                  <w:t>22</w:t>
                </w:r>
              </w:p>
            </w:txbxContent>
          </v:textbox>
          <w10:wrap type="none"/>
        </v:shape>
      </w:pict>
    </w:r>
    <w:r>
      <w:rPr/>
      <w:pict>
        <v:shape style="position:absolute;margin-left:700.300781pt;margin-top:583.866394pt;width:10.9pt;height:10pt;mso-position-horizontal-relative:page;mso-position-vertical-relative:page;z-index:-651472" type="#_x0000_t202" filled="false" stroked="false">
          <v:textbox inset="0,0,0,0">
            <w:txbxContent>
              <w:p>
                <w:pPr>
                  <w:spacing w:before="1"/>
                  <w:ind w:left="20" w:right="0" w:firstLine="0"/>
                  <w:jc w:val="left"/>
                  <w:rPr>
                    <w:sz w:val="16"/>
                  </w:rPr>
                </w:pPr>
                <w:r>
                  <w:rPr>
                    <w:sz w:val="16"/>
                  </w:rPr>
                  <w:t>23</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0560" filled="true" fillcolor="#c7c8ca" stroked="false">
          <v:fill type="solid"/>
          <w10:wrap type="none"/>
        </v:rect>
      </w:pict>
    </w:r>
    <w:r>
      <w:rPr/>
      <w:pict>
        <v:rect style="position:absolute;margin-left:696.401978pt;margin-top:576pt;width:18.850pt;height:61.795pt;mso-position-horizontal-relative:page;mso-position-vertical-relative:page;z-index:-650536" filled="true" fillcolor="#c7c8ca" stroked="false">
          <v:fill type="solid"/>
          <w10:wrap type="none"/>
        </v:rect>
      </w:pict>
    </w:r>
    <w:r>
      <w:rPr/>
      <w:pict>
        <v:shape style="position:absolute;margin-left:228.548798pt;margin-top:583.866394pt;width:10.9pt;height:10pt;mso-position-horizontal-relative:page;mso-position-vertical-relative:page;z-index:-650512" type="#_x0000_t202" filled="false" stroked="false">
          <v:textbox inset="0,0,0,0">
            <w:txbxContent>
              <w:p>
                <w:pPr>
                  <w:spacing w:before="1"/>
                  <w:ind w:left="20" w:right="0" w:firstLine="0"/>
                  <w:jc w:val="left"/>
                  <w:rPr>
                    <w:sz w:val="16"/>
                  </w:rPr>
                </w:pPr>
                <w:r>
                  <w:rPr>
                    <w:sz w:val="16"/>
                  </w:rPr>
                  <w:t>40</w:t>
                </w:r>
              </w:p>
            </w:txbxContent>
          </v:textbox>
          <w10:wrap type="none"/>
        </v:shape>
      </w:pict>
    </w:r>
    <w:r>
      <w:rPr/>
      <w:pict>
        <v:shape style="position:absolute;margin-left:700.300781pt;margin-top:583.866394pt;width:10.9pt;height:10pt;mso-position-horizontal-relative:page;mso-position-vertical-relative:page;z-index:-650488" type="#_x0000_t202" filled="false" stroked="false">
          <v:textbox inset="0,0,0,0">
            <w:txbxContent>
              <w:p>
                <w:pPr>
                  <w:spacing w:before="1"/>
                  <w:ind w:left="20" w:right="0" w:firstLine="0"/>
                  <w:jc w:val="left"/>
                  <w:rPr>
                    <w:sz w:val="16"/>
                  </w:rPr>
                </w:pPr>
                <w:r>
                  <w:rPr>
                    <w:sz w:val="16"/>
                  </w:rPr>
                  <w:t>41</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032" filled="true" fillcolor="#c7c8ca" stroked="false">
          <v:fill type="solid"/>
          <w10:wrap type="none"/>
        </v:rect>
      </w:pict>
    </w:r>
    <w:r>
      <w:rPr/>
      <w:pict>
        <v:rect style="position:absolute;margin-left:696.401978pt;margin-top:576pt;width:18.850pt;height:61.795pt;mso-position-horizontal-relative:page;mso-position-vertical-relative:page;z-index:-641008" filled="true" fillcolor="#c7c8ca" stroked="false">
          <v:fill type="solid"/>
          <w10:wrap type="none"/>
        </v:rect>
      </w:pict>
    </w:r>
    <w:r>
      <w:rPr/>
      <w:pict>
        <v:shape style="position:absolute;margin-left:226.324799pt;margin-top:583.866394pt;width:15.35pt;height:10pt;mso-position-horizontal-relative:page;mso-position-vertical-relative:page;z-index:-640984" type="#_x0000_t202" filled="false" stroked="false">
          <v:textbox inset="0,0,0,0">
            <w:txbxContent>
              <w:p>
                <w:pPr>
                  <w:spacing w:before="1"/>
                  <w:ind w:left="20" w:right="0" w:firstLine="0"/>
                  <w:jc w:val="left"/>
                  <w:rPr>
                    <w:sz w:val="16"/>
                  </w:rPr>
                </w:pPr>
                <w:r>
                  <w:rPr>
                    <w:sz w:val="16"/>
                  </w:rPr>
                  <w:t>220</w:t>
                </w:r>
              </w:p>
            </w:txbxContent>
          </v:textbox>
          <w10:wrap type="none"/>
        </v:shape>
      </w:pict>
    </w:r>
    <w:r>
      <w:rPr/>
      <w:pict>
        <v:shape style="position:absolute;margin-left:698.076782pt;margin-top:583.866394pt;width:15.35pt;height:10pt;mso-position-horizontal-relative:page;mso-position-vertical-relative:page;z-index:-640960" type="#_x0000_t202" filled="false" stroked="false">
          <v:textbox inset="0,0,0,0">
            <w:txbxContent>
              <w:p>
                <w:pPr>
                  <w:spacing w:before="1"/>
                  <w:ind w:left="20" w:right="0" w:firstLine="0"/>
                  <w:jc w:val="left"/>
                  <w:rPr>
                    <w:sz w:val="16"/>
                  </w:rPr>
                </w:pPr>
                <w:r>
                  <w:rPr>
                    <w:sz w:val="16"/>
                  </w:rPr>
                  <w:t>221</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0720" filled="true" fillcolor="#c7c8ca" stroked="false">
          <v:fill type="solid"/>
          <w10:wrap type="none"/>
        </v:rect>
      </w:pict>
    </w:r>
    <w:r>
      <w:rPr/>
      <w:pict>
        <v:rect style="position:absolute;margin-left:696.401978pt;margin-top:576pt;width:18.850pt;height:61.795pt;mso-position-horizontal-relative:page;mso-position-vertical-relative:page;z-index:-640696" filled="true" fillcolor="#c7c8ca" stroked="false">
          <v:fill type="solid"/>
          <w10:wrap type="none"/>
        </v:rect>
      </w:pict>
    </w:r>
    <w:r>
      <w:rPr/>
      <w:pict>
        <v:shape style="position:absolute;margin-left:226.324799pt;margin-top:583.866394pt;width:15.35pt;height:10pt;mso-position-horizontal-relative:page;mso-position-vertical-relative:page;z-index:-640672" type="#_x0000_t202" filled="false" stroked="false">
          <v:textbox inset="0,0,0,0">
            <w:txbxContent>
              <w:p>
                <w:pPr>
                  <w:spacing w:before="1"/>
                  <w:ind w:left="20" w:right="0" w:firstLine="0"/>
                  <w:jc w:val="left"/>
                  <w:rPr>
                    <w:sz w:val="16"/>
                  </w:rPr>
                </w:pPr>
                <w:r>
                  <w:rPr>
                    <w:sz w:val="16"/>
                  </w:rPr>
                  <w:t>224</w:t>
                </w:r>
              </w:p>
            </w:txbxContent>
          </v:textbox>
          <w10:wrap type="none"/>
        </v:shape>
      </w:pict>
    </w:r>
    <w:r>
      <w:rPr/>
      <w:pict>
        <v:shape style="position:absolute;margin-left:698.076782pt;margin-top:583.866394pt;width:15.35pt;height:10pt;mso-position-horizontal-relative:page;mso-position-vertical-relative:page;z-index:-640648" type="#_x0000_t202" filled="false" stroked="false">
          <v:textbox inset="0,0,0,0">
            <w:txbxContent>
              <w:p>
                <w:pPr>
                  <w:spacing w:before="1"/>
                  <w:ind w:left="20" w:right="0" w:firstLine="0"/>
                  <w:jc w:val="left"/>
                  <w:rPr>
                    <w:sz w:val="16"/>
                  </w:rPr>
                </w:pPr>
                <w:r>
                  <w:rPr>
                    <w:sz w:val="16"/>
                  </w:rPr>
                  <w:t>225</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0624" filled="true" fillcolor="#c7c8ca" stroked="false">
          <v:fill type="solid"/>
          <w10:wrap type="none"/>
        </v:rect>
      </w:pict>
    </w:r>
    <w:r>
      <w:rPr/>
      <w:pict>
        <v:rect style="position:absolute;margin-left:696.401978pt;margin-top:576pt;width:18.850pt;height:61.795pt;mso-position-horizontal-relative:page;mso-position-vertical-relative:page;z-index:-640600" filled="true" fillcolor="#c7c8ca" stroked="false">
          <v:fill type="solid"/>
          <w10:wrap type="none"/>
        </v:rect>
      </w:pict>
    </w:r>
    <w:r>
      <w:rPr/>
      <w:pict>
        <v:shape style="position:absolute;margin-left:226.324799pt;margin-top:583.866394pt;width:15.35pt;height:10pt;mso-position-horizontal-relative:page;mso-position-vertical-relative:page;z-index:-640576" type="#_x0000_t202" filled="false" stroked="false">
          <v:textbox inset="0,0,0,0">
            <w:txbxContent>
              <w:p>
                <w:pPr>
                  <w:spacing w:before="1"/>
                  <w:ind w:left="20" w:right="0" w:firstLine="0"/>
                  <w:jc w:val="left"/>
                  <w:rPr>
                    <w:sz w:val="16"/>
                  </w:rPr>
                </w:pPr>
                <w:r>
                  <w:rPr>
                    <w:sz w:val="16"/>
                  </w:rPr>
                  <w:t>226</w:t>
                </w:r>
              </w:p>
            </w:txbxContent>
          </v:textbox>
          <w10:wrap type="none"/>
        </v:shape>
      </w:pict>
    </w:r>
    <w:r>
      <w:rPr/>
      <w:pict>
        <v:shape style="position:absolute;margin-left:698.076782pt;margin-top:583.866394pt;width:15.35pt;height:10pt;mso-position-horizontal-relative:page;mso-position-vertical-relative:page;z-index:-640552" type="#_x0000_t202" filled="false" stroked="false">
          <v:textbox inset="0,0,0,0">
            <w:txbxContent>
              <w:p>
                <w:pPr>
                  <w:spacing w:before="1"/>
                  <w:ind w:left="20" w:right="0" w:firstLine="0"/>
                  <w:jc w:val="left"/>
                  <w:rPr>
                    <w:sz w:val="16"/>
                  </w:rPr>
                </w:pPr>
                <w:r>
                  <w:rPr>
                    <w:sz w:val="16"/>
                  </w:rPr>
                  <w:t>227</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0528" filled="true" fillcolor="#c7c8ca" stroked="false">
          <v:fill type="solid"/>
          <w10:wrap type="none"/>
        </v:rect>
      </w:pict>
    </w:r>
    <w:r>
      <w:rPr/>
      <w:pict>
        <v:rect style="position:absolute;margin-left:696.401978pt;margin-top:576pt;width:18.850pt;height:61.795pt;mso-position-horizontal-relative:page;mso-position-vertical-relative:page;z-index:-640504" filled="true" fillcolor="#c7c8ca" stroked="false">
          <v:fill type="solid"/>
          <w10:wrap type="none"/>
        </v:rect>
      </w:pict>
    </w:r>
    <w:r>
      <w:rPr/>
      <w:pict>
        <v:shape style="position:absolute;margin-left:226.324799pt;margin-top:583.866394pt;width:15.35pt;height:10pt;mso-position-horizontal-relative:page;mso-position-vertical-relative:page;z-index:-640480" type="#_x0000_t202" filled="false" stroked="false">
          <v:textbox inset="0,0,0,0">
            <w:txbxContent>
              <w:p>
                <w:pPr>
                  <w:spacing w:before="1"/>
                  <w:ind w:left="20" w:right="0" w:firstLine="0"/>
                  <w:jc w:val="left"/>
                  <w:rPr>
                    <w:sz w:val="16"/>
                  </w:rPr>
                </w:pPr>
                <w:r>
                  <w:rPr>
                    <w:sz w:val="16"/>
                  </w:rPr>
                  <w:t>228</w:t>
                </w:r>
              </w:p>
            </w:txbxContent>
          </v:textbox>
          <w10:wrap type="none"/>
        </v:shape>
      </w:pict>
    </w:r>
    <w:r>
      <w:rPr/>
      <w:pict>
        <v:shape style="position:absolute;margin-left:698.076782pt;margin-top:583.866394pt;width:15.35pt;height:10pt;mso-position-horizontal-relative:page;mso-position-vertical-relative:page;z-index:-640456" type="#_x0000_t202" filled="false" stroked="false">
          <v:textbox inset="0,0,0,0">
            <w:txbxContent>
              <w:p>
                <w:pPr>
                  <w:spacing w:before="1"/>
                  <w:ind w:left="20" w:right="0" w:firstLine="0"/>
                  <w:jc w:val="left"/>
                  <w:rPr>
                    <w:sz w:val="16"/>
                  </w:rPr>
                </w:pPr>
                <w:r>
                  <w:rPr>
                    <w:sz w:val="16"/>
                  </w:rPr>
                  <w:t>229</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0432" filled="true" fillcolor="#c7c8ca" stroked="false">
          <v:fill type="solid"/>
          <w10:wrap type="none"/>
        </v:rect>
      </w:pict>
    </w:r>
    <w:r>
      <w:rPr/>
      <w:pict>
        <v:rect style="position:absolute;margin-left:696.401978pt;margin-top:576pt;width:18.850pt;height:61.795pt;mso-position-horizontal-relative:page;mso-position-vertical-relative:page;z-index:-640408" filled="true" fillcolor="#c7c8ca" stroked="false">
          <v:fill type="solid"/>
          <w10:wrap type="none"/>
        </v:rect>
      </w:pict>
    </w:r>
    <w:r>
      <w:rPr/>
      <w:pict>
        <v:shape style="position:absolute;margin-left:226.324799pt;margin-top:583.866394pt;width:15.35pt;height:10pt;mso-position-horizontal-relative:page;mso-position-vertical-relative:page;z-index:-640384" type="#_x0000_t202" filled="false" stroked="false">
          <v:textbox inset="0,0,0,0">
            <w:txbxContent>
              <w:p>
                <w:pPr>
                  <w:spacing w:before="1"/>
                  <w:ind w:left="20" w:right="0" w:firstLine="0"/>
                  <w:jc w:val="left"/>
                  <w:rPr>
                    <w:sz w:val="16"/>
                  </w:rPr>
                </w:pPr>
                <w:r>
                  <w:rPr>
                    <w:sz w:val="16"/>
                  </w:rPr>
                  <w:t>230</w:t>
                </w:r>
              </w:p>
            </w:txbxContent>
          </v:textbox>
          <w10:wrap type="none"/>
        </v:shape>
      </w:pict>
    </w:r>
    <w:r>
      <w:rPr/>
      <w:pict>
        <v:shape style="position:absolute;margin-left:698.076782pt;margin-top:583.866394pt;width:15.35pt;height:10pt;mso-position-horizontal-relative:page;mso-position-vertical-relative:page;z-index:-640360" type="#_x0000_t202" filled="false" stroked="false">
          <v:textbox inset="0,0,0,0">
            <w:txbxContent>
              <w:p>
                <w:pPr>
                  <w:spacing w:before="1"/>
                  <w:ind w:left="20" w:right="0" w:firstLine="0"/>
                  <w:jc w:val="left"/>
                  <w:rPr>
                    <w:sz w:val="16"/>
                  </w:rPr>
                </w:pPr>
                <w:r>
                  <w:rPr>
                    <w:sz w:val="16"/>
                  </w:rPr>
                  <w:t>231</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0336" filled="true" fillcolor="#c7c8ca" stroked="false">
          <v:fill type="solid"/>
          <w10:wrap type="none"/>
        </v:rect>
      </w:pict>
    </w:r>
    <w:r>
      <w:rPr/>
      <w:pict>
        <v:rect style="position:absolute;margin-left:696.401978pt;margin-top:576pt;width:18.850pt;height:61.795pt;mso-position-horizontal-relative:page;mso-position-vertical-relative:page;z-index:-640312" filled="true" fillcolor="#c7c8ca" stroked="false">
          <v:fill type="solid"/>
          <w10:wrap type="none"/>
        </v:rect>
      </w:pict>
    </w:r>
    <w:r>
      <w:rPr/>
      <w:pict>
        <v:group style="position:absolute;margin-left:590.770874pt;margin-top:468.533691pt;width:.5pt;height:.5pt;mso-position-horizontal-relative:page;mso-position-vertical-relative:page;z-index:-640288" coordorigin="11815,9371" coordsize="10,10">
          <v:line style="position:absolute" from="11820,9376" to="11820,9376" stroked="true" strokeweight=".5pt" strokecolor="#929292"/>
          <v:shape style="position:absolute;left:0;top:12756;width:2;height:2" coordorigin="0,12756" coordsize="0,0" path="m11820,9376l11820,9376m11820,9376l11820,9376e" filled="false" stroked="true" strokeweight=".5pt" strokecolor="#929292">
            <v:path arrowok="t"/>
          </v:shape>
          <w10:wrap type="none"/>
        </v:group>
      </w:pict>
    </w:r>
    <w:r>
      <w:rPr/>
      <w:pict>
        <v:group style="position:absolute;margin-left:654.570923pt;margin-top:468.533691pt;width:.5pt;height:.5pt;mso-position-horizontal-relative:page;mso-position-vertical-relative:page;z-index:-640264" coordorigin="13091,9371" coordsize="10,10">
          <v:line style="position:absolute" from="13096,9376" to="13096,9376" stroked="true" strokeweight=".5pt" strokecolor="#929292"/>
          <v:shape style="position:absolute;left:0;top:12756;width:2;height:2" coordorigin="0,12756" coordsize="0,0" path="m13096,9376l13096,9376m13096,9376l13096,9376e" filled="false" stroked="true" strokeweight=".5pt" strokecolor="#929292">
            <v:path arrowok="t"/>
          </v:shape>
          <w10:wrap type="none"/>
        </v:group>
      </w:pict>
    </w:r>
    <w:r>
      <w:rPr/>
      <w:pict>
        <v:line style="position:absolute;mso-position-horizontal-relative:page;mso-position-vertical-relative:page;z-index:-640240" from="897.832886pt,468.783691pt" to="897.832886pt,468.783691pt" stroked="true" strokeweight=".5pt" strokecolor="#929292">
          <w10:wrap type="none"/>
        </v:line>
      </w:pict>
    </w:r>
    <w:r>
      <w:rPr/>
      <w:pict>
        <v:shape style="position:absolute;margin-left:226.324799pt;margin-top:583.866394pt;width:15.35pt;height:10pt;mso-position-horizontal-relative:page;mso-position-vertical-relative:page;z-index:-640216" type="#_x0000_t202" filled="false" stroked="false">
          <v:textbox inset="0,0,0,0">
            <w:txbxContent>
              <w:p>
                <w:pPr>
                  <w:spacing w:before="1"/>
                  <w:ind w:left="20" w:right="0" w:firstLine="0"/>
                  <w:jc w:val="left"/>
                  <w:rPr>
                    <w:sz w:val="16"/>
                  </w:rPr>
                </w:pPr>
                <w:r>
                  <w:rPr>
                    <w:sz w:val="16"/>
                  </w:rPr>
                  <w:t>232</w:t>
                </w:r>
              </w:p>
            </w:txbxContent>
          </v:textbox>
          <w10:wrap type="none"/>
        </v:shape>
      </w:pict>
    </w:r>
    <w:r>
      <w:rPr/>
      <w:pict>
        <v:shape style="position:absolute;margin-left:698.076782pt;margin-top:583.866394pt;width:15.35pt;height:10pt;mso-position-horizontal-relative:page;mso-position-vertical-relative:page;z-index:-640192" type="#_x0000_t202" filled="false" stroked="false">
          <v:textbox inset="0,0,0,0">
            <w:txbxContent>
              <w:p>
                <w:pPr>
                  <w:spacing w:before="1"/>
                  <w:ind w:left="20" w:right="0" w:firstLine="0"/>
                  <w:jc w:val="left"/>
                  <w:rPr>
                    <w:sz w:val="16"/>
                  </w:rPr>
                </w:pPr>
                <w:r>
                  <w:rPr>
                    <w:sz w:val="16"/>
                  </w:rPr>
                  <w:t>233</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9952" filled="true" fillcolor="#c7c8ca" stroked="false">
          <v:fill type="solid"/>
          <w10:wrap type="none"/>
        </v:rect>
      </w:pict>
    </w:r>
    <w:r>
      <w:rPr/>
      <w:pict>
        <v:rect style="position:absolute;margin-left:696.401978pt;margin-top:576pt;width:18.850pt;height:61.795pt;mso-position-horizontal-relative:page;mso-position-vertical-relative:page;z-index:-639928" filled="true" fillcolor="#c7c8ca" stroked="false">
          <v:fill type="solid"/>
          <w10:wrap type="none"/>
        </v:rect>
      </w:pict>
    </w:r>
    <w:r>
      <w:rPr/>
      <w:pict>
        <v:line style="position:absolute;mso-position-horizontal-relative:page;mso-position-vertical-relative:page;z-index:-639904" from="512.727112pt,460.792786pt" to="512.727112pt,460.792786pt" stroked="true" strokeweight=".5pt" strokecolor="#929292">
          <w10:wrap type="none"/>
        </v:line>
      </w:pict>
    </w:r>
    <w:r>
      <w:rPr/>
      <w:pict>
        <v:shape style="position:absolute;margin-left:226.324799pt;margin-top:583.866394pt;width:15.35pt;height:10pt;mso-position-horizontal-relative:page;mso-position-vertical-relative:page;z-index:-639880" type="#_x0000_t202" filled="false" stroked="false">
          <v:textbox inset="0,0,0,0">
            <w:txbxContent>
              <w:p>
                <w:pPr>
                  <w:spacing w:before="1"/>
                  <w:ind w:left="20" w:right="0" w:firstLine="0"/>
                  <w:jc w:val="left"/>
                  <w:rPr>
                    <w:sz w:val="16"/>
                  </w:rPr>
                </w:pPr>
                <w:r>
                  <w:rPr>
                    <w:sz w:val="16"/>
                  </w:rPr>
                  <w:t>234</w:t>
                </w:r>
              </w:p>
            </w:txbxContent>
          </v:textbox>
          <w10:wrap type="none"/>
        </v:shape>
      </w:pict>
    </w:r>
    <w:r>
      <w:rPr/>
      <w:pict>
        <v:shape style="position:absolute;margin-left:698.076782pt;margin-top:583.866394pt;width:15.35pt;height:10pt;mso-position-horizontal-relative:page;mso-position-vertical-relative:page;z-index:-639856" type="#_x0000_t202" filled="false" stroked="false">
          <v:textbox inset="0,0,0,0">
            <w:txbxContent>
              <w:p>
                <w:pPr>
                  <w:spacing w:before="1"/>
                  <w:ind w:left="20" w:right="0" w:firstLine="0"/>
                  <w:jc w:val="left"/>
                  <w:rPr>
                    <w:sz w:val="16"/>
                  </w:rPr>
                </w:pPr>
                <w:r>
                  <w:rPr>
                    <w:sz w:val="16"/>
                  </w:rPr>
                  <w:t>235</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9640" filled="true" fillcolor="#c7c8ca" stroked="false">
          <v:fill type="solid"/>
          <w10:wrap type="none"/>
        </v:rect>
      </w:pict>
    </w:r>
    <w:r>
      <w:rPr/>
      <w:pict>
        <v:rect style="position:absolute;margin-left:696.401978pt;margin-top:576pt;width:18.850pt;height:61.795pt;mso-position-horizontal-relative:page;mso-position-vertical-relative:page;z-index:-639616" filled="true" fillcolor="#c7c8ca" stroked="false">
          <v:fill type="solid"/>
          <w10:wrap type="none"/>
        </v:rect>
      </w:pict>
    </w:r>
    <w:r>
      <w:rPr/>
      <w:pict>
        <v:shape style="position:absolute;margin-left:226.324799pt;margin-top:583.866394pt;width:15.35pt;height:10pt;mso-position-horizontal-relative:page;mso-position-vertical-relative:page;z-index:-639592" type="#_x0000_t202" filled="false" stroked="false">
          <v:textbox inset="0,0,0,0">
            <w:txbxContent>
              <w:p>
                <w:pPr>
                  <w:spacing w:before="1"/>
                  <w:ind w:left="20" w:right="0" w:firstLine="0"/>
                  <w:jc w:val="left"/>
                  <w:rPr>
                    <w:sz w:val="16"/>
                  </w:rPr>
                </w:pPr>
                <w:r>
                  <w:rPr>
                    <w:sz w:val="16"/>
                  </w:rPr>
                  <w:t>236</w:t>
                </w:r>
              </w:p>
            </w:txbxContent>
          </v:textbox>
          <w10:wrap type="none"/>
        </v:shape>
      </w:pict>
    </w:r>
    <w:r>
      <w:rPr/>
      <w:pict>
        <v:shape style="position:absolute;margin-left:698.076782pt;margin-top:583.866394pt;width:15.35pt;height:10pt;mso-position-horizontal-relative:page;mso-position-vertical-relative:page;z-index:-639568" type="#_x0000_t202" filled="false" stroked="false">
          <v:textbox inset="0,0,0,0">
            <w:txbxContent>
              <w:p>
                <w:pPr>
                  <w:spacing w:before="1"/>
                  <w:ind w:left="20" w:right="0" w:firstLine="0"/>
                  <w:jc w:val="left"/>
                  <w:rPr>
                    <w:sz w:val="16"/>
                  </w:rPr>
                </w:pPr>
                <w:r>
                  <w:rPr>
                    <w:sz w:val="16"/>
                  </w:rPr>
                  <w:t>237</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9544" filled="true" fillcolor="#c7c8ca" stroked="false">
          <v:fill type="solid"/>
          <w10:wrap type="none"/>
        </v:rect>
      </w:pict>
    </w:r>
    <w:r>
      <w:rPr/>
      <w:pict>
        <v:rect style="position:absolute;margin-left:696.401978pt;margin-top:576pt;width:18.850pt;height:61.795pt;mso-position-horizontal-relative:page;mso-position-vertical-relative:page;z-index:-639520" filled="true" fillcolor="#c7c8ca" stroked="false">
          <v:fill type="solid"/>
          <w10:wrap type="none"/>
        </v:rect>
      </w:pict>
    </w:r>
    <w:r>
      <w:rPr/>
      <w:pict>
        <v:shape style="position:absolute;margin-left:226.324799pt;margin-top:583.866394pt;width:15.35pt;height:10pt;mso-position-horizontal-relative:page;mso-position-vertical-relative:page;z-index:-639496" type="#_x0000_t202" filled="false" stroked="false">
          <v:textbox inset="0,0,0,0">
            <w:txbxContent>
              <w:p>
                <w:pPr>
                  <w:spacing w:before="1"/>
                  <w:ind w:left="20" w:right="0" w:firstLine="0"/>
                  <w:jc w:val="left"/>
                  <w:rPr>
                    <w:sz w:val="16"/>
                  </w:rPr>
                </w:pPr>
                <w:r>
                  <w:rPr>
                    <w:sz w:val="16"/>
                  </w:rPr>
                  <w:t>238</w:t>
                </w:r>
              </w:p>
            </w:txbxContent>
          </v:textbox>
          <w10:wrap type="none"/>
        </v:shape>
      </w:pict>
    </w:r>
    <w:r>
      <w:rPr/>
      <w:pict>
        <v:shape style="position:absolute;margin-left:698.076782pt;margin-top:583.866394pt;width:15.35pt;height:10pt;mso-position-horizontal-relative:page;mso-position-vertical-relative:page;z-index:-639472" type="#_x0000_t202" filled="false" stroked="false">
          <v:textbox inset="0,0,0,0">
            <w:txbxContent>
              <w:p>
                <w:pPr>
                  <w:spacing w:before="1"/>
                  <w:ind w:left="20" w:right="0" w:firstLine="0"/>
                  <w:jc w:val="left"/>
                  <w:rPr>
                    <w:sz w:val="16"/>
                  </w:rPr>
                </w:pPr>
                <w:r>
                  <w:rPr>
                    <w:sz w:val="16"/>
                  </w:rPr>
                  <w:t>239</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0464" filled="true" fillcolor="#c7c8ca" stroked="false">
          <v:fill type="solid"/>
          <w10:wrap type="none"/>
        </v:rect>
      </w:pict>
    </w:r>
    <w:r>
      <w:rPr/>
      <w:pict>
        <v:rect style="position:absolute;margin-left:696.401978pt;margin-top:576pt;width:18.850pt;height:61.795pt;mso-position-horizontal-relative:page;mso-position-vertical-relative:page;z-index:-650440" filled="true" fillcolor="#c7c8ca" stroked="false">
          <v:fill type="solid"/>
          <w10:wrap type="none"/>
        </v:rect>
      </w:pict>
    </w:r>
    <w:r>
      <w:rPr/>
      <w:pict>
        <v:shape style="position:absolute;margin-left:228.548798pt;margin-top:583.866394pt;width:10.9pt;height:10pt;mso-position-horizontal-relative:page;mso-position-vertical-relative:page;z-index:-650416" type="#_x0000_t202" filled="false" stroked="false">
          <v:textbox inset="0,0,0,0">
            <w:txbxContent>
              <w:p>
                <w:pPr>
                  <w:spacing w:before="1"/>
                  <w:ind w:left="20" w:right="0" w:firstLine="0"/>
                  <w:jc w:val="left"/>
                  <w:rPr>
                    <w:sz w:val="16"/>
                  </w:rPr>
                </w:pPr>
                <w:r>
                  <w:rPr>
                    <w:sz w:val="16"/>
                  </w:rPr>
                  <w:t>42</w:t>
                </w:r>
              </w:p>
            </w:txbxContent>
          </v:textbox>
          <w10:wrap type="none"/>
        </v:shape>
      </w:pict>
    </w:r>
    <w:r>
      <w:rPr/>
      <w:pict>
        <v:shape style="position:absolute;margin-left:700.300781pt;margin-top:583.866394pt;width:10.9pt;height:10pt;mso-position-horizontal-relative:page;mso-position-vertical-relative:page;z-index:-650392" type="#_x0000_t202" filled="false" stroked="false">
          <v:textbox inset="0,0,0,0">
            <w:txbxContent>
              <w:p>
                <w:pPr>
                  <w:spacing w:before="1"/>
                  <w:ind w:left="20" w:right="0" w:firstLine="0"/>
                  <w:jc w:val="left"/>
                  <w:rPr>
                    <w:sz w:val="16"/>
                  </w:rPr>
                </w:pPr>
                <w:r>
                  <w:rPr>
                    <w:sz w:val="16"/>
                  </w:rPr>
                  <w:t>43</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9448" filled="true" fillcolor="#c7c8ca" stroked="false">
          <v:fill type="solid"/>
          <w10:wrap type="none"/>
        </v:rect>
      </w:pict>
    </w:r>
    <w:r>
      <w:rPr/>
      <w:pict>
        <v:rect style="position:absolute;margin-left:696.401978pt;margin-top:576pt;width:18.850pt;height:61.795pt;mso-position-horizontal-relative:page;mso-position-vertical-relative:page;z-index:-639424" filled="true" fillcolor="#c7c8ca" stroked="false">
          <v:fill type="solid"/>
          <w10:wrap type="none"/>
        </v:rect>
      </w:pict>
    </w:r>
    <w:r>
      <w:rPr/>
      <w:pict>
        <v:shape style="position:absolute;margin-left:226.324799pt;margin-top:583.866394pt;width:15.35pt;height:10pt;mso-position-horizontal-relative:page;mso-position-vertical-relative:page;z-index:-639400" type="#_x0000_t202" filled="false" stroked="false">
          <v:textbox inset="0,0,0,0">
            <w:txbxContent>
              <w:p>
                <w:pPr>
                  <w:spacing w:before="1"/>
                  <w:ind w:left="20" w:right="0" w:firstLine="0"/>
                  <w:jc w:val="left"/>
                  <w:rPr>
                    <w:sz w:val="16"/>
                  </w:rPr>
                </w:pPr>
                <w:r>
                  <w:rPr>
                    <w:sz w:val="16"/>
                  </w:rPr>
                  <w:t>240</w:t>
                </w:r>
              </w:p>
            </w:txbxContent>
          </v:textbox>
          <w10:wrap type="none"/>
        </v:shape>
      </w:pict>
    </w:r>
    <w:r>
      <w:rPr/>
      <w:pict>
        <v:shape style="position:absolute;margin-left:698.076782pt;margin-top:583.866394pt;width:15.35pt;height:10pt;mso-position-horizontal-relative:page;mso-position-vertical-relative:page;z-index:-639376" type="#_x0000_t202" filled="false" stroked="false">
          <v:textbox inset="0,0,0,0">
            <w:txbxContent>
              <w:p>
                <w:pPr>
                  <w:spacing w:before="1"/>
                  <w:ind w:left="20" w:right="0" w:firstLine="0"/>
                  <w:jc w:val="left"/>
                  <w:rPr>
                    <w:sz w:val="16"/>
                  </w:rPr>
                </w:pPr>
                <w:r>
                  <w:rPr>
                    <w:sz w:val="16"/>
                  </w:rPr>
                  <w:t>241</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9352" filled="true" fillcolor="#c7c8ca" stroked="false">
          <v:fill type="solid"/>
          <w10:wrap type="none"/>
        </v:rect>
      </w:pict>
    </w:r>
    <w:r>
      <w:rPr/>
      <w:pict>
        <v:rect style="position:absolute;margin-left:696.401978pt;margin-top:576pt;width:18.850pt;height:61.795pt;mso-position-horizontal-relative:page;mso-position-vertical-relative:page;z-index:-639328" filled="true" fillcolor="#c7c8ca" stroked="false">
          <v:fill type="solid"/>
          <w10:wrap type="none"/>
        </v:rect>
      </w:pict>
    </w:r>
    <w:r>
      <w:rPr/>
      <w:pict>
        <v:shape style="position:absolute;margin-left:226.324799pt;margin-top:583.866394pt;width:15.35pt;height:10pt;mso-position-horizontal-relative:page;mso-position-vertical-relative:page;z-index:-639304" type="#_x0000_t202" filled="false" stroked="false">
          <v:textbox inset="0,0,0,0">
            <w:txbxContent>
              <w:p>
                <w:pPr>
                  <w:spacing w:before="1"/>
                  <w:ind w:left="20" w:right="0" w:firstLine="0"/>
                  <w:jc w:val="left"/>
                  <w:rPr>
                    <w:sz w:val="16"/>
                  </w:rPr>
                </w:pPr>
                <w:r>
                  <w:rPr>
                    <w:sz w:val="16"/>
                  </w:rPr>
                  <w:t>242</w:t>
                </w:r>
              </w:p>
            </w:txbxContent>
          </v:textbox>
          <w10:wrap type="none"/>
        </v:shape>
      </w:pict>
    </w:r>
    <w:r>
      <w:rPr/>
      <w:pict>
        <v:shape style="position:absolute;margin-left:698.076782pt;margin-top:583.866394pt;width:15.35pt;height:10pt;mso-position-horizontal-relative:page;mso-position-vertical-relative:page;z-index:-639280" type="#_x0000_t202" filled="false" stroked="false">
          <v:textbox inset="0,0,0,0">
            <w:txbxContent>
              <w:p>
                <w:pPr>
                  <w:spacing w:before="1"/>
                  <w:ind w:left="20" w:right="0" w:firstLine="0"/>
                  <w:jc w:val="left"/>
                  <w:rPr>
                    <w:sz w:val="16"/>
                  </w:rPr>
                </w:pPr>
                <w:r>
                  <w:rPr>
                    <w:sz w:val="16"/>
                  </w:rPr>
                  <w:t>243</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9256" filled="true" fillcolor="#c7c8ca" stroked="false">
          <v:fill type="solid"/>
          <w10:wrap type="none"/>
        </v:rect>
      </w:pict>
    </w:r>
    <w:r>
      <w:rPr/>
      <w:pict>
        <v:rect style="position:absolute;margin-left:696.401978pt;margin-top:576pt;width:18.850pt;height:61.795pt;mso-position-horizontal-relative:page;mso-position-vertical-relative:page;z-index:-639232" filled="true" fillcolor="#c7c8ca" stroked="false">
          <v:fill type="solid"/>
          <w10:wrap type="none"/>
        </v:rect>
      </w:pict>
    </w:r>
    <w:r>
      <w:rPr/>
      <w:pict>
        <v:shape style="position:absolute;margin-left:226.324799pt;margin-top:583.866394pt;width:15.35pt;height:10pt;mso-position-horizontal-relative:page;mso-position-vertical-relative:page;z-index:-639208" type="#_x0000_t202" filled="false" stroked="false">
          <v:textbox inset="0,0,0,0">
            <w:txbxContent>
              <w:p>
                <w:pPr>
                  <w:spacing w:before="1"/>
                  <w:ind w:left="20" w:right="0" w:firstLine="0"/>
                  <w:jc w:val="left"/>
                  <w:rPr>
                    <w:sz w:val="16"/>
                  </w:rPr>
                </w:pPr>
                <w:r>
                  <w:rPr>
                    <w:sz w:val="16"/>
                  </w:rPr>
                  <w:t>244</w:t>
                </w:r>
              </w:p>
            </w:txbxContent>
          </v:textbox>
          <w10:wrap type="none"/>
        </v:shape>
      </w:pict>
    </w:r>
    <w:r>
      <w:rPr/>
      <w:pict>
        <v:shape style="position:absolute;margin-left:698.076782pt;margin-top:583.866394pt;width:15.35pt;height:10pt;mso-position-horizontal-relative:page;mso-position-vertical-relative:page;z-index:-639184" type="#_x0000_t202" filled="false" stroked="false">
          <v:textbox inset="0,0,0,0">
            <w:txbxContent>
              <w:p>
                <w:pPr>
                  <w:spacing w:before="1"/>
                  <w:ind w:left="20" w:right="0" w:firstLine="0"/>
                  <w:jc w:val="left"/>
                  <w:rPr>
                    <w:sz w:val="16"/>
                  </w:rPr>
                </w:pPr>
                <w:r>
                  <w:rPr>
                    <w:sz w:val="16"/>
                  </w:rPr>
                  <w:t>245</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9160" filled="true" fillcolor="#c7c8ca" stroked="false">
          <v:fill type="solid"/>
          <w10:wrap type="none"/>
        </v:rect>
      </w:pict>
    </w:r>
    <w:r>
      <w:rPr/>
      <w:pict>
        <v:rect style="position:absolute;margin-left:696.401978pt;margin-top:576pt;width:18.850pt;height:61.795pt;mso-position-horizontal-relative:page;mso-position-vertical-relative:page;z-index:-639136" filled="true" fillcolor="#c7c8ca" stroked="false">
          <v:fill type="solid"/>
          <w10:wrap type="none"/>
        </v:rect>
      </w:pict>
    </w:r>
    <w:r>
      <w:rPr/>
      <w:pict>
        <v:shape style="position:absolute;margin-left:226.324799pt;margin-top:583.866394pt;width:15.35pt;height:10pt;mso-position-horizontal-relative:page;mso-position-vertical-relative:page;z-index:-639112" type="#_x0000_t202" filled="false" stroked="false">
          <v:textbox inset="0,0,0,0">
            <w:txbxContent>
              <w:p>
                <w:pPr>
                  <w:spacing w:before="1"/>
                  <w:ind w:left="20" w:right="0" w:firstLine="0"/>
                  <w:jc w:val="left"/>
                  <w:rPr>
                    <w:sz w:val="16"/>
                  </w:rPr>
                </w:pPr>
                <w:r>
                  <w:rPr>
                    <w:sz w:val="16"/>
                  </w:rPr>
                  <w:t>246</w:t>
                </w:r>
              </w:p>
            </w:txbxContent>
          </v:textbox>
          <w10:wrap type="none"/>
        </v:shape>
      </w:pict>
    </w:r>
    <w:r>
      <w:rPr/>
      <w:pict>
        <v:shape style="position:absolute;margin-left:698.076782pt;margin-top:583.866394pt;width:15.35pt;height:10pt;mso-position-horizontal-relative:page;mso-position-vertical-relative:page;z-index:-639088" type="#_x0000_t202" filled="false" stroked="false">
          <v:textbox inset="0,0,0,0">
            <w:txbxContent>
              <w:p>
                <w:pPr>
                  <w:spacing w:before="1"/>
                  <w:ind w:left="20" w:right="0" w:firstLine="0"/>
                  <w:jc w:val="left"/>
                  <w:rPr>
                    <w:sz w:val="16"/>
                  </w:rPr>
                </w:pPr>
                <w:r>
                  <w:rPr>
                    <w:sz w:val="16"/>
                  </w:rPr>
                  <w:t>247</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9064" filled="true" fillcolor="#c7c8ca" stroked="false">
          <v:fill type="solid"/>
          <w10:wrap type="none"/>
        </v:rect>
      </w:pict>
    </w:r>
    <w:r>
      <w:rPr/>
      <w:pict>
        <v:rect style="position:absolute;margin-left:696.401978pt;margin-top:576pt;width:18.850pt;height:61.795pt;mso-position-horizontal-relative:page;mso-position-vertical-relative:page;z-index:-639040" filled="true" fillcolor="#c7c8ca" stroked="false">
          <v:fill type="solid"/>
          <w10:wrap type="none"/>
        </v:rect>
      </w:pict>
    </w:r>
    <w:r>
      <w:rPr/>
      <w:pict>
        <v:shape style="position:absolute;margin-left:226.324799pt;margin-top:583.866394pt;width:15.35pt;height:10pt;mso-position-horizontal-relative:page;mso-position-vertical-relative:page;z-index:-639016" type="#_x0000_t202" filled="false" stroked="false">
          <v:textbox inset="0,0,0,0">
            <w:txbxContent>
              <w:p>
                <w:pPr>
                  <w:spacing w:before="1"/>
                  <w:ind w:left="20" w:right="0" w:firstLine="0"/>
                  <w:jc w:val="left"/>
                  <w:rPr>
                    <w:sz w:val="16"/>
                  </w:rPr>
                </w:pPr>
                <w:r>
                  <w:rPr>
                    <w:sz w:val="16"/>
                  </w:rPr>
                  <w:t>248</w:t>
                </w:r>
              </w:p>
            </w:txbxContent>
          </v:textbox>
          <w10:wrap type="none"/>
        </v:shape>
      </w:pict>
    </w:r>
    <w:r>
      <w:rPr/>
      <w:pict>
        <v:shape style="position:absolute;margin-left:698.076782pt;margin-top:583.866394pt;width:15.35pt;height:10pt;mso-position-horizontal-relative:page;mso-position-vertical-relative:page;z-index:-638992" type="#_x0000_t202" filled="false" stroked="false">
          <v:textbox inset="0,0,0,0">
            <w:txbxContent>
              <w:p>
                <w:pPr>
                  <w:spacing w:before="1"/>
                  <w:ind w:left="20" w:right="0" w:firstLine="0"/>
                  <w:jc w:val="left"/>
                  <w:rPr>
                    <w:sz w:val="16"/>
                  </w:rPr>
                </w:pPr>
                <w:r>
                  <w:rPr>
                    <w:sz w:val="16"/>
                  </w:rPr>
                  <w:t>249</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8968" filled="true" fillcolor="#c7c8ca" stroked="false">
          <v:fill type="solid"/>
          <w10:wrap type="none"/>
        </v:rect>
      </w:pict>
    </w:r>
    <w:r>
      <w:rPr/>
      <w:pict>
        <v:rect style="position:absolute;margin-left:696.401978pt;margin-top:576pt;width:18.850pt;height:61.795pt;mso-position-horizontal-relative:page;mso-position-vertical-relative:page;z-index:-638944" filled="true" fillcolor="#c7c8ca" stroked="false">
          <v:fill type="solid"/>
          <w10:wrap type="none"/>
        </v:rect>
      </w:pict>
    </w:r>
    <w:r>
      <w:rPr/>
      <w:pict>
        <v:shape style="position:absolute;margin-left:226.324799pt;margin-top:583.866394pt;width:15.35pt;height:10pt;mso-position-horizontal-relative:page;mso-position-vertical-relative:page;z-index:-638920" type="#_x0000_t202" filled="false" stroked="false">
          <v:textbox inset="0,0,0,0">
            <w:txbxContent>
              <w:p>
                <w:pPr>
                  <w:spacing w:before="1"/>
                  <w:ind w:left="20" w:right="0" w:firstLine="0"/>
                  <w:jc w:val="left"/>
                  <w:rPr>
                    <w:sz w:val="16"/>
                  </w:rPr>
                </w:pPr>
                <w:r>
                  <w:rPr>
                    <w:sz w:val="16"/>
                  </w:rPr>
                  <w:t>250</w:t>
                </w:r>
              </w:p>
            </w:txbxContent>
          </v:textbox>
          <w10:wrap type="none"/>
        </v:shape>
      </w:pict>
    </w:r>
    <w:r>
      <w:rPr/>
      <w:pict>
        <v:shape style="position:absolute;margin-left:698.076782pt;margin-top:583.866394pt;width:15.35pt;height:10pt;mso-position-horizontal-relative:page;mso-position-vertical-relative:page;z-index:-638896" type="#_x0000_t202" filled="false" stroked="false">
          <v:textbox inset="0,0,0,0">
            <w:txbxContent>
              <w:p>
                <w:pPr>
                  <w:spacing w:before="1"/>
                  <w:ind w:left="20" w:right="0" w:firstLine="0"/>
                  <w:jc w:val="left"/>
                  <w:rPr>
                    <w:sz w:val="16"/>
                  </w:rPr>
                </w:pPr>
                <w:r>
                  <w:rPr>
                    <w:sz w:val="16"/>
                  </w:rPr>
                  <w:t>251</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8656" filled="true" fillcolor="#c7c8ca" stroked="false">
          <v:fill type="solid"/>
          <w10:wrap type="none"/>
        </v:rect>
      </w:pict>
    </w:r>
    <w:r>
      <w:rPr/>
      <w:pict>
        <v:rect style="position:absolute;margin-left:696.401978pt;margin-top:576pt;width:18.850pt;height:61.795pt;mso-position-horizontal-relative:page;mso-position-vertical-relative:page;z-index:-638632" filled="true" fillcolor="#c7c8ca" stroked="false">
          <v:fill type="solid"/>
          <w10:wrap type="none"/>
        </v:rect>
      </w:pict>
    </w:r>
    <w:r>
      <w:rPr/>
      <w:pict>
        <v:shape style="position:absolute;margin-left:226.324799pt;margin-top:583.866394pt;width:15.35pt;height:10pt;mso-position-horizontal-relative:page;mso-position-vertical-relative:page;z-index:-638608" type="#_x0000_t202" filled="false" stroked="false">
          <v:textbox inset="0,0,0,0">
            <w:txbxContent>
              <w:p>
                <w:pPr>
                  <w:spacing w:before="1"/>
                  <w:ind w:left="20" w:right="0" w:firstLine="0"/>
                  <w:jc w:val="left"/>
                  <w:rPr>
                    <w:sz w:val="16"/>
                  </w:rPr>
                </w:pPr>
                <w:r>
                  <w:rPr>
                    <w:sz w:val="16"/>
                  </w:rPr>
                  <w:t>254</w:t>
                </w:r>
              </w:p>
            </w:txbxContent>
          </v:textbox>
          <w10:wrap type="none"/>
        </v:shape>
      </w:pict>
    </w:r>
    <w:r>
      <w:rPr/>
      <w:pict>
        <v:shape style="position:absolute;margin-left:698.076782pt;margin-top:583.866394pt;width:15.35pt;height:10pt;mso-position-horizontal-relative:page;mso-position-vertical-relative:page;z-index:-638584" type="#_x0000_t202" filled="false" stroked="false">
          <v:textbox inset="0,0,0,0">
            <w:txbxContent>
              <w:p>
                <w:pPr>
                  <w:spacing w:before="1"/>
                  <w:ind w:left="20" w:right="0" w:firstLine="0"/>
                  <w:jc w:val="left"/>
                  <w:rPr>
                    <w:sz w:val="16"/>
                  </w:rPr>
                </w:pPr>
                <w:r>
                  <w:rPr>
                    <w:sz w:val="16"/>
                  </w:rPr>
                  <w:t>255</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8560" filled="true" fillcolor="#c7c8ca" stroked="false">
          <v:fill type="solid"/>
          <w10:wrap type="none"/>
        </v:rect>
      </w:pict>
    </w:r>
    <w:r>
      <w:rPr/>
      <w:pict>
        <v:rect style="position:absolute;margin-left:696.401978pt;margin-top:576pt;width:18.850pt;height:61.795pt;mso-position-horizontal-relative:page;mso-position-vertical-relative:page;z-index:-638536" filled="true" fillcolor="#c7c8ca" stroked="false">
          <v:fill type="solid"/>
          <w10:wrap type="none"/>
        </v:rect>
      </w:pict>
    </w:r>
    <w:r>
      <w:rPr/>
      <w:pict>
        <v:shape style="position:absolute;margin-left:226.324799pt;margin-top:583.866394pt;width:15.35pt;height:10pt;mso-position-horizontal-relative:page;mso-position-vertical-relative:page;z-index:-638512" type="#_x0000_t202" filled="false" stroked="false">
          <v:textbox inset="0,0,0,0">
            <w:txbxContent>
              <w:p>
                <w:pPr>
                  <w:spacing w:before="1"/>
                  <w:ind w:left="20" w:right="0" w:firstLine="0"/>
                  <w:jc w:val="left"/>
                  <w:rPr>
                    <w:sz w:val="16"/>
                  </w:rPr>
                </w:pPr>
                <w:r>
                  <w:rPr>
                    <w:sz w:val="16"/>
                  </w:rPr>
                  <w:t>256</w:t>
                </w:r>
              </w:p>
            </w:txbxContent>
          </v:textbox>
          <w10:wrap type="none"/>
        </v:shape>
      </w:pict>
    </w:r>
    <w:r>
      <w:rPr/>
      <w:pict>
        <v:shape style="position:absolute;margin-left:698.076782pt;margin-top:583.866394pt;width:15.35pt;height:10pt;mso-position-horizontal-relative:page;mso-position-vertical-relative:page;z-index:-638488" type="#_x0000_t202" filled="false" stroked="false">
          <v:textbox inset="0,0,0,0">
            <w:txbxContent>
              <w:p>
                <w:pPr>
                  <w:spacing w:before="1"/>
                  <w:ind w:left="20" w:right="0" w:firstLine="0"/>
                  <w:jc w:val="left"/>
                  <w:rPr>
                    <w:sz w:val="16"/>
                  </w:rPr>
                </w:pPr>
                <w:r>
                  <w:rPr>
                    <w:sz w:val="16"/>
                  </w:rPr>
                  <w:t>257</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8464" filled="true" fillcolor="#c7c8ca" stroked="false">
          <v:fill type="solid"/>
          <w10:wrap type="none"/>
        </v:rect>
      </w:pict>
    </w:r>
    <w:r>
      <w:rPr/>
      <w:pict>
        <v:rect style="position:absolute;margin-left:696.401978pt;margin-top:576pt;width:18.850pt;height:61.795pt;mso-position-horizontal-relative:page;mso-position-vertical-relative:page;z-index:-638440" filled="true" fillcolor="#c7c8ca" stroked="false">
          <v:fill type="solid"/>
          <w10:wrap type="none"/>
        </v:rect>
      </w:pict>
    </w:r>
    <w:r>
      <w:rPr/>
      <w:pict>
        <v:line style="position:absolute;mso-position-horizontal-relative:page;mso-position-vertical-relative:page;z-index:-638416" from="546.167297pt,535.818359pt" to="546.167297pt,535.818359pt" stroked="true" strokeweight=".5pt" strokecolor="#929292">
          <w10:wrap type="none"/>
        </v:line>
      </w:pict>
    </w:r>
    <w:r>
      <w:rPr/>
      <w:pict>
        <v:line style="position:absolute;mso-position-horizontal-relative:page;mso-position-vertical-relative:page;z-index:-638392" from="865.344177pt,535.818359pt" to="865.344177pt,535.818359pt" stroked="true" strokeweight=".5pt" strokecolor="#929292">
          <w10:wrap type="none"/>
        </v:line>
      </w:pict>
    </w:r>
    <w:r>
      <w:rPr/>
      <w:pict>
        <v:shape style="position:absolute;margin-left:226.324799pt;margin-top:583.866394pt;width:15.35pt;height:10pt;mso-position-horizontal-relative:page;mso-position-vertical-relative:page;z-index:-638368" type="#_x0000_t202" filled="false" stroked="false">
          <v:textbox inset="0,0,0,0">
            <w:txbxContent>
              <w:p>
                <w:pPr>
                  <w:spacing w:before="1"/>
                  <w:ind w:left="20" w:right="0" w:firstLine="0"/>
                  <w:jc w:val="left"/>
                  <w:rPr>
                    <w:sz w:val="16"/>
                  </w:rPr>
                </w:pPr>
                <w:r>
                  <w:rPr>
                    <w:sz w:val="16"/>
                  </w:rPr>
                  <w:t>258</w:t>
                </w:r>
              </w:p>
            </w:txbxContent>
          </v:textbox>
          <w10:wrap type="none"/>
        </v:shape>
      </w:pict>
    </w:r>
    <w:r>
      <w:rPr/>
      <w:pict>
        <v:shape style="position:absolute;margin-left:698.076782pt;margin-top:583.866394pt;width:15.35pt;height:10pt;mso-position-horizontal-relative:page;mso-position-vertical-relative:page;z-index:-638344" type="#_x0000_t202" filled="false" stroked="false">
          <v:textbox inset="0,0,0,0">
            <w:txbxContent>
              <w:p>
                <w:pPr>
                  <w:spacing w:before="1"/>
                  <w:ind w:left="20" w:right="0" w:firstLine="0"/>
                  <w:jc w:val="left"/>
                  <w:rPr>
                    <w:sz w:val="16"/>
                  </w:rPr>
                </w:pPr>
                <w:r>
                  <w:rPr>
                    <w:sz w:val="16"/>
                  </w:rPr>
                  <w:t>259</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0368" filled="true" fillcolor="#c7c8ca" stroked="false">
          <v:fill type="solid"/>
          <w10:wrap type="none"/>
        </v:rect>
      </w:pict>
    </w:r>
    <w:r>
      <w:rPr/>
      <w:pict>
        <v:rect style="position:absolute;margin-left:696.401978pt;margin-top:576pt;width:18.850pt;height:61.795pt;mso-position-horizontal-relative:page;mso-position-vertical-relative:page;z-index:-650344" filled="true" fillcolor="#c7c8ca" stroked="false">
          <v:fill type="solid"/>
          <w10:wrap type="none"/>
        </v:rect>
      </w:pict>
    </w:r>
    <w:r>
      <w:rPr/>
      <w:pict>
        <v:shape style="position:absolute;margin-left:228.548798pt;margin-top:583.866394pt;width:10.9pt;height:10pt;mso-position-horizontal-relative:page;mso-position-vertical-relative:page;z-index:-650320" type="#_x0000_t202" filled="false" stroked="false">
          <v:textbox inset="0,0,0,0">
            <w:txbxContent>
              <w:p>
                <w:pPr>
                  <w:spacing w:before="1"/>
                  <w:ind w:left="20" w:right="0" w:firstLine="0"/>
                  <w:jc w:val="left"/>
                  <w:rPr>
                    <w:sz w:val="16"/>
                  </w:rPr>
                </w:pPr>
                <w:r>
                  <w:rPr>
                    <w:sz w:val="16"/>
                  </w:rPr>
                  <w:t>44</w:t>
                </w:r>
              </w:p>
            </w:txbxContent>
          </v:textbox>
          <w10:wrap type="none"/>
        </v:shape>
      </w:pict>
    </w:r>
    <w:r>
      <w:rPr/>
      <w:pict>
        <v:shape style="position:absolute;margin-left:700.300781pt;margin-top:583.866394pt;width:10.9pt;height:10pt;mso-position-horizontal-relative:page;mso-position-vertical-relative:page;z-index:-650296" type="#_x0000_t202" filled="false" stroked="false">
          <v:textbox inset="0,0,0,0">
            <w:txbxContent>
              <w:p>
                <w:pPr>
                  <w:spacing w:before="1"/>
                  <w:ind w:left="20" w:right="0" w:firstLine="0"/>
                  <w:jc w:val="left"/>
                  <w:rPr>
                    <w:sz w:val="16"/>
                  </w:rPr>
                </w:pPr>
                <w:r>
                  <w:rPr>
                    <w:sz w:val="16"/>
                  </w:rPr>
                  <w:t>45</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8320" filled="true" fillcolor="#c7c8ca" stroked="false">
          <v:fill type="solid"/>
          <w10:wrap type="none"/>
        </v:rect>
      </w:pict>
    </w:r>
    <w:r>
      <w:rPr/>
      <w:pict>
        <v:rect style="position:absolute;margin-left:696.401978pt;margin-top:576pt;width:18.850pt;height:61.795pt;mso-position-horizontal-relative:page;mso-position-vertical-relative:page;z-index:-638296" filled="true" fillcolor="#c7c8ca" stroked="false">
          <v:fill type="solid"/>
          <w10:wrap type="none"/>
        </v:rect>
      </w:pict>
    </w:r>
    <w:r>
      <w:rPr/>
      <w:pict>
        <v:shape style="position:absolute;margin-left:226.324799pt;margin-top:583.866394pt;width:15.35pt;height:10pt;mso-position-horizontal-relative:page;mso-position-vertical-relative:page;z-index:-638272" type="#_x0000_t202" filled="false" stroked="false">
          <v:textbox inset="0,0,0,0">
            <w:txbxContent>
              <w:p>
                <w:pPr>
                  <w:spacing w:before="1"/>
                  <w:ind w:left="20" w:right="0" w:firstLine="0"/>
                  <w:jc w:val="left"/>
                  <w:rPr>
                    <w:sz w:val="16"/>
                  </w:rPr>
                </w:pPr>
                <w:r>
                  <w:rPr>
                    <w:sz w:val="16"/>
                  </w:rPr>
                  <w:t>260</w:t>
                </w:r>
              </w:p>
            </w:txbxContent>
          </v:textbox>
          <w10:wrap type="none"/>
        </v:shape>
      </w:pict>
    </w:r>
    <w:r>
      <w:rPr/>
      <w:pict>
        <v:shape style="position:absolute;margin-left:698.076782pt;margin-top:583.866394pt;width:15.35pt;height:10pt;mso-position-horizontal-relative:page;mso-position-vertical-relative:page;z-index:-638248" type="#_x0000_t202" filled="false" stroked="false">
          <v:textbox inset="0,0,0,0">
            <w:txbxContent>
              <w:p>
                <w:pPr>
                  <w:spacing w:before="1"/>
                  <w:ind w:left="20" w:right="0" w:firstLine="0"/>
                  <w:jc w:val="left"/>
                  <w:rPr>
                    <w:sz w:val="16"/>
                  </w:rPr>
                </w:pPr>
                <w:r>
                  <w:rPr>
                    <w:sz w:val="16"/>
                  </w:rPr>
                  <w:t>261</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8224" filled="true" fillcolor="#c7c8ca" stroked="false">
          <v:fill type="solid"/>
          <w10:wrap type="none"/>
        </v:rect>
      </w:pict>
    </w:r>
    <w:r>
      <w:rPr/>
      <w:pict>
        <v:rect style="position:absolute;margin-left:696.401978pt;margin-top:576pt;width:18.850pt;height:61.795pt;mso-position-horizontal-relative:page;mso-position-vertical-relative:page;z-index:-638200" filled="true" fillcolor="#c7c8ca" stroked="false">
          <v:fill type="solid"/>
          <w10:wrap type="none"/>
        </v:rect>
      </w:pict>
    </w:r>
    <w:r>
      <w:rPr/>
      <w:pict>
        <v:shape style="position:absolute;margin-left:226.324799pt;margin-top:583.866394pt;width:15.35pt;height:10pt;mso-position-horizontal-relative:page;mso-position-vertical-relative:page;z-index:-638176" type="#_x0000_t202" filled="false" stroked="false">
          <v:textbox inset="0,0,0,0">
            <w:txbxContent>
              <w:p>
                <w:pPr>
                  <w:spacing w:before="1"/>
                  <w:ind w:left="20" w:right="0" w:firstLine="0"/>
                  <w:jc w:val="left"/>
                  <w:rPr>
                    <w:sz w:val="16"/>
                  </w:rPr>
                </w:pPr>
                <w:r>
                  <w:rPr>
                    <w:sz w:val="16"/>
                  </w:rPr>
                  <w:t>262</w:t>
                </w:r>
              </w:p>
            </w:txbxContent>
          </v:textbox>
          <w10:wrap type="none"/>
        </v:shape>
      </w:pict>
    </w:r>
    <w:r>
      <w:rPr/>
      <w:pict>
        <v:shape style="position:absolute;margin-left:698.076782pt;margin-top:583.866394pt;width:15.35pt;height:10pt;mso-position-horizontal-relative:page;mso-position-vertical-relative:page;z-index:-638152" type="#_x0000_t202" filled="false" stroked="false">
          <v:textbox inset="0,0,0,0">
            <w:txbxContent>
              <w:p>
                <w:pPr>
                  <w:spacing w:before="1"/>
                  <w:ind w:left="20" w:right="0" w:firstLine="0"/>
                  <w:jc w:val="left"/>
                  <w:rPr>
                    <w:sz w:val="16"/>
                  </w:rPr>
                </w:pPr>
                <w:r>
                  <w:rPr>
                    <w:sz w:val="16"/>
                  </w:rPr>
                  <w:t>263</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8128" filled="true" fillcolor="#c7c8ca" stroked="false">
          <v:fill type="solid"/>
          <w10:wrap type="none"/>
        </v:rect>
      </w:pict>
    </w:r>
    <w:r>
      <w:rPr/>
      <w:pict>
        <v:rect style="position:absolute;margin-left:696.401978pt;margin-top:576pt;width:18.850pt;height:61.795pt;mso-position-horizontal-relative:page;mso-position-vertical-relative:page;z-index:-638104" filled="true" fillcolor="#c7c8ca" stroked="false">
          <v:fill type="solid"/>
          <w10:wrap type="none"/>
        </v:rect>
      </w:pict>
    </w:r>
    <w:r>
      <w:rPr/>
      <w:pict>
        <v:shape style="position:absolute;margin-left:226.324799pt;margin-top:583.866394pt;width:15.35pt;height:10pt;mso-position-horizontal-relative:page;mso-position-vertical-relative:page;z-index:-638080" type="#_x0000_t202" filled="false" stroked="false">
          <v:textbox inset="0,0,0,0">
            <w:txbxContent>
              <w:p>
                <w:pPr>
                  <w:spacing w:before="1"/>
                  <w:ind w:left="20" w:right="0" w:firstLine="0"/>
                  <w:jc w:val="left"/>
                  <w:rPr>
                    <w:sz w:val="16"/>
                  </w:rPr>
                </w:pPr>
                <w:r>
                  <w:rPr>
                    <w:sz w:val="16"/>
                  </w:rPr>
                  <w:t>264</w:t>
                </w:r>
              </w:p>
            </w:txbxContent>
          </v:textbox>
          <w10:wrap type="none"/>
        </v:shape>
      </w:pict>
    </w:r>
    <w:r>
      <w:rPr/>
      <w:pict>
        <v:shape style="position:absolute;margin-left:698.076782pt;margin-top:583.866394pt;width:15.35pt;height:10pt;mso-position-horizontal-relative:page;mso-position-vertical-relative:page;z-index:-638056" type="#_x0000_t202" filled="false" stroked="false">
          <v:textbox inset="0,0,0,0">
            <w:txbxContent>
              <w:p>
                <w:pPr>
                  <w:spacing w:before="1"/>
                  <w:ind w:left="20" w:right="0" w:firstLine="0"/>
                  <w:jc w:val="left"/>
                  <w:rPr>
                    <w:sz w:val="16"/>
                  </w:rPr>
                </w:pPr>
                <w:r>
                  <w:rPr>
                    <w:sz w:val="16"/>
                  </w:rPr>
                  <w:t>265</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8032" filled="true" fillcolor="#c7c8ca" stroked="false">
          <v:fill type="solid"/>
          <w10:wrap type="none"/>
        </v:rect>
      </w:pict>
    </w:r>
    <w:r>
      <w:rPr/>
      <w:pict>
        <v:rect style="position:absolute;margin-left:696.401978pt;margin-top:576pt;width:18.850pt;height:61.795pt;mso-position-horizontal-relative:page;mso-position-vertical-relative:page;z-index:-638008" filled="true" fillcolor="#c7c8ca" stroked="false">
          <v:fill type="solid"/>
          <w10:wrap type="none"/>
        </v:rect>
      </w:pict>
    </w:r>
    <w:r>
      <w:rPr/>
      <w:pict>
        <v:shape style="position:absolute;margin-left:226.324799pt;margin-top:583.866394pt;width:15.35pt;height:10pt;mso-position-horizontal-relative:page;mso-position-vertical-relative:page;z-index:-637984" type="#_x0000_t202" filled="false" stroked="false">
          <v:textbox inset="0,0,0,0">
            <w:txbxContent>
              <w:p>
                <w:pPr>
                  <w:spacing w:before="1"/>
                  <w:ind w:left="20" w:right="0" w:firstLine="0"/>
                  <w:jc w:val="left"/>
                  <w:rPr>
                    <w:sz w:val="16"/>
                  </w:rPr>
                </w:pPr>
                <w:r>
                  <w:rPr>
                    <w:sz w:val="16"/>
                  </w:rPr>
                  <w:t>266</w:t>
                </w:r>
              </w:p>
            </w:txbxContent>
          </v:textbox>
          <w10:wrap type="none"/>
        </v:shape>
      </w:pict>
    </w:r>
    <w:r>
      <w:rPr/>
      <w:pict>
        <v:shape style="position:absolute;margin-left:698.076782pt;margin-top:583.866394pt;width:15.35pt;height:10pt;mso-position-horizontal-relative:page;mso-position-vertical-relative:page;z-index:-637960" type="#_x0000_t202" filled="false" stroked="false">
          <v:textbox inset="0,0,0,0">
            <w:txbxContent>
              <w:p>
                <w:pPr>
                  <w:spacing w:before="1"/>
                  <w:ind w:left="20" w:right="0" w:firstLine="0"/>
                  <w:jc w:val="left"/>
                  <w:rPr>
                    <w:sz w:val="16"/>
                  </w:rPr>
                </w:pPr>
                <w:r>
                  <w:rPr>
                    <w:sz w:val="16"/>
                  </w:rPr>
                  <w:t>267</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936" filled="true" fillcolor="#c7c8ca" stroked="false">
          <v:fill type="solid"/>
          <w10:wrap type="none"/>
        </v:rect>
      </w:pict>
    </w:r>
    <w:r>
      <w:rPr/>
      <w:pict>
        <v:rect style="position:absolute;margin-left:696.401978pt;margin-top:576pt;width:18.850pt;height:61.795pt;mso-position-horizontal-relative:page;mso-position-vertical-relative:page;z-index:-637912" filled="true" fillcolor="#c7c8ca" stroked="false">
          <v:fill type="solid"/>
          <w10:wrap type="none"/>
        </v:rect>
      </w:pict>
    </w:r>
    <w:r>
      <w:rPr/>
      <w:pict>
        <v:shape style="position:absolute;margin-left:226.324799pt;margin-top:583.866394pt;width:15.35pt;height:10pt;mso-position-horizontal-relative:page;mso-position-vertical-relative:page;z-index:-637888" type="#_x0000_t202" filled="false" stroked="false">
          <v:textbox inset="0,0,0,0">
            <w:txbxContent>
              <w:p>
                <w:pPr>
                  <w:spacing w:before="1"/>
                  <w:ind w:left="20" w:right="0" w:firstLine="0"/>
                  <w:jc w:val="left"/>
                  <w:rPr>
                    <w:sz w:val="16"/>
                  </w:rPr>
                </w:pPr>
                <w:r>
                  <w:rPr>
                    <w:sz w:val="16"/>
                  </w:rPr>
                  <w:t>268</w:t>
                </w:r>
              </w:p>
            </w:txbxContent>
          </v:textbox>
          <w10:wrap type="none"/>
        </v:shape>
      </w:pict>
    </w:r>
    <w:r>
      <w:rPr/>
      <w:pict>
        <v:shape style="position:absolute;margin-left:698.076782pt;margin-top:583.866394pt;width:15.35pt;height:10pt;mso-position-horizontal-relative:page;mso-position-vertical-relative:page;z-index:-637864" type="#_x0000_t202" filled="false" stroked="false">
          <v:textbox inset="0,0,0,0">
            <w:txbxContent>
              <w:p>
                <w:pPr>
                  <w:spacing w:before="1"/>
                  <w:ind w:left="20" w:right="0" w:firstLine="0"/>
                  <w:jc w:val="left"/>
                  <w:rPr>
                    <w:sz w:val="16"/>
                  </w:rPr>
                </w:pPr>
                <w:r>
                  <w:rPr>
                    <w:sz w:val="16"/>
                  </w:rPr>
                  <w:t>269</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840" filled="true" fillcolor="#c7c8ca" stroked="false">
          <v:fill type="solid"/>
          <w10:wrap type="none"/>
        </v:rect>
      </w:pict>
    </w:r>
    <w:r>
      <w:rPr/>
      <w:pict>
        <v:rect style="position:absolute;margin-left:696.401978pt;margin-top:576pt;width:18.850pt;height:61.795pt;mso-position-horizontal-relative:page;mso-position-vertical-relative:page;z-index:-637816" filled="true" fillcolor="#c7c8ca" stroked="false">
          <v:fill type="solid"/>
          <w10:wrap type="none"/>
        </v:rect>
      </w:pict>
    </w:r>
    <w:r>
      <w:rPr/>
      <w:pict>
        <v:shape style="position:absolute;margin-left:226.324799pt;margin-top:583.866394pt;width:15.35pt;height:10pt;mso-position-horizontal-relative:page;mso-position-vertical-relative:page;z-index:-637792" type="#_x0000_t202" filled="false" stroked="false">
          <v:textbox inset="0,0,0,0">
            <w:txbxContent>
              <w:p>
                <w:pPr>
                  <w:spacing w:before="1"/>
                  <w:ind w:left="20" w:right="0" w:firstLine="0"/>
                  <w:jc w:val="left"/>
                  <w:rPr>
                    <w:sz w:val="16"/>
                  </w:rPr>
                </w:pPr>
                <w:r>
                  <w:rPr>
                    <w:sz w:val="16"/>
                  </w:rPr>
                  <w:t>270</w:t>
                </w:r>
              </w:p>
            </w:txbxContent>
          </v:textbox>
          <w10:wrap type="none"/>
        </v:shape>
      </w:pict>
    </w:r>
    <w:r>
      <w:rPr/>
      <w:pict>
        <v:shape style="position:absolute;margin-left:698.076782pt;margin-top:583.866394pt;width:15.35pt;height:10pt;mso-position-horizontal-relative:page;mso-position-vertical-relative:page;z-index:-637768" type="#_x0000_t202" filled="false" stroked="false">
          <v:textbox inset="0,0,0,0">
            <w:txbxContent>
              <w:p>
                <w:pPr>
                  <w:spacing w:before="1"/>
                  <w:ind w:left="20" w:right="0" w:firstLine="0"/>
                  <w:jc w:val="left"/>
                  <w:rPr>
                    <w:sz w:val="16"/>
                  </w:rPr>
                </w:pPr>
                <w:r>
                  <w:rPr>
                    <w:sz w:val="16"/>
                  </w:rPr>
                  <w:t>271</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744" filled="true" fillcolor="#c7c8ca" stroked="false">
          <v:fill type="solid"/>
          <w10:wrap type="none"/>
        </v:rect>
      </w:pict>
    </w:r>
    <w:r>
      <w:rPr/>
      <w:pict>
        <v:rect style="position:absolute;margin-left:696.401978pt;margin-top:576pt;width:18.850pt;height:61.795pt;mso-position-horizontal-relative:page;mso-position-vertical-relative:page;z-index:-637720" filled="true" fillcolor="#c7c8ca" stroked="false">
          <v:fill type="solid"/>
          <w10:wrap type="none"/>
        </v:rect>
      </w:pict>
    </w:r>
    <w:r>
      <w:rPr/>
      <w:pict>
        <v:shape style="position:absolute;margin-left:226.324799pt;margin-top:583.866394pt;width:15.35pt;height:10pt;mso-position-horizontal-relative:page;mso-position-vertical-relative:page;z-index:-637696" type="#_x0000_t202" filled="false" stroked="false">
          <v:textbox inset="0,0,0,0">
            <w:txbxContent>
              <w:p>
                <w:pPr>
                  <w:spacing w:before="1"/>
                  <w:ind w:left="20" w:right="0" w:firstLine="0"/>
                  <w:jc w:val="left"/>
                  <w:rPr>
                    <w:sz w:val="16"/>
                  </w:rPr>
                </w:pPr>
                <w:r>
                  <w:rPr>
                    <w:sz w:val="16"/>
                  </w:rPr>
                  <w:t>272</w:t>
                </w:r>
              </w:p>
            </w:txbxContent>
          </v:textbox>
          <w10:wrap type="none"/>
        </v:shape>
      </w:pict>
    </w:r>
    <w:r>
      <w:rPr/>
      <w:pict>
        <v:shape style="position:absolute;margin-left:698.076782pt;margin-top:583.866394pt;width:15.35pt;height:10pt;mso-position-horizontal-relative:page;mso-position-vertical-relative:page;z-index:-637672" type="#_x0000_t202" filled="false" stroked="false">
          <v:textbox inset="0,0,0,0">
            <w:txbxContent>
              <w:p>
                <w:pPr>
                  <w:spacing w:before="1"/>
                  <w:ind w:left="20" w:right="0" w:firstLine="0"/>
                  <w:jc w:val="left"/>
                  <w:rPr>
                    <w:sz w:val="16"/>
                  </w:rPr>
                </w:pPr>
                <w:r>
                  <w:rPr>
                    <w:sz w:val="16"/>
                  </w:rPr>
                  <w:t>273</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648" filled="true" fillcolor="#c7c8ca" stroked="false">
          <v:fill type="solid"/>
          <w10:wrap type="none"/>
        </v:rect>
      </w:pict>
    </w:r>
    <w:r>
      <w:rPr/>
      <w:pict>
        <v:rect style="position:absolute;margin-left:696.401978pt;margin-top:576pt;width:18.850pt;height:61.795pt;mso-position-horizontal-relative:page;mso-position-vertical-relative:page;z-index:-637624" filled="true" fillcolor="#c7c8ca" stroked="false">
          <v:fill type="solid"/>
          <w10:wrap type="none"/>
        </v:rect>
      </w:pict>
    </w:r>
    <w:r>
      <w:rPr/>
      <w:pict>
        <v:shape style="position:absolute;margin-left:226.324799pt;margin-top:583.866394pt;width:15.35pt;height:10pt;mso-position-horizontal-relative:page;mso-position-vertical-relative:page;z-index:-637600" type="#_x0000_t202" filled="false" stroked="false">
          <v:textbox inset="0,0,0,0">
            <w:txbxContent>
              <w:p>
                <w:pPr>
                  <w:spacing w:before="1"/>
                  <w:ind w:left="20" w:right="0" w:firstLine="0"/>
                  <w:jc w:val="left"/>
                  <w:rPr>
                    <w:sz w:val="16"/>
                  </w:rPr>
                </w:pPr>
                <w:r>
                  <w:rPr>
                    <w:sz w:val="16"/>
                  </w:rPr>
                  <w:t>274</w:t>
                </w:r>
              </w:p>
            </w:txbxContent>
          </v:textbox>
          <w10:wrap type="none"/>
        </v:shape>
      </w:pict>
    </w:r>
    <w:r>
      <w:rPr/>
      <w:pict>
        <v:shape style="position:absolute;margin-left:698.076782pt;margin-top:583.866394pt;width:15.35pt;height:10pt;mso-position-horizontal-relative:page;mso-position-vertical-relative:page;z-index:-637576" type="#_x0000_t202" filled="false" stroked="false">
          <v:textbox inset="0,0,0,0">
            <w:txbxContent>
              <w:p>
                <w:pPr>
                  <w:spacing w:before="1"/>
                  <w:ind w:left="20" w:right="0" w:firstLine="0"/>
                  <w:jc w:val="left"/>
                  <w:rPr>
                    <w:sz w:val="16"/>
                  </w:rPr>
                </w:pPr>
                <w:r>
                  <w:rPr>
                    <w:sz w:val="16"/>
                  </w:rPr>
                  <w:t>275</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552" filled="true" fillcolor="#c7c8ca" stroked="false">
          <v:fill type="solid"/>
          <w10:wrap type="none"/>
        </v:rect>
      </w:pict>
    </w:r>
    <w:r>
      <w:rPr/>
      <w:pict>
        <v:rect style="position:absolute;margin-left:696.401978pt;margin-top:576pt;width:18.850pt;height:61.795pt;mso-position-horizontal-relative:page;mso-position-vertical-relative:page;z-index:-637528" filled="true" fillcolor="#c7c8ca" stroked="false">
          <v:fill type="solid"/>
          <w10:wrap type="none"/>
        </v:rect>
      </w:pict>
    </w:r>
    <w:r>
      <w:rPr/>
      <w:pict>
        <v:shape style="position:absolute;margin-left:226.324799pt;margin-top:583.866394pt;width:15.35pt;height:10pt;mso-position-horizontal-relative:page;mso-position-vertical-relative:page;z-index:-637504" type="#_x0000_t202" filled="false" stroked="false">
          <v:textbox inset="0,0,0,0">
            <w:txbxContent>
              <w:p>
                <w:pPr>
                  <w:spacing w:before="1"/>
                  <w:ind w:left="20" w:right="0" w:firstLine="0"/>
                  <w:jc w:val="left"/>
                  <w:rPr>
                    <w:sz w:val="16"/>
                  </w:rPr>
                </w:pPr>
                <w:r>
                  <w:rPr>
                    <w:sz w:val="16"/>
                  </w:rPr>
                  <w:t>276</w:t>
                </w:r>
              </w:p>
            </w:txbxContent>
          </v:textbox>
          <w10:wrap type="none"/>
        </v:shape>
      </w:pict>
    </w:r>
    <w:r>
      <w:rPr/>
      <w:pict>
        <v:shape style="position:absolute;margin-left:698.076782pt;margin-top:583.866394pt;width:15.35pt;height:10pt;mso-position-horizontal-relative:page;mso-position-vertical-relative:page;z-index:-637480" type="#_x0000_t202" filled="false" stroked="false">
          <v:textbox inset="0,0,0,0">
            <w:txbxContent>
              <w:p>
                <w:pPr>
                  <w:spacing w:before="1"/>
                  <w:ind w:left="20" w:right="0" w:firstLine="0"/>
                  <w:jc w:val="left"/>
                  <w:rPr>
                    <w:sz w:val="16"/>
                  </w:rPr>
                </w:pPr>
                <w:r>
                  <w:rPr>
                    <w:sz w:val="16"/>
                  </w:rPr>
                  <w:t>277</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456" filled="true" fillcolor="#c7c8ca" stroked="false">
          <v:fill type="solid"/>
          <w10:wrap type="none"/>
        </v:rect>
      </w:pict>
    </w:r>
    <w:r>
      <w:rPr/>
      <w:pict>
        <v:rect style="position:absolute;margin-left:696.401978pt;margin-top:576pt;width:18.850pt;height:61.795pt;mso-position-horizontal-relative:page;mso-position-vertical-relative:page;z-index:-637432" filled="true" fillcolor="#c7c8ca" stroked="false">
          <v:fill type="solid"/>
          <w10:wrap type="none"/>
        </v:rect>
      </w:pict>
    </w:r>
    <w:r>
      <w:rPr/>
      <w:pict>
        <v:shape style="position:absolute;margin-left:226.324799pt;margin-top:583.866394pt;width:15.35pt;height:10pt;mso-position-horizontal-relative:page;mso-position-vertical-relative:page;z-index:-637408" type="#_x0000_t202" filled="false" stroked="false">
          <v:textbox inset="0,0,0,0">
            <w:txbxContent>
              <w:p>
                <w:pPr>
                  <w:spacing w:before="1"/>
                  <w:ind w:left="20" w:right="0" w:firstLine="0"/>
                  <w:jc w:val="left"/>
                  <w:rPr>
                    <w:sz w:val="16"/>
                  </w:rPr>
                </w:pPr>
                <w:r>
                  <w:rPr>
                    <w:sz w:val="16"/>
                  </w:rPr>
                  <w:t>278</w:t>
                </w:r>
              </w:p>
            </w:txbxContent>
          </v:textbox>
          <w10:wrap type="none"/>
        </v:shape>
      </w:pict>
    </w:r>
    <w:r>
      <w:rPr/>
      <w:pict>
        <v:shape style="position:absolute;margin-left:698.076782pt;margin-top:583.866394pt;width:15.35pt;height:10pt;mso-position-horizontal-relative:page;mso-position-vertical-relative:page;z-index:-637384" type="#_x0000_t202" filled="false" stroked="false">
          <v:textbox inset="0,0,0,0">
            <w:txbxContent>
              <w:p>
                <w:pPr>
                  <w:spacing w:before="1"/>
                  <w:ind w:left="20" w:right="0" w:firstLine="0"/>
                  <w:jc w:val="left"/>
                  <w:rPr>
                    <w:sz w:val="16"/>
                  </w:rPr>
                </w:pPr>
                <w:r>
                  <w:rPr>
                    <w:sz w:val="16"/>
                  </w:rPr>
                  <w:t>279</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0272" filled="true" fillcolor="#c7c8ca" stroked="false">
          <v:fill type="solid"/>
          <w10:wrap type="none"/>
        </v:rect>
      </w:pict>
    </w:r>
    <w:r>
      <w:rPr/>
      <w:pict>
        <v:rect style="position:absolute;margin-left:696.401978pt;margin-top:576pt;width:18.850pt;height:61.795pt;mso-position-horizontal-relative:page;mso-position-vertical-relative:page;z-index:-650248" filled="true" fillcolor="#c7c8ca" stroked="false">
          <v:fill type="solid"/>
          <w10:wrap type="none"/>
        </v:rect>
      </w:pict>
    </w:r>
    <w:r>
      <w:rPr/>
      <w:pict>
        <v:shape style="position:absolute;margin-left:228.548798pt;margin-top:583.866394pt;width:10.9pt;height:10pt;mso-position-horizontal-relative:page;mso-position-vertical-relative:page;z-index:-650224" type="#_x0000_t202" filled="false" stroked="false">
          <v:textbox inset="0,0,0,0">
            <w:txbxContent>
              <w:p>
                <w:pPr>
                  <w:spacing w:before="1"/>
                  <w:ind w:left="20" w:right="0" w:firstLine="0"/>
                  <w:jc w:val="left"/>
                  <w:rPr>
                    <w:sz w:val="16"/>
                  </w:rPr>
                </w:pPr>
                <w:r>
                  <w:rPr>
                    <w:sz w:val="16"/>
                  </w:rPr>
                  <w:t>46</w:t>
                </w:r>
              </w:p>
            </w:txbxContent>
          </v:textbox>
          <w10:wrap type="none"/>
        </v:shape>
      </w:pict>
    </w:r>
    <w:r>
      <w:rPr/>
      <w:pict>
        <v:shape style="position:absolute;margin-left:700.300781pt;margin-top:583.866394pt;width:10.9pt;height:10pt;mso-position-horizontal-relative:page;mso-position-vertical-relative:page;z-index:-650200" type="#_x0000_t202" filled="false" stroked="false">
          <v:textbox inset="0,0,0,0">
            <w:txbxContent>
              <w:p>
                <w:pPr>
                  <w:spacing w:before="1"/>
                  <w:ind w:left="20" w:right="0" w:firstLine="0"/>
                  <w:jc w:val="left"/>
                  <w:rPr>
                    <w:sz w:val="16"/>
                  </w:rPr>
                </w:pPr>
                <w:r>
                  <w:rPr>
                    <w:sz w:val="16"/>
                  </w:rPr>
                  <w:t>47</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360" filled="true" fillcolor="#c7c8ca" stroked="false">
          <v:fill type="solid"/>
          <w10:wrap type="none"/>
        </v:rect>
      </w:pict>
    </w:r>
    <w:r>
      <w:rPr/>
      <w:pict>
        <v:rect style="position:absolute;margin-left:696.401978pt;margin-top:576pt;width:18.850pt;height:61.795pt;mso-position-horizontal-relative:page;mso-position-vertical-relative:page;z-index:-637336" filled="true" fillcolor="#c7c8ca" stroked="false">
          <v:fill type="solid"/>
          <w10:wrap type="none"/>
        </v:rect>
      </w:pict>
    </w:r>
    <w:r>
      <w:rPr/>
      <w:pict>
        <v:shape style="position:absolute;margin-left:226.324799pt;margin-top:583.866394pt;width:15.35pt;height:10pt;mso-position-horizontal-relative:page;mso-position-vertical-relative:page;z-index:-637312" type="#_x0000_t202" filled="false" stroked="false">
          <v:textbox inset="0,0,0,0">
            <w:txbxContent>
              <w:p>
                <w:pPr>
                  <w:spacing w:before="1"/>
                  <w:ind w:left="20" w:right="0" w:firstLine="0"/>
                  <w:jc w:val="left"/>
                  <w:rPr>
                    <w:sz w:val="16"/>
                  </w:rPr>
                </w:pPr>
                <w:r>
                  <w:rPr>
                    <w:sz w:val="16"/>
                  </w:rPr>
                  <w:t>280</w:t>
                </w:r>
              </w:p>
            </w:txbxContent>
          </v:textbox>
          <w10:wrap type="none"/>
        </v:shape>
      </w:pict>
    </w:r>
    <w:r>
      <w:rPr/>
      <w:pict>
        <v:shape style="position:absolute;margin-left:698.076782pt;margin-top:583.866394pt;width:15.35pt;height:10pt;mso-position-horizontal-relative:page;mso-position-vertical-relative:page;z-index:-637288" type="#_x0000_t202" filled="false" stroked="false">
          <v:textbox inset="0,0,0,0">
            <w:txbxContent>
              <w:p>
                <w:pPr>
                  <w:spacing w:before="1"/>
                  <w:ind w:left="20" w:right="0" w:firstLine="0"/>
                  <w:jc w:val="left"/>
                  <w:rPr>
                    <w:sz w:val="16"/>
                  </w:rPr>
                </w:pPr>
                <w:r>
                  <w:rPr>
                    <w:sz w:val="16"/>
                  </w:rPr>
                  <w:t>281</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264" filled="true" fillcolor="#c7c8ca" stroked="false">
          <v:fill type="solid"/>
          <w10:wrap type="none"/>
        </v:rect>
      </w:pict>
    </w:r>
    <w:r>
      <w:rPr/>
      <w:pict>
        <v:rect style="position:absolute;margin-left:696.401978pt;margin-top:576pt;width:18.850pt;height:61.795pt;mso-position-horizontal-relative:page;mso-position-vertical-relative:page;z-index:-637240" filled="true" fillcolor="#c7c8ca" stroked="false">
          <v:fill type="solid"/>
          <w10:wrap type="none"/>
        </v:rect>
      </w:pict>
    </w:r>
    <w:r>
      <w:rPr/>
      <w:pict>
        <v:shape style="position:absolute;margin-left:226.324799pt;margin-top:583.866394pt;width:15.35pt;height:10pt;mso-position-horizontal-relative:page;mso-position-vertical-relative:page;z-index:-637216" type="#_x0000_t202" filled="false" stroked="false">
          <v:textbox inset="0,0,0,0">
            <w:txbxContent>
              <w:p>
                <w:pPr>
                  <w:spacing w:before="1"/>
                  <w:ind w:left="20" w:right="0" w:firstLine="0"/>
                  <w:jc w:val="left"/>
                  <w:rPr>
                    <w:sz w:val="16"/>
                  </w:rPr>
                </w:pPr>
                <w:r>
                  <w:rPr>
                    <w:sz w:val="16"/>
                  </w:rPr>
                  <w:t>282</w:t>
                </w:r>
              </w:p>
            </w:txbxContent>
          </v:textbox>
          <w10:wrap type="none"/>
        </v:shape>
      </w:pict>
    </w:r>
    <w:r>
      <w:rPr/>
      <w:pict>
        <v:shape style="position:absolute;margin-left:698.076782pt;margin-top:583.866394pt;width:15.35pt;height:10pt;mso-position-horizontal-relative:page;mso-position-vertical-relative:page;z-index:-637192" type="#_x0000_t202" filled="false" stroked="false">
          <v:textbox inset="0,0,0,0">
            <w:txbxContent>
              <w:p>
                <w:pPr>
                  <w:spacing w:before="1"/>
                  <w:ind w:left="20" w:right="0" w:firstLine="0"/>
                  <w:jc w:val="left"/>
                  <w:rPr>
                    <w:sz w:val="16"/>
                  </w:rPr>
                </w:pPr>
                <w:r>
                  <w:rPr>
                    <w:sz w:val="16"/>
                  </w:rPr>
                  <w:t>283</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168" filled="true" fillcolor="#c7c8ca" stroked="false">
          <v:fill type="solid"/>
          <w10:wrap type="none"/>
        </v:rect>
      </w:pict>
    </w:r>
    <w:r>
      <w:rPr/>
      <w:pict>
        <v:rect style="position:absolute;margin-left:696.401978pt;margin-top:576pt;width:18.850pt;height:61.795pt;mso-position-horizontal-relative:page;mso-position-vertical-relative:page;z-index:-637144" filled="true" fillcolor="#c7c8ca" stroked="false">
          <v:fill type="solid"/>
          <w10:wrap type="none"/>
        </v:rect>
      </w:pict>
    </w:r>
    <w:r>
      <w:rPr/>
      <w:pict>
        <v:shape style="position:absolute;margin-left:226.324799pt;margin-top:583.866394pt;width:15.35pt;height:10pt;mso-position-horizontal-relative:page;mso-position-vertical-relative:page;z-index:-637120" type="#_x0000_t202" filled="false" stroked="false">
          <v:textbox inset="0,0,0,0">
            <w:txbxContent>
              <w:p>
                <w:pPr>
                  <w:spacing w:before="1"/>
                  <w:ind w:left="20" w:right="0" w:firstLine="0"/>
                  <w:jc w:val="left"/>
                  <w:rPr>
                    <w:sz w:val="16"/>
                  </w:rPr>
                </w:pPr>
                <w:r>
                  <w:rPr>
                    <w:sz w:val="16"/>
                  </w:rPr>
                  <w:t>284</w:t>
                </w:r>
              </w:p>
            </w:txbxContent>
          </v:textbox>
          <w10:wrap type="none"/>
        </v:shape>
      </w:pict>
    </w:r>
    <w:r>
      <w:rPr/>
      <w:pict>
        <v:shape style="position:absolute;margin-left:698.076782pt;margin-top:583.866394pt;width:15.35pt;height:10pt;mso-position-horizontal-relative:page;mso-position-vertical-relative:page;z-index:-637096" type="#_x0000_t202" filled="false" stroked="false">
          <v:textbox inset="0,0,0,0">
            <w:txbxContent>
              <w:p>
                <w:pPr>
                  <w:spacing w:before="1"/>
                  <w:ind w:left="20" w:right="0" w:firstLine="0"/>
                  <w:jc w:val="left"/>
                  <w:rPr>
                    <w:sz w:val="16"/>
                  </w:rPr>
                </w:pPr>
                <w:r>
                  <w:rPr>
                    <w:sz w:val="16"/>
                  </w:rPr>
                  <w:t>285</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7072" filled="true" fillcolor="#c7c8ca" stroked="false">
          <v:fill type="solid"/>
          <w10:wrap type="none"/>
        </v:rect>
      </w:pict>
    </w:r>
    <w:r>
      <w:rPr/>
      <w:pict>
        <v:rect style="position:absolute;margin-left:696.401978pt;margin-top:576pt;width:18.850pt;height:61.795pt;mso-position-horizontal-relative:page;mso-position-vertical-relative:page;z-index:-637048" filled="true" fillcolor="#c7c8ca" stroked="false">
          <v:fill type="solid"/>
          <w10:wrap type="none"/>
        </v:rect>
      </w:pict>
    </w:r>
    <w:r>
      <w:rPr/>
      <w:pict>
        <v:shape style="position:absolute;margin-left:226.324799pt;margin-top:583.866394pt;width:15.35pt;height:10pt;mso-position-horizontal-relative:page;mso-position-vertical-relative:page;z-index:-637024" type="#_x0000_t202" filled="false" stroked="false">
          <v:textbox inset="0,0,0,0">
            <w:txbxContent>
              <w:p>
                <w:pPr>
                  <w:spacing w:before="1"/>
                  <w:ind w:left="20" w:right="0" w:firstLine="0"/>
                  <w:jc w:val="left"/>
                  <w:rPr>
                    <w:sz w:val="16"/>
                  </w:rPr>
                </w:pPr>
                <w:r>
                  <w:rPr>
                    <w:sz w:val="16"/>
                  </w:rPr>
                  <w:t>286</w:t>
                </w:r>
              </w:p>
            </w:txbxContent>
          </v:textbox>
          <w10:wrap type="none"/>
        </v:shape>
      </w:pict>
    </w:r>
    <w:r>
      <w:rPr/>
      <w:pict>
        <v:shape style="position:absolute;margin-left:698.076782pt;margin-top:583.866394pt;width:15.35pt;height:10pt;mso-position-horizontal-relative:page;mso-position-vertical-relative:page;z-index:-637000" type="#_x0000_t202" filled="false" stroked="false">
          <v:textbox inset="0,0,0,0">
            <w:txbxContent>
              <w:p>
                <w:pPr>
                  <w:spacing w:before="1"/>
                  <w:ind w:left="20" w:right="0" w:firstLine="0"/>
                  <w:jc w:val="left"/>
                  <w:rPr>
                    <w:sz w:val="16"/>
                  </w:rPr>
                </w:pPr>
                <w:r>
                  <w:rPr>
                    <w:sz w:val="16"/>
                  </w:rPr>
                  <w:t>287</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6976" filled="true" fillcolor="#c7c8ca" stroked="false">
          <v:fill type="solid"/>
          <w10:wrap type="none"/>
        </v:rect>
      </w:pict>
    </w:r>
    <w:r>
      <w:rPr/>
      <w:pict>
        <v:rect style="position:absolute;margin-left:696.401978pt;margin-top:576pt;width:18.850pt;height:61.795pt;mso-position-horizontal-relative:page;mso-position-vertical-relative:page;z-index:-636952" filled="true" fillcolor="#c7c8ca" stroked="false">
          <v:fill type="solid"/>
          <w10:wrap type="none"/>
        </v:rect>
      </w:pict>
    </w:r>
    <w:r>
      <w:rPr/>
      <w:pict>
        <v:shape style="position:absolute;margin-left:226.324799pt;margin-top:583.866394pt;width:15.35pt;height:10pt;mso-position-horizontal-relative:page;mso-position-vertical-relative:page;z-index:-636928" type="#_x0000_t202" filled="false" stroked="false">
          <v:textbox inset="0,0,0,0">
            <w:txbxContent>
              <w:p>
                <w:pPr>
                  <w:spacing w:before="1"/>
                  <w:ind w:left="20" w:right="0" w:firstLine="0"/>
                  <w:jc w:val="left"/>
                  <w:rPr>
                    <w:sz w:val="16"/>
                  </w:rPr>
                </w:pPr>
                <w:r>
                  <w:rPr>
                    <w:sz w:val="16"/>
                  </w:rPr>
                  <w:t>288</w:t>
                </w:r>
              </w:p>
            </w:txbxContent>
          </v:textbox>
          <w10:wrap type="none"/>
        </v:shape>
      </w:pict>
    </w:r>
    <w:r>
      <w:rPr/>
      <w:pict>
        <v:shape style="position:absolute;margin-left:698.076782pt;margin-top:583.866394pt;width:15.35pt;height:10pt;mso-position-horizontal-relative:page;mso-position-vertical-relative:page;z-index:-636904" type="#_x0000_t202" filled="false" stroked="false">
          <v:textbox inset="0,0,0,0">
            <w:txbxContent>
              <w:p>
                <w:pPr>
                  <w:spacing w:before="1"/>
                  <w:ind w:left="20" w:right="0" w:firstLine="0"/>
                  <w:jc w:val="left"/>
                  <w:rPr>
                    <w:sz w:val="16"/>
                  </w:rPr>
                </w:pPr>
                <w:r>
                  <w:rPr>
                    <w:sz w:val="16"/>
                  </w:rPr>
                  <w:t>289</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6664" filled="true" fillcolor="#c7c8ca" stroked="false">
          <v:fill type="solid"/>
          <w10:wrap type="none"/>
        </v:rect>
      </w:pict>
    </w:r>
    <w:r>
      <w:rPr/>
      <w:pict>
        <v:rect style="position:absolute;margin-left:696.401978pt;margin-top:576pt;width:18.850pt;height:61.795pt;mso-position-horizontal-relative:page;mso-position-vertical-relative:page;z-index:-636640" filled="true" fillcolor="#c7c8ca" stroked="false">
          <v:fill type="solid"/>
          <w10:wrap type="none"/>
        </v:rect>
      </w:pict>
    </w:r>
    <w:r>
      <w:rPr/>
      <w:pict>
        <v:shape style="position:absolute;margin-left:226.324799pt;margin-top:583.866394pt;width:15.35pt;height:10pt;mso-position-horizontal-relative:page;mso-position-vertical-relative:page;z-index:-636616" type="#_x0000_t202" filled="false" stroked="false">
          <v:textbox inset="0,0,0,0">
            <w:txbxContent>
              <w:p>
                <w:pPr>
                  <w:spacing w:before="1"/>
                  <w:ind w:left="20" w:right="0" w:firstLine="0"/>
                  <w:jc w:val="left"/>
                  <w:rPr>
                    <w:sz w:val="16"/>
                  </w:rPr>
                </w:pPr>
                <w:r>
                  <w:rPr>
                    <w:sz w:val="16"/>
                  </w:rPr>
                  <w:t>292</w:t>
                </w:r>
              </w:p>
            </w:txbxContent>
          </v:textbox>
          <w10:wrap type="none"/>
        </v:shape>
      </w:pict>
    </w:r>
    <w:r>
      <w:rPr/>
      <w:pict>
        <v:shape style="position:absolute;margin-left:698.076782pt;margin-top:583.866394pt;width:15.35pt;height:10pt;mso-position-horizontal-relative:page;mso-position-vertical-relative:page;z-index:-636592" type="#_x0000_t202" filled="false" stroked="false">
          <v:textbox inset="0,0,0,0">
            <w:txbxContent>
              <w:p>
                <w:pPr>
                  <w:spacing w:before="1"/>
                  <w:ind w:left="20" w:right="0" w:firstLine="0"/>
                  <w:jc w:val="left"/>
                  <w:rPr>
                    <w:sz w:val="16"/>
                  </w:rPr>
                </w:pPr>
                <w:r>
                  <w:rPr>
                    <w:sz w:val="16"/>
                  </w:rPr>
                  <w:t>293</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6568" filled="true" fillcolor="#c7c8ca" stroked="false">
          <v:fill type="solid"/>
          <w10:wrap type="none"/>
        </v:rect>
      </w:pict>
    </w:r>
    <w:r>
      <w:rPr/>
      <w:pict>
        <v:rect style="position:absolute;margin-left:696.401978pt;margin-top:576pt;width:18.850pt;height:61.795pt;mso-position-horizontal-relative:page;mso-position-vertical-relative:page;z-index:-636544" filled="true" fillcolor="#c7c8ca" stroked="false">
          <v:fill type="solid"/>
          <w10:wrap type="none"/>
        </v:rect>
      </w:pict>
    </w:r>
    <w:r>
      <w:rPr/>
      <w:pict>
        <v:shape style="position:absolute;margin-left:226.324799pt;margin-top:583.866394pt;width:15.35pt;height:10pt;mso-position-horizontal-relative:page;mso-position-vertical-relative:page;z-index:-636520" type="#_x0000_t202" filled="false" stroked="false">
          <v:textbox inset="0,0,0,0">
            <w:txbxContent>
              <w:p>
                <w:pPr>
                  <w:spacing w:before="1"/>
                  <w:ind w:left="20" w:right="0" w:firstLine="0"/>
                  <w:jc w:val="left"/>
                  <w:rPr>
                    <w:sz w:val="16"/>
                  </w:rPr>
                </w:pPr>
                <w:r>
                  <w:rPr>
                    <w:sz w:val="16"/>
                  </w:rPr>
                  <w:t>294</w:t>
                </w:r>
              </w:p>
            </w:txbxContent>
          </v:textbox>
          <w10:wrap type="none"/>
        </v:shape>
      </w:pict>
    </w:r>
    <w:r>
      <w:rPr/>
      <w:pict>
        <v:shape style="position:absolute;margin-left:698.076782pt;margin-top:583.866394pt;width:15.35pt;height:10pt;mso-position-horizontal-relative:page;mso-position-vertical-relative:page;z-index:-636496" type="#_x0000_t202" filled="false" stroked="false">
          <v:textbox inset="0,0,0,0">
            <w:txbxContent>
              <w:p>
                <w:pPr>
                  <w:spacing w:before="1"/>
                  <w:ind w:left="20" w:right="0" w:firstLine="0"/>
                  <w:jc w:val="left"/>
                  <w:rPr>
                    <w:sz w:val="16"/>
                  </w:rPr>
                </w:pPr>
                <w:r>
                  <w:rPr>
                    <w:sz w:val="16"/>
                  </w:rPr>
                  <w:t>295</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6472" filled="true" fillcolor="#c7c8ca" stroked="false">
          <v:fill type="solid"/>
          <w10:wrap type="none"/>
        </v:rect>
      </w:pict>
    </w:r>
    <w:r>
      <w:rPr/>
      <w:pict>
        <v:rect style="position:absolute;margin-left:696.401978pt;margin-top:576pt;width:18.850pt;height:61.795pt;mso-position-horizontal-relative:page;mso-position-vertical-relative:page;z-index:-636448" filled="true" fillcolor="#c7c8ca" stroked="false">
          <v:fill type="solid"/>
          <w10:wrap type="none"/>
        </v:rect>
      </w:pict>
    </w:r>
    <w:r>
      <w:rPr/>
      <w:pict>
        <v:shape style="position:absolute;margin-left:226.324799pt;margin-top:583.866394pt;width:15.35pt;height:10pt;mso-position-horizontal-relative:page;mso-position-vertical-relative:page;z-index:-636424" type="#_x0000_t202" filled="false" stroked="false">
          <v:textbox inset="0,0,0,0">
            <w:txbxContent>
              <w:p>
                <w:pPr>
                  <w:spacing w:before="1"/>
                  <w:ind w:left="20" w:right="0" w:firstLine="0"/>
                  <w:jc w:val="left"/>
                  <w:rPr>
                    <w:sz w:val="16"/>
                  </w:rPr>
                </w:pPr>
                <w:r>
                  <w:rPr>
                    <w:sz w:val="16"/>
                  </w:rPr>
                  <w:t>296</w:t>
                </w:r>
              </w:p>
            </w:txbxContent>
          </v:textbox>
          <w10:wrap type="none"/>
        </v:shape>
      </w:pict>
    </w:r>
    <w:r>
      <w:rPr/>
      <w:pict>
        <v:shape style="position:absolute;margin-left:698.076782pt;margin-top:583.866394pt;width:15.35pt;height:10pt;mso-position-horizontal-relative:page;mso-position-vertical-relative:page;z-index:-636400" type="#_x0000_t202" filled="false" stroked="false">
          <v:textbox inset="0,0,0,0">
            <w:txbxContent>
              <w:p>
                <w:pPr>
                  <w:spacing w:before="1"/>
                  <w:ind w:left="20" w:right="0" w:firstLine="0"/>
                  <w:jc w:val="left"/>
                  <w:rPr>
                    <w:sz w:val="16"/>
                  </w:rPr>
                </w:pPr>
                <w:r>
                  <w:rPr>
                    <w:sz w:val="16"/>
                  </w:rPr>
                  <w:t>297</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6376" filled="true" fillcolor="#c7c8ca" stroked="false">
          <v:fill type="solid"/>
          <w10:wrap type="none"/>
        </v:rect>
      </w:pict>
    </w:r>
    <w:r>
      <w:rPr/>
      <w:pict>
        <v:rect style="position:absolute;margin-left:696.401978pt;margin-top:576pt;width:18.850pt;height:61.795pt;mso-position-horizontal-relative:page;mso-position-vertical-relative:page;z-index:-636352" filled="true" fillcolor="#c7c8ca" stroked="false">
          <v:fill type="solid"/>
          <w10:wrap type="none"/>
        </v:rect>
      </w:pict>
    </w:r>
    <w:r>
      <w:rPr/>
      <w:pict>
        <v:shape style="position:absolute;margin-left:226.324799pt;margin-top:583.866394pt;width:15.35pt;height:10pt;mso-position-horizontal-relative:page;mso-position-vertical-relative:page;z-index:-636328" type="#_x0000_t202" filled="false" stroked="false">
          <v:textbox inset="0,0,0,0">
            <w:txbxContent>
              <w:p>
                <w:pPr>
                  <w:spacing w:before="1"/>
                  <w:ind w:left="20" w:right="0" w:firstLine="0"/>
                  <w:jc w:val="left"/>
                  <w:rPr>
                    <w:sz w:val="16"/>
                  </w:rPr>
                </w:pPr>
                <w:r>
                  <w:rPr>
                    <w:sz w:val="16"/>
                  </w:rPr>
                  <w:t>298</w:t>
                </w:r>
              </w:p>
            </w:txbxContent>
          </v:textbox>
          <w10:wrap type="none"/>
        </v:shape>
      </w:pict>
    </w:r>
    <w:r>
      <w:rPr/>
      <w:pict>
        <v:shape style="position:absolute;margin-left:698.076782pt;margin-top:583.866394pt;width:15.35pt;height:10pt;mso-position-horizontal-relative:page;mso-position-vertical-relative:page;z-index:-636304" type="#_x0000_t202" filled="false" stroked="false">
          <v:textbox inset="0,0,0,0">
            <w:txbxContent>
              <w:p>
                <w:pPr>
                  <w:spacing w:before="1"/>
                  <w:ind w:left="20" w:right="0" w:firstLine="0"/>
                  <w:jc w:val="left"/>
                  <w:rPr>
                    <w:sz w:val="16"/>
                  </w:rPr>
                </w:pPr>
                <w:r>
                  <w:rPr>
                    <w:sz w:val="16"/>
                  </w:rPr>
                  <w:t>299</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0176" filled="true" fillcolor="#c7c8ca" stroked="false">
          <v:fill type="solid"/>
          <w10:wrap type="none"/>
        </v:rect>
      </w:pict>
    </w:r>
    <w:r>
      <w:rPr/>
      <w:pict>
        <v:rect style="position:absolute;margin-left:696.401978pt;margin-top:576pt;width:18.850pt;height:61.795pt;mso-position-horizontal-relative:page;mso-position-vertical-relative:page;z-index:-650152" filled="true" fillcolor="#c7c8ca" stroked="false">
          <v:fill type="solid"/>
          <w10:wrap type="none"/>
        </v:rect>
      </w:pict>
    </w:r>
    <w:r>
      <w:rPr/>
      <w:pict>
        <v:shape style="position:absolute;margin-left:228.548798pt;margin-top:583.866394pt;width:10.9pt;height:10pt;mso-position-horizontal-relative:page;mso-position-vertical-relative:page;z-index:-650128" type="#_x0000_t202" filled="false" stroked="false">
          <v:textbox inset="0,0,0,0">
            <w:txbxContent>
              <w:p>
                <w:pPr>
                  <w:spacing w:before="1"/>
                  <w:ind w:left="20" w:right="0" w:firstLine="0"/>
                  <w:jc w:val="left"/>
                  <w:rPr>
                    <w:sz w:val="16"/>
                  </w:rPr>
                </w:pPr>
                <w:r>
                  <w:rPr>
                    <w:sz w:val="16"/>
                  </w:rPr>
                  <w:t>48</w:t>
                </w:r>
              </w:p>
            </w:txbxContent>
          </v:textbox>
          <w10:wrap type="none"/>
        </v:shape>
      </w:pict>
    </w:r>
    <w:r>
      <w:rPr/>
      <w:pict>
        <v:shape style="position:absolute;margin-left:700.300781pt;margin-top:583.866394pt;width:10.9pt;height:10pt;mso-position-horizontal-relative:page;mso-position-vertical-relative:page;z-index:-650104" type="#_x0000_t202" filled="false" stroked="false">
          <v:textbox inset="0,0,0,0">
            <w:txbxContent>
              <w:p>
                <w:pPr>
                  <w:spacing w:before="1"/>
                  <w:ind w:left="20" w:right="0" w:firstLine="0"/>
                  <w:jc w:val="left"/>
                  <w:rPr>
                    <w:sz w:val="16"/>
                  </w:rPr>
                </w:pPr>
                <w:r>
                  <w:rPr>
                    <w:sz w:val="16"/>
                  </w:rPr>
                  <w:t>49</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6280" filled="true" fillcolor="#c7c8ca" stroked="false">
          <v:fill type="solid"/>
          <w10:wrap type="none"/>
        </v:rect>
      </w:pict>
    </w:r>
    <w:r>
      <w:rPr/>
      <w:pict>
        <v:rect style="position:absolute;margin-left:696.401978pt;margin-top:576pt;width:18.850pt;height:61.795pt;mso-position-horizontal-relative:page;mso-position-vertical-relative:page;z-index:-636256" filled="true" fillcolor="#c7c8ca" stroked="false">
          <v:fill type="solid"/>
          <w10:wrap type="none"/>
        </v:rect>
      </w:pict>
    </w:r>
    <w:r>
      <w:rPr/>
      <w:pict>
        <v:shape style="position:absolute;margin-left:226.324799pt;margin-top:583.866394pt;width:15.35pt;height:10pt;mso-position-horizontal-relative:page;mso-position-vertical-relative:page;z-index:-636232" type="#_x0000_t202" filled="false" stroked="false">
          <v:textbox inset="0,0,0,0">
            <w:txbxContent>
              <w:p>
                <w:pPr>
                  <w:spacing w:before="1"/>
                  <w:ind w:left="20" w:right="0" w:firstLine="0"/>
                  <w:jc w:val="left"/>
                  <w:rPr>
                    <w:sz w:val="16"/>
                  </w:rPr>
                </w:pPr>
                <w:r>
                  <w:rPr>
                    <w:sz w:val="16"/>
                  </w:rPr>
                  <w:t>300</w:t>
                </w:r>
              </w:p>
            </w:txbxContent>
          </v:textbox>
          <w10:wrap type="none"/>
        </v:shape>
      </w:pict>
    </w:r>
    <w:r>
      <w:rPr/>
      <w:pict>
        <v:shape style="position:absolute;margin-left:698.076782pt;margin-top:583.866394pt;width:15.35pt;height:10pt;mso-position-horizontal-relative:page;mso-position-vertical-relative:page;z-index:-636208" type="#_x0000_t202" filled="false" stroked="false">
          <v:textbox inset="0,0,0,0">
            <w:txbxContent>
              <w:p>
                <w:pPr>
                  <w:spacing w:before="1"/>
                  <w:ind w:left="20" w:right="0" w:firstLine="0"/>
                  <w:jc w:val="left"/>
                  <w:rPr>
                    <w:sz w:val="16"/>
                  </w:rPr>
                </w:pPr>
                <w:r>
                  <w:rPr>
                    <w:sz w:val="16"/>
                  </w:rPr>
                  <w:t>301</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6184" filled="true" fillcolor="#c7c8ca" stroked="false">
          <v:fill type="solid"/>
          <w10:wrap type="none"/>
        </v:rect>
      </w:pict>
    </w:r>
    <w:r>
      <w:rPr/>
      <w:pict>
        <v:rect style="position:absolute;margin-left:696.401978pt;margin-top:576pt;width:18.850pt;height:61.795pt;mso-position-horizontal-relative:page;mso-position-vertical-relative:page;z-index:-636160" filled="true" fillcolor="#c7c8ca" stroked="false">
          <v:fill type="solid"/>
          <w10:wrap type="none"/>
        </v:rect>
      </w:pict>
    </w:r>
    <w:r>
      <w:rPr/>
      <w:pict>
        <v:shape style="position:absolute;margin-left:226.324799pt;margin-top:583.866394pt;width:15.35pt;height:10pt;mso-position-horizontal-relative:page;mso-position-vertical-relative:page;z-index:-636136" type="#_x0000_t202" filled="false" stroked="false">
          <v:textbox inset="0,0,0,0">
            <w:txbxContent>
              <w:p>
                <w:pPr>
                  <w:spacing w:before="1"/>
                  <w:ind w:left="20" w:right="0" w:firstLine="0"/>
                  <w:jc w:val="left"/>
                  <w:rPr>
                    <w:sz w:val="16"/>
                  </w:rPr>
                </w:pPr>
                <w:r>
                  <w:rPr>
                    <w:sz w:val="16"/>
                  </w:rPr>
                  <w:t>302</w:t>
                </w:r>
              </w:p>
            </w:txbxContent>
          </v:textbox>
          <w10:wrap type="none"/>
        </v:shape>
      </w:pict>
    </w:r>
    <w:r>
      <w:rPr/>
      <w:pict>
        <v:shape style="position:absolute;margin-left:698.076782pt;margin-top:583.866394pt;width:15.35pt;height:10pt;mso-position-horizontal-relative:page;mso-position-vertical-relative:page;z-index:-636112" type="#_x0000_t202" filled="false" stroked="false">
          <v:textbox inset="0,0,0,0">
            <w:txbxContent>
              <w:p>
                <w:pPr>
                  <w:spacing w:before="1"/>
                  <w:ind w:left="20" w:right="0" w:firstLine="0"/>
                  <w:jc w:val="left"/>
                  <w:rPr>
                    <w:sz w:val="16"/>
                  </w:rPr>
                </w:pPr>
                <w:r>
                  <w:rPr>
                    <w:sz w:val="16"/>
                  </w:rPr>
                  <w:t>303</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6088" filled="true" fillcolor="#c7c8ca" stroked="false">
          <v:fill type="solid"/>
          <w10:wrap type="none"/>
        </v:rect>
      </w:pict>
    </w:r>
    <w:r>
      <w:rPr/>
      <w:pict>
        <v:rect style="position:absolute;margin-left:696.401978pt;margin-top:576pt;width:18.850pt;height:61.795pt;mso-position-horizontal-relative:page;mso-position-vertical-relative:page;z-index:-636064" filled="true" fillcolor="#c7c8ca" stroked="false">
          <v:fill type="solid"/>
          <w10:wrap type="none"/>
        </v:rect>
      </w:pict>
    </w:r>
    <w:r>
      <w:rPr/>
      <w:pict>
        <v:shape style="position:absolute;margin-left:226.324799pt;margin-top:583.866394pt;width:15.35pt;height:10pt;mso-position-horizontal-relative:page;mso-position-vertical-relative:page;z-index:-636040" type="#_x0000_t202" filled="false" stroked="false">
          <v:textbox inset="0,0,0,0">
            <w:txbxContent>
              <w:p>
                <w:pPr>
                  <w:spacing w:before="1"/>
                  <w:ind w:left="20" w:right="0" w:firstLine="0"/>
                  <w:jc w:val="left"/>
                  <w:rPr>
                    <w:sz w:val="16"/>
                  </w:rPr>
                </w:pPr>
                <w:r>
                  <w:rPr>
                    <w:sz w:val="16"/>
                  </w:rPr>
                  <w:t>304</w:t>
                </w:r>
              </w:p>
            </w:txbxContent>
          </v:textbox>
          <w10:wrap type="none"/>
        </v:shape>
      </w:pict>
    </w:r>
    <w:r>
      <w:rPr/>
      <w:pict>
        <v:shape style="position:absolute;margin-left:698.076782pt;margin-top:583.866394pt;width:15.35pt;height:10pt;mso-position-horizontal-relative:page;mso-position-vertical-relative:page;z-index:-636016" type="#_x0000_t202" filled="false" stroked="false">
          <v:textbox inset="0,0,0,0">
            <w:txbxContent>
              <w:p>
                <w:pPr>
                  <w:spacing w:before="1"/>
                  <w:ind w:left="20" w:right="0" w:firstLine="0"/>
                  <w:jc w:val="left"/>
                  <w:rPr>
                    <w:sz w:val="16"/>
                  </w:rPr>
                </w:pPr>
                <w:r>
                  <w:rPr>
                    <w:sz w:val="16"/>
                  </w:rPr>
                  <w:t>305</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5992" filled="true" fillcolor="#c7c8ca" stroked="false">
          <v:fill type="solid"/>
          <w10:wrap type="none"/>
        </v:rect>
      </w:pict>
    </w:r>
    <w:r>
      <w:rPr/>
      <w:pict>
        <v:rect style="position:absolute;margin-left:696.401978pt;margin-top:576pt;width:18.850pt;height:61.795pt;mso-position-horizontal-relative:page;mso-position-vertical-relative:page;z-index:-635968" filled="true" fillcolor="#c7c8ca" stroked="false">
          <v:fill type="solid"/>
          <w10:wrap type="none"/>
        </v:rect>
      </w:pict>
    </w:r>
    <w:r>
      <w:rPr/>
      <w:pict>
        <v:shape style="position:absolute;margin-left:226.324799pt;margin-top:583.866394pt;width:15.35pt;height:10pt;mso-position-horizontal-relative:page;mso-position-vertical-relative:page;z-index:-635944" type="#_x0000_t202" filled="false" stroked="false">
          <v:textbox inset="0,0,0,0">
            <w:txbxContent>
              <w:p>
                <w:pPr>
                  <w:spacing w:before="1"/>
                  <w:ind w:left="20" w:right="0" w:firstLine="0"/>
                  <w:jc w:val="left"/>
                  <w:rPr>
                    <w:sz w:val="16"/>
                  </w:rPr>
                </w:pPr>
                <w:r>
                  <w:rPr>
                    <w:sz w:val="16"/>
                  </w:rPr>
                  <w:t>306</w:t>
                </w:r>
              </w:p>
            </w:txbxContent>
          </v:textbox>
          <w10:wrap type="none"/>
        </v:shape>
      </w:pict>
    </w:r>
    <w:r>
      <w:rPr/>
      <w:pict>
        <v:shape style="position:absolute;margin-left:698.076782pt;margin-top:583.866394pt;width:15.35pt;height:10pt;mso-position-horizontal-relative:page;mso-position-vertical-relative:page;z-index:-635920" type="#_x0000_t202" filled="false" stroked="false">
          <v:textbox inset="0,0,0,0">
            <w:txbxContent>
              <w:p>
                <w:pPr>
                  <w:spacing w:before="1"/>
                  <w:ind w:left="20" w:right="0" w:firstLine="0"/>
                  <w:jc w:val="left"/>
                  <w:rPr>
                    <w:sz w:val="16"/>
                  </w:rPr>
                </w:pPr>
                <w:r>
                  <w:rPr>
                    <w:sz w:val="16"/>
                  </w:rPr>
                  <w:t>307</w:t>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5680" filled="true" fillcolor="#c7c8ca" stroked="false">
          <v:fill type="solid"/>
          <w10:wrap type="none"/>
        </v:rect>
      </w:pict>
    </w:r>
    <w:r>
      <w:rPr/>
      <w:pict>
        <v:rect style="position:absolute;margin-left:696.401978pt;margin-top:576pt;width:18.850pt;height:61.795pt;mso-position-horizontal-relative:page;mso-position-vertical-relative:page;z-index:-635656" filled="true" fillcolor="#c7c8ca" stroked="false">
          <v:fill type="solid"/>
          <w10:wrap type="none"/>
        </v:rect>
      </w:pict>
    </w:r>
    <w:r>
      <w:rPr/>
      <w:pict>
        <v:shape style="position:absolute;margin-left:226.324799pt;margin-top:583.866394pt;width:15.35pt;height:10pt;mso-position-horizontal-relative:page;mso-position-vertical-relative:page;z-index:-635632" type="#_x0000_t202" filled="false" stroked="false">
          <v:textbox inset="0,0,0,0">
            <w:txbxContent>
              <w:p>
                <w:pPr>
                  <w:spacing w:before="1"/>
                  <w:ind w:left="20" w:right="0" w:firstLine="0"/>
                  <w:jc w:val="left"/>
                  <w:rPr>
                    <w:sz w:val="16"/>
                  </w:rPr>
                </w:pPr>
                <w:r>
                  <w:rPr>
                    <w:sz w:val="16"/>
                  </w:rPr>
                  <w:t>310</w:t>
                </w:r>
              </w:p>
            </w:txbxContent>
          </v:textbox>
          <w10:wrap type="none"/>
        </v:shape>
      </w:pict>
    </w:r>
    <w:r>
      <w:rPr/>
      <w:pict>
        <v:shape style="position:absolute;margin-left:698.076782pt;margin-top:583.866394pt;width:15.35pt;height:10pt;mso-position-horizontal-relative:page;mso-position-vertical-relative:page;z-index:-635608" type="#_x0000_t202" filled="false" stroked="false">
          <v:textbox inset="0,0,0,0">
            <w:txbxContent>
              <w:p>
                <w:pPr>
                  <w:spacing w:before="1"/>
                  <w:ind w:left="20" w:right="0" w:firstLine="0"/>
                  <w:jc w:val="left"/>
                  <w:rPr>
                    <w:sz w:val="16"/>
                  </w:rPr>
                </w:pPr>
                <w:r>
                  <w:rPr>
                    <w:sz w:val="16"/>
                  </w:rPr>
                  <w:t>311</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5584" filled="true" fillcolor="#c7c8ca" stroked="false">
          <v:fill type="solid"/>
          <w10:wrap type="none"/>
        </v:rect>
      </w:pict>
    </w:r>
    <w:r>
      <w:rPr/>
      <w:pict>
        <v:rect style="position:absolute;margin-left:696.401978pt;margin-top:576pt;width:18.850pt;height:61.795pt;mso-position-horizontal-relative:page;mso-position-vertical-relative:page;z-index:-635560" filled="true" fillcolor="#c7c8ca" stroked="false">
          <v:fill type="solid"/>
          <w10:wrap type="none"/>
        </v:rect>
      </w:pict>
    </w:r>
    <w:r>
      <w:rPr/>
      <w:pict>
        <v:shape style="position:absolute;margin-left:226.324799pt;margin-top:583.866394pt;width:15.35pt;height:10pt;mso-position-horizontal-relative:page;mso-position-vertical-relative:page;z-index:-635536" type="#_x0000_t202" filled="false" stroked="false">
          <v:textbox inset="0,0,0,0">
            <w:txbxContent>
              <w:p>
                <w:pPr>
                  <w:spacing w:before="1"/>
                  <w:ind w:left="20" w:right="0" w:firstLine="0"/>
                  <w:jc w:val="left"/>
                  <w:rPr>
                    <w:sz w:val="16"/>
                  </w:rPr>
                </w:pPr>
                <w:r>
                  <w:rPr>
                    <w:sz w:val="16"/>
                  </w:rPr>
                  <w:t>312</w:t>
                </w:r>
              </w:p>
            </w:txbxContent>
          </v:textbox>
          <w10:wrap type="none"/>
        </v:shape>
      </w:pict>
    </w:r>
    <w:r>
      <w:rPr/>
      <w:pict>
        <v:shape style="position:absolute;margin-left:698.076782pt;margin-top:583.866394pt;width:15.35pt;height:10pt;mso-position-horizontal-relative:page;mso-position-vertical-relative:page;z-index:-635512" type="#_x0000_t202" filled="false" stroked="false">
          <v:textbox inset="0,0,0,0">
            <w:txbxContent>
              <w:p>
                <w:pPr>
                  <w:spacing w:before="1"/>
                  <w:ind w:left="20" w:right="0" w:firstLine="0"/>
                  <w:jc w:val="left"/>
                  <w:rPr>
                    <w:sz w:val="16"/>
                  </w:rPr>
                </w:pPr>
                <w:r>
                  <w:rPr>
                    <w:sz w:val="16"/>
                  </w:rPr>
                  <w:t>313</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5488" filled="true" fillcolor="#c7c8ca" stroked="false">
          <v:fill type="solid"/>
          <w10:wrap type="none"/>
        </v:rect>
      </w:pict>
    </w:r>
    <w:r>
      <w:rPr/>
      <w:pict>
        <v:rect style="position:absolute;margin-left:696.401978pt;margin-top:576pt;width:18.850pt;height:61.795pt;mso-position-horizontal-relative:page;mso-position-vertical-relative:page;z-index:-635464" filled="true" fillcolor="#c7c8ca" stroked="false">
          <v:fill type="solid"/>
          <w10:wrap type="none"/>
        </v:rect>
      </w:pict>
    </w:r>
    <w:r>
      <w:rPr/>
      <w:pict>
        <v:shape style="position:absolute;margin-left:226.324799pt;margin-top:583.866394pt;width:15.35pt;height:10pt;mso-position-horizontal-relative:page;mso-position-vertical-relative:page;z-index:-635440" type="#_x0000_t202" filled="false" stroked="false">
          <v:textbox inset="0,0,0,0">
            <w:txbxContent>
              <w:p>
                <w:pPr>
                  <w:spacing w:before="1"/>
                  <w:ind w:left="20" w:right="0" w:firstLine="0"/>
                  <w:jc w:val="left"/>
                  <w:rPr>
                    <w:sz w:val="16"/>
                  </w:rPr>
                </w:pPr>
                <w:r>
                  <w:rPr>
                    <w:sz w:val="16"/>
                  </w:rPr>
                  <w:t>314</w:t>
                </w:r>
              </w:p>
            </w:txbxContent>
          </v:textbox>
          <w10:wrap type="none"/>
        </v:shape>
      </w:pict>
    </w:r>
    <w:r>
      <w:rPr/>
      <w:pict>
        <v:shape style="position:absolute;margin-left:698.076782pt;margin-top:583.866394pt;width:15.35pt;height:10pt;mso-position-horizontal-relative:page;mso-position-vertical-relative:page;z-index:-635416" type="#_x0000_t202" filled="false" stroked="false">
          <v:textbox inset="0,0,0,0">
            <w:txbxContent>
              <w:p>
                <w:pPr>
                  <w:spacing w:before="1"/>
                  <w:ind w:left="20" w:right="0" w:firstLine="0"/>
                  <w:jc w:val="left"/>
                  <w:rPr>
                    <w:sz w:val="16"/>
                  </w:rPr>
                </w:pPr>
                <w:r>
                  <w:rPr>
                    <w:sz w:val="16"/>
                  </w:rPr>
                  <w:t>315</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5392" filled="true" fillcolor="#c7c8ca" stroked="false">
          <v:fill type="solid"/>
          <w10:wrap type="none"/>
        </v:rect>
      </w:pict>
    </w:r>
    <w:r>
      <w:rPr/>
      <w:pict>
        <v:rect style="position:absolute;margin-left:696.401978pt;margin-top:576pt;width:18.850pt;height:61.795pt;mso-position-horizontal-relative:page;mso-position-vertical-relative:page;z-index:-635368" filled="true" fillcolor="#c7c8ca" stroked="false">
          <v:fill type="solid"/>
          <w10:wrap type="none"/>
        </v:rect>
      </w:pict>
    </w:r>
    <w:r>
      <w:rPr/>
      <w:pict>
        <v:shape style="position:absolute;margin-left:226.324799pt;margin-top:583.866394pt;width:15.35pt;height:10pt;mso-position-horizontal-relative:page;mso-position-vertical-relative:page;z-index:-635344" type="#_x0000_t202" filled="false" stroked="false">
          <v:textbox inset="0,0,0,0">
            <w:txbxContent>
              <w:p>
                <w:pPr>
                  <w:spacing w:before="1"/>
                  <w:ind w:left="20" w:right="0" w:firstLine="0"/>
                  <w:jc w:val="left"/>
                  <w:rPr>
                    <w:sz w:val="16"/>
                  </w:rPr>
                </w:pPr>
                <w:r>
                  <w:rPr>
                    <w:sz w:val="16"/>
                  </w:rPr>
                  <w:t>316</w:t>
                </w:r>
              </w:p>
            </w:txbxContent>
          </v:textbox>
          <w10:wrap type="none"/>
        </v:shape>
      </w:pict>
    </w:r>
    <w:r>
      <w:rPr/>
      <w:pict>
        <v:shape style="position:absolute;margin-left:698.076782pt;margin-top:583.866394pt;width:15.35pt;height:10pt;mso-position-horizontal-relative:page;mso-position-vertical-relative:page;z-index:-635320" type="#_x0000_t202" filled="false" stroked="false">
          <v:textbox inset="0,0,0,0">
            <w:txbxContent>
              <w:p>
                <w:pPr>
                  <w:spacing w:before="1"/>
                  <w:ind w:left="20" w:right="0" w:firstLine="0"/>
                  <w:jc w:val="left"/>
                  <w:rPr>
                    <w:sz w:val="16"/>
                  </w:rPr>
                </w:pPr>
                <w:r>
                  <w:rPr>
                    <w:sz w:val="16"/>
                  </w:rPr>
                  <w:t>317</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5296" filled="true" fillcolor="#c7c8ca" stroked="false">
          <v:fill type="solid"/>
          <w10:wrap type="none"/>
        </v:rect>
      </w:pict>
    </w:r>
    <w:r>
      <w:rPr/>
      <w:pict>
        <v:rect style="position:absolute;margin-left:696.401978pt;margin-top:576pt;width:18.850pt;height:61.795pt;mso-position-horizontal-relative:page;mso-position-vertical-relative:page;z-index:-635272" filled="true" fillcolor="#c7c8ca" stroked="false">
          <v:fill type="solid"/>
          <w10:wrap type="none"/>
        </v:rect>
      </w:pict>
    </w:r>
    <w:r>
      <w:rPr/>
      <w:pict>
        <v:shape style="position:absolute;margin-left:226.324799pt;margin-top:583.866394pt;width:15.35pt;height:10pt;mso-position-horizontal-relative:page;mso-position-vertical-relative:page;z-index:-635248" type="#_x0000_t202" filled="false" stroked="false">
          <v:textbox inset="0,0,0,0">
            <w:txbxContent>
              <w:p>
                <w:pPr>
                  <w:spacing w:before="1"/>
                  <w:ind w:left="20" w:right="0" w:firstLine="0"/>
                  <w:jc w:val="left"/>
                  <w:rPr>
                    <w:sz w:val="16"/>
                  </w:rPr>
                </w:pPr>
                <w:r>
                  <w:rPr>
                    <w:sz w:val="16"/>
                  </w:rPr>
                  <w:t>318</w:t>
                </w:r>
              </w:p>
            </w:txbxContent>
          </v:textbox>
          <w10:wrap type="none"/>
        </v:shape>
      </w:pict>
    </w:r>
    <w:r>
      <w:rPr/>
      <w:pict>
        <v:shape style="position:absolute;margin-left:698.076782pt;margin-top:583.866394pt;width:15.35pt;height:10pt;mso-position-horizontal-relative:page;mso-position-vertical-relative:page;z-index:-635224" type="#_x0000_t202" filled="false" stroked="false">
          <v:textbox inset="0,0,0,0">
            <w:txbxContent>
              <w:p>
                <w:pPr>
                  <w:spacing w:before="1"/>
                  <w:ind w:left="20" w:right="0" w:firstLine="0"/>
                  <w:jc w:val="left"/>
                  <w:rPr>
                    <w:sz w:val="16"/>
                  </w:rPr>
                </w:pPr>
                <w:r>
                  <w:rPr>
                    <w:sz w:val="16"/>
                  </w:rPr>
                  <w:t>319</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0080" filled="true" fillcolor="#c7c8ca" stroked="false">
          <v:fill type="solid"/>
          <w10:wrap type="none"/>
        </v:rect>
      </w:pict>
    </w:r>
    <w:r>
      <w:rPr/>
      <w:pict>
        <v:rect style="position:absolute;margin-left:696.401978pt;margin-top:576pt;width:18.850pt;height:61.795pt;mso-position-horizontal-relative:page;mso-position-vertical-relative:page;z-index:-650056" filled="true" fillcolor="#c7c8ca" stroked="false">
          <v:fill type="solid"/>
          <w10:wrap type="none"/>
        </v:rect>
      </w:pict>
    </w:r>
    <w:r>
      <w:rPr/>
      <w:pict>
        <v:shape style="position:absolute;margin-left:228.548798pt;margin-top:583.866394pt;width:10.9pt;height:10pt;mso-position-horizontal-relative:page;mso-position-vertical-relative:page;z-index:-650032" type="#_x0000_t202" filled="false" stroked="false">
          <v:textbox inset="0,0,0,0">
            <w:txbxContent>
              <w:p>
                <w:pPr>
                  <w:spacing w:before="1"/>
                  <w:ind w:left="20" w:right="0" w:firstLine="0"/>
                  <w:jc w:val="left"/>
                  <w:rPr>
                    <w:sz w:val="16"/>
                  </w:rPr>
                </w:pPr>
                <w:r>
                  <w:rPr>
                    <w:sz w:val="16"/>
                  </w:rPr>
                  <w:t>50</w:t>
                </w:r>
              </w:p>
            </w:txbxContent>
          </v:textbox>
          <w10:wrap type="none"/>
        </v:shape>
      </w:pict>
    </w:r>
    <w:r>
      <w:rPr/>
      <w:pict>
        <v:shape style="position:absolute;margin-left:700.300781pt;margin-top:583.866394pt;width:10.9pt;height:10pt;mso-position-horizontal-relative:page;mso-position-vertical-relative:page;z-index:-650008" type="#_x0000_t202" filled="false" stroked="false">
          <v:textbox inset="0,0,0,0">
            <w:txbxContent>
              <w:p>
                <w:pPr>
                  <w:spacing w:before="1"/>
                  <w:ind w:left="20" w:right="0" w:firstLine="0"/>
                  <w:jc w:val="left"/>
                  <w:rPr>
                    <w:sz w:val="16"/>
                  </w:rPr>
                </w:pPr>
                <w:r>
                  <w:rPr>
                    <w:sz w:val="16"/>
                  </w:rPr>
                  <w:t>51</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5200" filled="true" fillcolor="#c7c8ca" stroked="false">
          <v:fill type="solid"/>
          <w10:wrap type="none"/>
        </v:rect>
      </w:pict>
    </w:r>
    <w:r>
      <w:rPr/>
      <w:pict>
        <v:rect style="position:absolute;margin-left:696.401978pt;margin-top:576pt;width:18.850pt;height:61.795pt;mso-position-horizontal-relative:page;mso-position-vertical-relative:page;z-index:-635176" filled="true" fillcolor="#c7c8ca" stroked="false">
          <v:fill type="solid"/>
          <w10:wrap type="none"/>
        </v:rect>
      </w:pict>
    </w:r>
    <w:r>
      <w:rPr/>
      <w:pict>
        <v:shape style="position:absolute;margin-left:226.324799pt;margin-top:583.866394pt;width:15.35pt;height:10pt;mso-position-horizontal-relative:page;mso-position-vertical-relative:page;z-index:-635152" type="#_x0000_t202" filled="false" stroked="false">
          <v:textbox inset="0,0,0,0">
            <w:txbxContent>
              <w:p>
                <w:pPr>
                  <w:spacing w:before="1"/>
                  <w:ind w:left="20" w:right="0" w:firstLine="0"/>
                  <w:jc w:val="left"/>
                  <w:rPr>
                    <w:sz w:val="16"/>
                  </w:rPr>
                </w:pPr>
                <w:r>
                  <w:rPr>
                    <w:sz w:val="16"/>
                  </w:rPr>
                  <w:t>320</w:t>
                </w:r>
              </w:p>
            </w:txbxContent>
          </v:textbox>
          <w10:wrap type="none"/>
        </v:shape>
      </w:pict>
    </w:r>
    <w:r>
      <w:rPr/>
      <w:pict>
        <v:shape style="position:absolute;margin-left:698.076782pt;margin-top:583.866394pt;width:15.35pt;height:10pt;mso-position-horizontal-relative:page;mso-position-vertical-relative:page;z-index:-635128" type="#_x0000_t202" filled="false" stroked="false">
          <v:textbox inset="0,0,0,0">
            <w:txbxContent>
              <w:p>
                <w:pPr>
                  <w:spacing w:before="1"/>
                  <w:ind w:left="20" w:right="0" w:firstLine="0"/>
                  <w:jc w:val="left"/>
                  <w:rPr>
                    <w:sz w:val="16"/>
                  </w:rPr>
                </w:pPr>
                <w:r>
                  <w:rPr>
                    <w:sz w:val="16"/>
                  </w:rPr>
                  <w:t>321</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5104" filled="true" fillcolor="#c7c8ca" stroked="false">
          <v:fill type="solid"/>
          <w10:wrap type="none"/>
        </v:rect>
      </w:pict>
    </w:r>
    <w:r>
      <w:rPr/>
      <w:pict>
        <v:rect style="position:absolute;margin-left:696.401978pt;margin-top:576pt;width:18.850pt;height:61.795pt;mso-position-horizontal-relative:page;mso-position-vertical-relative:page;z-index:-635080" filled="true" fillcolor="#c7c8ca" stroked="false">
          <v:fill type="solid"/>
          <w10:wrap type="none"/>
        </v:rect>
      </w:pict>
    </w:r>
    <w:r>
      <w:rPr/>
      <w:pict>
        <v:shape style="position:absolute;margin-left:226.324799pt;margin-top:583.866394pt;width:15.35pt;height:10pt;mso-position-horizontal-relative:page;mso-position-vertical-relative:page;z-index:-635056" type="#_x0000_t202" filled="false" stroked="false">
          <v:textbox inset="0,0,0,0">
            <w:txbxContent>
              <w:p>
                <w:pPr>
                  <w:spacing w:before="1"/>
                  <w:ind w:left="20" w:right="0" w:firstLine="0"/>
                  <w:jc w:val="left"/>
                  <w:rPr>
                    <w:sz w:val="16"/>
                  </w:rPr>
                </w:pPr>
                <w:r>
                  <w:rPr>
                    <w:sz w:val="16"/>
                  </w:rPr>
                  <w:t>322</w:t>
                </w:r>
              </w:p>
            </w:txbxContent>
          </v:textbox>
          <w10:wrap type="none"/>
        </v:shape>
      </w:pict>
    </w:r>
    <w:r>
      <w:rPr/>
      <w:pict>
        <v:shape style="position:absolute;margin-left:698.076782pt;margin-top:583.866394pt;width:15.35pt;height:10pt;mso-position-horizontal-relative:page;mso-position-vertical-relative:page;z-index:-635032" type="#_x0000_t202" filled="false" stroked="false">
          <v:textbox inset="0,0,0,0">
            <w:txbxContent>
              <w:p>
                <w:pPr>
                  <w:spacing w:before="1"/>
                  <w:ind w:left="20" w:right="0" w:firstLine="0"/>
                  <w:jc w:val="left"/>
                  <w:rPr>
                    <w:sz w:val="16"/>
                  </w:rPr>
                </w:pPr>
                <w:r>
                  <w:rPr>
                    <w:sz w:val="16"/>
                  </w:rPr>
                  <w:t>323</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5008" filled="true" fillcolor="#c7c8ca" stroked="false">
          <v:fill type="solid"/>
          <w10:wrap type="none"/>
        </v:rect>
      </w:pict>
    </w:r>
    <w:r>
      <w:rPr/>
      <w:pict>
        <v:rect style="position:absolute;margin-left:696.401978pt;margin-top:576pt;width:18.850pt;height:61.795pt;mso-position-horizontal-relative:page;mso-position-vertical-relative:page;z-index:-634984" filled="true" fillcolor="#c7c8ca" stroked="false">
          <v:fill type="solid"/>
          <w10:wrap type="none"/>
        </v:rect>
      </w:pict>
    </w:r>
    <w:r>
      <w:rPr/>
      <w:pict>
        <v:shape style="position:absolute;margin-left:226.324799pt;margin-top:583.866394pt;width:15.35pt;height:10pt;mso-position-horizontal-relative:page;mso-position-vertical-relative:page;z-index:-634960" type="#_x0000_t202" filled="false" stroked="false">
          <v:textbox inset="0,0,0,0">
            <w:txbxContent>
              <w:p>
                <w:pPr>
                  <w:spacing w:before="1"/>
                  <w:ind w:left="20" w:right="0" w:firstLine="0"/>
                  <w:jc w:val="left"/>
                  <w:rPr>
                    <w:sz w:val="16"/>
                  </w:rPr>
                </w:pPr>
                <w:r>
                  <w:rPr>
                    <w:sz w:val="16"/>
                  </w:rPr>
                  <w:t>324</w:t>
                </w:r>
              </w:p>
            </w:txbxContent>
          </v:textbox>
          <w10:wrap type="none"/>
        </v:shape>
      </w:pict>
    </w:r>
    <w:r>
      <w:rPr/>
      <w:pict>
        <v:shape style="position:absolute;margin-left:698.076782pt;margin-top:583.866394pt;width:15.35pt;height:10pt;mso-position-horizontal-relative:page;mso-position-vertical-relative:page;z-index:-634936" type="#_x0000_t202" filled="false" stroked="false">
          <v:textbox inset="0,0,0,0">
            <w:txbxContent>
              <w:p>
                <w:pPr>
                  <w:spacing w:before="1"/>
                  <w:ind w:left="20" w:right="0" w:firstLine="0"/>
                  <w:jc w:val="left"/>
                  <w:rPr>
                    <w:sz w:val="16"/>
                  </w:rPr>
                </w:pPr>
                <w:r>
                  <w:rPr>
                    <w:sz w:val="16"/>
                  </w:rPr>
                  <w:t>325</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4912" filled="true" fillcolor="#c7c8ca" stroked="false">
          <v:fill type="solid"/>
          <w10:wrap type="none"/>
        </v:rect>
      </w:pict>
    </w:r>
    <w:r>
      <w:rPr/>
      <w:pict>
        <v:rect style="position:absolute;margin-left:696.401978pt;margin-top:576pt;width:18.850pt;height:61.795pt;mso-position-horizontal-relative:page;mso-position-vertical-relative:page;z-index:-634888" filled="true" fillcolor="#c7c8ca" stroked="false">
          <v:fill type="solid"/>
          <w10:wrap type="none"/>
        </v:rect>
      </w:pict>
    </w:r>
    <w:r>
      <w:rPr/>
      <w:pict>
        <v:shape style="position:absolute;margin-left:226.324799pt;margin-top:583.866394pt;width:15.35pt;height:10pt;mso-position-horizontal-relative:page;mso-position-vertical-relative:page;z-index:-634864" type="#_x0000_t202" filled="false" stroked="false">
          <v:textbox inset="0,0,0,0">
            <w:txbxContent>
              <w:p>
                <w:pPr>
                  <w:spacing w:before="1"/>
                  <w:ind w:left="20" w:right="0" w:firstLine="0"/>
                  <w:jc w:val="left"/>
                  <w:rPr>
                    <w:sz w:val="16"/>
                  </w:rPr>
                </w:pPr>
                <w:r>
                  <w:rPr>
                    <w:sz w:val="16"/>
                  </w:rPr>
                  <w:t>326</w:t>
                </w:r>
              </w:p>
            </w:txbxContent>
          </v:textbox>
          <w10:wrap type="none"/>
        </v:shape>
      </w:pict>
    </w:r>
    <w:r>
      <w:rPr/>
      <w:pict>
        <v:shape style="position:absolute;margin-left:698.076782pt;margin-top:583.866394pt;width:15.35pt;height:10pt;mso-position-horizontal-relative:page;mso-position-vertical-relative:page;z-index:-634840" type="#_x0000_t202" filled="false" stroked="false">
          <v:textbox inset="0,0,0,0">
            <w:txbxContent>
              <w:p>
                <w:pPr>
                  <w:spacing w:before="1"/>
                  <w:ind w:left="20" w:right="0" w:firstLine="0"/>
                  <w:jc w:val="left"/>
                  <w:rPr>
                    <w:sz w:val="16"/>
                  </w:rPr>
                </w:pPr>
                <w:r>
                  <w:rPr>
                    <w:sz w:val="16"/>
                  </w:rPr>
                  <w:t>327</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4816" filled="true" fillcolor="#c7c8ca" stroked="false">
          <v:fill type="solid"/>
          <w10:wrap type="none"/>
        </v:rect>
      </w:pict>
    </w:r>
    <w:r>
      <w:rPr/>
      <w:pict>
        <v:rect style="position:absolute;margin-left:696.401978pt;margin-top:576pt;width:18.850pt;height:61.795pt;mso-position-horizontal-relative:page;mso-position-vertical-relative:page;z-index:-634792" filled="true" fillcolor="#c7c8ca" stroked="false">
          <v:fill type="solid"/>
          <w10:wrap type="none"/>
        </v:rect>
      </w:pict>
    </w:r>
    <w:r>
      <w:rPr/>
      <w:pict>
        <v:shape style="position:absolute;margin-left:226.324799pt;margin-top:583.866394pt;width:15.35pt;height:10pt;mso-position-horizontal-relative:page;mso-position-vertical-relative:page;z-index:-634768" type="#_x0000_t202" filled="false" stroked="false">
          <v:textbox inset="0,0,0,0">
            <w:txbxContent>
              <w:p>
                <w:pPr>
                  <w:spacing w:before="1"/>
                  <w:ind w:left="20" w:right="0" w:firstLine="0"/>
                  <w:jc w:val="left"/>
                  <w:rPr>
                    <w:sz w:val="16"/>
                  </w:rPr>
                </w:pPr>
                <w:r>
                  <w:rPr>
                    <w:sz w:val="16"/>
                  </w:rPr>
                  <w:t>328</w:t>
                </w:r>
              </w:p>
            </w:txbxContent>
          </v:textbox>
          <w10:wrap type="none"/>
        </v:shape>
      </w:pict>
    </w:r>
    <w:r>
      <w:rPr/>
      <w:pict>
        <v:shape style="position:absolute;margin-left:698.076782pt;margin-top:583.866394pt;width:15.35pt;height:10pt;mso-position-horizontal-relative:page;mso-position-vertical-relative:page;z-index:-634744" type="#_x0000_t202" filled="false" stroked="false">
          <v:textbox inset="0,0,0,0">
            <w:txbxContent>
              <w:p>
                <w:pPr>
                  <w:spacing w:before="1"/>
                  <w:ind w:left="20" w:right="0" w:firstLine="0"/>
                  <w:jc w:val="left"/>
                  <w:rPr>
                    <w:sz w:val="16"/>
                  </w:rPr>
                </w:pPr>
                <w:r>
                  <w:rPr>
                    <w:sz w:val="16"/>
                  </w:rPr>
                  <w:t>329</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4720" filled="true" fillcolor="#c7c8ca" stroked="false">
          <v:fill type="solid"/>
          <w10:wrap type="none"/>
        </v:rect>
      </w:pict>
    </w:r>
    <w:r>
      <w:rPr/>
      <w:pict>
        <v:rect style="position:absolute;margin-left:696.401978pt;margin-top:576pt;width:18.850pt;height:61.795pt;mso-position-horizontal-relative:page;mso-position-vertical-relative:page;z-index:-634696" filled="true" fillcolor="#c7c8ca" stroked="false">
          <v:fill type="solid"/>
          <w10:wrap type="none"/>
        </v:rect>
      </w:pict>
    </w:r>
    <w:r>
      <w:rPr/>
      <w:pict>
        <v:shape style="position:absolute;margin-left:226.324799pt;margin-top:583.866394pt;width:15.35pt;height:10pt;mso-position-horizontal-relative:page;mso-position-vertical-relative:page;z-index:-634672" type="#_x0000_t202" filled="false" stroked="false">
          <v:textbox inset="0,0,0,0">
            <w:txbxContent>
              <w:p>
                <w:pPr>
                  <w:spacing w:before="1"/>
                  <w:ind w:left="20" w:right="0" w:firstLine="0"/>
                  <w:jc w:val="left"/>
                  <w:rPr>
                    <w:sz w:val="16"/>
                  </w:rPr>
                </w:pPr>
                <w:r>
                  <w:rPr>
                    <w:sz w:val="16"/>
                  </w:rPr>
                  <w:t>330</w:t>
                </w:r>
              </w:p>
            </w:txbxContent>
          </v:textbox>
          <w10:wrap type="none"/>
        </v:shape>
      </w:pict>
    </w:r>
    <w:r>
      <w:rPr/>
      <w:pict>
        <v:shape style="position:absolute;margin-left:698.076782pt;margin-top:583.866394pt;width:15.35pt;height:10pt;mso-position-horizontal-relative:page;mso-position-vertical-relative:page;z-index:-634648" type="#_x0000_t202" filled="false" stroked="false">
          <v:textbox inset="0,0,0,0">
            <w:txbxContent>
              <w:p>
                <w:pPr>
                  <w:spacing w:before="1"/>
                  <w:ind w:left="20" w:right="0" w:firstLine="0"/>
                  <w:jc w:val="left"/>
                  <w:rPr>
                    <w:sz w:val="16"/>
                  </w:rPr>
                </w:pPr>
                <w:r>
                  <w:rPr>
                    <w:sz w:val="16"/>
                  </w:rPr>
                  <w:t>331</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4624" filled="true" fillcolor="#c7c8ca" stroked="false">
          <v:fill type="solid"/>
          <w10:wrap type="none"/>
        </v:rect>
      </w:pict>
    </w:r>
    <w:r>
      <w:rPr/>
      <w:pict>
        <v:rect style="position:absolute;margin-left:696.401978pt;margin-top:576pt;width:18.850pt;height:61.795pt;mso-position-horizontal-relative:page;mso-position-vertical-relative:page;z-index:-634600" filled="true" fillcolor="#c7c8ca" stroked="false">
          <v:fill type="solid"/>
          <w10:wrap type="none"/>
        </v:rect>
      </w:pict>
    </w:r>
    <w:r>
      <w:rPr/>
      <w:pict>
        <v:shape style="position:absolute;margin-left:226.324799pt;margin-top:583.866394pt;width:15.35pt;height:10pt;mso-position-horizontal-relative:page;mso-position-vertical-relative:page;z-index:-634576" type="#_x0000_t202" filled="false" stroked="false">
          <v:textbox inset="0,0,0,0">
            <w:txbxContent>
              <w:p>
                <w:pPr>
                  <w:spacing w:before="1"/>
                  <w:ind w:left="20" w:right="0" w:firstLine="0"/>
                  <w:jc w:val="left"/>
                  <w:rPr>
                    <w:sz w:val="16"/>
                  </w:rPr>
                </w:pPr>
                <w:r>
                  <w:rPr>
                    <w:sz w:val="16"/>
                  </w:rPr>
                  <w:t>332</w:t>
                </w:r>
              </w:p>
            </w:txbxContent>
          </v:textbox>
          <w10:wrap type="none"/>
        </v:shape>
      </w:pict>
    </w:r>
    <w:r>
      <w:rPr/>
      <w:pict>
        <v:shape style="position:absolute;margin-left:698.076782pt;margin-top:583.866394pt;width:15.35pt;height:10pt;mso-position-horizontal-relative:page;mso-position-vertical-relative:page;z-index:-634552" type="#_x0000_t202" filled="false" stroked="false">
          <v:textbox inset="0,0,0,0">
            <w:txbxContent>
              <w:p>
                <w:pPr>
                  <w:spacing w:before="1"/>
                  <w:ind w:left="20" w:right="0" w:firstLine="0"/>
                  <w:jc w:val="left"/>
                  <w:rPr>
                    <w:sz w:val="16"/>
                  </w:rPr>
                </w:pPr>
                <w:r>
                  <w:rPr>
                    <w:sz w:val="16"/>
                  </w:rPr>
                  <w:t>333</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4528" filled="true" fillcolor="#c7c8ca" stroked="false">
          <v:fill type="solid"/>
          <w10:wrap type="none"/>
        </v:rect>
      </w:pict>
    </w:r>
    <w:r>
      <w:rPr/>
      <w:pict>
        <v:rect style="position:absolute;margin-left:696.401978pt;margin-top:576pt;width:18.850pt;height:61.795pt;mso-position-horizontal-relative:page;mso-position-vertical-relative:page;z-index:-634504" filled="true" fillcolor="#c7c8ca" stroked="false">
          <v:fill type="solid"/>
          <w10:wrap type="none"/>
        </v:rect>
      </w:pict>
    </w:r>
    <w:r>
      <w:rPr/>
      <w:pict>
        <v:shape style="position:absolute;margin-left:226.324799pt;margin-top:583.866394pt;width:15.35pt;height:10pt;mso-position-horizontal-relative:page;mso-position-vertical-relative:page;z-index:-634480" type="#_x0000_t202" filled="false" stroked="false">
          <v:textbox inset="0,0,0,0">
            <w:txbxContent>
              <w:p>
                <w:pPr>
                  <w:spacing w:before="1"/>
                  <w:ind w:left="20" w:right="0" w:firstLine="0"/>
                  <w:jc w:val="left"/>
                  <w:rPr>
                    <w:sz w:val="16"/>
                  </w:rPr>
                </w:pPr>
                <w:r>
                  <w:rPr>
                    <w:sz w:val="16"/>
                  </w:rPr>
                  <w:t>334</w:t>
                </w:r>
              </w:p>
            </w:txbxContent>
          </v:textbox>
          <w10:wrap type="none"/>
        </v:shape>
      </w:pict>
    </w:r>
    <w:r>
      <w:rPr/>
      <w:pict>
        <v:shape style="position:absolute;margin-left:698.076782pt;margin-top:583.866394pt;width:15.35pt;height:10pt;mso-position-horizontal-relative:page;mso-position-vertical-relative:page;z-index:-634456" type="#_x0000_t202" filled="false" stroked="false">
          <v:textbox inset="0,0,0,0">
            <w:txbxContent>
              <w:p>
                <w:pPr>
                  <w:spacing w:before="1"/>
                  <w:ind w:left="20" w:right="0" w:firstLine="0"/>
                  <w:jc w:val="left"/>
                  <w:rPr>
                    <w:sz w:val="16"/>
                  </w:rPr>
                </w:pPr>
                <w:r>
                  <w:rPr>
                    <w:sz w:val="16"/>
                  </w:rPr>
                  <w:t>335</w:t>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4432" filled="true" fillcolor="#c7c8ca" stroked="false">
          <v:fill type="solid"/>
          <w10:wrap type="none"/>
        </v:rect>
      </w:pict>
    </w:r>
    <w:r>
      <w:rPr/>
      <w:pict>
        <v:rect style="position:absolute;margin-left:696.401978pt;margin-top:576pt;width:18.850pt;height:61.795pt;mso-position-horizontal-relative:page;mso-position-vertical-relative:page;z-index:-634408" filled="true" fillcolor="#c7c8ca" stroked="false">
          <v:fill type="solid"/>
          <w10:wrap type="none"/>
        </v:rect>
      </w:pict>
    </w:r>
    <w:r>
      <w:rPr/>
      <w:pict>
        <v:shape style="position:absolute;margin-left:226.324799pt;margin-top:583.866394pt;width:15.35pt;height:10pt;mso-position-horizontal-relative:page;mso-position-vertical-relative:page;z-index:-634384" type="#_x0000_t202" filled="false" stroked="false">
          <v:textbox inset="0,0,0,0">
            <w:txbxContent>
              <w:p>
                <w:pPr>
                  <w:spacing w:before="1"/>
                  <w:ind w:left="20" w:right="0" w:firstLine="0"/>
                  <w:jc w:val="left"/>
                  <w:rPr>
                    <w:sz w:val="16"/>
                  </w:rPr>
                </w:pPr>
                <w:r>
                  <w:rPr>
                    <w:sz w:val="16"/>
                  </w:rPr>
                  <w:t>336</w:t>
                </w:r>
              </w:p>
            </w:txbxContent>
          </v:textbox>
          <w10:wrap type="none"/>
        </v:shape>
      </w:pict>
    </w:r>
    <w:r>
      <w:rPr/>
      <w:pict>
        <v:shape style="position:absolute;margin-left:698.076782pt;margin-top:583.866394pt;width:15.35pt;height:10pt;mso-position-horizontal-relative:page;mso-position-vertical-relative:page;z-index:-634360" type="#_x0000_t202" filled="false" stroked="false">
          <v:textbox inset="0,0,0,0">
            <w:txbxContent>
              <w:p>
                <w:pPr>
                  <w:spacing w:before="1"/>
                  <w:ind w:left="20" w:right="0" w:firstLine="0"/>
                  <w:jc w:val="left"/>
                  <w:rPr>
                    <w:sz w:val="16"/>
                  </w:rPr>
                </w:pPr>
                <w:r>
                  <w:rPr>
                    <w:sz w:val="16"/>
                  </w:rPr>
                  <w:t>337</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9984" filled="true" fillcolor="#c7c8ca" stroked="false">
          <v:fill type="solid"/>
          <w10:wrap type="none"/>
        </v:rect>
      </w:pict>
    </w:r>
    <w:r>
      <w:rPr/>
      <w:pict>
        <v:rect style="position:absolute;margin-left:696.401978pt;margin-top:576pt;width:18.850pt;height:61.795pt;mso-position-horizontal-relative:page;mso-position-vertical-relative:page;z-index:-649960" filled="true" fillcolor="#c7c8ca" stroked="false">
          <v:fill type="solid"/>
          <w10:wrap type="none"/>
        </v:rect>
      </w:pict>
    </w:r>
    <w:r>
      <w:rPr/>
      <w:pict>
        <v:shape style="position:absolute;margin-left:228.548798pt;margin-top:583.866394pt;width:10.9pt;height:10pt;mso-position-horizontal-relative:page;mso-position-vertical-relative:page;z-index:-649936" type="#_x0000_t202" filled="false" stroked="false">
          <v:textbox inset="0,0,0,0">
            <w:txbxContent>
              <w:p>
                <w:pPr>
                  <w:spacing w:before="1"/>
                  <w:ind w:left="20" w:right="0" w:firstLine="0"/>
                  <w:jc w:val="left"/>
                  <w:rPr>
                    <w:sz w:val="16"/>
                  </w:rPr>
                </w:pPr>
                <w:r>
                  <w:rPr>
                    <w:sz w:val="16"/>
                  </w:rPr>
                  <w:t>52</w:t>
                </w:r>
              </w:p>
            </w:txbxContent>
          </v:textbox>
          <w10:wrap type="none"/>
        </v:shape>
      </w:pict>
    </w:r>
    <w:r>
      <w:rPr/>
      <w:pict>
        <v:shape style="position:absolute;margin-left:700.300781pt;margin-top:583.866394pt;width:10.9pt;height:10pt;mso-position-horizontal-relative:page;mso-position-vertical-relative:page;z-index:-649912" type="#_x0000_t202" filled="false" stroked="false">
          <v:textbox inset="0,0,0,0">
            <w:txbxContent>
              <w:p>
                <w:pPr>
                  <w:spacing w:before="1"/>
                  <w:ind w:left="20" w:right="0" w:firstLine="0"/>
                  <w:jc w:val="left"/>
                  <w:rPr>
                    <w:sz w:val="16"/>
                  </w:rPr>
                </w:pPr>
                <w:r>
                  <w:rPr>
                    <w:sz w:val="16"/>
                  </w:rPr>
                  <w:t>53</w:t>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4120" filled="true" fillcolor="#c7c8ca" stroked="false">
          <v:fill type="solid"/>
          <w10:wrap type="none"/>
        </v:rect>
      </w:pict>
    </w:r>
    <w:r>
      <w:rPr/>
      <w:pict>
        <v:rect style="position:absolute;margin-left:696.401978pt;margin-top:576pt;width:18.850pt;height:61.795pt;mso-position-horizontal-relative:page;mso-position-vertical-relative:page;z-index:-634096" filled="true" fillcolor="#c7c8ca" stroked="false">
          <v:fill type="solid"/>
          <w10:wrap type="none"/>
        </v:rect>
      </w:pict>
    </w:r>
    <w:r>
      <w:rPr/>
      <w:pict>
        <v:shape style="position:absolute;margin-left:226.324799pt;margin-top:583.866394pt;width:15.35pt;height:10pt;mso-position-horizontal-relative:page;mso-position-vertical-relative:page;z-index:-634072" type="#_x0000_t202" filled="false" stroked="false">
          <v:textbox inset="0,0,0,0">
            <w:txbxContent>
              <w:p>
                <w:pPr>
                  <w:spacing w:before="1"/>
                  <w:ind w:left="20" w:right="0" w:firstLine="0"/>
                  <w:jc w:val="left"/>
                  <w:rPr>
                    <w:sz w:val="16"/>
                  </w:rPr>
                </w:pPr>
                <w:r>
                  <w:rPr>
                    <w:sz w:val="16"/>
                  </w:rPr>
                  <w:t>340</w:t>
                </w:r>
              </w:p>
            </w:txbxContent>
          </v:textbox>
          <w10:wrap type="none"/>
        </v:shape>
      </w:pict>
    </w:r>
    <w:r>
      <w:rPr/>
      <w:pict>
        <v:shape style="position:absolute;margin-left:698.076782pt;margin-top:583.866394pt;width:15.35pt;height:10pt;mso-position-horizontal-relative:page;mso-position-vertical-relative:page;z-index:-634048" type="#_x0000_t202" filled="false" stroked="false">
          <v:textbox inset="0,0,0,0">
            <w:txbxContent>
              <w:p>
                <w:pPr>
                  <w:spacing w:before="1"/>
                  <w:ind w:left="20" w:right="0" w:firstLine="0"/>
                  <w:jc w:val="left"/>
                  <w:rPr>
                    <w:sz w:val="16"/>
                  </w:rPr>
                </w:pPr>
                <w:r>
                  <w:rPr>
                    <w:sz w:val="16"/>
                  </w:rPr>
                  <w:t>341</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4024" filled="true" fillcolor="#c7c8ca" stroked="false">
          <v:fill type="solid"/>
          <w10:wrap type="none"/>
        </v:rect>
      </w:pict>
    </w:r>
    <w:r>
      <w:rPr/>
      <w:pict>
        <v:rect style="position:absolute;margin-left:696.401978pt;margin-top:576pt;width:18.850pt;height:61.795pt;mso-position-horizontal-relative:page;mso-position-vertical-relative:page;z-index:-634000" filled="true" fillcolor="#c7c8ca" stroked="false">
          <v:fill type="solid"/>
          <w10:wrap type="none"/>
        </v:rect>
      </w:pict>
    </w:r>
    <w:r>
      <w:rPr/>
      <w:pict>
        <v:shape style="position:absolute;margin-left:226.324799pt;margin-top:583.866394pt;width:15.35pt;height:10pt;mso-position-horizontal-relative:page;mso-position-vertical-relative:page;z-index:-633976" type="#_x0000_t202" filled="false" stroked="false">
          <v:textbox inset="0,0,0,0">
            <w:txbxContent>
              <w:p>
                <w:pPr>
                  <w:spacing w:before="1"/>
                  <w:ind w:left="20" w:right="0" w:firstLine="0"/>
                  <w:jc w:val="left"/>
                  <w:rPr>
                    <w:sz w:val="16"/>
                  </w:rPr>
                </w:pPr>
                <w:r>
                  <w:rPr>
                    <w:sz w:val="16"/>
                  </w:rPr>
                  <w:t>342</w:t>
                </w:r>
              </w:p>
            </w:txbxContent>
          </v:textbox>
          <w10:wrap type="none"/>
        </v:shape>
      </w:pict>
    </w:r>
    <w:r>
      <w:rPr/>
      <w:pict>
        <v:shape style="position:absolute;margin-left:698.076782pt;margin-top:583.866394pt;width:15.35pt;height:10pt;mso-position-horizontal-relative:page;mso-position-vertical-relative:page;z-index:-633952" type="#_x0000_t202" filled="false" stroked="false">
          <v:textbox inset="0,0,0,0">
            <w:txbxContent>
              <w:p>
                <w:pPr>
                  <w:spacing w:before="1"/>
                  <w:ind w:left="20" w:right="0" w:firstLine="0"/>
                  <w:jc w:val="left"/>
                  <w:rPr>
                    <w:sz w:val="16"/>
                  </w:rPr>
                </w:pPr>
                <w:r>
                  <w:rPr>
                    <w:sz w:val="16"/>
                  </w:rPr>
                  <w:t>343</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928" filled="true" fillcolor="#c7c8ca" stroked="false">
          <v:fill type="solid"/>
          <w10:wrap type="none"/>
        </v:rect>
      </w:pict>
    </w:r>
    <w:r>
      <w:rPr/>
      <w:pict>
        <v:rect style="position:absolute;margin-left:696.401978pt;margin-top:576pt;width:18.850pt;height:61.795pt;mso-position-horizontal-relative:page;mso-position-vertical-relative:page;z-index:-633904" filled="true" fillcolor="#c7c8ca" stroked="false">
          <v:fill type="solid"/>
          <w10:wrap type="none"/>
        </v:rect>
      </w:pict>
    </w:r>
    <w:r>
      <w:rPr/>
      <w:pict>
        <v:shape style="position:absolute;margin-left:226.324799pt;margin-top:583.866394pt;width:15.35pt;height:10pt;mso-position-horizontal-relative:page;mso-position-vertical-relative:page;z-index:-633880" type="#_x0000_t202" filled="false" stroked="false">
          <v:textbox inset="0,0,0,0">
            <w:txbxContent>
              <w:p>
                <w:pPr>
                  <w:spacing w:before="1"/>
                  <w:ind w:left="20" w:right="0" w:firstLine="0"/>
                  <w:jc w:val="left"/>
                  <w:rPr>
                    <w:sz w:val="16"/>
                  </w:rPr>
                </w:pPr>
                <w:r>
                  <w:rPr>
                    <w:sz w:val="16"/>
                  </w:rPr>
                  <w:t>344</w:t>
                </w:r>
              </w:p>
            </w:txbxContent>
          </v:textbox>
          <w10:wrap type="none"/>
        </v:shape>
      </w:pict>
    </w:r>
    <w:r>
      <w:rPr/>
      <w:pict>
        <v:shape style="position:absolute;margin-left:698.076782pt;margin-top:583.866394pt;width:15.35pt;height:10pt;mso-position-horizontal-relative:page;mso-position-vertical-relative:page;z-index:-633856" type="#_x0000_t202" filled="false" stroked="false">
          <v:textbox inset="0,0,0,0">
            <w:txbxContent>
              <w:p>
                <w:pPr>
                  <w:spacing w:before="1"/>
                  <w:ind w:left="20" w:right="0" w:firstLine="0"/>
                  <w:jc w:val="left"/>
                  <w:rPr>
                    <w:sz w:val="16"/>
                  </w:rPr>
                </w:pPr>
                <w:r>
                  <w:rPr>
                    <w:sz w:val="16"/>
                  </w:rPr>
                  <w:t>345</w:t>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832" filled="true" fillcolor="#c7c8ca" stroked="false">
          <v:fill type="solid"/>
          <w10:wrap type="none"/>
        </v:rect>
      </w:pict>
    </w:r>
    <w:r>
      <w:rPr/>
      <w:pict>
        <v:rect style="position:absolute;margin-left:696.401978pt;margin-top:576pt;width:18.850pt;height:61.795pt;mso-position-horizontal-relative:page;mso-position-vertical-relative:page;z-index:-633808" filled="true" fillcolor="#c7c8ca" stroked="false">
          <v:fill type="solid"/>
          <w10:wrap type="none"/>
        </v:rect>
      </w:pict>
    </w:r>
    <w:r>
      <w:rPr/>
      <w:pict>
        <v:shape style="position:absolute;margin-left:226.324799pt;margin-top:583.866394pt;width:15.35pt;height:10pt;mso-position-horizontal-relative:page;mso-position-vertical-relative:page;z-index:-633784" type="#_x0000_t202" filled="false" stroked="false">
          <v:textbox inset="0,0,0,0">
            <w:txbxContent>
              <w:p>
                <w:pPr>
                  <w:spacing w:before="1"/>
                  <w:ind w:left="20" w:right="0" w:firstLine="0"/>
                  <w:jc w:val="left"/>
                  <w:rPr>
                    <w:sz w:val="16"/>
                  </w:rPr>
                </w:pPr>
                <w:r>
                  <w:rPr>
                    <w:sz w:val="16"/>
                  </w:rPr>
                  <w:t>346</w:t>
                </w:r>
              </w:p>
            </w:txbxContent>
          </v:textbox>
          <w10:wrap type="none"/>
        </v:shape>
      </w:pict>
    </w:r>
    <w:r>
      <w:rPr/>
      <w:pict>
        <v:shape style="position:absolute;margin-left:698.076782pt;margin-top:583.866394pt;width:15.35pt;height:10pt;mso-position-horizontal-relative:page;mso-position-vertical-relative:page;z-index:-633760" type="#_x0000_t202" filled="false" stroked="false">
          <v:textbox inset="0,0,0,0">
            <w:txbxContent>
              <w:p>
                <w:pPr>
                  <w:spacing w:before="1"/>
                  <w:ind w:left="20" w:right="0" w:firstLine="0"/>
                  <w:jc w:val="left"/>
                  <w:rPr>
                    <w:sz w:val="16"/>
                  </w:rPr>
                </w:pPr>
                <w:r>
                  <w:rPr>
                    <w:sz w:val="16"/>
                  </w:rPr>
                  <w:t>347</w:t>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736" filled="true" fillcolor="#c7c8ca" stroked="false">
          <v:fill type="solid"/>
          <w10:wrap type="none"/>
        </v:rect>
      </w:pict>
    </w:r>
    <w:r>
      <w:rPr/>
      <w:pict>
        <v:rect style="position:absolute;margin-left:696.401978pt;margin-top:576pt;width:18.850pt;height:61.795pt;mso-position-horizontal-relative:page;mso-position-vertical-relative:page;z-index:-633712" filled="true" fillcolor="#c7c8ca" stroked="false">
          <v:fill type="solid"/>
          <w10:wrap type="none"/>
        </v:rect>
      </w:pict>
    </w:r>
    <w:r>
      <w:rPr/>
      <w:pict>
        <v:shape style="position:absolute;margin-left:226.324799pt;margin-top:583.866394pt;width:15.35pt;height:10pt;mso-position-horizontal-relative:page;mso-position-vertical-relative:page;z-index:-633688" type="#_x0000_t202" filled="false" stroked="false">
          <v:textbox inset="0,0,0,0">
            <w:txbxContent>
              <w:p>
                <w:pPr>
                  <w:spacing w:before="1"/>
                  <w:ind w:left="20" w:right="0" w:firstLine="0"/>
                  <w:jc w:val="left"/>
                  <w:rPr>
                    <w:sz w:val="16"/>
                  </w:rPr>
                </w:pPr>
                <w:r>
                  <w:rPr>
                    <w:sz w:val="16"/>
                  </w:rPr>
                  <w:t>348</w:t>
                </w:r>
              </w:p>
            </w:txbxContent>
          </v:textbox>
          <w10:wrap type="none"/>
        </v:shape>
      </w:pict>
    </w:r>
    <w:r>
      <w:rPr/>
      <w:pict>
        <v:shape style="position:absolute;margin-left:698.076782pt;margin-top:583.866394pt;width:15.35pt;height:10pt;mso-position-horizontal-relative:page;mso-position-vertical-relative:page;z-index:-633664" type="#_x0000_t202" filled="false" stroked="false">
          <v:textbox inset="0,0,0,0">
            <w:txbxContent>
              <w:p>
                <w:pPr>
                  <w:spacing w:before="1"/>
                  <w:ind w:left="20" w:right="0" w:firstLine="0"/>
                  <w:jc w:val="left"/>
                  <w:rPr>
                    <w:sz w:val="16"/>
                  </w:rPr>
                </w:pPr>
                <w:r>
                  <w:rPr>
                    <w:sz w:val="16"/>
                  </w:rPr>
                  <w:t>349</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640" filled="true" fillcolor="#c7c8ca" stroked="false">
          <v:fill type="solid"/>
          <w10:wrap type="none"/>
        </v:rect>
      </w:pict>
    </w:r>
    <w:r>
      <w:rPr/>
      <w:pict>
        <v:rect style="position:absolute;margin-left:696.401978pt;margin-top:576pt;width:18.850pt;height:61.795pt;mso-position-horizontal-relative:page;mso-position-vertical-relative:page;z-index:-633616" filled="true" fillcolor="#c7c8ca" stroked="false">
          <v:fill type="solid"/>
          <w10:wrap type="none"/>
        </v:rect>
      </w:pict>
    </w:r>
    <w:r>
      <w:rPr/>
      <w:pict>
        <v:shape style="position:absolute;margin-left:226.324799pt;margin-top:583.866394pt;width:15.35pt;height:10pt;mso-position-horizontal-relative:page;mso-position-vertical-relative:page;z-index:-633592" type="#_x0000_t202" filled="false" stroked="false">
          <v:textbox inset="0,0,0,0">
            <w:txbxContent>
              <w:p>
                <w:pPr>
                  <w:spacing w:before="1"/>
                  <w:ind w:left="20" w:right="0" w:firstLine="0"/>
                  <w:jc w:val="left"/>
                  <w:rPr>
                    <w:sz w:val="16"/>
                  </w:rPr>
                </w:pPr>
                <w:r>
                  <w:rPr>
                    <w:sz w:val="16"/>
                  </w:rPr>
                  <w:t>350</w:t>
                </w:r>
              </w:p>
            </w:txbxContent>
          </v:textbox>
          <w10:wrap type="none"/>
        </v:shape>
      </w:pict>
    </w:r>
    <w:r>
      <w:rPr/>
      <w:pict>
        <v:shape style="position:absolute;margin-left:698.076782pt;margin-top:583.866394pt;width:15.35pt;height:10pt;mso-position-horizontal-relative:page;mso-position-vertical-relative:page;z-index:-633568" type="#_x0000_t202" filled="false" stroked="false">
          <v:textbox inset="0,0,0,0">
            <w:txbxContent>
              <w:p>
                <w:pPr>
                  <w:spacing w:before="1"/>
                  <w:ind w:left="20" w:right="0" w:firstLine="0"/>
                  <w:jc w:val="left"/>
                  <w:rPr>
                    <w:sz w:val="16"/>
                  </w:rPr>
                </w:pPr>
                <w:r>
                  <w:rPr>
                    <w:sz w:val="16"/>
                  </w:rPr>
                  <w:t>351</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544" filled="true" fillcolor="#c7c8ca" stroked="false">
          <v:fill type="solid"/>
          <w10:wrap type="none"/>
        </v:rect>
      </w:pict>
    </w:r>
    <w:r>
      <w:rPr/>
      <w:pict>
        <v:rect style="position:absolute;margin-left:696.401978pt;margin-top:576pt;width:18.850pt;height:61.795pt;mso-position-horizontal-relative:page;mso-position-vertical-relative:page;z-index:-633520" filled="true" fillcolor="#c7c8ca" stroked="false">
          <v:fill type="solid"/>
          <w10:wrap type="none"/>
        </v:rect>
      </w:pict>
    </w:r>
    <w:r>
      <w:rPr/>
      <w:pict>
        <v:shape style="position:absolute;margin-left:226.324799pt;margin-top:583.866394pt;width:15.35pt;height:10pt;mso-position-horizontal-relative:page;mso-position-vertical-relative:page;z-index:-633496" type="#_x0000_t202" filled="false" stroked="false">
          <v:textbox inset="0,0,0,0">
            <w:txbxContent>
              <w:p>
                <w:pPr>
                  <w:spacing w:before="1"/>
                  <w:ind w:left="20" w:right="0" w:firstLine="0"/>
                  <w:jc w:val="left"/>
                  <w:rPr>
                    <w:sz w:val="16"/>
                  </w:rPr>
                </w:pPr>
                <w:r>
                  <w:rPr>
                    <w:sz w:val="16"/>
                  </w:rPr>
                  <w:t>352</w:t>
                </w:r>
              </w:p>
            </w:txbxContent>
          </v:textbox>
          <w10:wrap type="none"/>
        </v:shape>
      </w:pict>
    </w:r>
    <w:r>
      <w:rPr/>
      <w:pict>
        <v:shape style="position:absolute;margin-left:698.076782pt;margin-top:583.866394pt;width:15.35pt;height:10pt;mso-position-horizontal-relative:page;mso-position-vertical-relative:page;z-index:-633472" type="#_x0000_t202" filled="false" stroked="false">
          <v:textbox inset="0,0,0,0">
            <w:txbxContent>
              <w:p>
                <w:pPr>
                  <w:spacing w:before="1"/>
                  <w:ind w:left="20" w:right="0" w:firstLine="0"/>
                  <w:jc w:val="left"/>
                  <w:rPr>
                    <w:sz w:val="16"/>
                  </w:rPr>
                </w:pPr>
                <w:r>
                  <w:rPr>
                    <w:sz w:val="16"/>
                  </w:rPr>
                  <w:t>353</w:t>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448" filled="true" fillcolor="#c7c8ca" stroked="false">
          <v:fill type="solid"/>
          <w10:wrap type="none"/>
        </v:rect>
      </w:pict>
    </w:r>
    <w:r>
      <w:rPr/>
      <w:pict>
        <v:rect style="position:absolute;margin-left:696.401978pt;margin-top:576pt;width:18.850pt;height:61.795pt;mso-position-horizontal-relative:page;mso-position-vertical-relative:page;z-index:-633424" filled="true" fillcolor="#c7c8ca" stroked="false">
          <v:fill type="solid"/>
          <w10:wrap type="none"/>
        </v:rect>
      </w:pict>
    </w:r>
    <w:r>
      <w:rPr/>
      <w:pict>
        <v:shape style="position:absolute;margin-left:226.324799pt;margin-top:583.866394pt;width:15.35pt;height:10pt;mso-position-horizontal-relative:page;mso-position-vertical-relative:page;z-index:-633400" type="#_x0000_t202" filled="false" stroked="false">
          <v:textbox inset="0,0,0,0">
            <w:txbxContent>
              <w:p>
                <w:pPr>
                  <w:spacing w:before="1"/>
                  <w:ind w:left="20" w:right="0" w:firstLine="0"/>
                  <w:jc w:val="left"/>
                  <w:rPr>
                    <w:sz w:val="16"/>
                  </w:rPr>
                </w:pPr>
                <w:r>
                  <w:rPr>
                    <w:sz w:val="16"/>
                  </w:rPr>
                  <w:t>354</w:t>
                </w:r>
              </w:p>
            </w:txbxContent>
          </v:textbox>
          <w10:wrap type="none"/>
        </v:shape>
      </w:pict>
    </w:r>
    <w:r>
      <w:rPr/>
      <w:pict>
        <v:shape style="position:absolute;margin-left:698.076782pt;margin-top:583.866394pt;width:15.35pt;height:10pt;mso-position-horizontal-relative:page;mso-position-vertical-relative:page;z-index:-633376" type="#_x0000_t202" filled="false" stroked="false">
          <v:textbox inset="0,0,0,0">
            <w:txbxContent>
              <w:p>
                <w:pPr>
                  <w:spacing w:before="1"/>
                  <w:ind w:left="20" w:right="0" w:firstLine="0"/>
                  <w:jc w:val="left"/>
                  <w:rPr>
                    <w:sz w:val="16"/>
                  </w:rPr>
                </w:pPr>
                <w:r>
                  <w:rPr>
                    <w:sz w:val="16"/>
                  </w:rPr>
                  <w:t>355</w:t>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352" filled="true" fillcolor="#c7c8ca" stroked="false">
          <v:fill type="solid"/>
          <w10:wrap type="none"/>
        </v:rect>
      </w:pict>
    </w:r>
    <w:r>
      <w:rPr/>
      <w:pict>
        <v:rect style="position:absolute;margin-left:696.401978pt;margin-top:576pt;width:18.850pt;height:61.795pt;mso-position-horizontal-relative:page;mso-position-vertical-relative:page;z-index:-633328" filled="true" fillcolor="#c7c8ca" stroked="false">
          <v:fill type="solid"/>
          <w10:wrap type="none"/>
        </v:rect>
      </w:pict>
    </w:r>
    <w:r>
      <w:rPr/>
      <w:pict>
        <v:shape style="position:absolute;margin-left:226.324799pt;margin-top:583.866394pt;width:15.35pt;height:10pt;mso-position-horizontal-relative:page;mso-position-vertical-relative:page;z-index:-633304" type="#_x0000_t202" filled="false" stroked="false">
          <v:textbox inset="0,0,0,0">
            <w:txbxContent>
              <w:p>
                <w:pPr>
                  <w:spacing w:before="1"/>
                  <w:ind w:left="20" w:right="0" w:firstLine="0"/>
                  <w:jc w:val="left"/>
                  <w:rPr>
                    <w:sz w:val="16"/>
                  </w:rPr>
                </w:pPr>
                <w:r>
                  <w:rPr>
                    <w:sz w:val="16"/>
                  </w:rPr>
                  <w:t>356</w:t>
                </w:r>
              </w:p>
            </w:txbxContent>
          </v:textbox>
          <w10:wrap type="none"/>
        </v:shape>
      </w:pict>
    </w:r>
    <w:r>
      <w:rPr/>
      <w:pict>
        <v:shape style="position:absolute;margin-left:698.076782pt;margin-top:583.866394pt;width:15.35pt;height:10pt;mso-position-horizontal-relative:page;mso-position-vertical-relative:page;z-index:-633280" type="#_x0000_t202" filled="false" stroked="false">
          <v:textbox inset="0,0,0,0">
            <w:txbxContent>
              <w:p>
                <w:pPr>
                  <w:spacing w:before="1"/>
                  <w:ind w:left="20" w:right="0" w:firstLine="0"/>
                  <w:jc w:val="left"/>
                  <w:rPr>
                    <w:sz w:val="16"/>
                  </w:rPr>
                </w:pPr>
                <w:r>
                  <w:rPr>
                    <w:sz w:val="16"/>
                  </w:rPr>
                  <w:t>357</w:t>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256" filled="true" fillcolor="#c7c8ca" stroked="false">
          <v:fill type="solid"/>
          <w10:wrap type="none"/>
        </v:rect>
      </w:pict>
    </w:r>
    <w:r>
      <w:rPr/>
      <w:pict>
        <v:rect style="position:absolute;margin-left:696.401978pt;margin-top:576pt;width:18.850pt;height:61.795pt;mso-position-horizontal-relative:page;mso-position-vertical-relative:page;z-index:-633232" filled="true" fillcolor="#c7c8ca" stroked="false">
          <v:fill type="solid"/>
          <w10:wrap type="none"/>
        </v:rect>
      </w:pict>
    </w:r>
    <w:r>
      <w:rPr/>
      <w:pict>
        <v:shape style="position:absolute;margin-left:226.324799pt;margin-top:583.866394pt;width:15.35pt;height:10pt;mso-position-horizontal-relative:page;mso-position-vertical-relative:page;z-index:-633208" type="#_x0000_t202" filled="false" stroked="false">
          <v:textbox inset="0,0,0,0">
            <w:txbxContent>
              <w:p>
                <w:pPr>
                  <w:spacing w:before="1"/>
                  <w:ind w:left="20" w:right="0" w:firstLine="0"/>
                  <w:jc w:val="left"/>
                  <w:rPr>
                    <w:sz w:val="16"/>
                  </w:rPr>
                </w:pPr>
                <w:r>
                  <w:rPr>
                    <w:sz w:val="16"/>
                  </w:rPr>
                  <w:t>358</w:t>
                </w:r>
              </w:p>
            </w:txbxContent>
          </v:textbox>
          <w10:wrap type="none"/>
        </v:shape>
      </w:pict>
    </w:r>
    <w:r>
      <w:rPr/>
      <w:pict>
        <v:shape style="position:absolute;margin-left:698.076782pt;margin-top:583.866394pt;width:15.35pt;height:10pt;mso-position-horizontal-relative:page;mso-position-vertical-relative:page;z-index:-633184" type="#_x0000_t202" filled="false" stroked="false">
          <v:textbox inset="0,0,0,0">
            <w:txbxContent>
              <w:p>
                <w:pPr>
                  <w:spacing w:before="1"/>
                  <w:ind w:left="20" w:right="0" w:firstLine="0"/>
                  <w:jc w:val="left"/>
                  <w:rPr>
                    <w:sz w:val="16"/>
                  </w:rPr>
                </w:pPr>
                <w:r>
                  <w:rPr>
                    <w:sz w:val="16"/>
                  </w:rPr>
                  <w:t>359</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160" filled="true" fillcolor="#c7c8ca" stroked="false">
          <v:fill type="solid"/>
          <w10:wrap type="none"/>
        </v:rect>
      </w:pict>
    </w:r>
    <w:r>
      <w:rPr/>
      <w:pict>
        <v:rect style="position:absolute;margin-left:696.401978pt;margin-top:576pt;width:18.850pt;height:61.795pt;mso-position-horizontal-relative:page;mso-position-vertical-relative:page;z-index:-633136" filled="true" fillcolor="#c7c8ca" stroked="false">
          <v:fill type="solid"/>
          <w10:wrap type="none"/>
        </v:rect>
      </w:pict>
    </w:r>
    <w:r>
      <w:rPr/>
      <w:pict>
        <v:shape style="position:absolute;margin-left:226.324799pt;margin-top:583.866394pt;width:15.35pt;height:10pt;mso-position-horizontal-relative:page;mso-position-vertical-relative:page;z-index:-633112" type="#_x0000_t202" filled="false" stroked="false">
          <v:textbox inset="0,0,0,0">
            <w:txbxContent>
              <w:p>
                <w:pPr>
                  <w:spacing w:before="1"/>
                  <w:ind w:left="20" w:right="0" w:firstLine="0"/>
                  <w:jc w:val="left"/>
                  <w:rPr>
                    <w:sz w:val="16"/>
                  </w:rPr>
                </w:pPr>
                <w:r>
                  <w:rPr>
                    <w:sz w:val="16"/>
                  </w:rPr>
                  <w:t>360</w:t>
                </w:r>
              </w:p>
            </w:txbxContent>
          </v:textbox>
          <w10:wrap type="none"/>
        </v:shape>
      </w:pict>
    </w:r>
    <w:r>
      <w:rPr/>
      <w:pict>
        <v:shape style="position:absolute;margin-left:698.076782pt;margin-top:583.866394pt;width:15.35pt;height:10pt;mso-position-horizontal-relative:page;mso-position-vertical-relative:page;z-index:-633088" type="#_x0000_t202" filled="false" stroked="false">
          <v:textbox inset="0,0,0,0">
            <w:txbxContent>
              <w:p>
                <w:pPr>
                  <w:spacing w:before="1"/>
                  <w:ind w:left="20" w:right="0" w:firstLine="0"/>
                  <w:jc w:val="left"/>
                  <w:rPr>
                    <w:sz w:val="16"/>
                  </w:rPr>
                </w:pPr>
                <w:r>
                  <w:rPr>
                    <w:sz w:val="16"/>
                  </w:rPr>
                  <w:t>361</w:t>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3064" filled="true" fillcolor="#c7c8ca" stroked="false">
          <v:fill type="solid"/>
          <w10:wrap type="none"/>
        </v:rect>
      </w:pict>
    </w:r>
    <w:r>
      <w:rPr/>
      <w:pict>
        <v:rect style="position:absolute;margin-left:696.401978pt;margin-top:576pt;width:18.850pt;height:61.795pt;mso-position-horizontal-relative:page;mso-position-vertical-relative:page;z-index:-633040" filled="true" fillcolor="#c7c8ca" stroked="false">
          <v:fill type="solid"/>
          <w10:wrap type="none"/>
        </v:rect>
      </w:pict>
    </w:r>
    <w:r>
      <w:rPr/>
      <w:pict>
        <v:shape style="position:absolute;margin-left:226.324799pt;margin-top:583.866394pt;width:15.35pt;height:10pt;mso-position-horizontal-relative:page;mso-position-vertical-relative:page;z-index:-633016" type="#_x0000_t202" filled="false" stroked="false">
          <v:textbox inset="0,0,0,0">
            <w:txbxContent>
              <w:p>
                <w:pPr>
                  <w:spacing w:before="1"/>
                  <w:ind w:left="20" w:right="0" w:firstLine="0"/>
                  <w:jc w:val="left"/>
                  <w:rPr>
                    <w:sz w:val="16"/>
                  </w:rPr>
                </w:pPr>
                <w:r>
                  <w:rPr>
                    <w:sz w:val="16"/>
                  </w:rPr>
                  <w:t>362</w:t>
                </w:r>
              </w:p>
            </w:txbxContent>
          </v:textbox>
          <w10:wrap type="none"/>
        </v:shape>
      </w:pict>
    </w:r>
    <w:r>
      <w:rPr/>
      <w:pict>
        <v:shape style="position:absolute;margin-left:698.076782pt;margin-top:583.866394pt;width:15.35pt;height:10pt;mso-position-horizontal-relative:page;mso-position-vertical-relative:page;z-index:-632992" type="#_x0000_t202" filled="false" stroked="false">
          <v:textbox inset="0,0,0,0">
            <w:txbxContent>
              <w:p>
                <w:pPr>
                  <w:spacing w:before="1"/>
                  <w:ind w:left="20" w:right="0" w:firstLine="0"/>
                  <w:jc w:val="left"/>
                  <w:rPr>
                    <w:sz w:val="16"/>
                  </w:rPr>
                </w:pPr>
                <w:r>
                  <w:rPr>
                    <w:sz w:val="16"/>
                  </w:rPr>
                  <w:t>363</w:t>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968" filled="true" fillcolor="#c7c8ca" stroked="false">
          <v:fill type="solid"/>
          <w10:wrap type="none"/>
        </v:rect>
      </w:pict>
    </w:r>
    <w:r>
      <w:rPr/>
      <w:pict>
        <v:rect style="position:absolute;margin-left:696.401978pt;margin-top:576pt;width:18.850pt;height:61.795pt;mso-position-horizontal-relative:page;mso-position-vertical-relative:page;z-index:-632944" filled="true" fillcolor="#c7c8ca" stroked="false">
          <v:fill type="solid"/>
          <w10:wrap type="none"/>
        </v:rect>
      </w:pict>
    </w:r>
    <w:r>
      <w:rPr/>
      <w:pict>
        <v:shape style="position:absolute;margin-left:226.324799pt;margin-top:583.866394pt;width:15.35pt;height:10pt;mso-position-horizontal-relative:page;mso-position-vertical-relative:page;z-index:-632920" type="#_x0000_t202" filled="false" stroked="false">
          <v:textbox inset="0,0,0,0">
            <w:txbxContent>
              <w:p>
                <w:pPr>
                  <w:spacing w:before="1"/>
                  <w:ind w:left="20" w:right="0" w:firstLine="0"/>
                  <w:jc w:val="left"/>
                  <w:rPr>
                    <w:sz w:val="16"/>
                  </w:rPr>
                </w:pPr>
                <w:r>
                  <w:rPr>
                    <w:sz w:val="16"/>
                  </w:rPr>
                  <w:t>364</w:t>
                </w:r>
              </w:p>
            </w:txbxContent>
          </v:textbox>
          <w10:wrap type="none"/>
        </v:shape>
      </w:pict>
    </w:r>
    <w:r>
      <w:rPr/>
      <w:pict>
        <v:shape style="position:absolute;margin-left:698.076782pt;margin-top:583.866394pt;width:15.35pt;height:10pt;mso-position-horizontal-relative:page;mso-position-vertical-relative:page;z-index:-632896" type="#_x0000_t202" filled="false" stroked="false">
          <v:textbox inset="0,0,0,0">
            <w:txbxContent>
              <w:p>
                <w:pPr>
                  <w:spacing w:before="1"/>
                  <w:ind w:left="20" w:right="0" w:firstLine="0"/>
                  <w:jc w:val="left"/>
                  <w:rPr>
                    <w:sz w:val="16"/>
                  </w:rPr>
                </w:pPr>
                <w:r>
                  <w:rPr>
                    <w:sz w:val="16"/>
                  </w:rPr>
                  <w:t>365</w:t>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872" filled="true" fillcolor="#c7c8ca" stroked="false">
          <v:fill type="solid"/>
          <w10:wrap type="none"/>
        </v:rect>
      </w:pict>
    </w:r>
    <w:r>
      <w:rPr/>
      <w:pict>
        <v:rect style="position:absolute;margin-left:696.401978pt;margin-top:576pt;width:18.850pt;height:61.795pt;mso-position-horizontal-relative:page;mso-position-vertical-relative:page;z-index:-632848" filled="true" fillcolor="#c7c8ca" stroked="false">
          <v:fill type="solid"/>
          <w10:wrap type="none"/>
        </v:rect>
      </w:pict>
    </w:r>
    <w:r>
      <w:rPr/>
      <w:pict>
        <v:shape style="position:absolute;margin-left:226.324799pt;margin-top:583.866394pt;width:15.35pt;height:10pt;mso-position-horizontal-relative:page;mso-position-vertical-relative:page;z-index:-632824" type="#_x0000_t202" filled="false" stroked="false">
          <v:textbox inset="0,0,0,0">
            <w:txbxContent>
              <w:p>
                <w:pPr>
                  <w:spacing w:before="1"/>
                  <w:ind w:left="20" w:right="0" w:firstLine="0"/>
                  <w:jc w:val="left"/>
                  <w:rPr>
                    <w:sz w:val="16"/>
                  </w:rPr>
                </w:pPr>
                <w:r>
                  <w:rPr>
                    <w:sz w:val="16"/>
                  </w:rPr>
                  <w:t>366</w:t>
                </w:r>
              </w:p>
            </w:txbxContent>
          </v:textbox>
          <w10:wrap type="none"/>
        </v:shape>
      </w:pict>
    </w:r>
    <w:r>
      <w:rPr/>
      <w:pict>
        <v:shape style="position:absolute;margin-left:698.076782pt;margin-top:583.866394pt;width:15.35pt;height:10pt;mso-position-horizontal-relative:page;mso-position-vertical-relative:page;z-index:-632800" type="#_x0000_t202" filled="false" stroked="false">
          <v:textbox inset="0,0,0,0">
            <w:txbxContent>
              <w:p>
                <w:pPr>
                  <w:spacing w:before="1"/>
                  <w:ind w:left="20" w:right="0" w:firstLine="0"/>
                  <w:jc w:val="left"/>
                  <w:rPr>
                    <w:sz w:val="16"/>
                  </w:rPr>
                </w:pPr>
                <w:r>
                  <w:rPr>
                    <w:sz w:val="16"/>
                  </w:rPr>
                  <w:t>367</w:t>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776" filled="true" fillcolor="#c7c8ca" stroked="false">
          <v:fill type="solid"/>
          <w10:wrap type="none"/>
        </v:rect>
      </w:pict>
    </w:r>
    <w:r>
      <w:rPr/>
      <w:pict>
        <v:rect style="position:absolute;margin-left:696.401978pt;margin-top:576pt;width:18.850pt;height:61.795pt;mso-position-horizontal-relative:page;mso-position-vertical-relative:page;z-index:-632752" filled="true" fillcolor="#c7c8ca" stroked="false">
          <v:fill type="solid"/>
          <w10:wrap type="none"/>
        </v:rect>
      </w:pict>
    </w:r>
    <w:r>
      <w:rPr/>
      <w:pict>
        <v:shape style="position:absolute;margin-left:226.324799pt;margin-top:583.866394pt;width:15.35pt;height:10pt;mso-position-horizontal-relative:page;mso-position-vertical-relative:page;z-index:-632728" type="#_x0000_t202" filled="false" stroked="false">
          <v:textbox inset="0,0,0,0">
            <w:txbxContent>
              <w:p>
                <w:pPr>
                  <w:spacing w:before="1"/>
                  <w:ind w:left="20" w:right="0" w:firstLine="0"/>
                  <w:jc w:val="left"/>
                  <w:rPr>
                    <w:sz w:val="16"/>
                  </w:rPr>
                </w:pPr>
                <w:r>
                  <w:rPr>
                    <w:sz w:val="16"/>
                  </w:rPr>
                  <w:t>368</w:t>
                </w:r>
              </w:p>
            </w:txbxContent>
          </v:textbox>
          <w10:wrap type="none"/>
        </v:shape>
      </w:pict>
    </w:r>
    <w:r>
      <w:rPr/>
      <w:pict>
        <v:shape style="position:absolute;margin-left:698.076782pt;margin-top:583.866394pt;width:15.35pt;height:10pt;mso-position-horizontal-relative:page;mso-position-vertical-relative:page;z-index:-632704" type="#_x0000_t202" filled="false" stroked="false">
          <v:textbox inset="0,0,0,0">
            <w:txbxContent>
              <w:p>
                <w:pPr>
                  <w:spacing w:before="1"/>
                  <w:ind w:left="20" w:right="0" w:firstLine="0"/>
                  <w:jc w:val="left"/>
                  <w:rPr>
                    <w:sz w:val="16"/>
                  </w:rPr>
                </w:pPr>
                <w:r>
                  <w:rPr>
                    <w:sz w:val="16"/>
                  </w:rPr>
                  <w:t>369</w:t>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680" filled="true" fillcolor="#c7c8ca" stroked="false">
          <v:fill type="solid"/>
          <w10:wrap type="none"/>
        </v:rect>
      </w:pict>
    </w:r>
    <w:r>
      <w:rPr/>
      <w:pict>
        <v:rect style="position:absolute;margin-left:696.401978pt;margin-top:576pt;width:18.850pt;height:61.795pt;mso-position-horizontal-relative:page;mso-position-vertical-relative:page;z-index:-632656" filled="true" fillcolor="#c7c8ca" stroked="false">
          <v:fill type="solid"/>
          <w10:wrap type="none"/>
        </v:rect>
      </w:pict>
    </w:r>
    <w:r>
      <w:rPr/>
      <w:pict>
        <v:shape style="position:absolute;margin-left:226.324799pt;margin-top:583.866394pt;width:15.35pt;height:10pt;mso-position-horizontal-relative:page;mso-position-vertical-relative:page;z-index:-632632" type="#_x0000_t202" filled="false" stroked="false">
          <v:textbox inset="0,0,0,0">
            <w:txbxContent>
              <w:p>
                <w:pPr>
                  <w:spacing w:before="1"/>
                  <w:ind w:left="20" w:right="0" w:firstLine="0"/>
                  <w:jc w:val="left"/>
                  <w:rPr>
                    <w:sz w:val="16"/>
                  </w:rPr>
                </w:pPr>
                <w:r>
                  <w:rPr>
                    <w:sz w:val="16"/>
                  </w:rPr>
                  <w:t>370</w:t>
                </w:r>
              </w:p>
            </w:txbxContent>
          </v:textbox>
          <w10:wrap type="none"/>
        </v:shape>
      </w:pict>
    </w:r>
    <w:r>
      <w:rPr/>
      <w:pict>
        <v:shape style="position:absolute;margin-left:698.076782pt;margin-top:583.866394pt;width:15.35pt;height:10pt;mso-position-horizontal-relative:page;mso-position-vertical-relative:page;z-index:-632608" type="#_x0000_t202" filled="false" stroked="false">
          <v:textbox inset="0,0,0,0">
            <w:txbxContent>
              <w:p>
                <w:pPr>
                  <w:spacing w:before="1"/>
                  <w:ind w:left="20" w:right="0" w:firstLine="0"/>
                  <w:jc w:val="left"/>
                  <w:rPr>
                    <w:sz w:val="16"/>
                  </w:rPr>
                </w:pPr>
                <w:r>
                  <w:rPr>
                    <w:sz w:val="16"/>
                  </w:rPr>
                  <w:t>371</w:t>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584" filled="true" fillcolor="#c7c8ca" stroked="false">
          <v:fill type="solid"/>
          <w10:wrap type="none"/>
        </v:rect>
      </w:pict>
    </w:r>
    <w:r>
      <w:rPr/>
      <w:pict>
        <v:rect style="position:absolute;margin-left:696.401978pt;margin-top:576pt;width:18.850pt;height:61.795pt;mso-position-horizontal-relative:page;mso-position-vertical-relative:page;z-index:-632560" filled="true" fillcolor="#c7c8ca" stroked="false">
          <v:fill type="solid"/>
          <w10:wrap type="none"/>
        </v:rect>
      </w:pict>
    </w:r>
    <w:r>
      <w:rPr/>
      <w:pict>
        <v:shape style="position:absolute;margin-left:226.324799pt;margin-top:583.866394pt;width:15.35pt;height:10pt;mso-position-horizontal-relative:page;mso-position-vertical-relative:page;z-index:-632536" type="#_x0000_t202" filled="false" stroked="false">
          <v:textbox inset="0,0,0,0">
            <w:txbxContent>
              <w:p>
                <w:pPr>
                  <w:spacing w:before="1"/>
                  <w:ind w:left="20" w:right="0" w:firstLine="0"/>
                  <w:jc w:val="left"/>
                  <w:rPr>
                    <w:sz w:val="16"/>
                  </w:rPr>
                </w:pPr>
                <w:r>
                  <w:rPr>
                    <w:sz w:val="16"/>
                  </w:rPr>
                  <w:t>372</w:t>
                </w:r>
              </w:p>
            </w:txbxContent>
          </v:textbox>
          <w10:wrap type="none"/>
        </v:shape>
      </w:pict>
    </w:r>
    <w:r>
      <w:rPr/>
      <w:pict>
        <v:shape style="position:absolute;margin-left:698.076782pt;margin-top:583.866394pt;width:15.35pt;height:10pt;mso-position-horizontal-relative:page;mso-position-vertical-relative:page;z-index:-632512" type="#_x0000_t202" filled="false" stroked="false">
          <v:textbox inset="0,0,0,0">
            <w:txbxContent>
              <w:p>
                <w:pPr>
                  <w:spacing w:before="1"/>
                  <w:ind w:left="20" w:right="0" w:firstLine="0"/>
                  <w:jc w:val="left"/>
                  <w:rPr>
                    <w:sz w:val="16"/>
                  </w:rPr>
                </w:pPr>
                <w:r>
                  <w:rPr>
                    <w:sz w:val="16"/>
                  </w:rPr>
                  <w:t>373</w:t>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488" filled="true" fillcolor="#c7c8ca" stroked="false">
          <v:fill type="solid"/>
          <w10:wrap type="none"/>
        </v:rect>
      </w:pict>
    </w:r>
    <w:r>
      <w:rPr/>
      <w:pict>
        <v:rect style="position:absolute;margin-left:696.401978pt;margin-top:576pt;width:18.850pt;height:61.795pt;mso-position-horizontal-relative:page;mso-position-vertical-relative:page;z-index:-632464" filled="true" fillcolor="#c7c8ca" stroked="false">
          <v:fill type="solid"/>
          <w10:wrap type="none"/>
        </v:rect>
      </w:pict>
    </w:r>
    <w:r>
      <w:rPr/>
      <w:pict>
        <v:shape style="position:absolute;margin-left:226.324799pt;margin-top:583.866394pt;width:15.35pt;height:10pt;mso-position-horizontal-relative:page;mso-position-vertical-relative:page;z-index:-632440" type="#_x0000_t202" filled="false" stroked="false">
          <v:textbox inset="0,0,0,0">
            <w:txbxContent>
              <w:p>
                <w:pPr>
                  <w:spacing w:before="1"/>
                  <w:ind w:left="20" w:right="0" w:firstLine="0"/>
                  <w:jc w:val="left"/>
                  <w:rPr>
                    <w:sz w:val="16"/>
                  </w:rPr>
                </w:pPr>
                <w:r>
                  <w:rPr>
                    <w:sz w:val="16"/>
                  </w:rPr>
                  <w:t>374</w:t>
                </w:r>
              </w:p>
            </w:txbxContent>
          </v:textbox>
          <w10:wrap type="none"/>
        </v:shape>
      </w:pict>
    </w:r>
    <w:r>
      <w:rPr/>
      <w:pict>
        <v:shape style="position:absolute;margin-left:698.076782pt;margin-top:583.866394pt;width:15.35pt;height:10pt;mso-position-horizontal-relative:page;mso-position-vertical-relative:page;z-index:-632416" type="#_x0000_t202" filled="false" stroked="false">
          <v:textbox inset="0,0,0,0">
            <w:txbxContent>
              <w:p>
                <w:pPr>
                  <w:spacing w:before="1"/>
                  <w:ind w:left="20" w:right="0" w:firstLine="0"/>
                  <w:jc w:val="left"/>
                  <w:rPr>
                    <w:sz w:val="16"/>
                  </w:rPr>
                </w:pPr>
                <w:r>
                  <w:rPr>
                    <w:sz w:val="16"/>
                  </w:rPr>
                  <w:t>375</w:t>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392" filled="true" fillcolor="#c7c8ca" stroked="false">
          <v:fill type="solid"/>
          <w10:wrap type="none"/>
        </v:rect>
      </w:pict>
    </w:r>
    <w:r>
      <w:rPr/>
      <w:pict>
        <v:rect style="position:absolute;margin-left:696.401978pt;margin-top:576pt;width:18.850pt;height:61.795pt;mso-position-horizontal-relative:page;mso-position-vertical-relative:page;z-index:-632368" filled="true" fillcolor="#c7c8ca" stroked="false">
          <v:fill type="solid"/>
          <w10:wrap type="none"/>
        </v:rect>
      </w:pict>
    </w:r>
    <w:r>
      <w:rPr/>
      <w:pict>
        <v:shape style="position:absolute;margin-left:226.324799pt;margin-top:583.866394pt;width:15.35pt;height:10pt;mso-position-horizontal-relative:page;mso-position-vertical-relative:page;z-index:-632344" type="#_x0000_t202" filled="false" stroked="false">
          <v:textbox inset="0,0,0,0">
            <w:txbxContent>
              <w:p>
                <w:pPr>
                  <w:spacing w:before="1"/>
                  <w:ind w:left="20" w:right="0" w:firstLine="0"/>
                  <w:jc w:val="left"/>
                  <w:rPr>
                    <w:sz w:val="16"/>
                  </w:rPr>
                </w:pPr>
                <w:r>
                  <w:rPr>
                    <w:sz w:val="16"/>
                  </w:rPr>
                  <w:t>376</w:t>
                </w:r>
              </w:p>
            </w:txbxContent>
          </v:textbox>
          <w10:wrap type="none"/>
        </v:shape>
      </w:pict>
    </w:r>
    <w:r>
      <w:rPr/>
      <w:pict>
        <v:shape style="position:absolute;margin-left:698.076782pt;margin-top:583.866394pt;width:15.35pt;height:10pt;mso-position-horizontal-relative:page;mso-position-vertical-relative:page;z-index:-632320" type="#_x0000_t202" filled="false" stroked="false">
          <v:textbox inset="0,0,0,0">
            <w:txbxContent>
              <w:p>
                <w:pPr>
                  <w:spacing w:before="1"/>
                  <w:ind w:left="20" w:right="0" w:firstLine="0"/>
                  <w:jc w:val="left"/>
                  <w:rPr>
                    <w:sz w:val="16"/>
                  </w:rPr>
                </w:pPr>
                <w:r>
                  <w:rPr>
                    <w:sz w:val="16"/>
                  </w:rPr>
                  <w:t>377</w:t>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296" filled="true" fillcolor="#c7c8ca" stroked="false">
          <v:fill type="solid"/>
          <w10:wrap type="none"/>
        </v:rect>
      </w:pict>
    </w:r>
    <w:r>
      <w:rPr/>
      <w:pict>
        <v:rect style="position:absolute;margin-left:696.401978pt;margin-top:576pt;width:18.850pt;height:61.795pt;mso-position-horizontal-relative:page;mso-position-vertical-relative:page;z-index:-632272" filled="true" fillcolor="#c7c8ca" stroked="false">
          <v:fill type="solid"/>
          <w10:wrap type="none"/>
        </v:rect>
      </w:pict>
    </w:r>
    <w:r>
      <w:rPr/>
      <w:pict>
        <v:shape style="position:absolute;margin-left:226.324799pt;margin-top:583.866394pt;width:15.35pt;height:10pt;mso-position-horizontal-relative:page;mso-position-vertical-relative:page;z-index:-632248" type="#_x0000_t202" filled="false" stroked="false">
          <v:textbox inset="0,0,0,0">
            <w:txbxContent>
              <w:p>
                <w:pPr>
                  <w:spacing w:before="1"/>
                  <w:ind w:left="20" w:right="0" w:firstLine="0"/>
                  <w:jc w:val="left"/>
                  <w:rPr>
                    <w:sz w:val="16"/>
                  </w:rPr>
                </w:pPr>
                <w:r>
                  <w:rPr>
                    <w:sz w:val="16"/>
                  </w:rPr>
                  <w:t>378</w:t>
                </w:r>
              </w:p>
            </w:txbxContent>
          </v:textbox>
          <w10:wrap type="none"/>
        </v:shape>
      </w:pict>
    </w:r>
    <w:r>
      <w:rPr/>
      <w:pict>
        <v:shape style="position:absolute;margin-left:698.076782pt;margin-top:583.866394pt;width:15.35pt;height:10pt;mso-position-horizontal-relative:page;mso-position-vertical-relative:page;z-index:-632224" type="#_x0000_t202" filled="false" stroked="false">
          <v:textbox inset="0,0,0,0">
            <w:txbxContent>
              <w:p>
                <w:pPr>
                  <w:spacing w:before="1"/>
                  <w:ind w:left="20" w:right="0" w:firstLine="0"/>
                  <w:jc w:val="left"/>
                  <w:rPr>
                    <w:sz w:val="16"/>
                  </w:rPr>
                </w:pPr>
                <w:r>
                  <w:rPr>
                    <w:sz w:val="16"/>
                  </w:rPr>
                  <w:t>379</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9672" filled="true" fillcolor="#c7c8ca" stroked="false">
          <v:fill type="solid"/>
          <w10:wrap type="none"/>
        </v:rect>
      </w:pict>
    </w:r>
    <w:r>
      <w:rPr/>
      <w:pict>
        <v:rect style="position:absolute;margin-left:696.401978pt;margin-top:576pt;width:18.850pt;height:61.795pt;mso-position-horizontal-relative:page;mso-position-vertical-relative:page;z-index:-649648" filled="true" fillcolor="#c7c8ca" stroked="false">
          <v:fill type="solid"/>
          <w10:wrap type="none"/>
        </v:rect>
      </w:pict>
    </w:r>
    <w:r>
      <w:rPr/>
      <w:pict>
        <v:shape style="position:absolute;margin-left:228.548798pt;margin-top:583.866394pt;width:10.9pt;height:10pt;mso-position-horizontal-relative:page;mso-position-vertical-relative:page;z-index:-649624" type="#_x0000_t202" filled="false" stroked="false">
          <v:textbox inset="0,0,0,0">
            <w:txbxContent>
              <w:p>
                <w:pPr>
                  <w:spacing w:before="1"/>
                  <w:ind w:left="20" w:right="0" w:firstLine="0"/>
                  <w:jc w:val="left"/>
                  <w:rPr>
                    <w:sz w:val="16"/>
                  </w:rPr>
                </w:pPr>
                <w:r>
                  <w:rPr>
                    <w:sz w:val="16"/>
                  </w:rPr>
                  <w:t>56</w:t>
                </w:r>
              </w:p>
            </w:txbxContent>
          </v:textbox>
          <w10:wrap type="none"/>
        </v:shape>
      </w:pict>
    </w:r>
    <w:r>
      <w:rPr/>
      <w:pict>
        <v:shape style="position:absolute;margin-left:700.300781pt;margin-top:583.866394pt;width:10.9pt;height:10pt;mso-position-horizontal-relative:page;mso-position-vertical-relative:page;z-index:-649600" type="#_x0000_t202" filled="false" stroked="false">
          <v:textbox inset="0,0,0,0">
            <w:txbxContent>
              <w:p>
                <w:pPr>
                  <w:spacing w:before="1"/>
                  <w:ind w:left="20" w:right="0" w:firstLine="0"/>
                  <w:jc w:val="left"/>
                  <w:rPr>
                    <w:sz w:val="16"/>
                  </w:rPr>
                </w:pPr>
                <w:r>
                  <w:rPr>
                    <w:sz w:val="16"/>
                  </w:rPr>
                  <w:t>57</w:t>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200" filled="true" fillcolor="#c7c8ca" stroked="false">
          <v:fill type="solid"/>
          <w10:wrap type="none"/>
        </v:rect>
      </w:pict>
    </w:r>
    <w:r>
      <w:rPr/>
      <w:pict>
        <v:rect style="position:absolute;margin-left:696.401978pt;margin-top:576pt;width:18.850pt;height:61.795pt;mso-position-horizontal-relative:page;mso-position-vertical-relative:page;z-index:-632176" filled="true" fillcolor="#c7c8ca" stroked="false">
          <v:fill type="solid"/>
          <w10:wrap type="none"/>
        </v:rect>
      </w:pict>
    </w:r>
    <w:r>
      <w:rPr/>
      <w:pict>
        <v:shape style="position:absolute;margin-left:226.324799pt;margin-top:583.866394pt;width:15.35pt;height:10pt;mso-position-horizontal-relative:page;mso-position-vertical-relative:page;z-index:-632152" type="#_x0000_t202" filled="false" stroked="false">
          <v:textbox inset="0,0,0,0">
            <w:txbxContent>
              <w:p>
                <w:pPr>
                  <w:spacing w:before="1"/>
                  <w:ind w:left="20" w:right="0" w:firstLine="0"/>
                  <w:jc w:val="left"/>
                  <w:rPr>
                    <w:sz w:val="16"/>
                  </w:rPr>
                </w:pPr>
                <w:r>
                  <w:rPr>
                    <w:sz w:val="16"/>
                  </w:rPr>
                  <w:t>380</w:t>
                </w:r>
              </w:p>
            </w:txbxContent>
          </v:textbox>
          <w10:wrap type="none"/>
        </v:shape>
      </w:pict>
    </w:r>
    <w:r>
      <w:rPr/>
      <w:pict>
        <v:shape style="position:absolute;margin-left:698.076782pt;margin-top:583.866394pt;width:15.35pt;height:10pt;mso-position-horizontal-relative:page;mso-position-vertical-relative:page;z-index:-632128" type="#_x0000_t202" filled="false" stroked="false">
          <v:textbox inset="0,0,0,0">
            <w:txbxContent>
              <w:p>
                <w:pPr>
                  <w:spacing w:before="1"/>
                  <w:ind w:left="20" w:right="0" w:firstLine="0"/>
                  <w:jc w:val="left"/>
                  <w:rPr>
                    <w:sz w:val="16"/>
                  </w:rPr>
                </w:pPr>
                <w:r>
                  <w:rPr>
                    <w:sz w:val="16"/>
                  </w:rPr>
                  <w:t>381</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104" filled="true" fillcolor="#c7c8ca" stroked="false">
          <v:fill type="solid"/>
          <w10:wrap type="none"/>
        </v:rect>
      </w:pict>
    </w:r>
    <w:r>
      <w:rPr/>
      <w:pict>
        <v:rect style="position:absolute;margin-left:696.401978pt;margin-top:576pt;width:18.850pt;height:61.795pt;mso-position-horizontal-relative:page;mso-position-vertical-relative:page;z-index:-632080" filled="true" fillcolor="#c7c8ca" stroked="false">
          <v:fill type="solid"/>
          <w10:wrap type="none"/>
        </v:rect>
      </w:pict>
    </w:r>
    <w:r>
      <w:rPr/>
      <w:pict>
        <v:shape style="position:absolute;margin-left:226.324799pt;margin-top:583.866394pt;width:15.35pt;height:10pt;mso-position-horizontal-relative:page;mso-position-vertical-relative:page;z-index:-632056" type="#_x0000_t202" filled="false" stroked="false">
          <v:textbox inset="0,0,0,0">
            <w:txbxContent>
              <w:p>
                <w:pPr>
                  <w:spacing w:before="1"/>
                  <w:ind w:left="20" w:right="0" w:firstLine="0"/>
                  <w:jc w:val="left"/>
                  <w:rPr>
                    <w:sz w:val="16"/>
                  </w:rPr>
                </w:pPr>
                <w:r>
                  <w:rPr>
                    <w:sz w:val="16"/>
                  </w:rPr>
                  <w:t>382</w:t>
                </w:r>
              </w:p>
            </w:txbxContent>
          </v:textbox>
          <w10:wrap type="none"/>
        </v:shape>
      </w:pict>
    </w:r>
    <w:r>
      <w:rPr/>
      <w:pict>
        <v:shape style="position:absolute;margin-left:698.076782pt;margin-top:583.866394pt;width:15.35pt;height:10pt;mso-position-horizontal-relative:page;mso-position-vertical-relative:page;z-index:-632032" type="#_x0000_t202" filled="false" stroked="false">
          <v:textbox inset="0,0,0,0">
            <w:txbxContent>
              <w:p>
                <w:pPr>
                  <w:spacing w:before="1"/>
                  <w:ind w:left="20" w:right="0" w:firstLine="0"/>
                  <w:jc w:val="left"/>
                  <w:rPr>
                    <w:sz w:val="16"/>
                  </w:rPr>
                </w:pPr>
                <w:r>
                  <w:rPr>
                    <w:sz w:val="16"/>
                  </w:rPr>
                  <w:t>383</w:t>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2008" filled="true" fillcolor="#c7c8ca" stroked="false">
          <v:fill type="solid"/>
          <w10:wrap type="none"/>
        </v:rect>
      </w:pict>
    </w:r>
    <w:r>
      <w:rPr/>
      <w:pict>
        <v:rect style="position:absolute;margin-left:696.401978pt;margin-top:576pt;width:18.850pt;height:61.795pt;mso-position-horizontal-relative:page;mso-position-vertical-relative:page;z-index:-631984" filled="true" fillcolor="#c7c8ca" stroked="false">
          <v:fill type="solid"/>
          <w10:wrap type="none"/>
        </v:rect>
      </w:pict>
    </w:r>
    <w:r>
      <w:rPr/>
      <w:pict>
        <v:shape style="position:absolute;margin-left:226.324799pt;margin-top:583.866394pt;width:15.35pt;height:10pt;mso-position-horizontal-relative:page;mso-position-vertical-relative:page;z-index:-631960" type="#_x0000_t202" filled="false" stroked="false">
          <v:textbox inset="0,0,0,0">
            <w:txbxContent>
              <w:p>
                <w:pPr>
                  <w:spacing w:before="1"/>
                  <w:ind w:left="20" w:right="0" w:firstLine="0"/>
                  <w:jc w:val="left"/>
                  <w:rPr>
                    <w:sz w:val="16"/>
                  </w:rPr>
                </w:pPr>
                <w:r>
                  <w:rPr>
                    <w:sz w:val="16"/>
                  </w:rPr>
                  <w:t>384</w:t>
                </w:r>
              </w:p>
            </w:txbxContent>
          </v:textbox>
          <w10:wrap type="none"/>
        </v:shape>
      </w:pict>
    </w:r>
    <w:r>
      <w:rPr/>
      <w:pict>
        <v:shape style="position:absolute;margin-left:698.076782pt;margin-top:583.866394pt;width:15.35pt;height:10pt;mso-position-horizontal-relative:page;mso-position-vertical-relative:page;z-index:-631936" type="#_x0000_t202" filled="false" stroked="false">
          <v:textbox inset="0,0,0,0">
            <w:txbxContent>
              <w:p>
                <w:pPr>
                  <w:spacing w:before="1"/>
                  <w:ind w:left="20" w:right="0" w:firstLine="0"/>
                  <w:jc w:val="left"/>
                  <w:rPr>
                    <w:sz w:val="16"/>
                  </w:rPr>
                </w:pPr>
                <w:r>
                  <w:rPr>
                    <w:sz w:val="16"/>
                  </w:rPr>
                  <w:t>385</w:t>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1912" filled="true" fillcolor="#c7c8ca" stroked="false">
          <v:fill type="solid"/>
          <w10:wrap type="none"/>
        </v:rect>
      </w:pict>
    </w:r>
    <w:r>
      <w:rPr/>
      <w:pict>
        <v:rect style="position:absolute;margin-left:696.401978pt;margin-top:576pt;width:18.850pt;height:61.795pt;mso-position-horizontal-relative:page;mso-position-vertical-relative:page;z-index:-631888" filled="true" fillcolor="#c7c8ca" stroked="false">
          <v:fill type="solid"/>
          <w10:wrap type="none"/>
        </v:rect>
      </w:pict>
    </w:r>
    <w:r>
      <w:rPr/>
      <w:pict>
        <v:shape style="position:absolute;margin-left:226.324799pt;margin-top:583.866394pt;width:15.35pt;height:10pt;mso-position-horizontal-relative:page;mso-position-vertical-relative:page;z-index:-631864" type="#_x0000_t202" filled="false" stroked="false">
          <v:textbox inset="0,0,0,0">
            <w:txbxContent>
              <w:p>
                <w:pPr>
                  <w:spacing w:before="1"/>
                  <w:ind w:left="20" w:right="0" w:firstLine="0"/>
                  <w:jc w:val="left"/>
                  <w:rPr>
                    <w:sz w:val="16"/>
                  </w:rPr>
                </w:pPr>
                <w:r>
                  <w:rPr>
                    <w:sz w:val="16"/>
                  </w:rPr>
                  <w:t>386</w:t>
                </w:r>
              </w:p>
            </w:txbxContent>
          </v:textbox>
          <w10:wrap type="none"/>
        </v:shape>
      </w:pict>
    </w:r>
    <w:r>
      <w:rPr/>
      <w:pict>
        <v:shape style="position:absolute;margin-left:698.076782pt;margin-top:583.866394pt;width:15.35pt;height:10pt;mso-position-horizontal-relative:page;mso-position-vertical-relative:page;z-index:-631840" type="#_x0000_t202" filled="false" stroked="false">
          <v:textbox inset="0,0,0,0">
            <w:txbxContent>
              <w:p>
                <w:pPr>
                  <w:spacing w:before="1"/>
                  <w:ind w:left="20" w:right="0" w:firstLine="0"/>
                  <w:jc w:val="left"/>
                  <w:rPr>
                    <w:sz w:val="16"/>
                  </w:rPr>
                </w:pPr>
                <w:r>
                  <w:rPr>
                    <w:sz w:val="16"/>
                  </w:rPr>
                  <w:t>387</w:t>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1600" filled="true" fillcolor="#c7c8ca" stroked="false">
          <v:fill type="solid"/>
          <w10:wrap type="none"/>
        </v:rect>
      </w:pict>
    </w:r>
    <w:r>
      <w:rPr/>
      <w:pict>
        <v:rect style="position:absolute;margin-left:696.401978pt;margin-top:576pt;width:18.850pt;height:61.795pt;mso-position-horizontal-relative:page;mso-position-vertical-relative:page;z-index:-631576" filled="true" fillcolor="#c7c8ca" stroked="false">
          <v:fill type="solid"/>
          <w10:wrap type="none"/>
        </v:rect>
      </w:pict>
    </w:r>
    <w:r>
      <w:rPr/>
      <w:pict>
        <v:shape style="position:absolute;margin-left:226.324799pt;margin-top:583.866394pt;width:15.35pt;height:10pt;mso-position-horizontal-relative:page;mso-position-vertical-relative:page;z-index:-631552" type="#_x0000_t202" filled="false" stroked="false">
          <v:textbox inset="0,0,0,0">
            <w:txbxContent>
              <w:p>
                <w:pPr>
                  <w:spacing w:before="1"/>
                  <w:ind w:left="20" w:right="0" w:firstLine="0"/>
                  <w:jc w:val="left"/>
                  <w:rPr>
                    <w:sz w:val="16"/>
                  </w:rPr>
                </w:pPr>
                <w:r>
                  <w:rPr>
                    <w:sz w:val="16"/>
                  </w:rPr>
                  <w:t>390</w:t>
                </w:r>
              </w:p>
            </w:txbxContent>
          </v:textbox>
          <w10:wrap type="none"/>
        </v:shape>
      </w:pict>
    </w:r>
    <w:r>
      <w:rPr/>
      <w:pict>
        <v:shape style="position:absolute;margin-left:698.076782pt;margin-top:583.866394pt;width:15.35pt;height:10pt;mso-position-horizontal-relative:page;mso-position-vertical-relative:page;z-index:-631528" type="#_x0000_t202" filled="false" stroked="false">
          <v:textbox inset="0,0,0,0">
            <w:txbxContent>
              <w:p>
                <w:pPr>
                  <w:spacing w:before="1"/>
                  <w:ind w:left="20" w:right="0" w:firstLine="0"/>
                  <w:jc w:val="left"/>
                  <w:rPr>
                    <w:sz w:val="16"/>
                  </w:rPr>
                </w:pPr>
                <w:r>
                  <w:rPr>
                    <w:sz w:val="16"/>
                  </w:rPr>
                  <w:t>391</w:t>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1504" filled="true" fillcolor="#c7c8ca" stroked="false">
          <v:fill type="solid"/>
          <w10:wrap type="none"/>
        </v:rect>
      </w:pict>
    </w:r>
    <w:r>
      <w:rPr/>
      <w:pict>
        <v:rect style="position:absolute;margin-left:696.401978pt;margin-top:576pt;width:18.850pt;height:61.795pt;mso-position-horizontal-relative:page;mso-position-vertical-relative:page;z-index:-631480" filled="true" fillcolor="#c7c8ca" stroked="false">
          <v:fill type="solid"/>
          <w10:wrap type="none"/>
        </v:rect>
      </w:pict>
    </w:r>
    <w:r>
      <w:rPr/>
      <w:pict>
        <v:shape style="position:absolute;margin-left:226.324799pt;margin-top:583.866394pt;width:15.35pt;height:10pt;mso-position-horizontal-relative:page;mso-position-vertical-relative:page;z-index:-631456" type="#_x0000_t202" filled="false" stroked="false">
          <v:textbox inset="0,0,0,0">
            <w:txbxContent>
              <w:p>
                <w:pPr>
                  <w:spacing w:before="1"/>
                  <w:ind w:left="20" w:right="0" w:firstLine="0"/>
                  <w:jc w:val="left"/>
                  <w:rPr>
                    <w:sz w:val="16"/>
                  </w:rPr>
                </w:pPr>
                <w:r>
                  <w:rPr>
                    <w:sz w:val="16"/>
                  </w:rPr>
                  <w:t>392</w:t>
                </w:r>
              </w:p>
            </w:txbxContent>
          </v:textbox>
          <w10:wrap type="none"/>
        </v:shape>
      </w:pict>
    </w:r>
    <w:r>
      <w:rPr/>
      <w:pict>
        <v:shape style="position:absolute;margin-left:698.076782pt;margin-top:583.866394pt;width:15.35pt;height:10pt;mso-position-horizontal-relative:page;mso-position-vertical-relative:page;z-index:-631432" type="#_x0000_t202" filled="false" stroked="false">
          <v:textbox inset="0,0,0,0">
            <w:txbxContent>
              <w:p>
                <w:pPr>
                  <w:spacing w:before="1"/>
                  <w:ind w:left="20" w:right="0" w:firstLine="0"/>
                  <w:jc w:val="left"/>
                  <w:rPr>
                    <w:sz w:val="16"/>
                  </w:rPr>
                </w:pPr>
                <w:r>
                  <w:rPr>
                    <w:sz w:val="16"/>
                  </w:rPr>
                  <w:t>393</w:t>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1408" filled="true" fillcolor="#c7c8ca" stroked="false">
          <v:fill type="solid"/>
          <w10:wrap type="none"/>
        </v:rect>
      </w:pict>
    </w:r>
    <w:r>
      <w:rPr/>
      <w:pict>
        <v:rect style="position:absolute;margin-left:696.401978pt;margin-top:576pt;width:18.850pt;height:61.795pt;mso-position-horizontal-relative:page;mso-position-vertical-relative:page;z-index:-631384" filled="true" fillcolor="#c7c8ca" stroked="false">
          <v:fill type="solid"/>
          <w10:wrap type="none"/>
        </v:rect>
      </w:pict>
    </w:r>
    <w:r>
      <w:rPr/>
      <w:pict>
        <v:shape style="position:absolute;margin-left:226.324799pt;margin-top:583.866394pt;width:15.35pt;height:10pt;mso-position-horizontal-relative:page;mso-position-vertical-relative:page;z-index:-631360" type="#_x0000_t202" filled="false" stroked="false">
          <v:textbox inset="0,0,0,0">
            <w:txbxContent>
              <w:p>
                <w:pPr>
                  <w:spacing w:before="1"/>
                  <w:ind w:left="20" w:right="0" w:firstLine="0"/>
                  <w:jc w:val="left"/>
                  <w:rPr>
                    <w:sz w:val="16"/>
                  </w:rPr>
                </w:pPr>
                <w:r>
                  <w:rPr>
                    <w:sz w:val="16"/>
                  </w:rPr>
                  <w:t>394</w:t>
                </w:r>
              </w:p>
            </w:txbxContent>
          </v:textbox>
          <w10:wrap type="none"/>
        </v:shape>
      </w:pict>
    </w:r>
    <w:r>
      <w:rPr/>
      <w:pict>
        <v:shape style="position:absolute;margin-left:698.076782pt;margin-top:583.866394pt;width:15.35pt;height:10pt;mso-position-horizontal-relative:page;mso-position-vertical-relative:page;z-index:-631336" type="#_x0000_t202" filled="false" stroked="false">
          <v:textbox inset="0,0,0,0">
            <w:txbxContent>
              <w:p>
                <w:pPr>
                  <w:spacing w:before="1"/>
                  <w:ind w:left="20" w:right="0" w:firstLine="0"/>
                  <w:jc w:val="left"/>
                  <w:rPr>
                    <w:sz w:val="16"/>
                  </w:rPr>
                </w:pPr>
                <w:r>
                  <w:rPr>
                    <w:sz w:val="16"/>
                  </w:rPr>
                  <w:t>395</w:t>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1312" filled="true" fillcolor="#c7c8ca" stroked="false">
          <v:fill type="solid"/>
          <w10:wrap type="none"/>
        </v:rect>
      </w:pict>
    </w:r>
    <w:r>
      <w:rPr/>
      <w:pict>
        <v:rect style="position:absolute;margin-left:696.401978pt;margin-top:576pt;width:18.850pt;height:61.795pt;mso-position-horizontal-relative:page;mso-position-vertical-relative:page;z-index:-631288" filled="true" fillcolor="#c7c8ca" stroked="false">
          <v:fill type="solid"/>
          <w10:wrap type="none"/>
        </v:rect>
      </w:pict>
    </w:r>
    <w:r>
      <w:rPr/>
      <w:pict>
        <v:shape style="position:absolute;margin-left:226.324799pt;margin-top:583.866394pt;width:15.35pt;height:10pt;mso-position-horizontal-relative:page;mso-position-vertical-relative:page;z-index:-631264" type="#_x0000_t202" filled="false" stroked="false">
          <v:textbox inset="0,0,0,0">
            <w:txbxContent>
              <w:p>
                <w:pPr>
                  <w:spacing w:before="1"/>
                  <w:ind w:left="20" w:right="0" w:firstLine="0"/>
                  <w:jc w:val="left"/>
                  <w:rPr>
                    <w:sz w:val="16"/>
                  </w:rPr>
                </w:pPr>
                <w:r>
                  <w:rPr>
                    <w:sz w:val="16"/>
                  </w:rPr>
                  <w:t>396</w:t>
                </w:r>
              </w:p>
            </w:txbxContent>
          </v:textbox>
          <w10:wrap type="none"/>
        </v:shape>
      </w:pict>
    </w:r>
    <w:r>
      <w:rPr/>
      <w:pict>
        <v:shape style="position:absolute;margin-left:698.076782pt;margin-top:583.866394pt;width:15.35pt;height:10pt;mso-position-horizontal-relative:page;mso-position-vertical-relative:page;z-index:-631240" type="#_x0000_t202" filled="false" stroked="false">
          <v:textbox inset="0,0,0,0">
            <w:txbxContent>
              <w:p>
                <w:pPr>
                  <w:spacing w:before="1"/>
                  <w:ind w:left="20" w:right="0" w:firstLine="0"/>
                  <w:jc w:val="left"/>
                  <w:rPr>
                    <w:sz w:val="16"/>
                  </w:rPr>
                </w:pPr>
                <w:r>
                  <w:rPr>
                    <w:sz w:val="16"/>
                  </w:rPr>
                  <w:t>397</w:t>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1216" filled="true" fillcolor="#c7c8ca" stroked="false">
          <v:fill type="solid"/>
          <w10:wrap type="none"/>
        </v:rect>
      </w:pict>
    </w:r>
    <w:r>
      <w:rPr/>
      <w:pict>
        <v:rect style="position:absolute;margin-left:696.401978pt;margin-top:576pt;width:18.850pt;height:61.795pt;mso-position-horizontal-relative:page;mso-position-vertical-relative:page;z-index:-631192" filled="true" fillcolor="#c7c8ca" stroked="false">
          <v:fill type="solid"/>
          <w10:wrap type="none"/>
        </v:rect>
      </w:pict>
    </w:r>
    <w:r>
      <w:rPr/>
      <w:pict>
        <v:shape style="position:absolute;margin-left:226.324799pt;margin-top:583.866394pt;width:15.35pt;height:10pt;mso-position-horizontal-relative:page;mso-position-vertical-relative:page;z-index:-631168" type="#_x0000_t202" filled="false" stroked="false">
          <v:textbox inset="0,0,0,0">
            <w:txbxContent>
              <w:p>
                <w:pPr>
                  <w:spacing w:before="1"/>
                  <w:ind w:left="20" w:right="0" w:firstLine="0"/>
                  <w:jc w:val="left"/>
                  <w:rPr>
                    <w:sz w:val="16"/>
                  </w:rPr>
                </w:pPr>
                <w:r>
                  <w:rPr>
                    <w:sz w:val="16"/>
                  </w:rPr>
                  <w:t>398</w:t>
                </w:r>
              </w:p>
            </w:txbxContent>
          </v:textbox>
          <w10:wrap type="none"/>
        </v:shape>
      </w:pict>
    </w:r>
    <w:r>
      <w:rPr/>
      <w:pict>
        <v:shape style="position:absolute;margin-left:698.076782pt;margin-top:583.866394pt;width:15.35pt;height:10pt;mso-position-horizontal-relative:page;mso-position-vertical-relative:page;z-index:-631144" type="#_x0000_t202" filled="false" stroked="false">
          <v:textbox inset="0,0,0,0">
            <w:txbxContent>
              <w:p>
                <w:pPr>
                  <w:spacing w:before="1"/>
                  <w:ind w:left="20" w:right="0" w:firstLine="0"/>
                  <w:jc w:val="left"/>
                  <w:rPr>
                    <w:sz w:val="16"/>
                  </w:rPr>
                </w:pPr>
                <w:r>
                  <w:rPr>
                    <w:sz w:val="16"/>
                  </w:rPr>
                  <w:t>399</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9576" filled="true" fillcolor="#c7c8ca" stroked="false">
          <v:fill type="solid"/>
          <w10:wrap type="none"/>
        </v:rect>
      </w:pict>
    </w:r>
    <w:r>
      <w:rPr/>
      <w:pict>
        <v:rect style="position:absolute;margin-left:696.401978pt;margin-top:576pt;width:18.850pt;height:61.795pt;mso-position-horizontal-relative:page;mso-position-vertical-relative:page;z-index:-649552" filled="true" fillcolor="#c7c8ca" stroked="false">
          <v:fill type="solid"/>
          <w10:wrap type="none"/>
        </v:rect>
      </w:pict>
    </w:r>
    <w:r>
      <w:rPr/>
      <w:pict>
        <v:shape style="position:absolute;margin-left:228.548798pt;margin-top:583.866394pt;width:10.9pt;height:10pt;mso-position-horizontal-relative:page;mso-position-vertical-relative:page;z-index:-649528" type="#_x0000_t202" filled="false" stroked="false">
          <v:textbox inset="0,0,0,0">
            <w:txbxContent>
              <w:p>
                <w:pPr>
                  <w:spacing w:before="1"/>
                  <w:ind w:left="20" w:right="0" w:firstLine="0"/>
                  <w:jc w:val="left"/>
                  <w:rPr>
                    <w:sz w:val="16"/>
                  </w:rPr>
                </w:pPr>
                <w:r>
                  <w:rPr>
                    <w:sz w:val="16"/>
                  </w:rPr>
                  <w:t>58</w:t>
                </w:r>
              </w:p>
            </w:txbxContent>
          </v:textbox>
          <w10:wrap type="none"/>
        </v:shape>
      </w:pict>
    </w:r>
    <w:r>
      <w:rPr/>
      <w:pict>
        <v:shape style="position:absolute;margin-left:700.300781pt;margin-top:583.866394pt;width:10.9pt;height:10pt;mso-position-horizontal-relative:page;mso-position-vertical-relative:page;z-index:-649504" type="#_x0000_t202" filled="false" stroked="false">
          <v:textbox inset="0,0,0,0">
            <w:txbxContent>
              <w:p>
                <w:pPr>
                  <w:spacing w:before="1"/>
                  <w:ind w:left="20" w:right="0" w:firstLine="0"/>
                  <w:jc w:val="left"/>
                  <w:rPr>
                    <w:sz w:val="16"/>
                  </w:rPr>
                </w:pPr>
                <w:r>
                  <w:rPr>
                    <w:sz w:val="16"/>
                  </w:rPr>
                  <w:t>59</w:t>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1120" filled="true" fillcolor="#c7c8ca" stroked="false">
          <v:fill type="solid"/>
          <w10:wrap type="none"/>
        </v:rect>
      </w:pict>
    </w:r>
    <w:r>
      <w:rPr/>
      <w:pict>
        <v:rect style="position:absolute;margin-left:696.401978pt;margin-top:576pt;width:18.850pt;height:61.795pt;mso-position-horizontal-relative:page;mso-position-vertical-relative:page;z-index:-631096" filled="true" fillcolor="#c7c8ca" stroked="false">
          <v:fill type="solid"/>
          <w10:wrap type="none"/>
        </v:rect>
      </w:pict>
    </w:r>
    <w:r>
      <w:rPr/>
      <w:pict>
        <v:shape style="position:absolute;margin-left:226.324799pt;margin-top:583.866394pt;width:15.35pt;height:10pt;mso-position-horizontal-relative:page;mso-position-vertical-relative:page;z-index:-631072" type="#_x0000_t202" filled="false" stroked="false">
          <v:textbox inset="0,0,0,0">
            <w:txbxContent>
              <w:p>
                <w:pPr>
                  <w:spacing w:before="1"/>
                  <w:ind w:left="20" w:right="0" w:firstLine="0"/>
                  <w:jc w:val="left"/>
                  <w:rPr>
                    <w:sz w:val="16"/>
                  </w:rPr>
                </w:pPr>
                <w:r>
                  <w:rPr>
                    <w:sz w:val="16"/>
                  </w:rPr>
                  <w:t>400</w:t>
                </w:r>
              </w:p>
            </w:txbxContent>
          </v:textbox>
          <w10:wrap type="none"/>
        </v:shape>
      </w:pict>
    </w:r>
    <w:r>
      <w:rPr/>
      <w:pict>
        <v:shape style="position:absolute;margin-left:698.076782pt;margin-top:583.866394pt;width:15.35pt;height:10pt;mso-position-horizontal-relative:page;mso-position-vertical-relative:page;z-index:-631048" type="#_x0000_t202" filled="false" stroked="false">
          <v:textbox inset="0,0,0,0">
            <w:txbxContent>
              <w:p>
                <w:pPr>
                  <w:spacing w:before="1"/>
                  <w:ind w:left="20" w:right="0" w:firstLine="0"/>
                  <w:jc w:val="left"/>
                  <w:rPr>
                    <w:sz w:val="16"/>
                  </w:rPr>
                </w:pPr>
                <w:r>
                  <w:rPr>
                    <w:sz w:val="16"/>
                  </w:rPr>
                  <w:t>401</w:t>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1024" filled="true" fillcolor="#c7c8ca" stroked="false">
          <v:fill type="solid"/>
          <w10:wrap type="none"/>
        </v:rect>
      </w:pict>
    </w:r>
    <w:r>
      <w:rPr/>
      <w:pict>
        <v:rect style="position:absolute;margin-left:696.401978pt;margin-top:576pt;width:18.850pt;height:61.795pt;mso-position-horizontal-relative:page;mso-position-vertical-relative:page;z-index:-631000" filled="true" fillcolor="#c7c8ca" stroked="false">
          <v:fill type="solid"/>
          <w10:wrap type="none"/>
        </v:rect>
      </w:pict>
    </w:r>
    <w:r>
      <w:rPr/>
      <w:pict>
        <v:shape style="position:absolute;margin-left:226.324799pt;margin-top:583.866394pt;width:15.35pt;height:10pt;mso-position-horizontal-relative:page;mso-position-vertical-relative:page;z-index:-630976" type="#_x0000_t202" filled="false" stroked="false">
          <v:textbox inset="0,0,0,0">
            <w:txbxContent>
              <w:p>
                <w:pPr>
                  <w:spacing w:before="1"/>
                  <w:ind w:left="20" w:right="0" w:firstLine="0"/>
                  <w:jc w:val="left"/>
                  <w:rPr>
                    <w:sz w:val="16"/>
                  </w:rPr>
                </w:pPr>
                <w:r>
                  <w:rPr>
                    <w:sz w:val="16"/>
                  </w:rPr>
                  <w:t>402</w:t>
                </w:r>
              </w:p>
            </w:txbxContent>
          </v:textbox>
          <w10:wrap type="none"/>
        </v:shape>
      </w:pict>
    </w:r>
    <w:r>
      <w:rPr/>
      <w:pict>
        <v:shape style="position:absolute;margin-left:698.076782pt;margin-top:583.866394pt;width:15.35pt;height:10pt;mso-position-horizontal-relative:page;mso-position-vertical-relative:page;z-index:-630952" type="#_x0000_t202" filled="false" stroked="false">
          <v:textbox inset="0,0,0,0">
            <w:txbxContent>
              <w:p>
                <w:pPr>
                  <w:spacing w:before="1"/>
                  <w:ind w:left="20" w:right="0" w:firstLine="0"/>
                  <w:jc w:val="left"/>
                  <w:rPr>
                    <w:sz w:val="16"/>
                  </w:rPr>
                </w:pPr>
                <w:r>
                  <w:rPr>
                    <w:sz w:val="16"/>
                  </w:rPr>
                  <w:t>403</w:t>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928" filled="true" fillcolor="#c7c8ca" stroked="false">
          <v:fill type="solid"/>
          <w10:wrap type="none"/>
        </v:rect>
      </w:pict>
    </w:r>
    <w:r>
      <w:rPr/>
      <w:pict>
        <v:rect style="position:absolute;margin-left:696.401978pt;margin-top:576pt;width:18.850pt;height:61.795pt;mso-position-horizontal-relative:page;mso-position-vertical-relative:page;z-index:-630904" filled="true" fillcolor="#c7c8ca" stroked="false">
          <v:fill type="solid"/>
          <w10:wrap type="none"/>
        </v:rect>
      </w:pict>
    </w:r>
    <w:r>
      <w:rPr/>
      <w:pict>
        <v:shape style="position:absolute;margin-left:226.324799pt;margin-top:583.866394pt;width:15.35pt;height:10pt;mso-position-horizontal-relative:page;mso-position-vertical-relative:page;z-index:-630880" type="#_x0000_t202" filled="false" stroked="false">
          <v:textbox inset="0,0,0,0">
            <w:txbxContent>
              <w:p>
                <w:pPr>
                  <w:spacing w:before="1"/>
                  <w:ind w:left="20" w:right="0" w:firstLine="0"/>
                  <w:jc w:val="left"/>
                  <w:rPr>
                    <w:sz w:val="16"/>
                  </w:rPr>
                </w:pPr>
                <w:r>
                  <w:rPr>
                    <w:sz w:val="16"/>
                  </w:rPr>
                  <w:t>404</w:t>
                </w:r>
              </w:p>
            </w:txbxContent>
          </v:textbox>
          <w10:wrap type="none"/>
        </v:shape>
      </w:pict>
    </w:r>
    <w:r>
      <w:rPr/>
      <w:pict>
        <v:shape style="position:absolute;margin-left:698.076782pt;margin-top:583.866394pt;width:15.35pt;height:10pt;mso-position-horizontal-relative:page;mso-position-vertical-relative:page;z-index:-630856" type="#_x0000_t202" filled="false" stroked="false">
          <v:textbox inset="0,0,0,0">
            <w:txbxContent>
              <w:p>
                <w:pPr>
                  <w:spacing w:before="1"/>
                  <w:ind w:left="20" w:right="0" w:firstLine="0"/>
                  <w:jc w:val="left"/>
                  <w:rPr>
                    <w:sz w:val="16"/>
                  </w:rPr>
                </w:pPr>
                <w:r>
                  <w:rPr>
                    <w:sz w:val="16"/>
                  </w:rPr>
                  <w:t>405</w:t>
                </w:r>
              </w:p>
            </w:txbxContent>
          </v:textbox>
          <w10:wrap type="none"/>
        </v:shape>
      </w:pict>
    </w: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832" filled="true" fillcolor="#c7c8ca" stroked="false">
          <v:fill type="solid"/>
          <w10:wrap type="none"/>
        </v:rect>
      </w:pict>
    </w:r>
    <w:r>
      <w:rPr/>
      <w:pict>
        <v:rect style="position:absolute;margin-left:696.401978pt;margin-top:576pt;width:18.850pt;height:61.795pt;mso-position-horizontal-relative:page;mso-position-vertical-relative:page;z-index:-630808" filled="true" fillcolor="#c7c8ca" stroked="false">
          <v:fill type="solid"/>
          <w10:wrap type="none"/>
        </v:rect>
      </w:pict>
    </w:r>
    <w:r>
      <w:rPr/>
      <w:pict>
        <v:shape style="position:absolute;margin-left:226.324799pt;margin-top:583.866394pt;width:15.35pt;height:10pt;mso-position-horizontal-relative:page;mso-position-vertical-relative:page;z-index:-630784" type="#_x0000_t202" filled="false" stroked="false">
          <v:textbox inset="0,0,0,0">
            <w:txbxContent>
              <w:p>
                <w:pPr>
                  <w:spacing w:before="1"/>
                  <w:ind w:left="20" w:right="0" w:firstLine="0"/>
                  <w:jc w:val="left"/>
                  <w:rPr>
                    <w:sz w:val="16"/>
                  </w:rPr>
                </w:pPr>
                <w:r>
                  <w:rPr>
                    <w:sz w:val="16"/>
                  </w:rPr>
                  <w:t>406</w:t>
                </w:r>
              </w:p>
            </w:txbxContent>
          </v:textbox>
          <w10:wrap type="none"/>
        </v:shape>
      </w:pict>
    </w:r>
    <w:r>
      <w:rPr/>
      <w:pict>
        <v:shape style="position:absolute;margin-left:698.076782pt;margin-top:583.866394pt;width:15.35pt;height:10pt;mso-position-horizontal-relative:page;mso-position-vertical-relative:page;z-index:-630760" type="#_x0000_t202" filled="false" stroked="false">
          <v:textbox inset="0,0,0,0">
            <w:txbxContent>
              <w:p>
                <w:pPr>
                  <w:spacing w:before="1"/>
                  <w:ind w:left="20" w:right="0" w:firstLine="0"/>
                  <w:jc w:val="left"/>
                  <w:rPr>
                    <w:sz w:val="16"/>
                  </w:rPr>
                </w:pPr>
                <w:r>
                  <w:rPr>
                    <w:sz w:val="16"/>
                  </w:rPr>
                  <w:t>407</w:t>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736" filled="true" fillcolor="#c7c8ca" stroked="false">
          <v:fill type="solid"/>
          <w10:wrap type="none"/>
        </v:rect>
      </w:pict>
    </w:r>
    <w:r>
      <w:rPr/>
      <w:pict>
        <v:rect style="position:absolute;margin-left:696.401978pt;margin-top:576pt;width:18.850pt;height:61.795pt;mso-position-horizontal-relative:page;mso-position-vertical-relative:page;z-index:-630712" filled="true" fillcolor="#c7c8ca" stroked="false">
          <v:fill type="solid"/>
          <w10:wrap type="none"/>
        </v:rect>
      </w:pict>
    </w:r>
    <w:r>
      <w:rPr/>
      <w:pict>
        <v:shape style="position:absolute;margin-left:226.324799pt;margin-top:583.866394pt;width:15.35pt;height:10pt;mso-position-horizontal-relative:page;mso-position-vertical-relative:page;z-index:-630688" type="#_x0000_t202" filled="false" stroked="false">
          <v:textbox inset="0,0,0,0">
            <w:txbxContent>
              <w:p>
                <w:pPr>
                  <w:spacing w:before="1"/>
                  <w:ind w:left="20" w:right="0" w:firstLine="0"/>
                  <w:jc w:val="left"/>
                  <w:rPr>
                    <w:sz w:val="16"/>
                  </w:rPr>
                </w:pPr>
                <w:r>
                  <w:rPr>
                    <w:sz w:val="16"/>
                  </w:rPr>
                  <w:t>408</w:t>
                </w:r>
              </w:p>
            </w:txbxContent>
          </v:textbox>
          <w10:wrap type="none"/>
        </v:shape>
      </w:pict>
    </w:r>
    <w:r>
      <w:rPr/>
      <w:pict>
        <v:shape style="position:absolute;margin-left:698.076782pt;margin-top:583.866394pt;width:15.35pt;height:10pt;mso-position-horizontal-relative:page;mso-position-vertical-relative:page;z-index:-630664" type="#_x0000_t202" filled="false" stroked="false">
          <v:textbox inset="0,0,0,0">
            <w:txbxContent>
              <w:p>
                <w:pPr>
                  <w:spacing w:before="1"/>
                  <w:ind w:left="20" w:right="0" w:firstLine="0"/>
                  <w:jc w:val="left"/>
                  <w:rPr>
                    <w:sz w:val="16"/>
                  </w:rPr>
                </w:pPr>
                <w:r>
                  <w:rPr>
                    <w:sz w:val="16"/>
                  </w:rPr>
                  <w:t>409</w:t>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640" filled="true" fillcolor="#c7c8ca" stroked="false">
          <v:fill type="solid"/>
          <w10:wrap type="none"/>
        </v:rect>
      </w:pict>
    </w:r>
    <w:r>
      <w:rPr/>
      <w:pict>
        <v:rect style="position:absolute;margin-left:696.401978pt;margin-top:576pt;width:18.850pt;height:61.795pt;mso-position-horizontal-relative:page;mso-position-vertical-relative:page;z-index:-630616" filled="true" fillcolor="#c7c8ca" stroked="false">
          <v:fill type="solid"/>
          <w10:wrap type="none"/>
        </v:rect>
      </w:pict>
    </w:r>
    <w:r>
      <w:rPr/>
      <w:pict>
        <v:shape style="position:absolute;margin-left:226.324799pt;margin-top:583.866394pt;width:15.35pt;height:10pt;mso-position-horizontal-relative:page;mso-position-vertical-relative:page;z-index:-630592" type="#_x0000_t202" filled="false" stroked="false">
          <v:textbox inset="0,0,0,0">
            <w:txbxContent>
              <w:p>
                <w:pPr>
                  <w:spacing w:before="1"/>
                  <w:ind w:left="20" w:right="0" w:firstLine="0"/>
                  <w:jc w:val="left"/>
                  <w:rPr>
                    <w:sz w:val="16"/>
                  </w:rPr>
                </w:pPr>
                <w:r>
                  <w:rPr>
                    <w:sz w:val="16"/>
                  </w:rPr>
                  <w:t>410</w:t>
                </w:r>
              </w:p>
            </w:txbxContent>
          </v:textbox>
          <w10:wrap type="none"/>
        </v:shape>
      </w:pict>
    </w:r>
    <w:r>
      <w:rPr/>
      <w:pict>
        <v:shape style="position:absolute;margin-left:698.076782pt;margin-top:583.866394pt;width:15.35pt;height:10pt;mso-position-horizontal-relative:page;mso-position-vertical-relative:page;z-index:-630568" type="#_x0000_t202" filled="false" stroked="false">
          <v:textbox inset="0,0,0,0">
            <w:txbxContent>
              <w:p>
                <w:pPr>
                  <w:spacing w:before="1"/>
                  <w:ind w:left="20" w:right="0" w:firstLine="0"/>
                  <w:jc w:val="left"/>
                  <w:rPr>
                    <w:sz w:val="16"/>
                  </w:rPr>
                </w:pPr>
                <w:r>
                  <w:rPr>
                    <w:sz w:val="16"/>
                  </w:rPr>
                  <w:t>411</w:t>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544" filled="true" fillcolor="#c7c8ca" stroked="false">
          <v:fill type="solid"/>
          <w10:wrap type="none"/>
        </v:rect>
      </w:pict>
    </w:r>
    <w:r>
      <w:rPr/>
      <w:pict>
        <v:rect style="position:absolute;margin-left:696.401978pt;margin-top:576pt;width:18.850pt;height:61.795pt;mso-position-horizontal-relative:page;mso-position-vertical-relative:page;z-index:-630520" filled="true" fillcolor="#c7c8ca" stroked="false">
          <v:fill type="solid"/>
          <w10:wrap type="none"/>
        </v:rect>
      </w:pict>
    </w:r>
    <w:r>
      <w:rPr/>
      <w:pict>
        <v:shape style="position:absolute;margin-left:226.324799pt;margin-top:583.866394pt;width:15.35pt;height:10pt;mso-position-horizontal-relative:page;mso-position-vertical-relative:page;z-index:-630496" type="#_x0000_t202" filled="false" stroked="false">
          <v:textbox inset="0,0,0,0">
            <w:txbxContent>
              <w:p>
                <w:pPr>
                  <w:spacing w:before="1"/>
                  <w:ind w:left="20" w:right="0" w:firstLine="0"/>
                  <w:jc w:val="left"/>
                  <w:rPr>
                    <w:sz w:val="16"/>
                  </w:rPr>
                </w:pPr>
                <w:r>
                  <w:rPr>
                    <w:sz w:val="16"/>
                  </w:rPr>
                  <w:t>412</w:t>
                </w:r>
              </w:p>
            </w:txbxContent>
          </v:textbox>
          <w10:wrap type="none"/>
        </v:shape>
      </w:pict>
    </w:r>
    <w:r>
      <w:rPr/>
      <w:pict>
        <v:shape style="position:absolute;margin-left:698.076782pt;margin-top:583.866394pt;width:15.35pt;height:10pt;mso-position-horizontal-relative:page;mso-position-vertical-relative:page;z-index:-630472" type="#_x0000_t202" filled="false" stroked="false">
          <v:textbox inset="0,0,0,0">
            <w:txbxContent>
              <w:p>
                <w:pPr>
                  <w:spacing w:before="1"/>
                  <w:ind w:left="20" w:right="0" w:firstLine="0"/>
                  <w:jc w:val="left"/>
                  <w:rPr>
                    <w:sz w:val="16"/>
                  </w:rPr>
                </w:pPr>
                <w:r>
                  <w:rPr>
                    <w:sz w:val="16"/>
                  </w:rPr>
                  <w:t>413</w:t>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448" filled="true" fillcolor="#c7c8ca" stroked="false">
          <v:fill type="solid"/>
          <w10:wrap type="none"/>
        </v:rect>
      </w:pict>
    </w:r>
    <w:r>
      <w:rPr/>
      <w:pict>
        <v:rect style="position:absolute;margin-left:696.401978pt;margin-top:576pt;width:18.850pt;height:61.795pt;mso-position-horizontal-relative:page;mso-position-vertical-relative:page;z-index:-630424" filled="true" fillcolor="#c7c8ca" stroked="false">
          <v:fill type="solid"/>
          <w10:wrap type="none"/>
        </v:rect>
      </w:pict>
    </w:r>
    <w:r>
      <w:rPr/>
      <w:pict>
        <v:shape style="position:absolute;margin-left:226.324799pt;margin-top:583.866394pt;width:15.35pt;height:10pt;mso-position-horizontal-relative:page;mso-position-vertical-relative:page;z-index:-630400" type="#_x0000_t202" filled="false" stroked="false">
          <v:textbox inset="0,0,0,0">
            <w:txbxContent>
              <w:p>
                <w:pPr>
                  <w:spacing w:before="1"/>
                  <w:ind w:left="20" w:right="0" w:firstLine="0"/>
                  <w:jc w:val="left"/>
                  <w:rPr>
                    <w:sz w:val="16"/>
                  </w:rPr>
                </w:pPr>
                <w:r>
                  <w:rPr>
                    <w:sz w:val="16"/>
                  </w:rPr>
                  <w:t>414</w:t>
                </w:r>
              </w:p>
            </w:txbxContent>
          </v:textbox>
          <w10:wrap type="none"/>
        </v:shape>
      </w:pict>
    </w:r>
    <w:r>
      <w:rPr/>
      <w:pict>
        <v:shape style="position:absolute;margin-left:698.076782pt;margin-top:583.866394pt;width:15.35pt;height:10pt;mso-position-horizontal-relative:page;mso-position-vertical-relative:page;z-index:-630376" type="#_x0000_t202" filled="false" stroked="false">
          <v:textbox inset="0,0,0,0">
            <w:txbxContent>
              <w:p>
                <w:pPr>
                  <w:spacing w:before="1"/>
                  <w:ind w:left="20" w:right="0" w:firstLine="0"/>
                  <w:jc w:val="left"/>
                  <w:rPr>
                    <w:sz w:val="16"/>
                  </w:rPr>
                </w:pPr>
                <w:r>
                  <w:rPr>
                    <w:sz w:val="16"/>
                  </w:rPr>
                  <w:t>415</w:t>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352" filled="true" fillcolor="#c7c8ca" stroked="false">
          <v:fill type="solid"/>
          <w10:wrap type="none"/>
        </v:rect>
      </w:pict>
    </w:r>
    <w:r>
      <w:rPr/>
      <w:pict>
        <v:rect style="position:absolute;margin-left:696.401978pt;margin-top:576pt;width:18.850pt;height:61.795pt;mso-position-horizontal-relative:page;mso-position-vertical-relative:page;z-index:-630328" filled="true" fillcolor="#c7c8ca" stroked="false">
          <v:fill type="solid"/>
          <w10:wrap type="none"/>
        </v:rect>
      </w:pict>
    </w:r>
    <w:r>
      <w:rPr/>
      <w:pict>
        <v:shape style="position:absolute;margin-left:226.324799pt;margin-top:583.866394pt;width:15.35pt;height:10pt;mso-position-horizontal-relative:page;mso-position-vertical-relative:page;z-index:-630304" type="#_x0000_t202" filled="false" stroked="false">
          <v:textbox inset="0,0,0,0">
            <w:txbxContent>
              <w:p>
                <w:pPr>
                  <w:spacing w:before="1"/>
                  <w:ind w:left="20" w:right="0" w:firstLine="0"/>
                  <w:jc w:val="left"/>
                  <w:rPr>
                    <w:sz w:val="16"/>
                  </w:rPr>
                </w:pPr>
                <w:r>
                  <w:rPr>
                    <w:sz w:val="16"/>
                  </w:rPr>
                  <w:t>416</w:t>
                </w:r>
              </w:p>
            </w:txbxContent>
          </v:textbox>
          <w10:wrap type="none"/>
        </v:shape>
      </w:pict>
    </w:r>
    <w:r>
      <w:rPr/>
      <w:pict>
        <v:shape style="position:absolute;margin-left:698.076782pt;margin-top:583.866394pt;width:15.35pt;height:10pt;mso-position-horizontal-relative:page;mso-position-vertical-relative:page;z-index:-630280" type="#_x0000_t202" filled="false" stroked="false">
          <v:textbox inset="0,0,0,0">
            <w:txbxContent>
              <w:p>
                <w:pPr>
                  <w:spacing w:before="1"/>
                  <w:ind w:left="20" w:right="0" w:firstLine="0"/>
                  <w:jc w:val="left"/>
                  <w:rPr>
                    <w:sz w:val="16"/>
                  </w:rPr>
                </w:pPr>
                <w:r>
                  <w:rPr>
                    <w:sz w:val="16"/>
                  </w:rPr>
                  <w:t>417</w:t>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256" filled="true" fillcolor="#c7c8ca" stroked="false">
          <v:fill type="solid"/>
          <w10:wrap type="none"/>
        </v:rect>
      </w:pict>
    </w:r>
    <w:r>
      <w:rPr/>
      <w:pict>
        <v:rect style="position:absolute;margin-left:696.401978pt;margin-top:576pt;width:18.850pt;height:61.795pt;mso-position-horizontal-relative:page;mso-position-vertical-relative:page;z-index:-630232" filled="true" fillcolor="#c7c8ca" stroked="false">
          <v:fill type="solid"/>
          <w10:wrap type="none"/>
        </v:rect>
      </w:pict>
    </w:r>
    <w:r>
      <w:rPr/>
      <w:pict>
        <v:shape style="position:absolute;margin-left:226.324799pt;margin-top:583.866394pt;width:15.35pt;height:10pt;mso-position-horizontal-relative:page;mso-position-vertical-relative:page;z-index:-630208" type="#_x0000_t202" filled="false" stroked="false">
          <v:textbox inset="0,0,0,0">
            <w:txbxContent>
              <w:p>
                <w:pPr>
                  <w:spacing w:before="1"/>
                  <w:ind w:left="20" w:right="0" w:firstLine="0"/>
                  <w:jc w:val="left"/>
                  <w:rPr>
                    <w:sz w:val="16"/>
                  </w:rPr>
                </w:pPr>
                <w:r>
                  <w:rPr>
                    <w:sz w:val="16"/>
                  </w:rPr>
                  <w:t>418</w:t>
                </w:r>
              </w:p>
            </w:txbxContent>
          </v:textbox>
          <w10:wrap type="none"/>
        </v:shape>
      </w:pict>
    </w:r>
    <w:r>
      <w:rPr/>
      <w:pict>
        <v:shape style="position:absolute;margin-left:698.076782pt;margin-top:583.866394pt;width:15.35pt;height:10pt;mso-position-horizontal-relative:page;mso-position-vertical-relative:page;z-index:-630184" type="#_x0000_t202" filled="false" stroked="false">
          <v:textbox inset="0,0,0,0">
            <w:txbxContent>
              <w:p>
                <w:pPr>
                  <w:spacing w:before="1"/>
                  <w:ind w:left="20" w:right="0" w:firstLine="0"/>
                  <w:jc w:val="left"/>
                  <w:rPr>
                    <w:sz w:val="16"/>
                  </w:rPr>
                </w:pPr>
                <w:r>
                  <w:rPr>
                    <w:sz w:val="16"/>
                  </w:rPr>
                  <w:t>419</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1448" filled="true" fillcolor="#c7c8ca" stroked="false">
          <v:fill type="solid"/>
          <w10:wrap type="none"/>
        </v:rect>
      </w:pict>
    </w:r>
    <w:r>
      <w:rPr/>
      <w:pict>
        <v:rect style="position:absolute;margin-left:696.401978pt;margin-top:576pt;width:18.850pt;height:61.795pt;mso-position-horizontal-relative:page;mso-position-vertical-relative:page;z-index:-651424" filled="true" fillcolor="#c7c8ca" stroked="false">
          <v:fill type="solid"/>
          <w10:wrap type="none"/>
        </v:rect>
      </w:pict>
    </w:r>
    <w:r>
      <w:rPr/>
      <w:pict>
        <v:shape style="position:absolute;margin-left:228.548798pt;margin-top:583.866394pt;width:10.9pt;height:10pt;mso-position-horizontal-relative:page;mso-position-vertical-relative:page;z-index:-651400" type="#_x0000_t202" filled="false" stroked="false">
          <v:textbox inset="0,0,0,0">
            <w:txbxContent>
              <w:p>
                <w:pPr>
                  <w:spacing w:before="1"/>
                  <w:ind w:left="20" w:right="0" w:firstLine="0"/>
                  <w:jc w:val="left"/>
                  <w:rPr>
                    <w:sz w:val="16"/>
                  </w:rPr>
                </w:pPr>
                <w:r>
                  <w:rPr>
                    <w:sz w:val="16"/>
                  </w:rPr>
                  <w:t>24</w:t>
                </w:r>
              </w:p>
            </w:txbxContent>
          </v:textbox>
          <w10:wrap type="none"/>
        </v:shape>
      </w:pict>
    </w:r>
    <w:r>
      <w:rPr/>
      <w:pict>
        <v:shape style="position:absolute;margin-left:700.300781pt;margin-top:583.866394pt;width:10.9pt;height:10pt;mso-position-horizontal-relative:page;mso-position-vertical-relative:page;z-index:-651376" type="#_x0000_t202" filled="false" stroked="false">
          <v:textbox inset="0,0,0,0">
            <w:txbxContent>
              <w:p>
                <w:pPr>
                  <w:spacing w:before="1"/>
                  <w:ind w:left="20" w:right="0" w:firstLine="0"/>
                  <w:jc w:val="left"/>
                  <w:rPr>
                    <w:sz w:val="16"/>
                  </w:rPr>
                </w:pPr>
                <w:r>
                  <w:rPr>
                    <w:sz w:val="16"/>
                  </w:rPr>
                  <w:t>25</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9480" filled="true" fillcolor="#c7c8ca" stroked="false">
          <v:fill type="solid"/>
          <w10:wrap type="none"/>
        </v:rect>
      </w:pict>
    </w:r>
    <w:r>
      <w:rPr/>
      <w:pict>
        <v:rect style="position:absolute;margin-left:696.401978pt;margin-top:576pt;width:18.850pt;height:61.795pt;mso-position-horizontal-relative:page;mso-position-vertical-relative:page;z-index:-649456" filled="true" fillcolor="#c7c8ca" stroked="false">
          <v:fill type="solid"/>
          <w10:wrap type="none"/>
        </v:rect>
      </w:pict>
    </w:r>
    <w:r>
      <w:rPr/>
      <w:pict>
        <v:shape style="position:absolute;margin-left:228.548798pt;margin-top:583.866394pt;width:10.9pt;height:10pt;mso-position-horizontal-relative:page;mso-position-vertical-relative:page;z-index:-649432" type="#_x0000_t202" filled="false" stroked="false">
          <v:textbox inset="0,0,0,0">
            <w:txbxContent>
              <w:p>
                <w:pPr>
                  <w:spacing w:before="1"/>
                  <w:ind w:left="20" w:right="0" w:firstLine="0"/>
                  <w:jc w:val="left"/>
                  <w:rPr>
                    <w:sz w:val="16"/>
                  </w:rPr>
                </w:pPr>
                <w:r>
                  <w:rPr>
                    <w:sz w:val="16"/>
                  </w:rPr>
                  <w:t>60</w:t>
                </w:r>
              </w:p>
            </w:txbxContent>
          </v:textbox>
          <w10:wrap type="none"/>
        </v:shape>
      </w:pict>
    </w:r>
    <w:r>
      <w:rPr/>
      <w:pict>
        <v:shape style="position:absolute;margin-left:700.300781pt;margin-top:583.866394pt;width:10.9pt;height:10pt;mso-position-horizontal-relative:page;mso-position-vertical-relative:page;z-index:-649408" type="#_x0000_t202" filled="false" stroked="false">
          <v:textbox inset="0,0,0,0">
            <w:txbxContent>
              <w:p>
                <w:pPr>
                  <w:spacing w:before="1"/>
                  <w:ind w:left="20" w:right="0" w:firstLine="0"/>
                  <w:jc w:val="left"/>
                  <w:rPr>
                    <w:sz w:val="16"/>
                  </w:rPr>
                </w:pPr>
                <w:r>
                  <w:rPr>
                    <w:sz w:val="16"/>
                  </w:rPr>
                  <w:t>61</w:t>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160" filled="true" fillcolor="#c7c8ca" stroked="false">
          <v:fill type="solid"/>
          <w10:wrap type="none"/>
        </v:rect>
      </w:pict>
    </w:r>
    <w:r>
      <w:rPr/>
      <w:pict>
        <v:rect style="position:absolute;margin-left:696.401978pt;margin-top:576pt;width:18.850pt;height:61.795pt;mso-position-horizontal-relative:page;mso-position-vertical-relative:page;z-index:-630136" filled="true" fillcolor="#c7c8ca" stroked="false">
          <v:fill type="solid"/>
          <w10:wrap type="none"/>
        </v:rect>
      </w:pict>
    </w:r>
    <w:r>
      <w:rPr/>
      <w:pict>
        <v:shape style="position:absolute;margin-left:226.324799pt;margin-top:583.866394pt;width:15.35pt;height:10pt;mso-position-horizontal-relative:page;mso-position-vertical-relative:page;z-index:-630112" type="#_x0000_t202" filled="false" stroked="false">
          <v:textbox inset="0,0,0,0">
            <w:txbxContent>
              <w:p>
                <w:pPr>
                  <w:spacing w:before="1"/>
                  <w:ind w:left="20" w:right="0" w:firstLine="0"/>
                  <w:jc w:val="left"/>
                  <w:rPr>
                    <w:sz w:val="16"/>
                  </w:rPr>
                </w:pPr>
                <w:r>
                  <w:rPr>
                    <w:sz w:val="16"/>
                  </w:rPr>
                  <w:t>420</w:t>
                </w:r>
              </w:p>
            </w:txbxContent>
          </v:textbox>
          <w10:wrap type="none"/>
        </v:shape>
      </w:pict>
    </w:r>
    <w:r>
      <w:rPr/>
      <w:pict>
        <v:shape style="position:absolute;margin-left:698.076782pt;margin-top:583.866394pt;width:15.35pt;height:10pt;mso-position-horizontal-relative:page;mso-position-vertical-relative:page;z-index:-630088" type="#_x0000_t202" filled="false" stroked="false">
          <v:textbox inset="0,0,0,0">
            <w:txbxContent>
              <w:p>
                <w:pPr>
                  <w:spacing w:before="1"/>
                  <w:ind w:left="20" w:right="0" w:firstLine="0"/>
                  <w:jc w:val="left"/>
                  <w:rPr>
                    <w:sz w:val="16"/>
                  </w:rPr>
                </w:pPr>
                <w:r>
                  <w:rPr>
                    <w:sz w:val="16"/>
                  </w:rPr>
                  <w:t>421</w:t>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30064" filled="true" fillcolor="#c7c8ca" stroked="false">
          <v:fill type="solid"/>
          <w10:wrap type="none"/>
        </v:rect>
      </w:pict>
    </w:r>
    <w:r>
      <w:rPr/>
      <w:pict>
        <v:rect style="position:absolute;margin-left:696.401978pt;margin-top:576pt;width:18.850pt;height:61.795pt;mso-position-horizontal-relative:page;mso-position-vertical-relative:page;z-index:-630040" filled="true" fillcolor="#c7c8ca" stroked="false">
          <v:fill type="solid"/>
          <w10:wrap type="none"/>
        </v:rect>
      </w:pict>
    </w:r>
    <w:r>
      <w:rPr/>
      <w:pict>
        <v:shape style="position:absolute;margin-left:226.324799pt;margin-top:583.866394pt;width:15.35pt;height:10pt;mso-position-horizontal-relative:page;mso-position-vertical-relative:page;z-index:-630016" type="#_x0000_t202" filled="false" stroked="false">
          <v:textbox inset="0,0,0,0">
            <w:txbxContent>
              <w:p>
                <w:pPr>
                  <w:spacing w:before="1"/>
                  <w:ind w:left="20" w:right="0" w:firstLine="0"/>
                  <w:jc w:val="left"/>
                  <w:rPr>
                    <w:sz w:val="16"/>
                  </w:rPr>
                </w:pPr>
                <w:r>
                  <w:rPr>
                    <w:sz w:val="16"/>
                  </w:rPr>
                  <w:t>422</w:t>
                </w:r>
              </w:p>
            </w:txbxContent>
          </v:textbox>
          <w10:wrap type="none"/>
        </v:shape>
      </w:pict>
    </w:r>
    <w:r>
      <w:rPr/>
      <w:pict>
        <v:shape style="position:absolute;margin-left:698.076782pt;margin-top:583.866394pt;width:15.35pt;height:10pt;mso-position-horizontal-relative:page;mso-position-vertical-relative:page;z-index:-629992" type="#_x0000_t202" filled="false" stroked="false">
          <v:textbox inset="0,0,0,0">
            <w:txbxContent>
              <w:p>
                <w:pPr>
                  <w:spacing w:before="1"/>
                  <w:ind w:left="20" w:right="0" w:firstLine="0"/>
                  <w:jc w:val="left"/>
                  <w:rPr>
                    <w:sz w:val="16"/>
                  </w:rPr>
                </w:pPr>
                <w:r>
                  <w:rPr>
                    <w:sz w:val="16"/>
                  </w:rPr>
                  <w:t>423</w:t>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968" filled="true" fillcolor="#c7c8ca" stroked="false">
          <v:fill type="solid"/>
          <w10:wrap type="none"/>
        </v:rect>
      </w:pict>
    </w:r>
    <w:r>
      <w:rPr/>
      <w:pict>
        <v:rect style="position:absolute;margin-left:696.401978pt;margin-top:576pt;width:18.850pt;height:61.795pt;mso-position-horizontal-relative:page;mso-position-vertical-relative:page;z-index:-629944" filled="true" fillcolor="#c7c8ca" stroked="false">
          <v:fill type="solid"/>
          <w10:wrap type="none"/>
        </v:rect>
      </w:pict>
    </w:r>
    <w:r>
      <w:rPr/>
      <w:pict>
        <v:shape style="position:absolute;margin-left:226.324799pt;margin-top:583.866394pt;width:15.35pt;height:10pt;mso-position-horizontal-relative:page;mso-position-vertical-relative:page;z-index:-629920" type="#_x0000_t202" filled="false" stroked="false">
          <v:textbox inset="0,0,0,0">
            <w:txbxContent>
              <w:p>
                <w:pPr>
                  <w:spacing w:before="1"/>
                  <w:ind w:left="20" w:right="0" w:firstLine="0"/>
                  <w:jc w:val="left"/>
                  <w:rPr>
                    <w:sz w:val="16"/>
                  </w:rPr>
                </w:pPr>
                <w:r>
                  <w:rPr>
                    <w:sz w:val="16"/>
                  </w:rPr>
                  <w:t>424</w:t>
                </w:r>
              </w:p>
            </w:txbxContent>
          </v:textbox>
          <w10:wrap type="none"/>
        </v:shape>
      </w:pict>
    </w:r>
    <w:r>
      <w:rPr/>
      <w:pict>
        <v:shape style="position:absolute;margin-left:698.076782pt;margin-top:583.866394pt;width:15.35pt;height:10pt;mso-position-horizontal-relative:page;mso-position-vertical-relative:page;z-index:-629896" type="#_x0000_t202" filled="false" stroked="false">
          <v:textbox inset="0,0,0,0">
            <w:txbxContent>
              <w:p>
                <w:pPr>
                  <w:spacing w:before="1"/>
                  <w:ind w:left="20" w:right="0" w:firstLine="0"/>
                  <w:jc w:val="left"/>
                  <w:rPr>
                    <w:sz w:val="16"/>
                  </w:rPr>
                </w:pPr>
                <w:r>
                  <w:rPr>
                    <w:sz w:val="16"/>
                  </w:rPr>
                  <w:t>425</w:t>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872" filled="true" fillcolor="#c7c8ca" stroked="false">
          <v:fill type="solid"/>
          <w10:wrap type="none"/>
        </v:rect>
      </w:pict>
    </w:r>
    <w:r>
      <w:rPr/>
      <w:pict>
        <v:rect style="position:absolute;margin-left:696.401978pt;margin-top:576pt;width:18.850pt;height:61.795pt;mso-position-horizontal-relative:page;mso-position-vertical-relative:page;z-index:-629848" filled="true" fillcolor="#c7c8ca" stroked="false">
          <v:fill type="solid"/>
          <w10:wrap type="none"/>
        </v:rect>
      </w:pict>
    </w:r>
    <w:r>
      <w:rPr/>
      <w:pict>
        <v:shape style="position:absolute;margin-left:226.324799pt;margin-top:583.866394pt;width:15.35pt;height:10pt;mso-position-horizontal-relative:page;mso-position-vertical-relative:page;z-index:-629824" type="#_x0000_t202" filled="false" stroked="false">
          <v:textbox inset="0,0,0,0">
            <w:txbxContent>
              <w:p>
                <w:pPr>
                  <w:spacing w:before="1"/>
                  <w:ind w:left="20" w:right="0" w:firstLine="0"/>
                  <w:jc w:val="left"/>
                  <w:rPr>
                    <w:sz w:val="16"/>
                  </w:rPr>
                </w:pPr>
                <w:r>
                  <w:rPr>
                    <w:sz w:val="16"/>
                  </w:rPr>
                  <w:t>426</w:t>
                </w:r>
              </w:p>
            </w:txbxContent>
          </v:textbox>
          <w10:wrap type="none"/>
        </v:shape>
      </w:pict>
    </w:r>
    <w:r>
      <w:rPr/>
      <w:pict>
        <v:shape style="position:absolute;margin-left:698.076782pt;margin-top:583.866394pt;width:15.35pt;height:10pt;mso-position-horizontal-relative:page;mso-position-vertical-relative:page;z-index:-629800" type="#_x0000_t202" filled="false" stroked="false">
          <v:textbox inset="0,0,0,0">
            <w:txbxContent>
              <w:p>
                <w:pPr>
                  <w:spacing w:before="1"/>
                  <w:ind w:left="20" w:right="0" w:firstLine="0"/>
                  <w:jc w:val="left"/>
                  <w:rPr>
                    <w:sz w:val="16"/>
                  </w:rPr>
                </w:pPr>
                <w:r>
                  <w:rPr>
                    <w:sz w:val="16"/>
                  </w:rPr>
                  <w:t>427</w:t>
                </w:r>
              </w:p>
            </w:txbxContent>
          </v:textbox>
          <w10:wrap type="none"/>
        </v:shape>
      </w:pict>
    </w: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776" filled="true" fillcolor="#c7c8ca" stroked="false">
          <v:fill type="solid"/>
          <w10:wrap type="none"/>
        </v:rect>
      </w:pict>
    </w:r>
    <w:r>
      <w:rPr/>
      <w:pict>
        <v:rect style="position:absolute;margin-left:696.401978pt;margin-top:576pt;width:18.850pt;height:61.795pt;mso-position-horizontal-relative:page;mso-position-vertical-relative:page;z-index:-629752" filled="true" fillcolor="#c7c8ca" stroked="false">
          <v:fill type="solid"/>
          <w10:wrap type="none"/>
        </v:rect>
      </w:pict>
    </w:r>
    <w:r>
      <w:rPr/>
      <w:pict>
        <v:shape style="position:absolute;margin-left:226.324799pt;margin-top:583.866394pt;width:15.35pt;height:10pt;mso-position-horizontal-relative:page;mso-position-vertical-relative:page;z-index:-629728" type="#_x0000_t202" filled="false" stroked="false">
          <v:textbox inset="0,0,0,0">
            <w:txbxContent>
              <w:p>
                <w:pPr>
                  <w:spacing w:before="1"/>
                  <w:ind w:left="20" w:right="0" w:firstLine="0"/>
                  <w:jc w:val="left"/>
                  <w:rPr>
                    <w:sz w:val="16"/>
                  </w:rPr>
                </w:pPr>
                <w:r>
                  <w:rPr>
                    <w:sz w:val="16"/>
                  </w:rPr>
                  <w:t>428</w:t>
                </w:r>
              </w:p>
            </w:txbxContent>
          </v:textbox>
          <w10:wrap type="none"/>
        </v:shape>
      </w:pict>
    </w:r>
    <w:r>
      <w:rPr/>
      <w:pict>
        <v:shape style="position:absolute;margin-left:698.076782pt;margin-top:583.866394pt;width:15.35pt;height:10pt;mso-position-horizontal-relative:page;mso-position-vertical-relative:page;z-index:-629704" type="#_x0000_t202" filled="false" stroked="false">
          <v:textbox inset="0,0,0,0">
            <w:txbxContent>
              <w:p>
                <w:pPr>
                  <w:spacing w:before="1"/>
                  <w:ind w:left="20" w:right="0" w:firstLine="0"/>
                  <w:jc w:val="left"/>
                  <w:rPr>
                    <w:sz w:val="16"/>
                  </w:rPr>
                </w:pPr>
                <w:r>
                  <w:rPr>
                    <w:sz w:val="16"/>
                  </w:rPr>
                  <w:t>429</w:t>
                </w:r>
              </w:p>
            </w:txbxContent>
          </v:textbox>
          <w10:wrap type="none"/>
        </v:shape>
      </w:pict>
    </w: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680" filled="true" fillcolor="#c7c8ca" stroked="false">
          <v:fill type="solid"/>
          <w10:wrap type="none"/>
        </v:rect>
      </w:pict>
    </w:r>
    <w:r>
      <w:rPr/>
      <w:pict>
        <v:rect style="position:absolute;margin-left:696.401978pt;margin-top:576pt;width:18.850pt;height:61.795pt;mso-position-horizontal-relative:page;mso-position-vertical-relative:page;z-index:-629656" filled="true" fillcolor="#c7c8ca" stroked="false">
          <v:fill type="solid"/>
          <w10:wrap type="none"/>
        </v:rect>
      </w:pict>
    </w:r>
    <w:r>
      <w:rPr/>
      <w:pict>
        <v:shape style="position:absolute;margin-left:226.324799pt;margin-top:583.866394pt;width:15.35pt;height:10pt;mso-position-horizontal-relative:page;mso-position-vertical-relative:page;z-index:-629632" type="#_x0000_t202" filled="false" stroked="false">
          <v:textbox inset="0,0,0,0">
            <w:txbxContent>
              <w:p>
                <w:pPr>
                  <w:spacing w:before="1"/>
                  <w:ind w:left="20" w:right="0" w:firstLine="0"/>
                  <w:jc w:val="left"/>
                  <w:rPr>
                    <w:sz w:val="16"/>
                  </w:rPr>
                </w:pPr>
                <w:r>
                  <w:rPr>
                    <w:sz w:val="16"/>
                  </w:rPr>
                  <w:t>430</w:t>
                </w:r>
              </w:p>
            </w:txbxContent>
          </v:textbox>
          <w10:wrap type="none"/>
        </v:shape>
      </w:pict>
    </w:r>
    <w:r>
      <w:rPr/>
      <w:pict>
        <v:shape style="position:absolute;margin-left:698.076782pt;margin-top:583.866394pt;width:15.35pt;height:10pt;mso-position-horizontal-relative:page;mso-position-vertical-relative:page;z-index:-629608" type="#_x0000_t202" filled="false" stroked="false">
          <v:textbox inset="0,0,0,0">
            <w:txbxContent>
              <w:p>
                <w:pPr>
                  <w:spacing w:before="1"/>
                  <w:ind w:left="20" w:right="0" w:firstLine="0"/>
                  <w:jc w:val="left"/>
                  <w:rPr>
                    <w:sz w:val="16"/>
                  </w:rPr>
                </w:pPr>
                <w:r>
                  <w:rPr>
                    <w:sz w:val="16"/>
                  </w:rPr>
                  <w:t>431</w:t>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584" filled="true" fillcolor="#c7c8ca" stroked="false">
          <v:fill type="solid"/>
          <w10:wrap type="none"/>
        </v:rect>
      </w:pict>
    </w:r>
    <w:r>
      <w:rPr/>
      <w:pict>
        <v:rect style="position:absolute;margin-left:696.401978pt;margin-top:576pt;width:18.850pt;height:61.795pt;mso-position-horizontal-relative:page;mso-position-vertical-relative:page;z-index:-629560" filled="true" fillcolor="#c7c8ca" stroked="false">
          <v:fill type="solid"/>
          <w10:wrap type="none"/>
        </v:rect>
      </w:pict>
    </w:r>
    <w:r>
      <w:rPr/>
      <w:pict>
        <v:shape style="position:absolute;margin-left:226.324799pt;margin-top:583.866394pt;width:15.35pt;height:10pt;mso-position-horizontal-relative:page;mso-position-vertical-relative:page;z-index:-629536" type="#_x0000_t202" filled="false" stroked="false">
          <v:textbox inset="0,0,0,0">
            <w:txbxContent>
              <w:p>
                <w:pPr>
                  <w:spacing w:before="1"/>
                  <w:ind w:left="20" w:right="0" w:firstLine="0"/>
                  <w:jc w:val="left"/>
                  <w:rPr>
                    <w:sz w:val="16"/>
                  </w:rPr>
                </w:pPr>
                <w:r>
                  <w:rPr>
                    <w:sz w:val="16"/>
                  </w:rPr>
                  <w:t>432</w:t>
                </w:r>
              </w:p>
            </w:txbxContent>
          </v:textbox>
          <w10:wrap type="none"/>
        </v:shape>
      </w:pict>
    </w:r>
    <w:r>
      <w:rPr/>
      <w:pict>
        <v:shape style="position:absolute;margin-left:698.076782pt;margin-top:583.866394pt;width:15.35pt;height:10pt;mso-position-horizontal-relative:page;mso-position-vertical-relative:page;z-index:-629512" type="#_x0000_t202" filled="false" stroked="false">
          <v:textbox inset="0,0,0,0">
            <w:txbxContent>
              <w:p>
                <w:pPr>
                  <w:spacing w:before="1"/>
                  <w:ind w:left="20" w:right="0" w:firstLine="0"/>
                  <w:jc w:val="left"/>
                  <w:rPr>
                    <w:sz w:val="16"/>
                  </w:rPr>
                </w:pPr>
                <w:r>
                  <w:rPr>
                    <w:sz w:val="16"/>
                  </w:rPr>
                  <w:t>433</w:t>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488" filled="true" fillcolor="#c7c8ca" stroked="false">
          <v:fill type="solid"/>
          <w10:wrap type="none"/>
        </v:rect>
      </w:pict>
    </w:r>
    <w:r>
      <w:rPr/>
      <w:pict>
        <v:rect style="position:absolute;margin-left:696.401978pt;margin-top:576pt;width:18.850pt;height:61.795pt;mso-position-horizontal-relative:page;mso-position-vertical-relative:page;z-index:-629464" filled="true" fillcolor="#c7c8ca" stroked="false">
          <v:fill type="solid"/>
          <w10:wrap type="none"/>
        </v:rect>
      </w:pict>
    </w:r>
    <w:r>
      <w:rPr/>
      <w:pict>
        <v:shape style="position:absolute;margin-left:226.324799pt;margin-top:583.866394pt;width:15.35pt;height:10pt;mso-position-horizontal-relative:page;mso-position-vertical-relative:page;z-index:-629440" type="#_x0000_t202" filled="false" stroked="false">
          <v:textbox inset="0,0,0,0">
            <w:txbxContent>
              <w:p>
                <w:pPr>
                  <w:spacing w:before="1"/>
                  <w:ind w:left="20" w:right="0" w:firstLine="0"/>
                  <w:jc w:val="left"/>
                  <w:rPr>
                    <w:sz w:val="16"/>
                  </w:rPr>
                </w:pPr>
                <w:r>
                  <w:rPr>
                    <w:sz w:val="16"/>
                  </w:rPr>
                  <w:t>434</w:t>
                </w:r>
              </w:p>
            </w:txbxContent>
          </v:textbox>
          <w10:wrap type="none"/>
        </v:shape>
      </w:pict>
    </w:r>
    <w:r>
      <w:rPr/>
      <w:pict>
        <v:shape style="position:absolute;margin-left:698.076782pt;margin-top:583.866394pt;width:15.35pt;height:10pt;mso-position-horizontal-relative:page;mso-position-vertical-relative:page;z-index:-629416" type="#_x0000_t202" filled="false" stroked="false">
          <v:textbox inset="0,0,0,0">
            <w:txbxContent>
              <w:p>
                <w:pPr>
                  <w:spacing w:before="1"/>
                  <w:ind w:left="20" w:right="0" w:firstLine="0"/>
                  <w:jc w:val="left"/>
                  <w:rPr>
                    <w:sz w:val="16"/>
                  </w:rPr>
                </w:pPr>
                <w:r>
                  <w:rPr>
                    <w:sz w:val="16"/>
                  </w:rPr>
                  <w:t>435</w:t>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392" filled="true" fillcolor="#c7c8ca" stroked="false">
          <v:fill type="solid"/>
          <w10:wrap type="none"/>
        </v:rect>
      </w:pict>
    </w:r>
    <w:r>
      <w:rPr/>
      <w:pict>
        <v:rect style="position:absolute;margin-left:696.401978pt;margin-top:576pt;width:18.850pt;height:61.795pt;mso-position-horizontal-relative:page;mso-position-vertical-relative:page;z-index:-629368" filled="true" fillcolor="#c7c8ca" stroked="false">
          <v:fill type="solid"/>
          <w10:wrap type="none"/>
        </v:rect>
      </w:pict>
    </w:r>
    <w:r>
      <w:rPr/>
      <w:pict>
        <v:shape style="position:absolute;margin-left:226.324799pt;margin-top:583.866394pt;width:15.35pt;height:10pt;mso-position-horizontal-relative:page;mso-position-vertical-relative:page;z-index:-629344" type="#_x0000_t202" filled="false" stroked="false">
          <v:textbox inset="0,0,0,0">
            <w:txbxContent>
              <w:p>
                <w:pPr>
                  <w:spacing w:before="1"/>
                  <w:ind w:left="20" w:right="0" w:firstLine="0"/>
                  <w:jc w:val="left"/>
                  <w:rPr>
                    <w:sz w:val="16"/>
                  </w:rPr>
                </w:pPr>
                <w:r>
                  <w:rPr>
                    <w:sz w:val="16"/>
                  </w:rPr>
                  <w:t>436</w:t>
                </w:r>
              </w:p>
            </w:txbxContent>
          </v:textbox>
          <w10:wrap type="none"/>
        </v:shape>
      </w:pict>
    </w:r>
    <w:r>
      <w:rPr/>
      <w:pict>
        <v:shape style="position:absolute;margin-left:698.076782pt;margin-top:583.866394pt;width:15.35pt;height:10pt;mso-position-horizontal-relative:page;mso-position-vertical-relative:page;z-index:-629320" type="#_x0000_t202" filled="false" stroked="false">
          <v:textbox inset="0,0,0,0">
            <w:txbxContent>
              <w:p>
                <w:pPr>
                  <w:spacing w:before="1"/>
                  <w:ind w:left="20" w:right="0" w:firstLine="0"/>
                  <w:jc w:val="left"/>
                  <w:rPr>
                    <w:sz w:val="16"/>
                  </w:rPr>
                </w:pPr>
                <w:r>
                  <w:rPr>
                    <w:sz w:val="16"/>
                  </w:rPr>
                  <w:t>437</w:t>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296" filled="true" fillcolor="#c7c8ca" stroked="false">
          <v:fill type="solid"/>
          <w10:wrap type="none"/>
        </v:rect>
      </w:pict>
    </w:r>
    <w:r>
      <w:rPr/>
      <w:pict>
        <v:rect style="position:absolute;margin-left:696.401978pt;margin-top:576pt;width:18.850pt;height:61.795pt;mso-position-horizontal-relative:page;mso-position-vertical-relative:page;z-index:-629272" filled="true" fillcolor="#c7c8ca" stroked="false">
          <v:fill type="solid"/>
          <w10:wrap type="none"/>
        </v:rect>
      </w:pict>
    </w:r>
    <w:r>
      <w:rPr/>
      <w:pict>
        <v:shape style="position:absolute;margin-left:226.324799pt;margin-top:583.866394pt;width:15.35pt;height:10pt;mso-position-horizontal-relative:page;mso-position-vertical-relative:page;z-index:-629248" type="#_x0000_t202" filled="false" stroked="false">
          <v:textbox inset="0,0,0,0">
            <w:txbxContent>
              <w:p>
                <w:pPr>
                  <w:spacing w:before="1"/>
                  <w:ind w:left="20" w:right="0" w:firstLine="0"/>
                  <w:jc w:val="left"/>
                  <w:rPr>
                    <w:sz w:val="16"/>
                  </w:rPr>
                </w:pPr>
                <w:r>
                  <w:rPr>
                    <w:sz w:val="16"/>
                  </w:rPr>
                  <w:t>438</w:t>
                </w:r>
              </w:p>
            </w:txbxContent>
          </v:textbox>
          <w10:wrap type="none"/>
        </v:shape>
      </w:pict>
    </w:r>
    <w:r>
      <w:rPr/>
      <w:pict>
        <v:shape style="position:absolute;margin-left:698.076782pt;margin-top:583.866394pt;width:15.35pt;height:10pt;mso-position-horizontal-relative:page;mso-position-vertical-relative:page;z-index:-629224" type="#_x0000_t202" filled="false" stroked="false">
          <v:textbox inset="0,0,0,0">
            <w:txbxContent>
              <w:p>
                <w:pPr>
                  <w:spacing w:before="1"/>
                  <w:ind w:left="20" w:right="0" w:firstLine="0"/>
                  <w:jc w:val="left"/>
                  <w:rPr>
                    <w:sz w:val="16"/>
                  </w:rPr>
                </w:pPr>
                <w:r>
                  <w:rPr>
                    <w:sz w:val="16"/>
                  </w:rPr>
                  <w:t>439</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9384" filled="true" fillcolor="#c7c8ca" stroked="false">
          <v:fill type="solid"/>
          <w10:wrap type="none"/>
        </v:rect>
      </w:pict>
    </w:r>
    <w:r>
      <w:rPr/>
      <w:pict>
        <v:rect style="position:absolute;margin-left:696.401978pt;margin-top:576pt;width:18.850pt;height:61.795pt;mso-position-horizontal-relative:page;mso-position-vertical-relative:page;z-index:-649360" filled="true" fillcolor="#c7c8ca" stroked="false">
          <v:fill type="solid"/>
          <w10:wrap type="none"/>
        </v:rect>
      </w:pict>
    </w:r>
    <w:r>
      <w:rPr/>
      <w:pict>
        <v:shape style="position:absolute;margin-left:228.548798pt;margin-top:583.866394pt;width:10.9pt;height:10pt;mso-position-horizontal-relative:page;mso-position-vertical-relative:page;z-index:-649336" type="#_x0000_t202" filled="false" stroked="false">
          <v:textbox inset="0,0,0,0">
            <w:txbxContent>
              <w:p>
                <w:pPr>
                  <w:spacing w:before="1"/>
                  <w:ind w:left="20" w:right="0" w:firstLine="0"/>
                  <w:jc w:val="left"/>
                  <w:rPr>
                    <w:sz w:val="16"/>
                  </w:rPr>
                </w:pPr>
                <w:r>
                  <w:rPr>
                    <w:sz w:val="16"/>
                  </w:rPr>
                  <w:t>62</w:t>
                </w:r>
              </w:p>
            </w:txbxContent>
          </v:textbox>
          <w10:wrap type="none"/>
        </v:shape>
      </w:pict>
    </w:r>
    <w:r>
      <w:rPr/>
      <w:pict>
        <v:shape style="position:absolute;margin-left:700.300781pt;margin-top:583.866394pt;width:10.9pt;height:10pt;mso-position-horizontal-relative:page;mso-position-vertical-relative:page;z-index:-649312" type="#_x0000_t202" filled="false" stroked="false">
          <v:textbox inset="0,0,0,0">
            <w:txbxContent>
              <w:p>
                <w:pPr>
                  <w:spacing w:before="1"/>
                  <w:ind w:left="20" w:right="0" w:firstLine="0"/>
                  <w:jc w:val="left"/>
                  <w:rPr>
                    <w:sz w:val="16"/>
                  </w:rPr>
                </w:pPr>
                <w:r>
                  <w:rPr>
                    <w:sz w:val="16"/>
                  </w:rPr>
                  <w:t>63</w:t>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200" filled="true" fillcolor="#c7c8ca" stroked="false">
          <v:fill type="solid"/>
          <w10:wrap type="none"/>
        </v:rect>
      </w:pict>
    </w:r>
    <w:r>
      <w:rPr/>
      <w:pict>
        <v:rect style="position:absolute;margin-left:696.401978pt;margin-top:576pt;width:18.850pt;height:61.795pt;mso-position-horizontal-relative:page;mso-position-vertical-relative:page;z-index:-629176" filled="true" fillcolor="#c7c8ca" stroked="false">
          <v:fill type="solid"/>
          <w10:wrap type="none"/>
        </v:rect>
      </w:pict>
    </w:r>
    <w:r>
      <w:rPr/>
      <w:pict>
        <v:shape style="position:absolute;margin-left:226.324799pt;margin-top:583.866394pt;width:15.35pt;height:10pt;mso-position-horizontal-relative:page;mso-position-vertical-relative:page;z-index:-629152" type="#_x0000_t202" filled="false" stroked="false">
          <v:textbox inset="0,0,0,0">
            <w:txbxContent>
              <w:p>
                <w:pPr>
                  <w:spacing w:before="1"/>
                  <w:ind w:left="20" w:right="0" w:firstLine="0"/>
                  <w:jc w:val="left"/>
                  <w:rPr>
                    <w:sz w:val="16"/>
                  </w:rPr>
                </w:pPr>
                <w:r>
                  <w:rPr>
                    <w:sz w:val="16"/>
                  </w:rPr>
                  <w:t>440</w:t>
                </w:r>
              </w:p>
            </w:txbxContent>
          </v:textbox>
          <w10:wrap type="none"/>
        </v:shape>
      </w:pict>
    </w:r>
    <w:r>
      <w:rPr/>
      <w:pict>
        <v:shape style="position:absolute;margin-left:698.076782pt;margin-top:583.866394pt;width:15.35pt;height:10pt;mso-position-horizontal-relative:page;mso-position-vertical-relative:page;z-index:-629128" type="#_x0000_t202" filled="false" stroked="false">
          <v:textbox inset="0,0,0,0">
            <w:txbxContent>
              <w:p>
                <w:pPr>
                  <w:spacing w:before="1"/>
                  <w:ind w:left="20" w:right="0" w:firstLine="0"/>
                  <w:jc w:val="left"/>
                  <w:rPr>
                    <w:sz w:val="16"/>
                  </w:rPr>
                </w:pPr>
                <w:r>
                  <w:rPr>
                    <w:sz w:val="16"/>
                  </w:rPr>
                  <w:t>441</w:t>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104" filled="true" fillcolor="#c7c8ca" stroked="false">
          <v:fill type="solid"/>
          <w10:wrap type="none"/>
        </v:rect>
      </w:pict>
    </w:r>
    <w:r>
      <w:rPr/>
      <w:pict>
        <v:rect style="position:absolute;margin-left:696.401978pt;margin-top:576pt;width:18.850pt;height:61.795pt;mso-position-horizontal-relative:page;mso-position-vertical-relative:page;z-index:-629080" filled="true" fillcolor="#c7c8ca" stroked="false">
          <v:fill type="solid"/>
          <w10:wrap type="none"/>
        </v:rect>
      </w:pict>
    </w:r>
    <w:r>
      <w:rPr/>
      <w:pict>
        <v:shape style="position:absolute;margin-left:226.324799pt;margin-top:583.866394pt;width:15.35pt;height:10pt;mso-position-horizontal-relative:page;mso-position-vertical-relative:page;z-index:-629056" type="#_x0000_t202" filled="false" stroked="false">
          <v:textbox inset="0,0,0,0">
            <w:txbxContent>
              <w:p>
                <w:pPr>
                  <w:spacing w:before="1"/>
                  <w:ind w:left="20" w:right="0" w:firstLine="0"/>
                  <w:jc w:val="left"/>
                  <w:rPr>
                    <w:sz w:val="16"/>
                  </w:rPr>
                </w:pPr>
                <w:r>
                  <w:rPr>
                    <w:sz w:val="16"/>
                  </w:rPr>
                  <w:t>442</w:t>
                </w:r>
              </w:p>
            </w:txbxContent>
          </v:textbox>
          <w10:wrap type="none"/>
        </v:shape>
      </w:pict>
    </w:r>
    <w:r>
      <w:rPr/>
      <w:pict>
        <v:shape style="position:absolute;margin-left:698.076782pt;margin-top:583.866394pt;width:15.35pt;height:10pt;mso-position-horizontal-relative:page;mso-position-vertical-relative:page;z-index:-629032" type="#_x0000_t202" filled="false" stroked="false">
          <v:textbox inset="0,0,0,0">
            <w:txbxContent>
              <w:p>
                <w:pPr>
                  <w:spacing w:before="1"/>
                  <w:ind w:left="20" w:right="0" w:firstLine="0"/>
                  <w:jc w:val="left"/>
                  <w:rPr>
                    <w:sz w:val="16"/>
                  </w:rPr>
                </w:pPr>
                <w:r>
                  <w:rPr>
                    <w:sz w:val="16"/>
                  </w:rPr>
                  <w:t>443</w:t>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9008" filled="true" fillcolor="#c7c8ca" stroked="false">
          <v:fill type="solid"/>
          <w10:wrap type="none"/>
        </v:rect>
      </w:pict>
    </w:r>
    <w:r>
      <w:rPr/>
      <w:pict>
        <v:rect style="position:absolute;margin-left:696.401978pt;margin-top:576pt;width:18.850pt;height:61.795pt;mso-position-horizontal-relative:page;mso-position-vertical-relative:page;z-index:-628984" filled="true" fillcolor="#c7c8ca" stroked="false">
          <v:fill type="solid"/>
          <w10:wrap type="none"/>
        </v:rect>
      </w:pict>
    </w:r>
    <w:r>
      <w:rPr/>
      <w:pict>
        <v:shape style="position:absolute;margin-left:226.324799pt;margin-top:583.866394pt;width:15.35pt;height:10pt;mso-position-horizontal-relative:page;mso-position-vertical-relative:page;z-index:-628960" type="#_x0000_t202" filled="false" stroked="false">
          <v:textbox inset="0,0,0,0">
            <w:txbxContent>
              <w:p>
                <w:pPr>
                  <w:spacing w:before="1"/>
                  <w:ind w:left="20" w:right="0" w:firstLine="0"/>
                  <w:jc w:val="left"/>
                  <w:rPr>
                    <w:sz w:val="16"/>
                  </w:rPr>
                </w:pPr>
                <w:r>
                  <w:rPr>
                    <w:sz w:val="16"/>
                  </w:rPr>
                  <w:t>444</w:t>
                </w:r>
              </w:p>
            </w:txbxContent>
          </v:textbox>
          <w10:wrap type="none"/>
        </v:shape>
      </w:pict>
    </w:r>
    <w:r>
      <w:rPr/>
      <w:pict>
        <v:shape style="position:absolute;margin-left:698.076782pt;margin-top:583.866394pt;width:15.35pt;height:10pt;mso-position-horizontal-relative:page;mso-position-vertical-relative:page;z-index:-628936" type="#_x0000_t202" filled="false" stroked="false">
          <v:textbox inset="0,0,0,0">
            <w:txbxContent>
              <w:p>
                <w:pPr>
                  <w:spacing w:before="1"/>
                  <w:ind w:left="20" w:right="0" w:firstLine="0"/>
                  <w:jc w:val="left"/>
                  <w:rPr>
                    <w:sz w:val="16"/>
                  </w:rPr>
                </w:pPr>
                <w:r>
                  <w:rPr>
                    <w:sz w:val="16"/>
                  </w:rPr>
                  <w:t>445</w:t>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8912" filled="true" fillcolor="#c7c8ca" stroked="false">
          <v:fill type="solid"/>
          <w10:wrap type="none"/>
        </v:rect>
      </w:pict>
    </w:r>
    <w:r>
      <w:rPr/>
      <w:pict>
        <v:rect style="position:absolute;margin-left:696.401978pt;margin-top:576pt;width:18.850pt;height:61.795pt;mso-position-horizontal-relative:page;mso-position-vertical-relative:page;z-index:-628888" filled="true" fillcolor="#c7c8ca" stroked="false">
          <v:fill type="solid"/>
          <w10:wrap type="none"/>
        </v:rect>
      </w:pict>
    </w:r>
    <w:r>
      <w:rPr/>
      <w:pict>
        <v:shape style="position:absolute;margin-left:226.324799pt;margin-top:583.866394pt;width:15.35pt;height:10pt;mso-position-horizontal-relative:page;mso-position-vertical-relative:page;z-index:-628864" type="#_x0000_t202" filled="false" stroked="false">
          <v:textbox inset="0,0,0,0">
            <w:txbxContent>
              <w:p>
                <w:pPr>
                  <w:spacing w:before="1"/>
                  <w:ind w:left="20" w:right="0" w:firstLine="0"/>
                  <w:jc w:val="left"/>
                  <w:rPr>
                    <w:sz w:val="16"/>
                  </w:rPr>
                </w:pPr>
                <w:r>
                  <w:rPr>
                    <w:sz w:val="16"/>
                  </w:rPr>
                  <w:t>446</w:t>
                </w:r>
              </w:p>
            </w:txbxContent>
          </v:textbox>
          <w10:wrap type="none"/>
        </v:shape>
      </w:pict>
    </w:r>
    <w:r>
      <w:rPr/>
      <w:pict>
        <v:shape style="position:absolute;margin-left:698.076782pt;margin-top:583.866394pt;width:15.35pt;height:10pt;mso-position-horizontal-relative:page;mso-position-vertical-relative:page;z-index:-628840" type="#_x0000_t202" filled="false" stroked="false">
          <v:textbox inset="0,0,0,0">
            <w:txbxContent>
              <w:p>
                <w:pPr>
                  <w:spacing w:before="1"/>
                  <w:ind w:left="20" w:right="0" w:firstLine="0"/>
                  <w:jc w:val="left"/>
                  <w:rPr>
                    <w:sz w:val="16"/>
                  </w:rPr>
                </w:pPr>
                <w:r>
                  <w:rPr>
                    <w:sz w:val="16"/>
                  </w:rPr>
                  <w:t>447</w:t>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8816" filled="true" fillcolor="#c7c8ca" stroked="false">
          <v:fill type="solid"/>
          <w10:wrap type="none"/>
        </v:rect>
      </w:pict>
    </w:r>
    <w:r>
      <w:rPr/>
      <w:pict>
        <v:rect style="position:absolute;margin-left:696.401978pt;margin-top:576pt;width:18.850pt;height:61.795pt;mso-position-horizontal-relative:page;mso-position-vertical-relative:page;z-index:-628792" filled="true" fillcolor="#c7c8ca" stroked="false">
          <v:fill type="solid"/>
          <w10:wrap type="none"/>
        </v:rect>
      </w:pict>
    </w:r>
    <w:r>
      <w:rPr/>
      <w:pict>
        <v:shape style="position:absolute;margin-left:226.324799pt;margin-top:583.866394pt;width:15.35pt;height:10pt;mso-position-horizontal-relative:page;mso-position-vertical-relative:page;z-index:-628768" type="#_x0000_t202" filled="false" stroked="false">
          <v:textbox inset="0,0,0,0">
            <w:txbxContent>
              <w:p>
                <w:pPr>
                  <w:spacing w:before="1"/>
                  <w:ind w:left="20" w:right="0" w:firstLine="0"/>
                  <w:jc w:val="left"/>
                  <w:rPr>
                    <w:sz w:val="16"/>
                  </w:rPr>
                </w:pPr>
                <w:r>
                  <w:rPr>
                    <w:sz w:val="16"/>
                  </w:rPr>
                  <w:t>448</w:t>
                </w:r>
              </w:p>
            </w:txbxContent>
          </v:textbox>
          <w10:wrap type="none"/>
        </v:shape>
      </w:pict>
    </w:r>
    <w:r>
      <w:rPr/>
      <w:pict>
        <v:shape style="position:absolute;margin-left:698.076782pt;margin-top:583.866394pt;width:15.35pt;height:10pt;mso-position-horizontal-relative:page;mso-position-vertical-relative:page;z-index:-628744" type="#_x0000_t202" filled="false" stroked="false">
          <v:textbox inset="0,0,0,0">
            <w:txbxContent>
              <w:p>
                <w:pPr>
                  <w:spacing w:before="1"/>
                  <w:ind w:left="20" w:right="0" w:firstLine="0"/>
                  <w:jc w:val="left"/>
                  <w:rPr>
                    <w:sz w:val="16"/>
                  </w:rPr>
                </w:pPr>
                <w:r>
                  <w:rPr>
                    <w:sz w:val="16"/>
                  </w:rPr>
                  <w:t>449</w:t>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8504" filled="true" fillcolor="#c7c8ca" stroked="false">
          <v:fill type="solid"/>
          <w10:wrap type="none"/>
        </v:rect>
      </w:pict>
    </w:r>
    <w:r>
      <w:rPr/>
      <w:pict>
        <v:rect style="position:absolute;margin-left:696.401978pt;margin-top:576pt;width:18.850pt;height:61.795pt;mso-position-horizontal-relative:page;mso-position-vertical-relative:page;z-index:-628480" filled="true" fillcolor="#c7c8ca" stroked="false">
          <v:fill type="solid"/>
          <w10:wrap type="none"/>
        </v:rect>
      </w:pict>
    </w:r>
    <w:r>
      <w:rPr/>
      <w:pict>
        <v:shape style="position:absolute;margin-left:226.324799pt;margin-top:583.866394pt;width:15.35pt;height:10pt;mso-position-horizontal-relative:page;mso-position-vertical-relative:page;z-index:-628456" type="#_x0000_t202" filled="false" stroked="false">
          <v:textbox inset="0,0,0,0">
            <w:txbxContent>
              <w:p>
                <w:pPr>
                  <w:spacing w:before="1"/>
                  <w:ind w:left="20" w:right="0" w:firstLine="0"/>
                  <w:jc w:val="left"/>
                  <w:rPr>
                    <w:sz w:val="16"/>
                  </w:rPr>
                </w:pPr>
                <w:r>
                  <w:rPr>
                    <w:sz w:val="16"/>
                  </w:rPr>
                  <w:t>452</w:t>
                </w:r>
              </w:p>
            </w:txbxContent>
          </v:textbox>
          <w10:wrap type="none"/>
        </v:shape>
      </w:pict>
    </w:r>
    <w:r>
      <w:rPr/>
      <w:pict>
        <v:shape style="position:absolute;margin-left:698.076782pt;margin-top:583.866394pt;width:15.35pt;height:10pt;mso-position-horizontal-relative:page;mso-position-vertical-relative:page;z-index:-628432" type="#_x0000_t202" filled="false" stroked="false">
          <v:textbox inset="0,0,0,0">
            <w:txbxContent>
              <w:p>
                <w:pPr>
                  <w:spacing w:before="1"/>
                  <w:ind w:left="20" w:right="0" w:firstLine="0"/>
                  <w:jc w:val="left"/>
                  <w:rPr>
                    <w:sz w:val="16"/>
                  </w:rPr>
                </w:pPr>
                <w:r>
                  <w:rPr>
                    <w:sz w:val="16"/>
                  </w:rPr>
                  <w:t>453</w:t>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8408" filled="true" fillcolor="#c7c8ca" stroked="false">
          <v:fill type="solid"/>
          <w10:wrap type="none"/>
        </v:rect>
      </w:pict>
    </w:r>
    <w:r>
      <w:rPr/>
      <w:pict>
        <v:rect style="position:absolute;margin-left:696.401978pt;margin-top:576pt;width:18.850pt;height:61.795pt;mso-position-horizontal-relative:page;mso-position-vertical-relative:page;z-index:-628384" filled="true" fillcolor="#c7c8ca" stroked="false">
          <v:fill type="solid"/>
          <w10:wrap type="none"/>
        </v:rect>
      </w:pict>
    </w:r>
    <w:r>
      <w:rPr/>
      <w:pict>
        <v:shape style="position:absolute;margin-left:226.324799pt;margin-top:583.866394pt;width:15.35pt;height:10pt;mso-position-horizontal-relative:page;mso-position-vertical-relative:page;z-index:-628360" type="#_x0000_t202" filled="false" stroked="false">
          <v:textbox inset="0,0,0,0">
            <w:txbxContent>
              <w:p>
                <w:pPr>
                  <w:spacing w:before="1"/>
                  <w:ind w:left="20" w:right="0" w:firstLine="0"/>
                  <w:jc w:val="left"/>
                  <w:rPr>
                    <w:sz w:val="16"/>
                  </w:rPr>
                </w:pPr>
                <w:r>
                  <w:rPr>
                    <w:sz w:val="16"/>
                  </w:rPr>
                  <w:t>454</w:t>
                </w:r>
              </w:p>
            </w:txbxContent>
          </v:textbox>
          <w10:wrap type="none"/>
        </v:shape>
      </w:pict>
    </w:r>
    <w:r>
      <w:rPr/>
      <w:pict>
        <v:shape style="position:absolute;margin-left:698.076782pt;margin-top:583.866394pt;width:15.35pt;height:10pt;mso-position-horizontal-relative:page;mso-position-vertical-relative:page;z-index:-628336" type="#_x0000_t202" filled="false" stroked="false">
          <v:textbox inset="0,0,0,0">
            <w:txbxContent>
              <w:p>
                <w:pPr>
                  <w:spacing w:before="1"/>
                  <w:ind w:left="20" w:right="0" w:firstLine="0"/>
                  <w:jc w:val="left"/>
                  <w:rPr>
                    <w:sz w:val="16"/>
                  </w:rPr>
                </w:pPr>
                <w:r>
                  <w:rPr>
                    <w:sz w:val="16"/>
                  </w:rPr>
                  <w:t>455</w:t>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8312" filled="true" fillcolor="#c7c8ca" stroked="false">
          <v:fill type="solid"/>
          <w10:wrap type="none"/>
        </v:rect>
      </w:pict>
    </w:r>
    <w:r>
      <w:rPr/>
      <w:pict>
        <v:rect style="position:absolute;margin-left:696.401978pt;margin-top:576pt;width:18.850pt;height:61.795pt;mso-position-horizontal-relative:page;mso-position-vertical-relative:page;z-index:-628288" filled="true" fillcolor="#c7c8ca" stroked="false">
          <v:fill type="solid"/>
          <w10:wrap type="none"/>
        </v:rect>
      </w:pict>
    </w:r>
    <w:r>
      <w:rPr/>
      <w:pict>
        <v:shape style="position:absolute;margin-left:226.324799pt;margin-top:583.866394pt;width:15.35pt;height:10pt;mso-position-horizontal-relative:page;mso-position-vertical-relative:page;z-index:-628264" type="#_x0000_t202" filled="false" stroked="false">
          <v:textbox inset="0,0,0,0">
            <w:txbxContent>
              <w:p>
                <w:pPr>
                  <w:spacing w:before="1"/>
                  <w:ind w:left="20" w:right="0" w:firstLine="0"/>
                  <w:jc w:val="left"/>
                  <w:rPr>
                    <w:sz w:val="16"/>
                  </w:rPr>
                </w:pPr>
                <w:r>
                  <w:rPr>
                    <w:sz w:val="16"/>
                  </w:rPr>
                  <w:t>456</w:t>
                </w:r>
              </w:p>
            </w:txbxContent>
          </v:textbox>
          <w10:wrap type="none"/>
        </v:shape>
      </w:pict>
    </w:r>
    <w:r>
      <w:rPr/>
      <w:pict>
        <v:shape style="position:absolute;margin-left:698.076782pt;margin-top:583.866394pt;width:15.35pt;height:10pt;mso-position-horizontal-relative:page;mso-position-vertical-relative:page;z-index:-628240" type="#_x0000_t202" filled="false" stroked="false">
          <v:textbox inset="0,0,0,0">
            <w:txbxContent>
              <w:p>
                <w:pPr>
                  <w:spacing w:before="1"/>
                  <w:ind w:left="20" w:right="0" w:firstLine="0"/>
                  <w:jc w:val="left"/>
                  <w:rPr>
                    <w:sz w:val="16"/>
                  </w:rPr>
                </w:pPr>
                <w:r>
                  <w:rPr>
                    <w:sz w:val="16"/>
                  </w:rPr>
                  <w:t>457</w:t>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8216" filled="true" fillcolor="#c7c8ca" stroked="false">
          <v:fill type="solid"/>
          <w10:wrap type="none"/>
        </v:rect>
      </w:pict>
    </w:r>
    <w:r>
      <w:rPr/>
      <w:pict>
        <v:rect style="position:absolute;margin-left:696.401978pt;margin-top:576pt;width:18.850pt;height:61.795pt;mso-position-horizontal-relative:page;mso-position-vertical-relative:page;z-index:-628192" filled="true" fillcolor="#c7c8ca" stroked="false">
          <v:fill type="solid"/>
          <w10:wrap type="none"/>
        </v:rect>
      </w:pict>
    </w:r>
    <w:r>
      <w:rPr/>
      <w:pict>
        <v:shape style="position:absolute;margin-left:226.324799pt;margin-top:583.866394pt;width:15.35pt;height:10pt;mso-position-horizontal-relative:page;mso-position-vertical-relative:page;z-index:-628168" type="#_x0000_t202" filled="false" stroked="false">
          <v:textbox inset="0,0,0,0">
            <w:txbxContent>
              <w:p>
                <w:pPr>
                  <w:spacing w:before="1"/>
                  <w:ind w:left="20" w:right="0" w:firstLine="0"/>
                  <w:jc w:val="left"/>
                  <w:rPr>
                    <w:sz w:val="16"/>
                  </w:rPr>
                </w:pPr>
                <w:r>
                  <w:rPr>
                    <w:sz w:val="16"/>
                  </w:rPr>
                  <w:t>458</w:t>
                </w:r>
              </w:p>
            </w:txbxContent>
          </v:textbox>
          <w10:wrap type="none"/>
        </v:shape>
      </w:pict>
    </w:r>
    <w:r>
      <w:rPr/>
      <w:pict>
        <v:shape style="position:absolute;margin-left:698.076782pt;margin-top:583.866394pt;width:15.35pt;height:10pt;mso-position-horizontal-relative:page;mso-position-vertical-relative:page;z-index:-628144" type="#_x0000_t202" filled="false" stroked="false">
          <v:textbox inset="0,0,0,0">
            <w:txbxContent>
              <w:p>
                <w:pPr>
                  <w:spacing w:before="1"/>
                  <w:ind w:left="20" w:right="0" w:firstLine="0"/>
                  <w:jc w:val="left"/>
                  <w:rPr>
                    <w:sz w:val="16"/>
                  </w:rPr>
                </w:pPr>
                <w:r>
                  <w:rPr>
                    <w:sz w:val="16"/>
                  </w:rPr>
                  <w:t>459</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9288" filled="true" fillcolor="#c7c8ca" stroked="false">
          <v:fill type="solid"/>
          <w10:wrap type="none"/>
        </v:rect>
      </w:pict>
    </w:r>
    <w:r>
      <w:rPr/>
      <w:pict>
        <v:rect style="position:absolute;margin-left:696.401978pt;margin-top:576pt;width:18.850pt;height:61.795pt;mso-position-horizontal-relative:page;mso-position-vertical-relative:page;z-index:-649264" filled="true" fillcolor="#c7c8ca" stroked="false">
          <v:fill type="solid"/>
          <w10:wrap type="none"/>
        </v:rect>
      </w:pict>
    </w:r>
    <w:r>
      <w:rPr/>
      <w:pict>
        <v:shape style="position:absolute;margin-left:228.548798pt;margin-top:583.866394pt;width:10.9pt;height:10pt;mso-position-horizontal-relative:page;mso-position-vertical-relative:page;z-index:-649240" type="#_x0000_t202" filled="false" stroked="false">
          <v:textbox inset="0,0,0,0">
            <w:txbxContent>
              <w:p>
                <w:pPr>
                  <w:spacing w:before="1"/>
                  <w:ind w:left="20" w:right="0" w:firstLine="0"/>
                  <w:jc w:val="left"/>
                  <w:rPr>
                    <w:sz w:val="16"/>
                  </w:rPr>
                </w:pPr>
                <w:r>
                  <w:rPr>
                    <w:sz w:val="16"/>
                  </w:rPr>
                  <w:t>64</w:t>
                </w:r>
              </w:p>
            </w:txbxContent>
          </v:textbox>
          <w10:wrap type="none"/>
        </v:shape>
      </w:pict>
    </w:r>
    <w:r>
      <w:rPr/>
      <w:pict>
        <v:shape style="position:absolute;margin-left:700.300781pt;margin-top:583.866394pt;width:10.9pt;height:10pt;mso-position-horizontal-relative:page;mso-position-vertical-relative:page;z-index:-649216" type="#_x0000_t202" filled="false" stroked="false">
          <v:textbox inset="0,0,0,0">
            <w:txbxContent>
              <w:p>
                <w:pPr>
                  <w:spacing w:before="1"/>
                  <w:ind w:left="20" w:right="0" w:firstLine="0"/>
                  <w:jc w:val="left"/>
                  <w:rPr>
                    <w:sz w:val="16"/>
                  </w:rPr>
                </w:pPr>
                <w:r>
                  <w:rPr>
                    <w:sz w:val="16"/>
                  </w:rPr>
                  <w:t>65</w:t>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8120" filled="true" fillcolor="#c7c8ca" stroked="false">
          <v:fill type="solid"/>
          <w10:wrap type="none"/>
        </v:rect>
      </w:pict>
    </w:r>
    <w:r>
      <w:rPr/>
      <w:pict>
        <v:rect style="position:absolute;margin-left:696.401978pt;margin-top:576pt;width:18.850pt;height:61.795pt;mso-position-horizontal-relative:page;mso-position-vertical-relative:page;z-index:-628096" filled="true" fillcolor="#c7c8ca" stroked="false">
          <v:fill type="solid"/>
          <w10:wrap type="none"/>
        </v:rect>
      </w:pict>
    </w:r>
    <w:r>
      <w:rPr/>
      <w:pict>
        <v:shape style="position:absolute;margin-left:226.324799pt;margin-top:583.866394pt;width:15.35pt;height:10pt;mso-position-horizontal-relative:page;mso-position-vertical-relative:page;z-index:-628072" type="#_x0000_t202" filled="false" stroked="false">
          <v:textbox inset="0,0,0,0">
            <w:txbxContent>
              <w:p>
                <w:pPr>
                  <w:spacing w:before="1"/>
                  <w:ind w:left="20" w:right="0" w:firstLine="0"/>
                  <w:jc w:val="left"/>
                  <w:rPr>
                    <w:sz w:val="16"/>
                  </w:rPr>
                </w:pPr>
                <w:r>
                  <w:rPr>
                    <w:sz w:val="16"/>
                  </w:rPr>
                  <w:t>460</w:t>
                </w:r>
              </w:p>
            </w:txbxContent>
          </v:textbox>
          <w10:wrap type="none"/>
        </v:shape>
      </w:pict>
    </w:r>
    <w:r>
      <w:rPr/>
      <w:pict>
        <v:shape style="position:absolute;margin-left:698.076782pt;margin-top:583.866394pt;width:15.35pt;height:10pt;mso-position-horizontal-relative:page;mso-position-vertical-relative:page;z-index:-628048" type="#_x0000_t202" filled="false" stroked="false">
          <v:textbox inset="0,0,0,0">
            <w:txbxContent>
              <w:p>
                <w:pPr>
                  <w:spacing w:before="1"/>
                  <w:ind w:left="20" w:right="0" w:firstLine="0"/>
                  <w:jc w:val="left"/>
                  <w:rPr>
                    <w:sz w:val="16"/>
                  </w:rPr>
                </w:pPr>
                <w:r>
                  <w:rPr>
                    <w:sz w:val="16"/>
                  </w:rPr>
                  <w:t>461</w:t>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8024" filled="true" fillcolor="#c7c8ca" stroked="false">
          <v:fill type="solid"/>
          <w10:wrap type="none"/>
        </v:rect>
      </w:pict>
    </w:r>
    <w:r>
      <w:rPr/>
      <w:pict>
        <v:rect style="position:absolute;margin-left:696.401978pt;margin-top:576pt;width:18.850pt;height:61.795pt;mso-position-horizontal-relative:page;mso-position-vertical-relative:page;z-index:-628000" filled="true" fillcolor="#c7c8ca" stroked="false">
          <v:fill type="solid"/>
          <w10:wrap type="none"/>
        </v:rect>
      </w:pict>
    </w:r>
    <w:r>
      <w:rPr/>
      <w:pict>
        <v:shape style="position:absolute;margin-left:226.324799pt;margin-top:583.866394pt;width:15.35pt;height:10pt;mso-position-horizontal-relative:page;mso-position-vertical-relative:page;z-index:-627976" type="#_x0000_t202" filled="false" stroked="false">
          <v:textbox inset="0,0,0,0">
            <w:txbxContent>
              <w:p>
                <w:pPr>
                  <w:spacing w:before="1"/>
                  <w:ind w:left="20" w:right="0" w:firstLine="0"/>
                  <w:jc w:val="left"/>
                  <w:rPr>
                    <w:sz w:val="16"/>
                  </w:rPr>
                </w:pPr>
                <w:r>
                  <w:rPr>
                    <w:sz w:val="16"/>
                  </w:rPr>
                  <w:t>462</w:t>
                </w:r>
              </w:p>
            </w:txbxContent>
          </v:textbox>
          <w10:wrap type="none"/>
        </v:shape>
      </w:pict>
    </w:r>
    <w:r>
      <w:rPr/>
      <w:pict>
        <v:shape style="position:absolute;margin-left:698.076782pt;margin-top:583.866394pt;width:15.35pt;height:10pt;mso-position-horizontal-relative:page;mso-position-vertical-relative:page;z-index:-627952" type="#_x0000_t202" filled="false" stroked="false">
          <v:textbox inset="0,0,0,0">
            <w:txbxContent>
              <w:p>
                <w:pPr>
                  <w:spacing w:before="1"/>
                  <w:ind w:left="20" w:right="0" w:firstLine="0"/>
                  <w:jc w:val="left"/>
                  <w:rPr>
                    <w:sz w:val="16"/>
                  </w:rPr>
                </w:pPr>
                <w:r>
                  <w:rPr>
                    <w:sz w:val="16"/>
                  </w:rPr>
                  <w:t>463</w:t>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7712" filled="true" fillcolor="#c7c8ca" stroked="false">
          <v:fill type="solid"/>
          <w10:wrap type="none"/>
        </v:rect>
      </w:pict>
    </w:r>
    <w:r>
      <w:rPr/>
      <w:pict>
        <v:rect style="position:absolute;margin-left:696.401978pt;margin-top:576pt;width:18.850pt;height:61.795pt;mso-position-horizontal-relative:page;mso-position-vertical-relative:page;z-index:-627688" filled="true" fillcolor="#c7c8ca" stroked="false">
          <v:fill type="solid"/>
          <w10:wrap type="none"/>
        </v:rect>
      </w:pict>
    </w:r>
    <w:r>
      <w:rPr/>
      <w:pict>
        <v:shape style="position:absolute;margin-left:226.324799pt;margin-top:583.866394pt;width:15.35pt;height:10pt;mso-position-horizontal-relative:page;mso-position-vertical-relative:page;z-index:-627664" type="#_x0000_t202" filled="false" stroked="false">
          <v:textbox inset="0,0,0,0">
            <w:txbxContent>
              <w:p>
                <w:pPr>
                  <w:spacing w:before="1"/>
                  <w:ind w:left="20" w:right="0" w:firstLine="0"/>
                  <w:jc w:val="left"/>
                  <w:rPr>
                    <w:sz w:val="16"/>
                  </w:rPr>
                </w:pPr>
                <w:r>
                  <w:rPr>
                    <w:sz w:val="16"/>
                  </w:rPr>
                  <w:t>466</w:t>
                </w:r>
              </w:p>
            </w:txbxContent>
          </v:textbox>
          <w10:wrap type="none"/>
        </v:shape>
      </w:pict>
    </w:r>
    <w:r>
      <w:rPr/>
      <w:pict>
        <v:shape style="position:absolute;margin-left:698.076782pt;margin-top:583.866394pt;width:15.35pt;height:10pt;mso-position-horizontal-relative:page;mso-position-vertical-relative:page;z-index:-627640" type="#_x0000_t202" filled="false" stroked="false">
          <v:textbox inset="0,0,0,0">
            <w:txbxContent>
              <w:p>
                <w:pPr>
                  <w:spacing w:before="1"/>
                  <w:ind w:left="20" w:right="0" w:firstLine="0"/>
                  <w:jc w:val="left"/>
                  <w:rPr>
                    <w:sz w:val="16"/>
                  </w:rPr>
                </w:pPr>
                <w:r>
                  <w:rPr>
                    <w:sz w:val="16"/>
                  </w:rPr>
                  <w:t>467</w:t>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7616" filled="true" fillcolor="#c7c8ca" stroked="false">
          <v:fill type="solid"/>
          <w10:wrap type="none"/>
        </v:rect>
      </w:pict>
    </w:r>
    <w:r>
      <w:rPr/>
      <w:pict>
        <v:rect style="position:absolute;margin-left:696.401978pt;margin-top:576pt;width:18.850pt;height:61.795pt;mso-position-horizontal-relative:page;mso-position-vertical-relative:page;z-index:-627592" filled="true" fillcolor="#c7c8ca" stroked="false">
          <v:fill type="solid"/>
          <w10:wrap type="none"/>
        </v:rect>
      </w:pict>
    </w:r>
    <w:r>
      <w:rPr/>
      <w:pict>
        <v:shape style="position:absolute;margin-left:226.324799pt;margin-top:583.866394pt;width:15.35pt;height:10pt;mso-position-horizontal-relative:page;mso-position-vertical-relative:page;z-index:-627568" type="#_x0000_t202" filled="false" stroked="false">
          <v:textbox inset="0,0,0,0">
            <w:txbxContent>
              <w:p>
                <w:pPr>
                  <w:spacing w:before="1"/>
                  <w:ind w:left="20" w:right="0" w:firstLine="0"/>
                  <w:jc w:val="left"/>
                  <w:rPr>
                    <w:sz w:val="16"/>
                  </w:rPr>
                </w:pPr>
                <w:r>
                  <w:rPr>
                    <w:sz w:val="16"/>
                  </w:rPr>
                  <w:t>468</w:t>
                </w:r>
              </w:p>
            </w:txbxContent>
          </v:textbox>
          <w10:wrap type="none"/>
        </v:shape>
      </w:pict>
    </w:r>
    <w:r>
      <w:rPr/>
      <w:pict>
        <v:shape style="position:absolute;margin-left:698.076782pt;margin-top:583.866394pt;width:15.35pt;height:10pt;mso-position-horizontal-relative:page;mso-position-vertical-relative:page;z-index:-627544" type="#_x0000_t202" filled="false" stroked="false">
          <v:textbox inset="0,0,0,0">
            <w:txbxContent>
              <w:p>
                <w:pPr>
                  <w:spacing w:before="1"/>
                  <w:ind w:left="20" w:right="0" w:firstLine="0"/>
                  <w:jc w:val="left"/>
                  <w:rPr>
                    <w:sz w:val="16"/>
                  </w:rPr>
                </w:pPr>
                <w:r>
                  <w:rPr>
                    <w:sz w:val="16"/>
                  </w:rPr>
                  <w:t>469</w:t>
                </w:r>
              </w:p>
            </w:txbxContent>
          </v:textbox>
          <w10:wrap type="none"/>
        </v:shape>
      </w:pict>
    </w: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7520" filled="true" fillcolor="#c7c8ca" stroked="false">
          <v:fill type="solid"/>
          <w10:wrap type="none"/>
        </v:rect>
      </w:pict>
    </w:r>
    <w:r>
      <w:rPr/>
      <w:pict>
        <v:rect style="position:absolute;margin-left:696.401978pt;margin-top:576pt;width:18.850pt;height:61.795pt;mso-position-horizontal-relative:page;mso-position-vertical-relative:page;z-index:-627496" filled="true" fillcolor="#c7c8ca" stroked="false">
          <v:fill type="solid"/>
          <w10:wrap type="none"/>
        </v:rect>
      </w:pict>
    </w:r>
    <w:r>
      <w:rPr/>
      <w:pict>
        <v:shape style="position:absolute;margin-left:226.324799pt;margin-top:583.866394pt;width:15.35pt;height:10pt;mso-position-horizontal-relative:page;mso-position-vertical-relative:page;z-index:-627472" type="#_x0000_t202" filled="false" stroked="false">
          <v:textbox inset="0,0,0,0">
            <w:txbxContent>
              <w:p>
                <w:pPr>
                  <w:spacing w:before="1"/>
                  <w:ind w:left="20" w:right="0" w:firstLine="0"/>
                  <w:jc w:val="left"/>
                  <w:rPr>
                    <w:sz w:val="16"/>
                  </w:rPr>
                </w:pPr>
                <w:r>
                  <w:rPr>
                    <w:sz w:val="16"/>
                  </w:rPr>
                  <w:t>470</w:t>
                </w:r>
              </w:p>
            </w:txbxContent>
          </v:textbox>
          <w10:wrap type="none"/>
        </v:shape>
      </w:pict>
    </w:r>
    <w:r>
      <w:rPr/>
      <w:pict>
        <v:shape style="position:absolute;margin-left:698.076782pt;margin-top:583.866394pt;width:15.35pt;height:10pt;mso-position-horizontal-relative:page;mso-position-vertical-relative:page;z-index:-627448" type="#_x0000_t202" filled="false" stroked="false">
          <v:textbox inset="0,0,0,0">
            <w:txbxContent>
              <w:p>
                <w:pPr>
                  <w:spacing w:before="1"/>
                  <w:ind w:left="20" w:right="0" w:firstLine="0"/>
                  <w:jc w:val="left"/>
                  <w:rPr>
                    <w:sz w:val="16"/>
                  </w:rPr>
                </w:pPr>
                <w:r>
                  <w:rPr>
                    <w:sz w:val="16"/>
                  </w:rPr>
                  <w:t>471</w:t>
                </w:r>
              </w:p>
            </w:txbxContent>
          </v:textbox>
          <w10:wrap type="none"/>
        </v:shape>
      </w:pict>
    </w: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7208" filled="true" fillcolor="#c7c8ca" stroked="false">
          <v:fill type="solid"/>
          <w10:wrap type="none"/>
        </v:rect>
      </w:pict>
    </w:r>
    <w:r>
      <w:rPr/>
      <w:pict>
        <v:rect style="position:absolute;margin-left:696.401978pt;margin-top:576pt;width:18.850pt;height:61.795pt;mso-position-horizontal-relative:page;mso-position-vertical-relative:page;z-index:-627184" filled="true" fillcolor="#c7c8ca" stroked="false">
          <v:fill type="solid"/>
          <w10:wrap type="none"/>
        </v:rect>
      </w:pict>
    </w:r>
    <w:r>
      <w:rPr/>
      <w:pict>
        <v:shape style="position:absolute;margin-left:226.324799pt;margin-top:583.866394pt;width:15.35pt;height:10pt;mso-position-horizontal-relative:page;mso-position-vertical-relative:page;z-index:-627160" type="#_x0000_t202" filled="false" stroked="false">
          <v:textbox inset="0,0,0,0">
            <w:txbxContent>
              <w:p>
                <w:pPr>
                  <w:spacing w:before="1"/>
                  <w:ind w:left="20" w:right="0" w:firstLine="0"/>
                  <w:jc w:val="left"/>
                  <w:rPr>
                    <w:sz w:val="16"/>
                  </w:rPr>
                </w:pPr>
                <w:r>
                  <w:rPr>
                    <w:sz w:val="16"/>
                  </w:rPr>
                  <w:t>472</w:t>
                </w:r>
              </w:p>
            </w:txbxContent>
          </v:textbox>
          <w10:wrap type="none"/>
        </v:shape>
      </w:pict>
    </w:r>
    <w:r>
      <w:rPr/>
      <w:pict>
        <v:shape style="position:absolute;margin-left:698.076782pt;margin-top:583.866394pt;width:15.35pt;height:10pt;mso-position-horizontal-relative:page;mso-position-vertical-relative:page;z-index:-627136" type="#_x0000_t202" filled="false" stroked="false">
          <v:textbox inset="0,0,0,0">
            <w:txbxContent>
              <w:p>
                <w:pPr>
                  <w:spacing w:before="1"/>
                  <w:ind w:left="20" w:right="0" w:firstLine="0"/>
                  <w:jc w:val="left"/>
                  <w:rPr>
                    <w:sz w:val="16"/>
                  </w:rPr>
                </w:pPr>
                <w:r>
                  <w:rPr>
                    <w:sz w:val="16"/>
                  </w:rPr>
                  <w:t>473</w:t>
                </w:r>
              </w:p>
            </w:txbxContent>
          </v:textbox>
          <w10:wrap type="none"/>
        </v:shape>
      </w:pict>
    </w: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6920" filled="true" fillcolor="#c7c8ca" stroked="false">
          <v:fill type="solid"/>
          <w10:wrap type="none"/>
        </v:rect>
      </w:pict>
    </w:r>
    <w:r>
      <w:rPr/>
      <w:pict>
        <v:rect style="position:absolute;margin-left:696.401978pt;margin-top:576pt;width:18.850pt;height:61.795pt;mso-position-horizontal-relative:page;mso-position-vertical-relative:page;z-index:-626896" filled="true" fillcolor="#c7c8ca" stroked="false">
          <v:fill type="solid"/>
          <w10:wrap type="none"/>
        </v:rect>
      </w:pict>
    </w:r>
    <w:r>
      <w:rPr/>
      <w:pict>
        <v:line style="position:absolute;mso-position-horizontal-relative:page;mso-position-vertical-relative:page;z-index:-626872" from="84.598099pt,521.07489pt" to="84.598099pt,521.07489pt" stroked="true" strokeweight=".5pt" strokecolor="#929292">
          <w10:wrap type="none"/>
        </v:line>
      </w:pict>
    </w:r>
    <w:r>
      <w:rPr/>
      <w:pict>
        <v:line style="position:absolute;mso-position-horizontal-relative:page;mso-position-vertical-relative:page;z-index:-626848" from="383.348114pt,521.07489pt" to="383.348114pt,521.07489pt" stroked="true" strokeweight=".5pt" strokecolor="#929292">
          <w10:wrap type="none"/>
        </v:line>
      </w:pict>
    </w:r>
    <w:r>
      <w:rPr/>
      <w:pict>
        <v:shape style="position:absolute;margin-left:226.324799pt;margin-top:583.866394pt;width:15.35pt;height:10pt;mso-position-horizontal-relative:page;mso-position-vertical-relative:page;z-index:-626824" type="#_x0000_t202" filled="false" stroked="false">
          <v:textbox inset="0,0,0,0">
            <w:txbxContent>
              <w:p>
                <w:pPr>
                  <w:spacing w:before="1"/>
                  <w:ind w:left="20" w:right="0" w:firstLine="0"/>
                  <w:jc w:val="left"/>
                  <w:rPr>
                    <w:sz w:val="16"/>
                  </w:rPr>
                </w:pPr>
                <w:r>
                  <w:rPr>
                    <w:sz w:val="16"/>
                  </w:rPr>
                  <w:t>474</w:t>
                </w:r>
              </w:p>
            </w:txbxContent>
          </v:textbox>
          <w10:wrap type="none"/>
        </v:shape>
      </w:pict>
    </w:r>
    <w:r>
      <w:rPr/>
      <w:pict>
        <v:shape style="position:absolute;margin-left:698.076782pt;margin-top:583.866394pt;width:15.35pt;height:10pt;mso-position-horizontal-relative:page;mso-position-vertical-relative:page;z-index:-626800" type="#_x0000_t202" filled="false" stroked="false">
          <v:textbox inset="0,0,0,0">
            <w:txbxContent>
              <w:p>
                <w:pPr>
                  <w:spacing w:before="1"/>
                  <w:ind w:left="20" w:right="0" w:firstLine="0"/>
                  <w:jc w:val="left"/>
                  <w:rPr>
                    <w:sz w:val="16"/>
                  </w:rPr>
                </w:pPr>
                <w:r>
                  <w:rPr>
                    <w:sz w:val="16"/>
                  </w:rPr>
                  <w:t>475</w:t>
                </w:r>
              </w:p>
            </w:txbxContent>
          </v:textbox>
          <w10:wrap type="none"/>
        </v:shape>
      </w:pict>
    </w: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6776" filled="true" fillcolor="#c7c8ca" stroked="false">
          <v:fill type="solid"/>
          <w10:wrap type="none"/>
        </v:rect>
      </w:pict>
    </w:r>
    <w:r>
      <w:rPr/>
      <w:pict>
        <v:rect style="position:absolute;margin-left:696.401978pt;margin-top:576pt;width:18.850pt;height:61.795pt;mso-position-horizontal-relative:page;mso-position-vertical-relative:page;z-index:-626752" filled="true" fillcolor="#c7c8ca" stroked="false">
          <v:fill type="solid"/>
          <w10:wrap type="none"/>
        </v:rect>
      </w:pict>
    </w:r>
    <w:r>
      <w:rPr/>
      <w:pict>
        <v:shape style="position:absolute;margin-left:226.324799pt;margin-top:583.866394pt;width:15.35pt;height:10pt;mso-position-horizontal-relative:page;mso-position-vertical-relative:page;z-index:-626728" type="#_x0000_t202" filled="false" stroked="false">
          <v:textbox inset="0,0,0,0">
            <w:txbxContent>
              <w:p>
                <w:pPr>
                  <w:spacing w:before="1"/>
                  <w:ind w:left="20" w:right="0" w:firstLine="0"/>
                  <w:jc w:val="left"/>
                  <w:rPr>
                    <w:sz w:val="16"/>
                  </w:rPr>
                </w:pPr>
                <w:r>
                  <w:rPr>
                    <w:sz w:val="16"/>
                  </w:rPr>
                  <w:t>476</w:t>
                </w:r>
              </w:p>
            </w:txbxContent>
          </v:textbox>
          <w10:wrap type="none"/>
        </v:shape>
      </w:pict>
    </w:r>
    <w:r>
      <w:rPr/>
      <w:pict>
        <v:shape style="position:absolute;margin-left:698.076782pt;margin-top:583.866394pt;width:15.35pt;height:10pt;mso-position-horizontal-relative:page;mso-position-vertical-relative:page;z-index:-626704" type="#_x0000_t202" filled="false" stroked="false">
          <v:textbox inset="0,0,0,0">
            <w:txbxContent>
              <w:p>
                <w:pPr>
                  <w:spacing w:before="1"/>
                  <w:ind w:left="20" w:right="0" w:firstLine="0"/>
                  <w:jc w:val="left"/>
                  <w:rPr>
                    <w:sz w:val="16"/>
                  </w:rPr>
                </w:pPr>
                <w:r>
                  <w:rPr>
                    <w:sz w:val="16"/>
                  </w:rPr>
                  <w:t>477</w:t>
                </w:r>
              </w:p>
            </w:txbxContent>
          </v:textbox>
          <w10:wrap type="none"/>
        </v:shape>
      </w:pict>
    </w: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6344" filled="true" fillcolor="#c7c8ca" stroked="false">
          <v:fill type="solid"/>
          <w10:wrap type="none"/>
        </v:rect>
      </w:pict>
    </w:r>
    <w:r>
      <w:rPr/>
      <w:pict>
        <v:rect style="position:absolute;margin-left:696.401978pt;margin-top:576pt;width:18.850pt;height:61.795pt;mso-position-horizontal-relative:page;mso-position-vertical-relative:page;z-index:-626320" filled="true" fillcolor="#c7c8ca" stroked="false">
          <v:fill type="solid"/>
          <w10:wrap type="none"/>
        </v:rect>
      </w:pict>
    </w:r>
    <w:r>
      <w:rPr/>
      <w:pict>
        <v:shape style="position:absolute;margin-left:226.324799pt;margin-top:583.866394pt;width:15.35pt;height:10pt;mso-position-horizontal-relative:page;mso-position-vertical-relative:page;z-index:-626296" type="#_x0000_t202" filled="false" stroked="false">
          <v:textbox inset="0,0,0,0">
            <w:txbxContent>
              <w:p>
                <w:pPr>
                  <w:spacing w:before="1"/>
                  <w:ind w:left="20" w:right="0" w:firstLine="0"/>
                  <w:jc w:val="left"/>
                  <w:rPr>
                    <w:sz w:val="16"/>
                  </w:rPr>
                </w:pPr>
                <w:r>
                  <w:rPr>
                    <w:sz w:val="16"/>
                  </w:rPr>
                  <w:t>478</w:t>
                </w:r>
              </w:p>
            </w:txbxContent>
          </v:textbox>
          <w10:wrap type="none"/>
        </v:shape>
      </w:pict>
    </w:r>
    <w:r>
      <w:rPr/>
      <w:pict>
        <v:shape style="position:absolute;margin-left:698.076782pt;margin-top:583.866394pt;width:15.35pt;height:10pt;mso-position-horizontal-relative:page;mso-position-vertical-relative:page;z-index:-626272" type="#_x0000_t202" filled="false" stroked="false">
          <v:textbox inset="0,0,0,0">
            <w:txbxContent>
              <w:p>
                <w:pPr>
                  <w:spacing w:before="1"/>
                  <w:ind w:left="20" w:right="0" w:firstLine="0"/>
                  <w:jc w:val="left"/>
                  <w:rPr>
                    <w:sz w:val="16"/>
                  </w:rPr>
                </w:pPr>
                <w:r>
                  <w:rPr>
                    <w:sz w:val="16"/>
                  </w:rPr>
                  <w:t>479</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9192" filled="true" fillcolor="#c7c8ca" stroked="false">
          <v:fill type="solid"/>
          <w10:wrap type="none"/>
        </v:rect>
      </w:pict>
    </w:r>
    <w:r>
      <w:rPr/>
      <w:pict>
        <v:rect style="position:absolute;margin-left:696.401978pt;margin-top:576pt;width:18.850pt;height:61.795pt;mso-position-horizontal-relative:page;mso-position-vertical-relative:page;z-index:-649168" filled="true" fillcolor="#c7c8ca" stroked="false">
          <v:fill type="solid"/>
          <w10:wrap type="none"/>
        </v:rect>
      </w:pict>
    </w:r>
    <w:r>
      <w:rPr/>
      <w:pict>
        <v:shape style="position:absolute;margin-left:228.548798pt;margin-top:583.866394pt;width:10.9pt;height:10pt;mso-position-horizontal-relative:page;mso-position-vertical-relative:page;z-index:-649144" type="#_x0000_t202" filled="false" stroked="false">
          <v:textbox inset="0,0,0,0">
            <w:txbxContent>
              <w:p>
                <w:pPr>
                  <w:spacing w:before="1"/>
                  <w:ind w:left="20" w:right="0" w:firstLine="0"/>
                  <w:jc w:val="left"/>
                  <w:rPr>
                    <w:sz w:val="16"/>
                  </w:rPr>
                </w:pPr>
                <w:r>
                  <w:rPr>
                    <w:sz w:val="16"/>
                  </w:rPr>
                  <w:t>66</w:t>
                </w:r>
              </w:p>
            </w:txbxContent>
          </v:textbox>
          <w10:wrap type="none"/>
        </v:shape>
      </w:pict>
    </w:r>
    <w:r>
      <w:rPr/>
      <w:pict>
        <v:shape style="position:absolute;margin-left:700.300781pt;margin-top:583.866394pt;width:10.9pt;height:10pt;mso-position-horizontal-relative:page;mso-position-vertical-relative:page;z-index:-649120" type="#_x0000_t202" filled="false" stroked="false">
          <v:textbox inset="0,0,0,0">
            <w:txbxContent>
              <w:p>
                <w:pPr>
                  <w:spacing w:before="1"/>
                  <w:ind w:left="20" w:right="0" w:firstLine="0"/>
                  <w:jc w:val="left"/>
                  <w:rPr>
                    <w:sz w:val="16"/>
                  </w:rPr>
                </w:pPr>
                <w:r>
                  <w:rPr>
                    <w:sz w:val="16"/>
                  </w:rPr>
                  <w:t>67</w:t>
                </w:r>
              </w:p>
            </w:txbxContent>
          </v:textbox>
          <w10:wrap type="none"/>
        </v:shape>
      </w:pict>
    </w: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6056" filled="true" fillcolor="#c7c8ca" stroked="false">
          <v:fill type="solid"/>
          <w10:wrap type="none"/>
        </v:rect>
      </w:pict>
    </w:r>
    <w:r>
      <w:rPr/>
      <w:pict>
        <v:rect style="position:absolute;margin-left:696.401978pt;margin-top:576pt;width:18.850pt;height:61.795pt;mso-position-horizontal-relative:page;mso-position-vertical-relative:page;z-index:-626032" filled="true" fillcolor="#c7c8ca" stroked="false">
          <v:fill type="solid"/>
          <w10:wrap type="none"/>
        </v:rect>
      </w:pict>
    </w:r>
    <w:r>
      <w:rPr/>
      <w:pict>
        <v:shape style="position:absolute;margin-left:226.324799pt;margin-top:583.866394pt;width:15.35pt;height:10pt;mso-position-horizontal-relative:page;mso-position-vertical-relative:page;z-index:-626008" type="#_x0000_t202" filled="false" stroked="false">
          <v:textbox inset="0,0,0,0">
            <w:txbxContent>
              <w:p>
                <w:pPr>
                  <w:spacing w:before="1"/>
                  <w:ind w:left="20" w:right="0" w:firstLine="0"/>
                  <w:jc w:val="left"/>
                  <w:rPr>
                    <w:sz w:val="16"/>
                  </w:rPr>
                </w:pPr>
                <w:r>
                  <w:rPr>
                    <w:sz w:val="16"/>
                  </w:rPr>
                  <w:t>480</w:t>
                </w:r>
              </w:p>
            </w:txbxContent>
          </v:textbox>
          <w10:wrap type="none"/>
        </v:shape>
      </w:pict>
    </w:r>
    <w:r>
      <w:rPr/>
      <w:pict>
        <v:shape style="position:absolute;margin-left:698.076782pt;margin-top:583.866394pt;width:15.35pt;height:10pt;mso-position-horizontal-relative:page;mso-position-vertical-relative:page;z-index:-625984" type="#_x0000_t202" filled="false" stroked="false">
          <v:textbox inset="0,0,0,0">
            <w:txbxContent>
              <w:p>
                <w:pPr>
                  <w:spacing w:before="1"/>
                  <w:ind w:left="20" w:right="0" w:firstLine="0"/>
                  <w:jc w:val="left"/>
                  <w:rPr>
                    <w:sz w:val="16"/>
                  </w:rPr>
                </w:pPr>
                <w:r>
                  <w:rPr>
                    <w:sz w:val="16"/>
                  </w:rPr>
                  <w:t>481</w:t>
                </w:r>
              </w:p>
            </w:txbxContent>
          </v:textbox>
          <w10:wrap type="none"/>
        </v:shape>
      </w:pict>
    </w: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5744" filled="true" fillcolor="#c7c8ca" stroked="false">
          <v:fill type="solid"/>
          <w10:wrap type="none"/>
        </v:rect>
      </w:pict>
    </w:r>
    <w:r>
      <w:rPr/>
      <w:pict>
        <v:rect style="position:absolute;margin-left:696.401978pt;margin-top:576pt;width:18.850pt;height:61.795pt;mso-position-horizontal-relative:page;mso-position-vertical-relative:page;z-index:-625720" filled="true" fillcolor="#c7c8ca" stroked="false">
          <v:fill type="solid"/>
          <w10:wrap type="none"/>
        </v:rect>
      </w:pict>
    </w:r>
    <w:r>
      <w:rPr/>
      <w:pict>
        <v:line style="position:absolute;mso-position-horizontal-relative:page;mso-position-vertical-relative:page;z-index:-625696" from="42.13390pt,523.097168pt" to="42.13390pt,523.097168pt" stroked="true" strokeweight=".5pt" strokecolor="#929292">
          <w10:wrap type="none"/>
        </v:line>
      </w:pict>
    </w:r>
    <w:r>
      <w:rPr/>
      <w:pict>
        <v:shape style="position:absolute;margin-left:226.324799pt;margin-top:583.866394pt;width:15.35pt;height:10pt;mso-position-horizontal-relative:page;mso-position-vertical-relative:page;z-index:-625672" type="#_x0000_t202" filled="false" stroked="false">
          <v:textbox inset="0,0,0,0">
            <w:txbxContent>
              <w:p>
                <w:pPr>
                  <w:spacing w:before="1"/>
                  <w:ind w:left="20" w:right="0" w:firstLine="0"/>
                  <w:jc w:val="left"/>
                  <w:rPr>
                    <w:sz w:val="16"/>
                  </w:rPr>
                </w:pPr>
                <w:r>
                  <w:rPr>
                    <w:sz w:val="16"/>
                  </w:rPr>
                  <w:t>482</w:t>
                </w:r>
              </w:p>
            </w:txbxContent>
          </v:textbox>
          <w10:wrap type="none"/>
        </v:shape>
      </w:pict>
    </w:r>
    <w:r>
      <w:rPr/>
      <w:pict>
        <v:shape style="position:absolute;margin-left:698.076782pt;margin-top:583.866394pt;width:15.35pt;height:10pt;mso-position-horizontal-relative:page;mso-position-vertical-relative:page;z-index:-625648" type="#_x0000_t202" filled="false" stroked="false">
          <v:textbox inset="0,0,0,0">
            <w:txbxContent>
              <w:p>
                <w:pPr>
                  <w:spacing w:before="1"/>
                  <w:ind w:left="20" w:right="0" w:firstLine="0"/>
                  <w:jc w:val="left"/>
                  <w:rPr>
                    <w:sz w:val="16"/>
                  </w:rPr>
                </w:pPr>
                <w:r>
                  <w:rPr>
                    <w:sz w:val="16"/>
                  </w:rPr>
                  <w:t>483</w:t>
                </w:r>
              </w:p>
            </w:txbxContent>
          </v:textbox>
          <w10:wrap type="none"/>
        </v:shape>
      </w:pict>
    </w:r>
  </w:p>
</w:ftr>
</file>

<file path=word/footer2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5432" filled="true" fillcolor="#c7c8ca" stroked="false">
          <v:fill type="solid"/>
          <w10:wrap type="none"/>
        </v:rect>
      </w:pict>
    </w:r>
    <w:r>
      <w:rPr/>
      <w:pict>
        <v:rect style="position:absolute;margin-left:696.401978pt;margin-top:576pt;width:18.850pt;height:61.795pt;mso-position-horizontal-relative:page;mso-position-vertical-relative:page;z-index:-625408" filled="true" fillcolor="#c7c8ca" stroked="false">
          <v:fill type="solid"/>
          <w10:wrap type="none"/>
        </v:rect>
      </w:pict>
    </w:r>
    <w:r>
      <w:rPr/>
      <w:pict>
        <v:shape style="position:absolute;margin-left:226.324799pt;margin-top:583.866394pt;width:15.35pt;height:10pt;mso-position-horizontal-relative:page;mso-position-vertical-relative:page;z-index:-625384" type="#_x0000_t202" filled="false" stroked="false">
          <v:textbox inset="0,0,0,0">
            <w:txbxContent>
              <w:p>
                <w:pPr>
                  <w:spacing w:before="1"/>
                  <w:ind w:left="20" w:right="0" w:firstLine="0"/>
                  <w:jc w:val="left"/>
                  <w:rPr>
                    <w:sz w:val="16"/>
                  </w:rPr>
                </w:pPr>
                <w:r>
                  <w:rPr>
                    <w:sz w:val="16"/>
                  </w:rPr>
                  <w:t>484</w:t>
                </w:r>
              </w:p>
            </w:txbxContent>
          </v:textbox>
          <w10:wrap type="none"/>
        </v:shape>
      </w:pict>
    </w:r>
    <w:r>
      <w:rPr/>
      <w:pict>
        <v:shape style="position:absolute;margin-left:698.076782pt;margin-top:583.866394pt;width:15.35pt;height:10pt;mso-position-horizontal-relative:page;mso-position-vertical-relative:page;z-index:-625360" type="#_x0000_t202" filled="false" stroked="false">
          <v:textbox inset="0,0,0,0">
            <w:txbxContent>
              <w:p>
                <w:pPr>
                  <w:spacing w:before="1"/>
                  <w:ind w:left="20" w:right="0" w:firstLine="0"/>
                  <w:jc w:val="left"/>
                  <w:rPr>
                    <w:sz w:val="16"/>
                  </w:rPr>
                </w:pPr>
                <w:r>
                  <w:rPr>
                    <w:sz w:val="16"/>
                  </w:rPr>
                  <w:t>485</w:t>
                </w:r>
              </w:p>
            </w:txbxContent>
          </v:textbox>
          <w10:wrap type="none"/>
        </v:shape>
      </w:pict>
    </w:r>
  </w:p>
</w:ftr>
</file>

<file path=word/footer2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5336" filled="true" fillcolor="#c7c8ca" stroked="false">
          <v:fill type="solid"/>
          <w10:wrap type="none"/>
        </v:rect>
      </w:pict>
    </w:r>
    <w:r>
      <w:rPr/>
      <w:pict>
        <v:rect style="position:absolute;margin-left:696.401978pt;margin-top:576pt;width:18.850pt;height:61.795pt;mso-position-horizontal-relative:page;mso-position-vertical-relative:page;z-index:-625312" filled="true" fillcolor="#c7c8ca" stroked="false">
          <v:fill type="solid"/>
          <w10:wrap type="none"/>
        </v:rect>
      </w:pict>
    </w:r>
    <w:r>
      <w:rPr/>
      <w:pict>
        <v:shape style="position:absolute;margin-left:226.324799pt;margin-top:583.866394pt;width:15.35pt;height:10pt;mso-position-horizontal-relative:page;mso-position-vertical-relative:page;z-index:-625288" type="#_x0000_t202" filled="false" stroked="false">
          <v:textbox inset="0,0,0,0">
            <w:txbxContent>
              <w:p>
                <w:pPr>
                  <w:spacing w:before="1"/>
                  <w:ind w:left="20" w:right="0" w:firstLine="0"/>
                  <w:jc w:val="left"/>
                  <w:rPr>
                    <w:sz w:val="16"/>
                  </w:rPr>
                </w:pPr>
                <w:r>
                  <w:rPr>
                    <w:sz w:val="16"/>
                  </w:rPr>
                  <w:t>486</w:t>
                </w:r>
              </w:p>
            </w:txbxContent>
          </v:textbox>
          <w10:wrap type="none"/>
        </v:shape>
      </w:pict>
    </w:r>
    <w:r>
      <w:rPr/>
      <w:pict>
        <v:shape style="position:absolute;margin-left:698.076782pt;margin-top:583.866394pt;width:15.35pt;height:10pt;mso-position-horizontal-relative:page;mso-position-vertical-relative:page;z-index:-625264" type="#_x0000_t202" filled="false" stroked="false">
          <v:textbox inset="0,0,0,0">
            <w:txbxContent>
              <w:p>
                <w:pPr>
                  <w:spacing w:before="1"/>
                  <w:ind w:left="20" w:right="0" w:firstLine="0"/>
                  <w:jc w:val="left"/>
                  <w:rPr>
                    <w:sz w:val="16"/>
                  </w:rPr>
                </w:pPr>
                <w:r>
                  <w:rPr>
                    <w:sz w:val="16"/>
                  </w:rPr>
                  <w:t>487</w:t>
                </w:r>
              </w:p>
            </w:txbxContent>
          </v:textbox>
          <w10:wrap type="none"/>
        </v:shape>
      </w:pict>
    </w:r>
  </w:p>
</w:ftr>
</file>

<file path=word/footer2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5240" filled="true" fillcolor="#c7c8ca" stroked="false">
          <v:fill type="solid"/>
          <w10:wrap type="none"/>
        </v:rect>
      </w:pict>
    </w:r>
    <w:r>
      <w:rPr/>
      <w:pict>
        <v:rect style="position:absolute;margin-left:696.401978pt;margin-top:576pt;width:18.850pt;height:61.795pt;mso-position-horizontal-relative:page;mso-position-vertical-relative:page;z-index:-625216" filled="true" fillcolor="#c7c8ca" stroked="false">
          <v:fill type="solid"/>
          <w10:wrap type="none"/>
        </v:rect>
      </w:pict>
    </w:r>
    <w:r>
      <w:rPr/>
      <w:pict>
        <v:shape style="position:absolute;margin-left:226.324799pt;margin-top:583.866394pt;width:15.35pt;height:10pt;mso-position-horizontal-relative:page;mso-position-vertical-relative:page;z-index:-625192" type="#_x0000_t202" filled="false" stroked="false">
          <v:textbox inset="0,0,0,0">
            <w:txbxContent>
              <w:p>
                <w:pPr>
                  <w:spacing w:before="1"/>
                  <w:ind w:left="20" w:right="0" w:firstLine="0"/>
                  <w:jc w:val="left"/>
                  <w:rPr>
                    <w:sz w:val="16"/>
                  </w:rPr>
                </w:pPr>
                <w:r>
                  <w:rPr>
                    <w:sz w:val="16"/>
                  </w:rPr>
                  <w:t>488</w:t>
                </w:r>
              </w:p>
            </w:txbxContent>
          </v:textbox>
          <w10:wrap type="none"/>
        </v:shape>
      </w:pict>
    </w:r>
    <w:r>
      <w:rPr/>
      <w:pict>
        <v:shape style="position:absolute;margin-left:698.076782pt;margin-top:583.866394pt;width:15.35pt;height:10pt;mso-position-horizontal-relative:page;mso-position-vertical-relative:page;z-index:-625168" type="#_x0000_t202" filled="false" stroked="false">
          <v:textbox inset="0,0,0,0">
            <w:txbxContent>
              <w:p>
                <w:pPr>
                  <w:spacing w:before="1"/>
                  <w:ind w:left="20" w:right="0" w:firstLine="0"/>
                  <w:jc w:val="left"/>
                  <w:rPr>
                    <w:sz w:val="16"/>
                  </w:rPr>
                </w:pPr>
                <w:r>
                  <w:rPr>
                    <w:sz w:val="16"/>
                  </w:rPr>
                  <w:t>489</w:t>
                </w:r>
              </w:p>
            </w:txbxContent>
          </v:textbox>
          <w10:wrap type="none"/>
        </v:shape>
      </w:pict>
    </w:r>
  </w:p>
</w:ftr>
</file>

<file path=word/footer2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5144" filled="true" fillcolor="#c7c8ca" stroked="false">
          <v:fill type="solid"/>
          <w10:wrap type="none"/>
        </v:rect>
      </w:pict>
    </w:r>
    <w:r>
      <w:rPr/>
      <w:pict>
        <v:rect style="position:absolute;margin-left:696.401978pt;margin-top:576pt;width:18.850pt;height:61.795pt;mso-position-horizontal-relative:page;mso-position-vertical-relative:page;z-index:-625120" filled="true" fillcolor="#c7c8ca" stroked="false">
          <v:fill type="solid"/>
          <w10:wrap type="none"/>
        </v:rect>
      </w:pict>
    </w:r>
    <w:r>
      <w:rPr/>
      <w:pict>
        <v:shape style="position:absolute;margin-left:226.324799pt;margin-top:583.866394pt;width:15.35pt;height:10pt;mso-position-horizontal-relative:page;mso-position-vertical-relative:page;z-index:-625096" type="#_x0000_t202" filled="false" stroked="false">
          <v:textbox inset="0,0,0,0">
            <w:txbxContent>
              <w:p>
                <w:pPr>
                  <w:spacing w:before="1"/>
                  <w:ind w:left="20" w:right="0" w:firstLine="0"/>
                  <w:jc w:val="left"/>
                  <w:rPr>
                    <w:sz w:val="16"/>
                  </w:rPr>
                </w:pPr>
                <w:r>
                  <w:rPr>
                    <w:sz w:val="16"/>
                  </w:rPr>
                  <w:t>490</w:t>
                </w:r>
              </w:p>
            </w:txbxContent>
          </v:textbox>
          <w10:wrap type="none"/>
        </v:shape>
      </w:pict>
    </w:r>
    <w:r>
      <w:rPr/>
      <w:pict>
        <v:shape style="position:absolute;margin-left:698.076782pt;margin-top:583.866394pt;width:15.35pt;height:10pt;mso-position-horizontal-relative:page;mso-position-vertical-relative:page;z-index:-625072" type="#_x0000_t202" filled="false" stroked="false">
          <v:textbox inset="0,0,0,0">
            <w:txbxContent>
              <w:p>
                <w:pPr>
                  <w:spacing w:before="1"/>
                  <w:ind w:left="20" w:right="0" w:firstLine="0"/>
                  <w:jc w:val="left"/>
                  <w:rPr>
                    <w:sz w:val="16"/>
                  </w:rPr>
                </w:pPr>
                <w:r>
                  <w:rPr>
                    <w:sz w:val="16"/>
                  </w:rPr>
                  <w:t>491</w:t>
                </w:r>
              </w:p>
            </w:txbxContent>
          </v:textbox>
          <w10:wrap type="none"/>
        </v:shape>
      </w:pict>
    </w:r>
  </w:p>
</w:ftr>
</file>

<file path=word/footer2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5048" filled="true" fillcolor="#c7c8ca" stroked="false">
          <v:fill type="solid"/>
          <w10:wrap type="none"/>
        </v:rect>
      </w:pict>
    </w:r>
    <w:r>
      <w:rPr/>
      <w:pict>
        <v:rect style="position:absolute;margin-left:696.401978pt;margin-top:576pt;width:18.850pt;height:61.795pt;mso-position-horizontal-relative:page;mso-position-vertical-relative:page;z-index:-625024" filled="true" fillcolor="#c7c8ca" stroked="false">
          <v:fill type="solid"/>
          <w10:wrap type="none"/>
        </v:rect>
      </w:pict>
    </w:r>
    <w:r>
      <w:rPr/>
      <w:pict>
        <v:shape style="position:absolute;margin-left:226.324799pt;margin-top:583.866394pt;width:15.35pt;height:10pt;mso-position-horizontal-relative:page;mso-position-vertical-relative:page;z-index:-625000" type="#_x0000_t202" filled="false" stroked="false">
          <v:textbox inset="0,0,0,0">
            <w:txbxContent>
              <w:p>
                <w:pPr>
                  <w:spacing w:before="1"/>
                  <w:ind w:left="20" w:right="0" w:firstLine="0"/>
                  <w:jc w:val="left"/>
                  <w:rPr>
                    <w:sz w:val="16"/>
                  </w:rPr>
                </w:pPr>
                <w:r>
                  <w:rPr>
                    <w:sz w:val="16"/>
                  </w:rPr>
                  <w:t>492</w:t>
                </w:r>
              </w:p>
            </w:txbxContent>
          </v:textbox>
          <w10:wrap type="none"/>
        </v:shape>
      </w:pict>
    </w:r>
    <w:r>
      <w:rPr/>
      <w:pict>
        <v:shape style="position:absolute;margin-left:698.076782pt;margin-top:583.866394pt;width:15.35pt;height:10pt;mso-position-horizontal-relative:page;mso-position-vertical-relative:page;z-index:-624976" type="#_x0000_t202" filled="false" stroked="false">
          <v:textbox inset="0,0,0,0">
            <w:txbxContent>
              <w:p>
                <w:pPr>
                  <w:spacing w:before="1"/>
                  <w:ind w:left="20" w:right="0" w:firstLine="0"/>
                  <w:jc w:val="left"/>
                  <w:rPr>
                    <w:sz w:val="16"/>
                  </w:rPr>
                </w:pPr>
                <w:r>
                  <w:rPr>
                    <w:sz w:val="16"/>
                  </w:rPr>
                  <w:t>493</w:t>
                </w:r>
              </w:p>
            </w:txbxContent>
          </v:textbox>
          <w10:wrap type="none"/>
        </v:shape>
      </w:pict>
    </w:r>
  </w:p>
</w:ftr>
</file>

<file path=word/footer2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952" filled="true" fillcolor="#c7c8ca" stroked="false">
          <v:fill type="solid"/>
          <w10:wrap type="none"/>
        </v:rect>
      </w:pict>
    </w:r>
    <w:r>
      <w:rPr/>
      <w:pict>
        <v:rect style="position:absolute;margin-left:696.401978pt;margin-top:576pt;width:18.850pt;height:61.795pt;mso-position-horizontal-relative:page;mso-position-vertical-relative:page;z-index:-624928" filled="true" fillcolor="#c7c8ca" stroked="false">
          <v:fill type="solid"/>
          <w10:wrap type="none"/>
        </v:rect>
      </w:pict>
    </w:r>
    <w:r>
      <w:rPr/>
      <w:pict>
        <v:shape style="position:absolute;margin-left:226.324799pt;margin-top:583.866394pt;width:15.35pt;height:10pt;mso-position-horizontal-relative:page;mso-position-vertical-relative:page;z-index:-624904" type="#_x0000_t202" filled="false" stroked="false">
          <v:textbox inset="0,0,0,0">
            <w:txbxContent>
              <w:p>
                <w:pPr>
                  <w:spacing w:before="1"/>
                  <w:ind w:left="20" w:right="0" w:firstLine="0"/>
                  <w:jc w:val="left"/>
                  <w:rPr>
                    <w:sz w:val="16"/>
                  </w:rPr>
                </w:pPr>
                <w:r>
                  <w:rPr>
                    <w:sz w:val="16"/>
                  </w:rPr>
                  <w:t>494</w:t>
                </w:r>
              </w:p>
            </w:txbxContent>
          </v:textbox>
          <w10:wrap type="none"/>
        </v:shape>
      </w:pict>
    </w:r>
    <w:r>
      <w:rPr/>
      <w:pict>
        <v:shape style="position:absolute;margin-left:698.076782pt;margin-top:583.866394pt;width:15.35pt;height:10pt;mso-position-horizontal-relative:page;mso-position-vertical-relative:page;z-index:-624880" type="#_x0000_t202" filled="false" stroked="false">
          <v:textbox inset="0,0,0,0">
            <w:txbxContent>
              <w:p>
                <w:pPr>
                  <w:spacing w:before="1"/>
                  <w:ind w:left="20" w:right="0" w:firstLine="0"/>
                  <w:jc w:val="left"/>
                  <w:rPr>
                    <w:sz w:val="16"/>
                  </w:rPr>
                </w:pPr>
                <w:r>
                  <w:rPr>
                    <w:sz w:val="16"/>
                  </w:rPr>
                  <w:t>495</w:t>
                </w:r>
              </w:p>
            </w:txbxContent>
          </v:textbox>
          <w10:wrap type="none"/>
        </v:shape>
      </w:pict>
    </w:r>
  </w:p>
</w:ftr>
</file>

<file path=word/footer2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856" filled="true" fillcolor="#c7c8ca" stroked="false">
          <v:fill type="solid"/>
          <w10:wrap type="none"/>
        </v:rect>
      </w:pict>
    </w:r>
    <w:r>
      <w:rPr/>
      <w:pict>
        <v:rect style="position:absolute;margin-left:696.401978pt;margin-top:576pt;width:18.850pt;height:61.795pt;mso-position-horizontal-relative:page;mso-position-vertical-relative:page;z-index:-624832" filled="true" fillcolor="#c7c8ca" stroked="false">
          <v:fill type="solid"/>
          <w10:wrap type="none"/>
        </v:rect>
      </w:pict>
    </w:r>
    <w:r>
      <w:rPr/>
      <w:pict>
        <v:shape style="position:absolute;margin-left:226.324799pt;margin-top:583.866394pt;width:15.35pt;height:10pt;mso-position-horizontal-relative:page;mso-position-vertical-relative:page;z-index:-624808" type="#_x0000_t202" filled="false" stroked="false">
          <v:textbox inset="0,0,0,0">
            <w:txbxContent>
              <w:p>
                <w:pPr>
                  <w:spacing w:before="1"/>
                  <w:ind w:left="20" w:right="0" w:firstLine="0"/>
                  <w:jc w:val="left"/>
                  <w:rPr>
                    <w:sz w:val="16"/>
                  </w:rPr>
                </w:pPr>
                <w:r>
                  <w:rPr>
                    <w:sz w:val="16"/>
                  </w:rPr>
                  <w:t>496</w:t>
                </w:r>
              </w:p>
            </w:txbxContent>
          </v:textbox>
          <w10:wrap type="none"/>
        </v:shape>
      </w:pict>
    </w:r>
    <w:r>
      <w:rPr/>
      <w:pict>
        <v:shape style="position:absolute;margin-left:698.076782pt;margin-top:583.866394pt;width:15.35pt;height:10pt;mso-position-horizontal-relative:page;mso-position-vertical-relative:page;z-index:-624784" type="#_x0000_t202" filled="false" stroked="false">
          <v:textbox inset="0,0,0,0">
            <w:txbxContent>
              <w:p>
                <w:pPr>
                  <w:spacing w:before="1"/>
                  <w:ind w:left="20" w:right="0" w:firstLine="0"/>
                  <w:jc w:val="left"/>
                  <w:rPr>
                    <w:sz w:val="16"/>
                  </w:rPr>
                </w:pPr>
                <w:r>
                  <w:rPr>
                    <w:sz w:val="16"/>
                  </w:rPr>
                  <w:t>497</w:t>
                </w:r>
              </w:p>
            </w:txbxContent>
          </v:textbox>
          <w10:wrap type="none"/>
        </v:shape>
      </w:pict>
    </w:r>
  </w:p>
</w:ftr>
</file>

<file path=word/footer2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760" filled="true" fillcolor="#c7c8ca" stroked="false">
          <v:fill type="solid"/>
          <w10:wrap type="none"/>
        </v:rect>
      </w:pict>
    </w:r>
    <w:r>
      <w:rPr/>
      <w:pict>
        <v:rect style="position:absolute;margin-left:696.401978pt;margin-top:576pt;width:18.850pt;height:61.795pt;mso-position-horizontal-relative:page;mso-position-vertical-relative:page;z-index:-624736" filled="true" fillcolor="#c7c8ca" stroked="false">
          <v:fill type="solid"/>
          <w10:wrap type="none"/>
        </v:rect>
      </w:pict>
    </w:r>
    <w:r>
      <w:rPr/>
      <w:pict>
        <v:shape style="position:absolute;margin-left:226.324799pt;margin-top:583.866394pt;width:15.35pt;height:10pt;mso-position-horizontal-relative:page;mso-position-vertical-relative:page;z-index:-624712" type="#_x0000_t202" filled="false" stroked="false">
          <v:textbox inset="0,0,0,0">
            <w:txbxContent>
              <w:p>
                <w:pPr>
                  <w:spacing w:before="1"/>
                  <w:ind w:left="20" w:right="0" w:firstLine="0"/>
                  <w:jc w:val="left"/>
                  <w:rPr>
                    <w:sz w:val="16"/>
                  </w:rPr>
                </w:pPr>
                <w:r>
                  <w:rPr>
                    <w:sz w:val="16"/>
                  </w:rPr>
                  <w:t>498</w:t>
                </w:r>
              </w:p>
            </w:txbxContent>
          </v:textbox>
          <w10:wrap type="none"/>
        </v:shape>
      </w:pict>
    </w:r>
    <w:r>
      <w:rPr/>
      <w:pict>
        <v:shape style="position:absolute;margin-left:698.076782pt;margin-top:583.866394pt;width:15.35pt;height:10pt;mso-position-horizontal-relative:page;mso-position-vertical-relative:page;z-index:-624688" type="#_x0000_t202" filled="false" stroked="false">
          <v:textbox inset="0,0,0,0">
            <w:txbxContent>
              <w:p>
                <w:pPr>
                  <w:spacing w:before="1"/>
                  <w:ind w:left="20" w:right="0" w:firstLine="0"/>
                  <w:jc w:val="left"/>
                  <w:rPr>
                    <w:sz w:val="16"/>
                  </w:rPr>
                </w:pPr>
                <w:r>
                  <w:rPr>
                    <w:sz w:val="16"/>
                  </w:rPr>
                  <w:t>499</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9096" filled="true" fillcolor="#c7c8ca" stroked="false">
          <v:fill type="solid"/>
          <w10:wrap type="none"/>
        </v:rect>
      </w:pict>
    </w:r>
    <w:r>
      <w:rPr/>
      <w:pict>
        <v:rect style="position:absolute;margin-left:696.401978pt;margin-top:576pt;width:18.850pt;height:61.795pt;mso-position-horizontal-relative:page;mso-position-vertical-relative:page;z-index:-649072" filled="true" fillcolor="#c7c8ca" stroked="false">
          <v:fill type="solid"/>
          <w10:wrap type="none"/>
        </v:rect>
      </w:pict>
    </w:r>
    <w:r>
      <w:rPr/>
      <w:pict>
        <v:line style="position:absolute;mso-position-horizontal-relative:page;mso-position-vertical-relative:page;z-index:-649048" from="513.820923pt,458.249695pt" to="513.820923pt,458.249695pt" stroked="true" strokeweight=".5pt" strokecolor="#6d6e71">
          <w10:wrap type="none"/>
        </v:line>
      </w:pict>
    </w:r>
    <w:r>
      <w:rPr/>
      <w:pict>
        <v:line style="position:absolute;mso-position-horizontal-relative:page;mso-position-vertical-relative:page;z-index:-649024" from="897.833008pt,458.249695pt" to="897.833008pt,458.249695pt" stroked="true" strokeweight=".5pt" strokecolor="#6d6e71">
          <w10:wrap type="none"/>
        </v:line>
      </w:pict>
    </w:r>
    <w:r>
      <w:rPr/>
      <w:pict>
        <v:shape style="position:absolute;margin-left:227.548798pt;margin-top:583.866394pt;width:11.9pt;height:10pt;mso-position-horizontal-relative:page;mso-position-vertical-relative:page;z-index:-649000" type="#_x0000_t202" filled="false" stroked="false">
          <v:textbox inset="0,0,0,0">
            <w:txbxContent>
              <w:p>
                <w:pPr>
                  <w:spacing w:before="1"/>
                  <w:ind w:left="40" w:right="0" w:firstLine="0"/>
                  <w:jc w:val="left"/>
                  <w:rPr>
                    <w:sz w:val="16"/>
                  </w:rPr>
                </w:pPr>
                <w:r>
                  <w:rPr/>
                  <w:fldChar w:fldCharType="begin"/>
                </w:r>
                <w:r>
                  <w:rPr>
                    <w:sz w:val="16"/>
                  </w:rPr>
                  <w:instrText> PAGE </w:instrText>
                </w:r>
                <w:r>
                  <w:rPr/>
                  <w:fldChar w:fldCharType="separate"/>
                </w:r>
                <w:r>
                  <w:rPr/>
                  <w:t>6</w:t>
                </w:r>
                <w:r>
                  <w:rPr/>
                  <w:fldChar w:fldCharType="end"/>
                </w:r>
                <w:r>
                  <w:rPr>
                    <w:sz w:val="16"/>
                  </w:rPr>
                  <w:t>8</w:t>
                </w:r>
              </w:p>
            </w:txbxContent>
          </v:textbox>
          <w10:wrap type="none"/>
        </v:shape>
      </w:pict>
    </w:r>
    <w:r>
      <w:rPr/>
      <w:pict>
        <v:shape style="position:absolute;margin-left:700.300781pt;margin-top:583.866394pt;width:10.9pt;height:10pt;mso-position-horizontal-relative:page;mso-position-vertical-relative:page;z-index:-648976" type="#_x0000_t202" filled="false" stroked="false">
          <v:textbox inset="0,0,0,0">
            <w:txbxContent>
              <w:p>
                <w:pPr>
                  <w:spacing w:before="1"/>
                  <w:ind w:left="20" w:right="0" w:firstLine="0"/>
                  <w:jc w:val="left"/>
                  <w:rPr>
                    <w:sz w:val="16"/>
                  </w:rPr>
                </w:pPr>
                <w:r>
                  <w:rPr>
                    <w:sz w:val="16"/>
                  </w:rPr>
                  <w:t>69</w:t>
                </w:r>
              </w:p>
            </w:txbxContent>
          </v:textbox>
          <w10:wrap type="none"/>
        </v:shape>
      </w:pict>
    </w:r>
  </w:p>
</w:ftr>
</file>

<file path=word/footer2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664" filled="true" fillcolor="#c7c8ca" stroked="false">
          <v:fill type="solid"/>
          <w10:wrap type="none"/>
        </v:rect>
      </w:pict>
    </w:r>
    <w:r>
      <w:rPr/>
      <w:pict>
        <v:rect style="position:absolute;margin-left:696.401978pt;margin-top:576pt;width:18.850pt;height:61.795pt;mso-position-horizontal-relative:page;mso-position-vertical-relative:page;z-index:-624640" filled="true" fillcolor="#c7c8ca" stroked="false">
          <v:fill type="solid"/>
          <w10:wrap type="none"/>
        </v:rect>
      </w:pict>
    </w:r>
    <w:r>
      <w:rPr/>
      <w:pict>
        <v:shape style="position:absolute;margin-left:226.324799pt;margin-top:583.866394pt;width:15.35pt;height:10pt;mso-position-horizontal-relative:page;mso-position-vertical-relative:page;z-index:-624616" type="#_x0000_t202" filled="false" stroked="false">
          <v:textbox inset="0,0,0,0">
            <w:txbxContent>
              <w:p>
                <w:pPr>
                  <w:spacing w:before="1"/>
                  <w:ind w:left="20" w:right="0" w:firstLine="0"/>
                  <w:jc w:val="left"/>
                  <w:rPr>
                    <w:sz w:val="16"/>
                  </w:rPr>
                </w:pPr>
                <w:r>
                  <w:rPr>
                    <w:sz w:val="16"/>
                  </w:rPr>
                  <w:t>500</w:t>
                </w:r>
              </w:p>
            </w:txbxContent>
          </v:textbox>
          <w10:wrap type="none"/>
        </v:shape>
      </w:pict>
    </w:r>
    <w:r>
      <w:rPr/>
      <w:pict>
        <v:shape style="position:absolute;margin-left:698.076782pt;margin-top:583.866394pt;width:15.35pt;height:10pt;mso-position-horizontal-relative:page;mso-position-vertical-relative:page;z-index:-624592" type="#_x0000_t202" filled="false" stroked="false">
          <v:textbox inset="0,0,0,0">
            <w:txbxContent>
              <w:p>
                <w:pPr>
                  <w:spacing w:before="1"/>
                  <w:ind w:left="20" w:right="0" w:firstLine="0"/>
                  <w:jc w:val="left"/>
                  <w:rPr>
                    <w:sz w:val="16"/>
                  </w:rPr>
                </w:pPr>
                <w:r>
                  <w:rPr>
                    <w:sz w:val="16"/>
                  </w:rPr>
                  <w:t>501</w:t>
                </w:r>
              </w:p>
            </w:txbxContent>
          </v:textbox>
          <w10:wrap type="none"/>
        </v:shape>
      </w:pict>
    </w:r>
  </w:p>
</w:ftr>
</file>

<file path=word/footer2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568" filled="true" fillcolor="#c7c8ca" stroked="false">
          <v:fill type="solid"/>
          <w10:wrap type="none"/>
        </v:rect>
      </w:pict>
    </w:r>
    <w:r>
      <w:rPr/>
      <w:pict>
        <v:rect style="position:absolute;margin-left:696.401978pt;margin-top:576pt;width:18.850pt;height:61.795pt;mso-position-horizontal-relative:page;mso-position-vertical-relative:page;z-index:-624544" filled="true" fillcolor="#c7c8ca" stroked="false">
          <v:fill type="solid"/>
          <w10:wrap type="none"/>
        </v:rect>
      </w:pict>
    </w:r>
    <w:r>
      <w:rPr/>
      <w:pict>
        <v:shape style="position:absolute;margin-left:226.324799pt;margin-top:583.866394pt;width:15.35pt;height:10pt;mso-position-horizontal-relative:page;mso-position-vertical-relative:page;z-index:-624520" type="#_x0000_t202" filled="false" stroked="false">
          <v:textbox inset="0,0,0,0">
            <w:txbxContent>
              <w:p>
                <w:pPr>
                  <w:spacing w:before="1"/>
                  <w:ind w:left="20" w:right="0" w:firstLine="0"/>
                  <w:jc w:val="left"/>
                  <w:rPr>
                    <w:sz w:val="16"/>
                  </w:rPr>
                </w:pPr>
                <w:r>
                  <w:rPr>
                    <w:sz w:val="16"/>
                  </w:rPr>
                  <w:t>502</w:t>
                </w:r>
              </w:p>
            </w:txbxContent>
          </v:textbox>
          <w10:wrap type="none"/>
        </v:shape>
      </w:pict>
    </w:r>
    <w:r>
      <w:rPr/>
      <w:pict>
        <v:shape style="position:absolute;margin-left:698.076782pt;margin-top:583.866394pt;width:15.35pt;height:10pt;mso-position-horizontal-relative:page;mso-position-vertical-relative:page;z-index:-624496" type="#_x0000_t202" filled="false" stroked="false">
          <v:textbox inset="0,0,0,0">
            <w:txbxContent>
              <w:p>
                <w:pPr>
                  <w:spacing w:before="1"/>
                  <w:ind w:left="20" w:right="0" w:firstLine="0"/>
                  <w:jc w:val="left"/>
                  <w:rPr>
                    <w:sz w:val="16"/>
                  </w:rPr>
                </w:pPr>
                <w:r>
                  <w:rPr>
                    <w:sz w:val="16"/>
                  </w:rPr>
                  <w:t>503</w:t>
                </w:r>
              </w:p>
            </w:txbxContent>
          </v:textbox>
          <w10:wrap type="none"/>
        </v:shape>
      </w:pict>
    </w:r>
  </w:p>
</w:ftr>
</file>

<file path=word/footer2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472" filled="true" fillcolor="#c7c8ca" stroked="false">
          <v:fill type="solid"/>
          <w10:wrap type="none"/>
        </v:rect>
      </w:pict>
    </w:r>
    <w:r>
      <w:rPr/>
      <w:pict>
        <v:rect style="position:absolute;margin-left:696.401978pt;margin-top:576pt;width:18.850pt;height:61.795pt;mso-position-horizontal-relative:page;mso-position-vertical-relative:page;z-index:-624448" filled="true" fillcolor="#c7c8ca" stroked="false">
          <v:fill type="solid"/>
          <w10:wrap type="none"/>
        </v:rect>
      </w:pict>
    </w:r>
    <w:r>
      <w:rPr/>
      <w:pict>
        <v:shape style="position:absolute;margin-left:226.324799pt;margin-top:583.866394pt;width:15.35pt;height:10pt;mso-position-horizontal-relative:page;mso-position-vertical-relative:page;z-index:-624424" type="#_x0000_t202" filled="false" stroked="false">
          <v:textbox inset="0,0,0,0">
            <w:txbxContent>
              <w:p>
                <w:pPr>
                  <w:spacing w:before="1"/>
                  <w:ind w:left="20" w:right="0" w:firstLine="0"/>
                  <w:jc w:val="left"/>
                  <w:rPr>
                    <w:sz w:val="16"/>
                  </w:rPr>
                </w:pPr>
                <w:r>
                  <w:rPr>
                    <w:sz w:val="16"/>
                  </w:rPr>
                  <w:t>504</w:t>
                </w:r>
              </w:p>
            </w:txbxContent>
          </v:textbox>
          <w10:wrap type="none"/>
        </v:shape>
      </w:pict>
    </w:r>
    <w:r>
      <w:rPr/>
      <w:pict>
        <v:shape style="position:absolute;margin-left:698.076782pt;margin-top:583.866394pt;width:15.35pt;height:10pt;mso-position-horizontal-relative:page;mso-position-vertical-relative:page;z-index:-624400" type="#_x0000_t202" filled="false" stroked="false">
          <v:textbox inset="0,0,0,0">
            <w:txbxContent>
              <w:p>
                <w:pPr>
                  <w:spacing w:before="1"/>
                  <w:ind w:left="20" w:right="0" w:firstLine="0"/>
                  <w:jc w:val="left"/>
                  <w:rPr>
                    <w:sz w:val="16"/>
                  </w:rPr>
                </w:pPr>
                <w:r>
                  <w:rPr>
                    <w:sz w:val="16"/>
                  </w:rPr>
                  <w:t>505</w:t>
                </w:r>
              </w:p>
            </w:txbxContent>
          </v:textbox>
          <w10:wrap type="none"/>
        </v:shape>
      </w:pict>
    </w:r>
  </w:p>
</w:ftr>
</file>

<file path=word/footer2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376" filled="true" fillcolor="#c7c8ca" stroked="false">
          <v:fill type="solid"/>
          <w10:wrap type="none"/>
        </v:rect>
      </w:pict>
    </w:r>
    <w:r>
      <w:rPr/>
      <w:pict>
        <v:rect style="position:absolute;margin-left:696.401978pt;margin-top:576pt;width:18.850pt;height:61.795pt;mso-position-horizontal-relative:page;mso-position-vertical-relative:page;z-index:-624352" filled="true" fillcolor="#c7c8ca" stroked="false">
          <v:fill type="solid"/>
          <w10:wrap type="none"/>
        </v:rect>
      </w:pict>
    </w:r>
    <w:r>
      <w:rPr/>
      <w:pict>
        <v:shape style="position:absolute;margin-left:226.324799pt;margin-top:583.866394pt;width:15.35pt;height:10pt;mso-position-horizontal-relative:page;mso-position-vertical-relative:page;z-index:-624328" type="#_x0000_t202" filled="false" stroked="false">
          <v:textbox inset="0,0,0,0">
            <w:txbxContent>
              <w:p>
                <w:pPr>
                  <w:spacing w:before="1"/>
                  <w:ind w:left="20" w:right="0" w:firstLine="0"/>
                  <w:jc w:val="left"/>
                  <w:rPr>
                    <w:sz w:val="16"/>
                  </w:rPr>
                </w:pPr>
                <w:r>
                  <w:rPr>
                    <w:sz w:val="16"/>
                  </w:rPr>
                  <w:t>506</w:t>
                </w:r>
              </w:p>
            </w:txbxContent>
          </v:textbox>
          <w10:wrap type="none"/>
        </v:shape>
      </w:pict>
    </w:r>
    <w:r>
      <w:rPr/>
      <w:pict>
        <v:shape style="position:absolute;margin-left:698.076782pt;margin-top:583.866394pt;width:15.35pt;height:10pt;mso-position-horizontal-relative:page;mso-position-vertical-relative:page;z-index:-624304" type="#_x0000_t202" filled="false" stroked="false">
          <v:textbox inset="0,0,0,0">
            <w:txbxContent>
              <w:p>
                <w:pPr>
                  <w:spacing w:before="1"/>
                  <w:ind w:left="20" w:right="0" w:firstLine="0"/>
                  <w:jc w:val="left"/>
                  <w:rPr>
                    <w:sz w:val="16"/>
                  </w:rPr>
                </w:pPr>
                <w:r>
                  <w:rPr>
                    <w:sz w:val="16"/>
                  </w:rPr>
                  <w:t>507</w:t>
                </w:r>
              </w:p>
            </w:txbxContent>
          </v:textbox>
          <w10:wrap type="none"/>
        </v:shape>
      </w:pict>
    </w:r>
  </w:p>
</w:ftr>
</file>

<file path=word/footer2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280" filled="true" fillcolor="#c7c8ca" stroked="false">
          <v:fill type="solid"/>
          <w10:wrap type="none"/>
        </v:rect>
      </w:pict>
    </w:r>
    <w:r>
      <w:rPr/>
      <w:pict>
        <v:rect style="position:absolute;margin-left:696.401978pt;margin-top:576pt;width:18.850pt;height:61.795pt;mso-position-horizontal-relative:page;mso-position-vertical-relative:page;z-index:-624256" filled="true" fillcolor="#c7c8ca" stroked="false">
          <v:fill type="solid"/>
          <w10:wrap type="none"/>
        </v:rect>
      </w:pict>
    </w:r>
    <w:r>
      <w:rPr/>
      <w:pict>
        <v:shape style="position:absolute;margin-left:226.324799pt;margin-top:583.866394pt;width:15.35pt;height:10pt;mso-position-horizontal-relative:page;mso-position-vertical-relative:page;z-index:-624232" type="#_x0000_t202" filled="false" stroked="false">
          <v:textbox inset="0,0,0,0">
            <w:txbxContent>
              <w:p>
                <w:pPr>
                  <w:spacing w:before="1"/>
                  <w:ind w:left="20" w:right="0" w:firstLine="0"/>
                  <w:jc w:val="left"/>
                  <w:rPr>
                    <w:sz w:val="16"/>
                  </w:rPr>
                </w:pPr>
                <w:r>
                  <w:rPr>
                    <w:sz w:val="16"/>
                  </w:rPr>
                  <w:t>508</w:t>
                </w:r>
              </w:p>
            </w:txbxContent>
          </v:textbox>
          <w10:wrap type="none"/>
        </v:shape>
      </w:pict>
    </w:r>
    <w:r>
      <w:rPr/>
      <w:pict>
        <v:shape style="position:absolute;margin-left:698.076782pt;margin-top:583.866394pt;width:15.35pt;height:10pt;mso-position-horizontal-relative:page;mso-position-vertical-relative:page;z-index:-624208" type="#_x0000_t202" filled="false" stroked="false">
          <v:textbox inset="0,0,0,0">
            <w:txbxContent>
              <w:p>
                <w:pPr>
                  <w:spacing w:before="1"/>
                  <w:ind w:left="20" w:right="0" w:firstLine="0"/>
                  <w:jc w:val="left"/>
                  <w:rPr>
                    <w:sz w:val="16"/>
                  </w:rPr>
                </w:pPr>
                <w:r>
                  <w:rPr>
                    <w:sz w:val="16"/>
                  </w:rPr>
                  <w:t>509</w:t>
                </w:r>
              </w:p>
            </w:txbxContent>
          </v:textbox>
          <w10:wrap type="none"/>
        </v:shape>
      </w:pict>
    </w:r>
  </w:p>
</w:ftr>
</file>

<file path=word/footer2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184" filled="true" fillcolor="#c7c8ca" stroked="false">
          <v:fill type="solid"/>
          <w10:wrap type="none"/>
        </v:rect>
      </w:pict>
    </w:r>
    <w:r>
      <w:rPr/>
      <w:pict>
        <v:rect style="position:absolute;margin-left:696.401978pt;margin-top:576pt;width:18.850pt;height:61.795pt;mso-position-horizontal-relative:page;mso-position-vertical-relative:page;z-index:-624160" filled="true" fillcolor="#c7c8ca" stroked="false">
          <v:fill type="solid"/>
          <w10:wrap type="none"/>
        </v:rect>
      </w:pict>
    </w:r>
    <w:r>
      <w:rPr/>
      <w:pict>
        <v:shape style="position:absolute;margin-left:226.324799pt;margin-top:583.866394pt;width:15.35pt;height:10pt;mso-position-horizontal-relative:page;mso-position-vertical-relative:page;z-index:-624136" type="#_x0000_t202" filled="false" stroked="false">
          <v:textbox inset="0,0,0,0">
            <w:txbxContent>
              <w:p>
                <w:pPr>
                  <w:spacing w:before="1"/>
                  <w:ind w:left="20" w:right="0" w:firstLine="0"/>
                  <w:jc w:val="left"/>
                  <w:rPr>
                    <w:sz w:val="16"/>
                  </w:rPr>
                </w:pPr>
                <w:r>
                  <w:rPr>
                    <w:sz w:val="16"/>
                  </w:rPr>
                  <w:t>510</w:t>
                </w:r>
              </w:p>
            </w:txbxContent>
          </v:textbox>
          <w10:wrap type="none"/>
        </v:shape>
      </w:pict>
    </w:r>
    <w:r>
      <w:rPr/>
      <w:pict>
        <v:shape style="position:absolute;margin-left:698.076782pt;margin-top:583.866394pt;width:15.35pt;height:10pt;mso-position-horizontal-relative:page;mso-position-vertical-relative:page;z-index:-624112" type="#_x0000_t202" filled="false" stroked="false">
          <v:textbox inset="0,0,0,0">
            <w:txbxContent>
              <w:p>
                <w:pPr>
                  <w:spacing w:before="1"/>
                  <w:ind w:left="20" w:right="0" w:firstLine="0"/>
                  <w:jc w:val="left"/>
                  <w:rPr>
                    <w:sz w:val="16"/>
                  </w:rPr>
                </w:pPr>
                <w:r>
                  <w:rPr>
                    <w:sz w:val="16"/>
                  </w:rPr>
                  <w:t>511</w:t>
                </w:r>
              </w:p>
            </w:txbxContent>
          </v:textbox>
          <w10:wrap type="none"/>
        </v:shape>
      </w:pict>
    </w:r>
  </w:p>
</w:ftr>
</file>

<file path=word/footer2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4088" filled="true" fillcolor="#c7c8ca" stroked="false">
          <v:fill type="solid"/>
          <w10:wrap type="none"/>
        </v:rect>
      </w:pict>
    </w:r>
    <w:r>
      <w:rPr/>
      <w:pict>
        <v:rect style="position:absolute;margin-left:696.401978pt;margin-top:576pt;width:18.850pt;height:61.795pt;mso-position-horizontal-relative:page;mso-position-vertical-relative:page;z-index:-624064" filled="true" fillcolor="#c7c8ca" stroked="false">
          <v:fill type="solid"/>
          <w10:wrap type="none"/>
        </v:rect>
      </w:pict>
    </w:r>
    <w:r>
      <w:rPr/>
      <w:pict>
        <v:shape style="position:absolute;margin-left:226.324799pt;margin-top:583.866394pt;width:15.35pt;height:10pt;mso-position-horizontal-relative:page;mso-position-vertical-relative:page;z-index:-624040" type="#_x0000_t202" filled="false" stroked="false">
          <v:textbox inset="0,0,0,0">
            <w:txbxContent>
              <w:p>
                <w:pPr>
                  <w:spacing w:before="1"/>
                  <w:ind w:left="20" w:right="0" w:firstLine="0"/>
                  <w:jc w:val="left"/>
                  <w:rPr>
                    <w:sz w:val="16"/>
                  </w:rPr>
                </w:pPr>
                <w:r>
                  <w:rPr>
                    <w:sz w:val="16"/>
                  </w:rPr>
                  <w:t>512</w:t>
                </w:r>
              </w:p>
            </w:txbxContent>
          </v:textbox>
          <w10:wrap type="none"/>
        </v:shape>
      </w:pict>
    </w:r>
    <w:r>
      <w:rPr/>
      <w:pict>
        <v:shape style="position:absolute;margin-left:698.076782pt;margin-top:583.866394pt;width:15.35pt;height:10pt;mso-position-horizontal-relative:page;mso-position-vertical-relative:page;z-index:-624016" type="#_x0000_t202" filled="false" stroked="false">
          <v:textbox inset="0,0,0,0">
            <w:txbxContent>
              <w:p>
                <w:pPr>
                  <w:spacing w:before="1"/>
                  <w:ind w:left="20" w:right="0" w:firstLine="0"/>
                  <w:jc w:val="left"/>
                  <w:rPr>
                    <w:sz w:val="16"/>
                  </w:rPr>
                </w:pPr>
                <w:r>
                  <w:rPr>
                    <w:sz w:val="16"/>
                  </w:rPr>
                  <w:t>513</w:t>
                </w:r>
              </w:p>
            </w:txbxContent>
          </v:textbox>
          <w10:wrap type="none"/>
        </v:shape>
      </w:pict>
    </w:r>
  </w:p>
</w:ftr>
</file>

<file path=word/footer2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3992" filled="true" fillcolor="#c7c8ca" stroked="false">
          <v:fill type="solid"/>
          <w10:wrap type="none"/>
        </v:rect>
      </w:pict>
    </w:r>
    <w:r>
      <w:rPr/>
      <w:pict>
        <v:rect style="position:absolute;margin-left:696.401978pt;margin-top:576pt;width:18.850pt;height:61.795pt;mso-position-horizontal-relative:page;mso-position-vertical-relative:page;z-index:-623968" filled="true" fillcolor="#c7c8ca" stroked="false">
          <v:fill type="solid"/>
          <w10:wrap type="none"/>
        </v:rect>
      </w:pict>
    </w:r>
    <w:r>
      <w:rPr/>
      <w:pict>
        <v:shape style="position:absolute;margin-left:226.324799pt;margin-top:583.866394pt;width:15.35pt;height:10pt;mso-position-horizontal-relative:page;mso-position-vertical-relative:page;z-index:-623944" type="#_x0000_t202" filled="false" stroked="false">
          <v:textbox inset="0,0,0,0">
            <w:txbxContent>
              <w:p>
                <w:pPr>
                  <w:spacing w:before="1"/>
                  <w:ind w:left="20" w:right="0" w:firstLine="0"/>
                  <w:jc w:val="left"/>
                  <w:rPr>
                    <w:sz w:val="16"/>
                  </w:rPr>
                </w:pPr>
                <w:r>
                  <w:rPr>
                    <w:sz w:val="16"/>
                  </w:rPr>
                  <w:t>514</w:t>
                </w:r>
              </w:p>
            </w:txbxContent>
          </v:textbox>
          <w10:wrap type="none"/>
        </v:shape>
      </w:pict>
    </w:r>
    <w:r>
      <w:rPr/>
      <w:pict>
        <v:shape style="position:absolute;margin-left:698.076782pt;margin-top:583.866394pt;width:15.35pt;height:10pt;mso-position-horizontal-relative:page;mso-position-vertical-relative:page;z-index:-623920" type="#_x0000_t202" filled="false" stroked="false">
          <v:textbox inset="0,0,0,0">
            <w:txbxContent>
              <w:p>
                <w:pPr>
                  <w:spacing w:before="1"/>
                  <w:ind w:left="20" w:right="0" w:firstLine="0"/>
                  <w:jc w:val="left"/>
                  <w:rPr>
                    <w:sz w:val="16"/>
                  </w:rPr>
                </w:pPr>
                <w:r>
                  <w:rPr>
                    <w:sz w:val="16"/>
                  </w:rPr>
                  <w:t>515</w:t>
                </w:r>
              </w:p>
            </w:txbxContent>
          </v:textbox>
          <w10:wrap type="none"/>
        </v:shape>
      </w:pict>
    </w:r>
  </w:p>
</w:ftr>
</file>

<file path=word/footer2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3896" filled="true" fillcolor="#c7c8ca" stroked="false">
          <v:fill type="solid"/>
          <w10:wrap type="none"/>
        </v:rect>
      </w:pict>
    </w:r>
    <w:r>
      <w:rPr/>
      <w:pict>
        <v:rect style="position:absolute;margin-left:696.401978pt;margin-top:576pt;width:18.850pt;height:61.795pt;mso-position-horizontal-relative:page;mso-position-vertical-relative:page;z-index:-623872" filled="true" fillcolor="#c7c8ca" stroked="false">
          <v:fill type="solid"/>
          <w10:wrap type="none"/>
        </v:rect>
      </w:pict>
    </w:r>
    <w:r>
      <w:rPr/>
      <w:pict>
        <v:shape style="position:absolute;margin-left:226.324799pt;margin-top:583.866394pt;width:15.35pt;height:10pt;mso-position-horizontal-relative:page;mso-position-vertical-relative:page;z-index:-623848" type="#_x0000_t202" filled="false" stroked="false">
          <v:textbox inset="0,0,0,0">
            <w:txbxContent>
              <w:p>
                <w:pPr>
                  <w:spacing w:before="1"/>
                  <w:ind w:left="20" w:right="0" w:firstLine="0"/>
                  <w:jc w:val="left"/>
                  <w:rPr>
                    <w:sz w:val="16"/>
                  </w:rPr>
                </w:pPr>
                <w:r>
                  <w:rPr>
                    <w:sz w:val="16"/>
                  </w:rPr>
                  <w:t>516</w:t>
                </w:r>
              </w:p>
            </w:txbxContent>
          </v:textbox>
          <w10:wrap type="none"/>
        </v:shape>
      </w:pict>
    </w:r>
    <w:r>
      <w:rPr/>
      <w:pict>
        <v:shape style="position:absolute;margin-left:698.076782pt;margin-top:583.866394pt;width:15.35pt;height:10pt;mso-position-horizontal-relative:page;mso-position-vertical-relative:page;z-index:-623824" type="#_x0000_t202" filled="false" stroked="false">
          <v:textbox inset="0,0,0,0">
            <w:txbxContent>
              <w:p>
                <w:pPr>
                  <w:spacing w:before="1"/>
                  <w:ind w:left="20" w:right="0" w:firstLine="0"/>
                  <w:jc w:val="left"/>
                  <w:rPr>
                    <w:sz w:val="16"/>
                  </w:rPr>
                </w:pPr>
                <w:r>
                  <w:rPr>
                    <w:sz w:val="16"/>
                  </w:rPr>
                  <w:t>517</w:t>
                </w:r>
              </w:p>
            </w:txbxContent>
          </v:textbox>
          <w10:wrap type="none"/>
        </v:shape>
      </w:pict>
    </w:r>
  </w:p>
</w:ftr>
</file>

<file path=word/footer2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23800" filled="true" fillcolor="#c7c8ca" stroked="false">
          <v:fill type="solid"/>
          <w10:wrap type="none"/>
        </v:rect>
      </w:pict>
    </w:r>
    <w:r>
      <w:rPr/>
      <w:pict>
        <v:rect style="position:absolute;margin-left:696.401978pt;margin-top:576pt;width:18.850pt;height:61.795pt;mso-position-horizontal-relative:page;mso-position-vertical-relative:page;z-index:-623776" filled="true" fillcolor="#c7c8ca" stroked="false">
          <v:fill type="solid"/>
          <w10:wrap type="none"/>
        </v:rect>
      </w:pict>
    </w:r>
    <w:r>
      <w:rPr/>
      <w:pict>
        <v:shape style="position:absolute;margin-left:226.324799pt;margin-top:583.866394pt;width:15.35pt;height:10pt;mso-position-horizontal-relative:page;mso-position-vertical-relative:page;z-index:-623752" type="#_x0000_t202" filled="false" stroked="false">
          <v:textbox inset="0,0,0,0">
            <w:txbxContent>
              <w:p>
                <w:pPr>
                  <w:spacing w:before="1"/>
                  <w:ind w:left="20" w:right="0" w:firstLine="0"/>
                  <w:jc w:val="left"/>
                  <w:rPr>
                    <w:sz w:val="16"/>
                  </w:rPr>
                </w:pPr>
                <w:r>
                  <w:rPr>
                    <w:sz w:val="16"/>
                  </w:rPr>
                  <w:t>518</w:t>
                </w:r>
              </w:p>
            </w:txbxContent>
          </v:textbox>
          <w10:wrap type="none"/>
        </v:shape>
      </w:pict>
    </w:r>
    <w:r>
      <w:rPr/>
      <w:pict>
        <v:shape style="position:absolute;margin-left:698.076782pt;margin-top:583.866394pt;width:15.35pt;height:10pt;mso-position-horizontal-relative:page;mso-position-vertical-relative:page;z-index:-623728" type="#_x0000_t202" filled="false" stroked="false">
          <v:textbox inset="0,0,0,0">
            <w:txbxContent>
              <w:p>
                <w:pPr>
                  <w:spacing w:before="1"/>
                  <w:ind w:left="20" w:right="0" w:firstLine="0"/>
                  <w:jc w:val="left"/>
                  <w:rPr>
                    <w:sz w:val="16"/>
                  </w:rPr>
                </w:pPr>
                <w:r>
                  <w:rPr>
                    <w:sz w:val="16"/>
                  </w:rPr>
                  <w:t>519</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952" filled="true" fillcolor="#c7c8ca" stroked="false">
          <v:fill type="solid"/>
          <w10:wrap type="none"/>
        </v:rect>
      </w:pict>
    </w:r>
    <w:r>
      <w:rPr/>
      <w:pict>
        <v:rect style="position:absolute;margin-left:696.401978pt;margin-top:576pt;width:18.850pt;height:61.795pt;mso-position-horizontal-relative:page;mso-position-vertical-relative:page;z-index:-648928" filled="true" fillcolor="#c7c8ca" stroked="false">
          <v:fill type="solid"/>
          <w10:wrap type="none"/>
        </v:rect>
      </w:pict>
    </w:r>
    <w:r>
      <w:rPr/>
      <w:pict>
        <v:line style="position:absolute;mso-position-horizontal-relative:page;mso-position-vertical-relative:page;z-index:-648904" from="105.448799pt,469.999786pt" to="105.448799pt,469.999786pt" stroked="true" strokeweight=".5pt" strokecolor="#6d6e71">
          <w10:wrap type="none"/>
        </v:line>
      </w:pict>
    </w:r>
    <w:r>
      <w:rPr/>
      <w:pict>
        <v:line style="position:absolute;mso-position-horizontal-relative:page;mso-position-vertical-relative:page;z-index:-648880" from="274.898804pt,469.999786pt" to="274.898804pt,469.999786pt" stroked="true" strokeweight=".5pt" strokecolor="#6d6e71">
          <w10:wrap type="none"/>
        </v:line>
      </w:pict>
    </w:r>
    <w:r>
      <w:rPr/>
      <w:pict>
        <v:shape style="position:absolute;margin-left:227.548798pt;margin-top:583.866394pt;width:11.9pt;height:10pt;mso-position-horizontal-relative:page;mso-position-vertical-relative:page;z-index:-648856" type="#_x0000_t202" filled="false" stroked="false">
          <v:textbox inset="0,0,0,0">
            <w:txbxContent>
              <w:p>
                <w:pPr>
                  <w:spacing w:before="1"/>
                  <w:ind w:left="40" w:right="0" w:firstLine="0"/>
                  <w:jc w:val="left"/>
                  <w:rPr>
                    <w:sz w:val="16"/>
                  </w:rPr>
                </w:pPr>
                <w:r>
                  <w:rPr/>
                  <w:fldChar w:fldCharType="begin"/>
                </w:r>
                <w:r>
                  <w:rPr>
                    <w:sz w:val="16"/>
                  </w:rPr>
                  <w:instrText> PAGE </w:instrText>
                </w:r>
                <w:r>
                  <w:rPr/>
                  <w:fldChar w:fldCharType="separate"/>
                </w:r>
                <w:r>
                  <w:rPr/>
                  <w:t>7</w:t>
                </w:r>
                <w:r>
                  <w:rPr/>
                  <w:fldChar w:fldCharType="end"/>
                </w:r>
                <w:r>
                  <w:rPr>
                    <w:sz w:val="16"/>
                  </w:rPr>
                  <w:t>0</w:t>
                </w:r>
              </w:p>
            </w:txbxContent>
          </v:textbox>
          <w10:wrap type="none"/>
        </v:shape>
      </w:pict>
    </w:r>
    <w:r>
      <w:rPr/>
      <w:pict>
        <v:shape style="position:absolute;margin-left:700.300781pt;margin-top:583.866394pt;width:10.9pt;height:10pt;mso-position-horizontal-relative:page;mso-position-vertical-relative:page;z-index:-648832" type="#_x0000_t202" filled="false" stroked="false">
          <v:textbox inset="0,0,0,0">
            <w:txbxContent>
              <w:p>
                <w:pPr>
                  <w:spacing w:before="1"/>
                  <w:ind w:left="20" w:right="0" w:firstLine="0"/>
                  <w:jc w:val="left"/>
                  <w:rPr>
                    <w:sz w:val="16"/>
                  </w:rPr>
                </w:pPr>
                <w:r>
                  <w:rPr>
                    <w:sz w:val="16"/>
                  </w:rPr>
                  <w:t>71</w:t>
                </w:r>
              </w:p>
            </w:txbxContent>
          </v:textbox>
          <w10:wrap type="none"/>
        </v:shape>
      </w:pict>
    </w:r>
  </w:p>
</w:ftr>
</file>

<file path=word/footer2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808" filled="true" fillcolor="#c7c8ca" stroked="false">
          <v:fill type="solid"/>
          <w10:wrap type="none"/>
        </v:rect>
      </w:pict>
    </w:r>
    <w:r>
      <w:rPr/>
      <w:pict>
        <v:rect style="position:absolute;margin-left:696.401978pt;margin-top:576pt;width:18.850pt;height:61.795pt;mso-position-horizontal-relative:page;mso-position-vertical-relative:page;z-index:-648784" filled="true" fillcolor="#c7c8ca" stroked="false">
          <v:fill type="solid"/>
          <w10:wrap type="none"/>
        </v:rect>
      </w:pict>
    </w:r>
    <w:r>
      <w:rPr/>
      <w:pict>
        <v:shape style="position:absolute;margin-left:228.548798pt;margin-top:583.866394pt;width:10.9pt;height:10pt;mso-position-horizontal-relative:page;mso-position-vertical-relative:page;z-index:-648760" type="#_x0000_t202" filled="false" stroked="false">
          <v:textbox inset="0,0,0,0">
            <w:txbxContent>
              <w:p>
                <w:pPr>
                  <w:spacing w:before="1"/>
                  <w:ind w:left="20" w:right="0" w:firstLine="0"/>
                  <w:jc w:val="left"/>
                  <w:rPr>
                    <w:sz w:val="16"/>
                  </w:rPr>
                </w:pPr>
                <w:r>
                  <w:rPr>
                    <w:sz w:val="16"/>
                  </w:rPr>
                  <w:t>72</w:t>
                </w:r>
              </w:p>
            </w:txbxContent>
          </v:textbox>
          <w10:wrap type="none"/>
        </v:shape>
      </w:pict>
    </w:r>
    <w:r>
      <w:rPr/>
      <w:pict>
        <v:shape style="position:absolute;margin-left:700.300781pt;margin-top:583.866394pt;width:10.9pt;height:10pt;mso-position-horizontal-relative:page;mso-position-vertical-relative:page;z-index:-648736" type="#_x0000_t202" filled="false" stroked="false">
          <v:textbox inset="0,0,0,0">
            <w:txbxContent>
              <w:p>
                <w:pPr>
                  <w:spacing w:before="1"/>
                  <w:ind w:left="20" w:right="0" w:firstLine="0"/>
                  <w:jc w:val="left"/>
                  <w:rPr>
                    <w:sz w:val="16"/>
                  </w:rPr>
                </w:pPr>
                <w:r>
                  <w:rPr>
                    <w:sz w:val="16"/>
                  </w:rPr>
                  <w:t>73</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712" filled="true" fillcolor="#c7c8ca" stroked="false">
          <v:fill type="solid"/>
          <w10:wrap type="none"/>
        </v:rect>
      </w:pict>
    </w:r>
    <w:r>
      <w:rPr/>
      <w:pict>
        <v:rect style="position:absolute;margin-left:696.401978pt;margin-top:576pt;width:18.850pt;height:61.795pt;mso-position-horizontal-relative:page;mso-position-vertical-relative:page;z-index:-648688" filled="true" fillcolor="#c7c8ca" stroked="false">
          <v:fill type="solid"/>
          <w10:wrap type="none"/>
        </v:rect>
      </w:pict>
    </w:r>
    <w:r>
      <w:rPr/>
      <w:pict>
        <v:shape style="position:absolute;margin-left:228.548798pt;margin-top:583.866394pt;width:10.9pt;height:10pt;mso-position-horizontal-relative:page;mso-position-vertical-relative:page;z-index:-648664" type="#_x0000_t202" filled="false" stroked="false">
          <v:textbox inset="0,0,0,0">
            <w:txbxContent>
              <w:p>
                <w:pPr>
                  <w:spacing w:before="1"/>
                  <w:ind w:left="20" w:right="0" w:firstLine="0"/>
                  <w:jc w:val="left"/>
                  <w:rPr>
                    <w:sz w:val="16"/>
                  </w:rPr>
                </w:pPr>
                <w:r>
                  <w:rPr>
                    <w:sz w:val="16"/>
                  </w:rPr>
                  <w:t>74</w:t>
                </w:r>
              </w:p>
            </w:txbxContent>
          </v:textbox>
          <w10:wrap type="none"/>
        </v:shape>
      </w:pict>
    </w:r>
    <w:r>
      <w:rPr/>
      <w:pict>
        <v:shape style="position:absolute;margin-left:700.300781pt;margin-top:583.866394pt;width:10.9pt;height:10pt;mso-position-horizontal-relative:page;mso-position-vertical-relative:page;z-index:-648640" type="#_x0000_t202" filled="false" stroked="false">
          <v:textbox inset="0,0,0,0">
            <w:txbxContent>
              <w:p>
                <w:pPr>
                  <w:spacing w:before="1"/>
                  <w:ind w:left="20" w:right="0" w:firstLine="0"/>
                  <w:jc w:val="left"/>
                  <w:rPr>
                    <w:sz w:val="16"/>
                  </w:rPr>
                </w:pPr>
                <w:r>
                  <w:rPr>
                    <w:sz w:val="16"/>
                  </w:rPr>
                  <w:t>75</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616" filled="true" fillcolor="#c7c8ca" stroked="false">
          <v:fill type="solid"/>
          <w10:wrap type="none"/>
        </v:rect>
      </w:pict>
    </w:r>
    <w:r>
      <w:rPr/>
      <w:pict>
        <v:rect style="position:absolute;margin-left:696.401978pt;margin-top:576pt;width:18.850pt;height:61.795pt;mso-position-horizontal-relative:page;mso-position-vertical-relative:page;z-index:-648592" filled="true" fillcolor="#c7c8ca" stroked="false">
          <v:fill type="solid"/>
          <w10:wrap type="none"/>
        </v:rect>
      </w:pict>
    </w:r>
    <w:r>
      <w:rPr/>
      <w:pict>
        <v:shape style="position:absolute;margin-left:228.548798pt;margin-top:583.866394pt;width:10.9pt;height:10pt;mso-position-horizontal-relative:page;mso-position-vertical-relative:page;z-index:-648568" type="#_x0000_t202" filled="false" stroked="false">
          <v:textbox inset="0,0,0,0">
            <w:txbxContent>
              <w:p>
                <w:pPr>
                  <w:spacing w:before="1"/>
                  <w:ind w:left="20" w:right="0" w:firstLine="0"/>
                  <w:jc w:val="left"/>
                  <w:rPr>
                    <w:sz w:val="16"/>
                  </w:rPr>
                </w:pPr>
                <w:r>
                  <w:rPr>
                    <w:sz w:val="16"/>
                  </w:rPr>
                  <w:t>76</w:t>
                </w:r>
              </w:p>
            </w:txbxContent>
          </v:textbox>
          <w10:wrap type="none"/>
        </v:shape>
      </w:pict>
    </w:r>
    <w:r>
      <w:rPr/>
      <w:pict>
        <v:shape style="position:absolute;margin-left:700.300781pt;margin-top:583.866394pt;width:10.9pt;height:10pt;mso-position-horizontal-relative:page;mso-position-vertical-relative:page;z-index:-648544" type="#_x0000_t202" filled="false" stroked="false">
          <v:textbox inset="0,0,0,0">
            <w:txbxContent>
              <w:p>
                <w:pPr>
                  <w:spacing w:before="1"/>
                  <w:ind w:left="20" w:right="0" w:firstLine="0"/>
                  <w:jc w:val="left"/>
                  <w:rPr>
                    <w:sz w:val="16"/>
                  </w:rPr>
                </w:pPr>
                <w:r>
                  <w:rPr>
                    <w:sz w:val="16"/>
                  </w:rPr>
                  <w:t>77</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520" filled="true" fillcolor="#c7c8ca" stroked="false">
          <v:fill type="solid"/>
          <w10:wrap type="none"/>
        </v:rect>
      </w:pict>
    </w:r>
    <w:r>
      <w:rPr/>
      <w:pict>
        <v:rect style="position:absolute;margin-left:696.401978pt;margin-top:576pt;width:18.850pt;height:61.795pt;mso-position-horizontal-relative:page;mso-position-vertical-relative:page;z-index:-648496" filled="true" fillcolor="#c7c8ca" stroked="false">
          <v:fill type="solid"/>
          <w10:wrap type="none"/>
        </v:rect>
      </w:pict>
    </w:r>
    <w:r>
      <w:rPr/>
      <w:pict>
        <v:shape style="position:absolute;margin-left:228.548798pt;margin-top:583.866394pt;width:10.9pt;height:10pt;mso-position-horizontal-relative:page;mso-position-vertical-relative:page;z-index:-648472" type="#_x0000_t202" filled="false" stroked="false">
          <v:textbox inset="0,0,0,0">
            <w:txbxContent>
              <w:p>
                <w:pPr>
                  <w:spacing w:before="1"/>
                  <w:ind w:left="20" w:right="0" w:firstLine="0"/>
                  <w:jc w:val="left"/>
                  <w:rPr>
                    <w:sz w:val="16"/>
                  </w:rPr>
                </w:pPr>
                <w:r>
                  <w:rPr>
                    <w:sz w:val="16"/>
                  </w:rPr>
                  <w:t>78</w:t>
                </w:r>
              </w:p>
            </w:txbxContent>
          </v:textbox>
          <w10:wrap type="none"/>
        </v:shape>
      </w:pict>
    </w:r>
    <w:r>
      <w:rPr/>
      <w:pict>
        <v:shape style="position:absolute;margin-left:700.300781pt;margin-top:583.866394pt;width:10.9pt;height:10pt;mso-position-horizontal-relative:page;mso-position-vertical-relative:page;z-index:-648448" type="#_x0000_t202" filled="false" stroked="false">
          <v:textbox inset="0,0,0,0">
            <w:txbxContent>
              <w:p>
                <w:pPr>
                  <w:spacing w:before="1"/>
                  <w:ind w:left="20" w:right="0" w:firstLine="0"/>
                  <w:jc w:val="left"/>
                  <w:rPr>
                    <w:sz w:val="16"/>
                  </w:rPr>
                </w:pPr>
                <w:r>
                  <w:rPr>
                    <w:sz w:val="16"/>
                  </w:rPr>
                  <w:t>79</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1352" filled="true" fillcolor="#c7c8ca" stroked="false">
          <v:fill type="solid"/>
          <w10:wrap type="none"/>
        </v:rect>
      </w:pict>
    </w:r>
    <w:r>
      <w:rPr/>
      <w:pict>
        <v:rect style="position:absolute;margin-left:696.401978pt;margin-top:576pt;width:18.850pt;height:61.795pt;mso-position-horizontal-relative:page;mso-position-vertical-relative:page;z-index:-651328" filled="true" fillcolor="#c7c8ca" stroked="false">
          <v:fill type="solid"/>
          <w10:wrap type="none"/>
        </v:rect>
      </w:pict>
    </w:r>
    <w:r>
      <w:rPr/>
      <w:pict>
        <v:shape style="position:absolute;margin-left:228.548798pt;margin-top:583.866394pt;width:10.9pt;height:10pt;mso-position-horizontal-relative:page;mso-position-vertical-relative:page;z-index:-651304" type="#_x0000_t202" filled="false" stroked="false">
          <v:textbox inset="0,0,0,0">
            <w:txbxContent>
              <w:p>
                <w:pPr>
                  <w:spacing w:before="1"/>
                  <w:ind w:left="20" w:right="0" w:firstLine="0"/>
                  <w:jc w:val="left"/>
                  <w:rPr>
                    <w:sz w:val="16"/>
                  </w:rPr>
                </w:pPr>
                <w:r>
                  <w:rPr>
                    <w:sz w:val="16"/>
                  </w:rPr>
                  <w:t>26</w:t>
                </w:r>
              </w:p>
            </w:txbxContent>
          </v:textbox>
          <w10:wrap type="none"/>
        </v:shape>
      </w:pict>
    </w:r>
    <w:r>
      <w:rPr/>
      <w:pict>
        <v:shape style="position:absolute;margin-left:700.300781pt;margin-top:583.866394pt;width:10.9pt;height:10pt;mso-position-horizontal-relative:page;mso-position-vertical-relative:page;z-index:-651280" type="#_x0000_t202" filled="false" stroked="false">
          <v:textbox inset="0,0,0,0">
            <w:txbxContent>
              <w:p>
                <w:pPr>
                  <w:spacing w:before="1"/>
                  <w:ind w:left="20" w:right="0" w:firstLine="0"/>
                  <w:jc w:val="left"/>
                  <w:rPr>
                    <w:sz w:val="16"/>
                  </w:rPr>
                </w:pPr>
                <w:r>
                  <w:rPr>
                    <w:sz w:val="16"/>
                  </w:rPr>
                  <w:t>27</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424" filled="true" fillcolor="#c7c8ca" stroked="false">
          <v:fill type="solid"/>
          <w10:wrap type="none"/>
        </v:rect>
      </w:pict>
    </w:r>
    <w:r>
      <w:rPr/>
      <w:pict>
        <v:rect style="position:absolute;margin-left:696.401978pt;margin-top:576pt;width:18.850pt;height:61.795pt;mso-position-horizontal-relative:page;mso-position-vertical-relative:page;z-index:-648400" filled="true" fillcolor="#c7c8ca" stroked="false">
          <v:fill type="solid"/>
          <w10:wrap type="none"/>
        </v:rect>
      </w:pict>
    </w:r>
    <w:r>
      <w:rPr/>
      <w:pict>
        <v:shape style="position:absolute;margin-left:228.548798pt;margin-top:583.866394pt;width:10.9pt;height:10pt;mso-position-horizontal-relative:page;mso-position-vertical-relative:page;z-index:-648376" type="#_x0000_t202" filled="false" stroked="false">
          <v:textbox inset="0,0,0,0">
            <w:txbxContent>
              <w:p>
                <w:pPr>
                  <w:spacing w:before="1"/>
                  <w:ind w:left="20" w:right="0" w:firstLine="0"/>
                  <w:jc w:val="left"/>
                  <w:rPr>
                    <w:sz w:val="16"/>
                  </w:rPr>
                </w:pPr>
                <w:r>
                  <w:rPr>
                    <w:sz w:val="16"/>
                  </w:rPr>
                  <w:t>80</w:t>
                </w:r>
              </w:p>
            </w:txbxContent>
          </v:textbox>
          <w10:wrap type="none"/>
        </v:shape>
      </w:pict>
    </w:r>
    <w:r>
      <w:rPr/>
      <w:pict>
        <v:shape style="position:absolute;margin-left:700.300781pt;margin-top:583.866394pt;width:10.9pt;height:10pt;mso-position-horizontal-relative:page;mso-position-vertical-relative:page;z-index:-648352" type="#_x0000_t202" filled="false" stroked="false">
          <v:textbox inset="0,0,0,0">
            <w:txbxContent>
              <w:p>
                <w:pPr>
                  <w:spacing w:before="1"/>
                  <w:ind w:left="20" w:right="0" w:firstLine="0"/>
                  <w:jc w:val="left"/>
                  <w:rPr>
                    <w:sz w:val="16"/>
                  </w:rPr>
                </w:pPr>
                <w:r>
                  <w:rPr>
                    <w:sz w:val="16"/>
                  </w:rPr>
                  <w:t>81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328" filled="true" fillcolor="#c7c8ca" stroked="false">
          <v:fill type="solid"/>
          <w10:wrap type="none"/>
        </v:rect>
      </w:pict>
    </w:r>
    <w:r>
      <w:rPr/>
      <w:pict>
        <v:rect style="position:absolute;margin-left:696.401978pt;margin-top:576pt;width:18.850pt;height:61.795pt;mso-position-horizontal-relative:page;mso-position-vertical-relative:page;z-index:-648304" filled="true" fillcolor="#c7c8ca" stroked="false">
          <v:fill type="solid"/>
          <w10:wrap type="none"/>
        </v:rect>
      </w:pict>
    </w:r>
    <w:r>
      <w:rPr/>
      <w:pict>
        <v:shape style="position:absolute;margin-left:228.548798pt;margin-top:583.866394pt;width:10.9pt;height:10pt;mso-position-horizontal-relative:page;mso-position-vertical-relative:page;z-index:-648280" type="#_x0000_t202" filled="false" stroked="false">
          <v:textbox inset="0,0,0,0">
            <w:txbxContent>
              <w:p>
                <w:pPr>
                  <w:spacing w:before="1"/>
                  <w:ind w:left="20" w:right="0" w:firstLine="0"/>
                  <w:jc w:val="left"/>
                  <w:rPr>
                    <w:sz w:val="16"/>
                  </w:rPr>
                </w:pPr>
                <w:r>
                  <w:rPr>
                    <w:sz w:val="16"/>
                  </w:rPr>
                  <w:t>82</w:t>
                </w:r>
              </w:p>
            </w:txbxContent>
          </v:textbox>
          <w10:wrap type="none"/>
        </v:shape>
      </w:pict>
    </w:r>
    <w:r>
      <w:rPr/>
      <w:pict>
        <v:shape style="position:absolute;margin-left:700.300781pt;margin-top:583.866394pt;width:10.9pt;height:10pt;mso-position-horizontal-relative:page;mso-position-vertical-relative:page;z-index:-648256" type="#_x0000_t202" filled="false" stroked="false">
          <v:textbox inset="0,0,0,0">
            <w:txbxContent>
              <w:p>
                <w:pPr>
                  <w:spacing w:before="1"/>
                  <w:ind w:left="20" w:right="0" w:firstLine="0"/>
                  <w:jc w:val="left"/>
                  <w:rPr>
                    <w:sz w:val="16"/>
                  </w:rPr>
                </w:pPr>
                <w:r>
                  <w:rPr>
                    <w:sz w:val="16"/>
                  </w:rPr>
                  <w:t>83</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232" filled="true" fillcolor="#c7c8ca" stroked="false">
          <v:fill type="solid"/>
          <w10:wrap type="none"/>
        </v:rect>
      </w:pict>
    </w:r>
    <w:r>
      <w:rPr/>
      <w:pict>
        <v:rect style="position:absolute;margin-left:696.401978pt;margin-top:576pt;width:18.850pt;height:61.795pt;mso-position-horizontal-relative:page;mso-position-vertical-relative:page;z-index:-648208" filled="true" fillcolor="#c7c8ca" stroked="false">
          <v:fill type="solid"/>
          <w10:wrap type="none"/>
        </v:rect>
      </w:pict>
    </w:r>
    <w:r>
      <w:rPr/>
      <w:pict>
        <v:shape style="position:absolute;margin-left:228.548798pt;margin-top:583.866394pt;width:10.9pt;height:10pt;mso-position-horizontal-relative:page;mso-position-vertical-relative:page;z-index:-648184" type="#_x0000_t202" filled="false" stroked="false">
          <v:textbox inset="0,0,0,0">
            <w:txbxContent>
              <w:p>
                <w:pPr>
                  <w:spacing w:before="1"/>
                  <w:ind w:left="20" w:right="0" w:firstLine="0"/>
                  <w:jc w:val="left"/>
                  <w:rPr>
                    <w:sz w:val="16"/>
                  </w:rPr>
                </w:pPr>
                <w:r>
                  <w:rPr>
                    <w:sz w:val="16"/>
                  </w:rPr>
                  <w:t>84</w:t>
                </w:r>
              </w:p>
            </w:txbxContent>
          </v:textbox>
          <w10:wrap type="none"/>
        </v:shape>
      </w:pict>
    </w:r>
    <w:r>
      <w:rPr/>
      <w:pict>
        <v:shape style="position:absolute;margin-left:700.300781pt;margin-top:583.866394pt;width:10.9pt;height:10pt;mso-position-horizontal-relative:page;mso-position-vertical-relative:page;z-index:-648160" type="#_x0000_t202" filled="false" stroked="false">
          <v:textbox inset="0,0,0,0">
            <w:txbxContent>
              <w:p>
                <w:pPr>
                  <w:spacing w:before="1"/>
                  <w:ind w:left="20" w:right="0" w:firstLine="0"/>
                  <w:jc w:val="left"/>
                  <w:rPr>
                    <w:sz w:val="16"/>
                  </w:rPr>
                </w:pPr>
                <w:r>
                  <w:rPr>
                    <w:sz w:val="16"/>
                  </w:rPr>
                  <w:t>85</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136" filled="true" fillcolor="#c7c8ca" stroked="false">
          <v:fill type="solid"/>
          <w10:wrap type="none"/>
        </v:rect>
      </w:pict>
    </w:r>
    <w:r>
      <w:rPr/>
      <w:pict>
        <v:rect style="position:absolute;margin-left:696.401978pt;margin-top:576pt;width:18.850pt;height:61.795pt;mso-position-horizontal-relative:page;mso-position-vertical-relative:page;z-index:-648112" filled="true" fillcolor="#c7c8ca" stroked="false">
          <v:fill type="solid"/>
          <w10:wrap type="none"/>
        </v:rect>
      </w:pict>
    </w:r>
    <w:r>
      <w:rPr/>
      <w:pict>
        <v:shape style="position:absolute;margin-left:228.548798pt;margin-top:583.866394pt;width:10.9pt;height:10pt;mso-position-horizontal-relative:page;mso-position-vertical-relative:page;z-index:-648088" type="#_x0000_t202" filled="false" stroked="false">
          <v:textbox inset="0,0,0,0">
            <w:txbxContent>
              <w:p>
                <w:pPr>
                  <w:spacing w:before="1"/>
                  <w:ind w:left="20" w:right="0" w:firstLine="0"/>
                  <w:jc w:val="left"/>
                  <w:rPr>
                    <w:sz w:val="16"/>
                  </w:rPr>
                </w:pPr>
                <w:r>
                  <w:rPr>
                    <w:sz w:val="16"/>
                  </w:rPr>
                  <w:t>86</w:t>
                </w:r>
              </w:p>
            </w:txbxContent>
          </v:textbox>
          <w10:wrap type="none"/>
        </v:shape>
      </w:pict>
    </w:r>
    <w:r>
      <w:rPr/>
      <w:pict>
        <v:shape style="position:absolute;margin-left:700.300781pt;margin-top:583.866394pt;width:10.9pt;height:10pt;mso-position-horizontal-relative:page;mso-position-vertical-relative:page;z-index:-648064" type="#_x0000_t202" filled="false" stroked="false">
          <v:textbox inset="0,0,0,0">
            <w:txbxContent>
              <w:p>
                <w:pPr>
                  <w:spacing w:before="1"/>
                  <w:ind w:left="20" w:right="0" w:firstLine="0"/>
                  <w:jc w:val="left"/>
                  <w:rPr>
                    <w:sz w:val="16"/>
                  </w:rPr>
                </w:pPr>
                <w:r>
                  <w:rPr>
                    <w:sz w:val="16"/>
                  </w:rPr>
                  <w:t>87</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8040" filled="true" fillcolor="#c7c8ca" stroked="false">
          <v:fill type="solid"/>
          <w10:wrap type="none"/>
        </v:rect>
      </w:pict>
    </w:r>
    <w:r>
      <w:rPr/>
      <w:pict>
        <v:rect style="position:absolute;margin-left:696.401978pt;margin-top:576pt;width:18.850pt;height:61.795pt;mso-position-horizontal-relative:page;mso-position-vertical-relative:page;z-index:-648016" filled="true" fillcolor="#c7c8ca" stroked="false">
          <v:fill type="solid"/>
          <w10:wrap type="none"/>
        </v:rect>
      </w:pict>
    </w:r>
    <w:r>
      <w:rPr/>
      <w:pict>
        <v:shape style="position:absolute;margin-left:228.548798pt;margin-top:583.866394pt;width:10.9pt;height:10pt;mso-position-horizontal-relative:page;mso-position-vertical-relative:page;z-index:-647992" type="#_x0000_t202" filled="false" stroked="false">
          <v:textbox inset="0,0,0,0">
            <w:txbxContent>
              <w:p>
                <w:pPr>
                  <w:spacing w:before="1"/>
                  <w:ind w:left="20" w:right="0" w:firstLine="0"/>
                  <w:jc w:val="left"/>
                  <w:rPr>
                    <w:sz w:val="16"/>
                  </w:rPr>
                </w:pPr>
                <w:r>
                  <w:rPr>
                    <w:sz w:val="16"/>
                  </w:rPr>
                  <w:t>88</w:t>
                </w:r>
              </w:p>
            </w:txbxContent>
          </v:textbox>
          <w10:wrap type="none"/>
        </v:shape>
      </w:pict>
    </w:r>
    <w:r>
      <w:rPr/>
      <w:pict>
        <v:shape style="position:absolute;margin-left:700.300781pt;margin-top:583.866394pt;width:10.9pt;height:10pt;mso-position-horizontal-relative:page;mso-position-vertical-relative:page;z-index:-647968" type="#_x0000_t202" filled="false" stroked="false">
          <v:textbox inset="0,0,0,0">
            <w:txbxContent>
              <w:p>
                <w:pPr>
                  <w:spacing w:before="1"/>
                  <w:ind w:left="20" w:right="0" w:firstLine="0"/>
                  <w:jc w:val="left"/>
                  <w:rPr>
                    <w:sz w:val="16"/>
                  </w:rPr>
                </w:pPr>
                <w:r>
                  <w:rPr>
                    <w:sz w:val="16"/>
                  </w:rPr>
                  <w:t>89</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944" filled="true" fillcolor="#c7c8ca" stroked="false">
          <v:fill type="solid"/>
          <w10:wrap type="none"/>
        </v:rect>
      </w:pict>
    </w:r>
    <w:r>
      <w:rPr/>
      <w:pict>
        <v:rect style="position:absolute;margin-left:696.401978pt;margin-top:576pt;width:18.850pt;height:61.795pt;mso-position-horizontal-relative:page;mso-position-vertical-relative:page;z-index:-647920" filled="true" fillcolor="#c7c8ca" stroked="false">
          <v:fill type="solid"/>
          <w10:wrap type="none"/>
        </v:rect>
      </w:pict>
    </w:r>
    <w:r>
      <w:rPr/>
      <w:pict>
        <v:shape style="position:absolute;margin-left:228.548798pt;margin-top:583.866394pt;width:10.9pt;height:10pt;mso-position-horizontal-relative:page;mso-position-vertical-relative:page;z-index:-647896" type="#_x0000_t202" filled="false" stroked="false">
          <v:textbox inset="0,0,0,0">
            <w:txbxContent>
              <w:p>
                <w:pPr>
                  <w:spacing w:before="1"/>
                  <w:ind w:left="20" w:right="0" w:firstLine="0"/>
                  <w:jc w:val="left"/>
                  <w:rPr>
                    <w:sz w:val="16"/>
                  </w:rPr>
                </w:pPr>
                <w:r>
                  <w:rPr>
                    <w:sz w:val="16"/>
                  </w:rPr>
                  <w:t>90</w:t>
                </w:r>
              </w:p>
            </w:txbxContent>
          </v:textbox>
          <w10:wrap type="none"/>
        </v:shape>
      </w:pict>
    </w:r>
    <w:r>
      <w:rPr/>
      <w:pict>
        <v:shape style="position:absolute;margin-left:700.300781pt;margin-top:583.866394pt;width:10.9pt;height:10pt;mso-position-horizontal-relative:page;mso-position-vertical-relative:page;z-index:-647872" type="#_x0000_t202" filled="false" stroked="false">
          <v:textbox inset="0,0,0,0">
            <w:txbxContent>
              <w:p>
                <w:pPr>
                  <w:spacing w:before="1"/>
                  <w:ind w:left="20" w:right="0" w:firstLine="0"/>
                  <w:jc w:val="left"/>
                  <w:rPr>
                    <w:sz w:val="16"/>
                  </w:rPr>
                </w:pPr>
                <w:r>
                  <w:rPr>
                    <w:sz w:val="16"/>
                  </w:rPr>
                  <w:t>91</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848" filled="true" fillcolor="#c7c8ca" stroked="false">
          <v:fill type="solid"/>
          <w10:wrap type="none"/>
        </v:rect>
      </w:pict>
    </w:r>
    <w:r>
      <w:rPr/>
      <w:pict>
        <v:rect style="position:absolute;margin-left:696.401978pt;margin-top:576pt;width:18.850pt;height:61.795pt;mso-position-horizontal-relative:page;mso-position-vertical-relative:page;z-index:-647824" filled="true" fillcolor="#c7c8ca" stroked="false">
          <v:fill type="solid"/>
          <w10:wrap type="none"/>
        </v:rect>
      </w:pict>
    </w:r>
    <w:r>
      <w:rPr/>
      <w:pict>
        <v:shape style="position:absolute;margin-left:228.548798pt;margin-top:583.866394pt;width:10.9pt;height:10pt;mso-position-horizontal-relative:page;mso-position-vertical-relative:page;z-index:-647800" type="#_x0000_t202" filled="false" stroked="false">
          <v:textbox inset="0,0,0,0">
            <w:txbxContent>
              <w:p>
                <w:pPr>
                  <w:spacing w:before="1"/>
                  <w:ind w:left="20" w:right="0" w:firstLine="0"/>
                  <w:jc w:val="left"/>
                  <w:rPr>
                    <w:sz w:val="16"/>
                  </w:rPr>
                </w:pPr>
                <w:r>
                  <w:rPr>
                    <w:sz w:val="16"/>
                  </w:rPr>
                  <w:t>92</w:t>
                </w:r>
              </w:p>
            </w:txbxContent>
          </v:textbox>
          <w10:wrap type="none"/>
        </v:shape>
      </w:pict>
    </w:r>
    <w:r>
      <w:rPr/>
      <w:pict>
        <v:shape style="position:absolute;margin-left:700.300781pt;margin-top:583.866394pt;width:10.9pt;height:10pt;mso-position-horizontal-relative:page;mso-position-vertical-relative:page;z-index:-647776" type="#_x0000_t202" filled="false" stroked="false">
          <v:textbox inset="0,0,0,0">
            <w:txbxContent>
              <w:p>
                <w:pPr>
                  <w:spacing w:before="1"/>
                  <w:ind w:left="20" w:right="0" w:firstLine="0"/>
                  <w:jc w:val="left"/>
                  <w:rPr>
                    <w:sz w:val="16"/>
                  </w:rPr>
                </w:pPr>
                <w:r>
                  <w:rPr>
                    <w:sz w:val="16"/>
                  </w:rPr>
                  <w:t>93</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752" filled="true" fillcolor="#c7c8ca" stroked="false">
          <v:fill type="solid"/>
          <w10:wrap type="none"/>
        </v:rect>
      </w:pict>
    </w:r>
    <w:r>
      <w:rPr/>
      <w:pict>
        <v:rect style="position:absolute;margin-left:696.401978pt;margin-top:576pt;width:18.850pt;height:61.795pt;mso-position-horizontal-relative:page;mso-position-vertical-relative:page;z-index:-647728" filled="true" fillcolor="#c7c8ca" stroked="false">
          <v:fill type="solid"/>
          <w10:wrap type="none"/>
        </v:rect>
      </w:pict>
    </w:r>
    <w:r>
      <w:rPr/>
      <w:pict>
        <v:shape style="position:absolute;margin-left:228.548798pt;margin-top:583.866394pt;width:10.9pt;height:10pt;mso-position-horizontal-relative:page;mso-position-vertical-relative:page;z-index:-647704" type="#_x0000_t202" filled="false" stroked="false">
          <v:textbox inset="0,0,0,0">
            <w:txbxContent>
              <w:p>
                <w:pPr>
                  <w:spacing w:before="1"/>
                  <w:ind w:left="20" w:right="0" w:firstLine="0"/>
                  <w:jc w:val="left"/>
                  <w:rPr>
                    <w:sz w:val="16"/>
                  </w:rPr>
                </w:pPr>
                <w:r>
                  <w:rPr>
                    <w:sz w:val="16"/>
                  </w:rPr>
                  <w:t>94</w:t>
                </w:r>
              </w:p>
            </w:txbxContent>
          </v:textbox>
          <w10:wrap type="none"/>
        </v:shape>
      </w:pict>
    </w:r>
    <w:r>
      <w:rPr/>
      <w:pict>
        <v:shape style="position:absolute;margin-left:700.300781pt;margin-top:583.866394pt;width:10.9pt;height:10pt;mso-position-horizontal-relative:page;mso-position-vertical-relative:page;z-index:-647680" type="#_x0000_t202" filled="false" stroked="false">
          <v:textbox inset="0,0,0,0">
            <w:txbxContent>
              <w:p>
                <w:pPr>
                  <w:spacing w:before="1"/>
                  <w:ind w:left="20" w:right="0" w:firstLine="0"/>
                  <w:jc w:val="left"/>
                  <w:rPr>
                    <w:sz w:val="16"/>
                  </w:rPr>
                </w:pPr>
                <w:r>
                  <w:rPr>
                    <w:sz w:val="16"/>
                  </w:rPr>
                  <w:t>95</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656" filled="true" fillcolor="#c7c8ca" stroked="false">
          <v:fill type="solid"/>
          <w10:wrap type="none"/>
        </v:rect>
      </w:pict>
    </w:r>
    <w:r>
      <w:rPr/>
      <w:pict>
        <v:rect style="position:absolute;margin-left:696.401978pt;margin-top:576pt;width:18.850pt;height:61.795pt;mso-position-horizontal-relative:page;mso-position-vertical-relative:page;z-index:-647632" filled="true" fillcolor="#c7c8ca" stroked="false">
          <v:fill type="solid"/>
          <w10:wrap type="none"/>
        </v:rect>
      </w:pict>
    </w:r>
    <w:r>
      <w:rPr/>
      <w:pict>
        <v:shape style="position:absolute;margin-left:228.548798pt;margin-top:583.866394pt;width:10.9pt;height:10pt;mso-position-horizontal-relative:page;mso-position-vertical-relative:page;z-index:-647608" type="#_x0000_t202" filled="false" stroked="false">
          <v:textbox inset="0,0,0,0">
            <w:txbxContent>
              <w:p>
                <w:pPr>
                  <w:spacing w:before="1"/>
                  <w:ind w:left="20" w:right="0" w:firstLine="0"/>
                  <w:jc w:val="left"/>
                  <w:rPr>
                    <w:sz w:val="16"/>
                  </w:rPr>
                </w:pPr>
                <w:r>
                  <w:rPr>
                    <w:sz w:val="16"/>
                  </w:rPr>
                  <w:t>96</w:t>
                </w:r>
              </w:p>
            </w:txbxContent>
          </v:textbox>
          <w10:wrap type="none"/>
        </v:shape>
      </w:pict>
    </w:r>
    <w:r>
      <w:rPr/>
      <w:pict>
        <v:shape style="position:absolute;margin-left:700.300781pt;margin-top:583.866394pt;width:10.9pt;height:10pt;mso-position-horizontal-relative:page;mso-position-vertical-relative:page;z-index:-647584" type="#_x0000_t202" filled="false" stroked="false">
          <v:textbox inset="0,0,0,0">
            <w:txbxContent>
              <w:p>
                <w:pPr>
                  <w:spacing w:before="1"/>
                  <w:ind w:left="20" w:right="0" w:firstLine="0"/>
                  <w:jc w:val="left"/>
                  <w:rPr>
                    <w:sz w:val="16"/>
                  </w:rPr>
                </w:pPr>
                <w:r>
                  <w:rPr>
                    <w:sz w:val="16"/>
                  </w:rPr>
                  <w:t>97</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560" filled="true" fillcolor="#c7c8ca" stroked="false">
          <v:fill type="solid"/>
          <w10:wrap type="none"/>
        </v:rect>
      </w:pict>
    </w:r>
    <w:r>
      <w:rPr/>
      <w:pict>
        <v:rect style="position:absolute;margin-left:696.401978pt;margin-top:576pt;width:18.850pt;height:61.795pt;mso-position-horizontal-relative:page;mso-position-vertical-relative:page;z-index:-647536" filled="true" fillcolor="#c7c8ca" stroked="false">
          <v:fill type="solid"/>
          <w10:wrap type="none"/>
        </v:rect>
      </w:pict>
    </w:r>
    <w:r>
      <w:rPr/>
      <w:pict>
        <v:shape style="position:absolute;margin-left:228.548798pt;margin-top:583.866394pt;width:10.9pt;height:10pt;mso-position-horizontal-relative:page;mso-position-vertical-relative:page;z-index:-647512" type="#_x0000_t202" filled="false" stroked="false">
          <v:textbox inset="0,0,0,0">
            <w:txbxContent>
              <w:p>
                <w:pPr>
                  <w:spacing w:before="1"/>
                  <w:ind w:left="20" w:right="0" w:firstLine="0"/>
                  <w:jc w:val="left"/>
                  <w:rPr>
                    <w:sz w:val="16"/>
                  </w:rPr>
                </w:pPr>
                <w:r>
                  <w:rPr>
                    <w:sz w:val="16"/>
                  </w:rPr>
                  <w:t>98</w:t>
                </w:r>
              </w:p>
            </w:txbxContent>
          </v:textbox>
          <w10:wrap type="none"/>
        </v:shape>
      </w:pict>
    </w:r>
    <w:r>
      <w:rPr/>
      <w:pict>
        <v:shape style="position:absolute;margin-left:700.300781pt;margin-top:583.866394pt;width:10.9pt;height:10pt;mso-position-horizontal-relative:page;mso-position-vertical-relative:page;z-index:-647488" type="#_x0000_t202" filled="false" stroked="false">
          <v:textbox inset="0,0,0,0">
            <w:txbxContent>
              <w:p>
                <w:pPr>
                  <w:spacing w:before="1"/>
                  <w:ind w:left="20" w:right="0" w:firstLine="0"/>
                  <w:jc w:val="left"/>
                  <w:rPr>
                    <w:sz w:val="16"/>
                  </w:rPr>
                </w:pPr>
                <w:r>
                  <w:rPr>
                    <w:sz w:val="16"/>
                  </w:rPr>
                  <w:t>99</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1256" filled="true" fillcolor="#c7c8ca" stroked="false">
          <v:fill type="solid"/>
          <w10:wrap type="none"/>
        </v:rect>
      </w:pict>
    </w:r>
    <w:r>
      <w:rPr/>
      <w:pict>
        <v:rect style="position:absolute;margin-left:696.401978pt;margin-top:576pt;width:18.850pt;height:61.795pt;mso-position-horizontal-relative:page;mso-position-vertical-relative:page;z-index:-651232" filled="true" fillcolor="#c7c8ca" stroked="false">
          <v:fill type="solid"/>
          <w10:wrap type="none"/>
        </v:rect>
      </w:pict>
    </w:r>
    <w:r>
      <w:rPr/>
      <w:pict>
        <v:shape style="position:absolute;margin-left:228.548798pt;margin-top:583.866394pt;width:10.9pt;height:10pt;mso-position-horizontal-relative:page;mso-position-vertical-relative:page;z-index:-651208" type="#_x0000_t202" filled="false" stroked="false">
          <v:textbox inset="0,0,0,0">
            <w:txbxContent>
              <w:p>
                <w:pPr>
                  <w:spacing w:before="1"/>
                  <w:ind w:left="20" w:right="0" w:firstLine="0"/>
                  <w:jc w:val="left"/>
                  <w:rPr>
                    <w:sz w:val="16"/>
                  </w:rPr>
                </w:pPr>
                <w:r>
                  <w:rPr>
                    <w:sz w:val="16"/>
                  </w:rPr>
                  <w:t>28</w:t>
                </w:r>
              </w:p>
            </w:txbxContent>
          </v:textbox>
          <w10:wrap type="none"/>
        </v:shape>
      </w:pict>
    </w:r>
    <w:r>
      <w:rPr/>
      <w:pict>
        <v:shape style="position:absolute;margin-left:700.300781pt;margin-top:583.866394pt;width:10.9pt;height:10pt;mso-position-horizontal-relative:page;mso-position-vertical-relative:page;z-index:-651184" type="#_x0000_t202" filled="false" stroked="false">
          <v:textbox inset="0,0,0,0">
            <w:txbxContent>
              <w:p>
                <w:pPr>
                  <w:spacing w:before="1"/>
                  <w:ind w:left="20" w:right="0" w:firstLine="0"/>
                  <w:jc w:val="left"/>
                  <w:rPr>
                    <w:sz w:val="16"/>
                  </w:rPr>
                </w:pPr>
                <w:r>
                  <w:rPr>
                    <w:sz w:val="16"/>
                  </w:rPr>
                  <w:t>29</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464" filled="true" fillcolor="#c7c8ca" stroked="false">
          <v:fill type="solid"/>
          <w10:wrap type="none"/>
        </v:rect>
      </w:pict>
    </w:r>
    <w:r>
      <w:rPr/>
      <w:pict>
        <v:rect style="position:absolute;margin-left:696.401978pt;margin-top:576pt;width:18.850pt;height:61.795pt;mso-position-horizontal-relative:page;mso-position-vertical-relative:page;z-index:-647440" filled="true" fillcolor="#c7c8ca" stroked="false">
          <v:fill type="solid"/>
          <w10:wrap type="none"/>
        </v:rect>
      </w:pict>
    </w:r>
    <w:r>
      <w:rPr/>
      <w:pict>
        <v:shape style="position:absolute;margin-left:226.324799pt;margin-top:583.866394pt;width:15.35pt;height:10pt;mso-position-horizontal-relative:page;mso-position-vertical-relative:page;z-index:-647416" type="#_x0000_t202" filled="false" stroked="false">
          <v:textbox inset="0,0,0,0">
            <w:txbxContent>
              <w:p>
                <w:pPr>
                  <w:spacing w:before="1"/>
                  <w:ind w:left="20" w:right="0" w:firstLine="0"/>
                  <w:jc w:val="left"/>
                  <w:rPr>
                    <w:sz w:val="16"/>
                  </w:rPr>
                </w:pPr>
                <w:r>
                  <w:rPr>
                    <w:sz w:val="16"/>
                  </w:rPr>
                  <w:t>100</w:t>
                </w:r>
              </w:p>
            </w:txbxContent>
          </v:textbox>
          <w10:wrap type="none"/>
        </v:shape>
      </w:pict>
    </w:r>
    <w:r>
      <w:rPr/>
      <w:pict>
        <v:shape style="position:absolute;margin-left:698.076782pt;margin-top:583.866394pt;width:15.35pt;height:10pt;mso-position-horizontal-relative:page;mso-position-vertical-relative:page;z-index:-647392" type="#_x0000_t202" filled="false" stroked="false">
          <v:textbox inset="0,0,0,0">
            <w:txbxContent>
              <w:p>
                <w:pPr>
                  <w:spacing w:before="1"/>
                  <w:ind w:left="20" w:right="0" w:firstLine="0"/>
                  <w:jc w:val="left"/>
                  <w:rPr>
                    <w:sz w:val="16"/>
                  </w:rPr>
                </w:pPr>
                <w:r>
                  <w:rPr>
                    <w:sz w:val="16"/>
                  </w:rPr>
                  <w:t>101</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368" filled="true" fillcolor="#c7c8ca" stroked="false">
          <v:fill type="solid"/>
          <w10:wrap type="none"/>
        </v:rect>
      </w:pict>
    </w:r>
    <w:r>
      <w:rPr/>
      <w:pict>
        <v:rect style="position:absolute;margin-left:696.401978pt;margin-top:576pt;width:18.850pt;height:61.795pt;mso-position-horizontal-relative:page;mso-position-vertical-relative:page;z-index:-647344" filled="true" fillcolor="#c7c8ca" stroked="false">
          <v:fill type="solid"/>
          <w10:wrap type="none"/>
        </v:rect>
      </w:pict>
    </w:r>
    <w:r>
      <w:rPr/>
      <w:pict>
        <v:shape style="position:absolute;margin-left:226.324799pt;margin-top:583.866394pt;width:15.35pt;height:10pt;mso-position-horizontal-relative:page;mso-position-vertical-relative:page;z-index:-647320" type="#_x0000_t202" filled="false" stroked="false">
          <v:textbox inset="0,0,0,0">
            <w:txbxContent>
              <w:p>
                <w:pPr>
                  <w:spacing w:before="1"/>
                  <w:ind w:left="20" w:right="0" w:firstLine="0"/>
                  <w:jc w:val="left"/>
                  <w:rPr>
                    <w:sz w:val="16"/>
                  </w:rPr>
                </w:pPr>
                <w:r>
                  <w:rPr>
                    <w:sz w:val="16"/>
                  </w:rPr>
                  <w:t>102</w:t>
                </w:r>
              </w:p>
            </w:txbxContent>
          </v:textbox>
          <w10:wrap type="none"/>
        </v:shape>
      </w:pict>
    </w:r>
    <w:r>
      <w:rPr/>
      <w:pict>
        <v:shape style="position:absolute;margin-left:698.076782pt;margin-top:583.866394pt;width:15.35pt;height:10pt;mso-position-horizontal-relative:page;mso-position-vertical-relative:page;z-index:-647296" type="#_x0000_t202" filled="false" stroked="false">
          <v:textbox inset="0,0,0,0">
            <w:txbxContent>
              <w:p>
                <w:pPr>
                  <w:spacing w:before="1"/>
                  <w:ind w:left="20" w:right="0" w:firstLine="0"/>
                  <w:jc w:val="left"/>
                  <w:rPr>
                    <w:sz w:val="16"/>
                  </w:rPr>
                </w:pPr>
                <w:r>
                  <w:rPr>
                    <w:sz w:val="16"/>
                  </w:rPr>
                  <w:t>103</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272" filled="true" fillcolor="#c7c8ca" stroked="false">
          <v:fill type="solid"/>
          <w10:wrap type="none"/>
        </v:rect>
      </w:pict>
    </w:r>
    <w:r>
      <w:rPr/>
      <w:pict>
        <v:rect style="position:absolute;margin-left:696.401978pt;margin-top:576pt;width:18.850pt;height:61.795pt;mso-position-horizontal-relative:page;mso-position-vertical-relative:page;z-index:-647248" filled="true" fillcolor="#c7c8ca" stroked="false">
          <v:fill type="solid"/>
          <w10:wrap type="none"/>
        </v:rect>
      </w:pict>
    </w:r>
    <w:r>
      <w:rPr/>
      <w:pict>
        <v:shape style="position:absolute;margin-left:226.324799pt;margin-top:583.866394pt;width:15.35pt;height:10pt;mso-position-horizontal-relative:page;mso-position-vertical-relative:page;z-index:-647224" type="#_x0000_t202" filled="false" stroked="false">
          <v:textbox inset="0,0,0,0">
            <w:txbxContent>
              <w:p>
                <w:pPr>
                  <w:spacing w:before="1"/>
                  <w:ind w:left="20" w:right="0" w:firstLine="0"/>
                  <w:jc w:val="left"/>
                  <w:rPr>
                    <w:sz w:val="16"/>
                  </w:rPr>
                </w:pPr>
                <w:r>
                  <w:rPr>
                    <w:sz w:val="16"/>
                  </w:rPr>
                  <w:t>104</w:t>
                </w:r>
              </w:p>
            </w:txbxContent>
          </v:textbox>
          <w10:wrap type="none"/>
        </v:shape>
      </w:pict>
    </w:r>
    <w:r>
      <w:rPr/>
      <w:pict>
        <v:shape style="position:absolute;margin-left:698.076782pt;margin-top:583.866394pt;width:15.35pt;height:10pt;mso-position-horizontal-relative:page;mso-position-vertical-relative:page;z-index:-647200" type="#_x0000_t202" filled="false" stroked="false">
          <v:textbox inset="0,0,0,0">
            <w:txbxContent>
              <w:p>
                <w:pPr>
                  <w:spacing w:before="1"/>
                  <w:ind w:left="20" w:right="0" w:firstLine="0"/>
                  <w:jc w:val="left"/>
                  <w:rPr>
                    <w:sz w:val="16"/>
                  </w:rPr>
                </w:pPr>
                <w:r>
                  <w:rPr>
                    <w:sz w:val="16"/>
                  </w:rPr>
                  <w:t>105</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176" filled="true" fillcolor="#c7c8ca" stroked="false">
          <v:fill type="solid"/>
          <w10:wrap type="none"/>
        </v:rect>
      </w:pict>
    </w:r>
    <w:r>
      <w:rPr/>
      <w:pict>
        <v:rect style="position:absolute;margin-left:696.401978pt;margin-top:576pt;width:18.850pt;height:61.795pt;mso-position-horizontal-relative:page;mso-position-vertical-relative:page;z-index:-647152" filled="true" fillcolor="#c7c8ca" stroked="false">
          <v:fill type="solid"/>
          <w10:wrap type="none"/>
        </v:rect>
      </w:pict>
    </w:r>
    <w:r>
      <w:rPr/>
      <w:pict>
        <v:shape style="position:absolute;margin-left:226.324799pt;margin-top:583.866394pt;width:15.35pt;height:10pt;mso-position-horizontal-relative:page;mso-position-vertical-relative:page;z-index:-647128" type="#_x0000_t202" filled="false" stroked="false">
          <v:textbox inset="0,0,0,0">
            <w:txbxContent>
              <w:p>
                <w:pPr>
                  <w:spacing w:before="1"/>
                  <w:ind w:left="20" w:right="0" w:firstLine="0"/>
                  <w:jc w:val="left"/>
                  <w:rPr>
                    <w:sz w:val="16"/>
                  </w:rPr>
                </w:pPr>
                <w:r>
                  <w:rPr>
                    <w:sz w:val="16"/>
                  </w:rPr>
                  <w:t>106</w:t>
                </w:r>
              </w:p>
            </w:txbxContent>
          </v:textbox>
          <w10:wrap type="none"/>
        </v:shape>
      </w:pict>
    </w:r>
    <w:r>
      <w:rPr/>
      <w:pict>
        <v:shape style="position:absolute;margin-left:698.076782pt;margin-top:583.866394pt;width:15.35pt;height:10pt;mso-position-horizontal-relative:page;mso-position-vertical-relative:page;z-index:-647104" type="#_x0000_t202" filled="false" stroked="false">
          <v:textbox inset="0,0,0,0">
            <w:txbxContent>
              <w:p>
                <w:pPr>
                  <w:spacing w:before="1"/>
                  <w:ind w:left="20" w:right="0" w:firstLine="0"/>
                  <w:jc w:val="left"/>
                  <w:rPr>
                    <w:sz w:val="16"/>
                  </w:rPr>
                </w:pPr>
                <w:r>
                  <w:rPr>
                    <w:sz w:val="16"/>
                  </w:rPr>
                  <w:t>107</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7080" filled="true" fillcolor="#c7c8ca" stroked="false">
          <v:fill type="solid"/>
          <w10:wrap type="none"/>
        </v:rect>
      </w:pict>
    </w:r>
    <w:r>
      <w:rPr/>
      <w:pict>
        <v:rect style="position:absolute;margin-left:696.401978pt;margin-top:576pt;width:18.850pt;height:61.795pt;mso-position-horizontal-relative:page;mso-position-vertical-relative:page;z-index:-647056" filled="true" fillcolor="#c7c8ca" stroked="false">
          <v:fill type="solid"/>
          <w10:wrap type="none"/>
        </v:rect>
      </w:pict>
    </w:r>
    <w:r>
      <w:rPr/>
      <w:pict>
        <v:shape style="position:absolute;margin-left:226.324799pt;margin-top:583.866394pt;width:15.35pt;height:10pt;mso-position-horizontal-relative:page;mso-position-vertical-relative:page;z-index:-647032" type="#_x0000_t202" filled="false" stroked="false">
          <v:textbox inset="0,0,0,0">
            <w:txbxContent>
              <w:p>
                <w:pPr>
                  <w:spacing w:before="1"/>
                  <w:ind w:left="20" w:right="0" w:firstLine="0"/>
                  <w:jc w:val="left"/>
                  <w:rPr>
                    <w:sz w:val="16"/>
                  </w:rPr>
                </w:pPr>
                <w:r>
                  <w:rPr>
                    <w:sz w:val="16"/>
                  </w:rPr>
                  <w:t>108</w:t>
                </w:r>
              </w:p>
            </w:txbxContent>
          </v:textbox>
          <w10:wrap type="none"/>
        </v:shape>
      </w:pict>
    </w:r>
    <w:r>
      <w:rPr/>
      <w:pict>
        <v:shape style="position:absolute;margin-left:698.076782pt;margin-top:583.866394pt;width:15.35pt;height:10pt;mso-position-horizontal-relative:page;mso-position-vertical-relative:page;z-index:-647008" type="#_x0000_t202" filled="false" stroked="false">
          <v:textbox inset="0,0,0,0">
            <w:txbxContent>
              <w:p>
                <w:pPr>
                  <w:spacing w:before="1"/>
                  <w:ind w:left="20" w:right="0" w:firstLine="0"/>
                  <w:jc w:val="left"/>
                  <w:rPr>
                    <w:sz w:val="16"/>
                  </w:rPr>
                </w:pPr>
                <w:r>
                  <w:rPr>
                    <w:sz w:val="16"/>
                  </w:rPr>
                  <w:t>109</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984" filled="true" fillcolor="#c7c8ca" stroked="false">
          <v:fill type="solid"/>
          <w10:wrap type="none"/>
        </v:rect>
      </w:pict>
    </w:r>
    <w:r>
      <w:rPr/>
      <w:pict>
        <v:rect style="position:absolute;margin-left:696.401978pt;margin-top:576pt;width:18.850pt;height:61.795pt;mso-position-horizontal-relative:page;mso-position-vertical-relative:page;z-index:-646960" filled="true" fillcolor="#c7c8ca" stroked="false">
          <v:fill type="solid"/>
          <w10:wrap type="none"/>
        </v:rect>
      </w:pict>
    </w:r>
    <w:r>
      <w:rPr/>
      <w:pict>
        <v:shape style="position:absolute;margin-left:226.324799pt;margin-top:583.866394pt;width:15.35pt;height:10pt;mso-position-horizontal-relative:page;mso-position-vertical-relative:page;z-index:-646936" type="#_x0000_t202" filled="false" stroked="false">
          <v:textbox inset="0,0,0,0">
            <w:txbxContent>
              <w:p>
                <w:pPr>
                  <w:spacing w:before="1"/>
                  <w:ind w:left="20" w:right="0" w:firstLine="0"/>
                  <w:jc w:val="left"/>
                  <w:rPr>
                    <w:sz w:val="16"/>
                  </w:rPr>
                </w:pPr>
                <w:r>
                  <w:rPr>
                    <w:sz w:val="16"/>
                  </w:rPr>
                  <w:t>110</w:t>
                </w:r>
              </w:p>
            </w:txbxContent>
          </v:textbox>
          <w10:wrap type="none"/>
        </v:shape>
      </w:pict>
    </w:r>
    <w:r>
      <w:rPr/>
      <w:pict>
        <v:shape style="position:absolute;margin-left:698.076782pt;margin-top:583.866394pt;width:15.35pt;height:10pt;mso-position-horizontal-relative:page;mso-position-vertical-relative:page;z-index:-646912" type="#_x0000_t202" filled="false" stroked="false">
          <v:textbox inset="0,0,0,0">
            <w:txbxContent>
              <w:p>
                <w:pPr>
                  <w:spacing w:before="1"/>
                  <w:ind w:left="20" w:right="0" w:firstLine="0"/>
                  <w:jc w:val="left"/>
                  <w:rPr>
                    <w:sz w:val="16"/>
                  </w:rPr>
                </w:pPr>
                <w:r>
                  <w:rPr>
                    <w:sz w:val="16"/>
                  </w:rPr>
                  <w:t>111</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888" filled="true" fillcolor="#c7c8ca" stroked="false">
          <v:fill type="solid"/>
          <w10:wrap type="none"/>
        </v:rect>
      </w:pict>
    </w:r>
    <w:r>
      <w:rPr/>
      <w:pict>
        <v:rect style="position:absolute;margin-left:696.401978pt;margin-top:576pt;width:18.850pt;height:61.795pt;mso-position-horizontal-relative:page;mso-position-vertical-relative:page;z-index:-646864" filled="true" fillcolor="#c7c8ca" stroked="false">
          <v:fill type="solid"/>
          <w10:wrap type="none"/>
        </v:rect>
      </w:pict>
    </w:r>
    <w:r>
      <w:rPr/>
      <w:pict>
        <v:shape style="position:absolute;margin-left:226.324799pt;margin-top:583.866394pt;width:15.35pt;height:10pt;mso-position-horizontal-relative:page;mso-position-vertical-relative:page;z-index:-646840" type="#_x0000_t202" filled="false" stroked="false">
          <v:textbox inset="0,0,0,0">
            <w:txbxContent>
              <w:p>
                <w:pPr>
                  <w:spacing w:before="1"/>
                  <w:ind w:left="20" w:right="0" w:firstLine="0"/>
                  <w:jc w:val="left"/>
                  <w:rPr>
                    <w:sz w:val="16"/>
                  </w:rPr>
                </w:pPr>
                <w:r>
                  <w:rPr>
                    <w:sz w:val="16"/>
                  </w:rPr>
                  <w:t>112</w:t>
                </w:r>
              </w:p>
            </w:txbxContent>
          </v:textbox>
          <w10:wrap type="none"/>
        </v:shape>
      </w:pict>
    </w:r>
    <w:r>
      <w:rPr/>
      <w:pict>
        <v:shape style="position:absolute;margin-left:698.076782pt;margin-top:583.866394pt;width:15.35pt;height:10pt;mso-position-horizontal-relative:page;mso-position-vertical-relative:page;z-index:-646816" type="#_x0000_t202" filled="false" stroked="false">
          <v:textbox inset="0,0,0,0">
            <w:txbxContent>
              <w:p>
                <w:pPr>
                  <w:spacing w:before="1"/>
                  <w:ind w:left="20" w:right="0" w:firstLine="0"/>
                  <w:jc w:val="left"/>
                  <w:rPr>
                    <w:sz w:val="16"/>
                  </w:rPr>
                </w:pPr>
                <w:r>
                  <w:rPr>
                    <w:sz w:val="16"/>
                  </w:rPr>
                  <w:t>113</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792" filled="true" fillcolor="#c7c8ca" stroked="false">
          <v:fill type="solid"/>
          <w10:wrap type="none"/>
        </v:rect>
      </w:pict>
    </w:r>
    <w:r>
      <w:rPr/>
      <w:pict>
        <v:rect style="position:absolute;margin-left:696.401978pt;margin-top:576pt;width:18.850pt;height:61.795pt;mso-position-horizontal-relative:page;mso-position-vertical-relative:page;z-index:-646768" filled="true" fillcolor="#c7c8ca" stroked="false">
          <v:fill type="solid"/>
          <w10:wrap type="none"/>
        </v:rect>
      </w:pict>
    </w:r>
    <w:r>
      <w:rPr/>
      <w:pict>
        <v:shape style="position:absolute;margin-left:226.324799pt;margin-top:583.866394pt;width:15.35pt;height:10pt;mso-position-horizontal-relative:page;mso-position-vertical-relative:page;z-index:-646744" type="#_x0000_t202" filled="false" stroked="false">
          <v:textbox inset="0,0,0,0">
            <w:txbxContent>
              <w:p>
                <w:pPr>
                  <w:spacing w:before="1"/>
                  <w:ind w:left="20" w:right="0" w:firstLine="0"/>
                  <w:jc w:val="left"/>
                  <w:rPr>
                    <w:sz w:val="16"/>
                  </w:rPr>
                </w:pPr>
                <w:r>
                  <w:rPr>
                    <w:sz w:val="16"/>
                  </w:rPr>
                  <w:t>114</w:t>
                </w:r>
              </w:p>
            </w:txbxContent>
          </v:textbox>
          <w10:wrap type="none"/>
        </v:shape>
      </w:pict>
    </w:r>
    <w:r>
      <w:rPr/>
      <w:pict>
        <v:shape style="position:absolute;margin-left:698.076782pt;margin-top:583.866394pt;width:15.35pt;height:10pt;mso-position-horizontal-relative:page;mso-position-vertical-relative:page;z-index:-646720" type="#_x0000_t202" filled="false" stroked="false">
          <v:textbox inset="0,0,0,0">
            <w:txbxContent>
              <w:p>
                <w:pPr>
                  <w:spacing w:before="1"/>
                  <w:ind w:left="20" w:right="0" w:firstLine="0"/>
                  <w:jc w:val="left"/>
                  <w:rPr>
                    <w:sz w:val="16"/>
                  </w:rPr>
                </w:pPr>
                <w:r>
                  <w:rPr>
                    <w:sz w:val="16"/>
                  </w:rPr>
                  <w:t>115</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696" filled="true" fillcolor="#c7c8ca" stroked="false">
          <v:fill type="solid"/>
          <w10:wrap type="none"/>
        </v:rect>
      </w:pict>
    </w:r>
    <w:r>
      <w:rPr/>
      <w:pict>
        <v:rect style="position:absolute;margin-left:696.401978pt;margin-top:576pt;width:18.850pt;height:61.795pt;mso-position-horizontal-relative:page;mso-position-vertical-relative:page;z-index:-646672" filled="true" fillcolor="#c7c8ca" stroked="false">
          <v:fill type="solid"/>
          <w10:wrap type="none"/>
        </v:rect>
      </w:pict>
    </w:r>
    <w:r>
      <w:rPr/>
      <w:pict>
        <v:shape style="position:absolute;margin-left:226.324799pt;margin-top:583.866394pt;width:15.35pt;height:10pt;mso-position-horizontal-relative:page;mso-position-vertical-relative:page;z-index:-646648" type="#_x0000_t202" filled="false" stroked="false">
          <v:textbox inset="0,0,0,0">
            <w:txbxContent>
              <w:p>
                <w:pPr>
                  <w:spacing w:before="1"/>
                  <w:ind w:left="20" w:right="0" w:firstLine="0"/>
                  <w:jc w:val="left"/>
                  <w:rPr>
                    <w:sz w:val="16"/>
                  </w:rPr>
                </w:pPr>
                <w:r>
                  <w:rPr>
                    <w:sz w:val="16"/>
                  </w:rPr>
                  <w:t>116</w:t>
                </w:r>
              </w:p>
            </w:txbxContent>
          </v:textbox>
          <w10:wrap type="none"/>
        </v:shape>
      </w:pict>
    </w:r>
    <w:r>
      <w:rPr/>
      <w:pict>
        <v:shape style="position:absolute;margin-left:698.076782pt;margin-top:583.866394pt;width:15.35pt;height:10pt;mso-position-horizontal-relative:page;mso-position-vertical-relative:page;z-index:-646624" type="#_x0000_t202" filled="false" stroked="false">
          <v:textbox inset="0,0,0,0">
            <w:txbxContent>
              <w:p>
                <w:pPr>
                  <w:spacing w:before="1"/>
                  <w:ind w:left="20" w:right="0" w:firstLine="0"/>
                  <w:jc w:val="left"/>
                  <w:rPr>
                    <w:sz w:val="16"/>
                  </w:rPr>
                </w:pPr>
                <w:r>
                  <w:rPr>
                    <w:sz w:val="16"/>
                  </w:rPr>
                  <w:t>117</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600" filled="true" fillcolor="#c7c8ca" stroked="false">
          <v:fill type="solid"/>
          <w10:wrap type="none"/>
        </v:rect>
      </w:pict>
    </w:r>
    <w:r>
      <w:rPr/>
      <w:pict>
        <v:rect style="position:absolute;margin-left:696.401978pt;margin-top:576pt;width:18.850pt;height:61.795pt;mso-position-horizontal-relative:page;mso-position-vertical-relative:page;z-index:-646576" filled="true" fillcolor="#c7c8ca" stroked="false">
          <v:fill type="solid"/>
          <w10:wrap type="none"/>
        </v:rect>
      </w:pict>
    </w:r>
    <w:r>
      <w:rPr/>
      <w:pict>
        <v:shape style="position:absolute;margin-left:226.324799pt;margin-top:583.866394pt;width:15.35pt;height:10pt;mso-position-horizontal-relative:page;mso-position-vertical-relative:page;z-index:-646552" type="#_x0000_t202" filled="false" stroked="false">
          <v:textbox inset="0,0,0,0">
            <w:txbxContent>
              <w:p>
                <w:pPr>
                  <w:spacing w:before="1"/>
                  <w:ind w:left="20" w:right="0" w:firstLine="0"/>
                  <w:jc w:val="left"/>
                  <w:rPr>
                    <w:sz w:val="16"/>
                  </w:rPr>
                </w:pPr>
                <w:r>
                  <w:rPr>
                    <w:sz w:val="16"/>
                  </w:rPr>
                  <w:t>118</w:t>
                </w:r>
              </w:p>
            </w:txbxContent>
          </v:textbox>
          <w10:wrap type="none"/>
        </v:shape>
      </w:pict>
    </w:r>
    <w:r>
      <w:rPr/>
      <w:pict>
        <v:shape style="position:absolute;margin-left:698.076782pt;margin-top:583.866394pt;width:15.35pt;height:10pt;mso-position-horizontal-relative:page;mso-position-vertical-relative:page;z-index:-646528" type="#_x0000_t202" filled="false" stroked="false">
          <v:textbox inset="0,0,0,0">
            <w:txbxContent>
              <w:p>
                <w:pPr>
                  <w:spacing w:before="1"/>
                  <w:ind w:left="20" w:right="0" w:firstLine="0"/>
                  <w:jc w:val="left"/>
                  <w:rPr>
                    <w:sz w:val="16"/>
                  </w:rPr>
                </w:pPr>
                <w:r>
                  <w:rPr>
                    <w:sz w:val="16"/>
                  </w:rPr>
                  <w:t>119</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1160" filled="true" fillcolor="#c7c8ca" stroked="false">
          <v:fill type="solid"/>
          <w10:wrap type="none"/>
        </v:rect>
      </w:pict>
    </w:r>
    <w:r>
      <w:rPr/>
      <w:pict>
        <v:rect style="position:absolute;margin-left:696.401978pt;margin-top:576pt;width:18.850pt;height:61.795pt;mso-position-horizontal-relative:page;mso-position-vertical-relative:page;z-index:-651136" filled="true" fillcolor="#c7c8ca" stroked="false">
          <v:fill type="solid"/>
          <w10:wrap type="none"/>
        </v:rect>
      </w:pict>
    </w:r>
    <w:r>
      <w:rPr/>
      <w:pict>
        <v:shape style="position:absolute;margin-left:228.548798pt;margin-top:583.866394pt;width:10.9pt;height:10pt;mso-position-horizontal-relative:page;mso-position-vertical-relative:page;z-index:-651112" type="#_x0000_t202" filled="false" stroked="false">
          <v:textbox inset="0,0,0,0">
            <w:txbxContent>
              <w:p>
                <w:pPr>
                  <w:spacing w:before="1"/>
                  <w:ind w:left="20" w:right="0" w:firstLine="0"/>
                  <w:jc w:val="left"/>
                  <w:rPr>
                    <w:sz w:val="16"/>
                  </w:rPr>
                </w:pPr>
                <w:r>
                  <w:rPr>
                    <w:sz w:val="16"/>
                  </w:rPr>
                  <w:t>30</w:t>
                </w:r>
              </w:p>
            </w:txbxContent>
          </v:textbox>
          <w10:wrap type="none"/>
        </v:shape>
      </w:pict>
    </w:r>
    <w:r>
      <w:rPr/>
      <w:pict>
        <v:shape style="position:absolute;margin-left:700.300781pt;margin-top:583.866394pt;width:10.9pt;height:10pt;mso-position-horizontal-relative:page;mso-position-vertical-relative:page;z-index:-651088" type="#_x0000_t202" filled="false" stroked="false">
          <v:textbox inset="0,0,0,0">
            <w:txbxContent>
              <w:p>
                <w:pPr>
                  <w:spacing w:before="1"/>
                  <w:ind w:left="20" w:right="0" w:firstLine="0"/>
                  <w:jc w:val="left"/>
                  <w:rPr>
                    <w:sz w:val="16"/>
                  </w:rPr>
                </w:pPr>
                <w:r>
                  <w:rPr>
                    <w:sz w:val="16"/>
                  </w:rPr>
                  <w:t>31</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504" filled="true" fillcolor="#c7c8ca" stroked="false">
          <v:fill type="solid"/>
          <w10:wrap type="none"/>
        </v:rect>
      </w:pict>
    </w:r>
    <w:r>
      <w:rPr/>
      <w:pict>
        <v:rect style="position:absolute;margin-left:696.401978pt;margin-top:576pt;width:18.850pt;height:61.795pt;mso-position-horizontal-relative:page;mso-position-vertical-relative:page;z-index:-646480" filled="true" fillcolor="#c7c8ca" stroked="false">
          <v:fill type="solid"/>
          <w10:wrap type="none"/>
        </v:rect>
      </w:pict>
    </w:r>
    <w:r>
      <w:rPr/>
      <w:pict>
        <v:shape style="position:absolute;margin-left:226.324799pt;margin-top:583.866394pt;width:15.35pt;height:10pt;mso-position-horizontal-relative:page;mso-position-vertical-relative:page;z-index:-646456" type="#_x0000_t202" filled="false" stroked="false">
          <v:textbox inset="0,0,0,0">
            <w:txbxContent>
              <w:p>
                <w:pPr>
                  <w:spacing w:before="1"/>
                  <w:ind w:left="20" w:right="0" w:firstLine="0"/>
                  <w:jc w:val="left"/>
                  <w:rPr>
                    <w:sz w:val="16"/>
                  </w:rPr>
                </w:pPr>
                <w:r>
                  <w:rPr>
                    <w:sz w:val="16"/>
                  </w:rPr>
                  <w:t>120</w:t>
                </w:r>
              </w:p>
            </w:txbxContent>
          </v:textbox>
          <w10:wrap type="none"/>
        </v:shape>
      </w:pict>
    </w:r>
    <w:r>
      <w:rPr/>
      <w:pict>
        <v:shape style="position:absolute;margin-left:698.076782pt;margin-top:583.866394pt;width:15.35pt;height:10pt;mso-position-horizontal-relative:page;mso-position-vertical-relative:page;z-index:-646432" type="#_x0000_t202" filled="false" stroked="false">
          <v:textbox inset="0,0,0,0">
            <w:txbxContent>
              <w:p>
                <w:pPr>
                  <w:spacing w:before="1"/>
                  <w:ind w:left="20" w:right="0" w:firstLine="0"/>
                  <w:jc w:val="left"/>
                  <w:rPr>
                    <w:sz w:val="16"/>
                  </w:rPr>
                </w:pPr>
                <w:r>
                  <w:rPr>
                    <w:sz w:val="16"/>
                  </w:rPr>
                  <w:t>121</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408" filled="true" fillcolor="#c7c8ca" stroked="false">
          <v:fill type="solid"/>
          <w10:wrap type="none"/>
        </v:rect>
      </w:pict>
    </w:r>
    <w:r>
      <w:rPr/>
      <w:pict>
        <v:rect style="position:absolute;margin-left:696.401978pt;margin-top:576pt;width:18.850pt;height:61.795pt;mso-position-horizontal-relative:page;mso-position-vertical-relative:page;z-index:-646384" filled="true" fillcolor="#c7c8ca" stroked="false">
          <v:fill type="solid"/>
          <w10:wrap type="none"/>
        </v:rect>
      </w:pict>
    </w:r>
    <w:r>
      <w:rPr/>
      <w:pict>
        <v:shape style="position:absolute;margin-left:226.324799pt;margin-top:583.866394pt;width:15.35pt;height:10pt;mso-position-horizontal-relative:page;mso-position-vertical-relative:page;z-index:-646360" type="#_x0000_t202" filled="false" stroked="false">
          <v:textbox inset="0,0,0,0">
            <w:txbxContent>
              <w:p>
                <w:pPr>
                  <w:spacing w:before="1"/>
                  <w:ind w:left="20" w:right="0" w:firstLine="0"/>
                  <w:jc w:val="left"/>
                  <w:rPr>
                    <w:sz w:val="16"/>
                  </w:rPr>
                </w:pPr>
                <w:r>
                  <w:rPr>
                    <w:sz w:val="16"/>
                  </w:rPr>
                  <w:t>122</w:t>
                </w:r>
              </w:p>
            </w:txbxContent>
          </v:textbox>
          <w10:wrap type="none"/>
        </v:shape>
      </w:pict>
    </w:r>
    <w:r>
      <w:rPr/>
      <w:pict>
        <v:shape style="position:absolute;margin-left:698.076782pt;margin-top:583.866394pt;width:15.35pt;height:10pt;mso-position-horizontal-relative:page;mso-position-vertical-relative:page;z-index:-646336" type="#_x0000_t202" filled="false" stroked="false">
          <v:textbox inset="0,0,0,0">
            <w:txbxContent>
              <w:p>
                <w:pPr>
                  <w:spacing w:before="1"/>
                  <w:ind w:left="20" w:right="0" w:firstLine="0"/>
                  <w:jc w:val="left"/>
                  <w:rPr>
                    <w:sz w:val="16"/>
                  </w:rPr>
                </w:pPr>
                <w:r>
                  <w:rPr>
                    <w:sz w:val="16"/>
                  </w:rPr>
                  <w:t>123</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312" filled="true" fillcolor="#c7c8ca" stroked="false">
          <v:fill type="solid"/>
          <w10:wrap type="none"/>
        </v:rect>
      </w:pict>
    </w:r>
    <w:r>
      <w:rPr/>
      <w:pict>
        <v:rect style="position:absolute;margin-left:696.401978pt;margin-top:576pt;width:18.850pt;height:61.795pt;mso-position-horizontal-relative:page;mso-position-vertical-relative:page;z-index:-646288" filled="true" fillcolor="#c7c8ca" stroked="false">
          <v:fill type="solid"/>
          <w10:wrap type="none"/>
        </v:rect>
      </w:pict>
    </w:r>
    <w:r>
      <w:rPr/>
      <w:pict>
        <v:shape style="position:absolute;margin-left:226.324799pt;margin-top:583.866394pt;width:15.35pt;height:10pt;mso-position-horizontal-relative:page;mso-position-vertical-relative:page;z-index:-646264" type="#_x0000_t202" filled="false" stroked="false">
          <v:textbox inset="0,0,0,0">
            <w:txbxContent>
              <w:p>
                <w:pPr>
                  <w:spacing w:before="1"/>
                  <w:ind w:left="20" w:right="0" w:firstLine="0"/>
                  <w:jc w:val="left"/>
                  <w:rPr>
                    <w:sz w:val="16"/>
                  </w:rPr>
                </w:pPr>
                <w:r>
                  <w:rPr>
                    <w:sz w:val="16"/>
                  </w:rPr>
                  <w:t>124</w:t>
                </w:r>
              </w:p>
            </w:txbxContent>
          </v:textbox>
          <w10:wrap type="none"/>
        </v:shape>
      </w:pict>
    </w:r>
    <w:r>
      <w:rPr/>
      <w:pict>
        <v:shape style="position:absolute;margin-left:698.076782pt;margin-top:583.866394pt;width:15.35pt;height:10pt;mso-position-horizontal-relative:page;mso-position-vertical-relative:page;z-index:-646240" type="#_x0000_t202" filled="false" stroked="false">
          <v:textbox inset="0,0,0,0">
            <w:txbxContent>
              <w:p>
                <w:pPr>
                  <w:spacing w:before="1"/>
                  <w:ind w:left="20" w:right="0" w:firstLine="0"/>
                  <w:jc w:val="left"/>
                  <w:rPr>
                    <w:sz w:val="16"/>
                  </w:rPr>
                </w:pPr>
                <w:r>
                  <w:rPr>
                    <w:sz w:val="16"/>
                  </w:rPr>
                  <w:t>125</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216" filled="true" fillcolor="#c7c8ca" stroked="false">
          <v:fill type="solid"/>
          <w10:wrap type="none"/>
        </v:rect>
      </w:pict>
    </w:r>
    <w:r>
      <w:rPr/>
      <w:pict>
        <v:rect style="position:absolute;margin-left:696.401978pt;margin-top:576pt;width:18.850pt;height:61.795pt;mso-position-horizontal-relative:page;mso-position-vertical-relative:page;z-index:-646192" filled="true" fillcolor="#c7c8ca" stroked="false">
          <v:fill type="solid"/>
          <w10:wrap type="none"/>
        </v:rect>
      </w:pict>
    </w:r>
    <w:r>
      <w:rPr/>
      <w:pict>
        <v:shape style="position:absolute;margin-left:226.324799pt;margin-top:583.866394pt;width:15.35pt;height:10pt;mso-position-horizontal-relative:page;mso-position-vertical-relative:page;z-index:-646168" type="#_x0000_t202" filled="false" stroked="false">
          <v:textbox inset="0,0,0,0">
            <w:txbxContent>
              <w:p>
                <w:pPr>
                  <w:spacing w:before="1"/>
                  <w:ind w:left="20" w:right="0" w:firstLine="0"/>
                  <w:jc w:val="left"/>
                  <w:rPr>
                    <w:sz w:val="16"/>
                  </w:rPr>
                </w:pPr>
                <w:r>
                  <w:rPr>
                    <w:sz w:val="16"/>
                  </w:rPr>
                  <w:t>126</w:t>
                </w:r>
              </w:p>
            </w:txbxContent>
          </v:textbox>
          <w10:wrap type="none"/>
        </v:shape>
      </w:pict>
    </w:r>
    <w:r>
      <w:rPr/>
      <w:pict>
        <v:shape style="position:absolute;margin-left:698.076782pt;margin-top:583.866394pt;width:15.35pt;height:10pt;mso-position-horizontal-relative:page;mso-position-vertical-relative:page;z-index:-646144" type="#_x0000_t202" filled="false" stroked="false">
          <v:textbox inset="0,0,0,0">
            <w:txbxContent>
              <w:p>
                <w:pPr>
                  <w:spacing w:before="1"/>
                  <w:ind w:left="20" w:right="0" w:firstLine="0"/>
                  <w:jc w:val="left"/>
                  <w:rPr>
                    <w:sz w:val="16"/>
                  </w:rPr>
                </w:pPr>
                <w:r>
                  <w:rPr>
                    <w:sz w:val="16"/>
                  </w:rPr>
                  <w:t>127</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120" filled="true" fillcolor="#c7c8ca" stroked="false">
          <v:fill type="solid"/>
          <w10:wrap type="none"/>
        </v:rect>
      </w:pict>
    </w:r>
    <w:r>
      <w:rPr/>
      <w:pict>
        <v:rect style="position:absolute;margin-left:696.401978pt;margin-top:576pt;width:18.850pt;height:61.795pt;mso-position-horizontal-relative:page;mso-position-vertical-relative:page;z-index:-646096" filled="true" fillcolor="#c7c8ca" stroked="false">
          <v:fill type="solid"/>
          <w10:wrap type="none"/>
        </v:rect>
      </w:pict>
    </w:r>
    <w:r>
      <w:rPr/>
      <w:pict>
        <v:shape style="position:absolute;margin-left:226.324799pt;margin-top:583.866394pt;width:15.35pt;height:10pt;mso-position-horizontal-relative:page;mso-position-vertical-relative:page;z-index:-646072" type="#_x0000_t202" filled="false" stroked="false">
          <v:textbox inset="0,0,0,0">
            <w:txbxContent>
              <w:p>
                <w:pPr>
                  <w:spacing w:before="1"/>
                  <w:ind w:left="20" w:right="0" w:firstLine="0"/>
                  <w:jc w:val="left"/>
                  <w:rPr>
                    <w:sz w:val="16"/>
                  </w:rPr>
                </w:pPr>
                <w:r>
                  <w:rPr>
                    <w:sz w:val="16"/>
                  </w:rPr>
                  <w:t>128</w:t>
                </w:r>
              </w:p>
            </w:txbxContent>
          </v:textbox>
          <w10:wrap type="none"/>
        </v:shape>
      </w:pict>
    </w:r>
    <w:r>
      <w:rPr/>
      <w:pict>
        <v:shape style="position:absolute;margin-left:698.076782pt;margin-top:583.866394pt;width:15.35pt;height:10pt;mso-position-horizontal-relative:page;mso-position-vertical-relative:page;z-index:-646048" type="#_x0000_t202" filled="false" stroked="false">
          <v:textbox inset="0,0,0,0">
            <w:txbxContent>
              <w:p>
                <w:pPr>
                  <w:spacing w:before="1"/>
                  <w:ind w:left="20" w:right="0" w:firstLine="0"/>
                  <w:jc w:val="left"/>
                  <w:rPr>
                    <w:sz w:val="16"/>
                  </w:rPr>
                </w:pPr>
                <w:r>
                  <w:rPr>
                    <w:sz w:val="16"/>
                  </w:rPr>
                  <w:t>129</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6024" filled="true" fillcolor="#c7c8ca" stroked="false">
          <v:fill type="solid"/>
          <w10:wrap type="none"/>
        </v:rect>
      </w:pict>
    </w:r>
    <w:r>
      <w:rPr/>
      <w:pict>
        <v:rect style="position:absolute;margin-left:696.401978pt;margin-top:576pt;width:18.850pt;height:61.795pt;mso-position-horizontal-relative:page;mso-position-vertical-relative:page;z-index:-646000" filled="true" fillcolor="#c7c8ca" stroked="false">
          <v:fill type="solid"/>
          <w10:wrap type="none"/>
        </v:rect>
      </w:pict>
    </w:r>
    <w:r>
      <w:rPr/>
      <w:pict>
        <v:shape style="position:absolute;margin-left:226.324799pt;margin-top:583.866394pt;width:15.35pt;height:10pt;mso-position-horizontal-relative:page;mso-position-vertical-relative:page;z-index:-645976" type="#_x0000_t202" filled="false" stroked="false">
          <v:textbox inset="0,0,0,0">
            <w:txbxContent>
              <w:p>
                <w:pPr>
                  <w:spacing w:before="1"/>
                  <w:ind w:left="20" w:right="0" w:firstLine="0"/>
                  <w:jc w:val="left"/>
                  <w:rPr>
                    <w:sz w:val="16"/>
                  </w:rPr>
                </w:pPr>
                <w:r>
                  <w:rPr>
                    <w:sz w:val="16"/>
                  </w:rPr>
                  <w:t>130</w:t>
                </w:r>
              </w:p>
            </w:txbxContent>
          </v:textbox>
          <w10:wrap type="none"/>
        </v:shape>
      </w:pict>
    </w:r>
    <w:r>
      <w:rPr/>
      <w:pict>
        <v:shape style="position:absolute;margin-left:698.076782pt;margin-top:583.866394pt;width:15.35pt;height:10pt;mso-position-horizontal-relative:page;mso-position-vertical-relative:page;z-index:-645952" type="#_x0000_t202" filled="false" stroked="false">
          <v:textbox inset="0,0,0,0">
            <w:txbxContent>
              <w:p>
                <w:pPr>
                  <w:spacing w:before="1"/>
                  <w:ind w:left="20" w:right="0" w:firstLine="0"/>
                  <w:jc w:val="left"/>
                  <w:rPr>
                    <w:sz w:val="16"/>
                  </w:rPr>
                </w:pPr>
                <w:r>
                  <w:rPr>
                    <w:sz w:val="16"/>
                  </w:rPr>
                  <w:t>131</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928" filled="true" fillcolor="#c7c8ca" stroked="false">
          <v:fill type="solid"/>
          <w10:wrap type="none"/>
        </v:rect>
      </w:pict>
    </w:r>
    <w:r>
      <w:rPr/>
      <w:pict>
        <v:rect style="position:absolute;margin-left:696.401978pt;margin-top:576pt;width:18.850pt;height:61.795pt;mso-position-horizontal-relative:page;mso-position-vertical-relative:page;z-index:-645904" filled="true" fillcolor="#c7c8ca" stroked="false">
          <v:fill type="solid"/>
          <w10:wrap type="none"/>
        </v:rect>
      </w:pict>
    </w:r>
    <w:r>
      <w:rPr/>
      <w:pict>
        <v:shape style="position:absolute;margin-left:226.324799pt;margin-top:583.866394pt;width:15.35pt;height:10pt;mso-position-horizontal-relative:page;mso-position-vertical-relative:page;z-index:-645880" type="#_x0000_t202" filled="false" stroked="false">
          <v:textbox inset="0,0,0,0">
            <w:txbxContent>
              <w:p>
                <w:pPr>
                  <w:spacing w:before="1"/>
                  <w:ind w:left="20" w:right="0" w:firstLine="0"/>
                  <w:jc w:val="left"/>
                  <w:rPr>
                    <w:sz w:val="16"/>
                  </w:rPr>
                </w:pPr>
                <w:r>
                  <w:rPr>
                    <w:sz w:val="16"/>
                  </w:rPr>
                  <w:t>132</w:t>
                </w:r>
              </w:p>
            </w:txbxContent>
          </v:textbox>
          <w10:wrap type="none"/>
        </v:shape>
      </w:pict>
    </w:r>
    <w:r>
      <w:rPr/>
      <w:pict>
        <v:shape style="position:absolute;margin-left:698.076782pt;margin-top:583.866394pt;width:15.35pt;height:10pt;mso-position-horizontal-relative:page;mso-position-vertical-relative:page;z-index:-645856" type="#_x0000_t202" filled="false" stroked="false">
          <v:textbox inset="0,0,0,0">
            <w:txbxContent>
              <w:p>
                <w:pPr>
                  <w:spacing w:before="1"/>
                  <w:ind w:left="20" w:right="0" w:firstLine="0"/>
                  <w:jc w:val="left"/>
                  <w:rPr>
                    <w:sz w:val="16"/>
                  </w:rPr>
                </w:pPr>
                <w:r>
                  <w:rPr>
                    <w:sz w:val="16"/>
                  </w:rPr>
                  <w:t>133</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832" filled="true" fillcolor="#c7c8ca" stroked="false">
          <v:fill type="solid"/>
          <w10:wrap type="none"/>
        </v:rect>
      </w:pict>
    </w:r>
    <w:r>
      <w:rPr/>
      <w:pict>
        <v:rect style="position:absolute;margin-left:696.401978pt;margin-top:576pt;width:18.850pt;height:61.795pt;mso-position-horizontal-relative:page;mso-position-vertical-relative:page;z-index:-645808" filled="true" fillcolor="#c7c8ca" stroked="false">
          <v:fill type="solid"/>
          <w10:wrap type="none"/>
        </v:rect>
      </w:pict>
    </w:r>
    <w:r>
      <w:rPr/>
      <w:pict>
        <v:shape style="position:absolute;margin-left:226.324799pt;margin-top:583.866394pt;width:15.35pt;height:10pt;mso-position-horizontal-relative:page;mso-position-vertical-relative:page;z-index:-645784" type="#_x0000_t202" filled="false" stroked="false">
          <v:textbox inset="0,0,0,0">
            <w:txbxContent>
              <w:p>
                <w:pPr>
                  <w:spacing w:before="1"/>
                  <w:ind w:left="20" w:right="0" w:firstLine="0"/>
                  <w:jc w:val="left"/>
                  <w:rPr>
                    <w:sz w:val="16"/>
                  </w:rPr>
                </w:pPr>
                <w:r>
                  <w:rPr>
                    <w:sz w:val="16"/>
                  </w:rPr>
                  <w:t>134</w:t>
                </w:r>
              </w:p>
            </w:txbxContent>
          </v:textbox>
          <w10:wrap type="none"/>
        </v:shape>
      </w:pict>
    </w:r>
    <w:r>
      <w:rPr/>
      <w:pict>
        <v:shape style="position:absolute;margin-left:698.076782pt;margin-top:583.866394pt;width:15.35pt;height:10pt;mso-position-horizontal-relative:page;mso-position-vertical-relative:page;z-index:-645760" type="#_x0000_t202" filled="false" stroked="false">
          <v:textbox inset="0,0,0,0">
            <w:txbxContent>
              <w:p>
                <w:pPr>
                  <w:spacing w:before="1"/>
                  <w:ind w:left="20" w:right="0" w:firstLine="0"/>
                  <w:jc w:val="left"/>
                  <w:rPr>
                    <w:sz w:val="16"/>
                  </w:rPr>
                </w:pPr>
                <w:r>
                  <w:rPr>
                    <w:sz w:val="16"/>
                  </w:rPr>
                  <w:t>135</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736" filled="true" fillcolor="#c7c8ca" stroked="false">
          <v:fill type="solid"/>
          <w10:wrap type="none"/>
        </v:rect>
      </w:pict>
    </w:r>
    <w:r>
      <w:rPr/>
      <w:pict>
        <v:rect style="position:absolute;margin-left:696.401978pt;margin-top:576pt;width:18.850pt;height:61.795pt;mso-position-horizontal-relative:page;mso-position-vertical-relative:page;z-index:-645712" filled="true" fillcolor="#c7c8ca" stroked="false">
          <v:fill type="solid"/>
          <w10:wrap type="none"/>
        </v:rect>
      </w:pict>
    </w:r>
    <w:r>
      <w:rPr/>
      <w:pict>
        <v:shape style="position:absolute;margin-left:226.324799pt;margin-top:583.866394pt;width:15.35pt;height:10pt;mso-position-horizontal-relative:page;mso-position-vertical-relative:page;z-index:-645688" type="#_x0000_t202" filled="false" stroked="false">
          <v:textbox inset="0,0,0,0">
            <w:txbxContent>
              <w:p>
                <w:pPr>
                  <w:spacing w:before="1"/>
                  <w:ind w:left="20" w:right="0" w:firstLine="0"/>
                  <w:jc w:val="left"/>
                  <w:rPr>
                    <w:sz w:val="16"/>
                  </w:rPr>
                </w:pPr>
                <w:r>
                  <w:rPr>
                    <w:sz w:val="16"/>
                  </w:rPr>
                  <w:t>136</w:t>
                </w:r>
              </w:p>
            </w:txbxContent>
          </v:textbox>
          <w10:wrap type="none"/>
        </v:shape>
      </w:pict>
    </w:r>
    <w:r>
      <w:rPr/>
      <w:pict>
        <v:shape style="position:absolute;margin-left:698.076782pt;margin-top:583.866394pt;width:15.35pt;height:10pt;mso-position-horizontal-relative:page;mso-position-vertical-relative:page;z-index:-645664" type="#_x0000_t202" filled="false" stroked="false">
          <v:textbox inset="0,0,0,0">
            <w:txbxContent>
              <w:p>
                <w:pPr>
                  <w:spacing w:before="1"/>
                  <w:ind w:left="20" w:right="0" w:firstLine="0"/>
                  <w:jc w:val="left"/>
                  <w:rPr>
                    <w:sz w:val="16"/>
                  </w:rPr>
                </w:pPr>
                <w:r>
                  <w:rPr>
                    <w:sz w:val="16"/>
                  </w:rPr>
                  <w:t>137</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640" filled="true" fillcolor="#c7c8ca" stroked="false">
          <v:fill type="solid"/>
          <w10:wrap type="none"/>
        </v:rect>
      </w:pict>
    </w:r>
    <w:r>
      <w:rPr/>
      <w:pict>
        <v:rect style="position:absolute;margin-left:696.401978pt;margin-top:576pt;width:18.850pt;height:61.795pt;mso-position-horizontal-relative:page;mso-position-vertical-relative:page;z-index:-645616" filled="true" fillcolor="#c7c8ca" stroked="false">
          <v:fill type="solid"/>
          <w10:wrap type="none"/>
        </v:rect>
      </w:pict>
    </w:r>
    <w:r>
      <w:rPr/>
      <w:pict>
        <v:shape style="position:absolute;margin-left:226.324799pt;margin-top:583.866394pt;width:15.35pt;height:10pt;mso-position-horizontal-relative:page;mso-position-vertical-relative:page;z-index:-645592" type="#_x0000_t202" filled="false" stroked="false">
          <v:textbox inset="0,0,0,0">
            <w:txbxContent>
              <w:p>
                <w:pPr>
                  <w:spacing w:before="1"/>
                  <w:ind w:left="20" w:right="0" w:firstLine="0"/>
                  <w:jc w:val="left"/>
                  <w:rPr>
                    <w:sz w:val="16"/>
                  </w:rPr>
                </w:pPr>
                <w:r>
                  <w:rPr>
                    <w:sz w:val="16"/>
                  </w:rPr>
                  <w:t>138</w:t>
                </w:r>
              </w:p>
            </w:txbxContent>
          </v:textbox>
          <w10:wrap type="none"/>
        </v:shape>
      </w:pict>
    </w:r>
    <w:r>
      <w:rPr/>
      <w:pict>
        <v:shape style="position:absolute;margin-left:698.076782pt;margin-top:583.866394pt;width:15.35pt;height:10pt;mso-position-horizontal-relative:page;mso-position-vertical-relative:page;z-index:-645568" type="#_x0000_t202" filled="false" stroked="false">
          <v:textbox inset="0,0,0,0">
            <w:txbxContent>
              <w:p>
                <w:pPr>
                  <w:spacing w:before="1"/>
                  <w:ind w:left="20" w:right="0" w:firstLine="0"/>
                  <w:jc w:val="left"/>
                  <w:rPr>
                    <w:sz w:val="16"/>
                  </w:rPr>
                </w:pPr>
                <w:r>
                  <w:rPr>
                    <w:sz w:val="16"/>
                  </w:rPr>
                  <w:t>139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544" filled="true" fillcolor="#c7c8ca" stroked="false">
          <v:fill type="solid"/>
          <w10:wrap type="none"/>
        </v:rect>
      </w:pict>
    </w:r>
    <w:r>
      <w:rPr/>
      <w:pict>
        <v:rect style="position:absolute;margin-left:696.401978pt;margin-top:576pt;width:18.850pt;height:61.795pt;mso-position-horizontal-relative:page;mso-position-vertical-relative:page;z-index:-645520" filled="true" fillcolor="#c7c8ca" stroked="false">
          <v:fill type="solid"/>
          <w10:wrap type="none"/>
        </v:rect>
      </w:pict>
    </w:r>
    <w:r>
      <w:rPr/>
      <w:pict>
        <v:shape style="position:absolute;margin-left:226.324799pt;margin-top:583.866394pt;width:15.35pt;height:10pt;mso-position-horizontal-relative:page;mso-position-vertical-relative:page;z-index:-645496" type="#_x0000_t202" filled="false" stroked="false">
          <v:textbox inset="0,0,0,0">
            <w:txbxContent>
              <w:p>
                <w:pPr>
                  <w:spacing w:before="1"/>
                  <w:ind w:left="20" w:right="0" w:firstLine="0"/>
                  <w:jc w:val="left"/>
                  <w:rPr>
                    <w:sz w:val="16"/>
                  </w:rPr>
                </w:pPr>
                <w:r>
                  <w:rPr>
                    <w:sz w:val="16"/>
                  </w:rPr>
                  <w:t>140</w:t>
                </w:r>
              </w:p>
            </w:txbxContent>
          </v:textbox>
          <w10:wrap type="none"/>
        </v:shape>
      </w:pict>
    </w:r>
    <w:r>
      <w:rPr/>
      <w:pict>
        <v:shape style="position:absolute;margin-left:698.076782pt;margin-top:583.866394pt;width:15.35pt;height:10pt;mso-position-horizontal-relative:page;mso-position-vertical-relative:page;z-index:-645472" type="#_x0000_t202" filled="false" stroked="false">
          <v:textbox inset="0,0,0,0">
            <w:txbxContent>
              <w:p>
                <w:pPr>
                  <w:spacing w:before="1"/>
                  <w:ind w:left="20" w:right="0" w:firstLine="0"/>
                  <w:jc w:val="left"/>
                  <w:rPr>
                    <w:sz w:val="16"/>
                  </w:rPr>
                </w:pPr>
                <w:r>
                  <w:rPr>
                    <w:sz w:val="16"/>
                  </w:rPr>
                  <w:t>141</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448" filled="true" fillcolor="#c7c8ca" stroked="false">
          <v:fill type="solid"/>
          <w10:wrap type="none"/>
        </v:rect>
      </w:pict>
    </w:r>
    <w:r>
      <w:rPr/>
      <w:pict>
        <v:rect style="position:absolute;margin-left:696.401978pt;margin-top:576pt;width:18.850pt;height:61.795pt;mso-position-horizontal-relative:page;mso-position-vertical-relative:page;z-index:-645424" filled="true" fillcolor="#c7c8ca" stroked="false">
          <v:fill type="solid"/>
          <w10:wrap type="none"/>
        </v:rect>
      </w:pict>
    </w:r>
    <w:r>
      <w:rPr/>
      <w:pict>
        <v:shape style="position:absolute;margin-left:226.324799pt;margin-top:583.866394pt;width:15.35pt;height:10pt;mso-position-horizontal-relative:page;mso-position-vertical-relative:page;z-index:-645400" type="#_x0000_t202" filled="false" stroked="false">
          <v:textbox inset="0,0,0,0">
            <w:txbxContent>
              <w:p>
                <w:pPr>
                  <w:spacing w:before="1"/>
                  <w:ind w:left="20" w:right="0" w:firstLine="0"/>
                  <w:jc w:val="left"/>
                  <w:rPr>
                    <w:sz w:val="16"/>
                  </w:rPr>
                </w:pPr>
                <w:r>
                  <w:rPr>
                    <w:sz w:val="16"/>
                  </w:rPr>
                  <w:t>142</w:t>
                </w:r>
              </w:p>
            </w:txbxContent>
          </v:textbox>
          <w10:wrap type="none"/>
        </v:shape>
      </w:pict>
    </w:r>
    <w:r>
      <w:rPr/>
      <w:pict>
        <v:shape style="position:absolute;margin-left:698.076782pt;margin-top:583.866394pt;width:15.35pt;height:10pt;mso-position-horizontal-relative:page;mso-position-vertical-relative:page;z-index:-645376" type="#_x0000_t202" filled="false" stroked="false">
          <v:textbox inset="0,0,0,0">
            <w:txbxContent>
              <w:p>
                <w:pPr>
                  <w:spacing w:before="1"/>
                  <w:ind w:left="20" w:right="0" w:firstLine="0"/>
                  <w:jc w:val="left"/>
                  <w:rPr>
                    <w:sz w:val="16"/>
                  </w:rPr>
                </w:pPr>
                <w:r>
                  <w:rPr>
                    <w:sz w:val="16"/>
                  </w:rPr>
                  <w:t>143</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352" filled="true" fillcolor="#c7c8ca" stroked="false">
          <v:fill type="solid"/>
          <w10:wrap type="none"/>
        </v:rect>
      </w:pict>
    </w:r>
    <w:r>
      <w:rPr/>
      <w:pict>
        <v:rect style="position:absolute;margin-left:696.401978pt;margin-top:576pt;width:18.850pt;height:61.795pt;mso-position-horizontal-relative:page;mso-position-vertical-relative:page;z-index:-645328" filled="true" fillcolor="#c7c8ca" stroked="false">
          <v:fill type="solid"/>
          <w10:wrap type="none"/>
        </v:rect>
      </w:pict>
    </w:r>
    <w:r>
      <w:rPr/>
      <w:pict>
        <v:shape style="position:absolute;margin-left:226.324799pt;margin-top:583.866394pt;width:15.35pt;height:10pt;mso-position-horizontal-relative:page;mso-position-vertical-relative:page;z-index:-645304" type="#_x0000_t202" filled="false" stroked="false">
          <v:textbox inset="0,0,0,0">
            <w:txbxContent>
              <w:p>
                <w:pPr>
                  <w:spacing w:before="1"/>
                  <w:ind w:left="20" w:right="0" w:firstLine="0"/>
                  <w:jc w:val="left"/>
                  <w:rPr>
                    <w:sz w:val="16"/>
                  </w:rPr>
                </w:pPr>
                <w:r>
                  <w:rPr>
                    <w:sz w:val="16"/>
                  </w:rPr>
                  <w:t>144</w:t>
                </w:r>
              </w:p>
            </w:txbxContent>
          </v:textbox>
          <w10:wrap type="none"/>
        </v:shape>
      </w:pict>
    </w:r>
    <w:r>
      <w:rPr/>
      <w:pict>
        <v:shape style="position:absolute;margin-left:698.076782pt;margin-top:583.866394pt;width:15.35pt;height:10pt;mso-position-horizontal-relative:page;mso-position-vertical-relative:page;z-index:-645280" type="#_x0000_t202" filled="false" stroked="false">
          <v:textbox inset="0,0,0,0">
            <w:txbxContent>
              <w:p>
                <w:pPr>
                  <w:spacing w:before="1"/>
                  <w:ind w:left="20" w:right="0" w:firstLine="0"/>
                  <w:jc w:val="left"/>
                  <w:rPr>
                    <w:sz w:val="16"/>
                  </w:rPr>
                </w:pPr>
                <w:r>
                  <w:rPr>
                    <w:sz w:val="16"/>
                  </w:rPr>
                  <w:t>145</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256" filled="true" fillcolor="#c7c8ca" stroked="false">
          <v:fill type="solid"/>
          <w10:wrap type="none"/>
        </v:rect>
      </w:pict>
    </w:r>
    <w:r>
      <w:rPr/>
      <w:pict>
        <v:rect style="position:absolute;margin-left:696.401978pt;margin-top:576pt;width:18.850pt;height:61.795pt;mso-position-horizontal-relative:page;mso-position-vertical-relative:page;z-index:-645232" filled="true" fillcolor="#c7c8ca" stroked="false">
          <v:fill type="solid"/>
          <w10:wrap type="none"/>
        </v:rect>
      </w:pict>
    </w:r>
    <w:r>
      <w:rPr/>
      <w:pict>
        <v:shape style="position:absolute;margin-left:226.324799pt;margin-top:583.866394pt;width:15.35pt;height:10pt;mso-position-horizontal-relative:page;mso-position-vertical-relative:page;z-index:-645208" type="#_x0000_t202" filled="false" stroked="false">
          <v:textbox inset="0,0,0,0">
            <w:txbxContent>
              <w:p>
                <w:pPr>
                  <w:spacing w:before="1"/>
                  <w:ind w:left="20" w:right="0" w:firstLine="0"/>
                  <w:jc w:val="left"/>
                  <w:rPr>
                    <w:sz w:val="16"/>
                  </w:rPr>
                </w:pPr>
                <w:r>
                  <w:rPr>
                    <w:sz w:val="16"/>
                  </w:rPr>
                  <w:t>146</w:t>
                </w:r>
              </w:p>
            </w:txbxContent>
          </v:textbox>
          <w10:wrap type="none"/>
        </v:shape>
      </w:pict>
    </w:r>
    <w:r>
      <w:rPr/>
      <w:pict>
        <v:shape style="position:absolute;margin-left:698.076782pt;margin-top:583.866394pt;width:15.35pt;height:10pt;mso-position-horizontal-relative:page;mso-position-vertical-relative:page;z-index:-645184" type="#_x0000_t202" filled="false" stroked="false">
          <v:textbox inset="0,0,0,0">
            <w:txbxContent>
              <w:p>
                <w:pPr>
                  <w:spacing w:before="1"/>
                  <w:ind w:left="20" w:right="0" w:firstLine="0"/>
                  <w:jc w:val="left"/>
                  <w:rPr>
                    <w:sz w:val="16"/>
                  </w:rPr>
                </w:pPr>
                <w:r>
                  <w:rPr>
                    <w:sz w:val="16"/>
                  </w:rPr>
                  <w:t>147</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160" filled="true" fillcolor="#c7c8ca" stroked="false">
          <v:fill type="solid"/>
          <w10:wrap type="none"/>
        </v:rect>
      </w:pict>
    </w:r>
    <w:r>
      <w:rPr/>
      <w:pict>
        <v:rect style="position:absolute;margin-left:696.401978pt;margin-top:576pt;width:18.850pt;height:61.795pt;mso-position-horizontal-relative:page;mso-position-vertical-relative:page;z-index:-645136" filled="true" fillcolor="#c7c8ca" stroked="false">
          <v:fill type="solid"/>
          <w10:wrap type="none"/>
        </v:rect>
      </w:pict>
    </w:r>
    <w:r>
      <w:rPr/>
      <w:pict>
        <v:shape style="position:absolute;margin-left:226.324799pt;margin-top:583.866394pt;width:15.35pt;height:10pt;mso-position-horizontal-relative:page;mso-position-vertical-relative:page;z-index:-645112" type="#_x0000_t202" filled="false" stroked="false">
          <v:textbox inset="0,0,0,0">
            <w:txbxContent>
              <w:p>
                <w:pPr>
                  <w:spacing w:before="1"/>
                  <w:ind w:left="20" w:right="0" w:firstLine="0"/>
                  <w:jc w:val="left"/>
                  <w:rPr>
                    <w:sz w:val="16"/>
                  </w:rPr>
                </w:pPr>
                <w:r>
                  <w:rPr>
                    <w:sz w:val="16"/>
                  </w:rPr>
                  <w:t>148</w:t>
                </w:r>
              </w:p>
            </w:txbxContent>
          </v:textbox>
          <w10:wrap type="none"/>
        </v:shape>
      </w:pict>
    </w:r>
    <w:r>
      <w:rPr/>
      <w:pict>
        <v:shape style="position:absolute;margin-left:698.076782pt;margin-top:583.866394pt;width:15.35pt;height:10pt;mso-position-horizontal-relative:page;mso-position-vertical-relative:page;z-index:-645088" type="#_x0000_t202" filled="false" stroked="false">
          <v:textbox inset="0,0,0,0">
            <w:txbxContent>
              <w:p>
                <w:pPr>
                  <w:spacing w:before="1"/>
                  <w:ind w:left="20" w:right="0" w:firstLine="0"/>
                  <w:jc w:val="left"/>
                  <w:rPr>
                    <w:sz w:val="16"/>
                  </w:rPr>
                </w:pPr>
                <w:r>
                  <w:rPr>
                    <w:sz w:val="16"/>
                  </w:rPr>
                  <w:t>149</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5064" filled="true" fillcolor="#c7c8ca" stroked="false">
          <v:fill type="solid"/>
          <w10:wrap type="none"/>
        </v:rect>
      </w:pict>
    </w:r>
    <w:r>
      <w:rPr/>
      <w:pict>
        <v:rect style="position:absolute;margin-left:696.401978pt;margin-top:576pt;width:18.850pt;height:61.795pt;mso-position-horizontal-relative:page;mso-position-vertical-relative:page;z-index:-645040" filled="true" fillcolor="#c7c8ca" stroked="false">
          <v:fill type="solid"/>
          <w10:wrap type="none"/>
        </v:rect>
      </w:pict>
    </w:r>
    <w:r>
      <w:rPr/>
      <w:pict>
        <v:shape style="position:absolute;margin-left:226.324799pt;margin-top:583.866394pt;width:15.35pt;height:10pt;mso-position-horizontal-relative:page;mso-position-vertical-relative:page;z-index:-645016" type="#_x0000_t202" filled="false" stroked="false">
          <v:textbox inset="0,0,0,0">
            <w:txbxContent>
              <w:p>
                <w:pPr>
                  <w:spacing w:before="1"/>
                  <w:ind w:left="20" w:right="0" w:firstLine="0"/>
                  <w:jc w:val="left"/>
                  <w:rPr>
                    <w:sz w:val="16"/>
                  </w:rPr>
                </w:pPr>
                <w:r>
                  <w:rPr>
                    <w:sz w:val="16"/>
                  </w:rPr>
                  <w:t>150</w:t>
                </w:r>
              </w:p>
            </w:txbxContent>
          </v:textbox>
          <w10:wrap type="none"/>
        </v:shape>
      </w:pict>
    </w:r>
    <w:r>
      <w:rPr/>
      <w:pict>
        <v:shape style="position:absolute;margin-left:698.076782pt;margin-top:583.866394pt;width:15.35pt;height:10pt;mso-position-horizontal-relative:page;mso-position-vertical-relative:page;z-index:-644992" type="#_x0000_t202" filled="false" stroked="false">
          <v:textbox inset="0,0,0,0">
            <w:txbxContent>
              <w:p>
                <w:pPr>
                  <w:spacing w:before="1"/>
                  <w:ind w:left="20" w:right="0" w:firstLine="0"/>
                  <w:jc w:val="left"/>
                  <w:rPr>
                    <w:sz w:val="16"/>
                  </w:rPr>
                </w:pPr>
                <w:r>
                  <w:rPr>
                    <w:sz w:val="16"/>
                  </w:rPr>
                  <w:t>151</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4752" filled="true" fillcolor="#c7c8ca" stroked="false">
          <v:fill type="solid"/>
          <w10:wrap type="none"/>
        </v:rect>
      </w:pict>
    </w:r>
    <w:r>
      <w:rPr/>
      <w:pict>
        <v:rect style="position:absolute;margin-left:696.401978pt;margin-top:576pt;width:18.850pt;height:61.795pt;mso-position-horizontal-relative:page;mso-position-vertical-relative:page;z-index:-644728" filled="true" fillcolor="#c7c8ca" stroked="false">
          <v:fill type="solid"/>
          <w10:wrap type="none"/>
        </v:rect>
      </w:pict>
    </w:r>
    <w:r>
      <w:rPr/>
      <w:pict>
        <v:shape style="position:absolute;margin-left:226.324799pt;margin-top:583.866394pt;width:15.35pt;height:10pt;mso-position-horizontal-relative:page;mso-position-vertical-relative:page;z-index:-644704" type="#_x0000_t202" filled="false" stroked="false">
          <v:textbox inset="0,0,0,0">
            <w:txbxContent>
              <w:p>
                <w:pPr>
                  <w:spacing w:before="1"/>
                  <w:ind w:left="20" w:right="0" w:firstLine="0"/>
                  <w:jc w:val="left"/>
                  <w:rPr>
                    <w:sz w:val="16"/>
                  </w:rPr>
                </w:pPr>
                <w:r>
                  <w:rPr>
                    <w:sz w:val="16"/>
                  </w:rPr>
                  <w:t>152</w:t>
                </w:r>
              </w:p>
            </w:txbxContent>
          </v:textbox>
          <w10:wrap type="none"/>
        </v:shape>
      </w:pict>
    </w:r>
    <w:r>
      <w:rPr/>
      <w:pict>
        <v:shape style="position:absolute;margin-left:698.076782pt;margin-top:583.866394pt;width:15.35pt;height:10pt;mso-position-horizontal-relative:page;mso-position-vertical-relative:page;z-index:-644680" type="#_x0000_t202" filled="false" stroked="false">
          <v:textbox inset="0,0,0,0">
            <w:txbxContent>
              <w:p>
                <w:pPr>
                  <w:spacing w:before="1"/>
                  <w:ind w:left="20" w:right="0" w:firstLine="0"/>
                  <w:jc w:val="left"/>
                  <w:rPr>
                    <w:sz w:val="16"/>
                  </w:rPr>
                </w:pPr>
                <w:r>
                  <w:rPr>
                    <w:sz w:val="16"/>
                  </w:rPr>
                  <w:t>153</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4464" filled="true" fillcolor="#c7c8ca" stroked="false">
          <v:fill type="solid"/>
          <w10:wrap type="none"/>
        </v:rect>
      </w:pict>
    </w:r>
    <w:r>
      <w:rPr/>
      <w:pict>
        <v:rect style="position:absolute;margin-left:696.401978pt;margin-top:576pt;width:18.850pt;height:61.795pt;mso-position-horizontal-relative:page;mso-position-vertical-relative:page;z-index:-644440" filled="true" fillcolor="#c7c8ca" stroked="false">
          <v:fill type="solid"/>
          <w10:wrap type="none"/>
        </v:rect>
      </w:pict>
    </w:r>
    <w:r>
      <w:rPr/>
      <w:pict>
        <v:shape style="position:absolute;margin-left:226.324799pt;margin-top:583.866394pt;width:15.35pt;height:10pt;mso-position-horizontal-relative:page;mso-position-vertical-relative:page;z-index:-644416" type="#_x0000_t202" filled="false" stroked="false">
          <v:textbox inset="0,0,0,0">
            <w:txbxContent>
              <w:p>
                <w:pPr>
                  <w:spacing w:before="1"/>
                  <w:ind w:left="20" w:right="0" w:firstLine="0"/>
                  <w:jc w:val="left"/>
                  <w:rPr>
                    <w:sz w:val="16"/>
                  </w:rPr>
                </w:pPr>
                <w:r>
                  <w:rPr>
                    <w:sz w:val="16"/>
                  </w:rPr>
                  <w:t>154</w:t>
                </w:r>
              </w:p>
            </w:txbxContent>
          </v:textbox>
          <w10:wrap type="none"/>
        </v:shape>
      </w:pict>
    </w:r>
    <w:r>
      <w:rPr/>
      <w:pict>
        <v:shape style="position:absolute;margin-left:698.076782pt;margin-top:583.866394pt;width:15.35pt;height:10pt;mso-position-horizontal-relative:page;mso-position-vertical-relative:page;z-index:-644392" type="#_x0000_t202" filled="false" stroked="false">
          <v:textbox inset="0,0,0,0">
            <w:txbxContent>
              <w:p>
                <w:pPr>
                  <w:spacing w:before="1"/>
                  <w:ind w:left="20" w:right="0" w:firstLine="0"/>
                  <w:jc w:val="left"/>
                  <w:rPr>
                    <w:sz w:val="16"/>
                  </w:rPr>
                </w:pPr>
                <w:r>
                  <w:rPr>
                    <w:sz w:val="16"/>
                  </w:rPr>
                  <w:t>155</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4368" filled="true" fillcolor="#c7c8ca" stroked="false">
          <v:fill type="solid"/>
          <w10:wrap type="none"/>
        </v:rect>
      </w:pict>
    </w:r>
    <w:r>
      <w:rPr/>
      <w:pict>
        <v:rect style="position:absolute;margin-left:696.401978pt;margin-top:576pt;width:18.850pt;height:61.795pt;mso-position-horizontal-relative:page;mso-position-vertical-relative:page;z-index:-644344" filled="true" fillcolor="#c7c8ca" stroked="false">
          <v:fill type="solid"/>
          <w10:wrap type="none"/>
        </v:rect>
      </w:pict>
    </w:r>
    <w:r>
      <w:rPr/>
      <w:pict>
        <v:shape style="position:absolute;margin-left:226.324799pt;margin-top:583.866394pt;width:15.35pt;height:10pt;mso-position-horizontal-relative:page;mso-position-vertical-relative:page;z-index:-644320" type="#_x0000_t202" filled="false" stroked="false">
          <v:textbox inset="0,0,0,0">
            <w:txbxContent>
              <w:p>
                <w:pPr>
                  <w:spacing w:before="1"/>
                  <w:ind w:left="20" w:right="0" w:firstLine="0"/>
                  <w:jc w:val="left"/>
                  <w:rPr>
                    <w:sz w:val="16"/>
                  </w:rPr>
                </w:pPr>
                <w:r>
                  <w:rPr>
                    <w:sz w:val="16"/>
                  </w:rPr>
                  <w:t>156</w:t>
                </w:r>
              </w:p>
            </w:txbxContent>
          </v:textbox>
          <w10:wrap type="none"/>
        </v:shape>
      </w:pict>
    </w:r>
    <w:r>
      <w:rPr/>
      <w:pict>
        <v:shape style="position:absolute;margin-left:698.076782pt;margin-top:583.866394pt;width:15.35pt;height:10pt;mso-position-horizontal-relative:page;mso-position-vertical-relative:page;z-index:-644296" type="#_x0000_t202" filled="false" stroked="false">
          <v:textbox inset="0,0,0,0">
            <w:txbxContent>
              <w:p>
                <w:pPr>
                  <w:spacing w:before="1"/>
                  <w:ind w:left="20" w:right="0" w:firstLine="0"/>
                  <w:jc w:val="left"/>
                  <w:rPr>
                    <w:sz w:val="16"/>
                  </w:rPr>
                </w:pPr>
                <w:r>
                  <w:rPr>
                    <w:sz w:val="16"/>
                  </w:rPr>
                  <w:t>157</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4272" filled="true" fillcolor="#c7c8ca" stroked="false">
          <v:fill type="solid"/>
          <w10:wrap type="none"/>
        </v:rect>
      </w:pict>
    </w:r>
    <w:r>
      <w:rPr/>
      <w:pict>
        <v:rect style="position:absolute;margin-left:696.401978pt;margin-top:576pt;width:18.850pt;height:61.795pt;mso-position-horizontal-relative:page;mso-position-vertical-relative:page;z-index:-644248" filled="true" fillcolor="#c7c8ca" stroked="false">
          <v:fill type="solid"/>
          <w10:wrap type="none"/>
        </v:rect>
      </w:pict>
    </w:r>
    <w:r>
      <w:rPr/>
      <w:pict>
        <v:shape style="position:absolute;margin-left:226.324799pt;margin-top:583.866394pt;width:15.35pt;height:10pt;mso-position-horizontal-relative:page;mso-position-vertical-relative:page;z-index:-644224" type="#_x0000_t202" filled="false" stroked="false">
          <v:textbox inset="0,0,0,0">
            <w:txbxContent>
              <w:p>
                <w:pPr>
                  <w:spacing w:before="1"/>
                  <w:ind w:left="20" w:right="0" w:firstLine="0"/>
                  <w:jc w:val="left"/>
                  <w:rPr>
                    <w:sz w:val="16"/>
                  </w:rPr>
                </w:pPr>
                <w:r>
                  <w:rPr>
                    <w:sz w:val="16"/>
                  </w:rPr>
                  <w:t>158</w:t>
                </w:r>
              </w:p>
            </w:txbxContent>
          </v:textbox>
          <w10:wrap type="none"/>
        </v:shape>
      </w:pict>
    </w:r>
    <w:r>
      <w:rPr/>
      <w:pict>
        <v:shape style="position:absolute;margin-left:698.076782pt;margin-top:583.866394pt;width:15.35pt;height:10pt;mso-position-horizontal-relative:page;mso-position-vertical-relative:page;z-index:-644200" type="#_x0000_t202" filled="false" stroked="false">
          <v:textbox inset="0,0,0,0">
            <w:txbxContent>
              <w:p>
                <w:pPr>
                  <w:spacing w:before="1"/>
                  <w:ind w:left="20" w:right="0" w:firstLine="0"/>
                  <w:jc w:val="left"/>
                  <w:rPr>
                    <w:sz w:val="16"/>
                  </w:rPr>
                </w:pPr>
                <w:r>
                  <w:rPr>
                    <w:sz w:val="16"/>
                  </w:rPr>
                  <w:t>159</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0848" filled="true" fillcolor="#c7c8ca" stroked="false">
          <v:fill type="solid"/>
          <w10:wrap type="none"/>
        </v:rect>
      </w:pict>
    </w:r>
    <w:r>
      <w:rPr/>
      <w:pict>
        <v:rect style="position:absolute;margin-left:696.401978pt;margin-top:576pt;width:18.850pt;height:61.795pt;mso-position-horizontal-relative:page;mso-position-vertical-relative:page;z-index:-650824" filled="true" fillcolor="#c7c8ca" stroked="false">
          <v:fill type="solid"/>
          <w10:wrap type="none"/>
        </v:rect>
      </w:pict>
    </w:r>
    <w:r>
      <w:rPr/>
      <w:pict>
        <v:shape style="position:absolute;margin-left:228.548798pt;margin-top:583.866394pt;width:10.9pt;height:10pt;mso-position-horizontal-relative:page;mso-position-vertical-relative:page;z-index:-650800" type="#_x0000_t202" filled="false" stroked="false">
          <v:textbox inset="0,0,0,0">
            <w:txbxContent>
              <w:p>
                <w:pPr>
                  <w:spacing w:before="1"/>
                  <w:ind w:left="20" w:right="0" w:firstLine="0"/>
                  <w:jc w:val="left"/>
                  <w:rPr>
                    <w:sz w:val="16"/>
                  </w:rPr>
                </w:pPr>
                <w:r>
                  <w:rPr>
                    <w:sz w:val="16"/>
                  </w:rPr>
                  <w:t>34</w:t>
                </w:r>
              </w:p>
            </w:txbxContent>
          </v:textbox>
          <w10:wrap type="none"/>
        </v:shape>
      </w:pict>
    </w:r>
    <w:r>
      <w:rPr/>
      <w:pict>
        <v:shape style="position:absolute;margin-left:700.300781pt;margin-top:583.866394pt;width:10.9pt;height:10pt;mso-position-horizontal-relative:page;mso-position-vertical-relative:page;z-index:-650776" type="#_x0000_t202" filled="false" stroked="false">
          <v:textbox inset="0,0,0,0">
            <w:txbxContent>
              <w:p>
                <w:pPr>
                  <w:spacing w:before="1"/>
                  <w:ind w:left="20" w:right="0" w:firstLine="0"/>
                  <w:jc w:val="left"/>
                  <w:rPr>
                    <w:sz w:val="16"/>
                  </w:rPr>
                </w:pPr>
                <w:r>
                  <w:rPr>
                    <w:sz w:val="16"/>
                  </w:rPr>
                  <w:t>35</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4176" filled="true" fillcolor="#c7c8ca" stroked="false">
          <v:fill type="solid"/>
          <w10:wrap type="none"/>
        </v:rect>
      </w:pict>
    </w:r>
    <w:r>
      <w:rPr/>
      <w:pict>
        <v:rect style="position:absolute;margin-left:696.401978pt;margin-top:576pt;width:18.850pt;height:61.795pt;mso-position-horizontal-relative:page;mso-position-vertical-relative:page;z-index:-644152" filled="true" fillcolor="#c7c8ca" stroked="false">
          <v:fill type="solid"/>
          <w10:wrap type="none"/>
        </v:rect>
      </w:pict>
    </w:r>
    <w:r>
      <w:rPr/>
      <w:pict>
        <v:shape style="position:absolute;margin-left:226.324799pt;margin-top:583.866394pt;width:15.35pt;height:10pt;mso-position-horizontal-relative:page;mso-position-vertical-relative:page;z-index:-644128" type="#_x0000_t202" filled="false" stroked="false">
          <v:textbox inset="0,0,0,0">
            <w:txbxContent>
              <w:p>
                <w:pPr>
                  <w:spacing w:before="1"/>
                  <w:ind w:left="20" w:right="0" w:firstLine="0"/>
                  <w:jc w:val="left"/>
                  <w:rPr>
                    <w:sz w:val="16"/>
                  </w:rPr>
                </w:pPr>
                <w:r>
                  <w:rPr>
                    <w:sz w:val="16"/>
                  </w:rPr>
                  <w:t>160</w:t>
                </w:r>
              </w:p>
            </w:txbxContent>
          </v:textbox>
          <w10:wrap type="none"/>
        </v:shape>
      </w:pict>
    </w:r>
    <w:r>
      <w:rPr/>
      <w:pict>
        <v:shape style="position:absolute;margin-left:698.076782pt;margin-top:583.866394pt;width:15.35pt;height:10pt;mso-position-horizontal-relative:page;mso-position-vertical-relative:page;z-index:-644104" type="#_x0000_t202" filled="false" stroked="false">
          <v:textbox inset="0,0,0,0">
            <w:txbxContent>
              <w:p>
                <w:pPr>
                  <w:spacing w:before="1"/>
                  <w:ind w:left="20" w:right="0" w:firstLine="0"/>
                  <w:jc w:val="left"/>
                  <w:rPr>
                    <w:sz w:val="16"/>
                  </w:rPr>
                </w:pPr>
                <w:r>
                  <w:rPr>
                    <w:sz w:val="16"/>
                  </w:rPr>
                  <w:t>161</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4080" filled="true" fillcolor="#c7c8ca" stroked="false">
          <v:fill type="solid"/>
          <w10:wrap type="none"/>
        </v:rect>
      </w:pict>
    </w:r>
    <w:r>
      <w:rPr/>
      <w:pict>
        <v:rect style="position:absolute;margin-left:696.401978pt;margin-top:576pt;width:18.850pt;height:61.795pt;mso-position-horizontal-relative:page;mso-position-vertical-relative:page;z-index:-644056" filled="true" fillcolor="#c7c8ca" stroked="false">
          <v:fill type="solid"/>
          <w10:wrap type="none"/>
        </v:rect>
      </w:pict>
    </w:r>
    <w:r>
      <w:rPr/>
      <w:pict>
        <v:shape style="position:absolute;margin-left:226.324799pt;margin-top:583.866394pt;width:15.35pt;height:10pt;mso-position-horizontal-relative:page;mso-position-vertical-relative:page;z-index:-644032" type="#_x0000_t202" filled="false" stroked="false">
          <v:textbox inset="0,0,0,0">
            <w:txbxContent>
              <w:p>
                <w:pPr>
                  <w:spacing w:before="1"/>
                  <w:ind w:left="20" w:right="0" w:firstLine="0"/>
                  <w:jc w:val="left"/>
                  <w:rPr>
                    <w:sz w:val="16"/>
                  </w:rPr>
                </w:pPr>
                <w:r>
                  <w:rPr>
                    <w:sz w:val="16"/>
                  </w:rPr>
                  <w:t>162</w:t>
                </w:r>
              </w:p>
            </w:txbxContent>
          </v:textbox>
          <w10:wrap type="none"/>
        </v:shape>
      </w:pict>
    </w:r>
    <w:r>
      <w:rPr/>
      <w:pict>
        <v:shape style="position:absolute;margin-left:698.076782pt;margin-top:583.866394pt;width:15.35pt;height:10pt;mso-position-horizontal-relative:page;mso-position-vertical-relative:page;z-index:-644008" type="#_x0000_t202" filled="false" stroked="false">
          <v:textbox inset="0,0,0,0">
            <w:txbxContent>
              <w:p>
                <w:pPr>
                  <w:spacing w:before="1"/>
                  <w:ind w:left="20" w:right="0" w:firstLine="0"/>
                  <w:jc w:val="left"/>
                  <w:rPr>
                    <w:sz w:val="16"/>
                  </w:rPr>
                </w:pPr>
                <w:r>
                  <w:rPr>
                    <w:sz w:val="16"/>
                  </w:rPr>
                  <w:t>163</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3984" filled="true" fillcolor="#c7c8ca" stroked="false">
          <v:fill type="solid"/>
          <w10:wrap type="none"/>
        </v:rect>
      </w:pict>
    </w:r>
    <w:r>
      <w:rPr/>
      <w:pict>
        <v:rect style="position:absolute;margin-left:696.401978pt;margin-top:576pt;width:18.850pt;height:61.795pt;mso-position-horizontal-relative:page;mso-position-vertical-relative:page;z-index:-643960" filled="true" fillcolor="#c7c8ca" stroked="false">
          <v:fill type="solid"/>
          <w10:wrap type="none"/>
        </v:rect>
      </w:pict>
    </w:r>
    <w:r>
      <w:rPr/>
      <w:pict>
        <v:shape style="position:absolute;margin-left:226.324799pt;margin-top:583.866394pt;width:15.35pt;height:10pt;mso-position-horizontal-relative:page;mso-position-vertical-relative:page;z-index:-643936" type="#_x0000_t202" filled="false" stroked="false">
          <v:textbox inset="0,0,0,0">
            <w:txbxContent>
              <w:p>
                <w:pPr>
                  <w:spacing w:before="1"/>
                  <w:ind w:left="20" w:right="0" w:firstLine="0"/>
                  <w:jc w:val="left"/>
                  <w:rPr>
                    <w:sz w:val="16"/>
                  </w:rPr>
                </w:pPr>
                <w:r>
                  <w:rPr>
                    <w:sz w:val="16"/>
                  </w:rPr>
                  <w:t>164</w:t>
                </w:r>
              </w:p>
            </w:txbxContent>
          </v:textbox>
          <w10:wrap type="none"/>
        </v:shape>
      </w:pict>
    </w:r>
    <w:r>
      <w:rPr/>
      <w:pict>
        <v:shape style="position:absolute;margin-left:698.076782pt;margin-top:583.866394pt;width:15.35pt;height:10pt;mso-position-horizontal-relative:page;mso-position-vertical-relative:page;z-index:-643912" type="#_x0000_t202" filled="false" stroked="false">
          <v:textbox inset="0,0,0,0">
            <w:txbxContent>
              <w:p>
                <w:pPr>
                  <w:spacing w:before="1"/>
                  <w:ind w:left="20" w:right="0" w:firstLine="0"/>
                  <w:jc w:val="left"/>
                  <w:rPr>
                    <w:sz w:val="16"/>
                  </w:rPr>
                </w:pPr>
                <w:r>
                  <w:rPr>
                    <w:sz w:val="16"/>
                  </w:rPr>
                  <w:t>165</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3888" filled="true" fillcolor="#c7c8ca" stroked="false">
          <v:fill type="solid"/>
          <w10:wrap type="none"/>
        </v:rect>
      </w:pict>
    </w:r>
    <w:r>
      <w:rPr/>
      <w:pict>
        <v:rect style="position:absolute;margin-left:696.401978pt;margin-top:576pt;width:18.850pt;height:61.795pt;mso-position-horizontal-relative:page;mso-position-vertical-relative:page;z-index:-643864" filled="true" fillcolor="#c7c8ca" stroked="false">
          <v:fill type="solid"/>
          <w10:wrap type="none"/>
        </v:rect>
      </w:pict>
    </w:r>
    <w:r>
      <w:rPr/>
      <w:pict>
        <v:shape style="position:absolute;margin-left:226.324799pt;margin-top:583.866394pt;width:15.35pt;height:10pt;mso-position-horizontal-relative:page;mso-position-vertical-relative:page;z-index:-643840" type="#_x0000_t202" filled="false" stroked="false">
          <v:textbox inset="0,0,0,0">
            <w:txbxContent>
              <w:p>
                <w:pPr>
                  <w:spacing w:before="1"/>
                  <w:ind w:left="20" w:right="0" w:firstLine="0"/>
                  <w:jc w:val="left"/>
                  <w:rPr>
                    <w:sz w:val="16"/>
                  </w:rPr>
                </w:pPr>
                <w:r>
                  <w:rPr>
                    <w:sz w:val="16"/>
                  </w:rPr>
                  <w:t>166</w:t>
                </w:r>
              </w:p>
            </w:txbxContent>
          </v:textbox>
          <w10:wrap type="none"/>
        </v:shape>
      </w:pict>
    </w:r>
    <w:r>
      <w:rPr/>
      <w:pict>
        <v:shape style="position:absolute;margin-left:698.076782pt;margin-top:583.866394pt;width:15.35pt;height:10pt;mso-position-horizontal-relative:page;mso-position-vertical-relative:page;z-index:-643816" type="#_x0000_t202" filled="false" stroked="false">
          <v:textbox inset="0,0,0,0">
            <w:txbxContent>
              <w:p>
                <w:pPr>
                  <w:spacing w:before="1"/>
                  <w:ind w:left="20" w:right="0" w:firstLine="0"/>
                  <w:jc w:val="left"/>
                  <w:rPr>
                    <w:sz w:val="16"/>
                  </w:rPr>
                </w:pPr>
                <w:r>
                  <w:rPr>
                    <w:sz w:val="16"/>
                  </w:rPr>
                  <w:t>167</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3792" filled="true" fillcolor="#c7c8ca" stroked="false">
          <v:fill type="solid"/>
          <w10:wrap type="none"/>
        </v:rect>
      </w:pict>
    </w:r>
    <w:r>
      <w:rPr/>
      <w:pict>
        <v:rect style="position:absolute;margin-left:696.401978pt;margin-top:576pt;width:18.850pt;height:61.795pt;mso-position-horizontal-relative:page;mso-position-vertical-relative:page;z-index:-643768" filled="true" fillcolor="#c7c8ca" stroked="false">
          <v:fill type="solid"/>
          <w10:wrap type="none"/>
        </v:rect>
      </w:pict>
    </w:r>
    <w:r>
      <w:rPr/>
      <w:pict>
        <v:shape style="position:absolute;margin-left:226.324799pt;margin-top:583.866394pt;width:15.35pt;height:10pt;mso-position-horizontal-relative:page;mso-position-vertical-relative:page;z-index:-643744" type="#_x0000_t202" filled="false" stroked="false">
          <v:textbox inset="0,0,0,0">
            <w:txbxContent>
              <w:p>
                <w:pPr>
                  <w:spacing w:before="1"/>
                  <w:ind w:left="20" w:right="0" w:firstLine="0"/>
                  <w:jc w:val="left"/>
                  <w:rPr>
                    <w:sz w:val="16"/>
                  </w:rPr>
                </w:pPr>
                <w:r>
                  <w:rPr>
                    <w:sz w:val="16"/>
                  </w:rPr>
                  <w:t>168</w:t>
                </w:r>
              </w:p>
            </w:txbxContent>
          </v:textbox>
          <w10:wrap type="none"/>
        </v:shape>
      </w:pict>
    </w:r>
    <w:r>
      <w:rPr/>
      <w:pict>
        <v:shape style="position:absolute;margin-left:698.076782pt;margin-top:583.866394pt;width:15.35pt;height:10pt;mso-position-horizontal-relative:page;mso-position-vertical-relative:page;z-index:-643720" type="#_x0000_t202" filled="false" stroked="false">
          <v:textbox inset="0,0,0,0">
            <w:txbxContent>
              <w:p>
                <w:pPr>
                  <w:spacing w:before="1"/>
                  <w:ind w:left="20" w:right="0" w:firstLine="0"/>
                  <w:jc w:val="left"/>
                  <w:rPr>
                    <w:sz w:val="16"/>
                  </w:rPr>
                </w:pPr>
                <w:r>
                  <w:rPr>
                    <w:sz w:val="16"/>
                  </w:rPr>
                  <w:t>169</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3480" filled="true" fillcolor="#c7c8ca" stroked="false">
          <v:fill type="solid"/>
          <w10:wrap type="none"/>
        </v:rect>
      </w:pict>
    </w:r>
    <w:r>
      <w:rPr/>
      <w:pict>
        <v:rect style="position:absolute;margin-left:696.401978pt;margin-top:576pt;width:18.850pt;height:61.795pt;mso-position-horizontal-relative:page;mso-position-vertical-relative:page;z-index:-643456" filled="true" fillcolor="#c7c8ca" stroked="false">
          <v:fill type="solid"/>
          <w10:wrap type="none"/>
        </v:rect>
      </w:pict>
    </w:r>
    <w:r>
      <w:rPr/>
      <w:pict>
        <v:shape style="position:absolute;margin-left:226.324799pt;margin-top:583.866394pt;width:15.35pt;height:10pt;mso-position-horizontal-relative:page;mso-position-vertical-relative:page;z-index:-643432" type="#_x0000_t202" filled="false" stroked="false">
          <v:textbox inset="0,0,0,0">
            <w:txbxContent>
              <w:p>
                <w:pPr>
                  <w:spacing w:before="1"/>
                  <w:ind w:left="20" w:right="0" w:firstLine="0"/>
                  <w:jc w:val="left"/>
                  <w:rPr>
                    <w:sz w:val="16"/>
                  </w:rPr>
                </w:pPr>
                <w:r>
                  <w:rPr>
                    <w:sz w:val="16"/>
                  </w:rPr>
                  <w:t>172</w:t>
                </w:r>
              </w:p>
            </w:txbxContent>
          </v:textbox>
          <w10:wrap type="none"/>
        </v:shape>
      </w:pict>
    </w:r>
    <w:r>
      <w:rPr/>
      <w:pict>
        <v:shape style="position:absolute;margin-left:698.076782pt;margin-top:583.866394pt;width:15.35pt;height:10pt;mso-position-horizontal-relative:page;mso-position-vertical-relative:page;z-index:-643408" type="#_x0000_t202" filled="false" stroked="false">
          <v:textbox inset="0,0,0,0">
            <w:txbxContent>
              <w:p>
                <w:pPr>
                  <w:spacing w:before="1"/>
                  <w:ind w:left="20" w:right="0" w:firstLine="0"/>
                  <w:jc w:val="left"/>
                  <w:rPr>
                    <w:sz w:val="16"/>
                  </w:rPr>
                </w:pPr>
                <w:r>
                  <w:rPr>
                    <w:sz w:val="16"/>
                  </w:rPr>
                  <w:t>173</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3384" filled="true" fillcolor="#c7c8ca" stroked="false">
          <v:fill type="solid"/>
          <w10:wrap type="none"/>
        </v:rect>
      </w:pict>
    </w:r>
    <w:r>
      <w:rPr/>
      <w:pict>
        <v:rect style="position:absolute;margin-left:696.401978pt;margin-top:576pt;width:18.850pt;height:61.795pt;mso-position-horizontal-relative:page;mso-position-vertical-relative:page;z-index:-643360" filled="true" fillcolor="#c7c8ca" stroked="false">
          <v:fill type="solid"/>
          <w10:wrap type="none"/>
        </v:rect>
      </w:pict>
    </w:r>
    <w:r>
      <w:rPr/>
      <w:pict>
        <v:shape style="position:absolute;margin-left:226.324799pt;margin-top:583.866394pt;width:15.35pt;height:10pt;mso-position-horizontal-relative:page;mso-position-vertical-relative:page;z-index:-643336" type="#_x0000_t202" filled="false" stroked="false">
          <v:textbox inset="0,0,0,0">
            <w:txbxContent>
              <w:p>
                <w:pPr>
                  <w:spacing w:before="1"/>
                  <w:ind w:left="20" w:right="0" w:firstLine="0"/>
                  <w:jc w:val="left"/>
                  <w:rPr>
                    <w:sz w:val="16"/>
                  </w:rPr>
                </w:pPr>
                <w:r>
                  <w:rPr>
                    <w:sz w:val="16"/>
                  </w:rPr>
                  <w:t>174</w:t>
                </w:r>
              </w:p>
            </w:txbxContent>
          </v:textbox>
          <w10:wrap type="none"/>
        </v:shape>
      </w:pict>
    </w:r>
    <w:r>
      <w:rPr/>
      <w:pict>
        <v:shape style="position:absolute;margin-left:698.076782pt;margin-top:583.866394pt;width:15.35pt;height:10pt;mso-position-horizontal-relative:page;mso-position-vertical-relative:page;z-index:-643312" type="#_x0000_t202" filled="false" stroked="false">
          <v:textbox inset="0,0,0,0">
            <w:txbxContent>
              <w:p>
                <w:pPr>
                  <w:spacing w:before="1"/>
                  <w:ind w:left="20" w:right="0" w:firstLine="0"/>
                  <w:jc w:val="left"/>
                  <w:rPr>
                    <w:sz w:val="16"/>
                  </w:rPr>
                </w:pPr>
                <w:r>
                  <w:rPr>
                    <w:sz w:val="16"/>
                  </w:rPr>
                  <w:t>175</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3288" filled="true" fillcolor="#c7c8ca" stroked="false">
          <v:fill type="solid"/>
          <w10:wrap type="none"/>
        </v:rect>
      </w:pict>
    </w:r>
    <w:r>
      <w:rPr/>
      <w:pict>
        <v:rect style="position:absolute;margin-left:696.401978pt;margin-top:576pt;width:18.850pt;height:61.795pt;mso-position-horizontal-relative:page;mso-position-vertical-relative:page;z-index:-643264" filled="true" fillcolor="#c7c8ca" stroked="false">
          <v:fill type="solid"/>
          <w10:wrap type="none"/>
        </v:rect>
      </w:pict>
    </w:r>
    <w:r>
      <w:rPr/>
      <w:pict>
        <v:shape style="position:absolute;margin-left:226.324799pt;margin-top:583.866394pt;width:15.35pt;height:10pt;mso-position-horizontal-relative:page;mso-position-vertical-relative:page;z-index:-643240" type="#_x0000_t202" filled="false" stroked="false">
          <v:textbox inset="0,0,0,0">
            <w:txbxContent>
              <w:p>
                <w:pPr>
                  <w:spacing w:before="1"/>
                  <w:ind w:left="20" w:right="0" w:firstLine="0"/>
                  <w:jc w:val="left"/>
                  <w:rPr>
                    <w:sz w:val="16"/>
                  </w:rPr>
                </w:pPr>
                <w:r>
                  <w:rPr>
                    <w:sz w:val="16"/>
                  </w:rPr>
                  <w:t>176</w:t>
                </w:r>
              </w:p>
            </w:txbxContent>
          </v:textbox>
          <w10:wrap type="none"/>
        </v:shape>
      </w:pict>
    </w:r>
    <w:r>
      <w:rPr/>
      <w:pict>
        <v:shape style="position:absolute;margin-left:698.076782pt;margin-top:583.866394pt;width:15.35pt;height:10pt;mso-position-horizontal-relative:page;mso-position-vertical-relative:page;z-index:-643216" type="#_x0000_t202" filled="false" stroked="false">
          <v:textbox inset="0,0,0,0">
            <w:txbxContent>
              <w:p>
                <w:pPr>
                  <w:spacing w:before="1"/>
                  <w:ind w:left="20" w:right="0" w:firstLine="0"/>
                  <w:jc w:val="left"/>
                  <w:rPr>
                    <w:sz w:val="16"/>
                  </w:rPr>
                </w:pPr>
                <w:r>
                  <w:rPr>
                    <w:sz w:val="16"/>
                  </w:rPr>
                  <w:t>177</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3192" filled="true" fillcolor="#c7c8ca" stroked="false">
          <v:fill type="solid"/>
          <w10:wrap type="none"/>
        </v:rect>
      </w:pict>
    </w:r>
    <w:r>
      <w:rPr/>
      <w:pict>
        <v:rect style="position:absolute;margin-left:696.401978pt;margin-top:576pt;width:18.850pt;height:61.795pt;mso-position-horizontal-relative:page;mso-position-vertical-relative:page;z-index:-643168" filled="true" fillcolor="#c7c8ca" stroked="false">
          <v:fill type="solid"/>
          <w10:wrap type="none"/>
        </v:rect>
      </w:pict>
    </w:r>
    <w:r>
      <w:rPr/>
      <w:pict>
        <v:shape style="position:absolute;margin-left:226.324799pt;margin-top:583.866394pt;width:15.35pt;height:10pt;mso-position-horizontal-relative:page;mso-position-vertical-relative:page;z-index:-643144" type="#_x0000_t202" filled="false" stroked="false">
          <v:textbox inset="0,0,0,0">
            <w:txbxContent>
              <w:p>
                <w:pPr>
                  <w:spacing w:before="1"/>
                  <w:ind w:left="20" w:right="0" w:firstLine="0"/>
                  <w:jc w:val="left"/>
                  <w:rPr>
                    <w:sz w:val="16"/>
                  </w:rPr>
                </w:pPr>
                <w:r>
                  <w:rPr>
                    <w:sz w:val="16"/>
                  </w:rPr>
                  <w:t>178</w:t>
                </w:r>
              </w:p>
            </w:txbxContent>
          </v:textbox>
          <w10:wrap type="none"/>
        </v:shape>
      </w:pict>
    </w:r>
    <w:r>
      <w:rPr/>
      <w:pict>
        <v:shape style="position:absolute;margin-left:698.076782pt;margin-top:583.866394pt;width:15.35pt;height:10pt;mso-position-horizontal-relative:page;mso-position-vertical-relative:page;z-index:-643120" type="#_x0000_t202" filled="false" stroked="false">
          <v:textbox inset="0,0,0,0">
            <w:txbxContent>
              <w:p>
                <w:pPr>
                  <w:spacing w:before="1"/>
                  <w:ind w:left="20" w:right="0" w:firstLine="0"/>
                  <w:jc w:val="left"/>
                  <w:rPr>
                    <w:sz w:val="16"/>
                  </w:rPr>
                </w:pPr>
                <w:r>
                  <w:rPr>
                    <w:sz w:val="16"/>
                  </w:rPr>
                  <w:t>179</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0752" filled="true" fillcolor="#c7c8ca" stroked="false">
          <v:fill type="solid"/>
          <w10:wrap type="none"/>
        </v:rect>
      </w:pict>
    </w:r>
    <w:r>
      <w:rPr/>
      <w:pict>
        <v:rect style="position:absolute;margin-left:696.401978pt;margin-top:576pt;width:18.850pt;height:61.795pt;mso-position-horizontal-relative:page;mso-position-vertical-relative:page;z-index:-650728" filled="true" fillcolor="#c7c8ca" stroked="false">
          <v:fill type="solid"/>
          <w10:wrap type="none"/>
        </v:rect>
      </w:pict>
    </w:r>
    <w:r>
      <w:rPr/>
      <w:pict>
        <v:shape style="position:absolute;margin-left:228.548798pt;margin-top:583.866394pt;width:10.9pt;height:10pt;mso-position-horizontal-relative:page;mso-position-vertical-relative:page;z-index:-650704" type="#_x0000_t202" filled="false" stroked="false">
          <v:textbox inset="0,0,0,0">
            <w:txbxContent>
              <w:p>
                <w:pPr>
                  <w:spacing w:before="1"/>
                  <w:ind w:left="20" w:right="0" w:firstLine="0"/>
                  <w:jc w:val="left"/>
                  <w:rPr>
                    <w:sz w:val="16"/>
                  </w:rPr>
                </w:pPr>
                <w:r>
                  <w:rPr>
                    <w:sz w:val="16"/>
                  </w:rPr>
                  <w:t>36</w:t>
                </w:r>
              </w:p>
            </w:txbxContent>
          </v:textbox>
          <w10:wrap type="none"/>
        </v:shape>
      </w:pict>
    </w:r>
    <w:r>
      <w:rPr/>
      <w:pict>
        <v:shape style="position:absolute;margin-left:700.300781pt;margin-top:583.866394pt;width:10.9pt;height:10pt;mso-position-horizontal-relative:page;mso-position-vertical-relative:page;z-index:-650680" type="#_x0000_t202" filled="false" stroked="false">
          <v:textbox inset="0,0,0,0">
            <w:txbxContent>
              <w:p>
                <w:pPr>
                  <w:spacing w:before="1"/>
                  <w:ind w:left="20" w:right="0" w:firstLine="0"/>
                  <w:jc w:val="left"/>
                  <w:rPr>
                    <w:sz w:val="16"/>
                  </w:rPr>
                </w:pPr>
                <w:r>
                  <w:rPr>
                    <w:sz w:val="16"/>
                  </w:rPr>
                  <w:t>37</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3096" filled="true" fillcolor="#c7c8ca" stroked="false">
          <v:fill type="solid"/>
          <w10:wrap type="none"/>
        </v:rect>
      </w:pict>
    </w:r>
    <w:r>
      <w:rPr/>
      <w:pict>
        <v:rect style="position:absolute;margin-left:696.401978pt;margin-top:576pt;width:18.850pt;height:61.795pt;mso-position-horizontal-relative:page;mso-position-vertical-relative:page;z-index:-643072" filled="true" fillcolor="#c7c8ca" stroked="false">
          <v:fill type="solid"/>
          <w10:wrap type="none"/>
        </v:rect>
      </w:pict>
    </w:r>
    <w:r>
      <w:rPr/>
      <w:pict>
        <v:shape style="position:absolute;margin-left:226.324799pt;margin-top:583.866394pt;width:15.35pt;height:10pt;mso-position-horizontal-relative:page;mso-position-vertical-relative:page;z-index:-643048" type="#_x0000_t202" filled="false" stroked="false">
          <v:textbox inset="0,0,0,0">
            <w:txbxContent>
              <w:p>
                <w:pPr>
                  <w:spacing w:before="1"/>
                  <w:ind w:left="20" w:right="0" w:firstLine="0"/>
                  <w:jc w:val="left"/>
                  <w:rPr>
                    <w:sz w:val="16"/>
                  </w:rPr>
                </w:pPr>
                <w:r>
                  <w:rPr>
                    <w:sz w:val="16"/>
                  </w:rPr>
                  <w:t>180</w:t>
                </w:r>
              </w:p>
            </w:txbxContent>
          </v:textbox>
          <w10:wrap type="none"/>
        </v:shape>
      </w:pict>
    </w:r>
    <w:r>
      <w:rPr/>
      <w:pict>
        <v:shape style="position:absolute;margin-left:698.076782pt;margin-top:583.866394pt;width:15.35pt;height:10pt;mso-position-horizontal-relative:page;mso-position-vertical-relative:page;z-index:-643024" type="#_x0000_t202" filled="false" stroked="false">
          <v:textbox inset="0,0,0,0">
            <w:txbxContent>
              <w:p>
                <w:pPr>
                  <w:spacing w:before="1"/>
                  <w:ind w:left="20" w:right="0" w:firstLine="0"/>
                  <w:jc w:val="left"/>
                  <w:rPr>
                    <w:sz w:val="16"/>
                  </w:rPr>
                </w:pPr>
                <w:r>
                  <w:rPr>
                    <w:sz w:val="16"/>
                  </w:rPr>
                  <w:t>181</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3000" filled="true" fillcolor="#c7c8ca" stroked="false">
          <v:fill type="solid"/>
          <w10:wrap type="none"/>
        </v:rect>
      </w:pict>
    </w:r>
    <w:r>
      <w:rPr/>
      <w:pict>
        <v:rect style="position:absolute;margin-left:696.401978pt;margin-top:576pt;width:18.850pt;height:61.795pt;mso-position-horizontal-relative:page;mso-position-vertical-relative:page;z-index:-642976" filled="true" fillcolor="#c7c8ca" stroked="false">
          <v:fill type="solid"/>
          <w10:wrap type="none"/>
        </v:rect>
      </w:pict>
    </w:r>
    <w:r>
      <w:rPr/>
      <w:pict>
        <v:shape style="position:absolute;margin-left:226.324799pt;margin-top:583.866394pt;width:15.35pt;height:10pt;mso-position-horizontal-relative:page;mso-position-vertical-relative:page;z-index:-642952" type="#_x0000_t202" filled="false" stroked="false">
          <v:textbox inset="0,0,0,0">
            <w:txbxContent>
              <w:p>
                <w:pPr>
                  <w:spacing w:before="1"/>
                  <w:ind w:left="20" w:right="0" w:firstLine="0"/>
                  <w:jc w:val="left"/>
                  <w:rPr>
                    <w:sz w:val="16"/>
                  </w:rPr>
                </w:pPr>
                <w:r>
                  <w:rPr>
                    <w:sz w:val="16"/>
                  </w:rPr>
                  <w:t>182</w:t>
                </w:r>
              </w:p>
            </w:txbxContent>
          </v:textbox>
          <w10:wrap type="none"/>
        </v:shape>
      </w:pict>
    </w:r>
    <w:r>
      <w:rPr/>
      <w:pict>
        <v:shape style="position:absolute;margin-left:698.076782pt;margin-top:583.866394pt;width:15.35pt;height:10pt;mso-position-horizontal-relative:page;mso-position-vertical-relative:page;z-index:-642928" type="#_x0000_t202" filled="false" stroked="false">
          <v:textbox inset="0,0,0,0">
            <w:txbxContent>
              <w:p>
                <w:pPr>
                  <w:spacing w:before="1"/>
                  <w:ind w:left="20" w:right="0" w:firstLine="0"/>
                  <w:jc w:val="left"/>
                  <w:rPr>
                    <w:sz w:val="16"/>
                  </w:rPr>
                </w:pPr>
                <w:r>
                  <w:rPr>
                    <w:sz w:val="16"/>
                  </w:rPr>
                  <w:t>183</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2904" filled="true" fillcolor="#c7c8ca" stroked="false">
          <v:fill type="solid"/>
          <w10:wrap type="none"/>
        </v:rect>
      </w:pict>
    </w:r>
    <w:r>
      <w:rPr/>
      <w:pict>
        <v:rect style="position:absolute;margin-left:696.401978pt;margin-top:576pt;width:18.850pt;height:61.795pt;mso-position-horizontal-relative:page;mso-position-vertical-relative:page;z-index:-642880" filled="true" fillcolor="#c7c8ca" stroked="false">
          <v:fill type="solid"/>
          <w10:wrap type="none"/>
        </v:rect>
      </w:pict>
    </w:r>
    <w:r>
      <w:rPr/>
      <w:pict>
        <v:shape style="position:absolute;margin-left:226.324799pt;margin-top:583.866394pt;width:15.35pt;height:10pt;mso-position-horizontal-relative:page;mso-position-vertical-relative:page;z-index:-642856" type="#_x0000_t202" filled="false" stroked="false">
          <v:textbox inset="0,0,0,0">
            <w:txbxContent>
              <w:p>
                <w:pPr>
                  <w:spacing w:before="1"/>
                  <w:ind w:left="20" w:right="0" w:firstLine="0"/>
                  <w:jc w:val="left"/>
                  <w:rPr>
                    <w:sz w:val="16"/>
                  </w:rPr>
                </w:pPr>
                <w:r>
                  <w:rPr>
                    <w:sz w:val="16"/>
                  </w:rPr>
                  <w:t>184</w:t>
                </w:r>
              </w:p>
            </w:txbxContent>
          </v:textbox>
          <w10:wrap type="none"/>
        </v:shape>
      </w:pict>
    </w:r>
    <w:r>
      <w:rPr/>
      <w:pict>
        <v:shape style="position:absolute;margin-left:698.076782pt;margin-top:583.866394pt;width:15.35pt;height:10pt;mso-position-horizontal-relative:page;mso-position-vertical-relative:page;z-index:-642832" type="#_x0000_t202" filled="false" stroked="false">
          <v:textbox inset="0,0,0,0">
            <w:txbxContent>
              <w:p>
                <w:pPr>
                  <w:spacing w:before="1"/>
                  <w:ind w:left="20" w:right="0" w:firstLine="0"/>
                  <w:jc w:val="left"/>
                  <w:rPr>
                    <w:sz w:val="16"/>
                  </w:rPr>
                </w:pPr>
                <w:r>
                  <w:rPr>
                    <w:sz w:val="16"/>
                  </w:rPr>
                  <w:t>185</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2592" filled="true" fillcolor="#c7c8ca" stroked="false">
          <v:fill type="solid"/>
          <w10:wrap type="none"/>
        </v:rect>
      </w:pict>
    </w:r>
    <w:r>
      <w:rPr/>
      <w:pict>
        <v:rect style="position:absolute;margin-left:696.401978pt;margin-top:576pt;width:18.850pt;height:61.795pt;mso-position-horizontal-relative:page;mso-position-vertical-relative:page;z-index:-642568" filled="true" fillcolor="#c7c8ca" stroked="false">
          <v:fill type="solid"/>
          <w10:wrap type="none"/>
        </v:rect>
      </w:pict>
    </w:r>
    <w:r>
      <w:rPr/>
      <w:pict>
        <v:shape style="position:absolute;margin-left:225.324799pt;margin-top:583.866394pt;width:16.3500pt;height:10pt;mso-position-horizontal-relative:page;mso-position-vertical-relative:page;z-index:-642544" type="#_x0000_t202" filled="false" stroked="false">
          <v:textbox inset="0,0,0,0">
            <w:txbxContent>
              <w:p>
                <w:pPr>
                  <w:spacing w:before="1"/>
                  <w:ind w:left="40" w:right="0" w:firstLine="0"/>
                  <w:jc w:val="left"/>
                  <w:rPr>
                    <w:sz w:val="16"/>
                  </w:rPr>
                </w:pPr>
                <w:r>
                  <w:rPr/>
                  <w:fldChar w:fldCharType="begin"/>
                </w:r>
                <w:r>
                  <w:rPr>
                    <w:sz w:val="16"/>
                  </w:rPr>
                  <w:instrText> PAGE </w:instrText>
                </w:r>
                <w:r>
                  <w:rPr/>
                  <w:fldChar w:fldCharType="separate"/>
                </w:r>
                <w:r>
                  <w:rPr/>
                  <w:t>18</w:t>
                </w:r>
                <w:r>
                  <w:rPr/>
                  <w:fldChar w:fldCharType="end"/>
                </w:r>
                <w:r>
                  <w:rPr>
                    <w:sz w:val="16"/>
                  </w:rPr>
                  <w:t>8</w:t>
                </w:r>
              </w:p>
            </w:txbxContent>
          </v:textbox>
          <w10:wrap type="none"/>
        </v:shape>
      </w:pict>
    </w:r>
    <w:r>
      <w:rPr/>
      <w:pict>
        <v:shape style="position:absolute;margin-left:698.076782pt;margin-top:583.866394pt;width:15.35pt;height:10pt;mso-position-horizontal-relative:page;mso-position-vertical-relative:page;z-index:-642520" type="#_x0000_t202" filled="false" stroked="false">
          <v:textbox inset="0,0,0,0">
            <w:txbxContent>
              <w:p>
                <w:pPr>
                  <w:spacing w:before="1"/>
                  <w:ind w:left="20" w:right="0" w:firstLine="0"/>
                  <w:jc w:val="left"/>
                  <w:rPr>
                    <w:sz w:val="16"/>
                  </w:rPr>
                </w:pPr>
                <w:r>
                  <w:rPr>
                    <w:sz w:val="16"/>
                  </w:rPr>
                  <w:t>189</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2496" filled="true" fillcolor="#c7c8ca" stroked="false">
          <v:fill type="solid"/>
          <w10:wrap type="none"/>
        </v:rect>
      </w:pict>
    </w:r>
    <w:r>
      <w:rPr/>
      <w:pict>
        <v:rect style="position:absolute;margin-left:696.401978pt;margin-top:576pt;width:18.850pt;height:61.795pt;mso-position-horizontal-relative:page;mso-position-vertical-relative:page;z-index:-642472" filled="true" fillcolor="#c7c8ca" stroked="false">
          <v:fill type="solid"/>
          <w10:wrap type="none"/>
        </v:rect>
      </w:pict>
    </w:r>
    <w:r>
      <w:rPr/>
      <w:pict>
        <v:shape style="position:absolute;margin-left:225.324799pt;margin-top:583.866394pt;width:16.3500pt;height:10pt;mso-position-horizontal-relative:page;mso-position-vertical-relative:page;z-index:-642448" type="#_x0000_t202" filled="false" stroked="false">
          <v:textbox inset="0,0,0,0">
            <w:txbxContent>
              <w:p>
                <w:pPr>
                  <w:spacing w:before="1"/>
                  <w:ind w:left="40" w:right="0" w:firstLine="0"/>
                  <w:jc w:val="left"/>
                  <w:rPr>
                    <w:sz w:val="16"/>
                  </w:rPr>
                </w:pPr>
                <w:r>
                  <w:rPr/>
                  <w:fldChar w:fldCharType="begin"/>
                </w:r>
                <w:r>
                  <w:rPr>
                    <w:sz w:val="16"/>
                  </w:rPr>
                  <w:instrText> PAGE </w:instrText>
                </w:r>
                <w:r>
                  <w:rPr/>
                  <w:fldChar w:fldCharType="separate"/>
                </w:r>
                <w:r>
                  <w:rPr/>
                  <w:t>19</w:t>
                </w:r>
                <w:r>
                  <w:rPr/>
                  <w:fldChar w:fldCharType="end"/>
                </w:r>
                <w:r>
                  <w:rPr>
                    <w:sz w:val="16"/>
                  </w:rPr>
                  <w:t>0</w:t>
                </w:r>
              </w:p>
            </w:txbxContent>
          </v:textbox>
          <w10:wrap type="none"/>
        </v:shape>
      </w:pict>
    </w:r>
    <w:r>
      <w:rPr/>
      <w:pict>
        <v:shape style="position:absolute;margin-left:698.076782pt;margin-top:583.866394pt;width:15.35pt;height:10pt;mso-position-horizontal-relative:page;mso-position-vertical-relative:page;z-index:-642424" type="#_x0000_t202" filled="false" stroked="false">
          <v:textbox inset="0,0,0,0">
            <w:txbxContent>
              <w:p>
                <w:pPr>
                  <w:spacing w:before="1"/>
                  <w:ind w:left="20" w:right="0" w:firstLine="0"/>
                  <w:jc w:val="left"/>
                  <w:rPr>
                    <w:sz w:val="16"/>
                  </w:rPr>
                </w:pPr>
                <w:r>
                  <w:rPr>
                    <w:sz w:val="16"/>
                  </w:rPr>
                  <w:t>191</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2400" filled="true" fillcolor="#c7c8ca" stroked="false">
          <v:fill type="solid"/>
          <w10:wrap type="none"/>
        </v:rect>
      </w:pict>
    </w:r>
    <w:r>
      <w:rPr/>
      <w:pict>
        <v:rect style="position:absolute;margin-left:696.401978pt;margin-top:576pt;width:18.850pt;height:61.795pt;mso-position-horizontal-relative:page;mso-position-vertical-relative:page;z-index:-642376" filled="true" fillcolor="#c7c8ca" stroked="false">
          <v:fill type="solid"/>
          <w10:wrap type="none"/>
        </v:rect>
      </w:pict>
    </w:r>
    <w:r>
      <w:rPr/>
      <w:pict>
        <v:shape style="position:absolute;margin-left:226.324799pt;margin-top:583.866394pt;width:15.35pt;height:10pt;mso-position-horizontal-relative:page;mso-position-vertical-relative:page;z-index:-642352" type="#_x0000_t202" filled="false" stroked="false">
          <v:textbox inset="0,0,0,0">
            <w:txbxContent>
              <w:p>
                <w:pPr>
                  <w:spacing w:before="1"/>
                  <w:ind w:left="20" w:right="0" w:firstLine="0"/>
                  <w:jc w:val="left"/>
                  <w:rPr>
                    <w:sz w:val="16"/>
                  </w:rPr>
                </w:pPr>
                <w:r>
                  <w:rPr>
                    <w:sz w:val="16"/>
                  </w:rPr>
                  <w:t>192</w:t>
                </w:r>
              </w:p>
            </w:txbxContent>
          </v:textbox>
          <w10:wrap type="none"/>
        </v:shape>
      </w:pict>
    </w:r>
    <w:r>
      <w:rPr/>
      <w:pict>
        <v:shape style="position:absolute;margin-left:698.076782pt;margin-top:583.866394pt;width:15.35pt;height:10pt;mso-position-horizontal-relative:page;mso-position-vertical-relative:page;z-index:-642328" type="#_x0000_t202" filled="false" stroked="false">
          <v:textbox inset="0,0,0,0">
            <w:txbxContent>
              <w:p>
                <w:pPr>
                  <w:spacing w:before="1"/>
                  <w:ind w:left="20" w:right="0" w:firstLine="0"/>
                  <w:jc w:val="left"/>
                  <w:rPr>
                    <w:sz w:val="16"/>
                  </w:rPr>
                </w:pPr>
                <w:r>
                  <w:rPr>
                    <w:sz w:val="16"/>
                  </w:rPr>
                  <w:t>193</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2304" filled="true" fillcolor="#c7c8ca" stroked="false">
          <v:fill type="solid"/>
          <w10:wrap type="none"/>
        </v:rect>
      </w:pict>
    </w:r>
    <w:r>
      <w:rPr/>
      <w:pict>
        <v:rect style="position:absolute;margin-left:696.401978pt;margin-top:576pt;width:18.850pt;height:61.795pt;mso-position-horizontal-relative:page;mso-position-vertical-relative:page;z-index:-642280" filled="true" fillcolor="#c7c8ca" stroked="false">
          <v:fill type="solid"/>
          <w10:wrap type="none"/>
        </v:rect>
      </w:pict>
    </w:r>
    <w:r>
      <w:rPr/>
      <w:pict>
        <v:shape style="position:absolute;margin-left:226.324799pt;margin-top:583.866394pt;width:15.35pt;height:10pt;mso-position-horizontal-relative:page;mso-position-vertical-relative:page;z-index:-642256" type="#_x0000_t202" filled="false" stroked="false">
          <v:textbox inset="0,0,0,0">
            <w:txbxContent>
              <w:p>
                <w:pPr>
                  <w:spacing w:before="1"/>
                  <w:ind w:left="20" w:right="0" w:firstLine="0"/>
                  <w:jc w:val="left"/>
                  <w:rPr>
                    <w:sz w:val="16"/>
                  </w:rPr>
                </w:pPr>
                <w:r>
                  <w:rPr>
                    <w:sz w:val="16"/>
                  </w:rPr>
                  <w:t>194</w:t>
                </w:r>
              </w:p>
            </w:txbxContent>
          </v:textbox>
          <w10:wrap type="none"/>
        </v:shape>
      </w:pict>
    </w:r>
    <w:r>
      <w:rPr/>
      <w:pict>
        <v:shape style="position:absolute;margin-left:698.076782pt;margin-top:583.866394pt;width:15.35pt;height:10pt;mso-position-horizontal-relative:page;mso-position-vertical-relative:page;z-index:-642232" type="#_x0000_t202" filled="false" stroked="false">
          <v:textbox inset="0,0,0,0">
            <w:txbxContent>
              <w:p>
                <w:pPr>
                  <w:spacing w:before="1"/>
                  <w:ind w:left="20" w:right="0" w:firstLine="0"/>
                  <w:jc w:val="left"/>
                  <w:rPr>
                    <w:sz w:val="16"/>
                  </w:rPr>
                </w:pPr>
                <w:r>
                  <w:rPr>
                    <w:sz w:val="16"/>
                  </w:rPr>
                  <w:t>195</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2208" filled="true" fillcolor="#c7c8ca" stroked="false">
          <v:fill type="solid"/>
          <w10:wrap type="none"/>
        </v:rect>
      </w:pict>
    </w:r>
    <w:r>
      <w:rPr/>
      <w:pict>
        <v:rect style="position:absolute;margin-left:696.401978pt;margin-top:576pt;width:18.850pt;height:61.795pt;mso-position-horizontal-relative:page;mso-position-vertical-relative:page;z-index:-642184" filled="true" fillcolor="#c7c8ca" stroked="false">
          <v:fill type="solid"/>
          <w10:wrap type="none"/>
        </v:rect>
      </w:pict>
    </w:r>
    <w:r>
      <w:rPr/>
      <w:pict>
        <v:shape style="position:absolute;margin-left:226.324799pt;margin-top:583.866394pt;width:15.35pt;height:10pt;mso-position-horizontal-relative:page;mso-position-vertical-relative:page;z-index:-642160" type="#_x0000_t202" filled="false" stroked="false">
          <v:textbox inset="0,0,0,0">
            <w:txbxContent>
              <w:p>
                <w:pPr>
                  <w:spacing w:before="1"/>
                  <w:ind w:left="20" w:right="0" w:firstLine="0"/>
                  <w:jc w:val="left"/>
                  <w:rPr>
                    <w:sz w:val="16"/>
                  </w:rPr>
                </w:pPr>
                <w:r>
                  <w:rPr>
                    <w:sz w:val="16"/>
                  </w:rPr>
                  <w:t>196</w:t>
                </w:r>
              </w:p>
            </w:txbxContent>
          </v:textbox>
          <w10:wrap type="none"/>
        </v:shape>
      </w:pict>
    </w:r>
    <w:r>
      <w:rPr/>
      <w:pict>
        <v:shape style="position:absolute;margin-left:698.076782pt;margin-top:583.866394pt;width:15.35pt;height:10pt;mso-position-horizontal-relative:page;mso-position-vertical-relative:page;z-index:-642136" type="#_x0000_t202" filled="false" stroked="false">
          <v:textbox inset="0,0,0,0">
            <w:txbxContent>
              <w:p>
                <w:pPr>
                  <w:spacing w:before="1"/>
                  <w:ind w:left="20" w:right="0" w:firstLine="0"/>
                  <w:jc w:val="left"/>
                  <w:rPr>
                    <w:sz w:val="16"/>
                  </w:rPr>
                </w:pPr>
                <w:r>
                  <w:rPr>
                    <w:sz w:val="16"/>
                  </w:rPr>
                  <w:t>197</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2112" filled="true" fillcolor="#c7c8ca" stroked="false">
          <v:fill type="solid"/>
          <w10:wrap type="none"/>
        </v:rect>
      </w:pict>
    </w:r>
    <w:r>
      <w:rPr/>
      <w:pict>
        <v:rect style="position:absolute;margin-left:696.401978pt;margin-top:576pt;width:18.850pt;height:61.795pt;mso-position-horizontal-relative:page;mso-position-vertical-relative:page;z-index:-642088" filled="true" fillcolor="#c7c8ca" stroked="false">
          <v:fill type="solid"/>
          <w10:wrap type="none"/>
        </v:rect>
      </w:pict>
    </w:r>
    <w:r>
      <w:rPr/>
      <w:pict>
        <v:shape style="position:absolute;margin-left:226.324799pt;margin-top:583.866394pt;width:15.35pt;height:10pt;mso-position-horizontal-relative:page;mso-position-vertical-relative:page;z-index:-642064" type="#_x0000_t202" filled="false" stroked="false">
          <v:textbox inset="0,0,0,0">
            <w:txbxContent>
              <w:p>
                <w:pPr>
                  <w:spacing w:before="1"/>
                  <w:ind w:left="20" w:right="0" w:firstLine="0"/>
                  <w:jc w:val="left"/>
                  <w:rPr>
                    <w:sz w:val="16"/>
                  </w:rPr>
                </w:pPr>
                <w:r>
                  <w:rPr>
                    <w:sz w:val="16"/>
                  </w:rPr>
                  <w:t>198</w:t>
                </w:r>
              </w:p>
            </w:txbxContent>
          </v:textbox>
          <w10:wrap type="none"/>
        </v:shape>
      </w:pict>
    </w:r>
    <w:r>
      <w:rPr/>
      <w:pict>
        <v:shape style="position:absolute;margin-left:698.076782pt;margin-top:583.866394pt;width:15.35pt;height:10pt;mso-position-horizontal-relative:page;mso-position-vertical-relative:page;z-index:-642040" type="#_x0000_t202" filled="false" stroked="false">
          <v:textbox inset="0,0,0,0">
            <w:txbxContent>
              <w:p>
                <w:pPr>
                  <w:spacing w:before="1"/>
                  <w:ind w:left="20" w:right="0" w:firstLine="0"/>
                  <w:jc w:val="left"/>
                  <w:rPr>
                    <w:sz w:val="16"/>
                  </w:rPr>
                </w:pPr>
                <w:r>
                  <w:rPr>
                    <w:sz w:val="16"/>
                  </w:rPr>
                  <w:t>199</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50656" filled="true" fillcolor="#c7c8ca" stroked="false">
          <v:fill type="solid"/>
          <w10:wrap type="none"/>
        </v:rect>
      </w:pict>
    </w:r>
    <w:r>
      <w:rPr/>
      <w:pict>
        <v:rect style="position:absolute;margin-left:696.401978pt;margin-top:576pt;width:18.850pt;height:61.795pt;mso-position-horizontal-relative:page;mso-position-vertical-relative:page;z-index:-650632" filled="true" fillcolor="#c7c8ca" stroked="false">
          <v:fill type="solid"/>
          <w10:wrap type="none"/>
        </v:rect>
      </w:pict>
    </w:r>
    <w:r>
      <w:rPr/>
      <w:pict>
        <v:shape style="position:absolute;margin-left:228.548798pt;margin-top:583.866394pt;width:10.9pt;height:10pt;mso-position-horizontal-relative:page;mso-position-vertical-relative:page;z-index:-650608" type="#_x0000_t202" filled="false" stroked="false">
          <v:textbox inset="0,0,0,0">
            <w:txbxContent>
              <w:p>
                <w:pPr>
                  <w:spacing w:before="1"/>
                  <w:ind w:left="20" w:right="0" w:firstLine="0"/>
                  <w:jc w:val="left"/>
                  <w:rPr>
                    <w:sz w:val="16"/>
                  </w:rPr>
                </w:pPr>
                <w:r>
                  <w:rPr>
                    <w:sz w:val="16"/>
                  </w:rPr>
                  <w:t>38</w:t>
                </w:r>
              </w:p>
            </w:txbxContent>
          </v:textbox>
          <w10:wrap type="none"/>
        </v:shape>
      </w:pict>
    </w:r>
    <w:r>
      <w:rPr/>
      <w:pict>
        <v:shape style="position:absolute;margin-left:700.300781pt;margin-top:583.866394pt;width:10.9pt;height:10pt;mso-position-horizontal-relative:page;mso-position-vertical-relative:page;z-index:-650584" type="#_x0000_t202" filled="false" stroked="false">
          <v:textbox inset="0,0,0,0">
            <w:txbxContent>
              <w:p>
                <w:pPr>
                  <w:spacing w:before="1"/>
                  <w:ind w:left="20" w:right="0" w:firstLine="0"/>
                  <w:jc w:val="left"/>
                  <w:rPr>
                    <w:sz w:val="16"/>
                  </w:rPr>
                </w:pPr>
                <w:r>
                  <w:rPr>
                    <w:sz w:val="16"/>
                  </w:rPr>
                  <w:t>39</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2016" filled="true" fillcolor="#c7c8ca" stroked="false">
          <v:fill type="solid"/>
          <w10:wrap type="none"/>
        </v:rect>
      </w:pict>
    </w:r>
    <w:r>
      <w:rPr/>
      <w:pict>
        <v:rect style="position:absolute;margin-left:696.401978pt;margin-top:576pt;width:18.850pt;height:61.795pt;mso-position-horizontal-relative:page;mso-position-vertical-relative:page;z-index:-641992" filled="true" fillcolor="#c7c8ca" stroked="false">
          <v:fill type="solid"/>
          <w10:wrap type="none"/>
        </v:rect>
      </w:pict>
    </w:r>
    <w:r>
      <w:rPr/>
      <w:pict>
        <v:shape style="position:absolute;margin-left:226.324799pt;margin-top:583.866394pt;width:15.35pt;height:10pt;mso-position-horizontal-relative:page;mso-position-vertical-relative:page;z-index:-641968" type="#_x0000_t202" filled="false" stroked="false">
          <v:textbox inset="0,0,0,0">
            <w:txbxContent>
              <w:p>
                <w:pPr>
                  <w:spacing w:before="1"/>
                  <w:ind w:left="20" w:right="0" w:firstLine="0"/>
                  <w:jc w:val="left"/>
                  <w:rPr>
                    <w:sz w:val="16"/>
                  </w:rPr>
                </w:pPr>
                <w:r>
                  <w:rPr>
                    <w:sz w:val="16"/>
                  </w:rPr>
                  <w:t>200</w:t>
                </w:r>
              </w:p>
            </w:txbxContent>
          </v:textbox>
          <w10:wrap type="none"/>
        </v:shape>
      </w:pict>
    </w:r>
    <w:r>
      <w:rPr/>
      <w:pict>
        <v:shape style="position:absolute;margin-left:698.076782pt;margin-top:583.866394pt;width:15.35pt;height:10pt;mso-position-horizontal-relative:page;mso-position-vertical-relative:page;z-index:-641944" type="#_x0000_t202" filled="false" stroked="false">
          <v:textbox inset="0,0,0,0">
            <w:txbxContent>
              <w:p>
                <w:pPr>
                  <w:spacing w:before="1"/>
                  <w:ind w:left="20" w:right="0" w:firstLine="0"/>
                  <w:jc w:val="left"/>
                  <w:rPr>
                    <w:sz w:val="16"/>
                  </w:rPr>
                </w:pPr>
                <w:r>
                  <w:rPr>
                    <w:sz w:val="16"/>
                  </w:rPr>
                  <w:t>201</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920" filled="true" fillcolor="#c7c8ca" stroked="false">
          <v:fill type="solid"/>
          <w10:wrap type="none"/>
        </v:rect>
      </w:pict>
    </w:r>
    <w:r>
      <w:rPr/>
      <w:pict>
        <v:rect style="position:absolute;margin-left:696.401978pt;margin-top:576pt;width:18.850pt;height:61.795pt;mso-position-horizontal-relative:page;mso-position-vertical-relative:page;z-index:-641896" filled="true" fillcolor="#c7c8ca" stroked="false">
          <v:fill type="solid"/>
          <w10:wrap type="none"/>
        </v:rect>
      </w:pict>
    </w:r>
    <w:r>
      <w:rPr/>
      <w:pict>
        <v:shape style="position:absolute;margin-left:226.324799pt;margin-top:583.866394pt;width:15.35pt;height:10pt;mso-position-horizontal-relative:page;mso-position-vertical-relative:page;z-index:-641872" type="#_x0000_t202" filled="false" stroked="false">
          <v:textbox inset="0,0,0,0">
            <w:txbxContent>
              <w:p>
                <w:pPr>
                  <w:spacing w:before="1"/>
                  <w:ind w:left="20" w:right="0" w:firstLine="0"/>
                  <w:jc w:val="left"/>
                  <w:rPr>
                    <w:sz w:val="16"/>
                  </w:rPr>
                </w:pPr>
                <w:r>
                  <w:rPr>
                    <w:sz w:val="16"/>
                  </w:rPr>
                  <w:t>202</w:t>
                </w:r>
              </w:p>
            </w:txbxContent>
          </v:textbox>
          <w10:wrap type="none"/>
        </v:shape>
      </w:pict>
    </w:r>
    <w:r>
      <w:rPr/>
      <w:pict>
        <v:shape style="position:absolute;margin-left:698.076782pt;margin-top:583.866394pt;width:15.35pt;height:10pt;mso-position-horizontal-relative:page;mso-position-vertical-relative:page;z-index:-641848" type="#_x0000_t202" filled="false" stroked="false">
          <v:textbox inset="0,0,0,0">
            <w:txbxContent>
              <w:p>
                <w:pPr>
                  <w:spacing w:before="1"/>
                  <w:ind w:left="20" w:right="0" w:firstLine="0"/>
                  <w:jc w:val="left"/>
                  <w:rPr>
                    <w:sz w:val="16"/>
                  </w:rPr>
                </w:pPr>
                <w:r>
                  <w:rPr>
                    <w:sz w:val="16"/>
                  </w:rPr>
                  <w:t>203</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824" filled="true" fillcolor="#c7c8ca" stroked="false">
          <v:fill type="solid"/>
          <w10:wrap type="none"/>
        </v:rect>
      </w:pict>
    </w:r>
    <w:r>
      <w:rPr/>
      <w:pict>
        <v:rect style="position:absolute;margin-left:696.401978pt;margin-top:576pt;width:18.850pt;height:61.795pt;mso-position-horizontal-relative:page;mso-position-vertical-relative:page;z-index:-641800" filled="true" fillcolor="#c7c8ca" stroked="false">
          <v:fill type="solid"/>
          <w10:wrap type="none"/>
        </v:rect>
      </w:pict>
    </w:r>
    <w:r>
      <w:rPr/>
      <w:pict>
        <v:shape style="position:absolute;margin-left:226.324799pt;margin-top:583.866394pt;width:15.35pt;height:10pt;mso-position-horizontal-relative:page;mso-position-vertical-relative:page;z-index:-641776" type="#_x0000_t202" filled="false" stroked="false">
          <v:textbox inset="0,0,0,0">
            <w:txbxContent>
              <w:p>
                <w:pPr>
                  <w:spacing w:before="1"/>
                  <w:ind w:left="20" w:right="0" w:firstLine="0"/>
                  <w:jc w:val="left"/>
                  <w:rPr>
                    <w:sz w:val="16"/>
                  </w:rPr>
                </w:pPr>
                <w:r>
                  <w:rPr>
                    <w:sz w:val="16"/>
                  </w:rPr>
                  <w:t>204</w:t>
                </w:r>
              </w:p>
            </w:txbxContent>
          </v:textbox>
          <w10:wrap type="none"/>
        </v:shape>
      </w:pict>
    </w:r>
    <w:r>
      <w:rPr/>
      <w:pict>
        <v:shape style="position:absolute;margin-left:698.076782pt;margin-top:583.866394pt;width:15.35pt;height:10pt;mso-position-horizontal-relative:page;mso-position-vertical-relative:page;z-index:-641752" type="#_x0000_t202" filled="false" stroked="false">
          <v:textbox inset="0,0,0,0">
            <w:txbxContent>
              <w:p>
                <w:pPr>
                  <w:spacing w:before="1"/>
                  <w:ind w:left="20" w:right="0" w:firstLine="0"/>
                  <w:jc w:val="left"/>
                  <w:rPr>
                    <w:sz w:val="16"/>
                  </w:rPr>
                </w:pPr>
                <w:r>
                  <w:rPr>
                    <w:sz w:val="16"/>
                  </w:rPr>
                  <w:t>205</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728" filled="true" fillcolor="#c7c8ca" stroked="false">
          <v:fill type="solid"/>
          <w10:wrap type="none"/>
        </v:rect>
      </w:pict>
    </w:r>
    <w:r>
      <w:rPr/>
      <w:pict>
        <v:rect style="position:absolute;margin-left:696.401978pt;margin-top:576pt;width:18.850pt;height:61.795pt;mso-position-horizontal-relative:page;mso-position-vertical-relative:page;z-index:-641704" filled="true" fillcolor="#c7c8ca" stroked="false">
          <v:fill type="solid"/>
          <w10:wrap type="none"/>
        </v:rect>
      </w:pict>
    </w:r>
    <w:r>
      <w:rPr/>
      <w:pict>
        <v:shape style="position:absolute;margin-left:226.324799pt;margin-top:583.866394pt;width:15.35pt;height:10pt;mso-position-horizontal-relative:page;mso-position-vertical-relative:page;z-index:-641680" type="#_x0000_t202" filled="false" stroked="false">
          <v:textbox inset="0,0,0,0">
            <w:txbxContent>
              <w:p>
                <w:pPr>
                  <w:spacing w:before="1"/>
                  <w:ind w:left="20" w:right="0" w:firstLine="0"/>
                  <w:jc w:val="left"/>
                  <w:rPr>
                    <w:sz w:val="16"/>
                  </w:rPr>
                </w:pPr>
                <w:r>
                  <w:rPr>
                    <w:sz w:val="16"/>
                  </w:rPr>
                  <w:t>206</w:t>
                </w:r>
              </w:p>
            </w:txbxContent>
          </v:textbox>
          <w10:wrap type="none"/>
        </v:shape>
      </w:pict>
    </w:r>
    <w:r>
      <w:rPr/>
      <w:pict>
        <v:shape style="position:absolute;margin-left:698.076782pt;margin-top:583.866394pt;width:15.35pt;height:10pt;mso-position-horizontal-relative:page;mso-position-vertical-relative:page;z-index:-641656" type="#_x0000_t202" filled="false" stroked="false">
          <v:textbox inset="0,0,0,0">
            <w:txbxContent>
              <w:p>
                <w:pPr>
                  <w:spacing w:before="1"/>
                  <w:ind w:left="20" w:right="0" w:firstLine="0"/>
                  <w:jc w:val="left"/>
                  <w:rPr>
                    <w:sz w:val="16"/>
                  </w:rPr>
                </w:pPr>
                <w:r>
                  <w:rPr>
                    <w:sz w:val="16"/>
                  </w:rPr>
                  <w:t>207</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632" filled="true" fillcolor="#c7c8ca" stroked="false">
          <v:fill type="solid"/>
          <w10:wrap type="none"/>
        </v:rect>
      </w:pict>
    </w:r>
    <w:r>
      <w:rPr/>
      <w:pict>
        <v:rect style="position:absolute;margin-left:696.401978pt;margin-top:576pt;width:18.850pt;height:61.795pt;mso-position-horizontal-relative:page;mso-position-vertical-relative:page;z-index:-641608" filled="true" fillcolor="#c7c8ca" stroked="false">
          <v:fill type="solid"/>
          <w10:wrap type="none"/>
        </v:rect>
      </w:pict>
    </w:r>
    <w:r>
      <w:rPr/>
      <w:pict>
        <v:shape style="position:absolute;margin-left:226.324799pt;margin-top:583.866394pt;width:15.35pt;height:10pt;mso-position-horizontal-relative:page;mso-position-vertical-relative:page;z-index:-641584" type="#_x0000_t202" filled="false" stroked="false">
          <v:textbox inset="0,0,0,0">
            <w:txbxContent>
              <w:p>
                <w:pPr>
                  <w:spacing w:before="1"/>
                  <w:ind w:left="20" w:right="0" w:firstLine="0"/>
                  <w:jc w:val="left"/>
                  <w:rPr>
                    <w:sz w:val="16"/>
                  </w:rPr>
                </w:pPr>
                <w:r>
                  <w:rPr>
                    <w:sz w:val="16"/>
                  </w:rPr>
                  <w:t>208</w:t>
                </w:r>
              </w:p>
            </w:txbxContent>
          </v:textbox>
          <w10:wrap type="none"/>
        </v:shape>
      </w:pict>
    </w:r>
    <w:r>
      <w:rPr/>
      <w:pict>
        <v:shape style="position:absolute;margin-left:698.076782pt;margin-top:583.866394pt;width:15.35pt;height:10pt;mso-position-horizontal-relative:page;mso-position-vertical-relative:page;z-index:-641560" type="#_x0000_t202" filled="false" stroked="false">
          <v:textbox inset="0,0,0,0">
            <w:txbxContent>
              <w:p>
                <w:pPr>
                  <w:spacing w:before="1"/>
                  <w:ind w:left="20" w:right="0" w:firstLine="0"/>
                  <w:jc w:val="left"/>
                  <w:rPr>
                    <w:sz w:val="16"/>
                  </w:rPr>
                </w:pPr>
                <w:r>
                  <w:rPr>
                    <w:sz w:val="16"/>
                  </w:rPr>
                  <w:t>209</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536" filled="true" fillcolor="#c7c8ca" stroked="false">
          <v:fill type="solid"/>
          <w10:wrap type="none"/>
        </v:rect>
      </w:pict>
    </w:r>
    <w:r>
      <w:rPr/>
      <w:pict>
        <v:rect style="position:absolute;margin-left:696.401978pt;margin-top:576pt;width:18.850pt;height:61.795pt;mso-position-horizontal-relative:page;mso-position-vertical-relative:page;z-index:-641512" filled="true" fillcolor="#c7c8ca" stroked="false">
          <v:fill type="solid"/>
          <w10:wrap type="none"/>
        </v:rect>
      </w:pict>
    </w:r>
    <w:r>
      <w:rPr/>
      <w:pict>
        <v:shape style="position:absolute;margin-left:226.324799pt;margin-top:583.866394pt;width:15.35pt;height:10pt;mso-position-horizontal-relative:page;mso-position-vertical-relative:page;z-index:-641488" type="#_x0000_t202" filled="false" stroked="false">
          <v:textbox inset="0,0,0,0">
            <w:txbxContent>
              <w:p>
                <w:pPr>
                  <w:spacing w:before="1"/>
                  <w:ind w:left="20" w:right="0" w:firstLine="0"/>
                  <w:jc w:val="left"/>
                  <w:rPr>
                    <w:sz w:val="16"/>
                  </w:rPr>
                </w:pPr>
                <w:r>
                  <w:rPr>
                    <w:sz w:val="16"/>
                  </w:rPr>
                  <w:t>210</w:t>
                </w:r>
              </w:p>
            </w:txbxContent>
          </v:textbox>
          <w10:wrap type="none"/>
        </v:shape>
      </w:pict>
    </w:r>
    <w:r>
      <w:rPr/>
      <w:pict>
        <v:shape style="position:absolute;margin-left:698.076782pt;margin-top:583.866394pt;width:15.35pt;height:10pt;mso-position-horizontal-relative:page;mso-position-vertical-relative:page;z-index:-641464" type="#_x0000_t202" filled="false" stroked="false">
          <v:textbox inset="0,0,0,0">
            <w:txbxContent>
              <w:p>
                <w:pPr>
                  <w:spacing w:before="1"/>
                  <w:ind w:left="20" w:right="0" w:firstLine="0"/>
                  <w:jc w:val="left"/>
                  <w:rPr>
                    <w:sz w:val="16"/>
                  </w:rPr>
                </w:pPr>
                <w:r>
                  <w:rPr>
                    <w:sz w:val="16"/>
                  </w:rPr>
                  <w:t>211</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440" filled="true" fillcolor="#c7c8ca" stroked="false">
          <v:fill type="solid"/>
          <w10:wrap type="none"/>
        </v:rect>
      </w:pict>
    </w:r>
    <w:r>
      <w:rPr/>
      <w:pict>
        <v:rect style="position:absolute;margin-left:696.401978pt;margin-top:576pt;width:18.850pt;height:61.795pt;mso-position-horizontal-relative:page;mso-position-vertical-relative:page;z-index:-641416" filled="true" fillcolor="#c7c8ca" stroked="false">
          <v:fill type="solid"/>
          <w10:wrap type="none"/>
        </v:rect>
      </w:pict>
    </w:r>
    <w:r>
      <w:rPr/>
      <w:pict>
        <v:shape style="position:absolute;margin-left:226.324799pt;margin-top:583.866394pt;width:15.35pt;height:10pt;mso-position-horizontal-relative:page;mso-position-vertical-relative:page;z-index:-641392" type="#_x0000_t202" filled="false" stroked="false">
          <v:textbox inset="0,0,0,0">
            <w:txbxContent>
              <w:p>
                <w:pPr>
                  <w:spacing w:before="1"/>
                  <w:ind w:left="20" w:right="0" w:firstLine="0"/>
                  <w:jc w:val="left"/>
                  <w:rPr>
                    <w:sz w:val="16"/>
                  </w:rPr>
                </w:pPr>
                <w:r>
                  <w:rPr>
                    <w:sz w:val="16"/>
                  </w:rPr>
                  <w:t>212</w:t>
                </w:r>
              </w:p>
            </w:txbxContent>
          </v:textbox>
          <w10:wrap type="none"/>
        </v:shape>
      </w:pict>
    </w:r>
    <w:r>
      <w:rPr/>
      <w:pict>
        <v:shape style="position:absolute;margin-left:698.076782pt;margin-top:583.866394pt;width:15.35pt;height:10pt;mso-position-horizontal-relative:page;mso-position-vertical-relative:page;z-index:-641368" type="#_x0000_t202" filled="false" stroked="false">
          <v:textbox inset="0,0,0,0">
            <w:txbxContent>
              <w:p>
                <w:pPr>
                  <w:spacing w:before="1"/>
                  <w:ind w:left="20" w:right="0" w:firstLine="0"/>
                  <w:jc w:val="left"/>
                  <w:rPr>
                    <w:sz w:val="16"/>
                  </w:rPr>
                </w:pPr>
                <w:r>
                  <w:rPr>
                    <w:sz w:val="16"/>
                  </w:rPr>
                  <w:t>213</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344" filled="true" fillcolor="#c7c8ca" stroked="false">
          <v:fill type="solid"/>
          <w10:wrap type="none"/>
        </v:rect>
      </w:pict>
    </w:r>
    <w:r>
      <w:rPr/>
      <w:pict>
        <v:rect style="position:absolute;margin-left:696.401978pt;margin-top:576pt;width:18.850pt;height:61.795pt;mso-position-horizontal-relative:page;mso-position-vertical-relative:page;z-index:-641320" filled="true" fillcolor="#c7c8ca" stroked="false">
          <v:fill type="solid"/>
          <w10:wrap type="none"/>
        </v:rect>
      </w:pict>
    </w:r>
    <w:r>
      <w:rPr/>
      <w:pict>
        <v:line style="position:absolute;mso-position-horizontal-relative:page;mso-position-vertical-relative:page;z-index:-641296" from="233.75pt,533.300659pt" to="233.75pt,533.300659pt" stroked="true" strokeweight=".5pt" strokecolor="#929292">
          <w10:wrap type="none"/>
        </v:line>
      </w:pict>
    </w:r>
    <w:r>
      <w:rPr/>
      <w:pict>
        <v:shape style="position:absolute;margin-left:226.324799pt;margin-top:583.866394pt;width:15.35pt;height:10pt;mso-position-horizontal-relative:page;mso-position-vertical-relative:page;z-index:-641272" type="#_x0000_t202" filled="false" stroked="false">
          <v:textbox inset="0,0,0,0">
            <w:txbxContent>
              <w:p>
                <w:pPr>
                  <w:spacing w:before="1"/>
                  <w:ind w:left="20" w:right="0" w:firstLine="0"/>
                  <w:jc w:val="left"/>
                  <w:rPr>
                    <w:sz w:val="16"/>
                  </w:rPr>
                </w:pPr>
                <w:r>
                  <w:rPr>
                    <w:sz w:val="16"/>
                  </w:rPr>
                  <w:t>214</w:t>
                </w:r>
              </w:p>
            </w:txbxContent>
          </v:textbox>
          <w10:wrap type="none"/>
        </v:shape>
      </w:pict>
    </w:r>
    <w:r>
      <w:rPr/>
      <w:pict>
        <v:shape style="position:absolute;margin-left:698.076782pt;margin-top:583.866394pt;width:15.35pt;height:10pt;mso-position-horizontal-relative:page;mso-position-vertical-relative:page;z-index:-641248" type="#_x0000_t202" filled="false" stroked="false">
          <v:textbox inset="0,0,0,0">
            <w:txbxContent>
              <w:p>
                <w:pPr>
                  <w:spacing w:before="1"/>
                  <w:ind w:left="20" w:right="0" w:firstLine="0"/>
                  <w:jc w:val="left"/>
                  <w:rPr>
                    <w:sz w:val="16"/>
                  </w:rPr>
                </w:pPr>
                <w:r>
                  <w:rPr>
                    <w:sz w:val="16"/>
                  </w:rPr>
                  <w:t>215</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224" filled="true" fillcolor="#c7c8ca" stroked="false">
          <v:fill type="solid"/>
          <w10:wrap type="none"/>
        </v:rect>
      </w:pict>
    </w:r>
    <w:r>
      <w:rPr/>
      <w:pict>
        <v:rect style="position:absolute;margin-left:696.401978pt;margin-top:576pt;width:18.850pt;height:61.795pt;mso-position-horizontal-relative:page;mso-position-vertical-relative:page;z-index:-641200" filled="true" fillcolor="#c7c8ca" stroked="false">
          <v:fill type="solid"/>
          <w10:wrap type="none"/>
        </v:rect>
      </w:pict>
    </w:r>
    <w:r>
      <w:rPr/>
      <w:pict>
        <v:shape style="position:absolute;margin-left:226.324799pt;margin-top:583.866394pt;width:15.35pt;height:10pt;mso-position-horizontal-relative:page;mso-position-vertical-relative:page;z-index:-641176" type="#_x0000_t202" filled="false" stroked="false">
          <v:textbox inset="0,0,0,0">
            <w:txbxContent>
              <w:p>
                <w:pPr>
                  <w:spacing w:before="1"/>
                  <w:ind w:left="20" w:right="0" w:firstLine="0"/>
                  <w:jc w:val="left"/>
                  <w:rPr>
                    <w:sz w:val="16"/>
                  </w:rPr>
                </w:pPr>
                <w:r>
                  <w:rPr>
                    <w:sz w:val="16"/>
                  </w:rPr>
                  <w:t>216</w:t>
                </w:r>
              </w:p>
            </w:txbxContent>
          </v:textbox>
          <w10:wrap type="none"/>
        </v:shape>
      </w:pict>
    </w:r>
    <w:r>
      <w:rPr/>
      <w:pict>
        <v:shape style="position:absolute;margin-left:698.076782pt;margin-top:583.866394pt;width:15.35pt;height:10pt;mso-position-horizontal-relative:page;mso-position-vertical-relative:page;z-index:-641152" type="#_x0000_t202" filled="false" stroked="false">
          <v:textbox inset="0,0,0,0">
            <w:txbxContent>
              <w:p>
                <w:pPr>
                  <w:spacing w:before="1"/>
                  <w:ind w:left="20" w:right="0" w:firstLine="0"/>
                  <w:jc w:val="left"/>
                  <w:rPr>
                    <w:sz w:val="16"/>
                  </w:rPr>
                </w:pPr>
                <w:r>
                  <w:rPr>
                    <w:sz w:val="16"/>
                  </w:rPr>
                  <w:t>217</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224.645996pt;margin-top:576pt;width:18.850pt;height:61.795pt;mso-position-horizontal-relative:page;mso-position-vertical-relative:page;z-index:-641128" filled="true" fillcolor="#c7c8ca" stroked="false">
          <v:fill type="solid"/>
          <w10:wrap type="none"/>
        </v:rect>
      </w:pict>
    </w:r>
    <w:r>
      <w:rPr/>
      <w:pict>
        <v:rect style="position:absolute;margin-left:696.401978pt;margin-top:576pt;width:18.850pt;height:61.795pt;mso-position-horizontal-relative:page;mso-position-vertical-relative:page;z-index:-641104" filled="true" fillcolor="#c7c8ca" stroked="false">
          <v:fill type="solid"/>
          <w10:wrap type="none"/>
        </v:rect>
      </w:pict>
    </w:r>
    <w:r>
      <w:rPr/>
      <w:pict>
        <v:shape style="position:absolute;margin-left:226.324799pt;margin-top:583.866394pt;width:15.35pt;height:10pt;mso-position-horizontal-relative:page;mso-position-vertical-relative:page;z-index:-641080" type="#_x0000_t202" filled="false" stroked="false">
          <v:textbox inset="0,0,0,0">
            <w:txbxContent>
              <w:p>
                <w:pPr>
                  <w:spacing w:before="1"/>
                  <w:ind w:left="20" w:right="0" w:firstLine="0"/>
                  <w:jc w:val="left"/>
                  <w:rPr>
                    <w:sz w:val="16"/>
                  </w:rPr>
                </w:pPr>
                <w:r>
                  <w:rPr>
                    <w:sz w:val="16"/>
                  </w:rPr>
                  <w:t>218</w:t>
                </w:r>
              </w:p>
            </w:txbxContent>
          </v:textbox>
          <w10:wrap type="none"/>
        </v:shape>
      </w:pict>
    </w:r>
    <w:r>
      <w:rPr/>
      <w:pict>
        <v:shape style="position:absolute;margin-left:698.076782pt;margin-top:583.866394pt;width:15.35pt;height:10pt;mso-position-horizontal-relative:page;mso-position-vertical-relative:page;z-index:-641056" type="#_x0000_t202" filled="false" stroked="false">
          <v:textbox inset="0,0,0,0">
            <w:txbxContent>
              <w:p>
                <w:pPr>
                  <w:spacing w:before="1"/>
                  <w:ind w:left="20" w:right="0" w:firstLine="0"/>
                  <w:jc w:val="left"/>
                  <w:rPr>
                    <w:sz w:val="16"/>
                  </w:rPr>
                </w:pPr>
                <w:r>
                  <w:rPr>
                    <w:sz w:val="16"/>
                  </w:rPr>
                  <w:t>219</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620.731873pt;margin-top:25.113811pt;width:170.05pt;height:10pt;mso-position-horizontal-relative:page;mso-position-vertical-relative:page;z-index:-65176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43672" from="42.236198pt,41.456383pt" to="42.236198pt,41.456383pt" stroked="true" strokeweight="1pt" strokecolor="#000000">
          <w10:wrap type="none"/>
        </v:line>
      </w:pict>
    </w:r>
    <w:r>
      <w:rPr/>
      <w:pict>
        <v:line style="position:absolute;mso-position-horizontal-relative:page;mso-position-vertical-relative:page;z-index:-643648" from="45.226898pt,41.456383pt" to="426.535898pt,41.456383pt" stroked="true" strokeweight="1pt" strokecolor="#000000">
          <v:stroke dashstyle="dash"/>
          <w10:wrap type="none"/>
        </v:line>
      </w:pict>
    </w:r>
    <w:r>
      <w:rPr/>
      <w:pict>
        <v:line style="position:absolute;mso-position-horizontal-relative:page;mso-position-vertical-relative:page;z-index:-643624" from="428.031189pt,41.456383pt" to="428.031189pt,41.456383pt" stroked="true" strokeweight="1pt" strokecolor="#000000">
          <w10:wrap type="none"/>
        </v:line>
      </w:pict>
    </w:r>
    <w:r>
      <w:rPr/>
      <w:pict>
        <v:line style="position:absolute;mso-position-horizontal-relative:page;mso-position-vertical-relative:page;z-index:-643600" from="513.25pt,41.456383pt" to="513.25pt,41.456383pt" stroked="true" strokeweight="1pt" strokecolor="#000000">
          <w10:wrap type="none"/>
        </v:line>
      </w:pict>
    </w:r>
    <w:r>
      <w:rPr/>
      <w:pict>
        <v:line style="position:absolute;mso-position-horizontal-relative:page;mso-position-vertical-relative:page;z-index:-643576" from="516.240601pt,41.456383pt" to="897.549601pt,41.456383pt" stroked="true" strokeweight="1pt" strokecolor="#000000">
          <v:stroke dashstyle="dash"/>
          <w10:wrap type="none"/>
        </v:line>
      </w:pict>
    </w:r>
    <w:r>
      <w:rPr/>
      <w:pict>
        <v:line style="position:absolute;mso-position-horizontal-relative:page;mso-position-vertical-relative:page;z-index:-643552"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4352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4350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4280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42784" from="42.236198pt,41.456383pt" to="42.236198pt,41.456383pt" stroked="true" strokeweight="1pt" strokecolor="#000000">
          <w10:wrap type="none"/>
        </v:line>
      </w:pict>
    </w:r>
    <w:r>
      <w:rPr/>
      <w:pict>
        <v:line style="position:absolute;mso-position-horizontal-relative:page;mso-position-vertical-relative:page;z-index:-642760" from="45.226898pt,41.456383pt" to="426.535898pt,41.456383pt" stroked="true" strokeweight="1pt" strokecolor="#000000">
          <v:stroke dashstyle="dash"/>
          <w10:wrap type="none"/>
        </v:line>
      </w:pict>
    </w:r>
    <w:r>
      <w:rPr/>
      <w:pict>
        <v:line style="position:absolute;mso-position-horizontal-relative:page;mso-position-vertical-relative:page;z-index:-642736" from="428.031189pt,41.456383pt" to="428.031189pt,41.456383pt" stroked="true" strokeweight="1pt" strokecolor="#000000">
          <w10:wrap type="none"/>
        </v:line>
      </w:pict>
    </w:r>
    <w:r>
      <w:rPr/>
      <w:pict>
        <v:line style="position:absolute;mso-position-horizontal-relative:page;mso-position-vertical-relative:page;z-index:-642712" from="513.25pt,41.456383pt" to="513.25pt,41.456383pt" stroked="true" strokeweight="1pt" strokecolor="#000000">
          <w10:wrap type="none"/>
        </v:line>
      </w:pict>
    </w:r>
    <w:r>
      <w:rPr/>
      <w:pict>
        <v:line style="position:absolute;mso-position-horizontal-relative:page;mso-position-vertical-relative:page;z-index:-642688" from="516.240601pt,41.456383pt" to="897.549601pt,41.456383pt" stroked="true" strokeweight="1pt" strokecolor="#000000">
          <v:stroke dashstyle="dash"/>
          <w10:wrap type="none"/>
        </v:line>
      </w:pict>
    </w:r>
    <w:r>
      <w:rPr/>
      <w:pict>
        <v:line style="position:absolute;mso-position-horizontal-relative:page;mso-position-vertical-relative:page;z-index:-642664"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4264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4261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4093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40912" from="42.236198pt,41.456383pt" to="42.236198pt,41.456383pt" stroked="true" strokeweight="1pt" strokecolor="#000000">
          <w10:wrap type="none"/>
        </v:line>
      </w:pict>
    </w:r>
    <w:r>
      <w:rPr/>
      <w:pict>
        <v:line style="position:absolute;mso-position-horizontal-relative:page;mso-position-vertical-relative:page;z-index:-640888" from="45.226898pt,41.456383pt" to="426.535898pt,41.456383pt" stroked="true" strokeweight="1pt" strokecolor="#000000">
          <v:stroke dashstyle="dash"/>
          <w10:wrap type="none"/>
        </v:line>
      </w:pict>
    </w:r>
    <w:r>
      <w:rPr/>
      <w:pict>
        <v:line style="position:absolute;mso-position-horizontal-relative:page;mso-position-vertical-relative:page;z-index:-640864" from="428.031189pt,41.456383pt" to="428.031189pt,41.456383pt" stroked="true" strokeweight="1pt" strokecolor="#000000">
          <w10:wrap type="none"/>
        </v:line>
      </w:pict>
    </w:r>
    <w:r>
      <w:rPr/>
      <w:pict>
        <v:line style="position:absolute;mso-position-horizontal-relative:page;mso-position-vertical-relative:page;z-index:-640840" from="513.25pt,41.456383pt" to="513.25pt,41.456383pt" stroked="true" strokeweight="1pt" strokecolor="#000000">
          <w10:wrap type="none"/>
        </v:line>
      </w:pict>
    </w:r>
    <w:r>
      <w:rPr/>
      <w:pict>
        <v:line style="position:absolute;mso-position-horizontal-relative:page;mso-position-vertical-relative:page;z-index:-640816" from="516.240601pt,41.456383pt" to="897.549601pt,41.456383pt" stroked="true" strokeweight="1pt" strokecolor="#000000">
          <v:stroke dashstyle="dash"/>
          <w10:wrap type="none"/>
        </v:line>
      </w:pict>
    </w:r>
    <w:r>
      <w:rPr/>
      <w:pict>
        <v:line style="position:absolute;mso-position-horizontal-relative:page;mso-position-vertical-relative:page;z-index:-640792"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4076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4074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40168" from="42.236198pt,41.456383pt" to="42.236198pt,41.456383pt" stroked="true" strokeweight="1pt" strokecolor="#000000">
          <w10:wrap type="none"/>
        </v:line>
      </w:pict>
    </w:r>
    <w:r>
      <w:rPr/>
      <w:pict>
        <v:line style="position:absolute;mso-position-horizontal-relative:page;mso-position-vertical-relative:page;z-index:-640144" from="45.226898pt,41.456383pt" to="426.535898pt,41.456383pt" stroked="true" strokeweight="1pt" strokecolor="#000000">
          <v:stroke dashstyle="dash"/>
          <w10:wrap type="none"/>
        </v:line>
      </w:pict>
    </w:r>
    <w:r>
      <w:rPr/>
      <w:pict>
        <v:line style="position:absolute;mso-position-horizontal-relative:page;mso-position-vertical-relative:page;z-index:-640120" from="428.031189pt,41.456383pt" to="428.031189pt,41.456383pt" stroked="true" strokeweight="1pt" strokecolor="#000000">
          <w10:wrap type="none"/>
        </v:line>
      </w:pict>
    </w:r>
    <w:r>
      <w:rPr/>
      <w:pict>
        <v:line style="position:absolute;mso-position-horizontal-relative:page;mso-position-vertical-relative:page;z-index:-640096" from="513.25pt,41.456383pt" to="513.25pt,41.456383pt" stroked="true" strokeweight="1pt" strokecolor="#000000">
          <w10:wrap type="none"/>
        </v:line>
      </w:pict>
    </w:r>
    <w:r>
      <w:rPr/>
      <w:pict>
        <v:line style="position:absolute;mso-position-horizontal-relative:page;mso-position-vertical-relative:page;z-index:-640072" from="516.240601pt,41.456383pt" to="897.549601pt,41.456383pt" stroked="true" strokeweight="1pt" strokecolor="#000000">
          <v:stroke dashstyle="dash"/>
          <w10:wrap type="none"/>
        </v:line>
      </w:pict>
    </w:r>
    <w:r>
      <w:rPr/>
      <w:pict>
        <v:line style="position:absolute;mso-position-horizontal-relative:page;mso-position-vertical-relative:page;z-index:-640048" from="899.044983pt,41.456383pt" to="899.044983pt,41.456383pt" stroked="true" strokeweight="1pt" strokecolor="#000000">
          <w10:wrap type="none"/>
        </v:line>
      </w:pict>
    </w:r>
    <w:r>
      <w:rPr/>
      <w:pict>
        <v:line style="position:absolute;mso-position-horizontal-relative:page;mso-position-vertical-relative:page;z-index:-640024" from="512.727112pt,92.620384pt" to="512.727112pt,92.620384pt" stroked="true" strokeweight=".5pt" strokecolor="#929292">
          <w10:wrap type="none"/>
        </v:line>
      </w:pict>
    </w:r>
    <w:r>
      <w:rPr/>
      <w:pict>
        <v:shape style="position:absolute;margin-left:150.252808pt;margin-top:25.110312pt;width:170.05pt;height:10pt;mso-position-horizontal-relative:page;mso-position-vertical-relative:page;z-index:-64000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3997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39832" from="42.236198pt,41.456383pt" to="42.236198pt,41.456383pt" stroked="true" strokeweight="1pt" strokecolor="#000000">
          <w10:wrap type="none"/>
        </v:line>
      </w:pict>
    </w:r>
    <w:r>
      <w:rPr/>
      <w:pict>
        <v:line style="position:absolute;mso-position-horizontal-relative:page;mso-position-vertical-relative:page;z-index:-639808" from="45.226898pt,41.456383pt" to="426.535898pt,41.456383pt" stroked="true" strokeweight="1pt" strokecolor="#000000">
          <v:stroke dashstyle="dash"/>
          <w10:wrap type="none"/>
        </v:line>
      </w:pict>
    </w:r>
    <w:r>
      <w:rPr/>
      <w:pict>
        <v:line style="position:absolute;mso-position-horizontal-relative:page;mso-position-vertical-relative:page;z-index:-639784" from="428.031189pt,41.456383pt" to="428.031189pt,41.456383pt" stroked="true" strokeweight="1pt" strokecolor="#000000">
          <w10:wrap type="none"/>
        </v:line>
      </w:pict>
    </w:r>
    <w:r>
      <w:rPr/>
      <w:pict>
        <v:line style="position:absolute;mso-position-horizontal-relative:page;mso-position-vertical-relative:page;z-index:-639760" from="513.25pt,41.456383pt" to="513.25pt,41.456383pt" stroked="true" strokeweight="1pt" strokecolor="#000000">
          <w10:wrap type="none"/>
        </v:line>
      </w:pict>
    </w:r>
    <w:r>
      <w:rPr/>
      <w:pict>
        <v:line style="position:absolute;mso-position-horizontal-relative:page;mso-position-vertical-relative:page;z-index:-639736" from="516.240601pt,41.456383pt" to="897.549601pt,41.456383pt" stroked="true" strokeweight="1pt" strokecolor="#000000">
          <v:stroke dashstyle="dash"/>
          <w10:wrap type="none"/>
        </v:line>
      </w:pict>
    </w:r>
    <w:r>
      <w:rPr/>
      <w:pict>
        <v:line style="position:absolute;mso-position-horizontal-relative:page;mso-position-vertical-relative:page;z-index:-639712"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3968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3966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38872"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38848" from="42.236198pt,41.456383pt" to="42.236198pt,41.456383pt" stroked="true" strokeweight="1pt" strokecolor="#000000">
          <w10:wrap type="none"/>
        </v:line>
      </w:pict>
    </w:r>
    <w:r>
      <w:rPr/>
      <w:pict>
        <v:line style="position:absolute;mso-position-horizontal-relative:page;mso-position-vertical-relative:page;z-index:-638824" from="45.226898pt,41.456383pt" to="426.535898pt,41.456383pt" stroked="true" strokeweight="1pt" strokecolor="#000000">
          <v:stroke dashstyle="dash"/>
          <w10:wrap type="none"/>
        </v:line>
      </w:pict>
    </w:r>
    <w:r>
      <w:rPr/>
      <w:pict>
        <v:line style="position:absolute;mso-position-horizontal-relative:page;mso-position-vertical-relative:page;z-index:-638800" from="428.031189pt,41.456383pt" to="428.031189pt,41.456383pt" stroked="true" strokeweight="1pt" strokecolor="#000000">
          <w10:wrap type="none"/>
        </v:line>
      </w:pict>
    </w:r>
    <w:r>
      <w:rPr/>
      <w:pict>
        <v:line style="position:absolute;mso-position-horizontal-relative:page;mso-position-vertical-relative:page;z-index:-638776" from="513.25pt,41.456383pt" to="513.25pt,41.456383pt" stroked="true" strokeweight="1pt" strokecolor="#000000">
          <w10:wrap type="none"/>
        </v:line>
      </w:pict>
    </w:r>
    <w:r>
      <w:rPr/>
      <w:pict>
        <v:line style="position:absolute;mso-position-horizontal-relative:page;mso-position-vertical-relative:page;z-index:-638752" from="516.240601pt,41.456383pt" to="897.549601pt,41.456383pt" stroked="true" strokeweight="1pt" strokecolor="#000000">
          <v:stroke dashstyle="dash"/>
          <w10:wrap type="none"/>
        </v:line>
      </w:pict>
    </w:r>
    <w:r>
      <w:rPr/>
      <w:pict>
        <v:line style="position:absolute;mso-position-horizontal-relative:page;mso-position-vertical-relative:page;z-index:-638728"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3870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3868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3688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51736" from="42.236198pt,41.456383pt" to="42.236198pt,41.456383pt" stroked="true" strokeweight="1pt" strokecolor="#000000">
          <w10:wrap type="none"/>
        </v:line>
      </w:pict>
    </w:r>
    <w:r>
      <w:rPr/>
      <w:pict>
        <v:line style="position:absolute;mso-position-horizontal-relative:page;mso-position-vertical-relative:page;z-index:-651712" from="45.226898pt,41.456383pt" to="426.535898pt,41.456383pt" stroked="true" strokeweight="1pt" strokecolor="#000000">
          <v:stroke dashstyle="dash"/>
          <w10:wrap type="none"/>
        </v:line>
      </w:pict>
    </w:r>
    <w:r>
      <w:rPr/>
      <w:pict>
        <v:line style="position:absolute;mso-position-horizontal-relative:page;mso-position-vertical-relative:page;z-index:-651688" from="428.031189pt,41.456383pt" to="428.031189pt,41.456383pt" stroked="true" strokeweight="1pt" strokecolor="#000000">
          <w10:wrap type="none"/>
        </v:line>
      </w:pict>
    </w:r>
    <w:r>
      <w:rPr/>
      <w:pict>
        <v:line style="position:absolute;mso-position-horizontal-relative:page;mso-position-vertical-relative:page;z-index:-651664" from="513.25pt,41.456383pt" to="513.25pt,41.456383pt" stroked="true" strokeweight="1pt" strokecolor="#000000">
          <w10:wrap type="none"/>
        </v:line>
      </w:pict>
    </w:r>
    <w:r>
      <w:rPr/>
      <w:pict>
        <v:line style="position:absolute;mso-position-horizontal-relative:page;mso-position-vertical-relative:page;z-index:-651640" from="516.240601pt,41.456383pt" to="897.549601pt,41.456383pt" stroked="true" strokeweight="1pt" strokecolor="#000000">
          <v:stroke dashstyle="dash"/>
          <w10:wrap type="none"/>
        </v:line>
      </w:pict>
    </w:r>
    <w:r>
      <w:rPr/>
      <w:pict>
        <v:line style="position:absolute;mso-position-horizontal-relative:page;mso-position-vertical-relative:page;z-index:-651616"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51592"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5156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36856" from="42.236198pt,41.456383pt" to="42.236198pt,41.456383pt" stroked="true" strokeweight="1pt" strokecolor="#000000">
          <w10:wrap type="none"/>
        </v:line>
      </w:pict>
    </w:r>
    <w:r>
      <w:rPr/>
      <w:pict>
        <v:line style="position:absolute;mso-position-horizontal-relative:page;mso-position-vertical-relative:page;z-index:-636832" from="45.226898pt,41.456383pt" to="426.535898pt,41.456383pt" stroked="true" strokeweight="1pt" strokecolor="#000000">
          <v:stroke dashstyle="dash"/>
          <w10:wrap type="none"/>
        </v:line>
      </w:pict>
    </w:r>
    <w:r>
      <w:rPr/>
      <w:pict>
        <v:line style="position:absolute;mso-position-horizontal-relative:page;mso-position-vertical-relative:page;z-index:-636808" from="428.031189pt,41.456383pt" to="428.031189pt,41.456383pt" stroked="true" strokeweight="1pt" strokecolor="#000000">
          <w10:wrap type="none"/>
        </v:line>
      </w:pict>
    </w:r>
    <w:r>
      <w:rPr/>
      <w:pict>
        <v:line style="position:absolute;mso-position-horizontal-relative:page;mso-position-vertical-relative:page;z-index:-636784" from="513.25pt,41.456383pt" to="513.25pt,41.456383pt" stroked="true" strokeweight="1pt" strokecolor="#000000">
          <w10:wrap type="none"/>
        </v:line>
      </w:pict>
    </w:r>
    <w:r>
      <w:rPr/>
      <w:pict>
        <v:line style="position:absolute;mso-position-horizontal-relative:page;mso-position-vertical-relative:page;z-index:-636760" from="516.240601pt,41.456383pt" to="897.549601pt,41.456383pt" stroked="true" strokeweight="1pt" strokecolor="#000000">
          <v:stroke dashstyle="dash"/>
          <w10:wrap type="none"/>
        </v:line>
      </w:pict>
    </w:r>
    <w:r>
      <w:rPr/>
      <w:pict>
        <v:line style="position:absolute;mso-position-horizontal-relative:page;mso-position-vertical-relative:page;z-index:-636736"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36712"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3668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3589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35872" from="42.236198pt,41.456383pt" to="42.236198pt,41.456383pt" stroked="true" strokeweight="1pt" strokecolor="#000000">
          <w10:wrap type="none"/>
        </v:line>
      </w:pict>
    </w:r>
    <w:r>
      <w:rPr/>
      <w:pict>
        <v:line style="position:absolute;mso-position-horizontal-relative:page;mso-position-vertical-relative:page;z-index:-635848" from="45.226898pt,41.456383pt" to="426.535898pt,41.456383pt" stroked="true" strokeweight="1pt" strokecolor="#000000">
          <v:stroke dashstyle="dash"/>
          <w10:wrap type="none"/>
        </v:line>
      </w:pict>
    </w:r>
    <w:r>
      <w:rPr/>
      <w:pict>
        <v:line style="position:absolute;mso-position-horizontal-relative:page;mso-position-vertical-relative:page;z-index:-635824" from="428.031189pt,41.456383pt" to="428.031189pt,41.456383pt" stroked="true" strokeweight="1pt" strokecolor="#000000">
          <w10:wrap type="none"/>
        </v:line>
      </w:pict>
    </w:r>
    <w:r>
      <w:rPr/>
      <w:pict>
        <v:line style="position:absolute;mso-position-horizontal-relative:page;mso-position-vertical-relative:page;z-index:-635800" from="513.25pt,41.456383pt" to="513.25pt,41.456383pt" stroked="true" strokeweight="1pt" strokecolor="#000000">
          <w10:wrap type="none"/>
        </v:line>
      </w:pict>
    </w:r>
    <w:r>
      <w:rPr/>
      <w:pict>
        <v:line style="position:absolute;mso-position-horizontal-relative:page;mso-position-vertical-relative:page;z-index:-635776" from="516.240601pt,41.456383pt" to="897.549601pt,41.456383pt" stroked="true" strokeweight="1pt" strokecolor="#000000">
          <v:stroke dashstyle="dash"/>
          <w10:wrap type="none"/>
        </v:line>
      </w:pict>
    </w:r>
    <w:r>
      <w:rPr/>
      <w:pict>
        <v:line style="position:absolute;mso-position-horizontal-relative:page;mso-position-vertical-relative:page;z-index:-635752"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3572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3570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3433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34312" from="42.236198pt,41.456383pt" to="42.236198pt,41.456383pt" stroked="true" strokeweight="1pt" strokecolor="#000000">
          <w10:wrap type="none"/>
        </v:line>
      </w:pict>
    </w:r>
    <w:r>
      <w:rPr/>
      <w:pict>
        <v:line style="position:absolute;mso-position-horizontal-relative:page;mso-position-vertical-relative:page;z-index:-634288" from="45.226898pt,41.456383pt" to="426.535898pt,41.456383pt" stroked="true" strokeweight="1pt" strokecolor="#000000">
          <v:stroke dashstyle="dash"/>
          <w10:wrap type="none"/>
        </v:line>
      </w:pict>
    </w:r>
    <w:r>
      <w:rPr/>
      <w:pict>
        <v:line style="position:absolute;mso-position-horizontal-relative:page;mso-position-vertical-relative:page;z-index:-634264" from="428.031189pt,41.456383pt" to="428.031189pt,41.456383pt" stroked="true" strokeweight="1pt" strokecolor="#000000">
          <w10:wrap type="none"/>
        </v:line>
      </w:pict>
    </w:r>
    <w:r>
      <w:rPr/>
      <w:pict>
        <v:line style="position:absolute;mso-position-horizontal-relative:page;mso-position-vertical-relative:page;z-index:-634240" from="513.25pt,41.456383pt" to="513.25pt,41.456383pt" stroked="true" strokeweight="1pt" strokecolor="#000000">
          <w10:wrap type="none"/>
        </v:line>
      </w:pict>
    </w:r>
    <w:r>
      <w:rPr/>
      <w:pict>
        <v:line style="position:absolute;mso-position-horizontal-relative:page;mso-position-vertical-relative:page;z-index:-634216" from="516.240601pt,41.456383pt" to="897.549601pt,41.456383pt" stroked="true" strokeweight="1pt" strokecolor="#000000">
          <v:stroke dashstyle="dash"/>
          <w10:wrap type="none"/>
        </v:line>
      </w:pict>
    </w:r>
    <w:r>
      <w:rPr/>
      <w:pict>
        <v:line style="position:absolute;mso-position-horizontal-relative:page;mso-position-vertical-relative:page;z-index:-634192"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3416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3414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3181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31792" from="42.236198pt,41.456383pt" to="42.236198pt,41.456383pt" stroked="true" strokeweight="1pt" strokecolor="#000000">
          <w10:wrap type="none"/>
        </v:line>
      </w:pict>
    </w:r>
    <w:r>
      <w:rPr/>
      <w:pict>
        <v:line style="position:absolute;mso-position-horizontal-relative:page;mso-position-vertical-relative:page;z-index:-631768" from="45.226898pt,41.456383pt" to="426.535898pt,41.456383pt" stroked="true" strokeweight="1pt" strokecolor="#000000">
          <v:stroke dashstyle="dash"/>
          <w10:wrap type="none"/>
        </v:line>
      </w:pict>
    </w:r>
    <w:r>
      <w:rPr/>
      <w:pict>
        <v:line style="position:absolute;mso-position-horizontal-relative:page;mso-position-vertical-relative:page;z-index:-631744" from="428.031189pt,41.456383pt" to="428.031189pt,41.456383pt" stroked="true" strokeweight="1pt" strokecolor="#000000">
          <w10:wrap type="none"/>
        </v:line>
      </w:pict>
    </w:r>
    <w:r>
      <w:rPr/>
      <w:pict>
        <v:line style="position:absolute;mso-position-horizontal-relative:page;mso-position-vertical-relative:page;z-index:-631720" from="513.25pt,41.456383pt" to="513.25pt,41.456383pt" stroked="true" strokeweight="1pt" strokecolor="#000000">
          <w10:wrap type="none"/>
        </v:line>
      </w:pict>
    </w:r>
    <w:r>
      <w:rPr/>
      <w:pict>
        <v:line style="position:absolute;mso-position-horizontal-relative:page;mso-position-vertical-relative:page;z-index:-631696" from="516.240601pt,41.456383pt" to="897.549601pt,41.456383pt" stroked="true" strokeweight="1pt" strokecolor="#000000">
          <v:stroke dashstyle="dash"/>
          <w10:wrap type="none"/>
        </v:line>
      </w:pict>
    </w:r>
    <w:r>
      <w:rPr/>
      <w:pict>
        <v:line style="position:absolute;mso-position-horizontal-relative:page;mso-position-vertical-relative:page;z-index:-631672"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3164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3162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2872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28696" from="42.236198pt,41.456383pt" to="42.236198pt,41.456383pt" stroked="true" strokeweight="1pt" strokecolor="#000000">
          <w10:wrap type="none"/>
        </v:line>
      </w:pict>
    </w:r>
    <w:r>
      <w:rPr/>
      <w:pict>
        <v:line style="position:absolute;mso-position-horizontal-relative:page;mso-position-vertical-relative:page;z-index:-628672" from="45.226898pt,41.456383pt" to="426.535898pt,41.456383pt" stroked="true" strokeweight="1pt" strokecolor="#000000">
          <v:stroke dashstyle="dash"/>
          <w10:wrap type="none"/>
        </v:line>
      </w:pict>
    </w:r>
    <w:r>
      <w:rPr/>
      <w:pict>
        <v:line style="position:absolute;mso-position-horizontal-relative:page;mso-position-vertical-relative:page;z-index:-628648" from="428.031189pt,41.456383pt" to="428.031189pt,41.456383pt" stroked="true" strokeweight="1pt" strokecolor="#000000">
          <w10:wrap type="none"/>
        </v:line>
      </w:pict>
    </w:r>
    <w:r>
      <w:rPr/>
      <w:pict>
        <v:line style="position:absolute;mso-position-horizontal-relative:page;mso-position-vertical-relative:page;z-index:-628624" from="513.25pt,41.456383pt" to="513.25pt,41.456383pt" stroked="true" strokeweight="1pt" strokecolor="#000000">
          <w10:wrap type="none"/>
        </v:line>
      </w:pict>
    </w:r>
    <w:r>
      <w:rPr/>
      <w:pict>
        <v:line style="position:absolute;mso-position-horizontal-relative:page;mso-position-vertical-relative:page;z-index:-628600" from="516.240601pt,41.456383pt" to="897.549601pt,41.456383pt" stroked="true" strokeweight="1pt" strokecolor="#000000">
          <v:stroke dashstyle="dash"/>
          <w10:wrap type="none"/>
        </v:line>
      </w:pict>
    </w:r>
    <w:r>
      <w:rPr/>
      <w:pict>
        <v:line style="position:absolute;mso-position-horizontal-relative:page;mso-position-vertical-relative:page;z-index:-628576"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28552"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2852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2792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5106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27904" from="42.236198pt,41.456383pt" to="42.236198pt,41.456383pt" stroked="true" strokeweight="1pt" strokecolor="#000000">
          <w10:wrap type="none"/>
        </v:line>
      </w:pict>
    </w:r>
    <w:r>
      <w:rPr/>
      <w:pict>
        <v:line style="position:absolute;mso-position-horizontal-relative:page;mso-position-vertical-relative:page;z-index:-627880" from="45.226898pt,41.456383pt" to="426.535898pt,41.456383pt" stroked="true" strokeweight="1pt" strokecolor="#000000">
          <v:stroke dashstyle="dash"/>
          <w10:wrap type="none"/>
        </v:line>
      </w:pict>
    </w:r>
    <w:r>
      <w:rPr/>
      <w:pict>
        <v:line style="position:absolute;mso-position-horizontal-relative:page;mso-position-vertical-relative:page;z-index:-627856" from="428.031189pt,41.456383pt" to="428.031189pt,41.456383pt" stroked="true" strokeweight="1pt" strokecolor="#000000">
          <w10:wrap type="none"/>
        </v:line>
      </w:pict>
    </w:r>
    <w:r>
      <w:rPr/>
      <w:pict>
        <v:line style="position:absolute;mso-position-horizontal-relative:page;mso-position-vertical-relative:page;z-index:-627832" from="513.25pt,41.456383pt" to="513.25pt,41.456383pt" stroked="true" strokeweight="1pt" strokecolor="#000000">
          <w10:wrap type="none"/>
        </v:line>
      </w:pict>
    </w:r>
    <w:r>
      <w:rPr/>
      <w:pict>
        <v:line style="position:absolute;mso-position-horizontal-relative:page;mso-position-vertical-relative:page;z-index:-627808" from="516.240601pt,41.456383pt" to="897.549601pt,41.456383pt" stroked="true" strokeweight="1pt" strokecolor="#000000">
          <v:stroke dashstyle="dash"/>
          <w10:wrap type="none"/>
        </v:line>
      </w:pict>
    </w:r>
    <w:r>
      <w:rPr/>
      <w:pict>
        <v:line style="position:absolute;mso-position-horizontal-relative:page;mso-position-vertical-relative:page;z-index:-627784"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2776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2773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27424" from="42.236198pt,41.456383pt" to="42.236198pt,41.456383pt" stroked="true" strokeweight="1pt" strokecolor="#000000">
          <w10:wrap type="none"/>
        </v:line>
      </w:pict>
    </w:r>
    <w:r>
      <w:rPr/>
      <w:pict>
        <v:line style="position:absolute;mso-position-horizontal-relative:page;mso-position-vertical-relative:page;z-index:-627400" from="45.226898pt,41.456383pt" to="426.535898pt,41.456383pt" stroked="true" strokeweight="1pt" strokecolor="#000000">
          <v:stroke dashstyle="dash"/>
          <w10:wrap type="none"/>
        </v:line>
      </w:pict>
    </w:r>
    <w:r>
      <w:rPr/>
      <w:pict>
        <v:line style="position:absolute;mso-position-horizontal-relative:page;mso-position-vertical-relative:page;z-index:-627376" from="428.031189pt,41.456383pt" to="428.031189pt,41.456383pt" stroked="true" strokeweight="1pt" strokecolor="#000000">
          <w10:wrap type="none"/>
        </v:line>
      </w:pict>
    </w:r>
    <w:r>
      <w:rPr/>
      <w:pict>
        <v:line style="position:absolute;mso-position-horizontal-relative:page;mso-position-vertical-relative:page;z-index:-627352" from="513.25pt,41.456383pt" to="513.25pt,41.456383pt" stroked="true" strokeweight="1pt" strokecolor="#000000">
          <w10:wrap type="none"/>
        </v:line>
      </w:pict>
    </w:r>
    <w:r>
      <w:rPr/>
      <w:pict>
        <v:line style="position:absolute;mso-position-horizontal-relative:page;mso-position-vertical-relative:page;z-index:-627328" from="516.240601pt,41.456383pt" to="897.549601pt,41.456383pt" stroked="true" strokeweight="1pt" strokecolor="#000000">
          <v:stroke dashstyle="dash"/>
          <w10:wrap type="none"/>
        </v:line>
      </w:pict>
    </w:r>
    <w:r>
      <w:rPr/>
      <w:pict>
        <v:line style="position:absolute;mso-position-horizontal-relative:page;mso-position-vertical-relative:page;z-index:-627304" from="899.044983pt,41.456383pt" to="899.044983pt,41.456383pt" stroked="true" strokeweight="1pt" strokecolor="#000000">
          <w10:wrap type="none"/>
        </v:line>
      </w:pict>
    </w:r>
    <w:r>
      <w:rPr/>
      <w:pict>
        <v:line style="position:absolute;mso-position-horizontal-relative:page;mso-position-vertical-relative:page;z-index:-627280" from="898.333008pt,56.942581pt" to="898.333008pt,56.942581pt" stroked="true" strokeweight=".5pt" strokecolor="#929292">
          <w10:wrap type="none"/>
        </v:line>
      </w:pict>
    </w:r>
    <w:r>
      <w:rPr/>
      <w:pict>
        <v:shape style="position:absolute;margin-left:150.252808pt;margin-top:25.110312pt;width:170.05pt;height:10pt;mso-position-horizontal-relative:page;mso-position-vertical-relative:page;z-index:-62725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27232"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27112" from="42.236198pt,41.456383pt" to="42.236198pt,41.456383pt" stroked="true" strokeweight="1pt" strokecolor="#000000">
          <w10:wrap type="none"/>
        </v:line>
      </w:pict>
    </w:r>
    <w:r>
      <w:rPr/>
      <w:pict>
        <v:line style="position:absolute;mso-position-horizontal-relative:page;mso-position-vertical-relative:page;z-index:-627088" from="45.226898pt,41.456383pt" to="426.535898pt,41.456383pt" stroked="true" strokeweight="1pt" strokecolor="#000000">
          <v:stroke dashstyle="dash"/>
          <w10:wrap type="none"/>
        </v:line>
      </w:pict>
    </w:r>
    <w:r>
      <w:rPr/>
      <w:pict>
        <v:line style="position:absolute;mso-position-horizontal-relative:page;mso-position-vertical-relative:page;z-index:-627064" from="428.031189pt,41.456383pt" to="428.031189pt,41.456383pt" stroked="true" strokeweight="1pt" strokecolor="#000000">
          <w10:wrap type="none"/>
        </v:line>
      </w:pict>
    </w:r>
    <w:r>
      <w:rPr/>
      <w:pict>
        <v:line style="position:absolute;mso-position-horizontal-relative:page;mso-position-vertical-relative:page;z-index:-627040" from="513.25pt,41.456383pt" to="513.25pt,41.456383pt" stroked="true" strokeweight="1pt" strokecolor="#000000">
          <w10:wrap type="none"/>
        </v:line>
      </w:pict>
    </w:r>
    <w:r>
      <w:rPr/>
      <w:pict>
        <v:line style="position:absolute;mso-position-horizontal-relative:page;mso-position-vertical-relative:page;z-index:-627016" from="516.240601pt,41.456383pt" to="897.549601pt,41.456383pt" stroked="true" strokeweight="1pt" strokecolor="#000000">
          <v:stroke dashstyle="dash"/>
          <w10:wrap type="none"/>
        </v:line>
      </w:pict>
    </w:r>
    <w:r>
      <w:rPr/>
      <w:pict>
        <v:line style="position:absolute;mso-position-horizontal-relative:page;mso-position-vertical-relative:page;z-index:-626992"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2696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2694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26680" from="42.236198pt,41.456383pt" to="42.236198pt,41.456383pt" stroked="true" strokeweight="1pt" strokecolor="#000000">
          <w10:wrap type="none"/>
        </v:line>
      </w:pict>
    </w:r>
    <w:r>
      <w:rPr/>
      <w:pict>
        <v:line style="position:absolute;mso-position-horizontal-relative:page;mso-position-vertical-relative:page;z-index:-626656" from="45.226898pt,41.456383pt" to="426.535898pt,41.456383pt" stroked="true" strokeweight="1pt" strokecolor="#000000">
          <v:stroke dashstyle="dash"/>
          <w10:wrap type="none"/>
        </v:line>
      </w:pict>
    </w:r>
    <w:r>
      <w:rPr/>
      <w:pict>
        <v:line style="position:absolute;mso-position-horizontal-relative:page;mso-position-vertical-relative:page;z-index:-626632" from="428.031189pt,41.456383pt" to="428.031189pt,41.456383pt" stroked="true" strokeweight="1pt" strokecolor="#000000">
          <w10:wrap type="none"/>
        </v:line>
      </w:pict>
    </w:r>
    <w:r>
      <w:rPr/>
      <w:pict>
        <v:line style="position:absolute;mso-position-horizontal-relative:page;mso-position-vertical-relative:page;z-index:-626608" from="513.25pt,41.456383pt" to="513.25pt,41.456383pt" stroked="true" strokeweight="1pt" strokecolor="#000000">
          <w10:wrap type="none"/>
        </v:line>
      </w:pict>
    </w:r>
    <w:r>
      <w:rPr/>
      <w:pict>
        <v:line style="position:absolute;mso-position-horizontal-relative:page;mso-position-vertical-relative:page;z-index:-626584" from="516.240601pt,41.456383pt" to="897.549601pt,41.456383pt" stroked="true" strokeweight="1pt" strokecolor="#000000">
          <v:stroke dashstyle="dash"/>
          <w10:wrap type="none"/>
        </v:line>
      </w:pict>
    </w:r>
    <w:r>
      <w:rPr/>
      <w:pict>
        <v:line style="position:absolute;mso-position-horizontal-relative:page;mso-position-vertical-relative:page;z-index:-626560" from="899.044983pt,41.456383pt" to="899.044983pt,41.456383pt" stroked="true" strokeweight="1pt" strokecolor="#000000">
          <w10:wrap type="none"/>
        </v:line>
      </w:pict>
    </w:r>
    <w:r>
      <w:rPr/>
      <w:pict>
        <v:line style="position:absolute;mso-position-horizontal-relative:page;mso-position-vertical-relative:page;z-index:-626536" from="41.467201pt,121.417084pt" to="41.467201pt,121.417084pt" stroked="true" strokeweight=".5pt" strokecolor="#929292">
          <w10:wrap type="none"/>
        </v:line>
      </w:pict>
    </w:r>
    <w:r>
      <w:rPr/>
      <w:pict>
        <v:line style="position:absolute;mso-position-horizontal-relative:page;mso-position-vertical-relative:page;z-index:-626512" from="426.479004pt,121.417084pt" to="426.479004pt,121.417084pt" stroked="true" strokeweight=".5pt" strokecolor="#929292">
          <w10:wrap type="none"/>
        </v:line>
      </w:pict>
    </w:r>
    <w:r>
      <w:rPr/>
      <w:pict>
        <v:line style="position:absolute;mso-position-horizontal-relative:page;mso-position-vertical-relative:page;z-index:-626488" from="41.467201pt,145.417084pt" to="41.467201pt,145.417084pt" stroked="true" strokeweight=".5pt" strokecolor="#929292">
          <w10:wrap type="none"/>
        </v:line>
      </w:pict>
    </w:r>
    <w:r>
      <w:rPr/>
      <w:pict>
        <v:line style="position:absolute;mso-position-horizontal-relative:page;mso-position-vertical-relative:page;z-index:-626464" from="426.479004pt,145.417084pt" to="426.479004pt,145.417084pt" stroked="true" strokeweight=".5pt" strokecolor="#929292">
          <w10:wrap type="none"/>
        </v:line>
      </w:pict>
    </w:r>
    <w:r>
      <w:rPr/>
      <w:pict>
        <v:line style="position:absolute;mso-position-horizontal-relative:page;mso-position-vertical-relative:page;z-index:-626440" from="41.467201pt,169.417084pt" to="41.467201pt,169.417084pt" stroked="true" strokeweight=".5pt" strokecolor="#929292">
          <w10:wrap type="none"/>
        </v:line>
      </w:pict>
    </w:r>
    <w:r>
      <w:rPr/>
      <w:pict>
        <v:line style="position:absolute;mso-position-horizontal-relative:page;mso-position-vertical-relative:page;z-index:-626416" from="426.479004pt,169.417084pt" to="426.479004pt,169.417084pt" stroked="true" strokeweight=".5pt" strokecolor="#929292">
          <w10:wrap type="none"/>
        </v:line>
      </w:pict>
    </w:r>
    <w:r>
      <w:rPr/>
      <w:pict>
        <v:shape style="position:absolute;margin-left:150.252808pt;margin-top:25.110312pt;width:170.05pt;height:10pt;mso-position-horizontal-relative:page;mso-position-vertical-relative:page;z-index:-626392"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2636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26248" from="42.236198pt,41.456383pt" to="42.236198pt,41.456383pt" stroked="true" strokeweight="1pt" strokecolor="#000000">
          <w10:wrap type="none"/>
        </v:line>
      </w:pict>
    </w:r>
    <w:r>
      <w:rPr/>
      <w:pict>
        <v:line style="position:absolute;mso-position-horizontal-relative:page;mso-position-vertical-relative:page;z-index:-626224" from="45.226898pt,41.456383pt" to="426.535898pt,41.456383pt" stroked="true" strokeweight="1pt" strokecolor="#000000">
          <v:stroke dashstyle="dash"/>
          <w10:wrap type="none"/>
        </v:line>
      </w:pict>
    </w:r>
    <w:r>
      <w:rPr/>
      <w:pict>
        <v:line style="position:absolute;mso-position-horizontal-relative:page;mso-position-vertical-relative:page;z-index:-626200" from="428.031189pt,41.456383pt" to="428.031189pt,41.456383pt" stroked="true" strokeweight="1pt" strokecolor="#000000">
          <w10:wrap type="none"/>
        </v:line>
      </w:pict>
    </w:r>
    <w:r>
      <w:rPr/>
      <w:pict>
        <v:line style="position:absolute;mso-position-horizontal-relative:page;mso-position-vertical-relative:page;z-index:-626176" from="513.25pt,41.456383pt" to="513.25pt,41.456383pt" stroked="true" strokeweight="1pt" strokecolor="#000000">
          <w10:wrap type="none"/>
        </v:line>
      </w:pict>
    </w:r>
    <w:r>
      <w:rPr/>
      <w:pict>
        <v:line style="position:absolute;mso-position-horizontal-relative:page;mso-position-vertical-relative:page;z-index:-626152" from="516.240601pt,41.456383pt" to="897.549601pt,41.456383pt" stroked="true" strokeweight="1pt" strokecolor="#000000">
          <v:stroke dashstyle="dash"/>
          <w10:wrap type="none"/>
        </v:line>
      </w:pict>
    </w:r>
    <w:r>
      <w:rPr/>
      <w:pict>
        <v:line style="position:absolute;mso-position-horizontal-relative:page;mso-position-vertical-relative:page;z-index:-626128"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26104"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2608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25960" from="42.236198pt,41.456383pt" to="42.236198pt,41.456383pt" stroked="true" strokeweight="1pt" strokecolor="#000000">
          <w10:wrap type="none"/>
        </v:line>
      </w:pict>
    </w:r>
    <w:r>
      <w:rPr/>
      <w:pict>
        <v:line style="position:absolute;mso-position-horizontal-relative:page;mso-position-vertical-relative:page;z-index:-625936" from="45.226898pt,41.456383pt" to="426.535898pt,41.456383pt" stroked="true" strokeweight="1pt" strokecolor="#000000">
          <v:stroke dashstyle="dash"/>
          <w10:wrap type="none"/>
        </v:line>
      </w:pict>
    </w:r>
    <w:r>
      <w:rPr/>
      <w:pict>
        <v:line style="position:absolute;mso-position-horizontal-relative:page;mso-position-vertical-relative:page;z-index:-625912" from="428.031189pt,41.456383pt" to="428.031189pt,41.456383pt" stroked="true" strokeweight="1pt" strokecolor="#000000">
          <w10:wrap type="none"/>
        </v:line>
      </w:pict>
    </w:r>
    <w:r>
      <w:rPr/>
      <w:pict>
        <v:line style="position:absolute;mso-position-horizontal-relative:page;mso-position-vertical-relative:page;z-index:-625888" from="513.25pt,41.456383pt" to="513.25pt,41.456383pt" stroked="true" strokeweight="1pt" strokecolor="#000000">
          <w10:wrap type="none"/>
        </v:line>
      </w:pict>
    </w:r>
    <w:r>
      <w:rPr/>
      <w:pict>
        <v:line style="position:absolute;mso-position-horizontal-relative:page;mso-position-vertical-relative:page;z-index:-625864" from="516.240601pt,41.456383pt" to="897.549601pt,41.456383pt" stroked="true" strokeweight="1pt" strokecolor="#000000">
          <v:stroke dashstyle="dash"/>
          <w10:wrap type="none"/>
        </v:line>
      </w:pict>
    </w:r>
    <w:r>
      <w:rPr/>
      <w:pict>
        <v:line style="position:absolute;mso-position-horizontal-relative:page;mso-position-vertical-relative:page;z-index:-625840" from="899.044983pt,41.456383pt" to="899.044983pt,41.456383pt" stroked="true" strokeweight="1pt" strokecolor="#000000">
          <w10:wrap type="none"/>
        </v:line>
      </w:pict>
    </w:r>
    <w:r>
      <w:rPr/>
      <w:pict>
        <v:line style="position:absolute;mso-position-horizontal-relative:page;mso-position-vertical-relative:page;z-index:-625816" from="42.13390pt,56.485283pt" to="42.13390pt,56.485283pt" stroked="true" strokeweight=".5pt" strokecolor="#929292">
          <w10:wrap type="none"/>
        </v:line>
      </w:pict>
    </w:r>
    <w:r>
      <w:rPr/>
      <w:pict>
        <v:shape style="position:absolute;margin-left:150.252808pt;margin-top:25.110312pt;width:170.05pt;height:10pt;mso-position-horizontal-relative:page;mso-position-vertical-relative:page;z-index:-625792"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2576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25624" from="42.236198pt,41.456383pt" to="42.236198pt,41.456383pt" stroked="true" strokeweight="1pt" strokecolor="#000000">
          <w10:wrap type="none"/>
        </v:line>
      </w:pict>
    </w:r>
    <w:r>
      <w:rPr/>
      <w:pict>
        <v:line style="position:absolute;mso-position-horizontal-relative:page;mso-position-vertical-relative:page;z-index:-625600" from="45.226898pt,41.456383pt" to="426.535898pt,41.456383pt" stroked="true" strokeweight="1pt" strokecolor="#000000">
          <v:stroke dashstyle="dash"/>
          <w10:wrap type="none"/>
        </v:line>
      </w:pict>
    </w:r>
    <w:r>
      <w:rPr/>
      <w:pict>
        <v:line style="position:absolute;mso-position-horizontal-relative:page;mso-position-vertical-relative:page;z-index:-625576" from="428.031189pt,41.456383pt" to="428.031189pt,41.456383pt" stroked="true" strokeweight="1pt" strokecolor="#000000">
          <w10:wrap type="none"/>
        </v:line>
      </w:pict>
    </w:r>
    <w:r>
      <w:rPr/>
      <w:pict>
        <v:line style="position:absolute;mso-position-horizontal-relative:page;mso-position-vertical-relative:page;z-index:-625552" from="513.25pt,41.456383pt" to="513.25pt,41.456383pt" stroked="true" strokeweight="1pt" strokecolor="#000000">
          <w10:wrap type="none"/>
        </v:line>
      </w:pict>
    </w:r>
    <w:r>
      <w:rPr/>
      <w:pict>
        <v:line style="position:absolute;mso-position-horizontal-relative:page;mso-position-vertical-relative:page;z-index:-625528" from="516.240601pt,41.456383pt" to="897.549601pt,41.456383pt" stroked="true" strokeweight="1pt" strokecolor="#000000">
          <v:stroke dashstyle="dash"/>
          <w10:wrap type="none"/>
        </v:line>
      </w:pict>
    </w:r>
    <w:r>
      <w:rPr/>
      <w:pict>
        <v:line style="position:absolute;mso-position-horizontal-relative:page;mso-position-vertical-relative:page;z-index:-625504"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2548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2545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51040" from="42.236198pt,41.456383pt" to="42.236198pt,41.456383pt" stroked="true" strokeweight="1pt" strokecolor="#000000">
          <w10:wrap type="none"/>
        </v:line>
      </w:pict>
    </w:r>
    <w:r>
      <w:rPr/>
      <w:pict>
        <v:line style="position:absolute;mso-position-horizontal-relative:page;mso-position-vertical-relative:page;z-index:-651016" from="45.226898pt,41.456383pt" to="426.535898pt,41.456383pt" stroked="true" strokeweight="1pt" strokecolor="#000000">
          <v:stroke dashstyle="dash"/>
          <w10:wrap type="none"/>
        </v:line>
      </w:pict>
    </w:r>
    <w:r>
      <w:rPr/>
      <w:pict>
        <v:line style="position:absolute;mso-position-horizontal-relative:page;mso-position-vertical-relative:page;z-index:-650992" from="428.031189pt,41.456383pt" to="428.031189pt,41.456383pt" stroked="true" strokeweight="1pt" strokecolor="#000000">
          <w10:wrap type="none"/>
        </v:line>
      </w:pict>
    </w:r>
    <w:r>
      <w:rPr/>
      <w:pict>
        <v:line style="position:absolute;mso-position-horizontal-relative:page;mso-position-vertical-relative:page;z-index:-650968" from="513.25pt,41.456383pt" to="513.25pt,41.456383pt" stroked="true" strokeweight="1pt" strokecolor="#000000">
          <w10:wrap type="none"/>
        </v:line>
      </w:pict>
    </w:r>
    <w:r>
      <w:rPr/>
      <w:pict>
        <v:line style="position:absolute;mso-position-horizontal-relative:page;mso-position-vertical-relative:page;z-index:-650944" from="516.240601pt,41.456383pt" to="897.549601pt,41.456383pt" stroked="true" strokeweight="1pt" strokecolor="#000000">
          <v:stroke dashstyle="dash"/>
          <w10:wrap type="none"/>
        </v:line>
      </w:pict>
    </w:r>
    <w:r>
      <w:rPr/>
      <w:pict>
        <v:line style="position:absolute;mso-position-horizontal-relative:page;mso-position-vertical-relative:page;z-index:-650920"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5089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50872"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4988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49864" from="42.236198pt,41.456383pt" to="42.236198pt,41.456383pt" stroked="true" strokeweight="1pt" strokecolor="#000000">
          <w10:wrap type="none"/>
        </v:line>
      </w:pict>
    </w:r>
    <w:r>
      <w:rPr/>
      <w:pict>
        <v:line style="position:absolute;mso-position-horizontal-relative:page;mso-position-vertical-relative:page;z-index:-649840" from="45.226898pt,41.456383pt" to="426.535898pt,41.456383pt" stroked="true" strokeweight="1pt" strokecolor="#000000">
          <v:stroke dashstyle="dash"/>
          <w10:wrap type="none"/>
        </v:line>
      </w:pict>
    </w:r>
    <w:r>
      <w:rPr/>
      <w:pict>
        <v:line style="position:absolute;mso-position-horizontal-relative:page;mso-position-vertical-relative:page;z-index:-649816" from="428.031189pt,41.456383pt" to="428.031189pt,41.456383pt" stroked="true" strokeweight="1pt" strokecolor="#000000">
          <w10:wrap type="none"/>
        </v:line>
      </w:pict>
    </w:r>
    <w:r>
      <w:rPr/>
      <w:pict>
        <v:line style="position:absolute;mso-position-horizontal-relative:page;mso-position-vertical-relative:page;z-index:-649792" from="513.25pt,41.456383pt" to="513.25pt,41.456383pt" stroked="true" strokeweight="1pt" strokecolor="#000000">
          <w10:wrap type="none"/>
        </v:line>
      </w:pict>
    </w:r>
    <w:r>
      <w:rPr/>
      <w:pict>
        <v:line style="position:absolute;mso-position-horizontal-relative:page;mso-position-vertical-relative:page;z-index:-649768" from="516.240601pt,41.456383pt" to="897.549601pt,41.456383pt" stroked="true" strokeweight="1pt" strokecolor="#000000">
          <v:stroke dashstyle="dash"/>
          <w10:wrap type="none"/>
        </v:line>
      </w:pict>
    </w:r>
    <w:r>
      <w:rPr/>
      <w:pict>
        <v:line style="position:absolute;mso-position-horizontal-relative:page;mso-position-vertical-relative:page;z-index:-649744"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4972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4969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44968" from="42.236198pt,41.456383pt" to="42.236198pt,41.456383pt" stroked="true" strokeweight="1pt" strokecolor="#000000">
          <w10:wrap type="none"/>
        </v:line>
      </w:pict>
    </w:r>
    <w:r>
      <w:rPr/>
      <w:pict>
        <v:line style="position:absolute;mso-position-horizontal-relative:page;mso-position-vertical-relative:page;z-index:-644944" from="45.226898pt,41.456383pt" to="426.535898pt,41.456383pt" stroked="true" strokeweight="1pt" strokecolor="#000000">
          <v:stroke dashstyle="dash"/>
          <w10:wrap type="none"/>
        </v:line>
      </w:pict>
    </w:r>
    <w:r>
      <w:rPr/>
      <w:pict>
        <v:line style="position:absolute;mso-position-horizontal-relative:page;mso-position-vertical-relative:page;z-index:-644920" from="428.031189pt,41.456383pt" to="428.031189pt,41.456383pt" stroked="true" strokeweight="1pt" strokecolor="#000000">
          <w10:wrap type="none"/>
        </v:line>
      </w:pict>
    </w:r>
    <w:r>
      <w:rPr/>
      <w:pict>
        <v:line style="position:absolute;mso-position-horizontal-relative:page;mso-position-vertical-relative:page;z-index:-644896" from="513.25pt,41.456383pt" to="513.25pt,41.456383pt" stroked="true" strokeweight="1pt" strokecolor="#000000">
          <w10:wrap type="none"/>
        </v:line>
      </w:pict>
    </w:r>
    <w:r>
      <w:rPr/>
      <w:pict>
        <v:line style="position:absolute;mso-position-horizontal-relative:page;mso-position-vertical-relative:page;z-index:-644872" from="516.240601pt,41.456383pt" to="897.549601pt,41.456383pt" stroked="true" strokeweight="1pt" strokecolor="#000000">
          <v:stroke dashstyle="dash"/>
          <w10:wrap type="none"/>
        </v:line>
      </w:pict>
    </w:r>
    <w:r>
      <w:rPr/>
      <w:pict>
        <v:line style="position:absolute;mso-position-horizontal-relative:page;mso-position-vertical-relative:page;z-index:-644848" from="899.044983pt,41.456383pt" to="899.044983pt,41.456383pt" stroked="true" strokeweight="1pt" strokecolor="#000000">
          <w10:wrap type="none"/>
        </v:line>
      </w:pict>
    </w:r>
    <w:r>
      <w:rPr/>
      <w:pict>
        <v:line style="position:absolute;mso-position-horizontal-relative:page;mso-position-vertical-relative:page;z-index:-644824" from="425.637604pt,95.454987pt" to="425.637604pt,95.454987pt" stroked="true" strokeweight=".5pt" strokecolor="#929292">
          <w10:wrap type="none"/>
        </v:line>
      </w:pict>
    </w:r>
    <w:r>
      <w:rPr/>
      <w:pict>
        <v:shape style="position:absolute;margin-left:150.252808pt;margin-top:25.110312pt;width:170.05pt;height:10pt;mso-position-horizontal-relative:page;mso-position-vertical-relative:page;z-index:-644800"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4477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644656" from="42.236198pt,41.456383pt" to="42.236198pt,41.456383pt" stroked="true" strokeweight="1pt" strokecolor="#000000">
          <w10:wrap type="none"/>
        </v:line>
      </w:pict>
    </w:r>
    <w:r>
      <w:rPr/>
      <w:pict>
        <v:line style="position:absolute;mso-position-horizontal-relative:page;mso-position-vertical-relative:page;z-index:-644632" from="45.226898pt,41.456383pt" to="426.535898pt,41.456383pt" stroked="true" strokeweight="1pt" strokecolor="#000000">
          <v:stroke dashstyle="dash"/>
          <w10:wrap type="none"/>
        </v:line>
      </w:pict>
    </w:r>
    <w:r>
      <w:rPr/>
      <w:pict>
        <v:line style="position:absolute;mso-position-horizontal-relative:page;mso-position-vertical-relative:page;z-index:-644608" from="428.031189pt,41.456383pt" to="428.031189pt,41.456383pt" stroked="true" strokeweight="1pt" strokecolor="#000000">
          <w10:wrap type="none"/>
        </v:line>
      </w:pict>
    </w:r>
    <w:r>
      <w:rPr/>
      <w:pict>
        <v:line style="position:absolute;mso-position-horizontal-relative:page;mso-position-vertical-relative:page;z-index:-644584" from="513.25pt,41.456383pt" to="513.25pt,41.456383pt" stroked="true" strokeweight="1pt" strokecolor="#000000">
          <w10:wrap type="none"/>
        </v:line>
      </w:pict>
    </w:r>
    <w:r>
      <w:rPr/>
      <w:pict>
        <v:line style="position:absolute;mso-position-horizontal-relative:page;mso-position-vertical-relative:page;z-index:-644560" from="516.240601pt,41.456383pt" to="897.549601pt,41.456383pt" stroked="true" strokeweight="1pt" strokecolor="#000000">
          <v:stroke dashstyle="dash"/>
          <w10:wrap type="none"/>
        </v:line>
      </w:pict>
    </w:r>
    <w:r>
      <w:rPr/>
      <w:pict>
        <v:line style="position:absolute;mso-position-horizontal-relative:page;mso-position-vertical-relative:page;z-index:-644536" from="899.044983pt,41.456383pt" to="899.044983pt,41.456383pt" stroked="true" strokeweight="1pt" strokecolor="#000000">
          <w10:wrap type="none"/>
        </v:line>
      </w:pict>
    </w:r>
    <w:r>
      <w:rPr/>
      <w:pict>
        <v:shape style="position:absolute;margin-left:150.252808pt;margin-top:25.110312pt;width:170.05pt;height:10pt;mso-position-horizontal-relative:page;mso-position-vertical-relative:page;z-index:-644512"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r>
      <w:rPr/>
      <w:pict>
        <v:shape style="position:absolute;margin-left:620.724792pt;margin-top:25.110312pt;width:170.05pt;height:10pt;mso-position-horizontal-relative:page;mso-position-vertical-relative:page;z-index:-644488"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20.731873pt;margin-top:25.113811pt;width:170.05pt;height:10pt;mso-position-horizontal-relative:page;mso-position-vertical-relative:page;z-index:-643696" type="#_x0000_t202" filled="false" stroked="false">
          <v:textbox inset="0,0,0,0">
            <w:txbxContent>
              <w:p>
                <w:pPr>
                  <w:spacing w:before="0"/>
                  <w:ind w:left="20" w:right="0" w:firstLine="0"/>
                  <w:jc w:val="left"/>
                  <w:rPr>
                    <w:i/>
                    <w:sz w:val="16"/>
                  </w:rPr>
                </w:pPr>
                <w:r>
                  <w:rPr>
                    <w:i/>
                    <w:w w:val="95"/>
                    <w:sz w:val="16"/>
                  </w:rPr>
                  <w:t>Vulnerabilidad territorial ante la expansión urbana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4">
    <w:multiLevelType w:val="hybridMultilevel"/>
    <w:lvl w:ilvl="0">
      <w:start w:val="1"/>
      <w:numFmt w:val="decimal"/>
      <w:lvlText w:val="(%1)"/>
      <w:lvlJc w:val="left"/>
      <w:pPr>
        <w:ind w:left="138" w:hanging="295"/>
        <w:jc w:val="left"/>
      </w:pPr>
      <w:rPr>
        <w:rFonts w:hint="default" w:ascii="Arial" w:hAnsi="Arial" w:eastAsia="Arial" w:cs="Arial"/>
        <w:w w:val="87"/>
        <w:sz w:val="20"/>
        <w:szCs w:val="20"/>
      </w:rPr>
    </w:lvl>
    <w:lvl w:ilvl="1">
      <w:start w:val="1"/>
      <w:numFmt w:val="upperLetter"/>
      <w:lvlText w:val="%2."/>
      <w:lvlJc w:val="left"/>
      <w:pPr>
        <w:ind w:left="754" w:hanging="249"/>
        <w:jc w:val="left"/>
      </w:pPr>
      <w:rPr>
        <w:rFonts w:hint="default" w:ascii="Arial" w:hAnsi="Arial" w:eastAsia="Arial" w:cs="Arial"/>
        <w:w w:val="100"/>
        <w:sz w:val="20"/>
        <w:szCs w:val="20"/>
      </w:rPr>
    </w:lvl>
    <w:lvl w:ilvl="2">
      <w:start w:val="1"/>
      <w:numFmt w:val="bullet"/>
      <w:lvlText w:val="•"/>
      <w:lvlJc w:val="left"/>
      <w:pPr>
        <w:ind w:left="760" w:hanging="249"/>
      </w:pPr>
      <w:rPr>
        <w:rFonts w:hint="default"/>
      </w:rPr>
    </w:lvl>
    <w:lvl w:ilvl="3">
      <w:start w:val="1"/>
      <w:numFmt w:val="bullet"/>
      <w:lvlText w:val="•"/>
      <w:lvlJc w:val="left"/>
      <w:pPr>
        <w:ind w:left="468" w:hanging="249"/>
      </w:pPr>
      <w:rPr>
        <w:rFonts w:hint="default"/>
      </w:rPr>
    </w:lvl>
    <w:lvl w:ilvl="4">
      <w:start w:val="1"/>
      <w:numFmt w:val="bullet"/>
      <w:lvlText w:val="•"/>
      <w:lvlJc w:val="left"/>
      <w:pPr>
        <w:ind w:left="177" w:hanging="249"/>
      </w:pPr>
      <w:rPr>
        <w:rFonts w:hint="default"/>
      </w:rPr>
    </w:lvl>
    <w:lvl w:ilvl="5">
      <w:start w:val="1"/>
      <w:numFmt w:val="bullet"/>
      <w:lvlText w:val="•"/>
      <w:lvlJc w:val="left"/>
      <w:pPr>
        <w:ind w:left="-115" w:hanging="249"/>
      </w:pPr>
      <w:rPr>
        <w:rFonts w:hint="default"/>
      </w:rPr>
    </w:lvl>
    <w:lvl w:ilvl="6">
      <w:start w:val="1"/>
      <w:numFmt w:val="bullet"/>
      <w:lvlText w:val="•"/>
      <w:lvlJc w:val="left"/>
      <w:pPr>
        <w:ind w:left="-406" w:hanging="249"/>
      </w:pPr>
      <w:rPr>
        <w:rFonts w:hint="default"/>
      </w:rPr>
    </w:lvl>
    <w:lvl w:ilvl="7">
      <w:start w:val="1"/>
      <w:numFmt w:val="bullet"/>
      <w:lvlText w:val="•"/>
      <w:lvlJc w:val="left"/>
      <w:pPr>
        <w:ind w:left="-697" w:hanging="249"/>
      </w:pPr>
      <w:rPr>
        <w:rFonts w:hint="default"/>
      </w:rPr>
    </w:lvl>
    <w:lvl w:ilvl="8">
      <w:start w:val="1"/>
      <w:numFmt w:val="bullet"/>
      <w:lvlText w:val="•"/>
      <w:lvlJc w:val="left"/>
      <w:pPr>
        <w:ind w:left="-989" w:hanging="249"/>
      </w:pPr>
      <w:rPr>
        <w:rFonts w:hint="default"/>
      </w:rPr>
    </w:lvl>
  </w:abstractNum>
  <w:abstractNum w:abstractNumId="83">
    <w:multiLevelType w:val="hybridMultilevel"/>
    <w:lvl w:ilvl="0">
      <w:start w:val="1"/>
      <w:numFmt w:val="bullet"/>
      <w:lvlText w:val="•"/>
      <w:lvlJc w:val="left"/>
      <w:pPr>
        <w:ind w:left="660" w:hanging="360"/>
      </w:pPr>
      <w:rPr>
        <w:rFonts w:hint="default" w:ascii="Trebuchet MS" w:hAnsi="Trebuchet MS" w:eastAsia="Trebuchet MS" w:cs="Trebuchet MS"/>
        <w:w w:val="95"/>
        <w:sz w:val="20"/>
        <w:szCs w:val="20"/>
      </w:rPr>
    </w:lvl>
    <w:lvl w:ilvl="1">
      <w:start w:val="1"/>
      <w:numFmt w:val="bullet"/>
      <w:lvlText w:val="•"/>
      <w:lvlJc w:val="left"/>
      <w:pPr>
        <w:ind w:left="1378" w:hanging="360"/>
      </w:pPr>
      <w:rPr>
        <w:rFonts w:hint="default"/>
      </w:rPr>
    </w:lvl>
    <w:lvl w:ilvl="2">
      <w:start w:val="1"/>
      <w:numFmt w:val="bullet"/>
      <w:lvlText w:val="•"/>
      <w:lvlJc w:val="left"/>
      <w:pPr>
        <w:ind w:left="2096" w:hanging="360"/>
      </w:pPr>
      <w:rPr>
        <w:rFonts w:hint="default"/>
      </w:rPr>
    </w:lvl>
    <w:lvl w:ilvl="3">
      <w:start w:val="1"/>
      <w:numFmt w:val="bullet"/>
      <w:lvlText w:val="•"/>
      <w:lvlJc w:val="left"/>
      <w:pPr>
        <w:ind w:left="2814" w:hanging="360"/>
      </w:pPr>
      <w:rPr>
        <w:rFonts w:hint="default"/>
      </w:rPr>
    </w:lvl>
    <w:lvl w:ilvl="4">
      <w:start w:val="1"/>
      <w:numFmt w:val="bullet"/>
      <w:lvlText w:val="•"/>
      <w:lvlJc w:val="left"/>
      <w:pPr>
        <w:ind w:left="3532" w:hanging="360"/>
      </w:pPr>
      <w:rPr>
        <w:rFonts w:hint="default"/>
      </w:rPr>
    </w:lvl>
    <w:lvl w:ilvl="5">
      <w:start w:val="1"/>
      <w:numFmt w:val="bullet"/>
      <w:lvlText w:val="•"/>
      <w:lvlJc w:val="left"/>
      <w:pPr>
        <w:ind w:left="4250" w:hanging="360"/>
      </w:pPr>
      <w:rPr>
        <w:rFonts w:hint="default"/>
      </w:rPr>
    </w:lvl>
    <w:lvl w:ilvl="6">
      <w:start w:val="1"/>
      <w:numFmt w:val="bullet"/>
      <w:lvlText w:val="•"/>
      <w:lvlJc w:val="left"/>
      <w:pPr>
        <w:ind w:left="4968" w:hanging="360"/>
      </w:pPr>
      <w:rPr>
        <w:rFonts w:hint="default"/>
      </w:rPr>
    </w:lvl>
    <w:lvl w:ilvl="7">
      <w:start w:val="1"/>
      <w:numFmt w:val="bullet"/>
      <w:lvlText w:val="•"/>
      <w:lvlJc w:val="left"/>
      <w:pPr>
        <w:ind w:left="5687" w:hanging="360"/>
      </w:pPr>
      <w:rPr>
        <w:rFonts w:hint="default"/>
      </w:rPr>
    </w:lvl>
    <w:lvl w:ilvl="8">
      <w:start w:val="1"/>
      <w:numFmt w:val="bullet"/>
      <w:lvlText w:val="•"/>
      <w:lvlJc w:val="left"/>
      <w:pPr>
        <w:ind w:left="6405" w:hanging="360"/>
      </w:pPr>
      <w:rPr>
        <w:rFonts w:hint="default"/>
      </w:rPr>
    </w:lvl>
  </w:abstractNum>
  <w:abstractNum w:abstractNumId="82">
    <w:multiLevelType w:val="hybridMultilevel"/>
    <w:lvl w:ilvl="0">
      <w:start w:val="2"/>
      <w:numFmt w:val="decimal"/>
      <w:lvlText w:val="%1"/>
      <w:lvlJc w:val="left"/>
      <w:pPr>
        <w:ind w:left="705" w:hanging="598"/>
        <w:jc w:val="left"/>
      </w:pPr>
      <w:rPr>
        <w:rFonts w:hint="default" w:ascii="Arial" w:hAnsi="Arial" w:eastAsia="Arial" w:cs="Arial"/>
        <w:w w:val="99"/>
        <w:position w:val="-10"/>
        <w:sz w:val="18"/>
        <w:szCs w:val="18"/>
      </w:rPr>
    </w:lvl>
    <w:lvl w:ilvl="1">
      <w:start w:val="1"/>
      <w:numFmt w:val="bullet"/>
      <w:lvlText w:val="•"/>
      <w:lvlJc w:val="left"/>
      <w:pPr>
        <w:ind w:left="1023" w:hanging="598"/>
      </w:pPr>
      <w:rPr>
        <w:rFonts w:hint="default"/>
      </w:rPr>
    </w:lvl>
    <w:lvl w:ilvl="2">
      <w:start w:val="1"/>
      <w:numFmt w:val="bullet"/>
      <w:lvlText w:val="•"/>
      <w:lvlJc w:val="left"/>
      <w:pPr>
        <w:ind w:left="1347" w:hanging="598"/>
      </w:pPr>
      <w:rPr>
        <w:rFonts w:hint="default"/>
      </w:rPr>
    </w:lvl>
    <w:lvl w:ilvl="3">
      <w:start w:val="1"/>
      <w:numFmt w:val="bullet"/>
      <w:lvlText w:val="•"/>
      <w:lvlJc w:val="left"/>
      <w:pPr>
        <w:ind w:left="1670" w:hanging="598"/>
      </w:pPr>
      <w:rPr>
        <w:rFonts w:hint="default"/>
      </w:rPr>
    </w:lvl>
    <w:lvl w:ilvl="4">
      <w:start w:val="1"/>
      <w:numFmt w:val="bullet"/>
      <w:lvlText w:val="•"/>
      <w:lvlJc w:val="left"/>
      <w:pPr>
        <w:ind w:left="1994" w:hanging="598"/>
      </w:pPr>
      <w:rPr>
        <w:rFonts w:hint="default"/>
      </w:rPr>
    </w:lvl>
    <w:lvl w:ilvl="5">
      <w:start w:val="1"/>
      <w:numFmt w:val="bullet"/>
      <w:lvlText w:val="•"/>
      <w:lvlJc w:val="left"/>
      <w:pPr>
        <w:ind w:left="2318" w:hanging="598"/>
      </w:pPr>
      <w:rPr>
        <w:rFonts w:hint="default"/>
      </w:rPr>
    </w:lvl>
    <w:lvl w:ilvl="6">
      <w:start w:val="1"/>
      <w:numFmt w:val="bullet"/>
      <w:lvlText w:val="•"/>
      <w:lvlJc w:val="left"/>
      <w:pPr>
        <w:ind w:left="2641" w:hanging="598"/>
      </w:pPr>
      <w:rPr>
        <w:rFonts w:hint="default"/>
      </w:rPr>
    </w:lvl>
    <w:lvl w:ilvl="7">
      <w:start w:val="1"/>
      <w:numFmt w:val="bullet"/>
      <w:lvlText w:val="•"/>
      <w:lvlJc w:val="left"/>
      <w:pPr>
        <w:ind w:left="2965" w:hanging="598"/>
      </w:pPr>
      <w:rPr>
        <w:rFonts w:hint="default"/>
      </w:rPr>
    </w:lvl>
    <w:lvl w:ilvl="8">
      <w:start w:val="1"/>
      <w:numFmt w:val="bullet"/>
      <w:lvlText w:val="•"/>
      <w:lvlJc w:val="left"/>
      <w:pPr>
        <w:ind w:left="3289" w:hanging="598"/>
      </w:pPr>
      <w:rPr>
        <w:rFonts w:hint="default"/>
      </w:rPr>
    </w:lvl>
  </w:abstractNum>
  <w:abstractNum w:abstractNumId="81">
    <w:multiLevelType w:val="hybridMultilevel"/>
    <w:lvl w:ilvl="0">
      <w:start w:val="7"/>
      <w:numFmt w:val="decimal"/>
      <w:lvlText w:val="%1"/>
      <w:lvlJc w:val="left"/>
      <w:pPr>
        <w:ind w:left="670" w:hanging="598"/>
        <w:jc w:val="left"/>
      </w:pPr>
      <w:rPr>
        <w:rFonts w:hint="default" w:ascii="Arial" w:hAnsi="Arial" w:eastAsia="Arial" w:cs="Arial"/>
        <w:w w:val="99"/>
        <w:position w:val="-10"/>
        <w:sz w:val="18"/>
        <w:szCs w:val="18"/>
      </w:rPr>
    </w:lvl>
    <w:lvl w:ilvl="1">
      <w:start w:val="1"/>
      <w:numFmt w:val="bullet"/>
      <w:lvlText w:val="•"/>
      <w:lvlJc w:val="left"/>
      <w:pPr>
        <w:ind w:left="1002" w:hanging="598"/>
      </w:pPr>
      <w:rPr>
        <w:rFonts w:hint="default"/>
      </w:rPr>
    </w:lvl>
    <w:lvl w:ilvl="2">
      <w:start w:val="1"/>
      <w:numFmt w:val="bullet"/>
      <w:lvlText w:val="•"/>
      <w:lvlJc w:val="left"/>
      <w:pPr>
        <w:ind w:left="1324" w:hanging="598"/>
      </w:pPr>
      <w:rPr>
        <w:rFonts w:hint="default"/>
      </w:rPr>
    </w:lvl>
    <w:lvl w:ilvl="3">
      <w:start w:val="1"/>
      <w:numFmt w:val="bullet"/>
      <w:lvlText w:val="•"/>
      <w:lvlJc w:val="left"/>
      <w:pPr>
        <w:ind w:left="1646" w:hanging="598"/>
      </w:pPr>
      <w:rPr>
        <w:rFonts w:hint="default"/>
      </w:rPr>
    </w:lvl>
    <w:lvl w:ilvl="4">
      <w:start w:val="1"/>
      <w:numFmt w:val="bullet"/>
      <w:lvlText w:val="•"/>
      <w:lvlJc w:val="left"/>
      <w:pPr>
        <w:ind w:left="1968" w:hanging="598"/>
      </w:pPr>
      <w:rPr>
        <w:rFonts w:hint="default"/>
      </w:rPr>
    </w:lvl>
    <w:lvl w:ilvl="5">
      <w:start w:val="1"/>
      <w:numFmt w:val="bullet"/>
      <w:lvlText w:val="•"/>
      <w:lvlJc w:val="left"/>
      <w:pPr>
        <w:ind w:left="2291" w:hanging="598"/>
      </w:pPr>
      <w:rPr>
        <w:rFonts w:hint="default"/>
      </w:rPr>
    </w:lvl>
    <w:lvl w:ilvl="6">
      <w:start w:val="1"/>
      <w:numFmt w:val="bullet"/>
      <w:lvlText w:val="•"/>
      <w:lvlJc w:val="left"/>
      <w:pPr>
        <w:ind w:left="2613" w:hanging="598"/>
      </w:pPr>
      <w:rPr>
        <w:rFonts w:hint="default"/>
      </w:rPr>
    </w:lvl>
    <w:lvl w:ilvl="7">
      <w:start w:val="1"/>
      <w:numFmt w:val="bullet"/>
      <w:lvlText w:val="•"/>
      <w:lvlJc w:val="left"/>
      <w:pPr>
        <w:ind w:left="2935" w:hanging="598"/>
      </w:pPr>
      <w:rPr>
        <w:rFonts w:hint="default"/>
      </w:rPr>
    </w:lvl>
    <w:lvl w:ilvl="8">
      <w:start w:val="1"/>
      <w:numFmt w:val="bullet"/>
      <w:lvlText w:val="•"/>
      <w:lvlJc w:val="left"/>
      <w:pPr>
        <w:ind w:left="3257" w:hanging="598"/>
      </w:pPr>
      <w:rPr>
        <w:rFonts w:hint="default"/>
      </w:rPr>
    </w:lvl>
  </w:abstractNum>
  <w:abstractNum w:abstractNumId="80">
    <w:multiLevelType w:val="hybridMultilevel"/>
    <w:lvl w:ilvl="0">
      <w:start w:val="1"/>
      <w:numFmt w:val="decimal"/>
      <w:lvlText w:val="%1."/>
      <w:lvlJc w:val="left"/>
      <w:pPr>
        <w:ind w:left="653" w:hanging="360"/>
        <w:jc w:val="left"/>
      </w:pPr>
      <w:rPr>
        <w:rFonts w:hint="default" w:ascii="Arial" w:hAnsi="Arial" w:eastAsia="Arial" w:cs="Arial"/>
        <w:b/>
        <w:bCs/>
        <w:w w:val="93"/>
        <w:sz w:val="24"/>
        <w:szCs w:val="24"/>
      </w:rPr>
    </w:lvl>
    <w:lvl w:ilvl="1">
      <w:start w:val="1"/>
      <w:numFmt w:val="lowerLetter"/>
      <w:lvlText w:val="%2."/>
      <w:lvlJc w:val="left"/>
      <w:pPr>
        <w:ind w:left="577" w:hanging="284"/>
        <w:jc w:val="left"/>
      </w:pPr>
      <w:rPr>
        <w:rFonts w:hint="default" w:ascii="Arial" w:hAnsi="Arial" w:eastAsia="Arial" w:cs="Arial"/>
        <w:w w:val="97"/>
        <w:sz w:val="20"/>
        <w:szCs w:val="20"/>
      </w:rPr>
    </w:lvl>
    <w:lvl w:ilvl="2">
      <w:start w:val="1"/>
      <w:numFmt w:val="decimal"/>
      <w:lvlText w:val="%3."/>
      <w:lvlJc w:val="left"/>
      <w:pPr>
        <w:ind w:left="653" w:hanging="360"/>
        <w:jc w:val="left"/>
      </w:pPr>
      <w:rPr>
        <w:rFonts w:hint="default" w:ascii="Arial" w:hAnsi="Arial" w:eastAsia="Arial" w:cs="Arial"/>
        <w:spacing w:val="-7"/>
        <w:w w:val="97"/>
        <w:sz w:val="20"/>
        <w:szCs w:val="20"/>
      </w:rPr>
    </w:lvl>
    <w:lvl w:ilvl="3">
      <w:start w:val="1"/>
      <w:numFmt w:val="bullet"/>
      <w:lvlText w:val="•"/>
      <w:lvlJc w:val="left"/>
      <w:pPr>
        <w:ind w:left="159" w:hanging="360"/>
      </w:pPr>
      <w:rPr>
        <w:rFonts w:hint="default"/>
      </w:rPr>
    </w:lvl>
    <w:lvl w:ilvl="4">
      <w:start w:val="1"/>
      <w:numFmt w:val="bullet"/>
      <w:lvlText w:val="•"/>
      <w:lvlJc w:val="left"/>
      <w:pPr>
        <w:ind w:left="-91" w:hanging="360"/>
      </w:pPr>
      <w:rPr>
        <w:rFonts w:hint="default"/>
      </w:rPr>
    </w:lvl>
    <w:lvl w:ilvl="5">
      <w:start w:val="1"/>
      <w:numFmt w:val="bullet"/>
      <w:lvlText w:val="•"/>
      <w:lvlJc w:val="left"/>
      <w:pPr>
        <w:ind w:left="-341" w:hanging="360"/>
      </w:pPr>
      <w:rPr>
        <w:rFonts w:hint="default"/>
      </w:rPr>
    </w:lvl>
    <w:lvl w:ilvl="6">
      <w:start w:val="1"/>
      <w:numFmt w:val="bullet"/>
      <w:lvlText w:val="•"/>
      <w:lvlJc w:val="left"/>
      <w:pPr>
        <w:ind w:left="-591" w:hanging="360"/>
      </w:pPr>
      <w:rPr>
        <w:rFonts w:hint="default"/>
      </w:rPr>
    </w:lvl>
    <w:lvl w:ilvl="7">
      <w:start w:val="1"/>
      <w:numFmt w:val="bullet"/>
      <w:lvlText w:val="•"/>
      <w:lvlJc w:val="left"/>
      <w:pPr>
        <w:ind w:left="-841" w:hanging="360"/>
      </w:pPr>
      <w:rPr>
        <w:rFonts w:hint="default"/>
      </w:rPr>
    </w:lvl>
    <w:lvl w:ilvl="8">
      <w:start w:val="1"/>
      <w:numFmt w:val="bullet"/>
      <w:lvlText w:val="•"/>
      <w:lvlJc w:val="left"/>
      <w:pPr>
        <w:ind w:left="-1091" w:hanging="360"/>
      </w:pPr>
      <w:rPr>
        <w:rFonts w:hint="default"/>
      </w:rPr>
    </w:lvl>
  </w:abstractNum>
  <w:abstractNum w:abstractNumId="79">
    <w:multiLevelType w:val="hybridMultilevel"/>
    <w:lvl w:ilvl="0">
      <w:start w:val="1"/>
      <w:numFmt w:val="lowerLetter"/>
      <w:lvlText w:val="%1."/>
      <w:lvlJc w:val="left"/>
      <w:pPr>
        <w:ind w:left="709" w:hanging="170"/>
        <w:jc w:val="left"/>
      </w:pPr>
      <w:rPr>
        <w:rFonts w:hint="default" w:ascii="Arial" w:hAnsi="Arial" w:eastAsia="Arial" w:cs="Arial"/>
        <w:w w:val="97"/>
        <w:sz w:val="20"/>
        <w:szCs w:val="20"/>
      </w:rPr>
    </w:lvl>
    <w:lvl w:ilvl="1">
      <w:start w:val="1"/>
      <w:numFmt w:val="bullet"/>
      <w:lvlText w:val="•"/>
      <w:lvlJc w:val="left"/>
      <w:pPr>
        <w:ind w:left="1428" w:hanging="170"/>
      </w:pPr>
      <w:rPr>
        <w:rFonts w:hint="default"/>
      </w:rPr>
    </w:lvl>
    <w:lvl w:ilvl="2">
      <w:start w:val="1"/>
      <w:numFmt w:val="bullet"/>
      <w:lvlText w:val="•"/>
      <w:lvlJc w:val="left"/>
      <w:pPr>
        <w:ind w:left="2156" w:hanging="170"/>
      </w:pPr>
      <w:rPr>
        <w:rFonts w:hint="default"/>
      </w:rPr>
    </w:lvl>
    <w:lvl w:ilvl="3">
      <w:start w:val="1"/>
      <w:numFmt w:val="bullet"/>
      <w:lvlText w:val="•"/>
      <w:lvlJc w:val="left"/>
      <w:pPr>
        <w:ind w:left="2885" w:hanging="170"/>
      </w:pPr>
      <w:rPr>
        <w:rFonts w:hint="default"/>
      </w:rPr>
    </w:lvl>
    <w:lvl w:ilvl="4">
      <w:start w:val="1"/>
      <w:numFmt w:val="bullet"/>
      <w:lvlText w:val="•"/>
      <w:lvlJc w:val="left"/>
      <w:pPr>
        <w:ind w:left="3613" w:hanging="170"/>
      </w:pPr>
      <w:rPr>
        <w:rFonts w:hint="default"/>
      </w:rPr>
    </w:lvl>
    <w:lvl w:ilvl="5">
      <w:start w:val="1"/>
      <w:numFmt w:val="bullet"/>
      <w:lvlText w:val="•"/>
      <w:lvlJc w:val="left"/>
      <w:pPr>
        <w:ind w:left="4341" w:hanging="170"/>
      </w:pPr>
      <w:rPr>
        <w:rFonts w:hint="default"/>
      </w:rPr>
    </w:lvl>
    <w:lvl w:ilvl="6">
      <w:start w:val="1"/>
      <w:numFmt w:val="bullet"/>
      <w:lvlText w:val="•"/>
      <w:lvlJc w:val="left"/>
      <w:pPr>
        <w:ind w:left="5070" w:hanging="170"/>
      </w:pPr>
      <w:rPr>
        <w:rFonts w:hint="default"/>
      </w:rPr>
    </w:lvl>
    <w:lvl w:ilvl="7">
      <w:start w:val="1"/>
      <w:numFmt w:val="bullet"/>
      <w:lvlText w:val="•"/>
      <w:lvlJc w:val="left"/>
      <w:pPr>
        <w:ind w:left="5798" w:hanging="170"/>
      </w:pPr>
      <w:rPr>
        <w:rFonts w:hint="default"/>
      </w:rPr>
    </w:lvl>
    <w:lvl w:ilvl="8">
      <w:start w:val="1"/>
      <w:numFmt w:val="bullet"/>
      <w:lvlText w:val="•"/>
      <w:lvlJc w:val="left"/>
      <w:pPr>
        <w:ind w:left="6526" w:hanging="170"/>
      </w:pPr>
      <w:rPr>
        <w:rFonts w:hint="default"/>
      </w:rPr>
    </w:lvl>
  </w:abstractNum>
  <w:abstractNum w:abstractNumId="78">
    <w:multiLevelType w:val="hybridMultilevel"/>
    <w:lvl w:ilvl="0">
      <w:start w:val="1"/>
      <w:numFmt w:val="bullet"/>
      <w:lvlText w:val="•"/>
      <w:lvlJc w:val="left"/>
      <w:pPr>
        <w:ind w:left="216" w:hanging="114"/>
      </w:pPr>
      <w:rPr>
        <w:rFonts w:hint="default" w:ascii="Trebuchet MS" w:hAnsi="Trebuchet MS" w:eastAsia="Trebuchet MS" w:cs="Trebuchet MS"/>
        <w:w w:val="95"/>
        <w:sz w:val="16"/>
        <w:szCs w:val="16"/>
      </w:rPr>
    </w:lvl>
    <w:lvl w:ilvl="1">
      <w:start w:val="1"/>
      <w:numFmt w:val="bullet"/>
      <w:lvlText w:val="•"/>
      <w:lvlJc w:val="left"/>
      <w:pPr>
        <w:ind w:left="571" w:hanging="114"/>
      </w:pPr>
      <w:rPr>
        <w:rFonts w:hint="default"/>
      </w:rPr>
    </w:lvl>
    <w:lvl w:ilvl="2">
      <w:start w:val="1"/>
      <w:numFmt w:val="bullet"/>
      <w:lvlText w:val="•"/>
      <w:lvlJc w:val="left"/>
      <w:pPr>
        <w:ind w:left="923" w:hanging="114"/>
      </w:pPr>
      <w:rPr>
        <w:rFonts w:hint="default"/>
      </w:rPr>
    </w:lvl>
    <w:lvl w:ilvl="3">
      <w:start w:val="1"/>
      <w:numFmt w:val="bullet"/>
      <w:lvlText w:val="•"/>
      <w:lvlJc w:val="left"/>
      <w:pPr>
        <w:ind w:left="1274" w:hanging="114"/>
      </w:pPr>
      <w:rPr>
        <w:rFonts w:hint="default"/>
      </w:rPr>
    </w:lvl>
    <w:lvl w:ilvl="4">
      <w:start w:val="1"/>
      <w:numFmt w:val="bullet"/>
      <w:lvlText w:val="•"/>
      <w:lvlJc w:val="left"/>
      <w:pPr>
        <w:ind w:left="1626" w:hanging="114"/>
      </w:pPr>
      <w:rPr>
        <w:rFonts w:hint="default"/>
      </w:rPr>
    </w:lvl>
    <w:lvl w:ilvl="5">
      <w:start w:val="1"/>
      <w:numFmt w:val="bullet"/>
      <w:lvlText w:val="•"/>
      <w:lvlJc w:val="left"/>
      <w:pPr>
        <w:ind w:left="1977" w:hanging="114"/>
      </w:pPr>
      <w:rPr>
        <w:rFonts w:hint="default"/>
      </w:rPr>
    </w:lvl>
    <w:lvl w:ilvl="6">
      <w:start w:val="1"/>
      <w:numFmt w:val="bullet"/>
      <w:lvlText w:val="•"/>
      <w:lvlJc w:val="left"/>
      <w:pPr>
        <w:ind w:left="2329" w:hanging="114"/>
      </w:pPr>
      <w:rPr>
        <w:rFonts w:hint="default"/>
      </w:rPr>
    </w:lvl>
    <w:lvl w:ilvl="7">
      <w:start w:val="1"/>
      <w:numFmt w:val="bullet"/>
      <w:lvlText w:val="•"/>
      <w:lvlJc w:val="left"/>
      <w:pPr>
        <w:ind w:left="2680" w:hanging="114"/>
      </w:pPr>
      <w:rPr>
        <w:rFonts w:hint="default"/>
      </w:rPr>
    </w:lvl>
    <w:lvl w:ilvl="8">
      <w:start w:val="1"/>
      <w:numFmt w:val="bullet"/>
      <w:lvlText w:val="•"/>
      <w:lvlJc w:val="left"/>
      <w:pPr>
        <w:ind w:left="3032" w:hanging="114"/>
      </w:pPr>
      <w:rPr>
        <w:rFonts w:hint="default"/>
      </w:rPr>
    </w:lvl>
  </w:abstractNum>
  <w:abstractNum w:abstractNumId="77">
    <w:multiLevelType w:val="hybridMultilevel"/>
    <w:lvl w:ilvl="0">
      <w:start w:val="1"/>
      <w:numFmt w:val="bullet"/>
      <w:lvlText w:val="•"/>
      <w:lvlJc w:val="left"/>
      <w:pPr>
        <w:ind w:left="221" w:hanging="114"/>
      </w:pPr>
      <w:rPr>
        <w:rFonts w:hint="default" w:ascii="Trebuchet MS" w:hAnsi="Trebuchet MS" w:eastAsia="Trebuchet MS" w:cs="Trebuchet MS"/>
        <w:w w:val="95"/>
        <w:sz w:val="16"/>
        <w:szCs w:val="16"/>
      </w:rPr>
    </w:lvl>
    <w:lvl w:ilvl="1">
      <w:start w:val="1"/>
      <w:numFmt w:val="bullet"/>
      <w:lvlText w:val="•"/>
      <w:lvlJc w:val="left"/>
      <w:pPr>
        <w:ind w:left="594" w:hanging="114"/>
      </w:pPr>
      <w:rPr>
        <w:rFonts w:hint="default"/>
      </w:rPr>
    </w:lvl>
    <w:lvl w:ilvl="2">
      <w:start w:val="1"/>
      <w:numFmt w:val="bullet"/>
      <w:lvlText w:val="•"/>
      <w:lvlJc w:val="left"/>
      <w:pPr>
        <w:ind w:left="969" w:hanging="114"/>
      </w:pPr>
      <w:rPr>
        <w:rFonts w:hint="default"/>
      </w:rPr>
    </w:lvl>
    <w:lvl w:ilvl="3">
      <w:start w:val="1"/>
      <w:numFmt w:val="bullet"/>
      <w:lvlText w:val="•"/>
      <w:lvlJc w:val="left"/>
      <w:pPr>
        <w:ind w:left="1343" w:hanging="114"/>
      </w:pPr>
      <w:rPr>
        <w:rFonts w:hint="default"/>
      </w:rPr>
    </w:lvl>
    <w:lvl w:ilvl="4">
      <w:start w:val="1"/>
      <w:numFmt w:val="bullet"/>
      <w:lvlText w:val="•"/>
      <w:lvlJc w:val="left"/>
      <w:pPr>
        <w:ind w:left="1718" w:hanging="114"/>
      </w:pPr>
      <w:rPr>
        <w:rFonts w:hint="default"/>
      </w:rPr>
    </w:lvl>
    <w:lvl w:ilvl="5">
      <w:start w:val="1"/>
      <w:numFmt w:val="bullet"/>
      <w:lvlText w:val="•"/>
      <w:lvlJc w:val="left"/>
      <w:pPr>
        <w:ind w:left="2092" w:hanging="114"/>
      </w:pPr>
      <w:rPr>
        <w:rFonts w:hint="default"/>
      </w:rPr>
    </w:lvl>
    <w:lvl w:ilvl="6">
      <w:start w:val="1"/>
      <w:numFmt w:val="bullet"/>
      <w:lvlText w:val="•"/>
      <w:lvlJc w:val="left"/>
      <w:pPr>
        <w:ind w:left="2467" w:hanging="114"/>
      </w:pPr>
      <w:rPr>
        <w:rFonts w:hint="default"/>
      </w:rPr>
    </w:lvl>
    <w:lvl w:ilvl="7">
      <w:start w:val="1"/>
      <w:numFmt w:val="bullet"/>
      <w:lvlText w:val="•"/>
      <w:lvlJc w:val="left"/>
      <w:pPr>
        <w:ind w:left="2841" w:hanging="114"/>
      </w:pPr>
      <w:rPr>
        <w:rFonts w:hint="default"/>
      </w:rPr>
    </w:lvl>
    <w:lvl w:ilvl="8">
      <w:start w:val="1"/>
      <w:numFmt w:val="bullet"/>
      <w:lvlText w:val="•"/>
      <w:lvlJc w:val="left"/>
      <w:pPr>
        <w:ind w:left="3216" w:hanging="114"/>
      </w:pPr>
      <w:rPr>
        <w:rFonts w:hint="default"/>
      </w:rPr>
    </w:lvl>
  </w:abstractNum>
  <w:abstractNum w:abstractNumId="76">
    <w:multiLevelType w:val="hybridMultilevel"/>
    <w:lvl w:ilvl="0">
      <w:start w:val="1"/>
      <w:numFmt w:val="bullet"/>
      <w:lvlText w:val="•"/>
      <w:lvlJc w:val="left"/>
      <w:pPr>
        <w:ind w:left="221" w:hanging="114"/>
      </w:pPr>
      <w:rPr>
        <w:rFonts w:hint="default" w:ascii="Trebuchet MS" w:hAnsi="Trebuchet MS" w:eastAsia="Trebuchet MS" w:cs="Trebuchet MS"/>
        <w:i/>
        <w:w w:val="95"/>
        <w:sz w:val="16"/>
        <w:szCs w:val="16"/>
      </w:rPr>
    </w:lvl>
    <w:lvl w:ilvl="1">
      <w:start w:val="1"/>
      <w:numFmt w:val="bullet"/>
      <w:lvlText w:val="•"/>
      <w:lvlJc w:val="left"/>
      <w:pPr>
        <w:ind w:left="594" w:hanging="114"/>
      </w:pPr>
      <w:rPr>
        <w:rFonts w:hint="default"/>
      </w:rPr>
    </w:lvl>
    <w:lvl w:ilvl="2">
      <w:start w:val="1"/>
      <w:numFmt w:val="bullet"/>
      <w:lvlText w:val="•"/>
      <w:lvlJc w:val="left"/>
      <w:pPr>
        <w:ind w:left="969" w:hanging="114"/>
      </w:pPr>
      <w:rPr>
        <w:rFonts w:hint="default"/>
      </w:rPr>
    </w:lvl>
    <w:lvl w:ilvl="3">
      <w:start w:val="1"/>
      <w:numFmt w:val="bullet"/>
      <w:lvlText w:val="•"/>
      <w:lvlJc w:val="left"/>
      <w:pPr>
        <w:ind w:left="1343" w:hanging="114"/>
      </w:pPr>
      <w:rPr>
        <w:rFonts w:hint="default"/>
      </w:rPr>
    </w:lvl>
    <w:lvl w:ilvl="4">
      <w:start w:val="1"/>
      <w:numFmt w:val="bullet"/>
      <w:lvlText w:val="•"/>
      <w:lvlJc w:val="left"/>
      <w:pPr>
        <w:ind w:left="1718" w:hanging="114"/>
      </w:pPr>
      <w:rPr>
        <w:rFonts w:hint="default"/>
      </w:rPr>
    </w:lvl>
    <w:lvl w:ilvl="5">
      <w:start w:val="1"/>
      <w:numFmt w:val="bullet"/>
      <w:lvlText w:val="•"/>
      <w:lvlJc w:val="left"/>
      <w:pPr>
        <w:ind w:left="2092" w:hanging="114"/>
      </w:pPr>
      <w:rPr>
        <w:rFonts w:hint="default"/>
      </w:rPr>
    </w:lvl>
    <w:lvl w:ilvl="6">
      <w:start w:val="1"/>
      <w:numFmt w:val="bullet"/>
      <w:lvlText w:val="•"/>
      <w:lvlJc w:val="left"/>
      <w:pPr>
        <w:ind w:left="2467" w:hanging="114"/>
      </w:pPr>
      <w:rPr>
        <w:rFonts w:hint="default"/>
      </w:rPr>
    </w:lvl>
    <w:lvl w:ilvl="7">
      <w:start w:val="1"/>
      <w:numFmt w:val="bullet"/>
      <w:lvlText w:val="•"/>
      <w:lvlJc w:val="left"/>
      <w:pPr>
        <w:ind w:left="2841" w:hanging="114"/>
      </w:pPr>
      <w:rPr>
        <w:rFonts w:hint="default"/>
      </w:rPr>
    </w:lvl>
    <w:lvl w:ilvl="8">
      <w:start w:val="1"/>
      <w:numFmt w:val="bullet"/>
      <w:lvlText w:val="•"/>
      <w:lvlJc w:val="left"/>
      <w:pPr>
        <w:ind w:left="3216" w:hanging="114"/>
      </w:pPr>
      <w:rPr>
        <w:rFonts w:hint="default"/>
      </w:rPr>
    </w:lvl>
  </w:abstractNum>
  <w:abstractNum w:abstractNumId="75">
    <w:multiLevelType w:val="hybridMultilevel"/>
    <w:lvl w:ilvl="0">
      <w:start w:val="1"/>
      <w:numFmt w:val="decimal"/>
      <w:lvlText w:val="%1."/>
      <w:lvlJc w:val="left"/>
      <w:pPr>
        <w:ind w:left="130" w:hanging="227"/>
        <w:jc w:val="left"/>
      </w:pPr>
      <w:rPr>
        <w:rFonts w:hint="default" w:ascii="Arial" w:hAnsi="Arial" w:eastAsia="Arial" w:cs="Arial"/>
        <w:w w:val="100"/>
        <w:sz w:val="20"/>
        <w:szCs w:val="20"/>
      </w:rPr>
    </w:lvl>
    <w:lvl w:ilvl="1">
      <w:start w:val="1"/>
      <w:numFmt w:val="lowerRoman"/>
      <w:lvlText w:val="%2."/>
      <w:lvlJc w:val="left"/>
      <w:pPr>
        <w:ind w:left="596" w:hanging="114"/>
        <w:jc w:val="left"/>
      </w:pPr>
      <w:rPr>
        <w:rFonts w:hint="default" w:ascii="Arial" w:hAnsi="Arial" w:eastAsia="Arial" w:cs="Arial"/>
        <w:w w:val="100"/>
        <w:sz w:val="20"/>
        <w:szCs w:val="20"/>
      </w:rPr>
    </w:lvl>
    <w:lvl w:ilvl="2">
      <w:start w:val="1"/>
      <w:numFmt w:val="bullet"/>
      <w:lvlText w:val="•"/>
      <w:lvlJc w:val="left"/>
      <w:pPr>
        <w:ind w:left="1404" w:hanging="114"/>
      </w:pPr>
      <w:rPr>
        <w:rFonts w:hint="default"/>
      </w:rPr>
    </w:lvl>
    <w:lvl w:ilvl="3">
      <w:start w:val="1"/>
      <w:numFmt w:val="bullet"/>
      <w:lvlText w:val="•"/>
      <w:lvlJc w:val="left"/>
      <w:pPr>
        <w:ind w:left="2209" w:hanging="114"/>
      </w:pPr>
      <w:rPr>
        <w:rFonts w:hint="default"/>
      </w:rPr>
    </w:lvl>
    <w:lvl w:ilvl="4">
      <w:start w:val="1"/>
      <w:numFmt w:val="bullet"/>
      <w:lvlText w:val="•"/>
      <w:lvlJc w:val="left"/>
      <w:pPr>
        <w:ind w:left="3013" w:hanging="114"/>
      </w:pPr>
      <w:rPr>
        <w:rFonts w:hint="default"/>
      </w:rPr>
    </w:lvl>
    <w:lvl w:ilvl="5">
      <w:start w:val="1"/>
      <w:numFmt w:val="bullet"/>
      <w:lvlText w:val="•"/>
      <w:lvlJc w:val="left"/>
      <w:pPr>
        <w:ind w:left="3818" w:hanging="114"/>
      </w:pPr>
      <w:rPr>
        <w:rFonts w:hint="default"/>
      </w:rPr>
    </w:lvl>
    <w:lvl w:ilvl="6">
      <w:start w:val="1"/>
      <w:numFmt w:val="bullet"/>
      <w:lvlText w:val="•"/>
      <w:lvlJc w:val="left"/>
      <w:pPr>
        <w:ind w:left="4623" w:hanging="114"/>
      </w:pPr>
      <w:rPr>
        <w:rFonts w:hint="default"/>
      </w:rPr>
    </w:lvl>
    <w:lvl w:ilvl="7">
      <w:start w:val="1"/>
      <w:numFmt w:val="bullet"/>
      <w:lvlText w:val="•"/>
      <w:lvlJc w:val="left"/>
      <w:pPr>
        <w:ind w:left="5427" w:hanging="114"/>
      </w:pPr>
      <w:rPr>
        <w:rFonts w:hint="default"/>
      </w:rPr>
    </w:lvl>
    <w:lvl w:ilvl="8">
      <w:start w:val="1"/>
      <w:numFmt w:val="bullet"/>
      <w:lvlText w:val="•"/>
      <w:lvlJc w:val="left"/>
      <w:pPr>
        <w:ind w:left="6232" w:hanging="114"/>
      </w:pPr>
      <w:rPr>
        <w:rFonts w:hint="default"/>
      </w:rPr>
    </w:lvl>
  </w:abstractNum>
  <w:abstractNum w:abstractNumId="74">
    <w:multiLevelType w:val="hybridMultilevel"/>
    <w:lvl w:ilvl="0">
      <w:start w:val="1"/>
      <w:numFmt w:val="bullet"/>
      <w:lvlText w:val="•"/>
      <w:lvlJc w:val="left"/>
      <w:pPr>
        <w:ind w:left="342" w:hanging="240"/>
      </w:pPr>
      <w:rPr>
        <w:rFonts w:hint="default" w:ascii="Trebuchet MS" w:hAnsi="Trebuchet MS" w:eastAsia="Trebuchet MS" w:cs="Trebuchet MS"/>
        <w:w w:val="95"/>
        <w:sz w:val="16"/>
        <w:szCs w:val="16"/>
      </w:rPr>
    </w:lvl>
    <w:lvl w:ilvl="1">
      <w:start w:val="1"/>
      <w:numFmt w:val="bullet"/>
      <w:lvlText w:val="•"/>
      <w:lvlJc w:val="left"/>
      <w:pPr>
        <w:ind w:left="475" w:hanging="240"/>
      </w:pPr>
      <w:rPr>
        <w:rFonts w:hint="default"/>
      </w:rPr>
    </w:lvl>
    <w:lvl w:ilvl="2">
      <w:start w:val="1"/>
      <w:numFmt w:val="bullet"/>
      <w:lvlText w:val="•"/>
      <w:lvlJc w:val="left"/>
      <w:pPr>
        <w:ind w:left="611" w:hanging="240"/>
      </w:pPr>
      <w:rPr>
        <w:rFonts w:hint="default"/>
      </w:rPr>
    </w:lvl>
    <w:lvl w:ilvl="3">
      <w:start w:val="1"/>
      <w:numFmt w:val="bullet"/>
      <w:lvlText w:val="•"/>
      <w:lvlJc w:val="left"/>
      <w:pPr>
        <w:ind w:left="746" w:hanging="240"/>
      </w:pPr>
      <w:rPr>
        <w:rFonts w:hint="default"/>
      </w:rPr>
    </w:lvl>
    <w:lvl w:ilvl="4">
      <w:start w:val="1"/>
      <w:numFmt w:val="bullet"/>
      <w:lvlText w:val="•"/>
      <w:lvlJc w:val="left"/>
      <w:pPr>
        <w:ind w:left="882" w:hanging="240"/>
      </w:pPr>
      <w:rPr>
        <w:rFonts w:hint="default"/>
      </w:rPr>
    </w:lvl>
    <w:lvl w:ilvl="5">
      <w:start w:val="1"/>
      <w:numFmt w:val="bullet"/>
      <w:lvlText w:val="•"/>
      <w:lvlJc w:val="left"/>
      <w:pPr>
        <w:ind w:left="1018" w:hanging="240"/>
      </w:pPr>
      <w:rPr>
        <w:rFonts w:hint="default"/>
      </w:rPr>
    </w:lvl>
    <w:lvl w:ilvl="6">
      <w:start w:val="1"/>
      <w:numFmt w:val="bullet"/>
      <w:lvlText w:val="•"/>
      <w:lvlJc w:val="left"/>
      <w:pPr>
        <w:ind w:left="1153" w:hanging="240"/>
      </w:pPr>
      <w:rPr>
        <w:rFonts w:hint="default"/>
      </w:rPr>
    </w:lvl>
    <w:lvl w:ilvl="7">
      <w:start w:val="1"/>
      <w:numFmt w:val="bullet"/>
      <w:lvlText w:val="•"/>
      <w:lvlJc w:val="left"/>
      <w:pPr>
        <w:ind w:left="1289" w:hanging="240"/>
      </w:pPr>
      <w:rPr>
        <w:rFonts w:hint="default"/>
      </w:rPr>
    </w:lvl>
    <w:lvl w:ilvl="8">
      <w:start w:val="1"/>
      <w:numFmt w:val="bullet"/>
      <w:lvlText w:val="•"/>
      <w:lvlJc w:val="left"/>
      <w:pPr>
        <w:ind w:left="1424" w:hanging="240"/>
      </w:pPr>
      <w:rPr>
        <w:rFonts w:hint="default"/>
      </w:rPr>
    </w:lvl>
  </w:abstractNum>
  <w:abstractNum w:abstractNumId="73">
    <w:multiLevelType w:val="hybridMultilevel"/>
    <w:lvl w:ilvl="0">
      <w:start w:val="1"/>
      <w:numFmt w:val="bullet"/>
      <w:lvlText w:val="•"/>
      <w:lvlJc w:val="left"/>
      <w:pPr>
        <w:ind w:left="343" w:hanging="240"/>
      </w:pPr>
      <w:rPr>
        <w:rFonts w:hint="default" w:ascii="Trebuchet MS" w:hAnsi="Trebuchet MS" w:eastAsia="Trebuchet MS" w:cs="Trebuchet MS"/>
        <w:w w:val="95"/>
        <w:sz w:val="16"/>
        <w:szCs w:val="16"/>
      </w:rPr>
    </w:lvl>
    <w:lvl w:ilvl="1">
      <w:start w:val="1"/>
      <w:numFmt w:val="bullet"/>
      <w:lvlText w:val="•"/>
      <w:lvlJc w:val="left"/>
      <w:pPr>
        <w:ind w:left="664" w:hanging="240"/>
      </w:pPr>
      <w:rPr>
        <w:rFonts w:hint="default"/>
      </w:rPr>
    </w:lvl>
    <w:lvl w:ilvl="2">
      <w:start w:val="1"/>
      <w:numFmt w:val="bullet"/>
      <w:lvlText w:val="•"/>
      <w:lvlJc w:val="left"/>
      <w:pPr>
        <w:ind w:left="989" w:hanging="240"/>
      </w:pPr>
      <w:rPr>
        <w:rFonts w:hint="default"/>
      </w:rPr>
    </w:lvl>
    <w:lvl w:ilvl="3">
      <w:start w:val="1"/>
      <w:numFmt w:val="bullet"/>
      <w:lvlText w:val="•"/>
      <w:lvlJc w:val="left"/>
      <w:pPr>
        <w:ind w:left="1313" w:hanging="240"/>
      </w:pPr>
      <w:rPr>
        <w:rFonts w:hint="default"/>
      </w:rPr>
    </w:lvl>
    <w:lvl w:ilvl="4">
      <w:start w:val="1"/>
      <w:numFmt w:val="bullet"/>
      <w:lvlText w:val="•"/>
      <w:lvlJc w:val="left"/>
      <w:pPr>
        <w:ind w:left="1638" w:hanging="240"/>
      </w:pPr>
      <w:rPr>
        <w:rFonts w:hint="default"/>
      </w:rPr>
    </w:lvl>
    <w:lvl w:ilvl="5">
      <w:start w:val="1"/>
      <w:numFmt w:val="bullet"/>
      <w:lvlText w:val="•"/>
      <w:lvlJc w:val="left"/>
      <w:pPr>
        <w:ind w:left="1962" w:hanging="240"/>
      </w:pPr>
      <w:rPr>
        <w:rFonts w:hint="default"/>
      </w:rPr>
    </w:lvl>
    <w:lvl w:ilvl="6">
      <w:start w:val="1"/>
      <w:numFmt w:val="bullet"/>
      <w:lvlText w:val="•"/>
      <w:lvlJc w:val="left"/>
      <w:pPr>
        <w:ind w:left="2287" w:hanging="240"/>
      </w:pPr>
      <w:rPr>
        <w:rFonts w:hint="default"/>
      </w:rPr>
    </w:lvl>
    <w:lvl w:ilvl="7">
      <w:start w:val="1"/>
      <w:numFmt w:val="bullet"/>
      <w:lvlText w:val="•"/>
      <w:lvlJc w:val="left"/>
      <w:pPr>
        <w:ind w:left="2612" w:hanging="240"/>
      </w:pPr>
      <w:rPr>
        <w:rFonts w:hint="default"/>
      </w:rPr>
    </w:lvl>
    <w:lvl w:ilvl="8">
      <w:start w:val="1"/>
      <w:numFmt w:val="bullet"/>
      <w:lvlText w:val="•"/>
      <w:lvlJc w:val="left"/>
      <w:pPr>
        <w:ind w:left="2936" w:hanging="240"/>
      </w:pPr>
      <w:rPr>
        <w:rFonts w:hint="default"/>
      </w:rPr>
    </w:lvl>
  </w:abstractNum>
  <w:abstractNum w:abstractNumId="72">
    <w:multiLevelType w:val="hybridMultilevel"/>
    <w:lvl w:ilvl="0">
      <w:start w:val="1"/>
      <w:numFmt w:val="bullet"/>
      <w:lvlText w:val="•"/>
      <w:lvlJc w:val="left"/>
      <w:pPr>
        <w:ind w:left="348" w:hanging="240"/>
      </w:pPr>
      <w:rPr>
        <w:rFonts w:hint="default" w:ascii="Trebuchet MS" w:hAnsi="Trebuchet MS" w:eastAsia="Trebuchet MS" w:cs="Trebuchet MS"/>
        <w:w w:val="95"/>
        <w:sz w:val="16"/>
        <w:szCs w:val="16"/>
      </w:rPr>
    </w:lvl>
    <w:lvl w:ilvl="1">
      <w:start w:val="1"/>
      <w:numFmt w:val="bullet"/>
      <w:lvlText w:val="•"/>
      <w:lvlJc w:val="left"/>
      <w:pPr>
        <w:ind w:left="543" w:hanging="240"/>
      </w:pPr>
      <w:rPr>
        <w:rFonts w:hint="default"/>
      </w:rPr>
    </w:lvl>
    <w:lvl w:ilvl="2">
      <w:start w:val="1"/>
      <w:numFmt w:val="bullet"/>
      <w:lvlText w:val="•"/>
      <w:lvlJc w:val="left"/>
      <w:pPr>
        <w:ind w:left="746" w:hanging="240"/>
      </w:pPr>
      <w:rPr>
        <w:rFonts w:hint="default"/>
      </w:rPr>
    </w:lvl>
    <w:lvl w:ilvl="3">
      <w:start w:val="1"/>
      <w:numFmt w:val="bullet"/>
      <w:lvlText w:val="•"/>
      <w:lvlJc w:val="left"/>
      <w:pPr>
        <w:ind w:left="949" w:hanging="240"/>
      </w:pPr>
      <w:rPr>
        <w:rFonts w:hint="default"/>
      </w:rPr>
    </w:lvl>
    <w:lvl w:ilvl="4">
      <w:start w:val="1"/>
      <w:numFmt w:val="bullet"/>
      <w:lvlText w:val="•"/>
      <w:lvlJc w:val="left"/>
      <w:pPr>
        <w:ind w:left="1153" w:hanging="240"/>
      </w:pPr>
      <w:rPr>
        <w:rFonts w:hint="default"/>
      </w:rPr>
    </w:lvl>
    <w:lvl w:ilvl="5">
      <w:start w:val="1"/>
      <w:numFmt w:val="bullet"/>
      <w:lvlText w:val="•"/>
      <w:lvlJc w:val="left"/>
      <w:pPr>
        <w:ind w:left="1356" w:hanging="240"/>
      </w:pPr>
      <w:rPr>
        <w:rFonts w:hint="default"/>
      </w:rPr>
    </w:lvl>
    <w:lvl w:ilvl="6">
      <w:start w:val="1"/>
      <w:numFmt w:val="bullet"/>
      <w:lvlText w:val="•"/>
      <w:lvlJc w:val="left"/>
      <w:pPr>
        <w:ind w:left="1559" w:hanging="240"/>
      </w:pPr>
      <w:rPr>
        <w:rFonts w:hint="default"/>
      </w:rPr>
    </w:lvl>
    <w:lvl w:ilvl="7">
      <w:start w:val="1"/>
      <w:numFmt w:val="bullet"/>
      <w:lvlText w:val="•"/>
      <w:lvlJc w:val="left"/>
      <w:pPr>
        <w:ind w:left="1763" w:hanging="240"/>
      </w:pPr>
      <w:rPr>
        <w:rFonts w:hint="default"/>
      </w:rPr>
    </w:lvl>
    <w:lvl w:ilvl="8">
      <w:start w:val="1"/>
      <w:numFmt w:val="bullet"/>
      <w:lvlText w:val="•"/>
      <w:lvlJc w:val="left"/>
      <w:pPr>
        <w:ind w:left="1966" w:hanging="240"/>
      </w:pPr>
      <w:rPr>
        <w:rFonts w:hint="default"/>
      </w:rPr>
    </w:lvl>
  </w:abstractNum>
  <w:abstractNum w:abstractNumId="71">
    <w:multiLevelType w:val="hybridMultilevel"/>
    <w:lvl w:ilvl="0">
      <w:start w:val="1"/>
      <w:numFmt w:val="bullet"/>
      <w:lvlText w:val="•"/>
      <w:lvlJc w:val="left"/>
      <w:pPr>
        <w:ind w:left="102" w:hanging="240"/>
      </w:pPr>
      <w:rPr>
        <w:rFonts w:hint="default" w:ascii="Trebuchet MS" w:hAnsi="Trebuchet MS" w:eastAsia="Trebuchet MS" w:cs="Trebuchet MS"/>
        <w:w w:val="95"/>
        <w:sz w:val="16"/>
        <w:szCs w:val="16"/>
      </w:rPr>
    </w:lvl>
    <w:lvl w:ilvl="1">
      <w:start w:val="1"/>
      <w:numFmt w:val="bullet"/>
      <w:lvlText w:val="•"/>
      <w:lvlJc w:val="left"/>
      <w:pPr>
        <w:ind w:left="259" w:hanging="240"/>
      </w:pPr>
      <w:rPr>
        <w:rFonts w:hint="default"/>
      </w:rPr>
    </w:lvl>
    <w:lvl w:ilvl="2">
      <w:start w:val="1"/>
      <w:numFmt w:val="bullet"/>
      <w:lvlText w:val="•"/>
      <w:lvlJc w:val="left"/>
      <w:pPr>
        <w:ind w:left="419" w:hanging="240"/>
      </w:pPr>
      <w:rPr>
        <w:rFonts w:hint="default"/>
      </w:rPr>
    </w:lvl>
    <w:lvl w:ilvl="3">
      <w:start w:val="1"/>
      <w:numFmt w:val="bullet"/>
      <w:lvlText w:val="•"/>
      <w:lvlJc w:val="left"/>
      <w:pPr>
        <w:ind w:left="578" w:hanging="240"/>
      </w:pPr>
      <w:rPr>
        <w:rFonts w:hint="default"/>
      </w:rPr>
    </w:lvl>
    <w:lvl w:ilvl="4">
      <w:start w:val="1"/>
      <w:numFmt w:val="bullet"/>
      <w:lvlText w:val="•"/>
      <w:lvlJc w:val="left"/>
      <w:pPr>
        <w:ind w:left="738" w:hanging="240"/>
      </w:pPr>
      <w:rPr>
        <w:rFonts w:hint="default"/>
      </w:rPr>
    </w:lvl>
    <w:lvl w:ilvl="5">
      <w:start w:val="1"/>
      <w:numFmt w:val="bullet"/>
      <w:lvlText w:val="•"/>
      <w:lvlJc w:val="left"/>
      <w:pPr>
        <w:ind w:left="898" w:hanging="240"/>
      </w:pPr>
      <w:rPr>
        <w:rFonts w:hint="default"/>
      </w:rPr>
    </w:lvl>
    <w:lvl w:ilvl="6">
      <w:start w:val="1"/>
      <w:numFmt w:val="bullet"/>
      <w:lvlText w:val="•"/>
      <w:lvlJc w:val="left"/>
      <w:pPr>
        <w:ind w:left="1057" w:hanging="240"/>
      </w:pPr>
      <w:rPr>
        <w:rFonts w:hint="default"/>
      </w:rPr>
    </w:lvl>
    <w:lvl w:ilvl="7">
      <w:start w:val="1"/>
      <w:numFmt w:val="bullet"/>
      <w:lvlText w:val="•"/>
      <w:lvlJc w:val="left"/>
      <w:pPr>
        <w:ind w:left="1217" w:hanging="240"/>
      </w:pPr>
      <w:rPr>
        <w:rFonts w:hint="default"/>
      </w:rPr>
    </w:lvl>
    <w:lvl w:ilvl="8">
      <w:start w:val="1"/>
      <w:numFmt w:val="bullet"/>
      <w:lvlText w:val="•"/>
      <w:lvlJc w:val="left"/>
      <w:pPr>
        <w:ind w:left="1376" w:hanging="240"/>
      </w:pPr>
      <w:rPr>
        <w:rFonts w:hint="default"/>
      </w:rPr>
    </w:lvl>
  </w:abstractNum>
  <w:abstractNum w:abstractNumId="70">
    <w:multiLevelType w:val="hybridMultilevel"/>
    <w:lvl w:ilvl="0">
      <w:start w:val="1"/>
      <w:numFmt w:val="bullet"/>
      <w:lvlText w:val="•"/>
      <w:lvlJc w:val="left"/>
      <w:pPr>
        <w:ind w:left="103" w:hanging="240"/>
      </w:pPr>
      <w:rPr>
        <w:rFonts w:hint="default" w:ascii="Trebuchet MS" w:hAnsi="Trebuchet MS" w:eastAsia="Trebuchet MS" w:cs="Trebuchet MS"/>
        <w:w w:val="95"/>
        <w:sz w:val="16"/>
        <w:szCs w:val="16"/>
      </w:rPr>
    </w:lvl>
    <w:lvl w:ilvl="1">
      <w:start w:val="1"/>
      <w:numFmt w:val="bullet"/>
      <w:lvlText w:val="•"/>
      <w:lvlJc w:val="left"/>
      <w:pPr>
        <w:ind w:left="448" w:hanging="240"/>
      </w:pPr>
      <w:rPr>
        <w:rFonts w:hint="default"/>
      </w:rPr>
    </w:lvl>
    <w:lvl w:ilvl="2">
      <w:start w:val="1"/>
      <w:numFmt w:val="bullet"/>
      <w:lvlText w:val="•"/>
      <w:lvlJc w:val="left"/>
      <w:pPr>
        <w:ind w:left="797" w:hanging="240"/>
      </w:pPr>
      <w:rPr>
        <w:rFonts w:hint="default"/>
      </w:rPr>
    </w:lvl>
    <w:lvl w:ilvl="3">
      <w:start w:val="1"/>
      <w:numFmt w:val="bullet"/>
      <w:lvlText w:val="•"/>
      <w:lvlJc w:val="left"/>
      <w:pPr>
        <w:ind w:left="1145" w:hanging="240"/>
      </w:pPr>
      <w:rPr>
        <w:rFonts w:hint="default"/>
      </w:rPr>
    </w:lvl>
    <w:lvl w:ilvl="4">
      <w:start w:val="1"/>
      <w:numFmt w:val="bullet"/>
      <w:lvlText w:val="•"/>
      <w:lvlJc w:val="left"/>
      <w:pPr>
        <w:ind w:left="1494" w:hanging="240"/>
      </w:pPr>
      <w:rPr>
        <w:rFonts w:hint="default"/>
      </w:rPr>
    </w:lvl>
    <w:lvl w:ilvl="5">
      <w:start w:val="1"/>
      <w:numFmt w:val="bullet"/>
      <w:lvlText w:val="•"/>
      <w:lvlJc w:val="left"/>
      <w:pPr>
        <w:ind w:left="1842" w:hanging="240"/>
      </w:pPr>
      <w:rPr>
        <w:rFonts w:hint="default"/>
      </w:rPr>
    </w:lvl>
    <w:lvl w:ilvl="6">
      <w:start w:val="1"/>
      <w:numFmt w:val="bullet"/>
      <w:lvlText w:val="•"/>
      <w:lvlJc w:val="left"/>
      <w:pPr>
        <w:ind w:left="2191" w:hanging="240"/>
      </w:pPr>
      <w:rPr>
        <w:rFonts w:hint="default"/>
      </w:rPr>
    </w:lvl>
    <w:lvl w:ilvl="7">
      <w:start w:val="1"/>
      <w:numFmt w:val="bullet"/>
      <w:lvlText w:val="•"/>
      <w:lvlJc w:val="left"/>
      <w:pPr>
        <w:ind w:left="2540" w:hanging="240"/>
      </w:pPr>
      <w:rPr>
        <w:rFonts w:hint="default"/>
      </w:rPr>
    </w:lvl>
    <w:lvl w:ilvl="8">
      <w:start w:val="1"/>
      <w:numFmt w:val="bullet"/>
      <w:lvlText w:val="•"/>
      <w:lvlJc w:val="left"/>
      <w:pPr>
        <w:ind w:left="2888" w:hanging="240"/>
      </w:pPr>
      <w:rPr>
        <w:rFonts w:hint="default"/>
      </w:rPr>
    </w:lvl>
  </w:abstractNum>
  <w:abstractNum w:abstractNumId="69">
    <w:multiLevelType w:val="hybridMultilevel"/>
    <w:lvl w:ilvl="0">
      <w:start w:val="1"/>
      <w:numFmt w:val="bullet"/>
      <w:lvlText w:val="•"/>
      <w:lvlJc w:val="left"/>
      <w:pPr>
        <w:ind w:left="108" w:hanging="240"/>
      </w:pPr>
      <w:rPr>
        <w:rFonts w:hint="default" w:ascii="Trebuchet MS" w:hAnsi="Trebuchet MS" w:eastAsia="Trebuchet MS" w:cs="Trebuchet MS"/>
        <w:w w:val="95"/>
        <w:sz w:val="16"/>
        <w:szCs w:val="16"/>
      </w:rPr>
    </w:lvl>
    <w:lvl w:ilvl="1">
      <w:start w:val="1"/>
      <w:numFmt w:val="bullet"/>
      <w:lvlText w:val="•"/>
      <w:lvlJc w:val="left"/>
      <w:pPr>
        <w:ind w:left="327" w:hanging="240"/>
      </w:pPr>
      <w:rPr>
        <w:rFonts w:hint="default"/>
      </w:rPr>
    </w:lvl>
    <w:lvl w:ilvl="2">
      <w:start w:val="1"/>
      <w:numFmt w:val="bullet"/>
      <w:lvlText w:val="•"/>
      <w:lvlJc w:val="left"/>
      <w:pPr>
        <w:ind w:left="554" w:hanging="240"/>
      </w:pPr>
      <w:rPr>
        <w:rFonts w:hint="default"/>
      </w:rPr>
    </w:lvl>
    <w:lvl w:ilvl="3">
      <w:start w:val="1"/>
      <w:numFmt w:val="bullet"/>
      <w:lvlText w:val="•"/>
      <w:lvlJc w:val="left"/>
      <w:pPr>
        <w:ind w:left="781" w:hanging="240"/>
      </w:pPr>
      <w:rPr>
        <w:rFonts w:hint="default"/>
      </w:rPr>
    </w:lvl>
    <w:lvl w:ilvl="4">
      <w:start w:val="1"/>
      <w:numFmt w:val="bullet"/>
      <w:lvlText w:val="•"/>
      <w:lvlJc w:val="left"/>
      <w:pPr>
        <w:ind w:left="1009" w:hanging="240"/>
      </w:pPr>
      <w:rPr>
        <w:rFonts w:hint="default"/>
      </w:rPr>
    </w:lvl>
    <w:lvl w:ilvl="5">
      <w:start w:val="1"/>
      <w:numFmt w:val="bullet"/>
      <w:lvlText w:val="•"/>
      <w:lvlJc w:val="left"/>
      <w:pPr>
        <w:ind w:left="1236" w:hanging="240"/>
      </w:pPr>
      <w:rPr>
        <w:rFonts w:hint="default"/>
      </w:rPr>
    </w:lvl>
    <w:lvl w:ilvl="6">
      <w:start w:val="1"/>
      <w:numFmt w:val="bullet"/>
      <w:lvlText w:val="•"/>
      <w:lvlJc w:val="left"/>
      <w:pPr>
        <w:ind w:left="1463" w:hanging="240"/>
      </w:pPr>
      <w:rPr>
        <w:rFonts w:hint="default"/>
      </w:rPr>
    </w:lvl>
    <w:lvl w:ilvl="7">
      <w:start w:val="1"/>
      <w:numFmt w:val="bullet"/>
      <w:lvlText w:val="•"/>
      <w:lvlJc w:val="left"/>
      <w:pPr>
        <w:ind w:left="1691" w:hanging="240"/>
      </w:pPr>
      <w:rPr>
        <w:rFonts w:hint="default"/>
      </w:rPr>
    </w:lvl>
    <w:lvl w:ilvl="8">
      <w:start w:val="1"/>
      <w:numFmt w:val="bullet"/>
      <w:lvlText w:val="•"/>
      <w:lvlJc w:val="left"/>
      <w:pPr>
        <w:ind w:left="1918" w:hanging="240"/>
      </w:pPr>
      <w:rPr>
        <w:rFonts w:hint="default"/>
      </w:rPr>
    </w:lvl>
  </w:abstractNum>
  <w:abstractNum w:abstractNumId="68">
    <w:multiLevelType w:val="hybridMultilevel"/>
    <w:lvl w:ilvl="0">
      <w:start w:val="1"/>
      <w:numFmt w:val="bullet"/>
      <w:lvlText w:val="•"/>
      <w:lvlJc w:val="left"/>
      <w:pPr>
        <w:ind w:left="342" w:hanging="240"/>
      </w:pPr>
      <w:rPr>
        <w:rFonts w:hint="default" w:ascii="Trebuchet MS" w:hAnsi="Trebuchet MS" w:eastAsia="Trebuchet MS" w:cs="Trebuchet MS"/>
        <w:w w:val="95"/>
        <w:sz w:val="16"/>
        <w:szCs w:val="16"/>
      </w:rPr>
    </w:lvl>
    <w:lvl w:ilvl="1">
      <w:start w:val="1"/>
      <w:numFmt w:val="bullet"/>
      <w:lvlText w:val="•"/>
      <w:lvlJc w:val="left"/>
      <w:pPr>
        <w:ind w:left="475" w:hanging="240"/>
      </w:pPr>
      <w:rPr>
        <w:rFonts w:hint="default"/>
      </w:rPr>
    </w:lvl>
    <w:lvl w:ilvl="2">
      <w:start w:val="1"/>
      <w:numFmt w:val="bullet"/>
      <w:lvlText w:val="•"/>
      <w:lvlJc w:val="left"/>
      <w:pPr>
        <w:ind w:left="611" w:hanging="240"/>
      </w:pPr>
      <w:rPr>
        <w:rFonts w:hint="default"/>
      </w:rPr>
    </w:lvl>
    <w:lvl w:ilvl="3">
      <w:start w:val="1"/>
      <w:numFmt w:val="bullet"/>
      <w:lvlText w:val="•"/>
      <w:lvlJc w:val="left"/>
      <w:pPr>
        <w:ind w:left="746" w:hanging="240"/>
      </w:pPr>
      <w:rPr>
        <w:rFonts w:hint="default"/>
      </w:rPr>
    </w:lvl>
    <w:lvl w:ilvl="4">
      <w:start w:val="1"/>
      <w:numFmt w:val="bullet"/>
      <w:lvlText w:val="•"/>
      <w:lvlJc w:val="left"/>
      <w:pPr>
        <w:ind w:left="882" w:hanging="240"/>
      </w:pPr>
      <w:rPr>
        <w:rFonts w:hint="default"/>
      </w:rPr>
    </w:lvl>
    <w:lvl w:ilvl="5">
      <w:start w:val="1"/>
      <w:numFmt w:val="bullet"/>
      <w:lvlText w:val="•"/>
      <w:lvlJc w:val="left"/>
      <w:pPr>
        <w:ind w:left="1018" w:hanging="240"/>
      </w:pPr>
      <w:rPr>
        <w:rFonts w:hint="default"/>
      </w:rPr>
    </w:lvl>
    <w:lvl w:ilvl="6">
      <w:start w:val="1"/>
      <w:numFmt w:val="bullet"/>
      <w:lvlText w:val="•"/>
      <w:lvlJc w:val="left"/>
      <w:pPr>
        <w:ind w:left="1153" w:hanging="240"/>
      </w:pPr>
      <w:rPr>
        <w:rFonts w:hint="default"/>
      </w:rPr>
    </w:lvl>
    <w:lvl w:ilvl="7">
      <w:start w:val="1"/>
      <w:numFmt w:val="bullet"/>
      <w:lvlText w:val="•"/>
      <w:lvlJc w:val="left"/>
      <w:pPr>
        <w:ind w:left="1289" w:hanging="240"/>
      </w:pPr>
      <w:rPr>
        <w:rFonts w:hint="default"/>
      </w:rPr>
    </w:lvl>
    <w:lvl w:ilvl="8">
      <w:start w:val="1"/>
      <w:numFmt w:val="bullet"/>
      <w:lvlText w:val="•"/>
      <w:lvlJc w:val="left"/>
      <w:pPr>
        <w:ind w:left="1424" w:hanging="240"/>
      </w:pPr>
      <w:rPr>
        <w:rFonts w:hint="default"/>
      </w:rPr>
    </w:lvl>
  </w:abstractNum>
  <w:abstractNum w:abstractNumId="67">
    <w:multiLevelType w:val="hybridMultilevel"/>
    <w:lvl w:ilvl="0">
      <w:start w:val="1"/>
      <w:numFmt w:val="bullet"/>
      <w:lvlText w:val="•"/>
      <w:lvlJc w:val="left"/>
      <w:pPr>
        <w:ind w:left="343" w:hanging="240"/>
      </w:pPr>
      <w:rPr>
        <w:rFonts w:hint="default" w:ascii="Trebuchet MS" w:hAnsi="Trebuchet MS" w:eastAsia="Trebuchet MS" w:cs="Trebuchet MS"/>
        <w:w w:val="95"/>
        <w:sz w:val="16"/>
        <w:szCs w:val="16"/>
      </w:rPr>
    </w:lvl>
    <w:lvl w:ilvl="1">
      <w:start w:val="1"/>
      <w:numFmt w:val="bullet"/>
      <w:lvlText w:val="•"/>
      <w:lvlJc w:val="left"/>
      <w:pPr>
        <w:ind w:left="664" w:hanging="240"/>
      </w:pPr>
      <w:rPr>
        <w:rFonts w:hint="default"/>
      </w:rPr>
    </w:lvl>
    <w:lvl w:ilvl="2">
      <w:start w:val="1"/>
      <w:numFmt w:val="bullet"/>
      <w:lvlText w:val="•"/>
      <w:lvlJc w:val="left"/>
      <w:pPr>
        <w:ind w:left="989" w:hanging="240"/>
      </w:pPr>
      <w:rPr>
        <w:rFonts w:hint="default"/>
      </w:rPr>
    </w:lvl>
    <w:lvl w:ilvl="3">
      <w:start w:val="1"/>
      <w:numFmt w:val="bullet"/>
      <w:lvlText w:val="•"/>
      <w:lvlJc w:val="left"/>
      <w:pPr>
        <w:ind w:left="1313" w:hanging="240"/>
      </w:pPr>
      <w:rPr>
        <w:rFonts w:hint="default"/>
      </w:rPr>
    </w:lvl>
    <w:lvl w:ilvl="4">
      <w:start w:val="1"/>
      <w:numFmt w:val="bullet"/>
      <w:lvlText w:val="•"/>
      <w:lvlJc w:val="left"/>
      <w:pPr>
        <w:ind w:left="1638" w:hanging="240"/>
      </w:pPr>
      <w:rPr>
        <w:rFonts w:hint="default"/>
      </w:rPr>
    </w:lvl>
    <w:lvl w:ilvl="5">
      <w:start w:val="1"/>
      <w:numFmt w:val="bullet"/>
      <w:lvlText w:val="•"/>
      <w:lvlJc w:val="left"/>
      <w:pPr>
        <w:ind w:left="1962" w:hanging="240"/>
      </w:pPr>
      <w:rPr>
        <w:rFonts w:hint="default"/>
      </w:rPr>
    </w:lvl>
    <w:lvl w:ilvl="6">
      <w:start w:val="1"/>
      <w:numFmt w:val="bullet"/>
      <w:lvlText w:val="•"/>
      <w:lvlJc w:val="left"/>
      <w:pPr>
        <w:ind w:left="2287" w:hanging="240"/>
      </w:pPr>
      <w:rPr>
        <w:rFonts w:hint="default"/>
      </w:rPr>
    </w:lvl>
    <w:lvl w:ilvl="7">
      <w:start w:val="1"/>
      <w:numFmt w:val="bullet"/>
      <w:lvlText w:val="•"/>
      <w:lvlJc w:val="left"/>
      <w:pPr>
        <w:ind w:left="2612" w:hanging="240"/>
      </w:pPr>
      <w:rPr>
        <w:rFonts w:hint="default"/>
      </w:rPr>
    </w:lvl>
    <w:lvl w:ilvl="8">
      <w:start w:val="1"/>
      <w:numFmt w:val="bullet"/>
      <w:lvlText w:val="•"/>
      <w:lvlJc w:val="left"/>
      <w:pPr>
        <w:ind w:left="2936" w:hanging="240"/>
      </w:pPr>
      <w:rPr>
        <w:rFonts w:hint="default"/>
      </w:rPr>
    </w:lvl>
  </w:abstractNum>
  <w:abstractNum w:abstractNumId="66">
    <w:multiLevelType w:val="hybridMultilevel"/>
    <w:lvl w:ilvl="0">
      <w:start w:val="1"/>
      <w:numFmt w:val="bullet"/>
      <w:lvlText w:val="•"/>
      <w:lvlJc w:val="left"/>
      <w:pPr>
        <w:ind w:left="348" w:hanging="240"/>
      </w:pPr>
      <w:rPr>
        <w:rFonts w:hint="default" w:ascii="Trebuchet MS" w:hAnsi="Trebuchet MS" w:eastAsia="Trebuchet MS" w:cs="Trebuchet MS"/>
        <w:w w:val="95"/>
        <w:sz w:val="16"/>
        <w:szCs w:val="16"/>
      </w:rPr>
    </w:lvl>
    <w:lvl w:ilvl="1">
      <w:start w:val="1"/>
      <w:numFmt w:val="bullet"/>
      <w:lvlText w:val="•"/>
      <w:lvlJc w:val="left"/>
      <w:pPr>
        <w:ind w:left="543" w:hanging="240"/>
      </w:pPr>
      <w:rPr>
        <w:rFonts w:hint="default"/>
      </w:rPr>
    </w:lvl>
    <w:lvl w:ilvl="2">
      <w:start w:val="1"/>
      <w:numFmt w:val="bullet"/>
      <w:lvlText w:val="•"/>
      <w:lvlJc w:val="left"/>
      <w:pPr>
        <w:ind w:left="746" w:hanging="240"/>
      </w:pPr>
      <w:rPr>
        <w:rFonts w:hint="default"/>
      </w:rPr>
    </w:lvl>
    <w:lvl w:ilvl="3">
      <w:start w:val="1"/>
      <w:numFmt w:val="bullet"/>
      <w:lvlText w:val="•"/>
      <w:lvlJc w:val="left"/>
      <w:pPr>
        <w:ind w:left="949" w:hanging="240"/>
      </w:pPr>
      <w:rPr>
        <w:rFonts w:hint="default"/>
      </w:rPr>
    </w:lvl>
    <w:lvl w:ilvl="4">
      <w:start w:val="1"/>
      <w:numFmt w:val="bullet"/>
      <w:lvlText w:val="•"/>
      <w:lvlJc w:val="left"/>
      <w:pPr>
        <w:ind w:left="1153" w:hanging="240"/>
      </w:pPr>
      <w:rPr>
        <w:rFonts w:hint="default"/>
      </w:rPr>
    </w:lvl>
    <w:lvl w:ilvl="5">
      <w:start w:val="1"/>
      <w:numFmt w:val="bullet"/>
      <w:lvlText w:val="•"/>
      <w:lvlJc w:val="left"/>
      <w:pPr>
        <w:ind w:left="1356" w:hanging="240"/>
      </w:pPr>
      <w:rPr>
        <w:rFonts w:hint="default"/>
      </w:rPr>
    </w:lvl>
    <w:lvl w:ilvl="6">
      <w:start w:val="1"/>
      <w:numFmt w:val="bullet"/>
      <w:lvlText w:val="•"/>
      <w:lvlJc w:val="left"/>
      <w:pPr>
        <w:ind w:left="1559" w:hanging="240"/>
      </w:pPr>
      <w:rPr>
        <w:rFonts w:hint="default"/>
      </w:rPr>
    </w:lvl>
    <w:lvl w:ilvl="7">
      <w:start w:val="1"/>
      <w:numFmt w:val="bullet"/>
      <w:lvlText w:val="•"/>
      <w:lvlJc w:val="left"/>
      <w:pPr>
        <w:ind w:left="1763" w:hanging="240"/>
      </w:pPr>
      <w:rPr>
        <w:rFonts w:hint="default"/>
      </w:rPr>
    </w:lvl>
    <w:lvl w:ilvl="8">
      <w:start w:val="1"/>
      <w:numFmt w:val="bullet"/>
      <w:lvlText w:val="•"/>
      <w:lvlJc w:val="left"/>
      <w:pPr>
        <w:ind w:left="1966" w:hanging="240"/>
      </w:pPr>
      <w:rPr>
        <w:rFonts w:hint="default"/>
      </w:rPr>
    </w:lvl>
  </w:abstractNum>
  <w:abstractNum w:abstractNumId="65">
    <w:multiLevelType w:val="hybridMultilevel"/>
    <w:lvl w:ilvl="0">
      <w:start w:val="2"/>
      <w:numFmt w:val="lowerRoman"/>
      <w:lvlText w:val="%1)"/>
      <w:lvlJc w:val="left"/>
      <w:pPr>
        <w:ind w:left="156" w:hanging="219"/>
        <w:jc w:val="left"/>
      </w:pPr>
      <w:rPr>
        <w:rFonts w:hint="default" w:ascii="Arial" w:hAnsi="Arial" w:eastAsia="Arial" w:cs="Arial"/>
        <w:w w:val="90"/>
        <w:sz w:val="20"/>
        <w:szCs w:val="20"/>
      </w:rPr>
    </w:lvl>
    <w:lvl w:ilvl="1">
      <w:start w:val="1"/>
      <w:numFmt w:val="decimal"/>
      <w:lvlText w:val="%2)"/>
      <w:lvlJc w:val="left"/>
      <w:pPr>
        <w:ind w:left="117" w:hanging="265"/>
        <w:jc w:val="left"/>
      </w:pPr>
      <w:rPr>
        <w:rFonts w:hint="default" w:ascii="Arial" w:hAnsi="Arial" w:eastAsia="Arial" w:cs="Arial"/>
        <w:w w:val="91"/>
        <w:sz w:val="20"/>
        <w:szCs w:val="20"/>
      </w:rPr>
    </w:lvl>
    <w:lvl w:ilvl="2">
      <w:start w:val="1"/>
      <w:numFmt w:val="lowerLetter"/>
      <w:lvlText w:val="%3."/>
      <w:lvlJc w:val="left"/>
      <w:pPr>
        <w:ind w:left="660" w:hanging="360"/>
        <w:jc w:val="left"/>
      </w:pPr>
      <w:rPr>
        <w:rFonts w:hint="default" w:ascii="Arial" w:hAnsi="Arial" w:eastAsia="Arial" w:cs="Arial"/>
        <w:i/>
        <w:w w:val="95"/>
        <w:sz w:val="20"/>
        <w:szCs w:val="20"/>
      </w:rPr>
    </w:lvl>
    <w:lvl w:ilvl="3">
      <w:start w:val="1"/>
      <w:numFmt w:val="bullet"/>
      <w:lvlText w:val="•"/>
      <w:lvlJc w:val="left"/>
      <w:pPr>
        <w:ind w:left="660" w:hanging="360"/>
      </w:pPr>
      <w:rPr>
        <w:rFonts w:hint="default"/>
      </w:rPr>
    </w:lvl>
    <w:lvl w:ilvl="4">
      <w:start w:val="1"/>
      <w:numFmt w:val="bullet"/>
      <w:lvlText w:val="•"/>
      <w:lvlJc w:val="left"/>
      <w:pPr>
        <w:ind w:left="339" w:hanging="360"/>
      </w:pPr>
      <w:rPr>
        <w:rFonts w:hint="default"/>
      </w:rPr>
    </w:lvl>
    <w:lvl w:ilvl="5">
      <w:start w:val="1"/>
      <w:numFmt w:val="bullet"/>
      <w:lvlText w:val="•"/>
      <w:lvlJc w:val="left"/>
      <w:pPr>
        <w:ind w:left="19" w:hanging="360"/>
      </w:pPr>
      <w:rPr>
        <w:rFonts w:hint="default"/>
      </w:rPr>
    </w:lvl>
    <w:lvl w:ilvl="6">
      <w:start w:val="1"/>
      <w:numFmt w:val="bullet"/>
      <w:lvlText w:val="•"/>
      <w:lvlJc w:val="left"/>
      <w:pPr>
        <w:ind w:left="-301" w:hanging="360"/>
      </w:pPr>
      <w:rPr>
        <w:rFonts w:hint="default"/>
      </w:rPr>
    </w:lvl>
    <w:lvl w:ilvl="7">
      <w:start w:val="1"/>
      <w:numFmt w:val="bullet"/>
      <w:lvlText w:val="•"/>
      <w:lvlJc w:val="left"/>
      <w:pPr>
        <w:ind w:left="-622" w:hanging="360"/>
      </w:pPr>
      <w:rPr>
        <w:rFonts w:hint="default"/>
      </w:rPr>
    </w:lvl>
    <w:lvl w:ilvl="8">
      <w:start w:val="1"/>
      <w:numFmt w:val="bullet"/>
      <w:lvlText w:val="•"/>
      <w:lvlJc w:val="left"/>
      <w:pPr>
        <w:ind w:left="-942" w:hanging="360"/>
      </w:pPr>
      <w:rPr>
        <w:rFonts w:hint="default"/>
      </w:rPr>
    </w:lvl>
  </w:abstractNum>
  <w:abstractNum w:abstractNumId="64">
    <w:multiLevelType w:val="hybridMultilevel"/>
    <w:lvl w:ilvl="0">
      <w:start w:val="1"/>
      <w:numFmt w:val="bullet"/>
      <w:lvlText w:val="•"/>
      <w:lvlJc w:val="left"/>
      <w:pPr>
        <w:ind w:left="823" w:hanging="154"/>
      </w:pPr>
      <w:rPr>
        <w:rFonts w:hint="default" w:ascii="Trebuchet MS" w:hAnsi="Trebuchet MS" w:eastAsia="Trebuchet MS" w:cs="Trebuchet MS"/>
        <w:w w:val="95"/>
        <w:sz w:val="16"/>
        <w:szCs w:val="16"/>
      </w:rPr>
    </w:lvl>
    <w:lvl w:ilvl="1">
      <w:start w:val="1"/>
      <w:numFmt w:val="bullet"/>
      <w:lvlText w:val="•"/>
      <w:lvlJc w:val="left"/>
      <w:pPr>
        <w:ind w:left="1091" w:hanging="154"/>
      </w:pPr>
      <w:rPr>
        <w:rFonts w:hint="default"/>
      </w:rPr>
    </w:lvl>
    <w:lvl w:ilvl="2">
      <w:start w:val="1"/>
      <w:numFmt w:val="bullet"/>
      <w:lvlText w:val="•"/>
      <w:lvlJc w:val="left"/>
      <w:pPr>
        <w:ind w:left="1363" w:hanging="154"/>
      </w:pPr>
      <w:rPr>
        <w:rFonts w:hint="default"/>
      </w:rPr>
    </w:lvl>
    <w:lvl w:ilvl="3">
      <w:start w:val="1"/>
      <w:numFmt w:val="bullet"/>
      <w:lvlText w:val="•"/>
      <w:lvlJc w:val="left"/>
      <w:pPr>
        <w:ind w:left="1635" w:hanging="154"/>
      </w:pPr>
      <w:rPr>
        <w:rFonts w:hint="default"/>
      </w:rPr>
    </w:lvl>
    <w:lvl w:ilvl="4">
      <w:start w:val="1"/>
      <w:numFmt w:val="bullet"/>
      <w:lvlText w:val="•"/>
      <w:lvlJc w:val="left"/>
      <w:pPr>
        <w:ind w:left="1907" w:hanging="154"/>
      </w:pPr>
      <w:rPr>
        <w:rFonts w:hint="default"/>
      </w:rPr>
    </w:lvl>
    <w:lvl w:ilvl="5">
      <w:start w:val="1"/>
      <w:numFmt w:val="bullet"/>
      <w:lvlText w:val="•"/>
      <w:lvlJc w:val="left"/>
      <w:pPr>
        <w:ind w:left="2179" w:hanging="154"/>
      </w:pPr>
      <w:rPr>
        <w:rFonts w:hint="default"/>
      </w:rPr>
    </w:lvl>
    <w:lvl w:ilvl="6">
      <w:start w:val="1"/>
      <w:numFmt w:val="bullet"/>
      <w:lvlText w:val="•"/>
      <w:lvlJc w:val="left"/>
      <w:pPr>
        <w:ind w:left="2451" w:hanging="154"/>
      </w:pPr>
      <w:rPr>
        <w:rFonts w:hint="default"/>
      </w:rPr>
    </w:lvl>
    <w:lvl w:ilvl="7">
      <w:start w:val="1"/>
      <w:numFmt w:val="bullet"/>
      <w:lvlText w:val="•"/>
      <w:lvlJc w:val="left"/>
      <w:pPr>
        <w:ind w:left="2723" w:hanging="154"/>
      </w:pPr>
      <w:rPr>
        <w:rFonts w:hint="default"/>
      </w:rPr>
    </w:lvl>
    <w:lvl w:ilvl="8">
      <w:start w:val="1"/>
      <w:numFmt w:val="bullet"/>
      <w:lvlText w:val="•"/>
      <w:lvlJc w:val="left"/>
      <w:pPr>
        <w:ind w:left="2995" w:hanging="154"/>
      </w:pPr>
      <w:rPr>
        <w:rFonts w:hint="default"/>
      </w:rPr>
    </w:lvl>
  </w:abstractNum>
  <w:abstractNum w:abstractNumId="63">
    <w:multiLevelType w:val="hybridMultilevel"/>
    <w:lvl w:ilvl="0">
      <w:start w:val="1"/>
      <w:numFmt w:val="bullet"/>
      <w:lvlText w:val="•"/>
      <w:lvlJc w:val="left"/>
      <w:pPr>
        <w:ind w:left="828" w:hanging="154"/>
      </w:pPr>
      <w:rPr>
        <w:rFonts w:hint="default" w:ascii="Trebuchet MS" w:hAnsi="Trebuchet MS" w:eastAsia="Trebuchet MS" w:cs="Trebuchet MS"/>
        <w:w w:val="95"/>
        <w:sz w:val="16"/>
        <w:szCs w:val="16"/>
      </w:rPr>
    </w:lvl>
    <w:lvl w:ilvl="1">
      <w:start w:val="1"/>
      <w:numFmt w:val="bullet"/>
      <w:lvlText w:val="•"/>
      <w:lvlJc w:val="left"/>
      <w:pPr>
        <w:ind w:left="1146" w:hanging="154"/>
      </w:pPr>
      <w:rPr>
        <w:rFonts w:hint="default"/>
      </w:rPr>
    </w:lvl>
    <w:lvl w:ilvl="2">
      <w:start w:val="1"/>
      <w:numFmt w:val="bullet"/>
      <w:lvlText w:val="•"/>
      <w:lvlJc w:val="left"/>
      <w:pPr>
        <w:ind w:left="1472" w:hanging="154"/>
      </w:pPr>
      <w:rPr>
        <w:rFonts w:hint="default"/>
      </w:rPr>
    </w:lvl>
    <w:lvl w:ilvl="3">
      <w:start w:val="1"/>
      <w:numFmt w:val="bullet"/>
      <w:lvlText w:val="•"/>
      <w:lvlJc w:val="left"/>
      <w:pPr>
        <w:ind w:left="1798" w:hanging="154"/>
      </w:pPr>
      <w:rPr>
        <w:rFonts w:hint="default"/>
      </w:rPr>
    </w:lvl>
    <w:lvl w:ilvl="4">
      <w:start w:val="1"/>
      <w:numFmt w:val="bullet"/>
      <w:lvlText w:val="•"/>
      <w:lvlJc w:val="left"/>
      <w:pPr>
        <w:ind w:left="2125" w:hanging="154"/>
      </w:pPr>
      <w:rPr>
        <w:rFonts w:hint="default"/>
      </w:rPr>
    </w:lvl>
    <w:lvl w:ilvl="5">
      <w:start w:val="1"/>
      <w:numFmt w:val="bullet"/>
      <w:lvlText w:val="•"/>
      <w:lvlJc w:val="left"/>
      <w:pPr>
        <w:ind w:left="2451" w:hanging="154"/>
      </w:pPr>
      <w:rPr>
        <w:rFonts w:hint="default"/>
      </w:rPr>
    </w:lvl>
    <w:lvl w:ilvl="6">
      <w:start w:val="1"/>
      <w:numFmt w:val="bullet"/>
      <w:lvlText w:val="•"/>
      <w:lvlJc w:val="left"/>
      <w:pPr>
        <w:ind w:left="2777" w:hanging="154"/>
      </w:pPr>
      <w:rPr>
        <w:rFonts w:hint="default"/>
      </w:rPr>
    </w:lvl>
    <w:lvl w:ilvl="7">
      <w:start w:val="1"/>
      <w:numFmt w:val="bullet"/>
      <w:lvlText w:val="•"/>
      <w:lvlJc w:val="left"/>
      <w:pPr>
        <w:ind w:left="3104" w:hanging="154"/>
      </w:pPr>
      <w:rPr>
        <w:rFonts w:hint="default"/>
      </w:rPr>
    </w:lvl>
    <w:lvl w:ilvl="8">
      <w:start w:val="1"/>
      <w:numFmt w:val="bullet"/>
      <w:lvlText w:val="•"/>
      <w:lvlJc w:val="left"/>
      <w:pPr>
        <w:ind w:left="3430" w:hanging="154"/>
      </w:pPr>
      <w:rPr>
        <w:rFonts w:hint="default"/>
      </w:rPr>
    </w:lvl>
  </w:abstractNum>
  <w:abstractNum w:abstractNumId="62">
    <w:multiLevelType w:val="hybridMultilevel"/>
    <w:lvl w:ilvl="0">
      <w:start w:val="1"/>
      <w:numFmt w:val="bullet"/>
      <w:lvlText w:val="•"/>
      <w:lvlJc w:val="left"/>
      <w:pPr>
        <w:ind w:left="670" w:hanging="154"/>
      </w:pPr>
      <w:rPr>
        <w:rFonts w:hint="default" w:ascii="Trebuchet MS" w:hAnsi="Trebuchet MS" w:eastAsia="Trebuchet MS" w:cs="Trebuchet MS"/>
        <w:w w:val="95"/>
        <w:sz w:val="16"/>
        <w:szCs w:val="16"/>
      </w:rPr>
    </w:lvl>
    <w:lvl w:ilvl="1">
      <w:start w:val="1"/>
      <w:numFmt w:val="bullet"/>
      <w:lvlText w:val="•"/>
      <w:lvlJc w:val="left"/>
      <w:pPr>
        <w:ind w:left="965" w:hanging="154"/>
      </w:pPr>
      <w:rPr>
        <w:rFonts w:hint="default"/>
      </w:rPr>
    </w:lvl>
    <w:lvl w:ilvl="2">
      <w:start w:val="1"/>
      <w:numFmt w:val="bullet"/>
      <w:lvlText w:val="•"/>
      <w:lvlJc w:val="left"/>
      <w:pPr>
        <w:ind w:left="1250" w:hanging="154"/>
      </w:pPr>
      <w:rPr>
        <w:rFonts w:hint="default"/>
      </w:rPr>
    </w:lvl>
    <w:lvl w:ilvl="3">
      <w:start w:val="1"/>
      <w:numFmt w:val="bullet"/>
      <w:lvlText w:val="•"/>
      <w:lvlJc w:val="left"/>
      <w:pPr>
        <w:ind w:left="1536" w:hanging="154"/>
      </w:pPr>
      <w:rPr>
        <w:rFonts w:hint="default"/>
      </w:rPr>
    </w:lvl>
    <w:lvl w:ilvl="4">
      <w:start w:val="1"/>
      <w:numFmt w:val="bullet"/>
      <w:lvlText w:val="•"/>
      <w:lvlJc w:val="left"/>
      <w:pPr>
        <w:ind w:left="1821" w:hanging="154"/>
      </w:pPr>
      <w:rPr>
        <w:rFonts w:hint="default"/>
      </w:rPr>
    </w:lvl>
    <w:lvl w:ilvl="5">
      <w:start w:val="1"/>
      <w:numFmt w:val="bullet"/>
      <w:lvlText w:val="•"/>
      <w:lvlJc w:val="left"/>
      <w:pPr>
        <w:ind w:left="2107" w:hanging="154"/>
      </w:pPr>
      <w:rPr>
        <w:rFonts w:hint="default"/>
      </w:rPr>
    </w:lvl>
    <w:lvl w:ilvl="6">
      <w:start w:val="1"/>
      <w:numFmt w:val="bullet"/>
      <w:lvlText w:val="•"/>
      <w:lvlJc w:val="left"/>
      <w:pPr>
        <w:ind w:left="2392" w:hanging="154"/>
      </w:pPr>
      <w:rPr>
        <w:rFonts w:hint="default"/>
      </w:rPr>
    </w:lvl>
    <w:lvl w:ilvl="7">
      <w:start w:val="1"/>
      <w:numFmt w:val="bullet"/>
      <w:lvlText w:val="•"/>
      <w:lvlJc w:val="left"/>
      <w:pPr>
        <w:ind w:left="2677" w:hanging="154"/>
      </w:pPr>
      <w:rPr>
        <w:rFonts w:hint="default"/>
      </w:rPr>
    </w:lvl>
    <w:lvl w:ilvl="8">
      <w:start w:val="1"/>
      <w:numFmt w:val="bullet"/>
      <w:lvlText w:val="•"/>
      <w:lvlJc w:val="left"/>
      <w:pPr>
        <w:ind w:left="2963" w:hanging="154"/>
      </w:pPr>
      <w:rPr>
        <w:rFonts w:hint="default"/>
      </w:rPr>
    </w:lvl>
  </w:abstractNum>
  <w:abstractNum w:abstractNumId="61">
    <w:multiLevelType w:val="hybridMultilevel"/>
    <w:lvl w:ilvl="0">
      <w:start w:val="1"/>
      <w:numFmt w:val="bullet"/>
      <w:lvlText w:val="•"/>
      <w:lvlJc w:val="left"/>
      <w:pPr>
        <w:ind w:left="828" w:hanging="154"/>
      </w:pPr>
      <w:rPr>
        <w:rFonts w:hint="default" w:ascii="Trebuchet MS" w:hAnsi="Trebuchet MS" w:eastAsia="Trebuchet MS" w:cs="Trebuchet MS"/>
        <w:w w:val="95"/>
        <w:sz w:val="16"/>
        <w:szCs w:val="16"/>
      </w:rPr>
    </w:lvl>
    <w:lvl w:ilvl="1">
      <w:start w:val="1"/>
      <w:numFmt w:val="bullet"/>
      <w:lvlText w:val="•"/>
      <w:lvlJc w:val="left"/>
      <w:pPr>
        <w:ind w:left="1146" w:hanging="154"/>
      </w:pPr>
      <w:rPr>
        <w:rFonts w:hint="default"/>
      </w:rPr>
    </w:lvl>
    <w:lvl w:ilvl="2">
      <w:start w:val="1"/>
      <w:numFmt w:val="bullet"/>
      <w:lvlText w:val="•"/>
      <w:lvlJc w:val="left"/>
      <w:pPr>
        <w:ind w:left="1472" w:hanging="154"/>
      </w:pPr>
      <w:rPr>
        <w:rFonts w:hint="default"/>
      </w:rPr>
    </w:lvl>
    <w:lvl w:ilvl="3">
      <w:start w:val="1"/>
      <w:numFmt w:val="bullet"/>
      <w:lvlText w:val="•"/>
      <w:lvlJc w:val="left"/>
      <w:pPr>
        <w:ind w:left="1798" w:hanging="154"/>
      </w:pPr>
      <w:rPr>
        <w:rFonts w:hint="default"/>
      </w:rPr>
    </w:lvl>
    <w:lvl w:ilvl="4">
      <w:start w:val="1"/>
      <w:numFmt w:val="bullet"/>
      <w:lvlText w:val="•"/>
      <w:lvlJc w:val="left"/>
      <w:pPr>
        <w:ind w:left="2125" w:hanging="154"/>
      </w:pPr>
      <w:rPr>
        <w:rFonts w:hint="default"/>
      </w:rPr>
    </w:lvl>
    <w:lvl w:ilvl="5">
      <w:start w:val="1"/>
      <w:numFmt w:val="bullet"/>
      <w:lvlText w:val="•"/>
      <w:lvlJc w:val="left"/>
      <w:pPr>
        <w:ind w:left="2451" w:hanging="154"/>
      </w:pPr>
      <w:rPr>
        <w:rFonts w:hint="default"/>
      </w:rPr>
    </w:lvl>
    <w:lvl w:ilvl="6">
      <w:start w:val="1"/>
      <w:numFmt w:val="bullet"/>
      <w:lvlText w:val="•"/>
      <w:lvlJc w:val="left"/>
      <w:pPr>
        <w:ind w:left="2777" w:hanging="154"/>
      </w:pPr>
      <w:rPr>
        <w:rFonts w:hint="default"/>
      </w:rPr>
    </w:lvl>
    <w:lvl w:ilvl="7">
      <w:start w:val="1"/>
      <w:numFmt w:val="bullet"/>
      <w:lvlText w:val="•"/>
      <w:lvlJc w:val="left"/>
      <w:pPr>
        <w:ind w:left="3104" w:hanging="154"/>
      </w:pPr>
      <w:rPr>
        <w:rFonts w:hint="default"/>
      </w:rPr>
    </w:lvl>
    <w:lvl w:ilvl="8">
      <w:start w:val="1"/>
      <w:numFmt w:val="bullet"/>
      <w:lvlText w:val="•"/>
      <w:lvlJc w:val="left"/>
      <w:pPr>
        <w:ind w:left="3430" w:hanging="154"/>
      </w:pPr>
      <w:rPr>
        <w:rFonts w:hint="default"/>
      </w:rPr>
    </w:lvl>
  </w:abstractNum>
  <w:abstractNum w:abstractNumId="60">
    <w:multiLevelType w:val="hybridMultilevel"/>
    <w:lvl w:ilvl="0">
      <w:start w:val="1"/>
      <w:numFmt w:val="bullet"/>
      <w:lvlText w:val="•"/>
      <w:lvlJc w:val="left"/>
      <w:pPr>
        <w:ind w:left="669" w:hanging="154"/>
      </w:pPr>
      <w:rPr>
        <w:rFonts w:hint="default" w:ascii="Trebuchet MS" w:hAnsi="Trebuchet MS" w:eastAsia="Trebuchet MS" w:cs="Trebuchet MS"/>
        <w:w w:val="95"/>
        <w:sz w:val="16"/>
        <w:szCs w:val="16"/>
      </w:rPr>
    </w:lvl>
    <w:lvl w:ilvl="1">
      <w:start w:val="1"/>
      <w:numFmt w:val="bullet"/>
      <w:lvlText w:val="•"/>
      <w:lvlJc w:val="left"/>
      <w:pPr>
        <w:ind w:left="947" w:hanging="154"/>
      </w:pPr>
      <w:rPr>
        <w:rFonts w:hint="default"/>
      </w:rPr>
    </w:lvl>
    <w:lvl w:ilvl="2">
      <w:start w:val="1"/>
      <w:numFmt w:val="bullet"/>
      <w:lvlText w:val="•"/>
      <w:lvlJc w:val="left"/>
      <w:pPr>
        <w:ind w:left="1234" w:hanging="154"/>
      </w:pPr>
      <w:rPr>
        <w:rFonts w:hint="default"/>
      </w:rPr>
    </w:lvl>
    <w:lvl w:ilvl="3">
      <w:start w:val="1"/>
      <w:numFmt w:val="bullet"/>
      <w:lvlText w:val="•"/>
      <w:lvlJc w:val="left"/>
      <w:pPr>
        <w:ind w:left="1522" w:hanging="154"/>
      </w:pPr>
      <w:rPr>
        <w:rFonts w:hint="default"/>
      </w:rPr>
    </w:lvl>
    <w:lvl w:ilvl="4">
      <w:start w:val="1"/>
      <w:numFmt w:val="bullet"/>
      <w:lvlText w:val="•"/>
      <w:lvlJc w:val="left"/>
      <w:pPr>
        <w:ind w:left="1809" w:hanging="154"/>
      </w:pPr>
      <w:rPr>
        <w:rFonts w:hint="default"/>
      </w:rPr>
    </w:lvl>
    <w:lvl w:ilvl="5">
      <w:start w:val="1"/>
      <w:numFmt w:val="bullet"/>
      <w:lvlText w:val="•"/>
      <w:lvlJc w:val="left"/>
      <w:pPr>
        <w:ind w:left="2097" w:hanging="154"/>
      </w:pPr>
      <w:rPr>
        <w:rFonts w:hint="default"/>
      </w:rPr>
    </w:lvl>
    <w:lvl w:ilvl="6">
      <w:start w:val="1"/>
      <w:numFmt w:val="bullet"/>
      <w:lvlText w:val="•"/>
      <w:lvlJc w:val="left"/>
      <w:pPr>
        <w:ind w:left="2384" w:hanging="154"/>
      </w:pPr>
      <w:rPr>
        <w:rFonts w:hint="default"/>
      </w:rPr>
    </w:lvl>
    <w:lvl w:ilvl="7">
      <w:start w:val="1"/>
      <w:numFmt w:val="bullet"/>
      <w:lvlText w:val="•"/>
      <w:lvlJc w:val="left"/>
      <w:pPr>
        <w:ind w:left="2671" w:hanging="154"/>
      </w:pPr>
      <w:rPr>
        <w:rFonts w:hint="default"/>
      </w:rPr>
    </w:lvl>
    <w:lvl w:ilvl="8">
      <w:start w:val="1"/>
      <w:numFmt w:val="bullet"/>
      <w:lvlText w:val="•"/>
      <w:lvlJc w:val="left"/>
      <w:pPr>
        <w:ind w:left="2959" w:hanging="154"/>
      </w:pPr>
      <w:rPr>
        <w:rFonts w:hint="default"/>
      </w:rPr>
    </w:lvl>
  </w:abstractNum>
  <w:abstractNum w:abstractNumId="59">
    <w:multiLevelType w:val="hybridMultilevel"/>
    <w:lvl w:ilvl="0">
      <w:start w:val="1"/>
      <w:numFmt w:val="bullet"/>
      <w:lvlText w:val="•"/>
      <w:lvlJc w:val="left"/>
      <w:pPr>
        <w:ind w:left="675" w:hanging="154"/>
      </w:pPr>
      <w:rPr>
        <w:rFonts w:hint="default" w:ascii="Trebuchet MS" w:hAnsi="Trebuchet MS" w:eastAsia="Trebuchet MS" w:cs="Trebuchet MS"/>
        <w:w w:val="95"/>
        <w:sz w:val="16"/>
        <w:szCs w:val="16"/>
      </w:rPr>
    </w:lvl>
    <w:lvl w:ilvl="1">
      <w:start w:val="1"/>
      <w:numFmt w:val="bullet"/>
      <w:lvlText w:val="•"/>
      <w:lvlJc w:val="left"/>
      <w:pPr>
        <w:ind w:left="1020" w:hanging="154"/>
      </w:pPr>
      <w:rPr>
        <w:rFonts w:hint="default"/>
      </w:rPr>
    </w:lvl>
    <w:lvl w:ilvl="2">
      <w:start w:val="1"/>
      <w:numFmt w:val="bullet"/>
      <w:lvlText w:val="•"/>
      <w:lvlJc w:val="left"/>
      <w:pPr>
        <w:ind w:left="1360" w:hanging="154"/>
      </w:pPr>
      <w:rPr>
        <w:rFonts w:hint="default"/>
      </w:rPr>
    </w:lvl>
    <w:lvl w:ilvl="3">
      <w:start w:val="1"/>
      <w:numFmt w:val="bullet"/>
      <w:lvlText w:val="•"/>
      <w:lvlJc w:val="left"/>
      <w:pPr>
        <w:ind w:left="1700" w:hanging="154"/>
      </w:pPr>
      <w:rPr>
        <w:rFonts w:hint="default"/>
      </w:rPr>
    </w:lvl>
    <w:lvl w:ilvl="4">
      <w:start w:val="1"/>
      <w:numFmt w:val="bullet"/>
      <w:lvlText w:val="•"/>
      <w:lvlJc w:val="left"/>
      <w:pPr>
        <w:ind w:left="2041" w:hanging="154"/>
      </w:pPr>
      <w:rPr>
        <w:rFonts w:hint="default"/>
      </w:rPr>
    </w:lvl>
    <w:lvl w:ilvl="5">
      <w:start w:val="1"/>
      <w:numFmt w:val="bullet"/>
      <w:lvlText w:val="•"/>
      <w:lvlJc w:val="left"/>
      <w:pPr>
        <w:ind w:left="2381" w:hanging="154"/>
      </w:pPr>
      <w:rPr>
        <w:rFonts w:hint="default"/>
      </w:rPr>
    </w:lvl>
    <w:lvl w:ilvl="6">
      <w:start w:val="1"/>
      <w:numFmt w:val="bullet"/>
      <w:lvlText w:val="•"/>
      <w:lvlJc w:val="left"/>
      <w:pPr>
        <w:ind w:left="2721" w:hanging="154"/>
      </w:pPr>
      <w:rPr>
        <w:rFonts w:hint="default"/>
      </w:rPr>
    </w:lvl>
    <w:lvl w:ilvl="7">
      <w:start w:val="1"/>
      <w:numFmt w:val="bullet"/>
      <w:lvlText w:val="•"/>
      <w:lvlJc w:val="left"/>
      <w:pPr>
        <w:ind w:left="3062" w:hanging="154"/>
      </w:pPr>
      <w:rPr>
        <w:rFonts w:hint="default"/>
      </w:rPr>
    </w:lvl>
    <w:lvl w:ilvl="8">
      <w:start w:val="1"/>
      <w:numFmt w:val="bullet"/>
      <w:lvlText w:val="•"/>
      <w:lvlJc w:val="left"/>
      <w:pPr>
        <w:ind w:left="3402" w:hanging="154"/>
      </w:pPr>
      <w:rPr>
        <w:rFonts w:hint="default"/>
      </w:rPr>
    </w:lvl>
  </w:abstractNum>
  <w:abstractNum w:abstractNumId="58">
    <w:multiLevelType w:val="hybridMultilevel"/>
    <w:lvl w:ilvl="0">
      <w:start w:val="1"/>
      <w:numFmt w:val="bullet"/>
      <w:lvlText w:val="•"/>
      <w:lvlJc w:val="left"/>
      <w:pPr>
        <w:ind w:left="669" w:hanging="154"/>
      </w:pPr>
      <w:rPr>
        <w:rFonts w:hint="default" w:ascii="Trebuchet MS" w:hAnsi="Trebuchet MS" w:eastAsia="Trebuchet MS" w:cs="Trebuchet MS"/>
        <w:w w:val="95"/>
        <w:sz w:val="16"/>
        <w:szCs w:val="16"/>
      </w:rPr>
    </w:lvl>
    <w:lvl w:ilvl="1">
      <w:start w:val="1"/>
      <w:numFmt w:val="bullet"/>
      <w:lvlText w:val="•"/>
      <w:lvlJc w:val="left"/>
      <w:pPr>
        <w:ind w:left="947" w:hanging="154"/>
      </w:pPr>
      <w:rPr>
        <w:rFonts w:hint="default"/>
      </w:rPr>
    </w:lvl>
    <w:lvl w:ilvl="2">
      <w:start w:val="1"/>
      <w:numFmt w:val="bullet"/>
      <w:lvlText w:val="•"/>
      <w:lvlJc w:val="left"/>
      <w:pPr>
        <w:ind w:left="1234" w:hanging="154"/>
      </w:pPr>
      <w:rPr>
        <w:rFonts w:hint="default"/>
      </w:rPr>
    </w:lvl>
    <w:lvl w:ilvl="3">
      <w:start w:val="1"/>
      <w:numFmt w:val="bullet"/>
      <w:lvlText w:val="•"/>
      <w:lvlJc w:val="left"/>
      <w:pPr>
        <w:ind w:left="1522" w:hanging="154"/>
      </w:pPr>
      <w:rPr>
        <w:rFonts w:hint="default"/>
      </w:rPr>
    </w:lvl>
    <w:lvl w:ilvl="4">
      <w:start w:val="1"/>
      <w:numFmt w:val="bullet"/>
      <w:lvlText w:val="•"/>
      <w:lvlJc w:val="left"/>
      <w:pPr>
        <w:ind w:left="1809" w:hanging="154"/>
      </w:pPr>
      <w:rPr>
        <w:rFonts w:hint="default"/>
      </w:rPr>
    </w:lvl>
    <w:lvl w:ilvl="5">
      <w:start w:val="1"/>
      <w:numFmt w:val="bullet"/>
      <w:lvlText w:val="•"/>
      <w:lvlJc w:val="left"/>
      <w:pPr>
        <w:ind w:left="2097" w:hanging="154"/>
      </w:pPr>
      <w:rPr>
        <w:rFonts w:hint="default"/>
      </w:rPr>
    </w:lvl>
    <w:lvl w:ilvl="6">
      <w:start w:val="1"/>
      <w:numFmt w:val="bullet"/>
      <w:lvlText w:val="•"/>
      <w:lvlJc w:val="left"/>
      <w:pPr>
        <w:ind w:left="2384" w:hanging="154"/>
      </w:pPr>
      <w:rPr>
        <w:rFonts w:hint="default"/>
      </w:rPr>
    </w:lvl>
    <w:lvl w:ilvl="7">
      <w:start w:val="1"/>
      <w:numFmt w:val="bullet"/>
      <w:lvlText w:val="•"/>
      <w:lvlJc w:val="left"/>
      <w:pPr>
        <w:ind w:left="2671" w:hanging="154"/>
      </w:pPr>
      <w:rPr>
        <w:rFonts w:hint="default"/>
      </w:rPr>
    </w:lvl>
    <w:lvl w:ilvl="8">
      <w:start w:val="1"/>
      <w:numFmt w:val="bullet"/>
      <w:lvlText w:val="•"/>
      <w:lvlJc w:val="left"/>
      <w:pPr>
        <w:ind w:left="2959" w:hanging="154"/>
      </w:pPr>
      <w:rPr>
        <w:rFonts w:hint="default"/>
      </w:rPr>
    </w:lvl>
  </w:abstractNum>
  <w:abstractNum w:abstractNumId="57">
    <w:multiLevelType w:val="hybridMultilevel"/>
    <w:lvl w:ilvl="0">
      <w:start w:val="1"/>
      <w:numFmt w:val="bullet"/>
      <w:lvlText w:val="•"/>
      <w:lvlJc w:val="left"/>
      <w:pPr>
        <w:ind w:left="675" w:hanging="154"/>
      </w:pPr>
      <w:rPr>
        <w:rFonts w:hint="default" w:ascii="Trebuchet MS" w:hAnsi="Trebuchet MS" w:eastAsia="Trebuchet MS" w:cs="Trebuchet MS"/>
        <w:w w:val="95"/>
        <w:sz w:val="16"/>
        <w:szCs w:val="16"/>
      </w:rPr>
    </w:lvl>
    <w:lvl w:ilvl="1">
      <w:start w:val="1"/>
      <w:numFmt w:val="bullet"/>
      <w:lvlText w:val="•"/>
      <w:lvlJc w:val="left"/>
      <w:pPr>
        <w:ind w:left="1020" w:hanging="154"/>
      </w:pPr>
      <w:rPr>
        <w:rFonts w:hint="default"/>
      </w:rPr>
    </w:lvl>
    <w:lvl w:ilvl="2">
      <w:start w:val="1"/>
      <w:numFmt w:val="bullet"/>
      <w:lvlText w:val="•"/>
      <w:lvlJc w:val="left"/>
      <w:pPr>
        <w:ind w:left="1360" w:hanging="154"/>
      </w:pPr>
      <w:rPr>
        <w:rFonts w:hint="default"/>
      </w:rPr>
    </w:lvl>
    <w:lvl w:ilvl="3">
      <w:start w:val="1"/>
      <w:numFmt w:val="bullet"/>
      <w:lvlText w:val="•"/>
      <w:lvlJc w:val="left"/>
      <w:pPr>
        <w:ind w:left="1700" w:hanging="154"/>
      </w:pPr>
      <w:rPr>
        <w:rFonts w:hint="default"/>
      </w:rPr>
    </w:lvl>
    <w:lvl w:ilvl="4">
      <w:start w:val="1"/>
      <w:numFmt w:val="bullet"/>
      <w:lvlText w:val="•"/>
      <w:lvlJc w:val="left"/>
      <w:pPr>
        <w:ind w:left="2041" w:hanging="154"/>
      </w:pPr>
      <w:rPr>
        <w:rFonts w:hint="default"/>
      </w:rPr>
    </w:lvl>
    <w:lvl w:ilvl="5">
      <w:start w:val="1"/>
      <w:numFmt w:val="bullet"/>
      <w:lvlText w:val="•"/>
      <w:lvlJc w:val="left"/>
      <w:pPr>
        <w:ind w:left="2381" w:hanging="154"/>
      </w:pPr>
      <w:rPr>
        <w:rFonts w:hint="default"/>
      </w:rPr>
    </w:lvl>
    <w:lvl w:ilvl="6">
      <w:start w:val="1"/>
      <w:numFmt w:val="bullet"/>
      <w:lvlText w:val="•"/>
      <w:lvlJc w:val="left"/>
      <w:pPr>
        <w:ind w:left="2721" w:hanging="154"/>
      </w:pPr>
      <w:rPr>
        <w:rFonts w:hint="default"/>
      </w:rPr>
    </w:lvl>
    <w:lvl w:ilvl="7">
      <w:start w:val="1"/>
      <w:numFmt w:val="bullet"/>
      <w:lvlText w:val="•"/>
      <w:lvlJc w:val="left"/>
      <w:pPr>
        <w:ind w:left="3062" w:hanging="154"/>
      </w:pPr>
      <w:rPr>
        <w:rFonts w:hint="default"/>
      </w:rPr>
    </w:lvl>
    <w:lvl w:ilvl="8">
      <w:start w:val="1"/>
      <w:numFmt w:val="bullet"/>
      <w:lvlText w:val="•"/>
      <w:lvlJc w:val="left"/>
      <w:pPr>
        <w:ind w:left="3402" w:hanging="154"/>
      </w:pPr>
      <w:rPr>
        <w:rFonts w:hint="default"/>
      </w:rPr>
    </w:lvl>
  </w:abstractNum>
  <w:abstractNum w:abstractNumId="56">
    <w:multiLevelType w:val="hybridMultilevel"/>
    <w:lvl w:ilvl="0">
      <w:start w:val="1"/>
      <w:numFmt w:val="bullet"/>
      <w:lvlText w:val="•"/>
      <w:lvlJc w:val="left"/>
      <w:pPr>
        <w:ind w:left="669" w:hanging="154"/>
      </w:pPr>
      <w:rPr>
        <w:rFonts w:hint="default" w:ascii="Trebuchet MS" w:hAnsi="Trebuchet MS" w:eastAsia="Trebuchet MS" w:cs="Trebuchet MS"/>
        <w:w w:val="95"/>
        <w:sz w:val="16"/>
        <w:szCs w:val="16"/>
      </w:rPr>
    </w:lvl>
    <w:lvl w:ilvl="1">
      <w:start w:val="1"/>
      <w:numFmt w:val="bullet"/>
      <w:lvlText w:val="•"/>
      <w:lvlJc w:val="left"/>
      <w:pPr>
        <w:ind w:left="947" w:hanging="154"/>
      </w:pPr>
      <w:rPr>
        <w:rFonts w:hint="default"/>
      </w:rPr>
    </w:lvl>
    <w:lvl w:ilvl="2">
      <w:start w:val="1"/>
      <w:numFmt w:val="bullet"/>
      <w:lvlText w:val="•"/>
      <w:lvlJc w:val="left"/>
      <w:pPr>
        <w:ind w:left="1234" w:hanging="154"/>
      </w:pPr>
      <w:rPr>
        <w:rFonts w:hint="default"/>
      </w:rPr>
    </w:lvl>
    <w:lvl w:ilvl="3">
      <w:start w:val="1"/>
      <w:numFmt w:val="bullet"/>
      <w:lvlText w:val="•"/>
      <w:lvlJc w:val="left"/>
      <w:pPr>
        <w:ind w:left="1522" w:hanging="154"/>
      </w:pPr>
      <w:rPr>
        <w:rFonts w:hint="default"/>
      </w:rPr>
    </w:lvl>
    <w:lvl w:ilvl="4">
      <w:start w:val="1"/>
      <w:numFmt w:val="bullet"/>
      <w:lvlText w:val="•"/>
      <w:lvlJc w:val="left"/>
      <w:pPr>
        <w:ind w:left="1809" w:hanging="154"/>
      </w:pPr>
      <w:rPr>
        <w:rFonts w:hint="default"/>
      </w:rPr>
    </w:lvl>
    <w:lvl w:ilvl="5">
      <w:start w:val="1"/>
      <w:numFmt w:val="bullet"/>
      <w:lvlText w:val="•"/>
      <w:lvlJc w:val="left"/>
      <w:pPr>
        <w:ind w:left="2097" w:hanging="154"/>
      </w:pPr>
      <w:rPr>
        <w:rFonts w:hint="default"/>
      </w:rPr>
    </w:lvl>
    <w:lvl w:ilvl="6">
      <w:start w:val="1"/>
      <w:numFmt w:val="bullet"/>
      <w:lvlText w:val="•"/>
      <w:lvlJc w:val="left"/>
      <w:pPr>
        <w:ind w:left="2384" w:hanging="154"/>
      </w:pPr>
      <w:rPr>
        <w:rFonts w:hint="default"/>
      </w:rPr>
    </w:lvl>
    <w:lvl w:ilvl="7">
      <w:start w:val="1"/>
      <w:numFmt w:val="bullet"/>
      <w:lvlText w:val="•"/>
      <w:lvlJc w:val="left"/>
      <w:pPr>
        <w:ind w:left="2671" w:hanging="154"/>
      </w:pPr>
      <w:rPr>
        <w:rFonts w:hint="default"/>
      </w:rPr>
    </w:lvl>
    <w:lvl w:ilvl="8">
      <w:start w:val="1"/>
      <w:numFmt w:val="bullet"/>
      <w:lvlText w:val="•"/>
      <w:lvlJc w:val="left"/>
      <w:pPr>
        <w:ind w:left="2959" w:hanging="154"/>
      </w:pPr>
      <w:rPr>
        <w:rFonts w:hint="default"/>
      </w:rPr>
    </w:lvl>
  </w:abstractNum>
  <w:abstractNum w:abstractNumId="55">
    <w:multiLevelType w:val="hybridMultilevel"/>
    <w:lvl w:ilvl="0">
      <w:start w:val="1"/>
      <w:numFmt w:val="bullet"/>
      <w:lvlText w:val="•"/>
      <w:lvlJc w:val="left"/>
      <w:pPr>
        <w:ind w:left="675" w:hanging="154"/>
      </w:pPr>
      <w:rPr>
        <w:rFonts w:hint="default" w:ascii="Trebuchet MS" w:hAnsi="Trebuchet MS" w:eastAsia="Trebuchet MS" w:cs="Trebuchet MS"/>
        <w:w w:val="95"/>
        <w:sz w:val="16"/>
        <w:szCs w:val="16"/>
      </w:rPr>
    </w:lvl>
    <w:lvl w:ilvl="1">
      <w:start w:val="1"/>
      <w:numFmt w:val="bullet"/>
      <w:lvlText w:val="•"/>
      <w:lvlJc w:val="left"/>
      <w:pPr>
        <w:ind w:left="1020" w:hanging="154"/>
      </w:pPr>
      <w:rPr>
        <w:rFonts w:hint="default"/>
      </w:rPr>
    </w:lvl>
    <w:lvl w:ilvl="2">
      <w:start w:val="1"/>
      <w:numFmt w:val="bullet"/>
      <w:lvlText w:val="•"/>
      <w:lvlJc w:val="left"/>
      <w:pPr>
        <w:ind w:left="1360" w:hanging="154"/>
      </w:pPr>
      <w:rPr>
        <w:rFonts w:hint="default"/>
      </w:rPr>
    </w:lvl>
    <w:lvl w:ilvl="3">
      <w:start w:val="1"/>
      <w:numFmt w:val="bullet"/>
      <w:lvlText w:val="•"/>
      <w:lvlJc w:val="left"/>
      <w:pPr>
        <w:ind w:left="1700" w:hanging="154"/>
      </w:pPr>
      <w:rPr>
        <w:rFonts w:hint="default"/>
      </w:rPr>
    </w:lvl>
    <w:lvl w:ilvl="4">
      <w:start w:val="1"/>
      <w:numFmt w:val="bullet"/>
      <w:lvlText w:val="•"/>
      <w:lvlJc w:val="left"/>
      <w:pPr>
        <w:ind w:left="2041" w:hanging="154"/>
      </w:pPr>
      <w:rPr>
        <w:rFonts w:hint="default"/>
      </w:rPr>
    </w:lvl>
    <w:lvl w:ilvl="5">
      <w:start w:val="1"/>
      <w:numFmt w:val="bullet"/>
      <w:lvlText w:val="•"/>
      <w:lvlJc w:val="left"/>
      <w:pPr>
        <w:ind w:left="2381" w:hanging="154"/>
      </w:pPr>
      <w:rPr>
        <w:rFonts w:hint="default"/>
      </w:rPr>
    </w:lvl>
    <w:lvl w:ilvl="6">
      <w:start w:val="1"/>
      <w:numFmt w:val="bullet"/>
      <w:lvlText w:val="•"/>
      <w:lvlJc w:val="left"/>
      <w:pPr>
        <w:ind w:left="2721" w:hanging="154"/>
      </w:pPr>
      <w:rPr>
        <w:rFonts w:hint="default"/>
      </w:rPr>
    </w:lvl>
    <w:lvl w:ilvl="7">
      <w:start w:val="1"/>
      <w:numFmt w:val="bullet"/>
      <w:lvlText w:val="•"/>
      <w:lvlJc w:val="left"/>
      <w:pPr>
        <w:ind w:left="3062" w:hanging="154"/>
      </w:pPr>
      <w:rPr>
        <w:rFonts w:hint="default"/>
      </w:rPr>
    </w:lvl>
    <w:lvl w:ilvl="8">
      <w:start w:val="1"/>
      <w:numFmt w:val="bullet"/>
      <w:lvlText w:val="•"/>
      <w:lvlJc w:val="left"/>
      <w:pPr>
        <w:ind w:left="3402" w:hanging="154"/>
      </w:pPr>
      <w:rPr>
        <w:rFonts w:hint="default"/>
      </w:rPr>
    </w:lvl>
  </w:abstractNum>
  <w:abstractNum w:abstractNumId="54">
    <w:multiLevelType w:val="hybridMultilevel"/>
    <w:lvl w:ilvl="0">
      <w:start w:val="1"/>
      <w:numFmt w:val="bullet"/>
      <w:lvlText w:val="•"/>
      <w:lvlJc w:val="left"/>
      <w:pPr>
        <w:ind w:left="669" w:hanging="154"/>
      </w:pPr>
      <w:rPr>
        <w:rFonts w:hint="default" w:ascii="Trebuchet MS" w:hAnsi="Trebuchet MS" w:eastAsia="Trebuchet MS" w:cs="Trebuchet MS"/>
        <w:w w:val="95"/>
        <w:sz w:val="16"/>
        <w:szCs w:val="16"/>
      </w:rPr>
    </w:lvl>
    <w:lvl w:ilvl="1">
      <w:start w:val="1"/>
      <w:numFmt w:val="bullet"/>
      <w:lvlText w:val="•"/>
      <w:lvlJc w:val="left"/>
      <w:pPr>
        <w:ind w:left="947" w:hanging="154"/>
      </w:pPr>
      <w:rPr>
        <w:rFonts w:hint="default"/>
      </w:rPr>
    </w:lvl>
    <w:lvl w:ilvl="2">
      <w:start w:val="1"/>
      <w:numFmt w:val="bullet"/>
      <w:lvlText w:val="•"/>
      <w:lvlJc w:val="left"/>
      <w:pPr>
        <w:ind w:left="1234" w:hanging="154"/>
      </w:pPr>
      <w:rPr>
        <w:rFonts w:hint="default"/>
      </w:rPr>
    </w:lvl>
    <w:lvl w:ilvl="3">
      <w:start w:val="1"/>
      <w:numFmt w:val="bullet"/>
      <w:lvlText w:val="•"/>
      <w:lvlJc w:val="left"/>
      <w:pPr>
        <w:ind w:left="1522" w:hanging="154"/>
      </w:pPr>
      <w:rPr>
        <w:rFonts w:hint="default"/>
      </w:rPr>
    </w:lvl>
    <w:lvl w:ilvl="4">
      <w:start w:val="1"/>
      <w:numFmt w:val="bullet"/>
      <w:lvlText w:val="•"/>
      <w:lvlJc w:val="left"/>
      <w:pPr>
        <w:ind w:left="1809" w:hanging="154"/>
      </w:pPr>
      <w:rPr>
        <w:rFonts w:hint="default"/>
      </w:rPr>
    </w:lvl>
    <w:lvl w:ilvl="5">
      <w:start w:val="1"/>
      <w:numFmt w:val="bullet"/>
      <w:lvlText w:val="•"/>
      <w:lvlJc w:val="left"/>
      <w:pPr>
        <w:ind w:left="2097" w:hanging="154"/>
      </w:pPr>
      <w:rPr>
        <w:rFonts w:hint="default"/>
      </w:rPr>
    </w:lvl>
    <w:lvl w:ilvl="6">
      <w:start w:val="1"/>
      <w:numFmt w:val="bullet"/>
      <w:lvlText w:val="•"/>
      <w:lvlJc w:val="left"/>
      <w:pPr>
        <w:ind w:left="2384" w:hanging="154"/>
      </w:pPr>
      <w:rPr>
        <w:rFonts w:hint="default"/>
      </w:rPr>
    </w:lvl>
    <w:lvl w:ilvl="7">
      <w:start w:val="1"/>
      <w:numFmt w:val="bullet"/>
      <w:lvlText w:val="•"/>
      <w:lvlJc w:val="left"/>
      <w:pPr>
        <w:ind w:left="2671" w:hanging="154"/>
      </w:pPr>
      <w:rPr>
        <w:rFonts w:hint="default"/>
      </w:rPr>
    </w:lvl>
    <w:lvl w:ilvl="8">
      <w:start w:val="1"/>
      <w:numFmt w:val="bullet"/>
      <w:lvlText w:val="•"/>
      <w:lvlJc w:val="left"/>
      <w:pPr>
        <w:ind w:left="2959" w:hanging="154"/>
      </w:pPr>
      <w:rPr>
        <w:rFonts w:hint="default"/>
      </w:rPr>
    </w:lvl>
  </w:abstractNum>
  <w:abstractNum w:abstractNumId="53">
    <w:multiLevelType w:val="hybridMultilevel"/>
    <w:lvl w:ilvl="0">
      <w:start w:val="1"/>
      <w:numFmt w:val="bullet"/>
      <w:lvlText w:val="•"/>
      <w:lvlJc w:val="left"/>
      <w:pPr>
        <w:ind w:left="675" w:hanging="154"/>
      </w:pPr>
      <w:rPr>
        <w:rFonts w:hint="default" w:ascii="Trebuchet MS" w:hAnsi="Trebuchet MS" w:eastAsia="Trebuchet MS" w:cs="Trebuchet MS"/>
        <w:w w:val="95"/>
        <w:sz w:val="16"/>
        <w:szCs w:val="16"/>
      </w:rPr>
    </w:lvl>
    <w:lvl w:ilvl="1">
      <w:start w:val="1"/>
      <w:numFmt w:val="bullet"/>
      <w:lvlText w:val="•"/>
      <w:lvlJc w:val="left"/>
      <w:pPr>
        <w:ind w:left="1020" w:hanging="154"/>
      </w:pPr>
      <w:rPr>
        <w:rFonts w:hint="default"/>
      </w:rPr>
    </w:lvl>
    <w:lvl w:ilvl="2">
      <w:start w:val="1"/>
      <w:numFmt w:val="bullet"/>
      <w:lvlText w:val="•"/>
      <w:lvlJc w:val="left"/>
      <w:pPr>
        <w:ind w:left="1360" w:hanging="154"/>
      </w:pPr>
      <w:rPr>
        <w:rFonts w:hint="default"/>
      </w:rPr>
    </w:lvl>
    <w:lvl w:ilvl="3">
      <w:start w:val="1"/>
      <w:numFmt w:val="bullet"/>
      <w:lvlText w:val="•"/>
      <w:lvlJc w:val="left"/>
      <w:pPr>
        <w:ind w:left="1700" w:hanging="154"/>
      </w:pPr>
      <w:rPr>
        <w:rFonts w:hint="default"/>
      </w:rPr>
    </w:lvl>
    <w:lvl w:ilvl="4">
      <w:start w:val="1"/>
      <w:numFmt w:val="bullet"/>
      <w:lvlText w:val="•"/>
      <w:lvlJc w:val="left"/>
      <w:pPr>
        <w:ind w:left="2041" w:hanging="154"/>
      </w:pPr>
      <w:rPr>
        <w:rFonts w:hint="default"/>
      </w:rPr>
    </w:lvl>
    <w:lvl w:ilvl="5">
      <w:start w:val="1"/>
      <w:numFmt w:val="bullet"/>
      <w:lvlText w:val="•"/>
      <w:lvlJc w:val="left"/>
      <w:pPr>
        <w:ind w:left="2381" w:hanging="154"/>
      </w:pPr>
      <w:rPr>
        <w:rFonts w:hint="default"/>
      </w:rPr>
    </w:lvl>
    <w:lvl w:ilvl="6">
      <w:start w:val="1"/>
      <w:numFmt w:val="bullet"/>
      <w:lvlText w:val="•"/>
      <w:lvlJc w:val="left"/>
      <w:pPr>
        <w:ind w:left="2721" w:hanging="154"/>
      </w:pPr>
      <w:rPr>
        <w:rFonts w:hint="default"/>
      </w:rPr>
    </w:lvl>
    <w:lvl w:ilvl="7">
      <w:start w:val="1"/>
      <w:numFmt w:val="bullet"/>
      <w:lvlText w:val="•"/>
      <w:lvlJc w:val="left"/>
      <w:pPr>
        <w:ind w:left="3062" w:hanging="154"/>
      </w:pPr>
      <w:rPr>
        <w:rFonts w:hint="default"/>
      </w:rPr>
    </w:lvl>
    <w:lvl w:ilvl="8">
      <w:start w:val="1"/>
      <w:numFmt w:val="bullet"/>
      <w:lvlText w:val="•"/>
      <w:lvlJc w:val="left"/>
      <w:pPr>
        <w:ind w:left="3402" w:hanging="154"/>
      </w:pPr>
      <w:rPr>
        <w:rFonts w:hint="default"/>
      </w:rPr>
    </w:lvl>
  </w:abstractNum>
  <w:abstractNum w:abstractNumId="52">
    <w:multiLevelType w:val="hybridMultilevel"/>
    <w:lvl w:ilvl="0">
      <w:start w:val="1"/>
      <w:numFmt w:val="bullet"/>
      <w:lvlText w:val="•"/>
      <w:lvlJc w:val="left"/>
      <w:pPr>
        <w:ind w:left="669" w:hanging="154"/>
      </w:pPr>
      <w:rPr>
        <w:rFonts w:hint="default" w:ascii="Trebuchet MS" w:hAnsi="Trebuchet MS" w:eastAsia="Trebuchet MS" w:cs="Trebuchet MS"/>
        <w:w w:val="95"/>
        <w:sz w:val="16"/>
        <w:szCs w:val="16"/>
      </w:rPr>
    </w:lvl>
    <w:lvl w:ilvl="1">
      <w:start w:val="1"/>
      <w:numFmt w:val="bullet"/>
      <w:lvlText w:val="•"/>
      <w:lvlJc w:val="left"/>
      <w:pPr>
        <w:ind w:left="947" w:hanging="154"/>
      </w:pPr>
      <w:rPr>
        <w:rFonts w:hint="default"/>
      </w:rPr>
    </w:lvl>
    <w:lvl w:ilvl="2">
      <w:start w:val="1"/>
      <w:numFmt w:val="bullet"/>
      <w:lvlText w:val="•"/>
      <w:lvlJc w:val="left"/>
      <w:pPr>
        <w:ind w:left="1234" w:hanging="154"/>
      </w:pPr>
      <w:rPr>
        <w:rFonts w:hint="default"/>
      </w:rPr>
    </w:lvl>
    <w:lvl w:ilvl="3">
      <w:start w:val="1"/>
      <w:numFmt w:val="bullet"/>
      <w:lvlText w:val="•"/>
      <w:lvlJc w:val="left"/>
      <w:pPr>
        <w:ind w:left="1522" w:hanging="154"/>
      </w:pPr>
      <w:rPr>
        <w:rFonts w:hint="default"/>
      </w:rPr>
    </w:lvl>
    <w:lvl w:ilvl="4">
      <w:start w:val="1"/>
      <w:numFmt w:val="bullet"/>
      <w:lvlText w:val="•"/>
      <w:lvlJc w:val="left"/>
      <w:pPr>
        <w:ind w:left="1809" w:hanging="154"/>
      </w:pPr>
      <w:rPr>
        <w:rFonts w:hint="default"/>
      </w:rPr>
    </w:lvl>
    <w:lvl w:ilvl="5">
      <w:start w:val="1"/>
      <w:numFmt w:val="bullet"/>
      <w:lvlText w:val="•"/>
      <w:lvlJc w:val="left"/>
      <w:pPr>
        <w:ind w:left="2097" w:hanging="154"/>
      </w:pPr>
      <w:rPr>
        <w:rFonts w:hint="default"/>
      </w:rPr>
    </w:lvl>
    <w:lvl w:ilvl="6">
      <w:start w:val="1"/>
      <w:numFmt w:val="bullet"/>
      <w:lvlText w:val="•"/>
      <w:lvlJc w:val="left"/>
      <w:pPr>
        <w:ind w:left="2384" w:hanging="154"/>
      </w:pPr>
      <w:rPr>
        <w:rFonts w:hint="default"/>
      </w:rPr>
    </w:lvl>
    <w:lvl w:ilvl="7">
      <w:start w:val="1"/>
      <w:numFmt w:val="bullet"/>
      <w:lvlText w:val="•"/>
      <w:lvlJc w:val="left"/>
      <w:pPr>
        <w:ind w:left="2671" w:hanging="154"/>
      </w:pPr>
      <w:rPr>
        <w:rFonts w:hint="default"/>
      </w:rPr>
    </w:lvl>
    <w:lvl w:ilvl="8">
      <w:start w:val="1"/>
      <w:numFmt w:val="bullet"/>
      <w:lvlText w:val="•"/>
      <w:lvlJc w:val="left"/>
      <w:pPr>
        <w:ind w:left="2959" w:hanging="154"/>
      </w:pPr>
      <w:rPr>
        <w:rFonts w:hint="default"/>
      </w:rPr>
    </w:lvl>
  </w:abstractNum>
  <w:abstractNum w:abstractNumId="51">
    <w:multiLevelType w:val="hybridMultilevel"/>
    <w:lvl w:ilvl="0">
      <w:start w:val="1"/>
      <w:numFmt w:val="bullet"/>
      <w:lvlText w:val="•"/>
      <w:lvlJc w:val="left"/>
      <w:pPr>
        <w:ind w:left="828" w:hanging="154"/>
      </w:pPr>
      <w:rPr>
        <w:rFonts w:hint="default" w:ascii="Trebuchet MS" w:hAnsi="Trebuchet MS" w:eastAsia="Trebuchet MS" w:cs="Trebuchet MS"/>
        <w:w w:val="95"/>
        <w:sz w:val="16"/>
        <w:szCs w:val="16"/>
      </w:rPr>
    </w:lvl>
    <w:lvl w:ilvl="1">
      <w:start w:val="1"/>
      <w:numFmt w:val="bullet"/>
      <w:lvlText w:val="•"/>
      <w:lvlJc w:val="left"/>
      <w:pPr>
        <w:ind w:left="1146" w:hanging="154"/>
      </w:pPr>
      <w:rPr>
        <w:rFonts w:hint="default"/>
      </w:rPr>
    </w:lvl>
    <w:lvl w:ilvl="2">
      <w:start w:val="1"/>
      <w:numFmt w:val="bullet"/>
      <w:lvlText w:val="•"/>
      <w:lvlJc w:val="left"/>
      <w:pPr>
        <w:ind w:left="1472" w:hanging="154"/>
      </w:pPr>
      <w:rPr>
        <w:rFonts w:hint="default"/>
      </w:rPr>
    </w:lvl>
    <w:lvl w:ilvl="3">
      <w:start w:val="1"/>
      <w:numFmt w:val="bullet"/>
      <w:lvlText w:val="•"/>
      <w:lvlJc w:val="left"/>
      <w:pPr>
        <w:ind w:left="1798" w:hanging="154"/>
      </w:pPr>
      <w:rPr>
        <w:rFonts w:hint="default"/>
      </w:rPr>
    </w:lvl>
    <w:lvl w:ilvl="4">
      <w:start w:val="1"/>
      <w:numFmt w:val="bullet"/>
      <w:lvlText w:val="•"/>
      <w:lvlJc w:val="left"/>
      <w:pPr>
        <w:ind w:left="2125" w:hanging="154"/>
      </w:pPr>
      <w:rPr>
        <w:rFonts w:hint="default"/>
      </w:rPr>
    </w:lvl>
    <w:lvl w:ilvl="5">
      <w:start w:val="1"/>
      <w:numFmt w:val="bullet"/>
      <w:lvlText w:val="•"/>
      <w:lvlJc w:val="left"/>
      <w:pPr>
        <w:ind w:left="2451" w:hanging="154"/>
      </w:pPr>
      <w:rPr>
        <w:rFonts w:hint="default"/>
      </w:rPr>
    </w:lvl>
    <w:lvl w:ilvl="6">
      <w:start w:val="1"/>
      <w:numFmt w:val="bullet"/>
      <w:lvlText w:val="•"/>
      <w:lvlJc w:val="left"/>
      <w:pPr>
        <w:ind w:left="2777" w:hanging="154"/>
      </w:pPr>
      <w:rPr>
        <w:rFonts w:hint="default"/>
      </w:rPr>
    </w:lvl>
    <w:lvl w:ilvl="7">
      <w:start w:val="1"/>
      <w:numFmt w:val="bullet"/>
      <w:lvlText w:val="•"/>
      <w:lvlJc w:val="left"/>
      <w:pPr>
        <w:ind w:left="3104" w:hanging="154"/>
      </w:pPr>
      <w:rPr>
        <w:rFonts w:hint="default"/>
      </w:rPr>
    </w:lvl>
    <w:lvl w:ilvl="8">
      <w:start w:val="1"/>
      <w:numFmt w:val="bullet"/>
      <w:lvlText w:val="•"/>
      <w:lvlJc w:val="left"/>
      <w:pPr>
        <w:ind w:left="3430" w:hanging="154"/>
      </w:pPr>
      <w:rPr>
        <w:rFonts w:hint="default"/>
      </w:rPr>
    </w:lvl>
  </w:abstractNum>
  <w:abstractNum w:abstractNumId="50">
    <w:multiLevelType w:val="hybridMultilevel"/>
    <w:lvl w:ilvl="0">
      <w:start w:val="4"/>
      <w:numFmt w:val="decimal"/>
      <w:lvlText w:val="%1."/>
      <w:lvlJc w:val="left"/>
      <w:pPr>
        <w:ind w:left="103" w:hanging="178"/>
        <w:jc w:val="left"/>
      </w:pPr>
      <w:rPr>
        <w:rFonts w:hint="default" w:ascii="Arial" w:hAnsi="Arial" w:eastAsia="Arial" w:cs="Arial"/>
        <w:w w:val="95"/>
        <w:sz w:val="16"/>
        <w:szCs w:val="16"/>
      </w:rPr>
    </w:lvl>
    <w:lvl w:ilvl="1">
      <w:start w:val="1"/>
      <w:numFmt w:val="bullet"/>
      <w:lvlText w:val="•"/>
      <w:lvlJc w:val="left"/>
      <w:pPr>
        <w:ind w:left="290" w:hanging="178"/>
      </w:pPr>
      <w:rPr>
        <w:rFonts w:hint="default"/>
      </w:rPr>
    </w:lvl>
    <w:lvl w:ilvl="2">
      <w:start w:val="1"/>
      <w:numFmt w:val="bullet"/>
      <w:lvlText w:val="•"/>
      <w:lvlJc w:val="left"/>
      <w:pPr>
        <w:ind w:left="480" w:hanging="178"/>
      </w:pPr>
      <w:rPr>
        <w:rFonts w:hint="default"/>
      </w:rPr>
    </w:lvl>
    <w:lvl w:ilvl="3">
      <w:start w:val="1"/>
      <w:numFmt w:val="bullet"/>
      <w:lvlText w:val="•"/>
      <w:lvlJc w:val="left"/>
      <w:pPr>
        <w:ind w:left="671" w:hanging="178"/>
      </w:pPr>
      <w:rPr>
        <w:rFonts w:hint="default"/>
      </w:rPr>
    </w:lvl>
    <w:lvl w:ilvl="4">
      <w:start w:val="1"/>
      <w:numFmt w:val="bullet"/>
      <w:lvlText w:val="•"/>
      <w:lvlJc w:val="left"/>
      <w:pPr>
        <w:ind w:left="861" w:hanging="178"/>
      </w:pPr>
      <w:rPr>
        <w:rFonts w:hint="default"/>
      </w:rPr>
    </w:lvl>
    <w:lvl w:ilvl="5">
      <w:start w:val="1"/>
      <w:numFmt w:val="bullet"/>
      <w:lvlText w:val="•"/>
      <w:lvlJc w:val="left"/>
      <w:pPr>
        <w:ind w:left="1052" w:hanging="178"/>
      </w:pPr>
      <w:rPr>
        <w:rFonts w:hint="default"/>
      </w:rPr>
    </w:lvl>
    <w:lvl w:ilvl="6">
      <w:start w:val="1"/>
      <w:numFmt w:val="bullet"/>
      <w:lvlText w:val="•"/>
      <w:lvlJc w:val="left"/>
      <w:pPr>
        <w:ind w:left="1242" w:hanging="178"/>
      </w:pPr>
      <w:rPr>
        <w:rFonts w:hint="default"/>
      </w:rPr>
    </w:lvl>
    <w:lvl w:ilvl="7">
      <w:start w:val="1"/>
      <w:numFmt w:val="bullet"/>
      <w:lvlText w:val="•"/>
      <w:lvlJc w:val="left"/>
      <w:pPr>
        <w:ind w:left="1433" w:hanging="178"/>
      </w:pPr>
      <w:rPr>
        <w:rFonts w:hint="default"/>
      </w:rPr>
    </w:lvl>
    <w:lvl w:ilvl="8">
      <w:start w:val="1"/>
      <w:numFmt w:val="bullet"/>
      <w:lvlText w:val="•"/>
      <w:lvlJc w:val="left"/>
      <w:pPr>
        <w:ind w:left="1623" w:hanging="178"/>
      </w:pPr>
      <w:rPr>
        <w:rFonts w:hint="default"/>
      </w:rPr>
    </w:lvl>
  </w:abstractNum>
  <w:abstractNum w:abstractNumId="49">
    <w:multiLevelType w:val="hybridMultilevel"/>
    <w:lvl w:ilvl="0">
      <w:start w:val="1"/>
      <w:numFmt w:val="decimal"/>
      <w:lvlText w:val="%1."/>
      <w:lvlJc w:val="left"/>
      <w:pPr>
        <w:ind w:left="103" w:hanging="135"/>
        <w:jc w:val="left"/>
      </w:pPr>
      <w:rPr>
        <w:rFonts w:hint="default" w:ascii="Arial" w:hAnsi="Arial" w:eastAsia="Arial" w:cs="Arial"/>
        <w:w w:val="100"/>
        <w:sz w:val="16"/>
        <w:szCs w:val="16"/>
      </w:rPr>
    </w:lvl>
    <w:lvl w:ilvl="1">
      <w:start w:val="1"/>
      <w:numFmt w:val="bullet"/>
      <w:lvlText w:val="•"/>
      <w:lvlJc w:val="left"/>
      <w:pPr>
        <w:ind w:left="290" w:hanging="135"/>
      </w:pPr>
      <w:rPr>
        <w:rFonts w:hint="default"/>
      </w:rPr>
    </w:lvl>
    <w:lvl w:ilvl="2">
      <w:start w:val="1"/>
      <w:numFmt w:val="bullet"/>
      <w:lvlText w:val="•"/>
      <w:lvlJc w:val="left"/>
      <w:pPr>
        <w:ind w:left="480" w:hanging="135"/>
      </w:pPr>
      <w:rPr>
        <w:rFonts w:hint="default"/>
      </w:rPr>
    </w:lvl>
    <w:lvl w:ilvl="3">
      <w:start w:val="1"/>
      <w:numFmt w:val="bullet"/>
      <w:lvlText w:val="•"/>
      <w:lvlJc w:val="left"/>
      <w:pPr>
        <w:ind w:left="671" w:hanging="135"/>
      </w:pPr>
      <w:rPr>
        <w:rFonts w:hint="default"/>
      </w:rPr>
    </w:lvl>
    <w:lvl w:ilvl="4">
      <w:start w:val="1"/>
      <w:numFmt w:val="bullet"/>
      <w:lvlText w:val="•"/>
      <w:lvlJc w:val="left"/>
      <w:pPr>
        <w:ind w:left="861" w:hanging="135"/>
      </w:pPr>
      <w:rPr>
        <w:rFonts w:hint="default"/>
      </w:rPr>
    </w:lvl>
    <w:lvl w:ilvl="5">
      <w:start w:val="1"/>
      <w:numFmt w:val="bullet"/>
      <w:lvlText w:val="•"/>
      <w:lvlJc w:val="left"/>
      <w:pPr>
        <w:ind w:left="1052" w:hanging="135"/>
      </w:pPr>
      <w:rPr>
        <w:rFonts w:hint="default"/>
      </w:rPr>
    </w:lvl>
    <w:lvl w:ilvl="6">
      <w:start w:val="1"/>
      <w:numFmt w:val="bullet"/>
      <w:lvlText w:val="•"/>
      <w:lvlJc w:val="left"/>
      <w:pPr>
        <w:ind w:left="1242" w:hanging="135"/>
      </w:pPr>
      <w:rPr>
        <w:rFonts w:hint="default"/>
      </w:rPr>
    </w:lvl>
    <w:lvl w:ilvl="7">
      <w:start w:val="1"/>
      <w:numFmt w:val="bullet"/>
      <w:lvlText w:val="•"/>
      <w:lvlJc w:val="left"/>
      <w:pPr>
        <w:ind w:left="1433" w:hanging="135"/>
      </w:pPr>
      <w:rPr>
        <w:rFonts w:hint="default"/>
      </w:rPr>
    </w:lvl>
    <w:lvl w:ilvl="8">
      <w:start w:val="1"/>
      <w:numFmt w:val="bullet"/>
      <w:lvlText w:val="•"/>
      <w:lvlJc w:val="left"/>
      <w:pPr>
        <w:ind w:left="1623" w:hanging="135"/>
      </w:pPr>
      <w:rPr>
        <w:rFonts w:hint="default"/>
      </w:rPr>
    </w:lvl>
  </w:abstractNum>
  <w:abstractNum w:abstractNumId="48">
    <w:multiLevelType w:val="hybridMultilevel"/>
    <w:lvl w:ilvl="0">
      <w:start w:val="1"/>
      <w:numFmt w:val="lowerLetter"/>
      <w:lvlText w:val="%1."/>
      <w:lvlJc w:val="left"/>
      <w:pPr>
        <w:ind w:left="674" w:hanging="360"/>
        <w:jc w:val="left"/>
      </w:pPr>
      <w:rPr>
        <w:rFonts w:hint="default" w:ascii="Arial" w:hAnsi="Arial" w:eastAsia="Arial" w:cs="Arial"/>
        <w:b/>
        <w:bCs/>
        <w:w w:val="102"/>
        <w:sz w:val="20"/>
        <w:szCs w:val="20"/>
      </w:rPr>
    </w:lvl>
    <w:lvl w:ilvl="1">
      <w:start w:val="1"/>
      <w:numFmt w:val="lowerLetter"/>
      <w:lvlText w:val="%2."/>
      <w:lvlJc w:val="left"/>
      <w:pPr>
        <w:ind w:left="10131" w:hanging="360"/>
        <w:jc w:val="right"/>
      </w:pPr>
      <w:rPr>
        <w:rFonts w:hint="default" w:ascii="Arial" w:hAnsi="Arial" w:eastAsia="Arial" w:cs="Arial"/>
        <w:b/>
        <w:bCs/>
        <w:w w:val="102"/>
        <w:sz w:val="20"/>
        <w:szCs w:val="20"/>
      </w:rPr>
    </w:lvl>
    <w:lvl w:ilvl="2">
      <w:start w:val="1"/>
      <w:numFmt w:val="bullet"/>
      <w:lvlText w:val="•"/>
      <w:lvlJc w:val="left"/>
      <w:pPr>
        <w:ind w:left="9887" w:hanging="360"/>
      </w:pPr>
      <w:rPr>
        <w:rFonts w:hint="default"/>
      </w:rPr>
    </w:lvl>
    <w:lvl w:ilvl="3">
      <w:start w:val="1"/>
      <w:numFmt w:val="bullet"/>
      <w:lvlText w:val="•"/>
      <w:lvlJc w:val="left"/>
      <w:pPr>
        <w:ind w:left="9635" w:hanging="360"/>
      </w:pPr>
      <w:rPr>
        <w:rFonts w:hint="default"/>
      </w:rPr>
    </w:lvl>
    <w:lvl w:ilvl="4">
      <w:start w:val="1"/>
      <w:numFmt w:val="bullet"/>
      <w:lvlText w:val="•"/>
      <w:lvlJc w:val="left"/>
      <w:pPr>
        <w:ind w:left="9383" w:hanging="360"/>
      </w:pPr>
      <w:rPr>
        <w:rFonts w:hint="default"/>
      </w:rPr>
    </w:lvl>
    <w:lvl w:ilvl="5">
      <w:start w:val="1"/>
      <w:numFmt w:val="bullet"/>
      <w:lvlText w:val="•"/>
      <w:lvlJc w:val="left"/>
      <w:pPr>
        <w:ind w:left="9130" w:hanging="360"/>
      </w:pPr>
      <w:rPr>
        <w:rFonts w:hint="default"/>
      </w:rPr>
    </w:lvl>
    <w:lvl w:ilvl="6">
      <w:start w:val="1"/>
      <w:numFmt w:val="bullet"/>
      <w:lvlText w:val="•"/>
      <w:lvlJc w:val="left"/>
      <w:pPr>
        <w:ind w:left="8878" w:hanging="360"/>
      </w:pPr>
      <w:rPr>
        <w:rFonts w:hint="default"/>
      </w:rPr>
    </w:lvl>
    <w:lvl w:ilvl="7">
      <w:start w:val="1"/>
      <w:numFmt w:val="bullet"/>
      <w:lvlText w:val="•"/>
      <w:lvlJc w:val="left"/>
      <w:pPr>
        <w:ind w:left="8626" w:hanging="360"/>
      </w:pPr>
      <w:rPr>
        <w:rFonts w:hint="default"/>
      </w:rPr>
    </w:lvl>
    <w:lvl w:ilvl="8">
      <w:start w:val="1"/>
      <w:numFmt w:val="bullet"/>
      <w:lvlText w:val="•"/>
      <w:lvlJc w:val="left"/>
      <w:pPr>
        <w:ind w:left="8373" w:hanging="360"/>
      </w:pPr>
      <w:rPr>
        <w:rFonts w:hint="default"/>
      </w:rPr>
    </w:lvl>
  </w:abstractNum>
  <w:abstractNum w:abstractNumId="47">
    <w:multiLevelType w:val="hybridMultilevel"/>
    <w:lvl w:ilvl="0">
      <w:start w:val="1"/>
      <w:numFmt w:val="bullet"/>
      <w:lvlText w:val="•"/>
      <w:lvlJc w:val="left"/>
      <w:pPr>
        <w:ind w:left="647" w:hanging="360"/>
      </w:pPr>
      <w:rPr>
        <w:rFonts w:hint="default" w:ascii="Trebuchet MS" w:hAnsi="Trebuchet MS" w:eastAsia="Trebuchet MS" w:cs="Trebuchet MS"/>
        <w:w w:val="95"/>
        <w:sz w:val="20"/>
        <w:szCs w:val="20"/>
      </w:rPr>
    </w:lvl>
    <w:lvl w:ilvl="1">
      <w:start w:val="1"/>
      <w:numFmt w:val="bullet"/>
      <w:lvlText w:val="•"/>
      <w:lvlJc w:val="left"/>
      <w:pPr>
        <w:ind w:left="1371" w:hanging="360"/>
      </w:pPr>
      <w:rPr>
        <w:rFonts w:hint="default"/>
      </w:rPr>
    </w:lvl>
    <w:lvl w:ilvl="2">
      <w:start w:val="1"/>
      <w:numFmt w:val="bullet"/>
      <w:lvlText w:val="•"/>
      <w:lvlJc w:val="left"/>
      <w:pPr>
        <w:ind w:left="2103" w:hanging="360"/>
      </w:pPr>
      <w:rPr>
        <w:rFonts w:hint="default"/>
      </w:rPr>
    </w:lvl>
    <w:lvl w:ilvl="3">
      <w:start w:val="1"/>
      <w:numFmt w:val="bullet"/>
      <w:lvlText w:val="•"/>
      <w:lvlJc w:val="left"/>
      <w:pPr>
        <w:ind w:left="2835" w:hanging="360"/>
      </w:pPr>
      <w:rPr>
        <w:rFonts w:hint="default"/>
      </w:rPr>
    </w:lvl>
    <w:lvl w:ilvl="4">
      <w:start w:val="1"/>
      <w:numFmt w:val="bullet"/>
      <w:lvlText w:val="•"/>
      <w:lvlJc w:val="left"/>
      <w:pPr>
        <w:ind w:left="3567" w:hanging="360"/>
      </w:pPr>
      <w:rPr>
        <w:rFonts w:hint="default"/>
      </w:rPr>
    </w:lvl>
    <w:lvl w:ilvl="5">
      <w:start w:val="1"/>
      <w:numFmt w:val="bullet"/>
      <w:lvlText w:val="•"/>
      <w:lvlJc w:val="left"/>
      <w:pPr>
        <w:ind w:left="4299" w:hanging="360"/>
      </w:pPr>
      <w:rPr>
        <w:rFonts w:hint="default"/>
      </w:rPr>
    </w:lvl>
    <w:lvl w:ilvl="6">
      <w:start w:val="1"/>
      <w:numFmt w:val="bullet"/>
      <w:lvlText w:val="•"/>
      <w:lvlJc w:val="left"/>
      <w:pPr>
        <w:ind w:left="5030" w:hanging="360"/>
      </w:pPr>
      <w:rPr>
        <w:rFonts w:hint="default"/>
      </w:rPr>
    </w:lvl>
    <w:lvl w:ilvl="7">
      <w:start w:val="1"/>
      <w:numFmt w:val="bullet"/>
      <w:lvlText w:val="•"/>
      <w:lvlJc w:val="left"/>
      <w:pPr>
        <w:ind w:left="5762" w:hanging="360"/>
      </w:pPr>
      <w:rPr>
        <w:rFonts w:hint="default"/>
      </w:rPr>
    </w:lvl>
    <w:lvl w:ilvl="8">
      <w:start w:val="1"/>
      <w:numFmt w:val="bullet"/>
      <w:lvlText w:val="•"/>
      <w:lvlJc w:val="left"/>
      <w:pPr>
        <w:ind w:left="6494" w:hanging="360"/>
      </w:pPr>
      <w:rPr>
        <w:rFonts w:hint="default"/>
      </w:rPr>
    </w:lvl>
  </w:abstractNum>
  <w:abstractNum w:abstractNumId="46">
    <w:multiLevelType w:val="hybridMultilevel"/>
    <w:lvl w:ilvl="0">
      <w:start w:val="1"/>
      <w:numFmt w:val="bullet"/>
      <w:lvlText w:val="•"/>
      <w:lvlJc w:val="left"/>
      <w:pPr>
        <w:ind w:left="462" w:hanging="360"/>
      </w:pPr>
      <w:rPr>
        <w:rFonts w:hint="default" w:ascii="Trebuchet MS" w:hAnsi="Trebuchet MS" w:eastAsia="Trebuchet MS" w:cs="Trebuchet MS"/>
        <w:w w:val="95"/>
        <w:sz w:val="18"/>
        <w:szCs w:val="18"/>
      </w:rPr>
    </w:lvl>
    <w:lvl w:ilvl="1">
      <w:start w:val="1"/>
      <w:numFmt w:val="bullet"/>
      <w:lvlText w:val="•"/>
      <w:lvlJc w:val="left"/>
      <w:pPr>
        <w:ind w:left="620" w:hanging="360"/>
      </w:pPr>
      <w:rPr>
        <w:rFonts w:hint="default"/>
      </w:rPr>
    </w:lvl>
    <w:lvl w:ilvl="2">
      <w:start w:val="1"/>
      <w:numFmt w:val="bullet"/>
      <w:lvlText w:val="•"/>
      <w:lvlJc w:val="left"/>
      <w:pPr>
        <w:ind w:left="780" w:hanging="360"/>
      </w:pPr>
      <w:rPr>
        <w:rFonts w:hint="default"/>
      </w:rPr>
    </w:lvl>
    <w:lvl w:ilvl="3">
      <w:start w:val="1"/>
      <w:numFmt w:val="bullet"/>
      <w:lvlText w:val="•"/>
      <w:lvlJc w:val="left"/>
      <w:pPr>
        <w:ind w:left="940" w:hanging="360"/>
      </w:pPr>
      <w:rPr>
        <w:rFonts w:hint="default"/>
      </w:rPr>
    </w:lvl>
    <w:lvl w:ilvl="4">
      <w:start w:val="1"/>
      <w:numFmt w:val="bullet"/>
      <w:lvlText w:val="•"/>
      <w:lvlJc w:val="left"/>
      <w:pPr>
        <w:ind w:left="1100" w:hanging="360"/>
      </w:pPr>
      <w:rPr>
        <w:rFonts w:hint="default"/>
      </w:rPr>
    </w:lvl>
    <w:lvl w:ilvl="5">
      <w:start w:val="1"/>
      <w:numFmt w:val="bullet"/>
      <w:lvlText w:val="•"/>
      <w:lvlJc w:val="left"/>
      <w:pPr>
        <w:ind w:left="1260" w:hanging="360"/>
      </w:pPr>
      <w:rPr>
        <w:rFonts w:hint="default"/>
      </w:rPr>
    </w:lvl>
    <w:lvl w:ilvl="6">
      <w:start w:val="1"/>
      <w:numFmt w:val="bullet"/>
      <w:lvlText w:val="•"/>
      <w:lvlJc w:val="left"/>
      <w:pPr>
        <w:ind w:left="1420" w:hanging="360"/>
      </w:pPr>
      <w:rPr>
        <w:rFonts w:hint="default"/>
      </w:rPr>
    </w:lvl>
    <w:lvl w:ilvl="7">
      <w:start w:val="1"/>
      <w:numFmt w:val="bullet"/>
      <w:lvlText w:val="•"/>
      <w:lvlJc w:val="left"/>
      <w:pPr>
        <w:ind w:left="1580" w:hanging="360"/>
      </w:pPr>
      <w:rPr>
        <w:rFonts w:hint="default"/>
      </w:rPr>
    </w:lvl>
    <w:lvl w:ilvl="8">
      <w:start w:val="1"/>
      <w:numFmt w:val="bullet"/>
      <w:lvlText w:val="•"/>
      <w:lvlJc w:val="left"/>
      <w:pPr>
        <w:ind w:left="1740" w:hanging="360"/>
      </w:pPr>
      <w:rPr>
        <w:rFonts w:hint="default"/>
      </w:rPr>
    </w:lvl>
  </w:abstractNum>
  <w:abstractNum w:abstractNumId="45">
    <w:multiLevelType w:val="hybridMultilevel"/>
    <w:lvl w:ilvl="0">
      <w:start w:val="76"/>
      <w:numFmt w:val="decimal"/>
      <w:lvlText w:val="%1"/>
      <w:lvlJc w:val="left"/>
      <w:pPr>
        <w:ind w:left="130" w:hanging="552"/>
        <w:jc w:val="left"/>
      </w:pPr>
      <w:rPr>
        <w:rFonts w:hint="default"/>
      </w:rPr>
    </w:lvl>
    <w:lvl w:ilvl="1">
      <w:start w:val="68"/>
      <w:numFmt w:val="decimal"/>
      <w:lvlText w:val="%1.%2"/>
      <w:lvlJc w:val="left"/>
      <w:pPr>
        <w:ind w:left="130" w:hanging="552"/>
        <w:jc w:val="left"/>
      </w:pPr>
      <w:rPr>
        <w:rFonts w:hint="default" w:ascii="Arial" w:hAnsi="Arial" w:eastAsia="Arial" w:cs="Arial"/>
        <w:w w:val="99"/>
        <w:sz w:val="20"/>
        <w:szCs w:val="20"/>
      </w:rPr>
    </w:lvl>
    <w:lvl w:ilvl="2">
      <w:start w:val="1"/>
      <w:numFmt w:val="bullet"/>
      <w:lvlText w:val="•"/>
      <w:lvlJc w:val="left"/>
      <w:pPr>
        <w:ind w:left="660" w:hanging="360"/>
      </w:pPr>
      <w:rPr>
        <w:rFonts w:hint="default" w:ascii="Verdana" w:hAnsi="Verdana" w:eastAsia="Verdana" w:cs="Verdana"/>
        <w:b/>
        <w:bCs/>
        <w:i/>
        <w:w w:val="70"/>
        <w:sz w:val="20"/>
        <w:szCs w:val="20"/>
      </w:rPr>
    </w:lvl>
    <w:lvl w:ilvl="3">
      <w:start w:val="1"/>
      <w:numFmt w:val="bullet"/>
      <w:lvlText w:val="•"/>
      <w:lvlJc w:val="left"/>
      <w:pPr>
        <w:ind w:left="760" w:hanging="360"/>
      </w:pPr>
      <w:rPr>
        <w:rFonts w:hint="default"/>
      </w:rPr>
    </w:lvl>
    <w:lvl w:ilvl="4">
      <w:start w:val="1"/>
      <w:numFmt w:val="bullet"/>
      <w:lvlText w:val="•"/>
      <w:lvlJc w:val="left"/>
      <w:pPr>
        <w:ind w:left="427" w:hanging="360"/>
      </w:pPr>
      <w:rPr>
        <w:rFonts w:hint="default"/>
      </w:rPr>
    </w:lvl>
    <w:lvl w:ilvl="5">
      <w:start w:val="1"/>
      <w:numFmt w:val="bullet"/>
      <w:lvlText w:val="•"/>
      <w:lvlJc w:val="left"/>
      <w:pPr>
        <w:ind w:left="95" w:hanging="360"/>
      </w:pPr>
      <w:rPr>
        <w:rFonts w:hint="default"/>
      </w:rPr>
    </w:lvl>
    <w:lvl w:ilvl="6">
      <w:start w:val="1"/>
      <w:numFmt w:val="bullet"/>
      <w:lvlText w:val="•"/>
      <w:lvlJc w:val="left"/>
      <w:pPr>
        <w:ind w:left="-237" w:hanging="360"/>
      </w:pPr>
      <w:rPr>
        <w:rFonts w:hint="default"/>
      </w:rPr>
    </w:lvl>
    <w:lvl w:ilvl="7">
      <w:start w:val="1"/>
      <w:numFmt w:val="bullet"/>
      <w:lvlText w:val="•"/>
      <w:lvlJc w:val="left"/>
      <w:pPr>
        <w:ind w:left="-569" w:hanging="360"/>
      </w:pPr>
      <w:rPr>
        <w:rFonts w:hint="default"/>
      </w:rPr>
    </w:lvl>
    <w:lvl w:ilvl="8">
      <w:start w:val="1"/>
      <w:numFmt w:val="bullet"/>
      <w:lvlText w:val="•"/>
      <w:lvlJc w:val="left"/>
      <w:pPr>
        <w:ind w:left="-901" w:hanging="360"/>
      </w:pPr>
      <w:rPr>
        <w:rFonts w:hint="default"/>
      </w:rPr>
    </w:lvl>
  </w:abstractNum>
  <w:abstractNum w:abstractNumId="44">
    <w:multiLevelType w:val="hybridMultilevel"/>
    <w:lvl w:ilvl="0">
      <w:start w:val="5"/>
      <w:numFmt w:val="decimal"/>
      <w:lvlText w:val="%1."/>
      <w:lvlJc w:val="left"/>
      <w:pPr>
        <w:ind w:left="130" w:hanging="284"/>
        <w:jc w:val="left"/>
      </w:pPr>
      <w:rPr>
        <w:rFonts w:hint="default" w:ascii="Arial" w:hAnsi="Arial" w:eastAsia="Arial" w:cs="Arial"/>
        <w:spacing w:val="-19"/>
        <w:w w:val="93"/>
        <w:sz w:val="20"/>
        <w:szCs w:val="20"/>
      </w:rPr>
    </w:lvl>
    <w:lvl w:ilvl="1">
      <w:start w:val="1"/>
      <w:numFmt w:val="lowerLetter"/>
      <w:lvlText w:val="%2."/>
      <w:lvlJc w:val="left"/>
      <w:pPr>
        <w:ind w:left="130" w:hanging="164"/>
        <w:jc w:val="left"/>
      </w:pPr>
      <w:rPr>
        <w:rFonts w:hint="default" w:ascii="Arial" w:hAnsi="Arial" w:eastAsia="Arial" w:cs="Arial"/>
        <w:w w:val="97"/>
        <w:sz w:val="20"/>
        <w:szCs w:val="20"/>
      </w:rPr>
    </w:lvl>
    <w:lvl w:ilvl="2">
      <w:start w:val="1"/>
      <w:numFmt w:val="bullet"/>
      <w:lvlText w:val="•"/>
      <w:lvlJc w:val="left"/>
      <w:pPr>
        <w:ind w:left="1680" w:hanging="164"/>
      </w:pPr>
      <w:rPr>
        <w:rFonts w:hint="default"/>
      </w:rPr>
    </w:lvl>
    <w:lvl w:ilvl="3">
      <w:start w:val="1"/>
      <w:numFmt w:val="bullet"/>
      <w:lvlText w:val="•"/>
      <w:lvlJc w:val="left"/>
      <w:pPr>
        <w:ind w:left="2450" w:hanging="164"/>
      </w:pPr>
      <w:rPr>
        <w:rFonts w:hint="default"/>
      </w:rPr>
    </w:lvl>
    <w:lvl w:ilvl="4">
      <w:start w:val="1"/>
      <w:numFmt w:val="bullet"/>
      <w:lvlText w:val="•"/>
      <w:lvlJc w:val="left"/>
      <w:pPr>
        <w:ind w:left="3220" w:hanging="164"/>
      </w:pPr>
      <w:rPr>
        <w:rFonts w:hint="default"/>
      </w:rPr>
    </w:lvl>
    <w:lvl w:ilvl="5">
      <w:start w:val="1"/>
      <w:numFmt w:val="bullet"/>
      <w:lvlText w:val="•"/>
      <w:lvlJc w:val="left"/>
      <w:pPr>
        <w:ind w:left="3990" w:hanging="164"/>
      </w:pPr>
      <w:rPr>
        <w:rFonts w:hint="default"/>
      </w:rPr>
    </w:lvl>
    <w:lvl w:ilvl="6">
      <w:start w:val="1"/>
      <w:numFmt w:val="bullet"/>
      <w:lvlText w:val="•"/>
      <w:lvlJc w:val="left"/>
      <w:pPr>
        <w:ind w:left="4760" w:hanging="164"/>
      </w:pPr>
      <w:rPr>
        <w:rFonts w:hint="default"/>
      </w:rPr>
    </w:lvl>
    <w:lvl w:ilvl="7">
      <w:start w:val="1"/>
      <w:numFmt w:val="bullet"/>
      <w:lvlText w:val="•"/>
      <w:lvlJc w:val="left"/>
      <w:pPr>
        <w:ind w:left="5530" w:hanging="164"/>
      </w:pPr>
      <w:rPr>
        <w:rFonts w:hint="default"/>
      </w:rPr>
    </w:lvl>
    <w:lvl w:ilvl="8">
      <w:start w:val="1"/>
      <w:numFmt w:val="bullet"/>
      <w:lvlText w:val="•"/>
      <w:lvlJc w:val="left"/>
      <w:pPr>
        <w:ind w:left="6301" w:hanging="164"/>
      </w:pPr>
      <w:rPr>
        <w:rFonts w:hint="default"/>
      </w:rPr>
    </w:lvl>
  </w:abstractNum>
  <w:abstractNum w:abstractNumId="43">
    <w:multiLevelType w:val="hybridMultilevel"/>
    <w:lvl w:ilvl="0">
      <w:start w:val="1"/>
      <w:numFmt w:val="lowerLetter"/>
      <w:lvlText w:val="%1."/>
      <w:lvlJc w:val="left"/>
      <w:pPr>
        <w:ind w:left="660" w:hanging="360"/>
        <w:jc w:val="right"/>
      </w:pPr>
      <w:rPr>
        <w:rFonts w:hint="default" w:ascii="Arial" w:hAnsi="Arial" w:eastAsia="Arial" w:cs="Arial"/>
        <w:w w:val="97"/>
        <w:sz w:val="20"/>
        <w:szCs w:val="20"/>
      </w:rPr>
    </w:lvl>
    <w:lvl w:ilvl="1">
      <w:start w:val="1"/>
      <w:numFmt w:val="bullet"/>
      <w:lvlText w:val="•"/>
      <w:lvlJc w:val="left"/>
      <w:pPr>
        <w:ind w:left="1378" w:hanging="360"/>
      </w:pPr>
      <w:rPr>
        <w:rFonts w:hint="default"/>
      </w:rPr>
    </w:lvl>
    <w:lvl w:ilvl="2">
      <w:start w:val="1"/>
      <w:numFmt w:val="bullet"/>
      <w:lvlText w:val="•"/>
      <w:lvlJc w:val="left"/>
      <w:pPr>
        <w:ind w:left="2096" w:hanging="360"/>
      </w:pPr>
      <w:rPr>
        <w:rFonts w:hint="default"/>
      </w:rPr>
    </w:lvl>
    <w:lvl w:ilvl="3">
      <w:start w:val="1"/>
      <w:numFmt w:val="bullet"/>
      <w:lvlText w:val="•"/>
      <w:lvlJc w:val="left"/>
      <w:pPr>
        <w:ind w:left="2814" w:hanging="360"/>
      </w:pPr>
      <w:rPr>
        <w:rFonts w:hint="default"/>
      </w:rPr>
    </w:lvl>
    <w:lvl w:ilvl="4">
      <w:start w:val="1"/>
      <w:numFmt w:val="bullet"/>
      <w:lvlText w:val="•"/>
      <w:lvlJc w:val="left"/>
      <w:pPr>
        <w:ind w:left="3532" w:hanging="360"/>
      </w:pPr>
      <w:rPr>
        <w:rFonts w:hint="default"/>
      </w:rPr>
    </w:lvl>
    <w:lvl w:ilvl="5">
      <w:start w:val="1"/>
      <w:numFmt w:val="bullet"/>
      <w:lvlText w:val="•"/>
      <w:lvlJc w:val="left"/>
      <w:pPr>
        <w:ind w:left="4250" w:hanging="360"/>
      </w:pPr>
      <w:rPr>
        <w:rFonts w:hint="default"/>
      </w:rPr>
    </w:lvl>
    <w:lvl w:ilvl="6">
      <w:start w:val="1"/>
      <w:numFmt w:val="bullet"/>
      <w:lvlText w:val="•"/>
      <w:lvlJc w:val="left"/>
      <w:pPr>
        <w:ind w:left="4968" w:hanging="360"/>
      </w:pPr>
      <w:rPr>
        <w:rFonts w:hint="default"/>
      </w:rPr>
    </w:lvl>
    <w:lvl w:ilvl="7">
      <w:start w:val="1"/>
      <w:numFmt w:val="bullet"/>
      <w:lvlText w:val="•"/>
      <w:lvlJc w:val="left"/>
      <w:pPr>
        <w:ind w:left="5687" w:hanging="360"/>
      </w:pPr>
      <w:rPr>
        <w:rFonts w:hint="default"/>
      </w:rPr>
    </w:lvl>
    <w:lvl w:ilvl="8">
      <w:start w:val="1"/>
      <w:numFmt w:val="bullet"/>
      <w:lvlText w:val="•"/>
      <w:lvlJc w:val="left"/>
      <w:pPr>
        <w:ind w:left="6405" w:hanging="360"/>
      </w:pPr>
      <w:rPr>
        <w:rFonts w:hint="default"/>
      </w:rPr>
    </w:lvl>
  </w:abstractNum>
  <w:abstractNum w:abstractNumId="42">
    <w:multiLevelType w:val="hybridMultilevel"/>
    <w:lvl w:ilvl="0">
      <w:start w:val="1"/>
      <w:numFmt w:val="bullet"/>
      <w:lvlText w:val="•"/>
      <w:lvlJc w:val="left"/>
      <w:pPr>
        <w:ind w:left="660" w:hanging="360"/>
      </w:pPr>
      <w:rPr>
        <w:rFonts w:hint="default" w:ascii="Trebuchet MS" w:hAnsi="Trebuchet MS" w:eastAsia="Trebuchet MS" w:cs="Trebuchet MS"/>
        <w:w w:val="95"/>
        <w:sz w:val="20"/>
        <w:szCs w:val="20"/>
      </w:rPr>
    </w:lvl>
    <w:lvl w:ilvl="1">
      <w:start w:val="1"/>
      <w:numFmt w:val="bullet"/>
      <w:lvlText w:val="•"/>
      <w:lvlJc w:val="left"/>
      <w:pPr>
        <w:ind w:left="1378" w:hanging="360"/>
      </w:pPr>
      <w:rPr>
        <w:rFonts w:hint="default"/>
      </w:rPr>
    </w:lvl>
    <w:lvl w:ilvl="2">
      <w:start w:val="1"/>
      <w:numFmt w:val="bullet"/>
      <w:lvlText w:val="•"/>
      <w:lvlJc w:val="left"/>
      <w:pPr>
        <w:ind w:left="2096" w:hanging="360"/>
      </w:pPr>
      <w:rPr>
        <w:rFonts w:hint="default"/>
      </w:rPr>
    </w:lvl>
    <w:lvl w:ilvl="3">
      <w:start w:val="1"/>
      <w:numFmt w:val="bullet"/>
      <w:lvlText w:val="•"/>
      <w:lvlJc w:val="left"/>
      <w:pPr>
        <w:ind w:left="2814" w:hanging="360"/>
      </w:pPr>
      <w:rPr>
        <w:rFonts w:hint="default"/>
      </w:rPr>
    </w:lvl>
    <w:lvl w:ilvl="4">
      <w:start w:val="1"/>
      <w:numFmt w:val="bullet"/>
      <w:lvlText w:val="•"/>
      <w:lvlJc w:val="left"/>
      <w:pPr>
        <w:ind w:left="3532" w:hanging="360"/>
      </w:pPr>
      <w:rPr>
        <w:rFonts w:hint="default"/>
      </w:rPr>
    </w:lvl>
    <w:lvl w:ilvl="5">
      <w:start w:val="1"/>
      <w:numFmt w:val="bullet"/>
      <w:lvlText w:val="•"/>
      <w:lvlJc w:val="left"/>
      <w:pPr>
        <w:ind w:left="4250" w:hanging="360"/>
      </w:pPr>
      <w:rPr>
        <w:rFonts w:hint="default"/>
      </w:rPr>
    </w:lvl>
    <w:lvl w:ilvl="6">
      <w:start w:val="1"/>
      <w:numFmt w:val="bullet"/>
      <w:lvlText w:val="•"/>
      <w:lvlJc w:val="left"/>
      <w:pPr>
        <w:ind w:left="4968" w:hanging="360"/>
      </w:pPr>
      <w:rPr>
        <w:rFonts w:hint="default"/>
      </w:rPr>
    </w:lvl>
    <w:lvl w:ilvl="7">
      <w:start w:val="1"/>
      <w:numFmt w:val="bullet"/>
      <w:lvlText w:val="•"/>
      <w:lvlJc w:val="left"/>
      <w:pPr>
        <w:ind w:left="5687" w:hanging="360"/>
      </w:pPr>
      <w:rPr>
        <w:rFonts w:hint="default"/>
      </w:rPr>
    </w:lvl>
    <w:lvl w:ilvl="8">
      <w:start w:val="1"/>
      <w:numFmt w:val="bullet"/>
      <w:lvlText w:val="•"/>
      <w:lvlJc w:val="left"/>
      <w:pPr>
        <w:ind w:left="6405" w:hanging="360"/>
      </w:pPr>
      <w:rPr>
        <w:rFonts w:hint="default"/>
      </w:rPr>
    </w:lvl>
  </w:abstractNum>
  <w:abstractNum w:abstractNumId="41">
    <w:multiLevelType w:val="hybridMultilevel"/>
    <w:lvl w:ilvl="0">
      <w:start w:val="24"/>
      <w:numFmt w:val="decimal"/>
      <w:lvlText w:val="%1"/>
      <w:lvlJc w:val="left"/>
      <w:pPr>
        <w:ind w:left="582" w:hanging="445"/>
        <w:jc w:val="left"/>
      </w:pPr>
      <w:rPr>
        <w:rFonts w:hint="default"/>
      </w:rPr>
    </w:lvl>
    <w:lvl w:ilvl="1">
      <w:start w:val="2"/>
      <w:numFmt w:val="decimal"/>
      <w:lvlText w:val="%1.%2"/>
      <w:lvlJc w:val="left"/>
      <w:pPr>
        <w:ind w:left="582" w:hanging="445"/>
        <w:jc w:val="left"/>
      </w:pPr>
      <w:rPr>
        <w:rFonts w:hint="default" w:ascii="Arial" w:hAnsi="Arial" w:eastAsia="Arial" w:cs="Arial"/>
        <w:w w:val="99"/>
        <w:sz w:val="20"/>
        <w:szCs w:val="20"/>
      </w:rPr>
    </w:lvl>
    <w:lvl w:ilvl="2">
      <w:start w:val="1"/>
      <w:numFmt w:val="upperRoman"/>
      <w:lvlText w:val="%3."/>
      <w:lvlJc w:val="left"/>
      <w:pPr>
        <w:ind w:left="1089" w:hanging="284"/>
        <w:jc w:val="left"/>
      </w:pPr>
      <w:rPr>
        <w:rFonts w:hint="default" w:ascii="Arial" w:hAnsi="Arial" w:eastAsia="Arial" w:cs="Arial"/>
        <w:w w:val="96"/>
        <w:sz w:val="20"/>
        <w:szCs w:val="20"/>
      </w:rPr>
    </w:lvl>
    <w:lvl w:ilvl="3">
      <w:start w:val="1"/>
      <w:numFmt w:val="bullet"/>
      <w:lvlText w:val="•"/>
      <w:lvlJc w:val="left"/>
      <w:pPr>
        <w:ind w:left="491" w:hanging="284"/>
      </w:pPr>
      <w:rPr>
        <w:rFonts w:hint="default"/>
      </w:rPr>
    </w:lvl>
    <w:lvl w:ilvl="4">
      <w:start w:val="1"/>
      <w:numFmt w:val="bullet"/>
      <w:lvlText w:val="•"/>
      <w:lvlJc w:val="left"/>
      <w:pPr>
        <w:ind w:left="197" w:hanging="284"/>
      </w:pPr>
      <w:rPr>
        <w:rFonts w:hint="default"/>
      </w:rPr>
    </w:lvl>
    <w:lvl w:ilvl="5">
      <w:start w:val="1"/>
      <w:numFmt w:val="bullet"/>
      <w:lvlText w:val="•"/>
      <w:lvlJc w:val="left"/>
      <w:pPr>
        <w:ind w:left="-97" w:hanging="284"/>
      </w:pPr>
      <w:rPr>
        <w:rFonts w:hint="default"/>
      </w:rPr>
    </w:lvl>
    <w:lvl w:ilvl="6">
      <w:start w:val="1"/>
      <w:numFmt w:val="bullet"/>
      <w:lvlText w:val="•"/>
      <w:lvlJc w:val="left"/>
      <w:pPr>
        <w:ind w:left="-391" w:hanging="284"/>
      </w:pPr>
      <w:rPr>
        <w:rFonts w:hint="default"/>
      </w:rPr>
    </w:lvl>
    <w:lvl w:ilvl="7">
      <w:start w:val="1"/>
      <w:numFmt w:val="bullet"/>
      <w:lvlText w:val="•"/>
      <w:lvlJc w:val="left"/>
      <w:pPr>
        <w:ind w:left="-685" w:hanging="284"/>
      </w:pPr>
      <w:rPr>
        <w:rFonts w:hint="default"/>
      </w:rPr>
    </w:lvl>
    <w:lvl w:ilvl="8">
      <w:start w:val="1"/>
      <w:numFmt w:val="bullet"/>
      <w:lvlText w:val="•"/>
      <w:lvlJc w:val="left"/>
      <w:pPr>
        <w:ind w:left="-979" w:hanging="284"/>
      </w:pPr>
      <w:rPr>
        <w:rFonts w:hint="default"/>
      </w:rPr>
    </w:lvl>
  </w:abstractNum>
  <w:abstractNum w:abstractNumId="40">
    <w:multiLevelType w:val="hybridMultilevel"/>
    <w:lvl w:ilvl="0">
      <w:start w:val="1"/>
      <w:numFmt w:val="bullet"/>
      <w:lvlText w:val="•"/>
      <w:lvlJc w:val="left"/>
      <w:pPr>
        <w:ind w:left="667" w:hanging="360"/>
      </w:pPr>
      <w:rPr>
        <w:rFonts w:hint="default" w:ascii="Trebuchet MS" w:hAnsi="Trebuchet MS" w:eastAsia="Trebuchet MS" w:cs="Trebuchet MS"/>
        <w:w w:val="95"/>
        <w:sz w:val="20"/>
        <w:szCs w:val="20"/>
      </w:rPr>
    </w:lvl>
    <w:lvl w:ilvl="1">
      <w:start w:val="1"/>
      <w:numFmt w:val="bullet"/>
      <w:lvlText w:val="•"/>
      <w:lvlJc w:val="left"/>
      <w:pPr>
        <w:ind w:left="1378" w:hanging="360"/>
      </w:pPr>
      <w:rPr>
        <w:rFonts w:hint="default"/>
      </w:rPr>
    </w:lvl>
    <w:lvl w:ilvl="2">
      <w:start w:val="1"/>
      <w:numFmt w:val="bullet"/>
      <w:lvlText w:val="•"/>
      <w:lvlJc w:val="left"/>
      <w:pPr>
        <w:ind w:left="2097" w:hanging="360"/>
      </w:pPr>
      <w:rPr>
        <w:rFonts w:hint="default"/>
      </w:rPr>
    </w:lvl>
    <w:lvl w:ilvl="3">
      <w:start w:val="1"/>
      <w:numFmt w:val="bullet"/>
      <w:lvlText w:val="•"/>
      <w:lvlJc w:val="left"/>
      <w:pPr>
        <w:ind w:left="2816" w:hanging="360"/>
      </w:pPr>
      <w:rPr>
        <w:rFonts w:hint="default"/>
      </w:rPr>
    </w:lvl>
    <w:lvl w:ilvl="4">
      <w:start w:val="1"/>
      <w:numFmt w:val="bullet"/>
      <w:lvlText w:val="•"/>
      <w:lvlJc w:val="left"/>
      <w:pPr>
        <w:ind w:left="3535" w:hanging="360"/>
      </w:pPr>
      <w:rPr>
        <w:rFonts w:hint="default"/>
      </w:rPr>
    </w:lvl>
    <w:lvl w:ilvl="5">
      <w:start w:val="1"/>
      <w:numFmt w:val="bullet"/>
      <w:lvlText w:val="•"/>
      <w:lvlJc w:val="left"/>
      <w:pPr>
        <w:ind w:left="4254" w:hanging="360"/>
      </w:pPr>
      <w:rPr>
        <w:rFonts w:hint="default"/>
      </w:rPr>
    </w:lvl>
    <w:lvl w:ilvl="6">
      <w:start w:val="1"/>
      <w:numFmt w:val="bullet"/>
      <w:lvlText w:val="•"/>
      <w:lvlJc w:val="left"/>
      <w:pPr>
        <w:ind w:left="4973" w:hanging="360"/>
      </w:pPr>
      <w:rPr>
        <w:rFonts w:hint="default"/>
      </w:rPr>
    </w:lvl>
    <w:lvl w:ilvl="7">
      <w:start w:val="1"/>
      <w:numFmt w:val="bullet"/>
      <w:lvlText w:val="•"/>
      <w:lvlJc w:val="left"/>
      <w:pPr>
        <w:ind w:left="5692" w:hanging="360"/>
      </w:pPr>
      <w:rPr>
        <w:rFonts w:hint="default"/>
      </w:rPr>
    </w:lvl>
    <w:lvl w:ilvl="8">
      <w:start w:val="1"/>
      <w:numFmt w:val="bullet"/>
      <w:lvlText w:val="•"/>
      <w:lvlJc w:val="left"/>
      <w:pPr>
        <w:ind w:left="6411" w:hanging="360"/>
      </w:pPr>
      <w:rPr>
        <w:rFonts w:hint="default"/>
      </w:rPr>
    </w:lvl>
  </w:abstractNum>
  <w:abstractNum w:abstractNumId="39">
    <w:multiLevelType w:val="hybridMultilevel"/>
    <w:lvl w:ilvl="0">
      <w:start w:val="1"/>
      <w:numFmt w:val="bullet"/>
      <w:lvlText w:val="•"/>
      <w:lvlJc w:val="left"/>
      <w:pPr>
        <w:ind w:left="633" w:hanging="360"/>
      </w:pPr>
      <w:rPr>
        <w:rFonts w:hint="default" w:ascii="Trebuchet MS" w:hAnsi="Trebuchet MS" w:eastAsia="Trebuchet MS" w:cs="Trebuchet MS"/>
        <w:w w:val="95"/>
        <w:sz w:val="20"/>
        <w:szCs w:val="20"/>
      </w:rPr>
    </w:lvl>
    <w:lvl w:ilvl="1">
      <w:start w:val="1"/>
      <w:numFmt w:val="bullet"/>
      <w:lvlText w:val="•"/>
      <w:lvlJc w:val="left"/>
      <w:pPr>
        <w:ind w:left="962" w:hanging="360"/>
      </w:pPr>
      <w:rPr>
        <w:rFonts w:hint="default"/>
      </w:rPr>
    </w:lvl>
    <w:lvl w:ilvl="2">
      <w:start w:val="1"/>
      <w:numFmt w:val="bullet"/>
      <w:lvlText w:val="•"/>
      <w:lvlJc w:val="left"/>
      <w:pPr>
        <w:ind w:left="1285" w:hanging="360"/>
      </w:pPr>
      <w:rPr>
        <w:rFonts w:hint="default"/>
      </w:rPr>
    </w:lvl>
    <w:lvl w:ilvl="3">
      <w:start w:val="1"/>
      <w:numFmt w:val="bullet"/>
      <w:lvlText w:val="•"/>
      <w:lvlJc w:val="left"/>
      <w:pPr>
        <w:ind w:left="1608" w:hanging="360"/>
      </w:pPr>
      <w:rPr>
        <w:rFonts w:hint="default"/>
      </w:rPr>
    </w:lvl>
    <w:lvl w:ilvl="4">
      <w:start w:val="1"/>
      <w:numFmt w:val="bullet"/>
      <w:lvlText w:val="•"/>
      <w:lvlJc w:val="left"/>
      <w:pPr>
        <w:ind w:left="1930" w:hanging="360"/>
      </w:pPr>
      <w:rPr>
        <w:rFonts w:hint="default"/>
      </w:rPr>
    </w:lvl>
    <w:lvl w:ilvl="5">
      <w:start w:val="1"/>
      <w:numFmt w:val="bullet"/>
      <w:lvlText w:val="•"/>
      <w:lvlJc w:val="left"/>
      <w:pPr>
        <w:ind w:left="2253" w:hanging="360"/>
      </w:pPr>
      <w:rPr>
        <w:rFonts w:hint="default"/>
      </w:rPr>
    </w:lvl>
    <w:lvl w:ilvl="6">
      <w:start w:val="1"/>
      <w:numFmt w:val="bullet"/>
      <w:lvlText w:val="•"/>
      <w:lvlJc w:val="left"/>
      <w:pPr>
        <w:ind w:left="2576" w:hanging="360"/>
      </w:pPr>
      <w:rPr>
        <w:rFonts w:hint="default"/>
      </w:rPr>
    </w:lvl>
    <w:lvl w:ilvl="7">
      <w:start w:val="1"/>
      <w:numFmt w:val="bullet"/>
      <w:lvlText w:val="•"/>
      <w:lvlJc w:val="left"/>
      <w:pPr>
        <w:ind w:left="2899" w:hanging="360"/>
      </w:pPr>
      <w:rPr>
        <w:rFonts w:hint="default"/>
      </w:rPr>
    </w:lvl>
    <w:lvl w:ilvl="8">
      <w:start w:val="1"/>
      <w:numFmt w:val="bullet"/>
      <w:lvlText w:val="•"/>
      <w:lvlJc w:val="left"/>
      <w:pPr>
        <w:ind w:left="3221" w:hanging="360"/>
      </w:pPr>
      <w:rPr>
        <w:rFonts w:hint="default"/>
      </w:rPr>
    </w:lvl>
  </w:abstractNum>
  <w:abstractNum w:abstractNumId="38">
    <w:multiLevelType w:val="hybridMultilevel"/>
    <w:lvl w:ilvl="0">
      <w:start w:val="1"/>
      <w:numFmt w:val="bullet"/>
      <w:lvlText w:val="•"/>
      <w:lvlJc w:val="left"/>
      <w:pPr>
        <w:ind w:left="638" w:hanging="360"/>
      </w:pPr>
      <w:rPr>
        <w:rFonts w:hint="default" w:ascii="Trebuchet MS" w:hAnsi="Trebuchet MS" w:eastAsia="Trebuchet MS" w:cs="Trebuchet MS"/>
        <w:w w:val="95"/>
        <w:sz w:val="20"/>
        <w:szCs w:val="20"/>
      </w:rPr>
    </w:lvl>
    <w:lvl w:ilvl="1">
      <w:start w:val="1"/>
      <w:numFmt w:val="bullet"/>
      <w:lvlText w:val="•"/>
      <w:lvlJc w:val="left"/>
      <w:pPr>
        <w:ind w:left="958" w:hanging="360"/>
      </w:pPr>
      <w:rPr>
        <w:rFonts w:hint="default"/>
      </w:rPr>
    </w:lvl>
    <w:lvl w:ilvl="2">
      <w:start w:val="1"/>
      <w:numFmt w:val="bullet"/>
      <w:lvlText w:val="•"/>
      <w:lvlJc w:val="left"/>
      <w:pPr>
        <w:ind w:left="1276" w:hanging="360"/>
      </w:pPr>
      <w:rPr>
        <w:rFonts w:hint="default"/>
      </w:rPr>
    </w:lvl>
    <w:lvl w:ilvl="3">
      <w:start w:val="1"/>
      <w:numFmt w:val="bullet"/>
      <w:lvlText w:val="•"/>
      <w:lvlJc w:val="left"/>
      <w:pPr>
        <w:ind w:left="1594" w:hanging="360"/>
      </w:pPr>
      <w:rPr>
        <w:rFonts w:hint="default"/>
      </w:rPr>
    </w:lvl>
    <w:lvl w:ilvl="4">
      <w:start w:val="1"/>
      <w:numFmt w:val="bullet"/>
      <w:lvlText w:val="•"/>
      <w:lvlJc w:val="left"/>
      <w:pPr>
        <w:ind w:left="1913" w:hanging="360"/>
      </w:pPr>
      <w:rPr>
        <w:rFonts w:hint="default"/>
      </w:rPr>
    </w:lvl>
    <w:lvl w:ilvl="5">
      <w:start w:val="1"/>
      <w:numFmt w:val="bullet"/>
      <w:lvlText w:val="•"/>
      <w:lvlJc w:val="left"/>
      <w:pPr>
        <w:ind w:left="2231" w:hanging="360"/>
      </w:pPr>
      <w:rPr>
        <w:rFonts w:hint="default"/>
      </w:rPr>
    </w:lvl>
    <w:lvl w:ilvl="6">
      <w:start w:val="1"/>
      <w:numFmt w:val="bullet"/>
      <w:lvlText w:val="•"/>
      <w:lvlJc w:val="left"/>
      <w:pPr>
        <w:ind w:left="2549" w:hanging="360"/>
      </w:pPr>
      <w:rPr>
        <w:rFonts w:hint="default"/>
      </w:rPr>
    </w:lvl>
    <w:lvl w:ilvl="7">
      <w:start w:val="1"/>
      <w:numFmt w:val="bullet"/>
      <w:lvlText w:val="•"/>
      <w:lvlJc w:val="left"/>
      <w:pPr>
        <w:ind w:left="2868" w:hanging="360"/>
      </w:pPr>
      <w:rPr>
        <w:rFonts w:hint="default"/>
      </w:rPr>
    </w:lvl>
    <w:lvl w:ilvl="8">
      <w:start w:val="1"/>
      <w:numFmt w:val="bullet"/>
      <w:lvlText w:val="•"/>
      <w:lvlJc w:val="left"/>
      <w:pPr>
        <w:ind w:left="3186" w:hanging="360"/>
      </w:pPr>
      <w:rPr>
        <w:rFonts w:hint="default"/>
      </w:rPr>
    </w:lvl>
  </w:abstractNum>
  <w:abstractNum w:abstractNumId="37">
    <w:multiLevelType w:val="hybridMultilevel"/>
    <w:lvl w:ilvl="0">
      <w:start w:val="1"/>
      <w:numFmt w:val="bullet"/>
      <w:lvlText w:val="•"/>
      <w:lvlJc w:val="left"/>
      <w:pPr>
        <w:ind w:left="633" w:hanging="360"/>
      </w:pPr>
      <w:rPr>
        <w:rFonts w:hint="default" w:ascii="Trebuchet MS" w:hAnsi="Trebuchet MS" w:eastAsia="Trebuchet MS" w:cs="Trebuchet MS"/>
        <w:w w:val="95"/>
        <w:sz w:val="20"/>
        <w:szCs w:val="20"/>
      </w:rPr>
    </w:lvl>
    <w:lvl w:ilvl="1">
      <w:start w:val="1"/>
      <w:numFmt w:val="bullet"/>
      <w:lvlText w:val="•"/>
      <w:lvlJc w:val="left"/>
      <w:pPr>
        <w:ind w:left="962" w:hanging="360"/>
      </w:pPr>
      <w:rPr>
        <w:rFonts w:hint="default"/>
      </w:rPr>
    </w:lvl>
    <w:lvl w:ilvl="2">
      <w:start w:val="1"/>
      <w:numFmt w:val="bullet"/>
      <w:lvlText w:val="•"/>
      <w:lvlJc w:val="left"/>
      <w:pPr>
        <w:ind w:left="1285" w:hanging="360"/>
      </w:pPr>
      <w:rPr>
        <w:rFonts w:hint="default"/>
      </w:rPr>
    </w:lvl>
    <w:lvl w:ilvl="3">
      <w:start w:val="1"/>
      <w:numFmt w:val="bullet"/>
      <w:lvlText w:val="•"/>
      <w:lvlJc w:val="left"/>
      <w:pPr>
        <w:ind w:left="1608" w:hanging="360"/>
      </w:pPr>
      <w:rPr>
        <w:rFonts w:hint="default"/>
      </w:rPr>
    </w:lvl>
    <w:lvl w:ilvl="4">
      <w:start w:val="1"/>
      <w:numFmt w:val="bullet"/>
      <w:lvlText w:val="•"/>
      <w:lvlJc w:val="left"/>
      <w:pPr>
        <w:ind w:left="1930" w:hanging="360"/>
      </w:pPr>
      <w:rPr>
        <w:rFonts w:hint="default"/>
      </w:rPr>
    </w:lvl>
    <w:lvl w:ilvl="5">
      <w:start w:val="1"/>
      <w:numFmt w:val="bullet"/>
      <w:lvlText w:val="•"/>
      <w:lvlJc w:val="left"/>
      <w:pPr>
        <w:ind w:left="2253" w:hanging="360"/>
      </w:pPr>
      <w:rPr>
        <w:rFonts w:hint="default"/>
      </w:rPr>
    </w:lvl>
    <w:lvl w:ilvl="6">
      <w:start w:val="1"/>
      <w:numFmt w:val="bullet"/>
      <w:lvlText w:val="•"/>
      <w:lvlJc w:val="left"/>
      <w:pPr>
        <w:ind w:left="2576" w:hanging="360"/>
      </w:pPr>
      <w:rPr>
        <w:rFonts w:hint="default"/>
      </w:rPr>
    </w:lvl>
    <w:lvl w:ilvl="7">
      <w:start w:val="1"/>
      <w:numFmt w:val="bullet"/>
      <w:lvlText w:val="•"/>
      <w:lvlJc w:val="left"/>
      <w:pPr>
        <w:ind w:left="2899" w:hanging="360"/>
      </w:pPr>
      <w:rPr>
        <w:rFonts w:hint="default"/>
      </w:rPr>
    </w:lvl>
    <w:lvl w:ilvl="8">
      <w:start w:val="1"/>
      <w:numFmt w:val="bullet"/>
      <w:lvlText w:val="•"/>
      <w:lvlJc w:val="left"/>
      <w:pPr>
        <w:ind w:left="3221" w:hanging="360"/>
      </w:pPr>
      <w:rPr>
        <w:rFonts w:hint="default"/>
      </w:rPr>
    </w:lvl>
  </w:abstractNum>
  <w:abstractNum w:abstractNumId="36">
    <w:multiLevelType w:val="hybridMultilevel"/>
    <w:lvl w:ilvl="0">
      <w:start w:val="1"/>
      <w:numFmt w:val="bullet"/>
      <w:lvlText w:val="•"/>
      <w:lvlJc w:val="left"/>
      <w:pPr>
        <w:ind w:left="638" w:hanging="360"/>
      </w:pPr>
      <w:rPr>
        <w:rFonts w:hint="default" w:ascii="Trebuchet MS" w:hAnsi="Trebuchet MS" w:eastAsia="Trebuchet MS" w:cs="Trebuchet MS"/>
        <w:w w:val="95"/>
        <w:sz w:val="20"/>
        <w:szCs w:val="20"/>
      </w:rPr>
    </w:lvl>
    <w:lvl w:ilvl="1">
      <w:start w:val="1"/>
      <w:numFmt w:val="bullet"/>
      <w:lvlText w:val="•"/>
      <w:lvlJc w:val="left"/>
      <w:pPr>
        <w:ind w:left="958" w:hanging="360"/>
      </w:pPr>
      <w:rPr>
        <w:rFonts w:hint="default"/>
      </w:rPr>
    </w:lvl>
    <w:lvl w:ilvl="2">
      <w:start w:val="1"/>
      <w:numFmt w:val="bullet"/>
      <w:lvlText w:val="•"/>
      <w:lvlJc w:val="left"/>
      <w:pPr>
        <w:ind w:left="1276" w:hanging="360"/>
      </w:pPr>
      <w:rPr>
        <w:rFonts w:hint="default"/>
      </w:rPr>
    </w:lvl>
    <w:lvl w:ilvl="3">
      <w:start w:val="1"/>
      <w:numFmt w:val="bullet"/>
      <w:lvlText w:val="•"/>
      <w:lvlJc w:val="left"/>
      <w:pPr>
        <w:ind w:left="1594" w:hanging="360"/>
      </w:pPr>
      <w:rPr>
        <w:rFonts w:hint="default"/>
      </w:rPr>
    </w:lvl>
    <w:lvl w:ilvl="4">
      <w:start w:val="1"/>
      <w:numFmt w:val="bullet"/>
      <w:lvlText w:val="•"/>
      <w:lvlJc w:val="left"/>
      <w:pPr>
        <w:ind w:left="1913" w:hanging="360"/>
      </w:pPr>
      <w:rPr>
        <w:rFonts w:hint="default"/>
      </w:rPr>
    </w:lvl>
    <w:lvl w:ilvl="5">
      <w:start w:val="1"/>
      <w:numFmt w:val="bullet"/>
      <w:lvlText w:val="•"/>
      <w:lvlJc w:val="left"/>
      <w:pPr>
        <w:ind w:left="2231" w:hanging="360"/>
      </w:pPr>
      <w:rPr>
        <w:rFonts w:hint="default"/>
      </w:rPr>
    </w:lvl>
    <w:lvl w:ilvl="6">
      <w:start w:val="1"/>
      <w:numFmt w:val="bullet"/>
      <w:lvlText w:val="•"/>
      <w:lvlJc w:val="left"/>
      <w:pPr>
        <w:ind w:left="2549" w:hanging="360"/>
      </w:pPr>
      <w:rPr>
        <w:rFonts w:hint="default"/>
      </w:rPr>
    </w:lvl>
    <w:lvl w:ilvl="7">
      <w:start w:val="1"/>
      <w:numFmt w:val="bullet"/>
      <w:lvlText w:val="•"/>
      <w:lvlJc w:val="left"/>
      <w:pPr>
        <w:ind w:left="2868" w:hanging="360"/>
      </w:pPr>
      <w:rPr>
        <w:rFonts w:hint="default"/>
      </w:rPr>
    </w:lvl>
    <w:lvl w:ilvl="8">
      <w:start w:val="1"/>
      <w:numFmt w:val="bullet"/>
      <w:lvlText w:val="•"/>
      <w:lvlJc w:val="left"/>
      <w:pPr>
        <w:ind w:left="3186" w:hanging="360"/>
      </w:pPr>
      <w:rPr>
        <w:rFonts w:hint="default"/>
      </w:rPr>
    </w:lvl>
  </w:abstractNum>
  <w:abstractNum w:abstractNumId="35">
    <w:multiLevelType w:val="hybridMultilevel"/>
    <w:lvl w:ilvl="0">
      <w:start w:val="1"/>
      <w:numFmt w:val="lowerLetter"/>
      <w:lvlText w:val="%1)"/>
      <w:lvlJc w:val="left"/>
      <w:pPr>
        <w:ind w:left="547" w:hanging="283"/>
        <w:jc w:val="left"/>
      </w:pPr>
      <w:rPr>
        <w:rFonts w:hint="default" w:ascii="Calibri" w:hAnsi="Calibri" w:eastAsia="Calibri" w:cs="Calibri"/>
        <w:spacing w:val="-19"/>
        <w:w w:val="96"/>
        <w:sz w:val="22"/>
        <w:szCs w:val="22"/>
      </w:rPr>
    </w:lvl>
    <w:lvl w:ilvl="1">
      <w:start w:val="1"/>
      <w:numFmt w:val="lowerLetter"/>
      <w:lvlText w:val="%2)"/>
      <w:lvlJc w:val="left"/>
      <w:pPr>
        <w:ind w:left="832" w:hanging="283"/>
        <w:jc w:val="left"/>
      </w:pPr>
      <w:rPr>
        <w:rFonts w:hint="default" w:ascii="Calibri" w:hAnsi="Calibri" w:eastAsia="Calibri" w:cs="Calibri"/>
        <w:spacing w:val="-36"/>
        <w:w w:val="93"/>
        <w:sz w:val="22"/>
        <w:szCs w:val="22"/>
      </w:rPr>
    </w:lvl>
    <w:lvl w:ilvl="2">
      <w:start w:val="1"/>
      <w:numFmt w:val="bullet"/>
      <w:lvlText w:val="•"/>
      <w:lvlJc w:val="left"/>
      <w:pPr>
        <w:ind w:left="570" w:hanging="283"/>
      </w:pPr>
      <w:rPr>
        <w:rFonts w:hint="default"/>
      </w:rPr>
    </w:lvl>
    <w:lvl w:ilvl="3">
      <w:start w:val="1"/>
      <w:numFmt w:val="bullet"/>
      <w:lvlText w:val="•"/>
      <w:lvlJc w:val="left"/>
      <w:pPr>
        <w:ind w:left="301" w:hanging="283"/>
      </w:pPr>
      <w:rPr>
        <w:rFonts w:hint="default"/>
      </w:rPr>
    </w:lvl>
    <w:lvl w:ilvl="4">
      <w:start w:val="1"/>
      <w:numFmt w:val="bullet"/>
      <w:lvlText w:val="•"/>
      <w:lvlJc w:val="left"/>
      <w:pPr>
        <w:ind w:left="31" w:hanging="283"/>
      </w:pPr>
      <w:rPr>
        <w:rFonts w:hint="default"/>
      </w:rPr>
    </w:lvl>
    <w:lvl w:ilvl="5">
      <w:start w:val="1"/>
      <w:numFmt w:val="bullet"/>
      <w:lvlText w:val="•"/>
      <w:lvlJc w:val="left"/>
      <w:pPr>
        <w:ind w:left="-238" w:hanging="283"/>
      </w:pPr>
      <w:rPr>
        <w:rFonts w:hint="default"/>
      </w:rPr>
    </w:lvl>
    <w:lvl w:ilvl="6">
      <w:start w:val="1"/>
      <w:numFmt w:val="bullet"/>
      <w:lvlText w:val="•"/>
      <w:lvlJc w:val="left"/>
      <w:pPr>
        <w:ind w:left="-508" w:hanging="283"/>
      </w:pPr>
      <w:rPr>
        <w:rFonts w:hint="default"/>
      </w:rPr>
    </w:lvl>
    <w:lvl w:ilvl="7">
      <w:start w:val="1"/>
      <w:numFmt w:val="bullet"/>
      <w:lvlText w:val="•"/>
      <w:lvlJc w:val="left"/>
      <w:pPr>
        <w:ind w:left="-777" w:hanging="283"/>
      </w:pPr>
      <w:rPr>
        <w:rFonts w:hint="default"/>
      </w:rPr>
    </w:lvl>
    <w:lvl w:ilvl="8">
      <w:start w:val="1"/>
      <w:numFmt w:val="bullet"/>
      <w:lvlText w:val="•"/>
      <w:lvlJc w:val="left"/>
      <w:pPr>
        <w:ind w:left="-1047" w:hanging="283"/>
      </w:pPr>
      <w:rPr>
        <w:rFonts w:hint="default"/>
      </w:rPr>
    </w:lvl>
  </w:abstractNum>
  <w:abstractNum w:abstractNumId="34">
    <w:multiLevelType w:val="hybridMultilevel"/>
    <w:lvl w:ilvl="0">
      <w:start w:val="341"/>
      <w:numFmt w:val="decimal"/>
      <w:lvlText w:val="%1)"/>
      <w:lvlJc w:val="left"/>
      <w:pPr>
        <w:ind w:left="131" w:hanging="443"/>
        <w:jc w:val="left"/>
      </w:pPr>
      <w:rPr>
        <w:rFonts w:hint="default" w:ascii="Arial" w:hAnsi="Arial" w:eastAsia="Arial" w:cs="Arial"/>
        <w:w w:val="96"/>
        <w:sz w:val="20"/>
        <w:szCs w:val="20"/>
      </w:rPr>
    </w:lvl>
    <w:lvl w:ilvl="1">
      <w:start w:val="1"/>
      <w:numFmt w:val="lowerLetter"/>
      <w:lvlText w:val="%2)"/>
      <w:lvlJc w:val="left"/>
      <w:pPr>
        <w:ind w:left="970" w:hanging="425"/>
        <w:jc w:val="right"/>
      </w:pPr>
      <w:rPr>
        <w:rFonts w:hint="default" w:ascii="Calibri" w:hAnsi="Calibri" w:eastAsia="Calibri" w:cs="Calibri"/>
        <w:spacing w:val="-27"/>
        <w:w w:val="96"/>
        <w:sz w:val="22"/>
        <w:szCs w:val="22"/>
      </w:rPr>
    </w:lvl>
    <w:lvl w:ilvl="2">
      <w:start w:val="1"/>
      <w:numFmt w:val="bullet"/>
      <w:lvlText w:val="•"/>
      <w:lvlJc w:val="left"/>
      <w:pPr>
        <w:ind w:left="695" w:hanging="425"/>
      </w:pPr>
      <w:rPr>
        <w:rFonts w:hint="default"/>
      </w:rPr>
    </w:lvl>
    <w:lvl w:ilvl="3">
      <w:start w:val="1"/>
      <w:numFmt w:val="bullet"/>
      <w:lvlText w:val="•"/>
      <w:lvlJc w:val="left"/>
      <w:pPr>
        <w:ind w:left="411" w:hanging="425"/>
      </w:pPr>
      <w:rPr>
        <w:rFonts w:hint="default"/>
      </w:rPr>
    </w:lvl>
    <w:lvl w:ilvl="4">
      <w:start w:val="1"/>
      <w:numFmt w:val="bullet"/>
      <w:lvlText w:val="•"/>
      <w:lvlJc w:val="left"/>
      <w:pPr>
        <w:ind w:left="126" w:hanging="425"/>
      </w:pPr>
      <w:rPr>
        <w:rFonts w:hint="default"/>
      </w:rPr>
    </w:lvl>
    <w:lvl w:ilvl="5">
      <w:start w:val="1"/>
      <w:numFmt w:val="bullet"/>
      <w:lvlText w:val="•"/>
      <w:lvlJc w:val="left"/>
      <w:pPr>
        <w:ind w:left="-158" w:hanging="425"/>
      </w:pPr>
      <w:rPr>
        <w:rFonts w:hint="default"/>
      </w:rPr>
    </w:lvl>
    <w:lvl w:ilvl="6">
      <w:start w:val="1"/>
      <w:numFmt w:val="bullet"/>
      <w:lvlText w:val="•"/>
      <w:lvlJc w:val="left"/>
      <w:pPr>
        <w:ind w:left="-443" w:hanging="425"/>
      </w:pPr>
      <w:rPr>
        <w:rFonts w:hint="default"/>
      </w:rPr>
    </w:lvl>
    <w:lvl w:ilvl="7">
      <w:start w:val="1"/>
      <w:numFmt w:val="bullet"/>
      <w:lvlText w:val="•"/>
      <w:lvlJc w:val="left"/>
      <w:pPr>
        <w:ind w:left="-727" w:hanging="425"/>
      </w:pPr>
      <w:rPr>
        <w:rFonts w:hint="default"/>
      </w:rPr>
    </w:lvl>
    <w:lvl w:ilvl="8">
      <w:start w:val="1"/>
      <w:numFmt w:val="bullet"/>
      <w:lvlText w:val="•"/>
      <w:lvlJc w:val="left"/>
      <w:pPr>
        <w:ind w:left="-1012" w:hanging="425"/>
      </w:pPr>
      <w:rPr>
        <w:rFonts w:hint="default"/>
      </w:rPr>
    </w:lvl>
  </w:abstractNum>
  <w:abstractNum w:abstractNumId="33">
    <w:multiLevelType w:val="hybridMultilevel"/>
    <w:lvl w:ilvl="0">
      <w:start w:val="1"/>
      <w:numFmt w:val="bullet"/>
      <w:lvlText w:val="-"/>
      <w:lvlJc w:val="left"/>
      <w:pPr>
        <w:ind w:left="102" w:hanging="107"/>
      </w:pPr>
      <w:rPr>
        <w:rFonts w:hint="default" w:ascii="Arial" w:hAnsi="Arial" w:eastAsia="Arial" w:cs="Arial"/>
        <w:w w:val="116"/>
        <w:sz w:val="16"/>
        <w:szCs w:val="16"/>
      </w:rPr>
    </w:lvl>
    <w:lvl w:ilvl="1">
      <w:start w:val="1"/>
      <w:numFmt w:val="bullet"/>
      <w:lvlText w:val="•"/>
      <w:lvlJc w:val="left"/>
      <w:pPr>
        <w:ind w:left="669" w:hanging="107"/>
      </w:pPr>
      <w:rPr>
        <w:rFonts w:hint="default"/>
      </w:rPr>
    </w:lvl>
    <w:lvl w:ilvl="2">
      <w:start w:val="1"/>
      <w:numFmt w:val="bullet"/>
      <w:lvlText w:val="•"/>
      <w:lvlJc w:val="left"/>
      <w:pPr>
        <w:ind w:left="1238" w:hanging="107"/>
      </w:pPr>
      <w:rPr>
        <w:rFonts w:hint="default"/>
      </w:rPr>
    </w:lvl>
    <w:lvl w:ilvl="3">
      <w:start w:val="1"/>
      <w:numFmt w:val="bullet"/>
      <w:lvlText w:val="•"/>
      <w:lvlJc w:val="left"/>
      <w:pPr>
        <w:ind w:left="1808" w:hanging="107"/>
      </w:pPr>
      <w:rPr>
        <w:rFonts w:hint="default"/>
      </w:rPr>
    </w:lvl>
    <w:lvl w:ilvl="4">
      <w:start w:val="1"/>
      <w:numFmt w:val="bullet"/>
      <w:lvlText w:val="•"/>
      <w:lvlJc w:val="left"/>
      <w:pPr>
        <w:ind w:left="2377" w:hanging="107"/>
      </w:pPr>
      <w:rPr>
        <w:rFonts w:hint="default"/>
      </w:rPr>
    </w:lvl>
    <w:lvl w:ilvl="5">
      <w:start w:val="1"/>
      <w:numFmt w:val="bullet"/>
      <w:lvlText w:val="•"/>
      <w:lvlJc w:val="left"/>
      <w:pPr>
        <w:ind w:left="2947" w:hanging="107"/>
      </w:pPr>
      <w:rPr>
        <w:rFonts w:hint="default"/>
      </w:rPr>
    </w:lvl>
    <w:lvl w:ilvl="6">
      <w:start w:val="1"/>
      <w:numFmt w:val="bullet"/>
      <w:lvlText w:val="•"/>
      <w:lvlJc w:val="left"/>
      <w:pPr>
        <w:ind w:left="3516" w:hanging="107"/>
      </w:pPr>
      <w:rPr>
        <w:rFonts w:hint="default"/>
      </w:rPr>
    </w:lvl>
    <w:lvl w:ilvl="7">
      <w:start w:val="1"/>
      <w:numFmt w:val="bullet"/>
      <w:lvlText w:val="•"/>
      <w:lvlJc w:val="left"/>
      <w:pPr>
        <w:ind w:left="4085" w:hanging="107"/>
      </w:pPr>
      <w:rPr>
        <w:rFonts w:hint="default"/>
      </w:rPr>
    </w:lvl>
    <w:lvl w:ilvl="8">
      <w:start w:val="1"/>
      <w:numFmt w:val="bullet"/>
      <w:lvlText w:val="•"/>
      <w:lvlJc w:val="left"/>
      <w:pPr>
        <w:ind w:left="4655" w:hanging="107"/>
      </w:pPr>
      <w:rPr>
        <w:rFonts w:hint="default"/>
      </w:rPr>
    </w:lvl>
  </w:abstractNum>
  <w:abstractNum w:abstractNumId="32">
    <w:multiLevelType w:val="hybridMultilevel"/>
    <w:lvl w:ilvl="0">
      <w:start w:val="1"/>
      <w:numFmt w:val="bullet"/>
      <w:lvlText w:val="-"/>
      <w:lvlJc w:val="left"/>
      <w:pPr>
        <w:ind w:left="102" w:hanging="107"/>
      </w:pPr>
      <w:rPr>
        <w:rFonts w:hint="default" w:ascii="Arial" w:hAnsi="Arial" w:eastAsia="Arial" w:cs="Arial"/>
        <w:w w:val="116"/>
        <w:sz w:val="16"/>
        <w:szCs w:val="16"/>
      </w:rPr>
    </w:lvl>
    <w:lvl w:ilvl="1">
      <w:start w:val="1"/>
      <w:numFmt w:val="bullet"/>
      <w:lvlText w:val="•"/>
      <w:lvlJc w:val="left"/>
      <w:pPr>
        <w:ind w:left="669" w:hanging="107"/>
      </w:pPr>
      <w:rPr>
        <w:rFonts w:hint="default"/>
      </w:rPr>
    </w:lvl>
    <w:lvl w:ilvl="2">
      <w:start w:val="1"/>
      <w:numFmt w:val="bullet"/>
      <w:lvlText w:val="•"/>
      <w:lvlJc w:val="left"/>
      <w:pPr>
        <w:ind w:left="1238" w:hanging="107"/>
      </w:pPr>
      <w:rPr>
        <w:rFonts w:hint="default"/>
      </w:rPr>
    </w:lvl>
    <w:lvl w:ilvl="3">
      <w:start w:val="1"/>
      <w:numFmt w:val="bullet"/>
      <w:lvlText w:val="•"/>
      <w:lvlJc w:val="left"/>
      <w:pPr>
        <w:ind w:left="1808" w:hanging="107"/>
      </w:pPr>
      <w:rPr>
        <w:rFonts w:hint="default"/>
      </w:rPr>
    </w:lvl>
    <w:lvl w:ilvl="4">
      <w:start w:val="1"/>
      <w:numFmt w:val="bullet"/>
      <w:lvlText w:val="•"/>
      <w:lvlJc w:val="left"/>
      <w:pPr>
        <w:ind w:left="2377" w:hanging="107"/>
      </w:pPr>
      <w:rPr>
        <w:rFonts w:hint="default"/>
      </w:rPr>
    </w:lvl>
    <w:lvl w:ilvl="5">
      <w:start w:val="1"/>
      <w:numFmt w:val="bullet"/>
      <w:lvlText w:val="•"/>
      <w:lvlJc w:val="left"/>
      <w:pPr>
        <w:ind w:left="2947" w:hanging="107"/>
      </w:pPr>
      <w:rPr>
        <w:rFonts w:hint="default"/>
      </w:rPr>
    </w:lvl>
    <w:lvl w:ilvl="6">
      <w:start w:val="1"/>
      <w:numFmt w:val="bullet"/>
      <w:lvlText w:val="•"/>
      <w:lvlJc w:val="left"/>
      <w:pPr>
        <w:ind w:left="3516" w:hanging="107"/>
      </w:pPr>
      <w:rPr>
        <w:rFonts w:hint="default"/>
      </w:rPr>
    </w:lvl>
    <w:lvl w:ilvl="7">
      <w:start w:val="1"/>
      <w:numFmt w:val="bullet"/>
      <w:lvlText w:val="•"/>
      <w:lvlJc w:val="left"/>
      <w:pPr>
        <w:ind w:left="4085" w:hanging="107"/>
      </w:pPr>
      <w:rPr>
        <w:rFonts w:hint="default"/>
      </w:rPr>
    </w:lvl>
    <w:lvl w:ilvl="8">
      <w:start w:val="1"/>
      <w:numFmt w:val="bullet"/>
      <w:lvlText w:val="•"/>
      <w:lvlJc w:val="left"/>
      <w:pPr>
        <w:ind w:left="4655" w:hanging="107"/>
      </w:pPr>
      <w:rPr>
        <w:rFonts w:hint="default"/>
      </w:rPr>
    </w:lvl>
  </w:abstractNum>
  <w:abstractNum w:abstractNumId="31">
    <w:multiLevelType w:val="hybridMultilevel"/>
    <w:lvl w:ilvl="0">
      <w:start w:val="1"/>
      <w:numFmt w:val="bullet"/>
      <w:lvlText w:val="-"/>
      <w:lvlJc w:val="left"/>
      <w:pPr>
        <w:ind w:left="102" w:hanging="107"/>
      </w:pPr>
      <w:rPr>
        <w:rFonts w:hint="default" w:ascii="Arial" w:hAnsi="Arial" w:eastAsia="Arial" w:cs="Arial"/>
        <w:w w:val="116"/>
        <w:sz w:val="16"/>
        <w:szCs w:val="16"/>
      </w:rPr>
    </w:lvl>
    <w:lvl w:ilvl="1">
      <w:start w:val="1"/>
      <w:numFmt w:val="bullet"/>
      <w:lvlText w:val="•"/>
      <w:lvlJc w:val="left"/>
      <w:pPr>
        <w:ind w:left="669" w:hanging="107"/>
      </w:pPr>
      <w:rPr>
        <w:rFonts w:hint="default"/>
      </w:rPr>
    </w:lvl>
    <w:lvl w:ilvl="2">
      <w:start w:val="1"/>
      <w:numFmt w:val="bullet"/>
      <w:lvlText w:val="•"/>
      <w:lvlJc w:val="left"/>
      <w:pPr>
        <w:ind w:left="1238" w:hanging="107"/>
      </w:pPr>
      <w:rPr>
        <w:rFonts w:hint="default"/>
      </w:rPr>
    </w:lvl>
    <w:lvl w:ilvl="3">
      <w:start w:val="1"/>
      <w:numFmt w:val="bullet"/>
      <w:lvlText w:val="•"/>
      <w:lvlJc w:val="left"/>
      <w:pPr>
        <w:ind w:left="1808" w:hanging="107"/>
      </w:pPr>
      <w:rPr>
        <w:rFonts w:hint="default"/>
      </w:rPr>
    </w:lvl>
    <w:lvl w:ilvl="4">
      <w:start w:val="1"/>
      <w:numFmt w:val="bullet"/>
      <w:lvlText w:val="•"/>
      <w:lvlJc w:val="left"/>
      <w:pPr>
        <w:ind w:left="2377" w:hanging="107"/>
      </w:pPr>
      <w:rPr>
        <w:rFonts w:hint="default"/>
      </w:rPr>
    </w:lvl>
    <w:lvl w:ilvl="5">
      <w:start w:val="1"/>
      <w:numFmt w:val="bullet"/>
      <w:lvlText w:val="•"/>
      <w:lvlJc w:val="left"/>
      <w:pPr>
        <w:ind w:left="2947" w:hanging="107"/>
      </w:pPr>
      <w:rPr>
        <w:rFonts w:hint="default"/>
      </w:rPr>
    </w:lvl>
    <w:lvl w:ilvl="6">
      <w:start w:val="1"/>
      <w:numFmt w:val="bullet"/>
      <w:lvlText w:val="•"/>
      <w:lvlJc w:val="left"/>
      <w:pPr>
        <w:ind w:left="3516" w:hanging="107"/>
      </w:pPr>
      <w:rPr>
        <w:rFonts w:hint="default"/>
      </w:rPr>
    </w:lvl>
    <w:lvl w:ilvl="7">
      <w:start w:val="1"/>
      <w:numFmt w:val="bullet"/>
      <w:lvlText w:val="•"/>
      <w:lvlJc w:val="left"/>
      <w:pPr>
        <w:ind w:left="4085" w:hanging="107"/>
      </w:pPr>
      <w:rPr>
        <w:rFonts w:hint="default"/>
      </w:rPr>
    </w:lvl>
    <w:lvl w:ilvl="8">
      <w:start w:val="1"/>
      <w:numFmt w:val="bullet"/>
      <w:lvlText w:val="•"/>
      <w:lvlJc w:val="left"/>
      <w:pPr>
        <w:ind w:left="4655" w:hanging="107"/>
      </w:pPr>
      <w:rPr>
        <w:rFonts w:hint="default"/>
      </w:rPr>
    </w:lvl>
  </w:abstractNum>
  <w:abstractNum w:abstractNumId="30">
    <w:multiLevelType w:val="hybridMultilevel"/>
    <w:lvl w:ilvl="0">
      <w:start w:val="1"/>
      <w:numFmt w:val="bullet"/>
      <w:lvlText w:val="-"/>
      <w:lvlJc w:val="left"/>
      <w:pPr>
        <w:ind w:left="102" w:hanging="107"/>
      </w:pPr>
      <w:rPr>
        <w:rFonts w:hint="default" w:ascii="Arial" w:hAnsi="Arial" w:eastAsia="Arial" w:cs="Arial"/>
        <w:w w:val="116"/>
        <w:sz w:val="16"/>
        <w:szCs w:val="16"/>
      </w:rPr>
    </w:lvl>
    <w:lvl w:ilvl="1">
      <w:start w:val="1"/>
      <w:numFmt w:val="bullet"/>
      <w:lvlText w:val="•"/>
      <w:lvlJc w:val="left"/>
      <w:pPr>
        <w:ind w:left="669" w:hanging="107"/>
      </w:pPr>
      <w:rPr>
        <w:rFonts w:hint="default"/>
      </w:rPr>
    </w:lvl>
    <w:lvl w:ilvl="2">
      <w:start w:val="1"/>
      <w:numFmt w:val="bullet"/>
      <w:lvlText w:val="•"/>
      <w:lvlJc w:val="left"/>
      <w:pPr>
        <w:ind w:left="1238" w:hanging="107"/>
      </w:pPr>
      <w:rPr>
        <w:rFonts w:hint="default"/>
      </w:rPr>
    </w:lvl>
    <w:lvl w:ilvl="3">
      <w:start w:val="1"/>
      <w:numFmt w:val="bullet"/>
      <w:lvlText w:val="•"/>
      <w:lvlJc w:val="left"/>
      <w:pPr>
        <w:ind w:left="1808" w:hanging="107"/>
      </w:pPr>
      <w:rPr>
        <w:rFonts w:hint="default"/>
      </w:rPr>
    </w:lvl>
    <w:lvl w:ilvl="4">
      <w:start w:val="1"/>
      <w:numFmt w:val="bullet"/>
      <w:lvlText w:val="•"/>
      <w:lvlJc w:val="left"/>
      <w:pPr>
        <w:ind w:left="2377" w:hanging="107"/>
      </w:pPr>
      <w:rPr>
        <w:rFonts w:hint="default"/>
      </w:rPr>
    </w:lvl>
    <w:lvl w:ilvl="5">
      <w:start w:val="1"/>
      <w:numFmt w:val="bullet"/>
      <w:lvlText w:val="•"/>
      <w:lvlJc w:val="left"/>
      <w:pPr>
        <w:ind w:left="2947" w:hanging="107"/>
      </w:pPr>
      <w:rPr>
        <w:rFonts w:hint="default"/>
      </w:rPr>
    </w:lvl>
    <w:lvl w:ilvl="6">
      <w:start w:val="1"/>
      <w:numFmt w:val="bullet"/>
      <w:lvlText w:val="•"/>
      <w:lvlJc w:val="left"/>
      <w:pPr>
        <w:ind w:left="3516" w:hanging="107"/>
      </w:pPr>
      <w:rPr>
        <w:rFonts w:hint="default"/>
      </w:rPr>
    </w:lvl>
    <w:lvl w:ilvl="7">
      <w:start w:val="1"/>
      <w:numFmt w:val="bullet"/>
      <w:lvlText w:val="•"/>
      <w:lvlJc w:val="left"/>
      <w:pPr>
        <w:ind w:left="4085" w:hanging="107"/>
      </w:pPr>
      <w:rPr>
        <w:rFonts w:hint="default"/>
      </w:rPr>
    </w:lvl>
    <w:lvl w:ilvl="8">
      <w:start w:val="1"/>
      <w:numFmt w:val="bullet"/>
      <w:lvlText w:val="•"/>
      <w:lvlJc w:val="left"/>
      <w:pPr>
        <w:ind w:left="4655" w:hanging="107"/>
      </w:pPr>
      <w:rPr>
        <w:rFonts w:hint="default"/>
      </w:rPr>
    </w:lvl>
  </w:abstractNum>
  <w:abstractNum w:abstractNumId="29">
    <w:multiLevelType w:val="hybridMultilevel"/>
    <w:lvl w:ilvl="0">
      <w:start w:val="1"/>
      <w:numFmt w:val="lowerLetter"/>
      <w:lvlText w:val="%1)"/>
      <w:lvlJc w:val="left"/>
      <w:pPr>
        <w:ind w:left="981" w:hanging="425"/>
        <w:jc w:val="left"/>
      </w:pPr>
      <w:rPr>
        <w:rFonts w:hint="default" w:ascii="Calibri" w:hAnsi="Calibri" w:eastAsia="Calibri" w:cs="Calibri"/>
        <w:spacing w:val="-20"/>
        <w:w w:val="97"/>
        <w:sz w:val="20"/>
        <w:szCs w:val="20"/>
      </w:rPr>
    </w:lvl>
    <w:lvl w:ilvl="1">
      <w:start w:val="1"/>
      <w:numFmt w:val="bullet"/>
      <w:lvlText w:val="•"/>
      <w:lvlJc w:val="left"/>
      <w:pPr>
        <w:ind w:left="1679" w:hanging="425"/>
      </w:pPr>
      <w:rPr>
        <w:rFonts w:hint="default"/>
      </w:rPr>
    </w:lvl>
    <w:lvl w:ilvl="2">
      <w:start w:val="1"/>
      <w:numFmt w:val="bullet"/>
      <w:lvlText w:val="•"/>
      <w:lvlJc w:val="left"/>
      <w:pPr>
        <w:ind w:left="2378" w:hanging="425"/>
      </w:pPr>
      <w:rPr>
        <w:rFonts w:hint="default"/>
      </w:rPr>
    </w:lvl>
    <w:lvl w:ilvl="3">
      <w:start w:val="1"/>
      <w:numFmt w:val="bullet"/>
      <w:lvlText w:val="•"/>
      <w:lvlJc w:val="left"/>
      <w:pPr>
        <w:ind w:left="3077" w:hanging="425"/>
      </w:pPr>
      <w:rPr>
        <w:rFonts w:hint="default"/>
      </w:rPr>
    </w:lvl>
    <w:lvl w:ilvl="4">
      <w:start w:val="1"/>
      <w:numFmt w:val="bullet"/>
      <w:lvlText w:val="•"/>
      <w:lvlJc w:val="left"/>
      <w:pPr>
        <w:ind w:left="3776" w:hanging="425"/>
      </w:pPr>
      <w:rPr>
        <w:rFonts w:hint="default"/>
      </w:rPr>
    </w:lvl>
    <w:lvl w:ilvl="5">
      <w:start w:val="1"/>
      <w:numFmt w:val="bullet"/>
      <w:lvlText w:val="•"/>
      <w:lvlJc w:val="left"/>
      <w:pPr>
        <w:ind w:left="4475" w:hanging="425"/>
      </w:pPr>
      <w:rPr>
        <w:rFonts w:hint="default"/>
      </w:rPr>
    </w:lvl>
    <w:lvl w:ilvl="6">
      <w:start w:val="1"/>
      <w:numFmt w:val="bullet"/>
      <w:lvlText w:val="•"/>
      <w:lvlJc w:val="left"/>
      <w:pPr>
        <w:ind w:left="5174" w:hanging="425"/>
      </w:pPr>
      <w:rPr>
        <w:rFonts w:hint="default"/>
      </w:rPr>
    </w:lvl>
    <w:lvl w:ilvl="7">
      <w:start w:val="1"/>
      <w:numFmt w:val="bullet"/>
      <w:lvlText w:val="•"/>
      <w:lvlJc w:val="left"/>
      <w:pPr>
        <w:ind w:left="5873" w:hanging="425"/>
      </w:pPr>
      <w:rPr>
        <w:rFonts w:hint="default"/>
      </w:rPr>
    </w:lvl>
    <w:lvl w:ilvl="8">
      <w:start w:val="1"/>
      <w:numFmt w:val="bullet"/>
      <w:lvlText w:val="•"/>
      <w:lvlJc w:val="left"/>
      <w:pPr>
        <w:ind w:left="6572" w:hanging="425"/>
      </w:pPr>
      <w:rPr>
        <w:rFonts w:hint="default"/>
      </w:rPr>
    </w:lvl>
  </w:abstractNum>
  <w:abstractNum w:abstractNumId="28">
    <w:multiLevelType w:val="hybridMultilevel"/>
    <w:lvl w:ilvl="0">
      <w:start w:val="1"/>
      <w:numFmt w:val="lowerLetter"/>
      <w:lvlText w:val="%1)"/>
      <w:lvlJc w:val="left"/>
      <w:pPr>
        <w:ind w:left="981" w:hanging="425"/>
        <w:jc w:val="left"/>
      </w:pPr>
      <w:rPr>
        <w:rFonts w:hint="default" w:ascii="Calibri" w:hAnsi="Calibri" w:eastAsia="Calibri" w:cs="Calibri"/>
        <w:spacing w:val="-9"/>
        <w:w w:val="96"/>
        <w:sz w:val="20"/>
        <w:szCs w:val="20"/>
      </w:rPr>
    </w:lvl>
    <w:lvl w:ilvl="1">
      <w:start w:val="1"/>
      <w:numFmt w:val="bullet"/>
      <w:lvlText w:val="•"/>
      <w:lvlJc w:val="left"/>
      <w:pPr>
        <w:ind w:left="1666" w:hanging="425"/>
      </w:pPr>
      <w:rPr>
        <w:rFonts w:hint="default"/>
      </w:rPr>
    </w:lvl>
    <w:lvl w:ilvl="2">
      <w:start w:val="1"/>
      <w:numFmt w:val="bullet"/>
      <w:lvlText w:val="•"/>
      <w:lvlJc w:val="left"/>
      <w:pPr>
        <w:ind w:left="2352" w:hanging="425"/>
      </w:pPr>
      <w:rPr>
        <w:rFonts w:hint="default"/>
      </w:rPr>
    </w:lvl>
    <w:lvl w:ilvl="3">
      <w:start w:val="1"/>
      <w:numFmt w:val="bullet"/>
      <w:lvlText w:val="•"/>
      <w:lvlJc w:val="left"/>
      <w:pPr>
        <w:ind w:left="3038" w:hanging="425"/>
      </w:pPr>
      <w:rPr>
        <w:rFonts w:hint="default"/>
      </w:rPr>
    </w:lvl>
    <w:lvl w:ilvl="4">
      <w:start w:val="1"/>
      <w:numFmt w:val="bullet"/>
      <w:lvlText w:val="•"/>
      <w:lvlJc w:val="left"/>
      <w:pPr>
        <w:ind w:left="3724" w:hanging="425"/>
      </w:pPr>
      <w:rPr>
        <w:rFonts w:hint="default"/>
      </w:rPr>
    </w:lvl>
    <w:lvl w:ilvl="5">
      <w:start w:val="1"/>
      <w:numFmt w:val="bullet"/>
      <w:lvlText w:val="•"/>
      <w:lvlJc w:val="left"/>
      <w:pPr>
        <w:ind w:left="4410" w:hanging="425"/>
      </w:pPr>
      <w:rPr>
        <w:rFonts w:hint="default"/>
      </w:rPr>
    </w:lvl>
    <w:lvl w:ilvl="6">
      <w:start w:val="1"/>
      <w:numFmt w:val="bullet"/>
      <w:lvlText w:val="•"/>
      <w:lvlJc w:val="left"/>
      <w:pPr>
        <w:ind w:left="5097" w:hanging="425"/>
      </w:pPr>
      <w:rPr>
        <w:rFonts w:hint="default"/>
      </w:rPr>
    </w:lvl>
    <w:lvl w:ilvl="7">
      <w:start w:val="1"/>
      <w:numFmt w:val="bullet"/>
      <w:lvlText w:val="•"/>
      <w:lvlJc w:val="left"/>
      <w:pPr>
        <w:ind w:left="5783" w:hanging="425"/>
      </w:pPr>
      <w:rPr>
        <w:rFonts w:hint="default"/>
      </w:rPr>
    </w:lvl>
    <w:lvl w:ilvl="8">
      <w:start w:val="1"/>
      <w:numFmt w:val="bullet"/>
      <w:lvlText w:val="•"/>
      <w:lvlJc w:val="left"/>
      <w:pPr>
        <w:ind w:left="6469" w:hanging="425"/>
      </w:pPr>
      <w:rPr>
        <w:rFonts w:hint="default"/>
      </w:rPr>
    </w:lvl>
  </w:abstractNum>
  <w:abstractNum w:abstractNumId="27">
    <w:multiLevelType w:val="hybridMultilevel"/>
    <w:lvl w:ilvl="0">
      <w:start w:val="1"/>
      <w:numFmt w:val="bullet"/>
      <w:lvlText w:val="*"/>
      <w:lvlJc w:val="left"/>
      <w:pPr>
        <w:ind w:left="1094" w:hanging="136"/>
      </w:pPr>
      <w:rPr>
        <w:rFonts w:hint="default" w:ascii="Arial" w:hAnsi="Arial" w:eastAsia="Arial" w:cs="Arial"/>
        <w:w w:val="90"/>
        <w:sz w:val="20"/>
        <w:szCs w:val="20"/>
      </w:rPr>
    </w:lvl>
    <w:lvl w:ilvl="1">
      <w:start w:val="1"/>
      <w:numFmt w:val="bullet"/>
      <w:lvlText w:val="•"/>
      <w:lvlJc w:val="left"/>
      <w:pPr>
        <w:ind w:left="1789" w:hanging="136"/>
      </w:pPr>
      <w:rPr>
        <w:rFonts w:hint="default"/>
      </w:rPr>
    </w:lvl>
    <w:lvl w:ilvl="2">
      <w:start w:val="1"/>
      <w:numFmt w:val="bullet"/>
      <w:lvlText w:val="•"/>
      <w:lvlJc w:val="left"/>
      <w:pPr>
        <w:ind w:left="2478" w:hanging="136"/>
      </w:pPr>
      <w:rPr>
        <w:rFonts w:hint="default"/>
      </w:rPr>
    </w:lvl>
    <w:lvl w:ilvl="3">
      <w:start w:val="1"/>
      <w:numFmt w:val="bullet"/>
      <w:lvlText w:val="•"/>
      <w:lvlJc w:val="left"/>
      <w:pPr>
        <w:ind w:left="3167" w:hanging="136"/>
      </w:pPr>
      <w:rPr>
        <w:rFonts w:hint="default"/>
      </w:rPr>
    </w:lvl>
    <w:lvl w:ilvl="4">
      <w:start w:val="1"/>
      <w:numFmt w:val="bullet"/>
      <w:lvlText w:val="•"/>
      <w:lvlJc w:val="left"/>
      <w:pPr>
        <w:ind w:left="3856" w:hanging="136"/>
      </w:pPr>
      <w:rPr>
        <w:rFonts w:hint="default"/>
      </w:rPr>
    </w:lvl>
    <w:lvl w:ilvl="5">
      <w:start w:val="1"/>
      <w:numFmt w:val="bullet"/>
      <w:lvlText w:val="•"/>
      <w:lvlJc w:val="left"/>
      <w:pPr>
        <w:ind w:left="4545" w:hanging="136"/>
      </w:pPr>
      <w:rPr>
        <w:rFonts w:hint="default"/>
      </w:rPr>
    </w:lvl>
    <w:lvl w:ilvl="6">
      <w:start w:val="1"/>
      <w:numFmt w:val="bullet"/>
      <w:lvlText w:val="•"/>
      <w:lvlJc w:val="left"/>
      <w:pPr>
        <w:ind w:left="5234" w:hanging="136"/>
      </w:pPr>
      <w:rPr>
        <w:rFonts w:hint="default"/>
      </w:rPr>
    </w:lvl>
    <w:lvl w:ilvl="7">
      <w:start w:val="1"/>
      <w:numFmt w:val="bullet"/>
      <w:lvlText w:val="•"/>
      <w:lvlJc w:val="left"/>
      <w:pPr>
        <w:ind w:left="5923" w:hanging="136"/>
      </w:pPr>
      <w:rPr>
        <w:rFonts w:hint="default"/>
      </w:rPr>
    </w:lvl>
    <w:lvl w:ilvl="8">
      <w:start w:val="1"/>
      <w:numFmt w:val="bullet"/>
      <w:lvlText w:val="•"/>
      <w:lvlJc w:val="left"/>
      <w:pPr>
        <w:ind w:left="6612" w:hanging="136"/>
      </w:pPr>
      <w:rPr>
        <w:rFonts w:hint="default"/>
      </w:rPr>
    </w:lvl>
  </w:abstractNum>
  <w:abstractNum w:abstractNumId="26">
    <w:multiLevelType w:val="hybridMultilevel"/>
    <w:lvl w:ilvl="0">
      <w:start w:val="5"/>
      <w:numFmt w:val="upperLetter"/>
      <w:lvlText w:val="%1."/>
      <w:lvlJc w:val="left"/>
      <w:pPr>
        <w:ind w:left="754" w:hanging="232"/>
        <w:jc w:val="left"/>
      </w:pPr>
      <w:rPr>
        <w:rFonts w:hint="default" w:ascii="Arial" w:hAnsi="Arial" w:eastAsia="Arial" w:cs="Arial"/>
        <w:w w:val="94"/>
        <w:sz w:val="20"/>
        <w:szCs w:val="20"/>
      </w:rPr>
    </w:lvl>
    <w:lvl w:ilvl="1">
      <w:start w:val="1"/>
      <w:numFmt w:val="lowerLetter"/>
      <w:lvlText w:val="%2)"/>
      <w:lvlJc w:val="left"/>
      <w:pPr>
        <w:ind w:left="7540" w:hanging="216"/>
        <w:jc w:val="left"/>
      </w:pPr>
      <w:rPr>
        <w:rFonts w:hint="default" w:ascii="Arial" w:hAnsi="Arial" w:eastAsia="Arial" w:cs="Arial"/>
        <w:w w:val="89"/>
        <w:sz w:val="20"/>
        <w:szCs w:val="20"/>
      </w:rPr>
    </w:lvl>
    <w:lvl w:ilvl="2">
      <w:start w:val="1"/>
      <w:numFmt w:val="bullet"/>
      <w:lvlText w:val="•"/>
      <w:lvlJc w:val="left"/>
      <w:pPr>
        <w:ind w:left="7587" w:hanging="216"/>
      </w:pPr>
      <w:rPr>
        <w:rFonts w:hint="default"/>
      </w:rPr>
    </w:lvl>
    <w:lvl w:ilvl="3">
      <w:start w:val="1"/>
      <w:numFmt w:val="bullet"/>
      <w:lvlText w:val="•"/>
      <w:lvlJc w:val="left"/>
      <w:pPr>
        <w:ind w:left="7635" w:hanging="216"/>
      </w:pPr>
      <w:rPr>
        <w:rFonts w:hint="default"/>
      </w:rPr>
    </w:lvl>
    <w:lvl w:ilvl="4">
      <w:start w:val="1"/>
      <w:numFmt w:val="bullet"/>
      <w:lvlText w:val="•"/>
      <w:lvlJc w:val="left"/>
      <w:pPr>
        <w:ind w:left="7683" w:hanging="216"/>
      </w:pPr>
      <w:rPr>
        <w:rFonts w:hint="default"/>
      </w:rPr>
    </w:lvl>
    <w:lvl w:ilvl="5">
      <w:start w:val="1"/>
      <w:numFmt w:val="bullet"/>
      <w:lvlText w:val="•"/>
      <w:lvlJc w:val="left"/>
      <w:pPr>
        <w:ind w:left="7731" w:hanging="216"/>
      </w:pPr>
      <w:rPr>
        <w:rFonts w:hint="default"/>
      </w:rPr>
    </w:lvl>
    <w:lvl w:ilvl="6">
      <w:start w:val="1"/>
      <w:numFmt w:val="bullet"/>
      <w:lvlText w:val="•"/>
      <w:lvlJc w:val="left"/>
      <w:pPr>
        <w:ind w:left="7779" w:hanging="216"/>
      </w:pPr>
      <w:rPr>
        <w:rFonts w:hint="default"/>
      </w:rPr>
    </w:lvl>
    <w:lvl w:ilvl="7">
      <w:start w:val="1"/>
      <w:numFmt w:val="bullet"/>
      <w:lvlText w:val="•"/>
      <w:lvlJc w:val="left"/>
      <w:pPr>
        <w:ind w:left="7827" w:hanging="216"/>
      </w:pPr>
      <w:rPr>
        <w:rFonts w:hint="default"/>
      </w:rPr>
    </w:lvl>
    <w:lvl w:ilvl="8">
      <w:start w:val="1"/>
      <w:numFmt w:val="bullet"/>
      <w:lvlText w:val="•"/>
      <w:lvlJc w:val="left"/>
      <w:pPr>
        <w:ind w:left="7875" w:hanging="216"/>
      </w:pPr>
      <w:rPr>
        <w:rFonts w:hint="default"/>
      </w:rPr>
    </w:lvl>
  </w:abstractNum>
  <w:abstractNum w:abstractNumId="25">
    <w:multiLevelType w:val="hybridMultilevel"/>
    <w:lvl w:ilvl="0">
      <w:start w:val="1"/>
      <w:numFmt w:val="bullet"/>
      <w:lvlText w:val="•"/>
      <w:lvlJc w:val="left"/>
      <w:pPr>
        <w:ind w:left="462" w:hanging="360"/>
      </w:pPr>
      <w:rPr>
        <w:rFonts w:hint="default" w:ascii="Trebuchet MS" w:hAnsi="Trebuchet MS" w:eastAsia="Trebuchet MS" w:cs="Trebuchet MS"/>
        <w:w w:val="95"/>
        <w:sz w:val="16"/>
        <w:szCs w:val="16"/>
      </w:rPr>
    </w:lvl>
    <w:lvl w:ilvl="1">
      <w:start w:val="1"/>
      <w:numFmt w:val="bullet"/>
      <w:lvlText w:val="•"/>
      <w:lvlJc w:val="left"/>
      <w:pPr>
        <w:ind w:left="717" w:hanging="360"/>
      </w:pPr>
      <w:rPr>
        <w:rFonts w:hint="default"/>
      </w:rPr>
    </w:lvl>
    <w:lvl w:ilvl="2">
      <w:start w:val="1"/>
      <w:numFmt w:val="bullet"/>
      <w:lvlText w:val="•"/>
      <w:lvlJc w:val="left"/>
      <w:pPr>
        <w:ind w:left="975" w:hanging="360"/>
      </w:pPr>
      <w:rPr>
        <w:rFonts w:hint="default"/>
      </w:rPr>
    </w:lvl>
    <w:lvl w:ilvl="3">
      <w:start w:val="1"/>
      <w:numFmt w:val="bullet"/>
      <w:lvlText w:val="•"/>
      <w:lvlJc w:val="left"/>
      <w:pPr>
        <w:ind w:left="1232" w:hanging="360"/>
      </w:pPr>
      <w:rPr>
        <w:rFonts w:hint="default"/>
      </w:rPr>
    </w:lvl>
    <w:lvl w:ilvl="4">
      <w:start w:val="1"/>
      <w:numFmt w:val="bullet"/>
      <w:lvlText w:val="•"/>
      <w:lvlJc w:val="left"/>
      <w:pPr>
        <w:ind w:left="1490" w:hanging="360"/>
      </w:pPr>
      <w:rPr>
        <w:rFonts w:hint="default"/>
      </w:rPr>
    </w:lvl>
    <w:lvl w:ilvl="5">
      <w:start w:val="1"/>
      <w:numFmt w:val="bullet"/>
      <w:lvlText w:val="•"/>
      <w:lvlJc w:val="left"/>
      <w:pPr>
        <w:ind w:left="1748" w:hanging="360"/>
      </w:pPr>
      <w:rPr>
        <w:rFonts w:hint="default"/>
      </w:rPr>
    </w:lvl>
    <w:lvl w:ilvl="6">
      <w:start w:val="1"/>
      <w:numFmt w:val="bullet"/>
      <w:lvlText w:val="•"/>
      <w:lvlJc w:val="left"/>
      <w:pPr>
        <w:ind w:left="2005" w:hanging="360"/>
      </w:pPr>
      <w:rPr>
        <w:rFonts w:hint="default"/>
      </w:rPr>
    </w:lvl>
    <w:lvl w:ilvl="7">
      <w:start w:val="1"/>
      <w:numFmt w:val="bullet"/>
      <w:lvlText w:val="•"/>
      <w:lvlJc w:val="left"/>
      <w:pPr>
        <w:ind w:left="2263" w:hanging="360"/>
      </w:pPr>
      <w:rPr>
        <w:rFonts w:hint="default"/>
      </w:rPr>
    </w:lvl>
    <w:lvl w:ilvl="8">
      <w:start w:val="1"/>
      <w:numFmt w:val="bullet"/>
      <w:lvlText w:val="•"/>
      <w:lvlJc w:val="left"/>
      <w:pPr>
        <w:ind w:left="2520" w:hanging="360"/>
      </w:pPr>
      <w:rPr>
        <w:rFonts w:hint="default"/>
      </w:rPr>
    </w:lvl>
  </w:abstractNum>
  <w:abstractNum w:abstractNumId="24">
    <w:multiLevelType w:val="hybridMultilevel"/>
    <w:lvl w:ilvl="0">
      <w:start w:val="1"/>
      <w:numFmt w:val="bullet"/>
      <w:lvlText w:val="•"/>
      <w:lvlJc w:val="left"/>
      <w:pPr>
        <w:ind w:left="462" w:hanging="360"/>
      </w:pPr>
      <w:rPr>
        <w:rFonts w:hint="default" w:ascii="Trebuchet MS" w:hAnsi="Trebuchet MS" w:eastAsia="Trebuchet MS" w:cs="Trebuchet MS"/>
        <w:w w:val="95"/>
        <w:sz w:val="16"/>
        <w:szCs w:val="16"/>
      </w:rPr>
    </w:lvl>
    <w:lvl w:ilvl="1">
      <w:start w:val="1"/>
      <w:numFmt w:val="bullet"/>
      <w:lvlText w:val="•"/>
      <w:lvlJc w:val="left"/>
      <w:pPr>
        <w:ind w:left="661" w:hanging="360"/>
      </w:pPr>
      <w:rPr>
        <w:rFonts w:hint="default"/>
      </w:rPr>
    </w:lvl>
    <w:lvl w:ilvl="2">
      <w:start w:val="1"/>
      <w:numFmt w:val="bullet"/>
      <w:lvlText w:val="•"/>
      <w:lvlJc w:val="left"/>
      <w:pPr>
        <w:ind w:left="862" w:hanging="360"/>
      </w:pPr>
      <w:rPr>
        <w:rFonts w:hint="default"/>
      </w:rPr>
    </w:lvl>
    <w:lvl w:ilvl="3">
      <w:start w:val="1"/>
      <w:numFmt w:val="bullet"/>
      <w:lvlText w:val="•"/>
      <w:lvlJc w:val="left"/>
      <w:pPr>
        <w:ind w:left="1063" w:hanging="360"/>
      </w:pPr>
      <w:rPr>
        <w:rFonts w:hint="default"/>
      </w:rPr>
    </w:lvl>
    <w:lvl w:ilvl="4">
      <w:start w:val="1"/>
      <w:numFmt w:val="bullet"/>
      <w:lvlText w:val="•"/>
      <w:lvlJc w:val="left"/>
      <w:pPr>
        <w:ind w:left="1264" w:hanging="360"/>
      </w:pPr>
      <w:rPr>
        <w:rFonts w:hint="default"/>
      </w:rPr>
    </w:lvl>
    <w:lvl w:ilvl="5">
      <w:start w:val="1"/>
      <w:numFmt w:val="bullet"/>
      <w:lvlText w:val="•"/>
      <w:lvlJc w:val="left"/>
      <w:pPr>
        <w:ind w:left="1465" w:hanging="360"/>
      </w:pPr>
      <w:rPr>
        <w:rFonts w:hint="default"/>
      </w:rPr>
    </w:lvl>
    <w:lvl w:ilvl="6">
      <w:start w:val="1"/>
      <w:numFmt w:val="bullet"/>
      <w:lvlText w:val="•"/>
      <w:lvlJc w:val="left"/>
      <w:pPr>
        <w:ind w:left="1666" w:hanging="360"/>
      </w:pPr>
      <w:rPr>
        <w:rFonts w:hint="default"/>
      </w:rPr>
    </w:lvl>
    <w:lvl w:ilvl="7">
      <w:start w:val="1"/>
      <w:numFmt w:val="bullet"/>
      <w:lvlText w:val="•"/>
      <w:lvlJc w:val="left"/>
      <w:pPr>
        <w:ind w:left="1867" w:hanging="360"/>
      </w:pPr>
      <w:rPr>
        <w:rFonts w:hint="default"/>
      </w:rPr>
    </w:lvl>
    <w:lvl w:ilvl="8">
      <w:start w:val="1"/>
      <w:numFmt w:val="bullet"/>
      <w:lvlText w:val="•"/>
      <w:lvlJc w:val="left"/>
      <w:pPr>
        <w:ind w:left="2068" w:hanging="360"/>
      </w:pPr>
      <w:rPr>
        <w:rFonts w:hint="default"/>
      </w:rPr>
    </w:lvl>
  </w:abstractNum>
  <w:abstractNum w:abstractNumId="23">
    <w:multiLevelType w:val="hybridMultilevel"/>
    <w:lvl w:ilvl="0">
      <w:start w:val="1"/>
      <w:numFmt w:val="bullet"/>
      <w:lvlText w:val="•"/>
      <w:lvlJc w:val="left"/>
      <w:pPr>
        <w:ind w:left="467" w:hanging="360"/>
      </w:pPr>
      <w:rPr>
        <w:rFonts w:hint="default" w:ascii="Trebuchet MS" w:hAnsi="Trebuchet MS" w:eastAsia="Trebuchet MS" w:cs="Trebuchet MS"/>
        <w:w w:val="95"/>
        <w:sz w:val="16"/>
        <w:szCs w:val="16"/>
      </w:rPr>
    </w:lvl>
    <w:lvl w:ilvl="1">
      <w:start w:val="1"/>
      <w:numFmt w:val="bullet"/>
      <w:lvlText w:val="•"/>
      <w:lvlJc w:val="left"/>
      <w:pPr>
        <w:ind w:left="629" w:hanging="360"/>
      </w:pPr>
      <w:rPr>
        <w:rFonts w:hint="default"/>
      </w:rPr>
    </w:lvl>
    <w:lvl w:ilvl="2">
      <w:start w:val="1"/>
      <w:numFmt w:val="bullet"/>
      <w:lvlText w:val="•"/>
      <w:lvlJc w:val="left"/>
      <w:pPr>
        <w:ind w:left="799" w:hanging="360"/>
      </w:pPr>
      <w:rPr>
        <w:rFonts w:hint="default"/>
      </w:rPr>
    </w:lvl>
    <w:lvl w:ilvl="3">
      <w:start w:val="1"/>
      <w:numFmt w:val="bullet"/>
      <w:lvlText w:val="•"/>
      <w:lvlJc w:val="left"/>
      <w:pPr>
        <w:ind w:left="969" w:hanging="360"/>
      </w:pPr>
      <w:rPr>
        <w:rFonts w:hint="default"/>
      </w:rPr>
    </w:lvl>
    <w:lvl w:ilvl="4">
      <w:start w:val="1"/>
      <w:numFmt w:val="bullet"/>
      <w:lvlText w:val="•"/>
      <w:lvlJc w:val="left"/>
      <w:pPr>
        <w:ind w:left="1138" w:hanging="360"/>
      </w:pPr>
      <w:rPr>
        <w:rFonts w:hint="default"/>
      </w:rPr>
    </w:lvl>
    <w:lvl w:ilvl="5">
      <w:start w:val="1"/>
      <w:numFmt w:val="bullet"/>
      <w:lvlText w:val="•"/>
      <w:lvlJc w:val="left"/>
      <w:pPr>
        <w:ind w:left="1308" w:hanging="360"/>
      </w:pPr>
      <w:rPr>
        <w:rFonts w:hint="default"/>
      </w:rPr>
    </w:lvl>
    <w:lvl w:ilvl="6">
      <w:start w:val="1"/>
      <w:numFmt w:val="bullet"/>
      <w:lvlText w:val="•"/>
      <w:lvlJc w:val="left"/>
      <w:pPr>
        <w:ind w:left="1478" w:hanging="360"/>
      </w:pPr>
      <w:rPr>
        <w:rFonts w:hint="default"/>
      </w:rPr>
    </w:lvl>
    <w:lvl w:ilvl="7">
      <w:start w:val="1"/>
      <w:numFmt w:val="bullet"/>
      <w:lvlText w:val="•"/>
      <w:lvlJc w:val="left"/>
      <w:pPr>
        <w:ind w:left="1647" w:hanging="360"/>
      </w:pPr>
      <w:rPr>
        <w:rFonts w:hint="default"/>
      </w:rPr>
    </w:lvl>
    <w:lvl w:ilvl="8">
      <w:start w:val="1"/>
      <w:numFmt w:val="bullet"/>
      <w:lvlText w:val="•"/>
      <w:lvlJc w:val="left"/>
      <w:pPr>
        <w:ind w:left="1817" w:hanging="360"/>
      </w:pPr>
      <w:rPr>
        <w:rFonts w:hint="default"/>
      </w:rPr>
    </w:lvl>
  </w:abstractNum>
  <w:abstractNum w:abstractNumId="22">
    <w:multiLevelType w:val="hybridMultilevel"/>
    <w:lvl w:ilvl="0">
      <w:start w:val="1"/>
      <w:numFmt w:val="bullet"/>
      <w:lvlText w:val="•"/>
      <w:lvlJc w:val="left"/>
      <w:pPr>
        <w:ind w:left="462" w:hanging="360"/>
      </w:pPr>
      <w:rPr>
        <w:rFonts w:hint="default" w:ascii="Trebuchet MS" w:hAnsi="Trebuchet MS" w:eastAsia="Trebuchet MS" w:cs="Trebuchet MS"/>
        <w:w w:val="95"/>
        <w:sz w:val="16"/>
        <w:szCs w:val="16"/>
      </w:rPr>
    </w:lvl>
    <w:lvl w:ilvl="1">
      <w:start w:val="1"/>
      <w:numFmt w:val="bullet"/>
      <w:lvlText w:val="•"/>
      <w:lvlJc w:val="left"/>
      <w:pPr>
        <w:ind w:left="715" w:hanging="360"/>
      </w:pPr>
      <w:rPr>
        <w:rFonts w:hint="default"/>
      </w:rPr>
    </w:lvl>
    <w:lvl w:ilvl="2">
      <w:start w:val="1"/>
      <w:numFmt w:val="bullet"/>
      <w:lvlText w:val="•"/>
      <w:lvlJc w:val="left"/>
      <w:pPr>
        <w:ind w:left="971" w:hanging="360"/>
      </w:pPr>
      <w:rPr>
        <w:rFonts w:hint="default"/>
      </w:rPr>
    </w:lvl>
    <w:lvl w:ilvl="3">
      <w:start w:val="1"/>
      <w:numFmt w:val="bullet"/>
      <w:lvlText w:val="•"/>
      <w:lvlJc w:val="left"/>
      <w:pPr>
        <w:ind w:left="1226" w:hanging="360"/>
      </w:pPr>
      <w:rPr>
        <w:rFonts w:hint="default"/>
      </w:rPr>
    </w:lvl>
    <w:lvl w:ilvl="4">
      <w:start w:val="1"/>
      <w:numFmt w:val="bullet"/>
      <w:lvlText w:val="•"/>
      <w:lvlJc w:val="left"/>
      <w:pPr>
        <w:ind w:left="1482" w:hanging="360"/>
      </w:pPr>
      <w:rPr>
        <w:rFonts w:hint="default"/>
      </w:rPr>
    </w:lvl>
    <w:lvl w:ilvl="5">
      <w:start w:val="1"/>
      <w:numFmt w:val="bullet"/>
      <w:lvlText w:val="•"/>
      <w:lvlJc w:val="left"/>
      <w:pPr>
        <w:ind w:left="1738" w:hanging="360"/>
      </w:pPr>
      <w:rPr>
        <w:rFonts w:hint="default"/>
      </w:rPr>
    </w:lvl>
    <w:lvl w:ilvl="6">
      <w:start w:val="1"/>
      <w:numFmt w:val="bullet"/>
      <w:lvlText w:val="•"/>
      <w:lvlJc w:val="left"/>
      <w:pPr>
        <w:ind w:left="1993" w:hanging="360"/>
      </w:pPr>
      <w:rPr>
        <w:rFonts w:hint="default"/>
      </w:rPr>
    </w:lvl>
    <w:lvl w:ilvl="7">
      <w:start w:val="1"/>
      <w:numFmt w:val="bullet"/>
      <w:lvlText w:val="•"/>
      <w:lvlJc w:val="left"/>
      <w:pPr>
        <w:ind w:left="2249" w:hanging="360"/>
      </w:pPr>
      <w:rPr>
        <w:rFonts w:hint="default"/>
      </w:rPr>
    </w:lvl>
    <w:lvl w:ilvl="8">
      <w:start w:val="1"/>
      <w:numFmt w:val="bullet"/>
      <w:lvlText w:val="•"/>
      <w:lvlJc w:val="left"/>
      <w:pPr>
        <w:ind w:left="2504" w:hanging="360"/>
      </w:pPr>
      <w:rPr>
        <w:rFonts w:hint="default"/>
      </w:rPr>
    </w:lvl>
  </w:abstractNum>
  <w:abstractNum w:abstractNumId="21">
    <w:multiLevelType w:val="hybridMultilevel"/>
    <w:lvl w:ilvl="0">
      <w:start w:val="3"/>
      <w:numFmt w:val="decimal"/>
      <w:lvlText w:val="%1."/>
      <w:lvlJc w:val="left"/>
      <w:pPr>
        <w:ind w:left="280" w:hanging="178"/>
        <w:jc w:val="left"/>
      </w:pPr>
      <w:rPr>
        <w:rFonts w:hint="default" w:ascii="Arial" w:hAnsi="Arial" w:eastAsia="Arial" w:cs="Arial"/>
        <w:w w:val="98"/>
        <w:sz w:val="16"/>
        <w:szCs w:val="16"/>
      </w:rPr>
    </w:lvl>
    <w:lvl w:ilvl="1">
      <w:start w:val="1"/>
      <w:numFmt w:val="bullet"/>
      <w:lvlText w:val="•"/>
      <w:lvlJc w:val="left"/>
      <w:pPr>
        <w:ind w:left="553" w:hanging="178"/>
      </w:pPr>
      <w:rPr>
        <w:rFonts w:hint="default"/>
      </w:rPr>
    </w:lvl>
    <w:lvl w:ilvl="2">
      <w:start w:val="1"/>
      <w:numFmt w:val="bullet"/>
      <w:lvlText w:val="•"/>
      <w:lvlJc w:val="left"/>
      <w:pPr>
        <w:ind w:left="827" w:hanging="178"/>
      </w:pPr>
      <w:rPr>
        <w:rFonts w:hint="default"/>
      </w:rPr>
    </w:lvl>
    <w:lvl w:ilvl="3">
      <w:start w:val="1"/>
      <w:numFmt w:val="bullet"/>
      <w:lvlText w:val="•"/>
      <w:lvlJc w:val="left"/>
      <w:pPr>
        <w:ind w:left="1100" w:hanging="178"/>
      </w:pPr>
      <w:rPr>
        <w:rFonts w:hint="default"/>
      </w:rPr>
    </w:lvl>
    <w:lvl w:ilvl="4">
      <w:start w:val="1"/>
      <w:numFmt w:val="bullet"/>
      <w:lvlText w:val="•"/>
      <w:lvlJc w:val="left"/>
      <w:pPr>
        <w:ind w:left="1374" w:hanging="178"/>
      </w:pPr>
      <w:rPr>
        <w:rFonts w:hint="default"/>
      </w:rPr>
    </w:lvl>
    <w:lvl w:ilvl="5">
      <w:start w:val="1"/>
      <w:numFmt w:val="bullet"/>
      <w:lvlText w:val="•"/>
      <w:lvlJc w:val="left"/>
      <w:pPr>
        <w:ind w:left="1648" w:hanging="178"/>
      </w:pPr>
      <w:rPr>
        <w:rFonts w:hint="default"/>
      </w:rPr>
    </w:lvl>
    <w:lvl w:ilvl="6">
      <w:start w:val="1"/>
      <w:numFmt w:val="bullet"/>
      <w:lvlText w:val="•"/>
      <w:lvlJc w:val="left"/>
      <w:pPr>
        <w:ind w:left="1921" w:hanging="178"/>
      </w:pPr>
      <w:rPr>
        <w:rFonts w:hint="default"/>
      </w:rPr>
    </w:lvl>
    <w:lvl w:ilvl="7">
      <w:start w:val="1"/>
      <w:numFmt w:val="bullet"/>
      <w:lvlText w:val="•"/>
      <w:lvlJc w:val="left"/>
      <w:pPr>
        <w:ind w:left="2195" w:hanging="178"/>
      </w:pPr>
      <w:rPr>
        <w:rFonts w:hint="default"/>
      </w:rPr>
    </w:lvl>
    <w:lvl w:ilvl="8">
      <w:start w:val="1"/>
      <w:numFmt w:val="bullet"/>
      <w:lvlText w:val="•"/>
      <w:lvlJc w:val="left"/>
      <w:pPr>
        <w:ind w:left="2468" w:hanging="178"/>
      </w:pPr>
      <w:rPr>
        <w:rFonts w:hint="default"/>
      </w:rPr>
    </w:lvl>
  </w:abstractNum>
  <w:abstractNum w:abstractNumId="20">
    <w:multiLevelType w:val="hybridMultilevel"/>
    <w:lvl w:ilvl="0">
      <w:start w:val="1"/>
      <w:numFmt w:val="bullet"/>
      <w:lvlText w:val="•"/>
      <w:lvlJc w:val="left"/>
      <w:pPr>
        <w:ind w:left="462" w:hanging="360"/>
      </w:pPr>
      <w:rPr>
        <w:rFonts w:hint="default" w:ascii="Trebuchet MS" w:hAnsi="Trebuchet MS" w:eastAsia="Trebuchet MS" w:cs="Trebuchet MS"/>
        <w:w w:val="95"/>
        <w:sz w:val="16"/>
        <w:szCs w:val="16"/>
      </w:rPr>
    </w:lvl>
    <w:lvl w:ilvl="1">
      <w:start w:val="1"/>
      <w:numFmt w:val="bullet"/>
      <w:lvlText w:val="•"/>
      <w:lvlJc w:val="left"/>
      <w:pPr>
        <w:ind w:left="715" w:hanging="360"/>
      </w:pPr>
      <w:rPr>
        <w:rFonts w:hint="default"/>
      </w:rPr>
    </w:lvl>
    <w:lvl w:ilvl="2">
      <w:start w:val="1"/>
      <w:numFmt w:val="bullet"/>
      <w:lvlText w:val="•"/>
      <w:lvlJc w:val="left"/>
      <w:pPr>
        <w:ind w:left="971" w:hanging="360"/>
      </w:pPr>
      <w:rPr>
        <w:rFonts w:hint="default"/>
      </w:rPr>
    </w:lvl>
    <w:lvl w:ilvl="3">
      <w:start w:val="1"/>
      <w:numFmt w:val="bullet"/>
      <w:lvlText w:val="•"/>
      <w:lvlJc w:val="left"/>
      <w:pPr>
        <w:ind w:left="1226" w:hanging="360"/>
      </w:pPr>
      <w:rPr>
        <w:rFonts w:hint="default"/>
      </w:rPr>
    </w:lvl>
    <w:lvl w:ilvl="4">
      <w:start w:val="1"/>
      <w:numFmt w:val="bullet"/>
      <w:lvlText w:val="•"/>
      <w:lvlJc w:val="left"/>
      <w:pPr>
        <w:ind w:left="1482" w:hanging="360"/>
      </w:pPr>
      <w:rPr>
        <w:rFonts w:hint="default"/>
      </w:rPr>
    </w:lvl>
    <w:lvl w:ilvl="5">
      <w:start w:val="1"/>
      <w:numFmt w:val="bullet"/>
      <w:lvlText w:val="•"/>
      <w:lvlJc w:val="left"/>
      <w:pPr>
        <w:ind w:left="1738" w:hanging="360"/>
      </w:pPr>
      <w:rPr>
        <w:rFonts w:hint="default"/>
      </w:rPr>
    </w:lvl>
    <w:lvl w:ilvl="6">
      <w:start w:val="1"/>
      <w:numFmt w:val="bullet"/>
      <w:lvlText w:val="•"/>
      <w:lvlJc w:val="left"/>
      <w:pPr>
        <w:ind w:left="1993" w:hanging="360"/>
      </w:pPr>
      <w:rPr>
        <w:rFonts w:hint="default"/>
      </w:rPr>
    </w:lvl>
    <w:lvl w:ilvl="7">
      <w:start w:val="1"/>
      <w:numFmt w:val="bullet"/>
      <w:lvlText w:val="•"/>
      <w:lvlJc w:val="left"/>
      <w:pPr>
        <w:ind w:left="2249" w:hanging="360"/>
      </w:pPr>
      <w:rPr>
        <w:rFonts w:hint="default"/>
      </w:rPr>
    </w:lvl>
    <w:lvl w:ilvl="8">
      <w:start w:val="1"/>
      <w:numFmt w:val="bullet"/>
      <w:lvlText w:val="•"/>
      <w:lvlJc w:val="left"/>
      <w:pPr>
        <w:ind w:left="2504" w:hanging="360"/>
      </w:pPr>
      <w:rPr>
        <w:rFonts w:hint="default"/>
      </w:rPr>
    </w:lvl>
  </w:abstractNum>
  <w:abstractNum w:abstractNumId="19">
    <w:multiLevelType w:val="hybridMultilevel"/>
    <w:lvl w:ilvl="0">
      <w:start w:val="1"/>
      <w:numFmt w:val="bullet"/>
      <w:lvlText w:val="•"/>
      <w:lvlJc w:val="left"/>
      <w:pPr>
        <w:ind w:left="462" w:hanging="360"/>
      </w:pPr>
      <w:rPr>
        <w:rFonts w:hint="default" w:ascii="Trebuchet MS" w:hAnsi="Trebuchet MS" w:eastAsia="Trebuchet MS" w:cs="Trebuchet MS"/>
        <w:w w:val="95"/>
        <w:sz w:val="16"/>
        <w:szCs w:val="16"/>
      </w:rPr>
    </w:lvl>
    <w:lvl w:ilvl="1">
      <w:start w:val="1"/>
      <w:numFmt w:val="bullet"/>
      <w:lvlText w:val="•"/>
      <w:lvlJc w:val="left"/>
      <w:pPr>
        <w:ind w:left="661" w:hanging="360"/>
      </w:pPr>
      <w:rPr>
        <w:rFonts w:hint="default"/>
      </w:rPr>
    </w:lvl>
    <w:lvl w:ilvl="2">
      <w:start w:val="1"/>
      <w:numFmt w:val="bullet"/>
      <w:lvlText w:val="•"/>
      <w:lvlJc w:val="left"/>
      <w:pPr>
        <w:ind w:left="862" w:hanging="360"/>
      </w:pPr>
      <w:rPr>
        <w:rFonts w:hint="default"/>
      </w:rPr>
    </w:lvl>
    <w:lvl w:ilvl="3">
      <w:start w:val="1"/>
      <w:numFmt w:val="bullet"/>
      <w:lvlText w:val="•"/>
      <w:lvlJc w:val="left"/>
      <w:pPr>
        <w:ind w:left="1063" w:hanging="360"/>
      </w:pPr>
      <w:rPr>
        <w:rFonts w:hint="default"/>
      </w:rPr>
    </w:lvl>
    <w:lvl w:ilvl="4">
      <w:start w:val="1"/>
      <w:numFmt w:val="bullet"/>
      <w:lvlText w:val="•"/>
      <w:lvlJc w:val="left"/>
      <w:pPr>
        <w:ind w:left="1264" w:hanging="360"/>
      </w:pPr>
      <w:rPr>
        <w:rFonts w:hint="default"/>
      </w:rPr>
    </w:lvl>
    <w:lvl w:ilvl="5">
      <w:start w:val="1"/>
      <w:numFmt w:val="bullet"/>
      <w:lvlText w:val="•"/>
      <w:lvlJc w:val="left"/>
      <w:pPr>
        <w:ind w:left="1465" w:hanging="360"/>
      </w:pPr>
      <w:rPr>
        <w:rFonts w:hint="default"/>
      </w:rPr>
    </w:lvl>
    <w:lvl w:ilvl="6">
      <w:start w:val="1"/>
      <w:numFmt w:val="bullet"/>
      <w:lvlText w:val="•"/>
      <w:lvlJc w:val="left"/>
      <w:pPr>
        <w:ind w:left="1666" w:hanging="360"/>
      </w:pPr>
      <w:rPr>
        <w:rFonts w:hint="default"/>
      </w:rPr>
    </w:lvl>
    <w:lvl w:ilvl="7">
      <w:start w:val="1"/>
      <w:numFmt w:val="bullet"/>
      <w:lvlText w:val="•"/>
      <w:lvlJc w:val="left"/>
      <w:pPr>
        <w:ind w:left="1867" w:hanging="360"/>
      </w:pPr>
      <w:rPr>
        <w:rFonts w:hint="default"/>
      </w:rPr>
    </w:lvl>
    <w:lvl w:ilvl="8">
      <w:start w:val="1"/>
      <w:numFmt w:val="bullet"/>
      <w:lvlText w:val="•"/>
      <w:lvlJc w:val="left"/>
      <w:pPr>
        <w:ind w:left="2068" w:hanging="360"/>
      </w:pPr>
      <w:rPr>
        <w:rFonts w:hint="default"/>
      </w:rPr>
    </w:lvl>
  </w:abstractNum>
  <w:abstractNum w:abstractNumId="18">
    <w:multiLevelType w:val="hybridMultilevel"/>
    <w:lvl w:ilvl="0">
      <w:start w:val="1"/>
      <w:numFmt w:val="bullet"/>
      <w:lvlText w:val="•"/>
      <w:lvlJc w:val="left"/>
      <w:pPr>
        <w:ind w:left="433" w:hanging="360"/>
      </w:pPr>
      <w:rPr>
        <w:rFonts w:hint="default" w:ascii="Trebuchet MS" w:hAnsi="Trebuchet MS" w:eastAsia="Trebuchet MS" w:cs="Trebuchet MS"/>
        <w:w w:val="95"/>
        <w:sz w:val="16"/>
        <w:szCs w:val="16"/>
      </w:rPr>
    </w:lvl>
    <w:lvl w:ilvl="1">
      <w:start w:val="1"/>
      <w:numFmt w:val="bullet"/>
      <w:lvlText w:val="•"/>
      <w:lvlJc w:val="left"/>
      <w:pPr>
        <w:ind w:left="608" w:hanging="360"/>
      </w:pPr>
      <w:rPr>
        <w:rFonts w:hint="default"/>
      </w:rPr>
    </w:lvl>
    <w:lvl w:ilvl="2">
      <w:start w:val="1"/>
      <w:numFmt w:val="bullet"/>
      <w:lvlText w:val="•"/>
      <w:lvlJc w:val="left"/>
      <w:pPr>
        <w:ind w:left="776" w:hanging="360"/>
      </w:pPr>
      <w:rPr>
        <w:rFonts w:hint="default"/>
      </w:rPr>
    </w:lvl>
    <w:lvl w:ilvl="3">
      <w:start w:val="1"/>
      <w:numFmt w:val="bullet"/>
      <w:lvlText w:val="•"/>
      <w:lvlJc w:val="left"/>
      <w:pPr>
        <w:ind w:left="944" w:hanging="360"/>
      </w:pPr>
      <w:rPr>
        <w:rFonts w:hint="default"/>
      </w:rPr>
    </w:lvl>
    <w:lvl w:ilvl="4">
      <w:start w:val="1"/>
      <w:numFmt w:val="bullet"/>
      <w:lvlText w:val="•"/>
      <w:lvlJc w:val="left"/>
      <w:pPr>
        <w:ind w:left="1112" w:hanging="360"/>
      </w:pPr>
      <w:rPr>
        <w:rFonts w:hint="default"/>
      </w:rPr>
    </w:lvl>
    <w:lvl w:ilvl="5">
      <w:start w:val="1"/>
      <w:numFmt w:val="bullet"/>
      <w:lvlText w:val="•"/>
      <w:lvlJc w:val="left"/>
      <w:pPr>
        <w:ind w:left="1281" w:hanging="360"/>
      </w:pPr>
      <w:rPr>
        <w:rFonts w:hint="default"/>
      </w:rPr>
    </w:lvl>
    <w:lvl w:ilvl="6">
      <w:start w:val="1"/>
      <w:numFmt w:val="bullet"/>
      <w:lvlText w:val="•"/>
      <w:lvlJc w:val="left"/>
      <w:pPr>
        <w:ind w:left="1449" w:hanging="360"/>
      </w:pPr>
      <w:rPr>
        <w:rFonts w:hint="default"/>
      </w:rPr>
    </w:lvl>
    <w:lvl w:ilvl="7">
      <w:start w:val="1"/>
      <w:numFmt w:val="bullet"/>
      <w:lvlText w:val="•"/>
      <w:lvlJc w:val="left"/>
      <w:pPr>
        <w:ind w:left="1617" w:hanging="360"/>
      </w:pPr>
      <w:rPr>
        <w:rFonts w:hint="default"/>
      </w:rPr>
    </w:lvl>
    <w:lvl w:ilvl="8">
      <w:start w:val="1"/>
      <w:numFmt w:val="bullet"/>
      <w:lvlText w:val="•"/>
      <w:lvlJc w:val="left"/>
      <w:pPr>
        <w:ind w:left="1785" w:hanging="360"/>
      </w:pPr>
      <w:rPr>
        <w:rFonts w:hint="default"/>
      </w:rPr>
    </w:lvl>
  </w:abstractNum>
  <w:abstractNum w:abstractNumId="17">
    <w:multiLevelType w:val="hybridMultilevel"/>
    <w:lvl w:ilvl="0">
      <w:start w:val="1"/>
      <w:numFmt w:val="decimal"/>
      <w:lvlText w:val="%1."/>
      <w:lvlJc w:val="left"/>
      <w:pPr>
        <w:ind w:left="660" w:hanging="360"/>
        <w:jc w:val="left"/>
      </w:pPr>
      <w:rPr>
        <w:rFonts w:hint="default" w:ascii="Arial" w:hAnsi="Arial" w:eastAsia="Arial" w:cs="Arial"/>
        <w:spacing w:val="-24"/>
        <w:w w:val="96"/>
        <w:sz w:val="20"/>
        <w:szCs w:val="20"/>
      </w:rPr>
    </w:lvl>
    <w:lvl w:ilvl="1">
      <w:start w:val="1"/>
      <w:numFmt w:val="lowerLetter"/>
      <w:lvlText w:val="%2."/>
      <w:lvlJc w:val="left"/>
      <w:pPr>
        <w:ind w:left="647" w:hanging="360"/>
        <w:jc w:val="left"/>
      </w:pPr>
      <w:rPr>
        <w:rFonts w:hint="default" w:ascii="Arial" w:hAnsi="Arial" w:eastAsia="Arial" w:cs="Arial"/>
        <w:w w:val="97"/>
        <w:sz w:val="20"/>
        <w:szCs w:val="20"/>
      </w:rPr>
    </w:lvl>
    <w:lvl w:ilvl="2">
      <w:start w:val="1"/>
      <w:numFmt w:val="decimal"/>
      <w:lvlText w:val="%3)"/>
      <w:lvlJc w:val="left"/>
      <w:pPr>
        <w:ind w:left="130" w:hanging="210"/>
        <w:jc w:val="right"/>
      </w:pPr>
      <w:rPr>
        <w:rFonts w:hint="default" w:ascii="Calibri" w:hAnsi="Calibri" w:eastAsia="Calibri" w:cs="Calibri"/>
        <w:w w:val="100"/>
        <w:sz w:val="20"/>
        <w:szCs w:val="20"/>
      </w:rPr>
    </w:lvl>
    <w:lvl w:ilvl="3">
      <w:start w:val="1"/>
      <w:numFmt w:val="lowerLetter"/>
      <w:lvlText w:val="%4)"/>
      <w:lvlJc w:val="left"/>
      <w:pPr>
        <w:ind w:left="850" w:hanging="294"/>
        <w:jc w:val="left"/>
      </w:pPr>
      <w:rPr>
        <w:rFonts w:hint="default" w:ascii="Calibri" w:hAnsi="Calibri" w:eastAsia="Calibri" w:cs="Calibri"/>
        <w:spacing w:val="-26"/>
        <w:w w:val="97"/>
        <w:sz w:val="20"/>
        <w:szCs w:val="20"/>
      </w:rPr>
    </w:lvl>
    <w:lvl w:ilvl="4">
      <w:start w:val="1"/>
      <w:numFmt w:val="bullet"/>
      <w:lvlText w:val="•"/>
      <w:lvlJc w:val="left"/>
      <w:pPr>
        <w:ind w:left="511" w:hanging="294"/>
      </w:pPr>
      <w:rPr>
        <w:rFonts w:hint="default"/>
      </w:rPr>
    </w:lvl>
    <w:lvl w:ilvl="5">
      <w:start w:val="1"/>
      <w:numFmt w:val="bullet"/>
      <w:lvlText w:val="•"/>
      <w:lvlJc w:val="left"/>
      <w:pPr>
        <w:ind w:left="162" w:hanging="294"/>
      </w:pPr>
      <w:rPr>
        <w:rFonts w:hint="default"/>
      </w:rPr>
    </w:lvl>
    <w:lvl w:ilvl="6">
      <w:start w:val="1"/>
      <w:numFmt w:val="bullet"/>
      <w:lvlText w:val="•"/>
      <w:lvlJc w:val="left"/>
      <w:pPr>
        <w:ind w:left="-187" w:hanging="294"/>
      </w:pPr>
      <w:rPr>
        <w:rFonts w:hint="default"/>
      </w:rPr>
    </w:lvl>
    <w:lvl w:ilvl="7">
      <w:start w:val="1"/>
      <w:numFmt w:val="bullet"/>
      <w:lvlText w:val="•"/>
      <w:lvlJc w:val="left"/>
      <w:pPr>
        <w:ind w:left="-536" w:hanging="294"/>
      </w:pPr>
      <w:rPr>
        <w:rFonts w:hint="default"/>
      </w:rPr>
    </w:lvl>
    <w:lvl w:ilvl="8">
      <w:start w:val="1"/>
      <w:numFmt w:val="bullet"/>
      <w:lvlText w:val="•"/>
      <w:lvlJc w:val="left"/>
      <w:pPr>
        <w:ind w:left="-885" w:hanging="294"/>
      </w:pPr>
      <w:rPr>
        <w:rFonts w:hint="default"/>
      </w:rPr>
    </w:lvl>
  </w:abstractNum>
  <w:abstractNum w:abstractNumId="16">
    <w:multiLevelType w:val="hybridMultilevel"/>
    <w:lvl w:ilvl="0">
      <w:start w:val="5"/>
      <w:numFmt w:val="upperLetter"/>
      <w:lvlText w:val="%1-"/>
      <w:lvlJc w:val="left"/>
      <w:pPr>
        <w:ind w:left="251" w:hanging="121"/>
        <w:jc w:val="left"/>
      </w:pPr>
      <w:rPr>
        <w:rFonts w:hint="default" w:ascii="Arial" w:hAnsi="Arial" w:eastAsia="Arial" w:cs="Arial"/>
        <w:color w:val="6D6E71"/>
        <w:spacing w:val="-1"/>
        <w:w w:val="100"/>
        <w:sz w:val="12"/>
        <w:szCs w:val="12"/>
      </w:rPr>
    </w:lvl>
    <w:lvl w:ilvl="1">
      <w:start w:val="1"/>
      <w:numFmt w:val="decimal"/>
      <w:lvlText w:val="%2."/>
      <w:lvlJc w:val="left"/>
      <w:pPr>
        <w:ind w:left="660" w:hanging="360"/>
        <w:jc w:val="left"/>
      </w:pPr>
      <w:rPr>
        <w:rFonts w:hint="default" w:ascii="Arial" w:hAnsi="Arial" w:eastAsia="Arial" w:cs="Arial"/>
        <w:w w:val="97"/>
        <w:sz w:val="20"/>
        <w:szCs w:val="20"/>
      </w:rPr>
    </w:lvl>
    <w:lvl w:ilvl="2">
      <w:start w:val="1"/>
      <w:numFmt w:val="bullet"/>
      <w:lvlText w:val="•"/>
      <w:lvlJc w:val="left"/>
      <w:pPr>
        <w:ind w:left="411" w:hanging="360"/>
      </w:pPr>
      <w:rPr>
        <w:rFonts w:hint="default"/>
      </w:rPr>
    </w:lvl>
    <w:lvl w:ilvl="3">
      <w:start w:val="1"/>
      <w:numFmt w:val="bullet"/>
      <w:lvlText w:val="•"/>
      <w:lvlJc w:val="left"/>
      <w:pPr>
        <w:ind w:left="162" w:hanging="360"/>
      </w:pPr>
      <w:rPr>
        <w:rFonts w:hint="default"/>
      </w:rPr>
    </w:lvl>
    <w:lvl w:ilvl="4">
      <w:start w:val="1"/>
      <w:numFmt w:val="bullet"/>
      <w:lvlText w:val="•"/>
      <w:lvlJc w:val="left"/>
      <w:pPr>
        <w:ind w:left="-87" w:hanging="360"/>
      </w:pPr>
      <w:rPr>
        <w:rFonts w:hint="default"/>
      </w:rPr>
    </w:lvl>
    <w:lvl w:ilvl="5">
      <w:start w:val="1"/>
      <w:numFmt w:val="bullet"/>
      <w:lvlText w:val="•"/>
      <w:lvlJc w:val="left"/>
      <w:pPr>
        <w:ind w:left="-336" w:hanging="360"/>
      </w:pPr>
      <w:rPr>
        <w:rFonts w:hint="default"/>
      </w:rPr>
    </w:lvl>
    <w:lvl w:ilvl="6">
      <w:start w:val="1"/>
      <w:numFmt w:val="bullet"/>
      <w:lvlText w:val="•"/>
      <w:lvlJc w:val="left"/>
      <w:pPr>
        <w:ind w:left="-585" w:hanging="360"/>
      </w:pPr>
      <w:rPr>
        <w:rFonts w:hint="default"/>
      </w:rPr>
    </w:lvl>
    <w:lvl w:ilvl="7">
      <w:start w:val="1"/>
      <w:numFmt w:val="bullet"/>
      <w:lvlText w:val="•"/>
      <w:lvlJc w:val="left"/>
      <w:pPr>
        <w:ind w:left="-834" w:hanging="360"/>
      </w:pPr>
      <w:rPr>
        <w:rFonts w:hint="default"/>
      </w:rPr>
    </w:lvl>
    <w:lvl w:ilvl="8">
      <w:start w:val="1"/>
      <w:numFmt w:val="bullet"/>
      <w:lvlText w:val="•"/>
      <w:lvlJc w:val="left"/>
      <w:pPr>
        <w:ind w:left="-1082" w:hanging="360"/>
      </w:pPr>
      <w:rPr>
        <w:rFonts w:hint="default"/>
      </w:rPr>
    </w:lvl>
  </w:abstractNum>
  <w:abstractNum w:abstractNumId="15">
    <w:multiLevelType w:val="hybridMultilevel"/>
    <w:lvl w:ilvl="0">
      <w:start w:val="8"/>
      <w:numFmt w:val="upperLetter"/>
      <w:lvlText w:val="%1."/>
      <w:lvlJc w:val="left"/>
      <w:pPr>
        <w:ind w:left="751" w:hanging="276"/>
        <w:jc w:val="left"/>
      </w:pPr>
      <w:rPr>
        <w:rFonts w:hint="default" w:ascii="Arial" w:hAnsi="Arial" w:eastAsia="Arial" w:cs="Arial"/>
        <w:w w:val="100"/>
        <w:sz w:val="20"/>
        <w:szCs w:val="20"/>
      </w:rPr>
    </w:lvl>
    <w:lvl w:ilvl="1">
      <w:start w:val="1"/>
      <w:numFmt w:val="decimal"/>
      <w:lvlText w:val="(%2)"/>
      <w:lvlJc w:val="left"/>
      <w:pPr>
        <w:ind w:left="2642" w:hanging="2287"/>
        <w:jc w:val="left"/>
      </w:pPr>
      <w:rPr>
        <w:rFonts w:hint="default" w:ascii="Arial" w:hAnsi="Arial" w:eastAsia="Arial" w:cs="Arial"/>
        <w:b/>
        <w:bCs/>
        <w:w w:val="93"/>
        <w:sz w:val="20"/>
        <w:szCs w:val="20"/>
      </w:rPr>
    </w:lvl>
    <w:lvl w:ilvl="2">
      <w:start w:val="1"/>
      <w:numFmt w:val="bullet"/>
      <w:lvlText w:val="•"/>
      <w:lvlJc w:val="left"/>
      <w:pPr>
        <w:ind w:left="2640" w:hanging="2287"/>
      </w:pPr>
      <w:rPr>
        <w:rFonts w:hint="default"/>
      </w:rPr>
    </w:lvl>
    <w:lvl w:ilvl="3">
      <w:start w:val="1"/>
      <w:numFmt w:val="bullet"/>
      <w:lvlText w:val="•"/>
      <w:lvlJc w:val="left"/>
      <w:pPr>
        <w:ind w:left="1273" w:hanging="2287"/>
      </w:pPr>
      <w:rPr>
        <w:rFonts w:hint="default"/>
      </w:rPr>
    </w:lvl>
    <w:lvl w:ilvl="4">
      <w:start w:val="1"/>
      <w:numFmt w:val="bullet"/>
      <w:lvlText w:val="•"/>
      <w:lvlJc w:val="left"/>
      <w:pPr>
        <w:ind w:left="-94" w:hanging="2287"/>
      </w:pPr>
      <w:rPr>
        <w:rFonts w:hint="default"/>
      </w:rPr>
    </w:lvl>
    <w:lvl w:ilvl="5">
      <w:start w:val="1"/>
      <w:numFmt w:val="bullet"/>
      <w:lvlText w:val="•"/>
      <w:lvlJc w:val="left"/>
      <w:pPr>
        <w:ind w:left="-1461" w:hanging="2287"/>
      </w:pPr>
      <w:rPr>
        <w:rFonts w:hint="default"/>
      </w:rPr>
    </w:lvl>
    <w:lvl w:ilvl="6">
      <w:start w:val="1"/>
      <w:numFmt w:val="bullet"/>
      <w:lvlText w:val="•"/>
      <w:lvlJc w:val="left"/>
      <w:pPr>
        <w:ind w:left="-2828" w:hanging="2287"/>
      </w:pPr>
      <w:rPr>
        <w:rFonts w:hint="default"/>
      </w:rPr>
    </w:lvl>
    <w:lvl w:ilvl="7">
      <w:start w:val="1"/>
      <w:numFmt w:val="bullet"/>
      <w:lvlText w:val="•"/>
      <w:lvlJc w:val="left"/>
      <w:pPr>
        <w:ind w:left="-4195" w:hanging="2287"/>
      </w:pPr>
      <w:rPr>
        <w:rFonts w:hint="default"/>
      </w:rPr>
    </w:lvl>
    <w:lvl w:ilvl="8">
      <w:start w:val="1"/>
      <w:numFmt w:val="bullet"/>
      <w:lvlText w:val="•"/>
      <w:lvlJc w:val="left"/>
      <w:pPr>
        <w:ind w:left="-5562" w:hanging="2287"/>
      </w:pPr>
      <w:rPr>
        <w:rFonts w:hint="default"/>
      </w:rPr>
    </w:lvl>
  </w:abstractNum>
  <w:abstractNum w:abstractNumId="14">
    <w:multiLevelType w:val="hybridMultilevel"/>
    <w:lvl w:ilvl="0">
      <w:start w:val="1"/>
      <w:numFmt w:val="lowerLetter"/>
      <w:lvlText w:val="%1)"/>
      <w:lvlJc w:val="left"/>
      <w:pPr>
        <w:ind w:left="574" w:hanging="276"/>
        <w:jc w:val="left"/>
      </w:pPr>
      <w:rPr>
        <w:rFonts w:hint="default" w:ascii="Arial" w:hAnsi="Arial" w:eastAsia="Arial" w:cs="Arial"/>
        <w:b/>
        <w:bCs/>
        <w:w w:val="97"/>
        <w:sz w:val="24"/>
        <w:szCs w:val="24"/>
      </w:rPr>
    </w:lvl>
    <w:lvl w:ilvl="1">
      <w:start w:val="1"/>
      <w:numFmt w:val="bullet"/>
      <w:lvlText w:val="•"/>
      <w:lvlJc w:val="left"/>
      <w:pPr>
        <w:ind w:left="1318" w:hanging="276"/>
      </w:pPr>
      <w:rPr>
        <w:rFonts w:hint="default"/>
      </w:rPr>
    </w:lvl>
    <w:lvl w:ilvl="2">
      <w:start w:val="1"/>
      <w:numFmt w:val="bullet"/>
      <w:lvlText w:val="•"/>
      <w:lvlJc w:val="left"/>
      <w:pPr>
        <w:ind w:left="2057" w:hanging="276"/>
      </w:pPr>
      <w:rPr>
        <w:rFonts w:hint="default"/>
      </w:rPr>
    </w:lvl>
    <w:lvl w:ilvl="3">
      <w:start w:val="1"/>
      <w:numFmt w:val="bullet"/>
      <w:lvlText w:val="•"/>
      <w:lvlJc w:val="left"/>
      <w:pPr>
        <w:ind w:left="2796" w:hanging="276"/>
      </w:pPr>
      <w:rPr>
        <w:rFonts w:hint="default"/>
      </w:rPr>
    </w:lvl>
    <w:lvl w:ilvl="4">
      <w:start w:val="1"/>
      <w:numFmt w:val="bullet"/>
      <w:lvlText w:val="•"/>
      <w:lvlJc w:val="left"/>
      <w:pPr>
        <w:ind w:left="3535" w:hanging="276"/>
      </w:pPr>
      <w:rPr>
        <w:rFonts w:hint="default"/>
      </w:rPr>
    </w:lvl>
    <w:lvl w:ilvl="5">
      <w:start w:val="1"/>
      <w:numFmt w:val="bullet"/>
      <w:lvlText w:val="•"/>
      <w:lvlJc w:val="left"/>
      <w:pPr>
        <w:ind w:left="4274" w:hanging="276"/>
      </w:pPr>
      <w:rPr>
        <w:rFonts w:hint="default"/>
      </w:rPr>
    </w:lvl>
    <w:lvl w:ilvl="6">
      <w:start w:val="1"/>
      <w:numFmt w:val="bullet"/>
      <w:lvlText w:val="•"/>
      <w:lvlJc w:val="left"/>
      <w:pPr>
        <w:ind w:left="5013" w:hanging="276"/>
      </w:pPr>
      <w:rPr>
        <w:rFonts w:hint="default"/>
      </w:rPr>
    </w:lvl>
    <w:lvl w:ilvl="7">
      <w:start w:val="1"/>
      <w:numFmt w:val="bullet"/>
      <w:lvlText w:val="•"/>
      <w:lvlJc w:val="left"/>
      <w:pPr>
        <w:ind w:left="5752" w:hanging="276"/>
      </w:pPr>
      <w:rPr>
        <w:rFonts w:hint="default"/>
      </w:rPr>
    </w:lvl>
    <w:lvl w:ilvl="8">
      <w:start w:val="1"/>
      <w:numFmt w:val="bullet"/>
      <w:lvlText w:val="•"/>
      <w:lvlJc w:val="left"/>
      <w:pPr>
        <w:ind w:left="6491" w:hanging="276"/>
      </w:pPr>
      <w:rPr>
        <w:rFonts w:hint="default"/>
      </w:rPr>
    </w:lvl>
  </w:abstractNum>
  <w:abstractNum w:abstractNumId="13">
    <w:multiLevelType w:val="hybridMultilevel"/>
    <w:lvl w:ilvl="0">
      <w:start w:val="1"/>
      <w:numFmt w:val="lowerLetter"/>
      <w:lvlText w:val="%1)"/>
      <w:lvlJc w:val="left"/>
      <w:pPr>
        <w:ind w:left="119" w:hanging="276"/>
        <w:jc w:val="left"/>
      </w:pPr>
      <w:rPr>
        <w:rFonts w:hint="default" w:ascii="Arial" w:hAnsi="Arial" w:eastAsia="Arial" w:cs="Arial"/>
        <w:b/>
        <w:bCs/>
        <w:w w:val="97"/>
        <w:sz w:val="24"/>
        <w:szCs w:val="24"/>
      </w:rPr>
    </w:lvl>
    <w:lvl w:ilvl="1">
      <w:start w:val="1"/>
      <w:numFmt w:val="bullet"/>
      <w:lvlText w:val="•"/>
      <w:lvlJc w:val="left"/>
      <w:pPr>
        <w:ind w:left="892" w:hanging="276"/>
      </w:pPr>
      <w:rPr>
        <w:rFonts w:hint="default"/>
      </w:rPr>
    </w:lvl>
    <w:lvl w:ilvl="2">
      <w:start w:val="1"/>
      <w:numFmt w:val="bullet"/>
      <w:lvlText w:val="•"/>
      <w:lvlJc w:val="left"/>
      <w:pPr>
        <w:ind w:left="1664" w:hanging="276"/>
      </w:pPr>
      <w:rPr>
        <w:rFonts w:hint="default"/>
      </w:rPr>
    </w:lvl>
    <w:lvl w:ilvl="3">
      <w:start w:val="1"/>
      <w:numFmt w:val="bullet"/>
      <w:lvlText w:val="•"/>
      <w:lvlJc w:val="left"/>
      <w:pPr>
        <w:ind w:left="2436" w:hanging="276"/>
      </w:pPr>
      <w:rPr>
        <w:rFonts w:hint="default"/>
      </w:rPr>
    </w:lvl>
    <w:lvl w:ilvl="4">
      <w:start w:val="1"/>
      <w:numFmt w:val="bullet"/>
      <w:lvlText w:val="•"/>
      <w:lvlJc w:val="left"/>
      <w:pPr>
        <w:ind w:left="3208" w:hanging="276"/>
      </w:pPr>
      <w:rPr>
        <w:rFonts w:hint="default"/>
      </w:rPr>
    </w:lvl>
    <w:lvl w:ilvl="5">
      <w:start w:val="1"/>
      <w:numFmt w:val="bullet"/>
      <w:lvlText w:val="•"/>
      <w:lvlJc w:val="left"/>
      <w:pPr>
        <w:ind w:left="3980" w:hanging="276"/>
      </w:pPr>
      <w:rPr>
        <w:rFonts w:hint="default"/>
      </w:rPr>
    </w:lvl>
    <w:lvl w:ilvl="6">
      <w:start w:val="1"/>
      <w:numFmt w:val="bullet"/>
      <w:lvlText w:val="•"/>
      <w:lvlJc w:val="left"/>
      <w:pPr>
        <w:ind w:left="4752" w:hanging="276"/>
      </w:pPr>
      <w:rPr>
        <w:rFonts w:hint="default"/>
      </w:rPr>
    </w:lvl>
    <w:lvl w:ilvl="7">
      <w:start w:val="1"/>
      <w:numFmt w:val="bullet"/>
      <w:lvlText w:val="•"/>
      <w:lvlJc w:val="left"/>
      <w:pPr>
        <w:ind w:left="5524" w:hanging="276"/>
      </w:pPr>
      <w:rPr>
        <w:rFonts w:hint="default"/>
      </w:rPr>
    </w:lvl>
    <w:lvl w:ilvl="8">
      <w:start w:val="1"/>
      <w:numFmt w:val="bullet"/>
      <w:lvlText w:val="•"/>
      <w:lvlJc w:val="left"/>
      <w:pPr>
        <w:ind w:left="6296" w:hanging="276"/>
      </w:pPr>
      <w:rPr>
        <w:rFonts w:hint="default"/>
      </w:rPr>
    </w:lvl>
  </w:abstractNum>
  <w:abstractNum w:abstractNumId="12">
    <w:multiLevelType w:val="hybridMultilevel"/>
    <w:lvl w:ilvl="0">
      <w:start w:val="1"/>
      <w:numFmt w:val="bullet"/>
      <w:lvlText w:val="•"/>
      <w:lvlJc w:val="left"/>
      <w:pPr>
        <w:ind w:left="463" w:hanging="360"/>
      </w:pPr>
      <w:rPr>
        <w:rFonts w:hint="default" w:ascii="Trebuchet MS" w:hAnsi="Trebuchet MS" w:eastAsia="Trebuchet MS" w:cs="Trebuchet MS"/>
        <w:w w:val="95"/>
        <w:sz w:val="16"/>
        <w:szCs w:val="16"/>
      </w:rPr>
    </w:lvl>
    <w:lvl w:ilvl="1">
      <w:start w:val="1"/>
      <w:numFmt w:val="bullet"/>
      <w:lvlText w:val="•"/>
      <w:lvlJc w:val="left"/>
      <w:pPr>
        <w:ind w:left="799" w:hanging="360"/>
      </w:pPr>
      <w:rPr>
        <w:rFonts w:hint="default"/>
      </w:rPr>
    </w:lvl>
    <w:lvl w:ilvl="2">
      <w:start w:val="1"/>
      <w:numFmt w:val="bullet"/>
      <w:lvlText w:val="•"/>
      <w:lvlJc w:val="left"/>
      <w:pPr>
        <w:ind w:left="1139" w:hanging="360"/>
      </w:pPr>
      <w:rPr>
        <w:rFonts w:hint="default"/>
      </w:rPr>
    </w:lvl>
    <w:lvl w:ilvl="3">
      <w:start w:val="1"/>
      <w:numFmt w:val="bullet"/>
      <w:lvlText w:val="•"/>
      <w:lvlJc w:val="left"/>
      <w:pPr>
        <w:ind w:left="1479" w:hanging="360"/>
      </w:pPr>
      <w:rPr>
        <w:rFonts w:hint="default"/>
      </w:rPr>
    </w:lvl>
    <w:lvl w:ilvl="4">
      <w:start w:val="1"/>
      <w:numFmt w:val="bullet"/>
      <w:lvlText w:val="•"/>
      <w:lvlJc w:val="left"/>
      <w:pPr>
        <w:ind w:left="1818" w:hanging="360"/>
      </w:pPr>
      <w:rPr>
        <w:rFonts w:hint="default"/>
      </w:rPr>
    </w:lvl>
    <w:lvl w:ilvl="5">
      <w:start w:val="1"/>
      <w:numFmt w:val="bullet"/>
      <w:lvlText w:val="•"/>
      <w:lvlJc w:val="left"/>
      <w:pPr>
        <w:ind w:left="2158" w:hanging="360"/>
      </w:pPr>
      <w:rPr>
        <w:rFonts w:hint="default"/>
      </w:rPr>
    </w:lvl>
    <w:lvl w:ilvl="6">
      <w:start w:val="1"/>
      <w:numFmt w:val="bullet"/>
      <w:lvlText w:val="•"/>
      <w:lvlJc w:val="left"/>
      <w:pPr>
        <w:ind w:left="2498" w:hanging="360"/>
      </w:pPr>
      <w:rPr>
        <w:rFonts w:hint="default"/>
      </w:rPr>
    </w:lvl>
    <w:lvl w:ilvl="7">
      <w:start w:val="1"/>
      <w:numFmt w:val="bullet"/>
      <w:lvlText w:val="•"/>
      <w:lvlJc w:val="left"/>
      <w:pPr>
        <w:ind w:left="2838" w:hanging="360"/>
      </w:pPr>
      <w:rPr>
        <w:rFonts w:hint="default"/>
      </w:rPr>
    </w:lvl>
    <w:lvl w:ilvl="8">
      <w:start w:val="1"/>
      <w:numFmt w:val="bullet"/>
      <w:lvlText w:val="•"/>
      <w:lvlJc w:val="left"/>
      <w:pPr>
        <w:ind w:left="3177" w:hanging="360"/>
      </w:pPr>
      <w:rPr>
        <w:rFonts w:hint="default"/>
      </w:rPr>
    </w:lvl>
  </w:abstractNum>
  <w:abstractNum w:abstractNumId="11">
    <w:multiLevelType w:val="hybridMultilevel"/>
    <w:lvl w:ilvl="0">
      <w:start w:val="1"/>
      <w:numFmt w:val="bullet"/>
      <w:lvlText w:val="•"/>
      <w:lvlJc w:val="left"/>
      <w:pPr>
        <w:ind w:left="463" w:hanging="360"/>
      </w:pPr>
      <w:rPr>
        <w:rFonts w:hint="default" w:ascii="Trebuchet MS" w:hAnsi="Trebuchet MS" w:eastAsia="Trebuchet MS" w:cs="Trebuchet MS"/>
        <w:w w:val="95"/>
        <w:sz w:val="16"/>
        <w:szCs w:val="16"/>
      </w:rPr>
    </w:lvl>
    <w:lvl w:ilvl="1">
      <w:start w:val="1"/>
      <w:numFmt w:val="bullet"/>
      <w:lvlText w:val="•"/>
      <w:lvlJc w:val="left"/>
      <w:pPr>
        <w:ind w:left="799" w:hanging="360"/>
      </w:pPr>
      <w:rPr>
        <w:rFonts w:hint="default"/>
      </w:rPr>
    </w:lvl>
    <w:lvl w:ilvl="2">
      <w:start w:val="1"/>
      <w:numFmt w:val="bullet"/>
      <w:lvlText w:val="•"/>
      <w:lvlJc w:val="left"/>
      <w:pPr>
        <w:ind w:left="1139" w:hanging="360"/>
      </w:pPr>
      <w:rPr>
        <w:rFonts w:hint="default"/>
      </w:rPr>
    </w:lvl>
    <w:lvl w:ilvl="3">
      <w:start w:val="1"/>
      <w:numFmt w:val="bullet"/>
      <w:lvlText w:val="•"/>
      <w:lvlJc w:val="left"/>
      <w:pPr>
        <w:ind w:left="1479" w:hanging="360"/>
      </w:pPr>
      <w:rPr>
        <w:rFonts w:hint="default"/>
      </w:rPr>
    </w:lvl>
    <w:lvl w:ilvl="4">
      <w:start w:val="1"/>
      <w:numFmt w:val="bullet"/>
      <w:lvlText w:val="•"/>
      <w:lvlJc w:val="left"/>
      <w:pPr>
        <w:ind w:left="1818" w:hanging="360"/>
      </w:pPr>
      <w:rPr>
        <w:rFonts w:hint="default"/>
      </w:rPr>
    </w:lvl>
    <w:lvl w:ilvl="5">
      <w:start w:val="1"/>
      <w:numFmt w:val="bullet"/>
      <w:lvlText w:val="•"/>
      <w:lvlJc w:val="left"/>
      <w:pPr>
        <w:ind w:left="2158" w:hanging="360"/>
      </w:pPr>
      <w:rPr>
        <w:rFonts w:hint="default"/>
      </w:rPr>
    </w:lvl>
    <w:lvl w:ilvl="6">
      <w:start w:val="1"/>
      <w:numFmt w:val="bullet"/>
      <w:lvlText w:val="•"/>
      <w:lvlJc w:val="left"/>
      <w:pPr>
        <w:ind w:left="2498" w:hanging="360"/>
      </w:pPr>
      <w:rPr>
        <w:rFonts w:hint="default"/>
      </w:rPr>
    </w:lvl>
    <w:lvl w:ilvl="7">
      <w:start w:val="1"/>
      <w:numFmt w:val="bullet"/>
      <w:lvlText w:val="•"/>
      <w:lvlJc w:val="left"/>
      <w:pPr>
        <w:ind w:left="2838" w:hanging="360"/>
      </w:pPr>
      <w:rPr>
        <w:rFonts w:hint="default"/>
      </w:rPr>
    </w:lvl>
    <w:lvl w:ilvl="8">
      <w:start w:val="1"/>
      <w:numFmt w:val="bullet"/>
      <w:lvlText w:val="•"/>
      <w:lvlJc w:val="left"/>
      <w:pPr>
        <w:ind w:left="3177" w:hanging="360"/>
      </w:pPr>
      <w:rPr>
        <w:rFonts w:hint="default"/>
      </w:rPr>
    </w:lvl>
  </w:abstractNum>
  <w:abstractNum w:abstractNumId="10">
    <w:multiLevelType w:val="hybridMultilevel"/>
    <w:lvl w:ilvl="0">
      <w:start w:val="1"/>
      <w:numFmt w:val="bullet"/>
      <w:lvlText w:val="•"/>
      <w:lvlJc w:val="left"/>
      <w:pPr>
        <w:ind w:left="463" w:hanging="360"/>
      </w:pPr>
      <w:rPr>
        <w:rFonts w:hint="default" w:ascii="Trebuchet MS" w:hAnsi="Trebuchet MS" w:eastAsia="Trebuchet MS" w:cs="Trebuchet MS"/>
        <w:w w:val="95"/>
        <w:sz w:val="16"/>
        <w:szCs w:val="16"/>
      </w:rPr>
    </w:lvl>
    <w:lvl w:ilvl="1">
      <w:start w:val="1"/>
      <w:numFmt w:val="bullet"/>
      <w:lvlText w:val="•"/>
      <w:lvlJc w:val="left"/>
      <w:pPr>
        <w:ind w:left="799" w:hanging="360"/>
      </w:pPr>
      <w:rPr>
        <w:rFonts w:hint="default"/>
      </w:rPr>
    </w:lvl>
    <w:lvl w:ilvl="2">
      <w:start w:val="1"/>
      <w:numFmt w:val="bullet"/>
      <w:lvlText w:val="•"/>
      <w:lvlJc w:val="left"/>
      <w:pPr>
        <w:ind w:left="1139" w:hanging="360"/>
      </w:pPr>
      <w:rPr>
        <w:rFonts w:hint="default"/>
      </w:rPr>
    </w:lvl>
    <w:lvl w:ilvl="3">
      <w:start w:val="1"/>
      <w:numFmt w:val="bullet"/>
      <w:lvlText w:val="•"/>
      <w:lvlJc w:val="left"/>
      <w:pPr>
        <w:ind w:left="1479" w:hanging="360"/>
      </w:pPr>
      <w:rPr>
        <w:rFonts w:hint="default"/>
      </w:rPr>
    </w:lvl>
    <w:lvl w:ilvl="4">
      <w:start w:val="1"/>
      <w:numFmt w:val="bullet"/>
      <w:lvlText w:val="•"/>
      <w:lvlJc w:val="left"/>
      <w:pPr>
        <w:ind w:left="1818" w:hanging="360"/>
      </w:pPr>
      <w:rPr>
        <w:rFonts w:hint="default"/>
      </w:rPr>
    </w:lvl>
    <w:lvl w:ilvl="5">
      <w:start w:val="1"/>
      <w:numFmt w:val="bullet"/>
      <w:lvlText w:val="•"/>
      <w:lvlJc w:val="left"/>
      <w:pPr>
        <w:ind w:left="2158" w:hanging="360"/>
      </w:pPr>
      <w:rPr>
        <w:rFonts w:hint="default"/>
      </w:rPr>
    </w:lvl>
    <w:lvl w:ilvl="6">
      <w:start w:val="1"/>
      <w:numFmt w:val="bullet"/>
      <w:lvlText w:val="•"/>
      <w:lvlJc w:val="left"/>
      <w:pPr>
        <w:ind w:left="2498" w:hanging="360"/>
      </w:pPr>
      <w:rPr>
        <w:rFonts w:hint="default"/>
      </w:rPr>
    </w:lvl>
    <w:lvl w:ilvl="7">
      <w:start w:val="1"/>
      <w:numFmt w:val="bullet"/>
      <w:lvlText w:val="•"/>
      <w:lvlJc w:val="left"/>
      <w:pPr>
        <w:ind w:left="2838" w:hanging="360"/>
      </w:pPr>
      <w:rPr>
        <w:rFonts w:hint="default"/>
      </w:rPr>
    </w:lvl>
    <w:lvl w:ilvl="8">
      <w:start w:val="1"/>
      <w:numFmt w:val="bullet"/>
      <w:lvlText w:val="•"/>
      <w:lvlJc w:val="left"/>
      <w:pPr>
        <w:ind w:left="3177" w:hanging="360"/>
      </w:pPr>
      <w:rPr>
        <w:rFonts w:hint="default"/>
      </w:rPr>
    </w:lvl>
  </w:abstractNum>
  <w:abstractNum w:abstractNumId="9">
    <w:multiLevelType w:val="hybridMultilevel"/>
    <w:lvl w:ilvl="0">
      <w:start w:val="1"/>
      <w:numFmt w:val="bullet"/>
      <w:lvlText w:val="•"/>
      <w:lvlJc w:val="left"/>
      <w:pPr>
        <w:ind w:left="463" w:hanging="360"/>
      </w:pPr>
      <w:rPr>
        <w:rFonts w:hint="default" w:ascii="Trebuchet MS" w:hAnsi="Trebuchet MS" w:eastAsia="Trebuchet MS" w:cs="Trebuchet MS"/>
        <w:w w:val="95"/>
        <w:sz w:val="16"/>
        <w:szCs w:val="16"/>
      </w:rPr>
    </w:lvl>
    <w:lvl w:ilvl="1">
      <w:start w:val="1"/>
      <w:numFmt w:val="bullet"/>
      <w:lvlText w:val="•"/>
      <w:lvlJc w:val="left"/>
      <w:pPr>
        <w:ind w:left="799" w:hanging="360"/>
      </w:pPr>
      <w:rPr>
        <w:rFonts w:hint="default"/>
      </w:rPr>
    </w:lvl>
    <w:lvl w:ilvl="2">
      <w:start w:val="1"/>
      <w:numFmt w:val="bullet"/>
      <w:lvlText w:val="•"/>
      <w:lvlJc w:val="left"/>
      <w:pPr>
        <w:ind w:left="1139" w:hanging="360"/>
      </w:pPr>
      <w:rPr>
        <w:rFonts w:hint="default"/>
      </w:rPr>
    </w:lvl>
    <w:lvl w:ilvl="3">
      <w:start w:val="1"/>
      <w:numFmt w:val="bullet"/>
      <w:lvlText w:val="•"/>
      <w:lvlJc w:val="left"/>
      <w:pPr>
        <w:ind w:left="1479" w:hanging="360"/>
      </w:pPr>
      <w:rPr>
        <w:rFonts w:hint="default"/>
      </w:rPr>
    </w:lvl>
    <w:lvl w:ilvl="4">
      <w:start w:val="1"/>
      <w:numFmt w:val="bullet"/>
      <w:lvlText w:val="•"/>
      <w:lvlJc w:val="left"/>
      <w:pPr>
        <w:ind w:left="1818" w:hanging="360"/>
      </w:pPr>
      <w:rPr>
        <w:rFonts w:hint="default"/>
      </w:rPr>
    </w:lvl>
    <w:lvl w:ilvl="5">
      <w:start w:val="1"/>
      <w:numFmt w:val="bullet"/>
      <w:lvlText w:val="•"/>
      <w:lvlJc w:val="left"/>
      <w:pPr>
        <w:ind w:left="2158" w:hanging="360"/>
      </w:pPr>
      <w:rPr>
        <w:rFonts w:hint="default"/>
      </w:rPr>
    </w:lvl>
    <w:lvl w:ilvl="6">
      <w:start w:val="1"/>
      <w:numFmt w:val="bullet"/>
      <w:lvlText w:val="•"/>
      <w:lvlJc w:val="left"/>
      <w:pPr>
        <w:ind w:left="2498" w:hanging="360"/>
      </w:pPr>
      <w:rPr>
        <w:rFonts w:hint="default"/>
      </w:rPr>
    </w:lvl>
    <w:lvl w:ilvl="7">
      <w:start w:val="1"/>
      <w:numFmt w:val="bullet"/>
      <w:lvlText w:val="•"/>
      <w:lvlJc w:val="left"/>
      <w:pPr>
        <w:ind w:left="2838" w:hanging="360"/>
      </w:pPr>
      <w:rPr>
        <w:rFonts w:hint="default"/>
      </w:rPr>
    </w:lvl>
    <w:lvl w:ilvl="8">
      <w:start w:val="1"/>
      <w:numFmt w:val="bullet"/>
      <w:lvlText w:val="•"/>
      <w:lvlJc w:val="left"/>
      <w:pPr>
        <w:ind w:left="3177" w:hanging="360"/>
      </w:pPr>
      <w:rPr>
        <w:rFonts w:hint="default"/>
      </w:rPr>
    </w:lvl>
  </w:abstractNum>
  <w:abstractNum w:abstractNumId="8">
    <w:multiLevelType w:val="hybridMultilevel"/>
    <w:lvl w:ilvl="0">
      <w:start w:val="1"/>
      <w:numFmt w:val="bullet"/>
      <w:lvlText w:val="•"/>
      <w:lvlJc w:val="left"/>
      <w:pPr>
        <w:ind w:left="463" w:hanging="360"/>
      </w:pPr>
      <w:rPr>
        <w:rFonts w:hint="default" w:ascii="Trebuchet MS" w:hAnsi="Trebuchet MS" w:eastAsia="Trebuchet MS" w:cs="Trebuchet MS"/>
        <w:w w:val="95"/>
        <w:sz w:val="16"/>
        <w:szCs w:val="16"/>
      </w:rPr>
    </w:lvl>
    <w:lvl w:ilvl="1">
      <w:start w:val="1"/>
      <w:numFmt w:val="bullet"/>
      <w:lvlText w:val="•"/>
      <w:lvlJc w:val="left"/>
      <w:pPr>
        <w:ind w:left="799" w:hanging="360"/>
      </w:pPr>
      <w:rPr>
        <w:rFonts w:hint="default"/>
      </w:rPr>
    </w:lvl>
    <w:lvl w:ilvl="2">
      <w:start w:val="1"/>
      <w:numFmt w:val="bullet"/>
      <w:lvlText w:val="•"/>
      <w:lvlJc w:val="left"/>
      <w:pPr>
        <w:ind w:left="1139" w:hanging="360"/>
      </w:pPr>
      <w:rPr>
        <w:rFonts w:hint="default"/>
      </w:rPr>
    </w:lvl>
    <w:lvl w:ilvl="3">
      <w:start w:val="1"/>
      <w:numFmt w:val="bullet"/>
      <w:lvlText w:val="•"/>
      <w:lvlJc w:val="left"/>
      <w:pPr>
        <w:ind w:left="1479" w:hanging="360"/>
      </w:pPr>
      <w:rPr>
        <w:rFonts w:hint="default"/>
      </w:rPr>
    </w:lvl>
    <w:lvl w:ilvl="4">
      <w:start w:val="1"/>
      <w:numFmt w:val="bullet"/>
      <w:lvlText w:val="•"/>
      <w:lvlJc w:val="left"/>
      <w:pPr>
        <w:ind w:left="1818" w:hanging="360"/>
      </w:pPr>
      <w:rPr>
        <w:rFonts w:hint="default"/>
      </w:rPr>
    </w:lvl>
    <w:lvl w:ilvl="5">
      <w:start w:val="1"/>
      <w:numFmt w:val="bullet"/>
      <w:lvlText w:val="•"/>
      <w:lvlJc w:val="left"/>
      <w:pPr>
        <w:ind w:left="2158" w:hanging="360"/>
      </w:pPr>
      <w:rPr>
        <w:rFonts w:hint="default"/>
      </w:rPr>
    </w:lvl>
    <w:lvl w:ilvl="6">
      <w:start w:val="1"/>
      <w:numFmt w:val="bullet"/>
      <w:lvlText w:val="•"/>
      <w:lvlJc w:val="left"/>
      <w:pPr>
        <w:ind w:left="2498" w:hanging="360"/>
      </w:pPr>
      <w:rPr>
        <w:rFonts w:hint="default"/>
      </w:rPr>
    </w:lvl>
    <w:lvl w:ilvl="7">
      <w:start w:val="1"/>
      <w:numFmt w:val="bullet"/>
      <w:lvlText w:val="•"/>
      <w:lvlJc w:val="left"/>
      <w:pPr>
        <w:ind w:left="2838" w:hanging="360"/>
      </w:pPr>
      <w:rPr>
        <w:rFonts w:hint="default"/>
      </w:rPr>
    </w:lvl>
    <w:lvl w:ilvl="8">
      <w:start w:val="1"/>
      <w:numFmt w:val="bullet"/>
      <w:lvlText w:val="•"/>
      <w:lvlJc w:val="left"/>
      <w:pPr>
        <w:ind w:left="3177" w:hanging="360"/>
      </w:pPr>
      <w:rPr>
        <w:rFonts w:hint="default"/>
      </w:rPr>
    </w:lvl>
  </w:abstractNum>
  <w:abstractNum w:abstractNumId="7">
    <w:multiLevelType w:val="hybridMultilevel"/>
    <w:lvl w:ilvl="0">
      <w:start w:val="1"/>
      <w:numFmt w:val="bullet"/>
      <w:lvlText w:val="•"/>
      <w:lvlJc w:val="left"/>
      <w:pPr>
        <w:ind w:left="468" w:hanging="360"/>
      </w:pPr>
      <w:rPr>
        <w:rFonts w:hint="default" w:ascii="Trebuchet MS" w:hAnsi="Trebuchet MS" w:eastAsia="Trebuchet MS" w:cs="Trebuchet MS"/>
        <w:w w:val="95"/>
        <w:sz w:val="16"/>
        <w:szCs w:val="16"/>
      </w:rPr>
    </w:lvl>
    <w:lvl w:ilvl="1">
      <w:start w:val="1"/>
      <w:numFmt w:val="bullet"/>
      <w:lvlText w:val="•"/>
      <w:lvlJc w:val="left"/>
      <w:pPr>
        <w:ind w:left="801" w:hanging="360"/>
      </w:pPr>
      <w:rPr>
        <w:rFonts w:hint="default"/>
      </w:rPr>
    </w:lvl>
    <w:lvl w:ilvl="2">
      <w:start w:val="1"/>
      <w:numFmt w:val="bullet"/>
      <w:lvlText w:val="•"/>
      <w:lvlJc w:val="left"/>
      <w:pPr>
        <w:ind w:left="1143" w:hanging="360"/>
      </w:pPr>
      <w:rPr>
        <w:rFonts w:hint="default"/>
      </w:rPr>
    </w:lvl>
    <w:lvl w:ilvl="3">
      <w:start w:val="1"/>
      <w:numFmt w:val="bullet"/>
      <w:lvlText w:val="•"/>
      <w:lvlJc w:val="left"/>
      <w:pPr>
        <w:ind w:left="1485" w:hanging="360"/>
      </w:pPr>
      <w:rPr>
        <w:rFonts w:hint="default"/>
      </w:rPr>
    </w:lvl>
    <w:lvl w:ilvl="4">
      <w:start w:val="1"/>
      <w:numFmt w:val="bullet"/>
      <w:lvlText w:val="•"/>
      <w:lvlJc w:val="left"/>
      <w:pPr>
        <w:ind w:left="1826" w:hanging="360"/>
      </w:pPr>
      <w:rPr>
        <w:rFonts w:hint="default"/>
      </w:rPr>
    </w:lvl>
    <w:lvl w:ilvl="5">
      <w:start w:val="1"/>
      <w:numFmt w:val="bullet"/>
      <w:lvlText w:val="•"/>
      <w:lvlJc w:val="left"/>
      <w:pPr>
        <w:ind w:left="2168" w:hanging="360"/>
      </w:pPr>
      <w:rPr>
        <w:rFonts w:hint="default"/>
      </w:rPr>
    </w:lvl>
    <w:lvl w:ilvl="6">
      <w:start w:val="1"/>
      <w:numFmt w:val="bullet"/>
      <w:lvlText w:val="•"/>
      <w:lvlJc w:val="left"/>
      <w:pPr>
        <w:ind w:left="2510" w:hanging="360"/>
      </w:pPr>
      <w:rPr>
        <w:rFonts w:hint="default"/>
      </w:rPr>
    </w:lvl>
    <w:lvl w:ilvl="7">
      <w:start w:val="1"/>
      <w:numFmt w:val="bullet"/>
      <w:lvlText w:val="•"/>
      <w:lvlJc w:val="left"/>
      <w:pPr>
        <w:ind w:left="2852" w:hanging="360"/>
      </w:pPr>
      <w:rPr>
        <w:rFonts w:hint="default"/>
      </w:rPr>
    </w:lvl>
    <w:lvl w:ilvl="8">
      <w:start w:val="1"/>
      <w:numFmt w:val="bullet"/>
      <w:lvlText w:val="•"/>
      <w:lvlJc w:val="left"/>
      <w:pPr>
        <w:ind w:left="3193" w:hanging="360"/>
      </w:pPr>
      <w:rPr>
        <w:rFonts w:hint="default"/>
      </w:rPr>
    </w:lvl>
  </w:abstractNum>
  <w:abstractNum w:abstractNumId="6">
    <w:multiLevelType w:val="hybridMultilevel"/>
    <w:lvl w:ilvl="0">
      <w:start w:val="1"/>
      <w:numFmt w:val="bullet"/>
      <w:lvlText w:val="•"/>
      <w:lvlJc w:val="left"/>
      <w:pPr>
        <w:ind w:left="468" w:hanging="360"/>
      </w:pPr>
      <w:rPr>
        <w:rFonts w:hint="default" w:ascii="Trebuchet MS" w:hAnsi="Trebuchet MS" w:eastAsia="Trebuchet MS" w:cs="Trebuchet MS"/>
        <w:w w:val="95"/>
        <w:sz w:val="16"/>
        <w:szCs w:val="16"/>
      </w:rPr>
    </w:lvl>
    <w:lvl w:ilvl="1">
      <w:start w:val="1"/>
      <w:numFmt w:val="bullet"/>
      <w:lvlText w:val="•"/>
      <w:lvlJc w:val="left"/>
      <w:pPr>
        <w:ind w:left="801" w:hanging="360"/>
      </w:pPr>
      <w:rPr>
        <w:rFonts w:hint="default"/>
      </w:rPr>
    </w:lvl>
    <w:lvl w:ilvl="2">
      <w:start w:val="1"/>
      <w:numFmt w:val="bullet"/>
      <w:lvlText w:val="•"/>
      <w:lvlJc w:val="left"/>
      <w:pPr>
        <w:ind w:left="1143" w:hanging="360"/>
      </w:pPr>
      <w:rPr>
        <w:rFonts w:hint="default"/>
      </w:rPr>
    </w:lvl>
    <w:lvl w:ilvl="3">
      <w:start w:val="1"/>
      <w:numFmt w:val="bullet"/>
      <w:lvlText w:val="•"/>
      <w:lvlJc w:val="left"/>
      <w:pPr>
        <w:ind w:left="1485" w:hanging="360"/>
      </w:pPr>
      <w:rPr>
        <w:rFonts w:hint="default"/>
      </w:rPr>
    </w:lvl>
    <w:lvl w:ilvl="4">
      <w:start w:val="1"/>
      <w:numFmt w:val="bullet"/>
      <w:lvlText w:val="•"/>
      <w:lvlJc w:val="left"/>
      <w:pPr>
        <w:ind w:left="1826" w:hanging="360"/>
      </w:pPr>
      <w:rPr>
        <w:rFonts w:hint="default"/>
      </w:rPr>
    </w:lvl>
    <w:lvl w:ilvl="5">
      <w:start w:val="1"/>
      <w:numFmt w:val="bullet"/>
      <w:lvlText w:val="•"/>
      <w:lvlJc w:val="left"/>
      <w:pPr>
        <w:ind w:left="2168" w:hanging="360"/>
      </w:pPr>
      <w:rPr>
        <w:rFonts w:hint="default"/>
      </w:rPr>
    </w:lvl>
    <w:lvl w:ilvl="6">
      <w:start w:val="1"/>
      <w:numFmt w:val="bullet"/>
      <w:lvlText w:val="•"/>
      <w:lvlJc w:val="left"/>
      <w:pPr>
        <w:ind w:left="2510" w:hanging="360"/>
      </w:pPr>
      <w:rPr>
        <w:rFonts w:hint="default"/>
      </w:rPr>
    </w:lvl>
    <w:lvl w:ilvl="7">
      <w:start w:val="1"/>
      <w:numFmt w:val="bullet"/>
      <w:lvlText w:val="•"/>
      <w:lvlJc w:val="left"/>
      <w:pPr>
        <w:ind w:left="2852" w:hanging="360"/>
      </w:pPr>
      <w:rPr>
        <w:rFonts w:hint="default"/>
      </w:rPr>
    </w:lvl>
    <w:lvl w:ilvl="8">
      <w:start w:val="1"/>
      <w:numFmt w:val="bullet"/>
      <w:lvlText w:val="•"/>
      <w:lvlJc w:val="left"/>
      <w:pPr>
        <w:ind w:left="3193" w:hanging="360"/>
      </w:pPr>
      <w:rPr>
        <w:rFonts w:hint="default"/>
      </w:rPr>
    </w:lvl>
  </w:abstractNum>
  <w:abstractNum w:abstractNumId="5">
    <w:multiLevelType w:val="hybridMultilevel"/>
    <w:lvl w:ilvl="0">
      <w:start w:val="1"/>
      <w:numFmt w:val="bullet"/>
      <w:lvlText w:val="*"/>
      <w:lvlJc w:val="left"/>
      <w:pPr>
        <w:ind w:left="127" w:hanging="550"/>
      </w:pPr>
      <w:rPr>
        <w:rFonts w:hint="default" w:ascii="Arial" w:hAnsi="Arial" w:eastAsia="Arial" w:cs="Arial"/>
        <w:b/>
        <w:bCs/>
        <w:i/>
        <w:w w:val="104"/>
        <w:sz w:val="20"/>
        <w:szCs w:val="20"/>
      </w:rPr>
    </w:lvl>
    <w:lvl w:ilvl="1">
      <w:start w:val="1"/>
      <w:numFmt w:val="bullet"/>
      <w:lvlText w:val="•"/>
      <w:lvlJc w:val="left"/>
      <w:pPr>
        <w:ind w:left="904" w:hanging="550"/>
      </w:pPr>
      <w:rPr>
        <w:rFonts w:hint="default"/>
      </w:rPr>
    </w:lvl>
    <w:lvl w:ilvl="2">
      <w:start w:val="1"/>
      <w:numFmt w:val="bullet"/>
      <w:lvlText w:val="•"/>
      <w:lvlJc w:val="left"/>
      <w:pPr>
        <w:ind w:left="1689" w:hanging="550"/>
      </w:pPr>
      <w:rPr>
        <w:rFonts w:hint="default"/>
      </w:rPr>
    </w:lvl>
    <w:lvl w:ilvl="3">
      <w:start w:val="1"/>
      <w:numFmt w:val="bullet"/>
      <w:lvlText w:val="•"/>
      <w:lvlJc w:val="left"/>
      <w:pPr>
        <w:ind w:left="2474" w:hanging="550"/>
      </w:pPr>
      <w:rPr>
        <w:rFonts w:hint="default"/>
      </w:rPr>
    </w:lvl>
    <w:lvl w:ilvl="4">
      <w:start w:val="1"/>
      <w:numFmt w:val="bullet"/>
      <w:lvlText w:val="•"/>
      <w:lvlJc w:val="left"/>
      <w:pPr>
        <w:ind w:left="3258" w:hanging="550"/>
      </w:pPr>
      <w:rPr>
        <w:rFonts w:hint="default"/>
      </w:rPr>
    </w:lvl>
    <w:lvl w:ilvl="5">
      <w:start w:val="1"/>
      <w:numFmt w:val="bullet"/>
      <w:lvlText w:val="•"/>
      <w:lvlJc w:val="left"/>
      <w:pPr>
        <w:ind w:left="4043" w:hanging="550"/>
      </w:pPr>
      <w:rPr>
        <w:rFonts w:hint="default"/>
      </w:rPr>
    </w:lvl>
    <w:lvl w:ilvl="6">
      <w:start w:val="1"/>
      <w:numFmt w:val="bullet"/>
      <w:lvlText w:val="•"/>
      <w:lvlJc w:val="left"/>
      <w:pPr>
        <w:ind w:left="4828" w:hanging="550"/>
      </w:pPr>
      <w:rPr>
        <w:rFonts w:hint="default"/>
      </w:rPr>
    </w:lvl>
    <w:lvl w:ilvl="7">
      <w:start w:val="1"/>
      <w:numFmt w:val="bullet"/>
      <w:lvlText w:val="•"/>
      <w:lvlJc w:val="left"/>
      <w:pPr>
        <w:ind w:left="5613" w:hanging="550"/>
      </w:pPr>
      <w:rPr>
        <w:rFonts w:hint="default"/>
      </w:rPr>
    </w:lvl>
    <w:lvl w:ilvl="8">
      <w:start w:val="1"/>
      <w:numFmt w:val="bullet"/>
      <w:lvlText w:val="•"/>
      <w:lvlJc w:val="left"/>
      <w:pPr>
        <w:ind w:left="6397" w:hanging="550"/>
      </w:pPr>
      <w:rPr>
        <w:rFonts w:hint="default"/>
      </w:rPr>
    </w:lvl>
  </w:abstractNum>
  <w:abstractNum w:abstractNumId="4">
    <w:multiLevelType w:val="hybridMultilevel"/>
    <w:lvl w:ilvl="0">
      <w:start w:val="1"/>
      <w:numFmt w:val="bullet"/>
      <w:lvlText w:val="*"/>
      <w:lvlJc w:val="left"/>
      <w:pPr>
        <w:ind w:left="858" w:hanging="550"/>
      </w:pPr>
      <w:rPr>
        <w:rFonts w:hint="default" w:ascii="Arial" w:hAnsi="Arial" w:eastAsia="Arial" w:cs="Arial"/>
        <w:b/>
        <w:bCs/>
        <w:w w:val="104"/>
        <w:sz w:val="24"/>
        <w:szCs w:val="24"/>
      </w:rPr>
    </w:lvl>
    <w:lvl w:ilvl="1">
      <w:start w:val="1"/>
      <w:numFmt w:val="bullet"/>
      <w:lvlText w:val="•"/>
      <w:lvlJc w:val="left"/>
      <w:pPr>
        <w:ind w:left="1571" w:hanging="550"/>
      </w:pPr>
      <w:rPr>
        <w:rFonts w:hint="default"/>
      </w:rPr>
    </w:lvl>
    <w:lvl w:ilvl="2">
      <w:start w:val="1"/>
      <w:numFmt w:val="bullet"/>
      <w:lvlText w:val="•"/>
      <w:lvlJc w:val="left"/>
      <w:pPr>
        <w:ind w:left="2283" w:hanging="550"/>
      </w:pPr>
      <w:rPr>
        <w:rFonts w:hint="default"/>
      </w:rPr>
    </w:lvl>
    <w:lvl w:ilvl="3">
      <w:start w:val="1"/>
      <w:numFmt w:val="bullet"/>
      <w:lvlText w:val="•"/>
      <w:lvlJc w:val="left"/>
      <w:pPr>
        <w:ind w:left="2995" w:hanging="550"/>
      </w:pPr>
      <w:rPr>
        <w:rFonts w:hint="default"/>
      </w:rPr>
    </w:lvl>
    <w:lvl w:ilvl="4">
      <w:start w:val="1"/>
      <w:numFmt w:val="bullet"/>
      <w:lvlText w:val="•"/>
      <w:lvlJc w:val="left"/>
      <w:pPr>
        <w:ind w:left="3707" w:hanging="550"/>
      </w:pPr>
      <w:rPr>
        <w:rFonts w:hint="default"/>
      </w:rPr>
    </w:lvl>
    <w:lvl w:ilvl="5">
      <w:start w:val="1"/>
      <w:numFmt w:val="bullet"/>
      <w:lvlText w:val="•"/>
      <w:lvlJc w:val="left"/>
      <w:pPr>
        <w:ind w:left="4419" w:hanging="550"/>
      </w:pPr>
      <w:rPr>
        <w:rFonts w:hint="default"/>
      </w:rPr>
    </w:lvl>
    <w:lvl w:ilvl="6">
      <w:start w:val="1"/>
      <w:numFmt w:val="bullet"/>
      <w:lvlText w:val="•"/>
      <w:lvlJc w:val="left"/>
      <w:pPr>
        <w:ind w:left="5131" w:hanging="550"/>
      </w:pPr>
      <w:rPr>
        <w:rFonts w:hint="default"/>
      </w:rPr>
    </w:lvl>
    <w:lvl w:ilvl="7">
      <w:start w:val="1"/>
      <w:numFmt w:val="bullet"/>
      <w:lvlText w:val="•"/>
      <w:lvlJc w:val="left"/>
      <w:pPr>
        <w:ind w:left="5843" w:hanging="550"/>
      </w:pPr>
      <w:rPr>
        <w:rFonts w:hint="default"/>
      </w:rPr>
    </w:lvl>
    <w:lvl w:ilvl="8">
      <w:start w:val="1"/>
      <w:numFmt w:val="bullet"/>
      <w:lvlText w:val="•"/>
      <w:lvlJc w:val="left"/>
      <w:pPr>
        <w:ind w:left="6555" w:hanging="550"/>
      </w:pPr>
      <w:rPr>
        <w:rFonts w:hint="default"/>
      </w:rPr>
    </w:lvl>
  </w:abstractNum>
  <w:abstractNum w:abstractNumId="3">
    <w:multiLevelType w:val="hybridMultilevel"/>
    <w:lvl w:ilvl="0">
      <w:start w:val="1"/>
      <w:numFmt w:val="bullet"/>
      <w:lvlText w:val="•"/>
      <w:lvlJc w:val="left"/>
      <w:pPr>
        <w:ind w:left="490" w:hanging="360"/>
      </w:pPr>
      <w:rPr>
        <w:rFonts w:hint="default" w:ascii="Trebuchet MS" w:hAnsi="Trebuchet MS" w:eastAsia="Trebuchet MS" w:cs="Trebuchet MS"/>
        <w:w w:val="95"/>
        <w:sz w:val="20"/>
        <w:szCs w:val="20"/>
      </w:rPr>
    </w:lvl>
    <w:lvl w:ilvl="1">
      <w:start w:val="1"/>
      <w:numFmt w:val="bullet"/>
      <w:lvlText w:val="•"/>
      <w:lvlJc w:val="left"/>
      <w:pPr>
        <w:ind w:left="660" w:hanging="360"/>
      </w:pPr>
      <w:rPr>
        <w:rFonts w:hint="default" w:ascii="Trebuchet MS" w:hAnsi="Trebuchet MS" w:eastAsia="Trebuchet MS" w:cs="Trebuchet MS"/>
        <w:w w:val="95"/>
        <w:sz w:val="20"/>
        <w:szCs w:val="20"/>
      </w:rPr>
    </w:lvl>
    <w:lvl w:ilvl="2">
      <w:start w:val="1"/>
      <w:numFmt w:val="bullet"/>
      <w:lvlText w:val="•"/>
      <w:lvlJc w:val="left"/>
      <w:pPr>
        <w:ind w:left="412" w:hanging="360"/>
      </w:pPr>
      <w:rPr>
        <w:rFonts w:hint="default"/>
      </w:rPr>
    </w:lvl>
    <w:lvl w:ilvl="3">
      <w:start w:val="1"/>
      <w:numFmt w:val="bullet"/>
      <w:lvlText w:val="•"/>
      <w:lvlJc w:val="left"/>
      <w:pPr>
        <w:ind w:left="165" w:hanging="360"/>
      </w:pPr>
      <w:rPr>
        <w:rFonts w:hint="default"/>
      </w:rPr>
    </w:lvl>
    <w:lvl w:ilvl="4">
      <w:start w:val="1"/>
      <w:numFmt w:val="bullet"/>
      <w:lvlText w:val="•"/>
      <w:lvlJc w:val="left"/>
      <w:pPr>
        <w:ind w:left="-82" w:hanging="360"/>
      </w:pPr>
      <w:rPr>
        <w:rFonts w:hint="default"/>
      </w:rPr>
    </w:lvl>
    <w:lvl w:ilvl="5">
      <w:start w:val="1"/>
      <w:numFmt w:val="bullet"/>
      <w:lvlText w:val="•"/>
      <w:lvlJc w:val="left"/>
      <w:pPr>
        <w:ind w:left="-329" w:hanging="360"/>
      </w:pPr>
      <w:rPr>
        <w:rFonts w:hint="default"/>
      </w:rPr>
    </w:lvl>
    <w:lvl w:ilvl="6">
      <w:start w:val="1"/>
      <w:numFmt w:val="bullet"/>
      <w:lvlText w:val="•"/>
      <w:lvlJc w:val="left"/>
      <w:pPr>
        <w:ind w:left="-576" w:hanging="360"/>
      </w:pPr>
      <w:rPr>
        <w:rFonts w:hint="default"/>
      </w:rPr>
    </w:lvl>
    <w:lvl w:ilvl="7">
      <w:start w:val="1"/>
      <w:numFmt w:val="bullet"/>
      <w:lvlText w:val="•"/>
      <w:lvlJc w:val="left"/>
      <w:pPr>
        <w:ind w:left="-823" w:hanging="360"/>
      </w:pPr>
      <w:rPr>
        <w:rFonts w:hint="default"/>
      </w:rPr>
    </w:lvl>
    <w:lvl w:ilvl="8">
      <w:start w:val="1"/>
      <w:numFmt w:val="bullet"/>
      <w:lvlText w:val="•"/>
      <w:lvlJc w:val="left"/>
      <w:pPr>
        <w:ind w:left="-1070" w:hanging="360"/>
      </w:pPr>
      <w:rPr>
        <w:rFonts w:hint="default"/>
      </w:rPr>
    </w:lvl>
  </w:abstractNum>
  <w:abstractNum w:abstractNumId="2">
    <w:multiLevelType w:val="hybridMultilevel"/>
    <w:lvl w:ilvl="0">
      <w:start w:val="1"/>
      <w:numFmt w:val="decimal"/>
      <w:lvlText w:val="%1."/>
      <w:lvlJc w:val="left"/>
      <w:pPr>
        <w:ind w:left="668" w:hanging="360"/>
        <w:jc w:val="left"/>
      </w:pPr>
      <w:rPr>
        <w:rFonts w:hint="default" w:ascii="Arial" w:hAnsi="Arial" w:eastAsia="Arial" w:cs="Arial"/>
        <w:spacing w:val="-2"/>
        <w:w w:val="98"/>
        <w:sz w:val="20"/>
        <w:szCs w:val="20"/>
      </w:rPr>
    </w:lvl>
    <w:lvl w:ilvl="1">
      <w:start w:val="1"/>
      <w:numFmt w:val="bullet"/>
      <w:lvlText w:val="•"/>
      <w:lvlJc w:val="left"/>
      <w:pPr>
        <w:ind w:left="1378" w:hanging="360"/>
      </w:pPr>
      <w:rPr>
        <w:rFonts w:hint="default"/>
      </w:rPr>
    </w:lvl>
    <w:lvl w:ilvl="2">
      <w:start w:val="1"/>
      <w:numFmt w:val="bullet"/>
      <w:lvlText w:val="•"/>
      <w:lvlJc w:val="left"/>
      <w:pPr>
        <w:ind w:left="2097" w:hanging="360"/>
      </w:pPr>
      <w:rPr>
        <w:rFonts w:hint="default"/>
      </w:rPr>
    </w:lvl>
    <w:lvl w:ilvl="3">
      <w:start w:val="1"/>
      <w:numFmt w:val="bullet"/>
      <w:lvlText w:val="•"/>
      <w:lvlJc w:val="left"/>
      <w:pPr>
        <w:ind w:left="2816" w:hanging="360"/>
      </w:pPr>
      <w:rPr>
        <w:rFonts w:hint="default"/>
      </w:rPr>
    </w:lvl>
    <w:lvl w:ilvl="4">
      <w:start w:val="1"/>
      <w:numFmt w:val="bullet"/>
      <w:lvlText w:val="•"/>
      <w:lvlJc w:val="left"/>
      <w:pPr>
        <w:ind w:left="3535" w:hanging="360"/>
      </w:pPr>
      <w:rPr>
        <w:rFonts w:hint="default"/>
      </w:rPr>
    </w:lvl>
    <w:lvl w:ilvl="5">
      <w:start w:val="1"/>
      <w:numFmt w:val="bullet"/>
      <w:lvlText w:val="•"/>
      <w:lvlJc w:val="left"/>
      <w:pPr>
        <w:ind w:left="4254" w:hanging="360"/>
      </w:pPr>
      <w:rPr>
        <w:rFonts w:hint="default"/>
      </w:rPr>
    </w:lvl>
    <w:lvl w:ilvl="6">
      <w:start w:val="1"/>
      <w:numFmt w:val="bullet"/>
      <w:lvlText w:val="•"/>
      <w:lvlJc w:val="left"/>
      <w:pPr>
        <w:ind w:left="4973" w:hanging="360"/>
      </w:pPr>
      <w:rPr>
        <w:rFonts w:hint="default"/>
      </w:rPr>
    </w:lvl>
    <w:lvl w:ilvl="7">
      <w:start w:val="1"/>
      <w:numFmt w:val="bullet"/>
      <w:lvlText w:val="•"/>
      <w:lvlJc w:val="left"/>
      <w:pPr>
        <w:ind w:left="5692" w:hanging="360"/>
      </w:pPr>
      <w:rPr>
        <w:rFonts w:hint="default"/>
      </w:rPr>
    </w:lvl>
    <w:lvl w:ilvl="8">
      <w:start w:val="1"/>
      <w:numFmt w:val="bullet"/>
      <w:lvlText w:val="•"/>
      <w:lvlJc w:val="left"/>
      <w:pPr>
        <w:ind w:left="6411" w:hanging="360"/>
      </w:pPr>
      <w:rPr>
        <w:rFonts w:hint="default"/>
      </w:rPr>
    </w:lvl>
  </w:abstractNum>
  <w:abstractNum w:abstractNumId="1">
    <w:multiLevelType w:val="hybridMultilevel"/>
    <w:lvl w:ilvl="0">
      <w:start w:val="13"/>
      <w:numFmt w:val="upperLetter"/>
      <w:lvlText w:val="%1."/>
      <w:lvlJc w:val="left"/>
      <w:pPr>
        <w:ind w:left="130" w:hanging="310"/>
        <w:jc w:val="left"/>
      </w:pPr>
      <w:rPr>
        <w:rFonts w:hint="default" w:ascii="Arial" w:hAnsi="Arial" w:eastAsia="Arial" w:cs="Arial"/>
        <w:w w:val="103"/>
        <w:sz w:val="20"/>
        <w:szCs w:val="20"/>
      </w:rPr>
    </w:lvl>
    <w:lvl w:ilvl="1">
      <w:start w:val="1"/>
      <w:numFmt w:val="decimal"/>
      <w:lvlText w:val="%2."/>
      <w:lvlJc w:val="left"/>
      <w:pPr>
        <w:ind w:left="668" w:hanging="360"/>
        <w:jc w:val="left"/>
      </w:pPr>
      <w:rPr>
        <w:rFonts w:hint="default" w:ascii="Arial" w:hAnsi="Arial" w:eastAsia="Arial" w:cs="Arial"/>
        <w:b/>
        <w:bCs/>
        <w:w w:val="100"/>
        <w:sz w:val="24"/>
        <w:szCs w:val="24"/>
      </w:rPr>
    </w:lvl>
    <w:lvl w:ilvl="2">
      <w:start w:val="1"/>
      <w:numFmt w:val="bullet"/>
      <w:lvlText w:val="•"/>
      <w:lvlJc w:val="left"/>
      <w:pPr>
        <w:ind w:left="760" w:hanging="360"/>
      </w:pPr>
      <w:rPr>
        <w:rFonts w:hint="default"/>
      </w:rPr>
    </w:lvl>
    <w:lvl w:ilvl="3">
      <w:start w:val="1"/>
      <w:numFmt w:val="bullet"/>
      <w:lvlText w:val="•"/>
      <w:lvlJc w:val="left"/>
      <w:pPr>
        <w:ind w:left="469" w:hanging="360"/>
      </w:pPr>
      <w:rPr>
        <w:rFonts w:hint="default"/>
      </w:rPr>
    </w:lvl>
    <w:lvl w:ilvl="4">
      <w:start w:val="1"/>
      <w:numFmt w:val="bullet"/>
      <w:lvlText w:val="•"/>
      <w:lvlJc w:val="left"/>
      <w:pPr>
        <w:ind w:left="179" w:hanging="360"/>
      </w:pPr>
      <w:rPr>
        <w:rFonts w:hint="default"/>
      </w:rPr>
    </w:lvl>
    <w:lvl w:ilvl="5">
      <w:start w:val="1"/>
      <w:numFmt w:val="bullet"/>
      <w:lvlText w:val="•"/>
      <w:lvlJc w:val="left"/>
      <w:pPr>
        <w:ind w:left="-111" w:hanging="360"/>
      </w:pPr>
      <w:rPr>
        <w:rFonts w:hint="default"/>
      </w:rPr>
    </w:lvl>
    <w:lvl w:ilvl="6">
      <w:start w:val="1"/>
      <w:numFmt w:val="bullet"/>
      <w:lvlText w:val="•"/>
      <w:lvlJc w:val="left"/>
      <w:pPr>
        <w:ind w:left="-401" w:hanging="360"/>
      </w:pPr>
      <w:rPr>
        <w:rFonts w:hint="default"/>
      </w:rPr>
    </w:lvl>
    <w:lvl w:ilvl="7">
      <w:start w:val="1"/>
      <w:numFmt w:val="bullet"/>
      <w:lvlText w:val="•"/>
      <w:lvlJc w:val="left"/>
      <w:pPr>
        <w:ind w:left="-691" w:hanging="360"/>
      </w:pPr>
      <w:rPr>
        <w:rFonts w:hint="default"/>
      </w:rPr>
    </w:lvl>
    <w:lvl w:ilvl="8">
      <w:start w:val="1"/>
      <w:numFmt w:val="bullet"/>
      <w:lvlText w:val="•"/>
      <w:lvlJc w:val="left"/>
      <w:pPr>
        <w:ind w:left="-982" w:hanging="360"/>
      </w:pPr>
      <w:rPr>
        <w:rFonts w:hint="default"/>
      </w:rPr>
    </w:lvl>
  </w:abstractNum>
  <w:abstractNum w:abstractNumId="0">
    <w:multiLevelType w:val="hybridMultilevel"/>
    <w:lvl w:ilvl="0">
      <w:start w:val="13"/>
      <w:numFmt w:val="upperLetter"/>
      <w:lvlText w:val="%1."/>
      <w:lvlJc w:val="left"/>
      <w:pPr>
        <w:ind w:left="7732" w:hanging="257"/>
        <w:jc w:val="left"/>
      </w:pPr>
      <w:rPr>
        <w:rFonts w:hint="default" w:ascii="Arial" w:hAnsi="Arial" w:eastAsia="Arial" w:cs="Arial"/>
        <w:w w:val="103"/>
        <w:sz w:val="18"/>
        <w:szCs w:val="18"/>
      </w:rPr>
    </w:lvl>
    <w:lvl w:ilvl="1">
      <w:start w:val="1"/>
      <w:numFmt w:val="decimal"/>
      <w:lvlText w:val="%2."/>
      <w:lvlJc w:val="left"/>
      <w:pPr>
        <w:ind w:left="113" w:hanging="223"/>
        <w:jc w:val="right"/>
      </w:pPr>
      <w:rPr>
        <w:rFonts w:hint="default" w:ascii="Arial" w:hAnsi="Arial" w:eastAsia="Arial" w:cs="Arial"/>
        <w:b/>
        <w:bCs/>
        <w:w w:val="93"/>
        <w:sz w:val="20"/>
        <w:szCs w:val="20"/>
      </w:rPr>
    </w:lvl>
    <w:lvl w:ilvl="2">
      <w:start w:val="1"/>
      <w:numFmt w:val="decimal"/>
      <w:lvlText w:val="%3."/>
      <w:lvlJc w:val="left"/>
      <w:pPr>
        <w:ind w:left="649" w:hanging="360"/>
        <w:jc w:val="left"/>
      </w:pPr>
      <w:rPr>
        <w:rFonts w:hint="default" w:ascii="Arial" w:hAnsi="Arial" w:eastAsia="Arial" w:cs="Arial"/>
        <w:spacing w:val="-19"/>
        <w:w w:val="93"/>
        <w:sz w:val="20"/>
        <w:szCs w:val="20"/>
      </w:rPr>
    </w:lvl>
    <w:lvl w:ilvl="3">
      <w:start w:val="1"/>
      <w:numFmt w:val="bullet"/>
      <w:lvlText w:val="•"/>
      <w:lvlJc w:val="left"/>
      <w:pPr>
        <w:ind w:left="7501" w:hanging="360"/>
      </w:pPr>
      <w:rPr>
        <w:rFonts w:hint="default"/>
      </w:rPr>
    </w:lvl>
    <w:lvl w:ilvl="4">
      <w:start w:val="1"/>
      <w:numFmt w:val="bullet"/>
      <w:lvlText w:val="•"/>
      <w:lvlJc w:val="left"/>
      <w:pPr>
        <w:ind w:left="7262" w:hanging="360"/>
      </w:pPr>
      <w:rPr>
        <w:rFonts w:hint="default"/>
      </w:rPr>
    </w:lvl>
    <w:lvl w:ilvl="5">
      <w:start w:val="1"/>
      <w:numFmt w:val="bullet"/>
      <w:lvlText w:val="•"/>
      <w:lvlJc w:val="left"/>
      <w:pPr>
        <w:ind w:left="7024" w:hanging="360"/>
      </w:pPr>
      <w:rPr>
        <w:rFonts w:hint="default"/>
      </w:rPr>
    </w:lvl>
    <w:lvl w:ilvl="6">
      <w:start w:val="1"/>
      <w:numFmt w:val="bullet"/>
      <w:lvlText w:val="•"/>
      <w:lvlJc w:val="left"/>
      <w:pPr>
        <w:ind w:left="6785"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6308" w:hanging="360"/>
      </w:pPr>
      <w:rPr>
        <w:rFonts w:hint="default"/>
      </w:rPr>
    </w:lvl>
  </w:abstract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ind w:left="300"/>
      <w:outlineLvl w:val="1"/>
    </w:pPr>
    <w:rPr>
      <w:rFonts w:ascii="Arial" w:hAnsi="Arial" w:eastAsia="Arial" w:cs="Arial"/>
      <w:b/>
      <w:bCs/>
      <w:sz w:val="24"/>
      <w:szCs w:val="24"/>
    </w:rPr>
  </w:style>
  <w:style w:styleId="Heading2" w:type="paragraph">
    <w:name w:val="Heading 2"/>
    <w:basedOn w:val="Normal"/>
    <w:uiPriority w:val="1"/>
    <w:qFormat/>
    <w:pPr>
      <w:ind w:left="300"/>
      <w:outlineLvl w:val="2"/>
    </w:pPr>
    <w:rPr>
      <w:rFonts w:ascii="Arial" w:hAnsi="Arial" w:eastAsia="Arial" w:cs="Arial"/>
      <w:b/>
      <w:bCs/>
      <w:i/>
      <w:sz w:val="24"/>
      <w:szCs w:val="24"/>
    </w:rPr>
  </w:style>
  <w:style w:styleId="Heading3" w:type="paragraph">
    <w:name w:val="Heading 3"/>
    <w:basedOn w:val="Normal"/>
    <w:uiPriority w:val="1"/>
    <w:qFormat/>
    <w:pPr>
      <w:ind w:left="300"/>
      <w:outlineLvl w:val="3"/>
    </w:pPr>
    <w:rPr>
      <w:rFonts w:ascii="Arial" w:hAnsi="Arial" w:eastAsia="Arial" w:cs="Arial"/>
      <w:b/>
      <w:bCs/>
      <w:sz w:val="20"/>
      <w:szCs w:val="20"/>
    </w:rPr>
  </w:style>
  <w:style w:styleId="Heading4" w:type="paragraph">
    <w:name w:val="Heading 4"/>
    <w:basedOn w:val="Normal"/>
    <w:uiPriority w:val="1"/>
    <w:qFormat/>
    <w:pPr>
      <w:ind w:left="127" w:firstLine="170"/>
      <w:jc w:val="both"/>
      <w:outlineLvl w:val="4"/>
    </w:pPr>
    <w:rPr>
      <w:rFonts w:ascii="Arial" w:hAnsi="Arial" w:eastAsia="Arial" w:cs="Arial"/>
      <w:b/>
      <w:bCs/>
      <w:i/>
      <w:sz w:val="20"/>
      <w:szCs w:val="20"/>
    </w:rPr>
  </w:style>
  <w:style w:styleId="ListParagraph" w:type="paragraph">
    <w:name w:val="List Paragraph"/>
    <w:basedOn w:val="Normal"/>
    <w:uiPriority w:val="1"/>
    <w:qFormat/>
    <w:pPr>
      <w:ind w:left="660"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http://www.uaemex.mx/" TargetMode="External"/><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header" Target="header1.xml"/><Relationship Id="rId24" Type="http://schemas.openxmlformats.org/officeDocument/2006/relationships/hyperlink" Target="mailto:mczerny@uw.edu.pl" TargetMode="External"/><Relationship Id="rId25" Type="http://schemas.openxmlformats.org/officeDocument/2006/relationships/header" Target="header2.xml"/><Relationship Id="rId26" Type="http://schemas.openxmlformats.org/officeDocument/2006/relationships/footer" Target="footer1.xml"/><Relationship Id="rId27" Type="http://schemas.openxmlformats.org/officeDocument/2006/relationships/image" Target="media/image18.jpeg"/><Relationship Id="rId28" Type="http://schemas.openxmlformats.org/officeDocument/2006/relationships/footer" Target="footer2.xml"/><Relationship Id="rId29" Type="http://schemas.openxmlformats.org/officeDocument/2006/relationships/footer" Target="footer3.xml"/><Relationship Id="rId30" Type="http://schemas.openxmlformats.org/officeDocument/2006/relationships/footer" Target="footer4.xml"/><Relationship Id="rId31" Type="http://schemas.openxmlformats.org/officeDocument/2006/relationships/image" Target="media/image19.jpeg"/><Relationship Id="rId32" Type="http://schemas.openxmlformats.org/officeDocument/2006/relationships/image" Target="media/image20.jpeg"/><Relationship Id="rId33" Type="http://schemas.openxmlformats.org/officeDocument/2006/relationships/footer" Target="footer5.xml"/><Relationship Id="rId34" Type="http://schemas.openxmlformats.org/officeDocument/2006/relationships/header" Target="header3.xml"/><Relationship Id="rId35" Type="http://schemas.openxmlformats.org/officeDocument/2006/relationships/footer" Target="footer6.xml"/><Relationship Id="rId36" Type="http://schemas.openxmlformats.org/officeDocument/2006/relationships/hyperlink" Target="mailto:pl_jse@hotmail.com" TargetMode="External"/><Relationship Id="rId37" Type="http://schemas.openxmlformats.org/officeDocument/2006/relationships/header" Target="header4.xml"/><Relationship Id="rId38" Type="http://schemas.openxmlformats.org/officeDocument/2006/relationships/footer" Target="footer7.xml"/><Relationship Id="rId39" Type="http://schemas.openxmlformats.org/officeDocument/2006/relationships/footer" Target="footer8.xml"/><Relationship Id="rId40" Type="http://schemas.openxmlformats.org/officeDocument/2006/relationships/footer" Target="footer9.xml"/><Relationship Id="rId41" Type="http://schemas.openxmlformats.org/officeDocument/2006/relationships/footer" Target="footer10.xml"/><Relationship Id="rId42" Type="http://schemas.openxmlformats.org/officeDocument/2006/relationships/footer" Target="footer11.xml"/><Relationship Id="rId43" Type="http://schemas.openxmlformats.org/officeDocument/2006/relationships/image" Target="media/image21.png"/><Relationship Id="rId44" Type="http://schemas.openxmlformats.org/officeDocument/2006/relationships/footer" Target="footer12.xml"/><Relationship Id="rId45" Type="http://schemas.openxmlformats.org/officeDocument/2006/relationships/footer" Target="footer13.xml"/><Relationship Id="rId46" Type="http://schemas.openxmlformats.org/officeDocument/2006/relationships/footer" Target="footer14.xml"/><Relationship Id="rId47" Type="http://schemas.openxmlformats.org/officeDocument/2006/relationships/footer" Target="footer15.xml"/><Relationship Id="rId48" Type="http://schemas.openxmlformats.org/officeDocument/2006/relationships/footer" Target="footer16.xml"/><Relationship Id="rId49" Type="http://schemas.openxmlformats.org/officeDocument/2006/relationships/hyperlink" Target="http://www.iadb.org/pub" TargetMode="External"/><Relationship Id="rId50" Type="http://schemas.openxmlformats.org/officeDocument/2006/relationships/header" Target="header5.xml"/><Relationship Id="rId51" Type="http://schemas.openxmlformats.org/officeDocument/2006/relationships/footer" Target="footer17.xml"/><Relationship Id="rId52" Type="http://schemas.openxmlformats.org/officeDocument/2006/relationships/hyperlink" Target="mailto:emre2000@hotmail.com" TargetMode="External"/><Relationship Id="rId53" Type="http://schemas.openxmlformats.org/officeDocument/2006/relationships/header" Target="header6.xml"/><Relationship Id="rId54" Type="http://schemas.openxmlformats.org/officeDocument/2006/relationships/footer" Target="footer18.xml"/><Relationship Id="rId55" Type="http://schemas.openxmlformats.org/officeDocument/2006/relationships/footer" Target="footer19.xml"/><Relationship Id="rId56" Type="http://schemas.openxmlformats.org/officeDocument/2006/relationships/footer" Target="footer20.xml"/><Relationship Id="rId57" Type="http://schemas.openxmlformats.org/officeDocument/2006/relationships/image" Target="media/image22.jpeg"/><Relationship Id="rId58" Type="http://schemas.openxmlformats.org/officeDocument/2006/relationships/footer" Target="footer21.xml"/><Relationship Id="rId59" Type="http://schemas.openxmlformats.org/officeDocument/2006/relationships/image" Target="media/image23.png"/><Relationship Id="rId60" Type="http://schemas.openxmlformats.org/officeDocument/2006/relationships/footer" Target="footer22.xml"/><Relationship Id="rId61" Type="http://schemas.openxmlformats.org/officeDocument/2006/relationships/image" Target="media/image24.jpeg"/><Relationship Id="rId62" Type="http://schemas.openxmlformats.org/officeDocument/2006/relationships/footer" Target="footer23.xml"/><Relationship Id="rId63" Type="http://schemas.openxmlformats.org/officeDocument/2006/relationships/image" Target="media/image25.jpeg"/><Relationship Id="rId64" Type="http://schemas.openxmlformats.org/officeDocument/2006/relationships/footer" Target="footer24.xml"/><Relationship Id="rId65" Type="http://schemas.openxmlformats.org/officeDocument/2006/relationships/image" Target="media/image26.jpeg"/><Relationship Id="rId66" Type="http://schemas.openxmlformats.org/officeDocument/2006/relationships/footer" Target="footer25.xml"/><Relationship Id="rId67" Type="http://schemas.openxmlformats.org/officeDocument/2006/relationships/footer" Target="footer26.xml"/><Relationship Id="rId68" Type="http://schemas.openxmlformats.org/officeDocument/2006/relationships/footer" Target="footer27.xml"/><Relationship Id="rId69" Type="http://schemas.openxmlformats.org/officeDocument/2006/relationships/footer" Target="footer28.xml"/><Relationship Id="rId70" Type="http://schemas.openxmlformats.org/officeDocument/2006/relationships/hyperlink" Target="http://biblio3.url.edu.gt/Publi/Libros/ADMestrategicaypolitica/01.pdf" TargetMode="External"/><Relationship Id="rId71" Type="http://schemas.openxmlformats.org/officeDocument/2006/relationships/hyperlink" Target="http://www.cideu.org/" TargetMode="External"/><Relationship Id="rId72" Type="http://schemas.openxmlformats.org/officeDocument/2006/relationships/hyperlink" Target="http://inegi.org.mx/" TargetMode="External"/><Relationship Id="rId73" Type="http://schemas.openxmlformats.org/officeDocument/2006/relationships/hyperlink" Target="http://www.merida.gob.mx/municipio/portal/gobierno/contenido/pdf/copladem/diagnostico.pdf" TargetMode="External"/><Relationship Id="rId74" Type="http://schemas.openxmlformats.org/officeDocument/2006/relationships/hyperlink" Target="mailto:viris_rodsan@live.com.mx" TargetMode="External"/><Relationship Id="rId75" Type="http://schemas.openxmlformats.org/officeDocument/2006/relationships/footer" Target="footer29.xml"/><Relationship Id="rId76" Type="http://schemas.openxmlformats.org/officeDocument/2006/relationships/footer" Target="footer30.xml"/><Relationship Id="rId77" Type="http://schemas.openxmlformats.org/officeDocument/2006/relationships/footer" Target="footer31.xml"/><Relationship Id="rId78" Type="http://schemas.openxmlformats.org/officeDocument/2006/relationships/footer" Target="footer32.xml"/><Relationship Id="rId79" Type="http://schemas.openxmlformats.org/officeDocument/2006/relationships/footer" Target="footer33.xml"/><Relationship Id="rId80" Type="http://schemas.openxmlformats.org/officeDocument/2006/relationships/footer" Target="footer34.xml"/><Relationship Id="rId81" Type="http://schemas.openxmlformats.org/officeDocument/2006/relationships/footer" Target="footer35.xml"/><Relationship Id="rId82" Type="http://schemas.openxmlformats.org/officeDocument/2006/relationships/image" Target="media/image27.jpeg"/><Relationship Id="rId83" Type="http://schemas.openxmlformats.org/officeDocument/2006/relationships/footer" Target="footer36.xml"/><Relationship Id="rId84" Type="http://schemas.openxmlformats.org/officeDocument/2006/relationships/footer" Target="footer37.xml"/><Relationship Id="rId85" Type="http://schemas.openxmlformats.org/officeDocument/2006/relationships/footer" Target="footer38.xml"/><Relationship Id="rId86" Type="http://schemas.openxmlformats.org/officeDocument/2006/relationships/footer" Target="footer39.xml"/><Relationship Id="rId87" Type="http://schemas.openxmlformats.org/officeDocument/2006/relationships/footer" Target="footer40.xml"/><Relationship Id="rId88" Type="http://schemas.openxmlformats.org/officeDocument/2006/relationships/footer" Target="footer41.xml"/><Relationship Id="rId89" Type="http://schemas.openxmlformats.org/officeDocument/2006/relationships/hyperlink" Target="http://www.eclac.org/dmaah/gucif/defcon.htm" TargetMode="External"/><Relationship Id="rId90" Type="http://schemas.openxmlformats.org/officeDocument/2006/relationships/hyperlink" Target="http://arbor.revistas.cslc.es/" TargetMode="External"/><Relationship Id="rId91" Type="http://schemas.openxmlformats.org/officeDocument/2006/relationships/footer" Target="footer42.xml"/><Relationship Id="rId92" Type="http://schemas.openxmlformats.org/officeDocument/2006/relationships/hyperlink" Target="http://www.gedeur.es/documentostrabajo/Doc10_Abad%20Luis.pdf" TargetMode="External"/><Relationship Id="rId93" Type="http://schemas.openxmlformats.org/officeDocument/2006/relationships/hyperlink" Target="http://age.ieg.csic.es/boletin/46/02-GOBERNANZA.pdf" TargetMode="External"/><Relationship Id="rId94" Type="http://schemas.openxmlformats.org/officeDocument/2006/relationships/hyperlink" Target="http://www.fundacionpobreza.cl/biblioteca-archivos/n95-2011-gobernanza-para-desarrollo-local-jorquera.pdf" TargetMode="External"/><Relationship Id="rId95" Type="http://schemas.openxmlformats.org/officeDocument/2006/relationships/hyperlink" Target="http://www.aeryc.org/correspondencia/documents2010/documents/PublicacioJalisco.pdf" TargetMode="External"/><Relationship Id="rId96" Type="http://schemas.openxmlformats.org/officeDocument/2006/relationships/hyperlink" Target="http://www.flacsoandes.org/web/imagesFTP/1245339828.CIPCA.pdf" TargetMode="External"/><Relationship Id="rId97" Type="http://schemas.openxmlformats.org/officeDocument/2006/relationships/hyperlink" Target="http://www.unioviedo.es/cecodet/MDL08/docum/Gobernanza_territorial_en_Espana.pdf" TargetMode="External"/><Relationship Id="rId98" Type="http://schemas.openxmlformats.org/officeDocument/2006/relationships/hyperlink" Target="mailto:ediazc@uaemex.mx" TargetMode="External"/><Relationship Id="rId99" Type="http://schemas.openxmlformats.org/officeDocument/2006/relationships/footer" Target="footer43.xml"/><Relationship Id="rId100" Type="http://schemas.openxmlformats.org/officeDocument/2006/relationships/footer" Target="footer44.xml"/><Relationship Id="rId101" Type="http://schemas.openxmlformats.org/officeDocument/2006/relationships/footer" Target="footer45.xml"/><Relationship Id="rId102" Type="http://schemas.openxmlformats.org/officeDocument/2006/relationships/footer" Target="footer46.xml"/><Relationship Id="rId103" Type="http://schemas.openxmlformats.org/officeDocument/2006/relationships/footer" Target="footer47.xml"/><Relationship Id="rId104" Type="http://schemas.openxmlformats.org/officeDocument/2006/relationships/footer" Target="footer48.xml"/><Relationship Id="rId105" Type="http://schemas.openxmlformats.org/officeDocument/2006/relationships/footer" Target="footer49.xml"/><Relationship Id="rId106" Type="http://schemas.openxmlformats.org/officeDocument/2006/relationships/footer" Target="footer50.xml"/><Relationship Id="rId107" Type="http://schemas.openxmlformats.org/officeDocument/2006/relationships/footer" Target="footer51.xml"/><Relationship Id="rId108" Type="http://schemas.openxmlformats.org/officeDocument/2006/relationships/hyperlink" Target="http://habitat.aq.upm/" TargetMode="External"/><Relationship Id="rId109" Type="http://schemas.openxmlformats.org/officeDocument/2006/relationships/hyperlink" Target="http://www.flacso.org.ec/docs/i36gudynas.pdf" TargetMode="External"/><Relationship Id="rId110" Type="http://schemas.openxmlformats.org/officeDocument/2006/relationships/hyperlink" Target="http://www.inegi.org.mx/sistemas/consulta_" TargetMode="External"/><Relationship Id="rId111" Type="http://schemas.openxmlformats.org/officeDocument/2006/relationships/hyperlink" Target="http://www.redalyc.org/pdf/644/64408104.pdf" TargetMode="External"/><Relationship Id="rId112" Type="http://schemas.openxmlformats.org/officeDocument/2006/relationships/footer" Target="footer52.xml"/><Relationship Id="rId113" Type="http://schemas.openxmlformats.org/officeDocument/2006/relationships/hyperlink" Target="http://www.redalyc.org/articulo.oa?id=34202107" TargetMode="External"/><Relationship Id="rId114" Type="http://schemas.openxmlformats.org/officeDocument/2006/relationships/hyperlink" Target="mailto:jc_gr22@hotmail.com" TargetMode="External"/><Relationship Id="rId115" Type="http://schemas.openxmlformats.org/officeDocument/2006/relationships/footer" Target="footer53.xml"/><Relationship Id="rId116" Type="http://schemas.openxmlformats.org/officeDocument/2006/relationships/image" Target="media/image28.jpeg"/><Relationship Id="rId117" Type="http://schemas.openxmlformats.org/officeDocument/2006/relationships/footer" Target="footer54.xml"/><Relationship Id="rId118" Type="http://schemas.openxmlformats.org/officeDocument/2006/relationships/image" Target="media/image29.png"/><Relationship Id="rId119" Type="http://schemas.openxmlformats.org/officeDocument/2006/relationships/footer" Target="footer55.xml"/><Relationship Id="rId120" Type="http://schemas.openxmlformats.org/officeDocument/2006/relationships/image" Target="media/image30.jpeg"/><Relationship Id="rId121" Type="http://schemas.openxmlformats.org/officeDocument/2006/relationships/footer" Target="footer56.xml"/><Relationship Id="rId122" Type="http://schemas.openxmlformats.org/officeDocument/2006/relationships/image" Target="media/image31.jpeg"/><Relationship Id="rId123" Type="http://schemas.openxmlformats.org/officeDocument/2006/relationships/footer" Target="footer57.xml"/><Relationship Id="rId124" Type="http://schemas.openxmlformats.org/officeDocument/2006/relationships/image" Target="media/image32.jpeg"/><Relationship Id="rId125" Type="http://schemas.openxmlformats.org/officeDocument/2006/relationships/footer" Target="footer58.xml"/><Relationship Id="rId126" Type="http://schemas.openxmlformats.org/officeDocument/2006/relationships/image" Target="media/image33.jpeg"/><Relationship Id="rId127" Type="http://schemas.openxmlformats.org/officeDocument/2006/relationships/footer" Target="footer59.xml"/><Relationship Id="rId128" Type="http://schemas.openxmlformats.org/officeDocument/2006/relationships/image" Target="media/image34.jpeg"/><Relationship Id="rId129" Type="http://schemas.openxmlformats.org/officeDocument/2006/relationships/image" Target="media/image35.jpeg"/><Relationship Id="rId130" Type="http://schemas.openxmlformats.org/officeDocument/2006/relationships/footer" Target="footer60.xml"/><Relationship Id="rId131" Type="http://schemas.openxmlformats.org/officeDocument/2006/relationships/image" Target="media/image36.jpeg"/><Relationship Id="rId132" Type="http://schemas.openxmlformats.org/officeDocument/2006/relationships/footer" Target="footer61.xml"/><Relationship Id="rId133" Type="http://schemas.openxmlformats.org/officeDocument/2006/relationships/hyperlink" Target="http://www.ciees.org/doc_estudios/1999%20_alfaro_egozcue_ugalde.pdf" TargetMode="External"/><Relationship Id="rId134" Type="http://schemas.openxmlformats.org/officeDocument/2006/relationships/hyperlink" Target="http://webshaker.ucsd.edu/homework/2009_Modified_Mercalli_Intensity_Scale.pdf" TargetMode="External"/><Relationship Id="rId135" Type="http://schemas.openxmlformats.org/officeDocument/2006/relationships/hyperlink" Target="http://www.cnpices.es/Preguntas_Frecuentes/Que_es_una_Infraestructura_Critica/index.html" TargetMode="External"/><Relationship Id="rId136" Type="http://schemas.openxmlformats.org/officeDocument/2006/relationships/hyperlink" Target="http://proceedings.esri.com/library/userconf/latinproc00/mexico/aportes.pdf" TargetMode="External"/><Relationship Id="rId137" Type="http://schemas.openxmlformats.org/officeDocument/2006/relationships/hyperlink" Target="http://www.tijuana.gob.mx/" TargetMode="External"/><Relationship Id="rId138" Type="http://schemas.openxmlformats.org/officeDocument/2006/relationships/hyperlink" Target="http://support.esri.com/en/knowledgebase/Gisdictionary/browse" TargetMode="External"/><Relationship Id="rId139" Type="http://schemas.openxmlformats.org/officeDocument/2006/relationships/hyperlink" Target="http://redalyc.uaemex.mx/redalyc/src/inicio/ArtPdfRed.jsp?iCve=17103909" TargetMode="External"/><Relationship Id="rId140" Type="http://schemas.openxmlformats.org/officeDocument/2006/relationships/hyperlink" Target="http://www.inegi.org.mx/sistemas/consulta_resultados/ageb_urb2010.aspx?c=28111&amp;amp;s=est" TargetMode="External"/><Relationship Id="rId141" Type="http://schemas.openxmlformats.org/officeDocument/2006/relationships/hyperlink" Target="http://www.vce.at/" TargetMode="External"/><Relationship Id="rId142" Type="http://schemas.openxmlformats.org/officeDocument/2006/relationships/hyperlink" Target="http://www.eclac.org/" TargetMode="External"/><Relationship Id="rId143" Type="http://schemas.openxmlformats.org/officeDocument/2006/relationships/footer" Target="footer62.xml"/><Relationship Id="rId144" Type="http://schemas.openxmlformats.org/officeDocument/2006/relationships/hyperlink" Target="mailto:geo_luismiguel@hotmail.com" TargetMode="External"/><Relationship Id="rId145" Type="http://schemas.openxmlformats.org/officeDocument/2006/relationships/footer" Target="footer63.xml"/><Relationship Id="rId146" Type="http://schemas.openxmlformats.org/officeDocument/2006/relationships/image" Target="media/image37.jpeg"/><Relationship Id="rId147" Type="http://schemas.openxmlformats.org/officeDocument/2006/relationships/footer" Target="footer64.xml"/><Relationship Id="rId148" Type="http://schemas.openxmlformats.org/officeDocument/2006/relationships/footer" Target="footer65.xml"/><Relationship Id="rId149" Type="http://schemas.openxmlformats.org/officeDocument/2006/relationships/image" Target="media/image38.jpeg"/><Relationship Id="rId150" Type="http://schemas.openxmlformats.org/officeDocument/2006/relationships/header" Target="header7.xml"/><Relationship Id="rId151" Type="http://schemas.openxmlformats.org/officeDocument/2006/relationships/footer" Target="footer66.xml"/><Relationship Id="rId152" Type="http://schemas.openxmlformats.org/officeDocument/2006/relationships/header" Target="header8.xml"/><Relationship Id="rId153" Type="http://schemas.openxmlformats.org/officeDocument/2006/relationships/footer" Target="footer67.xml"/><Relationship Id="rId154" Type="http://schemas.openxmlformats.org/officeDocument/2006/relationships/footer" Target="footer68.xml"/><Relationship Id="rId155" Type="http://schemas.openxmlformats.org/officeDocument/2006/relationships/footer" Target="footer69.xml"/><Relationship Id="rId156" Type="http://schemas.openxmlformats.org/officeDocument/2006/relationships/footer" Target="footer70.xml"/><Relationship Id="rId157" Type="http://schemas.openxmlformats.org/officeDocument/2006/relationships/image" Target="media/image39.jpeg"/><Relationship Id="rId158" Type="http://schemas.openxmlformats.org/officeDocument/2006/relationships/footer" Target="footer71.xml"/><Relationship Id="rId159" Type="http://schemas.openxmlformats.org/officeDocument/2006/relationships/footer" Target="footer72.xml"/><Relationship Id="rId160" Type="http://schemas.openxmlformats.org/officeDocument/2006/relationships/image" Target="media/image40.jpeg"/><Relationship Id="rId161" Type="http://schemas.openxmlformats.org/officeDocument/2006/relationships/footer" Target="footer73.xml"/><Relationship Id="rId162" Type="http://schemas.openxmlformats.org/officeDocument/2006/relationships/image" Target="media/image41.jpeg"/><Relationship Id="rId163" Type="http://schemas.openxmlformats.org/officeDocument/2006/relationships/footer" Target="footer74.xml"/><Relationship Id="rId164" Type="http://schemas.openxmlformats.org/officeDocument/2006/relationships/header" Target="header9.xml"/><Relationship Id="rId165" Type="http://schemas.openxmlformats.org/officeDocument/2006/relationships/footer" Target="footer75.xml"/><Relationship Id="rId166" Type="http://schemas.openxmlformats.org/officeDocument/2006/relationships/hyperlink" Target="mailto:rebecaserrano09@gmail.com" TargetMode="External"/><Relationship Id="rId167" Type="http://schemas.openxmlformats.org/officeDocument/2006/relationships/header" Target="header10.xml"/><Relationship Id="rId168" Type="http://schemas.openxmlformats.org/officeDocument/2006/relationships/footer" Target="footer76.xml"/><Relationship Id="rId169" Type="http://schemas.openxmlformats.org/officeDocument/2006/relationships/footer" Target="footer77.xml"/><Relationship Id="rId170" Type="http://schemas.openxmlformats.org/officeDocument/2006/relationships/image" Target="media/image42.jpeg"/><Relationship Id="rId171" Type="http://schemas.openxmlformats.org/officeDocument/2006/relationships/footer" Target="footer78.xml"/><Relationship Id="rId172" Type="http://schemas.openxmlformats.org/officeDocument/2006/relationships/image" Target="media/image43.jpeg"/><Relationship Id="rId173" Type="http://schemas.openxmlformats.org/officeDocument/2006/relationships/footer" Target="footer79.xml"/><Relationship Id="rId174" Type="http://schemas.openxmlformats.org/officeDocument/2006/relationships/image" Target="media/image44.jpeg"/><Relationship Id="rId175" Type="http://schemas.openxmlformats.org/officeDocument/2006/relationships/footer" Target="footer80.xml"/><Relationship Id="rId176" Type="http://schemas.openxmlformats.org/officeDocument/2006/relationships/image" Target="media/image45.jpeg"/><Relationship Id="rId177" Type="http://schemas.openxmlformats.org/officeDocument/2006/relationships/image" Target="media/image46.jpeg"/><Relationship Id="rId178" Type="http://schemas.openxmlformats.org/officeDocument/2006/relationships/footer" Target="footer81.xml"/><Relationship Id="rId179" Type="http://schemas.openxmlformats.org/officeDocument/2006/relationships/image" Target="media/image47.jpeg"/><Relationship Id="rId180" Type="http://schemas.openxmlformats.org/officeDocument/2006/relationships/hyperlink" Target="http://www.scielo.cl/scielo.php?script=sci_" TargetMode="External"/><Relationship Id="rId181" Type="http://schemas.openxmlformats.org/officeDocument/2006/relationships/hyperlink" Target="http://dx.doi.org/10.4067/S0718-58392010000100017" TargetMode="External"/><Relationship Id="rId182" Type="http://schemas.openxmlformats.org/officeDocument/2006/relationships/hyperlink" Target="http://www.acad.ro/sectii2002/" TargetMode="External"/><Relationship Id="rId183" Type="http://schemas.openxmlformats.org/officeDocument/2006/relationships/hyperlink" Target="http://www.conagua.gob.mx/CONAGUA07/Publicaciones" TargetMode="External"/><Relationship Id="rId184" Type="http://schemas.openxmlformats.org/officeDocument/2006/relationships/hyperlink" Target="http://smn.cna.gob.mx/index.php?option=com_content&amp;amp;view=article&amp;amp;id=75%3Aboletin-meteorologico-para-la-agricultura&amp;amp;catid=4&amp;amp;Itemid=2" TargetMode="External"/><Relationship Id="rId185" Type="http://schemas.openxmlformats.org/officeDocument/2006/relationships/hyperlink" Target="http://www.fao.org/docrep/006/t0099s/t0099s00.htm" TargetMode="External"/><Relationship Id="rId186" Type="http://schemas.openxmlformats.org/officeDocument/2006/relationships/hyperlink" Target="http://www.fao.org/post-2015-" TargetMode="External"/><Relationship Id="rId187" Type="http://schemas.openxmlformats.org/officeDocument/2006/relationships/footer" Target="footer82.xml"/><Relationship Id="rId188" Type="http://schemas.openxmlformats.org/officeDocument/2006/relationships/hyperlink" Target="https://www.google.com.mx/webhp?sourceid=chrome-instant&amp;amp;ion=1&amp;amp;espv=%202&amp;amp;ie=UTF-8&amp;amp;q=erosion%2Bdel%2Bsuelo%2BInstituto%2Bnacional%2Bde%2Becolog%C3%ADa" TargetMode="External"/><Relationship Id="rId189" Type="http://schemas.openxmlformats.org/officeDocument/2006/relationships/hyperlink" Target="http://geofocus.rediris.es/2010/Informe4_2010.pdf" TargetMode="External"/><Relationship Id="rId190" Type="http://schemas.openxmlformats.org/officeDocument/2006/relationships/hyperlink" Target="http://www.sagarpa.gob.mx/desarrolloRural/Publicaciones/Lists/CursoTaller%20Desarrollo%20de%20capacidades%20orientadas%20a/Attachments/6/04estim-eros-sue.pdf" TargetMode="External"/><Relationship Id="rId191" Type="http://schemas.openxmlformats.org/officeDocument/2006/relationships/hyperlink" Target="http://www.sagarpa.gob.mx/desarrolloRural/Publicaciones/Lists/" TargetMode="External"/><Relationship Id="rId192" Type="http://schemas.openxmlformats.org/officeDocument/2006/relationships/hyperlink" Target="http://www.sagarpa.gob.mx/" TargetMode="External"/><Relationship Id="rId193" Type="http://schemas.openxmlformats.org/officeDocument/2006/relationships/hyperlink" Target="http://www/" TargetMode="External"/><Relationship Id="rId194" Type="http://schemas.openxmlformats.org/officeDocument/2006/relationships/hyperlink" Target="http://irh-fce.unse.edu.ar/Rios2009/CD/TC/B/TC_B11_Mesen_RUSLE_" TargetMode="External"/><Relationship Id="rId195" Type="http://schemas.openxmlformats.org/officeDocument/2006/relationships/hyperlink" Target="https://sustainabledevelopment.un.org/sdinaction/register" TargetMode="External"/><Relationship Id="rId196" Type="http://schemas.openxmlformats.org/officeDocument/2006/relationships/hyperlink" Target="http://scienceheathen.com/2015/01/21/soil-erosion-rates-rose-100-fold-us-following-colonization-via-deforestation-industrial-agriculture-research-finds-american-indian-forest-management-practices-explained/" TargetMode="External"/><Relationship Id="rId197" Type="http://schemas.openxmlformats.org/officeDocument/2006/relationships/hyperlink" Target="http://scienceheathen.com/2015/01/21/soil-erosion-rates-rose-100-fold-us-" TargetMode="External"/><Relationship Id="rId198" Type="http://schemas.openxmlformats.org/officeDocument/2006/relationships/hyperlink" Target="http://scienceheathen.com/2012/12/13/deforestation-effects-causes-and-examples-top-10-list/" TargetMode="External"/><Relationship Id="rId199" Type="http://schemas.openxmlformats.org/officeDocument/2006/relationships/hyperlink" Target="http://naldc.nal.usda.gov/download/CAT79706928/PDF" TargetMode="External"/><Relationship Id="rId200" Type="http://schemas.openxmlformats.org/officeDocument/2006/relationships/header" Target="header11.xml"/><Relationship Id="rId201" Type="http://schemas.openxmlformats.org/officeDocument/2006/relationships/footer" Target="footer83.xml"/><Relationship Id="rId202" Type="http://schemas.openxmlformats.org/officeDocument/2006/relationships/header" Target="header12.xml"/><Relationship Id="rId203" Type="http://schemas.openxmlformats.org/officeDocument/2006/relationships/footer" Target="footer84.xml"/><Relationship Id="rId204" Type="http://schemas.openxmlformats.org/officeDocument/2006/relationships/hyperlink" Target="mailto:jggc1321@yahoo.com.mx" TargetMode="External"/><Relationship Id="rId205" Type="http://schemas.openxmlformats.org/officeDocument/2006/relationships/footer" Target="footer85.xml"/><Relationship Id="rId206" Type="http://schemas.openxmlformats.org/officeDocument/2006/relationships/footer" Target="footer86.xml"/><Relationship Id="rId207" Type="http://schemas.openxmlformats.org/officeDocument/2006/relationships/footer" Target="footer87.xml"/><Relationship Id="rId208" Type="http://schemas.openxmlformats.org/officeDocument/2006/relationships/image" Target="media/image48.jpeg"/><Relationship Id="rId209" Type="http://schemas.openxmlformats.org/officeDocument/2006/relationships/footer" Target="footer88.xml"/><Relationship Id="rId210" Type="http://schemas.openxmlformats.org/officeDocument/2006/relationships/image" Target="media/image49.jpeg"/><Relationship Id="rId211" Type="http://schemas.openxmlformats.org/officeDocument/2006/relationships/footer" Target="footer89.xml"/><Relationship Id="rId212" Type="http://schemas.openxmlformats.org/officeDocument/2006/relationships/image" Target="media/image50.jpeg"/><Relationship Id="rId213" Type="http://schemas.openxmlformats.org/officeDocument/2006/relationships/footer" Target="footer90.xml"/><Relationship Id="rId214" Type="http://schemas.openxmlformats.org/officeDocument/2006/relationships/image" Target="media/image51.jpeg"/><Relationship Id="rId215" Type="http://schemas.openxmlformats.org/officeDocument/2006/relationships/image" Target="media/image52.png"/><Relationship Id="rId216" Type="http://schemas.openxmlformats.org/officeDocument/2006/relationships/footer" Target="footer91.xml"/><Relationship Id="rId217" Type="http://schemas.openxmlformats.org/officeDocument/2006/relationships/image" Target="media/image53.jpeg"/><Relationship Id="rId218" Type="http://schemas.openxmlformats.org/officeDocument/2006/relationships/image" Target="media/image54.png"/><Relationship Id="rId219" Type="http://schemas.openxmlformats.org/officeDocument/2006/relationships/image" Target="media/image55.png"/><Relationship Id="rId220" Type="http://schemas.openxmlformats.org/officeDocument/2006/relationships/footer" Target="footer92.xml"/><Relationship Id="rId221" Type="http://schemas.openxmlformats.org/officeDocument/2006/relationships/image" Target="media/image56.png"/><Relationship Id="rId222" Type="http://schemas.openxmlformats.org/officeDocument/2006/relationships/image" Target="media/image57.png"/><Relationship Id="rId223" Type="http://schemas.openxmlformats.org/officeDocument/2006/relationships/footer" Target="footer93.xml"/><Relationship Id="rId224" Type="http://schemas.openxmlformats.org/officeDocument/2006/relationships/image" Target="media/image58.jpeg"/><Relationship Id="rId225" Type="http://schemas.openxmlformats.org/officeDocument/2006/relationships/image" Target="media/image59.png"/><Relationship Id="rId226" Type="http://schemas.openxmlformats.org/officeDocument/2006/relationships/image" Target="media/image60.png"/><Relationship Id="rId227" Type="http://schemas.openxmlformats.org/officeDocument/2006/relationships/footer" Target="footer94.xml"/><Relationship Id="rId228" Type="http://schemas.openxmlformats.org/officeDocument/2006/relationships/image" Target="media/image61.png"/><Relationship Id="rId229" Type="http://schemas.openxmlformats.org/officeDocument/2006/relationships/image" Target="media/image62.png"/><Relationship Id="rId230" Type="http://schemas.openxmlformats.org/officeDocument/2006/relationships/image" Target="media/image63.png"/><Relationship Id="rId231" Type="http://schemas.openxmlformats.org/officeDocument/2006/relationships/footer" Target="footer95.xml"/><Relationship Id="rId232" Type="http://schemas.openxmlformats.org/officeDocument/2006/relationships/image" Target="media/image64.png"/><Relationship Id="rId233" Type="http://schemas.openxmlformats.org/officeDocument/2006/relationships/image" Target="media/image65.jpeg"/><Relationship Id="rId234" Type="http://schemas.openxmlformats.org/officeDocument/2006/relationships/image" Target="media/image66.png"/><Relationship Id="rId235" Type="http://schemas.openxmlformats.org/officeDocument/2006/relationships/footer" Target="footer96.xml"/><Relationship Id="rId236" Type="http://schemas.openxmlformats.org/officeDocument/2006/relationships/image" Target="media/image67.png"/><Relationship Id="rId237" Type="http://schemas.openxmlformats.org/officeDocument/2006/relationships/image" Target="media/image68.png"/><Relationship Id="rId238" Type="http://schemas.openxmlformats.org/officeDocument/2006/relationships/image" Target="media/image69.png"/><Relationship Id="rId239" Type="http://schemas.openxmlformats.org/officeDocument/2006/relationships/footer" Target="footer97.xml"/><Relationship Id="rId240" Type="http://schemas.openxmlformats.org/officeDocument/2006/relationships/footer" Target="footer98.xml"/><Relationship Id="rId241" Type="http://schemas.openxmlformats.org/officeDocument/2006/relationships/footer" Target="footer99.xml"/><Relationship Id="rId242" Type="http://schemas.openxmlformats.org/officeDocument/2006/relationships/hyperlink" Target="http://www2.gtz.de/dokumente/bib/04-5108a4.pdf" TargetMode="External"/><Relationship Id="rId243" Type="http://schemas.openxmlformats.org/officeDocument/2006/relationships/footer" Target="footer100.xml"/><Relationship Id="rId244" Type="http://schemas.openxmlformats.org/officeDocument/2006/relationships/header" Target="header13.xml"/><Relationship Id="rId245" Type="http://schemas.openxmlformats.org/officeDocument/2006/relationships/footer" Target="footer101.xml"/><Relationship Id="rId246" Type="http://schemas.openxmlformats.org/officeDocument/2006/relationships/header" Target="header14.xml"/><Relationship Id="rId247" Type="http://schemas.openxmlformats.org/officeDocument/2006/relationships/footer" Target="footer102.xml"/><Relationship Id="rId248" Type="http://schemas.openxmlformats.org/officeDocument/2006/relationships/footer" Target="footer103.xml"/><Relationship Id="rId249" Type="http://schemas.openxmlformats.org/officeDocument/2006/relationships/footer" Target="footer104.xml"/><Relationship Id="rId250" Type="http://schemas.openxmlformats.org/officeDocument/2006/relationships/image" Target="media/image70.png"/><Relationship Id="rId251" Type="http://schemas.openxmlformats.org/officeDocument/2006/relationships/footer" Target="footer105.xml"/><Relationship Id="rId252" Type="http://schemas.openxmlformats.org/officeDocument/2006/relationships/footer" Target="footer106.xml"/><Relationship Id="rId253" Type="http://schemas.openxmlformats.org/officeDocument/2006/relationships/header" Target="header15.xml"/><Relationship Id="rId254" Type="http://schemas.openxmlformats.org/officeDocument/2006/relationships/footer" Target="footer107.xml"/><Relationship Id="rId255" Type="http://schemas.openxmlformats.org/officeDocument/2006/relationships/image" Target="media/image71.jpeg"/><Relationship Id="rId256" Type="http://schemas.openxmlformats.org/officeDocument/2006/relationships/hyperlink" Target="http://www.malinalco.gob.mx/" TargetMode="External"/><Relationship Id="rId257" Type="http://schemas.openxmlformats.org/officeDocument/2006/relationships/hyperlink" Target="http://www.tenancingo.gob.mx/" TargetMode="External"/><Relationship Id="rId258" Type="http://schemas.openxmlformats.org/officeDocument/2006/relationships/hyperlink" Target="http://www.villaguerrero.gob.mx/" TargetMode="External"/><Relationship Id="rId259" Type="http://schemas.openxmlformats.org/officeDocument/2006/relationships/header" Target="header16.xml"/><Relationship Id="rId260" Type="http://schemas.openxmlformats.org/officeDocument/2006/relationships/footer" Target="footer108.xml"/><Relationship Id="rId261" Type="http://schemas.openxmlformats.org/officeDocument/2006/relationships/image" Target="media/image72.jpeg"/><Relationship Id="rId262" Type="http://schemas.openxmlformats.org/officeDocument/2006/relationships/footer" Target="footer109.xml"/><Relationship Id="rId263" Type="http://schemas.openxmlformats.org/officeDocument/2006/relationships/image" Target="media/image73.png"/><Relationship Id="rId264" Type="http://schemas.openxmlformats.org/officeDocument/2006/relationships/image" Target="media/image74.png"/><Relationship Id="rId265" Type="http://schemas.openxmlformats.org/officeDocument/2006/relationships/image" Target="media/image75.png"/><Relationship Id="rId266" Type="http://schemas.openxmlformats.org/officeDocument/2006/relationships/image" Target="media/image76.png"/><Relationship Id="rId267" Type="http://schemas.openxmlformats.org/officeDocument/2006/relationships/footer" Target="footer110.xml"/><Relationship Id="rId268" Type="http://schemas.openxmlformats.org/officeDocument/2006/relationships/image" Target="media/image77.png"/><Relationship Id="rId269" Type="http://schemas.openxmlformats.org/officeDocument/2006/relationships/image" Target="media/image78.png"/><Relationship Id="rId270" Type="http://schemas.openxmlformats.org/officeDocument/2006/relationships/image" Target="media/image79.png"/><Relationship Id="rId271" Type="http://schemas.openxmlformats.org/officeDocument/2006/relationships/image" Target="media/image80.png"/><Relationship Id="rId272" Type="http://schemas.openxmlformats.org/officeDocument/2006/relationships/image" Target="media/image81.png"/><Relationship Id="rId273" Type="http://schemas.openxmlformats.org/officeDocument/2006/relationships/image" Target="media/image82.png"/><Relationship Id="rId274" Type="http://schemas.openxmlformats.org/officeDocument/2006/relationships/footer" Target="footer111.xml"/><Relationship Id="rId275" Type="http://schemas.openxmlformats.org/officeDocument/2006/relationships/image" Target="media/image83.png"/><Relationship Id="rId276" Type="http://schemas.openxmlformats.org/officeDocument/2006/relationships/image" Target="media/image84.png"/><Relationship Id="rId277" Type="http://schemas.openxmlformats.org/officeDocument/2006/relationships/image" Target="media/image85.png"/><Relationship Id="rId278" Type="http://schemas.openxmlformats.org/officeDocument/2006/relationships/footer" Target="footer112.xml"/><Relationship Id="rId279" Type="http://schemas.openxmlformats.org/officeDocument/2006/relationships/image" Target="media/image86.png"/><Relationship Id="rId280" Type="http://schemas.openxmlformats.org/officeDocument/2006/relationships/footer" Target="footer113.xml"/><Relationship Id="rId281" Type="http://schemas.openxmlformats.org/officeDocument/2006/relationships/footer" Target="footer114.xml"/><Relationship Id="rId282" Type="http://schemas.openxmlformats.org/officeDocument/2006/relationships/hyperlink" Target="http://redalyc.uaemex.mx/redalyc/src/inicio/ArtPdfRed.jsp?iCve=57706905" TargetMode="External"/><Relationship Id="rId283" Type="http://schemas.openxmlformats.org/officeDocument/2006/relationships/footer" Target="footer115.xml"/><Relationship Id="rId284" Type="http://schemas.openxmlformats.org/officeDocument/2006/relationships/hyperlink" Target="http://redalyc.uaemex.mx/redalyc/src/inicio/ArtPdfRed.jsp?iCve=10412106" TargetMode="External"/><Relationship Id="rId285" Type="http://schemas.openxmlformats.org/officeDocument/2006/relationships/header" Target="header17.xml"/><Relationship Id="rId286" Type="http://schemas.openxmlformats.org/officeDocument/2006/relationships/footer" Target="footer116.xml"/><Relationship Id="rId287" Type="http://schemas.openxmlformats.org/officeDocument/2006/relationships/header" Target="header18.xml"/><Relationship Id="rId288" Type="http://schemas.openxmlformats.org/officeDocument/2006/relationships/footer" Target="footer117.xml"/><Relationship Id="rId289" Type="http://schemas.openxmlformats.org/officeDocument/2006/relationships/footer" Target="footer118.xml"/><Relationship Id="rId290" Type="http://schemas.openxmlformats.org/officeDocument/2006/relationships/footer" Target="footer119.xml"/><Relationship Id="rId291" Type="http://schemas.openxmlformats.org/officeDocument/2006/relationships/footer" Target="footer120.xml"/><Relationship Id="rId292" Type="http://schemas.openxmlformats.org/officeDocument/2006/relationships/footer" Target="footer121.xml"/><Relationship Id="rId293" Type="http://schemas.openxmlformats.org/officeDocument/2006/relationships/footer" Target="footer122.xml"/><Relationship Id="rId294" Type="http://schemas.openxmlformats.org/officeDocument/2006/relationships/image" Target="media/image87.jpeg"/><Relationship Id="rId295" Type="http://schemas.openxmlformats.org/officeDocument/2006/relationships/footer" Target="footer123.xml"/><Relationship Id="rId296" Type="http://schemas.openxmlformats.org/officeDocument/2006/relationships/footer" Target="footer124.xml"/><Relationship Id="rId297" Type="http://schemas.openxmlformats.org/officeDocument/2006/relationships/footer" Target="footer125.xml"/><Relationship Id="rId298" Type="http://schemas.openxmlformats.org/officeDocument/2006/relationships/footer" Target="footer126.xml"/><Relationship Id="rId299" Type="http://schemas.openxmlformats.org/officeDocument/2006/relationships/footer" Target="footer127.xml"/><Relationship Id="rId300" Type="http://schemas.openxmlformats.org/officeDocument/2006/relationships/footer" Target="footer128.xml"/><Relationship Id="rId301" Type="http://schemas.openxmlformats.org/officeDocument/2006/relationships/footer" Target="footer129.xml"/><Relationship Id="rId302" Type="http://schemas.openxmlformats.org/officeDocument/2006/relationships/image" Target="media/image88.jpeg"/><Relationship Id="rId303" Type="http://schemas.openxmlformats.org/officeDocument/2006/relationships/footer" Target="footer130.xml"/><Relationship Id="rId304" Type="http://schemas.openxmlformats.org/officeDocument/2006/relationships/footer" Target="footer131.xml"/><Relationship Id="rId305" Type="http://schemas.openxmlformats.org/officeDocument/2006/relationships/image" Target="media/image89.png"/><Relationship Id="rId306" Type="http://schemas.openxmlformats.org/officeDocument/2006/relationships/image" Target="media/image90.png"/><Relationship Id="rId307" Type="http://schemas.openxmlformats.org/officeDocument/2006/relationships/footer" Target="footer132.xml"/><Relationship Id="rId308" Type="http://schemas.openxmlformats.org/officeDocument/2006/relationships/footer" Target="footer133.xml"/><Relationship Id="rId309" Type="http://schemas.openxmlformats.org/officeDocument/2006/relationships/hyperlink" Target="http://www2.gtz.de/dokumente/" TargetMode="External"/><Relationship Id="rId310" Type="http://schemas.openxmlformats.org/officeDocument/2006/relationships/footer" Target="footer134.xml"/><Relationship Id="rId311" Type="http://schemas.openxmlformats.org/officeDocument/2006/relationships/hyperlink" Target="http://www.semarnat.gob.mx/temas/residuos-solidos-urbanos-y-de-" TargetMode="External"/><Relationship Id="rId312" Type="http://schemas.openxmlformats.org/officeDocument/2006/relationships/header" Target="header19.xml"/><Relationship Id="rId313" Type="http://schemas.openxmlformats.org/officeDocument/2006/relationships/footer" Target="footer135.xml"/><Relationship Id="rId314" Type="http://schemas.openxmlformats.org/officeDocument/2006/relationships/hyperlink" Target="mailto:nhernandezr@uaemex.mx" TargetMode="External"/><Relationship Id="rId315" Type="http://schemas.openxmlformats.org/officeDocument/2006/relationships/header" Target="header20.xml"/><Relationship Id="rId316" Type="http://schemas.openxmlformats.org/officeDocument/2006/relationships/footer" Target="footer136.xml"/><Relationship Id="rId317" Type="http://schemas.openxmlformats.org/officeDocument/2006/relationships/footer" Target="footer137.xml"/><Relationship Id="rId318" Type="http://schemas.openxmlformats.org/officeDocument/2006/relationships/footer" Target="footer138.xml"/><Relationship Id="rId319" Type="http://schemas.openxmlformats.org/officeDocument/2006/relationships/image" Target="media/image91.jpeg"/><Relationship Id="rId320" Type="http://schemas.openxmlformats.org/officeDocument/2006/relationships/footer" Target="footer139.xml"/><Relationship Id="rId321" Type="http://schemas.openxmlformats.org/officeDocument/2006/relationships/footer" Target="footer140.xml"/><Relationship Id="rId322" Type="http://schemas.openxmlformats.org/officeDocument/2006/relationships/footer" Target="footer141.xml"/><Relationship Id="rId323" Type="http://schemas.openxmlformats.org/officeDocument/2006/relationships/footer" Target="footer142.xml"/><Relationship Id="rId324" Type="http://schemas.openxmlformats.org/officeDocument/2006/relationships/hyperlink" Target="http://www.redalyc.org/articulo.oa?id=30016622005" TargetMode="External"/><Relationship Id="rId325" Type="http://schemas.openxmlformats.org/officeDocument/2006/relationships/hyperlink" Target="http://www.scielo.org.mx/" TargetMode="External"/><Relationship Id="rId326" Type="http://schemas.openxmlformats.org/officeDocument/2006/relationships/footer" Target="footer143.xml"/><Relationship Id="rId327" Type="http://schemas.openxmlformats.org/officeDocument/2006/relationships/hyperlink" Target="http://portal2.edomex.gob.mx/cepanaf/areas_naturales_protegidas/categorias_areas_protegidas/index.htm" TargetMode="External"/><Relationship Id="rId328" Type="http://schemas.openxmlformats.org/officeDocument/2006/relationships/hyperlink" Target="http://revistas.flacsoandes.edu.ec/letrasverdes/rt/captureCite/810/776/ApaCitationPlugin" TargetMode="External"/><Relationship Id="rId329" Type="http://schemas.openxmlformats.org/officeDocument/2006/relationships/hyperlink" Target="http://portal2.edomex.gob.mx/copladem/programas/regionales/groups/public/documents/edomex_archivo/copladem_pdf_rxiii_toluca.pdf" TargetMode="External"/><Relationship Id="rId330" Type="http://schemas.openxmlformats.org/officeDocument/2006/relationships/hyperlink" Target="http://entorno.conanp.gob.mx/documentos/PNANP.pdf" TargetMode="External"/><Relationship Id="rId331" Type="http://schemas.openxmlformats.org/officeDocument/2006/relationships/hyperlink" Target="http://www.redalyc.org/articulo.oa?id=67431160002" TargetMode="External"/><Relationship Id="rId332" Type="http://schemas.openxmlformats.org/officeDocument/2006/relationships/hyperlink" Target="http://www.redalyc.org/articulo.oa?id=67431160003" TargetMode="External"/><Relationship Id="rId333" Type="http://schemas.openxmlformats.org/officeDocument/2006/relationships/hyperlink" Target="http://www.scielo.org.mx/scielo.php?script=sci_arttext&amp;amp;pid=S0188-" TargetMode="External"/><Relationship Id="rId334" Type="http://schemas.openxmlformats.org/officeDocument/2006/relationships/hyperlink" Target="http://www.redalyc.org/articulo.oa?id=67431160013" TargetMode="External"/><Relationship Id="rId335" Type="http://schemas.openxmlformats.org/officeDocument/2006/relationships/hyperlink" Target="http://portal2/" TargetMode="External"/><Relationship Id="rId336" Type="http://schemas.openxmlformats.org/officeDocument/2006/relationships/hyperlink" Target="http://www.redalyc.org/articulo.oa?id=53905402" TargetMode="External"/><Relationship Id="rId337" Type="http://schemas.openxmlformats.org/officeDocument/2006/relationships/header" Target="header21.xml"/><Relationship Id="rId338" Type="http://schemas.openxmlformats.org/officeDocument/2006/relationships/footer" Target="footer144.xml"/><Relationship Id="rId339" Type="http://schemas.openxmlformats.org/officeDocument/2006/relationships/hyperlink" Target="mailto:mwojt@up.krakow.pl" TargetMode="External"/><Relationship Id="rId340" Type="http://schemas.openxmlformats.org/officeDocument/2006/relationships/header" Target="header22.xml"/><Relationship Id="rId341" Type="http://schemas.openxmlformats.org/officeDocument/2006/relationships/footer" Target="footer145.xml"/><Relationship Id="rId342" Type="http://schemas.openxmlformats.org/officeDocument/2006/relationships/footer" Target="footer146.xml"/><Relationship Id="rId343" Type="http://schemas.openxmlformats.org/officeDocument/2006/relationships/image" Target="media/image92.jpeg"/><Relationship Id="rId344" Type="http://schemas.openxmlformats.org/officeDocument/2006/relationships/footer" Target="footer147.xml"/><Relationship Id="rId345" Type="http://schemas.openxmlformats.org/officeDocument/2006/relationships/image" Target="media/image93.png"/><Relationship Id="rId346" Type="http://schemas.openxmlformats.org/officeDocument/2006/relationships/footer" Target="footer148.xml"/><Relationship Id="rId347" Type="http://schemas.openxmlformats.org/officeDocument/2006/relationships/image" Target="media/image94.jpeg"/><Relationship Id="rId348" Type="http://schemas.openxmlformats.org/officeDocument/2006/relationships/footer" Target="footer149.xml"/><Relationship Id="rId349" Type="http://schemas.openxmlformats.org/officeDocument/2006/relationships/image" Target="media/image95.png"/><Relationship Id="rId350" Type="http://schemas.openxmlformats.org/officeDocument/2006/relationships/footer" Target="footer150.xml"/><Relationship Id="rId351" Type="http://schemas.openxmlformats.org/officeDocument/2006/relationships/image" Target="media/image96.png"/><Relationship Id="rId352" Type="http://schemas.openxmlformats.org/officeDocument/2006/relationships/image" Target="media/image97.png"/><Relationship Id="rId353" Type="http://schemas.openxmlformats.org/officeDocument/2006/relationships/footer" Target="footer151.xml"/><Relationship Id="rId354" Type="http://schemas.openxmlformats.org/officeDocument/2006/relationships/image" Target="media/image98.png"/><Relationship Id="rId355" Type="http://schemas.openxmlformats.org/officeDocument/2006/relationships/image" Target="media/image99.png"/><Relationship Id="rId356" Type="http://schemas.openxmlformats.org/officeDocument/2006/relationships/footer" Target="footer152.xml"/><Relationship Id="rId357" Type="http://schemas.openxmlformats.org/officeDocument/2006/relationships/image" Target="media/image100.png"/><Relationship Id="rId358" Type="http://schemas.openxmlformats.org/officeDocument/2006/relationships/image" Target="media/image101.png"/><Relationship Id="rId359" Type="http://schemas.openxmlformats.org/officeDocument/2006/relationships/footer" Target="footer153.xml"/><Relationship Id="rId360" Type="http://schemas.openxmlformats.org/officeDocument/2006/relationships/footer" Target="footer154.xml"/><Relationship Id="rId361" Type="http://schemas.openxmlformats.org/officeDocument/2006/relationships/image" Target="media/image102.png"/><Relationship Id="rId362" Type="http://schemas.openxmlformats.org/officeDocument/2006/relationships/footer" Target="footer155.xml"/><Relationship Id="rId363" Type="http://schemas.openxmlformats.org/officeDocument/2006/relationships/image" Target="media/image103.png"/><Relationship Id="rId364" Type="http://schemas.openxmlformats.org/officeDocument/2006/relationships/image" Target="media/image104.png"/><Relationship Id="rId365" Type="http://schemas.openxmlformats.org/officeDocument/2006/relationships/image" Target="media/image105.png"/><Relationship Id="rId366" Type="http://schemas.openxmlformats.org/officeDocument/2006/relationships/image" Target="media/image106.png"/><Relationship Id="rId367" Type="http://schemas.openxmlformats.org/officeDocument/2006/relationships/image" Target="media/image107.png"/><Relationship Id="rId368" Type="http://schemas.openxmlformats.org/officeDocument/2006/relationships/image" Target="media/image108.png"/><Relationship Id="rId369" Type="http://schemas.openxmlformats.org/officeDocument/2006/relationships/image" Target="media/image109.png"/><Relationship Id="rId370" Type="http://schemas.openxmlformats.org/officeDocument/2006/relationships/image" Target="media/image110.png"/><Relationship Id="rId371" Type="http://schemas.openxmlformats.org/officeDocument/2006/relationships/image" Target="media/image111.png"/><Relationship Id="rId372" Type="http://schemas.openxmlformats.org/officeDocument/2006/relationships/footer" Target="footer156.xml"/><Relationship Id="rId373" Type="http://schemas.openxmlformats.org/officeDocument/2006/relationships/footer" Target="footer157.xml"/><Relationship Id="rId374" Type="http://schemas.openxmlformats.org/officeDocument/2006/relationships/hyperlink" Target="http://hermes-ir.lib.hit-u.ac.jp/" TargetMode="External"/><Relationship Id="rId375" Type="http://schemas.openxmlformats.org/officeDocument/2006/relationships/footer" Target="footer158.xml"/><Relationship Id="rId376" Type="http://schemas.openxmlformats.org/officeDocument/2006/relationships/header" Target="header23.xml"/><Relationship Id="rId377" Type="http://schemas.openxmlformats.org/officeDocument/2006/relationships/footer" Target="footer159.xml"/><Relationship Id="rId378" Type="http://schemas.openxmlformats.org/officeDocument/2006/relationships/hyperlink" Target="mailto:israelvm90@gmail.com" TargetMode="External"/><Relationship Id="rId379" Type="http://schemas.openxmlformats.org/officeDocument/2006/relationships/header" Target="header24.xml"/><Relationship Id="rId380" Type="http://schemas.openxmlformats.org/officeDocument/2006/relationships/footer" Target="footer160.xml"/><Relationship Id="rId381" Type="http://schemas.openxmlformats.org/officeDocument/2006/relationships/footer" Target="footer161.xml"/><Relationship Id="rId382" Type="http://schemas.openxmlformats.org/officeDocument/2006/relationships/footer" Target="footer162.xml"/><Relationship Id="rId383" Type="http://schemas.openxmlformats.org/officeDocument/2006/relationships/footer" Target="footer163.xml"/><Relationship Id="rId384" Type="http://schemas.openxmlformats.org/officeDocument/2006/relationships/footer" Target="footer164.xml"/><Relationship Id="rId385" Type="http://schemas.openxmlformats.org/officeDocument/2006/relationships/image" Target="media/image112.png"/><Relationship Id="rId386" Type="http://schemas.openxmlformats.org/officeDocument/2006/relationships/hyperlink" Target="http://www.inegi.gob.mx/" TargetMode="External"/><Relationship Id="rId387" Type="http://schemas.openxmlformats.org/officeDocument/2006/relationships/image" Target="media/image113.png"/><Relationship Id="rId388" Type="http://schemas.openxmlformats.org/officeDocument/2006/relationships/footer" Target="footer165.xml"/><Relationship Id="rId389" Type="http://schemas.openxmlformats.org/officeDocument/2006/relationships/footer" Target="footer166.xml"/><Relationship Id="rId390" Type="http://schemas.openxmlformats.org/officeDocument/2006/relationships/footer" Target="footer167.xml"/><Relationship Id="rId391" Type="http://schemas.openxmlformats.org/officeDocument/2006/relationships/footer" Target="footer168.xml"/><Relationship Id="rId392" Type="http://schemas.openxmlformats.org/officeDocument/2006/relationships/footer" Target="footer169.xml"/><Relationship Id="rId393" Type="http://schemas.openxmlformats.org/officeDocument/2006/relationships/footer" Target="footer170.xml"/><Relationship Id="rId394" Type="http://schemas.openxmlformats.org/officeDocument/2006/relationships/footer" Target="footer171.xml"/><Relationship Id="rId395" Type="http://schemas.openxmlformats.org/officeDocument/2006/relationships/hyperlink" Target="mailto:mvsantana7@hotmail.com" TargetMode="External"/><Relationship Id="rId396" Type="http://schemas.openxmlformats.org/officeDocument/2006/relationships/footer" Target="footer172.xml"/><Relationship Id="rId397" Type="http://schemas.openxmlformats.org/officeDocument/2006/relationships/footer" Target="footer173.xml"/><Relationship Id="rId398" Type="http://schemas.openxmlformats.org/officeDocument/2006/relationships/image" Target="media/image114.png"/><Relationship Id="rId399" Type="http://schemas.openxmlformats.org/officeDocument/2006/relationships/footer" Target="footer174.xml"/><Relationship Id="rId400" Type="http://schemas.openxmlformats.org/officeDocument/2006/relationships/footer" Target="footer175.xml"/><Relationship Id="rId401" Type="http://schemas.openxmlformats.org/officeDocument/2006/relationships/footer" Target="footer176.xml"/><Relationship Id="rId402" Type="http://schemas.openxmlformats.org/officeDocument/2006/relationships/image" Target="media/image115.jpeg"/><Relationship Id="rId403" Type="http://schemas.openxmlformats.org/officeDocument/2006/relationships/image" Target="media/image116.png"/><Relationship Id="rId404" Type="http://schemas.openxmlformats.org/officeDocument/2006/relationships/footer" Target="footer177.xml"/><Relationship Id="rId405" Type="http://schemas.openxmlformats.org/officeDocument/2006/relationships/image" Target="media/image117.jpeg"/><Relationship Id="rId406" Type="http://schemas.openxmlformats.org/officeDocument/2006/relationships/footer" Target="footer178.xml"/><Relationship Id="rId407" Type="http://schemas.openxmlformats.org/officeDocument/2006/relationships/image" Target="media/image118.jpeg"/><Relationship Id="rId408" Type="http://schemas.openxmlformats.org/officeDocument/2006/relationships/image" Target="media/image119.jpeg"/><Relationship Id="rId409" Type="http://schemas.openxmlformats.org/officeDocument/2006/relationships/footer" Target="footer179.xml"/><Relationship Id="rId410" Type="http://schemas.openxmlformats.org/officeDocument/2006/relationships/image" Target="media/image120.jpeg"/><Relationship Id="rId411" Type="http://schemas.openxmlformats.org/officeDocument/2006/relationships/footer" Target="footer180.xml"/><Relationship Id="rId412" Type="http://schemas.openxmlformats.org/officeDocument/2006/relationships/image" Target="media/image121.jpeg"/><Relationship Id="rId413" Type="http://schemas.openxmlformats.org/officeDocument/2006/relationships/footer" Target="footer181.xml"/><Relationship Id="rId414" Type="http://schemas.openxmlformats.org/officeDocument/2006/relationships/footer" Target="footer182.xml"/><Relationship Id="rId415" Type="http://schemas.openxmlformats.org/officeDocument/2006/relationships/footer" Target="footer183.xml"/><Relationship Id="rId416" Type="http://schemas.openxmlformats.org/officeDocument/2006/relationships/hyperlink" Target="http://dgis.salud.gob.mx/" TargetMode="External"/><Relationship Id="rId417" Type="http://schemas.openxmlformats.org/officeDocument/2006/relationships/hyperlink" Target="http://www.salud.gob.mx/" TargetMode="External"/><Relationship Id="rId418" Type="http://schemas.openxmlformats.org/officeDocument/2006/relationships/hyperlink" Target="http://www.inegi.org.mx/" TargetMode="External"/><Relationship Id="rId419" Type="http://schemas.openxmlformats.org/officeDocument/2006/relationships/hyperlink" Target="http://www.paho.org/Spanish/SHA/indbscvre" TargetMode="External"/><Relationship Id="rId420" Type="http://schemas.openxmlformats.org/officeDocument/2006/relationships/hyperlink" Target="http://www.seer.ufu.br/index.php/hygeia" TargetMode="External"/><Relationship Id="rId421" Type="http://schemas.openxmlformats.org/officeDocument/2006/relationships/hyperlink" Target="http://geografiapucv.cl/2016/01/numero-52-de-la-revista-geografica-de-valparaiso/" TargetMode="External"/><Relationship Id="rId422" Type="http://schemas.openxmlformats.org/officeDocument/2006/relationships/hyperlink" Target="http://www.dgis.salud.gob.mx/" TargetMode="External"/><Relationship Id="rId423" Type="http://schemas.openxmlformats.org/officeDocument/2006/relationships/hyperlink" Target="http://www.who.org/whr/1997/exsum97e.html" TargetMode="External"/><Relationship Id="rId424" Type="http://schemas.openxmlformats.org/officeDocument/2006/relationships/header" Target="header25.xml"/><Relationship Id="rId425" Type="http://schemas.openxmlformats.org/officeDocument/2006/relationships/footer" Target="footer184.xml"/><Relationship Id="rId426" Type="http://schemas.openxmlformats.org/officeDocument/2006/relationships/hyperlink" Target="mailto:snrm39@yahoo.com.mx" TargetMode="External"/><Relationship Id="rId427" Type="http://schemas.openxmlformats.org/officeDocument/2006/relationships/header" Target="header26.xml"/><Relationship Id="rId428" Type="http://schemas.openxmlformats.org/officeDocument/2006/relationships/footer" Target="footer185.xml"/><Relationship Id="rId429" Type="http://schemas.openxmlformats.org/officeDocument/2006/relationships/footer" Target="footer186.xml"/><Relationship Id="rId430" Type="http://schemas.openxmlformats.org/officeDocument/2006/relationships/footer" Target="footer187.xml"/><Relationship Id="rId431" Type="http://schemas.openxmlformats.org/officeDocument/2006/relationships/footer" Target="footer188.xml"/><Relationship Id="rId432" Type="http://schemas.openxmlformats.org/officeDocument/2006/relationships/footer" Target="footer189.xml"/><Relationship Id="rId433" Type="http://schemas.openxmlformats.org/officeDocument/2006/relationships/footer" Target="footer190.xml"/><Relationship Id="rId434" Type="http://schemas.openxmlformats.org/officeDocument/2006/relationships/footer" Target="footer191.xml"/><Relationship Id="rId435" Type="http://schemas.openxmlformats.org/officeDocument/2006/relationships/footer" Target="footer192.xml"/><Relationship Id="rId436" Type="http://schemas.openxmlformats.org/officeDocument/2006/relationships/footer" Target="footer193.xml"/><Relationship Id="rId437" Type="http://schemas.openxmlformats.org/officeDocument/2006/relationships/hyperlink" Target="mailto:angy_1688@hotmail.com" TargetMode="External"/><Relationship Id="rId438" Type="http://schemas.openxmlformats.org/officeDocument/2006/relationships/footer" Target="footer194.xml"/><Relationship Id="rId439" Type="http://schemas.openxmlformats.org/officeDocument/2006/relationships/footer" Target="footer195.xml"/><Relationship Id="rId440" Type="http://schemas.openxmlformats.org/officeDocument/2006/relationships/footer" Target="footer196.xml"/><Relationship Id="rId441" Type="http://schemas.openxmlformats.org/officeDocument/2006/relationships/footer" Target="footer197.xml"/><Relationship Id="rId442" Type="http://schemas.openxmlformats.org/officeDocument/2006/relationships/footer" Target="footer198.xml"/><Relationship Id="rId443" Type="http://schemas.openxmlformats.org/officeDocument/2006/relationships/footer" Target="footer199.xml"/><Relationship Id="rId444" Type="http://schemas.openxmlformats.org/officeDocument/2006/relationships/footer" Target="footer200.xml"/><Relationship Id="rId445" Type="http://schemas.openxmlformats.org/officeDocument/2006/relationships/footer" Target="footer201.xml"/><Relationship Id="rId446" Type="http://schemas.openxmlformats.org/officeDocument/2006/relationships/footer" Target="footer202.xml"/><Relationship Id="rId447" Type="http://schemas.openxmlformats.org/officeDocument/2006/relationships/footer" Target="footer203.xml"/><Relationship Id="rId448" Type="http://schemas.openxmlformats.org/officeDocument/2006/relationships/footer" Target="footer204.xml"/><Relationship Id="rId449" Type="http://schemas.openxmlformats.org/officeDocument/2006/relationships/hyperlink" Target="mailto:gdhoyosc@uaemex.mx" TargetMode="External"/><Relationship Id="rId450" Type="http://schemas.openxmlformats.org/officeDocument/2006/relationships/footer" Target="footer205.xml"/><Relationship Id="rId451" Type="http://schemas.openxmlformats.org/officeDocument/2006/relationships/footer" Target="footer206.xml"/><Relationship Id="rId452" Type="http://schemas.openxmlformats.org/officeDocument/2006/relationships/image" Target="media/image122.png"/><Relationship Id="rId453" Type="http://schemas.openxmlformats.org/officeDocument/2006/relationships/footer" Target="footer207.xml"/><Relationship Id="rId454" Type="http://schemas.openxmlformats.org/officeDocument/2006/relationships/footer" Target="footer208.xml"/><Relationship Id="rId455" Type="http://schemas.openxmlformats.org/officeDocument/2006/relationships/footer" Target="footer209.xml"/><Relationship Id="rId456" Type="http://schemas.openxmlformats.org/officeDocument/2006/relationships/footer" Target="footer210.xml"/><Relationship Id="rId457" Type="http://schemas.openxmlformats.org/officeDocument/2006/relationships/footer" Target="footer211.xml"/><Relationship Id="rId458" Type="http://schemas.openxmlformats.org/officeDocument/2006/relationships/image" Target="media/image123.jpeg"/><Relationship Id="rId459" Type="http://schemas.openxmlformats.org/officeDocument/2006/relationships/image" Target="media/image124.png"/><Relationship Id="rId460" Type="http://schemas.openxmlformats.org/officeDocument/2006/relationships/footer" Target="footer212.xml"/><Relationship Id="rId461" Type="http://schemas.openxmlformats.org/officeDocument/2006/relationships/hyperlink" Target="http://www.apartados.hacienda.gob.mx/presupuesto/temas/pef/2014/docs/23/r23_ep.pdf" TargetMode="External"/><Relationship Id="rId462" Type="http://schemas.openxmlformats.org/officeDocument/2006/relationships/footer" Target="footer213.xml"/><Relationship Id="rId463" Type="http://schemas.openxmlformats.org/officeDocument/2006/relationships/footer" Target="footer214.xml"/><Relationship Id="rId464" Type="http://schemas.openxmlformats.org/officeDocument/2006/relationships/hyperlink" Target="http://scioteca.caf.com/handle/123456789/171" TargetMode="External"/><Relationship Id="rId465" Type="http://schemas.openxmlformats.org/officeDocument/2006/relationships/hyperlink" Target="http://www.juridicas.unam.mx/" TargetMode="External"/><Relationship Id="rId466" Type="http://schemas.openxmlformats.org/officeDocument/2006/relationships/header" Target="header27.xml"/><Relationship Id="rId467" Type="http://schemas.openxmlformats.org/officeDocument/2006/relationships/footer" Target="footer215.xml"/><Relationship Id="rId468" Type="http://schemas.openxmlformats.org/officeDocument/2006/relationships/hyperlink" Target="mailto:pl_js@hotmail.com" TargetMode="External"/><Relationship Id="rId469" Type="http://schemas.openxmlformats.org/officeDocument/2006/relationships/header" Target="header28.xml"/><Relationship Id="rId470" Type="http://schemas.openxmlformats.org/officeDocument/2006/relationships/footer" Target="footer216.xml"/><Relationship Id="rId471" Type="http://schemas.openxmlformats.org/officeDocument/2006/relationships/footer" Target="footer217.xml"/><Relationship Id="rId472" Type="http://schemas.openxmlformats.org/officeDocument/2006/relationships/footer" Target="footer218.xml"/><Relationship Id="rId473" Type="http://schemas.openxmlformats.org/officeDocument/2006/relationships/footer" Target="footer219.xml"/><Relationship Id="rId474" Type="http://schemas.openxmlformats.org/officeDocument/2006/relationships/footer" Target="footer220.xml"/><Relationship Id="rId475" Type="http://schemas.openxmlformats.org/officeDocument/2006/relationships/footer" Target="footer221.xml"/><Relationship Id="rId476" Type="http://schemas.openxmlformats.org/officeDocument/2006/relationships/header" Target="header29.xml"/><Relationship Id="rId477" Type="http://schemas.openxmlformats.org/officeDocument/2006/relationships/footer" Target="footer222.xml"/><Relationship Id="rId478" Type="http://schemas.openxmlformats.org/officeDocument/2006/relationships/hyperlink" Target="mailto:liadia1805@hotmail.com" TargetMode="External"/><Relationship Id="rId479" Type="http://schemas.openxmlformats.org/officeDocument/2006/relationships/header" Target="header30.xml"/><Relationship Id="rId480" Type="http://schemas.openxmlformats.org/officeDocument/2006/relationships/footer" Target="footer223.xml"/><Relationship Id="rId481" Type="http://schemas.openxmlformats.org/officeDocument/2006/relationships/footer" Target="footer224.xml"/><Relationship Id="rId482" Type="http://schemas.openxmlformats.org/officeDocument/2006/relationships/image" Target="media/image125.jpeg"/><Relationship Id="rId483" Type="http://schemas.openxmlformats.org/officeDocument/2006/relationships/footer" Target="footer225.xml"/><Relationship Id="rId484" Type="http://schemas.openxmlformats.org/officeDocument/2006/relationships/image" Target="media/image126.png"/><Relationship Id="rId485" Type="http://schemas.openxmlformats.org/officeDocument/2006/relationships/header" Target="header31.xml"/><Relationship Id="rId486" Type="http://schemas.openxmlformats.org/officeDocument/2006/relationships/footer" Target="footer226.xml"/><Relationship Id="rId487" Type="http://schemas.openxmlformats.org/officeDocument/2006/relationships/header" Target="header32.xml"/><Relationship Id="rId488" Type="http://schemas.openxmlformats.org/officeDocument/2006/relationships/footer" Target="footer227.xml"/><Relationship Id="rId489" Type="http://schemas.openxmlformats.org/officeDocument/2006/relationships/footer" Target="footer228.xml"/><Relationship Id="rId490" Type="http://schemas.openxmlformats.org/officeDocument/2006/relationships/header" Target="header33.xml"/><Relationship Id="rId491" Type="http://schemas.openxmlformats.org/officeDocument/2006/relationships/footer" Target="footer229.xml"/><Relationship Id="rId492" Type="http://schemas.openxmlformats.org/officeDocument/2006/relationships/hyperlink" Target="http://portal2.edomex.gob.mx/sedur/informacion_de_interes/" TargetMode="External"/><Relationship Id="rId493" Type="http://schemas.openxmlformats.org/officeDocument/2006/relationships/header" Target="header34.xml"/><Relationship Id="rId494" Type="http://schemas.openxmlformats.org/officeDocument/2006/relationships/footer" Target="footer230.xml"/><Relationship Id="rId495" Type="http://schemas.openxmlformats.org/officeDocument/2006/relationships/image" Target="media/image127.png"/><Relationship Id="rId496" Type="http://schemas.openxmlformats.org/officeDocument/2006/relationships/image" Target="media/image128.jpeg"/><Relationship Id="rId497" Type="http://schemas.openxmlformats.org/officeDocument/2006/relationships/image" Target="media/image129.jpeg"/><Relationship Id="rId498" Type="http://schemas.openxmlformats.org/officeDocument/2006/relationships/image" Target="media/image130.jpeg"/><Relationship Id="rId499" Type="http://schemas.openxmlformats.org/officeDocument/2006/relationships/header" Target="header35.xml"/><Relationship Id="rId500" Type="http://schemas.openxmlformats.org/officeDocument/2006/relationships/footer" Target="footer231.xml"/><Relationship Id="rId501" Type="http://schemas.openxmlformats.org/officeDocument/2006/relationships/image" Target="media/image131.png"/><Relationship Id="rId502" Type="http://schemas.openxmlformats.org/officeDocument/2006/relationships/image" Target="media/image132.jpeg"/><Relationship Id="rId503" Type="http://schemas.openxmlformats.org/officeDocument/2006/relationships/image" Target="media/image133.png"/><Relationship Id="rId504" Type="http://schemas.openxmlformats.org/officeDocument/2006/relationships/image" Target="media/image134.png"/><Relationship Id="rId505" Type="http://schemas.openxmlformats.org/officeDocument/2006/relationships/image" Target="media/image135.png"/><Relationship Id="rId506" Type="http://schemas.openxmlformats.org/officeDocument/2006/relationships/image" Target="media/image136.jpeg"/><Relationship Id="rId507" Type="http://schemas.openxmlformats.org/officeDocument/2006/relationships/image" Target="media/image137.jpeg"/><Relationship Id="rId508" Type="http://schemas.openxmlformats.org/officeDocument/2006/relationships/image" Target="media/image138.jpeg"/><Relationship Id="rId509" Type="http://schemas.openxmlformats.org/officeDocument/2006/relationships/image" Target="media/image139.png"/><Relationship Id="rId510" Type="http://schemas.openxmlformats.org/officeDocument/2006/relationships/image" Target="media/image140.png"/><Relationship Id="rId511" Type="http://schemas.openxmlformats.org/officeDocument/2006/relationships/image" Target="media/image141.jpeg"/><Relationship Id="rId512" Type="http://schemas.openxmlformats.org/officeDocument/2006/relationships/header" Target="header36.xml"/><Relationship Id="rId513" Type="http://schemas.openxmlformats.org/officeDocument/2006/relationships/footer" Target="footer232.xml"/><Relationship Id="rId514" Type="http://schemas.openxmlformats.org/officeDocument/2006/relationships/image" Target="media/image142.jpeg"/><Relationship Id="rId515" Type="http://schemas.openxmlformats.org/officeDocument/2006/relationships/image" Target="media/image143.png"/><Relationship Id="rId516" Type="http://schemas.openxmlformats.org/officeDocument/2006/relationships/image" Target="media/image144.png"/><Relationship Id="rId517" Type="http://schemas.openxmlformats.org/officeDocument/2006/relationships/image" Target="media/image145.png"/><Relationship Id="rId518" Type="http://schemas.openxmlformats.org/officeDocument/2006/relationships/image" Target="media/image146.png"/><Relationship Id="rId519" Type="http://schemas.openxmlformats.org/officeDocument/2006/relationships/footer" Target="footer233.xml"/><Relationship Id="rId520" Type="http://schemas.openxmlformats.org/officeDocument/2006/relationships/footer" Target="footer234.xml"/><Relationship Id="rId521" Type="http://schemas.openxmlformats.org/officeDocument/2006/relationships/image" Target="media/image147.png"/><Relationship Id="rId522" Type="http://schemas.openxmlformats.org/officeDocument/2006/relationships/image" Target="media/image148.png"/><Relationship Id="rId523" Type="http://schemas.openxmlformats.org/officeDocument/2006/relationships/footer" Target="footer235.xml"/><Relationship Id="rId524" Type="http://schemas.openxmlformats.org/officeDocument/2006/relationships/image" Target="media/image149.png"/><Relationship Id="rId525" Type="http://schemas.openxmlformats.org/officeDocument/2006/relationships/image" Target="media/image150.png"/><Relationship Id="rId526" Type="http://schemas.openxmlformats.org/officeDocument/2006/relationships/image" Target="media/image151.png"/><Relationship Id="rId527" Type="http://schemas.openxmlformats.org/officeDocument/2006/relationships/footer" Target="footer236.xml"/><Relationship Id="rId528" Type="http://schemas.openxmlformats.org/officeDocument/2006/relationships/hyperlink" Target="http://www.edomex.gob.mx/" TargetMode="External"/><Relationship Id="rId529" Type="http://schemas.openxmlformats.org/officeDocument/2006/relationships/footer" Target="footer237.xml"/><Relationship Id="rId530" Type="http://schemas.openxmlformats.org/officeDocument/2006/relationships/image" Target="media/image152.jpeg"/><Relationship Id="rId531" Type="http://schemas.openxmlformats.org/officeDocument/2006/relationships/hyperlink" Target="http://www.tesis.uchile.cl/tesis/uchile/2007/lara_mc/sources/lara_mc.pdf" TargetMode="External"/><Relationship Id="rId532" Type="http://schemas.openxmlformats.org/officeDocument/2006/relationships/footer" Target="footer238.xml"/><Relationship Id="rId533" Type="http://schemas.openxmlformats.org/officeDocument/2006/relationships/image" Target="media/image153.jpeg"/><Relationship Id="rId534" Type="http://schemas.openxmlformats.org/officeDocument/2006/relationships/image" Target="media/image154.jpeg"/><Relationship Id="rId535" Type="http://schemas.openxmlformats.org/officeDocument/2006/relationships/footer" Target="footer239.xml"/><Relationship Id="rId536" Type="http://schemas.openxmlformats.org/officeDocument/2006/relationships/image" Target="media/image155.jpeg"/><Relationship Id="rId537" Type="http://schemas.openxmlformats.org/officeDocument/2006/relationships/image" Target="media/image156.jpeg"/><Relationship Id="rId538" Type="http://schemas.openxmlformats.org/officeDocument/2006/relationships/footer" Target="footer240.xml"/><Relationship Id="rId539" Type="http://schemas.openxmlformats.org/officeDocument/2006/relationships/image" Target="media/image157.jpeg"/><Relationship Id="rId540" Type="http://schemas.openxmlformats.org/officeDocument/2006/relationships/footer" Target="footer241.xml"/><Relationship Id="rId541" Type="http://schemas.openxmlformats.org/officeDocument/2006/relationships/image" Target="media/image158.jpeg"/><Relationship Id="rId542" Type="http://schemas.openxmlformats.org/officeDocument/2006/relationships/footer" Target="footer242.xml"/><Relationship Id="rId543" Type="http://schemas.openxmlformats.org/officeDocument/2006/relationships/footer" Target="footer243.xml"/><Relationship Id="rId544" Type="http://schemas.openxmlformats.org/officeDocument/2006/relationships/image" Target="media/image159.jpeg"/><Relationship Id="rId545" Type="http://schemas.openxmlformats.org/officeDocument/2006/relationships/image" Target="media/image160.jpeg"/><Relationship Id="rId546" Type="http://schemas.openxmlformats.org/officeDocument/2006/relationships/footer" Target="footer244.xml"/><Relationship Id="rId547" Type="http://schemas.openxmlformats.org/officeDocument/2006/relationships/image" Target="media/image161.jpeg"/><Relationship Id="rId548" Type="http://schemas.openxmlformats.org/officeDocument/2006/relationships/image" Target="media/image162.jpeg"/><Relationship Id="rId549" Type="http://schemas.openxmlformats.org/officeDocument/2006/relationships/footer" Target="footer245.xml"/><Relationship Id="rId550" Type="http://schemas.openxmlformats.org/officeDocument/2006/relationships/footer" Target="footer246.xml"/><Relationship Id="rId551" Type="http://schemas.openxmlformats.org/officeDocument/2006/relationships/image" Target="media/image163.jpeg"/><Relationship Id="rId552" Type="http://schemas.openxmlformats.org/officeDocument/2006/relationships/image" Target="media/image164.jpeg"/><Relationship Id="rId553" Type="http://schemas.openxmlformats.org/officeDocument/2006/relationships/image" Target="media/image165.jpeg"/><Relationship Id="rId554" Type="http://schemas.openxmlformats.org/officeDocument/2006/relationships/footer" Target="footer247.xml"/><Relationship Id="rId555" Type="http://schemas.openxmlformats.org/officeDocument/2006/relationships/image" Target="media/image166.jpeg"/><Relationship Id="rId556" Type="http://schemas.openxmlformats.org/officeDocument/2006/relationships/image" Target="media/image167.jpeg"/><Relationship Id="rId557" Type="http://schemas.openxmlformats.org/officeDocument/2006/relationships/footer" Target="footer248.xml"/><Relationship Id="rId558" Type="http://schemas.openxmlformats.org/officeDocument/2006/relationships/footer" Target="footer249.xml"/><Relationship Id="rId559" Type="http://schemas.openxmlformats.org/officeDocument/2006/relationships/header" Target="header37.xml"/><Relationship Id="rId560" Type="http://schemas.openxmlformats.org/officeDocument/2006/relationships/footer" Target="footer250.xml"/><Relationship Id="rId5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2017-05-25T18:21:31Z</dcterms:created>
  <dcterms:modified xsi:type="dcterms:W3CDTF">2017-05-25T18:21:31Z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2017-05-25T00:00:00Z</vt:filetime>
  </property>
</Properties>
</file>